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8CB" w:rsidRDefault="00D138CB" w:rsidP="00F77E33">
      <w:pPr>
        <w:pStyle w:val="Antrat1"/>
      </w:pPr>
    </w:p>
    <w:p w:rsidR="00D138CB" w:rsidRDefault="00D138CB" w:rsidP="002B7A0A">
      <w:pPr>
        <w:ind w:left="2160"/>
        <w:rPr>
          <w:b/>
          <w:color w:val="008000"/>
          <w:sz w:val="36"/>
        </w:rPr>
      </w:pPr>
    </w:p>
    <w:p w:rsidR="002B7A0A" w:rsidRDefault="002B7A0A" w:rsidP="002B7A0A">
      <w:pPr>
        <w:ind w:left="2160"/>
        <w:rPr>
          <w:b/>
          <w:color w:val="008000"/>
        </w:rPr>
      </w:pPr>
      <w:r>
        <w:rPr>
          <w:b/>
          <w:color w:val="008000"/>
          <w:sz w:val="36"/>
        </w:rPr>
        <w:t>LIETUVOS RESPUBLIKOS SEIMO</w:t>
      </w:r>
    </w:p>
    <w:p w:rsidR="002B7A0A" w:rsidRDefault="002B7A0A" w:rsidP="002B7A0A">
      <w:pPr>
        <w:jc w:val="center"/>
        <w:rPr>
          <w:b/>
          <w:color w:val="008000"/>
        </w:rPr>
      </w:pPr>
    </w:p>
    <w:p w:rsidR="002B7A0A" w:rsidRDefault="002B7A0A" w:rsidP="002B7A0A">
      <w:pPr>
        <w:jc w:val="center"/>
        <w:rPr>
          <w:b/>
          <w:color w:val="008000"/>
          <w:sz w:val="40"/>
        </w:rPr>
      </w:pPr>
      <w:r>
        <w:rPr>
          <w:b/>
          <w:color w:val="008000"/>
          <w:sz w:val="40"/>
        </w:rPr>
        <w:t>NARKOMANIJOS PREVENCIJOS KOMISIJOS</w:t>
      </w:r>
    </w:p>
    <w:p w:rsidR="002B7A0A" w:rsidRDefault="002B7A0A" w:rsidP="002B7A0A">
      <w:pPr>
        <w:jc w:val="center"/>
        <w:rPr>
          <w:b/>
          <w:color w:val="008000"/>
          <w:sz w:val="40"/>
        </w:rPr>
      </w:pPr>
    </w:p>
    <w:p w:rsidR="002B7A0A" w:rsidRDefault="002B7A0A" w:rsidP="00D138CB">
      <w:pPr>
        <w:jc w:val="center"/>
        <w:rPr>
          <w:b/>
          <w:color w:val="008000"/>
          <w:sz w:val="36"/>
        </w:rPr>
      </w:pPr>
      <w:r>
        <w:rPr>
          <w:b/>
          <w:color w:val="008000"/>
          <w:sz w:val="36"/>
        </w:rPr>
        <w:t>2004 - 2008 METŲ VEIKLOS</w:t>
      </w:r>
    </w:p>
    <w:p w:rsidR="002B7A0A" w:rsidRDefault="002B7A0A" w:rsidP="002B7A0A">
      <w:pPr>
        <w:jc w:val="center"/>
        <w:rPr>
          <w:b/>
          <w:color w:val="008000"/>
        </w:rPr>
      </w:pPr>
    </w:p>
    <w:p w:rsidR="00D138CB" w:rsidRDefault="00D138CB" w:rsidP="002B7A0A">
      <w:pPr>
        <w:jc w:val="center"/>
        <w:rPr>
          <w:b/>
          <w:color w:val="008000"/>
        </w:rPr>
      </w:pPr>
    </w:p>
    <w:p w:rsidR="002B7A0A" w:rsidRDefault="002B7A0A" w:rsidP="002B7A0A">
      <w:pPr>
        <w:jc w:val="center"/>
        <w:rPr>
          <w:b/>
          <w:color w:val="008000"/>
          <w:sz w:val="40"/>
        </w:rPr>
      </w:pPr>
      <w:r>
        <w:rPr>
          <w:b/>
          <w:color w:val="008000"/>
          <w:sz w:val="40"/>
        </w:rPr>
        <w:t>NARKOMANIJOS IR ALKOHOLIZMO PREVENCIJOS KOMISIJOS</w:t>
      </w:r>
    </w:p>
    <w:p w:rsidR="002B7A0A" w:rsidRDefault="002B7A0A" w:rsidP="002B7A0A">
      <w:pPr>
        <w:jc w:val="center"/>
        <w:rPr>
          <w:b/>
          <w:color w:val="008000"/>
          <w:sz w:val="40"/>
        </w:rPr>
      </w:pPr>
    </w:p>
    <w:p w:rsidR="002B7A0A" w:rsidRDefault="002B7A0A" w:rsidP="002B7A0A">
      <w:pPr>
        <w:jc w:val="center"/>
        <w:rPr>
          <w:b/>
          <w:color w:val="008000"/>
          <w:sz w:val="36"/>
        </w:rPr>
      </w:pPr>
      <w:r>
        <w:rPr>
          <w:b/>
          <w:color w:val="008000"/>
          <w:sz w:val="36"/>
        </w:rPr>
        <w:t>2008 – 2014 METŲ VEIKLOS</w:t>
      </w:r>
    </w:p>
    <w:p w:rsidR="002B7A0A" w:rsidRDefault="002B7A0A" w:rsidP="002B7A0A">
      <w:pPr>
        <w:jc w:val="center"/>
        <w:rPr>
          <w:b/>
          <w:color w:val="008000"/>
          <w:sz w:val="36"/>
        </w:rPr>
      </w:pPr>
    </w:p>
    <w:p w:rsidR="002B7A0A" w:rsidRDefault="002B7A0A" w:rsidP="002B7A0A">
      <w:pPr>
        <w:jc w:val="center"/>
        <w:rPr>
          <w:b/>
          <w:color w:val="008000"/>
          <w:sz w:val="36"/>
        </w:rPr>
      </w:pPr>
    </w:p>
    <w:p w:rsidR="002B7A0A" w:rsidRPr="00D138CB" w:rsidRDefault="002B7A0A" w:rsidP="002B7A0A">
      <w:pPr>
        <w:pStyle w:val="Antrat6"/>
        <w:rPr>
          <w:sz w:val="56"/>
          <w:szCs w:val="56"/>
        </w:rPr>
      </w:pPr>
      <w:r w:rsidRPr="00D138CB">
        <w:rPr>
          <w:sz w:val="56"/>
          <w:szCs w:val="56"/>
        </w:rPr>
        <w:t>A T A S K A I T O S</w:t>
      </w:r>
    </w:p>
    <w:p w:rsidR="002B7A0A" w:rsidRDefault="002B7A0A"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344E26" w:rsidRDefault="00344E26" w:rsidP="00B91CA6">
      <w:pPr>
        <w:pStyle w:val="prastasistinklapis"/>
        <w:ind w:left="4320"/>
        <w:rPr>
          <w:b/>
          <w:bCs/>
          <w:color w:val="008000"/>
          <w:sz w:val="36"/>
          <w:szCs w:val="36"/>
        </w:rPr>
      </w:pPr>
    </w:p>
    <w:p w:rsidR="00344E26" w:rsidRDefault="00344E26" w:rsidP="00B91CA6">
      <w:pPr>
        <w:pStyle w:val="prastasistinklapis"/>
        <w:ind w:left="4320"/>
        <w:rPr>
          <w:b/>
          <w:bCs/>
          <w:color w:val="008000"/>
          <w:sz w:val="36"/>
          <w:szCs w:val="36"/>
        </w:rPr>
      </w:pPr>
    </w:p>
    <w:p w:rsidR="00344E26" w:rsidRDefault="00344E26" w:rsidP="00344E26">
      <w:pPr>
        <w:pStyle w:val="prastasistinklapis"/>
        <w:ind w:firstLine="1296"/>
        <w:rPr>
          <w:b/>
          <w:bCs/>
          <w:color w:val="008000"/>
          <w:sz w:val="32"/>
          <w:szCs w:val="32"/>
        </w:rPr>
      </w:pPr>
      <w:r>
        <w:rPr>
          <w:b/>
          <w:bCs/>
          <w:color w:val="008000"/>
          <w:sz w:val="32"/>
          <w:szCs w:val="32"/>
        </w:rPr>
        <w:t xml:space="preserve">        </w:t>
      </w:r>
    </w:p>
    <w:p w:rsidR="00B91CA6" w:rsidRPr="00344E26" w:rsidRDefault="00344E26" w:rsidP="00344E26">
      <w:pPr>
        <w:pStyle w:val="prastasistinklapis"/>
        <w:ind w:firstLine="1296"/>
        <w:rPr>
          <w:b/>
          <w:bCs/>
          <w:color w:val="008000"/>
          <w:sz w:val="32"/>
          <w:szCs w:val="32"/>
        </w:rPr>
      </w:pPr>
      <w:r>
        <w:rPr>
          <w:b/>
          <w:bCs/>
          <w:color w:val="008000"/>
          <w:sz w:val="32"/>
          <w:szCs w:val="32"/>
        </w:rPr>
        <w:lastRenderedPageBreak/>
        <w:t xml:space="preserve">             </w:t>
      </w:r>
      <w:bookmarkStart w:id="0" w:name="_GoBack"/>
      <w:bookmarkEnd w:id="0"/>
      <w:r w:rsidRPr="00344E26">
        <w:rPr>
          <w:b/>
          <w:bCs/>
          <w:color w:val="008000"/>
          <w:sz w:val="32"/>
          <w:szCs w:val="32"/>
        </w:rPr>
        <w:t xml:space="preserve">LIETUVOS RESPUBLIKOS </w:t>
      </w:r>
      <w:r w:rsidRPr="00344E26">
        <w:rPr>
          <w:b/>
          <w:bCs/>
          <w:color w:val="008000"/>
          <w:sz w:val="32"/>
          <w:szCs w:val="32"/>
        </w:rPr>
        <w:t>S</w:t>
      </w:r>
      <w:r w:rsidR="00B91CA6" w:rsidRPr="00344E26">
        <w:rPr>
          <w:b/>
          <w:bCs/>
          <w:color w:val="008000"/>
          <w:sz w:val="32"/>
          <w:szCs w:val="32"/>
        </w:rPr>
        <w:t>EIMO</w:t>
      </w:r>
    </w:p>
    <w:p w:rsidR="00B91CA6" w:rsidRDefault="00B91CA6" w:rsidP="00B91CA6">
      <w:pPr>
        <w:pStyle w:val="prastasistinklapis"/>
        <w:jc w:val="center"/>
        <w:rPr>
          <w:b/>
          <w:bCs/>
          <w:color w:val="008000"/>
          <w:sz w:val="48"/>
          <w:szCs w:val="48"/>
        </w:rPr>
      </w:pPr>
      <w:r>
        <w:rPr>
          <w:b/>
          <w:bCs/>
          <w:color w:val="008000"/>
          <w:sz w:val="48"/>
          <w:szCs w:val="48"/>
        </w:rPr>
        <w:t>NARKOMANIJOS PREVENCIJOS KOMISIJOS</w:t>
      </w:r>
    </w:p>
    <w:p w:rsidR="00B91CA6" w:rsidRDefault="00B91CA6" w:rsidP="00B91CA6">
      <w:pPr>
        <w:pStyle w:val="prastasistinklapis"/>
        <w:jc w:val="center"/>
        <w:rPr>
          <w:b/>
          <w:bCs/>
          <w:color w:val="008000"/>
          <w:sz w:val="36"/>
          <w:szCs w:val="36"/>
        </w:rPr>
      </w:pPr>
      <w:r>
        <w:rPr>
          <w:b/>
          <w:bCs/>
          <w:color w:val="008000"/>
          <w:sz w:val="36"/>
          <w:szCs w:val="36"/>
        </w:rPr>
        <w:t>2005 METŲ VEIKLOS</w:t>
      </w:r>
    </w:p>
    <w:p w:rsidR="00B91CA6" w:rsidRDefault="00B91CA6" w:rsidP="00B91CA6">
      <w:pPr>
        <w:pStyle w:val="prastasistinklapis"/>
        <w:jc w:val="center"/>
        <w:rPr>
          <w:b/>
          <w:bCs/>
          <w:color w:val="008000"/>
          <w:sz w:val="36"/>
          <w:szCs w:val="36"/>
        </w:rPr>
      </w:pPr>
      <w:r>
        <w:rPr>
          <w:b/>
          <w:bCs/>
          <w:color w:val="008000"/>
          <w:sz w:val="36"/>
          <w:szCs w:val="36"/>
        </w:rPr>
        <w:t> </w:t>
      </w:r>
    </w:p>
    <w:p w:rsidR="00B91CA6" w:rsidRDefault="00B91CA6" w:rsidP="00B91CA6">
      <w:pPr>
        <w:pStyle w:val="prastasistinklapis"/>
        <w:jc w:val="center"/>
        <w:rPr>
          <w:b/>
          <w:bCs/>
          <w:color w:val="008000"/>
          <w:sz w:val="36"/>
          <w:szCs w:val="36"/>
        </w:rPr>
      </w:pPr>
      <w:r>
        <w:rPr>
          <w:b/>
          <w:bCs/>
          <w:color w:val="008000"/>
          <w:sz w:val="36"/>
          <w:szCs w:val="36"/>
        </w:rPr>
        <w:t> </w:t>
      </w:r>
    </w:p>
    <w:p w:rsidR="00B91CA6" w:rsidRDefault="00B91CA6" w:rsidP="00B91CA6">
      <w:pPr>
        <w:pStyle w:val="prastasistinklapis"/>
        <w:jc w:val="center"/>
        <w:rPr>
          <w:b/>
          <w:bCs/>
          <w:color w:val="008000"/>
          <w:sz w:val="48"/>
          <w:szCs w:val="48"/>
        </w:rPr>
      </w:pPr>
      <w:r>
        <w:rPr>
          <w:b/>
          <w:bCs/>
          <w:color w:val="008000"/>
          <w:sz w:val="48"/>
          <w:szCs w:val="48"/>
        </w:rPr>
        <w:t>A T A S K A I T A</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lastRenderedPageBreak/>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 </w:t>
      </w:r>
    </w:p>
    <w:p w:rsidR="00B91CA6" w:rsidRDefault="00B91CA6" w:rsidP="00B91CA6">
      <w:pPr>
        <w:pStyle w:val="prastasistinklapis"/>
        <w:jc w:val="center"/>
        <w:rPr>
          <w:rFonts w:ascii="TimesLT" w:hAnsi="TimesLT"/>
          <w:b/>
          <w:bCs/>
          <w:sz w:val="27"/>
          <w:szCs w:val="27"/>
        </w:rPr>
      </w:pPr>
      <w:r>
        <w:rPr>
          <w:rFonts w:ascii="TimesLT" w:hAnsi="TimesLT"/>
          <w:b/>
          <w:bCs/>
          <w:sz w:val="27"/>
          <w:szCs w:val="27"/>
        </w:rPr>
        <w:t>Seimo Narkomanijos prevencijos komisijos sudėtis</w:t>
      </w:r>
    </w:p>
    <w:p w:rsidR="00B91CA6" w:rsidRDefault="00B91CA6" w:rsidP="00B91CA6">
      <w:pPr>
        <w:pStyle w:val="prastasistinklapis"/>
      </w:pPr>
      <w:r>
        <w:t>Lietuvos Respublikos Seimas, vadovaudamasis Seimo statuto 71 straipsniu, 2004 m. gruodžio 16 d. nutarimu Nr. X-54 sudarė nuolatinę Seimo Narkomanijos prevencijos komisiją iš 11 narių:</w:t>
      </w:r>
    </w:p>
    <w:p w:rsidR="00B91CA6" w:rsidRDefault="00B91CA6" w:rsidP="00B91CA6">
      <w:pPr>
        <w:pStyle w:val="prastasistinklapis"/>
      </w:pPr>
      <w:r>
        <w:t>1) Aldona Balsienė;</w:t>
      </w:r>
    </w:p>
    <w:p w:rsidR="00B91CA6" w:rsidRDefault="00B91CA6" w:rsidP="00B91CA6">
      <w:pPr>
        <w:pStyle w:val="prastasistinklapis"/>
      </w:pPr>
      <w:r>
        <w:t>2) Rima Baškienė;</w:t>
      </w:r>
    </w:p>
    <w:p w:rsidR="00B91CA6" w:rsidRDefault="00B91CA6" w:rsidP="00B91CA6">
      <w:pPr>
        <w:pStyle w:val="prastasistinklapis"/>
      </w:pPr>
      <w:r>
        <w:t>3) Algis Kašėta;</w:t>
      </w:r>
    </w:p>
    <w:p w:rsidR="00B91CA6" w:rsidRDefault="00B91CA6" w:rsidP="00B91CA6">
      <w:pPr>
        <w:pStyle w:val="prastasistinklapis"/>
      </w:pPr>
      <w:r>
        <w:t>4) Vincė Vaidevutė Margevičienė;</w:t>
      </w:r>
    </w:p>
    <w:p w:rsidR="00B91CA6" w:rsidRDefault="00B91CA6" w:rsidP="00B91CA6">
      <w:pPr>
        <w:pStyle w:val="prastasistinklapis"/>
      </w:pPr>
      <w:r>
        <w:t>5) Milda Petrauskinė;</w:t>
      </w:r>
    </w:p>
    <w:p w:rsidR="00B91CA6" w:rsidRDefault="00B91CA6" w:rsidP="00B91CA6">
      <w:pPr>
        <w:pStyle w:val="prastasistinklapis"/>
      </w:pPr>
      <w:r>
        <w:t>6) Rimantas Remeika;</w:t>
      </w:r>
    </w:p>
    <w:p w:rsidR="00B91CA6" w:rsidRDefault="00B91CA6" w:rsidP="00B91CA6">
      <w:pPr>
        <w:pStyle w:val="prastasistinklapis"/>
      </w:pPr>
      <w:r>
        <w:t>7) Algis Rimas;</w:t>
      </w:r>
    </w:p>
    <w:p w:rsidR="00B91CA6" w:rsidRDefault="00B91CA6" w:rsidP="00B91CA6">
      <w:pPr>
        <w:pStyle w:val="prastasistinklapis"/>
      </w:pPr>
      <w:r>
        <w:t>8) Alvydas Sadeckas;</w:t>
      </w:r>
    </w:p>
    <w:p w:rsidR="00B91CA6" w:rsidRDefault="00B91CA6" w:rsidP="00B91CA6">
      <w:pPr>
        <w:pStyle w:val="prastasistinklapis"/>
      </w:pPr>
      <w:r>
        <w:t>9) Ramunė Visockytė;</w:t>
      </w:r>
    </w:p>
    <w:p w:rsidR="00B91CA6" w:rsidRDefault="00B91CA6" w:rsidP="00B91CA6">
      <w:pPr>
        <w:pStyle w:val="prastasistinklapis"/>
      </w:pPr>
      <w:r>
        <w:t>10) Jadvyga Zinkevičiūtė;</w:t>
      </w:r>
    </w:p>
    <w:p w:rsidR="00B91CA6" w:rsidRDefault="00B91CA6" w:rsidP="00B91CA6">
      <w:pPr>
        <w:pStyle w:val="prastasistinklapis"/>
      </w:pPr>
      <w:r>
        <w:t>11) Vidmantas Žiemelis.</w:t>
      </w:r>
    </w:p>
    <w:p w:rsidR="00B91CA6" w:rsidRDefault="00B91CA6" w:rsidP="00B91CA6">
      <w:pPr>
        <w:pStyle w:val="prastasistinklapis"/>
      </w:pPr>
      <w:r>
        <w:t>Pagal Lietuvos Respublikos Seimo statuto 74 straipsnio 1 dalį Seimo komisijų pirmininkai ir jų pavaduotojai renkami ir tvirtinami komitetams nustatyta tvarka.</w:t>
      </w:r>
    </w:p>
    <w:p w:rsidR="00B91CA6" w:rsidRDefault="00B91CA6" w:rsidP="00B91CA6">
      <w:pPr>
        <w:pStyle w:val="prastasistinklapis"/>
      </w:pPr>
      <w:r>
        <w:t xml:space="preserve">Lietuvos Respublikos Seimo Seniūnų sueiga 2004 m. gruodžio 21 d. savo nutarimu Nr. 12 pasiūlė Seimo Narkomanijos prevencijos komisijos pirmininku rinkti Darbo partijos frakcijos narį. </w:t>
      </w:r>
    </w:p>
    <w:p w:rsidR="00B91CA6" w:rsidRDefault="00B91CA6" w:rsidP="00B91CA6">
      <w:pPr>
        <w:pStyle w:val="prastasistinklapis"/>
      </w:pPr>
      <w:r>
        <w:lastRenderedPageBreak/>
        <w:t xml:space="preserve">Darbo partijos frakcija 2004 m. gruodžio 15 d. savo posėdyje nusprendė siūlyti Seimo Narkomanijos komisijos pirmininke rinkti frakcijos narę Seimo narę Ramunę Visockytę. </w:t>
      </w:r>
    </w:p>
    <w:p w:rsidR="00B91CA6" w:rsidRDefault="00B91CA6" w:rsidP="00B91CA6">
      <w:pPr>
        <w:pStyle w:val="prastasistinklapis"/>
      </w:pPr>
      <w:r>
        <w:t xml:space="preserve">2004 m. gruodžio 21d. Lietuvos Respublikos Seimo Narkomanijos prevencijos komisijos posėdyje komisijos pirmininke išrinkta Ramunė Visockytė. </w:t>
      </w:r>
    </w:p>
    <w:p w:rsidR="00B91CA6" w:rsidRDefault="00B91CA6" w:rsidP="00B91CA6">
      <w:pPr>
        <w:pStyle w:val="prastasistinklapis"/>
      </w:pPr>
      <w:r>
        <w:t>Lietuvos Respublikos Seimo Seniūnų sueiga 2005 m. vasario 8 d. nutarimu Nr. 1 patvirtino pasiūlymus komisijoms dėl frakcijų atstovavimo skiriant komisijų pirmininkų pavaduotojus ir pasiūlė Narkomanijos prevencijos komisijos pirmininko pavaduotoju rinkti Liberalų ir centro frakcijos narį.</w:t>
      </w:r>
    </w:p>
    <w:p w:rsidR="00B91CA6" w:rsidRDefault="00B91CA6" w:rsidP="00B91CA6">
      <w:pPr>
        <w:pStyle w:val="prastasistinklapis"/>
      </w:pPr>
      <w:r>
        <w:t>2005 m. vasario 15 d. Seimo Narkomanijos prevencijos komisijos posėdyje komisijos pirmininko pavaduotoju išrinktas Liberalų ir centro frakcijos narys Seimo narys Rimantas Remeika.</w:t>
      </w:r>
    </w:p>
    <w:p w:rsidR="00B91CA6" w:rsidRDefault="00B91CA6" w:rsidP="00B91CA6">
      <w:pPr>
        <w:pStyle w:val="prastasistinklapis"/>
      </w:pPr>
      <w:r>
        <w:t>Lietuvos Respublikos Seimas 2005 m. lapkričio 15 d. nutarimu Nr. X - 393 "Dėl Lietuvos Respublikos Seimo Narkomanijos prevencijos komisijos nuostatų patvirtinimo" patvirtino Lietuvos Respublikos Seimo Narkomanijos prevencijos komisijos ( toliau- Komisija) nuostatus.</w:t>
      </w:r>
    </w:p>
    <w:p w:rsidR="00B91CA6" w:rsidRDefault="00B91CA6" w:rsidP="00B91CA6">
      <w:pPr>
        <w:pStyle w:val="prastasistinklapis"/>
        <w:rPr>
          <w:b/>
          <w:bCs/>
          <w:sz w:val="27"/>
          <w:szCs w:val="27"/>
        </w:rPr>
      </w:pPr>
      <w:r>
        <w:rPr>
          <w:b/>
          <w:bCs/>
          <w:sz w:val="27"/>
          <w:szCs w:val="27"/>
        </w:rPr>
        <w:t>Komisijos veikla</w:t>
      </w:r>
    </w:p>
    <w:p w:rsidR="00B91CA6" w:rsidRDefault="00B91CA6" w:rsidP="00B91CA6">
      <w:pPr>
        <w:pStyle w:val="prastasistinklapis"/>
      </w:pPr>
      <w:r>
        <w:t xml:space="preserve">Lietuvos Respublikos Seimo 2005 metų pavasario ir rudens bei neeilinės sesijos metu Komisija surengė </w:t>
      </w:r>
      <w:r>
        <w:rPr>
          <w:b/>
          <w:bCs/>
          <w:i/>
          <w:iCs/>
        </w:rPr>
        <w:t>19</w:t>
      </w:r>
      <w:r>
        <w:t xml:space="preserve"> posėdžių, į kuriuos buvo kviečiami atsakingi institucijų pareigūnai, pasiūlymus teikę asmenys, visuomeninių ir kitų organizacijų atstovai.</w:t>
      </w:r>
    </w:p>
    <w:p w:rsidR="00B91CA6" w:rsidRDefault="00B91CA6" w:rsidP="00B91CA6">
      <w:pPr>
        <w:pStyle w:val="prastasistinklapis"/>
      </w:pPr>
      <w:r>
        <w:t xml:space="preserve">Ataskaitiniu laikotarpiu Komisija išsiuntė 190 ir gavo 144 raštus. Gauti 6 kreipimaisi: iš jų vienas pasirašytas 7 visuomeninių organizacijų, vienas - trijų visuomeninių organizacijų, 1 profesinių sąjungų atstovų, 1 raštas - savivaldybės tarybos. Gautas skundas, kurį pasirašė 198 asmenys. Gautas 1 kreipimasis, kurį pasirašė 159 asmenys. Visi skundai ir kreipimaisi - dėl narkomanijos prevencijos ir narkotikų kontrolės bei nacionalinių programų įgyvendinimo šiose srityse. </w:t>
      </w:r>
    </w:p>
    <w:p w:rsidR="00B91CA6" w:rsidRDefault="00B91CA6" w:rsidP="00B91CA6">
      <w:pPr>
        <w:pStyle w:val="prastasistinklapis"/>
        <w:rPr>
          <w:b/>
          <w:bCs/>
        </w:rPr>
      </w:pPr>
      <w:r>
        <w:t xml:space="preserve">Ataskaitiniu laikotarpiu Komisija surengė 2005 m. gegužės 20 d. tarptautinę konferenciją "Žalos mažinimo politikos alternatyvos"; </w:t>
      </w:r>
      <w:r>
        <w:rPr>
          <w:rFonts w:ascii="TimesLT" w:hAnsi="TimesLT"/>
        </w:rPr>
        <w:t>gegužės 21 d. t</w:t>
      </w:r>
      <w:r>
        <w:t xml:space="preserve">arptautinę konferenciją </w:t>
      </w:r>
      <w:r>
        <w:rPr>
          <w:rFonts w:ascii="TimesLT" w:hAnsi="TimesLT"/>
        </w:rPr>
        <w:t>"Narkotikų ir alkoholio prevencija darbo vietoje";</w:t>
      </w:r>
      <w:r>
        <w:t xml:space="preserve"> 2005 m.. rugsėjo 9 d. tarptautinį mokslinį - praktinį seminarą "Narkotikų teismai JAV: patirtis ir reikšmė kompleksiniam narkomanijos gydymui".</w:t>
      </w:r>
      <w:r>
        <w:rPr>
          <w:b/>
          <w:bCs/>
        </w:rPr>
        <w:t xml:space="preserve"> </w:t>
      </w:r>
    </w:p>
    <w:p w:rsidR="00B91CA6" w:rsidRDefault="00B91CA6" w:rsidP="00B91CA6">
      <w:pPr>
        <w:pStyle w:val="prastasistinklapis"/>
      </w:pPr>
      <w:r>
        <w:t>Komisija prisidėjo prie 2005 m. lapkričio 9 - 11 d. tarptautinės konferencijos "Marginalinių jaunimo grupių resocializacijos tinklo kūrimas geros praktikos pagrindu" rengimo.</w:t>
      </w:r>
    </w:p>
    <w:p w:rsidR="00B91CA6" w:rsidRDefault="00B91CA6" w:rsidP="00B91CA6">
      <w:pPr>
        <w:pStyle w:val="prastasistinklapis"/>
      </w:pPr>
      <w:r>
        <w:t xml:space="preserve">Komisija 2005 m. vasario 22 d. kartu su Kauno priklausomybės ligų centro vadovybe surengė apskritąjį diskusijų stalą Kaune. Komisijos nariai lankėsi Kauno priklausomybės ligų centre ir Kauno nepilnamečių tardymo izoliatoriuje - pataisos namuose. </w:t>
      </w:r>
    </w:p>
    <w:p w:rsidR="00B91CA6" w:rsidRDefault="00B91CA6" w:rsidP="00B91CA6">
      <w:pPr>
        <w:pStyle w:val="prastasistinklapis"/>
      </w:pPr>
      <w:r>
        <w:t xml:space="preserve">Komisija surengė bendrus posėdžius su Seimo komitetais ir Seimo komisijomis: </w:t>
      </w:r>
    </w:p>
    <w:p w:rsidR="00B91CA6" w:rsidRDefault="00B91CA6" w:rsidP="00B91CA6">
      <w:pPr>
        <w:pStyle w:val="prastasistinklapis"/>
      </w:pPr>
      <w:r>
        <w:t>Sveikatos reikalų, Europos reikalų, Švietimo, mokslo ir kultūros, Šeimos ir vaiko reikalų, Jaunimo ir sporto reikalų komisijomis.</w:t>
      </w:r>
    </w:p>
    <w:p w:rsidR="00B91CA6" w:rsidRDefault="00B91CA6" w:rsidP="00B91CA6">
      <w:pPr>
        <w:pStyle w:val="prastasistinklapis"/>
      </w:pPr>
      <w:r>
        <w:t xml:space="preserve">Komisija inicijavo </w:t>
      </w:r>
      <w:r>
        <w:rPr>
          <w:b/>
          <w:bCs/>
          <w:i/>
          <w:iCs/>
        </w:rPr>
        <w:t>2</w:t>
      </w:r>
      <w:r>
        <w:t xml:space="preserve"> darbo grupių sudarymą, kurias patvirtino Lietuvos Respublikos Seimo valdyba ir, kurių veikla pratęsta 2006 metais: </w:t>
      </w:r>
    </w:p>
    <w:p w:rsidR="00B91CA6" w:rsidRDefault="00B91CA6" w:rsidP="00B91CA6">
      <w:pPr>
        <w:pStyle w:val="prastasistinklapis"/>
      </w:pPr>
      <w:r>
        <w:t>1. Dėl asmenų, vartojančių narkotines ir psichotropines medžiagas, sveikatos priežiūros, reabilitacijos ir socialines reintegracijos prioritetinės krypties įgyvendinimo.</w:t>
      </w:r>
    </w:p>
    <w:p w:rsidR="00B91CA6" w:rsidRDefault="00B91CA6" w:rsidP="00B91CA6">
      <w:pPr>
        <w:pStyle w:val="prastasistinklapis"/>
      </w:pPr>
      <w:r>
        <w:t>2. Dėl nepilnamečių, linkusių nusikalsti ir nusikaltusių, minimalios ir vidutinės priežiūros sistemos sukūrimo, teisės aktų projektų parengimo.</w:t>
      </w:r>
    </w:p>
    <w:p w:rsidR="00B91CA6" w:rsidRDefault="00B91CA6" w:rsidP="00B91CA6">
      <w:pPr>
        <w:pStyle w:val="prastasistinklapis"/>
        <w:rPr>
          <w:b/>
          <w:bCs/>
        </w:rPr>
      </w:pPr>
      <w:r>
        <w:lastRenderedPageBreak/>
        <w:t xml:space="preserve">Komisijos veikla 2005 metais buvo vykdoma vadovaujantis patvirtintu 2005 metų veiklos planu ir pagal patvirtintas prioritetines veiklos kryptis: </w:t>
      </w:r>
    </w:p>
    <w:p w:rsidR="00B91CA6" w:rsidRDefault="00B91CA6" w:rsidP="00B91CA6">
      <w:pPr>
        <w:pStyle w:val="prastasistinklapis"/>
      </w:pPr>
      <w:r>
        <w:t>1. Tarptautinių konvencijų ir rekomendacijų įgyvendinimas kovos su neteisėta narkotinių priemonių ir psichotropinių medžiagų apyvarta nacionaliniuose įstatymuose .</w:t>
      </w:r>
    </w:p>
    <w:p w:rsidR="00B91CA6" w:rsidRDefault="00B91CA6" w:rsidP="00B91CA6">
      <w:pPr>
        <w:pStyle w:val="prastasistinklapis"/>
      </w:pPr>
      <w:r>
        <w:t>2. Valstybės politikos, orientuotos į narkomanijos prevenciją ir narkotikų kontrolę formavimas ir prioritetų nustatymas.</w:t>
      </w:r>
    </w:p>
    <w:p w:rsidR="00B91CA6" w:rsidRDefault="00B91CA6" w:rsidP="00B91CA6">
      <w:pPr>
        <w:pStyle w:val="prastasistinklapis"/>
      </w:pPr>
      <w:r>
        <w:t>3.Nacionalinės narkomanijos prevencijos ir narkotikų kontrolės strategijos subalansavimo ir priemonių įgyvendinimo Narkomanijos prevencijos komisijos kompetencijos srityje klausimų sprendimas.</w:t>
      </w:r>
    </w:p>
    <w:p w:rsidR="00B91CA6" w:rsidRDefault="00B91CA6" w:rsidP="00B91CA6">
      <w:pPr>
        <w:pStyle w:val="prastasistinklapis"/>
      </w:pPr>
      <w:r>
        <w:t>4. Naujų įstatymų bei kitų teisės aktų, reikalingų narkomanijos prevencijos ir narkotikų kontrolės uždavinių įgyvendinimui pirminei narkomanijos prevencijai tarp vaikų ir jaunimo, neteisėtos narkotinių ir psichotropinių medžiagų pasiūlos mažinimui, taip pat asmenų, vartojančių narkotines ir psichotropines medžiagas, sveikatos priežiūrai, reabilitacijai ir socialinei reintegracijai spręsti bei atsakomybės už vaiko įtraukimą vartoti psichotropines, narkotines medžiagas ir alkoholį sugriežtinimui.</w:t>
      </w:r>
    </w:p>
    <w:p w:rsidR="00B91CA6" w:rsidRDefault="00B91CA6" w:rsidP="00B91CA6">
      <w:pPr>
        <w:pStyle w:val="prastasistinklapis"/>
        <w:rPr>
          <w:rFonts w:ascii="TimesLT" w:hAnsi="TimesLT"/>
        </w:rPr>
      </w:pPr>
      <w:r>
        <w:rPr>
          <w:rFonts w:ascii="TimesLT" w:hAnsi="TimesLT"/>
        </w:rPr>
        <w:t>5. Diskusijų ir konferencijų rengimas.</w:t>
      </w:r>
    </w:p>
    <w:p w:rsidR="00B91CA6" w:rsidRDefault="00B91CA6" w:rsidP="00B91CA6">
      <w:pPr>
        <w:pStyle w:val="prastasistinklapis"/>
        <w:ind w:left="2880"/>
        <w:rPr>
          <w:b/>
          <w:bCs/>
        </w:rPr>
      </w:pPr>
      <w:r>
        <w:rPr>
          <w:b/>
          <w:bCs/>
        </w:rPr>
        <w:t>Dėl narkomanijos prevencijos ir narkotikų kontrolės situacijos</w:t>
      </w:r>
    </w:p>
    <w:p w:rsidR="00B91CA6" w:rsidRDefault="00B91CA6" w:rsidP="00B91CA6">
      <w:pPr>
        <w:pStyle w:val="prastasistinklapis"/>
      </w:pPr>
      <w:r>
        <w:t xml:space="preserve">Komisija, vykdydama parlamentinę kontrolę narkomanijos prevencijos ir narkotikų kontrolės srityje, analizavo gautą informaciją kaip yra vykdomos Lietuvos Respublikos Seimo patvirtintoje </w:t>
      </w:r>
      <w:r>
        <w:rPr>
          <w:b/>
          <w:bCs/>
        </w:rPr>
        <w:t>Programoje</w:t>
      </w:r>
      <w:r>
        <w:t xml:space="preserve"> iškirtos 4 prioritetines narkotikų kontrolės ir narkomanijos prevencijos kryptis: pirminė narkomanijos prevencija tarp vaikų ir jaunimo; neteisėtos narkotinių ir psichotropinių medžiagų pasiūlos mažinimas; asmenų, vartojančių narkotines ir psichotropines medžiagas, sveikatos priežiūra, reabilitacija ir socialinė reintegracija; moksliniai tyrimai ir informacinės sistemos plėtra.</w:t>
      </w:r>
    </w:p>
    <w:p w:rsidR="00B91CA6" w:rsidRDefault="00B91CA6" w:rsidP="00B91CA6">
      <w:pPr>
        <w:pStyle w:val="prastasistinklapis"/>
      </w:pPr>
      <w:r>
        <w:t>Surinkus informaciją apie esamą situaciją, Komisija posėdžiuose padarė išvadas ir priėmė sprendimus, kurie išdėstyti šios ataskaitos skyriuje "Parlamentinė kontrolė".</w:t>
      </w:r>
    </w:p>
    <w:p w:rsidR="00B91CA6" w:rsidRDefault="00B91CA6" w:rsidP="00B91CA6">
      <w:pPr>
        <w:pStyle w:val="prastasistinklapis"/>
      </w:pPr>
      <w:r>
        <w:t xml:space="preserve">Lietuva sintetinių narkotikų nelegalioje apyvartoje Europos Sąjungos šalyse užima ketvirtą vietą (net 4 proc. ES šalyse konfiskuotų narkotikų buvo pagaminti Lietuvoje). Šalyje veikia pogrindinės sintetinių narkotikų gamybos laboratorijos. Sintetinių narkotikų rinka užima apie 40 proc. visos narkotikų rinkos Lietuvoje. </w:t>
      </w:r>
    </w:p>
    <w:p w:rsidR="00B91CA6" w:rsidRDefault="00B91CA6" w:rsidP="00B91CA6">
      <w:pPr>
        <w:pStyle w:val="prastasistinklapis"/>
      </w:pPr>
      <w:r>
        <w:t xml:space="preserve">Daug Lietuvos piliečių užsienyje yra sulaikomi gabenant narkotikus. Ekspertų duomenimis nelegali narkotikų apyvarta šalyje siekia per 500 mln. litų. Narkotikų prekeiviai Lietuvoje sukūrė gerai organizuotą narkotikų tiekimo tinklą, apsirūpinę naujausiomis technologijomis ir įranga, kuriami efektyvūs platinimo būdai. 2004 metais iš 93 tūkst. užregistruotų nusikaltimų, susijusių su narkotikais užregistruota 1,7 proc. 2004 metais įvykdyta 50 tūkst. vagysčių. </w:t>
      </w:r>
    </w:p>
    <w:p w:rsidR="00B91CA6" w:rsidRDefault="00B91CA6" w:rsidP="00B91CA6">
      <w:pPr>
        <w:pStyle w:val="prastasistinklapis"/>
      </w:pPr>
      <w:r>
        <w:t>Per pastaruosius 5 metus nusikaltimų, susijusių su narkotikais, skaičius išaugo 3 kartus.</w:t>
      </w:r>
    </w:p>
    <w:p w:rsidR="00B91CA6" w:rsidRDefault="00B91CA6" w:rsidP="00B91CA6">
      <w:pPr>
        <w:pStyle w:val="prastasistinklapis"/>
      </w:pPr>
      <w:r>
        <w:t xml:space="preserve">Lietuvoje, kaip ir visame Baltijos regione, nelegalioje narkotikų rinkoje didžiąją dalį užima sintetiniai narkotikai. Plečiasi sintetinių narkotikų gabenimo geografija. Be jau įprastų sintetinių narkotikų paskirties šalių - Švedijos ir Norvegijos, šie narkotikai iš Lietuvos gabenami net į Islandiją. 2004 m. vasario 11 d. Islandijoje Norvegijos jūroje aptiktas Lietuvos Respublikos piliečio kūnas. Buvo nustatyta, kad 29 m. vyras mirė sustojus skrandžio funkcijoms. Jo skrandyje aptikta apie 400 g psichotropinės medžiagos - amfetamino. </w:t>
      </w:r>
    </w:p>
    <w:p w:rsidR="00B91CA6" w:rsidRDefault="00B91CA6" w:rsidP="00B91CA6">
      <w:pPr>
        <w:pStyle w:val="prastasistinklapis"/>
      </w:pPr>
      <w:r>
        <w:t xml:space="preserve">Viena iš tendencijų gabenant sintetinius narkotikus yra narkotikų gabenimas krovininiu transportu. 2004 ir 2005 metais užfiksuota atvejų, kai sintetiniai narkotikai iš Lietuvos į Švediją gabenti </w:t>
      </w:r>
      <w:r>
        <w:lastRenderedPageBreak/>
        <w:t>rinktiniuose kroviniuose. Tikėtina, kad narkotikų gabenimas kroviniuose ir ypač tokio tipo, kuriems patikrinti reikalingos didelės darbo ir laiko sąnaudos, specialūs įrenginiai, ateityje taps vis populiaresni.</w:t>
      </w:r>
    </w:p>
    <w:p w:rsidR="00B91CA6" w:rsidRDefault="00B91CA6" w:rsidP="00B91CA6">
      <w:pPr>
        <w:pStyle w:val="prastasistinklapis"/>
      </w:pPr>
      <w:r>
        <w:t>Turimais duomenimis, užsienio šalyse – Ispanijoje, Olandijoje, Vokietijoje, Švedijoje ir Norvegijoje – šalia vietinių nusikalstamų grupuočių (albanų, turkų, buvusios Jugoslavijos piliečių) įsitvirtina atvykėliai iš Rytų Europos šalių, tarp jų ir iš Lietuvos.</w:t>
      </w:r>
    </w:p>
    <w:p w:rsidR="00B91CA6" w:rsidRDefault="00B91CA6" w:rsidP="00B91CA6">
      <w:pPr>
        <w:pStyle w:val="prastasistinklapis"/>
      </w:pPr>
      <w:r>
        <w:t>Pagrindinės šalys, iš kurių į Lietuvą gabenami sintetiniai narkotikai - „ekstazy“, išlieka Olandija ir Belgija. Sintetiniai narkotikai - amfetaminas ir metamfetaminas gaminami Lietuvoje nelegaliai veikiančiose laboratorijose ir iš Lietuvos gabenami į Skandinavijos šalis bei Rusiją ir Baltarusiją. Prekursoriai sintetiniams narkotikams pagaminti į Lietuvą patenka iš Rusijos ir Ukrainos. Dalis prekursorių toliau gabenami į Lenkiją arba Olandiją, kur išmainomi į pagamintą amfetaminą arba „ekstazy“ tabletes.</w:t>
      </w:r>
    </w:p>
    <w:p w:rsidR="00B91CA6" w:rsidRDefault="00B91CA6" w:rsidP="00B91CA6">
      <w:pPr>
        <w:pStyle w:val="prastasistinklapis"/>
      </w:pPr>
      <w:r>
        <w:t>Remiantis Muitinės kriminalinės tarnybos pateikta informacija, 2004 m. Norvegijoje buvo paimta apie 6 litrus skystos amfetamino bazės (amfetaminas skysčio pavidalu) ir sieros rūgšties. Iš tokio kiekio skysčio būtų galima pagaminti apie 10 kg 100 proc. amfetamino miltelių jį neutralizavus sieros rūgštimi. Narkotikai buvo paslėpti automobilio degalų bake įrengtoje slėptuvėje. Tai rodo, kad pastaruoju metu Lietuvos nusikalstamos grupuotės Skandinavijos šalyse bando įrengti sintetinių narkotikų laboratorijas ir vietoje gaminti šios rūšies narkotikus.</w:t>
      </w:r>
    </w:p>
    <w:p w:rsidR="00B91CA6" w:rsidRDefault="00B91CA6" w:rsidP="00B91CA6">
      <w:pPr>
        <w:pStyle w:val="prastasistinklapis"/>
      </w:pPr>
      <w:r>
        <w:t xml:space="preserve">2004 metų balandžio 18–30 dienomis vyko tarptautinė muitinių operacija ,,SWELIT”, kurios tikslas – kova su narkotikų gabenimu lengvaisiais automobiliais iš Lietuvos į Švediją. Operacijoje dalyvavo Švedijos, Lietuvos, Latvijos ir Estijos muitinių administracijos. </w:t>
      </w:r>
    </w:p>
    <w:p w:rsidR="00B91CA6" w:rsidRDefault="00B91CA6" w:rsidP="00B91CA6">
      <w:pPr>
        <w:pStyle w:val="prastasistinklapis"/>
      </w:pPr>
      <w:r>
        <w:t xml:space="preserve">Operacijos metu Švedijos pietinėje dalyje, Skanės regione, 2004 metų balandžio 22 d. Lietuvoje registruotame kempingo automobilyje įrengtoje slėptuvėje rasta apie 12 kg psichotropinės medžiagos amfetamino. Šiuo automobiliu vyko Lietuvos Respublikos piliečiai, narkotikai buvo gabenti iš Lietuvos per Lenkiją, Vokietiją, Daniją. Švedijos muitinėje dėl šio fakto buvo pradėtas ikiteisminis tyrimas. </w:t>
      </w:r>
    </w:p>
    <w:p w:rsidR="00B91CA6" w:rsidRDefault="00B91CA6" w:rsidP="00B91CA6">
      <w:pPr>
        <w:pStyle w:val="prastasistinklapis"/>
      </w:pPr>
      <w:r>
        <w:t>Muitinės kriminalinei tarnybai bendradarbiaujant su Lietuvos kriminalinės policijos biuro Organizuoto nusikalstamumo tyrimo vyriausiosios valdybos Narkotikų kontrolės valdybos, Švedijos kriminalinės policijos pareigūnais, Švedijoje ir Lietuvoje sulaikyta 11 asmenų nusikalstama grupuotė, konfiskuota apie 20 kg amfetamino</w:t>
      </w:r>
      <w:r>
        <w:rPr>
          <w:b/>
          <w:bCs/>
        </w:rPr>
        <w:t>.</w:t>
      </w:r>
      <w:r>
        <w:t xml:space="preserve"> </w:t>
      </w:r>
    </w:p>
    <w:p w:rsidR="00B91CA6" w:rsidRDefault="00B91CA6" w:rsidP="00B91CA6">
      <w:pPr>
        <w:pStyle w:val="prastasistinklapis"/>
      </w:pPr>
      <w:r>
        <w:t xml:space="preserve">Remiantis Muitinės kriminalinės tarnybos informacija ir bendradarbiaujant su Švedijos ir Norvegijos muitinės ir policijos pareigūnais, sulaikyta nusikalstama grupuotė, kurią sudarė 5 LR piliečiai ir 2 Norvegijos piliečiai. Įvykio vietoje Norvegijoje rasta per 6 litrus psichotropinės medžiagos – amfetamino bazės. Norvegijoje ir Lietuvoje buvo pradėti ikiteisminiai tyrimai. </w:t>
      </w:r>
    </w:p>
    <w:p w:rsidR="00B91CA6" w:rsidRDefault="00B91CA6" w:rsidP="00B91CA6">
      <w:pPr>
        <w:pStyle w:val="prastasistinklapis"/>
      </w:pPr>
      <w:r>
        <w:t>Remiantis turima informacija ir išanalizavus ankstesnius sintetinių narkotikų paėmimo atvejus, galima teigti, kad pastaruoju metu yra populiaresnis „pietinis“ sintetinių narkotikų gabenimo kelias iš Lietuvos į Švediją ir Norvegiją, t. y. per Lenkiją, Vokietiją ir Daniją.</w:t>
      </w:r>
    </w:p>
    <w:p w:rsidR="00B91CA6" w:rsidRDefault="00B91CA6" w:rsidP="00B91CA6">
      <w:pPr>
        <w:pStyle w:val="prastasistinklapis"/>
      </w:pPr>
      <w:r>
        <w:t xml:space="preserve">Lietuvos piliečiai organizuoja narkotikų gabenimo ir platinimo verslą minėtose šalyse. Analogiška situacija klostosi ir Pietų Amerikos šalyse, kur pastebimas Rusijos nusikalstamų grupuočių skverbimasis į vietinę kokaino rinką. </w:t>
      </w:r>
    </w:p>
    <w:p w:rsidR="00B91CA6" w:rsidRDefault="00B91CA6" w:rsidP="00B91CA6">
      <w:pPr>
        <w:pStyle w:val="prastasistinklapis"/>
      </w:pPr>
      <w:r>
        <w:t xml:space="preserve">Narkotikų gabenimo organizavimas įgauna daugiau logistikos elementų. Šio reiškinio tendencijos pastebimos gabenant kokainą iš Pietų Amerikos į Lietuvą ir sintetinius narkotikus – iš Lietuvos į Skandinavijos šalis. </w:t>
      </w:r>
    </w:p>
    <w:p w:rsidR="00B91CA6" w:rsidRDefault="00B91CA6" w:rsidP="00B91CA6">
      <w:pPr>
        <w:pStyle w:val="prastasistinklapis"/>
      </w:pPr>
      <w:r>
        <w:t xml:space="preserve">Pagrindinės kokaino kilmės šalys išlieka Kolumbija, Ekvadoras, Brazilija ir Karibų jūros regiono šalys. Populiariausias kokaino gabenimo būdas iš Pietų Amerikos į Europos valstybes yra oro </w:t>
      </w:r>
      <w:r>
        <w:lastRenderedPageBreak/>
        <w:t>transportas. Kokainas šiuo būdu gabenamas ant kūno, prarijus skrandyje, asmeniniame bagaže, kroviniuose. Europos oro transporto sektoriuje daugiausia kokaino išimama Olandijos, Vokietijos ir Ispanijos oro uostuose.</w:t>
      </w:r>
    </w:p>
    <w:p w:rsidR="00B91CA6" w:rsidRDefault="00B91CA6" w:rsidP="00B91CA6">
      <w:pPr>
        <w:pStyle w:val="prastasistinklapis"/>
      </w:pPr>
      <w:r>
        <w:t>Turimais duomenimis pasikeitė kokaino, praryto skrandyje, gabenimo būdas iš Pietų Amerikos į Lietuvą, t.y. kokaino kurjeriai narkotikus nugabena iki tam tikro tarpinio punkto, kuriame pastarieji išimami iš skrandžio. Vėliau šie narkotikai perduodami kitiems kurjeriams.</w:t>
      </w:r>
    </w:p>
    <w:p w:rsidR="00B91CA6" w:rsidRDefault="00B91CA6" w:rsidP="00B91CA6">
      <w:pPr>
        <w:pStyle w:val="prastasistinklapis"/>
      </w:pPr>
      <w:r>
        <w:t xml:space="preserve">Oro transportas dažnai naudojamas narkotikams gabenti. Iš dalies tai lemia krovinių, gabenamų oro transportu, kurjerių kompanijų gabenamų siuntų srauto intensyvėjimas bei tai, jog oro transportu gabenamų krovinių ir siuntų muitinės procedūros turi būti atliekamos greitai. Todėl greitas informacijos apsikeitimas tampa ypač aktualus siekiant vykdyti tinkamą muitinės kontrolę oro transporto sektoriuje. </w:t>
      </w:r>
    </w:p>
    <w:p w:rsidR="00B91CA6" w:rsidRDefault="00B91CA6" w:rsidP="00B91CA6">
      <w:pPr>
        <w:pStyle w:val="prastasistinklapis"/>
      </w:pPr>
      <w:r>
        <w:t xml:space="preserve">Pastaraisiais metais Europos oro uostuose paimtų narkotikų kiekiai (išskyrus 2003 m.) išliko nepakitę, tačiau kokaino konfiskavimo atvejų ir narkotikų kiekis išaugo. </w:t>
      </w:r>
    </w:p>
    <w:p w:rsidR="00B91CA6" w:rsidRDefault="00B91CA6" w:rsidP="00B91CA6">
      <w:pPr>
        <w:pStyle w:val="prastasistinklapis"/>
      </w:pPr>
      <w:r>
        <w:t>2003 m. Europos oro uostuose užregistruoti 4291 kokaino konfiskavimo atvejai, o tai sudaro 79,8 proc. visų paėmimo atvejų ir 47 proc. visų paimtų narkotikų kiekio. Iš 14855 kg konfiskuoto kokaino 13,5 proc. buvo aptikta kroviniuose ir 0,69 proc. kurjerių siuntose.</w:t>
      </w:r>
    </w:p>
    <w:p w:rsidR="00B91CA6" w:rsidRDefault="00B91CA6" w:rsidP="00B91CA6">
      <w:pPr>
        <w:pStyle w:val="prastasistinklapis"/>
      </w:pPr>
      <w:r>
        <w:t>2004 metų rugpjūčio mėnesį Reikjavike (Islandija) sulaikytas Lietuvos Respublikos pilietis, bandęs į šalį įvežti 300 g narkotinės medžiagos - kokaino.</w:t>
      </w:r>
    </w:p>
    <w:p w:rsidR="00B91CA6" w:rsidRDefault="00B91CA6" w:rsidP="00B91CA6">
      <w:pPr>
        <w:pStyle w:val="prastasistinklapis"/>
      </w:pPr>
      <w:r>
        <w:t>Bendradarbiaujant su Valstybės saugumo departamento pareigūnais Kauno teritorinės muitinės Lazdijų kelio poste automobilyje, kuris vyko iš Vokietijos, įrengtoje slėptuvėje aptikta 12,57 kg narkotinės medžiagos kokaino, sulaikyti 7 Kaune veikiančios nusikalstamos grupuotės nariai, organizavę ir vykdę šią nusikalstamą veiką.</w:t>
      </w:r>
    </w:p>
    <w:p w:rsidR="00B91CA6" w:rsidRDefault="00B91CA6" w:rsidP="00B91CA6">
      <w:pPr>
        <w:pStyle w:val="prastasistinklapis"/>
      </w:pPr>
      <w:r>
        <w:t xml:space="preserve">Iš visų opiatų rūšių heroino išėmimai Europoje sudaro per 90 proc. 2004 m. Europos Sąjungos šalyse padaugėjo heroino konfiskavimo atvejų dėl Afganistane užauginto rekordinio aguonų derliaus. Heroino gabenimas krovininiu transportu išlieka populiariausias. Tačiau Lietuvoje heroinas nėra toks populiarus kaip sintetiniai narkotikai ir šio narkotiko išėmimo atvejų yra nedaug. Dalis į Lietuvą patekusio heroino toliau gabenama į Kaliningrado sritį ir Vakarų Europos šalis, tačiau didžioji dalis heroino į šias šalis patenka „Balkanų“ keliu. </w:t>
      </w:r>
    </w:p>
    <w:p w:rsidR="00B91CA6" w:rsidRDefault="00B91CA6" w:rsidP="00B91CA6">
      <w:pPr>
        <w:pStyle w:val="prastasistinklapis"/>
      </w:pPr>
      <w:r>
        <w:t xml:space="preserve">Manoma, kad iš pagrindinės heroino šalies gamintojos Afganistano į pasaulinę rinką patenka apie 75 proc. visame pasaulyje pagaminamo heroino. Kontrolės priemones Afganistane apsunkina saugumo problemos, korupcija ir prasti administraciniai teisėsaugos institucijų gebėjimai. Jungtinių Tautų Narkotikų ir nusikaltimų tarnybos bei Afganistano Vyriausybės iniciatyva atliktos ūkininkų, auginančių aguonų pasėlius, apklausos metu buvo nustatyta, kad 2004 m. 69 proc. ūkininkų padidino aguonų pasėlių apimtį ir 2004 m. iš aguonų galvučių išgauto opijaus kiekis praėjusiais metais išaugo iki 4200 tonų (2003 m. – 3600 tonų). Iš šio kiekio opijaus buvo išgauta apie 400 tonų heroino. Todėl galima daryti išvadą, kad 2005 m. didėjo heroino kontrabanda iš Centrinės Azijos šalių į Europos valstybes tarp jų ir į Lietuvą grėsmė. </w:t>
      </w:r>
    </w:p>
    <w:p w:rsidR="00B91CA6" w:rsidRDefault="00B91CA6" w:rsidP="00B91CA6">
      <w:pPr>
        <w:pStyle w:val="prastasistinklapis"/>
        <w:rPr>
          <w:b/>
          <w:bCs/>
        </w:rPr>
      </w:pPr>
      <w:r>
        <w:t>2002–2003 metais Skandinavijos šalyse buvo stebimas medikamentų, turinčių psichotropinių medžiagų „rohypnolio“ gabenimas iš Lietuvos, kuris į mūsų šalį patekdavo iš Rusijos. Sugriežtinus legalią rohypnolio“ apyvartą, o būtent 2002 m. Šveicarijos farmacijos įmonei „Roche“ nutraukus „rohypnolio“ eksportą į Rusiją, pradėta nelegali į „rohypnolį“ panašių medikamentų gamyba šioje šalyje.</w:t>
      </w:r>
      <w:r>
        <w:rPr>
          <w:b/>
          <w:bCs/>
        </w:rPr>
        <w:t xml:space="preserve"> </w:t>
      </w:r>
    </w:p>
    <w:p w:rsidR="00B91CA6" w:rsidRDefault="00B91CA6" w:rsidP="00B91CA6">
      <w:pPr>
        <w:pStyle w:val="prastasistinklapis"/>
      </w:pPr>
      <w:r>
        <w:t xml:space="preserve">2004 metų vasario mėn. Baltarusijoje paimta apie 54 kg į „rohypnolį“ panašių tablečių. Narkotikus iš Rusijos per Baltarusiją į Lietuvą gabeno Lietuvos Respublikos piliečiai krovininio automobilio kabinoje. Remiantis ankstesniais „rohypnolio“ tablečių sulaikymo atvejais galima teigti, kad pastaroji </w:t>
      </w:r>
      <w:r>
        <w:lastRenderedPageBreak/>
        <w:t xml:space="preserve">siunta buvo skirta Švedijos arba Norvegijos rinkai, kadangi Lietuvoje nelegalioje narkotikų apyvartoje „rohypnolis“ nėra populiarus. </w:t>
      </w:r>
    </w:p>
    <w:p w:rsidR="00B91CA6" w:rsidRDefault="00B91CA6" w:rsidP="00B91CA6">
      <w:pPr>
        <w:pStyle w:val="prastasistinklapis"/>
      </w:pPr>
      <w:r>
        <w:t>2004 m. Lietuvos muitinėje buvo pradėti 5 ikiteisminiai tyrimai dėl narkotikų kontrabandos ir 1 ikiteisminis tyrimas dėl neteisėto narkotinių medžiagų disponavimo, sulaikyta 19 asmenų.</w:t>
      </w:r>
    </w:p>
    <w:p w:rsidR="00B91CA6" w:rsidRDefault="00B91CA6" w:rsidP="00B91CA6">
      <w:pPr>
        <w:pStyle w:val="prastasistinklapis"/>
      </w:pPr>
      <w:r>
        <w:t xml:space="preserve">2004 m. Lietuvos muitinė dalyvavo 4 tarptautinėse muitinių operacijose, nukreiptose narkotikų kontrabandos užkardymui. Jų metu Lietuvoje aptikti suklastoti LR pasai, JAV vizos bei neužpildyti gimimo liudijimų blankai. </w:t>
      </w:r>
    </w:p>
    <w:p w:rsidR="00B91CA6" w:rsidRDefault="00B91CA6" w:rsidP="00B91CA6">
      <w:pPr>
        <w:pStyle w:val="prastasistinklapis"/>
      </w:pPr>
      <w:r>
        <w:t xml:space="preserve">Vykdant narkotikų kontrolę Lietuvos muitinės atstovai dalyvauja Baltijos jūros regiono valstybių „Task Force“ projekto Operatyvinio komiteto sekretoriato ekspertų darbo grupėje narkotikų klausimais. </w:t>
      </w:r>
    </w:p>
    <w:p w:rsidR="00B91CA6" w:rsidRDefault="00B91CA6" w:rsidP="00B91CA6">
      <w:pPr>
        <w:pStyle w:val="prastasistinklapis"/>
        <w:rPr>
          <w:b/>
          <w:bCs/>
        </w:rPr>
      </w:pPr>
      <w:r>
        <w:t>Lietuvos muitinė yra prisijungusi prie Europos šalių ir PMO administruojamų informacinių sistemų, skirtų keistis informacija, susijusia su narkotikais. 2004 m. baigėsi Phare regioninis narkotikų kontrolės projektas, kurį įgyvendino Euromuitinė.</w:t>
      </w:r>
      <w:r>
        <w:rPr>
          <w:b/>
          <w:bCs/>
        </w:rPr>
        <w:t xml:space="preserve"> </w:t>
      </w:r>
      <w:r>
        <w:t>Projektas pagerino bendradarbiavimą tarp nacionalinių ir tarptautinių institucijų – muitinės, pasienio policijos, kriminalinės policijos, kitų teisėsaugos institucijų, atsakingų už narkotikų kontrolę, gebėjimus tokiose srityse, kaip narkotikų aptikimas, narkotikų tiekimo kanalų nutraukimas, nelegalios narkotikų prekybos organizacijų išardymas ir narkotikų prekeivių suėmimas.</w:t>
      </w:r>
      <w:r>
        <w:rPr>
          <w:b/>
          <w:bCs/>
        </w:rPr>
        <w:t xml:space="preserve"> </w:t>
      </w:r>
    </w:p>
    <w:p w:rsidR="00B91CA6" w:rsidRDefault="00B91CA6" w:rsidP="00B91CA6">
      <w:pPr>
        <w:pStyle w:val="prastasistinklapis"/>
      </w:pPr>
      <w:r>
        <w:t>Siekiant efektyviau tirti nusikaltimus, susijusius su heroino kontrabanda iš Pietų Azijos šalių į Lietuvą, pradėta intensyviau bendradarbiauti su Baltarusijos, Kaliningrado srities teisėsaugos institucijomis keičiantis informacija bei atliekant bendrus tyrimus. 2004 m. Lietuvos muitinė prisijungė prie Europolo sintetinių narkotikų analitinio darbo failo „Case“, kurio rėmuose ketinama dalyvauti ekspertų pasitarimuose, teikti bei gauti informaciją, susijusią su sintetinių narkotikų neteisėta apyvarta.</w:t>
      </w:r>
    </w:p>
    <w:p w:rsidR="00B91CA6" w:rsidRDefault="00B91CA6" w:rsidP="00B91CA6">
      <w:pPr>
        <w:pStyle w:val="prastasistinklapis"/>
      </w:pPr>
      <w:r>
        <w:t xml:space="preserve">2004 m. Lietuvos muitinės pareigūnai dalyvavo 3 pagal PHARE projektą seminaruose ir 1 OLAF organizuotame seminare. </w:t>
      </w:r>
    </w:p>
    <w:p w:rsidR="00B91CA6" w:rsidRDefault="00B91CA6" w:rsidP="00B91CA6">
      <w:pPr>
        <w:pStyle w:val="prastasistinklapis"/>
      </w:pPr>
      <w:r>
        <w:t xml:space="preserve">2004 m. Lietuvos muitinė išaiškino vieną pinigų kontrabandos atvejį, konfiskuota 10 000 EUR, dalyvavo 4 tarptautinėse muitinių operacijose, nukreiptose narkotikų kontrabandos užkardymui. </w:t>
      </w:r>
    </w:p>
    <w:p w:rsidR="00B91CA6" w:rsidRDefault="00B91CA6" w:rsidP="00B91CA6">
      <w:pPr>
        <w:pStyle w:val="prastasistinklapis"/>
      </w:pPr>
      <w:r>
        <w:t>Tačiau, 2004-2005 m. Lietuvos muitinė neatliko laivų patikrinimų pasitelkiant narus (2006 m. investicijų projekte yra numatyta įsigyti mažo tonažo patrulinį katerį, skirtą laivų tikrinimui ir Klaipėdos jūrų uosto akvatorijos patruliavimui, įtraukta atitinkama narų įranga, kuri leis muitinės pareigūnams atlikti laivų povandeninės dalies apžiūrą).</w:t>
      </w:r>
    </w:p>
    <w:p w:rsidR="00B91CA6" w:rsidRDefault="00B91CA6" w:rsidP="00B91CA6">
      <w:pPr>
        <w:pStyle w:val="prastasistinklapis"/>
      </w:pPr>
      <w:r>
        <w:t>Sienos apsaugoje 2003-2004 metų situacijoje dėl narkotinių ir psichotropinių medžiagų sulaikymų mažėjimo, galima išskirti šias priežastis:</w:t>
      </w:r>
    </w:p>
    <w:p w:rsidR="00B91CA6" w:rsidRDefault="00B91CA6" w:rsidP="00B91CA6">
      <w:pPr>
        <w:pStyle w:val="prastasistinklapis"/>
      </w:pPr>
      <w:r>
        <w:t xml:space="preserve">Supaprastinus vidinių sienų kontrolę buvo „atverti“ keliai narkotinių medžiagų kontrabandininkams. Anksčiau narkotikus gabeno Vidurinės Azijos ir Kaukazo piliečiai, o pasikeitus politinei situacijai (įstojus į Europos Sąjungą), šiuo verslu dažniau pradėjo užsiiminėti Europos Sąjungos piliečiai, kurių kontrolė, vykstant per vidines sienas, yra supaprastinta. </w:t>
      </w:r>
    </w:p>
    <w:p w:rsidR="00B91CA6" w:rsidRDefault="00B91CA6" w:rsidP="00B91CA6">
      <w:pPr>
        <w:pStyle w:val="prastasistinklapis"/>
      </w:pPr>
      <w:r>
        <w:t xml:space="preserve">Suaktyvinus operatyvinį darbą pasienyje, narkotinių medžiagų gabentojai ir narkomanai keičia savo taktiką, tobulina narkotikų slėpimo vietas, siekia suklaidinti pareigūnus. </w:t>
      </w:r>
    </w:p>
    <w:p w:rsidR="00B91CA6" w:rsidRDefault="00B91CA6" w:rsidP="00B91CA6">
      <w:pPr>
        <w:pStyle w:val="prastasistinklapis"/>
      </w:pPr>
      <w:r>
        <w:t>Narkotinių medžiagų transportavimą ir realizaciją dėl jo pelningumo į savo rankas perėmė organizuotų nusikalstamų grupuočių atstovai. Šį nelegalų verslą jie griežtai kontroliuoja ir nerizikuoja gabenti narkotikus per žaliąją juostą (tuo užsiima tik pavieniai asmenys), todėl narkotines medžiagas gabena per pasienio kontrolės punktus gerai įrengtose slėptuvėse.</w:t>
      </w:r>
    </w:p>
    <w:p w:rsidR="00B91CA6" w:rsidRDefault="00B91CA6" w:rsidP="00B91CA6">
      <w:pPr>
        <w:pStyle w:val="prastasistinklapis"/>
      </w:pPr>
      <w:r>
        <w:lastRenderedPageBreak/>
        <w:t xml:space="preserve">2004 m. buvo 6 narkotinių (psichotropinių) medžiagų sulaikymo atvejai, sulaikyta 12 asmenų, iš kurių 11 vyrų ir 1 moteris. Visi sulaikytieji yra LR piliečiai, iškeltos 6 baudžiamosios bylos. </w:t>
      </w:r>
    </w:p>
    <w:p w:rsidR="00B91CA6" w:rsidRDefault="00B91CA6" w:rsidP="00B91CA6">
      <w:pPr>
        <w:pStyle w:val="prastasistinklapis"/>
      </w:pPr>
      <w:r>
        <w:t>2004 m. sulaikyta aguonų ir jų dalių 0,462 g., marihuanos (kanapių) 2,842g., haliucinogeninių grybų 0,019g., amfetamino ir ekstazy 59 g., metamfetamino 0,912 g., heroino 0,001g.</w:t>
      </w:r>
    </w:p>
    <w:p w:rsidR="00B91CA6" w:rsidRDefault="00B91CA6" w:rsidP="00B91CA6">
      <w:pPr>
        <w:pStyle w:val="prastasistinklapis"/>
      </w:pPr>
      <w:r>
        <w:t>2004 m. vykdytos 5 tarptautinės operacijos, sulaikyti 33 asmenys ir šių operacijų metu konfiskuota 120 000 tab. Rohypnolio, 31 kg amfetamino, 1 kg heroino.</w:t>
      </w:r>
    </w:p>
    <w:p w:rsidR="00B91CA6" w:rsidRDefault="00B91CA6" w:rsidP="00B91CA6">
      <w:pPr>
        <w:pStyle w:val="prastasistinklapis"/>
      </w:pPr>
      <w:r>
        <w:t>Pagal Nacionalinę narkomanijos prevencijos ir narkotikų kontrolės programą 2004-2008 metams ir šios programos įgyvendinimo priemonių planą kovai su neteisėta narkotinių medžiagų apyvarta bei kontrabandos užkardymui visiškai neskiriamos lėšos, trūksta operatyvinės technikos ir nekreipiama dėmesio į VSAT poreikius.</w:t>
      </w:r>
    </w:p>
    <w:p w:rsidR="00B91CA6" w:rsidRDefault="00B91CA6" w:rsidP="00B91CA6">
      <w:pPr>
        <w:pStyle w:val="prastasistinklapis"/>
      </w:pPr>
      <w:r>
        <w:t>Valstybės sienos apsaugos tarnyboje prie VRM priemonės narkotikų kontrolės ir narkomanijos prevencijos srityje buvo įgyvendinamos iš bendrųjų įstaigai skirtų asignavimų.</w:t>
      </w:r>
    </w:p>
    <w:p w:rsidR="00B91CA6" w:rsidRDefault="00B91CA6" w:rsidP="00B91CA6">
      <w:pPr>
        <w:pStyle w:val="prastasistinklapis"/>
      </w:pPr>
      <w:r>
        <w:t>Trūksta pareigūnų darbui su neteisėta narkotinių medžiagų apyvarta ir užkardymu, kadangi šiuo metu pareigūnams tenka visą dėmesį ir darbą sutelkti kovai su masiška cigarečių kontrabanda. Atsižvelgiant į VSAT teritorinio struktūrinio padalinio (rinktinės) valstybės sienos saugomo ruožo specifiką, reikėtų mažiausiai 2 pareigūnų darbui su neteisėta narkotinių medžiagų apyvarta.</w:t>
      </w:r>
    </w:p>
    <w:p w:rsidR="00B91CA6" w:rsidRDefault="00B91CA6" w:rsidP="00B91CA6">
      <w:pPr>
        <w:pStyle w:val="prastasistinklapis"/>
      </w:pPr>
      <w:r>
        <w:t xml:space="preserve">Valstybės sienos apsaugos tarnybos prie Vidaus reikalų ministerijos pareigūnai 2004 metais dalyvavo pagal PHARE projektą mokymuose. Tačiau dėl lėšų stokos nepakankamai organizuojama mokymų ir seminarų neteisėtos narkotikų apyvartos kontrolės klausimais VSAT pareigūnams, ypač dirbantiems pasienio kontrolės punktuose. </w:t>
      </w:r>
    </w:p>
    <w:p w:rsidR="00B91CA6" w:rsidRDefault="00B91CA6" w:rsidP="00B91CA6">
      <w:pPr>
        <w:pStyle w:val="prastasistinklapis"/>
      </w:pPr>
      <w:r>
        <w:t>2004 metais užregistruota 93 419 įvairių nusikalstamų veikų, iš jų - 1,7 proc. užregistruotų nusikalstamų veikų, susijusių su disponavimu narkotinėmis ar psichotropinėmis medžiagomis bei jų I kategorijos pirmtakais (prekursoriais). Tai yra 523 veikoms arba 33,7 proc. daugiau nei 2003 m. Per tą patį 2003 m. laikotarpį buvo užregistruotos 944 nusikalstamos veikos, susijusios su psichotropinėmis ir narkotinėmis medžiagomis. Nusikalstamų veikų, susijusių su psichotropinėmis ir narkotinėmis medžiagomis skaičiaus sąlyginis didėjimas sudaro 64,3 proc.</w:t>
      </w:r>
    </w:p>
    <w:p w:rsidR="00B91CA6" w:rsidRDefault="00B91CA6" w:rsidP="00B91CA6">
      <w:pPr>
        <w:pStyle w:val="prastasistinklapis"/>
      </w:pPr>
      <w:r>
        <w:t>Iš visų užregistruotų nusikalstamų veikų, susijusių su psichotropinėmis ir narkotinėmis medžiagomis, nusikaltimai sudaro 79 proc., baudžiamieji nusižengimai - 21 proc.</w:t>
      </w:r>
    </w:p>
    <w:p w:rsidR="00B91CA6" w:rsidRDefault="00B91CA6" w:rsidP="00B91CA6">
      <w:pPr>
        <w:pStyle w:val="prastasistinklapis"/>
      </w:pPr>
      <w:r>
        <w:t>2004 m. nepilnamečiai sudarė 14,3 procento bendro nusikaltimus padariusių asmenų skaičiaus. 2002 metais iš visų nusikaltimų padarymu kaltinamų asmenų 13,7 procento buvo nepilnamečiai.</w:t>
      </w:r>
    </w:p>
    <w:p w:rsidR="00B91CA6" w:rsidRDefault="00B91CA6" w:rsidP="00B91CA6">
      <w:pPr>
        <w:pStyle w:val="prastasistinklapis"/>
      </w:pPr>
      <w:r>
        <w:t>2004 m. už neteisėtą narkotinių ir psichotropinių medžiagų prekybą sulaikyti 386 asmenys, iš jų 97 moterys, 12 nepilnamečių. Daugėja nepilnamečių, kurie padarė nusikalstamas veikas, susijusias su neteisėta narkotikų apyvarta - 49 arba 6 proc. visų sulaikytų asmenų ( 2003 m. -37, 2002 m. - 15).</w:t>
      </w:r>
    </w:p>
    <w:p w:rsidR="00B91CA6" w:rsidRDefault="00B91CA6" w:rsidP="00B91CA6">
      <w:pPr>
        <w:pStyle w:val="prastasistinklapis"/>
      </w:pPr>
      <w:r>
        <w:t xml:space="preserve">2004 metais ištirti 4346 nepilnamečių padaryti nusikaltimai, nutrauktas tyrimas 1277 atvejais. Daugiausiai ištirta Vilniaus m. - 543 nepilnamečių padaryti nusikaltimai bei nutraukta 172. </w:t>
      </w:r>
    </w:p>
    <w:p w:rsidR="00B91CA6" w:rsidRDefault="00B91CA6" w:rsidP="00B91CA6">
      <w:pPr>
        <w:pStyle w:val="prastasistinklapis"/>
      </w:pPr>
      <w:r>
        <w:t xml:space="preserve">Policijos departamento prie Vidaus reikalų ministerijos duomenimis 2005 m. per 9 mėn. nepilnamečiai padarė 3500 nusikalstamų veikų (200 veikų mažėjimas). </w:t>
      </w:r>
    </w:p>
    <w:p w:rsidR="00B91CA6" w:rsidRDefault="00B91CA6" w:rsidP="00B91CA6">
      <w:pPr>
        <w:pStyle w:val="prastasistinklapis"/>
      </w:pPr>
      <w:r>
        <w:t xml:space="preserve">Sunkūs ir labai sunkūs nusikaltimai sudaro apie 6 proc. nuo visų ištirtų nusikalstamų veikų. </w:t>
      </w:r>
    </w:p>
    <w:p w:rsidR="00B91CA6" w:rsidRDefault="00B91CA6" w:rsidP="00B91CA6">
      <w:pPr>
        <w:pStyle w:val="prastasistinklapis"/>
      </w:pPr>
      <w:r>
        <w:t>Stebima pavojinga tendencija, kad daugėja nepilnamečių nusikalstamų veikų susijusių su neteisėtu disponavimu narkotinėmis ir psichotropinėmis medžiagomis. 2004 m. buvo ištirtos 45 tokios veikos, 2005 m. jau ištirtos 27 veikos, kurias padarė 39 nepilnamečiai. 2005 m. surašyti 36 protokolai nepilnamečiams už neteisėtą narkotinių ir psichotropinių medžiagų įsigijimą ar laikymą.</w:t>
      </w:r>
    </w:p>
    <w:p w:rsidR="00B91CA6" w:rsidRDefault="00B91CA6" w:rsidP="00B91CA6">
      <w:pPr>
        <w:pStyle w:val="prastasistinklapis"/>
        <w:rPr>
          <w:rFonts w:ascii="TimesLT" w:hAnsi="TimesLT"/>
        </w:rPr>
      </w:pPr>
      <w:r>
        <w:lastRenderedPageBreak/>
        <w:t xml:space="preserve">Nepalanki tendencija pastebima vertinant nepilnamečių nusikalstamumą viešose vietose. </w:t>
      </w:r>
      <w:r>
        <w:rPr>
          <w:rFonts w:ascii="TimesLT" w:hAnsi="TimesLT"/>
        </w:rPr>
        <w:t xml:space="preserve">2005 m. daugiau nei pusė visų ištirtų nepilnamečių padarytų nusikalstamų veikų yra padarytos grupėse, du trečdaliai tokių veikų padarytos mišriose grupėse. Daugiau nei penktadalį nusikalstamų veikų padaro ankščiau nusikaltę nepilnamečiai. Apie pusę visų ištirtų nusikalstamų veikų, padarytos niekuo neužimtų nepilnamečių. </w:t>
      </w:r>
    </w:p>
    <w:p w:rsidR="00B91CA6" w:rsidRDefault="00B91CA6" w:rsidP="00B91CA6">
      <w:pPr>
        <w:pStyle w:val="prastasistinklapis"/>
      </w:pPr>
      <w:r>
        <w:t xml:space="preserve">2005 m. į policijos įstaigas pristatyti 4500 nepilnamečiai. </w:t>
      </w:r>
    </w:p>
    <w:p w:rsidR="00B91CA6" w:rsidRDefault="00B91CA6" w:rsidP="00B91CA6">
      <w:pPr>
        <w:pStyle w:val="prastasistinklapis"/>
      </w:pPr>
      <w:r>
        <w:t>Policijos profilaktinėje įskaitoje yra 183 nepilnamečiai. Policiją dominančių vaikų sąraše per 4300</w:t>
      </w:r>
      <w:r>
        <w:rPr>
          <w:b/>
          <w:bCs/>
        </w:rPr>
        <w:t xml:space="preserve"> </w:t>
      </w:r>
      <w:r>
        <w:t xml:space="preserve">nepilnamečių. </w:t>
      </w:r>
    </w:p>
    <w:p w:rsidR="00B91CA6" w:rsidRDefault="00B91CA6" w:rsidP="00B91CA6">
      <w:pPr>
        <w:pStyle w:val="prastasistinklapis"/>
      </w:pPr>
      <w:r>
        <w:t xml:space="preserve">2005 m. teritoriniai policijos komisariatai paruošė 65 projektus pagal nepilnamečių prevencijos ir užimtumo programas. Finansavimą gavo 18 projektų. Prašyta per 215 tūkst. litų, o gauta 98 tūkst. litų. Policijos pareigūnai pernai dalyvavo 247 socialinių partnerių prevenciniuose projektuose, šiemet dalyvavo 237 tokiuose projektuose. 2004-2005 m. policijos pareigūnų pastangomis vasaros metu buvo užimta po 7200 vaikų. Iš jų apie 1750 įrašytų į nepilnamečių profilaktinę įskaitą. </w:t>
      </w:r>
    </w:p>
    <w:p w:rsidR="00B91CA6" w:rsidRDefault="00B91CA6" w:rsidP="00B91CA6">
      <w:pPr>
        <w:pStyle w:val="prastasistinklapis"/>
        <w:rPr>
          <w:u w:val="single"/>
        </w:rPr>
      </w:pPr>
      <w:r>
        <w:rPr>
          <w:u w:val="single"/>
        </w:rPr>
        <w:t>2005 m. išaiškinti 22 atvejai (2004 metais 33 atvejai), kai prie mokyklų arba mokyklose buvo prekiaujama narkotikais.</w:t>
      </w:r>
    </w:p>
    <w:p w:rsidR="00B91CA6" w:rsidRDefault="00B91CA6" w:rsidP="00B91CA6">
      <w:pPr>
        <w:pStyle w:val="prastasistinklapis"/>
      </w:pPr>
      <w:r>
        <w:t xml:space="preserve">Pažymima, kad Lietuvos Respublikos Vyriausybės 2004 m. gegužės 19 d. nutarimu Nr. 600 "Dėl Nepilnamečių justicijos 2004 -2008 metų programos patvirtinimo" ( Žin., 2004, Nr. 83-3008) patvirtino Nepilnamečių justicijos 2004 -2008 metų programą (toliau- NJ programa) ir pavedė Nusikalstamumo prevencijos Lietuvoje centrui organizuoti Nepilnamečių justicijos 2004 -2008 metų programos, patvirtintos minėtu nutarimu, vykdymą. NJ programos tęstinumo užtikrinimas buvo sietinas ir su nepilnamečių nusikalstamumo nepalankiomis tendencijomis. </w:t>
      </w:r>
    </w:p>
    <w:p w:rsidR="00B91CA6" w:rsidRDefault="00B91CA6" w:rsidP="00B91CA6">
      <w:pPr>
        <w:pStyle w:val="prastasistinklapis"/>
      </w:pPr>
      <w:r>
        <w:t>Tvirtinant Nepilnamečių justicijos 2004 -2008 metų programą, pažymėta, kad nuo 1990 iki 2002 m. nustatytų nusikaltimų, kuriuos padarė nepilnamečiai, pagausėjo daugiau kaip dvigubai (nuo 2506 iki 5152), o nepilnamečių, kaltinamų padarius nusikaltimus, - daugiau kaip pusantro karto (nuo 2042 iki 3522). Per 2002 m. nustatyti 693 nepilnamečiai, kaltinami padarius nusikaltimus, 1874 asmenys teisti ankščiau, būdami nepilnamečiais.</w:t>
      </w:r>
    </w:p>
    <w:p w:rsidR="00B91CA6" w:rsidRDefault="00B91CA6" w:rsidP="00B91CA6">
      <w:pPr>
        <w:pStyle w:val="prastasistinklapis"/>
      </w:pPr>
      <w:r>
        <w:t>Ten pat nurodyta, kad nuteistų už padarytus nusikaltimus nepilnamečių pagausėjo nuo 1995 metais - 2010 iki 2571 - 2002 metais. Dažniausiai jie nuteisiami atidedant bausmės vykdymą (2002 m. jų skaičius siekė 62,4 procento) arba realiu laisvės atėmimu (1995 -2002 m. tokių nepilnamečių dalis svyravo tarp 22,2 - 46,9 procento, 2002 m. siekė 32 procentus). 2003 m. lapkričio 1 d. tardymo izoliatoriuose buvo 109 nepilnamečiai, laisvės atėmimo bausmę atliko 90 nepilnamečių ir tai kelis kartus daugiau , nei vidutiniškai Europos Sąjungos valstybėse.</w:t>
      </w:r>
    </w:p>
    <w:p w:rsidR="00B91CA6" w:rsidRDefault="00B91CA6" w:rsidP="00B91CA6">
      <w:pPr>
        <w:pStyle w:val="prastasistinklapis"/>
      </w:pPr>
      <w:r>
        <w:t>2004 metais užregistruotos 673 nusikalstamos veikos, susijusios su narkotinių medžiagų platinimu (43 proc. visų nusikalstamų veikų, susijusių su neteisėta narkotikų apyvarta), išaiškinta apie 30 organizuotų grupių, užsiėmusių narkotinių medžiagų platinimu. Tai apima visus Lietuvos regionus - Vilnių, Klaipėdą, Kauną, Panevėžį, Visaginą ir kt. Šis skaičius kiekvienais metais auga 5-10 proc. Nors už narkotinių medžiagų platinimą yra sulaikoma apie 44 proc. visų sulaikytųjų, tačiau tik pusė jų patraukiami baudžiamojon atsakomybės dėl platinimo, nes dalies jų nusikalstama veika teismų yra perkvalifikuojama į nusikalstamą veiką, susijusią su narkotinių medžiagų disponavimu, neturint tikslo jas platinti.</w:t>
      </w:r>
    </w:p>
    <w:p w:rsidR="00B91CA6" w:rsidRDefault="00B91CA6" w:rsidP="00B91CA6">
      <w:pPr>
        <w:pStyle w:val="prastasistinklapis"/>
        <w:rPr>
          <w:b/>
          <w:bCs/>
        </w:rPr>
      </w:pPr>
      <w:r>
        <w:t>2004 m. išimta iš apyvartos narkotinių ir psichotropinių medžiagų bei jų I kategorijos pirmtakų kiekiai:</w:t>
      </w:r>
      <w:r>
        <w:rPr>
          <w:b/>
          <w:bCs/>
        </w:rPr>
        <w:t xml:space="preserve"> </w:t>
      </w:r>
      <w:r>
        <w:t xml:space="preserve">380 kg smulkintų aguonų (2003 m. -269 kg.); aguonų ir jų dalių ekstraktas ir koncentratas 55 litrai ir 721 g (2003 m. - 53 litrai ir 252 g); 2,9 kg heroino (2003m. -806g); marihuanos 16,4 kg ir 415 kg žaliavos (2003 m. - 13 kg ir 600 kg žaliavos); hašišo 2,3 kg (2003 m. - 262,6 kg); kokaino 13,5 kg (2003 m. 183 g.); amfetamino 7 kg +1050tabl. (2003 m. 6,96 kg +219 tabl.); metamfetamino 2,8 kg (2003 m. - 24,7 kg +24 tabl.); išimtas didžiulis kiekis -18,7 tūkst. vnt. LSD tabl. (2003 m. - 191 vnt.); Ecstasy 99 429 tab. (2003 m. - 98 458 tabl. +440g); vaistinės medžiagos 304 g, 1584 tabl. ir 320 </w:t>
      </w:r>
      <w:r>
        <w:lastRenderedPageBreak/>
        <w:t>ampulių (2003 m. 140 g ir 545 tab); Safrolas 21,7 litro (2003 m. 20,2 litrai); BMK 21 litras (2003 m. 34,6 litrai). Į šiuos kiekius neįeina "Aguonos" operacijos metu išimti narkotinių medžiagų žaliavų kiekiai</w:t>
      </w:r>
      <w:r>
        <w:rPr>
          <w:b/>
          <w:bCs/>
        </w:rPr>
        <w:t>.</w:t>
      </w:r>
    </w:p>
    <w:p w:rsidR="00B91CA6" w:rsidRDefault="00B91CA6" w:rsidP="00B91CA6">
      <w:pPr>
        <w:pStyle w:val="prastasistinklapis"/>
      </w:pPr>
      <w:r>
        <w:t xml:space="preserve">Teritorinių policijos įstaigų vykdytos kompleksinės priemonės "Aguona - 2004" metu buvo sunaikinta 52 141, 6 kv. m. aguonų ir 196,5 kv.m. kanapių pasėlių (40 proc. daugiau nei 2003 m.). 582 asmenys (iš jų 33 nepilnamečiai) patraukti administracinėn atsakomybėn (2003 m. -529). </w:t>
      </w:r>
    </w:p>
    <w:p w:rsidR="00B91CA6" w:rsidRDefault="00B91CA6" w:rsidP="00B91CA6">
      <w:pPr>
        <w:pStyle w:val="prastasistinklapis"/>
      </w:pPr>
      <w:r>
        <w:t xml:space="preserve">Kompleksinės priemonės "Aguona - 2004" metu iš nelegalios apyvartos išimta 171 kg. aguonų ir jų dalių, 58 kg daugiau nei 2003 m. </w:t>
      </w:r>
    </w:p>
    <w:p w:rsidR="00B91CA6" w:rsidRDefault="00B91CA6" w:rsidP="00B91CA6">
      <w:pPr>
        <w:pStyle w:val="prastasistinklapis"/>
      </w:pPr>
      <w:r>
        <w:t>Šioje operacijoje dalyvavo ir Valstybės sienos apsaugos tarnyba prie Vidaus reikalų ministerijos.</w:t>
      </w:r>
    </w:p>
    <w:p w:rsidR="00B91CA6" w:rsidRDefault="00B91CA6" w:rsidP="00B91CA6">
      <w:pPr>
        <w:pStyle w:val="prastasistinklapis"/>
      </w:pPr>
      <w:r>
        <w:t xml:space="preserve">2004 m. sulaikyti 869 (2003 m. -580) asmenys, padarę nusikalstamas veikas, susijusias su disponavimu narkotinėmis ar psichotropinėmis medžiagomis, iš jų 147 moterys, 3 užsienio piliečiai 23 asmenys be pilietybės. Nėra žinoma, kuri dalis šių asmenų sulaikoma pakartotinai per tuos pačius metus. </w:t>
      </w:r>
    </w:p>
    <w:p w:rsidR="00B91CA6" w:rsidRDefault="00B91CA6" w:rsidP="00B91CA6">
      <w:pPr>
        <w:pStyle w:val="prastasistinklapis"/>
      </w:pPr>
      <w:r>
        <w:t xml:space="preserve">Auga kanapių populiarumas: nuo 2002 m. išaugo iki 3 kartų. Sumažėjo aguonų ir jų dalių rinka. Diazepamo ir kitų vaistinių medžiagų vartotojų rinka stabili. </w:t>
      </w:r>
    </w:p>
    <w:p w:rsidR="00B91CA6" w:rsidRDefault="00B91CA6" w:rsidP="00B91CA6">
      <w:pPr>
        <w:pStyle w:val="prastasistinklapis"/>
      </w:pPr>
      <w:r>
        <w:t>Metamfetamino medžiagos išėmimo faktų per 5 metus užregistruota 200 kartų daugiau.</w:t>
      </w:r>
    </w:p>
    <w:p w:rsidR="00B91CA6" w:rsidRDefault="00B91CA6" w:rsidP="00B91CA6">
      <w:pPr>
        <w:pStyle w:val="prastasistinklapis"/>
      </w:pPr>
      <w:r>
        <w:t>2004 m. buvo žinoma 60 atvejų, kai užsienio valstybėse už neteisėtą narkotikų apyvartą buvo sulaikyti Lietuvos Respublikos piliečiai ( 2003 m. -62 tokie atvejai).</w:t>
      </w:r>
    </w:p>
    <w:p w:rsidR="00B91CA6" w:rsidRDefault="00B91CA6" w:rsidP="00B91CA6">
      <w:pPr>
        <w:pStyle w:val="prastasistinklapis"/>
      </w:pPr>
      <w:r>
        <w:t>Remiantis Kalėjimų departamento prie Lietuvos Respublikos teisingumo ministerijos duomenimis, 2004 m. iš 831 nepilnamečio, esančio regionų pataisos inspekcijų teritorinių padalinių įskaitoje, 2 nepilnamečiai neturėjo pradinio išsilavinimo, 534 turėjo pradinį, 290- pagrindinį ir tik 5 nepilnamečiai - vidurinį išsilavinimą. Dėl to, dalis nuteisto jaunimo neturi net pagrindinio išsilavinimo, be kurio negali būti įtraukti į kvalifikacinius kursus, programas ir negali įgyti specialybės.</w:t>
      </w:r>
    </w:p>
    <w:p w:rsidR="00B91CA6" w:rsidRDefault="00B91CA6" w:rsidP="00B91CA6">
      <w:pPr>
        <w:pStyle w:val="prastasistinklapis"/>
      </w:pPr>
      <w:r>
        <w:t>2004 metais užregistruota 161 nusikalstama veika, susijusi su neteisėta narkotikų apyvarta laisvės atėmimo vietose (2003 m. -96, 2002 m. -113). Aptinkami narkotikai, nėra išaiškinamas jų savininkas ir dėl to buvo sulaikyti tik 22 asmenys. Didžioji dalis narkotikų surasta siuntiniuose be siuntėjų adresų arba su neegzistuojančiomis pavardėmis.</w:t>
      </w:r>
    </w:p>
    <w:p w:rsidR="00B91CA6" w:rsidRDefault="00B91CA6" w:rsidP="00B91CA6">
      <w:pPr>
        <w:pStyle w:val="prastasistinklapis"/>
      </w:pPr>
      <w:r>
        <w:t>Nuo 2002 m. Lietuvoje sparčiai didėja amfetamino tipo (angl. ATS) medžiagų paplitimas. 2004 m. šios medžiagos aptikta ir konfiskuota 9 proc. daugiau negu 2003 m. Laisvės atėmimo vietose 2004 m. iš 161 konfiskavimo buvo -28 atvejai amfetamino, 45 - metamfetamino ir 5 atvejai -ekstasy.</w:t>
      </w:r>
    </w:p>
    <w:p w:rsidR="00B91CA6" w:rsidRDefault="00B91CA6" w:rsidP="00B91CA6">
      <w:pPr>
        <w:pStyle w:val="prastasistinklapis"/>
      </w:pPr>
      <w:r>
        <w:t>Kalėjimų departamento prie Teisingumo ministerijos duomenimis 2004 m. pradžioje tarp 8063 įkalintųjų asmenų 1148 asmenys buvo sergantys priklausomybe nuo narkotikų. Tai sudarė 14,2 procento visų asmenų, esančių laisvės atėmimo vietose. 2003 m. pradžioje tokių asmenų buvo 1464. 2004 m. iš laisvės atėmimo vietose laikomų asmenų ar bandant jiems perduoti paimta apie 680 g narkotinių ir psichotropinių medžiagų. Už nusikaltimus, susijusius su nelegalia narkotinių ir psichotropinių medžiagų apyvarta, laisvės atėmimo vietose pradėtas 61 ikiteisminis tyrimas.</w:t>
      </w:r>
    </w:p>
    <w:p w:rsidR="00B91CA6" w:rsidRDefault="00B91CA6" w:rsidP="00B91CA6">
      <w:pPr>
        <w:pStyle w:val="prastasistinklapis"/>
      </w:pPr>
      <w:r>
        <w:t xml:space="preserve">Komisijos prašymu, Nacionalinė teismų administracija atlikusi 2003 - 2004 metais išnagrinėtų baudžiamųjų bylų, susijusių su neteisėtu disponavimu narkotinėmis ar psichotropinėmis, nuodingomis ar stipriai veikiančiomis medžiagomis, neteisėtu aguonų ar kanapių auginimu, apibendrinimą, informavo, kad 2003 - 2004 metais buvo išnagrinėta 1218 baudžiamųjų bylų, susijusių su disponavimu narkotinėmis ar psichotropinėmis medžiagomis. </w:t>
      </w:r>
    </w:p>
    <w:p w:rsidR="00B91CA6" w:rsidRDefault="00B91CA6" w:rsidP="00B91CA6">
      <w:pPr>
        <w:pStyle w:val="prastasistinklapis"/>
      </w:pPr>
      <w:r>
        <w:t>2003 - 2004 metais buvo nuteisti 1398 asmenys, padarę nusikaltimus, susijusius su disponavimu narkotinėmis ir psichotropinėmis medžiagomis. Jų amžiaus vidurkis 32 metai.</w:t>
      </w:r>
    </w:p>
    <w:p w:rsidR="00B91CA6" w:rsidRDefault="00B91CA6" w:rsidP="00B91CA6">
      <w:pPr>
        <w:pStyle w:val="prastasistinklapis"/>
      </w:pPr>
      <w:r>
        <w:lastRenderedPageBreak/>
        <w:t>Asmenų, padariusių nusikaltimus apsvaigus nuo narkotinių, psichotropinių ar kitų psichiką veikiančių medžiagų, skaičius nėra tiksliai žinomas.</w:t>
      </w:r>
    </w:p>
    <w:p w:rsidR="00B91CA6" w:rsidRDefault="00B91CA6" w:rsidP="00B91CA6">
      <w:pPr>
        <w:pStyle w:val="prastasistinklapis"/>
      </w:pPr>
      <w:r>
        <w:t>Asmenis pripažinus kaltais, jiems buvo paskirtos šios bausmės:</w:t>
      </w:r>
    </w:p>
    <w:p w:rsidR="00B91CA6" w:rsidRDefault="00B91CA6" w:rsidP="00B91CA6">
      <w:pPr>
        <w:pStyle w:val="prastasistinklapis"/>
      </w:pPr>
      <w:r>
        <w:t>a) viešieji darbai skirti 85 asmenims;</w:t>
      </w:r>
    </w:p>
    <w:p w:rsidR="00B91CA6" w:rsidRDefault="00B91CA6" w:rsidP="00B91CA6">
      <w:pPr>
        <w:pStyle w:val="prastasistinklapis"/>
      </w:pPr>
      <w:r>
        <w:t>b) laisvės apribojimas skirtas 78 asmenims;</w:t>
      </w:r>
    </w:p>
    <w:p w:rsidR="00B91CA6" w:rsidRDefault="00B91CA6" w:rsidP="00B91CA6">
      <w:pPr>
        <w:pStyle w:val="prastasistinklapis"/>
      </w:pPr>
      <w:r>
        <w:t>c) laisvės atėmimas skirtas 579 asmenims;</w:t>
      </w:r>
    </w:p>
    <w:p w:rsidR="00B91CA6" w:rsidRDefault="00B91CA6" w:rsidP="00B91CA6">
      <w:pPr>
        <w:pStyle w:val="prastasistinklapis"/>
      </w:pPr>
      <w:r>
        <w:t>d) areštas skirtas 345 asmenims;</w:t>
      </w:r>
    </w:p>
    <w:p w:rsidR="00B91CA6" w:rsidRDefault="00B91CA6" w:rsidP="00B91CA6">
      <w:pPr>
        <w:pStyle w:val="prastasistinklapis"/>
      </w:pPr>
      <w:r>
        <w:t>e) baudos skirtos 324 asmenims.</w:t>
      </w:r>
    </w:p>
    <w:p w:rsidR="00B91CA6" w:rsidRDefault="00B91CA6" w:rsidP="00B91CA6">
      <w:pPr>
        <w:pStyle w:val="prastasistinklapis"/>
      </w:pPr>
      <w:r>
        <w:t>267 asmenims bausmių vykdymas buvo atidėtas.Turtas ar jo dalis konfiskuotos 101 asmeniui. Konfiskuotų narkotikų kiekis apytiksliai sudarė 1090 kg. bei 65 litrus.</w:t>
      </w:r>
    </w:p>
    <w:p w:rsidR="00B91CA6" w:rsidRDefault="00B91CA6" w:rsidP="00B91CA6">
      <w:pPr>
        <w:pStyle w:val="prastasistinklapis"/>
      </w:pPr>
      <w:r>
        <w:t>Lietuvos kariuomenės Karo medicinos tarnyba 2004 metais visose karinėse medicinos komisijose (toliau - KMK), vykdant karinę medicinos ekspertizę dėl narkotinių ir psichotropinių medžiagų vartojimo apklausti 9739 asmenys atrankos į pradinę privalomąją karo tarnybą (toliau - PPKT) ir profesinę karo tarnybą (toliau - PKT) metu bei stojantys į karines mokymo įstaigas.</w:t>
      </w:r>
    </w:p>
    <w:p w:rsidR="00B91CA6" w:rsidRDefault="00B91CA6" w:rsidP="00B91CA6">
      <w:pPr>
        <w:pStyle w:val="prastasistinklapis"/>
      </w:pPr>
      <w:r>
        <w:t>Iš jų, atrinkus tinkamus karo tarnybai pagal Karinės medicinos ekspertizės komisijos nuostatus, 144 asmenys buvo priskirti priežiūros grupėms, nustačius epizodinius narkotinių medžiagų vartojimo atvejus. 2004 metais buvo testuoti 372 kariai (10,57 % nuo bendro tarnaujančių karių skaičiaus), įtariant juos vartojus narkotines ir psichotropines medžiagas. Nustatyti 23 teigiami testų rezultatai (6,18 % nuo įtartų vartojus narkotines ir psichotropines medžiagas karių skaičiaus arba 0,65 % nuo bendro tarnaujančių karių skaičiaus). Dėl priklausomybės nuo narkotinių medžiagų nuo tolimesnės karo tarnybos 2004 m. buvo atleisti 4 PPKT kariai.</w:t>
      </w:r>
    </w:p>
    <w:p w:rsidR="00B91CA6" w:rsidRDefault="00B91CA6" w:rsidP="00B91CA6">
      <w:pPr>
        <w:pStyle w:val="prastasistinklapis"/>
      </w:pPr>
      <w:r>
        <w:t xml:space="preserve">Valstybinio psichikos sveikatos centro duomenimis 2004 m. gruodžio 31 dieną sveikatos priežiūros įstaigose buvo užregistruoti 68 653 asmenys sergantys priklausomybės ligomis, iš jų - 5011 sergančių priklausomybe narkotinėms psichotropinėms medžiagoms. </w:t>
      </w:r>
    </w:p>
    <w:p w:rsidR="00B91CA6" w:rsidRDefault="00B91CA6" w:rsidP="00B91CA6">
      <w:pPr>
        <w:pStyle w:val="prastasistinklapis"/>
      </w:pPr>
      <w:r>
        <w:t xml:space="preserve">2004 m. sveikatos priežiūros įstaigose tarp visų registruotų (besigydančių), sergančių priklausomybe nuo narkotinių ir psichotropinių medžiagų asmenų, 4/5 sudarė vyrai,1/5 moterys. Tarp registruotų asmenų 2159 asmenys arba 43 proc. visų stebimų asmenų buvo teisti. </w:t>
      </w:r>
    </w:p>
    <w:p w:rsidR="00B91CA6" w:rsidRDefault="00B91CA6" w:rsidP="00B91CA6">
      <w:pPr>
        <w:pStyle w:val="prastasistinklapis"/>
      </w:pPr>
      <w:r>
        <w:t>2004 metais į asmens sveikatos priežiūros įstaigas (kurios yra sudariusios sutartis su teritorinėmis ligonių kasomis) dėl apsinuodijimų narkotikais ir psichodisleptikais TLK -10 - T40 buvo hospitalizuotas 171 asmuo (hospitalizacijos atvejų skaičius - 2801)</w:t>
      </w:r>
    </w:p>
    <w:p w:rsidR="00B91CA6" w:rsidRDefault="00B91CA6" w:rsidP="00B91CA6">
      <w:pPr>
        <w:pStyle w:val="prastasistinklapis"/>
      </w:pPr>
      <w:r>
        <w:t>2004 metais dėl psichikos ir elgesio sutrikimų vartojant psichoaktyviąsias medžiagas TLK - 10 - F11, F12, F13, F14, F15, F 16, F18, F19 (išskyrus alkoholį ir tabaką) hospitalizuoti 283 asmenys (hospitalizacijos atvejų skaičius -387). Skaičiavimai atlikti pagal galutines diagnozes.</w:t>
      </w:r>
    </w:p>
    <w:p w:rsidR="00B91CA6" w:rsidRDefault="00B91CA6" w:rsidP="00B91CA6">
      <w:pPr>
        <w:pStyle w:val="prastasistinklapis"/>
      </w:pPr>
      <w:r>
        <w:t>Ambulatoriškai 2004 metais į asmens sveikatos priežiūros įstaigas dėl apsinuodijimų narkotikais ir psichodisleptikais pagal TLK -10 - T40 kreipėsi 41 asmuo (atvejų skaičius -43). Dėl psichikos ir elgesio sutrikimų vartojant psichoaktyviąsias medžiagas TLK - 10 - F11, F12, F13, F14, F15, F 16, F18, F19 (išskyrus alkoholį ir tabaką) kreipėsi 908 asmenys (atvejų -1555).</w:t>
      </w:r>
    </w:p>
    <w:p w:rsidR="00B91CA6" w:rsidRDefault="00B91CA6" w:rsidP="00B91CA6">
      <w:pPr>
        <w:pStyle w:val="prastasistinklapis"/>
      </w:pPr>
      <w:r>
        <w:t xml:space="preserve">2004 m. sveikatos priežiūros įstaigose tarp besigydančių dėl priklausomybės narkotikams asmenų iki 18 metų buvo 54 vaikai, iš jų 12 mergaičių. Tarp besigydančių vaikų opioidus (heroiną) vartojo - 28 vaikai (51 proc.), lakiąsias medžiagas (daugiausiai klijus) - 16 vaikų (29, 6 proc.), stimuliatorius (ekstazi, amfetaminą) - 5 vaikai (9,2 proc.), kanapes- 1 (1,8 proc.), haliucinogenus- 2 arba (3,7 proc.), </w:t>
      </w:r>
      <w:r>
        <w:lastRenderedPageBreak/>
        <w:t>kelis narkotikus tuo pačiu metu vartojo 2 vaikai (3,7 proc.). Viena problematiškiausių grupių tarp vaikų, vartojančių psichiką veikiančias medžiagas, išlieka "gatvės vaikai". 2004 m. Lietuvoje 5 įmonės turėjo licencijas verstis veikla, susijusia su I kategorijos pirmtakais, 19 įmonių- registracijos pažymėjimus veiklai, susijusiai su II ir III kategorijos prekursoriais.</w:t>
      </w:r>
    </w:p>
    <w:p w:rsidR="00B91CA6" w:rsidRDefault="00B91CA6" w:rsidP="00B91CA6">
      <w:pPr>
        <w:pStyle w:val="prastasistinklapis"/>
      </w:pPr>
      <w:r>
        <w:t>2004 m. Lietuvoje dėl augančio vaistinių skaičiaus išaugo ir galiojančių licencijų skaičius veiklai su narkotiniais ir psichotropiniais vaistais. 2004 m. pabaigoje buvo išduotos ir galiojo 1472 licencijos farmacinei veiklai su narkotiniais ir psichotropiniais vaistais. Iš jų: 29 licencijos - vaistų didmeninės prekybos įmonėms, 3 licencijos - vaistų gamybos įmonėms, 1449 licencija - vaistinėms ir jų filialams ( filialų - 890).</w:t>
      </w:r>
    </w:p>
    <w:p w:rsidR="00B91CA6" w:rsidRDefault="00B91CA6" w:rsidP="00B91CA6">
      <w:pPr>
        <w:pStyle w:val="prastasistinklapis"/>
      </w:pPr>
      <w:r>
        <w:t>Valstybinė vaistų kontrolės tarnyba prie SAM Jungtinių Tautų Tarptautiniam narkotikų kontrolės komitetui 2004 m. pateikė poreikius (KVOTAS) metadonui - 10 000 gramų, buprenorfinui nuo 2003 m I ketv. 2200 gramų (Bunandolis ur Subutex), (2002 m. Subutex registruotas priklausomybės ligų gydymui).</w:t>
      </w:r>
    </w:p>
    <w:p w:rsidR="00B91CA6" w:rsidRDefault="00B91CA6" w:rsidP="00B91CA6">
      <w:pPr>
        <w:pStyle w:val="prastasistinklapis"/>
      </w:pPr>
      <w:r>
        <w:t>Pvz., 2004 m. įvežta Methadone - 4,374 kg, Buprenorfino - 142 kg, (2003 m. - 155 kg) Morphine- 10,181 kg (2003 m. -12,454 kg), Diazepam- 112, 334 kg (2003 m. -144, 059 kg ) ir kt.</w:t>
      </w:r>
    </w:p>
    <w:p w:rsidR="00B91CA6" w:rsidRDefault="00B91CA6" w:rsidP="00B91CA6">
      <w:pPr>
        <w:pStyle w:val="prastasistinklapis"/>
      </w:pPr>
      <w:r>
        <w:t>Metadoną turi leidimą įvežti viena įmonė. Buprenorfiną (SUBUTEX) -3 įmonės, bet realiai veža 2, o 1 turi tik leidimą.</w:t>
      </w:r>
    </w:p>
    <w:p w:rsidR="00B91CA6" w:rsidRDefault="00B91CA6" w:rsidP="00B91CA6">
      <w:pPr>
        <w:pStyle w:val="prastasistinklapis"/>
      </w:pPr>
      <w:r>
        <w:t>Valstybinė vaistų kontrolės tarnyba bei Farmacijos departamentas prie Lietuvos Respublikos sveikatos apsaugos ministerijos neatlieka narkotinių ir psichotropinių vaistų skyrimo ir vartojimo Lietuvos Respublikoje vertinimo.</w:t>
      </w:r>
    </w:p>
    <w:p w:rsidR="00B91CA6" w:rsidRDefault="00B91CA6" w:rsidP="00B91CA6">
      <w:pPr>
        <w:pStyle w:val="prastasistinklapis"/>
      </w:pPr>
      <w:r>
        <w:t>2004 metais nustatyti atvejai, kai visuomenės vaistinėse nebuvo laikomasi psichotropinių vaistų laikymo reikalavimų. Vaistinės įpareigotos pašalinti trūkumus.</w:t>
      </w:r>
    </w:p>
    <w:p w:rsidR="00B91CA6" w:rsidRDefault="00B91CA6" w:rsidP="00B91CA6">
      <w:pPr>
        <w:pStyle w:val="prastasistinklapis"/>
      </w:pPr>
      <w:r>
        <w:t>Valstybinė medicininio audito inspekcija prie Sveikatos apsaugos ministerijos (2005 06 06 raštas Nr.4R-843) informavo Komisiją, kad 2004 metais neatliko patikrinimų dėl narkotinių ir psichotropinių medžiagų medicininių receptų išrašymo teisėtumo ir pagrįstumo. Inspekcijai nepriskirta tikrinti narkotinių ir psichotropinių medžiagų saugojimo išdavimo bei sunaikinimo tvarką Priklausomybės ligų centruose, Psichikos sveikatos centruose, ligoninėse, vaistinėse bei metadono tirpalo koncentracijos.</w:t>
      </w:r>
    </w:p>
    <w:p w:rsidR="00B91CA6" w:rsidRDefault="00B91CA6" w:rsidP="00B91CA6">
      <w:pPr>
        <w:pStyle w:val="prastasistinklapis"/>
      </w:pPr>
      <w:r>
        <w:t xml:space="preserve">Programų valdymo auditą pagal Lietuvos Respublikos valstybės kontrolės įstatymą ( Žin., 1996, Nr. 51-1243; 2001, Nr. 112-4070) atlieka Lietuvos Respublikos valstybės kontrolė. Tačiau, 2005 metais, nors Narkomanijos prevencijos komisija kreipėsi su prašymu, auditas už 2004 metus nebuvo atliktas. </w:t>
      </w:r>
    </w:p>
    <w:p w:rsidR="00B91CA6" w:rsidRDefault="00B91CA6" w:rsidP="00B91CA6">
      <w:pPr>
        <w:pStyle w:val="prastasistinklapis"/>
      </w:pPr>
      <w:r>
        <w:t>Priklausomybių ligų centruose narkotinių ir psichotropinių medžiagų saugojimo, išdavimo bei sunaikinimo tvarkos vykdymas 2004 m. nebuvo tikrintas.</w:t>
      </w:r>
    </w:p>
    <w:p w:rsidR="00B91CA6" w:rsidRDefault="00B91CA6" w:rsidP="00B91CA6">
      <w:pPr>
        <w:pStyle w:val="prastasistinklapis"/>
      </w:pPr>
      <w:r>
        <w:t>2004 m. nebuvo tikrinama narkotinių ir psichotropinių medžiagų saugojimo, išdavimo bei sunaikinimo Policijos departamento prie VRM pavaldume esančiose įstaigose tvarka.</w:t>
      </w:r>
    </w:p>
    <w:p w:rsidR="00B91CA6" w:rsidRDefault="00B91CA6" w:rsidP="00B91CA6">
      <w:pPr>
        <w:pStyle w:val="prastasistinklapis"/>
      </w:pPr>
      <w:r>
        <w:t>2004 metų pabaigoje pirmą kartą Lietuvoje buvo atliktas 16-64 metų šalies gyventojų tyrimas apie žalingų įpročių paplitimą Lietuvoje</w:t>
      </w:r>
      <w:r>
        <w:rPr>
          <w:sz w:val="48"/>
          <w:szCs w:val="48"/>
        </w:rPr>
        <w:t>.</w:t>
      </w:r>
      <w:r>
        <w:t xml:space="preserve"> Tyrimas parodė, kad tabaką šiuo metu rūko 34,8 proc., o alkoholinius gėrimus vartoja 65,1 proc. gyventojų.</w:t>
      </w:r>
    </w:p>
    <w:p w:rsidR="00B91CA6" w:rsidRDefault="00B91CA6" w:rsidP="00B91CA6">
      <w:pPr>
        <w:pStyle w:val="prastasistinklapis"/>
      </w:pPr>
      <w:r>
        <w:t>18,5 proc. Lietuvos gyventojų teigia, kad jiems bent kartą gyvenime buvo pasiūlyta narkotikų. Lietuvos gyventojams dažniausiai narkotikai siūlomi uždaruose vakarėliuose, klube/diskotekoje; iš tų, kuriems bent kartą gyvenime buvo pasiūlyta narkotikų – 44,6 proc. bent kartą gyvenime yra bandę vieną ar kitą narkotiką. Lyginant narkotikų prieinamumo duomenis su kada nors gyvenime vartojusiųjų bet kokį narkotiką nustatyta, kad pasiūla šiuo metu viršija paklausą.</w:t>
      </w:r>
    </w:p>
    <w:p w:rsidR="00B91CA6" w:rsidRDefault="00B91CA6" w:rsidP="00B91CA6">
      <w:pPr>
        <w:pStyle w:val="prastasistinklapis"/>
      </w:pPr>
      <w:r>
        <w:lastRenderedPageBreak/>
        <w:t>Tyrimo rezultatai parodė, kad narkotikų bent kartą gyvenime yra bandę 8,2 proc. Lietuvos gyventojų, tabaką šiuo metu rūko 34,8 proc., o alkoholinius gėrimus vartoja 65,1 proc. Lietuvos gyventojų.</w:t>
      </w:r>
    </w:p>
    <w:p w:rsidR="00B91CA6" w:rsidRDefault="00B91CA6" w:rsidP="00B91CA6">
      <w:pPr>
        <w:pStyle w:val="prastasistinklapis"/>
      </w:pPr>
      <w:r>
        <w:t xml:space="preserve">Tyrimo rezultatai parodė, kad narkotikus dažniau yra vartoję vyrai (13,1 proc.), nei moterys (3,8 proc.), jaunesni (15 –34 metų amžiaus) Lietuvos gyventojai narkotines ir psichotropines medžiagas vartoja žymiai dažniau, nei vyresni, 35-64 amžiaus žmonės (atitinkamai 14,4 proc. ir 4,5 proc.). </w:t>
      </w:r>
    </w:p>
    <w:p w:rsidR="00B91CA6" w:rsidRDefault="00B91CA6" w:rsidP="00B91CA6">
      <w:pPr>
        <w:pStyle w:val="prastasistinklapis"/>
      </w:pPr>
      <w:r>
        <w:t>Labiausiai šalyje paplitęs narkotikas yra kanapės. Bent kartą gyvenime šį narkotiką yra vartoję 7,6 proc. Lietuvos gyventojų, o per pastaruosius 12 mėn. 4,6 proc. 15-34 m. amžiaus gyventojų.</w:t>
      </w:r>
    </w:p>
    <w:p w:rsidR="00B91CA6" w:rsidRDefault="00B91CA6" w:rsidP="00B91CA6">
      <w:pPr>
        <w:pStyle w:val="prastasistinklapis"/>
      </w:pPr>
      <w:r>
        <w:t>Jaunų žmonių (15-34 m.) tarpe amfetaminą bent kartą gyvenime yra vartoję 2,2 proc., Ekstazi – 2,1 proc., haliucinogeninius (magiškiuosius) grybus – 0,8 proc., kokainą – 0,7 proc., heroiną – 0,6 ir LSD – 0,5 proc.</w:t>
      </w:r>
    </w:p>
    <w:p w:rsidR="00B91CA6" w:rsidRDefault="00B91CA6" w:rsidP="00B91CA6">
      <w:pPr>
        <w:pStyle w:val="prastasistinklapis"/>
      </w:pPr>
      <w:r>
        <w:t xml:space="preserve">Tyrimas taip pat parodė, kad įvairūs narkotikai yra gana lengvai prieinami. Pats prieinamiausias narkotikas yra kanapės - 14,3 proc. Net 18,5 proc. Lietuvos gyventojų nurodė, kad jei norėtų, per 24 valandas jiems būtų </w:t>
      </w:r>
      <w:r>
        <w:rPr>
          <w:u w:val="single"/>
        </w:rPr>
        <w:t>lengva</w:t>
      </w:r>
      <w:r>
        <w:t xml:space="preserve"> įsigyti kanapių. </w:t>
      </w:r>
    </w:p>
    <w:p w:rsidR="00B91CA6" w:rsidRDefault="00B91CA6" w:rsidP="00B91CA6">
      <w:pPr>
        <w:pStyle w:val="prastasistinklapis"/>
      </w:pPr>
      <w:r>
        <w:t xml:space="preserve">Alkoholio ir kitų narkotikų tyrimo Lietuvos mokyklose (ESPAD) 2003 m. tyrimo rezultatai rodo, kad bet kokį narkotiką bent kartą yra vartoję 15,6% 15-16 metų Lietuvos moksleivių. Vertinant narkotinių ir psichotropinių medžiagų paplitimo dinamiką tarp moksleivių, jų vartojimo lygis per paskutinius keturis metus išliko toks pat (1999 m. -15,5%, 1995 m. – 3,2%). </w:t>
      </w:r>
    </w:p>
    <w:p w:rsidR="00B91CA6" w:rsidRDefault="00B91CA6" w:rsidP="00B91CA6">
      <w:pPr>
        <w:pStyle w:val="prastasistinklapis"/>
      </w:pPr>
      <w:r>
        <w:t xml:space="preserve">Narkotikų kontrolės departamento prie Lietuvos Respublikos Vyriausybės duomenimis, praėjusiais metais Lietuvos sveikatos priežiūros įstaigose dėl priklausomybės narkotikams gydėsi 54 vaikai, iš jų 12 mergaičių. Tarp besigydančių nepilnamečių heroiną vartojo daigiau kaip pusė - 28 vaikai, klijus uostė - 16, ekstazi, amfetaminą vartojo - 5, kanapes - 1, haliucinogenus - 2 vaikai, keliais narkotikais tuo pačiu metu svaiginosi 2 gydęsi vaikai. </w:t>
      </w:r>
    </w:p>
    <w:p w:rsidR="00B91CA6" w:rsidRDefault="00B91CA6" w:rsidP="00B91CA6">
      <w:pPr>
        <w:pStyle w:val="prastasistinklapis"/>
      </w:pPr>
      <w:r>
        <w:t>Valstybinės visuomenės sveikatos priežiūros tarnybos prie Sveikatos apsaugos ministerijos duomenimis, bendrojo lavinimo mokyklų mokinių sveikatos rodikliai kasmet blogėja, mažėja I sveikatos grupės (sveikiausių) mokinių. Pvz., 1992 m. jų buvo 56,9 procento, 2002 m. - 42,2 procento.</w:t>
      </w:r>
    </w:p>
    <w:p w:rsidR="00B91CA6" w:rsidRDefault="00B91CA6" w:rsidP="00B91CA6">
      <w:pPr>
        <w:pStyle w:val="prastasistinklapis"/>
      </w:pPr>
      <w:r>
        <w:t>Gausėja II sveikatos grupės (rizikos grupės) mokinių. Pvz., 1992 m. jų buvo 36,9 procento, 2002 m.- 49,2 procento.</w:t>
      </w:r>
    </w:p>
    <w:p w:rsidR="00B91CA6" w:rsidRDefault="00B91CA6" w:rsidP="00B91CA6">
      <w:pPr>
        <w:pStyle w:val="prastasistinklapis"/>
      </w:pPr>
      <w:r>
        <w:t>Kasmet gausėja socialinės atskirties šeimų, kartu - socialiai bei pedagogiškai apleistų vaikų</w:t>
      </w:r>
      <w:r>
        <w:rPr>
          <w:b/>
          <w:bCs/>
        </w:rPr>
        <w:t>.</w:t>
      </w:r>
      <w:r>
        <w:t xml:space="preserve"> Savivaldybių vaiko teisių apsaugos tarnybų duomenimis, 2001 m., palyginti su 1995 m., tokių šeimų pagausėjo 1,9 karto. 2001 m. jose augo 40 276 vaikai.</w:t>
      </w:r>
    </w:p>
    <w:p w:rsidR="00B91CA6" w:rsidRDefault="00B91CA6" w:rsidP="00B91CA6">
      <w:pPr>
        <w:pStyle w:val="prastasistinklapis"/>
      </w:pPr>
      <w:r>
        <w:t xml:space="preserve">Švietimo ir mokslo ministerija pateikė informaciją, kad 2004/2005 metais 167 tūkst. socialiai remtinų vaikų gavo nemokamą maitinimą (27 proc. besimokančių vaikų). 61 mln. skirtas mokinių nemokamam maitinimui, ir 1 mln. skirtas nepasiturinčių ir socialinės rizikos šeimų vaikų aprūpinimui būtiniausiomis ugdymo priemonėmis prasidedant naujiesiems mokslo metams. </w:t>
      </w:r>
    </w:p>
    <w:p w:rsidR="00B91CA6" w:rsidRDefault="00B91CA6" w:rsidP="00B91CA6">
      <w:pPr>
        <w:pStyle w:val="prastasistinklapis"/>
      </w:pPr>
      <w:r>
        <w:t xml:space="preserve">Švietimo ir mokslo ministro 2004 m. rugsėjo 17 d. įsakymu Nr. ISAK-1462 “ Dėl teisės pažeidimų, mokyklos nelankymo, narkotinių ir psichotropinių medžiagų vartojimo, ŽIV/AIDS, smurto ir nusikalstamumo prevencijos” siekiama užtikrinti saugią ir sveiką aplinką mokyklos bendruomenei, sudaryti tinkamas sąlygas vaiko gerovei ir švietimo veiksmingumui. </w:t>
      </w:r>
    </w:p>
    <w:p w:rsidR="00B91CA6" w:rsidRDefault="00B91CA6" w:rsidP="00B91CA6">
      <w:pPr>
        <w:pStyle w:val="prastasistinklapis"/>
      </w:pPr>
      <w:r>
        <w:t>Mokyklose įsteigtos prevencinio darbo grupės, savivaldybėse - prevencinio darbo koordinavimo grupės.</w:t>
      </w:r>
    </w:p>
    <w:p w:rsidR="00B91CA6" w:rsidRDefault="00B91CA6" w:rsidP="00B91CA6">
      <w:pPr>
        <w:pStyle w:val="prastasistinklapis"/>
      </w:pPr>
      <w:r>
        <w:t>Švietimo ir mokslo ministro 2004 m. gruodžio 9 d. įsakymu Nr. ISAK-1970 patvirtintas Prevencinio darbo grupių mokyklose ir prevencinio darbo koordinavimo grupių savivaldybėse sudarymo bei jų veiklos krypčių aprašas.</w:t>
      </w:r>
    </w:p>
    <w:p w:rsidR="00B91CA6" w:rsidRDefault="00B91CA6" w:rsidP="00B91CA6">
      <w:pPr>
        <w:pStyle w:val="prastasistinklapis"/>
      </w:pPr>
      <w:r>
        <w:lastRenderedPageBreak/>
        <w:t xml:space="preserve">Pagalbos mokiniui, mokytojui ir mokyklai veiklai organizuoti 2004 m. Švietimo ir mokslo ministerija parengė teisės aktus: Bendrieji socialinės pedagoginės pagalbos teikimo nuostatai (Žin., 2004, Nr. 100-3729); Specialiosios pedagoginės pagalbos teikimo tvarkos aprašas (Žin., 2004, 92-3385); Psichologinės pagalbos teikimo mokiniams tvarka (Žin., 2004, Nr. 92-3384). Švietimo ir mokslo ministerija 2004 m. organizavo Vaikų vasaros poilsio programų konkursą. Programoms finansuoti skirta 3,265 mln. Lt. Vasarą iš viso pailsėjo per 86 000 vaikų, iš jų -56 000 socialiai remtinų. </w:t>
      </w:r>
    </w:p>
    <w:p w:rsidR="00B91CA6" w:rsidRDefault="00B91CA6" w:rsidP="00B91CA6">
      <w:pPr>
        <w:pStyle w:val="prastasistinklapis"/>
      </w:pPr>
      <w:r>
        <w:t xml:space="preserve">Vyko Krašto apsaugos ministerijos, Lietuvos kariuomenės ir Lietuvos šaulių sąjungos projektas „Mobiliosios stovyklos“. Skirta 250 tūkst. Lt, organizuotos 53 stovyklos, pailsėjo apie 10 000 vaikų. Kūno kultūros ir sporto departamentui skyrus 105 tūkst., Lt, pailsėjo 10,7 tūkst. vaikų. </w:t>
      </w:r>
    </w:p>
    <w:p w:rsidR="00B91CA6" w:rsidRDefault="00B91CA6" w:rsidP="00B91CA6">
      <w:pPr>
        <w:pStyle w:val="prastasistinklapis"/>
      </w:pPr>
      <w:r>
        <w:t>Pirminės narkomanijos prevencijos ir kryptingo vaikų užimtumo 2004 m. konkurse buvo finansuojama 214 projektų, kuriuose dalyvavo per 150 000 šalies vaikų ir jaunimo, projektams buvo skirta 1,5 mln. Lt. 2005 m. finansuojama 117 projektų, skirta 504 tūkst. Lt.</w:t>
      </w:r>
    </w:p>
    <w:p w:rsidR="00B91CA6" w:rsidRDefault="00B91CA6" w:rsidP="00B91CA6">
      <w:pPr>
        <w:pStyle w:val="prastasistinklapis"/>
      </w:pPr>
      <w:r>
        <w:t>Ugdymo įstaigose dirbo 89 sveikatos ugdymo konsultantai, per 800 socialinių pedagogų ir per 300 psichologų. Sveikatą stiprinančių mokyklų projekte dalyvauja 289 institucijos, iš jų 124 mokyklos ir 165 ikimokyklinės įstaigos. Kuriamos ir įgyvendinamos individualios programos mokyklose, kurių tikslas yra suteikti vaikams, mokiniams ir studentams reikiamų žinių, formuoti brandžias vertybines nuostatas ir gyvenimo įgūdžius bei sveikos gyvensenos poreikį.</w:t>
      </w:r>
    </w:p>
    <w:p w:rsidR="00B91CA6" w:rsidRDefault="00B91CA6" w:rsidP="00B91CA6">
      <w:pPr>
        <w:pStyle w:val="prastasistinklapis"/>
      </w:pPr>
      <w:r>
        <w:t xml:space="preserve">2004 m. Švietimo ir mokslo ministerijos organizuotas Vaikų ir paauglių nusikalstamumo prevencijos konkursas, skirta 1 mln. Lt, paremtos 808 programos, užimta 112 tūkst. vaikų, iš jų - 39 proc. socialiai ir pedagogiškai apleistų. 2004 m. savivaldybėse įsteigtos 26 naujos pedagoginės- psichologinės tarnybos, kurioms Švietimo ir mokslo ministerija skyrė 1 mln. Lt. Iš viso šalyje dirba 50 tarnybų. </w:t>
      </w:r>
    </w:p>
    <w:p w:rsidR="00B91CA6" w:rsidRDefault="00B91CA6" w:rsidP="00B91CA6">
      <w:pPr>
        <w:pStyle w:val="prastasistinklapis"/>
      </w:pPr>
      <w:r>
        <w:t>Lietuvos Respublikos Vyriausybės 2004 m. vasario 23 d. nutarimu Nr.209 parengta ir patvirtinta Vaikų ir jaunimo socializacijos programa.</w:t>
      </w:r>
    </w:p>
    <w:p w:rsidR="00B91CA6" w:rsidRDefault="00B91CA6" w:rsidP="00B91CA6">
      <w:pPr>
        <w:pStyle w:val="prastasistinklapis"/>
      </w:pPr>
      <w:r>
        <w:t>2004 m. įvairiose programose dalyvavo 348 000 vaikų, vietoje planuotų 300 000, iš jų: vasaros poilsio programoje per - 86 000, vaikų ir paauglių nusikalstamumo prevencijos programose - apie 112 000, kryptingo užimtumo programose - apie 150 000 vaikų.</w:t>
      </w:r>
    </w:p>
    <w:p w:rsidR="00B91CA6" w:rsidRDefault="00B91CA6" w:rsidP="00B91CA6">
      <w:pPr>
        <w:pStyle w:val="prastasistinklapis"/>
        <w:rPr>
          <w:b/>
          <w:bCs/>
        </w:rPr>
      </w:pPr>
      <w:r>
        <w:t>Per 2004 m. į vaiko teisių apsaugos institucijos įskaitą įtrauktos 1964 socialinės rizikos šeimos ir iki 2005 m. vasario 25 d</w:t>
      </w:r>
      <w:r>
        <w:rPr>
          <w:b/>
          <w:bCs/>
        </w:rPr>
        <w:t>.</w:t>
      </w:r>
      <w:r>
        <w:t xml:space="preserve"> iš viso tokių šeimų yra 16 869</w:t>
      </w:r>
      <w:r>
        <w:rPr>
          <w:b/>
          <w:bCs/>
        </w:rPr>
        <w:t>.</w:t>
      </w:r>
    </w:p>
    <w:p w:rsidR="00B91CA6" w:rsidRDefault="00B91CA6" w:rsidP="00B91CA6">
      <w:pPr>
        <w:pStyle w:val="prastasistinklapis"/>
        <w:rPr>
          <w:b/>
          <w:bCs/>
        </w:rPr>
      </w:pPr>
      <w:r>
        <w:t>Socialinės rizikos šeimose auga 36 895 vaikai, iš jų: iki 3 metų amžiaus - 5866, nuo 4 iki 6 metų amžiaus - 6619</w:t>
      </w:r>
      <w:r>
        <w:rPr>
          <w:b/>
          <w:bCs/>
        </w:rPr>
        <w:t xml:space="preserve"> </w:t>
      </w:r>
      <w:r>
        <w:t>vaikai, nuo 7 iki 17 metų amžiaus - 24 410 vaikų</w:t>
      </w:r>
      <w:r>
        <w:rPr>
          <w:b/>
          <w:bCs/>
        </w:rPr>
        <w:t>.</w:t>
      </w:r>
    </w:p>
    <w:p w:rsidR="00B91CA6" w:rsidRDefault="00B91CA6" w:rsidP="00B91CA6">
      <w:pPr>
        <w:pStyle w:val="prastasistinklapis"/>
      </w:pPr>
      <w:r>
        <w:t>Iš socialinės rizikos grupės šeimų dėl girtavimo, psichotropinių medžiagų vartojimo į įskaitą pateko</w:t>
      </w:r>
      <w:r>
        <w:rPr>
          <w:b/>
          <w:bCs/>
        </w:rPr>
        <w:t xml:space="preserve"> </w:t>
      </w:r>
      <w:r>
        <w:t>12 466</w:t>
      </w:r>
      <w:r>
        <w:rPr>
          <w:b/>
          <w:bCs/>
        </w:rPr>
        <w:t xml:space="preserve"> </w:t>
      </w:r>
      <w:r>
        <w:t>šeimos, kuriose yra</w:t>
      </w:r>
      <w:r>
        <w:rPr>
          <w:b/>
          <w:bCs/>
        </w:rPr>
        <w:t xml:space="preserve"> </w:t>
      </w:r>
      <w:r>
        <w:t>27 079 vaikai. Iš jų: iki 3 m. - 4 142 vaikai, nuo 4 iki 6 m. -5233 vaikai, nuo 7 metų amžiaus iki 17 m. yra 17 704 vaikai.</w:t>
      </w:r>
    </w:p>
    <w:p w:rsidR="00B91CA6" w:rsidRDefault="00B91CA6" w:rsidP="00B91CA6">
      <w:pPr>
        <w:pStyle w:val="prastasistinklapis"/>
      </w:pPr>
      <w:r>
        <w:t xml:space="preserve">Šeimų, globojančių (rūpinančių) vaikus yra 6 077 šeimos, kuriose globojami 7987 vaikai. Iš jų: iki 3 metų - 422 vaikai, nuo 4 iki 6 m. - 941 vaikas, nuo 7 iki 17 m. - 6 624 vaikai. </w:t>
      </w:r>
    </w:p>
    <w:p w:rsidR="00B91CA6" w:rsidRDefault="00B91CA6" w:rsidP="00B91CA6">
      <w:pPr>
        <w:pStyle w:val="prastasistinklapis"/>
      </w:pPr>
      <w:r>
        <w:t>40 šeimynų globoja 312 vaikų. Institucijose globojamų (rūpinamų) yra 6 196 vaikų. Iš jų:</w:t>
      </w:r>
    </w:p>
    <w:p w:rsidR="00B91CA6" w:rsidRDefault="00B91CA6" w:rsidP="00B91CA6">
      <w:pPr>
        <w:pStyle w:val="prastasistinklapis"/>
      </w:pPr>
      <w:r>
        <w:t>iki 3 m. amžiaus - 780 vaikų, nuo 4 iki 6 m. - 727 vaikai, nuo 7 iki 17 m. - 4 689 vaikai.</w:t>
      </w:r>
    </w:p>
    <w:p w:rsidR="00B91CA6" w:rsidRDefault="00B91CA6" w:rsidP="00B91CA6">
      <w:pPr>
        <w:pStyle w:val="prastasistinklapis"/>
        <w:rPr>
          <w:b/>
          <w:bCs/>
          <w:u w:val="single"/>
        </w:rPr>
      </w:pPr>
      <w:r>
        <w:t>2004 m</w:t>
      </w:r>
      <w:r>
        <w:rPr>
          <w:b/>
          <w:bCs/>
        </w:rPr>
        <w:t>.</w:t>
      </w:r>
      <w:r>
        <w:t xml:space="preserve"> vaiko globa pasibaigė 2 439 vaikams. Iš jų: 936 vaikai grąžinti tėvams, 1319 sulaukė pilnametystės arba emancipuoti vaikai, 168 vaikai įvaikinti, 9 vaikai susituokė ir </w:t>
      </w:r>
      <w:r>
        <w:rPr>
          <w:u w:val="single"/>
        </w:rPr>
        <w:t>7 globojami vaikai mirė</w:t>
      </w:r>
      <w:r>
        <w:rPr>
          <w:b/>
          <w:bCs/>
          <w:u w:val="single"/>
        </w:rPr>
        <w:t>.</w:t>
      </w:r>
    </w:p>
    <w:p w:rsidR="00B91CA6" w:rsidRDefault="00B91CA6" w:rsidP="00B91CA6">
      <w:pPr>
        <w:pStyle w:val="prastasistinklapis"/>
      </w:pPr>
      <w:r>
        <w:t>2004 m. laikinoji globa ( rūpyba) pakeista į nuolatinę globą (rūpybą) 1 770 vaikams.</w:t>
      </w:r>
    </w:p>
    <w:p w:rsidR="00B91CA6" w:rsidRDefault="00B91CA6" w:rsidP="00B91CA6">
      <w:pPr>
        <w:pStyle w:val="prastasistinklapis"/>
        <w:jc w:val="center"/>
        <w:rPr>
          <w:b/>
          <w:bCs/>
          <w:sz w:val="27"/>
          <w:szCs w:val="27"/>
        </w:rPr>
      </w:pPr>
      <w:r>
        <w:rPr>
          <w:b/>
          <w:bCs/>
          <w:sz w:val="27"/>
          <w:szCs w:val="27"/>
        </w:rPr>
        <w:lastRenderedPageBreak/>
        <w:t>Komisijos parlamentinė kontrolė</w:t>
      </w:r>
    </w:p>
    <w:p w:rsidR="00B91CA6" w:rsidRDefault="00B91CA6" w:rsidP="00B91CA6">
      <w:pPr>
        <w:pStyle w:val="prastasistinklapis"/>
      </w:pPr>
      <w:r>
        <w:t xml:space="preserve">Narkomanijos prevencijos komisija, vykdydama parlamentinę kontrolę, svarstė Nacionalinės narkotikų kontrolės ir narkomanijos prevencijos 2004 - 2008 metų programos įgyvendinimo 2004 metais ir jos priemonių finansavimo 2004 -2006 metais klausimus. </w:t>
      </w:r>
    </w:p>
    <w:p w:rsidR="00B91CA6" w:rsidRDefault="00B91CA6" w:rsidP="00B91CA6">
      <w:pPr>
        <w:pStyle w:val="prastasistinklapis"/>
      </w:pPr>
      <w:r>
        <w:t>Komisija nagrinėjo šios Programos atskirų prioritetinių krypčių įgyvendinimo klausimus: dėl 2004 -2005 metais pirminės narkomanijos prevencijos tarp vaikų ir jaunimo; dėl savivaldybių administracijų prevencinio darbo koordinavimo grupių veiklos ir pirminės narkomanijos prevencijos 2004 - 2005 mokslo metais vykdymo; dėl neteisėtos narkotinių ir psichotropinių medžiagų pasiūlos mažinimo ir priėmė šiais klausimais sprendimus.</w:t>
      </w:r>
    </w:p>
    <w:p w:rsidR="00B91CA6" w:rsidRDefault="00B91CA6" w:rsidP="00B91CA6">
      <w:pPr>
        <w:pStyle w:val="prastasistinklapis"/>
      </w:pPr>
      <w:r>
        <w:t>Siekiant sustabdyti ir sumažinti narkomanijos plitimą, užkirsti kelią neteisėtai narkotikų apyvartai, įgyvendinti valstybės politikos prioritetus narkomanijos prevencijos ir narkotikų kontrolės srityje, nuosekliai ir kompleksiškai šalinant narkomanijos atsiradimo ir plitimo priežastis ir sąlygas, racionaliai naudojant finansinius bei žmogiškuosius išteklius, Lietuvos Respublikos Seimas 2004 m. balandžio 8 d. nutarimu Nr. IX- 2110 patvirtino Nacionalinę narkotikų kontrolės ir narkomanijos prevencijos 2004 -2008 metų programą (toliau- Programa).</w:t>
      </w:r>
    </w:p>
    <w:p w:rsidR="00B91CA6" w:rsidRDefault="00B91CA6" w:rsidP="00B91CA6">
      <w:pPr>
        <w:pStyle w:val="prastasistinklapis"/>
      </w:pPr>
      <w:r>
        <w:t>Strateginis Programos tikslas - sustabdyti ir sumažinti narkomanijos plitimą, nustatyti ir įgyvendinti pagrindines valstybės politikos gaires ir veiklos kryptis narkomanijos prevencijos ir narkotikų kontrolės srityje, padidinti narkomanijos prevencijos Lietuvoje veiksmingumą.</w:t>
      </w:r>
    </w:p>
    <w:p w:rsidR="00B91CA6" w:rsidRDefault="00B91CA6" w:rsidP="00B91CA6">
      <w:pPr>
        <w:pStyle w:val="prastasistinklapis"/>
      </w:pPr>
      <w:r>
        <w:t>Lietuvos Respublikos Seimas šioje Programoje išskyrė 4 prioritetines narkotikų kontrolės ir narkomanijos prevencijos kryptis:</w:t>
      </w:r>
    </w:p>
    <w:p w:rsidR="00B91CA6" w:rsidRDefault="00B91CA6" w:rsidP="00B91CA6">
      <w:pPr>
        <w:pStyle w:val="prastasistinklapis"/>
      </w:pPr>
      <w:r>
        <w:t>Pirminė narkomanijos prevencija tarp vaikų ir jaunimo.</w:t>
      </w:r>
    </w:p>
    <w:p w:rsidR="00B91CA6" w:rsidRDefault="00B91CA6" w:rsidP="00B91CA6">
      <w:pPr>
        <w:pStyle w:val="prastasistinklapis"/>
      </w:pPr>
      <w:r>
        <w:t>Neteisėtos narkotinių ir psichotropinių medžiagų pasiūlos mažinimas.</w:t>
      </w:r>
    </w:p>
    <w:p w:rsidR="00B91CA6" w:rsidRDefault="00B91CA6" w:rsidP="00B91CA6">
      <w:pPr>
        <w:pStyle w:val="prastasistinklapis"/>
      </w:pPr>
      <w:r>
        <w:t>Asmenų, vartojančių narkotines ir psichotropines medžiagas, sveikatos priežiūra, reabilitacija ir socialinė reintegracija.</w:t>
      </w:r>
    </w:p>
    <w:p w:rsidR="00B91CA6" w:rsidRDefault="00B91CA6" w:rsidP="00B91CA6">
      <w:pPr>
        <w:pStyle w:val="prastasistinklapis"/>
      </w:pPr>
      <w:r>
        <w:t>Moksliniai tyrimai ir informacinės sistemos plėtra.</w:t>
      </w:r>
    </w:p>
    <w:p w:rsidR="00B91CA6" w:rsidRDefault="00B91CA6" w:rsidP="00B91CA6">
      <w:pPr>
        <w:pStyle w:val="prastasistinklapis"/>
      </w:pPr>
      <w:r>
        <w:t>Lietuvos Respublikos Vyriausybei pasiūlyta organizuoti Nacionalinės narkotikų kontrolės ir narkomanijos prevencijos 2004 -2008 metų programos įgyvendinimą, kasmet patvirtinus Programos įgyvendinimo priemonių planą. Tokios priemonės buvo patvirtintos 2004 metais, 2005 metais ir 2006 metais.</w:t>
      </w:r>
    </w:p>
    <w:p w:rsidR="00B91CA6" w:rsidRDefault="00B91CA6" w:rsidP="00B91CA6">
      <w:pPr>
        <w:pStyle w:val="prastasistinklapis"/>
      </w:pPr>
      <w:r>
        <w:t>Svarbiausi Programos uždaviniai:</w:t>
      </w:r>
    </w:p>
    <w:p w:rsidR="00B91CA6" w:rsidRDefault="00B91CA6" w:rsidP="00B91CA6">
      <w:pPr>
        <w:pStyle w:val="prastasistinklapis"/>
      </w:pPr>
      <w:r>
        <w:t>-formuoti neigiamą visuomenės požiūrį į narkotinių ir psichotropinių medžiagų vartojimą, ypač rūpintis narkomanijos prevencija šeimoje, tarp vaikų ir jaunimo, diegti vaikams ir jaunimui sveiko gyvenimo vertybines nuostatas ( Programos 26.1p.);</w:t>
      </w:r>
    </w:p>
    <w:p w:rsidR="00B91CA6" w:rsidRDefault="00B91CA6" w:rsidP="00B91CA6">
      <w:pPr>
        <w:pStyle w:val="prastasistinklapis"/>
      </w:pPr>
      <w:r>
        <w:t>- plėtoti valstybės institucijų, vykdančių narkomanijos prevenciją bei narkotikų kontrolę, visuomeninių organizacijų ir bendruomenės tarpusavio bendradarbiavimą (Programos 26.2 p.);</w:t>
      </w:r>
    </w:p>
    <w:p w:rsidR="00B91CA6" w:rsidRDefault="00B91CA6" w:rsidP="00B91CA6">
      <w:pPr>
        <w:pStyle w:val="prastasistinklapis"/>
      </w:pPr>
      <w:r>
        <w:t>- skatinti savivaldybių ir regionų valdymo institucijų iniciatyvas sprendžiant narkomanijos prevencijos bei narkotikų kontrolės problemas (Programos 26.3 p.);</w:t>
      </w:r>
    </w:p>
    <w:p w:rsidR="00B91CA6" w:rsidRDefault="00B91CA6" w:rsidP="00B91CA6">
      <w:pPr>
        <w:pStyle w:val="prastasistinklapis"/>
      </w:pPr>
      <w:r>
        <w:t>- gerinti teisėsaugos institucijų veiklą siekiant mažinti narkotikų pasiūlą ir apsunkinant jų prieinamumą (Programos 26.4 p.);</w:t>
      </w:r>
    </w:p>
    <w:p w:rsidR="00B91CA6" w:rsidRDefault="00B91CA6" w:rsidP="00B91CA6">
      <w:pPr>
        <w:pStyle w:val="prastasistinklapis"/>
      </w:pPr>
      <w:r>
        <w:lastRenderedPageBreak/>
        <w:t>- plėtoti objektyvios narkomanijos prevencijos bei narkotikų kontrolės informacijos rinkimo ir analizės sistemą, atitinkančią Europos Sąjungos reikalavimus (Programos 26.5 p.);</w:t>
      </w:r>
    </w:p>
    <w:p w:rsidR="00B91CA6" w:rsidRDefault="00B91CA6" w:rsidP="00B91CA6">
      <w:pPr>
        <w:pStyle w:val="prastasistinklapis"/>
      </w:pPr>
      <w:r>
        <w:t>- skatinti tarptautinį bendradarbiavimą narkomanijos prevencijos bei narkotikų kontrolės srityje, pagrįstą regioniniais ir nacionaliniais projektais bei programomis (Programos 26.6 p.);</w:t>
      </w:r>
    </w:p>
    <w:p w:rsidR="00B91CA6" w:rsidRDefault="00B91CA6" w:rsidP="00B91CA6">
      <w:pPr>
        <w:pStyle w:val="prastasistinklapis"/>
      </w:pPr>
      <w:r>
        <w:t>- užtikrinti pinigų, gautų iš neteisėtos narkotikų apyvartos, plovimo prevencijos priemonių įgyvendinimą (Programos 26.7 p.);</w:t>
      </w:r>
    </w:p>
    <w:p w:rsidR="00B91CA6" w:rsidRDefault="00B91CA6" w:rsidP="00B91CA6">
      <w:pPr>
        <w:pStyle w:val="prastasistinklapis"/>
      </w:pPr>
      <w:r>
        <w:t>- užtikrinti valstybės institucijų, vykdančių narkomanijos prevenciją bei narkotikų kontrolę, efektyvų valdymą, kontrolę bei tarpusavio veiksmų koordinavimą (Programos 26.8 p.);</w:t>
      </w:r>
    </w:p>
    <w:p w:rsidR="00B91CA6" w:rsidRDefault="00B91CA6" w:rsidP="00B91CA6">
      <w:pPr>
        <w:pStyle w:val="prastasistinklapis"/>
      </w:pPr>
      <w:r>
        <w:t>- sudaryti sąlygas narkomanija sergantiems asmenims baudžiamąją atsakomybę už nesunkius nusikaltimus pakeisti alternatyviomis gydymo programomis (Programos 26.9 p.).</w:t>
      </w:r>
    </w:p>
    <w:p w:rsidR="00B91CA6" w:rsidRDefault="00B91CA6" w:rsidP="00B91CA6">
      <w:pPr>
        <w:pStyle w:val="prastasistinklapis"/>
      </w:pPr>
      <w:r>
        <w:t xml:space="preserve">Komisija išklausė Policijos departamento prie Lietuvos Respublikos Vidaus reikalų ministerijos, Valstybinės sienos apsaugos tarnybos prie Lietuvos Respublikos Vidaus reikalų ministerijos, Muitinės departamento prie Lietuvos Respublikos Finansų ministerijos, Kalėjimų departamento prie Lietuvos Respublikos Teisingumo ministerijos, Narkotikų kontrolės departamento prie Lietuvos Respublikos informaciją apie narkomanijos prevencijos ir narkotikų kontrolės būklę Lietuvoje bei siūlymus dėl teisės aktų tobulinimo. Komisija gavo visuomeninių organizacijų, kitų organizacijų ir asmenų pasiūlymus dėl narkomanijos prevencijos ir narkotikų kontrolės. </w:t>
      </w:r>
    </w:p>
    <w:p w:rsidR="00B91CA6" w:rsidRDefault="00B91CA6" w:rsidP="00B91CA6">
      <w:pPr>
        <w:pStyle w:val="prastasistinklapis"/>
      </w:pPr>
      <w:r>
        <w:t xml:space="preserve">Komisija dėl Nacionalinės narkotikų kontrolės ir narkomanijos prevencijos 2004 - 2008 metų programos įgyvendinimo 2004 metais ir jos priemonių finansavimo pagal Komisijai pateiktą informaciją </w:t>
      </w:r>
      <w:r>
        <w:rPr>
          <w:b/>
          <w:bCs/>
        </w:rPr>
        <w:t>padarė išvadas</w:t>
      </w:r>
      <w:r>
        <w:t>:</w:t>
      </w:r>
    </w:p>
    <w:p w:rsidR="00B91CA6" w:rsidRDefault="00B91CA6" w:rsidP="00B91CA6">
      <w:pPr>
        <w:pStyle w:val="prastasistinklapis"/>
        <w:rPr>
          <w:i/>
          <w:iCs/>
        </w:rPr>
      </w:pPr>
      <w:r>
        <w:rPr>
          <w:i/>
          <w:iCs/>
        </w:rPr>
        <w:t>"1. Programos strateginiai tikslai, kuriais buvo siekiama sustabdyti ir sumažinti narkomanijos plitimą, nustatyti ir įgyvendinti pagrindines valstybės politikos gaires ir veiklos kryptis narkomanijos prevencijos ir narkotikų kontrolės srityje, padidinti narkomanijos prevencijos Lietuvoje veiksmingumą, iš esmės teisingi, tačiau įgyvendinant šią Programą:</w:t>
      </w:r>
    </w:p>
    <w:p w:rsidR="00B91CA6" w:rsidRDefault="00B91CA6" w:rsidP="00B91CA6">
      <w:pPr>
        <w:numPr>
          <w:ilvl w:val="0"/>
          <w:numId w:val="1"/>
        </w:numPr>
        <w:spacing w:before="100" w:beforeAutospacing="1" w:after="100" w:afterAutospacing="1"/>
        <w:rPr>
          <w:i/>
          <w:iCs/>
        </w:rPr>
      </w:pPr>
      <w:r>
        <w:rPr>
          <w:i/>
          <w:iCs/>
        </w:rPr>
        <w:t xml:space="preserve">nepasiekta narkomanijos augimo tempų bei narkotikų pasiūlos ir paklausos sumažėjimo; </w:t>
      </w:r>
    </w:p>
    <w:p w:rsidR="00B91CA6" w:rsidRDefault="00B91CA6" w:rsidP="00B91CA6">
      <w:pPr>
        <w:numPr>
          <w:ilvl w:val="0"/>
          <w:numId w:val="1"/>
        </w:numPr>
        <w:spacing w:before="100" w:beforeAutospacing="1" w:after="100" w:afterAutospacing="1"/>
        <w:rPr>
          <w:i/>
          <w:iCs/>
        </w:rPr>
      </w:pPr>
      <w:r>
        <w:rPr>
          <w:i/>
          <w:iCs/>
        </w:rPr>
        <w:t xml:space="preserve">nesukurta efektyvi narkotikų kontrolės ir narkomanijos prevencijos sistema, nesudarytos reikiamos galimybės parinkti ir taikyti veiksmingas priemones, mažinant narkomanijos ekonominę ir socialinę žalą; </w:t>
      </w:r>
    </w:p>
    <w:p w:rsidR="00B91CA6" w:rsidRDefault="00B91CA6" w:rsidP="00B91CA6">
      <w:pPr>
        <w:numPr>
          <w:ilvl w:val="0"/>
          <w:numId w:val="1"/>
        </w:numPr>
        <w:spacing w:before="100" w:beforeAutospacing="1" w:after="100" w:afterAutospacing="1"/>
        <w:rPr>
          <w:i/>
          <w:iCs/>
        </w:rPr>
      </w:pPr>
      <w:r>
        <w:rPr>
          <w:i/>
          <w:iCs/>
        </w:rPr>
        <w:t xml:space="preserve">nesukurta asmenų, vartojančių narkotines ir psichotropines medžiagas, sveikatos priežiūros, reabilitacijos ir socialinės reintegracijos sistema; </w:t>
      </w:r>
    </w:p>
    <w:p w:rsidR="00B91CA6" w:rsidRDefault="00B91CA6" w:rsidP="00B91CA6">
      <w:pPr>
        <w:numPr>
          <w:ilvl w:val="0"/>
          <w:numId w:val="1"/>
        </w:numPr>
        <w:spacing w:before="100" w:beforeAutospacing="1" w:after="100" w:afterAutospacing="1"/>
        <w:rPr>
          <w:i/>
          <w:iCs/>
        </w:rPr>
      </w:pPr>
      <w:r>
        <w:rPr>
          <w:i/>
          <w:iCs/>
        </w:rPr>
        <w:t xml:space="preserve">nepagerėjo iš esmės bendradarbiavimas tarp institucijų ir veiksmų koordinavimas visuose sektoriuose ir todėl nepilnai sukurta saugesnė žmogaus aplinka. </w:t>
      </w:r>
    </w:p>
    <w:p w:rsidR="00B91CA6" w:rsidRDefault="00B91CA6" w:rsidP="00B91CA6">
      <w:pPr>
        <w:pStyle w:val="prastasistinklapis"/>
        <w:rPr>
          <w:i/>
          <w:iCs/>
        </w:rPr>
      </w:pPr>
      <w:r>
        <w:rPr>
          <w:i/>
          <w:iCs/>
        </w:rPr>
        <w:t>2. Todėl manome, kad ir toliau išlieka šie svarbiausi uždaviniai:</w:t>
      </w:r>
    </w:p>
    <w:p w:rsidR="00B91CA6" w:rsidRDefault="00B91CA6" w:rsidP="00B91CA6">
      <w:pPr>
        <w:pStyle w:val="prastasistinklapis"/>
      </w:pPr>
      <w:r>
        <w:t>-formuoti neigiamą visuomenės požiūrį į narkotinių ir psichotropinių medžiagų vartojimą, ypač rūpintis narkomanijos prevencija šeimoje, tarp vaikų ir jaunimo, diegti vaikams ir jaunimui sveiko gyvenimo vertybines nuostatas ( Programos 26.1p.);</w:t>
      </w:r>
    </w:p>
    <w:p w:rsidR="00B91CA6" w:rsidRDefault="00B91CA6" w:rsidP="00B91CA6">
      <w:pPr>
        <w:pStyle w:val="prastasistinklapis"/>
      </w:pPr>
      <w:r>
        <w:t>- plėtoti valstybės institucijų, vykdančių narkomanijos prevenciją bei narkotikų kontrolę, visuomeninių organizacijų ir bendruomenės tarpusavio bendradarbiavimą (Programos 26.2 p.);</w:t>
      </w:r>
    </w:p>
    <w:p w:rsidR="00B91CA6" w:rsidRDefault="00B91CA6" w:rsidP="00B91CA6">
      <w:pPr>
        <w:pStyle w:val="prastasistinklapis"/>
      </w:pPr>
      <w:r>
        <w:t>- skatinti savivaldybių ir regionų valdymo institucijų iniciatyvas sprendžiant narkomanijos prevencijos bei narkotikų kontrolės problemas (Programos 26.3 p.);</w:t>
      </w:r>
    </w:p>
    <w:p w:rsidR="00B91CA6" w:rsidRDefault="00B91CA6" w:rsidP="00B91CA6">
      <w:pPr>
        <w:pStyle w:val="prastasistinklapis"/>
      </w:pPr>
      <w:r>
        <w:t>- gerinti teisėsaugos institucijų veiklą siekiant mažinti narkotikų pasiūlą ir apsunkinant jų prieinamumą (Programos 26.4 p.);</w:t>
      </w:r>
    </w:p>
    <w:p w:rsidR="00B91CA6" w:rsidRDefault="00B91CA6" w:rsidP="00B91CA6">
      <w:pPr>
        <w:pStyle w:val="prastasistinklapis"/>
      </w:pPr>
      <w:r>
        <w:lastRenderedPageBreak/>
        <w:t>- plėtoti objektyvios narkomanijos prevencijos bei narkotikų kontrolės informacijos rinkimo ir analizės sistemą, atitinkančią Europos Sąjungos reikalavimus (Programos 26.5 p.);</w:t>
      </w:r>
    </w:p>
    <w:p w:rsidR="00B91CA6" w:rsidRDefault="00B91CA6" w:rsidP="00B91CA6">
      <w:pPr>
        <w:pStyle w:val="prastasistinklapis"/>
      </w:pPr>
      <w:r>
        <w:t>- skatinti tarptautinį bendradarbiavimą narkomanijos prevencijos bei narkotikų kontrolės srityje, pagrįstą regioniniais ir nacionaliniais projektais bei programomis (Programos 26.6 p.);</w:t>
      </w:r>
    </w:p>
    <w:p w:rsidR="00B91CA6" w:rsidRDefault="00B91CA6" w:rsidP="00B91CA6">
      <w:pPr>
        <w:pStyle w:val="prastasistinklapis"/>
      </w:pPr>
      <w:r>
        <w:t>- užtikrinti pinigų, gautų iš neteisėtos narkotikų apyvartos, plovimo, prevencijos priemonių įgyvendinimui panaudojimą</w:t>
      </w:r>
      <w:r>
        <w:rPr>
          <w:i/>
          <w:iCs/>
        </w:rPr>
        <w:t xml:space="preserve"> </w:t>
      </w:r>
      <w:r>
        <w:t>(Programos 26.7 p.);</w:t>
      </w:r>
    </w:p>
    <w:p w:rsidR="00B91CA6" w:rsidRDefault="00B91CA6" w:rsidP="00B91CA6">
      <w:pPr>
        <w:pStyle w:val="prastasistinklapis"/>
      </w:pPr>
      <w:r>
        <w:t>- užtikrinti valstybės institucijų, vykdančių narkomanijos prevenciją bei narkotikų kontrolę, efektyvų valdymą, kontrolę bei tarpusavio veiksmų koordinavimą (Programos 26.8 p.);</w:t>
      </w:r>
    </w:p>
    <w:p w:rsidR="00B91CA6" w:rsidRDefault="00B91CA6" w:rsidP="00B91CA6">
      <w:pPr>
        <w:pStyle w:val="prastasistinklapis"/>
      </w:pPr>
      <w:r>
        <w:t>- sudaryti sąlygas ir sukurti įstatyminę bazę, leidžiančią narkomanija sergantiems asmenims baudžiamąją atsakomybę už nesunkius ir apysunkius nusikaltimus pakeisti alternatyviomis</w:t>
      </w:r>
      <w:r>
        <w:rPr>
          <w:i/>
          <w:iCs/>
        </w:rPr>
        <w:t xml:space="preserve"> </w:t>
      </w:r>
      <w:r>
        <w:t>gydymo programomis (Programos 26.9 p.).</w:t>
      </w:r>
    </w:p>
    <w:p w:rsidR="00B91CA6" w:rsidRDefault="00B91CA6" w:rsidP="00B91CA6">
      <w:pPr>
        <w:pStyle w:val="prastasistinklapis"/>
      </w:pPr>
      <w:r>
        <w:t>3.</w:t>
      </w:r>
      <w:r>
        <w:rPr>
          <w:i/>
          <w:iCs/>
        </w:rPr>
        <w:t xml:space="preserve"> Programoje lieka išskirtinos 4 prioritetinės narkotikų kontrolės ir narkomanijos prevencijos kryptys</w:t>
      </w:r>
      <w:r>
        <w:t>:</w:t>
      </w:r>
    </w:p>
    <w:p w:rsidR="00B91CA6" w:rsidRDefault="00B91CA6" w:rsidP="00B91CA6">
      <w:pPr>
        <w:numPr>
          <w:ilvl w:val="0"/>
          <w:numId w:val="2"/>
        </w:numPr>
        <w:spacing w:before="100" w:beforeAutospacing="1" w:after="100" w:afterAutospacing="1"/>
      </w:pPr>
      <w:r>
        <w:t xml:space="preserve">Pirminė narkomanijos prevencija tarp vaikų ir jaunimo. </w:t>
      </w:r>
    </w:p>
    <w:p w:rsidR="00B91CA6" w:rsidRDefault="00B91CA6" w:rsidP="00B91CA6">
      <w:pPr>
        <w:numPr>
          <w:ilvl w:val="0"/>
          <w:numId w:val="2"/>
        </w:numPr>
        <w:spacing w:before="100" w:beforeAutospacing="1" w:after="100" w:afterAutospacing="1"/>
      </w:pPr>
      <w:r>
        <w:t xml:space="preserve">Neteisėtos narkotinių ir psichotropinių medžiagų pasiūlos mažinimas. </w:t>
      </w:r>
    </w:p>
    <w:p w:rsidR="00B91CA6" w:rsidRDefault="00B91CA6" w:rsidP="00B91CA6">
      <w:pPr>
        <w:numPr>
          <w:ilvl w:val="0"/>
          <w:numId w:val="2"/>
        </w:numPr>
        <w:spacing w:before="100" w:beforeAutospacing="1" w:after="100" w:afterAutospacing="1"/>
      </w:pPr>
      <w:r>
        <w:t xml:space="preserve">Asmenų, vartojančių narkotines ir psichotropines medžiagas, sveikatos priežiūra, reabilitacija ir socialinė reintegracija. </w:t>
      </w:r>
    </w:p>
    <w:p w:rsidR="00B91CA6" w:rsidRDefault="00B91CA6" w:rsidP="00B91CA6">
      <w:pPr>
        <w:numPr>
          <w:ilvl w:val="0"/>
          <w:numId w:val="2"/>
        </w:numPr>
        <w:spacing w:before="100" w:beforeAutospacing="1" w:after="100" w:afterAutospacing="1"/>
      </w:pPr>
      <w:r>
        <w:t xml:space="preserve">Moksliniai tyrimai ir informacinės sistemos plėtra. </w:t>
      </w:r>
    </w:p>
    <w:p w:rsidR="00B91CA6" w:rsidRDefault="00B91CA6" w:rsidP="00B91CA6">
      <w:pPr>
        <w:pStyle w:val="prastasistinklapis"/>
      </w:pPr>
      <w:r>
        <w:t>4</w:t>
      </w:r>
      <w:r>
        <w:rPr>
          <w:i/>
          <w:iCs/>
        </w:rPr>
        <w:t>. Rekomenduoti Lietuvos Respublikos Vyriausybei skirti prioritetinių narkotikų kontrolės ir narkomanijos prevencijos krypčių įgyvendinimui reikiamą finansavimą..</w:t>
      </w:r>
      <w:r>
        <w:t xml:space="preserve"> </w:t>
      </w:r>
    </w:p>
    <w:p w:rsidR="00B91CA6" w:rsidRDefault="00B91CA6" w:rsidP="00B91CA6">
      <w:pPr>
        <w:pStyle w:val="prastasistinklapis"/>
      </w:pPr>
      <w:r>
        <w:t>2004 metais Lietuvos Respublikos Vyriausybė Programos įgyvendinimui skyrė 11 mln. 91 tūkst. litų. Komisijos nuomone, finansavimo kriterijai neaiškūs, o svarbiausioms prioritetinių narkotikų kontrolės ir narkomanijos prevencijos kryptims lėšų skirta per mažai:</w:t>
      </w:r>
    </w:p>
    <w:p w:rsidR="00B91CA6" w:rsidRDefault="00B91CA6" w:rsidP="00B91CA6">
      <w:pPr>
        <w:pStyle w:val="prastasistinklapis"/>
      </w:pPr>
      <w:r>
        <w:t>-pirminei narkomanijos prevencijai tarp vaikų ir jaunimo skirta tik 3 mln. 10 tūkst. litų, arba 27 procentai;</w:t>
      </w:r>
    </w:p>
    <w:p w:rsidR="00B91CA6" w:rsidRDefault="00B91CA6" w:rsidP="00B91CA6">
      <w:pPr>
        <w:pStyle w:val="prastasistinklapis"/>
      </w:pPr>
      <w:r>
        <w:t xml:space="preserve">-neteisėtos narkotinių ir psichotropinių medžiagų pasiūlos mažinimui skirta tik 650 tūkst. litų arba 6 procentai; </w:t>
      </w:r>
    </w:p>
    <w:p w:rsidR="00B91CA6" w:rsidRDefault="00B91CA6" w:rsidP="00B91CA6">
      <w:pPr>
        <w:pStyle w:val="prastasistinklapis"/>
      </w:pPr>
      <w:r>
        <w:t>-asmenų, vartojančių narkotines ir psichotropines medžiagas, sveikatos priežiūrai, reabilitacijai ir socialinei reintegracijai skirta net 7 mln. 431 tūkst. litų (Priklausomybės ligų centrams ir Socialinės apsaugos ir darbo ministerijai) arba 63 procentai;</w:t>
      </w:r>
    </w:p>
    <w:p w:rsidR="00B91CA6" w:rsidRDefault="00B91CA6" w:rsidP="00B91CA6">
      <w:pPr>
        <w:pStyle w:val="prastasistinklapis"/>
      </w:pPr>
      <w:r>
        <w:t>-moksliniams tyrimams ir informacinės sistemos plėtrai skyrė 446 tūkst. litų arba 4 procentus,</w:t>
      </w:r>
      <w:r>
        <w:rPr>
          <w:b/>
          <w:bCs/>
        </w:rPr>
        <w:t xml:space="preserve"> </w:t>
      </w:r>
      <w:r>
        <w:t>bet ne moksliniams tyrimams."</w:t>
      </w:r>
    </w:p>
    <w:p w:rsidR="00B91CA6" w:rsidRDefault="00B91CA6" w:rsidP="00B91CA6">
      <w:pPr>
        <w:pStyle w:val="prastasistinklapis"/>
      </w:pPr>
      <w:r>
        <w:t xml:space="preserve">Komisija kartu su Švietimo, mokslo ir kultūros komitetu bei Šeimos ir vaiko reikalų komisija nagrinėdama Nacionalinės narkotikų kontrolės ir narkomanijos prevencijos 2004-2008 metų programos įgyvendinimo 2004 ir 2005 metais: pirminė narkomanijos prevencija tarp vaikų (nepilnamečių) klausimą </w:t>
      </w:r>
      <w:r>
        <w:rPr>
          <w:b/>
          <w:bCs/>
        </w:rPr>
        <w:t>padarė išvadą ir priėmė sprendimą</w:t>
      </w:r>
      <w:r>
        <w:t xml:space="preserve">: </w:t>
      </w:r>
    </w:p>
    <w:p w:rsidR="00B91CA6" w:rsidRDefault="00B91CA6" w:rsidP="00B91CA6">
      <w:pPr>
        <w:pStyle w:val="prastasistinklapis"/>
      </w:pPr>
      <w:r>
        <w:t>"1. Pasiūlyti Lietuvos Respublikos Vyriausybei:</w:t>
      </w:r>
    </w:p>
    <w:p w:rsidR="00B91CA6" w:rsidRDefault="00B91CA6" w:rsidP="00B91CA6">
      <w:pPr>
        <w:pStyle w:val="prastasistinklapis"/>
      </w:pPr>
      <w:r>
        <w:t>1.1. Pirminę narkomanijos prevenciją derinti su alkoholio ir tabako vartojimo prevencija, grindžiant darniu ugdymu šeimoje, mokykloje, bendruomenėje ir šioms priemonėms įgyvendinti skirti 2006 m. reikiamą finansavimą.</w:t>
      </w:r>
    </w:p>
    <w:p w:rsidR="00B91CA6" w:rsidRDefault="00B91CA6" w:rsidP="00B91CA6">
      <w:pPr>
        <w:pStyle w:val="prastasistinklapis"/>
      </w:pPr>
      <w:r>
        <w:lastRenderedPageBreak/>
        <w:t>1.2. Sujungti Prevencinio darbo koordinavimo grupes savivaldybėse su Narkotikų kontrolės komisijomis ir tuo tikslu pakeisti Lietuvos Respublikos Vyriausybės 2003 m. balandžio 8 d. nutarimą Nr.416 „Dėl pavyzdinių savivaldybių narkotikų kontrolės komisijos nuostatų patvirtinimo“ (Žin., 2003, Nr. 35-1471).</w:t>
      </w:r>
    </w:p>
    <w:p w:rsidR="00B91CA6" w:rsidRDefault="00B91CA6" w:rsidP="00B91CA6">
      <w:pPr>
        <w:pStyle w:val="prastasistinklapis"/>
      </w:pPr>
      <w:r>
        <w:t>1.3.</w:t>
      </w:r>
      <w:r>
        <w:rPr>
          <w:b/>
          <w:bCs/>
        </w:rPr>
        <w:t xml:space="preserve"> </w:t>
      </w:r>
      <w:r>
        <w:rPr>
          <w:rStyle w:val="Grietas"/>
        </w:rPr>
        <w:t xml:space="preserve">Nacionalinės narkotikų kontrolės ir narkomanijos prevencijos 2004–2008 m. programos 2006 m. priemonėms įgyvendinti </w:t>
      </w:r>
      <w:r>
        <w:rPr>
          <w:b/>
          <w:bCs/>
        </w:rPr>
        <w:t>s</w:t>
      </w:r>
      <w:r>
        <w:t xml:space="preserve">kirti Švietimo ir mokslo ministerijai papildomai 2,4 mln. Lt vykdyti pirminę narkomanijos prevencijos ir ankstyvąją intervenciją mokyklų bendruomenėje (darbui su vaikais, mokytojais, mokyklų administracija ir tėvais); plėtoti valstybės institucijų, vykdančių narkomanijos prevenciją ir narkotikų kontrolę, asociacijų ir bendruomenės tarpusavio bendradarbiavimą (Programos 26.2 punktas); rengti profesinio tobulinimo kursus, rengti ir įgyvendinti perkvalifikavimo ir mokymo programas įvairių specialybių darbuotojams, dirbantiems narkomanijos prevencijos ir narkotikų kontrolės srityje. </w:t>
      </w:r>
    </w:p>
    <w:p w:rsidR="00B91CA6" w:rsidRDefault="00B91CA6" w:rsidP="00B91CA6">
      <w:pPr>
        <w:pStyle w:val="prastasistinklapis"/>
      </w:pPr>
      <w:r>
        <w:t xml:space="preserve">1.4. Sujungti Alkoholio, Tabako kontrolės ir Nacionalinės narkotikų kontrolės ir narkomanijos prevencijos 2004–2008 metų programų įgyvendinimo koordinavimą ir kontroliuoti, kad šių programų prevencijos priemonės būtų vykdomos moksliškai pagrįstais metodais. Pavesti tai atlikti Narkotikų kontrolės departamentui prie Lietuvos Respublikos Vyriausybės. </w:t>
      </w:r>
    </w:p>
    <w:p w:rsidR="00B91CA6" w:rsidRDefault="00B91CA6" w:rsidP="00B91CA6">
      <w:pPr>
        <w:pStyle w:val="prastasistinklapis"/>
      </w:pPr>
      <w:r>
        <w:t>1.5. Nustatyti Nacionalinės narkotikų kontrolės ir narkomanijos prevencijos programos finansavimo, atskaitomybės bei kontrolės tvarką, siekiant tikslingai ir taupiai naudoti skirtas lėšas, kontroliuoti, kad šios lėšos nebūtų panaudotos kitų programų priemonėms finansuoti.</w:t>
      </w:r>
    </w:p>
    <w:p w:rsidR="00B91CA6" w:rsidRDefault="00B91CA6" w:rsidP="00B91CA6">
      <w:pPr>
        <w:pStyle w:val="prastasistinklapis"/>
      </w:pPr>
      <w:r>
        <w:t xml:space="preserve">1.6. Nustatyti, kad Narkomanijos pirminės prevencijos projektų vertinimus turi atlikti, konsultacijas prevencijos projektų rengimo klausimais turi teikti pagal nustatytus vienodus reikalavimus valstybės tarnautojai, aukštųjų mokyklų, mokslo įstaigų mokslininkai. </w:t>
      </w:r>
    </w:p>
    <w:p w:rsidR="00B91CA6" w:rsidRDefault="00B91CA6" w:rsidP="00B91CA6">
      <w:pPr>
        <w:pStyle w:val="prastasistinklapis"/>
      </w:pPr>
      <w:r>
        <w:t xml:space="preserve">1.7. Patvirtinti švietimo įstaigoms bendrą narkomanijos prevencijos strategiją, kurioje būtų numatytas prevencinių priemonių diferencijavimas pagal amžių, lytį, rizikos grupes ir kt. </w:t>
      </w:r>
    </w:p>
    <w:p w:rsidR="00B91CA6" w:rsidRDefault="00B91CA6" w:rsidP="00B91CA6">
      <w:pPr>
        <w:pStyle w:val="prastasistinklapis"/>
      </w:pPr>
      <w:r>
        <w:t>1.8.Įsteigti savivaldybėse narkotikų kontrolės ir narkomanijos prevencijos koordinatoriaus, kuris koordinuotų veiklą, etatą.</w:t>
      </w:r>
    </w:p>
    <w:p w:rsidR="00B91CA6" w:rsidRDefault="00B91CA6" w:rsidP="00B91CA6">
      <w:pPr>
        <w:pStyle w:val="prastasistinklapis"/>
      </w:pPr>
      <w:r>
        <w:t>2</w:t>
      </w:r>
      <w:r>
        <w:rPr>
          <w:b/>
          <w:bCs/>
        </w:rPr>
        <w:t xml:space="preserve">. </w:t>
      </w:r>
      <w:r>
        <w:t>Atkreipti Lietuvos Respublikos Vyriausybės dėmesį į tai, kad :</w:t>
      </w:r>
    </w:p>
    <w:p w:rsidR="00B91CA6" w:rsidRDefault="00B91CA6" w:rsidP="00B91CA6">
      <w:pPr>
        <w:pStyle w:val="prastasistinklapis"/>
      </w:pPr>
      <w:r>
        <w:t>2.1. valstybės institucijų, tiesiogiai susijusių su narkomanijos prevencija, veikla finansuojama nepakankamai;</w:t>
      </w:r>
    </w:p>
    <w:p w:rsidR="00B91CA6" w:rsidRDefault="00B91CA6" w:rsidP="00B91CA6">
      <w:pPr>
        <w:pStyle w:val="prastasistinklapis"/>
      </w:pPr>
      <w:r>
        <w:t>2.2. valstybės įstaigų, savivaldos ir nevyriausybinių organizacijų bendradarbiavimas ir veiklos koordinavimas įgyvendinant narkomanijos prevenciją yra nepakankamas;</w:t>
      </w:r>
    </w:p>
    <w:p w:rsidR="00B91CA6" w:rsidRDefault="00B91CA6" w:rsidP="00B91CA6">
      <w:pPr>
        <w:pStyle w:val="prastasistinklapis"/>
      </w:pPr>
      <w:r>
        <w:t>2.3. narkomanijos prevencijos veikla apskrityse ir savivaldybėse organizuota nepakankamai gerai;</w:t>
      </w:r>
    </w:p>
    <w:p w:rsidR="00B91CA6" w:rsidRDefault="00B91CA6" w:rsidP="00B91CA6">
      <w:pPr>
        <w:pStyle w:val="prastasistinklapis"/>
      </w:pPr>
      <w:r>
        <w:t>2.4. narkomanijos prevencija regioniniu lygiu nereglamentuota, apskričių viršininkai neturi tiesioginių įpareigojimų vykdyti šią veiklą;</w:t>
      </w:r>
    </w:p>
    <w:p w:rsidR="00B91CA6" w:rsidRDefault="00B91CA6" w:rsidP="00B91CA6">
      <w:pPr>
        <w:pStyle w:val="prastasistinklapis"/>
      </w:pPr>
      <w:r>
        <w:t>2.5. vykdant pirminę narkomanijos prevenciją mokytojams, mokiniams, policijos pareigūnams trūksta metodinės medžiagos, videofilmų, kitų vaizdinių priemonių ir metodinės literatūros;</w:t>
      </w:r>
    </w:p>
    <w:p w:rsidR="00B91CA6" w:rsidRDefault="00B91CA6" w:rsidP="00B91CA6">
      <w:pPr>
        <w:pStyle w:val="prastasistinklapis"/>
      </w:pPr>
      <w:r>
        <w:t>2.6. nepakankamas dėmesys skiriamas vaikų laisvalaikiui organizuoti, užimtumui po pamokų ir neformaliam ugdymui;</w:t>
      </w:r>
    </w:p>
    <w:p w:rsidR="00B91CA6" w:rsidRDefault="00B91CA6" w:rsidP="00B91CA6">
      <w:pPr>
        <w:pStyle w:val="prastasistinklapis"/>
      </w:pPr>
      <w:r>
        <w:t>2.7. mokyklose trūksta socialinių pedagogų, psichologų etatų."</w:t>
      </w:r>
    </w:p>
    <w:p w:rsidR="00B91CA6" w:rsidRDefault="00B91CA6" w:rsidP="00B91CA6">
      <w:pPr>
        <w:pStyle w:val="prastasistinklapis"/>
      </w:pPr>
      <w:r>
        <w:lastRenderedPageBreak/>
        <w:t xml:space="preserve">Komisija, nagrinėdama Nacionalinės narkotikų kontrolės ir narkomanijos prevencijos 2004-2008 metų programos įgyvendinimo 2004 ir 2005 metais: neteisėtos narkotinių ir psichotropinių medžiagų pasiūlos mažinimo klausimus </w:t>
      </w:r>
      <w:r>
        <w:rPr>
          <w:b/>
          <w:bCs/>
        </w:rPr>
        <w:t>padarė išvadas</w:t>
      </w:r>
      <w:r>
        <w:t>:</w:t>
      </w:r>
    </w:p>
    <w:p w:rsidR="00B91CA6" w:rsidRDefault="00B91CA6" w:rsidP="00B91CA6">
      <w:pPr>
        <w:pStyle w:val="prastasistinklapis"/>
        <w:rPr>
          <w:b/>
          <w:bCs/>
        </w:rPr>
      </w:pPr>
      <w:r>
        <w:t>1. 2004 metais</w:t>
      </w:r>
      <w:r>
        <w:rPr>
          <w:b/>
          <w:bCs/>
        </w:rPr>
        <w:t xml:space="preserve"> </w:t>
      </w:r>
      <w:r>
        <w:t>neteisėtos narkotinių ir psichotropinių medžiagų pasiūlos mažinimui skirta tik 650 tūkst. litų arba 6 procentai iš Programos finansavimui skirtų lėšų.</w:t>
      </w:r>
      <w:r>
        <w:rPr>
          <w:b/>
          <w:bCs/>
        </w:rPr>
        <w:t xml:space="preserve"> </w:t>
      </w:r>
    </w:p>
    <w:p w:rsidR="00B91CA6" w:rsidRDefault="00B91CA6" w:rsidP="00B91CA6">
      <w:pPr>
        <w:pStyle w:val="prastasistinklapis"/>
      </w:pPr>
      <w:r>
        <w:t>2. 2005 metais neteisėtos narkotinių ir psichotropinių medžiagų pasiūlos mažinimui skirta 680 tūkst. litų arba 5,5 procento iš Programos finansavimui skirtų lėšų.</w:t>
      </w:r>
    </w:p>
    <w:p w:rsidR="00B91CA6" w:rsidRDefault="00B91CA6" w:rsidP="00B91CA6">
      <w:pPr>
        <w:pStyle w:val="prastasistinklapis"/>
      </w:pPr>
      <w:r>
        <w:t xml:space="preserve">3. 2004-2005 metais Lietuvos Respublikos Vyriausybė, įgyvendindama Programą, iš Programoje numatytų 9 pagrindinių krypčių, kuriomis turi būti vykdomas neteisėtos narkotinių ir psichotropinių medžiagų pasiūlos mažinimas, į Programos priemonių įgyvendinimą įtraukė tik vieną 32 punkto 32.4 papunktį, kuris numato užtikrinti tinkamą teisėsaugos institucijų padalinių, tiesiogiai atliekančių narkotikų kontrolės funkcijas, finansinį, materialinį techninį aprūpinimą. </w:t>
      </w:r>
    </w:p>
    <w:p w:rsidR="00B91CA6" w:rsidRDefault="00B91CA6" w:rsidP="00B91CA6">
      <w:pPr>
        <w:pStyle w:val="prastasistinklapis"/>
      </w:pPr>
      <w:r>
        <w:t>4.</w:t>
      </w:r>
      <w:r>
        <w:rPr>
          <w:b/>
          <w:bCs/>
        </w:rPr>
        <w:t xml:space="preserve"> </w:t>
      </w:r>
      <w:r>
        <w:t xml:space="preserve">2004-2005 metais neįtrauktos į Programos priemonių įgyvendinimą ir neskirtos lėšos Programos 32 punkte numatytoms likusioms aštuonioms kryptims: </w:t>
      </w:r>
    </w:p>
    <w:p w:rsidR="00B91CA6" w:rsidRDefault="00B91CA6" w:rsidP="00B91CA6">
      <w:pPr>
        <w:pStyle w:val="prastasistinklapis"/>
      </w:pPr>
      <w:r>
        <w:t>32.1. įgyvendinant Europos Sąjungos ir Jungtinių Tautų nustatytus teisėtos ir neteisėtos narkotinių ir psichotropinių medžiagų apyvartos kontrolės reikalavimus;</w:t>
      </w:r>
    </w:p>
    <w:p w:rsidR="00B91CA6" w:rsidRDefault="00B91CA6" w:rsidP="00B91CA6">
      <w:pPr>
        <w:pStyle w:val="prastasistinklapis"/>
      </w:pPr>
      <w:r>
        <w:t>32.2. gerinant operatyvinės veiklos subjektų tarpusavio sąveiką tiriant nusikaltimus, susijusius su narkotinėmis ir psichotropinėmis medžiagomis;</w:t>
      </w:r>
    </w:p>
    <w:p w:rsidR="00B91CA6" w:rsidRDefault="00B91CA6" w:rsidP="00B91CA6">
      <w:pPr>
        <w:pStyle w:val="prastasistinklapis"/>
      </w:pPr>
      <w:r>
        <w:t>32.3. stiprinant valstybės sienos apsaugą, tobulinant tikrinimo pasienyje procedūras, taip užkertant kelią narkotinėms ir psichotropinėms medžiagoms neteisėtai patekti į Lietuvą;</w:t>
      </w:r>
    </w:p>
    <w:p w:rsidR="00B91CA6" w:rsidRDefault="00B91CA6" w:rsidP="00B91CA6">
      <w:pPr>
        <w:pStyle w:val="prastasistinklapis"/>
      </w:pPr>
      <w:r>
        <w:t>32.5. parengiant ir vykdant kovos su narkotinių ir psichotropinių medžiagų vartojimu kardomojo kalinimo ir laisvės atėmimo vietose priemones;</w:t>
      </w:r>
    </w:p>
    <w:p w:rsidR="00B91CA6" w:rsidRDefault="00B91CA6" w:rsidP="00B91CA6">
      <w:pPr>
        <w:pStyle w:val="prastasistinklapis"/>
      </w:pPr>
      <w:r>
        <w:t>32.6. stiprinant kovą su narkotikų prekeiviais ir perpardavinėtojais, ypač daug dėmesio skiriant šio nelegalaus verslo organizatoriams ir asmenims, užsiimantiems narkotikų prekyba dideliais kiekiais, nustatyti ir patraukti baudžiamojon atsakomybėn;</w:t>
      </w:r>
    </w:p>
    <w:p w:rsidR="00B91CA6" w:rsidRDefault="00B91CA6" w:rsidP="00B91CA6">
      <w:pPr>
        <w:pStyle w:val="prastasistinklapis"/>
      </w:pPr>
      <w:r>
        <w:t>32.7. užtikrinant pinigų, gautų iš neteisėtos narkotikų apyvartos, plovimo prevencijos priemonių deramą įgyvendinimą;</w:t>
      </w:r>
    </w:p>
    <w:p w:rsidR="00B91CA6" w:rsidRDefault="00B91CA6" w:rsidP="00B91CA6">
      <w:pPr>
        <w:pStyle w:val="prastasistinklapis"/>
      </w:pPr>
      <w:r>
        <w:t>32.8. stiprinant teisėsaugos institucijų bendradarbiavimą su visuomene;</w:t>
      </w:r>
    </w:p>
    <w:p w:rsidR="00B91CA6" w:rsidRDefault="00B91CA6" w:rsidP="00B91CA6">
      <w:pPr>
        <w:pStyle w:val="prastasistinklapis"/>
      </w:pPr>
      <w:r>
        <w:t>32.9. skatinant teisėsaugos institucijas sudaryti tarptautines sutartis dėl bendradarbiavimo kovojant su organizuotu nusikalstamumu, korupcija, pinigų plovimu ir kitomis su narkomanijos prevencija susijusiomis veikomis.</w:t>
      </w:r>
    </w:p>
    <w:p w:rsidR="00B91CA6" w:rsidRDefault="00B91CA6" w:rsidP="00B91CA6">
      <w:pPr>
        <w:pStyle w:val="prastasistinklapis"/>
      </w:pPr>
      <w:r>
        <w:t>5. 2004 ir 2005 metais Valstybės saugumo departamentas, Kalėjimų departamentas prie Teisingumo ministerijos, Valstybės sienos apsaugos tarnyba prie Vidaus reikalų ministerijos, Krašto apsaugos ministerija, Muitinės departamentas prie Finansų ministerijos Programos priemonių įgyvendinimui lėšų negavo (kinologijai išvystyti, muitinė kateriui ir narų įrangai įsigyti, visos teisėsaugos institucijos mokymams ir metodinei medžiagai parengti).</w:t>
      </w:r>
    </w:p>
    <w:p w:rsidR="00B91CA6" w:rsidRDefault="00B91CA6" w:rsidP="00B91CA6">
      <w:pPr>
        <w:pStyle w:val="prastasistinklapis"/>
      </w:pPr>
      <w:r>
        <w:t>6.</w:t>
      </w:r>
      <w:r>
        <w:rPr>
          <w:b/>
          <w:bCs/>
        </w:rPr>
        <w:t xml:space="preserve"> </w:t>
      </w:r>
      <w:r>
        <w:t>2004-2005 metais Specialiųjų tyrimų tarnyba į Programos įgyvendinimą ir priemonių finansavimą neįtraukta.</w:t>
      </w:r>
    </w:p>
    <w:p w:rsidR="00B91CA6" w:rsidRDefault="00B91CA6" w:rsidP="00B91CA6">
      <w:pPr>
        <w:pStyle w:val="prastasistinklapis"/>
      </w:pPr>
      <w:r>
        <w:t>7.</w:t>
      </w:r>
      <w:r>
        <w:rPr>
          <w:b/>
          <w:bCs/>
        </w:rPr>
        <w:t xml:space="preserve"> </w:t>
      </w:r>
      <w:r>
        <w:t xml:space="preserve">2004-2005 metais neužtikrinta galimybė rinkti informaciją, užmegzti ryšius su įmonėmis, cheminėmis laboratorijomis, gaminančiomis, įvežančiomis chemines medžiagas, kurios gali būti </w:t>
      </w:r>
      <w:r>
        <w:lastRenderedPageBreak/>
        <w:t>naudojamos neteisėtai narkotikų apyvartai, taip pat prekiaujančiomis tokiomis medžiagomis, jas kontroliuoti (Programos 26.4 p.).</w:t>
      </w:r>
    </w:p>
    <w:p w:rsidR="00B91CA6" w:rsidRDefault="00B91CA6" w:rsidP="00B91CA6">
      <w:pPr>
        <w:pStyle w:val="prastasistinklapis"/>
      </w:pPr>
      <w:r>
        <w:t>8. 2004-2005 metais neskirtas finansavimas stiprinant nelegalios narkotikų apyvartos kontrolę jaunimo pasilinksminimo vietose (Programos 26.4 p.).</w:t>
      </w:r>
    </w:p>
    <w:p w:rsidR="00B91CA6" w:rsidRDefault="00B91CA6" w:rsidP="00B91CA6">
      <w:pPr>
        <w:pStyle w:val="prastasistinklapis"/>
      </w:pPr>
      <w:r>
        <w:t>9. 2004-2005 metais neužtikrintas valstybės institucijų, vykdančių narkomanijos prevenciją bei narkotikų kontrolę, efektyvus tarpusavio veiksmų koordinavimas (Programos 26.8 p.).</w:t>
      </w:r>
    </w:p>
    <w:p w:rsidR="00B91CA6" w:rsidRDefault="00B91CA6" w:rsidP="00B91CA6">
      <w:pPr>
        <w:pStyle w:val="prastasistinklapis"/>
      </w:pPr>
      <w:r>
        <w:t>10. 2004-2005 metais nesudarytos sąlygos narkomanija sergantiems asmenims baudžiamąją atsakomybę už nesunkius nusikaltimus pakeisti alternatyviomis gydymo programomis (Programos 26.9 p.).</w:t>
      </w:r>
    </w:p>
    <w:p w:rsidR="00B91CA6" w:rsidRDefault="00B91CA6" w:rsidP="00B91CA6">
      <w:pPr>
        <w:pStyle w:val="prastasistinklapis"/>
      </w:pPr>
      <w:r>
        <w:t>11. 2004-2005 metais, siekiant Programoje numatyto tikslo - sustabdyti ir sumažinti narkomanijos plitimą, vadovautasi teisėsaugos institucijų vidiniais finansiniais ir materialiniais resursais.</w:t>
      </w:r>
    </w:p>
    <w:p w:rsidR="00B91CA6" w:rsidRDefault="00B91CA6" w:rsidP="00B91CA6">
      <w:pPr>
        <w:pStyle w:val="prastasistinklapis"/>
      </w:pPr>
      <w:r>
        <w:t xml:space="preserve">Komisija </w:t>
      </w:r>
      <w:r>
        <w:rPr>
          <w:b/>
          <w:bCs/>
        </w:rPr>
        <w:t>nusprendė</w:t>
      </w:r>
      <w:r>
        <w:t>:</w:t>
      </w:r>
    </w:p>
    <w:p w:rsidR="00B91CA6" w:rsidRDefault="00B91CA6" w:rsidP="00B91CA6">
      <w:pPr>
        <w:pStyle w:val="prastasistinklapis"/>
      </w:pPr>
      <w:r>
        <w:t>1.Siūlyti Lietuvos Respublikos Vyriausybei :</w:t>
      </w:r>
    </w:p>
    <w:p w:rsidR="00B91CA6" w:rsidRDefault="00B91CA6" w:rsidP="00B91CA6">
      <w:pPr>
        <w:pStyle w:val="prastasistinklapis"/>
      </w:pPr>
      <w:r>
        <w:t xml:space="preserve">1.1. įtraukti Programos 25.3 punkto nuostatas į 2006 metų Programos įgyvendinimo priemones, numatančias sumažinti neteisėtą narkotinių ir psichotropinių medžiagų bei jų pirmtakų (prekursorių) apyvartą; </w:t>
      </w:r>
    </w:p>
    <w:p w:rsidR="00B91CA6" w:rsidRDefault="00B91CA6" w:rsidP="00B91CA6">
      <w:pPr>
        <w:pStyle w:val="prastasistinklapis"/>
      </w:pPr>
      <w:r>
        <w:t>1.2. įtraukti Programos 25.4 punkto nuostatas į 2006 metų Programos įgyvendinimo priemones, numatančias tobulinti teisinę bazę, leidžiančią veiksmingai šalinti narkomanijos plitimo priežastis;</w:t>
      </w:r>
    </w:p>
    <w:p w:rsidR="00B91CA6" w:rsidRDefault="00B91CA6" w:rsidP="00B91CA6">
      <w:pPr>
        <w:pStyle w:val="prastasistinklapis"/>
      </w:pPr>
      <w:r>
        <w:t xml:space="preserve">1.3. įtraukti Programos 26.7 punkto nuostatas į 2006 metų Programos įgyvendinimo priemones, numatančias užtikrinti pinigų, gautų iš neteisėtos narkotikų apyvartos, plovimo prevencijos priemonių įgyvendinimą; </w:t>
      </w:r>
    </w:p>
    <w:p w:rsidR="00B91CA6" w:rsidRDefault="00B91CA6" w:rsidP="00B91CA6">
      <w:pPr>
        <w:pStyle w:val="prastasistinklapis"/>
      </w:pPr>
      <w:r>
        <w:t>1.4. įtraukti Programos 26.8 punkto nuostatas į 2006 metų Programos įgyvendinimo priemones, numatančias užtikrinti valstybės institucijų, vykdančių narkomanijos prevenciją bei narkotikų kontrolę, efektyvų valdymą, kontrolę bei tarpusavio veiksmų koordinavimą;</w:t>
      </w:r>
    </w:p>
    <w:p w:rsidR="00B91CA6" w:rsidRDefault="00B91CA6" w:rsidP="00B91CA6">
      <w:pPr>
        <w:pStyle w:val="prastasistinklapis"/>
      </w:pPr>
      <w:r>
        <w:t>1.5. įtraukti Programos 26.9 punkto nuostatas į 2006 metų Programos įgyvendinimo priemones, numatančias sudaryti sąlygas narkomanija sergantiems asmenims baudžiamąją atsakomybę už nesunkius nusikaltimus pakeisti alternatyviomis gydymo programomis;</w:t>
      </w:r>
    </w:p>
    <w:p w:rsidR="00B91CA6" w:rsidRDefault="00B91CA6" w:rsidP="00B91CA6">
      <w:pPr>
        <w:pStyle w:val="prastasistinklapis"/>
      </w:pPr>
      <w:r>
        <w:t>1.6. sustiprinti kontrolę įmonių, cheminių laboratorijų, gaminančių, įvežančių narkotines, psichotropines medžiagas ir jų pirmtakus (prekursorius), kurie gali būti naudojami narkotinėms ir psichotropinėms medžiagoms neteisėtai įsigyti;</w:t>
      </w:r>
    </w:p>
    <w:p w:rsidR="00B91CA6" w:rsidRDefault="00B91CA6" w:rsidP="00B91CA6">
      <w:pPr>
        <w:pStyle w:val="prastasistinklapis"/>
      </w:pPr>
      <w:r>
        <w:t>1.7. sudaryti sąlygos narkomanija sergantiems asmenims baudžiamąją atsakomybę už nesunkius nusikaltimus pakeisti alternatyviomis gydymo programomis;</w:t>
      </w:r>
    </w:p>
    <w:p w:rsidR="00B91CA6" w:rsidRDefault="00B91CA6" w:rsidP="00B91CA6">
      <w:pPr>
        <w:pStyle w:val="prastasistinklapis"/>
      </w:pPr>
      <w:r>
        <w:t>1.8. sustiprinti neteisėtos narkotinių ir psichotropinių medžiagų apyvartos kontrolę kariniuose vienetuose, skubiai patvirtinant karių, priskirtų priežiūros dėl galimo narkotinių ir psichotropinių medžiagų vartojimo grupei, stebėjimo metodiką;</w:t>
      </w:r>
    </w:p>
    <w:p w:rsidR="00B91CA6" w:rsidRDefault="00B91CA6" w:rsidP="00B91CA6">
      <w:pPr>
        <w:pStyle w:val="prastasistinklapis"/>
      </w:pPr>
      <w:r>
        <w:t>1.9. sugriežtinti priemones, užkardančias narkotinių ir psichotropinių medžiagų kontrabandą;</w:t>
      </w:r>
    </w:p>
    <w:p w:rsidR="00B91CA6" w:rsidRDefault="00B91CA6" w:rsidP="00B91CA6">
      <w:pPr>
        <w:pStyle w:val="prastasistinklapis"/>
      </w:pPr>
      <w:r>
        <w:t>1.10. stiprinti teisėsaugos institucijų vaidmenį narkomanijos prevencijos srityje;</w:t>
      </w:r>
    </w:p>
    <w:p w:rsidR="00B91CA6" w:rsidRDefault="00B91CA6" w:rsidP="00B91CA6">
      <w:pPr>
        <w:pStyle w:val="prastasistinklapis"/>
      </w:pPr>
      <w:r>
        <w:t>1.11. plėtoti teisėsaugos institucijų, vykdančių narkomanijos prevenciją bei narkotikų kontrolę, visuomeninių organizacijų ir bendruomenės tarpusavio bendradarbiavimą.</w:t>
      </w:r>
    </w:p>
    <w:p w:rsidR="00B91CA6" w:rsidRDefault="00B91CA6" w:rsidP="00B91CA6">
      <w:pPr>
        <w:pStyle w:val="prastasistinklapis"/>
      </w:pPr>
      <w:r>
        <w:lastRenderedPageBreak/>
        <w:t>2. Atkreipti Lietuvos Respublikos Vyriausybės dėmesį į tai, kad:</w:t>
      </w:r>
    </w:p>
    <w:p w:rsidR="00B91CA6" w:rsidRDefault="00B91CA6" w:rsidP="00B91CA6">
      <w:pPr>
        <w:pStyle w:val="prastasistinklapis"/>
      </w:pPr>
      <w:r>
        <w:t>2.1. nepakankamai finansuojama teisėsaugos institucijų veikla, siekiant mažinti narkotikų pasiūlą ir apsunkinant jų prieinamumą;</w:t>
      </w:r>
    </w:p>
    <w:p w:rsidR="00B91CA6" w:rsidRDefault="00B91CA6" w:rsidP="00B91CA6">
      <w:pPr>
        <w:pStyle w:val="prastasistinklapis"/>
      </w:pPr>
      <w:r>
        <w:t>2.2. nepakankamai įgyvendinamos bendros prevencijos priemonės, mažinančios narkotinių ir psichotropinių medžiagų pasiūlą ir paklausą jaunimo pasilinksminimo vietose;</w:t>
      </w:r>
    </w:p>
    <w:p w:rsidR="00B91CA6" w:rsidRDefault="00B91CA6" w:rsidP="00B91CA6">
      <w:pPr>
        <w:pStyle w:val="prastasistinklapis"/>
      </w:pPr>
      <w:r>
        <w:t>2.3. nesudaromos sąlygos Muitinės departamentui prie Finansų ministerijos vykdyti laivų povandeninės dalies apžiūrą;</w:t>
      </w:r>
    </w:p>
    <w:p w:rsidR="00B91CA6" w:rsidRDefault="00B91CA6" w:rsidP="00B91CA6">
      <w:pPr>
        <w:pStyle w:val="prastasistinklapis"/>
      </w:pPr>
      <w:r>
        <w:t>2.4. neskiriamos lėšos narkomanijos prevencijai ir narkotikų kontrolei laisvės atėmimo vietose.</w:t>
      </w:r>
    </w:p>
    <w:p w:rsidR="00B91CA6" w:rsidRDefault="00B91CA6" w:rsidP="00B91CA6">
      <w:pPr>
        <w:pStyle w:val="prastasistinklapis"/>
        <w:rPr>
          <w:b/>
          <w:bCs/>
          <w:sz w:val="27"/>
          <w:szCs w:val="27"/>
        </w:rPr>
      </w:pPr>
      <w:r>
        <w:rPr>
          <w:b/>
          <w:bCs/>
          <w:sz w:val="27"/>
          <w:szCs w:val="27"/>
        </w:rPr>
        <w:t>Komisijos posėdžiai 2005 metais</w:t>
      </w:r>
    </w:p>
    <w:p w:rsidR="00B91CA6" w:rsidRDefault="00B91CA6" w:rsidP="00B91CA6">
      <w:pPr>
        <w:pStyle w:val="prastasistinklapis"/>
        <w:rPr>
          <w:b/>
          <w:bCs/>
          <w:sz w:val="27"/>
          <w:szCs w:val="27"/>
        </w:rPr>
      </w:pPr>
      <w:r>
        <w:rPr>
          <w:b/>
          <w:bCs/>
          <w:sz w:val="27"/>
          <w:szCs w:val="27"/>
        </w:rPr>
        <w:t> </w:t>
      </w:r>
    </w:p>
    <w:p w:rsidR="00B91CA6" w:rsidRDefault="00B91CA6" w:rsidP="00B91CA6">
      <w:pPr>
        <w:pStyle w:val="prastasistinklapis"/>
      </w:pPr>
      <w:r>
        <w:t xml:space="preserve">Seimo Narkomanijos prevencijos komisija </w:t>
      </w:r>
      <w:r>
        <w:rPr>
          <w:b/>
          <w:bCs/>
          <w:i/>
          <w:iCs/>
        </w:rPr>
        <w:t>2005 01 20</w:t>
      </w:r>
      <w:r>
        <w:rPr>
          <w:i/>
          <w:iCs/>
        </w:rPr>
        <w:t xml:space="preserve"> </w:t>
      </w:r>
      <w:r>
        <w:t xml:space="preserve">posėdyje išklausė Policijos departamento prie Lietuvos Respublikos Vidaus reikalų ministerijos, Valstybinės sienos apsaugos tarnybos prie Lietuvos Respublikos Vidaus reikalų ministerijos, Muitinės departamento prie Lietuvos Respublikos Finansų ministerijos, Kalėjimų departamento prie Lietuvos Respublikos Teisingumo ministerijos, Narkotikų kontrolės departamento prie Lietuvos Respublikos informaciją apie narkomanijos prevencijos ir narkotikų kontrolės būklę Lietuvoje bei siūlymus dėl teisės aktų tobulinimo. </w:t>
      </w:r>
    </w:p>
    <w:p w:rsidR="00B91CA6" w:rsidRDefault="00B91CA6" w:rsidP="00B91CA6">
      <w:pPr>
        <w:pStyle w:val="prastasistinklapis"/>
      </w:pPr>
      <w:r>
        <w:rPr>
          <w:b/>
          <w:bCs/>
          <w:i/>
          <w:iCs/>
        </w:rPr>
        <w:t>2005 02 09</w:t>
      </w:r>
      <w:r>
        <w:t xml:space="preserve"> Seimo Narkomanijos prevencijos komisija pritarė Seimo Narkomanijos prevencijos komisijos nuostatų projektui ir pateikė tvirtinti Lietuvos Respublikos Seimui. Patvirtino Seimo Narkomanijos prevencijos komisijos 2005 metų veiklos planą.</w:t>
      </w:r>
    </w:p>
    <w:p w:rsidR="00B91CA6" w:rsidRDefault="00B91CA6" w:rsidP="00B91CA6">
      <w:pPr>
        <w:pStyle w:val="prastasistinklapis"/>
      </w:pPr>
      <w:r>
        <w:rPr>
          <w:b/>
          <w:bCs/>
          <w:i/>
          <w:iCs/>
        </w:rPr>
        <w:t>2005 02 15</w:t>
      </w:r>
      <w:r>
        <w:t xml:space="preserve"> Seimo Narkomanijos prevencijos komisijos pirmininko pavaduotoju išrinktas Rimantas Remeika.</w:t>
      </w:r>
    </w:p>
    <w:p w:rsidR="00B91CA6" w:rsidRDefault="00B91CA6" w:rsidP="00B91CA6">
      <w:pPr>
        <w:pStyle w:val="prastasistinklapis"/>
      </w:pPr>
      <w:r>
        <w:rPr>
          <w:b/>
          <w:bCs/>
          <w:i/>
          <w:iCs/>
        </w:rPr>
        <w:t>2005 03 18</w:t>
      </w:r>
      <w:r>
        <w:rPr>
          <w:b/>
          <w:bCs/>
        </w:rPr>
        <w:t xml:space="preserve"> </w:t>
      </w:r>
      <w:r>
        <w:t>ir</w:t>
      </w:r>
      <w:r>
        <w:rPr>
          <w:b/>
          <w:bCs/>
        </w:rPr>
        <w:t xml:space="preserve"> </w:t>
      </w:r>
      <w:r>
        <w:rPr>
          <w:b/>
          <w:bCs/>
          <w:i/>
          <w:iCs/>
        </w:rPr>
        <w:t>2005 03 23</w:t>
      </w:r>
      <w:r>
        <w:t xml:space="preserve"> Seimo Narkomanijos prevencijos komisijos posėdžiuose vyko Europos Sąjungos narkotikų veiksmų plano 2005 - 2008 metų projekto ir Lietuvos Respublikos pozicijos dėl Europos Sąjungos kovos su narkotikais veiksmų plano 2005 -2008 m. projekto svarstymas. </w:t>
      </w:r>
    </w:p>
    <w:p w:rsidR="00B91CA6" w:rsidRDefault="00B91CA6" w:rsidP="00B91CA6">
      <w:pPr>
        <w:pStyle w:val="prastasistinklapis"/>
      </w:pPr>
      <w:r>
        <w:t>Nuspręsta (bendru sutarimu):</w:t>
      </w:r>
    </w:p>
    <w:p w:rsidR="00B91CA6" w:rsidRDefault="00B91CA6" w:rsidP="00B91CA6">
      <w:pPr>
        <w:pStyle w:val="prastasistinklapis"/>
      </w:pPr>
      <w:r>
        <w:t xml:space="preserve">1. Griežtai vadovautis Lietuvos Respublikos Seimo 2003 m. kovo 18 d. rezoliucija “Dėl narkotikų kontrolės politikos”, kurioje remiantis Jungtinių Tautų 1961 metų bendrąja narkotinių medžiagų konvencija, Jungtinių Tautų 1971 metų psichotropinių medžiagų konvencija, Lietuvos Respublikos ratifikuota 1988 metų Jungtinių Tautų Organizacijos konvencija dėl kovos su neteisėta narkotinių priemonių ir psichotropinių medžiagų apyvarta ir 2002 metų Lietuvos Respublikos Seimo rezoliucija dėl narkomanijos prevencijos Lietuvoje griežtai pasisakyta prieš mėginimus legalizuoti narkotikus ir prieš politiką, skatinančią narkomanijos plitimą. </w:t>
      </w:r>
    </w:p>
    <w:p w:rsidR="00B91CA6" w:rsidRDefault="00B91CA6" w:rsidP="00B91CA6">
      <w:pPr>
        <w:pStyle w:val="prastasistinklapis"/>
      </w:pPr>
      <w:r>
        <w:t>Nepritarti Europos Sąjungos narkotikų veiksmų plano 2005 –2008 metų projekto 8 punkto nuostatoms, kuriose prevencinėse programose įvardinami legalūs narkotikai.</w:t>
      </w:r>
    </w:p>
    <w:p w:rsidR="00B91CA6" w:rsidRDefault="00B91CA6" w:rsidP="00B91CA6">
      <w:pPr>
        <w:pStyle w:val="prastasistinklapis"/>
      </w:pPr>
      <w:r>
        <w:t xml:space="preserve">Nepritarti Europos Sąjungos narkotikų veiksmų plano 2005 –2008 metų projekto 13, 15, 16 punktų nuostatoms, kuriose įtvirtinamos žalos mažinimo programų paslaugų prieinamumas ir tinkamumas, apimančios pakaitinį ir palaikomąjį gydymą taikant narkotikus, adatų ir švirkštų keitimo programoms. </w:t>
      </w:r>
    </w:p>
    <w:p w:rsidR="00B91CA6" w:rsidRDefault="00B91CA6" w:rsidP="00B91CA6">
      <w:pPr>
        <w:pStyle w:val="prastasistinklapis"/>
      </w:pPr>
      <w:r>
        <w:t>2. Pateikti Komisijos išvadas Seimo Europos reikalų komitetui dėl Europos Sąjungos narkotikų veiksmų plano 2005 –2008 m. projekto.</w:t>
      </w:r>
    </w:p>
    <w:p w:rsidR="00B91CA6" w:rsidRDefault="00B91CA6" w:rsidP="00B91CA6">
      <w:pPr>
        <w:pStyle w:val="prastasistinklapis"/>
      </w:pPr>
      <w:r>
        <w:lastRenderedPageBreak/>
        <w:t xml:space="preserve">3.Atsižvelgti į Seimo Europos reikalų komiteto 2005 03 16 siūlymą pagal galimybes derinti veiksmus su Latvijos, Estijos ir Lenkijos atsakingomis institucijomis. </w:t>
      </w:r>
    </w:p>
    <w:p w:rsidR="00B91CA6" w:rsidRDefault="00B91CA6" w:rsidP="00B91CA6">
      <w:pPr>
        <w:pStyle w:val="prastasistinklapis"/>
      </w:pPr>
      <w:r>
        <w:t xml:space="preserve">4.Kreiptis į Seimo Užsienio reikalų komitetą dėl pasiūlymų priimti Europos Sąjungos dokumentus, susijusius su Europos Sąjungos bendrosios užsienio ir saugumo reikalais, prašant pareikšti Lietuvos poziciją dėl Europos Sąjungos narkotikų veiksmų plano 2005 –2008 m. projekto nuostatų. </w:t>
      </w:r>
    </w:p>
    <w:p w:rsidR="00B91CA6" w:rsidRDefault="00B91CA6" w:rsidP="00B91CA6">
      <w:pPr>
        <w:pStyle w:val="prastasistinklapis"/>
      </w:pPr>
      <w:r>
        <w:t>5. Pritarti Europos reikalų komiteto kreipimuisi į Narkotikų kontrolės departamentą prie Lietuvos Respublikos Vyriausybės, prašant nepareikšti Lietuvos pozicijos dėl Europos Sąjungos narkotikų veiksmų plano 2005 – 2008 m. projekto, kol ši pozicija nebus suderinta su Seimu.</w:t>
      </w:r>
    </w:p>
    <w:p w:rsidR="00B91CA6" w:rsidRDefault="00B91CA6" w:rsidP="00B91CA6">
      <w:pPr>
        <w:pStyle w:val="prastasistinklapis"/>
      </w:pPr>
      <w:r>
        <w:t>6. Narkotikų kontrolės departamentui prie Lietuvos Respublikos Vyriausybės teikti Lietuvos Respublikos Seimui Lietuvos pozicijos derinimui Europos Sąjungos narkotikų veiksmų plano 2005 –2008 metų projektą lietuvių kalba.</w:t>
      </w:r>
    </w:p>
    <w:p w:rsidR="00B91CA6" w:rsidRDefault="00B91CA6" w:rsidP="00B91CA6">
      <w:pPr>
        <w:pStyle w:val="prastasistinklapis"/>
      </w:pPr>
      <w:r>
        <w:t>7. Įpareigoti Komisijos pirmininkę Ramunę Visockytę sudaryti darbo grupę “Dėl žalos sveikatai mažinimo susijusio su priklausomybę nuo narkotikų, taikant Lietuvoje žalos mažinimo programas”.</w:t>
      </w:r>
    </w:p>
    <w:p w:rsidR="00B91CA6" w:rsidRDefault="00B91CA6" w:rsidP="00B91CA6">
      <w:pPr>
        <w:pStyle w:val="prastasistinklapis"/>
      </w:pPr>
      <w:r>
        <w:t>Tame pačiame posėdyje nuspręsta (bendru sutarimu) pakartotinai kreiptis į Valstybės kontrolę su prašymu atlikti auditus:</w:t>
      </w:r>
    </w:p>
    <w:p w:rsidR="00B91CA6" w:rsidRDefault="00B91CA6" w:rsidP="00B91CA6">
      <w:pPr>
        <w:pStyle w:val="prastasistinklapis"/>
      </w:pPr>
      <w:r>
        <w:t>1. Nacionaliniame narkotikų kontrolės biure Valstybinėje visuomenės sveikatos priežiūros tarnyboje prie Sveikatos apsaugos ministerijos.</w:t>
      </w:r>
    </w:p>
    <w:p w:rsidR="00B91CA6" w:rsidRDefault="00B91CA6" w:rsidP="00B91CA6">
      <w:pPr>
        <w:pStyle w:val="prastasistinklapis"/>
      </w:pPr>
      <w:r>
        <w:t>2. Narkotikų kontrolės departamente prie Lietuvos Respublikos Vyriausybės už 2004 metus.</w:t>
      </w:r>
    </w:p>
    <w:p w:rsidR="00B91CA6" w:rsidRDefault="00B91CA6" w:rsidP="00B91CA6">
      <w:pPr>
        <w:pStyle w:val="prastasistinklapis"/>
      </w:pPr>
      <w:r>
        <w:t>3. Nacionalinės narkotikų kontrolės ir narkomanijos prevencijos 2004 –2008 metų programos ir jos priemonių įgyvendinimo auditą.</w:t>
      </w:r>
    </w:p>
    <w:p w:rsidR="00B91CA6" w:rsidRDefault="00B91CA6" w:rsidP="00B91CA6">
      <w:pPr>
        <w:pStyle w:val="prastasistinklapis"/>
      </w:pPr>
      <w:r>
        <w:rPr>
          <w:b/>
          <w:bCs/>
          <w:i/>
          <w:iCs/>
        </w:rPr>
        <w:t>2005 04 06</w:t>
      </w:r>
      <w:r>
        <w:t xml:space="preserve"> vyko Seimo Narkomanijos prevencijos, Šeimos ir vaiko reikalų, Jaunimo ir sporto reikalų komisijų bendras posėdis, kuriame pavesta Narkomanijos prevencijos komisijai sudaryti Nepilnamečių, linkusių nusikalsti ir nusikaltusių, minimalios ir vidutinės priežiūros sistemos sukūrimui bei reikalingų teisės aktų parengimui darbo grupę. Į darbo grupę deleguoti Seimo nariai iš Seimo Narkomanijos prevencijos, Šeimos ir vaiko reikalų, Jaunimo ir sporto reikalų komisijų bei nutarta pasitelkti mokslo darbuotojus, ekspertus.</w:t>
      </w:r>
    </w:p>
    <w:p w:rsidR="00B91CA6" w:rsidRDefault="00B91CA6" w:rsidP="00B91CA6">
      <w:pPr>
        <w:pStyle w:val="prastasistinklapis"/>
      </w:pPr>
      <w:r>
        <w:rPr>
          <w:b/>
          <w:bCs/>
          <w:i/>
          <w:iCs/>
        </w:rPr>
        <w:t>2005 04 13</w:t>
      </w:r>
      <w:r>
        <w:t xml:space="preserve"> ir </w:t>
      </w:r>
      <w:r>
        <w:rPr>
          <w:b/>
          <w:bCs/>
          <w:i/>
          <w:iCs/>
        </w:rPr>
        <w:t>2005 04 27</w:t>
      </w:r>
      <w:r>
        <w:t xml:space="preserve"> Seimo Narkomanijos prevencijos komisijos posėdyje vyko svarstymai dėl nepilnamečių, linkusių nusikalsti ir nusikaltusių, minimalios ir vidutinės priežiūros sistemos sukūrimo ir teisės aktų projektų parengimo ir dėl žalos sveikatai mažinimo, susijusio su priklausomybę nuo narkotikų, taikant Lietuvoje žalos mažinimo programas. </w:t>
      </w:r>
    </w:p>
    <w:p w:rsidR="00B91CA6" w:rsidRDefault="00B91CA6" w:rsidP="00B91CA6">
      <w:pPr>
        <w:pStyle w:val="prastasistinklapis"/>
      </w:pPr>
      <w:r>
        <w:t>Pirma, dėl nepilnamečių, linkusių nusikalsti ir nusikaltusių, minimalios ir vidutinės priežiūros sistemos sukūrimui bei teisės aktų projektų parengimui nuspręsta (bendru sutarimu) patvirtinti darbo grupės "Dėl nepilnamečių, linkusių nusikalsti ir nusikaltusių, minimalios ir vidutinės priežiūros sistemos sukūrimo, teisės aktų projektų parengimo" sudėtį:</w:t>
      </w:r>
    </w:p>
    <w:p w:rsidR="00B91CA6" w:rsidRDefault="00B91CA6" w:rsidP="00B91CA6">
      <w:pPr>
        <w:pStyle w:val="prastasistinklapis"/>
      </w:pPr>
      <w:r>
        <w:t xml:space="preserve">1. Seimo narė V.V.Margevičienė - darbo grupės vadovė ( Narkomanijos prevencijos komisija) </w:t>
      </w:r>
    </w:p>
    <w:p w:rsidR="00B91CA6" w:rsidRDefault="00B91CA6" w:rsidP="00B91CA6">
      <w:pPr>
        <w:pStyle w:val="prastasistinklapis"/>
      </w:pPr>
      <w:r>
        <w:t>2. Seimo narė Audronė Pitrėnienė (Šeimos ir vaiko reikalų komisija )</w:t>
      </w:r>
    </w:p>
    <w:p w:rsidR="00B91CA6" w:rsidRDefault="00B91CA6" w:rsidP="00B91CA6">
      <w:pPr>
        <w:pStyle w:val="prastasistinklapis"/>
      </w:pPr>
      <w:r>
        <w:t>3. Seimo narys Saulius Girdauskas ( Jaunimo ir sporto reikalų komisija)</w:t>
      </w:r>
    </w:p>
    <w:p w:rsidR="00B91CA6" w:rsidRDefault="00B91CA6" w:rsidP="00B91CA6">
      <w:pPr>
        <w:pStyle w:val="prastasistinklapis"/>
      </w:pPr>
      <w:r>
        <w:t>4. Rimantė Šalaševičiūtė ( LR Vaiko teisių apsaugos kontrolieriaus įstaiga)</w:t>
      </w:r>
    </w:p>
    <w:p w:rsidR="00B91CA6" w:rsidRDefault="00B91CA6" w:rsidP="00B91CA6">
      <w:pPr>
        <w:pStyle w:val="prastasistinklapis"/>
      </w:pPr>
      <w:r>
        <w:t>5. Gintautas Sakalauskas ( Teisės instituto mokslinis darbuotojas)</w:t>
      </w:r>
    </w:p>
    <w:p w:rsidR="00B91CA6" w:rsidRDefault="00B91CA6" w:rsidP="00B91CA6">
      <w:pPr>
        <w:pStyle w:val="prastasistinklapis"/>
      </w:pPr>
      <w:r>
        <w:lastRenderedPageBreak/>
        <w:t>6. Tatjana Černiavskienė ( Vilniaus m. VPK VĮ Šeštojo Policijos Komisariato Jaunimo Klubas)</w:t>
      </w:r>
    </w:p>
    <w:p w:rsidR="00B91CA6" w:rsidRDefault="00B91CA6" w:rsidP="00B91CA6">
      <w:pPr>
        <w:pStyle w:val="prastasistinklapis"/>
      </w:pPr>
      <w:r>
        <w:t>7. Gitana Liaudinskienė ( Kauno J.Urbšio vid. mokykla, edukologijos mokslo doktorantė)</w:t>
      </w:r>
    </w:p>
    <w:p w:rsidR="00B91CA6" w:rsidRDefault="00B91CA6" w:rsidP="00B91CA6">
      <w:pPr>
        <w:pStyle w:val="prastasistinklapis"/>
      </w:pPr>
      <w:r>
        <w:t>8. Birutė Valmienė ( Vaikų teisių apsaugos tarnyba, Kauno m.)</w:t>
      </w:r>
    </w:p>
    <w:p w:rsidR="00B91CA6" w:rsidRDefault="00B91CA6" w:rsidP="00B91CA6">
      <w:pPr>
        <w:pStyle w:val="prastasistinklapis"/>
      </w:pPr>
      <w:r>
        <w:t>9. Tomas Plikynas ( Mykolo Riomerio universiteto magistrantas)</w:t>
      </w:r>
    </w:p>
    <w:p w:rsidR="00B91CA6" w:rsidRDefault="00B91CA6" w:rsidP="00B91CA6">
      <w:pPr>
        <w:pStyle w:val="prastasistinklapis"/>
      </w:pPr>
      <w:r>
        <w:t>10. Andrius Burba ( Seimo narės V.V. Margevičienės padėjėjas)</w:t>
      </w:r>
    </w:p>
    <w:p w:rsidR="00B91CA6" w:rsidRDefault="00B91CA6" w:rsidP="00B91CA6">
      <w:pPr>
        <w:pStyle w:val="prastasistinklapis"/>
      </w:pPr>
      <w:r>
        <w:t xml:space="preserve">11. Savivaldybių asociacijos atstovas. </w:t>
      </w:r>
    </w:p>
    <w:p w:rsidR="00B91CA6" w:rsidRDefault="00B91CA6" w:rsidP="00B91CA6">
      <w:pPr>
        <w:pStyle w:val="prastasistinklapis"/>
      </w:pPr>
      <w:r>
        <w:t xml:space="preserve">Antra, nutarta kreiptis į Savivaldybių asociaciją su prašymu pasiūlyti atstovą į darbo grupės sudėtį. </w:t>
      </w:r>
    </w:p>
    <w:p w:rsidR="00B91CA6" w:rsidRDefault="00B91CA6" w:rsidP="00B91CA6">
      <w:pPr>
        <w:pStyle w:val="prastasistinklapis"/>
      </w:pPr>
      <w:r>
        <w:t>Trečia, nutarta skirti Narkomanijos prevencijos komisijos pirmininko pavaduotoją R.Remeiką kuruoti "Dėl nepilnamečių, linkusių nusikalsti ir nusikaltusių, minimalios ir vidutinės priežiūros sistemos sukūrimo, teisės aktų projektų parengimo" klausimą.</w:t>
      </w:r>
    </w:p>
    <w:p w:rsidR="00B91CA6" w:rsidRDefault="00B91CA6" w:rsidP="00B91CA6">
      <w:pPr>
        <w:pStyle w:val="prastasistinklapis"/>
      </w:pPr>
      <w:r>
        <w:t>Dėl žalos sveikatai mažinimo, susijusio su priklausomybę nuo narkotikų, taikant Lietuvoje žalos mažinimo programas, pritarta darbo grupės sudėties sudarymui iš valstybinių institucijų, mokslo įstaigų, visuomeninių organizacijų, sveikatos apsaugos įstaigų, Nacionalinės sveikatos tarybos atstovų. Komisijos pirmininkė Ramunė Visockytė įpareigota kreiptis į išvardintas įstaigas dėl asmenų delegavimo į darbo grupę.</w:t>
      </w:r>
    </w:p>
    <w:p w:rsidR="00B91CA6" w:rsidRDefault="00B91CA6" w:rsidP="00B91CA6">
      <w:pPr>
        <w:pStyle w:val="prastasistinklapis"/>
      </w:pPr>
      <w:r>
        <w:t>Posėdyje išklausyta informaciją apie Valstybės kontrolės 2002 metais atlikto valstybinio audito “Nacionalinės narkotikų kontrolės ir narkomanijos prevencijos programos valdymo bei 2001 metų priemonių efektyvumo vertinimo ir pateiktų rekomendacijų įgyvendinimo Sveikatos apsaugos ministerijoje”.</w:t>
      </w:r>
    </w:p>
    <w:p w:rsidR="00B91CA6" w:rsidRDefault="00B91CA6" w:rsidP="00B91CA6">
      <w:pPr>
        <w:pStyle w:val="prastasistinklapis"/>
      </w:pPr>
      <w:r>
        <w:t>Be to, svarstytas narkomanijos prevencijos ir narkotikų kontrolės įgyvendinimo žiniasklaidoje bei internetiniuose puslapiuose, reklamuojančiuose narkotikus (pvz., Atsipusk.lt, Mintis.lt ir kt.) ir dėl teisinės bazės tobulinimo, atsižvelgiant į žmogaus ir piliečių teisių bei laisvių užtikrinimo ir viešojo intereso apsaugos principus, klausimas.</w:t>
      </w:r>
    </w:p>
    <w:p w:rsidR="00B91CA6" w:rsidRDefault="00B91CA6" w:rsidP="00B91CA6">
      <w:pPr>
        <w:pStyle w:val="prastasistinklapis"/>
      </w:pPr>
      <w:r>
        <w:rPr>
          <w:b/>
          <w:bCs/>
          <w:i/>
          <w:iCs/>
        </w:rPr>
        <w:t>2005 04 19</w:t>
      </w:r>
      <w:r>
        <w:t xml:space="preserve"> vyko Lietuvos Respublikos Seimo Europos reikalų komiteto, Lietuvos Respublikos Seimo Sveikatos reikalų komiteto ir Lietuvos Respublikos Seimo Narkomanijos prevencijos komisijos bendras posėdis, kuriame svarstyta Lietuvos Respublikos pozicija dėl Europos Sąjungos kovos su narkotikais veiksmų plano 2005 -2008 m. projekto. Nuspręsta (bendru sutarimu): </w:t>
      </w:r>
    </w:p>
    <w:p w:rsidR="00B91CA6" w:rsidRDefault="00B91CA6" w:rsidP="00B91CA6">
      <w:pPr>
        <w:pStyle w:val="prastasistinklapis"/>
      </w:pPr>
      <w:r>
        <w:t>1. Iš esmės pritarti Europos Komisijos komunikatui Europos Parlamentui ir Tarybai dėl Europos Sąjungos kovos su narkotikais veiksmų planui (2005-2008 m.), pateiktam po 2005 m. kovo 30 – 31 d. vykusio ES Tarybos Narkotikų horizontaliosios darbo grupės posėdžio.</w:t>
      </w:r>
    </w:p>
    <w:p w:rsidR="00B91CA6" w:rsidRDefault="00B91CA6" w:rsidP="00B91CA6">
      <w:pPr>
        <w:pStyle w:val="prastasistinklapis"/>
      </w:pPr>
      <w:r>
        <w:t>2. Papildyti veiksmų plano 8 tikslo įgyvendinimo priemonę po žodžių ,,</w:t>
      </w:r>
      <w:r>
        <w:rPr>
          <w:i/>
          <w:iCs/>
        </w:rPr>
        <w:t>kiek įmanoma plačiau</w:t>
      </w:r>
      <w:r>
        <w:t>” įrašant žodžius ,,</w:t>
      </w:r>
      <w:r>
        <w:rPr>
          <w:i/>
          <w:iCs/>
        </w:rPr>
        <w:t>atsižvelgiant į nacionalinę teisę</w:t>
      </w:r>
      <w:r>
        <w:t>” ir visą įgyvendinimo priemonę išdėstyti taip: ,,</w:t>
      </w:r>
      <w:r>
        <w:rPr>
          <w:i/>
          <w:iCs/>
        </w:rPr>
        <w:t>Užtikrinti, kad išsamios ir įvertintos prevencijos programos, apimančios tiek teisėtų, tiek ir neteisėtų psichoaktyvių medžiagų vartojimą, taip pat įvairių narkotikų vartojimą tuo pačiu metu, yra įtrauktos į mokyklų programas, arba yra vykdomos kiek įmanoma plačiau, atsižvelgiant į nacionalinę teisę</w:t>
      </w:r>
      <w:r>
        <w:t xml:space="preserve">”. </w:t>
      </w:r>
    </w:p>
    <w:p w:rsidR="00B91CA6" w:rsidRDefault="00B91CA6" w:rsidP="00B91CA6">
      <w:pPr>
        <w:pStyle w:val="prastasistinklapis"/>
      </w:pPr>
      <w:r>
        <w:t>3. 8 tikslą papildyti nauja antra priemone: ,,Skatinti ir remti nevyriausybinių organizacijų ir mokyklų bendruomenių bendrų prevencijos programų rengimą ir jų vykdymą”.</w:t>
      </w:r>
    </w:p>
    <w:p w:rsidR="00B91CA6" w:rsidRDefault="00B91CA6" w:rsidP="00B91CA6">
      <w:pPr>
        <w:pStyle w:val="prastasistinklapis"/>
      </w:pPr>
      <w:r>
        <w:t>4. Papildyti 11 priemonę nauju punktu ,,Kurti, gerinti, plėsti specializuotas (socialines, psichologines, medicinines) paslaugas nepilnamečiams, vartojantiems narkotines medžiagas)”.</w:t>
      </w:r>
    </w:p>
    <w:p w:rsidR="00B91CA6" w:rsidRDefault="00B91CA6" w:rsidP="00B91CA6">
      <w:pPr>
        <w:pStyle w:val="prastasistinklapis"/>
      </w:pPr>
      <w:r>
        <w:lastRenderedPageBreak/>
        <w:t>5. 13.2 punktą papildyti po žodžių „</w:t>
      </w:r>
      <w:r>
        <w:rPr>
          <w:i/>
          <w:iCs/>
        </w:rPr>
        <w:t>prisoners</w:t>
      </w:r>
      <w:r>
        <w:t>“ (nuteistieji) įrašant žodžius „</w:t>
      </w:r>
      <w:r>
        <w:rPr>
          <w:i/>
          <w:iCs/>
        </w:rPr>
        <w:t>in due regard with national legislation</w:t>
      </w:r>
      <w:r>
        <w:t>“ (pagal nacionalinį teisinį reguliavimą).</w:t>
      </w:r>
    </w:p>
    <w:p w:rsidR="00B91CA6" w:rsidRDefault="00B91CA6" w:rsidP="00B91CA6">
      <w:pPr>
        <w:pStyle w:val="prastasistinklapis"/>
      </w:pPr>
      <w:r>
        <w:t>6. 16.1 punkte išbraukti antrą sakinį:,,</w:t>
      </w:r>
      <w:r>
        <w:rPr>
          <w:i/>
          <w:iCs/>
        </w:rPr>
        <w:t>Šias programas reikėtų įtraukti į bendrąsias socialines ir sveikatos priežiūros paslaugas</w:t>
      </w:r>
      <w:r>
        <w:t>” .</w:t>
      </w:r>
    </w:p>
    <w:p w:rsidR="00B91CA6" w:rsidRDefault="00B91CA6" w:rsidP="00B91CA6">
      <w:pPr>
        <w:pStyle w:val="prastasistinklapis"/>
      </w:pPr>
      <w:r>
        <w:t>7. Papildyti 18 tikslą po žodžių „</w:t>
      </w:r>
      <w:r>
        <w:rPr>
          <w:i/>
          <w:iCs/>
        </w:rPr>
        <w:t>with third countries</w:t>
      </w:r>
      <w:r>
        <w:t xml:space="preserve">“ </w:t>
      </w:r>
      <w:r>
        <w:rPr>
          <w:i/>
          <w:iCs/>
        </w:rPr>
        <w:t>(su trečiosiomis šalimis)</w:t>
      </w:r>
      <w:r>
        <w:t xml:space="preserve"> įrašant žodžius „</w:t>
      </w:r>
      <w:r>
        <w:rPr>
          <w:i/>
          <w:iCs/>
        </w:rPr>
        <w:t>international organizations</w:t>
      </w:r>
      <w:r>
        <w:t xml:space="preserve">“ </w:t>
      </w:r>
      <w:r>
        <w:rPr>
          <w:i/>
          <w:iCs/>
        </w:rPr>
        <w:t xml:space="preserve">(tarptautinėmis organizacijomis) </w:t>
      </w:r>
      <w:r>
        <w:t>ir</w:t>
      </w:r>
      <w:r>
        <w:rPr>
          <w:i/>
          <w:iCs/>
        </w:rPr>
        <w:t xml:space="preserve"> </w:t>
      </w:r>
      <w:r>
        <w:t>visą 18 tikslą išdėstyti taip ,,</w:t>
      </w:r>
      <w:r>
        <w:rPr>
          <w:i/>
          <w:iCs/>
        </w:rPr>
        <w:t>Užmegzti ir plėtoti operatyvinį bendradarbiavimą tarp valstybių narių, ir tam tikrais atvejais su trečiosiomis šalimis, tarptautinėmis organizacijomis, Europolu ir (arba) Eurojust prieš organizuotą narkotikų gamybą ir prekybą tarptautiniu mastu”</w:t>
      </w:r>
      <w:r>
        <w:t>.</w:t>
      </w:r>
    </w:p>
    <w:p w:rsidR="00B91CA6" w:rsidRDefault="00B91CA6" w:rsidP="00B91CA6">
      <w:pPr>
        <w:pStyle w:val="prastasistinklapis"/>
      </w:pPr>
      <w:r>
        <w:t>8. Papildyti 21.3 punktą įrašant naują sakinį ,,</w:t>
      </w:r>
      <w:r>
        <w:rPr>
          <w:i/>
          <w:iCs/>
        </w:rPr>
        <w:t>Tobulinti informacijos rinkimą ir keitimąsi tarp ES ir trečiųjų šalių apie įmones ir/arba chemijos laboratorijas, kurios gamina, įveža ir naudoja narkotinių medžiagų prekursorius”</w:t>
      </w:r>
      <w:r>
        <w:t>.</w:t>
      </w:r>
    </w:p>
    <w:p w:rsidR="00B91CA6" w:rsidRDefault="00B91CA6" w:rsidP="00B91CA6">
      <w:pPr>
        <w:pStyle w:val="prastasistinklapis"/>
      </w:pPr>
      <w:r>
        <w:t xml:space="preserve">9. Prašyti Europos Tarybos Narkotikų horizontalios darbo grupės posėdžio metu paaiškinimo dėl galimo 34 uždavinio ir 35 uždavinio 3 punkto dubliavimosi. </w:t>
      </w:r>
    </w:p>
    <w:p w:rsidR="00B91CA6" w:rsidRDefault="00B91CA6" w:rsidP="00B91CA6">
      <w:pPr>
        <w:pStyle w:val="prastasistinklapis"/>
      </w:pPr>
      <w:r>
        <w:rPr>
          <w:b/>
          <w:bCs/>
          <w:i/>
          <w:iCs/>
        </w:rPr>
        <w:t>2005 04 27</w:t>
      </w:r>
      <w:r>
        <w:t xml:space="preserve"> Narkomanijos prevencijos komisijos posėdyje, tęsiant narkomanijos prevencijos ir narkotikų kontrolės įgyvendinimo žiniasklaidoje bei internetiniuose puslapiuose, reklamuojančiuose narkotikus klausimo svarstymą, nuspręsta (bendru sutarimu) dėl narkomanijos prevencijos ir narkotikų kontrolės įgyvendinimo žiniasklaidoje bei internetiniuose puslapiuose, reklamuojančiuose narkotikus (pvz., Atsipusk.lt, Mintis.lt ir kt. ) prašyti Teisingumo ministeriją atlikti teisės aktų, ribojančių informacijos apie narkotikus ir kitas psichotropines medžiagas pateikimą visuomenei (ypač nepilnamečiams) spaudoje, televizijoje, radijuje ir internete, analizę ir pateikti siūlymus, kokius teisės aktus būtina tobulinti.</w:t>
      </w:r>
    </w:p>
    <w:p w:rsidR="00B91CA6" w:rsidRDefault="00B91CA6" w:rsidP="00B91CA6">
      <w:pPr>
        <w:pStyle w:val="prastasistinklapis"/>
      </w:pPr>
      <w:r>
        <w:t xml:space="preserve">Paprašyta Policijos departamentą prie Vidaus reikalų ministerijos surinkti informaciją, kiek ir kokia yra narkotikų reklama (lietuvių kalba) internete. </w:t>
      </w:r>
    </w:p>
    <w:p w:rsidR="00B91CA6" w:rsidRDefault="00B91CA6" w:rsidP="00B91CA6">
      <w:pPr>
        <w:pStyle w:val="prastasistinklapis"/>
      </w:pPr>
      <w:r>
        <w:t xml:space="preserve">Svarstytas dėl tarptautinės konferencijos "Alternatyvos žalos mažinimo politikai" surengimo 2005 m. gegužės 20 d. Vilniuje, klausimas. </w:t>
      </w:r>
    </w:p>
    <w:p w:rsidR="00B91CA6" w:rsidRDefault="00B91CA6" w:rsidP="00B91CA6">
      <w:pPr>
        <w:pStyle w:val="prastasistinklapis"/>
      </w:pPr>
      <w:r>
        <w:t>Nuspręsta (bendru sutarimu): Pritarti tarptautinės konferencijos "Alternatyvos žalos mažinimo politikai" surengimui 2005 m. gegužės 20 d. Vilniuje, Lietuvos Respublikos Seime. Patvirtinta konferencijos programa.</w:t>
      </w:r>
    </w:p>
    <w:p w:rsidR="00B91CA6" w:rsidRDefault="00B91CA6" w:rsidP="00B91CA6">
      <w:pPr>
        <w:pStyle w:val="prastasistinklapis"/>
      </w:pPr>
      <w:r>
        <w:t>Gegužės 20 d. 9.40 - 10. 10 Konferencijos atidarymas</w:t>
      </w:r>
    </w:p>
    <w:p w:rsidR="00B91CA6" w:rsidRDefault="00B91CA6" w:rsidP="00B91CA6">
      <w:pPr>
        <w:pStyle w:val="prastasistinklapis"/>
      </w:pPr>
      <w:r>
        <w:t xml:space="preserve">Artūras Paulauskas, Lietuvos Respublikos Seimo Pirmininkas </w:t>
      </w:r>
    </w:p>
    <w:p w:rsidR="00B91CA6" w:rsidRDefault="00B91CA6" w:rsidP="00B91CA6">
      <w:pPr>
        <w:pStyle w:val="prastasistinklapis"/>
      </w:pPr>
      <w:r>
        <w:t>Monsinjoras Gintaras Grušas,</w:t>
      </w:r>
      <w:r>
        <w:rPr>
          <w:b/>
          <w:bCs/>
        </w:rPr>
        <w:t xml:space="preserve"> </w:t>
      </w:r>
      <w:r>
        <w:t>Lietuvos Vyskupų Konferencijos</w:t>
      </w:r>
      <w:r>
        <w:rPr>
          <w:b/>
          <w:bCs/>
        </w:rPr>
        <w:t xml:space="preserve"> </w:t>
      </w:r>
      <w:r>
        <w:t>Generalinis</w:t>
      </w:r>
      <w:r>
        <w:rPr>
          <w:b/>
          <w:bCs/>
        </w:rPr>
        <w:t xml:space="preserve"> </w:t>
      </w:r>
      <w:r>
        <w:t xml:space="preserve">Sekretorius </w:t>
      </w:r>
    </w:p>
    <w:p w:rsidR="00B91CA6" w:rsidRDefault="00B91CA6" w:rsidP="00B91CA6">
      <w:pPr>
        <w:pStyle w:val="prastasistinklapis"/>
      </w:pPr>
      <w:r>
        <w:t>10.10 - 12.50 Pranešimai</w:t>
      </w:r>
    </w:p>
    <w:p w:rsidR="00B91CA6" w:rsidRDefault="00B91CA6" w:rsidP="00B91CA6">
      <w:pPr>
        <w:pStyle w:val="prastasistinklapis"/>
      </w:pPr>
      <w:r>
        <w:t>Ramunė Visockytė, Lietuvos Respublikos Seimo Narkomanijos prevencijos komisijos pirmininkė, įžanginis žodis.</w:t>
      </w:r>
    </w:p>
    <w:p w:rsidR="00B91CA6" w:rsidRDefault="00B91CA6" w:rsidP="00B91CA6">
      <w:pPr>
        <w:pStyle w:val="prastasistinklapis"/>
      </w:pPr>
      <w:r>
        <w:t>Antanas Bosas, 2004-2008 Seimo kadencijos Seimo narys ,</w:t>
      </w:r>
      <w:r>
        <w:rPr>
          <w:i/>
          <w:iCs/>
        </w:rPr>
        <w:t>“Narkomanijos situacija Lietuvoje”.</w:t>
      </w:r>
      <w:r>
        <w:t xml:space="preserve"> </w:t>
      </w:r>
    </w:p>
    <w:p w:rsidR="00B91CA6" w:rsidRDefault="00B91CA6" w:rsidP="00B91CA6">
      <w:pPr>
        <w:pStyle w:val="prastasistinklapis"/>
      </w:pPr>
      <w:r>
        <w:t>John P. Walters,</w:t>
      </w:r>
      <w:r>
        <w:rPr>
          <w:b/>
          <w:bCs/>
        </w:rPr>
        <w:t xml:space="preserve"> </w:t>
      </w:r>
      <w:r>
        <w:t xml:space="preserve">JAV </w:t>
      </w:r>
    </w:p>
    <w:p w:rsidR="00B91CA6" w:rsidRDefault="00B91CA6" w:rsidP="00B91CA6">
      <w:pPr>
        <w:pStyle w:val="prastasistinklapis"/>
      </w:pPr>
      <w:r>
        <w:t xml:space="preserve">Tomas Halbergas (Tom Hallberg), Tarptautinės organizacijos "Europos miestai prieš narkotikus" (ECAD) direktorius, Švedija , </w:t>
      </w:r>
      <w:r>
        <w:rPr>
          <w:i/>
          <w:iCs/>
        </w:rPr>
        <w:t>“Šimtas metų “žalos mažinimo” politikai”</w:t>
      </w:r>
      <w:r>
        <w:t>.</w:t>
      </w:r>
    </w:p>
    <w:p w:rsidR="00B91CA6" w:rsidRDefault="00B91CA6" w:rsidP="00B91CA6">
      <w:pPr>
        <w:pStyle w:val="prastasistinklapis"/>
        <w:rPr>
          <w:i/>
          <w:iCs/>
        </w:rPr>
      </w:pPr>
      <w:r>
        <w:lastRenderedPageBreak/>
        <w:t>Piteris Stoukeris</w:t>
      </w:r>
      <w:r>
        <w:rPr>
          <w:b/>
          <w:bCs/>
        </w:rPr>
        <w:t xml:space="preserve"> (</w:t>
      </w:r>
      <w:r>
        <w:t xml:space="preserve">Peter Stoker) ir En Stouker (Ann Stoker), Tarptautinės strateginės narkotikų politikos specialiosios grupės nariai, Anglija, </w:t>
      </w:r>
      <w:r>
        <w:rPr>
          <w:i/>
          <w:iCs/>
        </w:rPr>
        <w:t>“Efektyvios alternatyvos žalos mažinimo programos”.</w:t>
      </w:r>
    </w:p>
    <w:p w:rsidR="00B91CA6" w:rsidRDefault="00B91CA6" w:rsidP="00B91CA6">
      <w:pPr>
        <w:pStyle w:val="prastasistinklapis"/>
      </w:pPr>
      <w:r>
        <w:t xml:space="preserve">Georgijus Zazulinas (Georgi Zazulin), Tarptautinės organizacijos "Europos miestai prieš narkotikus" (ECAD) Vakarų regiono direktorius, Sankt Peterburgas Rusija, </w:t>
      </w:r>
      <w:r>
        <w:rPr>
          <w:i/>
          <w:iCs/>
        </w:rPr>
        <w:t>“Rusijos narkotikų politika tampa griežtesnė”</w:t>
      </w:r>
      <w:r>
        <w:t>.</w:t>
      </w:r>
    </w:p>
    <w:p w:rsidR="00B91CA6" w:rsidRDefault="00B91CA6" w:rsidP="00B91CA6">
      <w:pPr>
        <w:pStyle w:val="prastasistinklapis"/>
      </w:pPr>
      <w:r>
        <w:t xml:space="preserve">Nilsas Gėrdegordas (Nils Gardegard), Tarptautinio projekto "Narkotikų prevencija darbo vietose” autorius, Sundsvalio uostamiesčio Nusikaltimų prevencijos komiteto koordinatorius,Švedija, </w:t>
      </w:r>
      <w:r>
        <w:rPr>
          <w:i/>
          <w:iCs/>
        </w:rPr>
        <w:t>"Narkotikų prevencija darbo vietose”</w:t>
      </w:r>
      <w:r>
        <w:t>.</w:t>
      </w:r>
    </w:p>
    <w:p w:rsidR="00B91CA6" w:rsidRDefault="00B91CA6" w:rsidP="00B91CA6">
      <w:pPr>
        <w:pStyle w:val="prastasistinklapis"/>
      </w:pPr>
      <w:r>
        <w:t xml:space="preserve">Robertas Badaras, Valstybinio aplinkos sveikatos centro Apsinuodijimo kontrolės ir informacijos biuro l.e. vyr. gydytojo pareigas, </w:t>
      </w:r>
      <w:r>
        <w:rPr>
          <w:i/>
          <w:iCs/>
        </w:rPr>
        <w:t>“Kompleksinis priklausomybės gydymas</w:t>
      </w:r>
      <w:r>
        <w:t xml:space="preserve">”. </w:t>
      </w:r>
    </w:p>
    <w:p w:rsidR="00B91CA6" w:rsidRDefault="00B91CA6" w:rsidP="00B91CA6">
      <w:pPr>
        <w:pStyle w:val="prastasistinklapis"/>
      </w:pPr>
      <w:r>
        <w:t xml:space="preserve">Linas Gasiliauskas, Lietuvos AIDS centro priklausomybių ligų skyriaus vedėjas (narkomanų psichologinės reabilitacijos bendruomenės vadovas. </w:t>
      </w:r>
      <w:r>
        <w:rPr>
          <w:i/>
          <w:iCs/>
        </w:rPr>
        <w:t>“Priklausomų nuo psichoaktyvių medžiagų žmonių gydymas”</w:t>
      </w:r>
      <w:r>
        <w:t>.</w:t>
      </w:r>
    </w:p>
    <w:p w:rsidR="00B91CA6" w:rsidRDefault="00B91CA6" w:rsidP="00B91CA6">
      <w:pPr>
        <w:pStyle w:val="prastasistinklapis"/>
        <w:rPr>
          <w:b/>
          <w:bCs/>
        </w:rPr>
      </w:pPr>
      <w:r>
        <w:t>dr. Edita Gruodytė,</w:t>
      </w:r>
      <w:r>
        <w:rPr>
          <w:b/>
          <w:bCs/>
        </w:rPr>
        <w:t xml:space="preserve"> </w:t>
      </w:r>
      <w:r>
        <w:t>Lietuvos Teisės universiteto docentė,</w:t>
      </w:r>
      <w:r>
        <w:rPr>
          <w:b/>
          <w:bCs/>
        </w:rPr>
        <w:t xml:space="preserve"> </w:t>
      </w:r>
      <w:r>
        <w:rPr>
          <w:i/>
          <w:iCs/>
        </w:rPr>
        <w:t>“Narkotikų teismai”</w:t>
      </w:r>
      <w:r>
        <w:rPr>
          <w:b/>
          <w:bCs/>
        </w:rPr>
        <w:t>.</w:t>
      </w:r>
    </w:p>
    <w:p w:rsidR="00B91CA6" w:rsidRDefault="00B91CA6" w:rsidP="00B91CA6">
      <w:pPr>
        <w:pStyle w:val="prastasistinklapis"/>
      </w:pPr>
      <w:r>
        <w:t xml:space="preserve">Gediminas Jakubčionis, VO “Tėvai prieš narkotikus” pirmininkas </w:t>
      </w:r>
    </w:p>
    <w:p w:rsidR="00B91CA6" w:rsidRDefault="00B91CA6" w:rsidP="00B91CA6">
      <w:pPr>
        <w:pStyle w:val="prastasistinklapis"/>
      </w:pPr>
      <w:r>
        <w:t>Tim Guenard</w:t>
      </w:r>
      <w:r>
        <w:rPr>
          <w:b/>
          <w:bCs/>
        </w:rPr>
        <w:t xml:space="preserve"> </w:t>
      </w:r>
      <w:r>
        <w:t>"Knygų "Stipriau už neapykantą”, “Viltis iš gatvės” autorius, Prancūzija.</w:t>
      </w:r>
    </w:p>
    <w:p w:rsidR="00B91CA6" w:rsidRDefault="00B91CA6" w:rsidP="00B91CA6">
      <w:pPr>
        <w:pStyle w:val="prastasistinklapis"/>
      </w:pPr>
      <w:r>
        <w:t>17.10 -18.00 Diskusija, Rezoliucijos priėmimas</w:t>
      </w:r>
    </w:p>
    <w:p w:rsidR="00B91CA6" w:rsidRDefault="00B91CA6" w:rsidP="00B91CA6">
      <w:pPr>
        <w:pStyle w:val="prastasistinklapis"/>
      </w:pPr>
      <w:r>
        <w:rPr>
          <w:b/>
          <w:bCs/>
          <w:i/>
          <w:iCs/>
        </w:rPr>
        <w:t>2005 05 25</w:t>
      </w:r>
      <w:r>
        <w:rPr>
          <w:b/>
          <w:bCs/>
        </w:rPr>
        <w:t xml:space="preserve"> </w:t>
      </w:r>
      <w:r>
        <w:t>ir</w:t>
      </w:r>
      <w:r>
        <w:rPr>
          <w:b/>
          <w:bCs/>
        </w:rPr>
        <w:t xml:space="preserve"> </w:t>
      </w:r>
      <w:r>
        <w:rPr>
          <w:b/>
          <w:bCs/>
          <w:i/>
          <w:iCs/>
        </w:rPr>
        <w:t>2005 06 08</w:t>
      </w:r>
      <w:r>
        <w:t xml:space="preserve"> Narkomanijos prevencijos komisijos posėdžiuose išklausytas Narkotikų kontrolės departamento prie Lietuvos Respublikos Vyriausybės direktorės Audronės Astrauskienės metinis pranešimas už 2004 metus. </w:t>
      </w:r>
    </w:p>
    <w:p w:rsidR="00B91CA6" w:rsidRDefault="00B91CA6" w:rsidP="00B91CA6">
      <w:pPr>
        <w:pStyle w:val="prastasistinklapis"/>
      </w:pPr>
      <w:r>
        <w:rPr>
          <w:b/>
          <w:bCs/>
          <w:i/>
          <w:iCs/>
        </w:rPr>
        <w:t>2005 06 08</w:t>
      </w:r>
      <w:r>
        <w:t xml:space="preserve"> Narkomanijos prevencijos komisijos posėdyje patvirtinta, o </w:t>
      </w:r>
      <w:r>
        <w:rPr>
          <w:b/>
          <w:bCs/>
          <w:i/>
          <w:iCs/>
        </w:rPr>
        <w:t>2005 06 15</w:t>
      </w:r>
      <w:r>
        <w:t xml:space="preserve"> atsižvelgiant į Seimo valdybos rekomendacijas, patikslinta darbo grupės “Dėl žalos sveikatai mažinimo susijusio su priklausomybę nuo narkotikų, taikant Lietuvoje žalos mažinimo programas” sudėtis:</w:t>
      </w:r>
    </w:p>
    <w:p w:rsidR="00B91CA6" w:rsidRDefault="00B91CA6" w:rsidP="00B91CA6">
      <w:pPr>
        <w:pStyle w:val="prastasistinklapis"/>
      </w:pPr>
      <w:r>
        <w:t xml:space="preserve">1.Seimo narė Ramunė Visockytė - darbo grupės pirmininkė </w:t>
      </w:r>
    </w:p>
    <w:p w:rsidR="00B91CA6" w:rsidRDefault="00B91CA6" w:rsidP="00B91CA6">
      <w:pPr>
        <w:pStyle w:val="prastasistinklapis"/>
      </w:pPr>
      <w:r>
        <w:t>2.Raimondas Purvaneckas - darbo grupės pirmininkės pavaduotojas (Vilniaus Greitosios pagalbos Universitetinės ligoninės Ūminio apsinuodijimo skyriaus vedėjas )</w:t>
      </w:r>
    </w:p>
    <w:p w:rsidR="00B91CA6" w:rsidRDefault="00B91CA6" w:rsidP="00B91CA6">
      <w:pPr>
        <w:pStyle w:val="prastasistinklapis"/>
      </w:pPr>
      <w:r>
        <w:t xml:space="preserve">3.Povilas Radzevičius -narys (Narkotikų kontrolės departamento prie LRV specialistas) </w:t>
      </w:r>
    </w:p>
    <w:p w:rsidR="00B91CA6" w:rsidRDefault="00B91CA6" w:rsidP="00B91CA6">
      <w:pPr>
        <w:pStyle w:val="prastasistinklapis"/>
      </w:pPr>
      <w:r>
        <w:t>4.Tautvydas Zikaras - narys (Kauno Priklausomybės ligų centro direktorius)</w:t>
      </w:r>
    </w:p>
    <w:p w:rsidR="00B91CA6" w:rsidRDefault="00B91CA6" w:rsidP="00B91CA6">
      <w:pPr>
        <w:pStyle w:val="prastasistinklapis"/>
      </w:pPr>
      <w:r>
        <w:t>5.Robertas Badaras- narys (Valstybinis aplinkos sveikatos centro Apsinuodijimo kontrolės ir informacijos biuro l. e. vyr. gydytojo pareigas )</w:t>
      </w:r>
    </w:p>
    <w:p w:rsidR="00B91CA6" w:rsidRDefault="00B91CA6" w:rsidP="00B91CA6">
      <w:pPr>
        <w:pStyle w:val="prastasistinklapis"/>
      </w:pPr>
      <w:r>
        <w:t>6.Antanas Bukauskas -narys (Mykolo Romerio universiteto Valstybinio valdymo fakultetas Viešojo administravimo katedros dėstytojas)</w:t>
      </w:r>
    </w:p>
    <w:p w:rsidR="00B91CA6" w:rsidRDefault="00B91CA6" w:rsidP="00B91CA6">
      <w:pPr>
        <w:pStyle w:val="prastasistinklapis"/>
      </w:pPr>
      <w:r>
        <w:t>7.Ignas Vėgėlė - narys (Mykolo Romerio universiteto Tarptautinės teisės katedros</w:t>
      </w:r>
    </w:p>
    <w:p w:rsidR="00B91CA6" w:rsidRDefault="00B91CA6" w:rsidP="00B91CA6">
      <w:pPr>
        <w:pStyle w:val="prastasistinklapis"/>
      </w:pPr>
      <w:r>
        <w:t>docentas )</w:t>
      </w:r>
    </w:p>
    <w:p w:rsidR="00B91CA6" w:rsidRDefault="00B91CA6" w:rsidP="00B91CA6">
      <w:pPr>
        <w:pStyle w:val="prastasistinklapis"/>
      </w:pPr>
      <w:r>
        <w:t>8.Agnė Širinskienė -narė, darbo grupės atsakingoji sekretorė (Mykolo Romerio universiteto Bioteisės katedros dėstytoja)</w:t>
      </w:r>
    </w:p>
    <w:p w:rsidR="00B91CA6" w:rsidRDefault="00B91CA6" w:rsidP="00B91CA6">
      <w:pPr>
        <w:pStyle w:val="prastasistinklapis"/>
      </w:pPr>
      <w:r>
        <w:lastRenderedPageBreak/>
        <w:t>9.Alfredas Nazarovas - narys (Socialinės apsaugos ir darbo ministerijos Socialinės integracijos departamento direktorius)</w:t>
      </w:r>
    </w:p>
    <w:p w:rsidR="00B91CA6" w:rsidRDefault="00B91CA6" w:rsidP="00B91CA6">
      <w:pPr>
        <w:pStyle w:val="prastasistinklapis"/>
      </w:pPr>
      <w:r>
        <w:t>10.Vladas Kasperiūnas - narys ( Kalėjimų departamento prie Teisingumo ministerijos Sveikatos priežiūros tarnybos viršininkas)</w:t>
      </w:r>
    </w:p>
    <w:p w:rsidR="00B91CA6" w:rsidRDefault="00B91CA6" w:rsidP="00B91CA6">
      <w:pPr>
        <w:pStyle w:val="prastasistinklapis"/>
      </w:pPr>
      <w:r>
        <w:t>11. Anžela Slušnienė- narė (Sveikatos apsaugos ministerija, vyriausioji specialistė)</w:t>
      </w:r>
    </w:p>
    <w:p w:rsidR="00B91CA6" w:rsidRDefault="00B91CA6" w:rsidP="00B91CA6">
      <w:pPr>
        <w:pStyle w:val="prastasistinklapis"/>
      </w:pPr>
      <w:r>
        <w:t xml:space="preserve">12. Valdas Janušonis- narys (Valstybės saugumo departamentas, vyr.specialistas) </w:t>
      </w:r>
    </w:p>
    <w:p w:rsidR="00B91CA6" w:rsidRDefault="00B91CA6" w:rsidP="00B91CA6">
      <w:pPr>
        <w:pStyle w:val="prastasistinklapis"/>
      </w:pPr>
      <w:r>
        <w:t xml:space="preserve">13.Remigijus Kalašnykas - narys (Policijos departamento prie VRM Viešosios tvarkos ir eismo priežiūros valdybos Prevencinės veiklos skyriaus viršininkas) </w:t>
      </w:r>
    </w:p>
    <w:p w:rsidR="00B91CA6" w:rsidRDefault="00B91CA6" w:rsidP="00B91CA6">
      <w:pPr>
        <w:pStyle w:val="prastasistinklapis"/>
      </w:pPr>
      <w:r>
        <w:t xml:space="preserve">14.Daiva Šimkienė -narė (Specialiųjų tyrimų tarnybos vyr. specialistė) </w:t>
      </w:r>
    </w:p>
    <w:p w:rsidR="00B91CA6" w:rsidRDefault="00B91CA6" w:rsidP="00B91CA6">
      <w:pPr>
        <w:pStyle w:val="prastasistinklapis"/>
      </w:pPr>
      <w:r>
        <w:t xml:space="preserve">15.Linas Gasiliauskas -narys (Lietuvos AIDS centro priklausomybių ligų skyriaus vedėjas) </w:t>
      </w:r>
    </w:p>
    <w:p w:rsidR="00B91CA6" w:rsidRDefault="00B91CA6" w:rsidP="00B91CA6">
      <w:pPr>
        <w:pStyle w:val="prastasistinklapis"/>
      </w:pPr>
      <w:r>
        <w:t xml:space="preserve">16.Jurgis Gediminas Jakubčionis -narys (Nevyriausybinės organizacijos "Tėvai prieš narkotikus" pirmininkas) </w:t>
      </w:r>
    </w:p>
    <w:p w:rsidR="00B91CA6" w:rsidRDefault="00B91CA6" w:rsidP="00B91CA6">
      <w:pPr>
        <w:pStyle w:val="prastasistinklapis"/>
      </w:pPr>
      <w:r>
        <w:rPr>
          <w:b/>
          <w:bCs/>
          <w:i/>
          <w:iCs/>
        </w:rPr>
        <w:t>2005 07 14</w:t>
      </w:r>
      <w:r>
        <w:t xml:space="preserve"> Narkomanijos prevencijos komisijos posėdyje nuspręsta (bendru sutarimu) patvirtinti iš Komisijos narių: Alvydo Sadecko, Rimanto Remeikos, Rimos Baškienės, Vidmanto Žiemelio, Algio Rimo darbo grupę, išvadoms, pagal Narkotikų kontrolės departamento prie Lietuvos Respublikos Vyriausybės Komisijai pateiktą metinį pranešimą ir ataskaitą už 2004 metus bei informaciją, parengti. Darbo grupės vadovu paskirti Vidmantą Žiemelį.</w:t>
      </w:r>
    </w:p>
    <w:p w:rsidR="00B91CA6" w:rsidRDefault="00B91CA6" w:rsidP="00B91CA6">
      <w:pPr>
        <w:pStyle w:val="prastasistinklapis"/>
      </w:pPr>
      <w:r>
        <w:t xml:space="preserve">Dėl narkomanijos prevencijos ir narkotikų kontrolės įgyvendinimo žiniasklaidoje bei internetiniuose puslapiuose, reklamuojančiuose narkotikus, vienbalsiai pavesta Komisijos nariui Vidmantui Žiemeliui kuruoti Komisijoje svarstomą klausimą. </w:t>
      </w:r>
    </w:p>
    <w:p w:rsidR="00B91CA6" w:rsidRDefault="00B91CA6" w:rsidP="00B91CA6">
      <w:pPr>
        <w:pStyle w:val="prastasistinklapis"/>
      </w:pPr>
      <w:r>
        <w:t>Posėdyje nuspręsta (bendru sutarimu): dalyvauti rengiant kartu su visuomeninėmis organizacijomis 2005 m. rugsėjo 9 d. Tarptautinę konferenciją: "Narkotikų teismai JAV: patirtis ir reikšmė narkomanijos kompleksiniam gydymui".</w:t>
      </w:r>
    </w:p>
    <w:p w:rsidR="00B91CA6" w:rsidRDefault="00B91CA6" w:rsidP="00B91CA6">
      <w:pPr>
        <w:pStyle w:val="prastasistinklapis"/>
      </w:pPr>
      <w:r>
        <w:t>PROGRAMA</w:t>
      </w:r>
    </w:p>
    <w:p w:rsidR="00B91CA6" w:rsidRDefault="00B91CA6" w:rsidP="00B91CA6">
      <w:pPr>
        <w:pStyle w:val="prastasistinklapis"/>
      </w:pPr>
      <w:r>
        <w:t>Rugsėjo 9 d. 9.00 val. PIRMASIS SEMINARAS. Narkotikų teismai JAV</w:t>
      </w:r>
    </w:p>
    <w:p w:rsidR="00B91CA6" w:rsidRDefault="00B91CA6" w:rsidP="00B91CA6">
      <w:pPr>
        <w:pStyle w:val="prastasistinklapis"/>
      </w:pPr>
      <w:r>
        <w:t>Seminaro vedėjai:</w:t>
      </w:r>
    </w:p>
    <w:p w:rsidR="00B91CA6" w:rsidRDefault="00B91CA6" w:rsidP="00B91CA6">
      <w:pPr>
        <w:pStyle w:val="prastasistinklapis"/>
      </w:pPr>
      <w:r>
        <w:t>West Huddleston, Nacionalinio Narkotikų teismų instituto direktorius, JAV</w:t>
      </w:r>
    </w:p>
    <w:p w:rsidR="00B91CA6" w:rsidRDefault="00B91CA6" w:rsidP="00B91CA6">
      <w:pPr>
        <w:pStyle w:val="prastasistinklapis"/>
      </w:pPr>
      <w:r>
        <w:t>Edita Gruodytė, Mykolo Romerio universitetas, Lietuva</w:t>
      </w:r>
    </w:p>
    <w:p w:rsidR="00B91CA6" w:rsidRDefault="00B91CA6" w:rsidP="00B91CA6">
      <w:pPr>
        <w:pStyle w:val="prastasistinklapis"/>
        <w:ind w:left="1440"/>
      </w:pPr>
      <w:r>
        <w:t xml:space="preserve">9.30 Bandymai keisti narkotikus vartojančių nusikaltėlių elgesį: istorinė apžvalga. </w:t>
      </w:r>
    </w:p>
    <w:p w:rsidR="00B91CA6" w:rsidRDefault="00B91CA6" w:rsidP="00B91CA6">
      <w:pPr>
        <w:pStyle w:val="prastasistinklapis"/>
        <w:ind w:left="1440"/>
      </w:pPr>
      <w:r>
        <w:t>West Huddleston, Nacionalinio Narkotikų teismų instituto direktorius, JAV</w:t>
      </w:r>
    </w:p>
    <w:p w:rsidR="00B91CA6" w:rsidRDefault="00B91CA6" w:rsidP="00B91CA6">
      <w:pPr>
        <w:pStyle w:val="prastasistinklapis"/>
      </w:pPr>
      <w:r>
        <w:t xml:space="preserve">10.30 Narkotikų teismų veikla: principai, pagrindai, teisminis procesas. </w:t>
      </w:r>
    </w:p>
    <w:p w:rsidR="00B91CA6" w:rsidRDefault="00B91CA6" w:rsidP="00B91CA6">
      <w:pPr>
        <w:pStyle w:val="prastasistinklapis"/>
      </w:pPr>
      <w:r>
        <w:t>West Huddleston, Nacionalinio Narkotikų teismų instituto direktorius, JAV</w:t>
      </w:r>
    </w:p>
    <w:p w:rsidR="00B91CA6" w:rsidRDefault="00B91CA6" w:rsidP="00B91CA6">
      <w:pPr>
        <w:pStyle w:val="prastasistinklapis"/>
        <w:ind w:left="1440"/>
      </w:pPr>
      <w:r>
        <w:t xml:space="preserve">11.15 Narkotikų teismų efektyvumas, perspektyvos, teismų sukauptos patirties recepcija kitose valstybėse. </w:t>
      </w:r>
    </w:p>
    <w:p w:rsidR="00B91CA6" w:rsidRDefault="00B91CA6" w:rsidP="00B91CA6">
      <w:pPr>
        <w:pStyle w:val="prastasistinklapis"/>
        <w:ind w:left="1440"/>
      </w:pPr>
      <w:r>
        <w:t>West Huddleston, Nacionalinio Narkotikų teismų instituto direktorius, JAV</w:t>
      </w:r>
    </w:p>
    <w:p w:rsidR="00B91CA6" w:rsidRDefault="00B91CA6" w:rsidP="00B91CA6">
      <w:pPr>
        <w:pStyle w:val="prastasistinklapis"/>
        <w:ind w:left="1440"/>
      </w:pPr>
      <w:r>
        <w:lastRenderedPageBreak/>
        <w:t xml:space="preserve">12.10 JAV narkotikų teismų patirties taikymo galimybės Lietuvoje, </w:t>
      </w:r>
    </w:p>
    <w:p w:rsidR="00B91CA6" w:rsidRDefault="00B91CA6" w:rsidP="00B91CA6">
      <w:pPr>
        <w:pStyle w:val="prastasistinklapis"/>
        <w:ind w:left="1440"/>
      </w:pPr>
      <w:r>
        <w:t>dr.Edita Gruodytė, Mykolo Romerio universitetas, Lietuva</w:t>
      </w:r>
    </w:p>
    <w:p w:rsidR="00B91CA6" w:rsidRDefault="00B91CA6" w:rsidP="00B91CA6">
      <w:pPr>
        <w:pStyle w:val="prastasistinklapis"/>
      </w:pPr>
      <w:r>
        <w:t>12.30 Pietų pertrauka</w:t>
      </w:r>
    </w:p>
    <w:p w:rsidR="00B91CA6" w:rsidRDefault="00B91CA6" w:rsidP="00B91CA6">
      <w:pPr>
        <w:pStyle w:val="prastasistinklapis"/>
      </w:pPr>
      <w:r>
        <w:t>ANTRASIS SEMINARAS. Kompleksinis narkomanijos gydymas</w:t>
      </w:r>
    </w:p>
    <w:p w:rsidR="00B91CA6" w:rsidRDefault="00B91CA6" w:rsidP="00B91CA6">
      <w:pPr>
        <w:pStyle w:val="prastasistinklapis"/>
      </w:pPr>
      <w:r>
        <w:t xml:space="preserve">Seminaro vedėjas: Dr. James Simone, Priklausomybės nuo narkotinių medžiagų gydymo tarnybos (Riversaido medicinos centras) direktorius. </w:t>
      </w:r>
    </w:p>
    <w:p w:rsidR="00B91CA6" w:rsidRDefault="00B91CA6" w:rsidP="00B91CA6">
      <w:pPr>
        <w:pStyle w:val="prastasistinklapis"/>
      </w:pPr>
      <w:r>
        <w:t xml:space="preserve">13.30 Narkotinių ir psichotropinių medžiagų vartojimas JAV. </w:t>
      </w:r>
    </w:p>
    <w:p w:rsidR="00B91CA6" w:rsidRDefault="00B91CA6" w:rsidP="00B91CA6">
      <w:pPr>
        <w:pStyle w:val="prastasistinklapis"/>
      </w:pPr>
      <w:r>
        <w:t xml:space="preserve">14.10 Narkomanijos gydymo tendencijos JAV. </w:t>
      </w:r>
    </w:p>
    <w:p w:rsidR="00B91CA6" w:rsidRDefault="00B91CA6" w:rsidP="00B91CA6">
      <w:pPr>
        <w:pStyle w:val="prastasistinklapis"/>
      </w:pPr>
      <w:r>
        <w:t>14.30 Gydymo rezultatai. Naujausių tyrimų apžvalga.</w:t>
      </w:r>
    </w:p>
    <w:p w:rsidR="00B91CA6" w:rsidRDefault="00B91CA6" w:rsidP="00B91CA6">
      <w:pPr>
        <w:pStyle w:val="prastasistinklapis"/>
        <w:ind w:left="1440"/>
      </w:pPr>
      <w:r>
        <w:t xml:space="preserve">15.30 Amerikos priklausomybių medicinos asociacijos (ASAM) taikomi kriterijai atrenkant asmenis skirtingoms gydymo programoms. Atrankos organizavimas pagal amžiaus grupes. </w:t>
      </w:r>
    </w:p>
    <w:p w:rsidR="00B91CA6" w:rsidRDefault="00B91CA6" w:rsidP="00B91CA6">
      <w:pPr>
        <w:pStyle w:val="prastasistinklapis"/>
        <w:ind w:left="1440"/>
      </w:pPr>
      <w:r>
        <w:t xml:space="preserve">16.15 Keturi paauglių priklausomybės nuo narkotinių medžiagų tarpsniai: nuo eksperimentavimo iki sunkių priklausomybės formų. </w:t>
      </w:r>
    </w:p>
    <w:p w:rsidR="00B91CA6" w:rsidRDefault="00B91CA6" w:rsidP="00B91CA6">
      <w:pPr>
        <w:pStyle w:val="prastasistinklapis"/>
        <w:ind w:left="1440"/>
      </w:pPr>
      <w:r>
        <w:t>17.00 Paauglių pakartotinio narkotikų vartojimo simptomai ir jų nustatymas.</w:t>
      </w:r>
    </w:p>
    <w:p w:rsidR="00B91CA6" w:rsidRDefault="00B91CA6" w:rsidP="00B91CA6">
      <w:pPr>
        <w:pStyle w:val="prastasistinklapis"/>
      </w:pPr>
      <w:r>
        <w:rPr>
          <w:b/>
          <w:bCs/>
          <w:i/>
          <w:iCs/>
        </w:rPr>
        <w:t>2005 10 11</w:t>
      </w:r>
      <w:r>
        <w:t xml:space="preserve"> vyko Narkomanijos prevencijos komisijos, Švietimo, mokslo ir kultūros komiteto ir Šeimos ir vaiko reikalų komisijos bendras posėdis. Posėdyje svarstyti Švietimo ir mokslo ministerijos Veiksmų plano parengimo einamiesiems mokslo metams dėl mokinių mokyklos nelankymo, narkotinių ir psichotropinių medžiagų vartojimo, ŽIV/AIDS, smurto, nusikalstamumo prevencijos, užimtumo bei Prevencinio darbo koordinavimo grupių savivaldybėse veiklos klausimai.</w:t>
      </w:r>
    </w:p>
    <w:p w:rsidR="00B91CA6" w:rsidRDefault="00B91CA6" w:rsidP="00B91CA6">
      <w:pPr>
        <w:pStyle w:val="prastasistinklapis"/>
      </w:pPr>
      <w:r>
        <w:rPr>
          <w:b/>
          <w:bCs/>
          <w:i/>
          <w:iCs/>
        </w:rPr>
        <w:t>2005 11 02</w:t>
      </w:r>
      <w:r>
        <w:rPr>
          <w:b/>
          <w:bCs/>
        </w:rPr>
        <w:t xml:space="preserve"> </w:t>
      </w:r>
      <w:r>
        <w:t>vyko Narkomanijos prevencijos komisijos posėdis, kuriame svarstyti: Švietimo ir mokslo ministerijos Veiksmų plano parengimo einamiesiems mokslo metams dėl mokinių mokyklos nelankymo, narkotinių ir psichotropinių medžiagų vartojimo, ŽIV/AIDS, smurto, nusikalstamumo prevencijos, užimtumo klausimas, Prevencinio darbo koordinavimo grupių savivaldybėse veiklos klausimas; Komisijos darbo grupės, sudarytos 2005 07 14, pateiktų išvadų pagal Narkotikų kontrolės departamento prie Lietuvos Respublikos Vyriausybės Komisijai pateiktą metinį pranešimą ir ataskaitą už 2004 metus bei informaciją tvirtinimas; Seimo narės Ramunės Visockytės pasiūlymas 2006 metų valstybės biudžeto ir savivaldybių biudžetų finansinių rodiklių patvirtinimo įstatymo projektui Nr. XP -846.</w:t>
      </w:r>
    </w:p>
    <w:p w:rsidR="00B91CA6" w:rsidRDefault="00B91CA6" w:rsidP="00B91CA6">
      <w:pPr>
        <w:pStyle w:val="prastasistinklapis"/>
      </w:pPr>
      <w:r>
        <w:t>Nuspręsta (bendru sutarimu):</w:t>
      </w:r>
    </w:p>
    <w:p w:rsidR="00B91CA6" w:rsidRDefault="00B91CA6" w:rsidP="00B91CA6">
      <w:pPr>
        <w:pStyle w:val="prastasistinklapis"/>
      </w:pPr>
      <w:r>
        <w:t xml:space="preserve">1.Surengti bendrą Seimo Narkomanijos prevencijos komisijos, Švietimo, mokslo ir kultūros komiteto ir Šeimos ir vaiko reikalų komisijos posėdį ir priimti šiais klausimais bendrą sprendimą. </w:t>
      </w:r>
    </w:p>
    <w:p w:rsidR="00B91CA6" w:rsidRDefault="00B91CA6" w:rsidP="00B91CA6">
      <w:pPr>
        <w:pStyle w:val="prastasistinklapis"/>
      </w:pPr>
      <w:r>
        <w:t xml:space="preserve">2.Patvirtinti Komisijos išvadas parengtas pagal Narkotikų kontrolės departamento prie Lietuvos Respublikos Vyriausybės pateiktą metinį pranešimą ir ataskaitą už 2004 metus bei informaciją. </w:t>
      </w:r>
    </w:p>
    <w:p w:rsidR="00B91CA6" w:rsidRDefault="00B91CA6" w:rsidP="00B91CA6">
      <w:pPr>
        <w:pStyle w:val="prastasistinklapis"/>
      </w:pPr>
      <w:r>
        <w:t>3. Pritarta Seimo narės Ramunės Visockytės siūlymui 2006 metų valstybės biudžeto ir savivaldybių biudžetų finansinių rodiklių patvirtinimo įstatymo projektui Nr. XP -846:</w:t>
      </w:r>
    </w:p>
    <w:p w:rsidR="00B91CA6" w:rsidRDefault="00B91CA6" w:rsidP="00B91CA6">
      <w:pPr>
        <w:pStyle w:val="prastasistinklapis"/>
      </w:pPr>
      <w:r>
        <w:t xml:space="preserve">“1.Sumažinti Finansų ministerijai valstybės skolos aptarnavimui skiriamus asignavimus – 5514 tūkst. Lt ir skirti šiuos asignavimus Kauno, Klaipėdos, Panevėžio ir Šiaulių priklausomybės ligų centrų bei Narkotikų kontrolės departamento prie Lietuvos Respublikos Vyriausybės išlaikymui. </w:t>
      </w:r>
    </w:p>
    <w:p w:rsidR="00B91CA6" w:rsidRDefault="00B91CA6" w:rsidP="00B91CA6">
      <w:pPr>
        <w:pStyle w:val="prastasistinklapis"/>
      </w:pPr>
      <w:r>
        <w:lastRenderedPageBreak/>
        <w:t xml:space="preserve">2006 metams skirtus 5514 tūkst. litus paskirstyti: </w:t>
      </w:r>
    </w:p>
    <w:p w:rsidR="00B91CA6" w:rsidRDefault="00B91CA6" w:rsidP="00B91CA6">
      <w:pPr>
        <w:pStyle w:val="prastasistinklapis"/>
      </w:pPr>
      <w:r>
        <w:t xml:space="preserve">Kauno apskrities viršininko administracijai </w:t>
      </w:r>
    </w:p>
    <w:p w:rsidR="00B91CA6" w:rsidRDefault="00B91CA6" w:rsidP="00B91CA6">
      <w:pPr>
        <w:pStyle w:val="prastasistinklapis"/>
      </w:pPr>
      <w:r>
        <w:t>Kauno priklausomybės ligų centro išlaikymui – 1059 tūkst. Lt,</w:t>
      </w:r>
    </w:p>
    <w:p w:rsidR="00B91CA6" w:rsidRDefault="00B91CA6" w:rsidP="00B91CA6">
      <w:pPr>
        <w:pStyle w:val="prastasistinklapis"/>
      </w:pPr>
      <w:r>
        <w:t>Klaipėdos apskrities viršininko administracijai</w:t>
      </w:r>
    </w:p>
    <w:p w:rsidR="00B91CA6" w:rsidRDefault="00B91CA6" w:rsidP="00B91CA6">
      <w:pPr>
        <w:pStyle w:val="prastasistinklapis"/>
      </w:pPr>
      <w:r>
        <w:t>Klaipėdos priklausomybės ligų centro išlaikymui – 2097 tūkst. Lt,</w:t>
      </w:r>
    </w:p>
    <w:p w:rsidR="00B91CA6" w:rsidRDefault="00B91CA6" w:rsidP="00B91CA6">
      <w:pPr>
        <w:pStyle w:val="prastasistinklapis"/>
      </w:pPr>
      <w:r>
        <w:t>Panevėžio apskrities viršininko administracijai</w:t>
      </w:r>
    </w:p>
    <w:p w:rsidR="00B91CA6" w:rsidRDefault="00B91CA6" w:rsidP="00B91CA6">
      <w:pPr>
        <w:pStyle w:val="prastasistinklapis"/>
      </w:pPr>
      <w:r>
        <w:t>Panevėžio priklausomybės ligų centro išlaikymui – 576 tūkst. Lt,</w:t>
      </w:r>
    </w:p>
    <w:p w:rsidR="00B91CA6" w:rsidRDefault="00B91CA6" w:rsidP="00B91CA6">
      <w:pPr>
        <w:pStyle w:val="prastasistinklapis"/>
      </w:pPr>
      <w:r>
        <w:t>Šiaulių apskrities viršininko administracijai</w:t>
      </w:r>
    </w:p>
    <w:p w:rsidR="00B91CA6" w:rsidRDefault="00B91CA6" w:rsidP="00B91CA6">
      <w:pPr>
        <w:pStyle w:val="prastasistinklapis"/>
      </w:pPr>
      <w:r>
        <w:t>Šiaulių priklausomybės ligų centro išlaikymui – 562 tūkst. Lt,</w:t>
      </w:r>
    </w:p>
    <w:p w:rsidR="00B91CA6" w:rsidRDefault="00B91CA6" w:rsidP="00B91CA6">
      <w:pPr>
        <w:pStyle w:val="prastasistinklapis"/>
      </w:pPr>
      <w:r>
        <w:t>Narkotikų kontrolės departamento prie LRV išlaikymui - 1220 tūkst. Lt.</w:t>
      </w:r>
    </w:p>
    <w:p w:rsidR="00B91CA6" w:rsidRDefault="00B91CA6" w:rsidP="00B91CA6">
      <w:pPr>
        <w:pStyle w:val="prastasistinklapis"/>
      </w:pPr>
      <w:r>
        <w:t>Seimui pateiktame Įstatymo projekte Nr. XP - 846 numatytus 5514 tūkst. Nacionalinei narkotikų kontrolės ir narkomanijos prevencijos 2004-2008 m. programai vykdyti, praktiškai Kauno, Klaipėdos, Panevėžio, Šiaulių apskritys ir Narkotikų kontrolės departamentas prie LRV, gautų šiuos asignavimus ir skirtų priklausomybės ligų centrų ir Departamento išlaikymui.</w:t>
      </w:r>
    </w:p>
    <w:p w:rsidR="00B91CA6" w:rsidRDefault="00B91CA6" w:rsidP="00B91CA6">
      <w:pPr>
        <w:pStyle w:val="prastasistinklapis"/>
      </w:pPr>
      <w:r>
        <w:t>Atsižvelgiant į tai, ir siūlyti biudžete skiriamus papildomus valstybės biudžeto asignavimus priklausomybės ligų centrų ir Departamento</w:t>
      </w:r>
      <w:r>
        <w:rPr>
          <w:b/>
          <w:bCs/>
        </w:rPr>
        <w:t xml:space="preserve"> </w:t>
      </w:r>
      <w:r>
        <w:t>išlaikymui išskirti atskiromis eilutėmis ir išbraukti iš Nacionalinės narkotikų kontrolės ir narkomanijos prevencijos 2004-2008 m. programos priemonių plano vykdymo.</w:t>
      </w:r>
    </w:p>
    <w:p w:rsidR="00B91CA6" w:rsidRDefault="00B91CA6" w:rsidP="00B91CA6">
      <w:pPr>
        <w:pStyle w:val="prastasistinklapis"/>
      </w:pPr>
      <w:r>
        <w:t>2.Siūlyti Narkotikų kontrolės departamentui prie Lietuvos Respublikos Vyriausybės Nacionalinei narkotikų kontrolės ir narkomanijos prevencijos 2004-2008 m. programai vykdyti 2006 m. skirti 1481 tūkst. litų. (vietoje Įstatymo projekte Nr.XP- 846 numatytų 2701 tūkst. Lt).</w:t>
      </w:r>
    </w:p>
    <w:p w:rsidR="00B91CA6" w:rsidRDefault="00B91CA6" w:rsidP="00B91CA6">
      <w:pPr>
        <w:pStyle w:val="prastasistinklapis"/>
      </w:pPr>
      <w:r>
        <w:t>3. Pateiktame Įstatymo projekte Nr. XP - 846 numatytus Nacionalinei narkotikų kontrolės ir narkomanijos prevencijos 2004-2008 m. programai vykdyti asignavimus - 5614 tūkst. Lt perskirstyti, įrašant naujus asignavimų valdytojus:</w:t>
      </w:r>
    </w:p>
    <w:p w:rsidR="00B91CA6" w:rsidRDefault="00B91CA6" w:rsidP="00B91CA6">
      <w:pPr>
        <w:pStyle w:val="prastasistinklapis"/>
      </w:pPr>
      <w:r>
        <w:t xml:space="preserve">3.1. Įrašyti asignavimų valdytojais Švietimo ir mokslo ministeriją bei Kalėjimų departamentą prie Teisingumo ministerijos, jiems skiriant: </w:t>
      </w:r>
    </w:p>
    <w:p w:rsidR="00B91CA6" w:rsidRDefault="00B91CA6" w:rsidP="00B91CA6">
      <w:pPr>
        <w:pStyle w:val="prastasistinklapis"/>
      </w:pPr>
      <w:r>
        <w:t>Švietimo ir mokslo ministerijai – 2400 tūkst. Lt.</w:t>
      </w:r>
    </w:p>
    <w:p w:rsidR="00B91CA6" w:rsidRDefault="00B91CA6" w:rsidP="00B91CA6">
      <w:pPr>
        <w:pStyle w:val="prastasistinklapis"/>
      </w:pPr>
      <w:r>
        <w:t>Kalėjimų departamentui prie Teisingumo ministerijos – 1113 tūkst. Lt.</w:t>
      </w:r>
    </w:p>
    <w:p w:rsidR="00B91CA6" w:rsidRDefault="00B91CA6" w:rsidP="00B91CA6">
      <w:pPr>
        <w:pStyle w:val="prastasistinklapis"/>
      </w:pPr>
      <w:r>
        <w:t>3.2. Esančiam asignavimų valdytojui Policijos departamentui prie Vidaus reikalų ministerijos 3281 tūkst. Lt.</w:t>
      </w:r>
      <w:r>
        <w:rPr>
          <w:b/>
          <w:bCs/>
        </w:rPr>
        <w:t xml:space="preserve"> (</w:t>
      </w:r>
      <w:r>
        <w:t>numatytą 1180 tūkst. litų sumą padidinti 2101 tūkst. litų suma).</w:t>
      </w:r>
    </w:p>
    <w:p w:rsidR="00B91CA6" w:rsidRDefault="00B91CA6" w:rsidP="00B91CA6">
      <w:pPr>
        <w:pStyle w:val="prastasistinklapis"/>
      </w:pPr>
      <w:r>
        <w:t xml:space="preserve">3.3. Išbraukti asignavimų valdytoją - Valstybinę jaunimo reikalų tarybą.” </w:t>
      </w:r>
    </w:p>
    <w:p w:rsidR="00B91CA6" w:rsidRDefault="00B91CA6" w:rsidP="00B91CA6">
      <w:pPr>
        <w:pStyle w:val="prastasistinklapis"/>
      </w:pPr>
      <w:r>
        <w:rPr>
          <w:b/>
          <w:bCs/>
          <w:i/>
          <w:iCs/>
        </w:rPr>
        <w:t>2005 11 04</w:t>
      </w:r>
      <w:r>
        <w:t xml:space="preserve"> vyko bendras Narkomanijos prevencijos komisijos, Švietimo, mokslo ir kultūros komiteto bei Šeimos ir vaiko reikalų komisijos posėdis, kuriame svarstytas Nacionalinės narkotikų kontrolės ir narkomanijos prevencijos 2004-2008 metų programos įgyvendinimo 2004 ir 2005 metais: pirminė narkomanijos prevencija tarp vaikų (nepilnamečių) klausimas.</w:t>
      </w:r>
    </w:p>
    <w:p w:rsidR="00B91CA6" w:rsidRDefault="00B91CA6" w:rsidP="00B91CA6">
      <w:pPr>
        <w:pStyle w:val="prastasistinklapis"/>
      </w:pPr>
      <w:r>
        <w:lastRenderedPageBreak/>
        <w:t>Bendru sutarimu patvirtintos išvados ir priimtas sprendimas dėl Nacionalinės narkotikų kontrolės ir narkomanijos prevencijos 2004-2008 metų programos įgyvendinimo 2004 ir 2005 metais: pirminė narkomanijos prevencija tarp vaikų (nepilnamečių).</w:t>
      </w:r>
    </w:p>
    <w:p w:rsidR="00B91CA6" w:rsidRDefault="00B91CA6" w:rsidP="00B91CA6">
      <w:pPr>
        <w:pStyle w:val="prastasistinklapis"/>
      </w:pPr>
      <w:r>
        <w:rPr>
          <w:b/>
          <w:bCs/>
          <w:i/>
          <w:iCs/>
        </w:rPr>
        <w:t>2005 12 22</w:t>
      </w:r>
      <w:r>
        <w:t xml:space="preserve"> vyko Narkomanijos prevencijos komisijos posėdis, kuriame svarstytas Nacionalinės narkotikų kontrolės ir narkomanijos prevencijos 2004 -2008 metų programos įgyvendinimas 2004 -2005 metais: neteisėtos narkotinių ir psichotropinių medžiagų pasiūlos mažinimas ir Komisijos narės - darbo grupės vadovės Vincės Vaidevutės Margevičienės siūlymas pratęsti darbo grupės "Dėl nepilnamečių, linkusių nusikalsti ir nusikaltusių, minimalios ir vidutinės priežiūros sistemos sukūrimo, teisės aktų projektų parengimo" darbą.</w:t>
      </w:r>
    </w:p>
    <w:p w:rsidR="00B91CA6" w:rsidRDefault="00B91CA6" w:rsidP="00B91CA6">
      <w:pPr>
        <w:pStyle w:val="prastasistinklapis"/>
      </w:pPr>
      <w:r>
        <w:t>Bendru sutarimu patvirtintos išvados ir priimtas sprendimas dėl Nacionalinės narkotikų kontrolės ir narkomanijos prevencijos 2004 -2008 metų programos įgyvendinimo 2004 -2005 metais: neteisėtos narkotinių ir psichotropinių medžiagų pasiūlos mažinimas.</w:t>
      </w:r>
    </w:p>
    <w:p w:rsidR="00B91CA6" w:rsidRDefault="00B91CA6" w:rsidP="00B91CA6">
      <w:pPr>
        <w:pStyle w:val="prastasistinklapis"/>
      </w:pPr>
      <w:r>
        <w:t xml:space="preserve">Pritarta Komisijos narės - darbo grupės vadovės Vincės Vaidevutės Margevičienės siūlymui pratęsti darbo grupės "Dėl nepilnamečių, linkusių nusikalsti ir nusikaltusių, minimalios ir vidutinės priežiūros sistemos sukūrimo, teisės aktų projektų parengimo" darbą. </w:t>
      </w:r>
    </w:p>
    <w:p w:rsidR="00F77E33" w:rsidRDefault="00F77E33"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B91CA6" w:rsidRDefault="00B91CA6" w:rsidP="002B7A0A">
      <w:pPr>
        <w:jc w:val="center"/>
        <w:rPr>
          <w:rFonts w:ascii="TimesLT" w:hAnsi="TimesLT"/>
          <w:b/>
          <w:sz w:val="56"/>
          <w:szCs w:val="56"/>
        </w:rPr>
      </w:pPr>
    </w:p>
    <w:p w:rsidR="00585AD9" w:rsidRDefault="00585AD9" w:rsidP="00585AD9">
      <w:pPr>
        <w:ind w:left="2160"/>
        <w:rPr>
          <w:b/>
          <w:color w:val="008000"/>
        </w:rPr>
      </w:pPr>
      <w:r>
        <w:rPr>
          <w:b/>
          <w:color w:val="008000"/>
          <w:sz w:val="36"/>
        </w:rPr>
        <w:t>LIETUVOS RESPUBLIKOS SEIMO</w:t>
      </w:r>
    </w:p>
    <w:p w:rsidR="00585AD9" w:rsidRDefault="00585AD9" w:rsidP="00585AD9">
      <w:pPr>
        <w:jc w:val="center"/>
        <w:rPr>
          <w:b/>
          <w:color w:val="008000"/>
        </w:rPr>
      </w:pPr>
    </w:p>
    <w:p w:rsidR="00585AD9" w:rsidRDefault="00585AD9" w:rsidP="00585AD9">
      <w:pPr>
        <w:jc w:val="center"/>
        <w:rPr>
          <w:b/>
          <w:color w:val="008000"/>
          <w:sz w:val="40"/>
        </w:rPr>
      </w:pPr>
      <w:r>
        <w:rPr>
          <w:b/>
          <w:color w:val="008000"/>
          <w:sz w:val="40"/>
        </w:rPr>
        <w:t>NARKOMANIJOS PREVENCIJOS KOMISIJOS</w:t>
      </w:r>
    </w:p>
    <w:p w:rsidR="00585AD9" w:rsidRDefault="00585AD9" w:rsidP="00585AD9">
      <w:pPr>
        <w:jc w:val="center"/>
        <w:rPr>
          <w:b/>
          <w:color w:val="008000"/>
          <w:sz w:val="40"/>
        </w:rPr>
      </w:pPr>
    </w:p>
    <w:p w:rsidR="00585AD9" w:rsidRDefault="00585AD9" w:rsidP="00585AD9">
      <w:pPr>
        <w:jc w:val="center"/>
        <w:rPr>
          <w:b/>
          <w:color w:val="008000"/>
          <w:sz w:val="36"/>
        </w:rPr>
      </w:pPr>
      <w:r>
        <w:rPr>
          <w:b/>
          <w:color w:val="008000"/>
          <w:sz w:val="36"/>
        </w:rPr>
        <w:t>2006 METŲ VEIKLOS</w:t>
      </w:r>
    </w:p>
    <w:p w:rsidR="00585AD9" w:rsidRDefault="00585AD9" w:rsidP="00585AD9">
      <w:pPr>
        <w:jc w:val="center"/>
        <w:rPr>
          <w:b/>
          <w:color w:val="008000"/>
          <w:sz w:val="36"/>
        </w:rPr>
      </w:pPr>
    </w:p>
    <w:p w:rsidR="00585AD9" w:rsidRDefault="00585AD9" w:rsidP="00585AD9">
      <w:pPr>
        <w:jc w:val="center"/>
        <w:rPr>
          <w:b/>
          <w:color w:val="008000"/>
          <w:sz w:val="36"/>
        </w:rPr>
      </w:pPr>
    </w:p>
    <w:p w:rsidR="00585AD9" w:rsidRDefault="00585AD9" w:rsidP="00585AD9">
      <w:pPr>
        <w:jc w:val="center"/>
        <w:rPr>
          <w:b/>
          <w:color w:val="008000"/>
          <w:sz w:val="36"/>
        </w:rPr>
      </w:pPr>
    </w:p>
    <w:p w:rsidR="00585AD9" w:rsidRDefault="00585AD9" w:rsidP="00585AD9">
      <w:pPr>
        <w:pStyle w:val="Antrat6"/>
      </w:pPr>
      <w:r>
        <w:t>A T A S K A I T A</w:t>
      </w: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jc w:val="center"/>
        <w:rPr>
          <w:rFonts w:ascii="TimesLT" w:hAnsi="TimesLT"/>
          <w:b/>
          <w:sz w:val="28"/>
        </w:rPr>
      </w:pPr>
    </w:p>
    <w:p w:rsidR="00585AD9" w:rsidRDefault="00585AD9" w:rsidP="00585AD9">
      <w:pPr>
        <w:rPr>
          <w:rFonts w:ascii="TimesLT" w:hAnsi="TimesLT"/>
          <w:b/>
          <w:sz w:val="28"/>
        </w:rPr>
      </w:pPr>
    </w:p>
    <w:p w:rsidR="00585AD9" w:rsidRDefault="00585AD9" w:rsidP="00585AD9">
      <w:pPr>
        <w:ind w:firstLine="720"/>
        <w:rPr>
          <w:rFonts w:ascii="TimesLT" w:hAnsi="TimesLT"/>
          <w:b/>
          <w:sz w:val="28"/>
        </w:rPr>
      </w:pPr>
    </w:p>
    <w:p w:rsidR="00585AD9" w:rsidRDefault="00585AD9" w:rsidP="00585AD9">
      <w:pPr>
        <w:ind w:firstLine="720"/>
        <w:rPr>
          <w:rFonts w:ascii="TimesLT" w:hAnsi="TimesLT"/>
          <w:b/>
          <w:sz w:val="28"/>
        </w:rPr>
      </w:pPr>
      <w:r>
        <w:rPr>
          <w:rFonts w:ascii="TimesLT" w:hAnsi="TimesLT"/>
          <w:b/>
          <w:sz w:val="28"/>
        </w:rPr>
        <w:t>Seimo Narkomanijos prevencijos komisijos sudėtis</w:t>
      </w:r>
    </w:p>
    <w:p w:rsidR="00585AD9" w:rsidRDefault="00585AD9" w:rsidP="00585AD9">
      <w:pPr>
        <w:ind w:firstLine="720"/>
        <w:jc w:val="both"/>
      </w:pPr>
      <w:r>
        <w:t>Lietuvos Respublikos Seimas, vadovaudamasis Seimo statuto 71 straipsniu, 2004 m. gruodžio 16 d. nutarimu Nr. X-54 sudarė nuolatinę Seimo Narkomanijos prevencijos komisiją iš 11 narių:</w:t>
      </w:r>
    </w:p>
    <w:p w:rsidR="00585AD9" w:rsidRDefault="00585AD9" w:rsidP="00585AD9">
      <w:pPr>
        <w:ind w:firstLine="720"/>
        <w:jc w:val="both"/>
      </w:pPr>
      <w:r>
        <w:t>1) Algis Kašėta;</w:t>
      </w:r>
    </w:p>
    <w:p w:rsidR="00585AD9" w:rsidRDefault="00585AD9" w:rsidP="00585AD9">
      <w:pPr>
        <w:ind w:firstLine="720"/>
        <w:jc w:val="both"/>
      </w:pPr>
      <w:r>
        <w:t>2) Vincė Vaidevutė Margevičienė;</w:t>
      </w:r>
    </w:p>
    <w:p w:rsidR="00585AD9" w:rsidRDefault="00585AD9" w:rsidP="00585AD9">
      <w:pPr>
        <w:ind w:firstLine="720"/>
        <w:jc w:val="both"/>
      </w:pPr>
      <w:r>
        <w:t>3) Milda Petrauskinė;</w:t>
      </w:r>
    </w:p>
    <w:p w:rsidR="00585AD9" w:rsidRDefault="00585AD9" w:rsidP="00585AD9">
      <w:pPr>
        <w:ind w:firstLine="720"/>
        <w:jc w:val="both"/>
      </w:pPr>
      <w:r>
        <w:t>4) Rimantas Remeika;</w:t>
      </w:r>
    </w:p>
    <w:p w:rsidR="00585AD9" w:rsidRDefault="00585AD9" w:rsidP="00585AD9">
      <w:pPr>
        <w:ind w:firstLine="720"/>
        <w:jc w:val="both"/>
      </w:pPr>
      <w:r>
        <w:t>5) Algis Rimas;</w:t>
      </w:r>
    </w:p>
    <w:p w:rsidR="00585AD9" w:rsidRDefault="00585AD9" w:rsidP="00585AD9">
      <w:pPr>
        <w:ind w:firstLine="720"/>
        <w:jc w:val="both"/>
      </w:pPr>
      <w:r>
        <w:t>6) Irina Rozova;</w:t>
      </w:r>
    </w:p>
    <w:p w:rsidR="00585AD9" w:rsidRDefault="00585AD9" w:rsidP="00585AD9">
      <w:pPr>
        <w:ind w:firstLine="720"/>
        <w:jc w:val="both"/>
      </w:pPr>
      <w:r>
        <w:t>7) Alvydas Sadeckas;</w:t>
      </w:r>
    </w:p>
    <w:p w:rsidR="00585AD9" w:rsidRDefault="00585AD9" w:rsidP="00585AD9">
      <w:pPr>
        <w:ind w:firstLine="720"/>
        <w:jc w:val="both"/>
      </w:pPr>
      <w:r>
        <w:t>8) Ramunė Visockytė;</w:t>
      </w:r>
    </w:p>
    <w:p w:rsidR="00585AD9" w:rsidRDefault="00585AD9" w:rsidP="00585AD9">
      <w:pPr>
        <w:ind w:firstLine="720"/>
        <w:jc w:val="both"/>
      </w:pPr>
      <w:r>
        <w:t>9) Jadvyga Zinkevičiūtė;</w:t>
      </w:r>
    </w:p>
    <w:p w:rsidR="00585AD9" w:rsidRDefault="00585AD9" w:rsidP="00585AD9">
      <w:pPr>
        <w:ind w:firstLine="720"/>
        <w:jc w:val="both"/>
      </w:pPr>
      <w:r>
        <w:t>10) Vidmantas Žiemelis;</w:t>
      </w:r>
    </w:p>
    <w:p w:rsidR="00585AD9" w:rsidRDefault="00585AD9" w:rsidP="00585AD9">
      <w:pPr>
        <w:ind w:firstLine="720"/>
        <w:jc w:val="both"/>
      </w:pPr>
      <w:r>
        <w:t>11) Ona Valiukevičiūtė.</w:t>
      </w:r>
      <w:r>
        <w:tab/>
        <w:t xml:space="preserve"> </w:t>
      </w:r>
    </w:p>
    <w:p w:rsidR="00585AD9" w:rsidRDefault="00585AD9" w:rsidP="00585AD9">
      <w:pPr>
        <w:ind w:firstLine="720"/>
        <w:jc w:val="both"/>
      </w:pPr>
      <w:r>
        <w:t xml:space="preserve">2004 m. gruodžio 21d.  Lietuvos Respublikos Seimo Narkomanijos prevencijos komisijos posėdyje komisijos pirmininke išrinkta Ramunė  Visockytė. </w:t>
      </w:r>
    </w:p>
    <w:p w:rsidR="00585AD9" w:rsidRDefault="00585AD9" w:rsidP="00585AD9">
      <w:pPr>
        <w:ind w:firstLine="720"/>
        <w:jc w:val="both"/>
      </w:pPr>
      <w:r>
        <w:t>2005 m. vasario 15 d. Seimo Narkomanijos prevencijos komisijos posėdyje komisijos pirmininko pavaduotoju išrinktas Liberalų ir centro frakcijos narys Seimo narys Rimantas Remeika.</w:t>
      </w:r>
    </w:p>
    <w:p w:rsidR="00585AD9" w:rsidRDefault="00585AD9" w:rsidP="00585AD9">
      <w:pPr>
        <w:ind w:firstLine="720"/>
        <w:jc w:val="both"/>
      </w:pPr>
      <w:r>
        <w:t>2006 m. gegužės 30 d. .  Lietuvos Respublikos Seimas nutarimu Nr. X-630 “Dėl Seimo nutarimo “Dėl Seimo Narkomanijos prevencijos komisijos sudarymo” pakeitimo”   išbraukė Aldoną Balsienę iš Komisijos narių ir įrašė Oną Valiukevičiūtę.</w:t>
      </w:r>
    </w:p>
    <w:p w:rsidR="00585AD9" w:rsidRDefault="00585AD9" w:rsidP="00585AD9">
      <w:pPr>
        <w:ind w:firstLine="720"/>
        <w:jc w:val="both"/>
      </w:pPr>
      <w:r>
        <w:lastRenderedPageBreak/>
        <w:t>2006 m. gruodžio 5 d.  Lietuvos Respublikos Seimas nutarimu Nr. X-956 “Dėl Seimo nutarimo “Dėl Seimo Narkomanijos prevencijos komisijos sudarymo” pakeitimo”   išbraukė Rimą Baškienę iš Komisijos narių ir įrašė Iriną Rozovą.</w:t>
      </w:r>
    </w:p>
    <w:p w:rsidR="00585AD9" w:rsidRDefault="00585AD9" w:rsidP="00585AD9">
      <w:pPr>
        <w:ind w:firstLine="720"/>
        <w:jc w:val="both"/>
      </w:pPr>
    </w:p>
    <w:p w:rsidR="00585AD9" w:rsidRDefault="00585AD9" w:rsidP="00585AD9">
      <w:pPr>
        <w:ind w:firstLine="720"/>
        <w:jc w:val="both"/>
      </w:pPr>
      <w:r>
        <w:t>Lietuvos Respublikos Seimas 2005 m. lapkričio 15 d. nutarimu Nr. X - 393 "Dėl Lietuvos Respublikos Seimo Narkomanijos prevencijos komisijos nuostatų patvirtinimo" patvirtino Lietuvos Respublikos Seimo Narkomanijos prevencijos komisijos ( toliau- Komisija) nuostatus.</w:t>
      </w:r>
    </w:p>
    <w:p w:rsidR="00585AD9" w:rsidRDefault="00585AD9" w:rsidP="00585AD9"/>
    <w:p w:rsidR="00585AD9" w:rsidRDefault="00585AD9" w:rsidP="00585AD9">
      <w:pPr>
        <w:rPr>
          <w:b/>
          <w:sz w:val="28"/>
        </w:rPr>
      </w:pPr>
      <w:r>
        <w:tab/>
      </w:r>
      <w:r>
        <w:tab/>
      </w:r>
      <w:r>
        <w:tab/>
      </w:r>
      <w:r>
        <w:tab/>
      </w:r>
      <w:r>
        <w:tab/>
      </w:r>
      <w:r>
        <w:rPr>
          <w:b/>
          <w:sz w:val="28"/>
        </w:rPr>
        <w:t>Komisijos veikla</w:t>
      </w:r>
    </w:p>
    <w:p w:rsidR="00585AD9" w:rsidRDefault="00585AD9" w:rsidP="00585AD9"/>
    <w:p w:rsidR="00585AD9" w:rsidRDefault="00585AD9" w:rsidP="00585AD9">
      <w:pPr>
        <w:ind w:firstLine="720"/>
        <w:jc w:val="both"/>
      </w:pPr>
      <w:r>
        <w:t xml:space="preserve">Lietuvos Respublikos Seimo 2005 metų pavasario ir rudens bei neeilinės sesijos metu Komisija surengė </w:t>
      </w:r>
      <w:r>
        <w:rPr>
          <w:b/>
          <w:i/>
        </w:rPr>
        <w:t>11</w:t>
      </w:r>
      <w:r>
        <w:t xml:space="preserve"> posėdžių, į kuriuos buvo kviečiami atsakingi institucijų pareigūnai, pasiūlymus teikę asmenys, visuomeninių ir kitų organizacijų atstovai.</w:t>
      </w:r>
    </w:p>
    <w:p w:rsidR="00585AD9" w:rsidRDefault="00585AD9" w:rsidP="00585AD9">
      <w:pPr>
        <w:pStyle w:val="Pagrindiniotekstotrauka"/>
        <w:rPr>
          <w:szCs w:val="24"/>
          <w:lang w:val="lt-LT"/>
        </w:rPr>
      </w:pPr>
      <w:r>
        <w:rPr>
          <w:szCs w:val="24"/>
          <w:lang w:val="lt-LT"/>
        </w:rPr>
        <w:t xml:space="preserve">Ataskaitiniu laikotarpiu Komisija išsiuntė </w:t>
      </w:r>
      <w:r>
        <w:rPr>
          <w:b/>
          <w:bCs/>
          <w:i/>
          <w:iCs/>
          <w:szCs w:val="24"/>
          <w:lang w:val="lt-LT"/>
        </w:rPr>
        <w:t>82</w:t>
      </w:r>
      <w:r>
        <w:rPr>
          <w:szCs w:val="24"/>
          <w:lang w:val="lt-LT"/>
        </w:rPr>
        <w:t xml:space="preserve"> ir gavo </w:t>
      </w:r>
      <w:r>
        <w:rPr>
          <w:b/>
          <w:bCs/>
          <w:i/>
          <w:iCs/>
          <w:szCs w:val="24"/>
          <w:lang w:val="lt-LT"/>
        </w:rPr>
        <w:t>101</w:t>
      </w:r>
      <w:r>
        <w:rPr>
          <w:b/>
          <w:bCs/>
          <w:szCs w:val="24"/>
          <w:lang w:val="lt-LT"/>
        </w:rPr>
        <w:t xml:space="preserve"> </w:t>
      </w:r>
      <w:r>
        <w:rPr>
          <w:szCs w:val="24"/>
          <w:lang w:val="lt-LT"/>
        </w:rPr>
        <w:t xml:space="preserve">raštą. Gauti </w:t>
      </w:r>
      <w:r>
        <w:rPr>
          <w:b/>
          <w:bCs/>
          <w:i/>
          <w:iCs/>
          <w:szCs w:val="24"/>
          <w:lang w:val="lt-LT"/>
        </w:rPr>
        <w:t>13</w:t>
      </w:r>
      <w:r>
        <w:rPr>
          <w:szCs w:val="24"/>
          <w:lang w:val="lt-LT"/>
        </w:rPr>
        <w:t xml:space="preserve"> kreipimųsi: iš jų penki pasirašyti visuomeninių organizacijų, vienas - trijų visuomeninių organizacijų, 2 raštai – NVO vaikams konfederacijos. Vienas- septynių visuomeninių organizacijų. Gauti skundai, kuriuos pasirašė 55, 24 asmenys ir kt.  Visi skundai ir kreipimaisi - dėl narkomanijos prevencijos ir narkotikų kontrolės bei nacionalinių programų įgyvendinimo šiose srityse. </w:t>
      </w:r>
    </w:p>
    <w:p w:rsidR="00585AD9" w:rsidRDefault="00585AD9" w:rsidP="00585AD9">
      <w:pPr>
        <w:ind w:firstLine="720"/>
        <w:jc w:val="both"/>
        <w:rPr>
          <w:rFonts w:ascii="TimesLT" w:hAnsi="TimesLT"/>
        </w:rPr>
      </w:pPr>
      <w:r>
        <w:t xml:space="preserve">Ataskaitiniu laikotarpiu Komisija surengė, padėjo organizuoti, juose aktyviai dalyvavo  seminarus ir konferencijas narkomanijos prevencijos, narkotikų kontrolės ir narkomanijos politikos temomis: 2006 m. gegužės 12 d. tarptautinį seminarą Vilniuje “Dingę ir seksualiai išnaudojami vaikai. Sprendimo būdai ir galimybės”; gegužės 16 d. tarptautinį seminarą Vilniuje "Narkomanijos prevencija JAV kalėjimuose"; </w:t>
      </w:r>
      <w:r>
        <w:rPr>
          <w:rFonts w:ascii="TimesLT" w:hAnsi="TimesLT"/>
        </w:rPr>
        <w:t>gegužės 18 d. t</w:t>
      </w:r>
      <w:r>
        <w:t xml:space="preserve">arptautinį seminarą Kaune  </w:t>
      </w:r>
      <w:r>
        <w:rPr>
          <w:rFonts w:ascii="TimesLT" w:hAnsi="TimesLT"/>
        </w:rPr>
        <w:t>"Priklausomybės nuo psichotropinių medžiagų prevencija vaikams ir paaugliams. JAV patirtis";</w:t>
      </w:r>
      <w:r>
        <w:t xml:space="preserve">  spalio 12 d. tarptautinį praktinį seminarą Vilniuje "Nauji iššūkiai prekybos žmonėmis srityje. Informacijos sklaida”; lapkričio 3-4 d. tarptautinę konferenciją Vilniuje ”Šiaurės ir Baltijos šalys prieš narkotikus”.</w:t>
      </w:r>
      <w:r>
        <w:rPr>
          <w:b/>
        </w:rPr>
        <w:t xml:space="preserve"> </w:t>
      </w:r>
      <w:r>
        <w:t xml:space="preserve"> </w:t>
      </w:r>
    </w:p>
    <w:p w:rsidR="00585AD9" w:rsidRDefault="00585AD9" w:rsidP="00585AD9">
      <w:pPr>
        <w:ind w:firstLine="720"/>
        <w:jc w:val="both"/>
      </w:pPr>
      <w:r>
        <w:t xml:space="preserve"> Komisijos pirmininkė Ramunė Visockytė 2006 m. gegužės 12 d. lankėsi narkomanų reabilitacijos centruose: “Sugrįžimas” ir “Gyvybės versmė” Kauno raj. bei “Vilties švyturys” Kėdainių raj.;  gegužės 22 d. “Meikštų dvaras” ir  “Vilties kelias” Ignalinos raj.  bei  “Vilties žingsniai” Zarasų raj. </w:t>
      </w:r>
    </w:p>
    <w:p w:rsidR="00585AD9" w:rsidRDefault="00585AD9" w:rsidP="00585AD9">
      <w:pPr>
        <w:jc w:val="both"/>
      </w:pPr>
      <w:r>
        <w:tab/>
        <w:t xml:space="preserve">Komisijos nariai 2006 vasario 7 d. susitiko su Švedijos Parlamento Sveikatos ir socialinių reikalų komiteto nariais ir lapkričio 20 d. su JT Tarptautinės narkotikų kontrolės tarybos ekspertais.  </w:t>
      </w:r>
    </w:p>
    <w:p w:rsidR="00585AD9" w:rsidRDefault="00585AD9" w:rsidP="00585AD9">
      <w:pPr>
        <w:jc w:val="both"/>
      </w:pPr>
      <w:r>
        <w:tab/>
        <w:t xml:space="preserve">2006 metais pratęsta </w:t>
      </w:r>
      <w:r>
        <w:rPr>
          <w:b/>
          <w:i/>
        </w:rPr>
        <w:t>1</w:t>
      </w:r>
      <w:r>
        <w:t xml:space="preserve"> darbo grupės veikla, kurią inicijavo Komisija ir kurią patvirtino Lietuvos Respublikos Seimo valdyba: </w:t>
      </w:r>
    </w:p>
    <w:p w:rsidR="00585AD9" w:rsidRDefault="00585AD9" w:rsidP="00585AD9">
      <w:pPr>
        <w:ind w:firstLine="720"/>
        <w:jc w:val="both"/>
      </w:pPr>
      <w:r>
        <w:t xml:space="preserve"> Dėl nepilnamečių, linkusių nusikalsti  ir nusikaltusių, minimalios ir vidutinės priežiūros sistemos sukūrimo, teisės aktų projektų parengimo.</w:t>
      </w:r>
    </w:p>
    <w:p w:rsidR="00585AD9" w:rsidRDefault="00585AD9" w:rsidP="00585AD9">
      <w:pPr>
        <w:pStyle w:val="Pagrindiniotekstotrauka"/>
        <w:rPr>
          <w:szCs w:val="24"/>
          <w:lang w:val="lt-LT"/>
        </w:rPr>
      </w:pPr>
      <w:r>
        <w:rPr>
          <w:szCs w:val="24"/>
          <w:lang w:val="lt-LT"/>
        </w:rPr>
        <w:t>Komisijos veikla 2006 metais buvo vykdoma vadovaujantis nuostatais, Komisijos patvirtintu 2006 metų veiklos planu ir pagal patvirtintas prioritetines veiklos kryptis:</w:t>
      </w:r>
    </w:p>
    <w:p w:rsidR="00585AD9" w:rsidRDefault="00585AD9" w:rsidP="00585AD9">
      <w:pPr>
        <w:ind w:firstLine="720"/>
        <w:jc w:val="both"/>
      </w:pPr>
      <w:r>
        <w:t>1.Valstybės strategijos ir politikos, orientuotos į narkomanijos prevenciją ir narkotikų kontrolę formavimas,  prioritetų nustatymas ir   įgyvendinimas.</w:t>
      </w:r>
    </w:p>
    <w:p w:rsidR="00585AD9" w:rsidRDefault="00585AD9" w:rsidP="00585AD9">
      <w:pPr>
        <w:ind w:firstLine="720"/>
        <w:jc w:val="both"/>
      </w:pPr>
      <w:r>
        <w:t>2.Tarptautinių konvencijų ir rekomendacijų ( Jungtinių Tautų Organizacijos, Europos Tarybos, Europos Sąjungos ) įgyvendinimas nacionaliniuose įstatymuose  narkotikų kontrolės ir narkomanijos prevencijos  klausimais.</w:t>
      </w:r>
    </w:p>
    <w:p w:rsidR="00585AD9" w:rsidRDefault="00585AD9" w:rsidP="00585AD9">
      <w:pPr>
        <w:ind w:firstLine="720"/>
        <w:jc w:val="both"/>
      </w:pPr>
      <w:r>
        <w:t>3. Naujų įstatymų bei kitų teisės aktų, reikalingų dėl Nacionalinės narkotikų kontrolės ir narkomanijos prevencijos 2004 -2008 metų programos,  nuostatų numatytų  Vaikų ir jaunimo socializacijos programoje,  Jaunimo politikos  pagrindų įstatyme, Nepilnamečių justicijos  2004 - 2008 metų programoje  dėl nepilnamečių resocializacijos ir Valstybinės švietimo strategijoje  2003 - 2012 metų dėl narkotikų kontrolės ir narkomanijos  prevencijos  įgyvendinimo.</w:t>
      </w:r>
    </w:p>
    <w:p w:rsidR="00585AD9" w:rsidRDefault="00585AD9" w:rsidP="00585AD9">
      <w:pPr>
        <w:ind w:firstLine="720"/>
        <w:jc w:val="both"/>
      </w:pPr>
      <w:r>
        <w:t>4.Diskusijų ir konferencijų narkotikų kontrolės ir narkomanijos prevencijos klausimais organizavimas.</w:t>
      </w:r>
    </w:p>
    <w:p w:rsidR="00585AD9" w:rsidRDefault="00585AD9" w:rsidP="00585AD9">
      <w:pPr>
        <w:pStyle w:val="Antrat8"/>
      </w:pPr>
      <w:r>
        <w:t>Komisijos posėdžiai 2006 metais</w:t>
      </w:r>
    </w:p>
    <w:p w:rsidR="00585AD9" w:rsidRDefault="00585AD9" w:rsidP="00585AD9">
      <w:pPr>
        <w:jc w:val="both"/>
        <w:rPr>
          <w:b/>
        </w:rPr>
      </w:pPr>
    </w:p>
    <w:p w:rsidR="00585AD9" w:rsidRDefault="00585AD9" w:rsidP="00585AD9">
      <w:pPr>
        <w:ind w:firstLine="720"/>
        <w:jc w:val="both"/>
      </w:pPr>
      <w:r>
        <w:t xml:space="preserve">Seimo Narkomanijos prevencijos komisija </w:t>
      </w:r>
      <w:r>
        <w:rPr>
          <w:b/>
          <w:i/>
        </w:rPr>
        <w:t>2006 01 18</w:t>
      </w:r>
      <w:r>
        <w:rPr>
          <w:i/>
        </w:rPr>
        <w:t xml:space="preserve"> </w:t>
      </w:r>
      <w:r>
        <w:t>posėdyje patvirtino Narkomanijos prevencijos komisijos 2006 metų veiklos planą.</w:t>
      </w:r>
    </w:p>
    <w:p w:rsidR="00585AD9" w:rsidRDefault="00585AD9" w:rsidP="00585AD9">
      <w:pPr>
        <w:ind w:firstLine="720"/>
        <w:jc w:val="both"/>
      </w:pPr>
      <w:r>
        <w:rPr>
          <w:b/>
          <w:i/>
        </w:rPr>
        <w:lastRenderedPageBreak/>
        <w:t>2006 02 07</w:t>
      </w:r>
      <w:r>
        <w:t xml:space="preserve"> Seimo Narkomanijos prevencijos komisija patvirtino Narkomanijos prevencijos komisijos 2005 metų veiklos ataskaitą. Svarstytas pasirašyto projekto “Veiksminga ir koordinuota pagalba stiprinant jaunų žmonių sveikatą ir jos raidą Lietuvoje”  klausimas. Projekto įgyvendinimo sutartį 2005 m. gruodžio mėn. 19 d. pasirašė Sveikatos apsaugos ministras Žilvinas Padaiga ir Jungtinių Tautų Vystymo programos įgaliotąja atstovė Cihan Sultanoglu. Projekto įgyvendinanti institucija Valstybinė visuomenės sveikatos priežiūros tarnyba prie Sveikatos apsaugos ministerijos. Nuspręsta kreiptis į Sveikatos apsaugos ministrą dėl informacijos apie pasirašytą projektą "Veiksminga ir koordinuota pagalba stiprinant jaunų žmonių sveikatą ir jos raidą Lietuvoje".</w:t>
      </w:r>
    </w:p>
    <w:p w:rsidR="00585AD9" w:rsidRDefault="00585AD9" w:rsidP="00585AD9">
      <w:pPr>
        <w:ind w:firstLine="720"/>
        <w:jc w:val="both"/>
      </w:pPr>
      <w:r>
        <w:rPr>
          <w:b/>
          <w:i/>
        </w:rPr>
        <w:t>2006 03 29</w:t>
      </w:r>
      <w:r>
        <w:t xml:space="preserve"> Seimo Narkomanijos prevencijos komisija išklausė informaciją dėl kovos su sintetinių narkotikų nelegalia apyvarta Lietuvoje, kurią Komisijai pateikė Policijos departamentas prie Vidaus reikalų ministerijos, Valstybės sienos apsaugos tarnyba prie Vidaus reikalų ministerijos, Muitinės departamentas prie Finansų ministerijos, Kalėjimų departamentas prie Teisingumo ministerijos, Valstybės saugumo departamentas ir Specialiųjų tyrimų tarnyba. Tame pačiame posėdyje priimtos išvados dėl Lietuvos Respublikos narkotinių ir psichotropinių medžiagų pirmtakų (prekursorių) kontrolės įstatymo ir jį keitusio įstatymo pripažinimo netekusiais galios įstatymo projekto Nr. XP – 1181.</w:t>
      </w:r>
    </w:p>
    <w:p w:rsidR="00585AD9" w:rsidRDefault="00585AD9" w:rsidP="00585AD9">
      <w:pPr>
        <w:ind w:firstLine="720"/>
        <w:jc w:val="both"/>
      </w:pPr>
      <w:r>
        <w:rPr>
          <w:b/>
          <w:i/>
        </w:rPr>
        <w:t>2006 04 27</w:t>
      </w:r>
      <w:r>
        <w:t xml:space="preserve"> Seimo Narkomanijos prevencijos komisija svarstė ir priėmė išvadas dėl Lietuvos Respublikos nepilnamečių minimalios ir vidutinės priežiūros įstatymo projekto Nr. XP 933. Svarstytas  NVO vaikams konfederacijos kreipimosi į  Narkomanijos prevencijos komisiją dėl diskusijos dėl JT vaiko teisių  konvencijos įgyvendinimo Lietuvoje surengimo klausimas.</w:t>
      </w:r>
    </w:p>
    <w:p w:rsidR="00585AD9" w:rsidRDefault="00585AD9" w:rsidP="00585AD9">
      <w:pPr>
        <w:ind w:firstLine="720"/>
        <w:jc w:val="both"/>
        <w:rPr>
          <w:szCs w:val="20"/>
        </w:rPr>
      </w:pPr>
      <w:r>
        <w:rPr>
          <w:b/>
          <w:i/>
        </w:rPr>
        <w:t>2006 04 31</w:t>
      </w:r>
      <w:r>
        <w:t xml:space="preserve"> Seimo Narkomanijos prevencijos komisija svarstė klausimus: Dėl apsvaigusių nuo alkoholio, narkotinių, psichotropinių ir kitų psichiką veikiančių medžiagų asmenų, vairuojančių transporto priemones; Dėl projekto “ Veiksminga ir koordinuota pagalba stiprinant jaunų žmonių sveikatą ir jos raidą Lietuvoje; Dėl nepilnamečių apsaugos propaguojant ar reklamuojant narkotines bei psichotropines medžiagas ir dėl Seimo narių  Ramunės Visockytės ir Vidmanto Žiemelio komandiruotės  į Jungtines Amerikos Valstijas nuo 2006 birželio 18d.  iki 2006 birželio 27 d. dalyvauti Nacionalinio narkotikų teismų instituto organizuojamoje 12 – oje kasmetinėje konferencijoje (“NASCP 12</w:t>
      </w:r>
      <w:r>
        <w:rPr>
          <w:vertAlign w:val="superscript"/>
        </w:rPr>
        <w:t>th</w:t>
      </w:r>
      <w:r>
        <w:t xml:space="preserve">  Annual Drug Court Training Conference”) ir susitikimuose su svarbiausių JAV narkotikų politiką, kontrolę ir prevenciją koordinuojančių ir įgyvendinančių  institucijų atstovais (</w:t>
      </w:r>
      <w:r>
        <w:rPr>
          <w:bCs/>
        </w:rPr>
        <w:t>DEA</w:t>
      </w:r>
      <w:r>
        <w:t xml:space="preserve"> - Drug Enforcement Administration - Narkotikų įstatymų įgyvendinimo valdyba; </w:t>
      </w:r>
      <w:r>
        <w:rPr>
          <w:bCs/>
        </w:rPr>
        <w:t>ONDCP</w:t>
      </w:r>
      <w:r>
        <w:t xml:space="preserve"> - White House Office of National Drug Control Policy – Baltųjų Rūmų Nacionalinės narkotikų kontrolės politikos būstinė; </w:t>
      </w:r>
      <w:r>
        <w:rPr>
          <w:bCs/>
          <w:color w:val="000000"/>
        </w:rPr>
        <w:t>NADCP</w:t>
      </w:r>
      <w:r>
        <w:rPr>
          <w:color w:val="000000"/>
        </w:rPr>
        <w:t xml:space="preserve"> - National Association of Drug Court Professionals – Nacionalinė narkotikų teismų profesionalų asociacija; </w:t>
      </w:r>
      <w:r>
        <w:rPr>
          <w:bCs/>
        </w:rPr>
        <w:t>NDCI</w:t>
      </w:r>
      <w:r>
        <w:t xml:space="preserve"> - National Drug Court Institute – Nacionalinis narkotikų teismų institutas).</w:t>
      </w:r>
    </w:p>
    <w:p w:rsidR="00585AD9" w:rsidRDefault="00585AD9" w:rsidP="00585AD9">
      <w:pPr>
        <w:ind w:firstLine="720"/>
        <w:jc w:val="both"/>
        <w:rPr>
          <w:bCs/>
        </w:rPr>
      </w:pPr>
      <w:r>
        <w:rPr>
          <w:b/>
          <w:i/>
        </w:rPr>
        <w:t>2006 06 30</w:t>
      </w:r>
      <w:r>
        <w:t xml:space="preserve"> Seimo Narkomanijos prevencijos komisija svarstė apsinuodijimų alkoholiu, narkotinėmis, psichotropinėmis ir kitomis nuodingosiomis medžiagomis klausimus.</w:t>
      </w:r>
      <w:r>
        <w:rPr>
          <w:bCs/>
        </w:rPr>
        <w:t xml:space="preserve">  </w:t>
      </w:r>
    </w:p>
    <w:p w:rsidR="00585AD9" w:rsidRDefault="00585AD9" w:rsidP="00585AD9">
      <w:pPr>
        <w:ind w:firstLine="720"/>
        <w:jc w:val="both"/>
      </w:pPr>
      <w:r>
        <w:rPr>
          <w:b/>
          <w:i/>
        </w:rPr>
        <w:t xml:space="preserve">2006 07 18 </w:t>
      </w:r>
      <w:r>
        <w:t>Seimo Narkomanijos prevencijos komisija išklausė Darbo grupės  “Dėl nepilnamečių, linkusių nusikalsti ir nusikaltusių, minimalios ir vidutinės priežiūros sistemos sukūrimo, teisės aktų projektų parengimo"  informaciją, nagrinėjo  išvadas “Dėl Lietuvos Respublikos narkotinių ir psichotropinių medžiagų kontrolės įstatymo 1, 2, 8, 10, 12, 14,16, 20, 23 straipsnių pakeitimo ir papildymo bei įstatymo papildymo 8 1 straipsniu ir priedu įstatymo projekto Nr. XP-1529” bei išklausė Komisijos pirmininkės Ramunės Visockytės  ataskaitą apie komandiruotę į JAV  2006 m. birželio 17 - 28 d.</w:t>
      </w:r>
    </w:p>
    <w:p w:rsidR="00585AD9" w:rsidRDefault="00585AD9" w:rsidP="00585AD9">
      <w:pPr>
        <w:ind w:firstLine="720"/>
        <w:jc w:val="both"/>
      </w:pPr>
      <w:r>
        <w:rPr>
          <w:b/>
          <w:i/>
        </w:rPr>
        <w:t xml:space="preserve">2006 09 28 </w:t>
      </w:r>
      <w:r>
        <w:t xml:space="preserve">Seimo Narkomanijos prevencijos komisija pritarė pateiktoms išvadoms “Dėl Lietuvos Respublikos narkotinių ir psichotropinių medžiagų kontrolės įstatymo 1, 2, 8, 10, 12, 14, 16, 20, 23  straipsnių pakeitimo ir papildymo bei įstatymo papildymo 8 straipsniu ir priedu projekto XP – 1529”. Svarstytas tarptautinės konferencijos “ Alkoholio ir narkotikų problemos Baltijos regione” klausimas.  Konferencijos rengėjai: Lietuvos Respublikos Seimo Sveikatos reikalų komitetas, Lietuvos Respublikos Seimo Narkomanijos prevencijos komisija, Visuomeninė organizacija “Tėvai prieš narkotikus”, Šiaurės alkoholio ir narkotikų politikos tinklas NordAN ir Lietuvos Respublikos Švietimo ir mokslo ministerija. Konferencijos vedėjas: Šiaurės alkoholio ir narkotikų politikos tinklo NordAN pirmininkas Gabrielis Romanus (Gabriel Romanus).  </w:t>
      </w:r>
    </w:p>
    <w:p w:rsidR="00585AD9" w:rsidRDefault="00585AD9" w:rsidP="00585AD9">
      <w:pPr>
        <w:ind w:firstLine="720"/>
        <w:jc w:val="both"/>
      </w:pPr>
      <w:r>
        <w:rPr>
          <w:b/>
          <w:i/>
        </w:rPr>
        <w:t xml:space="preserve">2006 10 12 </w:t>
      </w:r>
      <w:r>
        <w:t xml:space="preserve">Seimo Narkomanijos prevencijos komisijos posėdyje pritarta išvadoms: “Dėl Lietuvos Respublikos Baudžiamojo kodekso 266  straipsnio pakeitimo įstatymo projekto XP – 1581”;  “Dėl Lietuvos Respublikos nepilnamečių apsaugos nuo neigiamo viešosios informacijos poveikio įstatymo 4 straipsnio pakeitimo ir papildymo įstatymo projekto XP-1470” ir “Dėl Lietuvos </w:t>
      </w:r>
      <w:r>
        <w:lastRenderedPageBreak/>
        <w:t xml:space="preserve">Respublikos nepilnamečių apsaugos nuo neigiamo viešosios informacijos poveikio įstatymo 4, 5 ir 9 straipsnių pakeitimo ir papildymo įstatymo projekto Nr. XP-1680”.  Išklausyta Kriminalinės policijos biuro Organizuoto nusikalstamumo tyrimo vyriausiosios valdybos 3-osios valdybos viršininko Algio Kvainicko informacija dėl padėties romų tabore, Kirtimuose, Vilniuje. </w:t>
      </w:r>
    </w:p>
    <w:p w:rsidR="00585AD9" w:rsidRDefault="00585AD9" w:rsidP="00585AD9">
      <w:pPr>
        <w:ind w:firstLine="720"/>
        <w:jc w:val="both"/>
      </w:pPr>
      <w:r>
        <w:rPr>
          <w:b/>
          <w:i/>
        </w:rPr>
        <w:t xml:space="preserve">2006 11 29 </w:t>
      </w:r>
      <w:r>
        <w:t xml:space="preserve">Seimo Narkomanijos prevencijos komisijos posėdyje svarstytas narkomanijos prevencijos ir narkotikų užkardymo romų tabore Kirtimuose, Vilniuje klausimas. </w:t>
      </w:r>
    </w:p>
    <w:p w:rsidR="00585AD9" w:rsidRDefault="00585AD9" w:rsidP="00585AD9">
      <w:pPr>
        <w:ind w:firstLine="720"/>
        <w:jc w:val="both"/>
      </w:pPr>
      <w:r>
        <w:rPr>
          <w:b/>
          <w:i/>
        </w:rPr>
        <w:t xml:space="preserve">2006 12 19 </w:t>
      </w:r>
      <w:r>
        <w:t xml:space="preserve">Seimo Narkomanijos prevencijos komisijos posėdyje priimtas sprendimas “Dėl narkomanijos prevencijos ir narkotikų užkardymo romų tabore Kirtimuose, Vilniuje”. </w:t>
      </w:r>
    </w:p>
    <w:p w:rsidR="00585AD9" w:rsidRDefault="00585AD9" w:rsidP="00585AD9">
      <w:pPr>
        <w:jc w:val="both"/>
        <w:rPr>
          <w:szCs w:val="20"/>
        </w:rPr>
      </w:pPr>
    </w:p>
    <w:p w:rsidR="00585AD9" w:rsidRDefault="00585AD9" w:rsidP="00585AD9">
      <w:pPr>
        <w:pStyle w:val="Antrat4"/>
        <w:ind w:left="1440"/>
      </w:pPr>
      <w:r>
        <w:t>Dėl narkomanijos prevencijos ir narkotikų kontrolės situacijos</w:t>
      </w:r>
    </w:p>
    <w:p w:rsidR="00585AD9" w:rsidRDefault="00585AD9" w:rsidP="00585AD9">
      <w:pPr>
        <w:jc w:val="both"/>
      </w:pPr>
    </w:p>
    <w:p w:rsidR="00585AD9" w:rsidRDefault="00585AD9" w:rsidP="00585AD9">
      <w:pPr>
        <w:ind w:firstLine="720"/>
        <w:jc w:val="both"/>
      </w:pPr>
      <w:r>
        <w:t xml:space="preserve">Komisija, vykdydama parlamentinę kontrolę narkomanijos prevencijos ir narkotikų kontrolės srityje, analizavo gautą informaciją kaip yra vykdomos Lietuvos Respublikos Seimo patvirtintoje </w:t>
      </w:r>
      <w:r>
        <w:rPr>
          <w:bCs/>
        </w:rPr>
        <w:t>Programoje</w:t>
      </w:r>
      <w:r>
        <w:t xml:space="preserve"> išskirtos  4 prioritetines narkotikų kontrolės ir narkomanijos prevencijos kryptis: pirminė narkomanijos prevencija tarp vaikų ir jaunimo; neteisėtos narkotinių ir psichotropinių medžiagų pasiūlos mažinimas; asmenų, vartojančių narkotines ir psichotropines medžiagas, sveikatos priežiūra, reabilitacija ir socialinė reintegracija; moksliniai tyrimai ir informacinės sistemos plėtra.</w:t>
      </w:r>
    </w:p>
    <w:p w:rsidR="00585AD9" w:rsidRDefault="00585AD9" w:rsidP="00585AD9">
      <w:pPr>
        <w:ind w:firstLine="720"/>
        <w:jc w:val="both"/>
      </w:pPr>
      <w:r>
        <w:t>Surinkus informaciją apie esamą situaciją, Komisija posėdžiuose padarė išvadas ir priėmė sprendimus, kurie išdėstyti šios ataskaitos skyriuje "Parlamentinė kontrolė".</w:t>
      </w:r>
    </w:p>
    <w:p w:rsidR="00585AD9" w:rsidRDefault="00585AD9" w:rsidP="00585AD9">
      <w:pPr>
        <w:pStyle w:val="Pagrindiniotekstotrauka"/>
        <w:rPr>
          <w:szCs w:val="24"/>
          <w:lang w:val="lt-LT"/>
        </w:rPr>
      </w:pPr>
      <w:r>
        <w:rPr>
          <w:szCs w:val="24"/>
          <w:lang w:val="lt-LT"/>
        </w:rPr>
        <w:t>2005 metais Komisija nagrinėjo ir teikė išvadas: Dėl kovos su sintetinių narkotikų nelegalia apyvarta Lietuvoje; Dėl Lietuvos Respublikos narkotinių ir psichotropinių medžiagų pirmtakų (prekursorių) kontrolės įstatymo ir jį keitusio įstatymo pripažinimo netekusiais galios įstatymo projekto Nr. XP- 1181; Dėl narkotinių ir psichotropinių medžiagų pirmtakų (prekursorių) kontrolės; Dėl Lietuvos Respublikos Nepilnamečių minimalios ir vidutinės priežiūros įstatymo projekto Nr. XP – 933; Dėl nepilnamečių apsaugos propaguojant ar reklamuojant narkotines bei psichotropines medžiagas; Dėl projekto “Veiksminga ir koordinuota pagalba stiprinant jaunų žmonių sveikatą ir jos raidą Lietuvoje”; Dėl apsvaigusių nuo alkoholio, narkotinių, psichotropinių ir kitų psichiką veikiančių medžiagų asmenų, vairuojančių transporto priemones; Dėl apsinuodijimų alkoholiu, narkotinėmis, psichotropinėmis ir kitomis medžiagomis; Dėl Lietuvos Respublikos narkotinių ir psichotropinių medžiagų kontrolės įstatymo 1, 2, 8, 10, 12, 14, 16, 20, 23 straipsnių pakeitimo ir papildymo bei įstatymo papildymo 8 (1) straipsniu ir priedu įstatymo projekto Nr. XP- 1529; Dėl Lietuvos Respublikos Baudžiamojo kodekso 266  straipsnio pakeitimo įstatymo projekto XP – 1581; Dėl Lietuvos Respublikos nepilnamečių apsaugos nuo neigiamo viešosios informacijos poveikio įstatymo 4 straipsnio pakeitimo ir papildymo įstatymo projekto XP-1470; Dėl Lietuvos Respublikos nepilnamečių apsaugos nuo neigiamo viešosios informacijos poveikio įstatymo 4, 5 ir 9 straipsnių pakeitimo ir papildymo įstatymo projekto Nr. XP-1680; Dėl narkomanijos prevencijos ir narkotikų užkardymo romų tabore Kirtimuose, Vilniuje.</w:t>
      </w:r>
    </w:p>
    <w:p w:rsidR="00585AD9" w:rsidRDefault="00585AD9" w:rsidP="00585AD9"/>
    <w:p w:rsidR="00585AD9" w:rsidRDefault="00585AD9" w:rsidP="00585AD9"/>
    <w:p w:rsidR="00585AD9" w:rsidRDefault="00585AD9" w:rsidP="00585AD9"/>
    <w:p w:rsidR="00585AD9" w:rsidRDefault="00585AD9" w:rsidP="00585AD9">
      <w:pPr>
        <w:pStyle w:val="Pagrindinistekstas"/>
        <w:jc w:val="center"/>
        <w:rPr>
          <w:b/>
          <w:bCs/>
        </w:rPr>
      </w:pPr>
      <w:r>
        <w:rPr>
          <w:b/>
          <w:bCs/>
        </w:rPr>
        <w:t>DĖL NARKOTINIŲ IR PSICHOTROPINIŲ MEDŽIAGŲ PIRMTAKŲ (PREKURSORIŲ) KONTROLĖS</w:t>
      </w:r>
    </w:p>
    <w:p w:rsidR="00585AD9" w:rsidRDefault="00585AD9" w:rsidP="00585AD9">
      <w:pPr>
        <w:jc w:val="both"/>
      </w:pPr>
    </w:p>
    <w:p w:rsidR="00585AD9" w:rsidRDefault="00585AD9" w:rsidP="00585AD9">
      <w:pPr>
        <w:ind w:firstLine="720"/>
        <w:jc w:val="both"/>
      </w:pPr>
      <w:r>
        <w:t>Lietuva nuosekliai vykdo narkotikų kontrolės politiką, kuri yra sudedamoji valstybės užsienio ir vidaus politikos dalis. Pagrindinės nuostatos, apibrėžiančios Europos Sąjungos narkotikų kontrolės politiką, išdėstytos Europos Sąjungos kovos su narkotikais strategijose 2000 – 2004 ir 2005-2012 metams, Lietuvos Respublikos Nacionalinėje narkotikų kontrolės ir narkomanijos prevencijos 2004 -2008 metų programoje.</w:t>
      </w:r>
    </w:p>
    <w:p w:rsidR="00585AD9" w:rsidRDefault="00585AD9" w:rsidP="00585AD9">
      <w:pPr>
        <w:ind w:firstLine="720"/>
        <w:jc w:val="both"/>
      </w:pPr>
      <w:r>
        <w:t xml:space="preserve">Narkotinių ir psichotropinių medžiagų kontrolės pagrindą sudaro: Jungtinių Tautų 1961 metų Bendroji narkotinių medžiagų konvencija; Jungtinių Tautų 1971 metų psichotropinių medžiagų konvencija (prie šių konvencijų Lietuva prisijungė 1994 m.); 1988 metų Jungtinių Tautų Organizacijos konvencija dėl kovos su neteisėta narkotinių priemonių ir psichotropinių medžiagų apyvarta (šią konvenciją Lietuva ratifikavo 1998 m.); Europos Parlamento ir Tarybos reglamentas (EB) Nr. 273/2004 dėl narkotinių medžiagų pirmtakų (prekursorių); Tarybos reglamentas (EB) Nr. 111/2005, nustatantis prekybos narkotinių ir psichotropinių medžiagų pirmtakais (prekursoriais) tarp </w:t>
      </w:r>
      <w:r>
        <w:lastRenderedPageBreak/>
        <w:t>Bendrijos ir trečiųjų šalių stebėsenos taisykles; Komisijos reglamentas (EB) Nr. 1277/2005, nustatantis Europos Parlamento ir Tarybos reglamento (EB) Nr. 273/2004 dėl narkotinių medžiagų pirmtakų (prekursorių), Tarybos reglamento (EB) Nr. 111/2005, nustatančio prekybos narkotinių ir psichotropinių medžiagų pirmtakais (prekursoriais) tarp Bendrijos ir trečiųjų šalių stebėsenos taisykles, įgyvendinimo taisykles.</w:t>
      </w:r>
    </w:p>
    <w:p w:rsidR="00585AD9" w:rsidRDefault="00585AD9" w:rsidP="00585AD9">
      <w:pPr>
        <w:ind w:firstLine="720"/>
        <w:jc w:val="both"/>
      </w:pPr>
      <w:r>
        <w:t xml:space="preserve">Įgyvendinant tarptautines konvencijas priimti Narkotinių ir psichotropinių medžiagų kontrolės įstatymas, Narkotinių ir psichotropinių medžiagų pirmtakų (prekursorių) kontrolės įstatymas, Narkologinės priežiūros įstatymas. </w:t>
      </w:r>
      <w:bookmarkStart w:id="1" w:name="organizacija"/>
      <w:bookmarkStart w:id="2" w:name="html"/>
      <w:bookmarkEnd w:id="1"/>
      <w:bookmarkEnd w:id="2"/>
      <w:r>
        <w:t>Narkotikų kontrolės departamento direktoriaus 2005 m. sausio 17 d. įsakymu Nr. 1.2-2 „Dėl Pasikeitimo informacija apie naujų psichoaktyvių medžiagų atsiradimą tvarkos aprašo patvirtinimo“ (Žin., 2005, Nr. 9-318) patvirtintos Taisykles dėl pasikeitimo informacija apie naujai atsiradusius sintetinius narkotikus. Manoma, kad parengtas mechanizmas, leis operatyviai keistis informacija ir esant būtinybei tokias medžiagas įtraukti į kontroliuojamų medžiagų sąrašus.</w:t>
      </w:r>
    </w:p>
    <w:p w:rsidR="00585AD9" w:rsidRDefault="00585AD9" w:rsidP="00585AD9">
      <w:pPr>
        <w:ind w:firstLine="720"/>
        <w:jc w:val="both"/>
      </w:pPr>
      <w:r>
        <w:t>Lietuva sintetinių narkotikų nelegalioje apyvartoje Europos Sąjungos šalyse užima ketvirtą vietą ( net 4 proc. ES šalyse konfiskuotų narkotikų buvo pagaminti Lietuvoje). Šalyje veikia pogrindinės sintetinių narkotikų gamybos laboratorijos. Sintetinių narkotikų rinka užima apie 40 proc. Visos narkotikų rinkos Lietuvoje.</w:t>
      </w:r>
    </w:p>
    <w:p w:rsidR="00585AD9" w:rsidRDefault="00585AD9" w:rsidP="00585AD9">
      <w:pPr>
        <w:ind w:firstLine="720"/>
        <w:jc w:val="both"/>
      </w:pPr>
      <w:r>
        <w:t xml:space="preserve">Lietuvoje 2004 m. užregistruotos 1552 nusikalstamos veikos, susijusios su disponavimu narkotinėmis ar psichotropinėmis medžiagomis bei jų I kategorijos pirmtakais (prekursoriais). Tai yra 523 veikomis arba 33,7 % daugiau negu 2003 m. Šalyje 2004 m. užregistruota 93 419 įvairių nusikalstamų veikų, iš jų 1,7 % (2003 m. - 1,2 %) sudaro nusikaltimai ir baudžiamieji nusižengimai, susiję su disponavimu narkotinėmis ar psichotropinėmis medžiagomis bei jų I kategorijos pirmtakais (prekursoriais), įvykdyta 50 tūkst. vagysčių. 2005 m. Lietuvoje užregistruota 1818 nusikalstamų veikų, susijusių su disponavimu narkotinėmis ir psichotropinėmis medžiagomis, tai yra 266 veikomis arba 17,1 proc. daugiau negu 2004 m. </w:t>
      </w:r>
    </w:p>
    <w:p w:rsidR="00585AD9" w:rsidRDefault="00585AD9" w:rsidP="00585AD9">
      <w:pPr>
        <w:ind w:firstLine="720"/>
        <w:jc w:val="both"/>
      </w:pPr>
      <w:r>
        <w:t xml:space="preserve">Pagal Informatikos ir ryšių departamento prie Vidaus reikalų ministerijos pateiktą statistiką iš  2005 m. fiksuotų 1818 nusikalstamų veikų, susijusių su disponavimu narkotinėmis ir  psichotropinėmis medžiagomis bei jų I kategorijos pirmtakais (prekursoriais), užregistruota: 808 nusikalstamos veikos dėl neteisėto disponavimo narkotinėmis ir  psichotropinėmis medžiagomis be tikslo jas platinti ( 2004 m. - 832); 977- dėl neteisėto disponavimo narkotinėmis ir  psichotropinėmis medžiagomis turint tikslą jas platinti ( 2004 m. -673); 2 - dėl neteisėto I kategorijos narkotinių  ir  psichotropinių medžiagų pirmtakų (prekursorių) disponavimo (2004 m. - 8); 6 - dėl narkotinių  ir  psichotropinių  medžiagų pagrobimo (2004 m. - 3);  2 - dėl įrenginių narkotinėms ar psichotropinėms medžigoms gaminti gaminimo (2004 m. - 2); 8 - dėl neteisėto aguonų ar kanapių auginimo (2004 m. - 22); 2 - narkotinių ir psichotropinių medžiagų platinimo nepilnamečiams (2004 m. - 4); 14 - dėl narkotikų kontrabandos. </w:t>
      </w:r>
    </w:p>
    <w:p w:rsidR="00585AD9" w:rsidRDefault="00585AD9" w:rsidP="00585AD9">
      <w:pPr>
        <w:ind w:firstLine="720"/>
        <w:jc w:val="both"/>
      </w:pPr>
      <w:r>
        <w:t>Toks nusikaltimų padidėjimas dalinai sąlygojamas pirmiausiai, su pasikeitusiu veikų vertinimu, įsigaliojus naujajam Baudžiamajam  kodeksui. Administracinių teisės pažeidimų kodekse numatyti pažeidimai dėl neteisėto narkotikų disponavimo nedideliu kiekiu be tikslo jas platinti nuo 2003 05 01 yra traktuojami kaip baudžiamieji nusižengimai numatyti BK ir yra įtraukti į bendrąją statistiką.  Antra, kitas veiksnys, įtakojantis didėjantį registruojamų nusikaltimų, susijusių su narkotikais, skaičių  yra teisėsaugos institucijų efektyvesnis darbas šioje srityje, kadangi nusikalstamos veikos, susijusios su neteisėta narkotikų apyvarta, yra latentinio pobūdžio.</w:t>
      </w:r>
    </w:p>
    <w:p w:rsidR="00585AD9" w:rsidRDefault="00585AD9" w:rsidP="00585AD9">
      <w:pPr>
        <w:ind w:firstLine="720"/>
        <w:jc w:val="both"/>
      </w:pPr>
      <w:r>
        <w:t>Narkotikų kontrolės departamentas prie Lietuvos Respublikos Vyriausybės pateikdamas Lietuvos Respublikos Vyriausybei ataskaitą apie Nacionalinės narkotikų kontrolės ir narkomanijos prevencijos 2004 – 2008 metų programos įgyvendinimo 2004 m. priemonių, patvirtintų Lietuvos Respublikos Vyriausybės 2004 m. rugsėjo 15 d. nutarimu Nr. 116 (Žin., 2004, Nr. 140-5114), vykdymą, pažymėjo, kad  socialiniai veiksniai, didelis pelnas, gaunamas iš narkotikų verslo, narkotikų pasiūla bei paklausa lemia narkomanijos plitimą ir su tuo susijusį nusikalstamumą. Neteisėta narkotikų apyvarta užsiima organizuotos nusikalstamos grupuotės, plečiasi nusikalstamo pasaulio tarptautiniai narkotikų verslo ryšiai, neteisėtoje apyvartoje pastebimas pramoniniu būdu gaminamų psichotropinių medžiagų plitimas, sintetiniai narkotikai gaminami Lietuvoje esančiose nelegaliose laboratorijose. Narkotinės medžiagos per Lietuvą tranzitu gabenamos į kitas šalis. Lietuvai įstojus į Europos Sąjungą, esant atviroms sienoms, didėja neteisėtos narkotinių ir psichotropinių medžiagų apyvartos galimybės. Atsirandančios naujos narkotikų vartojimo tendencijos kelia grėsmę visuomenės saugumui, todėl šiuo metu negalima teigti, jog narkomanijos paplitimas tiek Europos Sąjungoje, tiek atskirose šalyse mažėja.</w:t>
      </w:r>
    </w:p>
    <w:p w:rsidR="00585AD9" w:rsidRDefault="00585AD9" w:rsidP="00585AD9">
      <w:pPr>
        <w:ind w:firstLine="720"/>
        <w:jc w:val="both"/>
      </w:pPr>
      <w:r>
        <w:lastRenderedPageBreak/>
        <w:t xml:space="preserve">2004 metų pabaigoje pirmą kartą Lietuvoje atliktas 16-64 metų šalies gyventojų tyrimas apie žalingų įpročių paplitimą Lietuvoje. Tyrimo rezultatai parodė, kad narkotikų bent kartą gyvenime yra bandę 8,2 proc., narkotikus dažniau yra vartoję vyrai (13,1 proc.), nei moterys (3,8 proc.), jaunesni (15 –34 metų amžiaus) Lietuvos gyventojai narkotines ir psichotropines medžiagas vartoja žymiai dažniau, nei vyresni, 35-64 amžiaus žmonės (atitinkamai 14,4 proc. ir 4,5 proc.). Labiausiai šalyje paplitęs narkotikas yra kanapės. Bent kartą gyvenime šį narkotiką yra vartoję 7,6 proc. Lietuvos gyventojų, o per paskutinius 12 mėn. 4,6 proc. 15-34 m. amžiaus grupėje. </w:t>
      </w:r>
    </w:p>
    <w:p w:rsidR="00585AD9" w:rsidRDefault="00585AD9" w:rsidP="00585AD9">
      <w:pPr>
        <w:ind w:firstLine="720"/>
        <w:jc w:val="both"/>
      </w:pPr>
      <w:r>
        <w:rPr>
          <w:color w:val="000000"/>
        </w:rPr>
        <w:t xml:space="preserve">Be kanapių Lietuvoje populiariausi narkotikai yra amfetaminas ir ekstazi. Jų vartojimo paplitimas yra panašus. Lyginant jaunų žmonių (15-34 m.) ekstazi vartojimo kada nors gyvenime rodiklius su kitų šalių rodikliais, pastebėtina, kad ekstazi paplitimas Lietuvoje yra panašaus masto kaip Danijoje, Norvegijoje bei Prancūzijoje. </w:t>
      </w:r>
      <w:r>
        <w:t xml:space="preserve">Jaunų žmonių (15-34 m.) tarpe amfetaminą bent kartą gyvenime yra vartoję 2,2 proc., Ekstazi – 2,1 proc., haliucinogeninius (magiškiuosius) grybus – 0,8 proc., kokainą – 0,7 proc., heroiną – 0,6 ir LSD – 0,5 proc. </w:t>
      </w:r>
    </w:p>
    <w:p w:rsidR="00585AD9" w:rsidRDefault="00585AD9" w:rsidP="00585AD9">
      <w:pPr>
        <w:ind w:firstLine="720"/>
        <w:jc w:val="both"/>
      </w:pPr>
      <w:r>
        <w:t>Narkotikų kontrolės departamento prie Lietuvos Respublikos Vyriausybės pateiktoje Lietuvos Respublikos Vyriausybei ataskaitoje apie Nacionalinės narkotikų kontrolės ir narkomanijos prevencijos 2004 – 2008 metų programos įgyvendinimo 2004 m. priemones,  pažymėta, įgyvendinant  4.6. priemonę ,,</w:t>
      </w:r>
      <w:r>
        <w:rPr>
          <w:i/>
        </w:rPr>
        <w:t>rinkti informaciją, užmegzti ryšius su įmonėmis, cheminėmis laboratorijomis, gaminančiomis, įvežančiomis chemines medžiagas, kurios gali būti naudojamos neteisėtai narkotikų apyvartai, taip pat prekiaujančiomis tokiomis medžiagomis, jas kontroliuoti“</w:t>
      </w:r>
      <w:r>
        <w:t xml:space="preserve">, </w:t>
      </w:r>
      <w:r>
        <w:rPr>
          <w:i/>
        </w:rPr>
        <w:t xml:space="preserve"> </w:t>
      </w:r>
      <w:r>
        <w:t>Policijos departamentas prie Vidaus reikalų ministerijos bendradarbiavo kartu su Valstybine vaistų kontrolės tarnyba, Muitinės departamentu, Valstybės saugumo departamentu. Buvo pildomos nustatytos formos, teikiama informacija Jungtinių tautų organizacijos narkotikų komisijai. Valstybinės vaistų kontrolės tarnybos prie Sveikatos apsaugos ministerijos Narkotikų skyrius vykdė narkotinių ir psichotropinių medžiagų pirmtakų (prekursorių) kontrolę, licencijavimo bei importo ir eksporto leidimų išdavimo būdu. Per 2004 metus Narkotikų skyrius išdavė 4 narkotinių ir psichotropinių medžiagų pirmtakų importo bei 1 eksporto leidimą. Įmonės, kurių veikla susijusi su pirmtakais (prekursoriais), pateikė Narkotikų skyriui 16 praėjusių metų ataskaitų apie pirmtakų importą, eksportą bei suvartojimą, kurių pagrindu buvo parengta ir užpildyta metinė informacija apie chemines medžiagas, dažniausiai vartojamas neteisėtai narkotinių medžiagų gamybai (formoje D, nustatytoje Tarptautinio Narkotikų Kontrolės Komiteto). Ši ataskaita buvo parengta 2004 m. gegužės 31 d. ir išsiųsta Europos komisijos Narkotinių ir psichotropinių medžiagų pirmtakų (prekursorių) komitetui, kuris daro visų šalių narių bendrą suvestinę ir siunčia Tarptautiniam narkotikų kontrolės komitetui. Įgyvendindamas Europos Parlamento (EB) Nr. 273/2004 9 straipsnio, kuris įsigaliojo 2004 m. vasario 18 d., rekomendacijas, Valstybinės vaistų kontrolės tarnybos Narkotikų skyrius 14 įmonių išsiuntė rekomendacijas dėl prekybos cheminėmis medžiagomis, kurios skirtos naudotis chemijos pramonės atstovams bei subjektams, kurie prekiauja cheminėmis medžiagomis. Policijos departamentas prie Vidaus reikalų ministerijos ir Muitinės departamentas prie Finansų ministerijos bendradarbiavo ir kontroliavo neteisėtą šių cheminių medžiagų apyvartą.</w:t>
      </w:r>
    </w:p>
    <w:p w:rsidR="00585AD9" w:rsidRDefault="00585AD9" w:rsidP="00585AD9">
      <w:pPr>
        <w:ind w:firstLine="720"/>
        <w:jc w:val="both"/>
      </w:pPr>
      <w:r>
        <w:t xml:space="preserve">2004 metais Programos įgyvendinimo 5.2. priemonei </w:t>
      </w:r>
      <w:r>
        <w:rPr>
          <w:b/>
        </w:rPr>
        <w:t>,,</w:t>
      </w:r>
      <w:r>
        <w:rPr>
          <w:i/>
        </w:rPr>
        <w:t>stiprinti Valstybės saugumo departamento bendradarbiavimą su atitinkamomis užsienio tarnybomis neteisėtos tarptautinės narkotikų apyvartos kontrolės srityje, keičiantis informacija ir atliekant bendras operacijas</w:t>
      </w:r>
      <w:r>
        <w:t>“, įgyvendinti Valstybės saugumo departamentas 2004 metais kartu su užsienio atitinkamomis tarnybomis atliko keliolika tarptautinių specialiųjų operacijų, kurių metu Lietuvoje ir užsienyje iš nelegalios apyvartos buvo išimta dešimtys kilogramų narkotinių ir psichotropinių medžiagų bei jų pirmtakų. Programos įgyvendinimo priemonėse numatyta rinkti informaciją, užmegzti ryšius su įmonėmis, cheminėmis laboratorijomis, gaminančiomis, įvežančiomis chemines medžiagas, kurios gali būti naudojamos neteisėtai narkotikų apyvartai, taip pat prekiaujančiomis tokiomis medžiagomis, jas kontroliuoti, kurioje Valstybės saugumo departamentas nurodytas, kaip vienas iš vykdytojų, dėl nepakankamai skirto finansavimo, buvo atliekama iš dalies.</w:t>
      </w:r>
    </w:p>
    <w:p w:rsidR="00585AD9" w:rsidRDefault="00585AD9" w:rsidP="00585AD9">
      <w:pPr>
        <w:ind w:firstLine="720"/>
        <w:jc w:val="both"/>
      </w:pPr>
      <w:r>
        <w:t xml:space="preserve">2005 12 22 Seimo Narkomanijos prevencijos komisija (toliau-Komisija) vertindama Nacionalinės narkotikų kontrolės ir narkomanijos prevencijos 2004 -2008 metų programos įgyvendinimą 2004 -2005 metais dėl neteisėtos narkotinių ir psichotropinių medžiagų  pasiūlos mažinimo, atkreipė  Lietuvos Respublikos Vyriausybės dėmesį į tai, kad Lietuvos Respublikos Vyriausybė 2005 metais Policijos departamentui prie Vidaus reikalų ministerijos iš Programos lėšų neskyrė dalyvauti 2005 metais įgyvendinant Jungtinių Tautų projektą "Prizmė", skirtą narkotinių ir psichotropinių medžiagų pirmtakų (prekursorių) ir sintetinių narkotikų kontrolei tobulinti, dalyvauti </w:t>
      </w:r>
      <w:r>
        <w:lastRenderedPageBreak/>
        <w:t>Europolo veikloje  bei  gerinti bendradarbiavimą su Europos Sąjungos, Europos Sąjungos valstybių narių teisėsaugos institucijomis ir tarptautinėmis organizacijomis, atitinkamomis užsienio tarnybomis neteisėtos tarptautinės narkotikų apyvartos kontrolės ir prevencijos srityje - keistis informacija ir atlikti bendras operacijas.</w:t>
      </w:r>
    </w:p>
    <w:p w:rsidR="00585AD9" w:rsidRDefault="00585AD9" w:rsidP="00585AD9">
      <w:pPr>
        <w:jc w:val="both"/>
      </w:pPr>
      <w:r>
        <w:t xml:space="preserve"> </w:t>
      </w:r>
      <w:r>
        <w:tab/>
        <w:t>Lietuvos Respublikos Vyriausybė į Programos įgyvendinimo priemones 2005 metais iš viso neįtraukė Programos 25.3 punkto, kuris numato sumažinti  neteisėtą narkotinių ir psichotropinių medžiagų bei jų pirmtakų (prekursorių) apyvartą.</w:t>
      </w:r>
    </w:p>
    <w:p w:rsidR="00585AD9" w:rsidRDefault="00585AD9" w:rsidP="00585AD9">
      <w:pPr>
        <w:ind w:firstLine="720"/>
        <w:jc w:val="both"/>
      </w:pPr>
      <w:r>
        <w:t xml:space="preserve">Lietuvos Respublikos Vyriausybė 2006 metais </w:t>
      </w:r>
      <w:r>
        <w:rPr>
          <w:b/>
        </w:rPr>
        <w:t xml:space="preserve">- </w:t>
      </w:r>
      <w:r>
        <w:t>neteisėtam narkotinių ir psichotropinių medžiagų pasiūlos mažinimui - gerinti teisėsaugos institucijų veiklą siekiant mažinti narkotikų pasiūlą ir apsunkinant jų prieinamumą ( Programos 26.4 punktas) - užtikrinti įdiegtos informacinės sistemos (kovos su neteisėta narkotikų apyvarta) funkcionavimą, sustiprinti kontrolę įmonių, cheminių laboratorijų, gaminančių, įvežančių narkotines, psichotropines medžiagas ir jų pirmtakus (prekursorius), kurie gali būti naudojami narkotinėms ir psichotropinėms medžiagoms neteisėtai įsigyti, gerinti policijos įstaigų narkotikų kontrolės, prevencijos ir kriminalistinių tyrimų padalinių materialinę techninę bazę, įdiegti amfetamino profiliavimo sistemą ir kitoms priemonėms organizuoti  Policijos departamentui prie Vidaus reikalų ministerijos skyrė 1819 tūkst. litų.</w:t>
      </w:r>
    </w:p>
    <w:p w:rsidR="00585AD9" w:rsidRDefault="00585AD9" w:rsidP="00585AD9">
      <w:pPr>
        <w:ind w:firstLine="720"/>
        <w:jc w:val="both"/>
      </w:pPr>
      <w:r>
        <w:t>Komisija 2005 12 22 padarė išvadas, kad 2004-2005  metais vykdant Programos 26.4 punkto nuostatas neužtikrinta galimybė rinkti informaciją, užmegzti ryšius su įmonėmis, cheminėmis laboratorijomis, gaminančiomis, įvežančiomis chemines medžiagas, kurios gali būti naudojamos neteisėtai narkotikų apyvartai, taip pat prekiaujančiomis tokiomis medžiagomis, jas kontroliuoti.</w:t>
      </w:r>
    </w:p>
    <w:p w:rsidR="00585AD9" w:rsidRDefault="00585AD9" w:rsidP="00585AD9">
      <w:pPr>
        <w:ind w:firstLine="720"/>
        <w:jc w:val="both"/>
      </w:pPr>
      <w:r>
        <w:t>Komisija pasiūlė Lietuvos Respublikos Vyriausybei įtraukti į 2006 metų Programos įgyvendinimo priemones Programos 25.3 ir 25.4 punktų nuostatas, kurios leistų sumažinti  neteisėtą narkotinių ir psichotropinių medžiagų bei jų pirmtakų (prekursorių) apyvartą,  tobulinti teisinę bazę, leidžiančią veiksmingai šalinti narkomanijos plitimo priežastis ir sustiprintų kontrolę įmonių, cheminių laboratorijų, gaminančių, įvežančių narkotines, psichotropines medžiagas ir jų pirmtakus (prekursorius), kurie gali būti naudojami narkotinėms ir psichotropinėms medžiagoms neteisėtai įsigyti.</w:t>
      </w:r>
    </w:p>
    <w:p w:rsidR="00585AD9" w:rsidRDefault="00585AD9" w:rsidP="00585AD9">
      <w:pPr>
        <w:ind w:firstLine="720"/>
        <w:jc w:val="both"/>
      </w:pPr>
      <w:r>
        <w:t xml:space="preserve">Be to, Narkomanijos prevencijos komisija dėl informacijos pateikimo už 2005 metus dėl įmonių, cheminių laboratorijų gaminančių, įvežančių chemines medžiagas, kurios gali būti naudojamos neteisėtai narkotikų apyvartai, taip pat prekiaujančiomis tokiomis medžiagomis kontrolės  kreipėsi:  2006 02 09 raštu Nr. 293-S-11  į Valstybės saugumo departamentą, 2006 02 09 raštu Nr. 293-S-12 į Policijos departamentą prie Vidaus reikalų ministerijos, 2006 02 10 raštu Nr. 293-S-14 į  Valstybinę vaistų kontrolės tarnybą prie Sveikatos apsaugos ministerijos, 2006 02 10 raštu Nr. 293-S-14 į Muitinės departamentą prie Finansų ministerijos. </w:t>
      </w:r>
    </w:p>
    <w:p w:rsidR="00585AD9" w:rsidRDefault="00585AD9" w:rsidP="00585AD9">
      <w:pPr>
        <w:jc w:val="both"/>
      </w:pPr>
      <w:r>
        <w:rPr>
          <w:color w:val="000000"/>
          <w:spacing w:val="-1"/>
        </w:rPr>
        <w:t xml:space="preserve"> </w:t>
      </w:r>
      <w:r>
        <w:rPr>
          <w:color w:val="000000"/>
          <w:spacing w:val="-1"/>
        </w:rPr>
        <w:tab/>
      </w:r>
      <w:r>
        <w:t xml:space="preserve">Valstybinė vaistų kontrolės tarnyba prie Lietuvos Respublikos sveikatos apsaugos ministerijos 2006 02 21 raštu Nr. R2-1-17-1 "Dėl informacijos pateikimo" ir 2006 02 24 raštu Nr. R2-1.17-2 "Dėl informacijos pateikimo" informavo Narkomanijos prevencijos komisiją,  kad Valstybinė vaistų kontrolės tarnyba vykdydama teisėtos narkotinių ir psichotropinių medžiagų bei jų pirmtakų (prekursorių) apyvartos kontrolę, įmonių licencijavimo ar registravimo bei šių medžiagų bei importo ir eksporto leidimų išdavimo būdu vadovavosi tarptautinių susitarimų (1961 m. Jungtinių Tautų Organizacijos Bendrosios narkotinių medžiagų konvencijos,  1971 m. Jungtinių Tautų Organizacijos Psichotropinių medžiagų konvencijos dėl kovos su neteisėta narkotinių ir psichotropinių medžiagų apyvarta) nuostatomis. Teikė duomenis Jungtinių Tautų Tarptautiniam narkotikų kontrolės komitetui ir Europos Komisijos Narkotinių ir psichotropinių medžiagų pirmtakų ( prekursorių) komitetui. Valstybinė vaistų kontrolės tarnyba 2005 metais išdavė </w:t>
      </w:r>
      <w:r>
        <w:rPr>
          <w:bCs/>
        </w:rPr>
        <w:t xml:space="preserve">du </w:t>
      </w:r>
      <w:r>
        <w:t xml:space="preserve">narkotinių ir psichotropinių medžiagų pirmtakų eksporto leidimus. Vienas iš šių leidimų buvo </w:t>
      </w:r>
      <w:r>
        <w:rPr>
          <w:bCs/>
        </w:rPr>
        <w:t>nepanaudotas ir grąžintas</w:t>
      </w:r>
      <w:r>
        <w:t xml:space="preserve"> Valstybinei vaistų kontrolės tarnybai. Vienas leidimas buvo išduotas eksportuoti iš Lietuvos Respublikos į Rusijos Federaciją 8 tonas III kategorijos pirmtako metiletilketono.  Pirmtakų </w:t>
      </w:r>
      <w:r>
        <w:rPr>
          <w:bCs/>
        </w:rPr>
        <w:t xml:space="preserve">importo </w:t>
      </w:r>
      <w:r>
        <w:t xml:space="preserve">leidimų 2005 metais išduota </w:t>
      </w:r>
      <w:r>
        <w:rPr>
          <w:bCs/>
        </w:rPr>
        <w:t xml:space="preserve">nebuvo. </w:t>
      </w:r>
      <w:r>
        <w:t xml:space="preserve">(Komisijos duomenimis 2004 metais Narkotikų skyrius išdavė </w:t>
      </w:r>
      <w:r>
        <w:rPr>
          <w:bCs/>
        </w:rPr>
        <w:t>4</w:t>
      </w:r>
      <w:r>
        <w:t xml:space="preserve"> narkotinių ir psichotropinių medžiagų pirmtakų importo bei </w:t>
      </w:r>
      <w:r>
        <w:rPr>
          <w:bCs/>
        </w:rPr>
        <w:t>1</w:t>
      </w:r>
      <w:r>
        <w:t xml:space="preserve"> eksporto leidimą.)</w:t>
      </w:r>
    </w:p>
    <w:p w:rsidR="00585AD9" w:rsidRDefault="00585AD9" w:rsidP="00585AD9">
      <w:pPr>
        <w:ind w:firstLine="720"/>
        <w:jc w:val="both"/>
      </w:pPr>
      <w:r>
        <w:t>2004-2005 metais įmonės, turinčios registracijos pažymėjimus veiklai, susijusiai su narkotinių ir psichotropinių medžiagų II ir III kategorijos pirmtakais (prekursoriais), bei vykdžiusios veiklą, pateikė Valstybinės vaistų kontrolės tarnybos Narkotikų skyriui ataskaitas, kurios nurodė importuoto ar eksportuoto pirmtako pavadinimą bei kiekį, iš kokios šalies jį importavo ar į kokią šalį eksportavo bei kur buvo panaudotos jų paminėtos medžiagos.</w:t>
      </w:r>
    </w:p>
    <w:p w:rsidR="00585AD9" w:rsidRDefault="00585AD9" w:rsidP="00585AD9">
      <w:pPr>
        <w:ind w:firstLine="720"/>
        <w:jc w:val="both"/>
      </w:pPr>
      <w:r>
        <w:lastRenderedPageBreak/>
        <w:t>Įgyvendinant Europos Parlamento ir Tarybos 2004 . vasario 11 d. Reglamento (EB) Nr. 273/2004 Dėl narkotinių ir psichotropinių medžiagų pirmtakų (prekursorių) 9 straipsnį, kuris įsigaliojo 2004 m. vasario 18 d., Valstybinė vaistų kontrolės tarnyba išvertė į lietuvių kalbą ir išplatino Europos Komisijos Generalinio direktorato Mokesčių ir muitinės skyriaus parengtas Rekomendacijas "Cheminių medžiagų kontrolė Europos Sąjungoje. Rekomendacijos prekybai cheminėmis medžiagomis". Rekomendacijos skirtos naudotis chemijos pramonės atstovams bei subjektams, kurie prekiauja cheminėmis medžiagomis. 2004 m. spalio-lapkričio mėn. jos išsiųstos registruotu paštu  įmonėms, turinčioms registracijos pažymėjimus veiklai, susijusiai su narkotinių ir psichotropinių medžiagų II ir III kategorijų pirmtakais (prekursoriais) bei jais prekiaujančiomis. Rekomendacijų tikslai - demaskuoti cheminių medžiagų didėjančias diversijas cheminių medžiagų prekybos rinkoje, kad būtų galima užkirsti kelią cheminių medžiagų patekimui į neteisėtą narkotinių medžiagų gamybą; bendrijos lygmenyje supažindinti cheminių medžiagų prekybos atstovus su įstatymine baze, susijusia su 23-is kontroliuojamomis cheminėmis medžiagomis, o ypatingai su įsipareigojimais visoje šioje sistemoje; aprūpinti cheminių medžiagų prekybos atstovus, nekontroliuojamų cheminių medžiagų, kurios dažnai yra naudojamos neteisėtų narkotinių medžiagų, o ypatingai naujų sintetinių narkotikų gamybai, sąrašais bei nuolat šiuos sąrašus atnaujinti. Šiose rekomendacijose pateikiama konfidenciali informacija.</w:t>
      </w:r>
    </w:p>
    <w:p w:rsidR="00585AD9" w:rsidRDefault="00585AD9" w:rsidP="00585AD9">
      <w:pPr>
        <w:jc w:val="both"/>
      </w:pPr>
      <w:r>
        <w:tab/>
        <w:t>Muitinės kriminalinė tarnyba 2006 02 28 raštu Nr. 3R-9.1-662 "Dėl informacijos pateikimo apie prekursorių kontrolę pagal muitinės kompetenciją" informavo, kad 2005 metais buvo pradėta 11 ikiteisminių tyrimų dėl narkotinių ir psichotropinių medžiagų kontrabandos ir 4 ikiteisminiai tyrimai dėl neteisėto narkotinių medžiagų disponavimo, sulaikyta 19 asmenų. 9 veikomis arba 66,6 proc. daugiau negu 2004 metais.</w:t>
      </w:r>
    </w:p>
    <w:p w:rsidR="00585AD9" w:rsidRDefault="00585AD9" w:rsidP="00585AD9">
      <w:pPr>
        <w:ind w:firstLine="720"/>
        <w:jc w:val="both"/>
      </w:pPr>
      <w:r>
        <w:t xml:space="preserve"> Lietuvos muitinė, pagal savo kompetenciją vykdydama pirmtakų (prekursorių) kontrolę, vadovaujasi LR Narkotinių ir psichotropinių medžiagų pirmtakų (prekursorių) kontrolės įstatymu bei poįstatyminiais aktais, įgyvendinančiais minėtą įstatymą. </w:t>
      </w:r>
    </w:p>
    <w:p w:rsidR="00585AD9" w:rsidRDefault="00585AD9" w:rsidP="00585AD9">
      <w:pPr>
        <w:jc w:val="both"/>
      </w:pPr>
      <w:r>
        <w:tab/>
        <w:t xml:space="preserve">Šiuo metu Lietuvoje pagrindinė prekursorius kontroliuojanti institucija, kuri išduoda leidimus prekursorių importui, eksportui bei tranzitui per šalį, yra Valstybinė vaistų kontrolės tarnyba prie Sveikatos apsaugos ministerijos. Lietuvos muitinė vykdo prekursorių </w:t>
      </w:r>
      <w:r>
        <w:rPr>
          <w:bCs/>
        </w:rPr>
        <w:t>gabenimo kontrolę per valstybės sieną.  Šiuo metu Lietuvoje yra kontroliuojamos 22 rūšių medžiagos</w:t>
      </w:r>
      <w:r>
        <w:t xml:space="preserve"> (prekursoriai), kurios gali būti naudojamos neteisėtai narkotinių ir psichotropinių medžiagų gamybai. </w:t>
      </w:r>
    </w:p>
    <w:p w:rsidR="00585AD9" w:rsidRDefault="00585AD9" w:rsidP="00585AD9">
      <w:pPr>
        <w:ind w:firstLine="720"/>
        <w:jc w:val="both"/>
        <w:rPr>
          <w:bCs/>
        </w:rPr>
      </w:pPr>
      <w:r>
        <w:t xml:space="preserve">Minėtame rašte, Muitinės kriminalinė tarnyba pažymėjo, kad Narkotinių ir psichotropinių medžiagų pirmtakų (prekursorių) kontrolės įstatyme numatyta, kad yra privaloma turėti specialios formos leidimą, transportuojant I kategorijos prekursorius per valstybės sieną, o II ir III kategorijos prekursoriams </w:t>
      </w:r>
      <w:r>
        <w:rPr>
          <w:bCs/>
        </w:rPr>
        <w:t>reikalingas leidimas</w:t>
      </w:r>
      <w:r>
        <w:rPr>
          <w:b/>
        </w:rPr>
        <w:t xml:space="preserve"> </w:t>
      </w:r>
      <w:r>
        <w:t>juos eksportuojant į užsienio šalis pagal Lietuvos Respublikos Vyriausybės patvirtintą sąrašą. Narkotinių ir psichotropinių medžiagų pirmtakų (prekursorių) kontrolės įstatymas, atsižvelgiant į ES atitinkamus teisės aktus, 2002 m. spalio 10 d. buvo pakeistas ir papildytas. Muitinės kriminalinės tarnybos vienas iš pasiūlymų buvo įtraukti nuostatas</w:t>
      </w:r>
      <w:r>
        <w:rPr>
          <w:bCs/>
        </w:rPr>
        <w:t xml:space="preserve">, reikalaujančias licencijos iš asmenų, ketinančių sandeliuose laikyti prekursorius. Pasiūlymui buvo iš dalies pritarta. </w:t>
      </w:r>
    </w:p>
    <w:p w:rsidR="00585AD9" w:rsidRDefault="00585AD9" w:rsidP="00585AD9">
      <w:pPr>
        <w:ind w:firstLine="720"/>
        <w:jc w:val="both"/>
      </w:pPr>
      <w:r>
        <w:t xml:space="preserve">2002 m. I, II, III kategorijos prekursoriai buvo įtraukti į Lietuvos muitinės administruojamos "ASYCUDA" sistemos raudonąjį kanalą, t.y. gabenant prekursorius per LR valstybinę sieną, turi būti atliktas detalus dokumentinis bei fizinis patikrinimas. Remiantis Muitinės kriminalinės tarnybos prašymu Valstybinė vaistų kontrolės tarnyba teikia informaciją apie I-os kategorijos prekursorių gabenimui ( importui, eksportui ar tranzitui) išduodamus leidimus. </w:t>
      </w:r>
    </w:p>
    <w:p w:rsidR="00585AD9" w:rsidRDefault="00585AD9" w:rsidP="00585AD9">
      <w:pPr>
        <w:jc w:val="both"/>
      </w:pPr>
      <w:r>
        <w:tab/>
        <w:t>2004 m. spalio 20 d. sveikatos apsaugos ministro įsakymu Nr. V-729 "Dėl LR sveikatos apsaugos ministerijos 1998 m. spalio 12 d. įsakymo Nr. 557 "Dėl narkotinių ir psichotropinių medžiagų pirmtakų (prekursorių) sąrašo pakeitimo" Narkotinių ir psichotropinių medžiagų pirmtakų (prekursorių) sąrašas buvo papildytas chemine medžiaga - pseudoefedrinu,</w:t>
      </w:r>
      <w:r>
        <w:rPr>
          <w:b/>
        </w:rPr>
        <w:t xml:space="preserve"> </w:t>
      </w:r>
      <w:r>
        <w:t>naudojamu metamfetamino gamybai. Lietuvoje nelegaliai veikiančiose laboratorijose metamfetamino gamybai dažniausiai naudojamas prekursorius yra fenilacetonas. Minėto pirmtako (prekursoriaus) išėmimo atvejų Lietuvos muitinėje 2005 m. neužfiksuota</w:t>
      </w:r>
      <w:r>
        <w:rPr>
          <w:b/>
        </w:rPr>
        <w:t xml:space="preserve">.  </w:t>
      </w:r>
      <w:r>
        <w:t xml:space="preserve">2004 m. Lietuvos muitinė sulaikė 20 l I-os kategorijos prekursoriaus fenilacetono,  kuris buvo gabenamas į Estiją lengvajame automobilyje įrengtoje slėptuvėje. </w:t>
      </w:r>
    </w:p>
    <w:p w:rsidR="00585AD9" w:rsidRDefault="00585AD9" w:rsidP="00585AD9">
      <w:pPr>
        <w:ind w:firstLine="720"/>
        <w:jc w:val="both"/>
      </w:pPr>
      <w:r>
        <w:t xml:space="preserve">Lietuvos Kriminalinės policijos biuras 2006 02 01 raštu Nr. 38-SD-3-617 "Dėl informacijos pateikmo" pateikdamas informaciją apie 1818 nusikalstamų veikų, susijusių su disponavimu narkotinėmis ar psichotropinėmis medžiagomis bei jų I kategorijos pirmtakais (prekursoriais), pažymėjo, kad priešingai bendrai nusikalstamumo tendencijai, šių veikų skaičius didėja ir tai rodo, kad </w:t>
      </w:r>
      <w:r>
        <w:lastRenderedPageBreak/>
        <w:t xml:space="preserve">šalies ikiteisminio tyrimo įstaigos savo darbą orientuoja į narkotikų prekybos tinklo išaiškinimą ir sunaikinimą. </w:t>
      </w:r>
    </w:p>
    <w:p w:rsidR="00585AD9" w:rsidRDefault="00585AD9" w:rsidP="00585AD9">
      <w:pPr>
        <w:ind w:firstLine="720"/>
        <w:jc w:val="both"/>
      </w:pPr>
      <w:r>
        <w:t xml:space="preserve">Lietuvos kriminalinės policijos biuras, pagal savo kompetenciją vykdydamas pirmtakų (prekursorių) kontrolę, vadovaujasi Lietuvos Respublikos Narkotinių ir psichotropinių medžiagų pirmtakų (prekursorių) kontrolės įstatymu bei poįstatyminiais aktais, įgyvendinančiais minėtą įstatymą. </w:t>
      </w:r>
    </w:p>
    <w:p w:rsidR="00585AD9" w:rsidRDefault="00585AD9" w:rsidP="00585AD9">
      <w:pPr>
        <w:ind w:firstLine="720"/>
        <w:jc w:val="both"/>
      </w:pPr>
      <w:r>
        <w:t>Lietuvos kriminalinės policijos biuro nuomone, 2004 m. spalio 20 d. Lietuvos Respublikos sveikatos apsaugos ministro įsakymu Nr. V-729 "Dėl Lietuvos Respublikos sveikatos apsaugos ministerijos 1998 m. spalio 12 d. įsakymo Nr. 557 "Dėl narkotinių ir psichotropinių medžiagų pirmtakų (prekursorių)  sąrašo pakeitimo" papildytas narkotinių ir psichotropinių medžiagų pirmtakų (prekursorių)  sąrašas, kuris sudaromas vadovaujantis Jungtinių Tautų 1988 metų konvencija "Dėl kovos su neteisėta narkotinių ir psichotropinių medžiagų apyvarta", leidžia gana efektyviai kovoti su neteisėta narkotinių ir psichotropinių medžiagų bei jų I kategorijos prekursorių apyvarta.</w:t>
      </w:r>
    </w:p>
    <w:p w:rsidR="00585AD9" w:rsidRDefault="00585AD9" w:rsidP="00585AD9">
      <w:pPr>
        <w:ind w:firstLine="720"/>
        <w:jc w:val="both"/>
      </w:pPr>
      <w:r>
        <w:t>Dėl Kriminalinės policijos pareigūnų didelių darbo krūvių bei pareigybių stygiaus, 2005 metais priemonė "tobulinti informacijos rinkimą, narkotinių, psichotropinių medžiagų ir jų pirmtakų (prekursorių), kurie gali būti naudojami neteisėtai narkotinių ir psichotropinių medžiagų gamybai, kontrolę įmonėse ir chemijos laboratorijose, kurios gamina ir įveža šias medžiagas" nebuvo  tinkamai vykdoma. Buvo atliekamas tam tikras operatyvinis bei kitokio pobūdžio informacijos rinkimas, tačiau, pilnaverčiam šios priemonės įgyvendinimui trūko žmogiškųjų resursų.</w:t>
      </w:r>
    </w:p>
    <w:p w:rsidR="00585AD9" w:rsidRDefault="00585AD9" w:rsidP="00585AD9">
      <w:pPr>
        <w:ind w:firstLine="720"/>
        <w:jc w:val="both"/>
      </w:pPr>
      <w:r>
        <w:t xml:space="preserve"> Lietuvos kriminalinės policijos biuro nuomone 2006 m. situacija turėtų pagerėti, kadangi bus skirti papildomi etatai minėtai priemonei įgyvendinti. Efektyvi narkotinių ir psichotropinių medžiagų bei jų pirmtakų (prekursorių) kontrolė įmanoma tik esant vieningai suinteresuotų ( teisėsaugos, švietimo, sveikatos apsaugos, pramonės ir kitos institucijos)  institucijų  veiklai. </w:t>
      </w:r>
    </w:p>
    <w:p w:rsidR="00585AD9" w:rsidRDefault="00585AD9" w:rsidP="00585AD9">
      <w:pPr>
        <w:ind w:firstLine="720"/>
        <w:jc w:val="both"/>
      </w:pPr>
      <w:r>
        <w:t xml:space="preserve">Vykdydama Lietuvos Respublikos Narkotinių ir psichotropinių medžiagų pirmtakų (prekursorių) kontrolės įstatymą (Žin., 1999, Nr. 55 -1764) policija inicijavo Vidaus reikalų ministro 1999 m. rugpjūčio 9 d. įsakymo Nr. 467 parengimą, kuriuo visi, si teisėta apyvarta susiję fiziniai ir juridiniai asmenys, privalo informuoti apie įtartinus siūlomus ar sudarytus sandorius, esant pagrindo manyti, kad pirmtakai naudojami ar gali būti panaudoti neteisėtai narkotinių ir psichotropinių medžiagų gamybai. Nuo įsakymo paskelbimo "Valstybės žinių" leidinyje policija nebuvo nė karto informuota apie tokius įtarimus. 2005 m. Baltic Task Force projekto rėmuose Lenkijoje buvo organizuojamas tarptautinis seminaras neteisėtos prekursorių apyvartos kontrolei gerinti, seminare buvo kviečiami dalyvauti chemijos pramonės, teisėsaugos, licencijavimo atstovai. Lietuvos chemijos pramonės konfederacija atsisakė dalyvauti seminare, kaip ir kitos įmonės, turinčios licencijas veiklai su I kategorijos pirmtakais (prekursoriais). </w:t>
      </w:r>
    </w:p>
    <w:p w:rsidR="00585AD9" w:rsidRDefault="00585AD9" w:rsidP="00585AD9">
      <w:pPr>
        <w:ind w:firstLine="720"/>
        <w:jc w:val="both"/>
      </w:pPr>
      <w:r>
        <w:t xml:space="preserve">Amfetamino tipo stimuliuojamųjų medžiagų gamyboje apie 50 proc. visų naudojamų cheminių medžiagų yra nekontroliuojamos, t.y. jas galima teisėtai (be jokių dokumentų) įsigyti plataus vartojimo prekių arba specializuotose parduotuvėse. </w:t>
      </w:r>
    </w:p>
    <w:p w:rsidR="00585AD9" w:rsidRDefault="00585AD9" w:rsidP="00585AD9">
      <w:pPr>
        <w:ind w:firstLine="720"/>
        <w:jc w:val="both"/>
      </w:pPr>
      <w:r>
        <w:t>Valstybės saugumo departamentas 2006 03 06 raštu Nr. (03)-18-138-167 "Dėl informacijos pateikimo" informavo, kad Nacionalinės narkotikų kontrolės ir narkomanijos prevencijos 2004 -2008 metų programos įgyvendinimo 2004 metų priemonių plane 4.6 punkte numatytą priemonę ,,</w:t>
      </w:r>
      <w:r>
        <w:rPr>
          <w:i/>
        </w:rPr>
        <w:t>rinkti informaciją, užmegzti ryšius su įmonėmis, cheminėmis laboratorijomis, gaminančiomis, įvežančiomis chemines medžiagas, kurios gali būti naudojamos neteisėtai narkotikų apyvartai, taip pat prekiaujančiomis tokiomis medžiagomis, jas kontroliuoti“</w:t>
      </w:r>
      <w:r>
        <w:t>, kurioje VSD buvo numatytas kaip vienas iš vykdytojų, atliko dalinai, nes tam nebuvo skirtas finansavimas. Informaciją apie minėtas įmones atskirais atvejais buvo renkama kitų VSD vykdomų programų apimtyje, vykdant įstatymu priskirtas funkcijas.</w:t>
      </w:r>
    </w:p>
    <w:p w:rsidR="00585AD9" w:rsidRDefault="00585AD9" w:rsidP="00585AD9">
      <w:pPr>
        <w:ind w:firstLine="720"/>
        <w:jc w:val="both"/>
      </w:pPr>
      <w:r>
        <w:t xml:space="preserve"> Muitinės kriminalinė tarnyba 2006 02 28 raštu Nr. 3R-9.1-662 "Dėl informacijos pateikimo apie prekursorių kontrolę pagal muitinės kompetenciją"  ir Valstybės saugumo departamentas 2006 03 06 raštu Nr. (03)-18-138-167 "Dėl informacijos pateikimo" siūlo, siekiant užtikrinti efektyvią narkotinių ir psichotropinių medžiagų pirmtakų (prekursorių) kontrolę,  kiek galima greičiau suderinti nacionalinius teisės aktus, reglamentuojančius minėtų  medžiagų apyvartą, su Europos Sąjungos teisės aktais ir kitais dokumentais, reguliuojančiais minėtų medžiagų apyvartą ES valstybėse.</w:t>
      </w:r>
    </w:p>
    <w:p w:rsidR="00585AD9" w:rsidRDefault="00585AD9" w:rsidP="00585AD9">
      <w:pPr>
        <w:ind w:firstLine="720"/>
        <w:jc w:val="both"/>
      </w:pPr>
      <w:r>
        <w:t xml:space="preserve">Lietuvos Respublikos Vyriausybė 2006 m. kovo 9 d. nutarimu Nr. 220 "Dėl Lietuvos Respublikos narkotinių ir psichotropinių medžiagų pirmtakų (prekursorių) kontrolės įstatymo ir jį keitusio įstatymo pripažinimo netekusiais galios įstatymo projekto pateikimo Lietuvos Respublikos Seimui" pritarė Lietuvos Respublikos narkotinių ir psichotropinių medžiagų pirmtakų (prekursorių) </w:t>
      </w:r>
      <w:r>
        <w:lastRenderedPageBreak/>
        <w:t>kontrolės įstatymo ir jį keitusio įstatymo pripažinimo netekusiais galios įstatymo projektui ir pateikė jį Lietuvos Respublikos Seimui.</w:t>
      </w:r>
    </w:p>
    <w:p w:rsidR="00585AD9" w:rsidRDefault="00585AD9" w:rsidP="00585AD9">
      <w:pPr>
        <w:ind w:firstLine="720"/>
        <w:jc w:val="both"/>
      </w:pPr>
      <w:r>
        <w:t xml:space="preserve">Lietuvos Respublikos Vyriausybė 2006 m. kovo 9 d. nutarimu Nr. 221 "Dėl 2004 m. vasario 11 d. Europos Parlamento ir Tarybos reglamento (EB) Nr. 273/2004 dėl narkotinių ir psichotropinių medžiagų pirmtakų (prekursorių),  2004 m. gruodžio 22 d. Tarybos reglamento (EB) Nr. 111/2005, nustatančio prekybos narkotinių ir psichotropinių medžiagų pirmtakais (prekursoriais) tarp Bendrijos ir trečiųjų šalių stebėsenos taisykles, 2005 m. liepos 27 d. Komisijos reglamento (EB) Nr. 1277/2005, nustatančio Europos Parlamento ir Tarybos reglamento (EB) Nr. 273/2004 dėl narkotinių ir psichotropinių medžiagų pirmtakų (prekursorių) ir Tarybos reglamento (EB) Nr. 111/2005, nustatančio prekybos narkotinių ir psichotropinių medžiagų pirmtakais (prekursoriais) tarp Bendrijos ir trečiųjų šalių stebėsenos taisykles, įgyvendinimo taisykles, nuostatų įgyvendinimo" ( publikuotas Žin., 2006, Nr. 29-985),  patvirtino  2004 m. vasario 11 d. Europos Parlamento ir Tarybos reglamento (EB) Nr. 273/2004 dėl narkotinių ir psichotropinių medžiagų pirmtakų (prekursorių),  2004 m. gruodžio 22 d. Tarybos reglamento (EB) Nr. 111/2005, nustatančio prekybos narkotinių ir psichotropinių medžiagų pirmtakais (prekursoriais) tarp Bendrijos ir trečiųjų šalių stebėsenos taisykles, 2005 m. liepos 27 d. Komisijos reglamento (EB) Nr. 1277/2005, nustatančio Europos Parlamento ir Tarybos reglamento (EB) Nr. 273/2004 dėl narkotinių ir psichotropinių medžiagų pirmtakų (prekursorių) ir Tarybos reglamento (EB) Nr. 111/2005, nustatančio prekybos narkotinių ir psichotropinių medžiagų pirmtakais (prekursoriais) tarp Bendrijos ir trečiųjų šalių stebėsenos taisykles, įgyvendinimo taisykles, nuostatų įgyvendinimo taisykles. </w:t>
      </w:r>
    </w:p>
    <w:p w:rsidR="00585AD9" w:rsidRDefault="00585AD9" w:rsidP="00585AD9">
      <w:pPr>
        <w:ind w:firstLine="720"/>
        <w:jc w:val="both"/>
      </w:pPr>
      <w:r>
        <w:t>Tuo pačiu nutarimu pripažino netekusiais galios Lietuvos Respublikos Vyriausybės 2000 m. gegužės 8 d. nutarimą Nr. 509 "Dėl Lietuvos Respublikos narkotinių ir psichotropinių medžiagų pirmtakų (prekursorių) kontrolės įstatymo įgyvendinimo" (Žin., 2000, Nr. 38 -1068); Lietuvos Respublikos Vyriausybės 2003  m. kovo 5 d. nutarimą Nr. 287 " Lietuvos Respublikos Vyriausybės 2000 m. gegužės 8 d. nutarimo Nr. 509 " Dėl Lietuvos Respublikos narkotinių ir psichotropinių medžiagų pirmtakų (prekursorių) kontrolės įstatymo įgyvendinimo" pakeitimo" (Žin., 2003, Nr. 24-999). Šios nuostatos įsigalioja nuo Lietuvos Respublikos narkotinių ir psichotropinių medžiagų pirmtakų (prekursorių) kontrolės įstatymo ir jį keitusio įstatymo pripažinimo netekusiais galios įstatymo įsigaliojimo.</w:t>
      </w:r>
    </w:p>
    <w:p w:rsidR="00585AD9" w:rsidRDefault="00585AD9" w:rsidP="00585AD9">
      <w:pPr>
        <w:ind w:firstLine="720"/>
        <w:jc w:val="both"/>
      </w:pPr>
      <w:r>
        <w:t>Narkotikų kontrolės departamento prie Lietuvos Respublikos Vyriausybės direktorė Audronė Astrauskienė 2005 05 25 Komisijos posėdyje teikdama Narkotikų kontrolės departamento prie Lietuvos Respublikos Vyriausybės metinį pranešimą už 2004 metus pažymėjo, kad "..problematiškas lieka klausimas apie informacijos ir kontrolės funkcijas cheminėms laboratorijoms, kurios gamina, įveža chemines medžiagas, gali naudoti neteisėtai narkotikų apyvartai, taip pat prekiaujančioms tokiomis medžiagomis. Šią priemonę buvo numatyta, kad įgyvendina Policijos departamentas ir Muitinės departamentas, Saugumo departamentas. Ši priemonė apsiribojo tiktai, sakyčiau, dokumentų gal peržiūra, kadangi lig šiol nebuvo išaiškinta, kas vis tik turėtų kontroliuoti tas įmones, kurios prekiauja, gamina chemines medžiagas. Valstybinė vaistų ir kontrolės tarnyba bei Sveikatos apsaugos ministerija tokias įmones licencijuoja, išduoda leidimus, tačiau kaip konkrečiai dirbama pačioje įmonėje, tų medžiagų kontrolė priskirta lyg tai Policijos departamentui, tačiau pagal … įstatymą priskirta lyg tai Valstybinės vaistų kontrolės… Taigi 2005 metais kaip tik rengiant įstatymo pakeitimo projektus, įgyvendinant Europos reglamentą, bus labai detalizuota, kokia institucija už ką atsako…".</w:t>
      </w:r>
    </w:p>
    <w:p w:rsidR="00585AD9" w:rsidRDefault="00585AD9" w:rsidP="00585AD9">
      <w:pPr>
        <w:ind w:firstLine="720"/>
        <w:jc w:val="both"/>
      </w:pPr>
      <w:r>
        <w:t>Narkotikų kontrolės departamento prie Lietuvos Respublikos Vyriausybės direktorė Audronė Astrauskienė 2005 06 08 Komisijos posėdyje, svarstant Narkotikų kontrolės departamento prie Lietuvos Respublikos Vyriausybės metinį pranešimą ir ataskaitą už 2004 metus pažymėjo, kad vykdant Programos 32.3 punktą – “Stiprinti valstybės sienos apsaugą tobulinant tikrinimo pasienyje procedūras taip užkertant kelią narkotinėms ir psichotropinėms medžiagoms patekti į Lietuvą”. … įgyvendinanti institucija – Valstybės sienos apsaugos tarnyba ir ši nuostata taip pat įeina į kitų Valstybės sienos apsaugos tarnybos vykdomų programų sudėtį. …..</w:t>
      </w:r>
    </w:p>
    <w:p w:rsidR="00585AD9" w:rsidRDefault="00585AD9" w:rsidP="00585AD9">
      <w:pPr>
        <w:ind w:firstLine="720"/>
        <w:jc w:val="both"/>
      </w:pPr>
      <w:r>
        <w:t xml:space="preserve"> Lietuvoje  narkomanijos prevencijos ir narkotikų kontrolės politika atitinka Jungtinių Tautų 1961 metų bendrą narkotinių medžiagų konvenciją, Jungtinių Tautų 1971 metų psichotropinių medžiagų konvenciją, Lietuvos Respublikos ratifikuotą 1988 metų Jungtinių Tautų organizacijos konvenciją “Dėl kovos su neteisėta narkotinių ir psichotropinių medžiagų apyvarta”. Kasmet rengiamose Jungtinių Tautų narkotikų kontrolės komiteto ataskaitose, kuriose analizuojama atskirų šalių narkotikų kontrolės politikos atitikimas minėtom konvencijom, Lietuva nė karto nebuvo minima </w:t>
      </w:r>
      <w:r>
        <w:lastRenderedPageBreak/>
        <w:t>kaip šalis, kurioje vykdoma narkotikų kontrolės politika, prieštarautų minėtų konvencijų nuostatoms..". (Žr. Parlamentinė kontrolė. Komisijos sprendimas).</w:t>
      </w:r>
    </w:p>
    <w:p w:rsidR="00585AD9" w:rsidRDefault="00585AD9" w:rsidP="00585AD9">
      <w:pPr>
        <w:jc w:val="both"/>
      </w:pPr>
    </w:p>
    <w:p w:rsidR="00585AD9" w:rsidRDefault="00585AD9" w:rsidP="00585AD9">
      <w:pPr>
        <w:jc w:val="center"/>
        <w:rPr>
          <w:b/>
          <w:bCs/>
        </w:rPr>
      </w:pPr>
      <w:r>
        <w:rPr>
          <w:b/>
          <w:bCs/>
        </w:rPr>
        <w:t>DĖL NEPILNAMEČIŲ APSAUGOS PROPAGUOJANT AR REKLAMUOJANT NARKOTINES BEI PSICHOTROPINES MEDŽIAGAS</w:t>
      </w:r>
    </w:p>
    <w:p w:rsidR="00585AD9" w:rsidRDefault="00585AD9" w:rsidP="00585AD9">
      <w:pPr>
        <w:jc w:val="both"/>
        <w:rPr>
          <w:b/>
          <w:bCs/>
        </w:rPr>
      </w:pPr>
    </w:p>
    <w:p w:rsidR="00585AD9" w:rsidRDefault="00585AD9" w:rsidP="00585AD9">
      <w:pPr>
        <w:ind w:firstLine="720"/>
        <w:jc w:val="both"/>
      </w:pPr>
      <w:r>
        <w:t xml:space="preserve">Leidinyje “Pravda” (Nr. 16_2006_balandis_tiražas 25000_www.pravda.lt) buvo atvaizduota į kokainą panašius miltelius uostančio asmens nuotrauka. </w:t>
      </w:r>
    </w:p>
    <w:p w:rsidR="00585AD9" w:rsidRDefault="00585AD9" w:rsidP="00585AD9">
      <w:pPr>
        <w:ind w:firstLine="720"/>
        <w:jc w:val="both"/>
      </w:pPr>
      <w:r>
        <w:t>Vadovaujantis Lietuvos Respublikos narkotinių ir psichotropinių medžiagų kontrolės įstatymo 6 straipsnio 2 dalimi, narkotinių ir psichotropinių medžiagų reklama yra draudžiama.</w:t>
      </w:r>
    </w:p>
    <w:p w:rsidR="00585AD9" w:rsidRDefault="00585AD9" w:rsidP="00585AD9">
      <w:pPr>
        <w:ind w:firstLine="720"/>
        <w:jc w:val="both"/>
      </w:pPr>
      <w:r>
        <w:t xml:space="preserve"> Lietuvos Respublikos reklamos įstatymo 9 straipsnyje nurodyta, jog reklama, skleidžiama bet kokia forma ir bet kokiomis perteikimo priemonėmis, yra draudžiama tais atvejais, kai siekiama reklamuoti:</w:t>
      </w:r>
    </w:p>
    <w:p w:rsidR="00585AD9" w:rsidRDefault="00585AD9" w:rsidP="00585AD9">
      <w:pPr>
        <w:ind w:firstLine="720"/>
        <w:jc w:val="both"/>
      </w:pPr>
      <w:r>
        <w:t>1) veiklą, kurį yra įstatymo uždrausta ar neteisėta;</w:t>
      </w:r>
    </w:p>
    <w:p w:rsidR="00585AD9" w:rsidRDefault="00585AD9" w:rsidP="00585AD9">
      <w:pPr>
        <w:jc w:val="both"/>
      </w:pPr>
      <w:r>
        <w:t xml:space="preserve"> </w:t>
      </w:r>
      <w:r>
        <w:tab/>
        <w:t>2) prekes ar paslaugas, kurių gamyba ir (ar) pardavimas (teikimas) yra įstatymų uždrausti.</w:t>
      </w:r>
    </w:p>
    <w:p w:rsidR="00585AD9" w:rsidRDefault="00585AD9" w:rsidP="00585AD9">
      <w:pPr>
        <w:jc w:val="both"/>
      </w:pPr>
      <w:r>
        <w:tab/>
        <w:t xml:space="preserve">Lietuvos Respublikos reklamos įstatymo 9 straipsnyje numatyta už uždraustos reklamos naudojimą reklaminės veiklos subjektams bauda. </w:t>
      </w:r>
    </w:p>
    <w:p w:rsidR="00585AD9" w:rsidRDefault="00585AD9" w:rsidP="00585AD9">
      <w:pPr>
        <w:jc w:val="both"/>
      </w:pPr>
      <w:r>
        <w:tab/>
        <w:t xml:space="preserve">Lietuvos Respublikos visuomenės informavimo įstatymo 20 straipsnio 1 dalies 5 punkte nustatyta, kad visuomenės informavimo priemonėse draudžiama skelbti informaciją, kurioje propaguojamos  ir (ar) reklamuojamos narkotinės ar psichotropinės medžiagos. </w:t>
      </w:r>
    </w:p>
    <w:p w:rsidR="00585AD9" w:rsidRDefault="00585AD9" w:rsidP="00585AD9">
      <w:pPr>
        <w:jc w:val="both"/>
      </w:pPr>
      <w:r>
        <w:tab/>
        <w:t xml:space="preserve">Narkomanijos prevencijos komisija kreipėsi į Generalinį prokurorą Algimantą Valantiną 2006 04 20 raštu Nr. 293-S-37, Žurnalistų etikos inspektorių Romą Gudaitį 2006 04 20 raštu Nr. 293-S-38, Narkotikų kontrolės departamento prie LRV direktorę Audronę Astrauskienę  2006 04 20 raštu Nr. 293-S-39  ir  Vaiko teisių apsaugos kontrolierę Rimantę Šalaševičiūtę 2006 04 20 raštu Nr. 293-S-40 dėl dienraščio “15 minučių “ reklamos, kurioje buvo panaudota į kokainą panašius miltelius uostančio asmens nuotrauka. </w:t>
      </w:r>
    </w:p>
    <w:p w:rsidR="00585AD9" w:rsidRDefault="00585AD9" w:rsidP="00585AD9">
      <w:pPr>
        <w:ind w:firstLine="720"/>
        <w:jc w:val="both"/>
      </w:pPr>
      <w:r>
        <w:t>Paprašyta pateikti informaciją kaip vertinama minėta reklama, kokių veiksmų imtasi ir kaip įvertinta tokia reklama.</w:t>
      </w:r>
    </w:p>
    <w:p w:rsidR="00585AD9" w:rsidRDefault="00585AD9" w:rsidP="00585AD9">
      <w:pPr>
        <w:ind w:firstLine="720"/>
        <w:jc w:val="both"/>
      </w:pPr>
      <w:r>
        <w:t xml:space="preserve"> Kartu paprašyta pateikti savo siūlymus dėl nepilnamečių apsaugos  propaguojant ar reklamuojant narkotinės bei psichotropinės medžiagas ir dėl baudžiamosios atsakomybės už šias neteisėtas veikas. Taip pat paprašyta pateikti siūlymus dėl narkotinių ar psichotropinių medžiagų reklamos visuomenės informavimo priemonėse.</w:t>
      </w:r>
    </w:p>
    <w:p w:rsidR="00585AD9" w:rsidRDefault="00585AD9" w:rsidP="00585AD9">
      <w:pPr>
        <w:jc w:val="both"/>
      </w:pPr>
      <w:r>
        <w:tab/>
        <w:t xml:space="preserve">Komisijose gauti Narkotikų kontrolės departamento prie Lietuvos Respublikos Vyriausybės 2005 04 26 raštu Nr. S-(4.3-1)-280, Žurnalistų etikos inspektoriaus 2006 05 05 raštu Nr. 5-182 ir Lietuvos respublikos Vaiko teisių apsaugos kontrolieriaus įstaigos 2006 05 09 raštu Nr. 01-2-719 atsakymai. </w:t>
      </w:r>
    </w:p>
    <w:p w:rsidR="00585AD9" w:rsidRDefault="00585AD9" w:rsidP="00585AD9">
      <w:pPr>
        <w:jc w:val="both"/>
      </w:pPr>
      <w:r>
        <w:tab/>
        <w:t>Apibendrinus gautą informaciją nustatyta, kad laikraščio” 15 minučių” reklamą, paskelbtą žurnale “Pravda” ( Nr. 16, 2006 m. balandis) įvertino prie žurnalistų etikos inspektoriaus veikianti ekspertų grupė, vertinanti viešosios informacijos poveikį nepilnamečiams; Vaiko teisių apsaugos kontrolierė; Narkotikų kontrolės departamente prie Lietuvos Respublikos pasitarime.</w:t>
      </w:r>
    </w:p>
    <w:p w:rsidR="00585AD9" w:rsidRDefault="00585AD9" w:rsidP="00585AD9">
      <w:pPr>
        <w:jc w:val="both"/>
      </w:pPr>
      <w:r>
        <w:t>Narkotikų kontrolės departamentas prie Lietuvos Respublikos Vyriausybės kreipėsi į policijos departamentą prie Vidaus reikalų ministerijos, Nacionalinę vartotojų teisių apsaugos tarybą prie Teisingumo ministerijos  bei į Žurnalistų etikos inspektorių.</w:t>
      </w:r>
    </w:p>
    <w:p w:rsidR="00585AD9" w:rsidRDefault="00585AD9" w:rsidP="00585AD9">
      <w:pPr>
        <w:ind w:firstLine="720"/>
        <w:jc w:val="both"/>
      </w:pPr>
      <w:r>
        <w:t xml:space="preserve">Prie Žurnalistų etikos inspektoriaus veikianti ekspertų grupė įvertino laikraščio “15 minučių” reklamą. </w:t>
      </w:r>
    </w:p>
    <w:p w:rsidR="00585AD9" w:rsidRDefault="00585AD9" w:rsidP="00585AD9">
      <w:pPr>
        <w:ind w:firstLine="720"/>
        <w:jc w:val="both"/>
      </w:pPr>
      <w:r>
        <w:t>Ekspertai nustatė, kad minėta reklama yra paremta asociacijomis su narkotikų vartojimu. Tokia informacija gali skatinti narkotinių, psichotropinių medžiagų įsigijimą ir vartojimą bei yra priskirtina neigiamą poveikį nepilnamečių vystymuisi darančios informacijos kategorijai – atitinka Nepilnamečių apsaugos nuo neigiamo viešosios informacijos poveikio įstatymo 4 straipsnio 1 dalies 5 punkte numatytą kriterijų. Pagal šioje reklamoje pateiktos informacijos turinį viešosios informacijos rengėjas laikomas pažeidęs  Nepilnamečių apsaugos nuo neigiamo viešosios informacijos poveikio įstatymo 7 straipsnio 1 dalies nuostatas.</w:t>
      </w:r>
    </w:p>
    <w:p w:rsidR="00585AD9" w:rsidRDefault="00585AD9" w:rsidP="00585AD9">
      <w:pPr>
        <w:jc w:val="both"/>
      </w:pPr>
      <w:r>
        <w:t xml:space="preserve"> </w:t>
      </w:r>
      <w:r>
        <w:tab/>
        <w:t xml:space="preserve">Asociacijos “Lietuvos reklamos biuras” Arbitražo komisija 2006 04 27 svarstė Vaiko teisių apsaugos kontrolierės prašymą įvertinti “15 minučių” reklamos atitikimą Reklamos etikos kodekso nuostatoms.  Arbitražo komisija, posėdžio protokole Nr. Arb –01, nurodė, jog minėta reklama </w:t>
      </w:r>
      <w:r>
        <w:lastRenderedPageBreak/>
        <w:t xml:space="preserve">spausdinta mėnraštyje “Pravda” galima traktuti kaip užslėptą reklamą ir jos nesiejant su dienraščiu “15 minučių”, galima pagalvoti, kad yra siūloma per 15 minučių sutraukti narkotikų dozę. Arbitražo komisija nustatė, kad dienraščio “15 minučių” reklama pažeidžia Reklamos etikos kodekso straipsnį “Saugumas ir sveikata” ir nepritarė dienraščio pateiktam reklamos maketui. </w:t>
      </w:r>
    </w:p>
    <w:p w:rsidR="00585AD9" w:rsidRDefault="00585AD9" w:rsidP="00585AD9">
      <w:pPr>
        <w:ind w:firstLine="720"/>
        <w:jc w:val="both"/>
      </w:pPr>
      <w:r>
        <w:t>Vaiko teisių apsaugos kontrolierės nuomone, “15 minučių” reklaminė akcija neatitinka prioritetinio geriausių vaiko interesų principo. (Žr. Parlamentinė kontrolė. Komisijos sprendimas).</w:t>
      </w:r>
    </w:p>
    <w:p w:rsidR="00585AD9" w:rsidRDefault="00585AD9" w:rsidP="00585AD9">
      <w:pPr>
        <w:ind w:firstLine="720"/>
        <w:jc w:val="both"/>
      </w:pPr>
    </w:p>
    <w:p w:rsidR="00585AD9" w:rsidRDefault="00585AD9" w:rsidP="00585AD9">
      <w:pPr>
        <w:jc w:val="center"/>
        <w:rPr>
          <w:b/>
          <w:bCs/>
        </w:rPr>
      </w:pPr>
      <w:r>
        <w:rPr>
          <w:b/>
          <w:bCs/>
        </w:rPr>
        <w:t>DĖL PROJEKTO "VEIKSMINGA IR KOORDINUOTA PAGALBA STIPRINANT JAUNŲ ŽMONIŲ SVEIKATĄ IR JOS RAIDĄ LIETUVOJE"</w:t>
      </w:r>
    </w:p>
    <w:p w:rsidR="00585AD9" w:rsidRDefault="00585AD9" w:rsidP="00585AD9">
      <w:pPr>
        <w:jc w:val="both"/>
      </w:pPr>
    </w:p>
    <w:p w:rsidR="00585AD9" w:rsidRDefault="00585AD9" w:rsidP="00585AD9">
      <w:pPr>
        <w:jc w:val="both"/>
      </w:pPr>
      <w:r>
        <w:tab/>
        <w:t xml:space="preserve">2005 m. gruodžio 19 d. Sveikatos apsaugos ministras Žilvinas Padaiga, Valstybinės visuomenės sveikatos priežiūros tarnybos prie SAM direktorius Vytautas Bakasėnas ir Jungtinių tautų vystymo programos įgaliotoji atstovė Cihan Sultanoglu pasirašė "Parama veiksmingam ir koordinuotam jaunų žmonių sveikatos ir raidos stiprinimui Lietuvoje" projektą, kuris bus vykdomas 2006 metais. Projekto bendras biudžetas 80,000 JAV dolerių (Iš jų: JTVP - 45,000 JAV dolerių, 10,000 JAV dolerių  - Jungtinių Tautų gyventojų fondas (UNFPA) ir 25,000 JAV dolerių - Sveikatos apsaugos ministerija). Projekto įgyvendinančios institucijos: Jungtinių Tautų vykdančioji institucija - Jungtinių Tautų vystymo programos biuras Lietuvoje, Nacionalinė vykdančioji institucija - Lietuvos Respublikos sveikatos apsaugos ministerija, Įgyvendinančioji institucija - Valstybinė visuomenės sveikatos priežiūros tarnyba prie SAM. </w:t>
      </w:r>
    </w:p>
    <w:p w:rsidR="00585AD9" w:rsidRDefault="00585AD9" w:rsidP="00585AD9">
      <w:pPr>
        <w:ind w:firstLine="720"/>
        <w:jc w:val="both"/>
      </w:pPr>
      <w:r>
        <w:t xml:space="preserve">Komisija gavo 2006 02 09 B.Ulevičiaus ir kitų (24 asmenų), 2006 02 21 A. Šalaševičiaus ir kitų (25 asmenų),  2006 02 21 Albinos Minkevičienės ir kt. asmenų (16 parašų), 2006 02 21 Alytaus dekanato Šeimos centro vadovės Ritos Kaupinienės, 2006 03 01 Astos Krikščionaitienės ir kitų (55 asmenų) pasirašytus laiškus dėl projekto "Veiksminga ir koordinuota pagalba stiprinant jaunų žmonių sveikatą ir jos raidą Lietuvoje" (toliau-Projektas), kuriuose prašoma įvertinti Projekte vaiko teises, tėvų teises dalyvauti auklėjant savo vaikus bei  žinoti apie jų vaikų sveikatos būklę bei pokyčius, narkotikų vartojimo prevencijos, narkotikų užkardymo požiūriu ir sustabdyti Projekto vykdymą. Laiškuose atkreipiamas dėmesys į "šiuos nepriimtinus projekto" aspektus: </w:t>
      </w:r>
    </w:p>
    <w:p w:rsidR="00585AD9" w:rsidRDefault="00585AD9" w:rsidP="00585AD9">
      <w:pPr>
        <w:ind w:firstLine="720"/>
        <w:jc w:val="both"/>
      </w:pPr>
      <w:r>
        <w:t>1.Projektas ydingas tuo, kad jame išskirtinis dėmesys bus kreipiamas į intraveninių narkotikų vartotojus, seksualinių paslaugų teikėjus bei homoseksualus, iš kurių didelę programos dalį sudarys nepilnamečiai, kadangi projektas yra skirtas 15-25 m. amžiaus grupei.</w:t>
      </w:r>
      <w:r>
        <w:rPr>
          <w:i/>
          <w:iCs/>
        </w:rPr>
        <w:t xml:space="preserve"> “Jiems visiems bus siūlomos "mobilios paslaugos", t.y. keičiami švirkštai, dalinamas metadonas bei prezervatyvą”. “Tai yra sunkiai suvokiama žvelgiant ir grynai iš pedagoginės pusės."… "Dar labiau nesuvokiama tampa pagalba nepilnamečiams seksualinių paslaugų teikėjams. Kaip patirtis rodo, dauguma nepilnamečių į prostituciją įtraukiama prievarta arba apgaule, jie dažnai prievarta yra paverčiami ir narkotikų vartotojais. Nejaugi užuot jiems padėjus bus siūlomos tik mobilios paslaugos, o ne reali pagalba, padedant sugrįžti į visuomenę? Taip pat lieka neaišku, kokiais kriterijais remdamiesi mobilių paslaugų teikėjai atrinks jų "pagalbos" reikalingus homoseksualius nepilnamečius? Telieka retoriškai klausti, ar tokia intervencija brendimo metu neturės įtakos paauglių seksualinės orientacijos ir tapatybės formavimuisi? Tad projekto kontekstas labiau panašėja į pedagoginį eksperimentą nei į tikrą rūpestį vaikais."</w:t>
      </w:r>
    </w:p>
    <w:p w:rsidR="00585AD9" w:rsidRDefault="00585AD9" w:rsidP="00585AD9">
      <w:pPr>
        <w:ind w:firstLine="720"/>
        <w:jc w:val="both"/>
        <w:rPr>
          <w:i/>
          <w:iCs/>
        </w:rPr>
      </w:pPr>
      <w:r>
        <w:t>2. "Mobilios paslaugos" tėra atsakomybės atsikratymas, užuot visas pastangas sutelkus į rimtas, tikrai prevencines programas bei veiksmingų pagalbos centrų kūrimą.</w:t>
      </w:r>
      <w:r>
        <w:rPr>
          <w:i/>
          <w:iCs/>
        </w:rPr>
        <w:t xml:space="preserve"> </w:t>
      </w:r>
    </w:p>
    <w:p w:rsidR="00585AD9" w:rsidRDefault="00585AD9" w:rsidP="00585AD9">
      <w:pPr>
        <w:ind w:firstLine="720"/>
        <w:jc w:val="both"/>
      </w:pPr>
      <w:r>
        <w:t>3.Susidaro įspūdis, jog projektas labiau pelningas kai kuriems asmenims, nei reikalingas jaunimui. "Rimta" prevencinė programa galima laikyti tą, kuri lytiškumo klausimus ir priklausomybių pavojus pristatys žmogaus asmens orumo bei laiko išmėgintų vertybių (asmens tarpusavio pagarbos, šeimyninės ištikimybės, visuomeninės ir šeimyninės atsakomybės) šviesoje, nenuslepiant visų ankstyvo seksualinio gyvenimo, seksualinės neištikimybės šeimoje bei kvaišalų vartojimo pasekmių.  Veiksmingi pagalbos centrai visas pajėgas sutelks į psichologinę ir kitokią pagalbą, būtina norintiems atsikratyti žalingų priklausomybių.</w:t>
      </w:r>
    </w:p>
    <w:p w:rsidR="00585AD9" w:rsidRDefault="00585AD9" w:rsidP="00585AD9">
      <w:pPr>
        <w:ind w:firstLine="720"/>
        <w:jc w:val="both"/>
      </w:pPr>
      <w:r>
        <w:t xml:space="preserve">4. Dėl Projekto vykdytojų "konfidencialumo" sampratos. Neinformavus tėvų apie jų nepilnamečių vaikų abortus, kontraceptinių priemonių ar narkotinių medžiagų vartojimą, atimtų tėvų ir vaikų santykių tvirtėjimo galimybę ne tik džiaugsmuose, bet ir skausminguose gyvenimo išmėginimuose. Tėvams bus nežinomos staiga pasikeitusio jų nepilnamečio elgesio  bei savijautos priežastys, kurios (atsiradusios dėl narkotikų vartojimo ar poabortinio sindromo ir kt.)  gali būti interpretuojamos klaidingai ir vesti į vis didesnį santykių atšalimą. Toks požiūris, jų manymu,  į tėvų </w:t>
      </w:r>
      <w:r>
        <w:lastRenderedPageBreak/>
        <w:t>vaidmenį savo vaikų auklėjime pažeidžia Vaiko teisių konvencijos 5 str. bei nacionalinės teisės aktus. Konfidencialumas pateisinimas tik tuomet, kai šeima asociali arba esama įrodymų, kad vaikai šeimoje patiria smurtą.</w:t>
      </w:r>
    </w:p>
    <w:p w:rsidR="00585AD9" w:rsidRDefault="00585AD9" w:rsidP="00585AD9">
      <w:pPr>
        <w:ind w:firstLine="720"/>
        <w:jc w:val="both"/>
      </w:pPr>
      <w:r>
        <w:t>5. Projektas tėra  ES  ligi šiol plačiau nevykdytas eksperimentas, o ne patirtimi paremta programa. C (C.Sultanoglu, Jungtinių Tautų vystymo programos atstovės projekto pasirašymo proga Sveikatos apsaugos ministerijoje pasakyti žodžiai: "Džiaugiuosi, kad Lietuva pirmoji taps jaunimui palankių paslaugų puikaus įgyvendinimo pavyzdžiu kitoms Europos šalims")</w:t>
      </w:r>
    </w:p>
    <w:p w:rsidR="00585AD9" w:rsidRDefault="00585AD9" w:rsidP="00585AD9">
      <w:pPr>
        <w:ind w:firstLine="720"/>
        <w:jc w:val="both"/>
        <w:rPr>
          <w:i/>
          <w:iCs/>
        </w:rPr>
      </w:pPr>
      <w:r>
        <w:t>6. Projektas pretenduoja pateikti mokomąją medžiagą ir numato galimybes projekto patirtį perkelti į įstatyminį ar mokymo programų lygmenį, taip paliesdamas visą Lietuvos švietimo sistemą ir ją besinaudojančius Lietuvos vaikus ir paauglius. Taip būtų pažeistos tėvų  mokesčių mokėtojų teisės. Teigiama, kad paisant paauglių (ypač priklausančių rizikos grupei paauglių) norų , bet ne tikrųjų interesų, Lietuvos visuomenės integralumas bus sužalotas gyvybiškai svarbiame šeimos lygmenyje.</w:t>
      </w:r>
      <w:r>
        <w:tab/>
      </w:r>
      <w:r>
        <w:rPr>
          <w:i/>
          <w:iCs/>
        </w:rPr>
        <w:t xml:space="preserve"> </w:t>
      </w:r>
    </w:p>
    <w:p w:rsidR="00585AD9" w:rsidRDefault="00585AD9" w:rsidP="00585AD9">
      <w:pPr>
        <w:ind w:firstLine="720"/>
        <w:jc w:val="both"/>
      </w:pPr>
      <w:r>
        <w:t>Laiške atkreipiamas dėmesys, kad 2003 - 2005 metais Lietuvoje startavęs projektas "Jaunimui palankios paslaugos Lietuvoje" buvo sutiktas su ypač dideliu tėvų pasipriešinimu ir iš planuotų šešių savivaldybių  rengėjai galėjo apibendrinti tik dviejų savivaldybių patirtį. O 2005 12 19 pasirašytas Projektas visuomenei buvo pateiktas tik anglų kalba.</w:t>
      </w:r>
    </w:p>
    <w:p w:rsidR="00585AD9" w:rsidRDefault="00585AD9" w:rsidP="00585AD9">
      <w:pPr>
        <w:ind w:firstLine="720"/>
        <w:jc w:val="both"/>
      </w:pPr>
      <w:r>
        <w:t xml:space="preserve">Seimo Narkomanijos prevencijos komisija  </w:t>
      </w:r>
      <w:r>
        <w:rPr>
          <w:bCs/>
        </w:rPr>
        <w:t>2006 02 07</w:t>
      </w:r>
      <w:r>
        <w:t xml:space="preserve"> posėdyje aptarė 2005 m. gruodžio 19 d. pasirašyto projekto "Parama veiksmingam ir koordinuotam jaunų žmonių sveikatos ir raidos stiprinimui Lietuvoje", kuris bus vykdomas 2006 metais, klausimą. Nutarta kreiptis į  Sveikatos apsaugos ministrą Žilviną Padaigą dėl informacijos apie projektą, pasirašytą 2005 12 19  su  Jungtinių tautų vystymo programos įgaliota  atstove  Cihan Sultanoglu.</w:t>
      </w:r>
    </w:p>
    <w:p w:rsidR="00585AD9" w:rsidRDefault="00585AD9" w:rsidP="00585AD9">
      <w:pPr>
        <w:ind w:firstLine="720"/>
        <w:jc w:val="both"/>
      </w:pPr>
      <w:r>
        <w:t>Sveikatos apsaugos ministerija 2006 03 07 raštu Nr. 10-111.1-191-1157 "Dėl informacijos pateikimo" pateikė "Parama veiksmingam ir koordinuotam jaunų žmonių sveikatos ir raidos stiprinimui Lietuvoje" projekto 1 egzempliorių lietuvių kalba (17 lapų).</w:t>
      </w:r>
    </w:p>
    <w:p w:rsidR="00585AD9" w:rsidRDefault="00585AD9" w:rsidP="00585AD9">
      <w:pPr>
        <w:ind w:firstLine="720"/>
        <w:jc w:val="both"/>
      </w:pPr>
      <w:r>
        <w:t>Nustatyta, kad projektas skirtas stiprinti jaunų žmonių sveikatą ir raidą Lietuvoje, gerinant veiksmingas ir koordinuotas socialines, sveikatos ir sveikatos ugdymo paslaugas, atitinkančias</w:t>
      </w:r>
      <w:r>
        <w:rPr>
          <w:b/>
        </w:rPr>
        <w:t xml:space="preserve"> </w:t>
      </w:r>
      <w:r>
        <w:rPr>
          <w:bCs/>
        </w:rPr>
        <w:t>jaunimo poreikius.</w:t>
      </w:r>
      <w:r>
        <w:t xml:space="preserve"> Projektu siekiama ugdyti vietos bendruomenės specialistų gebėjimus, reikalingus </w:t>
      </w:r>
      <w:r>
        <w:rPr>
          <w:bCs/>
        </w:rPr>
        <w:t>dirbant su paaugliais,</w:t>
      </w:r>
      <w:r>
        <w:t xml:space="preserve"> parengti </w:t>
      </w:r>
      <w:r>
        <w:rPr>
          <w:bCs/>
        </w:rPr>
        <w:t>tęstinio</w:t>
      </w:r>
      <w:r>
        <w:t xml:space="preserve"> specialistų mokymo įgyvendinimo priemones ir skatinti aktyvų jaunų žmonių dalyvavimą jaunų žmonių sveikatos politikos kūrime. Projekto trukmė 2006 metai. Projekto pabaiga 2006 metų gruodis.  Bendras biudžetas - 80,000 JAV dolerių. Skiriamos lėšos: JTVP - 45,000 JAV dolerių, Jungtinių Tautų gyventojų fondas ( UNFPA) 10,000 JAV dolerių, SAM - 75,000 litas ( 25,000 JAV dolerių, išlaidų pasidalijimo susitarimas). </w:t>
      </w:r>
    </w:p>
    <w:p w:rsidR="00585AD9" w:rsidRDefault="00585AD9" w:rsidP="00585AD9">
      <w:pPr>
        <w:ind w:firstLine="720"/>
        <w:jc w:val="both"/>
      </w:pPr>
      <w:r>
        <w:t xml:space="preserve">Pagal JTVP bendradarbiavimo su Lietuva šalies programą </w:t>
      </w:r>
      <w:r>
        <w:rPr>
          <w:bCs/>
        </w:rPr>
        <w:t>planuojamas</w:t>
      </w:r>
      <w:r>
        <w:t xml:space="preserve"> rezultatas - išugdyti projekte </w:t>
      </w:r>
      <w:r>
        <w:rPr>
          <w:bCs/>
        </w:rPr>
        <w:t>dalyvaujančių institucijų specialistų vadovavimo gebėjimus</w:t>
      </w:r>
      <w:r>
        <w:t>, reikalingus veiksmingam ŽIV/AIDS epidemijos plitimo atsakui.</w:t>
      </w:r>
    </w:p>
    <w:p w:rsidR="00585AD9" w:rsidRDefault="00585AD9" w:rsidP="00585AD9">
      <w:pPr>
        <w:ind w:firstLine="720"/>
      </w:pPr>
      <w:r>
        <w:t>Projektą įgyvendinančios institucijos: Jungtinių Tautų vykdančioji institucija - Jungtinių Tautų vystymo programos biuras Lietuvoje; Nacionalinė vykdančioji institucija - Lietuvos Respublikos sveikatos apsaugos ministerija; Įgyvendinančioji institucija - Valstybinė visuomenės sveikatos priežiūros tarnyba prie SAM.</w:t>
      </w:r>
    </w:p>
    <w:p w:rsidR="00585AD9" w:rsidRDefault="00585AD9" w:rsidP="00585AD9">
      <w:pPr>
        <w:ind w:firstLine="720"/>
        <w:jc w:val="both"/>
      </w:pPr>
      <w:r>
        <w:t xml:space="preserve">Projekto tikslinė grupė - sveikatos priežiūros paslaugų teikėjai, dirbantys su jaunimu, kurių amžius -15-24 metai, apimant ir ypač pažeidžiamas jaunimo grupes (tokias, kaip intraveninių narkotikų vartotojai, komercinio sekso darbuotojai, vyrai, turintys lytinių santykių su vyrais, gatvės jaunimas bei jaunuoliai įkalinimo įstaigose). </w:t>
      </w:r>
    </w:p>
    <w:p w:rsidR="00585AD9" w:rsidRDefault="00585AD9" w:rsidP="00585AD9">
      <w:pPr>
        <w:ind w:firstLine="720"/>
        <w:jc w:val="both"/>
      </w:pPr>
      <w:r>
        <w:t>Nurodyta, kad pagrindinio projekto tikslo bus siekiama įgyvendinant šiuos tris strateginius komponentus: 1) paslaugų teikėjų gebėjimų stiprinimas; 2) nuoseklios specialistų mokymo apie jaunimo sveikatą sistemos parengimas; 3) aktyvaus ir tiesioginio jaunimo dalyvavimo, rengiant bei vykdant intervencijas jaunimo sveikatos temomis, skatinimas.</w:t>
      </w:r>
    </w:p>
    <w:p w:rsidR="00585AD9" w:rsidRDefault="00585AD9" w:rsidP="00585AD9">
      <w:pPr>
        <w:ind w:firstLine="720"/>
        <w:jc w:val="both"/>
      </w:pPr>
      <w:r>
        <w:t>Susitarime nurodyti projekto strateginiai komponentai: paslaugų teikėjų gebėjimų stiprinimas, nuoseklios specialistų mokymo apie jaunimo sveikatą sistemos parengimas, aktyvaus ir tiesioginio jaunimo dalyvavimo, rengiant bei vykdant intervencijas jaunimo sveikatos temomis, skatinimas).</w:t>
      </w:r>
    </w:p>
    <w:p w:rsidR="00585AD9" w:rsidRDefault="00585AD9" w:rsidP="00585AD9">
      <w:pPr>
        <w:ind w:firstLine="720"/>
        <w:jc w:val="both"/>
      </w:pPr>
      <w:r>
        <w:t xml:space="preserve">Pvz., numatoma veikla: sveikatos priežiūros specialistų mokymas paauglių sveikatos ir paaugliams palankių sveikatos priežiūros paslaugų teikimo srityse; naujų PSO Orientacinės paauglių sveikatos programos sveikatos priežiūros specialistams dalių vertinimas, adaptavimas bei įtraukimas į 7 adaptuotų dalių komplektą; dviejų jaunimo sveikatos centrų Utenos ir Akmenės rajonuose veiklos  vertinimas; jaunimo mokymas dirbti bendraamžių švietėjais įvairiomis sveikatos temomis. Remiantis </w:t>
      </w:r>
      <w:r>
        <w:lastRenderedPageBreak/>
        <w:t>leidiniu "Bendraamžių švietėjų knyga. Jaunimo sveikata" (skirta bendraamžių švietėjams, parengta ne kaip projekto "Jaunimui palankios paslaugos Lietuvoje) dalis, bet įgyvendinant UNFPA veiklą Lietuvoje, 2005 metais), bus surengti 2 mokymo seminarai bei vasaros stovykla. Bendraamžių švietėjų mokymas apims 12 temų: vystymasis paauglystėje, jausmai, lyčių vaidmenys ir stereotipai, spendimų priėmimas, santykiai, lytiškumas, kontraceptija, lytiškai plintančių infekcijų prevencija, ŽIV/AIDS prevencija, psichoaktyvių medžiagų vartojimo prevencija, sveika mityba ir prievartos prevencija. Taip bus patikrinta mokymo priemonė bei išmokyta 30 bendraamžių švietėjų ir kt.).</w:t>
      </w:r>
    </w:p>
    <w:p w:rsidR="00585AD9" w:rsidRDefault="00585AD9" w:rsidP="00585AD9">
      <w:pPr>
        <w:ind w:firstLine="720"/>
        <w:jc w:val="both"/>
      </w:pPr>
      <w:r>
        <w:t xml:space="preserve">Apibendrinus informaciją, susijusią su pasirašytu Projektu, nustatyta, kad Projektas skirtas stiprinti jaunų žmonių sveikatą ir raidą Lietuvoje, gerinant veiksmingas ir koordinuotas socialines, sveikatos ugdymo paslaugas, atitinkančias jaunimo poreikius. Projektu siekiama ugdyti vietos bendruomenės specialistų gebėjimus, reikalingus dirbant su paaugliais, parengti tęstinio specialistų mokymo įgyvendinimo priemones bei skatinti aktyvų jaunų žmonių dalyvavimą jaunų žmonių sveikatos politikos kūrime. </w:t>
      </w:r>
    </w:p>
    <w:p w:rsidR="00585AD9" w:rsidRDefault="00585AD9" w:rsidP="00585AD9">
      <w:pPr>
        <w:ind w:firstLine="720"/>
        <w:jc w:val="both"/>
      </w:pPr>
      <w:r>
        <w:t xml:space="preserve">Projekto metu numatoma išbandyti naujos adaptuotos PSO Orientacinės paauglių sveikatos programos  dalis. </w:t>
      </w:r>
    </w:p>
    <w:p w:rsidR="00585AD9" w:rsidRDefault="00585AD9" w:rsidP="00585AD9">
      <w:pPr>
        <w:ind w:firstLine="720"/>
        <w:jc w:val="both"/>
      </w:pPr>
      <w:r>
        <w:t>Tikėtinas šio projekto rezultatas - pagerintos sveiko jaunų žmonių vystymosi ir sveikatos apsaugos sąlygos Lietuvoje, sukuriant tęstinę įgūdžių ugdymo sistemą sveikatos priežiūros specialistams, dirbantiems su jaunimu ir jaunimui: išugdyti valstybinėse bei savivaldybių institucijose dirbančių specialistų gebėjimai naudoti jaunimo sveikatos  bendraamžių švietimo metodus, dirbti su paauglių sveikatos problemomis bei teikti mobilias paslaugas ypač ŽIV/AIDS pažeidžiamam jaunimui</w:t>
      </w:r>
      <w:r>
        <w:rPr>
          <w:b/>
        </w:rPr>
        <w:t>;</w:t>
      </w:r>
      <w:r>
        <w:t xml:space="preserve"> sustiprintas jaunimo dalyvavimas jaunų žmonių sveikatos politikos kūrime. Pasirašytas Projektas buvo pateiktas visuomenei anglų kalba ir dėl to daugeliui nemokančių anglų kalbos tapo neprieinamas detaliam nagrinėjimui. </w:t>
      </w:r>
    </w:p>
    <w:p w:rsidR="00585AD9" w:rsidRDefault="00585AD9" w:rsidP="00585AD9">
      <w:pPr>
        <w:jc w:val="both"/>
      </w:pPr>
      <w:r>
        <w:t xml:space="preserve"> </w:t>
      </w:r>
      <w:r>
        <w:tab/>
        <w:t xml:space="preserve">Apibendrinus pareiškėjų išdėstytus teiginius, konstatuotina, jog nuogąstaujama, kad nėra tinkamai ginami vaiko ir šeimos interesai, paisant paauglių (ypač priklausančių rizikos grupei paauglių) norų, bet ne tikrųjų interesų; kad Lietuvos visuomenės integralumas bus sužalotas gyvybiškai svarbiame šeimos lygmenyje, palies visą Lietuvos švietimo sistemą, pažeis tėvų ir mokesčių mokėtojų teises. Išskirtinis dėmesys bus kreipiamas į intraveninių narkotikų vartotojus, seksualinių paslaugų teikėjus bei homoseksualus. Jiems visiems bus siūlomos "mobilios paslaugos", t.y. keičiami švirkštai, dalinamas metadonas bei prezervatyvai. Atkreipiamas dėmesys, kad didelę programos dalį sudarys nepilnamečiai, kadangi projektas skirtas 15-25 m. amžiaus grupei. Nuogąstaujama, kad pagal projekto vykdytojų " konfidencialumo" samprata, tėvai nebus informuojami apie jų nepilnamečių vaikų abortus, kontraceptinių priemonių ar narkotinių medžiagų vartojimą. Toks požiūris, jų manymu,  į tėvų vaidmenį savo vaikų auklėjime  pažeidžia Vaiko teisių konvencijos 5 str. bei nacionalinės teisės aktus, tuo pačiu atima tėvų ir vaikų santykių tvirtėjimo galimybę ne tik džiaugsminguose, bet ir skausminguose gyvenimo išmėginimuose ir  tėvams lieka nežinomos  staiga pasikeitusio jų nepilnamečio vaiko elgesio bei savijautos priežastys, kurios galėjo atsirasti dėl narkotikų vartojimo ar po-abortinio sindromo ir kt. Konfidencialumo laikymasis pateisinamas tik tuomet, kai šeima asociali arba esama įrodymų, kad vaikai patiria smurtą. </w:t>
      </w:r>
    </w:p>
    <w:p w:rsidR="00585AD9" w:rsidRDefault="00585AD9" w:rsidP="00585AD9">
      <w:pPr>
        <w:ind w:firstLine="720"/>
        <w:jc w:val="both"/>
      </w:pPr>
      <w:r>
        <w:t>Pagal Jungtinių Tautų Vaiko teisių konvenciją vaiku laikomas žmogus, neturintis 18 metų, jei pagal taikomą įstatymą jo pilnametystė nepripažįstama ankščiau. Ši Konvencija numato pagrindines pareigas valstybei, kuri ratifikavo Konvenciją. Be to, vaiko teises, jo interesų apsaugą ir pirmumą Lietuvoje užtikrina Lietuvos Respublikos Konstitucija, Vaiko teisių apsaugos pagrindų įstatymas ir kiti įstatymai. Tėvams arba atitinkamais atvejais globėjams tenka pagrindinė atsakomybė už vaiko auklėjimą ir vystymąsi. Valstybė globoja šeimas, auginančias ir auklėjančias vaikus namuose, įstatymo nustatyta tvarka teikia jiems paramą. Lietuvos Respublikos Konstitucija nustato, kad asmenims iki  16 metų mokslas yra privalomas. Lietuvos Respublikos Konstitucijos 21 str. nuostatos draudžia žeminti asmens orumą, garantuoja jo neliečiamumą. Vadinasi, šios nuostatos garantuoja vaiko apsaugą nuo bet kokių išnaudojimo formų, darančių žalą jo gerovei. Baudžiamajame kodekse numatyta atsakomybė už nepilnamečių įtraukimą į nusikalstamą veiką ar girtavimą, sąvadavimą, pornografinių daiktų gaminimą ir platinimą, už smurtą ir žiaurumą propaguojančių kūrinių gaminimą arba platinimą.</w:t>
      </w:r>
    </w:p>
    <w:p w:rsidR="00585AD9" w:rsidRDefault="00585AD9" w:rsidP="00585AD9">
      <w:pPr>
        <w:pStyle w:val="Pagrindiniotekstotrauka"/>
        <w:rPr>
          <w:lang w:val="lt-LT"/>
        </w:rPr>
      </w:pPr>
      <w:r>
        <w:rPr>
          <w:lang w:val="lt-LT"/>
        </w:rPr>
        <w:t xml:space="preserve">Tačiau, 1998 m. lapkričio 24 d. Jungtinių tautų Vaiko teisių komitetas priėmęs ir 2000 m. spalio 9 d., 2001 m. sausio 17 d. išnagrinėjęs Lietuvos Respublikos įžanginę ataskaitą, atsižvelgdamas Lietuvos nevyriausybinių organizacijų komentarą, pateikė išvadas ir rekomendacijas dėl  JT vaiko teisių konvencijos įgyvendinimo Lietuvoje.  </w:t>
      </w:r>
    </w:p>
    <w:p w:rsidR="00585AD9" w:rsidRDefault="00585AD9" w:rsidP="00585AD9">
      <w:pPr>
        <w:ind w:firstLine="720"/>
        <w:jc w:val="both"/>
      </w:pPr>
      <w:r>
        <w:lastRenderedPageBreak/>
        <w:t xml:space="preserve">Komitetas reiškia didelį susirūpinimą dėl vis augančio skaičiaus vaikų, netenkančių tėvų globos, kadangi nuolat didėja socialiai nepalankių šeimų skaičius. Komitetui susirūpinimą kelią ir tai, kad didelis skaičius tėvų globos netekusių vaikų apgyvendinami institucijose, daugiausia dėl to, kad vaikai, gyvenantys socialiai pažeidžiamose šeimose arba šeimose, turinčiose labai mažas pajamas, negali gauti tinkamos pagalbos, nes trūksta alternatyvios globos, o taip pat nepakankama socialinė parama. </w:t>
      </w:r>
    </w:p>
    <w:p w:rsidR="00585AD9" w:rsidRDefault="00585AD9" w:rsidP="00585AD9">
      <w:pPr>
        <w:ind w:firstLine="720"/>
        <w:jc w:val="both"/>
      </w:pPr>
      <w:r>
        <w:t>Be to, Komitetas ragina šalį-narę skirti pakankamus išteklius ir paruošti išsamią sveikatos politiką bei programas, kuriomis būtų siekiama pagerinti vaikų sveikatos būklę, įskaitant ir priemones, užtikrinančias vaikams sveikatą ir saugią aplinką. Turi būti imtasi visų reikalingų priemonių, kuriomis būtų skatinama nelaimingų atsitikimų, savižudybių prevencija ir kt.</w:t>
      </w:r>
    </w:p>
    <w:p w:rsidR="00585AD9" w:rsidRDefault="00585AD9" w:rsidP="00585AD9">
      <w:pPr>
        <w:ind w:firstLine="720"/>
        <w:jc w:val="both"/>
      </w:pPr>
      <w:r>
        <w:t xml:space="preserve"> Komiteto išvados pateiktos ir dėl vaikų  švietimo, laisvalaikio ir kultūros, specialios apsaugos priemonių, paauglių sveikatos ir gyvenimo kokybės vertinimo, gatvėse gyvenančių vaikų, vaikų grobimo ir komercinio seksualinio išnaudojimo  klausimais  ir raginimus imtis visų būtinų priemonių, kad visiems Lietuvoje gyvenantiems vaikams būtų sudarytos sąlygos vystytis, kad gautų tinkamą psichologinę pagalbą ir sugrįžtų į savo šeimas ir kt.     </w:t>
      </w:r>
    </w:p>
    <w:p w:rsidR="00585AD9" w:rsidRDefault="00585AD9" w:rsidP="00585AD9">
      <w:pPr>
        <w:ind w:firstLine="720"/>
        <w:jc w:val="both"/>
      </w:pPr>
      <w:r>
        <w:t>Atsižvelgiant į tai, kad Projekto metu numatoma išbandyti naujos adaptuotos PSO Orientacinės paauglių sveikatos programos dalis ir į tai, kad Projekte numatyta  tikslinė grupė - sveikatos priežiūros paslaugų teikėjai, dirbantys su jaunimu, kurių amžius 15- 24 metai, būtinos ekspertų išvados dėl Projekto atitikimo Lietuvos sveikatos programai ir Valstybei švietimo strategijai, patvirtintai  2003 –2012 metams bei Vaiko gerovės valstybės politikos koncepcijai.</w:t>
      </w:r>
    </w:p>
    <w:p w:rsidR="00585AD9" w:rsidRDefault="00585AD9" w:rsidP="00585AD9">
      <w:pPr>
        <w:ind w:firstLine="720"/>
        <w:jc w:val="both"/>
      </w:pPr>
      <w:r>
        <w:t>(Žr. Parlamentinė kontrolė. Komisijos sprendimas.  Ekspertų išvados).</w:t>
      </w:r>
    </w:p>
    <w:p w:rsidR="00585AD9" w:rsidRDefault="00585AD9" w:rsidP="00585AD9">
      <w:pPr>
        <w:jc w:val="both"/>
      </w:pPr>
    </w:p>
    <w:p w:rsidR="00585AD9" w:rsidRDefault="00585AD9" w:rsidP="00585AD9">
      <w:pPr>
        <w:jc w:val="both"/>
      </w:pPr>
    </w:p>
    <w:p w:rsidR="00585AD9" w:rsidRDefault="00585AD9" w:rsidP="00585AD9">
      <w:pPr>
        <w:jc w:val="both"/>
      </w:pPr>
    </w:p>
    <w:p w:rsidR="00585AD9" w:rsidRDefault="00585AD9" w:rsidP="00585AD9">
      <w:pPr>
        <w:jc w:val="both"/>
      </w:pPr>
    </w:p>
    <w:p w:rsidR="00585AD9" w:rsidRDefault="00585AD9" w:rsidP="00585AD9">
      <w:pPr>
        <w:jc w:val="both"/>
      </w:pPr>
    </w:p>
    <w:p w:rsidR="00585AD9" w:rsidRDefault="00585AD9" w:rsidP="00585AD9">
      <w:pPr>
        <w:ind w:firstLine="720"/>
        <w:jc w:val="center"/>
        <w:rPr>
          <w:b/>
          <w:bCs/>
        </w:rPr>
      </w:pPr>
      <w:r>
        <w:rPr>
          <w:b/>
          <w:bCs/>
        </w:rPr>
        <w:t>DĖL APSVAIGUSIŲ  NUO ALKOHOLIO, NARKOTINIŲ, PSICHOTROPINIŲ IR KITŲ PSICHIKĄ VEIKIANČIŲ MEDŽIAGŲ ASMENŲ, VAIRUOJANČIŲ TRANSPORTO PRIEMONES</w:t>
      </w:r>
    </w:p>
    <w:p w:rsidR="00585AD9" w:rsidRDefault="00585AD9" w:rsidP="00585AD9">
      <w:pPr>
        <w:jc w:val="both"/>
      </w:pPr>
    </w:p>
    <w:p w:rsidR="00585AD9" w:rsidRDefault="00585AD9" w:rsidP="00585AD9">
      <w:pPr>
        <w:ind w:firstLine="720"/>
        <w:jc w:val="both"/>
      </w:pPr>
      <w:r>
        <w:t>Susipažinus su 2002-2005 metų eismo įvykių statistika, matyti, kad kasmet užregistruojama apie 6 tūkst. eismo įvykių, kuriuose žūva ar būna sužalojami žmonės. Dar daugiau eismo įvykių, kai apgadinamos kelių transporto priemonės, transporto infrastruktūros objektai, padaroma žala aplinkai.</w:t>
      </w:r>
    </w:p>
    <w:p w:rsidR="00585AD9" w:rsidRDefault="00585AD9" w:rsidP="00585AD9">
      <w:pPr>
        <w:ind w:firstLine="720"/>
        <w:jc w:val="both"/>
      </w:pPr>
      <w:r>
        <w:t>Analizuojant 2002-2004 m. eismo įvykius pagal rūšis, matyti, kad keliuose dažniausiai užvažiuojama ant pėsčiųjų ir tai sudaro 35,5 procento visų eismo įvykių. Transporto priemonių susidūrimai sudaro 26,5 procentus, užvažiavimai ant dviratininkų -11,7 procento, užvažiavimai ant kliūties sudaro 11,3 procento ir apvirtimai  - 10,9 procento. Kiti eismo įvykiai sudaro 4,1 procento.</w:t>
      </w:r>
    </w:p>
    <w:p w:rsidR="00585AD9" w:rsidRDefault="00585AD9" w:rsidP="00585AD9">
      <w:pPr>
        <w:jc w:val="both"/>
      </w:pPr>
      <w:r>
        <w:t>Lietuvoje, palyginti su kitomis Europos Sąjungos valstybėmis, žūva labai daug pėsčiųjų bei dviratininkų ir tai sudaro net 50 procentų visų žuvusiųjų eismo dalyvių. Eismo įvykių kaltininkai -  67,7 procento transporto priemonių vairuotojai  ir  apie 20 procentų - pėstieji.</w:t>
      </w:r>
    </w:p>
    <w:p w:rsidR="00585AD9" w:rsidRDefault="00585AD9" w:rsidP="00585AD9">
      <w:pPr>
        <w:ind w:firstLine="720"/>
        <w:jc w:val="both"/>
      </w:pPr>
      <w:r>
        <w:t xml:space="preserve">Transporto ir kelių tyrimo instituto duomenimis, pateiktais Lietuvos Respublikos Vyriausybei tvirtinant Valstybinę saugaus eismo automobilių keliais 2005-2010 m. programą (toliau- Programa), eismo įvykių nuostoliai Lietuvoje per metus siekia apie 1,5 mlrd. litų ir tai yra apie 3 procentai BVP, kai tuo tarpu kitose Europos valstybėse šie nuostoliai siekia tik  1-2  procento BVP.   </w:t>
      </w:r>
    </w:p>
    <w:p w:rsidR="00585AD9" w:rsidRDefault="00585AD9" w:rsidP="00585AD9">
      <w:pPr>
        <w:ind w:firstLine="720"/>
        <w:jc w:val="both"/>
      </w:pPr>
      <w:r>
        <w:t xml:space="preserve">2004 m. statistika rodo, kad vis daugiau (13,8 procento daugiau nei 2003 m.) vairuotojų vairuoja transporto priemones apsvaigę nuo alkoholio ar narkotinių medžiagų.  </w:t>
      </w:r>
    </w:p>
    <w:p w:rsidR="00585AD9" w:rsidRDefault="00585AD9" w:rsidP="00585AD9">
      <w:pPr>
        <w:jc w:val="both"/>
      </w:pPr>
      <w:r>
        <w:t xml:space="preserve">2004 m. Lietuvoje įvyko 6357 eismo įvykiai, iš jų dėl neblaivių vairuotojų kaltės - 754 įvykiai.  </w:t>
      </w:r>
    </w:p>
    <w:p w:rsidR="00585AD9" w:rsidRDefault="00585AD9" w:rsidP="00585AD9">
      <w:pPr>
        <w:jc w:val="both"/>
      </w:pPr>
      <w:r>
        <w:tab/>
        <w:t xml:space="preserve"> 2005 m. Lietuvoje  įvyko 6 790 eismo įvykiai (6,8 proc. daugiau nei 2004 m.), kurių metu 760 žmonių žuvo ir 8497 buvo sužeisti (atitinkamai 1,1 proc. Ir 8,1 proc. daugiau nei 2004 m.).</w:t>
      </w:r>
    </w:p>
    <w:p w:rsidR="00585AD9" w:rsidRDefault="00585AD9" w:rsidP="00585AD9">
      <w:pPr>
        <w:jc w:val="both"/>
      </w:pPr>
      <w:r>
        <w:tab/>
        <w:t xml:space="preserve">Lietuvos policijos eismo priežiūros tarnybos duomenimis 2006 m. sausio mėn. užregistruoti 386 eismo įvykiai, žuvo 50 žmonių, 443 asmenys buvo sužeisti, iš jų 55 nepilnamečiai. Dėl neblaivių vairuotojų kaltės įvyko 35 eismo įvykai. </w:t>
      </w:r>
    </w:p>
    <w:p w:rsidR="00585AD9" w:rsidRDefault="00585AD9" w:rsidP="00585AD9">
      <w:pPr>
        <w:ind w:firstLine="720"/>
        <w:jc w:val="both"/>
      </w:pPr>
      <w:r>
        <w:t xml:space="preserve">2006 m. sausio mėn. Policijos pareigūnams vykdant masines vairuotojų blaivumo tikrinimo akcijas keliuose,  palyginus su 2005 m. sausio mėn., matyti, kad eismo įvykių skaičius sumažėjo 25,3 proc., žuvusiųjų - 30,6 proc., sužeistų - 25,5 proc. Dėl neblaivių vairuotojų kaltės eismo įvykių skaičius sumažėjo 50 proc.  </w:t>
      </w:r>
    </w:p>
    <w:p w:rsidR="00585AD9" w:rsidRDefault="00585AD9" w:rsidP="00585AD9">
      <w:pPr>
        <w:ind w:firstLine="720"/>
        <w:jc w:val="both"/>
      </w:pPr>
      <w:r>
        <w:lastRenderedPageBreak/>
        <w:t>Lietuvos Respublikos Vyriausybė 2005 m. liepos 8 d. nutarimu Nr. 759 patvirtinusi Saugaus eismo automobilių keliais 2005-2010 metų programą (toliau- Programa) ir įvertinusi saugaus eismo būklę Lietuvoje, Programos skyriaus "Eismo įvykių priežastys ir veiksmai, gerinantys saugaus eismo būklę"  19 punkte pažymėjo, kad "vis didesnį nerimą kelia eismo įvykiai dėl narkotikų ir kai kurių medikamentų vartojimo. Tik specialiai apmokyti pareigūnai gali atpažinti vairuotojus, apsvaigusius nuo narkotinių medžiagų."</w:t>
      </w:r>
    </w:p>
    <w:p w:rsidR="00585AD9" w:rsidRDefault="00585AD9" w:rsidP="00585AD9">
      <w:pPr>
        <w:ind w:firstLine="720"/>
        <w:jc w:val="both"/>
      </w:pPr>
      <w:r>
        <w:t>Narkomanijos prevencijos komisija 2006 02 14 raštu Nr. 293-S-19 "Dėl informacijos pateikimo" kreipėsi į Lietuvos policijos generalinį komisarą Vytautą Grigaravičių ir 2006 02 28 raštu Nr. 293-S-26 "Dėl apsvaigusių nuo alkoholio, narkotinių, psichotropinių ir kitų psichiką veikiančių  medžiagų asmenų, vairuojančių transporto priemones" kreipėsi į Saugaus eismo komisiją prašydama pateikti informaciją. Policijos departamento paprašyta informuoti: dėl metodinės medžiagos apmokant Lietuvos policijos eismo priežiūros tarnybos pareigūnus 2006 m.; dėl priemonių 2006 m., kurias Policijos departamentas prie Vidaus reikalų ministerijos numatė įgyvendinti, kontroliuojant vairuotojus apsvaigusius nuo alkoholio ar narkotinių medžiagų; dėl 2004 ir 2005 m. nustatytų asmenų skaičiaus vairavusių transporto priemones apsvaigus nuo narkotikų ar medikamentų; dėl 2005 m. patrulinių automobilių su visa įranga (šiuolaikinėmis eismo kontrolės ir kitomis technikos priemonėmis) skaičiaus ir kiek jų numatyta įsigyti 2006 m.</w:t>
      </w:r>
    </w:p>
    <w:p w:rsidR="00585AD9" w:rsidRDefault="00585AD9" w:rsidP="00585AD9">
      <w:pPr>
        <w:ind w:firstLine="720"/>
        <w:jc w:val="both"/>
      </w:pPr>
      <w:r>
        <w:t>Be to, Narkomanijos prevencijos komisija paprašė saugaus eismo komisijos  informuoti: kokios prioritetinės eismo saugumo gerinimo kryptys ir priemonės buvo įgyvendintos 2005 m.; kokias 2006 m. saugaus eismo kompanijas prieš neblaivius ir nuo narkotikų apsvaigusius vairuotojus numatė vykdyti Susisiekimo ministerija ir kiek  šioms kompanijoms skirta lėšų; kiek 2004 ir 2005 m. nustatyta asmenų vairavusių transporto priemones apsvaigus nuo narkotikų ar medikamentų ir iš kokių lėšų (Susisiekimo ministerijos, Policijos departamento prie VRM, Sveikatos apsaugos ministerijos) apmokėtos šių patikrinimų paslaugos; kiek 2004 ir 2005 m. nustatyta asmenų vairavusių transporto priemones apsvaigus nuo alkoholio ir iš kokių lėšų (Susisiekimo ministerijos, Policijos departamento prie VRM, Sveikatos apsaugos ministerijos) apmokėtos šių patikrinimų paslaugos; kiek 2005 m. buvo specialiai apmokytų pareigūnų galinčių atpažinti vairuotojus, apsvaigusius nuo narkotinių medžiagų ir kiek numatoma apmokyti 2006 m.; eismo saugos 2005 m. analizę.</w:t>
      </w:r>
    </w:p>
    <w:p w:rsidR="00585AD9" w:rsidRDefault="00585AD9" w:rsidP="00585AD9">
      <w:pPr>
        <w:ind w:firstLine="720"/>
        <w:jc w:val="both"/>
      </w:pPr>
      <w:r>
        <w:t xml:space="preserve">Kartu Komisija paprašė pateikti siūlymus dėl saugaus eismo užtikrinimo, eismo priežiūros ir kontrolės, užkertant galimybę transporto priemonę vairuoti apsvaigus nuo alkoholio ar narkotinių medžiagų. </w:t>
      </w:r>
      <w:r>
        <w:tab/>
      </w:r>
    </w:p>
    <w:p w:rsidR="00585AD9" w:rsidRDefault="00585AD9" w:rsidP="00585AD9">
      <w:pPr>
        <w:jc w:val="both"/>
      </w:pPr>
      <w:r>
        <w:tab/>
        <w:t xml:space="preserve">Policijos departamentas prie Lietuvos Respublikos VRM 2006 03 02 raštu Nr. 5-S-1690 "Dėl informacijos pateikimo" atsakė, kad 2004 m. Lietuvoje įvyko 6357 eismo įvykiai. Dėl neblaivių vairuotojų kaltės - 754 įvykiai. 2005 m. užregistruoti 6790 eismo įvykiai, iš jų 850 padarė neblaivūs vairuotojai. 2004 m. išaiškinti 139 vairuotojai, vairavę transporto priemones apsvaigę nuo narkotikų arba vaistų ar kitų svaigiųjų medžiagų, 2005 m. - 105 vairuotojai, t.y. 24,5 proc. mažiau nei 2004 m. </w:t>
      </w:r>
    </w:p>
    <w:p w:rsidR="00585AD9" w:rsidRDefault="00585AD9" w:rsidP="00585AD9">
      <w:pPr>
        <w:jc w:val="both"/>
      </w:pPr>
      <w:r>
        <w:tab/>
        <w:t>Tačiau, Lietuvos policijos eismo priežiūros tarnyba nuosavybės teisėmis neturi nė vieno patrulinio automobilio su visa įranga (šiuolaikinėmis eismo kontrolės ir kitomis technikos priemonėmis). Laikinai tokį automobilį pagal sutartį nuomoja iš Valstybės įmonės "Regitra".</w:t>
      </w:r>
    </w:p>
    <w:p w:rsidR="00585AD9" w:rsidRDefault="00585AD9" w:rsidP="00585AD9">
      <w:pPr>
        <w:jc w:val="both"/>
      </w:pPr>
      <w:r>
        <w:tab/>
        <w:t xml:space="preserve"> 2005 m. Lietuvos policijos centras organizavo policijos pareigūnams seminarus, kuriuose suteikė žinių apie narkotines ir psichotropines medžiagas, nagrinėjo patrulio veiksmų taktiką atliekant transporto priemonių ir asmenų apžiūrą, ieškant narkotikų bei bendraujant su narkotikus vartojančiais asmenimis. 2006 m. planuojama kartu su Švedijos karalystės ekspertais parengti 15 instruktorių - viešosios policijos pareigūnų, galinčių vesti mokymus, susijusius su narkotinių ir psichotropinių medžiagų apyvarta. </w:t>
      </w:r>
    </w:p>
    <w:p w:rsidR="00585AD9" w:rsidRDefault="00585AD9" w:rsidP="00585AD9">
      <w:pPr>
        <w:ind w:firstLine="720"/>
        <w:jc w:val="both"/>
      </w:pPr>
      <w:r>
        <w:t xml:space="preserve">Lietuvos policijos generalinis komisaras 2006 m. sausio 31 d. įsakymu Nr. 5-V-73 patvirtino Policijos departamento prie Lietuvos Respublikos vidaus reikalų ministerijos 2006 m. veiklos pagrindinių priemonių planą, kuriame yra numatyta įgyvendinti šias priemones: apmokyti policijos pareigūnus atpažinti nuo narkotinių medžiagų apsvaigusius vairuotojus, rengti atsitiktinį visų transporto priemonių vairuotojų patikrinimą kelyje, ypač stengtis nustatyti neblaivius ir nuo narkotikų apsvaigusius vairuotojus, aprūpinti policijos padalinius, kontroliuojančius eismą, apsvaigimo nuo narkotinių medžiagų nustatymo prietaisais.  </w:t>
      </w:r>
    </w:p>
    <w:p w:rsidR="00585AD9" w:rsidRDefault="00585AD9" w:rsidP="00585AD9">
      <w:pPr>
        <w:jc w:val="both"/>
      </w:pPr>
      <w:r>
        <w:t xml:space="preserve"> </w:t>
      </w:r>
      <w:r>
        <w:tab/>
        <w:t xml:space="preserve">Rašte nurodyta, kad Valstybinės saugaus eismo automobilių keliais 2005-2010 metų programos įgyvendinimo priemonėse numatyta įvykdyti priemonę "8.4.1. aprūpinti policijos įstaigų eismo priežiūros padalinius patruliniais automobiliais, kompiuteriais, eismo kontrolės priemonėmis, stebėjimo ir kitomis šiuolaikinėmis technikos priemonėmis (iš viso 140 patrulinių  automobilių su visa </w:t>
      </w:r>
      <w:r>
        <w:lastRenderedPageBreak/>
        <w:t xml:space="preserve">įranga)", tačiau Policijos departamentas 2006 m. negali vykdyti šios priemonės, nes nepakanka skiriamų biudžeto lėšų.     </w:t>
      </w:r>
    </w:p>
    <w:p w:rsidR="00585AD9" w:rsidRDefault="00585AD9" w:rsidP="00585AD9">
      <w:pPr>
        <w:jc w:val="both"/>
      </w:pPr>
      <w:r>
        <w:tab/>
        <w:t>Atkreipiamas dėmesys, kad  daugelis Programos priemonių yra finansuojamos iš Kelių priežiūros ir plėtros programos lėšų, tačiau tvirtinant Programos įgyvendinimo priemones nebuvo tinkamai įtvirtintos visos priemonės (</w:t>
      </w:r>
      <w:r>
        <w:rPr>
          <w:i/>
          <w:iCs/>
        </w:rPr>
        <w:t>lėšos naudojamos išskirtinai Susisiekimo ministerijai pavestų priemonių vykdymui ir neskirtos nė vienai priemonei, už kurios įvykdymą atsakingas Policijos departamentas</w:t>
      </w:r>
      <w:r>
        <w:t xml:space="preserve">). Neįgyvendinus Programos priemonių, mažai tikėtinas saugaus eismo padėties gerinimas šalyje. Parengtas Programos priemonių plano pakeitimo projektas, kurį Lietuvos Respublikos Vyriausybei patvirtinus, Programos priemonės, pavestos vykdyti Policijos departamentui, būtų finansuojamos iš Kelių priežiūros ir plėtros programos lėšų. </w:t>
      </w:r>
    </w:p>
    <w:p w:rsidR="00585AD9" w:rsidRDefault="00585AD9" w:rsidP="00585AD9">
      <w:pPr>
        <w:jc w:val="both"/>
      </w:pPr>
      <w:r>
        <w:tab/>
        <w:t>Lietuvos Respublikos Susiekimo ministerija 2006 03 21 raštu Nr. 2-14-1-1183 "Dėl apsvaigusių nuo alkoholio, narkotinių, psichotropinių ir kitų psichiką veikiančių medžiagų asmenų, vairuojančių transporto priemones" atsakė, kad ypač didelį nerimą Lietuvos keliuose kelia neblaivūs vairuotojai. 2001-2005 m. laikotarpiu dėl neblaivių vairuotojų kaltės žuvo 421 eismo dalyvis, dar 5433 buvo sužeisti. 2004 m. išaiškinti 27 116 vairuotojai, vairavę transporto priemones apsvaigę nuo alkoholio ar narkotinių medžiagų, 2005 m. išaiškinti 28 927  tokie vairuotojai, t.y. 6,2 proc. daugiau nei 2004 m. Kai kurios sveikatos apsaugos įstaigos atsisako atlikti apsvaigimo nuo alkoholio testus, nors už tai joms yra sumokama.</w:t>
      </w:r>
    </w:p>
    <w:p w:rsidR="00585AD9" w:rsidRDefault="00585AD9" w:rsidP="00585AD9">
      <w:pPr>
        <w:jc w:val="both"/>
      </w:pPr>
      <w:r>
        <w:tab/>
        <w:t>2005 m. Lietuvoje  įvyko 6 790 eismo įvykiai (6,8 proc. daugiau nei 2004 m.), kurių metu 760 žmonių žuvo ir 8497 buvo sužeisti (atitinkamai 1,1 proc. ir 8,1 proc. daugiau nei 2004 m.).</w:t>
      </w:r>
    </w:p>
    <w:p w:rsidR="00585AD9" w:rsidRDefault="00585AD9" w:rsidP="00585AD9">
      <w:pPr>
        <w:jc w:val="both"/>
      </w:pPr>
      <w:r>
        <w:tab/>
        <w:t xml:space="preserve">2005 m. lyginant su 2004 m. pastebimai pablogėjo šie rodikliai: </w:t>
      </w:r>
    </w:p>
    <w:p w:rsidR="00585AD9" w:rsidRDefault="00585AD9" w:rsidP="00585AD9">
      <w:pPr>
        <w:ind w:firstLine="720"/>
        <w:jc w:val="both"/>
      </w:pPr>
      <w:r>
        <w:t>1) eismo įvykių dėl neblaivių lengvųjų automobilių vairuotojų kaltės, kuriuose žuvo žmonės, padidėjo 20,8 proc.;</w:t>
      </w:r>
    </w:p>
    <w:p w:rsidR="00585AD9" w:rsidRDefault="00585AD9" w:rsidP="00585AD9">
      <w:pPr>
        <w:ind w:firstLine="720"/>
        <w:jc w:val="both"/>
      </w:pPr>
      <w:r>
        <w:t>2) įvykių , kurių metu žuvo vaikai, padidėjo 46 proc.;</w:t>
      </w:r>
    </w:p>
    <w:p w:rsidR="00585AD9" w:rsidRDefault="00585AD9" w:rsidP="00585AD9">
      <w:pPr>
        <w:ind w:firstLine="720"/>
        <w:jc w:val="both"/>
      </w:pPr>
      <w:r>
        <w:t>3) įvykių dėl neturinčių teisės vairuoti asmenų kaltės, kuriuose žuvo žmonės, padidėjo 25 proc.;</w:t>
      </w:r>
    </w:p>
    <w:p w:rsidR="00585AD9" w:rsidRDefault="00585AD9" w:rsidP="00585AD9">
      <w:pPr>
        <w:ind w:firstLine="720"/>
        <w:jc w:val="both"/>
      </w:pPr>
      <w:r>
        <w:t>4) įvykių dėl neturinčių teisės vairuoti neblaivių asmenų kaltės, kuriuose žuvo žmonės, padidėjo 54 proc.;</w:t>
      </w:r>
    </w:p>
    <w:p w:rsidR="00585AD9" w:rsidRDefault="00585AD9" w:rsidP="00585AD9">
      <w:pPr>
        <w:ind w:firstLine="720"/>
        <w:jc w:val="both"/>
      </w:pPr>
      <w:r>
        <w:t>5) eismo įvykių dėl neturinčių teisės vairuoti neblaivių asmenų kaltės, kuriuose žuvo žmonės, padidėjo 44,4 proc.</w:t>
      </w:r>
    </w:p>
    <w:p w:rsidR="00585AD9" w:rsidRDefault="00585AD9" w:rsidP="00585AD9">
      <w:pPr>
        <w:jc w:val="both"/>
      </w:pPr>
      <w:r>
        <w:tab/>
        <w:t>Žuvusiųjų skaičius gerokai išaugo Klaipėdos (25,4 proc.), Alytaus (35,5 proc.) ir Utenos (52,5 proc.) apskrityse.</w:t>
      </w:r>
    </w:p>
    <w:p w:rsidR="00585AD9" w:rsidRDefault="00585AD9" w:rsidP="00585AD9">
      <w:pPr>
        <w:jc w:val="both"/>
      </w:pPr>
      <w:r>
        <w:tab/>
        <w:t xml:space="preserve">Rašte nurodyta, kas išanalizavus eismo įvykių suvestines galima teigti, kad pagrindinės skaudžių nelaimių priežastys yra šios: </w:t>
      </w:r>
    </w:p>
    <w:p w:rsidR="00585AD9" w:rsidRDefault="00585AD9" w:rsidP="00585AD9">
      <w:pPr>
        <w:ind w:firstLine="720"/>
        <w:jc w:val="both"/>
      </w:pPr>
      <w:r>
        <w:t>1) leistino greičio viršijimas;</w:t>
      </w:r>
    </w:p>
    <w:p w:rsidR="00585AD9" w:rsidRDefault="00585AD9" w:rsidP="00585AD9">
      <w:pPr>
        <w:ind w:firstLine="720"/>
        <w:jc w:val="both"/>
      </w:pPr>
      <w:r>
        <w:t>2)vairavimas apsvaigus nuo alkoholio;</w:t>
      </w:r>
    </w:p>
    <w:p w:rsidR="00585AD9" w:rsidRDefault="00585AD9" w:rsidP="00585AD9">
      <w:pPr>
        <w:ind w:firstLine="720"/>
        <w:jc w:val="both"/>
      </w:pPr>
      <w:r>
        <w:t>3) vairavimas neturint teisės vairuoti;</w:t>
      </w:r>
    </w:p>
    <w:p w:rsidR="00585AD9" w:rsidRDefault="00585AD9" w:rsidP="00585AD9">
      <w:pPr>
        <w:ind w:firstLine="720"/>
        <w:jc w:val="both"/>
      </w:pPr>
      <w:r>
        <w:t>4) saugos diržų nenaudojimas.</w:t>
      </w:r>
    </w:p>
    <w:p w:rsidR="00585AD9" w:rsidRDefault="00585AD9" w:rsidP="00585AD9">
      <w:pPr>
        <w:jc w:val="both"/>
      </w:pPr>
      <w:r>
        <w:tab/>
        <w:t>Parengta ir patvirtinta Valstybinę saugaus eismo automobilių keliais 2005 -2010 m. programa, kurios paskirtis - sudaryti kryptingo ir ilgalaikio saugaus eismo gerinimo sąlygas, numatyti ir įgyvendinti atitinkamas priemones, padėsiančias sumažinti avaringumą keliuose, kad eismo sauga keliuose būtų pasiekta ne mažinant žmonių judėjimo laisvę, bet padarant ją saugesnę.</w:t>
      </w:r>
    </w:p>
    <w:p w:rsidR="00585AD9" w:rsidRDefault="00585AD9" w:rsidP="00585AD9">
      <w:pPr>
        <w:jc w:val="both"/>
      </w:pPr>
      <w:r>
        <w:tab/>
        <w:t>Programos strateginis tikslas - siekti iki 2010 metų perpus sumažinti žuvusių eismo įvykiuose skaičių. Programoje nustatyti aiškūs uždaviniai tikslams įgyvendinti, taip pat nustatytos konkrečios saugaus eismo gerinimo sritys:</w:t>
      </w:r>
    </w:p>
    <w:p w:rsidR="00585AD9" w:rsidRDefault="00585AD9" w:rsidP="00585AD9">
      <w:pPr>
        <w:ind w:firstLine="720"/>
        <w:jc w:val="both"/>
      </w:pPr>
      <w:r>
        <w:t>1) eismo dalyvių elgsena;</w:t>
      </w:r>
    </w:p>
    <w:p w:rsidR="00585AD9" w:rsidRDefault="00585AD9" w:rsidP="00585AD9">
      <w:pPr>
        <w:ind w:firstLine="720"/>
        <w:jc w:val="both"/>
      </w:pPr>
      <w:r>
        <w:t>2) kelių infrastruktūros tobulinimas;</w:t>
      </w:r>
    </w:p>
    <w:p w:rsidR="00585AD9" w:rsidRDefault="00585AD9" w:rsidP="00585AD9">
      <w:pPr>
        <w:ind w:firstLine="720"/>
        <w:jc w:val="both"/>
      </w:pPr>
      <w:r>
        <w:t>3) įstatyminės bazės tobulinimas.</w:t>
      </w:r>
    </w:p>
    <w:p w:rsidR="00585AD9" w:rsidRDefault="00585AD9" w:rsidP="00585AD9">
      <w:pPr>
        <w:jc w:val="both"/>
      </w:pPr>
      <w:r>
        <w:tab/>
        <w:t xml:space="preserve">Įgyvendinant Programą 2005 m. spalio 17 d. LR susisiekimo ministro įsakymu Nr. 3-454 "Dėl Valstybinės saugaus eismo automobilių keliais 2005-2010 m. programos  Susisiekimo ministerijos 2005 m. įgyvendinamų priemonių ir už priemonių įgyvendinimą atsakingų vykdytojų sąrašo patvirtinimo" buvo patvirtintos saugaus eismo gerinimo priemonės (2005 m. gruodžio 29 d. įsakymo Nr. 3-594 redakcija). Buvo organizuotas 35 tūkst. antgalių alkoholio matavimo prietaisams bei atšvaitų įsigijimas ir perdavimas Lietuvos policijos Eismo priežiūros tarnybai. Dalis atšvaitų perduota mokykloms, visuomeninėms organizacijoms. Už priemonių įgyvendinimą paskirti atsakingi vykdytojai. Numatyta parengti ir transliuoti socialinius klipus, publikuoti socialinę reklamą spaudoje. </w:t>
      </w:r>
      <w:r>
        <w:lastRenderedPageBreak/>
        <w:t>Šalia degalinių numatyta demonstruoti informacinius skydus, išleisti leidinį, kuriame būtų aiškinama apie alkoholio ir narkotikų įtaka vairuotojo veiksmams. Buvo organizuota jubiliejinė konferencija "Saugokime jaunas gyvybes keliuose", savivaldybių konkursas "Saugus eismas- visų rūpestis" ir Susisiekimo ministerijos seminaras tema "Kartu kurkime saugesnį eismą".</w:t>
      </w:r>
    </w:p>
    <w:p w:rsidR="00585AD9" w:rsidRDefault="00585AD9" w:rsidP="00585AD9">
      <w:pPr>
        <w:jc w:val="both"/>
      </w:pPr>
      <w:r>
        <w:tab/>
        <w:t>Siekiant pagerinti bendrą saugaus eismo situaciją, 2006 m., be jau minėtų priemonių, numatoma įgyvendinti įvairias saugaus eismo gerinimo švietėjiškas priemones, numatytas Valstybinėje saugaus eismo automobilių keliais 2005-2010 metų programoje (saugaus eismo kampanijas prieš greičio pažeidėjus, informacinės saugaus eismo kampanijos, skatinančios naudotis saugos diržais ir drabužių  su šviesą atspindinčiomis medžiagomis dėvėjimą ir kt.</w:t>
      </w:r>
    </w:p>
    <w:p w:rsidR="00585AD9" w:rsidRDefault="00585AD9" w:rsidP="00585AD9">
      <w:pPr>
        <w:jc w:val="both"/>
      </w:pPr>
      <w:r>
        <w:tab/>
        <w:t xml:space="preserve">206  05 12 gautas LR Seimo Pirmininkui V.Muntianui adresuotas  ir L. e. Seimo kanclerio pareigas J.Mileriaus Komisijai persiųstas Lietuvos vaikų draugų asociacijos (AMADE-Lietuva) laiškas "Dėl nepilnamečių kvaišalų vartojimo prevencijos", kuriame A.M.A.D.E.  - Lietuva organizacija įsijungdama į narkotikų vartojimo prevencijos stiprinimo judėjimą siūlo stiprinti pačių nepilnamečių atsakomybę už savo veiksmus ir poelgius. Siūloma priimti įstatyminę nuostatą, kad pirmą kartą užfiksavus atvejį, kad nepilnametis yra vartojęs narkotikus, įspėjami nepilnamečio tėvai (globėjai), antrą kartą užfiksavus, kad nepilnametis vartojo narkotikus ir alkoholį - atimti jam teisę gauti vairuotojo pažymėjimą iki 21 metų. </w:t>
      </w:r>
    </w:p>
    <w:p w:rsidR="00585AD9" w:rsidRDefault="00585AD9" w:rsidP="00585AD9">
      <w:pPr>
        <w:ind w:firstLine="720"/>
        <w:jc w:val="both"/>
      </w:pPr>
      <w:r>
        <w:t>A.M.A.D.E.  - Lietuva organizacijos nariai mano, kad, jaunų žmonių subkultūroje teisė vairuoti automobilį ir turėti vairuotojo pažymėjimą yra labai reikšminga jų identitetui. Galimybė netekti šios teisės, privers susimąstyti ne vieną jauną žmogų, nusprendžiant vartoti svaiginamuosius gėrimus ar kitas svaiginančias medžiagas.</w:t>
      </w:r>
    </w:p>
    <w:p w:rsidR="00585AD9" w:rsidRDefault="00585AD9" w:rsidP="00585AD9">
      <w:pPr>
        <w:ind w:firstLine="720"/>
        <w:jc w:val="both"/>
      </w:pPr>
      <w:r>
        <w:t>Tyrimu nustatyta, kad vadovaudamasi Lietuvos Respublikos saugaus eismo automobilių keliais įstatymo (Žin., 2000, Nr. 92-2883; 2003, Nr. 70-3166) 12 straipsnio 6 dalimi (asmeniui, iš kurio pagal įstatymus teisė vairuoti transporto priemones buvo atimta dėl teisės pažeidimo padarymo esant neblaiviam arba apsvaigusiam nuo narkotikų, vaistų ar kitų svaigiųjų medžiagų, o šios teisės atėmimo laikas baigėsi, vairuotojo pažymėjimas grąžinamas Vyriausybės ar jos įgaliotos institucijos nustatyta tvarka po medicininės ir švietėjiškos atestacijos), Lietuvos Respublikos administracinių teisės pažeidimų kodekso (Žin., 1985, Nr. 1-1; 1999, Nr. 101-2906; 2000, Nr. 22-552; 2004, Nr. 25-763) 30</w:t>
      </w:r>
      <w:r>
        <w:rPr>
          <w:vertAlign w:val="superscript"/>
        </w:rPr>
        <w:t>1</w:t>
      </w:r>
      <w:r>
        <w:t xml:space="preserve"> straipsnio 2 dalimi (specialiosios teisės atėmimas, numatytas sankcijoje už teisės pažeidimą, padarytą neblaivaus arba apsvaigusio nuo narkotikų, vaistų ar kitų svaigiųjų medžiagų asmens, gali būti neskiriamas tik tuo atveju, kai yra gaunama Vyriausybės įgaliotų atlikti medicininę ir švietėjišką atestaciją institucijų pažyma), 329 straipsniu ir 330 straipsnio 3 dalimi, Lietuvos Respublikos Vyriausybė</w:t>
      </w:r>
      <w:r>
        <w:rPr>
          <w:spacing w:val="80"/>
        </w:rPr>
        <w:t xml:space="preserve"> </w:t>
      </w:r>
      <w:r>
        <w:t>2004 m. sausio 8 d. Nr. nutarimu 20 „Dėl Paskaitų kurso apie alkoholio ir narkotikų žalą žmogaus sveikatai taisyklių patvirtinimo“ (Žin., 2004, Nr. 8-183; 133-4814) patvirtino Paskaitų kurso apie alkoholio ir narkotikų žalą žmogaus sveikatai taisykles.</w:t>
      </w:r>
    </w:p>
    <w:p w:rsidR="00585AD9" w:rsidRDefault="00585AD9" w:rsidP="00585AD9">
      <w:pPr>
        <w:ind w:firstLine="720"/>
        <w:jc w:val="both"/>
      </w:pPr>
      <w:r>
        <w:t>Minėtos Taisyklės numato, kad Sveikatos priežiūros įstaigos ir kiti juridiniai asmenys, organizuojantys asmenų mokymą apie alkoholio ir narkotikų žalą žmogaus sveikatai, informuoja visuomenę, Vidaus reikalų ministerijos, Susisiekimo ministerijos, Aplinkos ministerijos valdymo sričių įstaigas, savivaldybių gydytojus.</w:t>
      </w:r>
    </w:p>
    <w:p w:rsidR="00585AD9" w:rsidRDefault="00585AD9" w:rsidP="00585AD9">
      <w:pPr>
        <w:ind w:firstLine="720"/>
        <w:jc w:val="both"/>
      </w:pPr>
      <w:r>
        <w:t xml:space="preserve">Paskaitų kursą apie alkoholio ir narkotikų žalą žmogaus sveikatai privalo išklausyti asmenys, iš kurių pagal Lietuvos Respublikos įstatymus teisė vairuoti transporto priemonę, teisė skraidyti orlaivio įgulos nariu, atlikti orlaivių techninę priežiūrą, dirbti skrydžių vadovu, teisė medžioti arba žvejoti, teisė vairuoti upių ir mažuosius laivus atimta dėl teisės pažeidimo padarymo esant neblaiviam arba apsvaigusiam nuo narkotikų, vaistų ar kitų svaigiųjų medžiagų. </w:t>
      </w:r>
    </w:p>
    <w:p w:rsidR="00585AD9" w:rsidRDefault="00585AD9" w:rsidP="00585AD9">
      <w:pPr>
        <w:ind w:firstLine="720"/>
        <w:jc w:val="both"/>
        <w:rPr>
          <w:b/>
        </w:rPr>
      </w:pPr>
      <w:r>
        <w:t>Šių paskaitų kursą gali išklausyti asmenys, iš kurių pagal Lietuvos Respublikos įstatymus specialioji teisė gali būti atimta dėl teisės pažeidimo padarymo esant neblaiviam arba apsvaigusiam nuo narkotikų, vaistų ar kitų svaigiųjų medžiagų, taip pat asmenys, iš kurių pagal Lietuvos Respublikos įstatymus specialioji teisė atimta dėl teisės pažeidimo padarymo esant neblaiviam arba apsvaigusiam nuo narkotikų, vaistų ar kitų svaigiųjų medžiagų, tačiau dar nėra pasibaigęs specialiosios teisės atėmimo laikas.</w:t>
      </w:r>
      <w:r>
        <w:rPr>
          <w:b/>
        </w:rPr>
        <w:t xml:space="preserve"> </w:t>
      </w:r>
    </w:p>
    <w:p w:rsidR="00585AD9" w:rsidRDefault="00585AD9" w:rsidP="00585AD9">
      <w:pPr>
        <w:ind w:firstLine="720"/>
        <w:jc w:val="both"/>
      </w:pPr>
      <w:r>
        <w:rPr>
          <w:bCs/>
        </w:rPr>
        <w:t>Narkomanijos prevencijos komisija</w:t>
      </w:r>
      <w:r>
        <w:t xml:space="preserve"> 2006 02 06 Nr. 293-S- 7 "Dėl informacijos pateikimo" kreipėsi į Sveikatos apsaugos ministrą prašydama pateikti  informaciją, kiek asmenų, kurie privalo išklausyti paskaitų kursą apie alkoholio ir narkotikų žalą žmogaus sveikatai  2004 ir 2005 m. lankė bei baigė kursus ir gavo sveikatos žinių pažymėjimus Sveikatos apsaugos ministerijos nustatyta tvarka ir iš kurių pagal Lietuvos Respublikos įstatymus teisė vairuoti transporto priemonę, teisė skraidyti orlaivio įgulos nariu, atlikti orlaivių techninę priežiūrą, dirbti skrydžių vadovu, teisė medžioti arba </w:t>
      </w:r>
      <w:r>
        <w:lastRenderedPageBreak/>
        <w:t>žvejoti, teisė vairuoti upių ir mažuosius laivus atimta dėl teisės pažeidimo padarymo esant neblaiviam arba apsvaigusiam nuo narkotikų, vaistų ar kitų svaigiųjų medžiagų. Kartu paprašė pateikti informaciją kiek kartų 2005 m. Sveikatos apsaugos ministerija  arba jos įgaliota institucija tikrino mokymo procesą ir kokybę.</w:t>
      </w:r>
    </w:p>
    <w:p w:rsidR="00585AD9" w:rsidRDefault="00585AD9" w:rsidP="00585AD9">
      <w:pPr>
        <w:jc w:val="both"/>
      </w:pPr>
      <w:r>
        <w:rPr>
          <w:b/>
        </w:rPr>
        <w:tab/>
      </w:r>
      <w:r>
        <w:rPr>
          <w:bCs/>
        </w:rPr>
        <w:t>Sveikatos apsaugos ministras</w:t>
      </w:r>
      <w:r>
        <w:t xml:space="preserve"> 2006 02 24 raštu Nr. 10-(11.1-19)-995 "Dėl informacijos pateikimo" informavo, kad 2004 m. mokymo kursus apie alkoholio ir narkotikų žalą žmogaus sveikatai baigė 6 273 asmenys, 2005 m. - 7 365 asmenys. </w:t>
      </w:r>
    </w:p>
    <w:p w:rsidR="00585AD9" w:rsidRDefault="00585AD9" w:rsidP="00585AD9">
      <w:pPr>
        <w:jc w:val="both"/>
      </w:pPr>
      <w:r>
        <w:tab/>
        <w:t>Visuomenės sveikatos ugdymo centras, vadovaudamasis Paskaitų kurso apie alkoholio ir narkotikų žalą žmogaus sveikatai taisyklėmis bei Sertifikatų teikti privalomojo sveikatos mokymo paslaugas išdavimo, perregistravimo, jų galiojimo sustabdymo, panaikinimo ir atnaujinimo tvarka, 2004-2005 m. išdavė fiziniams asmenims 185 sertifikatus, suteikiančius teisę užsiimti privalomuoju sveikatos mokymu apie alkoholio ir narkotikų žalą žmogaus sveikatai.</w:t>
      </w:r>
    </w:p>
    <w:p w:rsidR="00585AD9" w:rsidRDefault="00585AD9" w:rsidP="00585AD9">
      <w:pPr>
        <w:jc w:val="both"/>
      </w:pPr>
      <w:r>
        <w:tab/>
        <w:t xml:space="preserve">Juridiniams asmenims, siekiantiems verstis privalomojo sveikatos mokymo paslaugų teikimu, licencijas išduoda Valstybinė visuomenės sveikatos priežiūros tarnyba prie Sveikatos apsaugos ministerijos. Iš 56 juridinių asmenų, licencijuotų privalomam sveikatos mokymui, mokymo apie alkoholio ir narkotikų žalą žmogaus sveikatai paslaugas gali teikti 34 privalomajam sveikatos mokymui licencijuoti juridiniai asmenys. </w:t>
      </w:r>
    </w:p>
    <w:p w:rsidR="00585AD9" w:rsidRDefault="00585AD9" w:rsidP="00585AD9">
      <w:pPr>
        <w:jc w:val="both"/>
      </w:pPr>
      <w:r>
        <w:tab/>
        <w:t xml:space="preserve">Privalomojo sveikatos mokymo apie alkoholio ir narkotikų žalą žmogaus sveikatai organizavimą ir kokybę kontroliuoja Visuomenės sveikatos ugdymo centras. Įgyvendinant Visuomenės sveikatos ugdymo centro 2005 m. veiklos plano 2.6 priemonę (gerinti privalomojo sveikatos mokymo kokybę), 2005 m. Visuomenės sveikatos ugdymo centras patikrino 4 įstaigas teikiančias privalomojo sveikatos mokymo apie alkoholio ir narkotikų žalą žmogaus sveikatai paslaugas.    </w:t>
      </w:r>
    </w:p>
    <w:p w:rsidR="00585AD9" w:rsidRDefault="00585AD9" w:rsidP="00585AD9">
      <w:pPr>
        <w:jc w:val="both"/>
      </w:pPr>
      <w:r>
        <w:tab/>
        <w:t xml:space="preserve">Susipažinus su LR susisiekimo ministerijos </w:t>
      </w:r>
      <w:r>
        <w:rPr>
          <w:bCs/>
        </w:rPr>
        <w:t>Saugaus eismo komisijos</w:t>
      </w:r>
      <w:r>
        <w:t xml:space="preserve"> posėdžio protokolais (2005 08 05 Nr. SK -1 ir 2006 01 25 Nr. SK-1) matyti, kad Saugaus eismo komisija 2005 m. nagrinėjo  Saugaus eismo komisijos 2004 m. gruodžio 21 d. posėdžio nutarimų vykdymo, Valstybinės saugaus eismo automobilių keliais 2005-2010 m. programos įgyvendinimo 2005 m. ir  apskričių viršininkų administracijų bei savivaldybių veiklą gerinant saugų eismą klausimus. Taip pat buvo nagrinėjamas Kelių eismo taisyklių pakeitimų klausimas. Svarstyta saugaus eismo situacija Lietuvoje 2005 m. komisija pažymėjo, kad eismo įvykių kitimo dinamikai didelės įtakos turėjo spartus transporto priemonių bei eismo intensyvumo augimas. 2005 m. registruotų transporto priemonių skaičius išaugo 9,5 proc. ir pasiekė didžiausią transporto priemonių skaičių (1 789 657) per visą Lietuvos nepriklausomybės laikotarpį. Eismo intensyvumas valstybinės reikšmės keliuose 2005 m. išaugo apie 8 proc.  Konstatuota, kad nepavyko sumažinti žuvusiųjų skaičiaus. </w:t>
      </w:r>
    </w:p>
    <w:p w:rsidR="00585AD9" w:rsidRDefault="00585AD9" w:rsidP="00585AD9">
      <w:pPr>
        <w:jc w:val="both"/>
      </w:pPr>
      <w:r>
        <w:tab/>
        <w:t xml:space="preserve">Didžiausios įtakos tam turėjo: </w:t>
      </w:r>
    </w:p>
    <w:p w:rsidR="00585AD9" w:rsidRDefault="00585AD9" w:rsidP="00585AD9">
      <w:pPr>
        <w:ind w:firstLine="720"/>
        <w:jc w:val="both"/>
      </w:pPr>
      <w:r>
        <w:t xml:space="preserve">1. </w:t>
      </w:r>
      <w:r>
        <w:rPr>
          <w:i/>
          <w:iCs/>
        </w:rPr>
        <w:t>Neblaivūs vairuotojai</w:t>
      </w:r>
      <w:r>
        <w:t>. 2005 m. dėl jų kaltės padarytų eismo įvykių skaičius išaugo 7,1 proc.</w:t>
      </w:r>
    </w:p>
    <w:p w:rsidR="00585AD9" w:rsidRDefault="00585AD9" w:rsidP="00585AD9">
      <w:pPr>
        <w:ind w:firstLine="720"/>
        <w:jc w:val="both"/>
      </w:pPr>
      <w:r>
        <w:t xml:space="preserve">2. </w:t>
      </w:r>
      <w:r>
        <w:rPr>
          <w:i/>
          <w:iCs/>
        </w:rPr>
        <w:t>Neturintys teisės vairuoti transporto priemonės vairuotojai</w:t>
      </w:r>
      <w:r>
        <w:t>. Dėl jų kaltės padarytų eismo įvykių skaičius išaugo 10,1 proc.</w:t>
      </w:r>
    </w:p>
    <w:p w:rsidR="00585AD9" w:rsidRDefault="00585AD9" w:rsidP="00585AD9">
      <w:pPr>
        <w:ind w:firstLine="720"/>
        <w:jc w:val="both"/>
      </w:pPr>
      <w:r>
        <w:t xml:space="preserve">3. </w:t>
      </w:r>
      <w:r>
        <w:rPr>
          <w:i/>
          <w:iCs/>
        </w:rPr>
        <w:t>Nesinaudojimas saugos diržais</w:t>
      </w:r>
      <w:r>
        <w:t xml:space="preserve">. 2005 m. žuvusiųjų skaičius išaugo tik vienoje eismo dalyvių grupėje t. y. keleiviai. Žuvusių keleivių skaičius išaugo 15 proc. </w:t>
      </w:r>
    </w:p>
    <w:p w:rsidR="00585AD9" w:rsidRDefault="00585AD9" w:rsidP="00585AD9">
      <w:pPr>
        <w:ind w:firstLine="720"/>
        <w:jc w:val="both"/>
      </w:pPr>
      <w:r>
        <w:t xml:space="preserve">4. </w:t>
      </w:r>
      <w:r>
        <w:rPr>
          <w:i/>
          <w:iCs/>
        </w:rPr>
        <w:t>Leistino greičio viršijimas</w:t>
      </w:r>
      <w:r>
        <w:t xml:space="preserve">. </w:t>
      </w:r>
    </w:p>
    <w:p w:rsidR="00585AD9" w:rsidRDefault="00585AD9" w:rsidP="00585AD9">
      <w:pPr>
        <w:jc w:val="both"/>
      </w:pPr>
      <w:r>
        <w:tab/>
        <w:t>Saugaus eismo komisija, atsižvelgdama į avaringumo statistinius duomenis bei įgyvendinant Valstybinės saugaus eismo automobilių keliais 2005–2010 m. programos  priemones, nutarė  efektyvinti eismo dalyvių kontrolę tose vietose, kur fiksuojami mirtini eismo įvykiai, susiję su reikalavimo prisisegti saugos diržus nepaisymu, greičio viršijimu, vairavimu esant apsvaigusiam nuo alkoholio ar narkotinių medžiagų   konstatavo  kad:</w:t>
      </w:r>
    </w:p>
    <w:p w:rsidR="00585AD9" w:rsidRDefault="00585AD9" w:rsidP="00585AD9">
      <w:pPr>
        <w:ind w:firstLine="720"/>
        <w:jc w:val="both"/>
      </w:pPr>
      <w:r>
        <w:t>1.Nepakankama eismo dalyvių kontrolė.</w:t>
      </w:r>
    </w:p>
    <w:p w:rsidR="00585AD9" w:rsidRDefault="00585AD9" w:rsidP="00585AD9">
      <w:pPr>
        <w:ind w:firstLine="720"/>
        <w:jc w:val="both"/>
      </w:pPr>
      <w:r>
        <w:t xml:space="preserve">2.Nepakankama transporto priemonių techninės būklės kontrolė. </w:t>
      </w:r>
    </w:p>
    <w:p w:rsidR="00585AD9" w:rsidRDefault="00585AD9" w:rsidP="00585AD9">
      <w:pPr>
        <w:ind w:firstLine="720"/>
        <w:jc w:val="both"/>
      </w:pPr>
      <w:r>
        <w:rPr>
          <w:bCs/>
        </w:rPr>
        <w:t>3.Nepakankamas vairuotojų mokymas bei eismo dalyvių švietimas.</w:t>
      </w:r>
      <w:r>
        <w:t xml:space="preserve"> (Moksleivius mokyti saugaus eismo pagrindų. Pagerinti vairuotojų rengimo kokybę, tobulinti vairuotojų mokymo ir egzaminavimo procesus. Papildyti Saugaus eismo automobilių keliais įstatymo 12 straipsnį punktu ir išdėstyti jį taip: „Asmeniui, pirmą kartą gaunančiam vairuotojo pažymėjimą, pažymėjimas būtų išduodamas 2 metų bandomajam laikotarpiui. Šiam laikotarpiui pasibaigus Kelių eismo taisyklių pažeidėjams vairuotojo pažymėjimas turi būti išduotas po atitinkamų egzaminų ir vėl tik 2 metams, o nepadariusiems pažeidimų – pagal nustatytą tvarką.“).</w:t>
      </w:r>
    </w:p>
    <w:p w:rsidR="00585AD9" w:rsidRDefault="00585AD9" w:rsidP="00585AD9">
      <w:pPr>
        <w:ind w:firstLine="720"/>
        <w:jc w:val="both"/>
      </w:pPr>
      <w:r>
        <w:lastRenderedPageBreak/>
        <w:t>4. Didelis „juodųjų dėmių“ skaičius magistraliniuose ir krašto keliuose. (Prieš įdiegiant kelių projektus būtina atlikti kelių saugaus eismo auditą, kurį turėtų atlikti nepriklausomi ekspertai. Siekiant sumažinti eismo įvykių dėl kelio būklės skaičių būtina atlikti esamų kelių saugaus eismo auditą.</w:t>
      </w:r>
    </w:p>
    <w:p w:rsidR="00585AD9" w:rsidRDefault="00585AD9" w:rsidP="00585AD9">
      <w:pPr>
        <w:ind w:firstLine="720"/>
        <w:jc w:val="both"/>
      </w:pPr>
      <w:r>
        <w:t>5.</w:t>
      </w:r>
      <w:r>
        <w:rPr>
          <w:b/>
        </w:rPr>
        <w:t xml:space="preserve"> </w:t>
      </w:r>
      <w:r>
        <w:rPr>
          <w:bCs/>
        </w:rPr>
        <w:t>Transporto priemonių vairavimas, esant vairuotojams neblaiviems arba apsvaigusiems nuo narkotikų, vaistų ar kitų svaigiųjų medžiagų</w:t>
      </w:r>
      <w:r>
        <w:rPr>
          <w:b/>
        </w:rPr>
        <w:t xml:space="preserve">. </w:t>
      </w:r>
      <w:r>
        <w:t>(nutarta: pakeisti ATPK 126 straipsnį, diferencijuojant ir sugriežtinant atsakomybę vairuotojams, kurie vairavo C, CE, C1, C1E, D, DE, D1, D1E ir T kategorijų transporto priemones ir traktorius bei kitokias savaeiges mašinas būdami neblaivūs arba apsvaigę nuo narkotikų, vaistų ar kitų svaigiųjų medžiagų. Pakeisti ATPK 127 straipsnio 3 dalį, sugriežtinant atsakomybę vairuotojams, kurie, būdami neblaivūs arba apsvaigę nuo narkotikų, vaistų ar kitų svaigiųjų medžiagų, padarė Kelių eismo taisyklių pažeidimą, sukėlusį nežymų kūno sužalojimą arba nulėmusį transporto priemonių ar kitokio turto sugadinimą. Pakeisti ATPK 129 straipsnį sugriežtinant atsakomybę asmenims, kurie, neturėdami teisės vairuoti transporto priemones, vairavo transporto priemones būdami neblaivūs arba apsvaigę nuo narkotikų, vaistų ar kitų svaigiųjų medžiagų ir numatant, kad už šį pažeidimą gali būti taikomas administracinis areštas nuo 20 iki 30 parų. Tokias bylas nagrinėtų ne policija, o apylinkės teismo teisėjas. Papildyti ATPK 130</w:t>
      </w:r>
      <w:r>
        <w:rPr>
          <w:vertAlign w:val="superscript"/>
        </w:rPr>
        <w:t>3</w:t>
      </w:r>
      <w:r>
        <w:t xml:space="preserve"> straipsniu, kuriame numatyti atsakomybę už pakartotinį transporto priemonės vairavimą, būdami neblaivūs arba apsvaigę nuo narkotikų, vaistų ar kitų svaigiųjų medžiagų. Už šį pažeidimą numatyti administracinį areštą ir transporto priemonės konfiskavimą. Bylas nagrinėtų teismai. Papildyti ATPK nuostata, kuria remiantis asmenims, neturėjusiems teisės vairuoti transporto priemones ir vairavusiems transporto priemones būnant neblaiviems arba apsvaigusiems nuo narkotikų, vaistų ar kitų svaigiųjų medžiagų, nebūtų suteikta galimybė tam tikrą laikotarpį įgyti teisę vairuoti transporto priemones. Papildyti ATPK 131 straipsnį 6 dalimi, kurioje būtų numatyta atsakomybė už dviračių ir mopedų vairavimą, esant neblaiviems ar apsvaigusiems nuo narkotikų, vaistų ar kitų svaigiųjų medžiagų. Papildyti ATPK 269 straipsnį 10 dalimi, numatant, kad už transporto priemonės vairavimą esant neblaiviam, apsvaigusiam nuo narkotikų, vaistų ar kitų svaigiųjų medžiagų policijos pareigūnai turi teisę priverstinai nuvežti transporto priemonę Lietuvos Respublikos Vyriausybės ar jos įgaliotos institucijos nustatyta tvarka. Pakeisti Lietuvos Respublikos Vyriausybės 1996 m. sausio 15 d. nutarimu Nr. 92 patvirtintą Transporto priemonių vairuotojų ir kitų asmenų neblaivumo (girtumo) ar apsvaigimo būsenos nustatymo tvarką, numatant galimybę policijos pareigūnams nemokamai bet kuriuo paros metu pristatyti asmenis į sveikatos priežiūros įstaigas neblaivumui (girtumui) nustatyti visų miestų (rajonų) savivaldybių centruose. Organizuoti specialius policijos reidus, kurių metu būtų tikrinamas visų arba pasirinktų vairuotojų blaivumas, apsvaigimas nuo svaigiųjų medžiagų. Visuomenės informavimo priemonėms teikti informaciją apie vairavimo esant neblaiviam arba apsvaigusiam nuo narkotikų, vaistų ar kitų svaigiųjų medžiagų žalą ir pasekmes. Numatyti lėšų policijos įstaigoms naujiems alkoholio kiekio ir apsvaigimo būklės nustatymo matuokliams įsigyti).</w:t>
      </w:r>
    </w:p>
    <w:p w:rsidR="00585AD9" w:rsidRDefault="00585AD9" w:rsidP="00585AD9">
      <w:pPr>
        <w:ind w:firstLine="720"/>
        <w:jc w:val="both"/>
      </w:pPr>
      <w:r>
        <w:t>6.</w:t>
      </w:r>
      <w:r>
        <w:rPr>
          <w:b/>
        </w:rPr>
        <w:t xml:space="preserve"> </w:t>
      </w:r>
      <w:r>
        <w:t>Nustatyto greičio nesilaikymas arba saugaus greičio nepasirinkimas.</w:t>
      </w:r>
    </w:p>
    <w:p w:rsidR="00585AD9" w:rsidRDefault="00585AD9" w:rsidP="00585AD9">
      <w:pPr>
        <w:ind w:firstLine="720"/>
        <w:jc w:val="both"/>
      </w:pPr>
      <w:r>
        <w:t>7. Nepatenkinama transporto priemonių techninė būklė.</w:t>
      </w:r>
    </w:p>
    <w:p w:rsidR="00585AD9" w:rsidRDefault="00585AD9" w:rsidP="00585AD9">
      <w:pPr>
        <w:ind w:firstLine="720"/>
        <w:jc w:val="both"/>
      </w:pPr>
      <w:r>
        <w:t>8. Nesinaudojimas saugos diržais.</w:t>
      </w:r>
    </w:p>
    <w:p w:rsidR="00585AD9" w:rsidRDefault="00585AD9" w:rsidP="00585AD9">
      <w:pPr>
        <w:ind w:firstLine="720"/>
        <w:jc w:val="both"/>
      </w:pPr>
      <w:r>
        <w:t>9. Elementarios vairavimo kultūros nesilaikymas, nepakankama vairavimo praktikos stoka.</w:t>
      </w:r>
    </w:p>
    <w:p w:rsidR="00585AD9" w:rsidRDefault="00585AD9" w:rsidP="00585AD9">
      <w:pPr>
        <w:ind w:firstLine="720"/>
        <w:jc w:val="both"/>
      </w:pPr>
      <w:r>
        <w:t>10. Kelių infrastruktūros elementų stoka ir kitos problemos.</w:t>
      </w:r>
    </w:p>
    <w:p w:rsidR="00585AD9" w:rsidRDefault="00585AD9" w:rsidP="00585AD9">
      <w:pPr>
        <w:ind w:firstLine="720"/>
        <w:jc w:val="both"/>
      </w:pPr>
      <w:r>
        <w:t>11. Motociklų, mopedų vairuotojų, dviratininkų, pėsčiųjų ir kitų eismo dalyvių daromi pažeidimai.</w:t>
      </w:r>
    </w:p>
    <w:p w:rsidR="00585AD9" w:rsidRDefault="00585AD9" w:rsidP="00585AD9">
      <w:pPr>
        <w:ind w:firstLine="720"/>
        <w:jc w:val="both"/>
      </w:pPr>
      <w:r>
        <w:t>12. Vairavimo ir poilsio režimo tvarkos nesilaikymas.</w:t>
      </w:r>
    </w:p>
    <w:p w:rsidR="00585AD9" w:rsidRDefault="00585AD9" w:rsidP="00585AD9">
      <w:pPr>
        <w:ind w:firstLine="720"/>
        <w:jc w:val="both"/>
      </w:pPr>
      <w:r>
        <w:t>13. Eismo priežiūros funkcijas vykdančių padalinių veiklos problemos.</w:t>
      </w:r>
    </w:p>
    <w:p w:rsidR="00585AD9" w:rsidRDefault="00585AD9" w:rsidP="00585AD9">
      <w:pPr>
        <w:jc w:val="both"/>
      </w:pPr>
      <w:r>
        <w:rPr>
          <w:b/>
        </w:rPr>
        <w:tab/>
      </w:r>
      <w:r>
        <w:t xml:space="preserve">Lietuvos Respublikos Vyriausybė patvirtintos Valstybinė saugaus eismo automobilių keliais 2005 - 2010 metų programos vykdytojai - Susisiekimo ministerija, Sveikatos apsaugos ministerija, Švietimo ir mokslo ministerija, Vidaus reikalų ministerija, Finansų ministerija,  Lietuvos automobilių kelių direkcija prie Susisiekimo ministerijos, Valstybinė kelių transporto inspekcija prie Susisiekimo ministerijos, Policijos departamentas prie Vidaus reikalų ministerijos, Priešgaisrinės apsaugos ir gelbėjimo departamentas prie Vidaus reikalų ministerijos, apskričių viršininkai, savivaldybės, kitos valstybės valdymo institucijos, mokslo įstaigos ir nevyriausybinės organizacijos. Už Programos koordinavimą atsakinga Saugaus eismo komisija, kurios pirmininkas - Susisiekimo ministerijos sekretorius. </w:t>
      </w:r>
    </w:p>
    <w:p w:rsidR="00585AD9" w:rsidRDefault="00585AD9" w:rsidP="00585AD9">
      <w:pPr>
        <w:jc w:val="both"/>
      </w:pPr>
      <w:r>
        <w:rPr>
          <w:bCs/>
        </w:rPr>
        <w:tab/>
        <w:t>Susisiekimo ministerijos 2006 03 21 rašte Nr. 2-14-1-1183</w:t>
      </w:r>
      <w:r>
        <w:t xml:space="preserve">  nurodyta, kas išanalizavus eismo įvykių suvestines galima teigti, kad pagrindinės skaudžių nelaimių priežastys yra šios: </w:t>
      </w:r>
    </w:p>
    <w:p w:rsidR="00585AD9" w:rsidRDefault="00585AD9" w:rsidP="00585AD9">
      <w:pPr>
        <w:ind w:firstLine="720"/>
        <w:jc w:val="both"/>
        <w:rPr>
          <w:bCs/>
        </w:rPr>
      </w:pPr>
      <w:r>
        <w:rPr>
          <w:bCs/>
        </w:rPr>
        <w:t>1) leistino greičio viršijimas;</w:t>
      </w:r>
    </w:p>
    <w:p w:rsidR="00585AD9" w:rsidRDefault="00585AD9" w:rsidP="00585AD9">
      <w:pPr>
        <w:ind w:firstLine="720"/>
        <w:jc w:val="both"/>
        <w:rPr>
          <w:bCs/>
        </w:rPr>
      </w:pPr>
      <w:r>
        <w:rPr>
          <w:bCs/>
        </w:rPr>
        <w:lastRenderedPageBreak/>
        <w:t>2)vairavimas apsvaigus nuo alkoholio;</w:t>
      </w:r>
    </w:p>
    <w:p w:rsidR="00585AD9" w:rsidRDefault="00585AD9" w:rsidP="00585AD9">
      <w:pPr>
        <w:ind w:firstLine="720"/>
        <w:jc w:val="both"/>
        <w:rPr>
          <w:bCs/>
        </w:rPr>
      </w:pPr>
      <w:r>
        <w:rPr>
          <w:bCs/>
        </w:rPr>
        <w:t>3) vairavimas neturint teisės vairuoti;</w:t>
      </w:r>
    </w:p>
    <w:p w:rsidR="00585AD9" w:rsidRDefault="00585AD9" w:rsidP="00585AD9">
      <w:pPr>
        <w:ind w:firstLine="720"/>
        <w:jc w:val="both"/>
        <w:rPr>
          <w:bCs/>
        </w:rPr>
      </w:pPr>
      <w:r>
        <w:rPr>
          <w:bCs/>
        </w:rPr>
        <w:t>4) saugos diržų nenaudojimas.</w:t>
      </w:r>
    </w:p>
    <w:p w:rsidR="00585AD9" w:rsidRDefault="00585AD9" w:rsidP="00585AD9">
      <w:pPr>
        <w:jc w:val="both"/>
      </w:pPr>
      <w:r>
        <w:tab/>
        <w:t xml:space="preserve">Tyrimu nustatyta, kad daugelis Programos priemonių yra finansuojamos iš Kelių priežiūros ir plėtros programos lėšų, tačiau, tvirtinant Programos įgyvendinimo priemones nebuvo tinkamai įtvirtintos visos priemonės (lėšos naudojamos išskirtinai Susisiekimo ministerijai pavestų priemonių vykdymui ir neskirtos nė vienai priemonei, už kurios įvykdymą atsakingas Policijos departamentas). Lietuvos policijos eismo priežiūros tarnyba nuosavybės teisėmis neturi nė vieno patrulinio automobilio su visa įranga (šiuolaikinėmis eismo kontrolės ir kitomis technikos priemonėmis). Laikinai tokį automobilį pagal sutartį nuomoja iš Valstybės įmonės "Regitra". </w:t>
      </w:r>
    </w:p>
    <w:p w:rsidR="00585AD9" w:rsidRDefault="00585AD9" w:rsidP="00585AD9">
      <w:pPr>
        <w:ind w:firstLine="720"/>
        <w:jc w:val="both"/>
      </w:pPr>
      <w:r>
        <w:t>Atkreipiamas dėmesys į tai, kad svarstant Nacionalinės narkotikų kontrolės ir narkomanijos prevencijos 2004-2008 metų programos įgyvendinimo 2006 m. priemonių projektą,</w:t>
      </w:r>
      <w:r>
        <w:rPr>
          <w:b/>
        </w:rPr>
        <w:t xml:space="preserve"> </w:t>
      </w:r>
      <w:r>
        <w:t>Narkotikų kontrolės departamentas prie LRV, atsakydamas į Seimo Narkomanijos prevencijos komisijos 2005 06 10 raštu Nr. 293-S-140 pateiktus klausimus, informavo, kad Susisiekimo ministerijos siūlyta priemonė "1.20 rengti saugaus eismo kompanijas prieš neblaivius ir nuo narkotikų apsvaigusius vairuotojus", kuriai buvo numatyti 620 tūkst. litų,  įtraukta į Lietuvos Respublikos Vyriausybės 2005 m. liepos 8 d. nutarimu Nr. 759 patvirtintą Saugaus eismo automobilių keliais 2005-2010 m. programą (Žin., 2005, Nr. 84-3117), todėl šios priemonės Nacionalinės narkotikų kontrolės ir narkomanijos prevencijos 2004-2008 metų programos įgyvendinimo 2006 m. priemonių projekte atsisakyta.</w:t>
      </w:r>
    </w:p>
    <w:p w:rsidR="00585AD9" w:rsidRDefault="00585AD9" w:rsidP="00585AD9">
      <w:pPr>
        <w:jc w:val="both"/>
      </w:pPr>
      <w:r>
        <w:tab/>
        <w:t xml:space="preserve">Nustatyta, kad 2004 m. - 6 273 asmenys, o  2005 m. - 7 365 asmenys baigė mokymo kursus pagal patvirtintas "Dėl Paskaitų kurso apie alkoholio ir narkotikų žalą žmogaus sveikatai taisykles" apie alkoholio ir narkotikų žalą žmogaus sveikatai,  iš kurių pagal įstatymus teisė vairuoti transporto priemones buvo atimta dėl teisės pažeidimo padarymo esant neblaiviam arba apsvaigusiam nuo narkotikų, vaistų ar kitų svaigiųjų medžiagų. Tačiau, Susisiekimo ministerijos duomenimis, kai kurios sveikatos apsaugos įstaigos atsisako atlikti apsvaigimo nuo alkoholio testus, nors už tai joms yra sumokama. Palyginus su 2004 metais, 2005 metais išaiškinta mažiau vairuotojų, vairavusių  transporto priemones apsvaigus nuo narkotikų arba vaistų ar kitų svaigiųjų medžiagų. </w:t>
      </w:r>
    </w:p>
    <w:p w:rsidR="00585AD9" w:rsidRDefault="00585AD9" w:rsidP="00585AD9">
      <w:pPr>
        <w:ind w:firstLine="720"/>
        <w:jc w:val="both"/>
      </w:pPr>
      <w:r>
        <w:t xml:space="preserve">2004 m. statistika rodo, kad vis daugiau vairuotojų vairuoja transporto priemones apsvaigę nuo alkoholio ar narkotinių medžiagų  (13,8 procento daugiau nei 2003 metais). Dėl eismo įvykių priežasčių ir veiksmų, gerinančių saugaus eismo būklę pažymėta, kad "vis didesnį nerimą kelia eismo įvykiai dėl narkotikų ir kai kurių medikamentų vartojimo. Tik specialiai apmokyti pareigūnai gali atpažinti vairuotojus, apsvaigusius nuo narkotinių medžiagų." </w:t>
      </w:r>
    </w:p>
    <w:p w:rsidR="00585AD9" w:rsidRDefault="00585AD9" w:rsidP="00585AD9">
      <w:pPr>
        <w:ind w:firstLine="720"/>
        <w:jc w:val="both"/>
      </w:pPr>
      <w:r>
        <w:t>Vykdant Valstybinę saugaus eismo automobilių keliais 2005 – 2010 metų programą, Susisiekimo ministerijos  įgyvendinamoms  priemonėms 2006 metams  numatyta skirti 120 tūkst. litų.</w:t>
      </w:r>
    </w:p>
    <w:p w:rsidR="00585AD9" w:rsidRDefault="00585AD9" w:rsidP="00585AD9">
      <w:pPr>
        <w:ind w:firstLine="720"/>
        <w:jc w:val="both"/>
      </w:pPr>
      <w:r>
        <w:t xml:space="preserve">Tačiau, Policijos departamentui įvykdyti Programos priemonę “8.4.1. aprūpinti policijos įstaigų eismo priežiūros padalinius patruliniais automobiliais, kompiuteriais, eismo kontrolės priemonėmis, stebėjimo ir kitomis šiuolaikinėmis technikos priemonėmis( iš viso 140 patrulinių automobilių su visa įranga)” lėšos neskirtos. </w:t>
      </w:r>
    </w:p>
    <w:p w:rsidR="00585AD9" w:rsidRDefault="00585AD9" w:rsidP="00585AD9">
      <w:pPr>
        <w:ind w:firstLine="720"/>
        <w:jc w:val="both"/>
      </w:pPr>
      <w:r>
        <w:t>Darytina išvada :</w:t>
      </w:r>
    </w:p>
    <w:p w:rsidR="00585AD9" w:rsidRDefault="00585AD9" w:rsidP="00585AD9">
      <w:pPr>
        <w:ind w:firstLine="720"/>
        <w:jc w:val="both"/>
      </w:pPr>
      <w:r>
        <w:t xml:space="preserve">1. Iki šiol vykdytos saugaus eismo kompanijos prieš neblaivius ir nuo narkotinių medžiagų apsvaigusius vairuotojus </w:t>
      </w:r>
      <w:r>
        <w:rPr>
          <w:bCs/>
        </w:rPr>
        <w:t>buvo neefektyvios, nors nustatytos</w:t>
      </w:r>
      <w:r>
        <w:t xml:space="preserve"> skaudžių nelaimių priežastis: </w:t>
      </w:r>
      <w:r>
        <w:rPr>
          <w:b/>
        </w:rPr>
        <w:t xml:space="preserve"> </w:t>
      </w:r>
      <w:r>
        <w:rPr>
          <w:bCs/>
        </w:rPr>
        <w:t xml:space="preserve">leistino greičio viršijimas; vairavimas apsvaigus nuo alkoholio; vairavimas neturint teisės vairuoti; saugos diržų nenaudojimas. </w:t>
      </w:r>
      <w:r>
        <w:t xml:space="preserve">Lyginant su 2004 m. pastebimai pablogėjo </w:t>
      </w:r>
      <w:r>
        <w:rPr>
          <w:bCs/>
        </w:rPr>
        <w:t xml:space="preserve">situacija Lietuvos keliuose: </w:t>
      </w:r>
      <w:r>
        <w:t xml:space="preserve">2005 metais </w:t>
      </w:r>
      <w:r>
        <w:rPr>
          <w:bCs/>
        </w:rPr>
        <w:t xml:space="preserve"> </w:t>
      </w:r>
      <w:r>
        <w:t>įvyko 8 497  eismo įvykiai, kurių metu žuvo 760 žmonių, t.y. vidutiniškai  2 žūtys per dieną ir 23 sužaloti asmenys.</w:t>
      </w:r>
    </w:p>
    <w:p w:rsidR="00585AD9" w:rsidRDefault="00585AD9" w:rsidP="00585AD9">
      <w:pPr>
        <w:ind w:firstLine="720"/>
        <w:jc w:val="both"/>
      </w:pPr>
      <w:r>
        <w:t xml:space="preserve">2. 2004 metais Lietuvoje išaiškinti 139 vairuotojai, vairavę transporto priemones apsvaigę nuo narkotikų arba vaistų ar kitų svaigiųjų medžiagų, 2005 metais išaiškinti tik 105 vairuotojai,  vairavę transporto priemones apsvaigę nuo narkotikų arba vaistų ar kitų svaigiųjų medžiagų dalinai dėl to, kad  nes Policijos departamentui vykdant Valstybinę saugaus eismo automobilių keliais 2005 – 2010 metų programą,  nepakankamai skirta lėšų programos priemonėms įgyvendinti ir neatsižvelgta į esantį 1 789 657 transporto priemonių skaičių. 2006 metais paskirstant  43 mln. 705 tūkst. 200 litų iš Kelių priežiūros ir plėtros programos finansavimo lėšų rezervo valstybės reikmėms, Lietuvos Respublikos Vyriausybė 2006 05 02 nutarimu Nr. 394 “Dėl 2006 metų kelių priežiūros ir plėtros programos finansavimo lėšų rezervo valstybės reikmėms, susijusioms su keliais, finansuoti paskirstymo” (V.Ž., Nr. 50-1815) Policijos departamentui prie Vidaus reikalų ministerijos, saugaus eismo automobilių </w:t>
      </w:r>
      <w:r>
        <w:lastRenderedPageBreak/>
        <w:t>keliuose kontrolės priemonėms įsigyti numatė tik  100 tūkst. litų, nors Lietuvos policijos eismo priežiūros tarnyba nuosavybės teisėmis neturi nė vieno patrulinio automobilio su visa įranga.</w:t>
      </w:r>
    </w:p>
    <w:p w:rsidR="00585AD9" w:rsidRDefault="00585AD9" w:rsidP="00585AD9">
      <w:pPr>
        <w:jc w:val="both"/>
      </w:pPr>
      <w:r>
        <w:t xml:space="preserve"> </w:t>
      </w:r>
      <w:r>
        <w:tab/>
        <w:t xml:space="preserve">3. Vykdant Valstybinę saugaus eismo automobilių keliais 2005 – 2010 metų programą,  būtina skubiai aprūpinti policijos įstaigų eismo priežiūros padalinius patruliniais automobiliais, kompiuteriais, eismo kontrolės priemonėmis, stebėjimo ir kitomis šiuolaikinėmis technikos priemonėmis bei sudaryti galimybę  Policijos departamentui prie Vidaus reikalų ministerijos tinkamomis priemonėmis išaiškinti eismo taisyklių pažeidėjus ir vairuotojus, vairavusius  transporto priemones apsvaigus </w:t>
      </w:r>
      <w:r>
        <w:rPr>
          <w:bCs/>
        </w:rPr>
        <w:t>nuo alkoholio</w:t>
      </w:r>
      <w:r>
        <w:t xml:space="preserve"> arba nuo narkotikų arba vaistų ar kitų svaigiųjų medžiagų.  </w:t>
      </w:r>
    </w:p>
    <w:p w:rsidR="00585AD9" w:rsidRDefault="00585AD9" w:rsidP="00585AD9">
      <w:pPr>
        <w:ind w:firstLine="720"/>
        <w:jc w:val="both"/>
      </w:pPr>
      <w:r>
        <w:t xml:space="preserve"> (Žr. Parlamentinė kontrolė. Komisijos sprendimas).</w:t>
      </w:r>
    </w:p>
    <w:p w:rsidR="00585AD9" w:rsidRDefault="00585AD9" w:rsidP="00585AD9">
      <w:pPr>
        <w:ind w:firstLine="720"/>
        <w:jc w:val="center"/>
        <w:rPr>
          <w:b/>
          <w:bCs/>
        </w:rPr>
      </w:pPr>
    </w:p>
    <w:p w:rsidR="00585AD9" w:rsidRDefault="00585AD9" w:rsidP="00585AD9">
      <w:pPr>
        <w:jc w:val="center"/>
      </w:pPr>
      <w:r>
        <w:rPr>
          <w:b/>
          <w:bCs/>
        </w:rPr>
        <w:t>DĖL APSINUODIJIMŲ ALKOHOLIU, NARKOTINĖMIS, PSICHOTROPINĖMIS IR KITOMIS NUODINGOSIOMIS MEDŽIAGOMIS</w:t>
      </w:r>
    </w:p>
    <w:p w:rsidR="00585AD9" w:rsidRDefault="00585AD9" w:rsidP="00585AD9">
      <w:pPr>
        <w:jc w:val="both"/>
        <w:rPr>
          <w:u w:val="single"/>
        </w:rPr>
      </w:pPr>
    </w:p>
    <w:p w:rsidR="00585AD9" w:rsidRDefault="00585AD9" w:rsidP="00585AD9">
      <w:pPr>
        <w:jc w:val="both"/>
      </w:pPr>
      <w:r>
        <w:tab/>
        <w:t xml:space="preserve">Nacionalinės sveikatos tarybos 2004 metiniame pranešime nurodyta, kad Lietuvos sveikatos informacijos centro duomenimis, 2002 metais dėl apsinuodijimų šalyje mirė 628 asmenys.  </w:t>
      </w:r>
    </w:p>
    <w:p w:rsidR="00585AD9" w:rsidRDefault="00585AD9" w:rsidP="00585AD9">
      <w:pPr>
        <w:jc w:val="both"/>
      </w:pPr>
      <w:r>
        <w:tab/>
        <w:t xml:space="preserve">Pagal Lietuvos Respublikos Nuodingųjų medžiagų kontrolės įstatymą (V.Ž., 2001, Nr. 64-2330) informaciją apie nuodingąsias medžiagas kaupiama pavojingų cheminių medžiagų ir preparatų registre, įsteigtame Cheminių medžiagų ir preparatų įstatymo nustatyta tvarka. Informacija apie apsinuodijimus jomis kaupiama ir teikiama pagal Sveikatos apsaugos ministerijos patvirtintą nuodingųjų medžiagų sąrašą pagal jų toksiškumą. Šio sąrašo pagrindu sudaromas atitinkamas pavojingų cheminių medžiagų ir preparatų registro skyrius ir tvarkomas įstatymų ir kitų teisės aktų nustatyta tvarka. Sąrašas peržiūrimas ir tikslinamas ne rečiau kaip kartą per metus. Informaciją, susijusią su žmonių apsinuodijimais nuodingosiomis medžiagomis ir jų specifine profilaktika, iš sveikatos priežiūros įstaigų, civilinės metrikacijos įstaigų teisės aktų nustatyta tvarka kaupia ir juridiniams bei fiziniams asmenims teikia Sveikatos apsaugos ministerija arba jos įgaliota kompetentinga sveikatos priežiūros įstaiga. </w:t>
      </w:r>
    </w:p>
    <w:p w:rsidR="00585AD9" w:rsidRDefault="00585AD9" w:rsidP="00585AD9">
      <w:pPr>
        <w:ind w:firstLine="720"/>
        <w:jc w:val="both"/>
      </w:pPr>
      <w:r>
        <w:t>Narkomanijos prevencijos komisija 2006 02 06 raštu Nr. 293-S-9 “Dėl informacijos pateikimo” kreipėsi į Lietuvos sveikatos informacijos centrą su prašymu pateikti informaciją dėl sergamumo ir ligotumo priklausomybėmis 2004 ir 2005 metais Lietuvoje; dėl  2004 ir 2005 metais apsinuodijusių (medikamentais, alkoholiu ir jo surogatais, narkotikais ir kitomis medžiagomis) asmenų ( vaikų ir suaugusių) skaičiaus, jų gydymo stacionare arba apsilankymo ambulatoriniame- poliklinikiniame priėmime; kiek ir dėl kokių apsinuodijimų 2004 ir 2005 metais asmenų mirė, jų amžiaus grupė, lytis, kokia dalis dėl apsinuodijimų mirusių pacientų mirė negavę jokios medicininės pagalbos; kiek 2004 ir 2005 metais buvo su priklausomybės ligomis ( kokiomis) susijusių apsinuodijimų.</w:t>
      </w:r>
    </w:p>
    <w:p w:rsidR="00585AD9" w:rsidRDefault="00585AD9" w:rsidP="00585AD9">
      <w:pPr>
        <w:ind w:firstLine="720"/>
        <w:jc w:val="both"/>
      </w:pPr>
      <w:r>
        <w:t>Narkomanijos prevencijos komisija 2006 02 08 raštu Nr. 293-S-10 “Dėl informacijos pateikimo” paprašė Apsinuodijimų kontrolės ir informacijos biuro pateikti informaciją dėl apsinuodijimų 2004 ir 2005 metais.</w:t>
      </w:r>
    </w:p>
    <w:p w:rsidR="00585AD9" w:rsidRDefault="00585AD9" w:rsidP="00585AD9">
      <w:pPr>
        <w:ind w:firstLine="720"/>
        <w:jc w:val="both"/>
      </w:pPr>
      <w:r>
        <w:t xml:space="preserve"> Narkomanijos prevencijos komisija 2006 02 11 raštu Nr. 293-S-17 “Dėl informacijos pateikimo” kreipėsi į Sveikatos apsaugos ministrą Žilviną Padaigą,  pateikti informaciją,  kaip yra dabartiniu metu įgyvendinamas Lietuvos Respublikos Vyriausybės 2003 m. vasario 6 d. nutarimo Nr. 194 „Dėl vaiko teisių apsaugos valdymo srities priskyrimo Socialinės apsaugos ir darbo ministerijai ir kitų ministerijų kompetencijos nustatymo“ (Žin., 2003, Nr. 15-611) 2 punktas ir Lietuvos Respublikos Vyriausybės 2003 m. rugsėjo 30 d. nutarimo Nr. 1211 „Dėl Lietuvos Respublikos Seimo 2003 m. birželio 10 d. nutarimo Nr. IX-1621 „Dėl Vaiko teisių apsaugos kontrolieriaus įstaigos 2002 metų veiklos ataskaitos“ įgyvendinimo“ (Žin., 2003, Nr. 93-4221) 1.1 punktas, kuriuo Lietuvos Respublikos Vyriausybė</w:t>
      </w:r>
      <w:r>
        <w:rPr>
          <w:spacing w:val="80"/>
        </w:rPr>
        <w:t xml:space="preserve"> </w:t>
      </w:r>
      <w:r>
        <w:t xml:space="preserve">2004 m. birželio 8 d. nutarimu Nr. 695 „Dėl statistinės informacijos apie vaikus rodiklių sąrašo patvirtinimo“ (Žin., 2004, Nr. 92-3364) patvirtino statistinės informacijos apie vaikus rodiklių sąrašą ir nustatė, kad statistinė informacija apie vaikus pagal šiuo nutarimu patvirtintame sąraše nurodytus rodiklius pradedama rinkti nuo 2005 metų. </w:t>
      </w:r>
    </w:p>
    <w:p w:rsidR="00585AD9" w:rsidRDefault="00585AD9" w:rsidP="00585AD9">
      <w:pPr>
        <w:ind w:firstLine="720"/>
        <w:jc w:val="both"/>
      </w:pPr>
      <w:r>
        <w:t>Vienas iš šių rodiklių - vaikų, įrašytų į narkologinę įskaitą dėl alkoholizmo, narkomanijos, toksikomanijos, skaičius.</w:t>
      </w:r>
    </w:p>
    <w:p w:rsidR="00585AD9" w:rsidRDefault="00585AD9" w:rsidP="00585AD9">
      <w:pPr>
        <w:ind w:firstLine="720"/>
        <w:jc w:val="both"/>
      </w:pPr>
      <w:r>
        <w:t>Minėtą informaciją pavesta kaupti ir apibendrinti Statistikos departamentui prie Lietuvos Respublikos Vyriausybės.</w:t>
      </w:r>
    </w:p>
    <w:p w:rsidR="00585AD9" w:rsidRDefault="00585AD9" w:rsidP="00585AD9">
      <w:pPr>
        <w:ind w:firstLine="720"/>
        <w:jc w:val="both"/>
      </w:pPr>
      <w:r>
        <w:t xml:space="preserve">Statistikos departamentas prie Lietuvos Respublikos Vyriausybės 2006 02 09 raštu Nr. (1.7-111)-SD-221 "Dėl statistinės informacijos pateikimo" Komisiją informavo, kad informacijos apie </w:t>
      </w:r>
      <w:r>
        <w:lastRenderedPageBreak/>
        <w:t>vaikus iš Sveikatos apsaugos ministerijos dar nėra gavęs ir todėl paprašyta pateikti apibendrintą už 2005 metus statistinę informaciją apie vaikus pagal Lietuvos Respublikos Vyriausybės</w:t>
      </w:r>
      <w:r>
        <w:rPr>
          <w:spacing w:val="80"/>
        </w:rPr>
        <w:t xml:space="preserve"> </w:t>
      </w:r>
      <w:r>
        <w:t>2004 m. birželio 8 d. nutarimu Nr. 695 „Dėl statistinės informacijos apie vaikus rodiklių sąrašo patvirtinimo“ (Žin., 2004, Nr. 92-3364)  patvirtintą statistinės informacijos apie vaikus rodiklių sąrašą.</w:t>
      </w:r>
    </w:p>
    <w:p w:rsidR="00585AD9" w:rsidRDefault="00585AD9" w:rsidP="00585AD9">
      <w:pPr>
        <w:ind w:firstLine="720"/>
        <w:jc w:val="both"/>
      </w:pPr>
      <w:r>
        <w:t>Be to, Narkomanijos prevencijos komisija 2006 02 11 raštu Nr. 293-S-17 “Dėl informacijos pateikimo” kreipėsi į Valstybinio aplinkos sveikatos centrą ir paprašė pateikti informaciją kiek 2004 ir 2005 metais buvo apsinuodijusių (medikamentais, alkoholiu ir jo surogatais, narkotikais ir kitomis medžiagomis) asmenų ( vaikų ir suaugusių) skaičius, jų gydymas stacionare arba apsilankymas ambulatoriniame- poliklinikiniame priėmime; kiek ir dėl kokių apsinuodijimų 2004 ir 2005 metais asmenų mirė, jų amžiaus grupė, lytis, kokia dalis dėl apsinuodijimų mirusių pacientų mirė negavę jokios medicininės pagalbos ir kiek 2004 ir 2005 metais buvo su priklausomybės ligomis ( kokiomis) susijusių apsinuodijimų.</w:t>
      </w:r>
    </w:p>
    <w:p w:rsidR="00585AD9" w:rsidRDefault="00585AD9" w:rsidP="00585AD9">
      <w:pPr>
        <w:ind w:firstLine="720"/>
        <w:jc w:val="both"/>
      </w:pPr>
      <w:r>
        <w:t>Narkomanijos prevencijos komisija 2006 02 11 raštu Nr. 293-S-17 “Dėl informacijos pateikimo” kreipėsi į Statistikos departamento prie Lietuvos Respublikos Vyriausybės direktorių A.Šemetą dėl statistinės informacijos apie vaikus pagal Vyriausybės nutarimu patvirtintą rodiklių sąrašą, kuris numato, kad statistinė informacija apie vaikus pagal šiuo nutarimu patvirtintame sąraše nurodytus rodiklius pradedama rinkti nuo 2005 metų. Minėtą informaciją pavesta kaupti ir apibendrinti Statistikos departamentui prie Lietuvos Respublikos Vyriausybės. Vienas iš šių rodiklių - vaikų, įrašytų į narkologinę įskaitą dėl alkoholizmo, narkomanijos, toksikomanijos, skaičius.</w:t>
      </w:r>
    </w:p>
    <w:p w:rsidR="00585AD9" w:rsidRDefault="00585AD9" w:rsidP="00585AD9">
      <w:pPr>
        <w:jc w:val="both"/>
      </w:pPr>
      <w:r>
        <w:tab/>
        <w:t>Paprašyta pateikti apibendrintą informaciją dėl vaikų, įrašytų į narkologinę įskaitą dėl alkoholizmo, narkomanijos, toksikomanijos už 2004 metus ir informaciją, kiek ir dėl kokių apsinuodijimų 2004 ir 2005 metais asmenų mirė, jų amžiaus grupė, lytis.</w:t>
      </w:r>
    </w:p>
    <w:p w:rsidR="00585AD9" w:rsidRDefault="00585AD9" w:rsidP="00585AD9">
      <w:pPr>
        <w:jc w:val="both"/>
      </w:pPr>
      <w:r>
        <w:tab/>
        <w:t>Sveikatos apsaugos ministerijos Ekstremalių sveikatai situacijų centras 2006 02 20 raštu Nr. 02-126 “Dėl informacijos pateikimo” paaiškino, kad vadovaujantis Lietuvos Respublikos sveikatos apsaugos ministro 2005 m. rugpjūčio 12 d. įsakymu Nr. V-650 “Dėl Lietuvos Respublikos sveikatos apsaugos ministro 2003 m. spalio 8 d. įsakymo Nr. V-597 “Dėl informacijos, susijusios su žmonių apsinuodijimais ir jų specifine profilaktika, kaupimo ir teikimo” pakeitimo”, Ekstremalių sveikatai situacijų centro Apsinuodijimų kontrolės ir informacijos biuro specialistai visą parą teikia informaciją ir konsultacijas apsinuodijimų atvejais.</w:t>
      </w:r>
    </w:p>
    <w:p w:rsidR="00585AD9" w:rsidRDefault="00585AD9" w:rsidP="00585AD9">
      <w:pPr>
        <w:jc w:val="both"/>
      </w:pPr>
      <w:r>
        <w:tab/>
        <w:t xml:space="preserve">2004 m. į Apsinuodijimų kontrolės ir informacijos biurą (toliau- AKIB) gyventojai ir asmens sveikatos priežiūros įstaigų specialistai kreipėsi 1124 kartus. Skambučiai dėl konkretaus apsinuodijimo atvejo gydymo taktikos ar apsinuodijimą sukėlusios medžiagos poveikio sudarė 79 proc. (890 atvejų). Pvz., 227 atvejai apsinuodijus medikamentais, 85 atvejai- alkoholiu ir jo surogatais ir t.t. </w:t>
      </w:r>
    </w:p>
    <w:p w:rsidR="00585AD9" w:rsidRDefault="00585AD9" w:rsidP="00585AD9">
      <w:pPr>
        <w:ind w:firstLine="720"/>
        <w:jc w:val="both"/>
      </w:pPr>
      <w:r>
        <w:t>Apsinuodijimai narkotinėmis medžiagomis sudarė 4,6 proc. arba 41 atvejį visų klinikinių atvejų. Skambino iš Vilniaus, Kauno, Klaipėdos, Alytaus, Marijampolės, Utenos ir 2 skambučiai, kurių metu  nefiksuotos vietovės. Iš jų    26 atvejai iš Vilniaus, 6 atvejai iš Kauno, 3 – Klaipėdos ir t.t.</w:t>
      </w:r>
    </w:p>
    <w:p w:rsidR="00585AD9" w:rsidRDefault="00585AD9" w:rsidP="00585AD9">
      <w:pPr>
        <w:ind w:firstLine="720"/>
        <w:jc w:val="both"/>
      </w:pPr>
      <w:r>
        <w:t>2005 m. į  AKIB gyventojai ir asmens sveikatos priežiūros įstaigų specialistai kreipėsi 1343 kartus. Skambučiai dėl konkretaus apsinuodijimo atvejo gydymo taktikos ar apsinuodijimą sukėlusios medžiagos poveikio sudarė 75 proc. (1006 atvejai).</w:t>
      </w:r>
    </w:p>
    <w:p w:rsidR="00585AD9" w:rsidRDefault="00585AD9" w:rsidP="00585AD9">
      <w:pPr>
        <w:ind w:firstLine="720"/>
        <w:jc w:val="both"/>
      </w:pPr>
      <w:r>
        <w:t xml:space="preserve">Pvz., dėl apsinuodijimo medikamentais - 298 atvejai, 86 – alkoholis ir jo surogatai, nepatikslinta medžiaga- 64 atvejai, 45 atvejai- narkotinės medžiagos ir t.t.  </w:t>
      </w:r>
    </w:p>
    <w:p w:rsidR="00585AD9" w:rsidRDefault="00585AD9" w:rsidP="00585AD9">
      <w:pPr>
        <w:ind w:firstLine="720"/>
        <w:jc w:val="both"/>
      </w:pPr>
      <w:r>
        <w:t xml:space="preserve">Apsinuodijimai narkotinėmis medžiagomis sudarė 4,8 proc. arba 45 atvejai visų klinikinių atvejų. Skambino iš  Vilniaus, Alytaus, Kauno, Marijampolės, Klaipėdos, Šiaulių, Panevėžio, Utenos, Tauragės.  Iš jų: 17 atvejų iš Vilniaus, 5 atvejai iš Alytaus, 4 – iš Kauno ir 12 skambučių, kurių metu  nefiksuotos vietovės. </w:t>
      </w:r>
    </w:p>
    <w:p w:rsidR="00585AD9" w:rsidRDefault="00585AD9" w:rsidP="00585AD9">
      <w:pPr>
        <w:ind w:firstLine="720"/>
        <w:jc w:val="both"/>
      </w:pPr>
      <w:r>
        <w:t>Lietuvos sveikatos informacijos centras 2006 02 23 raštu Nr. 3-40 “Dėl informacijos pateikimo” Komisiją informavo, kad sergamumo ir ligotumo priklausomybėmis suvestines sąskaitas už 2005 m. Valstybinis psichikos sveikatos centras, vadovaudamasis Lietuvos Respublikos sveikatos apsaugos ministro  2003 m. sausio 13 d. Įsakymu Nr. V-16 “Dėl statistinių ataskaitos formų patvirtinimo bei Lietuvos Respublikos sveikatos apsaugos ministro 1999 m. lapkričio 29 d. Įsakymo Nr. 515 “Dėl sveikatos priežiūros įstaigų veiklos apskaitos ir atskaitomybės tvarkos” pakeitimo” (Žin., 2003, Nr. 66-3010), turi pateikti Lietuvos sveikatos informacijos centrui iki 2006 m. kovo 1 dienos, o rodiklių lenteles iki balandžio 1 dienos.</w:t>
      </w:r>
    </w:p>
    <w:p w:rsidR="00585AD9" w:rsidRDefault="00585AD9" w:rsidP="00585AD9">
      <w:pPr>
        <w:ind w:firstLine="720"/>
        <w:jc w:val="both"/>
      </w:pPr>
      <w:r>
        <w:t xml:space="preserve">Įgyvendinant informacijos, susijusios su žmonių apsinuodijimais ir jų specifine profilaktika , kaupimo ir teikimo tvarką, patvirtintą Lietuvos Respublikos sveikatos apsaugos ministro 2003 m. </w:t>
      </w:r>
      <w:r>
        <w:lastRenderedPageBreak/>
        <w:t>spalio 8 dienos įsakymu Nr. V- 597 “Dėl informacijos, susijusios su žmonių apsinuodijimais ir jų specifine profilaktika, kaupimo ir teikimo”  (Žin., 2003, Nr. 99-4459) bei vadovaudamasis Lietuvos Respublikos sveikatos apsaugos ministro 2005 m. rugpjūčio 12 dienos šio įsakymo pakeitimo įsakymu Nr. V-650 ( Žin., 2005, Nr. 101-3762), Valstybinis aplinkos sveikatos centras kaupia, analizuoja ir apibendrina gautus iš visuomenės sveikatos centrų duomenis apie apsinuodijimus.</w:t>
      </w:r>
    </w:p>
    <w:p w:rsidR="00585AD9" w:rsidRDefault="00585AD9" w:rsidP="00585AD9">
      <w:pPr>
        <w:ind w:firstLine="720"/>
        <w:jc w:val="both"/>
      </w:pPr>
      <w:r>
        <w:t>Lietuvos sveikatos informacijos centras, vadovaudamasis Lietuvos Respublikos sveikatos apsaugos ministro 1999 m. lapkričio 29 dienos įsakymo Nr. 515 “Dėl sveikatos priežiūros įstaigų veiklos apskaitos ir atskaitomybės tvarkos” (Žin., 1999, Nr. 103- 2972) bei Lietuvos Respublikos sveikatos apsaugos ministro 2003 m. sausio 13 d. Įsakymu Nr. V- 16 “Dėl statistinių ataskaitos formų patvirtinimo bei Lietuvos Respublikos sveikatos apsaugos ministro 1999 m. lapkričio 29 d. Įsakymo Nr. 515 “Dėl sveikatos priežiūros įstaigų veiklos  apskaitos ir atskaitomybės tvarkos” pakeitimo” (Žin., 2003, Nr. 66-3010) kartu su kitais duomenimis surenka duomenis apie apsinuodijimus iš ambulatorinę ir stacionarinę pagalbą teikiančių asmens sveikatos priežiūros įstaigų už praėjusius metus, juos apdoroja ir vykdydamas Oficialiąją Statistikos darbų programą einamųjų metų balandžio mėn. pateikia Statistikos departamentui prie Lietuvos Respublikos Vyriausybės.</w:t>
      </w:r>
    </w:p>
    <w:p w:rsidR="00585AD9" w:rsidRDefault="00585AD9" w:rsidP="00585AD9">
      <w:pPr>
        <w:ind w:firstLine="720"/>
        <w:jc w:val="both"/>
      </w:pPr>
      <w:r>
        <w:t>Valstybinio psichikos sveikatos centro duomenimis 2004 m. sergamumas ir ligotumas priklausomybėmis Lietuvoje užregistruotas pirmą kartą priklausomybėmis susirgusių skaičius (sergamumas)</w:t>
      </w:r>
      <w:r>
        <w:rPr>
          <w:b/>
          <w:bCs/>
        </w:rPr>
        <w:t xml:space="preserve"> </w:t>
      </w:r>
      <w:r>
        <w:t xml:space="preserve"> buvo 2632 atvejais. Iš jų: psichikos ir elgesio sutrikimai vartojant alkoholį –užregistruota 2208 atvejai, psichikos ir elgesio sutrikimai vartojant narkotikus ir psichoaktyviąsias medžiagas – užregistruota 424</w:t>
      </w:r>
      <w:r>
        <w:rPr>
          <w:b/>
          <w:bCs/>
        </w:rPr>
        <w:t xml:space="preserve"> </w:t>
      </w:r>
      <w:r>
        <w:t xml:space="preserve">atvejais. Sergančiųjų priklausomybėmis metų pabaigoje skaičius (ligotumas) užregistruota  68 653 atvejais. Iš jų: psichikos ir elgesio sutrikimai vartojant alkoholį – užregistruota 63 642 atvejais, psichikos ir elgesio sutrikimai vartojant narkotikus ir psichoaktyviąsias medžiagas – užregistruota  5011 atvejais. </w:t>
      </w:r>
    </w:p>
    <w:p w:rsidR="00585AD9" w:rsidRDefault="00585AD9" w:rsidP="00585AD9">
      <w:pPr>
        <w:ind w:firstLine="720"/>
        <w:jc w:val="both"/>
      </w:pPr>
      <w:r>
        <w:t>Valstybinio psichikos sveikatos centro duomenimis 2005 m. sergamumas ir ligotumas priklausomybėmis Lietuvoje užregistruoti pirmą kartą priklausomybėmis susirgusių skaičius (sergamumas)</w:t>
      </w:r>
      <w:r>
        <w:rPr>
          <w:b/>
          <w:bCs/>
        </w:rPr>
        <w:t xml:space="preserve"> </w:t>
      </w:r>
      <w:r>
        <w:t xml:space="preserve"> buvo 3255 atvejais. Iš jų: psichikos ir elgesio sutrikimai vartojant alkoholį –užregistruota 2906 atvejais, psichikos ir elgesio sutrikimai vartojant narkotikus ir psichoaktyviąsias medžiagas – užregistruota  349 atvejais. Sergančiųjų priklausomybėmis metų pabaigoje skaičius (ligotumas) užregistruota  68 701 atvejais. Iš jų: psichikos ir elgesio sutrikimai vartojant alkoholį – užregistruota 63 330 atvejais, psichikos ir elgesio sutrikimai vartojant narkotikus ir psichoaktyviąsias medžiagas – užregistruota  5371 atvejais. </w:t>
      </w:r>
    </w:p>
    <w:p w:rsidR="00585AD9" w:rsidRDefault="00585AD9" w:rsidP="00585AD9">
      <w:pPr>
        <w:ind w:firstLine="720"/>
        <w:jc w:val="both"/>
      </w:pPr>
      <w:r>
        <w:t>Lietuvos sveikatos informacijos centro duomenimis 2004 m. ambulatorines paslaugas</w:t>
      </w:r>
      <w:r>
        <w:rPr>
          <w:b/>
          <w:bCs/>
        </w:rPr>
        <w:t xml:space="preserve"> </w:t>
      </w:r>
      <w:r>
        <w:t>teikiančiose asmens sveikatos priežiūros įstaigose užregistruotų apsinuodijimų skaičius Lietuvoje 2004 metais – ambulatorinis sergamumas</w:t>
      </w:r>
      <w:r>
        <w:rPr>
          <w:b/>
          <w:bCs/>
        </w:rPr>
        <w:t xml:space="preserve"> -  </w:t>
      </w:r>
      <w:r>
        <w:t>vaikų iki 14 metų amžiaus užregistruoti   iš viso 1522441atvejai. Traumas, apsinuodijimus ir kitus išorinių priežasčių padarinius patyrė 70 394 atvejais.  Iš jų: apsinuodijimai  narkotikais,</w:t>
      </w:r>
      <w:r>
        <w:rPr>
          <w:b/>
          <w:bCs/>
        </w:rPr>
        <w:t xml:space="preserve"> </w:t>
      </w:r>
      <w:r>
        <w:t>vaistais, biologinėmis medžiagomis ir nemedicininės paskirties medžiagų toksinis poveikis užregistruoti</w:t>
      </w:r>
      <w:r>
        <w:rPr>
          <w:b/>
          <w:bCs/>
        </w:rPr>
        <w:t xml:space="preserve"> </w:t>
      </w:r>
      <w:r>
        <w:t>663 atvejai.</w:t>
      </w:r>
      <w:r>
        <w:rPr>
          <w:b/>
          <w:bCs/>
        </w:rPr>
        <w:t xml:space="preserve"> </w:t>
      </w:r>
      <w:r>
        <w:t xml:space="preserve">   </w:t>
      </w:r>
    </w:p>
    <w:p w:rsidR="00585AD9" w:rsidRDefault="00585AD9" w:rsidP="00585AD9">
      <w:pPr>
        <w:ind w:firstLine="720"/>
        <w:jc w:val="both"/>
      </w:pPr>
      <w:r>
        <w:t>Suaugusiųjų - ambulatorinis sergamumas- užregistruoti 28 73 703 atvejai.  Traumos apsinuodijimai ir kitus išorinių priežasčių padarinius patyrė suaugusieji 33 65 02 atvejais. Iš jų: apsinuodijimai  narkotikais,</w:t>
      </w:r>
      <w:r>
        <w:rPr>
          <w:b/>
          <w:bCs/>
        </w:rPr>
        <w:t xml:space="preserve"> </w:t>
      </w:r>
      <w:r>
        <w:t>vaistais, biologinėmis medžiagomis ir nemedicininės paskirties medžiagų toksinis poveikis užregistruoti</w:t>
      </w:r>
      <w:r>
        <w:rPr>
          <w:b/>
          <w:bCs/>
        </w:rPr>
        <w:t xml:space="preserve">  </w:t>
      </w:r>
      <w:r>
        <w:t xml:space="preserve">3 771 atvejai. </w:t>
      </w:r>
    </w:p>
    <w:p w:rsidR="00585AD9" w:rsidRDefault="00585AD9" w:rsidP="00585AD9">
      <w:pPr>
        <w:jc w:val="both"/>
      </w:pPr>
      <w:r>
        <w:t xml:space="preserve">  </w:t>
      </w:r>
      <w:r>
        <w:tab/>
        <w:t xml:space="preserve"> Iš viso vaikų ir suaugusiųjų traumas, apsinuodijimus ir kitus išorinių priežasčių padarinius patyrė užregistruota 406 896 atvejai.</w:t>
      </w:r>
    </w:p>
    <w:p w:rsidR="00585AD9" w:rsidRDefault="00585AD9" w:rsidP="00585AD9">
      <w:pPr>
        <w:ind w:firstLine="720"/>
        <w:jc w:val="both"/>
      </w:pPr>
      <w:r>
        <w:t>Lietuvos sveikatos informacijos centro duomenimis 2005 m. ambulatorines paslaugas</w:t>
      </w:r>
      <w:r>
        <w:rPr>
          <w:b/>
          <w:bCs/>
        </w:rPr>
        <w:t xml:space="preserve"> </w:t>
      </w:r>
      <w:r>
        <w:t>teikiančiose asmens sveikatos priežiūros įstaigose užregistruotų apsinuodijimų skaičius Lietuvoje 2004 metais – ambulatorinis sergamumas</w:t>
      </w:r>
      <w:r>
        <w:rPr>
          <w:b/>
          <w:bCs/>
        </w:rPr>
        <w:t xml:space="preserve"> -  </w:t>
      </w:r>
      <w:r>
        <w:t>vaikų iki 14 metų amžiaus užregistruoti   iš viso 1483149 atvejai. Traumas, apsinuodijimus ir kitus išorinių priežasčių padarinius patyrė 65299 atvejais.  Iš jų: apsinuodijimai  narkotikais,</w:t>
      </w:r>
      <w:r>
        <w:rPr>
          <w:b/>
          <w:bCs/>
        </w:rPr>
        <w:t xml:space="preserve"> </w:t>
      </w:r>
      <w:r>
        <w:t>vaistais, biologinėmis medžiagomis ir nemedicininės paskirties medžiagų toksinis poveikis užregistruoti</w:t>
      </w:r>
      <w:r>
        <w:rPr>
          <w:b/>
          <w:bCs/>
        </w:rPr>
        <w:t xml:space="preserve"> </w:t>
      </w:r>
      <w:r>
        <w:t xml:space="preserve">526 atvejai.    </w:t>
      </w:r>
    </w:p>
    <w:p w:rsidR="00585AD9" w:rsidRDefault="00585AD9" w:rsidP="00585AD9">
      <w:pPr>
        <w:ind w:firstLine="720"/>
        <w:jc w:val="both"/>
        <w:rPr>
          <w:b/>
          <w:bCs/>
        </w:rPr>
      </w:pPr>
      <w:r>
        <w:t>Suaugusiųjų - ambulatorinis sergamumas- užregistruoti 2965917 atvejai.  Traumos apsinuodijimai ir kitus išorinių priežasčių padarinius patyrė suaugusieji 348235 atvejais. Iš jų: apsinuodijimai  narkotikais,</w:t>
      </w:r>
      <w:r>
        <w:rPr>
          <w:b/>
          <w:bCs/>
        </w:rPr>
        <w:t xml:space="preserve"> </w:t>
      </w:r>
      <w:r>
        <w:t>vaistais, biologinėmis medžiagomis ir nemedicininės paskirties medžiagų toksinis poveikis užregistruoti</w:t>
      </w:r>
      <w:r>
        <w:rPr>
          <w:b/>
          <w:bCs/>
        </w:rPr>
        <w:t xml:space="preserve">  </w:t>
      </w:r>
      <w:r>
        <w:t>3 342 atvejai.</w:t>
      </w:r>
      <w:r>
        <w:rPr>
          <w:b/>
          <w:bCs/>
        </w:rPr>
        <w:t xml:space="preserve"> </w:t>
      </w:r>
    </w:p>
    <w:p w:rsidR="00585AD9" w:rsidRDefault="00585AD9" w:rsidP="00585AD9">
      <w:pPr>
        <w:jc w:val="both"/>
      </w:pPr>
      <w:r>
        <w:t xml:space="preserve">  </w:t>
      </w:r>
      <w:r>
        <w:tab/>
        <w:t xml:space="preserve"> Iš viso vaikų ir suaugusiųjų traumas, apsinuodijimus ir kitus išorinių priežasčių padarinius patyrė užregistruota 413534 atvejai.</w:t>
      </w:r>
    </w:p>
    <w:p w:rsidR="00585AD9" w:rsidRDefault="00585AD9" w:rsidP="00585AD9">
      <w:pPr>
        <w:ind w:firstLine="720"/>
        <w:jc w:val="both"/>
      </w:pPr>
      <w:r>
        <w:lastRenderedPageBreak/>
        <w:t>Lietuvos sveikatos informacijos centro duomenimis stacionarines paslaugas</w:t>
      </w:r>
      <w:r>
        <w:rPr>
          <w:b/>
          <w:bCs/>
        </w:rPr>
        <w:t xml:space="preserve"> </w:t>
      </w:r>
      <w:r>
        <w:t>teikiančiose asmens sveikatos priežiūros įstaigose užregistruotų apsinuodijimų skaičius Lietuvoje 2004 metais – stacionarinis sergamumas – vaikų iki 14 metų amžiaus buvo 123 885 atvejai, 794 055 suaugusiųjų atvejai. Traumas, apsinuodijimus ir kitus išorinių priežasčių padarinius patyrė vaikai užregistruoti 10 699 atvejai ir suaugusieji 58 854 atvejai. Iš jų: apsinuodijimai  narkotikais,</w:t>
      </w:r>
      <w:r>
        <w:rPr>
          <w:b/>
          <w:bCs/>
        </w:rPr>
        <w:t xml:space="preserve"> </w:t>
      </w:r>
      <w:r>
        <w:t>vaistais, biologinėmis medžiagomis ir nemedicininės paskirties medžiagų toksinis poveikis užregistruoti</w:t>
      </w:r>
      <w:r>
        <w:rPr>
          <w:b/>
          <w:bCs/>
        </w:rPr>
        <w:t xml:space="preserve">  </w:t>
      </w:r>
      <w:r>
        <w:t xml:space="preserve">vaikų 1902 ir    suaugusiųjų  8 179 atvejai.   </w:t>
      </w:r>
    </w:p>
    <w:p w:rsidR="00585AD9" w:rsidRDefault="00585AD9" w:rsidP="00585AD9">
      <w:pPr>
        <w:ind w:firstLine="720"/>
        <w:jc w:val="both"/>
      </w:pPr>
      <w:r>
        <w:t xml:space="preserve">Iš viso užregistruota, kad  Traumas, apsinuodijimus ir kitus išorinių priežasčių padarinius patyrė asmenys 69 553 atvejais. </w:t>
      </w:r>
    </w:p>
    <w:p w:rsidR="00585AD9" w:rsidRDefault="00585AD9" w:rsidP="00585AD9">
      <w:pPr>
        <w:ind w:firstLine="720"/>
        <w:jc w:val="both"/>
      </w:pPr>
      <w:r>
        <w:t>Lietuvos sveikatos informacijos centro duomenimis stacionarines paslaugas</w:t>
      </w:r>
      <w:r>
        <w:rPr>
          <w:b/>
          <w:bCs/>
        </w:rPr>
        <w:t xml:space="preserve"> </w:t>
      </w:r>
      <w:r>
        <w:t>teikiančiose asmens sveikatos priežiūros įstaigose užregistruotų apsinuodijimų skaičius Lietuvoje 2005 metais – stacionarinis sergamumas – vaikų iki 14 metų amžiaus buvo 117964 atvejai, 671648 suaugusiųjų atvejai. Traumas, apsinuodijimus ir kitus išorinių priežasčių padarinius patyrė vaikai užregistruoti 10 348 atvejai ir suaugusieji 59956 atvejai. Iš jų: apsinuodijimai  narkotikais,</w:t>
      </w:r>
      <w:r>
        <w:rPr>
          <w:b/>
          <w:bCs/>
        </w:rPr>
        <w:t xml:space="preserve"> </w:t>
      </w:r>
      <w:r>
        <w:t xml:space="preserve">vaistais, biologinėmis medžiagomis ir nemedicininės paskirties medžiagų toksinis poveikis užregistruoti  vaikų 1786 ir    suaugusiųjų 6066 atvejai.   </w:t>
      </w:r>
    </w:p>
    <w:p w:rsidR="00585AD9" w:rsidRDefault="00585AD9" w:rsidP="00585AD9">
      <w:pPr>
        <w:ind w:firstLine="720"/>
        <w:jc w:val="both"/>
      </w:pPr>
      <w:r>
        <w:t xml:space="preserve">Iš viso užregistruota, kad  Traumas, apsinuodijimus ir kitus išorinių priežasčių padarinius patyrė asmenys 70304 atvejais. </w:t>
      </w:r>
    </w:p>
    <w:p w:rsidR="00585AD9" w:rsidRDefault="00585AD9" w:rsidP="00585AD9">
      <w:pPr>
        <w:ind w:firstLine="720"/>
        <w:jc w:val="both"/>
      </w:pPr>
      <w:r>
        <w:t>Valstybinis aplinkos sveikatos centras 2006 03 07 raštu Nr.5-01-16-207 “Dėl informacijos dėl apsinuodijimų” informavo Komisiją, kad įgyvendindamas Nuodingųjų medžiagų kontrolės įstatymo (Žin., 2001, Nr. 64-2330) nuostatas Sveikatos apsaugos ministras įsakymu “Dėl informacijos, susijusios su žmonių apsinuodijimais ir jų specifine profilaktika , kaupimo ir teikimo” (Žin., 2001, Nr. 102-3641) įpareigojo asmens sveikatos priežiūros įstaigas teikti, o Valstybiniam aplinkos sveikatos centrui pavedė rinkti informaciją apie  apsinuodijimus nuodingosiomis medžiagomis, įrašytomis į Nuodingųjų medžiagų pagal jų toksiškumą sąrašą, patvirtintą sveikatos apsaugos ministro 2004 m. gruodžio 30 d. Įsakymu Nr. V-975 “Dėl Nuodingųjų medžiagų pagal jų toksiškumą sąrašo patvirtinimo”. Pagal šį įsakymą Valstybiniame aplinkos sveikatos centre yra kaupiama  ir analizuojama tik minėtame ministro įsakyme nurodyta informacija. Pateikti skaičiai  neapima visų su priklausomybės ligomis susijusių apsinuodijimų atvejų.</w:t>
      </w:r>
    </w:p>
    <w:p w:rsidR="00585AD9" w:rsidRDefault="00585AD9" w:rsidP="00585AD9">
      <w:pPr>
        <w:jc w:val="both"/>
      </w:pPr>
      <w:r>
        <w:tab/>
        <w:t>Valstybinio aplinkos sveikatos centro duomenimis, 2004 m. apskričių visuomenės sveikatos centrai ištyrė 2043 apsinuodijimų atvejus, iš jų</w:t>
      </w:r>
      <w:r>
        <w:rPr>
          <w:b/>
          <w:bCs/>
        </w:rPr>
        <w:t xml:space="preserve"> </w:t>
      </w:r>
      <w:r>
        <w:t xml:space="preserve">  1433 vaikai, 610  suaugusieji.</w:t>
      </w:r>
    </w:p>
    <w:p w:rsidR="00585AD9" w:rsidRDefault="00585AD9" w:rsidP="00585AD9">
      <w:pPr>
        <w:ind w:firstLine="720"/>
        <w:jc w:val="both"/>
      </w:pPr>
      <w:r>
        <w:t xml:space="preserve"> Iš jų:</w:t>
      </w:r>
    </w:p>
    <w:p w:rsidR="00585AD9" w:rsidRDefault="00585AD9" w:rsidP="00585AD9">
      <w:pPr>
        <w:ind w:firstLine="720"/>
        <w:jc w:val="both"/>
      </w:pPr>
      <w:r>
        <w:t xml:space="preserve">narkotikais – 48 ( 32 atvejais vaikai ir 16 – suaugusieji); </w:t>
      </w:r>
    </w:p>
    <w:p w:rsidR="00585AD9" w:rsidRDefault="00585AD9" w:rsidP="00585AD9">
      <w:pPr>
        <w:ind w:firstLine="720"/>
        <w:jc w:val="both"/>
      </w:pPr>
      <w:r>
        <w:t>medikamentais ištirti  932 atvejai ( 693 atvejais</w:t>
      </w:r>
      <w:r>
        <w:rPr>
          <w:b/>
          <w:bCs/>
        </w:rPr>
        <w:t xml:space="preserve"> </w:t>
      </w:r>
      <w:r>
        <w:t>-  vaikai);</w:t>
      </w:r>
    </w:p>
    <w:p w:rsidR="00585AD9" w:rsidRDefault="00585AD9" w:rsidP="00585AD9">
      <w:pPr>
        <w:ind w:firstLine="720"/>
        <w:jc w:val="both"/>
      </w:pPr>
      <w:r>
        <w:t>alkoholiu – 652 atvejais ( 446 vaikai ir 206 suaugusieji);</w:t>
      </w:r>
    </w:p>
    <w:p w:rsidR="00585AD9" w:rsidRDefault="00585AD9" w:rsidP="00585AD9">
      <w:pPr>
        <w:ind w:firstLine="720"/>
        <w:jc w:val="both"/>
      </w:pPr>
      <w:r>
        <w:t>dujomis – 88; kitomis nuodingosiomis medžiagomis –323 atvejai.</w:t>
      </w:r>
    </w:p>
    <w:p w:rsidR="00585AD9" w:rsidRDefault="00585AD9" w:rsidP="00585AD9">
      <w:pPr>
        <w:ind w:firstLine="720"/>
        <w:jc w:val="both"/>
      </w:pPr>
      <w:r>
        <w:t>Valstybinio aplinkos sveikatos centro duomenimis, 2005 m. apskričių visuomenės sveikatos centrai ištyrė 1915 apsinuodijimų atvejų, iš jų</w:t>
      </w:r>
      <w:r>
        <w:rPr>
          <w:b/>
          <w:bCs/>
        </w:rPr>
        <w:t xml:space="preserve"> </w:t>
      </w:r>
      <w:r>
        <w:t xml:space="preserve">  1405 vaikai, 497 suaugusieji.13 asmenų amžius nežinomas.</w:t>
      </w:r>
    </w:p>
    <w:p w:rsidR="00585AD9" w:rsidRDefault="00585AD9" w:rsidP="00585AD9">
      <w:pPr>
        <w:ind w:firstLine="720"/>
        <w:jc w:val="both"/>
      </w:pPr>
      <w:r>
        <w:t>Iš jų:</w:t>
      </w:r>
    </w:p>
    <w:p w:rsidR="00585AD9" w:rsidRDefault="00585AD9" w:rsidP="00585AD9">
      <w:pPr>
        <w:ind w:firstLine="720"/>
        <w:jc w:val="both"/>
      </w:pPr>
      <w:r>
        <w:t xml:space="preserve">narkotikais – 43 atvejai ( 33 vaikai nuo 5 iki 18 metų amžiaus ir 16 – suaugusiųjų atvejų, 2 asmenų amžius nežinomas); </w:t>
      </w:r>
    </w:p>
    <w:p w:rsidR="00585AD9" w:rsidRDefault="00585AD9" w:rsidP="00585AD9">
      <w:pPr>
        <w:ind w:firstLine="720"/>
        <w:jc w:val="both"/>
      </w:pPr>
      <w:r>
        <w:t>medikamentais  - 861 atvejis  ( 690 atvejais</w:t>
      </w:r>
      <w:r>
        <w:rPr>
          <w:b/>
          <w:bCs/>
        </w:rPr>
        <w:t xml:space="preserve"> </w:t>
      </w:r>
      <w:r>
        <w:t>-  vaikai);</w:t>
      </w:r>
    </w:p>
    <w:p w:rsidR="00585AD9" w:rsidRDefault="00585AD9" w:rsidP="00585AD9">
      <w:pPr>
        <w:ind w:firstLine="720"/>
        <w:jc w:val="both"/>
      </w:pPr>
      <w:r>
        <w:t>alkoholiu – 671 atvejis ( 451 vaikai</w:t>
      </w:r>
      <w:r>
        <w:rPr>
          <w:b/>
          <w:bCs/>
        </w:rPr>
        <w:t xml:space="preserve"> </w:t>
      </w:r>
      <w:r>
        <w:t>ir 215 suaugusieji ir 5 nežinomo amžiaus asmenys).</w:t>
      </w:r>
    </w:p>
    <w:p w:rsidR="00585AD9" w:rsidRDefault="00585AD9" w:rsidP="00585AD9">
      <w:pPr>
        <w:ind w:firstLine="720"/>
        <w:jc w:val="both"/>
      </w:pPr>
      <w:r>
        <w:t>Valstybinio aplinkos sveikatos centro duomenimis</w:t>
      </w:r>
      <w:r>
        <w:rPr>
          <w:b/>
          <w:bCs/>
        </w:rPr>
        <w:t xml:space="preserve"> </w:t>
      </w:r>
      <w:r>
        <w:t>2005 m. dėl apsinuodijimų stacionare gydėsi 1888 asmenys, pirminės sveikatos priežiūros įstaigose – 10 asmenų.</w:t>
      </w:r>
    </w:p>
    <w:p w:rsidR="00585AD9" w:rsidRDefault="00585AD9" w:rsidP="00585AD9">
      <w:pPr>
        <w:ind w:firstLine="720"/>
        <w:jc w:val="both"/>
      </w:pPr>
      <w:r>
        <w:t>Valstybinio aplinkos sveikatos centro duomenimis</w:t>
      </w:r>
      <w:r>
        <w:rPr>
          <w:b/>
          <w:bCs/>
        </w:rPr>
        <w:t xml:space="preserve"> </w:t>
      </w:r>
      <w:r>
        <w:t>2004 m. užregistruota 11</w:t>
      </w:r>
      <w:r>
        <w:rPr>
          <w:b/>
          <w:bCs/>
        </w:rPr>
        <w:t xml:space="preserve"> </w:t>
      </w:r>
      <w:r>
        <w:t xml:space="preserve">mirtimi pasibaigusių apsinuodijimo atvejų: iš jų 2 moterys ir 9 vyrai. Alkoholiu mirtinai apsinuodijo 6 žmonės  (iš jų 1 nepilnametis), medikamentais –3 asmenys  (iš jų 1 nepilnametis), dujomis – 1 žmogus, 1 žmogaus apsinuodijimo medžiaga nepatikslinta. </w:t>
      </w:r>
    </w:p>
    <w:p w:rsidR="00585AD9" w:rsidRDefault="00585AD9" w:rsidP="00585AD9">
      <w:pPr>
        <w:ind w:firstLine="720"/>
        <w:jc w:val="both"/>
      </w:pPr>
      <w:r>
        <w:t>Valstybinio aplinkos sveikatos centro duomenimis</w:t>
      </w:r>
      <w:r>
        <w:rPr>
          <w:b/>
          <w:bCs/>
        </w:rPr>
        <w:t xml:space="preserve"> </w:t>
      </w:r>
      <w:r>
        <w:t>2005 m.</w:t>
      </w:r>
      <w:r>
        <w:rPr>
          <w:b/>
          <w:bCs/>
        </w:rPr>
        <w:t xml:space="preserve"> </w:t>
      </w:r>
      <w:r>
        <w:t>nuo apsinuodijimo</w:t>
      </w:r>
      <w:r>
        <w:rPr>
          <w:b/>
          <w:bCs/>
        </w:rPr>
        <w:t xml:space="preserve"> </w:t>
      </w:r>
      <w:r>
        <w:t xml:space="preserve">mirė 21 žmogus, iš jų 14 vyrų ir 7 moterys (visi suaugusieji). 9 asmenų mirtį sukėlė apsinuodijimas alkoholiu, 2 asmenų – alkoholio ir medikamentų mišiniu; 4 asmenų – medikamentais, po 1 mirties atvejį – narkotikais, smalkėmis, gėlių trąšomis, acto rūgštimi, medienos impregnantu ir nepatikslinta medžiaga. Visi mirties atvejai užregistruoti pagal pranešimus iš asmens sveikatos  priežiūros įstaigų, kuriuose apsinuodiję asmenys buvo gydomi. </w:t>
      </w:r>
    </w:p>
    <w:p w:rsidR="00585AD9" w:rsidRDefault="00585AD9" w:rsidP="00585AD9">
      <w:pPr>
        <w:ind w:firstLine="720"/>
        <w:jc w:val="both"/>
      </w:pPr>
      <w:r>
        <w:lastRenderedPageBreak/>
        <w:t xml:space="preserve">Statistikos departamentas prie Lietuvos Respublikos Vyriausybės 2006 02 23 raštu Nr. (1.7-111)-SD-286 “Dėl statistinės informacijos pateikimo” atsakydamas į Komisijos pateiktus klausimus pateikė 2004 m. duomenis apie mirusiuosius nuo narkotinių ir psichotropinių medžiagų vartojimo pagal amžiaus grupes, lytį ir mirties priežastis. Taip pat informavo, kad 2004 m. pabaigoje vaikų, piktnaudžiaujančių alkoholiu buvo 3, o narkotinėmis ir kitomis psichotropinėmis medžiagomis – 54 asmenys. </w:t>
      </w:r>
    </w:p>
    <w:p w:rsidR="00585AD9" w:rsidRDefault="00585AD9" w:rsidP="00585AD9">
      <w:pPr>
        <w:ind w:firstLine="720"/>
        <w:jc w:val="both"/>
        <w:rPr>
          <w:bCs/>
        </w:rPr>
      </w:pPr>
      <w:r>
        <w:t xml:space="preserve">Statistikos departamento prie Lietuvos Respublikos Vyriausybės duomenimis </w:t>
      </w:r>
      <w:r>
        <w:rPr>
          <w:bCs/>
        </w:rPr>
        <w:t>2005</w:t>
      </w:r>
      <w:r>
        <w:rPr>
          <w:b/>
        </w:rPr>
        <w:t xml:space="preserve"> </w:t>
      </w:r>
      <w:r>
        <w:rPr>
          <w:bCs/>
        </w:rPr>
        <w:t xml:space="preserve">metais vaikų, įrašytų į narkologinę įskaitą dėl alkoholizmo, narkomanijos ir toksikomanijos </w:t>
      </w:r>
      <w:r>
        <w:t>m</w:t>
      </w:r>
      <w:r>
        <w:rPr>
          <w:bCs/>
        </w:rPr>
        <w:t>etų pabaigoje buvo  – 1 piktnaudžiaujantis alkoholiu ir 43 piktnaudžiaujantys narkotinėmis ir kitomis psichotropinėmis medžiagomis.</w:t>
      </w:r>
    </w:p>
    <w:p w:rsidR="00585AD9" w:rsidRDefault="00585AD9" w:rsidP="00585AD9">
      <w:pPr>
        <w:ind w:firstLine="720"/>
        <w:jc w:val="both"/>
      </w:pPr>
      <w:r>
        <w:t>Mirusieji nuo narkotinių ir psichotropinių medžiagų vartojimo pagal lytį 2004 metais  buvo 38 asmenys ( 33 vyrai ir 5 moterys, 35 mieste, 3 kaime).</w:t>
      </w:r>
    </w:p>
    <w:p w:rsidR="00585AD9" w:rsidRDefault="00585AD9" w:rsidP="00585AD9">
      <w:pPr>
        <w:ind w:firstLine="720"/>
        <w:jc w:val="both"/>
      </w:pPr>
      <w:r>
        <w:t>2004 m. 38 mirusiųjų amžiaus grupės: 15- 19 m. – 1; 20-24 m. – 9; 25-29 m. – 6; 30-34m. – 9; 35-39 m. – 6; 40-44 m. – 4; 45 –49 m. – 1; 50-54 m. – 0; 55- 59 m. – 1; 60-64 m. – 0; 65+  1.</w:t>
      </w:r>
    </w:p>
    <w:p w:rsidR="00585AD9" w:rsidRDefault="00585AD9" w:rsidP="00585AD9">
      <w:pPr>
        <w:ind w:firstLine="720"/>
        <w:jc w:val="both"/>
      </w:pPr>
      <w:r>
        <w:t xml:space="preserve"> Iš jų: psichikos ir elgesio sutrikimai vartojant opioidus  - 3 ( 1 vyras ir 2 moterys, 3 mieste, iš jų: 1 – nuo 25-29m.; 1 – nuo  30- 34m.; 1 – nuo 40- 44m. amžiaus ); psichikos ir elgesio sutrikimai vartojant kelis narkotikus ir kitas psichoaktyviasias medžiagas – 8 (6 vyrai ir 2 moterys, 7 mieste ir 1 kaime, iš jų: vienas - 20-24 m.; 2 - 25-29 m.;  vienas – 30-34 m.; 1 – 35-39 m.; 2 -  40-44m.; 1 - 45-49 m.  amžiaus); atsitiktinis apsinuodijimas narkotikais ir psichodisleptikais bei jų poveikis, neklasifikuojamas kitur – 18 ( 17  vyrų ir 1 moteris, 17 mieste ir 1 kaime, vienas miręs 15 –19 metų amžiaus; 6 – 20-24 m.; 1- 25-29m.; 5 – 30-34 m.; 3- 35-39 m.; 1- 40-44m.; 1- 55-59m.);  tyčinis apsinuodijimas ir apnuodijimas narkotikais ir psichodisleptikais bei jų poveikis, neklasifikuojamas kitur – 1 vyras mieste, virš 65 metų amžiaus; apsinuodijimas narkotikais ir psichodisleptikais bei jų poveikis, neklasifikuojamas kitur, kai ketinimas nežinomas – 8 vyrai (7 mieste ir 1 kaime,  iš jų: 2- 20-24 m.; 2- 25-29 m.; 2- 30-34 m.; 2-35-39 m.). </w:t>
      </w:r>
    </w:p>
    <w:p w:rsidR="00585AD9" w:rsidRDefault="00585AD9" w:rsidP="00585AD9">
      <w:pPr>
        <w:ind w:firstLine="720"/>
        <w:jc w:val="both"/>
      </w:pPr>
      <w:r>
        <w:t>Mirusieji nuo narkotinių ir psichotropinių medžiagų vartojimo pagal lytį 2005 metais 31 asmuo ( 29 vyrai ir 2 moterys).  Iš jų: psichikos ir elgesio sutrikimai vartojant opioidus  - 2 vyrai mieste; psichikos ir elgesio sutrikimai vartojant kelis narkotikus ir kitas psichoaktyviasias medžiagas – 3 vyrai ir 1 moteris (3 mieste ir 1 kaime); atsitiktinis apsinuodijimas narkotikais ir psichodisleptikais bei jų poveikis, neklasifikuojamas kitur – 17 vyrų ir 1 moteris (17 mieste ir 1 kaime); apsinuodijimas narkotikais ir psichodisleptikais bei jų poveikis, neklasifikuojamas kitur, kai ketinimas nežinomas – 7 vyrai mieste.</w:t>
      </w:r>
    </w:p>
    <w:p w:rsidR="00585AD9" w:rsidRDefault="00585AD9" w:rsidP="00585AD9">
      <w:pPr>
        <w:ind w:firstLine="720"/>
        <w:jc w:val="both"/>
      </w:pPr>
      <w:r>
        <w:t xml:space="preserve">Sveikatos apsaugos ministerija 2006 02 24 raštu Nr. 10 – 979 “Dėl informacijos pateikimo” Komisiją informavo, kad Lietuvos Respublikos Vyriausybė 2004 m. birželio 8 d. Nutarimu Nr. 659 “Dėl statistinės informacijos apie vaikus rodiklių sąrašo patvirtinimo” (Žin., Nr. 2004, Nr. 92-3364) patvirtino statistinės informacijos apie vaikus rodiklių sąrašą ir informacijos parengimo laiką (nurodytas mėnuo). Vadovaudamasi šiuo nutarimu, Sveikatos apsaugos ministerija informaciją apie vaikus Statistikos departamentui prie Lietuvos Respublikos Vyriausybės ir Socialinės apsaugos ir darbo ministerijai už 2005 metus privalo pateikti 2006 m. birželio mėnesį. </w:t>
      </w:r>
    </w:p>
    <w:p w:rsidR="00585AD9" w:rsidRDefault="00585AD9" w:rsidP="00585AD9">
      <w:pPr>
        <w:jc w:val="both"/>
        <w:rPr>
          <w:b/>
          <w:bCs/>
        </w:rPr>
      </w:pPr>
      <w:r>
        <w:rPr>
          <w:b/>
          <w:bCs/>
        </w:rPr>
        <w:tab/>
      </w:r>
      <w:r>
        <w:t>Apibendrinus gautą  informaciją, nustatyta, kad:</w:t>
      </w:r>
      <w:r>
        <w:rPr>
          <w:b/>
          <w:bCs/>
        </w:rPr>
        <w:t xml:space="preserve"> </w:t>
      </w:r>
    </w:p>
    <w:p w:rsidR="00585AD9" w:rsidRDefault="00585AD9" w:rsidP="00585AD9">
      <w:pPr>
        <w:ind w:firstLine="720"/>
        <w:jc w:val="both"/>
      </w:pPr>
      <w:r>
        <w:t>1.</w:t>
      </w:r>
      <w:r>
        <w:rPr>
          <w:b/>
          <w:bCs/>
        </w:rPr>
        <w:t xml:space="preserve"> </w:t>
      </w:r>
      <w:r>
        <w:t>2005 metais sergančių psichikos ir elgesio sutrikimais vartojant narkotikus ir psichoaktyviąsias medžiagas padidėjo 349 asmenimis.</w:t>
      </w:r>
    </w:p>
    <w:p w:rsidR="00585AD9" w:rsidRDefault="00585AD9" w:rsidP="00585AD9">
      <w:pPr>
        <w:jc w:val="both"/>
      </w:pPr>
      <w:r>
        <w:t>( 2004 metais sergamumas ir ligotumas priklausomybėmis (absoliučiais skaičiais) užregistruotas 68 653 atvejais . Iš jų: psichikos ir elgesio sutrikimai vartojant alkoholį – 63 642;</w:t>
      </w:r>
    </w:p>
    <w:p w:rsidR="00585AD9" w:rsidRDefault="00585AD9" w:rsidP="00585AD9">
      <w:pPr>
        <w:jc w:val="both"/>
      </w:pPr>
      <w:r>
        <w:t>psichikos ir elgesio sutrikimai vartojant narkotikus ir psichoaktyviąsias medžiagas – 5011.</w:t>
      </w:r>
    </w:p>
    <w:p w:rsidR="00585AD9" w:rsidRDefault="00585AD9" w:rsidP="00585AD9">
      <w:pPr>
        <w:jc w:val="both"/>
      </w:pPr>
      <w:r>
        <w:t>2005 metais sergamumas ir ligotumas priklausomybėmis (absoliučiais skaičiais) užregistruotas 68 701</w:t>
      </w:r>
      <w:r>
        <w:rPr>
          <w:b/>
          <w:bCs/>
        </w:rPr>
        <w:t xml:space="preserve"> </w:t>
      </w:r>
      <w:r>
        <w:t>atvejais. Iš jų: psichikos ir elgesio sutrikimai vartojant alkoholį – 63330 ;</w:t>
      </w:r>
    </w:p>
    <w:p w:rsidR="00585AD9" w:rsidRDefault="00585AD9" w:rsidP="00585AD9">
      <w:pPr>
        <w:jc w:val="both"/>
      </w:pPr>
      <w:r>
        <w:t xml:space="preserve">psichikos ir elgesio sutrikimai vartojant narkotikus ir psichoaktyviąsias medžiagas – 5371). </w:t>
      </w:r>
    </w:p>
    <w:p w:rsidR="00585AD9" w:rsidRDefault="00585AD9" w:rsidP="00585AD9">
      <w:pPr>
        <w:ind w:firstLine="720"/>
        <w:jc w:val="both"/>
      </w:pPr>
      <w:r>
        <w:t xml:space="preserve">2. 2005 metais sumažėjo užregistruotų vaikų, piktnaudžiaujančiu alkoholiu ir narkotinėmis ir kitomis psichotropinėmis medžiagomis. </w:t>
      </w:r>
    </w:p>
    <w:p w:rsidR="00585AD9" w:rsidRDefault="00585AD9" w:rsidP="00585AD9">
      <w:pPr>
        <w:jc w:val="both"/>
      </w:pPr>
      <w:r>
        <w:tab/>
        <w:t xml:space="preserve">(2004 m. pabaigoje vaikų, piktnaudžiaujančių alkoholiu buvo 3, o narkotinėmis ir kitomis psichotropinėmis medžiagomis – 54 asmenys. </w:t>
      </w:r>
    </w:p>
    <w:p w:rsidR="00585AD9" w:rsidRDefault="00585AD9" w:rsidP="00585AD9">
      <w:pPr>
        <w:jc w:val="both"/>
      </w:pPr>
      <w:r>
        <w:rPr>
          <w:bCs/>
        </w:rPr>
        <w:t xml:space="preserve"> 2005 m. </w:t>
      </w:r>
      <w:r>
        <w:t>pabaigoje vaikų, piktnaudžiaujančių alkoholiu buvo 1, o narkotinėmis ir kitomis psichotropinėmis medžiagomis – 43 asmenys).</w:t>
      </w:r>
    </w:p>
    <w:p w:rsidR="00585AD9" w:rsidRDefault="00585AD9" w:rsidP="00585AD9">
      <w:pPr>
        <w:ind w:firstLine="720"/>
        <w:jc w:val="both"/>
      </w:pPr>
      <w:r>
        <w:t>3.</w:t>
      </w:r>
      <w:r>
        <w:rPr>
          <w:b/>
          <w:bCs/>
        </w:rPr>
        <w:t xml:space="preserve"> </w:t>
      </w:r>
      <w:r>
        <w:t>2005 metais</w:t>
      </w:r>
      <w:r>
        <w:rPr>
          <w:b/>
          <w:bCs/>
        </w:rPr>
        <w:t xml:space="preserve"> </w:t>
      </w:r>
      <w:r>
        <w:t xml:space="preserve">padidėjo vaikų ir suaugusiųjų apsinuodijusių alkoholiu: 2004 m. 652 asmenys (446 vaikai ir 206 suaugusieji); 2005 m. 671 asmuo (451 vaikas ir  215 suaugusiųjų bei 5 nežinomo </w:t>
      </w:r>
      <w:r>
        <w:lastRenderedPageBreak/>
        <w:t>amžiaus asmenys), nors sumažėjo bendras užregistruotas ambulatorinis sergamumas vaikų ir suaugusiųjų apsinuodijusių narkotikais,</w:t>
      </w:r>
      <w:r>
        <w:rPr>
          <w:b/>
          <w:bCs/>
        </w:rPr>
        <w:t xml:space="preserve"> </w:t>
      </w:r>
      <w:r>
        <w:t xml:space="preserve">vaistais, biologinėmis medžiagomis ir nemedicininės paskirties medžiagomis. </w:t>
      </w:r>
    </w:p>
    <w:p w:rsidR="00585AD9" w:rsidRDefault="00585AD9" w:rsidP="00585AD9">
      <w:pPr>
        <w:jc w:val="both"/>
      </w:pPr>
      <w:r>
        <w:tab/>
        <w:t>(Ambulatorinis sergamumas</w:t>
      </w:r>
      <w:r>
        <w:rPr>
          <w:b/>
          <w:bCs/>
        </w:rPr>
        <w:t xml:space="preserve">   </w:t>
      </w:r>
      <w:r>
        <w:t>- apsinuodijimai  narkotikais,</w:t>
      </w:r>
      <w:r>
        <w:rPr>
          <w:b/>
          <w:bCs/>
        </w:rPr>
        <w:t xml:space="preserve"> </w:t>
      </w:r>
      <w:r>
        <w:t>vaistais, biologinėmis medžiagomis ir nemedicininės paskirties medžiagų toksinis poveikis užregistruota</w:t>
      </w:r>
      <w:r>
        <w:rPr>
          <w:b/>
          <w:bCs/>
        </w:rPr>
        <w:t xml:space="preserve"> </w:t>
      </w:r>
      <w:r>
        <w:t>2004 m.  vaikų iki 14 metų amžiaus 663 atvejai  bei    suaugusiųjų 3 771 atvejai;  2005 m.  vaikų 526 atvejai   ir   suaugusiųjų - 3 342 atvejai.  Pirminės sveikatos priežiūros įstaigose gydėsi – 10 asmenų.</w:t>
      </w:r>
    </w:p>
    <w:p w:rsidR="00585AD9" w:rsidRDefault="00585AD9" w:rsidP="00585AD9">
      <w:pPr>
        <w:jc w:val="both"/>
      </w:pPr>
      <w:r>
        <w:rPr>
          <w:b/>
          <w:bCs/>
        </w:rPr>
        <w:tab/>
      </w:r>
      <w:r>
        <w:t>4.</w:t>
      </w:r>
      <w:r>
        <w:rPr>
          <w:b/>
          <w:bCs/>
        </w:rPr>
        <w:t xml:space="preserve"> </w:t>
      </w:r>
      <w:r>
        <w:t>2005 metais sumažėjo</w:t>
      </w:r>
      <w:r>
        <w:rPr>
          <w:b/>
          <w:bCs/>
        </w:rPr>
        <w:t xml:space="preserve"> </w:t>
      </w:r>
      <w:r>
        <w:t>bendras</w:t>
      </w:r>
      <w:r>
        <w:rPr>
          <w:b/>
          <w:bCs/>
        </w:rPr>
        <w:t xml:space="preserve"> </w:t>
      </w:r>
      <w:r>
        <w:t>užregistruotas</w:t>
      </w:r>
      <w:r>
        <w:rPr>
          <w:b/>
          <w:bCs/>
        </w:rPr>
        <w:t xml:space="preserve"> </w:t>
      </w:r>
      <w:r>
        <w:t>stacionarinis sergamumas vaikų ir suaugusiųjų apsinuodijusių narkotikais,</w:t>
      </w:r>
      <w:r>
        <w:rPr>
          <w:b/>
          <w:bCs/>
        </w:rPr>
        <w:t xml:space="preserve"> </w:t>
      </w:r>
      <w:r>
        <w:t>vaistais, biologinėmis medžiagomis ir nemedicininės paskirties medžiagomis.</w:t>
      </w:r>
    </w:p>
    <w:p w:rsidR="00585AD9" w:rsidRDefault="00585AD9" w:rsidP="00585AD9">
      <w:pPr>
        <w:jc w:val="both"/>
      </w:pPr>
      <w:r>
        <w:t>(Stacionarinis sergamumas</w:t>
      </w:r>
      <w:r>
        <w:rPr>
          <w:b/>
          <w:bCs/>
        </w:rPr>
        <w:t xml:space="preserve"> – </w:t>
      </w:r>
      <w:r>
        <w:t>apsinuodijimų  narkotikais,</w:t>
      </w:r>
      <w:r>
        <w:rPr>
          <w:b/>
          <w:bCs/>
        </w:rPr>
        <w:t xml:space="preserve"> </w:t>
      </w:r>
      <w:r>
        <w:t>vaistais, biologinėmis medžiagomis ir nemedicininės paskirties medžiagų toksinis poveikis užregistruotas  2004 metais vaikų iki 14 metų amžiaus 1902 atvejų bei    suaugusiųjų  8 179 atvejai ir 2005 metais apsinuodijimų  narkotikais, vaistais, biologinėmis medžiagomis ir nemedicininės paskirties medžiagų toksinis poveikis užregistruota vaikų  iki 14 metų amžiaus 1786 ir    suaugusiųjų 6066 atvejai. )</w:t>
      </w:r>
    </w:p>
    <w:p w:rsidR="00585AD9" w:rsidRDefault="00585AD9" w:rsidP="00585AD9">
      <w:pPr>
        <w:ind w:firstLine="720"/>
        <w:jc w:val="both"/>
      </w:pPr>
      <w:r>
        <w:t>5.</w:t>
      </w:r>
      <w:r>
        <w:rPr>
          <w:b/>
          <w:bCs/>
        </w:rPr>
        <w:t xml:space="preserve"> </w:t>
      </w:r>
      <w:r>
        <w:t>Valstybinis aplinkos sveikatos centras kaupia ir analizuoja bei tiria  ne visus su priklausomybės ligomis susijusius atvejus, o tik</w:t>
      </w:r>
      <w:r>
        <w:rPr>
          <w:b/>
          <w:bCs/>
        </w:rPr>
        <w:t xml:space="preserve"> </w:t>
      </w:r>
      <w:r>
        <w:t>pagal</w:t>
      </w:r>
      <w:r>
        <w:rPr>
          <w:b/>
          <w:bCs/>
        </w:rPr>
        <w:t xml:space="preserve"> </w:t>
      </w:r>
      <w:r>
        <w:t xml:space="preserve"> Sveikatos apsaugos ministro 2004 m. gruodžio 30 d. įsakymu Nr. V-975 “Dėl Nuodingųjų medžiagų pagal jų toksiškumą sąrašo patvirtinimo” nurodytą informaciją. </w:t>
      </w:r>
    </w:p>
    <w:p w:rsidR="00585AD9" w:rsidRDefault="00585AD9" w:rsidP="00585AD9">
      <w:pPr>
        <w:jc w:val="both"/>
      </w:pPr>
      <w:r>
        <w:t xml:space="preserve"> (2004 m.  ištirti  2043</w:t>
      </w:r>
      <w:r>
        <w:rPr>
          <w:b/>
          <w:bCs/>
        </w:rPr>
        <w:t xml:space="preserve"> </w:t>
      </w:r>
      <w:r>
        <w:t>apsinuodijimų atvejai: 1433 vaikų iki 14 metų amžiaus  (narkotikais – 43, medikamentais – 693, alkoholiu - 446 ir kt.) ir  610  suaugusiųjų;  2005 m. ištirti 1915 atvejai:   1405 vaikų ( 33  narkotikais, 690 medikamentais, 451 alkoholiu)  ir 497 suaugusiųjų. 13- kos asmenų amžius nežinomas.)</w:t>
      </w:r>
    </w:p>
    <w:p w:rsidR="00585AD9" w:rsidRDefault="00585AD9" w:rsidP="00585AD9">
      <w:pPr>
        <w:ind w:firstLine="720"/>
        <w:jc w:val="both"/>
      </w:pPr>
      <w:r>
        <w:t>6. 2005 m. palyginus su 2004 metais per pusę padidėjo mirtimi pasibaigusių apsinuodijimo alkoholiu, narkotikais, medikamentais ir kitomis medžiagomis atvejų, tačiau 2005 metais mirė tik suaugusieji.</w:t>
      </w:r>
    </w:p>
    <w:p w:rsidR="00585AD9" w:rsidRDefault="00585AD9" w:rsidP="00585AD9">
      <w:pPr>
        <w:jc w:val="both"/>
      </w:pPr>
      <w:r>
        <w:t xml:space="preserve">(2004 m. užregistruota 11 mirtimi pasibaigusių apsinuodijimo atvejų: iš jų 2 moterys ir 9 vyrai. Alkoholiu mirtinai apsinuodijo 6 žmonės  9 (iš jų 1 nepilnametis), medikamentais –3 asmenys  (iš jų 1 nepilnametis), dujomis – 1 žmogus, 1 žmogaus apsinuodijimo medžiaga nepatikslinta. </w:t>
      </w:r>
    </w:p>
    <w:p w:rsidR="00585AD9" w:rsidRDefault="00585AD9" w:rsidP="00585AD9">
      <w:pPr>
        <w:jc w:val="both"/>
      </w:pPr>
      <w:r>
        <w:t xml:space="preserve"> 2005 m.</w:t>
      </w:r>
      <w:r>
        <w:rPr>
          <w:b/>
          <w:bCs/>
        </w:rPr>
        <w:t xml:space="preserve"> </w:t>
      </w:r>
      <w:r>
        <w:t>užregistruota 21 mirtimi</w:t>
      </w:r>
      <w:r>
        <w:rPr>
          <w:b/>
          <w:bCs/>
        </w:rPr>
        <w:t xml:space="preserve"> </w:t>
      </w:r>
      <w:r>
        <w:t>pasibaigusių apsinuodijimo</w:t>
      </w:r>
      <w:r>
        <w:rPr>
          <w:b/>
          <w:bCs/>
        </w:rPr>
        <w:t xml:space="preserve"> </w:t>
      </w:r>
      <w:r>
        <w:t xml:space="preserve">atvejų: iš jų 14 vyrų ir 7 moterys (visi suaugusieji). Alkoholiu mirtinai apsinuodijo 9 asmenys, 2 asmenys – alkoholio ir medikamentų mišiniu; 4 asmenys – medikamentais, po 1 mirties atvejį – narkotikais, smalkėmis, gėlių trąšomis, acto rūgštimi, medienos impregnantu ir nepatikslinta medžiaga. Visi mirties atvejai užregistruoti pagal pranešimus iš asmens sveikatos  priežiūros įstaigų, kuriuose apsinuodiję asmenys buvo gydomi.) </w:t>
      </w:r>
    </w:p>
    <w:p w:rsidR="00585AD9" w:rsidRDefault="00585AD9" w:rsidP="00585AD9">
      <w:pPr>
        <w:ind w:firstLine="720"/>
        <w:jc w:val="both"/>
      </w:pPr>
      <w:r>
        <w:t>7.</w:t>
      </w:r>
      <w:r>
        <w:rPr>
          <w:b/>
          <w:bCs/>
        </w:rPr>
        <w:t xml:space="preserve"> </w:t>
      </w:r>
      <w:r>
        <w:t>Sumažėjo mirusiųjų nuo narkotinių ir psichotropinių medžiagų vartojimo pagal lytį 2004 metais  buvo 38 asmenys ( 33 vyrai ir 5 moterys),  2005 metais mirė 31 asmuo ( 29 vyrai ir 2 moterys).  Miršta daugiau vyrų, mieste.</w:t>
      </w:r>
    </w:p>
    <w:p w:rsidR="00585AD9" w:rsidRDefault="00585AD9" w:rsidP="00585AD9">
      <w:pPr>
        <w:ind w:firstLine="720"/>
        <w:jc w:val="both"/>
      </w:pPr>
      <w:r>
        <w:t>8. Ekstremalių sveikatai situacijų centro Apsinuodijimų kontrolės ir informacijos biuro specialistai visą parą teikia informaciją ir konsultacijas apsinuodijimų atvejais.</w:t>
      </w:r>
    </w:p>
    <w:p w:rsidR="00585AD9" w:rsidRDefault="00585AD9" w:rsidP="00585AD9">
      <w:pPr>
        <w:jc w:val="both"/>
      </w:pPr>
      <w:r>
        <w:tab/>
        <w:t xml:space="preserve">(2004 m. gyventojai ir asmens sveikatos priežiūros įstaigų specialistai į biurą kreipėsi 1124 kartus. Skambučiai dėl konkretaus apsinuodijimo atvejo gydymo taktikos ar apsinuodijimą sukėlusios medžiagos poveikio sudarė 79 proc. Apsinuodijimai narkotinėmis medžiagomis sudarė 4,6 proc. visų klinikinių atvejų. </w:t>
      </w:r>
    </w:p>
    <w:p w:rsidR="00585AD9" w:rsidRDefault="00585AD9" w:rsidP="00585AD9">
      <w:pPr>
        <w:ind w:firstLine="720"/>
        <w:jc w:val="both"/>
      </w:pPr>
      <w:r>
        <w:t xml:space="preserve">2005 m. gyventojai ir asmens sveikatos priežiūros įstaigų specialistai kreipėsi 1343 kartus, kurie sudarė 75 proc. Apsinuodijimai narkotinėmis medžiagomis sudarė 4,8 proc.  visų klinikinių atvejų. </w:t>
      </w:r>
    </w:p>
    <w:p w:rsidR="00585AD9" w:rsidRDefault="00585AD9" w:rsidP="00585AD9">
      <w:pPr>
        <w:ind w:firstLine="720"/>
        <w:jc w:val="both"/>
      </w:pPr>
      <w:r>
        <w:t xml:space="preserve"> (Žr. Parlamentinė kontrolė. Komisijos sprendimas).</w:t>
      </w:r>
    </w:p>
    <w:p w:rsidR="00585AD9" w:rsidRDefault="00585AD9" w:rsidP="00585AD9">
      <w:pPr>
        <w:jc w:val="both"/>
      </w:pPr>
    </w:p>
    <w:p w:rsidR="00585AD9" w:rsidRDefault="00585AD9" w:rsidP="00585AD9">
      <w:pPr>
        <w:jc w:val="center"/>
        <w:rPr>
          <w:b/>
          <w:bCs/>
        </w:rPr>
      </w:pPr>
      <w:r>
        <w:rPr>
          <w:b/>
          <w:bCs/>
        </w:rPr>
        <w:t>DĖL NARKOMANIJOS PREVENCIJOS IR NARKOTIKŲ UŽKARDYMO ROMŲ TABORE KIRTIMUOSE, VILNIUJE</w:t>
      </w:r>
    </w:p>
    <w:p w:rsidR="00585AD9" w:rsidRDefault="00585AD9" w:rsidP="00585AD9">
      <w:pPr>
        <w:jc w:val="both"/>
      </w:pPr>
    </w:p>
    <w:p w:rsidR="00585AD9" w:rsidRDefault="00585AD9" w:rsidP="00585AD9">
      <w:pPr>
        <w:ind w:firstLine="720"/>
        <w:jc w:val="both"/>
      </w:pPr>
      <w:r>
        <w:t xml:space="preserve">Gyventojų surašymo duomenimis, Lietuvoje gyvena 2572 romų tautybės asmenys ( tarp jų ir vaikai). Šie duomenys gali būti netikslūs, nes ne visi romų tautybės asmenys galėjo pageidauti, kad jų pasuose būtų įrašyta tautybė). Dalis romų tautybės asmenų gyvena neturėdami Lietuvoje galiojančių dokumentų, tačiau dėl jų nesėslaus gyvenimo būdo, teritorinių policijos įstaigų migracijos tarnybų </w:t>
      </w:r>
      <w:r>
        <w:lastRenderedPageBreak/>
        <w:t>darbuotojai dažnai nežino, kad jų aptarnaujamoje teritorijoje gyvena romai, neturintys asmens dokumentų.</w:t>
      </w:r>
    </w:p>
    <w:p w:rsidR="00585AD9" w:rsidRDefault="00585AD9" w:rsidP="00585AD9">
      <w:pPr>
        <w:ind w:firstLine="720"/>
        <w:jc w:val="both"/>
      </w:pPr>
      <w:r>
        <w:t xml:space="preserve"> Migracijos departamento prie VRM duomenimis (2005 05 15) romams išduoti asmens tapatybę ir pilietybę patvirtinantys dokumentai: </w:t>
      </w:r>
    </w:p>
    <w:p w:rsidR="00585AD9" w:rsidRDefault="00585AD9" w:rsidP="00585AD9">
      <w:pPr>
        <w:ind w:firstLine="720"/>
        <w:jc w:val="both"/>
      </w:pPr>
      <w:r>
        <w:t xml:space="preserve">- 1889 Lietuvos Respublikos pilietybę patvirtinantys dokumentai: 1059 Lietuvos Respublikos piliečio pasai, kurie buvo išduodami iki 2003 01 01 (138 asmenų pasų galiojimo laikas yra pasibaigęs); 49 asmens tapatybės kortelės, kurios pradėtos išduoti po 2003 01 01d.; 340 pasų, kurie pradėti išduoti po 2003 01 01dienos.   </w:t>
      </w:r>
    </w:p>
    <w:p w:rsidR="00585AD9" w:rsidRDefault="00585AD9" w:rsidP="00585AD9">
      <w:pPr>
        <w:ind w:firstLine="720"/>
        <w:jc w:val="both"/>
      </w:pPr>
      <w:r>
        <w:t>- 157 leidimai gyventi Lietuvos Respublikoje: 155 leidimai nuolat gyventi (šiuo metu 40 asmens leidimų gyventi galiojimo laikas yra pasibaigęs); 2 leidimai laikinai gyventi (galiojimo laikas yra pasibaigęs).</w:t>
      </w:r>
    </w:p>
    <w:p w:rsidR="00585AD9" w:rsidRDefault="00585AD9" w:rsidP="00585AD9">
      <w:pPr>
        <w:jc w:val="both"/>
      </w:pPr>
      <w:r>
        <w:t>Romų tabore Kirtimuose, Vilniuje, S.Dariaus ir S.Girėno g. 185 bei Rodūnės kelias 21,  gyvena per 500 asmenų, 280 asmenų  amžius yra iki 15 metų, 220 asmenų amžius viršija 15 metų,  ir iš pastarųjų net 124 asmenys teisti už neteisėtą narkotinių ir psichotropinių medžiagų disponavimą, iš jų 50 asmenų teisti pakartotinai. (Vaiko teisių apsaugos kontrolieriaus įstaigos 2005 10 28 duomenimis romų tabore gyveno 167 nepilnamečiai).</w:t>
      </w:r>
    </w:p>
    <w:p w:rsidR="00585AD9" w:rsidRDefault="00585AD9" w:rsidP="00585AD9">
      <w:pPr>
        <w:jc w:val="both"/>
      </w:pPr>
      <w:r>
        <w:tab/>
        <w:t>Narkomanijos prevencijos komisija dėl narkomanijos situacijos ir narkotikų platinimo romų tabore Kirtimuose, Vilniuje  2005 metais buvo gavusi informaciją ir dėl to kreipėsi į įvairias valstybines institucijas.</w:t>
      </w:r>
    </w:p>
    <w:p w:rsidR="00585AD9" w:rsidRDefault="00585AD9" w:rsidP="00585AD9">
      <w:pPr>
        <w:jc w:val="both"/>
      </w:pPr>
      <w:r>
        <w:tab/>
        <w:t xml:space="preserve">Kreipimosi pagrindas buvo 2005 04 06 gautas pil. Ritos Belazarienės ir kitų 205 piliečių pasirašytas skundas, kuriame buvo skundžiamasi dėl vienpusiškai romų teisėms  rengiamos teisinės pagalbos programos  ir kitų su romais susijusių  klausimų.  </w:t>
      </w:r>
    </w:p>
    <w:p w:rsidR="00585AD9" w:rsidRDefault="00585AD9" w:rsidP="00585AD9">
      <w:pPr>
        <w:ind w:firstLine="720"/>
        <w:jc w:val="both"/>
      </w:pPr>
      <w:r>
        <w:t>Pareiškėjų manymu, “šia programa pažeidžiamos kitų, šalia romų gyvenančių žmonių teisės, teisės tų žmonių, kurie tapo įkaitais čigonų vykdomos narkotikų, AIDS, hepatito platinimo čigonų tabore ir Vilniaus mieste veiklos, pastovios narkomanų ir čigonų vykdomų vagysčių ir užpuolimų apiplėšimo tikslais veiklos”.</w:t>
      </w:r>
    </w:p>
    <w:p w:rsidR="00585AD9" w:rsidRDefault="00585AD9" w:rsidP="00585AD9">
      <w:pPr>
        <w:ind w:firstLine="720"/>
        <w:jc w:val="both"/>
      </w:pPr>
      <w:r>
        <w:t xml:space="preserve">Skunde nurodyta, kad šalia gyvenantys asmenys tapo įkaitais dėl romų vykdomo narkotikų platinimo, pastovių narkomanų ir romų vagysčių, užpuolimų bei apiplėšimų. Piliečiai jaučiasi nesaugūs ir patiria nuolatinį stresą ir baimę dėl tabore pardavinėjamų narkotikų. </w:t>
      </w:r>
    </w:p>
    <w:p w:rsidR="00585AD9" w:rsidRDefault="00585AD9" w:rsidP="00585AD9">
      <w:pPr>
        <w:jc w:val="both"/>
      </w:pPr>
      <w:r>
        <w:t xml:space="preserve">Jie nurodo, kad “visa aplinka kelių kilometrų spinduliu padengta panaudotais narkomanų švirkštais”. </w:t>
      </w:r>
    </w:p>
    <w:p w:rsidR="00585AD9" w:rsidRDefault="00585AD9" w:rsidP="00585AD9">
      <w:pPr>
        <w:ind w:firstLine="720"/>
        <w:jc w:val="both"/>
      </w:pPr>
      <w:r>
        <w:t>Pareiškėjai teigia, kad “narkomanai pastoviai, kiekvieną parą vaikšto Rodūnios kelio, S.Dariaus ir S.Girėno, kt. gatvėmis, aplink mūsų namus susėdę leidžiasi narkotikus, tas pats vyksta ir kituose Kirtimų, Naujininkų ir aplink juos esančių miškelių, sodų apylinkėse, nes policijai sugriežtinus čigonų taboro stebėjimą, čigonai, pardavinėdami narkotikus, pasklido po visas pietines Vilniaus miesto prieigose esančias apylinkes. Narkomanai dažnai pastebimi su vogtais daiktais net autobusuose ar stotelėse. Pagal narkomanų išvaizdą, kalbą ir klausimus praeiviams susidaro įspūdis, kad dalis jų yra ne iš Vilniaus, o suvažiavę iš kitų miestų ar šalių. Be to, manome, kad tokio uždarbio iš narkotikų ir kontrabandinių cigarečių pardavinėjimo, kaip kad yra Vilniuje, čigonai neturi niekur kitur Europoje,   todėl važiuoja į Vilnių ir iš kitų kraštų. Taboras akivaizdžiai plečiasi” ir t.t.</w:t>
      </w:r>
    </w:p>
    <w:p w:rsidR="00585AD9" w:rsidRDefault="00585AD9" w:rsidP="00585AD9">
      <w:pPr>
        <w:ind w:firstLine="720"/>
        <w:jc w:val="both"/>
      </w:pPr>
      <w:r>
        <w:t>Seimo Narkomanijos prevencijos komisija dėl pil. Ritos Belazarienės ir kitų 205 piliečių skunde nurodytos situacijos kreipėsi į Seimo Žmogaus teisių komitetą prašydama  atlikti institucijų, sprendžiančių žmogaus ir piliečio teisių užtikrinimo klausimus, parlamentinę kontrolę. Seimo Narkomanijos prevencijos komisija atkreipė Seimo Žmogaus teisių komiteto dėmesį, kad neteisingai, nepilnai arba vienpusiškai pateikiant informaciją  piliečiams,  gali atsirasti etninių grupių priešprieša. Žmogaus teisių negalima varžyti ir teikti jam privilegijų dėl jo lyties, rasės, tautybės, kalbos, kilmės, socialinės padėties, tikėjimo, įsitikinimų ar pažiūrų pagrindu.</w:t>
      </w:r>
    </w:p>
    <w:p w:rsidR="00585AD9" w:rsidRDefault="00585AD9" w:rsidP="00585AD9">
      <w:pPr>
        <w:jc w:val="both"/>
      </w:pPr>
      <w:r>
        <w:t xml:space="preserve"> </w:t>
      </w:r>
      <w:r>
        <w:tab/>
        <w:t>Taip pat  Narkomanijos prevencijos komisija dėl narkomanijos situacijos ir narkotikų platinimo romų tabore Kirtimuose, Vilniuje  2005 03 09 raštu Nr. 293-S-36 “”Dėl informacijos ir išvadų pateikimo”  ir 2005 06 28 raštu Nr. 293-S-157 “Dėl išvadų pateikimo”  kreipėsi į Vaiko teisių apsaugos kontrolierę Rimantę Šalaševičiūtę prašydama  pateikti Komisijai išvadas ar  nurodytais atvejais nėra pažeidžiamas Jungtinių Tautų vaiko teisių konvencijos 33 straipsnis.  Komisija citavo savaitiniame žurnale “Ekstra” Nr. 9 2005 02 28-03 06 A.Lingio publikacijoje “Taboras žengia į…” tabore gyvenančių romų vaikų  atvejus, kuriuose nurodyta: ”..Paprastai tabore narkotikus pardavinėja nepilnamečiai vaikai arba jų motinos…,.…vaikai kiaurus metus mato, kaip jų namuose kvaišalų atėję narkomanai jų čia pat ir susileidžia..”. “Taboro gyventojų vaikai labai dažnai dirba kaip žvalgai”....”vaikai kasdien mato narkotikus pardavinėjančius tėvus”.</w:t>
      </w:r>
    </w:p>
    <w:p w:rsidR="00585AD9" w:rsidRDefault="00585AD9" w:rsidP="00585AD9">
      <w:pPr>
        <w:jc w:val="both"/>
      </w:pPr>
      <w:r>
        <w:lastRenderedPageBreak/>
        <w:tab/>
        <w:t xml:space="preserve"> Narkomanijos prevencijos komisija atkreipė Vaiko teisių apsaugos kontrolierės Rimantės Šalaševičiūtės dėmesį į tai, kad Jungtinių Tautų vaiko teisių konvencijos, kurią Lietuva ratifikavo 1995 m. liepos 3 d. (Valstybės žinios, 1995, Nr. 60-1501),  33 straipsnis nurodo, kad “Valstybės dalyvės imasi visų reikiamų priemonių, įskaitant teisines, administracines, socialines ir šviečiamąsias, kad apsaugotų vaikus nuo neteisėto narkotinių priemonių ir psichotropinių medžiagų, kaip jos apibrėžtos atitinkamose tarptautinėse sutartyse, vartojimo ir neleistų panaudoti vaikų tokias medžiagas neteisėtai gaminant ir pardavinėjant.”</w:t>
      </w:r>
    </w:p>
    <w:p w:rsidR="00585AD9" w:rsidRDefault="00585AD9" w:rsidP="00585AD9">
      <w:pPr>
        <w:jc w:val="both"/>
      </w:pPr>
      <w:r>
        <w:tab/>
        <w:t xml:space="preserve">Seimo Narkomanijos prevencijos komisija dėl skunde nurodytų aplinkybių tyrimo kreipėsi į: </w:t>
      </w:r>
    </w:p>
    <w:p w:rsidR="00585AD9" w:rsidRDefault="00585AD9" w:rsidP="00585AD9">
      <w:pPr>
        <w:jc w:val="both"/>
      </w:pPr>
      <w:r>
        <w:t xml:space="preserve"> Policijos generalinį komisarą V.Grigaravičių 2005 04 06 raštu Nr. 293-S-61 “Dėl piliečių skundo tyrimo”;</w:t>
      </w:r>
    </w:p>
    <w:p w:rsidR="00585AD9" w:rsidRDefault="00585AD9" w:rsidP="00585AD9">
      <w:pPr>
        <w:ind w:firstLine="720"/>
        <w:jc w:val="both"/>
      </w:pPr>
      <w:r>
        <w:t xml:space="preserve"> Seimo Žmogaus teisių komitetą 2005 04 06 raštu Nr. 293-S-62 “Dėl piliečių skundo”;</w:t>
      </w:r>
    </w:p>
    <w:p w:rsidR="00585AD9" w:rsidRDefault="00585AD9" w:rsidP="00585AD9">
      <w:pPr>
        <w:jc w:val="both"/>
      </w:pPr>
      <w:r>
        <w:t xml:space="preserve"> Specialiųjų tyrimų tarnybos direktorių P.Malakauską 2005 04 06 raštu Nr. 293-S-63 “Dėl piliečių skunde nurodytų faktų”;</w:t>
      </w:r>
    </w:p>
    <w:p w:rsidR="00585AD9" w:rsidRDefault="00585AD9" w:rsidP="00585AD9">
      <w:pPr>
        <w:ind w:firstLine="720"/>
        <w:jc w:val="both"/>
      </w:pPr>
      <w:r>
        <w:t xml:space="preserve"> Seimo kontrolierių įstaigą 2005 04 08 raštu Nr. 293- S-65 “Dėl piliečių skundo” ir 2005 04 28 raštu Nr. 293-S-95 “Dėl Seimo kontrolieriaus 2005 04 19 rašto 4D-2005/01-4K/3D-1480”.</w:t>
      </w:r>
    </w:p>
    <w:p w:rsidR="00585AD9" w:rsidRDefault="00585AD9" w:rsidP="00585AD9">
      <w:pPr>
        <w:jc w:val="both"/>
      </w:pPr>
    </w:p>
    <w:p w:rsidR="00585AD9" w:rsidRDefault="00585AD9" w:rsidP="00585AD9">
      <w:pPr>
        <w:jc w:val="both"/>
      </w:pPr>
      <w:r>
        <w:t xml:space="preserve"> </w:t>
      </w:r>
      <w:r>
        <w:tab/>
        <w:t xml:space="preserve">Narkomanijos prevencijos komisija gavo atsakymus iš: </w:t>
      </w:r>
    </w:p>
    <w:p w:rsidR="00585AD9" w:rsidRDefault="00585AD9" w:rsidP="00585AD9">
      <w:pPr>
        <w:ind w:firstLine="720"/>
        <w:jc w:val="both"/>
      </w:pPr>
      <w:r>
        <w:t>Lietuvos Respublikos Seimo kontrolieriaus Romo Valentukevičiaus 2005 04 19 raštu   Nr. 4D-2005/01-4K/3D-1480 “Dėl piliečių skundo”;</w:t>
      </w:r>
    </w:p>
    <w:p w:rsidR="00585AD9" w:rsidRDefault="00585AD9" w:rsidP="00585AD9">
      <w:pPr>
        <w:ind w:firstLine="720"/>
        <w:jc w:val="both"/>
      </w:pPr>
      <w:r>
        <w:t xml:space="preserve"> Seimo kontrolierių Romo Valentukevičiaus, Albinos Radzevičiūtės ir Virginijos Pilipavičienės 2005 09 19 raštą Nr. 4D-2005/01-682/3D-3913 “dėl romų integracijos į Lietuvos visuomenę 2000-2004 metų programos įgyvendinimo”; </w:t>
      </w:r>
    </w:p>
    <w:p w:rsidR="00585AD9" w:rsidRDefault="00585AD9" w:rsidP="00585AD9">
      <w:pPr>
        <w:ind w:firstLine="720"/>
        <w:jc w:val="both"/>
      </w:pPr>
      <w:r>
        <w:t>Lietuvos Respublikos Specialiųjų tyrimų tarnybos direktoriaus pavaduotojo Vidmanto Bruzgio 2005 04 19 raštu Nr. 4-1-1071 “Dėl žmogaus teisių stebėjimo instituto veiklos”;</w:t>
      </w:r>
    </w:p>
    <w:p w:rsidR="00585AD9" w:rsidRDefault="00585AD9" w:rsidP="00585AD9">
      <w:pPr>
        <w:jc w:val="both"/>
      </w:pPr>
      <w:r>
        <w:t xml:space="preserve"> </w:t>
      </w:r>
      <w:r>
        <w:tab/>
        <w:t xml:space="preserve"> Policijos departamento prie Lietuvos Respublikos Vidaus reikalų ministerijos l.e. Policijos generalinio komisaro pareigas Vizgirdo Telyčėno 2005 05 11 raštu Nr. 5-S-3729 “Dėl piliečių skundo tyrimo” ;</w:t>
      </w:r>
    </w:p>
    <w:p w:rsidR="00585AD9" w:rsidRDefault="00585AD9" w:rsidP="00585AD9">
      <w:pPr>
        <w:ind w:firstLine="720"/>
        <w:jc w:val="both"/>
      </w:pPr>
      <w:r>
        <w:t xml:space="preserve"> Vaiko teisių apsaugos kontrolierės Rimantės Šalaševičiūtės 2005 07 04  raštu Nr. 2-842 “Dėl išvadų” ir 2005 11 04 raštu Nr. 2- 1359 “Dėl prašomos informacijos pateikimo”.</w:t>
      </w:r>
    </w:p>
    <w:p w:rsidR="00585AD9" w:rsidRDefault="00585AD9" w:rsidP="00585AD9">
      <w:pPr>
        <w:jc w:val="both"/>
      </w:pPr>
      <w:r>
        <w:tab/>
        <w:t xml:space="preserve">Lietuvos Respublikos Seimo kontrolierius Romas Valentukevičius 2005 04 19 raštu   Nr. 4D-2005/01-4K/3D-1480 “Dėl piliečių skundo” informavo Komisiją dėl R.Belazarienės ir kitų skundėjų nurodytų aplinkybių  “Seimo kontrolierių įstaigoje 2004 m. gruodžio mėnesį nagrinėjant pil. Ritos Belazarienės skundą dėl kontrolierės Rimantės Šalaševičiūtės veiklos ginant romų teises, buvo sprendžiami tie patys klausimai ir priimtas sprendimas, kurio kopiją Jums siunčiame”. </w:t>
      </w:r>
    </w:p>
    <w:p w:rsidR="00585AD9" w:rsidRDefault="00585AD9" w:rsidP="00585AD9">
      <w:pPr>
        <w:ind w:firstLine="720"/>
        <w:jc w:val="both"/>
      </w:pPr>
      <w:r>
        <w:t xml:space="preserve">Seimo kontrolieriaus R.Valentukevičiaus pateiktame pil. Ritai Belazarienei 2004 12 22 raštu Nr. 4D-2004/01-66K/3D-7175 “Dėl Seimo kontrolierės Rimantės Šalaševičiūtės veiklos sustabdžius Vilniaus miesto savivaldybės inicijuotą romų taboro teritorijoje esančių nelegalių statinių griovimą” atsakyme nurodyta,  citatos pradžia:” ..  Seimo kontrolierė R. Šalaševičiūtė, vykdydama jai įstatymu suteiktas pareigas, veikė kompetencijos ribose, vadovaudamasi aukščiau paminėtais pagarbos žmogui ir valstybei, veiklos laisvės ir savarankiškumo, teisėtumo, nešališkumo ir teisingumo, proporcingumo ir kitais principais. Seimo kontrolierei tarpininkaujant, Vilniaus miesto savivaldybės ir Vilniaus   miesto čigonų bendruomenės atstovų bendru susitarimu, ne tik buvo sustabdytas neatsižvelgiant į įstatymų nustatytas procedūras vykdytas nelegalių pastatų taboro teritorijoje griovimas, tačiau įvykusių derybų, susitikimų bei pasitarimų metu išsiaiškintos konfliktinės situacijos priežastys ir sąlygos, numatyti konkretūs problemų sprendimo būdai – surašytas derybų protokolas, kuriuo šalys prisiėmė konkrečius įsipareigojimus, tarp jų ir susijusius su kovos su narkotikų gamyba ir prekyba čigonų tabore sugriežtinimu, bei taboro plėtros sustabdymu.  Savivaldybė, be kitų įsipareigojimų, įsipareigojo imtis priemonių kovai su narkotikų gamybos ir prekybos tabore problema sugriežtinti, parengiant konkrečių veiksmų planą ir mobilizuojant papildomas policijos pajėgas (įrengti papildomą policijos kontrolės postą taboro prieigose arba taboro teritorijoje). Atkreiptinas dėmesys į tai, jog šių veiksmų išdavoje jau 2004 12 10 buvo surengtas viešosios policijos reidas, kurio metu pareigūnai sulaikė 50 narkotikų įsigyti atvažiavusių narkomanų, 3 narkotikų laikymu įtariamus taboro gyventojus, 2 policijos paieškomus asmenis. Savo ruožtu romų bendruomenė įsipareigojo tiek bendruomenės viduje bei santykiuose su kitais asmenimis laikytis Lietuvos respublikos įstatymų, kitų teisės aktų reikalavimų bei visuotinai pripažintų visuomenės bendravimo normų, nepagyvendinti į </w:t>
      </w:r>
      <w:r>
        <w:lastRenderedPageBreak/>
        <w:t xml:space="preserve">taborą nuolatiniam gyvenimui iš kitų Lietuvos vietovių ir kitų valstybių atvykstančių čigonų tautybės asmenų tuo užkertant kelią taboro plėtrai.” ..citatos pabaiga. </w:t>
      </w:r>
    </w:p>
    <w:p w:rsidR="00585AD9" w:rsidRDefault="00585AD9" w:rsidP="00585AD9">
      <w:pPr>
        <w:ind w:firstLine="720"/>
        <w:jc w:val="both"/>
      </w:pPr>
      <w:r>
        <w:t>Seimo kontrolierių Romo Valentukevičiaus, Albinos Radzevičiūtės ir Virginijos Pilipavičienės papildomai pateiktoje 2005 09 19 raštu Nr. 4D-2005/01-682/3D-3913 “Dėl romų integracijos i Lietuvos visuomenę 2000-2004 metų programos įgyvendinimo” informacijoje nurodyta, kad Seimo kontrolierei tyrė skundus dėl romų teisių galimų pažeidimų, pagal Seimo kontrolieriams priskirtas veiklos sritis  vertino atitinkamų institucijų ir pareigūnų veiklą ir veiksmus. Taip pat vertino Seimo Narkomanijos prevencijos komisijos prašyme  Lietuvos Respublikos Vyriausybės 2000 m. liepos 1 d. nutarimu Nr. 759 “Dėl Romų integracijos į Lietuvos visuomenę 2000-2004 metų programos” patvirtintos Programos įgyvendinimą. Apibendrinę informaciją,  Seimo kontrolieriai pažymėjo, citatos pradžia: ”..jog kaip matyti iš Programos vykdytojų pateiktos informacijos, 2000-2004 metais buvo įgyvendinami Programos I etapui nustatyti tikslai – įsteigtas Romų visuomenės centras, lavinami mokyklinio amžiaus vaikai, gerinamos romų socialinės sąlygos, įgyvendinama pirminė sveikatos priežiūra, skatinama kultūrinė veikla. Programos vykdytojai informavo, jog dėl lėšų trūkumo kai kurios priemonės nebuvo pilnai įgyvendintos.</w:t>
      </w:r>
    </w:p>
    <w:p w:rsidR="00585AD9" w:rsidRDefault="00585AD9" w:rsidP="00585AD9">
      <w:pPr>
        <w:ind w:firstLine="720"/>
        <w:jc w:val="both"/>
      </w:pPr>
      <w:r>
        <w:t xml:space="preserve">Atkreiptinas dėmesys į tai, kad Vilniaus miesto savivaldybės taryba 2005 06 22 sprendimu Nr. 1-838 patvirtino Vilniaus romų bendruomenės ir šalia taboro esančių teritorijų priežiūros ir saugumo užtikrinimo bei romų segregacijos mažinimo 2005 –2010 metų programą. Savivaldybės taryba taip pat įpareigojo Vilniaus miesto savivaldybės administracijos Ekonomikos departamentą numatyti šiai programai vykdyti 2005 – 2006 metams 1 530 725 litų, o 2007, 2008, 2009 ir 2010 metams po 619, 325 tūkstančių litų ir kreiptis į LR Vyriausybę dėl lėšų skyrimo romams apgyvendinti kitų Lietuvos Respublikos savivaldybių teritorijose. Taip pat pažymėtina, jog TMID generalinio direktoriaus 2005 03 28 įsakymu Nr. V-35 buvo sudaryta darbo grupė Programos II etapo priemonių parengimui. ” ..citatos pabaiga. </w:t>
      </w:r>
    </w:p>
    <w:p w:rsidR="00585AD9" w:rsidRDefault="00585AD9" w:rsidP="00585AD9">
      <w:pPr>
        <w:ind w:firstLine="720"/>
        <w:jc w:val="both"/>
      </w:pPr>
      <w:r>
        <w:t>Seimo kontrolieriai nurodė, kad Tautinių mažumų ir išeivijos departamentas juos informavo,  kad citatos pradžia: “ ...Pasak TMID, žinodamas, kad yra nevykdomos programos 14 ir 15 priemonės (organizuoti romų švietimą sanitarijos ir higienos klausimais bei vykdyti taboruose narkomanijos prevenciją ir gydymą),  Departamentas ėmėsi iniciatyvos ir 2003 metais organizavo kelias paskaitas apie sveiką gyvenimo būdą, mitybą, narkomanijos žalą ir pasekmes.”..citatos pabaiga.</w:t>
      </w:r>
    </w:p>
    <w:p w:rsidR="00585AD9" w:rsidRDefault="00585AD9" w:rsidP="00585AD9">
      <w:pPr>
        <w:ind w:firstLine="720"/>
        <w:jc w:val="both"/>
      </w:pPr>
      <w:r>
        <w:t>2000 metais Vilniaus miesto savivaldybė skyrė 12 tūkstančių litų švirkštų ir adatų keitimo programai, 2001 metais – 24 tūkstančius litų, 2002 metais mobiliam švirkštų ir adatų keitimo punktui “Mėlynasis autobusiukas”  skirta 75 tūkstančiai litų, 2003 metais – 74,5 tūkstančio. 2004 metais projektui “Mėlynojo autobusiuko – ŽIV prevencijos tarp narkotikų   vartotojų programa” Vilniaus miesto savivaldybė skyrė 100 tūkstančių litų. Nuo 2004 m. gruodžio mėn. Vilniaus priklausomybės ligų centras keletą mėnesių įgyvendino programą “Mobilios sveikatos paslaugos romų bendruomenėje”. Šiai programai įgyvendinti skirta 15 tūkstančių litų. Programos įgyvendinimo metu buvo teikiamos nesudėtingos sveikatos paslaugos romų tabore, romams, priklausomiems nuo narkotikų , dalijamas metadonas. Tačiau nuo 2005 03 05 romų taboro gyventojams pasiūlyta tęsti pakaitinį gydymą metadonu VšĮ Naujininkų poliklinikoje ( draustiems privalomuoju sveikatos draudimu) ir Vilniaus priklausomybės ligų centre (Gerosios vilties g.3). Neapdraustiems privalomuoju sveikatos draudimu Vilniaus miesto gyventojams (kartu ir romams) už ambulatorines asmens sveikatos priežiūros paslaugas, kurios yra neįtrauktos į būtinosios medicinos pagalbos paslaugų sąrašą, apmoka Sveikatos ir socialinės apsaugos departamentas vadovaudamasis Vilniaus miesto savivaldybės tarybos 2001 m. liepos 18 d. sprendimu Nr. 371 ir 2004 m. lapkričio 17 d. sprendimu Nr. 1-567.</w:t>
      </w:r>
    </w:p>
    <w:p w:rsidR="00585AD9" w:rsidRDefault="00585AD9" w:rsidP="00585AD9">
      <w:pPr>
        <w:ind w:firstLine="720"/>
        <w:jc w:val="both"/>
      </w:pPr>
      <w:r>
        <w:t xml:space="preserve">2005 metais Vilniaus priklausomybės ligų centras papildomai teikė tokias paslaugas: vieną kartą per savaitę prie Romų visuomenės centro atvyksta mobilus švirkštų adatų keitimo punktas “Mėlynas autobusiukas” ir pagal individualų poreikį išduodama tvarsliava abscesų ir trofinių opų priežiūrai, priemonės utėlėtumui gydyti, kitos higienos priemonės, taip pat teikiamos konsultacijos sveikatos išsaugojimo ir socialinės paramos klausimais. </w:t>
      </w:r>
    </w:p>
    <w:p w:rsidR="00585AD9" w:rsidRDefault="00585AD9" w:rsidP="00585AD9">
      <w:pPr>
        <w:ind w:firstLine="720"/>
        <w:jc w:val="both"/>
      </w:pPr>
      <w:r>
        <w:t>Iš Seimo kontrolierių pateiktos informacijos matyti, kad  pagal Programos priemones Vilniaus miesto savivaldybei ( kartu su kitais programos priemonių vykdytojais) pavesta įgyvendinti priemones švietimo srityje, socialinių klausimų sferoje, sveikatos apsaugos  bei tautinio identiteto išsaugojimo sferoje.</w:t>
      </w:r>
    </w:p>
    <w:p w:rsidR="00585AD9" w:rsidRDefault="00585AD9" w:rsidP="00585AD9">
      <w:pPr>
        <w:ind w:firstLine="720"/>
        <w:jc w:val="both"/>
      </w:pPr>
      <w:r>
        <w:t xml:space="preserve"> Nustatyta, kad Lietuvos Respublikos Vyriausybė 2000 m. liepos 1 d. nutarimu Nr. 759 "Dėl Romų integracijos į Lietuvos visuomenę 2000-2004 metų programos",  patvirtino Romų integracijos į Lietuvos visuomenę 2000-2004 metų programą ( toliau- Programa)  ir jos įgyvendinimo priemones. </w:t>
      </w:r>
    </w:p>
    <w:p w:rsidR="00585AD9" w:rsidRDefault="00585AD9" w:rsidP="00585AD9">
      <w:pPr>
        <w:ind w:firstLine="720"/>
        <w:jc w:val="both"/>
      </w:pPr>
      <w:r>
        <w:lastRenderedPageBreak/>
        <w:t xml:space="preserve">Lietuvos Respublikos Vyriausybė pavedė Finansų ministerijai, rengiant atitinkamų metų Lietuvos Respublikos valstybės biudžeto ir savivaldybių biudžetų finansinių rodiklių patvirtinimo įstatymų projektus, numatyti lėšas patvirtintoms priemonėms įgyvendinti pagal institucijų pateiktus skaičiavimus. </w:t>
      </w:r>
    </w:p>
    <w:p w:rsidR="00585AD9" w:rsidRDefault="00585AD9" w:rsidP="00585AD9">
      <w:pPr>
        <w:jc w:val="both"/>
      </w:pPr>
      <w:r>
        <w:tab/>
        <w:t>Tautinių mažumų ir išeivijos departamentas prie Lietuvos Respublikos Vyriausybės koordinavo programos vykdymą.</w:t>
      </w:r>
    </w:p>
    <w:p w:rsidR="00585AD9" w:rsidRDefault="00585AD9" w:rsidP="00585AD9">
      <w:pPr>
        <w:ind w:firstLine="720"/>
        <w:jc w:val="both"/>
      </w:pPr>
      <w:r>
        <w:t>Programą įgyvendinti privalėjo  Vilniaus miesto savivaldybė, Švietimo ir mokslo ministerija, Socialinės apsaugos ir darbo ministerija, Migracijos departamentas prie Vidaus reikalų ministerijos, Vilniaus apskrities viršininko administracija, Valstybinė lietuvių kalbos komisija prie Lietuvos Respublikos Seimo, Lietuvos vaikų fondas.</w:t>
      </w:r>
    </w:p>
    <w:p w:rsidR="00585AD9" w:rsidRDefault="00585AD9" w:rsidP="00585AD9">
      <w:pPr>
        <w:jc w:val="both"/>
      </w:pPr>
      <w:r>
        <w:tab/>
        <w:t xml:space="preserve">Programa sudaryta iš keturių pagrindinių dalių – švietimo, socialinių klausimų, sveikatos apsaugos užtikrinimo ir tautinio identiteto išsaugojimo klausimais. </w:t>
      </w:r>
    </w:p>
    <w:p w:rsidR="00585AD9" w:rsidRDefault="00585AD9" w:rsidP="00585AD9">
      <w:pPr>
        <w:ind w:firstLine="720"/>
        <w:jc w:val="both"/>
      </w:pPr>
      <w:r>
        <w:t>Svarbiausieji programos tikslai:</w:t>
      </w:r>
    </w:p>
    <w:p w:rsidR="00585AD9" w:rsidRDefault="00585AD9" w:rsidP="00585AD9">
      <w:pPr>
        <w:ind w:firstLine="720"/>
        <w:jc w:val="both"/>
      </w:pPr>
      <w:r>
        <w:t>sudaryti sąlygas, kad asmenys, priklausantys romų etninei mažumai, visaverčiai integruotųsi į Lietuvos visuomenės gyvenimą;</w:t>
      </w:r>
    </w:p>
    <w:p w:rsidR="00585AD9" w:rsidRDefault="00585AD9" w:rsidP="00585AD9">
      <w:pPr>
        <w:ind w:firstLine="720"/>
        <w:jc w:val="both"/>
      </w:pPr>
      <w:r>
        <w:t>numatyti būdus ir priemones romų tautiniam savitumui išsaugoti ir plėtoti atsižvelgiant į specifines jų gyvenimo sąlygas.</w:t>
      </w:r>
    </w:p>
    <w:p w:rsidR="00585AD9" w:rsidRDefault="00585AD9" w:rsidP="00585AD9">
      <w:pPr>
        <w:ind w:firstLine="720"/>
        <w:jc w:val="both"/>
      </w:pPr>
      <w:r>
        <w:t>Siekiant tikslų įgyvendinimo  būtina:</w:t>
      </w:r>
    </w:p>
    <w:p w:rsidR="00585AD9" w:rsidRDefault="00585AD9" w:rsidP="00585AD9">
      <w:pPr>
        <w:ind w:firstLine="720"/>
        <w:jc w:val="both"/>
      </w:pPr>
      <w:r>
        <w:t>vykdyti nuoseklią ir darnią valstybinę romų integravimosi politiką, suderintą su Lietuvos Respublikos įstatymais, kitais teisės aktais ir tarptautinių organizacijų dokumentais;</w:t>
      </w:r>
    </w:p>
    <w:p w:rsidR="00585AD9" w:rsidRDefault="00585AD9" w:rsidP="00585AD9">
      <w:pPr>
        <w:ind w:firstLine="720"/>
        <w:jc w:val="both"/>
      </w:pPr>
      <w:r>
        <w:t>imtis veiksmingų priemonių, kad būtų sudarytos vienodos galimybės romams ir kitiems šalies gyventojams dalyvauti visuomenės gyvenime;</w:t>
      </w:r>
    </w:p>
    <w:p w:rsidR="00585AD9" w:rsidRDefault="00585AD9" w:rsidP="00585AD9">
      <w:pPr>
        <w:ind w:firstLine="720"/>
        <w:jc w:val="both"/>
      </w:pPr>
      <w:r>
        <w:t>skatinti tarpusavio toleranciją ir pasitikėjimą, supažindinti visuomenę su romų kultūra ir istorija, formuoti teigiamą jų įvaizdį, atsiriboti nuo išankstinės priešiškos nuostatos ir kai kurių stereotipų romų atžvilgiu;</w:t>
      </w:r>
    </w:p>
    <w:p w:rsidR="00585AD9" w:rsidRDefault="00585AD9" w:rsidP="00585AD9">
      <w:pPr>
        <w:ind w:firstLine="720"/>
        <w:jc w:val="both"/>
      </w:pPr>
      <w:r>
        <w:t>formuoti ir vykdyti romų integravimosi politiką nacionaliniu ir savivaldos lygmenimis, bendradarbiaujant su tarptautinėmis ir šalies nevyriausybinėmis organizacijomis.</w:t>
      </w:r>
    </w:p>
    <w:p w:rsidR="00585AD9" w:rsidRDefault="00585AD9" w:rsidP="00585AD9">
      <w:pPr>
        <w:ind w:firstLine="720"/>
        <w:jc w:val="both"/>
      </w:pPr>
      <w:r>
        <w:t>Programos  įgyvendinamas numatytas dviem etapais.</w:t>
      </w:r>
    </w:p>
    <w:p w:rsidR="00585AD9" w:rsidRDefault="00585AD9" w:rsidP="00585AD9">
      <w:pPr>
        <w:ind w:firstLine="720"/>
        <w:jc w:val="both"/>
        <w:rPr>
          <w:bCs/>
        </w:rPr>
      </w:pPr>
      <w:r>
        <w:rPr>
          <w:bCs/>
        </w:rPr>
        <w:t>Pirmasis etapas – gerinti Vilniaus miesto romų būklę.</w:t>
      </w:r>
    </w:p>
    <w:p w:rsidR="00585AD9" w:rsidRDefault="00585AD9" w:rsidP="00585AD9">
      <w:pPr>
        <w:ind w:firstLine="720"/>
        <w:jc w:val="both"/>
        <w:rPr>
          <w:bCs/>
        </w:rPr>
      </w:pPr>
      <w:r>
        <w:rPr>
          <w:bCs/>
        </w:rPr>
        <w:t xml:space="preserve">Antrasis etapas – gerinti romų, gyvenančių kituose Lietuvos miestuose ir rajonuose, būklę. </w:t>
      </w:r>
    </w:p>
    <w:p w:rsidR="00585AD9" w:rsidRDefault="00585AD9" w:rsidP="00585AD9">
      <w:pPr>
        <w:ind w:firstLine="720"/>
        <w:jc w:val="both"/>
      </w:pPr>
      <w:r>
        <w:t>Pirmojo etapo tikslai, susiję daugiausia su Vilniaus miesto romais, yra šie:</w:t>
      </w:r>
    </w:p>
    <w:p w:rsidR="00585AD9" w:rsidRDefault="00585AD9" w:rsidP="00585AD9">
      <w:pPr>
        <w:ind w:firstLine="720"/>
        <w:jc w:val="both"/>
      </w:pPr>
      <w:r>
        <w:t>įsteigti romų visuomeninį centrą;</w:t>
      </w:r>
    </w:p>
    <w:p w:rsidR="00585AD9" w:rsidRDefault="00585AD9" w:rsidP="00585AD9">
      <w:pPr>
        <w:ind w:firstLine="720"/>
        <w:jc w:val="both"/>
      </w:pPr>
      <w:r>
        <w:t>lavinti mokyklinio amžiaus vaikus;</w:t>
      </w:r>
    </w:p>
    <w:p w:rsidR="00585AD9" w:rsidRDefault="00585AD9" w:rsidP="00585AD9">
      <w:pPr>
        <w:ind w:firstLine="720"/>
        <w:jc w:val="both"/>
      </w:pPr>
      <w:r>
        <w:t>gerinti romų socialines sąlygas;</w:t>
      </w:r>
    </w:p>
    <w:p w:rsidR="00585AD9" w:rsidRDefault="00585AD9" w:rsidP="00585AD9">
      <w:pPr>
        <w:ind w:firstLine="720"/>
        <w:jc w:val="both"/>
      </w:pPr>
      <w:r>
        <w:t>įgyvendinti pirminę sveikatos priežiūrą;</w:t>
      </w:r>
    </w:p>
    <w:p w:rsidR="00585AD9" w:rsidRDefault="00585AD9" w:rsidP="00585AD9">
      <w:pPr>
        <w:ind w:firstLine="720"/>
        <w:jc w:val="both"/>
      </w:pPr>
      <w:r>
        <w:t>skatinti kultūrinę veiklą.</w:t>
      </w:r>
    </w:p>
    <w:p w:rsidR="00585AD9" w:rsidRDefault="00585AD9" w:rsidP="00585AD9">
      <w:pPr>
        <w:ind w:firstLine="720"/>
        <w:jc w:val="both"/>
      </w:pPr>
      <w:r>
        <w:t xml:space="preserve">Antrojo etapo tikslas – parengti ir įgyvendinti priemones romų, gyvenančių kituose Lietuvos miestuose ir rajonuose, būklei gerinti. </w:t>
      </w:r>
    </w:p>
    <w:p w:rsidR="00585AD9" w:rsidRDefault="00585AD9" w:rsidP="00585AD9">
      <w:pPr>
        <w:ind w:firstLine="720"/>
        <w:jc w:val="both"/>
      </w:pPr>
      <w:r>
        <w:t xml:space="preserve">Programos priemonių įgyvendinimui buvo skiriamos lėšos  iš valstybės biudžeto  ir iš kitų fondų. </w:t>
      </w:r>
    </w:p>
    <w:p w:rsidR="00585AD9" w:rsidRDefault="00585AD9" w:rsidP="00585AD9">
      <w:pPr>
        <w:ind w:firstLine="720"/>
        <w:jc w:val="both"/>
      </w:pPr>
      <w:r>
        <w:t xml:space="preserve">2000 metais, Programos tvirtinimo metu, Lietuvos Respublikos Vyriausybė pažymėjo, kad viena iš opiausių romų problemų – </w:t>
      </w:r>
      <w:r>
        <w:rPr>
          <w:bCs/>
        </w:rPr>
        <w:t>būsto neturėjimas</w:t>
      </w:r>
      <w:r>
        <w:t>. "Nemažai jų gyvena be asmens dokumentų, nuolatinio darbo. Šios ir kitos aplinkybės užkerta romams galimybę pasinaudoti Lietuvos Respublikos įstatymų suteiktomis teisėmis į gyvenamąjį plotą. Vilniaus Kirtimų taboro namai ir nameliai (maždaug 70) pastatyti savavališkai, yra skurdūs, juose trūksta paprasčiausių sanitarinės higienos sąlygų. Šių namų adresas vienas: Dariaus ir Girėno gatvė, Nr. 185. Šiuo vieno namo adresu įregistruota dauguma taboro romų. Visų kitų pastatų teisinė registracija nesutvarkyta. Kai kurie iš jų atitiktų keliamus reikalavimus ir galėtų būti įteisinti. Kita dalis romų gyvena miestuose, dažnai avariniuose namuose, daugelis jų neturi galimybės mokėti už butą ir komunalines paslaugas."</w:t>
      </w:r>
    </w:p>
    <w:p w:rsidR="00585AD9" w:rsidRDefault="00585AD9" w:rsidP="00585AD9">
      <w:pPr>
        <w:ind w:firstLine="720"/>
        <w:jc w:val="both"/>
        <w:rPr>
          <w:bCs/>
        </w:rPr>
      </w:pPr>
      <w:r>
        <w:t xml:space="preserve">Kita ypač svarbi problema – nedarbas. Daugelis romų, neturėdami net pagrindinio išsilavinimo, negali įsigyti specialybės. Todėl susiklosto sąlygos dirbti nelegaliai arba įsitraukti į nusikalstamą veiklą. Su nedarbu yra susijęs gausių romų šeimų </w:t>
      </w:r>
      <w:r>
        <w:rPr>
          <w:bCs/>
        </w:rPr>
        <w:t xml:space="preserve">skurdas. </w:t>
      </w:r>
    </w:p>
    <w:p w:rsidR="00585AD9" w:rsidRDefault="00585AD9" w:rsidP="00585AD9">
      <w:pPr>
        <w:ind w:firstLine="720"/>
        <w:jc w:val="both"/>
      </w:pPr>
      <w:r>
        <w:t>Lietuvos Respublikos Vyriausybė konstatavo, kad būtina parengti Lietuvos romų švietimo koncepciją.</w:t>
      </w:r>
    </w:p>
    <w:p w:rsidR="00585AD9" w:rsidRDefault="00585AD9" w:rsidP="00585AD9">
      <w:pPr>
        <w:ind w:firstLine="720"/>
        <w:jc w:val="both"/>
      </w:pPr>
      <w:r>
        <w:t xml:space="preserve">Lietuvos Respublikos Vyriausybė 2000 metais pažymėjo, kad Romų būklės analizė rodo, jog visos aptartosios problemos – socialinės, ekonominės, švietimo, sveikatos apsaugos, teisinės – labai </w:t>
      </w:r>
      <w:r>
        <w:lastRenderedPageBreak/>
        <w:t>glaudžiai viena su kita susijusios.</w:t>
      </w:r>
      <w:r>
        <w:rPr>
          <w:b/>
        </w:rPr>
        <w:t xml:space="preserve"> </w:t>
      </w:r>
      <w:r>
        <w:t>Romai integruojasi per lėtai, integracija neapima visų gyvenimo sričių, nekoordinuojama įvairių institucijų veikla. Tačiau Lietuvos romai – neatskiriama mūsų visuomenės dalis, todėl būtina nuosekli Lietuvos Respublikos Vyriausybės politika, skatinanti ir spartinanti romų integravimąsi į Lietuvos visuomenę.</w:t>
      </w:r>
    </w:p>
    <w:p w:rsidR="00585AD9" w:rsidRDefault="00585AD9" w:rsidP="00585AD9">
      <w:pPr>
        <w:ind w:firstLine="720"/>
        <w:jc w:val="both"/>
      </w:pPr>
      <w:r>
        <w:t xml:space="preserve">Apibendrinant pažymėtina, kad 2000 – 2004 metais buvo įgyvendinami Programos I etapui nustatyti tikslai – įsteigtas Romų visuomenės centras, lavinami mokyklinio amžiaus vaikai, gerinamos romų socialinės sąlygos, įgyvendinama pirminė sveikatos priežiūra, skatinama kultūrinė veikla, tačiau, dėl lėšų trūkumo kai kurios priemonės nebuvo pilnai įgyvendintos. </w:t>
      </w:r>
    </w:p>
    <w:p w:rsidR="00585AD9" w:rsidRDefault="00585AD9" w:rsidP="00585AD9">
      <w:pPr>
        <w:ind w:firstLine="720"/>
        <w:jc w:val="both"/>
      </w:pPr>
      <w:r>
        <w:t>Seimo kontrolieriai pažymėjo, kad TMID generalinis direktoriaus pavaduotojas S.Vidtmann pateikė nepriklausomų vertintojų – Lietuvos žmogaus teisių instituto ekspertų ir Europos komisijos kovai prieš netoleranciją ir rasizmą narių nuomonę, kad Romų integracijos į Lietuvos visuomenę 2000 –2004  metais programa yra įvykdyta ir turi teigiamą poveikį romų tautinei grupei (2005 09 19 Nr. 4D-2005/01-682/3D-3913).</w:t>
      </w:r>
    </w:p>
    <w:p w:rsidR="00585AD9" w:rsidRDefault="00585AD9" w:rsidP="00585AD9">
      <w:pPr>
        <w:ind w:firstLine="720"/>
        <w:jc w:val="both"/>
      </w:pPr>
      <w:r>
        <w:t xml:space="preserve">TMID generalinio direktoriaus 2005 03 28 įsakymu Nr. V-35 buvo sudaryta darbo grupė Programos II etapo priemonių parengimui. </w:t>
      </w:r>
    </w:p>
    <w:p w:rsidR="00585AD9" w:rsidRDefault="00585AD9" w:rsidP="00585AD9">
      <w:pPr>
        <w:ind w:firstLine="720"/>
        <w:jc w:val="both"/>
      </w:pPr>
      <w:r>
        <w:t>Vilniaus miesto savivaldybės tarybos 2005 06 22 sprendimu Nr. 1-838 patvirtinta Vilniaus romų bendruomenės ir šalia taboro esančių teritorijų priežiūros ir saugumo užtikrinimo bei romų segregacijos mažinimo 2005 – 2010 metų programa, kurios tikslas – vietiniu lygiu kompleksiškai, nuosekliai ir sistemingai spręsti romų problemas, mažinti romų socialinę atskirti bei gerinti vaikų ir jaunimo socializacijos sąlygas. Pagrindinės minėtos programos kryptys yra teritorijos priežiūra, tvarkymas ir saugumas, nusikaltimų ir neteisėtos narkotikų ir psichotropinių medžiagų apyvartos prevencija, romų segregacijos mažinimas,  švietimas ir ugdymas, visiškas ir dalinis užimtumas, sveikatos priežiūra, socialinė pagalba ir parama, būsto klausimo sprendimas.</w:t>
      </w:r>
    </w:p>
    <w:p w:rsidR="00585AD9" w:rsidRDefault="00585AD9" w:rsidP="00585AD9">
      <w:pPr>
        <w:ind w:firstLine="720"/>
        <w:jc w:val="both"/>
      </w:pPr>
      <w:r>
        <w:t>Šiai programai  vykdyti Vilniaus miesto savivaldybės taryba įpareigojo savivaldybės administraciją numatyti 2005 – 2006 metams 1 530 725 litų, o 2007, 2008, 2009 ir 2010 metams po 619,325 tūkstančių litų ir kreiptis į Vyriausybę dėl lėšų skyrimo romams apgyvendinti kitų Lietuvos Respublikos  savivaldybių teritorijose.</w:t>
      </w:r>
    </w:p>
    <w:p w:rsidR="00585AD9" w:rsidRDefault="00585AD9" w:rsidP="00585AD9">
      <w:pPr>
        <w:pStyle w:val="Antrat1"/>
        <w:rPr>
          <w:b w:val="0"/>
          <w:bCs w:val="0"/>
        </w:rPr>
      </w:pPr>
      <w:r>
        <w:rPr>
          <w:b w:val="0"/>
          <w:bCs w:val="0"/>
        </w:rPr>
        <w:t xml:space="preserve">Dėl Vilniaus romų bendruomenės finansavimo </w:t>
      </w:r>
    </w:p>
    <w:p w:rsidR="00585AD9" w:rsidRDefault="00585AD9" w:rsidP="00585AD9">
      <w:pPr>
        <w:ind w:firstLine="720"/>
        <w:jc w:val="both"/>
      </w:pPr>
      <w:r>
        <w:t>Nustatyta, kad pagrindiniam Programos vykdytojui ir koordinatoriui – Tautinių mažumų ir išeivijos departamentui (toliau- TMID) – Programos priemonėms įgyvendinti buvo skirta lėšų (tūkst.. litų):</w:t>
      </w:r>
    </w:p>
    <w:p w:rsidR="00585AD9" w:rsidRDefault="00585AD9" w:rsidP="00585AD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8"/>
        <w:gridCol w:w="1793"/>
        <w:gridCol w:w="1971"/>
        <w:gridCol w:w="1971"/>
        <w:gridCol w:w="1971"/>
      </w:tblGrid>
      <w:tr w:rsidR="00585AD9" w:rsidTr="004F7425">
        <w:tc>
          <w:tcPr>
            <w:tcW w:w="2148" w:type="dxa"/>
          </w:tcPr>
          <w:p w:rsidR="00585AD9" w:rsidRDefault="00585AD9" w:rsidP="004F7425">
            <w:pPr>
              <w:jc w:val="both"/>
            </w:pPr>
          </w:p>
        </w:tc>
        <w:tc>
          <w:tcPr>
            <w:tcW w:w="1793" w:type="dxa"/>
          </w:tcPr>
          <w:p w:rsidR="00585AD9" w:rsidRDefault="00585AD9" w:rsidP="004F7425">
            <w:pPr>
              <w:jc w:val="both"/>
            </w:pPr>
            <w:r>
              <w:t>2001m.</w:t>
            </w:r>
          </w:p>
        </w:tc>
        <w:tc>
          <w:tcPr>
            <w:tcW w:w="1971" w:type="dxa"/>
          </w:tcPr>
          <w:p w:rsidR="00585AD9" w:rsidRDefault="00585AD9" w:rsidP="004F7425">
            <w:pPr>
              <w:jc w:val="both"/>
            </w:pPr>
            <w:r>
              <w:t>2002m.</w:t>
            </w:r>
          </w:p>
        </w:tc>
        <w:tc>
          <w:tcPr>
            <w:tcW w:w="1971" w:type="dxa"/>
          </w:tcPr>
          <w:p w:rsidR="00585AD9" w:rsidRDefault="00585AD9" w:rsidP="004F7425">
            <w:pPr>
              <w:jc w:val="both"/>
            </w:pPr>
            <w:r>
              <w:t>2003m.</w:t>
            </w:r>
          </w:p>
        </w:tc>
        <w:tc>
          <w:tcPr>
            <w:tcW w:w="1971" w:type="dxa"/>
          </w:tcPr>
          <w:p w:rsidR="00585AD9" w:rsidRDefault="00585AD9" w:rsidP="004F7425">
            <w:pPr>
              <w:jc w:val="both"/>
            </w:pPr>
            <w:r>
              <w:t xml:space="preserve">2004m. </w:t>
            </w:r>
          </w:p>
        </w:tc>
      </w:tr>
      <w:tr w:rsidR="00585AD9" w:rsidTr="004F7425">
        <w:tc>
          <w:tcPr>
            <w:tcW w:w="2148" w:type="dxa"/>
          </w:tcPr>
          <w:p w:rsidR="00585AD9" w:rsidRDefault="00585AD9" w:rsidP="004F7425">
            <w:pPr>
              <w:jc w:val="both"/>
            </w:pPr>
            <w:r>
              <w:t>Planas (patvirtinta)</w:t>
            </w:r>
          </w:p>
        </w:tc>
        <w:tc>
          <w:tcPr>
            <w:tcW w:w="1793" w:type="dxa"/>
          </w:tcPr>
          <w:p w:rsidR="00585AD9" w:rsidRDefault="00585AD9" w:rsidP="004F7425">
            <w:pPr>
              <w:jc w:val="both"/>
            </w:pPr>
            <w:r>
              <w:t>55,0</w:t>
            </w:r>
          </w:p>
        </w:tc>
        <w:tc>
          <w:tcPr>
            <w:tcW w:w="1971" w:type="dxa"/>
          </w:tcPr>
          <w:p w:rsidR="00585AD9" w:rsidRDefault="00585AD9" w:rsidP="004F7425">
            <w:pPr>
              <w:jc w:val="both"/>
            </w:pPr>
            <w:r>
              <w:t>344,0</w:t>
            </w:r>
          </w:p>
        </w:tc>
        <w:tc>
          <w:tcPr>
            <w:tcW w:w="1971" w:type="dxa"/>
          </w:tcPr>
          <w:p w:rsidR="00585AD9" w:rsidRDefault="00585AD9" w:rsidP="004F7425">
            <w:pPr>
              <w:jc w:val="both"/>
            </w:pPr>
            <w:r>
              <w:t>435,0</w:t>
            </w:r>
          </w:p>
        </w:tc>
        <w:tc>
          <w:tcPr>
            <w:tcW w:w="1971" w:type="dxa"/>
          </w:tcPr>
          <w:p w:rsidR="00585AD9" w:rsidRDefault="00585AD9" w:rsidP="004F7425">
            <w:pPr>
              <w:jc w:val="both"/>
            </w:pPr>
            <w:r>
              <w:t>265,0</w:t>
            </w:r>
          </w:p>
        </w:tc>
      </w:tr>
      <w:tr w:rsidR="00585AD9" w:rsidTr="004F7425">
        <w:tc>
          <w:tcPr>
            <w:tcW w:w="2148" w:type="dxa"/>
          </w:tcPr>
          <w:p w:rsidR="00585AD9" w:rsidRDefault="00585AD9" w:rsidP="004F7425">
            <w:pPr>
              <w:jc w:val="both"/>
            </w:pPr>
            <w:r>
              <w:t>Faktas (įvykdyta)</w:t>
            </w:r>
          </w:p>
        </w:tc>
        <w:tc>
          <w:tcPr>
            <w:tcW w:w="1793" w:type="dxa"/>
          </w:tcPr>
          <w:p w:rsidR="00585AD9" w:rsidRDefault="00585AD9" w:rsidP="004F7425">
            <w:pPr>
              <w:jc w:val="both"/>
            </w:pPr>
            <w:r>
              <w:t>41,1</w:t>
            </w:r>
          </w:p>
        </w:tc>
        <w:tc>
          <w:tcPr>
            <w:tcW w:w="1971" w:type="dxa"/>
          </w:tcPr>
          <w:p w:rsidR="00585AD9" w:rsidRDefault="00585AD9" w:rsidP="004F7425">
            <w:pPr>
              <w:jc w:val="both"/>
            </w:pPr>
            <w:r>
              <w:t>321,4</w:t>
            </w:r>
          </w:p>
        </w:tc>
        <w:tc>
          <w:tcPr>
            <w:tcW w:w="1971" w:type="dxa"/>
          </w:tcPr>
          <w:p w:rsidR="00585AD9" w:rsidRDefault="00585AD9" w:rsidP="004F7425">
            <w:pPr>
              <w:jc w:val="both"/>
            </w:pPr>
            <w:r>
              <w:t>432,4</w:t>
            </w:r>
          </w:p>
        </w:tc>
        <w:tc>
          <w:tcPr>
            <w:tcW w:w="1971" w:type="dxa"/>
          </w:tcPr>
          <w:p w:rsidR="00585AD9" w:rsidRDefault="00585AD9" w:rsidP="004F7425">
            <w:pPr>
              <w:jc w:val="both"/>
            </w:pPr>
            <w:r>
              <w:t>264,0</w:t>
            </w:r>
          </w:p>
        </w:tc>
      </w:tr>
    </w:tbl>
    <w:p w:rsidR="00585AD9" w:rsidRDefault="00585AD9" w:rsidP="00585AD9">
      <w:pPr>
        <w:jc w:val="both"/>
      </w:pPr>
    </w:p>
    <w:p w:rsidR="00585AD9" w:rsidRDefault="00585AD9" w:rsidP="00585AD9">
      <w:pPr>
        <w:ind w:firstLine="720"/>
        <w:jc w:val="both"/>
      </w:pPr>
      <w:r>
        <w:t>2000- 2004 metais lėšos skirtos  Programos priemonėms įgyvendinti:</w:t>
      </w:r>
    </w:p>
    <w:p w:rsidR="00585AD9" w:rsidRDefault="00585AD9" w:rsidP="00585AD9">
      <w:pPr>
        <w:ind w:firstLine="720"/>
        <w:jc w:val="both"/>
      </w:pPr>
      <w:r>
        <w:t>2000-2004 metais nemokamoms mokymo priemonėms ir vadovėliams;</w:t>
      </w:r>
    </w:p>
    <w:p w:rsidR="00585AD9" w:rsidRDefault="00585AD9" w:rsidP="00585AD9">
      <w:pPr>
        <w:jc w:val="both"/>
      </w:pPr>
      <w:r>
        <w:t xml:space="preserve">  </w:t>
      </w:r>
      <w:r>
        <w:tab/>
        <w:t>2001- 2004 metais  gauta kasmet po 31 tūkstantį litų romų vaikų, lankančių priešmokyklines klases, nemokamam maitinimui;</w:t>
      </w:r>
    </w:p>
    <w:p w:rsidR="00585AD9" w:rsidRDefault="00585AD9" w:rsidP="00585AD9">
      <w:pPr>
        <w:ind w:firstLine="720"/>
        <w:jc w:val="both"/>
      </w:pPr>
      <w:r>
        <w:t>2000 metais skirta 12 tūkstančių litų švirkštų ir adatų keitimo programai;</w:t>
      </w:r>
    </w:p>
    <w:p w:rsidR="00585AD9" w:rsidRDefault="00585AD9" w:rsidP="00585AD9">
      <w:pPr>
        <w:ind w:firstLine="720"/>
        <w:jc w:val="both"/>
      </w:pPr>
      <w:r>
        <w:t>2001 metais skirta 24 tūkstančiai litų  švirkštų ir adatų keitimo programai;</w:t>
      </w:r>
    </w:p>
    <w:p w:rsidR="00585AD9" w:rsidRDefault="00585AD9" w:rsidP="00585AD9">
      <w:pPr>
        <w:ind w:firstLine="720"/>
        <w:jc w:val="both"/>
      </w:pPr>
      <w:r>
        <w:t>2001 metais iš Privatizavimo fondo TMID buvo  gauta  550 tūkstančių litų Romų visuomenės centro statybai ir papildomai 41,1 tūkstantis priemonių įgyvendinimui ( komunalinių paslaugų apmokėjimui ir kt.);</w:t>
      </w:r>
    </w:p>
    <w:p w:rsidR="00585AD9" w:rsidRDefault="00585AD9" w:rsidP="00585AD9">
      <w:pPr>
        <w:ind w:firstLine="720"/>
        <w:jc w:val="both"/>
      </w:pPr>
      <w:r>
        <w:t>2001 metais skirti 44,4 tūkst. litų iš Vilniaus mieto savivaldybės;</w:t>
      </w:r>
    </w:p>
    <w:p w:rsidR="00585AD9" w:rsidRDefault="00585AD9" w:rsidP="00585AD9">
      <w:pPr>
        <w:ind w:firstLine="720"/>
        <w:jc w:val="both"/>
      </w:pPr>
      <w:r>
        <w:t>2001 – 2004 metais  gauta 14,7 tūkstančiai litų ir 2004 metais papildomai 0, 7 tūkstančiai litų valstybinės kalbos  vartojimo ir ugdymo priemonei vykdyti;</w:t>
      </w:r>
    </w:p>
    <w:p w:rsidR="00585AD9" w:rsidRDefault="00585AD9" w:rsidP="00585AD9">
      <w:pPr>
        <w:ind w:firstLine="720"/>
        <w:jc w:val="both"/>
      </w:pPr>
      <w:r>
        <w:t xml:space="preserve">2002 metais gauta 152,4 tūkstančiai litų ( iš jų 122 tūkstančiai litų Romų visuomenės centro veiklai užtikrinti) ir papildomai skirta ir gauta  169 tūkstančiai litų sanitarijos – higienos centro statybai ( pirtis ir skalbimo mašinos);  </w:t>
      </w:r>
    </w:p>
    <w:p w:rsidR="00585AD9" w:rsidRDefault="00585AD9" w:rsidP="00585AD9">
      <w:pPr>
        <w:ind w:firstLine="720"/>
        <w:jc w:val="both"/>
      </w:pPr>
      <w:r>
        <w:t>2002 metais skirta  75 tūkstančiai litų mobiliam švirkštų ir adatų keitimo punktui “Mėlynasis autobusiukas”;</w:t>
      </w:r>
    </w:p>
    <w:p w:rsidR="00585AD9" w:rsidRDefault="00585AD9" w:rsidP="00585AD9">
      <w:pPr>
        <w:ind w:firstLine="720"/>
        <w:jc w:val="both"/>
      </w:pPr>
      <w:r>
        <w:t>2002 metais skirti 35,9 tūkst. litų iš Vilniaus mieto savivaldybės;</w:t>
      </w:r>
    </w:p>
    <w:p w:rsidR="00585AD9" w:rsidRDefault="00585AD9" w:rsidP="00585AD9">
      <w:pPr>
        <w:ind w:firstLine="720"/>
        <w:jc w:val="both"/>
      </w:pPr>
      <w:r>
        <w:lastRenderedPageBreak/>
        <w:t>2003 metais skirta  74,5 tūkstančių litų mobiliam švirkštų ir adatų keitimo punktui “Mėlynasis autobusiukas”;</w:t>
      </w:r>
    </w:p>
    <w:p w:rsidR="00585AD9" w:rsidRDefault="00585AD9" w:rsidP="00585AD9">
      <w:pPr>
        <w:ind w:firstLine="720"/>
        <w:jc w:val="both"/>
      </w:pPr>
      <w:r>
        <w:t xml:space="preserve">2003 metais  gauta 202,5 tūkstančių litų ir papildomai 230 tūkstančių litų ( iš jų 146,5 tūkst. litų Romų visuomenės centro veiklos užtikrinimui, 2003 metais pastatytas sanitarijos- higienos centras  įrengtos keturios dušo kabinos ir trys skalbimo mašinos); </w:t>
      </w:r>
    </w:p>
    <w:p w:rsidR="00585AD9" w:rsidRDefault="00585AD9" w:rsidP="00585AD9">
      <w:pPr>
        <w:ind w:firstLine="720"/>
        <w:jc w:val="both"/>
      </w:pPr>
      <w:r>
        <w:t>2003 metais skirti 42,8 tūkst. litų iš Vilniaus mieto savivaldybės;</w:t>
      </w:r>
    </w:p>
    <w:p w:rsidR="00585AD9" w:rsidRDefault="00585AD9" w:rsidP="00585AD9">
      <w:pPr>
        <w:ind w:firstLine="720"/>
        <w:jc w:val="both"/>
      </w:pPr>
      <w:r>
        <w:t>2004 metais skirta  100 tūkstančių litų mobiliam švirkštų ir adatų keitimo punktui “Mėlynasis autobusiukas”;</w:t>
      </w:r>
    </w:p>
    <w:p w:rsidR="00585AD9" w:rsidRDefault="00585AD9" w:rsidP="00585AD9">
      <w:pPr>
        <w:ind w:firstLine="720"/>
        <w:jc w:val="both"/>
      </w:pPr>
      <w:r>
        <w:t>2004 metais skirta 15 tūkstančių litų programos “Mobilios sveikatos paslaugos romų bendruomenėje”.</w:t>
      </w:r>
    </w:p>
    <w:p w:rsidR="00585AD9" w:rsidRDefault="00585AD9" w:rsidP="00585AD9">
      <w:pPr>
        <w:jc w:val="both"/>
      </w:pPr>
      <w:r>
        <w:tab/>
        <w:t>2004 metais  gauti 264,8 tūkstančių litų ( iš jų 60 tūkstančių litų tikslinių lėšų sanitarijos –higienos centro veiklai) ir 204,8 tūkstančiai litų kitoms priemonėms vykdyti (100 vaikų, gyvenančių tabore, ilsėjosi stovykloje, nevyriausybinėms org. ir kt.) ;</w:t>
      </w:r>
    </w:p>
    <w:p w:rsidR="00585AD9" w:rsidRDefault="00585AD9" w:rsidP="00585AD9">
      <w:pPr>
        <w:ind w:firstLine="720"/>
        <w:jc w:val="both"/>
      </w:pPr>
      <w:r>
        <w:t>2004 metais skirti 167, 7 tūkst. litų iš Vilniaus mieto savivaldybės;</w:t>
      </w:r>
    </w:p>
    <w:p w:rsidR="00585AD9" w:rsidRDefault="00585AD9" w:rsidP="00585AD9">
      <w:pPr>
        <w:ind w:firstLine="720"/>
        <w:jc w:val="both"/>
      </w:pPr>
      <w:r>
        <w:t>2001 –2005 metais Vilniaus miesto savivaldybės administracijos Energetikos ir ūkio departamentui buvo skirti 109 tūkstančiai litų  komunalinėms atliekoms iš romų gyvenamųjų teritorijų išvežti;</w:t>
      </w:r>
    </w:p>
    <w:p w:rsidR="00585AD9" w:rsidRDefault="00585AD9" w:rsidP="00585AD9">
      <w:pPr>
        <w:ind w:firstLine="720"/>
        <w:jc w:val="both"/>
      </w:pPr>
      <w:r>
        <w:t xml:space="preserve">2003-2004 metais vykdant darbinio mokymo ir užimtumo programą į mokymo programas darbo biržoje įregistruoti 113 romų, o  nukreipti į aktyvias darbo rinkos politikos programas 93 asmenys ir kt. </w:t>
      </w:r>
    </w:p>
    <w:p w:rsidR="00585AD9" w:rsidRDefault="00585AD9" w:rsidP="00585AD9">
      <w:pPr>
        <w:jc w:val="both"/>
      </w:pPr>
      <w:r>
        <w:tab/>
        <w:t>Be to, Vilniaus miesto savivaldybė 2004 metais skyrė Vilniaus miesto romų bendruomenės nariams:</w:t>
      </w:r>
    </w:p>
    <w:p w:rsidR="00585AD9" w:rsidRDefault="00585AD9" w:rsidP="00585AD9">
      <w:pPr>
        <w:jc w:val="both"/>
      </w:pPr>
      <w:r>
        <w:tab/>
        <w:t>22 šeimoms, kuriose gyvena 40 mokyklą lankančių vaikų po 50 lt dydžio pašalpas;</w:t>
      </w:r>
    </w:p>
    <w:p w:rsidR="00585AD9" w:rsidRDefault="00585AD9" w:rsidP="00585AD9">
      <w:pPr>
        <w:jc w:val="both"/>
      </w:pPr>
      <w:r>
        <w:tab/>
        <w:t xml:space="preserve"> 32 šeimoms skirtos po 120 Lt dydžio vienkartines pašalpas;</w:t>
      </w:r>
    </w:p>
    <w:p w:rsidR="00585AD9" w:rsidRDefault="00585AD9" w:rsidP="00585AD9">
      <w:pPr>
        <w:jc w:val="both"/>
      </w:pPr>
      <w:r>
        <w:tab/>
        <w:t xml:space="preserve"> 5 šeimoms skirtos vienkartinės pašalpos po 1500 Lt gaisro nuostoliams padengti;</w:t>
      </w:r>
    </w:p>
    <w:p w:rsidR="00585AD9" w:rsidRDefault="00585AD9" w:rsidP="00585AD9">
      <w:pPr>
        <w:jc w:val="both"/>
      </w:pPr>
      <w:r>
        <w:t xml:space="preserve"> </w:t>
      </w:r>
      <w:r>
        <w:tab/>
        <w:t>35 šeimoms skirti 58 vnt. 50 Lt vertės Maxima dovanų čekiai mokymuisi reikalingiems reikmėms įsigyti;</w:t>
      </w:r>
    </w:p>
    <w:p w:rsidR="00585AD9" w:rsidRDefault="00585AD9" w:rsidP="00585AD9">
      <w:pPr>
        <w:ind w:firstLine="720"/>
        <w:jc w:val="both"/>
      </w:pPr>
      <w:r>
        <w:t>Vilniaus miesto romų bendruomenės nariams perduota parama drabužiais, avalyne, namų apyvokos reikmenimis iš viso už 5864 Lt;</w:t>
      </w:r>
    </w:p>
    <w:p w:rsidR="00585AD9" w:rsidRDefault="00585AD9" w:rsidP="00585AD9">
      <w:pPr>
        <w:ind w:firstLine="720"/>
        <w:jc w:val="both"/>
      </w:pPr>
      <w:r>
        <w:t xml:space="preserve"> 14 narių išimties tvarka skirta kompensacija kietam kurui iš viso 5070, 90 Lt;</w:t>
      </w:r>
    </w:p>
    <w:p w:rsidR="00585AD9" w:rsidRDefault="00585AD9" w:rsidP="00585AD9">
      <w:pPr>
        <w:jc w:val="both"/>
      </w:pPr>
      <w:r>
        <w:t xml:space="preserve">  </w:t>
      </w:r>
      <w:r>
        <w:tab/>
        <w:t xml:space="preserve"> 77 romų šeimoms, kurios įstatymų nustatyta tvarka negalėjo gauti kompensacijos už kietą kurą, nes nepateikė visų reikiamų dokumentų, nupirkta supakuotų malkų už 9625 Lt;</w:t>
      </w:r>
    </w:p>
    <w:p w:rsidR="00585AD9" w:rsidRDefault="00585AD9" w:rsidP="00585AD9">
      <w:pPr>
        <w:ind w:firstLine="720"/>
        <w:jc w:val="both"/>
      </w:pPr>
      <w:r>
        <w:t>Romų visuomenės centrui perduotas 1000 Lt vertės maisto produktams įsigyti čekis ir 100 kg sauso maisto labdara iš Norvegijos bei 11 maisto produktų rinkinių;</w:t>
      </w:r>
    </w:p>
    <w:p w:rsidR="00585AD9" w:rsidRDefault="00585AD9" w:rsidP="00585AD9">
      <w:pPr>
        <w:jc w:val="both"/>
      </w:pPr>
      <w:r>
        <w:tab/>
        <w:t>Neapdraustiems už ambulatorines asmens sveikatos priežiūros paslaugas, kurios yra neįtrauktos į būtinosios medicinos pagalbos paslaugų sąrašą, apmoka Sveikatos ir socialinės apsaugos departamentas, Vilniaus miesto savivaldybės tarybos sprendimu;</w:t>
      </w:r>
    </w:p>
    <w:p w:rsidR="00585AD9" w:rsidRDefault="00585AD9" w:rsidP="00585AD9">
      <w:pPr>
        <w:ind w:firstLine="720"/>
        <w:jc w:val="both"/>
      </w:pPr>
      <w:r>
        <w:t xml:space="preserve">2001-2004 metais 8 romams apmokėta už asmens dokumentų padarymą 375 Lt ir kt. </w:t>
      </w:r>
    </w:p>
    <w:p w:rsidR="00585AD9" w:rsidRDefault="00585AD9" w:rsidP="00585AD9">
      <w:pPr>
        <w:ind w:firstLine="720"/>
        <w:jc w:val="both"/>
      </w:pPr>
      <w:r>
        <w:t xml:space="preserve">Nustatyta, kad 2002 metais ir 2003 metais veikė dvi priešmokyklinio ugdymo grupės. 2002 metais jas lankė 27 vaikai. 2002 metais 40 romų vaikų ir 2004 metais vasara apie 100 vaikų, gyvenančių tabore, ilsėjosi vasaros stovyklose. </w:t>
      </w:r>
    </w:p>
    <w:p w:rsidR="00585AD9" w:rsidRDefault="00585AD9" w:rsidP="00585AD9">
      <w:pPr>
        <w:ind w:firstLine="720"/>
        <w:jc w:val="both"/>
      </w:pPr>
    </w:p>
    <w:p w:rsidR="00585AD9" w:rsidRDefault="00585AD9" w:rsidP="00585AD9">
      <w:pPr>
        <w:jc w:val="both"/>
        <w:rPr>
          <w:b/>
          <w:bCs/>
          <w:i/>
          <w:iCs/>
        </w:rPr>
      </w:pPr>
      <w:r>
        <w:tab/>
      </w:r>
      <w:r>
        <w:rPr>
          <w:b/>
          <w:bCs/>
          <w:i/>
          <w:iCs/>
        </w:rPr>
        <w:t xml:space="preserve">Dėl narkomanijos prevencijos ir narkotikų užkardymo romų tabore Kirtimuose, Vilniuje </w:t>
      </w:r>
    </w:p>
    <w:p w:rsidR="00585AD9" w:rsidRDefault="00585AD9" w:rsidP="00585AD9">
      <w:pPr>
        <w:jc w:val="both"/>
        <w:rPr>
          <w:i/>
          <w:iCs/>
        </w:rPr>
      </w:pPr>
    </w:p>
    <w:p w:rsidR="00585AD9" w:rsidRDefault="00585AD9" w:rsidP="00585AD9">
      <w:pPr>
        <w:ind w:firstLine="720"/>
        <w:jc w:val="both"/>
      </w:pPr>
      <w:r>
        <w:t>Narkomanijos prevencijos komisijoje gauta Policijos departamento prie Lietuvos Respublikos Vidaus reikalų ministerijos l.e. Policijos generalinio komisaro pareigas Vizgirdas Telyčėnas  2005 05 11 raštu Nr. 5-S-3729 “Dėl piliečių skundų tyrimo” informacija, kad siekdami efektyvesnės neteisėtos narkotinių ir psichotropinių medžiagų bei jų pirmtakų (prekursorių) apyvartos kontrolės romų gyvenamosiose vietose bei jų prieigose nuolat koreguojamos viešąją tvarką Vilniaus mieste palaikančios policijos pajėgos, tęsiamas tikslinių ir specialiųjų policijos priemonių vykdymas.</w:t>
      </w:r>
    </w:p>
    <w:p w:rsidR="00585AD9" w:rsidRDefault="00585AD9" w:rsidP="00585AD9">
      <w:pPr>
        <w:ind w:firstLine="720"/>
        <w:jc w:val="both"/>
      </w:pPr>
      <w:r>
        <w:t xml:space="preserve">Nuo 2004 m. spalio mėn. Romų tabore įrengtas policijos postas, kuriame ištisą parą budi policijos pareigūnai, atliekantys periodišką patruliavimą tabore ir jo prieigose, siekdami užkardyti nusikalstamas veikas ir administracinius teisės pažeidimus, susijusius su neteisėtu narkotinių medžiagų įgijimu, laikymu, gaminimu ar vartojimu. Įrengtos 5 vaizdo stebėjimo kameros, kurios </w:t>
      </w:r>
      <w:r>
        <w:lastRenderedPageBreak/>
        <w:t xml:space="preserve">leidžia policijos pareigūnams stebėti taboro teritoriją ir informuoti poste budinčius pareigūnus apie esamus ar galimus teisės pažeidimus. </w:t>
      </w:r>
    </w:p>
    <w:p w:rsidR="00585AD9" w:rsidRDefault="00585AD9" w:rsidP="00585AD9">
      <w:pPr>
        <w:ind w:firstLine="720"/>
        <w:jc w:val="both"/>
      </w:pPr>
      <w:r>
        <w:t>Vilniaus m. vyriausiojo policijos komisariato ir miesto teritorinės policijos įstaigos, bendradarbiaudamos su kitomis institucijomis, sistemingai vykdo prevencines priemones romų tabore ir gretimose gatvėse, siekdamos užkardyti  nusikalstamas veikas, susijusias su narkotinėmis priemonėmis. Taip pat organizuoja susitikimus su sodų bendrijų pirmininkais, soduose gyvenančiais asmenimis, siekdamos apsikeisti naudinga informacija, užkardyti vagystes iš sodų namelių ir pateikti sodininkams pasiūlymus, kaip apsisaugoti nuo vagysčių ir kitų nusikalstamų veikų. Vilniaus m. VPK duomenimis, nuo 2004m. spalio mėn. iki 2005 m. kovo mėn. organizuojamų policijos priemonių metu minėtoje teritorijoje buvo sulaikytas 341 asmuo, iš jų už narkotinių medžiagų laikymą ir vartojimą buvo sulaikyti 299 asmenys. Taip pat buvo sulaikyti 42 policijos ieškomi asmenys, išaiškinti 239 Kelių eismo taisyklių pažeidimai.</w:t>
      </w:r>
    </w:p>
    <w:p w:rsidR="00585AD9" w:rsidRDefault="00585AD9" w:rsidP="00585AD9">
      <w:pPr>
        <w:ind w:firstLine="720"/>
        <w:jc w:val="both"/>
      </w:pPr>
      <w:r>
        <w:t>Per 2005 m. sausio – balandžio mėn. Vilniaus m. VPK 3-jame policijos komisariate buvo surašyti administracinių teisės pažeidimų protokolai 1083 asmenims, iš jų 976 asmenys buvo pristatyti iš čigonų taboro, pagal Lietuvos Respublikos Administracinių  teisės pažeidimų kodekso 44 str. ( “Neteisėtas narkotinių ar psichotropinių medžiagų įgijimas ar laikymas nedideliais kiekiais arba narkotinių ar psichotropinių medžiagų vartojimas be gydytojo paskyrimo”), pradėti 24 ikiteisminiai tyrimai pagal Lietuvos Respublikos baudžiamojo kodekso 259 str. (“Neteisėtas disponavimas narkotinėmis ar psichotropinėmis medžiagomis be tikslo jas platinti”), 48 ikiteisminiai tyrimai dėl kitų nusikalstamų veikų, padarytų Rodūnios kelio gatvėje ir romų taboro teritorijoje, esančioje Dariaus ir Girėno g. 185.</w:t>
      </w:r>
    </w:p>
    <w:p w:rsidR="00585AD9" w:rsidRDefault="00585AD9" w:rsidP="00585AD9">
      <w:pPr>
        <w:ind w:firstLine="720"/>
        <w:jc w:val="both"/>
      </w:pPr>
      <w:r>
        <w:t xml:space="preserve"> Vaiko teisių apsaugos kontrolierė Rimantė Šalaševičiūtė 2005 11 04 raštu Nr. 2- 1359 “Dėl prašomos informacijos pateikimo” pateikė Narkomanijos prevencijos komisijai Vaiko teisių apsaugos kontrolierės pažymą dėl galimo Jungtinių Tautų vaiko teisių konvencijos 33 straipsnio pažeidimo”. </w:t>
      </w:r>
    </w:p>
    <w:p w:rsidR="00585AD9" w:rsidRDefault="00585AD9" w:rsidP="00585AD9">
      <w:pPr>
        <w:ind w:firstLine="720"/>
        <w:jc w:val="both"/>
      </w:pPr>
      <w:r>
        <w:t>Vaiko teisių apsaugos kontrolierė Rimantė Šalaševičiūtė nustatė, kad Vilniaus m. VPK 3-jo policijos komisariato pareigūnai per 2004 metus organizavo 56, o per 2005 metus pirmą ketvirtį – 7 tikslinius reidus į romų taborą. Per atliekamas policines operacijas romų tabore faktų dėl vaikų įtraukimo į neteisėtą veiklą užfiksuota nebuvo.  Vilniaus m. VPK 3-jo policijos komisariato rizikos vaikų grupės apskaitoje yra 5 nepilnamečiai iš taboro. Į policijos profilaktinę įskaitą 2005 metais įrašyta 14 tėvų, kurie nuteisti už narkotinių medžiagų platinimą. Per 2004 metus ir 2005 metus pirmą pusmetį 65 nepilnamečiai, kurie narkotines medžiagas įsigijo romų tabore, buvo patraukti administracinėn atsakomybėn už narkotinių medžiagų vartojimą be gydytojo paskyrimo. Vilniaus m. VPK atliekamas vienas ikiteisminis tyrimas, kurio metu buvo gauta duomenų, jog narkotinėmis priemonėmis prekiavo nepilnamečių romų tautybės asmenys, todėl tyrimas buvo išskirtas į atskirą baudžiamąją bylą.</w:t>
      </w:r>
    </w:p>
    <w:p w:rsidR="00585AD9" w:rsidRDefault="00585AD9" w:rsidP="00585AD9">
      <w:pPr>
        <w:ind w:firstLine="720"/>
        <w:jc w:val="both"/>
      </w:pPr>
      <w:r>
        <w:t xml:space="preserve">Vaiko teisių apsaugos kontrolierė Rimantė Šalaševičiūtė nurodė, kad Vilniaus miesto VPK duomenimis, 2004 metais išaiškintų pilnamečių romų tautybės asmenų padarytų nusikalstamų veikų skaičius viršijo 50 ir minėtos nusikalstamos veikos buvo įvykdytos romų bendruomenės gyvenamojoje teritorijoje. Daugiau kaip 40 romų tautybės moterų gyvenančių tabore yra teistos arba atlieka bausmę už narkotikų platinimą. 2001 2005 metais Naujininkų policijos nuovada yra surašiusi 4 tėvams administracinės teisės pažeidimo protokolus už vaikų nepriežiūrą, nes nepilnamečiai vaikai įvykdė smulkias vagystes. Vilniaus miesto savivaldybės administracijos sveikatos ir socialinės apsaugos departamento Vaiko teisių apsaugos tarnybos darbuotojai nuolat bendrauja su romų tautybės šeimomis, kuriose auga nepilnamečiai, lankosi jų namuose, konsultuoja įvairiais vaiko teisių apsaugos klausimais, bet paprastai tėvai neigia, kad jų šeimos nariai platina narkotikus ir apie tai atsisako kalbėti. </w:t>
      </w:r>
    </w:p>
    <w:p w:rsidR="00585AD9" w:rsidRDefault="00585AD9" w:rsidP="00585AD9">
      <w:pPr>
        <w:jc w:val="both"/>
      </w:pPr>
      <w:r>
        <w:t xml:space="preserve"> </w:t>
      </w:r>
      <w:r>
        <w:tab/>
        <w:t xml:space="preserve">Vaiko teisių apsaugos kontrolierė Rimantė Šalaševičiūtė padariusi  išvadas, Lietuvos Respublikos Konstitucijos 39 straipsnio 1 dalies, Jungtinių Tautų vaiko teisių konvencijos 3 straipsnio 1 dalies, 27 straipsnio 1 dalies, Civilinio kodekso 3.3 straipsnio 1 dalies, Lietuvos Respublikos vaiko teisių apsaugos pagrindų įstatymo 4 straipsnio 1 punkto ir 11 straipsnio teisės normos įtvirtina prioritetinės vaiko teisių ir interesų apsaugos ir gynimo principą, nustato valstybės pareigą rūpintis šeimomis, auginančiomis ir auklėjančiomis vaikus, padėti tėvams užtikrinti vaikų teisę į gyvenimo sąlygas, būtinas jų fiziniam, protiniam, dvasiniam, doroviniam vystymuisi. Šie reikalavimai privalomi vaiko atstovams pagal įstatymą, valstybės, vietos savivaldos bei  kitiems fiziniams ir juridiniams asmenims. Vaiko teisę į jo vystymuisi būtinas gyvenimo sąlygas visų pirma privalo užtikrinti vaiko tėvai, o valstybė ir savivaldos institucijoms tokia pareiga atsiranda, kada vaiko tėvai šios teisės dėl </w:t>
      </w:r>
      <w:r>
        <w:lastRenderedPageBreak/>
        <w:t xml:space="preserve">įvairių priežasčių užtikrinti negali. Vilniaus miesto savivaldybės Vaiko teisių apsaugos tarnyba, policija, nevyriausybinės organizacijos stengiasi įgyvendinti ir taiko Konvencijoje numatytas priemones apsaugant romų vaikus nuo neteisėto narkotinių priemonių vartojimo ir platinimo. Tačiau būtina stiprinti romų tabore atliekamą prevencinį darbą ir tolimesnė jo sėkmė priklauso nuo visų mūsų pastangų. Vilniaus miesto savivaldybė taip pat remia romų bendruomenę ir vykdo Vilniaus romų integracijos į visuomenę 2005 – 2010 metų programą. </w:t>
      </w:r>
    </w:p>
    <w:p w:rsidR="00585AD9" w:rsidRDefault="00585AD9" w:rsidP="00585AD9">
      <w:pPr>
        <w:ind w:firstLine="720"/>
        <w:jc w:val="both"/>
      </w:pPr>
      <w:r>
        <w:t xml:space="preserve">Vaiko teisių apsaugos kontrolierės nuomone, būtina dar labiau sustiprinti policijos ir Vilniaus miesto savivaldybės dalyvavimą, skiriant daugiau žmogiškųjų ir finansinių išteklių sprendžiant romų taboro problemas. Siekiant efektyviai ir realiai spręsti paplitusią narkomanijos ir narkotikų verslo romų tabore problemą, o ypatingai romų vaikų įtraukimo į šį neigiamą socialinį reiškinį, prevencijos klausimus, bei skaitant  romų tautinės bendrijos integracijos procesus, būtina spręsti esančias problemas kompleksiškai kartu su romų bendrijos ekonominėmis, socialinėmis ir teisinėmis problemomis.  Neretai visuomenėje esančias narkomanijos problemas bandoma nepateisinamai parodyti kaip visos romų bendrijos problemą. Toks stereotipas neigiamai atsiliepia vaikų psichologiniai raidai ir nepagrįstai juos stigmatizuoja. </w:t>
      </w:r>
    </w:p>
    <w:p w:rsidR="00585AD9" w:rsidRDefault="00585AD9" w:rsidP="00585AD9">
      <w:pPr>
        <w:jc w:val="both"/>
      </w:pPr>
      <w:r>
        <w:t xml:space="preserve">   </w:t>
      </w:r>
      <w:r>
        <w:tab/>
        <w:t>Vaiko teisių apsaugos kontrolierė Rimantė Šalaševičiūtė  atkreipė dėmesį, kad policijos duomenimis, atliekant policines operacijas romų tabore faktų dėl vaikų įtraukimo į neteisėtą veiklą užfiksuota nebuvo ( buvo atliekamas tik vienas ikiteisminis tyrimas baudžiamojoje byloje Nr. 10-1-3509-04 dėl teroro akto ir tyrimo metu pasitvirtino duomenys, jog romų tabore narkotinėmis medžiagomis prekiavo nepilnamečiai romų tautybės asmenys. Šis tyrimas išskirtas į atskirą baudžiamąją bylą Nr. 10-1-4003-04).</w:t>
      </w:r>
    </w:p>
    <w:p w:rsidR="00585AD9" w:rsidRDefault="00585AD9" w:rsidP="00585AD9">
      <w:pPr>
        <w:ind w:firstLine="720"/>
        <w:jc w:val="both"/>
      </w:pPr>
      <w:r>
        <w:t xml:space="preserve">Vaiko teisių apsaugos kontrolierė Rimantė Šalaševičiūtė  iš tyrimo metu surinktos medžiagos padarė prielaidą, kad romų tabore vykstantys procesai, vienas iš jų – prekyba narkotinėmis medžiagomis, yra romų vaikų stebimi, todėl galima daryti prielaidą, kad Jungtinių Tautų vaiko teisių konvencijos 33 straipsnio nuostatos gali būti pažeidžiamos. </w:t>
      </w:r>
    </w:p>
    <w:p w:rsidR="00585AD9" w:rsidRDefault="00585AD9" w:rsidP="00585AD9">
      <w:pPr>
        <w:ind w:firstLine="720"/>
        <w:jc w:val="both"/>
      </w:pPr>
      <w:r>
        <w:t>Vaiko teisių apsaugos kontrolierė Rimantė Šalaševičiūtė   priėmė sprendimą 2005 10 28 Nr. 2-1359 atkreipti romų taboro bendruomenės dėmesį, kad Jungtinių Tautų vaiko teisių konvencijos 18 straipsniu, Vaiko teisių apsaugos pagrindų įstatymo 4, 11 ir 21 straipsniai bei Civilinio kodekso 3.156, 3.159, 3.163 ir 3.165 straipsniai ne tik įtvirtina prioritetinę nepilnamečio vaiko tėvų prievolę užtikrinti vaikų teises, tinkamą jų interesų įgyvendinimą, tačiau ir nustato tėvų lygias teises ir pareigas savo vaikams, t.y. bendrą ir vienodą atsakomybę už vaikų auklėjimą ir vystymą bei tai, kad tėvų valdžia negali būti naudojamasi priešingai vaiko interesams.</w:t>
      </w:r>
    </w:p>
    <w:p w:rsidR="00585AD9" w:rsidRDefault="00585AD9" w:rsidP="00585AD9">
      <w:pPr>
        <w:ind w:firstLine="720"/>
        <w:jc w:val="both"/>
      </w:pPr>
      <w:r>
        <w:t xml:space="preserve">Vaiko teisių apsaugos kontrolierė Rimantė Šalaševičiūtė   atkreipė Vilniaus miesto mero A.Zuoko dėmesį, kad būtina sustiprinti socialinių paslaugų teikimą ir Vilniaus miesto savivaldybės administracijos sveikatos ir socialinės apsaugos departamento Vaiko teisių apsaugos tarnybos veiklą romų tabore ir pasiūlė parengti ir patvirtinti Vaiko  teisių apsaugos tarnybos veiksmų, užtikrinant vaikų teises ir teisėtus interesus, romų tabore planą. </w:t>
      </w:r>
    </w:p>
    <w:p w:rsidR="00585AD9" w:rsidRDefault="00585AD9" w:rsidP="00585AD9">
      <w:pPr>
        <w:ind w:firstLine="720"/>
        <w:jc w:val="both"/>
      </w:pPr>
      <w:r>
        <w:t>Vaiko teisių apsaugos kontrolierė Rimantė Šalaševičiūtė   atkreipė</w:t>
      </w:r>
      <w:r>
        <w:rPr>
          <w:b/>
          <w:bCs/>
        </w:rPr>
        <w:t xml:space="preserve"> </w:t>
      </w:r>
      <w:r>
        <w:t>Vilniaus miesto Vyriausiojo policijos komisaro S.Mecelicos dėmesį į pažymos išvadas ir paprašė užtikrinti aktyvų ir</w:t>
      </w:r>
      <w:r>
        <w:rPr>
          <w:b/>
          <w:bCs/>
        </w:rPr>
        <w:t xml:space="preserve"> </w:t>
      </w:r>
      <w:r>
        <w:t>efektyvų</w:t>
      </w:r>
      <w:r>
        <w:rPr>
          <w:b/>
          <w:bCs/>
        </w:rPr>
        <w:t xml:space="preserve"> </w:t>
      </w:r>
      <w:r>
        <w:t>policijos pareigūnų prevencinį ir intervencinį darbą romų bendrijoje, o apie nepilnamečių romų  tautybės vaikų padėtį ir pokyčius kiekvieno mėnesio paskutinę dieną informuoti Vaiko teisių apsaugos kontrolierę.</w:t>
      </w:r>
    </w:p>
    <w:p w:rsidR="00585AD9" w:rsidRDefault="00585AD9" w:rsidP="00585AD9">
      <w:pPr>
        <w:ind w:firstLine="720"/>
        <w:jc w:val="both"/>
      </w:pPr>
      <w:r>
        <w:t xml:space="preserve">Pažymima, kad Vaiko teisių apsaugos kontrolierė Rimantė Šalaševičiūtė 2005 06 23 raštu Nr. 2-811 “Dėl prašomos informacijos pateikimo” atkreipė Narkotikų kontrolės departamento prie Lietuvos Respublikos Vyriausybės dėmesį, jog narkotikų ir kitų psichiką veikiančių medžiagų, alkoholinių gėrimų, tabako gaminių vartojimas vaikų tarpe Lietuvoje išlieka rimta sveikatos ir socialinė problema, nes realiai nėra specializuotos įstaigos, kur būtų sudarytos visos sąlygos gydyti vaikus, turinčius atitinkamą priklausomybę; vaikams ypatingai trūksta ilgalaikės psichologinės – socialinės reabilitacijos paslaugų; siekiant maksimalios vaiko apsaugos nuo psichiką veikiančių medžiagų vartojimo, būtina jau šiuo metu realiai spręsti paplitusią narkomanijos ir narkotikų verslo Vilniaus romų Kirtimų tabore problemą, ypatingai  romų vaikų įtraukimo į šį neigiamą socialinį reiškinį prevencijos klausimus ir kt. </w:t>
      </w:r>
    </w:p>
    <w:p w:rsidR="00585AD9" w:rsidRDefault="00585AD9" w:rsidP="00585AD9">
      <w:pPr>
        <w:ind w:firstLine="720"/>
        <w:jc w:val="both"/>
      </w:pPr>
      <w:r>
        <w:t xml:space="preserve">Vidaus reikalų ministerija 2006 10 09 raštu Nr. 1D-7228(12) “Dėl narkotikų prekybos užkardymo romų Kirtimų taboro teritorijoje” vykdydama Lietuvos Respublikos Ministro Pirmininko 2006 m. rugsėjo 25 d. pavedimą nr. 26- 6085, pagal kompetenciją teikė informaciją apie narkotikų užkardymą Vilniaus Kirtimų tabore. </w:t>
      </w:r>
    </w:p>
    <w:p w:rsidR="00585AD9" w:rsidRDefault="00585AD9" w:rsidP="00585AD9">
      <w:pPr>
        <w:ind w:firstLine="720"/>
        <w:jc w:val="both"/>
      </w:pPr>
      <w:r>
        <w:lastRenderedPageBreak/>
        <w:t xml:space="preserve">Vidaus reikalų ministerija pažymėjo, kad Vilniaus Kirtimų taboro Romai neturi nuolatinio darbo ir dauguma jų nėra užsiregistravę darbo biržose, todėl nusikalstama veika (narkotinių ir psichotropinių medžiagų gamyba ir prekyba ir kt.) yra vienas iš pagrindinių jų pajamų šaltinių. </w:t>
      </w:r>
    </w:p>
    <w:p w:rsidR="00585AD9" w:rsidRDefault="00585AD9" w:rsidP="00585AD9">
      <w:pPr>
        <w:ind w:firstLine="720"/>
        <w:jc w:val="both"/>
      </w:pPr>
      <w:r>
        <w:t>Vidaus reikalų ministerija informavo, kad nusikaltimų prevenciją Vilniaus Kirtimų tabore ir šalia esančiose teritorijose vykdo ir viešąją tvarką prižiūri Vilniaus miesto vyriausiasis policijos komisariatas, bendradarbiaudamas su Vilniaus miesto savivaldybe. Vilniaus miesto vyriausiojo policijos komisariato kriminalinės policijos Nusikaltimų tyrimo tarnybos Narkotikų kontrolės skyrius Vilniaus Kirtimų tabore nuolat vykdo tikslines viešo ir neviešo pobūdžio priemones, susijusias su narkotikų pasiūlos mažinimu. Statistinių darbo rodiklių analizė rodo, kad 2005 m. narkotikų pasiūlos mažinimo priemonėms vykdyti Kirtimų tabore buvo skirta 11,5 proc., 2006 m. – apie 13 proc. bendro šios tarnybos darbinio pajėgumo. Didesnių pajėgų skyrimas susilpnintų neteisėtos narkotikų apyvartos kontrolę kitose Vilniaus miesto vietose.</w:t>
      </w:r>
    </w:p>
    <w:p w:rsidR="00585AD9" w:rsidRDefault="00585AD9" w:rsidP="00585AD9">
      <w:pPr>
        <w:ind w:firstLine="720"/>
        <w:jc w:val="both"/>
      </w:pPr>
      <w:r>
        <w:t xml:space="preserve">Vilniaus miesto vyriausiojo policijos komisariato 3 –ojo policijos komisariato, kurio aptarnaujamoje teritorijoje yra Kirtimų taboras, bei viešosios policijos Patrulių rinktinės pareigūnai pagal galimybes taip pat vykdo prevencines ir operatyvines priemones romų bendruomenėje,  kiekvieną mėnesį organizuoja 2-3 tikslinius reidus. 2006 m. spalio 9 dienai atliktos 29 tikslinės prevencinės priemonės, 962 asmenys patraukti administracinės atsakomybės pagal Administracinių teisės pažeidimų kodekso 44 straipsnį “ Neteisėtas narkotinių ar psichotropinių medžiagų įgijimas ar laikymas nedideliais  kiekiais arba narkotinių ar psichotropinių medžiagų vartojimas be gydytojo paskyrimo”, dėl neteisėto narkotinių medžiagų laikymo pradėtas 61 ikiteisminis tyrimas pagal Baudžiamojo kodekso 259 straipsnio “Neteisėtas disponavimas narkotinėmis ar psichotropinėmis medžiagomis be tikslo jas platinti” 2 dalį, sulaikyti 22 ieškomi asmenys. </w:t>
      </w:r>
    </w:p>
    <w:p w:rsidR="00585AD9" w:rsidRDefault="00585AD9" w:rsidP="00585AD9">
      <w:pPr>
        <w:ind w:firstLine="720"/>
        <w:jc w:val="both"/>
      </w:pPr>
      <w:r>
        <w:t xml:space="preserve">Vidaus reikalų ministerijos informacijoje nurodyta, kad 2005 m. dėl narkotikų platinimo tabore Kirtimuose buvo pradėta 18 ikiteisminių tyrimų, iš kurių 5 – pritaikius nusikalstamos veikos imitacijos modelį. Sustiprinus kovą su narkotikų platinimu romų tabore, per šių metų I pusmetį pradėta 12 ikiteisminių tyrimų, iš kurių 3 – dėl romų, platinusių narkotines medžiagas už taboro ribų ( 7 tyrimai pradėti, pritaikius nusikalstamos veikos imitacijos modelį). Šios veikos metu sulaikyta 11 asmenų, iš kurių 7 jau yra nuteisti.  </w:t>
      </w:r>
    </w:p>
    <w:p w:rsidR="00585AD9" w:rsidRDefault="00585AD9" w:rsidP="00585AD9">
      <w:pPr>
        <w:ind w:firstLine="720"/>
        <w:jc w:val="both"/>
      </w:pPr>
      <w:r>
        <w:t xml:space="preserve">Kasmet policija vykdo kompleksinę priemonę  “Aguona”, kurios metu organizuojami tiksliniai reidai Vilniaus romų tabore, tikrinamos sodų bendrijos, kaimai, miškų masyvai, siekiant nustatyti neteisėtus aguonų ir kanapių pasėlius ir kt. </w:t>
      </w:r>
    </w:p>
    <w:p w:rsidR="00585AD9" w:rsidRDefault="00585AD9" w:rsidP="00585AD9">
      <w:pPr>
        <w:ind w:firstLine="720"/>
        <w:jc w:val="both"/>
      </w:pPr>
      <w:r>
        <w:t xml:space="preserve"> Vilniaus miesto savivaldybės tarybos 2005 06 22 sprendimu Nr. 1-838 patvirtintos Vilniaus romų bendruomenės ir šalia taboro esančių teritorijų priežiūros ir saugumo užtikrinimo bei romų segregacijos mažinimo 2005 – 2010 metų programos vienas iš pagrindinių vykdytojų yra Vilniaus miesto vyriausiasis policijos komisariatas. </w:t>
      </w:r>
    </w:p>
    <w:p w:rsidR="00585AD9" w:rsidRDefault="00585AD9" w:rsidP="00585AD9">
      <w:pPr>
        <w:ind w:firstLine="720"/>
        <w:jc w:val="both"/>
      </w:pPr>
      <w:r>
        <w:t xml:space="preserve">Policijos departamento prie VRM 2006 11 27 duomenimis, Vilniaus miesto policijos pastovus dėmesys ir kontrolė skiriama išskirtiniam Vilniaus Kirtimų rajonui, kur gyvena didžiausia šalyje romų bendruomenė ir daugiausia nerimo kelia tarp romų paplitusi prekyba narkotikais ir narkomanija. </w:t>
      </w:r>
    </w:p>
    <w:p w:rsidR="00585AD9" w:rsidRDefault="00585AD9" w:rsidP="00585AD9">
      <w:pPr>
        <w:ind w:firstLine="720"/>
        <w:jc w:val="both"/>
      </w:pPr>
      <w:r>
        <w:t>Užkardydami neteisėtą narkotikų apyvartą, Vilniaus m. VPK 3 - jo PK Naujininkų PN pareigūnai, kurių prižiūrimoje teritorijoje yra įsikūrusi romų bendruomenė, nuo 2006 metų pradžios pradėjo 66 ikiteisminius tyrimus pagal Lietuvos Respublikos baudžiamojo kodekso 259 straipsnį (Neteisėtas disponavimas narkotinėmis ir psichotropinėmis medžiagomis be tikslo jas platinti), surašė 1 418 protokolų pagal Lietuvos Respublikos administracinių teisės pažeidimų kodekso 44 str. (</w:t>
      </w:r>
      <w:r>
        <w:rPr>
          <w:lang w:eastAsia="lt-LT"/>
        </w:rPr>
        <w:t>Neteisėtas narkotinių ar psichotropinių medžiagų įgijimas ar laikymas nedideliais kiekiais arba narkotinių ar psichotropinių medžiagų vartojimas be gydytojo paskyrimo</w:t>
      </w:r>
      <w:r>
        <w:t>).</w:t>
      </w:r>
    </w:p>
    <w:p w:rsidR="00585AD9" w:rsidRDefault="00585AD9" w:rsidP="00585AD9">
      <w:pPr>
        <w:ind w:firstLine="720"/>
        <w:jc w:val="both"/>
      </w:pPr>
      <w:r>
        <w:t>Per dešimt šių metų mėnesių romų bendruomenės teritorijoje įvykdyti 3 plėšimai ir 4 vagystės, rasti 5 lavonai (narkomanų). Per praėjusius metus romų bendruomenės teritorijoje buvo įvykdyti 8 plėšimai ir 1 vagystė, rasti 8 lavonai (narkomanų).</w:t>
      </w:r>
    </w:p>
    <w:p w:rsidR="00585AD9" w:rsidRDefault="00585AD9" w:rsidP="00585AD9">
      <w:pPr>
        <w:ind w:firstLine="720"/>
        <w:jc w:val="both"/>
      </w:pPr>
      <w:r>
        <w:t xml:space="preserve">Romų bendruomenė įsikūrusi Kirtimų rajone, nuošalioje vietoje, teritorijos didesnė dalis ribojasi su mišku. Į taborą veda daug miško kelių bei kelių, vedančių į sodų bendrijų teritorijas (strategiškai patogi vieta „narkomanijos verslui“). Jų gyvenviečių bendras teritorijų plotas užima virš 8-ų hektarų ir skirstomi į „Viršutinį“, „Žemutinį“ bei „Rodūnios kelio“, kuriuose gyvena 494 asmenys. Pastaruoju metu suintensyvėjo romų tautybės asmenų migracija: vieniems išvykus, jų vietoje apsigyvena atvykę iš kitų Lietuvos miestų ir rajonų. </w:t>
      </w:r>
    </w:p>
    <w:p w:rsidR="00585AD9" w:rsidRDefault="00585AD9" w:rsidP="00585AD9">
      <w:pPr>
        <w:ind w:firstLine="720"/>
        <w:jc w:val="both"/>
      </w:pPr>
      <w:r>
        <w:t xml:space="preserve">Apie 50 procentų visų taboro gyventojų yra teisti. Dažniausiai už nusikaltimus nuosavybei ir už neteisėtą narkotinių ar psichotropinių medžiagų disponavimą. Dauguma tabore gyvenančių vaikų </w:t>
      </w:r>
      <w:r>
        <w:lastRenderedPageBreak/>
        <w:t>nuolat nelanko mokyklų ir, matydami narkotinių medžiagų gaminimo ir realizavimo procesą, patys pradeda vartoti narkotikus ir per trumpą laiką tampa narkomanais.</w:t>
      </w:r>
    </w:p>
    <w:p w:rsidR="00585AD9" w:rsidRDefault="00585AD9" w:rsidP="00585AD9">
      <w:pPr>
        <w:ind w:firstLine="720"/>
        <w:jc w:val="both"/>
      </w:pPr>
      <w:r>
        <w:t xml:space="preserve">Vykdant narkotinių bei psichotropinių medžiagų gaminimo, realizavimo bei vartojimo be gydytojo paskirties kriminalinio pobūdžio prevenciją Vilniaus m. VPK kriminalinės policijos Nusikaltimų tyrimo tarnybos Narkotikų kontrolės skyriaus pareigūnai nuolat organizuoja ne viešo pobūdžio patikrinimus Viršutiniame ir Žemutiniame taboruose, Rodūnios kelyje, siekiant nustatyti ir patraukti baudžiamojon atsakomybėn asmenis, neteisėtai platinančius narkotines ir psichotropines medžiagas bei užkardyti nusikalstamas veikas, susijusias su neteisėta narkotinių ir psichotropinių medžiagų apyvarta. </w:t>
      </w:r>
    </w:p>
    <w:p w:rsidR="00585AD9" w:rsidRDefault="00585AD9" w:rsidP="00585AD9">
      <w:pPr>
        <w:ind w:firstLine="720"/>
        <w:jc w:val="both"/>
      </w:pPr>
      <w:r>
        <w:t>Nuo 2006 metų pradžios Narkotikų kontrolės skyriaus pareigūnai pradėjo 26 ikiteisminius tyrimus dėl neteisėto disponavimo narkotinėmis ir psichotropinėmis medžiagomis romų bendruomenėje, iš  jų 23 ikiteisminiai tyrimai dėl narkotinių ir psichotropinių medžiagų  platinimo pagal LR BK 260 straipsnį (neteisėtas disponavimas narkotinėmis ar psichotropinėmis medžiagomis turint tikslą jas platinti arba neteisėtas disponavimas labai dideliu narkotinių ar psichotropinių medžiagų kiekiu). Pagal šias bylas įtarimai pareikšti 30 romų bendruomenės gyventojų. Atliktos priemonės stipriai įtakojo šiandieninę padėtį romų bendruomenėje. Dalis asmenų visai atsisakė nusikalstamos veikos, dalis ėmėsi atsargumo priemonių, dėl ko jų išplatinami narkotinių medžiagų kiekiai ženkliai sumažėjo. Pradėtose ikiteisminio tyrimo medžiagose įtarimai pareikšti asmenims, kurie turimais duomenimis išplatindavo vienus didžiausių narkotinių medžiagų kiekius. Devyniems asmenims teismo skirta kardomoji priemonė suėmimas – kardomasis kalinimas, tuo užkertant galimybę ikiteisminio tyrimo metu vykdyti (tęsti) nusikalstamos veikos atlikimą t.y. narkotikų apyvartą.</w:t>
      </w:r>
    </w:p>
    <w:p w:rsidR="00585AD9" w:rsidRDefault="00585AD9" w:rsidP="00585AD9">
      <w:pPr>
        <w:ind w:firstLine="720"/>
        <w:jc w:val="both"/>
      </w:pPr>
      <w:r>
        <w:t xml:space="preserve">Siekdami valdyti kriminogeninę situaciją, suaktyvinti darbą neteisėtos narkotinių bei psichotropinių medžiagų apyvartos srityje romų bendruomenėje, sostinės policijos pareigūnai atlieka tikslinį darbą, išaiškindami asmenis, neteisėtai disponuojančius narkotinėmis ir psichotropinėmis medžiagomis. </w:t>
      </w:r>
    </w:p>
    <w:p w:rsidR="00585AD9" w:rsidRDefault="00585AD9" w:rsidP="00585AD9">
      <w:pPr>
        <w:ind w:firstLine="720"/>
        <w:jc w:val="both"/>
      </w:pPr>
      <w:r>
        <w:t xml:space="preserve">2004 m. spalį bendromis Vilniaus m. savivaldybės ir Vilniaus m. vyriausiojo policijos komisariato pastangomis, Kirtimų romų taboro teritorijoje buvo įkurtas stacionarus policijos stebėjimo postas. Ši akcija sulaukė labai prieštaringų vertinimų - patys romai aktyviai priešinosi tokiai prevencinei priemonei (pareigūnai sulaukė grasinimų, postas buvo sudegintas), tačiau kiti Vilniaus miesto gyventojai palaikė šį kovos su narkotikų platinimu metodą. </w:t>
      </w:r>
    </w:p>
    <w:p w:rsidR="00585AD9" w:rsidRDefault="00585AD9" w:rsidP="00585AD9">
      <w:pPr>
        <w:ind w:firstLine="720"/>
        <w:jc w:val="both"/>
      </w:pPr>
      <w:r>
        <w:t xml:space="preserve">Naujininkų PN yra įsikūrusi Vilniaus m. VPK Transporto PK patalpose (Sodų g. 23). </w:t>
      </w:r>
      <w:r>
        <w:rPr>
          <w:color w:val="000000"/>
          <w:spacing w:val="1"/>
        </w:rPr>
        <w:t xml:space="preserve">Vilniaus romų bendruomenės gyvenamąją teritoriją ir jos prieigas prižiūri </w:t>
      </w:r>
      <w:r>
        <w:t xml:space="preserve">Vilniaus m. VPK 3 – jo PK Naujininkų PN viešosios policijos tyrėjas (apylinkės inspektorius). Minėtą teritoriją prižiūri jau antri metai, todėl yra įsigilinęs į problemas, kylančias šioje vietovėje. Nuo šių metų vasario mėnesio buvo pakeistas tarnybos organizavimas policijos poste. Tyrėjas kiekvieną pirmadienį ir ketvirtadienį policijos poste organizuoja romų bendruomenės gyventojų priėmimus, kurių tikslas – padėti romų bendruomenės gyventojams spręsti kylančias teisines problemas ir padėti jiems integruotis į visuomenę. Naujininkų PN dirba 16 tyrėjų, kiekvienas turi savo prižiūrimą teritoriją. </w:t>
      </w:r>
    </w:p>
    <w:p w:rsidR="00585AD9" w:rsidRDefault="00585AD9" w:rsidP="00585AD9">
      <w:pPr>
        <w:ind w:firstLine="720"/>
        <w:jc w:val="both"/>
      </w:pPr>
      <w:r>
        <w:rPr>
          <w:color w:val="000000"/>
          <w:spacing w:val="1"/>
        </w:rPr>
        <w:t>Vilniaus romų bendruomenės gyvenamojoje teritorijoje ir jos prieigose v</w:t>
      </w:r>
      <w:r>
        <w:t>isą parą organizuojamas p</w:t>
      </w:r>
      <w:r>
        <w:rPr>
          <w:spacing w:val="1"/>
        </w:rPr>
        <w:t xml:space="preserve">atruliavimas. </w:t>
      </w:r>
      <w:r>
        <w:t>Nuo 2006 metų pradžios romų bendruomenėje organizuota 40 tikslinių policinių priemonių, kurių metu į policijos įstaigas atvesdinti 1 037 asmenys, įtariami narkotinių ar psichotropinių medžiagų vartojimu ar laikymu, sulaikyti 32 už įvairius nusikaltimus paieškomi asmenys ir perduoti paieškos iniciatoriams. Nubaustas 161 asmuo už Kelių eismo taisyklių pažeidimus.</w:t>
      </w:r>
    </w:p>
    <w:p w:rsidR="00585AD9" w:rsidRDefault="00585AD9" w:rsidP="00585AD9">
      <w:pPr>
        <w:ind w:firstLine="720"/>
        <w:jc w:val="both"/>
      </w:pPr>
      <w:r>
        <w:t>Policijos pareigūnai kartu su Vilniaus miesto savivaldybės administracijos Kultūros ir sporto departamento Švietimo skyriumi, Vaikų teisių apsaugos tarnyba, Pagalba šeimai tarnyba 2006 metais vykdo kompleksines priemones ,,Beglobis”, ,,Vasara 2006” romų bendrijoje. Minėtų institucijų atstovai dalyvauja šių kompleksinių priemonių vykdyme, romų bendruomenei skiriamas ypatingas dėmesys. Praktika rodo, kad kompleksiškas požiūris į problemas, esančias romų bendruomenėje duoda geresnį bendradarbiavimą ir kokybiškesnį galutinį rezultatą: užmegztas ryšys su romų bendrijos nariais, bendrijos nariai patys rodo iniciatyvą sprendžiant savo problemas.</w:t>
      </w:r>
    </w:p>
    <w:p w:rsidR="00585AD9" w:rsidRDefault="00585AD9" w:rsidP="00585AD9">
      <w:pPr>
        <w:ind w:firstLine="720"/>
        <w:jc w:val="both"/>
      </w:pPr>
      <w:r>
        <w:t xml:space="preserve">Vykdant narkomanijos prevenciją ir mėginant romų bendruomenės gyventojus integruoti į Vilniaus miesto visuomenę, atitraukti nuo nusikalstamos veikos, Vilniaus 3 - ojo policijos komisariato pareigūnai kartu su Savivaldybės ir Naujininkų seniūnijos bei Tautinių mažumų departamento atstovais periodiškai susitinka su Lietuvos romų bendrijos „Čigonų laužas“ prezidentu Josifu Tyčina, </w:t>
      </w:r>
      <w:r>
        <w:lastRenderedPageBreak/>
        <w:t>romų bendruomenės taborų aktyvu, kitais jų nariais, romų mokymo centro vadove Svetlana Novopolskaja, siekiant spręsti romų bendruomenės gyventojų socialines problemas, teisėtvarkos užtikrinimo klausimus. Vilniaus m. Savivaldybė pasiūlė dirbti 50 romų viešuosius darbus, dėl darbo buvo tartasi su šalia taborų esančiomis įmonėmis, tačiau iš jų nesulaukta jokio susidomėjimo.</w:t>
      </w:r>
    </w:p>
    <w:p w:rsidR="00585AD9" w:rsidRDefault="00585AD9" w:rsidP="00585AD9">
      <w:pPr>
        <w:ind w:firstLine="720"/>
        <w:jc w:val="both"/>
      </w:pPr>
      <w:r>
        <w:t>Tautinių mažumų ir išeivijos departamentas prie Lietuvos Respublikos Vyriausybės parengė Lietuvos Respublikos nutarimo „Dėl Romų integracijos į Lietuvos visuomenę 2007- 2010 metų programos patvirtinimo“ projektą. Šiuo projektu siekiama patvirtinti Romų integracijos į Lietuvos visuomenę 2007- 2010 metų programą, kurios paskirtis skatinti romų tautybės asmenų integraciją į Lietuvos visuomenę, tautinio bei kultūrinio tapatumo išsaugojimą, visuomenės toleranciją. Policijos departamentui ir teritorinėms policijos įstaigoms, įgyvendinant šią programą pavesta vykdyti nusikalstamumo prevenciją. Siekiant gilinti policijos pareigūnų žinias apie antidiskriminacinių priemonių taikymą – vykdyti policijos pareigūnų mokymą Lietuvos policijos mokymo centre.</w:t>
      </w:r>
    </w:p>
    <w:p w:rsidR="00585AD9" w:rsidRDefault="00585AD9" w:rsidP="00585AD9">
      <w:pPr>
        <w:jc w:val="both"/>
      </w:pPr>
      <w:r>
        <w:tab/>
        <w:t xml:space="preserve">Vilniaus miesto savivaldybės meras 2006 12 13 raštu Nr. A51-21543-(3.1-PD-4) “Dėl pasiūlymų Lietuvos Respublikos Vyriausybei” nurodė, kad susipažinę su Lietuvos Respublikos Seimo Narkomanijos prevencijos komisijos 2006 m. lapkričio 29 d. posėdžio sprendimo projektu, informuoja, kad Vilniaus miesto savivaldybė sprendžia socialinio būsto romams nuomos klausimus. Romų šeimoms, kurių būtinieji dokumentai buvo pateikti įrašymui į sąrašą socialinio būsto nuomai, jau yra išnuomojami butai įvairiose Vilniaus miesto vietose. Socialinis būstas išnuomojamas eilės tvarka asmenims, įrašytiems į sąrašus socialinio būsto nuomai. Jau aprūpinta gyvenamuoju plotu 18 romų šeimų, anksčiau gyvenusių tabore. Šiuo metu rengiami dokumentai dėl dar dviejų daugiavaikė romų bendruomenės šeimų apgyvendinimo socialiniame būste. </w:t>
      </w:r>
    </w:p>
    <w:p w:rsidR="00585AD9" w:rsidRDefault="00585AD9" w:rsidP="00585AD9">
      <w:pPr>
        <w:ind w:firstLine="720"/>
        <w:jc w:val="both"/>
      </w:pPr>
      <w:r>
        <w:t xml:space="preserve">Buvo kreiptasi į Lietuvos Respublikos Vyriausybe dėl lėšų skyrimo pagal atskirą programą socialiniam būstui pirkti kituose Lietuvos regionuose, kuriuose pageidauja apsigyventi romų šeimos. </w:t>
      </w:r>
    </w:p>
    <w:p w:rsidR="00585AD9" w:rsidRDefault="00585AD9" w:rsidP="00585AD9">
      <w:pPr>
        <w:ind w:firstLine="720"/>
        <w:jc w:val="both"/>
      </w:pPr>
      <w:r>
        <w:t xml:space="preserve">Išnuomojus romų šeimoms socialinį būstą, atlaisvintuose būstuose apsigyvena kitos romų šeimos, Kirtimų romų taboro problema nesprendžiama iš esmės. </w:t>
      </w:r>
    </w:p>
    <w:p w:rsidR="00585AD9" w:rsidRDefault="00585AD9" w:rsidP="00585AD9">
      <w:pPr>
        <w:ind w:firstLine="720"/>
        <w:jc w:val="both"/>
      </w:pPr>
      <w:r>
        <w:t xml:space="preserve">Vadovaujantis Lietuvos respublikos statybos įstatymu, statybų priežiūrą vykdo ir savavališkos statybos padarinius šalina Apskrities viršininko administracija. </w:t>
      </w:r>
    </w:p>
    <w:p w:rsidR="00585AD9" w:rsidRDefault="00585AD9" w:rsidP="00585AD9">
      <w:pPr>
        <w:ind w:firstLine="720"/>
        <w:jc w:val="both"/>
      </w:pPr>
      <w:r>
        <w:t xml:space="preserve">Siūloma Kirtimų romų tabore inicijuoti savavališkų statinių, kuriuose gyvenusioms šeimoms buvo suteiktas socialinis būstas, nugriovimą.  </w:t>
      </w:r>
    </w:p>
    <w:p w:rsidR="00585AD9" w:rsidRDefault="00585AD9" w:rsidP="00585AD9">
      <w:pPr>
        <w:ind w:firstLine="720"/>
        <w:jc w:val="both"/>
      </w:pPr>
      <w:r>
        <w:t>Apibendrinant pažymima, kad:</w:t>
      </w:r>
    </w:p>
    <w:p w:rsidR="00585AD9" w:rsidRDefault="00585AD9" w:rsidP="00585AD9">
      <w:pPr>
        <w:ind w:firstLine="720"/>
        <w:jc w:val="both"/>
      </w:pPr>
      <w:r>
        <w:t>1. Lietuvos romai – neatskiriama mūsų visuomenės dalis, todėl būtina nuosekli Lietuvos Respublikos Vyriausybės politika, skatinanti ir spartinanti romų integravimąsi į Lietuvos visuomenę.</w:t>
      </w:r>
    </w:p>
    <w:p w:rsidR="00585AD9" w:rsidRDefault="00585AD9" w:rsidP="00585AD9">
      <w:pPr>
        <w:jc w:val="both"/>
      </w:pPr>
      <w:r>
        <w:t xml:space="preserve"> Romų būklės analizė rodo, jog socialinės, ekonominės, švietimo, sveikatos apsaugos, teisinės problemos – labai glaudžiai viena su kita susijusios.</w:t>
      </w:r>
      <w:r>
        <w:rPr>
          <w:b/>
        </w:rPr>
        <w:t xml:space="preserve"> </w:t>
      </w:r>
      <w:r>
        <w:t>Romai integruojasi per lėtai, integracija neapima visų gyvenimo sričių, nekoordinuojama įvairių institucijų veikla.</w:t>
      </w:r>
    </w:p>
    <w:p w:rsidR="00585AD9" w:rsidRDefault="00585AD9" w:rsidP="00585AD9">
      <w:pPr>
        <w:ind w:firstLine="720"/>
        <w:jc w:val="both"/>
      </w:pPr>
      <w:r>
        <w:t>2. Lietuvos Respublikos Vyriausybė 2000 m. liepos 1 d. nutarimu Nr. 759 "Dėl Romų integracijos į Lietuvos visuomenę 2000-2004 metų programos",  patvirtino Romų integracijos į Lietuvos visuomenę 2000-2004 metų programą ir jos įgyvendinimo priemones. 2000 – 2004 metais buvo įgyvendinti Programos I etapui nustatyti tikslai – įsteigtas Romų visuomenės centras, lavinami mokyklinio amžiaus vaikai, gerinamos romų socialinės sąlygos, įgyvendinama pirminė sveikatos priežiūra, skatinama kultūrinė veikla, nors dėl lėšų trūkumo kai kurios priemonės nebuvo pilnai įgyvendintos, tačiau  turi teigiamą poveikį romų tautinei grupei.</w:t>
      </w:r>
    </w:p>
    <w:p w:rsidR="00585AD9" w:rsidRDefault="00585AD9" w:rsidP="00585AD9">
      <w:pPr>
        <w:ind w:firstLine="720"/>
        <w:jc w:val="both"/>
      </w:pPr>
      <w:r>
        <w:t>3. Vilniaus miesto savivaldybės taryba 2005 06 22 sprendimu Nr. 1-838 patvirtino Vilniaus romų bendruomenės ir šalia taboro esančių teritorijų priežiūros ir saugumo užtikrinimo bei romų segregacijos mažinimo 2005 – 2010 metų programą, kurios tikslas – vietiniu lygiu kompleksiškai, nuosekliai ir sistemingai spręsti romų problemas, mažinti romų socialinę atskirti bei gerinti vaikų ir jaunimo socializacijos sąlygas. Pagrindinės minėtos programos kryptys yra teritorijos priežiūra, tvarkymas ir saugumas, nusikaltimų ir neteisėtos narkotikų ir psichotropinių medžiagų apyvartos prevencija, romų segregacijos mažinimas,  švietimas ir ugdymas, visiškas ir dalinis užimtumas, sveikatos priežiūra, socialinė pagalba ir parama, būsto klausimo sprendimas.</w:t>
      </w:r>
    </w:p>
    <w:p w:rsidR="00585AD9" w:rsidRDefault="00585AD9" w:rsidP="00585AD9">
      <w:pPr>
        <w:ind w:firstLine="720"/>
        <w:jc w:val="both"/>
      </w:pPr>
      <w:r>
        <w:t>Šiai programai  vykdyti Vilniaus miesto savivaldybės taryba įpareigojo savivaldybės administraciją numatyti 2005 – 2006 metams 1 530 725 litų, o 2007, 2008, 2009 ir 2010 metams po 619,325 tūkstančių litų ir kreiptis į Vyriausybę dėl lėšų skyrimo romams apgyvendinti kitų Lietuvos Respublikos  savivaldybių teritorijose.</w:t>
      </w:r>
    </w:p>
    <w:p w:rsidR="00585AD9" w:rsidRDefault="00585AD9" w:rsidP="00585AD9">
      <w:pPr>
        <w:ind w:firstLine="720"/>
        <w:jc w:val="both"/>
      </w:pPr>
      <w:r>
        <w:lastRenderedPageBreak/>
        <w:t xml:space="preserve">4. Gyventojų surašymo duomenimis, Lietuvoje gyvena 2572 romų tautybės asmenys ( tarp jų ir vaikai). Dalis romų tautybės asmenų dėl jų nesėslaus gyvenimo būdo Lietuvoje gyvena neturėdami galiojančių dokumentų. </w:t>
      </w:r>
    </w:p>
    <w:p w:rsidR="00585AD9" w:rsidRDefault="00585AD9" w:rsidP="00585AD9">
      <w:pPr>
        <w:jc w:val="both"/>
      </w:pPr>
      <w:r>
        <w:t>Romų tabore Kirtimuose, Vilniuje, S.Dariaus ir S.Girėno g. 185 bei Rodūnės kelias 21,  gyvena per 500 asmenų. 280 asmenų  amžius yra iki 15 metų, 220 asmenų amžius viršija 15 metų,  ir iš pastarųjų net 124 asmenys teisti už neteisėtą narkotinių ir psichotropinių medžiagų disponavimą, iš jų 50 asmenų teisti pakartotinai. (Vaiko teisių apsaugos kontrolieriaus įstaigos 2005 10 28 duomenimis romų tabore gyveno 167 nepilnamečiai).</w:t>
      </w:r>
    </w:p>
    <w:p w:rsidR="00585AD9" w:rsidRDefault="00585AD9" w:rsidP="00585AD9">
      <w:pPr>
        <w:ind w:firstLine="720"/>
        <w:jc w:val="both"/>
      </w:pPr>
      <w:r>
        <w:t>5. Programos įgyvendintos priemonės ir Vilniaus miesto romų taboro bendruomenei iš valstybės biudžeto, savivaldybės ir kitų institucijų skiriamos  lėšos paneigia teiginius, jog romų tabore Kirtimuose, Vilniuje dėl skurdo neišvengiamai susiklosto sąlygos dirbti nelegaliai arba įsitraukti į nusikalstamą veiklą (narkotinių ir psichotropinių medžiagų gamyba ir prekyba ir kt.).</w:t>
      </w:r>
    </w:p>
    <w:p w:rsidR="00585AD9" w:rsidRDefault="00585AD9" w:rsidP="00585AD9">
      <w:pPr>
        <w:ind w:firstLine="720"/>
        <w:jc w:val="both"/>
      </w:pPr>
      <w:r>
        <w:t>6. Romų tabore Kirtimuose įrengtas policijos postas, kuriame ištisą parą budi policijos pareigūnai, atliekantys periodišką patruliavimą tabore ir jo prieigose, siekdami užkardyti nusikalstamas veikas ir administracinius teisės pažeidimus, susijusius su neteisėtu narkotinių medžiagų įgijimu, laikymu, gaminimu ar vartojimu bei įrengtos 5 vaizdo stebėjimo kameros,  leidžia policijos pareigūnams sistemingai  vykdyti prevencines priemones romų tabore ir gretimose gatvėse. Įrengtas policijos postas, kuris aptarnauja tik 500 asmenų ir kuriame ištisą parą budi policijos pareigūnai atliekantys periodišką patruliavimą tabore ir jo prieigose ir  5 vaizdo stebėjimo kameros,  sudaro prielaidas efektyvesniam policijos pareigūnų darbui.</w:t>
      </w:r>
    </w:p>
    <w:p w:rsidR="00585AD9" w:rsidRDefault="00585AD9" w:rsidP="00585AD9">
      <w:pPr>
        <w:ind w:firstLine="720"/>
        <w:jc w:val="both"/>
      </w:pPr>
      <w:r>
        <w:t xml:space="preserve"> Nuo  2004m. spalio mėn. iki 2005 m. kovo mėn. organizuojamų policijos priemonių metu minėtoje teritorijoje buvo sulaikytas 341 asmuo, iš jų už narkotinių medžiagų laikymą ir vartojimą buvo sulaikyti 299 asmenys. Taip pat buvo sulaikyti 42 policijos ieškomi asmenys, išaiškinti 239 Kelių eismo taisyklių pažeidimai.</w:t>
      </w:r>
    </w:p>
    <w:p w:rsidR="00585AD9" w:rsidRDefault="00585AD9" w:rsidP="00585AD9">
      <w:pPr>
        <w:ind w:firstLine="720"/>
        <w:jc w:val="both"/>
      </w:pPr>
      <w:r>
        <w:t>Per 2005 m. sausio – balandžio mėn. Vilniaus m. VPK 3-jame policijos komisariate buvo surašyti administracinių teisės pažeidimų protokolai 1083 asmenims, iš jų 976 asmenys buvo pristatyti iš romų taboro, pagal Lietuvos Respublikos Administracinių  teisės pažeidimų kodekso 44 str. ( “Neteisėtas narkotinių ar psichotropinių medžiagų įgijimas ar laikymas nedideliais kiekiais arba narkotinių ar psichotropinių medžiagų vartojimas be gydytojo paskyrimo”), pradėti 24 ikiteisminiai tyrimai pagal Lietuvos Respublikos baudžiamojo kodekso 259 str. (“Neteisėtas disponavimas narkotinėmis ar psichotropinėmis medžiagomis be tikslo jas platinti”), 48 ikiteisminiai tyrimai dėl kitų nusikalstamų veikų, padarytų Rodūnios kelio gatvėje ir romų taboro teritorijoje, esančioje Dariaus ir Girėno g. 185.</w:t>
      </w:r>
    </w:p>
    <w:p w:rsidR="00585AD9" w:rsidRDefault="00585AD9" w:rsidP="00585AD9">
      <w:pPr>
        <w:ind w:firstLine="720"/>
        <w:jc w:val="both"/>
      </w:pPr>
      <w:r>
        <w:t>7. Vaiko teisių apsaugos kontrolierė Rimantė Šalaševičiūtė priėmė sprendimą 2005 10 28 Nr.</w:t>
      </w:r>
      <w:r>
        <w:rPr>
          <w:b/>
          <w:bCs/>
        </w:rPr>
        <w:t xml:space="preserve"> </w:t>
      </w:r>
      <w:r>
        <w:t>2-1359 ir atkreipė dėmesį į tai, kad:</w:t>
      </w:r>
    </w:p>
    <w:p w:rsidR="00585AD9" w:rsidRDefault="00585AD9" w:rsidP="00585AD9">
      <w:pPr>
        <w:jc w:val="both"/>
      </w:pPr>
      <w:r>
        <w:t xml:space="preserve">  romų tabore vykstantys procesai, vienas iš jų – prekyba narkotinėmis medžiagomis, yra romų vaikų stebimi ir  todėl Jungtinių Tautų vaiko teisių konvencijos 33 straipsnio nuostatos gali būti pažeidžiamos; </w:t>
      </w:r>
    </w:p>
    <w:p w:rsidR="00585AD9" w:rsidRDefault="00585AD9" w:rsidP="00585AD9">
      <w:pPr>
        <w:ind w:firstLine="720"/>
        <w:jc w:val="both"/>
      </w:pPr>
      <w:r>
        <w:t xml:space="preserve"> Jungtinių Tautų vaiko teisių konvencijos 18 straipsniu, Vaiko teisių apsaugos pagrindų įstatymo 4, 11 ir 21 straipsniai bei Civilinio kodekso 3.156, 3.159, 3.163 ir 3.165 straipsniai ne tik įtvirtina prioritetinę nepilnamečio vaiko tėvų prievolę užtikrinti vaikų teises, tinkamą jų interesų įgyvendinimą, tačiau ir nustato tėvų lygias teises ir pareigas savo vaikams, t.y. bendrą ir vienodą atsakomybę už vaikų auklėjimą ir vystymą bei tai, kad tėvų valdžia negali būti naudojamasi priešingai vaiko interesams;</w:t>
      </w:r>
    </w:p>
    <w:p w:rsidR="00585AD9" w:rsidRDefault="00585AD9" w:rsidP="00585AD9">
      <w:pPr>
        <w:jc w:val="both"/>
      </w:pPr>
      <w:r>
        <w:t xml:space="preserve"> </w:t>
      </w:r>
      <w:r>
        <w:tab/>
        <w:t>Vyriausiojo policijos komisariatas turėtų užtikrinti aktyvų ir efektyvų</w:t>
      </w:r>
      <w:r>
        <w:rPr>
          <w:b/>
          <w:bCs/>
        </w:rPr>
        <w:t xml:space="preserve"> </w:t>
      </w:r>
      <w:r>
        <w:t>policijos pareigūnų prevencinį ir intervencinį darbą romų bendrijoje;</w:t>
      </w:r>
    </w:p>
    <w:p w:rsidR="00585AD9" w:rsidRDefault="00585AD9" w:rsidP="00585AD9">
      <w:pPr>
        <w:ind w:firstLine="720"/>
        <w:jc w:val="both"/>
      </w:pPr>
      <w:r>
        <w:t xml:space="preserve">Narkotikų kontrolės departamentui prie Lietuvos Respublikos Vyriausybės, siekiant maksimalios vaiko apsaugos nuo psichiką veikiančių medžiagų vartojimo, būtina jau šiuo metu realiai spręsti paplitusią narkomanijos ir narkotikų verslo Vilniaus romų Kirtimų tabore problemą, ypatingai  romų vaikų įtraukimo į šį neigiamą socialinį reiškinį prevencijos klausimus. </w:t>
      </w:r>
    </w:p>
    <w:p w:rsidR="00585AD9" w:rsidRDefault="00585AD9" w:rsidP="00585AD9">
      <w:pPr>
        <w:jc w:val="both"/>
      </w:pPr>
    </w:p>
    <w:p w:rsidR="00585AD9" w:rsidRDefault="00585AD9" w:rsidP="00585AD9">
      <w:pPr>
        <w:ind w:firstLine="720"/>
        <w:jc w:val="center"/>
        <w:rPr>
          <w:b/>
          <w:bCs/>
        </w:rPr>
      </w:pPr>
      <w:r>
        <w:rPr>
          <w:b/>
          <w:bCs/>
        </w:rPr>
        <w:t>DĖL KOMISIJOS PIRMININKĖS RAMUNĖS VISOCKYTĖS ATASKAITOS APIE 2006 m. BIRŽELIO 17- 28 d. KOMANDIRUOTĘ Į JAV</w:t>
      </w:r>
    </w:p>
    <w:p w:rsidR="00585AD9" w:rsidRDefault="00585AD9" w:rsidP="00585AD9">
      <w:pPr>
        <w:jc w:val="both"/>
      </w:pPr>
    </w:p>
    <w:p w:rsidR="00585AD9" w:rsidRDefault="00585AD9" w:rsidP="00585AD9">
      <w:pPr>
        <w:jc w:val="both"/>
      </w:pPr>
      <w:r>
        <w:tab/>
        <w:t xml:space="preserve">2006 m. birželio 7 dieną LR Seimo Valdybai pritarus, 2006 m. birželio 17–28 buvau komandiruotėje Čikagoje, Sietle, Vašingtone (Jungtinės Amerikos Valstijos), dalyvavau   Sietle </w:t>
      </w:r>
      <w:r>
        <w:lastRenderedPageBreak/>
        <w:t>vykusioje Nacionalinio narkotikų teismų instituto organizuojamoje 12-ojoje metinėje konferencijoje ir susitikimuose su narkotikų politiką, kontrolę ir prevenciją koordinuojančių JAV institucijų atstovais (Čikagoje, Vašingtone, Sietle). Kartu vyko Kalėjimo departamento prie Teisingumo ministerijos direktorius Saulius Vitkūnas ir Marijampolės pataisos namų direktorius Tadas Klusevičius.</w:t>
      </w:r>
    </w:p>
    <w:p w:rsidR="00585AD9" w:rsidRDefault="00585AD9" w:rsidP="00585AD9">
      <w:pPr>
        <w:jc w:val="both"/>
      </w:pPr>
      <w:r>
        <w:t xml:space="preserve"> </w:t>
      </w:r>
      <w:r>
        <w:tab/>
        <w:t>Sietle (JAV) Nacionalinio narkotikų teismų instituto ir Nacionalinės narkotikų teismų profesionalų asociacijos 12-oje kasmetinėje konferencijoje šiemet dalyvavo 3 tūkst. specialistų iš Amerikos ir apie 300 iš įvairiausių pasaulio šalių. JAV narkotikų teismų instituto direktoriaus Westo Huddelstono kvietimu pirmą kartą konferencijoje dalyvavo ir Lietuvos atstovai. Nacionalinis narkotikų teismų institutes už Lietuvių dalyvavimą konferencijoje sumokėjo nario mokesčius (po 550 JAV dolerių) bei sudarė galimybę pamatyti, kaip praktikoje veikia visa narkotikų teismų sistema. Todėl lankėmės įvairiose JAV narkotikų kontrolės ir prevencijos institucijose, teisme, įkalinimo įstaigoje, ligoninėse, reabilitacijos centruose, bendruomenės susirinkimuose, dalyvavo oficialiuose susitikimuose ir priėmimuose.</w:t>
      </w:r>
    </w:p>
    <w:p w:rsidR="00585AD9" w:rsidRDefault="00585AD9" w:rsidP="00585AD9">
      <w:pPr>
        <w:ind w:firstLine="720"/>
        <w:jc w:val="both"/>
      </w:pPr>
      <w:r>
        <w:t>Birželio 18 d. Buvom pakviesti į tarptautinio klubo KIWANIS Kankakee (Ilinojaus valstija) miesto (prie Čikagos) skyrių. Susirinkusiai miesto bendruomenei (politikams, verslininkams, NVO atstovams, pedagogams, teisėjams, medikams) Riversaido reabilitacinio centro (Ilinojaus valstijoje) - priklausomybių nuo narkotinių medžiagų gydymo tarnybos direktorius, teismo psichologas Dr.James Simone pristatė, prašydamas paramos, tris socialinius projektus – iš įkalinimo įstaigų į laisvę grįžtančių asmenų, priklausomų nuo psichoaktyvių medžiagų, reabilitacija ir integracija į visuomenę; smurtą šeimose patiriančių moterų ir vaikų centro išlaikymo ir psichologinės pagalbos šių šeimų vyrams; vaikų reabilitacinio centro išlaikymo. Taip vietos bendruomenė turi galimybę susipažinti su jų gyvenamojoje teritorijoje veikiančiomis įstaigomis, problemomis ir gali padėti piniginėmis lėšomis arba savanorišku darbu šiose įstaigose.</w:t>
      </w:r>
    </w:p>
    <w:p w:rsidR="00585AD9" w:rsidRDefault="00585AD9" w:rsidP="00585AD9">
      <w:pPr>
        <w:ind w:firstLine="720"/>
        <w:jc w:val="both"/>
      </w:pPr>
      <w:r>
        <w:t xml:space="preserve">Birželio 19 d. lankėmės Kankakee miesto Riversaide ligoninės psichinių susirgimų bei asmenų, priklausomų nuo psichoaktyvių medžiagų detoksikacijos skyriuose. Skyrių darbuotojai pasakojo, jog pastaruoju metu padaugėjo į savižudybę linkusių ar žudytis bandžiusių vaikų. Pastebimai išaugęs ir linkusių agresyviai su draugais, mokytojais, tėvais elgtis vaikų. </w:t>
      </w:r>
    </w:p>
    <w:p w:rsidR="00585AD9" w:rsidRDefault="00585AD9" w:rsidP="00585AD9">
      <w:pPr>
        <w:ind w:firstLine="720"/>
        <w:jc w:val="both"/>
      </w:pPr>
      <w:r>
        <w:t>Vėliau  lankėmės Riversaido reabilitacinio centre (Ilinojaus valstijoje) - priklausomybių nuo narkotinių medžiagų gydymo tarnyboje. Delegaciją priėmė centro, kuris veikia nuo 1989 metų, direktorius dr. James Simone. Centras – viena iš narkotikų teismų sistemos dalis. Ši sistema visą savo gyvavimo laikotarpį buvo tobulinama, remiantis patirtimi ir specialistų siūlymais. Tai leido sukurti tikrai veiksmingą gydymo ir reabilitacinių priemonių visumą, kurios efektyvumas pripažintas tiek specialistų, tiek politikų. Kiekvienais metais programa plečiasi, šiuo metu JAV yra apie 2000 narkotikų teismų. Tokį valstybės ir visuomenės palaikymą galima paaiškinti ir pragmatiniais motyvais – įrodyta, kad į cheminių priklausomybių gydymą investuotos lėšos atsiperka maždaug septyneriopai, ženkliai mažėja nusikalstamumo lygis. Keletas pastebėjimų galėtų būti naudingi, reformuojant narkomanijos gydymą mūsų šalyje.</w:t>
      </w:r>
    </w:p>
    <w:p w:rsidR="00585AD9" w:rsidRDefault="00585AD9" w:rsidP="00585AD9">
      <w:pPr>
        <w:ind w:firstLine="720"/>
        <w:jc w:val="both"/>
      </w:pPr>
      <w:r>
        <w:rPr>
          <w:u w:val="single"/>
        </w:rPr>
        <w:t>Programos veikimo principai</w:t>
      </w:r>
      <w:r>
        <w:t xml:space="preserve">: </w:t>
      </w:r>
    </w:p>
    <w:p w:rsidR="00585AD9" w:rsidRDefault="00585AD9" w:rsidP="00585AD9">
      <w:pPr>
        <w:ind w:firstLine="720"/>
        <w:jc w:val="both"/>
      </w:pPr>
      <w:r>
        <w:rPr>
          <w:i/>
          <w:iCs/>
        </w:rPr>
        <w:t xml:space="preserve">Sertifikavimas </w:t>
      </w:r>
      <w:r>
        <w:t>– visos programoje dalyvaujančios gydymo ir prevencijos institucijos privalo atitikti valstybės tokio pobūdžio įstaigai nustatytus reikalavimus ir turėti tai patvirtinantį sertifikatą. Priklausomybių gydymu gali užsiimti įvairių specialybių gydytojai, gavę atitinkamą „American Association of Addiction Medicine“ (toliau - ASAM) sertifikatą.</w:t>
      </w:r>
    </w:p>
    <w:p w:rsidR="00585AD9" w:rsidRDefault="00585AD9" w:rsidP="00585AD9">
      <w:pPr>
        <w:ind w:firstLine="720"/>
        <w:jc w:val="both"/>
      </w:pPr>
      <w:r>
        <w:rPr>
          <w:i/>
          <w:iCs/>
        </w:rPr>
        <w:t>Savanoriškumas</w:t>
      </w:r>
      <w:r>
        <w:t xml:space="preserve"> – būtinas paciento sutikimas dalyvauti gydyme. Visi pacientai turi teisę bet kuriuo metu nutraukti gydymą.</w:t>
      </w:r>
    </w:p>
    <w:p w:rsidR="00585AD9" w:rsidRDefault="00585AD9" w:rsidP="00585AD9">
      <w:pPr>
        <w:ind w:firstLine="720"/>
        <w:jc w:val="both"/>
      </w:pPr>
      <w:r>
        <w:rPr>
          <w:i/>
          <w:iCs/>
        </w:rPr>
        <w:t xml:space="preserve">Atsakomybė </w:t>
      </w:r>
      <w:r>
        <w:t>– pacientas pilnai atsako už gydymo sutarties pažeidimus, nuobaudos dydį ir rūšį nustato narkotikų teismo teisėjas.</w:t>
      </w:r>
    </w:p>
    <w:p w:rsidR="00585AD9" w:rsidRDefault="00585AD9" w:rsidP="00585AD9">
      <w:pPr>
        <w:ind w:firstLine="720"/>
        <w:jc w:val="both"/>
      </w:pPr>
      <w:r>
        <w:rPr>
          <w:i/>
          <w:iCs/>
        </w:rPr>
        <w:t>Finansavimas</w:t>
      </w:r>
      <w:r>
        <w:t xml:space="preserve"> – didžiąja dalimi vykdomas iš draudimo lėšų, ambulatorinėse programose gali būti taikomas mišrus mokėjimas, kai dalį išlaidų apmoka pats pacientas. Kartais darbuotojo gydymąsi apmoka darbdavys.</w:t>
      </w:r>
    </w:p>
    <w:p w:rsidR="00585AD9" w:rsidRDefault="00585AD9" w:rsidP="00585AD9">
      <w:pPr>
        <w:ind w:firstLine="720"/>
        <w:jc w:val="both"/>
      </w:pPr>
      <w:r>
        <w:rPr>
          <w:i/>
          <w:iCs/>
        </w:rPr>
        <w:t>Gydymo tikslas</w:t>
      </w:r>
      <w:r>
        <w:t xml:space="preserve"> – visiškas psichoaktyvių medžiagų (toliau – PAM) vartojimo atsisakymas, paciento grąžinimas į visuomenę. Substitucinė terapija opioidų agonistais tikslinga tik kaip būdas sumažinti jų dozę iki visiško vartojimo nutraukimo. Ilgalaikis opioidų antagonistų vartojimas gali būti taikomas tik išimtiniais atvejais pagal griežtai patvirtintas indikacijas.</w:t>
      </w:r>
    </w:p>
    <w:p w:rsidR="00585AD9" w:rsidRDefault="00585AD9" w:rsidP="00585AD9">
      <w:pPr>
        <w:ind w:firstLine="720"/>
        <w:jc w:val="both"/>
      </w:pPr>
      <w:r>
        <w:rPr>
          <w:i/>
          <w:iCs/>
        </w:rPr>
        <w:t xml:space="preserve">Trukmė </w:t>
      </w:r>
      <w:r>
        <w:t>– dažniausiai nuo 12 iki 18 mėnesių, atskirais atvejais iki 4 metų.</w:t>
      </w:r>
    </w:p>
    <w:p w:rsidR="00585AD9" w:rsidRDefault="00585AD9" w:rsidP="00585AD9">
      <w:pPr>
        <w:ind w:firstLine="720"/>
        <w:jc w:val="both"/>
      </w:pPr>
      <w:r>
        <w:rPr>
          <w:i/>
          <w:iCs/>
        </w:rPr>
        <w:t>Bendradarbiavimas</w:t>
      </w:r>
      <w:r>
        <w:t xml:space="preserve"> - pastoviai vykdomas tarp visų gydyme dalyvaujančių institucijų.</w:t>
      </w:r>
    </w:p>
    <w:p w:rsidR="00585AD9" w:rsidRDefault="00585AD9" w:rsidP="00585AD9">
      <w:pPr>
        <w:ind w:firstLine="720"/>
        <w:jc w:val="both"/>
      </w:pPr>
      <w:r>
        <w:rPr>
          <w:i/>
          <w:iCs/>
        </w:rPr>
        <w:lastRenderedPageBreak/>
        <w:t>Aktyvus nevyriausybinių organizacijų</w:t>
      </w:r>
      <w:r>
        <w:t xml:space="preserve"> (anoniminių alkoholikų, anoniminių narkomanų, etc.) ir bendruomenės dalyvavimas.</w:t>
      </w:r>
    </w:p>
    <w:p w:rsidR="00585AD9" w:rsidRDefault="00585AD9" w:rsidP="00585AD9">
      <w:pPr>
        <w:ind w:firstLine="720"/>
        <w:jc w:val="both"/>
      </w:pPr>
      <w:r>
        <w:rPr>
          <w:u w:val="single"/>
        </w:rPr>
        <w:t xml:space="preserve">Programoje dalyvaujančios institucijos: </w:t>
      </w:r>
      <w:r>
        <w:t>Narkotikų teismai; Priežiūros tarnyba („Probation officer“); Lygtinio teistumo tarnyba („Parol officer“); Stacionarinio ir ambulatorinio gydymo įstaigos; Įdarbinimo, apgyvendinimo paslaugas teikiančios organizacijos; Bendruomenės atstovai; anoniminių alkoholikų ir anoniminių narkomanų grupės.</w:t>
      </w:r>
    </w:p>
    <w:p w:rsidR="00585AD9" w:rsidRDefault="00585AD9" w:rsidP="00585AD9">
      <w:pPr>
        <w:ind w:firstLine="720"/>
        <w:jc w:val="both"/>
        <w:rPr>
          <w:u w:val="single"/>
        </w:rPr>
      </w:pPr>
      <w:r>
        <w:rPr>
          <w:u w:val="single"/>
        </w:rPr>
        <w:t>Patekimo į gydymo programas keliai:</w:t>
      </w:r>
    </w:p>
    <w:p w:rsidR="00585AD9" w:rsidRDefault="00585AD9" w:rsidP="00585AD9">
      <w:pPr>
        <w:ind w:firstLine="720"/>
        <w:jc w:val="both"/>
      </w:pPr>
      <w:r>
        <w:t>Savanoriškai gydytis dažniausiai kreipiasi ilgą PAM vartojimo stažą turintys suaugę pacientai, kurių integracija į visuomenę ryškiai sutrikusi. Paaugliai patys kreipiasi itin retai.</w:t>
      </w:r>
    </w:p>
    <w:p w:rsidR="00585AD9" w:rsidRDefault="00585AD9" w:rsidP="00585AD9">
      <w:pPr>
        <w:ind w:firstLine="720"/>
        <w:jc w:val="both"/>
      </w:pPr>
      <w:r>
        <w:t>Narkotikų teismo ir teisės pažeidėjo susitarimu, pakeičiant realią laisvės atėmimo bausmę už tam tikrus nusikaltimus gydymu (gydymąsi pasirenka maždaug 95% turinčių tam galimybę teisiamųjų, likę 5% renkasi laisvės atėmimą). Rečiau chemine priklausomybe sergantys pacientai gydymuisi nukreipiami kitų teismų sprendimu.</w:t>
      </w:r>
    </w:p>
    <w:p w:rsidR="00585AD9" w:rsidRDefault="00585AD9" w:rsidP="00585AD9">
      <w:pPr>
        <w:ind w:firstLine="720"/>
        <w:jc w:val="both"/>
      </w:pPr>
      <w:r>
        <w:t>Vaikų teisių apsaugos tarnybos sprendimu, jei tėvai dėl PAM vartojimo nesugeba tinkamai prižiūrėti vaikų.</w:t>
      </w:r>
    </w:p>
    <w:p w:rsidR="00585AD9" w:rsidRDefault="00585AD9" w:rsidP="00585AD9">
      <w:pPr>
        <w:ind w:firstLine="720"/>
        <w:jc w:val="both"/>
      </w:pPr>
      <w:r>
        <w:t>Transporto teismo sprendimu dėl vairavimo apsvaigus nuo bet kokios PAM.</w:t>
      </w:r>
    </w:p>
    <w:p w:rsidR="00585AD9" w:rsidRDefault="00585AD9" w:rsidP="00585AD9">
      <w:pPr>
        <w:ind w:firstLine="720"/>
        <w:jc w:val="both"/>
      </w:pPr>
      <w:r>
        <w:t>Darbdavio siuntimu. Remiantis atitinkamais teisės aktais, kai kurios darbuotojų grupės (federalinės tarnybos, transporto įmonių personalas, etc.) nustatyta tvarka yra testuojamos dėl PAM vartojimo. Nustačius vartojimą, darbdavys turi teisę rekomenduoti darbuotojui kreiptis į specializuotas gydymo įstaigas diagnostikai ir, esant reikalui, gydymui.</w:t>
      </w:r>
    </w:p>
    <w:p w:rsidR="00585AD9" w:rsidRDefault="00585AD9" w:rsidP="00585AD9">
      <w:pPr>
        <w:ind w:firstLine="720"/>
        <w:jc w:val="both"/>
      </w:pPr>
      <w:r>
        <w:rPr>
          <w:u w:val="single"/>
        </w:rPr>
        <w:t>Gydymo programa</w:t>
      </w:r>
      <w:r>
        <w:t xml:space="preserve"> parenkama įvertinimo profesionalo („evaluation specialist“), turinčio jo kvalifikaciją atitinkantį sertifikatą, remiantis ASAM pacientų nukreipimo gydymui kriterijais. Priklausomai nuo eilės faktorių, pacientas gali būti nukreiptas ankstyviai intervencijai, įvairaus intensyvumo ambulatoriniam ar stacionariniam gydymui ar detoksikacijai. Įvertinimo specialistas sudaro ir pirminį gydymo planą, kuris gali būti keičiamas gydymo eigoje.</w:t>
      </w:r>
    </w:p>
    <w:p w:rsidR="00585AD9" w:rsidRDefault="00585AD9" w:rsidP="00585AD9">
      <w:pPr>
        <w:ind w:firstLine="720"/>
        <w:jc w:val="both"/>
      </w:pPr>
      <w:r>
        <w:rPr>
          <w:u w:val="single"/>
        </w:rPr>
        <w:t xml:space="preserve">Išlaikymas gydymo procese </w:t>
      </w:r>
      <w:r>
        <w:t>remiasi narkotikų teismų ir paciento pasirašyta sutartimi. Jos vykdymą prižiūri ir koordinuoja priežiūros tarnybos profesionalas („Probation officer“), ne rečiau kaip 2 kartus per savaitę testuojantis pacientą dėl PAM vartojimo, kontroliuojantis jo gydymo eigą, darbinę veiklą, palaikantis ryšius su visomis procese dalyvaujančiomis institucijomis. Lygtinio teistumo tarnyba („Parol officer“), turinti žymiai daugiau įgaliojmų, be šių funkcijų, vykdo pastovų paciento buvimo vietos stebėjimą GPRS daviklio pagalba. Atsakingi darbuotojai periodinių narkotikų teismų metu teisėjui pateikia išsamią paciento elgesio, gydymo rezultatų, PAM testų suvestinę. Remiantis jų rezultatais, teisėjas priima sprendimą dėl tolesnio gydymo eigos, paskiria sekančio teismo posėdžio eigą. Už gydymosi sutarties pažeidimus pacientas gali būti nubaustas realiu laisvės atėmimu nuo 1 iki 21 paros. Sunkiausia nuobauda – pašalinimas iš gydymo programos ir bylos grąžinimas nagrinėti į tradicinį teismą.</w:t>
      </w:r>
    </w:p>
    <w:p w:rsidR="00585AD9" w:rsidRDefault="00585AD9" w:rsidP="00585AD9">
      <w:pPr>
        <w:ind w:firstLine="720"/>
        <w:jc w:val="both"/>
        <w:rPr>
          <w:u w:val="single"/>
        </w:rPr>
      </w:pPr>
      <w:r>
        <w:rPr>
          <w:u w:val="single"/>
        </w:rPr>
        <w:t>Reabilitacija ir resocializacija:</w:t>
      </w:r>
    </w:p>
    <w:p w:rsidR="00585AD9" w:rsidRDefault="00585AD9" w:rsidP="00585AD9">
      <w:pPr>
        <w:ind w:firstLine="720"/>
        <w:jc w:val="both"/>
      </w:pPr>
      <w:r>
        <w:t>Visi pacientai visuose programos lygiuose neatlygintinai dalyvauja visuomeniniuose bendruomenės darbuose, lankosi AA ir NA grupių susitikimuose.</w:t>
      </w:r>
    </w:p>
    <w:p w:rsidR="00585AD9" w:rsidRDefault="00585AD9" w:rsidP="00585AD9">
      <w:pPr>
        <w:ind w:firstLine="720"/>
        <w:jc w:val="both"/>
      </w:pPr>
      <w:r>
        <w:t>Apgyvendinimas („Half way house“): Jei namų aplinka nėra palanki sveikimo procesui, tiek pilnamečiai, tiek suaugę pacientai, baigę stacionarinį gydymą nukreipiami į atitinkamas apgyvendinimo įstaigas. Paaugliai ten turi galimybę tęsti mokslus, yra stebimi profesionalių priklausomybės konsultantų, tęsiama ambulatorinio gydymo programa. Suaugę asmenys, gyvenantys tokiose įstaigose yra pastoviai testuojami, tęsiamas ambulatorinis priklausomybės gydymas etapas.</w:t>
      </w:r>
    </w:p>
    <w:p w:rsidR="00585AD9" w:rsidRDefault="00585AD9" w:rsidP="00585AD9">
      <w:pPr>
        <w:ind w:firstLine="720"/>
        <w:jc w:val="both"/>
      </w:pPr>
      <w:r>
        <w:t>Profesinis mokymas: asmenys, norintys įgyti specialybę, nukreipiami į kvalifikacinius kursus. Visi suaugę programos dalyviai yra įdarbinami. Siekiant pagerinti jų resocializaciją, vyksta pastovūs susitikimai su bendruomenės atstovais.</w:t>
      </w:r>
    </w:p>
    <w:p w:rsidR="00585AD9" w:rsidRDefault="00585AD9" w:rsidP="00585AD9">
      <w:pPr>
        <w:ind w:firstLine="720"/>
        <w:jc w:val="both"/>
      </w:pPr>
      <w:r>
        <w:t xml:space="preserve">2006 birželio 20 d. delegaciją priėmė Kankakee miesto šerifo pavaduotojas, kuris kuruoja kalėjimą – tardymo izoliatorių. Kalėjimas yra įsikūręs prie šerifo pastato. Kalėjime yra atskiri ikiteisminio tyrimo ir nuteistųjų skyriai. JAV kalėjimų administracija atsisako „linijinių“ kalėjimų pastatų, t.y. kai abipus ilgo koridoriaus yra išdėstomos kameros per kelis aukštus. Pagrindiniai tokio tipo kalėjimų trūkumai yra nuteistųjų tarpusavio bendravimas, taip pat pavojus, kad pvz. paėmus įkaitu prižiūrėtoją , labai lengvai išlaisvinami kitose kamerose esantys nuteistieji. Dabartinių  JAV kalėjimų išdėstymas yra korinio tipo. Vienas korio langelis – tai atskiras sektorius, kuriame yra 5–6 blokai aplinkui vidurinę patalpą, kurioje budi prižiūrėtojai. Jie stebi iškarto visus blokus, tačiau nuteistieji tarp savęs kontakto neturi. Viename bloke patalpinta 12 nuteistųjų. Kiekvienas yra atskiroje </w:t>
      </w:r>
      <w:r>
        <w:lastRenderedPageBreak/>
        <w:t>kameroje antrame aukšte. Pirmame aukšte yra bendras kambarys į kurį nuteistieji nusileidžia paskaityti, pažaisti, pažiūrėti televizorių. Ilgalaikių pasimatymų nebūna, trumpalaikiai suteikiami 0,5 – 1,0 val., kalbama per stiklą telefonu. Vieną kartą į dieną vedami į dušą, turintys sąskaitoje pinigų iš kalėjimo parduotuvės gali užsisakyti nealkoholinių gėrimų, užkandžių: čipsų, sausainių, saldainių. Jokių mėsos, žuvies gaminių ar pusfabrikačių, kaip Lietuvos kalėjimuose nėra, jokių virtuvėlių ar skalbyklų, kuriose patys galėtų gamintis ar skalbtis nėra. Maistas atnešamas į kiekvieną bloką 3 kartus į dieną. Apie 70 proc. nuteistųjų ar kardomųjų asmenų susiję su narkotikais, apie 50 proc. juodaodžių. Narkotikų ar kitų draudžiamų daiktų šio tipo kalėjimuose pasitaiko ypatingai retai, nes iki kalinio prieiti reikia  per kelis apsaugos taškus. Permetimai per tvoras taip pat nepasiekia tikslo. Tvorų perimetre išdėstytos videokameros, apsaugos bokštelių nėra. Įdomi sistema įdiegta, kad nereikėtų kaskart konvojuoti į teismą. Kalėjime yra specialūs video kambariai į kurį atvedamas teisiamasis ir tiesioginiu vaizdo ryšiu dalyvauja teismo posėdyje. Aišku, jei nusikaltimas sudėtingas, sunkus, daug proceso dalyvių, tuomet teisiamasis konvojuojamas į teismą. Paprastai teismo rūsyje yra įrengiamos kameros, iš kurių liftu pakylama į posėdžių salę, po to atgal ir tiesiai į konvojavimo automobilį. Taip maksimaliai išvengiama pabėgimo ar kitų incidentų pavojaus. Kalėjimų darbuotojai uždirba kaip vidutinio lygio JAV tarnautojai, todėl darbas nėra neprestižinis. Darbuotojai dirba pamainomis, dažniausiai po 12 val. Darbuotojų trūkumo nėra. Visi dėvi uniformas su skiriamaisiais ženklais. Kalėjimams vadovauja JAV teisingumo departamentas, tačiau kiekviena valstija turi dar ir savo įstatymus bei specifiką.</w:t>
      </w:r>
    </w:p>
    <w:p w:rsidR="00585AD9" w:rsidRDefault="00585AD9" w:rsidP="00585AD9">
      <w:pPr>
        <w:ind w:firstLine="720"/>
        <w:jc w:val="both"/>
      </w:pPr>
      <w:r>
        <w:t>Vėliau dalyvavome Kankakee apygardos teismo posėdyje, kurio metu stebėjome kaip teisiamasis teismo posėdyje dalyvauja būdamas kalėjimo specialiame video kambaryje, padedant tiesioginiam vaizdo ryšiui. Po teismo posėdžio Kankakee apygardos teismo pirmininkas Clarkas Ericksonas ir šio teismo  Narkotikų teismų teisėjas Michael Kick mūsų delegaciją pakvietė į užmiesčio klubą ir pietų metų papasakojo apie teisėjų vaidmenį narkotikų teismų sistemoje:</w:t>
      </w:r>
      <w:r>
        <w:tab/>
        <w:t xml:space="preserve">Tai specializuotas teismas, nagrinėjantis narkotikus vartojančių baudžiamųjų įstatymų pažeidėjų bylas, vykdantis šių asmenų priežiūrą, nuolatinį testavimą dėl narkotikų vartojimo, organizuojantis pažeidėjui kvalifikuotas gydymo paslaugas, nedelsiant skiriantis sankcijas ir paskatinimus. Be to, šie teismai užtikrina teisėjų sprendimų priėmimo nuoseklumą ir skatina įvairių institucijų ir fondų bendradarbiavimą, efektyvesnį lėšų panaudojimą ir sėkmingesnį programų įgyvendinimą. Pagrindinė priežastis, nulėmusi specializuotų teismų atsiradimą, buvo baudžiamųjų bylų, susijusių su narkotikais, skaičiaus išaugimas teismuose ir teisėsaugos institucijų nesugebėjimas sumažinti neteisėtų narkotikų tiekimo ir poreikio. </w:t>
      </w:r>
    </w:p>
    <w:p w:rsidR="00585AD9" w:rsidRDefault="00585AD9" w:rsidP="00585AD9">
      <w:pPr>
        <w:ind w:firstLine="720"/>
        <w:jc w:val="both"/>
      </w:pPr>
      <w:r>
        <w:t>Būna, kad teisiamasis nusprendžia, jog kol kas jis negalės gydytis reabilitacijos centre. Tuomet jis sėda į kalėjimą ir jau ten ima dalyvauti reabilitacijos programoje. Kai specialistai pamato, jog žmogus jau pasiruošęs išeiti tęsti gydymą centre, jis neretai paleidžiamas iš kalėjimo anksčiau laiko ir keliauja į reabilitacijos centrą. Tačiau taisyklės itin griežtos. Jeigu jas pažeidžia, tarkime, pabėga iš reabilitacijos centro, jis grąžinimas atgal į kalėjimą. Bet jau tuomet turi kalėti ilgesnį laiką, nei buvo paskirta pradžioje. Dar vienas esminis skirtumas nuo įprastų teisminio nagrinėjimo procedūrų yra tas, kad asmeniui pažeidus programos taisykles ir reikalavimus, ir teismui nusprendus už tai skirti sankcijas, teismo sprendimas negali būti skundžiamas. Įtariamasis neturi teisės apskųsti ir teismo sprendimo jį išbraukti iš programos – sprendimas galutinis ir neskundžiamas. Sunkiausia nuobauda būna – pašalinimas iš gydymo programos ir bylos grąžinimas nagrinėti į tradicinį teismą. Kad tai neįvyktų, reikia laikytis sutarties, kurios vykdymą prižiūri ir koordinuoja priežiūros tarnybos profesionalas, ne rečiau kaip 2 kartus per savaitę testuojantis pacientą dėl narkotikų vartojimo, kontroliuojantis jo gydymo eigą, darbinę veiklą, palaikantis ryšius su visomis procese dalyvaujančiomis institucijomis. Lygtinio teistumo tarnyba atlieka ir pastovų paciento buvimo vietos stebėjimą GPRS daviklio pagalba. Atsakingi darbuotojai periodinių narkotikų teismų metu teisėjui pateikia išsamią paciento elgesio, gydymo rezultatų, narkotikų testų suvestinę. Remiantis jų rezultatais, priimame sprendimą dėl tolesnio gydymo eigos, paskiriam kitą teismo posėdžio datą. Narkotikų teismų programoje dalyvauja kelios institucijos: narkotikų teismai, priežiūros tarnyba, lygtinio teistumo tarnyba, stacionarinio ir ambulatorinio gydymo įstaigos, įdarbinimo, apgyvendinimo paslaugas teikiančios organizacijos, bendruomenės atstovai, anoniminių alkoholikų ir anoniminių narkomanų grupės.</w:t>
      </w:r>
    </w:p>
    <w:p w:rsidR="00585AD9" w:rsidRDefault="00585AD9" w:rsidP="00585AD9">
      <w:pPr>
        <w:ind w:firstLine="720"/>
        <w:jc w:val="both"/>
      </w:pPr>
      <w:r>
        <w:t xml:space="preserve">Taikant šią praktiką, gydymąsi pasirenka maždaug 95 proc. turinčių tam galimybę teisiamųjų, likę 5 proc. renkasi laisvės atėmimą. Procesas nėra labai paprastas. Prieš tai su žmogumi bendrauja specialistai: psichologai, socialiniai darbuotojai, gydytojai ir kt. Specialistų komanda sprendžia, ar </w:t>
      </w:r>
      <w:r>
        <w:lastRenderedPageBreak/>
        <w:t>konkretus žmogus išties turi tvirtą motyvą gydytis. Su šia komanda bendrauja teisėjas, kuris ir toliau seka situaciją.</w:t>
      </w:r>
    </w:p>
    <w:p w:rsidR="00585AD9" w:rsidRDefault="00585AD9" w:rsidP="00585AD9">
      <w:pPr>
        <w:ind w:firstLine="720"/>
        <w:jc w:val="both"/>
      </w:pPr>
      <w:r>
        <w:t>Narkotikų teisimai -- tai stiprus medikų sąjungininkas kovoje prieš narkotikų priklausomybę.  Kartu tai -- ir nusikaltimų prevencijos priemonė.  Nes narkomanai, kurie anksčiau būdavo teisiami už narkotikų platinimą, laikymą, už smulkus nusikaltimus ir įkalinami, atlikę bausmę grįždavo prie  senųjų savo įpročių.  Pavyzdžiui, Kentukio valstijoje atlikta nusikaltimų analizė parodė, kad iš narkotikus vartojančių žmonių, kurie buvo nuteisti už smulkius nusikaltimus, bet nebuvo gydomi, daugiau nei 70 proc. išėję į laisvę vėl nusikalsdavo. Tačiau iš nuteistųjų, kurie buvo ne įkalinami, bet gydomi, nusikaltimus pakartotinai įvykdydavo vos dešimtadalis.</w:t>
      </w:r>
    </w:p>
    <w:p w:rsidR="00585AD9" w:rsidRDefault="00585AD9" w:rsidP="00585AD9">
      <w:pPr>
        <w:ind w:firstLine="720"/>
        <w:jc w:val="both"/>
        <w:rPr>
          <w:u w:val="single"/>
        </w:rPr>
      </w:pPr>
      <w:r>
        <w:t xml:space="preserve">Narkotikų teismai sulaužė narkotikų legalizavimo šalininkų argumentus, nes baudžiamosios teisės sistemoje atrado vietos žmogui, priklausomam nuo narkotikų, ir sudarė galimybę jam gydytis.  </w:t>
      </w:r>
      <w:r>
        <w:tab/>
        <w:t xml:space="preserve">Šiuose teismuose svarbus vaidmuo tenka teisėjui. Jis, spręsdamas materialinės ir procesinės teisės klausimus, veikia ir kaip koordinatorius, ir kaip pozityvaus kaltinamojo elgesio skatintojas. Svarbu atkreipti dėmesį į tai, kad sprendimai taikyti asmeniui konkrečią programą daugumoje jurisdikcijų priimami prieš nagrinėjant baudžiamąją bylą ir priimant nuosprendį, t. y. neturint akivaizdaus asmens kaltės įrodymo. Bet programa taikoma tik asmens sutikimu, tad nekaltumo prezumpcija nepažeidžiama. Tokia procedūra rekomenduojama ir pavyzdiniame JT NKP Narkotikų teismo įstatyme. </w:t>
      </w:r>
    </w:p>
    <w:p w:rsidR="00585AD9" w:rsidRDefault="00585AD9" w:rsidP="00585AD9">
      <w:pPr>
        <w:ind w:firstLine="720"/>
        <w:jc w:val="both"/>
      </w:pPr>
      <w:r>
        <w:t>Teisėjo vaidmuo skiriasi nuo kontinentinei teisinei sistemai įprasto vaidmens, kadangi, be bylos nagrinėjimo ir nuosprendžio paskelbimo funkcijų, teisėjui priskiriama ir įtariamojo asmens priežiūros funkcija, t. y. jam tenka tarsi ir tam tikras įtariamojo asmens elgesio kontrolės ir teigiamo elgesio skatintojo vaidmuo. Tačiau ekspertų nuomone, paminėti skirtumai nekeičia tradicinio teismo ir kitų proceso dalyvių vaidmens, o keičia tik kontekstą, kuriame šios funkcijos yra įgyvendinamos.</w:t>
      </w:r>
    </w:p>
    <w:p w:rsidR="00585AD9" w:rsidRDefault="00585AD9" w:rsidP="00585AD9">
      <w:pPr>
        <w:ind w:firstLine="720"/>
        <w:jc w:val="both"/>
      </w:pPr>
      <w:r>
        <w:t>Toks teisėjo funkcijų išplėtimas Lietuvos teismuose neturėtų sukelti teisinių problemų, kadangi ir šiuo metu teisėjas siunčia potvarkius pataisos inspekcijoms dėl asmenų, kuriems atidedamas paskirtos bausmės vykdymas arba jie lygtinai atleidžiami nuo likusios bausmės prieš terminą, įtraukimo į įskaitą ir sprendžia dėl šių asmenų išbraukimo iš pataisos inspekcijų įskaitos ir, atsižvelgiant į jų elgesį, atidėjus bausmės vykdymą, teismas arba galutinai atleidžia nuo bausmės, arba siunčia vykdyti paskirtą bausmę. Pagrindinė problema – veiksmų koordinavimas, kadangi šiuo metu kiekviena institucija Lietuvoje dirba savarankiškai – teismo funkcijos baigiasi, kai išnagrinėjama baudžiamoji byla, pataisos inspekcijos savo darbą pradeda tik gavusios atitinkamus potvarkius iš teismo. Nuteistuoju rūpinamasi ir jis kontroliuojamas nepakankamai. Pavyzdžiui, teisingumo ministro įsakyme numatyta, kad pataisos inspekcijos individualų darbą su asmenimis, kuriems atidėtas bausmės vykdymas, vykdo ne rečiau kaip kartą per du mėnesius. To tikrai nepakanka. Tarkim, JAV asmuo, kuriam paskirtas gydymasis nuo narkomanijos, privalo į teismą atvykti kartą arba du per savaitę ir yra nuolat atitinkamų institucijų prižiūrimas. Nemažai problemų sukeltų ir teisėjų, turinčių specialių žinių, parengimas, kadangi jiems reikėtų turėti informacijos apie esamas gydymo nuo narkotikų priklausomybės įstaigas, spręsti, ar galima konkretų asmenį įtraukti į gydymosi programą, kitas socialines problemas, pavyzdžiui, gyvenamosios vietos, užimtumo. Geriau suvokti teisėjo vaidmenį padės susipažinimas su asmenų atrankos procedūra ir kriterijais JAV.</w:t>
      </w:r>
    </w:p>
    <w:p w:rsidR="00585AD9" w:rsidRDefault="00585AD9" w:rsidP="00585AD9">
      <w:pPr>
        <w:ind w:firstLine="720"/>
        <w:jc w:val="both"/>
      </w:pPr>
      <w:r>
        <w:t xml:space="preserve">Paprastai asmenų atranka į šiuos teismus susideda iš dviejų etapų: </w:t>
      </w:r>
    </w:p>
    <w:p w:rsidR="00585AD9" w:rsidRDefault="00585AD9" w:rsidP="00585AD9">
      <w:pPr>
        <w:ind w:firstLine="720"/>
        <w:jc w:val="both"/>
      </w:pPr>
      <w:r>
        <w:t>-teisėsaugos institucijos vykdo atranką, siekdamos nustatyti, ar būsimas dalyvis atitinka nustatytus atrankos kriterijus, susijusius su kriminaline praeitimi, nusikaltimo rūšimi ir sunkumu bei kita;</w:t>
      </w:r>
    </w:p>
    <w:p w:rsidR="00585AD9" w:rsidRDefault="00585AD9" w:rsidP="00585AD9">
      <w:pPr>
        <w:ind w:firstLine="720"/>
        <w:jc w:val="both"/>
      </w:pPr>
      <w:r>
        <w:t>-medicininė atranka atliekama siekiant nustatyti, ar potencialus dalyvis turi priklausomybės nuo narkotikų problemų ir ar nėra kitų medicininių požymių (pvz., rimtų protinių sutrikimų), kurie sutrukdytų asmeniui patekti į individualią gydomąją programą.</w:t>
      </w:r>
    </w:p>
    <w:p w:rsidR="00585AD9" w:rsidRDefault="00585AD9" w:rsidP="00585AD9">
      <w:pPr>
        <w:ind w:firstLine="720"/>
        <w:jc w:val="both"/>
      </w:pPr>
      <w:r>
        <w:t>Paprastai asmenų atrankoje dalyvauja specializuotų teismų pareigūnai (kaltintojai, gynėjai, gydymo personalas, probacijos atstovai, teismo administratoriai ir ikiteisminės institucijos). Asmenų atranką prieš baudžiamųjų bylų nagrinėjimą, paprastai vykdo kaltintojas ir arba ikiteisminės institucijos, arba kitas teismų narkomanams personalas. Nuteistų asmenų atranką paprastai atlieka kaltintojas ir probacijos instituto pareigūnas. Daugelyje teismų galutinį žodį taria konkretaus teismo teisėjas ir kaltintojas.</w:t>
      </w:r>
    </w:p>
    <w:p w:rsidR="00585AD9" w:rsidRDefault="00585AD9" w:rsidP="00585AD9">
      <w:pPr>
        <w:ind w:firstLine="720"/>
        <w:jc w:val="both"/>
      </w:pPr>
      <w:r>
        <w:t xml:space="preserve">Birželio 21-24 d. dalyvavome Nacionalinio narkotikų teismų instituto ir Nacionalinės narkotikų teismų profesionalų asociacijos 12-oje kasmetinėje konferencijoje. Šiemet į ją atvyko 3 tūkst. specialistų (teisėjai, prokurorai, advokatai, įkalinimo įstaigų darbuotojai, psichologai, </w:t>
      </w:r>
      <w:r>
        <w:lastRenderedPageBreak/>
        <w:t>psichiatrai, net farmacinių kompanijų mokslininkai, politikai ir t.t.) iš Amerikos ir apie 300 iš įvairiausių pasaulio šalių atstovai, kurie dirbo 150 grupėse.</w:t>
      </w:r>
    </w:p>
    <w:p w:rsidR="00585AD9" w:rsidRDefault="00585AD9" w:rsidP="00585AD9">
      <w:pPr>
        <w:ind w:firstLine="720"/>
        <w:jc w:val="both"/>
      </w:pPr>
      <w:r>
        <w:t>Konferencijos atidarymo metu Sietlo, kuriame narkotikų teismai veikia jau 12 metų, meras Gregas Nichelsas sveikindamas dalyvius sakė: ”Jūsų darbas labai svarbus ir naudingas: taupomi pinigai, o žmonės grąžinami į gyvenimą“. Vašingtono valstijos pirmasis paauglių narkotikų teismo teisėjas Kenas Williamsas teigė, kad tokie teismai padeda mažinti nusikalstamumą, gelbsti šeimas ir gyvybes. O Vašingtono valstijos narkotikų teismų asociacijos prezidentas Larsas Levy priminė, jog JAV investavusi 1 JAV dolerį į šią programą sutaupo 10. Moksliniai tyrimai jau įrodė, kad narkotikų teismų sistemos veikla yra ypač efektyviai. Todėl šiemet Džordžo Bušo kabinetas Narkotikų teismų programai, kurią remia Kongresas ir Senatas, stiprinti papildomai skyrė 70 mln. JAV dolerių. Baltųjų Rūmų Narkotikų kontrolės politikos formavimo biuro direktoriaus pavaduotoja Bertha Madras teigė, jog narkotikų teismai – tai teisingumas, paremtas užuojauta. Jos nuomone, narkotikų teismų sistemos pagrindinis tikslas – narkotikų rinkos sužlugdymas. „Kalbant apie narkomaniją, labai svarbu anksti pradėti tiek prevenciją, tiek intervenciją“, – akcentavo ji.</w:t>
      </w:r>
    </w:p>
    <w:p w:rsidR="00585AD9" w:rsidRDefault="00585AD9" w:rsidP="00585AD9">
      <w:pPr>
        <w:ind w:firstLine="720"/>
        <w:jc w:val="both"/>
      </w:pPr>
      <w:r>
        <w:t xml:space="preserve">Vakare buvome pakvieti į oficialų JAV  nacionalinio narkotikų teismų instituto direktoriaus, Nacionalinės teismų kolegijos garbės nario Westas Huddlestonas vakarienę, kurioje dar dalyvavo 25 įvairūs narkotikų kontrolės ir narkomanijos prevencijos specialistai iš JAV. Jie pasakojo, kad 1997 m. JAV kreko bei kokaino vartojimo epidemija pasiekė viršūnę: teismai ir kalėjimai buvo užkimšti nusikaltusiais narkomanais. Išlaidos pataisos įstaigoms, kuriose kalinti net ir nedidelius nusikaltimus padarę narkomanai, 1999 metais pasiekė 1,2 bilijono dolerių.  Reikėjo kažko skubiai imtis. Taip atsirado vadinamieji narkotikų teismai: teisėjo institucija panaudota tam, kad nusikaltęs žmogus būtų nukreiptas gydytis ir įveiktų priklausomybę nuo narkotikų. </w:t>
      </w:r>
    </w:p>
    <w:p w:rsidR="00585AD9" w:rsidRDefault="00585AD9" w:rsidP="00585AD9">
      <w:pPr>
        <w:ind w:firstLine="720"/>
        <w:jc w:val="both"/>
      </w:pPr>
      <w:r>
        <w:t xml:space="preserve">Sprendimas steigti specializuotus teismus pažeidėjų narkomanų padarytiems nusikaltimams nagrinėti JAV nebuvo naujovė. Pirmieji specializuoti teismai buvo įsteigti 1950 m. Čikagoje ir Niujorke. Tačiau šiuose teismuose, lyginant su šiuo metu veikiančiais specializuotais teismais, buvo labai ribotos galimybės pažeidėjui taikyti gydymosi nuo narkotikų programas. Pirmasis šiuolaikinis specializuotas teismas narkomanams buvo įsteigtas 1989 m. Floridos valstijoje. Ypač šių teismų padaugėjo po 1998 m., kai JAV buvo priimti specialūs federaliniai įstatymai, palaikantys didėjantį vietos ir atskirų valstijų domėjimąsi šiais teismais. </w:t>
      </w:r>
    </w:p>
    <w:p w:rsidR="00585AD9" w:rsidRDefault="00585AD9" w:rsidP="00585AD9">
      <w:pPr>
        <w:ind w:firstLine="720"/>
        <w:jc w:val="both"/>
      </w:pPr>
      <w:r>
        <w:t>„Teismų narkomanams“ sąvoka suprantama dvejopai: pirmiausia ši sąvoka buvo vartojama bylų, susijusių su narkotikais, procesiniams ypatumams apibūdinti ir reiškė greitesnį šių bylų nagrinėjimo procesą, t. y. kiek įmanoma trumpesnį laiką tarp asmens arešto ir jo nuteisimo. Tačiau šie teismai nesprendė nuo narkotikų priklausomo asmens problemų, o paprasčiausiai pagreitino asmens iš teismo patekimą į kalėjimą, o vėliau ir vėl sugrįžimą į teismą dėl naujų nusikaltimų. Kai kuriose valstijose ir šiandiena veikia tokio pobūdžio teismai, tačiau jų nereikėtų pripažinti tikraisiais teismais narkomanams. Antroji šios sąvokos reikšmė – tai specializuotas teismas, nagrinėjantis narkotikus vartojančių baudžiamųjų įstatymų pažeidėjų bylas, vykdantis visapusę šių asmenų priežiūrą, nuolatinį testavimą dėl narkotikų vartojimo, organizuojantis pažeidėjui kvalifikuotas gydymo paslaugas, nedelsiant skiriantis sankcijas ir paskatinimus. Be to, šie teismai užtikrina teisėjų sprendimų priėmimo nuoseklumą ir skatina įvairių institucijų ir fondų bendradarbiavimą, efektyvesnį lėšų panaudojimą ir sėkmingesnį programų įgyvendinimą.</w:t>
      </w:r>
    </w:p>
    <w:p w:rsidR="00585AD9" w:rsidRDefault="00585AD9" w:rsidP="00585AD9">
      <w:pPr>
        <w:ind w:firstLine="720"/>
        <w:jc w:val="both"/>
      </w:pPr>
      <w:r>
        <w:t>Pagrindinė priežastis, nulėmusi specializuotų teismų atsiradimą, buvo baudžiamųjų bylų, susijusių su narkotikais, skaičiaus išaugimas teismuose ir  teisėsaugos institucijų nesugebėjimas sumažinti neteisėtų narkotikų tiekimo ir poreikio. Svarbiausi šių teismų tikslai yra šie:</w:t>
      </w:r>
    </w:p>
    <w:p w:rsidR="00585AD9" w:rsidRDefault="00585AD9" w:rsidP="00585AD9">
      <w:pPr>
        <w:ind w:firstLine="720"/>
        <w:jc w:val="both"/>
      </w:pPr>
      <w:r>
        <w:t>-sumažinti narkotikų vartojimą ir su tuo susijusį nusikalstamą elgesį, sudominant ir įtraukiant narkotikus vartojančius ir nusikaltimus padariusius asmenis į gydymo ir priežiūros programas;</w:t>
      </w:r>
    </w:p>
    <w:p w:rsidR="00585AD9" w:rsidRDefault="00585AD9" w:rsidP="00585AD9">
      <w:pPr>
        <w:ind w:firstLine="720"/>
        <w:jc w:val="both"/>
      </w:pPr>
      <w:r>
        <w:t>-specializuotame teisme sutelkti bylų, susijusių su narkotikais, ekspertus;</w:t>
      </w:r>
    </w:p>
    <w:p w:rsidR="00585AD9" w:rsidRDefault="00585AD9" w:rsidP="00585AD9">
      <w:pPr>
        <w:ind w:firstLine="720"/>
        <w:jc w:val="both"/>
      </w:pPr>
      <w:r>
        <w:t xml:space="preserve">-atsižvelgiant į medicininio vertinimo rezultatus tenkinti kitus kaltinamojo poreikius bei užtikrinti veiksmingą individualaus atvejo valdymą, priežiūrą ir kontrolę; </w:t>
      </w:r>
    </w:p>
    <w:p w:rsidR="00585AD9" w:rsidRDefault="00585AD9" w:rsidP="00585AD9">
      <w:pPr>
        <w:ind w:firstLine="720"/>
        <w:jc w:val="both"/>
      </w:pPr>
      <w:r>
        <w:t>-sumažinti teismo, kaltinimo ir viešosios gynybos institucijų darbo krūvį ir kartu užtikrinti -daugiau dėmesio su narkotikais nesusijusioms byloms;</w:t>
      </w:r>
    </w:p>
    <w:p w:rsidR="00585AD9" w:rsidRDefault="00585AD9" w:rsidP="00585AD9">
      <w:pPr>
        <w:ind w:firstLine="720"/>
        <w:jc w:val="both"/>
      </w:pPr>
      <w:r>
        <w:t>-atitinkamai sumažinti analizuojamos srities teisėsaugos išlaidas;</w:t>
      </w:r>
    </w:p>
    <w:p w:rsidR="00585AD9" w:rsidRDefault="00585AD9" w:rsidP="00585AD9">
      <w:pPr>
        <w:ind w:firstLine="720"/>
        <w:jc w:val="both"/>
      </w:pPr>
      <w:r>
        <w:t>-sumažinti laisvės atėmimo bausmės taikymą narkotikus vartojantiems nesmurtinius nusikaltimus padariusiems asmenims.</w:t>
      </w:r>
    </w:p>
    <w:p w:rsidR="00585AD9" w:rsidRDefault="00585AD9" w:rsidP="00585AD9">
      <w:pPr>
        <w:ind w:firstLine="720"/>
        <w:jc w:val="both"/>
      </w:pPr>
      <w:r>
        <w:t>Specializuoti teismai nėra identiški, kadangi skirtingose jurisdikcijose jie šiek tiek skiriasi struktūriškai, pagal tikslus, asmenis, kuriems jie taikomi, ir kita.</w:t>
      </w:r>
    </w:p>
    <w:p w:rsidR="00585AD9" w:rsidRDefault="00585AD9" w:rsidP="00585AD9">
      <w:pPr>
        <w:ind w:firstLine="720"/>
        <w:jc w:val="both"/>
      </w:pPr>
      <w:r>
        <w:lastRenderedPageBreak/>
        <w:t>Atsižvelgiant į esamus teismų skirtumus, 1997 m. JAV Teismų narkomanams profesionalų nacionalinė asociacija sudarė darbo grupę iš specializuotų teismų darbuotojų ir kitų ekspertų, kurie parengė studiją, supažindinančią su pagrindiniais šių specializuotų teismų elementais. Darbo grupė jų išskyrė 10, tačiau nebūtinai visi jie yra būdingi konkrečiam teismui:</w:t>
      </w:r>
    </w:p>
    <w:p w:rsidR="00585AD9" w:rsidRDefault="00585AD9" w:rsidP="00585AD9">
      <w:pPr>
        <w:ind w:firstLine="720"/>
        <w:jc w:val="both"/>
      </w:pPr>
      <w:r>
        <w:rPr>
          <w:i/>
        </w:rPr>
        <w:t>- Specializuoti teismai, greta teisėsaugos pareigūnų ir baudžiamosios teisinės sistemos institucijų, dirba kartu su vietinėmis organizacijomis, teikiančiomis gydymo nuo alkoholio ir kitų narkotikų priklausomybės paslaugas, ir finansavimo agentūromis</w:t>
      </w:r>
      <w:r>
        <w:t xml:space="preserve">. </w:t>
      </w:r>
    </w:p>
    <w:p w:rsidR="00585AD9" w:rsidRDefault="00585AD9" w:rsidP="00585AD9">
      <w:pPr>
        <w:ind w:firstLine="720"/>
        <w:jc w:val="both"/>
      </w:pPr>
      <w:r>
        <w:rPr>
          <w:i/>
        </w:rPr>
        <w:t>- Kaltintojas ir gynėjas procese dirba kaip viena komanda.</w:t>
      </w:r>
      <w:r>
        <w:t xml:space="preserve"> </w:t>
      </w:r>
    </w:p>
    <w:p w:rsidR="00585AD9" w:rsidRDefault="00585AD9" w:rsidP="00585AD9">
      <w:pPr>
        <w:ind w:firstLine="720"/>
        <w:jc w:val="both"/>
      </w:pPr>
      <w:r>
        <w:rPr>
          <w:i/>
        </w:rPr>
        <w:t>- Minimali atrankos proceso trukmė.</w:t>
      </w:r>
      <w:r>
        <w:t xml:space="preserve"> </w:t>
      </w:r>
    </w:p>
    <w:p w:rsidR="00585AD9" w:rsidRDefault="00585AD9" w:rsidP="00585AD9">
      <w:pPr>
        <w:ind w:firstLine="720"/>
        <w:jc w:val="both"/>
      </w:pPr>
      <w:r>
        <w:rPr>
          <w:i/>
        </w:rPr>
        <w:t>- Užtikrinamas gydymo nuo alkoholio, narkotikų ir kitokio su šiomis priklausomybėmis susijusio gydymo tęstinumas ir reabilitacijos paslaugų teikimas.</w:t>
      </w:r>
      <w:r>
        <w:t xml:space="preserve"> </w:t>
      </w:r>
    </w:p>
    <w:p w:rsidR="00585AD9" w:rsidRDefault="00585AD9" w:rsidP="00585AD9">
      <w:pPr>
        <w:ind w:firstLine="720"/>
        <w:jc w:val="both"/>
      </w:pPr>
      <w:r>
        <w:rPr>
          <w:i/>
        </w:rPr>
        <w:t>- Dažnas testavimas dėl alkoholio ir kitų narkotikų vartojimo</w:t>
      </w:r>
      <w:r>
        <w:t xml:space="preserve">. </w:t>
      </w:r>
    </w:p>
    <w:p w:rsidR="00585AD9" w:rsidRDefault="00585AD9" w:rsidP="00585AD9">
      <w:pPr>
        <w:ind w:firstLine="720"/>
        <w:jc w:val="both"/>
      </w:pPr>
      <w:r>
        <w:rPr>
          <w:i/>
        </w:rPr>
        <w:t>- Teismo reakcija į dalyvio elgesį programos metu</w:t>
      </w:r>
      <w:r>
        <w:t xml:space="preserve">. </w:t>
      </w:r>
    </w:p>
    <w:p w:rsidR="00585AD9" w:rsidRDefault="00585AD9" w:rsidP="00585AD9">
      <w:pPr>
        <w:ind w:firstLine="720"/>
        <w:jc w:val="both"/>
      </w:pPr>
      <w:r>
        <w:rPr>
          <w:i/>
        </w:rPr>
        <w:t>- Nuolatinis teismo bendravimas (sąveika) su kiekvienu dalyviu.</w:t>
      </w:r>
      <w:r>
        <w:t xml:space="preserve"> </w:t>
      </w:r>
    </w:p>
    <w:p w:rsidR="00585AD9" w:rsidRDefault="00585AD9" w:rsidP="00585AD9">
      <w:pPr>
        <w:ind w:firstLine="720"/>
        <w:jc w:val="both"/>
      </w:pPr>
      <w:r>
        <w:rPr>
          <w:i/>
        </w:rPr>
        <w:t>Kontrolės ir vertinimo priemonės.</w:t>
      </w:r>
      <w:r>
        <w:t xml:space="preserve"> </w:t>
      </w:r>
    </w:p>
    <w:p w:rsidR="00585AD9" w:rsidRDefault="00585AD9" w:rsidP="00585AD9">
      <w:pPr>
        <w:ind w:firstLine="720"/>
        <w:jc w:val="both"/>
      </w:pPr>
      <w:r>
        <w:rPr>
          <w:i/>
        </w:rPr>
        <w:t>Tęstiniai tarpdisciplininiai mokymai.</w:t>
      </w:r>
      <w:r>
        <w:t xml:space="preserve"> </w:t>
      </w:r>
    </w:p>
    <w:p w:rsidR="00585AD9" w:rsidRDefault="00585AD9" w:rsidP="00585AD9">
      <w:pPr>
        <w:ind w:left="720"/>
        <w:jc w:val="both"/>
        <w:rPr>
          <w:i/>
          <w:iCs/>
        </w:rPr>
      </w:pPr>
      <w:r>
        <w:rPr>
          <w:i/>
          <w:iCs/>
        </w:rPr>
        <w:t>Specializuotų teismų, viešųjų įstaigų ir visuomeninių organizacijų partnerystė</w:t>
      </w:r>
      <w:r>
        <w:t xml:space="preserve">. </w:t>
      </w:r>
    </w:p>
    <w:p w:rsidR="00585AD9" w:rsidRDefault="00585AD9" w:rsidP="00585AD9">
      <w:pPr>
        <w:ind w:firstLine="720"/>
        <w:jc w:val="both"/>
      </w:pPr>
      <w:r>
        <w:t>Teisėsaugos pareigūnai atrenka potencialius dalyvius remdamiesi iš anksto patvirtintais (raštu) atrankos kriterijais. Paprastai kreipiamas dėmesys į tokius faktus: esami kaltinimai, kriminalinė praeitis, paskutinio nusikaltimo aplinkybės (kaltinamojo kaltė, kaltinamojo ir nukentėjusiojo susitarimo apribojimai); planuojamos kratos, areštai, papildomi kaltinimai ar ankstesni pažeidimai. Daugelyje jurisdikcijų asmenys, pardavinėjantys arba gaminantys narkotikus platinimo tikslais, į šias programas neįtraukiami.</w:t>
      </w:r>
    </w:p>
    <w:p w:rsidR="00585AD9" w:rsidRDefault="00585AD9" w:rsidP="00585AD9">
      <w:pPr>
        <w:ind w:firstLine="720"/>
        <w:jc w:val="both"/>
      </w:pPr>
      <w:r>
        <w:t xml:space="preserve">Pavyzdžiui, Floridoje nustatyti tokie atrankos kriterijai: asmuo kaltinamas sunkiu (angl. </w:t>
      </w:r>
      <w:r>
        <w:rPr>
          <w:i/>
        </w:rPr>
        <w:t>felony)</w:t>
      </w:r>
      <w:r>
        <w:t xml:space="preserve"> nusikaltimu už kontroliuojamų medžiagų laikymą ar pirkimą, pirkimą per tarpininką, recepto įsigijimą apgaule; asmuo nekaltinamas žmogžudyste, seksualiniu smurtu, vagyste, plėšimu ar bet kuriuo kitu smurtiniu nusikaltimu ir anksčiau nebuvo teistas už sunkų nusikaltimą ir nedalyvavo analogiškoje programoje. </w:t>
      </w:r>
    </w:p>
    <w:p w:rsidR="00585AD9" w:rsidRDefault="00585AD9" w:rsidP="00585AD9">
      <w:pPr>
        <w:ind w:firstLine="720"/>
        <w:jc w:val="both"/>
      </w:pPr>
      <w:r>
        <w:t>JAV programos paprastai netaikomos asmenims, sulaikytiems ir už prekybą narkotikais, ypač dideliais kiekiais.</w:t>
      </w:r>
    </w:p>
    <w:p w:rsidR="00585AD9" w:rsidRDefault="00585AD9" w:rsidP="00585AD9">
      <w:pPr>
        <w:ind w:firstLine="720"/>
        <w:jc w:val="both"/>
      </w:pPr>
      <w:r>
        <w:t>1997 m. duomenimis, net 71 proc. visų pažeidėjų, patekusių į šiuos specializuotus teismus nuo 1989 m., arba sėkmingai užbaigė specializuoto teismo programą, arba aktyviai joje dalyvauja. 2001 m. Kolumbijos universiteto Nacionalinis centras narkomanijos klausimais pateikė išvadas, kad šie teismai atlieka visapusiškiausią ir efektyviausią narkotikus vartojančių pažeidėjų nusikalstamumo ir narkotikų vartojimo kontrolę.</w:t>
      </w:r>
    </w:p>
    <w:p w:rsidR="00585AD9" w:rsidRDefault="00585AD9" w:rsidP="00585AD9">
      <w:pPr>
        <w:ind w:firstLine="720"/>
        <w:jc w:val="both"/>
      </w:pPr>
      <w:r>
        <w:t>Narkotikų teismų rezultatai:</w:t>
      </w:r>
    </w:p>
    <w:p w:rsidR="00585AD9" w:rsidRDefault="00585AD9" w:rsidP="00585AD9">
      <w:pPr>
        <w:ind w:firstLine="720"/>
        <w:jc w:val="both"/>
      </w:pPr>
      <w:r>
        <w:t>specializuotų teismų sistema sėkmingai sudomina ir įtraukia į programas ir gydymą nusikaltėlius, kurie piktnaudžiauja narkotikais, turi kriminalinę praeitį ir kurie anksčiau mažai domėjosi gydymo nuo priklausomybės programomis;</w:t>
      </w:r>
    </w:p>
    <w:p w:rsidR="00585AD9" w:rsidRDefault="00585AD9" w:rsidP="00585AD9">
      <w:pPr>
        <w:ind w:firstLine="720"/>
        <w:jc w:val="both"/>
      </w:pPr>
      <w:r>
        <w:t>šie teismai vykdo visapusiškesnę nei kitos bendruomenės priežiūros organizacijos  narkotikus vartojančių pažeidėjų priežiūrą;</w:t>
      </w:r>
    </w:p>
    <w:p w:rsidR="00585AD9" w:rsidRDefault="00585AD9" w:rsidP="00585AD9">
      <w:pPr>
        <w:ind w:firstLine="720"/>
        <w:jc w:val="both"/>
      </w:pPr>
      <w:r>
        <w:t>narkotikų vartojimas ir nusikalstamo elgesio atvejų gerokai sumažėja tuo  laikotarpiu, kai klientai dalyvauja teismų programose;</w:t>
      </w:r>
    </w:p>
    <w:p w:rsidR="00585AD9" w:rsidRDefault="00585AD9" w:rsidP="00585AD9">
      <w:pPr>
        <w:ind w:firstLine="720"/>
        <w:jc w:val="both"/>
      </w:pPr>
      <w:r>
        <w:t>nusikalstamo elgesio apraiškų sumažėja ir baigus programas;</w:t>
      </w:r>
    </w:p>
    <w:p w:rsidR="00585AD9" w:rsidRDefault="00585AD9" w:rsidP="00585AD9">
      <w:pPr>
        <w:ind w:firstLine="720"/>
        <w:jc w:val="both"/>
      </w:pPr>
      <w:r>
        <w:t>teismai taupo lėšas: rečiau naudojamasi kalėjimų paslaugomis, sumažėja nusikalstamumas ir mažesnės teisėsaugos institucijų išlaidos;</w:t>
      </w:r>
    </w:p>
    <w:p w:rsidR="00585AD9" w:rsidRDefault="00585AD9" w:rsidP="00585AD9">
      <w:pPr>
        <w:ind w:firstLine="720"/>
        <w:jc w:val="both"/>
      </w:pPr>
      <w:r>
        <w:t>šie teismai gana veiksmingai užpildo vakuumą tarp teismų ir sveikatos sistemos ir skatina glaudesnį įvairių institucijų ir teisėsaugos sistemos bei teisėsaugos sistemos ir bendruomenės bendradarbiavimą.</w:t>
      </w:r>
    </w:p>
    <w:p w:rsidR="00585AD9" w:rsidRDefault="00585AD9" w:rsidP="00585AD9">
      <w:pPr>
        <w:ind w:firstLine="720"/>
        <w:jc w:val="both"/>
      </w:pPr>
      <w:r>
        <w:t>Mūsų delegacija konferencijoje dalyvavo tarptautinės grupės darbe.</w:t>
      </w:r>
    </w:p>
    <w:p w:rsidR="00585AD9" w:rsidRDefault="00585AD9" w:rsidP="00585AD9">
      <w:pPr>
        <w:ind w:firstLine="720"/>
        <w:jc w:val="both"/>
      </w:pPr>
      <w:r>
        <w:t xml:space="preserve">1999 m. pagal Jungtinių Tautų Narkotikų kontrolės programą (toliau – JTNKP) buvo sudaryta ekspertų darbo grupė iš įvairių Vakarų valstybių atstovų. Jie analizavo įvairiose valstybėse taikomas narkomanų gydymo ir reabilitacijos metodikas, vertino jų pranašumus ir trūkumus. Remiantis ekspertų pateiktomis išvadomis JTNKP 2000 m. parengė pavyzdinį teismo, skirto taikyti gydymo ir reabilitacijos programas narkomanams pažeidėjams, įstatymą, parengtą taikant JAV išplėtotą teismų narkomanams koncepciją. </w:t>
      </w:r>
    </w:p>
    <w:p w:rsidR="00585AD9" w:rsidRDefault="00585AD9" w:rsidP="00585AD9">
      <w:pPr>
        <w:ind w:firstLine="720"/>
        <w:jc w:val="both"/>
      </w:pPr>
      <w:r>
        <w:lastRenderedPageBreak/>
        <w:t>Konferencijoje Sietle dalyvavęs Jungtinių Tautų Organizacijos Narkotikų ir nusikalstamumo prevencijos biuro Vienoje vadovo pavaduotojas Andrewas Wellsas pasakojo, kad JAV Narkotikų teismų institutas atvėrė savo teismus tarptautinei bendruomenei. “1997 m. narkotikų teismai atsirado Australijoje bei Kanadoje. Šiuo metu jau 14 pasaulio šalių vykdo narkotikų teismų programą. Tačiau tarptautiniu mastu tokių teismų trūksta. Pernai Čilės prezidentė paskatino teisėjus savo šalyje kurti tokius teismus. Ši šalis suprato, kad tai bus vienintelė išeitis, padėsianti kovoti su narkomanija”, - sakė A.Wellsas.</w:t>
      </w:r>
    </w:p>
    <w:p w:rsidR="00585AD9" w:rsidRDefault="00585AD9" w:rsidP="00585AD9">
      <w:pPr>
        <w:ind w:firstLine="720"/>
        <w:jc w:val="both"/>
      </w:pPr>
      <w:r>
        <w:t>Padedant JT buvo peržiūrėta ir pakoreguota Norvegijos įstatyminė bazė ir to pagrindu dviejuose miestuose jau įgyvendinama narkotikų teismų praktika. Manoma, kad šią patirtį greitai perims daugiau Norvegijos miestų.  Beje, kalbėdamasis su lietuviais A. Wellsas teigė, kad mums Norvegija bus geriausias pavyzdys šią sistemą nutarus kurti Lietuvoje. Jis minėjo, kad JT specialistai netgi pasirengę atlikti mūsų įstatymų analizę, kokias pataisas reikėtų priimti, jog šią sistemą būtų galima diegti ir mūsų šalyje.</w:t>
      </w:r>
    </w:p>
    <w:p w:rsidR="00585AD9" w:rsidRDefault="00585AD9" w:rsidP="00585AD9">
      <w:pPr>
        <w:jc w:val="both"/>
      </w:pPr>
      <w:r>
        <w:t xml:space="preserve"> </w:t>
      </w:r>
      <w:r>
        <w:tab/>
        <w:t xml:space="preserve">Atsižvelgiant į šiandieninę padėtį tiek Lietuvoje, tiek pasaulyje, tikslinga išsamiau panagrinėti JAV egzistuojančią teismų sistemą, įvertinti Lietuvos galimybes remiantis JT ekspertų pavyzdiniu įstatymu pritaikyti šios sistemos elementus esamoje teisinėje sistemoje.  </w:t>
      </w:r>
    </w:p>
    <w:p w:rsidR="00585AD9" w:rsidRDefault="00585AD9" w:rsidP="00585AD9">
      <w:pPr>
        <w:ind w:firstLine="720"/>
        <w:jc w:val="both"/>
      </w:pPr>
      <w:r>
        <w:t>Birželio 26 d. Mokslininkai apskaičiavo, kad dėl priklausomybės ligų žmogui paaštrėja 20 kitų įvairiausių ligų, kurioms gydyti išleidžiama daug valstybės ir žmogaus pinigų, o kadangi žmogus vartoja narkotikus, tai tų lėšų reikėtų išleisti dar daugiau. Nustatyta, kad narkomanija jaunuolių tarpe įtakoja ankstyvą nėštumą, vystymosi sutrikimus, psichologines problemas,sunkumus moksle. Taigi jaunuoliui, vartojančiam narkotikus, iškyla visa virtinė rūpesčių, kuriuos jis turi spręsti. Beje, Amerikoje nė viena programa nepajuda iš vietos be mokslinių skaičiavimų ir tyrimų.</w:t>
      </w:r>
    </w:p>
    <w:p w:rsidR="00585AD9" w:rsidRDefault="00585AD9" w:rsidP="00585AD9">
      <w:pPr>
        <w:ind w:firstLine="720"/>
        <w:jc w:val="both"/>
      </w:pPr>
      <w:r>
        <w:t>Viešint JAV, birželio 26 d. buvome pakviesti į Federalinio mokslinių tyrimų centro (turinčio 27 institutus, kuriuose dirba po kelis šimtus mokslininkų) Nacionalinį narkotikų priklausomybės tyrimų institutą (NIDA), įsikūrusi Vašingtone. Čia dirbantys mokslininkai Redonna Chandler ir Bennett Fletcher sakė, kad šiuo metu JAV populiariausias narkotikas yra marihuana. Ją kasmet vartoja daugiau nei 11 mln. amerikiečių, o heroino vartotų mažėja. ”Bent kartą savo gyvenime marichuaną pabandė apie 80 mln. JAV gyventojų. 2001-2004 metais mokinių, kurie rūko ar vartoja narkotikus, skaičius sumažėjo apie 17 proc. Tačiau išaugo inhaliacinių narkotikų (uostančių klijų garus, aerozolį ir pan.) vartotojų. Kodėl? Buvome susitelkę į marihuanos rūkymo problemą ir pamiršome, kad vaikai gali išbandyti tokius svaiginimosi būdus, apie kurių žalą mažiau pasakojome. Per pastarąjį dešimtmetį narkomanų skaičius JAV sumažėjo beveik dvigubai. Tokį rezultatą davė aktyvus ir platus prevencinis darbas, prevencinės ir gydymo programos paremtos moksliniais tyrimais. Didelę reikšmę tam turėjo ir propaganda, nukreipta prieš narkotikų vartojimą. Dar pamename televizijos klipus, kuriuose prezidento Reigano žmona Nensi Reigan kviečia jaunimą pasakyti “ne” narkotikams. Tačiau dėl narkotikų vartojimo (dažnai kartu su alkoholiu) kasmet miršta 120 tūkst. JAV gyventojų”, - pasakojo tyrėjai.</w:t>
      </w:r>
    </w:p>
    <w:p w:rsidR="00585AD9" w:rsidRDefault="00585AD9" w:rsidP="00585AD9">
      <w:pPr>
        <w:ind w:firstLine="720"/>
        <w:jc w:val="both"/>
      </w:pPr>
      <w:r>
        <w:t xml:space="preserve">JAV Teisingumo departamente susitikome su Paauglių nusikalstamumo ir narkomanijos prevencijos biuro vadove Deidi Hsia, kuri pasakojo, jog JAV kiekvieną sekundę kovai su narkotikais išleidžiama 609 dolerių. Dėl narkotikų ir alkoholio šalis kasmet patiria apie 300 milijardus dolerių nuostolių: medicininės išlaidos; teisėsaugos institucijų ir pareigūnų išlaikymas; autokatastrofų, įvykusių dėl girtų ar nuo narkotikų apsvaigusių vairuotojų kaltės, pasekmių likvidavimas; kompensacijos nusikaltimų, kuriuos įvykdė nuo alkoholio ar narkotikų apsvaigę asmenys, aukoms; darbo našumo sumažėjimas; ir t.t. Beveik kiekvieną sekundę JAV dėl įvairių nusikaltimų, susijusių su narkotikais, sulaikomas žmogus. Ne visi sulaikymai baigiasi areštu. Nelegalus narkotikų turėjimas, saugojimas yra įstatymo pažeidimas. Pavyzdžiui 2000 m. dėl kaltinimo narkotikų prekybą arba jų turėjimo buvo areštuota 1,6 mln. žmonių. </w:t>
      </w:r>
    </w:p>
    <w:p w:rsidR="00585AD9" w:rsidRDefault="00585AD9" w:rsidP="00585AD9">
      <w:pPr>
        <w:ind w:firstLine="720"/>
        <w:jc w:val="both"/>
      </w:pPr>
      <w:r>
        <w:t>“1997 m. JAV kreko bei kokaino vartojimo epidemija pasiekė viršūnę: teismai ir kalėjimai buvo užkimšti nusikaltusiais narkomanais. Išlaidos pataisos įstaigoms, kuriose kalinti net ir nedidelius nusikaltimus padarę narkomanai, 1999 metais pasiekė 1,2 bilijono dolerių.  Reikėjo kažko skubiai imtis. Taip atsirado vadinamieji narkotikų teismai: teisėjo institucija panaudota tam, kad nusikaltęs žmogus būtų nukreiptas gydytis ir įveiktų priklausomybę nuo narkotikų”,- sakė Deidi Hsia.</w:t>
      </w:r>
    </w:p>
    <w:p w:rsidR="00585AD9" w:rsidRDefault="00585AD9" w:rsidP="00585AD9">
      <w:pPr>
        <w:jc w:val="both"/>
      </w:pPr>
    </w:p>
    <w:p w:rsidR="00585AD9" w:rsidRDefault="00585AD9" w:rsidP="00585AD9">
      <w:pPr>
        <w:jc w:val="center"/>
        <w:rPr>
          <w:b/>
          <w:bCs/>
        </w:rPr>
      </w:pPr>
      <w:r>
        <w:rPr>
          <w:b/>
          <w:bCs/>
        </w:rPr>
        <w:t>DARBO GRUPĖS “DĖL NEPILNAMEČIŲ, LINKUSIŲ NUSIKALSTI IR NUSIKALTUSIŲ, MINIMALIOS IR VIDUTINĖS PRIEŽIŪROS SISTEMOS SUKŪRIMO, TEISĖS AKTŲ PROJEKTŲ PARENGIMO” ATASKAITA</w:t>
      </w:r>
    </w:p>
    <w:p w:rsidR="00585AD9" w:rsidRDefault="00585AD9" w:rsidP="00585AD9">
      <w:pPr>
        <w:jc w:val="both"/>
      </w:pPr>
    </w:p>
    <w:p w:rsidR="00585AD9" w:rsidRDefault="00585AD9" w:rsidP="00585AD9">
      <w:pPr>
        <w:ind w:firstLine="720"/>
        <w:jc w:val="both"/>
      </w:pPr>
      <w:r>
        <w:t>2005 m. gegužės 6 d. LR Seimo valdyba  sprendimu Nr. 252 patvirtino darbo grupės “Dėl nepilnamečių, linkusių nusikalsti ir nusikaltusių, minimalios ir vidutinės priežiūros sistemos sukūrimo, teisės aktų projektų parengimo” sudėtį (toliau – Darbo grupė), kurios pirmininke tapo Komisijos narė Seimo narė Vincė Vaidevutė Margevičienė.</w:t>
      </w:r>
      <w:r>
        <w:rPr>
          <w:bCs/>
        </w:rPr>
        <w:t xml:space="preserve"> </w:t>
      </w:r>
    </w:p>
    <w:p w:rsidR="00585AD9" w:rsidRDefault="00585AD9" w:rsidP="00585AD9">
      <w:pPr>
        <w:ind w:firstLine="720"/>
        <w:jc w:val="both"/>
      </w:pPr>
      <w:r>
        <w:t xml:space="preserve">Lietuvos Respublikos Vyriausybė 2005 m. lapkričio 18 d. pateikė Seimui įstatymo projektą XP-933, kurį parengė Švietimo ir mokslo ministro įsakymu sudaryta Tarpžinybinė darbo grupė. </w:t>
      </w:r>
    </w:p>
    <w:p w:rsidR="00585AD9" w:rsidRDefault="00585AD9" w:rsidP="00585AD9">
      <w:pPr>
        <w:ind w:firstLine="720"/>
        <w:jc w:val="both"/>
      </w:pPr>
      <w:r>
        <w:t>Nuo Darbo grupės Seime įkūrimo iki 2005 m. lapkričio 18 d., kai Lietuvos Respublikos Vyriausybė pateikė įstatymo projektą Nr. XP-933, buvo surengta keletas posėdžių, kuriuose dalyvavo Darbo grupės nariai ir Tarpžinybinės grupės nariai. Aktyvi, Seimo sudaryta Darbo grupės veikla, padėjo išjudinti jau kelerius metus įstrigusį įstatymo projekto kūrimą ir jo pateikimą Seimui svarstyti ir jį priimti.  Buvo ne tik pasikeista nuomonėmis, bet ir imtasi rimtų įstatymo projekto pataisų. Į dalį jų, įstatymo rengėjai atsižvelgė, tačiau tai netenkino Darbo grupės narių, todėl įregistravus įstatymo projektą ir jį pateikus Seimui, Darbo grupė ėmėsi rimto įstatymo projekto tobulinimo.</w:t>
      </w:r>
    </w:p>
    <w:p w:rsidR="00585AD9" w:rsidRDefault="00585AD9" w:rsidP="00585AD9">
      <w:pPr>
        <w:ind w:firstLine="720"/>
        <w:jc w:val="both"/>
      </w:pPr>
      <w:r>
        <w:t>Darbo grupės vadovė kartu ir  Socialinių reikalų ir darbo komiteto narė surengė 8 darbo grupės posėdžius, susitiko su įvairių sričių specialistais, tiesiogiai ir netiesiogiai dirbančiais su vaikas. Suorganizavo 5 klausymus-diskusijas, kuriuose dalyvavo visų Lietuvos savivaldybių švietimo skyrių vedėjai, socialinių skyrių vedėjai, vaiko teisių apsaugos tarnybų vadovai, specialiųjų auklėjimo ir globos namų vadovai, psichologinių pedagoginių tarnybų vadovai ir policijos komisariatų specialistai dirbantys su nepilnamečiais. Prieš tai, visos šios institucijos buvo apklaustos raštu. Buvo pateikti Darbo grupę dominantys klausimai susiję su vaikų nusikalstamumo prevencija, elgesiu mokykloje, nusikalstamumo lygiu savivaldybės teritorijoje, specialistais dirbančiais su delinkventinio elgesio vaikais ir kiti svarbūs klausimai.</w:t>
      </w:r>
    </w:p>
    <w:p w:rsidR="00585AD9" w:rsidRDefault="00585AD9" w:rsidP="00585AD9">
      <w:pPr>
        <w:pStyle w:val="Pagrindiniotekstotrauka"/>
        <w:rPr>
          <w:szCs w:val="24"/>
          <w:lang w:val="lt-LT"/>
        </w:rPr>
      </w:pPr>
      <w:r>
        <w:rPr>
          <w:szCs w:val="24"/>
          <w:lang w:val="lt-LT"/>
        </w:rPr>
        <w:t>Susipažinus su 16 metų kaupta informacija vaikų nusikalstamumo srityje, apibendrinus klausimuose-diskusijose ir anketinėje apklausoje surinktus duomenis bei atsižvelgus į įvairių institucijų bei specialistų pateiktus pasiūlymus, Darbo grupė iš pagrindų patobulino Vyriausybės pateiktą įstatymo projektą XP-933 “Dėl Lietuvos Respublikos nepilnamečių minimalios ir vidutinės priežiūros” ir užregistravo patobulintą variantą XP-933(2) “Dėl Lietuvos Respublikos vaiko minimalios ir vidutinės priežiūros”.</w:t>
      </w:r>
    </w:p>
    <w:p w:rsidR="00585AD9" w:rsidRDefault="00585AD9" w:rsidP="00585AD9">
      <w:pPr>
        <w:ind w:firstLine="720"/>
        <w:jc w:val="both"/>
        <w:rPr>
          <w:i/>
          <w:iCs/>
        </w:rPr>
      </w:pPr>
      <w:r>
        <w:rPr>
          <w:i/>
          <w:iCs/>
        </w:rPr>
        <w:t>Pagrindiniai darbo grupės padaryti pakeitimai:</w:t>
      </w:r>
    </w:p>
    <w:p w:rsidR="00585AD9" w:rsidRDefault="00585AD9" w:rsidP="00585AD9">
      <w:pPr>
        <w:ind w:firstLine="720"/>
        <w:jc w:val="both"/>
      </w:pPr>
      <w:r>
        <w:t>Siaurai apibrėžtos įstatymo normos buvo papildytos, tapo informatyvesnės ir ne dviprasmiškai suprantamos.</w:t>
      </w:r>
    </w:p>
    <w:p w:rsidR="00585AD9" w:rsidRDefault="00585AD9" w:rsidP="00585AD9">
      <w:pPr>
        <w:ind w:firstLine="720"/>
        <w:jc w:val="both"/>
      </w:pPr>
      <w:r>
        <w:t xml:space="preserve">Suformuluotas aiškus minimalios ir vidutinės priežiūros priemonių skyrimo ir vykdymo mechanizmas. Aiškiai buvo suformuluoti minimalios ir vidutinės priežiūros priemonių skyrimo pagrindai. Įstatymo projektas buvo labiau integruotas į teisinę sistemą, susiejant įstatymą su naujuoju socialinių paslaugų įstatymu, švietimo įstatymu, galiojančiais švietimo ir mokslo ministro įsakymais. </w:t>
      </w:r>
    </w:p>
    <w:p w:rsidR="00585AD9" w:rsidRDefault="00585AD9" w:rsidP="00585AD9">
      <w:pPr>
        <w:ind w:firstLine="720"/>
        <w:jc w:val="both"/>
      </w:pPr>
      <w:r>
        <w:t xml:space="preserve">Įstatymo projekte įtvirtinta tarptautinėje vaiko teisių konvencijoje aiškiai apibrėžta “vaiko” sąvoka ir nuspręsta visur naudoti šią sąvoką, pakeičiant vartojamas “nepilnamečio” ir “paauglio” sąvokas.   </w:t>
      </w:r>
    </w:p>
    <w:p w:rsidR="00585AD9" w:rsidRDefault="00585AD9" w:rsidP="00585AD9">
      <w:pPr>
        <w:ind w:firstLine="720"/>
        <w:jc w:val="both"/>
      </w:pPr>
      <w:r>
        <w:t>Atsisakyta savivaldybės administracijos direktoriaus vaidmens skiriant minimalią ir vidutinę priežiūrą. Vaikui minimalios priežiūros priemonę skiria vaiko mokyklos vadovas arba teismas, o vidutinės priežiūros priemonę skiria tik teismas. Pagrindinis minimalios priežiūros priemones vykdytojas yra vaiko mokykla,  o vidutinės priežiūros priemonės – vaiko socializacijos centras, kuris turės būti įsteigtas kiekvienoje apskrityje. Tinkamą minimalios ir vidutinės priežiūros priemonių vykdymą kontroliuos vaiko teisių apsaugos tarnyba.</w:t>
      </w:r>
    </w:p>
    <w:p w:rsidR="00585AD9" w:rsidRDefault="00585AD9" w:rsidP="00585AD9">
      <w:pPr>
        <w:ind w:firstLine="720"/>
        <w:jc w:val="both"/>
      </w:pPr>
      <w:r>
        <w:t xml:space="preserve">Išplėstas vaiko, atliekančio minimalios ar vidutinės priežiūros priemonę, teisių ir svarbiausia pareigų sąrašas. </w:t>
      </w:r>
    </w:p>
    <w:p w:rsidR="00585AD9" w:rsidRDefault="00585AD9" w:rsidP="00585AD9">
      <w:pPr>
        <w:ind w:firstLine="720"/>
        <w:jc w:val="both"/>
      </w:pPr>
      <w:r>
        <w:t>Išplėstas vaiko atstovų pagal įstatymą teisių ir pareigų sąrašas. Šio įstatymo naujovė – privalomas mokymo kurso apie vaikų auklėjimą išklausymas, tokį įpareigojimą galės skirti vaiko teisių apsaugos tarnyba, policija ar teismas, vadovaujantis administracinių teisės pažeidimų kodeksu, kurio pataisas seimo darbo grupė yra paruošusi.</w:t>
      </w:r>
    </w:p>
    <w:p w:rsidR="00585AD9" w:rsidRDefault="00585AD9" w:rsidP="00585AD9">
      <w:pPr>
        <w:ind w:firstLine="720"/>
        <w:jc w:val="both"/>
      </w:pPr>
      <w:r>
        <w:t xml:space="preserve">Šiuo įstatymo projektu Vyriausybė bus įpareigota paskirti instituciją, kuri sukurtų ir įdiegtų vaiko elgesio pokyčių registrą (kompiuterinę programą) minimalios ir vidutinės priežiūros priemones vykdančiose ar jas prižiūrinčiose įstaigose. Registre bus registruojama su vaiko minimalios ar vidutinės priežiūros priemonės vykdymu susiję veiksmai ir vaiko elgesio pokyčiai. Šio registro </w:t>
      </w:r>
      <w:r>
        <w:lastRenderedPageBreak/>
        <w:t>pagalba Švietimo ir mokslo ministerija vykdys vaikų priežiūros priemonių monitoringą ir tai padės tiksliau formuoti Vyriausybės politiką šio srityje.</w:t>
      </w:r>
    </w:p>
    <w:p w:rsidR="00585AD9" w:rsidRDefault="00585AD9" w:rsidP="00585AD9">
      <w:pPr>
        <w:ind w:firstLine="720"/>
        <w:jc w:val="both"/>
      </w:pPr>
      <w:r>
        <w:t>Vaiko minimalios ar vidutinės priežiūros priemonės finansavimas – silpniausia įstatymo dalis. Įstatyme numatyta, kad v</w:t>
      </w:r>
      <w:r>
        <w:rPr>
          <w:bCs/>
        </w:rPr>
        <w:t>aiko minimalios priežiūros priemonės finansuojamos iš atitinkamų metų valstybės biudžeto ir savivaldybių biudžetų finansinių rodiklių, o vaikų socializacijos ce</w:t>
      </w:r>
      <w:r>
        <w:t xml:space="preserve">ntras </w:t>
      </w:r>
      <w:r>
        <w:rPr>
          <w:bCs/>
        </w:rPr>
        <w:t xml:space="preserve">finansuojamas Lietuvos Respublikos švietimo įstatymo ir kitų teisės aktų  nustatyta tvarka. </w:t>
      </w:r>
      <w:r>
        <w:t xml:space="preserve">Vaiko teisių apsaugos kontrolierės įstaiga ir Lietuvos savivaldybių asociacija dėl šio klausimo ne kartą yra išreiškę nuogąstavimą. </w:t>
      </w:r>
    </w:p>
    <w:p w:rsidR="00585AD9" w:rsidRDefault="00585AD9" w:rsidP="00585AD9">
      <w:pPr>
        <w:ind w:firstLine="720"/>
        <w:jc w:val="both"/>
      </w:pPr>
      <w:r>
        <w:rPr>
          <w:bCs/>
        </w:rPr>
        <w:t>Darbo grupė pasiūlė galimybę, kad teismas skirdamas vaikui minimalią ar vidutinę priežiūros priemonę</w:t>
      </w:r>
      <w:r>
        <w:t>, atsižvelgdamas į vaiko atstovo pagal įstatymą materialinę padėtį, gali įpareigoti vaiko atstovą pagal įstatymą pilnai ar iš dalies apmokėti vaikui paskirtos priežiūros priemonės vykdymą.</w:t>
      </w:r>
    </w:p>
    <w:p w:rsidR="00585AD9" w:rsidRDefault="00585AD9" w:rsidP="00585AD9">
      <w:pPr>
        <w:ind w:firstLine="720"/>
        <w:jc w:val="both"/>
        <w:rPr>
          <w:bCs/>
        </w:rPr>
      </w:pPr>
      <w:r>
        <w:t xml:space="preserve"> Taip pat, siūloma sudaryti galimybę v</w:t>
      </w:r>
      <w:r>
        <w:rPr>
          <w:bCs/>
        </w:rPr>
        <w:t>aiko minimalios ir vidutinės priežiūros priemones finansuoti juridinių ir fizinių asmenų lėšomis pagal Lietuvos Respublikos Vyriausybės arba jos įgaliotos institucijos nustatytą tvarką.</w:t>
      </w:r>
    </w:p>
    <w:p w:rsidR="00585AD9" w:rsidRDefault="00585AD9" w:rsidP="00585AD9">
      <w:pPr>
        <w:ind w:firstLine="720"/>
        <w:jc w:val="both"/>
      </w:pPr>
      <w:r>
        <w:t>Darbo grupė siūlė kreiptis į Vyriausybę, kad visos programos susijusios su vaikų nusikalstamumo ir narkomanijos prevencija, kurias šiuo metu administruoja Švietimo ir mokslo ministerija, Socialinės apsaugos ir darbo ministerija, Narkotikų kontrolės departamentas prie Vyriausybės ir kitos valstybės institucijos, būtų apjungtos į vieną valstybinę programą ir per mokinio krepšelį paskirstytos visoms mokykloms arba tiesiog mokinio krepšelyje numatyti lėšas vaiko socializacijai.</w:t>
      </w:r>
    </w:p>
    <w:p w:rsidR="00585AD9" w:rsidRDefault="00585AD9" w:rsidP="00585AD9">
      <w:pPr>
        <w:pStyle w:val="Pagrindiniotekstotrauka"/>
        <w:rPr>
          <w:szCs w:val="24"/>
          <w:lang w:val="lt-LT"/>
        </w:rPr>
      </w:pPr>
      <w:r>
        <w:rPr>
          <w:szCs w:val="24"/>
          <w:lang w:val="lt-LT"/>
        </w:rPr>
        <w:t xml:space="preserve"> Įvairių sričių specialistų nuomone, šis patobulintas įstatymo variantas labiau atitinka minimaliai ir vidutinei priežiūrai keliamus reikalavimus. </w:t>
      </w:r>
    </w:p>
    <w:p w:rsidR="00585AD9" w:rsidRDefault="00585AD9" w:rsidP="00585AD9">
      <w:pPr>
        <w:ind w:firstLine="720"/>
        <w:jc w:val="both"/>
      </w:pPr>
      <w:r>
        <w:t>Taip pat, Darbo grupė Lietuvos Respublikos Seime užregistravo kelis įstatymų pakeitimų projektus:</w:t>
      </w:r>
    </w:p>
    <w:p w:rsidR="00585AD9" w:rsidRDefault="00585AD9" w:rsidP="00585AD9">
      <w:pPr>
        <w:ind w:firstLine="720"/>
        <w:jc w:val="both"/>
      </w:pPr>
      <w:r>
        <w:rPr>
          <w:i/>
          <w:iCs/>
        </w:rPr>
        <w:t xml:space="preserve">Bausmių vykdymo kodekso 173 straipsnio papildymo įstatymo projektas XP-678. </w:t>
      </w:r>
    </w:p>
    <w:p w:rsidR="00585AD9" w:rsidRDefault="00585AD9" w:rsidP="00585AD9">
      <w:pPr>
        <w:ind w:firstLine="720"/>
        <w:jc w:val="both"/>
      </w:pPr>
      <w:r>
        <w:t xml:space="preserve">Darbo grupė realizuodama savo teisę pateikti su nepilnamečių justicija susijusių teisės aktų projektus, teikia 2002 m. birželio 27 d. Nr. IX-994 priimto Lietuvos Respublikos Bausmių vykdymo kodekso 173 straipsnio pataisą. Kuria siūlome, įkalinimo vietose laikomiems nepilnamečiams, nustatyti minimalų lėšų, skiriamų nemokamam maitinimui, dydį, tai yra 1,5 MGL per mėnesį. Bus bent minimaliai pakelta paros maitinimo išlaidų norma iki 6,25 Lt., nes 2002 m. rugsėjo 23 d. teisingumo ministras įsakymu Nr. 253 buvo nustatęs </w:t>
      </w:r>
      <w:r>
        <w:rPr>
          <w:szCs w:val="22"/>
        </w:rPr>
        <w:t xml:space="preserve">paros maitinimo išlaidų normą nepilnamečiui </w:t>
      </w:r>
      <w:r>
        <w:t xml:space="preserve">3,97 Lt., o </w:t>
      </w:r>
      <w:r>
        <w:rPr>
          <w:szCs w:val="22"/>
        </w:rPr>
        <w:t>2006 m. balandžio 26 d. teisingumo ministras įsakymu Nr. 1R-144 padidino</w:t>
      </w:r>
      <w:r>
        <w:t xml:space="preserve"> </w:t>
      </w:r>
      <w:r>
        <w:rPr>
          <w:szCs w:val="22"/>
        </w:rPr>
        <w:t>paros maitinimo išlaidų normą nepilnamečiui, kuri dabar svyruotų nuo 4,24 Lt iki 5,14</w:t>
      </w:r>
      <w:r>
        <w:t xml:space="preserve"> Lt.. Tačiau Lietuvos Respublikos Seimas š.m. birželio 1 d. priėmė darbo grupės pateiktą projektą, kuris įsigalioja nuo š.m. liepos 1 d.. (</w:t>
      </w:r>
      <w:r>
        <w:rPr>
          <w:i/>
          <w:iCs/>
          <w:u w:val="single"/>
        </w:rPr>
        <w:t>Įsigaliojusio akto Nr. X-637</w:t>
      </w:r>
      <w:r>
        <w:t xml:space="preserve">). </w:t>
      </w:r>
    </w:p>
    <w:p w:rsidR="00585AD9" w:rsidRDefault="00585AD9" w:rsidP="00585AD9">
      <w:pPr>
        <w:ind w:firstLine="720"/>
        <w:jc w:val="both"/>
      </w:pPr>
      <w:r>
        <w:rPr>
          <w:b/>
          <w:bCs/>
          <w:i/>
          <w:iCs/>
        </w:rPr>
        <w:t xml:space="preserve">  </w:t>
      </w:r>
      <w:r>
        <w:rPr>
          <w:i/>
          <w:iCs/>
        </w:rPr>
        <w:t>Švietimo įstatymo 49 ir 61 straipsnių pakeitimo ir papildymo įstatymo projektas XP-1516.</w:t>
      </w:r>
    </w:p>
    <w:p w:rsidR="00585AD9" w:rsidRDefault="00585AD9" w:rsidP="00585AD9">
      <w:pPr>
        <w:ind w:firstLine="720"/>
        <w:jc w:val="both"/>
        <w:rPr>
          <w:rFonts w:eastAsia="Arial Unicode MS"/>
        </w:rPr>
      </w:pPr>
      <w:r>
        <w:t xml:space="preserve">Įstatymo projekto vienas iš tikslų įvesti pareigą mokytojui nuolat informuoti tėvus (globėjus, rūpintojus) ne tik apie vaiko ugdymosi poreikius ir pažangą, bet ir apie vaiko pamokų lankomumą bei elgesį. Tai mokytojas privalės daryti ne rečiau kaip 1 kartą per 2 savaites. </w:t>
      </w:r>
    </w:p>
    <w:p w:rsidR="00585AD9" w:rsidRDefault="00585AD9" w:rsidP="00585AD9">
      <w:pPr>
        <w:ind w:firstLine="720"/>
        <w:jc w:val="both"/>
      </w:pPr>
      <w:r>
        <w:t xml:space="preserve">Kitas įstatymo projekto tikslas padėti įgyvendinti Darbo grupės parengto įstatymo projekto Nr. XP-933(2) reglamentuojama minimalios priežiūros priemonių skyrimą, kurią turės skirti mokyklos vadovas. </w:t>
      </w:r>
    </w:p>
    <w:p w:rsidR="00585AD9" w:rsidRDefault="00585AD9" w:rsidP="00585AD9">
      <w:pPr>
        <w:ind w:firstLine="720"/>
        <w:jc w:val="both"/>
      </w:pPr>
      <w:r>
        <w:rPr>
          <w:i/>
          <w:iCs/>
        </w:rPr>
        <w:t xml:space="preserve">Baudžiamojo kodekso </w:t>
      </w:r>
      <w:r>
        <w:rPr>
          <w:i/>
          <w:iCs/>
          <w:color w:val="000000"/>
        </w:rPr>
        <w:t>XI skyriaus, 42, 67, 72, 77, 80, 81, 82, 83, 84, 85, 86, 87, 88, 89, 90, 91, 92, 93, 94, 97, 149, 150, 151, 261, 264, 307 straipsnių pakeitimo įstatymo projektas XP-1515.</w:t>
      </w:r>
    </w:p>
    <w:p w:rsidR="00585AD9" w:rsidRDefault="00585AD9" w:rsidP="00585AD9">
      <w:pPr>
        <w:ind w:firstLine="720"/>
        <w:jc w:val="both"/>
      </w:pPr>
      <w:r>
        <w:rPr>
          <w:color w:val="000000"/>
        </w:rPr>
        <w:t>Šiuo įstatymo pakeitimo ir papildymo projektu Darbo grupė turėjo tikslą panaikinti susiformavusį moraliai ydingą „nepilnamečio“ sąvokos vartojimą – žodyje „nepilnametis“ užkoduotas tik paprastas amžiaus cenzas, neatsižvelgiant į kitus asmenybę kvalifikuojančius veiksnius, taip pat suderinti tarptautinius teisės aktus su nacionaliniais bei nacionalinius teisės aktus tarpusavyje, suvienodinti vartojamas sąvokas, siekiant išvengti jų dubliavimosi, bei pakeisti pagal prasmę netinkamai naudojamas sąvokas “atidavimas”, ”specialioji auklėjimo įstaiga”.  </w:t>
      </w:r>
    </w:p>
    <w:p w:rsidR="00585AD9" w:rsidRDefault="00585AD9" w:rsidP="00585AD9">
      <w:pPr>
        <w:ind w:firstLine="720"/>
        <w:jc w:val="both"/>
      </w:pPr>
      <w:r>
        <w:rPr>
          <w:i/>
          <w:iCs/>
        </w:rPr>
        <w:t>Administracinių teisės pažeidimų kodekso 13, 21, 21</w:t>
      </w:r>
      <w:r>
        <w:rPr>
          <w:i/>
          <w:iCs/>
          <w:vertAlign w:val="superscript"/>
        </w:rPr>
        <w:t>(1)</w:t>
      </w:r>
      <w:r>
        <w:rPr>
          <w:i/>
          <w:iCs/>
        </w:rPr>
        <w:t>, 24, 31, 32, 37</w:t>
      </w:r>
      <w:r>
        <w:rPr>
          <w:i/>
          <w:iCs/>
          <w:vertAlign w:val="superscript"/>
        </w:rPr>
        <w:t>(1)</w:t>
      </w:r>
      <w:r>
        <w:rPr>
          <w:i/>
          <w:iCs/>
        </w:rPr>
        <w:t>, 44, 175, 176, 178, 180, 181, 181</w:t>
      </w:r>
      <w:r>
        <w:rPr>
          <w:i/>
          <w:iCs/>
          <w:vertAlign w:val="superscript"/>
        </w:rPr>
        <w:t>(1)</w:t>
      </w:r>
      <w:r>
        <w:rPr>
          <w:i/>
          <w:iCs/>
        </w:rPr>
        <w:t>, 181</w:t>
      </w:r>
      <w:r>
        <w:rPr>
          <w:i/>
          <w:iCs/>
          <w:vertAlign w:val="superscript"/>
        </w:rPr>
        <w:t>(2)</w:t>
      </w:r>
      <w:r>
        <w:rPr>
          <w:i/>
          <w:iCs/>
        </w:rPr>
        <w:t>, 182</w:t>
      </w:r>
      <w:r>
        <w:rPr>
          <w:i/>
          <w:iCs/>
          <w:vertAlign w:val="superscript"/>
        </w:rPr>
        <w:t>(1)</w:t>
      </w:r>
      <w:r>
        <w:rPr>
          <w:i/>
          <w:iCs/>
        </w:rPr>
        <w:t>, 183, 185</w:t>
      </w:r>
      <w:r>
        <w:rPr>
          <w:i/>
          <w:iCs/>
          <w:vertAlign w:val="superscript"/>
        </w:rPr>
        <w:t>(4)</w:t>
      </w:r>
      <w:r>
        <w:rPr>
          <w:i/>
          <w:iCs/>
        </w:rPr>
        <w:t>, 196, 214</w:t>
      </w:r>
      <w:r>
        <w:rPr>
          <w:i/>
          <w:iCs/>
          <w:vertAlign w:val="superscript"/>
        </w:rPr>
        <w:t>(19)</w:t>
      </w:r>
      <w:r>
        <w:rPr>
          <w:i/>
          <w:iCs/>
        </w:rPr>
        <w:t xml:space="preserve">, 265, 274, 281, 313, 314 straipsnių pakeitimo ir papildymo bei kodekso papildymo </w:t>
      </w:r>
      <w:r>
        <w:rPr>
          <w:i/>
          <w:iCs/>
          <w:color w:val="000000"/>
        </w:rPr>
        <w:t>21</w:t>
      </w:r>
      <w:r>
        <w:rPr>
          <w:i/>
          <w:iCs/>
          <w:color w:val="000000"/>
          <w:vertAlign w:val="superscript"/>
        </w:rPr>
        <w:t>(2)</w:t>
      </w:r>
      <w:r>
        <w:rPr>
          <w:i/>
          <w:iCs/>
          <w:color w:val="000000"/>
        </w:rPr>
        <w:t>, 21</w:t>
      </w:r>
      <w:r>
        <w:rPr>
          <w:i/>
          <w:iCs/>
          <w:color w:val="000000"/>
          <w:vertAlign w:val="superscript"/>
        </w:rPr>
        <w:t>(3)</w:t>
      </w:r>
      <w:r>
        <w:rPr>
          <w:i/>
          <w:iCs/>
          <w:color w:val="000000"/>
        </w:rPr>
        <w:t>, 21</w:t>
      </w:r>
      <w:r>
        <w:rPr>
          <w:i/>
          <w:iCs/>
          <w:color w:val="000000"/>
          <w:vertAlign w:val="superscript"/>
        </w:rPr>
        <w:t>(4)</w:t>
      </w:r>
      <w:r>
        <w:rPr>
          <w:i/>
          <w:iCs/>
          <w:color w:val="000000"/>
        </w:rPr>
        <w:t>,</w:t>
      </w:r>
      <w:r>
        <w:rPr>
          <w:i/>
          <w:iCs/>
        </w:rPr>
        <w:t xml:space="preserve"> </w:t>
      </w:r>
      <w:r>
        <w:rPr>
          <w:i/>
          <w:iCs/>
          <w:color w:val="000000"/>
        </w:rPr>
        <w:t>21</w:t>
      </w:r>
      <w:r>
        <w:rPr>
          <w:i/>
          <w:iCs/>
          <w:color w:val="000000"/>
          <w:vertAlign w:val="superscript"/>
        </w:rPr>
        <w:t>(5)</w:t>
      </w:r>
      <w:r>
        <w:rPr>
          <w:i/>
          <w:iCs/>
          <w:color w:val="000000"/>
        </w:rPr>
        <w:t>, 21</w:t>
      </w:r>
      <w:r>
        <w:rPr>
          <w:i/>
          <w:iCs/>
          <w:color w:val="000000"/>
          <w:vertAlign w:val="superscript"/>
        </w:rPr>
        <w:t>(6)</w:t>
      </w:r>
      <w:r>
        <w:rPr>
          <w:i/>
          <w:iCs/>
          <w:color w:val="000000"/>
        </w:rPr>
        <w:t>, 21</w:t>
      </w:r>
      <w:r>
        <w:rPr>
          <w:i/>
          <w:iCs/>
          <w:color w:val="000000"/>
          <w:vertAlign w:val="superscript"/>
        </w:rPr>
        <w:t xml:space="preserve">(7) </w:t>
      </w:r>
      <w:r>
        <w:rPr>
          <w:i/>
          <w:iCs/>
          <w:color w:val="000000"/>
        </w:rPr>
        <w:t xml:space="preserve"> straipsniais įstatymo projektas XP-1517.</w:t>
      </w:r>
    </w:p>
    <w:p w:rsidR="00585AD9" w:rsidRDefault="00585AD9" w:rsidP="00585AD9">
      <w:pPr>
        <w:ind w:firstLine="720"/>
        <w:jc w:val="both"/>
      </w:pPr>
      <w:r>
        <w:rPr>
          <w:color w:val="000000"/>
        </w:rPr>
        <w:t xml:space="preserve">Šiuo įstatymo pakeitimo ir papildymo projektu Darbo grupė turėjo tikslą siekti teisinės sistemos vientisumo, suderinti tarptautinius teisės aktus su nacionaliniais bei nacionalinius teisės aktus </w:t>
      </w:r>
      <w:r>
        <w:rPr>
          <w:color w:val="000000"/>
        </w:rPr>
        <w:lastRenderedPageBreak/>
        <w:t>tarpusavyje, suvienodinant skirtinguose teisės aktuose vartojamas sąvokas, įvedant vieningą “vaiko” sąvoką, praplėsti teismo galimybes pritaikant sankcijas už administracinius teisės pažeidimus ir padėti įgyvendinti pirminius sankcijos skyrimo tikslus – auklėti, ugdyti asmenybę užkertant kelią tolimesniems pažeidimams.</w:t>
      </w:r>
    </w:p>
    <w:p w:rsidR="00585AD9" w:rsidRDefault="00585AD9" w:rsidP="00585AD9">
      <w:pPr>
        <w:ind w:firstLine="720"/>
        <w:jc w:val="both"/>
      </w:pPr>
      <w:r>
        <w:t xml:space="preserve">Vadovaujantis aukščiau išdėstytais argumentais manau, jog Darbo grupė pilnai įvykdė iškeltus uždavinius. </w:t>
      </w:r>
    </w:p>
    <w:p w:rsidR="00585AD9" w:rsidRDefault="00585AD9" w:rsidP="00585AD9">
      <w:pPr>
        <w:jc w:val="both"/>
      </w:pPr>
      <w:r>
        <w:tab/>
      </w:r>
    </w:p>
    <w:p w:rsidR="00585AD9" w:rsidRDefault="00585AD9" w:rsidP="00585AD9">
      <w:pPr>
        <w:pStyle w:val="Antrat5"/>
        <w:jc w:val="center"/>
      </w:pPr>
      <w:r>
        <w:t>Parlamentinė kontrolė</w:t>
      </w:r>
    </w:p>
    <w:p w:rsidR="00585AD9" w:rsidRDefault="00585AD9" w:rsidP="00585AD9">
      <w:pPr>
        <w:jc w:val="both"/>
      </w:pPr>
    </w:p>
    <w:p w:rsidR="00585AD9" w:rsidRDefault="00585AD9" w:rsidP="00585AD9">
      <w:pPr>
        <w:ind w:firstLine="720"/>
        <w:jc w:val="both"/>
      </w:pPr>
      <w:r>
        <w:t xml:space="preserve">Narkomanijos prevencijos komisija, vykdydama parlamentinę kontrolę, svarstė Nacionalinės narkotikų kontrolės ir narkomanijos prevencijos 2004 - 2008 metų programos įgyvendinimo 2004 metais ir jos priemonių finansavimo 2004 -2006 metais klausimus, nagrinėjo  Programos atskirų prioritetinių krypčių įgyvendinimo šiuos klausimus: dėl 2004 -2005 metais pirminės narkomanijos prevencijos tarp vaikų ir jaunimo; dėl savivaldybių administracijų prevencinio darbo koordinavimo grupių veiklos ir pirminės narkomanijos prevencijos 2004 - 2005 mokslo metais vykdymo; dėl netaisėtos narkotinių ir psichotropinių medžiagų pasiūlos mažinimo ir priėmė šiais klausimais sprendimus ir kt. </w:t>
      </w:r>
    </w:p>
    <w:p w:rsidR="00585AD9" w:rsidRDefault="00585AD9" w:rsidP="00585AD9">
      <w:pPr>
        <w:jc w:val="both"/>
      </w:pPr>
      <w:r>
        <w:t xml:space="preserve"> </w:t>
      </w:r>
      <w:r>
        <w:tab/>
        <w:t>Siekiant sustabdyti ir sumažinti narkomanijos plitimą, užkirsti kelią neteisėtai narkotikų apyvartai, įgyvendinti valstybės politikos prioritetus narkomanijos prevencijos ir narkotikų kontrolės srityje, nuosekliai ir kompleksiškai šalinant narkomanijos atsiradimo ir plitimo priežastis ir sąlygas, racionaliai naudojant finansinius bei žmogiškuosius išteklius, Lietuvos Respublikos Seimas 2004 m. balandžio 8 d. nutarimu Nr. IX- 2110 patvirtino Nacionalinę narkotikų kontrolės ir narkomanijos prevencijos 2004 -2008 metų programą (toliau- Programa).</w:t>
      </w:r>
    </w:p>
    <w:p w:rsidR="00585AD9" w:rsidRDefault="00585AD9" w:rsidP="00585AD9">
      <w:pPr>
        <w:jc w:val="both"/>
      </w:pPr>
      <w:r>
        <w:tab/>
        <w:t>Strateginis Programos tikslas - sustabdyti ir sumažinti narkomanijos plitimą, nustatyti ir įgyvendinti pagrindines valstybės politikos gaires ir veiklos kryptis narkomanijos prevencijos ir narkotikų kontrolės srityje, padidinti narkomanijos prevencijos Lietuvoje veiksmingumą.</w:t>
      </w:r>
    </w:p>
    <w:p w:rsidR="00585AD9" w:rsidRDefault="00585AD9" w:rsidP="00585AD9">
      <w:pPr>
        <w:ind w:left="720"/>
        <w:jc w:val="both"/>
      </w:pPr>
      <w:r>
        <w:t>Programoje  išskirtos 4 prioritetines narkotikų kontrolės ir narkomanijos prevencijos kryptis: Pirminė narkomanijos prevencija tarp vaikų ir jaunimo.</w:t>
      </w:r>
    </w:p>
    <w:p w:rsidR="00585AD9" w:rsidRDefault="00585AD9" w:rsidP="00585AD9">
      <w:pPr>
        <w:ind w:firstLine="720"/>
        <w:jc w:val="both"/>
      </w:pPr>
      <w:r>
        <w:t xml:space="preserve"> Neteisėtos narkotinių ir psichotropinių medžiagų pasiūlos mažinimas.</w:t>
      </w:r>
    </w:p>
    <w:p w:rsidR="00585AD9" w:rsidRDefault="00585AD9" w:rsidP="00585AD9">
      <w:pPr>
        <w:ind w:firstLine="720"/>
        <w:jc w:val="both"/>
      </w:pPr>
      <w:r>
        <w:t xml:space="preserve"> Asmenų, vartojančių narkotines ir psichotropines medžiagas, sveikatos priežiūra, reabilitacija ir socialinė reintegracija.</w:t>
      </w:r>
    </w:p>
    <w:p w:rsidR="00585AD9" w:rsidRDefault="00585AD9" w:rsidP="00585AD9">
      <w:pPr>
        <w:ind w:firstLine="720"/>
        <w:jc w:val="both"/>
      </w:pPr>
      <w:r>
        <w:t xml:space="preserve"> Moksliniai tyrimai ir informacinės sistemos plėtra.</w:t>
      </w:r>
    </w:p>
    <w:p w:rsidR="00585AD9" w:rsidRDefault="00585AD9" w:rsidP="00585AD9">
      <w:pPr>
        <w:ind w:firstLine="720"/>
        <w:jc w:val="both"/>
      </w:pPr>
      <w:r>
        <w:t>Lietuvos Respublikos Vyriausybei pasiūlyta organizuoti Nacionalinės  narkotikų kontrolės ir narkomanijos prevencijos 2004 -2008 metų programos įgyvendinimą, kasmet patvirtinus Programos įgyvendinimo priemonių planą. Tokios priemonės buvo patvirtintos 2004 metais, 2005 metais,  2006 metais ir 2007 metais.</w:t>
      </w:r>
    </w:p>
    <w:p w:rsidR="00585AD9" w:rsidRDefault="00585AD9" w:rsidP="00585AD9">
      <w:pPr>
        <w:pStyle w:val="Pagrindiniotekstotrauka"/>
        <w:rPr>
          <w:szCs w:val="24"/>
          <w:lang w:val="lt-LT"/>
        </w:rPr>
      </w:pPr>
      <w:r>
        <w:rPr>
          <w:szCs w:val="24"/>
          <w:lang w:val="lt-LT"/>
        </w:rPr>
        <w:t>Svarbiausi Programos uždaviniai:</w:t>
      </w:r>
    </w:p>
    <w:p w:rsidR="00585AD9" w:rsidRDefault="00585AD9" w:rsidP="00585AD9">
      <w:pPr>
        <w:ind w:firstLine="720"/>
        <w:jc w:val="both"/>
      </w:pPr>
      <w:r>
        <w:t>-formuoti  neigiamą visuomenės požiūrį į narkotinių ir psichotropinių medžiagų vartojimą, ypač rūpintis narkomanijos prevencija šeimoje, tarp vaikų ir jaunimo, diegti vaikams ir jaunimui sveiko gyvenimo vertybines nuostatas ( Programos 26.1p.);</w:t>
      </w:r>
    </w:p>
    <w:p w:rsidR="00585AD9" w:rsidRDefault="00585AD9" w:rsidP="00585AD9">
      <w:pPr>
        <w:ind w:firstLine="720"/>
        <w:jc w:val="both"/>
      </w:pPr>
      <w:r>
        <w:t>- plėtoti valstybės institucijų, vykdančių narkomanijos prevenciją bei narkotikų kontrolę, visuomeninių organizacijų ir bendruomenės tarpusavio bendradarbiavimą (Programos 26.2 p.);</w:t>
      </w:r>
    </w:p>
    <w:p w:rsidR="00585AD9" w:rsidRDefault="00585AD9" w:rsidP="00585AD9">
      <w:pPr>
        <w:ind w:firstLine="720"/>
        <w:jc w:val="both"/>
      </w:pPr>
      <w:r>
        <w:t>- skatinti savivaldybių ir regionų valdymo institucijų iniciatyvas sprendžiant narkomanijos prevencijos bei narkotikų kontrolės problemas (Programos 26.3 p.);</w:t>
      </w:r>
    </w:p>
    <w:p w:rsidR="00585AD9" w:rsidRDefault="00585AD9" w:rsidP="00585AD9">
      <w:pPr>
        <w:ind w:firstLine="720"/>
        <w:jc w:val="both"/>
      </w:pPr>
      <w:r>
        <w:t>- gerinti teisėsaugos institucijų veiklą siekiant mažinti narkotikų pasiūlą ir apsunkinant jų prieinamumą (Programos 26.4 p.);</w:t>
      </w:r>
    </w:p>
    <w:p w:rsidR="00585AD9" w:rsidRDefault="00585AD9" w:rsidP="00585AD9">
      <w:pPr>
        <w:ind w:firstLine="720"/>
        <w:jc w:val="both"/>
      </w:pPr>
      <w:r>
        <w:t>- plėtoti objektyvios narkomanijos prevencijos bei narkotikų kontrolės informacijos rinkimo ir analizės sistemą, atitinkančią Europos Sąjungos reikalavimus (Programos 26.5 p.);</w:t>
      </w:r>
    </w:p>
    <w:p w:rsidR="00585AD9" w:rsidRDefault="00585AD9" w:rsidP="00585AD9">
      <w:pPr>
        <w:ind w:firstLine="720"/>
        <w:jc w:val="both"/>
      </w:pPr>
      <w:r>
        <w:t>- skatinti tarptautinį bendradarbiavimą narkomanijos prevencijos bei narkotikų kontrolės srityje, pagrįstą regioniniais ir nacionaliniais projektais bei programomis (Programos 26.6 p.);</w:t>
      </w:r>
    </w:p>
    <w:p w:rsidR="00585AD9" w:rsidRDefault="00585AD9" w:rsidP="00585AD9">
      <w:pPr>
        <w:ind w:firstLine="720"/>
        <w:jc w:val="both"/>
      </w:pPr>
      <w:r>
        <w:t>- užtikrinti pinigų, gautų iš neteisėtos narkotikų apyvartos, plovimo prevencijos priemonių įgyvendinimą (Programos 26.7 p.);</w:t>
      </w:r>
    </w:p>
    <w:p w:rsidR="00585AD9" w:rsidRDefault="00585AD9" w:rsidP="00585AD9">
      <w:pPr>
        <w:ind w:firstLine="720"/>
        <w:jc w:val="both"/>
      </w:pPr>
      <w:r>
        <w:t>- užtikrinti valstybės institucijų, vykdančių narkomanijos prevenciją bei narkotikų kontrolę, efektyvų valdymą, kontrolę bei tarpusavio veiksmų koordinavimą (Programos 26.8 p.);</w:t>
      </w:r>
    </w:p>
    <w:p w:rsidR="00585AD9" w:rsidRDefault="00585AD9" w:rsidP="00585AD9">
      <w:pPr>
        <w:jc w:val="both"/>
      </w:pPr>
      <w:r>
        <w:lastRenderedPageBreak/>
        <w:t xml:space="preserve">  </w:t>
      </w:r>
      <w:r>
        <w:tab/>
        <w:t>- sudaryti sąlygas narkomanija sergantiems asmenims baudžiamąją atsakomybę už nesunkius nusikaltimus pakeisti alternatyviomis gydymo programomis (Programos 26.9 p.).</w:t>
      </w:r>
    </w:p>
    <w:p w:rsidR="00585AD9" w:rsidRDefault="00585AD9" w:rsidP="00585AD9">
      <w:pPr>
        <w:ind w:firstLine="720"/>
        <w:jc w:val="both"/>
      </w:pPr>
      <w:r>
        <w:rPr>
          <w:b/>
          <w:bCs/>
        </w:rPr>
        <w:t>2006 metais</w:t>
      </w:r>
      <w:r>
        <w:t xml:space="preserve"> Komisija išklausė Policijos departamento prie Lietuvos Respublikos Vidaus reikalų ministerijos, Valstybės sienos apsaugos tarnybos prie Lietuvos Respublikos Vidaus reikalų ministerijos, Muitinės departamento prie Lietuvos Respublikos Finansų ministerijos, Kalėjimų departamento prie Lietuvos Respublikos Teisingumo ministerijos, Specialiųjų tyrimų tarnybos, Valstybės saugumo departamento, Narkotikų kontrolės departamento prie Lietuvos Respublikos Vyriausybės, Sveikatos apsaugos ministerijos informaciją dėl kovos su sintetinių narkotikų nelegalia apyvarta Lietuvoje bei siūlymus dėl teisės aktų tobulinimo. Komisija gavo visuomeninių organizacijų, kitų organizacijų ir asmenų pasiūlymus  dėl narkomanijos prevencijos ir narkotikų kontrolės. </w:t>
      </w:r>
    </w:p>
    <w:p w:rsidR="00585AD9" w:rsidRDefault="00585AD9" w:rsidP="00585AD9">
      <w:pPr>
        <w:ind w:firstLine="720"/>
        <w:jc w:val="both"/>
        <w:rPr>
          <w:b/>
        </w:rPr>
      </w:pPr>
      <w:r>
        <w:rPr>
          <w:b/>
          <w:bCs/>
        </w:rPr>
        <w:t>2006</w:t>
      </w:r>
      <w:r>
        <w:t xml:space="preserve"> metais Komisija nagrinėjo, </w:t>
      </w:r>
      <w:r>
        <w:rPr>
          <w:bCs/>
        </w:rPr>
        <w:t>padarė išvadas ir priėmė sprendimus:</w:t>
      </w:r>
    </w:p>
    <w:p w:rsidR="00585AD9" w:rsidRDefault="00585AD9" w:rsidP="00585AD9">
      <w:pPr>
        <w:ind w:firstLine="720"/>
        <w:jc w:val="both"/>
      </w:pPr>
      <w:r>
        <w:rPr>
          <w:b/>
        </w:rPr>
        <w:t xml:space="preserve">I. </w:t>
      </w:r>
      <w:r>
        <w:t xml:space="preserve"> “Dėl Lietuvos Respublikos narkotinių ir psichotropinių medžiagų pirmtakų (prekursorių) kontrolės įstatymo ir jį keitusio įstatymo pripažinimo netekusiais galios įstatymo projekto Nr. XP- 1181”.</w:t>
      </w:r>
    </w:p>
    <w:p w:rsidR="00585AD9" w:rsidRDefault="00585AD9" w:rsidP="00585AD9">
      <w:pPr>
        <w:ind w:firstLine="720"/>
        <w:jc w:val="both"/>
      </w:pPr>
      <w:r>
        <w:t>Komisijos išvados:</w:t>
      </w:r>
    </w:p>
    <w:p w:rsidR="00585AD9" w:rsidRDefault="00585AD9" w:rsidP="00585AD9">
      <w:pPr>
        <w:ind w:firstLine="720"/>
        <w:jc w:val="both"/>
      </w:pPr>
      <w:r>
        <w:t>“1. Siūlyti pagrindiniam  Sveikatos reikalų komitetui:</w:t>
      </w:r>
    </w:p>
    <w:p w:rsidR="00585AD9" w:rsidRDefault="00585AD9" w:rsidP="00585AD9">
      <w:pPr>
        <w:ind w:firstLine="720"/>
        <w:jc w:val="both"/>
      </w:pPr>
      <w:r>
        <w:t xml:space="preserve">1.1. Gražinti įstatymo "Dėl Lietuvos Respublikos narkotinių ir psichotropinių medžiagų pirmtakų (prekursorių) kontrolės įstatymo ir jį keitusio įstatymo pripažinimo netekusiais galios įstatymo" projektą iniciatoriams, atsižvelgiant į Seimo Teisės departamento pastabas, kurioms komisija pritarė. </w:t>
      </w:r>
    </w:p>
    <w:p w:rsidR="00585AD9" w:rsidRDefault="00585AD9" w:rsidP="00585AD9">
      <w:pPr>
        <w:ind w:firstLine="720"/>
        <w:jc w:val="both"/>
      </w:pPr>
      <w:r>
        <w:t>1.2. Pasiūlyti Lietuvos Respublikos Vyriausybei peržiūrėti  narkotines ir psichotropines medžiagas pirmtakus (prekursorius)  reglamentuojančius teisės aktus, parengti ir pateikti Seimui, narkotinių ir psichotropinių medžiagų pirmtakų (prekursorių) įstatymų atitinkamus įstatymų pakeitimo projektus ir įstatymais reglamentuoti tas sritis, kurios nepatenka į Reglamentų reguliavimų sritį arba jei tai yra būtina tinkamam Reglamentų taikymui, įtvirtinant Reglamentų įgyvendinimo priemones ar sankcijas.</w:t>
      </w:r>
    </w:p>
    <w:p w:rsidR="00585AD9" w:rsidRDefault="00585AD9" w:rsidP="00585AD9">
      <w:pPr>
        <w:ind w:firstLine="720"/>
        <w:jc w:val="both"/>
      </w:pPr>
      <w:r>
        <w:t>1.3. Pasiūlyti Lietuvos Respublikos Vyriausybei peržiūrėti ir patobulinti įstatymų lydimuosius teisės aktus, reglamentuojančius Lietuvos Respublikos Vyriausybės uždavinius bei funkcijas, taip pat kitų institucijų funkcijas narkotinių ir psichotropinių medžiagų pirmtakų (prekursorių) srityje.”</w:t>
      </w:r>
    </w:p>
    <w:p w:rsidR="00585AD9" w:rsidRDefault="00585AD9" w:rsidP="00585AD9">
      <w:pPr>
        <w:ind w:firstLine="720"/>
        <w:jc w:val="both"/>
      </w:pPr>
      <w:r>
        <w:rPr>
          <w:b/>
          <w:bCs/>
        </w:rPr>
        <w:t>II.</w:t>
      </w:r>
      <w:r>
        <w:t xml:space="preserve"> “Dėl Lietuvos Respublikos nepilnamečių minimalios ir vidutinės priežiūros įstatymo projekto Nr. XP- 933”.</w:t>
      </w:r>
    </w:p>
    <w:p w:rsidR="00585AD9" w:rsidRDefault="00585AD9" w:rsidP="00585AD9">
      <w:pPr>
        <w:ind w:firstLine="720"/>
        <w:jc w:val="both"/>
      </w:pPr>
      <w:r>
        <w:t>Komisijos išvados:</w:t>
      </w:r>
    </w:p>
    <w:p w:rsidR="00585AD9" w:rsidRDefault="00585AD9" w:rsidP="00585AD9">
      <w:pPr>
        <w:ind w:firstLine="720"/>
        <w:jc w:val="both"/>
      </w:pPr>
      <w:r>
        <w:t>“1. Pritarti NVO vaikams konfederacijos pastaboms.</w:t>
      </w:r>
    </w:p>
    <w:p w:rsidR="00585AD9" w:rsidRDefault="00585AD9" w:rsidP="00585AD9">
      <w:pPr>
        <w:ind w:firstLine="720"/>
        <w:jc w:val="both"/>
      </w:pPr>
      <w:r>
        <w:t xml:space="preserve">2. Iš esmės pritarti įstatymo projektui Nr. XP – 933 ir siūlyti pagrindiniam socialinių reikalų ir darbo komitetui patobulinti įstatymo projektą, atsižvelgiant į Seimo kanceliarijos Teisės departamento išvadą, NVO vaikams konfederacijos ir seimo Valstybės valdymo ir savivaldybių, Biudžeto ir finansų, žmogaus teisių komitetų pastabas.”  </w:t>
      </w:r>
    </w:p>
    <w:p w:rsidR="00585AD9" w:rsidRDefault="00585AD9" w:rsidP="00585AD9">
      <w:pPr>
        <w:ind w:firstLine="720"/>
        <w:jc w:val="both"/>
      </w:pPr>
      <w:r>
        <w:rPr>
          <w:b/>
          <w:bCs/>
        </w:rPr>
        <w:t>III.</w:t>
      </w:r>
      <w:r>
        <w:t xml:space="preserve"> Dėl nepilnamečių apsaugos propaguojant ar reklamuojant narkotines bei psichotropines medžiagas.</w:t>
      </w:r>
    </w:p>
    <w:p w:rsidR="00585AD9" w:rsidRDefault="00585AD9" w:rsidP="00585AD9">
      <w:pPr>
        <w:ind w:firstLine="720"/>
        <w:jc w:val="both"/>
      </w:pPr>
      <w:r>
        <w:t xml:space="preserve"> Komisijos  sprendimas:</w:t>
      </w:r>
    </w:p>
    <w:p w:rsidR="00585AD9" w:rsidRDefault="00585AD9" w:rsidP="00585AD9">
      <w:pPr>
        <w:ind w:firstLine="720"/>
        <w:jc w:val="both"/>
      </w:pPr>
      <w:r>
        <w:t>“Pritarti Žurnalistų etikos inspektoriaus siūlymui papildyti Lietuvos Respublikos Nepilnamečių apsaugos nuo neigiamo viešosios informacijos poveikio įstatymo 4 straipsnio 1 dalį nauju 11 punktu,  kuriame d</w:t>
      </w:r>
      <w:r>
        <w:rPr>
          <w:szCs w:val="22"/>
        </w:rPr>
        <w:t xml:space="preserve">arančia neigiamą poveikį nepilnamečių fiziniam, protiniam ar doroviniam vystymuisi būtų laikoma viešoji informacija, </w:t>
      </w:r>
      <w:r>
        <w:t>kurioje patariama, kaip pasigaminti, įsigyti ar naudoti sprogmenis, narkotines ar psichotropines medžiagas, taip pat kitus gyvybei ar sveikatai pavojingus dalykus ir šiuos siūlymus išdėstyti taip:</w:t>
      </w:r>
    </w:p>
    <w:p w:rsidR="00585AD9" w:rsidRDefault="00585AD9" w:rsidP="00585AD9">
      <w:pPr>
        <w:ind w:firstLine="720"/>
        <w:jc w:val="both"/>
        <w:rPr>
          <w:bCs/>
        </w:rPr>
      </w:pPr>
      <w:r>
        <w:rPr>
          <w:bCs/>
        </w:rPr>
        <w:t xml:space="preserve"> 1 straipsnis. 4 straipsnio 1 dalies pakeitimas ir  papildymas </w:t>
      </w:r>
    </w:p>
    <w:p w:rsidR="00585AD9" w:rsidRDefault="00585AD9" w:rsidP="00585AD9">
      <w:pPr>
        <w:jc w:val="both"/>
      </w:pPr>
      <w:r>
        <w:t xml:space="preserve"> Papildyti 4 straipsnio 1 dalį nauju 11 punktu, o ankstesnį 4 straipsnio 1 dalies 11 punktą laikyti 12 punktu: </w:t>
      </w:r>
    </w:p>
    <w:p w:rsidR="00585AD9" w:rsidRDefault="00585AD9" w:rsidP="00585AD9">
      <w:pPr>
        <w:ind w:firstLine="720"/>
        <w:jc w:val="both"/>
        <w:rPr>
          <w:bCs/>
        </w:rPr>
      </w:pPr>
      <w:r>
        <w:rPr>
          <w:bCs/>
        </w:rPr>
        <w:t>"11) kurioje patariama, kaip pasigaminti, įsigyti ar naudoti sprogmenis, narkotines ar psichotropines medžiagas, taip pat kitus gyvybei ar sveikatai pavojingus dalykus;</w:t>
      </w:r>
    </w:p>
    <w:p w:rsidR="00585AD9" w:rsidRDefault="00585AD9" w:rsidP="00585AD9">
      <w:pPr>
        <w:ind w:firstLine="720"/>
        <w:jc w:val="both"/>
      </w:pPr>
      <w:r>
        <w:rPr>
          <w:bCs/>
        </w:rPr>
        <w:t xml:space="preserve"> "</w:t>
      </w:r>
      <w:r>
        <w:rPr>
          <w:bCs/>
          <w:strike/>
        </w:rPr>
        <w:t>11</w:t>
      </w:r>
      <w:r>
        <w:rPr>
          <w:bCs/>
        </w:rPr>
        <w:t xml:space="preserve">   12</w:t>
      </w:r>
      <w:r>
        <w:rPr>
          <w:b/>
          <w:bCs/>
        </w:rPr>
        <w:t xml:space="preserve">) </w:t>
      </w:r>
      <w:r>
        <w:t>kuri apibrėžta šio įstatymo 5 straipsnio 1 dalyje.”</w:t>
      </w:r>
    </w:p>
    <w:p w:rsidR="00585AD9" w:rsidRDefault="00585AD9" w:rsidP="00585AD9">
      <w:pPr>
        <w:ind w:firstLine="720"/>
        <w:jc w:val="both"/>
      </w:pPr>
      <w:r>
        <w:rPr>
          <w:b/>
          <w:bCs/>
        </w:rPr>
        <w:t>IV.</w:t>
      </w:r>
      <w:r>
        <w:t xml:space="preserve"> Dėl projekto “ Veiksminga ir koordinuota pagalba stiprinant jaunų žmonių sveikatą ir jos raidą Lietuvoje”.</w:t>
      </w:r>
    </w:p>
    <w:p w:rsidR="00585AD9" w:rsidRDefault="00585AD9" w:rsidP="00585AD9">
      <w:pPr>
        <w:ind w:firstLine="720"/>
        <w:jc w:val="both"/>
      </w:pPr>
      <w:r>
        <w:t xml:space="preserve"> Komisijos sprendimas:</w:t>
      </w:r>
    </w:p>
    <w:p w:rsidR="00585AD9" w:rsidRDefault="00585AD9" w:rsidP="00585AD9">
      <w:pPr>
        <w:ind w:firstLine="720"/>
        <w:jc w:val="both"/>
      </w:pPr>
      <w:r>
        <w:lastRenderedPageBreak/>
        <w:t>“Atsižvelgiant į tai, kad Projekto metu numatoma išbandyti naujos adaptuotos PSO Orientacinės paauglių sveikatos programos dalis ir į tai, kad Projekte numatyta  tikslinė grupė - sveikatos priežiūros paslaugų teikėjai, dirbantys su jaunimu, kurių amžius 15- 24 metai, būtinos ekspertų išvados dėl Projekto atitikimo Lietuvos sveikatos programai ir Valstybei švietimo strategijai, patvirtintai  2003 –2012 metams bei Vaiko gerovės valstybės politikos koncepcijai nuspręsta:</w:t>
      </w:r>
    </w:p>
    <w:p w:rsidR="00585AD9" w:rsidRDefault="00585AD9" w:rsidP="00585AD9">
      <w:pPr>
        <w:ind w:firstLine="720"/>
        <w:jc w:val="both"/>
      </w:pPr>
      <w:r>
        <w:t>1. Prašyti Nacionalinę Sveikatos Tarybą pateikti ekspertų išvadas dėl 2005 m. gruodžio 19 d. Sveikatos apsaugos ministro Žilvino Padaigos, Valstybinės visuomenės sveikatos priežiūros tarnybos prie SAM direktoriaus Vytauto Bakasėno pasirašyto projekto su Jungtinių tautų vystymo programos įgaliotaja atstove Cihan Sultanoglu "Parama veiksmingam ir koordinuotam jaunų žmonių sveikatos ir raidos stiprinimui Lietuvoje" atitikimo Lietuvos sveikatos programai.</w:t>
      </w:r>
    </w:p>
    <w:p w:rsidR="00585AD9" w:rsidRDefault="00585AD9" w:rsidP="00585AD9">
      <w:pPr>
        <w:ind w:firstLine="720"/>
        <w:jc w:val="both"/>
      </w:pPr>
      <w:r>
        <w:t>2. Prašyti Vytauto Didžiojo Universiteto  Edukologijos katedrą pateikti  ekspertų išvadas dėl  2005 m. gruodžio 19 d. Sveikatos apsaugos ministro Žilvino Padaigos, Valstybinės visuomenės sveikatos priežiūros tarnybos prie SAM direktoriaus Vytauto Bakasėno pasirašyto projekto su Jungtinių tautų vystymo programos įgaliotaja atstove Cihan Sultanoglu "Parama veiksmingam ir koordinuotam jaunų žmonių sveikatos ir raidos stiprinimui Lietuvoje" atitikimo Valstybei švietimo strategijai, patvirtintai  2003 –2012 metams ir Vaiko gerovės valstybės politikos koncepcijai.”</w:t>
      </w:r>
    </w:p>
    <w:p w:rsidR="00585AD9" w:rsidRDefault="00585AD9" w:rsidP="00585AD9">
      <w:pPr>
        <w:ind w:firstLine="720"/>
        <w:jc w:val="both"/>
      </w:pPr>
      <w:r>
        <w:t>(Žr. Ekspertų išvados)</w:t>
      </w:r>
    </w:p>
    <w:p w:rsidR="00585AD9" w:rsidRDefault="00585AD9" w:rsidP="00585AD9">
      <w:pPr>
        <w:ind w:firstLine="720"/>
        <w:jc w:val="both"/>
      </w:pPr>
      <w:r>
        <w:rPr>
          <w:b/>
          <w:bCs/>
        </w:rPr>
        <w:t>V. “</w:t>
      </w:r>
      <w:r>
        <w:t>Dėl apsvaigusių nuo alkoholio, narkotinių, psichotropinių ir kitų psichiką veikiančių medžiagų asmenų, vairuojančių transporto priemones”</w:t>
      </w:r>
    </w:p>
    <w:p w:rsidR="00585AD9" w:rsidRDefault="00585AD9" w:rsidP="00585AD9">
      <w:pPr>
        <w:ind w:firstLine="720"/>
        <w:jc w:val="both"/>
        <w:rPr>
          <w:szCs w:val="20"/>
        </w:rPr>
      </w:pPr>
      <w:r>
        <w:t xml:space="preserve"> Komisijos sprendimas:</w:t>
      </w:r>
    </w:p>
    <w:p w:rsidR="00585AD9" w:rsidRDefault="00585AD9" w:rsidP="00585AD9">
      <w:pPr>
        <w:jc w:val="both"/>
      </w:pPr>
      <w:r>
        <w:tab/>
        <w:t>“Pritarti  išvadoms, kad :</w:t>
      </w:r>
    </w:p>
    <w:p w:rsidR="00585AD9" w:rsidRDefault="00585AD9" w:rsidP="00585AD9">
      <w:pPr>
        <w:ind w:firstLine="720"/>
        <w:jc w:val="both"/>
      </w:pPr>
      <w:r>
        <w:t xml:space="preserve">1. Iki šiol vykdytos saugaus eismo kompanijos prieš neblaivius ir nuo narkotinių medžiagų apsvaigusius vairuotojus </w:t>
      </w:r>
      <w:r>
        <w:rPr>
          <w:bCs/>
        </w:rPr>
        <w:t>buvo neefektyvios, nors nustatytos</w:t>
      </w:r>
      <w:r>
        <w:t xml:space="preserve"> skaudžių nelaimių priežastis: </w:t>
      </w:r>
      <w:r>
        <w:rPr>
          <w:b/>
        </w:rPr>
        <w:t xml:space="preserve"> </w:t>
      </w:r>
      <w:r>
        <w:rPr>
          <w:bCs/>
        </w:rPr>
        <w:t xml:space="preserve">leistino greičio viršijimas; vairavimas apsvaigus nuo alkoholio; vairavimas neturint teisės vairuoti; saugos diržų nenaudojimas. </w:t>
      </w:r>
      <w:r>
        <w:t xml:space="preserve">Lyginant su 2004 m. pastebimai pablogėjo </w:t>
      </w:r>
      <w:r>
        <w:rPr>
          <w:bCs/>
        </w:rPr>
        <w:t xml:space="preserve">situacija Lietuvos keliuose: </w:t>
      </w:r>
      <w:r>
        <w:t xml:space="preserve">2005 metais </w:t>
      </w:r>
      <w:r>
        <w:rPr>
          <w:bCs/>
        </w:rPr>
        <w:t xml:space="preserve"> </w:t>
      </w:r>
      <w:r>
        <w:t>įvyko 8 497  eismo įvykiai, kurių metu žuvo 760 žmonių, t.y. vidutiniškai  2 žūtys per dieną ir 23 sužaloti asmenys.</w:t>
      </w:r>
    </w:p>
    <w:p w:rsidR="00585AD9" w:rsidRDefault="00585AD9" w:rsidP="00585AD9">
      <w:pPr>
        <w:ind w:firstLine="720"/>
        <w:jc w:val="both"/>
      </w:pPr>
      <w:r>
        <w:t>2. 2004 metais Lietuvoje išaiškinti 139 vairuotojai, vairavę transporto priemones apsvaigę nuo narkotikų arba vaistų ar kitų svaigiųjų medžiagų, 2005 metais išaiškinti tik 105 vairuotojai,  vairavę transporto priemones apsvaigę nuo narkotikų arba vaistų ar kitų svaigiųjų medžiagų dalinai dėl to, kad  nes Policijos departamentui vykdant Valstybinę saugaus eismo automobilių keliais 2005 – 2010 metų programą,  nepakankamai skirta lėšų programos priemonėms įgyvendinti ir neatsižvelgta į esantį 1 789 657 transporto priemonių skaičių. 2006 metais paskirstant  43 mln. 705 tūkst. 200 litų iš Kelių priežiūros ir plėtros programos finansavimo lėšų rezervo valstybės reikmėms, Lietuvos Respublikos Vyriausybė 2006 05 02 nutarimu Nr. 394 “Dėl 2006 metų kelių priežiūros ir plėtros programos finansavimo lėšų rezervo valstybės reikmėms, susijusioms su keliais, finansuoti paskirstymo” (V.Ž., Nr. 50-1815) Policijos departamentui prie Vidaus reikalų ministerijos, saugaus eismo automobilių keliuose kontrolės priemonėms įsigyti numatė tik  100 tūkst. litų, nors Lietuvos policijos eismo priežiūros tarnyba nuosavybės teisėmis neturi nė vieno patrulinio automobilio su visa įranga.</w:t>
      </w:r>
    </w:p>
    <w:p w:rsidR="00585AD9" w:rsidRDefault="00585AD9" w:rsidP="00585AD9">
      <w:pPr>
        <w:jc w:val="both"/>
      </w:pPr>
      <w:r>
        <w:t xml:space="preserve"> </w:t>
      </w:r>
      <w:r>
        <w:tab/>
        <w:t xml:space="preserve">3. Vykdant Valstybinę saugaus eismo automobilių keliais 2005 – 2010 metų programą,  būtina skubiai aprūpinti policijos įstaigų eismo priežiūros padalinius patruliniais automobiliais, kompiuteriais, eismo kontrolės priemonėmis, stebėjimo ir kitomis šiuolaikinėmis technikos priemonėmis bei sudaryti galimybę  Policijos departamentui prie Vidaus reikalų ministerijos tinkamomis priemonėmis išaiškinti eismo taisyklių pažeidėjus ir vairuotojus, vairavusius  transporto priemones apsvaigus </w:t>
      </w:r>
      <w:r>
        <w:rPr>
          <w:bCs/>
        </w:rPr>
        <w:t>nuo alkoholio</w:t>
      </w:r>
      <w:r>
        <w:t xml:space="preserve"> arba nuo narkotikų arba vaistų ar kitų svaigiųjų medžiagų.  </w:t>
      </w:r>
    </w:p>
    <w:p w:rsidR="00585AD9" w:rsidRDefault="00585AD9" w:rsidP="00585AD9">
      <w:pPr>
        <w:jc w:val="both"/>
      </w:pPr>
      <w:r>
        <w:t xml:space="preserve"> </w:t>
      </w:r>
      <w:r>
        <w:tab/>
        <w:t xml:space="preserve"> Atkreipti Lietuvos Respublikos Vyriausybės dėmesį į tai, kad:</w:t>
      </w:r>
    </w:p>
    <w:p w:rsidR="00585AD9" w:rsidRDefault="00585AD9" w:rsidP="00585AD9">
      <w:pPr>
        <w:ind w:firstLine="720"/>
        <w:jc w:val="both"/>
      </w:pPr>
      <w:r>
        <w:t>1) nepakankamai vykdoma Lietuvos keliuose  eismo dalyvių kontrolė;</w:t>
      </w:r>
    </w:p>
    <w:p w:rsidR="00585AD9" w:rsidRDefault="00585AD9" w:rsidP="00585AD9">
      <w:pPr>
        <w:ind w:firstLine="720"/>
        <w:jc w:val="both"/>
      </w:pPr>
      <w:r>
        <w:t>2) nepakankamai  vykdoma  eismo priežiūros funkcijas vykdančių padalinių veiklos kontrolė;</w:t>
      </w:r>
    </w:p>
    <w:p w:rsidR="00585AD9" w:rsidRDefault="00585AD9" w:rsidP="00585AD9">
      <w:pPr>
        <w:ind w:firstLine="720"/>
        <w:jc w:val="both"/>
      </w:pPr>
      <w:r>
        <w:t>3) nepakankamas eismo priežiūros funkcijas vykdančių padalinių materialinis aprūpinimas.</w:t>
      </w:r>
    </w:p>
    <w:p w:rsidR="00585AD9" w:rsidRDefault="00585AD9" w:rsidP="00585AD9">
      <w:pPr>
        <w:ind w:firstLine="720"/>
        <w:jc w:val="both"/>
      </w:pPr>
      <w:r>
        <w:t>Siūlyti Lietuvos Respublikos Vyriausybei:</w:t>
      </w:r>
    </w:p>
    <w:p w:rsidR="00585AD9" w:rsidRDefault="00585AD9" w:rsidP="00585AD9">
      <w:pPr>
        <w:ind w:firstLine="720"/>
        <w:jc w:val="both"/>
      </w:pPr>
      <w:r>
        <w:t>1.Skubiai imtis įvairių saugaus eismo gerinimo  priemonių, kad sumažinti sužalotų ir žuvusiųjų asmenų skaičių.</w:t>
      </w:r>
    </w:p>
    <w:p w:rsidR="00585AD9" w:rsidRDefault="00585AD9" w:rsidP="00585AD9">
      <w:pPr>
        <w:ind w:firstLine="720"/>
        <w:jc w:val="both"/>
      </w:pPr>
      <w:r>
        <w:t xml:space="preserve">2. Sugriežtinti atsakomybę asmenų, vairavusių  transporto priemones apsvaigus </w:t>
      </w:r>
      <w:r>
        <w:rPr>
          <w:bCs/>
        </w:rPr>
        <w:t>nuo alkoholio, narkotinių, psichotropinių ir kitų psichiką veikiančių medžiagų.</w:t>
      </w:r>
      <w:r>
        <w:t xml:space="preserve">   </w:t>
      </w:r>
    </w:p>
    <w:p w:rsidR="00585AD9" w:rsidRDefault="00585AD9" w:rsidP="00585AD9">
      <w:pPr>
        <w:ind w:firstLine="720"/>
        <w:jc w:val="both"/>
      </w:pPr>
      <w:r>
        <w:t xml:space="preserve">3. Pakeisti Lietuvos Respublikos  Vyriausybės 2006 m. gegužės 12 d. nutarimu Nr. 452  “ Dėl transporto priemones vairuojančių ir kitų asmenų neblaivumo (girtumo) ar apsvaigimo nustatymo </w:t>
      </w:r>
      <w:r>
        <w:lastRenderedPageBreak/>
        <w:t>taisyklių patvirtinimo” (V.Ž., 2006, Nr. 56 –2000) patvirtintas Transporto priemones vairuojančių ir kitų asmenų neblaivumo (girtumo)  ar apsvaigimo nustatymo taisykles, numatant privalomą eismo įvykių dalyvių patikrinimą neblaivumui arba apsvaigimui nustatyti bei  sudarant  galimybę policijos pareigūnams transporto priemonės vairuotojo medicininę apžiūrą policijos įstaigos siuntimu atlikti medicinos įstaigose neatlygintinai .</w:t>
      </w:r>
    </w:p>
    <w:p w:rsidR="00585AD9" w:rsidRDefault="00585AD9" w:rsidP="00585AD9">
      <w:pPr>
        <w:ind w:firstLine="720"/>
        <w:jc w:val="both"/>
      </w:pPr>
      <w:r>
        <w:t xml:space="preserve">4. Sugriežtinti eismo priežiūros funkcijas vykdančių padalinių veiklos kontrolę. </w:t>
      </w:r>
    </w:p>
    <w:p w:rsidR="00585AD9" w:rsidRDefault="00585AD9" w:rsidP="00585AD9">
      <w:pPr>
        <w:ind w:firstLine="720"/>
        <w:jc w:val="both"/>
      </w:pPr>
      <w:r>
        <w:t xml:space="preserve">5. Parengti įstatymo pataisas dėl vairuotojo pažymėjimo išdavimo apribojimo asmenims  iki 21 metų amžiaus, jei šie asmenys iki 18 metų buvo  sulaikyti pakartotinai vartoję alkoholį, narkotine, psichotropines ir kitas psichiką veikiančias medžiagas.” </w:t>
      </w:r>
    </w:p>
    <w:p w:rsidR="00585AD9" w:rsidRDefault="00585AD9" w:rsidP="00585AD9">
      <w:pPr>
        <w:jc w:val="both"/>
      </w:pPr>
      <w:r>
        <w:tab/>
      </w:r>
      <w:r>
        <w:rPr>
          <w:b/>
          <w:bCs/>
        </w:rPr>
        <w:t>VI.</w:t>
      </w:r>
      <w:r>
        <w:t xml:space="preserve"> “Dėl apsinuodijimų alkoholiu, narkotinėmis, psichotropinėmis ir kitomis nuodingosiomis medžiagomis”.</w:t>
      </w:r>
    </w:p>
    <w:p w:rsidR="00585AD9" w:rsidRDefault="00585AD9" w:rsidP="00585AD9">
      <w:pPr>
        <w:ind w:firstLine="720"/>
        <w:jc w:val="both"/>
        <w:rPr>
          <w:bCs/>
        </w:rPr>
      </w:pPr>
      <w:r>
        <w:t xml:space="preserve"> Komisijos sprendimas:</w:t>
      </w:r>
      <w:r>
        <w:rPr>
          <w:bCs/>
        </w:rPr>
        <w:t xml:space="preserve">  </w:t>
      </w:r>
    </w:p>
    <w:p w:rsidR="00585AD9" w:rsidRDefault="00585AD9" w:rsidP="00585AD9">
      <w:pPr>
        <w:ind w:firstLine="720"/>
        <w:jc w:val="both"/>
      </w:pPr>
      <w:r>
        <w:t>“1. Atkreipti Lietuvos Respublikos Vyriausybės dėmesį į tai, kad:</w:t>
      </w:r>
    </w:p>
    <w:p w:rsidR="00585AD9" w:rsidRDefault="00585AD9" w:rsidP="00585AD9">
      <w:pPr>
        <w:ind w:firstLine="720"/>
        <w:jc w:val="both"/>
      </w:pPr>
      <w:r>
        <w:t>1.1. 2005 metais</w:t>
      </w:r>
      <w:r>
        <w:rPr>
          <w:bCs/>
        </w:rPr>
        <w:t xml:space="preserve"> </w:t>
      </w:r>
      <w:r>
        <w:t>padidėjo vaikų ir suaugusiųjų apsinuodijusių alkoholiu skaičius.</w:t>
      </w:r>
    </w:p>
    <w:p w:rsidR="00585AD9" w:rsidRDefault="00585AD9" w:rsidP="00585AD9">
      <w:pPr>
        <w:ind w:firstLine="720"/>
        <w:jc w:val="both"/>
      </w:pPr>
      <w:r>
        <w:t>1.2. 2005 metais padidėjo asmenų vartojančių narkotines ir psichotropines medžiagas skaičius.</w:t>
      </w:r>
    </w:p>
    <w:p w:rsidR="00585AD9" w:rsidRDefault="00585AD9" w:rsidP="00585AD9">
      <w:pPr>
        <w:ind w:firstLine="720"/>
        <w:jc w:val="both"/>
      </w:pPr>
      <w:r>
        <w:t>1.3. Lietuvoje yra vaikų, piktnaudžiaujančių alkoholiu, narkotinėmis ir kitomis psichotropinėmis medžiagomis, kuriems būtinas gydymas ir  reabilitacija.</w:t>
      </w:r>
    </w:p>
    <w:p w:rsidR="00585AD9" w:rsidRDefault="00585AD9" w:rsidP="00585AD9">
      <w:pPr>
        <w:ind w:firstLine="720"/>
        <w:jc w:val="both"/>
        <w:rPr>
          <w:bCs/>
        </w:rPr>
      </w:pPr>
      <w:r>
        <w:rPr>
          <w:bCs/>
        </w:rPr>
        <w:t>1.4. Lietuvoje nėra išsamios informacijos apie apsinuodijimus alkoholiu, narkotinėmis, psichotropinėmis ir kitomis nuodingosiomis medžiagomis.</w:t>
      </w:r>
    </w:p>
    <w:p w:rsidR="00585AD9" w:rsidRDefault="00585AD9" w:rsidP="00585AD9">
      <w:pPr>
        <w:jc w:val="both"/>
        <w:rPr>
          <w:bCs/>
        </w:rPr>
      </w:pPr>
      <w:r>
        <w:rPr>
          <w:bCs/>
        </w:rPr>
        <w:t xml:space="preserve"> </w:t>
      </w:r>
      <w:r>
        <w:rPr>
          <w:bCs/>
        </w:rPr>
        <w:tab/>
        <w:t>Vadovaujantis Sveikatos apsaugos ministro 2003 m. spalio 8 d. įsakymu Nr. V- 597 “Dėl informacijos, susijusios su žmonių apsinuodijimais ir jų specifine profilaktika , kaupimo ir teikimo” (Žin., 2003, Nr. 99-4459) bei šio įsakymo pakeitimo  2005 m. rugpjūčio 12 d. įsakymu Nr. V- 650 (Žin., 2005, Nr. 101-3762) renkama informacija tik apie  apsinuodijimus nuodingosiomis medžiagomis, įrašytomis į Nuodingųjų medžiagų pagal jų toksiškumą sąrašą, kuris  patvirtintas  Sveikatos apsaugos ministro 2004 m. gruodžio 30 d. įsakymu Nr. V-975 “Dėl Nuodingųjų medžiagų pagal jų toksiškumą sąrašo patvirtinimo” (V.Ž., 2005, Nr. 3-47) ir šie duomenys    neapima visų su priklausomybės ligomis susijusių apsinuodijimų atvejų.</w:t>
      </w:r>
    </w:p>
    <w:p w:rsidR="00585AD9" w:rsidRDefault="00585AD9" w:rsidP="00585AD9">
      <w:pPr>
        <w:ind w:firstLine="720"/>
        <w:jc w:val="both"/>
      </w:pPr>
      <w:r>
        <w:t xml:space="preserve">2. Pasiūlyti Lietuvos Respublikos Vyriausybei: </w:t>
      </w:r>
    </w:p>
    <w:p w:rsidR="00585AD9" w:rsidRDefault="00585AD9" w:rsidP="00585AD9">
      <w:pPr>
        <w:ind w:firstLine="720"/>
        <w:jc w:val="both"/>
      </w:pPr>
      <w:r>
        <w:t>2.1. Vykdant Nacionalinės narkotikų kontrolės ir narkomanijos prevencijos 2004-2008 metų programos įgyvendinimą  2006 - 2007 metais,  pakartotinai siūlyti pirminę narkomanijos prevenciją tarp vaikų (nepilnamečių) derinti su alkoholio ir tabako vartojimo prevencija, grindžiant darniu ugdymu šeimoje, mokykloje, bendruomenėje ir šioms priemonėms įgyvendinti skirti  reikiamą finansavimą.</w:t>
      </w:r>
    </w:p>
    <w:p w:rsidR="00585AD9" w:rsidRDefault="00585AD9" w:rsidP="00585AD9">
      <w:pPr>
        <w:ind w:firstLine="720"/>
        <w:jc w:val="both"/>
      </w:pPr>
      <w:r>
        <w:t>2.2.paspartinti  reabilitacinių įstaigų steigimą vaikams ir  numatyti joms 2007 metų valstybės biudžete  tinkamą finansavimą.</w:t>
      </w:r>
    </w:p>
    <w:p w:rsidR="00585AD9" w:rsidRDefault="00585AD9" w:rsidP="00585AD9">
      <w:pPr>
        <w:ind w:firstLine="720"/>
        <w:jc w:val="both"/>
      </w:pPr>
      <w:r>
        <w:t>2.3.  sugriežtinti  parduodamų  alkoholinių gėrimų Lietuvoje  kokybės kontrolę.</w:t>
      </w:r>
    </w:p>
    <w:p w:rsidR="00585AD9" w:rsidRDefault="00585AD9" w:rsidP="00585AD9">
      <w:pPr>
        <w:ind w:firstLine="720"/>
        <w:jc w:val="both"/>
      </w:pPr>
      <w:r>
        <w:t>2.4.  sugriežtinti alkoholinių gėrimų pardavimo nepilnamečiams kontrolę.”</w:t>
      </w:r>
    </w:p>
    <w:p w:rsidR="00585AD9" w:rsidRDefault="00585AD9" w:rsidP="00585AD9">
      <w:pPr>
        <w:jc w:val="both"/>
      </w:pPr>
      <w:r>
        <w:rPr>
          <w:b/>
          <w:bCs/>
        </w:rPr>
        <w:tab/>
        <w:t xml:space="preserve">VII. </w:t>
      </w:r>
      <w:r>
        <w:t>“Dėl Lietuvos Respublikos narkotinių ir psichotropinių medžiagų kontrolės įstatymo 1, 2, 8, 10, 12, 14, 16, 20, 23 straipsnių pakeitimo ir papildymo bei įstatymo papildymo 8 straipsniu ir priedu projekto Nr. XP – 1529”.</w:t>
      </w:r>
    </w:p>
    <w:p w:rsidR="00585AD9" w:rsidRDefault="00585AD9" w:rsidP="00585AD9">
      <w:pPr>
        <w:ind w:firstLine="720"/>
        <w:jc w:val="both"/>
      </w:pPr>
      <w:r>
        <w:t xml:space="preserve"> Komisijos sprendimas: </w:t>
      </w:r>
    </w:p>
    <w:p w:rsidR="00585AD9" w:rsidRDefault="00585AD9" w:rsidP="00585AD9">
      <w:pPr>
        <w:ind w:firstLine="720"/>
        <w:jc w:val="both"/>
      </w:pPr>
      <w:r>
        <w:t>“Pritarti pateiktoms išvadoms. Siūlyti pagrindiniam komitetui tobulinti įstatymo projektą, atsižvelgiant į pastabas, kurioms Narkomanijos prevencijos komisija pritarė ir į komisijos siūlymus dėl “preparato” sąvokos patikslinimo bei  numatyti įstatymo  nuostatas dėl licencijų išdavimo asmenims,  importuojantiems vaistus iš trečiųjų šalių, kurių sudėtyje yra narkotinių ar psichotropinių medžiagų,  taip pat dėl licencijų išdavimo narkotines ir psichotropines medžiagas gaminti, importuoti ir eksportuoti, verstis  didmenine ir  mažmenine prekyba,   įgyvendinant minėtas nuostatas  Lietuvos Respublikos Vyriausybės nustatyta tvarka.”</w:t>
      </w:r>
    </w:p>
    <w:p w:rsidR="00585AD9" w:rsidRDefault="00585AD9" w:rsidP="00585AD9">
      <w:pPr>
        <w:ind w:firstLine="720"/>
        <w:jc w:val="both"/>
      </w:pPr>
      <w:r>
        <w:rPr>
          <w:b/>
          <w:bCs/>
        </w:rPr>
        <w:t xml:space="preserve">VIII. </w:t>
      </w:r>
      <w:r>
        <w:t>“Dėl Lietuvos Respublikos Baudžiamojo kodekso 266 straipsnio pakeitimo įstatymo projekto Nr. XP – 1581”.</w:t>
      </w:r>
    </w:p>
    <w:p w:rsidR="00585AD9" w:rsidRDefault="00585AD9" w:rsidP="00585AD9">
      <w:pPr>
        <w:ind w:firstLine="720"/>
        <w:jc w:val="both"/>
      </w:pPr>
      <w:r>
        <w:t xml:space="preserve"> Komisijos sprendimas:</w:t>
      </w:r>
    </w:p>
    <w:p w:rsidR="00585AD9" w:rsidRDefault="00585AD9" w:rsidP="00585AD9">
      <w:pPr>
        <w:ind w:firstLine="720"/>
        <w:jc w:val="both"/>
      </w:pPr>
      <w:r>
        <w:t xml:space="preserve">“Pritarti pateiktoms išvadoms. </w:t>
      </w:r>
    </w:p>
    <w:p w:rsidR="00585AD9" w:rsidRDefault="00585AD9" w:rsidP="00585AD9">
      <w:pPr>
        <w:ind w:firstLine="720"/>
        <w:jc w:val="both"/>
      </w:pPr>
      <w:r>
        <w:t>Siūlyti pagrindiniam komitetui tobulinti įstatymo projektą, atsižvelgiant į  pastabas, kurioms Narkomanijos prevencijos komisija pritarė  (žr. pastabų lentelę) ir  visą straipsnį išdėstyti taip:</w:t>
      </w:r>
    </w:p>
    <w:p w:rsidR="00585AD9" w:rsidRDefault="00585AD9" w:rsidP="00585AD9">
      <w:pPr>
        <w:jc w:val="both"/>
        <w:rPr>
          <w:rFonts w:eastAsia="Arial Unicode MS"/>
        </w:rPr>
      </w:pPr>
      <w:r>
        <w:t xml:space="preserve">  “266 straipsnis. Neteisėtas disponavimas  pirmos kategorijos narkotinių  ar      psichotropinių medžiagų pirmtakais (prekursoriais)</w:t>
      </w:r>
    </w:p>
    <w:p w:rsidR="00585AD9" w:rsidRDefault="00585AD9" w:rsidP="00585AD9">
      <w:pPr>
        <w:ind w:firstLine="720"/>
        <w:jc w:val="both"/>
      </w:pPr>
      <w:r>
        <w:lastRenderedPageBreak/>
        <w:t>1.Tas, kas neteisėtai gamino,  įgijo, laikė, gabeno , siuntė  arba  perdavė  ar kitaip  realizavo pirmos kategorijos narkotinių ar psichotropinių medžiagų pirmtakus (prekursorius),</w:t>
      </w:r>
    </w:p>
    <w:p w:rsidR="00585AD9" w:rsidRDefault="00585AD9" w:rsidP="00585AD9">
      <w:pPr>
        <w:jc w:val="both"/>
      </w:pPr>
      <w:r>
        <w:t>baudžiamas laisvės atėmimu iki  trejų metų.</w:t>
      </w:r>
    </w:p>
    <w:p w:rsidR="00585AD9" w:rsidRDefault="00585AD9" w:rsidP="00585AD9">
      <w:pPr>
        <w:ind w:firstLine="720"/>
        <w:jc w:val="both"/>
      </w:pPr>
      <w:r>
        <w:t>2.Tas, kas neteisėtai gamino,  įgijo, laikė, gabeno,  siuntė  arba perdavė  ar kitaip realizavo didelį kiekį  pirmos kategorijos narkotinių ar psichotropinių medžiagų pirmtakų (prekursorių),</w:t>
      </w:r>
    </w:p>
    <w:p w:rsidR="00585AD9" w:rsidRDefault="00585AD9" w:rsidP="00585AD9">
      <w:pPr>
        <w:jc w:val="both"/>
      </w:pPr>
      <w:r>
        <w:t>baudžiamas laisvės atėmimu nuo trijų  iki šešerių metų.</w:t>
      </w:r>
    </w:p>
    <w:p w:rsidR="00585AD9" w:rsidRDefault="00585AD9" w:rsidP="00585AD9">
      <w:pPr>
        <w:ind w:firstLine="720"/>
        <w:jc w:val="both"/>
      </w:pPr>
      <w:r>
        <w:t>3.Tas, kas neteisėtai gamino,  įgijo, laikė, gabeno,  siuntė  arba perdavė  ar kitaip realizavo labai didelį kiekį  pirmos kategorijos narkotinių ar psichotropinių medžiagų pirmtakų (prekursorių),</w:t>
      </w:r>
    </w:p>
    <w:p w:rsidR="00585AD9" w:rsidRDefault="00585AD9" w:rsidP="00585AD9">
      <w:pPr>
        <w:jc w:val="both"/>
      </w:pPr>
      <w:r>
        <w:t>baudžiamas laisvės atėmimu nuo šešerių iki dešimties  metų.”</w:t>
      </w:r>
    </w:p>
    <w:p w:rsidR="00585AD9" w:rsidRDefault="00585AD9" w:rsidP="00585AD9">
      <w:pPr>
        <w:jc w:val="both"/>
      </w:pPr>
      <w:r>
        <w:rPr>
          <w:b/>
          <w:bCs/>
        </w:rPr>
        <w:tab/>
        <w:t>IX.</w:t>
      </w:r>
      <w:r>
        <w:t xml:space="preserve"> “Dėl Lietuvos Respublikos nepilnamečių apsaugos nuo neigiamo viešosios informacijos poveikio įstatymo 4 straipsnio pakeitimo ir papildymo įstatymo projekto Nr. XP –1470”.</w:t>
      </w:r>
    </w:p>
    <w:p w:rsidR="00585AD9" w:rsidRDefault="00585AD9" w:rsidP="00585AD9">
      <w:pPr>
        <w:jc w:val="both"/>
      </w:pPr>
      <w:r>
        <w:t xml:space="preserve"> </w:t>
      </w:r>
      <w:r>
        <w:tab/>
        <w:t xml:space="preserve"> Komisijos sprendimas:</w:t>
      </w:r>
    </w:p>
    <w:p w:rsidR="00585AD9" w:rsidRDefault="00585AD9" w:rsidP="00585AD9">
      <w:pPr>
        <w:jc w:val="both"/>
      </w:pPr>
      <w:r>
        <w:t xml:space="preserve"> </w:t>
      </w:r>
      <w:r>
        <w:tab/>
        <w:t>Iš esmės pritarti pateiktam Lietuvos Respublikos Nepilnamečių apsaugos nuo neigiamo viešosios informacijos poveikio įstatymo 4 straipsnio pakeitimo ir papildymo įstatymo projektui Nr. XP-1470.</w:t>
      </w:r>
    </w:p>
    <w:p w:rsidR="00585AD9" w:rsidRDefault="00585AD9" w:rsidP="00585AD9">
      <w:pPr>
        <w:jc w:val="both"/>
      </w:pPr>
      <w:r>
        <w:rPr>
          <w:b/>
          <w:bCs/>
        </w:rPr>
        <w:t>X.</w:t>
      </w:r>
      <w:r>
        <w:t xml:space="preserve"> “Dėl Lietuvos Respublikos nepilnamečių apsaugos nuo neigiamo viešosios informacijos poveikio įstatymo 4, 5 ir 9 straipsnių pakeitimo ir papildymo įstatymo projekto Nr. XP-1680”. </w:t>
      </w:r>
    </w:p>
    <w:p w:rsidR="00585AD9" w:rsidRDefault="00585AD9" w:rsidP="00585AD9">
      <w:pPr>
        <w:ind w:firstLine="720"/>
        <w:jc w:val="both"/>
      </w:pPr>
      <w:r>
        <w:t>Komisijos sprendimas:</w:t>
      </w:r>
    </w:p>
    <w:p w:rsidR="00585AD9" w:rsidRDefault="00585AD9" w:rsidP="00585AD9">
      <w:pPr>
        <w:jc w:val="both"/>
      </w:pPr>
      <w:r>
        <w:tab/>
        <w:t>Iš esmės  pritarti pagal pateiktas pastabas ir pasiūlymus. Siūlyti  pagrindiniam komitetui  svarstyti  Lietuvos Respublikos Nepilnamečių apsaugos nuo neigiamo viešosios informacijos poveikio įstatymo 4, 5 ir 9 straipsnių pakeitimo ir papildymo įstatymo  projektą Nr. XP-1680 kartu su Lietuvos Respublikos nepilnamečių apsaugos nuo neigiamo viešosios informacijos poveikio įstatymo 4 straipsnio pakeitimo ir papildymo įstatymo projektu  Nr. XP-1470.</w:t>
      </w:r>
    </w:p>
    <w:p w:rsidR="00585AD9" w:rsidRDefault="00585AD9" w:rsidP="00585AD9">
      <w:pPr>
        <w:jc w:val="both"/>
      </w:pPr>
      <w:r>
        <w:tab/>
      </w:r>
      <w:r>
        <w:rPr>
          <w:b/>
          <w:bCs/>
        </w:rPr>
        <w:t xml:space="preserve">XI. </w:t>
      </w:r>
      <w:r>
        <w:t>“Dėl narkomanijos prevencijos ir narkotikų užkardymo romų tabore Kirtimuose, Vilniuje”.</w:t>
      </w:r>
    </w:p>
    <w:p w:rsidR="00585AD9" w:rsidRDefault="00585AD9" w:rsidP="00585AD9">
      <w:pPr>
        <w:ind w:firstLine="720"/>
        <w:jc w:val="both"/>
      </w:pPr>
      <w:r>
        <w:t xml:space="preserve"> Komisijos sprendimas:</w:t>
      </w:r>
    </w:p>
    <w:p w:rsidR="00585AD9" w:rsidRDefault="00585AD9" w:rsidP="00585AD9">
      <w:pPr>
        <w:jc w:val="both"/>
      </w:pPr>
      <w:r>
        <w:tab/>
        <w:t xml:space="preserve">“I. Atkreipti Lietuvos Respublikos Vyriausybės dėmesį į tai, kad:  </w:t>
      </w:r>
    </w:p>
    <w:p w:rsidR="00585AD9" w:rsidRDefault="00585AD9" w:rsidP="00585AD9">
      <w:pPr>
        <w:ind w:firstLine="720"/>
        <w:jc w:val="both"/>
        <w:rPr>
          <w:b/>
          <w:bCs/>
        </w:rPr>
      </w:pPr>
      <w:r>
        <w:t>1. Vilniaus romų Kirtimų taboras, kuriame vyksta prekyba narkotinėmis ir psichotropinėmis medžiagomis, yra ir narkomanų didelės traukos centras.</w:t>
      </w:r>
    </w:p>
    <w:p w:rsidR="00585AD9" w:rsidRDefault="00585AD9" w:rsidP="00585AD9">
      <w:pPr>
        <w:ind w:firstLine="720"/>
        <w:jc w:val="both"/>
      </w:pPr>
      <w:r>
        <w:t xml:space="preserve">2.Vilniaus romų Kirtimų tabore iš 500 gyvenančių  asmenų,  280 asmenų  amžius yra iki 15 metų, 220 asmenų amžius - per 15 metų (iš pastarųjų net 124 asmenys teisti už neteisėtą narkotinių ir psichotropinių medžiagų disponavimą, o iš jų 50 asmenų teisti pakartotinai). </w:t>
      </w:r>
    </w:p>
    <w:p w:rsidR="00585AD9" w:rsidRDefault="00585AD9" w:rsidP="00585AD9">
      <w:pPr>
        <w:ind w:firstLine="720"/>
        <w:jc w:val="both"/>
      </w:pPr>
      <w:r>
        <w:t>3. Prekybą narkotinėmis ir psichotropinėmis medžiagomis Vilniaus romų Kirtimų tabore  mato vaikai ir tai turi neigiamą poveikį romų tautinei grupei. Dauguma tabore gyvenančių vaikų nuolat nelanko mokyklų ir, matydami narkotinių medžiagų gaminimo, realizavimo ir vartojimo procesą, patys pradeda vartoti narkotikus ir per trumpą laiką tampa narkomanais.</w:t>
      </w:r>
    </w:p>
    <w:p w:rsidR="00585AD9" w:rsidRDefault="00585AD9" w:rsidP="00585AD9">
      <w:pPr>
        <w:ind w:firstLine="720"/>
        <w:jc w:val="both"/>
      </w:pPr>
      <w:r>
        <w:t xml:space="preserve">4.  Šalia Vilniaus romų Kirtimų taboro gyvenantys asmenys yra nesaugūs,  patiria nuolatinį stresą ir baimę dėl tabore pardavinėjamų narkotikų ir ne kartą dėl to yra kreipęsi į įvairias valstybines institucijas. </w:t>
      </w:r>
    </w:p>
    <w:p w:rsidR="00585AD9" w:rsidRDefault="00585AD9" w:rsidP="00585AD9">
      <w:pPr>
        <w:ind w:firstLine="720"/>
        <w:jc w:val="both"/>
      </w:pPr>
      <w:r>
        <w:t>5. 2005 metais Vilniaus priklausomybės ligų centro mobilus švirkštų adatų keitimo punktas “Mėlynas autobusiukas”, atvykęs vieną kartą per savaitę prie Romų visuomenės centro, pagal individualų poreikį išduodavo tvarsliavą abscesų ir trofinių opų priežiūrai, priemones utėlėtumui gydyti, kitas higienos priemones, taip pat teikė konsultacijas sveikatos išsaugojimo ir socialinės paramos klausimais. Tačiau, tokios taikomos priemonės romų tabore, kuriame nuolat vyksta prekyba narkotinėmis ir psichotropinėmis medžiagomis, kaip mobilus švirkštų adatų keitimo punktas dar daugiau pritraukdavo iš Vilniaus miesto ir kitų regionų narkomanus ir policijos užkardymo priemonės bei sąnaudos tinkamo poveikio neturėjo.</w:t>
      </w:r>
    </w:p>
    <w:p w:rsidR="00585AD9" w:rsidRDefault="00585AD9" w:rsidP="00585AD9">
      <w:pPr>
        <w:jc w:val="both"/>
      </w:pPr>
      <w:r>
        <w:tab/>
        <w:t>6.</w:t>
      </w:r>
      <w:r>
        <w:rPr>
          <w:b/>
          <w:bCs/>
        </w:rPr>
        <w:t xml:space="preserve"> </w:t>
      </w:r>
      <w:r>
        <w:t xml:space="preserve">Narkotikų kontrolės departamento prie Lietuvos Respublikos Vyriausybės siūlomos priemonės - </w:t>
      </w:r>
      <w:r>
        <w:rPr>
          <w:i/>
          <w:iCs/>
        </w:rPr>
        <w:t>didinti žalos mažinimo programų prieinamumą asmenims, sergantiems priklausomybe nuo narkotikų – siekiant išvengti sambūrių vienoje vietoje, svarstyti galimybę steigti mobilius punktus, teikiančius gydymo metadonu paslaugas, plėsti finansines ir personalo galimybes, didinti žalos mažinimo programų prieinamumą asmenims priklausomiems nuo narkotikų Vilniaus romų bendruomenėje ir jos prieigose, nes tikėtina, kad tai padėtų sumažinti narkotikų vartotojų srautą į Kirtimus ir infekcinių ligų plitimą tarp narkotikų vartotojų</w:t>
      </w:r>
      <w:r>
        <w:t xml:space="preserve">, jau yra pavėluotos, nenuoseklios ir nekompleksinės. </w:t>
      </w:r>
    </w:p>
    <w:p w:rsidR="00585AD9" w:rsidRDefault="00585AD9" w:rsidP="00585AD9">
      <w:pPr>
        <w:ind w:firstLine="720"/>
        <w:jc w:val="both"/>
      </w:pPr>
      <w:r>
        <w:lastRenderedPageBreak/>
        <w:t xml:space="preserve">Lietuvos Respublikos Vyriausybė dar 2000 metais pažymėjo, kad Romų būklės analizė rodo, jog visos problemos – socialinės, ekonominės, švietimo, sveikatos apsaugos, teisinės – labai glaudžiai viena su kita susijusios. Romai integruojasi per lėtai, integracija neapima visų gyvenimo sričių, nekoordinuojama įvairių institucijų veikla. Vilniaus miesto savivaldybės taryba patvirtindama </w:t>
      </w:r>
      <w:r>
        <w:rPr>
          <w:i/>
          <w:iCs/>
        </w:rPr>
        <w:t>Vilniaus romų bendruomenės ir šalia taboro esančių teritorijų priežiūros ir saugumo užtikrinimo bei romų segregacijos mažinimo 2005 – 2010 metų programą</w:t>
      </w:r>
      <w:r>
        <w:t xml:space="preserve"> siekia tikslo – vietiniu lygiu kompleksiškai, nuosekliai ir sistemingai spręsti romų problemas, mažinti romų socialinę atskirti bei gerinti vaikų ir jaunimo socializacijos sąlygas.</w:t>
      </w:r>
    </w:p>
    <w:p w:rsidR="00585AD9" w:rsidRDefault="00585AD9" w:rsidP="00585AD9">
      <w:pPr>
        <w:ind w:firstLine="720"/>
        <w:jc w:val="both"/>
      </w:pPr>
      <w:r>
        <w:t xml:space="preserve">Narkotikų kontrolės departamentas prie Lietuvos Respublikos Vyriausybės, vadovaujantis patvirtintais nuostatais ir žinodamas Lietuvos Respublikos Vyriausybės poziciją,   jau nuo 2004 metų turėjo spręsti  klausimus, susijusius su narkomanijos prevencijos ir narkotikų kontrolės politikos įgyvendinimu, teikti Lietuvos Respublikos Vyriausybei, valstybės ir savivaldybių institucijoms bei įstaigoms pasiūlymus dėl narkomanijos prevencijos ir narkotikų kontrolės veiklos prioritetinių krypčių ir šios veiklos tobulinimo, tame tarpe  ir dėl Kirtimų romų tabore esančios situacijos, tačiau ir  pirmieji  pasitarimai dėl romų taboro problemų departamente įvyko  tik  2006 m. rusėjo – lapkričio mėn.  </w:t>
      </w:r>
    </w:p>
    <w:p w:rsidR="00585AD9" w:rsidRDefault="00585AD9" w:rsidP="00585AD9">
      <w:pPr>
        <w:ind w:firstLine="720"/>
        <w:jc w:val="both"/>
      </w:pPr>
      <w:r>
        <w:t>II. Siūlyti Lietuvos Respublikos Vyriausybei:</w:t>
      </w:r>
    </w:p>
    <w:p w:rsidR="00585AD9" w:rsidRDefault="00585AD9" w:rsidP="00585AD9">
      <w:pPr>
        <w:ind w:firstLine="720"/>
        <w:jc w:val="both"/>
      </w:pPr>
      <w:r>
        <w:t>1. Užtikrinti Vilniaus romų Kirtimų tabore Jungtinių Tautų Vaiko teisių konvencijos 33 straipsnio (“Valstybės dalyvės  imasi visų  reikiamų priemonių, įskaitant</w:t>
      </w:r>
      <w:r>
        <w:rPr>
          <w:rFonts w:eastAsia="Arial Unicode MS"/>
          <w:lang w:val="en-GB"/>
        </w:rPr>
        <w:t xml:space="preserve"> </w:t>
      </w:r>
      <w:r>
        <w:t>teisines,  administracines,   socialines  ir  šviečiamąsias,  kad apsaugotų  vaikus   nuo   neteisėto   narkotinių   priemonių   ir psichotropinių  medžiagų,   kaip  jos   apibrėžtos   atitinkamose tarptautinėse sutartyse,  vartojimo ir  neleistų panaudoti  vaikų tokias medžiagas neteisėtai gaminant ir pardavinėjant.”) nuostatų įgyvendinimą,  vienodą atsakomybę už vaikų auklėjimą ir vystymą,  kad tėvų valdžia negali būti naudojamasi priešingai vaiko interesams.</w:t>
      </w:r>
    </w:p>
    <w:p w:rsidR="00585AD9" w:rsidRDefault="00585AD9" w:rsidP="00585AD9">
      <w:pPr>
        <w:ind w:firstLine="720"/>
        <w:jc w:val="both"/>
      </w:pPr>
      <w:r>
        <w:t>2. Skubiai spręsti paplitusią narkomanijos ir narkotikų verslo Vilniaus romų Kirtimų tabore problemą, užtikrinant aktyvų ir efektyvų</w:t>
      </w:r>
      <w:r>
        <w:rPr>
          <w:b/>
          <w:bCs/>
        </w:rPr>
        <w:t xml:space="preserve"> </w:t>
      </w:r>
      <w:r>
        <w:t xml:space="preserve">policijos pareigūnų prevencinį ir intervencinį darbą romų bendrijoje bei taikant kompleksines priemones. </w:t>
      </w:r>
    </w:p>
    <w:p w:rsidR="00585AD9" w:rsidRDefault="00585AD9" w:rsidP="00585AD9">
      <w:pPr>
        <w:ind w:firstLine="720"/>
        <w:jc w:val="both"/>
      </w:pPr>
      <w:r>
        <w:t xml:space="preserve">3. Skirti iš valstybės biudžeto lėšas Vilniaus miesto savivaldybės tarybos 2005 m. birželio 22 d. sprendimu Nr.1-838 patvirtintos </w:t>
      </w:r>
      <w:r>
        <w:rPr>
          <w:i/>
          <w:iCs/>
        </w:rPr>
        <w:t>Vilniaus romų bendruomenės ir šalia taboro esančių teritorijų priežiūros ir saugumo užtikrinimo bei romų segregacijos mažinimo 2005 – 2010 metų programos</w:t>
      </w:r>
      <w:r>
        <w:t xml:space="preserve"> įgyvendinimui ir Vilniaus romų Kirtimų tabore gyvenantiems asmenims  būsto klausimų sprendimui. </w:t>
      </w:r>
    </w:p>
    <w:p w:rsidR="00585AD9" w:rsidRDefault="00585AD9" w:rsidP="00585AD9">
      <w:pPr>
        <w:ind w:firstLine="720"/>
        <w:jc w:val="both"/>
      </w:pPr>
      <w:r>
        <w:t xml:space="preserve">4. Pavesti Lietuvos Respublikos Aplinkos ministerijai Kirtimų romų tabore kontroliuoti  savavališkų statinių, kuriuose gyvenusioms šeimoms buvo suteiktas socialinis būstas, nugriovimą, nes išnuomojus romų šeimoms socialinį būstą, atlaisvintuose būstuose savavališkai apsigyvena kitos romų šeimos ir Kirtimų romų taboro problema tampa neišsprendžiama iš esmės. </w:t>
      </w:r>
    </w:p>
    <w:p w:rsidR="00585AD9" w:rsidRDefault="00585AD9" w:rsidP="00585AD9">
      <w:pPr>
        <w:ind w:firstLine="720"/>
        <w:jc w:val="both"/>
        <w:rPr>
          <w:bCs/>
          <w:lang w:val="en-US"/>
        </w:rPr>
      </w:pPr>
      <w:r>
        <w:t xml:space="preserve">5. Parengti teisės aktų projektus dėl </w:t>
      </w:r>
      <w:r>
        <w:rPr>
          <w:bCs/>
        </w:rPr>
        <w:t xml:space="preserve">gydymo įstaigų įsteigimo asmenų specializuotam gydymui nuo priklausomybės narkotinėms ir psichotropinėms medžiagoms ir alternatyvių bausmių atlikimui, įgyvendinant </w:t>
      </w:r>
      <w:r>
        <w:rPr>
          <w:bCs/>
          <w:i/>
          <w:iCs/>
        </w:rPr>
        <w:t>2005 – 2008 m. Europos Sąjungos kovos su narkotikais veiksmų plane</w:t>
      </w:r>
      <w:r>
        <w:rPr>
          <w:bCs/>
        </w:rPr>
        <w:t xml:space="preserve"> numatytus tikslus toliau ieškoti alternatyvų narkomanų įkalinimui ir paslaugoms, susijusioms su narkotikais, įkalintiems asmenims bei veiksmingai naudoti alternatyvas narkomanų įkalinimui,  atsižvelgiant į nacionalinės teisės aktus, nes iki 2008 metų valstybės narės  turi  pateikti ataskaitą </w:t>
      </w:r>
      <w:r>
        <w:rPr>
          <w:bCs/>
          <w:lang w:val="en-US"/>
        </w:rPr>
        <w:t xml:space="preserve">Horizontaliajai kovos su narkotikais grupei. </w:t>
      </w:r>
    </w:p>
    <w:p w:rsidR="00585AD9" w:rsidRDefault="00585AD9" w:rsidP="00585AD9">
      <w:pPr>
        <w:ind w:firstLine="720"/>
        <w:jc w:val="both"/>
      </w:pPr>
      <w:r>
        <w:t>6. Skubiai spręsti Vilniaus romų bendruomenės nariams asmens tapatybę ir pilietybę patvirtinančių dokumentų išdavimo klausimus.</w:t>
      </w:r>
    </w:p>
    <w:p w:rsidR="00585AD9" w:rsidRDefault="00585AD9" w:rsidP="00585AD9">
      <w:pPr>
        <w:ind w:firstLine="720"/>
        <w:jc w:val="both"/>
      </w:pPr>
      <w:r>
        <w:t>III. Rekomenduoti  Vaiko teisių apsaugos kontrolierei  Rimantei Šalaševičiūtei, vadovaujantis Lietuvos Respublikos Vaiko teisių apsaugos kontrolieriaus įstatymo 31 straipsniu,  kontroliuoti, kad valstybės ir savivaldybių institucijos ir įstaigos, nevalstybinės institucijos bei kiti fiziniai ir juridiniai asmenys vykdytų Vaiko teisių apsaugos kontrolierės 2005 m. spalio 28 d. Nr. 2-1359  priimtą sprendimą.”</w:t>
      </w:r>
    </w:p>
    <w:p w:rsidR="00585AD9" w:rsidRDefault="00585AD9" w:rsidP="00585AD9">
      <w:pPr>
        <w:ind w:firstLine="720"/>
        <w:jc w:val="both"/>
      </w:pPr>
    </w:p>
    <w:p w:rsidR="00585AD9" w:rsidRDefault="00585AD9" w:rsidP="00585AD9">
      <w:pPr>
        <w:pStyle w:val="Antrat5"/>
        <w:jc w:val="center"/>
      </w:pPr>
      <w:r>
        <w:t>Ekspertų išvados</w:t>
      </w:r>
    </w:p>
    <w:p w:rsidR="00585AD9" w:rsidRDefault="00585AD9" w:rsidP="00585AD9"/>
    <w:p w:rsidR="00585AD9" w:rsidRDefault="00585AD9" w:rsidP="00585AD9">
      <w:pPr>
        <w:ind w:firstLine="720"/>
        <w:jc w:val="both"/>
      </w:pPr>
      <w:r>
        <w:t xml:space="preserve">VYTAUTO DIDŽIOJO UNIVERSITETO SOCIALINIŲ MOKSLŲ FAKULTETO EDUKOLOGIJOS KATEDROS EKSPERTŲ KOMISIJOS IŠVADOS DĖL PROJEKTO "VEIKSMINGA IR KOORDINUOTA PAGALBA STIPRINANT JAUNŲ ŽMONIŲ SVEIKATĄ IR </w:t>
      </w:r>
      <w:r>
        <w:lastRenderedPageBreak/>
        <w:t>JOS RAIDĄ LIETUVOJE" ATITIKIMO VALSTYBINEI ŠVIETIMO STRATEGIJAI, PATVIRTINTAI 2003 – 2012 METAMS IR VAIKO GEROVĖS POLITIKOS KONCEPCIJAI”</w:t>
      </w:r>
    </w:p>
    <w:p w:rsidR="00585AD9" w:rsidRDefault="00585AD9" w:rsidP="00585AD9">
      <w:pPr>
        <w:ind w:firstLine="720"/>
        <w:jc w:val="both"/>
        <w:rPr>
          <w:highlight w:val="yellow"/>
        </w:rPr>
      </w:pPr>
    </w:p>
    <w:p w:rsidR="00585AD9" w:rsidRDefault="00585AD9" w:rsidP="00585AD9">
      <w:pPr>
        <w:ind w:firstLine="720"/>
        <w:jc w:val="both"/>
      </w:pPr>
      <w:r>
        <w:t xml:space="preserve">Vytauto Didžiojo universiteto Socialinių mokslų fakulteto 2006 m. spalio mėn. 6 d. Edukologijos katedros posėdyje sudaryta ekspertų komisija: pirmininkas – socialinių mokslų (edukologija) habil. dr. prof. Kęstutis Pukelis, nariai - socialinių mokslų (edukologija) dr. doc. Genutės Gedvilienė ir socialinių mokslų (edukologija) doktorantė Birutė Obelenienė.  </w:t>
      </w:r>
      <w:r>
        <w:rPr>
          <w:lang w:val="en-US"/>
        </w:rPr>
        <w:t>2006 11 02</w:t>
      </w:r>
      <w:r>
        <w:t xml:space="preserve"> pateiktos ekspertų išvados dėl 2005 m. gruodžio 19 d. SAM ministro Ž. Padaigos, VVSPT prie SAM direktoriaus V. Bakasėno pasirašyto projekto su JTVP įgaliotąja atstove Cihan Sultonaglu „Parama veiksmingam ir koordinuotam jaunų žmonių sveikatos ir raidos stiprinimui Lietuvoje“ atitikimo Valstybinei švietimo strategijai, patvirtintai 2003-2012 metams ir Vaiko gerovės valstybės politikos koncepcijai.</w:t>
      </w:r>
    </w:p>
    <w:p w:rsidR="00585AD9" w:rsidRDefault="00585AD9" w:rsidP="00585AD9">
      <w:pPr>
        <w:ind w:firstLine="720"/>
        <w:jc w:val="both"/>
      </w:pPr>
      <w:r>
        <w:t xml:space="preserve">Atsiliepdami į aukščiau nurodytą LR Seimo Narkomanijos prevencijos komisijos prašymą Nr. 293-S-48 pateikti ekspertų išvadas dėl 2005 m. gruodžio 19 d. SAM Ž. Padaigos, VVSPT prie SAM direktoriaus V. Bakasėno pasirašyto projekto su JTVP įgaliotąja atstove Cihan Sultonaglu „Parama veiksmingam ir koordinuotam jaunų žmonių sveikatos ir raidos stiprinimui Lietuvoje“ atitikimo Valstybinei švietimo strategijai, patvirtintai 2003-2012 metams ir Vaiko gerovės valstybės politikos koncepcijai, ekspertų komisija, turėdama omeny, kad </w:t>
      </w:r>
      <w:r>
        <w:rPr>
          <w:i/>
        </w:rPr>
        <w:t>jos skirtos jaunesniųjų paauglių, paauglių ir jaunų žmonių auditorijai, kurių asmenybinė branda randasi intensyvioje fizinėje ir dvasinėje raidoje</w:t>
      </w:r>
      <w:r>
        <w:t>, atliko žemiau išvardintų dokumentų ir mokymo priemonių analizę:</w:t>
      </w:r>
    </w:p>
    <w:p w:rsidR="00585AD9" w:rsidRDefault="00585AD9" w:rsidP="00585AD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6"/>
        <w:gridCol w:w="4032"/>
        <w:gridCol w:w="5066"/>
      </w:tblGrid>
      <w:tr w:rsidR="00585AD9" w:rsidTr="004F7425">
        <w:tc>
          <w:tcPr>
            <w:tcW w:w="756" w:type="dxa"/>
          </w:tcPr>
          <w:p w:rsidR="00585AD9" w:rsidRDefault="00585AD9" w:rsidP="004F7425">
            <w:pPr>
              <w:jc w:val="both"/>
            </w:pPr>
            <w:r>
              <w:t>Eil.nr</w:t>
            </w:r>
          </w:p>
        </w:tc>
        <w:tc>
          <w:tcPr>
            <w:tcW w:w="4032" w:type="dxa"/>
          </w:tcPr>
          <w:p w:rsidR="00585AD9" w:rsidRDefault="00585AD9" w:rsidP="004F7425">
            <w:pPr>
              <w:jc w:val="both"/>
            </w:pPr>
            <w:r>
              <w:t>Dokumento pavadinimas</w:t>
            </w:r>
          </w:p>
        </w:tc>
        <w:tc>
          <w:tcPr>
            <w:tcW w:w="5066" w:type="dxa"/>
          </w:tcPr>
          <w:p w:rsidR="00585AD9" w:rsidRDefault="00585AD9" w:rsidP="004F7425">
            <w:pPr>
              <w:jc w:val="both"/>
            </w:pPr>
            <w:r>
              <w:t>dokumento duomenys/prieiga internete</w:t>
            </w:r>
          </w:p>
        </w:tc>
      </w:tr>
      <w:tr w:rsidR="00585AD9" w:rsidTr="004F7425">
        <w:tc>
          <w:tcPr>
            <w:tcW w:w="756" w:type="dxa"/>
          </w:tcPr>
          <w:p w:rsidR="00585AD9" w:rsidRDefault="00585AD9" w:rsidP="004F7425">
            <w:pPr>
              <w:jc w:val="both"/>
            </w:pPr>
            <w:r>
              <w:t>1</w:t>
            </w:r>
          </w:p>
        </w:tc>
        <w:tc>
          <w:tcPr>
            <w:tcW w:w="4032" w:type="dxa"/>
          </w:tcPr>
          <w:p w:rsidR="00585AD9" w:rsidRDefault="00585AD9" w:rsidP="004F7425">
            <w:pPr>
              <w:jc w:val="both"/>
            </w:pPr>
            <w:r>
              <w:t>JT vystymosi programa „Parama veiksmingam ir koordinuotam jaunų žmonių sveikatos ir raidos stiprinimui Lietuvoje“  (toliau tekste Programa)</w:t>
            </w:r>
          </w:p>
        </w:tc>
        <w:tc>
          <w:tcPr>
            <w:tcW w:w="5066" w:type="dxa"/>
          </w:tcPr>
          <w:p w:rsidR="00585AD9" w:rsidRDefault="00585AD9" w:rsidP="004F7425">
            <w:pPr>
              <w:jc w:val="both"/>
            </w:pPr>
            <w:r>
              <w:t>http://www.vvspt.lt/aktai/Project_1_lt.doc</w:t>
            </w:r>
          </w:p>
        </w:tc>
      </w:tr>
      <w:tr w:rsidR="00585AD9" w:rsidTr="004F7425">
        <w:tc>
          <w:tcPr>
            <w:tcW w:w="756" w:type="dxa"/>
          </w:tcPr>
          <w:p w:rsidR="00585AD9" w:rsidRDefault="00585AD9" w:rsidP="004F7425">
            <w:pPr>
              <w:jc w:val="both"/>
            </w:pPr>
            <w:r>
              <w:t xml:space="preserve">2. </w:t>
            </w:r>
          </w:p>
        </w:tc>
        <w:tc>
          <w:tcPr>
            <w:tcW w:w="4032" w:type="dxa"/>
          </w:tcPr>
          <w:p w:rsidR="00585AD9" w:rsidRDefault="00585AD9" w:rsidP="004F7425">
            <w:pPr>
              <w:jc w:val="both"/>
            </w:pPr>
            <w:r>
              <w:t xml:space="preserve">Projekto „Parama veiksmingam ir koordinuotam jaunų žmonių sveikatos ir raidos stiprinimui Lietuvoje“ 2006 I pusmečio ataskaita </w:t>
            </w:r>
          </w:p>
        </w:tc>
        <w:tc>
          <w:tcPr>
            <w:tcW w:w="5066" w:type="dxa"/>
          </w:tcPr>
          <w:p w:rsidR="00585AD9" w:rsidRDefault="00585AD9" w:rsidP="004F7425">
            <w:pPr>
              <w:jc w:val="both"/>
            </w:pPr>
          </w:p>
          <w:p w:rsidR="00585AD9" w:rsidRDefault="00585AD9" w:rsidP="004F7425">
            <w:pPr>
              <w:jc w:val="both"/>
            </w:pPr>
            <w:r>
              <w:t>Žiūrėta 2006 10 12</w:t>
            </w:r>
          </w:p>
        </w:tc>
      </w:tr>
      <w:tr w:rsidR="00585AD9" w:rsidTr="004F7425">
        <w:tc>
          <w:tcPr>
            <w:tcW w:w="756" w:type="dxa"/>
          </w:tcPr>
          <w:p w:rsidR="00585AD9" w:rsidRDefault="00585AD9" w:rsidP="004F7425">
            <w:pPr>
              <w:jc w:val="both"/>
            </w:pPr>
            <w:r>
              <w:t xml:space="preserve">3. </w:t>
            </w:r>
          </w:p>
        </w:tc>
        <w:tc>
          <w:tcPr>
            <w:tcW w:w="4032" w:type="dxa"/>
          </w:tcPr>
          <w:p w:rsidR="00585AD9" w:rsidRDefault="00585AD9" w:rsidP="004F7425">
            <w:pPr>
              <w:ind w:left="-36" w:firstLine="36"/>
              <w:jc w:val="both"/>
            </w:pPr>
            <w:r>
              <w:t>Valstybinės švietimo strategijos 2003-2012 metų nuostatos</w:t>
            </w:r>
          </w:p>
        </w:tc>
        <w:tc>
          <w:tcPr>
            <w:tcW w:w="5066" w:type="dxa"/>
          </w:tcPr>
          <w:p w:rsidR="00585AD9" w:rsidRDefault="00585AD9" w:rsidP="004F7425">
            <w:pPr>
              <w:jc w:val="both"/>
            </w:pPr>
            <w:r>
              <w:t>Patvirtinta LR Seimo 2003 m. liepos 4 d.</w:t>
            </w:r>
          </w:p>
          <w:p w:rsidR="00585AD9" w:rsidRDefault="00585AD9" w:rsidP="004F7425">
            <w:pPr>
              <w:jc w:val="both"/>
            </w:pPr>
            <w:r>
              <w:t xml:space="preserve"> nutarimu Nr. IX-1700. Prieiga internete</w:t>
            </w:r>
          </w:p>
          <w:p w:rsidR="00585AD9" w:rsidRDefault="00585AD9" w:rsidP="004F7425">
            <w:pPr>
              <w:jc w:val="both"/>
            </w:pPr>
            <w:r>
              <w:t>http://www.smm.lt/teisine_baze/docs/strategija2003-12.doc</w:t>
            </w:r>
          </w:p>
        </w:tc>
      </w:tr>
      <w:tr w:rsidR="00585AD9" w:rsidTr="004F7425">
        <w:tc>
          <w:tcPr>
            <w:tcW w:w="756" w:type="dxa"/>
          </w:tcPr>
          <w:p w:rsidR="00585AD9" w:rsidRDefault="00585AD9" w:rsidP="004F7425">
            <w:pPr>
              <w:jc w:val="both"/>
            </w:pPr>
            <w:r>
              <w:t xml:space="preserve">4. </w:t>
            </w:r>
          </w:p>
        </w:tc>
        <w:tc>
          <w:tcPr>
            <w:tcW w:w="4032" w:type="dxa"/>
          </w:tcPr>
          <w:p w:rsidR="00585AD9" w:rsidRDefault="00585AD9" w:rsidP="004F7425">
            <w:pPr>
              <w:ind w:left="-36" w:firstLine="36"/>
              <w:jc w:val="both"/>
            </w:pPr>
            <w:r>
              <w:t>LR švietimo įstatymas, 2003</w:t>
            </w:r>
          </w:p>
        </w:tc>
        <w:tc>
          <w:tcPr>
            <w:tcW w:w="5066" w:type="dxa"/>
          </w:tcPr>
          <w:p w:rsidR="00585AD9" w:rsidRDefault="00585AD9" w:rsidP="004F7425">
            <w:pPr>
              <w:spacing w:before="100" w:beforeAutospacing="1" w:after="100" w:afterAutospacing="1"/>
            </w:pPr>
            <w:r>
              <w:t xml:space="preserve">Nauja įstatymo redakcija nuo 2003 m. birželio 28 d.:Nr. </w:t>
            </w:r>
            <w:hyperlink r:id="rId9" w:history="1">
              <w:r>
                <w:rPr>
                  <w:rStyle w:val="Hipersaitas"/>
                  <w:szCs w:val="20"/>
                </w:rPr>
                <w:t>IX-1630</w:t>
              </w:r>
            </w:hyperlink>
            <w:r>
              <w:t xml:space="preserve">. </w:t>
            </w:r>
            <w:r>
              <w:rPr>
                <w:szCs w:val="20"/>
              </w:rPr>
              <w:t>Žin., 2003, Nr. 63-2853</w:t>
            </w:r>
          </w:p>
        </w:tc>
      </w:tr>
      <w:tr w:rsidR="00585AD9" w:rsidTr="004F7425">
        <w:tc>
          <w:tcPr>
            <w:tcW w:w="756" w:type="dxa"/>
          </w:tcPr>
          <w:p w:rsidR="00585AD9" w:rsidRDefault="00585AD9" w:rsidP="004F7425">
            <w:pPr>
              <w:jc w:val="both"/>
            </w:pPr>
            <w:r>
              <w:t xml:space="preserve">5. </w:t>
            </w:r>
          </w:p>
        </w:tc>
        <w:tc>
          <w:tcPr>
            <w:tcW w:w="4032" w:type="dxa"/>
          </w:tcPr>
          <w:p w:rsidR="00585AD9" w:rsidRDefault="00585AD9" w:rsidP="004F7425">
            <w:pPr>
              <w:ind w:left="-36" w:firstLine="36"/>
              <w:jc w:val="both"/>
            </w:pPr>
            <w:r>
              <w:t>Valstybinės švietimo strategijos 2003-2012 m. nuostatų įgyvendinimo programa</w:t>
            </w:r>
          </w:p>
        </w:tc>
        <w:tc>
          <w:tcPr>
            <w:tcW w:w="5066" w:type="dxa"/>
          </w:tcPr>
          <w:p w:rsidR="00585AD9" w:rsidRDefault="00585AD9" w:rsidP="004F7425">
            <w:pPr>
              <w:pStyle w:val="HTMLiankstoformatuotas"/>
              <w:rPr>
                <w:rFonts w:ascii="Times New Roman" w:hAnsi="Times New Roman" w:cs="Times New Roman"/>
                <w:sz w:val="24"/>
              </w:rPr>
            </w:pPr>
            <w:r>
              <w:rPr>
                <w:rFonts w:ascii="Times New Roman" w:hAnsi="Times New Roman" w:cs="Times New Roman"/>
                <w:sz w:val="24"/>
              </w:rPr>
              <w:t>LRV NUTARIMAS 2005 m. sausio 24 d. Nr. 82</w:t>
            </w:r>
          </w:p>
          <w:p w:rsidR="00585AD9" w:rsidRDefault="00585AD9" w:rsidP="004F7425">
            <w:pPr>
              <w:pStyle w:val="HTMLiankstoformatuotas"/>
              <w:rPr>
                <w:rFonts w:ascii="Times New Roman" w:hAnsi="Times New Roman" w:cs="Times New Roman"/>
              </w:rPr>
            </w:pPr>
            <w:r>
              <w:rPr>
                <w:rFonts w:ascii="Times New Roman" w:hAnsi="Times New Roman" w:cs="Times New Roman"/>
              </w:rPr>
              <w:t>http://www.smm.lt/teisine_baze/docs/nutarimai/2005-01-24-82.htm</w:t>
            </w:r>
          </w:p>
          <w:p w:rsidR="00585AD9" w:rsidRDefault="00585AD9" w:rsidP="004F7425">
            <w:pPr>
              <w:pStyle w:val="HTMLiankstoformatuotas"/>
            </w:pPr>
            <w:r>
              <w:t xml:space="preserve">                     </w:t>
            </w:r>
          </w:p>
        </w:tc>
      </w:tr>
      <w:tr w:rsidR="00585AD9" w:rsidTr="004F7425">
        <w:tc>
          <w:tcPr>
            <w:tcW w:w="756" w:type="dxa"/>
          </w:tcPr>
          <w:p w:rsidR="00585AD9" w:rsidRDefault="00585AD9" w:rsidP="004F7425">
            <w:pPr>
              <w:jc w:val="both"/>
            </w:pPr>
            <w:r>
              <w:t xml:space="preserve">6. </w:t>
            </w:r>
          </w:p>
        </w:tc>
        <w:tc>
          <w:tcPr>
            <w:tcW w:w="4032" w:type="dxa"/>
          </w:tcPr>
          <w:p w:rsidR="00585AD9" w:rsidRDefault="00585AD9" w:rsidP="004F7425">
            <w:pPr>
              <w:ind w:left="-36" w:firstLine="36"/>
              <w:jc w:val="both"/>
            </w:pPr>
            <w:r>
              <w:t xml:space="preserve">Vaikų ir jaunimo rengimo šeimai programų rengimo metodinės rekomendacijos </w:t>
            </w:r>
          </w:p>
        </w:tc>
        <w:tc>
          <w:tcPr>
            <w:tcW w:w="5066" w:type="dxa"/>
          </w:tcPr>
          <w:p w:rsidR="00585AD9" w:rsidRDefault="00585AD9" w:rsidP="004F7425">
            <w:pPr>
              <w:jc w:val="both"/>
            </w:pPr>
            <w:r>
              <w:t xml:space="preserve">LR ŠMM 2006 vasario 14 d. ĮSAK-261 </w:t>
            </w:r>
          </w:p>
        </w:tc>
      </w:tr>
      <w:tr w:rsidR="00585AD9" w:rsidTr="004F7425">
        <w:tc>
          <w:tcPr>
            <w:tcW w:w="756" w:type="dxa"/>
          </w:tcPr>
          <w:p w:rsidR="00585AD9" w:rsidRDefault="00585AD9" w:rsidP="004F7425">
            <w:pPr>
              <w:jc w:val="both"/>
            </w:pPr>
            <w:r>
              <w:t xml:space="preserve">7. </w:t>
            </w:r>
          </w:p>
        </w:tc>
        <w:tc>
          <w:tcPr>
            <w:tcW w:w="4032" w:type="dxa"/>
          </w:tcPr>
          <w:p w:rsidR="00585AD9" w:rsidRDefault="00585AD9" w:rsidP="004F7425">
            <w:pPr>
              <w:ind w:left="-36" w:firstLine="36"/>
              <w:jc w:val="both"/>
            </w:pPr>
            <w:r>
              <w:t>Vaiko gerovės valstybės politikos koncepcija</w:t>
            </w:r>
          </w:p>
        </w:tc>
        <w:tc>
          <w:tcPr>
            <w:tcW w:w="5066" w:type="dxa"/>
          </w:tcPr>
          <w:p w:rsidR="00585AD9" w:rsidRDefault="00585AD9" w:rsidP="004F7425">
            <w:pPr>
              <w:jc w:val="both"/>
            </w:pPr>
            <w:r>
              <w:rPr>
                <w:szCs w:val="15"/>
              </w:rPr>
              <w:t>Žin., 2003 05 30, Nr. 52-2316 </w:t>
            </w:r>
          </w:p>
        </w:tc>
      </w:tr>
      <w:tr w:rsidR="00585AD9" w:rsidTr="004F7425">
        <w:trPr>
          <w:trHeight w:val="540"/>
        </w:trPr>
        <w:tc>
          <w:tcPr>
            <w:tcW w:w="756" w:type="dxa"/>
          </w:tcPr>
          <w:p w:rsidR="00585AD9" w:rsidRDefault="00585AD9" w:rsidP="004F7425">
            <w:pPr>
              <w:jc w:val="both"/>
            </w:pPr>
            <w:r>
              <w:t>8.</w:t>
            </w:r>
          </w:p>
        </w:tc>
        <w:tc>
          <w:tcPr>
            <w:tcW w:w="4032" w:type="dxa"/>
          </w:tcPr>
          <w:p w:rsidR="00585AD9" w:rsidRDefault="00585AD9" w:rsidP="004F7425">
            <w:pPr>
              <w:ind w:left="-36" w:firstLine="36"/>
              <w:jc w:val="both"/>
            </w:pPr>
            <w:r>
              <w:t xml:space="preserve">LR Nepilnamečių apsaugos nuo neigiamo viešosios informacijos poveikio įstatymas </w:t>
            </w:r>
          </w:p>
        </w:tc>
        <w:tc>
          <w:tcPr>
            <w:tcW w:w="5066" w:type="dxa"/>
          </w:tcPr>
          <w:p w:rsidR="00585AD9" w:rsidRDefault="00585AD9" w:rsidP="004F7425">
            <w:r>
              <w:rPr>
                <w:rStyle w:val="datametai"/>
                <w:rFonts w:eastAsiaTheme="majorEastAsia"/>
                <w:szCs w:val="22"/>
              </w:rPr>
              <w:t>2002</w:t>
            </w:r>
            <w:r>
              <w:t xml:space="preserve"> m. </w:t>
            </w:r>
            <w:r>
              <w:rPr>
                <w:rStyle w:val="datamnuo"/>
                <w:rFonts w:eastAsiaTheme="majorEastAsia"/>
                <w:szCs w:val="22"/>
              </w:rPr>
              <w:t xml:space="preserve">rugsėjo </w:t>
            </w:r>
            <w:r>
              <w:rPr>
                <w:rStyle w:val="datadiena"/>
                <w:rFonts w:eastAsiaTheme="majorEastAsia"/>
                <w:szCs w:val="22"/>
              </w:rPr>
              <w:t>10</w:t>
            </w:r>
            <w:r>
              <w:t xml:space="preserve"> d. Nr. </w:t>
            </w:r>
            <w:r>
              <w:rPr>
                <w:rStyle w:val="statymonr"/>
                <w:rFonts w:eastAsiaTheme="majorEastAsia"/>
                <w:szCs w:val="22"/>
              </w:rPr>
              <w:t>IX-1067</w:t>
            </w:r>
          </w:p>
          <w:p w:rsidR="00585AD9" w:rsidRDefault="00585AD9" w:rsidP="004F7425">
            <w:r>
              <w:rPr>
                <w:szCs w:val="15"/>
              </w:rPr>
              <w:t>Žin. , 2002 09 18, Nr. 91-3890  </w:t>
            </w:r>
            <w:r>
              <w:t xml:space="preserve"> </w:t>
            </w:r>
          </w:p>
        </w:tc>
      </w:tr>
      <w:tr w:rsidR="00585AD9" w:rsidTr="004F7425">
        <w:trPr>
          <w:trHeight w:val="540"/>
        </w:trPr>
        <w:tc>
          <w:tcPr>
            <w:tcW w:w="756" w:type="dxa"/>
          </w:tcPr>
          <w:p w:rsidR="00585AD9" w:rsidRDefault="00585AD9" w:rsidP="004F7425">
            <w:pPr>
              <w:jc w:val="both"/>
            </w:pPr>
            <w:r>
              <w:t xml:space="preserve">9. </w:t>
            </w:r>
          </w:p>
        </w:tc>
        <w:tc>
          <w:tcPr>
            <w:tcW w:w="4032" w:type="dxa"/>
          </w:tcPr>
          <w:p w:rsidR="00585AD9" w:rsidRDefault="00585AD9" w:rsidP="004F7425">
            <w:pPr>
              <w:ind w:left="-36" w:firstLine="36"/>
              <w:jc w:val="both"/>
            </w:pPr>
            <w:r>
              <w:t>Bendraamžių švietimas. Vienas iš būdų skatinti sveiką jaunų žmonių gyvenseną</w:t>
            </w:r>
          </w:p>
        </w:tc>
        <w:tc>
          <w:tcPr>
            <w:tcW w:w="5066" w:type="dxa"/>
          </w:tcPr>
          <w:p w:rsidR="00585AD9" w:rsidRDefault="00585AD9" w:rsidP="004F7425">
            <w:pPr>
              <w:jc w:val="both"/>
            </w:pPr>
            <w:r>
              <w:t>VVSPT, 2006</w:t>
            </w:r>
          </w:p>
        </w:tc>
      </w:tr>
      <w:tr w:rsidR="00585AD9" w:rsidTr="004F7425">
        <w:trPr>
          <w:trHeight w:val="308"/>
        </w:trPr>
        <w:tc>
          <w:tcPr>
            <w:tcW w:w="756" w:type="dxa"/>
          </w:tcPr>
          <w:p w:rsidR="00585AD9" w:rsidRDefault="00585AD9" w:rsidP="004F7425">
            <w:pPr>
              <w:jc w:val="both"/>
            </w:pPr>
            <w:r>
              <w:t>10.</w:t>
            </w:r>
          </w:p>
        </w:tc>
        <w:tc>
          <w:tcPr>
            <w:tcW w:w="4032" w:type="dxa"/>
          </w:tcPr>
          <w:p w:rsidR="00585AD9" w:rsidRDefault="00585AD9" w:rsidP="004F7425">
            <w:pPr>
              <w:ind w:left="-36" w:firstLine="36"/>
              <w:jc w:val="both"/>
            </w:pPr>
            <w:r>
              <w:t xml:space="preserve">Bendraamžių švietimo vadovų mokymo vadovėlis </w:t>
            </w:r>
          </w:p>
        </w:tc>
        <w:tc>
          <w:tcPr>
            <w:tcW w:w="5066" w:type="dxa"/>
          </w:tcPr>
          <w:p w:rsidR="00585AD9" w:rsidRDefault="00585AD9" w:rsidP="004F7425">
            <w:pPr>
              <w:jc w:val="both"/>
            </w:pPr>
            <w:r>
              <w:t>SAM,  VVSPT, JTVP, 2006</w:t>
            </w:r>
          </w:p>
        </w:tc>
      </w:tr>
      <w:tr w:rsidR="00585AD9" w:rsidTr="004F7425">
        <w:trPr>
          <w:trHeight w:val="232"/>
        </w:trPr>
        <w:tc>
          <w:tcPr>
            <w:tcW w:w="756" w:type="dxa"/>
          </w:tcPr>
          <w:p w:rsidR="00585AD9" w:rsidRDefault="00585AD9" w:rsidP="004F7425">
            <w:pPr>
              <w:jc w:val="both"/>
            </w:pPr>
            <w:r>
              <w:t>11.</w:t>
            </w:r>
          </w:p>
        </w:tc>
        <w:tc>
          <w:tcPr>
            <w:tcW w:w="4032" w:type="dxa"/>
          </w:tcPr>
          <w:p w:rsidR="00585AD9" w:rsidRDefault="00585AD9" w:rsidP="004F7425">
            <w:pPr>
              <w:ind w:left="-36" w:firstLine="36"/>
              <w:jc w:val="both"/>
            </w:pPr>
            <w:r>
              <w:t>Bendraamžių švietėjų knyga. Jaunimo sveikata</w:t>
            </w:r>
          </w:p>
        </w:tc>
        <w:tc>
          <w:tcPr>
            <w:tcW w:w="5066" w:type="dxa"/>
          </w:tcPr>
          <w:p w:rsidR="00585AD9" w:rsidRDefault="00585AD9" w:rsidP="004F7425">
            <w:pPr>
              <w:jc w:val="both"/>
            </w:pPr>
            <w:r>
              <w:t>VVSPT, 2005</w:t>
            </w:r>
          </w:p>
        </w:tc>
      </w:tr>
      <w:tr w:rsidR="00585AD9" w:rsidTr="004F7425">
        <w:trPr>
          <w:trHeight w:val="463"/>
        </w:trPr>
        <w:tc>
          <w:tcPr>
            <w:tcW w:w="756" w:type="dxa"/>
          </w:tcPr>
          <w:p w:rsidR="00585AD9" w:rsidRDefault="00585AD9" w:rsidP="004F7425">
            <w:pPr>
              <w:jc w:val="both"/>
            </w:pPr>
            <w:r>
              <w:lastRenderedPageBreak/>
              <w:t>12.</w:t>
            </w:r>
          </w:p>
        </w:tc>
        <w:tc>
          <w:tcPr>
            <w:tcW w:w="4032" w:type="dxa"/>
          </w:tcPr>
          <w:p w:rsidR="00585AD9" w:rsidRDefault="00585AD9" w:rsidP="004F7425">
            <w:pPr>
              <w:ind w:left="-36" w:firstLine="36"/>
              <w:jc w:val="both"/>
            </w:pPr>
            <w:r>
              <w:t xml:space="preserve">JT Vaiko teisių konvencija </w:t>
            </w:r>
          </w:p>
        </w:tc>
        <w:tc>
          <w:tcPr>
            <w:tcW w:w="5066" w:type="dxa"/>
          </w:tcPr>
          <w:p w:rsidR="00585AD9" w:rsidRDefault="00585AD9" w:rsidP="004F7425">
            <w:pPr>
              <w:pStyle w:val="Antrat1"/>
              <w:rPr>
                <w:i/>
                <w:iCs/>
              </w:rPr>
            </w:pPr>
            <w:r>
              <w:rPr>
                <w:i/>
                <w:iCs/>
              </w:rPr>
              <w:t>Žin., 1995 07 21, Nr. 60-1501 </w:t>
            </w:r>
          </w:p>
        </w:tc>
      </w:tr>
    </w:tbl>
    <w:p w:rsidR="00585AD9" w:rsidRDefault="00585AD9" w:rsidP="00585AD9">
      <w:pPr>
        <w:jc w:val="both"/>
      </w:pPr>
    </w:p>
    <w:p w:rsidR="00585AD9" w:rsidRDefault="00585AD9" w:rsidP="00585AD9">
      <w:pPr>
        <w:ind w:firstLine="720"/>
      </w:pPr>
      <w:r>
        <w:t xml:space="preserve">konstatuoja,  jog: </w:t>
      </w:r>
    </w:p>
    <w:p w:rsidR="00585AD9" w:rsidRDefault="00585AD9" w:rsidP="00585AD9">
      <w:pPr>
        <w:ind w:firstLine="424"/>
        <w:jc w:val="both"/>
      </w:pPr>
      <w:r>
        <w:t xml:space="preserve">I. JT vystymosi programa „Parama veiksmingam ir koordinuotam jaunų žmonių sveikatos ir raidos stiprinimui Lietuvoje“ grindžiama  daline (biologine) žmogaus samprata. Tai atsispindi programos mokymo turinyje: </w:t>
      </w:r>
    </w:p>
    <w:p w:rsidR="00585AD9" w:rsidRDefault="00585AD9" w:rsidP="00DD08F5">
      <w:pPr>
        <w:numPr>
          <w:ilvl w:val="0"/>
          <w:numId w:val="19"/>
        </w:numPr>
        <w:jc w:val="both"/>
      </w:pPr>
      <w:r>
        <w:t xml:space="preserve">apibūdinant asmens lytinę sistemą ir sveikatą vartojamas reprodukcinės sistemos ir reprodukcinės sveikatos terminas. </w:t>
      </w:r>
      <w:r>
        <w:rPr>
          <w:iCs/>
        </w:rPr>
        <w:t>Dabartin</w:t>
      </w:r>
      <w:r>
        <w:rPr>
          <w:rFonts w:eastAsia="MS Mincho"/>
          <w:iCs/>
        </w:rPr>
        <w:t>iame</w:t>
      </w:r>
      <w:r>
        <w:rPr>
          <w:iCs/>
        </w:rPr>
        <w:t xml:space="preserve"> lietuvi</w:t>
      </w:r>
      <w:r>
        <w:rPr>
          <w:rFonts w:eastAsia="MS Mincho"/>
          <w:iCs/>
        </w:rPr>
        <w:t xml:space="preserve">ų </w:t>
      </w:r>
      <w:r>
        <w:rPr>
          <w:iCs/>
        </w:rPr>
        <w:t xml:space="preserve">kalbos </w:t>
      </w:r>
      <w:r>
        <w:rPr>
          <w:rFonts w:eastAsia="MS Mincho"/>
          <w:iCs/>
        </w:rPr>
        <w:t>ž</w:t>
      </w:r>
      <w:r>
        <w:rPr>
          <w:iCs/>
        </w:rPr>
        <w:t xml:space="preserve">odyne pateikiamos trys žodžio „reprodukcija“ reikšmės, atspindinčios jo vartojimą technikoje ir zoologijoje: „a) </w:t>
      </w:r>
      <w:r>
        <w:rPr>
          <w:rFonts w:hint="eastAsia"/>
        </w:rPr>
        <w:t>spausdintin</w:t>
      </w:r>
      <w:r>
        <w:rPr>
          <w:rFonts w:ascii="MS Mincho" w:eastAsia="MS Mincho" w:hAnsi="MS Mincho" w:cs="MS Mincho"/>
        </w:rPr>
        <w:t xml:space="preserve">ė </w:t>
      </w:r>
      <w:r>
        <w:rPr>
          <w:rFonts w:hint="eastAsia"/>
        </w:rPr>
        <w:t>paveikslo kopija</w:t>
      </w:r>
      <w:r>
        <w:t xml:space="preserve"> (tech.); b)</w:t>
      </w:r>
      <w:r>
        <w:rPr>
          <w:rFonts w:hint="eastAsia"/>
        </w:rPr>
        <w:t xml:space="preserve"> nuolatinis gamybos atnaujinimas</w:t>
      </w:r>
      <w:r>
        <w:t xml:space="preserve"> (tech.); c)</w:t>
      </w:r>
      <w:r>
        <w:rPr>
          <w:rFonts w:hint="eastAsia"/>
        </w:rPr>
        <w:t xml:space="preserve"> dauginimas, veisimas</w:t>
      </w:r>
      <w:r>
        <w:t xml:space="preserve"> (zool.)</w:t>
      </w:r>
      <w:r>
        <w:rPr>
          <w:rFonts w:hint="eastAsia"/>
        </w:rPr>
        <w:t xml:space="preserve"> </w:t>
      </w:r>
      <w:r>
        <w:t>(</w:t>
      </w:r>
      <w:r>
        <w:rPr>
          <w:i/>
          <w:iCs/>
        </w:rPr>
        <w:t>Dabartin</w:t>
      </w:r>
      <w:r>
        <w:rPr>
          <w:rFonts w:eastAsia="MS Mincho"/>
          <w:i/>
          <w:iCs/>
        </w:rPr>
        <w:t>ė</w:t>
      </w:r>
      <w:r>
        <w:rPr>
          <w:i/>
          <w:iCs/>
        </w:rPr>
        <w:t>s lietuvi</w:t>
      </w:r>
      <w:r>
        <w:rPr>
          <w:rFonts w:eastAsia="MS Mincho"/>
          <w:i/>
          <w:iCs/>
        </w:rPr>
        <w:t>ų</w:t>
      </w:r>
      <w:r>
        <w:rPr>
          <w:i/>
          <w:iCs/>
        </w:rPr>
        <w:t xml:space="preserve"> kalbos </w:t>
      </w:r>
      <w:r>
        <w:rPr>
          <w:rFonts w:eastAsia="MS Mincho"/>
          <w:i/>
          <w:iCs/>
        </w:rPr>
        <w:t>ž</w:t>
      </w:r>
      <w:r>
        <w:rPr>
          <w:i/>
          <w:iCs/>
        </w:rPr>
        <w:t>odynas, 2000, p. 654</w:t>
      </w:r>
      <w:r>
        <w:t>)</w:t>
      </w:r>
      <w:r>
        <w:rPr>
          <w:i/>
          <w:iCs/>
        </w:rPr>
        <w:t>;</w:t>
      </w:r>
    </w:p>
    <w:p w:rsidR="00585AD9" w:rsidRDefault="00585AD9" w:rsidP="00DD08F5">
      <w:pPr>
        <w:numPr>
          <w:ilvl w:val="0"/>
          <w:numId w:val="19"/>
        </w:numPr>
        <w:jc w:val="both"/>
      </w:pPr>
      <w:r>
        <w:t>pateikiama redukuota žmogaus lyties samprata, pav.: „Lytis – fizinės savybės, kurios skiria vyrą nuo moters. Tai lytiniai organai, gebėjimas gimdyti, organizme dominuojančių hormonų tipai” (</w:t>
      </w:r>
      <w:r>
        <w:rPr>
          <w:b/>
          <w:bCs/>
        </w:rPr>
        <w:t>11</w:t>
      </w:r>
      <w:r>
        <w:t>, p. 52);  „paaiškinkite, kad lytys yra susijusios su biologija ir genetika, o socialinė lytis su socialinėmis ar kultūrinėmis nuostatomis“ (</w:t>
      </w:r>
      <w:r>
        <w:rPr>
          <w:b/>
          <w:bCs/>
        </w:rPr>
        <w:t>11</w:t>
      </w:r>
      <w:r>
        <w:t>, p. 56); „lyties sąvoka apibūdinami fiziologiniai požymiai, kurie identifikuoja asmenį kaip vyrą ar kaip moterį pagal lytinių organų tipą (varpą, sėklides, makštis, gimda, krūtys), kūne cirkuliuojančių dominuojančių hormonų tipą (estrogenai, testosteronai; sugebėjimą gaminti spermą ar kiaušinėlius, galimybę gimdyti ir krūtimi maitinti vaikus“ (</w:t>
      </w:r>
      <w:r>
        <w:rPr>
          <w:b/>
          <w:bCs/>
        </w:rPr>
        <w:t>10</w:t>
      </w:r>
      <w:r>
        <w:t xml:space="preserve">, p. 174). </w:t>
      </w:r>
    </w:p>
    <w:p w:rsidR="00585AD9" w:rsidRDefault="00585AD9" w:rsidP="00DD08F5">
      <w:pPr>
        <w:numPr>
          <w:ilvl w:val="0"/>
          <w:numId w:val="19"/>
        </w:numPr>
        <w:jc w:val="both"/>
      </w:pPr>
      <w:r>
        <w:t>Lytiškumas tapatinamas su seksualumu t.y. lytinio potraukio išraiška. Pav., apibūdinant lytiškumą pateikiami sąvokų „vojerizmas, incestas, impotentas, libido, orgazmas, transvestitas, ekshibicionistas, seksologas“ (</w:t>
      </w:r>
      <w:r>
        <w:rPr>
          <w:b/>
          <w:bCs/>
        </w:rPr>
        <w:t>11,</w:t>
      </w:r>
      <w:r>
        <w:t xml:space="preserve"> p. 84) ar „pedofilija, erogeninės zonos, transseksualus, frigidiškas, masturbacija“ </w:t>
      </w:r>
      <w:r>
        <w:rPr>
          <w:b/>
          <w:bCs/>
        </w:rPr>
        <w:t xml:space="preserve">(11, p. </w:t>
      </w:r>
      <w:r>
        <w:t>93</w:t>
      </w:r>
      <w:r>
        <w:rPr>
          <w:b/>
          <w:bCs/>
        </w:rPr>
        <w:t>)</w:t>
      </w:r>
      <w:r>
        <w:t xml:space="preserve">  paaiškinimai.  Lytiškumo temoje dažniausiai pateikiama tik viena lytiškumo dimensija – lytinė orientacija. </w:t>
      </w:r>
    </w:p>
    <w:p w:rsidR="00585AD9" w:rsidRDefault="00585AD9" w:rsidP="00DD08F5">
      <w:pPr>
        <w:numPr>
          <w:ilvl w:val="0"/>
          <w:numId w:val="19"/>
        </w:numPr>
        <w:jc w:val="both"/>
      </w:pPr>
      <w:r>
        <w:t>Programos mokymo turinyje pateikiami žmogaus anatomijos faktai, tačiau labai menkai atspindėti ar visai nepateiktos žinios apie žmogaus lytinės sistemos fiziologiją ir ypač apie lytinės sistemos darnaus funkcionavimo priklausomybę nuo smegenų lytinių hormonų veiklos, t.y. tokia žinių visuma, kuri leistų paaugliui suvokti kaip funkcionuoja lytiniai organai, kokia jų paskirtis ir kokia priklausomybė nuo aukštesniųjų organizmo struktūrų, ir kaip lytinės sistemos darni veikla susijusi su asmens psichinėmis reakcijomis: savijauta, emocijomis ir pan. Nors Programos vienas iš tikslų yra suteikti paaugliui daugiau žinių apie save, tačiau šis tikslas nerealizuojamas Programos mokymo turinyje.</w:t>
      </w:r>
    </w:p>
    <w:p w:rsidR="00585AD9" w:rsidRDefault="00585AD9" w:rsidP="00DD08F5">
      <w:pPr>
        <w:numPr>
          <w:ilvl w:val="0"/>
          <w:numId w:val="19"/>
        </w:numPr>
        <w:jc w:val="both"/>
      </w:pPr>
      <w:r>
        <w:t>Neigiama nuostata nėštumo atžvilgiu ir jo tapatinimas su lytiškai plintančiomis infekcijomis.</w:t>
      </w:r>
    </w:p>
    <w:p w:rsidR="00585AD9" w:rsidRDefault="00585AD9" w:rsidP="00585AD9">
      <w:pPr>
        <w:ind w:left="64"/>
        <w:jc w:val="both"/>
      </w:pPr>
    </w:p>
    <w:p w:rsidR="00585AD9" w:rsidRDefault="00585AD9" w:rsidP="00585AD9">
      <w:pPr>
        <w:ind w:left="64" w:firstLine="360"/>
        <w:jc w:val="both"/>
      </w:pPr>
      <w:r>
        <w:t>Tai leidžia teigti, jog minima Programa nedera su Valstybinės švietimo strategijos 2003 -2012 metų nuostatomis, kurios grindžiamos Lietuvos švietimo koncepcijos principais ir kurios yra įtvirtintos LR švietimo įstatyme (</w:t>
      </w:r>
      <w:r>
        <w:rPr>
          <w:b/>
          <w:bCs/>
        </w:rPr>
        <w:t>5</w:t>
      </w:r>
      <w:r>
        <w:t>, 6,1),  jog švietimas grindžiamas žmogaus nelygstama verte, (</w:t>
      </w:r>
      <w:r>
        <w:rPr>
          <w:b/>
          <w:bCs/>
        </w:rPr>
        <w:t>4</w:t>
      </w:r>
      <w:r>
        <w:t>, Preambulė). Taip pat nedera su LR ŠMM „Vaikų ir jaunimo rengimo šeimai programų rengimo metodinėmis rekomendacijomis, kuriose nurodomas vienas iš pagrindinių programos principų turi būti holistiškumo (visybiškumo principas) „Žmogaus lytiškumas turi būti aiškinamas apimant biologinius, psichologinius, sociokultūrinius ir dvasinius aspektus“ (</w:t>
      </w:r>
      <w:r>
        <w:rPr>
          <w:b/>
          <w:bCs/>
        </w:rPr>
        <w:t>6</w:t>
      </w:r>
      <w:r>
        <w:t xml:space="preserve">, 4.4.) </w:t>
      </w:r>
    </w:p>
    <w:p w:rsidR="00585AD9" w:rsidRDefault="00585AD9" w:rsidP="00585AD9">
      <w:pPr>
        <w:ind w:firstLine="64"/>
        <w:jc w:val="both"/>
      </w:pPr>
      <w:r>
        <w:t xml:space="preserve">      2. </w:t>
      </w:r>
      <w:r>
        <w:rPr>
          <w:b/>
          <w:bCs/>
        </w:rPr>
        <w:t>Programoje pateikta dalinė ar klaidinanti informacija</w:t>
      </w:r>
      <w:r>
        <w:t xml:space="preserve">, kuri gali sudaryti prielaidas ugdytis neteisingoms jaunimo nuostatoms savo kūno ir lytinės tapatybės atžvilgiu, bei apsunkinti sveikatai palankių sprendimų priėmimą. Tai teigiama ir pačios Programos mokymo priemonėse: „Neturint informacijos labai sunku priimti gerą sprendimą </w:t>
      </w:r>
      <w:r>
        <w:rPr>
          <w:b/>
          <w:bCs/>
        </w:rPr>
        <w:t>(11</w:t>
      </w:r>
      <w:r>
        <w:t>, 66):</w:t>
      </w:r>
    </w:p>
    <w:p w:rsidR="00585AD9" w:rsidRDefault="00585AD9" w:rsidP="00DD08F5">
      <w:pPr>
        <w:numPr>
          <w:ilvl w:val="0"/>
          <w:numId w:val="20"/>
        </w:numPr>
        <w:tabs>
          <w:tab w:val="left" w:pos="11340"/>
        </w:tabs>
        <w:ind w:left="419" w:right="-130" w:hanging="357"/>
        <w:jc w:val="both"/>
      </w:pPr>
      <w:r>
        <w:t xml:space="preserve">Nepateikiamas hormoninių kontraceptikų šalutinis poveikis ir jo vartojimo kontraindikacijos, kurios kai kuriais atvejais gali būti mirtinai pavojingos (tromboembolijos rizika, </w:t>
      </w:r>
      <w:r>
        <w:rPr>
          <w:i/>
          <w:iCs/>
        </w:rPr>
        <w:t>Grootheest K, Vrieling T. (2003). Thromboembolism associated with the new contraceptive Yasmin.</w:t>
      </w:r>
      <w:r>
        <w:rPr>
          <w:rFonts w:ascii="Arial" w:hAnsi="Arial" w:cs="Arial"/>
          <w:i/>
          <w:iCs/>
          <w:sz w:val="20"/>
          <w:szCs w:val="20"/>
        </w:rPr>
        <w:t xml:space="preserve">. </w:t>
      </w:r>
      <w:r>
        <w:rPr>
          <w:i/>
          <w:iCs/>
        </w:rPr>
        <w:t xml:space="preserve">BMJ, vol. 326 p. 257). </w:t>
      </w:r>
      <w:r>
        <w:t xml:space="preserve">Teigiama, jog  „hormonai tai – medžiagos, kuriuos kontroliuoja įvairias organizmo organų funkcijas. Šiuo atveju kontraceptinės tabletės kontroliuoja procesus kiaušidėse ir gimdoje“ (11, p. 213). Hormoniniai kontraceptikai sustabdo natūralių hormonų biosintezę. Įvertinant tai, kad nėra pateikti natūralūs fiziologiniai moters ciklo pokyčiai ir jų svarba tiek fizinei, tiek psichinei mergaitės brandai, šios informacijos nutylėjimą galima vertinti kaip pavojingą vaiko sveikatai. </w:t>
      </w:r>
    </w:p>
    <w:p w:rsidR="00585AD9" w:rsidRDefault="00585AD9" w:rsidP="00DD08F5">
      <w:pPr>
        <w:numPr>
          <w:ilvl w:val="0"/>
          <w:numId w:val="20"/>
        </w:numPr>
        <w:tabs>
          <w:tab w:val="left" w:pos="11340"/>
        </w:tabs>
        <w:ind w:left="419" w:right="-130" w:hanging="357"/>
        <w:jc w:val="both"/>
      </w:pPr>
      <w:r>
        <w:lastRenderedPageBreak/>
        <w:t xml:space="preserve">Kalbant apie ankstyvų lytinių santykių nepageidaujamas pasekmes, nutylimos ilgalaikės pasekmės </w:t>
      </w:r>
      <w:bookmarkStart w:id="3" w:name="_Hlk121968754"/>
      <w:r>
        <w:t>vaiko psichinei sveikatai ir asmenybės brandai</w:t>
      </w:r>
      <w:r>
        <w:rPr>
          <w:b/>
          <w:bCs/>
        </w:rPr>
        <w:t xml:space="preserve">. </w:t>
      </w:r>
      <w:r>
        <w:t>Tyrimai ir ilgalaikė pedagoginė patirtis įrodė, kad</w:t>
      </w:r>
      <w:r>
        <w:rPr>
          <w:b/>
          <w:bCs/>
        </w:rPr>
        <w:t xml:space="preserve"> </w:t>
      </w:r>
      <w:r>
        <w:t xml:space="preserve">ankstyvi lytiniai santykiai labai pablogina paauglių emocinę būseną. Ankstyvas lytinis gyvenimas juos artina prie depresijos ir net savižudybės. Pav., mokslinėje literatūroje pateikiami tyrimai, kurių rezultatų duomenimis tiriamojoje lytiškai aktyvių paauglių mergaičių grupėje ketino nusižudyti 14,3 proc. o neturėjusių lytinių santykių – 5,1 proc. Atitinkamai seksualiai aktyvių berniukų grupėje ketino nusižudyti 6 proc. ir tik 0,7 proc. lytiškai neaktyvių paauglių. </w:t>
      </w:r>
      <w:r>
        <w:rPr>
          <w:i/>
          <w:iCs/>
        </w:rPr>
        <w:t xml:space="preserve">(Rector R.E., Johnson K.A. Noyes L.R. Sexualy Active Teenagers are more Likely to be depressed and to attempt suiside. A report of The Heritage Center For data Analysis. The Heritage Foundation. Washington, June 2, 2003.) </w:t>
      </w:r>
      <w:r>
        <w:t>Depresijos, žemos savivertės ir paauglių lytinio aktyvumo sąsajos buvo nustatytos ir S. Ustilaitės, V. Juškelienės ir A. Petronio</w:t>
      </w:r>
      <w:r>
        <w:rPr>
          <w:color w:val="0000FF"/>
        </w:rPr>
        <w:t xml:space="preserve"> </w:t>
      </w:r>
      <w:r>
        <w:t>atliktame tyrime „Paauglių lytinės elgsenos ir psichoemocinės būsenos sąsaja“, 2006. Tokiame kontekste Programos vadovėliuose pateikiamus teiginius, jog: „</w:t>
      </w:r>
      <w:r>
        <w:rPr>
          <w:u w:val="single"/>
        </w:rPr>
        <w:t>Normalu</w:t>
      </w:r>
      <w:r>
        <w:t xml:space="preserve"> </w:t>
      </w:r>
      <w:r>
        <w:rPr>
          <w:u w:val="single"/>
        </w:rPr>
        <w:t>(</w:t>
      </w:r>
      <w:r>
        <w:rPr>
          <w:i/>
          <w:iCs/>
        </w:rPr>
        <w:t>pabraukta aut.),</w:t>
      </w:r>
      <w:r>
        <w:t xml:space="preserve"> kad paauglystėje žmogus jaučiasi nelaimingas, liūdnas, prislėgtas“ </w:t>
      </w:r>
      <w:r>
        <w:rPr>
          <w:b/>
          <w:bCs/>
        </w:rPr>
        <w:t>(11</w:t>
      </w:r>
      <w:r>
        <w:t>, 33), bei nepaminėjimas lytinio aktyvumo kaip vieno iš galimų savižudybės priežasčių (</w:t>
      </w:r>
      <w:r>
        <w:rPr>
          <w:b/>
          <w:bCs/>
        </w:rPr>
        <w:t>11</w:t>
      </w:r>
      <w:r>
        <w:t xml:space="preserve">, 33-51), galima vertinti kaip pavojingus vaiko sveikatai. </w:t>
      </w:r>
    </w:p>
    <w:p w:rsidR="00585AD9" w:rsidRDefault="00585AD9" w:rsidP="00DD08F5">
      <w:pPr>
        <w:numPr>
          <w:ilvl w:val="0"/>
          <w:numId w:val="20"/>
        </w:numPr>
        <w:tabs>
          <w:tab w:val="left" w:pos="11340"/>
        </w:tabs>
        <w:ind w:left="419" w:right="-130" w:hanging="357"/>
        <w:jc w:val="both"/>
        <w:rPr>
          <w:rFonts w:ascii="Arial" w:hAnsi="Arial" w:cs="Arial"/>
        </w:rPr>
      </w:pPr>
      <w:r>
        <w:t xml:space="preserve">Vadovėliuose neakcentuojama lytinio susivaldymo svarba asmens savivertei </w:t>
      </w:r>
      <w:r>
        <w:rPr>
          <w:b/>
          <w:bCs/>
        </w:rPr>
        <w:t>(11,</w:t>
      </w:r>
      <w:r>
        <w:t xml:space="preserve"> 34), nutylima apie lytinio susivaldymo svarbą asmenybės brandai, todėl leidžia daryti išvadą, jog programa nesiekia sumažinti paauglių lytinio aktyvumo alternatyviomis, pedagogiškai vertingomis veiklos formomis (mokymasis, įvairi pažintinė ir kūrybinė/meninė veikla, sportavimas ir pan.) bei sudaro prielaidas asmenybės fizinio ir dvasinio ugdymosi deformacijoms. </w:t>
      </w:r>
    </w:p>
    <w:p w:rsidR="00585AD9" w:rsidRDefault="00585AD9" w:rsidP="00DD08F5">
      <w:pPr>
        <w:numPr>
          <w:ilvl w:val="0"/>
          <w:numId w:val="20"/>
        </w:numPr>
        <w:tabs>
          <w:tab w:val="left" w:pos="11340"/>
        </w:tabs>
        <w:ind w:left="419" w:right="-130" w:hanging="357"/>
        <w:jc w:val="both"/>
        <w:rPr>
          <w:i/>
          <w:iCs/>
        </w:rPr>
      </w:pPr>
      <w:r>
        <w:t xml:space="preserve"> Programoje diegiama neteisinga ir daugelyje pasaulio šalių kritikuojama „saugaus sekso“ samprata. Įvertinus medicinines, psichologines, pedagogines, socialines ir kultūrines ankstyvų lytinių santykių pasekmes paaugliams moksliniuose darbuose teigiama, jog nei saugaus, nei saugesnio vaikų ar paauglių sekso būti negali </w:t>
      </w:r>
      <w:r>
        <w:rPr>
          <w:rFonts w:eastAsia="MS Mincho"/>
          <w:i/>
          <w:iCs/>
        </w:rPr>
        <w:t>(Širinskienė A.,</w:t>
      </w:r>
      <w:r>
        <w:rPr>
          <w:rFonts w:eastAsia="MS Mincho"/>
          <w:b/>
          <w:bCs/>
          <w:i/>
          <w:iCs/>
        </w:rPr>
        <w:t xml:space="preserve"> </w:t>
      </w:r>
      <w:r>
        <w:rPr>
          <w:rFonts w:eastAsia="MS Mincho"/>
          <w:i/>
          <w:iCs/>
        </w:rPr>
        <w:t>AIDS paaštrintos sveikatos apsaugos problemos ir jų sprendimo etinė-moralinė atsakomybė. Daktaro disertacija : VDU - Kaunas, 2004).</w:t>
      </w:r>
    </w:p>
    <w:p w:rsidR="00585AD9" w:rsidRDefault="00585AD9" w:rsidP="00DD08F5">
      <w:pPr>
        <w:numPr>
          <w:ilvl w:val="0"/>
          <w:numId w:val="20"/>
        </w:numPr>
        <w:tabs>
          <w:tab w:val="left" w:pos="11340"/>
        </w:tabs>
        <w:ind w:left="419" w:right="-130" w:hanging="357"/>
        <w:jc w:val="both"/>
        <w:rPr>
          <w:rFonts w:ascii="TimesNewRomanPSMT" w:hAnsi="TimesNewRomanPSMT"/>
          <w:sz w:val="20"/>
          <w:szCs w:val="20"/>
          <w:lang w:val="en-US"/>
        </w:rPr>
      </w:pPr>
      <w:r>
        <w:t>Programoje per daug sureikšminamas prezervatyvų vaidmuo „saugiam seksui“. Tokie nuolat atsikartojantys teiginiai kaip „Gyvenant lytinį gyvenimą, geriausias būdas apsisaugoti nuo LPL – lytinių santykių metu naudoti prezervatyvą.“ (11, p. 121) „Prezervatyvo naudojimas yra pats geriausias apsisaugojimo būdas jauniems žmonėms, nes apsaugo ir nuo nepageidaujamo nėštumo ir nuo LPL ir nuo ŽIV“ „Prezervatyvas yra pati efektyviausia apsisaugojimo nuo ŽIV priemonė, tačiau ji nesuteikia 100 proc. garantijos“, „...tačiau yra pati efektyviausia priemonė apsauganti nuo LPI/ŽIV, neplanuoto nėštumo“ (</w:t>
      </w:r>
      <w:r>
        <w:rPr>
          <w:b/>
          <w:bCs/>
        </w:rPr>
        <w:t>11,</w:t>
      </w:r>
      <w:r>
        <w:t xml:space="preserve"> p. 96). Netgi vienas iš programos rezultatų poveikio vertinimo kriterijų yra  „ketinimas vartoti prezervatyvus“ (</w:t>
      </w:r>
      <w:r>
        <w:rPr>
          <w:b/>
          <w:bCs/>
        </w:rPr>
        <w:t>10</w:t>
      </w:r>
      <w:r>
        <w:t xml:space="preserve">, p. 170) Remiantis surinktais moksliniais tyrimais turi būti daromos išvados, jog priešingai: prezervatyvai yra „Visuotinai pripažįstamas kaip nepatikima kontraceptinė priemonė. Prezervatyvų vartojimas, sukurdamas tariamo saugumo iliuziją, netgi skatina rizikingą elgseną“ </w:t>
      </w:r>
      <w:r>
        <w:rPr>
          <w:i/>
          <w:iCs/>
        </w:rPr>
        <w:t>( A. Narbekovas ir kt. Prezervatyvų, kaip ŽIV prevencijos priemonės patikimumo problema//Sveikatos mokslai, 2002, Nr. 3P. 23-30)</w:t>
      </w:r>
      <w:r>
        <w:t>.</w:t>
      </w:r>
    </w:p>
    <w:p w:rsidR="00585AD9" w:rsidRDefault="00585AD9" w:rsidP="00DD08F5">
      <w:pPr>
        <w:numPr>
          <w:ilvl w:val="0"/>
          <w:numId w:val="20"/>
        </w:numPr>
        <w:tabs>
          <w:tab w:val="left" w:pos="11340"/>
        </w:tabs>
        <w:ind w:left="419" w:right="-130" w:hanging="357"/>
        <w:jc w:val="both"/>
      </w:pPr>
      <w:r>
        <w:t xml:space="preserve">Pavojingas sveikatai lyčių stereotipų aiškinimas. „Mūsų suvokimą apie socialinę lytį gali paveikti ir technologijos. Pavyzdžiui, praeityje tik moterys galėjo maitinti kūdikį žindydamos jį krūtimi. O šiais laikais vyrai ir moterys gali kūdikius maitinti dirbtiniais mišinėliais“ </w:t>
      </w:r>
      <w:r>
        <w:rPr>
          <w:b/>
          <w:bCs/>
        </w:rPr>
        <w:t>(11</w:t>
      </w:r>
      <w:r>
        <w:t>, p. 53)</w:t>
      </w:r>
      <w:r>
        <w:rPr>
          <w:u w:val="single"/>
        </w:rPr>
        <w:t xml:space="preserve"> </w:t>
      </w:r>
      <w:r>
        <w:t xml:space="preserve">Tiek remiantis PSO (Pasaulinės sveikatos organizacija) nuostatomis, tiek LR Nacionaline Sveikatos programa vienas iš pagrindinių vaikų sveikatos prielaidų – maitinimas motinos pienu, kurio svarba vaiko ir motinos sveikatai turi būti pateikiama mokyklos programose </w:t>
      </w:r>
      <w:r>
        <w:rPr>
          <w:i/>
          <w:iCs/>
        </w:rPr>
        <w:t xml:space="preserve">(Markūnienė E. </w:t>
      </w:r>
      <w:r>
        <w:rPr>
          <w:i/>
          <w:iCs/>
          <w:color w:val="000000"/>
        </w:rPr>
        <w:t>Medicininiai, psichologiniai ir socialiniai žindymo veiksniai. Daktaro disertacija. KMU, 2003</w:t>
      </w:r>
      <w:r>
        <w:rPr>
          <w:color w:val="000000"/>
        </w:rPr>
        <w:t xml:space="preserve"> </w:t>
      </w:r>
      <w:r>
        <w:rPr>
          <w:i/>
          <w:iCs/>
        </w:rPr>
        <w:t xml:space="preserve">). </w:t>
      </w:r>
      <w:r>
        <w:t>Toks aiškinimas taip pat prieštarauja ir Vaikų teisių konvencijos 24 str.</w:t>
      </w:r>
      <w:r>
        <w:rPr>
          <w:szCs w:val="20"/>
          <w:lang w:val="en-US"/>
        </w:rPr>
        <w:t xml:space="preserve"> 2. „</w:t>
      </w:r>
      <w:r>
        <w:rPr>
          <w:szCs w:val="20"/>
        </w:rPr>
        <w:t>Valstybės dalyvės siekia</w:t>
      </w:r>
      <w:r>
        <w:t xml:space="preserve"> </w:t>
      </w:r>
      <w:r>
        <w:rPr>
          <w:szCs w:val="20"/>
        </w:rPr>
        <w:t xml:space="preserve">e) informuoti visus visuomenės sluoksnius, ypač tėvus ir vaikus, apie vaikų sveikatą ir mitybą, maitinimo krūtimi privalumus“. Kitas pavyzdys: </w:t>
      </w:r>
      <w:r>
        <w:t>„Merginos ir vaikinai dažnai girdi, kad lytiniai santykiai merginoms yra neleistini iki santuokos, o vaikinai turi įgyti lytinės patirties prieš vedybas. Tokie įsitikinimai skatina vyrų ir moterų nelygybę“ (</w:t>
      </w:r>
      <w:r>
        <w:rPr>
          <w:b/>
          <w:bCs/>
        </w:rPr>
        <w:t>11,</w:t>
      </w:r>
      <w:r>
        <w:t xml:space="preserve"> p. 91) Šiuo atžvilgiu lygybės neįmanoma pasiekti dėl pagrindinės priežasties: lytiniai santykiai pasekmių atžvilgiu merginoms visada  yra pavojingesni nei vaikinams dėl biologinių jų kūno savitumų.</w:t>
      </w:r>
    </w:p>
    <w:p w:rsidR="00585AD9" w:rsidRDefault="00585AD9" w:rsidP="00DD08F5">
      <w:pPr>
        <w:numPr>
          <w:ilvl w:val="0"/>
          <w:numId w:val="20"/>
        </w:numPr>
        <w:tabs>
          <w:tab w:val="left" w:pos="11340"/>
        </w:tabs>
        <w:ind w:left="419" w:right="-130" w:hanging="357"/>
        <w:jc w:val="both"/>
      </w:pPr>
      <w:r>
        <w:t>Pateikiamas dviprasmiškas interpretacijos požiūriu narkotikų poveikio aprašymas, kuris paaugliams gali pasirodyti patrauklus, ypač vaikams iš socialiniu požiūriu nestabilių šeimų: „Psichoaktyvi medžiaga tai – tokia medžiaga, kurią vartoja žmonės, kad pakeistų savo elgesį, mąstymą ir emocinę būseną“ (</w:t>
      </w:r>
      <w:r>
        <w:rPr>
          <w:b/>
          <w:bCs/>
        </w:rPr>
        <w:t>11</w:t>
      </w:r>
      <w:r>
        <w:t xml:space="preserve">, p. 139). „Nikotinas veikia smegenis ir sukelia atsipalaidavimą, </w:t>
      </w:r>
      <w:r>
        <w:lastRenderedPageBreak/>
        <w:t>sumažina stresą, kelia nuotaiką... Nikotinas pasiekia smegenis vos per septynias sekundes, tai pusė intraveninių narkotikų poveikio laiko“; „Kokaino dėka pasijuntama taip tarsi kūnas būtų pilnas jėgų“. Paneigiant mitą, jog daugiausiai mirčių sukelia du narkotikai:  kokainas ir heroinas, teigiama: „daugiausia mirčių, kurių galima išvengti sukelia tabakas. Alkoholis yra antra po tabako mirčių nuo narkotinių medžiagų priežastis“. Pateikti lakoniški marihuanos ir hašišo, kokaino, heroino, amfetamino  vartojimo būdų aprašymai (</w:t>
      </w:r>
      <w:r>
        <w:rPr>
          <w:b/>
          <w:bCs/>
        </w:rPr>
        <w:t>11,</w:t>
      </w:r>
      <w:r>
        <w:t xml:space="preserve">  p. 222)</w:t>
      </w:r>
    </w:p>
    <w:p w:rsidR="00585AD9" w:rsidRDefault="00585AD9" w:rsidP="00585AD9">
      <w:pPr>
        <w:autoSpaceDE w:val="0"/>
        <w:autoSpaceDN w:val="0"/>
        <w:adjustRightInd w:val="0"/>
        <w:jc w:val="both"/>
      </w:pPr>
    </w:p>
    <w:p w:rsidR="00585AD9" w:rsidRDefault="00585AD9" w:rsidP="00585AD9">
      <w:pPr>
        <w:autoSpaceDE w:val="0"/>
        <w:autoSpaceDN w:val="0"/>
        <w:adjustRightInd w:val="0"/>
        <w:ind w:firstLine="419"/>
        <w:jc w:val="both"/>
        <w:rPr>
          <w:szCs w:val="20"/>
        </w:rPr>
      </w:pPr>
      <w:r>
        <w:t>Aukščiau pateikti teiginiai patvirtina, kad Programa prieštarauja LR Švietimo įstatymo nuostatoms, jog švietimas grindžiamas „pasirinkimo laisvės, dorinės atsakomybės pripažinimu“, jog „siekiama išugdyti kiekvienam jaunuoliui vertybines orientacijas, leidžiančias tapti  doru, siekiančiu žinių, savarankišku, atsakingu, patriotiškai nusiteikusiu žmogumi“,  (</w:t>
      </w:r>
      <w:r>
        <w:rPr>
          <w:b/>
          <w:bCs/>
        </w:rPr>
        <w:t>4</w:t>
      </w:r>
      <w:r>
        <w:t>, 3 str.1), nes pasirinkimo laisvė grindžiama teisingos informacijos disponavimu bei susivaldymo (doros) kultūra. Tai taip pat prieštarauja Vaiko gerovės valstybės politikos koncepcijai teigiančiai, kad</w:t>
      </w:r>
      <w:r>
        <w:rPr>
          <w:sz w:val="20"/>
          <w:szCs w:val="20"/>
        </w:rPr>
        <w:t xml:space="preserve"> </w:t>
      </w:r>
      <w:r>
        <w:rPr>
          <w:szCs w:val="20"/>
        </w:rPr>
        <w:t xml:space="preserve">„Vaikui užtikrinama gera sveikatos priežiūra. Daug dėmesio skiriama vaiko sveikatinimo programoms“ (7, 3.3.26) </w:t>
      </w:r>
      <w:r>
        <w:rPr>
          <w:rFonts w:ascii="Tahoma" w:hAnsi="Tahoma" w:cs="Tahoma"/>
          <w:szCs w:val="20"/>
        </w:rPr>
        <w:t>ir  „</w:t>
      </w:r>
      <w:r>
        <w:t>suteikiančios galimybę gauti kiekvienam vaikui būtinas žinias apie sveikatos išsaugojimą, stiprinimą ir ligų profilaktiką“ (</w:t>
      </w:r>
      <w:r>
        <w:rPr>
          <w:b/>
          <w:bCs/>
        </w:rPr>
        <w:t>7</w:t>
      </w:r>
      <w:r>
        <w:t>, 3.3.26.2.). Vaiko teisių konvencijos 6 str. 2 punktui: „</w:t>
      </w:r>
      <w:r>
        <w:rPr>
          <w:szCs w:val="20"/>
        </w:rPr>
        <w:t xml:space="preserve">Valstybės dalyvės užtikrina didžiausią galimybę vaikui gyventi ir sveikai vystytis”; </w:t>
      </w:r>
      <w:r>
        <w:t xml:space="preserve"> 17 str. </w:t>
      </w:r>
      <w:r>
        <w:rPr>
          <w:rFonts w:ascii="CourierLT" w:hAnsi="CourierLT"/>
        </w:rPr>
        <w:t>e),  kuris teigia, jog „Valstybės dalyvės rūpinasi, kad vaikas galėtų naudotis</w:t>
      </w:r>
      <w:r>
        <w:t xml:space="preserve"> </w:t>
      </w:r>
      <w:r>
        <w:rPr>
          <w:rFonts w:ascii="CourierLT" w:hAnsi="CourierLT"/>
        </w:rPr>
        <w:t>įvairių nacionalinių ir tarptautinių šaltinių informacija ir</w:t>
      </w:r>
      <w:r>
        <w:t xml:space="preserve"> </w:t>
      </w:r>
      <w:r>
        <w:rPr>
          <w:rFonts w:ascii="CourierLT" w:hAnsi="CourierLT"/>
        </w:rPr>
        <w:t>medžiaga, ypač tokia informacija ir medžiaga, kuri prisideda prie</w:t>
      </w:r>
      <w:r>
        <w:t xml:space="preserve"> </w:t>
      </w:r>
      <w:r>
        <w:rPr>
          <w:rFonts w:ascii="CourierLT" w:hAnsi="CourierLT"/>
        </w:rPr>
        <w:t>vaiko socialinės, dvasinės ir dorovinės gerovės ir skatina jo</w:t>
      </w:r>
      <w:r>
        <w:t xml:space="preserve"> </w:t>
      </w:r>
      <w:r>
        <w:rPr>
          <w:rFonts w:ascii="CourierLT" w:hAnsi="CourierLT"/>
        </w:rPr>
        <w:t>fizinį bei psichinį vystymąsi, skatina formuoti principus, padedančius apginti vaiką nuo</w:t>
      </w:r>
      <w:r>
        <w:t xml:space="preserve"> </w:t>
      </w:r>
      <w:r>
        <w:rPr>
          <w:rFonts w:ascii="CourierLT" w:hAnsi="CourierLT"/>
        </w:rPr>
        <w:t>jo gerovei kenkiančios informacijos ir medžiagos</w:t>
      </w:r>
      <w:r>
        <w:t>“</w:t>
      </w:r>
      <w:r>
        <w:rPr>
          <w:rFonts w:ascii="CourierLT" w:hAnsi="CourierLT"/>
        </w:rPr>
        <w:t xml:space="preserve">. Taip pat </w:t>
      </w:r>
      <w:r>
        <w:rPr>
          <w:szCs w:val="20"/>
        </w:rPr>
        <w:t xml:space="preserve">33 straipsniui: „Valstybės dalyvės imasi visų reikiamų priemonių, įskaitant teisines, administracines, socialines ir šviečiamąsias, kad apsaugotų vaikus nuo neteisėto narkotinių priemonių ir psichotropinių medžiagų, vartojimo“. </w:t>
      </w:r>
    </w:p>
    <w:p w:rsidR="00585AD9" w:rsidRDefault="00585AD9" w:rsidP="00585AD9">
      <w:pPr>
        <w:ind w:firstLine="419"/>
        <w:jc w:val="both"/>
      </w:pPr>
      <w:r>
        <w:t xml:space="preserve">3. </w:t>
      </w:r>
      <w:r>
        <w:rPr>
          <w:b/>
          <w:bCs/>
        </w:rPr>
        <w:t>Vartojamos sąvokos, neatitinkančios joms suteikiamos prasmės</w:t>
      </w:r>
      <w:r>
        <w:t xml:space="preserve">. </w:t>
      </w:r>
    </w:p>
    <w:p w:rsidR="00585AD9" w:rsidRDefault="00585AD9" w:rsidP="00585AD9">
      <w:pPr>
        <w:ind w:firstLine="419"/>
        <w:jc w:val="both"/>
      </w:pPr>
      <w:r>
        <w:rPr>
          <w:i/>
          <w:iCs/>
        </w:rPr>
        <w:t>Lytiškumo ugdymo samprata painiojama su lytiniu švietimu</w:t>
      </w:r>
      <w:r>
        <w:t xml:space="preserve">. „Prezervatyvų perdėjimo lenktynių“ metodas, aprašytas Bendraamžių švietimo vadovų mokymo vadovėlyje p. 78 -79 rekomenduojamas „įvairiems lytiškumo ugdymo kursams“. Tuo tarpu pagrindiniai  lytiškumo ugdymo principai yra kūno paklusnumo sielai tradicijos ugdymas, vaizduotės higiena ir ugdytinio drovumo bei gėdos jausmo išsaugojimas. Aprašytame metode grubiai pažeidžiama ir sąvokų vartosena ir minėti principai, taip pat ir perteikiamas turinys neatitinka pedagogikos mokslo grindžiamų vaiko ugdymo/si poreikių. Todėl lytiškumo ugdymo kursams šis metodas negali būti taikomas. Lytiškumo ugdymo  principus pažeidžia ir tame pačiame vadovėlyje pateikiamas kitas metodas (p. 105), kuriame dviems savanoriams siūloma suvaidinti meilės sceną.  </w:t>
      </w:r>
    </w:p>
    <w:p w:rsidR="00585AD9" w:rsidRDefault="00585AD9" w:rsidP="00585AD9">
      <w:pPr>
        <w:ind w:firstLine="419"/>
        <w:jc w:val="both"/>
      </w:pPr>
      <w:r>
        <w:t xml:space="preserve">Kūno paklusnumo sielai tradicijos ugdymo, vaizduotės higienos ir gėdos bei drovumo išsaugojimo principams prieštarauja ir pateikiami lytinių organų piešiniai (11, p. 32).  Čia dar kartą norime atkreipti dėmesį, kad kalbame apie vaikus ir paauglius, kurie randasi intensyvioje ir todėl labai lengvai pažeidžiamoje asmenybės brendimo stadijoje bei mergaičių ir berniukų tarpusavio santykių struktūrų susidarymo etapą, kurie po to juos įtakos visą gyvenimą ir vienokia ar kitokia forma bus perkeliami į kitas kartas. </w:t>
      </w:r>
    </w:p>
    <w:p w:rsidR="00585AD9" w:rsidRDefault="00585AD9" w:rsidP="00585AD9">
      <w:pPr>
        <w:ind w:firstLine="419"/>
        <w:jc w:val="both"/>
      </w:pPr>
      <w:r>
        <w:t xml:space="preserve">Įgyvendinant Programą Klaipėdoje vykusiuose 2006 06 25-07 01 mokymuose buvo pritaikyti „Prezervatyvų perdėjimo lenktynių“ ir  „Negyvenama sala su prezervatyvais“ metodai paauglių grupėje (2, p. 46). Toks mokymo metodas prieštarauja ne tik LR švietimo koncepcijos principams, kuriais grindžiama Valstybinė švietimo strategija, bet ir LR Nepilnamečių apsaugos nuo neigiamo viešosios informacijos poveikio įstatymo  4 str. 1. „Darančią neigiamą poveikį nepilnamečių fiziniam, protiniam ar doroviniam vystymuisi viešoji informacija 3) laikoma erotinio pobūdžio informacija demonstruojant lytinių organų ar seksualinius reikmenis. Metode „Prezervatyvo perdėjimo lenktynės“ rekomenduojama naudoti vyriško lytinio organo modelį, demonstruojamas  prezervatyvų (seksualinis reikmuo) naudojimas  (10, p. 78). </w:t>
      </w:r>
    </w:p>
    <w:p w:rsidR="00585AD9" w:rsidRDefault="00585AD9" w:rsidP="00585AD9">
      <w:pPr>
        <w:ind w:firstLine="419"/>
        <w:jc w:val="both"/>
        <w:rPr>
          <w:i/>
          <w:iCs/>
        </w:rPr>
      </w:pPr>
      <w:r>
        <w:rPr>
          <w:i/>
          <w:iCs/>
        </w:rPr>
        <w:t>Sveikatos sampratos neatitikimas.</w:t>
      </w:r>
      <w:r>
        <w:t xml:space="preserve"> Programa skirta jaunimo sveikatos stiprinimui. Programos turinyje dažnai pasikartoja sąvokos „sveikatą tausojanti“, „sveikatos ugdymas“, „sveikos gyvensenos skatinimas“, tačiau programos turinys ir siūlomi metodai neatitinka sveikatos sampratos. Remiantis PSO pasiūlytais apibrėžimais –  „Lytinė sveikata (angl. </w:t>
      </w:r>
      <w:r>
        <w:rPr>
          <w:i/>
          <w:iCs/>
        </w:rPr>
        <w:t>Sexual health</w:t>
      </w:r>
      <w:r>
        <w:t>) – yra pozityvi fizinių, emocinių, intelektinių ir socialinių lytiškumo aspektų visuma (</w:t>
      </w:r>
      <w:r>
        <w:rPr>
          <w:i/>
          <w:iCs/>
        </w:rPr>
        <w:t>WHO regional strategy on sexual and reproductive health, 2001, p.</w:t>
      </w:r>
      <w:r>
        <w:t xml:space="preserve"> 7).</w:t>
      </w:r>
      <w:r>
        <w:rPr>
          <w:b/>
          <w:bCs/>
        </w:rPr>
        <w:t xml:space="preserve"> </w:t>
      </w:r>
      <w:r>
        <w:t xml:space="preserve">Sveikata –  ne tik ligų ir susirgimų nebuvimas, bet fizinė, psichinė, dvasinė gerovė. Pedogogikos moksle sveikata suprantama kaip kūno ir sielos darna.  Todėl galima </w:t>
      </w:r>
      <w:r>
        <w:lastRenderedPageBreak/>
        <w:t>daryti išvada, kad Programos mokymo turinyje pateikiamos sveikatos tausojimo idėjos nedera su Valstybinės švietimo strategijos nuostata „sudaryti sąlygas mokiniui išsaugoti ir stiprinti sveikatą, užtikrinti nuolatinę jo sveikatos priežiūrą“ (</w:t>
      </w:r>
      <w:r>
        <w:rPr>
          <w:b/>
          <w:bCs/>
        </w:rPr>
        <w:t>3</w:t>
      </w:r>
      <w:r>
        <w:t>, 12).</w:t>
      </w:r>
    </w:p>
    <w:p w:rsidR="00585AD9" w:rsidRDefault="00585AD9" w:rsidP="00585AD9">
      <w:pPr>
        <w:ind w:firstLine="419"/>
        <w:jc w:val="both"/>
      </w:pPr>
      <w:r>
        <w:t xml:space="preserve">4. </w:t>
      </w:r>
      <w:r>
        <w:rPr>
          <w:b/>
          <w:bCs/>
        </w:rPr>
        <w:t>Programos tikslai, turinys, metodai ir švietėjų išsilavinimas neatitinka LR Švietimo tikslams, mokymo turiniui ir metodams.</w:t>
      </w:r>
      <w:r>
        <w:t xml:space="preserve"> </w:t>
      </w:r>
    </w:p>
    <w:p w:rsidR="00585AD9" w:rsidRDefault="00585AD9" w:rsidP="00585AD9">
      <w:pPr>
        <w:ind w:firstLine="419"/>
        <w:jc w:val="both"/>
      </w:pPr>
      <w:r>
        <w:t xml:space="preserve">Remiantis LR Švietimo įstatymu, švietimo sistema apima formalųjį ir neformalųjį švietimą, pagalbą mokiniui (tame tarpe ir sveikatos priežiūrą), pagalbą mokytojui (kvalifikacijos kėlimas) ir savišvietą (4, 6 str.). Tiek formalaus, tiek neformalaus  švietimo ir kitų komponentų ugdymo/mokymosi turinys turi būti grindžiamas pagrindinėmis švietimo nuostatomis ir tikslais (jie pateikti aukščiau) (4, str.4). Programa siekia apimti visus penkis švietimo komponentus: Programos </w:t>
      </w:r>
      <w:r>
        <w:tab/>
        <w:t>1 strateginis komponentas „sveikatos priežiūros specialistų paauglių sveikatos mokymas ir gebėjimų ugdymas jaunimo sveikatos bendraamžių švietimo srityje“ (1, Projekto strateginiai komponentai) – nukreiptas į pagalbą mokiniui ir pagalbą mokytojui, savišvietą ir neformalų švietimą. Mokymai teikti mobilias paslaugas – į formalųjį švietimą (pagalba mokytojui). Programos 2 komponentas „nuoseklios specialistų mokymo apie jaunimo sveikatą sistemos parengimas į formalų švietimą (mokytojų rengimas) ir pagalba mokytojui.  Aukščiau pateiktuose 1, 2 ir 3 punktuose akivaizdūs įrodymai, kad Programa nedera nei su LR švietimo tikslais, nei su švietimo įstatyme apibrėžtomis nuostatomis ugdymo turiniui.  Nedera Programa taip pat ir su mokytojams keliamais reikalavimais. Programoje jaunimo sveikatos ir raidos stiprinimas apima „jaunimo sveikatos bendraamžių švietimą“.  Bendraamžių švietimo principas lytiškai šviesti apmokyti paaugliai (nepilnamečiai) šviečia savo bendraamžius „organizacijose, mokyklose ar sveikatos priežiūros centruose“ (11, 5-6). LR švietimo įstatyme apibrėžta jog mokytoju (tiek formaliame švietime, tiek neformaliame) gali būti „asmuo įgijęs aukštąjį arba aukštesnįjį išsilavinimą, turintis pedagogo kvalifikaciją“ (4, 49 str.). Mokytojas privalo: „ugdyti tvirtas mokinių dorovės, pilietines, tautines bei patriotines nuostatas“.</w:t>
      </w:r>
    </w:p>
    <w:p w:rsidR="00585AD9" w:rsidRDefault="00585AD9" w:rsidP="00585AD9">
      <w:pPr>
        <w:ind w:firstLine="419"/>
        <w:jc w:val="both"/>
      </w:pPr>
      <w:r>
        <w:t xml:space="preserve">Paauglių švietimo paslaugų naudojimas nepilnamečių lytiniam švietimui ir narkotikų vartojimo prevencinėse programose  turėtų būti labai kruopščiai įvertintas pedagoginiu, teisiniu, socialiniu aspektu. Pačiame Programos turinyje įvardinta, jog didžiausias bendraamžių švietimo trūkumas yra tas, kad  „Sunku įvertinti bendraamžių švietimo veiksmingumą, jei bendraamžiai nėra tinkamai išmokyti,  bendraamžių švietimas gali būti netgi žalingas“ (10, p. 44). Įrodymai, kad paaugliams pateikiama jų sveikatos tausojimui ir sprendimų priėmimui netinkama informacija, pateikti aukščiau. </w:t>
      </w:r>
    </w:p>
    <w:p w:rsidR="00585AD9" w:rsidRDefault="00585AD9" w:rsidP="00585AD9">
      <w:pPr>
        <w:ind w:firstLine="419"/>
        <w:jc w:val="both"/>
      </w:pPr>
      <w:r>
        <w:t>Apibendrinus tai, kad Programa nedera su Vaiko teisų konvencija, nedera su LR Švietimo ir valstybinės švietimo strategijos principinėms nuostatoms, nes yra grindžiama daline žmogaus samprata, pateikiama nepilna ar klaidinanti informacija, jaunimo švietimui naudojamasi nepilnamečių ir neturinčių specialaus pedagoginio pasirengimo asmenimis, vartojamos sampratos neatitinkančios savo prasmės ir tai, kad įžvelgiamas siekis Programa apimti visą švietimo erdvę, nors jos tikslai, mokymo turinys, mokymo priemonės ir mokytojams keliami reikalavimai neatitinka LR Švietimo įstatymo nuostatų, teigiame, kad  Programa gali kelti potencialų pavojų vaiko fizinės ir dvasinės sveikatos išsaugojimo nuostatoms iš (si)ugdyti.</w:t>
      </w:r>
    </w:p>
    <w:bookmarkEnd w:id="3"/>
    <w:p w:rsidR="00585AD9" w:rsidRDefault="00585AD9" w:rsidP="00585AD9">
      <w:pPr>
        <w:ind w:firstLine="720"/>
        <w:jc w:val="both"/>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Pagrindiniotekstotrauka"/>
        <w:rPr>
          <w:szCs w:val="24"/>
          <w:lang w:val="lt-LT"/>
        </w:rPr>
      </w:pPr>
    </w:p>
    <w:p w:rsidR="00585AD9" w:rsidRDefault="00585AD9" w:rsidP="00585AD9">
      <w:pPr>
        <w:pStyle w:val="Antrat7"/>
      </w:pPr>
      <w:r>
        <w:t>Bendroji situacijos apžvalga</w:t>
      </w:r>
    </w:p>
    <w:p w:rsidR="00585AD9" w:rsidRDefault="00585AD9" w:rsidP="00585AD9">
      <w:pPr>
        <w:ind w:left="567" w:hanging="567"/>
        <w:jc w:val="center"/>
        <w:rPr>
          <w:b/>
          <w:caps/>
          <w:color w:val="00FF00"/>
        </w:rPr>
      </w:pPr>
    </w:p>
    <w:p w:rsidR="00585AD9" w:rsidRDefault="00585AD9" w:rsidP="00585AD9">
      <w:pPr>
        <w:ind w:firstLine="1304"/>
        <w:jc w:val="both"/>
        <w:rPr>
          <w:color w:val="0000FF"/>
        </w:rPr>
      </w:pPr>
      <w:r>
        <w:rPr>
          <w:noProof/>
          <w:lang w:eastAsia="lt-LT"/>
        </w:rPr>
        <mc:AlternateContent>
          <mc:Choice Requires="wps">
            <w:drawing>
              <wp:anchor distT="0" distB="0" distL="114300" distR="114300" simplePos="0" relativeHeight="251671552" behindDoc="0" locked="0" layoutInCell="0" allowOverlap="1" wp14:anchorId="7811A276" wp14:editId="57927E94">
                <wp:simplePos x="0" y="0"/>
                <wp:positionH relativeFrom="column">
                  <wp:posOffset>0</wp:posOffset>
                </wp:positionH>
                <wp:positionV relativeFrom="paragraph">
                  <wp:posOffset>819150</wp:posOffset>
                </wp:positionV>
                <wp:extent cx="685800" cy="342900"/>
                <wp:effectExtent l="3810" t="0" r="0" b="3810"/>
                <wp:wrapNone/>
                <wp:docPr id="36" name="Teksto laukas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o laukas 36" o:spid="_x0000_s1026" type="#_x0000_t202" style="position:absolute;left:0;text-align:left;margin-left:0;margin-top:64.5pt;width:54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" o:allowincell="f" filled="f" stroked="f">
                <v:textbox>
                  <w:txbxContent>
                    <w:p w:rsidR="004F7425" w:rsidRDefault="004F7425" w:rsidP="00585AD9"/>
                  </w:txbxContent>
                </v:textbox>
              </v:shape>
            </w:pict>
          </mc:Fallback>
        </mc:AlternateContent>
      </w:r>
      <w:r>
        <w:rPr>
          <w:noProof/>
          <w:lang w:eastAsia="lt-LT"/>
        </w:rPr>
        <w:drawing>
          <wp:anchor distT="0" distB="0" distL="114300" distR="114300" simplePos="0" relativeHeight="251668480" behindDoc="1" locked="0" layoutInCell="0" allowOverlap="1" wp14:anchorId="2A0EDB65" wp14:editId="17036D30">
            <wp:simplePos x="0" y="0"/>
            <wp:positionH relativeFrom="column">
              <wp:posOffset>800100</wp:posOffset>
            </wp:positionH>
            <wp:positionV relativeFrom="paragraph">
              <wp:posOffset>1390650</wp:posOffset>
            </wp:positionV>
            <wp:extent cx="5143500" cy="2715260"/>
            <wp:effectExtent l="0" t="0" r="0" b="8890"/>
            <wp:wrapNone/>
            <wp:docPr id="35" name="Paveikslėlis 35" descr="drugd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ugdealing"/>
                    <pic:cNvPicPr>
                      <a:picLocks noChangeAspect="1" noChangeArrowheads="1"/>
                    </pic:cNvPicPr>
                  </pic:nvPicPr>
                  <pic:blipFill>
                    <a:blip r:embed="rId10">
                      <a:lum contrast="-36000"/>
                      <a:extLst>
                        <a:ext uri="{28A0092B-C50C-407E-A947-70E740481C1C}">
                          <a14:useLocalDpi xmlns:a14="http://schemas.microsoft.com/office/drawing/2010/main" val="0"/>
                        </a:ext>
                      </a:extLst>
                    </a:blip>
                    <a:srcRect/>
                    <a:stretch>
                      <a:fillRect/>
                    </a:stretch>
                  </pic:blipFill>
                  <pic:spPr bwMode="auto">
                    <a:xfrm>
                      <a:off x="0" y="0"/>
                      <a:ext cx="5143500" cy="2715260"/>
                    </a:xfrm>
                    <a:prstGeom prst="rect">
                      <a:avLst/>
                    </a:prstGeom>
                    <a:noFill/>
                    <a:ln>
                      <a:noFill/>
                    </a:ln>
                  </pic:spPr>
                </pic:pic>
              </a:graphicData>
            </a:graphic>
            <wp14:sizeRelH relativeFrom="page">
              <wp14:pctWidth>0</wp14:pctWidth>
            </wp14:sizeRelH>
            <wp14:sizeRelV relativeFrom="page">
              <wp14:pctHeight>0</wp14:pctHeight>
            </wp14:sizeRelV>
          </wp:anchor>
        </w:drawing>
      </w:r>
      <w:r>
        <w:t>Lietuvoje 2005 m. užregistruota 1818 nusikalstamų veikų, susijusių su disponavimu narkotinėmis ar psichotropinėmis medžiagomis (toliau – narkotikai) bei jų I kategorijos pirmtakais (prekursoriais)</w:t>
      </w:r>
      <w:r>
        <w:rPr>
          <w:rStyle w:val="Puslapioinaosnuoroda"/>
        </w:rPr>
        <w:footnoteReference w:id="1"/>
      </w:r>
      <w:r>
        <w:t xml:space="preserve">. Priešingai bendrai nusikalstamumo tendencijai, šių veikų skaičius didėja. 2004 metais buvo registruotos  1552 veikos, tai yra 266 veikomis arba 17,1 % mažiau  negu 2005 m.. </w:t>
      </w:r>
    </w:p>
    <w:p w:rsidR="00585AD9" w:rsidRDefault="00585AD9" w:rsidP="00585AD9">
      <w:pPr>
        <w:ind w:firstLine="1304"/>
        <w:jc w:val="both"/>
      </w:pPr>
    </w:p>
    <w:p w:rsidR="00585AD9" w:rsidRDefault="00585AD9" w:rsidP="00585AD9">
      <w:pPr>
        <w:ind w:firstLine="1304"/>
        <w:jc w:val="both"/>
      </w:pPr>
      <w:r>
        <w:rPr>
          <w:noProof/>
          <w:lang w:eastAsia="lt-LT"/>
        </w:rPr>
        <mc:AlternateContent>
          <mc:Choice Requires="wps">
            <w:drawing>
              <wp:anchor distT="0" distB="0" distL="114300" distR="114300" simplePos="0" relativeHeight="251694080" behindDoc="0" locked="0" layoutInCell="1" allowOverlap="1" wp14:anchorId="79808674" wp14:editId="52B2FCF0">
                <wp:simplePos x="0" y="0"/>
                <wp:positionH relativeFrom="column">
                  <wp:posOffset>76200</wp:posOffset>
                </wp:positionH>
                <wp:positionV relativeFrom="paragraph">
                  <wp:posOffset>4491990</wp:posOffset>
                </wp:positionV>
                <wp:extent cx="609600" cy="426720"/>
                <wp:effectExtent l="3810" t="1905" r="0" b="0"/>
                <wp:wrapNone/>
                <wp:docPr id="34" name="Teksto laukas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color w:val="FFFFFF"/>
                              </w:rPr>
                            </w:pPr>
                            <w:r>
                              <w:rPr>
                                <w:b/>
                                <w:color w:val="008000"/>
                                <w:sz w:val="20"/>
                              </w:rPr>
                              <w:t>2  pav.</w:t>
                            </w:r>
                            <w:r>
                              <w:rPr>
                                <w:b/>
                                <w:color w:val="FFFFFF"/>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34" o:spid="_x0000_s1027" type="#_x0000_t202" style="position:absolute;left:0;text-align:left;margin-left:6pt;margin-top:353.7pt;width:48pt;height:3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" filled="f" stroked="f">
                <v:textbox>
                  <w:txbxContent>
                    <w:p w:rsidR="004F7425" w:rsidRDefault="004F7425" w:rsidP="00585AD9">
                      <w:pPr>
                        <w:rPr>
                          <w:color w:val="FFFFFF"/>
                        </w:rPr>
                      </w:pPr>
                      <w:r>
                        <w:rPr>
                          <w:b/>
                          <w:color w:val="008000"/>
                          <w:sz w:val="20"/>
                        </w:rPr>
                        <w:t>2  pav.</w:t>
                      </w:r>
                      <w:r>
                        <w:rPr>
                          <w:b/>
                          <w:color w:val="FFFFFF"/>
                          <w:sz w:val="20"/>
                        </w:rPr>
                        <w:t xml:space="preserve">. </w:t>
                      </w:r>
                    </w:p>
                  </w:txbxContent>
                </v:textbox>
              </v:shape>
            </w:pict>
          </mc:Fallback>
        </mc:AlternateContent>
      </w:r>
      <w:r>
        <w:rPr>
          <w:noProof/>
          <w:lang w:eastAsia="lt-LT"/>
        </w:rPr>
        <w:drawing>
          <wp:anchor distT="0" distB="0" distL="114300" distR="114300" simplePos="0" relativeHeight="251692032" behindDoc="0" locked="0" layoutInCell="0" allowOverlap="1" wp14:anchorId="379E5323" wp14:editId="4FE83849">
            <wp:simplePos x="0" y="0"/>
            <wp:positionH relativeFrom="column">
              <wp:posOffset>0</wp:posOffset>
            </wp:positionH>
            <wp:positionV relativeFrom="page">
              <wp:posOffset>7415530</wp:posOffset>
            </wp:positionV>
            <wp:extent cx="6003290" cy="2050415"/>
            <wp:effectExtent l="0" t="0" r="3175" b="1905"/>
            <wp:wrapTopAndBottom/>
            <wp:docPr id="33" name="Diagrama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93056" behindDoc="0" locked="1" layoutInCell="0" allowOverlap="1" wp14:anchorId="1AC428CE" wp14:editId="725E29F8">
            <wp:simplePos x="0" y="0"/>
            <wp:positionH relativeFrom="column">
              <wp:posOffset>-74295</wp:posOffset>
            </wp:positionH>
            <wp:positionV relativeFrom="paragraph">
              <wp:posOffset>63500</wp:posOffset>
            </wp:positionV>
            <wp:extent cx="6365875" cy="3988435"/>
            <wp:effectExtent l="0" t="2540" r="635" b="0"/>
            <wp:wrapTopAndBottom/>
            <wp:docPr id="32" name="Diagrama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t>Pagal Baudžiamąjį kodeksą (toliau – BK), įsigaliojusį nuo 2003 05 01, nusikalstamos veikos skirstomos į nusikaltimus ir baudžiamuosius nusižengimus. Baudžiamieji nusižengimai neteisėtos narkotikų apyvartos srityje yra apibrėžti BK 259 str. 2 dalyje. Šios dalies dispozicija  sutampa su  Administracinių teisės pažeidimų kodekso (toliau – ATPK) 44 str. 1 dalies dispozicija, t.y. iki 2003 metų šios veikos nebuvo skaičiuojamos prie nurodytos statistikos. Nežymiai padidėjęs užregistruotų baudžiamųjų nusižengimų skaičius (</w:t>
      </w:r>
      <w:r>
        <w:rPr>
          <w:i/>
        </w:rPr>
        <w:t>žr. 2 pav.),</w:t>
      </w:r>
      <w:r>
        <w:t xml:space="preserve"> rodo, kad šalies ikiteisminio tyrimo įstaigos savo darbą orientuoja į narkotikų prekybos tinklo išaiškinimą ir sunaikinimą.</w:t>
      </w:r>
    </w:p>
    <w:p w:rsidR="00585AD9" w:rsidRDefault="00585AD9" w:rsidP="00585AD9">
      <w:pPr>
        <w:ind w:firstLine="1304"/>
        <w:jc w:val="both"/>
        <w:rPr>
          <w:color w:val="008000"/>
        </w:rPr>
      </w:pPr>
      <w:r>
        <w:t xml:space="preserve">Kaip jau minėjome, 2005 metais nusikalstamų veikų Lietuvoje užregistruota beveik 4% mažiau negu 2004 m. (atitinkamai 89 815 ir 93 419). Bendrame nusikalstamumo kontekste </w:t>
      </w:r>
      <w:r>
        <w:lastRenderedPageBreak/>
        <w:t xml:space="preserve">nusikalstamos veikos, susijusios su neteisėtu narkotikų disponavimu, sudarė 2,02 %, 2004 m. – 1,7%,  2003 m. – 1,2  %, t.y. per tris metus šis procentas išaugo 0,8 %. </w:t>
      </w:r>
    </w:p>
    <w:p w:rsidR="00585AD9" w:rsidRDefault="00585AD9" w:rsidP="00585AD9">
      <w:pPr>
        <w:tabs>
          <w:tab w:val="left" w:pos="567"/>
        </w:tabs>
        <w:jc w:val="both"/>
      </w:pPr>
      <w:r>
        <w:tab/>
      </w:r>
      <w:r>
        <w:tab/>
        <w:t>Didžiąją dalį nusikalstamų veikų, susijusių su neteisėta narkotikų apyvarta, išaiškino policija (</w:t>
      </w:r>
      <w:r>
        <w:rPr>
          <w:i/>
        </w:rPr>
        <w:t>žr. 3 pav.)</w:t>
      </w:r>
      <w:r>
        <w:t xml:space="preserve">, nes už neteisėtos narkotikų apyvartos kontrolę šalies viduje atsako policija, kitos institucijos, išskyrus Valstybės saugumo departamentą, turi ribotas veikimo zonas: pvz. laisvės atėmimo vietos arba pasienio ruožas ir pan.. </w:t>
      </w:r>
    </w:p>
    <w:p w:rsidR="00585AD9" w:rsidRDefault="00585AD9" w:rsidP="00585AD9">
      <w:pPr>
        <w:tabs>
          <w:tab w:val="left" w:pos="567"/>
        </w:tabs>
        <w:jc w:val="both"/>
      </w:pPr>
      <w:r>
        <w:tab/>
      </w:r>
      <w:r>
        <w:tab/>
        <w:t>„2005 m. Muitinės kriminalinėje tarnyboje buvo pradėta 11 ikiteisminių tyrimų dėl narkotinių ir psichotropinių medžiagų kontrabandos ir 4 ikiteisminiai tyrimai dėl neteisėto narkotinių medžiagų disponavimo. Tai yra 9 veikomis arba 66,6 % daugiau negu 2004 m.“</w:t>
      </w:r>
      <w:r>
        <w:rPr>
          <w:rStyle w:val="Puslapioinaosnuoroda"/>
        </w:rPr>
        <w:footnoteReference w:id="2"/>
      </w:r>
      <w:r>
        <w:t xml:space="preserve">  </w:t>
      </w:r>
      <w:r>
        <w:tab/>
      </w:r>
    </w:p>
    <w:p w:rsidR="00585AD9" w:rsidRDefault="00585AD9" w:rsidP="00585AD9">
      <w:pPr>
        <w:keepNext/>
        <w:ind w:firstLine="720"/>
        <w:jc w:val="both"/>
      </w:pPr>
      <w:r>
        <w:rPr>
          <w:noProof/>
          <w:lang w:eastAsia="lt-LT"/>
        </w:rPr>
        <mc:AlternateContent>
          <mc:Choice Requires="wps">
            <w:drawing>
              <wp:anchor distT="0" distB="0" distL="114300" distR="114300" simplePos="0" relativeHeight="251672576" behindDoc="0" locked="0" layoutInCell="1" allowOverlap="1" wp14:anchorId="217D05B5" wp14:editId="5450B8E9">
                <wp:simplePos x="0" y="0"/>
                <wp:positionH relativeFrom="column">
                  <wp:posOffset>-76200</wp:posOffset>
                </wp:positionH>
                <wp:positionV relativeFrom="paragraph">
                  <wp:posOffset>2385060</wp:posOffset>
                </wp:positionV>
                <wp:extent cx="762000" cy="342900"/>
                <wp:effectExtent l="3810" t="0" r="0" b="1905"/>
                <wp:wrapNone/>
                <wp:docPr id="31" name="Teksto laukas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62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color w:val="FFFFFF"/>
                              </w:rPr>
                            </w:pPr>
                            <w:r>
                              <w:rPr>
                                <w:b/>
                                <w:color w:val="008000"/>
                                <w:sz w:val="20"/>
                              </w:rPr>
                              <w:t>3 pav.</w:t>
                            </w:r>
                            <w:r>
                              <w:rPr>
                                <w:b/>
                                <w:color w:val="FFFFFF"/>
                                <w:sz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31" o:spid="_x0000_s1028" type="#_x0000_t202" style="position:absolute;left:0;text-align:left;margin-left:-6pt;margin-top:187.8pt;width:60pt;height:27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" filled="f" stroked="f">
                <v:textbox>
                  <w:txbxContent>
                    <w:p w:rsidR="004F7425" w:rsidRDefault="004F7425" w:rsidP="00585AD9">
                      <w:pPr>
                        <w:rPr>
                          <w:color w:val="FFFFFF"/>
                        </w:rPr>
                      </w:pPr>
                      <w:r>
                        <w:rPr>
                          <w:b/>
                          <w:color w:val="008000"/>
                          <w:sz w:val="20"/>
                        </w:rPr>
                        <w:t>3 pav.</w:t>
                      </w:r>
                      <w:r>
                        <w:rPr>
                          <w:b/>
                          <w:color w:val="FFFFFF"/>
                          <w:sz w:val="20"/>
                        </w:rPr>
                        <w:t xml:space="preserve">. </w:t>
                      </w:r>
                    </w:p>
                  </w:txbxContent>
                </v:textbox>
              </v:shape>
            </w:pict>
          </mc:Fallback>
        </mc:AlternateContent>
      </w:r>
      <w:r>
        <w:rPr>
          <w:noProof/>
          <w:lang w:eastAsia="lt-LT"/>
        </w:rPr>
        <w:drawing>
          <wp:anchor distT="0" distB="0" distL="114300" distR="114300" simplePos="0" relativeHeight="251662336" behindDoc="0" locked="0" layoutInCell="1" allowOverlap="0" wp14:anchorId="37D2996A" wp14:editId="25543806">
            <wp:simplePos x="0" y="0"/>
            <wp:positionH relativeFrom="column">
              <wp:posOffset>152400</wp:posOffset>
            </wp:positionH>
            <wp:positionV relativeFrom="paragraph">
              <wp:posOffset>2385060</wp:posOffset>
            </wp:positionV>
            <wp:extent cx="3204845" cy="2193925"/>
            <wp:effectExtent l="0" t="0" r="1270" b="0"/>
            <wp:wrapSquare wrapText="bothSides"/>
            <wp:docPr id="30" name="Diagrama 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t>Informatikos ir ryšių departamento prie Vidaus reikalų ministerijos (toliau  - IRD prie VRM) duomenimis 2005 metais laisvės atėmimo vietose buvo užregistruotos 202 nusikalstamos veikos, susijusios su narkotikų disponavimu, t.y. 25 % daugiau negu ankstesniais metais. Kalėjimų departamento prie Teisingumo ministerijos duomenimis laisvės atėmimo vietose dėl neteisėtos narkotikų apyvartos pradėti 233 ikiteisminiai tyrimai. Laisvės atėmimo vietose šios rūšies nusikalstamumas didėja skirtinga proporcija negu bendras nusikalstamumas, susijęs su neteisėta narkotikų apyvarta. Per 2004 m. laisvės atėmimo vietose nagrinėjamos rūšies veikų padaugėjo 67 %, per 2003 m. sumažėjo 15 % , per 2002 m. padaugėjo 352 %, per 2001 m. padaugėjo 38 %. Didelį tokių nusikaltimų šuolį 2002 metais išprovokavo ŽIV protrūkis, dėl ko buvo sustiprinta kontrolė ir išaiškinta daugiau veikų. Taip pat, 2001 m. Lietuvoje heroino populiarumui pasiekus viršūnę, į laisvės atėmimo vietas pateko daug heroino prekiautojų, dalis kurių buvo ir šios medžiagos vartotojai. Kadangi heroino priklausomybė yra labai stipri, o tolerancija (vartojančiam reikalinga vis didesnė narkotiko dozė) didelė, narkotikų paklausa laisvės atėmimo vietose akivaizdžiai išaugo. Remiantis Kalėjimų departamento informacija 2002 m. laisvės atėmimo vietose laikomų asmenų, priklausomų nuo narkotinių ar psichotropinių medžiagų skaičius buvo vienas didžiausių, tai dar viena priežastis, kodėl tais metais ženkliai padaugėjo nusikalstamų veikų. 2005 m. narkotikų (pagal jų rūšį) paklausa   laisvės atėmimo vietose buvo panaši kaip ir laisvėje: daugiausiai konfiskuota kanapių (1342 g), amfetamino ir metamfetamino (atitinkamai 236 g ir 140 g). Į laisvės atėmimo vietas dažniausiai narkotikai pakliūna perduodant maisto siuntinius ar juos gaunant paštu, todėl 2005 m. balandžio 21d. įstatymu nr. X-164 buvo pakeistas Bausmių vykdymo kodeksas, t.y. nuo 2006 01 01 panaikinta teisė nuteistiesiems gauti siuntinius su maisto produktais.</w:t>
      </w:r>
    </w:p>
    <w:p w:rsidR="00585AD9" w:rsidRDefault="00585AD9" w:rsidP="00585AD9">
      <w:pPr>
        <w:ind w:firstLine="1304"/>
        <w:jc w:val="both"/>
      </w:pPr>
      <w:r>
        <w:t>Pagal Informatikos ir ryšių departamento prie Vidaus reikalų ministerijos pateiktą statistiką iš 2005 m. fiksuotų 1818 nusikalstamų veikų, susijusių su disponavimu narkotikais, užregistruota: 808 nusikalstamos veikos dėl neteisėto disponavimo narkotinėmis ir psichotropinėmis medžiagomis be tikslo jas platinti (2004 m.- 832);</w:t>
      </w:r>
      <w:r>
        <w:rPr>
          <w:color w:val="0000FF"/>
        </w:rPr>
        <w:t xml:space="preserve">  </w:t>
      </w:r>
      <w:r>
        <w:t>977 – dėl neteisėto disponavimo narkotinėmis ir psichotropinėmis medžiagomis turint tikslą jas platinti (2004 m. – 673;</w:t>
      </w:r>
      <w:r>
        <w:rPr>
          <w:color w:val="0000FF"/>
        </w:rPr>
        <w:t xml:space="preserve"> </w:t>
      </w:r>
      <w:r>
        <w:t>2 - dėl neteisėto I kategorijos narkotinių ir psichotropinių medžiagų pirmtakų (prekursorių) disponavimo (2004 m. – 8); 6 - dėl narkotinių ar psichotropinių medžiagų pagrobimo (2004 m. – 3); 2 - dėl įrenginių narkotinėms ar psichotropinėms medžiagoms gaminti gaminimo (2004 m. - 2);  8 - dėl neteisėto aguonų ar kanapių auginimo (2004 m.- 22); 2- dėl narkotinių ar psichotropinių medžiagų platinimo nepilnamečiams (2004 m. - 4), 14 – dėl narkotikų kontrabandos.</w:t>
      </w:r>
    </w:p>
    <w:p w:rsidR="00585AD9" w:rsidRDefault="00585AD9" w:rsidP="00585AD9">
      <w:pPr>
        <w:jc w:val="both"/>
        <w:rPr>
          <w:color w:val="0000FF"/>
        </w:rPr>
      </w:pPr>
      <w:r>
        <w:rPr>
          <w:b/>
          <w:noProof/>
          <w:lang w:eastAsia="lt-LT"/>
        </w:rPr>
        <w:lastRenderedPageBreak/>
        <mc:AlternateContent>
          <mc:Choice Requires="wps">
            <w:drawing>
              <wp:anchor distT="0" distB="0" distL="114300" distR="114300" simplePos="0" relativeHeight="251673600" behindDoc="0" locked="0" layoutInCell="0" allowOverlap="1" wp14:anchorId="2AF600B8" wp14:editId="3A8651B6">
                <wp:simplePos x="0" y="0"/>
                <wp:positionH relativeFrom="column">
                  <wp:posOffset>0</wp:posOffset>
                </wp:positionH>
                <wp:positionV relativeFrom="paragraph">
                  <wp:posOffset>114300</wp:posOffset>
                </wp:positionV>
                <wp:extent cx="571500" cy="228600"/>
                <wp:effectExtent l="3810" t="0" r="0" b="3810"/>
                <wp:wrapNone/>
                <wp:docPr id="29" name="Teksto laukas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color w:val="008000"/>
                                <w:sz w:val="20"/>
                              </w:rPr>
                              <w:t>4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29" o:spid="_x0000_s1029" type="#_x0000_t202" style="position:absolute;left:0;text-align:left;margin-left:0;margin-top:9pt;width:4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" o:allowincell="f" filled="f" stroked="f">
                <v:textbox>
                  <w:txbxContent>
                    <w:p w:rsidR="004F7425" w:rsidRDefault="004F7425" w:rsidP="00585AD9">
                      <w:r>
                        <w:rPr>
                          <w:b/>
                          <w:color w:val="008000"/>
                          <w:sz w:val="20"/>
                        </w:rPr>
                        <w:t>4 pav.</w:t>
                      </w:r>
                    </w:p>
                  </w:txbxContent>
                </v:textbox>
              </v:shape>
            </w:pict>
          </mc:Fallback>
        </mc:AlternateContent>
      </w:r>
      <w:r>
        <w:rPr>
          <w:b/>
          <w:noProof/>
          <w:lang w:eastAsia="lt-LT"/>
        </w:rPr>
        <w:drawing>
          <wp:anchor distT="0" distB="0" distL="114300" distR="114300" simplePos="0" relativeHeight="251661312" behindDoc="1" locked="0" layoutInCell="0" allowOverlap="1" wp14:anchorId="4DF975CE" wp14:editId="76292CA2">
            <wp:simplePos x="0" y="0"/>
            <wp:positionH relativeFrom="column">
              <wp:posOffset>0</wp:posOffset>
            </wp:positionH>
            <wp:positionV relativeFrom="paragraph">
              <wp:posOffset>152400</wp:posOffset>
            </wp:positionV>
            <wp:extent cx="3210560" cy="2640330"/>
            <wp:effectExtent l="3810" t="0" r="0" b="1905"/>
            <wp:wrapTight wrapText="bothSides">
              <wp:wrapPolygon edited="0">
                <wp:start x="188" y="327"/>
                <wp:lineTo x="188" y="21029"/>
                <wp:lineTo x="21160" y="21029"/>
                <wp:lineTo x="21160" y="327"/>
                <wp:lineTo x="188" y="327"/>
              </wp:wrapPolygon>
            </wp:wrapTight>
            <wp:docPr id="28" name="Diagrama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tab/>
        <w:t>Daugiau kaip pusė užregistruotų nusikalstamų veikų dėl neteisėto narkotikų disponavimo, yra susiję su  narkotikų platinimu (</w:t>
      </w:r>
      <w:r>
        <w:rPr>
          <w:i/>
        </w:rPr>
        <w:t>žr. 4 pav.)</w:t>
      </w:r>
      <w:r>
        <w:t>, iš jų 12 % - platinimas labai didelio narkotikų kiekio. Organizuotų grupuočių išsklaidymas, jos narių, įskaitant ir gatvės narkotikų platintojus, patraukimas baudžiamojon atsakomybėn yra viena iš narkotikų pasiūlos mažinimo priemonių. Suprantama, kad šį tikslą pasiekti lengviau specializuotiems policijos padaliniams, kurie yra įkurti aukštesnės pakopos komisariatuose. Pvz. Kauno mieste užregistruota 3 kartus daugiau nusikalstamų veikų, susijusių su narkotikų platinimu, negu susijusių su narkotikų laikymu.</w:t>
      </w:r>
    </w:p>
    <w:p w:rsidR="00585AD9" w:rsidRDefault="00585AD9" w:rsidP="00585AD9">
      <w:pPr>
        <w:keepNext/>
        <w:jc w:val="both"/>
      </w:pPr>
    </w:p>
    <w:p w:rsidR="00585AD9" w:rsidRDefault="00585AD9" w:rsidP="00585AD9">
      <w:pPr>
        <w:jc w:val="both"/>
      </w:pPr>
      <w:r>
        <w:rPr>
          <w:b/>
          <w:noProof/>
          <w:color w:val="0000FF"/>
          <w:sz w:val="20"/>
          <w:lang w:eastAsia="lt-LT"/>
        </w:rPr>
        <w:drawing>
          <wp:anchor distT="0" distB="0" distL="114300" distR="114300" simplePos="0" relativeHeight="251663360" behindDoc="0" locked="0" layoutInCell="0" allowOverlap="1" wp14:anchorId="24A24A06" wp14:editId="00FE95BC">
            <wp:simplePos x="0" y="0"/>
            <wp:positionH relativeFrom="column">
              <wp:posOffset>0</wp:posOffset>
            </wp:positionH>
            <wp:positionV relativeFrom="page">
              <wp:posOffset>5358130</wp:posOffset>
            </wp:positionV>
            <wp:extent cx="6057900" cy="3429000"/>
            <wp:effectExtent l="3810" t="0" r="0" b="4445"/>
            <wp:wrapSquare wrapText="bothSides"/>
            <wp:docPr id="27" name="Diagrama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Pr>
          <w:noProof/>
          <w:lang w:eastAsia="lt-LT"/>
        </w:rPr>
        <mc:AlternateContent>
          <mc:Choice Requires="wps">
            <w:drawing>
              <wp:anchor distT="0" distB="0" distL="114300" distR="114300" simplePos="0" relativeHeight="251674624" behindDoc="0" locked="0" layoutInCell="0" allowOverlap="1" wp14:anchorId="41C300B3" wp14:editId="70FE9DBB">
                <wp:simplePos x="0" y="0"/>
                <wp:positionH relativeFrom="column">
                  <wp:posOffset>0</wp:posOffset>
                </wp:positionH>
                <wp:positionV relativeFrom="paragraph">
                  <wp:posOffset>1303020</wp:posOffset>
                </wp:positionV>
                <wp:extent cx="571500" cy="228600"/>
                <wp:effectExtent l="3810" t="0" r="0" b="1905"/>
                <wp:wrapNone/>
                <wp:docPr id="26" name="Teksto laukas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color w:val="008000"/>
                                <w:sz w:val="20"/>
                              </w:rPr>
                              <w:t>5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26" o:spid="_x0000_s1030" type="#_x0000_t202" style="position:absolute;left:0;text-align:left;margin-left:0;margin-top:102.6pt;width:4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" o:allowincell="f" filled="f" stroked="f">
                <v:textbox>
                  <w:txbxContent>
                    <w:p w:rsidR="004F7425" w:rsidRDefault="004F7425" w:rsidP="00585AD9">
                      <w:r>
                        <w:rPr>
                          <w:b/>
                          <w:color w:val="008000"/>
                          <w:sz w:val="20"/>
                        </w:rPr>
                        <w:t>5  pav.</w:t>
                      </w:r>
                    </w:p>
                  </w:txbxContent>
                </v:textbox>
              </v:shape>
            </w:pict>
          </mc:Fallback>
        </mc:AlternateContent>
      </w:r>
      <w:r>
        <w:tab/>
        <w:t>Nusikalstamų veikų, susijusių su neteisėta narkotikų apyvarta, pasiskirstymas šalies teritorijoje per paskutinius tris metus beveik nepasikeitė, pusė šių veikų padaryta 6 didžiuosiuose miestuose (2005 m.-54 %). Didžiausias pokytis fiksuotas 2002 m., kai beveik 80 % aptariamų veikų buvo užregistruota 6 didžiuosiuose miestuose, tai susiję su tais metais šalyje keturis kartus išaugusiu „klubinių narkotikų“(amfetamino ir metamfetamino) bei tais metais dar gan populiaraus heroino sulaikymų skaičiumi. Šių medžiagų sulaikymai buvo dažniausiai fiksuoti miestuose (</w:t>
      </w:r>
      <w:r>
        <w:rPr>
          <w:i/>
        </w:rPr>
        <w:t>žr. 5  pav.).</w:t>
      </w:r>
    </w:p>
    <w:p w:rsidR="00585AD9" w:rsidRDefault="00585AD9" w:rsidP="00585AD9">
      <w:pPr>
        <w:jc w:val="both"/>
      </w:pPr>
      <w:r>
        <w:tab/>
        <w:t>Nuo 2000 m. šalyje mažėja aguonų ir jų dalių sulaikymų, kurie vykdavo dažniausiai kaimiškose vietovėse. Stebima tendencija, kad išpopuliarėjus amfetamino tipo stimuliuojamosioms medžiagoms bei mažėjant aguonų populiarumui, nusikalstamų veikų, susijusių su neteisėta narkotikų apyvarta, pamažu vis daugiau registruojama mažesniuose miestuose, kaimiškuose rajonuose ar ten, kur jų anksčiau nebuvo. 2005 m. tik keturiose savivaldybėse nėra fiksuota aptariamų veikų. Šie skaičiai dar kartą pagrindžia teiginį, kad narkotikai nesirenka asmenų pagal jų gyvenamą vietą, amžių, rasę, tautybę ar kitus kriterijus, jų keliama grėsmė yra aktuali visiems.</w:t>
      </w:r>
    </w:p>
    <w:p w:rsidR="00585AD9" w:rsidRDefault="00585AD9" w:rsidP="00585AD9">
      <w:pPr>
        <w:tabs>
          <w:tab w:val="left" w:pos="1980"/>
        </w:tabs>
        <w:jc w:val="both"/>
      </w:pPr>
      <w:r>
        <w:t xml:space="preserve">           2005 m. užregistruota 1011 (2004 m. – 869) asmenų, padariusių nusikalstamas veikas, susijusias su disponavimu narkotinėmis ar psichotropinėmis medžiagomis, tame tarpe 165 moterys, 7 užsienio piliečiai, 17 asmenų be pilietybės</w:t>
      </w:r>
      <w:r>
        <w:rPr>
          <w:rStyle w:val="Puslapioinaosnuoroda"/>
        </w:rPr>
        <w:footnoteReference w:id="3"/>
      </w:r>
      <w:r>
        <w:t xml:space="preserve">. Yra kelios priežastys lemiančios tokį didelį skaičių skirtumą tarp nusikalstamų veikų (1818) ir asmenų, įtariamų padarius šias veikas (1011): </w:t>
      </w:r>
    </w:p>
    <w:p w:rsidR="00585AD9" w:rsidRDefault="00585AD9" w:rsidP="00DD08F5">
      <w:pPr>
        <w:numPr>
          <w:ilvl w:val="0"/>
          <w:numId w:val="3"/>
        </w:numPr>
        <w:tabs>
          <w:tab w:val="left" w:pos="1980"/>
        </w:tabs>
        <w:jc w:val="both"/>
      </w:pPr>
      <w:r>
        <w:lastRenderedPageBreak/>
        <w:t>per metus asmuo padaro kelias nusikalstamas veikas, susijusias su neteisėta narkotikų apyvarta;</w:t>
      </w:r>
    </w:p>
    <w:p w:rsidR="00585AD9" w:rsidRDefault="00585AD9" w:rsidP="00DD08F5">
      <w:pPr>
        <w:numPr>
          <w:ilvl w:val="0"/>
          <w:numId w:val="3"/>
        </w:numPr>
        <w:tabs>
          <w:tab w:val="left" w:pos="1980"/>
        </w:tabs>
        <w:jc w:val="both"/>
      </w:pPr>
      <w:r>
        <w:t xml:space="preserve">aptinkami narkotikai, tačiau nėra išaiškinamas jų savininkas. Laisvės atėmimo vietose  užregistruota 202 narkotikų paėmimo faktai, o identifikuota su tuo susijusių asmenų tik 15. Didžioji dalis narkotikų surasti siuntiniuose be siuntėjų adresų arba su neegzistuojančiomis pavardėmis. </w:t>
      </w:r>
    </w:p>
    <w:p w:rsidR="00585AD9" w:rsidRDefault="00585AD9" w:rsidP="00585AD9">
      <w:pPr>
        <w:tabs>
          <w:tab w:val="left" w:pos="1980"/>
        </w:tabs>
        <w:ind w:firstLine="1304"/>
        <w:jc w:val="both"/>
      </w:pPr>
      <w:r>
        <w:t>Už neteisėtą narkotinių ir psichotropinių medžiagų prekybą sulaikyti 329 asmenys, iš jų 53 moterys, 14 nepilnamečių</w:t>
      </w:r>
      <w:r>
        <w:rPr>
          <w:rStyle w:val="Puslapioinaosnuoroda"/>
        </w:rPr>
        <w:footnoteReference w:id="4"/>
      </w:r>
      <w:r>
        <w:t xml:space="preserve">. </w:t>
      </w:r>
    </w:p>
    <w:p w:rsidR="00585AD9" w:rsidRDefault="00585AD9" w:rsidP="00585AD9">
      <w:pPr>
        <w:tabs>
          <w:tab w:val="left" w:pos="1980"/>
        </w:tabs>
        <w:ind w:firstLine="1304"/>
        <w:jc w:val="both"/>
        <w:rPr>
          <w:color w:val="0000FF"/>
        </w:rPr>
      </w:pPr>
      <w:r>
        <w:rPr>
          <w:noProof/>
          <w:lang w:eastAsia="lt-LT"/>
        </w:rPr>
        <mc:AlternateContent>
          <mc:Choice Requires="wps">
            <w:drawing>
              <wp:anchor distT="0" distB="0" distL="114300" distR="114300" simplePos="0" relativeHeight="251675648" behindDoc="0" locked="0" layoutInCell="0" allowOverlap="1" wp14:anchorId="72F5F7E8" wp14:editId="61346B8D">
                <wp:simplePos x="0" y="0"/>
                <wp:positionH relativeFrom="column">
                  <wp:posOffset>2514600</wp:posOffset>
                </wp:positionH>
                <wp:positionV relativeFrom="paragraph">
                  <wp:posOffset>389890</wp:posOffset>
                </wp:positionV>
                <wp:extent cx="571500" cy="228600"/>
                <wp:effectExtent l="3810" t="0" r="0" b="1905"/>
                <wp:wrapNone/>
                <wp:docPr id="25" name="Teksto laukas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color w:val="008000"/>
                                <w:sz w:val="20"/>
                              </w:rPr>
                              <w:t>6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25" o:spid="_x0000_s1031" type="#_x0000_t202" style="position:absolute;left:0;text-align:left;margin-left:198pt;margin-top:30.7pt;width:4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" o:allowincell="f" filled="f" stroked="f">
                <v:textbox>
                  <w:txbxContent>
                    <w:p w:rsidR="004F7425" w:rsidRDefault="004F7425" w:rsidP="00585AD9">
                      <w:r>
                        <w:rPr>
                          <w:b/>
                          <w:color w:val="008000"/>
                          <w:sz w:val="20"/>
                        </w:rPr>
                        <w:t>6  pav.</w:t>
                      </w:r>
                    </w:p>
                  </w:txbxContent>
                </v:textbox>
              </v:shape>
            </w:pict>
          </mc:Fallback>
        </mc:AlternateContent>
      </w:r>
      <w:r>
        <w:rPr>
          <w:noProof/>
          <w:lang w:eastAsia="lt-LT"/>
        </w:rPr>
        <w:drawing>
          <wp:anchor distT="0" distB="0" distL="114300" distR="114300" simplePos="0" relativeHeight="251664384" behindDoc="0" locked="0" layoutInCell="0" allowOverlap="1" wp14:anchorId="330EEC32" wp14:editId="5E880A30">
            <wp:simplePos x="0" y="0"/>
            <wp:positionH relativeFrom="column">
              <wp:posOffset>2514600</wp:posOffset>
            </wp:positionH>
            <wp:positionV relativeFrom="paragraph">
              <wp:posOffset>389890</wp:posOffset>
            </wp:positionV>
            <wp:extent cx="3716655" cy="2475865"/>
            <wp:effectExtent l="0" t="0" r="3810" b="2540"/>
            <wp:wrapSquare wrapText="bothSides"/>
            <wp:docPr id="24" name="Diagrama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t>2005 m užregistruota mažiau negu 2004 m. nepilnamečių, kurie padarė nusikalstamas veikas, susijusias su neteisėta narkotikų apyvarta – 46 arba 5 % visų sulaikytų asmenų (2004 m. – 49, 2003 m. - 37, 2002 m. – 15).</w:t>
      </w:r>
      <w:r>
        <w:rPr>
          <w:color w:val="0000FF"/>
        </w:rPr>
        <w:t xml:space="preserve">  </w:t>
      </w:r>
      <w:r>
        <w:t>Nors sulaikytų nepilnamečių skaičius auga, tačiau procentinė santykinė išraiška su kitomis amžiaus grupėmis kinta labai nežymiai (2001 m. sulaikyti nepilnamečiai sudarė 4 % visų sulaikytųjų).</w:t>
      </w:r>
      <w:r>
        <w:rPr>
          <w:color w:val="0000FF"/>
        </w:rPr>
        <w:t xml:space="preserve"> </w:t>
      </w:r>
    </w:p>
    <w:p w:rsidR="00585AD9" w:rsidRDefault="00585AD9" w:rsidP="00585AD9">
      <w:pPr>
        <w:jc w:val="both"/>
      </w:pPr>
      <w:r>
        <w:tab/>
        <w:t>Keli metai iš eilės daugiau kaip pusę visų sulaikytų asmenų sudaro jaunimas iki 30 metų. (</w:t>
      </w:r>
      <w:r>
        <w:rPr>
          <w:i/>
        </w:rPr>
        <w:t>žr. 6 pav.</w:t>
      </w:r>
      <w:r>
        <w:t>).</w:t>
      </w:r>
      <w:r>
        <w:rPr>
          <w:color w:val="0000FF"/>
        </w:rPr>
        <w:t xml:space="preserve"> </w:t>
      </w:r>
      <w:r>
        <w:t xml:space="preserve">Mažėja sulaikytų vyresnių kaip 40 metų amžiaus asmenų, galima daryti dvi prielaidas arba vyresni asmenys atsisako nusikalstamo gyvenimo būdo, arba jų nusikalstama veika tampa labiau konspiratyvi, intelektuali, integruota į legalų verslą. Žinoma, pirmąją prielaidą galima pagrįsti antrąja, asmuo užsidirba pinigų ir juos investuoja į verslą,  atsisakydamas nusikalstamo gyvenimo. Asmenys turintys aukštąjį išsilavinimą jau penkis metus iš eilės sudaro pastovią sulaikytųjų už neteisėtą narkotikų apyvartą procentinę dalį - 2 %.  </w:t>
      </w:r>
    </w:p>
    <w:p w:rsidR="00585AD9" w:rsidRDefault="00585AD9" w:rsidP="00585AD9">
      <w:pPr>
        <w:jc w:val="both"/>
      </w:pPr>
      <w:r>
        <w:rPr>
          <w:b/>
          <w:color w:val="0000FF"/>
        </w:rPr>
        <w:tab/>
      </w:r>
      <w:r>
        <w:t xml:space="preserve">63 % visų sulaikytų asmenų buvo socialiai neužimti. 2005 m. </w:t>
      </w:r>
      <w:r>
        <w:rPr>
          <w:b/>
        </w:rPr>
        <w:t xml:space="preserve"> </w:t>
      </w:r>
      <w:r>
        <w:t xml:space="preserve">daugiau kaip kas antrą nusikalstamą veiką, susijusią su neteisėta narkotikų apyvarta, padarė socialiai neužimti asmenys, 2000 metais tokie asmenys padarė beveik kas antrą nusikaltimą. Galima manyti, kad pastaruoju metu asmenys nusikalstamą veiką renkasi kaip pagrindinį užsiėmimą, nesivarginama turėti oficialų pragyvenimo šaltinį priedangai. </w:t>
      </w:r>
    </w:p>
    <w:p w:rsidR="00585AD9" w:rsidRDefault="00585AD9" w:rsidP="00585AD9">
      <w:pPr>
        <w:jc w:val="both"/>
        <w:rPr>
          <w:b/>
          <w:caps/>
          <w:color w:val="008000"/>
        </w:rPr>
      </w:pPr>
    </w:p>
    <w:p w:rsidR="00585AD9" w:rsidRDefault="00585AD9" w:rsidP="00585AD9">
      <w:pPr>
        <w:tabs>
          <w:tab w:val="left" w:pos="567"/>
        </w:tabs>
        <w:jc w:val="center"/>
      </w:pPr>
      <w:r>
        <w:rPr>
          <w:b/>
          <w:caps/>
          <w:color w:val="008000"/>
        </w:rPr>
        <w:t>narkotinių ir psichotropinių medžiagų bei jų pirmtakų apyvarta ir išimti  iš apyvartos  kiekiai</w:t>
      </w:r>
    </w:p>
    <w:p w:rsidR="00585AD9" w:rsidRDefault="00585AD9" w:rsidP="00585AD9">
      <w:pPr>
        <w:pStyle w:val="Pagrindinistekstas2"/>
        <w:widowControl w:val="0"/>
        <w:ind w:firstLine="1304"/>
        <w:jc w:val="both"/>
      </w:pPr>
    </w:p>
    <w:p w:rsidR="00585AD9" w:rsidRDefault="00585AD9" w:rsidP="00585AD9">
      <w:pPr>
        <w:pStyle w:val="Pagrindinistekstas2"/>
        <w:widowControl w:val="0"/>
        <w:ind w:firstLine="1304"/>
        <w:jc w:val="both"/>
      </w:pPr>
      <w:r>
        <w:rPr>
          <w:b/>
          <w:noProof/>
          <w:sz w:val="20"/>
          <w:lang w:eastAsia="lt-LT"/>
        </w:rPr>
        <mc:AlternateContent>
          <mc:Choice Requires="wps">
            <w:drawing>
              <wp:anchor distT="0" distB="0" distL="114300" distR="114300" simplePos="0" relativeHeight="251676672" behindDoc="0" locked="0" layoutInCell="1" allowOverlap="1" wp14:anchorId="23FBACFB" wp14:editId="0927CEFC">
                <wp:simplePos x="0" y="0"/>
                <wp:positionH relativeFrom="column">
                  <wp:posOffset>2971800</wp:posOffset>
                </wp:positionH>
                <wp:positionV relativeFrom="paragraph">
                  <wp:posOffset>342900</wp:posOffset>
                </wp:positionV>
                <wp:extent cx="571500" cy="228600"/>
                <wp:effectExtent l="3810" t="0" r="0" b="1270"/>
                <wp:wrapNone/>
                <wp:docPr id="23" name="Teksto laukas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color w:val="008000"/>
                                <w:sz w:val="20"/>
                              </w:rPr>
                              <w:t>7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23" o:spid="_x0000_s1032" type="#_x0000_t202" style="position:absolute;left:0;text-align:left;margin-left:234pt;margin-top:27pt;width:4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" filled="f" stroked="f">
                <v:textbox>
                  <w:txbxContent>
                    <w:p w:rsidR="004F7425" w:rsidRDefault="004F7425" w:rsidP="00585AD9">
                      <w:r>
                        <w:rPr>
                          <w:b/>
                          <w:color w:val="008000"/>
                          <w:sz w:val="20"/>
                        </w:rPr>
                        <w:t>7  pav.</w:t>
                      </w:r>
                    </w:p>
                  </w:txbxContent>
                </v:textbox>
              </v:shape>
            </w:pict>
          </mc:Fallback>
        </mc:AlternateContent>
      </w:r>
      <w:r>
        <w:t xml:space="preserve">Narkotikų išėmimų (konfiskacijų) atvejų skaičius arba kitaip dažnumas, yra vienas iš narkotikų rinkos (situacijos) įvertinimo indikatorių. Būtent atvejų skaičius, o ne konfiskuoti medžiagų kiekiai, yra patikimesnis analizės vienetas, bet reikėtų nepamiršti, kad tam tikros narkotikų rūšies sulaikymų skaičius nėra proporcingas jo paplitimui, kadangi sulaikymai tiesiogiai priklauso nuo pareigūnams keliamų uždavinių. </w:t>
      </w:r>
    </w:p>
    <w:p w:rsidR="00585AD9" w:rsidRDefault="00585AD9" w:rsidP="00585AD9">
      <w:pPr>
        <w:widowControl w:val="0"/>
        <w:jc w:val="both"/>
      </w:pPr>
      <w:r>
        <w:rPr>
          <w:b/>
          <w:noProof/>
          <w:sz w:val="20"/>
          <w:lang w:eastAsia="lt-LT"/>
        </w:rPr>
        <mc:AlternateContent>
          <mc:Choice Requires="wps">
            <w:drawing>
              <wp:anchor distT="0" distB="0" distL="114300" distR="114300" simplePos="0" relativeHeight="251677696" behindDoc="0" locked="0" layoutInCell="1" allowOverlap="1" wp14:anchorId="573C5D0E" wp14:editId="41CAD52D">
                <wp:simplePos x="0" y="0"/>
                <wp:positionH relativeFrom="column">
                  <wp:posOffset>152400</wp:posOffset>
                </wp:positionH>
                <wp:positionV relativeFrom="paragraph">
                  <wp:posOffset>304800</wp:posOffset>
                </wp:positionV>
                <wp:extent cx="571500" cy="228600"/>
                <wp:effectExtent l="3810" t="0" r="0" b="3810"/>
                <wp:wrapNone/>
                <wp:docPr id="22" name="Teksto laukas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color w:val="008000"/>
                                <w:sz w:val="20"/>
                              </w:rPr>
                              <w:t>8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22" o:spid="_x0000_s1033" type="#_x0000_t202" style="position:absolute;left:0;text-align:left;margin-left:12pt;margin-top:24pt;width:4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" filled="f" stroked="f">
                <v:textbox>
                  <w:txbxContent>
                    <w:p w:rsidR="004F7425" w:rsidRDefault="004F7425" w:rsidP="00585AD9">
                      <w:r>
                        <w:rPr>
                          <w:b/>
                          <w:color w:val="008000"/>
                          <w:sz w:val="20"/>
                        </w:rPr>
                        <w:t>8  pav.</w:t>
                      </w:r>
                    </w:p>
                  </w:txbxContent>
                </v:textbox>
              </v:shape>
            </w:pict>
          </mc:Fallback>
        </mc:AlternateContent>
      </w:r>
      <w:r>
        <w:rPr>
          <w:b/>
          <w:noProof/>
          <w:sz w:val="20"/>
          <w:lang w:eastAsia="lt-LT"/>
        </w:rPr>
        <w:drawing>
          <wp:anchor distT="0" distB="0" distL="114300" distR="114300" simplePos="0" relativeHeight="251665408" behindDoc="0" locked="0" layoutInCell="1" allowOverlap="1" wp14:anchorId="1D60F930" wp14:editId="2C44781C">
            <wp:simplePos x="0" y="0"/>
            <wp:positionH relativeFrom="column">
              <wp:posOffset>0</wp:posOffset>
            </wp:positionH>
            <wp:positionV relativeFrom="page">
              <wp:posOffset>2663190</wp:posOffset>
            </wp:positionV>
            <wp:extent cx="3658870" cy="2513965"/>
            <wp:effectExtent l="3810" t="0" r="0" b="4445"/>
            <wp:wrapSquare wrapText="bothSides"/>
            <wp:docPr id="21" name="Diagrama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Pr>
          <w:noProof/>
          <w:color w:val="0000FF"/>
          <w:lang w:eastAsia="lt-LT"/>
        </w:rPr>
        <w:drawing>
          <wp:anchor distT="0" distB="0" distL="114300" distR="114300" simplePos="0" relativeHeight="251666432" behindDoc="0" locked="0" layoutInCell="0" allowOverlap="1" wp14:anchorId="59C0A38F" wp14:editId="4E4F9989">
            <wp:simplePos x="0" y="0"/>
            <wp:positionH relativeFrom="column">
              <wp:posOffset>2857500</wp:posOffset>
            </wp:positionH>
            <wp:positionV relativeFrom="page">
              <wp:posOffset>900430</wp:posOffset>
            </wp:positionV>
            <wp:extent cx="3314700" cy="2291715"/>
            <wp:effectExtent l="3810" t="5080" r="0" b="0"/>
            <wp:wrapSquare wrapText="bothSides"/>
            <wp:docPr id="20" name="Diagrama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tab/>
        <w:t xml:space="preserve">Prie neteisėtos narkotikų apyvartos indikatorių, kuriuos gali pateikti teisėsaugos </w:t>
      </w:r>
      <w:r>
        <w:lastRenderedPageBreak/>
        <w:t xml:space="preserve">institucijos, reikėtų priskirti medžiagų kainą ir grynumą (koncentraciją).  Reikia atminti, kad bet kokie analizės vienetai negali būti vertinami atskirai nuo jų visumos, o ypač svarbu atkreipti dėmesį į tų vienetų tęstinumą. Situacijos vertinimo analizė negali būti daroma imant tik vienų metų duomenis bei juos išskirti iš bendrų socialinių ir ekonominių gyvenimo pokyčių, todėl ateityje turėtų būti skiriama daugiau laiko ir pajėgų situacijos analizei, vertinant  ne tik nuo teisėsaugos priklausančius indikatorius.                .                                                                                                                         </w:t>
      </w:r>
      <w:r>
        <w:rPr>
          <w:color w:val="0000FF"/>
        </w:rPr>
        <w:tab/>
      </w:r>
      <w:r>
        <w:t xml:space="preserve">Per penkis metus narkotikų vartojimo ir prekybos rinkoje įvyko nemažai pasikeitimų, pateikiame palyginimui 2000 ir 2005 metų narkotikų sulaikymų lenteles </w:t>
      </w:r>
      <w:r>
        <w:rPr>
          <w:i/>
        </w:rPr>
        <w:t>(žr. 7 ir 8 pav.)</w:t>
      </w:r>
      <w:r>
        <w:t xml:space="preserve"> ir išskiriame šias rinkos pasikeitimo tendencijas:</w:t>
      </w:r>
    </w:p>
    <w:p w:rsidR="00585AD9" w:rsidRDefault="00585AD9" w:rsidP="00DD08F5">
      <w:pPr>
        <w:widowControl w:val="0"/>
        <w:numPr>
          <w:ilvl w:val="0"/>
          <w:numId w:val="11"/>
        </w:numPr>
        <w:jc w:val="both"/>
      </w:pPr>
      <w:r>
        <w:rPr>
          <w:i/>
        </w:rPr>
        <w:t>Amfetamino tipo stimuliuojamosios medžiagos (toliau –ATS)  ir kanapės - populiariausios medžiagos Lietuvoje.</w:t>
      </w:r>
      <w:r>
        <w:t xml:space="preserve"> Apibendrinus Aukštesnės pakopos policijos komisariatų narkotikų kontrolės padalinių metines ataskaitas, galima teigti, kad kanapes ir ATS medžiagas renkasi jauni asmenys, šie narkotikai taip pat pasirenkami „pažintiniam“ narkotikų išbandymui. Vartotojų amžius prasideda jau  nuo 13 metų.</w:t>
      </w:r>
    </w:p>
    <w:p w:rsidR="00585AD9" w:rsidRDefault="00585AD9" w:rsidP="00DD08F5">
      <w:pPr>
        <w:widowControl w:val="0"/>
        <w:numPr>
          <w:ilvl w:val="0"/>
          <w:numId w:val="11"/>
        </w:numPr>
        <w:jc w:val="both"/>
      </w:pPr>
      <w:r>
        <w:rPr>
          <w:i/>
        </w:rPr>
        <w:t>Iš aguonų pagamintų narkotikų (išskyrus heroiną) rinka per 5 metus sumažėjo, tačiau jie išlieka paklausūs tarp tam tikros vartotojų grupės</w:t>
      </w:r>
      <w:r>
        <w:t>. Lyginant iš aguonų pagamintų narkotikų sulaikymų skaičiaus procentinę išraišką, matome, kad per penkis metus šių sulaikymų sumažėjo beveik perpus, tačiau negalima teigti, kad šių narkotikų sparčiai mažėja, jie vis dar turi pastovią rinką, jie dominuoja mažesniuose miesteliuose, kaimiškose vietovėse bei jie paklausūs tarp sunkiai sergančiųjų narkotikų priklausomybe.</w:t>
      </w:r>
    </w:p>
    <w:p w:rsidR="00585AD9" w:rsidRDefault="00585AD9" w:rsidP="00DD08F5">
      <w:pPr>
        <w:widowControl w:val="0"/>
        <w:numPr>
          <w:ilvl w:val="0"/>
          <w:numId w:val="11"/>
        </w:numPr>
        <w:jc w:val="both"/>
      </w:pPr>
      <w:r>
        <w:rPr>
          <w:i/>
        </w:rPr>
        <w:t xml:space="preserve">Heroino paklausa ir  pasiūla didėja. </w:t>
      </w:r>
      <w:r>
        <w:t xml:space="preserve">Pagal pateiktas diagramas galima manyti, kad heroinas praranda paklausą, tačiau nagrinėjant visą penkių metų laikotarpį galime teigti, kad heroinas sugrįžta į Lietuvą. 2004 m. heroino apyvarta užėmė tik 5 </w:t>
      </w:r>
      <w:r>
        <w:rPr>
          <w:rFonts w:ascii="Arial" w:hAnsi="Arial"/>
        </w:rPr>
        <w:t>%</w:t>
      </w:r>
      <w:r>
        <w:t xml:space="preserve"> rinkos, o praėjusiais metais jau dvigubai daugiau. Ypač heroino prekybos aktyvumas didelis Vilniuje ir Kaune, šiuose miestuose heroino sulaikymų skaičius prilygsta narkotikų, pagamintų iš aguonų, skaičiui. Klaipėdoje labiau paklausūs narkotikai iš aguonų, tačiau tai sietina su dideliu skaičiumi asmenų, seniai vartojančių narkotikus. Nors Alytuje, Telšiuose ir Utenoje buvo keli heroino sulaikymo atvejai, tačiau daugelyje mažesnių miestų šio narkotiko 2005 m konfiskuota nebuvo. Nereikėtų daryti išvados, kad juo ten nebuvo prekiaujama.</w:t>
      </w:r>
    </w:p>
    <w:p w:rsidR="00585AD9" w:rsidRDefault="00585AD9" w:rsidP="00DD08F5">
      <w:pPr>
        <w:widowControl w:val="0"/>
        <w:numPr>
          <w:ilvl w:val="0"/>
          <w:numId w:val="11"/>
        </w:numPr>
        <w:jc w:val="both"/>
      </w:pPr>
      <w:r>
        <w:rPr>
          <w:i/>
        </w:rPr>
        <w:t>Iš apyvartos pasitraukė metkatinonas ir efedrinas</w:t>
      </w:r>
      <w:r>
        <w:t>. Anksčiau gan populiarus narkotikas - metkatinonas (efedronas), gaminamas iš efedrino, išnyko iš šalies vartotojų rinkos arba vartojimo atvejai tapo vienetiniai. Įsivyravus ATS, iš vartotojų rinkos pasitraukė atvežtinė medžiaga efedrinas.</w:t>
      </w:r>
      <w:r>
        <w:tab/>
      </w:r>
    </w:p>
    <w:p w:rsidR="00585AD9" w:rsidRDefault="00585AD9" w:rsidP="00DD08F5">
      <w:pPr>
        <w:keepNext/>
        <w:numPr>
          <w:ilvl w:val="0"/>
          <w:numId w:val="11"/>
        </w:numPr>
        <w:jc w:val="both"/>
      </w:pPr>
      <w:r>
        <w:rPr>
          <w:i/>
        </w:rPr>
        <w:t>Psichotropinių  vaistų rinkos pokyčiai</w:t>
      </w:r>
      <w:r>
        <w:t>. 2005 m. padidėjusį psichotropinių vaistų sulaikymų skaičių nulėmė Lietuvos ir kaimyninės šalies Rusijos Federacijos Kaliningrado srities skirtingas tam tikrų vaistų apyvartos teisinis reguliavimas. Kaliningrado srityje asmenys teisėtai įsigydavo savo reikmėms psichotropinio vaisto fenazepamo  ir slapta bandydavo įvežti į Lietuvą. Pusę fenazepamo sulaikymų šalyje arba trečdalį šios medžiagos sulaikyto kiekio sudarė šios medžiagos sulaikymai muitinės postuose.</w:t>
      </w:r>
    </w:p>
    <w:p w:rsidR="00585AD9" w:rsidRDefault="00585AD9" w:rsidP="00DD08F5">
      <w:pPr>
        <w:keepNext/>
        <w:numPr>
          <w:ilvl w:val="0"/>
          <w:numId w:val="11"/>
        </w:numPr>
        <w:jc w:val="both"/>
      </w:pPr>
      <w:r>
        <w:rPr>
          <w:i/>
        </w:rPr>
        <w:t xml:space="preserve">Kokainas ir hašišas </w:t>
      </w:r>
      <w:r>
        <w:t xml:space="preserve">– </w:t>
      </w:r>
      <w:r>
        <w:rPr>
          <w:i/>
        </w:rPr>
        <w:t>stabili vartotojų rinka.</w:t>
      </w:r>
      <w:r>
        <w:t xml:space="preserve"> Šių medžiagų konfiskacijos dažnumas beveik nesikeičia, kokainas dėl didelės kainos, o hašišas dėl nedidelės šiaurinės Afrikos šalių  įtakos, nėra plataus vartojimo narkotikai. </w:t>
      </w:r>
    </w:p>
    <w:p w:rsidR="00585AD9" w:rsidRDefault="00585AD9" w:rsidP="00585AD9">
      <w:pPr>
        <w:tabs>
          <w:tab w:val="left" w:pos="720"/>
        </w:tabs>
        <w:ind w:firstLine="1304"/>
        <w:jc w:val="center"/>
        <w:rPr>
          <w:b/>
          <w:color w:val="008000"/>
        </w:rPr>
      </w:pPr>
      <w:r>
        <w:rPr>
          <w:noProof/>
          <w:lang w:eastAsia="lt-LT"/>
        </w:rPr>
        <mc:AlternateContent>
          <mc:Choice Requires="wps">
            <w:drawing>
              <wp:anchor distT="0" distB="0" distL="114300" distR="114300" simplePos="0" relativeHeight="251678720" behindDoc="0" locked="0" layoutInCell="0" allowOverlap="1" wp14:anchorId="5EC20EE2" wp14:editId="55C1E671">
                <wp:simplePos x="0" y="0"/>
                <wp:positionH relativeFrom="column">
                  <wp:posOffset>0</wp:posOffset>
                </wp:positionH>
                <wp:positionV relativeFrom="paragraph">
                  <wp:posOffset>99060</wp:posOffset>
                </wp:positionV>
                <wp:extent cx="571500" cy="228600"/>
                <wp:effectExtent l="3810" t="0" r="0" b="1905"/>
                <wp:wrapNone/>
                <wp:docPr id="19" name="Teksto laukas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color w:val="008000"/>
                                <w:sz w:val="20"/>
                              </w:rPr>
                              <w:t>9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9" o:spid="_x0000_s1034" type="#_x0000_t202" style="position:absolute;left:0;text-align:left;margin-left:0;margin-top:7.8pt;width:4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" o:allowincell="f" filled="f" stroked="f">
                <v:textbox>
                  <w:txbxContent>
                    <w:p w:rsidR="004F7425" w:rsidRDefault="004F7425" w:rsidP="00585AD9">
                      <w:r>
                        <w:rPr>
                          <w:b/>
                          <w:color w:val="008000"/>
                          <w:sz w:val="20"/>
                        </w:rPr>
                        <w:t>9  pav.</w:t>
                      </w:r>
                    </w:p>
                  </w:txbxContent>
                </v:textbox>
              </v:shape>
            </w:pict>
          </mc:Fallback>
        </mc:AlternateContent>
      </w:r>
    </w:p>
    <w:p w:rsidR="00585AD9" w:rsidRDefault="00585AD9" w:rsidP="00585AD9">
      <w:pPr>
        <w:tabs>
          <w:tab w:val="left" w:pos="720"/>
        </w:tabs>
        <w:ind w:firstLine="1304"/>
        <w:jc w:val="center"/>
        <w:rPr>
          <w:b/>
          <w:color w:val="008000"/>
        </w:rPr>
      </w:pPr>
      <w:r>
        <w:rPr>
          <w:b/>
          <w:color w:val="008000"/>
        </w:rPr>
        <w:t>Išimtų iš apyvartos narkotinių ir psichotropinių medžiagų bei jų I kategorijos pirmtakų kiekio lyginamoji lentelė</w:t>
      </w:r>
    </w:p>
    <w:p w:rsidR="00585AD9" w:rsidRDefault="00585AD9" w:rsidP="00585AD9">
      <w:pPr>
        <w:tabs>
          <w:tab w:val="left" w:pos="720"/>
        </w:tabs>
        <w:ind w:firstLine="1304"/>
        <w:jc w:val="center"/>
        <w:rPr>
          <w:color w:val="00800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808"/>
        <w:gridCol w:w="2880"/>
        <w:gridCol w:w="2520"/>
        <w:gridCol w:w="1440"/>
      </w:tblGrid>
      <w:tr w:rsidR="00585AD9" w:rsidTr="004F7425">
        <w:trPr>
          <w:cantSplit/>
          <w:trHeight w:val="511"/>
        </w:trPr>
        <w:tc>
          <w:tcPr>
            <w:tcW w:w="2808" w:type="dxa"/>
            <w:tcBorders>
              <w:top w:val="single" w:sz="12" w:space="0" w:color="auto"/>
              <w:left w:val="single" w:sz="12" w:space="0" w:color="auto"/>
              <w:bottom w:val="single" w:sz="12" w:space="0" w:color="auto"/>
            </w:tcBorders>
            <w:shd w:val="pct15" w:color="auto" w:fill="FFFFFF"/>
            <w:vAlign w:val="center"/>
          </w:tcPr>
          <w:p w:rsidR="00585AD9" w:rsidRDefault="00585AD9" w:rsidP="004F7425">
            <w:pPr>
              <w:framePr w:hSpace="180" w:wrap="around" w:vAnchor="text" w:hAnchor="page" w:x="1822" w:y="70"/>
              <w:jc w:val="center"/>
              <w:rPr>
                <w:b/>
              </w:rPr>
            </w:pPr>
            <w:r>
              <w:rPr>
                <w:b/>
              </w:rPr>
              <w:lastRenderedPageBreak/>
              <w:t>Medžiagos pavadinimas</w:t>
            </w:r>
          </w:p>
        </w:tc>
        <w:tc>
          <w:tcPr>
            <w:tcW w:w="2880" w:type="dxa"/>
            <w:tcBorders>
              <w:top w:val="single" w:sz="12" w:space="0" w:color="auto"/>
              <w:bottom w:val="single" w:sz="12" w:space="0" w:color="auto"/>
            </w:tcBorders>
            <w:shd w:val="pct15" w:color="auto" w:fill="FFFFFF"/>
            <w:vAlign w:val="center"/>
          </w:tcPr>
          <w:p w:rsidR="00585AD9" w:rsidRDefault="00585AD9" w:rsidP="004F7425">
            <w:pPr>
              <w:framePr w:hSpace="180" w:wrap="around" w:vAnchor="text" w:hAnchor="page" w:x="1822" w:y="70"/>
              <w:ind w:firstLine="72"/>
              <w:jc w:val="center"/>
              <w:rPr>
                <w:b/>
              </w:rPr>
            </w:pPr>
            <w:r>
              <w:rPr>
                <w:b/>
              </w:rPr>
              <w:t>2004 m.</w:t>
            </w:r>
          </w:p>
        </w:tc>
        <w:tc>
          <w:tcPr>
            <w:tcW w:w="2520" w:type="dxa"/>
            <w:tcBorders>
              <w:top w:val="single" w:sz="12" w:space="0" w:color="auto"/>
              <w:bottom w:val="single" w:sz="12" w:space="0" w:color="auto"/>
              <w:right w:val="single" w:sz="12" w:space="0" w:color="auto"/>
            </w:tcBorders>
            <w:shd w:val="pct15" w:color="auto" w:fill="FFFFFF"/>
            <w:vAlign w:val="center"/>
          </w:tcPr>
          <w:p w:rsidR="00585AD9" w:rsidRDefault="00585AD9" w:rsidP="004F7425">
            <w:pPr>
              <w:framePr w:hSpace="180" w:wrap="around" w:vAnchor="text" w:hAnchor="page" w:x="1822" w:y="70"/>
              <w:ind w:firstLine="72"/>
              <w:jc w:val="center"/>
              <w:rPr>
                <w:b/>
                <w:color w:val="008000"/>
              </w:rPr>
            </w:pPr>
            <w:r>
              <w:rPr>
                <w:b/>
                <w:color w:val="008000"/>
              </w:rPr>
              <w:t>2005 m.</w:t>
            </w:r>
          </w:p>
        </w:tc>
        <w:tc>
          <w:tcPr>
            <w:tcW w:w="1440" w:type="dxa"/>
            <w:tcBorders>
              <w:top w:val="single" w:sz="12" w:space="0" w:color="auto"/>
              <w:bottom w:val="single" w:sz="12" w:space="0" w:color="auto"/>
              <w:right w:val="single" w:sz="12" w:space="0" w:color="auto"/>
            </w:tcBorders>
            <w:shd w:val="pct15" w:color="auto" w:fill="FFFFFF"/>
          </w:tcPr>
          <w:p w:rsidR="00585AD9" w:rsidRDefault="00585AD9" w:rsidP="004F7425">
            <w:pPr>
              <w:framePr w:hSpace="180" w:wrap="around" w:vAnchor="text" w:hAnchor="page" w:x="1822" w:y="70"/>
              <w:ind w:firstLine="1304"/>
              <w:jc w:val="center"/>
              <w:rPr>
                <w:b/>
                <w:color w:val="FF0000"/>
                <w:sz w:val="22"/>
              </w:rPr>
            </w:pPr>
            <w:r>
              <w:rPr>
                <w:b/>
                <w:color w:val="FF0000"/>
                <w:sz w:val="22"/>
              </w:rPr>
              <w:t xml:space="preserve">AAugimas </w:t>
            </w:r>
            <w:r>
              <w:rPr>
                <w:b/>
                <w:color w:val="0000FF"/>
                <w:sz w:val="22"/>
              </w:rPr>
              <w:t>/</w:t>
            </w:r>
            <w:r>
              <w:rPr>
                <w:b/>
                <w:color w:val="008000"/>
                <w:sz w:val="22"/>
              </w:rPr>
              <w:t>mažėjimas</w:t>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Aguonos ir jų dalys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380 kg</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167 kg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008000"/>
              </w:rPr>
              <w:sym w:font="Symbol" w:char="F0AF"/>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Aguonų ir jų dalių ekstraktas ir koncentratas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55 litrai</w:t>
            </w:r>
          </w:p>
          <w:p w:rsidR="00585AD9" w:rsidRDefault="00585AD9" w:rsidP="004F7425">
            <w:pPr>
              <w:framePr w:hSpace="180" w:wrap="around" w:vAnchor="text" w:hAnchor="page" w:x="1822" w:y="70"/>
              <w:ind w:firstLine="72"/>
              <w:jc w:val="center"/>
            </w:pPr>
            <w:r>
              <w:t>721 g</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184 litrai</w:t>
            </w:r>
          </w:p>
          <w:p w:rsidR="00585AD9" w:rsidRDefault="00585AD9" w:rsidP="004F7425">
            <w:pPr>
              <w:framePr w:hSpace="180" w:wrap="around" w:vAnchor="text" w:hAnchor="page" w:x="1822" w:y="70"/>
              <w:ind w:firstLine="72"/>
              <w:jc w:val="center"/>
              <w:rPr>
                <w:color w:val="008000"/>
              </w:rPr>
            </w:pPr>
            <w:r>
              <w:rPr>
                <w:color w:val="008000"/>
              </w:rPr>
              <w:t>100 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0000FF"/>
              </w:rPr>
            </w:pPr>
            <w:r>
              <w:rPr>
                <w:b/>
                <w:color w:val="FF0000"/>
              </w:rPr>
              <w:sym w:font="Symbol" w:char="F0AD"/>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Kanapės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16,4 kg</w:t>
            </w:r>
          </w:p>
          <w:p w:rsidR="00585AD9" w:rsidRDefault="00585AD9" w:rsidP="004F7425">
            <w:pPr>
              <w:framePr w:hSpace="180" w:wrap="around" w:vAnchor="text" w:hAnchor="page" w:x="1822" w:y="70"/>
              <w:ind w:firstLine="72"/>
              <w:jc w:val="center"/>
            </w:pPr>
            <w:r>
              <w:t>415 kg (žaliava)</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104 kg</w:t>
            </w:r>
          </w:p>
          <w:p w:rsidR="00585AD9" w:rsidRDefault="00585AD9" w:rsidP="004F7425">
            <w:pPr>
              <w:framePr w:hSpace="180" w:wrap="around" w:vAnchor="text" w:hAnchor="page" w:x="1822" w:y="70"/>
              <w:ind w:firstLine="72"/>
              <w:jc w:val="center"/>
              <w:rPr>
                <w:color w:val="008000"/>
              </w:rPr>
            </w:pPr>
            <w:r>
              <w:rPr>
                <w:color w:val="008000"/>
              </w:rPr>
              <w:t>961 kg (žaliava)</w:t>
            </w:r>
          </w:p>
        </w:tc>
        <w:tc>
          <w:tcPr>
            <w:tcW w:w="1440" w:type="dxa"/>
            <w:tcBorders>
              <w:right w:val="single" w:sz="12" w:space="0" w:color="auto"/>
            </w:tcBorders>
          </w:tcPr>
          <w:p w:rsidR="00585AD9" w:rsidRDefault="00585AD9" w:rsidP="004F7425">
            <w:pPr>
              <w:framePr w:hSpace="180" w:wrap="around" w:vAnchor="text" w:hAnchor="page" w:x="1822" w:y="70"/>
              <w:jc w:val="center"/>
              <w:rPr>
                <w:b/>
                <w:color w:val="008000"/>
              </w:rPr>
            </w:pPr>
            <w:r>
              <w:rPr>
                <w:b/>
                <w:color w:val="FF0000"/>
              </w:rPr>
              <w:sym w:font="Symbol" w:char="F0AD"/>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Hašišas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2,3 kg</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68 kg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008000"/>
              </w:rPr>
            </w:pPr>
            <w:r>
              <w:rPr>
                <w:b/>
                <w:color w:val="FF0000"/>
              </w:rPr>
              <w:sym w:font="Symbol" w:char="F0AD"/>
            </w:r>
          </w:p>
        </w:tc>
      </w:tr>
      <w:tr w:rsidR="00585AD9" w:rsidTr="004F7425">
        <w:trPr>
          <w:cantSplit/>
          <w:trHeight w:val="285"/>
        </w:trPr>
        <w:tc>
          <w:tcPr>
            <w:tcW w:w="2808" w:type="dxa"/>
            <w:tcBorders>
              <w:top w:val="single" w:sz="8" w:space="0" w:color="auto"/>
              <w:left w:val="single" w:sz="12" w:space="0" w:color="auto"/>
              <w:right w:val="single" w:sz="12" w:space="0" w:color="auto"/>
            </w:tcBorders>
          </w:tcPr>
          <w:p w:rsidR="00585AD9" w:rsidRDefault="00585AD9" w:rsidP="004F7425">
            <w:pPr>
              <w:framePr w:hSpace="180" w:wrap="around" w:vAnchor="text" w:hAnchor="page" w:x="1822" w:y="70"/>
              <w:jc w:val="center"/>
            </w:pPr>
            <w:r>
              <w:t>Heroinas</w:t>
            </w:r>
          </w:p>
        </w:tc>
        <w:tc>
          <w:tcPr>
            <w:tcW w:w="2880" w:type="dxa"/>
            <w:tcBorders>
              <w:top w:val="single" w:sz="8" w:space="0" w:color="auto"/>
              <w:left w:val="single" w:sz="12" w:space="0" w:color="auto"/>
              <w:right w:val="single" w:sz="12" w:space="0" w:color="auto"/>
            </w:tcBorders>
          </w:tcPr>
          <w:p w:rsidR="00585AD9" w:rsidRDefault="00585AD9" w:rsidP="004F7425">
            <w:pPr>
              <w:framePr w:hSpace="180" w:wrap="around" w:vAnchor="text" w:hAnchor="page" w:x="1822" w:y="70"/>
              <w:ind w:firstLine="72"/>
              <w:jc w:val="center"/>
            </w:pPr>
            <w:r>
              <w:t>2,9 kg</w:t>
            </w:r>
          </w:p>
        </w:tc>
        <w:tc>
          <w:tcPr>
            <w:tcW w:w="2520" w:type="dxa"/>
            <w:tcBorders>
              <w:top w:val="single" w:sz="8" w:space="0" w:color="auto"/>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1, 95 kg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008000"/>
              </w:rPr>
              <w:sym w:font="Symbol" w:char="F0AF"/>
            </w:r>
          </w:p>
        </w:tc>
      </w:tr>
      <w:tr w:rsidR="00585AD9" w:rsidTr="004F7425">
        <w:trPr>
          <w:cantSplit/>
          <w:trHeight w:val="357"/>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Kokainas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13,5 kg</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0,06 kg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008000"/>
              </w:rPr>
              <w:sym w:font="Symbol" w:char="F0AF"/>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Amfetaminas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7 kg +1050 tab</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8,3 kg+2 580 tab</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FF0000"/>
              </w:rPr>
              <w:sym w:font="Symbol" w:char="F0AD"/>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Metamfetaminas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2,8 kg</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3,5 kg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008000"/>
              </w:rPr>
            </w:pPr>
            <w:r>
              <w:rPr>
                <w:b/>
                <w:color w:val="FF0000"/>
              </w:rPr>
              <w:sym w:font="Symbol" w:char="F0AD"/>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Ecstasy</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99 429 tab</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18 483 tab + 75 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008000"/>
              </w:rPr>
              <w:sym w:font="Symbol" w:char="F0AF"/>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LSD</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18 747 vnt.</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0</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008000"/>
              </w:rPr>
              <w:sym w:font="Symbol" w:char="F0AF"/>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Vaistinės medžiagos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304 g; 1584 tab; 320 amp</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12 778 tab+ 978 ml</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FF0000"/>
              </w:rPr>
              <w:sym w:font="Symbol" w:char="F0AD"/>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Safrolas</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21,7 litro</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0</w:t>
            </w:r>
          </w:p>
        </w:tc>
        <w:tc>
          <w:tcPr>
            <w:tcW w:w="1440" w:type="dxa"/>
            <w:tcBorders>
              <w:right w:val="single" w:sz="12" w:space="0" w:color="auto"/>
            </w:tcBorders>
          </w:tcPr>
          <w:p w:rsidR="00585AD9" w:rsidRDefault="00585AD9" w:rsidP="004F7425">
            <w:pPr>
              <w:framePr w:hSpace="180" w:wrap="around" w:vAnchor="text" w:hAnchor="page" w:x="1822" w:y="70"/>
              <w:jc w:val="center"/>
              <w:rPr>
                <w:b/>
                <w:color w:val="FF0000"/>
              </w:rPr>
            </w:pPr>
            <w:r>
              <w:rPr>
                <w:b/>
                <w:color w:val="008000"/>
              </w:rPr>
              <w:sym w:font="Symbol" w:char="F0AF"/>
            </w:r>
          </w:p>
        </w:tc>
      </w:tr>
      <w:tr w:rsidR="00585AD9" w:rsidTr="004F7425">
        <w:trPr>
          <w:cantSplit/>
        </w:trPr>
        <w:tc>
          <w:tcPr>
            <w:tcW w:w="2808" w:type="dxa"/>
            <w:tcBorders>
              <w:left w:val="single" w:sz="12" w:space="0" w:color="auto"/>
              <w:right w:val="single" w:sz="12" w:space="0" w:color="auto"/>
            </w:tcBorders>
          </w:tcPr>
          <w:p w:rsidR="00585AD9" w:rsidRDefault="00585AD9" w:rsidP="004F7425">
            <w:pPr>
              <w:framePr w:hSpace="180" w:wrap="around" w:vAnchor="text" w:hAnchor="page" w:x="1822" w:y="70"/>
              <w:jc w:val="center"/>
            </w:pPr>
            <w:r>
              <w:t>BMK</w:t>
            </w:r>
          </w:p>
        </w:tc>
        <w:tc>
          <w:tcPr>
            <w:tcW w:w="288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pPr>
            <w:r>
              <w:t>21 litrai</w:t>
            </w:r>
          </w:p>
        </w:tc>
        <w:tc>
          <w:tcPr>
            <w:tcW w:w="2520" w:type="dxa"/>
            <w:tcBorders>
              <w:left w:val="single" w:sz="12" w:space="0" w:color="auto"/>
              <w:right w:val="single" w:sz="12" w:space="0" w:color="auto"/>
            </w:tcBorders>
          </w:tcPr>
          <w:p w:rsidR="00585AD9" w:rsidRDefault="00585AD9" w:rsidP="004F7425">
            <w:pPr>
              <w:framePr w:hSpace="180" w:wrap="around" w:vAnchor="text" w:hAnchor="page" w:x="1822" w:y="70"/>
              <w:ind w:firstLine="72"/>
              <w:jc w:val="center"/>
              <w:rPr>
                <w:color w:val="008000"/>
              </w:rPr>
            </w:pPr>
            <w:r>
              <w:rPr>
                <w:color w:val="008000"/>
              </w:rPr>
              <w:t>2 824 g</w:t>
            </w:r>
          </w:p>
        </w:tc>
        <w:tc>
          <w:tcPr>
            <w:tcW w:w="1440" w:type="dxa"/>
            <w:tcBorders>
              <w:right w:val="single" w:sz="12" w:space="0" w:color="auto"/>
            </w:tcBorders>
          </w:tcPr>
          <w:p w:rsidR="00585AD9" w:rsidRDefault="00585AD9" w:rsidP="004F7425">
            <w:pPr>
              <w:framePr w:hSpace="180" w:wrap="around" w:vAnchor="text" w:hAnchor="page" w:x="1822" w:y="70"/>
              <w:jc w:val="center"/>
              <w:rPr>
                <w:b/>
                <w:color w:val="008000"/>
              </w:rPr>
            </w:pPr>
            <w:r>
              <w:rPr>
                <w:b/>
                <w:color w:val="008000"/>
              </w:rPr>
              <w:sym w:font="Symbol" w:char="F0AF"/>
            </w:r>
          </w:p>
        </w:tc>
      </w:tr>
    </w:tbl>
    <w:p w:rsidR="00585AD9" w:rsidRDefault="00585AD9" w:rsidP="00585AD9">
      <w:pPr>
        <w:pStyle w:val="Pagrindinistekstas2"/>
        <w:ind w:firstLine="1304"/>
        <w:jc w:val="both"/>
      </w:pPr>
    </w:p>
    <w:p w:rsidR="00585AD9" w:rsidRDefault="00585AD9" w:rsidP="00585AD9">
      <w:pPr>
        <w:pStyle w:val="Pagrindinistekstas2"/>
        <w:ind w:firstLine="1304"/>
        <w:jc w:val="both"/>
      </w:pPr>
      <w:r>
        <w:t>Išsamūs duomenys apie konfiskuotus narkotikų kiekius, išėmimų bei sulaikytų asmenų skaičių pateikti Apžvalgos 1 ir 2 prieduose.</w:t>
      </w:r>
    </w:p>
    <w:p w:rsidR="00585AD9" w:rsidRDefault="00585AD9" w:rsidP="00585AD9">
      <w:pPr>
        <w:ind w:left="360"/>
        <w:jc w:val="both"/>
        <w:rPr>
          <w:b/>
          <w:caps/>
          <w:color w:val="008000"/>
        </w:rPr>
      </w:pPr>
    </w:p>
    <w:p w:rsidR="00585AD9" w:rsidRDefault="00585AD9" w:rsidP="00DD08F5">
      <w:pPr>
        <w:numPr>
          <w:ilvl w:val="0"/>
          <w:numId w:val="12"/>
        </w:numPr>
        <w:tabs>
          <w:tab w:val="num" w:pos="2010"/>
        </w:tabs>
        <w:ind w:hanging="720"/>
        <w:jc w:val="both"/>
        <w:rPr>
          <w:b/>
          <w:i/>
          <w:caps/>
          <w:color w:val="008000"/>
        </w:rPr>
      </w:pPr>
      <w:r>
        <w:rPr>
          <w:b/>
          <w:i/>
          <w:color w:val="008000"/>
        </w:rPr>
        <w:t>Amfetamino tipo stimuliuojamosios medžiagos</w:t>
      </w:r>
    </w:p>
    <w:p w:rsidR="00585AD9" w:rsidRDefault="00585AD9" w:rsidP="00585AD9">
      <w:pPr>
        <w:jc w:val="both"/>
        <w:rPr>
          <w:b/>
          <w:color w:val="008000"/>
        </w:rPr>
      </w:pPr>
    </w:p>
    <w:p w:rsidR="00585AD9" w:rsidRDefault="00585AD9" w:rsidP="00585AD9">
      <w:pPr>
        <w:jc w:val="both"/>
      </w:pPr>
      <w:r>
        <w:rPr>
          <w:b/>
          <w:color w:val="008000"/>
        </w:rPr>
        <w:tab/>
      </w:r>
      <w:r>
        <w:t>Apibendrinus gaunamą informaciją, galima teigti, kad amfetamino tipo stimuliuojamosios medžiagos (toliau – ATS medžiagos) Lietuvoje tampa populiariausiomis. Vilniuje, Kaune tai dvigubai dažniau konfiskuojama medžiaga negu iš aguonų pagaminti (išskyrus heroiną) narkotikai. ATS medžiagos pamažu, bet užtikrintai veržiasi į mažesnių miestų ar kaimiškųjų vietovių vartotojų rinką. Jaunimas renkasi kanapes ir ATS medžiagas, kurias parveža didmiesčiuose besimokantys, dirbantys ar šiaip besilankantys asmenys, šie narkotikai vartojami privačiuose vakarėliuose ar masinėse pasilinksminimo vietose, tačiau tai nereiškia, kad narkotikų vartojimas vyksta pačiuose klubuose, asmenys jau ateina pavartoję, vartoja klubų prieigose, automobiliuose arba pagalbinėse klubų patalpose. Šiauliuose buvo stebima nauja tendencija -amfetamino ir metamfetamino platinimas skystame pavidale, t.y. intraveniniam vartojimui, tačiau daugiau tokio pobūdžio informacijos gauta nebuvo.</w:t>
      </w:r>
    </w:p>
    <w:p w:rsidR="00585AD9" w:rsidRDefault="00585AD9" w:rsidP="00585AD9">
      <w:pPr>
        <w:jc w:val="both"/>
      </w:pPr>
      <w:r>
        <w:tab/>
        <w:t xml:space="preserve"> Europoje ATS medžiagos populiarumu nusileidžia tik kanapėms. Kuo būtų galima paaiškinti šių narkotikų populiarumą Lietuvoje? </w:t>
      </w:r>
    </w:p>
    <w:p w:rsidR="00585AD9" w:rsidRDefault="00585AD9" w:rsidP="00585AD9">
      <w:pPr>
        <w:jc w:val="both"/>
      </w:pPr>
    </w:p>
    <w:p w:rsidR="00585AD9" w:rsidRDefault="00585AD9" w:rsidP="00DD08F5">
      <w:pPr>
        <w:numPr>
          <w:ilvl w:val="2"/>
          <w:numId w:val="5"/>
        </w:numPr>
        <w:ind w:left="1260" w:hanging="900"/>
        <w:jc w:val="both"/>
        <w:rPr>
          <w:b/>
          <w:color w:val="008000"/>
        </w:rPr>
      </w:pPr>
      <w:r>
        <w:t xml:space="preserve">kaina - šalyje yra nelegalios amfetamino ir metamfetamino gamybos vietos, todėl šios medžiagos yra pigios; </w:t>
      </w:r>
    </w:p>
    <w:p w:rsidR="00585AD9" w:rsidRDefault="00585AD9" w:rsidP="00DD08F5">
      <w:pPr>
        <w:numPr>
          <w:ilvl w:val="2"/>
          <w:numId w:val="5"/>
        </w:numPr>
        <w:ind w:left="1260" w:hanging="900"/>
        <w:jc w:val="both"/>
        <w:rPr>
          <w:b/>
          <w:color w:val="008000"/>
        </w:rPr>
      </w:pPr>
      <w:r>
        <w:t xml:space="preserve">mada - tarp jaunimo egzistuoja „klubinė kultūra“, kurios viena iš sudedamųjų dalių dažniausiai ATS medžiagų vartojimas; </w:t>
      </w:r>
    </w:p>
    <w:p w:rsidR="00585AD9" w:rsidRDefault="00585AD9" w:rsidP="00DD08F5">
      <w:pPr>
        <w:numPr>
          <w:ilvl w:val="2"/>
          <w:numId w:val="5"/>
        </w:numPr>
        <w:ind w:left="1260" w:hanging="900"/>
        <w:jc w:val="both"/>
        <w:rPr>
          <w:b/>
          <w:color w:val="008000"/>
        </w:rPr>
      </w:pPr>
      <w:r>
        <w:t>patrauklumas - šių medžiagų išvaizda, vartojimo būdas yra paprastas, nereikia švirkštų, adatų, galima tiesiog ištirpinti bet kokiame gėrime, praryti ar parūkyti;</w:t>
      </w:r>
    </w:p>
    <w:p w:rsidR="00585AD9" w:rsidRDefault="00585AD9" w:rsidP="00DD08F5">
      <w:pPr>
        <w:numPr>
          <w:ilvl w:val="2"/>
          <w:numId w:val="5"/>
        </w:numPr>
        <w:ind w:left="1260" w:hanging="900"/>
        <w:jc w:val="both"/>
        <w:rPr>
          <w:b/>
          <w:color w:val="008000"/>
        </w:rPr>
      </w:pPr>
      <w:r>
        <w:t>klaidinga informacija apie išliekamąsias pasekmes – vyrauja nuomonė, kad nuo šių medžiagų netampama priklausomais, kad jų vartojimas neturės pasekmių sveikatai;</w:t>
      </w:r>
    </w:p>
    <w:p w:rsidR="00585AD9" w:rsidRDefault="00585AD9" w:rsidP="00DD08F5">
      <w:pPr>
        <w:numPr>
          <w:ilvl w:val="2"/>
          <w:numId w:val="5"/>
        </w:numPr>
        <w:ind w:left="1260" w:hanging="900"/>
        <w:jc w:val="both"/>
        <w:rPr>
          <w:b/>
          <w:color w:val="008000"/>
        </w:rPr>
      </w:pPr>
      <w:r>
        <w:t xml:space="preserve">finansinis suinteresuotumas - lengvas praturtėjimas, todėl didelė pasiūla bendraamžių grupėse. </w:t>
      </w:r>
    </w:p>
    <w:p w:rsidR="00585AD9" w:rsidRDefault="00585AD9" w:rsidP="00585AD9">
      <w:pPr>
        <w:ind w:left="360"/>
        <w:jc w:val="both"/>
        <w:rPr>
          <w:b/>
        </w:rPr>
      </w:pPr>
    </w:p>
    <w:p w:rsidR="00585AD9" w:rsidRDefault="00585AD9" w:rsidP="00585AD9">
      <w:pPr>
        <w:jc w:val="both"/>
      </w:pPr>
      <w:r>
        <w:rPr>
          <w:noProof/>
          <w:lang w:eastAsia="lt-LT"/>
        </w:rPr>
        <w:lastRenderedPageBreak/>
        <mc:AlternateContent>
          <mc:Choice Requires="wps">
            <w:drawing>
              <wp:anchor distT="0" distB="0" distL="114300" distR="114300" simplePos="0" relativeHeight="251680768" behindDoc="0" locked="0" layoutInCell="0" allowOverlap="1" wp14:anchorId="0AB25DF0" wp14:editId="77CA6E57">
                <wp:simplePos x="0" y="0"/>
                <wp:positionH relativeFrom="column">
                  <wp:posOffset>3543300</wp:posOffset>
                </wp:positionH>
                <wp:positionV relativeFrom="paragraph">
                  <wp:posOffset>2978150</wp:posOffset>
                </wp:positionV>
                <wp:extent cx="685800" cy="228600"/>
                <wp:effectExtent l="3810" t="1905" r="0" b="0"/>
                <wp:wrapNone/>
                <wp:docPr id="18" name="Teksto laukas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r>
                              <w:rPr>
                                <w:b/>
                                <w:sz w:val="20"/>
                              </w:rPr>
                              <w:t>10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8" o:spid="_x0000_s1035" type="#_x0000_t202" style="position:absolute;left:0;text-align:left;margin-left:279pt;margin-top:234.5pt;width:54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" o:allowincell="f" filled="f" stroked="f">
                <v:textbox>
                  <w:txbxContent>
                    <w:p w:rsidR="004F7425" w:rsidRDefault="004F7425" w:rsidP="00585AD9">
                      <w:r>
                        <w:rPr>
                          <w:b/>
                          <w:sz w:val="20"/>
                        </w:rPr>
                        <w:t>10  pav.</w:t>
                      </w:r>
                    </w:p>
                  </w:txbxContent>
                </v:textbox>
              </v:shape>
            </w:pict>
          </mc:Fallback>
        </mc:AlternateContent>
      </w:r>
      <w:r>
        <w:rPr>
          <w:noProof/>
          <w:lang w:eastAsia="lt-LT"/>
        </w:rPr>
        <w:drawing>
          <wp:anchor distT="0" distB="0" distL="114300" distR="114300" simplePos="0" relativeHeight="251667456" behindDoc="0" locked="0" layoutInCell="0" allowOverlap="1" wp14:anchorId="2BF7FB9D" wp14:editId="637C8130">
            <wp:simplePos x="0" y="0"/>
            <wp:positionH relativeFrom="column">
              <wp:posOffset>3543300</wp:posOffset>
            </wp:positionH>
            <wp:positionV relativeFrom="paragraph">
              <wp:posOffset>920750</wp:posOffset>
            </wp:positionV>
            <wp:extent cx="2628900" cy="2389505"/>
            <wp:effectExtent l="0" t="0" r="0" b="0"/>
            <wp:wrapSquare wrapText="bothSides"/>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8900" cy="238950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t xml:space="preserve">2005 m. pavasarį Lietuvoje buvo išimta iš apyvartos tabletės, savo poveikiu artimos ecstasy, tačiau sudėtyje turinčios medžiagos - m-CCP (meta-Chlorphenylpiperazinas), kuri pagal galiojančius Lietuvos teisės aktus nėra kontroliuojama, vadinasi už šių tablečių platinimą ar kitą veiką negali būti taikoma administracinė ar baudžiamoji atsakomybė. Ši medžiaga nėra įtraukta į tarptautinius kontroliuojamų medžiagų sąrašus ir Lietuva buvo viena iš pirmųjų šalių, informavusi Europol‘ą apie galimą grėsmę ir naujovę, vėliau tokių tablečių išėmimo atvejai buvo nustatyti Vokietijoje, Olandijoje, Vengrijoje, Čekijoje, Prancūzijoje, Slovėnijoje. Įtariama, kad Ispanijoje šios tabletės išprovokavo asmens mirtį. Lietuvoje policija kreipėsi į atitinkamas institucijas, kad ši medžiaga būtų įtraukta į SAM įsakymu patvirtintus narkotinių ir psichotropinių medžiagų sąrašus. Per metus šios rūšies tabletės buvo išimtos 8 kartus, iš viso 160 tablečių, kurios yra labai patrauklios išvaizdos </w:t>
      </w:r>
      <w:r>
        <w:rPr>
          <w:i/>
        </w:rPr>
        <w:t>(žr. 10 pav.).</w:t>
      </w:r>
      <w:r>
        <w:t xml:space="preserve"> Šių tablečių skersmuo yra apie 9 mm, masė svyruoja nuo 0,25 g iki 0,45 g, aukštis nuo 2,4 mm iki 5,2 mm. Nelegalioje apyvartoje aptinkamos ir be įspaudų, ir su ecstasy tabletėms būdingais </w:t>
      </w:r>
      <w:r>
        <w:rPr>
          <w:i/>
        </w:rPr>
        <w:t>logo</w:t>
      </w:r>
      <w:r>
        <w:t>. 2005 m. Nyderlanduose buvo sunaikinta didelė m-CCP tablečių gamybos laboratorija, po šio įvykio ženkliai sumažėjo šios medžiagos konfiskacijos atvejų.</w:t>
      </w:r>
    </w:p>
    <w:p w:rsidR="00585AD9" w:rsidRDefault="00585AD9" w:rsidP="00585AD9">
      <w:pPr>
        <w:widowControl w:val="0"/>
        <w:jc w:val="both"/>
        <w:rPr>
          <w:noProof/>
        </w:rPr>
      </w:pPr>
      <w:r>
        <w:tab/>
        <w:t>Jau tampa įprasta, kad šalyje kiekvienais metais sunaikinama nors viena ATS medžiagų laboratorija, ne išimtis ir 2005 m.. Šakių rajone išnuomotoje sodyboje buvo aptikta amfetamino gamybos laboratorijos įranga bei 769 g pagaminto amfetamino ir jo gamybai reikalingo pirmtako (prekursoriaus) BMK  (2824g.) bei kitų cheminių medžiagų. Sulaikyti asmenys, organizavę bei prižiūrėję gamybą.</w:t>
      </w:r>
      <w:r>
        <w:rPr>
          <w:rStyle w:val="Puslapioinaosnuoroda"/>
        </w:rPr>
        <w:footnoteReference w:id="5"/>
      </w:r>
      <w:r>
        <w:t xml:space="preserve"> Gamybos ir platinimo modelis įprastas: specialistas įrengia patalpas, pradeda gamybos procesą, duoda tolimesnius nurodymus kaip tęsti gamybą. Vėliau visą gamybos procesą atlieka samdyti specialaus išsilavinimo ar pasirengimo neturintys asmenys. Konspiracija, medžiagų, reikalingų gamybai, įgijimu bei produkcijos platinimu rūpinasi organizuotos grupuotės nariai.</w:t>
      </w:r>
      <w:r>
        <w:rPr>
          <w:noProof/>
        </w:rPr>
        <w:t xml:space="preserve"> </w:t>
      </w:r>
    </w:p>
    <w:p w:rsidR="00585AD9" w:rsidRDefault="00585AD9" w:rsidP="00585AD9">
      <w:pPr>
        <w:widowControl w:val="0"/>
        <w:jc w:val="both"/>
      </w:pPr>
      <w:r>
        <w:tab/>
        <w:t xml:space="preserve">Didelė ATS medžiagų paklausa Švedijoje ir Norvegijoje, nedideli gamybos ir pergabenimo kaštai bei didelis gaunamas pelnas, skatina šių medžiagų gamybą Lietuvoje. Pernai metais Švedijoje buvo sulaikytas LR pilietis su rekordine 39,1 kg amfetamino siunta. Dažniausiai gabenama iki 10 kg, tačiau kartais bandoma pervežti ir labai didelius kiekius. Iš to galima daryti prielaidą, kad nepaisant griežtos teisėsaugos pareigūnų kontrolės, sulaikymo rizika yra labai nedidelė (nuolat keičiami </w:t>
      </w:r>
      <w:r>
        <w:rPr>
          <w:i/>
        </w:rPr>
        <w:t>modus operandi</w:t>
      </w:r>
      <w:r>
        <w:t xml:space="preserve">), arba kad tokio sulaikymo nuostolis nėra didelis, t.y. kitas pavykęs pervežimas atperka patirtą nuostolį. </w:t>
      </w:r>
    </w:p>
    <w:p w:rsidR="00585AD9" w:rsidRDefault="00585AD9" w:rsidP="00585AD9">
      <w:pPr>
        <w:tabs>
          <w:tab w:val="left" w:pos="567"/>
        </w:tabs>
        <w:jc w:val="both"/>
      </w:pPr>
      <w:r>
        <w:tab/>
      </w:r>
      <w:r>
        <w:tab/>
        <w:t>ATS medžiagų kontrabandos keliai per 2005 metus išliko nepakitę: iš Lietuvos į Skandinaviją gabenamas amfetaminas ir metamfetaminas, taip pat šios medžiagos gabenamos į Baltarusiją ir Rusiją. Ecstasy įvežama į Lietuvą iš Olandijos. „2005 m. Lietuvos muitinėje buvo užfiksuotas vienas amfetamino kontrabandos atvejis į Olandiją maršrutiniu autobusu, nors būtent ši valstybė įvairiose ES teisėsaugos institucijų ataskaitose minima kaip pirmaujanti Europoje  pagal pagaminamų ATS medžiagų kiekį. Sėkmingai nugabentas amfetaminas turėjo būti parduotas apgaulės būdu kaip kokainas. Tai rodo nusikalstamų grupuočių siekį didinti pajamas bet kuriuo būdu.“</w:t>
      </w:r>
      <w:r>
        <w:rPr>
          <w:rStyle w:val="Puslapioinaosnuoroda"/>
        </w:rPr>
        <w:footnoteReference w:id="6"/>
      </w:r>
    </w:p>
    <w:p w:rsidR="00585AD9" w:rsidRDefault="00585AD9" w:rsidP="00585AD9">
      <w:pPr>
        <w:jc w:val="both"/>
        <w:rPr>
          <w:b/>
        </w:rPr>
      </w:pPr>
    </w:p>
    <w:p w:rsidR="00585AD9" w:rsidRDefault="00585AD9" w:rsidP="00DD08F5">
      <w:pPr>
        <w:numPr>
          <w:ilvl w:val="0"/>
          <w:numId w:val="12"/>
        </w:numPr>
        <w:tabs>
          <w:tab w:val="num" w:pos="2010"/>
        </w:tabs>
        <w:jc w:val="both"/>
        <w:rPr>
          <w:b/>
          <w:caps/>
          <w:color w:val="008000"/>
        </w:rPr>
      </w:pPr>
      <w:r>
        <w:rPr>
          <w:noProof/>
          <w:lang w:eastAsia="lt-LT"/>
        </w:rPr>
        <w:drawing>
          <wp:anchor distT="0" distB="0" distL="114300" distR="114300" simplePos="0" relativeHeight="251679744" behindDoc="0" locked="0" layoutInCell="0" allowOverlap="0" wp14:anchorId="3A74EF65" wp14:editId="3310D12E">
            <wp:simplePos x="0" y="0"/>
            <wp:positionH relativeFrom="column">
              <wp:posOffset>3086100</wp:posOffset>
            </wp:positionH>
            <wp:positionV relativeFrom="page">
              <wp:posOffset>5586730</wp:posOffset>
            </wp:positionV>
            <wp:extent cx="3087370" cy="2132965"/>
            <wp:effectExtent l="3810" t="0" r="0" b="5080"/>
            <wp:wrapSquare wrapText="bothSides"/>
            <wp:docPr id="16" name="Diagrama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Pr>
          <w:b/>
          <w:i/>
          <w:color w:val="008000"/>
        </w:rPr>
        <w:t>Kanapės</w:t>
      </w:r>
    </w:p>
    <w:p w:rsidR="00585AD9" w:rsidRDefault="00585AD9" w:rsidP="00585AD9">
      <w:pPr>
        <w:widowControl w:val="0"/>
        <w:jc w:val="both"/>
      </w:pPr>
      <w:r>
        <w:rPr>
          <w:noProof/>
          <w:lang w:eastAsia="lt-LT"/>
        </w:rPr>
        <mc:AlternateContent>
          <mc:Choice Requires="wps">
            <w:drawing>
              <wp:anchor distT="0" distB="0" distL="114300" distR="114300" simplePos="0" relativeHeight="251682816" behindDoc="0" locked="0" layoutInCell="0" allowOverlap="1" wp14:anchorId="2735A33C" wp14:editId="4FC40040">
                <wp:simplePos x="0" y="0"/>
                <wp:positionH relativeFrom="column">
                  <wp:posOffset>3200400</wp:posOffset>
                </wp:positionH>
                <wp:positionV relativeFrom="paragraph">
                  <wp:posOffset>2468880</wp:posOffset>
                </wp:positionV>
                <wp:extent cx="685800" cy="342900"/>
                <wp:effectExtent l="3810" t="0" r="0" b="1905"/>
                <wp:wrapNone/>
                <wp:docPr id="15" name="Teksto laukas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5" o:spid="_x0000_s1036" type="#_x0000_t202" style="position:absolute;left:0;text-align:left;margin-left:252pt;margin-top:194.4pt;width:54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" o:allowincell="f" filled="f" stroked="f">
                <v:textbox>
                  <w:txbxContent>
                    <w:p w:rsidR="004F7425" w:rsidRDefault="004F7425" w:rsidP="00585AD9">
                      <w:pPr>
                        <w:rPr>
                          <w:b/>
                          <w:color w:val="008000"/>
                          <w:sz w:val="20"/>
                        </w:rPr>
                      </w:pPr>
                    </w:p>
                  </w:txbxContent>
                </v:textbox>
              </v:shape>
            </w:pict>
          </mc:Fallback>
        </mc:AlternateContent>
      </w:r>
      <w:r>
        <w:rPr>
          <w:noProof/>
          <w:lang w:eastAsia="lt-LT"/>
        </w:rPr>
        <mc:AlternateContent>
          <mc:Choice Requires="wps">
            <w:drawing>
              <wp:anchor distT="0" distB="0" distL="114300" distR="114300" simplePos="0" relativeHeight="251681792" behindDoc="0" locked="0" layoutInCell="0" allowOverlap="1" wp14:anchorId="2D4A6DB8" wp14:editId="1B5FF6D9">
                <wp:simplePos x="0" y="0"/>
                <wp:positionH relativeFrom="column">
                  <wp:posOffset>228600</wp:posOffset>
                </wp:positionH>
                <wp:positionV relativeFrom="paragraph">
                  <wp:posOffset>5364480</wp:posOffset>
                </wp:positionV>
                <wp:extent cx="2514600" cy="228600"/>
                <wp:effectExtent l="3810" t="0" r="0" b="1905"/>
                <wp:wrapNone/>
                <wp:docPr id="14" name="Teksto laukas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FFFFFF"/>
                                <w:sz w:val="20"/>
                              </w:rPr>
                            </w:pPr>
                            <w:r>
                              <w:rPr>
                                <w:b/>
                                <w:color w:val="FFFFFF"/>
                                <w:sz w:val="20"/>
                              </w:rPr>
                              <w:t>Panevėžio m. VPK ONTT nuotrauka, 2005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4" o:spid="_x0000_s1037" type="#_x0000_t202" style="position:absolute;left:0;text-align:left;margin-left:18pt;margin-top:422.4pt;width:198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" o:allowincell="f" filled="f" stroked="f">
                <v:textbox>
                  <w:txbxContent>
                    <w:p w:rsidR="004F7425" w:rsidRDefault="004F7425" w:rsidP="00585AD9">
                      <w:pPr>
                        <w:rPr>
                          <w:b/>
                          <w:color w:val="FFFFFF"/>
                          <w:sz w:val="20"/>
                        </w:rPr>
                      </w:pPr>
                      <w:r>
                        <w:rPr>
                          <w:b/>
                          <w:color w:val="FFFFFF"/>
                          <w:sz w:val="20"/>
                        </w:rPr>
                        <w:t>Panevėžio m. VPK ONTT nuotrauka, 2005 m.</w:t>
                      </w:r>
                    </w:p>
                  </w:txbxContent>
                </v:textbox>
              </v:shape>
            </w:pict>
          </mc:Fallback>
        </mc:AlternateContent>
      </w:r>
      <w:r>
        <w:t xml:space="preserve">Remiantis Europos narkotikų ir narkomanijos stebėsenos centro duomenimis kanapės - Europoje </w:t>
      </w:r>
      <w:r>
        <w:lastRenderedPageBreak/>
        <w:t>dažniausiai vartojama narkotinė medžiaga, apie 20 %  Europos Sąjungos gyventojų  yra kada nors bandę vartoti kanapes. Lietuvoje kanapės taip pat atrado savo rinką.  Gatvėje prekiaujamų kanapių dozės kaina yra 7-10 litų.  „Šios rūšies narkotikų platinimas dažnai vykdomas „per tas pačias rankas“ kaip ir ATS medžiagų platinimas.“</w:t>
      </w:r>
      <w:r>
        <w:rPr>
          <w:rStyle w:val="Puslapioinaosnuoroda"/>
        </w:rPr>
        <w:footnoteReference w:id="7"/>
      </w:r>
      <w:r>
        <w:t xml:space="preserve"> Lietuvos nelegalioje narkotikų rinkoje visada buvo galima įsigyti „vietinių“ ir  atvežtinių kanapių. Iki  praėjusių metų teigdavome, kad šalyje auginamos kanapės yra silpno veikimo, nesukelia tokio efekto kaip atvežtinė modifikuota kanapė vadinama „</w:t>
      </w:r>
      <w:r>
        <w:rPr>
          <w:i/>
        </w:rPr>
        <w:t>nederweit</w:t>
      </w:r>
      <w:r>
        <w:t>“  arba „</w:t>
      </w:r>
      <w:r>
        <w:rPr>
          <w:i/>
        </w:rPr>
        <w:t>olandiškoji žolė</w:t>
      </w:r>
      <w:r>
        <w:t>“, tačiau pernai metų keli sulaikymai, paneigia mitą,  kad Lietuvoje auginama tik paprasta lietuviška kanapė, turinti žemą THC procentą. 2005 m. specialios operacijos metu Panevėžio r. dviejuose kaimuose buvo aptikti dideli šiltnamiai (300 ir 200 kv. metrų ploto), kuriuose buvo specialiai auginamos, įtariama, modifikuotos kanapės. Dar viename Panevėžio apskrities kaime, buvusiame vaikų darželio pastate, rastos patalpos, kuriose buvo auginamos ir džiovinamos kanapės, taip pat rasta kanapių auginimo bei džiovinimo įranga. Minėtos patalpos buvo specialiai  įrengtos: atitinkama vėdinimo sistema, nuolatinis apšvietimas ir šildymas, sąlygos leidžiančios augalams subrandinti didesnį THC kiekį. Šiose patalpose  buvo rasta 64,5 kg sausų kanapių. Išviso trijų sulaikymų metu buvo sunaikinta apie 900 kg žalių kanapių augalų, iš kurių galima paruošti apie 110 kg vartojimui tinkamos medžiagos.</w:t>
      </w:r>
      <w:r>
        <w:rPr>
          <w:rStyle w:val="Puslapioinaosnuoroda"/>
        </w:rPr>
        <w:footnoteReference w:id="8"/>
      </w:r>
    </w:p>
    <w:p w:rsidR="00585AD9" w:rsidRDefault="00585AD9" w:rsidP="00585AD9">
      <w:pPr>
        <w:ind w:firstLine="720"/>
        <w:jc w:val="both"/>
        <w:rPr>
          <w:i/>
        </w:rPr>
      </w:pPr>
      <w:r>
        <w:t xml:space="preserve">Kompleksinės policijos priemonės „Aguona -2005“ metu buvo naikinami ne tik aguonų bet ir kanapių plotai, pastarieji lyginant su ankstesniais metais nežymiai padidėjo </w:t>
      </w:r>
      <w:r>
        <w:rPr>
          <w:i/>
        </w:rPr>
        <w:t>(žr.</w:t>
      </w:r>
      <w:r>
        <w:t xml:space="preserve"> </w:t>
      </w:r>
      <w:r>
        <w:rPr>
          <w:i/>
        </w:rPr>
        <w:t>11 pav.)</w:t>
      </w:r>
    </w:p>
    <w:p w:rsidR="00585AD9" w:rsidRDefault="00585AD9" w:rsidP="00585AD9">
      <w:pPr>
        <w:ind w:firstLine="720"/>
        <w:jc w:val="both"/>
      </w:pPr>
      <w:r>
        <w:t>Pasikartojantys dideli (260 kg, 23 kg, 44 kg) hašišo išėmimai šalyje leidžia daryti prielaidą, kad per Lietuvą eina šios medžiagos tranzitinis kelias: visų pirma paskutiniai du sulaikymai vyko pasienio zonoje, kai narkotikus buvo ketinama išvežti iš mūsų šalies, antra, Lietuvai toks kiekis per didelis, trečia, Lietuvoje nėra didelės šiaurės Afrikos (arabų) diasporos. Skirtingai negu lietuviai jie turi gilias šio narkotiko vartojimo tradicijas. Jau kelis metus iš eilės hašišas nelegalioje narkotikų rinkoje užima vienodą poziciją - apie 2 %.</w:t>
      </w:r>
    </w:p>
    <w:p w:rsidR="00585AD9" w:rsidRDefault="00585AD9" w:rsidP="00585AD9">
      <w:pPr>
        <w:jc w:val="both"/>
        <w:rPr>
          <w:b/>
          <w:caps/>
          <w:color w:val="008000"/>
        </w:rPr>
      </w:pPr>
    </w:p>
    <w:p w:rsidR="00585AD9" w:rsidRDefault="00585AD9" w:rsidP="00585AD9">
      <w:pPr>
        <w:jc w:val="both"/>
        <w:rPr>
          <w:b/>
          <w:caps/>
          <w:color w:val="008000"/>
        </w:rPr>
      </w:pPr>
    </w:p>
    <w:p w:rsidR="00585AD9" w:rsidRDefault="00585AD9" w:rsidP="00585AD9">
      <w:pPr>
        <w:jc w:val="both"/>
        <w:rPr>
          <w:b/>
          <w:caps/>
          <w:color w:val="008000"/>
        </w:rPr>
      </w:pPr>
    </w:p>
    <w:p w:rsidR="00585AD9" w:rsidRDefault="00585AD9" w:rsidP="00585AD9">
      <w:pPr>
        <w:jc w:val="both"/>
        <w:rPr>
          <w:b/>
          <w:caps/>
          <w:color w:val="008000"/>
        </w:rPr>
      </w:pPr>
    </w:p>
    <w:p w:rsidR="00585AD9" w:rsidRDefault="00585AD9" w:rsidP="00DD08F5">
      <w:pPr>
        <w:numPr>
          <w:ilvl w:val="0"/>
          <w:numId w:val="12"/>
        </w:numPr>
        <w:jc w:val="both"/>
        <w:rPr>
          <w:b/>
          <w:i/>
          <w:color w:val="008000"/>
        </w:rPr>
      </w:pPr>
      <w:r>
        <w:rPr>
          <w:b/>
          <w:i/>
          <w:color w:val="008000"/>
        </w:rPr>
        <w:t xml:space="preserve">Heroinas ir aguonos </w:t>
      </w:r>
    </w:p>
    <w:p w:rsidR="00585AD9" w:rsidRDefault="00585AD9" w:rsidP="00585AD9">
      <w:pPr>
        <w:jc w:val="both"/>
        <w:rPr>
          <w:b/>
          <w:caps/>
          <w:color w:val="008000"/>
        </w:rPr>
      </w:pPr>
    </w:p>
    <w:p w:rsidR="00585AD9" w:rsidRDefault="00585AD9" w:rsidP="00585AD9">
      <w:pPr>
        <w:jc w:val="both"/>
      </w:pPr>
      <w:r>
        <w:tab/>
        <w:t xml:space="preserve">Lietuvoje heroinas labiausiai buvo paplitęs 2001 m., vėliau jo populiarumas mažėjo, nes vietiniai narkotikai pagaminti iš aguonų ir jų dalių buvo pigesni bei geresnės koncentracijos. Tačiau heroinas nedingo iš Lietuvos, juolab, kad mūsų šalis naudojama heroino tranzitui į Europą. 2005 metais gauta operatyvinė informacija apie heroino apyvartą šalyje, dvigubai išaugę heroino sulaikymo atvejai, gatvėje pardavinėjamo heroino aukštas grynumo rodiklis (iki 77,8 </w:t>
      </w:r>
      <w:r>
        <w:rPr>
          <w:rFonts w:ascii="Arial" w:hAnsi="Arial"/>
        </w:rPr>
        <w:t>%</w:t>
      </w:r>
      <w:r>
        <w:t>) bei nepakitusi kaina liudija, kad nusikalstamo pasaulio atstovai vėl investuoja į heroino rinkos plėtrą. „Pagrindiniu argumentu įvardijama stipri bei greita priklausomybė nuo šio narkotiko (vos kelis kartus pavartojus), kas užtikrina pastovų vartotojų ratą, t.y. nuolatines pajamas. Priklausomybė heroinui bei tolerancija yra nuolatinė būsena, t.y. poreikis heroinui yra visada, nuo kurio atsisakyti praktiškai neįmanoma.“</w:t>
      </w:r>
      <w:r>
        <w:rPr>
          <w:rStyle w:val="Puslapioinaosnuoroda"/>
        </w:rPr>
        <w:footnoteReference w:id="9"/>
      </w:r>
      <w:r>
        <w:t xml:space="preserve"> </w:t>
      </w:r>
    </w:p>
    <w:p w:rsidR="00585AD9" w:rsidRDefault="00585AD9" w:rsidP="00585AD9">
      <w:pPr>
        <w:shd w:val="clear" w:color="auto" w:fill="FFFFFF"/>
        <w:ind w:left="11" w:firstLine="670"/>
        <w:jc w:val="both"/>
      </w:pPr>
      <w:r>
        <w:rPr>
          <w:noProof/>
          <w:lang w:eastAsia="lt-LT"/>
        </w:rPr>
        <mc:AlternateContent>
          <mc:Choice Requires="wps">
            <w:drawing>
              <wp:anchor distT="0" distB="0" distL="114300" distR="114300" simplePos="0" relativeHeight="251683840" behindDoc="0" locked="0" layoutInCell="0" allowOverlap="1" wp14:anchorId="4B8DB5DA" wp14:editId="16864FED">
                <wp:simplePos x="0" y="0"/>
                <wp:positionH relativeFrom="column">
                  <wp:posOffset>2286000</wp:posOffset>
                </wp:positionH>
                <wp:positionV relativeFrom="paragraph">
                  <wp:posOffset>2925445</wp:posOffset>
                </wp:positionV>
                <wp:extent cx="685800" cy="342900"/>
                <wp:effectExtent l="3810" t="0" r="0" b="1905"/>
                <wp:wrapNone/>
                <wp:docPr id="13" name="Teksto laukas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 xml:space="preserve">12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3" o:spid="_x0000_s1038" type="#_x0000_t202" style="position:absolute;left:0;text-align:left;margin-left:180pt;margin-top:230.35pt;width:54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" o:allowincell="f" filled="f" stroked="f">
                <v:textbox>
                  <w:txbxContent>
                    <w:p w:rsidR="004F7425" w:rsidRDefault="004F7425" w:rsidP="00585AD9">
                      <w:pPr>
                        <w:rPr>
                          <w:b/>
                          <w:color w:val="008000"/>
                          <w:sz w:val="20"/>
                        </w:rPr>
                      </w:pPr>
                      <w:r>
                        <w:rPr>
                          <w:b/>
                          <w:color w:val="008000"/>
                          <w:sz w:val="20"/>
                        </w:rPr>
                        <w:t xml:space="preserve">12 pav.  </w:t>
                      </w:r>
                    </w:p>
                  </w:txbxContent>
                </v:textbox>
              </v:shape>
            </w:pict>
          </mc:Fallback>
        </mc:AlternateContent>
      </w:r>
      <w:r>
        <w:rPr>
          <w:noProof/>
          <w:lang w:eastAsia="lt-LT"/>
        </w:rPr>
        <w:drawing>
          <wp:anchor distT="0" distB="0" distL="114300" distR="114300" simplePos="0" relativeHeight="251670528" behindDoc="0" locked="0" layoutInCell="0" allowOverlap="1" wp14:anchorId="39B507DF" wp14:editId="70FBC881">
            <wp:simplePos x="0" y="0"/>
            <wp:positionH relativeFrom="column">
              <wp:posOffset>2171700</wp:posOffset>
            </wp:positionH>
            <wp:positionV relativeFrom="paragraph">
              <wp:posOffset>754380</wp:posOffset>
            </wp:positionV>
            <wp:extent cx="3891280" cy="2261870"/>
            <wp:effectExtent l="3810" t="0" r="635" b="0"/>
            <wp:wrapSquare wrapText="bothSides"/>
            <wp:docPr id="12" name="Diagrama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tab/>
        <w:t xml:space="preserve">Kaune, antrame pagal dydį Lietuvos mieste, heroinas kaip ir sostinėje Vilniuje yra tarp dažniausiai vartojamų narkotikų. Tai logiška tąsa ilgalaikio narkotikų vartojimo, nes būtent šiuos narkotikus vartoja asmenys, kurie sunkiai serga priklausomybe nuo narkotikų.  Heroinui pasirodžius Lietuvoje, jo pabandymas (kaip bet kokios naujovės) tapo mada. Dėl aukštos koncentracijos heroinas buvo uostomas ar rūkomas, vartotojų amžius buvo labai įvairus, panašiai kaip ir ATS medžiagų vartotojų. Šiuo metu stebima, kad heroino vartotojai yra vyresni (maždaug nuo 25 metų) asmenys, galima įtarti, kad tai anksčiau išbandę ar ilgiau vartoję kitus narkotikus ir dar </w:t>
      </w:r>
      <w:r>
        <w:lastRenderedPageBreak/>
        <w:t>visiškai nedegradavę asmenys. Vyrauja nuomonė, kad „iš aguonų pagamintus narkotikus (išskyrus heroiną) vartoja daugiau asocialūs asmenys.“</w:t>
      </w:r>
      <w:r>
        <w:rPr>
          <w:rStyle w:val="Puslapioinaosnuoroda"/>
        </w:rPr>
        <w:footnoteReference w:id="10"/>
      </w:r>
      <w:r>
        <w:t xml:space="preserve"> </w:t>
      </w:r>
    </w:p>
    <w:p w:rsidR="00585AD9" w:rsidRDefault="00585AD9" w:rsidP="00585AD9">
      <w:pPr>
        <w:jc w:val="both"/>
      </w:pPr>
      <w:r>
        <w:rPr>
          <w:color w:val="00FF00"/>
        </w:rPr>
        <w:t xml:space="preserve"> </w:t>
      </w:r>
      <w:r>
        <w:rPr>
          <w:color w:val="00FF00"/>
        </w:rPr>
        <w:tab/>
      </w:r>
      <w:r>
        <w:t>Vykdant Lietuvos Respublikos Seimo 2004 m. balandžio 8 d. nutarimu Nr. IX-2110 (Žin., 2004, Nr. 58-2041) patvirtintą Nacionalinę narkotikų kontrolės ir narkomanijos prevencijos 2004–2008 metų programą ir siekiant suaktyvinti policijos veiklą užkertant kelią narkotikams plisti, 2005 m. birželio 23 d. – rugsėjo 9 d. šalyje buvo vykdoma kompleksinė priemonė „Aguona–2005“. „Teritorinių policijos įstaigų vykdytos kompleksinės priemonės „Aguona–2005“ metu buvo:</w:t>
      </w:r>
    </w:p>
    <w:p w:rsidR="00585AD9" w:rsidRDefault="00585AD9" w:rsidP="00DD08F5">
      <w:pPr>
        <w:numPr>
          <w:ilvl w:val="0"/>
          <w:numId w:val="10"/>
        </w:numPr>
        <w:jc w:val="both"/>
      </w:pPr>
      <w:r>
        <w:t xml:space="preserve">sunaikinta 10089 kv. m. aguonų pasėlių (2004 m. - 52141,6 kv. m. aguonų  pasėlių) </w:t>
      </w:r>
      <w:r>
        <w:rPr>
          <w:i/>
        </w:rPr>
        <w:t>(žr. 12 pav.)</w:t>
      </w:r>
      <w:r>
        <w:t>. Daugiausiai aguonų pasėlių sunaikinta Marijampolės apskrityje (4957 kv. m.), Šiaulių apskrityje (2623,4 kv. m.) ir Vilniaus apskrityje (1022,3 kv. m.);</w:t>
      </w:r>
    </w:p>
    <w:p w:rsidR="00585AD9" w:rsidRDefault="00585AD9" w:rsidP="00DD08F5">
      <w:pPr>
        <w:numPr>
          <w:ilvl w:val="0"/>
          <w:numId w:val="10"/>
        </w:numPr>
        <w:jc w:val="both"/>
      </w:pPr>
      <w:r>
        <w:t xml:space="preserve">583 asmenys (iš jų 16 nepilnamečių) patraukti administracinėn atsakomybėn pagal LR ATPK 44 str. „Neteisėtas psichotropinių ar narkotinių medžiagų įgijimas ar laikymas nedideliais kiekiais arba psichotropinių ar narkotinių medžiagų vartojimas be gydytojo paskyrimo“ (2004 m. – 582). Daugiausiai tokių pažeidėjų – 433 arba 74,3 </w:t>
      </w:r>
      <w:r>
        <w:rPr>
          <w:rFonts w:ascii="Arial" w:hAnsi="Arial"/>
        </w:rPr>
        <w:t>%</w:t>
      </w:r>
      <w:r>
        <w:t xml:space="preserve"> buvo išaiškinta Vilniaus apskrityje;</w:t>
      </w:r>
    </w:p>
    <w:p w:rsidR="00585AD9" w:rsidRDefault="00585AD9" w:rsidP="00DD08F5">
      <w:pPr>
        <w:numPr>
          <w:ilvl w:val="0"/>
          <w:numId w:val="10"/>
        </w:numPr>
        <w:jc w:val="both"/>
      </w:pPr>
      <w:r>
        <w:t>pagal ATPK 107² straipsnį „Neteisėtas opijinių aguonų, kanapių ar kokamedžių auginimas“ atsakomybėn patraukti 903 asmenys (2004 m. – 2010). Daugiausiai tokių pažeidėjų išaiškinta Panevėžio apskrityje – 201, Vilniaus apskrityje – 162, Šiaulių apskrityje – 153;</w:t>
      </w:r>
    </w:p>
    <w:p w:rsidR="00585AD9" w:rsidRDefault="00585AD9" w:rsidP="00DD08F5">
      <w:pPr>
        <w:numPr>
          <w:ilvl w:val="0"/>
          <w:numId w:val="10"/>
        </w:numPr>
        <w:jc w:val="both"/>
      </w:pPr>
      <w:r>
        <w:t>Policijos pareigūnų organizuotų tikslinių priemonių bei reidų metu buvo nustatyti 56 asmenys, platinę narkotikus (iš jų 5 nepilnamečiai), 598 narkotinių medžiagų vartotojai (iš jų 16 nepilnamečių).</w:t>
      </w:r>
    </w:p>
    <w:p w:rsidR="00585AD9" w:rsidRDefault="00585AD9" w:rsidP="00585AD9">
      <w:pPr>
        <w:ind w:firstLine="720"/>
        <w:jc w:val="both"/>
      </w:pPr>
      <w:r>
        <w:tab/>
        <w:t>Apibendrinus prevencinės priemonės „Aguona–2005“ rezultatus, galima teigti kad, aguonų auginimo mastai žymiai sumažėjo. Visose šalies apskrityse pastebima, kad gyventojai savo sklypuose pradėjo vengti auginti aguonas, tą patvirtino žvalgybiniai skrydžiai ir prevencinių priemonių metu pasiektų rezultatų analizė.“</w:t>
      </w:r>
      <w:r>
        <w:rPr>
          <w:rStyle w:val="Puslapioinaosnuoroda"/>
        </w:rPr>
        <w:footnoteReference w:id="11"/>
      </w:r>
      <w:r>
        <w:t xml:space="preserve"> </w:t>
      </w:r>
    </w:p>
    <w:p w:rsidR="00585AD9" w:rsidRDefault="00585AD9" w:rsidP="00585AD9">
      <w:pPr>
        <w:ind w:firstLine="720"/>
        <w:jc w:val="both"/>
      </w:pPr>
      <w:r>
        <w:tab/>
        <w:t>Nepriklausomai nuo mažėjančių sunaikintų aguonų pasėlių plotų, iš jų pagaminti narkotikai dar ilgai neišnyks iš šalies vartotojų rinkos. Šios rūšies narkotikai išlieka paklausūs visoje šalyje, bet ypač mažesniuose miestuose ar kaimiškose vietovėse tarp vyresnių ir jau ilgai vartojančių narkotikus asmenų. Nekintanti, sąlyginai nedidelė kaina rodo, kad paklausa nemažėja. Yra gauta informacijos, kad aguonų koncentratas gali būti įvežamas iš Baltarusijos, nors beveik kiekviename mieste yra šio narkotiko gamybos vietų. Ypač su aguonų apyvarta yra susiję Romų bendruomenės atstovai, „asmenys auginantys aguonas yra pamokomi, narkotikų verslu užsiimančių čigonų tautybės bei kitų asmenų maskuoti pasėlius, nuskinti aguonų žiedlapius arba auginti nedideliais ploteliais, arba auginti jiems nepriklausančiuose arba sunkiai prieinamuose žemės plotuose.“</w:t>
      </w:r>
      <w:r>
        <w:rPr>
          <w:rStyle w:val="Puslapioinaosnuoroda"/>
        </w:rPr>
        <w:footnoteReference w:id="12"/>
      </w:r>
      <w:r>
        <w:t xml:space="preserve"> Pastaruoju metu jie platina ir kitų rūšių narkotikus, su šiais asmenimis yra siejama heroino apyvarta, jo kontrabanda iš Sankt Peterburgo į Lietuvą bei kontrabanda į Kaliningrado sritį.</w:t>
      </w:r>
    </w:p>
    <w:p w:rsidR="00585AD9" w:rsidRDefault="00585AD9" w:rsidP="00585AD9">
      <w:pPr>
        <w:jc w:val="both"/>
      </w:pPr>
    </w:p>
    <w:p w:rsidR="00585AD9" w:rsidRDefault="00585AD9" w:rsidP="00DD08F5">
      <w:pPr>
        <w:numPr>
          <w:ilvl w:val="0"/>
          <w:numId w:val="12"/>
        </w:numPr>
        <w:jc w:val="both"/>
        <w:rPr>
          <w:b/>
          <w:i/>
          <w:caps/>
          <w:color w:val="008000"/>
        </w:rPr>
      </w:pPr>
      <w:r>
        <w:rPr>
          <w:b/>
          <w:i/>
          <w:color w:val="008000"/>
        </w:rPr>
        <w:t>Kokainas</w:t>
      </w:r>
    </w:p>
    <w:p w:rsidR="00585AD9" w:rsidRDefault="00585AD9" w:rsidP="00585AD9">
      <w:pPr>
        <w:jc w:val="both"/>
        <w:rPr>
          <w:b/>
          <w:color w:val="008000"/>
        </w:rPr>
      </w:pPr>
    </w:p>
    <w:p w:rsidR="00585AD9" w:rsidRDefault="00585AD9" w:rsidP="00585AD9">
      <w:pPr>
        <w:pStyle w:val="SubjectHeading"/>
        <w:keepNext/>
        <w:spacing w:before="0" w:after="0"/>
        <w:jc w:val="both"/>
        <w:rPr>
          <w:rFonts w:ascii="Times New Roman" w:hAnsi="Times New Roman"/>
          <w:b w:val="0"/>
          <w:sz w:val="24"/>
        </w:rPr>
      </w:pPr>
      <w:r>
        <w:tab/>
      </w:r>
      <w:r>
        <w:rPr>
          <w:rFonts w:ascii="Times New Roman" w:hAnsi="Times New Roman"/>
          <w:b w:val="0"/>
          <w:sz w:val="24"/>
        </w:rPr>
        <w:t xml:space="preserve"> Kokaino rinkoje Lietuvoje keli metai iš eilės nėra jokių pokyčių, tai brangus narkotikas, todėl nėra labai paklausus jaunimo tarpe, tačiau Lietuvos organizuotos nusikalstamos grupuotės stiprina savo įtaką pasaulinėje kokaino kontrabandos rinkoje. 2005 m. pabaigoje Ekvadore buvo sulaikyta didelė kokaino kontrabandos organizatorių grupė, kurios vienas iš vadovų buvo Lietuvos pilietis. Ši grupuotė kokainą gabendavo didelėmis siuntomis (po keliasdešimtis ar kelis šimtus kilogramų) dažniausiai laivais į Rusijos ar Europos jūrų uostus. Įprastai kokaino siuntos aplenkdavo Lietuvą, tačiau Lietuvos piliečiai kontroliavo beveik visą krovinio judėjimą ir gaudavo nemažą pelno dalį. </w:t>
      </w:r>
    </w:p>
    <w:p w:rsidR="00585AD9" w:rsidRDefault="00585AD9" w:rsidP="00585AD9">
      <w:pPr>
        <w:jc w:val="both"/>
        <w:rPr>
          <w:b/>
          <w:i/>
          <w:caps/>
          <w:color w:val="008000"/>
        </w:rPr>
      </w:pPr>
      <w:r>
        <w:rPr>
          <w:color w:val="FF0000"/>
        </w:rPr>
        <w:tab/>
      </w:r>
    </w:p>
    <w:p w:rsidR="00585AD9" w:rsidRDefault="00585AD9" w:rsidP="00DD08F5">
      <w:pPr>
        <w:numPr>
          <w:ilvl w:val="0"/>
          <w:numId w:val="12"/>
        </w:numPr>
        <w:jc w:val="both"/>
        <w:rPr>
          <w:b/>
          <w:i/>
          <w:color w:val="008000"/>
        </w:rPr>
      </w:pPr>
      <w:r>
        <w:rPr>
          <w:b/>
          <w:i/>
          <w:color w:val="008000"/>
        </w:rPr>
        <w:t>Kitos narkotinės ir psichotropinės medžiagos</w:t>
      </w:r>
    </w:p>
    <w:p w:rsidR="00585AD9" w:rsidRDefault="00585AD9" w:rsidP="00585AD9">
      <w:pPr>
        <w:ind w:left="360"/>
        <w:jc w:val="both"/>
        <w:rPr>
          <w:b/>
          <w:i/>
          <w:color w:val="008000"/>
        </w:rPr>
      </w:pPr>
    </w:p>
    <w:p w:rsidR="00585AD9" w:rsidRDefault="00585AD9" w:rsidP="00585AD9">
      <w:pPr>
        <w:jc w:val="both"/>
      </w:pPr>
      <w:r>
        <w:rPr>
          <w:caps/>
        </w:rPr>
        <w:tab/>
        <w:t xml:space="preserve">2005 </w:t>
      </w:r>
      <w:r>
        <w:t>m</w:t>
      </w:r>
      <w:r>
        <w:rPr>
          <w:caps/>
        </w:rPr>
        <w:t>.</w:t>
      </w:r>
      <w:r>
        <w:t xml:space="preserve"> žymiai padidėjo išimtų iš apyvartos psichotropinių vaistų, ypač Fenezepamo, kuris nėra registruotas Lietuvoje, tačiau jo be recepto galima įsigyti Kaliningrado srities vaistinėse. Šį vaistą kaip ir kitus neregistruotus mūsų šalyje, bet žymiai pigesnius,  nedideliais kiekiais gabeno </w:t>
      </w:r>
      <w:r>
        <w:lastRenderedPageBreak/>
        <w:t>pagyvenę asmenys, dažniausiai savo reikmėms arba parduoti kaimynams, kurie neturi galimybės nuvykti į kaimyninę valstybę. „Šalies teritorijoje psichotropinius vaistus nelegaliai platina pavieniai asmenys, kurie dažniausiai juos įgyja teisėtai arba superka receptus psichotropiniams vaistams įsigyti, o vėliau įgytus medikamentus parduoda narkotikus vartojantiems.“</w:t>
      </w:r>
      <w:r>
        <w:rPr>
          <w:rStyle w:val="Puslapioinaosnuoroda"/>
        </w:rPr>
        <w:footnoteReference w:id="13"/>
      </w:r>
    </w:p>
    <w:p w:rsidR="00585AD9" w:rsidRDefault="00585AD9" w:rsidP="00585AD9">
      <w:pPr>
        <w:jc w:val="both"/>
      </w:pPr>
      <w:r>
        <w:rPr>
          <w:color w:val="008000"/>
        </w:rPr>
        <w:tab/>
      </w:r>
      <w:r>
        <w:t xml:space="preserve">Lietuvoje LSD (haliucinogeninis narkotikas) niekada nebuvo labai populiarus, o pastaraisiais metais vartotojų rinkoje jo beveik nėra. Pernai nebuvo nė vieno šios medžiagos išėmimo atvejo, tačiau vis dažniau pasitaiko </w:t>
      </w:r>
      <w:r>
        <w:rPr>
          <w:i/>
        </w:rPr>
        <w:t xml:space="preserve">haliucinogeninių grybų </w:t>
      </w:r>
      <w:r>
        <w:t xml:space="preserve">(grybų turinčių psilocino arba psilocibino) vartojimo atvejų. Rinkoje yra lietuviškų ir atvežtinių haliucinogeninių grybų. Lietuviški grybai dažniausiai renkami Utenos apskrities pasienio rajonuose. </w:t>
      </w:r>
    </w:p>
    <w:p w:rsidR="00585AD9" w:rsidRDefault="00585AD9" w:rsidP="00585AD9">
      <w:pPr>
        <w:jc w:val="both"/>
      </w:pPr>
      <w:r>
        <w:tab/>
        <w:t>Kai kuriose Europos valstybėse populiaraus Natrio oksibutyrato (</w:t>
      </w:r>
      <w:r>
        <w:rPr>
          <w:i/>
        </w:rPr>
        <w:t>GHB)</w:t>
      </w:r>
      <w:r>
        <w:t xml:space="preserve"> Lietuvoje išimama nedaug ir gana retai, o pvz. 2004 m. jo iš neteisėtos apyvartos nekonfiskuota. Į Lietuvos kontroliuojamų medžiagų sąrašą ši medžiaga buvo įtraukta tik  2001 m.“Pirmą kartą šią medžiagą susintetino Prancūzų fizikas Henri-Marie Laborit praėjusio šimtmečio šeštąjį dešimtmetį. Europos mokslininkai šią medžiagą bandė pritaikyti kaip anestetiką, arba kaip priemonę gydyti miego sutrikimams ar nuo narkotikų priklausomybės. JAV ši medžiaga tik 2000 m. buvo įtraukta į kontroliuojamų medžiagų sąrašus. Iki devinto dešimtmečio ji buvo laisvai pardavinėjama parduotuvėse ir buvo neatsiejama </w:t>
      </w:r>
      <w:r>
        <w:rPr>
          <w:i/>
        </w:rPr>
        <w:t>reivo</w:t>
      </w:r>
      <w:r>
        <w:t xml:space="preserve"> kultūros dalis. GHB aptinkama sūraus skonio baltų miltelių arba bespalvio skysčio pavidalu. Ši medžiaga vartojama tik ryjant, dažniausia maišoma su gaiviaisiais gėrimais. Yra manoma, kad priklausomybė šiai medžiagai tokia kaip kokaino ar heroino, po 1 ar 10 pavartojimo atvejų gali išsivystyti priklausomybė. Medžiaga labai greitai absorbuojasi į organizmą, apsvaigimo efektas pasireiškia po 5-20 min, gali tęstis nuo 1 iki 6 valandų. GHB priskiriami raminamųjų grupei, taigi vartojimas provokuoja nusiraminimą, apsnūdimą, tačiau padidinta dozė gali sukelti pagyvėjimą, euforiją, padidintą pasitenkinimą, pvz. muzika ir pan., didelė perdozavimo rizika“</w:t>
      </w:r>
      <w:r>
        <w:rPr>
          <w:rStyle w:val="Puslapioinaosnuoroda"/>
        </w:rPr>
        <w:footnoteReference w:id="14"/>
      </w:r>
    </w:p>
    <w:p w:rsidR="00585AD9" w:rsidRDefault="00585AD9" w:rsidP="00585AD9">
      <w:pPr>
        <w:jc w:val="both"/>
      </w:pPr>
      <w:r>
        <w:tab/>
        <w:t xml:space="preserve"> </w:t>
      </w:r>
    </w:p>
    <w:p w:rsidR="00585AD9" w:rsidRDefault="00585AD9" w:rsidP="00585AD9">
      <w:pPr>
        <w:jc w:val="both"/>
      </w:pPr>
    </w:p>
    <w:p w:rsidR="00585AD9" w:rsidRDefault="00585AD9" w:rsidP="00585AD9">
      <w:pPr>
        <w:jc w:val="center"/>
      </w:pPr>
      <w:r>
        <w:rPr>
          <w:b/>
          <w:caps/>
          <w:color w:val="008000"/>
        </w:rPr>
        <w:t>Lietuvos piliečių nusikalstama veika, susijusi su neteisėta narkotikų apyvarta, užsienyje</w:t>
      </w:r>
    </w:p>
    <w:p w:rsidR="00585AD9" w:rsidRDefault="00585AD9" w:rsidP="00585AD9">
      <w:pPr>
        <w:jc w:val="both"/>
        <w:rPr>
          <w:color w:val="FF00FF"/>
        </w:rPr>
      </w:pPr>
      <w:r>
        <w:rPr>
          <w:color w:val="FF00FF"/>
        </w:rPr>
        <w:tab/>
      </w:r>
    </w:p>
    <w:p w:rsidR="00585AD9" w:rsidRDefault="00585AD9" w:rsidP="00585AD9">
      <w:pPr>
        <w:jc w:val="both"/>
      </w:pPr>
      <w:r>
        <w:tab/>
      </w:r>
    </w:p>
    <w:p w:rsidR="00585AD9" w:rsidRDefault="00585AD9" w:rsidP="00585AD9">
      <w:pPr>
        <w:jc w:val="both"/>
        <w:rPr>
          <w:i/>
        </w:rPr>
      </w:pPr>
      <w:r>
        <w:rPr>
          <w:b/>
          <w:caps/>
          <w:noProof/>
          <w:color w:val="008000"/>
          <w:lang w:eastAsia="lt-LT"/>
        </w:rPr>
        <mc:AlternateContent>
          <mc:Choice Requires="wps">
            <w:drawing>
              <wp:anchor distT="0" distB="0" distL="114300" distR="114300" simplePos="0" relativeHeight="251684864" behindDoc="0" locked="0" layoutInCell="0" allowOverlap="1" wp14:anchorId="0647FC8C" wp14:editId="12B027C2">
                <wp:simplePos x="0" y="0"/>
                <wp:positionH relativeFrom="column">
                  <wp:posOffset>-114300</wp:posOffset>
                </wp:positionH>
                <wp:positionV relativeFrom="paragraph">
                  <wp:posOffset>534035</wp:posOffset>
                </wp:positionV>
                <wp:extent cx="685800" cy="342900"/>
                <wp:effectExtent l="3810" t="635" r="0" b="0"/>
                <wp:wrapNone/>
                <wp:docPr id="11" name="Teksto lauka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 xml:space="preserve">13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1" o:spid="_x0000_s1039" type="#_x0000_t202" style="position:absolute;left:0;text-align:left;margin-left:-9pt;margin-top:42.05pt;width:54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" o:allowincell="f" filled="f" stroked="f">
                <v:textbox>
                  <w:txbxContent>
                    <w:p w:rsidR="004F7425" w:rsidRDefault="004F7425" w:rsidP="00585AD9">
                      <w:pPr>
                        <w:rPr>
                          <w:b/>
                          <w:color w:val="008000"/>
                          <w:sz w:val="20"/>
                        </w:rPr>
                      </w:pPr>
                      <w:r>
                        <w:rPr>
                          <w:b/>
                          <w:color w:val="008000"/>
                          <w:sz w:val="20"/>
                        </w:rPr>
                        <w:t xml:space="preserve">13 pav.  </w:t>
                      </w:r>
                    </w:p>
                  </w:txbxContent>
                </v:textbox>
              </v:shape>
            </w:pict>
          </mc:Fallback>
        </mc:AlternateContent>
      </w:r>
      <w:r>
        <w:tab/>
        <w:t xml:space="preserve">1998 m. policijai buvo žinomi 23 Lietuvos piliečiai, sulaikyti užsienio valstybėse už neteisėtą narkotikų prekybą ar kontrabandą. Iki 2002 m. šis skaičius išaugo penkis kartus, per paskutinius keturis metus sulaikytųjų skaičius stabilizavosi </w:t>
      </w:r>
      <w:r>
        <w:rPr>
          <w:i/>
        </w:rPr>
        <w:t>(žr. 13 pav.).</w:t>
      </w:r>
    </w:p>
    <w:p w:rsidR="00585AD9" w:rsidRDefault="00585AD9" w:rsidP="00585AD9">
      <w:pPr>
        <w:jc w:val="both"/>
      </w:pPr>
    </w:p>
    <w:p w:rsidR="00585AD9" w:rsidRDefault="00585AD9" w:rsidP="00585AD9">
      <w:pPr>
        <w:jc w:val="both"/>
      </w:pPr>
      <w:r>
        <w:rPr>
          <w:noProof/>
          <w:color w:val="FF00FF"/>
          <w:lang w:eastAsia="lt-LT"/>
        </w:rPr>
        <w:drawing>
          <wp:anchor distT="0" distB="0" distL="114300" distR="114300" simplePos="0" relativeHeight="251660288" behindDoc="0" locked="0" layoutInCell="0" allowOverlap="0" wp14:anchorId="0AF1E6FE" wp14:editId="7D374382">
            <wp:simplePos x="0" y="0"/>
            <wp:positionH relativeFrom="column">
              <wp:posOffset>0</wp:posOffset>
            </wp:positionH>
            <wp:positionV relativeFrom="page">
              <wp:posOffset>7529830</wp:posOffset>
            </wp:positionV>
            <wp:extent cx="2744470" cy="1828800"/>
            <wp:effectExtent l="3810" t="0" r="0" b="4445"/>
            <wp:wrapSquare wrapText="bothSides"/>
            <wp:docPr id="10" name="Diagrama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88960" behindDoc="0" locked="0" layoutInCell="0" allowOverlap="1" wp14:anchorId="4C25DCFE" wp14:editId="639BE565">
            <wp:simplePos x="0" y="0"/>
            <wp:positionH relativeFrom="column">
              <wp:posOffset>-3810</wp:posOffset>
            </wp:positionH>
            <wp:positionV relativeFrom="paragraph">
              <wp:posOffset>0</wp:posOffset>
            </wp:positionV>
            <wp:extent cx="6059805" cy="1828800"/>
            <wp:effectExtent l="0" t="0" r="0" b="3810"/>
            <wp:wrapSquare wrapText="bothSides"/>
            <wp:docPr id="9" name="Diagrama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tab/>
        <w:t xml:space="preserve">Apžvelgus aštuonių metų Lietuvos Respublikos piliečių sulaikymus, susijusius su neteisėta narkotikų apyvarta užsienio valstybėse, galima išskirti šias nagrinėjimo sritis: </w:t>
      </w:r>
      <w:r>
        <w:rPr>
          <w:b/>
        </w:rPr>
        <w:t xml:space="preserve">Lietuvos piliečiai - samdomi narkotikų kurjeriai, arba kontrabandos organizatoriai, arba prekiautojai. </w:t>
      </w:r>
      <w:r>
        <w:t>Po Lietuvos nepriklausomybės atgavimo LR piliečiai pamažu pradėjo naudotis laisvo judėjimo teise, vėliau prasidėjo nežymi emigracija į užsienį. Prieš kelis metus tarp Lietuvos  teisėsaugai</w:t>
      </w:r>
      <w:r>
        <w:rPr>
          <w:b/>
        </w:rPr>
        <w:t xml:space="preserve"> </w:t>
      </w:r>
      <w:r>
        <w:t>žinomų mūsų šalies piliečių sulaikymų užsienyje už neteisėtą narkotikų apyvartą, dominavo samdomų (užsakovai - užsienio piliečiai) narkotikų kurjerių sulaikymai. Narkotikų kontrabandos organizatoriams lietuviai imponavo savo išvaizda, natūraliu elgesiu bei</w:t>
      </w:r>
      <w:r>
        <w:rPr>
          <w:color w:val="FF00FF"/>
        </w:rPr>
        <w:t xml:space="preserve"> </w:t>
      </w:r>
      <w:r>
        <w:t xml:space="preserve">istoriškai pagrįstais giminystės ryšiais tolimosiose valstybėse. Prieš dešimtmetį lėktuvų keleivių profiliavimo sistemoje pagrindiniai įtarumo požymiai buvo: Afrikos ar Lotynų Amerikos gyventojas, prabangiai europietiškai apsirengęs, su nedideliu bagažu, dažniausiai žinomų firmų lagaminais, tačiau nenatūraliai besielgiantis, t.y. neatitinkantis bandomo sukurti verslo atstovo įvaizdžio. Lietuviams siūlomi pinigai tenkino ir užsakovus ir </w:t>
      </w:r>
      <w:r>
        <w:lastRenderedPageBreak/>
        <w:t>vykdytojus. Didėjanti emigracija, besiplečiantis pažinčių ratas (įtakos turėjo ir LR piliečių praleisti metai užsienio valstybių laisvės atėmimo vietose) LR piliečiams davė stimulą patiems organizuoti kontrabandą, todėl dalis lietuvių pradėjo vadovauti kontrabandos srautams. Dar vėliau, įgijus drąsos ir galimybių, LR piliečiai pradėjo bandyti kai kuriose užsienio valstybėse organizuoti narkotikų prekybos tinklą. Žinoma, dar ir dabar  pasitaiko atvejų, kai LR piliečiai sulaikomi kaip narkotikų prekiautojai ar narkotikų kurjeriai, o jų samdytojai būna užsienio piliečiai.</w:t>
      </w:r>
    </w:p>
    <w:p w:rsidR="00585AD9" w:rsidRDefault="00585AD9" w:rsidP="00585AD9">
      <w:pPr>
        <w:jc w:val="both"/>
        <w:rPr>
          <w:color w:val="FF00FF"/>
        </w:rPr>
      </w:pPr>
    </w:p>
    <w:p w:rsidR="00585AD9" w:rsidRDefault="00585AD9" w:rsidP="00585AD9">
      <w:pPr>
        <w:jc w:val="both"/>
      </w:pPr>
      <w:r>
        <w:t>Pagrindinės LR piliečių sąsajos su neteisėta narkotikų apyvarta užsienyje:</w:t>
      </w:r>
    </w:p>
    <w:p w:rsidR="00585AD9" w:rsidRDefault="00585AD9" w:rsidP="00585AD9">
      <w:pPr>
        <w:jc w:val="both"/>
        <w:rPr>
          <w:color w:val="FF00FF"/>
        </w:rPr>
      </w:pPr>
    </w:p>
    <w:p w:rsidR="00585AD9" w:rsidRDefault="00585AD9" w:rsidP="00DD08F5">
      <w:pPr>
        <w:numPr>
          <w:ilvl w:val="0"/>
          <w:numId w:val="9"/>
        </w:numPr>
        <w:ind w:left="720" w:hanging="720"/>
        <w:jc w:val="both"/>
      </w:pPr>
      <w:r>
        <w:rPr>
          <w:b/>
        </w:rPr>
        <w:t>Lietuvos piliečių dalyvavimas narkotikų versle Vokietijoje.</w:t>
      </w:r>
      <w:r>
        <w:rPr>
          <w:color w:val="FF00FF"/>
        </w:rPr>
        <w:t xml:space="preserve"> </w:t>
      </w:r>
      <w:r>
        <w:t xml:space="preserve">Nuo 2001 metų buvo stebima Lietuvos nusikalstamų grupuočių invazija į nelegalią narkotikų (ypač heroino) rinką Vokietijoje. Lietuviai stengėsi sukurti visą narkotikų prekybos tinklo veikimo mechanizmą: nuo organizavimo, kontrabandos iki prekybos gatvėje. Vokietijos teisėsaugininkai lietuvių grupuotes praminė „keliaujančiais prekeiviais“, nes laikantis konspiracijos gatvės prekeiviai nuolat buvo keičiami, arba grąžinami keliems mėnesiams į Lietuvą, arba siunčiami į kitą Vokietijos vietą. </w:t>
      </w:r>
    </w:p>
    <w:p w:rsidR="00585AD9" w:rsidRDefault="00585AD9" w:rsidP="00DD08F5">
      <w:pPr>
        <w:widowControl w:val="0"/>
        <w:numPr>
          <w:ilvl w:val="0"/>
          <w:numId w:val="9"/>
        </w:numPr>
        <w:ind w:left="720" w:hanging="720"/>
        <w:jc w:val="both"/>
      </w:pPr>
      <w:r>
        <w:rPr>
          <w:b/>
        </w:rPr>
        <w:t>Narkotikų kontrabanda į Skandinaviją</w:t>
      </w:r>
      <w:r>
        <w:rPr>
          <w:color w:val="FF00FF"/>
        </w:rPr>
        <w:t xml:space="preserve">. </w:t>
      </w:r>
      <w:r>
        <w:t xml:space="preserve">Lietuvos organizuoto nusikalstamumo atstovams „užkariauti“ Skandinavijos rinką sekėsi gana lengvai, jie galėjo pasiūlyti greitą pigių narkotikų, ypač gaminamų Lietuvoje, atvežimą.  </w:t>
      </w:r>
    </w:p>
    <w:p w:rsidR="00585AD9" w:rsidRDefault="00585AD9" w:rsidP="00585AD9">
      <w:pPr>
        <w:widowControl w:val="0"/>
        <w:ind w:left="720" w:hanging="720"/>
        <w:jc w:val="both"/>
      </w:pPr>
      <w:r>
        <w:rPr>
          <w:b/>
        </w:rPr>
        <w:tab/>
      </w:r>
      <w:r>
        <w:rPr>
          <w:b/>
        </w:rPr>
        <w:tab/>
        <w:t>L</w:t>
      </w:r>
      <w:r>
        <w:t>ietuvos organizuoto nusikalstamumo atstovai sėkmingai gabena Skandinavijoje populiarų rohypnolį iš Rusijos, tam pravertė seni nusikaltėlių ryšiai su Rusijos nusikalstamu pasauliu bei patogi geografinė šalies padėtis. 2001-2002 m. buvo stebima labai intensyvi LR piliečių organizuojama ir vykdoma šios medžiagos kontrabanda iš Rusijos į Norvegiją, tačiau vėlesniais metais sustiprinus šios medžiagos kontrolę bei po šio sedatyvinio vaisto oficialus gamintojo, farmacinės kompanijos „Roche“, importo nutraukimo į Rusiją, rohypnol kontrabandos srautas sumažėjo. 2005 m. vėl padaugėjo sulaikymų, nes įtariama, kad ši medžiaga falsifikuojama kaimyninėse valstybėse arba jų nesunku ten įsigyti.</w:t>
      </w:r>
    </w:p>
    <w:p w:rsidR="00585AD9" w:rsidRDefault="00585AD9" w:rsidP="00DD08F5">
      <w:pPr>
        <w:widowControl w:val="0"/>
        <w:numPr>
          <w:ilvl w:val="0"/>
          <w:numId w:val="18"/>
        </w:numPr>
        <w:ind w:hanging="720"/>
        <w:jc w:val="both"/>
      </w:pPr>
      <w:r>
        <w:rPr>
          <w:b/>
        </w:rPr>
        <w:t>Kokaino kontrabanda iš Lotynų Amerikos ir Karibų jūros valstybių.</w:t>
      </w:r>
      <w:r>
        <w:t xml:space="preserve"> Nors Lietuvoje kokaino rinka nėra didelė, tačiau kontrabandos atvejai iš Lotynų Amerikos į šalį pradėti fiksuoti senai. Anksčiau, galima įtarti, kokainas buvo gabenamas šalies vartotojų rinkai, nes kiekiai buvo nedideli apie 1 kg., tačiau vėliau siuntos padidėjo, todėl galima spręsti, kad narkotikų paskirties vieta pasikeitė: Vakarų Europa arba Rusija. Pastaruoju metu vis daugiau gaunama informacijos apie tai, kad LR piliečiai, priklausantys nusikalstamoms grupuotėms, organizuoja stambių siuntų gabenimą, aplenkiant Lietuvą, tiesiai į paskirties vietas.</w:t>
      </w:r>
    </w:p>
    <w:p w:rsidR="00585AD9" w:rsidRDefault="00585AD9" w:rsidP="00DD08F5">
      <w:pPr>
        <w:widowControl w:val="0"/>
        <w:numPr>
          <w:ilvl w:val="0"/>
          <w:numId w:val="18"/>
        </w:numPr>
        <w:ind w:hanging="720"/>
        <w:jc w:val="both"/>
      </w:pPr>
      <w:r>
        <w:rPr>
          <w:b/>
        </w:rPr>
        <w:t xml:space="preserve">Lietuvos Respublikos piliečių nusikalstama veikla Jungtinėje Karalystėje ir Airijoje. </w:t>
      </w:r>
      <w:r>
        <w:t xml:space="preserve">Didėjant LR piliečių emigracijai į Jungtinę Karalystę ir Airiją, daugėja ir mūsų piliečių sulaikymų. 2004 m. buvo fiksuotas tik vienas sulaikymas, 2005 m. - 9. Iš 8 žinomų sulaikymo atvejų Didžiojoje Britanijoje ir 1 Airijoje, 6 atvejai, susiję su ecstasy. Sulaikyti asmenys, gabenę kontrabandą bei platinę (pvz. naktiniame klube ar bandęs įsigyti kontroliuojamų psichotropinių vaistų su suklastotu receptu) narkotikus. </w:t>
      </w:r>
    </w:p>
    <w:p w:rsidR="00585AD9" w:rsidRDefault="00585AD9" w:rsidP="00DD08F5">
      <w:pPr>
        <w:widowControl w:val="0"/>
        <w:numPr>
          <w:ilvl w:val="0"/>
          <w:numId w:val="18"/>
        </w:numPr>
        <w:ind w:hanging="720"/>
        <w:jc w:val="both"/>
      </w:pPr>
      <w:r>
        <w:rPr>
          <w:b/>
        </w:rPr>
        <w:t xml:space="preserve">LR piliečių vaidmuo gabenant BMK kontrabandą į Belgiją ir Olandiją. </w:t>
      </w:r>
      <w:r>
        <w:t xml:space="preserve">2005 m. Vokietijoje buvo sulaikyti du vilkikai iš Lietuvos, kuriais buvo gabenamas BMK (730 ir 600 litrų). Medžiaga buvo skirta Belgijoje ir Olandijoje veikiančioms nelegalioms ATS medžiagų laboratorijoms. </w:t>
      </w:r>
    </w:p>
    <w:p w:rsidR="00585AD9" w:rsidRDefault="00585AD9" w:rsidP="00585AD9">
      <w:pPr>
        <w:widowControl w:val="0"/>
        <w:jc w:val="both"/>
      </w:pPr>
      <w:r>
        <w:tab/>
      </w:r>
    </w:p>
    <w:p w:rsidR="00585AD9" w:rsidRDefault="00585AD9" w:rsidP="00585AD9">
      <w:pPr>
        <w:widowControl w:val="0"/>
        <w:jc w:val="both"/>
      </w:pPr>
    </w:p>
    <w:p w:rsidR="00585AD9" w:rsidRDefault="00585AD9" w:rsidP="00585AD9">
      <w:pPr>
        <w:widowControl w:val="0"/>
        <w:jc w:val="both"/>
      </w:pPr>
      <w:r>
        <w:rPr>
          <w:i/>
          <w:noProof/>
          <w:lang w:eastAsia="lt-LT"/>
        </w:rPr>
        <w:drawing>
          <wp:anchor distT="0" distB="0" distL="114300" distR="114300" simplePos="0" relativeHeight="251659264" behindDoc="0" locked="0" layoutInCell="1" allowOverlap="1" wp14:anchorId="6EBC4DD2" wp14:editId="49027457">
            <wp:simplePos x="0" y="0"/>
            <wp:positionH relativeFrom="column">
              <wp:posOffset>-76200</wp:posOffset>
            </wp:positionH>
            <wp:positionV relativeFrom="paragraph">
              <wp:posOffset>0</wp:posOffset>
            </wp:positionV>
            <wp:extent cx="2858135" cy="1931670"/>
            <wp:effectExtent l="3810" t="0" r="0" b="2540"/>
            <wp:wrapSquare wrapText="bothSides"/>
            <wp:docPr id="8" name="Diagrama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rsidR="00585AD9" w:rsidRDefault="00585AD9" w:rsidP="00585AD9">
      <w:pPr>
        <w:widowControl w:val="0"/>
        <w:jc w:val="both"/>
      </w:pPr>
      <w:r>
        <w:rPr>
          <w:noProof/>
          <w:color w:val="FF00FF"/>
          <w:lang w:eastAsia="lt-LT"/>
        </w:rPr>
        <w:lastRenderedPageBreak/>
        <mc:AlternateContent>
          <mc:Choice Requires="wps">
            <w:drawing>
              <wp:anchor distT="0" distB="0" distL="114300" distR="114300" simplePos="0" relativeHeight="251686912" behindDoc="0" locked="0" layoutInCell="1" allowOverlap="1" wp14:anchorId="7E35FB9A" wp14:editId="78024684">
                <wp:simplePos x="0" y="0"/>
                <wp:positionH relativeFrom="column">
                  <wp:posOffset>-3049270</wp:posOffset>
                </wp:positionH>
                <wp:positionV relativeFrom="paragraph">
                  <wp:posOffset>1424940</wp:posOffset>
                </wp:positionV>
                <wp:extent cx="609600" cy="342900"/>
                <wp:effectExtent l="2540" t="1905" r="0" b="0"/>
                <wp:wrapNone/>
                <wp:docPr id="7" name="Teksto lauka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 xml:space="preserve">14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7" o:spid="_x0000_s1040" type="#_x0000_t202" style="position:absolute;left:0;text-align:left;margin-left:-240.1pt;margin-top:112.2pt;width:48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" filled="f" stroked="f">
                <v:textbox>
                  <w:txbxContent>
                    <w:p w:rsidR="004F7425" w:rsidRDefault="004F7425" w:rsidP="00585AD9">
                      <w:pPr>
                        <w:rPr>
                          <w:b/>
                          <w:color w:val="008000"/>
                          <w:sz w:val="20"/>
                        </w:rPr>
                      </w:pPr>
                      <w:r>
                        <w:rPr>
                          <w:b/>
                          <w:color w:val="008000"/>
                          <w:sz w:val="20"/>
                        </w:rPr>
                        <w:t xml:space="preserve">14 pav.  </w:t>
                      </w:r>
                    </w:p>
                  </w:txbxContent>
                </v:textbox>
              </v:shape>
            </w:pict>
          </mc:Fallback>
        </mc:AlternateContent>
      </w:r>
      <w:r>
        <w:rPr>
          <w:noProof/>
          <w:lang w:eastAsia="lt-LT"/>
        </w:rPr>
        <w:drawing>
          <wp:anchor distT="0" distB="0" distL="114300" distR="114300" simplePos="0" relativeHeight="251689984" behindDoc="0" locked="0" layoutInCell="1" allowOverlap="1" wp14:anchorId="0A5834A9" wp14:editId="74E8F0DD">
            <wp:simplePos x="0" y="0"/>
            <wp:positionH relativeFrom="column">
              <wp:posOffset>-76200</wp:posOffset>
            </wp:positionH>
            <wp:positionV relativeFrom="page">
              <wp:posOffset>2891790</wp:posOffset>
            </wp:positionV>
            <wp:extent cx="3058160" cy="2141855"/>
            <wp:effectExtent l="3810" t="0" r="0" b="5080"/>
            <wp:wrapSquare wrapText="bothSides"/>
            <wp:docPr id="6" name="Diagrama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t>Koks pagrindinis motyvas tapti narkotikų kurjeriu? Vienos priežasties nėra, kiekvienu atveju atsakymas yra</w:t>
      </w:r>
      <w:r>
        <w:rPr>
          <w:color w:val="FF00FF"/>
        </w:rPr>
        <w:t xml:space="preserve"> </w:t>
      </w:r>
      <w:r>
        <w:t>skirtingas, bet kelias pagrindines priežastis išskirti galima: jaunesni asmenys tam ryžtasi dėl naivumo ir greito praturtėjimo, solidaus amžiaus asmenys - dėl skurdo ir nevilties, nors pažvelgus į problemą plačiau, reikėtų pripažinti, kad abiem atvejais svarbūs abu motyvai, tik skirtingu stiprumu. Dar viena priežastis – prievarta, asmenys yra verčiami sutikti  fiziniu smurtu arba psichologine prievarta.</w:t>
      </w:r>
    </w:p>
    <w:p w:rsidR="00585AD9" w:rsidRDefault="00585AD9" w:rsidP="00585AD9">
      <w:pPr>
        <w:widowControl w:val="0"/>
        <w:jc w:val="both"/>
      </w:pPr>
      <w:r>
        <w:rPr>
          <w:noProof/>
          <w:color w:val="FF00FF"/>
          <w:sz w:val="20"/>
          <w:lang w:eastAsia="lt-LT"/>
        </w:rPr>
        <mc:AlternateContent>
          <mc:Choice Requires="wps">
            <w:drawing>
              <wp:anchor distT="0" distB="0" distL="114300" distR="114300" simplePos="0" relativeHeight="251695104" behindDoc="0" locked="0" layoutInCell="1" allowOverlap="1" wp14:anchorId="276D3457" wp14:editId="237DB038">
                <wp:simplePos x="0" y="0"/>
                <wp:positionH relativeFrom="column">
                  <wp:posOffset>5334000</wp:posOffset>
                </wp:positionH>
                <wp:positionV relativeFrom="paragraph">
                  <wp:posOffset>1897380</wp:posOffset>
                </wp:positionV>
                <wp:extent cx="571500" cy="297815"/>
                <wp:effectExtent l="3810" t="1905" r="0" b="0"/>
                <wp:wrapNone/>
                <wp:docPr id="5" name="Teksto lauka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1</w:t>
                            </w:r>
                            <w:r>
                              <w:rPr>
                                <w:b/>
                                <w:color w:val="008000"/>
                                <w:sz w:val="20"/>
                                <w:lang w:val="en-US"/>
                              </w:rPr>
                              <w:t>5</w:t>
                            </w:r>
                            <w:r>
                              <w:rPr>
                                <w:b/>
                                <w:color w:val="008000"/>
                                <w:sz w:val="20"/>
                              </w:rPr>
                              <w:t xml:space="preserve">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5" o:spid="_x0000_s1041" type="#_x0000_t202" style="position:absolute;left:0;text-align:left;margin-left:420pt;margin-top:149.4pt;width:45pt;height:23.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" filled="f" stroked="f">
                <v:textbox>
                  <w:txbxContent>
                    <w:p w:rsidR="004F7425" w:rsidRDefault="004F7425" w:rsidP="00585AD9">
                      <w:pPr>
                        <w:rPr>
                          <w:b/>
                          <w:color w:val="008000"/>
                          <w:sz w:val="20"/>
                        </w:rPr>
                      </w:pPr>
                      <w:r>
                        <w:rPr>
                          <w:b/>
                          <w:color w:val="008000"/>
                          <w:sz w:val="20"/>
                        </w:rPr>
                        <w:t>1</w:t>
                      </w:r>
                      <w:r>
                        <w:rPr>
                          <w:b/>
                          <w:color w:val="008000"/>
                          <w:sz w:val="20"/>
                          <w:lang w:val="en-US"/>
                        </w:rPr>
                        <w:t>5</w:t>
                      </w:r>
                      <w:r>
                        <w:rPr>
                          <w:b/>
                          <w:color w:val="008000"/>
                          <w:sz w:val="20"/>
                        </w:rPr>
                        <w:t xml:space="preserve"> pav.  </w:t>
                      </w:r>
                    </w:p>
                  </w:txbxContent>
                </v:textbox>
              </v:shape>
            </w:pict>
          </mc:Fallback>
        </mc:AlternateContent>
      </w:r>
      <w:r>
        <w:rPr>
          <w:noProof/>
          <w:lang w:eastAsia="lt-LT"/>
        </w:rPr>
        <mc:AlternateContent>
          <mc:Choice Requires="wps">
            <w:drawing>
              <wp:anchor distT="0" distB="0" distL="114300" distR="114300" simplePos="0" relativeHeight="251691008" behindDoc="0" locked="0" layoutInCell="0" allowOverlap="1" wp14:anchorId="27DE1A2E" wp14:editId="0E9F1548">
                <wp:simplePos x="0" y="0"/>
                <wp:positionH relativeFrom="column">
                  <wp:posOffset>-3515360</wp:posOffset>
                </wp:positionH>
                <wp:positionV relativeFrom="paragraph">
                  <wp:posOffset>-426720</wp:posOffset>
                </wp:positionV>
                <wp:extent cx="571500" cy="342900"/>
                <wp:effectExtent l="3175" t="1905" r="0" b="0"/>
                <wp:wrapNone/>
                <wp:docPr id="4" name="Teksto lauka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 xml:space="preserve">15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4" o:spid="_x0000_s1042" type="#_x0000_t202" style="position:absolute;left:0;text-align:left;margin-left:-276.8pt;margin-top:-33.6pt;width:4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" o:allowincell="f" filled="f" stroked="f">
                <v:textbox>
                  <w:txbxContent>
                    <w:p w:rsidR="004F7425" w:rsidRDefault="004F7425" w:rsidP="00585AD9">
                      <w:pPr>
                        <w:rPr>
                          <w:b/>
                          <w:color w:val="008000"/>
                          <w:sz w:val="20"/>
                        </w:rPr>
                      </w:pPr>
                      <w:r>
                        <w:rPr>
                          <w:b/>
                          <w:color w:val="008000"/>
                          <w:sz w:val="20"/>
                        </w:rPr>
                        <w:t xml:space="preserve">15 pav.  </w:t>
                      </w:r>
                    </w:p>
                  </w:txbxContent>
                </v:textbox>
              </v:shape>
            </w:pict>
          </mc:Fallback>
        </mc:AlternateContent>
      </w:r>
      <w:r>
        <w:tab/>
        <w:t xml:space="preserve">2005 m. teisėsaugai buvo žinomi 106 LR piliečiai, sulaikyti už neteisėtą narkotikų apyvartą užsienio valstybėse </w:t>
      </w:r>
      <w:r>
        <w:rPr>
          <w:i/>
        </w:rPr>
        <w:t>(žr. 15 pav.)</w:t>
      </w:r>
      <w:r>
        <w:t xml:space="preserve"> Sulaikytųjų amžiaus labai įvairus nuo 20 iki 60 metų, vidurkis svyruoja apie 28-30 metų. Vokietijoje sulaikytų asmenų amžiaus vidurkis siekia 21 metus, nes gatvės prekybai dėl konspiracinių sumetimų bei dėl nedidelio uždarbio naudojami jauni asmenys. Pasikeitė lietuvių, sulaikytų Vokietijoje, kilimo vieta. Anksčiau išskirtinai asmenys buvo verbuojami Mažeikiuose ir Telšiuose, greičiausiai todėl, kad organizatorius buvo klaipėdietis. Pastaruoju metų jų vietą užėmė panevėžiečiai ir kėdainiškiai. </w:t>
      </w:r>
    </w:p>
    <w:p w:rsidR="00585AD9" w:rsidRDefault="00585AD9" w:rsidP="00585AD9">
      <w:pPr>
        <w:widowControl w:val="0"/>
        <w:jc w:val="both"/>
      </w:pPr>
      <w:r>
        <w:rPr>
          <w:noProof/>
          <w:lang w:eastAsia="lt-LT"/>
        </w:rPr>
        <w:drawing>
          <wp:anchor distT="0" distB="0" distL="114300" distR="114300" simplePos="0" relativeHeight="251669504" behindDoc="0" locked="0" layoutInCell="1" allowOverlap="0" wp14:anchorId="080011F9" wp14:editId="05BE3462">
            <wp:simplePos x="0" y="0"/>
            <wp:positionH relativeFrom="column">
              <wp:posOffset>2895600</wp:posOffset>
            </wp:positionH>
            <wp:positionV relativeFrom="page">
              <wp:posOffset>5520690</wp:posOffset>
            </wp:positionV>
            <wp:extent cx="3127375" cy="2225675"/>
            <wp:effectExtent l="0" t="5715" r="2540" b="0"/>
            <wp:wrapSquare wrapText="bothSides"/>
            <wp:docPr id="3" name="Diagrama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Pr>
          <w:i/>
          <w:noProof/>
          <w:lang w:eastAsia="lt-LT"/>
        </w:rPr>
        <mc:AlternateContent>
          <mc:Choice Requires="wps">
            <w:drawing>
              <wp:anchor distT="0" distB="0" distL="114300" distR="114300" simplePos="0" relativeHeight="251687936" behindDoc="0" locked="0" layoutInCell="0" allowOverlap="1" wp14:anchorId="6CEC4C8B" wp14:editId="4041727F">
                <wp:simplePos x="0" y="0"/>
                <wp:positionH relativeFrom="column">
                  <wp:posOffset>-3243580</wp:posOffset>
                </wp:positionH>
                <wp:positionV relativeFrom="paragraph">
                  <wp:posOffset>38100</wp:posOffset>
                </wp:positionV>
                <wp:extent cx="685800" cy="342900"/>
                <wp:effectExtent l="0" t="1905" r="635" b="0"/>
                <wp:wrapNone/>
                <wp:docPr id="2"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 xml:space="preserve">16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2" o:spid="_x0000_s1043" type="#_x0000_t202" style="position:absolute;left:0;text-align:left;margin-left:-255.4pt;margin-top:3pt;width:54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" o:allowincell="f" filled="f" stroked="f">
                <v:textbox>
                  <w:txbxContent>
                    <w:p w:rsidR="004F7425" w:rsidRDefault="004F7425" w:rsidP="00585AD9">
                      <w:pPr>
                        <w:rPr>
                          <w:b/>
                          <w:color w:val="008000"/>
                          <w:sz w:val="20"/>
                        </w:rPr>
                      </w:pPr>
                      <w:r>
                        <w:rPr>
                          <w:b/>
                          <w:color w:val="008000"/>
                          <w:sz w:val="20"/>
                        </w:rPr>
                        <w:t xml:space="preserve">16 pav.  </w:t>
                      </w:r>
                    </w:p>
                  </w:txbxContent>
                </v:textbox>
              </v:shape>
            </w:pict>
          </mc:Fallback>
        </mc:AlternateContent>
      </w:r>
      <w:r>
        <w:tab/>
        <w:t>Panevėžiečių ir šiauliečių nusikalstamos grupuotės bando išsikovoti savo vietą Europos nelegalios narkotikų apyvartos rinkoje, nors „</w:t>
      </w:r>
      <w:r>
        <w:rPr>
          <w:i/>
        </w:rPr>
        <w:t xml:space="preserve">lyderiais“ </w:t>
      </w:r>
      <w:r>
        <w:t>išlieka Kauno nusikalstamos grupuotės.</w:t>
      </w:r>
    </w:p>
    <w:p w:rsidR="00585AD9" w:rsidRDefault="00585AD9" w:rsidP="00585AD9">
      <w:pPr>
        <w:jc w:val="both"/>
      </w:pPr>
      <w:r>
        <w:rPr>
          <w:noProof/>
          <w:lang w:eastAsia="lt-LT"/>
        </w:rPr>
        <mc:AlternateContent>
          <mc:Choice Requires="wps">
            <w:drawing>
              <wp:anchor distT="0" distB="0" distL="114300" distR="114300" simplePos="0" relativeHeight="251685888" behindDoc="0" locked="0" layoutInCell="1" allowOverlap="1" wp14:anchorId="29D251AC" wp14:editId="0493FDAB">
                <wp:simplePos x="0" y="0"/>
                <wp:positionH relativeFrom="column">
                  <wp:posOffset>5486400</wp:posOffset>
                </wp:positionH>
                <wp:positionV relativeFrom="paragraph">
                  <wp:posOffset>1600835</wp:posOffset>
                </wp:positionV>
                <wp:extent cx="571500" cy="297815"/>
                <wp:effectExtent l="4445" t="2540" r="0" b="4445"/>
                <wp:wrapNone/>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585AD9">
                            <w:pPr>
                              <w:rPr>
                                <w:b/>
                                <w:color w:val="008000"/>
                                <w:sz w:val="20"/>
                              </w:rPr>
                            </w:pPr>
                            <w:r>
                              <w:rPr>
                                <w:b/>
                                <w:color w:val="008000"/>
                                <w:sz w:val="20"/>
                              </w:rPr>
                              <w:t xml:space="preserve">16 pav.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 o:spid="_x0000_s1044" type="#_x0000_t202" style="position:absolute;left:0;text-align:left;margin-left:6in;margin-top:126.05pt;width:45pt;height:23.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" filled="f" stroked="f">
                <v:textbox>
                  <w:txbxContent>
                    <w:p w:rsidR="004F7425" w:rsidRDefault="004F7425" w:rsidP="00585AD9">
                      <w:pPr>
                        <w:rPr>
                          <w:b/>
                          <w:color w:val="008000"/>
                          <w:sz w:val="20"/>
                        </w:rPr>
                      </w:pPr>
                      <w:r>
                        <w:rPr>
                          <w:b/>
                          <w:color w:val="008000"/>
                          <w:sz w:val="20"/>
                        </w:rPr>
                        <w:t xml:space="preserve">16 pav.  </w:t>
                      </w:r>
                    </w:p>
                  </w:txbxContent>
                </v:textbox>
              </v:shape>
            </w:pict>
          </mc:Fallback>
        </mc:AlternateContent>
      </w:r>
      <w:r>
        <w:rPr>
          <w:i/>
        </w:rPr>
        <w:tab/>
        <w:t>Gyvieji konteineriai</w:t>
      </w:r>
      <w:r>
        <w:t xml:space="preserve"> arba </w:t>
      </w:r>
      <w:r>
        <w:rPr>
          <w:i/>
        </w:rPr>
        <w:t xml:space="preserve">rijikai </w:t>
      </w:r>
      <w:r>
        <w:t xml:space="preserve">- tokį pavadinimą gauna asmenys, gabenantys narkotikus skrandyje. </w:t>
      </w:r>
      <w:r>
        <w:rPr>
          <w:i/>
        </w:rPr>
        <w:t>Rijikai</w:t>
      </w:r>
      <w:r>
        <w:t xml:space="preserve"> rizikuoja ne tik įkliūti ilgiems metams nelaisvės, tačiau žymiai labiau jie rizikuoja savo sveikata ir gyvybe. 2004 metais Lietuvos policijai žinomi du atvejai kai nukentėjo LR piliečiai, gabenę kokainą skrandyje: vieną asmenį pavyko išgelbėti, nes buvo laiku kreiptasi į medikus, kitas vaikinas mirė, nes jo draugai bijodami atsakomybės nenuvežė blogai besijaučiančiojo į ligoninę (jo draugai ne tik leido numirti draugui, bet iš jo kūno bandė išimti narkotikus, nepavykus, išmetė kūną į jūrą). Pernai metais užsienio valstybės medikams nesuspėjus suteikti pagalbos mirė dvidešimtmetis lietuvis, gabenęs skrandyje kokainą. Mirtis dėl suirusio narkotikų įpakavimo (konteinerio)  yra dažniausiai labai staigi, nes narkotikai  per skrandį greitai absorbuojasi į žmogaus organizmą, įvyksta staigus apsinuodijimas, dar kitaip - narkotikų perdozavimas. </w:t>
      </w:r>
    </w:p>
    <w:p w:rsidR="00585AD9" w:rsidRDefault="00585AD9" w:rsidP="00585AD9">
      <w:pPr>
        <w:jc w:val="both"/>
      </w:pPr>
      <w:r>
        <w:tab/>
        <w:t xml:space="preserve"> </w:t>
      </w:r>
      <w:r>
        <w:tab/>
        <w:t>„Atsižvelgiant į padidėjusį kokaino kurjerių iš Lietuvos sulaikymą užsienio valstybių oro uostuose, buvo inicijuoti dvišaliai projektai dėl rizikos analizės su Lenkijos, Olandijos, Vokietijos, Prancūzijos, Ispanijos ir Portugalijos kompetetingomis teisėsaugos institucijomis.“</w:t>
      </w:r>
      <w:r>
        <w:rPr>
          <w:rStyle w:val="Puslapioinaosnuoroda"/>
        </w:rPr>
        <w:footnoteReference w:id="15"/>
      </w:r>
      <w:r>
        <w:t xml:space="preserve"> </w:t>
      </w:r>
    </w:p>
    <w:p w:rsidR="00585AD9" w:rsidRDefault="00585AD9" w:rsidP="00585AD9">
      <w:pPr>
        <w:ind w:firstLine="612"/>
        <w:jc w:val="both"/>
      </w:pPr>
    </w:p>
    <w:p w:rsidR="00585AD9" w:rsidRDefault="00585AD9" w:rsidP="00585AD9">
      <w:pPr>
        <w:ind w:firstLine="612"/>
        <w:jc w:val="center"/>
        <w:rPr>
          <w:b/>
          <w:color w:val="008000"/>
        </w:rPr>
      </w:pPr>
    </w:p>
    <w:p w:rsidR="00585AD9" w:rsidRDefault="00585AD9" w:rsidP="00585AD9">
      <w:pPr>
        <w:ind w:firstLine="612"/>
        <w:jc w:val="center"/>
        <w:rPr>
          <w:b/>
          <w:color w:val="008000"/>
        </w:rPr>
      </w:pPr>
      <w:r>
        <w:rPr>
          <w:b/>
          <w:color w:val="008000"/>
        </w:rPr>
        <w:t>BENDRADARBIAVIMAS</w:t>
      </w:r>
    </w:p>
    <w:p w:rsidR="00585AD9" w:rsidRDefault="00585AD9" w:rsidP="00585AD9">
      <w:pPr>
        <w:ind w:firstLine="612"/>
        <w:jc w:val="both"/>
      </w:pPr>
    </w:p>
    <w:p w:rsidR="00585AD9" w:rsidRDefault="00585AD9" w:rsidP="00585AD9">
      <w:pPr>
        <w:ind w:firstLine="612"/>
        <w:jc w:val="both"/>
      </w:pPr>
      <w:r>
        <w:tab/>
        <w:t xml:space="preserve">Siekiant efektyviai įgyvendinti narkotikų pasiūlos mažinimo politiką, labai svarbus tarptautinis bendradarbiavimas.  2005 m. buvo tęsiamas sėkmingas darbas su Švedijos, Norvegijos, Vokietijos, Nyderlandų, Lenkijos, JAV, Rusijos Federacijos, Baltarusijos ir kitų valstybių kolegomis. Šalies teisėsaugos institucijos praėjusiais metais narkotikų kontrolės srityje vykdė daugiau kaip 20 tarptautinių operacijų, kurių metu buvo sulaikyti  27 Lietuvos Respublikos piliečiai (Lietuvoje ir užsienio valstybėse), išimta 114 000 tab. ecstazy, 42 kg amfetamino, 320 000 tab. rohypnolio, 36 kg kokaino, 50 kg heroino, 130 kg hašišo, ginklų, 165 suklastotos banko kortelės, 60 000 padirbtų eurų, konfiskuota 450 000 eurų. Operatyvus Lietuvos pareigūnų reagavimas į užsienio kolegų užklausimus </w:t>
      </w:r>
      <w:r>
        <w:lastRenderedPageBreak/>
        <w:t>dažnai padėdavo išaiškinti Lietuvos piliečius, užsiimančius, neteisėta narkotikų apyvarta (ypač kontrabanda) užsienyje.</w:t>
      </w:r>
      <w:r>
        <w:rPr>
          <w:color w:val="0000FF"/>
        </w:rPr>
        <w:t xml:space="preserve"> </w:t>
      </w:r>
    </w:p>
    <w:p w:rsidR="00585AD9" w:rsidRDefault="00585AD9" w:rsidP="00585AD9">
      <w:pPr>
        <w:tabs>
          <w:tab w:val="left" w:pos="567"/>
        </w:tabs>
        <w:jc w:val="both"/>
      </w:pPr>
      <w:r>
        <w:tab/>
      </w:r>
      <w:r>
        <w:tab/>
        <w:t>„2005 m. Muitinės kriminalinė tarnyba inicijavo trišalę Lietuvos-Baltarusijos-Rusijos muitinių administracijų operaciją, nukreiptą narkotinių ir psichotropinių medžiagų, taip pat jų prekursorių gabenamų geležinkelio transportu, kontrabandos užkardymui. Operacijos metu buvo išimta 1468,8 kg acetono, 233,2 kg druskos rūgšties, 450 kg kalio permanganato, 158,1 kg sieros rūgšties (III kategorijos prekursoriai), taip pat 220 g MDMA, 1360 g tramadolio, apie 300 g benzodiazepinų grupės medikamentų.“</w:t>
      </w:r>
      <w:r>
        <w:rPr>
          <w:rStyle w:val="Puslapioinaosnuoroda"/>
        </w:rPr>
        <w:footnoteReference w:id="16"/>
      </w:r>
      <w:r>
        <w:t>.</w:t>
      </w:r>
    </w:p>
    <w:p w:rsidR="00585AD9" w:rsidRDefault="00585AD9" w:rsidP="00585AD9">
      <w:pPr>
        <w:tabs>
          <w:tab w:val="left" w:pos="567"/>
        </w:tabs>
        <w:jc w:val="both"/>
      </w:pPr>
      <w:r>
        <w:tab/>
      </w:r>
    </w:p>
    <w:p w:rsidR="00585AD9" w:rsidRDefault="00585AD9" w:rsidP="00585AD9">
      <w:pPr>
        <w:ind w:firstLine="720"/>
        <w:jc w:val="both"/>
      </w:pPr>
      <w:r>
        <w:tab/>
        <w:t xml:space="preserve">Lietuvos teisėsaugos institucijų pareigūnai 2005 metais koordinavo ir/ar dalyvavo tokiuose tarptautiniuose projektuose bei darbo grupėse: </w:t>
      </w:r>
    </w:p>
    <w:p w:rsidR="00585AD9" w:rsidRDefault="00585AD9" w:rsidP="00585AD9">
      <w:pPr>
        <w:keepNext/>
        <w:ind w:firstLine="720"/>
        <w:jc w:val="both"/>
      </w:pPr>
    </w:p>
    <w:p w:rsidR="00585AD9" w:rsidRDefault="00585AD9" w:rsidP="00DD08F5">
      <w:pPr>
        <w:numPr>
          <w:ilvl w:val="0"/>
          <w:numId w:val="4"/>
        </w:numPr>
        <w:tabs>
          <w:tab w:val="num" w:pos="1440"/>
        </w:tabs>
        <w:jc w:val="both"/>
      </w:pPr>
      <w:r>
        <w:t>Europos Sąjungos Tarybos Narkotikų horizontaliojoje darbo grupėje /</w:t>
      </w:r>
      <w:r>
        <w:rPr>
          <w:i/>
        </w:rPr>
        <w:t>policija</w:t>
      </w:r>
      <w:r>
        <w:t>/;</w:t>
      </w:r>
    </w:p>
    <w:p w:rsidR="00585AD9" w:rsidRDefault="00585AD9" w:rsidP="00DD08F5">
      <w:pPr>
        <w:numPr>
          <w:ilvl w:val="0"/>
          <w:numId w:val="4"/>
        </w:numPr>
        <w:jc w:val="both"/>
      </w:pPr>
      <w:r>
        <w:t>Europos policijos organizacijos Europol‘o  projekto „Synergy„  veikloje, nukreiptoje gerinti sintetinių narkotikų ir jų prekursorių kontrolę/</w:t>
      </w:r>
      <w:r>
        <w:rPr>
          <w:i/>
        </w:rPr>
        <w:t xml:space="preserve"> koord.- policija, dalyv. - visos teisėsaugos i-jos</w:t>
      </w:r>
      <w:r>
        <w:t>/;</w:t>
      </w:r>
    </w:p>
    <w:p w:rsidR="00585AD9" w:rsidRDefault="00585AD9" w:rsidP="00DD08F5">
      <w:pPr>
        <w:numPr>
          <w:ilvl w:val="0"/>
          <w:numId w:val="4"/>
        </w:numPr>
        <w:jc w:val="both"/>
      </w:pPr>
      <w:r>
        <w:t>Europos policijos organizacijos Europol‘o  projekto „Cola“ veikloje, nukreiptoje prieš kokaino kontrabandą į Europą /</w:t>
      </w:r>
      <w:r>
        <w:rPr>
          <w:i/>
        </w:rPr>
        <w:t xml:space="preserve"> koord.- policija, dalyv. - visos teisėsaugos i-jos</w:t>
      </w:r>
      <w:r>
        <w:t>/;</w:t>
      </w:r>
    </w:p>
    <w:p w:rsidR="00585AD9" w:rsidRDefault="00585AD9" w:rsidP="00DD08F5">
      <w:pPr>
        <w:numPr>
          <w:ilvl w:val="0"/>
          <w:numId w:val="4"/>
        </w:numPr>
        <w:ind w:left="0" w:firstLine="720"/>
        <w:jc w:val="both"/>
        <w:rPr>
          <w:i/>
        </w:rPr>
      </w:pPr>
      <w:r>
        <w:t>Baltijos jūros regiono valstybių „Task Force“ projekto Operatyvinio komiteto narkotikų ekspertų  darbo grupėje /</w:t>
      </w:r>
      <w:r>
        <w:rPr>
          <w:i/>
        </w:rPr>
        <w:t xml:space="preserve"> policija,  muitinė/;</w:t>
      </w:r>
    </w:p>
    <w:p w:rsidR="00585AD9" w:rsidRDefault="00585AD9" w:rsidP="00DD08F5">
      <w:pPr>
        <w:numPr>
          <w:ilvl w:val="0"/>
          <w:numId w:val="4"/>
        </w:numPr>
        <w:ind w:left="0" w:firstLine="720"/>
        <w:jc w:val="both"/>
      </w:pPr>
      <w:r>
        <w:t>Regioniniame (Lietuvos ir Švedijos) sintetinių narkotikų ir prekursorių projekte /koord.-</w:t>
      </w:r>
      <w:r>
        <w:rPr>
          <w:i/>
        </w:rPr>
        <w:t>policija, dalyv. - muitinė, kriminalistinių tyrimų centro</w:t>
      </w:r>
      <w:r>
        <w:t xml:space="preserve"> </w:t>
      </w:r>
      <w:r>
        <w:rPr>
          <w:i/>
        </w:rPr>
        <w:t>specialistai/</w:t>
      </w:r>
      <w:r>
        <w:t>:</w:t>
      </w:r>
    </w:p>
    <w:p w:rsidR="00585AD9" w:rsidRDefault="00585AD9" w:rsidP="00DD08F5">
      <w:pPr>
        <w:numPr>
          <w:ilvl w:val="1"/>
          <w:numId w:val="4"/>
        </w:numPr>
        <w:ind w:hanging="1080"/>
        <w:jc w:val="both"/>
      </w:pPr>
      <w:r>
        <w:t>Subprojekte „A1“, skirtame konkretiems jungtiniams tyrimams gerinti,</w:t>
      </w:r>
    </w:p>
    <w:p w:rsidR="00585AD9" w:rsidRDefault="00585AD9" w:rsidP="00DD08F5">
      <w:pPr>
        <w:numPr>
          <w:ilvl w:val="1"/>
          <w:numId w:val="4"/>
        </w:numPr>
        <w:ind w:left="1440"/>
        <w:jc w:val="both"/>
      </w:pPr>
      <w:r>
        <w:t xml:space="preserve">Subprojekte „Nelegalios sintetinių narkotikų laboratorijos ir prekursorių kontrolė“ </w:t>
      </w:r>
    </w:p>
    <w:p w:rsidR="00585AD9" w:rsidRDefault="00585AD9" w:rsidP="00DD08F5">
      <w:pPr>
        <w:numPr>
          <w:ilvl w:val="0"/>
          <w:numId w:val="4"/>
        </w:numPr>
        <w:ind w:left="0" w:firstLine="720"/>
        <w:jc w:val="both"/>
      </w:pPr>
      <w:r>
        <w:t>Lietuvos ir Lenkijos projekte „TRAP III“, nukreiptame prieš narkotikų gabentojus abiejose dalyvaujančiose šalyse /</w:t>
      </w:r>
      <w:r>
        <w:rPr>
          <w:i/>
        </w:rPr>
        <w:t>policija, muitinė</w:t>
      </w:r>
      <w:r>
        <w:t>/.</w:t>
      </w:r>
    </w:p>
    <w:p w:rsidR="00585AD9" w:rsidRDefault="00585AD9" w:rsidP="00DD08F5">
      <w:pPr>
        <w:numPr>
          <w:ilvl w:val="0"/>
          <w:numId w:val="6"/>
        </w:numPr>
        <w:jc w:val="both"/>
      </w:pPr>
      <w:r>
        <w:t>Tarptautiniame amfetamino profiliavimo projekte „</w:t>
      </w:r>
      <w:r>
        <w:rPr>
          <w:caps/>
        </w:rPr>
        <w:t>case</w:t>
      </w:r>
      <w:r>
        <w:t>“ /</w:t>
      </w:r>
      <w:r>
        <w:rPr>
          <w:i/>
        </w:rPr>
        <w:t>policija,</w:t>
      </w:r>
      <w:r>
        <w:t xml:space="preserve"> </w:t>
      </w:r>
      <w:r>
        <w:rPr>
          <w:i/>
        </w:rPr>
        <w:t>kriminalistinių tyrimų centro</w:t>
      </w:r>
      <w:r>
        <w:t xml:space="preserve"> </w:t>
      </w:r>
      <w:r>
        <w:rPr>
          <w:i/>
        </w:rPr>
        <w:t>specialistai/</w:t>
      </w:r>
    </w:p>
    <w:p w:rsidR="00585AD9" w:rsidRDefault="00585AD9" w:rsidP="00DD08F5">
      <w:pPr>
        <w:numPr>
          <w:ilvl w:val="0"/>
          <w:numId w:val="4"/>
        </w:numPr>
        <w:tabs>
          <w:tab w:val="left" w:pos="567"/>
          <w:tab w:val="num" w:pos="1440"/>
        </w:tabs>
        <w:ind w:left="0" w:firstLine="720"/>
        <w:jc w:val="both"/>
      </w:pPr>
      <w:r>
        <w:t>2002 m. PHARE programos projekte „Kovos su kontrabanda ir kontrolės gebėjimų tobulinimas ir stiprinimas bei teisingo ir efektyvaus mokesčių surinkimo užtikrinimas Lietuvos muitinėje“/</w:t>
      </w:r>
      <w:r>
        <w:rPr>
          <w:i/>
        </w:rPr>
        <w:t>muitinė</w:t>
      </w:r>
      <w:r>
        <w:t>/;</w:t>
      </w:r>
    </w:p>
    <w:p w:rsidR="00585AD9" w:rsidRDefault="00585AD9" w:rsidP="00DD08F5">
      <w:pPr>
        <w:numPr>
          <w:ilvl w:val="0"/>
          <w:numId w:val="4"/>
        </w:numPr>
        <w:tabs>
          <w:tab w:val="left" w:pos="567"/>
          <w:tab w:val="num" w:pos="1440"/>
        </w:tabs>
        <w:ind w:left="0" w:firstLine="720"/>
        <w:jc w:val="both"/>
      </w:pPr>
      <w:r>
        <w:t>Europos Komisijos  programoje „Muitinė 2007“/</w:t>
      </w:r>
      <w:r>
        <w:rPr>
          <w:i/>
        </w:rPr>
        <w:t>muitinė</w:t>
      </w:r>
      <w:r>
        <w:t>/;</w:t>
      </w:r>
    </w:p>
    <w:p w:rsidR="00585AD9" w:rsidRDefault="00585AD9" w:rsidP="00DD08F5">
      <w:pPr>
        <w:numPr>
          <w:ilvl w:val="0"/>
          <w:numId w:val="4"/>
        </w:numPr>
        <w:tabs>
          <w:tab w:val="left" w:pos="567"/>
          <w:tab w:val="num" w:pos="1440"/>
        </w:tabs>
        <w:ind w:left="0" w:firstLine="720"/>
        <w:jc w:val="both"/>
      </w:pPr>
      <w:r>
        <w:t>Švedijos Vyriausybės inicijuotoje programoje CLEESE, skatinančioje apsikeitimą įgūdžiais ir patirtimi muitinės teisėsaugos srityje, pareigūnų apsikeitimo vizitus /</w:t>
      </w:r>
      <w:r>
        <w:rPr>
          <w:i/>
        </w:rPr>
        <w:t>muitinė</w:t>
      </w:r>
      <w:r>
        <w:t>/.</w:t>
      </w:r>
    </w:p>
    <w:p w:rsidR="00585AD9" w:rsidRDefault="00585AD9" w:rsidP="00DD08F5">
      <w:pPr>
        <w:numPr>
          <w:ilvl w:val="0"/>
          <w:numId w:val="4"/>
        </w:numPr>
        <w:tabs>
          <w:tab w:val="left" w:pos="567"/>
          <w:tab w:val="num" w:pos="1440"/>
        </w:tabs>
        <w:ind w:left="0" w:firstLine="720"/>
        <w:jc w:val="both"/>
      </w:pPr>
      <w:r>
        <w:t>Pagal poreikį Jungtinių Tautų projekte „Prizmė“, skirtame narkotinių ir psichotropinių medžiagų prekursorių ir sintetinių narkotikų kontrolei tobulinti /</w:t>
      </w:r>
      <w:r>
        <w:rPr>
          <w:i/>
        </w:rPr>
        <w:t>muitinė, policija</w:t>
      </w:r>
      <w:r>
        <w:t>/;</w:t>
      </w:r>
    </w:p>
    <w:p w:rsidR="00585AD9" w:rsidRDefault="00585AD9" w:rsidP="00DD08F5">
      <w:pPr>
        <w:numPr>
          <w:ilvl w:val="0"/>
          <w:numId w:val="4"/>
        </w:numPr>
        <w:tabs>
          <w:tab w:val="left" w:pos="567"/>
          <w:tab w:val="num" w:pos="1440"/>
        </w:tabs>
        <w:ind w:left="0" w:firstLine="720"/>
        <w:jc w:val="both"/>
      </w:pPr>
      <w:r>
        <w:t>Dvišaliuose projektuose dėl kokaino kurjerių iš Lietuvos rizikos analizės užsienio valstybių oro uostuose Lenkijos, Olandijos, Vokietijos, Prancūzijos, Ispanijos ir Portugalijos kompetetingomis teisėsaugos institucijomis /</w:t>
      </w:r>
      <w:r>
        <w:rPr>
          <w:i/>
        </w:rPr>
        <w:t>muitinė/;</w:t>
      </w:r>
    </w:p>
    <w:p w:rsidR="00585AD9" w:rsidRDefault="00585AD9" w:rsidP="00585AD9">
      <w:pPr>
        <w:tabs>
          <w:tab w:val="left" w:pos="567"/>
        </w:tabs>
        <w:jc w:val="both"/>
      </w:pPr>
    </w:p>
    <w:p w:rsidR="00585AD9" w:rsidRDefault="00585AD9" w:rsidP="00585AD9">
      <w:pPr>
        <w:tabs>
          <w:tab w:val="left" w:pos="567"/>
        </w:tabs>
        <w:jc w:val="both"/>
        <w:rPr>
          <w:color w:val="008000"/>
        </w:rPr>
      </w:pPr>
      <w:r>
        <w:tab/>
      </w:r>
      <w:r>
        <w:tab/>
        <w:t>Kovoje su neteisėta narkotikų apyvarta svarbus ne tik tarptautinis bendradarbiavimas, bendrų jėgų nukreipimas vienu tikslu nacionaliniu lygiu  duoda teigiamų rezultatų, todėl šalies teisėsaugos institucijos aktyviai dalyvauja teisinės bazės tobulinime bei skatinant nacionalinių institucijų bendradarbiavimą.</w:t>
      </w:r>
      <w:r>
        <w:rPr>
          <w:color w:val="008000"/>
        </w:rPr>
        <w:t xml:space="preserve"> </w:t>
      </w:r>
    </w:p>
    <w:p w:rsidR="00585AD9" w:rsidRDefault="00585AD9" w:rsidP="00585AD9">
      <w:pPr>
        <w:tabs>
          <w:tab w:val="left" w:pos="567"/>
        </w:tabs>
        <w:jc w:val="both"/>
        <w:rPr>
          <w:color w:val="008000"/>
        </w:rPr>
      </w:pPr>
    </w:p>
    <w:p w:rsidR="00585AD9" w:rsidRDefault="00585AD9" w:rsidP="00DD08F5">
      <w:pPr>
        <w:numPr>
          <w:ilvl w:val="0"/>
          <w:numId w:val="8"/>
        </w:numPr>
        <w:tabs>
          <w:tab w:val="left" w:pos="567"/>
        </w:tabs>
        <w:jc w:val="both"/>
      </w:pPr>
      <w:r>
        <w:t xml:space="preserve">Inicijuota naujos sintetinės medžiagos m-CCP (meta-Chlorphenylpiperazinas)  įtraukimas į kontroliuojamų medžiagų sąrašus, atkreipiant į šias problemas Europolo ir Valstybinės vaistų kontrolės tarnybos prie SAM dėmesį. </w:t>
      </w:r>
    </w:p>
    <w:p w:rsidR="00585AD9" w:rsidRDefault="00585AD9" w:rsidP="00DD08F5">
      <w:pPr>
        <w:numPr>
          <w:ilvl w:val="0"/>
          <w:numId w:val="7"/>
        </w:numPr>
        <w:tabs>
          <w:tab w:val="left" w:pos="567"/>
        </w:tabs>
        <w:jc w:val="both"/>
      </w:pPr>
      <w:r>
        <w:t>Inicijuota ir dalyvauta rengiant Amfetamino tipo stimuliuojamųjų medžiagų  tablečių kolekcijos ir kartotekos sukūrimo instrukciją.</w:t>
      </w:r>
    </w:p>
    <w:p w:rsidR="00585AD9" w:rsidRDefault="00585AD9" w:rsidP="00DD08F5">
      <w:pPr>
        <w:numPr>
          <w:ilvl w:val="0"/>
          <w:numId w:val="7"/>
        </w:numPr>
        <w:tabs>
          <w:tab w:val="left" w:pos="567"/>
        </w:tabs>
        <w:jc w:val="both"/>
        <w:rPr>
          <w:b/>
        </w:rPr>
      </w:pPr>
      <w:r>
        <w:t>Kartu su Narkotikų kontrolės departamentu prie LRV  parengta ir išleista medžiaga leidiniui, skirtam policijos pareigūnams, kurių darbas- tiesiogiai susijęs su  visuomenės saugumo užtikrinimu bei bendravimu su visuomene.</w:t>
      </w:r>
    </w:p>
    <w:p w:rsidR="00585AD9" w:rsidRDefault="00585AD9" w:rsidP="00DD08F5">
      <w:pPr>
        <w:numPr>
          <w:ilvl w:val="0"/>
          <w:numId w:val="7"/>
        </w:numPr>
        <w:tabs>
          <w:tab w:val="left" w:pos="567"/>
        </w:tabs>
        <w:jc w:val="both"/>
        <w:rPr>
          <w:b/>
        </w:rPr>
      </w:pPr>
      <w:r>
        <w:lastRenderedPageBreak/>
        <w:t xml:space="preserve">Parengtas Generalinio komisaro įsakymas „Dėl keitimosi informacija apie naujas psichoaktyvias medžiagas“. </w:t>
      </w:r>
    </w:p>
    <w:p w:rsidR="00585AD9" w:rsidRDefault="00585AD9" w:rsidP="00DD08F5">
      <w:pPr>
        <w:numPr>
          <w:ilvl w:val="0"/>
          <w:numId w:val="7"/>
        </w:numPr>
        <w:tabs>
          <w:tab w:val="left" w:pos="567"/>
        </w:tabs>
        <w:jc w:val="both"/>
        <w:rPr>
          <w:b/>
        </w:rPr>
      </w:pPr>
      <w:r>
        <w:t xml:space="preserve">Inicijuotas tarpusavio supratimo memorandumo pasirašymas su JAV krovinių gabenimo oro ir sausumos transportu korporacijos </w:t>
      </w:r>
      <w:r>
        <w:rPr>
          <w:i/>
        </w:rPr>
        <w:t>M&amp;M International Forwarders Transport Logistics Services</w:t>
      </w:r>
      <w:r>
        <w:t xml:space="preserve"> Lietuvos padaliniu.</w:t>
      </w:r>
      <w:r>
        <w:rPr>
          <w:rStyle w:val="Puslapioinaosnuoroda"/>
        </w:rPr>
        <w:footnoteReference w:id="17"/>
      </w:r>
      <w:r>
        <w:t xml:space="preserve">     </w:t>
      </w:r>
    </w:p>
    <w:p w:rsidR="00585AD9" w:rsidRDefault="00585AD9" w:rsidP="00585AD9">
      <w:pPr>
        <w:jc w:val="both"/>
      </w:pPr>
    </w:p>
    <w:p w:rsidR="00585AD9" w:rsidRDefault="00585AD9" w:rsidP="00585AD9">
      <w:pPr>
        <w:jc w:val="center"/>
        <w:rPr>
          <w:b/>
          <w:caps/>
          <w:color w:val="008000"/>
        </w:rPr>
      </w:pPr>
      <w:r>
        <w:rPr>
          <w:b/>
          <w:caps/>
          <w:color w:val="008000"/>
        </w:rPr>
        <w:t>Baigiamoji dalis</w:t>
      </w:r>
    </w:p>
    <w:p w:rsidR="00585AD9" w:rsidRDefault="00585AD9" w:rsidP="00585AD9">
      <w:pPr>
        <w:jc w:val="both"/>
        <w:rPr>
          <w:b/>
          <w:color w:val="008000"/>
        </w:rPr>
      </w:pPr>
    </w:p>
    <w:p w:rsidR="00585AD9" w:rsidRDefault="00585AD9" w:rsidP="00585AD9">
      <w:pPr>
        <w:jc w:val="both"/>
      </w:pPr>
      <w:r>
        <w:tab/>
        <w:t xml:space="preserve">Rengiant Apžvalgą buvo apibendrinti duomenys, gauti iš </w:t>
      </w:r>
      <w:r>
        <w:rPr>
          <w:i/>
        </w:rPr>
        <w:t>Įžangoje</w:t>
      </w:r>
      <w:r>
        <w:t xml:space="preserve"> nurodytų informacijos šaltinių. Panaudojus analogijos, priežastinio prognozavimo analizės metodus būtų galima suformuluoti šias pagrindines </w:t>
      </w:r>
      <w:r>
        <w:rPr>
          <w:b/>
          <w:color w:val="008000"/>
        </w:rPr>
        <w:t>tendencijas</w:t>
      </w:r>
      <w:r>
        <w:t>, apibūdinančias neteisėtą narkotikų apyvartą Lietuvoje:</w:t>
      </w:r>
    </w:p>
    <w:p w:rsidR="00585AD9" w:rsidRDefault="00585AD9" w:rsidP="00585AD9">
      <w:pPr>
        <w:jc w:val="both"/>
        <w:rPr>
          <w:b/>
          <w:i/>
          <w:color w:val="008000"/>
        </w:rPr>
      </w:pPr>
      <w:r>
        <w:rPr>
          <w:b/>
          <w:i/>
          <w:color w:val="008000"/>
        </w:rPr>
        <w:t>Didėja neteisėta narkotikų apyvarta:</w:t>
      </w:r>
    </w:p>
    <w:p w:rsidR="00585AD9" w:rsidRDefault="00585AD9" w:rsidP="00DD08F5">
      <w:pPr>
        <w:numPr>
          <w:ilvl w:val="0"/>
          <w:numId w:val="14"/>
        </w:numPr>
        <w:jc w:val="both"/>
      </w:pPr>
      <w:r>
        <w:t>daugėja nusikalstamų veikų, susijusių su neteisėta narkotikų apyvarta;</w:t>
      </w:r>
    </w:p>
    <w:p w:rsidR="00585AD9" w:rsidRDefault="00585AD9" w:rsidP="00DD08F5">
      <w:pPr>
        <w:numPr>
          <w:ilvl w:val="0"/>
          <w:numId w:val="13"/>
        </w:numPr>
        <w:jc w:val="both"/>
      </w:pPr>
      <w:r>
        <w:t>narkotikų problema tampa aktualia visoje šalies teritorijoje;</w:t>
      </w:r>
    </w:p>
    <w:p w:rsidR="00585AD9" w:rsidRDefault="00585AD9" w:rsidP="00DD08F5">
      <w:pPr>
        <w:numPr>
          <w:ilvl w:val="0"/>
          <w:numId w:val="13"/>
        </w:numPr>
        <w:jc w:val="both"/>
      </w:pPr>
      <w:r>
        <w:t>auga narkotikų paklausa laisvės atėmimo vietose;</w:t>
      </w:r>
    </w:p>
    <w:p w:rsidR="00585AD9" w:rsidRDefault="00585AD9" w:rsidP="00DD08F5">
      <w:pPr>
        <w:numPr>
          <w:ilvl w:val="0"/>
          <w:numId w:val="13"/>
        </w:numPr>
        <w:jc w:val="both"/>
      </w:pPr>
      <w:r>
        <w:t>daugiau kaip pusę nusikalstamų veikų, susijusių su neteisėta narkotikų apyvarta, padarė jaunimas - asmenys iki 30 metų;</w:t>
      </w:r>
    </w:p>
    <w:p w:rsidR="00585AD9" w:rsidRDefault="00585AD9" w:rsidP="00DD08F5">
      <w:pPr>
        <w:numPr>
          <w:ilvl w:val="0"/>
          <w:numId w:val="13"/>
        </w:numPr>
        <w:jc w:val="both"/>
      </w:pPr>
      <w:r>
        <w:t>apyvartoje atsirado naujos į kontroliuojamų medžiagų sąrašus neįtrauktos psichoaktyvios medžiagos;</w:t>
      </w:r>
    </w:p>
    <w:p w:rsidR="00585AD9" w:rsidRDefault="00585AD9" w:rsidP="00DD08F5">
      <w:pPr>
        <w:numPr>
          <w:ilvl w:val="0"/>
          <w:numId w:val="13"/>
        </w:numPr>
        <w:jc w:val="both"/>
      </w:pPr>
      <w:r>
        <w:t>mažėja didmeninė narkotikų kaina.</w:t>
      </w:r>
    </w:p>
    <w:p w:rsidR="00585AD9" w:rsidRDefault="00585AD9" w:rsidP="00585AD9">
      <w:pPr>
        <w:jc w:val="both"/>
        <w:rPr>
          <w:b/>
          <w:i/>
          <w:color w:val="008000"/>
        </w:rPr>
      </w:pPr>
      <w:r>
        <w:rPr>
          <w:b/>
          <w:i/>
          <w:color w:val="008000"/>
        </w:rPr>
        <w:t>Amfetamino tipo stimuliuojamosios medžiagos ir kanapės – pagrindiniai narkotikai Lietuvoje:</w:t>
      </w:r>
    </w:p>
    <w:p w:rsidR="00585AD9" w:rsidRDefault="00585AD9" w:rsidP="00DD08F5">
      <w:pPr>
        <w:numPr>
          <w:ilvl w:val="0"/>
          <w:numId w:val="15"/>
        </w:numPr>
        <w:tabs>
          <w:tab w:val="num" w:pos="2010"/>
        </w:tabs>
        <w:ind w:left="720"/>
        <w:jc w:val="both"/>
        <w:rPr>
          <w:b/>
        </w:rPr>
      </w:pPr>
      <w:r>
        <w:t>veikia nelegali amfetamino tipo stimuliuojamųjų medžiagų gamyba, auga jų vartojimas ir prekyba;</w:t>
      </w:r>
    </w:p>
    <w:p w:rsidR="00585AD9" w:rsidRDefault="00585AD9" w:rsidP="00DD08F5">
      <w:pPr>
        <w:numPr>
          <w:ilvl w:val="0"/>
          <w:numId w:val="15"/>
        </w:numPr>
        <w:ind w:left="720"/>
        <w:jc w:val="both"/>
        <w:rPr>
          <w:b/>
        </w:rPr>
      </w:pPr>
      <w:r>
        <w:t>prasidėjo modifikuotų kanapių auginimas;</w:t>
      </w:r>
    </w:p>
    <w:p w:rsidR="00585AD9" w:rsidRDefault="00585AD9" w:rsidP="00DD08F5">
      <w:pPr>
        <w:numPr>
          <w:ilvl w:val="0"/>
          <w:numId w:val="15"/>
        </w:numPr>
        <w:ind w:left="720"/>
        <w:jc w:val="both"/>
        <w:rPr>
          <w:b/>
        </w:rPr>
      </w:pPr>
      <w:r>
        <w:t>didėjantys konfiskuoti šių medžiagų kiekiai;</w:t>
      </w:r>
    </w:p>
    <w:p w:rsidR="00585AD9" w:rsidRDefault="00585AD9" w:rsidP="00585AD9">
      <w:pPr>
        <w:jc w:val="both"/>
        <w:rPr>
          <w:b/>
          <w:i/>
          <w:color w:val="008000"/>
        </w:rPr>
      </w:pPr>
      <w:r>
        <w:rPr>
          <w:b/>
          <w:i/>
          <w:color w:val="008000"/>
        </w:rPr>
        <w:t>Auga heroino nelegali apyvarta:</w:t>
      </w:r>
    </w:p>
    <w:p w:rsidR="00585AD9" w:rsidRDefault="00585AD9" w:rsidP="00DD08F5">
      <w:pPr>
        <w:numPr>
          <w:ilvl w:val="0"/>
          <w:numId w:val="16"/>
        </w:numPr>
        <w:jc w:val="both"/>
      </w:pPr>
      <w:r>
        <w:t>per metus beveik dvigubai išaugo heroino sulaikymų skaičius;</w:t>
      </w:r>
    </w:p>
    <w:p w:rsidR="00585AD9" w:rsidRDefault="00585AD9" w:rsidP="00DD08F5">
      <w:pPr>
        <w:numPr>
          <w:ilvl w:val="0"/>
          <w:numId w:val="16"/>
        </w:numPr>
        <w:jc w:val="both"/>
      </w:pPr>
      <w:r>
        <w:t>gatvės prekyboje pasirodė didelės koncentracijos heroinas.</w:t>
      </w:r>
    </w:p>
    <w:p w:rsidR="00585AD9" w:rsidRDefault="00585AD9" w:rsidP="00585AD9">
      <w:pPr>
        <w:jc w:val="both"/>
        <w:rPr>
          <w:b/>
          <w:i/>
          <w:color w:val="008000"/>
        </w:rPr>
      </w:pPr>
      <w:r>
        <w:rPr>
          <w:b/>
          <w:i/>
          <w:color w:val="008000"/>
        </w:rPr>
        <w:t>Svarbus LR piliečių vaidmuo tarptautinėje nelegalioje narkotikų rinkoje:</w:t>
      </w:r>
    </w:p>
    <w:p w:rsidR="00585AD9" w:rsidRDefault="00585AD9" w:rsidP="00DD08F5">
      <w:pPr>
        <w:numPr>
          <w:ilvl w:val="0"/>
          <w:numId w:val="17"/>
        </w:numPr>
        <w:jc w:val="both"/>
      </w:pPr>
      <w:r>
        <w:t>nelegalios veiklos palengvinimui šalies organizuotos nusikalstamos grupuotės turi nuolatinius atstovus užsienio valstybėse;</w:t>
      </w:r>
    </w:p>
    <w:p w:rsidR="00585AD9" w:rsidRDefault="00585AD9" w:rsidP="00DD08F5">
      <w:pPr>
        <w:numPr>
          <w:ilvl w:val="0"/>
          <w:numId w:val="17"/>
        </w:numPr>
        <w:jc w:val="both"/>
      </w:pPr>
      <w:r>
        <w:t>stebima didėjanti LR piliečių įtaka tarptautinėse organizuotose nusikalstamose grupuotėse;</w:t>
      </w:r>
    </w:p>
    <w:p w:rsidR="00585AD9" w:rsidRDefault="00585AD9" w:rsidP="00DD08F5">
      <w:pPr>
        <w:numPr>
          <w:ilvl w:val="0"/>
          <w:numId w:val="17"/>
        </w:numPr>
        <w:jc w:val="both"/>
      </w:pPr>
      <w:r>
        <w:t>glaudūs nusikalstami ryšiai su kitų šalių organizuotomis grupuotėmis.</w:t>
      </w:r>
    </w:p>
    <w:p w:rsidR="00585AD9" w:rsidRDefault="00585AD9" w:rsidP="00585AD9">
      <w:pPr>
        <w:ind w:left="360"/>
        <w:jc w:val="both"/>
        <w:rPr>
          <w:b/>
          <w:color w:val="008000"/>
        </w:rPr>
      </w:pPr>
      <w:r>
        <w:rPr>
          <w:b/>
          <w:color w:val="008000"/>
        </w:rPr>
        <w:t>Išvada</w:t>
      </w:r>
    </w:p>
    <w:p w:rsidR="00585AD9" w:rsidRDefault="00585AD9" w:rsidP="00585AD9">
      <w:pPr>
        <w:ind w:firstLine="360"/>
        <w:jc w:val="both"/>
      </w:pPr>
      <w:r>
        <w:t xml:space="preserve">Pagrindinės tendencijos, apibūdinančios neteisėtą narkotikų apyvartą šalyje iš esmės nepakito, tačiau formuojant teisėsaugos institucijų darbo prioritetus, turėtų būti daugiau dėmesio skiriama šio reiškinio keliamoms grėsmėms, t.y. didėjančiai narkotikų pasiūlai jaunimo tarpe, heroino, amfetamino tipo stimuliuojamųjų medžiagų pasiūlos didėjimui. Siekdamos užkirsti narkotikų kontrabandos kelius ir išaiškinti organizuotas grupuotes, teisėsaugos institucijos turėtų stiprinti tarptautinį bendradarbiavimą, o siekiant sumažinti narkotikų prieinamumą jaunimui - aktyviau bendradarbiauti su švietimo ir mokymo įstaigomis. </w:t>
      </w:r>
    </w:p>
    <w:p w:rsidR="00585AD9" w:rsidRDefault="00585AD9" w:rsidP="00585AD9">
      <w:pPr>
        <w:jc w:val="both"/>
      </w:pPr>
    </w:p>
    <w:p w:rsidR="00B91CA6" w:rsidRDefault="00B91CA6"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872CAE" w:rsidRDefault="00872CAE" w:rsidP="002B7A0A">
      <w:pPr>
        <w:jc w:val="center"/>
        <w:rPr>
          <w:rFonts w:ascii="TimesLT" w:hAnsi="TimesLT"/>
          <w:b/>
          <w:sz w:val="56"/>
          <w:szCs w:val="56"/>
        </w:rPr>
      </w:pPr>
    </w:p>
    <w:p w:rsidR="007A1594" w:rsidRDefault="007A1594" w:rsidP="002B7A0A">
      <w:pPr>
        <w:jc w:val="center"/>
        <w:rPr>
          <w:rFonts w:ascii="TimesLT" w:hAnsi="TimesLT"/>
          <w:b/>
          <w:sz w:val="56"/>
          <w:szCs w:val="56"/>
        </w:rPr>
      </w:pPr>
    </w:p>
    <w:p w:rsidR="007A1594" w:rsidRDefault="007A1594" w:rsidP="007A1594">
      <w:pPr>
        <w:ind w:left="2160"/>
        <w:rPr>
          <w:b/>
          <w:color w:val="008000"/>
        </w:rPr>
      </w:pPr>
      <w:r>
        <w:rPr>
          <w:b/>
          <w:color w:val="008000"/>
          <w:sz w:val="36"/>
        </w:rPr>
        <w:t>LIETUVOS RESPUBLIKOS SEIMO</w:t>
      </w:r>
    </w:p>
    <w:p w:rsidR="007A1594" w:rsidRDefault="007A1594" w:rsidP="007A1594">
      <w:pPr>
        <w:jc w:val="center"/>
        <w:rPr>
          <w:b/>
          <w:color w:val="008000"/>
        </w:rPr>
      </w:pPr>
    </w:p>
    <w:p w:rsidR="007A1594" w:rsidRDefault="007A1594" w:rsidP="007A1594">
      <w:pPr>
        <w:jc w:val="center"/>
        <w:rPr>
          <w:b/>
          <w:color w:val="008000"/>
          <w:sz w:val="40"/>
        </w:rPr>
      </w:pPr>
      <w:r>
        <w:rPr>
          <w:b/>
          <w:color w:val="008000"/>
          <w:sz w:val="40"/>
        </w:rPr>
        <w:t>NARKOMANIJOS PREVENCIJOS KOMISIJOS</w:t>
      </w:r>
    </w:p>
    <w:p w:rsidR="007A1594" w:rsidRDefault="007A1594" w:rsidP="007A1594">
      <w:pPr>
        <w:jc w:val="center"/>
        <w:rPr>
          <w:b/>
          <w:color w:val="008000"/>
          <w:sz w:val="40"/>
        </w:rPr>
      </w:pPr>
    </w:p>
    <w:p w:rsidR="007A1594" w:rsidRDefault="007A1594" w:rsidP="007A1594">
      <w:pPr>
        <w:jc w:val="center"/>
        <w:rPr>
          <w:b/>
          <w:color w:val="008000"/>
          <w:sz w:val="36"/>
        </w:rPr>
      </w:pPr>
      <w:r>
        <w:rPr>
          <w:b/>
          <w:color w:val="008000"/>
          <w:sz w:val="36"/>
        </w:rPr>
        <w:t>2007 METŲ VEIKLOS</w:t>
      </w:r>
    </w:p>
    <w:p w:rsidR="007A1594" w:rsidRDefault="007A1594" w:rsidP="007A1594">
      <w:pPr>
        <w:jc w:val="center"/>
        <w:rPr>
          <w:b/>
          <w:color w:val="008000"/>
          <w:sz w:val="36"/>
        </w:rPr>
      </w:pPr>
    </w:p>
    <w:p w:rsidR="007A1594" w:rsidRDefault="007A1594" w:rsidP="007A1594">
      <w:pPr>
        <w:jc w:val="center"/>
        <w:rPr>
          <w:b/>
          <w:color w:val="008000"/>
          <w:sz w:val="36"/>
        </w:rPr>
      </w:pPr>
    </w:p>
    <w:p w:rsidR="007A1594" w:rsidRDefault="007A1594" w:rsidP="007A1594">
      <w:pPr>
        <w:jc w:val="center"/>
        <w:rPr>
          <w:b/>
          <w:color w:val="008000"/>
          <w:sz w:val="36"/>
        </w:rPr>
      </w:pPr>
    </w:p>
    <w:p w:rsidR="007A1594" w:rsidRDefault="007A1594" w:rsidP="007A1594">
      <w:pPr>
        <w:pStyle w:val="Antrat6"/>
      </w:pPr>
      <w:r>
        <w:t>A T A S K A I T A</w:t>
      </w: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jc w:val="center"/>
        <w:rPr>
          <w:rFonts w:ascii="TimesLT" w:hAnsi="TimesLT"/>
          <w:b/>
          <w:sz w:val="28"/>
        </w:rPr>
      </w:pPr>
    </w:p>
    <w:p w:rsidR="007A1594" w:rsidRDefault="007A1594" w:rsidP="007A1594">
      <w:pPr>
        <w:rPr>
          <w:rFonts w:ascii="TimesLT" w:hAnsi="TimesLT"/>
          <w:b/>
          <w:sz w:val="28"/>
        </w:rPr>
      </w:pPr>
    </w:p>
    <w:p w:rsidR="007A1594" w:rsidRDefault="007A1594" w:rsidP="007A1594">
      <w:pPr>
        <w:ind w:firstLine="720"/>
        <w:rPr>
          <w:rFonts w:ascii="TimesLT" w:hAnsi="TimesLT"/>
          <w:b/>
          <w:sz w:val="28"/>
        </w:rPr>
      </w:pPr>
    </w:p>
    <w:p w:rsidR="007A1594" w:rsidRDefault="007A1594" w:rsidP="007A1594">
      <w:pPr>
        <w:ind w:firstLine="720"/>
        <w:rPr>
          <w:rFonts w:ascii="TimesLT" w:hAnsi="TimesLT"/>
          <w:b/>
          <w:sz w:val="28"/>
        </w:rPr>
      </w:pPr>
    </w:p>
    <w:p w:rsidR="007A1594" w:rsidRDefault="007A1594" w:rsidP="007A1594">
      <w:pPr>
        <w:pStyle w:val="Antrat5"/>
        <w:ind w:left="1440"/>
      </w:pPr>
      <w:r>
        <w:t>Seimo Narkomanijos prevencijos komisija</w:t>
      </w:r>
    </w:p>
    <w:p w:rsidR="007A1594" w:rsidRDefault="007A1594" w:rsidP="007A1594">
      <w:pPr>
        <w:ind w:firstLine="720"/>
        <w:jc w:val="both"/>
        <w:rPr>
          <w:rFonts w:ascii="TimesLT" w:hAnsi="TimesLT"/>
        </w:rPr>
      </w:pPr>
      <w:r>
        <w:rPr>
          <w:rFonts w:ascii="TimesLT" w:hAnsi="TimesLT"/>
        </w:rPr>
        <w:t>Lietuvos Respublikos Seimas, vadovaudamasis Seimo statuto 71 straipsniu, 2004 m. gruodžio 16 d. nutarimu Nr. X-54 sudarė nuolatinę Seimo Narkomanijos prevencijos komisiją iš 11 narių.</w:t>
      </w:r>
      <w:r>
        <w:rPr>
          <w:rFonts w:ascii="TimesLT" w:hAnsi="TimesLT"/>
        </w:rPr>
        <w:tab/>
        <w:t>2006 m. gegužės 30 d.  Lietuvos Respublikos Seimas nutarimu Nr. X-630 “Dėl Seimo nutarimo “Dėl Seimo Narkomanijos prevencijos komisijos sudarymo” pakeitimo”   ir 2006 m. gruodžio 5 d.  Lietuvos Respublikos Seimas nutarimu Nr. X-956 “Dėl Seimo nutarimo “Dėl Seimo Narkomanijos prevencijos komisijos sudarymo” pakeitimo” patikslintas Komisijos narių sąrašas.</w:t>
      </w:r>
    </w:p>
    <w:p w:rsidR="007A1594" w:rsidRDefault="007A1594" w:rsidP="007A1594">
      <w:pPr>
        <w:ind w:firstLine="720"/>
        <w:jc w:val="both"/>
        <w:rPr>
          <w:rFonts w:ascii="TimesLT" w:hAnsi="TimesLT"/>
        </w:rPr>
      </w:pPr>
      <w:r>
        <w:rPr>
          <w:rFonts w:ascii="TimesLT" w:hAnsi="TimesLT"/>
        </w:rPr>
        <w:t xml:space="preserve"> Nuo 2004 m. gruodžio 21d.  Lietuvos Respublikos Seimo Narkomanijos prevencijos komisijos pirmininke išrinkta Ramunė  Visockytė. </w:t>
      </w:r>
    </w:p>
    <w:p w:rsidR="007A1594" w:rsidRDefault="007A1594" w:rsidP="007A1594">
      <w:pPr>
        <w:ind w:firstLine="720"/>
        <w:jc w:val="both"/>
        <w:rPr>
          <w:rFonts w:ascii="TimesLT" w:hAnsi="TimesLT"/>
        </w:rPr>
      </w:pPr>
      <w:r>
        <w:rPr>
          <w:rFonts w:ascii="TimesLT" w:hAnsi="TimesLT"/>
        </w:rPr>
        <w:t>2005 m. vasario 15 d. Seimo Narkomanijos prevencijos komisijos posėdyje komisijos pirmininko pavaduotoju išrinktas  Seimo narys Rimantas Remeika.</w:t>
      </w:r>
    </w:p>
    <w:p w:rsidR="007A1594" w:rsidRDefault="007A1594" w:rsidP="007A1594">
      <w:pPr>
        <w:ind w:firstLine="720"/>
        <w:jc w:val="both"/>
        <w:rPr>
          <w:rFonts w:ascii="TimesLT" w:hAnsi="TimesLT"/>
        </w:rPr>
      </w:pPr>
      <w:r>
        <w:rPr>
          <w:rFonts w:ascii="TimesLT" w:hAnsi="TimesLT"/>
        </w:rPr>
        <w:t>Lietuvos Respublikos Seimas 2005 m. lapkričio 15 d. nutarimu Nr. X - 393 "Dėl Lietuvos Respublikos Seimo Narkomanijos prevencijos komisijos nuostatų patvirtinimo" patvirtino Lietuvos Respublikos Seimo Narkomanijos prevencijos komisijos  nuostatus.</w:t>
      </w:r>
    </w:p>
    <w:p w:rsidR="007A1594" w:rsidRDefault="007A1594" w:rsidP="007A1594">
      <w:pPr>
        <w:ind w:firstLine="720"/>
        <w:jc w:val="both"/>
      </w:pPr>
      <w:r>
        <w:rPr>
          <w:rFonts w:ascii="TimesLT" w:hAnsi="TimesLT"/>
        </w:rPr>
        <w:tab/>
        <w:t>Lietuvos Respublikos Seimo Narkomanijos prevencijos komisijos sudėtis:</w:t>
      </w:r>
      <w:r>
        <w:t xml:space="preserve"> </w:t>
      </w:r>
    </w:p>
    <w:p w:rsidR="007A1594" w:rsidRDefault="007A1594" w:rsidP="007A1594">
      <w:pPr>
        <w:ind w:firstLine="720"/>
        <w:jc w:val="both"/>
        <w:rPr>
          <w:rFonts w:ascii="TimesLT" w:hAnsi="TimesLT"/>
        </w:rPr>
      </w:pPr>
      <w:r>
        <w:rPr>
          <w:rFonts w:ascii="TimesLT" w:hAnsi="TimesLT"/>
        </w:rPr>
        <w:t>1) Algis Kašėta;</w:t>
      </w:r>
    </w:p>
    <w:p w:rsidR="007A1594" w:rsidRDefault="007A1594" w:rsidP="007A1594">
      <w:pPr>
        <w:ind w:firstLine="720"/>
        <w:jc w:val="both"/>
        <w:rPr>
          <w:rFonts w:ascii="TimesLT" w:hAnsi="TimesLT"/>
        </w:rPr>
      </w:pPr>
      <w:r>
        <w:rPr>
          <w:rFonts w:ascii="TimesLT" w:hAnsi="TimesLT"/>
        </w:rPr>
        <w:t>2) Vincė Vaidevutė Margevičienė;</w:t>
      </w:r>
    </w:p>
    <w:p w:rsidR="007A1594" w:rsidRDefault="007A1594" w:rsidP="007A1594">
      <w:pPr>
        <w:ind w:firstLine="720"/>
        <w:jc w:val="both"/>
        <w:rPr>
          <w:rFonts w:ascii="TimesLT" w:hAnsi="TimesLT"/>
        </w:rPr>
      </w:pPr>
      <w:r>
        <w:rPr>
          <w:rFonts w:ascii="TimesLT" w:hAnsi="TimesLT"/>
        </w:rPr>
        <w:t>3) Milda Petrauskinė;</w:t>
      </w:r>
    </w:p>
    <w:p w:rsidR="007A1594" w:rsidRDefault="007A1594" w:rsidP="007A1594">
      <w:pPr>
        <w:ind w:firstLine="720"/>
        <w:jc w:val="both"/>
        <w:rPr>
          <w:rFonts w:ascii="TimesLT" w:hAnsi="TimesLT"/>
        </w:rPr>
      </w:pPr>
      <w:r>
        <w:rPr>
          <w:rFonts w:ascii="TimesLT" w:hAnsi="TimesLT"/>
        </w:rPr>
        <w:t>4) Rimantas Remeika;</w:t>
      </w:r>
    </w:p>
    <w:p w:rsidR="007A1594" w:rsidRDefault="007A1594" w:rsidP="007A1594">
      <w:pPr>
        <w:ind w:firstLine="720"/>
        <w:jc w:val="both"/>
        <w:rPr>
          <w:rFonts w:ascii="TimesLT" w:hAnsi="TimesLT"/>
        </w:rPr>
      </w:pPr>
      <w:r>
        <w:rPr>
          <w:rFonts w:ascii="TimesLT" w:hAnsi="TimesLT"/>
        </w:rPr>
        <w:t>5) Algis Rimas;</w:t>
      </w:r>
    </w:p>
    <w:p w:rsidR="007A1594" w:rsidRDefault="007A1594" w:rsidP="007A1594">
      <w:pPr>
        <w:ind w:firstLine="720"/>
        <w:jc w:val="both"/>
        <w:rPr>
          <w:rFonts w:ascii="TimesLT" w:hAnsi="TimesLT"/>
        </w:rPr>
      </w:pPr>
      <w:r>
        <w:rPr>
          <w:rFonts w:ascii="TimesLT" w:hAnsi="TimesLT"/>
        </w:rPr>
        <w:t>6) Irina Rozova;</w:t>
      </w:r>
    </w:p>
    <w:p w:rsidR="007A1594" w:rsidRDefault="007A1594" w:rsidP="007A1594">
      <w:pPr>
        <w:ind w:firstLine="720"/>
        <w:jc w:val="both"/>
        <w:rPr>
          <w:rFonts w:ascii="TimesLT" w:hAnsi="TimesLT"/>
        </w:rPr>
      </w:pPr>
      <w:r>
        <w:rPr>
          <w:rFonts w:ascii="TimesLT" w:hAnsi="TimesLT"/>
        </w:rPr>
        <w:t>7) Alvydas Sadeckas;</w:t>
      </w:r>
    </w:p>
    <w:p w:rsidR="007A1594" w:rsidRDefault="007A1594" w:rsidP="007A1594">
      <w:pPr>
        <w:ind w:firstLine="720"/>
        <w:jc w:val="both"/>
        <w:rPr>
          <w:rFonts w:ascii="TimesLT" w:hAnsi="TimesLT"/>
        </w:rPr>
      </w:pPr>
      <w:r>
        <w:rPr>
          <w:rFonts w:ascii="TimesLT" w:hAnsi="TimesLT"/>
        </w:rPr>
        <w:t>8) Ramunė Visockytė;</w:t>
      </w:r>
    </w:p>
    <w:p w:rsidR="007A1594" w:rsidRDefault="007A1594" w:rsidP="007A1594">
      <w:pPr>
        <w:ind w:firstLine="720"/>
        <w:jc w:val="both"/>
        <w:rPr>
          <w:rFonts w:ascii="TimesLT" w:hAnsi="TimesLT"/>
        </w:rPr>
      </w:pPr>
      <w:r>
        <w:rPr>
          <w:rFonts w:ascii="TimesLT" w:hAnsi="TimesLT"/>
        </w:rPr>
        <w:t>9) Jadvyga Zinkevičiūtė;</w:t>
      </w:r>
    </w:p>
    <w:p w:rsidR="007A1594" w:rsidRDefault="007A1594" w:rsidP="007A1594">
      <w:pPr>
        <w:ind w:firstLine="720"/>
        <w:jc w:val="both"/>
        <w:rPr>
          <w:rFonts w:ascii="TimesLT" w:hAnsi="TimesLT"/>
        </w:rPr>
      </w:pPr>
      <w:r>
        <w:rPr>
          <w:rFonts w:ascii="TimesLT" w:hAnsi="TimesLT"/>
        </w:rPr>
        <w:t>10) Vidmantas Žiemelis;</w:t>
      </w:r>
    </w:p>
    <w:p w:rsidR="007A1594" w:rsidRDefault="007A1594" w:rsidP="007A1594">
      <w:pPr>
        <w:ind w:firstLine="720"/>
        <w:jc w:val="both"/>
        <w:rPr>
          <w:rFonts w:ascii="TimesLT" w:hAnsi="TimesLT"/>
        </w:rPr>
      </w:pPr>
      <w:r>
        <w:rPr>
          <w:rFonts w:ascii="TimesLT" w:hAnsi="TimesLT"/>
        </w:rPr>
        <w:t>11) Ona Valiukevičiūtė.</w:t>
      </w:r>
      <w:r>
        <w:rPr>
          <w:rFonts w:ascii="TimesLT" w:hAnsi="TimesLT"/>
        </w:rPr>
        <w:tab/>
      </w:r>
    </w:p>
    <w:p w:rsidR="007A1594" w:rsidRDefault="007A1594" w:rsidP="007A1594">
      <w:pPr>
        <w:jc w:val="both"/>
        <w:rPr>
          <w:rFonts w:ascii="TimesLT" w:hAnsi="TimesLT"/>
          <w:b/>
          <w:bCs/>
        </w:rPr>
      </w:pPr>
      <w:r>
        <w:rPr>
          <w:rFonts w:ascii="TimesLT" w:hAnsi="TimesLT"/>
        </w:rPr>
        <w:tab/>
      </w:r>
      <w:r>
        <w:rPr>
          <w:rFonts w:ascii="TimesLT" w:hAnsi="TimesLT"/>
        </w:rPr>
        <w:tab/>
      </w:r>
      <w:r>
        <w:rPr>
          <w:rFonts w:ascii="TimesLT" w:hAnsi="TimesLT"/>
        </w:rPr>
        <w:tab/>
      </w:r>
      <w:r>
        <w:rPr>
          <w:rFonts w:ascii="TimesLT" w:hAnsi="TimesLT"/>
        </w:rPr>
        <w:tab/>
      </w:r>
      <w:r>
        <w:rPr>
          <w:rFonts w:ascii="TimesLT" w:hAnsi="TimesLT"/>
        </w:rPr>
        <w:tab/>
      </w:r>
      <w:r>
        <w:rPr>
          <w:rFonts w:ascii="TimesLT" w:hAnsi="TimesLT"/>
          <w:b/>
          <w:bCs/>
        </w:rPr>
        <w:t>Komisijos veikla</w:t>
      </w: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t>Lietuvos Respublikos Seimo 2007 metų pavasario ir rudens sesijos metu Komisija surengė 10 posėdžių, į kuriuos buvo kviečiami atsakingi institucijų pareigūnai, visuomeninių ir kitų organizacijų atstovai.</w:t>
      </w:r>
    </w:p>
    <w:p w:rsidR="007A1594" w:rsidRDefault="007A1594" w:rsidP="007A1594">
      <w:pPr>
        <w:ind w:firstLine="720"/>
        <w:jc w:val="both"/>
        <w:rPr>
          <w:rFonts w:ascii="TimesLT" w:hAnsi="TimesLT"/>
        </w:rPr>
      </w:pPr>
      <w:r>
        <w:rPr>
          <w:rFonts w:ascii="TimesLT" w:hAnsi="TimesLT"/>
        </w:rPr>
        <w:t>Ataskaitiniu laikotarpiu Komisija išsiuntė 83 ir gavo 69</w:t>
      </w:r>
      <w:r>
        <w:rPr>
          <w:rFonts w:ascii="TimesLT" w:hAnsi="TimesLT"/>
          <w:bCs/>
        </w:rPr>
        <w:t xml:space="preserve"> </w:t>
      </w:r>
      <w:r>
        <w:rPr>
          <w:rFonts w:ascii="TimesLT" w:hAnsi="TimesLT"/>
        </w:rPr>
        <w:t xml:space="preserve">raštus. Gauti skundai dėl narkomanijos prevencijos ir narkotikų kontrolės bei nacionalinių programų įgyvendinimo šiose srityse. </w:t>
      </w:r>
    </w:p>
    <w:p w:rsidR="007A1594" w:rsidRDefault="007A1594" w:rsidP="007A1594">
      <w:pPr>
        <w:ind w:firstLine="720"/>
        <w:jc w:val="both"/>
        <w:rPr>
          <w:rFonts w:ascii="TimesLT" w:hAnsi="TimesLT"/>
        </w:rPr>
      </w:pPr>
      <w:r>
        <w:rPr>
          <w:rFonts w:ascii="TimesLT" w:hAnsi="TimesLT"/>
        </w:rPr>
        <w:t xml:space="preserve">Komisijos pirmininkė Ramunė Visockytė 2007 m. kovo 26 - 28 d. lankėsi Suomijoje. Susitiko su Nacionalinio Suomijos visuomenės sveikatos instituto atstovais, Helsinkio sveikatos centro atstovais,  Socialinių reikalų ir sveikatos ministerijos atstovais. </w:t>
      </w:r>
    </w:p>
    <w:p w:rsidR="007A1594" w:rsidRDefault="007A1594" w:rsidP="007A1594">
      <w:pPr>
        <w:ind w:firstLine="720"/>
        <w:jc w:val="both"/>
        <w:rPr>
          <w:rFonts w:ascii="TimesLT" w:hAnsi="TimesLT"/>
        </w:rPr>
      </w:pPr>
      <w:r>
        <w:rPr>
          <w:rFonts w:ascii="TimesLT" w:hAnsi="TimesLT"/>
        </w:rPr>
        <w:t>2007 m. birželio mėn. 6 d. Komisijos nariai lankėsi Varėnos raj. Panaros kaime Priklausomybės ligų reabilitacijos bendruomenėje  “Pilnų namų bendruomenė”.</w:t>
      </w:r>
    </w:p>
    <w:p w:rsidR="007A1594" w:rsidRDefault="007A1594" w:rsidP="007A1594">
      <w:pPr>
        <w:ind w:firstLine="720"/>
        <w:jc w:val="both"/>
        <w:rPr>
          <w:rFonts w:ascii="TimesLT" w:hAnsi="TimesLT"/>
        </w:rPr>
      </w:pPr>
      <w:r>
        <w:rPr>
          <w:rFonts w:ascii="TimesLT" w:hAnsi="TimesLT"/>
        </w:rPr>
        <w:t>2007 09 28 Komisijos</w:t>
      </w:r>
      <w:r>
        <w:rPr>
          <w:rFonts w:ascii="TimesLT" w:hAnsi="TimesLT"/>
          <w:bCs/>
          <w:i/>
          <w:iCs/>
        </w:rPr>
        <w:t xml:space="preserve"> </w:t>
      </w:r>
      <w:r>
        <w:rPr>
          <w:rFonts w:ascii="TimesLT" w:hAnsi="TimesLT"/>
        </w:rPr>
        <w:t xml:space="preserve">nariai lankėsi Alytaus pataisos namuose. </w:t>
      </w:r>
    </w:p>
    <w:p w:rsidR="007A1594" w:rsidRDefault="007A1594" w:rsidP="007A1594">
      <w:pPr>
        <w:ind w:firstLine="720"/>
        <w:jc w:val="both"/>
        <w:rPr>
          <w:rFonts w:ascii="TimesLT" w:hAnsi="TimesLT"/>
        </w:rPr>
      </w:pPr>
      <w:r>
        <w:rPr>
          <w:rFonts w:ascii="TimesLT" w:hAnsi="TimesLT"/>
        </w:rPr>
        <w:t>Ataskaitiniu laikotarpiu Komisija surengė, padėjo organizuoti seminarus ir konferencijas narkomanijos prevencijos, narkotikų kontrolės ir narkomanijos politikos temomis: 2007 m. rugsėjo 12 d. tarptautinė konferencija “Narkomanijos prevencijos pokyčiai Lietuvoje ir Europoje”; 2007 m. spalio 9 d. tarptautinė konferencija “Pripažinti mūsų poreikius: pokalbiai apie lytiškumą ir homoseksualumą”; 2007 m. spalio 12 d. tarptautinė konferencija “ Šeimos samprata besikeičiančioje visuomenėje”.</w:t>
      </w:r>
    </w:p>
    <w:p w:rsidR="007A1594" w:rsidRDefault="007A1594" w:rsidP="007A1594">
      <w:pPr>
        <w:jc w:val="both"/>
        <w:rPr>
          <w:rFonts w:ascii="TimesLT" w:hAnsi="TimesLT"/>
        </w:rPr>
      </w:pPr>
    </w:p>
    <w:p w:rsidR="007A1594" w:rsidRDefault="007A1594" w:rsidP="007A1594">
      <w:pPr>
        <w:pStyle w:val="Antrat7"/>
      </w:pPr>
      <w:r>
        <w:t xml:space="preserve">Komisijos posėdžiai 2007 metais   </w:t>
      </w: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t xml:space="preserve">Seimo Narkomanijos prevencijos komisija </w:t>
      </w:r>
      <w:r>
        <w:rPr>
          <w:rFonts w:ascii="TimesLT" w:hAnsi="TimesLT"/>
          <w:i/>
        </w:rPr>
        <w:t xml:space="preserve">2007 01 17 </w:t>
      </w:r>
      <w:r>
        <w:rPr>
          <w:rFonts w:ascii="TimesLT" w:hAnsi="TimesLT"/>
        </w:rPr>
        <w:t xml:space="preserve">posėdyje svarstė Valstybės kontrolės atlikto audito “Narkomanijos prevencijos ir pagalbos organizavimas” ataskaitą ir išvadas. </w:t>
      </w:r>
    </w:p>
    <w:p w:rsidR="007A1594" w:rsidRDefault="007A1594" w:rsidP="007A1594">
      <w:pPr>
        <w:ind w:firstLine="720"/>
        <w:jc w:val="both"/>
        <w:rPr>
          <w:rFonts w:ascii="TimesLT" w:hAnsi="TimesLT"/>
        </w:rPr>
      </w:pPr>
      <w:r>
        <w:rPr>
          <w:rFonts w:ascii="TimesLT" w:hAnsi="TimesLT"/>
          <w:i/>
        </w:rPr>
        <w:t>2007 03 07</w:t>
      </w:r>
      <w:r>
        <w:rPr>
          <w:rFonts w:ascii="TimesLT" w:hAnsi="TimesLT"/>
        </w:rPr>
        <w:t xml:space="preserve">  Seimo Narkomanijos prevencijos komisija svarstė Narkomanijos prevencijos komisijos 2006 metų veiklos ataskaitą ir Narkomanijos prevencijos komisijos 2007 metų veiklos planą.</w:t>
      </w:r>
    </w:p>
    <w:p w:rsidR="007A1594" w:rsidRDefault="007A1594" w:rsidP="007A1594">
      <w:pPr>
        <w:jc w:val="both"/>
        <w:rPr>
          <w:rFonts w:ascii="TimesLT" w:hAnsi="TimesLT"/>
        </w:rPr>
      </w:pPr>
      <w:r>
        <w:rPr>
          <w:rFonts w:ascii="TimesLT" w:hAnsi="TimesLT"/>
        </w:rPr>
        <w:t xml:space="preserve"> </w:t>
      </w:r>
      <w:r>
        <w:rPr>
          <w:rFonts w:ascii="TimesLT" w:hAnsi="TimesLT"/>
        </w:rPr>
        <w:tab/>
      </w:r>
      <w:r>
        <w:rPr>
          <w:rFonts w:ascii="TimesLT" w:hAnsi="TimesLT"/>
          <w:bCs/>
          <w:i/>
          <w:iCs/>
        </w:rPr>
        <w:t>2007 03 14</w:t>
      </w:r>
      <w:r>
        <w:rPr>
          <w:rFonts w:ascii="TimesLT" w:hAnsi="TimesLT"/>
        </w:rPr>
        <w:t xml:space="preserve">  Seimo Narkomanijos prevencijos komisija patvirtino Narkomanijos prevencijos komisijos 2006 metų veiklos ataskaitą ir Narkomanijos prevencijos komisijos 2007 metų veiklos planą.</w:t>
      </w:r>
    </w:p>
    <w:p w:rsidR="007A1594" w:rsidRDefault="007A1594" w:rsidP="007A1594">
      <w:pPr>
        <w:ind w:firstLine="720"/>
        <w:jc w:val="both"/>
        <w:rPr>
          <w:rFonts w:ascii="TimesLT" w:hAnsi="TimesLT"/>
        </w:rPr>
      </w:pPr>
      <w:r>
        <w:rPr>
          <w:rFonts w:ascii="TimesLT" w:hAnsi="TimesLT"/>
          <w:bCs/>
          <w:i/>
          <w:iCs/>
        </w:rPr>
        <w:t>2007 05 02</w:t>
      </w:r>
      <w:r>
        <w:rPr>
          <w:rFonts w:ascii="TimesLT" w:hAnsi="TimesLT"/>
          <w:bCs/>
        </w:rPr>
        <w:t xml:space="preserve"> </w:t>
      </w:r>
      <w:r>
        <w:rPr>
          <w:rFonts w:ascii="TimesLT" w:hAnsi="TimesLT"/>
        </w:rPr>
        <w:t xml:space="preserve">vyko Seimo Nacionalinio saugumo ir gynybos komiteto ir Narkomanijos prevencijos komisijos bendras posėdis, kuriame svarstytas “Dėl Nacionalinės narkotikų kontrolės ir narkomanijos prevencijos 2004 – 2008 metų programos įgyvendinimo” klausimas. </w:t>
      </w:r>
    </w:p>
    <w:p w:rsidR="007A1594" w:rsidRDefault="007A1594" w:rsidP="007A1594">
      <w:pPr>
        <w:ind w:firstLine="720"/>
        <w:jc w:val="both"/>
        <w:rPr>
          <w:rFonts w:ascii="TimesLT" w:hAnsi="TimesLT"/>
        </w:rPr>
      </w:pPr>
      <w:r>
        <w:rPr>
          <w:rFonts w:ascii="TimesLT" w:hAnsi="TimesLT"/>
          <w:bCs/>
          <w:i/>
          <w:iCs/>
        </w:rPr>
        <w:t>2007  05 16</w:t>
      </w:r>
      <w:r>
        <w:rPr>
          <w:rFonts w:ascii="TimesLT" w:hAnsi="TimesLT"/>
          <w:bCs/>
        </w:rPr>
        <w:t xml:space="preserve"> </w:t>
      </w:r>
      <w:r>
        <w:rPr>
          <w:rFonts w:ascii="TimesLT" w:hAnsi="TimesLT"/>
        </w:rPr>
        <w:t xml:space="preserve">vyko Sveikatos reikalų komiteto ir Narkomanijos prevencijos komisijos bendras posėdis, kuriame svarstytas  “Dėl Narkotikų kontrolės departamento prie Lietuvos Respublikos Vyriausybės veiklos” klausimas. </w:t>
      </w:r>
    </w:p>
    <w:p w:rsidR="007A1594" w:rsidRDefault="007A1594" w:rsidP="007A1594">
      <w:pPr>
        <w:ind w:firstLine="720"/>
        <w:jc w:val="both"/>
        <w:rPr>
          <w:rFonts w:ascii="TimesLT" w:hAnsi="TimesLT"/>
        </w:rPr>
      </w:pPr>
      <w:r>
        <w:rPr>
          <w:rFonts w:ascii="TimesLT" w:hAnsi="TimesLT"/>
          <w:bCs/>
          <w:i/>
          <w:iCs/>
        </w:rPr>
        <w:t>2007  06 06</w:t>
      </w:r>
      <w:r>
        <w:rPr>
          <w:rFonts w:ascii="TimesLT" w:hAnsi="TimesLT"/>
        </w:rPr>
        <w:t xml:space="preserve">  vyko Seimo Narkomanijos prevencijos komisijos išvažiuojamasis posėdis Priklausomybės ligų reabilitacijos bendruomenėje  “Pilnų namų bendruomenė”  .</w:t>
      </w:r>
    </w:p>
    <w:p w:rsidR="007A1594" w:rsidRDefault="007A1594" w:rsidP="007A1594">
      <w:pPr>
        <w:ind w:firstLine="720"/>
        <w:jc w:val="both"/>
        <w:rPr>
          <w:rFonts w:ascii="TimesLT" w:hAnsi="TimesLT"/>
        </w:rPr>
      </w:pPr>
      <w:r>
        <w:rPr>
          <w:rFonts w:ascii="TimesLT" w:hAnsi="TimesLT"/>
          <w:bCs/>
          <w:i/>
          <w:iCs/>
        </w:rPr>
        <w:t xml:space="preserve">2007 06 27 </w:t>
      </w:r>
      <w:r>
        <w:rPr>
          <w:rFonts w:ascii="TimesLT" w:hAnsi="TimesLT"/>
        </w:rPr>
        <w:t>vyko  Seimo Nacionalinio saugumo ir gynybos komiteto ir Narkomanijos prevencijos komisijos bendras posėdis, kuriame apsvarstyta Nacionalinės narkotikų kontrolės ir narkomanijos prevencijos 2004 – 2008 metų programos įgyvendinimo eiga.</w:t>
      </w:r>
    </w:p>
    <w:p w:rsidR="007A1594" w:rsidRDefault="007A1594" w:rsidP="007A1594">
      <w:pPr>
        <w:ind w:firstLine="720"/>
        <w:jc w:val="both"/>
        <w:rPr>
          <w:rFonts w:ascii="TimesLT" w:hAnsi="TimesLT"/>
        </w:rPr>
      </w:pPr>
      <w:r>
        <w:rPr>
          <w:rFonts w:ascii="TimesLT" w:hAnsi="TimesLT"/>
          <w:bCs/>
          <w:i/>
          <w:iCs/>
        </w:rPr>
        <w:t xml:space="preserve">2007 09 28 </w:t>
      </w:r>
      <w:r>
        <w:rPr>
          <w:rFonts w:ascii="TimesLT" w:hAnsi="TimesLT"/>
        </w:rPr>
        <w:t>vyko Narkomanijos prevencijos komisijos išvažiuojamasis posėdis Alytaus pataisos namuose, kuriame išklausyta informacija apie narkomaniją ir užkrečiamas ligas laisvės atėmimo vietose, narkotikų patekimo kelius ir užkardinimo priemones laisvės atėmimo vietose, apsvaigimų nustatymą Alytaus pataisos namuose šiandien ir iš to kylančias problemas bei užimtumo programas, vykdomas Alytaus pataisos namuose, skatinančias nevartoti narkotines medžiagas ir kt.</w:t>
      </w:r>
    </w:p>
    <w:p w:rsidR="007A1594" w:rsidRDefault="007A1594" w:rsidP="007A1594">
      <w:pPr>
        <w:ind w:firstLine="720"/>
        <w:jc w:val="both"/>
        <w:rPr>
          <w:rFonts w:ascii="TimesLT" w:hAnsi="TimesLT"/>
        </w:rPr>
      </w:pPr>
      <w:r>
        <w:rPr>
          <w:rFonts w:ascii="TimesLT" w:hAnsi="TimesLT"/>
          <w:bCs/>
          <w:i/>
          <w:iCs/>
        </w:rPr>
        <w:t xml:space="preserve">2007 11 08 </w:t>
      </w:r>
      <w:r>
        <w:rPr>
          <w:rFonts w:ascii="TimesLT" w:hAnsi="TimesLT"/>
        </w:rPr>
        <w:t>vyko Narkomanijos prevencijos komisijos posėdis dėl pasiūlymų apriboti narkotikų patekimą į pataisos namus, pakeičiant Lietuvos Respublikos Bausmių vykdymo kodeksą ir Pataisos įstaigų vidaus tvarkos taisykles.</w:t>
      </w:r>
    </w:p>
    <w:p w:rsidR="007A1594" w:rsidRDefault="007A1594" w:rsidP="007A1594">
      <w:pPr>
        <w:ind w:firstLine="720"/>
        <w:jc w:val="both"/>
        <w:rPr>
          <w:rFonts w:ascii="TimesLT" w:hAnsi="TimesLT"/>
        </w:rPr>
      </w:pPr>
      <w:r>
        <w:rPr>
          <w:rFonts w:ascii="TimesLT" w:hAnsi="TimesLT"/>
          <w:bCs/>
          <w:i/>
          <w:iCs/>
        </w:rPr>
        <w:t xml:space="preserve">2007 12 19 </w:t>
      </w:r>
      <w:r>
        <w:rPr>
          <w:rFonts w:ascii="TimesLT" w:hAnsi="TimesLT"/>
        </w:rPr>
        <w:t xml:space="preserve">vyko Narkomanijos prevencijos komisijos posėdis, kuriame išklausyta informacija apie Lietuvoje vykdomą pirminę narkomanijos prevenciją (pagal klasifikaciją: bendroji, atrankinė ir tikslinė).  </w:t>
      </w:r>
    </w:p>
    <w:p w:rsidR="007A1594" w:rsidRDefault="007A1594" w:rsidP="007A1594">
      <w:pPr>
        <w:ind w:firstLine="720"/>
        <w:jc w:val="both"/>
        <w:rPr>
          <w:rFonts w:ascii="TimesLT" w:hAnsi="TimesLT"/>
        </w:rPr>
      </w:pPr>
      <w:r>
        <w:rPr>
          <w:rFonts w:ascii="TimesLT" w:hAnsi="TimesLT"/>
        </w:rPr>
        <w:t>Komisijos veikla 2007 metais buvo vykdoma vadovaujantis nuostatais, Komisijos patvirtintu 2007 metų veiklos planu ir pagal patvirtintas prioritetines veiklos kryptis:</w:t>
      </w:r>
    </w:p>
    <w:p w:rsidR="007A1594" w:rsidRDefault="007A1594" w:rsidP="007A1594">
      <w:pPr>
        <w:ind w:firstLine="720"/>
        <w:jc w:val="both"/>
        <w:rPr>
          <w:rFonts w:ascii="TimesLT" w:hAnsi="TimesLT"/>
        </w:rPr>
      </w:pPr>
      <w:r>
        <w:rPr>
          <w:rFonts w:ascii="TimesLT" w:hAnsi="TimesLT"/>
        </w:rPr>
        <w:t xml:space="preserve">1.Tarptautinių konvencijų ir rekomendacijų įgyvendinimas nacionalinių įstatymų ir tarptautinių konvencijų dėl kovos su neteisėta narkotinių priemonių ir psichotropinių medžiagų </w:t>
      </w:r>
      <w:r>
        <w:rPr>
          <w:rFonts w:ascii="TimesLT" w:hAnsi="TimesLT"/>
        </w:rPr>
        <w:lastRenderedPageBreak/>
        <w:t>apyvarta klausimais suvienodinimo kontekste ( Jungtinių Tautų Organizacijos, Europos Tarybos, Europos Sąjungos).</w:t>
      </w:r>
    </w:p>
    <w:p w:rsidR="007A1594" w:rsidRDefault="007A1594" w:rsidP="007A1594">
      <w:pPr>
        <w:ind w:firstLine="720"/>
        <w:jc w:val="both"/>
        <w:rPr>
          <w:rFonts w:ascii="TimesLT" w:hAnsi="TimesLT"/>
        </w:rPr>
      </w:pPr>
      <w:r>
        <w:rPr>
          <w:rFonts w:ascii="TimesLT" w:hAnsi="TimesLT"/>
        </w:rPr>
        <w:t>2.Valstybės politikos, orientuotos į narkomanijos prevenciją ir narkotikų kontrolę formavimas,  prioritetų nustatymas.</w:t>
      </w:r>
    </w:p>
    <w:p w:rsidR="007A1594" w:rsidRDefault="007A1594" w:rsidP="007A1594">
      <w:pPr>
        <w:ind w:firstLine="720"/>
        <w:jc w:val="both"/>
        <w:rPr>
          <w:rFonts w:ascii="TimesLT" w:hAnsi="TimesLT"/>
        </w:rPr>
      </w:pPr>
      <w:r>
        <w:rPr>
          <w:rFonts w:ascii="TimesLT" w:hAnsi="TimesLT"/>
        </w:rPr>
        <w:t>3. Nacionalinės narkomanijos prevencijos ir narkotikų kontrolės strategijos ir Nacionalinės narkotikų kontrolės ir narkomanijos prevencijos 2004 – 2008 metų programos priemonių įgyvendinimo klausimai.</w:t>
      </w:r>
    </w:p>
    <w:p w:rsidR="007A1594" w:rsidRDefault="007A1594" w:rsidP="007A1594">
      <w:pPr>
        <w:ind w:firstLine="720"/>
        <w:jc w:val="both"/>
        <w:rPr>
          <w:rFonts w:ascii="TimesLT" w:hAnsi="TimesLT"/>
        </w:rPr>
      </w:pPr>
      <w:r>
        <w:rPr>
          <w:rFonts w:ascii="TimesLT" w:hAnsi="TimesLT"/>
        </w:rPr>
        <w:t>4. Naujų įstatymų bei kitų teisės aktų, reikalingų dėl Nacionalinės narkotikų kontrolės ir narkomanijos prevencijos 2004 -2008 metų programos,  Vaikų ir jaunimo socializacijos programos ir   Jaunimo politikos  pagrindų įstatymo nuostatoms įgyvendinti, taip pat Nepilnamečių justicijos  2004 - 2008 metų programos  dėl nepilnamečių resocializacijos nuostatoms bei Valstybinės švietimo strategijos  2003 - 2012 metų nuostatoms dėl narkotikų kontrolės ir narkomanijos  prevencijos  įgyvendinti klausimų sprendimas.</w:t>
      </w:r>
    </w:p>
    <w:p w:rsidR="007A1594" w:rsidRDefault="007A1594" w:rsidP="007A1594">
      <w:pPr>
        <w:ind w:firstLine="720"/>
        <w:jc w:val="both"/>
        <w:rPr>
          <w:rFonts w:ascii="TimesLT" w:hAnsi="TimesLT"/>
        </w:rPr>
      </w:pPr>
      <w:r>
        <w:rPr>
          <w:rFonts w:ascii="TimesLT" w:hAnsi="TimesLT"/>
        </w:rPr>
        <w:t>5.Diskusijų ir konferencijų Narkomanijos prevencijos komisijos kompetencijos srityje organizavimas.</w:t>
      </w:r>
    </w:p>
    <w:p w:rsidR="007A1594" w:rsidRDefault="007A1594" w:rsidP="007A1594">
      <w:pPr>
        <w:ind w:firstLine="720"/>
        <w:jc w:val="both"/>
        <w:rPr>
          <w:rFonts w:ascii="TimesLT" w:hAnsi="TimesLT"/>
        </w:rPr>
      </w:pPr>
    </w:p>
    <w:p w:rsidR="007A1594" w:rsidRDefault="007A1594" w:rsidP="007A1594">
      <w:pPr>
        <w:pStyle w:val="Antrat9"/>
      </w:pPr>
      <w:r>
        <w:t>Dėl narkomanijos prevencijos ir narkotikų kontrolės situacijos</w:t>
      </w: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t xml:space="preserve">Komisija, vykdydama parlamentinę kontrolę narkomanijos prevencijos ir narkotikų kontrolės srityje, analizavo kaip yra vykdomos Lietuvos Respublikos Seimo patvirtintoje </w:t>
      </w:r>
      <w:r>
        <w:rPr>
          <w:rFonts w:ascii="TimesLT" w:hAnsi="TimesLT"/>
          <w:bCs/>
        </w:rPr>
        <w:t>Programoje</w:t>
      </w:r>
      <w:r>
        <w:rPr>
          <w:rFonts w:ascii="TimesLT" w:hAnsi="TimesLT"/>
        </w:rPr>
        <w:t xml:space="preserve"> išskirtos prioritetines narkotikų kontrolės ir narkomanijos prevencijos kryptis. Komisija nagrinėjo informaciją apie esamą situaciją dėl Nacionalinės narkotikų kontrolės ir narkomanijos prevencijos 2004 – 2008 metų programos įgyvendinimo. Komisija posėdžiuose padarė išvadas ir priėmė sprendimus, kartu su Seimo Nacionalinio saugumo ir gynybos komitetu pateikė siūlymus Lietuvos Respublikos Vyriausybei.</w:t>
      </w:r>
    </w:p>
    <w:p w:rsidR="007A1594" w:rsidRDefault="007A1594" w:rsidP="007A1594">
      <w:pPr>
        <w:ind w:firstLine="720"/>
        <w:jc w:val="both"/>
        <w:rPr>
          <w:rFonts w:ascii="TimesLT" w:hAnsi="TimesLT"/>
        </w:rPr>
      </w:pPr>
      <w:r>
        <w:rPr>
          <w:rFonts w:ascii="TimesLT" w:hAnsi="TimesLT"/>
        </w:rPr>
        <w:t xml:space="preserve">Lietuva nuosekliai vykdo narkotikų kontrolės politiką, kuri yra sudedamoji valstybės užsienio ir vidaus politikos dalis. Pagrindinės nuostatos, apibrėžiančios Europos Sąjungos narkotikų kontrolės politiką, išdėstytos Europos Sąjungos kovos su narkotikais strategijose 2000 – 2004 ir 2005-2012 metams, Lietuvos Respublikos Nacionalinėje narkotikų kontrolės ir narkomanijos prevencijos 2004 -2008 metų programoje. </w:t>
      </w:r>
    </w:p>
    <w:p w:rsidR="007A1594" w:rsidRDefault="007A1594" w:rsidP="007A1594">
      <w:pPr>
        <w:ind w:firstLine="720"/>
        <w:jc w:val="both"/>
        <w:rPr>
          <w:rFonts w:ascii="TimesLT" w:hAnsi="TimesLT"/>
        </w:rPr>
      </w:pPr>
      <w:r>
        <w:rPr>
          <w:rFonts w:ascii="TimesLT" w:hAnsi="TimesLT"/>
        </w:rPr>
        <w:t>Tačiau, Lietuva sintetinių narkotikų nelegalioje apyvartoje Europos Sąjungos šalyse užima ketvirtą vietą ( net 4 proc. ES šalyse konfiskuotų narkotikų buvo pagaminti Lietuvoje). Šalyje veikia pogrindinės sintetinių narkotikų gamybos laboratorijos. Sintetinių narkotikų rinka užima apie 40 proc. visos narkotikų rinkos Lietuvoje. Sintetiniai narkotikai, tokie kaip amfetaminas ir “ekstazy” nelegaliai gaminami  vien iš cheminių medžiagų. Didėjant narkotinių medžiagų gamybos apimtims bei jų paklausai - didėja ir cheminių medžiagų poreikis.</w:t>
      </w:r>
    </w:p>
    <w:p w:rsidR="007A1594" w:rsidRDefault="007A1594" w:rsidP="007A1594">
      <w:pPr>
        <w:ind w:firstLine="720"/>
        <w:jc w:val="both"/>
        <w:rPr>
          <w:rFonts w:ascii="TimesLT" w:hAnsi="TimesLT"/>
        </w:rPr>
      </w:pPr>
      <w:r>
        <w:rPr>
          <w:rFonts w:ascii="TimesLT" w:hAnsi="TimesLT"/>
        </w:rPr>
        <w:t xml:space="preserve">2007 metais Komisija atkreipė Lietuvos Respublikos Vyriausybės dėmesį į tai, kad be kanapių Lietuvoje populiariausieji narkotikai anfetaminas ir ekstazę. </w:t>
      </w:r>
    </w:p>
    <w:p w:rsidR="007A1594" w:rsidRDefault="007A1594" w:rsidP="007A1594">
      <w:pPr>
        <w:ind w:firstLine="720"/>
        <w:jc w:val="both"/>
        <w:rPr>
          <w:rFonts w:ascii="TimesLT" w:hAnsi="TimesLT"/>
        </w:rPr>
      </w:pPr>
      <w:r>
        <w:rPr>
          <w:rFonts w:ascii="TimesLT" w:hAnsi="TimesLT"/>
        </w:rPr>
        <w:t xml:space="preserve">Amfetamino tipo stimuliuojamųjų medžiagų gamyboje apie 50 proc. visų naudojamų cheminių medžiagų yra nekontroliuojamos ir jas be jokių dokumentų galima įsigyti plataus vartojimo prekių arba specializuotose parduotuvėse. </w:t>
      </w:r>
    </w:p>
    <w:p w:rsidR="007A1594" w:rsidRDefault="007A1594" w:rsidP="007A1594">
      <w:pPr>
        <w:ind w:firstLine="720"/>
        <w:jc w:val="both"/>
        <w:rPr>
          <w:rFonts w:ascii="TimesLT" w:hAnsi="TimesLT"/>
        </w:rPr>
      </w:pPr>
      <w:r>
        <w:rPr>
          <w:rFonts w:ascii="TimesLT" w:hAnsi="TimesLT"/>
        </w:rPr>
        <w:t xml:space="preserve">Nesutvarkyti kontrolės mechanizmai atvedė Lietuvą prie tokios situacijos, kad dvejus metus  Jungtinių Tautų Tarptautinės narkotikų kontrolės tarybos veiklos ataskaitoje Lietuva tarp kitų Europos valstybių įvardijama kaip anfetamino ir metamfetamino kilmės šalis. Minėtoje ataskaitoje taip pat pažymima, kad pagrindinės problemos Lietuvoje yra sintetinių narkotikų vartotojų skaičiaus augimas, piktnaudžiavimas receptiniais vaistais, narkotinių ir psichotropinių medžiagų prekursorių prekyba, kontrabanda į kaimynines šalis. </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ESPAD – Europos mokyklų alkoholio ir kitų narkotikų vartojimo tęstinis tyrimas vykdomas kas ketveri metai ir jame Lietuva dalyvauja nuo 1995 metų. </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Tiriant 15 – 16 metų moksleivių psichoaktyvių medžiagų vartojimą 2003 metais tyrime dalyvavo 35 šalys, o  2007 metais jau 39 šalys.  </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2003 metais 15-16 metų amžiaus Lietuvos moksleivių psichoaktyviųjų medžiagų vartojimas viršijo Europos vidurkį pagal daugumą rodiklių: tiek per pastaruosius metus vartojusių alkoholį    (Lietuvoje - 94 proc., vidurkis 81), tiek nusigeriančių iki girtumo (66, vid. 50), tiek kada nors rūkiusių </w:t>
      </w:r>
      <w:r>
        <w:rPr>
          <w:rFonts w:ascii="TimesLT" w:hAnsi="TimesLT"/>
          <w:szCs w:val="24"/>
          <w:lang w:val="lt-LT"/>
        </w:rPr>
        <w:lastRenderedPageBreak/>
        <w:t>( 80, vid.63 proc.), tiek  rūkiusių per paskutines 30 dienų (41, vid.. 33) Lietuvos šio amžiaus moksleivių buvo gerokai daugiau, negu vidutiniškai 35-se tyrime dalyvavusiose Europos šalyse.</w:t>
      </w:r>
    </w:p>
    <w:p w:rsidR="007A1594" w:rsidRDefault="007A1594" w:rsidP="007A1594">
      <w:pPr>
        <w:ind w:firstLine="720"/>
        <w:jc w:val="both"/>
        <w:rPr>
          <w:rFonts w:ascii="TimesLT" w:hAnsi="TimesLT"/>
        </w:rPr>
      </w:pPr>
      <w:r>
        <w:rPr>
          <w:rFonts w:ascii="TimesLT" w:hAnsi="TimesLT"/>
        </w:rPr>
        <w:t xml:space="preserve">Dabartiniu metu pagal alkoholio vartojimo paplitimą Lietuvos 15 – 16 metų moksleiviai  „pirmauja“ Europoje (neigiama prasme), nors  kartą per pastaruosius 12 mėnesių gėrusių alkoholio moksleivių skaičių Lietuvoje sudarė (94 proc.),  antrojoje vietoje buvo  Čekijos moksleiviai (95 proc.). </w:t>
      </w:r>
    </w:p>
    <w:p w:rsidR="007A1594" w:rsidRDefault="007A1594" w:rsidP="007A1594">
      <w:pPr>
        <w:ind w:firstLine="720"/>
        <w:jc w:val="both"/>
        <w:rPr>
          <w:rFonts w:ascii="TimesLT" w:hAnsi="TimesLT"/>
        </w:rPr>
      </w:pPr>
      <w:r>
        <w:rPr>
          <w:rFonts w:ascii="TimesLT" w:hAnsi="TimesLT"/>
        </w:rPr>
        <w:t>Per ESPAD tyrimų laikotarpį nuo 1995 iki 2003 metų  alkoholio vartojimas pastoviai ir sparčiai didėjo pagal daugumą parametrų – tiek pagal paplitimą, tiek vartojimo dažnumą.</w:t>
      </w:r>
    </w:p>
    <w:p w:rsidR="007A1594" w:rsidRDefault="007A1594" w:rsidP="007A1594">
      <w:pPr>
        <w:ind w:firstLine="720"/>
        <w:jc w:val="both"/>
        <w:rPr>
          <w:rFonts w:ascii="TimesLT" w:hAnsi="TimesLT"/>
        </w:rPr>
      </w:pPr>
      <w:r>
        <w:rPr>
          <w:rFonts w:ascii="TimesLT" w:hAnsi="TimesLT"/>
        </w:rPr>
        <w:t xml:space="preserve"> Sistemingai mažėjo moksleivių, kurie buvo vartoję alkoholį kelis kartus ir daugėjo tokių, kurie per 12 mėnesių vartojo keliolika ir daugiau kartų. Beveik pusė berniukų ir trečdalis mergaičių nurodė vartoję alkoholį 40 ir daugiau kartų (taip dažnai vartojusių alkoholį visų moksleivių 1995 m. buvo12 proc., 2003m. – jau 38 proc.). Paauglystėje tai jau pavojinga elgsena ir gresia priklausomybės išsivystymu. </w:t>
      </w:r>
    </w:p>
    <w:p w:rsidR="007A1594" w:rsidRDefault="007A1594" w:rsidP="007A1594">
      <w:pPr>
        <w:ind w:firstLine="720"/>
        <w:jc w:val="both"/>
        <w:rPr>
          <w:rFonts w:ascii="TimesLT" w:hAnsi="TimesLT"/>
        </w:rPr>
      </w:pPr>
      <w:r>
        <w:rPr>
          <w:rFonts w:ascii="TimesLT" w:hAnsi="TimesLT"/>
        </w:rPr>
        <w:t xml:space="preserve"> Dažniausia vartojantieji alkoholį moksleiviai vartojo alų: per paskutines 30 dienų alų bent kartą vartojo 60 proc., o 3 ir daugiau kartų per tą patį laiką - 28 proc.; vyną (šampaną) ir stiprius gėrimus - maždaug 13-14 proc. </w:t>
      </w:r>
    </w:p>
    <w:p w:rsidR="007A1594" w:rsidRDefault="007A1594" w:rsidP="007A1594">
      <w:pPr>
        <w:ind w:firstLine="720"/>
        <w:jc w:val="both"/>
        <w:rPr>
          <w:rFonts w:ascii="TimesLT" w:hAnsi="TimesLT"/>
        </w:rPr>
      </w:pPr>
      <w:r>
        <w:rPr>
          <w:rFonts w:ascii="TimesLT" w:hAnsi="TimesLT"/>
        </w:rPr>
        <w:t xml:space="preserve">Padidėjo ir vartojusių alkoholinius gėrimus iki stipraus apsvaigimo – girtumo moksleivių (net 81 proc. nurodė bent kartą gyvenime buvę girti, 66 proc. - per pastaruosius  12 mėnesių – tai irgi vienas aukščiausių rodiklių Europoje); padidėjo ir dažnai geriančių iki girtumo skaičius – buvo girti 20 ir daugiau kartų penktadalis tirtų paauglių. </w:t>
      </w:r>
    </w:p>
    <w:p w:rsidR="007A1594" w:rsidRDefault="007A1594" w:rsidP="007A1594">
      <w:pPr>
        <w:ind w:firstLine="720"/>
        <w:jc w:val="both"/>
        <w:rPr>
          <w:rFonts w:ascii="TimesLT" w:hAnsi="TimesLT"/>
        </w:rPr>
      </w:pPr>
      <w:r>
        <w:rPr>
          <w:rFonts w:ascii="TimesLT" w:hAnsi="TimesLT"/>
        </w:rPr>
        <w:t>Didėjo ne tik alkoholio vartojimas apskritai, bet  ir dažno bei gausaus gėrimo įpročiai.</w:t>
      </w:r>
    </w:p>
    <w:p w:rsidR="007A1594" w:rsidRDefault="007A1594" w:rsidP="007A1594">
      <w:pPr>
        <w:ind w:firstLine="720"/>
        <w:jc w:val="both"/>
        <w:rPr>
          <w:rFonts w:ascii="TimesLT" w:hAnsi="TimesLT"/>
        </w:rPr>
      </w:pPr>
      <w:r>
        <w:rPr>
          <w:rFonts w:ascii="TimesLT" w:hAnsi="TimesLT"/>
        </w:rPr>
        <w:t xml:space="preserve"> Besaikis gėrimas ( kai geriama iš eilės 5 ir daugiau alaus butelių ar stipraus gėrimo taurelių) irgi gana paplitęs – per paskutines 30 dienų taip gėrė 39 proc., bet nuo 1995 metų ši tendencija nekito.</w:t>
      </w:r>
    </w:p>
    <w:p w:rsidR="007A1594" w:rsidRDefault="007A1594" w:rsidP="007A1594">
      <w:pPr>
        <w:ind w:firstLine="720"/>
        <w:jc w:val="both"/>
        <w:rPr>
          <w:rFonts w:ascii="TimesLT" w:hAnsi="TimesLT"/>
        </w:rPr>
      </w:pPr>
      <w:r>
        <w:rPr>
          <w:rFonts w:ascii="TimesLT" w:hAnsi="TimesLT"/>
        </w:rPr>
        <w:t xml:space="preserve">Moksleiviai pradeda vartoti alkoholinius gėrimus anksti. 67 proc. </w:t>
      </w:r>
      <w:r>
        <w:rPr>
          <w:rFonts w:ascii="TimesLT" w:hAnsi="TimesLT"/>
          <w:u w:val="single"/>
        </w:rPr>
        <w:t>13 metų ir jaunesnių</w:t>
      </w:r>
      <w:r>
        <w:rPr>
          <w:rFonts w:ascii="TimesLT" w:hAnsi="TimesLT"/>
        </w:rPr>
        <w:t xml:space="preserve"> Lietuvos respondentų nors kartą yra išgėrę stiklinę alaus (Latvijoje 72 proc., Estijoje 64 proc., Lenkijoje 55 proc.). Stiklinę vyno nors kartą išgėrė  73 proc. Lietuvos moksleivių  - (tai didžiausias procentas Europoje, Latvijoje -63, Estijoje -59, Lenkijoje -35, Slovėnijoje-  66, Jungtinėje Karalystėje – 65 proc.).</w:t>
      </w:r>
    </w:p>
    <w:p w:rsidR="007A1594" w:rsidRDefault="007A1594" w:rsidP="007A1594">
      <w:pPr>
        <w:ind w:firstLine="720"/>
        <w:jc w:val="both"/>
        <w:rPr>
          <w:rFonts w:ascii="TimesLT" w:hAnsi="TimesLT"/>
        </w:rPr>
      </w:pPr>
      <w:r>
        <w:rPr>
          <w:rFonts w:ascii="TimesLT" w:hAnsi="TimesLT"/>
        </w:rPr>
        <w:t xml:space="preserve"> 35 proc. 13 metų ir jaunesnių moksleivių nors kartą išgėrė mažiausiai taurelę stiprių alkoholinių gėrimų. Tyrimas parodė, kad vyną anksčiau pradeda gerti ne tradicinių „vyno šalių“, o kitų šalių moksleiviai ir tai leidžia manyti, kad kultūrinių veiksnių įtaką galima reguliuoti.</w:t>
      </w:r>
    </w:p>
    <w:p w:rsidR="007A1594" w:rsidRDefault="007A1594" w:rsidP="007A1594">
      <w:pPr>
        <w:ind w:firstLine="720"/>
        <w:jc w:val="both"/>
        <w:rPr>
          <w:rFonts w:ascii="TimesLT" w:hAnsi="TimesLT"/>
        </w:rPr>
      </w:pPr>
      <w:r>
        <w:rPr>
          <w:rFonts w:ascii="TimesLT" w:hAnsi="TimesLT"/>
        </w:rPr>
        <w:t xml:space="preserve">Svarbus alkoholio vartojimą lemiantis veiksnys – jo prieinamumas. Dauguma paauglių nurodė, kad jie labai </w:t>
      </w:r>
      <w:r>
        <w:rPr>
          <w:rFonts w:ascii="TimesLT" w:hAnsi="TimesLT"/>
          <w:u w:val="single"/>
        </w:rPr>
        <w:t>lengvai gali įsigyti</w:t>
      </w:r>
      <w:r>
        <w:rPr>
          <w:rFonts w:ascii="TimesLT" w:hAnsi="TimesLT"/>
        </w:rPr>
        <w:t xml:space="preserve"> įvairių alkoholinių gėrimų, jeigu tik panorėtų.  Gali lengvai įsigyti alaus  net 92 proc.(daugiau negu kaimyninėse šalyse), vyno (šampano) – 85 proc. ir stiprių alkoholinių gėrimų – 69 proc. paauglių. Tuo tarpu Skandinavijos šalyse, kur, greta kitų prevencijos priemonių, ribojamas alkoholio prieinamumas, daugelis moksleivių alkoholio vartojimo rodiklių yra vieni žemiausių Europoje. </w:t>
      </w:r>
    </w:p>
    <w:p w:rsidR="007A1594" w:rsidRDefault="007A1594" w:rsidP="007A1594">
      <w:pPr>
        <w:ind w:firstLine="720"/>
        <w:jc w:val="both"/>
        <w:rPr>
          <w:rFonts w:ascii="TimesLT" w:hAnsi="TimesLT"/>
        </w:rPr>
      </w:pPr>
      <w:r>
        <w:rPr>
          <w:rFonts w:ascii="TimesLT" w:hAnsi="TimesLT"/>
        </w:rPr>
        <w:t xml:space="preserve"> Lietuvoje nepilnamečiai per paskutines 30 d. savo reikmėms pirko alkoholinius gėrimus nors vieną  kartą: alų – 36 proc., vyną (šampaną) – 16 proc. ir stiprius alkoholinius gėrimus - 17 proc. </w:t>
      </w:r>
    </w:p>
    <w:p w:rsidR="007A1594" w:rsidRDefault="007A1594" w:rsidP="007A1594">
      <w:pPr>
        <w:ind w:firstLine="720"/>
        <w:jc w:val="both"/>
        <w:rPr>
          <w:rFonts w:ascii="TimesLT" w:hAnsi="TimesLT"/>
        </w:rPr>
      </w:pPr>
      <w:r>
        <w:rPr>
          <w:rFonts w:ascii="TimesLT" w:hAnsi="TimesLT"/>
        </w:rPr>
        <w:t>Tarp Lietuvos 15-16 metų amžiaus mokinių yra rūkę ar rūko keliolika  procentų  daugiau negu vidutiniškai Europos šalyse. Rūkymas, kaip ir alkoholio vartojimas, pagal visus rodiklius nuo 1995 iki 2003 metų pastoviai didėjo (kada nors gyvenime ilgiau ar trumpiau  rūkė 1995m. - 65 proc., 1999m. - 77 proc., 2003m. - 80 proc., žymiai padaugėjo 40 ir daugiau kartų per gyvenimą rūkiusių bei rūkiusių per paskutines 30 dienų moksleivių.</w:t>
      </w:r>
    </w:p>
    <w:p w:rsidR="007A1594" w:rsidRDefault="007A1594" w:rsidP="007A1594">
      <w:pPr>
        <w:ind w:firstLine="720"/>
        <w:jc w:val="both"/>
        <w:rPr>
          <w:rFonts w:ascii="TimesLT" w:hAnsi="TimesLT"/>
        </w:rPr>
      </w:pPr>
      <w:r>
        <w:rPr>
          <w:rFonts w:ascii="TimesLT" w:hAnsi="TimesLT"/>
        </w:rPr>
        <w:t xml:space="preserve">Pagal daugumos narkotikų vartojimo paplitimą Lietuva, kaip ir  Latvija bei Estija  yra žemiau Europos vidurkio (dažniausiai vartojamą marihuaną ar hašišą yra bandę 13,5 proc., vidurkis -20 proc.); bandžiusių  kitų uždraustų narkotikų skaičius artimas vidurkiui. </w:t>
      </w:r>
    </w:p>
    <w:p w:rsidR="007A1594" w:rsidRDefault="007A1594" w:rsidP="007A1594">
      <w:pPr>
        <w:ind w:firstLine="720"/>
        <w:jc w:val="both"/>
        <w:rPr>
          <w:rFonts w:ascii="TimesLT" w:hAnsi="TimesLT"/>
        </w:rPr>
      </w:pPr>
      <w:r>
        <w:rPr>
          <w:rFonts w:ascii="TimesLT" w:hAnsi="TimesLT"/>
        </w:rPr>
        <w:t xml:space="preserve"> Lietuvos moksleiviai  išsiskiria dažnu migdomųjų/raminamųjų medikamentų vartojimu be gydytojo paskyrimo. Šiuos vaistus Lietuvos paaugliai vartoja dvigubai dažniau negu vidutiniškai Europos moksleiviai. </w:t>
      </w:r>
    </w:p>
    <w:p w:rsidR="007A1594" w:rsidRDefault="007A1594" w:rsidP="007A1594">
      <w:pPr>
        <w:ind w:firstLine="720"/>
        <w:jc w:val="both"/>
        <w:rPr>
          <w:rFonts w:ascii="TimesLT" w:hAnsi="TimesLT"/>
        </w:rPr>
      </w:pPr>
      <w:r>
        <w:rPr>
          <w:rFonts w:ascii="TimesLT" w:hAnsi="TimesLT"/>
        </w:rPr>
        <w:t>Bendras bent kartą bandžiusių kokių nors narkotikų skaičius nuo 1999 iki 2003 metų liko maždaug stabilus (apie 15,5 proc.), bet 2-3 proc. padidėjo vartojančių populiariausius narkotikus – marihuaną/hašišą (10,6 proc. juos vartojo per paskutinius 12 mėn.) bei amfetaminus, sumažėjo - heroino, ekstazi ir kt. vartojimas.</w:t>
      </w:r>
    </w:p>
    <w:p w:rsidR="007A1594" w:rsidRDefault="007A1594" w:rsidP="007A1594">
      <w:pPr>
        <w:ind w:firstLine="720"/>
        <w:jc w:val="both"/>
        <w:rPr>
          <w:rFonts w:ascii="TimesLT" w:hAnsi="TimesLT"/>
        </w:rPr>
      </w:pPr>
      <w:r>
        <w:rPr>
          <w:rFonts w:ascii="TimesLT" w:hAnsi="TimesLT"/>
        </w:rPr>
        <w:t>Lietuvoje tiek alkoholį, tiek tabaką bei narkotikus dažniau ir didesniu mastu vartoja berniukai negu mergaitės.</w:t>
      </w:r>
    </w:p>
    <w:p w:rsidR="007A1594" w:rsidRDefault="007A1594" w:rsidP="007A1594">
      <w:pPr>
        <w:ind w:firstLine="720"/>
        <w:jc w:val="both"/>
        <w:rPr>
          <w:rFonts w:ascii="TimesLT" w:hAnsi="TimesLT"/>
        </w:rPr>
      </w:pPr>
      <w:r>
        <w:rPr>
          <w:rFonts w:ascii="TimesLT" w:hAnsi="TimesLT"/>
        </w:rPr>
        <w:lastRenderedPageBreak/>
        <w:t xml:space="preserve"> Ši tendencija vyrauja ir daugumoje tirtų šalių. Kai kuriose šalyse pagal tabako ar alkoholio vartojimo rodiklius skirtumo tarp lyčių nėra. Kai kuriose šalyse (Austrija, Bulgarija, Danija, Prancūzija, Graikija, Švedija, Jungtinė Karalystė ir kt.) pagal kai kuriuos rūkymo rodiklius pirmauja mergaitės, o kai kuriose (Austrijoje, Suomijoje, Vengrijoje, Airijoje ir kt.) daugiau mergaičių yra vartoję alkoholio (bet tarp dažnai geriančių visose šalyse pirmauja berniukai).  Mergaitės daugelyje šalių pirmauja ir pagal vyno vartojimo dažnumą, berniukai – pagal stiprių alkoholinių gėrimų vartojimą.</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Daugelis psichoaktyviųjų medžiagų vartojimo tendencijų Lietuvoje panašios į kaimynų. Lietuvoje daugumas rodiklių kiek blogesni, negu kaimyninėse šalyse (geresni negu kaimynų tik kai kurie narkotikų vartojimo rodikliai). </w:t>
      </w:r>
    </w:p>
    <w:p w:rsidR="007A1594" w:rsidRDefault="007A1594" w:rsidP="007A1594">
      <w:pPr>
        <w:pStyle w:val="Pagrindiniotekstotrauka"/>
        <w:rPr>
          <w:rFonts w:ascii="TimesLT" w:hAnsi="TimesLT"/>
          <w:szCs w:val="24"/>
          <w:lang w:val="lt-LT"/>
        </w:rPr>
      </w:pPr>
      <w:r>
        <w:rPr>
          <w:rFonts w:ascii="TimesLT" w:hAnsi="TimesLT"/>
          <w:szCs w:val="24"/>
          <w:lang w:val="lt-LT"/>
        </w:rPr>
        <w:t>Mokinių, nors  kartą vartojusių alkoholį per pastaruosius 12 mėnesių yra net  94 proc., nors pagal pavienius parametrus Lietuvą kartais lenkia kitos kaimynės (pvz., pagal stiprių gėrimų vartojimą – Estija), vis dėlto dažnesni atvejai, kai Lietuvos rodikliai daugiau ar mažiau aukštesni.</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 Lietuvos moksleiviai pirmauja tarp kaimynų ir pagal nors kartą gyvenime rūkiusių  moksleivių skaičių. Pagal rūkiusių per pastarąjį mėnesį skaičių Lietuva yra antroje vietoje po Rusijos.</w:t>
      </w:r>
    </w:p>
    <w:p w:rsidR="007A1594" w:rsidRDefault="007A1594" w:rsidP="007A1594">
      <w:pPr>
        <w:ind w:firstLine="720"/>
        <w:jc w:val="both"/>
        <w:rPr>
          <w:rFonts w:ascii="TimesLT" w:hAnsi="TimesLT"/>
        </w:rPr>
      </w:pPr>
      <w:r>
        <w:rPr>
          <w:rFonts w:ascii="TimesLT" w:hAnsi="TimesLT"/>
        </w:rPr>
        <w:t xml:space="preserve">Pagal narkotikų vartojimo paplitimą  Lietuva 2003m. buvo kiek geresnėje padėtyje ( pagal bent kartą vartojusių marihuaną/hašišą regione pirmauja Estija ir Rusija. Kitų narkotikų vartojimas prilygsta vidurkiui). 2003 m. tyrimo rezultatai išryškino konkrečius Lietuvos situacijos aspektus, kurie parodė  blogą padėtį ir kaitos tendencijas ypač alkoholio ir tabako vartojimo jau paauglystėje srityje. </w:t>
      </w:r>
    </w:p>
    <w:p w:rsidR="007A1594" w:rsidRDefault="007A1594" w:rsidP="007A1594">
      <w:pPr>
        <w:ind w:firstLine="720"/>
        <w:jc w:val="both"/>
        <w:rPr>
          <w:rFonts w:ascii="TimesLT" w:hAnsi="TimesLT"/>
        </w:rPr>
      </w:pPr>
      <w:r>
        <w:rPr>
          <w:rFonts w:ascii="TimesLT" w:hAnsi="TimesLT"/>
        </w:rPr>
        <w:t>2007 m. ESPAD tyrimo rezultatų duomenimis, palyginus su 2003 m. Lietuvoje  sumažėjo rūkymo apimtis, taip pat  sumažėjo alkoholio vartojimas, tačiau išlieka tendencija, kai alkoholinius gėrimus pradeda vartoti labai jauni asmenys. Narkotikų paplitimas Lietuvoje ir vartojimas pagal eilę rodiklių išlieka panašus į 2003 m. buvusią situaciją.</w:t>
      </w:r>
    </w:p>
    <w:p w:rsidR="007A1594" w:rsidRDefault="007A1594" w:rsidP="007A1594">
      <w:pPr>
        <w:ind w:firstLine="720"/>
        <w:jc w:val="both"/>
        <w:rPr>
          <w:rFonts w:ascii="TimesLT" w:hAnsi="TimesLT"/>
        </w:rPr>
      </w:pPr>
      <w:r>
        <w:rPr>
          <w:rFonts w:ascii="TimesLT" w:hAnsi="TimesLT"/>
        </w:rPr>
        <w:t xml:space="preserve">Tokie teigiami poslinkiai po 2003 m. greta kitų aplinkybių gali būti dėl aktyvesnės prevencinės veiklos. Tačiau, Lietuvoje lengviau negu kai kuriose kaimyninėse šalyse moksleiviai nurodo galį įsigyti (ir dažniau įsigyja) alkoholio. </w:t>
      </w:r>
    </w:p>
    <w:p w:rsidR="007A1594" w:rsidRDefault="007A1594" w:rsidP="007A1594">
      <w:pPr>
        <w:jc w:val="both"/>
        <w:rPr>
          <w:rFonts w:ascii="TimesLT" w:hAnsi="TimesLT"/>
        </w:rPr>
      </w:pPr>
    </w:p>
    <w:p w:rsidR="007A1594" w:rsidRDefault="007A1594" w:rsidP="007A1594">
      <w:pPr>
        <w:jc w:val="both"/>
        <w:rPr>
          <w:rFonts w:ascii="TimesLT" w:hAnsi="TimesLT"/>
          <w:bCs/>
          <w:i/>
          <w:iCs/>
        </w:rPr>
      </w:pPr>
    </w:p>
    <w:p w:rsidR="007A1594" w:rsidRDefault="007A1594" w:rsidP="007A1594">
      <w:pPr>
        <w:jc w:val="both"/>
        <w:rPr>
          <w:rFonts w:ascii="TimesLT" w:hAnsi="TimesLT"/>
          <w:b/>
        </w:rPr>
      </w:pPr>
      <w:r>
        <w:rPr>
          <w:rFonts w:ascii="TimesLT" w:hAnsi="TimesLT"/>
          <w:b/>
        </w:rPr>
        <w:t>Dėl Valstybės kontrolės atlikto valstybinio audito “Narkomanijos prevencijos ir pagalbos organizavimas”</w:t>
      </w:r>
    </w:p>
    <w:p w:rsidR="007A1594" w:rsidRDefault="007A1594" w:rsidP="007A1594">
      <w:pPr>
        <w:jc w:val="both"/>
        <w:rPr>
          <w:rFonts w:ascii="TimesLT" w:hAnsi="TimesLT"/>
          <w:bCs/>
        </w:rPr>
      </w:pPr>
    </w:p>
    <w:p w:rsidR="007A1594" w:rsidRDefault="007A1594" w:rsidP="007A1594">
      <w:pPr>
        <w:ind w:firstLine="720"/>
        <w:jc w:val="both"/>
        <w:rPr>
          <w:rFonts w:ascii="TimesLT" w:hAnsi="TimesLT"/>
        </w:rPr>
      </w:pPr>
      <w:r>
        <w:rPr>
          <w:rFonts w:ascii="TimesLT" w:hAnsi="TimesLT"/>
        </w:rPr>
        <w:t>Lietuvos Respublikos Seimas 2004 m. balandžio 8 d. nutarimu Nr. IX- 2110 patvirtino Nacionalinę narkotikų kontrolės ir narkomanijos prevencijos 2004 - 2008 metų programą (toliau- Programa).</w:t>
      </w:r>
    </w:p>
    <w:p w:rsidR="007A1594" w:rsidRDefault="007A1594" w:rsidP="007A1594">
      <w:pPr>
        <w:jc w:val="both"/>
        <w:rPr>
          <w:rFonts w:ascii="TimesLT" w:hAnsi="TimesLT"/>
        </w:rPr>
      </w:pPr>
      <w:r>
        <w:rPr>
          <w:rFonts w:ascii="TimesLT" w:hAnsi="TimesLT"/>
        </w:rPr>
        <w:tab/>
        <w:t>Programa siekiama įgyvendinti nuostatas, išdėstytas Jungtinių Tautų, Europos Tarybos, Europos Sąjungos teisės aktuose,  rezoliucijose, rekomendacijose bei Lietuvos Respublikos teisės aktuose.</w:t>
      </w:r>
    </w:p>
    <w:p w:rsidR="007A1594" w:rsidRDefault="007A1594" w:rsidP="007A1594">
      <w:pPr>
        <w:ind w:firstLine="720"/>
        <w:jc w:val="both"/>
        <w:rPr>
          <w:rFonts w:ascii="TimesLT" w:hAnsi="TimesLT"/>
        </w:rPr>
      </w:pPr>
      <w:r>
        <w:rPr>
          <w:rFonts w:ascii="TimesLT" w:hAnsi="TimesLT"/>
        </w:rPr>
        <w:t>Programos tikslas sustabdyti ir sumažinti narkomanijos plitimą, užkirsti kelią neteisėtai narkotikų apyvartai, įgyvendinti valstybės politikos prioritetus narkomanijos prevencijos ir narkotikų kontrolės srityje, nuosekliai ir kompleksiškai šalinant narkomanijos atsiradimo ir plitimo priežastis ir sąlygas, racionaliai naudojant finansinius bei žmogiškuosius išteklius.</w:t>
      </w:r>
    </w:p>
    <w:p w:rsidR="007A1594" w:rsidRDefault="007A1594" w:rsidP="007A1594">
      <w:pPr>
        <w:ind w:firstLine="720"/>
        <w:jc w:val="both"/>
        <w:rPr>
          <w:rFonts w:ascii="TimesLT" w:hAnsi="TimesLT"/>
        </w:rPr>
      </w:pPr>
      <w:r>
        <w:rPr>
          <w:rFonts w:ascii="TimesLT" w:hAnsi="TimesLT"/>
        </w:rPr>
        <w:t xml:space="preserve">Lietuvos Respublikos Vyriausybei pasiūlyta organizuoti Nacionalinės  narkotikų kontrolės ir narkomanijos prevencijos 2004 - 2008 metų programos įgyvendinimą, kasmet patvirtinus Programos įgyvendinimo priemonių planą. </w:t>
      </w:r>
    </w:p>
    <w:p w:rsidR="007A1594" w:rsidRDefault="007A1594" w:rsidP="007A1594">
      <w:pPr>
        <w:ind w:firstLine="720"/>
        <w:jc w:val="both"/>
        <w:rPr>
          <w:rFonts w:ascii="TimesLT" w:hAnsi="TimesLT"/>
        </w:rPr>
      </w:pPr>
      <w:r>
        <w:rPr>
          <w:rFonts w:ascii="TimesLT" w:hAnsi="TimesLT"/>
        </w:rPr>
        <w:t>Svarbiausi Programos uždaviniai:</w:t>
      </w:r>
    </w:p>
    <w:p w:rsidR="007A1594" w:rsidRDefault="007A1594" w:rsidP="007A1594">
      <w:pPr>
        <w:ind w:firstLine="720"/>
        <w:jc w:val="both"/>
        <w:rPr>
          <w:rFonts w:ascii="TimesLT" w:hAnsi="TimesLT"/>
        </w:rPr>
      </w:pPr>
      <w:r>
        <w:rPr>
          <w:rFonts w:ascii="TimesLT" w:hAnsi="TimesLT"/>
        </w:rPr>
        <w:t>-formuoti  neigiamą visuomenės požiūrį į narkotinių ir psichotropinių medžiagų vartojimą, ypač rūpintis narkomanijos prevencija šeimoje, tarp vaikų ir jaunimo, diegti vaikams ir jaunimui sveiko gyvenimo vertybines nuostatas ( Programos 26.1 p.);</w:t>
      </w:r>
    </w:p>
    <w:p w:rsidR="007A1594" w:rsidRDefault="007A1594" w:rsidP="007A1594">
      <w:pPr>
        <w:ind w:firstLine="720"/>
        <w:jc w:val="both"/>
        <w:rPr>
          <w:rFonts w:ascii="TimesLT" w:hAnsi="TimesLT"/>
        </w:rPr>
      </w:pPr>
      <w:r>
        <w:rPr>
          <w:rFonts w:ascii="TimesLT" w:hAnsi="TimesLT"/>
        </w:rPr>
        <w:t>- plėtoti valstybės institucijų, vykdančių narkomanijos prevenciją bei narkotikų kontrolę, visuomeninių organizacijų ir bendruomenės tarpusavio bendradarbiavimą (Programos 26.2 p.);</w:t>
      </w:r>
    </w:p>
    <w:p w:rsidR="007A1594" w:rsidRDefault="007A1594" w:rsidP="007A1594">
      <w:pPr>
        <w:ind w:firstLine="720"/>
        <w:jc w:val="both"/>
        <w:rPr>
          <w:rFonts w:ascii="TimesLT" w:hAnsi="TimesLT"/>
        </w:rPr>
      </w:pPr>
      <w:r>
        <w:rPr>
          <w:rFonts w:ascii="TimesLT" w:hAnsi="TimesLT"/>
        </w:rPr>
        <w:t>- skatinti savivaldybių ir regionų valdymo institucijų iniciatyvas sprendžiant narkomanijos prevencijos bei narkotikų kontrolės problemas (Programos 26.3 p.);</w:t>
      </w:r>
    </w:p>
    <w:p w:rsidR="007A1594" w:rsidRDefault="007A1594" w:rsidP="007A1594">
      <w:pPr>
        <w:ind w:firstLine="720"/>
        <w:jc w:val="both"/>
        <w:rPr>
          <w:rFonts w:ascii="TimesLT" w:hAnsi="TimesLT"/>
        </w:rPr>
      </w:pPr>
      <w:r>
        <w:rPr>
          <w:rFonts w:ascii="TimesLT" w:hAnsi="TimesLT"/>
        </w:rPr>
        <w:t>- gerinti teisėsaugos institucijų veiklą siekiant mažinti narkotikų pasiūlą ir apsunkinant jų prieinamumą (Programos 26.4 p.);</w:t>
      </w:r>
    </w:p>
    <w:p w:rsidR="007A1594" w:rsidRDefault="007A1594" w:rsidP="007A1594">
      <w:pPr>
        <w:ind w:firstLine="720"/>
        <w:jc w:val="both"/>
        <w:rPr>
          <w:rFonts w:ascii="TimesLT" w:hAnsi="TimesLT"/>
        </w:rPr>
      </w:pPr>
      <w:r>
        <w:rPr>
          <w:rFonts w:ascii="TimesLT" w:hAnsi="TimesLT"/>
        </w:rPr>
        <w:t>- plėtoti objektyvios narkomanijos prevencijos bei narkotikų kontrolės informacijos rinkimo ir analizės sistemą, atitinkančią Europos Sąjungos reikalavimus (Programos 26.5 p.);</w:t>
      </w:r>
    </w:p>
    <w:p w:rsidR="007A1594" w:rsidRDefault="007A1594" w:rsidP="007A1594">
      <w:pPr>
        <w:ind w:firstLine="720"/>
        <w:jc w:val="both"/>
        <w:rPr>
          <w:rFonts w:ascii="TimesLT" w:hAnsi="TimesLT"/>
        </w:rPr>
      </w:pPr>
      <w:r>
        <w:rPr>
          <w:rFonts w:ascii="TimesLT" w:hAnsi="TimesLT"/>
        </w:rPr>
        <w:lastRenderedPageBreak/>
        <w:t>- skatinti tarptautinį bendradarbiavimą narkomanijos prevencijos bei narkotikų kontrolės srityje, pagrįstą regioniniais ir nacionaliniais projektais bei programomis (Programos 26.6 p.);</w:t>
      </w:r>
    </w:p>
    <w:p w:rsidR="007A1594" w:rsidRDefault="007A1594" w:rsidP="007A1594">
      <w:pPr>
        <w:ind w:firstLine="720"/>
        <w:jc w:val="both"/>
        <w:rPr>
          <w:rFonts w:ascii="TimesLT" w:hAnsi="TimesLT"/>
        </w:rPr>
      </w:pPr>
      <w:r>
        <w:rPr>
          <w:rFonts w:ascii="TimesLT" w:hAnsi="TimesLT"/>
        </w:rPr>
        <w:t>- užtikrinti pinigų, gautų iš neteisėtos narkotikų apyvartos, plovimo prevencijos priemonių įgyvendinimą (Programos 26.7 p.);</w:t>
      </w:r>
    </w:p>
    <w:p w:rsidR="007A1594" w:rsidRDefault="007A1594" w:rsidP="007A1594">
      <w:pPr>
        <w:ind w:firstLine="720"/>
        <w:jc w:val="both"/>
        <w:rPr>
          <w:rFonts w:ascii="TimesLT" w:hAnsi="TimesLT"/>
        </w:rPr>
      </w:pPr>
      <w:r>
        <w:rPr>
          <w:rFonts w:ascii="TimesLT" w:hAnsi="TimesLT"/>
        </w:rPr>
        <w:t>- užtikrinti valstybės institucijų, vykdančių narkomanijos prevenciją bei narkotikų kontrolę, efektyvų valdymą, kontrolę bei tarpusavio veiksmų koordinavimą (Programos 26.8 p.);</w:t>
      </w:r>
    </w:p>
    <w:p w:rsidR="007A1594" w:rsidRDefault="007A1594" w:rsidP="007A1594">
      <w:pPr>
        <w:jc w:val="both"/>
        <w:rPr>
          <w:rFonts w:ascii="TimesLT" w:hAnsi="TimesLT"/>
        </w:rPr>
      </w:pPr>
      <w:r>
        <w:rPr>
          <w:rFonts w:ascii="TimesLT" w:hAnsi="TimesLT"/>
        </w:rPr>
        <w:t xml:space="preserve"> </w:t>
      </w:r>
      <w:r>
        <w:rPr>
          <w:rFonts w:ascii="TimesLT" w:hAnsi="TimesLT"/>
        </w:rPr>
        <w:tab/>
        <w:t xml:space="preserve"> - sudaryti sąlygas narkomanija sergantiems asmenims baudžiamąją atsakomybę už nesunkius nusikaltimus pakeisti alternatyviomis gydymo programomis (Programos 26.9 p.).</w:t>
      </w:r>
    </w:p>
    <w:p w:rsidR="007A1594" w:rsidRDefault="007A1594" w:rsidP="007A1594">
      <w:pPr>
        <w:jc w:val="both"/>
        <w:rPr>
          <w:rFonts w:ascii="TimesLT" w:hAnsi="TimesLT"/>
        </w:rPr>
      </w:pPr>
      <w:r>
        <w:rPr>
          <w:rFonts w:ascii="TimesLT" w:hAnsi="TimesLT"/>
        </w:rPr>
        <w:t>Lietuvos Respublikos Seimas šioje Programoje  išskyrė 4 prioritetines narkotikų kontrolės ir narkomanijos prevencijos kryptis:</w:t>
      </w:r>
    </w:p>
    <w:p w:rsidR="007A1594" w:rsidRDefault="007A1594" w:rsidP="007A1594">
      <w:pPr>
        <w:ind w:firstLine="720"/>
        <w:jc w:val="both"/>
        <w:rPr>
          <w:rFonts w:ascii="TimesLT" w:hAnsi="TimesLT"/>
        </w:rPr>
      </w:pPr>
      <w:r>
        <w:rPr>
          <w:rFonts w:ascii="TimesLT" w:hAnsi="TimesLT"/>
        </w:rPr>
        <w:t>Pirminė narkomanijos prevencija tarp vaikų ir jaunimo.</w:t>
      </w:r>
    </w:p>
    <w:p w:rsidR="007A1594" w:rsidRDefault="007A1594" w:rsidP="007A1594">
      <w:pPr>
        <w:ind w:firstLine="720"/>
        <w:jc w:val="both"/>
        <w:rPr>
          <w:rFonts w:ascii="TimesLT" w:hAnsi="TimesLT"/>
        </w:rPr>
      </w:pPr>
      <w:r>
        <w:rPr>
          <w:rFonts w:ascii="TimesLT" w:hAnsi="TimesLT"/>
        </w:rPr>
        <w:t>Neteisėtos narkotinių ir psichotropinių medžiagų pasiūlos mažinimas.</w:t>
      </w:r>
    </w:p>
    <w:p w:rsidR="007A1594" w:rsidRDefault="007A1594" w:rsidP="007A1594">
      <w:pPr>
        <w:ind w:firstLine="720"/>
        <w:jc w:val="both"/>
        <w:rPr>
          <w:rFonts w:ascii="TimesLT" w:hAnsi="TimesLT"/>
        </w:rPr>
      </w:pPr>
      <w:r>
        <w:rPr>
          <w:rFonts w:ascii="TimesLT" w:hAnsi="TimesLT"/>
        </w:rPr>
        <w:t>Asmenų, vartojančių narkotines ir psichotropines medžiagas, sveikatos priežiūra, reabilitacija ir socialinė reintegracija.</w:t>
      </w:r>
    </w:p>
    <w:p w:rsidR="007A1594" w:rsidRDefault="007A1594" w:rsidP="007A1594">
      <w:pPr>
        <w:ind w:firstLine="720"/>
        <w:jc w:val="both"/>
        <w:rPr>
          <w:rFonts w:ascii="TimesLT" w:hAnsi="TimesLT"/>
        </w:rPr>
      </w:pPr>
      <w:r>
        <w:rPr>
          <w:rFonts w:ascii="TimesLT" w:hAnsi="TimesLT"/>
        </w:rPr>
        <w:t>Moksliniai tyrimai ir informacinės sistemos plėtra.</w:t>
      </w:r>
    </w:p>
    <w:p w:rsidR="007A1594" w:rsidRDefault="007A1594" w:rsidP="007A1594">
      <w:pPr>
        <w:ind w:firstLine="720"/>
        <w:jc w:val="both"/>
        <w:rPr>
          <w:rFonts w:ascii="TimesLT" w:hAnsi="TimesLT"/>
        </w:rPr>
      </w:pPr>
      <w:r>
        <w:rPr>
          <w:rFonts w:ascii="TimesLT" w:hAnsi="TimesLT"/>
        </w:rPr>
        <w:t xml:space="preserve">Narkomanijos prevencijos komisija 2005 – 2006 metais ne kartą nagrinėjo Programoje numatytų uždavinių įgyvendinimo klausimus ir priėmė sprendimus. </w:t>
      </w:r>
    </w:p>
    <w:p w:rsidR="007A1594" w:rsidRDefault="007A1594" w:rsidP="007A1594">
      <w:pPr>
        <w:ind w:firstLine="720"/>
        <w:jc w:val="both"/>
        <w:rPr>
          <w:rFonts w:ascii="TimesLT" w:hAnsi="TimesLT"/>
        </w:rPr>
      </w:pPr>
      <w:r>
        <w:rPr>
          <w:rFonts w:ascii="TimesLT" w:hAnsi="TimesLT"/>
        </w:rPr>
        <w:t xml:space="preserve">Buvo nustatyta, kad Programos įgyvendinimo priemonėms ir jas įgyvendinančioms institucijoms skiriamas nepakankamas finansavimas arba iš viso neskiriamas, nors į Programos įgyvendinimą yra įtraukiamos. </w:t>
      </w:r>
    </w:p>
    <w:p w:rsidR="007A1594" w:rsidRDefault="007A1594" w:rsidP="007A1594">
      <w:pPr>
        <w:ind w:firstLine="720"/>
        <w:jc w:val="both"/>
        <w:rPr>
          <w:rFonts w:ascii="TimesLT" w:hAnsi="TimesLT"/>
        </w:rPr>
      </w:pPr>
      <w:r>
        <w:rPr>
          <w:rFonts w:ascii="TimesLT" w:hAnsi="TimesLT"/>
        </w:rPr>
        <w:t xml:space="preserve">Narkomanijos prevencijos komisija 2005, 2006 ir 2007 metais kreipėsi į Lietuvos Respublikos Vyriausybę prašydama numatyti Programos įgyvendinimo priemonėms pakankamą finansavimą ir tokius argumentus pagrindė. </w:t>
      </w:r>
    </w:p>
    <w:p w:rsidR="007A1594" w:rsidRDefault="007A1594" w:rsidP="007A1594">
      <w:pPr>
        <w:ind w:firstLine="720"/>
        <w:jc w:val="both"/>
        <w:rPr>
          <w:rFonts w:ascii="TimesLT" w:hAnsi="TimesLT"/>
        </w:rPr>
      </w:pPr>
      <w:r>
        <w:rPr>
          <w:rFonts w:ascii="TimesLT" w:hAnsi="TimesLT"/>
        </w:rPr>
        <w:t>Be to, Narkomanijos prevencijos komisija Lietuvos Respublikos Vyriausybei siūlė:</w:t>
      </w:r>
    </w:p>
    <w:p w:rsidR="007A1594" w:rsidRDefault="007A1594" w:rsidP="007A1594">
      <w:pPr>
        <w:jc w:val="both"/>
        <w:rPr>
          <w:rFonts w:ascii="TimesLT" w:hAnsi="TimesLT"/>
        </w:rPr>
      </w:pPr>
      <w:r>
        <w:rPr>
          <w:rFonts w:ascii="TimesLT" w:hAnsi="TimesLT"/>
        </w:rPr>
        <w:t xml:space="preserve"> sujungti Alkoholio, Tabako kontrolės ir Nacionalinės narkotikų kontrolės ir narkomanijos prevencijos 2004–2008 metų programų įgyvendinimo koordinavimą ir kontroliuoti, kad šių programų prevencijos priemonės būtų vykdomos moksliškai pagrįstais metodais; pavesti tai atlikti Narkotikų kontrolės departamentui prie Lietuvos Respublikos Vyriausybės. </w:t>
      </w:r>
    </w:p>
    <w:p w:rsidR="007A1594" w:rsidRDefault="007A1594" w:rsidP="007A1594">
      <w:pPr>
        <w:ind w:firstLine="720"/>
        <w:jc w:val="both"/>
        <w:rPr>
          <w:rFonts w:ascii="TimesLT" w:hAnsi="TimesLT"/>
        </w:rPr>
      </w:pPr>
      <w:r>
        <w:rPr>
          <w:rFonts w:ascii="TimesLT" w:hAnsi="TimesLT"/>
        </w:rPr>
        <w:t>Komisija siekdama  Programos priemonių įgyvendinimo prioritetų nustatymo ir skirtų lėšų paskirstymo bei panaudojimo kontrolės tvarkos 2005 m. kovo 23 d. ir 2005 m. kovo 29 d. paprašė Lietuvos Respublikos Valstybės kontrolės ( toliau- Valstybės kontrolė) atlikti auditą:</w:t>
      </w:r>
    </w:p>
    <w:p w:rsidR="007A1594" w:rsidRDefault="007A1594" w:rsidP="007A1594">
      <w:pPr>
        <w:ind w:firstLine="720"/>
        <w:jc w:val="both"/>
        <w:rPr>
          <w:rFonts w:ascii="TimesLT" w:hAnsi="TimesLT"/>
        </w:rPr>
      </w:pPr>
      <w:r>
        <w:rPr>
          <w:rFonts w:ascii="TimesLT" w:hAnsi="TimesLT"/>
        </w:rPr>
        <w:t>1. Nacionaliniame narkotikų kontrolės biure Valstybinėje visuomenės sveikatos priežiūros tarnyboje prie Sveikatos apsaugos ministerijos.</w:t>
      </w:r>
    </w:p>
    <w:p w:rsidR="007A1594" w:rsidRDefault="007A1594" w:rsidP="007A1594">
      <w:pPr>
        <w:ind w:firstLine="720"/>
        <w:jc w:val="both"/>
        <w:rPr>
          <w:rFonts w:ascii="TimesLT" w:hAnsi="TimesLT"/>
        </w:rPr>
      </w:pPr>
      <w:r>
        <w:rPr>
          <w:rFonts w:ascii="TimesLT" w:hAnsi="TimesLT"/>
        </w:rPr>
        <w:t>2. Narkotikų kontrolės departamente prie Lietuvos Respublikos Vyriausybės  už 2004 metus.</w:t>
      </w:r>
    </w:p>
    <w:p w:rsidR="007A1594" w:rsidRDefault="007A1594" w:rsidP="007A1594">
      <w:pPr>
        <w:ind w:firstLine="720"/>
        <w:jc w:val="both"/>
        <w:rPr>
          <w:rFonts w:ascii="TimesLT" w:hAnsi="TimesLT"/>
        </w:rPr>
      </w:pPr>
      <w:r>
        <w:rPr>
          <w:rFonts w:ascii="TimesLT" w:hAnsi="TimesLT"/>
        </w:rPr>
        <w:t>3. Nacionalinės narkotikų kontrolės ir narkomanijos prevencijos 2004 –2008 metų programos ir jos priemonių įgyvendinimo auditą.</w:t>
      </w:r>
    </w:p>
    <w:p w:rsidR="007A1594" w:rsidRDefault="007A1594" w:rsidP="007A1594">
      <w:pPr>
        <w:jc w:val="both"/>
        <w:rPr>
          <w:rFonts w:ascii="TimesLT" w:hAnsi="TimesLT"/>
        </w:rPr>
      </w:pPr>
      <w:r>
        <w:rPr>
          <w:rFonts w:ascii="TimesLT" w:hAnsi="TimesLT"/>
        </w:rPr>
        <w:tab/>
        <w:t xml:space="preserve"> Valstybės kontrolė 2006 m. gruodžio  27 d. raštu Nr. S-(10-1.10.1)-2310 “Dėl valstybinio audito ataskaitos “Narkomanijos prevencijos ir pagalbos organizavimas” pateikė Komisijai 2006 m. gruodžio 21 d. valstybinio audito ataskaitą Nr. VA-10-9P-32 “Narkomanijos prevencijos ir pagalbos organizavimas” ir išvadas bei rekomendacijas. </w:t>
      </w:r>
    </w:p>
    <w:p w:rsidR="007A1594" w:rsidRDefault="007A1594" w:rsidP="007A1594">
      <w:pPr>
        <w:pStyle w:val="Pagrindiniotekstotrauka"/>
        <w:rPr>
          <w:rFonts w:ascii="TimesLT" w:hAnsi="TimesLT"/>
          <w:bCs/>
          <w:szCs w:val="24"/>
          <w:lang w:val="lt-LT"/>
        </w:rPr>
      </w:pPr>
      <w:r>
        <w:rPr>
          <w:rFonts w:ascii="TimesLT" w:hAnsi="TimesLT"/>
          <w:bCs/>
          <w:szCs w:val="24"/>
          <w:lang w:val="lt-LT"/>
        </w:rPr>
        <w:t>Įvertinus Valstybės kontrolės audito rezultatus nustatyta:</w:t>
      </w:r>
    </w:p>
    <w:p w:rsidR="007A1594" w:rsidRDefault="007A1594" w:rsidP="007A1594">
      <w:pPr>
        <w:pStyle w:val="Pagrindiniotekstotrauka"/>
        <w:rPr>
          <w:rFonts w:ascii="TimesLT" w:hAnsi="TimesLT"/>
          <w:bCs/>
          <w:szCs w:val="24"/>
          <w:lang w:val="lt-LT"/>
        </w:rPr>
      </w:pPr>
    </w:p>
    <w:p w:rsidR="007A1594" w:rsidRDefault="007A1594" w:rsidP="007A1594">
      <w:pPr>
        <w:ind w:firstLine="720"/>
        <w:jc w:val="both"/>
        <w:rPr>
          <w:rFonts w:ascii="TimesLT" w:hAnsi="TimesLT"/>
          <w:bCs/>
          <w:i/>
          <w:iCs/>
          <w:color w:val="000000"/>
        </w:rPr>
      </w:pPr>
      <w:r>
        <w:rPr>
          <w:rFonts w:ascii="TimesLT" w:hAnsi="TimesLT"/>
          <w:bCs/>
        </w:rPr>
        <w:t xml:space="preserve"> </w:t>
      </w:r>
      <w:r>
        <w:rPr>
          <w:rFonts w:ascii="TimesLT" w:hAnsi="TimesLT"/>
          <w:bCs/>
          <w:i/>
          <w:iCs/>
        </w:rPr>
        <w:t xml:space="preserve">Dėl </w:t>
      </w:r>
      <w:r>
        <w:rPr>
          <w:rFonts w:ascii="TimesLT" w:hAnsi="TimesLT"/>
          <w:bCs/>
          <w:i/>
          <w:iCs/>
          <w:color w:val="000000"/>
        </w:rPr>
        <w:t>Nacionalinės narkotikų kontrolės ir narkomanijos prevencijos 2004–2008 metų programos (toliau – Programos) priemonių koordinavimo.</w:t>
      </w:r>
    </w:p>
    <w:p w:rsidR="007A1594" w:rsidRDefault="007A1594" w:rsidP="007A1594">
      <w:pPr>
        <w:ind w:firstLine="720"/>
        <w:jc w:val="both"/>
        <w:rPr>
          <w:rFonts w:ascii="TimesLT" w:hAnsi="TimesLT"/>
        </w:rPr>
      </w:pPr>
      <w:r>
        <w:rPr>
          <w:rFonts w:ascii="TimesLT" w:hAnsi="TimesLT"/>
          <w:color w:val="000000"/>
        </w:rPr>
        <w:t xml:space="preserve"> </w:t>
      </w:r>
      <w:r>
        <w:rPr>
          <w:rFonts w:ascii="TimesLT" w:hAnsi="TimesLT"/>
        </w:rPr>
        <w:t xml:space="preserve">Programoje nenumatyta tikslų ir uždavinių vertinimo kriterijų, tokių kriterijų nėra patvirtinusi ir Lietuvos Respublikos Vyriausybė. </w:t>
      </w:r>
    </w:p>
    <w:p w:rsidR="007A1594" w:rsidRDefault="007A1594" w:rsidP="007A1594">
      <w:pPr>
        <w:ind w:firstLine="720"/>
        <w:jc w:val="both"/>
        <w:rPr>
          <w:rFonts w:ascii="TimesLT" w:hAnsi="TimesLT"/>
        </w:rPr>
      </w:pPr>
      <w:r>
        <w:rPr>
          <w:rFonts w:ascii="TimesLT" w:hAnsi="TimesLT"/>
        </w:rPr>
        <w:t>Narkotikų kontrolės departamentas prie Lietuvos Respublikos Vyriausybės, (toliau – Departamentas) koordinuodamas kasmetinių Programos 2005 m. priemonių planavimą, nenurodė visų vertinimo kriterijų, todėl Programos uždavinių ir priemonių įgyvendinimo pagrįstai, t. y. pagal numatytus ir pasiektus vertinimo kriterijus, vertinti negalima.</w:t>
      </w:r>
    </w:p>
    <w:p w:rsidR="007A1594" w:rsidRDefault="007A1594" w:rsidP="007A1594">
      <w:pPr>
        <w:ind w:firstLine="720"/>
        <w:jc w:val="both"/>
        <w:rPr>
          <w:rFonts w:ascii="TimesLT" w:hAnsi="TimesLT"/>
        </w:rPr>
      </w:pPr>
      <w:r>
        <w:rPr>
          <w:rFonts w:ascii="TimesLT" w:hAnsi="TimesLT"/>
        </w:rPr>
        <w:t xml:space="preserve"> Tikslinga, kad Departamentas, kaip koordinuojanti institucija, tikslintų ir teiktų Vyriausybei tvirtinti  Programos priemonėms skiriamas lėšas. </w:t>
      </w:r>
    </w:p>
    <w:p w:rsidR="007A1594" w:rsidRDefault="007A1594" w:rsidP="007A1594">
      <w:pPr>
        <w:jc w:val="both"/>
        <w:rPr>
          <w:rFonts w:ascii="TimesLT" w:hAnsi="TimesLT"/>
        </w:rPr>
      </w:pPr>
      <w:r>
        <w:rPr>
          <w:rFonts w:ascii="TimesLT" w:hAnsi="TimesLT"/>
        </w:rPr>
        <w:t xml:space="preserve"> </w:t>
      </w:r>
      <w:r>
        <w:rPr>
          <w:rFonts w:ascii="TimesLT" w:hAnsi="TimesLT"/>
        </w:rPr>
        <w:tab/>
        <w:t>Programos 2005 m. priemonių, už kurių vykdymą atsakingas Kalėjimų departamentas, numatytas finansavimas ir vykdytų priemonių veiksmingumas buvo nepakankamas, siekiant sumažinti narkomanijos lygį kalinimo įstaigose.</w:t>
      </w:r>
      <w:r>
        <w:rPr>
          <w:rFonts w:ascii="TimesLT" w:hAnsi="TimesLT"/>
          <w:bCs/>
        </w:rPr>
        <w:t xml:space="preserve"> </w:t>
      </w:r>
      <w:r>
        <w:rPr>
          <w:rFonts w:ascii="TimesLT" w:hAnsi="TimesLT"/>
        </w:rPr>
        <w:t xml:space="preserve"> </w:t>
      </w:r>
    </w:p>
    <w:p w:rsidR="007A1594" w:rsidRDefault="007A1594" w:rsidP="007A1594">
      <w:pPr>
        <w:ind w:firstLine="720"/>
        <w:jc w:val="both"/>
        <w:rPr>
          <w:rFonts w:ascii="TimesLT" w:hAnsi="TimesLT"/>
        </w:rPr>
      </w:pPr>
      <w:r>
        <w:rPr>
          <w:rFonts w:ascii="TimesLT" w:hAnsi="TimesLT"/>
        </w:rPr>
        <w:lastRenderedPageBreak/>
        <w:t xml:space="preserve">2005 m. narkotikų kontrolė ir narkomanijos prevencija laisvės atėmimo vietose nebuvo išskirta kaip atskira programa. Kalėjimų departamento 2005 m. vykdomos programoje Bausmių vykdymo sistemos veiklos užtikrinimas, buvo numatyta priemonė Nuteistųjų narkomanijos prevencijos laisvės atėmimo vietose organizavimas, kurios vykdymui numatyta 39 tūkst. Lt. Tačiau Departamento parengtoms ir Vyriausybės patvirtintoms Programos įgyvendinimo 2005 m. priemonėms, už kurių vykdymą atsakingas Kalėjimų departamentas, lėšos neskirtos. 2006 m. skirta 682 tūkst. Lt.  2007 m. priemonėms (projekte) buvo planuojama 1 752,4 tūkst. Lt., o realiai skirta (Komisijos duomenimis)  tik apie 350 tūkst. Lt. ir ir tokiu būdu visoms priemonėms, kurias vykdo Kalėjimų departamentas užtikrinant laisvės atėmimo vietose sumažinamas finansavimas. Auditorių nuomone, Programos 2005 m. priemonių, už kurių vykdymą atsakingas Kalėjimų departamentas, numatytas finansavimas ir vykdytų priemonių veiksmingumas buvo nepakankamas, siekiant sumažinti narkomanijos lygį kalinimo įstaigose. </w:t>
      </w:r>
    </w:p>
    <w:p w:rsidR="007A1594" w:rsidRDefault="007A1594" w:rsidP="007A1594">
      <w:pPr>
        <w:ind w:firstLine="720"/>
        <w:jc w:val="both"/>
        <w:rPr>
          <w:rFonts w:ascii="TimesLT" w:hAnsi="TimesLT"/>
          <w:color w:val="000000"/>
        </w:rPr>
      </w:pPr>
      <w:r>
        <w:rPr>
          <w:rFonts w:ascii="TimesLT" w:hAnsi="TimesLT"/>
        </w:rPr>
        <w:t>Narkomanijos prevencijos komisijos duomenimis eilę metų nebuvo patvirtinta Lietuvos Respublikos Vyriausybės nutarimu  apsvaigimo ar girtumo nustatymo laisvės atėmimo vietose tvarka, nors tokią tvarką v</w:t>
      </w:r>
      <w:r>
        <w:rPr>
          <w:rFonts w:ascii="TimesLT" w:hAnsi="TimesLT"/>
          <w:color w:val="000000"/>
        </w:rPr>
        <w:t>adovaudamasi Lietuvos Respublikos alkoholio kontrolės įstatymo (Žin., 1995, Nr. 44-1073; 2004, Nr. 47-1548) 26 straipsnio 2 dalimi, Lietuvos Respublikos administracinių teisės pažeidimų kodekso (Žin., 1985, Nr. 1-1; 2002, Nr. 124-5623) 270</w:t>
      </w:r>
      <w:r>
        <w:rPr>
          <w:rFonts w:ascii="TimesLT" w:hAnsi="TimesLT"/>
          <w:color w:val="000000"/>
          <w:vertAlign w:val="superscript"/>
        </w:rPr>
        <w:t xml:space="preserve">1 </w:t>
      </w:r>
      <w:r>
        <w:rPr>
          <w:rFonts w:ascii="TimesLT" w:hAnsi="TimesLT"/>
          <w:color w:val="000000"/>
        </w:rPr>
        <w:t xml:space="preserve">straipsnio 2 dalimi, Lietuvos Respublikos narkologinės priežiūros įstatymo (Žin., 1997, Nr. 30-711) 14 straipsnio 2 dalimi ir Lietuvos Respublikos saugaus eismo automobilių keliais įstatymo (Žin., 2000, Nr. 92-2883) 7 straipsnio 8 dalimi, </w:t>
      </w:r>
      <w:r>
        <w:rPr>
          <w:rFonts w:ascii="TimesLT" w:hAnsi="TimesLT"/>
        </w:rPr>
        <w:t>Lietuvos Respublikos Vyriausybė</w:t>
      </w:r>
      <w:r>
        <w:rPr>
          <w:rFonts w:ascii="TimesLT" w:hAnsi="TimesLT"/>
          <w:spacing w:val="80"/>
        </w:rPr>
        <w:t xml:space="preserve"> </w:t>
      </w:r>
      <w:r>
        <w:rPr>
          <w:rFonts w:ascii="TimesLT" w:hAnsi="TimesLT"/>
          <w:color w:val="000000"/>
        </w:rPr>
        <w:t>patvirtino Transporto priemones vairuojančių ir kitų asmenų neblaivumo (girtumo) ar apsvaigimo nustatymui ir joje nenumatė tokios tvarkos laisvės atėmimo vietose. Kalėjimų departamentas neteko galimybės taikyti iki tol galiojusią tvarką.</w:t>
      </w:r>
    </w:p>
    <w:p w:rsidR="007A1594" w:rsidRDefault="007A1594" w:rsidP="007A1594">
      <w:pPr>
        <w:jc w:val="both"/>
        <w:rPr>
          <w:rFonts w:ascii="TimesLT" w:hAnsi="TimesLT"/>
        </w:rPr>
      </w:pPr>
    </w:p>
    <w:p w:rsidR="007A1594" w:rsidRDefault="007A1594" w:rsidP="007A1594">
      <w:pPr>
        <w:ind w:firstLine="720"/>
        <w:jc w:val="both"/>
        <w:rPr>
          <w:rFonts w:ascii="TimesLT" w:hAnsi="TimesLT"/>
          <w:i/>
          <w:iCs/>
        </w:rPr>
      </w:pPr>
      <w:r>
        <w:rPr>
          <w:rFonts w:ascii="TimesLT" w:hAnsi="TimesLT"/>
          <w:bCs/>
        </w:rPr>
        <w:t xml:space="preserve"> </w:t>
      </w:r>
      <w:r>
        <w:rPr>
          <w:rFonts w:ascii="TimesLT" w:hAnsi="TimesLT"/>
          <w:bCs/>
          <w:i/>
          <w:iCs/>
        </w:rPr>
        <w:t xml:space="preserve">Dėl renkamos informacijos apie narkomanijos paplitimą ir dėl gydymo paslaugų teikimo sergantiems priklausomybės ligomis </w:t>
      </w:r>
    </w:p>
    <w:p w:rsidR="007A1594" w:rsidRDefault="007A1594" w:rsidP="007A1594">
      <w:pPr>
        <w:ind w:firstLine="720"/>
        <w:jc w:val="both"/>
        <w:rPr>
          <w:rFonts w:ascii="TimesLT" w:hAnsi="TimesLT"/>
        </w:rPr>
      </w:pPr>
      <w:r>
        <w:rPr>
          <w:rFonts w:ascii="TimesLT" w:hAnsi="TimesLT"/>
        </w:rPr>
        <w:t>Valstybės kontrolės audito vykdymo laikotarpiu Priklausomybės ligų centruose (toliau- PLC) didėjo stacionarinio gydymo apimtys ir dėl alkoholio, ir dėl narkotinių medžiagų vartojimo. 2005 m. pabaigoje PLC buvo registruoti 28004 asmenys, priklausantys nuo alkoholio, ir 3637 asmenys, priklausantys nuo narkotinių ir psichotropinių medžiagų.</w:t>
      </w:r>
    </w:p>
    <w:p w:rsidR="007A1594" w:rsidRDefault="007A1594" w:rsidP="007A1594">
      <w:pPr>
        <w:ind w:firstLine="720"/>
        <w:jc w:val="both"/>
        <w:rPr>
          <w:rFonts w:ascii="TimesLT" w:hAnsi="TimesLT"/>
        </w:rPr>
      </w:pPr>
      <w:r>
        <w:rPr>
          <w:rFonts w:ascii="TimesLT" w:hAnsi="TimesLT"/>
        </w:rPr>
        <w:t xml:space="preserve">Valstybinio psichikos sveiktos centro (toliau – VPSC) duomenimis didėjo ir sergamumas priklausomybės ligomis – sergančiųjų priklausomybe nuo narkotinių ir psichotropinių medžiagų skaičius išaugo nuo 5011 asmenų (2004 m.) iki 5371 (2005 m.). </w:t>
      </w:r>
    </w:p>
    <w:p w:rsidR="007A1594" w:rsidRDefault="007A1594" w:rsidP="007A1594">
      <w:pPr>
        <w:ind w:firstLine="720"/>
        <w:jc w:val="both"/>
        <w:rPr>
          <w:rFonts w:ascii="TimesLT" w:hAnsi="TimesLT"/>
        </w:rPr>
      </w:pPr>
      <w:r>
        <w:rPr>
          <w:rFonts w:ascii="TimesLT" w:hAnsi="TimesLT"/>
        </w:rPr>
        <w:t xml:space="preserve">Atliekant psichaktyvių medžiagų vartojimo paplitimo bendrojoje populiacijoje tyrimus, būtina atsižvelgti ir į opioidų dervitų (aguonų akstraktas, nuoviras) paplitimą, nes šios grupės narkotinės medžiagos buvo labiausiai paplitusios tarp asmenų, sergančių priklausomybe nuo narkotinių ir psichotropinių medžiagų. Asmenų, sergančių priklausomybe nuo narkotinių ir psichotropinių medžiagų, skaičius kasmet didėja, nes daugėja vartojančių opioidus asmenų. Jų skaičius 2004 m. ir 2005 m. didėjo po 8 proc. </w:t>
      </w:r>
    </w:p>
    <w:p w:rsidR="007A1594" w:rsidRDefault="007A1594" w:rsidP="007A1594">
      <w:pPr>
        <w:ind w:firstLine="720"/>
        <w:jc w:val="both"/>
        <w:rPr>
          <w:rFonts w:ascii="TimesLT" w:hAnsi="TimesLT"/>
        </w:rPr>
      </w:pPr>
      <w:r>
        <w:rPr>
          <w:rFonts w:ascii="TimesLT" w:hAnsi="TimesLT"/>
        </w:rPr>
        <w:t xml:space="preserve">2004 m pabaigoje Lietuvoje atliktas Psichoaktyvių medžiagų vartojimo paplitimo bendrojoje populiacijoje tyrimas. Auditorių nuomone,  tyrimo rezultatai, vertinant narkotinių ir psichotropinių medžiagų vartojimo paplitimą, yra nepakankamai išsamūs, nes nebuvo atsižvelgta į opioidų derivatų (aguonų ekstrakto, nuoviro) vartojimą Lietuvoje, šios grupės narkotinės medžiagos buvo labiausiai paplitusios tarp asmenų, sergančių priklausomybe nuo narkotinių ir psichotropinių medžiagų. </w:t>
      </w:r>
    </w:p>
    <w:p w:rsidR="007A1594" w:rsidRDefault="007A1594" w:rsidP="007A1594">
      <w:pPr>
        <w:ind w:firstLine="720"/>
        <w:jc w:val="both"/>
        <w:rPr>
          <w:rFonts w:ascii="TimesLT" w:hAnsi="TimesLT"/>
        </w:rPr>
      </w:pPr>
      <w:r>
        <w:rPr>
          <w:rFonts w:ascii="TimesLT" w:hAnsi="TimesLT"/>
        </w:rPr>
        <w:t xml:space="preserve">Kalėjimų departamentas teikia statistinės apskaitos formas VPSC. Tačiau VPSC, skelbdamas duomenis apie asmenų, priklausomų nuo narkotinių ir psichotropinių medžiagų, skaičių, Kalėjimų departamento duomenų neįtraukia. </w:t>
      </w:r>
    </w:p>
    <w:p w:rsidR="007A1594" w:rsidRDefault="007A1594" w:rsidP="007A1594">
      <w:pPr>
        <w:ind w:firstLine="720"/>
        <w:jc w:val="both"/>
        <w:rPr>
          <w:rFonts w:ascii="TimesLT" w:hAnsi="TimesLT"/>
        </w:rPr>
      </w:pPr>
      <w:r>
        <w:rPr>
          <w:rFonts w:ascii="TimesLT" w:hAnsi="TimesLT"/>
        </w:rPr>
        <w:t xml:space="preserve">Kalėjimų departamentas neteikia VPSC informacijos, pagal kurią būtų galima identifikuoti asmenis, sergančius priklausomybe nuo narkotinių ir psichotropinių medžiagų. Todėl nėra galimybės išvengti sergančių šia priklausomybe asmenų dubliavimosi atvejų kalinimo (laikinojo sulaikymo) ir gydymo įstaigose pildytose statistinės apskaitos formose. </w:t>
      </w:r>
    </w:p>
    <w:p w:rsidR="007A1594" w:rsidRDefault="007A1594" w:rsidP="007A1594">
      <w:pPr>
        <w:ind w:firstLine="720"/>
        <w:jc w:val="both"/>
        <w:rPr>
          <w:rFonts w:ascii="TimesLT" w:hAnsi="TimesLT"/>
        </w:rPr>
      </w:pPr>
      <w:r>
        <w:rPr>
          <w:rFonts w:ascii="TimesLT" w:hAnsi="TimesLT"/>
        </w:rPr>
        <w:t xml:space="preserve">Gydymo įstaigose teikiamos piktnaudžiaujančių alkoholiu, narkotinėmis ir kitomis psichotropinėmis medžiagomis anoniminio gydymo paslaugos. Tai toks gydymas, kai nenaudojami paciento asmens duomenys, asmens kodas, vardas, pavardė. Todėl nepildoma Psichikos ligonio apskaitos kortelės šaknelė (Forma Nr. 030-1/a.) ir informacija apie anonimiškai gydytus asmenis VPSC neteikiama. </w:t>
      </w:r>
    </w:p>
    <w:p w:rsidR="007A1594" w:rsidRDefault="007A1594" w:rsidP="007A1594">
      <w:pPr>
        <w:ind w:firstLine="720"/>
        <w:jc w:val="both"/>
        <w:rPr>
          <w:rFonts w:ascii="TimesLT" w:hAnsi="TimesLT"/>
        </w:rPr>
      </w:pPr>
      <w:r>
        <w:rPr>
          <w:rFonts w:ascii="TimesLT" w:hAnsi="TimesLT"/>
        </w:rPr>
        <w:lastRenderedPageBreak/>
        <w:t xml:space="preserve">Anonimiškai gydytų asmenų, sergančių priklausomybe nuo narkotinių ir psichotropinių medžiagų, skaičius šalies mastu nevertinamas. </w:t>
      </w:r>
    </w:p>
    <w:p w:rsidR="007A1594" w:rsidRDefault="007A1594" w:rsidP="007A1594">
      <w:pPr>
        <w:jc w:val="both"/>
        <w:rPr>
          <w:rFonts w:ascii="TimesLT" w:hAnsi="TimesLT"/>
        </w:rPr>
      </w:pPr>
      <w:r>
        <w:rPr>
          <w:rFonts w:ascii="TimesLT" w:hAnsi="TimesLT"/>
        </w:rPr>
        <w:tab/>
        <w:t xml:space="preserve">Privačios gydymo įstaigos neįpareigotos teikti statistinių formų VPSC apie priklausomybės ligomis sergančius asmenis.  </w:t>
      </w:r>
    </w:p>
    <w:p w:rsidR="007A1594" w:rsidRDefault="007A1594" w:rsidP="007A1594">
      <w:pPr>
        <w:ind w:firstLine="720"/>
        <w:jc w:val="both"/>
        <w:rPr>
          <w:rFonts w:ascii="TimesLT" w:hAnsi="TimesLT"/>
        </w:rPr>
      </w:pPr>
      <w:r>
        <w:rPr>
          <w:rFonts w:ascii="TimesLT" w:hAnsi="TimesLT"/>
        </w:rPr>
        <w:t xml:space="preserve">Departamento naudojami duomenys apie asmenis, sergančius priklausomybe nuo narkotinių ir psichotropinių medžiagų, ir naujus susirgimo atvejus yra nepakankamai išsamūs, nes: </w:t>
      </w:r>
    </w:p>
    <w:p w:rsidR="007A1594" w:rsidRDefault="007A1594" w:rsidP="007A1594">
      <w:pPr>
        <w:ind w:firstLine="720"/>
        <w:jc w:val="both"/>
        <w:rPr>
          <w:rFonts w:ascii="TimesLT" w:hAnsi="TimesLT"/>
        </w:rPr>
      </w:pPr>
      <w:r>
        <w:rPr>
          <w:rFonts w:ascii="TimesLT" w:hAnsi="TimesLT"/>
        </w:rPr>
        <w:t xml:space="preserve">• ne visos gydymo įstaigos teikia duomenis pagal nustatytas formas apie asmenis, sergančius priklausomybe nuo narkotinių ir psichotropinių medžiagų; </w:t>
      </w:r>
    </w:p>
    <w:p w:rsidR="007A1594" w:rsidRDefault="007A1594" w:rsidP="007A1594">
      <w:pPr>
        <w:ind w:firstLine="720"/>
        <w:jc w:val="both"/>
        <w:rPr>
          <w:rFonts w:ascii="TimesLT" w:hAnsi="TimesLT"/>
        </w:rPr>
      </w:pPr>
      <w:r>
        <w:rPr>
          <w:rFonts w:ascii="TimesLT" w:hAnsi="TimesLT"/>
        </w:rPr>
        <w:t>• kalinimo ir laikinojo sulaikymo įstaigose esantys asmenys, sergantys priklausomybe nuo narkotinių ir psichotropinių medžiagų, neįtraukiami į</w:t>
      </w:r>
      <w:r>
        <w:rPr>
          <w:rFonts w:ascii="TimesLT" w:hAnsi="TimesLT"/>
          <w:bCs/>
        </w:rPr>
        <w:t xml:space="preserve"> </w:t>
      </w:r>
      <w:r>
        <w:rPr>
          <w:rFonts w:ascii="TimesLT" w:hAnsi="TimesLT"/>
        </w:rPr>
        <w:t>bendrus</w:t>
      </w:r>
      <w:r>
        <w:rPr>
          <w:rFonts w:ascii="TimesLT" w:hAnsi="TimesLT"/>
          <w:bCs/>
        </w:rPr>
        <w:t xml:space="preserve"> </w:t>
      </w:r>
      <w:r>
        <w:rPr>
          <w:rFonts w:ascii="TimesLT" w:hAnsi="TimesLT"/>
        </w:rPr>
        <w:t xml:space="preserve">statistinius rodiklius; neatsižvelgiama į tai, ar šie asmenys anksčiau registruoti kaip priklausomi nuo narkotinių ir psichotropinių medžiagų; </w:t>
      </w:r>
    </w:p>
    <w:p w:rsidR="007A1594" w:rsidRDefault="007A1594" w:rsidP="007A1594">
      <w:pPr>
        <w:ind w:firstLine="720"/>
        <w:jc w:val="both"/>
        <w:rPr>
          <w:rFonts w:ascii="TimesLT" w:hAnsi="TimesLT"/>
        </w:rPr>
      </w:pPr>
      <w:r>
        <w:rPr>
          <w:rFonts w:ascii="TimesLT" w:hAnsi="TimesLT"/>
        </w:rPr>
        <w:t xml:space="preserve">• anonimiškai gydytų asmenų skaičius šalies mastu nevertinamas. </w:t>
      </w:r>
    </w:p>
    <w:p w:rsidR="007A1594" w:rsidRDefault="007A1594" w:rsidP="007A1594">
      <w:pPr>
        <w:ind w:firstLine="720"/>
        <w:jc w:val="both"/>
        <w:rPr>
          <w:rFonts w:ascii="TimesLT" w:hAnsi="TimesLT"/>
        </w:rPr>
      </w:pPr>
      <w:r>
        <w:rPr>
          <w:rFonts w:ascii="TimesLT" w:hAnsi="TimesLT"/>
        </w:rPr>
        <w:t xml:space="preserve">Yra rizika, kad PLC teikiami duomenys apie asmenų, sirgusių priklausomybe nuo narkotinių ir psichotropinių medžiagų, mirties atvejus yra neišsamūs, nes dalis gydymo įstaigų, negalinčios naudotis </w:t>
      </w:r>
      <w:r>
        <w:rPr>
          <w:rFonts w:ascii="TimesLT" w:hAnsi="TimesLT"/>
          <w:i/>
          <w:iCs/>
        </w:rPr>
        <w:t xml:space="preserve">Sveidros </w:t>
      </w:r>
      <w:r>
        <w:rPr>
          <w:rFonts w:ascii="TimesLT" w:hAnsi="TimesLT"/>
        </w:rPr>
        <w:t>informacine sistema, retai gauna informaciją apie mirusius  asmenis, sirgusius šia priklausomybe.</w:t>
      </w:r>
    </w:p>
    <w:p w:rsidR="007A1594" w:rsidRDefault="007A1594" w:rsidP="007A1594">
      <w:pPr>
        <w:ind w:firstLine="720"/>
        <w:jc w:val="both"/>
        <w:rPr>
          <w:rFonts w:ascii="TimesLT" w:hAnsi="TimesLT"/>
          <w:bCs/>
        </w:rPr>
      </w:pPr>
      <w:r>
        <w:rPr>
          <w:rFonts w:ascii="TimesLT" w:hAnsi="TimesLT"/>
        </w:rPr>
        <w:t>Komisijos nuomone, būtina skubiai spręsti veikiančių priklausomybės ligų centrų reorganizavimą į viešasias įstaigas. PLC, kaip biudžetinės įstaigos, finansuojami pagal biudžeto programas, t. y. finansuojamos vykdomos funkcijos, o ne apmokama už faktiškai suteiktas paslaugas. Toks finansavimas neskatina gydymo įstaigų gerinti paslaugų prieinamumą ir didinti rezultatyvumą.</w:t>
      </w:r>
      <w:r>
        <w:rPr>
          <w:rFonts w:ascii="TimesLT" w:hAnsi="TimesLT"/>
          <w:bCs/>
        </w:rPr>
        <w:t xml:space="preserve"> </w:t>
      </w:r>
    </w:p>
    <w:p w:rsidR="007A1594" w:rsidRDefault="007A1594" w:rsidP="007A1594">
      <w:pPr>
        <w:ind w:firstLine="720"/>
        <w:jc w:val="both"/>
        <w:rPr>
          <w:rFonts w:ascii="TimesLT" w:hAnsi="TimesLT"/>
        </w:rPr>
      </w:pPr>
      <w:r>
        <w:rPr>
          <w:rFonts w:ascii="TimesLT" w:hAnsi="TimesLT"/>
          <w:bCs/>
          <w:i/>
          <w:iCs/>
        </w:rPr>
        <w:t xml:space="preserve">Vaikų ir paauglių gydymas nuo priklausomybės ligų </w:t>
      </w:r>
      <w:r>
        <w:rPr>
          <w:rFonts w:ascii="TimesLT" w:hAnsi="TimesLT"/>
          <w:i/>
          <w:iCs/>
        </w:rPr>
        <w:t>VPSC duomenimis</w:t>
      </w:r>
      <w:r>
        <w:rPr>
          <w:rFonts w:ascii="TimesLT" w:hAnsi="TimesLT"/>
        </w:rPr>
        <w:t xml:space="preserve">, 2004 m. buvo registruoti 54 asmenys iki 18 metų amžiaus, sergantys priklausomybe nuo narkotinių ir psichotropinių medžiagų. 2004 m. naujai registruotų asmenų iki 18 metų amžiaus buvo 16, 2005 m. – 21. PLC stacionaruose 2004 m. buvo gydomi 23 vaikai, 2005 m. – 26 vaikai. Kitose gydymo įstaigose stacionarinio gydymo paslaugos vaikams buvo teikiamos dėl alkoholio, narkotinių ir psichotropinių medžiagų vartojimo, iš kurių didžiausia dalis – pagalba dėl apsinuodijimų (skaičiavimai atlikti naudojant TLK duomenis). </w:t>
      </w:r>
    </w:p>
    <w:p w:rsidR="007A1594" w:rsidRDefault="007A1594" w:rsidP="007A1594">
      <w:pPr>
        <w:ind w:firstLine="720"/>
        <w:jc w:val="both"/>
        <w:rPr>
          <w:rFonts w:ascii="TimesLT" w:hAnsi="TimesLT"/>
        </w:rPr>
      </w:pPr>
      <w:r>
        <w:rPr>
          <w:rFonts w:ascii="TimesLT" w:hAnsi="TimesLT"/>
        </w:rPr>
        <w:t xml:space="preserve">2005 m., lyginant su 2004 m., bendras suteiktų paslaugų skaičius </w:t>
      </w:r>
      <w:r>
        <w:rPr>
          <w:rFonts w:ascii="TimesLT" w:hAnsi="TimesLT"/>
          <w:bCs/>
        </w:rPr>
        <w:t>išaugo 12 proc.</w:t>
      </w:r>
      <w:r>
        <w:rPr>
          <w:rFonts w:ascii="TimesLT" w:hAnsi="TimesLT"/>
        </w:rPr>
        <w:t xml:space="preserve"> (nuo 455 paslaugų 2004 m. iki 519 paslaugų 2005 m.). Daugiausia stacionarinio gydymo paslaugų vaikams suteikta dėl apsinuodijimo alkoholiu. </w:t>
      </w:r>
    </w:p>
    <w:p w:rsidR="007A1594" w:rsidRDefault="007A1594" w:rsidP="007A1594">
      <w:pPr>
        <w:ind w:firstLine="720"/>
        <w:jc w:val="both"/>
        <w:rPr>
          <w:rFonts w:ascii="TimesLT" w:hAnsi="TimesLT"/>
        </w:rPr>
      </w:pPr>
      <w:r>
        <w:rPr>
          <w:rFonts w:ascii="TimesLT" w:hAnsi="TimesLT"/>
        </w:rPr>
        <w:t>Būtina didinti ambulatorinių ir stacionarinių paslaugų prieinamumą vaikams ir paaugliams.</w:t>
      </w:r>
    </w:p>
    <w:p w:rsidR="007A1594" w:rsidRDefault="007A1594" w:rsidP="007A1594">
      <w:pPr>
        <w:ind w:firstLine="720"/>
        <w:jc w:val="both"/>
        <w:rPr>
          <w:rFonts w:ascii="TimesLT" w:hAnsi="TimesLT"/>
        </w:rPr>
      </w:pPr>
      <w:r>
        <w:rPr>
          <w:rFonts w:ascii="TimesLT" w:hAnsi="TimesLT"/>
        </w:rPr>
        <w:t xml:space="preserve"> PLC neturi Akreditavimo sveikatos priežiūros veiklai tarnybos išduotos licencijos teikti priklausomybės ligų gydymo paslaugas vaikams ir paaugliams. </w:t>
      </w:r>
    </w:p>
    <w:p w:rsidR="007A1594" w:rsidRDefault="007A1594" w:rsidP="007A1594">
      <w:pPr>
        <w:ind w:firstLine="720"/>
        <w:jc w:val="both"/>
        <w:rPr>
          <w:rFonts w:ascii="TimesLT" w:hAnsi="TimesLT"/>
        </w:rPr>
      </w:pPr>
      <w:r>
        <w:rPr>
          <w:rFonts w:ascii="TimesLT" w:hAnsi="TimesLT"/>
        </w:rPr>
        <w:t xml:space="preserve">Vilniaus, Kauno, Klaipėdos PLC teikia nelicencijuotas asmens sveikatos priežiūros paslaugas vaikams, todėl yra rizika, kad teikiant šias paslaugas neužtikrinami minimalūs reikalavimai.  </w:t>
      </w:r>
    </w:p>
    <w:p w:rsidR="007A1594" w:rsidRDefault="007A1594" w:rsidP="007A1594">
      <w:pPr>
        <w:ind w:firstLine="720"/>
        <w:jc w:val="both"/>
        <w:rPr>
          <w:rFonts w:ascii="TimesLT" w:hAnsi="TimesLT"/>
        </w:rPr>
      </w:pPr>
      <w:r>
        <w:rPr>
          <w:rFonts w:ascii="TimesLT" w:hAnsi="TimesLT"/>
        </w:rPr>
        <w:t>Iki šiol nebuvo įvertintas priklausomybės ligų gydymo poreikis šalyje. Todėl yra rizika, kad disponuojant nepakankamai išsamiais statistiniais duomenimis, priklausomybės ligų gydymo poreikis šalyje gali būti netinkamai įvertintas.</w:t>
      </w:r>
    </w:p>
    <w:p w:rsidR="007A1594" w:rsidRDefault="007A1594" w:rsidP="007A1594">
      <w:pPr>
        <w:ind w:firstLine="720"/>
        <w:jc w:val="both"/>
        <w:rPr>
          <w:rFonts w:ascii="TimesLT" w:hAnsi="TimesLT"/>
        </w:rPr>
      </w:pPr>
      <w:r>
        <w:rPr>
          <w:rFonts w:ascii="TimesLT" w:hAnsi="TimesLT"/>
        </w:rPr>
        <w:t>Programos lėšos skiriamos apskritims PLC veiklai finansuoti, ir priklausomybei nuo narkotinių, kitų psichotropinių medžiagų ir nuo alkoholio gydyti.</w:t>
      </w:r>
      <w:r>
        <w:rPr>
          <w:rFonts w:ascii="TimesLT" w:hAnsi="TimesLT"/>
          <w:bCs/>
        </w:rPr>
        <w:t xml:space="preserve">  </w:t>
      </w:r>
    </w:p>
    <w:p w:rsidR="007A1594" w:rsidRDefault="007A1594" w:rsidP="007A1594">
      <w:pPr>
        <w:ind w:firstLine="720"/>
        <w:jc w:val="both"/>
        <w:rPr>
          <w:rFonts w:ascii="TimesLT" w:hAnsi="TimesLT"/>
        </w:rPr>
      </w:pPr>
      <w:r>
        <w:rPr>
          <w:rFonts w:ascii="TimesLT" w:hAnsi="TimesLT"/>
        </w:rPr>
        <w:t>Atsižvelgiant į priklausomybės ligų vystymąsi ir plitimą, susirgimų sukeltas pasekmes pacientui ir visuomenei, šių susirgimų sveikatos priežiūra išskirta kaip atskira, reikalaujanti kompleksinės pagalbos ir skirtingo finansavimo sveikatos priežiūra sveikatos priežiūros sritis.</w:t>
      </w:r>
    </w:p>
    <w:p w:rsidR="007A1594" w:rsidRDefault="007A1594" w:rsidP="007A1594">
      <w:pPr>
        <w:jc w:val="both"/>
        <w:rPr>
          <w:rFonts w:ascii="TimesLT" w:hAnsi="TimesLT"/>
        </w:rPr>
      </w:pPr>
      <w:r>
        <w:rPr>
          <w:rFonts w:ascii="TimesLT" w:hAnsi="TimesLT"/>
        </w:rPr>
        <w:tab/>
        <w:t>Valstybinė medicininio audito inspekcija yra  atsakinga už asmens sveikatos priežiūros paslaugų kokybės kontrolę, tačiau, 2003–2005 m. planine tvarka PLC teikiamų sveikatos priežiūros paslaugų nevertino. Audito laikotarpiu priklausomybės ligų gydymo paslaugų išorinė kokybės kontrolė nevykdyta.</w:t>
      </w:r>
    </w:p>
    <w:p w:rsidR="007A1594" w:rsidRDefault="007A1594" w:rsidP="007A1594">
      <w:pPr>
        <w:ind w:firstLine="720"/>
        <w:jc w:val="both"/>
        <w:rPr>
          <w:rFonts w:ascii="TimesLT" w:hAnsi="TimesLT"/>
        </w:rPr>
      </w:pPr>
      <w:r>
        <w:rPr>
          <w:rFonts w:ascii="TimesLT" w:hAnsi="TimesLT"/>
        </w:rPr>
        <w:t>Sveiktaos apsaugos ministerijos (toliau – SAM) patvirtintoje programoje vertinimo kriterijai nenustatyti, todėl negalima pagrįstai vertinti, ar programa vykdoma rezultatyviai.</w:t>
      </w:r>
    </w:p>
    <w:p w:rsidR="007A1594" w:rsidRDefault="007A1594" w:rsidP="007A1594">
      <w:pPr>
        <w:ind w:firstLine="720"/>
        <w:jc w:val="both"/>
        <w:rPr>
          <w:rFonts w:ascii="TimesLT" w:hAnsi="TimesLT"/>
        </w:rPr>
      </w:pPr>
      <w:r>
        <w:rPr>
          <w:rFonts w:ascii="TimesLT" w:hAnsi="TimesLT"/>
        </w:rPr>
        <w:t xml:space="preserve">Bendros minėtų gydymo paslaugų apimtys 2005 m. didėjo dėl pagalbos vartojant alkoholį apimčių didėjimo. Stacionarinio gydymo paslaugų, suteiktų dėl narkotikų vartojimo ir apmokėtų iš PSDF biudžeto lėšų, skaičius audito laikotarpiu sumažėjo 20 proc. (14 pav.) Pagal TLK duomenis, 2005 m., lyginant su 2004 m., 13 proc. išaugo stacionarinio gydymo paslaugų (dėl alkoholio vartojimo pagal ligų gydymo profilius „psichoaktyviųjų medžiagų sukeltos psichozės“) skaičius: atitinkamai nuo 7737 iki 8728. </w:t>
      </w:r>
    </w:p>
    <w:p w:rsidR="007A1594" w:rsidRDefault="007A1594" w:rsidP="007A1594">
      <w:pPr>
        <w:ind w:firstLine="720"/>
        <w:jc w:val="both"/>
        <w:rPr>
          <w:rFonts w:ascii="TimesLT" w:hAnsi="TimesLT"/>
        </w:rPr>
      </w:pPr>
      <w:r>
        <w:rPr>
          <w:rFonts w:ascii="TimesLT" w:hAnsi="TimesLT"/>
        </w:rPr>
        <w:lastRenderedPageBreak/>
        <w:t>PLC gydomiems ligoniams pagal priklausomybės ligų gydymo standartus</w:t>
      </w:r>
      <w:r>
        <w:rPr>
          <w:rStyle w:val="Puslapioinaosnuoroda1"/>
          <w:rFonts w:ascii="TimesLT" w:hAnsi="TimesLT"/>
          <w:position w:val="10"/>
          <w:vertAlign w:val="superscript"/>
        </w:rPr>
        <w:t xml:space="preserve"> </w:t>
      </w:r>
      <w:r>
        <w:rPr>
          <w:rFonts w:ascii="TimesLT" w:hAnsi="TimesLT"/>
        </w:rPr>
        <w:t xml:space="preserve">teikiamos detoksikacijos, abstinencijos ir palaikomojo gydymo paslaugos, psichoterapinė reabilitacija. PLC stacionaro gydymo paslaugų, pagal vyraujančią sergamumo struktūrą, gerokai daugiau suteikta dėl alkoholio vartojimo. </w:t>
      </w:r>
    </w:p>
    <w:p w:rsidR="007A1594" w:rsidRDefault="007A1594" w:rsidP="007A1594">
      <w:pPr>
        <w:ind w:firstLine="720"/>
        <w:jc w:val="both"/>
        <w:rPr>
          <w:rFonts w:ascii="TimesLT" w:hAnsi="TimesLT"/>
        </w:rPr>
      </w:pPr>
      <w:r>
        <w:rPr>
          <w:rFonts w:ascii="TimesLT" w:hAnsi="TimesLT"/>
        </w:rPr>
        <w:t>Narkologinės priežiūros įstatyme, Priklausomybės ligų gydymo ir reabilitacijos standartuose</w:t>
      </w:r>
      <w:r>
        <w:rPr>
          <w:rStyle w:val="Puslapioinaosnuoroda1"/>
          <w:rFonts w:ascii="TimesLT" w:hAnsi="TimesLT"/>
          <w:position w:val="10"/>
          <w:vertAlign w:val="superscript"/>
        </w:rPr>
        <w:t xml:space="preserve"> </w:t>
      </w:r>
      <w:r>
        <w:rPr>
          <w:rFonts w:ascii="TimesLT" w:hAnsi="TimesLT"/>
        </w:rPr>
        <w:t xml:space="preserve">numatyta, kad gydant narkologinius ligonius sudaromas gydymo ir reabilitacijos planas (programa), kurį įgyvendinant dalyvauja gydytojai psichiatrai, psichologai, slaugos ir socialiniai darbuotojai, šeimos gydytojai, pacientų šeimos nariai. Tik Vilniaus PLC į asmenų, sergančių priklausomybe nuo narkotinių medžiagų, gydymą ir reabilitaciją sistemingai įtraukiami ir šeimos nariai. </w:t>
      </w:r>
    </w:p>
    <w:p w:rsidR="007A1594" w:rsidRDefault="007A1594" w:rsidP="007A1594">
      <w:pPr>
        <w:ind w:firstLine="720"/>
        <w:jc w:val="both"/>
        <w:rPr>
          <w:rFonts w:ascii="TimesLT" w:hAnsi="TimesLT"/>
        </w:rPr>
      </w:pPr>
      <w:r>
        <w:rPr>
          <w:rFonts w:ascii="TimesLT" w:hAnsi="TimesLT"/>
        </w:rPr>
        <w:t xml:space="preserve">Minėti standartai nustato, kad sergančių priklausomybės ligomis asmenų sveikatos priežiūra (gydymas ir reabilitacija) derinama su šeimos gydytojais ir (ar) kitais sveikatos priežiūros paslaugas teikiančiais specialistais. </w:t>
      </w:r>
    </w:p>
    <w:p w:rsidR="007A1594" w:rsidRDefault="007A1594" w:rsidP="007A1594">
      <w:pPr>
        <w:ind w:firstLine="720"/>
        <w:jc w:val="both"/>
        <w:rPr>
          <w:rFonts w:ascii="TimesLT" w:hAnsi="TimesLT"/>
        </w:rPr>
      </w:pPr>
      <w:r>
        <w:rPr>
          <w:rFonts w:ascii="TimesLT" w:hAnsi="TimesLT"/>
          <w:i/>
          <w:iCs/>
        </w:rPr>
        <w:t>Dėl priklausomybės ligų gydymo finansavimo nurodyta</w:t>
      </w:r>
      <w:r>
        <w:rPr>
          <w:rFonts w:ascii="TimesLT" w:hAnsi="TimesLT"/>
        </w:rPr>
        <w:t xml:space="preserve">, kad bendras lėšų, panaudotų priklausomybės ligoms gydyti, kiekis didėjo nuo 21 336,3 tūkst. Lt  2004 m. iki 24 663,5 tūkst. Lt 2005 m. Priklausomybės ligoms gydyti 2005 m. iš viso lėšų buvo skirta 15,6 proc. daugiau, negu 2004 m. PSDF biudžeto lėšos, skirtos stacionarinėms paslaugoms apmokėti ne PLC 2005 m. išaugo 20 proc. Lemiamą įtaką šiam didėjimui turėjo stacionarinio gydymo paslaugų, apmokamų iš PSDF lėšų, indeksavimas 14 proc. </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Priklausomybės ligų gydymas šalyje dviem trečdaliais finansuojamas iš PSDF biudžeto lėšų. </w:t>
      </w:r>
    </w:p>
    <w:p w:rsidR="007A1594" w:rsidRDefault="007A1594" w:rsidP="007A1594">
      <w:pPr>
        <w:ind w:firstLine="720"/>
        <w:jc w:val="both"/>
        <w:rPr>
          <w:rFonts w:ascii="TimesLT" w:hAnsi="TimesLT"/>
        </w:rPr>
      </w:pPr>
      <w:r>
        <w:rPr>
          <w:rFonts w:ascii="TimesLT" w:hAnsi="TimesLT"/>
        </w:rPr>
        <w:t>PLC 2004 ir 2005 m. priklausomybės ligoms gydyti naudojo valstybės ir savivaldybių biudžeto lėšas, specialiosios programos lėšas (lėšas, surinktas už mokamas asmens sveikatos priežiūros paslaugas) ir Priklausomybės ligų gydymo programos, finansuojamos iš PSDF biudžeto, lėšas. Valstybės biudžeto Nacionalinės narkotikų kontrolės ir narkomanijos prevencijos programos lėšos skiriamos įgyvendinti priemonei Gerinti veikiančių priklausomybės ligų centrų veiklą, didinti ambulatorinių ir stacionarinių paslaugų prieinamumą vaikams ir paaugliams. Lėšos naudojamos ir priklausomybei nuo narkotinių, kitų psichotropinių medžiagų, ir nuo alkoholio gydyti.</w:t>
      </w:r>
      <w:r>
        <w:rPr>
          <w:rFonts w:ascii="TimesLT" w:hAnsi="TimesLT"/>
          <w:bCs/>
        </w:rPr>
        <w:t xml:space="preserve"> </w:t>
      </w:r>
    </w:p>
    <w:p w:rsidR="007A1594" w:rsidRDefault="007A1594" w:rsidP="007A1594">
      <w:pPr>
        <w:jc w:val="both"/>
        <w:rPr>
          <w:rFonts w:ascii="TimesLT" w:hAnsi="TimesLT"/>
        </w:rPr>
      </w:pPr>
      <w:r>
        <w:rPr>
          <w:rFonts w:ascii="TimesLT" w:hAnsi="TimesLT"/>
        </w:rPr>
        <w:tab/>
        <w:t xml:space="preserve">Priklausomybės ligų ir jų gydymo struktūroje vyrauja priklausomybė nuo alkoholio ir jos gydymas. Pagal VPSC paskelbtus 2004 m. ir 2005 m. Lietuvos sveikatos statistikos duomenis, tarp asmenų, sergančių psichikos ir elgesio sutrikimais dėl alkoholio ir narkotinių medžiagų vartojimo, vyravo sergamumas dėl alkoholio vartojimo. </w:t>
      </w:r>
    </w:p>
    <w:p w:rsidR="007A1594" w:rsidRDefault="007A1594" w:rsidP="007A1594">
      <w:pPr>
        <w:ind w:firstLine="720"/>
        <w:jc w:val="both"/>
        <w:rPr>
          <w:rFonts w:ascii="TimesLT" w:hAnsi="TimesLT"/>
        </w:rPr>
      </w:pPr>
      <w:r>
        <w:rPr>
          <w:rFonts w:ascii="TimesLT" w:hAnsi="TimesLT"/>
        </w:rPr>
        <w:t xml:space="preserve">Asmenys, priklausomi nuo alkoholio, narkotinių ir psichotropinių medžiagų, dažnai turi socialinių problemų ir neapdrausti privalomuoju sveikatos draudimu, todėl neturi galimybės kreiptis į pirminės sveikatos priežiūros įstaigas nemokamai. Atsižvelgiant į tai, kad dauguma PLC ambulatorines sveikatos priežiūros paslaugas teikia nemokamai tik esant kitų specialistų siuntimui, yra rizika, kad nedraustiems asmenims nemokamos priklausomybės ligų gydymo paslaugos PLC yra neprieinamos. </w:t>
      </w:r>
    </w:p>
    <w:p w:rsidR="007A1594" w:rsidRDefault="007A1594" w:rsidP="007A1594">
      <w:pPr>
        <w:ind w:firstLine="720"/>
        <w:jc w:val="both"/>
        <w:rPr>
          <w:rFonts w:ascii="TimesLT" w:hAnsi="TimesLT"/>
        </w:rPr>
      </w:pPr>
      <w:r>
        <w:rPr>
          <w:rFonts w:ascii="TimesLT" w:hAnsi="TimesLT"/>
        </w:rPr>
        <w:t xml:space="preserve">Priklausomybės ligų gydymą Vilniaus PLC finansuojant iš Vilniaus miesto savivaldybės biudžeto lėšų, kitų savivaldybių gyventojams, kurie nedirba Vilniaus mieste arba neapdrausti privalomuoju sveikatos draudimu, yra apribota teisė kreiptis į PLC, siekiant gauti nemokamas priklausomybės ligų gydymo paslaugas.  </w:t>
      </w:r>
    </w:p>
    <w:p w:rsidR="007A1594" w:rsidRDefault="007A1594" w:rsidP="007A1594">
      <w:pPr>
        <w:ind w:firstLine="720"/>
        <w:jc w:val="both"/>
        <w:rPr>
          <w:rFonts w:ascii="TimesLT" w:hAnsi="TimesLT"/>
        </w:rPr>
      </w:pPr>
      <w:r>
        <w:rPr>
          <w:rFonts w:ascii="TimesLT" w:hAnsi="TimesLT"/>
        </w:rPr>
        <w:t>Atsižvelgiant į tai, kad priklausomybės ligomis sergantiems asmenims (narkologiniams ligoniams) teikiamos paslaugos yra numatytos Priklausomybės ligų gydymo ir reabilitacijos standartuose, jos turėtų būti teikiamos nemokamai.</w:t>
      </w:r>
      <w:r>
        <w:rPr>
          <w:rFonts w:ascii="TimesLT" w:hAnsi="TimesLT"/>
          <w:bCs/>
        </w:rPr>
        <w:t xml:space="preserve"> </w:t>
      </w:r>
      <w:r>
        <w:rPr>
          <w:rFonts w:ascii="TimesLT" w:hAnsi="TimesLT"/>
        </w:rPr>
        <w:t xml:space="preserve"> </w:t>
      </w:r>
    </w:p>
    <w:p w:rsidR="007A1594" w:rsidRDefault="007A1594" w:rsidP="007A1594">
      <w:pPr>
        <w:ind w:firstLine="720"/>
        <w:jc w:val="both"/>
        <w:rPr>
          <w:rFonts w:ascii="TimesLT" w:hAnsi="TimesLT"/>
        </w:rPr>
      </w:pPr>
      <w:r>
        <w:rPr>
          <w:rFonts w:ascii="TimesLT" w:hAnsi="TimesLT"/>
          <w:bCs/>
          <w:i/>
          <w:iCs/>
        </w:rPr>
        <w:t>Nesureguliuoti anoniminio gydymo klausimai.</w:t>
      </w:r>
      <w:r>
        <w:rPr>
          <w:rFonts w:ascii="TimesLT" w:hAnsi="TimesLT"/>
          <w:bCs/>
        </w:rPr>
        <w:t xml:space="preserve"> </w:t>
      </w:r>
      <w:r>
        <w:rPr>
          <w:rFonts w:ascii="TimesLT" w:hAnsi="TimesLT"/>
        </w:rPr>
        <w:t xml:space="preserve">Teisės aktuose nėra apibrėžta, kas yra anoniminė narkologinė priežiūra. SAM nurodė, kad anoniminis piktnaudžiaujančiųjų alkoholiu, narkotikais ir kitomis nuodingomis medžiagomis gydymas – tai toks gydymas, kai nenaudojami paciento asmens duomenys (asmens kodas, vardas, pavardė). </w:t>
      </w:r>
    </w:p>
    <w:p w:rsidR="007A1594" w:rsidRDefault="007A1594" w:rsidP="007A1594">
      <w:pPr>
        <w:ind w:firstLine="720"/>
        <w:jc w:val="both"/>
        <w:rPr>
          <w:rFonts w:ascii="TimesLT" w:hAnsi="TimesLT"/>
        </w:rPr>
      </w:pPr>
      <w:r>
        <w:rPr>
          <w:rFonts w:ascii="TimesLT" w:hAnsi="TimesLT"/>
        </w:rPr>
        <w:t>PLC taikomas anoniminis piktnaudžiaujančiųjų alkoholiu, narkotinėmis ir kitomis nuodingomis medžiagomis gydymas. Už šio gydymo paslaugas pacientai turi mokėti. PLC pažymėjo, kad pacientai anoniminio gydymo paslaugas renkasi patys, norėdami išlaikyti gydymosi konfidencialumą. Pacientų teisė į konfidencialumą ir gydymo paslapties išsaugojimą yra įtvirtinta įstatymų</w:t>
      </w:r>
      <w:r>
        <w:rPr>
          <w:rStyle w:val="Puslapioinaosnuoroda1"/>
          <w:rFonts w:ascii="TimesLT" w:hAnsi="TimesLT"/>
          <w:position w:val="10"/>
          <w:vertAlign w:val="superscript"/>
        </w:rPr>
        <w:t xml:space="preserve"> </w:t>
      </w:r>
      <w:r>
        <w:rPr>
          <w:rFonts w:ascii="TimesLT" w:hAnsi="TimesLT"/>
        </w:rPr>
        <w:t xml:space="preserve">ir turi būti visais atvejais užtikrinama, todėl pacientų konfidencialumo ir gydymo paslapties išsaugojimas neturėtų būti priežastis teikti mokamas anoniminio gydymo paslaugas. </w:t>
      </w:r>
    </w:p>
    <w:p w:rsidR="007A1594" w:rsidRDefault="007A1594" w:rsidP="007A1594">
      <w:pPr>
        <w:ind w:firstLine="720"/>
        <w:jc w:val="both"/>
        <w:rPr>
          <w:rFonts w:ascii="TimesLT" w:hAnsi="TimesLT"/>
        </w:rPr>
      </w:pPr>
      <w:r>
        <w:rPr>
          <w:rFonts w:ascii="TimesLT" w:hAnsi="TimesLT"/>
        </w:rPr>
        <w:t>SAM nustatyta tvarka</w:t>
      </w:r>
      <w:r>
        <w:rPr>
          <w:rStyle w:val="Puslapioinaosnuoroda1"/>
          <w:rFonts w:ascii="TimesLT" w:hAnsi="TimesLT"/>
          <w:position w:val="10"/>
          <w:vertAlign w:val="superscript"/>
        </w:rPr>
        <w:t xml:space="preserve"> </w:t>
      </w:r>
      <w:r>
        <w:rPr>
          <w:rFonts w:ascii="TimesLT" w:hAnsi="TimesLT"/>
        </w:rPr>
        <w:t xml:space="preserve">piktnaudžiaujantieji alkoholiu, narkotinėmis ir psichotropinėmis ar kitomis psichiką veikiančiomis medžiagomis asmenys įrašomi į narkologines įskaitas. Asmenims, įrašytiems į įskaitą ir sergantiems minėtomis ligomis apribota teisė įsigyti ir turėti ginklus ir </w:t>
      </w:r>
      <w:r>
        <w:rPr>
          <w:rFonts w:ascii="TimesLT" w:hAnsi="TimesLT"/>
        </w:rPr>
        <w:lastRenderedPageBreak/>
        <w:t>šaudmenis, draudžiama vairuoti transporto priemones. Minėtiems asmenims ribojama profesinė veikla – jie negali dirbti pavyzdžiui, teisėjais, notarais, antstoliais</w:t>
      </w:r>
      <w:r>
        <w:rPr>
          <w:rStyle w:val="Puslapioinaosnuoroda1"/>
          <w:rFonts w:ascii="TimesLT" w:hAnsi="TimesLT"/>
          <w:position w:val="10"/>
          <w:vertAlign w:val="superscript"/>
        </w:rPr>
        <w:t xml:space="preserve"> </w:t>
      </w:r>
      <w:r>
        <w:rPr>
          <w:rFonts w:ascii="TimesLT" w:hAnsi="TimesLT"/>
        </w:rPr>
        <w:t xml:space="preserve">ir kt. </w:t>
      </w:r>
    </w:p>
    <w:p w:rsidR="007A1594" w:rsidRDefault="007A1594" w:rsidP="007A1594">
      <w:pPr>
        <w:jc w:val="both"/>
        <w:rPr>
          <w:rFonts w:ascii="TimesLT" w:hAnsi="TimesLT"/>
        </w:rPr>
      </w:pPr>
      <w:r>
        <w:rPr>
          <w:rFonts w:ascii="TimesLT" w:hAnsi="TimesLT"/>
        </w:rPr>
        <w:t xml:space="preserve">Nenaudojant asmens duomenų anonimiškai gydomi žalingai vartojantys psichiką veikiančias medžiagas asmenys negali būti įrašyti į narkologinę įskaitą. Tokiu būdu, jiems sudaromos sąlygos išvengti teisės aktais nustatytų apribojimų. </w:t>
      </w:r>
    </w:p>
    <w:p w:rsidR="007A1594" w:rsidRDefault="007A1594" w:rsidP="007A1594">
      <w:pPr>
        <w:jc w:val="both"/>
        <w:rPr>
          <w:rFonts w:ascii="TimesLT" w:hAnsi="TimesLT"/>
        </w:rPr>
      </w:pPr>
      <w:r>
        <w:rPr>
          <w:rFonts w:ascii="TimesLT" w:hAnsi="TimesLT"/>
        </w:rPr>
        <w:t xml:space="preserve"> </w:t>
      </w:r>
    </w:p>
    <w:p w:rsidR="007A1594" w:rsidRDefault="007A1594" w:rsidP="007A1594">
      <w:pPr>
        <w:jc w:val="both"/>
        <w:rPr>
          <w:rFonts w:ascii="TimesLT" w:hAnsi="TimesLT"/>
          <w:bCs/>
          <w:i/>
          <w:iCs/>
          <w:sz w:val="28"/>
        </w:rPr>
      </w:pPr>
      <w:r>
        <w:rPr>
          <w:rFonts w:ascii="TimesLT" w:hAnsi="TimesLT"/>
        </w:rPr>
        <w:tab/>
      </w:r>
      <w:r>
        <w:rPr>
          <w:rFonts w:ascii="TimesLT" w:hAnsi="TimesLT"/>
          <w:bCs/>
          <w:i/>
          <w:iCs/>
          <w:sz w:val="28"/>
        </w:rPr>
        <w:t>Dėl metadono programos</w:t>
      </w:r>
    </w:p>
    <w:p w:rsidR="007A1594" w:rsidRDefault="007A1594" w:rsidP="007A1594">
      <w:pPr>
        <w:ind w:firstLine="720"/>
        <w:jc w:val="both"/>
        <w:rPr>
          <w:rFonts w:ascii="TimesLT" w:hAnsi="TimesLT"/>
        </w:rPr>
      </w:pPr>
      <w:r>
        <w:rPr>
          <w:rFonts w:ascii="TimesLT" w:hAnsi="TimesLT"/>
        </w:rPr>
        <w:t xml:space="preserve">Narkomanijos prevencijos komisija atrkreipė dėmesį dėl 1995 m. pradėtos taikyti ir nuo 1997 m. vykdomos pagal SAM nustatytą pakaitinio gydymo taikymo tvarką opioidinei narkomanijai gydyti  Lietuvoje Metadono programos. Departamentas 2005 m. neįgyvendino Programos priemonės Vykdyti gydymo metadonu stebėseną ir įvertinti jo veiksmingumą. Gydymo metadonu stebėsena šalies mastu neatliekama, todėl negalima vertinti šio gydymo rezultatyvumo. </w:t>
      </w:r>
    </w:p>
    <w:p w:rsidR="007A1594" w:rsidRDefault="007A1594" w:rsidP="007A1594">
      <w:pPr>
        <w:ind w:firstLine="720"/>
        <w:jc w:val="both"/>
        <w:rPr>
          <w:rFonts w:ascii="TimesLT" w:hAnsi="TimesLT"/>
        </w:rPr>
      </w:pPr>
      <w:r>
        <w:rPr>
          <w:rFonts w:ascii="TimesLT" w:hAnsi="TimesLT"/>
        </w:rPr>
        <w:t>Šalies mastu 2000–2005 m. pakaitinio gydymo metadonu stebėsena su gydymo rezultatų analize nebuvo atliekama. Viena iš Programos įgyvendinimo 2005 m. priemonių buvo Vykdyti gydymo metadonu stebėseną ir įvertinti jo veiksmingumą. Tokia pati priemonė įrašyta Departamento 2005 m. veiklos plane, tačiau nebuvo įgyvendinta. Departamento metiniuose pranešimuose skelbiamas bendras pacientų, kuriems buvo taikomas pakaitinis gydymas metadonu, skaičius (Vilniaus PLC surinkti duomenys). Vertinimo išvados nepateiktos. SAM 2005 m. sudarė darbo grupę, kuri parengė sveikatos apsaugos ministro įsakymo „Dėl gydymo metadonu stebėsenos tvarkos“ aprašo patvirtinimo projektą. Stebėsenos tvarka dar nepatvirtinta. Be pakaitinio, ambulatorinio gydymo metadonu, taikoma ir detoksikacija metadonu (stacionare ir ambulatoriškai), tačiau šio gydymo rezultatai neanalizuojami ir nevertinami. PLC pateikė duomenis apie gydymą metadonu stacionare.</w:t>
      </w:r>
    </w:p>
    <w:p w:rsidR="007A1594" w:rsidRDefault="007A1594" w:rsidP="007A1594">
      <w:pPr>
        <w:ind w:firstLine="720"/>
        <w:jc w:val="both"/>
        <w:rPr>
          <w:rFonts w:ascii="TimesLT" w:hAnsi="TimesLT"/>
        </w:rPr>
      </w:pPr>
      <w:r>
        <w:rPr>
          <w:rFonts w:ascii="TimesLT" w:hAnsi="TimesLT"/>
        </w:rPr>
        <w:t>Metadono programa vykdoma</w:t>
      </w:r>
      <w:r>
        <w:rPr>
          <w:rFonts w:ascii="TimesLT" w:hAnsi="TimesLT"/>
          <w:bCs/>
        </w:rPr>
        <w:t xml:space="preserve"> </w:t>
      </w:r>
      <w:r>
        <w:rPr>
          <w:rFonts w:ascii="TimesLT" w:hAnsi="TimesLT"/>
        </w:rPr>
        <w:t xml:space="preserve">sergantiems priklausomybe nuo opioidų, kaip vienas iš būdų - gydymas pakeičiamaisiais opioidiniais medikamentais, kuris vadinamas pakaitiniu gydymu. </w:t>
      </w:r>
    </w:p>
    <w:p w:rsidR="007A1594" w:rsidRDefault="007A1594" w:rsidP="007A1594">
      <w:pPr>
        <w:ind w:firstLine="720"/>
        <w:jc w:val="both"/>
        <w:rPr>
          <w:rFonts w:ascii="TimesLT" w:hAnsi="TimesLT"/>
        </w:rPr>
      </w:pPr>
      <w:r>
        <w:rPr>
          <w:rFonts w:ascii="TimesLT" w:hAnsi="TimesLT"/>
        </w:rPr>
        <w:t xml:space="preserve">Minėta tvarka turėtų vadovautis Vilniaus, Kauno, Klaipėdos ir Panevėžio priklausomybės ligų centrai, taikydami pakaitinį gydymą metadonu. PLC pakaitinis gydymas metadonu finansuojamas iš valstybės biudžeto, PSDF biudžeto (pagal 2005–2008 m. priklausomybės ligų programą) ir programos dalyvių (išskyrus Vilniaus PLC) lėšų. Be pakaitinio gydymo, PLC taikoma ir opioidinės abstinencijos detoksikacija metadonu. </w:t>
      </w:r>
    </w:p>
    <w:p w:rsidR="007A1594" w:rsidRDefault="007A1594" w:rsidP="007A1594">
      <w:pPr>
        <w:ind w:firstLine="720"/>
        <w:jc w:val="both"/>
        <w:rPr>
          <w:rFonts w:ascii="TimesLT" w:hAnsi="TimesLT"/>
        </w:rPr>
      </w:pPr>
      <w:r>
        <w:rPr>
          <w:rFonts w:ascii="TimesLT" w:hAnsi="TimesLT"/>
        </w:rPr>
        <w:t xml:space="preserve">Pakeičiamaisiais opioidiniaias medikamentais gydomų asmenų apskaitą, duomenų apie juos rinkimą ir vertinimą organizuoja Vilniaus PLC (SAM patvirtinta pakaitinio gydymo tvarka). Pakaitinį gydymą atliekančios gydymo įstaigos (Kauno, Klaipėdos, Panevėžio PLC ir Druskininkų pirminės sveikatos priežiūros centras) teikia duomenis apie pradėjusius ir baigusius pakaitinį gydymą asmenis, nurodydamos vardą, pavardę ir gyvenamąją vietą. Vilniaus PLC atlieka tik savo įstaigos duomenų analizę. </w:t>
      </w:r>
    </w:p>
    <w:p w:rsidR="007A1594" w:rsidRDefault="007A1594" w:rsidP="007A1594">
      <w:pPr>
        <w:ind w:firstLine="720"/>
        <w:jc w:val="both"/>
        <w:rPr>
          <w:rFonts w:ascii="TimesLT" w:hAnsi="TimesLT"/>
        </w:rPr>
      </w:pPr>
      <w:r>
        <w:rPr>
          <w:rFonts w:ascii="TimesLT" w:hAnsi="TimesLT"/>
        </w:rPr>
        <w:t xml:space="preserve">Pagal PLC pateiktus duomenis matoma, kad per 20 proc. pacientų pakaitinį gydymą nutraukia. Gydymo nutraukimo priežastys Kauno, Panevėžio ir Klaipėdos PLC neanalizuojamos. Lankantis PLC pastebėjome, kad kai kuriuose centruose ne visada pakankama kitų narkotinių ir psichotropinių medžiagų vartojimo kontrolė, ne visi PLC pacientus tiria dėl ŽIV, hepatitų B, C. </w:t>
      </w:r>
    </w:p>
    <w:p w:rsidR="007A1594" w:rsidRDefault="007A1594" w:rsidP="007A1594">
      <w:pPr>
        <w:ind w:firstLine="720"/>
        <w:jc w:val="both"/>
        <w:rPr>
          <w:rFonts w:ascii="TimesLT" w:hAnsi="TimesLT"/>
        </w:rPr>
      </w:pPr>
      <w:r>
        <w:rPr>
          <w:rFonts w:ascii="TimesLT" w:hAnsi="TimesLT"/>
        </w:rPr>
        <w:t xml:space="preserve">Pacientams, kuriems pradedamas pakaitinis gydymas, turėtų būti sudaromas individualus gydymo planas, numatoma tikrinti dėl tuberkuliozės, hepatito B ir C, ŽIV, venerinių bei kitų ligų, gydyti medicinines komplikacijas ir gretutinius susirgimus, taikoma psichologinė ir socialinė reabilitacija. Pacientai turėtų būti reguliariai tikrinami dėl kitų narkotinių medžiagų vartojimo (dažniausiai atliekami šlapimo tyrimai). Gydymo planas turėtų būti tikslinamas kas 3 mėnesius, kontroliuojant gydytojų konsultacinei komisijai, kurios išvados apie gydymo efektyvumą įrašomos į medicininius dokumentus. Opioidinės priklausomybės pakaitinis gydymas finansuojamas pagal programas iš valstybės, savivaldybių ir PSDF biudžeto lėšų. Už pakaitinį gydymą gali sumokėti patys pacientai ar jų artimieji. Tokiu atveju apmokėjimo tvarką nustato sveikatos priežiūros įstaigos vadovas. </w:t>
      </w:r>
    </w:p>
    <w:p w:rsidR="007A1594" w:rsidRDefault="007A1594" w:rsidP="007A1594">
      <w:pPr>
        <w:ind w:firstLine="720"/>
        <w:jc w:val="both"/>
        <w:rPr>
          <w:rFonts w:ascii="TimesLT" w:hAnsi="TimesLT"/>
        </w:rPr>
      </w:pPr>
      <w:r>
        <w:rPr>
          <w:rFonts w:ascii="TimesLT" w:hAnsi="TimesLT"/>
        </w:rPr>
        <w:t xml:space="preserve">Indikacijos pakaitinio gydymo skyrimui: įsisenėję priklausomybės nuo opioidų atvejai (reguliarus švirkštimasis daugiau kaip 2 metus), nesėkmingi ankstesni bandymai gydytis gydymo įstaigose ir reabilitacijos bendruomenėse, opioidinės priklausomybės komplikacijos, gretutiniai susirgimai, kitos (individualios) indikacijos. </w:t>
      </w:r>
    </w:p>
    <w:p w:rsidR="007A1594" w:rsidRDefault="007A1594" w:rsidP="007A1594">
      <w:pPr>
        <w:jc w:val="both"/>
        <w:rPr>
          <w:rFonts w:ascii="TimesLT" w:hAnsi="TimesLT"/>
        </w:rPr>
      </w:pPr>
      <w:r>
        <w:rPr>
          <w:rFonts w:ascii="TimesLT" w:hAnsi="TimesLT"/>
        </w:rPr>
        <w:t xml:space="preserve"> </w:t>
      </w:r>
    </w:p>
    <w:p w:rsidR="007A1594" w:rsidRDefault="007A1594" w:rsidP="007A1594">
      <w:pPr>
        <w:jc w:val="both"/>
        <w:rPr>
          <w:rFonts w:ascii="TimesLT" w:hAnsi="TimesLT"/>
          <w:bCs/>
          <w:i/>
          <w:iCs/>
        </w:rPr>
      </w:pPr>
      <w:r>
        <w:rPr>
          <w:rFonts w:ascii="TimesLT" w:hAnsi="TimesLT"/>
          <w:b/>
          <w:i/>
          <w:iCs/>
          <w:sz w:val="28"/>
        </w:rPr>
        <w:t xml:space="preserve"> </w:t>
      </w:r>
      <w:r>
        <w:rPr>
          <w:rFonts w:ascii="TimesLT" w:hAnsi="TimesLT"/>
          <w:bCs/>
          <w:i/>
          <w:iCs/>
        </w:rPr>
        <w:t xml:space="preserve">Dėl priklausomybės ligomis sergančiųjų psichologinės ir socialinės reabilitacijos </w:t>
      </w: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lastRenderedPageBreak/>
        <w:t>Narkomanijos prevencijos komisija pažymi, kad būtina skubiai sukurti bendrą narkomanijos ankstyvos diagnostikos, gydymo, reabilitacijos ir reintegracijos į visuomenę sistemą, siekint padėti asmenims, priklausomiems nuo narkotikų, nes šiuo metu  yra tik atskiri narkomanijos diagnostikos, gydymo bei psichologinės ir socialinės reabilitacijos sistemos elementai: teikiamos ambulatorinės ir stacionarinės gydymo paslaugos, veikia psichologinės ir socialinės reabilitacijos bendruomenės.</w:t>
      </w:r>
    </w:p>
    <w:p w:rsidR="007A1594" w:rsidRDefault="007A1594" w:rsidP="007A1594">
      <w:pPr>
        <w:ind w:firstLine="720"/>
        <w:jc w:val="both"/>
        <w:rPr>
          <w:rFonts w:ascii="TimesLT" w:hAnsi="TimesLT"/>
        </w:rPr>
      </w:pPr>
      <w:r>
        <w:rPr>
          <w:rFonts w:ascii="TimesLT" w:hAnsi="TimesLT"/>
        </w:rPr>
        <w:t xml:space="preserve">2006 metais pradėtos teikti minėtos paslaugos vaikams ir paaugliams. </w:t>
      </w:r>
    </w:p>
    <w:p w:rsidR="007A1594" w:rsidRDefault="007A1594" w:rsidP="007A1594">
      <w:pPr>
        <w:jc w:val="both"/>
        <w:rPr>
          <w:rFonts w:ascii="TimesLT" w:hAnsi="TimesLT"/>
        </w:rPr>
      </w:pPr>
      <w:r>
        <w:rPr>
          <w:rFonts w:ascii="TimesLT" w:hAnsi="TimesLT"/>
        </w:rPr>
        <w:t>Tačiau, Valstybės kontrolė nustatė, kad dar nesukurta vientisa kompleksinės pagalbos sergantiems priklausomybės ligomis sistema, užtikrinanti tolygų paslaugų prieinamumą ir veiksmingumą šalyje.</w:t>
      </w:r>
    </w:p>
    <w:p w:rsidR="007A1594" w:rsidRDefault="007A1594" w:rsidP="007A1594">
      <w:pPr>
        <w:jc w:val="both"/>
        <w:rPr>
          <w:rFonts w:ascii="TimesLT" w:hAnsi="TimesLT"/>
        </w:rPr>
      </w:pPr>
      <w:r>
        <w:rPr>
          <w:rFonts w:ascii="TimesLT" w:hAnsi="TimesLT"/>
        </w:rPr>
        <w:t xml:space="preserve"> </w:t>
      </w:r>
      <w:r>
        <w:rPr>
          <w:rFonts w:ascii="TimesLT" w:hAnsi="TimesLT"/>
        </w:rPr>
        <w:tab/>
        <w:t xml:space="preserve">PSR bendruomenėse lėšos, tenkančios vieno asmens išlaikymui per mėnesį, buvo nevienodos. Yra rizika, kad iš Programos biudžeto finansuojamų PSR psichologinės ir socialinės reabilitacijos paslaugų apimtis ir kokybė įvairiose bendruomenėse skiriasi.  </w:t>
      </w:r>
    </w:p>
    <w:p w:rsidR="007A1594" w:rsidRDefault="007A1594" w:rsidP="007A1594">
      <w:pPr>
        <w:jc w:val="both"/>
        <w:rPr>
          <w:rFonts w:ascii="TimesLT" w:hAnsi="TimesLT"/>
        </w:rPr>
      </w:pPr>
      <w:r>
        <w:rPr>
          <w:rFonts w:ascii="TimesLT" w:hAnsi="TimesLT"/>
        </w:rPr>
        <w:tab/>
        <w:t xml:space="preserve">2006 m. psichologinės ir socialinės reabilitacijos projektus konkurso tvarka atrinko ir finansuoja Departamentas. </w:t>
      </w:r>
    </w:p>
    <w:p w:rsidR="007A1594" w:rsidRDefault="007A1594" w:rsidP="007A1594">
      <w:pPr>
        <w:ind w:firstLine="720"/>
        <w:jc w:val="both"/>
        <w:rPr>
          <w:rFonts w:ascii="TimesLT" w:hAnsi="TimesLT"/>
        </w:rPr>
      </w:pPr>
      <w:r>
        <w:rPr>
          <w:rFonts w:ascii="TimesLT" w:hAnsi="TimesLT"/>
        </w:rPr>
        <w:t xml:space="preserve">Auditorių nuomone, projekto „Asmenų (iki 18 metų), priklausančių nuo psichiką veikiančių medžiagų, psichologinė ir socialinė reabilitacija“ 2006-09-29 projekto veiklos ataskaitoje nėra duomenų, pagrindžiančių, kad vykdant projekto veiklą teikiamos psichologinės ir socialinės reabilitacijos paslaugos, t. y. visos veiklos, nurodytos projekto paraiškoje. </w:t>
      </w:r>
    </w:p>
    <w:p w:rsidR="007A1594" w:rsidRDefault="007A1594" w:rsidP="007A1594">
      <w:pPr>
        <w:ind w:firstLine="720"/>
        <w:jc w:val="both"/>
        <w:rPr>
          <w:rFonts w:ascii="TimesLT" w:hAnsi="TimesLT"/>
        </w:rPr>
      </w:pPr>
      <w:r>
        <w:rPr>
          <w:rFonts w:ascii="TimesLT" w:hAnsi="TimesLT"/>
        </w:rPr>
        <w:t>Auditorių nuomone, užtikrinti ir gerinti PSR paslaugų kokybę padėtų ne tik Departamento vykdoma PSR bendruomenių projektų finansavimo kontrolė, bet ir teikiamų paslaugų atitikties nustatytiems reikalavimams vertinimas.</w:t>
      </w:r>
    </w:p>
    <w:p w:rsidR="007A1594" w:rsidRDefault="007A1594" w:rsidP="007A1594">
      <w:pPr>
        <w:ind w:firstLine="720"/>
        <w:jc w:val="both"/>
        <w:rPr>
          <w:rFonts w:ascii="TimesLT" w:hAnsi="TimesLT"/>
        </w:rPr>
      </w:pPr>
      <w:r>
        <w:rPr>
          <w:rFonts w:ascii="TimesLT" w:hAnsi="TimesLT"/>
        </w:rPr>
        <w:t xml:space="preserve">Priklausomybės ligų ir jų gydymo struktūroje vyrauja priklausomybė nuo alkoholio, ir Programos priemonės </w:t>
      </w:r>
      <w:r>
        <w:rPr>
          <w:rFonts w:ascii="TimesLT" w:hAnsi="TimesLT"/>
          <w:i/>
          <w:iCs/>
        </w:rPr>
        <w:t>Gerinti priklausomybės ligų gydymo metodus, paslaugų kokybę ir prieinamumą- plėsti teikiamas</w:t>
      </w:r>
      <w:r>
        <w:rPr>
          <w:rFonts w:ascii="TimesLT" w:hAnsi="TimesLT"/>
        </w:rPr>
        <w:t xml:space="preserve"> paslaugas didžioji lėšų dalis naudojama priklausomybei nuo alkoholio gydyti. Todėl tiksliai įvardijus programos priemones, paslaugas, kurios teikiamos dėl priklausomybės nuo narkotinių ir psichotropinių medžiagų ar alkoholio, galima tiksliau planuoti lėšų poreikį. </w:t>
      </w:r>
    </w:p>
    <w:p w:rsidR="007A1594" w:rsidRDefault="007A1594" w:rsidP="007A1594">
      <w:pPr>
        <w:jc w:val="both"/>
        <w:rPr>
          <w:rFonts w:ascii="TimesLT" w:hAnsi="TimesLT"/>
          <w:bCs/>
        </w:rPr>
      </w:pPr>
      <w:r>
        <w:rPr>
          <w:rFonts w:ascii="TimesLT" w:hAnsi="TimesLT"/>
        </w:rPr>
        <w:tab/>
      </w:r>
      <w:r>
        <w:rPr>
          <w:rFonts w:ascii="TimesLT" w:hAnsi="TimesLT"/>
          <w:bCs/>
        </w:rPr>
        <w:t xml:space="preserve">Narkomanijos prevencijos komisija pritarė Lietuvos Respublikos Valstybės kontrolės pateiktoms 2006 m. gruodžio 21 d. valstybinio audito ataskaitos Nr. VA-10-9P-32 “Narkomanijos prevencijos ir pagalbos organizavimas”  išvadoms ir  rekomendacijoms. </w:t>
      </w:r>
    </w:p>
    <w:p w:rsidR="007A1594" w:rsidRDefault="007A1594" w:rsidP="007A1594">
      <w:pPr>
        <w:ind w:firstLine="720"/>
        <w:jc w:val="both"/>
        <w:rPr>
          <w:rFonts w:ascii="TimesLT" w:hAnsi="TimesLT"/>
          <w:bCs/>
        </w:rPr>
      </w:pPr>
      <w:r>
        <w:rPr>
          <w:rFonts w:ascii="TimesLT" w:hAnsi="TimesLT"/>
          <w:b/>
        </w:rPr>
        <w:t xml:space="preserve"> </w:t>
      </w:r>
      <w:r>
        <w:rPr>
          <w:rFonts w:ascii="TimesLT" w:hAnsi="TimesLT"/>
          <w:bCs/>
        </w:rPr>
        <w:t xml:space="preserve">Komisija pasiūlė Lietuvos Respublikos Vyriausybei: </w:t>
      </w:r>
    </w:p>
    <w:p w:rsidR="007A1594" w:rsidRDefault="007A1594" w:rsidP="007A1594">
      <w:pPr>
        <w:ind w:firstLine="720"/>
        <w:jc w:val="both"/>
        <w:rPr>
          <w:rFonts w:ascii="TimesLT" w:hAnsi="TimesLT"/>
          <w:color w:val="000000"/>
        </w:rPr>
      </w:pPr>
      <w:r>
        <w:rPr>
          <w:rFonts w:ascii="TimesLT" w:hAnsi="TimesLT"/>
        </w:rPr>
        <w:t xml:space="preserve">- iki 2008 m. kovo 1 d. parengti ir </w:t>
      </w:r>
      <w:r>
        <w:rPr>
          <w:rFonts w:ascii="TimesLT" w:hAnsi="TimesLT"/>
          <w:color w:val="000000"/>
        </w:rPr>
        <w:t xml:space="preserve"> patvirtinti laisvės atėmimo vietose esančių asmenų neblaivumo (girtumo) ar apsvaigimo nustatymo taisykles; </w:t>
      </w:r>
    </w:p>
    <w:p w:rsidR="007A1594" w:rsidRDefault="007A1594" w:rsidP="007A1594">
      <w:pPr>
        <w:jc w:val="both"/>
        <w:rPr>
          <w:rFonts w:ascii="TimesLT" w:hAnsi="TimesLT"/>
        </w:rPr>
      </w:pPr>
      <w:r>
        <w:rPr>
          <w:rFonts w:ascii="TimesLT" w:hAnsi="TimesLT"/>
        </w:rPr>
        <w:tab/>
        <w:t>-skirti Kalėjimų departamentui prie Teisingumo ministerijos Nacionalinės narkotikų kontrolės ir narkomanijos prevencijos 2004 - 2008 metų programos priemonių įgyvendinimui pakankamą finansavimą.  Programos 2005 - 2007  m. priemonių, už kurių vykdymą atsakingas Kalėjimų departamentas, numatytas finansavimas buvo nepakankamas, todėl yra nepakankamas  ir vykdytų priemonių, siekiant sumažinti narkomanijos lygį kalinimo įstaigose, veiksmingumas;</w:t>
      </w:r>
    </w:p>
    <w:p w:rsidR="007A1594" w:rsidRDefault="007A1594" w:rsidP="007A1594">
      <w:pPr>
        <w:ind w:firstLine="720"/>
        <w:jc w:val="both"/>
        <w:rPr>
          <w:rFonts w:ascii="TimesLT" w:hAnsi="TimesLT"/>
        </w:rPr>
      </w:pPr>
      <w:r>
        <w:rPr>
          <w:rFonts w:ascii="TimesLT" w:hAnsi="TimesLT"/>
        </w:rPr>
        <w:t xml:space="preserve"> -sukurti Lietuvoje visoms institucijoms vieningą sistemą kaupti, identifikuoti ir sisteminti visus duomenis pagal statistinės apskaitos formas apie asmenų, priklausomų nuo narkotinių ir psichotropinių medžiagų, skaičių, įtraukiant į šią statistiką visose gydymo įstaigose ir anonimiškai gydomus asmenis; </w:t>
      </w:r>
    </w:p>
    <w:p w:rsidR="007A1594" w:rsidRDefault="007A1594" w:rsidP="007A1594">
      <w:pPr>
        <w:ind w:firstLine="720"/>
        <w:jc w:val="both"/>
        <w:rPr>
          <w:rFonts w:ascii="TimesLT" w:hAnsi="TimesLT"/>
        </w:rPr>
      </w:pPr>
      <w:r>
        <w:rPr>
          <w:rFonts w:ascii="TimesLT" w:hAnsi="TimesLT"/>
        </w:rPr>
        <w:t xml:space="preserve">-reorganizuoti priklausomybės ligų centrus į viešąsias įstaigas, pagerinant  asmenims, priklausomiems nuo narkotinių ir psichotropinių medžiagų paslaugų prieinamumą ir veiksmingumą, numatant valstybės laiduojamą (nemokamą) asmens sveikatos priežiūrą asmenims, sergantiems priklausomybės nuo alkoholio sindromu, narkomanijomis, toksikomanijomis, asmens sveikatos priežiūros paslaugas, apmokant iš privalomojo sveikatos draudimo fondo, valstybės ar savivaldybių biudžetų; </w:t>
      </w:r>
    </w:p>
    <w:p w:rsidR="007A1594" w:rsidRDefault="007A1594" w:rsidP="007A1594">
      <w:pPr>
        <w:ind w:firstLine="720"/>
        <w:jc w:val="both"/>
        <w:rPr>
          <w:rFonts w:ascii="TimesLT" w:hAnsi="TimesLT"/>
        </w:rPr>
      </w:pPr>
      <w:r>
        <w:rPr>
          <w:rFonts w:ascii="TimesLT" w:hAnsi="TimesLT"/>
        </w:rPr>
        <w:t xml:space="preserve">-skubiai patvirtinti </w:t>
      </w:r>
      <w:r>
        <w:rPr>
          <w:rFonts w:ascii="TimesLT" w:hAnsi="TimesLT"/>
          <w:bCs/>
        </w:rPr>
        <w:t xml:space="preserve"> </w:t>
      </w:r>
      <w:r>
        <w:rPr>
          <w:rFonts w:ascii="TimesLT" w:hAnsi="TimesLT"/>
        </w:rPr>
        <w:t>pakaitinio gydymo metadonu ir subuteksu (buprenorfinu) tvarką, numatant kokio amžiaus asmenys gali dalyvauti programoje, kokiomis sąlygomis ir kuriam laikotarpiui ir kt., bei atlikti šalies mastu gydymo metadonu ir subuteksu (buprenorfinu) stebėseną;</w:t>
      </w:r>
    </w:p>
    <w:p w:rsidR="007A1594" w:rsidRDefault="007A1594" w:rsidP="007A1594">
      <w:pPr>
        <w:jc w:val="both"/>
        <w:rPr>
          <w:rFonts w:ascii="TimesLT" w:hAnsi="TimesLT"/>
        </w:rPr>
      </w:pPr>
      <w:r>
        <w:rPr>
          <w:rFonts w:ascii="TimesLT" w:hAnsi="TimesLT"/>
        </w:rPr>
        <w:t xml:space="preserve"> </w:t>
      </w:r>
      <w:r>
        <w:rPr>
          <w:rFonts w:ascii="TimesLT" w:hAnsi="TimesLT"/>
        </w:rPr>
        <w:tab/>
        <w:t xml:space="preserve">-teisės aktais apibrėžti  anoniminio gydymo sąvoką, nes nenaudojant asmens duomenų anonimiškai gydomi žalingai vartojantys psichiką veikiančias medžiagas asmenys negali būti įrašyti į narkologinę įskaitą ir išvengia teisės aktais nustatytų apribojimų. Parengti anoniminio gydymo tvarką, kad neprieštarautų kitiems teisės aktams ir sudarytų galimybę mokiems pacientams naudotis šia paslauga; </w:t>
      </w:r>
    </w:p>
    <w:p w:rsidR="007A1594" w:rsidRDefault="007A1594" w:rsidP="007A1594">
      <w:pPr>
        <w:ind w:firstLine="720"/>
        <w:jc w:val="both"/>
        <w:rPr>
          <w:rFonts w:ascii="TimesLT" w:hAnsi="TimesLT"/>
        </w:rPr>
      </w:pPr>
      <w:r>
        <w:rPr>
          <w:rFonts w:ascii="TimesLT" w:hAnsi="TimesLT"/>
        </w:rPr>
        <w:t>-spręsti Sveikatos apsaugos ministerijos vyriausiojo specialisto konsultanto, priklausomybės ligų psichiatro  skyrimo klausimą.</w:t>
      </w:r>
    </w:p>
    <w:p w:rsidR="007A1594" w:rsidRDefault="007A1594" w:rsidP="007A1594">
      <w:pPr>
        <w:ind w:firstLine="720"/>
        <w:jc w:val="both"/>
        <w:rPr>
          <w:rFonts w:ascii="TimesLT" w:hAnsi="TimesLT"/>
        </w:rPr>
      </w:pPr>
      <w:r>
        <w:rPr>
          <w:rFonts w:ascii="TimesLT" w:hAnsi="TimesLT"/>
        </w:rPr>
        <w:lastRenderedPageBreak/>
        <w:t xml:space="preserve">Komisija rekomendavo, atliekant psichoaktyvių medžiagų vartojimo paplitimo bendrojoje populiacijoje tyrimus, būtina atsižvelgti ir į opioidų dervitų (aguonų ekstraktas, nuoviras) paplitimą, nes šios grupės narkotinės medžiagos buvo labiausiai paplitusios tarp asmenų, sergančių priklausomybe nuo narkotinių ir psichotropinių medžiagų. </w:t>
      </w:r>
    </w:p>
    <w:p w:rsidR="007A1594" w:rsidRDefault="007A1594" w:rsidP="007A1594">
      <w:pPr>
        <w:ind w:firstLine="720"/>
        <w:jc w:val="both"/>
        <w:rPr>
          <w:rFonts w:ascii="TimesLT" w:hAnsi="TimesLT"/>
        </w:rPr>
      </w:pPr>
      <w:r>
        <w:rPr>
          <w:rFonts w:ascii="TimesLT" w:hAnsi="TimesLT"/>
        </w:rPr>
        <w:t>Komisija pasiūlė Lietuvos Respublikos Vyriausybei sudaryti darbo grupę teisės aktams iki 2008 m. rugsėjo 1 d. parengti:</w:t>
      </w:r>
    </w:p>
    <w:p w:rsidR="007A1594" w:rsidRDefault="007A1594" w:rsidP="007A1594">
      <w:pPr>
        <w:ind w:firstLine="720"/>
        <w:jc w:val="both"/>
        <w:rPr>
          <w:rFonts w:ascii="TimesLT" w:hAnsi="TimesLT"/>
        </w:rPr>
      </w:pPr>
      <w:r>
        <w:rPr>
          <w:rFonts w:ascii="TimesLT" w:hAnsi="TimesLT"/>
        </w:rPr>
        <w:t xml:space="preserve"> Sukurti bendrą narkomanijos ankstyvos diagnostikos, gydymo, reabilitacijos ir reintegracijos į visuomenę sistemą, siekiant padėti asmenims, priklausomiems nuo narkotikų. </w:t>
      </w:r>
    </w:p>
    <w:p w:rsidR="007A1594" w:rsidRDefault="007A1594" w:rsidP="007A1594">
      <w:pPr>
        <w:ind w:firstLine="720"/>
        <w:jc w:val="both"/>
        <w:rPr>
          <w:rFonts w:ascii="TimesLT" w:hAnsi="TimesLT"/>
        </w:rPr>
      </w:pPr>
      <w:r>
        <w:rPr>
          <w:rFonts w:ascii="TimesLT" w:hAnsi="TimesLT"/>
        </w:rPr>
        <w:t>Sujungti Alkoholio, Tabako kontrolės ir Nacionalinės narkotikų kontrolės ir narkomanijos prevencijos 2004 – 2008 metų programų įgyvendinimo koordinavimą ir kontroliuoti, kad šių programų prevencijos priemonės būtų vykdomos moksliškai pagrįstais metodais.</w:t>
      </w:r>
    </w:p>
    <w:p w:rsidR="007A1594" w:rsidRDefault="007A1594" w:rsidP="007A1594">
      <w:pPr>
        <w:ind w:firstLine="720"/>
        <w:jc w:val="both"/>
        <w:rPr>
          <w:rFonts w:ascii="TimesLT" w:hAnsi="TimesLT"/>
        </w:rPr>
      </w:pPr>
      <w:r>
        <w:rPr>
          <w:rFonts w:ascii="TimesLT" w:hAnsi="TimesLT"/>
        </w:rPr>
        <w:t>Numatyti tarpinstitucinės Nacionalinės narkotikų kontrolės ir narkomanijos prevencijos 2004 – 2008 metų programos vertinimo kriterijus, kad  ir Programos priemonių įgyvendinimas būtų  vertinamas pagal numatytus vertinimo kriterijus.</w:t>
      </w:r>
    </w:p>
    <w:p w:rsidR="007A1594" w:rsidRDefault="007A1594" w:rsidP="007A1594">
      <w:pPr>
        <w:ind w:firstLine="720"/>
        <w:jc w:val="both"/>
        <w:rPr>
          <w:rFonts w:ascii="TimesLT" w:hAnsi="TimesLT"/>
        </w:rPr>
      </w:pPr>
      <w:r>
        <w:rPr>
          <w:rFonts w:ascii="TimesLT" w:hAnsi="TimesLT"/>
        </w:rPr>
        <w:t>Parengti skirtingų modelių psichologinės ir socialinės reabilitacijos bendruomenėms licencijavimo tvarką.</w:t>
      </w:r>
    </w:p>
    <w:p w:rsidR="007A1594" w:rsidRDefault="007A1594" w:rsidP="007A1594">
      <w:pPr>
        <w:ind w:firstLine="720"/>
        <w:jc w:val="both"/>
        <w:rPr>
          <w:rFonts w:ascii="TimesLT" w:hAnsi="TimesLT"/>
        </w:rPr>
      </w:pPr>
      <w:r>
        <w:rPr>
          <w:rFonts w:ascii="TimesLT" w:hAnsi="TimesLT"/>
        </w:rPr>
        <w:t>Parengti efektyvią kompleksinę pagalbos sergantiesiems priklausomybės ligomis koordinavimo sistemą.</w:t>
      </w:r>
    </w:p>
    <w:p w:rsidR="007A1594" w:rsidRDefault="007A1594" w:rsidP="007A1594">
      <w:pPr>
        <w:ind w:firstLine="720"/>
        <w:jc w:val="both"/>
        <w:rPr>
          <w:rFonts w:ascii="TimesLT" w:hAnsi="TimesLT"/>
        </w:rPr>
      </w:pPr>
      <w:r>
        <w:rPr>
          <w:rFonts w:ascii="TimesLT" w:hAnsi="TimesLT"/>
        </w:rPr>
        <w:t xml:space="preserve">Komisija pasiūlė Lietuvos respublikos Vyriausybei reorganizuoti Narkotikų kontrolės departamentą prie Lietuvos Respublikos Vyriausybės, numatant atlikti koordinavimo,  kontrolės ir kitas su kitomis valstybės institucijomis nesidubliuojančias funkcijas. Komisijos nuomone, netikslinga būtų pačiam Departamentui pavesti tiesiogiai vykdyti Programos įgyvendinimo priemones bei jas finansuoti, nes tokių priemonių įgyvendinimo kontrolės klausimas būtų netinkamai realizuotas. </w:t>
      </w:r>
    </w:p>
    <w:p w:rsidR="007A1594" w:rsidRDefault="007A1594" w:rsidP="007A1594">
      <w:pPr>
        <w:ind w:firstLine="720"/>
        <w:jc w:val="both"/>
        <w:rPr>
          <w:rFonts w:ascii="TimesLT" w:hAnsi="TimesLT"/>
        </w:rPr>
      </w:pPr>
      <w:r>
        <w:rPr>
          <w:rFonts w:ascii="TimesLT" w:hAnsi="TimesLT"/>
        </w:rPr>
        <w:t>Komisija atkreipė Lietuvos Respublikos Vyriausybės dėmesį į tai, kad:</w:t>
      </w:r>
    </w:p>
    <w:p w:rsidR="007A1594" w:rsidRDefault="007A1594" w:rsidP="007A1594">
      <w:pPr>
        <w:ind w:firstLine="720"/>
        <w:jc w:val="both"/>
        <w:rPr>
          <w:rFonts w:ascii="TimesLT" w:hAnsi="TimesLT"/>
        </w:rPr>
      </w:pPr>
      <w:r>
        <w:rPr>
          <w:rFonts w:ascii="TimesLT" w:hAnsi="TimesLT"/>
        </w:rPr>
        <w:t>Narkotikų kontrolės departamento prie Lietuvos Respublikos Vyriausybės naudojami duomenys apie asmenis, sergančius priklausomybe nuo narkotinių ir psichotropinių medžiagų, ir naujus susirgimo atvejus yra nepakankamai išsamūs.</w:t>
      </w:r>
    </w:p>
    <w:p w:rsidR="007A1594" w:rsidRDefault="007A1594" w:rsidP="007A1594">
      <w:pPr>
        <w:jc w:val="both"/>
        <w:rPr>
          <w:rFonts w:ascii="TimesLT" w:hAnsi="TimesLT"/>
        </w:rPr>
      </w:pPr>
      <w:r>
        <w:rPr>
          <w:rFonts w:ascii="TimesLT" w:hAnsi="TimesLT"/>
        </w:rPr>
        <w:t xml:space="preserve"> </w:t>
      </w:r>
      <w:r>
        <w:rPr>
          <w:rFonts w:ascii="TimesLT" w:hAnsi="TimesLT"/>
        </w:rPr>
        <w:tab/>
        <w:t xml:space="preserve"> Narkotikų kontrolės departamentas prie Lietuvos Respublikos Vyriausybės 2005 m. neįgyvendino Programos priemonės </w:t>
      </w:r>
      <w:r>
        <w:rPr>
          <w:rFonts w:ascii="TimesLT" w:hAnsi="TimesLT"/>
          <w:i/>
          <w:iCs/>
        </w:rPr>
        <w:t xml:space="preserve">Vykdyti gydymo metadonu stebėseną ir įvertinti jo veiksmingumą </w:t>
      </w:r>
      <w:r>
        <w:rPr>
          <w:rFonts w:ascii="TimesLT" w:hAnsi="TimesLT"/>
        </w:rPr>
        <w:t>ir gydymo metadonu stebėsena šalies mastu neatlikta ir negalima vertinti šio gydymo rezultatyvumo.</w:t>
      </w:r>
    </w:p>
    <w:p w:rsidR="007A1594" w:rsidRDefault="007A1594" w:rsidP="007A1594">
      <w:pPr>
        <w:jc w:val="both"/>
        <w:rPr>
          <w:rFonts w:ascii="TimesLT" w:hAnsi="TimesLT"/>
        </w:rPr>
      </w:pPr>
      <w:r>
        <w:rPr>
          <w:rFonts w:ascii="TimesLT" w:hAnsi="TimesLT"/>
          <w:bCs/>
        </w:rPr>
        <w:tab/>
      </w:r>
      <w:r>
        <w:rPr>
          <w:rFonts w:ascii="TimesLT" w:hAnsi="TimesLT"/>
        </w:rPr>
        <w:t>Komisijos išvados ir rekomendacijos pateiktos Seimo Audito komitetui  ir pasiūlyta Valstybės kontrolės valstybinio audito ataskaitą “Narkomanijos prevencijos ir pagalbos organizavimas”, išvadas ir rekomendacijas  svarstyti  Seimo posėdyje.</w:t>
      </w:r>
    </w:p>
    <w:p w:rsidR="007A1594" w:rsidRDefault="007A1594" w:rsidP="007A1594">
      <w:pPr>
        <w:jc w:val="both"/>
        <w:rPr>
          <w:rFonts w:ascii="TimesLT" w:hAnsi="TimesLT"/>
        </w:rPr>
      </w:pPr>
    </w:p>
    <w:p w:rsidR="007A1594" w:rsidRDefault="007A1594" w:rsidP="007A1594">
      <w:pPr>
        <w:jc w:val="both"/>
        <w:rPr>
          <w:rFonts w:ascii="TimesLT" w:hAnsi="TimesLT"/>
          <w:b/>
          <w:bCs/>
          <w:i/>
          <w:iCs/>
          <w:sz w:val="28"/>
        </w:rPr>
      </w:pPr>
      <w:r>
        <w:rPr>
          <w:rFonts w:ascii="TimesLT" w:hAnsi="TimesLT"/>
          <w:b/>
          <w:bCs/>
          <w:i/>
          <w:iCs/>
          <w:sz w:val="28"/>
        </w:rPr>
        <w:t xml:space="preserve">Dėl Nacionalinės narkotikų kontrolės ir narkomanijos prevencijos 2004–2008 metų programos įgyvendinimo eigos </w:t>
      </w:r>
    </w:p>
    <w:p w:rsidR="007A1594" w:rsidRDefault="007A1594" w:rsidP="007A1594">
      <w:pPr>
        <w:jc w:val="both"/>
        <w:rPr>
          <w:rFonts w:ascii="TimesLT" w:hAnsi="TimesLT"/>
          <w:b/>
          <w:bCs/>
          <w:i/>
          <w:iCs/>
          <w:sz w:val="28"/>
        </w:rPr>
      </w:pPr>
      <w:r>
        <w:rPr>
          <w:rFonts w:ascii="TimesLT" w:hAnsi="TimesLT"/>
          <w:b/>
          <w:bCs/>
          <w:i/>
          <w:iCs/>
          <w:sz w:val="28"/>
        </w:rPr>
        <w:t xml:space="preserve"> </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2007 m. gegužės 2 d. ir birželio 27 d. vyko Seimo Nacionalinio saugumo ir gynybos komiteto ir Narkomanijos prevencijos komisijos bendri posėdžiai, kuriuose apsvarstyta Nacionalinės narkotikų kontrolės ir narkomanijos prevencijos 2004–2008 metų programos įgyvendinimo eiga. </w:t>
      </w:r>
    </w:p>
    <w:p w:rsidR="007A1594" w:rsidRDefault="007A1594" w:rsidP="007A1594">
      <w:pPr>
        <w:ind w:firstLine="720"/>
        <w:jc w:val="both"/>
        <w:rPr>
          <w:rFonts w:ascii="TimesLT" w:hAnsi="TimesLT"/>
        </w:rPr>
      </w:pPr>
      <w:r>
        <w:rPr>
          <w:rFonts w:ascii="TimesLT" w:hAnsi="TimesLT"/>
        </w:rPr>
        <w:t xml:space="preserve">Išnagrinėjus Nacionalinės narkotikų kontrolės ir narkomanijos prevencijos 2004–2008 metų programos įgyvendinimo rezultatus ir išklausius Narkotikų kontrolės departamento prie Lietuvos Respublikos Vyriausybės direktorės Audronės Astrauskienės bei kitų posėdžio dalyvių pasisakymus, </w:t>
      </w:r>
      <w:r>
        <w:rPr>
          <w:rFonts w:ascii="TimesLT" w:hAnsi="TimesLT"/>
          <w:bCs/>
        </w:rPr>
        <w:t>konstatuota, į</w:t>
      </w:r>
      <w:r>
        <w:rPr>
          <w:rFonts w:ascii="TimesLT" w:hAnsi="TimesLT"/>
        </w:rPr>
        <w:t>gyvendinant Nacionalinę narkotikų kontrolės ir narkomanijos prevencijos 2004 – 2008 metų programą bei kovojant su neteisėta narkotikų apyvarta Lietuvos teisėsaugos pareigūnai keičiasi turima informacija, rengia bendras operacijas, tobulina savo veikos metodus. Tačiau narkotinių ir psichotropinių medžiagų pasiūla ir paklausa toliau auga, daugėja asmenų, vartojančių narkotikus, didėja nuskalstamų veikų, susijusių su neteisėta narkotikų apyvarta skaičius, daugiau nusikaltimų padaro asmenys, apsvaigę nuo narkotinių ar psichotropinių medžiagų.</w:t>
      </w:r>
      <w:r>
        <w:rPr>
          <w:rFonts w:ascii="TimesLT" w:hAnsi="TimesLT"/>
          <w:bCs/>
          <w:i/>
          <w:iCs/>
        </w:rPr>
        <w:t xml:space="preserve"> </w:t>
      </w:r>
      <w:r>
        <w:rPr>
          <w:rFonts w:ascii="TimesLT" w:hAnsi="TimesLT"/>
        </w:rPr>
        <w:t xml:space="preserve">Jungtinių Tautų Tarptautinės narkotikų kontrolės tarybos 2006 m. veiklos ataskaitoje Lietuva įvardijama amfetamino ir metamfetamino kilmės šalimi. </w:t>
      </w:r>
    </w:p>
    <w:p w:rsidR="007A1594" w:rsidRDefault="007A1594" w:rsidP="007A1594">
      <w:pPr>
        <w:ind w:firstLine="720"/>
        <w:jc w:val="both"/>
        <w:rPr>
          <w:rFonts w:ascii="TimesLT" w:hAnsi="TimesLT"/>
          <w:bCs/>
        </w:rPr>
      </w:pPr>
      <w:r>
        <w:rPr>
          <w:rFonts w:ascii="TimesLT" w:hAnsi="TimesLT"/>
        </w:rPr>
        <w:t xml:space="preserve">Nacionalinio saugumo ir gynybos komitetas ir Narkomanijos prevencijos komisija pabrėžė, kad Nacionalinės narkotikų kontrolės ir narkomanijos prevencijos 2004 – 2008 metų programos, kaip </w:t>
      </w:r>
      <w:r>
        <w:rPr>
          <w:rFonts w:ascii="TimesLT" w:hAnsi="TimesLT"/>
          <w:szCs w:val="16"/>
        </w:rPr>
        <w:t>i</w:t>
      </w:r>
      <w:r>
        <w:rPr>
          <w:rFonts w:ascii="TimesLT" w:hAnsi="TimesLT"/>
        </w:rPr>
        <w:t xml:space="preserve">lgalaikės valstybinės nacionalinio saugumo stiprinimo programos, vykdymui skiriamas nepakankamas dėmesys. Už Programos įgyvendinimo priemonių vykdymo koordinavimą atsakingas </w:t>
      </w:r>
      <w:r>
        <w:rPr>
          <w:rFonts w:ascii="TimesLT" w:hAnsi="TimesLT"/>
        </w:rPr>
        <w:lastRenderedPageBreak/>
        <w:t xml:space="preserve">Narkotikų kontrolės departamentas prie Lietuvos Respublikos Vyriausybės (toliau – NKD) daugiau dėmesio skiria ne narkomanijos prevencijai, o jos pasekmių šalinimui. Abejotini NKD veiklos </w:t>
      </w:r>
      <w:r>
        <w:rPr>
          <w:rFonts w:ascii="TimesLT" w:hAnsi="TimesLT"/>
          <w:szCs w:val="17"/>
        </w:rPr>
        <w:t xml:space="preserve">prioritetai: </w:t>
      </w:r>
      <w:r>
        <w:rPr>
          <w:rFonts w:ascii="TimesLT" w:hAnsi="TimesLT"/>
        </w:rPr>
        <w:t xml:space="preserve">pasigendama siūlymų </w:t>
      </w:r>
      <w:r>
        <w:rPr>
          <w:rFonts w:ascii="TimesLT" w:hAnsi="TimesLT"/>
          <w:szCs w:val="17"/>
        </w:rPr>
        <w:t>teisinės bazės</w:t>
      </w:r>
      <w:r>
        <w:rPr>
          <w:rFonts w:ascii="TimesLT" w:hAnsi="TimesLT"/>
        </w:rPr>
        <w:t xml:space="preserve"> </w:t>
      </w:r>
      <w:r>
        <w:rPr>
          <w:rFonts w:ascii="TimesLT" w:hAnsi="TimesLT"/>
          <w:szCs w:val="17"/>
        </w:rPr>
        <w:t>tobulinimui</w:t>
      </w:r>
      <w:r>
        <w:rPr>
          <w:rFonts w:ascii="TimesLT" w:hAnsi="TimesLT"/>
        </w:rPr>
        <w:t xml:space="preserve"> siekiant veiksmingai kovoti su narkotikų pasiūla ir narkomanijos plitimo priežastimis, nesidomima informacija apie Lietuvos teismų praktiką baudžiamosiose bylose dėl </w:t>
      </w:r>
      <w:r>
        <w:rPr>
          <w:rFonts w:ascii="TimesLT" w:hAnsi="TimesLT"/>
          <w:szCs w:val="22"/>
        </w:rPr>
        <w:t>nelegalaus disponavimo narkotinėmis ar psichotropinėmis medžiagomis.</w:t>
      </w:r>
      <w:r>
        <w:rPr>
          <w:rFonts w:ascii="TimesLT" w:hAnsi="TimesLT"/>
        </w:rPr>
        <w:t xml:space="preserve"> Departamento vadovybė nesugeba užtikrinti efektyvaus valstybės ir savivaldybių institucijų bei įstaigų veiklos koordinavimo bei veiksmingo finansinių ir žmogiškųjų išteklių panaudojimo narkomanijos prevencijos ir narkotikų kontrolės srityse.</w:t>
      </w:r>
      <w:r>
        <w:rPr>
          <w:rFonts w:ascii="TimesLT" w:eastAsia="Arial Unicode MS" w:hAnsi="TimesLT"/>
        </w:rPr>
        <w:t xml:space="preserve"> Patvirtintas NKD</w:t>
      </w:r>
      <w:r>
        <w:rPr>
          <w:rFonts w:ascii="TimesLT" w:hAnsi="TimesLT"/>
        </w:rPr>
        <w:t xml:space="preserve"> 2007 – 2009 - ųjų metų strateginis veiklos planas neatspindi pagrindinio institucijos tikslo - sustabdyti ir sumažinti narkomanijos plitimą bei padidinti narkotikų kontrolės veiksmingumą.</w:t>
      </w:r>
    </w:p>
    <w:p w:rsidR="007A1594" w:rsidRDefault="007A1594" w:rsidP="007A1594">
      <w:pPr>
        <w:ind w:firstLine="720"/>
        <w:jc w:val="both"/>
        <w:rPr>
          <w:rFonts w:ascii="TimesLT" w:hAnsi="TimesLT"/>
        </w:rPr>
      </w:pPr>
      <w:r>
        <w:rPr>
          <w:rFonts w:ascii="TimesLT" w:hAnsi="TimesLT"/>
        </w:rPr>
        <w:t xml:space="preserve">Nacionalinio saugumo ir gynybos komitetas ir Narkomanijos prevencijos komisija atkreipė dėmesį, kad </w:t>
      </w:r>
      <w:r>
        <w:rPr>
          <w:rFonts w:ascii="TimesLT" w:hAnsi="TimesLT"/>
          <w:szCs w:val="17"/>
        </w:rPr>
        <w:t xml:space="preserve">Lietuvos Respublikos valstybės kontrolės 2006 m. gruodžio 21 d. atlikto </w:t>
      </w:r>
      <w:r>
        <w:rPr>
          <w:rFonts w:ascii="TimesLT" w:hAnsi="TimesLT"/>
        </w:rPr>
        <w:t>valstybinio audito “Narkomanijos prevencijos ir pagalbos organizavimas” metu nustatyta, kad Narkotikų kontrolės departamento naudojami duomenys apie asmenis, sergančius priklausomybe nuo narkotinių ir psichotropinių medžiagų, yra nepakankamai išsamūs ir neatspindi bendro šių asmenų skaičiaus šalyje, todėl yra rizika, kad departamentas, neturėdamas išsamios informacijos, negalės pagrįstai vertinti, kaip vykdomi numatyti programos uždaviniai.</w:t>
      </w:r>
    </w:p>
    <w:p w:rsidR="007A1594" w:rsidRDefault="007A1594" w:rsidP="007A1594">
      <w:pPr>
        <w:ind w:firstLine="720"/>
        <w:jc w:val="both"/>
        <w:rPr>
          <w:rFonts w:ascii="TimesLT" w:hAnsi="TimesLT"/>
          <w:bCs/>
        </w:rPr>
      </w:pPr>
      <w:r>
        <w:rPr>
          <w:rFonts w:ascii="TimesLT" w:hAnsi="TimesLT"/>
          <w:bCs/>
        </w:rPr>
        <w:t>Seimo Nacionalinio saugumo ir gynybos komitetas ir Narkomanijos prevencijos komisijos pasiūlė Lietuvos Respublikos Vyriausybei:</w:t>
      </w:r>
    </w:p>
    <w:p w:rsidR="007A1594" w:rsidRDefault="007A1594" w:rsidP="007A1594">
      <w:pPr>
        <w:ind w:firstLine="720"/>
        <w:jc w:val="both"/>
        <w:rPr>
          <w:rFonts w:ascii="TimesLT" w:hAnsi="TimesLT"/>
          <w:bCs/>
          <w:szCs w:val="15"/>
        </w:rPr>
      </w:pPr>
      <w:r>
        <w:rPr>
          <w:rFonts w:ascii="TimesLT" w:hAnsi="TimesLT"/>
          <w:bCs/>
          <w:szCs w:val="15"/>
        </w:rPr>
        <w:t xml:space="preserve">Išnagrinėti </w:t>
      </w:r>
      <w:r>
        <w:rPr>
          <w:rFonts w:ascii="TimesLT" w:hAnsi="TimesLT"/>
          <w:bCs/>
        </w:rPr>
        <w:t>Narkotikų kontrolės departamento prie Lietuvos Respublikos Vyriausybės</w:t>
      </w:r>
      <w:r>
        <w:rPr>
          <w:rFonts w:ascii="TimesLT" w:hAnsi="TimesLT"/>
          <w:bCs/>
          <w:szCs w:val="15"/>
        </w:rPr>
        <w:t xml:space="preserve"> veiklos efektyvumą ir imtis priemonių jam padidinti, užtikrinant, kad </w:t>
      </w:r>
      <w:r>
        <w:rPr>
          <w:rFonts w:ascii="TimesLT" w:hAnsi="TimesLT"/>
          <w:bCs/>
        </w:rPr>
        <w:t xml:space="preserve">narkomanijos prevencijos ir narkotikų kontrolės </w:t>
      </w:r>
      <w:r>
        <w:rPr>
          <w:rFonts w:ascii="TimesLT" w:hAnsi="TimesLT"/>
          <w:bCs/>
          <w:szCs w:val="15"/>
        </w:rPr>
        <w:t>srityje Departamentas atliktų strateginio vadovavimo,</w:t>
      </w:r>
      <w:r>
        <w:rPr>
          <w:rFonts w:ascii="TimesLT" w:hAnsi="TimesLT"/>
          <w:bCs/>
        </w:rPr>
        <w:t xml:space="preserve"> efektyvaus</w:t>
      </w:r>
      <w:r>
        <w:rPr>
          <w:rFonts w:ascii="TimesLT" w:hAnsi="TimesLT"/>
          <w:bCs/>
          <w:szCs w:val="15"/>
        </w:rPr>
        <w:t xml:space="preserve"> valstybės ir savivaldybių institucijų </w:t>
      </w:r>
      <w:r>
        <w:rPr>
          <w:rFonts w:ascii="TimesLT" w:hAnsi="TimesLT"/>
          <w:bCs/>
        </w:rPr>
        <w:t xml:space="preserve">ir įstaigų </w:t>
      </w:r>
      <w:r>
        <w:rPr>
          <w:rFonts w:ascii="TimesLT" w:hAnsi="TimesLT"/>
          <w:bCs/>
          <w:szCs w:val="15"/>
        </w:rPr>
        <w:t>veiklos koordinavimo bei</w:t>
      </w:r>
      <w:r>
        <w:rPr>
          <w:rFonts w:ascii="TimesLT" w:hAnsi="TimesLT"/>
          <w:bCs/>
        </w:rPr>
        <w:t xml:space="preserve"> </w:t>
      </w:r>
      <w:r>
        <w:rPr>
          <w:rFonts w:ascii="TimesLT" w:hAnsi="TimesLT"/>
          <w:bCs/>
          <w:szCs w:val="15"/>
        </w:rPr>
        <w:t xml:space="preserve">priežiūros funkcijas. </w:t>
      </w:r>
    </w:p>
    <w:p w:rsidR="007A1594" w:rsidRDefault="007A1594" w:rsidP="007A1594">
      <w:pPr>
        <w:ind w:firstLine="720"/>
        <w:jc w:val="both"/>
        <w:rPr>
          <w:rFonts w:ascii="TimesLT" w:hAnsi="TimesLT"/>
        </w:rPr>
      </w:pPr>
      <w:r>
        <w:rPr>
          <w:rFonts w:ascii="TimesLT" w:hAnsi="TimesLT"/>
          <w:bCs/>
        </w:rPr>
        <w:t xml:space="preserve">Seimo Nacionalinio saugumo ir gynybos komitetas ir Narkomanijos prevencijos komisijos pasiūlė </w:t>
      </w:r>
      <w:r>
        <w:rPr>
          <w:rFonts w:ascii="TimesLT" w:hAnsi="TimesLT"/>
        </w:rPr>
        <w:t>Narkotikų kontrolės departamentui prie Lietuvos Respublikos Vyriausybės:</w:t>
      </w:r>
    </w:p>
    <w:p w:rsidR="007A1594" w:rsidRDefault="007A1594" w:rsidP="007A1594">
      <w:pPr>
        <w:ind w:firstLine="720"/>
        <w:jc w:val="both"/>
        <w:rPr>
          <w:rFonts w:ascii="TimesLT" w:hAnsi="TimesLT"/>
          <w:szCs w:val="22"/>
        </w:rPr>
      </w:pPr>
      <w:r>
        <w:rPr>
          <w:rFonts w:ascii="TimesLT" w:hAnsi="TimesLT"/>
          <w:bCs/>
          <w:iCs/>
          <w:szCs w:val="22"/>
        </w:rPr>
        <w:t xml:space="preserve">Bendradarbiaujant su suinteresuotomis institucijomis (Kalėjimų departamentu prie Teisingumo ministerijos, Muitinės departamentu prie Finansų ministerijos, Policijos departamentu prie VRM, Valstybės sienos apsaugos tarnyba prie VRM, Finansinių nusikaltimų tyrimų tarnyba prie VRM, Valstybės saugumo departamentu, Nacionaline Teismų administracija, Generaline prokuratūra, Specialiųjų tyrimų tarnyba) </w:t>
      </w:r>
      <w:r>
        <w:rPr>
          <w:rFonts w:ascii="TimesLT" w:hAnsi="TimesLT"/>
          <w:szCs w:val="22"/>
        </w:rPr>
        <w:t xml:space="preserve">atlikti teisinės bazės analizę ir pateikti siūlymus dėl jos tobulinimo ir veiksmingo </w:t>
      </w:r>
      <w:r>
        <w:rPr>
          <w:rFonts w:ascii="TimesLT" w:hAnsi="TimesLT"/>
        </w:rPr>
        <w:t>narkomanijos plitimo priežasčių šalinimo.</w:t>
      </w:r>
    </w:p>
    <w:p w:rsidR="007A1594" w:rsidRDefault="007A1594" w:rsidP="007A1594">
      <w:pPr>
        <w:ind w:firstLine="720"/>
        <w:jc w:val="both"/>
        <w:rPr>
          <w:rFonts w:ascii="TimesLT" w:hAnsi="TimesLT"/>
          <w:bCs/>
          <w:szCs w:val="22"/>
        </w:rPr>
      </w:pPr>
      <w:r>
        <w:rPr>
          <w:rFonts w:ascii="TimesLT" w:hAnsi="TimesLT"/>
          <w:bCs/>
          <w:szCs w:val="22"/>
        </w:rPr>
        <w:t>Parengti Nacionalinės narkotikų kontrolės ir narkomanijos prevencijos programos tikslų,</w:t>
      </w:r>
      <w:r>
        <w:rPr>
          <w:rFonts w:ascii="TimesLT" w:hAnsi="TimesLT"/>
          <w:bCs/>
        </w:rPr>
        <w:t xml:space="preserve"> </w:t>
      </w:r>
      <w:r>
        <w:rPr>
          <w:rFonts w:ascii="TimesLT" w:hAnsi="TimesLT"/>
          <w:bCs/>
          <w:szCs w:val="22"/>
        </w:rPr>
        <w:t xml:space="preserve">uždavinių bei priemonių tikslingumo ir efektyvumo vertinimo kriterijus, kuriais vadovaujantis būtų nustatomas priemonių poveikis ir tikslingumas, taip pat lėšų poreikis ir jų panaudojimo efektyvumas. </w:t>
      </w:r>
    </w:p>
    <w:p w:rsidR="007A1594" w:rsidRDefault="007A1594" w:rsidP="007A1594">
      <w:pPr>
        <w:ind w:firstLine="720"/>
        <w:jc w:val="both"/>
        <w:rPr>
          <w:rFonts w:ascii="TimesLT" w:hAnsi="TimesLT"/>
          <w:bCs/>
        </w:rPr>
      </w:pPr>
      <w:r>
        <w:rPr>
          <w:rFonts w:ascii="TimesLT" w:hAnsi="TimesLT"/>
          <w:bCs/>
        </w:rPr>
        <w:t xml:space="preserve">Užtikrinti, kad </w:t>
      </w:r>
      <w:r>
        <w:rPr>
          <w:rFonts w:ascii="TimesLT" w:hAnsi="TimesLT"/>
          <w:bCs/>
          <w:szCs w:val="22"/>
        </w:rPr>
        <w:t>Nacionalinės narkotikų kontrolės ir narkomanijos prevencijos programos</w:t>
      </w:r>
      <w:r>
        <w:rPr>
          <w:rFonts w:ascii="TimesLT" w:hAnsi="TimesLT"/>
          <w:bCs/>
        </w:rPr>
        <w:t xml:space="preserve"> įgyvendinimo priemonėse atsispindėtų visos </w:t>
      </w:r>
      <w:r>
        <w:rPr>
          <w:rFonts w:ascii="TimesLT" w:hAnsi="TimesLT"/>
          <w:bCs/>
          <w:szCs w:val="22"/>
        </w:rPr>
        <w:t xml:space="preserve">Programoje numatytos neteisėtos narkotinių ir psichotropinių medžiagų pasiūlos mažinimo kryptys. </w:t>
      </w:r>
    </w:p>
    <w:p w:rsidR="007A1594" w:rsidRDefault="007A1594" w:rsidP="007A1594">
      <w:pPr>
        <w:ind w:firstLine="720"/>
        <w:jc w:val="both"/>
        <w:rPr>
          <w:rFonts w:ascii="TimesLT" w:hAnsi="TimesLT" w:cs="Tahoma"/>
          <w:szCs w:val="15"/>
        </w:rPr>
      </w:pPr>
      <w:r>
        <w:rPr>
          <w:rFonts w:ascii="TimesLT" w:hAnsi="TimesLT"/>
          <w:bCs/>
        </w:rPr>
        <w:t xml:space="preserve">Seimo Nacionalinio saugumo ir gynybos komitetas ir Narkomanijos prevencijos komisijos pasiūlė </w:t>
      </w:r>
      <w:r>
        <w:rPr>
          <w:rFonts w:ascii="TimesLT" w:hAnsi="TimesLT"/>
          <w:szCs w:val="15"/>
        </w:rPr>
        <w:t>Sveikatos apsaugos ministerijai:</w:t>
      </w:r>
    </w:p>
    <w:p w:rsidR="007A1594" w:rsidRDefault="007A1594" w:rsidP="007A1594">
      <w:pPr>
        <w:ind w:firstLine="720"/>
        <w:jc w:val="both"/>
        <w:rPr>
          <w:rFonts w:ascii="TimesLT" w:hAnsi="TimesLT" w:cs="Tahoma"/>
          <w:szCs w:val="15"/>
        </w:rPr>
      </w:pPr>
      <w:r>
        <w:rPr>
          <w:rFonts w:ascii="TimesLT" w:hAnsi="TimesLT"/>
          <w:szCs w:val="15"/>
        </w:rPr>
        <w:t>Bendradarbiaujant su Lietuvos Respublikos prokuratūra bei ikiteisminio tyrimo įstaigomis peržiūrėti ir patobulinti 2003 m. balandžio 23 d. sveikatos apsaugos ministro įsakymu Nr. V-239 patvirtintas narkotinių ir psichotropinių medžiagų nedidelio, didelio ir labai didelio kiekio nustatymo rekomendacijas.</w:t>
      </w:r>
    </w:p>
    <w:p w:rsidR="007A1594" w:rsidRDefault="007A1594" w:rsidP="007A1594">
      <w:pPr>
        <w:ind w:firstLine="720"/>
        <w:jc w:val="both"/>
        <w:rPr>
          <w:rFonts w:ascii="TimesLT" w:hAnsi="TimesLT"/>
        </w:rPr>
      </w:pPr>
      <w:r>
        <w:rPr>
          <w:rFonts w:ascii="TimesLT" w:hAnsi="TimesLT"/>
          <w:bCs/>
        </w:rPr>
        <w:t xml:space="preserve">Seimo Nacionalinio saugumo ir gynybos komitetas ir Narkomanijos prevencijos komisijos pasiūlė </w:t>
      </w:r>
      <w:r>
        <w:rPr>
          <w:rFonts w:ascii="TimesLT" w:hAnsi="TimesLT"/>
        </w:rPr>
        <w:t>Nacionalinei Teismų administracijai:</w:t>
      </w:r>
    </w:p>
    <w:p w:rsidR="007A1594" w:rsidRDefault="007A1594" w:rsidP="007A1594">
      <w:pPr>
        <w:ind w:firstLine="720"/>
        <w:jc w:val="both"/>
        <w:rPr>
          <w:rFonts w:ascii="TimesLT" w:hAnsi="TimesLT" w:cs="Tahoma"/>
          <w:szCs w:val="22"/>
        </w:rPr>
      </w:pPr>
      <w:r>
        <w:rPr>
          <w:rFonts w:ascii="TimesLT" w:hAnsi="TimesLT"/>
        </w:rPr>
        <w:t>Išanalizuoti ir apibendrinti teismų statistiką bylose dėl nelegalaus disponavimo narkotinėmis ar psichotropinėmis medžiagomis, a</w:t>
      </w:r>
      <w:r>
        <w:rPr>
          <w:rFonts w:ascii="TimesLT" w:hAnsi="TimesLT"/>
          <w:szCs w:val="22"/>
        </w:rPr>
        <w:t xml:space="preserve">tkreipiant dėmesį į priežastis bei tendencijas, lemiančias bausmių sušvelninimą ir teismo nuosprendžių pakeitimą, perkvalifikuojant nusikalstamą veiką iš Lietuvos Respublikos Baudžiamojo kodekso 260 str. į Lietuvos Respublikos Baudžiamojo kodekso 259 str. </w:t>
      </w:r>
    </w:p>
    <w:p w:rsidR="007A1594" w:rsidRDefault="007A1594" w:rsidP="007A1594">
      <w:pPr>
        <w:jc w:val="both"/>
        <w:rPr>
          <w:rFonts w:ascii="TimesLT" w:hAnsi="TimesLT" w:cs="Tahoma"/>
          <w:szCs w:val="22"/>
        </w:rPr>
      </w:pPr>
    </w:p>
    <w:p w:rsidR="007A1594" w:rsidRDefault="007A1594" w:rsidP="007A1594">
      <w:pPr>
        <w:jc w:val="both"/>
        <w:rPr>
          <w:rFonts w:ascii="TimesLT" w:hAnsi="TimesLT"/>
        </w:rPr>
      </w:pPr>
    </w:p>
    <w:p w:rsidR="007A1594" w:rsidRDefault="007A1594" w:rsidP="007A1594">
      <w:pPr>
        <w:jc w:val="both"/>
        <w:rPr>
          <w:rFonts w:ascii="TimesLT" w:hAnsi="TimesLT"/>
          <w:b/>
          <w:bCs/>
        </w:rPr>
      </w:pPr>
    </w:p>
    <w:p w:rsidR="007A1594" w:rsidRDefault="007A1594" w:rsidP="007A1594">
      <w:pPr>
        <w:ind w:firstLine="720"/>
        <w:jc w:val="both"/>
        <w:rPr>
          <w:rFonts w:ascii="TimesLT" w:hAnsi="TimesLT"/>
          <w:b/>
          <w:bCs/>
        </w:rPr>
      </w:pPr>
      <w:r>
        <w:rPr>
          <w:rFonts w:ascii="TimesLT" w:hAnsi="TimesLT"/>
          <w:b/>
          <w:bCs/>
        </w:rPr>
        <w:t xml:space="preserve">Dėl neteisėtos narkotinių ir psichotropinių medžiagų pasiūlos mažinimo  </w:t>
      </w: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lastRenderedPageBreak/>
        <w:t>Lietuvos Respublikos Seimas 2004 m. balandžio 8 d. nutarimu Nr. IX- 2110 patvirtino Nacionalinę narkotikų kontrolės ir narkomanijos prevencijos 2004 - 2008 metų programą (toliau - Programa).</w:t>
      </w:r>
    </w:p>
    <w:p w:rsidR="007A1594" w:rsidRDefault="007A1594" w:rsidP="007A1594">
      <w:pPr>
        <w:jc w:val="both"/>
        <w:rPr>
          <w:rFonts w:ascii="TimesLT" w:hAnsi="TimesLT"/>
        </w:rPr>
      </w:pPr>
      <w:r>
        <w:rPr>
          <w:rFonts w:ascii="TimesLT" w:hAnsi="TimesLT"/>
        </w:rPr>
        <w:tab/>
        <w:t>Programa siekiama sustabdyti ir sumažinti narkomanijos plitimą, užkirsti kelią neteisėtai narkotikų apyvartai, įgyvendinti valstybės politikos prioritetus narkomanijos prevencijos ir narkotikų kontrolės srityje, nuosekliai ir kompleksiškai šalinant narkomanijos atsiradimo ir plitimo priežastis ir sąlygas, racionaliai naudojant finansinius bei žmogiškuosius išteklius.</w:t>
      </w:r>
    </w:p>
    <w:p w:rsidR="007A1594" w:rsidRDefault="007A1594" w:rsidP="007A1594">
      <w:pPr>
        <w:ind w:firstLine="720"/>
        <w:jc w:val="both"/>
        <w:rPr>
          <w:rFonts w:ascii="TimesLT" w:hAnsi="TimesLT"/>
          <w:iCs/>
        </w:rPr>
      </w:pPr>
      <w:r>
        <w:rPr>
          <w:rFonts w:ascii="TimesLT" w:hAnsi="TimesLT"/>
        </w:rPr>
        <w:t xml:space="preserve">Lietuvos Vyriausybei teiktose Narkomanijos prevencijos komisijos  išvadose dar 2005 metais buvo pažymėta, kad </w:t>
      </w:r>
      <w:r>
        <w:rPr>
          <w:rFonts w:ascii="TimesLT" w:hAnsi="TimesLT"/>
          <w:iCs/>
        </w:rPr>
        <w:t>Programos strateginiai  tikslai, kuriais buvo siekiama sustabdyti ir sumažinti narkomanijos plitimą, nustatyti ir įgyvendinti pagrindines valstybės politikos gaires ir veiklos kryptis narkomanijos prevencijos ir narkotikų kontrolės srityje, padidinti narkomanijos prevencijos Lietuvoje veiksmingumą, iš esmės teisingi, tačiau,  įgyvendinant šią Programą:</w:t>
      </w:r>
    </w:p>
    <w:p w:rsidR="007A1594" w:rsidRDefault="007A1594" w:rsidP="007A1594">
      <w:pPr>
        <w:ind w:firstLine="720"/>
        <w:jc w:val="both"/>
        <w:rPr>
          <w:rFonts w:ascii="TimesLT" w:hAnsi="TimesLT"/>
          <w:i/>
        </w:rPr>
      </w:pPr>
      <w:r>
        <w:rPr>
          <w:rFonts w:ascii="TimesLT" w:hAnsi="TimesLT"/>
          <w:i/>
        </w:rPr>
        <w:t xml:space="preserve"> nepasiekta narkomanijos augimo tempų bei narkotikų pasiūlos ir paklausos sumažėjimo; </w:t>
      </w:r>
    </w:p>
    <w:p w:rsidR="007A1594" w:rsidRDefault="007A1594" w:rsidP="007A1594">
      <w:pPr>
        <w:ind w:firstLine="720"/>
        <w:jc w:val="both"/>
        <w:rPr>
          <w:rFonts w:ascii="TimesLT" w:hAnsi="TimesLT"/>
          <w:i/>
        </w:rPr>
      </w:pPr>
      <w:r>
        <w:rPr>
          <w:rFonts w:ascii="TimesLT" w:hAnsi="TimesLT"/>
          <w:i/>
        </w:rPr>
        <w:t xml:space="preserve">nesukurta efektyvi narkotikų kontrolės ir narkomanijos prevencijos sistema, nesudarytos reikiamos galimybės parinkti ir taikyti veiksmingas priemones, mažinant narkomanijos ekonominę ir socialinę žalą; </w:t>
      </w:r>
    </w:p>
    <w:p w:rsidR="007A1594" w:rsidRDefault="007A1594" w:rsidP="007A1594">
      <w:pPr>
        <w:ind w:firstLine="720"/>
        <w:jc w:val="both"/>
        <w:rPr>
          <w:rFonts w:ascii="TimesLT" w:hAnsi="TimesLT"/>
          <w:i/>
        </w:rPr>
      </w:pPr>
      <w:r>
        <w:rPr>
          <w:rFonts w:ascii="TimesLT" w:hAnsi="TimesLT"/>
          <w:i/>
        </w:rPr>
        <w:t>nepagerėjo iš esmės bendradarbiavimas tarp institucijų ir veiksmų koordinavimas visuose sektoriuose ir todėl nepilnai  sukurta saugesnė žmogaus aplink ir kt. .</w:t>
      </w:r>
    </w:p>
    <w:p w:rsidR="007A1594" w:rsidRDefault="007A1594" w:rsidP="007A1594">
      <w:pPr>
        <w:ind w:firstLine="720"/>
        <w:jc w:val="both"/>
        <w:rPr>
          <w:rFonts w:ascii="TimesLT" w:hAnsi="TimesLT"/>
          <w:i/>
        </w:rPr>
      </w:pPr>
      <w:r>
        <w:rPr>
          <w:rFonts w:ascii="TimesLT" w:hAnsi="TimesLT"/>
          <w:i/>
        </w:rPr>
        <w:t>Komisija  manė, kad ir toliau išlieka šie svarbiausi uždaviniai:</w:t>
      </w:r>
    </w:p>
    <w:p w:rsidR="007A1594" w:rsidRDefault="007A1594" w:rsidP="007A1594">
      <w:pPr>
        <w:ind w:firstLine="720"/>
        <w:jc w:val="both"/>
        <w:rPr>
          <w:rFonts w:ascii="TimesLT" w:hAnsi="TimesLT"/>
        </w:rPr>
      </w:pPr>
      <w:r>
        <w:rPr>
          <w:rFonts w:ascii="TimesLT" w:hAnsi="TimesLT"/>
        </w:rPr>
        <w:t>-formuoti  neigiamą visuomenės požiūrį į narkotinių ir psichotropinių medžiagų vartojimą, ypač rūpintis narkomanijos prevencija šeimoje, tarp vaikų ir jaunimo, diegti vaikams ir jaunimui sveiko gyvenimo vertybines nuostatas ( Programos 26.1p.);</w:t>
      </w:r>
    </w:p>
    <w:p w:rsidR="007A1594" w:rsidRDefault="007A1594" w:rsidP="007A1594">
      <w:pPr>
        <w:ind w:firstLine="720"/>
        <w:jc w:val="both"/>
        <w:rPr>
          <w:rFonts w:ascii="TimesLT" w:hAnsi="TimesLT"/>
        </w:rPr>
      </w:pPr>
      <w:r>
        <w:rPr>
          <w:rFonts w:ascii="TimesLT" w:hAnsi="TimesLT"/>
        </w:rPr>
        <w:t>- plėtoti valstybės institucijų, vykdančių narkomanijos prevenciją bei narkotikų kontrolę, visuomeninių organizacijų ir bendruomenės tarpusavio bendradarbiavimą (Programos 26.2 p.);</w:t>
      </w:r>
    </w:p>
    <w:p w:rsidR="007A1594" w:rsidRDefault="007A1594" w:rsidP="007A1594">
      <w:pPr>
        <w:ind w:firstLine="720"/>
        <w:jc w:val="both"/>
        <w:rPr>
          <w:rFonts w:ascii="TimesLT" w:hAnsi="TimesLT"/>
        </w:rPr>
      </w:pPr>
      <w:r>
        <w:rPr>
          <w:rFonts w:ascii="TimesLT" w:hAnsi="TimesLT"/>
        </w:rPr>
        <w:t>- skatinti savivaldybių ir regionų valdymo institucijų iniciatyvas sprendžiant narkomanijos prevencijos bei narkotikų kontrolės problemas (Programos 26.3 p.);</w:t>
      </w:r>
    </w:p>
    <w:p w:rsidR="007A1594" w:rsidRDefault="007A1594" w:rsidP="007A1594">
      <w:pPr>
        <w:ind w:firstLine="720"/>
        <w:jc w:val="both"/>
        <w:rPr>
          <w:rFonts w:ascii="TimesLT" w:hAnsi="TimesLT"/>
        </w:rPr>
      </w:pPr>
      <w:r>
        <w:rPr>
          <w:rFonts w:ascii="TimesLT" w:hAnsi="TimesLT"/>
        </w:rPr>
        <w:t>- gerinti teisėsaugos institucijų veiklą siekiant mažinti narkotikų pasiūlą ir apsunkinant jų prieinamumą (Programos 26.4 p.);</w:t>
      </w:r>
    </w:p>
    <w:p w:rsidR="007A1594" w:rsidRDefault="007A1594" w:rsidP="007A1594">
      <w:pPr>
        <w:ind w:firstLine="720"/>
        <w:jc w:val="both"/>
        <w:rPr>
          <w:rFonts w:ascii="TimesLT" w:hAnsi="TimesLT"/>
        </w:rPr>
      </w:pPr>
      <w:r>
        <w:rPr>
          <w:rFonts w:ascii="TimesLT" w:hAnsi="TimesLT"/>
        </w:rPr>
        <w:t>- plėtoti objektyvios narkomanijos prevencijos bei narkotikų kontrolės informacijos rinkimo ir analizės sistemą, atitinkančią Europos Sąjungos reikalavimus (Programos 26.5 p.);</w:t>
      </w:r>
    </w:p>
    <w:p w:rsidR="007A1594" w:rsidRDefault="007A1594" w:rsidP="007A1594">
      <w:pPr>
        <w:ind w:firstLine="720"/>
        <w:jc w:val="both"/>
        <w:rPr>
          <w:rFonts w:ascii="TimesLT" w:hAnsi="TimesLT"/>
        </w:rPr>
      </w:pPr>
      <w:r>
        <w:rPr>
          <w:rFonts w:ascii="TimesLT" w:hAnsi="TimesLT"/>
        </w:rPr>
        <w:t>- skatinti tarptautinį bendradarbiavimą narkomanijos prevencijos bei narkotikų kontrolės srityje, pagrįstą regioniniais ir nacionaliniais projektais bei programomis (Programos 26.6 p.);</w:t>
      </w:r>
    </w:p>
    <w:p w:rsidR="007A1594" w:rsidRDefault="007A1594" w:rsidP="007A1594">
      <w:pPr>
        <w:ind w:firstLine="720"/>
        <w:jc w:val="both"/>
        <w:rPr>
          <w:rFonts w:ascii="TimesLT" w:hAnsi="TimesLT"/>
        </w:rPr>
      </w:pPr>
      <w:r>
        <w:rPr>
          <w:rFonts w:ascii="TimesLT" w:hAnsi="TimesLT"/>
        </w:rPr>
        <w:t>- užtikrinti valstybės institucijų, vykdančių narkomanijos prevenciją bei narkotikų kontrolę, efektyvų valdymą, kontrolę bei tarpusavio veiksmų koordinavimą (Programos 26.8 p.).</w:t>
      </w:r>
    </w:p>
    <w:p w:rsidR="007A1594" w:rsidRDefault="007A1594" w:rsidP="007A1594">
      <w:pPr>
        <w:ind w:firstLine="720"/>
        <w:jc w:val="both"/>
        <w:rPr>
          <w:rFonts w:ascii="TimesLT" w:hAnsi="TimesLT"/>
        </w:rPr>
      </w:pPr>
      <w:r>
        <w:rPr>
          <w:rFonts w:ascii="TimesLT" w:hAnsi="TimesLT"/>
        </w:rPr>
        <w:t xml:space="preserve"> Komisija rekomendavo Lietuvos Respublikos Vyriausybei skirti prioritetinių narkotikų kontrolės ir narkomanijos prevencijos krypčių įgyvendinimui reikiamą finansavimą. </w:t>
      </w:r>
    </w:p>
    <w:p w:rsidR="007A1594" w:rsidRDefault="007A1594" w:rsidP="007A1594">
      <w:pPr>
        <w:ind w:firstLine="720"/>
        <w:jc w:val="both"/>
        <w:rPr>
          <w:rFonts w:ascii="TimesLT" w:hAnsi="TimesLT"/>
          <w:bCs/>
        </w:rPr>
      </w:pPr>
      <w:r>
        <w:rPr>
          <w:rFonts w:ascii="TimesLT" w:hAnsi="TimesLT"/>
        </w:rPr>
        <w:t>Komisija priėmė sprendimus ir kitais narkomanijos prevencijos ir narkotikų užkardymo klausimais ir teikė Lietuvos Respublikos Vyriausybei rekomendacijas.</w:t>
      </w:r>
      <w:r>
        <w:rPr>
          <w:rFonts w:ascii="TimesLT" w:hAnsi="TimesLT"/>
          <w:bCs/>
        </w:rPr>
        <w:t xml:space="preserve"> </w:t>
      </w:r>
    </w:p>
    <w:p w:rsidR="007A1594" w:rsidRDefault="007A1594" w:rsidP="007A1594">
      <w:pPr>
        <w:jc w:val="both"/>
        <w:rPr>
          <w:rFonts w:ascii="TimesLT" w:hAnsi="TimesLT"/>
          <w:bCs/>
        </w:rPr>
      </w:pPr>
      <w:r>
        <w:rPr>
          <w:rFonts w:ascii="TimesLT" w:hAnsi="TimesLT"/>
          <w:bCs/>
        </w:rPr>
        <w:tab/>
        <w:t>2007 metais Komisija atkreipė Lietuvos Respublikos Vyriausybės dėmesį į tai, kad be kanapių Lietuvoje populiariausieji narkotikai anfetaminas ir ekstaze.</w:t>
      </w:r>
    </w:p>
    <w:p w:rsidR="007A1594" w:rsidRDefault="007A1594" w:rsidP="007A1594">
      <w:pPr>
        <w:jc w:val="both"/>
        <w:rPr>
          <w:rFonts w:ascii="TimesLT" w:hAnsi="TimesLT"/>
          <w:bCs/>
        </w:rPr>
      </w:pPr>
      <w:r>
        <w:rPr>
          <w:rFonts w:ascii="TimesLT" w:hAnsi="TimesLT"/>
          <w:bCs/>
        </w:rPr>
        <w:tab/>
        <w:t>2005 metų duomenimis Lietuva sintetinių narkotikų nelegalioje apyvartoje Europos Sąjungoje užėmė ketvirtą vietą.</w:t>
      </w:r>
    </w:p>
    <w:p w:rsidR="007A1594" w:rsidRDefault="007A1594" w:rsidP="007A1594">
      <w:pPr>
        <w:ind w:firstLine="720"/>
        <w:jc w:val="both"/>
        <w:rPr>
          <w:rFonts w:ascii="TimesLT" w:hAnsi="TimesLT"/>
          <w:bCs/>
        </w:rPr>
      </w:pPr>
      <w:r>
        <w:rPr>
          <w:rFonts w:ascii="TimesLT" w:hAnsi="TimesLT"/>
          <w:bCs/>
        </w:rPr>
        <w:t xml:space="preserve">Lietuvoje pagamintais sintetiniais narkotikais aprūpinamos Skandinavijos šalys. </w:t>
      </w:r>
    </w:p>
    <w:p w:rsidR="007A1594" w:rsidRDefault="007A1594" w:rsidP="007A1594">
      <w:pPr>
        <w:ind w:firstLine="720"/>
        <w:jc w:val="both"/>
        <w:rPr>
          <w:rFonts w:ascii="TimesLT" w:hAnsi="TimesLT"/>
          <w:bCs/>
        </w:rPr>
      </w:pPr>
      <w:r>
        <w:rPr>
          <w:rFonts w:ascii="TimesLT" w:hAnsi="TimesLT"/>
          <w:bCs/>
        </w:rPr>
        <w:t xml:space="preserve">Sintetinių narkotikų rinka užima apie 40 proc. visos narkotikų rinkos Lietuvoje. </w:t>
      </w:r>
    </w:p>
    <w:p w:rsidR="007A1594" w:rsidRDefault="007A1594" w:rsidP="007A1594">
      <w:pPr>
        <w:ind w:firstLine="720"/>
        <w:jc w:val="both"/>
        <w:rPr>
          <w:rFonts w:ascii="TimesLT" w:hAnsi="TimesLT"/>
          <w:bCs/>
        </w:rPr>
      </w:pPr>
      <w:r>
        <w:rPr>
          <w:rFonts w:ascii="TimesLT" w:hAnsi="TimesLT"/>
          <w:bCs/>
        </w:rPr>
        <w:t xml:space="preserve">Amfetamino tipo stimuliuojamųjų medžiagų gamyboje apie 50 proc. visų naudojamų cheminių medžiagų yra nekontroliuojamos ir jas be jokių dokumentų galima įsigyti plataus vartojimo prekių arba specializuotose parduotuvėse. </w:t>
      </w:r>
    </w:p>
    <w:p w:rsidR="007A1594" w:rsidRDefault="007A1594" w:rsidP="007A1594">
      <w:pPr>
        <w:ind w:firstLine="720"/>
        <w:jc w:val="both"/>
        <w:rPr>
          <w:rFonts w:ascii="TimesLT" w:hAnsi="TimesLT"/>
          <w:bCs/>
        </w:rPr>
      </w:pPr>
    </w:p>
    <w:p w:rsidR="007A1594" w:rsidRDefault="007A1594" w:rsidP="007A1594">
      <w:pPr>
        <w:jc w:val="both"/>
        <w:rPr>
          <w:rFonts w:ascii="TimesLT" w:hAnsi="TimesLT"/>
          <w:bCs/>
          <w:i/>
          <w:iCs/>
        </w:rPr>
      </w:pPr>
      <w:r>
        <w:rPr>
          <w:rFonts w:ascii="TimesLT" w:hAnsi="TimesLT"/>
          <w:bCs/>
        </w:rPr>
        <w:tab/>
      </w:r>
      <w:r>
        <w:rPr>
          <w:rFonts w:ascii="TimesLT" w:hAnsi="TimesLT"/>
          <w:bCs/>
          <w:i/>
          <w:iCs/>
        </w:rPr>
        <w:t>Dėl narkotinių ir psichotropinių medžiagų pirmtakų (prekursorių) kontrolės</w:t>
      </w:r>
    </w:p>
    <w:p w:rsidR="007A1594" w:rsidRDefault="007A1594" w:rsidP="007A1594">
      <w:pPr>
        <w:ind w:firstLine="720"/>
        <w:jc w:val="both"/>
        <w:rPr>
          <w:rFonts w:ascii="TimesLT" w:hAnsi="TimesLT"/>
          <w:bCs/>
          <w:u w:val="single"/>
        </w:rPr>
      </w:pPr>
    </w:p>
    <w:p w:rsidR="007A1594" w:rsidRDefault="007A1594" w:rsidP="007A1594">
      <w:pPr>
        <w:ind w:firstLine="720"/>
        <w:jc w:val="both"/>
        <w:rPr>
          <w:rFonts w:ascii="TimesLT" w:hAnsi="TimesLT"/>
        </w:rPr>
      </w:pPr>
      <w:r>
        <w:rPr>
          <w:rFonts w:ascii="TimesLT" w:hAnsi="TimesLT"/>
        </w:rPr>
        <w:t xml:space="preserve">Nagrinėjant </w:t>
      </w:r>
      <w:r>
        <w:rPr>
          <w:rFonts w:ascii="TimesLT" w:hAnsi="TimesLT"/>
          <w:bCs/>
        </w:rPr>
        <w:t>narkotinių ir psichotropinių medžiagų pirmtakų (prekursorių) kontrolės</w:t>
      </w:r>
      <w:r>
        <w:rPr>
          <w:rFonts w:ascii="TimesLT" w:hAnsi="TimesLT"/>
        </w:rPr>
        <w:t xml:space="preserve"> klausimus Lietuvoje nustatyta, kad Europos Sąjungoje  narkotinių medžiagų pirmtakų teisinį pagrindą sudaro trys reglamentai (toliau – Reglamentas): </w:t>
      </w:r>
    </w:p>
    <w:p w:rsidR="007A1594" w:rsidRDefault="007A1594" w:rsidP="007A1594">
      <w:pPr>
        <w:ind w:firstLine="720"/>
        <w:jc w:val="both"/>
        <w:rPr>
          <w:rFonts w:ascii="TimesLT" w:hAnsi="TimesLT"/>
        </w:rPr>
      </w:pPr>
      <w:r>
        <w:rPr>
          <w:rFonts w:ascii="TimesLT" w:hAnsi="TimesLT"/>
        </w:rPr>
        <w:t xml:space="preserve"> 2004 m. vasario 11 d. Europos Parlamento ir Tarybos reglamentas (EB) Nr. 273/2004 dėl narkotinių ir psichotropinių medžiagų pirmtakų (prekursorių), kuriame nustatytos pagrindinės </w:t>
      </w:r>
      <w:r>
        <w:rPr>
          <w:rFonts w:ascii="TimesLT" w:hAnsi="TimesLT"/>
        </w:rPr>
        <w:lastRenderedPageBreak/>
        <w:t>taisyklės, reglamentuojančios Bendrijos vidaus prekybos stebėseną. Reglamentas taikomas ne tik ES,  bet ir kitoms Europos ekonominės erdvės valstybėms narėms.</w:t>
      </w:r>
    </w:p>
    <w:p w:rsidR="007A1594" w:rsidRDefault="007A1594" w:rsidP="007A1594">
      <w:pPr>
        <w:ind w:firstLine="720"/>
        <w:jc w:val="both"/>
        <w:rPr>
          <w:rFonts w:ascii="TimesLT" w:hAnsi="TimesLT"/>
        </w:rPr>
      </w:pPr>
      <w:r>
        <w:rPr>
          <w:rFonts w:ascii="TimesLT" w:hAnsi="TimesLT"/>
        </w:rPr>
        <w:t>2004 m. gruodžio 22 d. Tarybos reglamentas (EB) Nr. 111/2005, nustatantis prekybos narkotinių ir psichotropinių medžiagų pirmtakais (prekursoriais) tarp Bendrijos ir trečiųjų šalių stebėsenos taisykles. Šiame reglamente nustatytos pagrindinės taisyklės, reglamentuojančios išorės prekybos stebėseną.</w:t>
      </w:r>
    </w:p>
    <w:p w:rsidR="007A1594" w:rsidRDefault="007A1594" w:rsidP="007A1594">
      <w:pPr>
        <w:ind w:firstLine="720"/>
        <w:jc w:val="both"/>
        <w:rPr>
          <w:rFonts w:ascii="TimesLT" w:hAnsi="TimesLT"/>
        </w:rPr>
      </w:pPr>
      <w:r>
        <w:rPr>
          <w:rFonts w:ascii="TimesLT" w:hAnsi="TimesLT"/>
        </w:rPr>
        <w:t xml:space="preserve">  2005 m. liepos 27 d. Komisijos reglamentas (EB) Nr. 1277/2005, nustatantis Europos Parlamento ir Tarybos reglamento (EB) Nr. 273/2004 dėl narkotinių medžiagų pirmtakų (prekursorių) ir Tarybos reglamento (EB) Nr. 111/2005, nustatančio prekybos narkotinių ir psichotropinių medžiagų pirmtakais (prekursoriais) tarp Bendrijos ir trečiųjų šalių stebėsenos taisyklių, įgyvendinimo taisykles. Tai jungtinis įgyvendinimo reglamentas, aprėpiantis Bendrijos išorės ir vidaus prekybą reglamentuojančius reglamentus. </w:t>
      </w:r>
    </w:p>
    <w:p w:rsidR="007A1594" w:rsidRDefault="007A1594" w:rsidP="007A1594">
      <w:pPr>
        <w:ind w:firstLine="720"/>
        <w:jc w:val="both"/>
        <w:rPr>
          <w:rFonts w:ascii="TimesLT" w:hAnsi="TimesLT"/>
        </w:rPr>
      </w:pPr>
      <w:r>
        <w:rPr>
          <w:rFonts w:ascii="TimesLT" w:hAnsi="TimesLT"/>
        </w:rPr>
        <w:t>Reglamentų nuostatos taikomos narkotinių medžiagų pirmtakams (prekursoriams), kuriems taikoma “į oficialų sąrašą įtrauktų medžiagų” apibrėžtis. Šioms medžiagoms priskiriamos 23 medžiagos, išvardintos Reglamento (EB) Nr. 111/2005 priede ir Reglamento (EB) Nr. 273/2004 I priede.</w:t>
      </w:r>
    </w:p>
    <w:p w:rsidR="007A1594" w:rsidRDefault="007A1594" w:rsidP="007A1594">
      <w:pPr>
        <w:ind w:firstLine="720"/>
        <w:jc w:val="both"/>
        <w:rPr>
          <w:rFonts w:ascii="TimesLT" w:hAnsi="TimesLT"/>
        </w:rPr>
      </w:pPr>
      <w:r>
        <w:rPr>
          <w:rFonts w:ascii="TimesLT" w:hAnsi="TimesLT"/>
        </w:rPr>
        <w:t>Šios medžiagos suskirstytos į tris kategorijas:</w:t>
      </w:r>
    </w:p>
    <w:p w:rsidR="007A1594" w:rsidRDefault="007A1594" w:rsidP="007A1594">
      <w:pPr>
        <w:ind w:firstLine="720"/>
        <w:jc w:val="both"/>
        <w:rPr>
          <w:rFonts w:ascii="TimesLT" w:hAnsi="TimesLT"/>
        </w:rPr>
      </w:pPr>
      <w:r>
        <w:rPr>
          <w:rFonts w:ascii="TimesLT" w:hAnsi="TimesLT"/>
        </w:rPr>
        <w:t>1 kategorijai priskiriamos didesnės rizikos medžiagos (“pagrindiniai” narkotinių medžiagų pirmtakai (prekursoriai);</w:t>
      </w:r>
    </w:p>
    <w:p w:rsidR="007A1594" w:rsidRDefault="007A1594" w:rsidP="007A1594">
      <w:pPr>
        <w:ind w:firstLine="720"/>
        <w:jc w:val="both"/>
        <w:rPr>
          <w:rFonts w:ascii="TimesLT" w:hAnsi="TimesLT"/>
        </w:rPr>
      </w:pPr>
      <w:r>
        <w:rPr>
          <w:rFonts w:ascii="TimesLT" w:hAnsi="TimesLT"/>
        </w:rPr>
        <w:t xml:space="preserve">2 kategorijai priskiriamos medžiagos mažesnės rizikos medžiagos ir “pirminiai pirmtakai (prekursoriai); </w:t>
      </w:r>
    </w:p>
    <w:p w:rsidR="007A1594" w:rsidRDefault="007A1594" w:rsidP="007A1594">
      <w:pPr>
        <w:ind w:firstLine="720"/>
        <w:jc w:val="both"/>
        <w:rPr>
          <w:rFonts w:ascii="TimesLT" w:hAnsi="TimesLT"/>
        </w:rPr>
      </w:pPr>
      <w:r>
        <w:rPr>
          <w:rFonts w:ascii="TimesLT" w:hAnsi="TimesLT"/>
        </w:rPr>
        <w:t xml:space="preserve">3  kategorijai priskiriamos piltinės cheminės medžiagos, kurios gali būti naudojamos įvairioms paskirtims gamybos procese (pramonės žaliavos, taip pat tirpikliai, nešvarumų tirpikliai ir kt.). </w:t>
      </w:r>
    </w:p>
    <w:p w:rsidR="007A1594" w:rsidRDefault="007A1594" w:rsidP="007A1594">
      <w:pPr>
        <w:ind w:firstLine="720"/>
        <w:jc w:val="both"/>
        <w:rPr>
          <w:rFonts w:ascii="TimesLT" w:hAnsi="TimesLT"/>
          <w:szCs w:val="22"/>
        </w:rPr>
      </w:pPr>
      <w:r>
        <w:rPr>
          <w:rFonts w:ascii="TimesLT" w:hAnsi="TimesLT"/>
        </w:rPr>
        <w:t xml:space="preserve">Apibrėžta, kad “į oficialų sąrašą įtraukta medžiaga” yra bet kuri I priede nurodyta medžiaga, įskaitant tokių medžiagų turinčius mišinius ir natūralius produktus. Tokios medžiagos įtrauktos į teisės aktų taikymo sritį. </w:t>
      </w:r>
      <w:r>
        <w:rPr>
          <w:rFonts w:ascii="TimesLT" w:hAnsi="TimesLT"/>
          <w:szCs w:val="22"/>
        </w:rPr>
        <w:t>Tokioms medžiagoms nepriskiriami vaistai kaip apibrėžta 2001 m. lapkričio 6 d. Europos Parlamento ir Tarybos direktyvoje 2001/83/EB dėl Bendrijos kodekso, susijusio su žmonėms skirtais vaistais), farmacijos preparatai, mišiniai, natūralūs produktai ir kiti preparatai, kuriuose yra į oficialų sąrašą įtrauktų medžiagų ir kurie sudaryti taip, kad tokios medžiagos nėra lengvai panaudojamos arba išgaunamos greitai taikomomis arba ekonomiškai naudingomis priemonėmis. „Į oficialų sąrašą neįtraukta medžiaga“ yra bet kokia medžiaga, kuri, nors ir nenurodyta I priede, identifikuojama kaip naudota neteisėtai narkotinių ar psichotropinių medžiagų gamybai. Tokioms medžiagoms netaikomi teisės reikalavimai, bet ūkio subjektai raginami savo noru stebėti su jomis susijusius sandorius. Tokių medžiagų sąrašus kompetentingos institucijos platina tik žinomiems ūkio subjektams.</w:t>
      </w:r>
    </w:p>
    <w:p w:rsidR="007A1594" w:rsidRDefault="007A1594" w:rsidP="007A1594">
      <w:pPr>
        <w:ind w:firstLine="720"/>
        <w:jc w:val="both"/>
        <w:rPr>
          <w:rFonts w:ascii="TimesLT" w:hAnsi="TimesLT"/>
        </w:rPr>
      </w:pPr>
      <w:r>
        <w:rPr>
          <w:rFonts w:ascii="TimesLT" w:hAnsi="TimesLT"/>
        </w:rPr>
        <w:t xml:space="preserve">Prekyba narkotinių medžiagų pirmtakais (prekursoriais) nėra uždrausta, nes jie gali būti naudojami teisėtais tikslais. </w:t>
      </w:r>
      <w:r>
        <w:rPr>
          <w:rFonts w:ascii="TimesLT" w:hAnsi="TimesLT"/>
          <w:i/>
          <w:iCs/>
        </w:rPr>
        <w:t>Todėl nustatomi konkretūs reguliavimo pagrindai, kad būtų užkirstas kelias neteisėtam medžiagų naudojimui</w:t>
      </w:r>
      <w:r>
        <w:rPr>
          <w:rFonts w:ascii="TimesLT" w:hAnsi="TimesLT"/>
        </w:rPr>
        <w:t xml:space="preserve">. Šių pagrindų pagrindinis tikslas – stebėti prekybą narkotinių medžiagų pirmtakais (prekursoriais) ir nustatyti įtartinus sandorius ūkio subjektų pagalba (per gamintojus, platintojus, tarpininkus, importuotojus ir eksportuotojus, didmenininkus ir mažmenininkus). Iš ūkio subjektų reikalaujam užkirsti kelią vagystėms, tikrinti savo pirkėjus, kiek įmanoma stengtis nustatyti įtartinus sandorius ir atkreipti į tai institucijų dėmesį. Valdžios institucijos, taikydamos administracines procedūras ir patikras vietoje, užtikrina, kad su narkotinių medžiagų  pirmtakais (prekursoriais) susijusios įmonės tinkamai įgyvendintų tam tikrus savo įsipareigojimus.   </w:t>
      </w:r>
    </w:p>
    <w:p w:rsidR="007A1594" w:rsidRDefault="007A1594" w:rsidP="007A1594">
      <w:pPr>
        <w:ind w:firstLine="720"/>
        <w:jc w:val="both"/>
        <w:rPr>
          <w:rFonts w:ascii="TimesLT" w:hAnsi="TimesLT"/>
        </w:rPr>
      </w:pPr>
      <w:r>
        <w:rPr>
          <w:rFonts w:ascii="TimesLT" w:hAnsi="TimesLT"/>
        </w:rPr>
        <w:t>Europos Komisijos Generalinio direktorato Mokesčių ir muitinės skyriaus rekomendacijose dėl cheminių medžiagų kontrolės Europos Sąjungoje ir prekybos cheminėmis medžiagomis nurodoma, kad cheminės medžiagos (prekursoriai, esminės cheminės medžiagos, reagentai, tirpikliai bei katalizatoriai) yra palčiai naudojamos teisėtoje pramoninėje veikloje ir vaistų gamybos procesuose. Šiomis medžiagomis teisėtai prekiaujama dideliais kiekiais, tačiau jas galima panaudoti neteisėtai narkotinių ir psichotropinių medžiagų gamybai ir ruošimui. Šias gamybos operacijas yra nesunku vykdyti dėl nesudėtingo cheminio proceso, jos nebrangios dėl palyginti pigių ingredientų, ypač sintetinių narkotikų gamybai. Sintetiniai narkotikai, tokie kaip amfetaminas ir “ekstazy” nelegaliai gaminami  vien iš cheminių medžiagų. Didėjant narkotinių medžiagų gamybos apimtims bei jų paklausai- didėja ir cheminių medžiagų poreikis.</w:t>
      </w:r>
    </w:p>
    <w:p w:rsidR="007A1594" w:rsidRDefault="007A1594" w:rsidP="007A1594">
      <w:pPr>
        <w:ind w:firstLine="720"/>
        <w:jc w:val="both"/>
        <w:rPr>
          <w:rFonts w:ascii="TimesLT" w:hAnsi="TimesLT"/>
        </w:rPr>
      </w:pPr>
      <w:r>
        <w:rPr>
          <w:rFonts w:ascii="TimesLT" w:hAnsi="TimesLT"/>
        </w:rPr>
        <w:lastRenderedPageBreak/>
        <w:t xml:space="preserve">Todėl, būtina kontroliuoti ir rinkti informaciją, užmegzti ryšius su įmonėmis, cheminėmis laboratorijomis, gaminančiomis, įvežančiomis chemines medžiagas, kurios gali būti naudojamos neteisėtai narkotikų apyvartai, taip pat prekiaujančiomis tokiomis medžiagomis. </w:t>
      </w:r>
    </w:p>
    <w:p w:rsidR="007A1594" w:rsidRDefault="007A1594" w:rsidP="007A1594">
      <w:pPr>
        <w:ind w:firstLine="720"/>
        <w:jc w:val="both"/>
        <w:rPr>
          <w:rFonts w:ascii="TimesLT" w:hAnsi="TimesLT"/>
        </w:rPr>
      </w:pPr>
      <w:r>
        <w:rPr>
          <w:rFonts w:ascii="TimesLT" w:hAnsi="TimesLT"/>
        </w:rPr>
        <w:t xml:space="preserve">Bendradarbiavimas ir apsikeitimas informacija tarp kompetetingų valdžios institucijų ir subjektų yra gyvybiškai svarbus. </w:t>
      </w:r>
    </w:p>
    <w:p w:rsidR="007A1594" w:rsidRDefault="007A1594" w:rsidP="007A1594">
      <w:pPr>
        <w:ind w:firstLine="720"/>
        <w:jc w:val="both"/>
        <w:rPr>
          <w:rFonts w:ascii="TimesLT" w:hAnsi="TimesLT"/>
        </w:rPr>
      </w:pPr>
      <w:r>
        <w:rPr>
          <w:rFonts w:ascii="TimesLT" w:hAnsi="TimesLT"/>
        </w:rPr>
        <w:t xml:space="preserve">Subjektai  (gamintojai, platintojai, prekybininkai ir kt.) geriausiai žinodami apie savo produktus, klientus bei cheminių medžiagų rinką, įtarus, kad cheminės medžiagos gali būti nukreiptos į neteisėtą narkotinių ir psichotropinių medžiagų gamybą, galėtų apie tai informuoti kompetetingą valdžios instituciją. </w:t>
      </w:r>
    </w:p>
    <w:p w:rsidR="007A1594" w:rsidRDefault="007A1594" w:rsidP="007A1594">
      <w:pPr>
        <w:ind w:firstLine="720"/>
        <w:jc w:val="both"/>
        <w:rPr>
          <w:rFonts w:ascii="TimesLT" w:hAnsi="TimesLT"/>
        </w:rPr>
      </w:pPr>
      <w:r>
        <w:rPr>
          <w:rFonts w:ascii="TimesLT" w:hAnsi="TimesLT"/>
        </w:rPr>
        <w:t xml:space="preserve">Europos Sąjungoje privalomai kontroliuojamos 23 cheminės medžiagos (sąrašas Nr.1) ir veiklai su šiomis cheminėmis medžiagomis taikomi tam tikri įsipareigojimai. </w:t>
      </w:r>
    </w:p>
    <w:p w:rsidR="007A1594" w:rsidRDefault="007A1594" w:rsidP="007A1594">
      <w:pPr>
        <w:ind w:firstLine="720"/>
        <w:jc w:val="both"/>
        <w:rPr>
          <w:rFonts w:ascii="TimesLT" w:hAnsi="TimesLT"/>
        </w:rPr>
      </w:pPr>
      <w:r>
        <w:rPr>
          <w:rFonts w:ascii="TimesLT" w:hAnsi="TimesLT"/>
        </w:rPr>
        <w:t xml:space="preserve">Lietuvoje tokių cheminių medžiagų nėra. </w:t>
      </w:r>
    </w:p>
    <w:p w:rsidR="007A1594" w:rsidRDefault="007A1594" w:rsidP="007A1594">
      <w:pPr>
        <w:ind w:firstLine="720"/>
        <w:jc w:val="both"/>
        <w:rPr>
          <w:rFonts w:ascii="TimesLT" w:hAnsi="TimesLT"/>
        </w:rPr>
      </w:pPr>
      <w:r>
        <w:rPr>
          <w:rFonts w:ascii="TimesLT" w:hAnsi="TimesLT"/>
        </w:rPr>
        <w:t>Nekontroliuojamos cheminės medžiagos, kurios gali būti panaudojamos kontroliuojamų cheminių medžiagų gamybai arba prekiautojai patys naudoja nekontroliuojamas chemines medžiagas narkotinių medžiagų gamybos procesuose. Šios medžiagos, kaip pakaitalai kontroliuojamoms cheminėms medžiagoms  teisėtai naudojamos pramonėje.</w:t>
      </w:r>
    </w:p>
    <w:p w:rsidR="007A1594" w:rsidRDefault="007A1594" w:rsidP="007A1594">
      <w:pPr>
        <w:ind w:firstLine="720"/>
        <w:jc w:val="both"/>
        <w:rPr>
          <w:rFonts w:ascii="TimesLT" w:hAnsi="TimesLT"/>
        </w:rPr>
      </w:pPr>
      <w:r>
        <w:rPr>
          <w:rFonts w:ascii="TimesLT" w:hAnsi="TimesLT"/>
        </w:rPr>
        <w:t>ES rekomendacijose pabrėžiama, kad kontrolės sistemos, kurios taikomos kontroliuojamoms cheminėms medžiagoms, taikymas nekontroliuojamoms cheminėms medžiagoms būtų nepraktiškas ir neproduktyvus.</w:t>
      </w:r>
    </w:p>
    <w:p w:rsidR="007A1594" w:rsidRDefault="007A1594" w:rsidP="007A1594">
      <w:pPr>
        <w:ind w:firstLine="720"/>
        <w:jc w:val="both"/>
        <w:rPr>
          <w:rFonts w:ascii="TimesLT" w:hAnsi="TimesLT"/>
        </w:rPr>
      </w:pPr>
      <w:r>
        <w:rPr>
          <w:rFonts w:ascii="TimesLT" w:hAnsi="TimesLT"/>
        </w:rPr>
        <w:t xml:space="preserve">Daugelis ES šalių, bendradarbiaudamos su chemijos pramonės atstovais,  sukūrė savanoriško sekimo (monitoringo) sistemas bei medžiagų sąrašus. Subjektų yra prašoma kreipti dėmesį į bet kokias indikacijas, pagal kurias būtų galima įtarti, kad tokios cheminės medžiagos gali būti nukreiptos į neteisėtą narkotinių medžiagų gamybą ir apie tai pranešti atitinkamiems kompetentingos institucijos atstovams. </w:t>
      </w:r>
    </w:p>
    <w:p w:rsidR="007A1594" w:rsidRDefault="007A1594" w:rsidP="007A1594">
      <w:pPr>
        <w:ind w:firstLine="720"/>
        <w:jc w:val="both"/>
        <w:rPr>
          <w:rFonts w:ascii="TimesLT" w:hAnsi="TimesLT"/>
        </w:rPr>
      </w:pPr>
      <w:r>
        <w:rPr>
          <w:rFonts w:ascii="TimesLT" w:hAnsi="TimesLT"/>
        </w:rPr>
        <w:t xml:space="preserve">Šalių narių susitarimu buvo sudarytas nekontroliuojamų cheminių medžiagų, kurios yra dažniausiai naudojamos neteisėtoje narkotinių medžiagų gamyboje, sąrašas, kurį Europos Sąjungos Šalių Narkotinių medžiagų pirmtakų (prekursorių) komitetas nuolat atnaujins. Europos Bendrijos savanoriško sekimo (monitoringo) sąrašas galioja nuo 2004 m. kovo 24 d. Šis sąrašas peržiūrimas kiekviename Narkotinių medžiagų pirmtakų (prekursorių) komiteto posėdyje. </w:t>
      </w:r>
    </w:p>
    <w:p w:rsidR="007A1594" w:rsidRDefault="007A1594" w:rsidP="007A1594">
      <w:pPr>
        <w:ind w:firstLine="720"/>
        <w:jc w:val="both"/>
        <w:rPr>
          <w:rFonts w:ascii="TimesLT" w:hAnsi="TimesLT"/>
        </w:rPr>
      </w:pPr>
      <w:r>
        <w:rPr>
          <w:rFonts w:ascii="TimesLT" w:hAnsi="TimesLT"/>
        </w:rPr>
        <w:t xml:space="preserve"> Europos Sąjungos šalių teritorijos ribose taikomas nekontroliuojamų cheminių medžiagų savanoriškas sekimas (monitoringas), kurios gali būti naudojamos nelegalių sintetinių narkotikų gamybai. Taikant monitoringą subjektai kreipia dėmesį į įtartinus sandorius, verslo praktiką, pristatymo metodus, užsakomų produktų kiekius, įrangos ar pakavimo medžiagos įsigijimus ir kt.  </w:t>
      </w:r>
    </w:p>
    <w:p w:rsidR="007A1594" w:rsidRDefault="007A1594" w:rsidP="007A1594">
      <w:pPr>
        <w:ind w:firstLine="720"/>
        <w:jc w:val="both"/>
        <w:rPr>
          <w:rFonts w:ascii="TimesLT" w:hAnsi="TimesLT"/>
        </w:rPr>
      </w:pPr>
      <w:r>
        <w:rPr>
          <w:rFonts w:ascii="TimesLT" w:hAnsi="TimesLT"/>
        </w:rPr>
        <w:t xml:space="preserve">Rekomendacijose yra ne vien tik cheminių medžiagų sąrašas, bet ir rekomendacijos nacionalinėms kompetentingoms valdžios institucijoms ir teisėsaugos institucijoms, apibrėžiant atsakomybės ribas pramonės ir teisėsaugos sistemose. Siūlomi veiksmai yra neformalūs ir grindžiami savanoriškumo principais, turi atitikti ir neviršyti tų griežtų kontrolės priemonių, kurios taikomos 1988 metų Konvencijos 12 straipsnyje išvardintoms kontroliuojamoms cheminėms medžiagoms.  </w:t>
      </w:r>
    </w:p>
    <w:p w:rsidR="007A1594" w:rsidRDefault="007A1594" w:rsidP="007A1594">
      <w:pPr>
        <w:ind w:firstLine="720"/>
        <w:jc w:val="both"/>
        <w:rPr>
          <w:rFonts w:ascii="TimesLT" w:hAnsi="TimesLT"/>
        </w:rPr>
      </w:pPr>
      <w:r>
        <w:rPr>
          <w:rFonts w:ascii="TimesLT" w:hAnsi="TimesLT"/>
        </w:rPr>
        <w:t>Rekomendacijose nurodyti veiksmai, kurių turi imtis chemijos pramonės atstovai, įgyvendinant apriboto tarptautinio specialiosios priežiūros sąrašo naudojimą, identifikuojant įtartinus sandorius, užklausimus ir užsakymus. Nacionalinės kompetentingos valdžios institucijos taip pat turi pateikti būtiną informaciją chemijos pramonės subjektams apie prekybą bei neteisėtą veiklą, susijusią su narkotinių medžiagų gamyba.</w:t>
      </w:r>
    </w:p>
    <w:p w:rsidR="007A1594" w:rsidRDefault="007A1594" w:rsidP="007A1594">
      <w:pPr>
        <w:ind w:firstLine="720"/>
        <w:jc w:val="both"/>
        <w:rPr>
          <w:rFonts w:ascii="TimesLT" w:hAnsi="TimesLT"/>
        </w:rPr>
      </w:pPr>
      <w:r>
        <w:rPr>
          <w:rFonts w:ascii="TimesLT" w:hAnsi="TimesLT"/>
        </w:rPr>
        <w:t>Lietuvoje veikia Lietuvos Respublikos Cheminių medžiagų ir preparatų įstatymas, kuris nustato cheminių medžiagų ir preparatų tiekimo rinkai ir kitus jų tvarkymo reikalavimus, siekiant apsaugoti žmonių sveikatą ir aplinką nuo cheminių medžiagų ir preparatų poveikio ar kitų padarinių.</w:t>
      </w:r>
    </w:p>
    <w:p w:rsidR="007A1594" w:rsidRDefault="007A1594" w:rsidP="007A1594">
      <w:pPr>
        <w:ind w:firstLine="720"/>
        <w:jc w:val="both"/>
        <w:rPr>
          <w:rFonts w:ascii="TimesLT" w:hAnsi="TimesLT"/>
        </w:rPr>
      </w:pPr>
      <w:r>
        <w:rPr>
          <w:rFonts w:ascii="TimesLT" w:hAnsi="TimesLT"/>
        </w:rPr>
        <w:t>Pagal Lietuvos Respublikos Cheminių medžiagų ir preparatų įstatymą</w:t>
      </w:r>
      <w:r>
        <w:rPr>
          <w:rFonts w:ascii="TimesLT" w:hAnsi="TimesLT"/>
          <w:b/>
        </w:rPr>
        <w:t xml:space="preserve"> </w:t>
      </w:r>
      <w:r>
        <w:rPr>
          <w:rFonts w:ascii="TimesLT" w:hAnsi="TimesLT"/>
          <w:bCs/>
        </w:rPr>
        <w:t>cheminė medžiaga</w:t>
      </w:r>
      <w:r>
        <w:rPr>
          <w:rFonts w:ascii="TimesLT" w:hAnsi="TimesLT"/>
          <w:b/>
          <w:bCs/>
        </w:rPr>
        <w:t xml:space="preserve"> </w:t>
      </w:r>
      <w:r>
        <w:rPr>
          <w:rFonts w:ascii="TimesLT" w:hAnsi="TimesLT"/>
        </w:rPr>
        <w:t>– natūralus ar dirbtinis cheminis elementas arba cheminių elementų junginys, įskaitant priedus, reikalingus gaminio stabilumui išlaikyti, ir priemaišas, atsirandančias gaminant, išskyrus tirpiklius, kurie gali būti atskirti nedarant poveikio medžiagos stabilumui bei nepakeičiant jos sudėties.</w:t>
      </w:r>
      <w:r>
        <w:rPr>
          <w:rFonts w:ascii="TimesLT" w:hAnsi="TimesLT"/>
          <w:b/>
          <w:bCs/>
        </w:rPr>
        <w:t xml:space="preserve"> </w:t>
      </w:r>
      <w:r>
        <w:rPr>
          <w:rFonts w:ascii="TimesLT" w:hAnsi="TimesLT"/>
        </w:rPr>
        <w:t>Cheminis preparatas</w:t>
      </w:r>
      <w:r>
        <w:rPr>
          <w:rFonts w:ascii="TimesLT" w:hAnsi="TimesLT"/>
          <w:b/>
          <w:bCs/>
        </w:rPr>
        <w:t xml:space="preserve"> </w:t>
      </w:r>
      <w:r>
        <w:rPr>
          <w:rFonts w:ascii="TimesLT" w:hAnsi="TimesLT"/>
        </w:rPr>
        <w:t>– dviejų ar daugiau cheminių medžiagų mišinys ar tirpalas.</w:t>
      </w:r>
    </w:p>
    <w:p w:rsidR="007A1594" w:rsidRDefault="007A1594" w:rsidP="007A1594">
      <w:pPr>
        <w:ind w:firstLine="720"/>
        <w:jc w:val="both"/>
        <w:rPr>
          <w:rFonts w:ascii="TimesLT" w:hAnsi="TimesLT"/>
        </w:rPr>
      </w:pPr>
      <w:r>
        <w:rPr>
          <w:rFonts w:ascii="TimesLT" w:hAnsi="TimesLT"/>
        </w:rPr>
        <w:t xml:space="preserve">Vadovaujantis Lietuvos Respublikos Cheminių medžiagų ir preparatų įstatymo 21 straipsniu, cheminių medžiagų ir preparatų tvarkymo valstybinę kontrolę atlieka Aplinkos ministerija, Sveikatos apsaugos ministerija, Socialinės apsaugos ir darbo ministerija, Žemės ūkio ministerija, Ūkio ministerija ir jų įgaliotos institucijos bei Muitinės departamento prie Finansų ministerijos įgaliotos </w:t>
      </w:r>
      <w:r>
        <w:rPr>
          <w:rFonts w:ascii="TimesLT" w:hAnsi="TimesLT"/>
        </w:rPr>
        <w:lastRenderedPageBreak/>
        <w:t>muitinės įstaigos pagal kompetenciją, nustatytą jų veiklos sritį reglamentuojančių teisės aktų, kurie tiesiogiai ar netiesiogiai yra susiję su cheminių medžiagų tvarkymu.</w:t>
      </w:r>
    </w:p>
    <w:p w:rsidR="007A1594" w:rsidRDefault="007A1594" w:rsidP="007A1594">
      <w:pPr>
        <w:jc w:val="both"/>
        <w:rPr>
          <w:rFonts w:ascii="TimesLT" w:hAnsi="TimesLT"/>
        </w:rPr>
      </w:pPr>
      <w:r>
        <w:rPr>
          <w:rFonts w:ascii="TimesLT" w:hAnsi="TimesLT"/>
        </w:rPr>
        <w:t xml:space="preserve">  </w:t>
      </w:r>
      <w:r>
        <w:rPr>
          <w:rFonts w:ascii="TimesLT" w:hAnsi="TimesLT"/>
        </w:rPr>
        <w:tab/>
      </w:r>
      <w:r>
        <w:rPr>
          <w:rFonts w:ascii="TimesLT" w:hAnsi="TimesLT"/>
          <w:color w:val="000000"/>
          <w:spacing w:val="-1"/>
        </w:rPr>
        <w:t xml:space="preserve"> </w:t>
      </w:r>
      <w:r>
        <w:rPr>
          <w:rFonts w:ascii="TimesLT" w:hAnsi="TimesLT"/>
        </w:rPr>
        <w:t xml:space="preserve">Valstybinė vaistų kontrolės tarnyba (toliau – VVKT) vykdydama teisėtos narkotinių ir psichotropinių medžiagų bei jų pirmtakų (prekursorių) apyvartos kontrolę, įmonių licencijavimo ar registravimo bei šių medžiagų bei importo ir eksporto leidimų išdavimo būdu vadovavosi tarptautinių susitarimų (1961 m. Jungtinių Tautų Organizacijos Bendrosios narkotinių medžiagų konvencijos, 1971 m. Jungtinių Tautų Organizacijos Psichotropinių medžiagų konvencijos dėl kovos su neteisėta narkotinių ir psichotropinių medžiagų apyvarta) nuostatomis. Teikė duomenis Jungtinių Tautų Tarptautiniam narkotikų kontrolės komitetui ir Europos Komisijos Narkotinių ir psichotropinių medžiagų pirmtakų ( prekursorių) komitetui. </w:t>
      </w:r>
    </w:p>
    <w:p w:rsidR="007A1594" w:rsidRDefault="007A1594" w:rsidP="007A1594">
      <w:pPr>
        <w:jc w:val="both"/>
        <w:rPr>
          <w:rFonts w:ascii="TimesLT" w:hAnsi="TimesLT"/>
        </w:rPr>
      </w:pPr>
      <w:r>
        <w:rPr>
          <w:rFonts w:ascii="TimesLT" w:hAnsi="TimesLT"/>
        </w:rPr>
        <w:tab/>
        <w:t xml:space="preserve">Valstybinė vaistų kontrolės tarnyba 2005 metais išdavė </w:t>
      </w:r>
      <w:r>
        <w:rPr>
          <w:rFonts w:ascii="TimesLT" w:hAnsi="TimesLT"/>
          <w:bCs/>
        </w:rPr>
        <w:t xml:space="preserve">du </w:t>
      </w:r>
      <w:r>
        <w:rPr>
          <w:rFonts w:ascii="TimesLT" w:hAnsi="TimesLT"/>
        </w:rPr>
        <w:t>narkotinių ir psichotropinių medžiagų pirmtakų eksporto</w:t>
      </w:r>
      <w:r>
        <w:rPr>
          <w:rFonts w:ascii="TimesLT" w:hAnsi="TimesLT"/>
          <w:b/>
          <w:bCs/>
        </w:rPr>
        <w:t xml:space="preserve"> </w:t>
      </w:r>
      <w:r>
        <w:rPr>
          <w:rFonts w:ascii="TimesLT" w:hAnsi="TimesLT"/>
        </w:rPr>
        <w:t xml:space="preserve">leidimus. Vienas iš šių leidimų buvo </w:t>
      </w:r>
      <w:r>
        <w:rPr>
          <w:rFonts w:ascii="TimesLT" w:hAnsi="TimesLT"/>
          <w:bCs/>
        </w:rPr>
        <w:t>nepanaudotas ir grąžintas</w:t>
      </w:r>
      <w:r>
        <w:rPr>
          <w:rFonts w:ascii="TimesLT" w:hAnsi="TimesLT"/>
        </w:rPr>
        <w:t xml:space="preserve"> Valstybinei vaistų kontrolės tarnybai. Vienas leidimas buvo išduotas eksportuoti iš Lietuvos Respublikos į Rusijos Federaciją 8 tonas III kategorijos pirmtako metiletilketono. </w:t>
      </w:r>
    </w:p>
    <w:p w:rsidR="007A1594" w:rsidRDefault="007A1594" w:rsidP="007A1594">
      <w:pPr>
        <w:ind w:firstLine="720"/>
        <w:jc w:val="both"/>
        <w:rPr>
          <w:rFonts w:ascii="TimesLT" w:hAnsi="TimesLT"/>
          <w:bCs/>
        </w:rPr>
      </w:pPr>
      <w:r>
        <w:rPr>
          <w:rFonts w:ascii="TimesLT" w:hAnsi="TimesLT"/>
        </w:rPr>
        <w:t xml:space="preserve"> Pirmtakų </w:t>
      </w:r>
      <w:r>
        <w:rPr>
          <w:rFonts w:ascii="TimesLT" w:hAnsi="TimesLT"/>
          <w:bCs/>
        </w:rPr>
        <w:t xml:space="preserve">importo </w:t>
      </w:r>
      <w:r>
        <w:rPr>
          <w:rFonts w:ascii="TimesLT" w:hAnsi="TimesLT"/>
        </w:rPr>
        <w:t xml:space="preserve">leidimų 2005 metais išduota </w:t>
      </w:r>
      <w:r>
        <w:rPr>
          <w:rFonts w:ascii="TimesLT" w:hAnsi="TimesLT"/>
          <w:bCs/>
        </w:rPr>
        <w:t xml:space="preserve">nebuvo. </w:t>
      </w:r>
    </w:p>
    <w:p w:rsidR="007A1594" w:rsidRDefault="007A1594" w:rsidP="007A1594">
      <w:pPr>
        <w:jc w:val="both"/>
        <w:rPr>
          <w:rFonts w:ascii="TimesLT" w:hAnsi="TimesLT"/>
        </w:rPr>
      </w:pPr>
      <w:r>
        <w:rPr>
          <w:rFonts w:ascii="TimesLT" w:hAnsi="TimesLT"/>
        </w:rPr>
        <w:t xml:space="preserve">(Komisijos duomenimis 2004 metais Narkotikų skyrius išdavė </w:t>
      </w:r>
      <w:r>
        <w:rPr>
          <w:rFonts w:ascii="TimesLT" w:hAnsi="TimesLT"/>
          <w:bCs/>
        </w:rPr>
        <w:t>4</w:t>
      </w:r>
      <w:r>
        <w:rPr>
          <w:rFonts w:ascii="TimesLT" w:hAnsi="TimesLT"/>
        </w:rPr>
        <w:t xml:space="preserve"> narkotinių ir psichotropinių medžiagų pirmtakų importo bei </w:t>
      </w:r>
      <w:r>
        <w:rPr>
          <w:rFonts w:ascii="TimesLT" w:hAnsi="TimesLT"/>
          <w:bCs/>
        </w:rPr>
        <w:t>1</w:t>
      </w:r>
      <w:r>
        <w:rPr>
          <w:rFonts w:ascii="TimesLT" w:hAnsi="TimesLT"/>
        </w:rPr>
        <w:t xml:space="preserve"> eksporto leidimą.)</w:t>
      </w:r>
    </w:p>
    <w:p w:rsidR="007A1594" w:rsidRDefault="007A1594" w:rsidP="007A1594">
      <w:pPr>
        <w:ind w:firstLine="720"/>
        <w:jc w:val="both"/>
        <w:rPr>
          <w:rFonts w:ascii="TimesLT" w:hAnsi="TimesLT"/>
          <w:bCs/>
        </w:rPr>
      </w:pPr>
      <w:r>
        <w:rPr>
          <w:rFonts w:ascii="TimesLT" w:hAnsi="TimesLT"/>
        </w:rPr>
        <w:t xml:space="preserve">Valstybinė vaistų kontrolės tarnyba informavo, kad </w:t>
      </w:r>
      <w:r>
        <w:rPr>
          <w:rFonts w:ascii="TimesLT" w:hAnsi="TimesLT"/>
          <w:bCs/>
        </w:rPr>
        <w:t>2004 - 2005 metais įmonės, turinčios registracijos pažymėjimus veiklai, susijusiai su narkotinių ir psichotropinių medžiagų II ir III kategorijos pirmtakais (prekursoriais), bei vykdžiusios veiklą, pateikė Valstybinės vaistų kontrolės tarnybos Narkotikų skyriui ataskaitas, kurios nurodė importuoto ar eksportuoto pirmtako pavadinimą bei kiekį, iš kokios šalies jį importavo ar į kokią šalį eksportavo bei kur buvo panaudotos jų paminėtos medžiagos.</w:t>
      </w:r>
    </w:p>
    <w:p w:rsidR="007A1594" w:rsidRDefault="007A1594" w:rsidP="007A1594">
      <w:pPr>
        <w:ind w:firstLine="720"/>
        <w:jc w:val="both"/>
        <w:rPr>
          <w:rFonts w:ascii="TimesLT" w:hAnsi="TimesLT"/>
        </w:rPr>
      </w:pPr>
      <w:r>
        <w:rPr>
          <w:rFonts w:ascii="TimesLT" w:hAnsi="TimesLT"/>
        </w:rPr>
        <w:t xml:space="preserve">Valstybinė vaistų kontrolės tarnyba prie Lietuvos Respublikos sveikatos apsaugos ministerijos 2006 m. išdavė 189 narkotinių medžiagų ir 517 psichotropinių medžiagų importo leidimus. </w:t>
      </w:r>
    </w:p>
    <w:p w:rsidR="007A1594" w:rsidRDefault="007A1594" w:rsidP="007A1594">
      <w:pPr>
        <w:ind w:firstLine="720"/>
        <w:jc w:val="both"/>
        <w:rPr>
          <w:rFonts w:ascii="TimesLT" w:hAnsi="TimesLT"/>
        </w:rPr>
      </w:pPr>
      <w:r>
        <w:rPr>
          <w:rFonts w:ascii="TimesLT" w:hAnsi="TimesLT"/>
        </w:rPr>
        <w:t>Teisėtai narkotines ir psichotropines medžiagas galima įvežti tik medicinos ir mokslo tikslams.</w:t>
      </w:r>
    </w:p>
    <w:p w:rsidR="007A1594" w:rsidRDefault="007A1594" w:rsidP="007A1594">
      <w:pPr>
        <w:ind w:firstLine="720"/>
        <w:jc w:val="both"/>
        <w:rPr>
          <w:rFonts w:ascii="TimesLT" w:hAnsi="TimesLT"/>
        </w:rPr>
      </w:pPr>
      <w:r>
        <w:rPr>
          <w:rFonts w:ascii="TimesLT" w:hAnsi="TimesLT"/>
        </w:rPr>
        <w:t xml:space="preserve"> Įvežti gali tik įmonės, turinčios licenciją, užsiimti narkotinių ir (arba) psichotropinių vaistų bei vaistinių medžiagų didmenine prekyba, jų importu ir eksportu, ir turėdamos Valstybinės vaistų kontrolės tarnybos prie Lietuvos Respublikos sveikatos apsaugos ministerijos išduotą importo leidimą. </w:t>
      </w:r>
    </w:p>
    <w:p w:rsidR="007A1594" w:rsidRDefault="007A1594" w:rsidP="007A1594">
      <w:pPr>
        <w:ind w:firstLine="720"/>
        <w:jc w:val="both"/>
        <w:rPr>
          <w:rFonts w:ascii="TimesLT" w:hAnsi="TimesLT"/>
        </w:rPr>
      </w:pPr>
      <w:r>
        <w:rPr>
          <w:rFonts w:ascii="TimesLT" w:hAnsi="TimesLT"/>
        </w:rPr>
        <w:t>Valstybinė vaistų kontrolės tarnyba informavo, kad veiklai, susijusiai su II kategorijos prekursoriais ir III kategorijos prekursorių eksportu, 2006 m. registracijos pažymėjimus turėjo 18 įmonių.</w:t>
      </w:r>
    </w:p>
    <w:p w:rsidR="007A1594" w:rsidRDefault="007A1594" w:rsidP="007A1594">
      <w:pPr>
        <w:ind w:firstLine="720"/>
        <w:jc w:val="both"/>
        <w:rPr>
          <w:rFonts w:ascii="TimesLT" w:hAnsi="TimesLT"/>
          <w:bCs/>
        </w:rPr>
      </w:pPr>
      <w:r>
        <w:rPr>
          <w:rFonts w:ascii="TimesLT" w:hAnsi="TimesLT"/>
          <w:bCs/>
        </w:rPr>
        <w:t xml:space="preserve">  Įmonių, licencijuotų veiklai, susijusiai su I kategorijos prekursoriais, Lietuvoje 2006</w:t>
      </w:r>
      <w:r>
        <w:rPr>
          <w:rFonts w:ascii="TimesLT" w:hAnsi="TimesLT"/>
          <w:b/>
        </w:rPr>
        <w:t xml:space="preserve"> </w:t>
      </w:r>
      <w:r>
        <w:rPr>
          <w:rFonts w:ascii="TimesLT" w:hAnsi="TimesLT"/>
          <w:bCs/>
        </w:rPr>
        <w:t>m. nebuvo. </w:t>
      </w:r>
    </w:p>
    <w:p w:rsidR="007A1594" w:rsidRDefault="007A1594" w:rsidP="007A1594">
      <w:pPr>
        <w:ind w:firstLine="720"/>
        <w:jc w:val="both"/>
        <w:rPr>
          <w:rFonts w:ascii="TimesLT" w:hAnsi="TimesLT"/>
          <w:bCs/>
        </w:rPr>
      </w:pPr>
      <w:r>
        <w:rPr>
          <w:rFonts w:ascii="TimesLT" w:hAnsi="TimesLT"/>
        </w:rPr>
        <w:t xml:space="preserve">Valstybinė vaistų kontrolės tarnyba informavo, kad </w:t>
      </w:r>
      <w:r>
        <w:rPr>
          <w:rFonts w:ascii="TimesLT" w:hAnsi="TimesLT"/>
          <w:bCs/>
        </w:rPr>
        <w:t>2006 m. leidimų importuoti I ar II kategorijos prekursorius išduota taip pat nebuvo.</w:t>
      </w:r>
    </w:p>
    <w:p w:rsidR="007A1594" w:rsidRDefault="007A1594" w:rsidP="007A1594">
      <w:pPr>
        <w:ind w:firstLine="720"/>
        <w:jc w:val="both"/>
        <w:rPr>
          <w:rFonts w:ascii="TimesLT" w:hAnsi="TimesLT"/>
          <w:bCs/>
        </w:rPr>
      </w:pPr>
      <w:r>
        <w:rPr>
          <w:rFonts w:ascii="TimesLT" w:hAnsi="TimesLT"/>
        </w:rPr>
        <w:t>Valstybinė vaistų kontrolės tarnyba informavo, kad į</w:t>
      </w:r>
      <w:r>
        <w:rPr>
          <w:rFonts w:ascii="TimesLT" w:hAnsi="TimesLT"/>
          <w:bCs/>
        </w:rPr>
        <w:t>gyvendinant Europos Parlamento ir Tarybos 2004 vasario 11 d. Reglamento (EB) Nr. 273/2004 Dėl narkotinių ir psichotropinių medžiagų pirmtakų (prekursorių) 9 straipsnį, kuris įsigaliojo 2004 m. vasario 18 d., Valstybinė vaistų kontrolės tarnyba išvertė į lietuvių kalbą ir išplatino Europos Komisijos Generalinio direktorato Mokesčių ir muitinės skyriaus parengtas Rekomendacijas "Cheminių medžiagų kontrolė Europos Sąjungoje. Rekomendacijos prekybai cheminėmis medžiagomis". Rekomendacijos skirtos naudotis chemijos pramonės atstovams bei subjektams, kurie prekiauja cheminėmis medžiagomis. 2004</w:t>
      </w:r>
      <w:r>
        <w:rPr>
          <w:rFonts w:ascii="TimesLT" w:hAnsi="TimesLT"/>
          <w:b/>
        </w:rPr>
        <w:t xml:space="preserve"> </w:t>
      </w:r>
      <w:r>
        <w:rPr>
          <w:rFonts w:ascii="TimesLT" w:hAnsi="TimesLT"/>
          <w:bCs/>
        </w:rPr>
        <w:t xml:space="preserve">m. spalio-lapkričio mėn. jos išsiųstos registruotu paštu  įmonėms, turinčioms registracijos pažymėjimus veiklai, susijusiai su narkotinių ir psichotropinių medžiagų II ir III kategorijų pirmtakais (prekursoriais) bei jais prekiaujančiomis. </w:t>
      </w:r>
    </w:p>
    <w:p w:rsidR="007A1594" w:rsidRDefault="007A1594" w:rsidP="007A1594">
      <w:pPr>
        <w:ind w:firstLine="720"/>
        <w:jc w:val="both"/>
        <w:rPr>
          <w:rFonts w:ascii="TimesLT" w:hAnsi="TimesLT"/>
          <w:bCs/>
        </w:rPr>
      </w:pPr>
      <w:r>
        <w:rPr>
          <w:rFonts w:ascii="TimesLT" w:hAnsi="TimesLT"/>
          <w:bCs/>
        </w:rPr>
        <w:t>Rekomendacijų tikslai - demaskuoti cheminių medžiagų didėjančias diversijas cheminių medžiagų prekybos rinkoje, kad būtų galima užkirsti kelią cheminių medžiagų patekimui į neteisėtą narkotinių medžiagų gamybą; bendrijos lygmenyje supažindinti cheminių medžiagų prekybos atstovus su įstatymine baze, susijusia su 23-is kontroliuojamomis cheminėmis</w:t>
      </w:r>
      <w:r>
        <w:rPr>
          <w:rFonts w:ascii="TimesLT" w:hAnsi="TimesLT"/>
          <w:b/>
        </w:rPr>
        <w:t xml:space="preserve"> </w:t>
      </w:r>
      <w:r>
        <w:rPr>
          <w:rFonts w:ascii="TimesLT" w:hAnsi="TimesLT"/>
          <w:bCs/>
        </w:rPr>
        <w:t>medžiagomis, o ypatingai su įsipareigojimais visoje šioje sistemoje; aprūpinti cheminių medžiagų prekybos atstovus, nekontroliuojamų cheminių medžiagų, kurios dažnai yra naudojamos neteisėtų narkotinių medžiagų, o ypatingai naujų sintetinių narkotikų gamybai, sąrašais bei nuolat šiuos sąrašus atnaujinti. Šiose rekomendacijose pateikiama konfidenciali informacija.</w:t>
      </w:r>
    </w:p>
    <w:p w:rsidR="007A1594" w:rsidRDefault="007A1594" w:rsidP="007A1594">
      <w:pPr>
        <w:jc w:val="both"/>
        <w:rPr>
          <w:rFonts w:ascii="TimesLT" w:hAnsi="TimesLT"/>
        </w:rPr>
      </w:pPr>
    </w:p>
    <w:p w:rsidR="007A1594" w:rsidRDefault="007A1594" w:rsidP="007A1594">
      <w:pPr>
        <w:ind w:firstLine="720"/>
        <w:jc w:val="both"/>
        <w:rPr>
          <w:rFonts w:ascii="TimesLT" w:hAnsi="TimesLT"/>
          <w:szCs w:val="22"/>
        </w:rPr>
      </w:pPr>
      <w:r>
        <w:rPr>
          <w:rFonts w:ascii="TimesLT" w:hAnsi="TimesLT"/>
        </w:rPr>
        <w:lastRenderedPageBreak/>
        <w:t xml:space="preserve">2007 m. Komisija paprašė Sveikatos apsaugos ministerijos pateikti informaciją dėl cheminių medžiagų ir preparatų išvardintų Reglamento (EB) Nr. 111/2005 priede ir Reglamento (EB) Nr. 273/2004 I priede, </w:t>
      </w:r>
      <w:r>
        <w:rPr>
          <w:rFonts w:ascii="TimesLT" w:hAnsi="TimesLT"/>
          <w:szCs w:val="22"/>
        </w:rPr>
        <w:t>„į oficialų sąrašą neįtrauktų medžiagų“, kurios, nors ir nenurodyta I priede, identifikuojamos kaip naudojamos neteisėtai narkotinių ar psichotropinių medžiagų gamybai.</w:t>
      </w:r>
    </w:p>
    <w:p w:rsidR="007A1594" w:rsidRDefault="007A1594" w:rsidP="007A1594">
      <w:pPr>
        <w:ind w:firstLine="720"/>
        <w:jc w:val="both"/>
        <w:rPr>
          <w:rFonts w:ascii="TimesLT" w:hAnsi="TimesLT"/>
          <w:szCs w:val="22"/>
        </w:rPr>
      </w:pPr>
      <w:r>
        <w:rPr>
          <w:rFonts w:ascii="TimesLT" w:hAnsi="TimesLT"/>
          <w:szCs w:val="22"/>
        </w:rPr>
        <w:t xml:space="preserve"> Komisija tyrė:</w:t>
      </w:r>
    </w:p>
    <w:p w:rsidR="007A1594" w:rsidRDefault="007A1594" w:rsidP="007A1594">
      <w:pPr>
        <w:ind w:firstLine="720"/>
        <w:jc w:val="both"/>
        <w:rPr>
          <w:rFonts w:ascii="TimesLT" w:hAnsi="TimesLT"/>
        </w:rPr>
      </w:pPr>
      <w:r>
        <w:rPr>
          <w:rFonts w:ascii="TimesLT" w:hAnsi="TimesLT"/>
          <w:szCs w:val="22"/>
        </w:rPr>
        <w:t>- ar</w:t>
      </w:r>
      <w:r>
        <w:rPr>
          <w:rFonts w:ascii="TimesLT" w:hAnsi="TimesLT"/>
        </w:rPr>
        <w:t xml:space="preserve"> Lietuvos rinkoje esantys produktai savo sudėtyje turi pseudoefedrino ar fenilacetono ir  kurie ūkio subjektai disponavo minėtomis medžiagomis 2002-2007 metais;</w:t>
      </w:r>
    </w:p>
    <w:p w:rsidR="007A1594" w:rsidRDefault="007A1594" w:rsidP="007A1594">
      <w:pPr>
        <w:ind w:firstLine="720"/>
        <w:jc w:val="both"/>
        <w:rPr>
          <w:rFonts w:ascii="TimesLT" w:hAnsi="TimesLT"/>
        </w:rPr>
      </w:pPr>
      <w:r>
        <w:rPr>
          <w:rFonts w:ascii="TimesLT" w:hAnsi="TimesLT"/>
        </w:rPr>
        <w:t>- kokie ūkio subjektai  Lietuvoje 2004 -  2007 metais teisėtai gamino chemines medžiagas ir preparatus pagal  išvardintas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 kokie ūkio subjektai Lietuvoje 2004 - 2007 metais teisėtai disponavo mokslo ir medicinos tikslais  cheminėmis medžiagomis ir preparatais pagal išvardintas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 kokie ūkio subjektai Lietuvoje 2004 -  2007 metais teisėtai įvežė  chemines medžiagas ir preparatus pagal išvardintas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 kokie ūkio subjektai Lietuvoje 2004 -  2007 metais teisėtai išvežė  chemines medžiagas ir preparatus pagal išvardintas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 kokie ūkio subjektai Lietuvoje 2004 - 2007 metais prekiavo (vidaus ir išorės prekyba) cheminėmis medžiagomis ir preparatais pagal išvardintas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 kokie ūkio subjektai Lietuvoje 2004 - 2007 metais užsiėmė tarpininkavimo veikla cheminėmis medžiagomis ir preparatais pagal  išvardintas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 xml:space="preserve">- ar VVKT  atliko valstybinę kontrolę, kad  2 ir 3 kategorijos medžiagų prekybos ar eksporto kiekiai  nesiektų  tam tikrų ribinių verčių, kurios yra numatytos ūkio subjektams Narkotinių medžiagų pirmtakų (prekursorių) kontrolės Europos Sąjungoje gairėse. Kaip ūkio subjektai vykdo įsipareigojimą kasmet kompetentingoms institucijoms  teikti ataskaitas apie eksportą, importą, tarpininkavimo veiklą  ir kam šios ataskaitos buvo teikiamos 2005 – 2006 metais. Kaip ūkio subjektai praneša VVKT apie įtartinus sandorius ar užsakymus; </w:t>
      </w:r>
    </w:p>
    <w:p w:rsidR="007A1594" w:rsidRDefault="007A1594" w:rsidP="007A1594">
      <w:pPr>
        <w:ind w:firstLine="720"/>
        <w:jc w:val="both"/>
        <w:rPr>
          <w:rFonts w:ascii="TimesLT" w:hAnsi="TimesLT"/>
        </w:rPr>
      </w:pPr>
      <w:r>
        <w:rPr>
          <w:rFonts w:ascii="TimesLT" w:hAnsi="TimesLT"/>
        </w:rPr>
        <w:t>- kokie bendradarbiavimo dokumentai pasirašyti su ūkio subjektais 2005 – 2006 metais;</w:t>
      </w:r>
    </w:p>
    <w:p w:rsidR="007A1594" w:rsidRDefault="007A1594" w:rsidP="007A1594">
      <w:pPr>
        <w:ind w:firstLine="720"/>
        <w:jc w:val="both"/>
        <w:rPr>
          <w:rFonts w:ascii="TimesLT" w:hAnsi="TimesLT"/>
        </w:rPr>
      </w:pPr>
      <w:r>
        <w:rPr>
          <w:rFonts w:ascii="TimesLT" w:hAnsi="TimesLT"/>
        </w:rPr>
        <w:t>- kaip vykdomi pagrindiniai ūkio subjektų įsipareigojimai:  dėl patalpų užregistravimo atitinkamose institucijose (dėl 2 kategorijos medžiagoms); užregistruoti patalpas tik eksporto atveju (3 kategorijos patalpoms)  ir kaip atliekami patikrinimai;</w:t>
      </w:r>
    </w:p>
    <w:p w:rsidR="007A1594" w:rsidRDefault="007A1594" w:rsidP="007A1594">
      <w:pPr>
        <w:ind w:firstLine="720"/>
        <w:jc w:val="both"/>
        <w:rPr>
          <w:rFonts w:ascii="TimesLT" w:hAnsi="TimesLT"/>
        </w:rPr>
      </w:pPr>
      <w:r>
        <w:rPr>
          <w:rFonts w:ascii="TimesLT" w:hAnsi="TimesLT"/>
        </w:rPr>
        <w:t>- ar VVKT 2005 –2006 metais tikrino ūkio subjektus kaip vykdo įsipareigojimus dėl visų sandorių patvirtinimo dokumentais ir juos pažymėti bei  saugoti įrašus 3 metus;</w:t>
      </w:r>
    </w:p>
    <w:p w:rsidR="007A1594" w:rsidRDefault="007A1594" w:rsidP="007A1594">
      <w:pPr>
        <w:ind w:firstLine="720"/>
        <w:jc w:val="both"/>
        <w:rPr>
          <w:rFonts w:ascii="TimesLT" w:hAnsi="TimesLT"/>
        </w:rPr>
      </w:pPr>
      <w:r>
        <w:rPr>
          <w:rFonts w:ascii="TimesLT" w:hAnsi="TimesLT"/>
        </w:rPr>
        <w:t>- kokie ūkio subjektai teikia VVKT ataskaitas apie pirmtakų (prekursorių) panaudotus  ir pateiktus kiekius, ir apie pirkėjus dėl 1 ir 2 kategorijos medžiagų? Ar tokių prašymų būta iš kompetentingų institucijų dėl 3 kategorijos medžiagų.</w:t>
      </w:r>
    </w:p>
    <w:p w:rsidR="007A1594" w:rsidRDefault="007A1594" w:rsidP="007A1594">
      <w:pPr>
        <w:ind w:firstLine="720"/>
        <w:jc w:val="both"/>
        <w:rPr>
          <w:rFonts w:ascii="TimesLT" w:hAnsi="TimesLT"/>
        </w:rPr>
      </w:pPr>
      <w:r>
        <w:rPr>
          <w:rFonts w:ascii="TimesLT" w:hAnsi="TimesLT"/>
        </w:rPr>
        <w:t>- kaip VVKT  kontroliavo 2005 – 2006 metais, ar ūkio subjektai apmokė atsakingus pareigūnus nustatyti įtartinų sandorių rizikos  rodiklius,  kur ir  kada mokymai vyko;</w:t>
      </w:r>
    </w:p>
    <w:p w:rsidR="007A1594" w:rsidRDefault="007A1594" w:rsidP="007A1594">
      <w:pPr>
        <w:ind w:firstLine="720"/>
        <w:jc w:val="both"/>
        <w:rPr>
          <w:rFonts w:ascii="TimesLT" w:hAnsi="TimesLT"/>
        </w:rPr>
      </w:pPr>
      <w:r>
        <w:rPr>
          <w:rFonts w:ascii="TimesLT" w:hAnsi="TimesLT"/>
        </w:rPr>
        <w:t xml:space="preserve">- kokių priemonių  SAM imasi, kad užkirstų kelią neteisėtam įrangos, kuri gali būti naudojama narkotinėms medžiagoms gaminti, naudojimui ( Ar yra patvirtintas šios įrangos sąrašas? Ar SAM turi informacijos apie tokios įrangos dingimus?  Ar SAM turi informacijos apie dingimus iš ūkio subjektų: 1 kategorijai priskiriamos didesnės rizikos medžiagos (“pagrindiniai” narkotinių medžiagų pirmtakai (prekursoriai); 2 kategorijai priskiriamos medžiagos mažesnės rizikos medžiagos ir “pirminiai pirmtakai (prekursoriai); 3  kategorijai priskiriamos piltinės cheminės medžiagos, kurios gali būti naudojamos įvairioms paskirtims gamybos procese (pramonės žaliavos,  taip pat tirpikliai, nešvarumų tirpikliai ir kt.); </w:t>
      </w:r>
    </w:p>
    <w:p w:rsidR="007A1594" w:rsidRDefault="007A1594" w:rsidP="007A1594">
      <w:pPr>
        <w:ind w:firstLine="720"/>
        <w:jc w:val="both"/>
        <w:rPr>
          <w:rFonts w:ascii="TimesLT" w:hAnsi="TimesLT"/>
        </w:rPr>
      </w:pPr>
      <w:r>
        <w:rPr>
          <w:rFonts w:ascii="TimesLT" w:hAnsi="TimesLT"/>
        </w:rPr>
        <w:t xml:space="preserve">- ar SAM disponuoja informacija apie ūkio subjektus, pažeidusius cheminių medžiagų ir preparatų, iš kurių galima pagaminti narkotikus, tiekimo rinkai ar naudojimo ribojimo sąlygas; </w:t>
      </w:r>
    </w:p>
    <w:p w:rsidR="007A1594" w:rsidRDefault="007A1594" w:rsidP="007A1594">
      <w:pPr>
        <w:ind w:firstLine="720"/>
        <w:jc w:val="both"/>
        <w:rPr>
          <w:rFonts w:ascii="TimesLT" w:hAnsi="TimesLT"/>
        </w:rPr>
      </w:pPr>
      <w:r>
        <w:rPr>
          <w:rFonts w:ascii="TimesLT" w:hAnsi="TimesLT"/>
        </w:rPr>
        <w:t>- ar VVKT  2002- 2004 metais atliko  teisėtos narkotinių ir psichotropinių medžiagų bei jų pirmtakų (prekursorių) apyvartos kontrolę;</w:t>
      </w:r>
    </w:p>
    <w:p w:rsidR="007A1594" w:rsidRDefault="007A1594" w:rsidP="007A1594">
      <w:pPr>
        <w:ind w:firstLine="720"/>
        <w:jc w:val="both"/>
        <w:rPr>
          <w:rFonts w:ascii="TimesLT" w:hAnsi="TimesLT"/>
        </w:rPr>
      </w:pPr>
      <w:r>
        <w:rPr>
          <w:rFonts w:ascii="TimesLT" w:hAnsi="TimesLT"/>
        </w:rPr>
        <w:t xml:space="preserve">- ar VVKT ūkio subjektams 2005 metais išdavė </w:t>
      </w:r>
      <w:r>
        <w:rPr>
          <w:rFonts w:ascii="TimesLT" w:hAnsi="TimesLT"/>
          <w:bCs/>
        </w:rPr>
        <w:t xml:space="preserve">du </w:t>
      </w:r>
      <w:r>
        <w:rPr>
          <w:rFonts w:ascii="TimesLT" w:hAnsi="TimesLT"/>
        </w:rPr>
        <w:t>narkotinių ir psichotropinių medžiagų pirmtakų eksporto</w:t>
      </w:r>
      <w:r>
        <w:rPr>
          <w:rFonts w:ascii="TimesLT" w:hAnsi="TimesLT"/>
          <w:b/>
          <w:bCs/>
        </w:rPr>
        <w:t xml:space="preserve"> </w:t>
      </w:r>
      <w:r>
        <w:rPr>
          <w:rFonts w:ascii="TimesLT" w:hAnsi="TimesLT"/>
        </w:rPr>
        <w:t>leidimus? Kaip buvo patikrintas šių ūkio subjektų patikimumas;</w:t>
      </w:r>
    </w:p>
    <w:p w:rsidR="007A1594" w:rsidRDefault="007A1594" w:rsidP="007A1594">
      <w:pPr>
        <w:ind w:firstLine="720"/>
        <w:jc w:val="both"/>
        <w:rPr>
          <w:rFonts w:ascii="TimesLT" w:hAnsi="TimesLT"/>
        </w:rPr>
      </w:pPr>
      <w:r>
        <w:rPr>
          <w:rFonts w:ascii="TimesLT" w:hAnsi="TimesLT"/>
        </w:rPr>
        <w:lastRenderedPageBreak/>
        <w:t xml:space="preserve">- ar VVKT ūkio subjektams  2006 m. išdavė 189 narkotinių medžiagų ir 517 psichotropinių medžiagų importo leidimus, kokiems tikslams šios medžiagos buvo importuotos ir jų kokie kiekiai, kaip buvo patikrintas šių ūkio subjektų patikimumas, kur yra šių patikrinimų rezultatai; </w:t>
      </w:r>
    </w:p>
    <w:p w:rsidR="007A1594" w:rsidRDefault="007A1594" w:rsidP="007A1594">
      <w:pPr>
        <w:ind w:firstLine="720"/>
        <w:jc w:val="both"/>
        <w:rPr>
          <w:rFonts w:ascii="TimesLT" w:hAnsi="TimesLT" w:cs="Arial Unicode MS"/>
        </w:rPr>
      </w:pPr>
      <w:r>
        <w:rPr>
          <w:rFonts w:ascii="TimesLT" w:hAnsi="TimesLT"/>
          <w:bCs/>
        </w:rPr>
        <w:t>- kokios 18  įmonių  2006 metais turėjo registracijos pažymėjimus, veiklai, susijusiai su II kategorijos prekursoriais ir III kategorijos prekursorių eksportu, kokią veiklą šios įmonės vykdo.</w:t>
      </w:r>
    </w:p>
    <w:p w:rsidR="007A1594" w:rsidRDefault="007A1594" w:rsidP="007A1594">
      <w:pPr>
        <w:ind w:firstLine="720"/>
        <w:jc w:val="both"/>
        <w:rPr>
          <w:rFonts w:ascii="TimesLT" w:hAnsi="TimesLT"/>
        </w:rPr>
      </w:pPr>
      <w:r>
        <w:rPr>
          <w:rFonts w:ascii="TimesLT" w:hAnsi="TimesLT"/>
        </w:rPr>
        <w:t xml:space="preserve">Valstybinė vaistų kontrolės tarnyba prie Lietuvos Respublikos Sveikatos apsaugos ministerijos  pateikė Komisijai informaciją apie narkotinių ir psichotropinių medžiagų bei jų pirmtakų teisėtos apyvartos kontrolę. </w:t>
      </w:r>
    </w:p>
    <w:p w:rsidR="007A1594" w:rsidRDefault="007A1594" w:rsidP="007A1594">
      <w:pPr>
        <w:ind w:firstLine="720"/>
        <w:jc w:val="both"/>
        <w:rPr>
          <w:rFonts w:ascii="TimesLT" w:hAnsi="TimesLT"/>
        </w:rPr>
      </w:pPr>
      <w:r>
        <w:rPr>
          <w:rFonts w:ascii="TimesLT" w:hAnsi="TimesLT"/>
        </w:rPr>
        <w:t xml:space="preserve">Kontrolė vykdoma pagal tarptautinių susitarimų (1961 m. Jungtinių Tautų Organizacijos Bendrosios narkotinių medžiagų konvencijos, 1971 m. Jungtinių Tautų Organizacijos Psichotropinių medžiagų konvencijos ir 1988 m. Jungtinių Tautų Organizacijos Konvencijos dėl kovos su neteisėta narkotinių ir psichotropinių medžiagų apyvarta) nuostatas. </w:t>
      </w:r>
    </w:p>
    <w:p w:rsidR="007A1594" w:rsidRDefault="007A1594" w:rsidP="007A1594">
      <w:pPr>
        <w:jc w:val="both"/>
        <w:rPr>
          <w:rFonts w:ascii="TimesLT" w:hAnsi="TimesLT"/>
        </w:rPr>
      </w:pPr>
      <w:r>
        <w:rPr>
          <w:rFonts w:ascii="TimesLT" w:hAnsi="TimesLT"/>
        </w:rPr>
        <w:t>Minėtas Rekomendacijas Valstybinė vaistų kontrolės tarnyba 2004 m. spalio – lapkričio mėnesiais registruotu paštu išsiuntė įmonėms, turinčioms registracijos pažymėjimus veiklai, susijusiai su narkotinių ir psichotropinių medžiagų II ir III kategorijos pirmtakais (prekursoriais) bei jais prekiaujančiomis, taip pat Narkotikų kontrolės departamentui prie</w:t>
      </w:r>
      <w:r>
        <w:rPr>
          <w:rFonts w:ascii="TimesLT" w:hAnsi="TimesLT"/>
          <w:bCs/>
        </w:rPr>
        <w:t xml:space="preserve"> </w:t>
      </w:r>
      <w:r>
        <w:rPr>
          <w:rFonts w:ascii="TimesLT" w:hAnsi="TimesLT"/>
        </w:rPr>
        <w:t xml:space="preserve">Lietuvos Respublikos Vyriausybės, Muitinės kriminalinei tarnybai, Lietuvos kriminalinės policijos biuro Organizuoto </w:t>
      </w:r>
      <w:r>
        <w:rPr>
          <w:rFonts w:ascii="TimesLT" w:hAnsi="TimesLT"/>
          <w:bCs/>
        </w:rPr>
        <w:t xml:space="preserve"> </w:t>
      </w:r>
      <w:r>
        <w:rPr>
          <w:rFonts w:ascii="TimesLT" w:hAnsi="TimesLT"/>
        </w:rPr>
        <w:t xml:space="preserve">nusikalstamumo tyrimo tarnybos Narkotikų kontrolės valdybai, Valstybės sienos apsaugos tarnybai, Valstybės saugumo departamentui. </w:t>
      </w:r>
    </w:p>
    <w:p w:rsidR="007A1594" w:rsidRDefault="007A1594" w:rsidP="007A1594">
      <w:pPr>
        <w:ind w:firstLine="720"/>
        <w:jc w:val="both"/>
        <w:rPr>
          <w:rFonts w:ascii="TimesLT" w:hAnsi="TimesLT"/>
        </w:rPr>
      </w:pPr>
      <w:r>
        <w:rPr>
          <w:rFonts w:ascii="TimesLT" w:hAnsi="TimesLT"/>
        </w:rPr>
        <w:t xml:space="preserve">ES informuota, kad dabartiniu metu Lietuvoje kompetentingomis valdžios institucijomis paskirtos šios institucijos:  </w:t>
      </w:r>
    </w:p>
    <w:p w:rsidR="007A1594" w:rsidRDefault="007A1594" w:rsidP="007A1594">
      <w:pPr>
        <w:ind w:firstLine="720"/>
        <w:jc w:val="both"/>
        <w:rPr>
          <w:rFonts w:ascii="TimesLT" w:hAnsi="TimesLT"/>
        </w:rPr>
      </w:pPr>
      <w:r>
        <w:rPr>
          <w:rFonts w:ascii="TimesLT" w:hAnsi="TimesLT"/>
        </w:rPr>
        <w:t>Licencijavimui ir registravimui -  Valstybinės vaistų kontrolės tarnybos prie Sveikatos apsaugos ministerijos Narkotikų skyrius;</w:t>
      </w:r>
    </w:p>
    <w:p w:rsidR="007A1594" w:rsidRDefault="007A1594" w:rsidP="007A1594">
      <w:pPr>
        <w:ind w:firstLine="720"/>
        <w:jc w:val="both"/>
        <w:rPr>
          <w:rFonts w:ascii="TimesLT" w:hAnsi="TimesLT"/>
        </w:rPr>
      </w:pPr>
      <w:r>
        <w:rPr>
          <w:rFonts w:ascii="TimesLT" w:hAnsi="TimesLT"/>
        </w:rPr>
        <w:t>Leidimui eksportuoti – Valstybinės vaistų kontrolės tarnybos prie Sveikatos apsaugos ministerijos Narkotikų skyrius;</w:t>
      </w:r>
    </w:p>
    <w:p w:rsidR="007A1594" w:rsidRDefault="007A1594" w:rsidP="007A1594">
      <w:pPr>
        <w:ind w:firstLine="720"/>
        <w:jc w:val="both"/>
        <w:rPr>
          <w:rFonts w:ascii="TimesLT" w:hAnsi="TimesLT"/>
        </w:rPr>
      </w:pPr>
      <w:r>
        <w:rPr>
          <w:rFonts w:ascii="TimesLT" w:hAnsi="TimesLT"/>
        </w:rPr>
        <w:t>Gamyba/vidaus prekyba - Valstybinės vaistų kontrolės tarnybos prie Sveikatos apsaugos ministerijos Narkotikų skyrius;</w:t>
      </w:r>
    </w:p>
    <w:p w:rsidR="007A1594" w:rsidRDefault="007A1594" w:rsidP="007A1594">
      <w:pPr>
        <w:ind w:firstLine="720"/>
        <w:jc w:val="both"/>
        <w:rPr>
          <w:rFonts w:ascii="TimesLT" w:hAnsi="TimesLT"/>
        </w:rPr>
      </w:pPr>
      <w:r>
        <w:rPr>
          <w:rFonts w:ascii="TimesLT" w:hAnsi="TimesLT"/>
        </w:rPr>
        <w:t xml:space="preserve">Teisėsaugos institucijos – Muitinės kriminalinė tarnybos prie Finansų ministerijos Narkotikų kontrolės skyrius, Lietuvos Kriminalinės policijos biuro organizuoto nusikalstamumo tyrimo tarnybos Narkotikų kontrolės valdyba ir Valstybinės vaistų kontrolės tarnybos prie Sveikatos apsaugos ministerijos Narkotikų skyrius. </w:t>
      </w:r>
    </w:p>
    <w:p w:rsidR="007A1594" w:rsidRDefault="007A1594" w:rsidP="007A1594">
      <w:pPr>
        <w:pStyle w:val="Pagrindiniotekstotrauka"/>
        <w:rPr>
          <w:rFonts w:ascii="TimesLT" w:hAnsi="TimesLT"/>
          <w:szCs w:val="24"/>
          <w:lang w:val="lt-LT"/>
        </w:rPr>
      </w:pPr>
      <w:r>
        <w:rPr>
          <w:rFonts w:ascii="TimesLT" w:hAnsi="TimesLT"/>
          <w:szCs w:val="24"/>
          <w:lang w:val="lt-LT"/>
        </w:rPr>
        <w:t xml:space="preserve">Koordinatorius -  Narkotikų kontrolės departamentas prie Lietuvos Respublikos Vyriausybės. </w:t>
      </w:r>
    </w:p>
    <w:p w:rsidR="007A1594" w:rsidRDefault="007A1594" w:rsidP="007A1594">
      <w:pPr>
        <w:ind w:firstLine="720"/>
        <w:jc w:val="both"/>
        <w:rPr>
          <w:rFonts w:ascii="TimesLT" w:hAnsi="TimesLT"/>
        </w:rPr>
      </w:pPr>
      <w:r>
        <w:rPr>
          <w:rFonts w:ascii="TimesLT" w:hAnsi="TimesLT"/>
        </w:rPr>
        <w:t>Valstybinė vaistų kontrolės tarnyba prie Lietuvos Respublikos Sveikatos apsaugos ministerijos  taip pat nurodė, kad dėl informavimo apie įtartinus siūlomus ar sudarytus sandorius, esant pagrindo manyti, kad pirmtakai naudojami ar gali būti panaudoti neteisėtai narkotinių ir psichotropinių medžiagų gamybai, tvarkoje patvirtintoje  Lietuvos Respublikos Vidaus reikalų ministro 1999 m. rugpjūčio 9 d. įsakymu Nr. 467 “ Dėl informavimo apie įtartinus siūlomus ar sudarytus sandorius, esant pagrindo manyti, kad pirmtakai naudojami ar gali būti panaudoti neteisėtai narkotinių ir psichotropinių medžiagų gamybai, tvarkos” nurodyta, kad subjektai, kurių veikla susijusi su I, II, III kategorijų pirmtakais, apie įtartinus siūlomus ar sudarytus sandorius privalo raštu</w:t>
      </w:r>
      <w:r>
        <w:rPr>
          <w:rFonts w:ascii="TimesLT" w:hAnsi="TimesLT"/>
          <w:bCs/>
        </w:rPr>
        <w:t xml:space="preserve"> </w:t>
      </w:r>
      <w:r>
        <w:rPr>
          <w:rFonts w:ascii="TimesLT" w:hAnsi="TimesLT"/>
        </w:rPr>
        <w:t xml:space="preserve">informuoti Policijos departamentą prie Lietuvos Respublikos vidaus reikalų ministerijos nedelsiant,bet nevėliau kaip per 3 darbo dienas ir pagal išvardintus įsakyme požymius. Sandorio šalys turi teisę informuoti Policijos departamentą prie VRM apie, jų manymu, įtartinus sandorius ir be visų įsakyme išvardintų požymių. </w:t>
      </w:r>
    </w:p>
    <w:p w:rsidR="007A1594" w:rsidRDefault="007A1594" w:rsidP="007A1594">
      <w:pPr>
        <w:ind w:firstLine="720"/>
        <w:jc w:val="both"/>
        <w:rPr>
          <w:rFonts w:ascii="TimesLT" w:hAnsi="TimesLT"/>
        </w:rPr>
      </w:pPr>
      <w:r>
        <w:rPr>
          <w:rFonts w:ascii="TimesLT" w:hAnsi="TimesLT"/>
        </w:rPr>
        <w:t xml:space="preserve">Sveikatos apsaugos ministerija komisijai nurodė, kad legali veikla su I kategorijos prekursoriais, išvardintais Europos Parlamento ir Tarybos reglamento (EB) Nr. 273/2004 ( toliau- Reglamento) dėl narkotinių ir psichotropinių medžiagų pirmtakų (prekursorių) (OL 2004 m. specialusis leidimas, 15 skyrius, 8 tomas, p.46) I priede ir Reglamento (EB) Nr. 111/2005 priede, Lietuvos Respublikoje nevykdoma. </w:t>
      </w:r>
    </w:p>
    <w:p w:rsidR="007A1594" w:rsidRDefault="007A1594" w:rsidP="007A1594">
      <w:pPr>
        <w:ind w:firstLine="720"/>
        <w:jc w:val="both"/>
        <w:rPr>
          <w:rFonts w:ascii="TimesLT" w:hAnsi="TimesLT"/>
        </w:rPr>
      </w:pPr>
      <w:r>
        <w:rPr>
          <w:rFonts w:ascii="TimesLT" w:hAnsi="TimesLT"/>
        </w:rPr>
        <w:t xml:space="preserve">Licencijos verstis veikla, susijusia su I kategorijos narkotinių ir psichotropinių medžiagų pirmtakais (prekursoriais) buvo išduodamos farmacijos įmonėms, turinčioms didmeninio platinimo licenciją ir užsiimančioms vaistinių preparatų, kurių sudėtyje yra daugiau nei 70 proc. I kategorijos prekursorių, didmeniniu platinimu, kitokia legali veikla, susijusi su I kategorijos prekursoriais, vykdoma nebuvo.  </w:t>
      </w:r>
    </w:p>
    <w:p w:rsidR="007A1594" w:rsidRDefault="007A1594" w:rsidP="007A1594">
      <w:pPr>
        <w:ind w:firstLine="720"/>
        <w:jc w:val="both"/>
        <w:rPr>
          <w:rFonts w:ascii="TimesLT" w:hAnsi="TimesLT"/>
        </w:rPr>
      </w:pPr>
      <w:r>
        <w:rPr>
          <w:rFonts w:ascii="TimesLT" w:hAnsi="TimesLT"/>
        </w:rPr>
        <w:t xml:space="preserve">II ir III kategorijos prekursorius, išvardintus Reglamento (EB) Nr. 273/2004 I priede ir Reglamento (EB) Nr. 111/2005 priede, mokslo tikslams naudoja universitetų, mokslo institutų laboratorijos, atliekant diagnostinius tyrimus – asmens sveikatos priežiūros įstaigų laboratorijos ir kt. </w:t>
      </w:r>
      <w:r>
        <w:rPr>
          <w:rFonts w:ascii="TimesLT" w:hAnsi="TimesLT"/>
        </w:rPr>
        <w:lastRenderedPageBreak/>
        <w:t xml:space="preserve">Įmonės, vykdydamos Reglamentų Nr. 273/2004,  Nr. 111/2005 ir Nr. 1277/2005 reikalavimus, neprivalo teikti ataskaitų apie veiklą, kurios neprivaloma registruoti bei įsigyti importo ar eksporto leidimus. Įmonės informaciją teikė Valstybinei vaistų kontrolės tarnybos Narkotikų skyriui  geranoriško bendradarbiavimo principu ir už  2005 metus. </w:t>
      </w:r>
    </w:p>
    <w:p w:rsidR="007A1594" w:rsidRDefault="007A1594" w:rsidP="007A1594">
      <w:pPr>
        <w:ind w:firstLine="720"/>
        <w:jc w:val="both"/>
        <w:rPr>
          <w:rFonts w:ascii="TimesLT" w:hAnsi="TimesLT"/>
        </w:rPr>
      </w:pPr>
      <w:r>
        <w:rPr>
          <w:rFonts w:ascii="TimesLT" w:hAnsi="TimesLT"/>
        </w:rPr>
        <w:t xml:space="preserve"> Reglamentai įsigaliojo Nr. 273/2004,  Nr. 111/2005  ir  Nr. 1277/2005 2005 m. rugpjūčio 18 d., minėtais reglamentais nustatytos ribinės vertės turėtų būti tikrinamos analizuojant įmonių pateiktas ataskaitas apie 2006 metais vykdytą veiklą.</w:t>
      </w:r>
    </w:p>
    <w:p w:rsidR="007A1594" w:rsidRDefault="007A1594" w:rsidP="007A1594">
      <w:pPr>
        <w:ind w:firstLine="720"/>
        <w:jc w:val="both"/>
        <w:rPr>
          <w:rFonts w:ascii="TimesLT" w:hAnsi="TimesLT"/>
        </w:rPr>
      </w:pPr>
      <w:r>
        <w:rPr>
          <w:rFonts w:ascii="TimesLT" w:hAnsi="TimesLT"/>
        </w:rPr>
        <w:t xml:space="preserve">Įmonių, vykdančių veiklą su II ir (arba) III kategorijos prekursoriais ir kuriai turi būti taikomi Reglamentų Nr. 273/2004,  Nr. 111/2005   ir Nr. 1277/2005 2005  reikalavimai, veiklos vieta įregistruojama Valstybinėje vaistų kontrolės tarnyboje (toliau-VVKT). </w:t>
      </w:r>
    </w:p>
    <w:p w:rsidR="007A1594" w:rsidRDefault="007A1594" w:rsidP="007A1594">
      <w:pPr>
        <w:ind w:firstLine="720"/>
        <w:jc w:val="both"/>
        <w:rPr>
          <w:rFonts w:ascii="TimesLT" w:hAnsi="TimesLT"/>
        </w:rPr>
      </w:pPr>
      <w:r>
        <w:rPr>
          <w:rFonts w:ascii="TimesLT" w:hAnsi="TimesLT"/>
        </w:rPr>
        <w:t>Sveikatos apsaugos ministerija paaiškino, kad “Lietuvos Respublikos Vyriausybės 2000 m. gegužės 8 d. nutarimas Nr. 509 “Dėl Lietuvos Respublikos narkotinių ir psichotropinių medžiagų pirmtakų (prekursorių) kontrolės įstatymo įgyvendinimo” (Žin., 2000, Nr. 38-1068; 2003, Nr. 24- 999) nustato, kad  VVKT yra įgaliojama vykdyti veiklos, susijusios  su narkotinių ir psichotropinių medžiagų pirmtakais (prekursoriais), licencijavimo, registravimo, leidimų išdavimo ir kontrolės funkcijas. Šiame nutarime nėra numatyta, kad VVKT darbuotojai turi teisę kontroliuoti įmones  įeidama į jų patalpas. Jokie kiti specialieji teisės aktai, reglamentuojantys prekursorių kontrolę, tokios teisės VVKT nesuteikia. VVKT darbuotojai gali tikrinti patalpas tik Farmacijos</w:t>
      </w:r>
      <w:r>
        <w:rPr>
          <w:rFonts w:ascii="TimesLT" w:hAnsi="TimesLT"/>
          <w:bCs/>
        </w:rPr>
        <w:t xml:space="preserve"> </w:t>
      </w:r>
      <w:r>
        <w:rPr>
          <w:rFonts w:ascii="TimesLT" w:hAnsi="TimesLT"/>
        </w:rPr>
        <w:t>įstatyme nustatytais atvejais ir tik šio įstatymo ribose, t.y. kontroliuojant veiklą su farmacijos produktais. Farmacijos produkto sąvoka apima ir vaistinius preparatus, todėl vieniteliaiatvejai, kai VVKT gali tikrinti ūkio subjektus dirbančius su prekursoriais, gali būti tik tokie, kai į vaistinių preparatų sudėtį įeina I kategorijos prekursoriai....Kadangi sandorius patvirtinantys dokumentai gali būti tikrinami tik įmonės patalpose, dėl ribotų VVKT įgaliojimų jie tikrinti nebuvo.”</w:t>
      </w:r>
    </w:p>
    <w:p w:rsidR="007A1594" w:rsidRDefault="007A1594" w:rsidP="007A1594">
      <w:pPr>
        <w:ind w:firstLine="720"/>
        <w:jc w:val="both"/>
        <w:rPr>
          <w:rFonts w:ascii="TimesLT" w:hAnsi="TimesLT"/>
        </w:rPr>
      </w:pPr>
      <w:r>
        <w:rPr>
          <w:rFonts w:ascii="TimesLT" w:hAnsi="TimesLT"/>
        </w:rPr>
        <w:t>Sveikatos apsaugos ministerija nurodė, kad “Lietuvos Respublikos narkotinių ir psichotropinių medžiagų pirmtakų (prekursorių) kontrolės įstatymas bei kiti prekursorių kontrolę reglamentuojantys teisės aktai nesuteikia VVKT įgaliojimų kontroliuoti, ar ūkio subjektai apmokė atsakingus</w:t>
      </w:r>
      <w:r>
        <w:rPr>
          <w:rFonts w:ascii="TimesLT" w:hAnsi="TimesLT"/>
          <w:bCs/>
        </w:rPr>
        <w:t xml:space="preserve"> </w:t>
      </w:r>
      <w:r>
        <w:rPr>
          <w:rFonts w:ascii="TimesLT" w:hAnsi="TimesLT"/>
        </w:rPr>
        <w:t xml:space="preserve">pareigūnus nustatyti įtartinų sandorių rizikos rodiklius. Neteisėtos įrangos naudojimo kontrolė nėra SAM kompetencijos sritis. SAM apie įrangos dingimus,  informacijos neturi. Apie nelegaliems tikslams naudojamų II bei III kategorijų prekursorių dingimus iš įmonių informacijos neturi. Apie ūkio subjektus, pažeidusius cheminių medžiagų  ir preparatų, iš kurių galima pagaminti narkotines ar psichotropines medžiagas, tiekimo rinkai ir kitokias naudojimo sąlygas, informacijos neturi. </w:t>
      </w:r>
    </w:p>
    <w:p w:rsidR="007A1594" w:rsidRDefault="007A1594" w:rsidP="007A1594">
      <w:pPr>
        <w:ind w:firstLine="720"/>
        <w:jc w:val="both"/>
        <w:rPr>
          <w:rFonts w:ascii="TimesLT" w:hAnsi="TimesLT"/>
          <w:bCs/>
        </w:rPr>
      </w:pPr>
      <w:r>
        <w:rPr>
          <w:rFonts w:ascii="TimesLT" w:hAnsi="TimesLT"/>
        </w:rPr>
        <w:t>Dėl  VVKT 2002 – 2004 metais atliktos teisėtos narkotinių ir psichotropinių medžiagų bei jų pirmtakų (prekursorių) apyvartos kontrolės, Sveikatos apsaugos ministerija atsakė, kad VVKT  nurodytais metais vykdė legalios narkotinių ir psichotropinių medžiagų bei jų pirmtakų (prekursorių) apyvartos kontrolę įmonių licencijavimo, registravimo, importo, eksporto leidimų išdavimo būdu bei informacijos, susijusios su licencijuojama, registruojama veikla, išduotais importo, eksporto leidimais, rinkimu ir ataskaitų Jungtinių Tautų Tarptautiniam narkotikų kontrolės komitetui</w:t>
      </w:r>
      <w:r>
        <w:rPr>
          <w:rFonts w:ascii="TimesLT" w:hAnsi="TimesLT"/>
          <w:bCs/>
        </w:rPr>
        <w:t xml:space="preserve"> </w:t>
      </w:r>
      <w:r>
        <w:rPr>
          <w:rFonts w:ascii="TimesLT" w:hAnsi="TimesLT"/>
        </w:rPr>
        <w:t>teikimu.</w:t>
      </w:r>
      <w:r>
        <w:rPr>
          <w:rFonts w:ascii="TimesLT" w:hAnsi="TimesLT"/>
          <w:bCs/>
        </w:rPr>
        <w:t xml:space="preserve"> </w:t>
      </w:r>
    </w:p>
    <w:p w:rsidR="007A1594" w:rsidRDefault="007A1594" w:rsidP="007A1594">
      <w:pPr>
        <w:ind w:firstLine="720"/>
        <w:jc w:val="both"/>
        <w:rPr>
          <w:rFonts w:ascii="TimesLT" w:hAnsi="TimesLT" w:cs="Arial Unicode MS"/>
        </w:rPr>
      </w:pPr>
      <w:r>
        <w:rPr>
          <w:rFonts w:ascii="TimesLT" w:hAnsi="TimesLT"/>
          <w:bCs/>
        </w:rPr>
        <w:t>Komisija tyrė, ar  v</w:t>
      </w:r>
      <w:r>
        <w:rPr>
          <w:rFonts w:ascii="TimesLT" w:hAnsi="TimesLT"/>
        </w:rPr>
        <w:t>adovaujantis Lietuvos Respublikos Cheminių medžiagų ir preparatų įstatymo 21 straipsniu, cheminių medžiagų ir preparatų tvarkymo valstybinę kontrolę atliko Aplinkos ministerija, Ūkio ministerija ir jų įgaliotos institucijos.</w:t>
      </w:r>
    </w:p>
    <w:p w:rsidR="007A1594" w:rsidRDefault="007A1594" w:rsidP="007A1594">
      <w:pPr>
        <w:ind w:firstLine="720"/>
        <w:jc w:val="both"/>
        <w:rPr>
          <w:rFonts w:ascii="TimesLT" w:hAnsi="TimesLT"/>
        </w:rPr>
      </w:pPr>
      <w:r>
        <w:rPr>
          <w:rFonts w:ascii="TimesLT" w:hAnsi="TimesLT"/>
        </w:rPr>
        <w:t>Narkomanijos  prevencijos komisija paprašė Ūkio ministerijos pagal kompetenciją pateikti informaciją apie kiekvieną medžiagą  (pagal medžiagų suskirstymą į tris kategorijas) atskirai ir atsakyti:</w:t>
      </w:r>
    </w:p>
    <w:p w:rsidR="007A1594" w:rsidRDefault="007A1594" w:rsidP="007A1594">
      <w:pPr>
        <w:jc w:val="both"/>
        <w:rPr>
          <w:rFonts w:ascii="TimesLT" w:hAnsi="TimesLT"/>
        </w:rPr>
      </w:pPr>
      <w:r>
        <w:rPr>
          <w:rFonts w:ascii="TimesLT" w:hAnsi="TimesLT"/>
        </w:rPr>
        <w:t xml:space="preserve"> </w:t>
      </w:r>
      <w:r>
        <w:rPr>
          <w:rFonts w:ascii="TimesLT" w:hAnsi="TimesLT"/>
        </w:rPr>
        <w:tab/>
        <w:t>1. Kokie ūkio subjektai  2005 -  2006 metais Lietuvoje gamino:</w:t>
      </w:r>
    </w:p>
    <w:p w:rsidR="007A1594" w:rsidRDefault="007A1594" w:rsidP="007A1594">
      <w:pPr>
        <w:jc w:val="both"/>
        <w:rPr>
          <w:rFonts w:ascii="TimesLT" w:hAnsi="TimesLT"/>
        </w:rPr>
      </w:pPr>
      <w:r>
        <w:rPr>
          <w:rFonts w:ascii="TimesLT" w:hAnsi="TimesLT"/>
        </w:rPr>
        <w:t xml:space="preserve">   1 kategorijai priskiriamas didesnės rizikos medžiagas (“pagrindiniai” narkotinių medžiagų pirmtakai (prekursoriai);</w:t>
      </w:r>
    </w:p>
    <w:p w:rsidR="007A1594" w:rsidRDefault="007A1594" w:rsidP="007A1594">
      <w:pPr>
        <w:ind w:firstLine="720"/>
        <w:jc w:val="both"/>
        <w:rPr>
          <w:rFonts w:ascii="TimesLT" w:hAnsi="TimesLT"/>
        </w:rPr>
      </w:pPr>
      <w:r>
        <w:rPr>
          <w:rFonts w:ascii="TimesLT" w:hAnsi="TimesLT"/>
        </w:rPr>
        <w:t xml:space="preserve">2 kategorijai priskiriamas medžiagas mažesnės rizikos medžiagos ir “pirminiai pirmtakai (prekursoriai); </w:t>
      </w:r>
    </w:p>
    <w:p w:rsidR="007A1594" w:rsidRDefault="007A1594" w:rsidP="007A1594">
      <w:pPr>
        <w:ind w:firstLine="720"/>
        <w:jc w:val="both"/>
        <w:rPr>
          <w:rFonts w:ascii="TimesLT" w:hAnsi="TimesLT"/>
        </w:rPr>
      </w:pPr>
      <w:r>
        <w:rPr>
          <w:rFonts w:ascii="TimesLT" w:hAnsi="TimesLT"/>
        </w:rPr>
        <w:t xml:space="preserve">3 kategorijai priskiriamas piltinės cheminės medžiagos, kurios gali būti naudojamos įvairioms paskirtims gamybos procese (pramonės žaliavos,  taip pat tirpikliai, nešvarumų tirpikliai ir kt.). </w:t>
      </w:r>
    </w:p>
    <w:p w:rsidR="007A1594" w:rsidRDefault="007A1594" w:rsidP="007A1594">
      <w:pPr>
        <w:ind w:firstLine="720"/>
        <w:jc w:val="both"/>
        <w:rPr>
          <w:rFonts w:ascii="TimesLT" w:hAnsi="TimesLT"/>
        </w:rPr>
      </w:pPr>
      <w:r>
        <w:rPr>
          <w:rFonts w:ascii="TimesLT" w:hAnsi="TimesLT"/>
        </w:rPr>
        <w:t>2. Kokie ūkio subjektai  2005 -  2006 metais Lietuvoje disponavo (kaip platintojai, tarpininkai, importuotojai ir eksportuotojai, didmenininkai ir mažmenininkai) arba  pervežė :</w:t>
      </w:r>
    </w:p>
    <w:p w:rsidR="007A1594" w:rsidRDefault="007A1594" w:rsidP="007A1594">
      <w:pPr>
        <w:jc w:val="both"/>
        <w:rPr>
          <w:rFonts w:ascii="TimesLT" w:hAnsi="TimesLT"/>
        </w:rPr>
      </w:pPr>
      <w:r>
        <w:rPr>
          <w:rFonts w:ascii="TimesLT" w:hAnsi="TimesLT"/>
        </w:rPr>
        <w:t xml:space="preserve"> 1 kategorijai priskiriamoms didesnės rizikos medžiagomis (“pagrindiniai” narkotinių medžiagų pirmtakai (prekursoriai);</w:t>
      </w:r>
    </w:p>
    <w:p w:rsidR="007A1594" w:rsidRDefault="007A1594" w:rsidP="007A1594">
      <w:pPr>
        <w:jc w:val="both"/>
        <w:rPr>
          <w:rFonts w:ascii="TimesLT" w:hAnsi="TimesLT"/>
        </w:rPr>
      </w:pPr>
      <w:r>
        <w:rPr>
          <w:rFonts w:ascii="TimesLT" w:hAnsi="TimesLT"/>
        </w:rPr>
        <w:t xml:space="preserve">2 kategorijai priskiriamoms medžiagoms mažesnės rizikos medžiagomis ir “pirminiai pirmtakai (prekursoriai); </w:t>
      </w:r>
    </w:p>
    <w:p w:rsidR="007A1594" w:rsidRDefault="007A1594" w:rsidP="007A1594">
      <w:pPr>
        <w:jc w:val="both"/>
        <w:rPr>
          <w:rFonts w:ascii="TimesLT" w:hAnsi="TimesLT"/>
        </w:rPr>
      </w:pPr>
      <w:r>
        <w:rPr>
          <w:rFonts w:ascii="TimesLT" w:hAnsi="TimesLT"/>
        </w:rPr>
        <w:lastRenderedPageBreak/>
        <w:t xml:space="preserve">3 kategorijai priskiriamoms piltinės cheminėmis medžiagomis, kurios gali būti naudojamos įvairioms paskirtims gamybos procese (pramonės žaliavos,  taip pat tirpikliai, nešvarumų tirpikliai ir kt.). </w:t>
      </w:r>
    </w:p>
    <w:p w:rsidR="007A1594" w:rsidRDefault="007A1594" w:rsidP="007A1594">
      <w:pPr>
        <w:ind w:firstLine="720"/>
        <w:jc w:val="both"/>
        <w:rPr>
          <w:rFonts w:ascii="TimesLT" w:hAnsi="TimesLT"/>
        </w:rPr>
      </w:pPr>
      <w:r>
        <w:rPr>
          <w:rFonts w:ascii="TimesLT" w:hAnsi="TimesLT"/>
        </w:rPr>
        <w:t>3. Kokiais teisės aktais pagrįsta ūkio subjektų, susijusių su šiomis medžiagomis ir naudojančių jas teisėtais tikslais, atsakomybė. Kokiais teisės aktais yra reikalaujama iš ūkio subjektų užkirsti kelią  vagystėms, tikrinti pirkėjus, kiek įmanoma stengtis nustatyti įtartinus sandorius ir atkreipti į tai institucijų dėmesį.</w:t>
      </w:r>
    </w:p>
    <w:p w:rsidR="007A1594" w:rsidRDefault="007A1594" w:rsidP="007A1594">
      <w:pPr>
        <w:ind w:firstLine="720"/>
        <w:jc w:val="both"/>
        <w:rPr>
          <w:rFonts w:ascii="TimesLT" w:hAnsi="TimesLT"/>
        </w:rPr>
      </w:pPr>
      <w:r>
        <w:rPr>
          <w:rFonts w:ascii="TimesLT" w:hAnsi="TimesLT"/>
        </w:rPr>
        <w:t>4. Kaip užtikrinamas  kompetentingų institucijų, ūkio subjektų ir chemijos pramonės bendradarbiavimas atskirai dėl į oficialų sąrašą neįtrauktų medžiagų, kurios numatytos ES savanoriškame stebėsenos sąraše, ir į oficialųjį sąrašą neįtrauktų medžiagų, kurioms taikomi švelnesni teisės reikalavimai.</w:t>
      </w:r>
    </w:p>
    <w:p w:rsidR="007A1594" w:rsidRDefault="007A1594" w:rsidP="007A1594">
      <w:pPr>
        <w:ind w:firstLine="720"/>
        <w:jc w:val="both"/>
        <w:rPr>
          <w:rFonts w:ascii="TimesLT" w:hAnsi="TimesLT"/>
        </w:rPr>
      </w:pPr>
      <w:r>
        <w:rPr>
          <w:rFonts w:ascii="TimesLT" w:hAnsi="TimesLT"/>
        </w:rPr>
        <w:t>5. Ar ūkio subjektams yra teikiamos gairės apie galimus neteisėto chemikalų naudojimo modelius (įskaitant neteisėtą narkotinių medžiagų pirmtakų (prekursorių naudojimą).</w:t>
      </w:r>
    </w:p>
    <w:p w:rsidR="007A1594" w:rsidRDefault="007A1594" w:rsidP="007A1594">
      <w:pPr>
        <w:ind w:firstLine="720"/>
        <w:jc w:val="both"/>
        <w:rPr>
          <w:rFonts w:ascii="TimesLT" w:hAnsi="TimesLT"/>
        </w:rPr>
      </w:pPr>
      <w:r>
        <w:rPr>
          <w:rFonts w:ascii="TimesLT" w:hAnsi="TimesLT"/>
        </w:rPr>
        <w:t>6. Ar kompetentingos institucijos (kokios tai institucijos) užtikrina, kad rekomendacijos ir į oficialų sąrašą neįtrauktų medžiagų sąrašas būtų reguliariai platinamos ūkio subjektams būdu.</w:t>
      </w:r>
    </w:p>
    <w:p w:rsidR="007A1594" w:rsidRDefault="007A1594" w:rsidP="007A1594">
      <w:pPr>
        <w:ind w:firstLine="720"/>
        <w:jc w:val="both"/>
        <w:rPr>
          <w:rFonts w:ascii="TimesLT" w:hAnsi="TimesLT"/>
        </w:rPr>
      </w:pPr>
      <w:r>
        <w:rPr>
          <w:rFonts w:ascii="TimesLT" w:hAnsi="TimesLT"/>
        </w:rPr>
        <w:t>7. Ar Lietuvoje yra įgyvendinami Reglamentuose numatyti pagrindiniai “ūkio subjektų” įsipareigojimai (bendrieji įsipareigojimai, išorės prekybai, vidaus prekybai) ir kaip jie įtvirtinti.</w:t>
      </w:r>
    </w:p>
    <w:p w:rsidR="007A1594" w:rsidRDefault="007A1594" w:rsidP="007A1594">
      <w:pPr>
        <w:ind w:firstLine="720"/>
        <w:jc w:val="both"/>
        <w:rPr>
          <w:rFonts w:ascii="TimesLT" w:hAnsi="TimesLT"/>
        </w:rPr>
      </w:pPr>
      <w:r>
        <w:rPr>
          <w:rFonts w:ascii="TimesLT" w:hAnsi="TimesLT"/>
        </w:rPr>
        <w:t>8.  Kokiais būdais tampa  žinoma kam pirkėjas Lietuvoje panaudojo į oficialų sąrašą įtrauktas medžiagas ir kas atlieka kontrolę dėl tokių panaudojimų,  kokia kompetentinga  institucija priima tokią  informaciją iš pirkėjo bei informaciją apie įvairius pasikeitimus, kaip tai yra įtvirtinta Reglamentuose.</w:t>
      </w:r>
    </w:p>
    <w:p w:rsidR="007A1594" w:rsidRDefault="007A1594" w:rsidP="007A1594">
      <w:pPr>
        <w:ind w:firstLine="720"/>
        <w:jc w:val="both"/>
        <w:rPr>
          <w:rFonts w:ascii="TimesLT" w:hAnsi="TimesLT"/>
        </w:rPr>
      </w:pPr>
      <w:r>
        <w:rPr>
          <w:rFonts w:ascii="TimesLT" w:hAnsi="TimesLT"/>
        </w:rPr>
        <w:t xml:space="preserve">9.  Kiek Lietuvoje 2005 – 2006 metais buvo reguliarių pirkėjų ir kiek tokių pirkėjų buvo tik tam tikram sandorių skaičiui? Ar užsakomi kiekiai atitiko įprastinį to pirkėjo vartojimą ir kas tokios informacijos patikrinimus atliko Lietuvoje. </w:t>
      </w:r>
    </w:p>
    <w:p w:rsidR="007A1594" w:rsidRDefault="007A1594" w:rsidP="007A1594">
      <w:pPr>
        <w:ind w:firstLine="720"/>
        <w:jc w:val="both"/>
        <w:rPr>
          <w:rFonts w:ascii="TimesLT" w:hAnsi="TimesLT"/>
        </w:rPr>
      </w:pPr>
      <w:r>
        <w:rPr>
          <w:rFonts w:ascii="TimesLT" w:hAnsi="TimesLT"/>
        </w:rPr>
        <w:t xml:space="preserve">10. Ar Ūkio ministerija disponuoja informacija kiek yra įmonių, cheminių laboratorijų, gaminančių, įvežančių narkotines, psichotropines medžiagas ir jų pirmtakus (prekursorius). Prašome pateikti  sąrašą tokių įmonių ir cheminių laboratorijų? Kas tokią informaciją kaupia ir tikslina bei  kontroliuoja.  </w:t>
      </w:r>
    </w:p>
    <w:p w:rsidR="007A1594" w:rsidRDefault="007A1594" w:rsidP="007A1594">
      <w:pPr>
        <w:jc w:val="both"/>
        <w:rPr>
          <w:rFonts w:ascii="TimesLT" w:hAnsi="TimesLT"/>
        </w:rPr>
      </w:pPr>
      <w:r>
        <w:rPr>
          <w:rFonts w:ascii="TimesLT" w:hAnsi="TimesLT"/>
        </w:rPr>
        <w:t xml:space="preserve"> </w:t>
      </w:r>
      <w:r>
        <w:rPr>
          <w:rFonts w:ascii="TimesLT" w:hAnsi="TimesLT"/>
        </w:rPr>
        <w:tab/>
        <w:t>11. Norint gaminti arba naudoti tam tikras I priede išvardytas į oficialų sąrašą įtrauktas medžiagas, reiktų turėtų licenciją. Be to, tiekti tokias medžiagas turėtų būti leidžiama tik jei asmenys, kuriems jos tiekiamos, turi licenciją ir yra pasirašę pirkėjo deklaraciją (išsamios pirkėjo deklaracijų taisykles  nustatytos III priede).</w:t>
      </w:r>
    </w:p>
    <w:p w:rsidR="007A1594" w:rsidRDefault="007A1594" w:rsidP="007A1594">
      <w:pPr>
        <w:ind w:firstLine="720"/>
        <w:jc w:val="both"/>
        <w:rPr>
          <w:rFonts w:ascii="TimesLT" w:hAnsi="TimesLT"/>
        </w:rPr>
      </w:pPr>
      <w:r>
        <w:rPr>
          <w:rFonts w:ascii="TimesLT" w:hAnsi="TimesLT"/>
        </w:rPr>
        <w:t xml:space="preserve"> Kiek Lietuvoje yra ūkio subjektų su kuriais yra pasirašytos Reglamente numatytos pirkėjo deklaracijos ir kiek ūkio subjektų turi numatytas licencijas.</w:t>
      </w:r>
    </w:p>
    <w:p w:rsidR="007A1594" w:rsidRDefault="007A1594" w:rsidP="007A1594">
      <w:pPr>
        <w:jc w:val="both"/>
        <w:rPr>
          <w:rFonts w:ascii="TimesLT" w:hAnsi="TimesLT"/>
        </w:rPr>
      </w:pPr>
      <w:r>
        <w:rPr>
          <w:rFonts w:ascii="TimesLT" w:hAnsi="TimesLT"/>
        </w:rPr>
        <w:t xml:space="preserve"> </w:t>
      </w:r>
      <w:r>
        <w:rPr>
          <w:rFonts w:ascii="TimesLT" w:hAnsi="TimesLT"/>
        </w:rPr>
        <w:tab/>
        <w:t xml:space="preserve">12. Kokios Lietuvoje yra priimtos priemonės ir kokiai kompetentingai institucijai ūkio subjektai praneša apie įtartinus sandorius, susijusius su I priede išvardytomis į oficialų sąrašą įtrauktomis medžiagomis ir  kiek tokių pranešimų buvo 2005 – 2006 metais. Reglamentas numato, kad reikia priimti priemones, skatinančias ūkio subjektus pranešti kompetentingoms institucijoms apie įtartinus sandorius, susijusius su I priede išvardytomis į oficialų sąrašą įtrauktomis medžiagomis. </w:t>
      </w:r>
    </w:p>
    <w:p w:rsidR="007A1594" w:rsidRDefault="007A1594" w:rsidP="007A1594">
      <w:pPr>
        <w:ind w:firstLine="720"/>
        <w:jc w:val="both"/>
        <w:rPr>
          <w:rFonts w:ascii="TimesLT" w:hAnsi="TimesLT"/>
        </w:rPr>
      </w:pPr>
      <w:r>
        <w:rPr>
          <w:rFonts w:ascii="TimesLT" w:hAnsi="TimesLT"/>
        </w:rPr>
        <w:t xml:space="preserve"> 13.  Kokios Lietuvoje taikomos  priemonės, padėsiančios garantuoti geresnę Bendrijos vidaus prekybos I priede išvardytomis į oficialų sąrašą įtrauktomis medžiagomis kontrolę. Reglamentas numato, kad reikia priimti priemones, padėsiančias garantuoti geresnę Bendrijos vidaus prekybos I priede išvardytomis į oficialų sąrašą įtrauktomis medžiagomis kontrolę.</w:t>
      </w:r>
    </w:p>
    <w:p w:rsidR="007A1594" w:rsidRDefault="007A1594" w:rsidP="007A1594">
      <w:pPr>
        <w:jc w:val="both"/>
        <w:rPr>
          <w:rFonts w:ascii="TimesLT" w:hAnsi="TimesLT"/>
        </w:rPr>
      </w:pPr>
      <w:r>
        <w:rPr>
          <w:rFonts w:ascii="TimesLT" w:hAnsi="TimesLT"/>
        </w:rPr>
        <w:t xml:space="preserve"> </w:t>
      </w:r>
      <w:r>
        <w:rPr>
          <w:rFonts w:ascii="TimesLT" w:hAnsi="TimesLT"/>
        </w:rPr>
        <w:tab/>
        <w:t>14. Kokia institucija Lietuvoje kontroliuoja, ar yra tinkamai dokumentuojami visi sandoriai,  kuriais į oficialų I priedo 1 ir 2 kategorijų sąrašą įtrauktos medžiagos, kokiai kompetentinga institucija priima iš atitinkamų ūkio subjektų numatytą informaciją. Reglamentas numato, kad visi sandoriai, kuriais į oficialų I priedo 1 ir 2 kategorijų sąrašą įtrauktos medžiagos yra pateikiamos į rinką, turėtų būti tinkamai dokumentuojami.</w:t>
      </w:r>
    </w:p>
    <w:p w:rsidR="007A1594" w:rsidRDefault="007A1594" w:rsidP="007A1594">
      <w:pPr>
        <w:ind w:firstLine="720"/>
        <w:jc w:val="both"/>
        <w:rPr>
          <w:rFonts w:ascii="TimesLT" w:hAnsi="TimesLT"/>
        </w:rPr>
      </w:pPr>
      <w:r>
        <w:rPr>
          <w:rFonts w:ascii="TimesLT" w:hAnsi="TimesLT"/>
        </w:rPr>
        <w:t xml:space="preserve">Kokie ūkio subjektai (gamybos ir prekybos, tarpininkai) yra paskyrę pareigūnus, atsakingus už prekyba į oficialų sąrašą įtrauktomis medžiagomis, kiek tokių pareigūnų ūkio subjektai paskyrė 2006 ir šiais metais. Kokiais patvirtintais dokumentais vadovaujasi  pareigūnai, kurie užtikrina, kad ūkio subjekto vykdoma prekyba į oficialų sąrašą įtrauktomis medžiagomis atitiktų šio reglamento reikalavimus. </w:t>
      </w:r>
    </w:p>
    <w:p w:rsidR="007A1594" w:rsidRDefault="007A1594" w:rsidP="007A1594">
      <w:pPr>
        <w:ind w:firstLine="720"/>
        <w:jc w:val="both"/>
        <w:rPr>
          <w:rFonts w:ascii="TimesLT" w:hAnsi="TimesLT"/>
        </w:rPr>
      </w:pPr>
      <w:r>
        <w:rPr>
          <w:rFonts w:ascii="TimesLT" w:hAnsi="TimesLT"/>
        </w:rPr>
        <w:t xml:space="preserve"> Reglamentas numato, kad daug kitų medžiagų, kurių didele dalimi teisėtai prekiaujama dideliais kiekiais, buvo identifikuota kaip pirmtakai (prekursoriai) naudojami neteisėtai sintetinių narkotinių ir psichotropinių medžiagų gamybai. Taikymas tokioms medžiagoms tokios pat griežtos kontrolės, kokia taikoma išvardytoms I priede, sukeltų nereikalingas kliūtis prekybai, susijusias su veiklos licencijomis ir sandorių dokumentacija. Todėl Bendrijos lygiu turėtų būti sukurtas lankstesnis </w:t>
      </w:r>
      <w:r>
        <w:rPr>
          <w:rFonts w:ascii="TimesLT" w:hAnsi="TimesLT"/>
        </w:rPr>
        <w:lastRenderedPageBreak/>
        <w:t>mechanizmas, kuriuo kompetentingos institucijos valstybėse narėse būtų informuojamos apie tokius sandorius (gamintojai, platintojai, tarpininkai, mažmenininkai, didmenininkai).</w:t>
      </w:r>
    </w:p>
    <w:p w:rsidR="007A1594" w:rsidRDefault="007A1594" w:rsidP="007A1594">
      <w:pPr>
        <w:ind w:firstLine="720"/>
        <w:jc w:val="both"/>
        <w:rPr>
          <w:rFonts w:ascii="TimesLT" w:hAnsi="TimesLT"/>
          <w:szCs w:val="22"/>
        </w:rPr>
      </w:pPr>
      <w:r>
        <w:rPr>
          <w:rFonts w:ascii="TimesLT" w:hAnsi="TimesLT"/>
          <w:szCs w:val="22"/>
        </w:rPr>
        <w:t xml:space="preserve">Ūkio subjektai privalo gauti licenciją iš kompetentingų institucijų ir tik po to jie gali turėti arba pateikti į rinką į oficialų I priedo 1 kategorijos sąrašą įtrauktas medžiagas. Kompetentingos institucijos gali išduoti specialias licencijas vaistinėms, veterinarijos vaistų vaistinėms, tam tikrų tipų valstybės institucijoms ar ginkluotosioms pajėgoms. Tokios specialios licencijos galioja tik prekursorių naudojimui tų ūkio subjektų oficialių prievolių srityje. </w:t>
      </w:r>
    </w:p>
    <w:p w:rsidR="007A1594" w:rsidRDefault="007A1594" w:rsidP="007A1594">
      <w:pPr>
        <w:ind w:firstLine="720"/>
        <w:jc w:val="both"/>
        <w:rPr>
          <w:rFonts w:ascii="TimesLT" w:hAnsi="TimesLT"/>
          <w:szCs w:val="22"/>
        </w:rPr>
      </w:pPr>
      <w:r>
        <w:rPr>
          <w:rFonts w:ascii="TimesLT" w:hAnsi="TimesLT"/>
          <w:szCs w:val="22"/>
        </w:rPr>
        <w:t>Svarstydamos, ar suteikti licenciją, kompetentingos institucijos ypač atsižvelgia į pareiškėjo kompetenciją ir sąžiningumą. Licencija nesuteikiama, jei galima pagrįstai abejoti pareiškėjo arba už prekybą į oficialų sąrašą įtrauktomis medžiagomis atsakingo pareigūno tinkamumu arba patikimumu. Kompetentingos institucijos gali sustabdyti arba panaikinti licencijos galiojimą, jeigu galima pagrįstai manyti, kad jos savininkas nebėra tinkamas asmuo licencijai turėti arba kad nebevykdomos sąlygos, kuriomis licencija buvo suteikta.</w:t>
      </w:r>
    </w:p>
    <w:p w:rsidR="007A1594" w:rsidRDefault="007A1594" w:rsidP="007A1594">
      <w:pPr>
        <w:ind w:firstLine="720"/>
        <w:jc w:val="both"/>
        <w:rPr>
          <w:rFonts w:ascii="TimesLT" w:hAnsi="TimesLT"/>
          <w:szCs w:val="22"/>
        </w:rPr>
      </w:pPr>
      <w:r>
        <w:rPr>
          <w:rFonts w:ascii="TimesLT" w:hAnsi="TimesLT"/>
          <w:szCs w:val="22"/>
        </w:rPr>
        <w:t xml:space="preserve">  Kompetentingos institucijos gali arba apriboti licencijos galiojimo laiką ne ilgesniu kaip trys metai laikotarpiu, arba įpareigoti ūkio subjektus ne rečiau kaip kas trejus metus parodyti, kad sąlygos, kuriomis licencija buvo suteikta, tebėra tenkinamos. Licencijoje nurodoma veikla ar veiklos, kurioms ji galioja, taip pat konkreti medžiaga. Specialios licencijos pagal 2 straipsnio dalį suteikiamos iš principo neribotai trukmei, bet kompetentinga institucija gali jas sustabdyti arba atšaukti laikydamasi 4 straipsnio dalies 3 sakinio sąlygų.</w:t>
      </w:r>
    </w:p>
    <w:p w:rsidR="007A1594" w:rsidRDefault="007A1594" w:rsidP="007A1594">
      <w:pPr>
        <w:ind w:firstLine="720"/>
        <w:jc w:val="both"/>
        <w:rPr>
          <w:rFonts w:ascii="TimesLT" w:hAnsi="TimesLT"/>
        </w:rPr>
      </w:pPr>
      <w:r>
        <w:rPr>
          <w:rFonts w:ascii="TimesLT" w:hAnsi="TimesLT"/>
        </w:rPr>
        <w:t>Ūkio subjektai, pateikiantis į rinką į oficialų I priedo 2 kategorijos sąrašą įtrauktas medžiagas, privalo nedelsdami registruoti ir atnaujinti kompetentingose institucijose adresus patalpų, kuriose jie gamina šias medžiagas arba kuriose jie jomis prekiauja, prieš pateikdami jas į rinką. Vaistinėms, veterinarijos vaistų vaistinėms, tam tikrų tipų valstybinėms institucijoms arba ginkluotosioms pajėgoms gali būti skirta speciali registracija. Tokia registracija laikoma galiojančia tik prekursorių naudojimui tų ūkio subjektų oficialių prievolių srityje.</w:t>
      </w:r>
    </w:p>
    <w:p w:rsidR="007A1594" w:rsidRDefault="007A1594" w:rsidP="007A1594">
      <w:pPr>
        <w:ind w:firstLine="720"/>
        <w:jc w:val="both"/>
        <w:rPr>
          <w:rFonts w:ascii="TimesLT" w:hAnsi="TimesLT"/>
          <w:szCs w:val="22"/>
        </w:rPr>
      </w:pPr>
      <w:r>
        <w:rPr>
          <w:rFonts w:ascii="TimesLT" w:hAnsi="TimesLT"/>
          <w:szCs w:val="22"/>
        </w:rPr>
        <w:t xml:space="preserve"> Paprašyta pateikti informacija, kaip Lietuvoje veikia  toks mechanizmas ir kas jį  kontroliuoja,</w:t>
      </w:r>
      <w:r>
        <w:rPr>
          <w:rFonts w:ascii="TimesLT" w:hAnsi="TimesLT"/>
        </w:rPr>
        <w:t xml:space="preserve"> kaip yra atliekami tikrinamai  dėl nurodytų sąlygų užtikrinimo, kas tokius tikrinimus atliko 2005 –2006 metais, </w:t>
      </w:r>
      <w:r>
        <w:rPr>
          <w:rFonts w:ascii="TimesLT" w:hAnsi="TimesLT"/>
          <w:szCs w:val="22"/>
        </w:rPr>
        <w:t xml:space="preserve"> dėl licencijų nesuteikimo ir kam bei dėl kokių priežasčių buvo nesuteiktos licencijos, kaip perregistruojamos, tikrinamos tokios ūkio subjektų patalpos ir kas tokius tikrinimus 2005 – 2006 metais atliko. </w:t>
      </w:r>
    </w:p>
    <w:p w:rsidR="007A1594" w:rsidRDefault="007A1594" w:rsidP="007A1594">
      <w:pPr>
        <w:ind w:firstLine="720"/>
        <w:jc w:val="both"/>
        <w:rPr>
          <w:rFonts w:ascii="TimesLT" w:hAnsi="TimesLT"/>
          <w:szCs w:val="22"/>
        </w:rPr>
      </w:pPr>
      <w:r>
        <w:rPr>
          <w:rFonts w:ascii="TimesLT" w:hAnsi="TimesLT"/>
          <w:szCs w:val="22"/>
        </w:rPr>
        <w:t>Pranešdami apie įtartinus sandorius ūkio subjektai turėtų stengtis išsaugoti įrodymus. Tokiu atveju svarbų vaidmenį atlieka atsakingas ūkio subjekto pareigūnas, kuriam patikėta užtikrinti sandorių atitiktį teisės aktų nuostatoms. Paprašyta informacijos kas ir kur 2005 – 2006 metais tokius  atsakingus pareigūnus (gamintojus, platintojus, vežėjus) apmokė ir teikė instrukcijas.</w:t>
      </w:r>
    </w:p>
    <w:p w:rsidR="007A1594" w:rsidRDefault="007A1594" w:rsidP="007A1594">
      <w:pPr>
        <w:ind w:firstLine="720"/>
        <w:jc w:val="both"/>
        <w:rPr>
          <w:rFonts w:ascii="TimesLT" w:hAnsi="TimesLT"/>
          <w:szCs w:val="22"/>
        </w:rPr>
      </w:pPr>
      <w:r>
        <w:rPr>
          <w:rFonts w:ascii="TimesLT" w:hAnsi="TimesLT"/>
          <w:szCs w:val="22"/>
        </w:rPr>
        <w:t>„Į oficialų sąrašą neįtraukta medžiaga“ yra bet kokia medžiaga, kuri, nors ir nenurodyta I priede, identifikuojama kaip naudota neteisėtai narkotinių ar psichotropinių medžiagų gamybai. Tokioms medžiagoms netaikomi teisės reikalavimai, bet ūkio subjektai raginami savo noru stebėti su jomis susijusius sandorius. Tokių medžiagų sąrašus kompetentingos institucijos platina tik žinomiems ūkio subjektams. Nemažai chemikalais prekiaujančių įmonių prekiauja moksline įranga ir stiklo indais. Neteisėtos gamybos poreikiams naudojama įvairiausia pramoninė įranga arba jos dalis. Ar Ūkio ministerija turi tokios įrangos ar prietaisų sąrašus, kuriuos rekomenduojama stebėti, kad užkirsti kelią neteisėtam įrangos, kuri gali būti naudojama neteisėtoms narkotinėms medžiagoms gaminti, naudojimui. Kiek 2005 ir 2006 metais Lietuvoje nubausta ūkio subjektų aplaidžiai vykdžiusių pareigas apsaugoti chemines medžiagas ir įrangą, kad nebūtų sudaromos sąlygos neteisėtai narkotinių ar psichotropinių medžiagų gamybai.</w:t>
      </w:r>
    </w:p>
    <w:p w:rsidR="007A1594" w:rsidRDefault="007A1594" w:rsidP="007A1594">
      <w:pPr>
        <w:ind w:firstLine="720"/>
        <w:jc w:val="both"/>
        <w:rPr>
          <w:rFonts w:ascii="TimesLT" w:hAnsi="TimesLT"/>
          <w:szCs w:val="22"/>
        </w:rPr>
      </w:pPr>
      <w:r>
        <w:rPr>
          <w:rFonts w:ascii="TimesLT" w:hAnsi="TimesLT"/>
          <w:szCs w:val="22"/>
        </w:rPr>
        <w:t xml:space="preserve">Komisija klausė Ūkio ministerijos kaip yra įgyvendinami šie klausimai Lietuvoje ir kaip šiais klausimais yra atliekama valstybinė kontrolė. </w:t>
      </w:r>
    </w:p>
    <w:p w:rsidR="007A1594" w:rsidRDefault="007A1594" w:rsidP="007A1594">
      <w:pPr>
        <w:ind w:firstLine="720"/>
        <w:jc w:val="both"/>
        <w:rPr>
          <w:rFonts w:ascii="TimesLT" w:hAnsi="TimesLT"/>
        </w:rPr>
      </w:pPr>
      <w:r>
        <w:rPr>
          <w:rFonts w:ascii="TimesLT" w:hAnsi="TimesLT"/>
        </w:rPr>
        <w:t xml:space="preserve">Lietuvos Respublikos ūkio ministerija, atsakydama į Narkomanijos prevencijos komisijos 2007 04 03 raštu Nr. 293-S-18/S-2007-3349 pateiktus klausimus, nurodė, kad su narkotinių ir psichotropinių medžiagų pirmtakų (prekursorių) susijusia veikla, kontrolę atlieka kitos institucijos:  VVKT, SAM, muitinė, VRM. </w:t>
      </w:r>
    </w:p>
    <w:p w:rsidR="007A1594" w:rsidRDefault="007A1594" w:rsidP="007A1594">
      <w:pPr>
        <w:ind w:firstLine="720"/>
        <w:jc w:val="both"/>
        <w:rPr>
          <w:rFonts w:ascii="TimesLT" w:hAnsi="TimesLT"/>
        </w:rPr>
      </w:pPr>
      <w:r>
        <w:rPr>
          <w:rFonts w:ascii="TimesLT" w:hAnsi="TimesLT"/>
        </w:rPr>
        <w:t xml:space="preserve">Ūkio ministerija vadovaudamasi Lietuvos Respublikos Cheminių medžiagų  ir preparatų įstatymo 4 ir 25 straipsniais ir Lietuvos Respublikos Vyriausybės patvirtintais Ūkio ministerijos nuostatais dalyvauja formuojant ir įgyvendinant cheminių medžiagų ir preparatų politiką pramonėje ir versle pagal  darniosios plėtros principus. Esant reikalui, Ūkio ministerija atlieka ruošiamų ES ar nacionalinės teisės aktų projektų galimo poveikio vertinimą chemijos pramonei (kaip ir kitoms </w:t>
      </w:r>
      <w:r>
        <w:rPr>
          <w:rFonts w:ascii="TimesLT" w:hAnsi="TimesLT"/>
        </w:rPr>
        <w:lastRenderedPageBreak/>
        <w:t>pramonės šakoms) ir, esant ekonominiam pagrįstumui, imasi adekvačių priemonių. Ūkio ministerija tiesiogiai nedalyvauja  įgyvendinant Lietuvos Respublikos narkotinių ir psichotropinių medžiagų pirmtakų (prekursorių) kontrolės įstatymą, nekaupia ir nedisponuoja informacija apie narkotinių ir psichotropinių medžiagų pirmtakų (prekursorių) gamybai reikalinga įranga ir medžiagas.</w:t>
      </w:r>
    </w:p>
    <w:p w:rsidR="007A1594" w:rsidRDefault="007A1594" w:rsidP="007A1594">
      <w:pPr>
        <w:ind w:firstLine="720"/>
        <w:jc w:val="both"/>
        <w:rPr>
          <w:rFonts w:ascii="TimesLT" w:hAnsi="TimesLT"/>
        </w:rPr>
      </w:pPr>
      <w:r>
        <w:rPr>
          <w:rFonts w:ascii="TimesLT" w:hAnsi="TimesLT"/>
        </w:rPr>
        <w:t>Valstybinė ne maisto produktų inspekcija prie Ūkio ministerijos kontroliuoja ar į šalies rinką vartotojams teikiami ne maisto gaminiai (iš jų cheminės medžiagos ir preparatai, įskaitant patvarias organines medžiagas bei šių medžiagų turinčius gaminius) atitinka teisės aktų reikalavimus, tačiau nedalyvauja Lietuvos Respublikos narkotinių ir psichotropinių medžiagų pirmtakų (prekursorių) kontrolės įstatymo įgyvendinime.</w:t>
      </w:r>
    </w:p>
    <w:p w:rsidR="007A1594" w:rsidRDefault="007A1594" w:rsidP="007A1594">
      <w:pPr>
        <w:ind w:firstLine="720"/>
        <w:jc w:val="both"/>
        <w:rPr>
          <w:rFonts w:ascii="TimesLT" w:hAnsi="TimesLT"/>
        </w:rPr>
      </w:pPr>
      <w:r>
        <w:rPr>
          <w:rFonts w:ascii="TimesLT" w:hAnsi="TimesLT"/>
        </w:rPr>
        <w:t>Ūkio ministerija rašte nurodė, kad narkotinių ir psichotropinių medžiagų pirmtakų (prekursorių) gamybos,  pardavimo, platinimo, laikymo ar  kitokio disponavimo šiomis medžiagomis registro ir /ar kontrolės, su tuo susijusios institucijų ar ūkio subjektų atitinkamos veiklos licencijavimo, atsakomybės ir kiti rašte išvardinti klausimai nėra Ūkio ministerijos</w:t>
      </w:r>
      <w:r>
        <w:rPr>
          <w:rFonts w:ascii="TimesLT" w:hAnsi="TimesLT"/>
          <w:bCs/>
        </w:rPr>
        <w:t xml:space="preserve">  </w:t>
      </w:r>
      <w:r>
        <w:rPr>
          <w:rFonts w:ascii="TimesLT" w:hAnsi="TimesLT"/>
        </w:rPr>
        <w:t>ir jos įgaliotų institucijų kompetencijoje, todėl informacijos atsakymų į narkomanijos prevencijos komisijos klausimus dėl</w:t>
      </w:r>
      <w:r>
        <w:rPr>
          <w:rFonts w:ascii="TimesLT" w:hAnsi="TimesLT"/>
          <w:bCs/>
        </w:rPr>
        <w:t xml:space="preserve"> </w:t>
      </w:r>
      <w:r>
        <w:rPr>
          <w:rFonts w:ascii="TimesLT" w:hAnsi="TimesLT"/>
        </w:rPr>
        <w:t>narkotinių ir psichotropinių medžiagų pirmtakų (prekursorių) gamybos,  pardavimo, platinimo, laikymo ar  kitokio disponavimo šiomis medžiagomis registro ir /ar kontrolės, neturi.</w:t>
      </w:r>
    </w:p>
    <w:p w:rsidR="007A1594" w:rsidRDefault="007A1594" w:rsidP="007A1594">
      <w:pPr>
        <w:jc w:val="both"/>
        <w:rPr>
          <w:rFonts w:ascii="TimesLT" w:hAnsi="TimesLT"/>
        </w:rPr>
      </w:pP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t>Komisija tyrė kaip Lietuvos Respublikos Cheminių medžiagų ir preparatų įstatymas nustato cheminių medžiagų ir preparatų tiekimo rinkai ir kitus jų tvarkymo reikalavimus, siekiant apsaugoti žmonių sveikatą ir aplinką nuo cheminių medžiagų ir preparatų poveikio ar kitų padarinių.</w:t>
      </w:r>
    </w:p>
    <w:p w:rsidR="007A1594" w:rsidRDefault="007A1594" w:rsidP="007A1594">
      <w:pPr>
        <w:ind w:firstLine="720"/>
        <w:jc w:val="both"/>
        <w:rPr>
          <w:rFonts w:ascii="TimesLT" w:hAnsi="TimesLT"/>
        </w:rPr>
      </w:pPr>
      <w:r>
        <w:rPr>
          <w:rFonts w:ascii="TimesLT" w:hAnsi="TimesLT"/>
        </w:rPr>
        <w:t xml:space="preserve">Pagal Lietuvos Respublikos Cheminių medžiagų ir preparatų įstatymą </w:t>
      </w:r>
      <w:r>
        <w:rPr>
          <w:rFonts w:ascii="TimesLT" w:hAnsi="TimesLT"/>
          <w:bCs/>
        </w:rPr>
        <w:t xml:space="preserve">cheminė medžiaga </w:t>
      </w:r>
      <w:r>
        <w:rPr>
          <w:rFonts w:ascii="TimesLT" w:hAnsi="TimesLT"/>
        </w:rPr>
        <w:t>– natūralus ar dirbtinis cheminis elementas arba cheminių elementų junginys, įskaitant priedus, reikalingus gaminio stabilumui išlaikyti, ir priemaišas, atsirandančias gaminant, išskyrus tirpiklius, kurie gali būti atskirti nedarant poveikio medžiagos stabilumui bei nepakeičiant jos sudėties.</w:t>
      </w:r>
      <w:r>
        <w:rPr>
          <w:rFonts w:ascii="TimesLT" w:hAnsi="TimesLT"/>
          <w:bCs/>
        </w:rPr>
        <w:t xml:space="preserve"> </w:t>
      </w:r>
      <w:r>
        <w:rPr>
          <w:rFonts w:ascii="TimesLT" w:hAnsi="TimesLT"/>
        </w:rPr>
        <w:t>Cheminis preparatas</w:t>
      </w:r>
      <w:r>
        <w:rPr>
          <w:rFonts w:ascii="TimesLT" w:hAnsi="TimesLT"/>
          <w:bCs/>
        </w:rPr>
        <w:t xml:space="preserve"> </w:t>
      </w:r>
      <w:r>
        <w:rPr>
          <w:rFonts w:ascii="TimesLT" w:hAnsi="TimesLT"/>
        </w:rPr>
        <w:t>– dviejų ar daugiau cheminių medžiagų mišinys ar tirpalas.</w:t>
      </w:r>
    </w:p>
    <w:p w:rsidR="007A1594" w:rsidRDefault="007A1594" w:rsidP="007A1594">
      <w:pPr>
        <w:jc w:val="both"/>
        <w:rPr>
          <w:rFonts w:ascii="TimesLT" w:hAnsi="TimesLT" w:cs="Arial Unicode MS"/>
        </w:rPr>
      </w:pPr>
      <w:r>
        <w:rPr>
          <w:rFonts w:ascii="TimesLT" w:hAnsi="TimesLT"/>
        </w:rPr>
        <w:t xml:space="preserve">  </w:t>
      </w:r>
      <w:r>
        <w:rPr>
          <w:rFonts w:ascii="TimesLT" w:hAnsi="TimesLT"/>
        </w:rPr>
        <w:tab/>
        <w:t>Svarstant Lietuvos Respublikos Cheminių medžiagų ir preparatų įstatymo projektą Nr. XP – 1107 ES, 2006 m. balandžio 12 d. Seimo Aplinkos apsaugos komitetas  nurodė, kad “</w:t>
      </w:r>
      <w:r>
        <w:rPr>
          <w:rFonts w:ascii="TimesLT" w:hAnsi="TimesLT"/>
          <w:szCs w:val="22"/>
        </w:rPr>
        <w:t xml:space="preserve">ES direktyvose, kurios įgyvendinamos Cheminių medžiagų ir preparatų įstatymu, nenumatyta, jog direktyvų nuostatos netaikomos narkotinių ir psichotropinių medžiagų pirmtakams (prekursoriams). Tai yra logiška, kadangi šios medžiagos iš esmės yra cheminės medžiagos naudojamos įvairiems tikslams, ir joms, kaip ir kitoms cheminėms medžiagoms pvz., trąšoms, plovikliams ir t.t., taikomi bendrieji reikalavimai, atitinkantys minėtų direktyvų nuostatas, nepaisant to, jog atskiroms cheminių medžiagų grupėms (tarp jų ir narkotinių bei psichotropinių medžiagų  pirmtakams) nustatyti specialūs reglamentavimai kitais ES teisės aktais, konvencijomis ar tarptautinėmis sutartimis”. </w:t>
      </w:r>
    </w:p>
    <w:p w:rsidR="007A1594" w:rsidRDefault="007A1594" w:rsidP="007A1594">
      <w:pPr>
        <w:jc w:val="both"/>
        <w:rPr>
          <w:rFonts w:ascii="TimesLT" w:hAnsi="TimesLT"/>
        </w:rPr>
      </w:pPr>
      <w:r>
        <w:rPr>
          <w:rFonts w:ascii="TimesLT" w:hAnsi="TimesLT"/>
        </w:rPr>
        <w:t xml:space="preserve"> </w:t>
      </w:r>
      <w:r>
        <w:rPr>
          <w:rFonts w:ascii="TimesLT" w:hAnsi="TimesLT"/>
        </w:rPr>
        <w:tab/>
        <w:t xml:space="preserve">Tokiu būdu,  </w:t>
      </w:r>
      <w:r>
        <w:rPr>
          <w:rFonts w:ascii="TimesLT" w:hAnsi="TimesLT"/>
          <w:szCs w:val="22"/>
        </w:rPr>
        <w:t>cheminėms medžiagoms - narkotinių bei psichotropinių medžiagų  pirmtakams turėtų būti  taikomi bendrieji reikalavimai ir specialūs reglamentavimai, atitinkantys minėtų direktyvų nuostatas, konvencijoms ar tarptautinėms sutartims.</w:t>
      </w:r>
    </w:p>
    <w:p w:rsidR="007A1594" w:rsidRDefault="007A1594" w:rsidP="007A1594">
      <w:pPr>
        <w:jc w:val="both"/>
        <w:rPr>
          <w:rFonts w:ascii="TimesLT" w:hAnsi="TimesLT"/>
        </w:rPr>
      </w:pPr>
    </w:p>
    <w:p w:rsidR="007A1594" w:rsidRDefault="007A1594" w:rsidP="007A1594">
      <w:pPr>
        <w:ind w:firstLine="720"/>
        <w:jc w:val="both"/>
        <w:rPr>
          <w:rFonts w:ascii="TimesLT" w:hAnsi="TimesLT"/>
        </w:rPr>
      </w:pPr>
      <w:r>
        <w:rPr>
          <w:rFonts w:ascii="TimesLT" w:hAnsi="TimesLT"/>
        </w:rPr>
        <w:t xml:space="preserve">Todėl, Narkomanijos prevencijos komisija paprašė Aplinkos ministerijos pateikti informaciją dėl cheminių medžiagų ir preparatų išvardintų Reglamento (EB) Nr. 111/2005 priede ir Reglamento (EB) Nr. 273/2004 I priede ir </w:t>
      </w:r>
      <w:r>
        <w:rPr>
          <w:rFonts w:ascii="TimesLT" w:hAnsi="TimesLT"/>
          <w:szCs w:val="22"/>
        </w:rPr>
        <w:t>„į oficialų sąrašą neįtrauktų medžiagų“, kurios, nors ir nenurodytos I priede, identifikuojamos kaip naudojamos neteisėtai narkotinių ar psichotropinių medžiagų gamybai</w:t>
      </w:r>
      <w:r>
        <w:rPr>
          <w:rFonts w:ascii="TimesLT" w:hAnsi="TimesLT"/>
        </w:rPr>
        <w:t xml:space="preserve">: </w:t>
      </w:r>
    </w:p>
    <w:p w:rsidR="007A1594" w:rsidRDefault="007A1594" w:rsidP="007A1594">
      <w:pPr>
        <w:ind w:firstLine="720"/>
        <w:jc w:val="both"/>
        <w:rPr>
          <w:rFonts w:ascii="TimesLT" w:hAnsi="TimesLT"/>
        </w:rPr>
      </w:pPr>
      <w:r>
        <w:rPr>
          <w:rFonts w:ascii="TimesLT" w:hAnsi="TimesLT"/>
        </w:rPr>
        <w:t>1. Kokios įmonės, chemijos laboratorijos  Lietuvoje 2004 -  2006 metais teisėtai gamino chemines medžiagas ir preparatus išvardintus pagal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2. Kokios įmonės, chemijos laboratorijos  Lietuvoje 2004 - 2006 metais teisėtai disponavo mokslo ir medicinos tikslais  cheminėmis medžiagomis ir preparatais pagal kategorijas išvardintais Reglamento (EB) Nr. 111/2005 priede ir Reglamento (EB) Nr. 273/2004 I priede.</w:t>
      </w:r>
    </w:p>
    <w:p w:rsidR="007A1594" w:rsidRDefault="007A1594" w:rsidP="007A1594">
      <w:pPr>
        <w:ind w:firstLine="720"/>
        <w:jc w:val="both"/>
        <w:rPr>
          <w:rFonts w:ascii="TimesLT" w:hAnsi="TimesLT"/>
        </w:rPr>
      </w:pPr>
      <w:r>
        <w:rPr>
          <w:rFonts w:ascii="TimesLT" w:hAnsi="TimesLT"/>
        </w:rPr>
        <w:t>3. Kokios įmonės, chemijos laboratorijos ir kiti ūkio subjektai  Lietuvoje 2004 - 2006 metais teisėtai įvežė chemines medžiagas ir preparatus išvardintus pagal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4. Kokios įmonės, chemijos laboratorijos ir kiti ūkio subjektai  Lietuvoje 2004 - 2006 metais teisėtai išvežė chemines medžiagas ir preparatus išvardintus pagal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lastRenderedPageBreak/>
        <w:t>5. Kokios įmonės, chemijos laboratorijos  ir kiti ūkio subjektai  Lietuvoje 2004 - 2006 metais prekiavo (vidaus ir išorės prekyba) cheminėmis medžiagomis ir preparatais išvardintais pagal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6. Kokios įmonės, chemijos laboratorijos ir kiti ūkio subjektai  Lietuvoje 2004 - 2006 metais užsiėmė tarpininkavimo veikla cheminėmis medžiagomis ir preparatais išvardintais pagal  kategorijas Reglamento (EB) Nr. 111/2005 priede ir Reglamento (EB) Nr. 273/2004 I priede.</w:t>
      </w:r>
    </w:p>
    <w:p w:rsidR="007A1594" w:rsidRDefault="007A1594" w:rsidP="007A1594">
      <w:pPr>
        <w:ind w:firstLine="720"/>
        <w:jc w:val="both"/>
        <w:rPr>
          <w:rFonts w:ascii="TimesLT" w:hAnsi="TimesLT"/>
        </w:rPr>
      </w:pPr>
      <w:r>
        <w:rPr>
          <w:rFonts w:ascii="TimesLT" w:hAnsi="TimesLT"/>
        </w:rPr>
        <w:t>7. Kaip Aplinkos ministerija atliko valstybinę kontrolę, kad  2 ir 3 kategorijos medžiagų prekybos ar eksporto kiekiai  nesiektų  tam tikrų ribinių verčių, kurios yra numatytos ūkio subjektams Narkotinių medžiagų pirmtakų (prekursorių) kontrolės Europos Sąjungoje gairėse.</w:t>
      </w:r>
    </w:p>
    <w:p w:rsidR="007A1594" w:rsidRDefault="007A1594" w:rsidP="007A1594">
      <w:pPr>
        <w:ind w:firstLine="720"/>
        <w:jc w:val="both"/>
        <w:rPr>
          <w:rFonts w:ascii="TimesLT" w:hAnsi="TimesLT"/>
        </w:rPr>
      </w:pPr>
      <w:r>
        <w:rPr>
          <w:rFonts w:ascii="TimesLT" w:hAnsi="TimesLT"/>
        </w:rPr>
        <w:t>8. Ar Aplinkos ministerija kontroliuoja, kad įmonės, chemijos laboratorijos ir kiti ūkio subjektai  kasmet kompetentingoms institucijoms (nurodyti kokioms) teiktų ataskaitas apie cheminių medžiagų ir preparatų išvardintų Reglamento (EB) Nr. 111/2005 priede ir Reglamento (EB) Nr. 273/2004 I priede  eksportą, importą, tarpininkavimo veiklą ir kaip tokia kontrolė buvo vykdoma.</w:t>
      </w:r>
    </w:p>
    <w:p w:rsidR="007A1594" w:rsidRDefault="007A1594" w:rsidP="007A1594">
      <w:pPr>
        <w:ind w:firstLine="720"/>
        <w:jc w:val="both"/>
        <w:rPr>
          <w:rFonts w:ascii="TimesLT" w:hAnsi="TimesLT"/>
        </w:rPr>
      </w:pPr>
      <w:r>
        <w:rPr>
          <w:rFonts w:ascii="TimesLT" w:hAnsi="TimesLT"/>
        </w:rPr>
        <w:t>9. Kokiais dokumentais vadovaujantis chemijos pramonės įmonės, chemijos laboratorijos praneša kompetentingoms institucijoms  (nurodyti kokioms) apie cheminių medžiagų ir preparatų išvardintų Reglamento (EB) Nr. 111/2005 priede ir Reglamento (EB) Nr. 273/2004 I priede įtartinus sandorius ar užsakymus.</w:t>
      </w:r>
    </w:p>
    <w:p w:rsidR="007A1594" w:rsidRDefault="007A1594" w:rsidP="007A1594">
      <w:pPr>
        <w:ind w:firstLine="720"/>
        <w:jc w:val="both"/>
        <w:rPr>
          <w:rFonts w:ascii="TimesLT" w:hAnsi="TimesLT"/>
        </w:rPr>
      </w:pPr>
      <w:r>
        <w:rPr>
          <w:rFonts w:ascii="TimesLT" w:hAnsi="TimesLT"/>
        </w:rPr>
        <w:t xml:space="preserve">10. Kokie nustatyti reikalavimai įmonėms ir chemijos laboratorijoms, kad apsaugoti patalpas, kuriose laikomi pirmtakai (prekursoriai) nuo vagysčių ir kas kontroliuoja ar jų laikomasi. </w:t>
      </w:r>
    </w:p>
    <w:p w:rsidR="007A1594" w:rsidRDefault="007A1594" w:rsidP="007A1594">
      <w:pPr>
        <w:ind w:firstLine="720"/>
        <w:jc w:val="both"/>
        <w:rPr>
          <w:rFonts w:ascii="TimesLT" w:hAnsi="TimesLT"/>
        </w:rPr>
      </w:pPr>
      <w:r>
        <w:rPr>
          <w:rFonts w:ascii="TimesLT" w:hAnsi="TimesLT"/>
        </w:rPr>
        <w:t>11. Kokia tvarka ūkio subjektai užregistruoja patalpas, kuriose sandėliuojamos cheminės medžiagos ir preparatai išvardinti Reglamento (EB) Nr. 111/2005 priede ir Reglamento (EB) Nr. 273/2004 I priede ir kam  teikiama informacija apie pasikeitimus.</w:t>
      </w:r>
    </w:p>
    <w:p w:rsidR="007A1594" w:rsidRDefault="007A1594" w:rsidP="007A1594">
      <w:pPr>
        <w:ind w:firstLine="720"/>
        <w:jc w:val="both"/>
        <w:rPr>
          <w:rFonts w:ascii="TimesLT" w:hAnsi="TimesLT"/>
        </w:rPr>
      </w:pPr>
      <w:r>
        <w:rPr>
          <w:rFonts w:ascii="TimesLT" w:hAnsi="TimesLT"/>
        </w:rPr>
        <w:t>12. Ar ūkio subjektai teikia kompetentingoms institucijoms ataskaitas apie pirmtakų (prekursorių) panaudotus kiekius ir apie pirkėjus? Ar tokių prašymų būta iš kompetentingų institucijų.</w:t>
      </w:r>
    </w:p>
    <w:p w:rsidR="007A1594" w:rsidRDefault="007A1594" w:rsidP="007A1594">
      <w:pPr>
        <w:ind w:firstLine="720"/>
        <w:jc w:val="both"/>
        <w:rPr>
          <w:rFonts w:ascii="TimesLT" w:hAnsi="TimesLT"/>
        </w:rPr>
      </w:pPr>
      <w:r>
        <w:rPr>
          <w:rFonts w:ascii="TimesLT" w:hAnsi="TimesLT"/>
        </w:rPr>
        <w:t>13. Iš kokių valstybinių institucijų Aplinkos ministerija gauna informaciją kaip atpažinti įtartinus sandorius dėl chemikalų iš kurių gali būti neteisėtai gaminami narkotikai? Kaip yra apmokyti atsakingi pareigūnai nustatyti įtartinų sandorių rizikos  rodiklius pagal kuriuos ūkio subjektai galėtų nustatyti neteisėto naudojimo bandymus.</w:t>
      </w:r>
    </w:p>
    <w:p w:rsidR="007A1594" w:rsidRDefault="007A1594" w:rsidP="007A1594">
      <w:pPr>
        <w:ind w:firstLine="720"/>
        <w:jc w:val="both"/>
        <w:rPr>
          <w:rFonts w:ascii="TimesLT" w:hAnsi="TimesLT"/>
        </w:rPr>
      </w:pPr>
      <w:r>
        <w:rPr>
          <w:rFonts w:ascii="TimesLT" w:hAnsi="TimesLT"/>
        </w:rPr>
        <w:t>14. Kokių priemonių  Aplinkos ministerija imasi, kad užkirstų kelią neteisėtam įrangos, kuri gali būti naudojama neteisėtoms narkotinėms medžiagoms gaminti, naudojimui ir ar turi  patvirtintus tokios įrangos sąrašus.</w:t>
      </w:r>
    </w:p>
    <w:p w:rsidR="007A1594" w:rsidRDefault="007A1594" w:rsidP="007A1594">
      <w:pPr>
        <w:ind w:firstLine="720"/>
        <w:jc w:val="both"/>
        <w:rPr>
          <w:rFonts w:ascii="TimesLT" w:hAnsi="TimesLT"/>
        </w:rPr>
      </w:pPr>
      <w:r>
        <w:rPr>
          <w:rFonts w:ascii="TimesLT" w:hAnsi="TimesLT"/>
        </w:rPr>
        <w:t>15. Ar Aplinkos ministerija turi informacijos apie tokios įrangos dingimus.</w:t>
      </w:r>
    </w:p>
    <w:p w:rsidR="007A1594" w:rsidRDefault="007A1594" w:rsidP="007A1594">
      <w:pPr>
        <w:ind w:firstLine="720"/>
        <w:jc w:val="both"/>
        <w:rPr>
          <w:rFonts w:ascii="TimesLT" w:hAnsi="TimesLT"/>
        </w:rPr>
      </w:pPr>
      <w:r>
        <w:rPr>
          <w:rFonts w:ascii="TimesLT" w:hAnsi="TimesLT"/>
        </w:rPr>
        <w:t>16. Ar Aplinkos ministerija turi informacijos apie dingimus:</w:t>
      </w:r>
    </w:p>
    <w:p w:rsidR="007A1594" w:rsidRDefault="007A1594" w:rsidP="007A1594">
      <w:pPr>
        <w:ind w:firstLine="720"/>
        <w:jc w:val="both"/>
        <w:rPr>
          <w:rFonts w:ascii="TimesLT" w:hAnsi="TimesLT"/>
        </w:rPr>
      </w:pPr>
      <w:r>
        <w:rPr>
          <w:rFonts w:ascii="TimesLT" w:hAnsi="TimesLT"/>
        </w:rPr>
        <w:t>1 kategorijai priskiriamos didesnės rizikos medžiagos (“pagrindiniai” narkotinių medžiagų pirmtakai (prekursoriai);</w:t>
      </w:r>
    </w:p>
    <w:p w:rsidR="007A1594" w:rsidRDefault="007A1594" w:rsidP="007A1594">
      <w:pPr>
        <w:ind w:firstLine="720"/>
        <w:jc w:val="both"/>
        <w:rPr>
          <w:rFonts w:ascii="TimesLT" w:hAnsi="TimesLT"/>
        </w:rPr>
      </w:pPr>
      <w:r>
        <w:rPr>
          <w:rFonts w:ascii="TimesLT" w:hAnsi="TimesLT"/>
        </w:rPr>
        <w:t xml:space="preserve">2 kategorijai priskiriamos medžiagos mažesnės rizikos medžiagos ir “pirminiai pirmtakai (prekursoriai); </w:t>
      </w:r>
    </w:p>
    <w:p w:rsidR="007A1594" w:rsidRDefault="007A1594" w:rsidP="007A1594">
      <w:pPr>
        <w:ind w:firstLine="720"/>
        <w:jc w:val="both"/>
        <w:rPr>
          <w:rFonts w:ascii="TimesLT" w:hAnsi="TimesLT"/>
        </w:rPr>
      </w:pPr>
      <w:r>
        <w:rPr>
          <w:rFonts w:ascii="TimesLT" w:hAnsi="TimesLT"/>
        </w:rPr>
        <w:t xml:space="preserve">3  kategorijai priskiriamos piltinės cheminės medžiagos, kurios gali būti naudojamos įvairioms paskirtims gamybos procese (pramonės žaliavos, taip pat tirpikliai, nešvarumų tirpikliai ir kt.). </w:t>
      </w:r>
    </w:p>
    <w:p w:rsidR="007A1594" w:rsidRDefault="007A1594" w:rsidP="007A1594">
      <w:pPr>
        <w:ind w:firstLine="720"/>
        <w:jc w:val="both"/>
        <w:rPr>
          <w:rFonts w:ascii="TimesLT" w:hAnsi="TimesLT"/>
        </w:rPr>
      </w:pPr>
      <w:r>
        <w:rPr>
          <w:rFonts w:ascii="TimesLT" w:hAnsi="TimesLT"/>
        </w:rPr>
        <w:t xml:space="preserve">17. Ar Aplinkos ministerija disponuoja informacija apie ūkio subjektus, pažeidusius cheminių medžiagų ir preparatų, iš kurių galima pagaminti narkotikus, tiekimo rinkai ar naudojimo ribojimo sąlygas, ar tokie asmenys buvo patraukti baudžiamojon, administracinės ar civilinėn atsakomybėn įstatymų nustatyta tvarka. </w:t>
      </w:r>
    </w:p>
    <w:p w:rsidR="007A1594" w:rsidRDefault="007A1594" w:rsidP="007A1594">
      <w:pPr>
        <w:ind w:firstLine="720"/>
        <w:jc w:val="both"/>
        <w:rPr>
          <w:rFonts w:ascii="TimesLT" w:hAnsi="TimesLT"/>
        </w:rPr>
      </w:pPr>
      <w:r>
        <w:rPr>
          <w:rFonts w:ascii="TimesLT" w:hAnsi="TimesLT"/>
        </w:rPr>
        <w:t>18. Ar Aplinkos ministerija kontroliuoja kaip utilizuojamos panaudotos cheminės medžiagos ir preparatai bei įranga, iš kurių nusikalstamos struktūros galėtų pasigaminti narkotines ir psichotropines medžiagas? Kaip dažnai tokie patikrinimai atliekami? Ar nustatyti pažeidimai.</w:t>
      </w:r>
    </w:p>
    <w:p w:rsidR="007A1594" w:rsidRDefault="007A1594" w:rsidP="007A1594">
      <w:pPr>
        <w:ind w:firstLine="720"/>
        <w:jc w:val="both"/>
        <w:rPr>
          <w:rFonts w:ascii="TimesLT" w:hAnsi="TimesLT"/>
        </w:rPr>
      </w:pPr>
      <w:r>
        <w:rPr>
          <w:rFonts w:ascii="TimesLT" w:hAnsi="TimesLT"/>
        </w:rPr>
        <w:t>19. Kaip dažnai Aplinkos ministerijos padaliniai  atlieka patikrinimus sąvartynuose  dėl išmestos įrangos ar išpiltų cheminių medžiagų ir preparatų, iš  kurių nusikalstamos struktūros galėtų pasigaminti sintetinius narkotikus. Ar nustatyti pažeidimai? Kam pranešta apie patikrinimų rezultatus.</w:t>
      </w:r>
    </w:p>
    <w:p w:rsidR="007A1594" w:rsidRDefault="007A1594" w:rsidP="007A1594">
      <w:pPr>
        <w:ind w:firstLine="720"/>
        <w:jc w:val="both"/>
        <w:rPr>
          <w:rFonts w:ascii="TimesLT" w:hAnsi="TimesLT"/>
        </w:rPr>
      </w:pPr>
      <w:r>
        <w:rPr>
          <w:rFonts w:ascii="TimesLT" w:hAnsi="TimesLT"/>
        </w:rPr>
        <w:t xml:space="preserve">20. Ar vykdoma valstybinė kontrolė dėl  „į oficialų sąrašą neįtrauktų medžiagų“, kurios, nors ir nenurodytos I priede, bet identifikuojamos kaip naudojamos neteisėtai narkotinių ar psichotropinių medžiagų gamybai. Tokioms medžiagoms netaikomi teisės reikalavimai, bet ūkio subjektai raginami savo noru stebėti su jomis susijusius sandorius. </w:t>
      </w:r>
    </w:p>
    <w:p w:rsidR="007A1594" w:rsidRDefault="007A1594" w:rsidP="007A1594">
      <w:pPr>
        <w:ind w:firstLine="720"/>
        <w:jc w:val="both"/>
        <w:rPr>
          <w:rFonts w:ascii="TimesLT" w:hAnsi="TimesLT"/>
        </w:rPr>
      </w:pPr>
      <w:r>
        <w:rPr>
          <w:rFonts w:ascii="TimesLT" w:hAnsi="TimesLT"/>
          <w:szCs w:val="22"/>
        </w:rPr>
        <w:t xml:space="preserve">Paprašyta pateikti informaciją,  kokiu būdu  Aplinkos ministerija atlieka valstybinę kontrolę, kokiais teisės aktais vadovaujasi, ar turi tokius medžiagų sąrašus, ar turi ūkio subjektų sąrašus ir kaip </w:t>
      </w:r>
      <w:r>
        <w:rPr>
          <w:rFonts w:ascii="TimesLT" w:hAnsi="TimesLT"/>
          <w:szCs w:val="22"/>
        </w:rPr>
        <w:lastRenderedPageBreak/>
        <w:t xml:space="preserve">vykdoma  kontrolė, </w:t>
      </w:r>
      <w:r>
        <w:rPr>
          <w:rFonts w:ascii="TimesLT" w:hAnsi="TimesLT"/>
        </w:rPr>
        <w:t>tokioms medžiagoms, kurioms netaikomi teisės reikalavimai, bet ūkio subjektai raginami savo noru stebėti su jomis susijusius sandorius.</w:t>
      </w:r>
    </w:p>
    <w:p w:rsidR="007A1594" w:rsidRDefault="007A1594" w:rsidP="007A1594">
      <w:pPr>
        <w:jc w:val="both"/>
        <w:rPr>
          <w:rFonts w:ascii="TimesLT" w:hAnsi="TimesLT"/>
          <w:bCs/>
        </w:rPr>
      </w:pPr>
      <w:r>
        <w:rPr>
          <w:rFonts w:ascii="TimesLT" w:hAnsi="TimesLT"/>
        </w:rPr>
        <w:t xml:space="preserve"> </w:t>
      </w:r>
      <w:r>
        <w:rPr>
          <w:rFonts w:ascii="TimesLT" w:hAnsi="TimesLT"/>
        </w:rPr>
        <w:tab/>
        <w:t xml:space="preserve">Lietuvos Respublikos Aplinkos ministerija, atsakydama į Narkomanijos prevencijos komisijos  2007 04 03 raštu Nr. 293-S-19/S-2007-3407 pateiktus klausimus apie veiklą, susijusią su narkotinių ir psichotropinių medžiagų pirmtakais (prekursoriais), atsakė, kad Aplinkos ministerija nėra įpareigota vykdyti veiklos, susijusios su pirmtakais (prekursoriais), kontrolės.   </w:t>
      </w:r>
    </w:p>
    <w:p w:rsidR="007A1594" w:rsidRDefault="007A1594" w:rsidP="007A1594">
      <w:pPr>
        <w:ind w:firstLine="720"/>
        <w:jc w:val="both"/>
        <w:rPr>
          <w:rFonts w:ascii="TimesLT" w:hAnsi="TimesLT"/>
        </w:rPr>
      </w:pPr>
      <w:r>
        <w:rPr>
          <w:rFonts w:ascii="TimesLT" w:hAnsi="TimesLT"/>
        </w:rPr>
        <w:t>Atsakydama į Narkomanijos prevencijos komisijos klausimus kokios įmonės, chemijos laboratorijos 2004 – 2006 metais teisėtai gamino, teisėtai disponavo mokslo ir medicinos tikslais, teisėtai įvežė ir išvežė, prekiavo (vidaus ir išorės prekyba) cheminėmis medžiagomis ir preparatais išvardintais pagal kategorijas Reglamento 273/2004/EB I priede ir Reglamento 111/2004/EB ir kt., Aplinkos ministerija nurodė, kad  neturi informacijos duomenų bazėje apie chemines medžiagas, išvardintas Reglamento 273/2004/EB I priedo I kategorijoje. Iš medžiagų, priskirtų šio priedo 2 kategorijai, turima informacija (pateiktas 2004-2005 metų sąrašas) tik apie kalio permanganato ir 3 kategorijos chemines medžiagas.</w:t>
      </w:r>
    </w:p>
    <w:p w:rsidR="007A1594" w:rsidRDefault="007A1594" w:rsidP="007A1594">
      <w:pPr>
        <w:ind w:firstLine="720"/>
        <w:jc w:val="both"/>
        <w:rPr>
          <w:rFonts w:ascii="TimesLT" w:hAnsi="TimesLT"/>
        </w:rPr>
      </w:pPr>
      <w:r>
        <w:rPr>
          <w:rFonts w:ascii="TimesLT" w:hAnsi="TimesLT"/>
        </w:rPr>
        <w:t xml:space="preserve"> Lietuvos Respublikos Vyriausybės 2000 m. gegužės 8 d. nutarimu Nr. 509 ( Žin., 2000, Nr. 38-1068), kuriuo numatytos pareigos ūkio subjektams teikti Valstybinei vaistų kontrolės tarnybai ataskaitas, kiek įvežta ir išvežta pirmtakų bei šios tarnybos teisės imtis veiksmų, jei ūkio subjektas nevykdo jam nustatytų pareigų. Valstybinei vaistų kontrolės tarnybai ataskaitas ūkio subjektai teikia   ir dėl vykdytų sandorių. </w:t>
      </w:r>
    </w:p>
    <w:p w:rsidR="007A1594" w:rsidRDefault="007A1594" w:rsidP="007A1594">
      <w:pPr>
        <w:ind w:firstLine="720"/>
        <w:jc w:val="both"/>
        <w:rPr>
          <w:rFonts w:ascii="TimesLT" w:hAnsi="TimesLT"/>
        </w:rPr>
      </w:pPr>
      <w:r>
        <w:rPr>
          <w:rFonts w:ascii="TimesLT" w:hAnsi="TimesLT"/>
        </w:rPr>
        <w:t xml:space="preserve">Pagal Lietuvos Respublikos cheminių medžiagų ir preparatų įstatymą (Žin., 200, Nr. 36-987; 2006, Nr. 65-2381) yra atsakingi jų naudotojai, kurie privalo turėti duomenų apie jų pavojingąsias savybes, taikyti atitinkamas saugos priemones, taip pat sandėliuojant atsižvelgti į kitą informaciją tiekėjo pateiktame saugos duomenų lape, įskaitant pirmtakų (prekursorių) saugų tvarkymą ir  jų sandėliavimą. </w:t>
      </w:r>
    </w:p>
    <w:p w:rsidR="007A1594" w:rsidRDefault="007A1594" w:rsidP="007A1594">
      <w:pPr>
        <w:ind w:firstLine="720"/>
        <w:jc w:val="both"/>
        <w:rPr>
          <w:rFonts w:ascii="TimesLT" w:hAnsi="TimesLT"/>
        </w:rPr>
      </w:pPr>
      <w:r>
        <w:rPr>
          <w:rFonts w:ascii="TimesLT" w:hAnsi="TimesLT"/>
        </w:rPr>
        <w:t>Aplinkos ministerija neturi informacijos apie pirmtakų (prekursorių) panaudotą ar parduotą kiekį, nesusipažinusi su įrangos sąrašo, kuri gali būti panaudota neteisėtai narkotikų gamybai ir neturi informacijos apie tokios įrangos dingimus ir nekontroliuoja specialiųjų reikalavimų, skirtų veiklos, susijusios su narkotinių ir psichotropinių medžiagų pirmtakais (prekursoriais) įgyvendinimu. Aplinkos ministerijos regionų aplinkos apsaugos departamentai, vadovaudamiesi Atliekų tvarkymo įstatymu, Atliekų tvarkymo taisyklėmis ir Atliekų sąvartynų įrengimo, eksploatavimo, uždarymo ir priežiūros po uždarymo taisyklėmis, kontroliuoja sąvartynų veiklą, kad nekiltų arba kiek galima būtų sumažintas sąvartynų neigiamas poveikis aplinkai.  Neturi tiesioginės ar netiesioginės informacijos, kad  Lietuvos ūkio subjektuose būtų identifikuoti atvejai, kai iš cheminių medžiagų, neįtrauktų į oficialiuosius pirmtakų (prekursorių) sąrašus, būtų bandoma gaminti narkotikus.</w:t>
      </w:r>
    </w:p>
    <w:p w:rsidR="007A1594" w:rsidRDefault="007A1594" w:rsidP="007A1594">
      <w:pPr>
        <w:ind w:firstLine="720"/>
        <w:jc w:val="both"/>
        <w:rPr>
          <w:rFonts w:ascii="TimesLT" w:hAnsi="TimesLT"/>
        </w:rPr>
      </w:pPr>
      <w:r>
        <w:rPr>
          <w:rFonts w:ascii="TimesLT" w:hAnsi="TimesLT"/>
        </w:rPr>
        <w:t>Aplinkos ministerija minėtame rašte pažymėjo, kad Valstybinė aplinkos apsaugos kontrolės inspekcija, atlikdama aplinkos apsaugos valstybinę kontrolę, vadovaujasi Aplinkos apsaugos valstybinės kontrolės įstatymu (Žin., 2002, Nr. 72 –3017; 2006, Nr. 72-2667) ir kitais su šiuo įstatymu susijusiais aktais. Pagrindinis kontrolės tikslas – aplinkosauginių normų laikymosi kontrolė. Kontroliuojama, ar cheminės medžiagos ir preparatai (išskyrus teikiamas rinkai chemines medžiagas ir preparatus, skirtus vartotojų asmeniniams ir namų ūkio poreikiams tenkinti) klasifikuojami, ženklinami, pakuojami, saugomi, laikomi, įtraukiami į apskaitą ir jų apskaita vykdoma pagal Aplinkos ministerijos kompetencijai priskirtų teisės aktų reikalavimus, teisėtai naudojami, jais disponuojama; nepažeidžiami pranešimų apie naujas chemines medžiagas, duomenų, ataskaitų dėl cheminių medžiagų ir preparatų teikimo  reikalavimai; taip pat kontroliuoja, ar  nepažeidžiami cheminių medžiagų ir preparatų, įrašytų į tiesiogiai taikomų ES reglamentų, kurių įgyvendinimo kontrolė priskirta Aplinkos ministerijai, sąrašus importo (įvežimo) į Lietuvos Respublikos teritoriją ir eksporto (išvežimo) iš Lietuvos Respublikos teritorijos reikalavimai. Vykdyti specialias narkotinių medžiagų gamybos prevencijos ar panašias funkcijas Valstybinė aplinkos apsaugos kontrolės inspekcijos pareigūnai nėra įgalioti ir specialiai apmokyti.</w:t>
      </w:r>
    </w:p>
    <w:p w:rsidR="007A1594" w:rsidRDefault="007A1594" w:rsidP="007A1594">
      <w:pPr>
        <w:ind w:firstLine="720"/>
        <w:jc w:val="both"/>
        <w:rPr>
          <w:rFonts w:ascii="TimesLT" w:hAnsi="TimesLT"/>
        </w:rPr>
      </w:pPr>
      <w:r>
        <w:rPr>
          <w:rFonts w:ascii="TimesLT" w:hAnsi="TimesLT"/>
        </w:rPr>
        <w:t>Aplinkos ministerija atsakė, kontroliuoja šias medžiagas ir klausimus liečiančius šią medžiagų grupę tiek, kiek ir kitas chemines medžiagas, reglamentuojamas bendro pobūdžio cheminių medžiagų srities teisės aktais, kurių įgyvendinimo kontrolę pavesta atlikti Aplinkos ministerijai ar jos įgaliotai institucijai.</w:t>
      </w:r>
    </w:p>
    <w:p w:rsidR="007A1594" w:rsidRDefault="007A1594" w:rsidP="007A1594">
      <w:pPr>
        <w:ind w:firstLine="720"/>
        <w:jc w:val="both"/>
        <w:rPr>
          <w:rFonts w:ascii="TimesLT" w:hAnsi="TimesLT"/>
        </w:rPr>
      </w:pPr>
      <w:r>
        <w:rPr>
          <w:rFonts w:ascii="TimesLT" w:hAnsi="TimesLT" w:cs="Tahoma"/>
          <w:szCs w:val="20"/>
        </w:rPr>
        <w:tab/>
        <w:t xml:space="preserve"> Narkomanijos prevencijos komisija 2007 09 03 raštu Nr. 293-S-53 pateikdama  Seimo Pirmininko Pirmajam pavaduotojui Kovo 11-osios Nepriklausomybės Akto Signatarui Česlovui Juršėnui Komisijos darbo VI (pavasario) sesijoje ataskaitą ir siūlymus rudens sesijos darbų programai </w:t>
      </w:r>
      <w:r>
        <w:rPr>
          <w:rFonts w:ascii="TimesLT" w:hAnsi="TimesLT" w:cs="Tahoma"/>
          <w:szCs w:val="20"/>
        </w:rPr>
        <w:lastRenderedPageBreak/>
        <w:t xml:space="preserve">atkreipė dėmesį į tai, kad </w:t>
      </w:r>
      <w:r>
        <w:rPr>
          <w:rFonts w:ascii="TimesLT" w:hAnsi="TimesLT"/>
        </w:rPr>
        <w:t xml:space="preserve"> Jungtinių Tautų Tarptautinės narkotikų kontrolės tarybos 2006 metų veiklos ataskaitoje Lietuva tarp kitų Europos Valstybių įvardijama kaip anfetamino ir metamfetamino kilmės šalis. </w:t>
      </w:r>
    </w:p>
    <w:p w:rsidR="007A1594" w:rsidRDefault="007A1594" w:rsidP="007A1594">
      <w:pPr>
        <w:ind w:firstLine="720"/>
        <w:jc w:val="both"/>
        <w:rPr>
          <w:rFonts w:ascii="TimesLT" w:hAnsi="TimesLT"/>
        </w:rPr>
      </w:pPr>
      <w:r>
        <w:rPr>
          <w:rFonts w:ascii="TimesLT" w:hAnsi="TimesLT"/>
        </w:rPr>
        <w:t xml:space="preserve">Jungtinių Tautų Tarptautinės narkotikų kontrolės tarybos narys Gilberto Gerra  po 2006 m. lapkričio mėn. vizito Lietuvoje, konstatavo aukštą policijos, muitinės ir pasienio apsaugos tarnybų bendradarbiavimo lygį kovoje su sintetinių narkotikų plitimu ir pabrėžė tolesnio teisėsaugos institucijų bendradarbiavimo svarbą. Rekomendavo ir toliau plėsti bei stiprinti kovą su prekursorių prekyba, priimti įstatymų pataisas, didinti teismo laboratorijų galimybes. </w:t>
      </w:r>
    </w:p>
    <w:p w:rsidR="007A1594" w:rsidRDefault="007A1594" w:rsidP="007A1594">
      <w:pPr>
        <w:ind w:firstLine="720"/>
        <w:jc w:val="both"/>
        <w:rPr>
          <w:rFonts w:ascii="TimesLT" w:hAnsi="TimesLT"/>
        </w:rPr>
      </w:pPr>
      <w:r>
        <w:rPr>
          <w:rFonts w:ascii="TimesLT" w:hAnsi="TimesLT"/>
        </w:rPr>
        <w:t xml:space="preserve">Jungtinių Tautų Tarptautinės narkotikų kontrolės tarybos narys Gilberto Gerra  ataskaitoje ragino įvertinti vykdomų vyriausybinių programų efektyvumą, gerinti narkomanų gydymo sistemą, įtraukti nevyriausybinės organizacijas į kovą prieš narkotikus. </w:t>
      </w:r>
    </w:p>
    <w:p w:rsidR="007A1594" w:rsidRDefault="007A1594" w:rsidP="007A1594">
      <w:pPr>
        <w:ind w:firstLine="720"/>
        <w:jc w:val="both"/>
        <w:rPr>
          <w:rFonts w:ascii="TimesLT" w:hAnsi="TimesLT"/>
        </w:rPr>
      </w:pPr>
      <w:r>
        <w:rPr>
          <w:rFonts w:ascii="TimesLT" w:hAnsi="TimesLT"/>
        </w:rPr>
        <w:t xml:space="preserve">Atsižvelgiant į aukščiau išdėstytas aplinkybes ir siekiant sumažinti sintetinių narkotikų paplitimą Lietuvoje, būtina skubia parengti teisės aktus. </w:t>
      </w:r>
    </w:p>
    <w:p w:rsidR="007A1594" w:rsidRDefault="007A1594" w:rsidP="007A1594">
      <w:pPr>
        <w:ind w:firstLine="720"/>
        <w:jc w:val="both"/>
        <w:rPr>
          <w:rFonts w:ascii="TimesLT" w:hAnsi="TimesLT"/>
        </w:rPr>
      </w:pPr>
      <w:r>
        <w:rPr>
          <w:rFonts w:ascii="TimesLT" w:hAnsi="TimesLT"/>
        </w:rPr>
        <w:t>Būtina atsižvelgti į Europos Komisijos Generalinio direktorato Mokesčių ir muitinės skyriaus rekomendacijas dėl cheminių medžiagų kontrolės, kurios nurodo, kad cheminės medžiagos (prekursoriai, esminės cheminės medžiagos, reagentai, tirpikliai bei katalizatoriai)  yra plačiai naudojamos teisėtoje pramoninėje veikloje ir vaistų gamybos procesuose, jomis teisėtai prekiaujama dideliais kiekiais, tačiau, jas galima panaudoti neteisėtai narkotinių ir psichotropinių medžiagų gamybai ir ruošimui. Šias gamybos operacijas yra nesunku vykdyti dėl nesudėtingo cheminio proceso, jos nebrangios dėl palyginti pigių ingredientų, ypač sintetinių narkotikų gamybai. Sintetiniai narkotikai, tokie kaip amfetaminas ir “ekstazy” nelegaliai gaminami vien iš cheminių medžiagų. Didėjant narkotinių medžiagų gamybos apimtims bei jų paklausai- didėja ir cheminių medžiagų poreikis.</w:t>
      </w:r>
    </w:p>
    <w:p w:rsidR="007A1594" w:rsidRDefault="007A1594" w:rsidP="007A1594">
      <w:pPr>
        <w:ind w:firstLine="720"/>
        <w:jc w:val="both"/>
        <w:rPr>
          <w:rFonts w:ascii="TimesLT" w:hAnsi="TimesLT"/>
        </w:rPr>
      </w:pPr>
      <w:r>
        <w:rPr>
          <w:rFonts w:ascii="TimesLT" w:hAnsi="TimesLT"/>
        </w:rPr>
        <w:t>Būtina kontroliuoti ir rinkti informaciją, užmegzti ryšius su įmonėmis, cheminėmis laboratorijomis, gaminančiomis, įvežančiomis chemines medžiagas, kurios gali būti naudojamos neteisėtai narkotikų apyvartai, taip pat prekiaujančiomis tokiomis medžiagomis. Efektyvi kontrolė sumažintų sintetinių narkotikų paplitimą Lietuvoje.</w:t>
      </w:r>
    </w:p>
    <w:p w:rsidR="007A1594" w:rsidRDefault="007A1594" w:rsidP="007A1594">
      <w:pPr>
        <w:ind w:firstLine="539"/>
        <w:jc w:val="both"/>
        <w:rPr>
          <w:rFonts w:ascii="TimesLT" w:hAnsi="TimesLT"/>
        </w:rPr>
      </w:pPr>
      <w:r>
        <w:rPr>
          <w:rFonts w:ascii="TimesLT" w:hAnsi="TimesLT"/>
        </w:rPr>
        <w:tab/>
        <w:t>(Lietuvos Respublikos Vyriausybė 2007 m. vasario 13 d. nutarimu Nr. 181 „Dėl Lietuvos Respublikos narkotinių ir psichotropinių medžiagų pirmtakų (prekursorių) kontrolės įstatymo</w:t>
      </w:r>
      <w:r>
        <w:rPr>
          <w:rFonts w:ascii="TimesLT" w:hAnsi="TimesLT"/>
          <w:b/>
          <w:bCs/>
        </w:rPr>
        <w:t xml:space="preserve"> </w:t>
      </w:r>
      <w:r>
        <w:rPr>
          <w:rFonts w:ascii="TimesLT" w:hAnsi="TimesLT"/>
        </w:rPr>
        <w:t>pakeitimo įstatymo projekto pateikimo Lietuvos Respublikos Seimui“ pateikė Lietuvos Respublikos Seimui Lietuvos Respublikos narkotinių ir psichotropinių medžiagų pirmtakų (prekursorių) kontrolės įstatymo</w:t>
      </w:r>
      <w:r>
        <w:rPr>
          <w:rFonts w:ascii="TimesLT" w:hAnsi="TimesLT"/>
          <w:b/>
          <w:bCs/>
        </w:rPr>
        <w:t xml:space="preserve"> </w:t>
      </w:r>
      <w:r>
        <w:rPr>
          <w:rFonts w:ascii="TimesLT" w:hAnsi="TimesLT"/>
        </w:rPr>
        <w:t>pakeitimo įstatymo projektą (registracijos Seime Nr. XP-2047).  Lietuvos Respublikos Seimas 2007 m. kovo 20 d. VI (pavasario) sesijos vakariniame plenariniame posėdyje nutarė grąžinti projektą iniciatoriams tobulinti. Atsižvelgiant į tai, buvo pateiktas patobulintas Lietuvos Respublikos narkotinių ir psichotropinių medžiagų pirmtakų (prekursorių) kontrolės įstatymo pakeitimo įstatymo projektas</w:t>
      </w:r>
      <w:r>
        <w:t xml:space="preserve">, kuris ir vėl buvo gražintas tobulinti.   </w:t>
      </w:r>
      <w:r>
        <w:rPr>
          <w:rFonts w:ascii="TimesLT" w:hAnsi="TimesLT"/>
        </w:rPr>
        <w:t>Lietuvos Respublikos Seime 2007 11 08 užregistruotas įstatymo projektas XP –2047(2) Lietuvos Respublikos narkotinių ir psichotropinių medžiagų pirmtakų (prekursorių) kontrolės įstatymo</w:t>
      </w:r>
      <w:r>
        <w:rPr>
          <w:rFonts w:ascii="TimesLT" w:hAnsi="TimesLT"/>
          <w:b/>
          <w:bCs/>
        </w:rPr>
        <w:t xml:space="preserve"> </w:t>
      </w:r>
      <w:r>
        <w:rPr>
          <w:rFonts w:ascii="TimesLT" w:hAnsi="TimesLT"/>
        </w:rPr>
        <w:t>pakeitimo įstatymo projektas.).</w:t>
      </w:r>
    </w:p>
    <w:p w:rsidR="00872CAE" w:rsidRDefault="00872CAE"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8E05AA" w:rsidRDefault="008E05AA" w:rsidP="008E05AA">
      <w:pPr>
        <w:ind w:left="2160"/>
        <w:rPr>
          <w:b/>
          <w:color w:val="008000"/>
          <w:sz w:val="36"/>
        </w:rPr>
      </w:pPr>
    </w:p>
    <w:p w:rsidR="008E05AA" w:rsidRDefault="008E05AA" w:rsidP="008E05AA">
      <w:pPr>
        <w:ind w:left="2160"/>
        <w:rPr>
          <w:b/>
          <w:color w:val="008000"/>
        </w:rPr>
      </w:pPr>
      <w:r>
        <w:rPr>
          <w:b/>
          <w:color w:val="008000"/>
          <w:sz w:val="36"/>
        </w:rPr>
        <w:t>LIETUVOS RESPUBLIKOS SEIMO</w:t>
      </w:r>
    </w:p>
    <w:p w:rsidR="008E05AA" w:rsidRDefault="008E05AA" w:rsidP="008E05AA">
      <w:pPr>
        <w:jc w:val="center"/>
        <w:rPr>
          <w:b/>
          <w:color w:val="008000"/>
        </w:rPr>
      </w:pPr>
    </w:p>
    <w:p w:rsidR="008E05AA" w:rsidRDefault="008E05AA" w:rsidP="008E05AA">
      <w:pPr>
        <w:jc w:val="center"/>
        <w:rPr>
          <w:b/>
          <w:color w:val="008000"/>
          <w:sz w:val="40"/>
        </w:rPr>
      </w:pPr>
      <w:r>
        <w:rPr>
          <w:b/>
          <w:color w:val="008000"/>
          <w:sz w:val="40"/>
        </w:rPr>
        <w:t>NARKOMANIJOS PREVENCIJOS KOMISIJOS</w:t>
      </w:r>
    </w:p>
    <w:p w:rsidR="008E05AA" w:rsidRDefault="008E05AA" w:rsidP="008E05AA">
      <w:pPr>
        <w:jc w:val="center"/>
        <w:rPr>
          <w:b/>
          <w:color w:val="008000"/>
          <w:sz w:val="40"/>
        </w:rPr>
      </w:pPr>
    </w:p>
    <w:p w:rsidR="008E05AA" w:rsidRDefault="008E05AA" w:rsidP="008E05AA">
      <w:pPr>
        <w:jc w:val="center"/>
        <w:rPr>
          <w:b/>
          <w:color w:val="008000"/>
          <w:sz w:val="36"/>
        </w:rPr>
      </w:pPr>
      <w:r>
        <w:rPr>
          <w:b/>
          <w:color w:val="008000"/>
          <w:sz w:val="36"/>
        </w:rPr>
        <w:t>2008 METŲ VEIKLOS</w:t>
      </w:r>
    </w:p>
    <w:p w:rsidR="008E05AA" w:rsidRDefault="008E05AA" w:rsidP="008E05AA">
      <w:pPr>
        <w:jc w:val="center"/>
        <w:rPr>
          <w:b/>
          <w:color w:val="008000"/>
          <w:sz w:val="36"/>
        </w:rPr>
      </w:pPr>
    </w:p>
    <w:p w:rsidR="008E05AA" w:rsidRDefault="008E05AA" w:rsidP="008E05AA">
      <w:pPr>
        <w:jc w:val="center"/>
        <w:rPr>
          <w:b/>
          <w:color w:val="008000"/>
          <w:sz w:val="36"/>
        </w:rPr>
      </w:pPr>
    </w:p>
    <w:p w:rsidR="008E05AA" w:rsidRDefault="008E05AA" w:rsidP="008E05AA">
      <w:pPr>
        <w:jc w:val="center"/>
        <w:rPr>
          <w:b/>
          <w:color w:val="008000"/>
          <w:sz w:val="36"/>
        </w:rPr>
      </w:pPr>
    </w:p>
    <w:p w:rsidR="008E05AA" w:rsidRDefault="008E05AA" w:rsidP="008E05AA">
      <w:pPr>
        <w:pStyle w:val="Antrat6"/>
      </w:pPr>
      <w:r>
        <w:lastRenderedPageBreak/>
        <w:t>A T A S K A I T A</w:t>
      </w: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jc w:val="center"/>
        <w:rPr>
          <w:rFonts w:ascii="TimesLT" w:hAnsi="TimesLT"/>
          <w:b/>
          <w:sz w:val="28"/>
        </w:rPr>
      </w:pPr>
    </w:p>
    <w:p w:rsidR="008E05AA" w:rsidRDefault="008E05AA" w:rsidP="008E05AA">
      <w:pPr>
        <w:rPr>
          <w:rFonts w:ascii="TimesLT" w:hAnsi="TimesLT"/>
          <w:b/>
          <w:sz w:val="28"/>
        </w:rPr>
      </w:pPr>
    </w:p>
    <w:p w:rsidR="008E05AA" w:rsidRDefault="008E05AA" w:rsidP="008E05AA">
      <w:pPr>
        <w:ind w:firstLine="720"/>
        <w:rPr>
          <w:rFonts w:ascii="TimesLT" w:hAnsi="TimesLT"/>
          <w:b/>
          <w:sz w:val="28"/>
        </w:rPr>
      </w:pPr>
    </w:p>
    <w:p w:rsidR="008E05AA" w:rsidRDefault="008E05AA" w:rsidP="008E05AA">
      <w:pPr>
        <w:ind w:firstLine="720"/>
        <w:rPr>
          <w:rFonts w:ascii="TimesLT" w:hAnsi="TimesLT"/>
          <w:b/>
          <w:sz w:val="28"/>
        </w:rPr>
      </w:pPr>
    </w:p>
    <w:p w:rsidR="008E05AA" w:rsidRDefault="008E05AA" w:rsidP="008E05AA">
      <w:pPr>
        <w:pStyle w:val="Antrat5"/>
        <w:ind w:left="1440"/>
      </w:pPr>
      <w:r>
        <w:t>Seimo Narkomanijos prevencijos komisija</w:t>
      </w:r>
    </w:p>
    <w:p w:rsidR="008E05AA" w:rsidRDefault="008E05AA" w:rsidP="008E05AA">
      <w:pPr>
        <w:ind w:firstLine="720"/>
        <w:jc w:val="both"/>
        <w:rPr>
          <w:rFonts w:ascii="TimesLT" w:hAnsi="TimesLT"/>
        </w:rPr>
      </w:pPr>
      <w:r>
        <w:rPr>
          <w:rFonts w:ascii="TimesLT" w:hAnsi="TimesLT"/>
        </w:rPr>
        <w:t>Lietuvos Respublikos Seimas, vadovaudamasis Seimo statuto 71 straipsniu, 2004 m. gruodžio 16 d. nutarimu Nr. X-54 sudarė nuolatinę Seimo Narkomanijos prevencijos komisiją iš 11 narių.</w:t>
      </w:r>
      <w:r>
        <w:rPr>
          <w:rFonts w:ascii="TimesLT" w:hAnsi="TimesLT"/>
        </w:rPr>
        <w:tab/>
        <w:t>2006 m. gegužės 30 d.  Lietuvos Respublikos Seimas nutarimu Nr. X-630 “Dėl Seimo nutarimo “Dėl Seimo Narkomanijos prevencijos komisijos sudarymo” pakeitimo”   ir 2006 m. gruodžio 5 d.  Lietuvos Respublikos Seimas nutarimu Nr. X-956 “Dėl Seimo nutarimo “Dėl Seimo Narkomanijos prevencijos komisijos sudarymo” pakeitimo” patikslintas Komisijos narių sąrašas.</w:t>
      </w:r>
    </w:p>
    <w:p w:rsidR="008E05AA" w:rsidRPr="00C82D15" w:rsidRDefault="008E05AA" w:rsidP="008E05AA">
      <w:pPr>
        <w:ind w:firstLine="720"/>
        <w:jc w:val="both"/>
        <w:rPr>
          <w:rFonts w:ascii="TimesLT" w:hAnsi="TimesLT"/>
          <w:b/>
        </w:rPr>
      </w:pPr>
      <w:r w:rsidRPr="00C82D15">
        <w:rPr>
          <w:rFonts w:ascii="TimesLT" w:hAnsi="TimesLT"/>
          <w:b/>
        </w:rPr>
        <w:t xml:space="preserve"> Nuo 2004 m. gruodžio 21d.  Lietuvos Respublikos Seimo Narkomanijos prevencijos komisijos pirmininke išrinkta Ramunė  Visockytė. </w:t>
      </w:r>
    </w:p>
    <w:p w:rsidR="008E05AA" w:rsidRDefault="008E05AA" w:rsidP="008E05AA">
      <w:pPr>
        <w:ind w:firstLine="720"/>
        <w:jc w:val="both"/>
        <w:rPr>
          <w:rFonts w:ascii="TimesLT" w:hAnsi="TimesLT"/>
        </w:rPr>
      </w:pPr>
      <w:r>
        <w:rPr>
          <w:rFonts w:ascii="TimesLT" w:hAnsi="TimesLT"/>
        </w:rPr>
        <w:t>2005 m. vasario 15 d. Seimo Narkomanijos prevencijos komisijos posėdyje komisijos pirmininko pavaduotoju išrinktas  Seimo narys Rimantas Remeika.</w:t>
      </w:r>
    </w:p>
    <w:p w:rsidR="008E05AA" w:rsidRDefault="008E05AA" w:rsidP="008E05AA">
      <w:pPr>
        <w:ind w:firstLine="720"/>
        <w:jc w:val="both"/>
        <w:rPr>
          <w:rFonts w:ascii="TimesLT" w:hAnsi="TimesLT"/>
        </w:rPr>
      </w:pPr>
      <w:r>
        <w:rPr>
          <w:rFonts w:ascii="TimesLT" w:hAnsi="TimesLT"/>
        </w:rPr>
        <w:t>Lietuvos Respublikos Seimas 2005 m. lapkričio 15 d. nutarimu Nr. X - 393 "Dėl Lietuvos Respublikos Seimo Narkomanijos prevencijos komisijos nuostatų patvirtinimo" patvirtino Lietuvos Respublikos Seimo Narkomanijos prevencijos komisijos  nuostatus.</w:t>
      </w:r>
    </w:p>
    <w:p w:rsidR="008E05AA" w:rsidRDefault="008E05AA" w:rsidP="008E05AA">
      <w:pPr>
        <w:ind w:firstLine="720"/>
        <w:jc w:val="both"/>
      </w:pPr>
      <w:r>
        <w:rPr>
          <w:rFonts w:ascii="TimesLT" w:hAnsi="TimesLT"/>
        </w:rPr>
        <w:tab/>
        <w:t>Lietuvos Respublikos Seimo Narkomanijos prevencijos komisijos sudėtis:</w:t>
      </w:r>
      <w:r>
        <w:t xml:space="preserve"> </w:t>
      </w:r>
    </w:p>
    <w:p w:rsidR="008E05AA" w:rsidRDefault="008E05AA" w:rsidP="008E05AA">
      <w:pPr>
        <w:ind w:firstLine="720"/>
        <w:jc w:val="both"/>
        <w:rPr>
          <w:rFonts w:ascii="TimesLT" w:hAnsi="TimesLT"/>
        </w:rPr>
      </w:pPr>
      <w:r>
        <w:rPr>
          <w:rFonts w:ascii="TimesLT" w:hAnsi="TimesLT"/>
        </w:rPr>
        <w:t>1) Algis Kašėta;</w:t>
      </w:r>
    </w:p>
    <w:p w:rsidR="008E05AA" w:rsidRDefault="008E05AA" w:rsidP="008E05AA">
      <w:pPr>
        <w:ind w:firstLine="720"/>
        <w:jc w:val="both"/>
        <w:rPr>
          <w:rFonts w:ascii="TimesLT" w:hAnsi="TimesLT"/>
        </w:rPr>
      </w:pPr>
      <w:r>
        <w:rPr>
          <w:rFonts w:ascii="TimesLT" w:hAnsi="TimesLT"/>
        </w:rPr>
        <w:lastRenderedPageBreak/>
        <w:t>2) Vincė Vaidevutė Margevičienė;</w:t>
      </w:r>
    </w:p>
    <w:p w:rsidR="008E05AA" w:rsidRDefault="008E05AA" w:rsidP="008E05AA">
      <w:pPr>
        <w:ind w:firstLine="720"/>
        <w:jc w:val="both"/>
        <w:rPr>
          <w:rFonts w:ascii="TimesLT" w:hAnsi="TimesLT"/>
        </w:rPr>
      </w:pPr>
      <w:r>
        <w:rPr>
          <w:rFonts w:ascii="TimesLT" w:hAnsi="TimesLT"/>
        </w:rPr>
        <w:t>3) Milda Petrauskinė;</w:t>
      </w:r>
    </w:p>
    <w:p w:rsidR="008E05AA" w:rsidRDefault="008E05AA" w:rsidP="008E05AA">
      <w:pPr>
        <w:ind w:firstLine="720"/>
        <w:jc w:val="both"/>
        <w:rPr>
          <w:rFonts w:ascii="TimesLT" w:hAnsi="TimesLT"/>
        </w:rPr>
      </w:pPr>
      <w:r>
        <w:rPr>
          <w:rFonts w:ascii="TimesLT" w:hAnsi="TimesLT"/>
        </w:rPr>
        <w:t>4) Rimantas Remeika;</w:t>
      </w:r>
    </w:p>
    <w:p w:rsidR="008E05AA" w:rsidRDefault="008E05AA" w:rsidP="008E05AA">
      <w:pPr>
        <w:ind w:firstLine="720"/>
        <w:jc w:val="both"/>
        <w:rPr>
          <w:rFonts w:ascii="TimesLT" w:hAnsi="TimesLT"/>
        </w:rPr>
      </w:pPr>
      <w:r>
        <w:rPr>
          <w:rFonts w:ascii="TimesLT" w:hAnsi="TimesLT"/>
        </w:rPr>
        <w:t>5) Algis Rimas;</w:t>
      </w:r>
    </w:p>
    <w:p w:rsidR="008E05AA" w:rsidRDefault="008E05AA" w:rsidP="008E05AA">
      <w:pPr>
        <w:ind w:firstLine="720"/>
        <w:jc w:val="both"/>
        <w:rPr>
          <w:rFonts w:ascii="TimesLT" w:hAnsi="TimesLT"/>
        </w:rPr>
      </w:pPr>
      <w:r>
        <w:rPr>
          <w:rFonts w:ascii="TimesLT" w:hAnsi="TimesLT"/>
        </w:rPr>
        <w:t>6) Irina Rozova;</w:t>
      </w:r>
    </w:p>
    <w:p w:rsidR="008E05AA" w:rsidRDefault="008E05AA" w:rsidP="008E05AA">
      <w:pPr>
        <w:ind w:firstLine="720"/>
        <w:jc w:val="both"/>
        <w:rPr>
          <w:rFonts w:ascii="TimesLT" w:hAnsi="TimesLT"/>
        </w:rPr>
      </w:pPr>
      <w:r>
        <w:rPr>
          <w:rFonts w:ascii="TimesLT" w:hAnsi="TimesLT"/>
        </w:rPr>
        <w:t>7) Alvydas Sadeckas;</w:t>
      </w:r>
    </w:p>
    <w:p w:rsidR="008E05AA" w:rsidRDefault="008E05AA" w:rsidP="008E05AA">
      <w:pPr>
        <w:ind w:firstLine="720"/>
        <w:jc w:val="both"/>
        <w:rPr>
          <w:rFonts w:ascii="TimesLT" w:hAnsi="TimesLT"/>
        </w:rPr>
      </w:pPr>
      <w:r>
        <w:rPr>
          <w:rFonts w:ascii="TimesLT" w:hAnsi="TimesLT"/>
        </w:rPr>
        <w:t>8) Ramunė Visockytė;</w:t>
      </w:r>
    </w:p>
    <w:p w:rsidR="008E05AA" w:rsidRDefault="008E05AA" w:rsidP="008E05AA">
      <w:pPr>
        <w:ind w:firstLine="720"/>
        <w:jc w:val="both"/>
        <w:rPr>
          <w:rFonts w:ascii="TimesLT" w:hAnsi="TimesLT"/>
        </w:rPr>
      </w:pPr>
      <w:r>
        <w:rPr>
          <w:rFonts w:ascii="TimesLT" w:hAnsi="TimesLT"/>
        </w:rPr>
        <w:t>9) Jadvyga Zinkevičiūtė;</w:t>
      </w:r>
    </w:p>
    <w:p w:rsidR="008E05AA" w:rsidRDefault="008E05AA" w:rsidP="008E05AA">
      <w:pPr>
        <w:ind w:firstLine="720"/>
        <w:jc w:val="both"/>
        <w:rPr>
          <w:rFonts w:ascii="TimesLT" w:hAnsi="TimesLT"/>
        </w:rPr>
      </w:pPr>
      <w:r>
        <w:rPr>
          <w:rFonts w:ascii="TimesLT" w:hAnsi="TimesLT"/>
        </w:rPr>
        <w:t>10) Vidmantas Žiemelis;</w:t>
      </w:r>
    </w:p>
    <w:p w:rsidR="008E05AA" w:rsidRDefault="008E05AA" w:rsidP="008E05AA">
      <w:pPr>
        <w:ind w:firstLine="720"/>
        <w:jc w:val="both"/>
        <w:rPr>
          <w:rFonts w:ascii="TimesLT" w:hAnsi="TimesLT"/>
        </w:rPr>
      </w:pPr>
      <w:r>
        <w:rPr>
          <w:rFonts w:ascii="TimesLT" w:hAnsi="TimesLT"/>
        </w:rPr>
        <w:t>11) Ona Valiukevičiūtė.</w:t>
      </w:r>
    </w:p>
    <w:p w:rsidR="008E05AA" w:rsidRDefault="008E05AA" w:rsidP="008E05AA">
      <w:pPr>
        <w:ind w:firstLine="720"/>
        <w:jc w:val="both"/>
        <w:rPr>
          <w:rFonts w:ascii="TimesLT" w:hAnsi="TimesLT"/>
        </w:rPr>
      </w:pPr>
      <w:r>
        <w:rPr>
          <w:rFonts w:ascii="TimesLT" w:hAnsi="TimesLT"/>
        </w:rPr>
        <w:tab/>
      </w:r>
    </w:p>
    <w:p w:rsidR="008E05AA" w:rsidRDefault="008E05AA" w:rsidP="008E05AA">
      <w:pPr>
        <w:jc w:val="both"/>
        <w:rPr>
          <w:rFonts w:ascii="TimesLT" w:hAnsi="TimesLT"/>
          <w:b/>
          <w:bCs/>
        </w:rPr>
      </w:pPr>
      <w:r>
        <w:rPr>
          <w:rFonts w:ascii="TimesLT" w:hAnsi="TimesLT"/>
        </w:rPr>
        <w:tab/>
      </w:r>
      <w:r>
        <w:rPr>
          <w:rFonts w:ascii="TimesLT" w:hAnsi="TimesLT"/>
        </w:rPr>
        <w:tab/>
      </w:r>
      <w:r>
        <w:rPr>
          <w:rFonts w:ascii="TimesLT" w:hAnsi="TimesLT"/>
          <w:b/>
          <w:bCs/>
        </w:rPr>
        <w:t>Komisijos veikla</w:t>
      </w:r>
    </w:p>
    <w:p w:rsidR="008E05AA" w:rsidRDefault="008E05AA" w:rsidP="008E05AA">
      <w:pPr>
        <w:jc w:val="both"/>
        <w:rPr>
          <w:rFonts w:ascii="TimesLT" w:hAnsi="TimesLT"/>
          <w:b/>
          <w:bCs/>
        </w:rPr>
      </w:pPr>
    </w:p>
    <w:p w:rsidR="008E05AA" w:rsidRDefault="008E05AA" w:rsidP="008E05AA">
      <w:pPr>
        <w:jc w:val="both"/>
        <w:rPr>
          <w:rFonts w:ascii="TimesLT" w:hAnsi="TimesLT"/>
          <w:b/>
          <w:bCs/>
        </w:rPr>
      </w:pPr>
    </w:p>
    <w:p w:rsidR="008E05AA" w:rsidRDefault="008E05AA" w:rsidP="008E05AA">
      <w:pPr>
        <w:jc w:val="both"/>
        <w:rPr>
          <w:rFonts w:ascii="TimesLT" w:hAnsi="TimesLT"/>
        </w:rPr>
      </w:pPr>
      <w:r w:rsidRPr="001A7465">
        <w:rPr>
          <w:rFonts w:ascii="TimesLT" w:hAnsi="TimesLT"/>
          <w:b/>
          <w:bCs/>
        </w:rPr>
        <w:t>1 posėdis</w:t>
      </w:r>
      <w:r>
        <w:rPr>
          <w:rFonts w:ascii="TimesLT" w:hAnsi="TimesLT"/>
          <w:b/>
          <w:bCs/>
        </w:rPr>
        <w:t xml:space="preserve"> - </w:t>
      </w:r>
      <w:r>
        <w:rPr>
          <w:rFonts w:ascii="TimesLT" w:hAnsi="TimesLT"/>
        </w:rPr>
        <w:t xml:space="preserve">2008 03 12  </w:t>
      </w:r>
    </w:p>
    <w:p w:rsidR="008E05AA" w:rsidRDefault="008E05AA" w:rsidP="008E05AA">
      <w:pPr>
        <w:jc w:val="both"/>
        <w:rPr>
          <w:rFonts w:ascii="TimesLT" w:hAnsi="TimesLT"/>
        </w:rPr>
      </w:pPr>
      <w:r>
        <w:rPr>
          <w:rFonts w:ascii="TimesLT" w:hAnsi="TimesLT"/>
        </w:rPr>
        <w:t>1. Dėl Lietuvos  Respublikos narkotinių ir psichotropinių medžiagų pirmtakų (prekursorių) kontrolės įstatymo pakeitimo įstatymo projekto Nr. XP – 2047(2).</w:t>
      </w:r>
    </w:p>
    <w:p w:rsidR="008E05AA" w:rsidRDefault="008E05AA" w:rsidP="008E05AA">
      <w:pPr>
        <w:jc w:val="both"/>
        <w:rPr>
          <w:rFonts w:ascii="TimesLT" w:hAnsi="TimesLT"/>
        </w:rPr>
      </w:pPr>
      <w:r>
        <w:rPr>
          <w:rFonts w:ascii="TimesLT" w:hAnsi="TimesLT"/>
        </w:rPr>
        <w:t>2. Narkomanijos prevencijos komisijos 2008 metų veiklos planas.</w:t>
      </w:r>
    </w:p>
    <w:p w:rsidR="008E05AA" w:rsidRDefault="008E05AA" w:rsidP="008E05AA">
      <w:pPr>
        <w:rPr>
          <w:rFonts w:ascii="TimesLT" w:hAnsi="TimesLT"/>
        </w:rPr>
      </w:pPr>
      <w:r>
        <w:rPr>
          <w:rFonts w:ascii="TimesLT" w:hAnsi="TimesLT"/>
        </w:rPr>
        <w:t>3. Kiti klausimai.</w:t>
      </w:r>
    </w:p>
    <w:p w:rsidR="008E05AA" w:rsidRDefault="008E05AA" w:rsidP="008E05AA">
      <w:pPr>
        <w:jc w:val="both"/>
        <w:rPr>
          <w:rFonts w:ascii="TimesLT" w:hAnsi="TimesLT"/>
        </w:rPr>
      </w:pPr>
    </w:p>
    <w:p w:rsidR="008E05AA" w:rsidRDefault="008E05AA" w:rsidP="008E05AA">
      <w:pPr>
        <w:jc w:val="both"/>
      </w:pPr>
      <w:r w:rsidRPr="001A7465">
        <w:rPr>
          <w:rFonts w:ascii="TimesLT" w:hAnsi="TimesLT"/>
          <w:b/>
        </w:rPr>
        <w:t>2 posėdis</w:t>
      </w:r>
      <w:r>
        <w:rPr>
          <w:rFonts w:ascii="TimesLT" w:hAnsi="TimesLT"/>
        </w:rPr>
        <w:t xml:space="preserve"> -  </w:t>
      </w:r>
      <w:r>
        <w:t>2008-12-17</w:t>
      </w:r>
    </w:p>
    <w:p w:rsidR="008E05AA" w:rsidRDefault="008E05AA" w:rsidP="008E05AA">
      <w:pPr>
        <w:jc w:val="both"/>
      </w:pPr>
      <w:r>
        <w:t xml:space="preserve">1. </w:t>
      </w:r>
      <w:r>
        <w:rPr>
          <w:rFonts w:eastAsia="Arial Unicode MS"/>
        </w:rPr>
        <w:t>Dėl Narkomanijos ir alkoholizmo prevencijos komisijos posėdžių laiko</w:t>
      </w:r>
      <w:r>
        <w:t xml:space="preserve">. </w:t>
      </w:r>
    </w:p>
    <w:p w:rsidR="008E05AA" w:rsidRDefault="008E05AA" w:rsidP="008E05AA">
      <w:pPr>
        <w:spacing w:before="100" w:beforeAutospacing="1" w:after="100" w:afterAutospacing="1"/>
      </w:pPr>
      <w:r>
        <w:t xml:space="preserve">2. Dėl </w:t>
      </w:r>
      <w:r>
        <w:rPr>
          <w:rFonts w:eastAsia="Arial Unicode MS"/>
        </w:rPr>
        <w:t>Narkomanijos ir alkoholizmo prevencijos komisijos nuostatų (pateikimas).</w:t>
      </w:r>
    </w:p>
    <w:p w:rsidR="008E05AA" w:rsidRDefault="008E05AA" w:rsidP="008E05AA">
      <w:pPr>
        <w:jc w:val="both"/>
      </w:pPr>
      <w:r>
        <w:t>3.Dėl Lietuvos Respublikos atsakingų institucijų parengtos pozicijos dėl Komisijos komunikato Europos Parlamentui ir Tarybai dėl 2009 – 2012 m. ES kovos su narkotikais veiksmų plano (POZ - 571) išvadų pateikimo Seimo Europos reikalų komitetui.</w:t>
      </w:r>
    </w:p>
    <w:p w:rsidR="008E05AA" w:rsidRDefault="008E05AA" w:rsidP="008E05AA">
      <w:pPr>
        <w:jc w:val="both"/>
      </w:pPr>
      <w:r>
        <w:t>4. Dėl Sveikatos reikalų komiteto 2008 12 08 rašto Nr. V- 2008- 4283 “Dėl Sveikatos apsaugos ministerijos pateiktos informacijos”.</w:t>
      </w:r>
    </w:p>
    <w:p w:rsidR="008E05AA" w:rsidRDefault="008E05AA" w:rsidP="008E05AA">
      <w:pPr>
        <w:jc w:val="both"/>
      </w:pPr>
      <w:r>
        <w:t>5. Dėl narkomanijos ir alkoholizmo prevencijos savivaldybėse.</w:t>
      </w:r>
    </w:p>
    <w:p w:rsidR="008E05AA" w:rsidRDefault="008E05AA" w:rsidP="008E05AA">
      <w:pPr>
        <w:jc w:val="both"/>
      </w:pPr>
      <w:r>
        <w:t>6. Dėl narkomanijos situacijos ir narkotikų kontrolės Lietuvoje.</w:t>
      </w:r>
    </w:p>
    <w:p w:rsidR="008E05AA" w:rsidRDefault="008E05AA" w:rsidP="008E05AA">
      <w:pPr>
        <w:jc w:val="both"/>
      </w:pPr>
      <w:r w:rsidRPr="001A7465">
        <w:rPr>
          <w:rFonts w:ascii="TimesLT" w:hAnsi="TimesLT"/>
          <w:b/>
          <w:bCs/>
        </w:rPr>
        <w:t>3 posėdis</w:t>
      </w:r>
      <w:r w:rsidRPr="00A0567F">
        <w:rPr>
          <w:rFonts w:ascii="TimesLT" w:hAnsi="TimesLT"/>
          <w:bCs/>
        </w:rPr>
        <w:t xml:space="preserve"> - </w:t>
      </w:r>
      <w:r>
        <w:t xml:space="preserve">2008-06-27   </w:t>
      </w:r>
    </w:p>
    <w:p w:rsidR="008E05AA" w:rsidRDefault="008E05AA" w:rsidP="008E05AA">
      <w:pPr>
        <w:pStyle w:val="Pagrindiniotekstotrauka"/>
      </w:pPr>
      <w:r>
        <w:t>1. Dėl apsinuodijimų alkoholiu, narkotinėmis, psichotropinėmis ir kitomis nuodingosiomis medžiagomis.</w:t>
      </w:r>
    </w:p>
    <w:p w:rsidR="008E05AA" w:rsidRDefault="008E05AA" w:rsidP="008E05AA">
      <w:pPr>
        <w:pStyle w:val="Pagrindiniotekstotrauka"/>
      </w:pPr>
      <w:r>
        <w:t>2. Kiti klausimai.</w:t>
      </w:r>
    </w:p>
    <w:p w:rsidR="008E05AA" w:rsidRDefault="008E05AA" w:rsidP="008E05AA">
      <w:pPr>
        <w:pStyle w:val="Pagrindiniotekstotrauka"/>
      </w:pPr>
    </w:p>
    <w:p w:rsidR="008E05AA" w:rsidRDefault="008E05AA" w:rsidP="008E05AA">
      <w:pPr>
        <w:jc w:val="both"/>
        <w:rPr>
          <w:rFonts w:ascii="TimesLT" w:hAnsi="TimesLT"/>
        </w:rPr>
      </w:pPr>
      <w:r w:rsidRPr="001A7465">
        <w:rPr>
          <w:rFonts w:ascii="TimesLT" w:hAnsi="TimesLT"/>
          <w:b/>
          <w:bCs/>
        </w:rPr>
        <w:t>4 posėdis</w:t>
      </w:r>
      <w:r>
        <w:rPr>
          <w:rFonts w:ascii="TimesLT" w:hAnsi="TimesLT"/>
          <w:bCs/>
        </w:rPr>
        <w:t xml:space="preserve"> - </w:t>
      </w:r>
      <w:r>
        <w:rPr>
          <w:rFonts w:ascii="TimesLT" w:hAnsi="TimesLT"/>
        </w:rPr>
        <w:t xml:space="preserve">2008-09-23   </w:t>
      </w:r>
    </w:p>
    <w:p w:rsidR="008E05AA" w:rsidRDefault="008E05AA" w:rsidP="008E05AA">
      <w:pPr>
        <w:ind w:firstLine="1296"/>
        <w:jc w:val="both"/>
        <w:rPr>
          <w:rFonts w:ascii="TimesLT" w:hAnsi="TimesLT"/>
        </w:rPr>
      </w:pPr>
      <w:r>
        <w:rPr>
          <w:rFonts w:ascii="TimesLT" w:hAnsi="TimesLT"/>
        </w:rPr>
        <w:t xml:space="preserve">1. Dėl Lietuvos Respublikos Seimo nutarimo “Dėl Nacionalinės narkotikų kontrolės ir narkomanijos prevencijos 2009 – 2016 metų programos patvirtinimo” projekto  Nr. XP-3185. </w:t>
      </w:r>
    </w:p>
    <w:p w:rsidR="008E05AA" w:rsidRDefault="008E05AA" w:rsidP="008E05AA">
      <w:pPr>
        <w:ind w:firstLine="1296"/>
        <w:jc w:val="both"/>
        <w:rPr>
          <w:rFonts w:ascii="TimesLT" w:hAnsi="TimesLT"/>
        </w:rPr>
      </w:pPr>
      <w:r>
        <w:rPr>
          <w:rFonts w:ascii="TimesLT" w:hAnsi="TimesLT"/>
        </w:rPr>
        <w:t>2. Kiti klausimai.</w:t>
      </w:r>
    </w:p>
    <w:p w:rsidR="008E05AA" w:rsidRDefault="008E05AA" w:rsidP="008E05AA">
      <w:pPr>
        <w:jc w:val="both"/>
        <w:rPr>
          <w:rFonts w:ascii="TimesLT" w:hAnsi="TimesLT"/>
          <w:bCs/>
        </w:rPr>
      </w:pPr>
    </w:p>
    <w:p w:rsidR="008E05AA" w:rsidRDefault="008E05AA" w:rsidP="008E05AA">
      <w:pPr>
        <w:jc w:val="both"/>
        <w:rPr>
          <w:rFonts w:ascii="TimesLT" w:hAnsi="TimesLT"/>
        </w:rPr>
      </w:pPr>
      <w:r w:rsidRPr="001A7465">
        <w:rPr>
          <w:rFonts w:ascii="TimesLT" w:hAnsi="TimesLT"/>
          <w:b/>
          <w:bCs/>
        </w:rPr>
        <w:t>5 posėdis</w:t>
      </w:r>
      <w:r>
        <w:rPr>
          <w:rFonts w:ascii="TimesLT" w:hAnsi="TimesLT"/>
          <w:bCs/>
        </w:rPr>
        <w:t xml:space="preserve"> - </w:t>
      </w:r>
      <w:r>
        <w:rPr>
          <w:rFonts w:ascii="TimesLT" w:hAnsi="TimesLT"/>
        </w:rPr>
        <w:t xml:space="preserve">2008-09-29   </w:t>
      </w:r>
    </w:p>
    <w:p w:rsidR="008E05AA" w:rsidRDefault="008E05AA" w:rsidP="008E05AA">
      <w:pPr>
        <w:ind w:firstLine="1296"/>
        <w:jc w:val="both"/>
        <w:rPr>
          <w:rFonts w:ascii="TimesLT" w:hAnsi="TimesLT"/>
        </w:rPr>
      </w:pPr>
      <w:r>
        <w:rPr>
          <w:rFonts w:ascii="TimesLT" w:hAnsi="TimesLT"/>
        </w:rPr>
        <w:t xml:space="preserve">1. Dėl Lietuvos Respublikos Seimo nutarimo “Dėl Nacionalinės narkotikų kontrolės ir narkomanijos prevencijos 2009 – 2016 metų programos patvirtinimo” projekto  Nr. XP-3185. </w:t>
      </w:r>
    </w:p>
    <w:p w:rsidR="008E05AA" w:rsidRDefault="008E05AA" w:rsidP="008E05AA">
      <w:pPr>
        <w:jc w:val="both"/>
        <w:rPr>
          <w:rFonts w:ascii="TimesLT" w:hAnsi="TimesLT"/>
          <w:bCs/>
        </w:rPr>
      </w:pPr>
    </w:p>
    <w:p w:rsidR="008E05AA" w:rsidRPr="00FF142B" w:rsidRDefault="008E05AA" w:rsidP="008E05AA">
      <w:pPr>
        <w:jc w:val="both"/>
        <w:rPr>
          <w:rFonts w:ascii="TimesLT" w:hAnsi="TimesLT"/>
          <w:b/>
          <w:bCs/>
        </w:rPr>
      </w:pPr>
      <w:r w:rsidRPr="00FF142B">
        <w:rPr>
          <w:rFonts w:ascii="TimesLT" w:hAnsi="TimesLT"/>
          <w:b/>
          <w:bCs/>
        </w:rPr>
        <w:t>Parlamentinė kontrolė:</w:t>
      </w:r>
    </w:p>
    <w:p w:rsidR="008E05AA" w:rsidRPr="00FF142B" w:rsidRDefault="008E05AA" w:rsidP="008E05AA">
      <w:pPr>
        <w:jc w:val="both"/>
        <w:rPr>
          <w:rFonts w:ascii="TimesLT" w:hAnsi="TimesLT"/>
          <w:b/>
          <w:bCs/>
        </w:rPr>
      </w:pPr>
    </w:p>
    <w:p w:rsidR="008E05AA" w:rsidRDefault="008E05AA" w:rsidP="008E05AA">
      <w:pPr>
        <w:ind w:firstLine="1296"/>
        <w:jc w:val="both"/>
      </w:pPr>
      <w:r>
        <w:rPr>
          <w:rFonts w:ascii="TimesLT" w:hAnsi="TimesLT"/>
          <w:bCs/>
        </w:rPr>
        <w:t xml:space="preserve">Komisija kreipėsi dėl išvadų pateikimo į </w:t>
      </w:r>
      <w:r>
        <w:t xml:space="preserve">Specialiųjų tyrimų tarnybą raštu 2008 01 23 Nr. 293-S-6 „Dėl išvadų pateikimo“ ir raštu Nr. 293-S-5 į Valstybės saugumo departamentą nurodydama, kad   Lietuvos Respublikos Seimas 2004 m. balandžio 8 d. nutarimu Nr. IX- 2110 patvirtino Nacionalinę narkotikų kontrolės ir narkomanijos prevencijos 2004 -2008 metų programą (toliau- Programa). Šiais metais šios Programos įgyvendinimas bus baigtas. </w:t>
      </w:r>
    </w:p>
    <w:p w:rsidR="008E05AA" w:rsidRDefault="008E05AA" w:rsidP="008E05AA">
      <w:pPr>
        <w:pStyle w:val="Pagrindinistekstas"/>
      </w:pPr>
      <w:r>
        <w:tab/>
        <w:t xml:space="preserve">Programa buvo siekiama sustabdyti ir sumažinti narkomanijos plitimą, užkirsti kelią neteisėtai narkotikų apyvartai, įgyvendinti valstybės politikos prioritetus narkomanijos prevencijos ir </w:t>
      </w:r>
      <w:r>
        <w:lastRenderedPageBreak/>
        <w:t>narkotikų kontrolės srityje, nuosekliai ir kompleksiškai šalinant narkomanijos atsiradimo ir plitimo priežastis ir sąlygas, racionaliai naudojant finansinius bei žmogiškuosius išteklius.</w:t>
      </w:r>
    </w:p>
    <w:p w:rsidR="008E05AA" w:rsidRDefault="008E05AA" w:rsidP="008E05AA">
      <w:pPr>
        <w:ind w:firstLine="720"/>
        <w:jc w:val="both"/>
      </w:pPr>
      <w:r>
        <w:t>Strateginis Programos tikslas</w:t>
      </w:r>
      <w:r>
        <w:rPr>
          <w:b/>
          <w:bCs/>
        </w:rPr>
        <w:t xml:space="preserve"> </w:t>
      </w:r>
      <w:r>
        <w:t>- sustabdyti ir sumažinti narkomanijos plitimą, nustatyti ir įgyvendinti pagrindines valstybės politikos gaires ir veiklos kryptis narkomanijos prevencijos ir narkotikų kontrolės srityje, padidinti narkomanijos prevencijos Lietuvoje veiksmingumą.</w:t>
      </w:r>
    </w:p>
    <w:p w:rsidR="008E05AA" w:rsidRDefault="008E05AA" w:rsidP="008E05AA">
      <w:pPr>
        <w:ind w:firstLine="720"/>
        <w:jc w:val="both"/>
      </w:pPr>
      <w:r>
        <w:t xml:space="preserve">Lietuvos Respublikos Seimas šioje Programoje  išskyrė 4 prioritetines narkotikų kontrolės ir narkomanijos prevencijos kryptis, viena iš jų - </w:t>
      </w:r>
    </w:p>
    <w:p w:rsidR="008E05AA" w:rsidRDefault="008E05AA" w:rsidP="008E05AA">
      <w:pPr>
        <w:pStyle w:val="Pagrindiniotekstotrauka"/>
      </w:pPr>
      <w:r>
        <w:t>Neteisėtos narkotinių ir psichotropinių medžiagų pasiūlos mažinimas.</w:t>
      </w:r>
    </w:p>
    <w:p w:rsidR="008E05AA" w:rsidRPr="001A7465" w:rsidRDefault="008E05AA" w:rsidP="008E05AA">
      <w:pPr>
        <w:ind w:firstLine="720"/>
        <w:jc w:val="both"/>
      </w:pPr>
      <w:r>
        <w:t xml:space="preserve">2005 metais Lietuvos Vyriausybei teiktose Narkomanijos prevencijos komisijos  išvadose, pažymėta, kad </w:t>
      </w:r>
      <w:r w:rsidRPr="001A7465">
        <w:t>Programos strateginiai  tikslai , kuriais buvo siekiama sustabdyti ir sumažinti narkomanijos plitimą, nustatyti ir įgyvendinti pagrindines valstybės politikos gaires ir veiklos kryptis narkomanijos prevencijos ir narkotikų kontrolės srityje, padidinti narkomanijos prevencijos Lietuvoje veiksmingumą, iš esmės teisingi, tačiau  įgyvendinant šią Programą:</w:t>
      </w:r>
    </w:p>
    <w:p w:rsidR="008E05AA" w:rsidRPr="001A7465" w:rsidRDefault="008E05AA" w:rsidP="008E05AA">
      <w:pPr>
        <w:ind w:firstLine="720"/>
        <w:jc w:val="both"/>
      </w:pPr>
      <w:r w:rsidRPr="001A7465">
        <w:t xml:space="preserve"> nepasiekta narkomanijos augimo tempų bei narkotikų pasiūlos ir paklausos sumažėjimo; </w:t>
      </w:r>
    </w:p>
    <w:p w:rsidR="008E05AA" w:rsidRPr="001A7465" w:rsidRDefault="008E05AA" w:rsidP="008E05AA">
      <w:pPr>
        <w:ind w:firstLine="720"/>
        <w:jc w:val="both"/>
      </w:pPr>
      <w:r w:rsidRPr="001A7465">
        <w:t xml:space="preserve">nesukurta efektyvi narkotikų kontrolės ir narkomanijos prevencijos sistema, nesudarytos reikiamos galimybės parinkti ir taikyti veiksmingas priemones, mažinant narkomanijos ekonominę ir socialinę žalą; </w:t>
      </w:r>
    </w:p>
    <w:p w:rsidR="008E05AA" w:rsidRPr="001A7465" w:rsidRDefault="008E05AA" w:rsidP="008E05AA">
      <w:pPr>
        <w:ind w:firstLine="720"/>
        <w:jc w:val="both"/>
      </w:pPr>
      <w:r w:rsidRPr="001A7465">
        <w:t>nepagerėjo iš esmės bendradarbiavimas tarp institucijų ir veiksmų koordinavimas visuose sektoriuose ir todėl nepilnai  sukurta saugesnė žmogaus aplink ir kt. .</w:t>
      </w:r>
    </w:p>
    <w:p w:rsidR="008E05AA" w:rsidRPr="001A7465" w:rsidRDefault="008E05AA" w:rsidP="008E05AA">
      <w:pPr>
        <w:ind w:firstLine="720"/>
        <w:jc w:val="both"/>
      </w:pPr>
      <w:r w:rsidRPr="001A7465">
        <w:t>Komisija  manė, kad ir toliau išlieka šie svarbiausi uždaviniai:</w:t>
      </w:r>
    </w:p>
    <w:p w:rsidR="008E05AA" w:rsidRDefault="008E05AA" w:rsidP="008E05AA">
      <w:pPr>
        <w:ind w:firstLine="720"/>
        <w:jc w:val="both"/>
      </w:pPr>
      <w:r>
        <w:t>-formuoti  neigiamą visuomenės požiūrį į narkotinių ir psichotropinių medžiagų vartojimą, ypač rūpintis narkomanijos prevencija šeimoje, tarp vaikų ir jaunimo, diegti vaikams ir jaunimui sveiko gyvenimo vertybines nuostatas ( Programos 26.1p.);</w:t>
      </w:r>
    </w:p>
    <w:p w:rsidR="008E05AA" w:rsidRDefault="008E05AA" w:rsidP="008E05AA">
      <w:pPr>
        <w:ind w:firstLine="720"/>
        <w:jc w:val="both"/>
      </w:pPr>
      <w:r>
        <w:t>- plėtoti valstybės institucijų, vykdančių narkomanijos prevenciją bei narkotikų kontrolę, visuomeninių organizacijų ir bendruomenės tarpusavio bendradarbiavimą (Programos 26.2 p.);</w:t>
      </w:r>
    </w:p>
    <w:p w:rsidR="008E05AA" w:rsidRDefault="008E05AA" w:rsidP="008E05AA">
      <w:pPr>
        <w:ind w:firstLine="720"/>
        <w:jc w:val="both"/>
      </w:pPr>
      <w:r>
        <w:t>- skatinti savivaldybių ir regionų valdymo institucijų iniciatyvas sprendžiant narkomanijos prevencijos bei narkotikų kontrolės problemas (Programos 26.3 p.);</w:t>
      </w:r>
    </w:p>
    <w:p w:rsidR="008E05AA" w:rsidRDefault="008E05AA" w:rsidP="008E05AA">
      <w:pPr>
        <w:ind w:firstLine="720"/>
        <w:jc w:val="both"/>
      </w:pPr>
      <w:r>
        <w:t>- gerinti teisėsaugos institucijų veiklą siekiant mažinti narkotikų pasiūlą ir apsunkinant jų prieinamumą (Programos 26.4 p.);</w:t>
      </w:r>
    </w:p>
    <w:p w:rsidR="008E05AA" w:rsidRDefault="008E05AA" w:rsidP="008E05AA">
      <w:pPr>
        <w:ind w:firstLine="720"/>
        <w:jc w:val="both"/>
      </w:pPr>
      <w:r>
        <w:t>- plėtoti objektyvios narkomanijos prevencijos bei narkotikų kontrolės informacijos rinkimo ir analizės sistemą, atitinkančią Europos Sąjungos reikalavimus (Programos 26.5 p.);</w:t>
      </w:r>
    </w:p>
    <w:p w:rsidR="008E05AA" w:rsidRDefault="008E05AA" w:rsidP="008E05AA">
      <w:pPr>
        <w:ind w:firstLine="720"/>
        <w:jc w:val="both"/>
      </w:pPr>
      <w:r>
        <w:t>- skatinti tarptautinį bendradarbiavimą narkomanijos prevencijos bei narkotikų kontrolės srityje, pagrįstą regioniniais ir nacionaliniais projektais bei programomis (Programos 26.6 p.);</w:t>
      </w:r>
    </w:p>
    <w:p w:rsidR="008E05AA" w:rsidRDefault="008E05AA" w:rsidP="008E05AA">
      <w:pPr>
        <w:ind w:firstLine="720"/>
        <w:jc w:val="both"/>
      </w:pPr>
      <w:r>
        <w:t>- užtikrinti valstybės institucijų, vykdančių narkomanijos prevenciją bei narkotikų kontrolę, efektyvų valdymą, kontrolę bei tarpusavio veiksmų koordinavimą (Programos 26.8 p.);</w:t>
      </w:r>
    </w:p>
    <w:p w:rsidR="008E05AA" w:rsidRDefault="008E05AA" w:rsidP="008E05AA">
      <w:pPr>
        <w:ind w:firstLine="720"/>
        <w:jc w:val="both"/>
      </w:pPr>
      <w:r>
        <w:t xml:space="preserve"> Komisija priėmė sprendimus ir kitais narkomanijos prevencijos ir narkotikų užkardymo klausimais.</w:t>
      </w:r>
    </w:p>
    <w:p w:rsidR="008E05AA" w:rsidRPr="00580BC4" w:rsidRDefault="008E05AA" w:rsidP="008E05AA">
      <w:pPr>
        <w:pStyle w:val="Pagrindiniotekstotrauka3"/>
        <w:jc w:val="both"/>
        <w:rPr>
          <w:bCs/>
          <w:sz w:val="24"/>
          <w:szCs w:val="24"/>
        </w:rPr>
      </w:pPr>
      <w:r w:rsidRPr="00580BC4">
        <w:rPr>
          <w:bCs/>
          <w:sz w:val="24"/>
          <w:szCs w:val="24"/>
        </w:rPr>
        <w:t xml:space="preserve">2007 metais Komisija atkreipė Lietuvos Respublikos Vyriausybės dėmesį į tai, kad be kanapių Lietuvoje populiariausieji narkotikai anfetaminas ir ekstazę. </w:t>
      </w:r>
    </w:p>
    <w:p w:rsidR="008E05AA" w:rsidRDefault="008E05AA" w:rsidP="008E05AA">
      <w:pPr>
        <w:ind w:firstLine="720"/>
        <w:jc w:val="both"/>
      </w:pPr>
      <w:r>
        <w:t xml:space="preserve">2005 metų duomenimis Lietuva sintetinių narkotikų nelegalioje apyvartoje  Europos Sąjungoje užėmė ketvirtą vietą. </w:t>
      </w:r>
    </w:p>
    <w:p w:rsidR="008E05AA" w:rsidRDefault="008E05AA" w:rsidP="008E05AA">
      <w:pPr>
        <w:ind w:firstLine="720"/>
        <w:jc w:val="both"/>
      </w:pPr>
      <w:r>
        <w:t>Lietuvoje pagamintais sintetiniais narkotikais aprūpinamos Skandinavijos šalys.</w:t>
      </w:r>
    </w:p>
    <w:p w:rsidR="008E05AA" w:rsidRDefault="008E05AA" w:rsidP="008E05AA">
      <w:pPr>
        <w:ind w:firstLine="720"/>
        <w:jc w:val="both"/>
      </w:pPr>
      <w:r>
        <w:t xml:space="preserve"> Sintetinių narkotikų rinka užima apie 40 proc. visos narkotikų rinkos Lietuvoje.</w:t>
      </w:r>
    </w:p>
    <w:p w:rsidR="008E05AA" w:rsidRPr="00580BC4" w:rsidRDefault="008E05AA" w:rsidP="008E05AA">
      <w:pPr>
        <w:pStyle w:val="Pagrindiniotekstotrauka3"/>
        <w:rPr>
          <w:sz w:val="24"/>
          <w:szCs w:val="24"/>
        </w:rPr>
      </w:pPr>
      <w:r w:rsidRPr="00580BC4">
        <w:rPr>
          <w:sz w:val="24"/>
          <w:szCs w:val="24"/>
        </w:rPr>
        <w:t xml:space="preserve"> Amfetamino tipo stimuliuojamųjų medžiagų gamyboje apie 50 proc. visų naudojamų cheminių medžiagų yra nekontroliuojamos ir jas be jokių dokumentų galima įsigyti plataus vartojimo prekių arba specializuotose parduotuvėse. </w:t>
      </w:r>
    </w:p>
    <w:p w:rsidR="008E05AA" w:rsidRDefault="008E05AA" w:rsidP="008E05AA">
      <w:pPr>
        <w:ind w:firstLine="720"/>
        <w:jc w:val="both"/>
      </w:pPr>
      <w:r>
        <w:t xml:space="preserve">Europos Komisijos Generalinio direktorato Mokesčių ir muitinės skyriaus rekomendacijose dėl cheminių medžiagų kontrolės Europos Sąjungoje ir prekybos cheminėmis medžiagomis nurodoma, kad cheminės medžiagos (prekursoriai, esminės cheminės medžiagos, reagentai, tirpikliai bei katalizatoriai) yra plačiai naudojamos teisėtoje pramoninėje veikloje ir vaistų gamybos procesuose. Šiomis medžiagomis teisėtai prekiaujama dideliais kiekiais, tačiau jas galima panaudoti neteisėtai narkotinių ir psichotropinių medžiagų gamybai ir ruošimui. Šias gamybos operacijas yra nesunku vykdyti dėl nesudėtingo cheminio proceso, jos nebrangios dėl palyginti pigių ingredientų, ypač sintetinių narkotikų gamybai. Sintetiniai narkotikai, tokie kaip amfetaminas ir “ekstazy” nelegaliai </w:t>
      </w:r>
      <w:r>
        <w:lastRenderedPageBreak/>
        <w:t>gaminami  vien iš cheminių medžiagų. Didėjant narkotinių medžiagų gamybos apimtims bei jų paklausai- didėja ir cheminių medžiagų poreikis.</w:t>
      </w:r>
    </w:p>
    <w:p w:rsidR="008E05AA" w:rsidRDefault="008E05AA" w:rsidP="008E05AA">
      <w:pPr>
        <w:ind w:firstLine="720"/>
        <w:jc w:val="both"/>
      </w:pPr>
      <w:r>
        <w:t xml:space="preserve">Todėl, būtina kontroliuoti ir rinkti informaciją, užmegzti ryšius su įmonėmis, cheminėmis laboratorijomis, gaminančiomis, įvežančiomis chemines medžiagas, kurios gali būti naudojamos neteisėtai narkotikų apyvartai, taip pat prekiaujančiomis tokiomis medžiagomis. </w:t>
      </w:r>
    </w:p>
    <w:p w:rsidR="008E05AA" w:rsidRDefault="008E05AA" w:rsidP="008E05AA">
      <w:pPr>
        <w:ind w:firstLine="720"/>
        <w:jc w:val="both"/>
      </w:pPr>
      <w:r>
        <w:t xml:space="preserve">Bendradarbiavimas ir apsikeitimas informacija tarp kompetetingų valdžios institucijų ir subjektų yra gyvybiškai svarbus. </w:t>
      </w:r>
    </w:p>
    <w:p w:rsidR="008E05AA" w:rsidRDefault="008E05AA" w:rsidP="008E05AA">
      <w:pPr>
        <w:pStyle w:val="Pagrindiniotekstotrauka"/>
      </w:pPr>
      <w:r>
        <w:t xml:space="preserve">Subjektai  (gamintojai, platintojai, prekybininkai ir kt.) geriausiai žinodami apie savo produktus, klientus bei cheminių medžiagų rinką, įtarus, kad cheminės medžiagos gali būti nukreiptos į neteisėtą narkotinių ir psichotropinių medžiagų gamybą, galėtų apie tai informuoti kompetetingą valdžios instituciją. </w:t>
      </w:r>
    </w:p>
    <w:p w:rsidR="008E05AA" w:rsidRDefault="008E05AA" w:rsidP="008E05AA">
      <w:pPr>
        <w:ind w:firstLine="720"/>
        <w:jc w:val="both"/>
      </w:pPr>
      <w:r>
        <w:t xml:space="preserve">Europos Sąjungoje privalomai kontroliuojamos 23 –is cheminės medžiagos ( nurodytos sąraše Nr.1) ir veiklai su šiomis cheminėmis medžiagomis taikomi tam tikri įsipareigojimai. </w:t>
      </w:r>
    </w:p>
    <w:p w:rsidR="008E05AA" w:rsidRDefault="008E05AA" w:rsidP="008E05AA">
      <w:pPr>
        <w:ind w:firstLine="720"/>
        <w:jc w:val="both"/>
      </w:pPr>
      <w:r>
        <w:t xml:space="preserve">Lietuvoje tokių cheminių medžiagų nėra. </w:t>
      </w:r>
    </w:p>
    <w:p w:rsidR="008E05AA" w:rsidRDefault="008E05AA" w:rsidP="008E05AA">
      <w:pPr>
        <w:ind w:firstLine="720"/>
        <w:jc w:val="both"/>
      </w:pPr>
      <w:r>
        <w:t>Nekontroliuojamos cheminės medžiagos, kurios gali būti panaudojamos kontroliuojamų cheminių medžiagų gamybai arba prekiautojai patys naudoja nekontroliuojamas chemines medžiagas narkotinių medžiagų gamybos procesuose. Šios medžiagos, kaip pakaitalai kontroliuojamoms cheminėms medžiagoms  teisėtai naudojamos pramonėje.</w:t>
      </w:r>
    </w:p>
    <w:p w:rsidR="008E05AA" w:rsidRDefault="008E05AA" w:rsidP="008E05AA">
      <w:pPr>
        <w:ind w:firstLine="720"/>
        <w:jc w:val="both"/>
      </w:pPr>
      <w:r>
        <w:t>ES rekomendacijose pabrėžiama, kad kontrolės sistemos, kurios taikomos kontroliuojamoms cheminėms medžiagoms, taikymas nekontroliuojamoms cheminėms medžiagoms būtų nepraktiškas ir neproduktyvus.</w:t>
      </w:r>
    </w:p>
    <w:p w:rsidR="008E05AA" w:rsidRDefault="008E05AA" w:rsidP="008E05AA">
      <w:pPr>
        <w:ind w:firstLine="720"/>
        <w:jc w:val="both"/>
      </w:pPr>
      <w:r>
        <w:t xml:space="preserve">Daugelis ES šalių, bendradarbiaudamos su chemijos pramonės atstovais,  sukūrė savanoriško sekimo (monitoringo) sistemas bei medžiagų sąrašus. Subjektų yra prašoma kreipti dėmesį į bet kokias indikacijas, pagal kurias būtų galima įtarti, kad tokios cheminės medžiagos gali būti nukreiptos į neteisėtą narkotinių medžiagų gamybą ir apie tai pranešti atitinkamiems kompetentingos institucijos atstovams. </w:t>
      </w:r>
    </w:p>
    <w:p w:rsidR="008E05AA" w:rsidRDefault="008E05AA" w:rsidP="008E05AA">
      <w:pPr>
        <w:ind w:firstLine="720"/>
        <w:jc w:val="both"/>
      </w:pPr>
      <w:r>
        <w:t xml:space="preserve">Šalių narių susitarimu buvo sudarytas nekontroliuojamų cheminių medžiagų, kurios yra dažniausiai naudojamos neteisėtoje narkotinių medžiagų gamyboje, sąrašas, kurį Europos Sąjungos Šalių Narkotinių medžiagų pirmtakų (prekursorių) komitetas nuolat atnaujins. Europos Bendrijos savanoriško sekimo (monitoringo) sąrašas galioja nuo 2004 m. kovo 24 d. Šis sąrašas peržiūrimas kiekviename Narkotinių medžiagų pirmtakų (prekursorių) komiteto posėdyje. </w:t>
      </w:r>
    </w:p>
    <w:p w:rsidR="008E05AA" w:rsidRDefault="008E05AA" w:rsidP="008E05AA">
      <w:pPr>
        <w:ind w:firstLine="720"/>
        <w:jc w:val="both"/>
      </w:pPr>
      <w:r>
        <w:t xml:space="preserve"> Europos Sąjungos šalių teritorijos ribose taikomas nekontroliuojamų cheminių medžiagų savanoriškas sekimas (monitoringas), kurios gali būti naudojamos nelegalių sintetinių narkotikų gamybai. Taikant monitoringą subjektai kreipia dėmesį į įtartinus sandorius, verslo praktiką, pristatymo metodus, užsakomų produktų kiekius, įrangos ar pakavimo medžiagos įsigijimus ir kt.  </w:t>
      </w:r>
    </w:p>
    <w:p w:rsidR="008E05AA" w:rsidRPr="00580BC4" w:rsidRDefault="008E05AA" w:rsidP="008E05AA">
      <w:pPr>
        <w:ind w:firstLine="720"/>
        <w:jc w:val="both"/>
        <w:rPr>
          <w:bCs/>
        </w:rPr>
      </w:pPr>
      <w:r>
        <w:t xml:space="preserve">Rekomendacijose yra ne vien tik cheminių medžiagų sąrašas, bet ir </w:t>
      </w:r>
      <w:r w:rsidRPr="00580BC4">
        <w:rPr>
          <w:bCs/>
        </w:rPr>
        <w:t xml:space="preserve">rekomendacijos nacionalinėms kompetentingoms valdžios institucijoms ir teisėsaugos institucijoms, apibrėžiant atsakomybės ribas pramonės ir teisėsaugos sistemose. Siūlomi veiksmai yra neformalūs ir grindžiami savanoriškumo principais, turi atitikti ir neviršyti tų griežtų kontrolės priemonių, kurios taikomos 1988 metų  Konvencijos 12 straipsnyje išvardintoms kontroliuojamoms cheminėms medžiagoms.  </w:t>
      </w:r>
    </w:p>
    <w:p w:rsidR="008E05AA" w:rsidRPr="00580BC4" w:rsidRDefault="008E05AA" w:rsidP="008E05AA">
      <w:pPr>
        <w:ind w:firstLine="720"/>
        <w:jc w:val="both"/>
        <w:rPr>
          <w:bCs/>
        </w:rPr>
      </w:pPr>
      <w:r w:rsidRPr="00580BC4">
        <w:rPr>
          <w:bCs/>
        </w:rPr>
        <w:t>Rekomendacijose nurodyti veiksmai, kurių turi imtis chemijos pramonės atstovai, įgyvendinant apriboto tarptautinio specialiosios priežiūros sąrašo naudojimą, identifikuojant įtartinus sandorius, užklausimus ir užsakymus. Nacionalinės kompetentingos valdžios institucijos taip pat turi pateikti būtiną informaciją chemijos pramonės subjektams apie prekybą bei neteisėtą veiklą, susijusią su narkotinių medžiagų gamyba.</w:t>
      </w:r>
    </w:p>
    <w:p w:rsidR="008E05AA" w:rsidRDefault="008E05AA" w:rsidP="008E05AA">
      <w:pPr>
        <w:pStyle w:val="Pagrindiniotekstotrauka"/>
      </w:pPr>
      <w:r>
        <w:t xml:space="preserve">Išnagrinėjusi ES rekomendacijas, Narkomanijos prevencijos komisija raštu kreipėsi į valstybines institucijas prašydamos pateikti informaciją apie situaciją Lietuvoje. </w:t>
      </w:r>
    </w:p>
    <w:p w:rsidR="008E05AA" w:rsidRDefault="008E05AA" w:rsidP="008E05AA">
      <w:pPr>
        <w:ind w:firstLine="720"/>
        <w:jc w:val="both"/>
      </w:pPr>
      <w:r>
        <w:t xml:space="preserve">Valstybinė vaistų kontrolės tarnyba prie Lietuvos Respublikos Sveikatos apsaugos ministerijos 2006 02  21 raštu Nr. R2-1-17-1 “Dėl informacijos pateikimo” pateikė Komisijai informaciją apie narkotinių ir psichotropinių medžiagų bei jų pirmtakų teisėtos apyvartos kontrolę. </w:t>
      </w:r>
    </w:p>
    <w:p w:rsidR="008E05AA" w:rsidRDefault="008E05AA" w:rsidP="008E05AA">
      <w:pPr>
        <w:ind w:firstLine="720"/>
        <w:jc w:val="both"/>
      </w:pPr>
      <w:r>
        <w:t xml:space="preserve">Kontrolė vykdoma pagal tarptautinių susitarimų  (1961 m. Jungtinių Tautų Organizacijos Bendrosios narkotinių medžiagų konvencijos, 1971 m. Jungtinių Tautų Organizacijos Psichotropinių medžiagų konvencijos ir 1988 m. Jungtinių Tautų Organizacijos Konvencijos dėl kovos su neteisėta narkotinių ir psichotropinių medžiagų apyvarta) nuostatas. </w:t>
      </w:r>
    </w:p>
    <w:p w:rsidR="008E05AA" w:rsidRDefault="008E05AA" w:rsidP="008E05AA">
      <w:pPr>
        <w:ind w:firstLine="720"/>
        <w:jc w:val="both"/>
      </w:pPr>
      <w:r>
        <w:t xml:space="preserve">Minėtas Rekomendacijas  Valstybinė vaistų kontrolės tarnyba 2004 m. spalio – lapkričio mėnesiais registruotu paštu išsiuntė įmonėms, turinčioms registracijos pažymėjimus veiklai, susijusiai </w:t>
      </w:r>
      <w:r>
        <w:lastRenderedPageBreak/>
        <w:t>su narkotinių ir psichotropinių medžiagų II ir III kategorijos pirmtakais (prekursoriais) bei jais prekiaujančiomis, taip pat Narkotikų kontrolės departamentui prie</w:t>
      </w:r>
      <w:r>
        <w:rPr>
          <w:b/>
          <w:bCs/>
        </w:rPr>
        <w:t xml:space="preserve"> </w:t>
      </w:r>
      <w:r>
        <w:t xml:space="preserve">Lietuvos Respublikos Vyriausybės, Muitinės kriminalinei tarnybai, Lietuvos kriminalinės policijos biuro Organizuoto </w:t>
      </w:r>
      <w:r>
        <w:rPr>
          <w:b/>
          <w:bCs/>
        </w:rPr>
        <w:t xml:space="preserve"> </w:t>
      </w:r>
      <w:r>
        <w:t xml:space="preserve">nusikalstamumo tyrimo tarnybos Narkotikų kontrolės valdybai, Valstybės sienos apsaugos tarnybai, Valstybės saugumo departamentui. </w:t>
      </w:r>
    </w:p>
    <w:p w:rsidR="008E05AA" w:rsidRDefault="008E05AA" w:rsidP="008E05AA">
      <w:pPr>
        <w:ind w:firstLine="720"/>
        <w:jc w:val="both"/>
      </w:pPr>
      <w:r>
        <w:t xml:space="preserve">ES informuota, kad dabartiniu metu Lietuvoje  kompetentingomis valdžios institucijomis (Valstybinė vaistų kontrolės tarnybos prie Lietuvos Respublikos Sveikatos apsaugos ministerijos 2006 02  21 raštas Nr. R2-1-17-1) paskirtos šios institucijos ir asmenys:  </w:t>
      </w:r>
    </w:p>
    <w:p w:rsidR="008E05AA" w:rsidRDefault="008E05AA" w:rsidP="008E05AA">
      <w:pPr>
        <w:ind w:firstLine="720"/>
        <w:jc w:val="both"/>
      </w:pPr>
      <w:r>
        <w:t>Licencijavimui ir registravimui -  Valstybinės vaistų kontrolės tarnybos prie Sveikatos apsaugos ministerijos Narkotikų skyrius (Gema Bukšaitienė);</w:t>
      </w:r>
    </w:p>
    <w:p w:rsidR="008E05AA" w:rsidRDefault="008E05AA" w:rsidP="008E05AA">
      <w:pPr>
        <w:ind w:firstLine="720"/>
        <w:jc w:val="both"/>
      </w:pPr>
      <w:r>
        <w:t>Leidimui eksportuoti – Valstybinės vaistų kontrolės tarnybos prie Sveikatos apsaugos ministerijos Narkotikų skyrius (Gema Bukšaitienė);</w:t>
      </w:r>
    </w:p>
    <w:p w:rsidR="008E05AA" w:rsidRDefault="008E05AA" w:rsidP="008E05AA">
      <w:pPr>
        <w:ind w:firstLine="720"/>
        <w:jc w:val="both"/>
      </w:pPr>
      <w:r>
        <w:t>Gamyba/vidaus prekyba - Valstybinės vaistų kontrolės tarnybos prie Sveikatos apsaugos ministerijos Narkotikų skyrius (Gema Bukšaitienė);</w:t>
      </w:r>
    </w:p>
    <w:p w:rsidR="008E05AA" w:rsidRDefault="008E05AA" w:rsidP="008E05AA">
      <w:pPr>
        <w:ind w:firstLine="720"/>
        <w:jc w:val="both"/>
      </w:pPr>
      <w:r>
        <w:t xml:space="preserve">Teisėsaugos institucijos – Muitinės kriminalinė tarnybos prie Finansų ministerijos Narkotikų kontrolės skyrius (Arūnas Ivoška), Lietuvos Kriminalinės policijos biuro organizuoto nusikalstamumo tyrimo tarnybos Narkotikų kontrolės valdyba (Nerijus Dunauskas) ir Valstybinės vaistų kontrolės tarnybos prie Sveikatos apsaugos ministerijos Narkotikų skyrius (Gema Bukšaitienė). </w:t>
      </w:r>
    </w:p>
    <w:p w:rsidR="008E05AA" w:rsidRDefault="008E05AA" w:rsidP="008E05AA">
      <w:pPr>
        <w:ind w:firstLine="720"/>
        <w:jc w:val="both"/>
      </w:pPr>
      <w:r>
        <w:t xml:space="preserve">Koordinatorius -  Narkotikų kontrolės departamentas prie Lietuvos Respublikos Vyriausybės (Audronė Astrauskienė). </w:t>
      </w:r>
    </w:p>
    <w:p w:rsidR="008E05AA" w:rsidRDefault="008E05AA" w:rsidP="008E05AA">
      <w:pPr>
        <w:ind w:firstLine="720"/>
        <w:jc w:val="both"/>
      </w:pPr>
      <w:r>
        <w:t>Valstybinė vaistų kontrolės tarnyba prie Lietuvos Respublikos Sveikatos apsaugos ministerijos  (2006 02  21 raštas Nr. R2-1-17-1 “Dėl informacijos pateikimo”) taip pat nurodė, kad dėl informavimo apie įtartinus siūlomus ar sudarytus sandorius, esant pagrindo manyti, kad pirmtakai naudojami ar gali būti panaudoti neteisėtai narkotinių ir psichotropinių medžiagų gamybai, tvarkoje patvirtintoje  Lietuvos Respublikos Vidaus reikalų ministro 1999 m. rugpjūčio 9 d. įsakymu Nr. 467 “ Dėl informavimo apie įtartinus siūlomus ar sudarytus sandorius, esant pagrindo manyti, kad pirmtakai naudojami ar gali būti panaudoti neteisėtai narkotinių ir psichotropinių medžiagų gamybai, tvarkos” nurodyta, kad subjektai, kurių veikla susijusi su I, II, III kategorijų pirmtakais, apie įtartinus siūlomus ar sudarytus sandorius privalo raštu</w:t>
      </w:r>
      <w:r>
        <w:rPr>
          <w:b/>
          <w:bCs/>
        </w:rPr>
        <w:t xml:space="preserve"> </w:t>
      </w:r>
      <w:r>
        <w:t xml:space="preserve">informuoti Policijos departamentą prie Lietuvos Respublikos vidaus reikalų ministerijos nedelsiant,bet nevėliau kaip per 3 darbo dienas ir pagal išvardintus įsakyme požymius. Sandorio šalys turi teisę informuoti Policijos departamentą prie VRM apie, jų manymu, įtartinus sandorius ir be visų įsakyme išvardintų požymių. </w:t>
      </w:r>
    </w:p>
    <w:p w:rsidR="008E05AA" w:rsidRDefault="008E05AA" w:rsidP="008E05AA">
      <w:pPr>
        <w:pStyle w:val="Pagrindiniotekstotrauka"/>
      </w:pPr>
      <w:r>
        <w:t xml:space="preserve">Sveikatos apsaugos ministerija 2007 04 24 raštu Nr. 10-2250 “Dėl  informacijos pateikimo” Komisijai paaiškino, kad legali veikla su I kategorijos prekursoriais, išvardintais Europos Parlamento ir Tarybos reglamento (EB) Nr. 273/2004 ( toliau- Reglamento) dėl narkotinių ir psichotropinių medžiagų pirmtakų (prekursorių) (OL 2004 m. specialusis leidimas, 15 skyrius, 8 tomas, p.46) I priede ir Reglamento (EB) Nr. 111/2005 priede, Lietuvos Respublikoje nevykdoma. </w:t>
      </w:r>
    </w:p>
    <w:p w:rsidR="008E05AA" w:rsidRDefault="008E05AA" w:rsidP="008E05AA">
      <w:pPr>
        <w:ind w:firstLine="720"/>
        <w:jc w:val="both"/>
      </w:pPr>
      <w:r>
        <w:t xml:space="preserve">Licencijos verstis veikla, susijusia su I kategorijos narkotinių ir psichotropinių medžiagų pirmtakais (prekursoriais) buvo išduodamos farmacijos įmonėms, turinčioms didmeninio platinimo licenciją ir užsiimančioms vaistinių preparatų, kurių sudėtyje yra daugiau nei 70 proc. I kategorijos prekursorių, didmeniniu platinimu, kitokia legali veikla, susijusi su I kategorijos prekursoriais, vykdoma nebuvo.  </w:t>
      </w:r>
    </w:p>
    <w:p w:rsidR="008E05AA" w:rsidRDefault="008E05AA" w:rsidP="008E05AA">
      <w:pPr>
        <w:ind w:firstLine="720"/>
        <w:jc w:val="both"/>
      </w:pPr>
      <w:r>
        <w:t xml:space="preserve">II ir III kategorijos prekursorius, išvardintus Reglamento (EB) Nr. 273/2004 I priede ir Reglamento (EB) Nr. 111/2005 priede, mokslo tikslams naudoja universitetų, mokslo institutų laboratorijos, atliekant diagnostinius tyrimus – asmens sveikatos priežiūros įstaigų laboratorijos ir kt. Įmonės, vykdydamos Reglamentų  Nr. 273/2004,  Nr. 111/2005   ir Nr. 1277/2005 reikalavimus, neprivalo teikti ataskaitų apie veiklą, kurios neprivaloma registruoti bei įsigyti importo ar eksporto leidimus. Įmonės informaciją teikė Valstybinei vaistų kontrolės tarnybos Narkotikų skyriui  geranoriško bendradarbiavimo principu ir už 2005 metus. </w:t>
      </w:r>
    </w:p>
    <w:p w:rsidR="008E05AA" w:rsidRDefault="008E05AA" w:rsidP="008E05AA">
      <w:pPr>
        <w:ind w:firstLine="720"/>
        <w:jc w:val="both"/>
      </w:pPr>
      <w:r>
        <w:t xml:space="preserve"> Reglamentai įsigaliojo Nr. 273/2004,  Nr. 111/2005   ir Nr. 1277/2005 2005 m. rugpjūčio 18 d., minėtais reglamentais nustatytos ribinės vertės turėtų būti tikrinamos analizuojant įmonių pateiktas ataskaitas apie 2006 metais vykdytą veiklą.</w:t>
      </w:r>
    </w:p>
    <w:p w:rsidR="008E05AA" w:rsidRDefault="008E05AA" w:rsidP="008E05AA">
      <w:pPr>
        <w:ind w:firstLine="720"/>
        <w:jc w:val="both"/>
      </w:pPr>
      <w:r>
        <w:t xml:space="preserve">Įmonių, vykdančių veiklą su II ir (arba) III kategorijos prekursoriais ir kuriai turi būti taikomi Reglamentų Nr. 273/2004,  Nr. 111/2005   ir Nr. 1277/2005 2005  reikalavimai, veiklos vieta įregistruojama Valstybinėje vaistų kontrolės tarnyboje (toliau-VVKT). </w:t>
      </w:r>
    </w:p>
    <w:p w:rsidR="008E05AA" w:rsidRDefault="008E05AA" w:rsidP="008E05AA">
      <w:pPr>
        <w:ind w:firstLine="720"/>
        <w:jc w:val="both"/>
      </w:pPr>
      <w:r>
        <w:lastRenderedPageBreak/>
        <w:t>Sveikatos apsaugos ministerija minėtame rašte nurodė, kad “Lietuvos Respublikos Vyriausybės 2000 m. gegužės 8 d. nutarimas Nr. 509 “Dėl Lietuvos Respublikos narkotinių ir psichotropinių medžiagų pirmtakų (prekursorių) kontrolės įstatymo įgyvendinimo” (Žin., 2000, Nr. 38-1068; 2003, Nr. 24- 999) nustato, kad  VVKT yra įgaliojama vykdyti veiklos, susijusios  su narkotinių ir psichotropinių medžiagų pirmtakais (prekursoriais), licencijavimo, registravimo, leidimų išdavimo ir kontrolės funkcijas. Šiame nutarime nėra numatyta, kad VVKT darbuotojai turi teisę kontroliuoti įmones  įeidama į jų patalpas. Jokie kiti specialieji teisės aktai, reglamentuojantys prekursorių kontrolę, tokios teisės VVKT nesuteikia. VVKT darbuotojai gali tikrinti patalpas tik Farmacijos</w:t>
      </w:r>
      <w:r>
        <w:rPr>
          <w:b/>
          <w:bCs/>
        </w:rPr>
        <w:t xml:space="preserve"> </w:t>
      </w:r>
      <w:r>
        <w:t>įstatyme nustatytais atvejais ir tik šio įstatymo ribose, t.y. kontroliuojant veiklą su farmacijos produktais. Farmacijos produkto sąvoka apima ir vaistinius preparatus, todėl vieninteliai atvejai, kai VVKT gali tikrinti ūkio subjektus dirbančius su prekursoriais, gali būti tik tokie, kai į vaistinių preparatų sudėtį įeina I kategorijos prekursoriai....Kadangi sandorius patvirtinantys dokumentai gali būti tikrinami tik įmonės patalpose, dėl ribotų VVKT įgaliojimų jie tikrinti nebuvo.”</w:t>
      </w:r>
    </w:p>
    <w:p w:rsidR="008E05AA" w:rsidRDefault="008E05AA" w:rsidP="008E05AA">
      <w:pPr>
        <w:ind w:firstLine="720"/>
        <w:jc w:val="both"/>
      </w:pPr>
      <w:r>
        <w:t>Sveikatos apsaugos ministerija nurodė, kad “Lietuvos Respublikos narkotinių ir psichotropinių medžiagų pirmtakų (prekursorių) kontrolės įstatymas bei kiti prekursorių kontrolę reglamentuojantys teisės aktai nesuteikia VVKT įgaliojimų kontroliuoti, ar ūkio subjektai apmokė atsakingus</w:t>
      </w:r>
      <w:r>
        <w:rPr>
          <w:b/>
          <w:bCs/>
        </w:rPr>
        <w:t xml:space="preserve"> </w:t>
      </w:r>
      <w:r>
        <w:t xml:space="preserve">pareigūnus nustatyti įtartinų sandorių rizikos rodiklius. Neteisėtos įrangos naudojimo kontrolė nėra SAM kompetencijos sritis. SAM apie įrangos dingimus,  informacijos neturi. Apie nelegaliems tikslams naudojamų II bei III kategorijų prekursorių dingimus iš įmonių informacijos neturi. Apie ūkio subjektus, pažeidusius cheminių medžiagų  ir preparatų, iš kurių galima pagaminti narkotines ar psichotropines medžiagas, tiekimo rinkai ir kitokias naudojimo sąlygas, informacijos neturi. </w:t>
      </w:r>
    </w:p>
    <w:p w:rsidR="008E05AA" w:rsidRDefault="008E05AA" w:rsidP="008E05AA">
      <w:pPr>
        <w:ind w:firstLine="720"/>
        <w:jc w:val="both"/>
        <w:rPr>
          <w:b/>
          <w:bCs/>
        </w:rPr>
      </w:pPr>
      <w:r>
        <w:t>Atsakydama į Narkomanijos prevencijos komisijos  klausimą , ar  VVKT 2002 – 2004 metais atliko teisėtos narkotinių ir psichotropinių medžiagų bei jų pirmtakų (prekursorių) apyvartos kontrolę, Sveikatos apsaugos ministerija atsakė, kad VVKT  nurodytais metais vykdė legalios narkotinių ir psichotropinių medžiagų bei jų pirmtakų (prekursorių) apyvartos kontrolę įmonių licencijavimo, registravimo, importo, eksporto leidimų išdavimo būdu bei informacijos, susijusios su licencijuojama, registruojama veikla, išduotais importo, eksporto leidimais, rinkimu ir ataskaitų Jungtinių Tautų Tarptautiniam narkotikų kontrolės komitetui</w:t>
      </w:r>
      <w:r>
        <w:rPr>
          <w:b/>
          <w:bCs/>
        </w:rPr>
        <w:t xml:space="preserve"> </w:t>
      </w:r>
      <w:r>
        <w:t>teikimu.</w:t>
      </w:r>
      <w:r>
        <w:rPr>
          <w:b/>
          <w:bCs/>
        </w:rPr>
        <w:t xml:space="preserve">  </w:t>
      </w:r>
    </w:p>
    <w:p w:rsidR="008E05AA" w:rsidRDefault="008E05AA" w:rsidP="008E05AA">
      <w:pPr>
        <w:ind w:firstLine="720"/>
        <w:jc w:val="both"/>
      </w:pPr>
      <w:r>
        <w:t xml:space="preserve">Lietuvos Respublikos ūkio ministerija, atsakydama į Narkomanijos prevencijos komisijos 2007 04 03 raštu Nr. 293-S-18/S-2007-3349 pateiktus klausimus, nurodė, kad su narkotinių ir psichotropinių medžiagų pirmtakų (prekursorių) susijusia veikla, kontrolę atlieka kitos institucijos:  VVKT, SAM, muitinė, VRM. </w:t>
      </w:r>
    </w:p>
    <w:p w:rsidR="008E05AA" w:rsidRDefault="008E05AA" w:rsidP="008E05AA">
      <w:pPr>
        <w:pStyle w:val="Pagrindiniotekstotrauka2"/>
        <w:spacing w:line="240" w:lineRule="auto"/>
        <w:ind w:firstLine="437"/>
        <w:jc w:val="both"/>
      </w:pPr>
      <w:r>
        <w:t>Ūkio ministerija vadovaudamasi Lietuvos Respublikos Cheminių medžiagų  ir preparatų įstatymo 4 ir 25 straipsniais ir Lietuvos Respublikos Vyriausybės patvirtintais Ūkio ministerijos nuostatais dalyvauja formuojant ir įgyvendinant cheminių medžiagų ir preparatų politiką pramonėje ir versle pagal  darniosios plėtros principus. Esant reikalui, Ūkio ministerija atlieka ruošiamų ES ar nacionalinės teisės aktų projektų galimo poveikio vertinimą chemijos pramonei (kaip ir kitoms pramonės šakoms) ir, esant ekonominiam pagrįstumui, imasi adekvačių priemonių. Ūkio ministerija tiesiogiai nedalyvauja  įgyvendinant Lietuvos Respublikos narkotinių ir psichotropinių medžiagų pirmtakų (prekursorių) kontrolės įstatymą, nekaupia ir nedisponuoja informacija apie narkotinių ir psichotropinių medžiagų pirmtakų (prekursorių) gamybai reikalinga įranga ir medžiagas.</w:t>
      </w:r>
    </w:p>
    <w:p w:rsidR="008E05AA" w:rsidRDefault="008E05AA" w:rsidP="008E05AA">
      <w:pPr>
        <w:ind w:firstLine="720"/>
        <w:jc w:val="both"/>
      </w:pPr>
      <w:r>
        <w:t>Valstybinė ne maisto produktų inspekcija prie Ūkio ministerijos kontroliuoja ar į šalies rinką vartotojams teikiami ne maisto gaminiai (iš jų cheminės medžiagos ir preparatai, įskaitant patvarias organines medžiagas bei šių medžiagų turinčius gaminius) atitinka teisės aktų reikalavimus, tačiau nedalyvauja Lietuvos Respublikos narkotinių ir psichotropinių medžiagų pirmtakų (prekursorių) kontrolės įstatymo įgyvendinime.</w:t>
      </w:r>
    </w:p>
    <w:p w:rsidR="008E05AA" w:rsidRDefault="008E05AA" w:rsidP="008E05AA">
      <w:pPr>
        <w:ind w:firstLine="720"/>
        <w:jc w:val="both"/>
      </w:pPr>
      <w:r>
        <w:t>Ūkio ministerija rašte nurodė, kad narkotinių ir psichotropinių medžiagų pirmtakų (prekursorių) gamybos,  pardavimo, platinimo, laikymo ar  kitokio disponavimo šiomis medžiagomis registro ir /ar kontrolės, su tuo susijusios institucijų ar ūkio subjektų atitinkamos veiklos licencijavimo, atsakomybės ir kiti rašte išvardinti klausimai nėra Ūkio ministerijos</w:t>
      </w:r>
      <w:r>
        <w:rPr>
          <w:b/>
          <w:bCs/>
        </w:rPr>
        <w:t xml:space="preserve">  </w:t>
      </w:r>
      <w:r>
        <w:t xml:space="preserve">ir jos įgaliotų institucijų kompetencijoje, todėl informacijos atsakymų į narkomanijos prevencijos komisijos klausimus dėl </w:t>
      </w:r>
      <w:r>
        <w:rPr>
          <w:b/>
          <w:bCs/>
        </w:rPr>
        <w:t xml:space="preserve"> </w:t>
      </w:r>
      <w:r>
        <w:t>narkotinių ir psichotropinių medžiagų pirmtakų (prekursorių) gamybos,  pardavimo, platinimo, laikymo ar  kitokio disponavimo šiomis medžiagomis registro ir /ar kontrolės, neturi.</w:t>
      </w:r>
    </w:p>
    <w:p w:rsidR="008E05AA" w:rsidRDefault="008E05AA" w:rsidP="008E05AA">
      <w:pPr>
        <w:ind w:firstLine="720"/>
        <w:jc w:val="both"/>
        <w:rPr>
          <w:b/>
          <w:bCs/>
        </w:rPr>
      </w:pPr>
      <w:r>
        <w:lastRenderedPageBreak/>
        <w:t xml:space="preserve">Lietuvos Respublikos Aplinkos ministerija, atsakydama į Narkomanijos prevencijos komisijos  2007 04 03 raštu Nr. 293-S-19/S-2007-3407 pateiktus klausimus apie veiklą, susijusią su narkotinių ir psichotropinių medžiagų pirmtakais (prekursoriais), atsakė, kad Aplinkos ministerija nėra įpareigota vykdyti veiklos, susijusios su pirmtakais (prekursoriais), kontrolės.   </w:t>
      </w:r>
    </w:p>
    <w:p w:rsidR="008E05AA" w:rsidRDefault="008E05AA" w:rsidP="008E05AA">
      <w:pPr>
        <w:ind w:firstLine="720"/>
        <w:jc w:val="both"/>
      </w:pPr>
      <w:r>
        <w:t>Atsakydama į Narkomanijos prevencijos komisijos klausimus kokios įmonės, chemijos laboratorijos 2004 – 2006 metais teisėtai gamino, teisėtai disponavo mokslo ir medicinos tikslais, teisėtai įvežė ir išvežė, prekiavo (vidaus ir išorės prekyba) cheminėmis medžiagomis ir preparatais išvardintais pagal kategorijas Reglamento 273/2004/EB I priede ir Reglamento 111/2004/EB ir kt.,  Aplinkos ministerija nurodė, kad  neturi informacijos duomenų bazėje apie chemines medžiagas, išvardintas Reglamento 273/2004/EB I priedo I kategorijoje. Iš medžiagų, priskirtų šio priedo 2 kategorijai, turima informacija ( pateiktas 2004-2005 metų sąrašas) tik apie kalio permanganato ir 3 kategorijos chemines medžiagas.</w:t>
      </w:r>
    </w:p>
    <w:p w:rsidR="008E05AA" w:rsidRDefault="008E05AA" w:rsidP="008E05AA">
      <w:pPr>
        <w:ind w:firstLine="720"/>
        <w:jc w:val="both"/>
      </w:pPr>
      <w:r>
        <w:t xml:space="preserve"> Lietuvos Respublikos Vyriausybės 2000 m. gegužės 8 d. nutarimu Nr. 509 ( Žin., 2000, Nr. 38-1068), kuriuo numatytos pareigos ūkio subjektams teikti Valstybinei vaistų kontrolės tarnybai ataskaitas, kiek įvežta ir išvežta pirmtakų bei šios tarnybos teisės imtis veiksmų, jei ūkio subjektas nevykdo jam nustatytų pareigų. Valstybinei vaistų kontrolės tarnybai ataskaitas ūkio subjektai teikia   ir dėl vykdytų sandorių. </w:t>
      </w:r>
    </w:p>
    <w:p w:rsidR="008E05AA" w:rsidRDefault="008E05AA" w:rsidP="008E05AA">
      <w:pPr>
        <w:ind w:firstLine="720"/>
        <w:jc w:val="both"/>
      </w:pPr>
      <w:r>
        <w:t xml:space="preserve">Pagal Lietuvos Respublikos cheminių medžiagų ir preparatų įstatymą (Žin., 200, Nr. 36-987; 2006, Nr. 65-2381) yra atsakingi jų naudotojai, kurie privalo turėti duomenų apie jų pavojingąsias savybes, taikyti atitinkamas saugos priemones, taip pat sandėliuojant atsižvelgti į kitą informaciją tiekėjo pateiktame saugos duomenų lape, įskaitant pirmtakų (prekursorių) saugų tvarkymą ir  jų sandėliavimą. </w:t>
      </w:r>
    </w:p>
    <w:p w:rsidR="008E05AA" w:rsidRDefault="008E05AA" w:rsidP="008E05AA">
      <w:pPr>
        <w:ind w:firstLine="720"/>
        <w:jc w:val="both"/>
      </w:pPr>
      <w:r>
        <w:t>Aplinkos ministerija neturi informacijos apie pirmtakų (prekursorių) panaudotą ar parduotą kiekį, nesusipažinusi su įrangos sąrašo, kuri gali būti panaudota neteisėtai narkotikų gamybai ir neturi informacijos apie tokios įrangos dingimus ir nekontroliuoja specialiųjų reikalavimų, skirtų veiklos, susijusios su narkotinių ir psichotropinių medžiagų pirmtakais (prekursoriais) įgyvendinimu. Aplinkos  ministerijos regionų aplinkos apsaugos departamentai, vadovaudamiesi Atliekų tvarkymo įstatymu, Atliekų tvarkymo taisyklėmis ir Atliekų sąvartynų įrengimo, eksploatavimo, uždarymo ir priežiūros po uždarymo taisyklėmis, kontroliuoja sąvartynų veiklą, kad nekiltų arba kiek galima būtų sumažintas sąvartynų neigiamas poveikis aplinkai.  Neturi tiesioginės ar netiesioginės informacijos, kad  Lietuvos ūkio subjektuose būtų identifikuoti atvejai, kai iš cheminių medžiagų, neįtrauktų į oficialiuosius pirmtakų (prekursorių) sąrašus, būtų bandoma gaminti narkotikus.</w:t>
      </w:r>
    </w:p>
    <w:p w:rsidR="008E05AA" w:rsidRDefault="008E05AA" w:rsidP="008E05AA">
      <w:pPr>
        <w:ind w:firstLine="720"/>
        <w:jc w:val="both"/>
      </w:pPr>
      <w:r>
        <w:t>Aplinkos ministerija minėtame rašte pažymėjo, kad Valstybinė aplinkos apsaugos kontrolės inspekcija, atlikdama aplinkos apsaugos valstybinę kontrolę, vadovaujasi Aplinkos apsaugos valstybinės kontrolės įstatymu (Žin., 2002, Nr. 72 –3017; 2006, Nr. 72-2667) ir kitais su šiuo įstatymu susijusiais aktais. Pagrindinis kontrolės tikslas – aplinkosauginių normų laikymosi kontrolė. Kontroliuojama, ar cheminės medžiagos ir preparatai (išskyrus teikiamas rinkai chemines medžiagas ir preparatus, skirtus vartotojų asmeniniams ir namų ūkio poreikiams tenkinti) klasifikuojami, ženklinami, pakuojami, saugomi, laikomi, įtraukiami į apskaitą ir jų apskaita vykdoma pagal Aplinkos ministerijos kompetencijai priskirtų teisės aktų reikalavimus, teisėtai naudojami, jais disponuojama; nepažeidžiami pranešimų apie naujas chemines medžiagas, duomenų, ataskaitų dėl cheminių medžiagų ir preparatų teikimo  reikalavimai; taip pat kontroliuoja, ar  nepažeidžiami cheminių medžiagų ir preparatų, įrašytų į tiesiogiai taikomų ES reglamentų, kurių įgyvendinimo kontrolė priskirta Aplinkos ministerijai, sąrašus importo (įvežimo) į Lietuvos  Respublikos teritoriją ir eksporto (išvežimo) iš Lietuvos Respublikos teritorijos reikalavimai. Vykdyti specialias narkotinių medžiagų gamybos prevencijos ar panašias funkcijas Valstybinė aplinkos apsaugos kontrolės inspekcijos pareigūnai nėra įgalioti ir specialiai apmokyti.</w:t>
      </w:r>
    </w:p>
    <w:p w:rsidR="008E05AA" w:rsidRDefault="008E05AA" w:rsidP="008E05AA">
      <w:pPr>
        <w:ind w:firstLine="720"/>
        <w:jc w:val="both"/>
      </w:pPr>
      <w:r>
        <w:t>Aplinkos ministerija atsakė, kontroliuoja šias medžiagas ir klausimus liečiančius šią medžiagų grupę tiek, kiek ir kitas chemines medžiagas, reglamentuojamas bendro pobūdžio cheminių medžiagų srities teisės aktais, kurių įgyvendinimo kontrolę pavesta atlikti Aplinkos ministerijai ar jos įgaliotai institucijai.</w:t>
      </w:r>
    </w:p>
    <w:p w:rsidR="008E05AA" w:rsidRPr="00580BC4" w:rsidRDefault="008E05AA" w:rsidP="008E05AA">
      <w:pPr>
        <w:pStyle w:val="Pagrindiniotekstotrauka3"/>
        <w:jc w:val="both"/>
        <w:rPr>
          <w:sz w:val="24"/>
          <w:szCs w:val="24"/>
        </w:rPr>
      </w:pPr>
      <w:r w:rsidRPr="00580BC4">
        <w:rPr>
          <w:sz w:val="24"/>
          <w:szCs w:val="24"/>
        </w:rPr>
        <w:t xml:space="preserve">Atkreipiame dėmesį į tai, kad  Jungtinių Tautų Tarptautinės narkotikų kontrolės tarybos 2006 metų veiklos ataskaitoje Lietuva tarp kitų Europos Valstybių įvardijama kaip anfetamino ir metamfetamino kilmės šalis. </w:t>
      </w:r>
    </w:p>
    <w:p w:rsidR="008E05AA" w:rsidRDefault="008E05AA" w:rsidP="008E05AA">
      <w:pPr>
        <w:ind w:firstLine="720"/>
        <w:jc w:val="both"/>
      </w:pPr>
      <w:r>
        <w:lastRenderedPageBreak/>
        <w:t xml:space="preserve">Jungtinių Tautų Tarptautinės narkotikų kontrolės tarybos narys Gilberto Gerra  po 2006 m. lapkričio mėn. vizito Lietuvoje, konstatavo aukštą policijos, muitinės ir pasienio apsaugos tarnybų bendradarbiavimo lygį kovoje su sintetinių narkotikų plitimu ir pabrėžė tolesnio teisėsaugos institucijų bendradarbiavimo svarbą. Rekomendavo ir toliau plėsti bei stiprinti kovą su prekursorių prekyba, priimti įstatymų pataisas, didinti teismo laboratorijų galimybes. </w:t>
      </w:r>
    </w:p>
    <w:p w:rsidR="008E05AA" w:rsidRDefault="008E05AA" w:rsidP="008E05AA">
      <w:pPr>
        <w:ind w:firstLine="720"/>
        <w:jc w:val="both"/>
      </w:pPr>
      <w:r>
        <w:t xml:space="preserve">Jungtinių Tautų Tarptautinės narkotikų kontrolės tarybos narys  Gilberto Gerra  ataskaitoje ragino įvertinti vykdomų vyriausybinių programų efektyvumą, gerinti narkomanų gydymo sistemą, įtraukti nevyriausybinės organizacijas į kovą prieš narkotikus. </w:t>
      </w:r>
    </w:p>
    <w:p w:rsidR="008E05AA" w:rsidRDefault="008E05AA" w:rsidP="008E05AA">
      <w:pPr>
        <w:ind w:firstLine="720"/>
        <w:jc w:val="both"/>
      </w:pPr>
    </w:p>
    <w:p w:rsidR="008E05AA" w:rsidRPr="00580BC4" w:rsidRDefault="008E05AA" w:rsidP="008E05AA">
      <w:pPr>
        <w:pStyle w:val="Pagrindiniotekstotrauka3"/>
        <w:jc w:val="both"/>
        <w:rPr>
          <w:bCs/>
          <w:sz w:val="24"/>
          <w:szCs w:val="24"/>
        </w:rPr>
      </w:pPr>
      <w:r w:rsidRPr="00580BC4">
        <w:rPr>
          <w:bCs/>
          <w:sz w:val="24"/>
          <w:szCs w:val="24"/>
        </w:rPr>
        <w:t>Būtina atsižvelgti į Europos Komisijos Generalinio direktorato Mokesčių ir muitinės skyriaus rekomendacijas dėl cheminių medžiagų kontrolės, kurios nurodo, kad cheminės medžiagos (prekursoriai, esminės cheminės medžiagos, reagentai, tirpikliai bei katalizatoriai)  yra plačiai naudojamos teisėtoje pramoninėje veikloje ir vaistų gamybos procesuose, jomis teisėtai prekiaujama dideliais kiekiais, tačiau, jas galima panaudoti neteisėtai narkotinių ir psichotropinių medžiagų gamybai ir ruošimui. Šias gamybos operacijas yra nesunku vykdyti dėl nesudėtingo cheminio proceso, jos nebrangios dėl palyginti pigių ingredientų, ypač sintetinių narkotikų gamybai. Sintetiniai narkotikai, tokie kaip amfetaminas ir “ekstazy” nelegaliai gaminami  vien iš cheminių medžiagų. Didėjant narkotinių medžiagų gamybos apimtims bei jų paklausai- didėja ir cheminių medžiagų poreikis.</w:t>
      </w:r>
    </w:p>
    <w:p w:rsidR="008E05AA" w:rsidRDefault="008E05AA" w:rsidP="008E05AA">
      <w:pPr>
        <w:ind w:firstLine="720"/>
        <w:jc w:val="both"/>
      </w:pPr>
      <w:r>
        <w:t>Būtina  kontroliuoti ir rinkti informaciją, užmegzti ryšius su įmonėmis, cheminėmis laboratorijomis, gaminančiomis, įvežančiomis chemines medžiagas, kurios gali būti naudojamos neteisėtai narkotikų apyvartai, taip pat prekiaujančiomis tokiomis medžiagomis. Efektyvi kontrolė sumažintų sintetinių narkotikų paplitimą Lietuvoje.</w:t>
      </w:r>
    </w:p>
    <w:p w:rsidR="008E05AA" w:rsidRDefault="008E05AA" w:rsidP="008E05AA">
      <w:pPr>
        <w:ind w:firstLine="720"/>
        <w:jc w:val="both"/>
      </w:pPr>
      <w:r>
        <w:t xml:space="preserve"> Lietuvos Respublikos Seimui pateiktas įstatymo projektas “Dėl Narkotinių ir psichotropinių medžiagų pirmtakų (prekursorių) kontrolės įstatymo pakeitimo įstatymo projekto” XP-2047 (2).</w:t>
      </w:r>
    </w:p>
    <w:p w:rsidR="008E05AA" w:rsidRDefault="008E05AA" w:rsidP="008E05AA">
      <w:pPr>
        <w:ind w:firstLine="720"/>
        <w:jc w:val="both"/>
      </w:pPr>
      <w:r>
        <w:t xml:space="preserve">Komisija paprašė pateikti išvadas ar priėmus Narkotinių ir psichotropinių medžiagų pirmtakų (prekursorių) kontrolės įstatymo pakeitimo įstatymo projektą XP-2047 (2),  veikiantis  narkotinių ir psichotropinių medžiagų pirmtakų (prekursorių) kontrolės mechanizmas leis efektyviai  sumažinti neteisėtą sintetinių narkotikų gamybą, užkirs kelią korupcinio pobūdžio nusikalstamoms veikoms.  </w:t>
      </w:r>
    </w:p>
    <w:p w:rsidR="008E05AA" w:rsidRDefault="008E05AA" w:rsidP="008E05AA">
      <w:pPr>
        <w:ind w:firstLine="720"/>
        <w:jc w:val="both"/>
      </w:pPr>
    </w:p>
    <w:p w:rsidR="008E05AA" w:rsidRPr="001A7465" w:rsidRDefault="008E05AA" w:rsidP="008E05AA">
      <w:pPr>
        <w:pStyle w:val="Pagrindinistekstas3"/>
        <w:rPr>
          <w:caps/>
          <w:sz w:val="24"/>
          <w:szCs w:val="24"/>
        </w:rPr>
      </w:pPr>
      <w:r w:rsidRPr="001A7465">
        <w:rPr>
          <w:caps/>
          <w:sz w:val="24"/>
          <w:szCs w:val="24"/>
        </w:rPr>
        <w:t xml:space="preserve">Dėl paauglių svaiginimosi vaistais, alkoholiu, narkotinėmis ir psichotropinėmis medžiagomis, kitomis medžiagomis ir  apsinuodijimų jais </w:t>
      </w:r>
    </w:p>
    <w:p w:rsidR="008E05AA" w:rsidRDefault="008E05AA" w:rsidP="008E05AA">
      <w:pPr>
        <w:jc w:val="both"/>
        <w:rPr>
          <w:caps/>
        </w:rPr>
      </w:pPr>
      <w:r>
        <w:rPr>
          <w:caps/>
        </w:rPr>
        <w:tab/>
        <w:t xml:space="preserve"> </w:t>
      </w:r>
    </w:p>
    <w:p w:rsidR="008E05AA" w:rsidRDefault="008E05AA" w:rsidP="008E05AA">
      <w:pPr>
        <w:ind w:firstLine="720"/>
        <w:jc w:val="both"/>
      </w:pPr>
      <w:r>
        <w:t xml:space="preserve">Seimo Narkomanijos ir alkoholizmo prevencijos komisija (toliau – Komisija) gavo Seimo Sveikatos reikalų komiteto 2008 12 08 raštą Nr. V-2008-4283 “Dėl Sveikatos apsaugos ministerijos pateiktos informacijos” dėl paauglių svaiginimosi vaistais;  2009 02 05 raštą Nr.V- 2009-583 “Dėl Vidaus reikalų ministerijos pateiktos informacijos” ir  2009 02 05 raštą Nr.V- 2009-585 “Dėl Policijos departamento prie Lietuvos Respublikos Vidaus reikalų ministerijos pateiktos informacijos” dėl prekybos galbūt pavojingomis sveikatai svaigiomis medžiagomis; 2009 02 05 raštą Nr.V- 2009-584 “Dėl Narkotikų kontrolės departamento prie Lietuvos Respublikos Vyriausybės pateiktos informacijos” dėl prekybos galimai pavojingomis sveikatai psichoaktyvų poveikį sukeliančiomis medžiagomis; 2009 02 05 raštą Nr.V- 2009-588 “Dėl Lietuvos Respublikos Vaiko teisių apsaugos kontrolieriaus pateiktos informacijos” dėl galimo nepilnamečių teisių bei teisėtų interesų pažeidimo.        </w:t>
      </w:r>
    </w:p>
    <w:p w:rsidR="008E05AA" w:rsidRDefault="008E05AA" w:rsidP="008E05AA">
      <w:pPr>
        <w:pStyle w:val="Pagrindiniotekstotrauka2"/>
        <w:spacing w:line="240" w:lineRule="auto"/>
        <w:rPr>
          <w:szCs w:val="20"/>
        </w:rPr>
      </w:pPr>
      <w:r>
        <w:rPr>
          <w:szCs w:val="20"/>
        </w:rPr>
        <w:t>Taip pat, Komisijoje gautas Narkotikų kontrolės departamento prie Lietuvos Respublikos Vyriausybės Ūkio  ministerijai ir Sveikatos apsaugos ministerijai adresuotas 2008 12 05 raštas Nr. S-(4.3-11)-721 “Dėl augalų, kurie gali būti vartojami svaiginimuisi ir yra rūkalų, uostomųjų rūkalų, arbatų ar maisto papildų sudėtyje”, kuriame siūloma Ūkio,  Sveikatos apsaugos ministerijoms išanalizuoti ir, esant reikalui, inicijuoti teisės aktų pakeitimus, parengiant draudžiamų augalų, naudojamų rūkalams, kuriuose nėra tabako, sąrašą bei siekiant, kad Tabako kontrolės įstatyme ar Lietuvos higienos normoje HN 38:2002 “Didžiausi leidžiami kenksmingų medžiagų kiekiai tabako gaminiuose”, patvirtintoje  Lietuvos Respublikos sveikatos apsaugos ministro 2002 m. birželio 28 d. įsakymu Nr. 317 (Žin., 2002, Nr. 70-2934) atsirastų nuostatos dėl minėtų rūkymui skirtų medžiagų.</w:t>
      </w:r>
    </w:p>
    <w:p w:rsidR="008E05AA" w:rsidRDefault="008E05AA" w:rsidP="008E05AA">
      <w:pPr>
        <w:ind w:firstLine="720"/>
        <w:jc w:val="both"/>
      </w:pPr>
      <w:r>
        <w:t xml:space="preserve"> Minėtame rašte Narkotikų kontrolės departamentas prie Lietuvos Respublikos Vyriausybės pasiūlė peržiūrėti ir, esant reikalui, papildyti Valstybinės vaistų kontrolės tarnybos prie Sveikatos </w:t>
      </w:r>
      <w:r>
        <w:lastRenderedPageBreak/>
        <w:t>apsaugos ministerijos įsakymą ”Dėl vaistinių augalų ir jų dalių (įskaitant sėklas, vaisius ir uogas), kuriuos leidžiama vartoti farmacijoje šviežius arba džiovintus, smulkintus arba nesmulkintus, sumaltus į miltelius arba nesumaltus, bei farmacijoje vartojamų augalų ir jų dalių, kuriuos leidžiama vartoti kaip maisto priedus ar prieskonius, sąrašų patvirtinimo bei vaistinių augalų pardavimo” (Žin., 1977, Nr. 50-1220) arba nustatyti kitas veiksmingas priemones, ribojančias augalų, kurie gali būti vartojami svaiginimuisi ir yra maisto papildų bei arbatų sudėtyje, vartojamų ne sveikatos priežiūros tikslais.</w:t>
      </w:r>
    </w:p>
    <w:p w:rsidR="008E05AA" w:rsidRDefault="008E05AA" w:rsidP="008E05AA">
      <w:pPr>
        <w:ind w:firstLine="720"/>
        <w:jc w:val="both"/>
      </w:pPr>
      <w:r>
        <w:t>Lietuvos Respublikos Konstitucijos 39, 40 ir 41 straipsniai nustato, kad nepilnamečius vaikus gina įstatymas, valstybė prižiūri mokymo ir auklėjimo įstaigų veiklą, asmenims iki 16 metų mokslas privalomas.</w:t>
      </w:r>
    </w:p>
    <w:p w:rsidR="008E05AA" w:rsidRDefault="008E05AA" w:rsidP="008E05AA">
      <w:pPr>
        <w:ind w:firstLine="720"/>
        <w:jc w:val="both"/>
      </w:pPr>
    </w:p>
    <w:p w:rsidR="008E05AA" w:rsidRDefault="008E05AA" w:rsidP="008E05AA">
      <w:pPr>
        <w:ind w:firstLine="720"/>
        <w:jc w:val="both"/>
      </w:pPr>
      <w:r>
        <w:t xml:space="preserve">Jungtinių Tautų vaiko teisių komitetas, 2006 metais išnagrinėjęs Lietuvos antrąją periodinę ataskaitą (CRC/C/83/Add.14), savo išvadose (CRC/CLTU/CO/2) atkreipė dėmesį į duomenų apie vaikus, priklausančius pažeidžiamiausioms grupėms, stoką, kūdikių ir mokyklinio amžiaus vaikų apsaugos priemonių per mažą finansavimą, ribotą švaraus ir nekenksmingo geriamojo vandens prieinamumą, sveikatos mokymo programų ir sveikatos paslaugų stoką mokyklose, tuberkuliozės paplitimą, vaikų savižudžių, narkotikus ir alkoholį vartojančių vaikų gausą.  </w:t>
      </w:r>
    </w:p>
    <w:p w:rsidR="008E05AA" w:rsidRDefault="008E05AA" w:rsidP="008E05AA">
      <w:pPr>
        <w:ind w:firstLine="720"/>
        <w:jc w:val="both"/>
      </w:pPr>
      <w:r>
        <w:t>Lietuvos Respublikos Sveikatos apsaugos ministerijos 2008 metais pateiktais atlikto tyrimo duomenimis, Lietuvos vaikai patys nelaimingiausi Europoje (iki 50 proc. 12 – 17 metų vaikai jaučia depresijos požymių), net 41,7 proc. mokyklinio amžiaus vaikų turi su psichikos sveikata susijusių problemų. Tarp mokyklinio amžiaus vaikų labai paplitusios patyčios – apie 70 proc. vaikų pažymi, kad yra patyrę šį reiškinį ir kaip aukos, ir kaip skriaudėjai. Kasmet Lietuvoje nusižudo apie 20 vaikų (2002 – 2005 metais Lietuvoje nusižudė 100 vaikų iki 18 metų), plinta narkomanija ir alkoholizmas, polinkis į nusikaltimus, kurie darosi vis žiauresni. Vis aktualesnės tampa ir kitos priklausomybės rūšys – priklausomybė nuo azartinių lošimų ar kompiuterinių žaidimų, interneto.</w:t>
      </w:r>
    </w:p>
    <w:p w:rsidR="008E05AA" w:rsidRDefault="008E05AA" w:rsidP="008E05AA">
      <w:pPr>
        <w:ind w:firstLine="720"/>
        <w:jc w:val="both"/>
      </w:pPr>
    </w:p>
    <w:p w:rsidR="008E05AA" w:rsidRPr="001A7465" w:rsidRDefault="008E05AA" w:rsidP="008E05AA">
      <w:pPr>
        <w:pStyle w:val="Antrat3"/>
        <w:rPr>
          <w:rFonts w:ascii="Times New Roman" w:hAnsi="Times New Roman" w:cs="Times New Roman"/>
        </w:rPr>
      </w:pPr>
      <w:r w:rsidRPr="001A7465">
        <w:rPr>
          <w:rFonts w:ascii="Times New Roman" w:hAnsi="Times New Roman" w:cs="Times New Roman"/>
        </w:rPr>
        <w:t>Dėl teisės aktų vaiko gerovės politikos klausimais</w:t>
      </w:r>
    </w:p>
    <w:p w:rsidR="008E05AA" w:rsidRDefault="008E05AA" w:rsidP="008E05AA"/>
    <w:p w:rsidR="008E05AA" w:rsidRDefault="008E05AA" w:rsidP="008E05AA">
      <w:pPr>
        <w:ind w:firstLine="720"/>
        <w:jc w:val="both"/>
      </w:pPr>
      <w:r>
        <w:t>Tyrimu nustatyta:</w:t>
      </w:r>
    </w:p>
    <w:p w:rsidR="008E05AA" w:rsidRDefault="008E05AA" w:rsidP="008E05AA">
      <w:pPr>
        <w:ind w:firstLine="720"/>
        <w:jc w:val="both"/>
        <w:rPr>
          <w:szCs w:val="14"/>
        </w:rPr>
      </w:pPr>
      <w:r>
        <w:rPr>
          <w:szCs w:val="14"/>
        </w:rPr>
        <w:t xml:space="preserve">Lietuvos Respublikos Vyriausybė 2001 m. liepos 27 d. nutarimu Nr. </w:t>
      </w:r>
      <w:r>
        <w:rPr>
          <w:b/>
          <w:bCs/>
          <w:szCs w:val="14"/>
        </w:rPr>
        <w:t>941</w:t>
      </w:r>
      <w:r>
        <w:rPr>
          <w:szCs w:val="14"/>
        </w:rPr>
        <w:t xml:space="preserve"> “Dėl Lietuvos nacionalinės visuomenės sveikatos priežiūros 2006 – 2013 metų strategijos ir jos įgyvendinimo priemonių 2006 – 2008 metų plano patvirtinimo” (nauja redakcija: Žin., 2006, Nr. 70 –2574), patvirtino Lietuvos nacionalinės visuomenės sveikatos priežiūros  2006 – 2013 metų strategiją ir jos įgyvendinimo priemonių 2006 – 2008 metų planą, kuriuose išdėstytos pagrindinės valstybės nuostatos, susijusios su visuomenės sveikatos priežiūros sistemos modernizavimu, kad ji visiškai atitiktų valstybės poreikius ir naujausius tarptautinius reikalavimus, taip pat priemones šiam tikslui pasiekti. Šios Strategijos uždaviniai – rūpintis vaikų ir jaunimo sveikatos išsaugojimu ir gerinimu, mažinti sergamumą užkrečiamosiomis ir neinfekcinėmis ligomis bei šalinti jų priežastis, įtvirtinti visuomenės sveikatos svarbą valstybės ir savivaldybių politikoje; užtikrinti pasirengimą greitai reaguoti į sveikatai kylančias grėsmes ir kt.  Kas dveji metai Sveikatos apsaugos ministerija vertina, kaip vykdomas šios Strategijos įgyvendinimo priemonių planas. </w:t>
      </w:r>
    </w:p>
    <w:p w:rsidR="008E05AA" w:rsidRDefault="008E05AA" w:rsidP="008E05AA">
      <w:pPr>
        <w:ind w:firstLine="720"/>
        <w:jc w:val="both"/>
        <w:rPr>
          <w:szCs w:val="14"/>
        </w:rPr>
      </w:pPr>
      <w:r>
        <w:rPr>
          <w:szCs w:val="14"/>
        </w:rPr>
        <w:t>Vienas iš šios Strategijos vertinimo kriterijų – vaikų sveikatos būklės pokyčiai.</w:t>
      </w:r>
    </w:p>
    <w:p w:rsidR="008E05AA" w:rsidRDefault="008E05AA" w:rsidP="008E05AA">
      <w:pPr>
        <w:ind w:firstLine="720"/>
        <w:jc w:val="both"/>
        <w:rPr>
          <w:szCs w:val="14"/>
        </w:rPr>
      </w:pPr>
      <w:r>
        <w:rPr>
          <w:szCs w:val="14"/>
        </w:rPr>
        <w:t>Lietuvos Respublikos Seimas 2003 m. gegužės 20 d. nutarimu Nr. IX-</w:t>
      </w:r>
      <w:r>
        <w:rPr>
          <w:b/>
          <w:bCs/>
          <w:szCs w:val="14"/>
        </w:rPr>
        <w:t xml:space="preserve">1569 </w:t>
      </w:r>
      <w:r>
        <w:rPr>
          <w:szCs w:val="14"/>
        </w:rPr>
        <w:t>“Dėl Vaiko gerovės politikos koncepcijos patvirtinimo” (Žin., 2003, NR. 52-2316), patvirtinęs Vaiko gerovės valstybės politikos koncepciją (toliau – Koncepcija) siekė tikslo – pasiekti politinį susitarimą dėl vaiko gerovę lemiančių vertybių, nuostatų ir numatyti vaiko gerovės įgyvendinimo gaires. Koncepcijoje pateikiami pagrindiniai vaiko gerovės politikos principai ir vertybės. Vadovaujantis šiais principais ir vertybėmis, konstatuojamos pagrindinės vaiko gerovės problemos Lietuvoje, numatomi pagrindiniai vaiko gerovės politikos siekiai artimiausiam dešimtmečiui pagrindinėse vaiko aprūpinimo, vaiko dalyvavimo ir vaiko apsaugos srityse, ir nurodomos vaiko gerovės politikos įgyvendinimo strateginės gairės.</w:t>
      </w:r>
    </w:p>
    <w:p w:rsidR="008E05AA" w:rsidRDefault="008E05AA" w:rsidP="008E05AA">
      <w:pPr>
        <w:ind w:firstLine="720"/>
        <w:jc w:val="both"/>
        <w:rPr>
          <w:szCs w:val="14"/>
        </w:rPr>
      </w:pPr>
      <w:r>
        <w:rPr>
          <w:szCs w:val="14"/>
        </w:rPr>
        <w:t>Vaiko gerovės politika – socialinės politikos dalis, kuri remiantis tarptautiniais dokumentais yra nusakyta trimis principais: vaiko teisė į apsaugą, aprūpinimą ir dalyvavimą:</w:t>
      </w:r>
    </w:p>
    <w:p w:rsidR="008E05AA" w:rsidRDefault="008E05AA" w:rsidP="008E05AA">
      <w:pPr>
        <w:ind w:firstLine="720"/>
        <w:jc w:val="both"/>
        <w:rPr>
          <w:szCs w:val="14"/>
        </w:rPr>
      </w:pPr>
      <w:r>
        <w:rPr>
          <w:szCs w:val="14"/>
        </w:rPr>
        <w:t>Vaiko apsauga – teisė augti savo šeimoje ir gauti profesionalią pagalbą, taip pat teisė būti apsaugotam nuo socialinio ir individualaus smurto;</w:t>
      </w:r>
    </w:p>
    <w:p w:rsidR="008E05AA" w:rsidRDefault="008E05AA" w:rsidP="008E05AA">
      <w:pPr>
        <w:ind w:firstLine="720"/>
        <w:jc w:val="both"/>
        <w:rPr>
          <w:szCs w:val="14"/>
        </w:rPr>
      </w:pPr>
      <w:r>
        <w:rPr>
          <w:szCs w:val="14"/>
        </w:rPr>
        <w:lastRenderedPageBreak/>
        <w:t>Vaiko aprūpinimas – teisė į išteklius ir paslaugas, juos paskirstant tarp vaiko ir suaugusiųjų, ypač skiriant dėmesį neįgaliam vaikui, vaikui, turinčiam specialiųjų poreikių, ir vaikui, kuriam pavojus patirti skurdą, tėvų smurtą bei nepriežiūrą ar įsitraukti į nusikalstamą veiklą;</w:t>
      </w:r>
    </w:p>
    <w:p w:rsidR="008E05AA" w:rsidRDefault="008E05AA" w:rsidP="008E05AA">
      <w:pPr>
        <w:ind w:firstLine="720"/>
        <w:jc w:val="both"/>
        <w:rPr>
          <w:szCs w:val="14"/>
        </w:rPr>
      </w:pPr>
      <w:r>
        <w:rPr>
          <w:szCs w:val="14"/>
        </w:rPr>
        <w:t>Vaiko dalyvavimas – teisė veikti, išreikšti savo nuomonę ir daryti įtaką sprendimams šeimoje ir visuomenėje individualiai ir kolektyviai, sukuriant vaikui socialinę erdvę jo aktyviam dalyvavimui.</w:t>
      </w:r>
    </w:p>
    <w:p w:rsidR="008E05AA" w:rsidRDefault="008E05AA" w:rsidP="008E05AA">
      <w:pPr>
        <w:ind w:firstLine="720"/>
        <w:jc w:val="both"/>
        <w:rPr>
          <w:szCs w:val="14"/>
        </w:rPr>
      </w:pPr>
      <w:r>
        <w:rPr>
          <w:szCs w:val="14"/>
        </w:rPr>
        <w:t xml:space="preserve">Gerovė – organizuota socialinių paslaugų  ir institucijų sistema, sukurta padėti individams ir grupėms pasiekti patenkinamus gyvenimo, sveikatos ir asmeninių bei socialinių ryšių standartus, kurie leistų jiems išplėtoti visus gebėjimus ir pagerintų jų gyvenimo kokybę atsižvelgiant į jų šeimų ir bendruomenės poreikius. </w:t>
      </w:r>
    </w:p>
    <w:p w:rsidR="008E05AA" w:rsidRDefault="008E05AA" w:rsidP="008E05AA">
      <w:pPr>
        <w:ind w:firstLine="720"/>
        <w:jc w:val="both"/>
        <w:rPr>
          <w:color w:val="000000"/>
          <w:szCs w:val="18"/>
        </w:rPr>
      </w:pPr>
      <w:r>
        <w:t>Lietuvos Respublikos Seimo 2007 m. balandžio 3 d. nutarimu Nr. X-</w:t>
      </w:r>
      <w:r>
        <w:rPr>
          <w:b/>
          <w:bCs/>
        </w:rPr>
        <w:t xml:space="preserve">1070 </w:t>
      </w:r>
      <w:r>
        <w:t xml:space="preserve">“Dėl Psichikos sveikatos strategijos patvirtinimo”, patvirtintoje Psichikos sveikatos strategijoje (toliau – Strategija)  (Žin., 2007, Nr. 42-1572) konstatuojama, kad  </w:t>
      </w:r>
      <w:r>
        <w:rPr>
          <w:color w:val="000000"/>
          <w:szCs w:val="18"/>
        </w:rPr>
        <w:t>1990–2000 metais vykusios didelės socialinės, politinės, ekonominės permainos, kurios atskleidė individų ir jų grupių prastą psichologinį atsparumą ir nepakankamus įgūdžius aktyviai dalyvauti įveikiant naujas kasdienio gyvenimo</w:t>
      </w:r>
      <w:r>
        <w:rPr>
          <w:color w:val="FF0000"/>
          <w:szCs w:val="18"/>
        </w:rPr>
        <w:t xml:space="preserve"> </w:t>
      </w:r>
      <w:r>
        <w:rPr>
          <w:color w:val="000000"/>
          <w:szCs w:val="18"/>
        </w:rPr>
        <w:t xml:space="preserve">problemas. Todėl didelė dalis žmonių – tiek brandaus amžiaus, tiek vaikų ir jaunimo nepajėgė tinkamai prisitaikyti naujoje, socialinio aktyvumo reikalaujančioje aplinkoje, ir atsidūrė destruktyvaus elgesio (nukreipto arba į save, arba į kitus asmenis) rizikos grupėje – taip sukurdami terpę itin blogiems savižudybių, prievartos, priklausomybių ir kitų liguistų visuomenės sveikatos reiškinių rodikliams. </w:t>
      </w:r>
    </w:p>
    <w:p w:rsidR="008E05AA" w:rsidRDefault="008E05AA" w:rsidP="008E05AA">
      <w:pPr>
        <w:jc w:val="both"/>
      </w:pPr>
      <w:r>
        <w:rPr>
          <w:color w:val="000000"/>
          <w:szCs w:val="18"/>
        </w:rPr>
        <w:tab/>
        <w:t xml:space="preserve">Grėsmių analizė rodo, kad stokojama </w:t>
      </w:r>
      <w:r>
        <w:t xml:space="preserve">kvalifikuotų psichikos sveikatos priežiūros specialistų, ypač rajonuose ir ypač psichologų, vaikų psichiatrų, psichoterapeutų. </w:t>
      </w:r>
    </w:p>
    <w:p w:rsidR="008E05AA" w:rsidRDefault="008E05AA" w:rsidP="008E05AA">
      <w:pPr>
        <w:ind w:firstLine="720"/>
        <w:jc w:val="both"/>
      </w:pPr>
      <w:r>
        <w:t xml:space="preserve">Konstatuojamas </w:t>
      </w:r>
      <w:r>
        <w:rPr>
          <w:rFonts w:eastAsia="Arial Unicode MS"/>
        </w:rPr>
        <w:t xml:space="preserve"> </w:t>
      </w:r>
      <w:r>
        <w:t>vaikų ir jaunimo gyvensenos blogėjimas. Todėl, būtina užtikrinti ypač geros kokybės paslaugas, atsižvelgiant į paauglių ir jaunuolių poreikius ir ypatumus. Plėtoti vaikų raidos sutrikimų ankstyvosios reabilitacijos paslaugas, didinant jų apimtį, gerinant kokybę ir sukuriant alternatyvą kūdikių namų ir kitų valstybinių vaikų globos institucijų tinklui. Plėtoti ir integruoti į pediatrijos paslaugų infrastruktūrą vaikų psichikos sveikatos priežiūros ir socialinės (raidos) pediatrijos paslaugas. Įtraukti į šeimos gydytojų rengimo programą vaikų psichikos sveikatos priežiūros, tėvų ir vaikų santykių ir krizių kursus. Kuo daugiau su psichikos sveikata susijusių paslaugų teikti bendruose vaikams ir jaunimui skirtuose sveikatos centruose, pritaikytuose šių amžiaus grupių poreikiams.</w:t>
      </w:r>
    </w:p>
    <w:p w:rsidR="008E05AA" w:rsidRDefault="008E05AA" w:rsidP="008E05AA">
      <w:pPr>
        <w:ind w:firstLine="720"/>
        <w:jc w:val="both"/>
      </w:pPr>
      <w:r>
        <w:t>Atsižvelgiant į Strategijos uždavinius, numatyta gerinti vaikų ir jaunimo psichikos sveikatos apsaugą ir priežiūrą, vykdant tikslines prevencines, gydymo ir reabilitacijos programas, skirtas vaikų, šeimų ir bendruomenių atsparumui stiprinti bei neigiamų socializacijos pasekmių prevencijai.</w:t>
      </w:r>
    </w:p>
    <w:p w:rsidR="008E05AA" w:rsidRDefault="008E05AA" w:rsidP="008E05AA">
      <w:pPr>
        <w:jc w:val="both"/>
      </w:pPr>
      <w:r>
        <w:t xml:space="preserve"> </w:t>
      </w:r>
      <w:r>
        <w:tab/>
        <w:t>Siūloma valstybinėse sveikatos programose didžiausią dėmesį skirti šiuo metu aktualiausioms problemoms spręsti – vaikų dvasinės sveikatos, emocinės ir socialinės raidos sutrikimų prevencijai, tėvų mokymui tinkamai auginti vaikus, savižudybių, priklausomybių ir prievartos prevencijai, jaunimo sveikatos problemų sprendimui; rizikos grupėms priskiriamų tėvų mokymui kompetentingai auginti vaikus, ypač kūdikystės ir ankstyvosios vaikystės laikotarpiu; vaikų ir paauglių psichikos sveikatos stiprinimui mokyklose ir bendruomenėje; vaikų ir jaunimo smurto prevencijai;  alkoholizmo, narkomanijos ir rūkymo prevencijai ir kt.</w:t>
      </w:r>
    </w:p>
    <w:p w:rsidR="008E05AA" w:rsidRDefault="008E05AA" w:rsidP="008E05AA">
      <w:pPr>
        <w:ind w:firstLine="720"/>
        <w:jc w:val="both"/>
      </w:pPr>
      <w:r>
        <w:rPr>
          <w:szCs w:val="14"/>
        </w:rPr>
        <w:t xml:space="preserve">           </w:t>
      </w:r>
    </w:p>
    <w:p w:rsidR="008E05AA" w:rsidRDefault="008E05AA" w:rsidP="008E05AA">
      <w:pPr>
        <w:ind w:firstLine="720"/>
        <w:jc w:val="both"/>
      </w:pPr>
      <w:r>
        <w:rPr>
          <w:szCs w:val="14"/>
        </w:rPr>
        <w:t xml:space="preserve">Lietuvos Respublikos Vyriausybė 2005 m. vasario 17 d. nutarimu Nr. </w:t>
      </w:r>
      <w:r>
        <w:rPr>
          <w:b/>
          <w:bCs/>
          <w:szCs w:val="14"/>
        </w:rPr>
        <w:t xml:space="preserve">184 </w:t>
      </w:r>
      <w:r>
        <w:rPr>
          <w:szCs w:val="14"/>
        </w:rPr>
        <w:t xml:space="preserve">“Dėl Vaiko gerovės valstybės politikos </w:t>
      </w:r>
      <w:r>
        <w:t xml:space="preserve">strategijos ir jos įgyvendinimo priemonių 2005 – 2012 metų plano </w:t>
      </w:r>
      <w:r>
        <w:rPr>
          <w:szCs w:val="14"/>
        </w:rPr>
        <w:t xml:space="preserve">patvirtinimo” (Žin., 2005, Nr.25 - 802 ), patvirtino Vaiko gerovės valstybės politikos </w:t>
      </w:r>
      <w:r>
        <w:t xml:space="preserve">strategiją ir </w:t>
      </w:r>
      <w:r>
        <w:rPr>
          <w:szCs w:val="14"/>
        </w:rPr>
        <w:t xml:space="preserve"> Vaiko gerovės valstybės politikos </w:t>
      </w:r>
      <w:r>
        <w:t xml:space="preserve">strategijos įgyvendinimo priemonių 2005 – 2012 metų planą. Vaiko gerovės valstybės politikos  strategijos ir jos įgyvendinimo priemonių 2005 – 2012 metų plane pateikiamos konkrečios priemonės vaiko gerovei užtikrinti, gerinant vaikų sveikatos apsaugą, didinant vaikų sveikatos priežiūros paslaugų įvairovę ir prieinamumą, ypač daug dėmesio skiriant vaiko ir šeimos apsaugai nuo žmogaus imunodeficito viruso (ŽIV/AIDS) poveikio. </w:t>
      </w:r>
    </w:p>
    <w:p w:rsidR="008E05AA" w:rsidRDefault="008E05AA" w:rsidP="008E05AA">
      <w:pPr>
        <w:ind w:firstLine="720"/>
        <w:jc w:val="both"/>
        <w:rPr>
          <w:szCs w:val="14"/>
        </w:rPr>
      </w:pPr>
      <w:r>
        <w:rPr>
          <w:szCs w:val="14"/>
        </w:rPr>
        <w:t>Valstybės misija – formuoti ir įgyvendinti racionalią vaiko gerovės valstybės politiką, kuri užtikrintų galimybę vaikui gyventi visavertį gyvenimą šeimoje.</w:t>
      </w:r>
    </w:p>
    <w:p w:rsidR="008E05AA" w:rsidRDefault="008E05AA" w:rsidP="008E05AA">
      <w:pPr>
        <w:ind w:firstLine="720"/>
        <w:jc w:val="both"/>
        <w:rPr>
          <w:szCs w:val="18"/>
        </w:rPr>
      </w:pPr>
      <w:r>
        <w:rPr>
          <w:szCs w:val="14"/>
        </w:rPr>
        <w:t xml:space="preserve">Valstybės politikos </w:t>
      </w:r>
      <w:r>
        <w:t xml:space="preserve">strategijoje yra nustatyti vaiko gerovės valstybės politikos prioritetai, pavojaus vaikų sveikatai mažinimas, būtinų paslaugų šeimai ir vaikui tinklo sukūrimas, šių paslaugų kokybės užtikrinimas bei gerinimas ir kt. </w:t>
      </w:r>
      <w:r>
        <w:rPr>
          <w:szCs w:val="14"/>
        </w:rPr>
        <w:t xml:space="preserve">Laikomasi šių principų: šeima ir valstybė dalijasi vaiko gerovės užtikrinimo atsakomybe; priimant sprendimus ar imantis bet kokių veiksmų, vadovaujamasi vaiko interesais; vaikui garantuojamos teisės ir galimybės augti, kiek įmanoma, sveikam ir gauti gerą išsilavinimą, priežiūrą ir gydymą; plėtojamos paslaugos vaikams, turintiems raidos problemų, </w:t>
      </w:r>
      <w:r>
        <w:rPr>
          <w:szCs w:val="14"/>
        </w:rPr>
        <w:lastRenderedPageBreak/>
        <w:t>skatinant, kad šios paslaugos ypač būtų plėtojamos bendruomenėje; perkant paslaugas</w:t>
      </w:r>
      <w:r>
        <w:rPr>
          <w:szCs w:val="18"/>
        </w:rPr>
        <w:t>, visuose vaiko priežiūros sektoriuose vadovaujamasi vaiko interesų atstovavimo principu, tai reiškia, kad paslaugos privalo būti įvairiapusės, orientuotos į vaikų ir paauglių poreikius, nuomones, kultūrą; specialistai kiekvienam asmeniui individualiai parenka tinkamus sprendimus.</w:t>
      </w:r>
    </w:p>
    <w:p w:rsidR="008E05AA" w:rsidRDefault="008E05AA" w:rsidP="008E05AA">
      <w:pPr>
        <w:ind w:firstLine="720"/>
        <w:jc w:val="both"/>
      </w:pPr>
      <w:r>
        <w:t xml:space="preserve">Lietuvos Respublikos Seimas 2008 m. birželio 3 d. nutarimu Nr. X-1569 “Dėl Valstybinės šeimos politikos koncepcijos patvirtinimo” (Žin., 2008, Nr. 69-2624), patvirtino Valstybinę šeimos politikos koncepciją, kuri grindžiama istoriškai susiklosčiusiomis šeimos vertybėmis ir šeimos gerovę nusakančiomis sampratomis, kurios atitinka Konstituciją ir kitus teisės aktus. Šeima </w:t>
      </w:r>
      <w:r>
        <w:rPr>
          <w:bCs/>
        </w:rPr>
        <w:t xml:space="preserve">– </w:t>
      </w:r>
      <w:r>
        <w:t xml:space="preserve">esminis visuomenės gėris, kylantis iš žmogaus prigimties ir grindžiamas savanorišku vyro ir moters santuokiniu pasižadėjimu skirti savo gyvenimą šeiminiams santykiams kurti, užtikrinantis šeimos narių </w:t>
      </w:r>
      <w:r>
        <w:rPr>
          <w:bCs/>
        </w:rPr>
        <w:t xml:space="preserve">– </w:t>
      </w:r>
      <w:r>
        <w:t>vyro ir moters, vaikų bei visų kartų gerovę ir sveikos visuomenės raidą, tautos bei valstybės gyvybingumą ir kūrybingumą. Todėl valstybės ir nevyriausybinės institucijos privalo užtikrinti šeimos integralumui palankią aplinką, plėtodamos ir tobulindamos jos teisinę ir socialinę bazę.</w:t>
      </w:r>
    </w:p>
    <w:p w:rsidR="008E05AA" w:rsidRDefault="008E05AA" w:rsidP="008E05AA">
      <w:pPr>
        <w:ind w:firstLine="720"/>
        <w:jc w:val="both"/>
      </w:pPr>
      <w:r>
        <w:rPr>
          <w:bCs/>
          <w:szCs w:val="22"/>
        </w:rPr>
        <w:t>Socialinės rizikos šeima</w:t>
      </w:r>
      <w:r>
        <w:rPr>
          <w:b/>
          <w:szCs w:val="22"/>
        </w:rPr>
        <w:t xml:space="preserve"> </w:t>
      </w:r>
      <w:r>
        <w:t>–</w:t>
      </w:r>
      <w:r>
        <w:rPr>
          <w:b/>
          <w:szCs w:val="22"/>
        </w:rPr>
        <w:t xml:space="preserve"> </w:t>
      </w:r>
      <w:r>
        <w:t>šeima, kurioje auga vaikų iki 18 metų ir kurioje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naudoja ne šeimos interesams ir todėl iškyla pavojus vaikų fiziniam, protiniam, dvasiniam, doroviniam vystymuisi ir saugumui.</w:t>
      </w:r>
    </w:p>
    <w:p w:rsidR="008E05AA" w:rsidRDefault="008E05AA" w:rsidP="008E05AA">
      <w:pPr>
        <w:ind w:firstLine="720"/>
        <w:jc w:val="both"/>
      </w:pPr>
      <w:r>
        <w:t>Šeimos politikos koncepcijoje pažymėta, kad nepakankama socialinės pagalbos ir paramos šeimai sistema. Nėra ekonominio stabilumo,</w:t>
      </w:r>
      <w:r>
        <w:rPr>
          <w:b/>
          <w:bCs/>
        </w:rPr>
        <w:t xml:space="preserve"> </w:t>
      </w:r>
      <w:r>
        <w:t>neužtikrinta paramos šeimai plėtra ir kokybė. Esama socialinės paramos infrastruktūra silpnai išplėtota, trūksta veiksmų koordinavimo, jaučiamas kvalifikuotų specialistų, dirbančių su šeima, stygius. Socialinės pagalbos ir paramos sistema daugiau orientuota ne į prevencinį darbą ar paslaugų šeimai teikimą, bet į padarinius, socialinių išmokų mokėjimą. Išmokų mokėjimas netiesiogiai pratina nedarnių šeimų tėvus gyventi vaikų sąskaita ir vengti socialiai naudingo darbo. Nepakankamai užtikrinama jaunimo integracija į darbo rinką. Nepakankama valstybės pagalba ir parama šeimai krizių atvejais. Stokojama įvairiapusės pagalbos ir paramos šeimos socialinių, psichologinių ir kitų krizių atvejais. Stinga institucijų, vykdančių ir koordinuojančių socialinės, pedagoginės ir psichologinės paramos šeimai veiklą.</w:t>
      </w:r>
    </w:p>
    <w:p w:rsidR="008E05AA" w:rsidRDefault="008E05AA" w:rsidP="008E05AA">
      <w:pPr>
        <w:ind w:firstLine="720"/>
        <w:jc w:val="both"/>
      </w:pPr>
      <w:r>
        <w:t xml:space="preserve"> Nustatytos vaikų ugdymo ir visokeriopo saugumo užtikrinimo problemos:</w:t>
      </w:r>
    </w:p>
    <w:p w:rsidR="008E05AA" w:rsidRDefault="008E05AA" w:rsidP="008E05AA">
      <w:pPr>
        <w:ind w:firstLine="720"/>
        <w:jc w:val="both"/>
        <w:rPr>
          <w:szCs w:val="16"/>
        </w:rPr>
      </w:pPr>
      <w:r>
        <w:t xml:space="preserve">– Daug dėl tėvų emigracijos be tėvų priežiūros paliktų vaikų. Emigracijos problemos yra kompleksinės, susijusios su vaiko juridinio atstovavimo aspektais, jo emocine, moraline būkle, jo ugdymo ir ugdymosi procesu, tinkamomis gyvenimo sąlygomis. </w:t>
      </w:r>
      <w:r>
        <w:rPr>
          <w:szCs w:val="16"/>
        </w:rPr>
        <w:t>Maždaug pusė emigrantų turėjo vaikų, bet tik kas antras iš jų išvyko kartu su vaikais. Emigracijos tyrimo rezultatai rodo, kad kas antro emigranto vaikai liko Lietuvoje su vienu iš tėvų, seneliais ar kitais giminaičiais.</w:t>
      </w:r>
    </w:p>
    <w:p w:rsidR="008E05AA" w:rsidRDefault="008E05AA" w:rsidP="008E05AA">
      <w:pPr>
        <w:ind w:firstLine="720"/>
        <w:jc w:val="both"/>
      </w:pPr>
      <w:r>
        <w:rPr>
          <w:lang w:eastAsia="lt-LT"/>
        </w:rPr>
        <w:t xml:space="preserve">– </w:t>
      </w:r>
      <w:r>
        <w:t>Nemažėja globos namuose augančių vaikų skaičius.</w:t>
      </w:r>
      <w:r>
        <w:rPr>
          <w:b/>
          <w:bCs/>
        </w:rPr>
        <w:t xml:space="preserve"> </w:t>
      </w:r>
      <w:r>
        <w:t>2007 m. pradžioje buvo 13,3 tūkst. be tėvų globos likusių vaikų. 2006 m. pabaigoje, kaip ir 2005 m., globos namuose gyveno 6,1 tūkst. vaikų.</w:t>
      </w:r>
    </w:p>
    <w:p w:rsidR="008E05AA" w:rsidRDefault="008E05AA" w:rsidP="008E05AA">
      <w:pPr>
        <w:ind w:firstLine="720"/>
        <w:jc w:val="both"/>
        <w:rPr>
          <w:color w:val="000000"/>
          <w:lang w:eastAsia="lt-LT"/>
        </w:rPr>
      </w:pPr>
      <w:r>
        <w:rPr>
          <w:lang w:eastAsia="lt-LT"/>
        </w:rPr>
        <w:t>–</w:t>
      </w:r>
      <w:r>
        <w:t xml:space="preserve"> Daug socialinės rizikos šeimų ir jose augančių vaikų.</w:t>
      </w:r>
      <w:r>
        <w:rPr>
          <w:i/>
          <w:iCs/>
          <w:color w:val="FF0000"/>
        </w:rPr>
        <w:t xml:space="preserve"> </w:t>
      </w:r>
      <w:r>
        <w:t>2007 m. pradžioje vaiko teisių apsaugos tarnybų įskaitose buvo įrašyta 13,5 tūkst. socialinės rizikos šeimų, jose augo 31,4 tūkst. vaikų. Apie du trečdaliai šeimų įrašyta į įskaitą dėl girtavimo.</w:t>
      </w:r>
      <w:r>
        <w:rPr>
          <w:i/>
          <w:iCs/>
        </w:rPr>
        <w:t xml:space="preserve"> </w:t>
      </w:r>
      <w:r>
        <w:t xml:space="preserve">Šios šeimos dažnai neturi pakankamai socialinių gebėjimų ir motyvacijos savarankiškai tvarkyti savo gyvenimą, todėl nesugeba auklėti savo vaikų, naudoja prieš juos psichologinę, fizinę prievartą, gaunamą valstybės paramą naudoja ne šeimos interesams. Manytina, kad </w:t>
      </w:r>
      <w:r>
        <w:rPr>
          <w:color w:val="000000"/>
        </w:rPr>
        <w:t>savo gyvenimo būdo įpročius jos perduos kitoms kartoms.</w:t>
      </w:r>
    </w:p>
    <w:p w:rsidR="008E05AA" w:rsidRDefault="008E05AA" w:rsidP="008E05AA">
      <w:pPr>
        <w:ind w:firstLine="720"/>
        <w:jc w:val="both"/>
      </w:pPr>
      <w:r>
        <w:rPr>
          <w:color w:val="000000"/>
          <w:lang w:eastAsia="lt-LT"/>
        </w:rPr>
        <w:t xml:space="preserve">– </w:t>
      </w:r>
      <w:r>
        <w:t>Smurtas prieš vaikus. 2006 m. nuo nuskalstamų veikų nukentėjo 5,1 tūkst. vaikų (186 vaikais daugiau nei 2005 m.). Dažniausiai nukenčia 14–17 metų paaugliai, du trečdaliai nukentėjusiųjų – berniukai. Užregistruojama vis daugiau vaikų seksualinės prievartos atvejų. Vaikai sudaro daugiau nei pusę visų užregistruotų nukentėjusiųjų nuo šių nusikalstamų veikų. 2006 m. nuo seksualinio pobūdžio nusikalstamų veikų nukentėjo 272 vaikai (2005 m. – 239).</w:t>
      </w:r>
    </w:p>
    <w:p w:rsidR="008E05AA" w:rsidRDefault="008E05AA" w:rsidP="008E05AA">
      <w:pPr>
        <w:ind w:firstLine="720"/>
        <w:jc w:val="both"/>
        <w:rPr>
          <w:color w:val="000000"/>
        </w:rPr>
      </w:pPr>
      <w:r>
        <w:rPr>
          <w:b/>
          <w:bCs/>
        </w:rPr>
        <w:t xml:space="preserve">– </w:t>
      </w:r>
      <w:r>
        <w:t xml:space="preserve">Gausėja vaikų, turinčių įvairių sveikatos sutrikimų. Statistikos departamento prie Lietuvos Respublikos Vyriausybės duomenimis, 2005 m. bent viena liga sirgo trys ketvirtadaliai vaikų. 2005 m. iš visų patikrintų vaikų iki 16 metų visai sveikų buvo tik 43 proc., o 2000 m. šis skaičius siekė 46 proc. 2006 m. Lietuvoje buvo </w:t>
      </w:r>
      <w:r>
        <w:rPr>
          <w:color w:val="000000"/>
        </w:rPr>
        <w:t>15 667 neįgalūs vaikai, tai sudarė 2,7 proc. visų Lietuvos vaikų.</w:t>
      </w:r>
    </w:p>
    <w:p w:rsidR="008E05AA" w:rsidRDefault="008E05AA" w:rsidP="008E05AA">
      <w:pPr>
        <w:ind w:firstLine="720"/>
        <w:jc w:val="both"/>
      </w:pPr>
      <w:r>
        <w:t xml:space="preserve">– Nepakankamas jaunimo rengimas šeimai. Mokyklose vangiai diegiamos pedagogiškai pagrįstos jaunimo rengimo šeimai programos. Dažniausiai orientuojamasi tik į šeimos prokreacinę funkciją, nepakankamai atskleidžiami atsakingos tėvystės bei motinystės principai, neugdomas </w:t>
      </w:r>
      <w:r>
        <w:lastRenderedPageBreak/>
        <w:t>mergaičių ir berniukų gebėjimas kartu svarstyti tarpusavio santykių problemas, atpažinti ir priimti jų požiūrių ir psichologinių reakcijų skirtumus.</w:t>
      </w:r>
    </w:p>
    <w:p w:rsidR="008E05AA" w:rsidRDefault="008E05AA" w:rsidP="008E05AA">
      <w:pPr>
        <w:ind w:firstLine="720"/>
        <w:jc w:val="both"/>
      </w:pPr>
      <w:r>
        <w:t>–  Dalis paauglių per anksti pradeda lytinį gyvenimą.</w:t>
      </w:r>
      <w:r>
        <w:rPr>
          <w:iCs/>
        </w:rPr>
        <w:t xml:space="preserve"> Tai neigiamai veikia skirtingos lyties asmenų gebėjimus </w:t>
      </w:r>
      <w:r>
        <w:t>ateityje užmegzti ilgalaikius atsakomybe, pagarba ir meile grįstus tarpusavio santykius ir ryšius, būtinus visavertei šeimai sukurti ir plėtoti. Lietuvos sveikatos informacijos centro duomenimis, 2006 m. gimdymų skaičius moterų iki 18 m. amžiaus grupėje – 443 (1,5 proc. visų gimdymų), dirbtinių abortų skaičius moterų nuo 15 iki 17 m. amžiaus grupėje – 213 (2,2 proc. visų abortų skaičiaus).</w:t>
      </w:r>
    </w:p>
    <w:p w:rsidR="008E05AA" w:rsidRDefault="008E05AA" w:rsidP="008E05AA">
      <w:pPr>
        <w:ind w:firstLine="720"/>
        <w:jc w:val="both"/>
      </w:pPr>
      <w:r>
        <w:t>– Tarp jaunimo sparčiai plinta žalingi įpročiai.</w:t>
      </w:r>
      <w:r>
        <w:rPr>
          <w:b/>
          <w:bCs/>
        </w:rPr>
        <w:t xml:space="preserve"> </w:t>
      </w:r>
      <w:r>
        <w:t>Atliktų tyrimų duomenimis,</w:t>
      </w:r>
      <w:r>
        <w:rPr>
          <w:b/>
          <w:bCs/>
        </w:rPr>
        <w:t xml:space="preserve"> </w:t>
      </w:r>
      <w:r>
        <w:t>19 proc. 15–17 metų vaikų globos namų auklėtinių yra bandę bent vieną iš narkotikų nors kartą gyvenime, 12 proc. – nors kartą per paskutinius 12 mėnesių, 8 proc. – per paskutines 30 dienų. 2006 m. užregistruoti 1 042 asmenys, padarę nusikalstamas veikas, susijusias su disponavimu narkotinėmis ar psichotropinėmis medžiagomis (2005 m. – 1010, 2004 m. – 869). 2006 m. užregistruota 47 nepilnamečiai asmenys, padarę nusikalstamas veikas, susijusias su neteisėta narkotikų apyvarta, (2005 m. – 46, 2004 m. – 49, 2003 m. – 37, 2002 m. – 15 asmenų).</w:t>
      </w:r>
    </w:p>
    <w:p w:rsidR="008E05AA" w:rsidRDefault="008E05AA" w:rsidP="008E05AA">
      <w:pPr>
        <w:ind w:firstLine="720"/>
        <w:jc w:val="both"/>
      </w:pPr>
      <w:r>
        <w:t>– Nepakankamas vaikų ir jaunimo užimtumas.</w:t>
      </w:r>
      <w:r>
        <w:rPr>
          <w:b/>
          <w:bCs/>
        </w:rPr>
        <w:t xml:space="preserve"> </w:t>
      </w:r>
      <w:r>
        <w:t>Trūksta vaikų ir jaunimo užimtumo programų ir konkrečių paslaugų, dienos centrų, kitų vaikų papildomo ugdymo įstaigų; neišspręstos vaikų ir jaunimo vasaros poilsio ir užimtumo problemos.</w:t>
      </w:r>
      <w:r>
        <w:rPr>
          <w:i/>
          <w:iCs/>
        </w:rPr>
        <w:t xml:space="preserve"> </w:t>
      </w:r>
      <w:r>
        <w:t xml:space="preserve">Mokesčiai už papildomo ugdymo paslaugas mokyklose ar kitose institucijose daliai šeimų yra per sunki našta. </w:t>
      </w:r>
    </w:p>
    <w:p w:rsidR="008E05AA" w:rsidRDefault="008E05AA" w:rsidP="008E05AA">
      <w:pPr>
        <w:ind w:firstLine="720"/>
        <w:jc w:val="both"/>
      </w:pPr>
      <w:r>
        <w:rPr>
          <w:b/>
          <w:bCs/>
        </w:rPr>
        <w:t xml:space="preserve">– </w:t>
      </w:r>
      <w:r>
        <w:t>Neigiamas viešosios informacijos poveikis nepilnamečiams.</w:t>
      </w:r>
      <w:r>
        <w:rPr>
          <w:caps/>
        </w:rPr>
        <w:t xml:space="preserve"> V</w:t>
      </w:r>
      <w:r>
        <w:t>ienas didžiausių sunkumų, su kuriais susiduria tėvai, augindami vaikus, – žemos kultūros, seksualizuotos ir smurtinės informacijos plitimas televizijoje, internete ir kitose visuomenės informavimo priemonėse. Tai daro didžiulį neigiamą poveikį vaiko asmenybės vystymuisi, jo vertybinių nuostatų formavimuisi. 2006 m. duomenimis, kriminalai, erotika ir seksas – populiariausios žiniasklaidos temos. Čia pateikiama informacija nepilnamečiams formuoja iškreiptą vertybių sistemą, nepagarbą žmogui, yra skatinama neapykanta ir agresija.</w:t>
      </w:r>
    </w:p>
    <w:p w:rsidR="008E05AA" w:rsidRDefault="008E05AA" w:rsidP="008E05AA">
      <w:pPr>
        <w:ind w:firstLine="720"/>
        <w:jc w:val="both"/>
      </w:pPr>
      <w:r>
        <w:t>– Nepakankamas dėmesys prevenciniam, intervenciniam, postvenciniam darbui su šeima</w:t>
      </w:r>
      <w:r>
        <w:rPr>
          <w:b/>
          <w:bCs/>
        </w:rPr>
        <w:t xml:space="preserve"> </w:t>
      </w:r>
      <w:r>
        <w:t xml:space="preserve">– stinga šeimų pedagoginio, psichologinio, medicininio ir ekonominio švietimo bei konsultavimo, šeimos narių fizinės, psichinės bei dvasinės reabilitacijos paslaugų. </w:t>
      </w:r>
    </w:p>
    <w:p w:rsidR="008E05AA" w:rsidRDefault="008E05AA" w:rsidP="008E05AA">
      <w:pPr>
        <w:ind w:firstLine="720"/>
        <w:jc w:val="both"/>
        <w:rPr>
          <w:lang w:eastAsia="lt-LT"/>
        </w:rPr>
      </w:pPr>
      <w:r>
        <w:t>– Nėra bendros koordinavimo sistemos šeimos politikos srityje.</w:t>
      </w:r>
      <w:r>
        <w:rPr>
          <w:b/>
          <w:bCs/>
        </w:rPr>
        <w:t xml:space="preserve"> </w:t>
      </w:r>
      <w:r>
        <w:t>Neatliekamas sistemingas ir išsamus šeimų padėties ir poreikių tyrimas, ne visada vadovaujamasi jau priimtomis strateginėmis nuostatomis. Nėra bendros šeimos politikos sistemos, o esančios politikos priemonės įgyvendinamos nenuosekliai ir fragmentiškai.  Išvardintos problemos daro neigiamą įtaką šeimos institutui, ir tik stipri, atsakinga šeima yra pajėgi įveikti šias problemas.</w:t>
      </w:r>
    </w:p>
    <w:p w:rsidR="008E05AA" w:rsidRDefault="008E05AA" w:rsidP="008E05AA">
      <w:pPr>
        <w:ind w:firstLine="720"/>
        <w:jc w:val="both"/>
      </w:pPr>
      <w:r>
        <w:t xml:space="preserve">Lietuvos Respublikos Vyriausybė 2008 m. birželio 18 d. nutarimu Nr. </w:t>
      </w:r>
      <w:r>
        <w:rPr>
          <w:b/>
          <w:bCs/>
        </w:rPr>
        <w:t>645</w:t>
      </w:r>
      <w:r>
        <w:t xml:space="preserve"> “Dėl Valstybinės psichikos sveikatos strategijos įgyvendinimo 2008 – 2010 metų programos patvirtinimo” (Žin., 2008, Nr. 76-3014), patvirtino Valstybinę psichikos sveikatos strategijos įgyvendinimo 2008 – 2010 metų programą ir pasiūlė savivaldybėms dalyvauti įgyvendinant šią patvirtintą programą. Vyriausybė pažymėjo, kad 2004 metais Vilniaus universitete atlikti tyrimai parodė, kad psichikos sveikatos problemų turi 41,7 procento mokyklinio amžiaus vaikų; 13 procentų sutrikimų galima kliniškai diagnozuoti. Lietuvoje psichikos sveikatos priežiūros paslaugų infrastruktūra tebėra nulemta socialinės atskirties. Tai patvirtina vaikų ir suaugusiųjų, turinčių psichikos sutrikimų, gausa ilgalaikės socialinės globos įstaigose. Šios programos tikslas – Lietuvos Respublikoje sukurti tokią psichikos sveikatos priežiūros sistemą, kuri padėtų veiksmingai ir racionaliai, vadovaujantis šiuolaikinėmis mokslo žiniomis ir vertybėmis, stiprinti visuomenės psichikos sveikatą, teikti visapusišką pagalbą psichikos ir elgesio sutrikimų turintiems asmenims bei jų šeimoms. </w:t>
      </w:r>
    </w:p>
    <w:p w:rsidR="008E05AA" w:rsidRDefault="008E05AA" w:rsidP="008E05AA">
      <w:pPr>
        <w:ind w:firstLine="720"/>
        <w:jc w:val="both"/>
      </w:pPr>
      <w:r>
        <w:rPr>
          <w:szCs w:val="14"/>
        </w:rPr>
        <w:t xml:space="preserve">Lietuvos Respublikos Vyriausybės 2008 m. rugpjūčio 27 d. nutarimu Nr. </w:t>
      </w:r>
      <w:r>
        <w:rPr>
          <w:b/>
          <w:bCs/>
          <w:szCs w:val="14"/>
        </w:rPr>
        <w:t>836</w:t>
      </w:r>
      <w:r>
        <w:rPr>
          <w:szCs w:val="14"/>
        </w:rPr>
        <w:t xml:space="preserve"> “Dėl Vaikų sveikatos stiprinimo 2008 – 2012 metų programos patvirtinimo” (Žin., 2008, Nr. 104-3979), patvirtintoje Programoje siekiama ugdyti vaikams sveikos gyvensenos įpročius, užtikrinti vaikų sveikatos stiprinimo prieinamumą visoje šalyje, gerinti jo kokybę, tam vienyti valstybės ir savivaldybių institucijų, mokslo ir visuomenės pastangas. N</w:t>
      </w:r>
      <w:r>
        <w:t xml:space="preserve">umatoma plėtoti vaikų psichikos sveikatos priežiūros paslaugas (ambulatorines, stacionaro, dienos stacionaro, krizių intervencijos, individualios, grupinės ir šeimos psichoterapijos), didinant šių paslaugų mastą, specializuojant stacionaro ir dienos stacionaro skyrius pagal vaikų amžių, gerinant šių paslaugų kokybę ir kuo daugiau jų perduodant bendrojo profilio medicinos (pediatrijos) įstaigoms. Siekiama sukurti specializuotas paslaugas paaugliams ir jaunuoliams: paauglių stacionaro skyrius, ilgalaikės psichosocialinės reabilitacijos </w:t>
      </w:r>
      <w:r>
        <w:lastRenderedPageBreak/>
        <w:t xml:space="preserve">(resocializacijos) paslaugas paaugliams su sunkiais elgesio ir socializacijos sutrikimais, specialias reabilitacijos paslaugas paaugliams, priklausomiems nuo alkoholio ir narkotikų. Programoje vaiko sąvoka apibrėžta taip: “vaikas – asmuo, neturintis 18 metų”. </w:t>
      </w:r>
    </w:p>
    <w:p w:rsidR="008E05AA" w:rsidRDefault="008E05AA" w:rsidP="008E05AA">
      <w:pPr>
        <w:ind w:firstLine="720"/>
        <w:jc w:val="both"/>
      </w:pPr>
      <w:r>
        <w:t>Vaikų sveikatos stiprinimo 2008 – 2012 metų programos uždaviniai: kurti vaikų sveikatą palaikančią aplinką, pasitelkus valstybės institucijas, savivaldybes, mokyklų bendruomenes; didinti specialistų, dirbančių su vaikais, kompetenciją sveikatos stiprinimo klausimais; ugdyti vaikų sveikos gyvensenos nuostatas ir gebėjimus; tobulinti vaikų ligų ir traumų pirminės profilaktikos organizavimo kokybę; tobulinti vaikų sveikatos stiprinimo stebėseną.</w:t>
      </w:r>
    </w:p>
    <w:p w:rsidR="008E05AA" w:rsidRDefault="008E05AA" w:rsidP="008E05AA">
      <w:pPr>
        <w:ind w:firstLine="720"/>
        <w:jc w:val="both"/>
      </w:pPr>
      <w:r>
        <w:t xml:space="preserve">Vaikų sveikatos stiprinimo stebėsenoje Lietuva dalyvauja įgyvendinant Pasaulio sveikatos organizacijos projektą </w:t>
      </w:r>
      <w:r>
        <w:rPr>
          <w:spacing w:val="-2"/>
        </w:rPr>
        <w:t>„Aplinkos ir sveikatos informacinės sistemos, skirtos politikai formuoti, įsteigimas“ (ENHIS2 –</w:t>
      </w:r>
      <w:r>
        <w:t xml:space="preserve"> </w:t>
      </w:r>
      <w:r>
        <w:rPr>
          <w:rStyle w:val="texttopiclead"/>
          <w:i/>
        </w:rPr>
        <w:t>European Environment and Health Information System</w:t>
      </w:r>
      <w:r>
        <w:rPr>
          <w:rStyle w:val="texttopiclead"/>
        </w:rPr>
        <w:t>)</w:t>
      </w:r>
      <w:r>
        <w:t xml:space="preserve">. Pagal šį projektą surinkti vaikų aplinkos ir sveikatos rodikliai, tačiau tolesnė jų stebėsena nacionaliniu lygmeniu nenumatyta. Lietuvoje nėra tikslios vaikų traumų ir smurto atvejų apskaitos nuo jų gimimo iki 18 metų. Stokojama vaikų ikimokyklinio ugdymo įstaigose ir mokinių lengvų nelaimingų atsitikimų, mokinių smurto atvejų apskaitos ir atskaitomybės. Mokinių traumatizmo ir smurto rodiklių sistema neįtraukta į švietimo stebėsenos rodiklių sistemą. Lietuva nuo 1994 metų dalyvauja tarptautiniame moksleivių elgsenos tyrime, kuris kartojamas kas 4 metai ir rodo moksleivių elgsenos pokyčių tendencijas. Tačiau dėl lėšų stokos rezultatų sklaida Lietuvoje netęsiama. Iki šiol Lietuvoje neatliktas išsamesnis ikimokyklinio amžiaus vaikų mitybos tyrimas. Mokyklinio amžiaus vaikų faktiškos mitybos tyrimai Lietuvoje atlikti daugiau kaip prieš 10 metų (Respublikinis mitybos centras, 1994–1996 metai), jie rodo, kad ir miestų, ir kaimo vietovių mokyklinio amžiaus vaikų dienos maisto davinio energinė vertė atitiko nustatytuosius reikalavimus, tačiau mityba nebuvo tinkama, daugelis mokinių nesilaikė mitybos režimo. </w:t>
      </w:r>
    </w:p>
    <w:p w:rsidR="008E05AA" w:rsidRDefault="008E05AA" w:rsidP="008E05AA">
      <w:pPr>
        <w:ind w:firstLine="720"/>
        <w:jc w:val="both"/>
      </w:pPr>
      <w:r>
        <w:t>Įgyvendinus šią programą, siekiama, kad kasmet ne mažiau kaip 10 valstybės, savivaldybių institucijų, kitų socialinių partnerių į savo veiklą įtrauktų priemones, skirtas vaikų sveikatą palaikančiai aplinkai kurti, kasmet ne mažiau kaip 10 bendrojo lavinimo mokyklų būtų pripažintos sveikatą stiprinančiomis mokyklomis.</w:t>
      </w:r>
    </w:p>
    <w:p w:rsidR="008E05AA" w:rsidRDefault="008E05AA" w:rsidP="008E05AA">
      <w:pPr>
        <w:ind w:firstLine="720"/>
        <w:jc w:val="both"/>
      </w:pPr>
      <w:r>
        <w:t xml:space="preserve">Rengiamos mokytojų kvalifikacijos tobulinimo programos, kurių paskirtis padėti parengti specialistus, ugdyti vaikų sveikos gyvensenos įgūdžius. </w:t>
      </w:r>
    </w:p>
    <w:p w:rsidR="008E05AA" w:rsidRDefault="008E05AA" w:rsidP="008E05AA">
      <w:pPr>
        <w:ind w:firstLine="720"/>
        <w:jc w:val="both"/>
        <w:rPr>
          <w:szCs w:val="14"/>
        </w:rPr>
      </w:pPr>
      <w:r>
        <w:t xml:space="preserve">Už šios programos įgyvendinimo koordinavimą atsakinga Sveikatos apsaugos ministerija. Šios programos įgyvendinimo priemones vykdančios institucijos atsiskaito Sveikatos apsaugos ministerijai – ne vėliau kaip iki kitų metų vasario 1 dienos pateikia praėjusiųjų metų priemonių vykdymo ataskaitą. Sveikatos apsaugos ministerija iki 2010 m. kovo 1 d. pateikia Lietuvos Respublikos Vyriausybei tarpinę šios programos įgyvendinimo ataskaitą, o iki 2013 m. kovo 1 d. – galutinę ataskaitą.          </w:t>
      </w:r>
    </w:p>
    <w:p w:rsidR="008E05AA" w:rsidRDefault="008E05AA" w:rsidP="008E05AA">
      <w:pPr>
        <w:jc w:val="both"/>
      </w:pPr>
      <w:r>
        <w:tab/>
        <w:t>Sveikatos apsaugos ministras 2008 m. gegužės 29 d. įsakymu Nr. V-</w:t>
      </w:r>
      <w:r>
        <w:rPr>
          <w:b/>
          <w:bCs/>
        </w:rPr>
        <w:t>513</w:t>
      </w:r>
      <w:r>
        <w:t xml:space="preserve"> “Dėl Valstybinės šeimos sveikatos 2008 – 2010 metų programos patvirtinimo” (Žin., 2008, Nr. 65-2475), patvirtino Valstybinę šeimos sveikatos 2008 – 2010 metų programą, kurioje apibendrinęs situacijos analizę, nurodė, kad 2006 metais pirminės sveikatos priežiūros paslaugas teikė 370 asmens sveikatos priežiūros įstaigų, iš jų – 173 privačios.</w:t>
      </w:r>
    </w:p>
    <w:p w:rsidR="008E05AA" w:rsidRDefault="008E05AA" w:rsidP="008E05AA">
      <w:pPr>
        <w:ind w:firstLine="720"/>
        <w:jc w:val="both"/>
      </w:pPr>
      <w:r>
        <w:t xml:space="preserve"> Valstybine šeimos sveikatos 2008 – 2010 metų programa siekiama gerinti šeimos narių sveikatą, ligų profilaktiką ir ankstyvą diagnostiką, kokybišką ir prieinamą sveikatos priežiūrą laiku visiems šeimos nariams. </w:t>
      </w:r>
    </w:p>
    <w:p w:rsidR="008E05AA" w:rsidRDefault="008E05AA" w:rsidP="008E05AA">
      <w:pPr>
        <w:ind w:firstLine="720"/>
        <w:jc w:val="both"/>
      </w:pPr>
      <w:r>
        <w:t xml:space="preserve"> Programos nuostatose teigiama, kad sveikatos priežiūros paslaugų teikimo šeimos nariams uždavinys – užtikrinti sveikatos priežiūros paslaugų kokybę ir prieinamumą visiems šeimos nariams ir gyvenimo kokybės gerinimą visais žmogaus amžiaus tarpsniais – nuo gimimo iki mirties, o remiantis Jungtinių Tautų Vaiko teisių konvencija – ir iki gimimo.</w:t>
      </w:r>
    </w:p>
    <w:p w:rsidR="008E05AA" w:rsidRDefault="008E05AA" w:rsidP="008E05AA">
      <w:pPr>
        <w:ind w:firstLine="720"/>
        <w:jc w:val="both"/>
        <w:rPr>
          <w:rFonts w:eastAsia="Arial Unicode MS"/>
          <w:szCs w:val="18"/>
        </w:rPr>
      </w:pPr>
      <w:r>
        <w:t>Įsakyme teigiama, kad šeimos gydytojai nėra tinkamai įtraukti į psichikos sveikatos priežiūrą, trūksta bendradarbiavimo tarp šeimos gydytojų ir psichikos sveikatos specialistų. Gyventojų prisirašymo prie pirminės asmens sveikatos priežiūros įstaigų tvarkoje, patvirtintoje Sveikatos apsaugos ministro 2001 m. lapkričio 9 d. įsakymu Nr. 583 (Žin., 2001, Nr. 96-3400), numatoma, kad kiekvienas asmuo gali laisvai pasirinkti arčiausiai jo gyvenamosios vietos esančią arba jam patogiau pasiekiamą pirminės asmens sveikatos priežiūros įstaigą. Tai reiškia, kad:</w:t>
      </w:r>
    </w:p>
    <w:p w:rsidR="008E05AA" w:rsidRDefault="008E05AA" w:rsidP="008E05AA">
      <w:pPr>
        <w:ind w:firstLine="720"/>
        <w:jc w:val="both"/>
        <w:rPr>
          <w:szCs w:val="18"/>
        </w:rPr>
      </w:pPr>
      <w:r>
        <w:t xml:space="preserve">– pas šeimos gydytoją (ar prie Pirminės sveikatos priežiūros centro) prisirašė gyventojai, nebūtinai gyvenantys šalia Pirminės sveikatos priežiūros centro įstaigos (toliau - PSP) ar toje bendruomenėje, bet ir iš atokių vietovių. Dėl to, PSP komandos aptarnaujamų gyventojų teritorinės </w:t>
      </w:r>
      <w:r>
        <w:lastRenderedPageBreak/>
        <w:t>ribos labai išsiplėtė ar tapo neaiškios, kai kada iki 50 proc. tos teritorijos gyventojų yra prisirašę prie kitų PSP komandų arba įstaigų. Neretas atvejis, kai vienos šeimos kartu gyvenantys nariai prisirašo prie skirtingų šeimos gydytojų ar PSP centrų;</w:t>
      </w:r>
    </w:p>
    <w:p w:rsidR="008E05AA" w:rsidRDefault="008E05AA" w:rsidP="008E05AA">
      <w:pPr>
        <w:ind w:firstLine="720"/>
        <w:jc w:val="both"/>
        <w:rPr>
          <w:szCs w:val="18"/>
        </w:rPr>
      </w:pPr>
      <w:r>
        <w:t>– galima teigti, jog neliko bendruomenės aptarnavimo principo miestuose ir rajonų centruose;</w:t>
      </w:r>
    </w:p>
    <w:p w:rsidR="008E05AA" w:rsidRDefault="008E05AA" w:rsidP="008E05AA">
      <w:pPr>
        <w:ind w:firstLine="720"/>
        <w:jc w:val="both"/>
        <w:rPr>
          <w:szCs w:val="18"/>
        </w:rPr>
      </w:pPr>
      <w:r>
        <w:t>– PSP paslaugų orientacijos į šeimos poreikius principas negali būti įgyvendinamas visavertiškai;</w:t>
      </w:r>
    </w:p>
    <w:p w:rsidR="008E05AA" w:rsidRDefault="008E05AA" w:rsidP="008E05AA">
      <w:pPr>
        <w:ind w:firstLine="720"/>
        <w:jc w:val="both"/>
        <w:rPr>
          <w:szCs w:val="18"/>
        </w:rPr>
      </w:pPr>
      <w:r>
        <w:t>–  negalima įgyvendinti į bendruomenę orientuotų slaugos paslaugų;</w:t>
      </w:r>
    </w:p>
    <w:p w:rsidR="008E05AA" w:rsidRDefault="008E05AA" w:rsidP="008E05AA">
      <w:pPr>
        <w:ind w:firstLine="720"/>
        <w:jc w:val="both"/>
        <w:rPr>
          <w:szCs w:val="18"/>
        </w:rPr>
      </w:pPr>
      <w:r>
        <w:t>– sudėtinga atlikti profilaktinę ir sveikatos mokymo veiklą bendruomenėje arba, atsižvelgiant į bendruomenės poreikius.</w:t>
      </w:r>
    </w:p>
    <w:p w:rsidR="008E05AA" w:rsidRDefault="008E05AA" w:rsidP="008E05AA">
      <w:pPr>
        <w:ind w:firstLine="720"/>
        <w:jc w:val="both"/>
        <w:rPr>
          <w:szCs w:val="18"/>
        </w:rPr>
      </w:pPr>
      <w:r>
        <w:t>Pirminės sveikatos priežiūros plėtros koncepcijoje, patvirtintoje Sveikatos apsaugos ministro 2007 m. rugsėjo 5 d. įsakymu Nr. V-</w:t>
      </w:r>
      <w:r>
        <w:rPr>
          <w:b/>
          <w:bCs/>
        </w:rPr>
        <w:t>717</w:t>
      </w:r>
      <w:r>
        <w:t xml:space="preserve"> (Žin., 2007, Nr. 96- 3897), vienas iš uždavinių numato plėtoti privačią pirminės asmens sveikatos priežiūros veiklą, siekti, kad šeimos gydytojai patys steigtų kabinetus ir centrus, tam numatyti patalpų bei įrangos įsigijimo lengvatų, t. y. siekti, kad šeimos gydytojams, užsiimantiems privačia pirminės asmens sveikatos priežiūros veikla, savivaldybės leistų naudotis patalpomis panaudos principu. 2006 metų duomenimis, buvo 197 privačios asmens sveikatos priežiūros įstaigos, sudariusios sutartis su teritorinėmis ligonių kasomis.</w:t>
      </w:r>
    </w:p>
    <w:p w:rsidR="008E05AA" w:rsidRDefault="008E05AA" w:rsidP="008E05AA">
      <w:pPr>
        <w:ind w:firstLine="720"/>
        <w:jc w:val="both"/>
      </w:pPr>
      <w:r>
        <w:t>Lietuvos Respublikos Švietimo ir mokslo ministras 2004 m. rugsėjo 17 d. įsakymu Nr. ISAK–1462 “Dėl teisės pažeidimų, mokyklos nelankymo, narkotinių ir psichotropinių medžiagų vartojimo, ŽIV/AIDS, smurto ir nusikalstamumo prevencijos” (Žin.,2004, Nr.145–5281; 2007, Nr. 138-5677), patvirtino įsakymą, kuris taikomas visų grupių ir tipų mokykloms neatsižvelgiant į jų pavaldumą ir nuosavybės formas.</w:t>
      </w:r>
    </w:p>
    <w:p w:rsidR="008E05AA" w:rsidRDefault="008E05AA" w:rsidP="008E05AA">
      <w:pPr>
        <w:ind w:firstLine="720"/>
        <w:jc w:val="both"/>
      </w:pPr>
      <w:r>
        <w:t>Minėtame įsakyme nustatyta, kad:</w:t>
      </w:r>
    </w:p>
    <w:p w:rsidR="008E05AA" w:rsidRDefault="008E05AA" w:rsidP="008E05AA">
      <w:pPr>
        <w:ind w:firstLine="720"/>
        <w:jc w:val="both"/>
        <w:rPr>
          <w:szCs w:val="22"/>
        </w:rPr>
      </w:pPr>
      <w:r>
        <w:t xml:space="preserve">– mokyklų vadovai </w:t>
      </w:r>
      <w:r>
        <w:rPr>
          <w:szCs w:val="22"/>
        </w:rPr>
        <w:t>teikia mokyklos steigėjui ataskaitą ir siūlymus dėl mokyklos nelankymo, alkoholio, tabako ir kitų psichiką veikiančių medžiagų vartojimo, ŽIV/AIDS, smurto, teisės pažeidimų prevencijos, mokinių užimtumo gerinimo;</w:t>
      </w:r>
    </w:p>
    <w:p w:rsidR="008E05AA" w:rsidRDefault="008E05AA" w:rsidP="008E05AA">
      <w:pPr>
        <w:ind w:firstLine="720"/>
        <w:jc w:val="both"/>
      </w:pPr>
      <w:r>
        <w:t>– informuoja mokyklos bendruomenę apie pagalbos mokiniui, mokytojui ir mokyklai teikiančių institucijų, policijos, Vaiko teisių apsaugos tarnybos, Pedagoginės psichologinės tarnybos, Psichikos sveikatos centro, Priklausomybės ligų centro, Lietuvos AIDS centro bei organizacijų, dirbančių teisės pažeidimų, mokyklos nelankymo, smurto, prievartos, savižudybių, ŽIV/AIDS prevencijos srityse, adresus ir telefonus;</w:t>
      </w:r>
    </w:p>
    <w:p w:rsidR="008E05AA" w:rsidRDefault="008E05AA" w:rsidP="008E05AA">
      <w:pPr>
        <w:ind w:firstLine="720"/>
        <w:jc w:val="both"/>
      </w:pPr>
      <w:r>
        <w:rPr>
          <w:sz w:val="18"/>
        </w:rPr>
        <w:t xml:space="preserve">– </w:t>
      </w:r>
      <w:r>
        <w:t>integruoja į mokyklos ugdymo turinį mokytojų, socialinių pedagogų, psichologų, visuomenės sveikatos specialistų, klasės auklėtojų organizuojamą Narkotinių medžiagų, alkoholio bei tabako vartojimo prevencijos kursą apie narkotinių medžiagų, alkoholio bei tabako žalą žmogaus sveikatai bei visuomenei, siekdami ugdyti mokinių gyvenimo įgūdžius, atsparumą žalingiems įpročiams, plėtodami darbą su šeima;</w:t>
      </w:r>
    </w:p>
    <w:p w:rsidR="008E05AA" w:rsidRDefault="008E05AA" w:rsidP="008E05AA">
      <w:pPr>
        <w:ind w:firstLine="720"/>
        <w:jc w:val="both"/>
      </w:pPr>
      <w:r>
        <w:t>– sudaro sąlygas tobulinti administracijos, mokytojų, psichologų, socialinių pedagogų, klasių auklėtojų ir kitų asmenų, dirbančių su vaikais, kvalifikaciją narkotinių medžiagų vartojimo, ŽIV/AIDS, smurto, prievartos, savižudybių, nuskalstamumo ir kitais prevencinio darbo klausimais;</w:t>
      </w:r>
    </w:p>
    <w:p w:rsidR="008E05AA" w:rsidRDefault="008E05AA" w:rsidP="008E05AA">
      <w:pPr>
        <w:ind w:firstLine="720"/>
        <w:jc w:val="both"/>
        <w:rPr>
          <w:szCs w:val="18"/>
        </w:rPr>
      </w:pPr>
      <w:r>
        <w:t xml:space="preserve">– </w:t>
      </w:r>
      <w:r>
        <w:rPr>
          <w:szCs w:val="18"/>
        </w:rPr>
        <w:t>užtikrina, kad narkomanijos, ŽIV/AIDS, prievartos, smurto, nusikalstamumo ir kitoms prevencinėms programoms įgyvendinti būtų naudojama Švietimo ir mokslo ministerijos rekomenduota literatūra ir vaizdinės priemonės;</w:t>
      </w:r>
    </w:p>
    <w:p w:rsidR="008E05AA" w:rsidRDefault="008E05AA" w:rsidP="008E05AA">
      <w:pPr>
        <w:ind w:firstLine="720"/>
        <w:jc w:val="both"/>
        <w:rPr>
          <w:rFonts w:ascii="Tahoma" w:hAnsi="Tahoma" w:cs="Tahoma"/>
        </w:rPr>
      </w:pPr>
      <w:r>
        <w:t>– sustiprina Tabako kontrolės įstatymo (Žin., 1996, Nr.11-281; 2003, Nr.117-5317), Alkoholio kontrolės įstatymo (Žin., 1995, Nr.44-1073; 2004, Nr.47-1548), Narkotinių ir psichotropinių medžiagų kontrolės įstatymo (Žin., 1998, Nr.8-161) laikymąsi mokyklose, kad mokiniai, pedagogai ir kiti asmenys nevartotų ir neplatintų tabako, alkoholio, narkotinių bei psichotropinių medžiagų;</w:t>
      </w:r>
    </w:p>
    <w:p w:rsidR="008E05AA" w:rsidRDefault="008E05AA" w:rsidP="008E05AA">
      <w:pPr>
        <w:ind w:firstLine="720"/>
        <w:jc w:val="both"/>
      </w:pPr>
      <w:r>
        <w:t>– sudaro sąlygas mokinių atostogų metu naudotis mokyklų baze vietos bendruomenės vaikams, ypatingą dėmesį skiria probleminių ir socialiai remtinų šeimų vaikams.</w:t>
      </w:r>
    </w:p>
    <w:p w:rsidR="008E05AA" w:rsidRDefault="008E05AA" w:rsidP="008E05AA">
      <w:pPr>
        <w:ind w:firstLine="720"/>
        <w:jc w:val="both"/>
      </w:pPr>
      <w:r>
        <w:t>Savivaldybių administracijos:</w:t>
      </w:r>
    </w:p>
    <w:p w:rsidR="008E05AA" w:rsidRDefault="008E05AA" w:rsidP="008E05AA">
      <w:pPr>
        <w:ind w:firstLine="720"/>
        <w:jc w:val="both"/>
      </w:pPr>
      <w:r>
        <w:t>–  įgyvendina priemones, kurios padėtų užtikrinti vaiko teisę į mokslą ir sugrąžintų į mokyklą jos nelankančius vaikus;</w:t>
      </w:r>
    </w:p>
    <w:p w:rsidR="008E05AA" w:rsidRDefault="008E05AA" w:rsidP="008E05AA">
      <w:pPr>
        <w:ind w:firstLine="720"/>
        <w:jc w:val="both"/>
      </w:pPr>
      <w:r>
        <w:t xml:space="preserve"> –  kasmet iki spalio 25 d. teikia Švietimo ir mokslo ministerijai ataskaitas apie mokyklų vykdomas priemones narkotinių medžiagų vartojimo, ŽIV/AIDS, prievartos, smurto, nusikalstamumo prevencijos klausimais bei siūlymus prevenciniam darbui gerinti pagal Švietimo ir mokslo ministerijos parengtas rekomendacijas; organizuoja mokytojams, socialiniams pedagogams, psichologams, visuomenės sveikatos specialistams, klasės auklėtojams kvalifikacijos kėlimą narkotinių medžiagų, alkoholio bei tabako vartojimo, smurto, savižudybių ir kitais prevencinio darbo klausimais.</w:t>
      </w:r>
    </w:p>
    <w:p w:rsidR="008E05AA" w:rsidRDefault="008E05AA" w:rsidP="008E05AA">
      <w:pPr>
        <w:ind w:firstLine="720"/>
        <w:jc w:val="both"/>
      </w:pPr>
      <w:r>
        <w:lastRenderedPageBreak/>
        <w:t xml:space="preserve">Lietuvos Respublikos Vyriausybė 2005 m. gegužės 17 d. nutarimu Nr. </w:t>
      </w:r>
      <w:r>
        <w:rPr>
          <w:b/>
          <w:bCs/>
        </w:rPr>
        <w:t xml:space="preserve">537 </w:t>
      </w:r>
      <w:r>
        <w:t>“Dėl Vaikų, vartojančių psichiką veikiančias medžiagas, medicininės, psichologinės, socialinės reabilitacijos paslaugų teikimo koncepcijos patvirtinimo” (Žin., 2005, Nr. 64-2285), patvirtino Vaikų, vartojančių psichiką veikiančias medžiagas, medicininės, psichologinės, socialinės reabilitacijos paslaugų teikimo koncepciją, kurios tikslas – padėti vaikams atgauti sveikatą, įveikti psichologinę, fizinę priklausomybę nuo psichiką veikiančių medžiagų ir integruotis į visuomenę; siekti teikiamų medicininių, psichologinių, socialinių reabilitacijos paslaugų kokybės, prieinamumo, tęstinumo visiems vaikams, racionaliai naudojant finansinius ir žmogiškuosius išteklius. Šioje koncepcijoje pabrėžiama ankstyvoji intervencija, kurios tikslas – skatinti vaikus nevartoti psichiką veikiančių medžiagų. Siekiama anksti nustatyti vaikus, vartojančius psichiką veikiančias medžiagas, ištirti jų sveikatos ir socialinę būklę, numatyti ir įgyvendinti pagalbos priemones.</w:t>
      </w:r>
    </w:p>
    <w:p w:rsidR="008E05AA" w:rsidRDefault="008E05AA" w:rsidP="008E05AA">
      <w:pPr>
        <w:ind w:firstLine="720"/>
        <w:jc w:val="both"/>
      </w:pPr>
      <w:r>
        <w:t xml:space="preserve">Lietuvos Respublikos Vyriausybė 2002 m. balandžio 2 d. nutarimu Nr. </w:t>
      </w:r>
      <w:r>
        <w:rPr>
          <w:b/>
          <w:bCs/>
        </w:rPr>
        <w:t>437</w:t>
      </w:r>
      <w:r>
        <w:t xml:space="preserve"> “Dėl Ankstyvo vaikų (moksleivių) psichiką veikiančių medžiagų vartojimo nustatymo tvarkos patvirtinimo” (Žin., 2002, Nr. 35-1305; 2007, Nr. 107-4379), patvirtino  Ankstyvo vaikų (moksleivių) psichiką veikiančių medžiagų vartojimo nustatymo tvarką, kuri reglamentuoja vaikų, vartojančių narkotines, psichotropines, kitas psichiką veikiančias medžiagas, nustatymo organizavimą pradinėse pagrindinėse, vidurinėse, profesinėse mokyklose, vaikų globos įstaigose ir viešosiose vietose. </w:t>
      </w:r>
    </w:p>
    <w:p w:rsidR="008E05AA" w:rsidRDefault="008E05AA" w:rsidP="008E05AA">
      <w:pPr>
        <w:ind w:firstLine="720"/>
        <w:jc w:val="both"/>
      </w:pPr>
      <w:r>
        <w:t xml:space="preserve">Lietuvos Respublikos Sveikatos apsaugos ministras 2005 m. kovo 22 d. įsakymu Nr. </w:t>
      </w:r>
      <w:r>
        <w:rPr>
          <w:b/>
          <w:bCs/>
        </w:rPr>
        <w:t>V-182</w:t>
      </w:r>
      <w:r>
        <w:t xml:space="preserve"> “Dėl 2005-2008 metų priklausomybės ligų gydymo programos patvirtinimo” (Žin., 2005, Nr. 43-1380), patvirtino 2005-2008 metų priklausomybės ligų gydymo programą, kurioje apibendrino bendrą esamą situaciją ir nurodė,  kad, priklausomybės ligos pagal Tarptautinę statistinę ligų ir sveikatos problemų klasifikaciją priskiriamos psichikos ir elgesio sutrikimams (TLK-10, F10–F19). Priklausomybės ligų gydymą ir priežiūrą atlieka gydytojai psichiatrai, šeimos gydytojai, sveikatos priežiūros įstaigų psichologai, socialiniai darbuotojai ir slaugos specialistai. Priklausomybės ligomis sergantiems pacientams ambulatorinė ir stacionarinė pagalba pagal jiems sudarytą individualią gydymo ir reabilitacijos programą teikiama priklausomybės ligų centruose (5 specializuoti priklausomybės ligų centrai: Vilniaus, Klaipėdos, Šiaulių, Panevėžio, Kauno), psichiatrijos ligoninėse ir specializuotose medicininės reabilitacijos įstaigose (šiuo metu yra tik du medicininės ir socialinės reabilitacijos padaliniai, finansuojami biudžeto lėšomis ir turintys licenciją teikti sveikatos priežiūros paslaugas: Vilniaus priklausomybės ligų centro Reabilitacijos skyrius (12 vietų) ir Lietuvos AIDS centro narkomanų socialinės psichologijos bendruomenė (13 vietų). Priklausomybės ligomis sergantiems pacientams ambulatorinė pagalba teikiama ir psichikos sveikatos centruose (Lietuvoje veikia 64 psichikos sveikatos centrai). Būtinoji (skubi) pagalba teikiama pacientams, kai juos ištinka koma ar apsinuodijus narkotinėmis, kitomis psichotropinėmis medžiagomis, taip pat esant abstinencijos būklei, psichozinei simptomatikai. Tokie asmenys guldomi į asmens sveikatos priežiūros įstaigose esančius reanimacijos skyrius ir/ar toksikologijos skyrius. Greita detoksikacija asmenims, vartojantiems narkotikus, taikoma ligoninių toksikologijos skyriuose, priklausomybės ligų centruose bei privačiose toksikologijos klinikose. Ambulatoriniam gydymui medikamentai iš Privalomojo sveikatos draudimo fondo (toliau – PSDF) lėšų nekompensuojami. Priklausomybės ligų centrams biudžetinio finansavimo nepakanka visoms numatytoms funkcijoms vykdyti. Ne visi asmenys, priklausomi nuo alkoholio ar narkotikų, net esant indikacijoms gali gauti ambulatorinio gydymo paslaugas. Priklausomybės ligų centrai dėl nepakankamo finansavimo ir prastos materialinės bazės negali atlikti pagal nuostatus priskirtų funkcijų. Apskričių priklausomybės ligų centrai rajonų pirminės sveikatos priežiūros, psichikos sveikatos centrams teikia tik minimalią metodinę pagalbą dėl priklausomybės ligų diagnostikos ir gydymo. Dėl finansų stokos negali užtikrinti visavertės profilaktikos, gydymo ir medicininės reabilitacijos. Siekiant pagerinti medicinos paslaugų prieinamumą sergantiesiems priklausomybės ligomis ir priklausomybės ligų centrų infrastruktūrą, 2003 m. buvo parengta ir 2003 m. rugsėjo 23 d. Privalomojo sveikatos draudimo tarybos nutarimu Nr. 6/7 patvirtinta Lietuvos Respublikos sveikatos apsaugos ministro 2003 m. spalio 20 d. įsakymu Nr. V-614 Medicininių paslaugų sergantiesiems priklausomybės ligomis prieinamumo bei gerinimo 2003–2004 m. programa. Siekiant įgyvendinti priklausomybės ligų profilaktiką, Lietuvos Respublikos Seimo 2004 m. balandžio 8 d. nutarimu Nr. IX -2110 patvirtinta ir vykdoma Nacionalinė narkotikų kontrolės ir narkomanijos prevencijos 2004–2008 metų programa (Žin., 2004, Nr.140-5114). Lietuvos Respublikos Vyriausybės 2003 m. spalio 14 d. nutarimu Nr.1273 patvirtinta ŽIV/AIDS profilaktikos ir kontrolės programa, kurioje numatytos ŽIV/AIDS prevencijos priemonės asmenims, vartojantiems narkotines medžiagas.</w:t>
      </w:r>
    </w:p>
    <w:p w:rsidR="008E05AA" w:rsidRDefault="008E05AA" w:rsidP="008E05AA">
      <w:pPr>
        <w:autoSpaceDE w:val="0"/>
        <w:autoSpaceDN w:val="0"/>
        <w:adjustRightInd w:val="0"/>
        <w:ind w:firstLine="312"/>
        <w:jc w:val="both"/>
      </w:pPr>
      <w:r>
        <w:lastRenderedPageBreak/>
        <w:t xml:space="preserve"> Programos tikslas - įgyvendinant Lietuvos Respublikos Vyriausybės programoje numatytus tikslus sveikatos apsaugos srityje, stiprinti psichikos sveikatą, vykdant priklausomybės ligų sveikatos priežiūrą, gerinti specializuotų paslaugų prieinamumą, organizuoti ir plėtoti ankstyvą priklausomybės ligų diagnostiką, teikti kokybiškas medicinines, psichologines paslaugas tiek vaikams ir paaugliams, sergantiems priklausomybės ligomis, tiek suaugusiesiems, sergantiems žmogaus imunodeficito virusu (ŽIV) ir sukėlėjo nešiotojams bei tuberkulioze, nėščioms moterims, moterims, turinčioms mažamečių vaikų, socialinės atskirties grupių atstovams, ir mažinti jų socialinę atskirtį, gerinti šių pacientų reabilitaciją ir integraciją į bendruomenę.</w:t>
      </w:r>
    </w:p>
    <w:p w:rsidR="008E05AA" w:rsidRDefault="008E05AA" w:rsidP="008E05AA">
      <w:pPr>
        <w:autoSpaceDE w:val="0"/>
        <w:autoSpaceDN w:val="0"/>
        <w:adjustRightInd w:val="0"/>
        <w:ind w:firstLine="312"/>
        <w:jc w:val="both"/>
      </w:pPr>
      <w:r>
        <w:t>Buvo numatyti šios Programos 2005 – 2008 metais laukiami rezultatai:</w:t>
      </w:r>
    </w:p>
    <w:p w:rsidR="008E05AA" w:rsidRDefault="008E05AA" w:rsidP="008E05AA">
      <w:pPr>
        <w:autoSpaceDE w:val="0"/>
        <w:autoSpaceDN w:val="0"/>
        <w:adjustRightInd w:val="0"/>
        <w:ind w:firstLine="312"/>
        <w:jc w:val="both"/>
      </w:pPr>
      <w:r>
        <w:t>– Asmenims, kurie kreipiasi į priklausomybės ligų centrus, sergantiems priklausomybės ligomis ir apdraustiems PSDF lėšomis, iš šios Programos lėšų bus pagerintas reikiamų medicininių paslaugų prieinamumas ir kokybė.</w:t>
      </w:r>
    </w:p>
    <w:p w:rsidR="008E05AA" w:rsidRDefault="008E05AA" w:rsidP="008E05AA">
      <w:pPr>
        <w:autoSpaceDE w:val="0"/>
        <w:autoSpaceDN w:val="0"/>
        <w:adjustRightInd w:val="0"/>
        <w:ind w:firstLine="312"/>
        <w:jc w:val="both"/>
      </w:pPr>
      <w:r>
        <w:t>– Siekiant užtikrinti priklausomybės ligų centruose teikiamų medicininių paslaugų kokybę ir efektyvų lėšų panaudojimą, besikreipiantiems ir gydytiems pacientams bus taikoma pacientų gydymo rezultatų stebėsena, kurios pagrindiniai rodikliai – pasiektų ilgalaikių remisijų skaičius, naujai išaiškintų pacientų skaičius, kiek asmenų, vartojančių alkoholį ir narkotikus, išrašyti iš įskaitos.</w:t>
      </w:r>
    </w:p>
    <w:p w:rsidR="008E05AA" w:rsidRDefault="008E05AA" w:rsidP="008E05AA">
      <w:pPr>
        <w:autoSpaceDE w:val="0"/>
        <w:autoSpaceDN w:val="0"/>
        <w:adjustRightInd w:val="0"/>
        <w:ind w:firstLine="312"/>
        <w:jc w:val="both"/>
      </w:pPr>
      <w:r>
        <w:t>– Pagerinus paslaugų prieinamumą, priklausomybės ligų centruose nuolat didės asmenų, gydytų dėl abstinencijos ir priklausomybės sindromo stacionare ir ambulatoriškai, skaičius.</w:t>
      </w:r>
    </w:p>
    <w:p w:rsidR="008E05AA" w:rsidRDefault="008E05AA" w:rsidP="008E05AA">
      <w:pPr>
        <w:autoSpaceDE w:val="0"/>
        <w:autoSpaceDN w:val="0"/>
        <w:adjustRightInd w:val="0"/>
        <w:ind w:firstLine="312"/>
        <w:jc w:val="both"/>
      </w:pPr>
      <w:r>
        <w:t>– Siekiant išaiškinti naujus atvejus, užtikrinti gydymo tęstinumą, priklausomybės ligų centrai: daugiau pacientų gydys bendradarbiaudami su psichikos sveikatos centrais, darbo biržomis, nevyriausybinėmis organizacijomis; bus suteikta daugiau informacijos bendruomenėms apie priklausomybės ligų gydymo galimybes, mažės sergančiųjų priklausomybės ligomis stigmatizacija, daugės besikreipiančiųjų medicinos pagalbos.</w:t>
      </w:r>
    </w:p>
    <w:p w:rsidR="008E05AA" w:rsidRDefault="008E05AA" w:rsidP="008E05AA">
      <w:pPr>
        <w:autoSpaceDE w:val="0"/>
        <w:autoSpaceDN w:val="0"/>
        <w:adjustRightInd w:val="0"/>
        <w:ind w:firstLine="312"/>
        <w:jc w:val="both"/>
      </w:pPr>
      <w:r>
        <w:t>–  Programa sudarys prielaidas palaipsniui gerinti kitus šalies sveikatos rodiklius: plečiant asmenų, priklausomų nuo alkoholio, gydymą ir reabilitaciją, bus sudarytos prielaidos mažėti alkoholinių psichozių, apsinuodijimų alkoholiu, nelaimingų atsitikimų ir savižudybių skaičiui; pagerinus gydymo prieinamumą asmenims, priklausomiems nuo narkotinių medžiagų, bus sudarytos prielaidos plėtoti infekcinių ligų (ŽIV/AIDS, hepatitų B ir C) bei mirčių nuo narkotikų perdozavimo profilaktiką, gerinti šių asmenų integraciją į visuomenę, mažinti socialinę atskirtį.</w:t>
      </w:r>
    </w:p>
    <w:p w:rsidR="008E05AA" w:rsidRDefault="008E05AA" w:rsidP="008E05AA">
      <w:pPr>
        <w:autoSpaceDE w:val="0"/>
        <w:autoSpaceDN w:val="0"/>
        <w:adjustRightInd w:val="0"/>
        <w:ind w:firstLine="720"/>
        <w:jc w:val="both"/>
      </w:pPr>
      <w:r>
        <w:t xml:space="preserve">Už programos priemonių įgyvendinimą atsakingi priklausomybių ligų centrų vadovai, 2005-2008 metais šios Programos įgyvendinimo vieta - Vilniaus m. priklausomybės ligų centras, vadovas E. Subata, Kauno aps. priklausomybės ligų centras, vadovas T. Zikaras, Klaipėdos aps. priklausomybės ligų centras, vadovas A. Slatvickis, Šiaulių aps. priklausomybės ligų centras, vadovas E. Pr. Zevertas, Panevėžio aps. priklausomybės ligų centras, vadovė V. Kuzminskienė. </w:t>
      </w:r>
    </w:p>
    <w:p w:rsidR="008E05AA" w:rsidRDefault="008E05AA" w:rsidP="008E05AA">
      <w:pPr>
        <w:autoSpaceDE w:val="0"/>
        <w:autoSpaceDN w:val="0"/>
        <w:adjustRightInd w:val="0"/>
        <w:ind w:firstLine="720"/>
        <w:jc w:val="both"/>
      </w:pPr>
      <w:r>
        <w:t xml:space="preserve">Sveikatos apsaugos ministras 2007 m. rugpjūčio 6 d. įsakymu Nr. </w:t>
      </w:r>
      <w:r>
        <w:rPr>
          <w:b/>
          <w:bCs/>
        </w:rPr>
        <w:t>V-652</w:t>
      </w:r>
      <w:r>
        <w:t xml:space="preserve"> “Dėl Lietuvos Respublikos sveikatos apsaugos ministro 2002 m. gegužės 3 d. įsakymo Nr. 204 “Dėl priklausomybės ligų gydymo ir reabilitacijos standartų patvirtinimo” pakeitimo” (Žin., 2007, Nr. 90-3586), trumpalaikės ar ilgalaikės opioidinės abstinencijos detoksikacijos paslaugą  metadonu,  papildė “ar buprenorfinu”,  nurodydamas, kad asmenų iki 18 metų, vyresnių nei 15 metų, abstinencijos būklei gydyti skiriamas tik buprenorfinas.</w:t>
      </w:r>
    </w:p>
    <w:p w:rsidR="008E05AA" w:rsidRDefault="008E05AA" w:rsidP="008E05AA">
      <w:pPr>
        <w:ind w:firstLine="720"/>
        <w:jc w:val="both"/>
      </w:pPr>
      <w:r>
        <w:t xml:space="preserve">Lietuvos Respublikos Sveikatos apsaugos ministras 2008 m. gruodžio 31 d. įsakymu Nr. </w:t>
      </w:r>
      <w:r>
        <w:rPr>
          <w:b/>
          <w:bCs/>
        </w:rPr>
        <w:t>V-1288</w:t>
      </w:r>
      <w:r>
        <w:t xml:space="preserve"> “Dėl 2009-2012 metų priklausomybės ligų gydymo programos patvirtinimo”, patvirtino 2009 - 2012 metų priklausomybės ligų gydymo programą, kurioje numatė vaikams, sergantiems priklausomybės ligomis, užtikrinti gydymo paslaugų teikimą, vadovaujantis Sveikatos apsaugos ministro 2002 m. gegužės 3 d. įsakymu Nr. 204 “Dėl priklausomybės ligų gydymo ir reabilitacijos standartų patvirtinimo”, ir jį papildžiusiu Sveikatos apsaugos ministro 2007 m. rugpjūčio 6 d. įsakymu Nr. V-652 “Dėl Lietuvos Respublikos sveikatos apsaugos ministro 2002 m. gegužės 3 d. įsakymo Nr. 204 “Dėl priklausomybės ligų gydymo ir reabilitacijos standartų patvirtinimo” pakeitimo” (Žin., 2007, Nr. 90-3586), pagal patvirtintus Priklausomybės ligų gydymo ir reabilitacijos standartus bei  pirminio ir antrinio lygio paslaugas.</w:t>
      </w:r>
    </w:p>
    <w:p w:rsidR="008E05AA" w:rsidRDefault="008E05AA" w:rsidP="008E05AA">
      <w:pPr>
        <w:ind w:firstLine="720"/>
        <w:jc w:val="both"/>
      </w:pPr>
      <w:r>
        <w:t>Sveikatos apsaugos ministro 2002 m. gegužės 3 d. įsakyme Nr</w:t>
      </w:r>
      <w:r>
        <w:rPr>
          <w:b/>
          <w:bCs/>
        </w:rPr>
        <w:t>. 204 “</w:t>
      </w:r>
      <w:r>
        <w:t xml:space="preserve">Dėl priklausomybės ligų gydymo ir reabilitacijos standartų patvirtinimo” patvirtintoje “Priklausomybės ligų gydymo ir reabilitacijos standartai. Pirminio lygio paslaugos” 10 paslaugų punkte “Trumpalaikė opioidinės abstinencijos detoksikacija metadonu ar buprenorfinu” patvirtinta priemonė: Asmenų iki 18 metų, vyresnių nei 15 metų, abstinencijos būklei gydyti skiriamas tik buprenorfinas. Paciento būklės stabilizavimas adekvačiomis metadono hidrochlorido ar buprenorfino dozėmis ir laipsniškas jų </w:t>
      </w:r>
      <w:r>
        <w:lastRenderedPageBreak/>
        <w:t xml:space="preserve">mažinimas (iki nulio) pagal individualią schemą. Gydymas analgetikais (pvz., tramadoliu  ir kt.). Minėta priemonė taikoma iki 3 mėn. </w:t>
      </w:r>
    </w:p>
    <w:p w:rsidR="008E05AA" w:rsidRDefault="008E05AA" w:rsidP="008E05AA">
      <w:pPr>
        <w:ind w:firstLine="720"/>
        <w:jc w:val="both"/>
      </w:pPr>
      <w:r>
        <w:t xml:space="preserve">Paslaugų punkte Nr. 11 “Ilgalaikė opioidinės abstinencijos detoksikacija metadonu ar buprenorfinu” patvirtinta priemonė: Asmenų iki 18 metų, vyresnių nei 15 metų, abstinencijos būklei gydyti skiriamas tik buprenorfinas. Paciento būklės stabilizavimas adekvačiomis metadono hidrochlorido ar buprenorfino dozėmis ir laipsniškas jų mažinimas (iki nulio) pagal individualią schemą. Gydymas analgetikais (pvz., tramadoliu  ir kt.). Minėta priemonė taikoma iki 6 mėn. </w:t>
      </w:r>
    </w:p>
    <w:p w:rsidR="008E05AA" w:rsidRDefault="008E05AA" w:rsidP="008E05AA">
      <w:pPr>
        <w:ind w:firstLine="720"/>
        <w:jc w:val="both"/>
      </w:pPr>
      <w:r>
        <w:t xml:space="preserve"> Paslaugų punkte Nr. 12 “Benzodiazepinų abstinencijos detoksikacija” patvirtinta priemonė: Paciento būklės stabilizavimas adekvačiomis benzodiazepinų grupės vaistų dozėmis ir laipsniškas mažinimas (iki nulio) pagal individualią schemą. Gydymas kitais neuroleptikais  ir kt. Priemonė taikoma visiems vaikams,  priemonės trukmė 12-18 mėn.</w:t>
      </w:r>
    </w:p>
    <w:p w:rsidR="008E05AA" w:rsidRDefault="008E05AA" w:rsidP="008E05AA">
      <w:pPr>
        <w:ind w:firstLine="720"/>
        <w:jc w:val="both"/>
      </w:pPr>
      <w:r>
        <w:t xml:space="preserve">Paslaugų punkte Nr. 17 “Priklausomybės nuo opioidų palaikomasis gydymas metadonu ar buprenorfinu (substitucinė terapija)” patvirtinta priemonė: Asmenų iki 18 metų, vyresnių nei 15 metų, pakaitiniam palaikomajam gydymui naudojamas tik buprenorfinas, kuris skiriamas tik ypatingais atvejais (ŽIV, tuberkuliozės, kitų sunkių infekcinių, psichikos ir somatinių susirgimų, nėštumo), kai neefektyvūs kiti gydymo metodai, priemonė taikoma ne mažiau kaip 1 metus. </w:t>
      </w:r>
    </w:p>
    <w:p w:rsidR="008E05AA" w:rsidRDefault="008E05AA" w:rsidP="008E05AA">
      <w:pPr>
        <w:ind w:firstLine="720"/>
        <w:jc w:val="both"/>
      </w:pPr>
      <w:r>
        <w:t xml:space="preserve">Kituose paslaugų punktuose, Priklausomybės nuo alkoholio palaikomasis gydymas, numatytas neišskiriant vaikų  amžiaus.   </w:t>
      </w:r>
    </w:p>
    <w:p w:rsidR="008E05AA" w:rsidRDefault="008E05AA" w:rsidP="008E05AA">
      <w:pPr>
        <w:ind w:firstLine="720"/>
        <w:jc w:val="both"/>
      </w:pPr>
      <w:r>
        <w:t>Be to, šiose pirminio lygio paslaugose numatyta disulfiramo implantacija į raumenis arba poodį, neišskiriant amžiaus.</w:t>
      </w:r>
    </w:p>
    <w:p w:rsidR="008E05AA" w:rsidRDefault="008E05AA" w:rsidP="008E05AA">
      <w:pPr>
        <w:ind w:firstLine="720"/>
        <w:jc w:val="both"/>
      </w:pPr>
      <w:r>
        <w:t>Analogiškos priemonės metadonu ar buprenorfinu taikomos Antrinio lygio paslaugų 9, 10, 11, 18 punktuose.</w:t>
      </w:r>
    </w:p>
    <w:p w:rsidR="008E05AA" w:rsidRDefault="008E05AA" w:rsidP="008E05AA">
      <w:pPr>
        <w:ind w:firstLine="720"/>
        <w:jc w:val="both"/>
      </w:pPr>
      <w:r>
        <w:t xml:space="preserve">Komisija, atkreipdama Sveikatos apsaugos ministro dėmesį į šiuos ir į kitus įsakymo punktus, 2009 m. sausio 28 d. raštu Nr.S-2009-1004 “Dėl Lietuvos Respublikos Sveikatos apsaugos ministro 2008 m. gruodžio 31 d. įsakymo Nr. V-1288 pakeitimo”,  kreipėsi į Sveikatos apsaugos ministrą (kopija išsiųsta Socialinės apsaugos ir darbo ministrui Rimantui Dagiui), prašydama panaikinti Sveikatos apsaugos ministro 2008 m. gruodžio 31 d. įsakymo Nr. V-1288 “Dėl 2009-2012 metų priklausomybės ligų gydymo programos patvirtinimo”  21 punkto 2 papunkčio 21.2.1. punktą, 21 punkto 4 papunktį, 26 punkto 26.1. papunktį, 27 punktą, 38 punkto 1 papunktį,  38 punkto 3 papunktį, 45 punktą, kad nebūtų padaryta esminė žala vaiko gerovei, ir išbraukti 26 punkto 2 papunkčio 26.2.2. punkte žodžius „metadono hidrochloridas“, 38 punkto 3 papunktyje – žodžius „metadono hidrochloridu“,  38 punkto 4 papunktyje – žodžius „metadono hidrochloridu“, kaip galimai proteguojančius vieną medikamentą.   </w:t>
      </w:r>
    </w:p>
    <w:p w:rsidR="008E05AA" w:rsidRDefault="008E05AA" w:rsidP="008E05AA">
      <w:pPr>
        <w:jc w:val="both"/>
      </w:pPr>
      <w:r>
        <w:tab/>
        <w:t>Tačiau, tvirtinant 2009 – 2012 metų priklausomybės ligų gydymo programą, nepaskelbti 2005 – 2008 metų priklausomybės ligų programos pasiekti rodikliai:</w:t>
      </w:r>
    </w:p>
    <w:p w:rsidR="008E05AA" w:rsidRDefault="008E05AA" w:rsidP="008E05AA">
      <w:pPr>
        <w:ind w:firstLine="720"/>
        <w:jc w:val="both"/>
        <w:rPr>
          <w:szCs w:val="22"/>
        </w:rPr>
      </w:pPr>
      <w:r>
        <w:t xml:space="preserve"> – dėl </w:t>
      </w:r>
      <w:r>
        <w:rPr>
          <w:szCs w:val="22"/>
        </w:rPr>
        <w:t xml:space="preserve">naujai išaiškintų pacientų (tame tarpe vaikų) skaičiaus, pasiektų ilgalaikių remisijų (tame tarpe vaikų) skaičiaus, kiek asmenų (vaikų), vartojančių alkoholį ir narkotikus, išrašyti iš įskaitos, kiek vaikų gavo šias paslaugas; </w:t>
      </w:r>
    </w:p>
    <w:p w:rsidR="008E05AA" w:rsidRDefault="008E05AA" w:rsidP="008E05AA">
      <w:pPr>
        <w:ind w:firstLine="720"/>
        <w:jc w:val="both"/>
        <w:rPr>
          <w:szCs w:val="22"/>
        </w:rPr>
      </w:pPr>
      <w:r>
        <w:rPr>
          <w:szCs w:val="22"/>
        </w:rPr>
        <w:t>– kiek pagerinus paslaugų prieinamumą, priklausomybės ligų centruose nuolat padidėjo asmenų (tame tarpe vaikų), gydytų dėl abstinencijos ir priklausomybės sindromo stacionare ir ambulatoriškai, skaičius;</w:t>
      </w:r>
    </w:p>
    <w:p w:rsidR="008E05AA" w:rsidRDefault="008E05AA" w:rsidP="008E05AA">
      <w:pPr>
        <w:ind w:firstLine="720"/>
        <w:jc w:val="both"/>
        <w:rPr>
          <w:szCs w:val="22"/>
        </w:rPr>
      </w:pPr>
      <w:r>
        <w:rPr>
          <w:szCs w:val="22"/>
        </w:rPr>
        <w:t>– kiek daugiau pacientų (tame tarpe vaikų) gydytų bendradarbiaujant su psichikos sveikatos centrais, darbo biržomis, nevyriausybinėmis organizacijomis;</w:t>
      </w:r>
    </w:p>
    <w:p w:rsidR="008E05AA" w:rsidRDefault="008E05AA" w:rsidP="008E05AA">
      <w:pPr>
        <w:ind w:firstLine="720"/>
        <w:jc w:val="both"/>
        <w:rPr>
          <w:szCs w:val="22"/>
        </w:rPr>
      </w:pPr>
      <w:r>
        <w:rPr>
          <w:szCs w:val="22"/>
        </w:rPr>
        <w:t>– ar sumažėjo sergančiųjų (tame tarpe vaikų) priklausomybės ligomis stigmatizacija, ar padaugėjo besikreipiančiųjų medicinos pagalbos;</w:t>
      </w:r>
    </w:p>
    <w:p w:rsidR="008E05AA" w:rsidRDefault="008E05AA" w:rsidP="008E05AA">
      <w:pPr>
        <w:ind w:firstLine="720"/>
        <w:jc w:val="both"/>
        <w:rPr>
          <w:szCs w:val="22"/>
        </w:rPr>
      </w:pPr>
      <w:r>
        <w:rPr>
          <w:szCs w:val="22"/>
        </w:rPr>
        <w:t>– ar pagerinti kiti šalies sveikatos rodikliai (buvo siekta, kad plečiant asmenų, priklausomų nuo alkoholio, gydymą ir reabilitaciją, bus sudarytos prielaidos mažėti alkoholinių psichozių, apsinuodijimų alkoholiu, nelaimingų atsitikimų ir savižudybių skaičiai (tame tarpe vaikų);</w:t>
      </w:r>
    </w:p>
    <w:p w:rsidR="008E05AA" w:rsidRDefault="008E05AA" w:rsidP="008E05AA">
      <w:pPr>
        <w:ind w:firstLine="720"/>
        <w:jc w:val="both"/>
        <w:rPr>
          <w:szCs w:val="22"/>
        </w:rPr>
      </w:pPr>
      <w:r>
        <w:rPr>
          <w:szCs w:val="22"/>
        </w:rPr>
        <w:t>– ar pasiekta, kad pagerinus gydymo prieinamumą asmenims, priklausomiems nuo narkotinių medžiagų, sudarytos prielaidos plėtoti infekcinių ligų (ŽIV/AIDS, hepatitų B ir C) bei mirčių nuo narkotikų perdozavimo profilaktiką, ar pagerinta šių asmenų integraciją į visuomenę, sumažinta socialinė atskirtis (tame tarpe vaikų).</w:t>
      </w:r>
    </w:p>
    <w:p w:rsidR="008E05AA" w:rsidRDefault="008E05AA" w:rsidP="008E05AA">
      <w:pPr>
        <w:ind w:firstLine="720"/>
        <w:jc w:val="both"/>
        <w:rPr>
          <w:szCs w:val="14"/>
        </w:rPr>
      </w:pPr>
      <w:r>
        <w:rPr>
          <w:szCs w:val="22"/>
        </w:rPr>
        <w:t xml:space="preserve">Tik įvertinus </w:t>
      </w:r>
      <w:r>
        <w:t>2005 – 2008 metų</w:t>
      </w:r>
      <w:r>
        <w:rPr>
          <w:szCs w:val="22"/>
        </w:rPr>
        <w:t xml:space="preserve"> vykdytos</w:t>
      </w:r>
      <w:r>
        <w:t xml:space="preserve"> priklausomybės ligų programos rezultatus, galima būtų tvirtinti naują 2009 – 2012 metų priklausomybės ligų programą, kuri turėtų atitikti politines gaires, strategijas, programas ir jų įgyvendinimo priemones (kai kurios veiks net iki 2013 metų). Tai liūdytų, kad valstybėje yra </w:t>
      </w:r>
      <w:r>
        <w:rPr>
          <w:szCs w:val="14"/>
        </w:rPr>
        <w:t xml:space="preserve">daromos nuoseklios reformos, įgyvendinant Jungtinių Tautų vaiko teisių </w:t>
      </w:r>
      <w:r>
        <w:rPr>
          <w:szCs w:val="14"/>
        </w:rPr>
        <w:lastRenderedPageBreak/>
        <w:t>konvenciją ir vaiko gerovės politiką Lietuvoje. Be to, visi įstatymus lydintieji teisės aktai turėtų neprieštarauti jų nuostatoms.</w:t>
      </w:r>
    </w:p>
    <w:p w:rsidR="008E05AA" w:rsidRDefault="008E05AA" w:rsidP="008E05AA">
      <w:pPr>
        <w:ind w:firstLine="720"/>
        <w:jc w:val="both"/>
      </w:pPr>
      <w:r>
        <w:t xml:space="preserve"> Taikant vaikams pirminio ir antrinio lygio paslaugas pagal suaugusiųjų priklausomybės ligų gydymo ir reabilitacijos standartus visose asmens sveikatos priežiūros įstaigose (pirminės asmens ambulatorinės sveikatos priežiūros įstaigose ir psichikos sveikatos centruose) bei s</w:t>
      </w:r>
      <w:r>
        <w:rPr>
          <w:color w:val="000000"/>
          <w:szCs w:val="18"/>
        </w:rPr>
        <w:t xml:space="preserve">tokojant </w:t>
      </w:r>
      <w:r>
        <w:t>kvalifikuotų psichikos sveikatos priežiūros specialistų, ypač rajonuose ir ypač psichologų, vaikų psichiatrų, psichoterapeutų pagalbos, vaikus nuo 15 metų nukreipiant į pakaitinio gydymo (abstinencijos gydymas ir pakaitinis palaikomasis gydymas) pakaitiniais opioidiniais vaistiniais preparatais (metadonu ar buprenorfinu) paslaugas, būtų padaryta esminė žala vaiko sveikatai ir prieštarautų vykdomai vaiko gerovės politikai Lietuvoje, kartu išplėstų narkotikų vartotojų ratą.</w:t>
      </w:r>
    </w:p>
    <w:p w:rsidR="008E05AA" w:rsidRDefault="008E05AA" w:rsidP="008E05AA">
      <w:pPr>
        <w:pStyle w:val="Pagrindinistekstas"/>
        <w:rPr>
          <w:lang w:val="en-US"/>
        </w:rPr>
      </w:pPr>
      <w:r>
        <w:t xml:space="preserve"> </w:t>
      </w:r>
      <w:r>
        <w:tab/>
        <w:t xml:space="preserve"> </w:t>
      </w:r>
      <w:r>
        <w:rPr>
          <w:lang w:val="en-US"/>
        </w:rPr>
        <w:t xml:space="preserve">Iki šiol nėra patvirtintos vaikų, vartojančių psichiką veikiančias medžiagas, gydymo metodikos ir šiuo metu vaikams taikomi Priklausomybės ligų gydymo ir reabilitacijos standartai bei pirminio ir antrinio lygio paslaugos (net buprenorfinu) yra neteisėtos. </w:t>
      </w:r>
    </w:p>
    <w:p w:rsidR="008E05AA" w:rsidRDefault="008E05AA" w:rsidP="008E05AA">
      <w:pPr>
        <w:ind w:firstLine="720"/>
        <w:jc w:val="both"/>
      </w:pPr>
      <w:r>
        <w:t xml:space="preserve">Narkotikų kontrolės departamentas prie Lietuvos Respublikos Vyriausybės yra Lietuvos Respublikos Vyriausybės įstaiga, kurios uždavinys įgyvendinti valstybės politiką narkotikų kontrolės ir narkomanijos prevencijos srityse – užtikrinti narkotinių ir psichotropinių medžiagų paklausos ir pasiūlos mažinimo priemonių įgyvendinimą ir pagal kompetenciją spręsti klausimus, susijusius su Lietuvos Respublikos valstybės formuojama narkotikų kontrolės ir narkomanijos prevencijos politika, siūlyti jos tobulinimo kryptis.      </w:t>
      </w:r>
    </w:p>
    <w:p w:rsidR="008E05AA" w:rsidRDefault="008E05AA" w:rsidP="008E05AA">
      <w:pPr>
        <w:pStyle w:val="Pagrindinistekstas"/>
        <w:rPr>
          <w:lang w:val="en-US"/>
        </w:rPr>
      </w:pPr>
      <w:r>
        <w:rPr>
          <w:lang w:val="en-US"/>
        </w:rPr>
        <w:t xml:space="preserve">  </w:t>
      </w:r>
      <w:r>
        <w:rPr>
          <w:lang w:val="en-US"/>
        </w:rPr>
        <w:tab/>
        <w:t>Narkotikų kontrolės departamentas prie Lietuvos Respublikos Vyriausybės neužtikrino, kad Vaikų, vartojančių psichiką veikiančias medžiagas, gydymo metodika būtų patvirtinta.</w:t>
      </w:r>
    </w:p>
    <w:p w:rsidR="008E05AA" w:rsidRDefault="008E05AA" w:rsidP="008E05AA">
      <w:pPr>
        <w:ind w:firstLine="720"/>
        <w:jc w:val="both"/>
      </w:pPr>
      <w:r>
        <w:t xml:space="preserve">Lietuvos Respublikos Vyriausybės  2007 m. spalio 2 d. nutarimu Nr. </w:t>
      </w:r>
      <w:r>
        <w:rPr>
          <w:b/>
          <w:bCs/>
        </w:rPr>
        <w:t xml:space="preserve">1071 </w:t>
      </w:r>
      <w:r>
        <w:t xml:space="preserve">“Dėl Lietuvos Respublikos Vyriausybės 2002 m. balandžio 2 d. nutarimo Nr. 437 “Dėl ankstyvo vaikų (moksleivių) psichiką veikiančių medžiagų vartojimo nustatymo tvarkos patvirtinimo” pakeitimo” (Žin., 2002, Nr. 35 – 1305; 2007, Nr. 107 – 4379), patvirtintas Vaikų, vartojančių narkotines, psichotropines, kitas psichiką veikiančias medžiagas, nustatymo organizavimo tvarkos aprašas pradinėse pagrindinėse, vidurinėse, profesinėse mokyklose, vaikų globos įstaigose ir viešosiose vietose.  </w:t>
      </w:r>
    </w:p>
    <w:p w:rsidR="008E05AA" w:rsidRDefault="008E05AA" w:rsidP="008E05AA">
      <w:pPr>
        <w:ind w:firstLine="720"/>
        <w:jc w:val="both"/>
        <w:rPr>
          <w:szCs w:val="22"/>
        </w:rPr>
      </w:pPr>
      <w:r>
        <w:rPr>
          <w:szCs w:val="22"/>
        </w:rPr>
        <w:t xml:space="preserve">Dėl vaikų, vartojančių narkotines, psichotropines, kitas psichiką veikiančias medžiagas, mokyklose numatyta, kad   mokyklos pedagoginiai darbuotojai, įtarę, kad jų mokyklą lankantis vaikas mokyklos teritorijoje vartoja narkotines, psichotropines, kitas psichiką veikiančias medžiagas, yra apsvaigęs nuo šių medžiagų, nedelsdami informuoja apie tai mokyklos vadovą ar jo įgaliotus asmenis, taip pat visuomenės sveikatos priežiūros specialistą, vykdantį sveikatos priežiūrą mokykloje. </w:t>
      </w:r>
    </w:p>
    <w:p w:rsidR="008E05AA" w:rsidRDefault="008E05AA" w:rsidP="008E05AA">
      <w:pPr>
        <w:ind w:firstLine="720"/>
        <w:jc w:val="both"/>
        <w:rPr>
          <w:szCs w:val="22"/>
        </w:rPr>
      </w:pPr>
      <w:r>
        <w:rPr>
          <w:szCs w:val="14"/>
        </w:rPr>
        <w:t> </w:t>
      </w:r>
      <w:r>
        <w:rPr>
          <w:szCs w:val="22"/>
        </w:rPr>
        <w:t xml:space="preserve">Mokyklos vadovas ar jo įgalioti asmenys, nedelsdami informuoja vaiko atstovus pagal įstatymą apie įtarimą, kad jis vartoja narkotines, psichotropines, kitas psichiką veikiančias medžiagas, yra apsvaigęs nuo šių medžiagų ir kad jam reikėtų atlikti medicininę apžiūrą; informuoja vaiką, vaiko atstovus pagal įstatymą apie asmens sveikatos priežiūros įstaigas, teikiančias sveikatos priežiūros paslaugas; </w:t>
      </w:r>
      <w:r>
        <w:rPr>
          <w:szCs w:val="14"/>
        </w:rPr>
        <w:t xml:space="preserve"> </w:t>
      </w:r>
      <w:r>
        <w:rPr>
          <w:szCs w:val="22"/>
        </w:rPr>
        <w:t xml:space="preserve">informuoja vaiką, vaiko atstovus pagal įstatymą apie institucijas, įstaigas, organizacijas, teikiančias psichologinę, socialinę, teisinę ar kitą pagalbą. </w:t>
      </w:r>
    </w:p>
    <w:p w:rsidR="008E05AA" w:rsidRDefault="008E05AA" w:rsidP="008E05AA">
      <w:pPr>
        <w:ind w:firstLine="720"/>
        <w:jc w:val="both"/>
        <w:rPr>
          <w:szCs w:val="14"/>
        </w:rPr>
      </w:pPr>
      <w:r>
        <w:rPr>
          <w:szCs w:val="22"/>
        </w:rPr>
        <w:t>Mokyklos pedagoginiai darbuotojai, įtarę, kad jų mokyklą lankantis vaikas mokyklos teritorijoje yra apsinuodijęs narkotinėmis, psichotropinėmis, kitomis psichiką veikiančiomis medžiagomis ir jo sveikatai ar gyvybei gresia pavojus:</w:t>
      </w:r>
      <w:r>
        <w:rPr>
          <w:szCs w:val="14"/>
        </w:rPr>
        <w:t xml:space="preserve"> </w:t>
      </w:r>
    </w:p>
    <w:p w:rsidR="008E05AA" w:rsidRDefault="008E05AA" w:rsidP="008E05AA">
      <w:pPr>
        <w:ind w:firstLine="720"/>
        <w:jc w:val="both"/>
        <w:rPr>
          <w:szCs w:val="22"/>
        </w:rPr>
      </w:pPr>
      <w:r>
        <w:rPr>
          <w:szCs w:val="22"/>
        </w:rPr>
        <w:t>– suteikia vaikui pirmąją pagalbą;</w:t>
      </w:r>
    </w:p>
    <w:p w:rsidR="008E05AA" w:rsidRDefault="008E05AA" w:rsidP="008E05AA">
      <w:pPr>
        <w:ind w:firstLine="720"/>
        <w:jc w:val="both"/>
        <w:rPr>
          <w:szCs w:val="22"/>
        </w:rPr>
      </w:pPr>
      <w:r>
        <w:rPr>
          <w:szCs w:val="22"/>
        </w:rPr>
        <w:t>– nedelsdami organizuoja vaiko pristatymą į asmens sveikatos priežiūros įstaigą, o kai reikia skubios medicinos pagalbos, kviečia greitąją medicinos pagalbą;</w:t>
      </w:r>
    </w:p>
    <w:p w:rsidR="008E05AA" w:rsidRDefault="008E05AA" w:rsidP="008E05AA">
      <w:pPr>
        <w:ind w:firstLine="720"/>
        <w:jc w:val="both"/>
        <w:rPr>
          <w:szCs w:val="22"/>
        </w:rPr>
      </w:pPr>
      <w:r>
        <w:rPr>
          <w:szCs w:val="22"/>
        </w:rPr>
        <w:t>– nedelsdami informuoja apie tai mokyklos vadovą ar jo įgaliotus asmenis, taip pat visuomenės sveikatos priežiūros specialistą, vykdantį sveikatos priežiūrą mokykloje.</w:t>
      </w:r>
    </w:p>
    <w:p w:rsidR="008E05AA" w:rsidRDefault="008E05AA" w:rsidP="008E05AA">
      <w:pPr>
        <w:ind w:firstLine="720"/>
        <w:jc w:val="both"/>
      </w:pPr>
      <w:r>
        <w:rPr>
          <w:szCs w:val="14"/>
        </w:rPr>
        <w:t xml:space="preserve"> </w:t>
      </w:r>
      <w:r>
        <w:rPr>
          <w:szCs w:val="22"/>
        </w:rPr>
        <w:t>Mokyklos vadovas ar jo įgalioti asmenys apie įtarimą, kad vaikas yra apsinuodijęs narkotinėmis, psichotropinėmis, kitomis psichiką veikiančiomis medžiagomis ir jo sveikatai ir gyvybei gresia pavojus, skubiai informuoja apie tai vaiko atstovus pagal įstatymą.</w:t>
      </w:r>
    </w:p>
    <w:p w:rsidR="008E05AA" w:rsidRDefault="008E05AA" w:rsidP="008E05AA">
      <w:pPr>
        <w:ind w:firstLine="720"/>
        <w:jc w:val="both"/>
        <w:rPr>
          <w:szCs w:val="22"/>
        </w:rPr>
      </w:pPr>
      <w:r>
        <w:rPr>
          <w:szCs w:val="22"/>
        </w:rPr>
        <w:t>Mokyklų vadovai jų vadovaujamose įstaigose:</w:t>
      </w:r>
    </w:p>
    <w:p w:rsidR="008E05AA" w:rsidRDefault="008E05AA" w:rsidP="008E05AA">
      <w:pPr>
        <w:jc w:val="both"/>
        <w:rPr>
          <w:szCs w:val="22"/>
        </w:rPr>
      </w:pPr>
      <w:r>
        <w:rPr>
          <w:szCs w:val="14"/>
        </w:rPr>
        <w:t> </w:t>
      </w:r>
      <w:r>
        <w:rPr>
          <w:szCs w:val="14"/>
        </w:rPr>
        <w:tab/>
        <w:t xml:space="preserve">– </w:t>
      </w:r>
      <w:r>
        <w:rPr>
          <w:szCs w:val="22"/>
        </w:rPr>
        <w:t xml:space="preserve">užtikrina, kad būtų įgyvendinama narkotinių, psichotropinių, kitų psichiką veikiančių medžiagų vartojimo prevencija, ankstyvoji intervencija, skirta vaikams, vartojantiems narkotines, psichotropines, kitas psichiką veikiančias medžiagas, teikiama pagalba vaikams, vartojantiems šias medžiagas, plėtojamas įstaigų tarpusavio bendradarbiavimas su vaiko teisių apsaugos tarnybomis, teisėsaugos, sveikatos priežiūros ir reabilitacijos įstaigomis ir  supažindina darbuotojus ir vaikus su šio Aprašo nuostatomis. </w:t>
      </w:r>
    </w:p>
    <w:p w:rsidR="008E05AA" w:rsidRDefault="008E05AA" w:rsidP="008E05AA">
      <w:pPr>
        <w:ind w:firstLine="720"/>
        <w:jc w:val="both"/>
      </w:pPr>
      <w:r>
        <w:rPr>
          <w:szCs w:val="22"/>
        </w:rPr>
        <w:lastRenderedPageBreak/>
        <w:t>Visuomenės sveikatos priežiūros specialistas, vykdantis sveikatos priežiūrą mokykloje, savo darbe vadovaujasi Lietuvos Respublikos įstatymais, Sveikatos priežiūros mokykloje tvarkos aprašu, patvirtintu sveikatos apsaugos ministro ir švietimo ir mokslo ministro 2005 m. gruodžio 30 d. įsakymu Nr. V-1035/ISAK-2680 (Žin., 2005, Nr. 153 - 5657), kitais šio specialisto teises ir pareigas nustatančiais teisės aktais.</w:t>
      </w:r>
    </w:p>
    <w:p w:rsidR="008E05AA" w:rsidRDefault="008E05AA" w:rsidP="008E05AA">
      <w:pPr>
        <w:ind w:firstLine="720"/>
        <w:jc w:val="both"/>
      </w:pPr>
      <w:r>
        <w:rPr>
          <w:szCs w:val="22"/>
        </w:rPr>
        <w:t>Dėl vaikų, vartojančių narkotines, psichotropines, kitas psichiką veikiančias medžiagas, vaikų globos (rūpybos) įstaigose, vaikų globos (rūpybos) įstaigos darbuotojai, įtarę, kad jų globojamas (rūpinamas) vaikas vartoja narkotines, psichotropines, kitas psichiką veikiančias medžiagas, yra apsvaigęs nuo šių medžiagų, nedelsdami informuoja apie tai globos įstaigos vadovą ar jo įgaliotus asmenis, taip pat sveikatos priežiūros specialistą (jeigu globos įstaigoje teikiamos sveikatos priežiūros paslaugos).</w:t>
      </w:r>
    </w:p>
    <w:p w:rsidR="008E05AA" w:rsidRDefault="008E05AA" w:rsidP="008E05AA">
      <w:pPr>
        <w:ind w:firstLine="720"/>
        <w:jc w:val="both"/>
      </w:pPr>
      <w:r>
        <w:rPr>
          <w:szCs w:val="22"/>
        </w:rPr>
        <w:t>Globos įstaigos vadovas ar jo įgalioti asmenys, esant šio Aprašo 10 punkte nurodytoms aplinkybėms, organizuoja, kad vaikui būtų atlikta medicininė apžiūra, suteiktos kitos sveikatos priežiūros paslaugos ir suteikta psichologinė, socialinė, kita reikiama pagalba.</w:t>
      </w:r>
    </w:p>
    <w:p w:rsidR="008E05AA" w:rsidRDefault="008E05AA" w:rsidP="008E05AA">
      <w:pPr>
        <w:ind w:firstLine="720"/>
        <w:jc w:val="both"/>
      </w:pPr>
      <w:r>
        <w:rPr>
          <w:szCs w:val="14"/>
        </w:rPr>
        <w:t xml:space="preserve"> </w:t>
      </w:r>
      <w:r>
        <w:rPr>
          <w:szCs w:val="22"/>
        </w:rPr>
        <w:t>Globos įstaigos darbuotojai, įtarę, kad jų globojamas (rūpinamas) vaikas apsinuodijęs narkotinėmis, psichotropinėmis, kitomis psichiką veikiančiomis medžiagomis ir jo sveikatai ar gyvybei gresia pavojus:</w:t>
      </w:r>
    </w:p>
    <w:p w:rsidR="008E05AA" w:rsidRDefault="008E05AA" w:rsidP="008E05AA">
      <w:pPr>
        <w:jc w:val="both"/>
      </w:pPr>
      <w:r>
        <w:rPr>
          <w:szCs w:val="14"/>
        </w:rPr>
        <w:t xml:space="preserve"> </w:t>
      </w:r>
      <w:r>
        <w:rPr>
          <w:szCs w:val="14"/>
        </w:rPr>
        <w:tab/>
        <w:t xml:space="preserve">– </w:t>
      </w:r>
      <w:r>
        <w:rPr>
          <w:szCs w:val="22"/>
        </w:rPr>
        <w:t>suteikia vaikui pirmąją pagalbą;</w:t>
      </w:r>
    </w:p>
    <w:p w:rsidR="008E05AA" w:rsidRDefault="008E05AA" w:rsidP="008E05AA">
      <w:pPr>
        <w:ind w:firstLine="720"/>
        <w:jc w:val="both"/>
      </w:pPr>
      <w:r>
        <w:rPr>
          <w:szCs w:val="22"/>
        </w:rPr>
        <w:t>– nedelsdami organizuoja vaiko pristatymą į asmens sveikatos priežiūros įstaigą, o kai reikia skubios medicinos pagalbos, kviečia greitąją medicinos pagalbą;</w:t>
      </w:r>
    </w:p>
    <w:p w:rsidR="008E05AA" w:rsidRDefault="008E05AA" w:rsidP="008E05AA">
      <w:pPr>
        <w:ind w:firstLine="720"/>
        <w:jc w:val="both"/>
      </w:pPr>
      <w:r>
        <w:rPr>
          <w:szCs w:val="22"/>
        </w:rPr>
        <w:t>– nedelsdami informuoja apie tai globos įstaigos vadovą ar jo įgaliotus asmenis, taip pat sveikatos priežiūros specialistą (jeigu globos įstaigoje teikiamos sveikatos priežiūros paslaugos).</w:t>
      </w:r>
    </w:p>
    <w:p w:rsidR="008E05AA" w:rsidRDefault="008E05AA" w:rsidP="008E05AA">
      <w:pPr>
        <w:ind w:firstLine="720"/>
        <w:jc w:val="both"/>
      </w:pPr>
      <w:r>
        <w:rPr>
          <w:szCs w:val="22"/>
        </w:rPr>
        <w:t>Globos įstaigų vadovai jų vadovaujamose įstaigose užtikrina, kad būtų įgyvendinama narkotinių, psichotropinių, kitų psichiką veikiančių medžiagų vartojimo prevencija, ankstyvoji intervencija, skirta vaikams, vartojantiems narkotines, psichotropines, kitas psichiką veikiančias medžiagas, teikiama pagalba vaikams, vartojantiems šias medžiagas, plėtojamas įstaigų tarpusavio bendradarbiavimas su vaiko teisių apsaugos tarnybomis, teisėsaugos, sveikatos priežiūros ir reabilitacijos įstaigomis ir supažindina darbuotojus ir vaikus su šio Aprašo nuostatomis.</w:t>
      </w:r>
    </w:p>
    <w:p w:rsidR="008E05AA" w:rsidRDefault="008E05AA" w:rsidP="008E05AA">
      <w:pPr>
        <w:ind w:firstLine="720"/>
        <w:jc w:val="both"/>
      </w:pPr>
      <w:r>
        <w:rPr>
          <w:szCs w:val="22"/>
        </w:rPr>
        <w:t> Dėl vartojančių narkotines, psichotropines, kitas psichiką veikiančias medžiagas, viešosiose vietose nustatyta, kad  v</w:t>
      </w:r>
      <w:r>
        <w:rPr>
          <w:spacing w:val="-2"/>
          <w:szCs w:val="22"/>
        </w:rPr>
        <w:t>aikų, vartojančių narkotines, psichotropines, kitas psichiką veikiančias medžiagas,</w:t>
      </w:r>
      <w:r>
        <w:rPr>
          <w:szCs w:val="22"/>
        </w:rPr>
        <w:t xml:space="preserve"> nustatymą viešosiose vietose organizuoja ir vykdo policijos pareigūnai, vadovaudamiesi Lietuvos Respublikos policijos veiklos įstatymu (Žin., 2000, Nr.90-2777), Transporto priemones vairuojančių ir kitų asmenų neblaivumo (girtumo) ar apsvaigimo nustatymo taisyklėmis, patvirtintomis Lietuvos Respublikos Vyriausybės 2006 m. gegužės 12 d. nutarimu Nr. 452 (Žin., 2006, Nr.56-2000), </w:t>
      </w:r>
      <w:r>
        <w:rPr>
          <w:caps/>
          <w:szCs w:val="22"/>
        </w:rPr>
        <w:t>m</w:t>
      </w:r>
      <w:r>
        <w:rPr>
          <w:szCs w:val="22"/>
        </w:rPr>
        <w:t xml:space="preserve">edicininės apžiūros neblaivumui (girtumui) ar apsvaigimui nuo psichiką veikiančių medžiagų nustatyti atlikimo ir </w:t>
      </w:r>
      <w:r>
        <w:rPr>
          <w:caps/>
          <w:szCs w:val="22"/>
        </w:rPr>
        <w:t>b</w:t>
      </w:r>
      <w:r>
        <w:rPr>
          <w:szCs w:val="22"/>
        </w:rPr>
        <w:t>endros asmens būklės įvertinimo metodikomis, patvirtintomis sveikatos apsaugos ministro 2006 m. birželio 20 d. įsakymu Nr. V-505 (Žin., 2006, Nr.71-2641</w:t>
      </w:r>
      <w:r>
        <w:rPr>
          <w:color w:val="000000"/>
          <w:szCs w:val="22"/>
        </w:rPr>
        <w:t xml:space="preserve">), </w:t>
      </w:r>
      <w:r>
        <w:rPr>
          <w:szCs w:val="22"/>
        </w:rPr>
        <w:t>kitais policijos pareigūnų veiklą reglamentuojančiais teisės aktais.</w:t>
      </w:r>
    </w:p>
    <w:p w:rsidR="008E05AA" w:rsidRDefault="008E05AA" w:rsidP="008E05AA">
      <w:pPr>
        <w:ind w:firstLine="720"/>
        <w:jc w:val="both"/>
      </w:pPr>
      <w:r>
        <w:rPr>
          <w:szCs w:val="22"/>
        </w:rPr>
        <w:t>Policijos pareigūnai, įtarę, kad viešojoje vietoje vaikas vartoja narkotines, psichotropines, kitas psichiką veikiančias medžiagas ar (ir) yra apsvaigęs nuo šių medžiagų:</w:t>
      </w:r>
    </w:p>
    <w:p w:rsidR="008E05AA" w:rsidRDefault="008E05AA" w:rsidP="008E05AA">
      <w:pPr>
        <w:ind w:firstLine="720"/>
        <w:jc w:val="both"/>
      </w:pPr>
      <w:r>
        <w:rPr>
          <w:szCs w:val="14"/>
        </w:rPr>
        <w:t xml:space="preserve">–  </w:t>
      </w:r>
      <w:r>
        <w:rPr>
          <w:szCs w:val="22"/>
        </w:rPr>
        <w:t>nedelsdami informuoja apie tai vaiko atstovus pagal įstatymą;</w:t>
      </w:r>
    </w:p>
    <w:p w:rsidR="008E05AA" w:rsidRDefault="008E05AA" w:rsidP="008E05AA">
      <w:pPr>
        <w:jc w:val="both"/>
      </w:pPr>
      <w:r>
        <w:rPr>
          <w:szCs w:val="22"/>
        </w:rPr>
        <w:t>organizuoja, kad vaikui būtų atlikta medicininė apžiūra ir suteiktos sveikatos priežiūros paslaugos.</w:t>
      </w:r>
    </w:p>
    <w:p w:rsidR="008E05AA" w:rsidRDefault="008E05AA" w:rsidP="008E05AA">
      <w:pPr>
        <w:ind w:firstLine="720"/>
        <w:jc w:val="both"/>
      </w:pPr>
      <w:r>
        <w:rPr>
          <w:spacing w:val="-2"/>
          <w:szCs w:val="22"/>
        </w:rPr>
        <w:t>Policijos pareigūnai, įtarę, kad vaikas apsinuodijęs narkotinėmis, psichotropinėmis</w:t>
      </w:r>
      <w:r>
        <w:rPr>
          <w:szCs w:val="22"/>
        </w:rPr>
        <w:t>, kitomis psichiką veikiančiomis medžiagomis ir jo sveikatai ar gyvybei gresia pavojus:</w:t>
      </w:r>
    </w:p>
    <w:p w:rsidR="008E05AA" w:rsidRDefault="008E05AA" w:rsidP="008E05AA">
      <w:pPr>
        <w:jc w:val="both"/>
      </w:pPr>
      <w:r>
        <w:rPr>
          <w:szCs w:val="14"/>
        </w:rPr>
        <w:t xml:space="preserve"> </w:t>
      </w:r>
      <w:r>
        <w:rPr>
          <w:szCs w:val="22"/>
        </w:rPr>
        <w:t>suteikia vaikui pirmąją pagalbą;</w:t>
      </w:r>
    </w:p>
    <w:p w:rsidR="008E05AA" w:rsidRDefault="008E05AA" w:rsidP="008E05AA">
      <w:pPr>
        <w:ind w:firstLine="720"/>
        <w:jc w:val="both"/>
      </w:pPr>
      <w:r>
        <w:rPr>
          <w:szCs w:val="22"/>
        </w:rPr>
        <w:t>– organizuoja vaiko pristatymą į asmens sveikatos priežiūros įstaigą, o kai reikia skubios medicinos pagalbos, kviečia greitąją medicinos pagalbą arba nedelsdami patys pristato vaiką į asmens sveikatos priežiūros įstaigą;</w:t>
      </w:r>
    </w:p>
    <w:p w:rsidR="008E05AA" w:rsidRDefault="008E05AA" w:rsidP="008E05AA">
      <w:pPr>
        <w:ind w:firstLine="720"/>
        <w:jc w:val="both"/>
      </w:pPr>
      <w:r>
        <w:rPr>
          <w:szCs w:val="22"/>
        </w:rPr>
        <w:t>– nedelsdami informuoja vaiko atstovus pagal įstatymą, kad vaikas apsinuodijęs ar įtariamas apsinuodijęs narkotinėmis, psichotropinėmis, kitomis psichiką veikiančiomis medžiagomis ir jo sveikatai ar gyvybei gresia pavojus.</w:t>
      </w:r>
    </w:p>
    <w:p w:rsidR="008E05AA" w:rsidRDefault="008E05AA" w:rsidP="008E05AA">
      <w:pPr>
        <w:ind w:firstLine="720"/>
        <w:jc w:val="both"/>
      </w:pPr>
      <w:r>
        <w:t>Asmens sveikatos priežiūros specialistai, nustatę, kad vaikas vartoja narkotines, psichotropines, kitas psichiką veikiančias medžiagas, yra apsvaigęs nuo šių medžiagų, informuoja vaiką ir jo atstovus pagal įstatymą apie tai ir apie institucijas, įstaigas, organizacijas, teikiančias atitinkamą medicininę, psichologinę, socialinę, teisinę pagalbą.</w:t>
      </w:r>
    </w:p>
    <w:p w:rsidR="008E05AA" w:rsidRDefault="008E05AA" w:rsidP="008E05AA">
      <w:pPr>
        <w:ind w:firstLine="720"/>
        <w:jc w:val="both"/>
      </w:pPr>
      <w:r>
        <w:lastRenderedPageBreak/>
        <w:t>Įgyvendinant Lietuvos Respublikos Nuodingųjų medžiagų kontrolės įstatymo (Žin., 2001, Nr. 64-2330) nuostatas,  Sveikatos apsaugos ministras įsakymu “Dėl informacijos, susijusios su žmonių apsinuodijimais ir jų specifine profilaktika , kaupimo ir teikimo” (Žin., 2001, Nr. 102-3641) įpareigojo asmens sveikatos priežiūros įstaigas teikti, o Valstybiniam aplinkos sveikatos centro Apsinuodijimų kontrolės ir informacijos biurui ( toliau – Apsinuodijimų kontrolės ir informacijos biuras) pavedė rinkti informaciją apie  cheminius nudegimus, apsinuodijimus narkotinėmis ir psichotropinėmis medžiagomis, vaistais ir biologinėmis medžiagomis, nemedicininės paskirties medžiagų toksinį poveikį, cheminio nudegimo ir apsinuodijimo padarinius bei apsinuodijimus kitomis nuodingosiomis medžiagomis, įrašytomis į Nuodingųjų medžiagų pagal jų toksiškumą sąrašą, patvirtintą sveikatos apsaugos ministro 2004 m. gruodžio 30 d. Įsakymu Nr. V-975 “Dėl Nuodingųjų medžiagų pagal jų toksiškumą sąrašo patvirtinimo”.</w:t>
      </w:r>
    </w:p>
    <w:p w:rsidR="008E05AA" w:rsidRDefault="008E05AA" w:rsidP="008E05AA">
      <w:pPr>
        <w:ind w:firstLine="720"/>
        <w:jc w:val="both"/>
        <w:rPr>
          <w:bCs/>
        </w:rPr>
      </w:pPr>
      <w:r>
        <w:rPr>
          <w:bCs/>
        </w:rPr>
        <w:t xml:space="preserve">Vadovaujantis Sveikatos apsaugos ministro 2003 m. spalio 8 d. įsakymu Nr. V- </w:t>
      </w:r>
      <w:r>
        <w:rPr>
          <w:b/>
        </w:rPr>
        <w:t xml:space="preserve">597 </w:t>
      </w:r>
      <w:r>
        <w:rPr>
          <w:bCs/>
        </w:rPr>
        <w:t>“Dėl informacijos, susijusios su žmonių apsinuodijimais ir jų specifine profilaktika , kaupimo ir teikimo” (Žin., 2003, Nr. 99-4459) bei šio įsakymo pakeitimo  2005 m. rugpjūčio 12 d. įsakymu Nr. V- 650 (Žin., 2005, Nr. 101-3762) renkama informacija tik apie  apsinuodijimus nuodingosiomis medžiagomis, įrašytomis į Nuodingųjų medžiagų pagal jų toksiškumą sąrašą, kuris  patvirtintas  Sveikatos apsaugos ministro 2004 m. gruodžio 30 d. įsakymu Nr. V-975 “Dėl Nuodingųjų medžiagų pagal jų toksiškumą sąrašo patvirtinimo” (V.Ž., 2005, Nr. 3-47) ir šie duomenys neapima visų su priklausomybės ligomis susijusių apsinuodijimų atvejų.</w:t>
      </w:r>
    </w:p>
    <w:p w:rsidR="008E05AA" w:rsidRDefault="008E05AA" w:rsidP="008E05AA">
      <w:pPr>
        <w:ind w:firstLine="720"/>
      </w:pPr>
      <w:r>
        <w:t>Pagal šį įsakymą Valstybiniame aplinkos sveikatos centre yra kaupiama  ir analizuojama tik minėtame ministro įsakyme nurodyta informacija. Pateikti skaičiai neapima visų su priklausomybės ligomis susijusių apsinuodijimų atvejų.</w:t>
      </w:r>
    </w:p>
    <w:p w:rsidR="008E05AA" w:rsidRDefault="008E05AA" w:rsidP="008E05AA">
      <w:pPr>
        <w:ind w:firstLine="720"/>
        <w:jc w:val="both"/>
      </w:pPr>
      <w:r>
        <w:t xml:space="preserve">Statistinė informacija apie vaikų apsinuodijimus pagal atitinkamus rodiklius pradėta rinkti nuo 2005 metų. Ją kaupia ir apibendrina Statistikos departamentas prie Lietuvos Respublikos Vyriausybės. </w:t>
      </w:r>
    </w:p>
    <w:p w:rsidR="008E05AA" w:rsidRDefault="008E05AA" w:rsidP="008E05AA">
      <w:pPr>
        <w:ind w:firstLine="720"/>
        <w:jc w:val="both"/>
      </w:pPr>
      <w:r>
        <w:t>2008 metais tiriant apsinuodijimus alkoholiu, narkotinėmis, psichotropinėmis ir kitomis medžiagomis atvejus, Narkomanijos prevencijos komisija nustatė, kad Lietuvoje nėra vieningos ir išsamios informacijos apie apsinuodijimus alkoholiu, narkotinėmis, psichotropinėmis ir kitomis nuodingosiomis medžiagomis. Lietuvoje yra vaikų, piktnaudžiaujančių alkoholiu, narkotinėmis ir kitomis psichotropinėmis medžiagomis, kuriems būtinas gydymas ir  reabilitacija. Stacionarinėse Asmens sveikatos priežiūros įstaigose gydytų (daugiau nei 97 proc.) psichiką veikiančiomis medžiagomis piktnaudžiaujančių vaikų yra 13 – 18 metų amžiaus. Valstybinės ligonių kasos duomenimis 2007 metais dviem vaikams, jaunesniems nei 10 m. amžiaus, stacionarines paslaugas teikiančiose ASPĮ buvo diagnozuota priklausomybė raminančioms medžiagoms ir alkoholiui. 91 proc. vaikų, apsinuodijusių psichiką veikiančiomis medžiagomis, buvo sulaukę 13 metų. Dažniausiai asmenys iki 18 metų kreipėsi dėl apsinuodijimų  sintetiniais narkotikais, kanapėmis, ir haliucinogenais, 20 atvejų (35 proc.) teiktos reanimacijos paslaugos. Analizuojant psichikos ir elgesio sutrikimų vartojant psichiką veikiančias medžiagas paplitimą nustatyta, kad 2007 m. stacionarines paslaugas teikiančiose ASPĮ dėl šių sutrikimų buvo gydyti 84 vaikai. Bendras apsinuodijimų narkotikais ir haliucinogenais skaičius 2007 m. Lietuvoje išaugo 18 proc. Tarp visų narkotinėmis ir psichotropinėmis medžiagomis apsinuodijusių asmenų beveik 80 proc. buvo 15 – 34 m. amžiaus. 2007 m. analizuojant priklausomybę kitoms psichiką veikiančioms medžiagoms padaugėjo asmenų į asmens sveikatos priežiūros įstaigas (toliau – ASPĮ) besikreipusių tik dėl priklausomybės raminančioms (F13) ir lakioms (F18) medžiagoms. 2007 m. daugiau nei pusei (58 proc.) dėl apsinuodijimo alkoholiais ligoninėse gydytų pacientams nebuvo identifikuota apsinuodijimą sukėlusi medžiaga (T51.9), t.y. juos gydę asmens sveikatos priežiūros specialistai neturėjo galimybės tiksliai nustatyti sveikatos sutrikimus sukėlusio alkoholio. Panaši situaciją ir apsinuodijus narkotikais bei haliucinogenais. Tokia situacija sietina su keletu priežasčių: nepakankama informacija iš paciento ar jo artimųjų bei galimybių laboratoriškai identifikuoti alkoholio surogatus paciento kraujyje ar šlapime stoka. 2006 metais tokių atvejų buvo 273.</w:t>
      </w:r>
    </w:p>
    <w:p w:rsidR="008E05AA" w:rsidRDefault="008E05AA" w:rsidP="008E05AA">
      <w:pPr>
        <w:ind w:firstLine="720"/>
        <w:jc w:val="both"/>
      </w:pPr>
      <w:r>
        <w:t xml:space="preserve"> Kaip ir apsinuodijimų narkotikais, taip ir apsinuodijimų alkoholiais atveju apsinuodijimai šiomis medžiagomis vaikų tarpe yra ganėtinai dažni.</w:t>
      </w:r>
    </w:p>
    <w:p w:rsidR="008E05AA" w:rsidRDefault="008E05AA" w:rsidP="008E05AA">
      <w:pPr>
        <w:ind w:firstLine="720"/>
        <w:jc w:val="both"/>
      </w:pPr>
      <w:r>
        <w:t>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w:t>
      </w:r>
    </w:p>
    <w:p w:rsidR="008E05AA" w:rsidRDefault="008E05AA" w:rsidP="008E05AA">
      <w:pPr>
        <w:pStyle w:val="Pagrindiniotekstotrauka2"/>
        <w:spacing w:line="240" w:lineRule="auto"/>
        <w:rPr>
          <w:szCs w:val="20"/>
        </w:rPr>
      </w:pPr>
      <w:r>
        <w:rPr>
          <w:szCs w:val="20"/>
        </w:rPr>
        <w:t xml:space="preserve"> 2008 metais Lietuvos Respublikos Vyriausybei buvo pasiūlyta:</w:t>
      </w:r>
    </w:p>
    <w:p w:rsidR="008E05AA" w:rsidRDefault="008E05AA" w:rsidP="008E05AA">
      <w:pPr>
        <w:ind w:firstLine="720"/>
        <w:jc w:val="both"/>
      </w:pPr>
      <w:r>
        <w:lastRenderedPageBreak/>
        <w:t>1.Sukurti Lietuvoje visoms institucijoms vieningą sistemą kaupti, identifikuoti ir sisteminti visus duomenis pagal statistinės apskaitos formas apie apsinuodijusių asmenų ir apsinuodijimų alkoholiu, narkotinėmis, psichotropinėmis ir kitomis nuodingomis medžiagomis, bei apie asmenų, priklausomų nuo alkoholio, narkotinių ir psichotropinių medžiagų, skaičių, įtraukiant į vieningą informacijos sistemą ir statistiką visose gydymo įstaigose ir anonimiškai gydomus asmenis.</w:t>
      </w:r>
    </w:p>
    <w:p w:rsidR="008E05AA" w:rsidRDefault="008E05AA" w:rsidP="008E05AA">
      <w:pPr>
        <w:ind w:firstLine="720"/>
        <w:jc w:val="both"/>
      </w:pPr>
      <w:r>
        <w:t>2.Įpareigoti Sveikatos apsaugos ministeriją užtikrinti tinkamą aprūpinimą asmens sveikatos priežiūros ir gydymo įstaigų laboratorijas diagnostine aparatūra, kuri identifikuotų paciento kraujyje, šlapime apsinuodijimą sukeliančias medžiagas.</w:t>
      </w:r>
    </w:p>
    <w:p w:rsidR="008E05AA" w:rsidRDefault="008E05AA" w:rsidP="008E05AA">
      <w:pPr>
        <w:ind w:firstLine="720"/>
        <w:jc w:val="both"/>
      </w:pPr>
      <w:r>
        <w:t>3. Iki 2008 m. rugsėjo 1 d. įvertinti situaciją, ar gydymo ir reabilitacijos paslaugų prieinamumas vaikams, piktnaudžiaujantiems alkoholiu, narkotinėmis ar kitomis psichotropinėmis medžiagomis atitinka šiandienos poreikius bei išanalizuoti, kiek  gydymo ir reabilitacijos vietų ar įstaigų reikės ateityje.</w:t>
      </w:r>
    </w:p>
    <w:p w:rsidR="008E05AA" w:rsidRDefault="008E05AA" w:rsidP="008E05AA">
      <w:pPr>
        <w:ind w:firstLine="720"/>
        <w:jc w:val="both"/>
      </w:pPr>
      <w:r>
        <w:t>4. Įpareigoti Narkotikų kontrolės departamentą prie Lietuvos Respublikos Vyriausybės parengti ir įgyvendinti prevencinį projektą visuomenei ir ypač tėvams, teikiantį jiems išsamias žinias apie alkoholio, tabako, narkotinių ir psichotropinių medžiagų vartojimo riziką, pasekmes bei aktyviai įtraukiantį visuomenę ir ypač tėvus į narkomanijos prevencijos darbą.</w:t>
      </w:r>
    </w:p>
    <w:p w:rsidR="008E05AA" w:rsidRDefault="008E05AA" w:rsidP="008E05AA">
      <w:pPr>
        <w:ind w:firstLine="720"/>
        <w:jc w:val="both"/>
        <w:rPr>
          <w:lang w:eastAsia="lt-LT"/>
        </w:rPr>
      </w:pPr>
      <w:r>
        <w:rPr>
          <w:szCs w:val="14"/>
        </w:rPr>
        <w:t xml:space="preserve">Komisija 2009 02 11 pasiūlė Lietuvos Respublikos Vyriausybei sudaryti tarpžinybinę darbo grupę dėl teisės aktų tarpusavio suderinimo, atsižvelgiant į Vaiko gerovės politikos koncepciją ir </w:t>
      </w:r>
      <w:r>
        <w:t xml:space="preserve">Valstybinę šeimos politikos koncepciją, užtikrinant galimybes šeimoms gauti būtiną pagalbą, orientuotą į šeimos gebėjimų savarankiškai spręsti savo socialines problemas stiprinimą, motyvaciją kurti saugią, sveiką ir darnią aplinką savo šeimoje; sukuriant kompleksinės psichologinės pagalbos ir socialinių paslaugų teikimo sistemą krizę išgyvenančioms ir socialinės rizikos šeimoms, siekiant glaudžios socialinės partnerystės, paremtos bendruomeniškumu, savitarpio pagalba, žinybų bendradarbiavimu, panaudojant nevyriausybinių organizacijų potencialą, profesinį pasirengimą ir patirtį socialinių paslaugų teikimo srityje; gerinant vaikų ir paauglių sveikatos priežiūros paslaugas, formuojant vaikų sąmonėje sveikos gyvensenos pagrindus ir sudarant prielaidas sveikatą stiprinančios mokyklos plėtotei; </w:t>
      </w:r>
      <w:r>
        <w:rPr>
          <w:bCs/>
        </w:rPr>
        <w:t>stiprinant nepilnamečių apsaugą nuo neigiamo viešosios informacijos poveikio.</w:t>
      </w:r>
    </w:p>
    <w:p w:rsidR="008E05AA" w:rsidRDefault="008E05AA" w:rsidP="008E05AA">
      <w:pPr>
        <w:jc w:val="both"/>
      </w:pPr>
    </w:p>
    <w:p w:rsidR="008E05AA" w:rsidRDefault="008E05AA" w:rsidP="008E05AA">
      <w:pPr>
        <w:ind w:firstLine="720"/>
        <w:jc w:val="both"/>
        <w:rPr>
          <w:b/>
          <w:bCs/>
        </w:rPr>
      </w:pPr>
    </w:p>
    <w:p w:rsidR="008E05AA" w:rsidRPr="001A7465" w:rsidRDefault="008E05AA" w:rsidP="008E05AA">
      <w:pPr>
        <w:ind w:left="720"/>
        <w:jc w:val="both"/>
        <w:rPr>
          <w:bCs/>
          <w:sz w:val="28"/>
        </w:rPr>
      </w:pPr>
      <w:r w:rsidRPr="001A7465">
        <w:rPr>
          <w:bCs/>
          <w:sz w:val="28"/>
        </w:rPr>
        <w:t xml:space="preserve">Dėl paauglių svaiginimosi vaistais, alkoholiu, narkotinėmis ir psichotropinėmis medžiagomis ir apsinuodijimų jais </w:t>
      </w:r>
    </w:p>
    <w:p w:rsidR="008E05AA" w:rsidRDefault="008E05AA" w:rsidP="008E05AA">
      <w:pPr>
        <w:ind w:firstLine="720"/>
        <w:jc w:val="both"/>
      </w:pPr>
    </w:p>
    <w:p w:rsidR="008E05AA" w:rsidRDefault="008E05AA" w:rsidP="008E05AA">
      <w:pPr>
        <w:pStyle w:val="Antrats"/>
        <w:tabs>
          <w:tab w:val="clear" w:pos="4320"/>
          <w:tab w:val="clear" w:pos="8640"/>
        </w:tabs>
        <w:rPr>
          <w:lang w:val="en-US"/>
        </w:rPr>
      </w:pPr>
    </w:p>
    <w:p w:rsidR="008E05AA" w:rsidRDefault="008E05AA" w:rsidP="008E05AA">
      <w:pPr>
        <w:jc w:val="both"/>
      </w:pPr>
      <w:r>
        <w:rPr>
          <w:sz w:val="22"/>
          <w:szCs w:val="22"/>
        </w:rPr>
        <w:tab/>
      </w:r>
      <w:r>
        <w:t xml:space="preserve">Narkotikų kontrolės departamento prie Lietuvos Respublikos Vyriausybės  duomenimis (2008 04 22 raštas Nr. S-(4.3-2) – 284), gautais  iš Valstybinės ligonių kasos prie Lietuvos Respublikos Sveikatos apsaugos ministerijos, 2007 metais į asmens sveikatos priežiūros įstaigas (toliau-ASPĮ) dėl apsinuodijimų narkotinėmis ar psichotropinėmis medžiagomis buvo kreiptasi 283 kartus ( 2006 m. – 287, 2005 m. –257, 2004 m. – 300 kartų), viso kreipėsi 256 asmenys, iš jų: 205 vyrai, ir 51 moteris. Daugiausia, kaip ir ankstesniais metais, kreiptasi dėl apsinuodijimų opiumu – 66 atvejai ir heroinu - 45 atvejai. 2007 m. vaikai (asmenys iki 18 m.) dėl apsinuodijimų  kreipėsi 57 kartus (2006 m. – 42 kartus) ir tai sudaro 20,14 proc. nuo visų registruotų kreipimųsi dėl apsinuodijimų atvejų. 2007 m. kreipėsi 56 nepilnamečiai asmenys, iš jų 34 berniukai ir 22 mergaitės, tarp jų asmenys iki 15 metų kreipėsi 17 kartų 9 kreipėsi 17 asmenų, iš jų 8 berniukai ir 9 mergaitės). </w:t>
      </w:r>
    </w:p>
    <w:p w:rsidR="008E05AA" w:rsidRDefault="008E05AA" w:rsidP="008E05AA">
      <w:pPr>
        <w:jc w:val="both"/>
      </w:pPr>
      <w:r>
        <w:tab/>
        <w:t xml:space="preserve">Dažniausiai asmenys iki 18 metų kreipėsi dėl apsinuodijimų  sintetiniais narkotikais, kanapėmis, ir haliucinogenais, 20 atvejų (35 proc.) teiktos reanimacijos paslaugos. </w:t>
      </w:r>
    </w:p>
    <w:p w:rsidR="008E05AA" w:rsidRDefault="008E05AA" w:rsidP="008E05AA">
      <w:pPr>
        <w:jc w:val="both"/>
      </w:pPr>
      <w:r>
        <w:tab/>
        <w:t xml:space="preserve">2007 m. didesnis stacionarinėse ASPĮ gydytų narkotikais apsinuodijusių asmenų skaičius yra siejamas su didesniu apsinuodijusių opiumu, heroinu, sintetiniais narkotikais bei kitais haliucinogenais skaičiumi. </w:t>
      </w:r>
    </w:p>
    <w:p w:rsidR="008E05AA" w:rsidRDefault="008E05AA" w:rsidP="008E05AA">
      <w:pPr>
        <w:jc w:val="both"/>
      </w:pPr>
      <w:r>
        <w:tab/>
        <w:t xml:space="preserve">Didžioji dauguma narkotinėmis ir psichotropinėmis medžiagomis apsinuodijusių asmenų buvo gydyti stacionarines paslaugas teikiančiose ASPĮ. Tačiau, dalies apsinuodijimų  negalima identifikuoti, nes nenustatytos medžiagos. </w:t>
      </w:r>
    </w:p>
    <w:p w:rsidR="008E05AA" w:rsidRDefault="008E05AA" w:rsidP="008E05AA">
      <w:pPr>
        <w:jc w:val="both"/>
      </w:pPr>
      <w:r>
        <w:tab/>
        <w:t xml:space="preserve">Tarp visų narkotinėmis ir psichotropinėmis medžiagomis apsinuodijusių asmenų beveik 80 proc. buvo 15 – 34 m. amžiaus. Vyresnėse amžiaus grupėse apsinuodijimų šiomis medžiagomis skaičius mažėja geometrine regresija. </w:t>
      </w:r>
    </w:p>
    <w:p w:rsidR="008E05AA" w:rsidRDefault="008E05AA" w:rsidP="008E05AA">
      <w:pPr>
        <w:ind w:firstLine="720"/>
        <w:jc w:val="both"/>
      </w:pPr>
      <w:r>
        <w:lastRenderedPageBreak/>
        <w:t xml:space="preserve">Analizuojant 2007 m. duomenis apie ligoninėse apsinuodijimų narkotikais ir haliucinogenais atvejus, nustatyta, kad apsinuodijimai įvairios kilmės opiatais (T40.0 (opiumas), T40.1 (heroinas) ir T40.2 (kiti opioidai) ) sudaro beveik pusę (46 proc.) visų minėtais metais registruotų atvejų. </w:t>
      </w:r>
    </w:p>
    <w:p w:rsidR="008E05AA" w:rsidRDefault="008E05AA" w:rsidP="008E05AA">
      <w:pPr>
        <w:ind w:firstLine="720"/>
        <w:jc w:val="both"/>
      </w:pPr>
      <w:r>
        <w:t>Apsinuodijimai narkotikais ir haliucinogenais tarp vaikų yra dažnesni nei tarp sergančiųjų priklausomybės ligomis. Kaip buvo minėta anksčiau, tarp sergančiųjų psichikos ir elgesio sutrikimais vartojant psichiką veikiančias medžiagas, vaikai tesudarė 1 proc. visų 2007 m. registruotų atvejų, o apsinuodijimų šiomis medžiagomis vaikai sudaro 22 proc.</w:t>
      </w:r>
    </w:p>
    <w:p w:rsidR="008E05AA" w:rsidRDefault="008E05AA" w:rsidP="008E05AA">
      <w:pPr>
        <w:ind w:firstLine="720"/>
        <w:jc w:val="both"/>
      </w:pPr>
      <w:r>
        <w:t xml:space="preserve">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 </w:t>
      </w:r>
    </w:p>
    <w:p w:rsidR="008E05AA" w:rsidRDefault="008E05AA" w:rsidP="008E05AA">
      <w:pPr>
        <w:ind w:firstLine="720"/>
        <w:jc w:val="both"/>
      </w:pPr>
      <w:r>
        <w:t>91 proc. vaikų, apsinuodijusių psichiką veikiančiomis medžiagomis, buvo sulaukę 13 metų. Jaunesnių nei 10 metų amžiaus (4 atv.) vaikų apsinuodijimų atvejus reikėtų sieti ne su tiksliniu narkotinių medžiagų vartojimu, bet su nesaugia aplinka. T.y. psichiką veikiančios medžiagos buvo prieinamos vaikams jiems įprastoje aplinkoje, nes mažai tikėtina, jog 1- 9 m. amžiaus vaikai galėtų savarankiškai įsigyti Lietuvoje draudžiamų medžiagų.</w:t>
      </w:r>
    </w:p>
    <w:p w:rsidR="008E05AA" w:rsidRDefault="008E05AA" w:rsidP="008E05AA">
      <w:pPr>
        <w:ind w:firstLine="720"/>
        <w:jc w:val="both"/>
      </w:pPr>
      <w:r>
        <w:rPr>
          <w:i/>
          <w:iCs/>
        </w:rPr>
        <w:t>Narkotikais ir haliucinogenais apsinuodiję vaikai pagal amžių (metais)</w:t>
      </w:r>
    </w:p>
    <w:p w:rsidR="008E05AA" w:rsidRDefault="008E05AA" w:rsidP="008E05AA">
      <w:pPr>
        <w:jc w:val="both"/>
      </w:pPr>
      <w:r>
        <w:rPr>
          <w:noProof/>
          <w:lang w:eastAsia="lt-LT"/>
        </w:rPr>
        <w:drawing>
          <wp:inline distT="0" distB="0" distL="0" distR="0" wp14:anchorId="3C7735DB" wp14:editId="4459D6E5">
            <wp:extent cx="4600575" cy="2447925"/>
            <wp:effectExtent l="0" t="0" r="0" b="0"/>
            <wp:docPr id="37" name="Diagrama 3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t xml:space="preserve"> </w:t>
      </w:r>
    </w:p>
    <w:p w:rsidR="008E05AA" w:rsidRDefault="008E05AA" w:rsidP="008E05AA">
      <w:pPr>
        <w:jc w:val="both"/>
      </w:pPr>
    </w:p>
    <w:p w:rsidR="008E05AA" w:rsidRDefault="008E05AA" w:rsidP="008E05AA">
      <w:pPr>
        <w:pStyle w:val="Pagrindinistekstas2"/>
        <w:rPr>
          <w:b/>
          <w:bCs/>
        </w:rPr>
      </w:pPr>
      <w:r>
        <w:tab/>
        <w:t>Visi stacionarines paslaugas teikiančiose įstaigose 2007 m. dėl apsinuodijimo narkotikais gydyti vaikai pasveiko, t.y. šiuo laikotarpiu vaikų mirčių dėl apsinuodijimo psichiką veikiančiomis medžiagomis neužregistruota.</w:t>
      </w:r>
    </w:p>
    <w:p w:rsidR="008E05AA" w:rsidRDefault="008E05AA" w:rsidP="008E05AA">
      <w:pPr>
        <w:jc w:val="both"/>
        <w:rPr>
          <w:b/>
          <w:bCs/>
        </w:rPr>
      </w:pPr>
    </w:p>
    <w:p w:rsidR="008E05AA" w:rsidRDefault="008E05AA" w:rsidP="008E05AA">
      <w:pPr>
        <w:ind w:firstLine="720"/>
        <w:jc w:val="both"/>
      </w:pPr>
      <w:r>
        <w:t>Statistikos departamento prie Lietuvos Respublikos Vyriausybės duomenimis padidėjo vaikų ir suaugusiųjų apsinuodijusių alkoholiu: 2004 m. 652 asmenys (446 vaikai ir 206 suaugusieji); 2005 m. 671 asmuo (451 vaikas ir  215 suaugusiųjų bei 5 nežinomo amžiaus asmenys).</w:t>
      </w:r>
    </w:p>
    <w:p w:rsidR="008E05AA" w:rsidRDefault="008E05AA" w:rsidP="008E05AA">
      <w:pPr>
        <w:jc w:val="both"/>
        <w:rPr>
          <w:b/>
          <w:bCs/>
        </w:rPr>
      </w:pPr>
    </w:p>
    <w:p w:rsidR="008E05AA" w:rsidRDefault="008E05AA" w:rsidP="008E05AA">
      <w:pPr>
        <w:jc w:val="both"/>
      </w:pPr>
      <w:r>
        <w:rPr>
          <w:i/>
          <w:iCs/>
        </w:rPr>
        <w:t>Apsinuodijimų alkoholiais pasiskirstymas tarp vaikų ir suaugusiųjų:</w:t>
      </w:r>
    </w:p>
    <w:p w:rsidR="008E05AA" w:rsidRDefault="008E05AA" w:rsidP="008E05AA">
      <w:pPr>
        <w:jc w:val="both"/>
      </w:pPr>
      <w:r>
        <w:rPr>
          <w:noProof/>
          <w:lang w:eastAsia="lt-LT"/>
        </w:rPr>
        <w:drawing>
          <wp:inline distT="0" distB="0" distL="0" distR="0" wp14:anchorId="4595DBD8" wp14:editId="211FC057">
            <wp:extent cx="4600575" cy="2447925"/>
            <wp:effectExtent l="0" t="0" r="0" b="0"/>
            <wp:docPr id="38" name="Diagrama 3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E05AA" w:rsidRDefault="008E05AA" w:rsidP="008E05AA">
      <w:pPr>
        <w:jc w:val="both"/>
      </w:pPr>
    </w:p>
    <w:p w:rsidR="008E05AA" w:rsidRDefault="008E05AA" w:rsidP="008E05AA">
      <w:pPr>
        <w:jc w:val="both"/>
      </w:pPr>
      <w:r>
        <w:lastRenderedPageBreak/>
        <w:tab/>
        <w:t>Analizuojant vaikų apsinuodijimus alkoholiais nustatyta, kad dauguma šių atvejų užregistruota vyresnio amžiaus vaikų tarpe, tačiau dėl toksinio alkoholių poveikio ligoninėse buvo gydyti ir maži vaikai.</w:t>
      </w:r>
    </w:p>
    <w:p w:rsidR="008E05AA" w:rsidRDefault="008E05AA" w:rsidP="008E05AA">
      <w:pPr>
        <w:jc w:val="both"/>
      </w:pPr>
      <w:r>
        <w:rPr>
          <w:i/>
          <w:iCs/>
        </w:rPr>
        <w:t>Vaikų apsinuodijimai alkoholiais pagal amžių:</w:t>
      </w:r>
    </w:p>
    <w:p w:rsidR="008E05AA" w:rsidRDefault="008E05AA" w:rsidP="008E05AA">
      <w:pPr>
        <w:jc w:val="both"/>
        <w:rPr>
          <w:i/>
          <w:iCs/>
        </w:rPr>
      </w:pPr>
      <w:r>
        <w:rPr>
          <w:noProof/>
          <w:lang w:eastAsia="lt-LT"/>
        </w:rPr>
        <w:drawing>
          <wp:inline distT="0" distB="0" distL="0" distR="0" wp14:anchorId="5A229F66" wp14:editId="7D49E511">
            <wp:extent cx="4924425" cy="2447925"/>
            <wp:effectExtent l="0" t="0" r="0" b="0"/>
            <wp:docPr id="39" name="Diagrama 3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i/>
          <w:iCs/>
        </w:rPr>
        <w:t xml:space="preserve"> </w:t>
      </w:r>
    </w:p>
    <w:p w:rsidR="008E05AA" w:rsidRDefault="008E05AA" w:rsidP="008E05AA">
      <w:pPr>
        <w:jc w:val="both"/>
      </w:pPr>
    </w:p>
    <w:p w:rsidR="008E05AA" w:rsidRDefault="008E05AA" w:rsidP="008E05AA">
      <w:pPr>
        <w:jc w:val="both"/>
      </w:pPr>
      <w:r>
        <w:tab/>
        <w:t xml:space="preserve">Apsinuodijimai alkoholiais berniukų tarpe yra du kartus dažnesni nei tarp mergaičių. </w:t>
      </w:r>
    </w:p>
    <w:p w:rsidR="008E05AA" w:rsidRDefault="008E05AA" w:rsidP="008E05AA">
      <w:pPr>
        <w:jc w:val="both"/>
        <w:rPr>
          <w:b/>
          <w:bCs/>
        </w:rPr>
      </w:pPr>
      <w:r>
        <w:tab/>
        <w:t xml:space="preserve">Visi vaikų apsinuodijimai alkoholiais buvo sėkmingai pagydyti, </w:t>
      </w:r>
      <w:r>
        <w:rPr>
          <w:b/>
          <w:bCs/>
        </w:rPr>
        <w:t xml:space="preserve">2007 m. vaikų mirčių dėl apsinuodijimo alkoholiais užregistruota nebuvo. </w:t>
      </w:r>
    </w:p>
    <w:p w:rsidR="008E05AA" w:rsidRDefault="008E05AA" w:rsidP="008E05AA">
      <w:pPr>
        <w:jc w:val="both"/>
      </w:pPr>
      <w:r>
        <w:tab/>
        <w:t xml:space="preserve">Mirštamumas nuo apsinuodijimo alkoholiais 2007 m. buvo 2.7 proc. , t.y. iš 3861 dėl apsinuodijimo alkoholiais hospitalizuoto asmens mirė 108 pacientai. Mirčių dažnis vyrų tarpe yra beveik 4 kartus didesnis nei tarp moterų. </w:t>
      </w:r>
    </w:p>
    <w:p w:rsidR="008E05AA" w:rsidRDefault="008E05AA" w:rsidP="008E05AA">
      <w:pPr>
        <w:jc w:val="both"/>
      </w:pPr>
    </w:p>
    <w:p w:rsidR="008E05AA" w:rsidRDefault="008E05AA" w:rsidP="008E05AA">
      <w:pPr>
        <w:jc w:val="both"/>
      </w:pPr>
      <w:r>
        <w:rPr>
          <w:i/>
          <w:iCs/>
        </w:rPr>
        <w:t>2006 – 2007 m. psichikos ir elgesio sutrikimas vartojant alkoholį pagal būkles ir suteiktas paslaugas: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5041"/>
        <w:gridCol w:w="899"/>
        <w:gridCol w:w="899"/>
        <w:gridCol w:w="899"/>
        <w:gridCol w:w="899"/>
      </w:tblGrid>
      <w:tr w:rsidR="008E05AA" w:rsidTr="004F7425">
        <w:trPr>
          <w:cantSplit/>
        </w:trPr>
        <w:tc>
          <w:tcPr>
            <w:tcW w:w="831" w:type="dxa"/>
            <w:vMerge w:val="restart"/>
          </w:tcPr>
          <w:p w:rsidR="008E05AA" w:rsidRDefault="008E05AA" w:rsidP="004F7425">
            <w:pPr>
              <w:jc w:val="both"/>
            </w:pPr>
            <w:r>
              <w:t>Kodas</w:t>
            </w:r>
          </w:p>
        </w:tc>
        <w:tc>
          <w:tcPr>
            <w:tcW w:w="5041" w:type="dxa"/>
            <w:vMerge w:val="restart"/>
          </w:tcPr>
          <w:p w:rsidR="008E05AA" w:rsidRDefault="008E05AA" w:rsidP="004F7425">
            <w:pPr>
              <w:jc w:val="both"/>
            </w:pPr>
            <w:r>
              <w:t>Sveikatos sutrikimas</w:t>
            </w:r>
          </w:p>
        </w:tc>
        <w:tc>
          <w:tcPr>
            <w:tcW w:w="1798" w:type="dxa"/>
            <w:gridSpan w:val="2"/>
          </w:tcPr>
          <w:p w:rsidR="008E05AA" w:rsidRDefault="008E05AA" w:rsidP="004F7425">
            <w:pPr>
              <w:jc w:val="both"/>
            </w:pPr>
            <w:r>
              <w:t>2006</w:t>
            </w:r>
          </w:p>
        </w:tc>
        <w:tc>
          <w:tcPr>
            <w:tcW w:w="1798" w:type="dxa"/>
            <w:gridSpan w:val="2"/>
          </w:tcPr>
          <w:p w:rsidR="008E05AA" w:rsidRDefault="008E05AA" w:rsidP="004F7425">
            <w:pPr>
              <w:jc w:val="both"/>
            </w:pPr>
            <w:r>
              <w:t>2007</w:t>
            </w:r>
          </w:p>
        </w:tc>
      </w:tr>
      <w:tr w:rsidR="008E05AA" w:rsidTr="004F7425">
        <w:trPr>
          <w:cantSplit/>
        </w:trPr>
        <w:tc>
          <w:tcPr>
            <w:tcW w:w="831" w:type="dxa"/>
            <w:vMerge/>
          </w:tcPr>
          <w:p w:rsidR="008E05AA" w:rsidRDefault="008E05AA" w:rsidP="004F7425">
            <w:pPr>
              <w:jc w:val="both"/>
            </w:pPr>
          </w:p>
        </w:tc>
        <w:tc>
          <w:tcPr>
            <w:tcW w:w="5041" w:type="dxa"/>
            <w:vMerge/>
          </w:tcPr>
          <w:p w:rsidR="008E05AA" w:rsidRDefault="008E05AA" w:rsidP="004F7425">
            <w:pPr>
              <w:jc w:val="both"/>
            </w:pPr>
          </w:p>
        </w:tc>
        <w:tc>
          <w:tcPr>
            <w:tcW w:w="899" w:type="dxa"/>
          </w:tcPr>
          <w:p w:rsidR="008E05AA" w:rsidRDefault="008E05AA" w:rsidP="004F7425">
            <w:pPr>
              <w:jc w:val="both"/>
              <w:rPr>
                <w:i/>
                <w:iCs/>
              </w:rPr>
            </w:pPr>
            <w:r>
              <w:rPr>
                <w:i/>
                <w:iCs/>
              </w:rPr>
              <w:t>AMB.</w:t>
            </w:r>
          </w:p>
        </w:tc>
        <w:tc>
          <w:tcPr>
            <w:tcW w:w="899" w:type="dxa"/>
          </w:tcPr>
          <w:p w:rsidR="008E05AA" w:rsidRDefault="008E05AA" w:rsidP="004F7425">
            <w:pPr>
              <w:jc w:val="both"/>
              <w:rPr>
                <w:i/>
                <w:iCs/>
              </w:rPr>
            </w:pPr>
            <w:r>
              <w:rPr>
                <w:i/>
                <w:iCs/>
              </w:rPr>
              <w:t>STAC.</w:t>
            </w:r>
          </w:p>
        </w:tc>
        <w:tc>
          <w:tcPr>
            <w:tcW w:w="899" w:type="dxa"/>
          </w:tcPr>
          <w:p w:rsidR="008E05AA" w:rsidRDefault="008E05AA" w:rsidP="004F7425">
            <w:pPr>
              <w:jc w:val="both"/>
              <w:rPr>
                <w:i/>
                <w:iCs/>
              </w:rPr>
            </w:pPr>
            <w:r>
              <w:rPr>
                <w:i/>
                <w:iCs/>
              </w:rPr>
              <w:t>AMB.</w:t>
            </w:r>
          </w:p>
        </w:tc>
        <w:tc>
          <w:tcPr>
            <w:tcW w:w="899" w:type="dxa"/>
          </w:tcPr>
          <w:p w:rsidR="008E05AA" w:rsidRDefault="008E05AA" w:rsidP="004F7425">
            <w:pPr>
              <w:jc w:val="both"/>
              <w:rPr>
                <w:i/>
                <w:iCs/>
              </w:rPr>
            </w:pPr>
            <w:r>
              <w:rPr>
                <w:i/>
                <w:iCs/>
              </w:rPr>
              <w:t>STAC.</w:t>
            </w:r>
          </w:p>
        </w:tc>
      </w:tr>
      <w:tr w:rsidR="008E05AA" w:rsidTr="004F7425">
        <w:tc>
          <w:tcPr>
            <w:tcW w:w="831" w:type="dxa"/>
          </w:tcPr>
          <w:p w:rsidR="008E05AA" w:rsidRDefault="008E05AA" w:rsidP="004F7425">
            <w:pPr>
              <w:jc w:val="both"/>
            </w:pPr>
            <w:r>
              <w:t>F10</w:t>
            </w:r>
          </w:p>
        </w:tc>
        <w:tc>
          <w:tcPr>
            <w:tcW w:w="5041" w:type="dxa"/>
          </w:tcPr>
          <w:p w:rsidR="008E05AA" w:rsidRDefault="008E05AA" w:rsidP="004F7425">
            <w:pPr>
              <w:jc w:val="both"/>
            </w:pPr>
            <w:r>
              <w:t>Psichikos ir elgesio sutrikimai vartojant alkoholį</w:t>
            </w:r>
          </w:p>
        </w:tc>
        <w:tc>
          <w:tcPr>
            <w:tcW w:w="899" w:type="dxa"/>
          </w:tcPr>
          <w:p w:rsidR="008E05AA" w:rsidRDefault="008E05AA" w:rsidP="004F7425">
            <w:pPr>
              <w:jc w:val="both"/>
            </w:pPr>
            <w:r>
              <w:t>1033</w:t>
            </w:r>
          </w:p>
        </w:tc>
        <w:tc>
          <w:tcPr>
            <w:tcW w:w="899" w:type="dxa"/>
          </w:tcPr>
          <w:p w:rsidR="008E05AA" w:rsidRDefault="008E05AA" w:rsidP="004F7425">
            <w:pPr>
              <w:jc w:val="both"/>
            </w:pPr>
            <w:r>
              <w:t>95</w:t>
            </w:r>
          </w:p>
        </w:tc>
        <w:tc>
          <w:tcPr>
            <w:tcW w:w="899" w:type="dxa"/>
          </w:tcPr>
          <w:p w:rsidR="008E05AA" w:rsidRDefault="008E05AA" w:rsidP="004F7425">
            <w:pPr>
              <w:jc w:val="both"/>
            </w:pPr>
            <w:r>
              <w:t>1132</w:t>
            </w:r>
          </w:p>
        </w:tc>
        <w:tc>
          <w:tcPr>
            <w:tcW w:w="899" w:type="dxa"/>
          </w:tcPr>
          <w:p w:rsidR="008E05AA" w:rsidRDefault="008E05AA" w:rsidP="004F7425">
            <w:pPr>
              <w:jc w:val="both"/>
            </w:pPr>
            <w:r>
              <w:t>142</w:t>
            </w:r>
          </w:p>
        </w:tc>
      </w:tr>
      <w:tr w:rsidR="008E05AA" w:rsidTr="004F7425">
        <w:tc>
          <w:tcPr>
            <w:tcW w:w="831" w:type="dxa"/>
          </w:tcPr>
          <w:p w:rsidR="008E05AA" w:rsidRDefault="008E05AA" w:rsidP="004F7425">
            <w:pPr>
              <w:jc w:val="both"/>
            </w:pPr>
            <w:r>
              <w:t>F10.0</w:t>
            </w:r>
          </w:p>
        </w:tc>
        <w:tc>
          <w:tcPr>
            <w:tcW w:w="5041" w:type="dxa"/>
          </w:tcPr>
          <w:p w:rsidR="008E05AA" w:rsidRDefault="008E05AA" w:rsidP="004F7425">
            <w:pPr>
              <w:jc w:val="both"/>
            </w:pPr>
            <w:r>
              <w:t>Ūminė intoksikacija</w:t>
            </w:r>
          </w:p>
        </w:tc>
        <w:tc>
          <w:tcPr>
            <w:tcW w:w="899" w:type="dxa"/>
          </w:tcPr>
          <w:p w:rsidR="008E05AA" w:rsidRDefault="008E05AA" w:rsidP="004F7425">
            <w:pPr>
              <w:jc w:val="both"/>
            </w:pPr>
            <w:r>
              <w:t>277</w:t>
            </w:r>
          </w:p>
        </w:tc>
        <w:tc>
          <w:tcPr>
            <w:tcW w:w="899" w:type="dxa"/>
          </w:tcPr>
          <w:p w:rsidR="008E05AA" w:rsidRDefault="008E05AA" w:rsidP="004F7425">
            <w:pPr>
              <w:jc w:val="both"/>
            </w:pPr>
            <w:r>
              <w:t>212</w:t>
            </w:r>
          </w:p>
        </w:tc>
        <w:tc>
          <w:tcPr>
            <w:tcW w:w="899" w:type="dxa"/>
          </w:tcPr>
          <w:p w:rsidR="008E05AA" w:rsidRDefault="008E05AA" w:rsidP="004F7425">
            <w:pPr>
              <w:jc w:val="both"/>
            </w:pPr>
            <w:r>
              <w:t>341</w:t>
            </w:r>
          </w:p>
        </w:tc>
        <w:tc>
          <w:tcPr>
            <w:tcW w:w="899" w:type="dxa"/>
          </w:tcPr>
          <w:p w:rsidR="008E05AA" w:rsidRDefault="008E05AA" w:rsidP="004F7425">
            <w:pPr>
              <w:jc w:val="both"/>
            </w:pPr>
            <w:r>
              <w:t>256</w:t>
            </w:r>
          </w:p>
        </w:tc>
      </w:tr>
      <w:tr w:rsidR="008E05AA" w:rsidTr="004F7425">
        <w:tc>
          <w:tcPr>
            <w:tcW w:w="831" w:type="dxa"/>
          </w:tcPr>
          <w:p w:rsidR="008E05AA" w:rsidRDefault="008E05AA" w:rsidP="004F7425">
            <w:pPr>
              <w:jc w:val="both"/>
            </w:pPr>
            <w:r>
              <w:t>F10.1</w:t>
            </w:r>
          </w:p>
        </w:tc>
        <w:tc>
          <w:tcPr>
            <w:tcW w:w="5041" w:type="dxa"/>
          </w:tcPr>
          <w:p w:rsidR="008E05AA" w:rsidRDefault="008E05AA" w:rsidP="004F7425">
            <w:pPr>
              <w:jc w:val="both"/>
            </w:pPr>
            <w:r>
              <w:t>Žalingas vartojimas</w:t>
            </w:r>
          </w:p>
        </w:tc>
        <w:tc>
          <w:tcPr>
            <w:tcW w:w="899" w:type="dxa"/>
          </w:tcPr>
          <w:p w:rsidR="008E05AA" w:rsidRDefault="008E05AA" w:rsidP="004F7425">
            <w:pPr>
              <w:jc w:val="both"/>
            </w:pPr>
            <w:r>
              <w:t>421</w:t>
            </w:r>
          </w:p>
        </w:tc>
        <w:tc>
          <w:tcPr>
            <w:tcW w:w="899" w:type="dxa"/>
          </w:tcPr>
          <w:p w:rsidR="008E05AA" w:rsidRDefault="008E05AA" w:rsidP="004F7425">
            <w:pPr>
              <w:jc w:val="both"/>
            </w:pPr>
            <w:r>
              <w:t>87</w:t>
            </w:r>
          </w:p>
        </w:tc>
        <w:tc>
          <w:tcPr>
            <w:tcW w:w="899" w:type="dxa"/>
          </w:tcPr>
          <w:p w:rsidR="008E05AA" w:rsidRDefault="008E05AA" w:rsidP="004F7425">
            <w:pPr>
              <w:jc w:val="both"/>
            </w:pPr>
            <w:r>
              <w:t>473</w:t>
            </w:r>
          </w:p>
        </w:tc>
        <w:tc>
          <w:tcPr>
            <w:tcW w:w="899" w:type="dxa"/>
          </w:tcPr>
          <w:p w:rsidR="008E05AA" w:rsidRDefault="008E05AA" w:rsidP="004F7425">
            <w:pPr>
              <w:jc w:val="both"/>
            </w:pPr>
            <w:r>
              <w:t>86</w:t>
            </w:r>
          </w:p>
        </w:tc>
      </w:tr>
      <w:tr w:rsidR="008E05AA" w:rsidTr="004F7425">
        <w:tc>
          <w:tcPr>
            <w:tcW w:w="831" w:type="dxa"/>
          </w:tcPr>
          <w:p w:rsidR="008E05AA" w:rsidRDefault="008E05AA" w:rsidP="004F7425">
            <w:pPr>
              <w:jc w:val="both"/>
            </w:pPr>
            <w:r>
              <w:t>F10.2</w:t>
            </w:r>
          </w:p>
        </w:tc>
        <w:tc>
          <w:tcPr>
            <w:tcW w:w="5041" w:type="dxa"/>
          </w:tcPr>
          <w:p w:rsidR="008E05AA" w:rsidRDefault="008E05AA" w:rsidP="004F7425">
            <w:pPr>
              <w:jc w:val="both"/>
            </w:pPr>
            <w:r>
              <w:t>Priklausomybės sindromas</w:t>
            </w:r>
          </w:p>
        </w:tc>
        <w:tc>
          <w:tcPr>
            <w:tcW w:w="899" w:type="dxa"/>
          </w:tcPr>
          <w:p w:rsidR="008E05AA" w:rsidRDefault="008E05AA" w:rsidP="004F7425">
            <w:pPr>
              <w:jc w:val="both"/>
            </w:pPr>
            <w:r>
              <w:t>5544</w:t>
            </w:r>
          </w:p>
        </w:tc>
        <w:tc>
          <w:tcPr>
            <w:tcW w:w="899" w:type="dxa"/>
          </w:tcPr>
          <w:p w:rsidR="008E05AA" w:rsidRDefault="008E05AA" w:rsidP="004F7425">
            <w:pPr>
              <w:jc w:val="both"/>
            </w:pPr>
            <w:r>
              <w:t>90</w:t>
            </w:r>
          </w:p>
        </w:tc>
        <w:tc>
          <w:tcPr>
            <w:tcW w:w="899" w:type="dxa"/>
          </w:tcPr>
          <w:p w:rsidR="008E05AA" w:rsidRDefault="008E05AA" w:rsidP="004F7425">
            <w:pPr>
              <w:jc w:val="both"/>
            </w:pPr>
            <w:r>
              <w:t>5231</w:t>
            </w:r>
          </w:p>
        </w:tc>
        <w:tc>
          <w:tcPr>
            <w:tcW w:w="899" w:type="dxa"/>
          </w:tcPr>
          <w:p w:rsidR="008E05AA" w:rsidRDefault="008E05AA" w:rsidP="004F7425">
            <w:pPr>
              <w:jc w:val="both"/>
            </w:pPr>
            <w:r>
              <w:t>131</w:t>
            </w:r>
          </w:p>
        </w:tc>
      </w:tr>
      <w:tr w:rsidR="008E05AA" w:rsidTr="004F7425">
        <w:tc>
          <w:tcPr>
            <w:tcW w:w="831" w:type="dxa"/>
          </w:tcPr>
          <w:p w:rsidR="008E05AA" w:rsidRDefault="008E05AA" w:rsidP="004F7425">
            <w:pPr>
              <w:jc w:val="both"/>
            </w:pPr>
            <w:r>
              <w:t>F10.3</w:t>
            </w:r>
          </w:p>
        </w:tc>
        <w:tc>
          <w:tcPr>
            <w:tcW w:w="5041" w:type="dxa"/>
          </w:tcPr>
          <w:p w:rsidR="008E05AA" w:rsidRDefault="008E05AA" w:rsidP="004F7425">
            <w:pPr>
              <w:jc w:val="both"/>
            </w:pPr>
            <w:r>
              <w:t>Abstinencijos būklė</w:t>
            </w:r>
          </w:p>
        </w:tc>
        <w:tc>
          <w:tcPr>
            <w:tcW w:w="899" w:type="dxa"/>
          </w:tcPr>
          <w:p w:rsidR="008E05AA" w:rsidRDefault="008E05AA" w:rsidP="004F7425">
            <w:pPr>
              <w:jc w:val="both"/>
            </w:pPr>
            <w:r>
              <w:t>2124</w:t>
            </w:r>
          </w:p>
        </w:tc>
        <w:tc>
          <w:tcPr>
            <w:tcW w:w="899" w:type="dxa"/>
          </w:tcPr>
          <w:p w:rsidR="008E05AA" w:rsidRDefault="008E05AA" w:rsidP="004F7425">
            <w:pPr>
              <w:jc w:val="both"/>
            </w:pPr>
            <w:r>
              <w:t>3230</w:t>
            </w:r>
          </w:p>
        </w:tc>
        <w:tc>
          <w:tcPr>
            <w:tcW w:w="899" w:type="dxa"/>
          </w:tcPr>
          <w:p w:rsidR="008E05AA" w:rsidRDefault="008E05AA" w:rsidP="004F7425">
            <w:pPr>
              <w:jc w:val="both"/>
            </w:pPr>
            <w:r>
              <w:t>2002</w:t>
            </w:r>
          </w:p>
        </w:tc>
        <w:tc>
          <w:tcPr>
            <w:tcW w:w="899" w:type="dxa"/>
          </w:tcPr>
          <w:p w:rsidR="008E05AA" w:rsidRDefault="008E05AA" w:rsidP="004F7425">
            <w:pPr>
              <w:jc w:val="both"/>
            </w:pPr>
            <w:r>
              <w:t>4079</w:t>
            </w:r>
          </w:p>
        </w:tc>
      </w:tr>
      <w:tr w:rsidR="008E05AA" w:rsidTr="004F7425">
        <w:tc>
          <w:tcPr>
            <w:tcW w:w="831" w:type="dxa"/>
          </w:tcPr>
          <w:p w:rsidR="008E05AA" w:rsidRDefault="008E05AA" w:rsidP="004F7425">
            <w:pPr>
              <w:jc w:val="both"/>
            </w:pPr>
            <w:r>
              <w:t>F10.4</w:t>
            </w:r>
          </w:p>
        </w:tc>
        <w:tc>
          <w:tcPr>
            <w:tcW w:w="5041" w:type="dxa"/>
          </w:tcPr>
          <w:p w:rsidR="008E05AA" w:rsidRDefault="008E05AA" w:rsidP="004F7425">
            <w:pPr>
              <w:jc w:val="both"/>
            </w:pPr>
            <w:r>
              <w:t>Abstinencijos būklė su delyru</w:t>
            </w:r>
          </w:p>
        </w:tc>
        <w:tc>
          <w:tcPr>
            <w:tcW w:w="899" w:type="dxa"/>
          </w:tcPr>
          <w:p w:rsidR="008E05AA" w:rsidRDefault="008E05AA" w:rsidP="004F7425">
            <w:pPr>
              <w:jc w:val="both"/>
            </w:pPr>
            <w:r>
              <w:t>717</w:t>
            </w:r>
          </w:p>
        </w:tc>
        <w:tc>
          <w:tcPr>
            <w:tcW w:w="899" w:type="dxa"/>
          </w:tcPr>
          <w:p w:rsidR="008E05AA" w:rsidRDefault="008E05AA" w:rsidP="004F7425">
            <w:pPr>
              <w:jc w:val="both"/>
            </w:pPr>
            <w:r>
              <w:t>3848</w:t>
            </w:r>
          </w:p>
        </w:tc>
        <w:tc>
          <w:tcPr>
            <w:tcW w:w="899" w:type="dxa"/>
          </w:tcPr>
          <w:p w:rsidR="008E05AA" w:rsidRDefault="008E05AA" w:rsidP="004F7425">
            <w:pPr>
              <w:jc w:val="both"/>
            </w:pPr>
            <w:r>
              <w:t>754</w:t>
            </w:r>
          </w:p>
        </w:tc>
        <w:tc>
          <w:tcPr>
            <w:tcW w:w="899" w:type="dxa"/>
          </w:tcPr>
          <w:p w:rsidR="008E05AA" w:rsidRDefault="008E05AA" w:rsidP="004F7425">
            <w:pPr>
              <w:jc w:val="both"/>
            </w:pPr>
            <w:r>
              <w:t>4269</w:t>
            </w:r>
          </w:p>
        </w:tc>
      </w:tr>
      <w:tr w:rsidR="008E05AA" w:rsidTr="004F7425">
        <w:tc>
          <w:tcPr>
            <w:tcW w:w="831" w:type="dxa"/>
          </w:tcPr>
          <w:p w:rsidR="008E05AA" w:rsidRDefault="008E05AA" w:rsidP="004F7425">
            <w:pPr>
              <w:jc w:val="both"/>
            </w:pPr>
            <w:r>
              <w:t>F10.5</w:t>
            </w:r>
          </w:p>
        </w:tc>
        <w:tc>
          <w:tcPr>
            <w:tcW w:w="5041" w:type="dxa"/>
          </w:tcPr>
          <w:p w:rsidR="008E05AA" w:rsidRDefault="008E05AA" w:rsidP="004F7425">
            <w:pPr>
              <w:jc w:val="both"/>
            </w:pPr>
            <w:r>
              <w:t>Psichozinis sutrikimas</w:t>
            </w:r>
          </w:p>
        </w:tc>
        <w:tc>
          <w:tcPr>
            <w:tcW w:w="899" w:type="dxa"/>
          </w:tcPr>
          <w:p w:rsidR="008E05AA" w:rsidRDefault="008E05AA" w:rsidP="004F7425">
            <w:pPr>
              <w:jc w:val="both"/>
            </w:pPr>
            <w:r>
              <w:t>241</w:t>
            </w:r>
          </w:p>
        </w:tc>
        <w:tc>
          <w:tcPr>
            <w:tcW w:w="899" w:type="dxa"/>
          </w:tcPr>
          <w:p w:rsidR="008E05AA" w:rsidRDefault="008E05AA" w:rsidP="004F7425">
            <w:pPr>
              <w:jc w:val="both"/>
            </w:pPr>
            <w:r>
              <w:t>481</w:t>
            </w:r>
          </w:p>
        </w:tc>
        <w:tc>
          <w:tcPr>
            <w:tcW w:w="899" w:type="dxa"/>
          </w:tcPr>
          <w:p w:rsidR="008E05AA" w:rsidRDefault="008E05AA" w:rsidP="004F7425">
            <w:pPr>
              <w:jc w:val="both"/>
            </w:pPr>
            <w:r>
              <w:t>260</w:t>
            </w:r>
          </w:p>
        </w:tc>
        <w:tc>
          <w:tcPr>
            <w:tcW w:w="899" w:type="dxa"/>
          </w:tcPr>
          <w:p w:rsidR="008E05AA" w:rsidRDefault="008E05AA" w:rsidP="004F7425">
            <w:pPr>
              <w:jc w:val="both"/>
            </w:pPr>
            <w:r>
              <w:t>572</w:t>
            </w:r>
          </w:p>
        </w:tc>
      </w:tr>
      <w:tr w:rsidR="008E05AA" w:rsidTr="004F7425">
        <w:tc>
          <w:tcPr>
            <w:tcW w:w="831" w:type="dxa"/>
          </w:tcPr>
          <w:p w:rsidR="008E05AA" w:rsidRDefault="008E05AA" w:rsidP="004F7425">
            <w:pPr>
              <w:jc w:val="both"/>
            </w:pPr>
            <w:r>
              <w:t>F10.6</w:t>
            </w:r>
          </w:p>
        </w:tc>
        <w:tc>
          <w:tcPr>
            <w:tcW w:w="5041" w:type="dxa"/>
          </w:tcPr>
          <w:p w:rsidR="008E05AA" w:rsidRDefault="008E05AA" w:rsidP="004F7425">
            <w:pPr>
              <w:jc w:val="both"/>
            </w:pPr>
            <w:r>
              <w:t>Amnezinis sindromas</w:t>
            </w:r>
          </w:p>
        </w:tc>
        <w:tc>
          <w:tcPr>
            <w:tcW w:w="899" w:type="dxa"/>
          </w:tcPr>
          <w:p w:rsidR="008E05AA" w:rsidRDefault="008E05AA" w:rsidP="004F7425">
            <w:pPr>
              <w:jc w:val="both"/>
            </w:pPr>
            <w:r>
              <w:t>165</w:t>
            </w:r>
          </w:p>
        </w:tc>
        <w:tc>
          <w:tcPr>
            <w:tcW w:w="899" w:type="dxa"/>
          </w:tcPr>
          <w:p w:rsidR="008E05AA" w:rsidRDefault="008E05AA" w:rsidP="004F7425">
            <w:pPr>
              <w:jc w:val="both"/>
            </w:pPr>
            <w:r>
              <w:t>59</w:t>
            </w:r>
          </w:p>
        </w:tc>
        <w:tc>
          <w:tcPr>
            <w:tcW w:w="899" w:type="dxa"/>
          </w:tcPr>
          <w:p w:rsidR="008E05AA" w:rsidRDefault="008E05AA" w:rsidP="004F7425">
            <w:pPr>
              <w:jc w:val="both"/>
            </w:pPr>
            <w:r>
              <w:t>143</w:t>
            </w:r>
          </w:p>
        </w:tc>
        <w:tc>
          <w:tcPr>
            <w:tcW w:w="899" w:type="dxa"/>
          </w:tcPr>
          <w:p w:rsidR="008E05AA" w:rsidRDefault="008E05AA" w:rsidP="004F7425">
            <w:pPr>
              <w:jc w:val="both"/>
            </w:pPr>
            <w:r>
              <w:t>34</w:t>
            </w:r>
          </w:p>
        </w:tc>
      </w:tr>
      <w:tr w:rsidR="008E05AA" w:rsidTr="004F7425">
        <w:tc>
          <w:tcPr>
            <w:tcW w:w="831" w:type="dxa"/>
          </w:tcPr>
          <w:p w:rsidR="008E05AA" w:rsidRDefault="008E05AA" w:rsidP="004F7425">
            <w:pPr>
              <w:jc w:val="both"/>
            </w:pPr>
            <w:r>
              <w:t>F10.7</w:t>
            </w:r>
          </w:p>
        </w:tc>
        <w:tc>
          <w:tcPr>
            <w:tcW w:w="5041" w:type="dxa"/>
          </w:tcPr>
          <w:p w:rsidR="008E05AA" w:rsidRDefault="008E05AA" w:rsidP="004F7425">
            <w:pPr>
              <w:jc w:val="both"/>
            </w:pPr>
            <w:r>
              <w:t>Liekamasis arba vėlai pasireiškiantis psichozinis sutrikimas</w:t>
            </w:r>
          </w:p>
        </w:tc>
        <w:tc>
          <w:tcPr>
            <w:tcW w:w="899" w:type="dxa"/>
          </w:tcPr>
          <w:p w:rsidR="008E05AA" w:rsidRDefault="008E05AA" w:rsidP="004F7425">
            <w:pPr>
              <w:jc w:val="both"/>
            </w:pPr>
            <w:r>
              <w:t>186</w:t>
            </w:r>
          </w:p>
        </w:tc>
        <w:tc>
          <w:tcPr>
            <w:tcW w:w="899" w:type="dxa"/>
          </w:tcPr>
          <w:p w:rsidR="008E05AA" w:rsidRDefault="008E05AA" w:rsidP="004F7425">
            <w:pPr>
              <w:jc w:val="both"/>
            </w:pPr>
            <w:r>
              <w:t>53</w:t>
            </w:r>
          </w:p>
        </w:tc>
        <w:tc>
          <w:tcPr>
            <w:tcW w:w="899" w:type="dxa"/>
          </w:tcPr>
          <w:p w:rsidR="008E05AA" w:rsidRDefault="008E05AA" w:rsidP="004F7425">
            <w:pPr>
              <w:jc w:val="both"/>
            </w:pPr>
            <w:r>
              <w:t>195</w:t>
            </w:r>
          </w:p>
        </w:tc>
        <w:tc>
          <w:tcPr>
            <w:tcW w:w="899" w:type="dxa"/>
          </w:tcPr>
          <w:p w:rsidR="008E05AA" w:rsidRDefault="008E05AA" w:rsidP="004F7425">
            <w:pPr>
              <w:jc w:val="both"/>
            </w:pPr>
            <w:r>
              <w:t>61</w:t>
            </w:r>
          </w:p>
        </w:tc>
      </w:tr>
      <w:tr w:rsidR="008E05AA" w:rsidTr="004F7425">
        <w:tc>
          <w:tcPr>
            <w:tcW w:w="831" w:type="dxa"/>
          </w:tcPr>
          <w:p w:rsidR="008E05AA" w:rsidRDefault="008E05AA" w:rsidP="004F7425">
            <w:pPr>
              <w:jc w:val="both"/>
            </w:pPr>
            <w:r>
              <w:t>F10.8</w:t>
            </w:r>
          </w:p>
        </w:tc>
        <w:tc>
          <w:tcPr>
            <w:tcW w:w="5041" w:type="dxa"/>
          </w:tcPr>
          <w:p w:rsidR="008E05AA" w:rsidRDefault="008E05AA" w:rsidP="004F7425">
            <w:pPr>
              <w:jc w:val="both"/>
            </w:pPr>
            <w:r>
              <w:t>Kiti psichikos ir elgesio sutrikimai</w:t>
            </w:r>
          </w:p>
        </w:tc>
        <w:tc>
          <w:tcPr>
            <w:tcW w:w="899" w:type="dxa"/>
          </w:tcPr>
          <w:p w:rsidR="008E05AA" w:rsidRDefault="008E05AA" w:rsidP="004F7425">
            <w:pPr>
              <w:jc w:val="both"/>
            </w:pPr>
            <w:r>
              <w:t>12</w:t>
            </w:r>
          </w:p>
        </w:tc>
        <w:tc>
          <w:tcPr>
            <w:tcW w:w="899" w:type="dxa"/>
          </w:tcPr>
          <w:p w:rsidR="008E05AA" w:rsidRDefault="008E05AA" w:rsidP="004F7425">
            <w:pPr>
              <w:jc w:val="both"/>
            </w:pPr>
            <w:r>
              <w:t>101</w:t>
            </w:r>
          </w:p>
        </w:tc>
        <w:tc>
          <w:tcPr>
            <w:tcW w:w="899" w:type="dxa"/>
          </w:tcPr>
          <w:p w:rsidR="008E05AA" w:rsidRDefault="008E05AA" w:rsidP="004F7425">
            <w:pPr>
              <w:jc w:val="both"/>
            </w:pPr>
            <w:r>
              <w:t>26</w:t>
            </w:r>
          </w:p>
        </w:tc>
        <w:tc>
          <w:tcPr>
            <w:tcW w:w="899" w:type="dxa"/>
          </w:tcPr>
          <w:p w:rsidR="008E05AA" w:rsidRDefault="008E05AA" w:rsidP="004F7425">
            <w:pPr>
              <w:jc w:val="both"/>
            </w:pPr>
            <w:r>
              <w:t>75</w:t>
            </w:r>
          </w:p>
        </w:tc>
      </w:tr>
      <w:tr w:rsidR="008E05AA" w:rsidTr="004F7425">
        <w:tc>
          <w:tcPr>
            <w:tcW w:w="831" w:type="dxa"/>
          </w:tcPr>
          <w:p w:rsidR="008E05AA" w:rsidRDefault="008E05AA" w:rsidP="004F7425">
            <w:pPr>
              <w:jc w:val="both"/>
            </w:pPr>
            <w:r>
              <w:t>F10.9</w:t>
            </w:r>
          </w:p>
        </w:tc>
        <w:tc>
          <w:tcPr>
            <w:tcW w:w="5041" w:type="dxa"/>
          </w:tcPr>
          <w:p w:rsidR="008E05AA" w:rsidRDefault="008E05AA" w:rsidP="004F7425">
            <w:pPr>
              <w:jc w:val="both"/>
            </w:pPr>
            <w:r>
              <w:t>Nepatikslintas psichikos ir elgesio sutikimas</w:t>
            </w:r>
          </w:p>
        </w:tc>
        <w:tc>
          <w:tcPr>
            <w:tcW w:w="899" w:type="dxa"/>
          </w:tcPr>
          <w:p w:rsidR="008E05AA" w:rsidRDefault="008E05AA" w:rsidP="004F7425">
            <w:pPr>
              <w:jc w:val="both"/>
            </w:pPr>
            <w:r>
              <w:t>27</w:t>
            </w:r>
          </w:p>
        </w:tc>
        <w:tc>
          <w:tcPr>
            <w:tcW w:w="899" w:type="dxa"/>
          </w:tcPr>
          <w:p w:rsidR="008E05AA" w:rsidRDefault="008E05AA" w:rsidP="004F7425">
            <w:pPr>
              <w:jc w:val="both"/>
            </w:pPr>
            <w:r>
              <w:t>1</w:t>
            </w:r>
          </w:p>
        </w:tc>
        <w:tc>
          <w:tcPr>
            <w:tcW w:w="899" w:type="dxa"/>
          </w:tcPr>
          <w:p w:rsidR="008E05AA" w:rsidRDefault="008E05AA" w:rsidP="004F7425">
            <w:pPr>
              <w:jc w:val="both"/>
            </w:pPr>
            <w:r>
              <w:t>36</w:t>
            </w:r>
          </w:p>
        </w:tc>
        <w:tc>
          <w:tcPr>
            <w:tcW w:w="899" w:type="dxa"/>
          </w:tcPr>
          <w:p w:rsidR="008E05AA" w:rsidRDefault="008E05AA" w:rsidP="004F7425">
            <w:pPr>
              <w:jc w:val="both"/>
            </w:pPr>
            <w:r>
              <w:t>3</w:t>
            </w:r>
          </w:p>
        </w:tc>
      </w:tr>
      <w:tr w:rsidR="008E05AA" w:rsidTr="004F7425">
        <w:trPr>
          <w:cantSplit/>
        </w:trPr>
        <w:tc>
          <w:tcPr>
            <w:tcW w:w="5872" w:type="dxa"/>
            <w:gridSpan w:val="2"/>
          </w:tcPr>
          <w:p w:rsidR="008E05AA" w:rsidRDefault="008E05AA" w:rsidP="004F7425">
            <w:pPr>
              <w:jc w:val="both"/>
            </w:pPr>
            <w:r>
              <w:t>Viso (per metus pagal paslaugas)</w:t>
            </w:r>
          </w:p>
        </w:tc>
        <w:tc>
          <w:tcPr>
            <w:tcW w:w="899" w:type="dxa"/>
          </w:tcPr>
          <w:p w:rsidR="008E05AA" w:rsidRDefault="008E05AA" w:rsidP="004F7425">
            <w:pPr>
              <w:jc w:val="both"/>
              <w:rPr>
                <w:i/>
                <w:iCs/>
              </w:rPr>
            </w:pPr>
            <w:r>
              <w:rPr>
                <w:i/>
                <w:iCs/>
              </w:rPr>
              <w:t>10747</w:t>
            </w:r>
          </w:p>
        </w:tc>
        <w:tc>
          <w:tcPr>
            <w:tcW w:w="899" w:type="dxa"/>
          </w:tcPr>
          <w:p w:rsidR="008E05AA" w:rsidRDefault="008E05AA" w:rsidP="004F7425">
            <w:pPr>
              <w:jc w:val="both"/>
              <w:rPr>
                <w:i/>
                <w:iCs/>
              </w:rPr>
            </w:pPr>
            <w:r>
              <w:rPr>
                <w:i/>
                <w:iCs/>
              </w:rPr>
              <w:t>8257</w:t>
            </w:r>
          </w:p>
        </w:tc>
        <w:tc>
          <w:tcPr>
            <w:tcW w:w="899" w:type="dxa"/>
          </w:tcPr>
          <w:p w:rsidR="008E05AA" w:rsidRDefault="008E05AA" w:rsidP="004F7425">
            <w:pPr>
              <w:jc w:val="both"/>
              <w:rPr>
                <w:i/>
                <w:iCs/>
              </w:rPr>
            </w:pPr>
            <w:r>
              <w:rPr>
                <w:i/>
                <w:iCs/>
              </w:rPr>
              <w:t>10566</w:t>
            </w:r>
          </w:p>
        </w:tc>
        <w:tc>
          <w:tcPr>
            <w:tcW w:w="899" w:type="dxa"/>
          </w:tcPr>
          <w:p w:rsidR="008E05AA" w:rsidRDefault="008E05AA" w:rsidP="004F7425">
            <w:pPr>
              <w:jc w:val="both"/>
              <w:rPr>
                <w:i/>
                <w:iCs/>
              </w:rPr>
            </w:pPr>
            <w:r>
              <w:rPr>
                <w:i/>
                <w:iCs/>
              </w:rPr>
              <w:t>9708</w:t>
            </w:r>
          </w:p>
        </w:tc>
      </w:tr>
      <w:tr w:rsidR="008E05AA" w:rsidTr="004F7425">
        <w:trPr>
          <w:cantSplit/>
        </w:trPr>
        <w:tc>
          <w:tcPr>
            <w:tcW w:w="5872" w:type="dxa"/>
            <w:gridSpan w:val="2"/>
          </w:tcPr>
          <w:p w:rsidR="008E05AA" w:rsidRDefault="008E05AA" w:rsidP="004F7425">
            <w:pPr>
              <w:jc w:val="both"/>
            </w:pPr>
            <w:r>
              <w:t>Viso (per metus)</w:t>
            </w:r>
          </w:p>
        </w:tc>
        <w:tc>
          <w:tcPr>
            <w:tcW w:w="1798" w:type="dxa"/>
            <w:gridSpan w:val="2"/>
          </w:tcPr>
          <w:p w:rsidR="008E05AA" w:rsidRDefault="008E05AA" w:rsidP="004F7425">
            <w:pPr>
              <w:jc w:val="both"/>
            </w:pPr>
            <w:r>
              <w:t>19 004</w:t>
            </w:r>
          </w:p>
        </w:tc>
        <w:tc>
          <w:tcPr>
            <w:tcW w:w="1798" w:type="dxa"/>
            <w:gridSpan w:val="2"/>
          </w:tcPr>
          <w:p w:rsidR="008E05AA" w:rsidRDefault="008E05AA" w:rsidP="004F7425">
            <w:pPr>
              <w:jc w:val="both"/>
            </w:pPr>
            <w:r>
              <w:t>20 274</w:t>
            </w:r>
          </w:p>
        </w:tc>
      </w:tr>
    </w:tbl>
    <w:p w:rsidR="008E05AA" w:rsidRDefault="008E05AA" w:rsidP="008E05AA">
      <w:pPr>
        <w:jc w:val="both"/>
        <w:rPr>
          <w:b/>
          <w:bCs/>
        </w:rPr>
      </w:pPr>
    </w:p>
    <w:p w:rsidR="008E05AA" w:rsidRDefault="008E05AA" w:rsidP="008E05AA">
      <w:pPr>
        <w:jc w:val="both"/>
      </w:pPr>
      <w:r>
        <w:rPr>
          <w:b/>
          <w:bCs/>
        </w:rPr>
        <w:t>Dėl priklausomybės raminančioms medžiagoms</w:t>
      </w:r>
    </w:p>
    <w:p w:rsidR="008E05AA" w:rsidRDefault="008E05AA" w:rsidP="008E05AA">
      <w:pPr>
        <w:jc w:val="both"/>
      </w:pPr>
    </w:p>
    <w:p w:rsidR="008E05AA" w:rsidRDefault="008E05AA" w:rsidP="008E05AA">
      <w:pPr>
        <w:ind w:firstLine="720"/>
        <w:jc w:val="both"/>
      </w:pPr>
      <w:r>
        <w:t>2007 m. analizuojant priklausomybę kitoms psichiką veikiančioms medžiagoms padaugėjo asmenų į asmens sveikatos priežiūros įstaigas (toliau – ASPĮ) besikreipusių tik dėl priklausomybės raminančioms (F13) ir lakioms (F18) medžiagoms. Dėl žalingo kitų psichiką veikiančių medžiagų vartojimo kreipimosi atvejų sumažėjo. Priklausomybės nuo kitų medžiagų metų bėgyje kito nežymiai ir pasiskirstė taip:</w:t>
      </w:r>
    </w:p>
    <w:p w:rsidR="008E05AA" w:rsidRDefault="008E05AA" w:rsidP="008E05AA">
      <w:pPr>
        <w:jc w:val="both"/>
      </w:pPr>
      <w:r>
        <w:rPr>
          <w:i/>
          <w:iCs/>
        </w:rPr>
        <w:t xml:space="preserve"> Diagnozuoti psichikos ir elgesio sutrikimų vartojant psichiką veikiančias medžiagas atvejai išskyrus alkoholį.</w:t>
      </w:r>
    </w:p>
    <w:p w:rsidR="008E05AA" w:rsidRDefault="008E05AA" w:rsidP="008E05AA">
      <w:pPr>
        <w:jc w:val="both"/>
      </w:pPr>
      <w:r>
        <w:rPr>
          <w:i/>
          <w:iCs/>
        </w:rPr>
        <w:t>Priklausomybė nuo psichiką veikiančių medžiagų vaikų tarpe:</w:t>
      </w:r>
    </w:p>
    <w:p w:rsidR="008E05AA" w:rsidRDefault="008E05AA" w:rsidP="008E05AA">
      <w:pPr>
        <w:jc w:val="both"/>
      </w:pPr>
    </w:p>
    <w:p w:rsidR="008E05AA" w:rsidRDefault="008E05AA" w:rsidP="008E05AA">
      <w:pPr>
        <w:jc w:val="both"/>
      </w:pPr>
      <w:r>
        <w:rPr>
          <w:noProof/>
          <w:lang w:eastAsia="lt-LT"/>
        </w:rPr>
        <w:lastRenderedPageBreak/>
        <w:drawing>
          <wp:inline distT="0" distB="0" distL="0" distR="0" wp14:anchorId="16E5B54A" wp14:editId="056891F5">
            <wp:extent cx="4600575" cy="2095500"/>
            <wp:effectExtent l="0" t="0" r="0" b="0"/>
            <wp:docPr id="40" name="Diagrama 4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E05AA" w:rsidRDefault="008E05AA" w:rsidP="008E05AA">
      <w:pPr>
        <w:jc w:val="both"/>
        <w:rPr>
          <w:i/>
          <w:iCs/>
        </w:rPr>
      </w:pPr>
      <w:r>
        <w:rPr>
          <w:i/>
          <w:iCs/>
        </w:rPr>
        <w:t xml:space="preserve"> </w:t>
      </w:r>
    </w:p>
    <w:p w:rsidR="008E05AA" w:rsidRDefault="008E05AA" w:rsidP="008E05AA">
      <w:pPr>
        <w:jc w:val="both"/>
      </w:pPr>
      <w:r>
        <w:tab/>
        <w:t>Vaikų psichikos ir elgesio sutrikimai vartojant psichiką veikiančias medžiagas pagal lytį skiriasi nuo priklausomybe sergančiųjų suaugusiųjų. Priklausomybe sergančios mergaitės sudaro trečdalį visų vaikų priklausomybės atvejų:</w:t>
      </w:r>
    </w:p>
    <w:p w:rsidR="008E05AA" w:rsidRDefault="008E05AA" w:rsidP="008E05AA">
      <w:pPr>
        <w:jc w:val="both"/>
        <w:rPr>
          <w:i/>
          <w:iCs/>
        </w:rPr>
      </w:pPr>
      <w:r>
        <w:rPr>
          <w:i/>
          <w:iCs/>
        </w:rPr>
        <w:t>Vaikų psichikos ir elgesio sutrikimai vartojant psichiką veikiančias medžiagas pagal lytį:</w:t>
      </w:r>
    </w:p>
    <w:p w:rsidR="008E05AA" w:rsidRDefault="008E05AA" w:rsidP="008E05AA">
      <w:pPr>
        <w:jc w:val="both"/>
      </w:pPr>
    </w:p>
    <w:p w:rsidR="008E05AA" w:rsidRDefault="008E05AA" w:rsidP="008E05AA">
      <w:pPr>
        <w:jc w:val="both"/>
      </w:pPr>
      <w:r>
        <w:rPr>
          <w:noProof/>
          <w:lang w:eastAsia="lt-LT"/>
        </w:rPr>
        <w:drawing>
          <wp:inline distT="0" distB="0" distL="0" distR="0" wp14:anchorId="17B40EB7" wp14:editId="71A54A7C">
            <wp:extent cx="5257800" cy="2447925"/>
            <wp:effectExtent l="0" t="0" r="0" b="0"/>
            <wp:docPr id="41" name="Diagrama 4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E05AA" w:rsidRDefault="008E05AA" w:rsidP="008E05AA">
      <w:pPr>
        <w:jc w:val="both"/>
      </w:pPr>
    </w:p>
    <w:p w:rsidR="008E05AA" w:rsidRDefault="008E05AA" w:rsidP="008E05AA">
      <w:pPr>
        <w:jc w:val="both"/>
        <w:rPr>
          <w:color w:val="FF0000"/>
        </w:rPr>
      </w:pPr>
      <w:r>
        <w:tab/>
        <w:t>Didžioji dauguma (daugiau nei 97 proc.) psichiką veikiančiomis medžiagomis piktnaudžiaujančių vaikų yra 13-18 metų amžiaus. Valstybinės ligonių kasos duomenimis 2007 m. dviem vaikams, jaunesniems nei 10 m. amžiaus, stacionarines paslaugas teikiančiose ASPĮ buvo diagnozuota priklausomybė raminančioms medžiagoms ir alkoholiui. Atsižvelgus į psichikos ir elgesio sutrikimų diagnostikos ypatumus (šiuos sutrikimus, kaip ilgalaikio psichiką veikiančių medžiagų vartojimo pasekmę, diagnozuoja psichiatrijos specialistai) yra mažai tikėtina, jog duomenys apie vaikų, jaunesnių nei 10 m., priklausomybę nuo psichiką veikiančių medžiagų yra tikslūs.</w:t>
      </w:r>
      <w:r>
        <w:rPr>
          <w:color w:val="FF0000"/>
        </w:rPr>
        <w:t xml:space="preserve"> </w:t>
      </w:r>
    </w:p>
    <w:p w:rsidR="008E05AA" w:rsidRDefault="008E05AA" w:rsidP="008E05AA">
      <w:pPr>
        <w:jc w:val="both"/>
        <w:rPr>
          <w:i/>
          <w:iCs/>
        </w:rPr>
      </w:pPr>
      <w:r>
        <w:rPr>
          <w:i/>
          <w:iCs/>
        </w:rPr>
        <w:t>Psichikos ir elgesio sutrikimai vartojant psichiką veikiančias medžiagas pagal vaikų amžių:</w:t>
      </w:r>
    </w:p>
    <w:p w:rsidR="008E05AA" w:rsidRDefault="008E05AA" w:rsidP="008E05AA">
      <w:pPr>
        <w:jc w:val="both"/>
        <w:rPr>
          <w:color w:val="3366FF"/>
        </w:rPr>
      </w:pPr>
    </w:p>
    <w:p w:rsidR="008E05AA" w:rsidRDefault="008E05AA" w:rsidP="008E05AA">
      <w:pPr>
        <w:jc w:val="both"/>
      </w:pPr>
      <w:r>
        <w:rPr>
          <w:noProof/>
          <w:lang w:eastAsia="lt-LT"/>
        </w:rPr>
        <w:drawing>
          <wp:inline distT="0" distB="0" distL="0" distR="0" wp14:anchorId="6D27663D" wp14:editId="1B8A2148">
            <wp:extent cx="5257800" cy="2447925"/>
            <wp:effectExtent l="0" t="0" r="0" b="0"/>
            <wp:docPr id="42" name="Diagrama 4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E05AA" w:rsidRDefault="008E05AA" w:rsidP="008E05AA">
      <w:pPr>
        <w:jc w:val="both"/>
      </w:pPr>
      <w:r>
        <w:rPr>
          <w:i/>
          <w:iCs/>
        </w:rPr>
        <w:lastRenderedPageBreak/>
        <w:t xml:space="preserve"> </w:t>
      </w:r>
    </w:p>
    <w:p w:rsidR="008E05AA" w:rsidRDefault="008E05AA" w:rsidP="008E05AA">
      <w:pPr>
        <w:jc w:val="both"/>
      </w:pPr>
      <w:r>
        <w:tab/>
        <w:t>Stacionarinėse ASPĮ vaikų mirčių dėl psichikos ir elgesio sutrikimo, vartojant psichiką veikiančias medžiagas 2007 m. neužregistruota.</w:t>
      </w:r>
    </w:p>
    <w:p w:rsidR="008E05AA" w:rsidRPr="007F6388" w:rsidRDefault="008E05AA" w:rsidP="008E05AA">
      <w:pPr>
        <w:pStyle w:val="Pagrindinistekstas"/>
      </w:pPr>
      <w:r>
        <w:rPr>
          <w:lang w:val="en-US"/>
        </w:rPr>
        <w:tab/>
      </w:r>
      <w:r w:rsidRPr="007F6388">
        <w:t xml:space="preserve">Sveikatos apsaugos ministerija 2008 11 10 raštu Nr. 10-(01-22)-6686 “Dėl paauglių svaiginimosi vaistais” pateikė informaciją, kad Valstybinio aplinkos sveikatos centro duomenimis, pagal apsinuodijimų, ištirtų 2004 – 2007 metais, analizės duomenis, paskutiniaisiais metais stebimas apsinuodijimų skaičiaus mažėjimas. </w:t>
      </w:r>
    </w:p>
    <w:p w:rsidR="008E05AA" w:rsidRDefault="008E05AA" w:rsidP="008E05AA">
      <w:pPr>
        <w:jc w:val="both"/>
      </w:pPr>
      <w:r>
        <w:t>Pateikiamas, vaikų, apsinuodijusių medikamentais, skaičius 2004 – 2007 m.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701"/>
        <w:gridCol w:w="1701"/>
        <w:gridCol w:w="1843"/>
        <w:gridCol w:w="1417"/>
        <w:gridCol w:w="1280"/>
      </w:tblGrid>
      <w:tr w:rsidR="008E05AA" w:rsidTr="004F7425">
        <w:tc>
          <w:tcPr>
            <w:tcW w:w="1526" w:type="dxa"/>
          </w:tcPr>
          <w:p w:rsidR="008E05AA" w:rsidRDefault="008E05AA" w:rsidP="004F7425">
            <w:pPr>
              <w:jc w:val="both"/>
            </w:pPr>
            <w:r>
              <w:t>Vaikų grupė</w:t>
            </w:r>
          </w:p>
        </w:tc>
        <w:tc>
          <w:tcPr>
            <w:tcW w:w="1701" w:type="dxa"/>
          </w:tcPr>
          <w:p w:rsidR="008E05AA" w:rsidRDefault="008E05AA" w:rsidP="004F7425">
            <w:pPr>
              <w:jc w:val="both"/>
            </w:pPr>
            <w:r>
              <w:t xml:space="preserve">2004 m. </w:t>
            </w:r>
          </w:p>
        </w:tc>
        <w:tc>
          <w:tcPr>
            <w:tcW w:w="1701" w:type="dxa"/>
          </w:tcPr>
          <w:p w:rsidR="008E05AA" w:rsidRDefault="008E05AA" w:rsidP="004F7425">
            <w:pPr>
              <w:jc w:val="both"/>
            </w:pPr>
            <w:r>
              <w:t xml:space="preserve">2005 m. </w:t>
            </w:r>
          </w:p>
        </w:tc>
        <w:tc>
          <w:tcPr>
            <w:tcW w:w="1843" w:type="dxa"/>
          </w:tcPr>
          <w:p w:rsidR="008E05AA" w:rsidRDefault="008E05AA" w:rsidP="004F7425">
            <w:pPr>
              <w:jc w:val="both"/>
            </w:pPr>
            <w:r>
              <w:t xml:space="preserve">2006 m. </w:t>
            </w:r>
          </w:p>
        </w:tc>
        <w:tc>
          <w:tcPr>
            <w:tcW w:w="1417" w:type="dxa"/>
          </w:tcPr>
          <w:p w:rsidR="008E05AA" w:rsidRDefault="008E05AA" w:rsidP="004F7425">
            <w:pPr>
              <w:jc w:val="both"/>
            </w:pPr>
            <w:r>
              <w:t xml:space="preserve">2007 m. </w:t>
            </w:r>
          </w:p>
        </w:tc>
        <w:tc>
          <w:tcPr>
            <w:tcW w:w="1280" w:type="dxa"/>
          </w:tcPr>
          <w:p w:rsidR="008E05AA" w:rsidRDefault="008E05AA" w:rsidP="004F7425">
            <w:pPr>
              <w:jc w:val="both"/>
            </w:pPr>
          </w:p>
        </w:tc>
      </w:tr>
      <w:tr w:rsidR="008E05AA" w:rsidTr="004F7425">
        <w:tc>
          <w:tcPr>
            <w:tcW w:w="1526" w:type="dxa"/>
          </w:tcPr>
          <w:p w:rsidR="008E05AA" w:rsidRDefault="008E05AA" w:rsidP="004F7425">
            <w:pPr>
              <w:jc w:val="both"/>
            </w:pPr>
            <w:r>
              <w:t xml:space="preserve">8–14 metų  </w:t>
            </w:r>
          </w:p>
        </w:tc>
        <w:tc>
          <w:tcPr>
            <w:tcW w:w="1701" w:type="dxa"/>
          </w:tcPr>
          <w:p w:rsidR="008E05AA" w:rsidRDefault="008E05AA" w:rsidP="004F7425">
            <w:pPr>
              <w:jc w:val="both"/>
            </w:pPr>
            <w:r>
              <w:t>97</w:t>
            </w:r>
          </w:p>
        </w:tc>
        <w:tc>
          <w:tcPr>
            <w:tcW w:w="1701" w:type="dxa"/>
          </w:tcPr>
          <w:p w:rsidR="008E05AA" w:rsidRDefault="008E05AA" w:rsidP="004F7425">
            <w:pPr>
              <w:jc w:val="both"/>
            </w:pPr>
            <w:r>
              <w:t>98</w:t>
            </w:r>
          </w:p>
        </w:tc>
        <w:tc>
          <w:tcPr>
            <w:tcW w:w="1843" w:type="dxa"/>
          </w:tcPr>
          <w:p w:rsidR="008E05AA" w:rsidRDefault="008E05AA" w:rsidP="004F7425">
            <w:pPr>
              <w:jc w:val="both"/>
            </w:pPr>
            <w:r>
              <w:t>106</w:t>
            </w:r>
          </w:p>
        </w:tc>
        <w:tc>
          <w:tcPr>
            <w:tcW w:w="1417" w:type="dxa"/>
          </w:tcPr>
          <w:p w:rsidR="008E05AA" w:rsidRDefault="008E05AA" w:rsidP="004F7425">
            <w:pPr>
              <w:jc w:val="both"/>
            </w:pPr>
            <w:r>
              <w:t>100</w:t>
            </w:r>
          </w:p>
        </w:tc>
        <w:tc>
          <w:tcPr>
            <w:tcW w:w="1280" w:type="dxa"/>
          </w:tcPr>
          <w:p w:rsidR="008E05AA" w:rsidRDefault="008E05AA" w:rsidP="004F7425">
            <w:pPr>
              <w:jc w:val="both"/>
            </w:pPr>
          </w:p>
        </w:tc>
      </w:tr>
      <w:tr w:rsidR="008E05AA" w:rsidTr="004F7425">
        <w:tc>
          <w:tcPr>
            <w:tcW w:w="1526" w:type="dxa"/>
          </w:tcPr>
          <w:p w:rsidR="008E05AA" w:rsidRDefault="008E05AA" w:rsidP="004F7425">
            <w:pPr>
              <w:jc w:val="both"/>
            </w:pPr>
            <w:r>
              <w:t>15-17 metų</w:t>
            </w:r>
          </w:p>
        </w:tc>
        <w:tc>
          <w:tcPr>
            <w:tcW w:w="1701" w:type="dxa"/>
          </w:tcPr>
          <w:p w:rsidR="008E05AA" w:rsidRDefault="008E05AA" w:rsidP="004F7425">
            <w:pPr>
              <w:jc w:val="both"/>
            </w:pPr>
            <w:r>
              <w:t>145</w:t>
            </w:r>
          </w:p>
        </w:tc>
        <w:tc>
          <w:tcPr>
            <w:tcW w:w="1701" w:type="dxa"/>
          </w:tcPr>
          <w:p w:rsidR="008E05AA" w:rsidRDefault="008E05AA" w:rsidP="004F7425">
            <w:pPr>
              <w:jc w:val="both"/>
            </w:pPr>
            <w:r>
              <w:t>202</w:t>
            </w:r>
          </w:p>
        </w:tc>
        <w:tc>
          <w:tcPr>
            <w:tcW w:w="1843" w:type="dxa"/>
          </w:tcPr>
          <w:p w:rsidR="008E05AA" w:rsidRDefault="008E05AA" w:rsidP="004F7425">
            <w:pPr>
              <w:jc w:val="both"/>
            </w:pPr>
            <w:r>
              <w:t>221</w:t>
            </w:r>
          </w:p>
        </w:tc>
        <w:tc>
          <w:tcPr>
            <w:tcW w:w="1417" w:type="dxa"/>
          </w:tcPr>
          <w:p w:rsidR="008E05AA" w:rsidRDefault="008E05AA" w:rsidP="004F7425">
            <w:pPr>
              <w:jc w:val="both"/>
            </w:pPr>
            <w:r>
              <w:t>167</w:t>
            </w:r>
          </w:p>
        </w:tc>
        <w:tc>
          <w:tcPr>
            <w:tcW w:w="1280" w:type="dxa"/>
          </w:tcPr>
          <w:p w:rsidR="008E05AA" w:rsidRDefault="008E05AA" w:rsidP="004F7425">
            <w:pPr>
              <w:jc w:val="both"/>
            </w:pPr>
          </w:p>
        </w:tc>
      </w:tr>
    </w:tbl>
    <w:p w:rsidR="008E05AA" w:rsidRDefault="008E05AA" w:rsidP="008E05AA">
      <w:pPr>
        <w:ind w:firstLine="720"/>
        <w:jc w:val="both"/>
      </w:pPr>
    </w:p>
    <w:p w:rsidR="008E05AA" w:rsidRDefault="008E05AA" w:rsidP="008E05AA">
      <w:pPr>
        <w:ind w:firstLine="720"/>
        <w:jc w:val="both"/>
      </w:pPr>
      <w:r>
        <w:t xml:space="preserve">Sveikatos apsaugos ministerija nurodė, kad šiuo metu į vaistines yra tiekiami šie dekstrometorfano savo sudėtyje turintys vaistiniai preparatai: Actifed DM sirupas, Robitussin Antitussicum sirupas, Robitussin Junior sirupas, Theraflu FCC, Theraflu ND ir Theraflu NT milteliai, Daleron Cold tabletės, Gripex tabletės. Visi šie vaistiniai preparatai ir jų pakuotės atitinka reikalavimus nereceptiniams vaistams ir yra registruoti kaip nereceptiniai vaistiniai preparatai. Jie yra saugūs vartojant taip, kaip nurodyta pakuotės lapelyje. </w:t>
      </w:r>
    </w:p>
    <w:p w:rsidR="008E05AA" w:rsidRDefault="008E05AA" w:rsidP="008E05AA">
      <w:pPr>
        <w:ind w:firstLine="720"/>
        <w:jc w:val="both"/>
      </w:pPr>
      <w:r>
        <w:t xml:space="preserve">Vaistiniai preparatai alprazolamas, diazepamas, lorazepamas, temazepamas, triazolamas, zolpidemas yra įtraukti į Narkotinių ir pasichotropinių medžiagų sąrašų, patvirtintų Sveikatos apsaugos ministro 2000 m. sausio 6 d. įsakymu Nr. 5 ( Žin., 2000, Nr. 4-113), III sąrašą (psichotropinės medžiagos, leidžiamos naudoti medicines tikslams). Tai yra receptiniai vaistiniai preparatai, kurių išrašymą ir pardavimą gyventojams reglamentuoja Taisyklės, pagal kurių 71 punktą “vaikams  iki 18 metų draudžiama išduoti (parduoti) vaistų, kuriais piktnaudžiaujant gali išsivystyti priklausomybė ar toksikomanija: narkotinių ir psichotropinių vaistų, narkotinių ir psichotropinių medžiagų pirmtakų (prekursorių), etanolio ir jo tirpalų, klonidino, antidepresantų, antihistamininių vaistų. Farmacijos specialistas turi teisę paprašyti, kad receptą pateikęs asmuo parodytų asmens dokumentą. </w:t>
      </w:r>
    </w:p>
    <w:p w:rsidR="008E05AA" w:rsidRDefault="008E05AA" w:rsidP="008E05AA">
      <w:pPr>
        <w:jc w:val="both"/>
      </w:pPr>
      <w:r>
        <w:t xml:space="preserve">  </w:t>
      </w:r>
      <w:r>
        <w:tab/>
        <w:t xml:space="preserve">Sveikatos apsaugos ministerija tirdama vaikų svaiginimasi vaistais, turinčiais savo sudėtyje dekstrometorfano, įvertino vaistų pardavimo apimtis ir sergamumo gripu bei ūmiomis viršutinių kvėpavimo takų infekcijomis ryšį. </w:t>
      </w:r>
    </w:p>
    <w:p w:rsidR="008E05AA" w:rsidRDefault="008E05AA" w:rsidP="008E05AA">
      <w:pPr>
        <w:ind w:firstLine="720"/>
        <w:jc w:val="both"/>
      </w:pPr>
      <w:r>
        <w:t xml:space="preserve">Sveikatos apsaugos  ministerijos duomenimis 2006 m. ir 2007 m. stebimas sergamumo rodiklių padidėjimas ūmiomis viršutinių kvėpavimo takų infekcijomis bei gripu žiemos- pavasario ir rudens laikotarpiu. </w:t>
      </w:r>
    </w:p>
    <w:p w:rsidR="008E05AA" w:rsidRDefault="008E05AA" w:rsidP="008E05AA">
      <w:pPr>
        <w:ind w:firstLine="720"/>
        <w:jc w:val="both"/>
      </w:pPr>
      <w:r>
        <w:t xml:space="preserve">Ypatingai dideli sergamumo gripu rodikliai buvo stebimi 2006 metais, kai Lietuvoje vyravo gripo epidemija. </w:t>
      </w:r>
    </w:p>
    <w:p w:rsidR="008E05AA" w:rsidRDefault="008E05AA" w:rsidP="008E05AA">
      <w:pPr>
        <w:ind w:firstLine="720"/>
        <w:jc w:val="both"/>
      </w:pPr>
      <w:r>
        <w:t xml:space="preserve">Atitinkamai didėjo ir vaistinių preparatų, turinčių savo sudėtyje dekstrometorfano, pardavimų skaičius. </w:t>
      </w:r>
    </w:p>
    <w:p w:rsidR="008E05AA" w:rsidRDefault="008E05AA" w:rsidP="008E05AA">
      <w:pPr>
        <w:ind w:firstLine="720"/>
        <w:jc w:val="both"/>
      </w:pPr>
      <w:r>
        <w:t xml:space="preserve">Sveikatos apsaugos ministerija padarė išvadą, kad vaistų, turinčių savo sudėtyje   dekstrometorfano, pardavimų skaičius priklauso nuo sezoniškumo ir ligų protrūkio. </w:t>
      </w:r>
    </w:p>
    <w:p w:rsidR="008E05AA" w:rsidRDefault="008E05AA" w:rsidP="008E05AA">
      <w:pPr>
        <w:ind w:firstLine="720"/>
        <w:jc w:val="both"/>
      </w:pPr>
      <w:r>
        <w:t xml:space="preserve">Valstybinės vaistų kontrolės tarnybos prie Lietuvos Respublikos Sveikatos apsaugos ministerijos duomenimis narkotinės ir psichotropinės medžiagos klasifikuojamos pagal jų žalingą poveikį žmogaus sveikatai, kai jomis piktnaudžiaujama, ir pagal tai, ar jos gali būti vartojamos sveikatos priežiūros tikslams. </w:t>
      </w:r>
    </w:p>
    <w:p w:rsidR="008E05AA" w:rsidRDefault="008E05AA" w:rsidP="008E05AA">
      <w:pPr>
        <w:ind w:firstLine="720"/>
        <w:jc w:val="both"/>
      </w:pPr>
      <w:r>
        <w:t>Narkotinės ir psichotropinės medžiagos pagal joms taikomą kontrolės režimą, remiantis Lietuvos Respublikos tarptautinėmis sutartimis, klasifikuoja ir į sąrašus įrašo Lietuvos Respublikos Sveikatos apsaugos ministerija.</w:t>
      </w:r>
    </w:p>
    <w:p w:rsidR="008E05AA" w:rsidRDefault="008E05AA" w:rsidP="008E05AA">
      <w:pPr>
        <w:ind w:firstLine="720"/>
        <w:jc w:val="both"/>
      </w:pPr>
      <w:r>
        <w:t>Sudaromi trys narkotinių ir psichotropinių medžiagų sąrašai:</w:t>
      </w:r>
    </w:p>
    <w:p w:rsidR="008E05AA" w:rsidRDefault="008E05AA" w:rsidP="008E05AA">
      <w:pPr>
        <w:ind w:firstLine="720"/>
        <w:jc w:val="both"/>
      </w:pPr>
      <w:r>
        <w:t xml:space="preserve">1) pirmąjį sąrašą sudaro augalai, narkotinės ir psichotropinės medžiagos, uždrausti vartoti sveikatos priežiūros tikslams dėl žalingų padarinių žmogaus sveikatai. </w:t>
      </w:r>
    </w:p>
    <w:p w:rsidR="008E05AA" w:rsidRDefault="008E05AA" w:rsidP="008E05AA">
      <w:pPr>
        <w:ind w:firstLine="720"/>
        <w:jc w:val="both"/>
      </w:pPr>
      <w:r>
        <w:t xml:space="preserve">2) antrąjį sąrašą sudaro augalai,  narkotinės ir psichotropinės medžiagos, vartojami sveikatos priežiūros tikslams, žalingų padarinių, kai šiomis medžiagomis piktnaudžiaujama, labai pavojingi žmogaus sveikatai </w:t>
      </w:r>
    </w:p>
    <w:p w:rsidR="008E05AA" w:rsidRDefault="008E05AA" w:rsidP="008E05AA">
      <w:pPr>
        <w:ind w:firstLine="720"/>
        <w:jc w:val="both"/>
      </w:pPr>
      <w:r>
        <w:t xml:space="preserve"> Pvz., 2006 metais tokių medžiagų  į Lietuvos Respubliką buvo importuota – </w:t>
      </w:r>
    </w:p>
    <w:p w:rsidR="008E05AA" w:rsidRDefault="008E05AA" w:rsidP="008E05AA">
      <w:pPr>
        <w:jc w:val="both"/>
      </w:pPr>
      <w:r>
        <w:t xml:space="preserve">183, 066 kg.   Iš jų : Tramadol –153, 250 kg. </w:t>
      </w:r>
    </w:p>
    <w:p w:rsidR="008E05AA" w:rsidRDefault="008E05AA" w:rsidP="008E05AA">
      <w:pPr>
        <w:ind w:firstLine="720"/>
        <w:jc w:val="both"/>
      </w:pPr>
      <w:r>
        <w:lastRenderedPageBreak/>
        <w:t>3) trečiąjį sąrašą sudaro augalai ir psichotropinės medžiagos, vartojami sveikatos priežiūros tikslams, dėl žalingų padarinių, kai  šiomis medžiagomis piktnaudžiaujama,  pavojingi žmogaus sveikatai.</w:t>
      </w:r>
    </w:p>
    <w:p w:rsidR="008E05AA" w:rsidRDefault="008E05AA" w:rsidP="008E05AA">
      <w:pPr>
        <w:ind w:firstLine="720"/>
        <w:jc w:val="both"/>
      </w:pPr>
      <w:r>
        <w:t xml:space="preserve">Pvz., Tokių medžiagų 2006 metais buvo importuota  - 807, 423 kg. Iš jų Diazepam- 107, 279 kg ir Bromazepam – 53, 665 kg, Oxazepam – 40, 339 kg.   </w:t>
      </w:r>
    </w:p>
    <w:p w:rsidR="008E05AA" w:rsidRDefault="008E05AA" w:rsidP="008E05AA">
      <w:pPr>
        <w:ind w:firstLine="720"/>
        <w:jc w:val="both"/>
      </w:pPr>
      <w:r>
        <w:t>Seimo Narkomanijos ir alkoholizmo prevencijos komisijoje nėra informacijos, ar 2007 - 2008 metais buvo atliekamas Sveikatos apsaugos ministerijos sistemoje narkotinių ir psichotropinių medžiagų vaistų skyrimo ir vartojimo vertinimas.</w:t>
      </w:r>
    </w:p>
    <w:p w:rsidR="008E05AA" w:rsidRDefault="008E05AA" w:rsidP="008E05AA">
      <w:pPr>
        <w:pStyle w:val="Pagrindinistekstas2"/>
      </w:pPr>
      <w:r>
        <w:t xml:space="preserve"> </w:t>
      </w:r>
      <w:r>
        <w:tab/>
        <w:t>Nustatyta, kad:</w:t>
      </w:r>
    </w:p>
    <w:p w:rsidR="008E05AA" w:rsidRDefault="008E05AA" w:rsidP="008E05AA">
      <w:pPr>
        <w:ind w:firstLine="720"/>
        <w:jc w:val="both"/>
      </w:pPr>
      <w:r>
        <w:t>– vaikų apsinuodijimai  alkoholiu,  narkotinėmis ir psichotropinėmis medžiagomis ir tokie apsinuodijimai narkotikais ir haliucinogenais tarp vaikų yra dažnesni nei tarp sergančių priklausomybės ligomis;</w:t>
      </w:r>
    </w:p>
    <w:p w:rsidR="008E05AA" w:rsidRDefault="008E05AA" w:rsidP="008E05AA">
      <w:pPr>
        <w:ind w:firstLine="720"/>
        <w:jc w:val="both"/>
      </w:pPr>
      <w:r>
        <w:t xml:space="preserve">– didžioji dauguma (daugiau nei 97 proc.) psichiką veikiančiomis medžiagomis piktnaudžiaujančių vaikų yra 13-18 metų amžiaus; </w:t>
      </w:r>
    </w:p>
    <w:p w:rsidR="008E05AA" w:rsidRDefault="008E05AA" w:rsidP="008E05AA">
      <w:pPr>
        <w:ind w:firstLine="720"/>
        <w:jc w:val="both"/>
      </w:pPr>
      <w:r>
        <w:t>– 2007 m. dviem vaikams, jaunesniems nei 10 metų amžiaus, stacionarines paslaugas teikiančiose ASPĮ buvo diagnozuota priklausomybė raminančioms medžiagoms ir alkoholiui.</w:t>
      </w:r>
    </w:p>
    <w:p w:rsidR="008E05AA" w:rsidRDefault="008E05AA" w:rsidP="008E05AA">
      <w:pPr>
        <w:ind w:firstLine="720"/>
        <w:jc w:val="both"/>
      </w:pPr>
      <w:r>
        <w:t>Todėl, būtinas Valstybinės medicininio audito inspekcijos  prie Sveikatos apsaugos ministerijos tyrimas ir vertinimas dėl 2007 – 2008 metais Sveikatos apsaugos ministerijos sistemoje narkotinių ir psichotropinių medžiagų skyrimo ir medicininių receptų išrašymo teisėtumo ir pagrįstumo.</w:t>
      </w:r>
    </w:p>
    <w:p w:rsidR="008E05AA" w:rsidRDefault="008E05AA" w:rsidP="008E05AA">
      <w:pPr>
        <w:ind w:firstLine="720"/>
        <w:jc w:val="both"/>
      </w:pPr>
    </w:p>
    <w:p w:rsidR="008E05AA" w:rsidRDefault="008E05AA" w:rsidP="008E05AA">
      <w:pPr>
        <w:rPr>
          <w:b/>
          <w:bCs/>
          <w:sz w:val="28"/>
        </w:rPr>
      </w:pPr>
    </w:p>
    <w:p w:rsidR="008E05AA" w:rsidRPr="001A7465" w:rsidRDefault="008E05AA" w:rsidP="008E05AA">
      <w:pPr>
        <w:pStyle w:val="Pagrindiniotekstotrauka3"/>
        <w:rPr>
          <w:sz w:val="28"/>
          <w:szCs w:val="28"/>
        </w:rPr>
      </w:pPr>
      <w:r w:rsidRPr="001A7465">
        <w:rPr>
          <w:sz w:val="28"/>
          <w:szCs w:val="28"/>
        </w:rPr>
        <w:t>Dėl paaugliai svaiginimosi ir kitomis medžiagomis, kurios yra susijusios ir su maisto  ir ne maisto  produktų, bei rūkalų sritimis ir šių medžiagų negalima priskirti prie narkotinių ar psichotropinių medžiagų</w:t>
      </w:r>
    </w:p>
    <w:p w:rsidR="008E05AA" w:rsidRDefault="008E05AA" w:rsidP="008E05AA">
      <w:pPr>
        <w:ind w:firstLine="720"/>
        <w:jc w:val="both"/>
      </w:pPr>
    </w:p>
    <w:p w:rsidR="008E05AA" w:rsidRPr="001A7465" w:rsidRDefault="008E05AA" w:rsidP="008E05AA">
      <w:pPr>
        <w:ind w:firstLine="720"/>
        <w:jc w:val="both"/>
      </w:pPr>
      <w:r w:rsidRPr="001A7465">
        <w:t>Tyrimu nustatyta, kad 2007 metais valstybės institucijos pradėjo tyrimą,  kokiomis kitomis medžiagomis, kurios yra susijusios ir su maisto  ir ne maisto  produktų, bei rūkalų sritimis, svaiginasi paaugliai.</w:t>
      </w:r>
    </w:p>
    <w:p w:rsidR="008E05AA" w:rsidRDefault="008E05AA" w:rsidP="008E05AA">
      <w:pPr>
        <w:ind w:firstLine="720"/>
        <w:jc w:val="both"/>
      </w:pPr>
      <w:r w:rsidRPr="001A7465">
        <w:t>Informacija, cheminių ir augalinių medžiagų, kurios gali būti paauglių vartojamos</w:t>
      </w:r>
      <w:r>
        <w:t xml:space="preserve"> kaip svaiginamosios medžiagos, platinama internetinėje svetainėje </w:t>
      </w:r>
      <w:hyperlink r:id="rId33" w:history="1">
        <w:r>
          <w:rPr>
            <w:rStyle w:val="Hipersaitas"/>
          </w:rPr>
          <w:t>www.buzas.lt</w:t>
        </w:r>
      </w:hyperlink>
      <w:r>
        <w:t xml:space="preserve"> (dabartiniu metu </w:t>
      </w:r>
      <w:hyperlink r:id="rId34" w:history="1">
        <w:r>
          <w:rPr>
            <w:rStyle w:val="Hipersaitas"/>
          </w:rPr>
          <w:t>www.headshop.lt</w:t>
        </w:r>
      </w:hyperlink>
      <w:r>
        <w:t xml:space="preserve">) ir </w:t>
      </w:r>
      <w:hyperlink r:id="rId35" w:history="1">
        <w:r>
          <w:rPr>
            <w:rStyle w:val="Hipersaitas"/>
          </w:rPr>
          <w:t>www.amsterdamas.eu</w:t>
        </w:r>
      </w:hyperlink>
      <w:r>
        <w:t xml:space="preserve"> . Mažmeninė prekyba vykdoma Liejyklos  g. 4 ir  M.Daukšos g. 5, Vilniuje, Kauno, K1aipėdos, Kretingos, Šilutės, Marijampolės, Panevėžio, Telšių, Tauragės parduotuvėse.</w:t>
      </w:r>
    </w:p>
    <w:p w:rsidR="008E05AA" w:rsidRDefault="008E05AA" w:rsidP="008E05AA">
      <w:pPr>
        <w:ind w:firstLine="720"/>
        <w:jc w:val="both"/>
      </w:pPr>
      <w:r>
        <w:t xml:space="preserve">Narkotikų kontrolės departamento prie Lietuvos Respublikos Vyriausybės žiniomis, šiuo metu Lietuvos prekybos rinkoje esantys galimai pavojingi sveikatai su svaigiomis medžiagomis esantys produktai, gamintojų ir platintojų įvardinti kaip aromatizatoriai, odinių drabužių valikliai, rūkalai, uostomieji rūkalai, rūkomieji žoliniai mišiniai, smilkalai, arbatos gali būti paauglių vartojami kaip svaiginamosios medžiagos. </w:t>
      </w:r>
    </w:p>
    <w:p w:rsidR="008E05AA" w:rsidRDefault="008E05AA" w:rsidP="008E05AA">
      <w:pPr>
        <w:ind w:firstLine="720"/>
        <w:jc w:val="both"/>
      </w:pPr>
      <w:r>
        <w:t xml:space="preserve">Vaiko teisių apsaugos kontrolierė, gavusi informaciją, kad vaikų tarpe svaiginamasi eteriniais aliejais, įsigytais sekso reikmenų parduotuvėse, </w:t>
      </w:r>
      <w:r>
        <w:rPr>
          <w:b/>
          <w:bCs/>
        </w:rPr>
        <w:t>2007 11 09</w:t>
      </w:r>
      <w:r>
        <w:t xml:space="preserve"> nutarimu Nr. KI-123 “Dėl tyrimo savo iniciatyva”, nusprendė atlikti tyrimą savo iniciatyva dėl galimo Jungtinių Tautų vaiko teisių konvėncijos, Lietuvos Respublikos vaiko teisių apsaugos pagrindų įstatymo bei kitų, vaiko teises ir jo teisėtus interesus reglamentuojančių teisės aktų, pažeidimo. </w:t>
      </w:r>
    </w:p>
    <w:p w:rsidR="008E05AA" w:rsidRDefault="008E05AA" w:rsidP="008E05AA">
      <w:pPr>
        <w:ind w:firstLine="720"/>
        <w:jc w:val="both"/>
      </w:pPr>
      <w:r>
        <w:t xml:space="preserve"> Vaiko teisių apsaugos kontrolierė padarė išvadas, kad inhaliantų, kuriais piktnaudžiauja nepilnamečiai, pagrindinė aktyvioji medžiaga yra lakieji nitritai. Amilo nitritas (jaunimo tarpe vadinamas “properiu”) nėra įrašytas į Narkotinių ir psichotropinių medžiagų sąrašus, patvirtintus Lietuvos Respublikos Sveikatos apsaugos ministro 2000 m. sausio 6 d. įsakymu Nr.5 (Žin., 2000, Nr. 4- 1130), amilonitritas arba 3-metil-1- nitrozooksibutanas – tai cheminė medžiaga, suklasifikuota Europos Sąjungoje kaip labai degi, kensminga įkvėpus ir prarijus. Ji pagal Lietuvos Respublikos nuodingų medžiagų kontrolės įstatymą (Žin., 2001, Nr. 64-2330) nepriskirta nuodingosioms medžiagoms ir dėl to neįtraukta į Nuodingųjų medžiagų pagal jų toksiškumą sąrašą, patvirtintą Lietuvos Respublikos sveikatos apsaugos ministro 2004 m. gruodžio 30 d. įsakymu Nr. V-974 (Žin., 2005, Nr. 3-47).</w:t>
      </w:r>
    </w:p>
    <w:p w:rsidR="008E05AA" w:rsidRDefault="008E05AA" w:rsidP="008E05AA">
      <w:pPr>
        <w:ind w:firstLine="720"/>
        <w:jc w:val="both"/>
        <w:rPr>
          <w:b/>
          <w:bCs/>
        </w:rPr>
      </w:pPr>
      <w:r>
        <w:lastRenderedPageBreak/>
        <w:t xml:space="preserve">Vaiko teisių apsaugos kontrolierė nustatė, kad eterinių aliejų pagrindą sudaro lakieji nitritai. Įkvėpus skysčio garų poveikis labai trumpas. Išsiplėtus kraujagyslėms apsvaigstama  dėl staiga sumažėjusio kraujospūdžio, atsiranda deguonies trūkumas smegenyse. Nitritai priklauso methemoglobiną sudarančių nuodų grupei. Didesnės nitritų dozės pakeičia hemoglobine esančios geležies valentigumą, susidaro naujas junginys – methemoglobinas. Šis patvarus junginys iš organizmo išstumia deguonį. </w:t>
      </w:r>
      <w:r>
        <w:rPr>
          <w:b/>
          <w:bCs/>
        </w:rPr>
        <w:t xml:space="preserve">Piktnaudžiaujant šiomis medžiagomis dėl hipoksijos (deguonies nepakankamumo) gali vystytis negrįžtami centrinės nervų sistemos pažeidimo reiškiniai.   </w:t>
      </w:r>
    </w:p>
    <w:p w:rsidR="008E05AA" w:rsidRDefault="008E05AA" w:rsidP="008E05AA">
      <w:pPr>
        <w:ind w:firstLine="720"/>
        <w:jc w:val="both"/>
      </w:pPr>
      <w:r>
        <w:t xml:space="preserve">Be to, lakieji nitritai yra priskiriami  kancerogeninėms medžiagoms, kurias vartojant vystosi įvairūs vėžiniai susirgimai bei medžiagoms, kurias vartojant vystosi tolerancija, t.y. organizmo pripratimas prie reguliariai vartojamos psichoaktyvios medžiagos, kai pakartotinis tos pačios dozės vartojimas sukelia mažesnį nei įprasta efektą. </w:t>
      </w:r>
    </w:p>
    <w:p w:rsidR="008E05AA" w:rsidRDefault="008E05AA" w:rsidP="008E05AA">
      <w:pPr>
        <w:ind w:firstLine="720"/>
        <w:jc w:val="both"/>
      </w:pPr>
      <w:r>
        <w:t xml:space="preserve">Vaiko teisių apsaugos kontrolierė pažymėjo, kad vaikai yra labiausiai pažeidžiama visuomenės dalis, todėl būtų tikslinga reglamentuoti, apribojant nepilnamečiams galimybę  lankytis ir pirkti sekso reikmenų parduotuvėse. Sekso reikmenimis leidžiama prekiauti tiktai specializuotose parduotuvėse, tačiau, į jas patenkančių pirkėjų amžiaus cenzas nėra nustatytas. </w:t>
      </w:r>
    </w:p>
    <w:p w:rsidR="008E05AA" w:rsidRDefault="008E05AA" w:rsidP="008E05AA">
      <w:pPr>
        <w:ind w:firstLine="720"/>
        <w:jc w:val="both"/>
      </w:pPr>
      <w:r>
        <w:t>Vaiko teisių apsaugos kontrolierė pažymėjo, kad pagal Lietuvos Respublikos Nepilnamečių apsaugos nuo neigiamos viešosios informacijos poveikio įstatymą erotinio pobūdžio informacija, kai skatinamas lytinis geismas, rodomas lytinis aktas, jo imitacija ar kitoks seksualinis pasitenkinimas, lytiniai organai, seksualiniai reikmenys draudžiama tiesiogiai skelbti ar platinti nepilnamečiams. Lietuvos įstatymuose nurodoma, kad sekso reikmenimis leidžiama prekiauti tiktai specializuotose parduotuvėse, tačiau į jas patenkančių pirkėjų amžiaus cenzas nėra nustatytas. Ar pardavinėti intymias prekes vaikams, apsispręsti paliekama patiems verslininkams. M</w:t>
      </w:r>
      <w:r>
        <w:rPr>
          <w:szCs w:val="22"/>
        </w:rPr>
        <w:t xml:space="preserve">ažmeninės prekybos taisyklių nepakanka apsaugoti nepilnamečius nuo narkotinių, nuodingųjų, kitų stipriai organizmą veikiančių priemonių bei medžiagų vartojimo, tokių priemonių bei medžiagų gaminimo, jų pardavinėjimo ar kitokio platinimo. </w:t>
      </w:r>
      <w:r>
        <w:t xml:space="preserve">Mažmeninės prekybos taisyklėse, patvirtintose Lietuvos Respublikos Vyriausybės 2001 m. birželio 11 d. nutarimu Nr. 697, įtvirtinta nuostata, kad sekso reikmenimis prekiaujama  specializuotose (tik sekso reikmens skirtose) parduotuvėse. Vadovaujantis šia nuostata, išvežiojamoji ar išnešiojamoji mažmeninė prekyba šiais reikmenimis negalima, taip pat šiais reikmenimis negali prekiauti fiziniai asmenys, besiverčiantys individualia prekybine veikla turgavietėse ar viešosiose vietose. </w:t>
      </w:r>
    </w:p>
    <w:p w:rsidR="008E05AA" w:rsidRDefault="008E05AA" w:rsidP="008E05AA">
      <w:pPr>
        <w:ind w:firstLine="720"/>
        <w:jc w:val="both"/>
      </w:pPr>
      <w:r>
        <w:t xml:space="preserve">Valstybinė ne maisto produktų inspekcija prie Ūkio ministerijos uždraudė tiekti į rinką ir įpareigojo pašalinti </w:t>
      </w:r>
      <w:r>
        <w:rPr>
          <w:w w:val="90"/>
        </w:rPr>
        <w:t xml:space="preserve">iš </w:t>
      </w:r>
      <w:r>
        <w:t>rinkos cheminius preparatus: "Rave" - New Room Odouriser", "Reds" - New Room Odouriser", "HARD CORE ROOM ODORISOR", "Hi-Tech ROOM ODORISOR", "TNT ROOM ODORISOR", "LIQUID GOLD ROOM ODORISOR" IR "RA VE Room Odourisor STRENGHT LIQUID INCENSE" - jie buvo pagaminti iš 2-os kategorijos kancerogeninės, 3-os kategorijos mutageninės medžiagos izobutilnitrito.</w:t>
      </w:r>
    </w:p>
    <w:p w:rsidR="008E05AA" w:rsidRDefault="008E05AA" w:rsidP="008E05AA">
      <w:pPr>
        <w:ind w:firstLine="720"/>
        <w:jc w:val="both"/>
        <w:rPr>
          <w:szCs w:val="22"/>
        </w:rPr>
      </w:pPr>
      <w:r>
        <w:t>Vaiko teisių apsaugos kontrolierės duomenimis, Apsinuodijimų kontrolės ir informacijos biuras neturi duomenų apie išsivysčiusią fizinę priklausomybę, tačiau reguliarų šių medžiagų vartojimą jaunimo tarpe galima įvardinti kaip psichologinę</w:t>
      </w:r>
      <w:r>
        <w:rPr>
          <w:szCs w:val="22"/>
        </w:rPr>
        <w:t xml:space="preserve"> priklausomybę.  Valstybinė ne maisto produktų inspekcija prie Ūkio ministerijos pažymėjo, kad interneto svetainėje </w:t>
      </w:r>
      <w:hyperlink r:id="rId36" w:history="1">
        <w:r>
          <w:rPr>
            <w:szCs w:val="22"/>
            <w:u w:val="single"/>
          </w:rPr>
          <w:t>www.buzas.lt</w:t>
        </w:r>
      </w:hyperlink>
      <w:r>
        <w:rPr>
          <w:szCs w:val="22"/>
        </w:rPr>
        <w:t xml:space="preserve"> reklamuojamos ir siūlomos įsigyti cheminės medžiagos neatininka teisės aktų, reglamentuojančių produktų saugą bei ženklinimą, reikalavimų. Valstybinė ne maisto produktų inspekcija prie Ūkio ministerijos patikrinusi UAB "Viltis" tiekiamus į rinką bei interneto svetainėje </w:t>
      </w:r>
      <w:hyperlink r:id="rId37" w:history="1">
        <w:r>
          <w:rPr>
            <w:szCs w:val="22"/>
            <w:u w:val="single"/>
          </w:rPr>
          <w:t>http://wvw.buzas.lt</w:t>
        </w:r>
      </w:hyperlink>
      <w:r>
        <w:rPr>
          <w:szCs w:val="22"/>
        </w:rPr>
        <w:t xml:space="preserve">  siūlomus įsigyti ir UAB "Hopas" tiekiamų į rinką bei parduodamus cheminius preparatus nustatė, kad preparatai parduodami be būtinų dokumentų (nepateikė dokumentų būtinų preparatų klasifikavimo ir ženklinimo patikrinimui).</w:t>
      </w:r>
    </w:p>
    <w:p w:rsidR="008E05AA" w:rsidRDefault="008E05AA" w:rsidP="008E05AA">
      <w:pPr>
        <w:ind w:firstLine="720"/>
        <w:jc w:val="both"/>
        <w:rPr>
          <w:szCs w:val="22"/>
        </w:rPr>
      </w:pPr>
      <w:r>
        <w:t>Atlikusi tyrimą, vaiko teisių apsaugos kontrolierė priėmė sprendimą ir jį išdėstė 2008-05-15 pažymoje Nr. 23-2007/KI</w:t>
      </w:r>
      <w:r>
        <w:softHyphen/>
        <w:t>123. Minėtosios pažymos 2 punktu Vaiko teisių apsaugos kontrolierė nusprendė siūlyti tuometiniam Lietuvos Respublikos sveikatos apsaugos ministru Rimvydui Turčinskui peržiūrėti patvirtiną Narkotinių ir psichotropinių medžiagų sąrašą, Nuodingųjų medžiagų pagal jų toksiškumą sąrašą, ir svarstyti galimybę į juos įtraukti amilo nitritą. Pasiūlė</w:t>
      </w:r>
      <w:r>
        <w:rPr>
          <w:szCs w:val="22"/>
        </w:rPr>
        <w:t xml:space="preserve"> Lietuvos Respublikos Seimo pirmininkui </w:t>
      </w:r>
      <w:r>
        <w:rPr>
          <w:szCs w:val="21"/>
        </w:rPr>
        <w:t xml:space="preserve">Č. </w:t>
      </w:r>
      <w:r>
        <w:rPr>
          <w:szCs w:val="22"/>
        </w:rPr>
        <w:t>Juršėnui sudaryti darbo grupę prekybą sekso reikmenimis reglamentuojančio įstatymo projektui parengti.</w:t>
      </w:r>
    </w:p>
    <w:p w:rsidR="008E05AA" w:rsidRDefault="008E05AA" w:rsidP="008E05AA">
      <w:pPr>
        <w:ind w:firstLine="720"/>
        <w:jc w:val="both"/>
      </w:pPr>
      <w:r>
        <w:t xml:space="preserve">Lietuvos Respublikos sveikatos apsaugos ministerijos sekretorius Romualdas Sabaliauskas 2009-01-14 raštu Nr. 10-(11.3-192)-200 Vaiko teisių apsaugos kontrolierę informavo, kad parengtas Lietuvos Respublikos sveikatos apsaugos ministro įsakymo 2004 m. gruodžio 30 d. įsakymo Nr. V - </w:t>
      </w:r>
      <w:r>
        <w:lastRenderedPageBreak/>
        <w:t>975 "Dėl nuodingųjų medžiagų pagal jų toksiškumą sąrašo patvirtinimo" pakeitimo" projektas, kuriame Nuodingųjų medžiagų pagal jų toksiškumą sąrašas papildytas dviem cheminėm medžiagom - amilonitritu ir cikloheksilnitritu.</w:t>
      </w:r>
    </w:p>
    <w:p w:rsidR="008E05AA" w:rsidRDefault="008E05AA" w:rsidP="008E05AA">
      <w:pPr>
        <w:ind w:firstLine="720"/>
        <w:jc w:val="both"/>
        <w:rPr>
          <w:sz w:val="23"/>
          <w:szCs w:val="23"/>
        </w:rPr>
      </w:pPr>
      <w:r>
        <w:t xml:space="preserve">Seimo Sveikatos reikalų komitetas persiuntė Komisijai Narkotikų kontrolės departamento prie Lietuvos Respublikos Vyriausybės 2009 01 22 raštą Nr.S-(4.3-11)-083 “Dėl prekybos galimai pavojingomis sveikatai psichoaktyvų poveikį sukeliančiomis medžiagomis”, kuriame pateikta informacija, kad Narkotikų kontrolės departamentas prie Lietuvos Respublikos Vyriausybės </w:t>
      </w:r>
      <w:r>
        <w:rPr>
          <w:sz w:val="23"/>
          <w:szCs w:val="23"/>
        </w:rPr>
        <w:t xml:space="preserve">nuolat stebi parduotuves, esančias Vilniaus mieste, bei yra susipažinę su siūlomomis prekėmis. </w:t>
      </w:r>
    </w:p>
    <w:p w:rsidR="008E05AA" w:rsidRDefault="008E05AA" w:rsidP="008E05AA">
      <w:pPr>
        <w:ind w:firstLine="720"/>
        <w:jc w:val="both"/>
      </w:pPr>
      <w:r>
        <w:t xml:space="preserve">Analogiškame Narkomanijos ir alkoholizmo  prevencijos komisijai adresuotame Narkotikų kontrolės departamento prie Lietuvos Respublikos Vyriausybės (2008  12 05 rašte Nr. S-(4.3-11)-721) pateika informacija apie cheminių ir augalinių medžiagų, kurios gali būti paauglių vartojamos kaip svaiginamosios medžiagos, reklamuojamos ir platinamos internetinėje svetainėje </w:t>
      </w:r>
      <w:hyperlink r:id="rId38" w:history="1">
        <w:r>
          <w:rPr>
            <w:rStyle w:val="Hipersaitas"/>
          </w:rPr>
          <w:t>www.buzas.lt</w:t>
        </w:r>
      </w:hyperlink>
      <w:r>
        <w:t xml:space="preserve"> ir </w:t>
      </w:r>
      <w:hyperlink r:id="rId39" w:history="1">
        <w:r>
          <w:rPr>
            <w:rStyle w:val="Hipersaitas"/>
          </w:rPr>
          <w:t>www.amsterdamas.eu</w:t>
        </w:r>
      </w:hyperlink>
      <w:r>
        <w:t xml:space="preserve">  bei mažmeninėje prekyboje Liejyklos  g. 4 bei M.Daukšos g. 5, Vilniuje.</w:t>
      </w:r>
    </w:p>
    <w:p w:rsidR="008E05AA" w:rsidRDefault="008E05AA" w:rsidP="008E05AA">
      <w:pPr>
        <w:ind w:firstLine="720"/>
        <w:jc w:val="both"/>
      </w:pPr>
      <w:r>
        <w:t>Rašte nurodyta, kad Departamento darbuotojams apsilankius minėtose parduotuvėse bei susipažinus su internetinėse parduotuvėse siūlomomis minėtomis prekėmis (rūkalais, uostomaisiais rūkalais bei rūkomaisiais žoliniais mišiniais), kurių sudėtyje nėra medžiagų, įtrauktų į Narkotinių ir psichotropinių medžiagų sąrašą, patvirtintą Lietuvos Respublikos sveikatos apsaugos ministro 2000 m. Sausio mėn. 6 d. įsakymu Nr. 5 (Žin., 2000,Nr.4-113), 2008-11-10 raštu Nr. S-(4,3-11), Departamentas kreipėsi į Valstybinę alkoholio ir tabako kontrolės tarnybą,  prašydami pateikti informaciją, ar minėti produktai atitinka Tabako kontro1ės įstatymo (Žin.,1996, Nr. 11-281; 2003, Nr. 117</w:t>
      </w:r>
      <w:r>
        <w:softHyphen/>
        <w:t>5317) reg1amentuotas nuostatas ir Lietuvos Respublikos produktų saugos įstatyme (Žin., 1999, Nr. 52-1673; 2004, Nr. 25-757) nustatytus privalomus produktų saugos bei ženklinimo reikalavimus bei, ar minėtų produktų gamintojai ir platintojai vykdo pareigas, numatytas teikiant vartotojams visą iš gamintojo gautą informaciją prieš perduodami gaminį vartotojams, kad jie galėtų įvertinti su gaminiu susijusią riziką per visą nurodytą, įprastą ar numanomą jo vartojimo laiką. Tarnyba išnagrinėjusi gautą raštą bei vizualiai apžiūrėjusi parduodamas prekes parduotuvėje Liejyklos g. 4 , Vilnius, 2008-11-19 raštu Nr. 3S-2356, informavo Departamentą, kad šioje parduotuvėje parduodamų prekių negalima priskirti prie tabako gaminių bei, kad informacijos dėl minėtų produktų (prekių atitikimo Produktų saugos įstatymo reikalavimams bei  ženklinimo teisingumo) pateikti negali, nes tai nėra Tarnybos kompetencijos ribose.</w:t>
      </w:r>
    </w:p>
    <w:p w:rsidR="008E05AA" w:rsidRDefault="008E05AA" w:rsidP="008E05AA">
      <w:pPr>
        <w:ind w:firstLine="720"/>
        <w:jc w:val="both"/>
        <w:rPr>
          <w:szCs w:val="23"/>
        </w:rPr>
      </w:pPr>
      <w:r>
        <w:rPr>
          <w:szCs w:val="23"/>
        </w:rPr>
        <w:t>Nustatyta, kad Narkotikų kontrolės departamentas įvairioms žinyboms dėl UAB "Viltis" veiklos nusiuntė raštus (2008-10-28 Nr. S-(4.31)-653; 2008-11-04 Nr. S-(4.3-11)-669; 2008-11-04 Nr. S</w:t>
      </w:r>
      <w:r>
        <w:rPr>
          <w:szCs w:val="23"/>
        </w:rPr>
        <w:softHyphen/>
        <w:t>(4.3-11)-670; 2008-11-10 Nr. S-(4.3-11)-684; 2008-11-10 Nr. S-(4.3-11)-685; 2008-11-18 Nr. S</w:t>
      </w:r>
      <w:r>
        <w:rPr>
          <w:szCs w:val="23"/>
        </w:rPr>
        <w:softHyphen/>
        <w:t>(4.3-11)-710; 2008-11-18 Nr. S-(4.3-11)-714; 2008-11-18 Nr. S-(4.3-10)-715).</w:t>
      </w:r>
    </w:p>
    <w:p w:rsidR="008E05AA" w:rsidRDefault="008E05AA" w:rsidP="008E05AA">
      <w:pPr>
        <w:ind w:firstLine="720"/>
        <w:jc w:val="both"/>
      </w:pPr>
    </w:p>
    <w:p w:rsidR="008E05AA" w:rsidRDefault="008E05AA" w:rsidP="008E05AA">
      <w:pPr>
        <w:ind w:firstLine="720"/>
        <w:jc w:val="both"/>
      </w:pPr>
      <w:r>
        <w:t xml:space="preserve">Siekiant riboti medžiagų prieinamumą 2004-2008 m. į Narkotinių ir psichotropinių medžiagų sąrašus, patvirtintus Lietuvos Respublikos sveikatos apsaugos ministro 2000 m. sausio 6 d. įsakymu Nr. 5 "Dėl narkotinių ir psichotropinių medžiagų sąrašų patvirtinimo" (Žin., 2000, Nr. 4-113), Departamento siūlymu buvo įtrauktos šios medžiagos: </w:t>
      </w:r>
    </w:p>
    <w:p w:rsidR="008E05AA" w:rsidRDefault="008E05AA" w:rsidP="008E05AA">
      <w:pPr>
        <w:ind w:firstLine="720"/>
        <w:jc w:val="both"/>
      </w:pPr>
      <w:r>
        <w:t xml:space="preserve">2004 m. į I sąrašą "Narkotinės ir psichotropinės medžiagos, draudžiamos vartoti medicinos tikslams" įtrauktos medžiagos - 2C- I </w:t>
      </w:r>
      <w:r>
        <w:rPr>
          <w:szCs w:val="21"/>
        </w:rPr>
        <w:t xml:space="preserve">(2,5 </w:t>
      </w:r>
      <w:r>
        <w:rPr>
          <w:i/>
          <w:iCs/>
        </w:rPr>
        <w:t xml:space="preserve">-dimethoxy-4-iodophenethylamine), </w:t>
      </w:r>
      <w:r>
        <w:t xml:space="preserve">2C- T -2 </w:t>
      </w:r>
      <w:r>
        <w:rPr>
          <w:szCs w:val="21"/>
        </w:rPr>
        <w:t xml:space="preserve">(2, </w:t>
      </w:r>
      <w:r>
        <w:rPr>
          <w:i/>
          <w:iCs/>
        </w:rPr>
        <w:t xml:space="preserve">5-dimethoxy-4-ethylthiophenethylamine), </w:t>
      </w:r>
      <w:r>
        <w:t>2C- T</w:t>
      </w:r>
      <w:r>
        <w:softHyphen/>
        <w:t xml:space="preserve">7 </w:t>
      </w:r>
      <w:r>
        <w:rPr>
          <w:w w:val="90"/>
          <w:szCs w:val="21"/>
        </w:rPr>
        <w:t xml:space="preserve">(2, </w:t>
      </w:r>
      <w:r>
        <w:rPr>
          <w:i/>
          <w:iCs/>
        </w:rPr>
        <w:t xml:space="preserve">5-dimethoxy-4-(n)-propylthiophenethylamine), </w:t>
      </w:r>
      <w:r>
        <w:t xml:space="preserve">PMMA ( </w:t>
      </w:r>
      <w:r>
        <w:rPr>
          <w:i/>
          <w:iCs/>
        </w:rPr>
        <w:t>Paramethoxymethylamphetamine, N</w:t>
      </w:r>
      <w:r>
        <w:rPr>
          <w:i/>
          <w:iCs/>
        </w:rPr>
        <w:softHyphen/>
        <w:t xml:space="preserve">methyl-l-(4-methoxyphenyl)-2-aminopropane), </w:t>
      </w:r>
      <w:r>
        <w:t xml:space="preserve">TMA-2 </w:t>
      </w:r>
      <w:r>
        <w:rPr>
          <w:i/>
          <w:iCs/>
        </w:rPr>
        <w:t xml:space="preserve">(2,4,5-trimethoxyamphetamine), </w:t>
      </w:r>
      <w:r>
        <w:t xml:space="preserve">į II sąrašą "Narkotinės ir psichotropinės medžiagos, leidžiamos vartoti medicinos tikslams" - Amineptinas; 2006 m. į I sąrašą - 1-(3-chlorofenil) piperazinas (mCPP); 2007 m. į I sąrašą - 1-benzilpiperazinas (BZP); 2008 m. į I sąrašą - Kvaitulinis šalavijas ir jo dalys </w:t>
      </w:r>
      <w:r>
        <w:rPr>
          <w:i/>
          <w:iCs/>
        </w:rPr>
        <w:t xml:space="preserve">(Salvia divinorum), </w:t>
      </w:r>
      <w:r>
        <w:t xml:space="preserve">Kvaitu1inio šalavijo ir jo dalių ekstraktas, Puošnioji vožtė ir jos dalys </w:t>
      </w:r>
      <w:r>
        <w:rPr>
          <w:i/>
          <w:iCs/>
        </w:rPr>
        <w:t xml:space="preserve">(Kratom, Mitragyna speciosa), </w:t>
      </w:r>
      <w:r>
        <w:t xml:space="preserve">į II sąrašą </w:t>
      </w:r>
      <w:r>
        <w:softHyphen/>
        <w:t xml:space="preserve">Salvinorinas A (Kvaitulinio šalavijo veiklioji medžiaga), Mitragininas (Puošniosios vožtės veiklioji medžiaga). </w:t>
      </w:r>
    </w:p>
    <w:p w:rsidR="008E05AA" w:rsidRDefault="008E05AA" w:rsidP="008E05AA">
      <w:pPr>
        <w:ind w:firstLine="720"/>
        <w:jc w:val="both"/>
      </w:pPr>
      <w:r>
        <w:t xml:space="preserve">Gavęs informaciją iš ES valstybių narių kompetentingų institucijų Departamentas 2008 gruodžio 10 d. raštu Nr. S - (4,3-11)-790 kreipėsi ir pateikė siūlymą Valstybinei vaistų kontrolės tarnybai prie Sveikatos apsaugos ministerijos išnagrinėti galimybę prevenciniais tikslais įtraukti </w:t>
      </w:r>
      <w:r>
        <w:rPr>
          <w:i/>
          <w:iCs/>
        </w:rPr>
        <w:t xml:space="preserve">Argyreia nervosa </w:t>
      </w:r>
      <w:r>
        <w:t xml:space="preserve">(gyslotasis vyklys), </w:t>
      </w:r>
      <w:r>
        <w:rPr>
          <w:i/>
          <w:iCs/>
        </w:rPr>
        <w:t xml:space="preserve">Banisteriopsis caapi </w:t>
      </w:r>
      <w:r>
        <w:t xml:space="preserve">(svaigusis kvaitulis), </w:t>
      </w:r>
      <w:r>
        <w:rPr>
          <w:i/>
          <w:iCs/>
        </w:rPr>
        <w:t xml:space="preserve">Calea zacatechichi </w:t>
      </w:r>
      <w:r>
        <w:t xml:space="preserve">(actekiška sapnažolė), </w:t>
      </w:r>
      <w:r>
        <w:rPr>
          <w:i/>
          <w:iCs/>
        </w:rPr>
        <w:t xml:space="preserve">Echinopsis pachanoi </w:t>
      </w:r>
      <w:r>
        <w:t xml:space="preserve">(kvaitulinis echinopsis), </w:t>
      </w:r>
      <w:r>
        <w:rPr>
          <w:i/>
          <w:iCs/>
        </w:rPr>
        <w:t xml:space="preserve">Hoodia gordonii, </w:t>
      </w:r>
      <w:r>
        <w:t xml:space="preserve">kava kava (svaigusis pipiras), </w:t>
      </w:r>
      <w:r>
        <w:rPr>
          <w:i/>
          <w:iCs/>
        </w:rPr>
        <w:t xml:space="preserve">Leonotis leonurus </w:t>
      </w:r>
      <w:r>
        <w:t xml:space="preserve">(tikroji liūtausė), </w:t>
      </w:r>
      <w:r>
        <w:rPr>
          <w:i/>
          <w:iCs/>
        </w:rPr>
        <w:t xml:space="preserve">Mimoza tenuiflora </w:t>
      </w:r>
      <w:r>
        <w:t xml:space="preserve">(siauražiedė mimoza), </w:t>
      </w:r>
      <w:r>
        <w:rPr>
          <w:i/>
          <w:iCs/>
        </w:rPr>
        <w:t xml:space="preserve">Nymhaea caerulea </w:t>
      </w:r>
      <w:r>
        <w:t xml:space="preserve">(žydroji vandens lelija), </w:t>
      </w:r>
      <w:r>
        <w:rPr>
          <w:i/>
          <w:iCs/>
        </w:rPr>
        <w:t xml:space="preserve">Peganum harmala </w:t>
      </w:r>
      <w:r>
        <w:t xml:space="preserve">(sirijos rūta), </w:t>
      </w:r>
      <w:r>
        <w:rPr>
          <w:i/>
          <w:iCs/>
        </w:rPr>
        <w:t xml:space="preserve">Psychotria viridis, Rivea </w:t>
      </w:r>
      <w:r>
        <w:rPr>
          <w:i/>
          <w:iCs/>
        </w:rPr>
        <w:lastRenderedPageBreak/>
        <w:t xml:space="preserve">corymbosa </w:t>
      </w:r>
      <w:r>
        <w:t xml:space="preserve">(morning gloria), </w:t>
      </w:r>
      <w:r>
        <w:rPr>
          <w:i/>
          <w:iCs/>
        </w:rPr>
        <w:t xml:space="preserve">Trichocereus peruvianus </w:t>
      </w:r>
      <w:r>
        <w:t>į Narkotinių ir psichotropinių medžiagų sąrašus, patvirtintus Lietuvos Respublikos sveikatos apsaugos ministro 2000 m. sausio 6 d. įsakymu Nr. 5 "Dėl narkotinių ir psichotropinių medžiagų sąrašų patvirtinimo" (Zin., 2000, Nr. 4</w:t>
      </w:r>
      <w:r>
        <w:softHyphen/>
        <w:t xml:space="preserve">113). </w:t>
      </w:r>
    </w:p>
    <w:p w:rsidR="008E05AA" w:rsidRDefault="008E05AA" w:rsidP="008E05AA">
      <w:pPr>
        <w:ind w:firstLine="720"/>
        <w:jc w:val="both"/>
      </w:pPr>
      <w:r>
        <w:t xml:space="preserve">Chemines medžiagas amilnitritą (Amyl nitrite, sinonimai: Isoamyl nitrite, Isopentyl Nitrite; 3-Methylbutanol Nitrite; 3-Methylbutyl Nitrite) </w:t>
      </w:r>
      <w:r>
        <w:rPr>
          <w:szCs w:val="19"/>
        </w:rPr>
        <w:t xml:space="preserve">ir </w:t>
      </w:r>
      <w:r>
        <w:t>cikloheksilnitritą Departamentas pasiūlė įtraukti į Nuodingų medžiagų pagal jų toksiškumą sąrašą, patvirtintą Lietuvos Respublikos sveikatos apsaugos ministro 2004 m. gruodžio 30 d. įsakymu Nr. V -975 "Dėl Nuodingųj.ų medžiagų pagal jų toksiškumąsąrašo patvirtinimo" (Žin., 2005, Nr. 3-47).</w:t>
      </w:r>
    </w:p>
    <w:p w:rsidR="008E05AA" w:rsidRDefault="008E05AA" w:rsidP="008E05AA">
      <w:pPr>
        <w:ind w:firstLine="720"/>
        <w:jc w:val="both"/>
      </w:pPr>
      <w:r>
        <w:t>Departamentas 2008-11-17 raštu Nr. S-(4.3-11) -710 kreipėsi į Valstybinį aplinkos sveikatos centrą dėl išaiškinimo, kokiai kategorijai priskiriami minėti produktai ir kokie reikalavimai yra keliami šių produktų pateikimui į rinką. Valstybinis aplinkos sveikatos centras 2008-11-26 raštu Nr. S-01-23-1209 informavo, kad medžiaga dėl produktų paskirties išaiškinirno perduota probleminių produktų priskyrimo atitinkamai produktų grupei tarpžinybinei komisijai, patvirtintai Sveikatos apsaugos ministro 2006-09-14 įsakymu Nr. V-758 "Dėl probleminių produktų priskyrimo atitinkamai produktų grupei tarpžinybinės komisijos sudarymo" (Žin., 2006, Nr. 101-3922). Ši Komisija turėtų įvertinti produktų sudėtyje esančių medžiagų poveikį sveikatai ir priimti sprendimą minėtų produktų  priskyrimo galimybę atitinkamai produktų grupei. Departamentas 2008-11-10 raštu Nr. S -(4,3-11) kreipėsi į Valstybinę alkoholio ir tabako kontrolės tarnybą (toliau- Tarnyba) prašydamas pateikti informaciją ar rūkalai, uostomieji rūkalai bei rūkomieji žoliniai mišiniai produktai atitinka Tabako kontrolės įstatymo (Žin.,1996, Nr. 11</w:t>
      </w:r>
      <w:r>
        <w:softHyphen/>
        <w:t>281,2003, Nr. 117-5317) reglamentuotas nuostatas ir Lietuvos Respublikos produktų saugos įstatyme (Žin.,1999, Nr. 52-1673,2004, Nr. 25-757) nustatytus privalomus produktų saugos bei ženklinimo reikalavimus bei ar minėtų produktų gamintojai ir platintojai vykdo pareigas, numatytas, teikiant vartotojams visą iš gamintojo gautą informaciją prieš perduodami gaminį vartotojams, kad šie galėtų įvertinti su gaminiu susijusią riziką per visą nurodytą, įprastą ar numanomą jo vartojimo laiką. Tarnyba išnagrinėjusi gautą raštą bei vizualiai apžiūrėjusi parduodamas prekes parduotuvėje Liejyklos g. 4, Vilnius, 2008-11-19 raštu Nr. 3S-2356 informavo Departamentą, kad šioje parduotuvėje parduodamų prekių negalima priskirti prie tabako gaminių bei, kad informacijos dėl minėtų produktų (prekių) atitikimo Produktų saugos įstatymo reikalavimams bei ženklinimo teisingumo pateikti negali, nes tai nėra Tarnybos kompetencijos ribose. Pakartotinai Departamentas 2009 m. sausio 12 d. raštu Nr. S -(4.3-10)-044 kreipėsi į Valstybinę tabako ir alkoholio tarnybą prie Lietuvos Respublikos Vyriausybės prašydami įvertinti ar minėtos prekės nepažeidžia Lietuvos Respublikos tabako kontrolės įstatymo (Žin., 1996, Nr.11-</w:t>
      </w:r>
      <w:r>
        <w:rPr>
          <w:b/>
          <w:bCs/>
          <w:w w:val="79"/>
        </w:rPr>
        <w:softHyphen/>
      </w:r>
      <w:r>
        <w:t xml:space="preserve">281; 2003, Nr. 117-5317) 8 straipsnio 1 dalies 8 punkto reikalavimų bei pateikė papildomos informacijos. </w:t>
      </w:r>
    </w:p>
    <w:p w:rsidR="008E05AA" w:rsidRDefault="008E05AA" w:rsidP="008E05AA">
      <w:pPr>
        <w:ind w:firstLine="720"/>
        <w:jc w:val="both"/>
        <w:rPr>
          <w:szCs w:val="23"/>
        </w:rPr>
      </w:pPr>
      <w:r>
        <w:t>Departamentas pasiūlė skubos tvarka papildyti Lietuvos higienos normą HN 38:2002 "Didžiausi leidžiami kenksmingų medžiagų kiekiai tabako gaminiuose" patvirtintą Lietuvos Respublikos sveikatos apsaugos ministro 2002 m. birželio 28 d. įsakymu Nr. 317 (Žin., 2002, Nr. 70-</w:t>
      </w:r>
      <w:r>
        <w:rPr>
          <w:szCs w:val="23"/>
        </w:rPr>
        <w:t>2934) ir į 2 lentelės sąrašą "Medžiagos, draudžiamos naudoti tabako gaminių gamyboje" įrašyti medžiagas, kurios gali būti naudojamos rūkymui mišinyje su tabaku ir sukelti psichikos sutrikimus ir pateikė projektą, kuris šiuo metų derinamas su SAM.</w:t>
      </w:r>
    </w:p>
    <w:p w:rsidR="008E05AA" w:rsidRDefault="008E05AA" w:rsidP="008E05AA">
      <w:pPr>
        <w:ind w:firstLine="720"/>
        <w:jc w:val="both"/>
        <w:rPr>
          <w:szCs w:val="23"/>
        </w:rPr>
      </w:pPr>
      <w:r>
        <w:rPr>
          <w:szCs w:val="23"/>
        </w:rPr>
        <w:t xml:space="preserve">Taip pat, </w:t>
      </w:r>
      <w:r>
        <w:t xml:space="preserve">Departamentas </w:t>
      </w:r>
      <w:r>
        <w:rPr>
          <w:b/>
          <w:bCs/>
        </w:rPr>
        <w:t>2008 m. lapkričio 28 d</w:t>
      </w:r>
      <w:r>
        <w:t xml:space="preserve">. organizavo tarpinstitucinį pasitarimą dėl Lietuvos Respublikos rinkoje esančių cheminių medžiagų ir preparatų, įvairių žolių mišinių, arbatų ir rūkomųjų žolių mišinių, kurie gali būti paauglių vartojami kaip svaiginamosios medžiagos, apyvartos mažinimo bei minėtų medžiagų reklamos kontrolės įgyvendinimo. Minėtame pasitarime dalyvavo – Valstybinės vartotojų teisių apsaugos tarnybos direktorius; Valstybinės vartotojų teisių apsaugos tarnybos Ekonominių interesų departamento direktorius; Botanikos instituto Floros ir Geobotanikos laboratorijos darbuotojas; Valstybinės ne maisto produktų inspekcijos prie Ūkio ministerijos Gaminių kontrolės skyriaus vyresnioji valstybinė inspektorė; Valstybinio aplinkos sveikatos centro Cheminės rizikos vertinimo skyriaus visuomenės sveikatos administratorė; Farmacijos departamento Farmacinės veiklos skyriaus vyriausioji specialistė; Farmacijos departamento Farmacinės veiklos skyriaus vedėja; Valstybinės vaistų kontrolės tarnybos Narkotikų skyriaus vedėja; Valstybinės vaistų kontrolės tarnybos Vaistų saugumo ir informacijos skyriaus vedėja; Narkotikų kontrolės departamento prie Lietuvos Respublikos Vyriausybės direktoriaus pavaduotojas; Narkotikų kontrolės departamento prie Lietuvos Respublikos Vyriausybės Licencijų skyriaus vedėja; Narkotikų kontrolės departamento prie Lietuvos Respublikos Vyriausybės Kontrolės skyriaus vedėja; Narkotikų kontrolės departamento prie Lietuvos Respublikos Vyriausybės Licencijų skyriaus vyriausioji specialistė; Sveikatos apsaugos ministerijos Visuomenės sveikatos departamento Visuomenės sveikatos stiprinimo skyriaus vedėjas; </w:t>
      </w:r>
      <w:r>
        <w:lastRenderedPageBreak/>
        <w:t xml:space="preserve">Sveikatos apsaugos ministerijos Visuomenės sveikatos departamento Visuomenės sveikatos priežiūros skyriaus vyriausioji specialistė; Valstybinės visuomenės sveikatos priežiūros tarnybos prie Sveikatos apsaugos ministerijos Leidimų ir licencijų skyriaus vedėjos pavaduotoja; Lietuvos kriminalinės policijos biuro Organizuoto nusikalstamumo 3-osios valdybos I-jo skyriaus viršininkė; Valstybinės maisto ir veterinarijos tarnybos direktoriaus pavaduotojas; </w:t>
      </w:r>
      <w:r>
        <w:rPr>
          <w:szCs w:val="23"/>
        </w:rPr>
        <w:t>Vilniaus greitosios pagalbos universitetinės ligoninės, Ūmių apsinuodijimų skyriaus vedėjas.</w:t>
      </w:r>
    </w:p>
    <w:p w:rsidR="008E05AA" w:rsidRDefault="008E05AA" w:rsidP="008E05AA">
      <w:pPr>
        <w:ind w:firstLine="720"/>
        <w:jc w:val="both"/>
      </w:pPr>
      <w:r>
        <w:t xml:space="preserve"> Pasitarime buvo aptartos minėtų medžiagų bei gaminių apyvartos mažinimo galimybės ir konkrečios priemonės; šių medžiagų reklamos ir klaidinančios informacijos kontrolės galimybės ir priemonės; narkotinių ir psichotropinių medžiagų reklamos kontrolė. Pasitarime nuspręsta siūlyti Ūkio, Sveikatos apsaugos ministerijoms išanalizuoti ir, esant reikalui, inicijuoti teisės aktlį pakeitimus, parengiant draudžiamų augalų, naudojamų rūkalams, kuriuose nėra tabako, sąrašą bei siekiant, kad Tabako kontrolės įstatyme ar Lietuvos higienos normoje HN 38:2002 "Didžiausi leidžiami kenksmingi medžiagų kiekiai tabako gaminiuose", patvirtintoje Lietuvos Respublikos sveikatos apsaugos ministro 2002 m. birželio 28 d. įsakymu Nr. 317 (Žin., 2002, Nr. 70-2934) atsirastų nuostatos dėl minėtų rūkymui skirtų medžiagų. Taip pat, pasiūlyta peržiūrėti ir, esant reikalui, papildyti Valstybinės vaistų kontrolės tarnybos prie Sveikatos apsaugos ministerijos įsakymą "Dėl vaistinių augalų ir jų dalių (įskaitant sėklas, vaisius ir uogas), kuriuos leidžiama vartoti farmacijoje šviežius arba džiovintus, smulkintus arba nesusmulkintus, sumaltus į miltelius arba nesumaltus, bei farmacijoje vartojamų, augalų ir jų dalių, kuriuos leidžiama vartoti kaip maisto priedus ar prieskonius, sąrašų patvirtinimo bei vaistinių augalų pardavimo" (Žin., 1997, Nr. 50-1220), arba nustatyti kitas veiksmingas priemones, ribojančias augalų, kurie gali būti vartojami svaiginimuisi ir yra maisto papildų bei arbatų sudėtyje, vartojimą ne sveikatos priežiūros tikslais. Pasiūlyta Botanikos institutui surinkti informaciją apie posėdyje minimų augalų psichiką veikiančias savybes. Pasiūlyta Sveikatos apsaugos ministerijai įtraukti chemines medžiagas, kurios gali būti vartojamos svaiginimuisi ir kelti grėsmę žmogaus sveikatai, </w:t>
      </w:r>
      <w:r>
        <w:rPr>
          <w:w w:val="112"/>
          <w:szCs w:val="23"/>
        </w:rPr>
        <w:t xml:space="preserve">į </w:t>
      </w:r>
      <w:r>
        <w:t xml:space="preserve">ribojamų medžiagų sąrašus, tokiu būdu apribojant jų patekimą į Lietuvos rinką. Pasiūlyta Ūkio, Sveikatos apsaugos ministerijoms išanalizuoti ir, esant reikalui, inicijuoti teisės aktų pakeitimus, parengiant draudžiamų augalų naudojamų rūkalams, kuriuose nėra tabako, sąrašą bei siekiant, kad Tabako kontrolės įstatyme ar Lietuvos higienos normoje HN 38:2002 "Didžiausi leidžiami kenksmingų medžiagų kiekiai tabako gaminiuose" patvirtintoje Lietuvos Respublikos sveikatos apsaugos ministro 2002 m. birželio 28 d. įsakymu Nr. 317 (Žin., 2002, Nr. 70-2934) atsirastų nuostatos dėl minėtų rūkymui skirtų medžiagų. Pasiūlyta Sveikatos apsaugos ministerijai parengti Lietuvos Respublikos narkotinių ir psichotropinių medžiagų kontrolės įstatymo pakeitimo įstatymo projektą, numatant konkrečias institucijas, atsakingas už narkotinių ir psichotropinių medžiagų reklamos kontrolę. </w:t>
      </w:r>
    </w:p>
    <w:p w:rsidR="008E05AA" w:rsidRDefault="008E05AA" w:rsidP="008E05AA">
      <w:pPr>
        <w:ind w:firstLine="720"/>
        <w:jc w:val="both"/>
        <w:rPr>
          <w:szCs w:val="23"/>
        </w:rPr>
      </w:pPr>
      <w:r>
        <w:t xml:space="preserve">Policijos departamentas prie Lietuvos Respublikos Vyriausybės Seimo Sveikatos reikalų komitetui adresuotame 2009 01 22 rašte Nr.5-S-34 “Dėl informacijos apie patikrinimus prekybos vietose pateikimo”, pateikė informacija, kad siekiant </w:t>
      </w:r>
      <w:r>
        <w:rPr>
          <w:szCs w:val="23"/>
        </w:rPr>
        <w:t xml:space="preserve">išaiškinti, ar prekybos vietose neprekiaujama narkotinėmis ar psichotropinėmis medžiagomis, policija nuolat atlieka atitinkamas patikrinimus. Šiuo metu policija yra pradėjusi su minėto prekybos tinklo veikla susijusius ikiteisminius tyrimus: </w:t>
      </w:r>
    </w:p>
    <w:p w:rsidR="008E05AA" w:rsidRDefault="008E05AA" w:rsidP="008E05AA">
      <w:pPr>
        <w:ind w:firstLine="720"/>
        <w:jc w:val="both"/>
        <w:rPr>
          <w:szCs w:val="23"/>
        </w:rPr>
      </w:pPr>
      <w:r>
        <w:rPr>
          <w:szCs w:val="23"/>
        </w:rPr>
        <w:t>- pagal Lietuvos Respublikos baudžiamojo kodekso 260 straipsnio "Neteisėtas disponavimas narkotinėmis ar psichotropinėmis medžiagomis turint tikslą platinti arba neteisėtas disponavimas labai dideliu narkotinių ar psichotropinių medžiagų kiekiu" 1 dalį Vilniuje (Nr. 38-1</w:t>
      </w:r>
      <w:r>
        <w:rPr>
          <w:szCs w:val="23"/>
        </w:rPr>
        <w:softHyphen/>
        <w:t>00085-08), Kaune (Nr. 20-1-00011-09), Klaipėdoje (Nr. 30-1-00014-09) ir Kretingoje (Nr. 69-1</w:t>
      </w:r>
      <w:r>
        <w:rPr>
          <w:szCs w:val="23"/>
        </w:rPr>
        <w:softHyphen/>
        <w:t xml:space="preserve">00005-09); </w:t>
      </w:r>
    </w:p>
    <w:p w:rsidR="008E05AA" w:rsidRDefault="008E05AA" w:rsidP="008E05AA">
      <w:pPr>
        <w:ind w:firstLine="720"/>
        <w:jc w:val="both"/>
        <w:rPr>
          <w:szCs w:val="23"/>
        </w:rPr>
      </w:pPr>
      <w:r>
        <w:rPr>
          <w:szCs w:val="23"/>
        </w:rPr>
        <w:t xml:space="preserve">- pagal Lietuvos Respublikos baudžiamojo kodekso 259 straipsnio "Neteisėtas disponavimas narkotinėmis ar psichotropinėmis medžiagomis be tikslo jas platinti" 1 dalį Panevėžyje (Nr. 50-1-00794-08). </w:t>
      </w:r>
    </w:p>
    <w:p w:rsidR="008E05AA" w:rsidRDefault="008E05AA" w:rsidP="008E05AA">
      <w:pPr>
        <w:ind w:firstLine="720"/>
        <w:jc w:val="both"/>
        <w:rPr>
          <w:szCs w:val="23"/>
        </w:rPr>
      </w:pPr>
      <w:r>
        <w:rPr>
          <w:szCs w:val="23"/>
        </w:rPr>
        <w:t>Atlikus patikrinimus Kaune įsikūrusiose parduotuvėse, taip pat surinkta medžiaga dėl administracinių teisės pažeidimų (išsiųsta pagal kompetenciją į Valstybinę mokesčių inspekciją sprendimui priimti).</w:t>
      </w:r>
    </w:p>
    <w:p w:rsidR="008E05AA" w:rsidRDefault="008E05AA" w:rsidP="008E05AA">
      <w:pPr>
        <w:ind w:firstLine="720"/>
        <w:jc w:val="both"/>
      </w:pPr>
      <w:r>
        <w:t xml:space="preserve">Nurodytų tyrimų metu parduotuvėse buvo atliktos kratos, išimtos prekės perduotos ištirti Lietuvos policijos kriminalistinių tyrimų centrui. Priklausomai nuo specialistų išvadų bus planuojami tolesni procesiniai veiksmai baudžiamosiose bylose, taip pat tolesni patikrinimai prekybos vietose.  </w:t>
      </w:r>
    </w:p>
    <w:p w:rsidR="008E05AA" w:rsidRDefault="008E05AA" w:rsidP="008E05AA">
      <w:pPr>
        <w:jc w:val="both"/>
        <w:rPr>
          <w:szCs w:val="23"/>
        </w:rPr>
      </w:pPr>
      <w:r>
        <w:rPr>
          <w:szCs w:val="23"/>
        </w:rPr>
        <w:tab/>
        <w:t xml:space="preserve">Policija pagal savo kompetencija analizuoja informaciją apie prekybos tinklo, kuriame prekiaujama smilkalais, eteriniais aliejais ir aromatinėmis žolėmis parduotuvėse ir interneto svetainėse www.buzas.1t ir </w:t>
      </w:r>
      <w:hyperlink r:id="rId40" w:history="1">
        <w:r>
          <w:rPr>
            <w:szCs w:val="23"/>
            <w:u w:val="single"/>
          </w:rPr>
          <w:t>www.amsterdamas.eu,</w:t>
        </w:r>
      </w:hyperlink>
      <w:r>
        <w:rPr>
          <w:szCs w:val="23"/>
        </w:rPr>
        <w:t xml:space="preserve"> veiklą. </w:t>
      </w:r>
    </w:p>
    <w:p w:rsidR="008E05AA" w:rsidRDefault="008E05AA" w:rsidP="008E05AA">
      <w:pPr>
        <w:jc w:val="both"/>
        <w:rPr>
          <w:szCs w:val="23"/>
        </w:rPr>
      </w:pPr>
      <w:r>
        <w:rPr>
          <w:szCs w:val="23"/>
        </w:rPr>
        <w:lastRenderedPageBreak/>
        <w:tab/>
        <w:t>Analogišką informaciją Seimo Sveikatos reikalų komitetui 2009 01 23 raštu Nr. 1D-618 pateikė Lietuvos Respublikos Vidaus reikalų ministerija.</w:t>
      </w:r>
    </w:p>
    <w:p w:rsidR="008E05AA" w:rsidRDefault="008E05AA" w:rsidP="008E05AA">
      <w:pPr>
        <w:ind w:firstLine="720"/>
        <w:jc w:val="both"/>
        <w:rPr>
          <w:szCs w:val="23"/>
        </w:rPr>
      </w:pPr>
      <w:r>
        <w:rPr>
          <w:szCs w:val="23"/>
        </w:rPr>
        <w:t xml:space="preserve"> Tyrimu nustatyta, kad 2009 m. sausio 12 d. Ūkio ministerijoje įvykusio pasitarimo dėl rinkoje platinamų neaiškios paskirties produktų (smilkalai ir žolių mišiniai), kuriais gali būti svaiginamasi, metu nutarta pasiūlyti Ne maisto produktų inspekcijai prie Ūkio ministerijos organizuoti reikiamus produktų saugos ypatybių patikrinimus ir prireikus taikyti rinkos ribojimo priemones minėtiems produktams. Departamentas iš įvairių šaltinių surinkęs informaciją apie rinkoje esančius produktus, prekiniu pavadinimu "Spice", "Spice Gold", "Spice Silver", "Spice Diamond", "Weed", "Spice Yukatan Fire", "Spice Arctic Synergy", "Spice Tropical Synergy", "Spice Egypt" " Genye" bei minėtų produktų poveikį bei riziką visuomenės sveikatai, 2009 m. sausio 21 d. raštu Nr. S -(4,3</w:t>
      </w:r>
      <w:r>
        <w:rPr>
          <w:szCs w:val="23"/>
        </w:rPr>
        <w:softHyphen/>
        <w:t xml:space="preserve">11)-077 pasiūlė Valstybinei ne maisto produktų inspekcijai prie Ūkio ministerijos taikyti Lietuvos Respublikos Produktų saugos įstatyme (Žin.,1999, Nr. 52-1673, 2004, Nr. 25-757) numatytus apribojimus šių produktų platinimui, vartojimui bei pardavimui Lietuvos rinkoje, kadangi minėtuose produktuose esančių sintetinių organinių cheminių medžiagų </w:t>
      </w:r>
      <w:r>
        <w:rPr>
          <w:szCs w:val="22"/>
        </w:rPr>
        <w:t xml:space="preserve">JWH-018 </w:t>
      </w:r>
      <w:r>
        <w:rPr>
          <w:szCs w:val="23"/>
        </w:rPr>
        <w:t>((Naphtalen-1</w:t>
      </w:r>
      <w:r>
        <w:rPr>
          <w:szCs w:val="23"/>
        </w:rPr>
        <w:softHyphen/>
        <w:t xml:space="preserve">yl-(1-pentylindol-3-yl)methanon) arba (1-Pentyl-3-(1-Naphtoyl) Indole)), </w:t>
      </w:r>
      <w:r>
        <w:rPr>
          <w:szCs w:val="22"/>
        </w:rPr>
        <w:t>CP-47497</w:t>
      </w:r>
      <w:r>
        <w:rPr>
          <w:b/>
          <w:bCs/>
          <w:szCs w:val="22"/>
        </w:rPr>
        <w:t xml:space="preserve"> </w:t>
      </w:r>
      <w:r>
        <w:rPr>
          <w:szCs w:val="22"/>
        </w:rPr>
        <w:t xml:space="preserve">( </w:t>
      </w:r>
      <w:r>
        <w:rPr>
          <w:szCs w:val="23"/>
        </w:rPr>
        <w:t>3-(4-(1,1</w:t>
      </w:r>
      <w:r>
        <w:rPr>
          <w:szCs w:val="23"/>
        </w:rPr>
        <w:softHyphen/>
        <w:t xml:space="preserve">Dimethylheptyl)-2-hydroxyphenylcyclohexanol), </w:t>
      </w:r>
      <w:r>
        <w:rPr>
          <w:szCs w:val="22"/>
        </w:rPr>
        <w:t>HU-210</w:t>
      </w:r>
      <w:r>
        <w:rPr>
          <w:b/>
          <w:bCs/>
          <w:szCs w:val="22"/>
        </w:rPr>
        <w:t xml:space="preserve"> </w:t>
      </w:r>
      <w:r>
        <w:rPr>
          <w:szCs w:val="23"/>
        </w:rPr>
        <w:t>(6aR)-trans-3-( 1,1- Dimethylheptyl)</w:t>
      </w:r>
      <w:r>
        <w:rPr>
          <w:szCs w:val="23"/>
        </w:rPr>
        <w:softHyphen/>
        <w:t xml:space="preserve"> 6a, 7,1 Oa-tetrahydro-1-hydroxy-6,6-dimethyl-6H –dibenzo [b,d] pyran-9-methanol) poveikis žmonių sveikatai yra panašus į kanabinoidų grupės medžiagas, veikia tuos pačius receptorius kaip ir kanabinoidai. </w:t>
      </w:r>
    </w:p>
    <w:p w:rsidR="008E05AA" w:rsidRDefault="008E05AA" w:rsidP="008E05AA">
      <w:pPr>
        <w:jc w:val="both"/>
      </w:pPr>
      <w:r>
        <w:t xml:space="preserve"> </w:t>
      </w:r>
      <w:r>
        <w:tab/>
        <w:t xml:space="preserve"> Departamentas 2009 m. sausio 21 d. raštu Nr. S-( 4,3-11 )-07 5 pasiūlė Valstybinei vaistų kontro1ės tarnybai prie Lietuvos Respublikos sveikatos apsaugos ministerijos įtraukti minėtas chemines medžiagas į narkotinių ir psichotropinių medžiagų sąrašus, patvirtintus Lietuvos Respublikos sveikatos apsaugos ministro 2000 m. sausio 6 d. įsakymu Nr. 5 "Dėl narkotinių ir psichotropinių medžiagų sąrašų patvirtinimo" (Žin., 2000, Nr. 4-113). </w:t>
      </w:r>
    </w:p>
    <w:p w:rsidR="008E05AA" w:rsidRDefault="008E05AA" w:rsidP="008E05AA">
      <w:pPr>
        <w:ind w:firstLine="720"/>
        <w:jc w:val="both"/>
      </w:pPr>
      <w:r>
        <w:t xml:space="preserve">Siekiant apsaugoti visuomenę nuo klaidinančios bei skatinančios vartoti informacijos apie svaiginamąsias medžiagas, platinamas bei lengvai įsigyjamas internetinėse parduotuvėse bei mažmeninėje prekyboje, kuri pastaruoju metu pateikiama įvairiomis visuomenės informavimo priemonėmis, Departamentas inicijavo Lietuvos Respublikos nepilnamečių apsaugos nuo neigiamo viešosios informacijos poveikio įstatymo (Žin., 2002, Nr. 91-3890; 2006, Nr. 141-5393) 4 straipsnio 1 dalies 6 punkto pakeitimo įstatymo projektą, įtraukiant į minėtą punktą ir medžiagas, kurios gali būti vartojamos svaiginimuisi bei Lietuvos Respublikos visuomenės informavimo įstatymo (Žin., 1996, Nr. 71-170; 2006, Nr. 82-3254) 2 straipsnio 68 dalies pakeitimo įstatymo projektą, įtraukiant į minėtą punktą ir medžiagas, kurios vartojamos arba gali būti vartojamos svaiginimuisi. </w:t>
      </w:r>
    </w:p>
    <w:p w:rsidR="008E05AA" w:rsidRDefault="008E05AA" w:rsidP="008E05AA">
      <w:pPr>
        <w:ind w:firstLine="720"/>
        <w:jc w:val="both"/>
      </w:pPr>
    </w:p>
    <w:p w:rsidR="008E05AA" w:rsidRPr="007F6388" w:rsidRDefault="008E05AA" w:rsidP="008E05AA">
      <w:pPr>
        <w:pStyle w:val="Pagrindiniotekstotrauka3"/>
        <w:rPr>
          <w:sz w:val="24"/>
          <w:szCs w:val="24"/>
        </w:rPr>
      </w:pPr>
      <w:r w:rsidRPr="007F6388">
        <w:rPr>
          <w:sz w:val="24"/>
          <w:szCs w:val="24"/>
        </w:rPr>
        <w:t xml:space="preserve">Apibendrinus situacija, daromos sekančios išvados: </w:t>
      </w:r>
    </w:p>
    <w:p w:rsidR="008E05AA" w:rsidRPr="007F6388" w:rsidRDefault="008E05AA" w:rsidP="008E05AA">
      <w:pPr>
        <w:pStyle w:val="Pagrindiniotekstotrauka3"/>
        <w:jc w:val="both"/>
        <w:rPr>
          <w:sz w:val="24"/>
          <w:szCs w:val="24"/>
        </w:rPr>
      </w:pPr>
      <w:r w:rsidRPr="007F6388">
        <w:rPr>
          <w:sz w:val="24"/>
          <w:szCs w:val="24"/>
        </w:rPr>
        <w:t>1. Lietuvos Respublikos Vyriausybė patvirtino Lietuvos nacionalinės visuomenės sveikatos priežiūros 2006 – 2013 metų strategiją ir jos įgyvendinimo priemonių 2006 – 2008 metų planą. Būtina patvirtinti Lietuvos nacionalinės visuomenės sveikatos priežiūros 2006 – 2013 metų strategijos įgyvendinimo priemonių 2009 – 2013 metų planą.</w:t>
      </w:r>
    </w:p>
    <w:p w:rsidR="008E05AA" w:rsidRPr="007F6388" w:rsidRDefault="008E05AA" w:rsidP="008E05AA">
      <w:pPr>
        <w:pStyle w:val="Pagrindiniotekstotrauka3"/>
        <w:jc w:val="both"/>
        <w:rPr>
          <w:sz w:val="24"/>
          <w:szCs w:val="24"/>
        </w:rPr>
      </w:pPr>
      <w:r w:rsidRPr="007F6388">
        <w:rPr>
          <w:sz w:val="24"/>
          <w:szCs w:val="24"/>
        </w:rPr>
        <w:t>2. Sveikatos apsaugos ministerija turi pateikti vertinimą, kaip yra įvykdytas Lietuvos nacionalinės visuomenės sveikatos priežiūros 2006 – 2013 metų strategijos įgyvendinimo priemonių 2006 – 2008 metų planas.</w:t>
      </w:r>
    </w:p>
    <w:p w:rsidR="008E05AA" w:rsidRPr="007F6388" w:rsidRDefault="008E05AA" w:rsidP="008E05AA">
      <w:pPr>
        <w:pStyle w:val="Pagrindiniotekstotrauka3"/>
        <w:jc w:val="both"/>
        <w:rPr>
          <w:sz w:val="24"/>
          <w:szCs w:val="24"/>
        </w:rPr>
      </w:pPr>
      <w:r w:rsidRPr="007F6388">
        <w:rPr>
          <w:sz w:val="24"/>
          <w:szCs w:val="24"/>
        </w:rPr>
        <w:t xml:space="preserve">3. Lietuvos Respublikos Seimas  2007 metais patvirtino Psichikos sveikatos strategiją. Būtina parengti Vaiko psichikos sveikatos strategiją. Būtina sukurti psichikos sveikatos priežiūros sistemą, kuri sustiprintų visuomenės psichikos sveikatą, teiktų visapusišką pagalbą psichikos ir elgesio sutrikimų turintiems asmenims bei jų šeimoms. </w:t>
      </w:r>
    </w:p>
    <w:p w:rsidR="008E05AA" w:rsidRPr="007F6388" w:rsidRDefault="008E05AA" w:rsidP="008E05AA">
      <w:pPr>
        <w:pStyle w:val="Pagrindiniotekstotrauka3"/>
        <w:jc w:val="both"/>
        <w:rPr>
          <w:sz w:val="24"/>
          <w:szCs w:val="24"/>
        </w:rPr>
      </w:pPr>
      <w:r w:rsidRPr="007F6388">
        <w:rPr>
          <w:sz w:val="24"/>
          <w:szCs w:val="24"/>
        </w:rPr>
        <w:t xml:space="preserve">4. Stokojama įvairiapusės pagalbos ir paramos šeimai socialinių, psichologinių ir kitų krizių atvejais. Nėra bendros šeimos politikos sistemos, o esančios politikos priemonės įgyvendinamos nenuosekliai ir fragmentiškai. </w:t>
      </w:r>
    </w:p>
    <w:p w:rsidR="008E05AA" w:rsidRPr="007F6388" w:rsidRDefault="008E05AA" w:rsidP="008E05AA">
      <w:pPr>
        <w:pStyle w:val="Pagrindiniotekstotrauka3"/>
        <w:jc w:val="both"/>
        <w:rPr>
          <w:sz w:val="24"/>
          <w:szCs w:val="24"/>
        </w:rPr>
      </w:pPr>
      <w:r w:rsidRPr="007F6388">
        <w:rPr>
          <w:sz w:val="24"/>
          <w:szCs w:val="24"/>
        </w:rPr>
        <w:t>5. Stinga institucijų, vykdančių ir koordinuojančių socialinės, pedagoginės ir psichologinės paramos šeimai veiklą. Esama socialinės paramos infrastruktūra silpnai išplėtota, trūksta veiksmų koordinavimo, kvalifikuotų specialistų dirbančių su šeima, todėl būtina sustiprinti kontrolę dėl pagrindinių vaiko gerovės valstybės politikos prioritetų ir uždavinių įgyvendinimo, kad būtų pašalintos opiausios vaiko gerovės problemos, visiems vaikams būtų suteiktos galimybės gauti jų poreikius atitinkančią paramą ir paslaugas, sudarytos sąlygos augti savo šeimose.</w:t>
      </w:r>
    </w:p>
    <w:p w:rsidR="008E05AA" w:rsidRPr="007F6388" w:rsidRDefault="008E05AA" w:rsidP="008E05AA">
      <w:pPr>
        <w:pStyle w:val="Pagrindiniotekstotrauka3"/>
        <w:jc w:val="both"/>
        <w:rPr>
          <w:sz w:val="24"/>
          <w:szCs w:val="24"/>
        </w:rPr>
      </w:pPr>
      <w:r w:rsidRPr="007F6388">
        <w:rPr>
          <w:sz w:val="24"/>
          <w:szCs w:val="24"/>
        </w:rPr>
        <w:lastRenderedPageBreak/>
        <w:t>6. Būtina efektyviau koordinuoti valstybės ir savivaldybių institucijų veiklą, užtikrinant glaudų tarpžinybinį bendradarbiavimą, įt</w:t>
      </w:r>
      <w:r>
        <w:rPr>
          <w:sz w:val="24"/>
          <w:szCs w:val="24"/>
        </w:rPr>
        <w:t>r</w:t>
      </w:r>
      <w:r w:rsidRPr="007F6388">
        <w:rPr>
          <w:sz w:val="24"/>
          <w:szCs w:val="24"/>
        </w:rPr>
        <w:t>aukiant visuomenės atstovus, visuomenines organizacijas, vaiko gerovės valstybės politikos klausimais.</w:t>
      </w:r>
    </w:p>
    <w:p w:rsidR="008E05AA" w:rsidRPr="007F6388" w:rsidRDefault="008E05AA" w:rsidP="008E05AA">
      <w:pPr>
        <w:ind w:firstLine="720"/>
        <w:jc w:val="both"/>
        <w:rPr>
          <w:bCs/>
        </w:rPr>
      </w:pPr>
      <w:r w:rsidRPr="007F6388">
        <w:rPr>
          <w:bCs/>
        </w:rPr>
        <w:t>7. Skubiai plėtoti reikiamų paslaugų vaikui ir jo šeimai tinklą, tobulinant specialistų kvalifikaciją vaiko teisių apsaugos, sveikatos apsaugos ir socialinių paslaugų sistemos srityje. Efektyviau ir savalaikiai teikti pagalbą šeimai, didinti asmeninę tėvų atsakomybę už vaikus.</w:t>
      </w:r>
    </w:p>
    <w:p w:rsidR="008E05AA" w:rsidRPr="007F6388" w:rsidRDefault="008E05AA" w:rsidP="008E05AA">
      <w:pPr>
        <w:ind w:firstLine="720"/>
        <w:jc w:val="both"/>
        <w:rPr>
          <w:bCs/>
        </w:rPr>
      </w:pPr>
      <w:r w:rsidRPr="007F6388">
        <w:rPr>
          <w:bCs/>
        </w:rPr>
        <w:t>8. Nepakankamas vaikų ir jaunimo užimtumas. Trūksta vaikų ir jaunimo uži</w:t>
      </w:r>
      <w:r>
        <w:rPr>
          <w:bCs/>
        </w:rPr>
        <w:t>mtumo programų ir konkrečių pas</w:t>
      </w:r>
      <w:r w:rsidRPr="007F6388">
        <w:rPr>
          <w:bCs/>
        </w:rPr>
        <w:t>l</w:t>
      </w:r>
      <w:r>
        <w:rPr>
          <w:bCs/>
        </w:rPr>
        <w:t>a</w:t>
      </w:r>
      <w:r w:rsidRPr="007F6388">
        <w:rPr>
          <w:bCs/>
        </w:rPr>
        <w:t xml:space="preserve">ugų, dienos centrų, kitų vaikų papildomo ugdymo įstaigų. Mokesčiai už papildomo ugdymo paslaugas mokyklose ar kitose institucijose daugeliui šeimų yra per sunki našta. Tobulinti švietimo sistemą ir spręsti vaikų laisvalaikio užimtumo finansavimą. Vaiko gerovės valstybės politikos prioritetų ir uždavinių įgyvendinimui skirti pakankamą finansavimą, didinant valstybės indelį ir derinant tarpusavyje kitus finansavimo šaltinius. </w:t>
      </w:r>
    </w:p>
    <w:p w:rsidR="008E05AA" w:rsidRPr="007F6388" w:rsidRDefault="008E05AA" w:rsidP="008E05AA">
      <w:pPr>
        <w:ind w:firstLine="720"/>
        <w:jc w:val="both"/>
        <w:rPr>
          <w:bCs/>
        </w:rPr>
      </w:pPr>
      <w:r w:rsidRPr="007F6388">
        <w:rPr>
          <w:bCs/>
        </w:rPr>
        <w:t xml:space="preserve">9. Būtina užtikrinti išsamios statistinės informacijos apie visas vaikų grupes kaupimą, tobulinant informacines sistemas, siekiant greito ir deramo reagavimo į vaikų sveikatai kylančias grėsmes. </w:t>
      </w:r>
    </w:p>
    <w:p w:rsidR="008E05AA" w:rsidRPr="007F6388" w:rsidRDefault="008E05AA" w:rsidP="008E05AA">
      <w:pPr>
        <w:ind w:firstLine="720"/>
        <w:jc w:val="both"/>
        <w:rPr>
          <w:bCs/>
        </w:rPr>
      </w:pPr>
      <w:r w:rsidRPr="007F6388">
        <w:rPr>
          <w:bCs/>
        </w:rPr>
        <w:t xml:space="preserve">10. Vaikų sveikatos stiprinimo 2008 – 2012 metų programoje vaikams iki 18 metų, numatoma plėtoti vaikų psichikos sveikatos priežiūros paslaugas (ambulatorines, stacionaro, dienos stacionaro, krizių intervencijos, individualios, grupinės ir šeimos psichoterapijos), didinant šių paslaugų mastą, specializuojant stacionaro ir dienos stacionaro skyrius pagal vaikų amžių, gerinant šių paslaugų kokybę ir kuo daugiau jų perduodant bendrojo profilio medicinos (pediatrijos) įstaigoms. Siekiama sukurti specializuotas paslaugas paaugliams ir jaunuoliams: paauglių stacionaro skyrius, ilgalaikės psichosocialinės reabilitacijos (resocializacijos) paslaugas paaugliams su sunkiais elgesio ir socializacijos sutrikimais, specialias reabilitacijos paslaugas paaugliams, priklausomiems nuo alkoholio ir narkotikų. </w:t>
      </w:r>
    </w:p>
    <w:p w:rsidR="008E05AA" w:rsidRPr="007F6388" w:rsidRDefault="008E05AA" w:rsidP="008E05AA">
      <w:pPr>
        <w:ind w:firstLine="720"/>
        <w:jc w:val="both"/>
        <w:rPr>
          <w:bCs/>
        </w:rPr>
      </w:pPr>
      <w:r w:rsidRPr="007F6388">
        <w:rPr>
          <w:bCs/>
        </w:rPr>
        <w:t>11.</w:t>
      </w:r>
      <w:r w:rsidRPr="007F6388">
        <w:t xml:space="preserve"> </w:t>
      </w:r>
      <w:r w:rsidRPr="007F6388">
        <w:rPr>
          <w:bCs/>
        </w:rPr>
        <w:t>Už</w:t>
      </w:r>
      <w:r w:rsidRPr="007F6388">
        <w:t xml:space="preserve"> </w:t>
      </w:r>
      <w:r w:rsidRPr="007F6388">
        <w:rPr>
          <w:bCs/>
        </w:rPr>
        <w:t>Vaikų sveikatos stiprinimo 2008 – 2012 metų programos</w:t>
      </w:r>
      <w:r w:rsidRPr="007F6388">
        <w:t xml:space="preserve"> </w:t>
      </w:r>
      <w:r w:rsidRPr="007F6388">
        <w:rPr>
          <w:bCs/>
        </w:rPr>
        <w:t xml:space="preserve">įgyvendinimo koordinavimą atsakinga Sveikatos apsaugos ministerija. Šios programos įgyvendinimo priemones vykdančios institucijos atsiskaito Sveikatos apsaugos ministerijai – ne vėliau kaip iki kitų metų vasario 1 dienos ir pateikia praėjusiųjų metų priemonių vykdymo ataskaitą. Sveikatos apsaugos ministerija iki 2010 m. kovo 1 d. pateikia Lietuvos Respublikos Vyriausybei tarpinę šios programos įgyvendinimo ataskaitą, o iki 2013 m. kovo 1 d. – galutinę ataskaitą. </w:t>
      </w:r>
    </w:p>
    <w:p w:rsidR="008E05AA" w:rsidRPr="007F6388" w:rsidRDefault="008E05AA" w:rsidP="008E05AA">
      <w:pPr>
        <w:pStyle w:val="Pagrindiniotekstotrauka3"/>
        <w:jc w:val="both"/>
        <w:rPr>
          <w:sz w:val="24"/>
          <w:szCs w:val="24"/>
        </w:rPr>
      </w:pPr>
      <w:r w:rsidRPr="007F6388">
        <w:rPr>
          <w:sz w:val="24"/>
          <w:szCs w:val="24"/>
        </w:rPr>
        <w:t xml:space="preserve">12. Lietuvos Respublikos Švietimo ir mokslo ministras patvirtino įsakymą, kuris taikomas visų grupių ir tipų mokykloms neatsižvelgiant į jų pavaldumą ir nuosavybės formas, dėl teisės pažeidimų, mokyklos nelankymo, narkotinių ir psichotropinių medžiagų vartojimo, ŽIV/AIDS, smurto ir nusikalstamumo prevencijos. </w:t>
      </w:r>
    </w:p>
    <w:p w:rsidR="008E05AA" w:rsidRPr="007F6388" w:rsidRDefault="008E05AA" w:rsidP="008E05AA">
      <w:pPr>
        <w:ind w:firstLine="720"/>
        <w:jc w:val="both"/>
        <w:rPr>
          <w:bCs/>
        </w:rPr>
      </w:pPr>
      <w:r w:rsidRPr="007F6388">
        <w:rPr>
          <w:bCs/>
        </w:rPr>
        <w:t>Mokyklų vadovai teikia mokyklos steigėjui ataskaitą ir siūlymus dėl mokyklos nelankymo, alkoholio, tabako ir kitų psichiką veikiančių medžiagų vartojimo, ŽIV/AIDS, smurto, teisės pažeidimų prevencijos, mokinių užimtumo gerinimo.</w:t>
      </w:r>
    </w:p>
    <w:p w:rsidR="008E05AA" w:rsidRPr="007F6388" w:rsidRDefault="008E05AA" w:rsidP="008E05AA">
      <w:pPr>
        <w:pStyle w:val="Pagrindiniotekstotrauka3"/>
        <w:jc w:val="both"/>
        <w:rPr>
          <w:sz w:val="24"/>
          <w:szCs w:val="24"/>
        </w:rPr>
      </w:pPr>
      <w:r w:rsidRPr="007F6388">
        <w:rPr>
          <w:sz w:val="24"/>
          <w:szCs w:val="24"/>
        </w:rPr>
        <w:t xml:space="preserve">  Savivaldybių administracijos įgyvendina priemones, kurios padėtų užtikrinti vaiko teisę į mokslą ir sugrąžintų į mokyklą jos nelankančius vaikus ir kasmet iki spalio 25 d. teikia Švietimo ir mokslo ministerijai ataskaitas apie mokyklų vykdomas priemones narkotinių medžiagų vartojimo, ŽIV/AIDS, prievartos, smurto, nusikalstamumo prevencijos klausimais bei siūlymus prevenciniam darbui gerinti pagal Švietimo ir mokslo ministerijos parengtas rekomendacijas; organizuoja mokytojams, socialiniams pedagogams, psichologams, visuomenės sveikatos specialistams, klasės auklėtojams kvalifikacijos kėlimą narkotinių medžiagų, alkoholio bei tabako vartojimo, smurto, savižudybių ir kitais prevencinio darbo klausimais.</w:t>
      </w:r>
    </w:p>
    <w:p w:rsidR="008E05AA" w:rsidRPr="007F6388" w:rsidRDefault="008E05AA" w:rsidP="008E05AA">
      <w:pPr>
        <w:pStyle w:val="Pagrindiniotekstotrauka3"/>
        <w:jc w:val="both"/>
        <w:rPr>
          <w:sz w:val="24"/>
          <w:szCs w:val="24"/>
        </w:rPr>
      </w:pPr>
      <w:r w:rsidRPr="007F6388">
        <w:rPr>
          <w:sz w:val="24"/>
          <w:szCs w:val="24"/>
        </w:rPr>
        <w:t xml:space="preserve">13. Lietuvos Respublikos Vyriausybė patvirtino Vaikų, vartojančių psichiką veikiančias medžiagas, medicininės, psichologinės, socialinės reabilitacijos paslaugų teikimo koncepciją ir Ankstyvo vaikų (moksleivių) psichiką veikiančių medžiagų vartojimo nustatymo tvarką. Koncepcijoje pabrėžiama ankstyvoji intervencija, kurios tikslas – skatinti vaikus nevartoti psichiką veikiančių medžiagų, anksti nustatyti vaikus, vartojančius psichiką veikiančias medžiagas, ištirti jų sveikatos ir socialinę būklę, numatyti ir įgyvendinti pagalbos priemones. Ankstyvo vaikų (moksleivių) psichiką veikiančių medžiagų vartojimo nustatymo tvarkoje reglamentuojama vaikų, vartojančių narkotines, psichotropines, kitas psichiką veikiančias medžiagas, nustatymo organizavimą pradinėse pagrindinėse, vidurinėse, profesinėse mokyklose, vaikų globos įstaigose ir viešosiose vietose. </w:t>
      </w:r>
    </w:p>
    <w:p w:rsidR="008E05AA" w:rsidRPr="007F6388" w:rsidRDefault="008E05AA" w:rsidP="008E05AA">
      <w:pPr>
        <w:pStyle w:val="Pagrindiniotekstotrauka3"/>
        <w:jc w:val="both"/>
        <w:rPr>
          <w:sz w:val="24"/>
          <w:szCs w:val="24"/>
        </w:rPr>
      </w:pPr>
      <w:r w:rsidRPr="007F6388">
        <w:rPr>
          <w:sz w:val="24"/>
          <w:szCs w:val="24"/>
        </w:rPr>
        <w:lastRenderedPageBreak/>
        <w:t xml:space="preserve">14. Lietuvos Respublikos Konstitucijos 39, 40 ir 41 straipsniai nustato, kad nepilnamečius vaikus gina įstatymas, valstybė prižiūri mokymo ir auklėjimo įstaigų veiklą, asmenims iki 16 metų mokslas privalomas, todėl Sveikatos apsaugos ministerijos, Švietimo ir mokslo ministerijos, Socialinės apsaugos ir darbo ministerijos, Narkotikų kontrolės departamento prie Lietuvos Respublikos Vyriausybės teisės aktai vaiko gerovės politikos klausimais turi būti tarpusavyje suderinti ir privalo neprieštarauti Lietuvos Respublikos Konstitucijai. Būtina sudaryti tarpžinybinę darbo grupę dėl įstatymus lydinčiųjų teisės aktų tarpusavio suderinimo, atsižvelgiant į Vaiko gerovės politikos koncepciją ir Valstybinę šeimos politikos koncepciją. </w:t>
      </w:r>
    </w:p>
    <w:p w:rsidR="008E05AA" w:rsidRPr="007F6388" w:rsidRDefault="008E05AA" w:rsidP="008E05AA">
      <w:pPr>
        <w:pStyle w:val="Pagrindiniotekstotrauka3"/>
        <w:jc w:val="both"/>
        <w:rPr>
          <w:sz w:val="24"/>
          <w:szCs w:val="24"/>
        </w:rPr>
      </w:pPr>
      <w:r w:rsidRPr="007F6388">
        <w:rPr>
          <w:sz w:val="24"/>
          <w:szCs w:val="24"/>
        </w:rPr>
        <w:t>15. Būtinas Valstybinės medicininio audito inspekcijos  prie Sveikatos apsaugos ministerijos tyrimas ir vertinimas dėl 2007 – 2008 metais Sveikatos apsaugos ministerijos sistemoje narkotinių ir psichotropinių medžiagų skyrimo ir medicininių receptų išrašymo teisėtumo ir pagrįstumo bei  narkotinių ir psichotropinių medžiagų skyrimo ir medicininių receptų išrašymo vaikams teisėtumo ir pagrįstumo.</w:t>
      </w:r>
    </w:p>
    <w:p w:rsidR="008E05AA" w:rsidRPr="007F6388" w:rsidRDefault="008E05AA" w:rsidP="008E05AA">
      <w:pPr>
        <w:jc w:val="both"/>
        <w:rPr>
          <w:bCs/>
        </w:rPr>
      </w:pPr>
      <w:r w:rsidRPr="007F6388">
        <w:tab/>
      </w:r>
      <w:r w:rsidRPr="007F6388">
        <w:rPr>
          <w:bCs/>
        </w:rPr>
        <w:t>16. Vaiko teisių apsaugos kontrolierė 2008-05-15 priėmė sprendimą pasiūlė tuometiniam Lietuvos Respublikos sveikatos apsaugos ministru Rimvydui Turčinskui peržiūrėti patvirtiną Narkotinių ir psichotropinių medžiagų sąrašą, Nuodingųjų medžiagų pagal jų toksiškumą sąrašą, ir svarstyti galimybę į juos įtraukti amilo nitritą, tači</w:t>
      </w:r>
      <w:r>
        <w:rPr>
          <w:bCs/>
        </w:rPr>
        <w:t>au, iki šiol šios medžiagos į są</w:t>
      </w:r>
      <w:r w:rsidRPr="007F6388">
        <w:rPr>
          <w:bCs/>
        </w:rPr>
        <w:t>rašą neįtrauktos.</w:t>
      </w:r>
    </w:p>
    <w:p w:rsidR="008E05AA" w:rsidRPr="007F6388" w:rsidRDefault="008E05AA" w:rsidP="008E05AA">
      <w:pPr>
        <w:ind w:firstLine="720"/>
        <w:jc w:val="both"/>
        <w:rPr>
          <w:bCs/>
        </w:rPr>
      </w:pPr>
      <w:r w:rsidRPr="007F6388">
        <w:rPr>
          <w:bCs/>
        </w:rPr>
        <w:t>17.</w:t>
      </w:r>
      <w:r w:rsidRPr="007F6388">
        <w:t xml:space="preserve"> </w:t>
      </w:r>
      <w:r w:rsidRPr="007F6388">
        <w:rPr>
          <w:bCs/>
        </w:rPr>
        <w:t>Sveikatos apsaugos ministro įsakymu yra patvirtinta tarpžinybinė komisija "Dėl probleminių produktų priskyrimo atitinkamai produktų grupei”. Ši Komisija turėtų įvertinti produktų sudėtyje esančių medžiagų poveikį sveikatai ir priimti sprendimą minėtų produktų priskyrimo galimybę atitinkamai produktų grupei.</w:t>
      </w:r>
    </w:p>
    <w:p w:rsidR="008E05AA" w:rsidRPr="007F6388" w:rsidRDefault="008E05AA" w:rsidP="008E05AA">
      <w:pPr>
        <w:ind w:firstLine="720"/>
        <w:jc w:val="both"/>
        <w:rPr>
          <w:bCs/>
        </w:rPr>
      </w:pPr>
      <w:r w:rsidRPr="007F6388">
        <w:rPr>
          <w:bCs/>
          <w:lang w:eastAsia="lt-LT"/>
        </w:rPr>
        <w:t>18. Narkotikų kontrolės departamentas prie Lietuvos Respublikos Vyriausybės, r</w:t>
      </w:r>
      <w:r w:rsidRPr="007F6388">
        <w:rPr>
          <w:bCs/>
        </w:rPr>
        <w:t xml:space="preserve">emdamasis informacija, kad Europos šalyse labai plinta lizergo rūgšties hidroksietilamido turinčių augalų - gyslotojo vyklio (lot. </w:t>
      </w:r>
      <w:r w:rsidRPr="007F6388">
        <w:rPr>
          <w:bCs/>
          <w:i/>
          <w:iCs/>
        </w:rPr>
        <w:t xml:space="preserve">Argyreia nervosa, </w:t>
      </w:r>
      <w:r w:rsidRPr="007F6388">
        <w:rPr>
          <w:bCs/>
        </w:rPr>
        <w:t xml:space="preserve">angl. </w:t>
      </w:r>
      <w:r w:rsidRPr="007F6388">
        <w:rPr>
          <w:bCs/>
          <w:i/>
          <w:iCs/>
        </w:rPr>
        <w:t xml:space="preserve">Hawaiian baby woodrose) </w:t>
      </w:r>
      <w:r w:rsidRPr="007F6388">
        <w:rPr>
          <w:bCs/>
        </w:rPr>
        <w:t xml:space="preserve">ir linažiedžio sukučio (lot. </w:t>
      </w:r>
      <w:r w:rsidRPr="007F6388">
        <w:rPr>
          <w:bCs/>
          <w:i/>
          <w:iCs/>
        </w:rPr>
        <w:t xml:space="preserve">Jpomoea violacea, </w:t>
      </w:r>
      <w:r w:rsidRPr="007F6388">
        <w:rPr>
          <w:bCs/>
        </w:rPr>
        <w:t xml:space="preserve">angl. </w:t>
      </w:r>
      <w:r w:rsidRPr="007F6388">
        <w:rPr>
          <w:bCs/>
          <w:i/>
          <w:iCs/>
        </w:rPr>
        <w:t xml:space="preserve">Morning glory),- </w:t>
      </w:r>
      <w:r w:rsidRPr="007F6388">
        <w:rPr>
          <w:bCs/>
        </w:rPr>
        <w:t>vartojimas svaiginimosi tikslais, pasiūlė Valstybinei vaistų kontrolės tarnybai prie Lietuvos Respublikos sveikatos apsaugos ministerijos apsvarstyti galimybę įtraukti minėtus augalus į Narkotinių ir psichotropinių medžiagų sąrašus, patvirtintus Lietuvos Respublikos sveikatos apsaugos ministro 2000 m. sausio 6 d. įsakymu Nr. 5 "Dėl narkotinių ir psichotropinių medžiagų sąrašų patvirtinimo" (Žin., 2000, Nr. 4-113), tačiau, iki šiol šios medžiagos į sarašą neįtrauktos.</w:t>
      </w:r>
    </w:p>
    <w:p w:rsidR="008E05AA" w:rsidRPr="007F6388" w:rsidRDefault="008E05AA" w:rsidP="008E05AA">
      <w:pPr>
        <w:ind w:firstLine="720"/>
        <w:jc w:val="both"/>
        <w:rPr>
          <w:bCs/>
        </w:rPr>
      </w:pPr>
      <w:r w:rsidRPr="007F6388">
        <w:rPr>
          <w:bCs/>
        </w:rPr>
        <w:t>19.</w:t>
      </w:r>
      <w:r w:rsidRPr="007F6388">
        <w:rPr>
          <w:bCs/>
          <w:lang w:eastAsia="lt-LT"/>
        </w:rPr>
        <w:t xml:space="preserve"> Narkotikų kontrolės departamentas prie Lietuvos Respublikos Vyriausybės, g</w:t>
      </w:r>
      <w:r w:rsidRPr="007F6388">
        <w:rPr>
          <w:bCs/>
        </w:rPr>
        <w:t xml:space="preserve">avęs informaciją iš ES valstybių narių kompetentingų institucijų 2008 gruodžio 10 d. raštu Nr. S - (4,3-11)-790 kreipėsi ir pateikė siūlymą Valstybinei vaistų kontrolės tarnybai prie Sveikatos apsaugos ministerijos išnagrinėti galimybę prevenciniais tikslais įtraukti </w:t>
      </w:r>
      <w:r w:rsidRPr="007F6388">
        <w:rPr>
          <w:bCs/>
          <w:i/>
          <w:iCs/>
        </w:rPr>
        <w:t xml:space="preserve">Argyreia nervosa </w:t>
      </w:r>
      <w:r w:rsidRPr="007F6388">
        <w:rPr>
          <w:bCs/>
        </w:rPr>
        <w:t xml:space="preserve">(gyslotasis vyklys), </w:t>
      </w:r>
      <w:r w:rsidRPr="007F6388">
        <w:rPr>
          <w:bCs/>
          <w:i/>
          <w:iCs/>
        </w:rPr>
        <w:t xml:space="preserve">Banisteriopsis caapi </w:t>
      </w:r>
      <w:r w:rsidRPr="007F6388">
        <w:rPr>
          <w:bCs/>
        </w:rPr>
        <w:t xml:space="preserve">(svaigusis kvaitulis), </w:t>
      </w:r>
      <w:r w:rsidRPr="007F6388">
        <w:rPr>
          <w:bCs/>
          <w:i/>
          <w:iCs/>
        </w:rPr>
        <w:t xml:space="preserve">Calea zacatechichi </w:t>
      </w:r>
      <w:r w:rsidRPr="007F6388">
        <w:rPr>
          <w:bCs/>
        </w:rPr>
        <w:t xml:space="preserve">(actekiška sapnažolė), </w:t>
      </w:r>
      <w:r w:rsidRPr="007F6388">
        <w:rPr>
          <w:bCs/>
          <w:i/>
          <w:iCs/>
        </w:rPr>
        <w:t xml:space="preserve">Echinopsis pachanoi </w:t>
      </w:r>
      <w:r w:rsidRPr="007F6388">
        <w:rPr>
          <w:bCs/>
        </w:rPr>
        <w:t xml:space="preserve">(kvaitulinis echinopsis), </w:t>
      </w:r>
      <w:r w:rsidRPr="007F6388">
        <w:rPr>
          <w:bCs/>
          <w:i/>
          <w:iCs/>
        </w:rPr>
        <w:t xml:space="preserve">Hoodia gordonii, </w:t>
      </w:r>
      <w:r w:rsidRPr="007F6388">
        <w:rPr>
          <w:bCs/>
        </w:rPr>
        <w:t xml:space="preserve">kava kava (svaigusis pipiras), </w:t>
      </w:r>
      <w:r w:rsidRPr="007F6388">
        <w:rPr>
          <w:bCs/>
          <w:i/>
          <w:iCs/>
        </w:rPr>
        <w:t xml:space="preserve">Leonotis leonurus </w:t>
      </w:r>
      <w:r w:rsidRPr="007F6388">
        <w:rPr>
          <w:bCs/>
        </w:rPr>
        <w:t xml:space="preserve">(tikroji liūtausė), </w:t>
      </w:r>
      <w:r w:rsidRPr="007F6388">
        <w:rPr>
          <w:bCs/>
          <w:i/>
          <w:iCs/>
        </w:rPr>
        <w:t xml:space="preserve">Mimoza tenuiflora </w:t>
      </w:r>
      <w:r w:rsidRPr="007F6388">
        <w:rPr>
          <w:bCs/>
        </w:rPr>
        <w:t xml:space="preserve">(siauražiedė mimoza), </w:t>
      </w:r>
      <w:r w:rsidRPr="007F6388">
        <w:rPr>
          <w:bCs/>
          <w:i/>
          <w:iCs/>
        </w:rPr>
        <w:t xml:space="preserve">Nymhaea caerulea </w:t>
      </w:r>
      <w:r w:rsidRPr="007F6388">
        <w:rPr>
          <w:bCs/>
        </w:rPr>
        <w:t xml:space="preserve">(žydroji vandens lelija), </w:t>
      </w:r>
      <w:r w:rsidRPr="007F6388">
        <w:rPr>
          <w:bCs/>
          <w:i/>
          <w:iCs/>
        </w:rPr>
        <w:t xml:space="preserve">Peganum harmala </w:t>
      </w:r>
      <w:r w:rsidRPr="007F6388">
        <w:rPr>
          <w:bCs/>
        </w:rPr>
        <w:t xml:space="preserve">(sirijos rūta), </w:t>
      </w:r>
      <w:r w:rsidRPr="007F6388">
        <w:rPr>
          <w:bCs/>
          <w:i/>
          <w:iCs/>
        </w:rPr>
        <w:t xml:space="preserve">Psychotria viridis, Rivea corymbosa </w:t>
      </w:r>
      <w:r w:rsidRPr="007F6388">
        <w:rPr>
          <w:bCs/>
        </w:rPr>
        <w:t xml:space="preserve">(morning gloria), </w:t>
      </w:r>
      <w:r w:rsidRPr="007F6388">
        <w:rPr>
          <w:bCs/>
          <w:i/>
          <w:iCs/>
        </w:rPr>
        <w:t xml:space="preserve">Trichocereus peruvianus </w:t>
      </w:r>
      <w:r w:rsidRPr="007F6388">
        <w:rPr>
          <w:bCs/>
        </w:rPr>
        <w:t>į Narkotinių ir psichotropinių medžiagų sąrašus, patvirtintus Lietuvos Respublikos sveikatos apsaugos ministro 2000 m. sausio 6 d. įsakymu Nr. 5 "Dėl narkotinių ir psichotropinių medžiagų sąrašų patvirtinimo" (Zin., 2000, Nr. 4</w:t>
      </w:r>
      <w:r w:rsidRPr="007F6388">
        <w:rPr>
          <w:bCs/>
        </w:rPr>
        <w:softHyphen/>
        <w:t>113), tačiau, iki šiol šios medžiagos į sarašą neįtrauktos.</w:t>
      </w:r>
    </w:p>
    <w:p w:rsidR="008E05AA" w:rsidRPr="007F6388" w:rsidRDefault="008E05AA" w:rsidP="008E05AA">
      <w:pPr>
        <w:ind w:firstLine="720"/>
        <w:jc w:val="both"/>
      </w:pPr>
      <w:r w:rsidRPr="007F6388">
        <w:rPr>
          <w:bCs/>
        </w:rPr>
        <w:t>20.</w:t>
      </w:r>
      <w:r w:rsidRPr="007F6388">
        <w:rPr>
          <w:bCs/>
          <w:lang w:eastAsia="lt-LT"/>
        </w:rPr>
        <w:t xml:space="preserve"> Narkotikų kontrolės departamentas prie Lietuvos Respublikos Vyriausybės </w:t>
      </w:r>
      <w:r w:rsidRPr="007F6388">
        <w:rPr>
          <w:bCs/>
        </w:rPr>
        <w:t>pasiūlė skubos tvarka papildyti Lietuvos higienos normą HN 38:2002 "Didžiausi leidžiami kenksmingų medžiagų kiekiai tabako gaminiuose" patvirtintą Lietuvos Respublikos sveikatos apsaugos ministro 2002 m. birželio 28 d. įsakymu Nr. 317 (Žin., 2002, Nr. 70-2934) ir į 2 lentelės sąrašą "Medžiagos, draudžiamos naudoti tabako gaminių gamyboje" įrašyti medžiagas, kurios gali būti naudojamos rūkymui mišinyje su tabaku ir sukelti psichikos sutrikimus ir pateikė projektą, kuris buvo derinamas su SAM, tačiau, iki šiol šios medžiagos į sarašą neįtrauktos.</w:t>
      </w:r>
    </w:p>
    <w:p w:rsidR="008E05AA" w:rsidRPr="007F6388" w:rsidRDefault="008E05AA" w:rsidP="008E05AA">
      <w:pPr>
        <w:ind w:firstLine="720"/>
        <w:jc w:val="both"/>
        <w:rPr>
          <w:bCs/>
        </w:rPr>
      </w:pPr>
      <w:r w:rsidRPr="007F6388">
        <w:rPr>
          <w:bCs/>
        </w:rPr>
        <w:t xml:space="preserve">21. Dėl Lietuvos Respublikos rinkoje esančių cheminių medžiagų ir preparatų, įvairių žolių mišinių, arbatų ir rūkomųjų žolių mišinių, kurie gali būti paauglių vartojami kaip svaiginamosios medžiagos, apyvartos mažinimo bei minėtų medžiagų reklamos kontrolės įgyvendinimo buvo informuotos valstybės institucijos, kurios pagal kompetenciją privalėjo imtis atitinkamų priemonių: Valstybinė vartotojų teisių apsaugos tarnyba;  Botanikos instituto Floros ir Geobotanikos laboratorija; Valstybinė ne maisto produktų inspekcija prie Ūkio ministerijos; Valstybinio aplinkos sveikatos </w:t>
      </w:r>
      <w:r w:rsidRPr="007F6388">
        <w:rPr>
          <w:bCs/>
        </w:rPr>
        <w:lastRenderedPageBreak/>
        <w:t>centro Cheminės rizikos vertinimo skyrius; Farmacijos departamento Farmacinės veiklos skyrius; Valstybinė vaistų kontrolės tarnyba; Narkotikų kontrolės departamentas prie Lietuvos Respublikos Vyriausybės; Sveikatos apsaugos ministerijos Visuomenės sveikatos departamentas; Valstybinės visuomenės sveikatos priežiūros tarnybos prie Sveikatos apsaugos ministerijos Leidimų ir licencijų skyrius; Lietuvos kriminalinės policijos biuro Organizuoto nusikalstamumo 3-osios valdybos I-ojo skyrius; Valstybinės maisto ir veterinarijos tarnyba; Vilniaus greitosios pagalbos universitetinės ligoninės, Ūmių apsinuodijimų skyrius; Vaiko teisių apsaugos kontrolierė,</w:t>
      </w:r>
      <w:r w:rsidRPr="007F6388">
        <w:t xml:space="preserve"> </w:t>
      </w:r>
      <w:r w:rsidRPr="007F6388">
        <w:rPr>
          <w:bCs/>
        </w:rPr>
        <w:t>Valstybinė tabako ir alkoholio tarnyba prie Lietuvos Respublikos Vyriausybės.</w:t>
      </w:r>
    </w:p>
    <w:p w:rsidR="008E05AA" w:rsidRPr="007F6388" w:rsidRDefault="008E05AA" w:rsidP="008E05AA">
      <w:pPr>
        <w:ind w:firstLine="720"/>
        <w:jc w:val="both"/>
      </w:pPr>
      <w:r w:rsidRPr="007F6388">
        <w:rPr>
          <w:bCs/>
        </w:rPr>
        <w:t>22.</w:t>
      </w:r>
      <w:r w:rsidRPr="007F6388">
        <w:t xml:space="preserve"> </w:t>
      </w:r>
      <w:r w:rsidRPr="007F6388">
        <w:rPr>
          <w:bCs/>
          <w:lang w:eastAsia="lt-LT"/>
        </w:rPr>
        <w:t xml:space="preserve">Narkotikų kontrolės departamentas prie Lietuvos Respublikos Vyriausybės </w:t>
      </w:r>
      <w:r w:rsidRPr="007F6388">
        <w:rPr>
          <w:bCs/>
        </w:rPr>
        <w:t>inicijavo Lietuvos Respublikos nepilnamečių apsaugos nuo neigiamo viešosios informacijos poveikio įstatymo (Žin., 2002, Nr. 91-3890; 2006, Nr. 141-5393) 4 straipsnio 1 dalies 6 punkto pakeitimo įstatymo projektą, įtraukiant į minėtą punktą ir medžiagas, kurios gali būti vartojamos svaiginimuisi bei Lietuvos Respublikos visuomenės informavimo įstatymo (Žin., 1996, Nr. 71-170;2006, Nr. 82-3254) 2 straipsnio 68 dalies pakeitimo įstatymo projektą, įtraukiant į minėtą punktą ir medžiagas, kurios vartojamos arba gali būti vartojamos svaiginimuisi, tačiau, minėti  projektai Seimui nepateikti.</w:t>
      </w:r>
      <w:r w:rsidRPr="007F6388">
        <w:t xml:space="preserve">  </w:t>
      </w:r>
    </w:p>
    <w:p w:rsidR="008E05AA" w:rsidRPr="007F6388" w:rsidRDefault="008E05AA" w:rsidP="008E05AA">
      <w:pPr>
        <w:ind w:firstLine="720"/>
        <w:jc w:val="both"/>
      </w:pPr>
    </w:p>
    <w:p w:rsidR="008E05AA" w:rsidRPr="001A7465" w:rsidRDefault="008E05AA" w:rsidP="008E05AA">
      <w:pPr>
        <w:ind w:firstLine="720"/>
        <w:jc w:val="both"/>
      </w:pPr>
    </w:p>
    <w:p w:rsidR="008E05AA" w:rsidRDefault="008E05AA" w:rsidP="008E05AA">
      <w:pPr>
        <w:pStyle w:val="Pagrindiniotekstotrauka2"/>
        <w:spacing w:line="240" w:lineRule="auto"/>
      </w:pPr>
    </w:p>
    <w:p w:rsidR="008E05AA" w:rsidRPr="005D7872" w:rsidRDefault="008E05AA" w:rsidP="008E05AA">
      <w:pPr>
        <w:pStyle w:val="Pagrindiniotekstotrauka2"/>
        <w:spacing w:line="240" w:lineRule="auto"/>
        <w:ind w:firstLine="437"/>
        <w:rPr>
          <w:b/>
        </w:rPr>
      </w:pPr>
      <w:r w:rsidRPr="005D7872">
        <w:rPr>
          <w:b/>
        </w:rPr>
        <w:t xml:space="preserve">Dėl apsinuodijimų alkoholiu, narkotinėmis, psichotropinėmis ir kitomis nuodingosiomis medžiagomis.  </w:t>
      </w:r>
    </w:p>
    <w:p w:rsidR="008E05AA" w:rsidRPr="005D7872" w:rsidRDefault="008E05AA" w:rsidP="008E05AA">
      <w:pPr>
        <w:ind w:right="283"/>
        <w:jc w:val="both"/>
      </w:pPr>
    </w:p>
    <w:p w:rsidR="008E05AA" w:rsidRPr="005D7872" w:rsidRDefault="008E05AA" w:rsidP="008E05AA">
      <w:pPr>
        <w:ind w:right="283"/>
        <w:jc w:val="both"/>
      </w:pPr>
      <w:r>
        <w:tab/>
      </w:r>
      <w:r w:rsidRPr="005D7872">
        <w:t xml:space="preserve">Vadovaujantis Lietuvos Respublikos Nuodingųjų medžiagų kontrolės įstatymu (V.Ž., 2001, Nr. 64-2330) informacija apie nuodingąsias medžiagas kaupiama pavojingų cheminių medžiagų ir preparatų registre, įsteigtame Cheminių medžiagų ir preparatų įstatymo nustatyta tvarka. Informacija apie apsinuodijimus teikiama pagal Sveikatos apsaugos ministerijos patvirtintą nuodingųjų medžiagų sąrašą pagal jų toksiškumą. Šio sąrašo pagrindu sudaromas atitinkamas pavojingų cheminių medžiagų ir preparatų registro skyrius ir tvarkomas įstatymų ir kitų teisės aktų nustatyta tvarka. Sąrašas peržiūrimas ir tikslinamas ne rečiau kaip kartą per metus. Informaciją, susijusią su žmonių apsinuodijimais nuodingosiomis medžiagomis ir jų specifine profilaktika, iš sveikatos priežiūros įstaigų, civilinės metrikacijos įstaigų teisės aktų nustatyta tvarka kaupia ir juridiniams bei fiziniams asmenims teikia Sveikatos apsaugos ministerija arba jos įgaliota kompetentinga sveikatos priežiūros įstaiga. </w:t>
      </w:r>
    </w:p>
    <w:p w:rsidR="008E05AA" w:rsidRPr="005D7872" w:rsidRDefault="008E05AA" w:rsidP="008E05AA">
      <w:pPr>
        <w:pStyle w:val="Pagrindiniotekstotrauka"/>
      </w:pPr>
      <w:r w:rsidRPr="005D7872">
        <w:t>Statistinė informacija apie vaikus pagal atitinkamus rodiklius pradėta rinkti nuo 2005 metų. Ją kaupia ir apibendrina Statistikos departamentas prie Lietuvos Respublikos Vyriausybės.</w:t>
      </w:r>
    </w:p>
    <w:p w:rsidR="008E05AA" w:rsidRPr="005D7872" w:rsidRDefault="008E05AA" w:rsidP="008E05AA">
      <w:pPr>
        <w:jc w:val="both"/>
      </w:pPr>
      <w:r w:rsidRPr="005D7872">
        <w:tab/>
        <w:t xml:space="preserve"> Analizuojant psichiką veikiančias medžiagas pagal jų poveikį žmogaus organizmui</w:t>
      </w:r>
      <w:r w:rsidRPr="005D7872">
        <w:rPr>
          <w:color w:val="FF0000"/>
        </w:rPr>
        <w:t xml:space="preserve"> </w:t>
      </w:r>
      <w:r w:rsidRPr="005D7872">
        <w:t>visus sveikatos sutrikimus galima suskirstyti į dvi grupes: psichikos ir elgesio sutrikimus (priklausomybes) bei apinuodijimus. Vadovaujantis Tarptautinės statistinės ligų ir sveikatos problemų klasifikacijos 10- tąja redakcija (toliau – TLK-10) psichiką veikiančių medžiagų vartojimas yra koduojamas šiais kodais: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0"/>
        <w:gridCol w:w="899"/>
        <w:gridCol w:w="7689"/>
      </w:tblGrid>
      <w:tr w:rsidR="008E05AA" w:rsidRPr="005D7872" w:rsidTr="004F7425">
        <w:tc>
          <w:tcPr>
            <w:tcW w:w="520"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p>
        </w:tc>
        <w:tc>
          <w:tcPr>
            <w:tcW w:w="899" w:type="dxa"/>
            <w:tcBorders>
              <w:top w:val="single" w:sz="12"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Kodas</w:t>
            </w:r>
          </w:p>
        </w:tc>
        <w:tc>
          <w:tcPr>
            <w:tcW w:w="7689"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Sveikatos sutrikimas</w:t>
            </w:r>
          </w:p>
        </w:tc>
      </w:tr>
      <w:tr w:rsidR="008E05AA" w:rsidRPr="005D7872" w:rsidTr="004F7425">
        <w:trPr>
          <w:cantSplit/>
        </w:trPr>
        <w:tc>
          <w:tcPr>
            <w:tcW w:w="520" w:type="dxa"/>
            <w:vMerge w:val="restart"/>
            <w:tcBorders>
              <w:top w:val="single" w:sz="12" w:space="0" w:color="auto"/>
              <w:left w:val="single" w:sz="12" w:space="0" w:color="auto"/>
              <w:bottom w:val="single" w:sz="6" w:space="0" w:color="auto"/>
              <w:right w:val="single" w:sz="6" w:space="0" w:color="auto"/>
            </w:tcBorders>
            <w:textDirection w:val="btLr"/>
          </w:tcPr>
          <w:p w:rsidR="008E05AA" w:rsidRPr="005D7872" w:rsidRDefault="008E05AA" w:rsidP="004F7425">
            <w:pPr>
              <w:jc w:val="both"/>
            </w:pPr>
            <w:r w:rsidRPr="005D7872">
              <w:t>PRIKLAOSOMYBĖ</w:t>
            </w:r>
          </w:p>
        </w:tc>
        <w:tc>
          <w:tcPr>
            <w:tcW w:w="899" w:type="dxa"/>
            <w:tcBorders>
              <w:top w:val="single" w:sz="12"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F10</w:t>
            </w:r>
          </w:p>
        </w:tc>
        <w:tc>
          <w:tcPr>
            <w:tcW w:w="7689"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alkoholį</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F11</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opioidus</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F12</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kanabinoidus</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F13</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raminančias ir migdančias medžiagas</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F14</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kokainą</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F15</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stimuliatorius ir kofeiną</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F16</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haliucinogenus</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F17</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tabaką</w:t>
            </w:r>
          </w:p>
        </w:tc>
      </w:tr>
      <w:tr w:rsidR="008E05AA" w:rsidRPr="005D7872" w:rsidTr="004F7425">
        <w:trPr>
          <w:cantSplit/>
        </w:trPr>
        <w:tc>
          <w:tcPr>
            <w:tcW w:w="520"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F18</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Psichikos ir elgesio sutrikimai vartojant lakias medžiagas</w:t>
            </w:r>
          </w:p>
        </w:tc>
      </w:tr>
      <w:tr w:rsidR="008E05AA" w:rsidRPr="005D7872" w:rsidTr="004F7425">
        <w:trPr>
          <w:cantSplit/>
        </w:trPr>
        <w:tc>
          <w:tcPr>
            <w:tcW w:w="520" w:type="dxa"/>
            <w:vMerge/>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F19</w:t>
            </w:r>
          </w:p>
        </w:tc>
        <w:tc>
          <w:tcPr>
            <w:tcW w:w="7689"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Psichikos ir elgesio sutrikimai vartojant kelis narkotikus ir kelias psichoaktyviąsias medžiagas</w:t>
            </w:r>
          </w:p>
        </w:tc>
      </w:tr>
      <w:tr w:rsidR="008E05AA" w:rsidRPr="005D7872" w:rsidTr="004F7425">
        <w:trPr>
          <w:cantSplit/>
        </w:trPr>
        <w:tc>
          <w:tcPr>
            <w:tcW w:w="520" w:type="dxa"/>
            <w:vMerge w:val="restart"/>
            <w:tcBorders>
              <w:top w:val="single" w:sz="12" w:space="0" w:color="auto"/>
              <w:left w:val="single" w:sz="12" w:space="0" w:color="auto"/>
              <w:right w:val="single" w:sz="6" w:space="0" w:color="auto"/>
            </w:tcBorders>
            <w:textDirection w:val="btLr"/>
          </w:tcPr>
          <w:p w:rsidR="008E05AA" w:rsidRPr="005D7872" w:rsidRDefault="008E05AA" w:rsidP="004F7425">
            <w:pPr>
              <w:jc w:val="both"/>
            </w:pPr>
            <w:r w:rsidRPr="005D7872">
              <w:t>APSINUODIJIMAS</w:t>
            </w:r>
          </w:p>
        </w:tc>
        <w:tc>
          <w:tcPr>
            <w:tcW w:w="899" w:type="dxa"/>
            <w:tcBorders>
              <w:top w:val="single" w:sz="12"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w:t>
            </w:r>
          </w:p>
        </w:tc>
        <w:tc>
          <w:tcPr>
            <w:tcW w:w="7689"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narkotikais ir psichodisleptikais (haliucinogenais)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T40.0</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opiumu</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T40.1</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heroinu</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T40.2</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kitais opioidais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T40.3</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metadonu</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T40.4</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kitais sintetiniais narkotikais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T40.5</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kokainu</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T40.6</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kitais ir nepatikslintais narkotikais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T40.7</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kanapėmis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T40.8</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Apsinuodijimas lizerginės rūgšties derivatais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T40.9</w:t>
            </w:r>
          </w:p>
        </w:tc>
        <w:tc>
          <w:tcPr>
            <w:tcW w:w="7689"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Apsinuodijimas kitais ir nepatikslintais psichodisleptikais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12"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w:t>
            </w:r>
          </w:p>
        </w:tc>
        <w:tc>
          <w:tcPr>
            <w:tcW w:w="7689"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Alkoholio toksinis poveikis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T51.0</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Etanolio toksinis poveikis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T51.1</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Metanolio toksinis poveikis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T51.2</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 Propanolio toksinis poveikis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T51.3</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Aukštesniųjų alkoholių toksinis poveikis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T51.8</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Kitų alkoholių toksinis poveikis</w:t>
            </w:r>
          </w:p>
        </w:tc>
      </w:tr>
      <w:tr w:rsidR="008E05AA" w:rsidRPr="005D7872" w:rsidTr="004F7425">
        <w:trPr>
          <w:cantSplit/>
        </w:trPr>
        <w:tc>
          <w:tcPr>
            <w:tcW w:w="520" w:type="dxa"/>
            <w:vMerge/>
            <w:tcBorders>
              <w:left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T51.9</w:t>
            </w:r>
          </w:p>
        </w:tc>
        <w:tc>
          <w:tcPr>
            <w:tcW w:w="7689"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Nepatikslinto alkoholio toksinis poveikis</w:t>
            </w:r>
          </w:p>
        </w:tc>
      </w:tr>
      <w:tr w:rsidR="008E05AA" w:rsidRPr="005D7872" w:rsidTr="004F7425">
        <w:trPr>
          <w:cantSplit/>
        </w:trPr>
        <w:tc>
          <w:tcPr>
            <w:tcW w:w="520" w:type="dxa"/>
            <w:vMerge/>
            <w:tcBorders>
              <w:left w:val="single" w:sz="12" w:space="0" w:color="auto"/>
              <w:bottom w:val="single" w:sz="12" w:space="0" w:color="auto"/>
              <w:right w:val="single" w:sz="6" w:space="0" w:color="auto"/>
            </w:tcBorders>
          </w:tcPr>
          <w:p w:rsidR="008E05AA" w:rsidRPr="005D7872" w:rsidRDefault="008E05AA" w:rsidP="004F7425">
            <w:pPr>
              <w:jc w:val="both"/>
            </w:pPr>
          </w:p>
        </w:tc>
        <w:tc>
          <w:tcPr>
            <w:tcW w:w="899" w:type="dxa"/>
            <w:tcBorders>
              <w:top w:val="single" w:sz="6"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T52.3</w:t>
            </w:r>
          </w:p>
        </w:tc>
        <w:tc>
          <w:tcPr>
            <w:tcW w:w="7689"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Glikolių toksinis poveikis</w:t>
            </w:r>
          </w:p>
        </w:tc>
      </w:tr>
    </w:tbl>
    <w:p w:rsidR="008E05AA" w:rsidRPr="005D7872" w:rsidRDefault="008E05AA" w:rsidP="008E05AA">
      <w:pPr>
        <w:ind w:firstLine="720"/>
        <w:jc w:val="both"/>
      </w:pPr>
      <w:r w:rsidRPr="005D7872">
        <w:t>Valstybinis aplinkos sveikatos centras įgyvendindamas Nuodingųjų medžiagų kontrolės įstatymo (Žin., 2001, Nr. 64-2330) nuostatas Sveikatos apsaugos ministras įsakymu “Dėl informacijos, susijusios su žmonių apsinuodijimais ir jų specifine profilaktika , kaupimo ir teikimo” (Žin., 2001, Nr. 102-3641) įpareigojo asmens sveikatos priežiūros įstaigas teikti, o Valstybiniam aplinkos sveikatos centro Apsinuodijimų kontrolės ir informacijos biurui ( toliau – Apsinuodijimų kontrolės ir informacijos biuras) pavedė rinkti informaciją apie  cheminius nudegimus, apsinuodijimus narkotinėmis ir psichotropinėmis medžiagomis, vaistais ir biologinėmis medžiagomis, nemedicininės paskirties medžiagų toksinį poveikį, cheminio nudegimo ir apsinuodijimo padarinius ir kitomis  nuodingosiomis medžiagomis, įrašytomis į Nuodingųjų medžiagų pagal jų toksiškumą sąrašą, patvirtintą sveikatos apsaugos ministro 2004 m. gruodžio 30 d. Įsakymu Nr. V-975 “Dėl Nuodingųjų medžiagų pagal jų toksiškumą sąrašo patvirtinimo”.</w:t>
      </w:r>
    </w:p>
    <w:p w:rsidR="008E05AA" w:rsidRPr="005D7872" w:rsidRDefault="008E05AA" w:rsidP="008E05AA">
      <w:pPr>
        <w:ind w:firstLine="720"/>
        <w:jc w:val="both"/>
      </w:pPr>
      <w:r w:rsidRPr="005D7872">
        <w:t xml:space="preserve"> Pagal šį įsakymą Valstybiniame aplinkos sveikatos centre yra kaupiama  ir analizuojama tik minėtame ministro įsakyme nurodyta informacija.</w:t>
      </w:r>
    </w:p>
    <w:p w:rsidR="008E05AA" w:rsidRPr="005D7872" w:rsidRDefault="008E05AA" w:rsidP="008E05AA">
      <w:pPr>
        <w:pStyle w:val="Pagrindinistekstas2"/>
        <w:rPr>
          <w:szCs w:val="24"/>
        </w:rPr>
      </w:pPr>
      <w:r w:rsidRPr="005D7872">
        <w:rPr>
          <w:szCs w:val="24"/>
        </w:rPr>
        <w:t>Sveikatos apsaugos ministerijos Ekstremalių sveikatai situacijų centro Apsinuodijimų kontrolės ir informacijos biuro specialistai vadovaujantis Lietuvos Respublikos sveikatos apsaugos ministro 2005 m. rugpjūčio 12 d. įsakymu Nr. V-650 “Dėl Lietuvos Respublikos sveikatos apsaugos ministro 2003 m. spalio 8 d. įsakymo Nr. V-597 “Dėl informacijos, susijusios su žmonių apsinuodijimais ir jų specifine profilaktika, kaupimo ir teikimo” pakeitimo”,  visą parą teikia informaciją ir konsultacijas apsinuodijimų atvejais.</w:t>
      </w:r>
    </w:p>
    <w:p w:rsidR="008E05AA" w:rsidRPr="005D7872" w:rsidRDefault="008E05AA" w:rsidP="008E05AA">
      <w:pPr>
        <w:ind w:firstLine="720"/>
        <w:jc w:val="both"/>
      </w:pPr>
      <w:r w:rsidRPr="005D7872">
        <w:t xml:space="preserve"> Apsinuodijimų kontrolės ir informacijos biuras, remdamasis Valstybinės ligonių kasos prie Lietuvos Respublikos sveikatos apsaugos ministerijos pateiktais duomenimis, taip pat  analizuoja informaciją apie apsinuodijimo atvejus, kai į asmens sveikatos priežiūros įstaigas kreiptasi dėl įtariamo ar nustatyto apsinuodijimo. </w:t>
      </w:r>
    </w:p>
    <w:p w:rsidR="008E05AA" w:rsidRPr="005D7872" w:rsidRDefault="008E05AA" w:rsidP="008E05AA">
      <w:pPr>
        <w:ind w:firstLine="720"/>
        <w:jc w:val="both"/>
      </w:pPr>
      <w:r w:rsidRPr="005D7872">
        <w:t xml:space="preserve">Narkotikų kontrolės departamentas prie Lietuvos Respublikos Vyriausybės pagal kompetenciją organizuoja ir teikia suinteresuotoms institucijoms informaciją apie narkomanijos prevencijos ir narkotikų kontrolės priemonių įgyvendinimą, tendencijas šalyje ir užsienyje, narkotinių ir psichotropinių medžiagų vartojimo padarinius, tame tarpe ir apsinuodijimus narkotinėmis ir psichotropinėmis medžiagomis. Duomenis apie asmenų apsinuodijimus narkotinėmis ir psichotropinėmis medžiagomis kasmet einamųjų metų II ketvirtį  Narkotikų kontrolės departamentui prie Lietuvos Respublikos Vyriausybės teikia  Sveikatos apsaugos ministerija, vadovaujantis Narkotinių ir psichotropinių medžiagų vartojimo, jo padarinių bei narkotinių ir psichotropinių medžiagų ir jų pirmtakų apyvartos stebėsenos tvarkos aprašu, patvirtintu Lietuvos respublikos Vyriausybės 2005 m. gegužės 30 d. nutarimu Nr. 591 (Žin., 2005, Nr. 69-2470). </w:t>
      </w:r>
    </w:p>
    <w:p w:rsidR="008E05AA" w:rsidRPr="005D7872" w:rsidRDefault="008E05AA" w:rsidP="008E05AA">
      <w:pPr>
        <w:ind w:firstLine="720"/>
        <w:jc w:val="both"/>
      </w:pPr>
      <w:r w:rsidRPr="005D7872">
        <w:t xml:space="preserve">Siekiant užtikrinti tinkamą ir savalaikę pagalbą apsinuodijusiems pacientams 2004 m. birželio 28 d. buvo priimtas Lietuvos Respublikos sveikatos apsaugos ministro įsakymas Nr. V-468 „ Dėl būtinųjų priešnuodžių rinkinio asmens sveikatos priežiūros įstaigose įsigijimo ir vartojimo tvarkos ir priešnuodžių, vartojamų apsinuodijusiems pacientams gydyti asmens sveikatos priežiūros įstaigose, sąrašo patvirtinimo“ (toliau – Būtinųjų priešnuodžių įsakymas) (Žin., 2004, Nr. 105-3905, 2005, Nr. 101-3763). </w:t>
      </w:r>
    </w:p>
    <w:p w:rsidR="008E05AA" w:rsidRPr="005D7872" w:rsidRDefault="008E05AA" w:rsidP="008E05AA">
      <w:pPr>
        <w:ind w:firstLine="720"/>
        <w:jc w:val="both"/>
      </w:pPr>
      <w:r w:rsidRPr="005D7872">
        <w:lastRenderedPageBreak/>
        <w:t>Vadovaujantis minėtu teisės aktu visos asmens sveikatos priežiūros (toliau-ASP) paslaugas apsinuodijusiems pacientams teikiančios įstaigos privalo apsirūpinti nustatytais priešnuodžių rinkiniais. Būtinųjų priešnuodžių įsakymo rengėjai (Apsinuodijimų kontrolės ir informacijos biuro specialistai), išanalizavę nuodų kinetiką ir dinamiką, visus Būtinuosius priešnuodžius suskirstė į dvi grupes. Į greitosios medicinos pagalbos (GMP) paslaugas teikiančių įstaigų rinkinį buvo įtraukti priešnuodžiai, kurie apsinuodijusiam pacientui yra skiriami nedelsiant. Antrąjį Būtinųjų priešnuodžių rinkinį sudaro tokie medikamentai, kuriuos galima skirti nuo apsinuodijimo pradžios praėjus ir keletui ar keliolikai valandų. Šiuo rinkiniu privalo būti apsirūpinusios visos nespecializuotos stacionarines paslaugas teikiančios asmens sveikatos priežiūros (ASP) įstaigos.</w:t>
      </w:r>
    </w:p>
    <w:p w:rsidR="008E05AA" w:rsidRPr="005D7872" w:rsidRDefault="008E05AA" w:rsidP="008E05AA">
      <w:pPr>
        <w:jc w:val="both"/>
      </w:pPr>
      <w:r w:rsidRPr="005D7872">
        <w:tab/>
        <w:t xml:space="preserve">Vadovaujantis minėtu įsakymu Naloksonas, priešnuodis skirtas opiatų perdozavusių pacientų gydymui, yra įtrauktas į abu aukščiau paminėtus rinkinius, o visos GMP ir ASP paslaugas teikiančios įstaigos kiekvienais metais iki vasario 1 d. privalo raštu informuoja Ekstremalių sveikatai situacijų centro Apsinuodijimų kontrolės ir informacijos biurą apie turimas priešnuodžių atsargas. </w:t>
      </w:r>
    </w:p>
    <w:p w:rsidR="008E05AA" w:rsidRPr="005D7872" w:rsidRDefault="008E05AA" w:rsidP="008E05AA">
      <w:pPr>
        <w:jc w:val="both"/>
      </w:pPr>
      <w:r w:rsidRPr="005D7872">
        <w:tab/>
        <w:t xml:space="preserve">Analizuojant 2005 – 2007 m. GMP ir ASP paslaugas teikiančių įstaigų pateiktą informaciją apie apsirūpinimą Būtinaisiais priešnuodžiais nustatyta, kad minėtoms įstaigoms įsigyjant Naloksoną sunkumų nekyla. Visos Būtinųjų priešnuodžių atsargų sąrašus pateikusios įstaigos minėtu laikotarpiu buvo apsirūpinusios priešnuodžiu, skirtu opiatų perdozavusiems pacientams gydyti. </w:t>
      </w:r>
    </w:p>
    <w:p w:rsidR="008E05AA" w:rsidRPr="005D7872" w:rsidRDefault="008E05AA" w:rsidP="008E05AA">
      <w:pPr>
        <w:jc w:val="both"/>
      </w:pPr>
      <w:r w:rsidRPr="005D7872">
        <w:tab/>
        <w:t xml:space="preserve"> </w:t>
      </w:r>
    </w:p>
    <w:p w:rsidR="008E05AA" w:rsidRPr="005D7872" w:rsidRDefault="008E05AA" w:rsidP="008E05AA">
      <w:pPr>
        <w:jc w:val="both"/>
        <w:rPr>
          <w:b/>
          <w:bCs/>
        </w:rPr>
      </w:pPr>
      <w:r w:rsidRPr="005D7872">
        <w:tab/>
      </w:r>
      <w:r w:rsidRPr="005D7872">
        <w:tab/>
      </w:r>
      <w:r w:rsidRPr="005D7872">
        <w:rPr>
          <w:b/>
          <w:bCs/>
        </w:rPr>
        <w:t>2004   -  2005 METAI</w:t>
      </w:r>
    </w:p>
    <w:p w:rsidR="008E05AA" w:rsidRPr="005D7872" w:rsidRDefault="008E05AA" w:rsidP="008E05AA">
      <w:pPr>
        <w:jc w:val="both"/>
      </w:pPr>
    </w:p>
    <w:p w:rsidR="008E05AA" w:rsidRDefault="008E05AA" w:rsidP="008E05AA">
      <w:pPr>
        <w:ind w:firstLine="720"/>
        <w:jc w:val="both"/>
      </w:pPr>
      <w:r w:rsidRPr="005D7872">
        <w:t xml:space="preserve">2004 m. į Apsinuodijimų kontrolės ir informacijos biurą – toliau AKIB)) gyventojų ir asmens sveikatos priežiūros įstaigų specialistų skambučiai dėl konkretaus apsinuodijimo atvejo gydymo taktikos ar apsinuodijimą sukėlusios medžiagos poveikio sudarė 79 proc. (890 atvejų). Apsinuodijimai narkotinėmis medžiagomis sudarė 4,6 proc. arba 41 atvejį visų klinikinių atvejų. </w:t>
      </w:r>
    </w:p>
    <w:p w:rsidR="008E05AA" w:rsidRPr="005D7872" w:rsidRDefault="008E05AA" w:rsidP="008E05AA">
      <w:pPr>
        <w:ind w:firstLine="720"/>
        <w:jc w:val="both"/>
      </w:pPr>
      <w:r w:rsidRPr="005D7872">
        <w:t xml:space="preserve">2005 m. į  AKIB gyventojų ir asmens sveikatos priežiūros įstaigų specialistų skambučiai dėl konkretaus apsinuodijimo atvejo gydymo taktikos ar apsinuodijimą sukėlusios medžiagos poveikio sudarė 75 proc. (1006 atvejai). Apsinuodijimai narkotinėmis medžiagomis sudarė 4,8 proc. arba 45 atvejai visų klinikinių atvejų. </w:t>
      </w:r>
    </w:p>
    <w:p w:rsidR="008E05AA" w:rsidRPr="005D7872" w:rsidRDefault="008E05AA" w:rsidP="008E05AA">
      <w:pPr>
        <w:ind w:firstLine="720"/>
        <w:jc w:val="both"/>
      </w:pPr>
      <w:r w:rsidRPr="005D7872">
        <w:t>2004 metais sergamumas ir ligotumas priklausomybėmis (absoliučiais skaičiais) užregistruotas 68 653 atvejais . Iš jų: psichikos ir elgesio sutrikimai vartojant alkoholį – 63 642;</w:t>
      </w:r>
    </w:p>
    <w:p w:rsidR="008E05AA" w:rsidRDefault="008E05AA" w:rsidP="008E05AA">
      <w:pPr>
        <w:jc w:val="both"/>
      </w:pPr>
      <w:r w:rsidRPr="005D7872">
        <w:t>psichikos ir elgesio sutrikimai vartojant narkotikus ir psichoaktyviąsias medžiagas – 5011.  2005 metais sergamumas ir ligotumas priklausomybėmis (absoliučiais skaičiais) užregistruotas 68 701</w:t>
      </w:r>
      <w:r w:rsidRPr="005D7872">
        <w:rPr>
          <w:b/>
          <w:bCs/>
        </w:rPr>
        <w:t xml:space="preserve"> </w:t>
      </w:r>
      <w:r w:rsidRPr="005D7872">
        <w:t>atvejais. Iš jų: psichikos ir elgesio sutrikimai vartojant alkoholį – 63330 ;psichikos ir elgesio sutrikimai vartojant narkotikus ir psichoaktyviąsias medžiagas – 5371).</w:t>
      </w:r>
    </w:p>
    <w:p w:rsidR="008E05AA" w:rsidRPr="005D7872" w:rsidRDefault="008E05AA" w:rsidP="008E05AA">
      <w:pPr>
        <w:jc w:val="both"/>
      </w:pPr>
      <w:r w:rsidRPr="005D7872">
        <w:t xml:space="preserve">Valstybinio psichikos sveikatos centro duomenimis, 2006 m. gruodžio 31 d. Lietuvos asmens sveikatos priežiūros įstaigose iš viso dėl priklausomybės nuo psichoaktyvių medžiagų buvo įregistruotas 68 951 asmuo, 9193 moterys ir 59758 vyrai, iš bendro įregistruotųjų skaičiaus –63378 dėl psichikos ir elgesio sutrikimų vartojant alkoholį ir 5573 – dėl psichikos ir elgesio sutrikimų  vartojant narkotines ir psichotropines medžiagas. 2006 m. ligotumas narkomanija šalyje buvo 162,7 atvejai/ 100 tūkst. gyventojų, tai yra 3,1 proc. daugiau nei 2005 metais ir beveik du kartus daugiau nei 1999 metais ( 83,3 atv./ 100 tūkst. gyv.) </w:t>
      </w:r>
      <w:r w:rsidRPr="005D7872">
        <w:tab/>
      </w:r>
      <w:r w:rsidRPr="005D7872">
        <w:tab/>
      </w:r>
    </w:p>
    <w:p w:rsidR="008E05AA" w:rsidRPr="005D7872" w:rsidRDefault="008E05AA" w:rsidP="008E05AA">
      <w:pPr>
        <w:ind w:firstLine="720"/>
        <w:jc w:val="both"/>
      </w:pPr>
      <w:r w:rsidRPr="005D7872">
        <w:t>2005 metais užregistruota, kad  ambulatorines paslaugas gavo vaikai ir suaugusieji, kurie  traumas, apsinuodijimus ir kitus išorinių priežasčių padarinius patyrė 413534 atvejais.</w:t>
      </w:r>
    </w:p>
    <w:p w:rsidR="008E05AA" w:rsidRPr="005D7872" w:rsidRDefault="008E05AA" w:rsidP="008E05AA">
      <w:pPr>
        <w:ind w:firstLine="720"/>
        <w:jc w:val="both"/>
      </w:pPr>
      <w:r w:rsidRPr="005D7872">
        <w:t xml:space="preserve">  (Lietuvos sveikatos informacijos centro duomenimis 2005 m. ambulatorines paslaugas teikiančiose asmens sveikatos priežiūros įstaigose užregistruotų apsinuodijimų skaičius Lietuvoje 2004 metais – ambulatorinis sergamumas -  vaikų iki 14 metų amžiaus užregistruoti   iš viso 1483149 atvejai. Traumas, apsinuodijimus ir kitus išorinių priežasčių padarinius patyrė 65299 atvejais.  Iš jų: apsinuodijimai  narkotikais, vaistais, biologinėmis medžiagomis ir nemedicininės paskirties medžiagų toksinis poveikis užregistruoti 526 atvejai.    </w:t>
      </w:r>
    </w:p>
    <w:p w:rsidR="008E05AA" w:rsidRDefault="008E05AA" w:rsidP="008E05AA">
      <w:pPr>
        <w:ind w:firstLine="720"/>
        <w:jc w:val="both"/>
      </w:pPr>
      <w:r w:rsidRPr="005D7872">
        <w:t xml:space="preserve">Suaugusiųjų - ambulatorinis sergamumas- užregistruoti 2965917 atvejai.  Traumos apsinuodijimai ir kitus išorinių priežasčių padarinius patyrė suaugusieji 348235 atvejais. Iš jų: apsinuodijimai  narkotikais, vaistais, biologinėmis medžiagomis ir nemedicininės paskirties medžiagų toksinis poveikis užregistruoti  3 342 atvejai.) </w:t>
      </w:r>
    </w:p>
    <w:p w:rsidR="008E05AA" w:rsidRPr="005D7872" w:rsidRDefault="008E05AA" w:rsidP="008E05AA">
      <w:pPr>
        <w:ind w:firstLine="720"/>
        <w:jc w:val="both"/>
      </w:pPr>
      <w:r w:rsidRPr="005D7872">
        <w:t>2005 metais užregistruota, kad  stacionarines paslaugas gavo vaikai ir suaugusieji, kurie  traumas, apsinuodijimus ir kitus išorinių priežasčių padarinius patyrė 70304 atvejais.</w:t>
      </w:r>
    </w:p>
    <w:p w:rsidR="008E05AA" w:rsidRPr="005D7872" w:rsidRDefault="008E05AA" w:rsidP="008E05AA">
      <w:pPr>
        <w:ind w:firstLine="720"/>
        <w:jc w:val="both"/>
      </w:pPr>
      <w:r w:rsidRPr="005D7872">
        <w:lastRenderedPageBreak/>
        <w:t xml:space="preserve">(Lietuvos sveikatos informacijos centro duomenimis stacionarines paslaugas teikiančiose asmens sveikatos priežiūros įstaigose užregistruotų apsinuodijimų skaičius Lietuvoje 2005 metais – stacionarinis sergamumas – vaikų iki 14 metų amžiaus buvo 117964 atvejai, 671648 suaugusiųjų atvejai. Traumas, apsinuodijimus ir kitus išorinių priežasčių padarinius patyrė vaikai užregistruoti 10 348 atvejai ir suaugusieji 59956 atvejai. Iš jų: apsinuodijimai  narkotikais, vaistais, biologinėmis medžiagomis ir nemedicininės paskirties medžiagų toksinis poveikis užregistruoti  vaikų 1786 ir    suaugusiųjų 6066 atvejai.)   </w:t>
      </w:r>
    </w:p>
    <w:p w:rsidR="008E05AA" w:rsidRPr="005D7872" w:rsidRDefault="008E05AA" w:rsidP="008E05AA">
      <w:pPr>
        <w:jc w:val="both"/>
      </w:pPr>
      <w:r w:rsidRPr="005D7872">
        <w:tab/>
        <w:t>Valstybinio aplinkos sveikatos centro duomenimis, 2004 m. apskričių visuomenės sveikatos centrai ištyrė 2043 apsinuodijimų atvejus, iš jų   1433 vaikai, 610  suaugusieji.</w:t>
      </w:r>
    </w:p>
    <w:p w:rsidR="008E05AA" w:rsidRPr="005D7872" w:rsidRDefault="008E05AA" w:rsidP="008E05AA">
      <w:pPr>
        <w:jc w:val="both"/>
      </w:pPr>
      <w:r w:rsidRPr="005D7872">
        <w:t xml:space="preserve"> Iš jų: narkotikais – 48 ( 32 atvejais vaikai ir 16 – suaugusieji); medikamentais ištirti  932 atvejai ( 693 atvejais -  vaikai); alkoholiu – 652 atvejais ( 446 vaikai ir 206 suaugusieji); dujomis – 88; kitomis nuodingosiomis medžiagomis –323 atvejai.</w:t>
      </w:r>
    </w:p>
    <w:p w:rsidR="008E05AA" w:rsidRPr="005D7872" w:rsidRDefault="008E05AA" w:rsidP="008E05AA">
      <w:pPr>
        <w:ind w:firstLine="720"/>
        <w:jc w:val="both"/>
      </w:pPr>
      <w:r w:rsidRPr="005D7872">
        <w:t>Valstybinio aplinkos sveikatos centro duomenimis, 2004 m.  ištirti  2043</w:t>
      </w:r>
      <w:r w:rsidRPr="005D7872">
        <w:rPr>
          <w:b/>
          <w:bCs/>
        </w:rPr>
        <w:t xml:space="preserve"> </w:t>
      </w:r>
      <w:r w:rsidRPr="005D7872">
        <w:t>apsinuodijimų atvejai: 1433 vaikų iki 14 metų amžiaus  (narkotikais – 43, medikamentais – 693, alkoholiu - 446 ir kt.) ir  610  suaugusiųjų. 2005 m. apskričių visuomenės sveikatos centrai ištyrė 1915 apsinuodijimų atvejų, iš jų   1405 vaikai, 497 suaugusieji.13 asmenų amžius nežinomas. Iš jų: narkotikais – 43 atvejai ( 33 vaikai nuo 5 iki 18 metų amžiaus ir 16 – suaugusiųjų atvejų, 2 asmenų amžius nežinomas); medikamentais  - 861 atvejis  ( 690 atvejais -  vaikai); alkoholiu – 671 atvejis ( 451 vaikai ir 215 suaugusieji ir 5 nežinomo amžiaus asmenys).</w:t>
      </w:r>
    </w:p>
    <w:p w:rsidR="008E05AA" w:rsidRPr="005D7872" w:rsidRDefault="008E05AA" w:rsidP="008E05AA">
      <w:pPr>
        <w:ind w:firstLine="720"/>
        <w:jc w:val="both"/>
        <w:rPr>
          <w:bCs/>
        </w:rPr>
      </w:pPr>
      <w:r w:rsidRPr="005D7872">
        <w:t xml:space="preserve"> Narkomanijos prevencijos komisija 2006 metais atkreipė  Lietuvos Respublikos Vyriausybės dėmesį į tai, kad</w:t>
      </w:r>
      <w:r w:rsidRPr="005D7872">
        <w:rPr>
          <w:b/>
          <w:bCs/>
        </w:rPr>
        <w:t xml:space="preserve"> </w:t>
      </w:r>
      <w:r w:rsidRPr="005D7872">
        <w:t>:</w:t>
      </w:r>
    </w:p>
    <w:p w:rsidR="008E05AA" w:rsidRPr="005D7872" w:rsidRDefault="008E05AA" w:rsidP="008E05AA">
      <w:pPr>
        <w:ind w:firstLine="720"/>
        <w:jc w:val="both"/>
      </w:pPr>
      <w:r w:rsidRPr="005D7872">
        <w:t xml:space="preserve"> 2005 metais</w:t>
      </w:r>
      <w:r w:rsidRPr="005D7872">
        <w:rPr>
          <w:bCs/>
        </w:rPr>
        <w:t xml:space="preserve"> </w:t>
      </w:r>
      <w:r w:rsidRPr="005D7872">
        <w:t>padidėjo vaikų ir suaugusiųjų apsinuodijusių alkoholiu skaičius.</w:t>
      </w:r>
    </w:p>
    <w:p w:rsidR="008E05AA" w:rsidRDefault="008E05AA" w:rsidP="008E05AA">
      <w:pPr>
        <w:ind w:firstLine="720"/>
        <w:jc w:val="both"/>
      </w:pPr>
      <w:r w:rsidRPr="005D7872">
        <w:t xml:space="preserve"> 2005 metais padidėjo asmenų vartojančių narkotines ir psichotropines medžiagas skaičius.</w:t>
      </w:r>
    </w:p>
    <w:p w:rsidR="008E05AA" w:rsidRPr="005D7872" w:rsidRDefault="008E05AA" w:rsidP="008E05AA">
      <w:pPr>
        <w:ind w:firstLine="720"/>
        <w:jc w:val="both"/>
      </w:pPr>
      <w:r w:rsidRPr="005D7872">
        <w:t xml:space="preserve"> Lietuvoje yra vaikų, piktnaudžiaujančių alkoholiu, narkotinėmis ir kitomis psichotropinėmis medžiagomis, kuriems būtinas gydymas ir  reabilitacija.</w:t>
      </w:r>
    </w:p>
    <w:p w:rsidR="008E05AA" w:rsidRPr="005D7872" w:rsidRDefault="008E05AA" w:rsidP="008E05AA">
      <w:pPr>
        <w:ind w:firstLine="720"/>
        <w:jc w:val="both"/>
        <w:rPr>
          <w:bCs/>
        </w:rPr>
      </w:pPr>
      <w:r w:rsidRPr="005D7872">
        <w:rPr>
          <w:bCs/>
        </w:rPr>
        <w:t xml:space="preserve"> Lietuvoje nėra išsamios informacijos apie apsinuodijimus alkoholiu, narkotinėmis, psichotropinėmis ir kitomis nuodingosiomis medžiagomis.</w:t>
      </w:r>
    </w:p>
    <w:p w:rsidR="008E05AA" w:rsidRPr="005D7872" w:rsidRDefault="008E05AA" w:rsidP="008E05AA">
      <w:pPr>
        <w:jc w:val="both"/>
        <w:rPr>
          <w:bCs/>
        </w:rPr>
      </w:pPr>
      <w:r>
        <w:rPr>
          <w:bCs/>
        </w:rPr>
        <w:t xml:space="preserve"> </w:t>
      </w:r>
      <w:r>
        <w:rPr>
          <w:bCs/>
        </w:rPr>
        <w:tab/>
      </w:r>
      <w:r w:rsidRPr="005D7872">
        <w:rPr>
          <w:bCs/>
        </w:rPr>
        <w:t>Vadovaujantis Sveikatos apsaugos ministro 2003 m. spalio 8 d. įsakymu Nr. V- 597 “Dėl informacijos, susijusios su žmonių apsinuodijimais ir jų specifine profilaktika , kaupimo ir teikimo” (Žin., 2003, Nr. 99-4459) bei šio įsakymo pakeitimo  2005 m. rugpjūčio 12 d. įsakymu Nr. V- 650 (Žin., 2005, Nr. 101-3762) renkama informacija tik apie  apsinuodijimus nuodingosiomis medžiagomis, įrašytomis į Nuodingųjų medžiagų pagal jų toksiškumą sąrašą, kuris  patvirtintas  Sveikatos apsaugos ministro 2004 m. gruodžio 30 d. įsakymu Nr. V-975 “Dėl Nuodingųjų medžiagų pagal jų toksiškumą sąrašo patvirtinimo” (V.Ž., 2005, Nr. 3-47) ir šie duomenys    neapima visų su priklausomybės ligomis susijusių apsinuodijimų atvejų.</w:t>
      </w:r>
    </w:p>
    <w:p w:rsidR="008E05AA" w:rsidRPr="005D7872" w:rsidRDefault="008E05AA" w:rsidP="008E05AA">
      <w:pPr>
        <w:ind w:firstLine="720"/>
        <w:jc w:val="both"/>
      </w:pPr>
      <w:r w:rsidRPr="005D7872">
        <w:t>Narkomanijos prevencijos komisija  pasiūlė Lietuvos Respublikos Vyriausybei vykdant Nacionalinės narkotikų kontrolės ir narkomanijos prevencijos 2004-2008 metų programos įgyvendinimą  2006 - 2007 metais,  pakartotinai siūlyti pirminę narkomanijos prevenciją tarp vaikų (nepilnamečių) derinti su alkoholio ir tabako vartojimo prevencija, grindžiant darniu ugdymu šeimoje, mokykloje, bendruomenėje ir šioms priemonėms įgyvendinti skirti  reikiamą finansavimą. Paspartinti  reabilitacinių įstaigų steigimą vaikams ir  numatyti joms 2007 metų valstybės biudžete  tinkamą finansavimą. Sugriežtinti  parduodamų  alkoholinių gėrimų Lietuvoje  kokybės kontrolę. Sugriežtinti alkoholinių gėrimų pardavimo nepilnamečiams kontrolę.</w:t>
      </w:r>
    </w:p>
    <w:p w:rsidR="008E05AA" w:rsidRPr="005D7872" w:rsidRDefault="008E05AA" w:rsidP="008E05AA">
      <w:pPr>
        <w:jc w:val="both"/>
        <w:rPr>
          <w:b/>
          <w:bCs/>
        </w:rPr>
      </w:pPr>
      <w:r>
        <w:tab/>
      </w:r>
      <w:r>
        <w:tab/>
      </w:r>
      <w:r w:rsidRPr="005D7872">
        <w:rPr>
          <w:b/>
          <w:bCs/>
        </w:rPr>
        <w:t>2006   -   2007 METAI</w:t>
      </w:r>
    </w:p>
    <w:p w:rsidR="008E05AA" w:rsidRPr="005D7872" w:rsidRDefault="008E05AA" w:rsidP="008E05AA">
      <w:pPr>
        <w:jc w:val="both"/>
        <w:rPr>
          <w:b/>
          <w:bCs/>
        </w:rPr>
      </w:pPr>
    </w:p>
    <w:p w:rsidR="008E05AA" w:rsidRPr="005D7872" w:rsidRDefault="008E05AA" w:rsidP="008E05AA">
      <w:pPr>
        <w:ind w:firstLine="720"/>
        <w:jc w:val="both"/>
      </w:pPr>
      <w:r w:rsidRPr="005D7872">
        <w:t>Statistikos departamento prie Lietuvos Respublikos Vyriausybės duomenimis 2006 metais užregistruoti 62 mirčių nuo narkotinių ir psichotropinių medžiagų vartojimo atvejai (2005 metais – 31 atvejis), daugiausiai mirė 20- 34 m. amžiaus grupės asmenų. 2005 m.</w:t>
      </w:r>
      <w:r w:rsidRPr="005D7872">
        <w:rPr>
          <w:b/>
          <w:bCs/>
        </w:rPr>
        <w:t xml:space="preserve"> </w:t>
      </w:r>
      <w:r w:rsidRPr="005D7872">
        <w:t>užregistruota 21 mirtimi</w:t>
      </w:r>
      <w:r w:rsidRPr="005D7872">
        <w:rPr>
          <w:b/>
          <w:bCs/>
        </w:rPr>
        <w:t xml:space="preserve"> </w:t>
      </w:r>
      <w:r w:rsidRPr="005D7872">
        <w:t>pasibaigusių apsinuodijimo</w:t>
      </w:r>
      <w:r w:rsidRPr="005D7872">
        <w:rPr>
          <w:b/>
          <w:bCs/>
        </w:rPr>
        <w:t xml:space="preserve"> </w:t>
      </w:r>
      <w:r w:rsidRPr="005D7872">
        <w:t>atvejų: iš jų 14 vyrų ir 7 moterys (visi suaugusieji). Padidėjo vaikų ir suaugusiųjų apsinuodijusių alkoholiu: 2004 m. 652 asmenys (446 vaikai ir 206 suaugusieji); 2005 m. 671 asmuo (451 vaikas ir  215 suaugusiųjų bei 5 nežinomo amžiaus asmenys.</w:t>
      </w:r>
    </w:p>
    <w:p w:rsidR="008E05AA" w:rsidRDefault="008E05AA" w:rsidP="008E05AA">
      <w:pPr>
        <w:pStyle w:val="Betarp"/>
      </w:pPr>
      <w:r w:rsidRPr="005D7872">
        <w:t>2006 metų apsinuodijimų statistika pagal sveikatos sutrikimus sukėlusią medžiagą:</w:t>
      </w:r>
      <w:r>
        <w:t xml:space="preserve"> </w:t>
      </w:r>
    </w:p>
    <w:p w:rsidR="008E05AA" w:rsidRDefault="008E05AA" w:rsidP="008E05AA">
      <w:pPr>
        <w:pStyle w:val="Betarp"/>
      </w:pPr>
      <w:r w:rsidRPr="005D7872">
        <w:t>Metalai -  15 asmenų.</w:t>
      </w:r>
    </w:p>
    <w:p w:rsidR="008E05AA" w:rsidRPr="005D7872" w:rsidRDefault="008E05AA" w:rsidP="008E05AA">
      <w:pPr>
        <w:pStyle w:val="Betarp"/>
      </w:pPr>
      <w:r w:rsidRPr="005D7872">
        <w:t>Muilai ir detergentai- 20 asmenų.</w:t>
      </w:r>
    </w:p>
    <w:p w:rsidR="008E05AA" w:rsidRPr="005D7872" w:rsidRDefault="008E05AA" w:rsidP="008E05AA">
      <w:pPr>
        <w:pStyle w:val="Betarp"/>
      </w:pPr>
      <w:r w:rsidRPr="005D7872">
        <w:t>Cheminiai nudegimai-37 asmenys.</w:t>
      </w:r>
    </w:p>
    <w:p w:rsidR="008E05AA" w:rsidRPr="005D7872" w:rsidRDefault="008E05AA" w:rsidP="008E05AA">
      <w:pPr>
        <w:pStyle w:val="Betarp"/>
      </w:pPr>
      <w:r w:rsidRPr="005D7872">
        <w:t>Pesticidai- 55 asmenys.</w:t>
      </w:r>
    </w:p>
    <w:p w:rsidR="008E05AA" w:rsidRPr="005D7872" w:rsidRDefault="008E05AA" w:rsidP="008E05AA">
      <w:pPr>
        <w:pStyle w:val="Betarp"/>
      </w:pPr>
      <w:r w:rsidRPr="005D7872">
        <w:lastRenderedPageBreak/>
        <w:t xml:space="preserve">Suvalgyti </w:t>
      </w:r>
      <w:r>
        <w:t xml:space="preserve">  </w:t>
      </w:r>
      <w:r w:rsidRPr="005D7872">
        <w:t>nuodingi produktai-         112 asmenų.</w:t>
      </w:r>
    </w:p>
    <w:p w:rsidR="008E05AA" w:rsidRPr="005D7872" w:rsidRDefault="008E05AA" w:rsidP="008E05AA">
      <w:pPr>
        <w:pStyle w:val="Betarp"/>
      </w:pPr>
      <w:r w:rsidRPr="005D7872">
        <w:t>Naftos produktai-              142 asmenys.</w:t>
      </w:r>
    </w:p>
    <w:p w:rsidR="008E05AA" w:rsidRPr="005D7872" w:rsidRDefault="008E05AA" w:rsidP="008E05AA">
      <w:pPr>
        <w:pStyle w:val="Betarp"/>
      </w:pPr>
      <w:r w:rsidRPr="005D7872">
        <w:t>Korozinės medžiagos-         145 asmenys.</w:t>
      </w:r>
    </w:p>
    <w:p w:rsidR="008E05AA" w:rsidRPr="005D7872" w:rsidRDefault="008E05AA" w:rsidP="008E05AA">
      <w:pPr>
        <w:pStyle w:val="Betarp"/>
      </w:pPr>
      <w:r w:rsidRPr="005D7872">
        <w:t>Grybai –  149 asmenys.</w:t>
      </w:r>
    </w:p>
    <w:p w:rsidR="008E05AA" w:rsidRPr="005D7872" w:rsidRDefault="008E05AA" w:rsidP="008E05AA">
      <w:pPr>
        <w:pStyle w:val="Betarp"/>
      </w:pPr>
      <w:r w:rsidRPr="005D7872">
        <w:t>Kontaktas su nuodingais gyviais-    152 asmenys.</w:t>
      </w:r>
    </w:p>
    <w:p w:rsidR="008E05AA" w:rsidRPr="005D7872" w:rsidRDefault="008E05AA" w:rsidP="008E05AA">
      <w:pPr>
        <w:pStyle w:val="Betarp"/>
      </w:pPr>
      <w:r w:rsidRPr="005D7872">
        <w:t>Narkotinės ir psichotropinės medžiagos-   163 asmenys.</w:t>
      </w:r>
    </w:p>
    <w:p w:rsidR="008E05AA" w:rsidRPr="005D7872" w:rsidRDefault="008E05AA" w:rsidP="008E05AA">
      <w:pPr>
        <w:pStyle w:val="Betarp"/>
      </w:pPr>
      <w:r w:rsidRPr="005D7872">
        <w:t>Anglies monoksidas ir kitos nuodingos dujos-   236 asmenys.</w:t>
      </w:r>
    </w:p>
    <w:p w:rsidR="008E05AA" w:rsidRPr="005D7872" w:rsidRDefault="008E05AA" w:rsidP="008E05AA">
      <w:pPr>
        <w:pStyle w:val="Betarp"/>
      </w:pPr>
      <w:r w:rsidRPr="005D7872">
        <w:t>Kitos ir nepatikslintos medžiagos-  273 asmenys.</w:t>
      </w:r>
    </w:p>
    <w:p w:rsidR="008E05AA" w:rsidRPr="005D7872" w:rsidRDefault="008E05AA" w:rsidP="008E05AA">
      <w:pPr>
        <w:pStyle w:val="Betarp"/>
      </w:pPr>
      <w:r w:rsidRPr="005D7872">
        <w:t>Medikamentai-    2694 asmenys.</w:t>
      </w:r>
    </w:p>
    <w:p w:rsidR="008E05AA" w:rsidRPr="005D7872" w:rsidRDefault="008E05AA" w:rsidP="008E05AA">
      <w:pPr>
        <w:pStyle w:val="Betarp"/>
      </w:pPr>
      <w:r w:rsidRPr="005D7872">
        <w:t xml:space="preserve">Alkoholis- </w:t>
      </w:r>
      <w:r w:rsidRPr="005D7872">
        <w:tab/>
        <w:t>3898 asmenys.</w:t>
      </w:r>
    </w:p>
    <w:p w:rsidR="008E05AA" w:rsidRPr="005D7872" w:rsidRDefault="008E05AA" w:rsidP="008E05AA">
      <w:pPr>
        <w:pStyle w:val="Pagrindinistekstas2"/>
        <w:rPr>
          <w:szCs w:val="24"/>
        </w:rPr>
      </w:pPr>
      <w:r w:rsidRPr="005D7872">
        <w:rPr>
          <w:szCs w:val="24"/>
        </w:rPr>
        <w:tab/>
        <w:t xml:space="preserve">Narkotikų kontrolės departamentas  prie Lietuvos Respublikos Vyriausybės  2008 04 22 raštu Nr. S-(4.3-2) – 284 Narkomanijos prevencijos komisijai pateikė iš Valstybinės ligonių kasos prie Lietuvos Respublikos sveikatos apsaugos ministerijos gautą  informaciją, kad 2007 metais į asmens sveikatos priežiūros įstaigas dėl apsinuodijimų narkotinėmis ar psichotropinėmis medžiagomis buvo kreiptasi 283 kartus ( 2006 m. – 287, 2005 m. –257, 2004 m. – 300 kartų), viso kreipėsi 256 asmenys, iš jų: 205 vyrai, ir 51 moteris.  Daugiausia, kaip ir ankstesniais metais, kreiptasi dėl apsinuodijimų opiumu – 66 atvejai ir heroinu- 45 atvejai. </w:t>
      </w:r>
    </w:p>
    <w:p w:rsidR="008E05AA" w:rsidRPr="005D7872" w:rsidRDefault="008E05AA" w:rsidP="008E05AA">
      <w:pPr>
        <w:pStyle w:val="Pagrindinistekstas2"/>
        <w:rPr>
          <w:szCs w:val="24"/>
        </w:rPr>
      </w:pPr>
      <w:r w:rsidRPr="005D7872">
        <w:rPr>
          <w:szCs w:val="24"/>
        </w:rPr>
        <w:tab/>
        <w:t xml:space="preserve">2007 m. vaikai (asmenys iki 18 m.) dėl apsinuodijimų  kreipėsi 57 kartus (2006 m. – 42 kartus) ir tai sudaro 20,14 proc. nuo visų registruotų kreipimųsi dėl apsinuodijimų atvejų. 2007 m. kreipėsi 56 nepilnamečiai asmenys, iš jų 34 berniukai ir 22 mergaitės, tarp jų asmenys iki 15 metų kreipėsi 17 kartų 9 kreipėsi 17 asmenų, iš jų 8 berniukai ir 9 mergaitės). </w:t>
      </w:r>
    </w:p>
    <w:p w:rsidR="008E05AA" w:rsidRPr="005D7872" w:rsidRDefault="008E05AA" w:rsidP="008E05AA">
      <w:pPr>
        <w:jc w:val="both"/>
      </w:pPr>
      <w:r w:rsidRPr="005D7872">
        <w:tab/>
        <w:t xml:space="preserve">Dažniausiai asmenys iki 18 metų kreipėsi dėl apsinuodijimų  sintetiniais narkotikais, kanapėmis, ir haliucinogenais, 20 atvejų (35 proc.) teiktos reanimacijos paslaugos. </w:t>
      </w:r>
    </w:p>
    <w:p w:rsidR="008E05AA" w:rsidRPr="005D7872" w:rsidRDefault="008E05AA" w:rsidP="008E05AA">
      <w:pPr>
        <w:jc w:val="both"/>
      </w:pPr>
      <w:r w:rsidRPr="005D7872">
        <w:tab/>
        <w:t xml:space="preserve">Daugiausia apsinuodijimų narkotinėmis ar psichotropinėmis medžiagomis 2007 m. buvo užregistruota didžiųjų Lietuvos miestų asmens sveikatos priežiūros įstaigose: Vilniuje- 127, Klaipėdoje – 19, Kaune – 15, Visagine – 15  atvejų. 2006 metais Vilniuje – 94, Kaune –35, Klaipėdoje – 29 atvejai. </w:t>
      </w:r>
    </w:p>
    <w:p w:rsidR="008E05AA" w:rsidRDefault="008E05AA" w:rsidP="008E05AA">
      <w:pPr>
        <w:jc w:val="both"/>
      </w:pPr>
      <w:r w:rsidRPr="005D7872">
        <w:tab/>
        <w:t>Narkotikų kontrolės departamentas  prie Lietuvos Respublikos Vyriausybės atkreipia dėmesį į tai, kad lyginant 3 metų statistinius duomenis, pastebimas gerokai padidėjęs užregistruotų apsinuodijimų kokainu skaičius</w:t>
      </w:r>
      <w:r w:rsidRPr="005D7872">
        <w:rPr>
          <w:b/>
          <w:bCs/>
        </w:rPr>
        <w:t xml:space="preserve"> </w:t>
      </w:r>
      <w:r w:rsidRPr="005D7872">
        <w:t xml:space="preserve">( 2004 m. – 6 atvejai, 2005 m. – 17 atvejų, 2006 m. – 40 atvejų), nedaug sumažėjo apsinuodijimų kanapėmis ( 2005 m. – 17 atvejų, 2006 m. – 9 atvejai) ir opiumu ( 2005 m. – 75 atvejai, 2006 m. – 55 atvejai).  </w:t>
      </w:r>
    </w:p>
    <w:p w:rsidR="008E05AA" w:rsidRPr="005D7872" w:rsidRDefault="008E05AA" w:rsidP="008E05AA">
      <w:pPr>
        <w:jc w:val="both"/>
      </w:pPr>
      <w:r w:rsidRPr="005D7872">
        <w:t xml:space="preserve">Vyrai  3 kartus dažniau nei moterys kreipiasi į asmens sveikatos priežiūros įstaigas dėl apsinuodijimų narkotinėmis ir psichotropinėmis medžiagomis: vyrų – 211 atvejų, (189 asmenys), moterų 76 atvejai (56 asmenys). Moterys dažniausiai kreipiasi dėl apsinuodijimų kokainu – 32,9 proc. ir opiumu – 18,4 procento. Vyrai dažniausiai kreipėsi dėl apsinuodijimų heroinu – 22,3 proc. ir opiumu – 19,4 proc.; apsinuodijimai kokainu sudarė tik 7,1 proc. visų vyrų kreipimosi priežasčių. </w:t>
      </w:r>
    </w:p>
    <w:p w:rsidR="008E05AA" w:rsidRPr="005D7872" w:rsidRDefault="008E05AA" w:rsidP="008E05AA">
      <w:pPr>
        <w:ind w:firstLine="720"/>
        <w:jc w:val="both"/>
      </w:pPr>
      <w:r w:rsidRPr="005D7872">
        <w:t xml:space="preserve">Sveikatos apsaugos ministerijos Ekstremalių situacijų centro Apsinuodijimų kontrolės ir informacijos biuro duomenimis apsinuodijimai  narkotikais ir psichodisleptikais (haliucinogenais) lyginant 2006 – 2007 m. statistinius duomenis užregistruotus per metus Lietuvoje sudarė  (83 proc.- 2006 m. ir 91 proc. 2007 m.) dėl kurių buvo kreiptasi į  stacionarines asmens sveikatos priežiūros paslaugas teikiančias ASPĮ . </w:t>
      </w:r>
    </w:p>
    <w:p w:rsidR="008E05AA" w:rsidRPr="005D7872" w:rsidRDefault="008E05AA" w:rsidP="008E05AA">
      <w:pPr>
        <w:ind w:firstLine="720"/>
        <w:jc w:val="both"/>
      </w:pPr>
    </w:p>
    <w:p w:rsidR="008E05AA" w:rsidRPr="005D7872" w:rsidRDefault="008E05AA" w:rsidP="008E05AA">
      <w:pPr>
        <w:jc w:val="both"/>
        <w:rPr>
          <w:i/>
          <w:iCs/>
        </w:rPr>
      </w:pPr>
      <w:r w:rsidRPr="005D7872">
        <w:rPr>
          <w:i/>
          <w:iCs/>
        </w:rPr>
        <w:t>Apsinuodijimai narkotikais pagal suteiktas paslaugas 2006 – 2007 m.</w:t>
      </w:r>
    </w:p>
    <w:p w:rsidR="008E05AA" w:rsidRPr="005D7872" w:rsidRDefault="008E05AA" w:rsidP="008E05A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880"/>
        <w:gridCol w:w="2700"/>
        <w:gridCol w:w="1394"/>
      </w:tblGrid>
      <w:tr w:rsidR="008E05AA" w:rsidRPr="005D7872" w:rsidTr="004F7425">
        <w:tc>
          <w:tcPr>
            <w:tcW w:w="1548" w:type="dxa"/>
          </w:tcPr>
          <w:p w:rsidR="008E05AA" w:rsidRPr="005D7872" w:rsidRDefault="008E05AA" w:rsidP="004F7425">
            <w:pPr>
              <w:jc w:val="both"/>
            </w:pPr>
          </w:p>
        </w:tc>
        <w:tc>
          <w:tcPr>
            <w:tcW w:w="2880" w:type="dxa"/>
          </w:tcPr>
          <w:p w:rsidR="008E05AA" w:rsidRPr="005D7872" w:rsidRDefault="008E05AA" w:rsidP="004F7425">
            <w:pPr>
              <w:jc w:val="both"/>
              <w:rPr>
                <w:i/>
                <w:iCs/>
              </w:rPr>
            </w:pPr>
            <w:r w:rsidRPr="005D7872">
              <w:rPr>
                <w:i/>
                <w:iCs/>
              </w:rPr>
              <w:t>Ambulatorinės paslaugos</w:t>
            </w:r>
          </w:p>
        </w:tc>
        <w:tc>
          <w:tcPr>
            <w:tcW w:w="2700" w:type="dxa"/>
          </w:tcPr>
          <w:p w:rsidR="008E05AA" w:rsidRPr="005D7872" w:rsidRDefault="008E05AA" w:rsidP="004F7425">
            <w:pPr>
              <w:jc w:val="both"/>
              <w:rPr>
                <w:i/>
                <w:iCs/>
              </w:rPr>
            </w:pPr>
            <w:r w:rsidRPr="005D7872">
              <w:rPr>
                <w:i/>
                <w:iCs/>
              </w:rPr>
              <w:t>Stacionarinės paslaugos</w:t>
            </w:r>
          </w:p>
        </w:tc>
        <w:tc>
          <w:tcPr>
            <w:tcW w:w="1394" w:type="dxa"/>
          </w:tcPr>
          <w:p w:rsidR="008E05AA" w:rsidRPr="005D7872" w:rsidRDefault="008E05AA" w:rsidP="004F7425">
            <w:pPr>
              <w:jc w:val="both"/>
              <w:rPr>
                <w:i/>
                <w:iCs/>
              </w:rPr>
            </w:pPr>
            <w:r w:rsidRPr="005D7872">
              <w:rPr>
                <w:i/>
                <w:iCs/>
              </w:rPr>
              <w:t>Viso</w:t>
            </w:r>
          </w:p>
        </w:tc>
      </w:tr>
      <w:tr w:rsidR="008E05AA" w:rsidRPr="005D7872" w:rsidTr="004F7425">
        <w:tc>
          <w:tcPr>
            <w:tcW w:w="1548" w:type="dxa"/>
          </w:tcPr>
          <w:p w:rsidR="008E05AA" w:rsidRPr="005D7872" w:rsidRDefault="008E05AA" w:rsidP="004F7425">
            <w:pPr>
              <w:jc w:val="both"/>
            </w:pPr>
            <w:r w:rsidRPr="005D7872">
              <w:t>2006</w:t>
            </w:r>
          </w:p>
        </w:tc>
        <w:tc>
          <w:tcPr>
            <w:tcW w:w="2880" w:type="dxa"/>
          </w:tcPr>
          <w:p w:rsidR="008E05AA" w:rsidRPr="005D7872" w:rsidRDefault="008E05AA" w:rsidP="004F7425">
            <w:pPr>
              <w:jc w:val="both"/>
            </w:pPr>
            <w:r w:rsidRPr="005D7872">
              <w:t>33</w:t>
            </w:r>
          </w:p>
        </w:tc>
        <w:tc>
          <w:tcPr>
            <w:tcW w:w="2700" w:type="dxa"/>
          </w:tcPr>
          <w:p w:rsidR="008E05AA" w:rsidRPr="005D7872" w:rsidRDefault="008E05AA" w:rsidP="004F7425">
            <w:pPr>
              <w:jc w:val="both"/>
            </w:pPr>
            <w:r w:rsidRPr="005D7872">
              <w:t>163</w:t>
            </w:r>
          </w:p>
        </w:tc>
        <w:tc>
          <w:tcPr>
            <w:tcW w:w="1394" w:type="dxa"/>
          </w:tcPr>
          <w:p w:rsidR="008E05AA" w:rsidRPr="005D7872" w:rsidRDefault="008E05AA" w:rsidP="004F7425">
            <w:pPr>
              <w:jc w:val="both"/>
            </w:pPr>
            <w:r w:rsidRPr="005D7872">
              <w:t>196</w:t>
            </w:r>
          </w:p>
        </w:tc>
      </w:tr>
      <w:tr w:rsidR="008E05AA" w:rsidRPr="005D7872" w:rsidTr="004F7425">
        <w:tc>
          <w:tcPr>
            <w:tcW w:w="1548" w:type="dxa"/>
          </w:tcPr>
          <w:p w:rsidR="008E05AA" w:rsidRPr="005D7872" w:rsidRDefault="008E05AA" w:rsidP="004F7425">
            <w:pPr>
              <w:jc w:val="both"/>
            </w:pPr>
            <w:r w:rsidRPr="005D7872">
              <w:t>2007</w:t>
            </w:r>
          </w:p>
        </w:tc>
        <w:tc>
          <w:tcPr>
            <w:tcW w:w="2880" w:type="dxa"/>
          </w:tcPr>
          <w:p w:rsidR="008E05AA" w:rsidRPr="005D7872" w:rsidRDefault="008E05AA" w:rsidP="004F7425">
            <w:pPr>
              <w:jc w:val="both"/>
            </w:pPr>
            <w:r w:rsidRPr="005D7872">
              <w:t>21</w:t>
            </w:r>
          </w:p>
        </w:tc>
        <w:tc>
          <w:tcPr>
            <w:tcW w:w="2700" w:type="dxa"/>
          </w:tcPr>
          <w:p w:rsidR="008E05AA" w:rsidRPr="005D7872" w:rsidRDefault="008E05AA" w:rsidP="004F7425">
            <w:pPr>
              <w:jc w:val="both"/>
            </w:pPr>
            <w:r w:rsidRPr="005D7872">
              <w:t>211</w:t>
            </w:r>
          </w:p>
        </w:tc>
        <w:tc>
          <w:tcPr>
            <w:tcW w:w="1394" w:type="dxa"/>
          </w:tcPr>
          <w:p w:rsidR="008E05AA" w:rsidRPr="005D7872" w:rsidRDefault="008E05AA" w:rsidP="004F7425">
            <w:pPr>
              <w:jc w:val="both"/>
            </w:pPr>
            <w:r w:rsidRPr="005D7872">
              <w:t>232</w:t>
            </w:r>
          </w:p>
        </w:tc>
      </w:tr>
    </w:tbl>
    <w:p w:rsidR="008E05AA" w:rsidRPr="005D7872" w:rsidRDefault="008E05AA" w:rsidP="008E05AA">
      <w:pPr>
        <w:jc w:val="both"/>
      </w:pPr>
      <w:r w:rsidRPr="005D7872">
        <w:rPr>
          <w:i/>
          <w:iCs/>
        </w:rPr>
        <w:t xml:space="preserve"> </w:t>
      </w:r>
    </w:p>
    <w:p w:rsidR="008E05AA" w:rsidRPr="005D7872" w:rsidRDefault="008E05AA" w:rsidP="008E05AA">
      <w:pPr>
        <w:jc w:val="both"/>
        <w:rPr>
          <w:strike/>
        </w:rPr>
      </w:pPr>
      <w:r w:rsidRPr="005D7872">
        <w:tab/>
        <w:t>Bendras apsinuodijimų narkotikais ir haliucinogenais skaičius 2007 m. Lietuvoje išaugo 18 proc. Lyginant šiuos apsinuodijimus pagal suteiktas paslaugas nustatyta, kad šie duomenys yra susiję su didesnėmis stacionarinių paslaugų apimtimis.</w:t>
      </w:r>
    </w:p>
    <w:p w:rsidR="008E05AA" w:rsidRPr="005D7872" w:rsidRDefault="008E05AA" w:rsidP="008E05AA">
      <w:pPr>
        <w:jc w:val="both"/>
      </w:pPr>
      <w:r w:rsidRPr="005D7872">
        <w:t xml:space="preserve">Analizuojant apsinuodijimus narkotikais ir haliucinogenais pagal juos sukėlusias konkrečias medžiagas pastebėta, jog beveik pusė šių atvejų yra susiję su opiatų ir opioidų vartojimu. </w:t>
      </w:r>
    </w:p>
    <w:p w:rsidR="008E05AA" w:rsidRPr="005D7872" w:rsidRDefault="008E05AA" w:rsidP="008E05AA">
      <w:pPr>
        <w:jc w:val="both"/>
      </w:pPr>
    </w:p>
    <w:p w:rsidR="008E05AA" w:rsidRPr="005D7872" w:rsidRDefault="008E05AA" w:rsidP="008E05AA">
      <w:pPr>
        <w:jc w:val="both"/>
        <w:rPr>
          <w:i/>
          <w:iCs/>
        </w:rPr>
      </w:pPr>
      <w:r w:rsidRPr="005D7872">
        <w:rPr>
          <w:i/>
          <w:iCs/>
        </w:rPr>
        <w:t>Apsinuodijimai narkotikais pagal medžiagas ir suteiktas paslaugas 2006-2007 m.</w:t>
      </w:r>
    </w:p>
    <w:p w:rsidR="008E05AA" w:rsidRPr="005D7872" w:rsidRDefault="008E05AA" w:rsidP="008E05A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900"/>
        <w:gridCol w:w="1034"/>
      </w:tblGrid>
      <w:tr w:rsidR="008E05AA" w:rsidRPr="005D7872" w:rsidTr="004F7425">
        <w:trPr>
          <w:cantSplit/>
        </w:trPr>
        <w:tc>
          <w:tcPr>
            <w:tcW w:w="828" w:type="dxa"/>
            <w:vMerge w:val="restart"/>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3600" w:type="dxa"/>
            <w:vMerge w:val="restart"/>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p>
        </w:tc>
        <w:tc>
          <w:tcPr>
            <w:tcW w:w="2160" w:type="dxa"/>
            <w:gridSpan w:val="2"/>
            <w:tcBorders>
              <w:top w:val="single" w:sz="12" w:space="0" w:color="auto"/>
              <w:left w:val="single" w:sz="12" w:space="0" w:color="auto"/>
              <w:bottom w:val="single" w:sz="6" w:space="0" w:color="auto"/>
              <w:right w:val="single" w:sz="12" w:space="0" w:color="auto"/>
            </w:tcBorders>
          </w:tcPr>
          <w:p w:rsidR="008E05AA" w:rsidRPr="005D7872" w:rsidRDefault="008E05AA" w:rsidP="004F7425">
            <w:pPr>
              <w:jc w:val="both"/>
            </w:pPr>
            <w:r w:rsidRPr="005D7872">
              <w:t>AMBUL.PASL.</w:t>
            </w:r>
          </w:p>
        </w:tc>
        <w:tc>
          <w:tcPr>
            <w:tcW w:w="1934" w:type="dxa"/>
            <w:gridSpan w:val="2"/>
            <w:tcBorders>
              <w:top w:val="single" w:sz="12" w:space="0" w:color="auto"/>
              <w:left w:val="single" w:sz="12" w:space="0" w:color="auto"/>
              <w:bottom w:val="single" w:sz="6" w:space="0" w:color="auto"/>
              <w:right w:val="single" w:sz="12" w:space="0" w:color="auto"/>
            </w:tcBorders>
          </w:tcPr>
          <w:p w:rsidR="008E05AA" w:rsidRPr="005D7872" w:rsidRDefault="008E05AA" w:rsidP="004F7425">
            <w:pPr>
              <w:jc w:val="both"/>
            </w:pPr>
            <w:r w:rsidRPr="005D7872">
              <w:t>STAC.PASL.</w:t>
            </w:r>
          </w:p>
        </w:tc>
      </w:tr>
      <w:tr w:rsidR="008E05AA" w:rsidRPr="005D7872" w:rsidTr="004F7425">
        <w:trPr>
          <w:cantSplit/>
        </w:trPr>
        <w:tc>
          <w:tcPr>
            <w:tcW w:w="828" w:type="dxa"/>
            <w:vMerge/>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p>
        </w:tc>
        <w:tc>
          <w:tcPr>
            <w:tcW w:w="3600" w:type="dxa"/>
            <w:vMerge/>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p>
        </w:tc>
        <w:tc>
          <w:tcPr>
            <w:tcW w:w="1080"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2006</w:t>
            </w:r>
          </w:p>
        </w:tc>
        <w:tc>
          <w:tcPr>
            <w:tcW w:w="1080"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2007</w:t>
            </w:r>
          </w:p>
        </w:tc>
        <w:tc>
          <w:tcPr>
            <w:tcW w:w="900"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2006</w:t>
            </w:r>
          </w:p>
        </w:tc>
        <w:tc>
          <w:tcPr>
            <w:tcW w:w="1034"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2007</w:t>
            </w:r>
          </w:p>
        </w:tc>
      </w:tr>
      <w:tr w:rsidR="008E05AA" w:rsidRPr="005D7872" w:rsidTr="004F7425">
        <w:trPr>
          <w:cantSplit/>
        </w:trPr>
        <w:tc>
          <w:tcPr>
            <w:tcW w:w="828" w:type="dxa"/>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w:t>
            </w:r>
          </w:p>
        </w:tc>
        <w:tc>
          <w:tcPr>
            <w:tcW w:w="3600"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Narkotikai ir haliucinogenai</w:t>
            </w:r>
          </w:p>
        </w:tc>
        <w:tc>
          <w:tcPr>
            <w:tcW w:w="1080" w:type="dxa"/>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6</w:t>
            </w:r>
          </w:p>
        </w:tc>
        <w:tc>
          <w:tcPr>
            <w:tcW w:w="1080"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5</w:t>
            </w:r>
          </w:p>
        </w:tc>
        <w:tc>
          <w:tcPr>
            <w:tcW w:w="900" w:type="dxa"/>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14</w:t>
            </w:r>
          </w:p>
        </w:tc>
        <w:tc>
          <w:tcPr>
            <w:tcW w:w="1034"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37</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T40.0</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Opiumas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0</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44</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55</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T40.1</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Heroinas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28</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38</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T40.2</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Kt. opioidai</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4</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9</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4</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T40.3</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Metadonas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3</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6</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T40.4</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Kt. sintetiniai narkotikai</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0</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0</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13</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18</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T40.5</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Kokainas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12</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9</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T40.6</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pStyle w:val="Antrat2"/>
              <w:rPr>
                <w:b w:val="0"/>
                <w:bCs w:val="0"/>
                <w:szCs w:val="24"/>
              </w:rPr>
            </w:pPr>
            <w:r w:rsidRPr="005D7872">
              <w:rPr>
                <w:b w:val="0"/>
                <w:bCs w:val="0"/>
                <w:szCs w:val="24"/>
              </w:rPr>
              <w:t>Kt. ir nepatikslinti narkotikai</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3</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35</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30</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T40.7</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Kanapės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0</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0</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7</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8</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T40.8</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LSD</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0</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r>
      <w:tr w:rsidR="008E05AA" w:rsidRPr="005D7872" w:rsidTr="004F7425">
        <w:trPr>
          <w:cantSplit/>
        </w:trPr>
        <w:tc>
          <w:tcPr>
            <w:tcW w:w="828"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T40.9</w:t>
            </w:r>
          </w:p>
        </w:tc>
        <w:tc>
          <w:tcPr>
            <w:tcW w:w="3600"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Kt. ir nepatikslinti haliucinogenai</w:t>
            </w:r>
          </w:p>
        </w:tc>
        <w:tc>
          <w:tcPr>
            <w:tcW w:w="1080"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3</w:t>
            </w:r>
          </w:p>
        </w:tc>
        <w:tc>
          <w:tcPr>
            <w:tcW w:w="1080"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7</w:t>
            </w:r>
          </w:p>
        </w:tc>
        <w:tc>
          <w:tcPr>
            <w:tcW w:w="1034"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12</w:t>
            </w:r>
          </w:p>
        </w:tc>
      </w:tr>
      <w:tr w:rsidR="008E05AA" w:rsidRPr="005D7872" w:rsidTr="004F7425">
        <w:trPr>
          <w:cantSplit/>
        </w:trPr>
        <w:tc>
          <w:tcPr>
            <w:tcW w:w="4428" w:type="dxa"/>
            <w:gridSpan w:val="2"/>
            <w:tcBorders>
              <w:top w:val="single" w:sz="12" w:space="0" w:color="auto"/>
              <w:left w:val="single" w:sz="12" w:space="0" w:color="auto"/>
              <w:bottom w:val="single" w:sz="12" w:space="0" w:color="auto"/>
              <w:right w:val="single" w:sz="12" w:space="0" w:color="auto"/>
            </w:tcBorders>
          </w:tcPr>
          <w:p w:rsidR="008E05AA" w:rsidRPr="005D7872" w:rsidRDefault="008E05AA" w:rsidP="004F7425">
            <w:pPr>
              <w:jc w:val="both"/>
            </w:pPr>
          </w:p>
        </w:tc>
        <w:tc>
          <w:tcPr>
            <w:tcW w:w="1080"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33</w:t>
            </w:r>
          </w:p>
        </w:tc>
        <w:tc>
          <w:tcPr>
            <w:tcW w:w="1080"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21</w:t>
            </w:r>
          </w:p>
        </w:tc>
        <w:tc>
          <w:tcPr>
            <w:tcW w:w="900"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163</w:t>
            </w:r>
          </w:p>
        </w:tc>
        <w:tc>
          <w:tcPr>
            <w:tcW w:w="1034"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211</w:t>
            </w:r>
          </w:p>
        </w:tc>
      </w:tr>
    </w:tbl>
    <w:p w:rsidR="008E05AA" w:rsidRPr="005D7872" w:rsidRDefault="008E05AA" w:rsidP="008E05AA">
      <w:pPr>
        <w:jc w:val="both"/>
      </w:pPr>
      <w:r w:rsidRPr="005D7872">
        <w:tab/>
        <w:t xml:space="preserve">2007 m. didesnis stacionarinėse ASPĮ gydytų narkotikais apsinuodijusių asmenų skaičius yra siejamas su didesniu apsinuodijusių opiumu, heroinu, sintetiniais narkotikais bei kitais haliucinogenais skaičiumi. </w:t>
      </w:r>
    </w:p>
    <w:p w:rsidR="008E05AA" w:rsidRPr="005D7872" w:rsidRDefault="008E05AA" w:rsidP="008E05AA">
      <w:pPr>
        <w:jc w:val="both"/>
      </w:pPr>
      <w:r w:rsidRPr="005D7872">
        <w:tab/>
        <w:t xml:space="preserve">Didžioji dauguma narkotinėmis ir psichotropinėmis medžiagomis apsinuodijusių asmenų buvo gydyti stacionarines paslaugas teikiančiose ASPĮ. Tačiau, dalies apsinuodijimų   negalima identifikuoti, nes nenustatytos medžiagos. </w:t>
      </w:r>
    </w:p>
    <w:p w:rsidR="008E05AA" w:rsidRPr="005D7872" w:rsidRDefault="008E05AA" w:rsidP="008E05AA">
      <w:pPr>
        <w:jc w:val="both"/>
      </w:pPr>
      <w:r w:rsidRPr="005D7872">
        <w:tab/>
        <w:t xml:space="preserve">Analizuojant 2007 m. stacionarinėse ASPĮ gydytus asmenis apsinuodijus narkotikais ir haliucinogenais nustatyta, kad dauguma (176 atv.) apsinuodijusiųjų buvo vyriško lyties asmenys. </w:t>
      </w:r>
    </w:p>
    <w:p w:rsidR="008E05AA" w:rsidRPr="005D7872" w:rsidRDefault="008E05AA" w:rsidP="008E05AA">
      <w:pPr>
        <w:jc w:val="both"/>
      </w:pPr>
      <w:r w:rsidRPr="005D7872">
        <w:tab/>
        <w:t>Stacionarinėse ASPĮ gydyti 2007 m. apsinuodijimai pagal lytį narkotikais ir haliucinogenais:</w:t>
      </w:r>
    </w:p>
    <w:p w:rsidR="008E05AA" w:rsidRPr="005D7872" w:rsidRDefault="008E05AA" w:rsidP="008E05AA">
      <w:pPr>
        <w:jc w:val="both"/>
      </w:pPr>
      <w:r w:rsidRPr="005D7872">
        <w:rPr>
          <w:noProof/>
          <w:lang w:eastAsia="lt-LT"/>
        </w:rPr>
        <w:drawing>
          <wp:inline distT="0" distB="0" distL="0" distR="0" wp14:anchorId="1D2B8905" wp14:editId="2A3451B2">
            <wp:extent cx="4600575" cy="2447925"/>
            <wp:effectExtent l="0" t="0" r="0" b="0"/>
            <wp:docPr id="43" name="Diagrama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E05AA" w:rsidRPr="005D7872" w:rsidRDefault="008E05AA" w:rsidP="008E05AA">
      <w:pPr>
        <w:jc w:val="both"/>
      </w:pPr>
    </w:p>
    <w:p w:rsidR="008E05AA" w:rsidRPr="005D7872" w:rsidRDefault="008E05AA" w:rsidP="008E05AA">
      <w:pPr>
        <w:jc w:val="both"/>
      </w:pPr>
      <w:r w:rsidRPr="005D7872">
        <w:tab/>
        <w:t xml:space="preserve">Tarp visų narkotinėmis ir psichotropinėmis medžiagomis apsinuodijusių asmenų beveik 80 proc. buvo 15 – 34 m. amžiaus. Vyresnėse amžiaus grupėse apsinuodijimų šiomis medžiagomis skaičius mažėja geometrine regresija. </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i/>
          <w:iCs/>
        </w:rPr>
        <w:t>Apsinuodijimai narkotikais ir haliucinogenais pagal amžių:</w:t>
      </w:r>
    </w:p>
    <w:p w:rsidR="008E05AA" w:rsidRPr="005D7872" w:rsidRDefault="008E05AA" w:rsidP="008E05AA">
      <w:pPr>
        <w:jc w:val="both"/>
      </w:pPr>
      <w:r w:rsidRPr="005D7872">
        <w:rPr>
          <w:noProof/>
          <w:lang w:eastAsia="lt-LT"/>
        </w:rPr>
        <w:lastRenderedPageBreak/>
        <w:drawing>
          <wp:inline distT="0" distB="0" distL="0" distR="0" wp14:anchorId="342EDB14" wp14:editId="049757B3">
            <wp:extent cx="4600575" cy="2447925"/>
            <wp:effectExtent l="0" t="0" r="0" b="0"/>
            <wp:docPr id="44" name="Diagrama 4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E05AA" w:rsidRPr="005D7872" w:rsidRDefault="008E05AA" w:rsidP="008E05AA">
      <w:pPr>
        <w:jc w:val="both"/>
        <w:rPr>
          <w:i/>
          <w:iCs/>
        </w:rPr>
      </w:pPr>
    </w:p>
    <w:p w:rsidR="008E05AA" w:rsidRPr="005D7872" w:rsidRDefault="008E05AA" w:rsidP="008E05AA">
      <w:pPr>
        <w:jc w:val="both"/>
      </w:pPr>
    </w:p>
    <w:p w:rsidR="008E05AA" w:rsidRPr="005D7872" w:rsidRDefault="008E05AA" w:rsidP="008E05AA">
      <w:pPr>
        <w:jc w:val="both"/>
      </w:pPr>
      <w:r w:rsidRPr="005D7872">
        <w:tab/>
        <w:t xml:space="preserve">Analizuojant 2007 m. duomenis apie ligoninėse apsinuodijimų narkotikais ir haliucinogenais atvejus, nustatyta, kad apsinuodijimai įvairios kilmės opiatais (T40.0 (opiumas), T40.1 (heroinas) ir T40.2 (kiti opioidai) ) sudaro beveik pusę (46 proc.) visų minėtais metais registruotų atvejų. </w:t>
      </w:r>
    </w:p>
    <w:p w:rsidR="008E05AA" w:rsidRPr="005D7872" w:rsidRDefault="008E05AA" w:rsidP="008E05AA">
      <w:pPr>
        <w:jc w:val="both"/>
      </w:pPr>
    </w:p>
    <w:p w:rsidR="008E05AA" w:rsidRPr="005D7872" w:rsidRDefault="008E05AA" w:rsidP="008E05AA">
      <w:pPr>
        <w:jc w:val="both"/>
      </w:pPr>
      <w:r w:rsidRPr="005D7872">
        <w:rPr>
          <w:i/>
          <w:iCs/>
        </w:rPr>
        <w:t>Apsinuodijimai narkotikais pagal medžiagą ir lytį 2007 m.</w:t>
      </w:r>
    </w:p>
    <w:p w:rsidR="008E05AA" w:rsidRPr="005D7872" w:rsidRDefault="008E05AA" w:rsidP="008E05A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3780"/>
        <w:gridCol w:w="1440"/>
        <w:gridCol w:w="1260"/>
        <w:gridCol w:w="1214"/>
      </w:tblGrid>
      <w:tr w:rsidR="008E05AA" w:rsidRPr="005D7872" w:rsidTr="004F7425">
        <w:trPr>
          <w:cantSplit/>
        </w:trPr>
        <w:tc>
          <w:tcPr>
            <w:tcW w:w="828" w:type="dxa"/>
            <w:vMerge w:val="restart"/>
          </w:tcPr>
          <w:p w:rsidR="008E05AA" w:rsidRPr="005D7872" w:rsidRDefault="008E05AA" w:rsidP="004F7425">
            <w:pPr>
              <w:jc w:val="both"/>
            </w:pPr>
          </w:p>
        </w:tc>
        <w:tc>
          <w:tcPr>
            <w:tcW w:w="3780" w:type="dxa"/>
            <w:vMerge w:val="restart"/>
          </w:tcPr>
          <w:p w:rsidR="008E05AA" w:rsidRPr="005D7872" w:rsidRDefault="008E05AA" w:rsidP="004F7425">
            <w:pPr>
              <w:jc w:val="both"/>
            </w:pPr>
          </w:p>
        </w:tc>
        <w:tc>
          <w:tcPr>
            <w:tcW w:w="1440" w:type="dxa"/>
            <w:vMerge w:val="restart"/>
          </w:tcPr>
          <w:p w:rsidR="008E05AA" w:rsidRPr="005D7872" w:rsidRDefault="008E05AA" w:rsidP="004F7425">
            <w:pPr>
              <w:jc w:val="both"/>
            </w:pPr>
            <w:r w:rsidRPr="005D7872">
              <w:t>Viso</w:t>
            </w:r>
          </w:p>
          <w:p w:rsidR="008E05AA" w:rsidRPr="005D7872" w:rsidRDefault="008E05AA" w:rsidP="004F7425">
            <w:pPr>
              <w:jc w:val="both"/>
            </w:pPr>
            <w:r w:rsidRPr="005D7872">
              <w:t>per metus</w:t>
            </w:r>
          </w:p>
        </w:tc>
        <w:tc>
          <w:tcPr>
            <w:tcW w:w="2474" w:type="dxa"/>
            <w:gridSpan w:val="2"/>
          </w:tcPr>
          <w:p w:rsidR="008E05AA" w:rsidRPr="005D7872" w:rsidRDefault="008E05AA" w:rsidP="004F7425">
            <w:pPr>
              <w:jc w:val="both"/>
            </w:pPr>
            <w:r w:rsidRPr="005D7872">
              <w:t>Lytis</w:t>
            </w:r>
          </w:p>
        </w:tc>
      </w:tr>
      <w:tr w:rsidR="008E05AA" w:rsidRPr="005D7872" w:rsidTr="004F7425">
        <w:trPr>
          <w:cantSplit/>
        </w:trPr>
        <w:tc>
          <w:tcPr>
            <w:tcW w:w="828" w:type="dxa"/>
            <w:vMerge/>
          </w:tcPr>
          <w:p w:rsidR="008E05AA" w:rsidRPr="005D7872" w:rsidRDefault="008E05AA" w:rsidP="004F7425">
            <w:pPr>
              <w:jc w:val="both"/>
            </w:pPr>
          </w:p>
        </w:tc>
        <w:tc>
          <w:tcPr>
            <w:tcW w:w="3780" w:type="dxa"/>
            <w:vMerge/>
          </w:tcPr>
          <w:p w:rsidR="008E05AA" w:rsidRPr="005D7872" w:rsidRDefault="008E05AA" w:rsidP="004F7425">
            <w:pPr>
              <w:jc w:val="both"/>
            </w:pPr>
          </w:p>
        </w:tc>
        <w:tc>
          <w:tcPr>
            <w:tcW w:w="1440" w:type="dxa"/>
            <w:vMerge/>
          </w:tcPr>
          <w:p w:rsidR="008E05AA" w:rsidRPr="005D7872" w:rsidRDefault="008E05AA" w:rsidP="004F7425">
            <w:pPr>
              <w:jc w:val="both"/>
            </w:pPr>
          </w:p>
        </w:tc>
        <w:tc>
          <w:tcPr>
            <w:tcW w:w="1260" w:type="dxa"/>
          </w:tcPr>
          <w:p w:rsidR="008E05AA" w:rsidRPr="005D7872" w:rsidRDefault="008E05AA" w:rsidP="004F7425">
            <w:pPr>
              <w:jc w:val="both"/>
            </w:pPr>
            <w:r w:rsidRPr="005D7872">
              <w:t>iš jų Vyr.</w:t>
            </w:r>
          </w:p>
        </w:tc>
        <w:tc>
          <w:tcPr>
            <w:tcW w:w="1214" w:type="dxa"/>
          </w:tcPr>
          <w:p w:rsidR="008E05AA" w:rsidRPr="005D7872" w:rsidRDefault="008E05AA" w:rsidP="004F7425">
            <w:pPr>
              <w:jc w:val="both"/>
            </w:pPr>
            <w:r w:rsidRPr="005D7872">
              <w:t>iš jų Mot.</w:t>
            </w:r>
          </w:p>
        </w:tc>
      </w:tr>
      <w:tr w:rsidR="008E05AA" w:rsidRPr="005D7872" w:rsidTr="004F7425">
        <w:tc>
          <w:tcPr>
            <w:tcW w:w="828" w:type="dxa"/>
          </w:tcPr>
          <w:p w:rsidR="008E05AA" w:rsidRPr="005D7872" w:rsidRDefault="008E05AA" w:rsidP="004F7425">
            <w:pPr>
              <w:jc w:val="both"/>
            </w:pPr>
            <w:r w:rsidRPr="005D7872">
              <w:t>T40</w:t>
            </w:r>
          </w:p>
        </w:tc>
        <w:tc>
          <w:tcPr>
            <w:tcW w:w="3780" w:type="dxa"/>
          </w:tcPr>
          <w:p w:rsidR="008E05AA" w:rsidRPr="005D7872" w:rsidRDefault="008E05AA" w:rsidP="004F7425">
            <w:pPr>
              <w:jc w:val="both"/>
            </w:pPr>
            <w:r w:rsidRPr="005D7872">
              <w:t>Narkotikai ir haliucinogenai</w:t>
            </w:r>
          </w:p>
        </w:tc>
        <w:tc>
          <w:tcPr>
            <w:tcW w:w="1440" w:type="dxa"/>
          </w:tcPr>
          <w:p w:rsidR="008E05AA" w:rsidRPr="005D7872" w:rsidRDefault="008E05AA" w:rsidP="004F7425">
            <w:pPr>
              <w:jc w:val="both"/>
            </w:pPr>
            <w:r w:rsidRPr="005D7872">
              <w:t>37</w:t>
            </w:r>
          </w:p>
        </w:tc>
        <w:tc>
          <w:tcPr>
            <w:tcW w:w="1260" w:type="dxa"/>
          </w:tcPr>
          <w:p w:rsidR="008E05AA" w:rsidRPr="005D7872" w:rsidRDefault="008E05AA" w:rsidP="004F7425">
            <w:pPr>
              <w:jc w:val="both"/>
            </w:pPr>
            <w:r w:rsidRPr="005D7872">
              <w:t>30</w:t>
            </w:r>
          </w:p>
        </w:tc>
        <w:tc>
          <w:tcPr>
            <w:tcW w:w="1214" w:type="dxa"/>
          </w:tcPr>
          <w:p w:rsidR="008E05AA" w:rsidRPr="005D7872" w:rsidRDefault="008E05AA" w:rsidP="004F7425">
            <w:pPr>
              <w:jc w:val="both"/>
            </w:pPr>
            <w:r w:rsidRPr="005D7872">
              <w:t>7</w:t>
            </w:r>
          </w:p>
        </w:tc>
      </w:tr>
      <w:tr w:rsidR="008E05AA" w:rsidRPr="005D7872" w:rsidTr="004F7425">
        <w:tc>
          <w:tcPr>
            <w:tcW w:w="828" w:type="dxa"/>
          </w:tcPr>
          <w:p w:rsidR="008E05AA" w:rsidRPr="005D7872" w:rsidRDefault="008E05AA" w:rsidP="004F7425">
            <w:pPr>
              <w:jc w:val="both"/>
            </w:pPr>
            <w:r w:rsidRPr="005D7872">
              <w:t>T40.0</w:t>
            </w:r>
          </w:p>
        </w:tc>
        <w:tc>
          <w:tcPr>
            <w:tcW w:w="3780" w:type="dxa"/>
          </w:tcPr>
          <w:p w:rsidR="008E05AA" w:rsidRPr="005D7872" w:rsidRDefault="008E05AA" w:rsidP="004F7425">
            <w:pPr>
              <w:jc w:val="both"/>
              <w:rPr>
                <w:i/>
                <w:iCs/>
              </w:rPr>
            </w:pPr>
            <w:r w:rsidRPr="005D7872">
              <w:rPr>
                <w:i/>
                <w:iCs/>
              </w:rPr>
              <w:t>Opiumas</w:t>
            </w:r>
          </w:p>
        </w:tc>
        <w:tc>
          <w:tcPr>
            <w:tcW w:w="1440" w:type="dxa"/>
          </w:tcPr>
          <w:p w:rsidR="008E05AA" w:rsidRPr="005D7872" w:rsidRDefault="008E05AA" w:rsidP="004F7425">
            <w:pPr>
              <w:jc w:val="both"/>
            </w:pPr>
            <w:r w:rsidRPr="005D7872">
              <w:t>55</w:t>
            </w:r>
          </w:p>
        </w:tc>
        <w:tc>
          <w:tcPr>
            <w:tcW w:w="1260" w:type="dxa"/>
          </w:tcPr>
          <w:p w:rsidR="008E05AA" w:rsidRPr="005D7872" w:rsidRDefault="008E05AA" w:rsidP="004F7425">
            <w:pPr>
              <w:jc w:val="both"/>
            </w:pPr>
            <w:r w:rsidRPr="005D7872">
              <w:t>47</w:t>
            </w:r>
          </w:p>
        </w:tc>
        <w:tc>
          <w:tcPr>
            <w:tcW w:w="1214" w:type="dxa"/>
          </w:tcPr>
          <w:p w:rsidR="008E05AA" w:rsidRPr="005D7872" w:rsidRDefault="008E05AA" w:rsidP="004F7425">
            <w:pPr>
              <w:jc w:val="both"/>
            </w:pPr>
            <w:r w:rsidRPr="005D7872">
              <w:t>8</w:t>
            </w:r>
          </w:p>
        </w:tc>
      </w:tr>
      <w:tr w:rsidR="008E05AA" w:rsidRPr="005D7872" w:rsidTr="004F7425">
        <w:tc>
          <w:tcPr>
            <w:tcW w:w="828" w:type="dxa"/>
          </w:tcPr>
          <w:p w:rsidR="008E05AA" w:rsidRPr="005D7872" w:rsidRDefault="008E05AA" w:rsidP="004F7425">
            <w:pPr>
              <w:jc w:val="both"/>
            </w:pPr>
            <w:r w:rsidRPr="005D7872">
              <w:t>T40.1</w:t>
            </w:r>
          </w:p>
        </w:tc>
        <w:tc>
          <w:tcPr>
            <w:tcW w:w="3780" w:type="dxa"/>
          </w:tcPr>
          <w:p w:rsidR="008E05AA" w:rsidRPr="005D7872" w:rsidRDefault="008E05AA" w:rsidP="004F7425">
            <w:pPr>
              <w:jc w:val="both"/>
              <w:rPr>
                <w:i/>
                <w:iCs/>
              </w:rPr>
            </w:pPr>
            <w:r w:rsidRPr="005D7872">
              <w:rPr>
                <w:i/>
                <w:iCs/>
              </w:rPr>
              <w:t>Heroinas</w:t>
            </w:r>
          </w:p>
        </w:tc>
        <w:tc>
          <w:tcPr>
            <w:tcW w:w="1440" w:type="dxa"/>
          </w:tcPr>
          <w:p w:rsidR="008E05AA" w:rsidRPr="005D7872" w:rsidRDefault="008E05AA" w:rsidP="004F7425">
            <w:pPr>
              <w:jc w:val="both"/>
            </w:pPr>
            <w:r w:rsidRPr="005D7872">
              <w:t>38</w:t>
            </w:r>
          </w:p>
        </w:tc>
        <w:tc>
          <w:tcPr>
            <w:tcW w:w="1260" w:type="dxa"/>
          </w:tcPr>
          <w:p w:rsidR="008E05AA" w:rsidRPr="005D7872" w:rsidRDefault="008E05AA" w:rsidP="004F7425">
            <w:pPr>
              <w:jc w:val="both"/>
            </w:pPr>
            <w:r w:rsidRPr="005D7872">
              <w:t>37</w:t>
            </w:r>
          </w:p>
        </w:tc>
        <w:tc>
          <w:tcPr>
            <w:tcW w:w="1214" w:type="dxa"/>
          </w:tcPr>
          <w:p w:rsidR="008E05AA" w:rsidRPr="005D7872" w:rsidRDefault="008E05AA" w:rsidP="004F7425">
            <w:pPr>
              <w:jc w:val="both"/>
            </w:pPr>
            <w:r w:rsidRPr="005D7872">
              <w:t>1</w:t>
            </w:r>
          </w:p>
        </w:tc>
      </w:tr>
      <w:tr w:rsidR="008E05AA" w:rsidRPr="005D7872" w:rsidTr="004F7425">
        <w:tc>
          <w:tcPr>
            <w:tcW w:w="828" w:type="dxa"/>
          </w:tcPr>
          <w:p w:rsidR="008E05AA" w:rsidRPr="005D7872" w:rsidRDefault="008E05AA" w:rsidP="004F7425">
            <w:pPr>
              <w:jc w:val="both"/>
            </w:pPr>
            <w:r w:rsidRPr="005D7872">
              <w:t>T40.2</w:t>
            </w:r>
          </w:p>
        </w:tc>
        <w:tc>
          <w:tcPr>
            <w:tcW w:w="3780" w:type="dxa"/>
          </w:tcPr>
          <w:p w:rsidR="008E05AA" w:rsidRPr="005D7872" w:rsidRDefault="008E05AA" w:rsidP="004F7425">
            <w:pPr>
              <w:jc w:val="both"/>
              <w:rPr>
                <w:i/>
                <w:iCs/>
              </w:rPr>
            </w:pPr>
            <w:r w:rsidRPr="005D7872">
              <w:rPr>
                <w:i/>
                <w:iCs/>
              </w:rPr>
              <w:t>Kt. opioidai</w:t>
            </w:r>
          </w:p>
        </w:tc>
        <w:tc>
          <w:tcPr>
            <w:tcW w:w="1440" w:type="dxa"/>
          </w:tcPr>
          <w:p w:rsidR="008E05AA" w:rsidRPr="005D7872" w:rsidRDefault="008E05AA" w:rsidP="004F7425">
            <w:pPr>
              <w:jc w:val="both"/>
            </w:pPr>
            <w:r w:rsidRPr="005D7872">
              <w:t>4</w:t>
            </w:r>
          </w:p>
        </w:tc>
        <w:tc>
          <w:tcPr>
            <w:tcW w:w="1260" w:type="dxa"/>
          </w:tcPr>
          <w:p w:rsidR="008E05AA" w:rsidRPr="005D7872" w:rsidRDefault="008E05AA" w:rsidP="004F7425">
            <w:pPr>
              <w:jc w:val="both"/>
            </w:pPr>
            <w:r w:rsidRPr="005D7872">
              <w:t>1</w:t>
            </w:r>
          </w:p>
        </w:tc>
        <w:tc>
          <w:tcPr>
            <w:tcW w:w="1214" w:type="dxa"/>
          </w:tcPr>
          <w:p w:rsidR="008E05AA" w:rsidRPr="005D7872" w:rsidRDefault="008E05AA" w:rsidP="004F7425">
            <w:pPr>
              <w:jc w:val="both"/>
            </w:pPr>
            <w:r w:rsidRPr="005D7872">
              <w:t>3</w:t>
            </w:r>
          </w:p>
        </w:tc>
      </w:tr>
      <w:tr w:rsidR="008E05AA" w:rsidRPr="005D7872" w:rsidTr="004F7425">
        <w:tc>
          <w:tcPr>
            <w:tcW w:w="828" w:type="dxa"/>
          </w:tcPr>
          <w:p w:rsidR="008E05AA" w:rsidRPr="005D7872" w:rsidRDefault="008E05AA" w:rsidP="004F7425">
            <w:pPr>
              <w:jc w:val="both"/>
            </w:pPr>
            <w:r w:rsidRPr="005D7872">
              <w:t>T40.3</w:t>
            </w:r>
          </w:p>
        </w:tc>
        <w:tc>
          <w:tcPr>
            <w:tcW w:w="3780" w:type="dxa"/>
          </w:tcPr>
          <w:p w:rsidR="008E05AA" w:rsidRPr="005D7872" w:rsidRDefault="008E05AA" w:rsidP="004F7425">
            <w:pPr>
              <w:jc w:val="both"/>
            </w:pPr>
            <w:r w:rsidRPr="005D7872">
              <w:t>Metadonas</w:t>
            </w:r>
          </w:p>
        </w:tc>
        <w:tc>
          <w:tcPr>
            <w:tcW w:w="1440" w:type="dxa"/>
          </w:tcPr>
          <w:p w:rsidR="008E05AA" w:rsidRPr="005D7872" w:rsidRDefault="008E05AA" w:rsidP="004F7425">
            <w:pPr>
              <w:jc w:val="both"/>
            </w:pPr>
            <w:r w:rsidRPr="005D7872">
              <w:t>6</w:t>
            </w:r>
          </w:p>
        </w:tc>
        <w:tc>
          <w:tcPr>
            <w:tcW w:w="1260" w:type="dxa"/>
          </w:tcPr>
          <w:p w:rsidR="008E05AA" w:rsidRPr="005D7872" w:rsidRDefault="008E05AA" w:rsidP="004F7425">
            <w:pPr>
              <w:jc w:val="both"/>
            </w:pPr>
            <w:r w:rsidRPr="005D7872">
              <w:t>3</w:t>
            </w:r>
          </w:p>
        </w:tc>
        <w:tc>
          <w:tcPr>
            <w:tcW w:w="1214" w:type="dxa"/>
          </w:tcPr>
          <w:p w:rsidR="008E05AA" w:rsidRPr="005D7872" w:rsidRDefault="008E05AA" w:rsidP="004F7425">
            <w:pPr>
              <w:jc w:val="both"/>
            </w:pPr>
            <w:r w:rsidRPr="005D7872">
              <w:t>3</w:t>
            </w:r>
          </w:p>
        </w:tc>
      </w:tr>
      <w:tr w:rsidR="008E05AA" w:rsidRPr="005D7872" w:rsidTr="004F7425">
        <w:tc>
          <w:tcPr>
            <w:tcW w:w="828" w:type="dxa"/>
          </w:tcPr>
          <w:p w:rsidR="008E05AA" w:rsidRPr="005D7872" w:rsidRDefault="008E05AA" w:rsidP="004F7425">
            <w:pPr>
              <w:jc w:val="both"/>
            </w:pPr>
            <w:r w:rsidRPr="005D7872">
              <w:t>T40.4</w:t>
            </w:r>
          </w:p>
        </w:tc>
        <w:tc>
          <w:tcPr>
            <w:tcW w:w="3780" w:type="dxa"/>
          </w:tcPr>
          <w:p w:rsidR="008E05AA" w:rsidRPr="005D7872" w:rsidRDefault="008E05AA" w:rsidP="004F7425">
            <w:pPr>
              <w:jc w:val="both"/>
            </w:pPr>
            <w:r w:rsidRPr="005D7872">
              <w:t>Kt. sintetiniai narkotikai</w:t>
            </w:r>
          </w:p>
        </w:tc>
        <w:tc>
          <w:tcPr>
            <w:tcW w:w="1440" w:type="dxa"/>
          </w:tcPr>
          <w:p w:rsidR="008E05AA" w:rsidRPr="005D7872" w:rsidRDefault="008E05AA" w:rsidP="004F7425">
            <w:pPr>
              <w:jc w:val="both"/>
            </w:pPr>
            <w:r w:rsidRPr="005D7872">
              <w:t>18</w:t>
            </w:r>
          </w:p>
        </w:tc>
        <w:tc>
          <w:tcPr>
            <w:tcW w:w="1260" w:type="dxa"/>
          </w:tcPr>
          <w:p w:rsidR="008E05AA" w:rsidRPr="005D7872" w:rsidRDefault="008E05AA" w:rsidP="004F7425">
            <w:pPr>
              <w:jc w:val="both"/>
            </w:pPr>
            <w:r w:rsidRPr="005D7872">
              <w:t>15</w:t>
            </w:r>
          </w:p>
        </w:tc>
        <w:tc>
          <w:tcPr>
            <w:tcW w:w="1214" w:type="dxa"/>
          </w:tcPr>
          <w:p w:rsidR="008E05AA" w:rsidRPr="005D7872" w:rsidRDefault="008E05AA" w:rsidP="004F7425">
            <w:pPr>
              <w:jc w:val="both"/>
            </w:pPr>
            <w:r w:rsidRPr="005D7872">
              <w:t>3</w:t>
            </w:r>
          </w:p>
        </w:tc>
      </w:tr>
      <w:tr w:rsidR="008E05AA" w:rsidRPr="005D7872" w:rsidTr="004F7425">
        <w:tc>
          <w:tcPr>
            <w:tcW w:w="828" w:type="dxa"/>
          </w:tcPr>
          <w:p w:rsidR="008E05AA" w:rsidRPr="005D7872" w:rsidRDefault="008E05AA" w:rsidP="004F7425">
            <w:pPr>
              <w:jc w:val="both"/>
            </w:pPr>
            <w:r w:rsidRPr="005D7872">
              <w:t>T40.5</w:t>
            </w:r>
          </w:p>
        </w:tc>
        <w:tc>
          <w:tcPr>
            <w:tcW w:w="3780" w:type="dxa"/>
          </w:tcPr>
          <w:p w:rsidR="008E05AA" w:rsidRPr="005D7872" w:rsidRDefault="008E05AA" w:rsidP="004F7425">
            <w:pPr>
              <w:jc w:val="both"/>
            </w:pPr>
            <w:r w:rsidRPr="005D7872">
              <w:t>Kokainas</w:t>
            </w:r>
          </w:p>
        </w:tc>
        <w:tc>
          <w:tcPr>
            <w:tcW w:w="1440" w:type="dxa"/>
          </w:tcPr>
          <w:p w:rsidR="008E05AA" w:rsidRPr="005D7872" w:rsidRDefault="008E05AA" w:rsidP="004F7425">
            <w:pPr>
              <w:jc w:val="both"/>
            </w:pPr>
            <w:r w:rsidRPr="005D7872">
              <w:t>2</w:t>
            </w:r>
          </w:p>
        </w:tc>
        <w:tc>
          <w:tcPr>
            <w:tcW w:w="1260" w:type="dxa"/>
          </w:tcPr>
          <w:p w:rsidR="008E05AA" w:rsidRPr="005D7872" w:rsidRDefault="008E05AA" w:rsidP="004F7425">
            <w:pPr>
              <w:jc w:val="both"/>
            </w:pPr>
            <w:r w:rsidRPr="005D7872">
              <w:t>2</w:t>
            </w:r>
          </w:p>
        </w:tc>
        <w:tc>
          <w:tcPr>
            <w:tcW w:w="1214" w:type="dxa"/>
          </w:tcPr>
          <w:p w:rsidR="008E05AA" w:rsidRPr="005D7872" w:rsidRDefault="008E05AA" w:rsidP="004F7425">
            <w:pPr>
              <w:jc w:val="both"/>
            </w:pPr>
            <w:r w:rsidRPr="005D7872">
              <w:t>0</w:t>
            </w:r>
          </w:p>
        </w:tc>
      </w:tr>
      <w:tr w:rsidR="008E05AA" w:rsidRPr="005D7872" w:rsidTr="004F7425">
        <w:tc>
          <w:tcPr>
            <w:tcW w:w="828" w:type="dxa"/>
          </w:tcPr>
          <w:p w:rsidR="008E05AA" w:rsidRPr="005D7872" w:rsidRDefault="008E05AA" w:rsidP="004F7425">
            <w:pPr>
              <w:jc w:val="both"/>
            </w:pPr>
            <w:r w:rsidRPr="005D7872">
              <w:t>T40.6</w:t>
            </w:r>
          </w:p>
        </w:tc>
        <w:tc>
          <w:tcPr>
            <w:tcW w:w="3780" w:type="dxa"/>
          </w:tcPr>
          <w:p w:rsidR="008E05AA" w:rsidRPr="005D7872" w:rsidRDefault="008E05AA" w:rsidP="004F7425">
            <w:pPr>
              <w:jc w:val="both"/>
            </w:pPr>
            <w:r w:rsidRPr="005D7872">
              <w:t>Kt. ir nepatikslinti narkotikai</w:t>
            </w:r>
          </w:p>
        </w:tc>
        <w:tc>
          <w:tcPr>
            <w:tcW w:w="1440" w:type="dxa"/>
          </w:tcPr>
          <w:p w:rsidR="008E05AA" w:rsidRPr="005D7872" w:rsidRDefault="008E05AA" w:rsidP="004F7425">
            <w:pPr>
              <w:jc w:val="both"/>
            </w:pPr>
            <w:r w:rsidRPr="005D7872">
              <w:t>30</w:t>
            </w:r>
          </w:p>
        </w:tc>
        <w:tc>
          <w:tcPr>
            <w:tcW w:w="1260" w:type="dxa"/>
          </w:tcPr>
          <w:p w:rsidR="008E05AA" w:rsidRPr="005D7872" w:rsidRDefault="008E05AA" w:rsidP="004F7425">
            <w:pPr>
              <w:jc w:val="both"/>
            </w:pPr>
            <w:r w:rsidRPr="005D7872">
              <w:t>25</w:t>
            </w:r>
          </w:p>
        </w:tc>
        <w:tc>
          <w:tcPr>
            <w:tcW w:w="1214" w:type="dxa"/>
          </w:tcPr>
          <w:p w:rsidR="008E05AA" w:rsidRPr="005D7872" w:rsidRDefault="008E05AA" w:rsidP="004F7425">
            <w:pPr>
              <w:jc w:val="both"/>
            </w:pPr>
            <w:r w:rsidRPr="005D7872">
              <w:t>5</w:t>
            </w:r>
          </w:p>
        </w:tc>
      </w:tr>
      <w:tr w:rsidR="008E05AA" w:rsidRPr="005D7872" w:rsidTr="004F7425">
        <w:tc>
          <w:tcPr>
            <w:tcW w:w="828" w:type="dxa"/>
          </w:tcPr>
          <w:p w:rsidR="008E05AA" w:rsidRPr="005D7872" w:rsidRDefault="008E05AA" w:rsidP="004F7425">
            <w:pPr>
              <w:jc w:val="both"/>
            </w:pPr>
            <w:r w:rsidRPr="005D7872">
              <w:t>T40.7</w:t>
            </w:r>
          </w:p>
        </w:tc>
        <w:tc>
          <w:tcPr>
            <w:tcW w:w="3780" w:type="dxa"/>
          </w:tcPr>
          <w:p w:rsidR="008E05AA" w:rsidRPr="005D7872" w:rsidRDefault="008E05AA" w:rsidP="004F7425">
            <w:pPr>
              <w:jc w:val="both"/>
            </w:pPr>
            <w:r w:rsidRPr="005D7872">
              <w:t>Kanapės</w:t>
            </w:r>
          </w:p>
        </w:tc>
        <w:tc>
          <w:tcPr>
            <w:tcW w:w="1440" w:type="dxa"/>
          </w:tcPr>
          <w:p w:rsidR="008E05AA" w:rsidRPr="005D7872" w:rsidRDefault="008E05AA" w:rsidP="004F7425">
            <w:pPr>
              <w:jc w:val="both"/>
            </w:pPr>
            <w:r w:rsidRPr="005D7872">
              <w:t>8</w:t>
            </w:r>
          </w:p>
        </w:tc>
        <w:tc>
          <w:tcPr>
            <w:tcW w:w="1260" w:type="dxa"/>
          </w:tcPr>
          <w:p w:rsidR="008E05AA" w:rsidRPr="005D7872" w:rsidRDefault="008E05AA" w:rsidP="004F7425">
            <w:pPr>
              <w:jc w:val="both"/>
            </w:pPr>
            <w:r w:rsidRPr="005D7872">
              <w:t>7</w:t>
            </w:r>
          </w:p>
        </w:tc>
        <w:tc>
          <w:tcPr>
            <w:tcW w:w="1214" w:type="dxa"/>
          </w:tcPr>
          <w:p w:rsidR="008E05AA" w:rsidRPr="005D7872" w:rsidRDefault="008E05AA" w:rsidP="004F7425">
            <w:pPr>
              <w:jc w:val="both"/>
            </w:pPr>
            <w:r w:rsidRPr="005D7872">
              <w:t>1</w:t>
            </w:r>
          </w:p>
        </w:tc>
      </w:tr>
      <w:tr w:rsidR="008E05AA" w:rsidRPr="005D7872" w:rsidTr="004F7425">
        <w:tc>
          <w:tcPr>
            <w:tcW w:w="828" w:type="dxa"/>
          </w:tcPr>
          <w:p w:rsidR="008E05AA" w:rsidRPr="005D7872" w:rsidRDefault="008E05AA" w:rsidP="004F7425">
            <w:pPr>
              <w:jc w:val="both"/>
            </w:pPr>
            <w:r w:rsidRPr="005D7872">
              <w:t>T40.8</w:t>
            </w:r>
          </w:p>
        </w:tc>
        <w:tc>
          <w:tcPr>
            <w:tcW w:w="3780" w:type="dxa"/>
          </w:tcPr>
          <w:p w:rsidR="008E05AA" w:rsidRPr="005D7872" w:rsidRDefault="008E05AA" w:rsidP="004F7425">
            <w:pPr>
              <w:jc w:val="both"/>
            </w:pPr>
            <w:r w:rsidRPr="005D7872">
              <w:t>LSD</w:t>
            </w:r>
          </w:p>
        </w:tc>
        <w:tc>
          <w:tcPr>
            <w:tcW w:w="1440" w:type="dxa"/>
          </w:tcPr>
          <w:p w:rsidR="008E05AA" w:rsidRPr="005D7872" w:rsidRDefault="008E05AA" w:rsidP="004F7425">
            <w:pPr>
              <w:jc w:val="both"/>
            </w:pPr>
            <w:r w:rsidRPr="005D7872">
              <w:t>1</w:t>
            </w:r>
          </w:p>
        </w:tc>
        <w:tc>
          <w:tcPr>
            <w:tcW w:w="1260" w:type="dxa"/>
          </w:tcPr>
          <w:p w:rsidR="008E05AA" w:rsidRPr="005D7872" w:rsidRDefault="008E05AA" w:rsidP="004F7425">
            <w:pPr>
              <w:jc w:val="both"/>
            </w:pPr>
            <w:r w:rsidRPr="005D7872">
              <w:t>0</w:t>
            </w:r>
          </w:p>
        </w:tc>
        <w:tc>
          <w:tcPr>
            <w:tcW w:w="1214" w:type="dxa"/>
          </w:tcPr>
          <w:p w:rsidR="008E05AA" w:rsidRPr="005D7872" w:rsidRDefault="008E05AA" w:rsidP="004F7425">
            <w:pPr>
              <w:jc w:val="both"/>
            </w:pPr>
            <w:r w:rsidRPr="005D7872">
              <w:t>1</w:t>
            </w:r>
          </w:p>
        </w:tc>
      </w:tr>
      <w:tr w:rsidR="008E05AA" w:rsidRPr="005D7872" w:rsidTr="004F7425">
        <w:tc>
          <w:tcPr>
            <w:tcW w:w="828" w:type="dxa"/>
          </w:tcPr>
          <w:p w:rsidR="008E05AA" w:rsidRPr="005D7872" w:rsidRDefault="008E05AA" w:rsidP="004F7425">
            <w:pPr>
              <w:jc w:val="both"/>
            </w:pPr>
            <w:r w:rsidRPr="005D7872">
              <w:t>T40.9</w:t>
            </w:r>
          </w:p>
        </w:tc>
        <w:tc>
          <w:tcPr>
            <w:tcW w:w="3780" w:type="dxa"/>
          </w:tcPr>
          <w:p w:rsidR="008E05AA" w:rsidRPr="005D7872" w:rsidRDefault="008E05AA" w:rsidP="004F7425">
            <w:pPr>
              <w:jc w:val="both"/>
            </w:pPr>
            <w:r w:rsidRPr="005D7872">
              <w:t>Kt. ir nepatikslinti haliucinogenai</w:t>
            </w:r>
          </w:p>
        </w:tc>
        <w:tc>
          <w:tcPr>
            <w:tcW w:w="1440" w:type="dxa"/>
          </w:tcPr>
          <w:p w:rsidR="008E05AA" w:rsidRPr="005D7872" w:rsidRDefault="008E05AA" w:rsidP="004F7425">
            <w:pPr>
              <w:jc w:val="both"/>
            </w:pPr>
            <w:r w:rsidRPr="005D7872">
              <w:t>12</w:t>
            </w:r>
          </w:p>
        </w:tc>
        <w:tc>
          <w:tcPr>
            <w:tcW w:w="1260" w:type="dxa"/>
          </w:tcPr>
          <w:p w:rsidR="008E05AA" w:rsidRPr="005D7872" w:rsidRDefault="008E05AA" w:rsidP="004F7425">
            <w:pPr>
              <w:jc w:val="both"/>
            </w:pPr>
            <w:r w:rsidRPr="005D7872">
              <w:t>9</w:t>
            </w:r>
          </w:p>
        </w:tc>
        <w:tc>
          <w:tcPr>
            <w:tcW w:w="1214" w:type="dxa"/>
          </w:tcPr>
          <w:p w:rsidR="008E05AA" w:rsidRPr="005D7872" w:rsidRDefault="008E05AA" w:rsidP="004F7425">
            <w:pPr>
              <w:jc w:val="both"/>
            </w:pPr>
            <w:r w:rsidRPr="005D7872">
              <w:t>3</w:t>
            </w:r>
          </w:p>
        </w:tc>
      </w:tr>
      <w:tr w:rsidR="008E05AA" w:rsidRPr="005D7872" w:rsidTr="004F7425">
        <w:tc>
          <w:tcPr>
            <w:tcW w:w="828" w:type="dxa"/>
          </w:tcPr>
          <w:p w:rsidR="008E05AA" w:rsidRPr="005D7872" w:rsidRDefault="008E05AA" w:rsidP="004F7425">
            <w:pPr>
              <w:jc w:val="both"/>
            </w:pPr>
          </w:p>
        </w:tc>
        <w:tc>
          <w:tcPr>
            <w:tcW w:w="3780" w:type="dxa"/>
          </w:tcPr>
          <w:p w:rsidR="008E05AA" w:rsidRPr="005D7872" w:rsidRDefault="008E05AA" w:rsidP="004F7425">
            <w:pPr>
              <w:jc w:val="both"/>
            </w:pPr>
          </w:p>
        </w:tc>
        <w:tc>
          <w:tcPr>
            <w:tcW w:w="1440" w:type="dxa"/>
          </w:tcPr>
          <w:p w:rsidR="008E05AA" w:rsidRPr="005D7872" w:rsidRDefault="008E05AA" w:rsidP="004F7425">
            <w:pPr>
              <w:jc w:val="both"/>
            </w:pPr>
            <w:r w:rsidRPr="005D7872">
              <w:t>211</w:t>
            </w:r>
          </w:p>
        </w:tc>
        <w:tc>
          <w:tcPr>
            <w:tcW w:w="1260" w:type="dxa"/>
          </w:tcPr>
          <w:p w:rsidR="008E05AA" w:rsidRPr="005D7872" w:rsidRDefault="008E05AA" w:rsidP="004F7425">
            <w:pPr>
              <w:jc w:val="both"/>
            </w:pPr>
            <w:r w:rsidRPr="005D7872">
              <w:t>176</w:t>
            </w:r>
          </w:p>
        </w:tc>
        <w:tc>
          <w:tcPr>
            <w:tcW w:w="1214" w:type="dxa"/>
          </w:tcPr>
          <w:p w:rsidR="008E05AA" w:rsidRPr="005D7872" w:rsidRDefault="008E05AA" w:rsidP="004F7425">
            <w:pPr>
              <w:jc w:val="both"/>
            </w:pPr>
            <w:r w:rsidRPr="005D7872">
              <w:t>35</w:t>
            </w:r>
          </w:p>
        </w:tc>
      </w:tr>
    </w:tbl>
    <w:p w:rsidR="008E05AA" w:rsidRPr="005D7872" w:rsidRDefault="008E05AA" w:rsidP="008E05AA">
      <w:pPr>
        <w:jc w:val="both"/>
        <w:rPr>
          <w:i/>
          <w:iCs/>
        </w:rPr>
      </w:pPr>
    </w:p>
    <w:p w:rsidR="008E05AA" w:rsidRPr="005D7872" w:rsidRDefault="008E05AA" w:rsidP="008E05AA">
      <w:pPr>
        <w:jc w:val="both"/>
      </w:pPr>
    </w:p>
    <w:p w:rsidR="008E05AA" w:rsidRPr="005D7872" w:rsidRDefault="008E05AA" w:rsidP="008E05AA">
      <w:pPr>
        <w:jc w:val="both"/>
      </w:pPr>
      <w:r w:rsidRPr="005D7872">
        <w:tab/>
        <w:t>Apsinuodijimai narkotikais ir haliucinogenais tarp vaikų yra dažnesni nei tarp sergančiųjų priklausomybės ligomis. Kaip buvo minėta anksčiau, tarp sergančiųjų psichikos ir elgesio sutrikimais vartojant psichiką veikiančias medžiagas, vaikai tesudarė 1 proc. visų 2007 m. registruotų atvejų, o apsinuodijimų šiomis medžiagomis vaikai sudaro 22 proc.</w:t>
      </w:r>
    </w:p>
    <w:p w:rsidR="008E05AA" w:rsidRPr="005D7872" w:rsidRDefault="008E05AA" w:rsidP="008E05AA">
      <w:pPr>
        <w:jc w:val="both"/>
      </w:pPr>
    </w:p>
    <w:p w:rsidR="008E05AA" w:rsidRPr="005D7872" w:rsidRDefault="008E05AA" w:rsidP="008E05AA">
      <w:pPr>
        <w:jc w:val="both"/>
      </w:pPr>
      <w:r w:rsidRPr="005D7872">
        <w:rPr>
          <w:i/>
          <w:iCs/>
        </w:rPr>
        <w:t>Apsinuodijimai narkotikais ir haliucinogenais pagal amžių 2007 m.</w:t>
      </w:r>
    </w:p>
    <w:p w:rsidR="008E05AA" w:rsidRPr="005D7872" w:rsidRDefault="008E05AA" w:rsidP="008E05AA">
      <w:pPr>
        <w:jc w:val="both"/>
      </w:pPr>
      <w:r w:rsidRPr="005D7872">
        <w:rPr>
          <w:noProof/>
          <w:lang w:eastAsia="lt-LT"/>
        </w:rPr>
        <w:lastRenderedPageBreak/>
        <w:drawing>
          <wp:inline distT="0" distB="0" distL="0" distR="0" wp14:anchorId="3D0C21CE" wp14:editId="1579A305">
            <wp:extent cx="4600575" cy="2447925"/>
            <wp:effectExtent l="0" t="0" r="0" b="0"/>
            <wp:docPr id="45" name="Diagrama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E05AA" w:rsidRPr="005D7872" w:rsidRDefault="008E05AA" w:rsidP="008E05AA">
      <w:pPr>
        <w:jc w:val="both"/>
        <w:rPr>
          <w:i/>
          <w:iCs/>
        </w:rPr>
      </w:pPr>
    </w:p>
    <w:p w:rsidR="008E05AA" w:rsidRPr="005D7872" w:rsidRDefault="008E05AA" w:rsidP="008E05AA">
      <w:pPr>
        <w:jc w:val="both"/>
      </w:pPr>
    </w:p>
    <w:p w:rsidR="008E05AA" w:rsidRPr="005D7872" w:rsidRDefault="008E05AA" w:rsidP="008E05AA">
      <w:pPr>
        <w:jc w:val="both"/>
      </w:pPr>
      <w:r w:rsidRPr="005D7872">
        <w:tab/>
        <w:t xml:space="preserve">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 </w:t>
      </w:r>
    </w:p>
    <w:p w:rsidR="008E05AA" w:rsidRPr="005D7872" w:rsidRDefault="008E05AA" w:rsidP="008E05AA">
      <w:pPr>
        <w:jc w:val="both"/>
      </w:pPr>
    </w:p>
    <w:p w:rsidR="008E05AA" w:rsidRPr="005D7872" w:rsidRDefault="008E05AA" w:rsidP="008E05AA">
      <w:pPr>
        <w:jc w:val="both"/>
        <w:rPr>
          <w:i/>
          <w:iCs/>
        </w:rPr>
      </w:pPr>
      <w:r w:rsidRPr="005D7872">
        <w:rPr>
          <w:noProof/>
          <w:lang w:eastAsia="lt-LT"/>
        </w:rPr>
        <w:drawing>
          <wp:inline distT="0" distB="0" distL="0" distR="0" wp14:anchorId="766FBFB8" wp14:editId="381AEBEE">
            <wp:extent cx="5276850" cy="3067050"/>
            <wp:effectExtent l="0" t="0" r="0" b="0"/>
            <wp:docPr id="46" name="Diagrama 4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5D7872">
        <w:rPr>
          <w:i/>
          <w:iCs/>
        </w:rPr>
        <w:t xml:space="preserve">4 </w:t>
      </w:r>
    </w:p>
    <w:p w:rsidR="008E05AA" w:rsidRPr="005D7872" w:rsidRDefault="008E05AA" w:rsidP="008E05AA">
      <w:pPr>
        <w:jc w:val="both"/>
      </w:pPr>
      <w:r w:rsidRPr="005D7872">
        <w:rPr>
          <w:i/>
          <w:iCs/>
        </w:rPr>
        <w:t>Vaikų apsinuodijimai narkotikais ir haliucinogenais pagal medžiagas</w:t>
      </w:r>
    </w:p>
    <w:p w:rsidR="008E05AA" w:rsidRPr="005D7872" w:rsidRDefault="008E05AA" w:rsidP="008E05AA">
      <w:pPr>
        <w:jc w:val="both"/>
      </w:pPr>
    </w:p>
    <w:p w:rsidR="008E05AA" w:rsidRPr="005D7872" w:rsidRDefault="008E05AA" w:rsidP="008E05AA">
      <w:pPr>
        <w:jc w:val="both"/>
      </w:pPr>
      <w:r w:rsidRPr="005D7872">
        <w:tab/>
        <w:t>91 proc. vaikų, apsinuodijusių psichiką veikiančiomis medžiagomis, buvo sulaukę 13 metų. Jaunesnių nei 10 metų amžiaus (4 atv.) vaikų apsinuodijimų atvejus reikėtų sieti ne su tiksliniu narkotinių medžiagų vartojimu, bet su nesaugia aplinka. T.y. psichiką veikiančios medžiagos buvo prieinamos vaikams jiems įprastoje aplinkoje, nes mažai tikėtina, jog 1- 9 m. amžiaus vaikai galėtų savarankiškai įsigyti Lietuvoje draudžiamų medžiagų.</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i/>
          <w:iCs/>
        </w:rPr>
        <w:t>Narkotikais ir haliucinogenais apsinuodiję vaikai pagal amžių (metais)</w:t>
      </w:r>
    </w:p>
    <w:p w:rsidR="008E05AA" w:rsidRPr="005D7872" w:rsidRDefault="008E05AA" w:rsidP="008E05AA">
      <w:pPr>
        <w:jc w:val="both"/>
      </w:pPr>
      <w:r w:rsidRPr="005D7872">
        <w:rPr>
          <w:noProof/>
          <w:lang w:eastAsia="lt-LT"/>
        </w:rPr>
        <w:lastRenderedPageBreak/>
        <w:drawing>
          <wp:inline distT="0" distB="0" distL="0" distR="0" wp14:anchorId="7BD9ED7D" wp14:editId="7278C10E">
            <wp:extent cx="4600575" cy="2447925"/>
            <wp:effectExtent l="0" t="0" r="0" b="0"/>
            <wp:docPr id="47" name="Diagrama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5D7872">
        <w:t xml:space="preserve"> </w:t>
      </w:r>
    </w:p>
    <w:p w:rsidR="008E05AA" w:rsidRPr="005D7872" w:rsidRDefault="008E05AA" w:rsidP="008E05AA">
      <w:pPr>
        <w:jc w:val="both"/>
      </w:pPr>
    </w:p>
    <w:p w:rsidR="008E05AA" w:rsidRPr="005D7872" w:rsidRDefault="008E05AA" w:rsidP="008E05AA">
      <w:pPr>
        <w:jc w:val="both"/>
      </w:pPr>
      <w:r w:rsidRPr="005D7872">
        <w:tab/>
        <w:t>Visi stacionarines paslaugas teikiančiose įstaigose 2007 m. dėl apsinuodijimo narkotikais gydytų vaikų pasveiko, t.y. šiuo laikotarpiu vaikų mirčių dėl apsinuodijimo psichiką veikiančiomis medžiagomis neužregistruota.</w:t>
      </w:r>
    </w:p>
    <w:p w:rsidR="008E05AA" w:rsidRPr="005D7872" w:rsidRDefault="008E05AA" w:rsidP="008E05AA">
      <w:pPr>
        <w:jc w:val="both"/>
      </w:pPr>
    </w:p>
    <w:p w:rsidR="008E05AA" w:rsidRPr="005D7872" w:rsidRDefault="008E05AA" w:rsidP="008E05AA">
      <w:pPr>
        <w:jc w:val="both"/>
      </w:pPr>
      <w:r w:rsidRPr="005D7872">
        <w:tab/>
        <w:t>2007 m. dėl apsinuodijimo narkotikais ir haliucinogenais ligoninėse mirė 6 asmenys, iš kurių didžioji dauguma (5 atv.) buvo vyrai.</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rPr>
          <w:i/>
          <w:iCs/>
        </w:rPr>
      </w:pPr>
      <w:r w:rsidRPr="005D7872">
        <w:rPr>
          <w:i/>
          <w:iCs/>
        </w:rPr>
        <w:t>2007 m. nuo apsinuodijimo narkotikais ir haliucinogenais mirusieji pagal lytį</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noProof/>
          <w:lang w:eastAsia="lt-LT"/>
        </w:rPr>
        <w:drawing>
          <wp:inline distT="0" distB="0" distL="0" distR="0" wp14:anchorId="1D931E77" wp14:editId="30046FC2">
            <wp:extent cx="4600575" cy="2447925"/>
            <wp:effectExtent l="0" t="0" r="0" b="0"/>
            <wp:docPr id="48" name="Diagrama 4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E05AA" w:rsidRPr="005D7872" w:rsidRDefault="008E05AA" w:rsidP="008E05AA">
      <w:pPr>
        <w:jc w:val="both"/>
      </w:pPr>
      <w:r w:rsidRPr="005D7872">
        <w:tab/>
        <w:t xml:space="preserve">Kaip ir apsinuodijimų, taip ir mirčių nuo toksinio narkotikų poveikio atvejais, dauguma (67 proc.) pacientų mirė apsinuodiję opiatų grupės preparatais. </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i/>
          <w:iCs/>
        </w:rPr>
        <w:t>Mirusieji nuo apsinuodijimo narkotikais ir haliucinogenais pagal medžiagas</w:t>
      </w:r>
    </w:p>
    <w:p w:rsidR="008E05AA" w:rsidRPr="005D7872" w:rsidRDefault="008E05AA" w:rsidP="008E05AA">
      <w:pPr>
        <w:jc w:val="both"/>
      </w:pPr>
      <w:r w:rsidRPr="005D7872">
        <w:rPr>
          <w:noProof/>
          <w:lang w:eastAsia="lt-LT"/>
        </w:rPr>
        <w:lastRenderedPageBreak/>
        <w:drawing>
          <wp:inline distT="0" distB="0" distL="0" distR="0" wp14:anchorId="3540259E" wp14:editId="78EFE474">
            <wp:extent cx="4600575" cy="2447925"/>
            <wp:effectExtent l="0" t="0" r="0" b="0"/>
            <wp:docPr id="49" name="Diagrama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8E05AA" w:rsidRPr="005D7872" w:rsidRDefault="008E05AA" w:rsidP="008E05AA">
      <w:pPr>
        <w:jc w:val="both"/>
      </w:pPr>
    </w:p>
    <w:p w:rsidR="008E05AA" w:rsidRPr="005D7872" w:rsidRDefault="008E05AA" w:rsidP="008E05AA">
      <w:pPr>
        <w:jc w:val="both"/>
      </w:pPr>
      <w:r w:rsidRPr="005D7872">
        <w:tab/>
        <w:t>Analizuojant mirčių nuo apsinuodijimo psichiką veikiančiomis medžiagomis atvejus nustatyta, kad visi asmenys buvo jauno darbingo amžiaus, t.y 15 – 44 m. amžiaus.</w:t>
      </w:r>
    </w:p>
    <w:p w:rsidR="008E05AA" w:rsidRPr="005D7872" w:rsidRDefault="008E05AA" w:rsidP="008E05AA">
      <w:pPr>
        <w:jc w:val="both"/>
      </w:pPr>
      <w:r w:rsidRPr="005D7872">
        <w:rPr>
          <w:i/>
          <w:iCs/>
        </w:rPr>
        <w:t>Mirusieji nuo apsinuodijimo narkotikais pagal amžių:</w:t>
      </w:r>
    </w:p>
    <w:p w:rsidR="008E05AA" w:rsidRPr="005D7872" w:rsidRDefault="008E05AA" w:rsidP="008E05AA">
      <w:pPr>
        <w:jc w:val="both"/>
      </w:pPr>
      <w:r w:rsidRPr="005D7872">
        <w:rPr>
          <w:noProof/>
          <w:lang w:eastAsia="lt-LT"/>
        </w:rPr>
        <w:drawing>
          <wp:inline distT="0" distB="0" distL="0" distR="0" wp14:anchorId="261C2FFA" wp14:editId="22694AA3">
            <wp:extent cx="4133850" cy="1800225"/>
            <wp:effectExtent l="0" t="0" r="0" b="0"/>
            <wp:docPr id="50" name="Diagrama 5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E05AA" w:rsidRPr="005D7872" w:rsidRDefault="008E05AA" w:rsidP="008E05AA">
      <w:pPr>
        <w:jc w:val="both"/>
        <w:rPr>
          <w:i/>
          <w:iCs/>
        </w:rPr>
      </w:pPr>
    </w:p>
    <w:p w:rsidR="008E05AA" w:rsidRPr="005D7872" w:rsidRDefault="008E05AA" w:rsidP="008E05AA">
      <w:pPr>
        <w:jc w:val="both"/>
      </w:pPr>
      <w:r w:rsidRPr="005D7872">
        <w:tab/>
        <w:t>Prie apsinuodijimų psichiką veikiančiomis medžiagomis yra priskiriami ir sveikatos sutrikimai, atsiradę dėl toksinio alkoholio ir/ ar jo surogatų poveikio.</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p>
    <w:p w:rsidR="008E05AA" w:rsidRPr="005D7872" w:rsidRDefault="008E05AA" w:rsidP="008E05AA">
      <w:pPr>
        <w:ind w:firstLine="720"/>
        <w:jc w:val="both"/>
        <w:rPr>
          <w:i/>
          <w:iCs/>
        </w:rPr>
      </w:pPr>
      <w:r w:rsidRPr="005D7872">
        <w:rPr>
          <w:i/>
          <w:iCs/>
        </w:rPr>
        <w:t xml:space="preserve"> 2006 – 2007 m. apsinuodijimai alkoholiais ( etanolis ir jo surogatais)</w:t>
      </w:r>
    </w:p>
    <w:p w:rsidR="008E05AA" w:rsidRPr="005D7872" w:rsidRDefault="008E05AA" w:rsidP="008E05AA">
      <w:pPr>
        <w:jc w:val="both"/>
        <w:rPr>
          <w:color w:val="FF0000"/>
        </w:rPr>
      </w:pPr>
    </w:p>
    <w:p w:rsidR="008E05AA" w:rsidRPr="005D7872" w:rsidRDefault="008E05AA" w:rsidP="008E05AA">
      <w:pPr>
        <w:jc w:val="both"/>
      </w:pPr>
      <w:r w:rsidRPr="005D7872">
        <w:t>Lyginant 2006-2007 m. duomenis apie asmens sveikatos priežiūros įstaigose (ambulatorinėse ir stacionarinėse) alkoholiu ir jo surogatais apsinuodijusiems asmenims suteiktas paslaugas reikšmingas skirtumas nenustatytas. 3 proc. apsinuodijimų atvejų sumažėjimas 2007 m. yra susijęs su mažesniu pacientų, besikreipusių į ambulatorines paslaugas teikiančias ASPĮ, skaičiumi.</w:t>
      </w:r>
    </w:p>
    <w:p w:rsidR="008E05AA" w:rsidRPr="005D7872" w:rsidRDefault="008E05AA" w:rsidP="008E05AA">
      <w:pPr>
        <w:jc w:val="both"/>
      </w:pPr>
    </w:p>
    <w:p w:rsidR="008E05AA" w:rsidRPr="005D7872" w:rsidRDefault="008E05AA" w:rsidP="008E05AA">
      <w:pPr>
        <w:jc w:val="both"/>
      </w:pPr>
      <w:r w:rsidRPr="005D7872">
        <w:rPr>
          <w:i/>
          <w:iCs/>
        </w:rPr>
        <w:t>Apsinuodijimų alkoholiu ir jo surogatais dinamika pagal suteiktas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2880"/>
        <w:gridCol w:w="2700"/>
        <w:gridCol w:w="1394"/>
      </w:tblGrid>
      <w:tr w:rsidR="008E05AA" w:rsidRPr="005D7872" w:rsidTr="004F7425">
        <w:tc>
          <w:tcPr>
            <w:tcW w:w="1548" w:type="dxa"/>
          </w:tcPr>
          <w:p w:rsidR="008E05AA" w:rsidRPr="005D7872" w:rsidRDefault="008E05AA" w:rsidP="004F7425">
            <w:pPr>
              <w:jc w:val="both"/>
            </w:pPr>
          </w:p>
        </w:tc>
        <w:tc>
          <w:tcPr>
            <w:tcW w:w="2880" w:type="dxa"/>
          </w:tcPr>
          <w:p w:rsidR="008E05AA" w:rsidRPr="005D7872" w:rsidRDefault="008E05AA" w:rsidP="004F7425">
            <w:pPr>
              <w:jc w:val="both"/>
              <w:rPr>
                <w:i/>
                <w:iCs/>
              </w:rPr>
            </w:pPr>
            <w:r w:rsidRPr="005D7872">
              <w:rPr>
                <w:i/>
                <w:iCs/>
              </w:rPr>
              <w:t>Ambulatorinės paslaugos</w:t>
            </w:r>
          </w:p>
        </w:tc>
        <w:tc>
          <w:tcPr>
            <w:tcW w:w="2700" w:type="dxa"/>
          </w:tcPr>
          <w:p w:rsidR="008E05AA" w:rsidRPr="005D7872" w:rsidRDefault="008E05AA" w:rsidP="004F7425">
            <w:pPr>
              <w:jc w:val="both"/>
              <w:rPr>
                <w:i/>
                <w:iCs/>
              </w:rPr>
            </w:pPr>
            <w:r w:rsidRPr="005D7872">
              <w:rPr>
                <w:i/>
                <w:iCs/>
              </w:rPr>
              <w:t>Stacionarinės paslaugos</w:t>
            </w:r>
          </w:p>
        </w:tc>
        <w:tc>
          <w:tcPr>
            <w:tcW w:w="1394" w:type="dxa"/>
          </w:tcPr>
          <w:p w:rsidR="008E05AA" w:rsidRPr="005D7872" w:rsidRDefault="008E05AA" w:rsidP="004F7425">
            <w:pPr>
              <w:jc w:val="both"/>
              <w:rPr>
                <w:i/>
                <w:iCs/>
              </w:rPr>
            </w:pPr>
            <w:r w:rsidRPr="005D7872">
              <w:rPr>
                <w:i/>
                <w:iCs/>
              </w:rPr>
              <w:t>Viso</w:t>
            </w:r>
          </w:p>
        </w:tc>
      </w:tr>
      <w:tr w:rsidR="008E05AA" w:rsidRPr="005D7872" w:rsidTr="004F7425">
        <w:tc>
          <w:tcPr>
            <w:tcW w:w="1548" w:type="dxa"/>
          </w:tcPr>
          <w:p w:rsidR="008E05AA" w:rsidRPr="005D7872" w:rsidRDefault="008E05AA" w:rsidP="004F7425">
            <w:pPr>
              <w:jc w:val="both"/>
            </w:pPr>
            <w:r w:rsidRPr="005D7872">
              <w:t>2006</w:t>
            </w:r>
          </w:p>
        </w:tc>
        <w:tc>
          <w:tcPr>
            <w:tcW w:w="2880" w:type="dxa"/>
          </w:tcPr>
          <w:p w:rsidR="008E05AA" w:rsidRPr="005D7872" w:rsidRDefault="008E05AA" w:rsidP="004F7425">
            <w:pPr>
              <w:jc w:val="both"/>
            </w:pPr>
            <w:r w:rsidRPr="005D7872">
              <w:t>241</w:t>
            </w:r>
          </w:p>
        </w:tc>
        <w:tc>
          <w:tcPr>
            <w:tcW w:w="2700" w:type="dxa"/>
          </w:tcPr>
          <w:p w:rsidR="008E05AA" w:rsidRPr="005D7872" w:rsidRDefault="008E05AA" w:rsidP="004F7425">
            <w:pPr>
              <w:jc w:val="both"/>
            </w:pPr>
            <w:r w:rsidRPr="005D7872">
              <w:t>3922</w:t>
            </w:r>
          </w:p>
        </w:tc>
        <w:tc>
          <w:tcPr>
            <w:tcW w:w="1394" w:type="dxa"/>
          </w:tcPr>
          <w:p w:rsidR="008E05AA" w:rsidRPr="005D7872" w:rsidRDefault="008E05AA" w:rsidP="004F7425">
            <w:pPr>
              <w:jc w:val="both"/>
            </w:pPr>
            <w:r w:rsidRPr="005D7872">
              <w:t>4163</w:t>
            </w:r>
          </w:p>
        </w:tc>
      </w:tr>
      <w:tr w:rsidR="008E05AA" w:rsidRPr="005D7872" w:rsidTr="004F7425">
        <w:tc>
          <w:tcPr>
            <w:tcW w:w="1548" w:type="dxa"/>
          </w:tcPr>
          <w:p w:rsidR="008E05AA" w:rsidRPr="005D7872" w:rsidRDefault="008E05AA" w:rsidP="004F7425">
            <w:pPr>
              <w:jc w:val="both"/>
            </w:pPr>
            <w:r w:rsidRPr="005D7872">
              <w:t>2007</w:t>
            </w:r>
          </w:p>
        </w:tc>
        <w:tc>
          <w:tcPr>
            <w:tcW w:w="2880" w:type="dxa"/>
          </w:tcPr>
          <w:p w:rsidR="008E05AA" w:rsidRPr="005D7872" w:rsidRDefault="008E05AA" w:rsidP="004F7425">
            <w:pPr>
              <w:jc w:val="both"/>
            </w:pPr>
            <w:r w:rsidRPr="005D7872">
              <w:t>191</w:t>
            </w:r>
          </w:p>
        </w:tc>
        <w:tc>
          <w:tcPr>
            <w:tcW w:w="2700" w:type="dxa"/>
          </w:tcPr>
          <w:p w:rsidR="008E05AA" w:rsidRPr="005D7872" w:rsidRDefault="008E05AA" w:rsidP="004F7425">
            <w:pPr>
              <w:jc w:val="both"/>
            </w:pPr>
            <w:r w:rsidRPr="005D7872">
              <w:t>3861</w:t>
            </w:r>
          </w:p>
        </w:tc>
        <w:tc>
          <w:tcPr>
            <w:tcW w:w="1394" w:type="dxa"/>
          </w:tcPr>
          <w:p w:rsidR="008E05AA" w:rsidRPr="005D7872" w:rsidRDefault="008E05AA" w:rsidP="004F7425">
            <w:pPr>
              <w:jc w:val="both"/>
            </w:pPr>
            <w:r w:rsidRPr="005D7872">
              <w:t>4052</w:t>
            </w:r>
          </w:p>
        </w:tc>
      </w:tr>
    </w:tbl>
    <w:p w:rsidR="008E05AA" w:rsidRPr="005D7872" w:rsidRDefault="008E05AA" w:rsidP="008E05AA">
      <w:pPr>
        <w:jc w:val="both"/>
        <w:rPr>
          <w:i/>
          <w:iCs/>
        </w:rPr>
      </w:pPr>
    </w:p>
    <w:p w:rsidR="008E05AA" w:rsidRPr="005D7872" w:rsidRDefault="008E05AA" w:rsidP="008E05AA">
      <w:pPr>
        <w:jc w:val="both"/>
        <w:rPr>
          <w:i/>
          <w:iCs/>
        </w:rPr>
      </w:pPr>
    </w:p>
    <w:p w:rsidR="008E05AA" w:rsidRPr="005D7872" w:rsidRDefault="008E05AA" w:rsidP="008E05AA">
      <w:pPr>
        <w:jc w:val="both"/>
        <w:rPr>
          <w:i/>
          <w:iCs/>
        </w:rPr>
      </w:pPr>
      <w:r w:rsidRPr="005D7872">
        <w:rPr>
          <w:i/>
          <w:iCs/>
        </w:rPr>
        <w:t xml:space="preserve"> </w:t>
      </w:r>
    </w:p>
    <w:p w:rsidR="008E05AA" w:rsidRPr="005D7872" w:rsidRDefault="008E05AA" w:rsidP="008E05AA">
      <w:pPr>
        <w:jc w:val="both"/>
      </w:pPr>
    </w:p>
    <w:p w:rsidR="008E05AA" w:rsidRPr="005D7872" w:rsidRDefault="008E05AA" w:rsidP="008E05AA">
      <w:pPr>
        <w:jc w:val="both"/>
      </w:pPr>
      <w:r w:rsidRPr="005D7872">
        <w:tab/>
        <w:t xml:space="preserve">Analizuojant šių apsinuodijimų grupę buvo nustatyta, kad dauguma apsinuodijimų yra susiję su etanolio (T51.0) ir nepatikslinto alkoholio (T51.9) vartojimu. </w:t>
      </w:r>
    </w:p>
    <w:p w:rsidR="008E05AA" w:rsidRPr="005D7872" w:rsidRDefault="008E05AA" w:rsidP="008E05AA">
      <w:pPr>
        <w:jc w:val="both"/>
      </w:pPr>
      <w:r w:rsidRPr="005D7872">
        <w:rPr>
          <w:i/>
          <w:iCs/>
        </w:rPr>
        <w:t>Apsinuodijimai alkoholiu ir jo surogatais pagal konkrečią medžiagą 2007 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600"/>
        <w:gridCol w:w="1080"/>
        <w:gridCol w:w="1080"/>
        <w:gridCol w:w="900"/>
        <w:gridCol w:w="1034"/>
      </w:tblGrid>
      <w:tr w:rsidR="008E05AA" w:rsidRPr="005D7872" w:rsidTr="004F7425">
        <w:trPr>
          <w:cantSplit/>
        </w:trPr>
        <w:tc>
          <w:tcPr>
            <w:tcW w:w="828" w:type="dxa"/>
            <w:vMerge w:val="restart"/>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3600" w:type="dxa"/>
            <w:vMerge w:val="restart"/>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p>
        </w:tc>
        <w:tc>
          <w:tcPr>
            <w:tcW w:w="2160" w:type="dxa"/>
            <w:gridSpan w:val="2"/>
            <w:tcBorders>
              <w:top w:val="single" w:sz="12" w:space="0" w:color="auto"/>
              <w:left w:val="single" w:sz="12" w:space="0" w:color="auto"/>
              <w:bottom w:val="single" w:sz="6" w:space="0" w:color="auto"/>
              <w:right w:val="single" w:sz="12" w:space="0" w:color="auto"/>
            </w:tcBorders>
          </w:tcPr>
          <w:p w:rsidR="008E05AA" w:rsidRPr="005D7872" w:rsidRDefault="008E05AA" w:rsidP="004F7425">
            <w:pPr>
              <w:jc w:val="both"/>
            </w:pPr>
            <w:r w:rsidRPr="005D7872">
              <w:t>AMBUL.PASL.</w:t>
            </w:r>
          </w:p>
        </w:tc>
        <w:tc>
          <w:tcPr>
            <w:tcW w:w="1934" w:type="dxa"/>
            <w:gridSpan w:val="2"/>
            <w:tcBorders>
              <w:top w:val="single" w:sz="12" w:space="0" w:color="auto"/>
              <w:left w:val="single" w:sz="12" w:space="0" w:color="auto"/>
              <w:bottom w:val="single" w:sz="6" w:space="0" w:color="auto"/>
              <w:right w:val="single" w:sz="12" w:space="0" w:color="auto"/>
            </w:tcBorders>
          </w:tcPr>
          <w:p w:rsidR="008E05AA" w:rsidRPr="005D7872" w:rsidRDefault="008E05AA" w:rsidP="004F7425">
            <w:pPr>
              <w:jc w:val="both"/>
            </w:pPr>
            <w:r w:rsidRPr="005D7872">
              <w:t>STAC.PASL.</w:t>
            </w:r>
          </w:p>
        </w:tc>
      </w:tr>
      <w:tr w:rsidR="008E05AA" w:rsidRPr="005D7872" w:rsidTr="004F7425">
        <w:trPr>
          <w:cantSplit/>
        </w:trPr>
        <w:tc>
          <w:tcPr>
            <w:tcW w:w="828" w:type="dxa"/>
            <w:vMerge/>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p>
        </w:tc>
        <w:tc>
          <w:tcPr>
            <w:tcW w:w="3600" w:type="dxa"/>
            <w:vMerge/>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p>
        </w:tc>
        <w:tc>
          <w:tcPr>
            <w:tcW w:w="1080"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2006</w:t>
            </w:r>
          </w:p>
        </w:tc>
        <w:tc>
          <w:tcPr>
            <w:tcW w:w="1080"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2007</w:t>
            </w:r>
          </w:p>
        </w:tc>
        <w:tc>
          <w:tcPr>
            <w:tcW w:w="900" w:type="dxa"/>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2006</w:t>
            </w:r>
          </w:p>
        </w:tc>
        <w:tc>
          <w:tcPr>
            <w:tcW w:w="1034"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2007</w:t>
            </w:r>
          </w:p>
        </w:tc>
      </w:tr>
      <w:tr w:rsidR="008E05AA" w:rsidRPr="005D7872" w:rsidTr="004F7425">
        <w:trPr>
          <w:cantSplit/>
        </w:trPr>
        <w:tc>
          <w:tcPr>
            <w:tcW w:w="828" w:type="dxa"/>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T51</w:t>
            </w:r>
          </w:p>
        </w:tc>
        <w:tc>
          <w:tcPr>
            <w:tcW w:w="3600"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Alkoholio toksinis poveikis</w:t>
            </w:r>
          </w:p>
        </w:tc>
        <w:tc>
          <w:tcPr>
            <w:tcW w:w="1080" w:type="dxa"/>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114</w:t>
            </w:r>
          </w:p>
        </w:tc>
        <w:tc>
          <w:tcPr>
            <w:tcW w:w="1080"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95</w:t>
            </w:r>
          </w:p>
        </w:tc>
        <w:tc>
          <w:tcPr>
            <w:tcW w:w="900" w:type="dxa"/>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502</w:t>
            </w:r>
          </w:p>
        </w:tc>
        <w:tc>
          <w:tcPr>
            <w:tcW w:w="1034"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460</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lastRenderedPageBreak/>
              <w:t>T51.0</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Etanolis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43</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27</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1052</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1032</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T51.1</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Metanolis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6</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8</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27</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30</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T51.2</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 Propanolis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0</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3</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3</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T51.3</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Aukštesnieji alkoholiai</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3</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5</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T51.8</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Kiti alkoholiai</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13</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7</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79</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49</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T51.9</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pStyle w:val="Antrat2"/>
              <w:rPr>
                <w:b w:val="0"/>
                <w:bCs w:val="0"/>
                <w:szCs w:val="24"/>
              </w:rPr>
            </w:pPr>
            <w:r w:rsidRPr="005D7872">
              <w:rPr>
                <w:b w:val="0"/>
                <w:bCs w:val="0"/>
                <w:szCs w:val="24"/>
              </w:rPr>
              <w:t>Alkoholis, nepatikslintas</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61</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51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2232</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2254</w:t>
            </w:r>
          </w:p>
        </w:tc>
      </w:tr>
      <w:tr w:rsidR="008E05AA" w:rsidRPr="005D7872" w:rsidTr="004F7425">
        <w:trPr>
          <w:cantSplit/>
        </w:trPr>
        <w:tc>
          <w:tcPr>
            <w:tcW w:w="828"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T52.3</w:t>
            </w:r>
          </w:p>
        </w:tc>
        <w:tc>
          <w:tcPr>
            <w:tcW w:w="360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Glikoliai</w:t>
            </w:r>
          </w:p>
        </w:tc>
        <w:tc>
          <w:tcPr>
            <w:tcW w:w="108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w:t>
            </w:r>
          </w:p>
        </w:tc>
        <w:tc>
          <w:tcPr>
            <w:tcW w:w="108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1</w:t>
            </w:r>
          </w:p>
        </w:tc>
        <w:tc>
          <w:tcPr>
            <w:tcW w:w="900" w:type="dxa"/>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24</w:t>
            </w:r>
          </w:p>
        </w:tc>
        <w:tc>
          <w:tcPr>
            <w:tcW w:w="1034"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28</w:t>
            </w:r>
          </w:p>
        </w:tc>
      </w:tr>
      <w:tr w:rsidR="008E05AA" w:rsidRPr="005D7872" w:rsidTr="004F7425">
        <w:trPr>
          <w:cantSplit/>
        </w:trPr>
        <w:tc>
          <w:tcPr>
            <w:tcW w:w="4428" w:type="dxa"/>
            <w:gridSpan w:val="2"/>
            <w:tcBorders>
              <w:top w:val="single" w:sz="12" w:space="0" w:color="auto"/>
              <w:left w:val="single" w:sz="12" w:space="0" w:color="auto"/>
              <w:bottom w:val="single" w:sz="12" w:space="0" w:color="auto"/>
              <w:right w:val="single" w:sz="12" w:space="0" w:color="auto"/>
            </w:tcBorders>
          </w:tcPr>
          <w:p w:rsidR="008E05AA" w:rsidRPr="005D7872" w:rsidRDefault="008E05AA" w:rsidP="004F7425">
            <w:pPr>
              <w:jc w:val="both"/>
            </w:pPr>
          </w:p>
        </w:tc>
        <w:tc>
          <w:tcPr>
            <w:tcW w:w="1080"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241</w:t>
            </w:r>
          </w:p>
        </w:tc>
        <w:tc>
          <w:tcPr>
            <w:tcW w:w="1080"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191</w:t>
            </w:r>
          </w:p>
        </w:tc>
        <w:tc>
          <w:tcPr>
            <w:tcW w:w="900"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3922</w:t>
            </w:r>
          </w:p>
        </w:tc>
        <w:tc>
          <w:tcPr>
            <w:tcW w:w="1034"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3861</w:t>
            </w:r>
          </w:p>
        </w:tc>
      </w:tr>
    </w:tbl>
    <w:p w:rsidR="008E05AA" w:rsidRPr="005D7872" w:rsidRDefault="008E05AA" w:rsidP="008E05AA">
      <w:pPr>
        <w:jc w:val="both"/>
        <w:rPr>
          <w:i/>
          <w:iCs/>
        </w:rPr>
      </w:pPr>
      <w:r w:rsidRPr="005D7872">
        <w:rPr>
          <w:i/>
          <w:iCs/>
        </w:rPr>
        <w:t xml:space="preserve"> </w:t>
      </w:r>
    </w:p>
    <w:p w:rsidR="008E05AA" w:rsidRPr="005D7872" w:rsidRDefault="008E05AA" w:rsidP="008E05AA">
      <w:pPr>
        <w:jc w:val="both"/>
      </w:pPr>
      <w:r w:rsidRPr="005D7872">
        <w:tab/>
        <w:t xml:space="preserve">Analizuojant konkrečias alkoholių grupės medžiagas, kuriomis buvo apsinuodyta tiriamuoju laikotarpiu, stebimos panašios tendencijos: atvejai kai buvo identifikuotas apsinuodijimą sukėlęs nuodingas alkoholis (alkoholio surogatas) sudaro nežymią dalį (apie 3 proc.) visų apsinuodijimų 2006-2007 m. </w:t>
      </w:r>
    </w:p>
    <w:p w:rsidR="008E05AA" w:rsidRPr="005D7872" w:rsidRDefault="008E05AA" w:rsidP="008E05AA">
      <w:pPr>
        <w:jc w:val="both"/>
      </w:pPr>
      <w:r w:rsidRPr="005D7872">
        <w:tab/>
        <w:t>Siekiant identifikuoti apsinuodijimų alkoholiu ir jo surogatais rizikos grupę (-es) pateikiama detali 2007 m. alkoholiu ir jo surogatais apsinuodijusiųjų analizė.</w:t>
      </w:r>
    </w:p>
    <w:p w:rsidR="008E05AA" w:rsidRPr="005D7872" w:rsidRDefault="008E05AA" w:rsidP="008E05AA">
      <w:pPr>
        <w:jc w:val="both"/>
      </w:pPr>
    </w:p>
    <w:p w:rsidR="008E05AA" w:rsidRPr="005D7872" w:rsidRDefault="008E05AA" w:rsidP="008E05AA">
      <w:pPr>
        <w:jc w:val="both"/>
      </w:pPr>
      <w:r w:rsidRPr="005D7872">
        <w:tab/>
        <w:t xml:space="preserve">2007 m. stacionarinėse ASPĮ  gydyti apsinuodijimai alkoholiu ir jo surogatais </w:t>
      </w:r>
    </w:p>
    <w:p w:rsidR="008E05AA" w:rsidRPr="005D7872" w:rsidRDefault="008E05AA" w:rsidP="008E05AA">
      <w:pPr>
        <w:jc w:val="both"/>
      </w:pPr>
    </w:p>
    <w:p w:rsidR="008E05AA" w:rsidRPr="005D7872" w:rsidRDefault="008E05AA" w:rsidP="008E05AA">
      <w:pPr>
        <w:jc w:val="both"/>
      </w:pPr>
      <w:r w:rsidRPr="005D7872">
        <w:tab/>
        <w:t xml:space="preserve">Kaip ir daugelio apsinuodijimų atveju, apsinuodijimai alkoholiu ir jo surogatais yra beveik keturis kartus dažnesni vyrų tarpe. </w:t>
      </w:r>
    </w:p>
    <w:p w:rsidR="008E05AA" w:rsidRPr="005D7872" w:rsidRDefault="008E05AA" w:rsidP="008E05AA">
      <w:pPr>
        <w:jc w:val="both"/>
      </w:pPr>
      <w:r w:rsidRPr="005D7872">
        <w:rPr>
          <w:i/>
          <w:iCs/>
        </w:rPr>
        <w:t>Apsinuodijimai alkoholiu ir jo surogatais pagal lytį:</w:t>
      </w:r>
    </w:p>
    <w:p w:rsidR="008E05AA" w:rsidRPr="005D7872" w:rsidRDefault="008E05AA" w:rsidP="008E05AA">
      <w:pPr>
        <w:jc w:val="both"/>
        <w:rPr>
          <w:i/>
          <w:iCs/>
        </w:rPr>
      </w:pPr>
      <w:r w:rsidRPr="005D7872">
        <w:rPr>
          <w:noProof/>
          <w:lang w:eastAsia="lt-LT"/>
        </w:rPr>
        <w:drawing>
          <wp:inline distT="0" distB="0" distL="0" distR="0" wp14:anchorId="3C610743" wp14:editId="71606A15">
            <wp:extent cx="4600575" cy="2447925"/>
            <wp:effectExtent l="0" t="0" r="0" b="0"/>
            <wp:docPr id="51" name="Diagrama 5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E05AA" w:rsidRPr="005D7872" w:rsidRDefault="008E05AA" w:rsidP="008E05AA">
      <w:pPr>
        <w:jc w:val="both"/>
      </w:pPr>
    </w:p>
    <w:p w:rsidR="008E05AA" w:rsidRPr="005D7872" w:rsidRDefault="008E05AA" w:rsidP="008E05AA">
      <w:pPr>
        <w:jc w:val="both"/>
      </w:pPr>
      <w:r w:rsidRPr="005D7872">
        <w:tab/>
        <w:t xml:space="preserve">Analizuojant šiuos apsinuodijimus pagal pasiskirstymą amžiaus grupėse tokio </w:t>
      </w:r>
    </w:p>
    <w:p w:rsidR="008E05AA" w:rsidRPr="005D7872" w:rsidRDefault="008E05AA" w:rsidP="008E05AA">
      <w:pPr>
        <w:jc w:val="both"/>
      </w:pPr>
      <w:r w:rsidRPr="005D7872">
        <w:t>reikšmingo skirtumo nenustatyta: apsinuodijimai alkoholiu buvo užregistruoti visose amžiaus grupėse.</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i/>
          <w:iCs/>
        </w:rPr>
        <w:t>Apsinuodijimų alkoholiu ir jos surogatais pasiskirstymas amžiaus grupėse:</w:t>
      </w:r>
    </w:p>
    <w:p w:rsidR="008E05AA" w:rsidRPr="005D7872" w:rsidRDefault="008E05AA" w:rsidP="008E05AA">
      <w:pPr>
        <w:jc w:val="both"/>
        <w:rPr>
          <w:i/>
          <w:iCs/>
        </w:rPr>
      </w:pPr>
      <w:r w:rsidRPr="005D7872">
        <w:rPr>
          <w:noProof/>
          <w:lang w:eastAsia="lt-LT"/>
        </w:rPr>
        <w:lastRenderedPageBreak/>
        <w:drawing>
          <wp:inline distT="0" distB="0" distL="0" distR="0" wp14:anchorId="1AD2922E" wp14:editId="1B3EAD6E">
            <wp:extent cx="5000625" cy="2676525"/>
            <wp:effectExtent l="0" t="0" r="0" b="0"/>
            <wp:docPr id="52" name="Diagrama 5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8E05AA" w:rsidRPr="005D7872" w:rsidRDefault="008E05AA" w:rsidP="008E05AA">
      <w:pPr>
        <w:jc w:val="both"/>
      </w:pPr>
    </w:p>
    <w:p w:rsidR="008E05AA" w:rsidRPr="005D7872" w:rsidRDefault="008E05AA" w:rsidP="008E05AA">
      <w:pPr>
        <w:jc w:val="both"/>
      </w:pPr>
      <w:r w:rsidRPr="005D7872">
        <w:tab/>
        <w:t>Kaip ir ankstesniais metais, taip ir 2007 m. nustatyti reikšmingi skirtumai tarp apsinuodijimų etanoliu ir apsinuodijimų alkoholio surogatais. Alkoholio surogatais yra vadinamos medžiagos savo sudėtyje turinčios įvairių alkoholių. Daugumą apsinuodijimų šios grupės medžiagomis sudaro apsinuodijimai ne nuodingais alkoholiais, bet etanoliu.</w:t>
      </w:r>
    </w:p>
    <w:p w:rsidR="008E05AA" w:rsidRPr="005D7872" w:rsidRDefault="008E05AA" w:rsidP="008E05AA">
      <w:pPr>
        <w:ind w:firstLine="720"/>
        <w:jc w:val="both"/>
      </w:pPr>
      <w:r w:rsidRPr="005D7872">
        <w:rPr>
          <w:i/>
          <w:iCs/>
        </w:rPr>
        <w:t>Apsinuodijimai alkoholiais pagal medžiagas: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3780"/>
        <w:gridCol w:w="1440"/>
        <w:gridCol w:w="1260"/>
        <w:gridCol w:w="1214"/>
      </w:tblGrid>
      <w:tr w:rsidR="008E05AA" w:rsidRPr="005D7872" w:rsidTr="004F7425">
        <w:trPr>
          <w:cantSplit/>
        </w:trPr>
        <w:tc>
          <w:tcPr>
            <w:tcW w:w="828" w:type="dxa"/>
            <w:vMerge w:val="restart"/>
          </w:tcPr>
          <w:p w:rsidR="008E05AA" w:rsidRPr="005D7872" w:rsidRDefault="008E05AA" w:rsidP="004F7425">
            <w:pPr>
              <w:jc w:val="both"/>
            </w:pPr>
          </w:p>
        </w:tc>
        <w:tc>
          <w:tcPr>
            <w:tcW w:w="3780" w:type="dxa"/>
            <w:vMerge w:val="restart"/>
          </w:tcPr>
          <w:p w:rsidR="008E05AA" w:rsidRPr="005D7872" w:rsidRDefault="008E05AA" w:rsidP="004F7425">
            <w:pPr>
              <w:jc w:val="both"/>
            </w:pPr>
          </w:p>
        </w:tc>
        <w:tc>
          <w:tcPr>
            <w:tcW w:w="1440" w:type="dxa"/>
            <w:vMerge w:val="restart"/>
          </w:tcPr>
          <w:p w:rsidR="008E05AA" w:rsidRPr="005D7872" w:rsidRDefault="008E05AA" w:rsidP="004F7425">
            <w:pPr>
              <w:jc w:val="both"/>
            </w:pPr>
            <w:r w:rsidRPr="005D7872">
              <w:t>Viso</w:t>
            </w:r>
          </w:p>
          <w:p w:rsidR="008E05AA" w:rsidRPr="005D7872" w:rsidRDefault="008E05AA" w:rsidP="004F7425">
            <w:pPr>
              <w:jc w:val="both"/>
            </w:pPr>
            <w:r w:rsidRPr="005D7872">
              <w:t>per metus</w:t>
            </w:r>
          </w:p>
        </w:tc>
        <w:tc>
          <w:tcPr>
            <w:tcW w:w="2474" w:type="dxa"/>
            <w:gridSpan w:val="2"/>
          </w:tcPr>
          <w:p w:rsidR="008E05AA" w:rsidRPr="005D7872" w:rsidRDefault="008E05AA" w:rsidP="004F7425">
            <w:pPr>
              <w:jc w:val="both"/>
            </w:pPr>
            <w:r w:rsidRPr="005D7872">
              <w:t>Lytis</w:t>
            </w:r>
          </w:p>
        </w:tc>
      </w:tr>
      <w:tr w:rsidR="008E05AA" w:rsidRPr="005D7872" w:rsidTr="004F7425">
        <w:trPr>
          <w:cantSplit/>
        </w:trPr>
        <w:tc>
          <w:tcPr>
            <w:tcW w:w="828" w:type="dxa"/>
            <w:vMerge/>
          </w:tcPr>
          <w:p w:rsidR="008E05AA" w:rsidRPr="005D7872" w:rsidRDefault="008E05AA" w:rsidP="004F7425">
            <w:pPr>
              <w:jc w:val="both"/>
            </w:pPr>
          </w:p>
        </w:tc>
        <w:tc>
          <w:tcPr>
            <w:tcW w:w="3780" w:type="dxa"/>
            <w:vMerge/>
          </w:tcPr>
          <w:p w:rsidR="008E05AA" w:rsidRPr="005D7872" w:rsidRDefault="008E05AA" w:rsidP="004F7425">
            <w:pPr>
              <w:jc w:val="both"/>
            </w:pPr>
          </w:p>
        </w:tc>
        <w:tc>
          <w:tcPr>
            <w:tcW w:w="1440" w:type="dxa"/>
            <w:vMerge/>
          </w:tcPr>
          <w:p w:rsidR="008E05AA" w:rsidRPr="005D7872" w:rsidRDefault="008E05AA" w:rsidP="004F7425">
            <w:pPr>
              <w:jc w:val="both"/>
            </w:pPr>
          </w:p>
        </w:tc>
        <w:tc>
          <w:tcPr>
            <w:tcW w:w="1260" w:type="dxa"/>
          </w:tcPr>
          <w:p w:rsidR="008E05AA" w:rsidRPr="005D7872" w:rsidRDefault="008E05AA" w:rsidP="004F7425">
            <w:pPr>
              <w:jc w:val="both"/>
            </w:pPr>
            <w:r w:rsidRPr="005D7872">
              <w:t>iš jų Vyr.</w:t>
            </w:r>
          </w:p>
        </w:tc>
        <w:tc>
          <w:tcPr>
            <w:tcW w:w="1214" w:type="dxa"/>
          </w:tcPr>
          <w:p w:rsidR="008E05AA" w:rsidRPr="005D7872" w:rsidRDefault="008E05AA" w:rsidP="004F7425">
            <w:pPr>
              <w:jc w:val="both"/>
            </w:pPr>
            <w:r w:rsidRPr="005D7872">
              <w:t>iš jų Mot.</w:t>
            </w:r>
          </w:p>
        </w:tc>
      </w:tr>
      <w:tr w:rsidR="008E05AA" w:rsidRPr="005D7872" w:rsidTr="004F7425">
        <w:tc>
          <w:tcPr>
            <w:tcW w:w="828" w:type="dxa"/>
          </w:tcPr>
          <w:p w:rsidR="008E05AA" w:rsidRPr="005D7872" w:rsidRDefault="008E05AA" w:rsidP="004F7425">
            <w:pPr>
              <w:jc w:val="both"/>
            </w:pPr>
            <w:r w:rsidRPr="005D7872">
              <w:t>T51</w:t>
            </w:r>
          </w:p>
        </w:tc>
        <w:tc>
          <w:tcPr>
            <w:tcW w:w="3780" w:type="dxa"/>
          </w:tcPr>
          <w:p w:rsidR="008E05AA" w:rsidRPr="005D7872" w:rsidRDefault="008E05AA" w:rsidP="004F7425">
            <w:pPr>
              <w:jc w:val="both"/>
            </w:pPr>
            <w:r w:rsidRPr="005D7872">
              <w:t>Alkohlolio toksinis poveikis</w:t>
            </w:r>
          </w:p>
        </w:tc>
        <w:tc>
          <w:tcPr>
            <w:tcW w:w="1440" w:type="dxa"/>
          </w:tcPr>
          <w:p w:rsidR="008E05AA" w:rsidRPr="005D7872" w:rsidRDefault="008E05AA" w:rsidP="004F7425">
            <w:pPr>
              <w:jc w:val="both"/>
            </w:pPr>
            <w:r w:rsidRPr="005D7872">
              <w:t>460</w:t>
            </w:r>
          </w:p>
        </w:tc>
        <w:tc>
          <w:tcPr>
            <w:tcW w:w="1260" w:type="dxa"/>
          </w:tcPr>
          <w:p w:rsidR="008E05AA" w:rsidRPr="005D7872" w:rsidRDefault="008E05AA" w:rsidP="004F7425">
            <w:pPr>
              <w:jc w:val="both"/>
            </w:pPr>
            <w:r w:rsidRPr="005D7872">
              <w:t>345</w:t>
            </w:r>
          </w:p>
        </w:tc>
        <w:tc>
          <w:tcPr>
            <w:tcW w:w="1214" w:type="dxa"/>
          </w:tcPr>
          <w:p w:rsidR="008E05AA" w:rsidRPr="005D7872" w:rsidRDefault="008E05AA" w:rsidP="004F7425">
            <w:pPr>
              <w:jc w:val="both"/>
            </w:pPr>
            <w:r w:rsidRPr="005D7872">
              <w:t>115</w:t>
            </w:r>
          </w:p>
        </w:tc>
      </w:tr>
      <w:tr w:rsidR="008E05AA" w:rsidRPr="005D7872" w:rsidTr="004F7425">
        <w:tc>
          <w:tcPr>
            <w:tcW w:w="828" w:type="dxa"/>
          </w:tcPr>
          <w:p w:rsidR="008E05AA" w:rsidRPr="005D7872" w:rsidRDefault="008E05AA" w:rsidP="004F7425">
            <w:pPr>
              <w:jc w:val="both"/>
            </w:pPr>
            <w:r w:rsidRPr="005D7872">
              <w:t>T51.0</w:t>
            </w:r>
          </w:p>
        </w:tc>
        <w:tc>
          <w:tcPr>
            <w:tcW w:w="3780" w:type="dxa"/>
          </w:tcPr>
          <w:p w:rsidR="008E05AA" w:rsidRPr="005D7872" w:rsidRDefault="008E05AA" w:rsidP="004F7425">
            <w:pPr>
              <w:jc w:val="both"/>
            </w:pPr>
            <w:r w:rsidRPr="005D7872">
              <w:t>Etanolis</w:t>
            </w:r>
          </w:p>
        </w:tc>
        <w:tc>
          <w:tcPr>
            <w:tcW w:w="1440" w:type="dxa"/>
          </w:tcPr>
          <w:p w:rsidR="008E05AA" w:rsidRPr="005D7872" w:rsidRDefault="008E05AA" w:rsidP="004F7425">
            <w:pPr>
              <w:jc w:val="both"/>
            </w:pPr>
            <w:r w:rsidRPr="005D7872">
              <w:t>1032</w:t>
            </w:r>
          </w:p>
        </w:tc>
        <w:tc>
          <w:tcPr>
            <w:tcW w:w="1260" w:type="dxa"/>
          </w:tcPr>
          <w:p w:rsidR="008E05AA" w:rsidRPr="005D7872" w:rsidRDefault="008E05AA" w:rsidP="004F7425">
            <w:pPr>
              <w:jc w:val="both"/>
            </w:pPr>
            <w:r w:rsidRPr="005D7872">
              <w:t>770</w:t>
            </w:r>
          </w:p>
        </w:tc>
        <w:tc>
          <w:tcPr>
            <w:tcW w:w="1214" w:type="dxa"/>
          </w:tcPr>
          <w:p w:rsidR="008E05AA" w:rsidRPr="005D7872" w:rsidRDefault="008E05AA" w:rsidP="004F7425">
            <w:pPr>
              <w:jc w:val="both"/>
            </w:pPr>
            <w:r w:rsidRPr="005D7872">
              <w:t>262</w:t>
            </w:r>
          </w:p>
        </w:tc>
      </w:tr>
      <w:tr w:rsidR="008E05AA" w:rsidRPr="005D7872" w:rsidTr="004F7425">
        <w:tc>
          <w:tcPr>
            <w:tcW w:w="828" w:type="dxa"/>
          </w:tcPr>
          <w:p w:rsidR="008E05AA" w:rsidRPr="005D7872" w:rsidRDefault="008E05AA" w:rsidP="004F7425">
            <w:pPr>
              <w:jc w:val="both"/>
            </w:pPr>
            <w:r w:rsidRPr="005D7872">
              <w:t>T51.1</w:t>
            </w:r>
          </w:p>
        </w:tc>
        <w:tc>
          <w:tcPr>
            <w:tcW w:w="3780" w:type="dxa"/>
          </w:tcPr>
          <w:p w:rsidR="008E05AA" w:rsidRPr="005D7872" w:rsidRDefault="008E05AA" w:rsidP="004F7425">
            <w:pPr>
              <w:jc w:val="both"/>
            </w:pPr>
            <w:r w:rsidRPr="005D7872">
              <w:t>Metanolis</w:t>
            </w:r>
          </w:p>
        </w:tc>
        <w:tc>
          <w:tcPr>
            <w:tcW w:w="1440" w:type="dxa"/>
          </w:tcPr>
          <w:p w:rsidR="008E05AA" w:rsidRPr="005D7872" w:rsidRDefault="008E05AA" w:rsidP="004F7425">
            <w:pPr>
              <w:jc w:val="both"/>
            </w:pPr>
            <w:r w:rsidRPr="005D7872">
              <w:t>30</w:t>
            </w:r>
          </w:p>
        </w:tc>
        <w:tc>
          <w:tcPr>
            <w:tcW w:w="1260" w:type="dxa"/>
          </w:tcPr>
          <w:p w:rsidR="008E05AA" w:rsidRPr="005D7872" w:rsidRDefault="008E05AA" w:rsidP="004F7425">
            <w:pPr>
              <w:jc w:val="both"/>
            </w:pPr>
            <w:r w:rsidRPr="005D7872">
              <w:t>25</w:t>
            </w:r>
          </w:p>
        </w:tc>
        <w:tc>
          <w:tcPr>
            <w:tcW w:w="1214" w:type="dxa"/>
          </w:tcPr>
          <w:p w:rsidR="008E05AA" w:rsidRPr="005D7872" w:rsidRDefault="008E05AA" w:rsidP="004F7425">
            <w:pPr>
              <w:jc w:val="both"/>
            </w:pPr>
            <w:r w:rsidRPr="005D7872">
              <w:t>5</w:t>
            </w:r>
          </w:p>
        </w:tc>
      </w:tr>
      <w:tr w:rsidR="008E05AA" w:rsidRPr="005D7872" w:rsidTr="004F7425">
        <w:tc>
          <w:tcPr>
            <w:tcW w:w="828" w:type="dxa"/>
          </w:tcPr>
          <w:p w:rsidR="008E05AA" w:rsidRPr="005D7872" w:rsidRDefault="008E05AA" w:rsidP="004F7425">
            <w:pPr>
              <w:jc w:val="both"/>
            </w:pPr>
            <w:r w:rsidRPr="005D7872">
              <w:t>T51.2</w:t>
            </w:r>
          </w:p>
        </w:tc>
        <w:tc>
          <w:tcPr>
            <w:tcW w:w="3780" w:type="dxa"/>
          </w:tcPr>
          <w:p w:rsidR="008E05AA" w:rsidRPr="005D7872" w:rsidRDefault="008E05AA" w:rsidP="004F7425">
            <w:pPr>
              <w:jc w:val="both"/>
            </w:pPr>
            <w:r w:rsidRPr="005D7872">
              <w:t>2- Propanolis</w:t>
            </w:r>
          </w:p>
        </w:tc>
        <w:tc>
          <w:tcPr>
            <w:tcW w:w="1440" w:type="dxa"/>
          </w:tcPr>
          <w:p w:rsidR="008E05AA" w:rsidRPr="005D7872" w:rsidRDefault="008E05AA" w:rsidP="004F7425">
            <w:pPr>
              <w:jc w:val="both"/>
            </w:pPr>
            <w:r w:rsidRPr="005D7872">
              <w:t>3</w:t>
            </w:r>
          </w:p>
        </w:tc>
        <w:tc>
          <w:tcPr>
            <w:tcW w:w="1260" w:type="dxa"/>
          </w:tcPr>
          <w:p w:rsidR="008E05AA" w:rsidRPr="005D7872" w:rsidRDefault="008E05AA" w:rsidP="004F7425">
            <w:pPr>
              <w:jc w:val="both"/>
            </w:pPr>
            <w:r w:rsidRPr="005D7872">
              <w:t>1</w:t>
            </w:r>
          </w:p>
        </w:tc>
        <w:tc>
          <w:tcPr>
            <w:tcW w:w="1214" w:type="dxa"/>
          </w:tcPr>
          <w:p w:rsidR="008E05AA" w:rsidRPr="005D7872" w:rsidRDefault="008E05AA" w:rsidP="004F7425">
            <w:pPr>
              <w:jc w:val="both"/>
            </w:pPr>
            <w:r w:rsidRPr="005D7872">
              <w:t>2</w:t>
            </w:r>
          </w:p>
        </w:tc>
      </w:tr>
      <w:tr w:rsidR="008E05AA" w:rsidRPr="005D7872" w:rsidTr="004F7425">
        <w:tc>
          <w:tcPr>
            <w:tcW w:w="828" w:type="dxa"/>
          </w:tcPr>
          <w:p w:rsidR="008E05AA" w:rsidRPr="005D7872" w:rsidRDefault="008E05AA" w:rsidP="004F7425">
            <w:pPr>
              <w:jc w:val="both"/>
            </w:pPr>
            <w:r w:rsidRPr="005D7872">
              <w:t>T51.3</w:t>
            </w:r>
          </w:p>
        </w:tc>
        <w:tc>
          <w:tcPr>
            <w:tcW w:w="3780" w:type="dxa"/>
          </w:tcPr>
          <w:p w:rsidR="008E05AA" w:rsidRPr="005D7872" w:rsidRDefault="008E05AA" w:rsidP="004F7425">
            <w:pPr>
              <w:jc w:val="both"/>
            </w:pPr>
            <w:r w:rsidRPr="005D7872">
              <w:t>Aukštesnieji alkoholiai</w:t>
            </w:r>
          </w:p>
        </w:tc>
        <w:tc>
          <w:tcPr>
            <w:tcW w:w="1440" w:type="dxa"/>
          </w:tcPr>
          <w:p w:rsidR="008E05AA" w:rsidRPr="005D7872" w:rsidRDefault="008E05AA" w:rsidP="004F7425">
            <w:pPr>
              <w:jc w:val="both"/>
            </w:pPr>
            <w:r w:rsidRPr="005D7872">
              <w:t>5</w:t>
            </w:r>
          </w:p>
        </w:tc>
        <w:tc>
          <w:tcPr>
            <w:tcW w:w="1260" w:type="dxa"/>
          </w:tcPr>
          <w:p w:rsidR="008E05AA" w:rsidRPr="005D7872" w:rsidRDefault="008E05AA" w:rsidP="004F7425">
            <w:pPr>
              <w:jc w:val="both"/>
            </w:pPr>
            <w:r w:rsidRPr="005D7872">
              <w:t>3</w:t>
            </w:r>
          </w:p>
        </w:tc>
        <w:tc>
          <w:tcPr>
            <w:tcW w:w="1214" w:type="dxa"/>
          </w:tcPr>
          <w:p w:rsidR="008E05AA" w:rsidRPr="005D7872" w:rsidRDefault="008E05AA" w:rsidP="004F7425">
            <w:pPr>
              <w:jc w:val="both"/>
            </w:pPr>
            <w:r w:rsidRPr="005D7872">
              <w:t>2</w:t>
            </w:r>
          </w:p>
        </w:tc>
      </w:tr>
      <w:tr w:rsidR="008E05AA" w:rsidRPr="005D7872" w:rsidTr="004F7425">
        <w:tc>
          <w:tcPr>
            <w:tcW w:w="828" w:type="dxa"/>
          </w:tcPr>
          <w:p w:rsidR="008E05AA" w:rsidRPr="005D7872" w:rsidRDefault="008E05AA" w:rsidP="004F7425">
            <w:pPr>
              <w:jc w:val="both"/>
            </w:pPr>
            <w:r w:rsidRPr="005D7872">
              <w:t>T51.8</w:t>
            </w:r>
          </w:p>
        </w:tc>
        <w:tc>
          <w:tcPr>
            <w:tcW w:w="3780" w:type="dxa"/>
          </w:tcPr>
          <w:p w:rsidR="008E05AA" w:rsidRPr="005D7872" w:rsidRDefault="008E05AA" w:rsidP="004F7425">
            <w:pPr>
              <w:jc w:val="both"/>
            </w:pPr>
            <w:r w:rsidRPr="005D7872">
              <w:t>Kiti alkoholiai</w:t>
            </w:r>
          </w:p>
        </w:tc>
        <w:tc>
          <w:tcPr>
            <w:tcW w:w="1440" w:type="dxa"/>
          </w:tcPr>
          <w:p w:rsidR="008E05AA" w:rsidRPr="005D7872" w:rsidRDefault="008E05AA" w:rsidP="004F7425">
            <w:pPr>
              <w:jc w:val="both"/>
            </w:pPr>
            <w:r w:rsidRPr="005D7872">
              <w:t>49</w:t>
            </w:r>
          </w:p>
        </w:tc>
        <w:tc>
          <w:tcPr>
            <w:tcW w:w="1260" w:type="dxa"/>
          </w:tcPr>
          <w:p w:rsidR="008E05AA" w:rsidRPr="005D7872" w:rsidRDefault="008E05AA" w:rsidP="004F7425">
            <w:pPr>
              <w:jc w:val="both"/>
            </w:pPr>
            <w:r w:rsidRPr="005D7872">
              <w:t>38</w:t>
            </w:r>
          </w:p>
        </w:tc>
        <w:tc>
          <w:tcPr>
            <w:tcW w:w="1214" w:type="dxa"/>
          </w:tcPr>
          <w:p w:rsidR="008E05AA" w:rsidRPr="005D7872" w:rsidRDefault="008E05AA" w:rsidP="004F7425">
            <w:pPr>
              <w:jc w:val="both"/>
            </w:pPr>
            <w:r w:rsidRPr="005D7872">
              <w:t>11</w:t>
            </w:r>
          </w:p>
        </w:tc>
      </w:tr>
      <w:tr w:rsidR="008E05AA" w:rsidRPr="005D7872" w:rsidTr="004F7425">
        <w:tc>
          <w:tcPr>
            <w:tcW w:w="828" w:type="dxa"/>
          </w:tcPr>
          <w:p w:rsidR="008E05AA" w:rsidRPr="005D7872" w:rsidRDefault="008E05AA" w:rsidP="004F7425">
            <w:pPr>
              <w:jc w:val="both"/>
            </w:pPr>
            <w:r w:rsidRPr="005D7872">
              <w:t>T51.9</w:t>
            </w:r>
          </w:p>
        </w:tc>
        <w:tc>
          <w:tcPr>
            <w:tcW w:w="3780" w:type="dxa"/>
          </w:tcPr>
          <w:p w:rsidR="008E05AA" w:rsidRPr="005D7872" w:rsidRDefault="008E05AA" w:rsidP="004F7425">
            <w:pPr>
              <w:pStyle w:val="Antrat2"/>
              <w:rPr>
                <w:b w:val="0"/>
                <w:bCs w:val="0"/>
                <w:szCs w:val="24"/>
              </w:rPr>
            </w:pPr>
            <w:r w:rsidRPr="005D7872">
              <w:rPr>
                <w:b w:val="0"/>
                <w:bCs w:val="0"/>
                <w:szCs w:val="24"/>
              </w:rPr>
              <w:t>Nepatikslintas alkoholis</w:t>
            </w:r>
          </w:p>
        </w:tc>
        <w:tc>
          <w:tcPr>
            <w:tcW w:w="1440" w:type="dxa"/>
          </w:tcPr>
          <w:p w:rsidR="008E05AA" w:rsidRPr="005D7872" w:rsidRDefault="008E05AA" w:rsidP="004F7425">
            <w:pPr>
              <w:jc w:val="both"/>
            </w:pPr>
            <w:r w:rsidRPr="005D7872">
              <w:t>2254</w:t>
            </w:r>
          </w:p>
        </w:tc>
        <w:tc>
          <w:tcPr>
            <w:tcW w:w="1260" w:type="dxa"/>
          </w:tcPr>
          <w:p w:rsidR="008E05AA" w:rsidRPr="005D7872" w:rsidRDefault="008E05AA" w:rsidP="004F7425">
            <w:pPr>
              <w:jc w:val="both"/>
            </w:pPr>
            <w:r w:rsidRPr="005D7872">
              <w:t>1841</w:t>
            </w:r>
          </w:p>
        </w:tc>
        <w:tc>
          <w:tcPr>
            <w:tcW w:w="1214" w:type="dxa"/>
          </w:tcPr>
          <w:p w:rsidR="008E05AA" w:rsidRPr="005D7872" w:rsidRDefault="008E05AA" w:rsidP="004F7425">
            <w:pPr>
              <w:jc w:val="both"/>
            </w:pPr>
            <w:r w:rsidRPr="005D7872">
              <w:t>413</w:t>
            </w:r>
          </w:p>
        </w:tc>
      </w:tr>
      <w:tr w:rsidR="008E05AA" w:rsidRPr="005D7872" w:rsidTr="004F7425">
        <w:tc>
          <w:tcPr>
            <w:tcW w:w="828" w:type="dxa"/>
          </w:tcPr>
          <w:p w:rsidR="008E05AA" w:rsidRPr="005D7872" w:rsidRDefault="008E05AA" w:rsidP="004F7425">
            <w:pPr>
              <w:jc w:val="both"/>
            </w:pPr>
            <w:r w:rsidRPr="005D7872">
              <w:t>T52.3</w:t>
            </w:r>
          </w:p>
        </w:tc>
        <w:tc>
          <w:tcPr>
            <w:tcW w:w="3780" w:type="dxa"/>
          </w:tcPr>
          <w:p w:rsidR="008E05AA" w:rsidRPr="005D7872" w:rsidRDefault="008E05AA" w:rsidP="004F7425">
            <w:pPr>
              <w:jc w:val="both"/>
            </w:pPr>
            <w:r w:rsidRPr="005D7872">
              <w:t>Glikoliai</w:t>
            </w:r>
          </w:p>
        </w:tc>
        <w:tc>
          <w:tcPr>
            <w:tcW w:w="1440" w:type="dxa"/>
          </w:tcPr>
          <w:p w:rsidR="008E05AA" w:rsidRPr="005D7872" w:rsidRDefault="008E05AA" w:rsidP="004F7425">
            <w:pPr>
              <w:jc w:val="both"/>
            </w:pPr>
            <w:r w:rsidRPr="005D7872">
              <w:t>28</w:t>
            </w:r>
          </w:p>
        </w:tc>
        <w:tc>
          <w:tcPr>
            <w:tcW w:w="1260" w:type="dxa"/>
          </w:tcPr>
          <w:p w:rsidR="008E05AA" w:rsidRPr="005D7872" w:rsidRDefault="008E05AA" w:rsidP="004F7425">
            <w:pPr>
              <w:jc w:val="both"/>
            </w:pPr>
            <w:r w:rsidRPr="005D7872">
              <w:t>26</w:t>
            </w:r>
          </w:p>
        </w:tc>
        <w:tc>
          <w:tcPr>
            <w:tcW w:w="1214" w:type="dxa"/>
          </w:tcPr>
          <w:p w:rsidR="008E05AA" w:rsidRPr="005D7872" w:rsidRDefault="008E05AA" w:rsidP="004F7425">
            <w:pPr>
              <w:jc w:val="both"/>
            </w:pPr>
            <w:r w:rsidRPr="005D7872">
              <w:t>2</w:t>
            </w:r>
          </w:p>
        </w:tc>
      </w:tr>
      <w:tr w:rsidR="008E05AA" w:rsidRPr="005D7872" w:rsidTr="004F7425">
        <w:tc>
          <w:tcPr>
            <w:tcW w:w="828" w:type="dxa"/>
          </w:tcPr>
          <w:p w:rsidR="008E05AA" w:rsidRPr="005D7872" w:rsidRDefault="008E05AA" w:rsidP="004F7425">
            <w:pPr>
              <w:jc w:val="both"/>
            </w:pPr>
          </w:p>
        </w:tc>
        <w:tc>
          <w:tcPr>
            <w:tcW w:w="3780" w:type="dxa"/>
          </w:tcPr>
          <w:p w:rsidR="008E05AA" w:rsidRPr="005D7872" w:rsidRDefault="008E05AA" w:rsidP="004F7425">
            <w:pPr>
              <w:jc w:val="both"/>
            </w:pPr>
          </w:p>
        </w:tc>
        <w:tc>
          <w:tcPr>
            <w:tcW w:w="1440" w:type="dxa"/>
          </w:tcPr>
          <w:p w:rsidR="008E05AA" w:rsidRPr="005D7872" w:rsidRDefault="008E05AA" w:rsidP="004F7425">
            <w:pPr>
              <w:jc w:val="both"/>
            </w:pPr>
            <w:r w:rsidRPr="005D7872">
              <w:t>3861</w:t>
            </w:r>
          </w:p>
        </w:tc>
        <w:tc>
          <w:tcPr>
            <w:tcW w:w="1260" w:type="dxa"/>
          </w:tcPr>
          <w:p w:rsidR="008E05AA" w:rsidRPr="005D7872" w:rsidRDefault="008E05AA" w:rsidP="004F7425">
            <w:pPr>
              <w:jc w:val="both"/>
            </w:pPr>
            <w:r w:rsidRPr="005D7872">
              <w:t>3049</w:t>
            </w:r>
          </w:p>
        </w:tc>
        <w:tc>
          <w:tcPr>
            <w:tcW w:w="1214" w:type="dxa"/>
          </w:tcPr>
          <w:p w:rsidR="008E05AA" w:rsidRPr="005D7872" w:rsidRDefault="008E05AA" w:rsidP="004F7425">
            <w:pPr>
              <w:jc w:val="both"/>
            </w:pPr>
            <w:r w:rsidRPr="005D7872">
              <w:t>812</w:t>
            </w:r>
          </w:p>
        </w:tc>
      </w:tr>
    </w:tbl>
    <w:p w:rsidR="008E05AA" w:rsidRPr="005D7872" w:rsidRDefault="008E05AA" w:rsidP="008E05AA">
      <w:pPr>
        <w:jc w:val="both"/>
        <w:rPr>
          <w:i/>
          <w:iCs/>
        </w:rPr>
      </w:pPr>
    </w:p>
    <w:p w:rsidR="008E05AA" w:rsidRPr="005D7872" w:rsidRDefault="008E05AA" w:rsidP="008E05AA">
      <w:pPr>
        <w:jc w:val="both"/>
      </w:pPr>
      <w:r w:rsidRPr="005D7872">
        <w:tab/>
        <w:t xml:space="preserve">2007 m. daugiau nei pusei (58 proc.) dėl apsinuodijimo alkoholiais ligoninėse gydytų pacientams nebuvo identifikuota apsinuodijimą sukėlusi medžiaga (T51.9), t.y. juos gydę asmens sveikatos priežiūros specialistai neturėjo galimybės tiksliai nustatyti sveikatos sutrikimus sukėlusio alkoholio. Tokia situacija sietina su keletu priežasčių: nepakankama informacija iš paciento ar jo artimųjų bei galimybių laboratoriškai identifikuoti alkoholio surogatus paciento kraujyje ar šlapime stoka. </w:t>
      </w:r>
    </w:p>
    <w:p w:rsidR="008E05AA" w:rsidRPr="005D7872" w:rsidRDefault="008E05AA" w:rsidP="008E05AA">
      <w:pPr>
        <w:jc w:val="both"/>
      </w:pPr>
      <w:r w:rsidRPr="005D7872">
        <w:tab/>
        <w:t xml:space="preserve">Kaip ir apsinuodijimų narkotikais, taip ir apsinuodijimų alkoholiais atveju apsinuodijimai šiomis medžiagomis vaikų tarpe yra ganėtinai dažni. </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i/>
          <w:iCs/>
        </w:rPr>
        <w:t>Apsinuodijimų alkoholiais pasiskirstymas tarp vaikų ir suaugusiųjų:</w:t>
      </w:r>
    </w:p>
    <w:p w:rsidR="008E05AA" w:rsidRPr="005D7872" w:rsidRDefault="008E05AA" w:rsidP="008E05AA">
      <w:pPr>
        <w:jc w:val="both"/>
      </w:pPr>
      <w:r w:rsidRPr="005D7872">
        <w:rPr>
          <w:noProof/>
          <w:lang w:eastAsia="lt-LT"/>
        </w:rPr>
        <w:lastRenderedPageBreak/>
        <w:drawing>
          <wp:inline distT="0" distB="0" distL="0" distR="0" wp14:anchorId="4E9009B6" wp14:editId="06D1602A">
            <wp:extent cx="4600575" cy="2447925"/>
            <wp:effectExtent l="0" t="0" r="0" b="0"/>
            <wp:docPr id="53" name="Diagrama 5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8E05AA" w:rsidRPr="005D7872" w:rsidRDefault="008E05AA" w:rsidP="008E05AA">
      <w:pPr>
        <w:jc w:val="both"/>
      </w:pPr>
    </w:p>
    <w:p w:rsidR="008E05AA" w:rsidRPr="005D7872" w:rsidRDefault="008E05AA" w:rsidP="008E05AA">
      <w:pPr>
        <w:jc w:val="both"/>
      </w:pPr>
      <w:r w:rsidRPr="005D7872">
        <w:tab/>
        <w:t>Analizuojant vaikų apsinuodijimus alkoholiais nustatyta, kad dauguma šių atvejų užregistruota vyresnio amžiaus vaikų tarpe, tačiau dėl toksinio alkoholių poveikio ligoninėse buvo gydyti ir maži vaikai.</w:t>
      </w:r>
    </w:p>
    <w:p w:rsidR="008E05AA" w:rsidRPr="005D7872" w:rsidRDefault="008E05AA" w:rsidP="008E05AA">
      <w:pPr>
        <w:ind w:firstLine="720"/>
        <w:jc w:val="both"/>
      </w:pPr>
      <w:r w:rsidRPr="005D7872">
        <w:rPr>
          <w:i/>
          <w:iCs/>
        </w:rPr>
        <w:t>Vaikų apsinuodijimai alkoholiais pagal amžių:</w:t>
      </w:r>
    </w:p>
    <w:p w:rsidR="008E05AA" w:rsidRPr="005D7872" w:rsidRDefault="008E05AA" w:rsidP="008E05AA">
      <w:pPr>
        <w:jc w:val="both"/>
        <w:rPr>
          <w:i/>
          <w:iCs/>
        </w:rPr>
      </w:pPr>
      <w:r w:rsidRPr="005D7872">
        <w:rPr>
          <w:noProof/>
          <w:lang w:eastAsia="lt-LT"/>
        </w:rPr>
        <w:drawing>
          <wp:inline distT="0" distB="0" distL="0" distR="0" wp14:anchorId="2962E4F4" wp14:editId="51F6393C">
            <wp:extent cx="4924425" cy="2447925"/>
            <wp:effectExtent l="0" t="0" r="0" b="0"/>
            <wp:docPr id="54" name="Diagrama 5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5D7872">
        <w:rPr>
          <w:i/>
          <w:iCs/>
        </w:rPr>
        <w:t xml:space="preserve"> </w:t>
      </w:r>
    </w:p>
    <w:p w:rsidR="008E05AA" w:rsidRPr="005D7872" w:rsidRDefault="008E05AA" w:rsidP="008E05AA">
      <w:pPr>
        <w:jc w:val="both"/>
      </w:pPr>
    </w:p>
    <w:p w:rsidR="008E05AA" w:rsidRPr="005D7872" w:rsidRDefault="008E05AA" w:rsidP="008E05AA">
      <w:pPr>
        <w:jc w:val="both"/>
      </w:pPr>
      <w:r w:rsidRPr="005D7872">
        <w:tab/>
        <w:t xml:space="preserve">Apsinuodijimai alkoholiais berniukų tarpe yra du kartus dažnesni nei tarp mergaičių. </w:t>
      </w:r>
    </w:p>
    <w:p w:rsidR="008E05AA" w:rsidRPr="005D7872" w:rsidRDefault="008E05AA" w:rsidP="008E05AA">
      <w:pPr>
        <w:jc w:val="both"/>
      </w:pPr>
      <w:r w:rsidRPr="005D7872">
        <w:tab/>
        <w:t xml:space="preserve">Visi vaikų apsinuodijimai alkoholiais buvo sėkmingai pagydyti, 2007 m. vaikų mirčių dėl apsinuodijimo alkoholiais užregistruota nebuvo. </w:t>
      </w:r>
    </w:p>
    <w:p w:rsidR="008E05AA" w:rsidRPr="005D7872" w:rsidRDefault="008E05AA" w:rsidP="008E05AA">
      <w:pPr>
        <w:jc w:val="both"/>
      </w:pPr>
      <w:r w:rsidRPr="005D7872">
        <w:tab/>
        <w:t xml:space="preserve">Mirštamumas nuo apsinuodijimo alkoholiais 2007 m. buvo 2.7 proc. , t.y. iš 3861 dėl apsinuodijimo alkoholiais hospitalizuoto asmens mirė 108 pacientai. Mirčių dažnis vyrų tarpe yra beveik 4 kartus didesnis nei tarp moterų. </w:t>
      </w:r>
    </w:p>
    <w:p w:rsidR="008E05AA" w:rsidRPr="005D7872" w:rsidRDefault="008E05AA" w:rsidP="008E05AA">
      <w:pPr>
        <w:jc w:val="both"/>
      </w:pPr>
    </w:p>
    <w:p w:rsidR="008E05AA" w:rsidRPr="005D7872" w:rsidRDefault="008E05AA" w:rsidP="008E05AA">
      <w:pPr>
        <w:jc w:val="both"/>
      </w:pPr>
      <w:r w:rsidRPr="005D7872">
        <w:rPr>
          <w:i/>
          <w:iCs/>
        </w:rPr>
        <w:t>Mirusiųjų nuo toksinio alkoholių poveikio pasiskirstymas pagal lytį:</w:t>
      </w:r>
    </w:p>
    <w:p w:rsidR="008E05AA" w:rsidRPr="005D7872" w:rsidRDefault="008E05AA" w:rsidP="008E05AA">
      <w:pPr>
        <w:jc w:val="both"/>
      </w:pPr>
      <w:r w:rsidRPr="005D7872">
        <w:rPr>
          <w:noProof/>
          <w:lang w:eastAsia="lt-LT"/>
        </w:rPr>
        <w:drawing>
          <wp:inline distT="0" distB="0" distL="0" distR="0" wp14:anchorId="6DFE8F68" wp14:editId="59D0761A">
            <wp:extent cx="4600575" cy="2447925"/>
            <wp:effectExtent l="0" t="0" r="0" b="0"/>
            <wp:docPr id="55" name="Diagrama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8E05AA" w:rsidRPr="005D7872" w:rsidRDefault="008E05AA" w:rsidP="008E05AA">
      <w:pPr>
        <w:jc w:val="both"/>
        <w:rPr>
          <w:i/>
          <w:iCs/>
        </w:rPr>
      </w:pPr>
    </w:p>
    <w:p w:rsidR="008E05AA" w:rsidRPr="005D7872" w:rsidRDefault="008E05AA" w:rsidP="008E05AA">
      <w:pPr>
        <w:jc w:val="both"/>
      </w:pPr>
    </w:p>
    <w:p w:rsidR="008E05AA" w:rsidRPr="005D7872" w:rsidRDefault="008E05AA" w:rsidP="008E05AA">
      <w:pPr>
        <w:jc w:val="both"/>
      </w:pPr>
      <w:r w:rsidRPr="005D7872">
        <w:tab/>
        <w:t>Dauguma mirtinai alkoholiais apsinuodijusių asmenų buvo vidutinio ir vyresnio amžiaus.</w:t>
      </w:r>
    </w:p>
    <w:p w:rsidR="008E05AA" w:rsidRPr="005D7872" w:rsidRDefault="008E05AA" w:rsidP="008E05AA">
      <w:pPr>
        <w:jc w:val="both"/>
      </w:pPr>
      <w:r w:rsidRPr="005D7872">
        <w:rPr>
          <w:i/>
          <w:iCs/>
        </w:rPr>
        <w:t>Nuo toksinio alkoholio poveikio mirę asmenys pagal amžiaus grupes:</w:t>
      </w:r>
    </w:p>
    <w:p w:rsidR="008E05AA" w:rsidRPr="005D7872" w:rsidRDefault="008E05AA" w:rsidP="008E05AA">
      <w:pPr>
        <w:jc w:val="both"/>
        <w:rPr>
          <w:i/>
          <w:iCs/>
        </w:rPr>
      </w:pPr>
      <w:r w:rsidRPr="005D7872">
        <w:rPr>
          <w:noProof/>
          <w:lang w:eastAsia="lt-LT"/>
        </w:rPr>
        <w:drawing>
          <wp:inline distT="0" distB="0" distL="0" distR="0" wp14:anchorId="2D4F9DE3" wp14:editId="6268CA28">
            <wp:extent cx="4600575" cy="2447925"/>
            <wp:effectExtent l="0" t="0" r="0" b="0"/>
            <wp:docPr id="56" name="Diagrama 5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E05AA" w:rsidRPr="005D7872" w:rsidRDefault="008E05AA" w:rsidP="008E05AA">
      <w:pPr>
        <w:jc w:val="both"/>
      </w:pPr>
    </w:p>
    <w:p w:rsidR="008E05AA" w:rsidRPr="005D7872" w:rsidRDefault="008E05AA" w:rsidP="008E05AA">
      <w:pPr>
        <w:jc w:val="both"/>
      </w:pPr>
      <w:r w:rsidRPr="005D7872">
        <w:t xml:space="preserve">Apsinuodijimai - tai sveikatos sutrikimai, išsivystantys ūmai dideliam nuodingos medžiagos kiekiui patekus į žmogaus organizmą. Dėl sistemingo psichiką veikiančių medžiagų vartojimo vystosi kita sveikatos sutrikimų grupė - priklausomybė arba psichikos ir elgesio sutrikimai. </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ind w:firstLine="720"/>
        <w:jc w:val="both"/>
      </w:pPr>
      <w:r w:rsidRPr="005D7872">
        <w:t xml:space="preserve"> PRIKLAUSOMYBĖ NUO PSICHIKĄ VEIKIANČIŲ MEDŽIAGŲ (F10 – F19) </w:t>
      </w:r>
    </w:p>
    <w:p w:rsidR="008E05AA" w:rsidRPr="005D7872" w:rsidRDefault="008E05AA" w:rsidP="008E05AA">
      <w:pPr>
        <w:ind w:firstLine="720"/>
        <w:jc w:val="both"/>
        <w:rPr>
          <w:i/>
          <w:iCs/>
        </w:rPr>
      </w:pPr>
      <w:r w:rsidRPr="005D7872">
        <w:rPr>
          <w:i/>
          <w:iCs/>
        </w:rPr>
        <w:t xml:space="preserve"> 2006 – 2007 M. DUOMENŲ PALYGINIMAS</w:t>
      </w:r>
    </w:p>
    <w:p w:rsidR="008E05AA" w:rsidRPr="005D7872" w:rsidRDefault="008E05AA" w:rsidP="008E05AA">
      <w:pPr>
        <w:jc w:val="both"/>
      </w:pPr>
    </w:p>
    <w:p w:rsidR="008E05AA" w:rsidRPr="005D7872" w:rsidRDefault="008E05AA" w:rsidP="008E05AA">
      <w:pPr>
        <w:jc w:val="both"/>
      </w:pPr>
      <w:r w:rsidRPr="005D7872">
        <w:t>Atsižvelgus į priklausomybę sukėlusią medžiagą psichikos ir elgesio sutrikimai pagal TLK – 10 yra koduojami F10 – F19 kodais. Lyginant Valstybinės ligonių kasos (toliau – VLK) pateiktus duomenis apie 2006 – 2007 m. Lietuvos asmens sveikatos priežiūros paslaugas (ambulatorines ir stacionarines) teikiančiose įstaigose gydytus priklausomus asmenis stebimi nežymūs pokyčiai, susiję su didesnėmis suteiktų stacionarinių asmens sveikatos priežiūros paslaugų apimtimis.</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rPr>
          <w:i/>
          <w:iCs/>
        </w:rPr>
        <w:t>Psichikos ir elgesio sutrikimai vartojant psichiką veikiančias medžiagas pagal suteiktas paslaugas 2006 – 2007metais:</w:t>
      </w:r>
    </w:p>
    <w:p w:rsidR="008E05AA" w:rsidRPr="005D7872" w:rsidRDefault="008E05AA" w:rsidP="008E05AA">
      <w:pPr>
        <w:jc w:val="both"/>
      </w:pPr>
    </w:p>
    <w:p w:rsidR="008E05AA" w:rsidRPr="005D7872" w:rsidRDefault="008E05AA" w:rsidP="008E05A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3060"/>
        <w:gridCol w:w="3060"/>
        <w:gridCol w:w="1574"/>
      </w:tblGrid>
      <w:tr w:rsidR="008E05AA" w:rsidRPr="005D7872" w:rsidTr="004F7425">
        <w:tc>
          <w:tcPr>
            <w:tcW w:w="828" w:type="dxa"/>
          </w:tcPr>
          <w:p w:rsidR="008E05AA" w:rsidRPr="005D7872" w:rsidRDefault="008E05AA" w:rsidP="004F7425">
            <w:pPr>
              <w:jc w:val="both"/>
            </w:pPr>
          </w:p>
        </w:tc>
        <w:tc>
          <w:tcPr>
            <w:tcW w:w="3060" w:type="dxa"/>
          </w:tcPr>
          <w:p w:rsidR="008E05AA" w:rsidRPr="005D7872" w:rsidRDefault="008E05AA" w:rsidP="004F7425">
            <w:pPr>
              <w:jc w:val="both"/>
            </w:pPr>
            <w:r w:rsidRPr="005D7872">
              <w:t>Ambulatorinės paslaugos</w:t>
            </w:r>
          </w:p>
        </w:tc>
        <w:tc>
          <w:tcPr>
            <w:tcW w:w="3060" w:type="dxa"/>
          </w:tcPr>
          <w:p w:rsidR="008E05AA" w:rsidRPr="005D7872" w:rsidRDefault="008E05AA" w:rsidP="004F7425">
            <w:pPr>
              <w:jc w:val="both"/>
            </w:pPr>
            <w:r w:rsidRPr="005D7872">
              <w:t>Stacionarinės paslaugos</w:t>
            </w:r>
          </w:p>
        </w:tc>
        <w:tc>
          <w:tcPr>
            <w:tcW w:w="1574" w:type="dxa"/>
          </w:tcPr>
          <w:p w:rsidR="008E05AA" w:rsidRPr="005D7872" w:rsidRDefault="008E05AA" w:rsidP="004F7425">
            <w:pPr>
              <w:jc w:val="both"/>
            </w:pPr>
            <w:r w:rsidRPr="005D7872">
              <w:t>Viso</w:t>
            </w:r>
          </w:p>
        </w:tc>
      </w:tr>
      <w:tr w:rsidR="008E05AA" w:rsidRPr="005D7872" w:rsidTr="004F7425">
        <w:tc>
          <w:tcPr>
            <w:tcW w:w="828" w:type="dxa"/>
          </w:tcPr>
          <w:p w:rsidR="008E05AA" w:rsidRPr="005D7872" w:rsidRDefault="008E05AA" w:rsidP="004F7425">
            <w:pPr>
              <w:jc w:val="both"/>
            </w:pPr>
            <w:r w:rsidRPr="005D7872">
              <w:t>2006</w:t>
            </w:r>
          </w:p>
        </w:tc>
        <w:tc>
          <w:tcPr>
            <w:tcW w:w="3060" w:type="dxa"/>
          </w:tcPr>
          <w:p w:rsidR="008E05AA" w:rsidRPr="005D7872" w:rsidRDefault="008E05AA" w:rsidP="004F7425">
            <w:pPr>
              <w:jc w:val="both"/>
            </w:pPr>
            <w:r w:rsidRPr="005D7872">
              <w:t>12 212</w:t>
            </w:r>
          </w:p>
        </w:tc>
        <w:tc>
          <w:tcPr>
            <w:tcW w:w="3060" w:type="dxa"/>
          </w:tcPr>
          <w:p w:rsidR="008E05AA" w:rsidRPr="005D7872" w:rsidRDefault="008E05AA" w:rsidP="004F7425">
            <w:pPr>
              <w:jc w:val="both"/>
            </w:pPr>
            <w:r w:rsidRPr="005D7872">
              <w:t>8 570</w:t>
            </w:r>
          </w:p>
        </w:tc>
        <w:tc>
          <w:tcPr>
            <w:tcW w:w="1574" w:type="dxa"/>
          </w:tcPr>
          <w:p w:rsidR="008E05AA" w:rsidRPr="005D7872" w:rsidRDefault="008E05AA" w:rsidP="004F7425">
            <w:pPr>
              <w:jc w:val="both"/>
            </w:pPr>
            <w:r w:rsidRPr="005D7872">
              <w:t>20 787</w:t>
            </w:r>
          </w:p>
        </w:tc>
      </w:tr>
      <w:tr w:rsidR="008E05AA" w:rsidRPr="005D7872" w:rsidTr="004F7425">
        <w:tc>
          <w:tcPr>
            <w:tcW w:w="828" w:type="dxa"/>
          </w:tcPr>
          <w:p w:rsidR="008E05AA" w:rsidRPr="005D7872" w:rsidRDefault="008E05AA" w:rsidP="004F7425">
            <w:pPr>
              <w:jc w:val="both"/>
            </w:pPr>
            <w:r w:rsidRPr="005D7872">
              <w:t>2007</w:t>
            </w:r>
          </w:p>
        </w:tc>
        <w:tc>
          <w:tcPr>
            <w:tcW w:w="3060" w:type="dxa"/>
          </w:tcPr>
          <w:p w:rsidR="008E05AA" w:rsidRPr="005D7872" w:rsidRDefault="008E05AA" w:rsidP="004F7425">
            <w:pPr>
              <w:jc w:val="both"/>
            </w:pPr>
            <w:r w:rsidRPr="005D7872">
              <w:t>11 766</w:t>
            </w:r>
          </w:p>
        </w:tc>
        <w:tc>
          <w:tcPr>
            <w:tcW w:w="3060" w:type="dxa"/>
          </w:tcPr>
          <w:p w:rsidR="008E05AA" w:rsidRPr="005D7872" w:rsidRDefault="008E05AA" w:rsidP="004F7425">
            <w:pPr>
              <w:jc w:val="both"/>
            </w:pPr>
            <w:r w:rsidRPr="005D7872">
              <w:t>10 019</w:t>
            </w:r>
          </w:p>
        </w:tc>
        <w:tc>
          <w:tcPr>
            <w:tcW w:w="1574" w:type="dxa"/>
          </w:tcPr>
          <w:p w:rsidR="008E05AA" w:rsidRPr="005D7872" w:rsidRDefault="008E05AA" w:rsidP="004F7425">
            <w:pPr>
              <w:jc w:val="both"/>
            </w:pPr>
            <w:r w:rsidRPr="005D7872">
              <w:t>21 785</w:t>
            </w:r>
          </w:p>
        </w:tc>
      </w:tr>
    </w:tbl>
    <w:p w:rsidR="008E05AA" w:rsidRPr="005D7872" w:rsidRDefault="008E05AA" w:rsidP="008E05AA">
      <w:pPr>
        <w:jc w:val="both"/>
      </w:pPr>
      <w:r w:rsidRPr="005D7872">
        <w:tab/>
        <w:t>Analizuojant psichikos ir elgesio sutrikimus pagal priklausomybę sukėlusias medžiagas 2006 – 2007 m. nustatyta, jog dauguma (daugiau nei 90 proc.) atvejų yra susiję su alkoholio vartojimu.</w:t>
      </w:r>
    </w:p>
    <w:p w:rsidR="008E05AA" w:rsidRPr="005D7872" w:rsidRDefault="008E05AA" w:rsidP="008E05AA">
      <w:pPr>
        <w:jc w:val="both"/>
      </w:pPr>
      <w:r w:rsidRPr="005D7872">
        <w:rPr>
          <w:i/>
          <w:iCs/>
        </w:rPr>
        <w:t>2006 – 2007 m. psichikos ir elgesio sutrikimas vartojant alkoholį pagal būkles ir suteiktas paslaugas: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5041"/>
        <w:gridCol w:w="899"/>
        <w:gridCol w:w="899"/>
        <w:gridCol w:w="899"/>
        <w:gridCol w:w="899"/>
      </w:tblGrid>
      <w:tr w:rsidR="008E05AA" w:rsidRPr="005D7872" w:rsidTr="004F7425">
        <w:trPr>
          <w:cantSplit/>
        </w:trPr>
        <w:tc>
          <w:tcPr>
            <w:tcW w:w="831" w:type="dxa"/>
            <w:vMerge w:val="restart"/>
          </w:tcPr>
          <w:p w:rsidR="008E05AA" w:rsidRPr="005D7872" w:rsidRDefault="008E05AA" w:rsidP="004F7425">
            <w:pPr>
              <w:jc w:val="both"/>
            </w:pPr>
            <w:r w:rsidRPr="005D7872">
              <w:t>Kodas</w:t>
            </w:r>
          </w:p>
        </w:tc>
        <w:tc>
          <w:tcPr>
            <w:tcW w:w="5041" w:type="dxa"/>
            <w:vMerge w:val="restart"/>
          </w:tcPr>
          <w:p w:rsidR="008E05AA" w:rsidRPr="005D7872" w:rsidRDefault="008E05AA" w:rsidP="004F7425">
            <w:pPr>
              <w:jc w:val="both"/>
            </w:pPr>
            <w:r w:rsidRPr="005D7872">
              <w:t>Sveikatos sutrikimas</w:t>
            </w:r>
          </w:p>
        </w:tc>
        <w:tc>
          <w:tcPr>
            <w:tcW w:w="1798" w:type="dxa"/>
            <w:gridSpan w:val="2"/>
          </w:tcPr>
          <w:p w:rsidR="008E05AA" w:rsidRPr="005D7872" w:rsidRDefault="008E05AA" w:rsidP="004F7425">
            <w:pPr>
              <w:jc w:val="both"/>
            </w:pPr>
            <w:r w:rsidRPr="005D7872">
              <w:t>2006</w:t>
            </w:r>
          </w:p>
        </w:tc>
        <w:tc>
          <w:tcPr>
            <w:tcW w:w="1798" w:type="dxa"/>
            <w:gridSpan w:val="2"/>
          </w:tcPr>
          <w:p w:rsidR="008E05AA" w:rsidRPr="005D7872" w:rsidRDefault="008E05AA" w:rsidP="004F7425">
            <w:pPr>
              <w:jc w:val="both"/>
            </w:pPr>
            <w:r w:rsidRPr="005D7872">
              <w:t>2007</w:t>
            </w:r>
          </w:p>
        </w:tc>
      </w:tr>
      <w:tr w:rsidR="008E05AA" w:rsidRPr="005D7872" w:rsidTr="004F7425">
        <w:trPr>
          <w:cantSplit/>
        </w:trPr>
        <w:tc>
          <w:tcPr>
            <w:tcW w:w="831" w:type="dxa"/>
            <w:vMerge/>
          </w:tcPr>
          <w:p w:rsidR="008E05AA" w:rsidRPr="005D7872" w:rsidRDefault="008E05AA" w:rsidP="004F7425">
            <w:pPr>
              <w:jc w:val="both"/>
            </w:pPr>
          </w:p>
        </w:tc>
        <w:tc>
          <w:tcPr>
            <w:tcW w:w="5041" w:type="dxa"/>
            <w:vMerge/>
          </w:tcPr>
          <w:p w:rsidR="008E05AA" w:rsidRPr="005D7872" w:rsidRDefault="008E05AA" w:rsidP="004F7425">
            <w:pPr>
              <w:jc w:val="both"/>
            </w:pPr>
          </w:p>
        </w:tc>
        <w:tc>
          <w:tcPr>
            <w:tcW w:w="899" w:type="dxa"/>
          </w:tcPr>
          <w:p w:rsidR="008E05AA" w:rsidRPr="005D7872" w:rsidRDefault="008E05AA" w:rsidP="004F7425">
            <w:pPr>
              <w:jc w:val="both"/>
              <w:rPr>
                <w:i/>
                <w:iCs/>
              </w:rPr>
            </w:pPr>
            <w:r w:rsidRPr="005D7872">
              <w:rPr>
                <w:i/>
                <w:iCs/>
              </w:rPr>
              <w:t>AMB.</w:t>
            </w:r>
          </w:p>
        </w:tc>
        <w:tc>
          <w:tcPr>
            <w:tcW w:w="899" w:type="dxa"/>
          </w:tcPr>
          <w:p w:rsidR="008E05AA" w:rsidRPr="005D7872" w:rsidRDefault="008E05AA" w:rsidP="004F7425">
            <w:pPr>
              <w:jc w:val="both"/>
              <w:rPr>
                <w:i/>
                <w:iCs/>
              </w:rPr>
            </w:pPr>
            <w:r w:rsidRPr="005D7872">
              <w:rPr>
                <w:i/>
                <w:iCs/>
              </w:rPr>
              <w:t>STAC.</w:t>
            </w:r>
          </w:p>
        </w:tc>
        <w:tc>
          <w:tcPr>
            <w:tcW w:w="899" w:type="dxa"/>
          </w:tcPr>
          <w:p w:rsidR="008E05AA" w:rsidRPr="005D7872" w:rsidRDefault="008E05AA" w:rsidP="004F7425">
            <w:pPr>
              <w:jc w:val="both"/>
              <w:rPr>
                <w:i/>
                <w:iCs/>
              </w:rPr>
            </w:pPr>
            <w:r w:rsidRPr="005D7872">
              <w:rPr>
                <w:i/>
                <w:iCs/>
              </w:rPr>
              <w:t>AMB.</w:t>
            </w:r>
          </w:p>
        </w:tc>
        <w:tc>
          <w:tcPr>
            <w:tcW w:w="899" w:type="dxa"/>
          </w:tcPr>
          <w:p w:rsidR="008E05AA" w:rsidRPr="005D7872" w:rsidRDefault="008E05AA" w:rsidP="004F7425">
            <w:pPr>
              <w:jc w:val="both"/>
              <w:rPr>
                <w:i/>
                <w:iCs/>
              </w:rPr>
            </w:pPr>
            <w:r w:rsidRPr="005D7872">
              <w:rPr>
                <w:i/>
                <w:iCs/>
              </w:rPr>
              <w:t>STAC.</w:t>
            </w:r>
          </w:p>
        </w:tc>
      </w:tr>
      <w:tr w:rsidR="008E05AA" w:rsidRPr="005D7872" w:rsidTr="004F7425">
        <w:tc>
          <w:tcPr>
            <w:tcW w:w="831" w:type="dxa"/>
          </w:tcPr>
          <w:p w:rsidR="008E05AA" w:rsidRPr="005D7872" w:rsidRDefault="008E05AA" w:rsidP="004F7425">
            <w:pPr>
              <w:jc w:val="both"/>
            </w:pPr>
            <w:r w:rsidRPr="005D7872">
              <w:t>F10</w:t>
            </w:r>
          </w:p>
        </w:tc>
        <w:tc>
          <w:tcPr>
            <w:tcW w:w="5041" w:type="dxa"/>
          </w:tcPr>
          <w:p w:rsidR="008E05AA" w:rsidRPr="005D7872" w:rsidRDefault="008E05AA" w:rsidP="004F7425">
            <w:pPr>
              <w:jc w:val="both"/>
            </w:pPr>
            <w:r w:rsidRPr="005D7872">
              <w:t>Psichikos ir elgesio sutrikimai vartojant alkoholį</w:t>
            </w:r>
          </w:p>
        </w:tc>
        <w:tc>
          <w:tcPr>
            <w:tcW w:w="899" w:type="dxa"/>
          </w:tcPr>
          <w:p w:rsidR="008E05AA" w:rsidRPr="005D7872" w:rsidRDefault="008E05AA" w:rsidP="004F7425">
            <w:pPr>
              <w:jc w:val="both"/>
            </w:pPr>
            <w:r w:rsidRPr="005D7872">
              <w:t>1033</w:t>
            </w:r>
          </w:p>
        </w:tc>
        <w:tc>
          <w:tcPr>
            <w:tcW w:w="899" w:type="dxa"/>
          </w:tcPr>
          <w:p w:rsidR="008E05AA" w:rsidRPr="005D7872" w:rsidRDefault="008E05AA" w:rsidP="004F7425">
            <w:pPr>
              <w:jc w:val="both"/>
            </w:pPr>
            <w:r w:rsidRPr="005D7872">
              <w:t>95</w:t>
            </w:r>
          </w:p>
        </w:tc>
        <w:tc>
          <w:tcPr>
            <w:tcW w:w="899" w:type="dxa"/>
          </w:tcPr>
          <w:p w:rsidR="008E05AA" w:rsidRPr="005D7872" w:rsidRDefault="008E05AA" w:rsidP="004F7425">
            <w:pPr>
              <w:jc w:val="both"/>
            </w:pPr>
            <w:r w:rsidRPr="005D7872">
              <w:t>1132</w:t>
            </w:r>
          </w:p>
        </w:tc>
        <w:tc>
          <w:tcPr>
            <w:tcW w:w="899" w:type="dxa"/>
          </w:tcPr>
          <w:p w:rsidR="008E05AA" w:rsidRPr="005D7872" w:rsidRDefault="008E05AA" w:rsidP="004F7425">
            <w:pPr>
              <w:jc w:val="both"/>
            </w:pPr>
            <w:r w:rsidRPr="005D7872">
              <w:t>142</w:t>
            </w:r>
          </w:p>
        </w:tc>
      </w:tr>
      <w:tr w:rsidR="008E05AA" w:rsidRPr="005D7872" w:rsidTr="004F7425">
        <w:tc>
          <w:tcPr>
            <w:tcW w:w="831" w:type="dxa"/>
          </w:tcPr>
          <w:p w:rsidR="008E05AA" w:rsidRPr="005D7872" w:rsidRDefault="008E05AA" w:rsidP="004F7425">
            <w:pPr>
              <w:jc w:val="both"/>
            </w:pPr>
            <w:r w:rsidRPr="005D7872">
              <w:t>F10.0</w:t>
            </w:r>
          </w:p>
        </w:tc>
        <w:tc>
          <w:tcPr>
            <w:tcW w:w="5041" w:type="dxa"/>
          </w:tcPr>
          <w:p w:rsidR="008E05AA" w:rsidRPr="005D7872" w:rsidRDefault="008E05AA" w:rsidP="004F7425">
            <w:pPr>
              <w:jc w:val="both"/>
            </w:pPr>
            <w:r w:rsidRPr="005D7872">
              <w:t>Ūminė intoksikacija</w:t>
            </w:r>
          </w:p>
        </w:tc>
        <w:tc>
          <w:tcPr>
            <w:tcW w:w="899" w:type="dxa"/>
          </w:tcPr>
          <w:p w:rsidR="008E05AA" w:rsidRPr="005D7872" w:rsidRDefault="008E05AA" w:rsidP="004F7425">
            <w:pPr>
              <w:jc w:val="both"/>
            </w:pPr>
            <w:r w:rsidRPr="005D7872">
              <w:t>277</w:t>
            </w:r>
          </w:p>
        </w:tc>
        <w:tc>
          <w:tcPr>
            <w:tcW w:w="899" w:type="dxa"/>
          </w:tcPr>
          <w:p w:rsidR="008E05AA" w:rsidRPr="005D7872" w:rsidRDefault="008E05AA" w:rsidP="004F7425">
            <w:pPr>
              <w:jc w:val="both"/>
            </w:pPr>
            <w:r w:rsidRPr="005D7872">
              <w:t>212</w:t>
            </w:r>
          </w:p>
        </w:tc>
        <w:tc>
          <w:tcPr>
            <w:tcW w:w="899" w:type="dxa"/>
          </w:tcPr>
          <w:p w:rsidR="008E05AA" w:rsidRPr="005D7872" w:rsidRDefault="008E05AA" w:rsidP="004F7425">
            <w:pPr>
              <w:jc w:val="both"/>
            </w:pPr>
            <w:r w:rsidRPr="005D7872">
              <w:t>341</w:t>
            </w:r>
          </w:p>
        </w:tc>
        <w:tc>
          <w:tcPr>
            <w:tcW w:w="899" w:type="dxa"/>
          </w:tcPr>
          <w:p w:rsidR="008E05AA" w:rsidRPr="005D7872" w:rsidRDefault="008E05AA" w:rsidP="004F7425">
            <w:pPr>
              <w:jc w:val="both"/>
            </w:pPr>
            <w:r w:rsidRPr="005D7872">
              <w:t>256</w:t>
            </w:r>
          </w:p>
        </w:tc>
      </w:tr>
      <w:tr w:rsidR="008E05AA" w:rsidRPr="005D7872" w:rsidTr="004F7425">
        <w:tc>
          <w:tcPr>
            <w:tcW w:w="831" w:type="dxa"/>
          </w:tcPr>
          <w:p w:rsidR="008E05AA" w:rsidRPr="005D7872" w:rsidRDefault="008E05AA" w:rsidP="004F7425">
            <w:pPr>
              <w:jc w:val="both"/>
            </w:pPr>
            <w:r w:rsidRPr="005D7872">
              <w:t>F10.1</w:t>
            </w:r>
          </w:p>
        </w:tc>
        <w:tc>
          <w:tcPr>
            <w:tcW w:w="5041" w:type="dxa"/>
          </w:tcPr>
          <w:p w:rsidR="008E05AA" w:rsidRPr="005D7872" w:rsidRDefault="008E05AA" w:rsidP="004F7425">
            <w:pPr>
              <w:jc w:val="both"/>
            </w:pPr>
            <w:r w:rsidRPr="005D7872">
              <w:t>Žalingas vartojimas</w:t>
            </w:r>
          </w:p>
        </w:tc>
        <w:tc>
          <w:tcPr>
            <w:tcW w:w="899" w:type="dxa"/>
          </w:tcPr>
          <w:p w:rsidR="008E05AA" w:rsidRPr="005D7872" w:rsidRDefault="008E05AA" w:rsidP="004F7425">
            <w:pPr>
              <w:jc w:val="both"/>
            </w:pPr>
            <w:r w:rsidRPr="005D7872">
              <w:t>421</w:t>
            </w:r>
          </w:p>
        </w:tc>
        <w:tc>
          <w:tcPr>
            <w:tcW w:w="899" w:type="dxa"/>
          </w:tcPr>
          <w:p w:rsidR="008E05AA" w:rsidRPr="005D7872" w:rsidRDefault="008E05AA" w:rsidP="004F7425">
            <w:pPr>
              <w:jc w:val="both"/>
            </w:pPr>
            <w:r w:rsidRPr="005D7872">
              <w:t>87</w:t>
            </w:r>
          </w:p>
        </w:tc>
        <w:tc>
          <w:tcPr>
            <w:tcW w:w="899" w:type="dxa"/>
          </w:tcPr>
          <w:p w:rsidR="008E05AA" w:rsidRPr="005D7872" w:rsidRDefault="008E05AA" w:rsidP="004F7425">
            <w:pPr>
              <w:jc w:val="both"/>
            </w:pPr>
            <w:r w:rsidRPr="005D7872">
              <w:t>473</w:t>
            </w:r>
          </w:p>
        </w:tc>
        <w:tc>
          <w:tcPr>
            <w:tcW w:w="899" w:type="dxa"/>
          </w:tcPr>
          <w:p w:rsidR="008E05AA" w:rsidRPr="005D7872" w:rsidRDefault="008E05AA" w:rsidP="004F7425">
            <w:pPr>
              <w:jc w:val="both"/>
            </w:pPr>
            <w:r w:rsidRPr="005D7872">
              <w:t>86</w:t>
            </w:r>
          </w:p>
        </w:tc>
      </w:tr>
      <w:tr w:rsidR="008E05AA" w:rsidRPr="005D7872" w:rsidTr="004F7425">
        <w:tc>
          <w:tcPr>
            <w:tcW w:w="831" w:type="dxa"/>
          </w:tcPr>
          <w:p w:rsidR="008E05AA" w:rsidRPr="005D7872" w:rsidRDefault="008E05AA" w:rsidP="004F7425">
            <w:pPr>
              <w:jc w:val="both"/>
            </w:pPr>
            <w:r w:rsidRPr="005D7872">
              <w:t>F10.2</w:t>
            </w:r>
          </w:p>
        </w:tc>
        <w:tc>
          <w:tcPr>
            <w:tcW w:w="5041" w:type="dxa"/>
          </w:tcPr>
          <w:p w:rsidR="008E05AA" w:rsidRPr="005D7872" w:rsidRDefault="008E05AA" w:rsidP="004F7425">
            <w:pPr>
              <w:jc w:val="both"/>
            </w:pPr>
            <w:r w:rsidRPr="005D7872">
              <w:t>Priklausomybės sindromas</w:t>
            </w:r>
          </w:p>
        </w:tc>
        <w:tc>
          <w:tcPr>
            <w:tcW w:w="899" w:type="dxa"/>
          </w:tcPr>
          <w:p w:rsidR="008E05AA" w:rsidRPr="005D7872" w:rsidRDefault="008E05AA" w:rsidP="004F7425">
            <w:pPr>
              <w:jc w:val="both"/>
            </w:pPr>
            <w:r w:rsidRPr="005D7872">
              <w:t>5544</w:t>
            </w:r>
          </w:p>
        </w:tc>
        <w:tc>
          <w:tcPr>
            <w:tcW w:w="899" w:type="dxa"/>
          </w:tcPr>
          <w:p w:rsidR="008E05AA" w:rsidRPr="005D7872" w:rsidRDefault="008E05AA" w:rsidP="004F7425">
            <w:pPr>
              <w:jc w:val="both"/>
            </w:pPr>
            <w:r w:rsidRPr="005D7872">
              <w:t>90</w:t>
            </w:r>
          </w:p>
        </w:tc>
        <w:tc>
          <w:tcPr>
            <w:tcW w:w="899" w:type="dxa"/>
          </w:tcPr>
          <w:p w:rsidR="008E05AA" w:rsidRPr="005D7872" w:rsidRDefault="008E05AA" w:rsidP="004F7425">
            <w:pPr>
              <w:jc w:val="both"/>
            </w:pPr>
            <w:r w:rsidRPr="005D7872">
              <w:t>5231</w:t>
            </w:r>
          </w:p>
        </w:tc>
        <w:tc>
          <w:tcPr>
            <w:tcW w:w="899" w:type="dxa"/>
          </w:tcPr>
          <w:p w:rsidR="008E05AA" w:rsidRPr="005D7872" w:rsidRDefault="008E05AA" w:rsidP="004F7425">
            <w:pPr>
              <w:jc w:val="both"/>
            </w:pPr>
            <w:r w:rsidRPr="005D7872">
              <w:t>131</w:t>
            </w:r>
          </w:p>
        </w:tc>
      </w:tr>
      <w:tr w:rsidR="008E05AA" w:rsidRPr="005D7872" w:rsidTr="004F7425">
        <w:tc>
          <w:tcPr>
            <w:tcW w:w="831" w:type="dxa"/>
          </w:tcPr>
          <w:p w:rsidR="008E05AA" w:rsidRPr="005D7872" w:rsidRDefault="008E05AA" w:rsidP="004F7425">
            <w:pPr>
              <w:jc w:val="both"/>
            </w:pPr>
            <w:r w:rsidRPr="005D7872">
              <w:t>F10.3</w:t>
            </w:r>
          </w:p>
        </w:tc>
        <w:tc>
          <w:tcPr>
            <w:tcW w:w="5041" w:type="dxa"/>
          </w:tcPr>
          <w:p w:rsidR="008E05AA" w:rsidRPr="005D7872" w:rsidRDefault="008E05AA" w:rsidP="004F7425">
            <w:pPr>
              <w:jc w:val="both"/>
            </w:pPr>
            <w:r w:rsidRPr="005D7872">
              <w:t>Abstinencijos būklė</w:t>
            </w:r>
          </w:p>
        </w:tc>
        <w:tc>
          <w:tcPr>
            <w:tcW w:w="899" w:type="dxa"/>
          </w:tcPr>
          <w:p w:rsidR="008E05AA" w:rsidRPr="005D7872" w:rsidRDefault="008E05AA" w:rsidP="004F7425">
            <w:pPr>
              <w:jc w:val="both"/>
            </w:pPr>
            <w:r w:rsidRPr="005D7872">
              <w:t>2124</w:t>
            </w:r>
          </w:p>
        </w:tc>
        <w:tc>
          <w:tcPr>
            <w:tcW w:w="899" w:type="dxa"/>
          </w:tcPr>
          <w:p w:rsidR="008E05AA" w:rsidRPr="005D7872" w:rsidRDefault="008E05AA" w:rsidP="004F7425">
            <w:pPr>
              <w:jc w:val="both"/>
            </w:pPr>
            <w:r w:rsidRPr="005D7872">
              <w:t>3230</w:t>
            </w:r>
          </w:p>
        </w:tc>
        <w:tc>
          <w:tcPr>
            <w:tcW w:w="899" w:type="dxa"/>
          </w:tcPr>
          <w:p w:rsidR="008E05AA" w:rsidRPr="005D7872" w:rsidRDefault="008E05AA" w:rsidP="004F7425">
            <w:pPr>
              <w:jc w:val="both"/>
            </w:pPr>
            <w:r w:rsidRPr="005D7872">
              <w:t>2002</w:t>
            </w:r>
          </w:p>
        </w:tc>
        <w:tc>
          <w:tcPr>
            <w:tcW w:w="899" w:type="dxa"/>
          </w:tcPr>
          <w:p w:rsidR="008E05AA" w:rsidRPr="005D7872" w:rsidRDefault="008E05AA" w:rsidP="004F7425">
            <w:pPr>
              <w:jc w:val="both"/>
            </w:pPr>
            <w:r w:rsidRPr="005D7872">
              <w:t>4079</w:t>
            </w:r>
          </w:p>
        </w:tc>
      </w:tr>
      <w:tr w:rsidR="008E05AA" w:rsidRPr="005D7872" w:rsidTr="004F7425">
        <w:tc>
          <w:tcPr>
            <w:tcW w:w="831" w:type="dxa"/>
          </w:tcPr>
          <w:p w:rsidR="008E05AA" w:rsidRPr="005D7872" w:rsidRDefault="008E05AA" w:rsidP="004F7425">
            <w:pPr>
              <w:jc w:val="both"/>
            </w:pPr>
            <w:r w:rsidRPr="005D7872">
              <w:t>F10.4</w:t>
            </w:r>
          </w:p>
        </w:tc>
        <w:tc>
          <w:tcPr>
            <w:tcW w:w="5041" w:type="dxa"/>
          </w:tcPr>
          <w:p w:rsidR="008E05AA" w:rsidRPr="005D7872" w:rsidRDefault="008E05AA" w:rsidP="004F7425">
            <w:pPr>
              <w:jc w:val="both"/>
            </w:pPr>
            <w:r w:rsidRPr="005D7872">
              <w:t>Abstinencijos būklė su delyru</w:t>
            </w:r>
          </w:p>
        </w:tc>
        <w:tc>
          <w:tcPr>
            <w:tcW w:w="899" w:type="dxa"/>
          </w:tcPr>
          <w:p w:rsidR="008E05AA" w:rsidRPr="005D7872" w:rsidRDefault="008E05AA" w:rsidP="004F7425">
            <w:pPr>
              <w:jc w:val="both"/>
            </w:pPr>
            <w:r w:rsidRPr="005D7872">
              <w:t>717</w:t>
            </w:r>
          </w:p>
        </w:tc>
        <w:tc>
          <w:tcPr>
            <w:tcW w:w="899" w:type="dxa"/>
          </w:tcPr>
          <w:p w:rsidR="008E05AA" w:rsidRPr="005D7872" w:rsidRDefault="008E05AA" w:rsidP="004F7425">
            <w:pPr>
              <w:jc w:val="both"/>
            </w:pPr>
            <w:r w:rsidRPr="005D7872">
              <w:t>3848</w:t>
            </w:r>
          </w:p>
        </w:tc>
        <w:tc>
          <w:tcPr>
            <w:tcW w:w="899" w:type="dxa"/>
          </w:tcPr>
          <w:p w:rsidR="008E05AA" w:rsidRPr="005D7872" w:rsidRDefault="008E05AA" w:rsidP="004F7425">
            <w:pPr>
              <w:jc w:val="both"/>
            </w:pPr>
            <w:r w:rsidRPr="005D7872">
              <w:t>754</w:t>
            </w:r>
          </w:p>
        </w:tc>
        <w:tc>
          <w:tcPr>
            <w:tcW w:w="899" w:type="dxa"/>
          </w:tcPr>
          <w:p w:rsidR="008E05AA" w:rsidRPr="005D7872" w:rsidRDefault="008E05AA" w:rsidP="004F7425">
            <w:pPr>
              <w:jc w:val="both"/>
            </w:pPr>
            <w:r w:rsidRPr="005D7872">
              <w:t>4269</w:t>
            </w:r>
          </w:p>
        </w:tc>
      </w:tr>
      <w:tr w:rsidR="008E05AA" w:rsidRPr="005D7872" w:rsidTr="004F7425">
        <w:tc>
          <w:tcPr>
            <w:tcW w:w="831" w:type="dxa"/>
          </w:tcPr>
          <w:p w:rsidR="008E05AA" w:rsidRPr="005D7872" w:rsidRDefault="008E05AA" w:rsidP="004F7425">
            <w:pPr>
              <w:jc w:val="both"/>
            </w:pPr>
            <w:r w:rsidRPr="005D7872">
              <w:t>F10.5</w:t>
            </w:r>
          </w:p>
        </w:tc>
        <w:tc>
          <w:tcPr>
            <w:tcW w:w="5041" w:type="dxa"/>
          </w:tcPr>
          <w:p w:rsidR="008E05AA" w:rsidRPr="005D7872" w:rsidRDefault="008E05AA" w:rsidP="004F7425">
            <w:pPr>
              <w:jc w:val="both"/>
            </w:pPr>
            <w:r w:rsidRPr="005D7872">
              <w:t>Psichozinis sutrikimas</w:t>
            </w:r>
          </w:p>
        </w:tc>
        <w:tc>
          <w:tcPr>
            <w:tcW w:w="899" w:type="dxa"/>
          </w:tcPr>
          <w:p w:rsidR="008E05AA" w:rsidRPr="005D7872" w:rsidRDefault="008E05AA" w:rsidP="004F7425">
            <w:pPr>
              <w:jc w:val="both"/>
            </w:pPr>
            <w:r w:rsidRPr="005D7872">
              <w:t>241</w:t>
            </w:r>
          </w:p>
        </w:tc>
        <w:tc>
          <w:tcPr>
            <w:tcW w:w="899" w:type="dxa"/>
          </w:tcPr>
          <w:p w:rsidR="008E05AA" w:rsidRPr="005D7872" w:rsidRDefault="008E05AA" w:rsidP="004F7425">
            <w:pPr>
              <w:jc w:val="both"/>
            </w:pPr>
            <w:r w:rsidRPr="005D7872">
              <w:t>481</w:t>
            </w:r>
          </w:p>
        </w:tc>
        <w:tc>
          <w:tcPr>
            <w:tcW w:w="899" w:type="dxa"/>
          </w:tcPr>
          <w:p w:rsidR="008E05AA" w:rsidRPr="005D7872" w:rsidRDefault="008E05AA" w:rsidP="004F7425">
            <w:pPr>
              <w:jc w:val="both"/>
            </w:pPr>
            <w:r w:rsidRPr="005D7872">
              <w:t>260</w:t>
            </w:r>
          </w:p>
        </w:tc>
        <w:tc>
          <w:tcPr>
            <w:tcW w:w="899" w:type="dxa"/>
          </w:tcPr>
          <w:p w:rsidR="008E05AA" w:rsidRPr="005D7872" w:rsidRDefault="008E05AA" w:rsidP="004F7425">
            <w:pPr>
              <w:jc w:val="both"/>
            </w:pPr>
            <w:r w:rsidRPr="005D7872">
              <w:t>572</w:t>
            </w:r>
          </w:p>
        </w:tc>
      </w:tr>
      <w:tr w:rsidR="008E05AA" w:rsidRPr="005D7872" w:rsidTr="004F7425">
        <w:tc>
          <w:tcPr>
            <w:tcW w:w="831" w:type="dxa"/>
          </w:tcPr>
          <w:p w:rsidR="008E05AA" w:rsidRPr="005D7872" w:rsidRDefault="008E05AA" w:rsidP="004F7425">
            <w:pPr>
              <w:jc w:val="both"/>
            </w:pPr>
            <w:r w:rsidRPr="005D7872">
              <w:lastRenderedPageBreak/>
              <w:t>F10.6</w:t>
            </w:r>
          </w:p>
        </w:tc>
        <w:tc>
          <w:tcPr>
            <w:tcW w:w="5041" w:type="dxa"/>
          </w:tcPr>
          <w:p w:rsidR="008E05AA" w:rsidRPr="005D7872" w:rsidRDefault="008E05AA" w:rsidP="004F7425">
            <w:pPr>
              <w:jc w:val="both"/>
            </w:pPr>
            <w:r w:rsidRPr="005D7872">
              <w:t>Amnezinis sindromas</w:t>
            </w:r>
          </w:p>
        </w:tc>
        <w:tc>
          <w:tcPr>
            <w:tcW w:w="899" w:type="dxa"/>
          </w:tcPr>
          <w:p w:rsidR="008E05AA" w:rsidRPr="005D7872" w:rsidRDefault="008E05AA" w:rsidP="004F7425">
            <w:pPr>
              <w:jc w:val="both"/>
            </w:pPr>
            <w:r w:rsidRPr="005D7872">
              <w:t>165</w:t>
            </w:r>
          </w:p>
        </w:tc>
        <w:tc>
          <w:tcPr>
            <w:tcW w:w="899" w:type="dxa"/>
          </w:tcPr>
          <w:p w:rsidR="008E05AA" w:rsidRPr="005D7872" w:rsidRDefault="008E05AA" w:rsidP="004F7425">
            <w:pPr>
              <w:jc w:val="both"/>
            </w:pPr>
            <w:r w:rsidRPr="005D7872">
              <w:t>59</w:t>
            </w:r>
          </w:p>
        </w:tc>
        <w:tc>
          <w:tcPr>
            <w:tcW w:w="899" w:type="dxa"/>
          </w:tcPr>
          <w:p w:rsidR="008E05AA" w:rsidRPr="005D7872" w:rsidRDefault="008E05AA" w:rsidP="004F7425">
            <w:pPr>
              <w:jc w:val="both"/>
            </w:pPr>
            <w:r w:rsidRPr="005D7872">
              <w:t>143</w:t>
            </w:r>
          </w:p>
        </w:tc>
        <w:tc>
          <w:tcPr>
            <w:tcW w:w="899" w:type="dxa"/>
          </w:tcPr>
          <w:p w:rsidR="008E05AA" w:rsidRPr="005D7872" w:rsidRDefault="008E05AA" w:rsidP="004F7425">
            <w:pPr>
              <w:jc w:val="both"/>
            </w:pPr>
            <w:r w:rsidRPr="005D7872">
              <w:t>34</w:t>
            </w:r>
          </w:p>
        </w:tc>
      </w:tr>
      <w:tr w:rsidR="008E05AA" w:rsidRPr="005D7872" w:rsidTr="004F7425">
        <w:tc>
          <w:tcPr>
            <w:tcW w:w="831" w:type="dxa"/>
          </w:tcPr>
          <w:p w:rsidR="008E05AA" w:rsidRPr="005D7872" w:rsidRDefault="008E05AA" w:rsidP="004F7425">
            <w:pPr>
              <w:jc w:val="both"/>
            </w:pPr>
            <w:r w:rsidRPr="005D7872">
              <w:t>F10.7</w:t>
            </w:r>
          </w:p>
        </w:tc>
        <w:tc>
          <w:tcPr>
            <w:tcW w:w="5041" w:type="dxa"/>
          </w:tcPr>
          <w:p w:rsidR="008E05AA" w:rsidRPr="005D7872" w:rsidRDefault="008E05AA" w:rsidP="004F7425">
            <w:pPr>
              <w:jc w:val="both"/>
            </w:pPr>
            <w:r w:rsidRPr="005D7872">
              <w:t>Liekamasis arba vėlai pasireiškiantis psichozinis sutrikimas</w:t>
            </w:r>
          </w:p>
        </w:tc>
        <w:tc>
          <w:tcPr>
            <w:tcW w:w="899" w:type="dxa"/>
          </w:tcPr>
          <w:p w:rsidR="008E05AA" w:rsidRPr="005D7872" w:rsidRDefault="008E05AA" w:rsidP="004F7425">
            <w:pPr>
              <w:jc w:val="both"/>
            </w:pPr>
            <w:r w:rsidRPr="005D7872">
              <w:t>186</w:t>
            </w:r>
          </w:p>
        </w:tc>
        <w:tc>
          <w:tcPr>
            <w:tcW w:w="899" w:type="dxa"/>
          </w:tcPr>
          <w:p w:rsidR="008E05AA" w:rsidRPr="005D7872" w:rsidRDefault="008E05AA" w:rsidP="004F7425">
            <w:pPr>
              <w:jc w:val="both"/>
            </w:pPr>
            <w:r w:rsidRPr="005D7872">
              <w:t>53</w:t>
            </w:r>
          </w:p>
        </w:tc>
        <w:tc>
          <w:tcPr>
            <w:tcW w:w="899" w:type="dxa"/>
          </w:tcPr>
          <w:p w:rsidR="008E05AA" w:rsidRPr="005D7872" w:rsidRDefault="008E05AA" w:rsidP="004F7425">
            <w:pPr>
              <w:jc w:val="both"/>
            </w:pPr>
            <w:r w:rsidRPr="005D7872">
              <w:t>195</w:t>
            </w:r>
          </w:p>
        </w:tc>
        <w:tc>
          <w:tcPr>
            <w:tcW w:w="899" w:type="dxa"/>
          </w:tcPr>
          <w:p w:rsidR="008E05AA" w:rsidRPr="005D7872" w:rsidRDefault="008E05AA" w:rsidP="004F7425">
            <w:pPr>
              <w:jc w:val="both"/>
            </w:pPr>
            <w:r w:rsidRPr="005D7872">
              <w:t>61</w:t>
            </w:r>
          </w:p>
        </w:tc>
      </w:tr>
      <w:tr w:rsidR="008E05AA" w:rsidRPr="005D7872" w:rsidTr="004F7425">
        <w:tc>
          <w:tcPr>
            <w:tcW w:w="831" w:type="dxa"/>
          </w:tcPr>
          <w:p w:rsidR="008E05AA" w:rsidRPr="005D7872" w:rsidRDefault="008E05AA" w:rsidP="004F7425">
            <w:pPr>
              <w:jc w:val="both"/>
            </w:pPr>
            <w:r w:rsidRPr="005D7872">
              <w:t>F10.8</w:t>
            </w:r>
          </w:p>
        </w:tc>
        <w:tc>
          <w:tcPr>
            <w:tcW w:w="5041" w:type="dxa"/>
          </w:tcPr>
          <w:p w:rsidR="008E05AA" w:rsidRPr="005D7872" w:rsidRDefault="008E05AA" w:rsidP="004F7425">
            <w:pPr>
              <w:jc w:val="both"/>
            </w:pPr>
            <w:r w:rsidRPr="005D7872">
              <w:t>Kiti psichikos ir elgesio sutrikimai</w:t>
            </w:r>
          </w:p>
        </w:tc>
        <w:tc>
          <w:tcPr>
            <w:tcW w:w="899" w:type="dxa"/>
          </w:tcPr>
          <w:p w:rsidR="008E05AA" w:rsidRPr="005D7872" w:rsidRDefault="008E05AA" w:rsidP="004F7425">
            <w:pPr>
              <w:jc w:val="both"/>
            </w:pPr>
            <w:r w:rsidRPr="005D7872">
              <w:t>12</w:t>
            </w:r>
          </w:p>
        </w:tc>
        <w:tc>
          <w:tcPr>
            <w:tcW w:w="899" w:type="dxa"/>
          </w:tcPr>
          <w:p w:rsidR="008E05AA" w:rsidRPr="005D7872" w:rsidRDefault="008E05AA" w:rsidP="004F7425">
            <w:pPr>
              <w:jc w:val="both"/>
            </w:pPr>
            <w:r w:rsidRPr="005D7872">
              <w:t>101</w:t>
            </w:r>
          </w:p>
        </w:tc>
        <w:tc>
          <w:tcPr>
            <w:tcW w:w="899" w:type="dxa"/>
          </w:tcPr>
          <w:p w:rsidR="008E05AA" w:rsidRPr="005D7872" w:rsidRDefault="008E05AA" w:rsidP="004F7425">
            <w:pPr>
              <w:jc w:val="both"/>
            </w:pPr>
            <w:r w:rsidRPr="005D7872">
              <w:t>26</w:t>
            </w:r>
          </w:p>
        </w:tc>
        <w:tc>
          <w:tcPr>
            <w:tcW w:w="899" w:type="dxa"/>
          </w:tcPr>
          <w:p w:rsidR="008E05AA" w:rsidRPr="005D7872" w:rsidRDefault="008E05AA" w:rsidP="004F7425">
            <w:pPr>
              <w:jc w:val="both"/>
            </w:pPr>
            <w:r w:rsidRPr="005D7872">
              <w:t>75</w:t>
            </w:r>
          </w:p>
        </w:tc>
      </w:tr>
      <w:tr w:rsidR="008E05AA" w:rsidRPr="005D7872" w:rsidTr="004F7425">
        <w:tc>
          <w:tcPr>
            <w:tcW w:w="831" w:type="dxa"/>
          </w:tcPr>
          <w:p w:rsidR="008E05AA" w:rsidRPr="005D7872" w:rsidRDefault="008E05AA" w:rsidP="004F7425">
            <w:pPr>
              <w:jc w:val="both"/>
            </w:pPr>
            <w:r w:rsidRPr="005D7872">
              <w:t>F10.9</w:t>
            </w:r>
          </w:p>
        </w:tc>
        <w:tc>
          <w:tcPr>
            <w:tcW w:w="5041" w:type="dxa"/>
          </w:tcPr>
          <w:p w:rsidR="008E05AA" w:rsidRPr="005D7872" w:rsidRDefault="008E05AA" w:rsidP="004F7425">
            <w:pPr>
              <w:jc w:val="both"/>
            </w:pPr>
            <w:r w:rsidRPr="005D7872">
              <w:t>Nepatikslintas psichikos ir elgesio sutikimas</w:t>
            </w:r>
          </w:p>
        </w:tc>
        <w:tc>
          <w:tcPr>
            <w:tcW w:w="899" w:type="dxa"/>
          </w:tcPr>
          <w:p w:rsidR="008E05AA" w:rsidRPr="005D7872" w:rsidRDefault="008E05AA" w:rsidP="004F7425">
            <w:pPr>
              <w:jc w:val="both"/>
            </w:pPr>
            <w:r w:rsidRPr="005D7872">
              <w:t>27</w:t>
            </w:r>
          </w:p>
        </w:tc>
        <w:tc>
          <w:tcPr>
            <w:tcW w:w="899" w:type="dxa"/>
          </w:tcPr>
          <w:p w:rsidR="008E05AA" w:rsidRPr="005D7872" w:rsidRDefault="008E05AA" w:rsidP="004F7425">
            <w:pPr>
              <w:jc w:val="both"/>
            </w:pPr>
            <w:r w:rsidRPr="005D7872">
              <w:t>1</w:t>
            </w:r>
          </w:p>
        </w:tc>
        <w:tc>
          <w:tcPr>
            <w:tcW w:w="899" w:type="dxa"/>
          </w:tcPr>
          <w:p w:rsidR="008E05AA" w:rsidRPr="005D7872" w:rsidRDefault="008E05AA" w:rsidP="004F7425">
            <w:pPr>
              <w:jc w:val="both"/>
            </w:pPr>
            <w:r w:rsidRPr="005D7872">
              <w:t>36</w:t>
            </w:r>
          </w:p>
        </w:tc>
        <w:tc>
          <w:tcPr>
            <w:tcW w:w="899" w:type="dxa"/>
          </w:tcPr>
          <w:p w:rsidR="008E05AA" w:rsidRPr="005D7872" w:rsidRDefault="008E05AA" w:rsidP="004F7425">
            <w:pPr>
              <w:jc w:val="both"/>
            </w:pPr>
            <w:r w:rsidRPr="005D7872">
              <w:t>3</w:t>
            </w:r>
          </w:p>
        </w:tc>
      </w:tr>
      <w:tr w:rsidR="008E05AA" w:rsidRPr="005D7872" w:rsidTr="004F7425">
        <w:trPr>
          <w:cantSplit/>
        </w:trPr>
        <w:tc>
          <w:tcPr>
            <w:tcW w:w="5872" w:type="dxa"/>
            <w:gridSpan w:val="2"/>
          </w:tcPr>
          <w:p w:rsidR="008E05AA" w:rsidRPr="005D7872" w:rsidRDefault="008E05AA" w:rsidP="004F7425">
            <w:pPr>
              <w:jc w:val="both"/>
            </w:pPr>
            <w:r w:rsidRPr="005D7872">
              <w:t>Viso (per metus pagal paslaugas)</w:t>
            </w:r>
          </w:p>
        </w:tc>
        <w:tc>
          <w:tcPr>
            <w:tcW w:w="899" w:type="dxa"/>
          </w:tcPr>
          <w:p w:rsidR="008E05AA" w:rsidRPr="005D7872" w:rsidRDefault="008E05AA" w:rsidP="004F7425">
            <w:pPr>
              <w:jc w:val="both"/>
              <w:rPr>
                <w:i/>
                <w:iCs/>
              </w:rPr>
            </w:pPr>
            <w:r w:rsidRPr="005D7872">
              <w:rPr>
                <w:i/>
                <w:iCs/>
              </w:rPr>
              <w:t>10747</w:t>
            </w:r>
          </w:p>
        </w:tc>
        <w:tc>
          <w:tcPr>
            <w:tcW w:w="899" w:type="dxa"/>
          </w:tcPr>
          <w:p w:rsidR="008E05AA" w:rsidRPr="005D7872" w:rsidRDefault="008E05AA" w:rsidP="004F7425">
            <w:pPr>
              <w:jc w:val="both"/>
              <w:rPr>
                <w:i/>
                <w:iCs/>
              </w:rPr>
            </w:pPr>
            <w:r w:rsidRPr="005D7872">
              <w:rPr>
                <w:i/>
                <w:iCs/>
              </w:rPr>
              <w:t>8257</w:t>
            </w:r>
          </w:p>
        </w:tc>
        <w:tc>
          <w:tcPr>
            <w:tcW w:w="899" w:type="dxa"/>
          </w:tcPr>
          <w:p w:rsidR="008E05AA" w:rsidRPr="005D7872" w:rsidRDefault="008E05AA" w:rsidP="004F7425">
            <w:pPr>
              <w:jc w:val="both"/>
              <w:rPr>
                <w:i/>
                <w:iCs/>
              </w:rPr>
            </w:pPr>
            <w:r w:rsidRPr="005D7872">
              <w:rPr>
                <w:i/>
                <w:iCs/>
              </w:rPr>
              <w:t>10566</w:t>
            </w:r>
          </w:p>
        </w:tc>
        <w:tc>
          <w:tcPr>
            <w:tcW w:w="899" w:type="dxa"/>
          </w:tcPr>
          <w:p w:rsidR="008E05AA" w:rsidRPr="005D7872" w:rsidRDefault="008E05AA" w:rsidP="004F7425">
            <w:pPr>
              <w:jc w:val="both"/>
              <w:rPr>
                <w:i/>
                <w:iCs/>
              </w:rPr>
            </w:pPr>
            <w:r w:rsidRPr="005D7872">
              <w:rPr>
                <w:i/>
                <w:iCs/>
              </w:rPr>
              <w:t>9708</w:t>
            </w:r>
          </w:p>
        </w:tc>
      </w:tr>
      <w:tr w:rsidR="008E05AA" w:rsidRPr="005D7872" w:rsidTr="004F7425">
        <w:trPr>
          <w:cantSplit/>
        </w:trPr>
        <w:tc>
          <w:tcPr>
            <w:tcW w:w="5872" w:type="dxa"/>
            <w:gridSpan w:val="2"/>
          </w:tcPr>
          <w:p w:rsidR="008E05AA" w:rsidRPr="005D7872" w:rsidRDefault="008E05AA" w:rsidP="004F7425">
            <w:pPr>
              <w:jc w:val="both"/>
            </w:pPr>
            <w:r w:rsidRPr="005D7872">
              <w:t>Viso (per metus)</w:t>
            </w:r>
          </w:p>
        </w:tc>
        <w:tc>
          <w:tcPr>
            <w:tcW w:w="1798" w:type="dxa"/>
            <w:gridSpan w:val="2"/>
          </w:tcPr>
          <w:p w:rsidR="008E05AA" w:rsidRPr="005D7872" w:rsidRDefault="008E05AA" w:rsidP="004F7425">
            <w:pPr>
              <w:jc w:val="both"/>
            </w:pPr>
            <w:r w:rsidRPr="005D7872">
              <w:t>19 004</w:t>
            </w:r>
          </w:p>
        </w:tc>
        <w:tc>
          <w:tcPr>
            <w:tcW w:w="1798" w:type="dxa"/>
            <w:gridSpan w:val="2"/>
          </w:tcPr>
          <w:p w:rsidR="008E05AA" w:rsidRPr="005D7872" w:rsidRDefault="008E05AA" w:rsidP="004F7425">
            <w:pPr>
              <w:jc w:val="both"/>
            </w:pPr>
            <w:r w:rsidRPr="005D7872">
              <w:t>20 274</w:t>
            </w:r>
          </w:p>
        </w:tc>
      </w:tr>
    </w:tbl>
    <w:p w:rsidR="008E05AA" w:rsidRPr="005D7872" w:rsidRDefault="008E05AA" w:rsidP="008E05AA">
      <w:pPr>
        <w:jc w:val="both"/>
      </w:pPr>
      <w:r w:rsidRPr="005D7872">
        <w:rPr>
          <w:i/>
          <w:iCs/>
        </w:rPr>
        <w:t xml:space="preserve"> </w:t>
      </w:r>
    </w:p>
    <w:p w:rsidR="008E05AA" w:rsidRPr="005D7872" w:rsidRDefault="008E05AA" w:rsidP="008E05AA">
      <w:pPr>
        <w:jc w:val="both"/>
      </w:pPr>
      <w:r w:rsidRPr="005D7872">
        <w:t>2007 m. analizuojant priklausomybę kitoms psichiką veikiančioms medžiagoms padaugėjo asmenų į asmens sveikatos priežiūros įstaigas (toliau – ASPĮ) besikreipusių tik dėl priklausomybės raminančioms (F13) ir lakioms (F18) medžiagoms. Dėl žalingo kitų psichiką veikiančių medžiagų vartojimo kreipimosi atvejų sumažėjo. Priklausomybės nuo kitų medžiagų metų bėgyje kito nežymiai ir pasiskirstė taip:</w:t>
      </w:r>
    </w:p>
    <w:p w:rsidR="008E05AA" w:rsidRPr="005D7872" w:rsidRDefault="008E05AA" w:rsidP="008E05AA">
      <w:pPr>
        <w:jc w:val="both"/>
      </w:pPr>
      <w:r w:rsidRPr="005D7872">
        <w:rPr>
          <w:i/>
          <w:iCs/>
        </w:rPr>
        <w:t xml:space="preserve"> Diagnozuoti psichikos ir elgesio sutrikimų vartojant psichiką veikiančias medžiagas atvejai išskyrus alkoholį </w:t>
      </w:r>
    </w:p>
    <w:p w:rsidR="008E05AA" w:rsidRPr="005D7872" w:rsidRDefault="008E05AA" w:rsidP="008E05AA">
      <w:pPr>
        <w:jc w:val="both"/>
      </w:pPr>
      <w:r w:rsidRPr="005D7872">
        <w:rPr>
          <w:noProof/>
          <w:lang w:eastAsia="lt-LT"/>
        </w:rPr>
        <w:drawing>
          <wp:inline distT="0" distB="0" distL="0" distR="0" wp14:anchorId="69203F50" wp14:editId="1529D7A7">
            <wp:extent cx="5257800" cy="2447925"/>
            <wp:effectExtent l="0" t="0" r="0" b="0"/>
            <wp:docPr id="57" name="Diagrama 5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8E05AA" w:rsidRPr="005D7872" w:rsidRDefault="008E05AA" w:rsidP="008E05AA">
      <w:pPr>
        <w:jc w:val="both"/>
        <w:rPr>
          <w:i/>
          <w:iCs/>
        </w:rPr>
      </w:pPr>
    </w:p>
    <w:p w:rsidR="008E05AA" w:rsidRPr="005D7872" w:rsidRDefault="008E05AA" w:rsidP="008E05AA">
      <w:pPr>
        <w:jc w:val="both"/>
        <w:rPr>
          <w:i/>
          <w:iCs/>
        </w:rPr>
      </w:pPr>
    </w:p>
    <w:p w:rsidR="008E05AA" w:rsidRPr="005D7872" w:rsidRDefault="008E05AA" w:rsidP="008E05AA">
      <w:pPr>
        <w:jc w:val="both"/>
      </w:pPr>
      <w:r w:rsidRPr="005D7872">
        <w:rPr>
          <w:i/>
          <w:iCs/>
        </w:rPr>
        <w:t xml:space="preserve"> </w:t>
      </w:r>
    </w:p>
    <w:p w:rsidR="008E05AA" w:rsidRPr="005D7872" w:rsidRDefault="008E05AA" w:rsidP="008E05AA">
      <w:pPr>
        <w:jc w:val="both"/>
        <w:rPr>
          <w:i/>
          <w:iCs/>
          <w:highlight w:val="yellow"/>
        </w:rPr>
      </w:pPr>
      <w:r w:rsidRPr="005D7872">
        <w:rPr>
          <w:i/>
          <w:iCs/>
        </w:rPr>
        <w:t xml:space="preserve"> STACIONARINĖSE ASPĮ GYDYTI PSICHIKOS IR ELGESIO SUTRIKIMAI VARTOJANT PSICHIKĄ VEIKIANČIAS MEDŽIAGAS 2007 m.</w:t>
      </w:r>
    </w:p>
    <w:p w:rsidR="008E05AA" w:rsidRPr="005D7872" w:rsidRDefault="008E05AA" w:rsidP="008E05AA">
      <w:pPr>
        <w:jc w:val="both"/>
      </w:pPr>
    </w:p>
    <w:p w:rsidR="008E05AA" w:rsidRPr="005D7872" w:rsidRDefault="008E05AA" w:rsidP="008E05AA">
      <w:pPr>
        <w:ind w:firstLine="720"/>
        <w:jc w:val="both"/>
      </w:pPr>
      <w:r w:rsidRPr="005D7872">
        <w:t xml:space="preserve">Dalis pacientų, besikreipusių į pirminės sveikatos priežiūros įstaigas tolesniam gydymui buvo perkelti į stacionarines paslaugas teikiančias įstaigas. Todėl siekiant išvengti duomenų dubliavimo ir darydami prielaidą, jog stacionarines paslaugas teikiančiose ASPĮ buvo gydytos sunkios priklausomybių formos. </w:t>
      </w:r>
    </w:p>
    <w:p w:rsidR="008E05AA" w:rsidRPr="005D7872" w:rsidRDefault="008E05AA" w:rsidP="008E05AA">
      <w:pPr>
        <w:ind w:firstLine="720"/>
        <w:jc w:val="both"/>
      </w:pPr>
      <w:r w:rsidRPr="005D7872">
        <w:t xml:space="preserve">2007 m. į stacionarines ASPĮ  gydytis psichikos ir elgesio sutrikimus dėl žalingo psichiką veikiančių medžiagų vartojimo kreipėsi 10 019 asmenų. Tarp visų asmenų, piktnaudžiaujančių psichiką veikiančiomis medžiagomis, vyrai sudaro didesniąją dalį. </w:t>
      </w:r>
    </w:p>
    <w:p w:rsidR="008E05AA" w:rsidRPr="005D7872" w:rsidRDefault="008E05AA" w:rsidP="008E05AA">
      <w:pPr>
        <w:jc w:val="both"/>
      </w:pPr>
      <w:r w:rsidRPr="005D7872">
        <w:rPr>
          <w:i/>
          <w:iCs/>
        </w:rPr>
        <w:t>Psichikos ir elgesio sutrikimai vartojant psichiką veikiančias medžiagas pagal lytį:</w:t>
      </w:r>
    </w:p>
    <w:p w:rsidR="008E05AA" w:rsidRPr="005D7872" w:rsidRDefault="008E05AA" w:rsidP="008E05AA">
      <w:pPr>
        <w:jc w:val="both"/>
        <w:rPr>
          <w:i/>
          <w:iCs/>
        </w:rPr>
      </w:pPr>
      <w:r w:rsidRPr="005D7872">
        <w:rPr>
          <w:noProof/>
          <w:lang w:eastAsia="lt-LT"/>
        </w:rPr>
        <w:lastRenderedPageBreak/>
        <w:drawing>
          <wp:inline distT="0" distB="0" distL="0" distR="0" wp14:anchorId="0142D140" wp14:editId="7B6244D6">
            <wp:extent cx="4600575" cy="2447925"/>
            <wp:effectExtent l="0" t="0" r="0" b="0"/>
            <wp:docPr id="58" name="Diagrama 5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r w:rsidRPr="005D7872">
        <w:rPr>
          <w:i/>
          <w:iCs/>
        </w:rPr>
        <w:t xml:space="preserve"> </w:t>
      </w:r>
    </w:p>
    <w:p w:rsidR="008E05AA" w:rsidRPr="005D7872" w:rsidRDefault="008E05AA" w:rsidP="008E05AA">
      <w:pPr>
        <w:jc w:val="both"/>
      </w:pPr>
    </w:p>
    <w:p w:rsidR="008E05AA" w:rsidRPr="005D7872" w:rsidRDefault="008E05AA" w:rsidP="008E05AA">
      <w:pPr>
        <w:jc w:val="both"/>
      </w:pPr>
      <w:r w:rsidRPr="005D7872">
        <w:tab/>
        <w:t>Analizuojant VLK pateiktus duomenis apie ligoninėse gydomus priklausomybe sergančius asmenis nustatyta, kad 90 proc. minėtomis medžiagomis piktnaudžiaujančių asmenų yra 25- 74 metų amžiaus.</w:t>
      </w:r>
    </w:p>
    <w:p w:rsidR="008E05AA" w:rsidRPr="005D7872" w:rsidRDefault="008E05AA" w:rsidP="008E05AA">
      <w:pPr>
        <w:jc w:val="both"/>
      </w:pPr>
      <w:r w:rsidRPr="005D7872">
        <w:rPr>
          <w:i/>
          <w:iCs/>
        </w:rPr>
        <w:t>Priklausomybė nuo psichiką veikiančių medžiagų skirtingose amžiaus grupėse:</w:t>
      </w:r>
    </w:p>
    <w:p w:rsidR="008E05AA" w:rsidRPr="005D7872" w:rsidRDefault="008E05AA" w:rsidP="008E05AA">
      <w:pPr>
        <w:jc w:val="both"/>
        <w:rPr>
          <w:i/>
          <w:iCs/>
        </w:rPr>
      </w:pPr>
      <w:r w:rsidRPr="005D7872">
        <w:rPr>
          <w:noProof/>
          <w:lang w:eastAsia="lt-LT"/>
        </w:rPr>
        <w:drawing>
          <wp:inline distT="0" distB="0" distL="0" distR="0" wp14:anchorId="03F7B59E" wp14:editId="50FF0E3E">
            <wp:extent cx="4600575" cy="2447925"/>
            <wp:effectExtent l="0" t="0" r="0" b="0"/>
            <wp:docPr id="59" name="Diagrama 5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8E05AA" w:rsidRPr="005D7872" w:rsidRDefault="008E05AA" w:rsidP="008E05AA">
      <w:pPr>
        <w:jc w:val="both"/>
      </w:pPr>
    </w:p>
    <w:p w:rsidR="008E05AA" w:rsidRPr="005D7872" w:rsidRDefault="008E05AA" w:rsidP="008E05AA">
      <w:pPr>
        <w:ind w:firstLine="720"/>
        <w:jc w:val="both"/>
      </w:pPr>
      <w:r w:rsidRPr="005D7872">
        <w:t>Daugiau nei 96 proc. ligoninėse gydytų asmenų buvo diagnozuotas psichikos ir elgesio sutrikimas vartojant alkoholį. Iš kurių dauguma - dėl abstinencijos būklės ir delyro (baltosios karštinės).</w:t>
      </w: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jc w:val="both"/>
      </w:pPr>
      <w:r w:rsidRPr="005D7872">
        <w:rPr>
          <w:i/>
          <w:iCs/>
        </w:rPr>
        <w:t>2007 m. ligoninėse gydyti psichikos ir elgesio sutrikimai vartojant alkoholį pagal būkles ir lytį:</w:t>
      </w:r>
    </w:p>
    <w:p w:rsidR="008E05AA" w:rsidRPr="005D7872" w:rsidRDefault="008E05AA" w:rsidP="008E05AA">
      <w:pPr>
        <w:jc w:val="both"/>
      </w:pP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4348"/>
        <w:gridCol w:w="1440"/>
        <w:gridCol w:w="900"/>
        <w:gridCol w:w="900"/>
      </w:tblGrid>
      <w:tr w:rsidR="008E05AA" w:rsidRPr="005D7872" w:rsidTr="004F7425">
        <w:trPr>
          <w:cantSplit/>
        </w:trPr>
        <w:tc>
          <w:tcPr>
            <w:tcW w:w="800" w:type="dxa"/>
            <w:vMerge w:val="restart"/>
          </w:tcPr>
          <w:p w:rsidR="008E05AA" w:rsidRPr="005D7872" w:rsidRDefault="008E05AA" w:rsidP="004F7425">
            <w:pPr>
              <w:jc w:val="both"/>
            </w:pPr>
          </w:p>
        </w:tc>
        <w:tc>
          <w:tcPr>
            <w:tcW w:w="4348" w:type="dxa"/>
            <w:vMerge w:val="restart"/>
          </w:tcPr>
          <w:p w:rsidR="008E05AA" w:rsidRPr="005D7872" w:rsidRDefault="008E05AA" w:rsidP="004F7425">
            <w:pPr>
              <w:jc w:val="both"/>
            </w:pPr>
          </w:p>
        </w:tc>
        <w:tc>
          <w:tcPr>
            <w:tcW w:w="3240" w:type="dxa"/>
            <w:gridSpan w:val="3"/>
          </w:tcPr>
          <w:p w:rsidR="008E05AA" w:rsidRPr="005D7872" w:rsidRDefault="008E05AA" w:rsidP="004F7425">
            <w:pPr>
              <w:jc w:val="both"/>
            </w:pPr>
            <w:r w:rsidRPr="005D7872">
              <w:t>2007</w:t>
            </w:r>
          </w:p>
        </w:tc>
      </w:tr>
      <w:tr w:rsidR="008E05AA" w:rsidRPr="005D7872" w:rsidTr="004F7425">
        <w:trPr>
          <w:cantSplit/>
        </w:trPr>
        <w:tc>
          <w:tcPr>
            <w:tcW w:w="800" w:type="dxa"/>
            <w:vMerge/>
          </w:tcPr>
          <w:p w:rsidR="008E05AA" w:rsidRPr="005D7872" w:rsidRDefault="008E05AA" w:rsidP="004F7425">
            <w:pPr>
              <w:jc w:val="both"/>
            </w:pPr>
          </w:p>
        </w:tc>
        <w:tc>
          <w:tcPr>
            <w:tcW w:w="4348" w:type="dxa"/>
            <w:vMerge/>
          </w:tcPr>
          <w:p w:rsidR="008E05AA" w:rsidRPr="005D7872" w:rsidRDefault="008E05AA" w:rsidP="004F7425">
            <w:pPr>
              <w:jc w:val="both"/>
            </w:pPr>
          </w:p>
        </w:tc>
        <w:tc>
          <w:tcPr>
            <w:tcW w:w="1440" w:type="dxa"/>
          </w:tcPr>
          <w:p w:rsidR="008E05AA" w:rsidRPr="005D7872" w:rsidRDefault="008E05AA" w:rsidP="004F7425">
            <w:pPr>
              <w:jc w:val="both"/>
            </w:pPr>
            <w:r w:rsidRPr="005D7872">
              <w:t>Viso</w:t>
            </w:r>
          </w:p>
        </w:tc>
        <w:tc>
          <w:tcPr>
            <w:tcW w:w="900" w:type="dxa"/>
          </w:tcPr>
          <w:p w:rsidR="008E05AA" w:rsidRPr="005D7872" w:rsidRDefault="008E05AA" w:rsidP="004F7425">
            <w:pPr>
              <w:jc w:val="both"/>
            </w:pPr>
            <w:r w:rsidRPr="005D7872">
              <w:t>Vyr.</w:t>
            </w:r>
          </w:p>
        </w:tc>
        <w:tc>
          <w:tcPr>
            <w:tcW w:w="900" w:type="dxa"/>
          </w:tcPr>
          <w:p w:rsidR="008E05AA" w:rsidRPr="005D7872" w:rsidRDefault="008E05AA" w:rsidP="004F7425">
            <w:pPr>
              <w:jc w:val="both"/>
            </w:pPr>
            <w:r w:rsidRPr="005D7872">
              <w:t>Mot.</w:t>
            </w:r>
          </w:p>
        </w:tc>
      </w:tr>
      <w:tr w:rsidR="008E05AA" w:rsidRPr="005D7872" w:rsidTr="004F7425">
        <w:tc>
          <w:tcPr>
            <w:tcW w:w="800" w:type="dxa"/>
          </w:tcPr>
          <w:p w:rsidR="008E05AA" w:rsidRPr="005D7872" w:rsidRDefault="008E05AA" w:rsidP="004F7425">
            <w:pPr>
              <w:jc w:val="both"/>
            </w:pPr>
            <w:r w:rsidRPr="005D7872">
              <w:t>F10</w:t>
            </w:r>
          </w:p>
        </w:tc>
        <w:tc>
          <w:tcPr>
            <w:tcW w:w="4348" w:type="dxa"/>
          </w:tcPr>
          <w:p w:rsidR="008E05AA" w:rsidRPr="005D7872" w:rsidRDefault="008E05AA" w:rsidP="004F7425">
            <w:pPr>
              <w:jc w:val="both"/>
            </w:pPr>
            <w:r w:rsidRPr="005D7872">
              <w:t>Psichikos ir elgesio sutrikimai vartojant alkoholį</w:t>
            </w:r>
          </w:p>
        </w:tc>
        <w:tc>
          <w:tcPr>
            <w:tcW w:w="1440" w:type="dxa"/>
          </w:tcPr>
          <w:p w:rsidR="008E05AA" w:rsidRPr="005D7872" w:rsidRDefault="008E05AA" w:rsidP="004F7425">
            <w:pPr>
              <w:jc w:val="both"/>
            </w:pPr>
            <w:r w:rsidRPr="005D7872">
              <w:t>142</w:t>
            </w:r>
          </w:p>
        </w:tc>
        <w:tc>
          <w:tcPr>
            <w:tcW w:w="900" w:type="dxa"/>
          </w:tcPr>
          <w:p w:rsidR="008E05AA" w:rsidRPr="005D7872" w:rsidRDefault="008E05AA" w:rsidP="004F7425">
            <w:pPr>
              <w:jc w:val="both"/>
            </w:pPr>
            <w:r w:rsidRPr="005D7872">
              <w:t>117</w:t>
            </w:r>
          </w:p>
        </w:tc>
        <w:tc>
          <w:tcPr>
            <w:tcW w:w="900" w:type="dxa"/>
          </w:tcPr>
          <w:p w:rsidR="008E05AA" w:rsidRPr="005D7872" w:rsidRDefault="008E05AA" w:rsidP="004F7425">
            <w:pPr>
              <w:jc w:val="both"/>
            </w:pPr>
            <w:r w:rsidRPr="005D7872">
              <w:t>25</w:t>
            </w:r>
          </w:p>
        </w:tc>
      </w:tr>
      <w:tr w:rsidR="008E05AA" w:rsidRPr="005D7872" w:rsidTr="004F7425">
        <w:tc>
          <w:tcPr>
            <w:tcW w:w="800" w:type="dxa"/>
          </w:tcPr>
          <w:p w:rsidR="008E05AA" w:rsidRPr="005D7872" w:rsidRDefault="008E05AA" w:rsidP="004F7425">
            <w:pPr>
              <w:jc w:val="both"/>
            </w:pPr>
            <w:r w:rsidRPr="005D7872">
              <w:t>F10.0</w:t>
            </w:r>
          </w:p>
        </w:tc>
        <w:tc>
          <w:tcPr>
            <w:tcW w:w="4348" w:type="dxa"/>
          </w:tcPr>
          <w:p w:rsidR="008E05AA" w:rsidRPr="005D7872" w:rsidRDefault="008E05AA" w:rsidP="004F7425">
            <w:pPr>
              <w:jc w:val="both"/>
            </w:pPr>
            <w:r w:rsidRPr="005D7872">
              <w:t>Ūminė intoksikacija</w:t>
            </w:r>
          </w:p>
        </w:tc>
        <w:tc>
          <w:tcPr>
            <w:tcW w:w="1440" w:type="dxa"/>
          </w:tcPr>
          <w:p w:rsidR="008E05AA" w:rsidRPr="005D7872" w:rsidRDefault="008E05AA" w:rsidP="004F7425">
            <w:pPr>
              <w:jc w:val="both"/>
            </w:pPr>
            <w:r w:rsidRPr="005D7872">
              <w:t>256</w:t>
            </w:r>
          </w:p>
        </w:tc>
        <w:tc>
          <w:tcPr>
            <w:tcW w:w="900" w:type="dxa"/>
          </w:tcPr>
          <w:p w:rsidR="008E05AA" w:rsidRPr="005D7872" w:rsidRDefault="008E05AA" w:rsidP="004F7425">
            <w:pPr>
              <w:jc w:val="both"/>
            </w:pPr>
            <w:r w:rsidRPr="005D7872">
              <w:t>192</w:t>
            </w:r>
          </w:p>
        </w:tc>
        <w:tc>
          <w:tcPr>
            <w:tcW w:w="900" w:type="dxa"/>
          </w:tcPr>
          <w:p w:rsidR="008E05AA" w:rsidRPr="005D7872" w:rsidRDefault="008E05AA" w:rsidP="004F7425">
            <w:pPr>
              <w:jc w:val="both"/>
            </w:pPr>
            <w:r w:rsidRPr="005D7872">
              <w:t>64</w:t>
            </w:r>
          </w:p>
        </w:tc>
      </w:tr>
      <w:tr w:rsidR="008E05AA" w:rsidRPr="005D7872" w:rsidTr="004F7425">
        <w:tc>
          <w:tcPr>
            <w:tcW w:w="800" w:type="dxa"/>
          </w:tcPr>
          <w:p w:rsidR="008E05AA" w:rsidRPr="005D7872" w:rsidRDefault="008E05AA" w:rsidP="004F7425">
            <w:pPr>
              <w:jc w:val="both"/>
            </w:pPr>
            <w:r w:rsidRPr="005D7872">
              <w:t>F10.1</w:t>
            </w:r>
          </w:p>
        </w:tc>
        <w:tc>
          <w:tcPr>
            <w:tcW w:w="4348" w:type="dxa"/>
          </w:tcPr>
          <w:p w:rsidR="008E05AA" w:rsidRPr="005D7872" w:rsidRDefault="008E05AA" w:rsidP="004F7425">
            <w:pPr>
              <w:jc w:val="both"/>
            </w:pPr>
            <w:r w:rsidRPr="005D7872">
              <w:t>Žalingas vartojimas</w:t>
            </w:r>
          </w:p>
        </w:tc>
        <w:tc>
          <w:tcPr>
            <w:tcW w:w="1440" w:type="dxa"/>
          </w:tcPr>
          <w:p w:rsidR="008E05AA" w:rsidRPr="005D7872" w:rsidRDefault="008E05AA" w:rsidP="004F7425">
            <w:pPr>
              <w:jc w:val="both"/>
            </w:pPr>
            <w:r w:rsidRPr="005D7872">
              <w:t>86</w:t>
            </w:r>
          </w:p>
        </w:tc>
        <w:tc>
          <w:tcPr>
            <w:tcW w:w="900" w:type="dxa"/>
          </w:tcPr>
          <w:p w:rsidR="008E05AA" w:rsidRPr="005D7872" w:rsidRDefault="008E05AA" w:rsidP="004F7425">
            <w:pPr>
              <w:jc w:val="both"/>
            </w:pPr>
            <w:r w:rsidRPr="005D7872">
              <w:t>73</w:t>
            </w:r>
          </w:p>
        </w:tc>
        <w:tc>
          <w:tcPr>
            <w:tcW w:w="900" w:type="dxa"/>
          </w:tcPr>
          <w:p w:rsidR="008E05AA" w:rsidRPr="005D7872" w:rsidRDefault="008E05AA" w:rsidP="004F7425">
            <w:pPr>
              <w:jc w:val="both"/>
            </w:pPr>
            <w:r w:rsidRPr="005D7872">
              <w:t>13</w:t>
            </w:r>
          </w:p>
        </w:tc>
      </w:tr>
      <w:tr w:rsidR="008E05AA" w:rsidRPr="005D7872" w:rsidTr="004F7425">
        <w:tc>
          <w:tcPr>
            <w:tcW w:w="800" w:type="dxa"/>
          </w:tcPr>
          <w:p w:rsidR="008E05AA" w:rsidRPr="005D7872" w:rsidRDefault="008E05AA" w:rsidP="004F7425">
            <w:pPr>
              <w:jc w:val="both"/>
            </w:pPr>
            <w:r w:rsidRPr="005D7872">
              <w:t>F10.2</w:t>
            </w:r>
          </w:p>
        </w:tc>
        <w:tc>
          <w:tcPr>
            <w:tcW w:w="4348" w:type="dxa"/>
          </w:tcPr>
          <w:p w:rsidR="008E05AA" w:rsidRPr="005D7872" w:rsidRDefault="008E05AA" w:rsidP="004F7425">
            <w:pPr>
              <w:jc w:val="both"/>
            </w:pPr>
            <w:r w:rsidRPr="005D7872">
              <w:t>Priklausomybės sindromas</w:t>
            </w:r>
          </w:p>
        </w:tc>
        <w:tc>
          <w:tcPr>
            <w:tcW w:w="1440" w:type="dxa"/>
          </w:tcPr>
          <w:p w:rsidR="008E05AA" w:rsidRPr="005D7872" w:rsidRDefault="008E05AA" w:rsidP="004F7425">
            <w:pPr>
              <w:jc w:val="both"/>
            </w:pPr>
            <w:r w:rsidRPr="005D7872">
              <w:t>131</w:t>
            </w:r>
          </w:p>
        </w:tc>
        <w:tc>
          <w:tcPr>
            <w:tcW w:w="900" w:type="dxa"/>
          </w:tcPr>
          <w:p w:rsidR="008E05AA" w:rsidRPr="005D7872" w:rsidRDefault="008E05AA" w:rsidP="004F7425">
            <w:pPr>
              <w:jc w:val="both"/>
            </w:pPr>
            <w:r w:rsidRPr="005D7872">
              <w:t>104</w:t>
            </w:r>
          </w:p>
        </w:tc>
        <w:tc>
          <w:tcPr>
            <w:tcW w:w="900" w:type="dxa"/>
          </w:tcPr>
          <w:p w:rsidR="008E05AA" w:rsidRPr="005D7872" w:rsidRDefault="008E05AA" w:rsidP="004F7425">
            <w:pPr>
              <w:jc w:val="both"/>
            </w:pPr>
            <w:r w:rsidRPr="005D7872">
              <w:t>27</w:t>
            </w:r>
          </w:p>
        </w:tc>
      </w:tr>
      <w:tr w:rsidR="008E05AA" w:rsidRPr="005D7872" w:rsidTr="004F7425">
        <w:tc>
          <w:tcPr>
            <w:tcW w:w="800" w:type="dxa"/>
          </w:tcPr>
          <w:p w:rsidR="008E05AA" w:rsidRPr="005D7872" w:rsidRDefault="008E05AA" w:rsidP="004F7425">
            <w:pPr>
              <w:jc w:val="both"/>
            </w:pPr>
            <w:r w:rsidRPr="005D7872">
              <w:t>F10.3</w:t>
            </w:r>
          </w:p>
        </w:tc>
        <w:tc>
          <w:tcPr>
            <w:tcW w:w="4348" w:type="dxa"/>
          </w:tcPr>
          <w:p w:rsidR="008E05AA" w:rsidRPr="005D7872" w:rsidRDefault="008E05AA" w:rsidP="004F7425">
            <w:pPr>
              <w:jc w:val="both"/>
            </w:pPr>
            <w:r w:rsidRPr="005D7872">
              <w:t>Abstinencijos būklė</w:t>
            </w:r>
          </w:p>
        </w:tc>
        <w:tc>
          <w:tcPr>
            <w:tcW w:w="1440" w:type="dxa"/>
          </w:tcPr>
          <w:p w:rsidR="008E05AA" w:rsidRPr="005D7872" w:rsidRDefault="008E05AA" w:rsidP="004F7425">
            <w:pPr>
              <w:jc w:val="both"/>
            </w:pPr>
            <w:r w:rsidRPr="005D7872">
              <w:t>4079</w:t>
            </w:r>
          </w:p>
        </w:tc>
        <w:tc>
          <w:tcPr>
            <w:tcW w:w="900" w:type="dxa"/>
          </w:tcPr>
          <w:p w:rsidR="008E05AA" w:rsidRPr="005D7872" w:rsidRDefault="008E05AA" w:rsidP="004F7425">
            <w:pPr>
              <w:jc w:val="both"/>
            </w:pPr>
            <w:r w:rsidRPr="005D7872">
              <w:t>3508</w:t>
            </w:r>
          </w:p>
        </w:tc>
        <w:tc>
          <w:tcPr>
            <w:tcW w:w="900" w:type="dxa"/>
          </w:tcPr>
          <w:p w:rsidR="008E05AA" w:rsidRPr="005D7872" w:rsidRDefault="008E05AA" w:rsidP="004F7425">
            <w:pPr>
              <w:jc w:val="both"/>
            </w:pPr>
            <w:r w:rsidRPr="005D7872">
              <w:t>571</w:t>
            </w:r>
          </w:p>
        </w:tc>
      </w:tr>
      <w:tr w:rsidR="008E05AA" w:rsidRPr="005D7872" w:rsidTr="004F7425">
        <w:tc>
          <w:tcPr>
            <w:tcW w:w="800" w:type="dxa"/>
          </w:tcPr>
          <w:p w:rsidR="008E05AA" w:rsidRPr="005D7872" w:rsidRDefault="008E05AA" w:rsidP="004F7425">
            <w:pPr>
              <w:jc w:val="both"/>
            </w:pPr>
            <w:r w:rsidRPr="005D7872">
              <w:t>F10.4</w:t>
            </w:r>
          </w:p>
        </w:tc>
        <w:tc>
          <w:tcPr>
            <w:tcW w:w="4348" w:type="dxa"/>
          </w:tcPr>
          <w:p w:rsidR="008E05AA" w:rsidRPr="005D7872" w:rsidRDefault="008E05AA" w:rsidP="004F7425">
            <w:pPr>
              <w:jc w:val="both"/>
            </w:pPr>
            <w:r w:rsidRPr="005D7872">
              <w:t>Abstinencijos būklė su delyru</w:t>
            </w:r>
          </w:p>
        </w:tc>
        <w:tc>
          <w:tcPr>
            <w:tcW w:w="1440" w:type="dxa"/>
          </w:tcPr>
          <w:p w:rsidR="008E05AA" w:rsidRPr="005D7872" w:rsidRDefault="008E05AA" w:rsidP="004F7425">
            <w:pPr>
              <w:jc w:val="both"/>
            </w:pPr>
            <w:r w:rsidRPr="005D7872">
              <w:t>4269</w:t>
            </w:r>
          </w:p>
        </w:tc>
        <w:tc>
          <w:tcPr>
            <w:tcW w:w="900" w:type="dxa"/>
          </w:tcPr>
          <w:p w:rsidR="008E05AA" w:rsidRPr="005D7872" w:rsidRDefault="008E05AA" w:rsidP="004F7425">
            <w:pPr>
              <w:jc w:val="both"/>
            </w:pPr>
            <w:r w:rsidRPr="005D7872">
              <w:t>3642</w:t>
            </w:r>
          </w:p>
        </w:tc>
        <w:tc>
          <w:tcPr>
            <w:tcW w:w="900" w:type="dxa"/>
          </w:tcPr>
          <w:p w:rsidR="008E05AA" w:rsidRPr="005D7872" w:rsidRDefault="008E05AA" w:rsidP="004F7425">
            <w:pPr>
              <w:jc w:val="both"/>
            </w:pPr>
            <w:r w:rsidRPr="005D7872">
              <w:t>627</w:t>
            </w:r>
          </w:p>
        </w:tc>
      </w:tr>
      <w:tr w:rsidR="008E05AA" w:rsidRPr="005D7872" w:rsidTr="004F7425">
        <w:tc>
          <w:tcPr>
            <w:tcW w:w="800" w:type="dxa"/>
          </w:tcPr>
          <w:p w:rsidR="008E05AA" w:rsidRPr="005D7872" w:rsidRDefault="008E05AA" w:rsidP="004F7425">
            <w:pPr>
              <w:jc w:val="both"/>
            </w:pPr>
            <w:r w:rsidRPr="005D7872">
              <w:t>F10.5</w:t>
            </w:r>
          </w:p>
        </w:tc>
        <w:tc>
          <w:tcPr>
            <w:tcW w:w="4348" w:type="dxa"/>
          </w:tcPr>
          <w:p w:rsidR="008E05AA" w:rsidRPr="005D7872" w:rsidRDefault="008E05AA" w:rsidP="004F7425">
            <w:pPr>
              <w:jc w:val="both"/>
            </w:pPr>
            <w:r w:rsidRPr="005D7872">
              <w:t>Psichozinis sutrikimas</w:t>
            </w:r>
          </w:p>
        </w:tc>
        <w:tc>
          <w:tcPr>
            <w:tcW w:w="1440" w:type="dxa"/>
          </w:tcPr>
          <w:p w:rsidR="008E05AA" w:rsidRPr="005D7872" w:rsidRDefault="008E05AA" w:rsidP="004F7425">
            <w:pPr>
              <w:jc w:val="both"/>
            </w:pPr>
            <w:r w:rsidRPr="005D7872">
              <w:t>572</w:t>
            </w:r>
          </w:p>
        </w:tc>
        <w:tc>
          <w:tcPr>
            <w:tcW w:w="900" w:type="dxa"/>
          </w:tcPr>
          <w:p w:rsidR="008E05AA" w:rsidRPr="005D7872" w:rsidRDefault="008E05AA" w:rsidP="004F7425">
            <w:pPr>
              <w:jc w:val="both"/>
            </w:pPr>
            <w:r w:rsidRPr="005D7872">
              <w:t>434</w:t>
            </w:r>
          </w:p>
        </w:tc>
        <w:tc>
          <w:tcPr>
            <w:tcW w:w="900" w:type="dxa"/>
          </w:tcPr>
          <w:p w:rsidR="008E05AA" w:rsidRPr="005D7872" w:rsidRDefault="008E05AA" w:rsidP="004F7425">
            <w:pPr>
              <w:jc w:val="both"/>
            </w:pPr>
            <w:r w:rsidRPr="005D7872">
              <w:t>138</w:t>
            </w:r>
          </w:p>
        </w:tc>
      </w:tr>
      <w:tr w:rsidR="008E05AA" w:rsidRPr="005D7872" w:rsidTr="004F7425">
        <w:tc>
          <w:tcPr>
            <w:tcW w:w="800" w:type="dxa"/>
          </w:tcPr>
          <w:p w:rsidR="008E05AA" w:rsidRPr="005D7872" w:rsidRDefault="008E05AA" w:rsidP="004F7425">
            <w:pPr>
              <w:jc w:val="both"/>
            </w:pPr>
            <w:r w:rsidRPr="005D7872">
              <w:t>F10.6</w:t>
            </w:r>
          </w:p>
        </w:tc>
        <w:tc>
          <w:tcPr>
            <w:tcW w:w="4348" w:type="dxa"/>
          </w:tcPr>
          <w:p w:rsidR="008E05AA" w:rsidRPr="005D7872" w:rsidRDefault="008E05AA" w:rsidP="004F7425">
            <w:pPr>
              <w:jc w:val="both"/>
            </w:pPr>
            <w:r w:rsidRPr="005D7872">
              <w:t>Amnezinis sindromas</w:t>
            </w:r>
          </w:p>
        </w:tc>
        <w:tc>
          <w:tcPr>
            <w:tcW w:w="1440" w:type="dxa"/>
          </w:tcPr>
          <w:p w:rsidR="008E05AA" w:rsidRPr="005D7872" w:rsidRDefault="008E05AA" w:rsidP="004F7425">
            <w:pPr>
              <w:jc w:val="both"/>
            </w:pPr>
            <w:r w:rsidRPr="005D7872">
              <w:t>34</w:t>
            </w:r>
          </w:p>
        </w:tc>
        <w:tc>
          <w:tcPr>
            <w:tcW w:w="900" w:type="dxa"/>
          </w:tcPr>
          <w:p w:rsidR="008E05AA" w:rsidRPr="005D7872" w:rsidRDefault="008E05AA" w:rsidP="004F7425">
            <w:pPr>
              <w:jc w:val="both"/>
            </w:pPr>
            <w:r w:rsidRPr="005D7872">
              <w:t>27</w:t>
            </w:r>
          </w:p>
        </w:tc>
        <w:tc>
          <w:tcPr>
            <w:tcW w:w="900" w:type="dxa"/>
          </w:tcPr>
          <w:p w:rsidR="008E05AA" w:rsidRPr="005D7872" w:rsidRDefault="008E05AA" w:rsidP="004F7425">
            <w:pPr>
              <w:jc w:val="both"/>
            </w:pPr>
            <w:r w:rsidRPr="005D7872">
              <w:t>7</w:t>
            </w:r>
          </w:p>
        </w:tc>
      </w:tr>
      <w:tr w:rsidR="008E05AA" w:rsidRPr="005D7872" w:rsidTr="004F7425">
        <w:tc>
          <w:tcPr>
            <w:tcW w:w="800" w:type="dxa"/>
          </w:tcPr>
          <w:p w:rsidR="008E05AA" w:rsidRPr="005D7872" w:rsidRDefault="008E05AA" w:rsidP="004F7425">
            <w:pPr>
              <w:jc w:val="both"/>
            </w:pPr>
            <w:r w:rsidRPr="005D7872">
              <w:t>F10.7</w:t>
            </w:r>
          </w:p>
        </w:tc>
        <w:tc>
          <w:tcPr>
            <w:tcW w:w="4348" w:type="dxa"/>
          </w:tcPr>
          <w:p w:rsidR="008E05AA" w:rsidRPr="005D7872" w:rsidRDefault="008E05AA" w:rsidP="004F7425">
            <w:pPr>
              <w:jc w:val="both"/>
            </w:pPr>
            <w:r w:rsidRPr="005D7872">
              <w:t xml:space="preserve">Liekamasis arba vėlai pasireiškiantis </w:t>
            </w:r>
            <w:r w:rsidRPr="005D7872">
              <w:lastRenderedPageBreak/>
              <w:t>psichozinis sutrikimas</w:t>
            </w:r>
          </w:p>
        </w:tc>
        <w:tc>
          <w:tcPr>
            <w:tcW w:w="1440" w:type="dxa"/>
          </w:tcPr>
          <w:p w:rsidR="008E05AA" w:rsidRPr="005D7872" w:rsidRDefault="008E05AA" w:rsidP="004F7425">
            <w:pPr>
              <w:jc w:val="both"/>
            </w:pPr>
            <w:r w:rsidRPr="005D7872">
              <w:lastRenderedPageBreak/>
              <w:t>61</w:t>
            </w:r>
          </w:p>
        </w:tc>
        <w:tc>
          <w:tcPr>
            <w:tcW w:w="900" w:type="dxa"/>
          </w:tcPr>
          <w:p w:rsidR="008E05AA" w:rsidRPr="005D7872" w:rsidRDefault="008E05AA" w:rsidP="004F7425">
            <w:pPr>
              <w:jc w:val="both"/>
            </w:pPr>
            <w:r w:rsidRPr="005D7872">
              <w:t>37</w:t>
            </w:r>
          </w:p>
        </w:tc>
        <w:tc>
          <w:tcPr>
            <w:tcW w:w="900" w:type="dxa"/>
          </w:tcPr>
          <w:p w:rsidR="008E05AA" w:rsidRPr="005D7872" w:rsidRDefault="008E05AA" w:rsidP="004F7425">
            <w:pPr>
              <w:jc w:val="both"/>
            </w:pPr>
            <w:r w:rsidRPr="005D7872">
              <w:t>24</w:t>
            </w:r>
          </w:p>
        </w:tc>
      </w:tr>
      <w:tr w:rsidR="008E05AA" w:rsidRPr="005D7872" w:rsidTr="004F7425">
        <w:tc>
          <w:tcPr>
            <w:tcW w:w="800" w:type="dxa"/>
          </w:tcPr>
          <w:p w:rsidR="008E05AA" w:rsidRPr="005D7872" w:rsidRDefault="008E05AA" w:rsidP="004F7425">
            <w:pPr>
              <w:jc w:val="both"/>
            </w:pPr>
            <w:r w:rsidRPr="005D7872">
              <w:lastRenderedPageBreak/>
              <w:t>F10.8</w:t>
            </w:r>
          </w:p>
        </w:tc>
        <w:tc>
          <w:tcPr>
            <w:tcW w:w="4348" w:type="dxa"/>
          </w:tcPr>
          <w:p w:rsidR="008E05AA" w:rsidRPr="005D7872" w:rsidRDefault="008E05AA" w:rsidP="004F7425">
            <w:pPr>
              <w:jc w:val="both"/>
            </w:pPr>
            <w:r w:rsidRPr="005D7872">
              <w:t>Kiti psichikos ir elgesio sutrikimai</w:t>
            </w:r>
          </w:p>
        </w:tc>
        <w:tc>
          <w:tcPr>
            <w:tcW w:w="1440" w:type="dxa"/>
          </w:tcPr>
          <w:p w:rsidR="008E05AA" w:rsidRPr="005D7872" w:rsidRDefault="008E05AA" w:rsidP="004F7425">
            <w:pPr>
              <w:jc w:val="both"/>
            </w:pPr>
            <w:r w:rsidRPr="005D7872">
              <w:t>75</w:t>
            </w:r>
          </w:p>
        </w:tc>
        <w:tc>
          <w:tcPr>
            <w:tcW w:w="900" w:type="dxa"/>
          </w:tcPr>
          <w:p w:rsidR="008E05AA" w:rsidRPr="005D7872" w:rsidRDefault="008E05AA" w:rsidP="004F7425">
            <w:pPr>
              <w:jc w:val="both"/>
            </w:pPr>
            <w:r w:rsidRPr="005D7872">
              <w:t>62</w:t>
            </w:r>
          </w:p>
        </w:tc>
        <w:tc>
          <w:tcPr>
            <w:tcW w:w="900" w:type="dxa"/>
          </w:tcPr>
          <w:p w:rsidR="008E05AA" w:rsidRPr="005D7872" w:rsidRDefault="008E05AA" w:rsidP="004F7425">
            <w:pPr>
              <w:jc w:val="both"/>
            </w:pPr>
            <w:r w:rsidRPr="005D7872">
              <w:t>13</w:t>
            </w:r>
          </w:p>
        </w:tc>
      </w:tr>
      <w:tr w:rsidR="008E05AA" w:rsidRPr="005D7872" w:rsidTr="004F7425">
        <w:tc>
          <w:tcPr>
            <w:tcW w:w="800" w:type="dxa"/>
          </w:tcPr>
          <w:p w:rsidR="008E05AA" w:rsidRPr="005D7872" w:rsidRDefault="008E05AA" w:rsidP="004F7425">
            <w:pPr>
              <w:jc w:val="both"/>
            </w:pPr>
            <w:r w:rsidRPr="005D7872">
              <w:t>F10.9</w:t>
            </w:r>
          </w:p>
        </w:tc>
        <w:tc>
          <w:tcPr>
            <w:tcW w:w="4348" w:type="dxa"/>
          </w:tcPr>
          <w:p w:rsidR="008E05AA" w:rsidRPr="005D7872" w:rsidRDefault="008E05AA" w:rsidP="004F7425">
            <w:pPr>
              <w:jc w:val="both"/>
            </w:pPr>
            <w:r w:rsidRPr="005D7872">
              <w:t>Nepatikslintas psichikos ir elgesio sutikimas</w:t>
            </w:r>
          </w:p>
        </w:tc>
        <w:tc>
          <w:tcPr>
            <w:tcW w:w="1440" w:type="dxa"/>
          </w:tcPr>
          <w:p w:rsidR="008E05AA" w:rsidRPr="005D7872" w:rsidRDefault="008E05AA" w:rsidP="004F7425">
            <w:pPr>
              <w:jc w:val="both"/>
            </w:pPr>
            <w:r w:rsidRPr="005D7872">
              <w:t>3</w:t>
            </w:r>
          </w:p>
        </w:tc>
        <w:tc>
          <w:tcPr>
            <w:tcW w:w="900" w:type="dxa"/>
          </w:tcPr>
          <w:p w:rsidR="008E05AA" w:rsidRPr="005D7872" w:rsidRDefault="008E05AA" w:rsidP="004F7425">
            <w:pPr>
              <w:jc w:val="both"/>
            </w:pPr>
            <w:r w:rsidRPr="005D7872">
              <w:t>2</w:t>
            </w:r>
          </w:p>
        </w:tc>
        <w:tc>
          <w:tcPr>
            <w:tcW w:w="900" w:type="dxa"/>
          </w:tcPr>
          <w:p w:rsidR="008E05AA" w:rsidRPr="005D7872" w:rsidRDefault="008E05AA" w:rsidP="004F7425">
            <w:pPr>
              <w:jc w:val="both"/>
            </w:pPr>
            <w:r w:rsidRPr="005D7872">
              <w:t>1</w:t>
            </w:r>
          </w:p>
        </w:tc>
      </w:tr>
      <w:tr w:rsidR="008E05AA" w:rsidRPr="005D7872" w:rsidTr="004F7425">
        <w:trPr>
          <w:cantSplit/>
        </w:trPr>
        <w:tc>
          <w:tcPr>
            <w:tcW w:w="5148" w:type="dxa"/>
            <w:gridSpan w:val="2"/>
          </w:tcPr>
          <w:p w:rsidR="008E05AA" w:rsidRPr="005D7872" w:rsidRDefault="008E05AA" w:rsidP="004F7425">
            <w:pPr>
              <w:jc w:val="both"/>
            </w:pPr>
            <w:r w:rsidRPr="005D7872">
              <w:t>Viso</w:t>
            </w:r>
          </w:p>
        </w:tc>
        <w:tc>
          <w:tcPr>
            <w:tcW w:w="1440" w:type="dxa"/>
          </w:tcPr>
          <w:p w:rsidR="008E05AA" w:rsidRPr="005D7872" w:rsidRDefault="008E05AA" w:rsidP="004F7425">
            <w:pPr>
              <w:jc w:val="both"/>
            </w:pPr>
            <w:r w:rsidRPr="005D7872">
              <w:t>9708</w:t>
            </w:r>
          </w:p>
        </w:tc>
        <w:tc>
          <w:tcPr>
            <w:tcW w:w="900" w:type="dxa"/>
          </w:tcPr>
          <w:p w:rsidR="008E05AA" w:rsidRPr="005D7872" w:rsidRDefault="008E05AA" w:rsidP="004F7425">
            <w:pPr>
              <w:jc w:val="both"/>
            </w:pPr>
            <w:r w:rsidRPr="005D7872">
              <w:t>8198</w:t>
            </w:r>
          </w:p>
        </w:tc>
        <w:tc>
          <w:tcPr>
            <w:tcW w:w="900" w:type="dxa"/>
          </w:tcPr>
          <w:p w:rsidR="008E05AA" w:rsidRPr="005D7872" w:rsidRDefault="008E05AA" w:rsidP="004F7425">
            <w:pPr>
              <w:jc w:val="both"/>
            </w:pPr>
            <w:r w:rsidRPr="005D7872">
              <w:t>1510</w:t>
            </w:r>
          </w:p>
        </w:tc>
      </w:tr>
    </w:tbl>
    <w:p w:rsidR="008E05AA" w:rsidRPr="005D7872" w:rsidRDefault="008E05AA" w:rsidP="008E05AA">
      <w:pPr>
        <w:jc w:val="both"/>
      </w:pPr>
      <w:r w:rsidRPr="005D7872">
        <w:tab/>
      </w:r>
    </w:p>
    <w:p w:rsidR="008E05AA" w:rsidRPr="005D7872" w:rsidRDefault="008E05AA" w:rsidP="008E05AA">
      <w:pPr>
        <w:jc w:val="both"/>
      </w:pPr>
      <w:r w:rsidRPr="005D7872">
        <w:tab/>
        <w:t>Analizuojant priklausomybes kitoms psichiką veikiančioms medžiagoms pastebėta, kad vyrauja psichikos ir elgesio sutrikimai vartojant opioidus bei keletą medžiagų. Taip pat nustatyta, kad tik psichikos ir elgesio sutrikimai vartojant raminančias ir migdančias medžiagas yra dažnesni moterų tarpe.</w:t>
      </w:r>
    </w:p>
    <w:p w:rsidR="008E05AA" w:rsidRPr="005D7872" w:rsidRDefault="008E05AA" w:rsidP="008E05AA">
      <w:pPr>
        <w:ind w:firstLine="720"/>
        <w:jc w:val="both"/>
      </w:pPr>
      <w:r w:rsidRPr="005D7872">
        <w:rPr>
          <w:i/>
          <w:iCs/>
        </w:rPr>
        <w:t>Psichikos ir elgesio sutrikimai vartojant psichiką veikiančias medžiagas, išskyrus alkoholį, pagal lytį:</w:t>
      </w:r>
    </w:p>
    <w:p w:rsidR="008E05AA" w:rsidRPr="005D7872" w:rsidRDefault="008E05AA" w:rsidP="008E05AA">
      <w:pPr>
        <w:jc w:val="both"/>
      </w:pPr>
    </w:p>
    <w:p w:rsidR="008E05AA" w:rsidRPr="005D7872" w:rsidRDefault="008E05AA" w:rsidP="008E05AA">
      <w:pPr>
        <w:jc w:val="both"/>
      </w:pPr>
      <w:r w:rsidRPr="005D7872">
        <w:rPr>
          <w:noProof/>
          <w:lang w:eastAsia="lt-LT"/>
        </w:rPr>
        <w:drawing>
          <wp:inline distT="0" distB="0" distL="0" distR="0" wp14:anchorId="63D241EE" wp14:editId="14382666">
            <wp:extent cx="5372100" cy="2743200"/>
            <wp:effectExtent l="0" t="0" r="0" b="0"/>
            <wp:docPr id="60" name="Diagrama 6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8E05AA" w:rsidRPr="005D7872" w:rsidRDefault="008E05AA" w:rsidP="008E05AA">
      <w:pPr>
        <w:jc w:val="both"/>
      </w:pPr>
      <w:r w:rsidRPr="005D7872">
        <w:tab/>
        <w:t>Analizuojant psichikos ir elgesio sutrikimų vartojant psichiką veikiančias medžiagas paplitimą nustatyta, kad 2007 m. stacionarines paslaugas teikiančiose ASPĮ dėl šių sutrikimų buvo gydyta 84 vaikai.</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rPr>
          <w:i/>
          <w:iCs/>
        </w:rPr>
      </w:pPr>
      <w:r w:rsidRPr="005D7872">
        <w:rPr>
          <w:i/>
          <w:iCs/>
        </w:rPr>
        <w:t xml:space="preserve"> </w:t>
      </w:r>
      <w:r w:rsidRPr="005D7872">
        <w:rPr>
          <w:i/>
          <w:iCs/>
        </w:rPr>
        <w:tab/>
        <w:t>2007 m. stacionarinėse ASPĮ dėl priklausomybės gydyti asmenys pagal amžių:</w:t>
      </w:r>
    </w:p>
    <w:p w:rsidR="008E05AA" w:rsidRPr="005D7872" w:rsidRDefault="008E05AA" w:rsidP="008E05AA">
      <w:pPr>
        <w:jc w:val="both"/>
        <w:rPr>
          <w:i/>
          <w:iCs/>
        </w:rPr>
      </w:pPr>
    </w:p>
    <w:p w:rsidR="008E05AA" w:rsidRPr="005D7872" w:rsidRDefault="008E05AA" w:rsidP="008E05AA">
      <w:pPr>
        <w:jc w:val="both"/>
      </w:pPr>
    </w:p>
    <w:p w:rsidR="008E05AA" w:rsidRPr="005D7872" w:rsidRDefault="008E05AA" w:rsidP="008E05AA">
      <w:pPr>
        <w:jc w:val="both"/>
      </w:pPr>
      <w:r w:rsidRPr="005D7872">
        <w:rPr>
          <w:noProof/>
          <w:lang w:eastAsia="lt-LT"/>
        </w:rPr>
        <w:drawing>
          <wp:inline distT="0" distB="0" distL="0" distR="0" wp14:anchorId="4925CFDA" wp14:editId="4AA3ABE5">
            <wp:extent cx="4686300" cy="2152650"/>
            <wp:effectExtent l="0" t="0" r="0" b="0"/>
            <wp:docPr id="61" name="Diagrama 6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8E05AA" w:rsidRPr="005D7872" w:rsidRDefault="008E05AA" w:rsidP="008E05AA">
      <w:pPr>
        <w:jc w:val="both"/>
      </w:pPr>
      <w:r w:rsidRPr="005D7872">
        <w:tab/>
        <w:t>Trys ketvirtadaliai asmenų, iki 18 metų amžiaus buvo gydyti dėl psichikos ir elgesio sutrikimo vartojant alkoholį.</w:t>
      </w:r>
    </w:p>
    <w:p w:rsidR="008E05AA" w:rsidRPr="005D7872" w:rsidRDefault="008E05AA" w:rsidP="008E05AA">
      <w:pPr>
        <w:ind w:firstLine="720"/>
        <w:jc w:val="both"/>
      </w:pPr>
      <w:r w:rsidRPr="005D7872">
        <w:rPr>
          <w:i/>
          <w:iCs/>
        </w:rPr>
        <w:t>Priklausomybė nuo psichiką veikiančių medžiagų vaikų tarpe:</w:t>
      </w:r>
    </w:p>
    <w:p w:rsidR="008E05AA" w:rsidRPr="005D7872" w:rsidRDefault="008E05AA" w:rsidP="008E05AA">
      <w:pPr>
        <w:jc w:val="both"/>
      </w:pPr>
    </w:p>
    <w:p w:rsidR="008E05AA" w:rsidRPr="005D7872" w:rsidRDefault="008E05AA" w:rsidP="008E05AA">
      <w:pPr>
        <w:jc w:val="both"/>
      </w:pPr>
      <w:r w:rsidRPr="005D7872">
        <w:rPr>
          <w:noProof/>
          <w:lang w:eastAsia="lt-LT"/>
        </w:rPr>
        <w:lastRenderedPageBreak/>
        <w:drawing>
          <wp:inline distT="0" distB="0" distL="0" distR="0" wp14:anchorId="040657E5" wp14:editId="0266AEA8">
            <wp:extent cx="4600575" cy="2095500"/>
            <wp:effectExtent l="0" t="0" r="0" b="0"/>
            <wp:docPr id="62" name="Diagrama 6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8E05AA" w:rsidRPr="005D7872" w:rsidRDefault="008E05AA" w:rsidP="008E05AA">
      <w:pPr>
        <w:jc w:val="both"/>
        <w:rPr>
          <w:i/>
          <w:iCs/>
        </w:rPr>
      </w:pPr>
      <w:r w:rsidRPr="005D7872">
        <w:rPr>
          <w:i/>
          <w:iCs/>
        </w:rPr>
        <w:t xml:space="preserve"> </w:t>
      </w:r>
    </w:p>
    <w:p w:rsidR="008E05AA" w:rsidRPr="005D7872" w:rsidRDefault="008E05AA" w:rsidP="008E05AA">
      <w:pPr>
        <w:jc w:val="both"/>
      </w:pPr>
      <w:r w:rsidRPr="005D7872">
        <w:tab/>
        <w:t>Vaikų psichikos ir elgesio sutrikimai vartojant psichiką veikiančias medžiagas pagal lytį skiriasi nuo priklausomybe sergančiųjų suaugusiųjų. Priklausomybe sergančios mergaitės sudaro trečdalį. visų vaikų priklausomybės atvejų:</w:t>
      </w:r>
    </w:p>
    <w:p w:rsidR="008E05AA" w:rsidRPr="005D7872" w:rsidRDefault="008E05AA" w:rsidP="008E05AA">
      <w:pPr>
        <w:ind w:firstLine="720"/>
        <w:jc w:val="both"/>
        <w:rPr>
          <w:i/>
          <w:iCs/>
        </w:rPr>
      </w:pPr>
      <w:r w:rsidRPr="005D7872">
        <w:rPr>
          <w:i/>
          <w:iCs/>
        </w:rPr>
        <w:t>Vaikų psichikos ir elgesio sutrikimai vartojant psichiką veikiančias medžiagas pagal lytį:</w:t>
      </w:r>
    </w:p>
    <w:p w:rsidR="008E05AA" w:rsidRPr="005D7872" w:rsidRDefault="008E05AA" w:rsidP="008E05AA">
      <w:pPr>
        <w:jc w:val="both"/>
      </w:pPr>
    </w:p>
    <w:p w:rsidR="008E05AA" w:rsidRPr="005D7872" w:rsidRDefault="008E05AA" w:rsidP="008E05AA">
      <w:pPr>
        <w:jc w:val="both"/>
      </w:pPr>
      <w:r w:rsidRPr="005D7872">
        <w:rPr>
          <w:noProof/>
          <w:lang w:eastAsia="lt-LT"/>
        </w:rPr>
        <w:drawing>
          <wp:inline distT="0" distB="0" distL="0" distR="0" wp14:anchorId="38471AEE" wp14:editId="1AE0E346">
            <wp:extent cx="5257800" cy="2447925"/>
            <wp:effectExtent l="0" t="0" r="0" b="0"/>
            <wp:docPr id="63" name="Diagrama 6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8E05AA" w:rsidRPr="005D7872" w:rsidRDefault="008E05AA" w:rsidP="008E05AA">
      <w:pPr>
        <w:jc w:val="both"/>
      </w:pPr>
    </w:p>
    <w:p w:rsidR="008E05AA" w:rsidRPr="005D7872" w:rsidRDefault="008E05AA" w:rsidP="008E05AA">
      <w:pPr>
        <w:jc w:val="both"/>
        <w:rPr>
          <w:color w:val="FF0000"/>
        </w:rPr>
      </w:pPr>
      <w:r w:rsidRPr="005D7872">
        <w:tab/>
        <w:t>Didžioji dauguma (daugiau nei 97 proc.) psichiką veikiančiomis medžiagomis piktnaudžiaujančių vaikų yra 13-18 metų amžiaus. VLK du</w:t>
      </w:r>
      <w:r>
        <w:t xml:space="preserve">omenimis 2007 m. dviem </w:t>
      </w:r>
      <w:r w:rsidRPr="005D7872">
        <w:t>vaikams, jaunesniems nei 10 m. amžiaus, stacionarines paslaugas teikiančiose ASPĮ buvo diagnozuota priklausomybė raminančioms medžiagoms ir alkoholiui. Atsižvelgus į psichikos ir elgesio sutrikimų diagnostikos ypatumus (šiuos sutrikimus, kaip ilgalaikio psichiką veikiančių medžiagų vartojimo pasekmę, diagnozuoja psichiatrijos specialistai) yra mažai tikėtina, jog duomenys apie vaikų, jaunesnių nei 10 m., priklausomybę nuo psichiką veikiančių medžiagų yra tikslūs.</w:t>
      </w:r>
      <w:r w:rsidRPr="005D7872">
        <w:rPr>
          <w:color w:val="FF0000"/>
        </w:rPr>
        <w:t xml:space="preserve"> </w:t>
      </w:r>
    </w:p>
    <w:p w:rsidR="008E05AA" w:rsidRPr="005D7872" w:rsidRDefault="008E05AA" w:rsidP="008E05AA">
      <w:pPr>
        <w:ind w:firstLine="720"/>
        <w:jc w:val="both"/>
        <w:rPr>
          <w:i/>
          <w:iCs/>
        </w:rPr>
      </w:pPr>
      <w:r w:rsidRPr="005D7872">
        <w:rPr>
          <w:i/>
          <w:iCs/>
        </w:rPr>
        <w:t>Psichikos ir elgesio sutrikimai vartojant psichiką veikiančias medžiagas pagal vaikų amžių:</w:t>
      </w:r>
    </w:p>
    <w:p w:rsidR="008E05AA" w:rsidRPr="005D7872" w:rsidRDefault="008E05AA" w:rsidP="008E05AA">
      <w:pPr>
        <w:jc w:val="both"/>
        <w:rPr>
          <w:color w:val="3366FF"/>
        </w:rPr>
      </w:pPr>
    </w:p>
    <w:p w:rsidR="008E05AA" w:rsidRPr="005D7872" w:rsidRDefault="008E05AA" w:rsidP="008E05AA">
      <w:pPr>
        <w:jc w:val="both"/>
      </w:pPr>
      <w:r w:rsidRPr="005D7872">
        <w:rPr>
          <w:noProof/>
          <w:lang w:eastAsia="lt-LT"/>
        </w:rPr>
        <w:drawing>
          <wp:inline distT="0" distB="0" distL="0" distR="0" wp14:anchorId="407BB17F" wp14:editId="64553066">
            <wp:extent cx="5257800" cy="2447925"/>
            <wp:effectExtent l="0" t="0" r="0" b="0"/>
            <wp:docPr id="64" name="Diagrama 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8E05AA" w:rsidRPr="005D7872" w:rsidRDefault="008E05AA" w:rsidP="008E05AA">
      <w:pPr>
        <w:jc w:val="both"/>
      </w:pPr>
      <w:r w:rsidRPr="005D7872">
        <w:rPr>
          <w:i/>
          <w:iCs/>
        </w:rPr>
        <w:lastRenderedPageBreak/>
        <w:t xml:space="preserve"> </w:t>
      </w:r>
    </w:p>
    <w:p w:rsidR="008E05AA" w:rsidRPr="005D7872" w:rsidRDefault="008E05AA" w:rsidP="008E05AA">
      <w:pPr>
        <w:pStyle w:val="Pagrindinistekstas2"/>
        <w:rPr>
          <w:szCs w:val="24"/>
        </w:rPr>
      </w:pPr>
      <w:r w:rsidRPr="005D7872">
        <w:rPr>
          <w:szCs w:val="24"/>
        </w:rPr>
        <w:tab/>
        <w:t>Stacionarinėse ASPĮ vaikų mirčių dėl psichikos ir elgesio sutrikimo vartojant psichiką veikiančias medžiagas 2007 m. neužregistruota.</w:t>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r w:rsidRPr="005D7872">
        <w:tab/>
        <w:t xml:space="preserve">2007 m. dėl priklausomybės į ASPĮ besikreipusių asmenų mirštamumas buvo mažesnis nei 1 proc., t.y. iš 9’955 hospitalizuotų dėl minėtos priežasties mirė 64 asmenys. </w:t>
      </w:r>
    </w:p>
    <w:p w:rsidR="008E05AA" w:rsidRPr="005D7872" w:rsidRDefault="008E05AA" w:rsidP="008E05AA">
      <w:pPr>
        <w:jc w:val="both"/>
      </w:pPr>
      <w:r w:rsidRPr="005D7872">
        <w:tab/>
        <w:t>Kaip ir bendroje stacionarines paslaugas teikiančiose ASPĮ gydytų priklausomybe sergančių asmenų statistikoje, taip ir mirštamumo rodikliuose, dauguma nuo priklausomybės mirusiųjų yra vyriškos lyties asmenys:</w:t>
      </w:r>
    </w:p>
    <w:p w:rsidR="008E05AA" w:rsidRPr="005D7872" w:rsidRDefault="008E05AA" w:rsidP="008E05AA">
      <w:pPr>
        <w:jc w:val="both"/>
      </w:pPr>
      <w:r w:rsidRPr="005D7872">
        <w:rPr>
          <w:i/>
          <w:iCs/>
        </w:rPr>
        <w:t>Stacionarinėse ASPĮ dėl priklausomybės mirę asmenys pagal lytį:</w:t>
      </w:r>
    </w:p>
    <w:p w:rsidR="008E05AA" w:rsidRPr="005D7872" w:rsidRDefault="008E05AA" w:rsidP="008E05AA">
      <w:pPr>
        <w:jc w:val="both"/>
        <w:rPr>
          <w:i/>
          <w:iCs/>
        </w:rPr>
      </w:pPr>
      <w:r w:rsidRPr="005D7872">
        <w:rPr>
          <w:noProof/>
          <w:lang w:eastAsia="lt-LT"/>
        </w:rPr>
        <w:drawing>
          <wp:inline distT="0" distB="0" distL="0" distR="0" wp14:anchorId="332E9C09" wp14:editId="1E24DD16">
            <wp:extent cx="5486400" cy="2447925"/>
            <wp:effectExtent l="0" t="0" r="0" b="0"/>
            <wp:docPr id="65" name="Diagrama 6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8E05AA" w:rsidRPr="005D7872" w:rsidRDefault="008E05AA" w:rsidP="008E05AA">
      <w:pPr>
        <w:jc w:val="both"/>
        <w:rPr>
          <w:i/>
          <w:iCs/>
        </w:rPr>
      </w:pPr>
    </w:p>
    <w:p w:rsidR="008E05AA" w:rsidRPr="005D7872" w:rsidRDefault="008E05AA" w:rsidP="008E05AA">
      <w:pPr>
        <w:jc w:val="both"/>
        <w:rPr>
          <w:i/>
          <w:iCs/>
        </w:rPr>
      </w:pPr>
    </w:p>
    <w:p w:rsidR="008E05AA" w:rsidRPr="005D7872" w:rsidRDefault="008E05AA" w:rsidP="008E05AA">
      <w:pPr>
        <w:jc w:val="both"/>
      </w:pPr>
    </w:p>
    <w:p w:rsidR="008E05AA" w:rsidRPr="005D7872" w:rsidRDefault="008E05AA" w:rsidP="008E05AA">
      <w:pPr>
        <w:jc w:val="both"/>
      </w:pPr>
    </w:p>
    <w:p w:rsidR="008E05AA" w:rsidRPr="005D7872" w:rsidRDefault="008E05AA" w:rsidP="008E05AA">
      <w:pPr>
        <w:pStyle w:val="Pagrindinistekstas2"/>
        <w:rPr>
          <w:szCs w:val="24"/>
        </w:rPr>
      </w:pPr>
      <w:r w:rsidRPr="005D7872">
        <w:rPr>
          <w:szCs w:val="24"/>
        </w:rPr>
        <w:tab/>
        <w:t>95 proc. mirties atvejų buvo susiję su psichikos ir elgesio sutrikimu vartojant alkoholį.</w:t>
      </w:r>
    </w:p>
    <w:p w:rsidR="008E05AA" w:rsidRPr="005D7872" w:rsidRDefault="008E05AA" w:rsidP="008E05AA">
      <w:pPr>
        <w:jc w:val="both"/>
      </w:pPr>
      <w:r w:rsidRPr="005D7872">
        <w:rPr>
          <w:i/>
          <w:iCs/>
        </w:rPr>
        <w:t>Dėl priklausomybės mirę asmenys pagal būklę ir psichiką veikiančią medžiagą: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1800"/>
        <w:gridCol w:w="2340"/>
      </w:tblGrid>
      <w:tr w:rsidR="008E05AA" w:rsidRPr="005D7872" w:rsidTr="004F7425">
        <w:trPr>
          <w:cantSplit/>
          <w:jc w:val="center"/>
        </w:trPr>
        <w:tc>
          <w:tcPr>
            <w:tcW w:w="4788" w:type="dxa"/>
            <w:gridSpan w:val="3"/>
            <w:tcBorders>
              <w:top w:val="single" w:sz="12" w:space="0" w:color="auto"/>
              <w:left w:val="single" w:sz="12" w:space="0" w:color="auto"/>
              <w:bottom w:val="single" w:sz="12" w:space="0" w:color="auto"/>
              <w:right w:val="single" w:sz="12" w:space="0" w:color="auto"/>
            </w:tcBorders>
          </w:tcPr>
          <w:p w:rsidR="008E05AA" w:rsidRPr="005D7872" w:rsidRDefault="008E05AA" w:rsidP="004F7425">
            <w:pPr>
              <w:jc w:val="both"/>
            </w:pPr>
            <w:r w:rsidRPr="005D7872">
              <w:t>Mirusiųjų skaičius</w:t>
            </w:r>
          </w:p>
        </w:tc>
      </w:tr>
      <w:tr w:rsidR="008E05AA" w:rsidRPr="005D7872" w:rsidTr="004F7425">
        <w:trPr>
          <w:cantSplit/>
          <w:jc w:val="center"/>
        </w:trPr>
        <w:tc>
          <w:tcPr>
            <w:tcW w:w="648" w:type="dxa"/>
            <w:vMerge w:val="restart"/>
            <w:tcBorders>
              <w:top w:val="single" w:sz="12" w:space="0" w:color="auto"/>
              <w:left w:val="single" w:sz="12" w:space="0" w:color="auto"/>
              <w:bottom w:val="single" w:sz="6" w:space="0" w:color="auto"/>
              <w:right w:val="single" w:sz="6" w:space="0" w:color="auto"/>
            </w:tcBorders>
          </w:tcPr>
          <w:p w:rsidR="008E05AA" w:rsidRPr="005D7872" w:rsidRDefault="008E05AA" w:rsidP="004F7425">
            <w:pPr>
              <w:jc w:val="both"/>
            </w:pPr>
            <w:r w:rsidRPr="005D7872">
              <w:t>F10</w:t>
            </w:r>
          </w:p>
        </w:tc>
        <w:tc>
          <w:tcPr>
            <w:tcW w:w="1800" w:type="dxa"/>
            <w:tcBorders>
              <w:top w:val="single" w:sz="12"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F10.1</w:t>
            </w:r>
          </w:p>
        </w:tc>
        <w:tc>
          <w:tcPr>
            <w:tcW w:w="2340" w:type="dxa"/>
            <w:tcBorders>
              <w:top w:val="single" w:sz="12"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5</w:t>
            </w:r>
          </w:p>
        </w:tc>
      </w:tr>
      <w:tr w:rsidR="008E05AA" w:rsidRPr="005D7872" w:rsidTr="004F7425">
        <w:trPr>
          <w:cantSplit/>
          <w:jc w:val="center"/>
        </w:trPr>
        <w:tc>
          <w:tcPr>
            <w:tcW w:w="648"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1800"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F10.2</w:t>
            </w:r>
          </w:p>
        </w:tc>
        <w:tc>
          <w:tcPr>
            <w:tcW w:w="234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7</w:t>
            </w:r>
          </w:p>
        </w:tc>
      </w:tr>
      <w:tr w:rsidR="008E05AA" w:rsidRPr="005D7872" w:rsidTr="004F7425">
        <w:trPr>
          <w:cantSplit/>
          <w:jc w:val="center"/>
        </w:trPr>
        <w:tc>
          <w:tcPr>
            <w:tcW w:w="648"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1800"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F10.3</w:t>
            </w:r>
          </w:p>
        </w:tc>
        <w:tc>
          <w:tcPr>
            <w:tcW w:w="234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5</w:t>
            </w:r>
          </w:p>
        </w:tc>
      </w:tr>
      <w:tr w:rsidR="008E05AA" w:rsidRPr="005D7872" w:rsidTr="004F7425">
        <w:trPr>
          <w:cantSplit/>
          <w:jc w:val="center"/>
        </w:trPr>
        <w:tc>
          <w:tcPr>
            <w:tcW w:w="648" w:type="dxa"/>
            <w:vMerge/>
            <w:tcBorders>
              <w:top w:val="single" w:sz="6" w:space="0" w:color="auto"/>
              <w:left w:val="single" w:sz="12" w:space="0" w:color="auto"/>
              <w:bottom w:val="single" w:sz="6" w:space="0" w:color="auto"/>
              <w:right w:val="single" w:sz="6" w:space="0" w:color="auto"/>
            </w:tcBorders>
          </w:tcPr>
          <w:p w:rsidR="008E05AA" w:rsidRPr="005D7872" w:rsidRDefault="008E05AA" w:rsidP="004F7425">
            <w:pPr>
              <w:jc w:val="both"/>
            </w:pPr>
          </w:p>
        </w:tc>
        <w:tc>
          <w:tcPr>
            <w:tcW w:w="1800" w:type="dxa"/>
            <w:tcBorders>
              <w:top w:val="single" w:sz="6" w:space="0" w:color="auto"/>
              <w:left w:val="single" w:sz="6" w:space="0" w:color="auto"/>
              <w:bottom w:val="single" w:sz="6" w:space="0" w:color="auto"/>
              <w:right w:val="single" w:sz="6" w:space="0" w:color="auto"/>
            </w:tcBorders>
          </w:tcPr>
          <w:p w:rsidR="008E05AA" w:rsidRPr="005D7872" w:rsidRDefault="008E05AA" w:rsidP="004F7425">
            <w:pPr>
              <w:jc w:val="both"/>
            </w:pPr>
            <w:r w:rsidRPr="005D7872">
              <w:t>F10.4</w:t>
            </w:r>
          </w:p>
        </w:tc>
        <w:tc>
          <w:tcPr>
            <w:tcW w:w="2340" w:type="dxa"/>
            <w:tcBorders>
              <w:top w:val="single" w:sz="6" w:space="0" w:color="auto"/>
              <w:left w:val="single" w:sz="6" w:space="0" w:color="auto"/>
              <w:bottom w:val="single" w:sz="6" w:space="0" w:color="auto"/>
              <w:right w:val="single" w:sz="12" w:space="0" w:color="auto"/>
            </w:tcBorders>
          </w:tcPr>
          <w:p w:rsidR="008E05AA" w:rsidRPr="005D7872" w:rsidRDefault="008E05AA" w:rsidP="004F7425">
            <w:pPr>
              <w:jc w:val="both"/>
            </w:pPr>
            <w:r w:rsidRPr="005D7872">
              <w:t>43</w:t>
            </w:r>
          </w:p>
        </w:tc>
      </w:tr>
      <w:tr w:rsidR="008E05AA" w:rsidRPr="005D7872" w:rsidTr="004F7425">
        <w:trPr>
          <w:cantSplit/>
          <w:jc w:val="center"/>
        </w:trPr>
        <w:tc>
          <w:tcPr>
            <w:tcW w:w="648" w:type="dxa"/>
            <w:vMerge/>
            <w:tcBorders>
              <w:top w:val="single" w:sz="6" w:space="0" w:color="auto"/>
              <w:left w:val="single" w:sz="12" w:space="0" w:color="auto"/>
              <w:bottom w:val="single" w:sz="12" w:space="0" w:color="auto"/>
              <w:right w:val="single" w:sz="6" w:space="0" w:color="auto"/>
            </w:tcBorders>
          </w:tcPr>
          <w:p w:rsidR="008E05AA" w:rsidRPr="005D7872" w:rsidRDefault="008E05AA" w:rsidP="004F7425">
            <w:pPr>
              <w:jc w:val="both"/>
            </w:pPr>
          </w:p>
        </w:tc>
        <w:tc>
          <w:tcPr>
            <w:tcW w:w="1800" w:type="dxa"/>
            <w:tcBorders>
              <w:top w:val="single" w:sz="6"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F10.5</w:t>
            </w:r>
          </w:p>
        </w:tc>
        <w:tc>
          <w:tcPr>
            <w:tcW w:w="2340" w:type="dxa"/>
            <w:tcBorders>
              <w:top w:val="single" w:sz="6"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w:t>
            </w:r>
          </w:p>
        </w:tc>
      </w:tr>
      <w:tr w:rsidR="008E05AA" w:rsidRPr="005D7872" w:rsidTr="004F7425">
        <w:trPr>
          <w:jc w:val="center"/>
        </w:trPr>
        <w:tc>
          <w:tcPr>
            <w:tcW w:w="648"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F11</w:t>
            </w:r>
          </w:p>
        </w:tc>
        <w:tc>
          <w:tcPr>
            <w:tcW w:w="1800" w:type="dxa"/>
            <w:tcBorders>
              <w:top w:val="single" w:sz="12"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F11.1</w:t>
            </w:r>
          </w:p>
        </w:tc>
        <w:tc>
          <w:tcPr>
            <w:tcW w:w="2340"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w:t>
            </w:r>
          </w:p>
        </w:tc>
      </w:tr>
      <w:tr w:rsidR="008E05AA" w:rsidRPr="005D7872" w:rsidTr="004F7425">
        <w:trPr>
          <w:jc w:val="center"/>
        </w:trPr>
        <w:tc>
          <w:tcPr>
            <w:tcW w:w="648"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F16</w:t>
            </w:r>
          </w:p>
        </w:tc>
        <w:tc>
          <w:tcPr>
            <w:tcW w:w="1800" w:type="dxa"/>
            <w:tcBorders>
              <w:top w:val="single" w:sz="12"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F16.4</w:t>
            </w:r>
          </w:p>
        </w:tc>
        <w:tc>
          <w:tcPr>
            <w:tcW w:w="2340"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w:t>
            </w:r>
          </w:p>
        </w:tc>
      </w:tr>
      <w:tr w:rsidR="008E05AA" w:rsidRPr="005D7872" w:rsidTr="004F7425">
        <w:trPr>
          <w:jc w:val="center"/>
        </w:trPr>
        <w:tc>
          <w:tcPr>
            <w:tcW w:w="648" w:type="dxa"/>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F19</w:t>
            </w:r>
          </w:p>
        </w:tc>
        <w:tc>
          <w:tcPr>
            <w:tcW w:w="1800" w:type="dxa"/>
            <w:tcBorders>
              <w:top w:val="single" w:sz="12" w:space="0" w:color="auto"/>
              <w:left w:val="single" w:sz="6" w:space="0" w:color="auto"/>
              <w:bottom w:val="single" w:sz="12" w:space="0" w:color="auto"/>
              <w:right w:val="single" w:sz="6" w:space="0" w:color="auto"/>
            </w:tcBorders>
          </w:tcPr>
          <w:p w:rsidR="008E05AA" w:rsidRPr="005D7872" w:rsidRDefault="008E05AA" w:rsidP="004F7425">
            <w:pPr>
              <w:jc w:val="both"/>
            </w:pPr>
            <w:r w:rsidRPr="005D7872">
              <w:t>F19.0</w:t>
            </w:r>
          </w:p>
        </w:tc>
        <w:tc>
          <w:tcPr>
            <w:tcW w:w="2340"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1</w:t>
            </w:r>
          </w:p>
        </w:tc>
      </w:tr>
      <w:tr w:rsidR="008E05AA" w:rsidRPr="005D7872" w:rsidTr="004F7425">
        <w:trPr>
          <w:cantSplit/>
          <w:jc w:val="center"/>
        </w:trPr>
        <w:tc>
          <w:tcPr>
            <w:tcW w:w="2448" w:type="dxa"/>
            <w:gridSpan w:val="2"/>
            <w:tcBorders>
              <w:top w:val="single" w:sz="12" w:space="0" w:color="auto"/>
              <w:left w:val="single" w:sz="12" w:space="0" w:color="auto"/>
              <w:bottom w:val="single" w:sz="12" w:space="0" w:color="auto"/>
              <w:right w:val="single" w:sz="6" w:space="0" w:color="auto"/>
            </w:tcBorders>
          </w:tcPr>
          <w:p w:rsidR="008E05AA" w:rsidRPr="005D7872" w:rsidRDefault="008E05AA" w:rsidP="004F7425">
            <w:pPr>
              <w:jc w:val="both"/>
            </w:pPr>
            <w:r w:rsidRPr="005D7872">
              <w:t>Viso</w:t>
            </w:r>
          </w:p>
        </w:tc>
        <w:tc>
          <w:tcPr>
            <w:tcW w:w="2340" w:type="dxa"/>
            <w:tcBorders>
              <w:top w:val="single" w:sz="12" w:space="0" w:color="auto"/>
              <w:left w:val="single" w:sz="6" w:space="0" w:color="auto"/>
              <w:bottom w:val="single" w:sz="12" w:space="0" w:color="auto"/>
              <w:right w:val="single" w:sz="12" w:space="0" w:color="auto"/>
            </w:tcBorders>
          </w:tcPr>
          <w:p w:rsidR="008E05AA" w:rsidRPr="005D7872" w:rsidRDefault="008E05AA" w:rsidP="004F7425">
            <w:pPr>
              <w:jc w:val="both"/>
            </w:pPr>
            <w:r w:rsidRPr="005D7872">
              <w:t>64</w:t>
            </w:r>
          </w:p>
        </w:tc>
      </w:tr>
    </w:tbl>
    <w:p w:rsidR="008E05AA" w:rsidRPr="005D7872" w:rsidRDefault="008E05AA" w:rsidP="008E05AA">
      <w:pPr>
        <w:jc w:val="both"/>
        <w:rPr>
          <w:i/>
          <w:iCs/>
        </w:rPr>
      </w:pPr>
      <w:r w:rsidRPr="005D7872">
        <w:rPr>
          <w:i/>
          <w:iCs/>
        </w:rPr>
        <w:t xml:space="preserve"> </w:t>
      </w:r>
    </w:p>
    <w:p w:rsidR="008E05AA" w:rsidRPr="005D7872" w:rsidRDefault="008E05AA" w:rsidP="008E05AA">
      <w:pPr>
        <w:jc w:val="both"/>
        <w:rPr>
          <w:i/>
          <w:iCs/>
        </w:rPr>
      </w:pPr>
    </w:p>
    <w:p w:rsidR="008E05AA" w:rsidRPr="005D7872" w:rsidRDefault="008E05AA" w:rsidP="008E05AA">
      <w:pPr>
        <w:jc w:val="both"/>
      </w:pPr>
      <w:r w:rsidRPr="005D7872">
        <w:tab/>
        <w:t>Dauguma 2007m. dėl psichikos ir elgesio sutrikimo vartojant psichiką veikiančias medžiagas mirusiųjų buvo darbingo amžiaus asmenys.</w:t>
      </w:r>
    </w:p>
    <w:p w:rsidR="008E05AA" w:rsidRPr="005D7872" w:rsidRDefault="008E05AA" w:rsidP="008E05AA">
      <w:pPr>
        <w:jc w:val="both"/>
      </w:pPr>
      <w:r w:rsidRPr="005D7872">
        <w:rPr>
          <w:i/>
          <w:iCs/>
        </w:rPr>
        <w:t>Nuo priklausomybės mirusieji pagal amžiaus grupes:</w:t>
      </w:r>
    </w:p>
    <w:p w:rsidR="008E05AA" w:rsidRPr="005D7872" w:rsidRDefault="008E05AA" w:rsidP="008E05AA">
      <w:pPr>
        <w:jc w:val="both"/>
      </w:pPr>
      <w:r w:rsidRPr="005D7872">
        <w:rPr>
          <w:noProof/>
          <w:lang w:eastAsia="lt-LT"/>
        </w:rPr>
        <w:lastRenderedPageBreak/>
        <w:drawing>
          <wp:inline distT="0" distB="0" distL="0" distR="0" wp14:anchorId="07426A57" wp14:editId="19F63AD0">
            <wp:extent cx="4600575" cy="2028825"/>
            <wp:effectExtent l="0" t="0" r="0" b="0"/>
            <wp:docPr id="66" name="Diagrama 6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8E05AA" w:rsidRPr="005D7872" w:rsidRDefault="008E05AA" w:rsidP="008E05AA">
      <w:pPr>
        <w:jc w:val="both"/>
      </w:pPr>
    </w:p>
    <w:p w:rsidR="008E05AA" w:rsidRPr="005D7872" w:rsidRDefault="008E05AA" w:rsidP="008E05AA">
      <w:pPr>
        <w:jc w:val="both"/>
      </w:pPr>
    </w:p>
    <w:p w:rsidR="008E05AA" w:rsidRPr="005D7872" w:rsidRDefault="008E05AA" w:rsidP="008E05AA">
      <w:pPr>
        <w:jc w:val="both"/>
      </w:pPr>
    </w:p>
    <w:p w:rsidR="008E05AA" w:rsidRPr="005D7872" w:rsidRDefault="008E05AA" w:rsidP="008E05AA">
      <w:pPr>
        <w:ind w:firstLine="720"/>
        <w:jc w:val="both"/>
      </w:pPr>
      <w:r w:rsidRPr="005D7872">
        <w:t>Apibendrinus informaciją nustatyta, kad:</w:t>
      </w:r>
    </w:p>
    <w:p w:rsidR="008E05AA" w:rsidRPr="005D7872" w:rsidRDefault="008E05AA" w:rsidP="008E05AA">
      <w:pPr>
        <w:ind w:firstLine="720"/>
        <w:jc w:val="both"/>
      </w:pPr>
      <w:r w:rsidRPr="005D7872">
        <w:t>1.Įgyvendindamas Nuodingųjų medžiagų kontrolės įstatymo (Žin., 2001, Nr. 64-2330) nuostatas Sveikatos apsaugos ministras įsakymu “Dėl informacijos, susijusios su žmonių apsinuodijimais ir jų specifine profilaktika , kaupimo ir teikimo” (Žin., 2001, Nr. 102-3641) įpareigojo asmens sveikatos priežiūros įstaigas teikti, o Valstybiniam aplinkos sveikatos centro Apsinuodijimų kontrolės ir informacijos biurui ( toliau – Apsinuodijimų kontrolės ir informacijos biuras) pavedė rinkti informaciją apie  cheminius nudegimus, apsinuodijimus narkotinėmis ir psichotropinėmis medžiagomis, vaistais ir biologinėmis medžiagomis, nemedicininės paskirties medžiagų toksinį poveikį, cheminio nudegimo ir apsinuodijimo padarinius ir kitomis  nuodingosiomis medžiagomis, įrašytomis į Nuodingųjų medžiagų pagal jų toksiškumą sąrašą, patvirtintą sveikatos apsaugos ministro 2004 m. gruodžio 30 d. Įsakymu Nr. V-975 “Dėl Nuodingųjų medžiagų pagal jų toksiškumą sąrašo patvirtinimo”.</w:t>
      </w:r>
    </w:p>
    <w:p w:rsidR="008E05AA" w:rsidRPr="005D7872" w:rsidRDefault="008E05AA" w:rsidP="008E05AA">
      <w:pPr>
        <w:ind w:firstLine="720"/>
        <w:jc w:val="both"/>
        <w:rPr>
          <w:bCs/>
        </w:rPr>
      </w:pPr>
      <w:r w:rsidRPr="005D7872">
        <w:rPr>
          <w:bCs/>
        </w:rPr>
        <w:t>Vadovaujantis Sveikatos apsaugos ministro 2003 m. spalio 8 d. įsakymu Nr. V- 597 “Dėl informacijos, susijusios su žmonių apsinuodijimais ir jų specifine profilaktika , kaupimo ir teikimo” (Žin., 2003, Nr. 99-4459) bei šio įsakymo pakeitimo  2005 m. rugpjūčio 12 d. įsakymu Nr. V- 650 (Žin., 2005, Nr. 101-3762) renkama informacija tik apie  apsinuodijimus nuodingosiomis medžiagomis, įrašytomis į Nuodingųjų medžiagų pagal jų toksiškumą sąrašą, kuris  patvirtintas  Sveikatos apsaugos ministro 2004 m. gruodžio 30 d. įsakymu Nr. V-975 “Dėl Nuodingųjų medžiagų pagal jų toksiškumą sąrašo patvirtinimo” (V.Ž., 2005, Nr. 3-47) ir šie duomenys    neapima visų su priklausomybės ligomis susijusių apsinuodijimų atvejų.</w:t>
      </w:r>
    </w:p>
    <w:p w:rsidR="008E05AA" w:rsidRPr="005D7872" w:rsidRDefault="008E05AA" w:rsidP="008E05AA">
      <w:pPr>
        <w:ind w:firstLine="720"/>
        <w:jc w:val="both"/>
      </w:pPr>
      <w:r w:rsidRPr="005D7872">
        <w:t>Pagal šį įsakymą Valstybiniame aplinkos sveikatos centre yra kaupiama  ir analizuojama tik minėtame ministro įsakyme nurodyta informacija. Pateikti skaičiai neapima visų su priklausomybės ligomis susijusių apsinuodijimų atvejų.</w:t>
      </w:r>
    </w:p>
    <w:p w:rsidR="008E05AA" w:rsidRDefault="008E05AA" w:rsidP="008E05AA">
      <w:pPr>
        <w:ind w:firstLine="720"/>
        <w:jc w:val="both"/>
        <w:rPr>
          <w:bCs/>
        </w:rPr>
      </w:pPr>
      <w:r w:rsidRPr="005D7872">
        <w:rPr>
          <w:i/>
          <w:iCs/>
        </w:rPr>
        <w:t xml:space="preserve">Darytina išvada, kad  </w:t>
      </w:r>
      <w:r w:rsidRPr="005D7872">
        <w:rPr>
          <w:bCs/>
        </w:rPr>
        <w:t>Lietuvoje nėra vieningos ir išsamios informacijos apie apsinuodijimus alkoholiu, narkotinėmis, psichotropinėmis ir kitomis nuodingosiomis medžiagomis.</w:t>
      </w:r>
    </w:p>
    <w:p w:rsidR="008E05AA" w:rsidRDefault="008E05AA" w:rsidP="008E05AA">
      <w:pPr>
        <w:ind w:firstLine="720"/>
        <w:jc w:val="both"/>
      </w:pPr>
      <w:r w:rsidRPr="005D7872">
        <w:t xml:space="preserve">2. Lietuvoje yra vaikų, piktnaudžiaujančių alkoholiu, narkotinėmis ir kitomis psichotropinėmis medžiagomis, kuriems būtinas gydymas ir  reabilitacija. </w:t>
      </w:r>
    </w:p>
    <w:p w:rsidR="008E05AA" w:rsidRPr="005D7872" w:rsidRDefault="008E05AA" w:rsidP="008E05AA">
      <w:pPr>
        <w:ind w:firstLine="720"/>
        <w:jc w:val="both"/>
      </w:pPr>
      <w:r w:rsidRPr="005D7872">
        <w:t xml:space="preserve">Stacionarinėse ASPĮ gydytų (daugiau nei 97 proc.) psichiką veikiančiomis medžiagomis piktnaudžiaujančių vaikų yra 13 – 18 metų amžiaus.  2007 metais Valstybinės ligonių </w:t>
      </w:r>
      <w:r>
        <w:t>kasos duomenimis  dviem</w:t>
      </w:r>
      <w:r w:rsidRPr="005D7872">
        <w:t xml:space="preserve"> vaikams, jaunesniems nei 10 m. amžiaus, stacionarines paslaugas teikiančiose ASPĮ buvo diagnozuota priklausomybė raminančioms medžiagoms ir alkoholiui. </w:t>
      </w:r>
    </w:p>
    <w:p w:rsidR="008E05AA" w:rsidRPr="005D7872" w:rsidRDefault="008E05AA" w:rsidP="008E05AA">
      <w:pPr>
        <w:ind w:firstLine="720"/>
        <w:jc w:val="both"/>
      </w:pPr>
      <w:r w:rsidRPr="005D7872">
        <w:t>91 proc. vaikų, apsinuodijusių psichiką veikiančiomis medžiagomis, buvo sulaukę 13 metų. Dažniausiai asmenys iki 18 metų kreipėsi dėl apsinuodijimų  sintetiniais narkotikais, kanapėmis, ir haliucinogenais, 20 atvejų (35 proc.) teiktos reanimacijos paslaugos.</w:t>
      </w:r>
      <w:r w:rsidRPr="005D7872">
        <w:rPr>
          <w:b/>
          <w:bCs/>
        </w:rPr>
        <w:t xml:space="preserve"> </w:t>
      </w:r>
    </w:p>
    <w:p w:rsidR="008E05AA" w:rsidRDefault="008E05AA" w:rsidP="008E05AA">
      <w:pPr>
        <w:ind w:firstLine="720"/>
        <w:jc w:val="both"/>
      </w:pPr>
      <w:r w:rsidRPr="005D7872">
        <w:t>Analizuojant psichikos ir elgesio sutrikimų vartojant psichiką veikiančias medžiagas paplitimą nustatyta, kad 2007 m. stacionarines paslaugas teikiančiose ASPĮ dėl šių sutrikimų buvo gydyti 84 vaikai.</w:t>
      </w:r>
    </w:p>
    <w:p w:rsidR="008E05AA" w:rsidRDefault="008E05AA" w:rsidP="008E05AA">
      <w:pPr>
        <w:ind w:firstLine="720"/>
        <w:jc w:val="both"/>
        <w:rPr>
          <w:iCs/>
        </w:rPr>
      </w:pPr>
      <w:r w:rsidRPr="005D7872">
        <w:t xml:space="preserve"> </w:t>
      </w:r>
      <w:r w:rsidRPr="005D7872">
        <w:rPr>
          <w:iCs/>
        </w:rPr>
        <w:t>Darytina išvada, kad  skubiai būtina įvertinti situaciją dėl gydymo ir reabilitacijos</w:t>
      </w:r>
      <w:r w:rsidRPr="005D7872">
        <w:t xml:space="preserve"> </w:t>
      </w:r>
      <w:r w:rsidRPr="005D7872">
        <w:rPr>
          <w:iCs/>
        </w:rPr>
        <w:t xml:space="preserve">paslaugų prieinamumo vaikams, piktnaudžiaujantiems alkoholiu, narkotinėmis ar kitomis  psichotropinėmis medžiagomis.  </w:t>
      </w:r>
    </w:p>
    <w:p w:rsidR="008E05AA" w:rsidRPr="005D7872" w:rsidRDefault="008E05AA" w:rsidP="008E05AA">
      <w:pPr>
        <w:ind w:firstLine="720"/>
        <w:jc w:val="both"/>
      </w:pPr>
      <w:r w:rsidRPr="005D7872">
        <w:lastRenderedPageBreak/>
        <w:t>3. Bendras apsinuodijimų narkotikais ir haliucinogenais skaičius 2007 m. Lietuvoje išaugo 18 proc. Tarp visų narkotinėmis ir psichotropinėmis medžiagomis apsinuodijusių asmenų beveik 80 proc. buvo 15 – 34 m. amžiaus. 2007 m. analizuojant priklausomybę kitoms psichiką veikiančioms medžiagoms padaugėjo asmenų į asmens sveikatos priežiūros įstaigas (toliau – ASPĮ) besikreipusių tik dėl priklausomybės raminančioms (F13) ir lakioms (F18) medžiagoms.</w:t>
      </w:r>
    </w:p>
    <w:p w:rsidR="008E05AA" w:rsidRPr="005D7872" w:rsidRDefault="008E05AA" w:rsidP="008E05AA">
      <w:pPr>
        <w:jc w:val="both"/>
      </w:pPr>
      <w:r w:rsidRPr="005D7872">
        <w:tab/>
        <w:t>4. 2007 m. daugiau nei pusei (58 proc.) dėl apsinuodijimo alkoholiais ligoninėse gydytų pacientams nebuvo identifikuota apsinuodijimą sukėlusi medžiaga (T51.9), t.y. juos gydę asmens sveikatos priežiūros specialistai neturėjo galimybės tiksliai nustatyti sveikatos sutrikimus sukėlusio alkoholio. Panaši situaciją ir apsinuodijus narkotikais bei haliucinogenais. Tokia situacija sietina su keletu priežasčių: nepakankama informacija iš paciento ar jo artimųjų bei galimybių laboratoriškai identifikuoti alkoholio surogatus paciento kraujyje ar šlapime stoka. 2006 metais tokių atvejų buvo 273.</w:t>
      </w:r>
    </w:p>
    <w:p w:rsidR="008E05AA" w:rsidRPr="005D7872" w:rsidRDefault="008E05AA" w:rsidP="008E05AA">
      <w:pPr>
        <w:ind w:firstLine="720"/>
        <w:jc w:val="both"/>
      </w:pPr>
      <w:r w:rsidRPr="005D7872">
        <w:t xml:space="preserve"> Kaip ir apsinuodijimų narkotikais, taip ir apsinuodijimų alkoholiais atveju apsinuodijimai šiomis medžiagomis vaikų tarpe yra ganėtinai dažni.</w:t>
      </w:r>
    </w:p>
    <w:p w:rsidR="008E05AA" w:rsidRPr="005D7872" w:rsidRDefault="008E05AA" w:rsidP="008E05AA">
      <w:pPr>
        <w:ind w:firstLine="720"/>
        <w:jc w:val="both"/>
      </w:pPr>
      <w:r w:rsidRPr="005D7872">
        <w:t>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w:t>
      </w:r>
    </w:p>
    <w:p w:rsidR="008E05AA" w:rsidRPr="009D085A" w:rsidRDefault="008E05AA" w:rsidP="008E05AA">
      <w:pPr>
        <w:pStyle w:val="Antrat1"/>
        <w:rPr>
          <w:b w:val="0"/>
        </w:rPr>
      </w:pPr>
      <w:r w:rsidRPr="009D085A">
        <w:rPr>
          <w:b w:val="0"/>
        </w:rPr>
        <w:t>Darytina išvada, kad būtina sudaryti sąlygas ir galimybes asmens sveikatos priežiūros specialistams laboratoriškai identifikuoti paciento kraujyje ar šlapime ir kitas apsinuodijimą sukėlusias   medžiagas, tuo tikslu sveikatos apsaugos sistemoje įkuriant laboratoriją.</w:t>
      </w:r>
    </w:p>
    <w:p w:rsidR="008E05AA" w:rsidRPr="005D7872" w:rsidRDefault="008E05AA" w:rsidP="008E05AA">
      <w:pPr>
        <w:jc w:val="both"/>
      </w:pPr>
      <w:r w:rsidRPr="005D7872">
        <w:tab/>
        <w:t xml:space="preserve">5. 2007 m. į stacionarines ASPĮ  gydytis psichikos ir elgesio sutrikimus dėl žalingo psichiką veikiančių medžiagų vartojimo kreipėsi 10 019 asmenų. Tarp visų asmenų, piktnaudžiaujančių psichiką veikiančiomis medžiagomis, vyrai sudaro didesniąją dalį. </w:t>
      </w:r>
    </w:p>
    <w:p w:rsidR="008E05AA" w:rsidRPr="005D7872" w:rsidRDefault="008E05AA" w:rsidP="008E05AA">
      <w:pPr>
        <w:ind w:firstLine="720"/>
        <w:jc w:val="both"/>
      </w:pPr>
      <w:r w:rsidRPr="005D7872">
        <w:t xml:space="preserve">Lyginant 3 metų statistinius duomenis, pastebimas gerokai padidėjęs užregistruotų apsinuodijimų kokainu skaičius ( 2004 m. – 6 atvejai, 2005 m. – 17 atvejų, 2006 m. – 40 atvejų), nedaug sumažėjo apsinuodijimų kanapėmis ( 2005 m. – 17 atvejų, 2006 m. – 9 atvejai) ir opiumu ( 2005 m. – 75 atvejai, 2006 m. – 55 atvejai).  </w:t>
      </w:r>
    </w:p>
    <w:p w:rsidR="008E05AA" w:rsidRPr="005D7872" w:rsidRDefault="008E05AA" w:rsidP="008E05AA">
      <w:pPr>
        <w:ind w:firstLine="720"/>
        <w:jc w:val="both"/>
      </w:pPr>
      <w:r w:rsidRPr="005D7872">
        <w:t xml:space="preserve">2007 m. dėl priklausomybės į ASPĮ besikreipusių asmenų mirštamumas buvo mažesnis nei 1 proc., t.y. iš 9’955 hospitalizuotų dėl minėtos priežasties mirė 64 asmenys. </w:t>
      </w:r>
    </w:p>
    <w:p w:rsidR="008E05AA" w:rsidRDefault="008E05AA" w:rsidP="008E05AA">
      <w:pPr>
        <w:jc w:val="both"/>
      </w:pPr>
      <w:r w:rsidRPr="005D7872">
        <w:tab/>
        <w:t>Kaip ir bendroje stacionarines paslaugas teikiančiose ASPĮ gydytų priklausomybe sergančių asmenų statistikoje, taip ir mirštamumo rodikliuose, dauguma nuo priklausomybės mirusiųjų yra vyriškos lyties darbingo  amžiaus asmenys.</w:t>
      </w:r>
    </w:p>
    <w:p w:rsidR="008E05AA" w:rsidRDefault="008E05AA" w:rsidP="008E05AA">
      <w:pPr>
        <w:jc w:val="both"/>
        <w:rPr>
          <w:rFonts w:ascii="TimesLT" w:hAnsi="TimesLT"/>
        </w:rPr>
      </w:pPr>
      <w:r>
        <w:rPr>
          <w:sz w:val="18"/>
        </w:rPr>
        <w:tab/>
      </w:r>
    </w:p>
    <w:p w:rsidR="008E05AA" w:rsidRDefault="008E05AA" w:rsidP="008E05AA">
      <w:pPr>
        <w:jc w:val="both"/>
        <w:rPr>
          <w:rFonts w:ascii="TimesLT" w:hAnsi="TimesLT"/>
          <w:bCs/>
        </w:rPr>
      </w:pPr>
    </w:p>
    <w:p w:rsidR="008E05AA" w:rsidRDefault="008E05AA" w:rsidP="008E05AA">
      <w:pPr>
        <w:jc w:val="both"/>
        <w:rPr>
          <w:rFonts w:ascii="TimesLT" w:hAnsi="TimesLT"/>
        </w:rPr>
      </w:pPr>
      <w:r>
        <w:rPr>
          <w:rFonts w:ascii="TimesLT" w:hAnsi="TimesLT"/>
        </w:rPr>
        <w:t xml:space="preserve">DĖL </w:t>
      </w:r>
      <w:r>
        <w:rPr>
          <w:rFonts w:ascii="TimesLT" w:hAnsi="TimesLT"/>
          <w:color w:val="464942"/>
          <w:szCs w:val="18"/>
        </w:rPr>
        <w:t>VĮ „VILNIAUS POLICIJOS KLUBAS VAIKAMS IR JAUNIMUI” VEIKLOS</w:t>
      </w:r>
    </w:p>
    <w:p w:rsidR="008E05AA" w:rsidRDefault="008E05AA" w:rsidP="008E05AA">
      <w:pPr>
        <w:rPr>
          <w:rFonts w:ascii="TimesLT" w:hAnsi="TimesLT"/>
        </w:rPr>
      </w:pPr>
    </w:p>
    <w:p w:rsidR="008E05AA" w:rsidRDefault="008E05AA" w:rsidP="008E05AA">
      <w:pPr>
        <w:ind w:firstLine="720"/>
        <w:jc w:val="both"/>
        <w:rPr>
          <w:rFonts w:ascii="TimesLT" w:hAnsi="TimesLT"/>
          <w:bCs/>
        </w:rPr>
      </w:pPr>
      <w:r>
        <w:rPr>
          <w:rFonts w:ascii="TimesLT" w:hAnsi="TimesLT"/>
        </w:rPr>
        <w:t xml:space="preserve">Komisija </w:t>
      </w:r>
      <w:r>
        <w:rPr>
          <w:rFonts w:ascii="TimesLT" w:hAnsi="TimesLT"/>
          <w:bCs/>
        </w:rPr>
        <w:t xml:space="preserve">2008 09 30 raštu Nr. 293-S-22 –S-2008-8303 kreipėsi į Policijos generalinį komisarą V.Telyčėną dėl VĮ „Vilniaus policijos klubas vaikams ir jaunimui“ veiklos tęstinumo.  </w:t>
      </w:r>
    </w:p>
    <w:p w:rsidR="008E05AA" w:rsidRDefault="008E05AA" w:rsidP="008E05AA">
      <w:pPr>
        <w:jc w:val="both"/>
        <w:rPr>
          <w:rFonts w:ascii="TimesLT" w:hAnsi="TimesLT"/>
        </w:rPr>
      </w:pPr>
      <w:r>
        <w:rPr>
          <w:rFonts w:ascii="TimesLT" w:hAnsi="TimesLT"/>
        </w:rPr>
        <w:t xml:space="preserve"> </w:t>
      </w:r>
      <w:r>
        <w:rPr>
          <w:rFonts w:ascii="TimesLT" w:hAnsi="TimesLT"/>
        </w:rPr>
        <w:tab/>
        <w:t>Komisija nurodė, kad Lietuvos Respublikos Seimas 2004 m. balandžio 8 d. nutarimu Nr. IX- 2110 patvirtino Nacionalinę narkotikų kontrolės ir narkomanijos prevencijos 2004 -2008 metų programą (toliau- Programa).</w:t>
      </w:r>
    </w:p>
    <w:p w:rsidR="008E05AA" w:rsidRDefault="008E05AA" w:rsidP="008E05AA">
      <w:pPr>
        <w:jc w:val="both"/>
        <w:rPr>
          <w:rFonts w:ascii="TimesLT" w:hAnsi="TimesLT"/>
        </w:rPr>
      </w:pPr>
      <w:r>
        <w:rPr>
          <w:rFonts w:ascii="TimesLT" w:hAnsi="TimesLT"/>
        </w:rPr>
        <w:tab/>
        <w:t>Programa siekiama sustabdyti ir sumažinti narkomanijos plitimą, užkirsti kelią neteisėtai narkotikų apyvartai, įgyvendinti valstybės politikos prioritetus narkomanijos prevencijos ir narkotikų kontrolės srityje, nuosekliai ir kompleksiškai šalinant narkomanijos atsiradimo ir plitimo priežastis ir sąlygas, racionaliai naudojant finansinius bei žmogiškuosius išteklius.</w:t>
      </w:r>
    </w:p>
    <w:p w:rsidR="008E05AA" w:rsidRDefault="008E05AA" w:rsidP="008E05AA">
      <w:pPr>
        <w:ind w:firstLine="720"/>
        <w:jc w:val="both"/>
        <w:rPr>
          <w:rFonts w:ascii="TimesLT" w:hAnsi="TimesLT"/>
        </w:rPr>
      </w:pPr>
      <w:r>
        <w:rPr>
          <w:rFonts w:ascii="TimesLT" w:hAnsi="TimesLT"/>
        </w:rPr>
        <w:t>Strateginis Programos tikslas</w:t>
      </w:r>
      <w:r>
        <w:rPr>
          <w:rFonts w:ascii="TimesLT" w:hAnsi="TimesLT"/>
          <w:bCs/>
        </w:rPr>
        <w:t xml:space="preserve"> </w:t>
      </w:r>
      <w:r>
        <w:rPr>
          <w:rFonts w:ascii="TimesLT" w:hAnsi="TimesLT"/>
        </w:rPr>
        <w:t>- sustabdyti ir sumažinti narkomanijos plitimą, nustatyti ir įgyvendinti pagrindines valstybės politikos gaires ir veiklos kryptis narkomanijos prevencijos ir narkotikų kontrolės srityje, padidinti narkomanijos prevencijos Lietuvoje veiksmingumą.</w:t>
      </w:r>
    </w:p>
    <w:p w:rsidR="008E05AA" w:rsidRDefault="008E05AA" w:rsidP="008E05AA">
      <w:pPr>
        <w:ind w:firstLine="720"/>
        <w:jc w:val="both"/>
        <w:rPr>
          <w:rFonts w:ascii="TimesLT" w:hAnsi="TimesLT"/>
          <w:i/>
        </w:rPr>
      </w:pPr>
      <w:r>
        <w:rPr>
          <w:rFonts w:ascii="TimesLT" w:hAnsi="TimesLT"/>
        </w:rPr>
        <w:t xml:space="preserve">2005 metais Lietuvos Vyriausybei teiktose Narkomanijos prevencijos komisijos  išvadose, pažymėta, kad </w:t>
      </w:r>
      <w:r>
        <w:rPr>
          <w:rFonts w:ascii="TimesLT" w:hAnsi="TimesLT"/>
          <w:i/>
        </w:rPr>
        <w:t xml:space="preserve">Programos strateginiai  tikslai , kuriais buvo siekiama sustabdyti ir sumažinti narkomanijos plitimą, nustatyti ir įgyvendinti pagrindines valstybės politikos gaires ir veiklos kryptis </w:t>
      </w:r>
      <w:r>
        <w:rPr>
          <w:rFonts w:ascii="TimesLT" w:hAnsi="TimesLT"/>
          <w:i/>
        </w:rPr>
        <w:lastRenderedPageBreak/>
        <w:t>narkomanijos prevencijos ir narkotikų kontrolės srityje, padidinti narkomanijos prevencijos Lietuvoje veiksmingumą, iš esmės teisingi.</w:t>
      </w:r>
    </w:p>
    <w:p w:rsidR="008E05AA" w:rsidRDefault="008E05AA" w:rsidP="008E05AA">
      <w:pPr>
        <w:ind w:firstLine="720"/>
        <w:jc w:val="both"/>
        <w:rPr>
          <w:rFonts w:ascii="TimesLT" w:hAnsi="TimesLT"/>
          <w:i/>
        </w:rPr>
      </w:pPr>
      <w:r>
        <w:rPr>
          <w:rFonts w:ascii="TimesLT" w:hAnsi="TimesLT"/>
          <w:i/>
        </w:rPr>
        <w:t>Komisija  manė, kad ir toliau išlieka šie svarbiausi uždaviniai:</w:t>
      </w:r>
    </w:p>
    <w:p w:rsidR="008E05AA" w:rsidRDefault="008E05AA" w:rsidP="008E05AA">
      <w:pPr>
        <w:jc w:val="both"/>
        <w:rPr>
          <w:rFonts w:ascii="TimesLT" w:hAnsi="TimesLT"/>
        </w:rPr>
      </w:pPr>
      <w:r>
        <w:rPr>
          <w:rFonts w:ascii="TimesLT" w:hAnsi="TimesLT"/>
        </w:rPr>
        <w:t>-formuoti  neigiamą visuomenės požiūrį į narkotinių ir psichotropinių medžiagų vartojimą, ypač rūpintis narkomanijos prevencija šeimoje, tarp vaikų ir jaunimo, diegti vaikams ir jaunimui sveiko gyvenimo vertybines nuostatas ( Programos 26.1p.);</w:t>
      </w:r>
    </w:p>
    <w:p w:rsidR="008E05AA" w:rsidRDefault="008E05AA" w:rsidP="008E05AA">
      <w:pPr>
        <w:jc w:val="both"/>
        <w:rPr>
          <w:rFonts w:ascii="TimesLT" w:hAnsi="TimesLT"/>
        </w:rPr>
      </w:pPr>
      <w:r>
        <w:rPr>
          <w:rFonts w:ascii="TimesLT" w:hAnsi="TimesLT"/>
        </w:rPr>
        <w:t>- plėtoti valstybės institucijų, vykdančių narkomanijos prevenciją bei narkotikų kontrolę, visuomeninių organizacijų ir bendruomenės tarpusavio bendradarbiavimą (Programos 26.2 p.);</w:t>
      </w:r>
    </w:p>
    <w:p w:rsidR="008E05AA" w:rsidRDefault="008E05AA" w:rsidP="008E05AA">
      <w:pPr>
        <w:jc w:val="both"/>
        <w:rPr>
          <w:rFonts w:ascii="TimesLT" w:hAnsi="TimesLT"/>
        </w:rPr>
      </w:pPr>
      <w:r>
        <w:rPr>
          <w:rFonts w:ascii="TimesLT" w:hAnsi="TimesLT"/>
        </w:rPr>
        <w:t>- skatinti savivaldybių ir regionų valdymo institucijų iniciatyvas sprendžiant narkomanijos prevencijos bei narkotikų kontrolės problemas (Programos 26.3 p.);</w:t>
      </w:r>
    </w:p>
    <w:p w:rsidR="008E05AA" w:rsidRDefault="008E05AA" w:rsidP="008E05AA">
      <w:pPr>
        <w:jc w:val="both"/>
        <w:rPr>
          <w:rFonts w:ascii="TimesLT" w:hAnsi="TimesLT"/>
        </w:rPr>
      </w:pPr>
      <w:r>
        <w:rPr>
          <w:rFonts w:ascii="TimesLT" w:hAnsi="TimesLT"/>
        </w:rPr>
        <w:t>- plėtoti objektyvios narkomanijos prevencijos bei narkotikų kontrolės informacijos rinkimo ir analizės sistemą, atitinkančią Europos Sąjungos reikalavimus (Programos 26.5 p.);</w:t>
      </w:r>
    </w:p>
    <w:p w:rsidR="008E05AA" w:rsidRDefault="008E05AA" w:rsidP="008E05AA">
      <w:pPr>
        <w:jc w:val="both"/>
        <w:rPr>
          <w:rFonts w:ascii="TimesLT" w:hAnsi="TimesLT"/>
        </w:rPr>
      </w:pPr>
      <w:r>
        <w:rPr>
          <w:rFonts w:ascii="TimesLT" w:hAnsi="TimesLT"/>
        </w:rPr>
        <w:t>- skatinti tarptautinį bendradarbiavimą narkomanijos prevencijos bei narkotikų kontrolės srityje, pagrįstą regioniniais ir nacionaliniais projektais bei programomis (Programos 26.6 p.);</w:t>
      </w:r>
    </w:p>
    <w:p w:rsidR="008E05AA" w:rsidRDefault="008E05AA" w:rsidP="008E05AA">
      <w:pPr>
        <w:jc w:val="both"/>
        <w:rPr>
          <w:rFonts w:ascii="TimesLT" w:hAnsi="TimesLT"/>
        </w:rPr>
      </w:pPr>
      <w:r>
        <w:rPr>
          <w:rFonts w:ascii="TimesLT" w:hAnsi="TimesLT"/>
        </w:rPr>
        <w:t>- užtikrinti valstybės institucijų, vykdančių narkomanijos prevenciją bei narkotikų kontrolę, efektyvų valdymą, kontrolę bei tarpusavio veiksmų koordinavimą (Programos 26.8 p.) ir kt.</w:t>
      </w:r>
    </w:p>
    <w:p w:rsidR="008E05AA" w:rsidRDefault="008E05AA" w:rsidP="008E05AA">
      <w:pPr>
        <w:ind w:firstLine="720"/>
        <w:jc w:val="both"/>
        <w:rPr>
          <w:rFonts w:ascii="TimesLT" w:hAnsi="TimesLT"/>
        </w:rPr>
      </w:pPr>
      <w:r>
        <w:rPr>
          <w:rFonts w:ascii="TimesLT" w:hAnsi="TimesLT"/>
        </w:rPr>
        <w:t xml:space="preserve">Komisija rekomendavo Lietuvos Respublikos Vyriausybei skirti prioritetinių narkotikų kontrolės ir narkomanijos prevencijos krypčių įgyvendinimui reikiamą finansavimą. </w:t>
      </w:r>
    </w:p>
    <w:p w:rsidR="008E05AA" w:rsidRDefault="008E05AA" w:rsidP="008E05AA">
      <w:pPr>
        <w:ind w:firstLine="720"/>
        <w:jc w:val="both"/>
        <w:rPr>
          <w:rFonts w:ascii="TimesLT" w:hAnsi="TimesLT"/>
        </w:rPr>
      </w:pPr>
      <w:r>
        <w:rPr>
          <w:rFonts w:ascii="TimesLT" w:hAnsi="TimesLT"/>
        </w:rPr>
        <w:t xml:space="preserve"> Komisija nagrinėjo 2005 –2007 metais vykdytos narkomanijos prevencijos klausimus. Aiškinosi,  kokia konkreti prevencinė veikla buvo vykdyta, kas ją vykdė  ir į kokias tikslines grupes buvo nukreiptos prevencijos priemonės  bei kokie pasiekti rezultatai.  </w:t>
      </w:r>
    </w:p>
    <w:p w:rsidR="008E05AA" w:rsidRDefault="008E05AA" w:rsidP="008E05AA">
      <w:pPr>
        <w:ind w:firstLine="720"/>
        <w:jc w:val="both"/>
        <w:rPr>
          <w:rFonts w:ascii="TimesLT" w:hAnsi="TimesLT"/>
        </w:rPr>
      </w:pPr>
      <w:r>
        <w:rPr>
          <w:rFonts w:ascii="TimesLT" w:hAnsi="TimesLT"/>
        </w:rPr>
        <w:t xml:space="preserve">Komisija atkreipė dėmesį, kad Vilniaus mieste labai aktyviai ir efektyviai prevencinėje veikloje   dalyvauja Viešoji įstaiga “Vilniaus policijos klubas vaikams ir jaunimui”. </w:t>
      </w:r>
    </w:p>
    <w:p w:rsidR="008E05AA" w:rsidRDefault="008E05AA" w:rsidP="008E05AA">
      <w:pPr>
        <w:ind w:firstLine="720"/>
        <w:jc w:val="both"/>
        <w:rPr>
          <w:rFonts w:ascii="TimesLT" w:hAnsi="TimesLT"/>
        </w:rPr>
      </w:pPr>
      <w:r>
        <w:rPr>
          <w:rFonts w:ascii="TimesLT" w:hAnsi="TimesLT"/>
        </w:rPr>
        <w:t>Todėl, 2005 m. lapkričio 9-11 d. Komisija prisidėjo prie VĮ “Vilniaus policijos klubas vaikams ir jaunimui” rengiant Tarptautinę konferenciją “Marginalinių jaunimo grupių resocializacijos tinklo kūrimas geros praktikos pagrindu”.</w:t>
      </w:r>
    </w:p>
    <w:p w:rsidR="008E05AA" w:rsidRDefault="008E05AA" w:rsidP="008E05AA">
      <w:pPr>
        <w:ind w:firstLine="720"/>
        <w:jc w:val="both"/>
        <w:rPr>
          <w:rFonts w:ascii="TimesLT" w:hAnsi="TimesLT"/>
        </w:rPr>
      </w:pPr>
      <w:r>
        <w:rPr>
          <w:rFonts w:ascii="TimesLT" w:hAnsi="TimesLT"/>
        </w:rPr>
        <w:t xml:space="preserve"> Minėtame renginyje dalyvavo daug užsienio valstybių specialistų ir Vilniaus policijos klubo vaikams ir jaunimui veikla buvo aukštai įvertinta. Ypač geri atsiliepimai buvo gauti iš Ukrainos ir Latvijos specialistų. </w:t>
      </w:r>
    </w:p>
    <w:p w:rsidR="008E05AA" w:rsidRDefault="008E05AA" w:rsidP="008E05AA">
      <w:pPr>
        <w:ind w:firstLine="720"/>
        <w:jc w:val="both"/>
        <w:rPr>
          <w:rFonts w:ascii="TimesLT" w:hAnsi="TimesLT"/>
        </w:rPr>
      </w:pPr>
      <w:r>
        <w:rPr>
          <w:rFonts w:ascii="TimesLT" w:hAnsi="TimesLT"/>
        </w:rPr>
        <w:t xml:space="preserve">Kartu su </w:t>
      </w:r>
      <w:r>
        <w:rPr>
          <w:rFonts w:ascii="TimesLT" w:hAnsi="TimesLT"/>
          <w:color w:val="464942"/>
          <w:szCs w:val="18"/>
        </w:rPr>
        <w:t>VĮ „Vilniaus policijos klubas vaikams ir jaunimui</w:t>
      </w:r>
      <w:r>
        <w:rPr>
          <w:color w:val="464942"/>
          <w:sz w:val="28"/>
          <w:szCs w:val="18"/>
        </w:rPr>
        <w:t xml:space="preserve">“ </w:t>
      </w:r>
      <w:r>
        <w:rPr>
          <w:rFonts w:ascii="TimesLT" w:hAnsi="TimesLT"/>
        </w:rPr>
        <w:t xml:space="preserve">2008 m. gegužės 21 d. Komisija surengė  antrą tarptautinę konferenciją </w:t>
      </w:r>
      <w:r>
        <w:rPr>
          <w:rFonts w:ascii="TimesLT" w:hAnsi="TimesLT"/>
          <w:color w:val="464942"/>
          <w:szCs w:val="18"/>
        </w:rPr>
        <w:t xml:space="preserve">„Tarpinstitucinio bendradarbiavimo svarba dirbant su rizikos grupės vaikais ir jaunimu. Vilniaus policijos klubo vaikams ir jaunimui patirtis ir pasiekimai“.  </w:t>
      </w:r>
    </w:p>
    <w:p w:rsidR="008E05AA" w:rsidRDefault="008E05AA" w:rsidP="008E05AA">
      <w:pPr>
        <w:ind w:firstLine="720"/>
        <w:jc w:val="both"/>
        <w:rPr>
          <w:rFonts w:ascii="TimesLT" w:hAnsi="TimesLT"/>
        </w:rPr>
      </w:pPr>
      <w:r>
        <w:rPr>
          <w:rFonts w:ascii="TimesLT" w:hAnsi="TimesLT"/>
        </w:rPr>
        <w:t xml:space="preserve">Konferencijos dalyviai buvo supažindinti su unikalaus Vilniaus policijos klubo vaikams ir jaunimui veikla bei užsienio valstybių Vokietijos, Latvijos, Estijos, Rusijos, Ukrainos patirtimi, sprendžiant rizikos grupės vaikų problemas. </w:t>
      </w:r>
    </w:p>
    <w:p w:rsidR="008E05AA" w:rsidRDefault="008E05AA" w:rsidP="008E05AA">
      <w:pPr>
        <w:ind w:firstLine="720"/>
        <w:jc w:val="both"/>
        <w:rPr>
          <w:rFonts w:ascii="TimesLT" w:hAnsi="TimesLT"/>
        </w:rPr>
      </w:pPr>
      <w:r>
        <w:rPr>
          <w:rFonts w:ascii="TimesLT" w:hAnsi="TimesLT"/>
        </w:rPr>
        <w:t xml:space="preserve"> </w:t>
      </w:r>
      <w:r>
        <w:t xml:space="preserve">Lietuvos ir užsienio valstybinių bei </w:t>
      </w:r>
      <w:r>
        <w:rPr>
          <w:rFonts w:ascii="TimesLT" w:hAnsi="TimesLT"/>
        </w:rPr>
        <w:t xml:space="preserve">nevyriausybinių organizacijų sukaupta patirtis bei keitimasis gerąją praktika, sudaro prielaidas tarptautinio tinklo sukūrimui. </w:t>
      </w:r>
    </w:p>
    <w:p w:rsidR="008E05AA" w:rsidRDefault="008E05AA" w:rsidP="008E05AA">
      <w:pPr>
        <w:ind w:firstLine="720"/>
        <w:jc w:val="both"/>
        <w:rPr>
          <w:rFonts w:ascii="TimesLT" w:hAnsi="TimesLT"/>
        </w:rPr>
      </w:pPr>
      <w:r>
        <w:rPr>
          <w:rFonts w:ascii="TimesLT" w:hAnsi="TimesLT"/>
        </w:rPr>
        <w:t>Užsienio valstybių patirtis, dirbant su rizikos grupės vaikais, yra aktuali Lietuvai, siekiant tinkamai įgyvendinti Vaiko minimalios ir vidutinės priežiūros įstatymas bei rengiant naują (tęstinę) Nepilnamečių justicijos programą.</w:t>
      </w:r>
    </w:p>
    <w:p w:rsidR="008E05AA" w:rsidRDefault="008E05AA" w:rsidP="008E05AA">
      <w:pPr>
        <w:ind w:firstLine="720"/>
        <w:jc w:val="both"/>
        <w:rPr>
          <w:rFonts w:ascii="TimesLT" w:hAnsi="TimesLT"/>
          <w:color w:val="464942"/>
          <w:szCs w:val="18"/>
        </w:rPr>
      </w:pPr>
      <w:r>
        <w:rPr>
          <w:rFonts w:ascii="TimesLT" w:hAnsi="TimesLT"/>
        </w:rPr>
        <w:t xml:space="preserve">Matėme, kad </w:t>
      </w:r>
      <w:r>
        <w:rPr>
          <w:rFonts w:ascii="TimesLT" w:hAnsi="TimesLT"/>
          <w:color w:val="464942"/>
          <w:szCs w:val="18"/>
        </w:rPr>
        <w:t xml:space="preserve">VĮ „Vilniaus policijos klubas vaikams ir jaunimui“ per savo gyvavimo metus praėjo nelengvą kūrimosi ir vystymosi kelią ir dėka profesionalių darbuotojų sukūrė modelį, kurį kartu su socialiniais partneriais  (vaiko teisių apsaugos tarnybomis, pedagogine psichologine tarnyba, vietos bendruomene, sveikatos priežiūros ir kt.) sėkmingai galima būtų vystyti visoje Lietuvoje. </w:t>
      </w:r>
    </w:p>
    <w:p w:rsidR="008E05AA" w:rsidRDefault="008E05AA" w:rsidP="008E05AA">
      <w:pPr>
        <w:ind w:firstLine="720"/>
        <w:jc w:val="both"/>
        <w:rPr>
          <w:rFonts w:ascii="TimesLT" w:hAnsi="TimesLT"/>
          <w:color w:val="464942"/>
          <w:szCs w:val="18"/>
        </w:rPr>
      </w:pPr>
      <w:r>
        <w:rPr>
          <w:rFonts w:ascii="TimesLT" w:hAnsi="TimesLT"/>
          <w:color w:val="464942"/>
          <w:szCs w:val="18"/>
        </w:rPr>
        <w:t xml:space="preserve">Komisijos žiniomis per pastaruosius metus VĮ „Vilniaus policijos klubas vaikams ir jaunimui“pavyko laimėti ir realizuoti projektų, kurių vertė siekia apie 700.000 Lt. </w:t>
      </w:r>
    </w:p>
    <w:p w:rsidR="008E05AA" w:rsidRDefault="008E05AA" w:rsidP="008E05AA">
      <w:pPr>
        <w:ind w:firstLine="720"/>
        <w:jc w:val="both"/>
      </w:pPr>
      <w:r>
        <w:rPr>
          <w:rFonts w:ascii="TimesLT" w:hAnsi="TimesLT"/>
          <w:color w:val="464942"/>
          <w:szCs w:val="18"/>
        </w:rPr>
        <w:t>Manome, kad stabilus “Vilniaus policijos klubas vaikams ir jaunimui”  darbas, kuomet policijos darbuotojai įtraukiami į socialinę veiklą,  organizuojant nepilnamečių užimtumą, papildomą švietimą, jaunosios kartos pilietinio aktyvumo, sąmoningumo ugdymas, klubo narių šeimoms psichologinę, socialinę, teisinę pagalbą,</w:t>
      </w:r>
      <w:r>
        <w:t xml:space="preserve"> vertintinas kaip novatoriškas ir sektinas prevencinės veiklos pavyzdys. Tai kelia ir policijos pareigūnų autoritetą visuomenės akyse.</w:t>
      </w:r>
    </w:p>
    <w:p w:rsidR="008E05AA" w:rsidRDefault="008E05AA" w:rsidP="008E05AA">
      <w:pPr>
        <w:ind w:firstLine="720"/>
        <w:jc w:val="both"/>
        <w:rPr>
          <w:rFonts w:ascii="TimesLT" w:hAnsi="TimesLT"/>
          <w:color w:val="464942"/>
          <w:szCs w:val="18"/>
        </w:rPr>
      </w:pPr>
      <w:r>
        <w:rPr>
          <w:rFonts w:ascii="TimesLT" w:hAnsi="TimesLT"/>
        </w:rPr>
        <w:t xml:space="preserve">Sostinės policijos klubo veikla didele dalimi sėkmingai buvo vykdoma dėl Vilniaus miesto vyriausiojo policijos komisariato Organizacinio skyriaus Viešųjų ryšių poskyrio vyresniosios specialistės, projekto „Aš pats kuriu savo ateitį“ koordinatorės Tatjanos Černiauskienės </w:t>
      </w:r>
      <w:r>
        <w:rPr>
          <w:rFonts w:ascii="TimesLT" w:hAnsi="TimesLT"/>
          <w:color w:val="464942"/>
          <w:szCs w:val="18"/>
        </w:rPr>
        <w:t xml:space="preserve"> veiklos.  Ši pareigūnė su klube dirbančiais kolegomis surado kelią į sunkiausių vaikų širdutes. Klubo darbas – didelis indėlis padedant Vilniaus miesto vaikus ištraukti iš gatvės, apsaugoti juos nuo narkotikų bei </w:t>
      </w:r>
      <w:r>
        <w:rPr>
          <w:rFonts w:ascii="TimesLT" w:hAnsi="TimesLT"/>
          <w:color w:val="464942"/>
          <w:szCs w:val="18"/>
        </w:rPr>
        <w:lastRenderedPageBreak/>
        <w:t>nuo jų įtraukimo į nusikalstamą veiklą. Tačiau pastaruoju metu Komisijos narius pasiekia neraminanti informacija, kad lyg ir ketinama klubą uždaryti, motyvuojant, kad darbas su rizikos grupės vaikais yra ne policijos darbas. Kita nerami informacija, jog ketinama nuoširdžiai dirbančius klubo darbuotojus pakeisti kitais.</w:t>
      </w:r>
    </w:p>
    <w:p w:rsidR="008E05AA" w:rsidRDefault="008E05AA" w:rsidP="008E05AA">
      <w:pPr>
        <w:ind w:firstLine="720"/>
        <w:jc w:val="both"/>
        <w:rPr>
          <w:rFonts w:ascii="TimesLT" w:hAnsi="TimesLT"/>
          <w:color w:val="464942"/>
          <w:szCs w:val="18"/>
        </w:rPr>
      </w:pPr>
    </w:p>
    <w:p w:rsidR="008E05AA" w:rsidRDefault="008E05AA" w:rsidP="008E05AA">
      <w:pPr>
        <w:pStyle w:val="Pagrindiniotekstotrauka"/>
        <w:rPr>
          <w:b/>
        </w:rPr>
      </w:pPr>
      <w:r>
        <w:rPr>
          <w:b/>
        </w:rPr>
        <w:t>Dėl Nacionalinės narkotikų kontrolės ir narkomanijos prevencijos 2004 -2008 metų programos įgyvendinimo 2004 -  2006  metais: asmenų, vartojančių narkotines ir psichotropines medžiagas, sveikatos priežiūra, reabilitacija ir socialinė reintegracija</w:t>
      </w:r>
    </w:p>
    <w:p w:rsidR="008E05AA" w:rsidRDefault="008E05AA" w:rsidP="008E05AA">
      <w:pPr>
        <w:pStyle w:val="Pagrindiniotekstotrauka"/>
        <w:rPr>
          <w:b/>
        </w:rPr>
      </w:pPr>
    </w:p>
    <w:p w:rsidR="008E05AA" w:rsidRDefault="008E05AA" w:rsidP="008E05AA">
      <w:pPr>
        <w:ind w:firstLine="720"/>
        <w:jc w:val="both"/>
      </w:pPr>
      <w:r>
        <w:t>Lietuvos Respublikos Seimas 2004 m. balandžio 8 d. nutarimu Nr. IX- 2110 patvirtino Nacionalinę narkotikų kontrolės ir narkomanijos prevencijos 2004 -2008 metų programą (toliau- Programa).</w:t>
      </w:r>
    </w:p>
    <w:p w:rsidR="008E05AA" w:rsidRDefault="008E05AA" w:rsidP="008E05AA">
      <w:pPr>
        <w:jc w:val="both"/>
      </w:pPr>
      <w:r>
        <w:tab/>
        <w:t>Programa siekiama sustabdyti ir sumažinti narkomanijos plitimą, užkirsti kelią neteisėtai narkotikų apyvartai, įgyvendinti valstybės politikos prioritetus narkomanijos prevencijos ir narkotikų kontrolės srityje, nuosekliai ir kompleksiškai šalinant narkomanijos atsiradimo ir plitimo priežastis ir sąlygas, racionaliai naudojant finansinius bei žmogiškuosius išteklius.</w:t>
      </w:r>
    </w:p>
    <w:p w:rsidR="008E05AA" w:rsidRDefault="008E05AA" w:rsidP="008E05AA">
      <w:pPr>
        <w:ind w:firstLine="720"/>
        <w:jc w:val="both"/>
      </w:pPr>
      <w:r>
        <w:t xml:space="preserve">Lietuvos Respublikos Vyriausybei pasiūlyta organizuoti Nacionalinės  narkotikų kontrolės ir narkomanijos prevencijos 2004 -2008 metų programos įgyvendinimą, kasmet patvirtinus Programos įgyvendinimo priemonių planą. </w:t>
      </w:r>
    </w:p>
    <w:p w:rsidR="008E05AA" w:rsidRDefault="008E05AA" w:rsidP="008E05AA">
      <w:pPr>
        <w:ind w:firstLine="720"/>
        <w:jc w:val="both"/>
      </w:pPr>
      <w:r>
        <w:t>Strateginis Programos tikslas - sustabdyti ir sumažinti narkomanijos plitimą, nustatyti ir įgyvendinti pagrindines valstybės politikos gaires ir veiklos kryptis narkomanijos prevencijos ir narkotikų kontrolės srityje, padidinti narkomanijos prevencijos Lietuvoje veiksmingumą.</w:t>
      </w:r>
    </w:p>
    <w:p w:rsidR="008E05AA" w:rsidRDefault="008E05AA" w:rsidP="008E05AA">
      <w:pPr>
        <w:ind w:firstLine="720"/>
        <w:jc w:val="both"/>
      </w:pPr>
      <w:r>
        <w:t>Taktiniai Programos tikslai yra:</w:t>
      </w:r>
    </w:p>
    <w:p w:rsidR="008E05AA" w:rsidRDefault="008E05AA" w:rsidP="008E05AA">
      <w:pPr>
        <w:ind w:firstLine="720"/>
        <w:jc w:val="both"/>
      </w:pPr>
      <w:r>
        <w:t>- įgyvendinti veiksmingą narkotikų kontrolės ir narkomanijos prevencijos sistemą;</w:t>
      </w:r>
    </w:p>
    <w:p w:rsidR="008E05AA" w:rsidRDefault="008E05AA" w:rsidP="008E05AA">
      <w:pPr>
        <w:ind w:firstLine="720"/>
        <w:jc w:val="both"/>
      </w:pPr>
      <w:r>
        <w:t>-sukurti bendrą narkomanijos ankstyvos diagnostikos, gydymo, reabilitacijos ir reintegracijos  į visuomenę sistemą siekiant padėti asmenims, priklausomiems nuo narkotikų;</w:t>
      </w:r>
    </w:p>
    <w:p w:rsidR="008E05AA" w:rsidRDefault="008E05AA" w:rsidP="008E05AA">
      <w:pPr>
        <w:ind w:firstLine="720"/>
        <w:jc w:val="both"/>
      </w:pPr>
      <w:r>
        <w:t>- sumažinti neteisėtą narkotinių ir psichotropinių medžiagų bei jų pirmtakų (prekursorių) apyvartą;</w:t>
      </w:r>
    </w:p>
    <w:p w:rsidR="008E05AA" w:rsidRDefault="008E05AA" w:rsidP="008E05AA">
      <w:pPr>
        <w:ind w:firstLine="720"/>
        <w:jc w:val="both"/>
      </w:pPr>
      <w:r>
        <w:t>- tobulinti teisinę bazę, leidžiančią veiksmingai šalinti narkomanijos plitimo priežastis;</w:t>
      </w:r>
    </w:p>
    <w:p w:rsidR="008E05AA" w:rsidRDefault="008E05AA" w:rsidP="008E05AA">
      <w:pPr>
        <w:ind w:firstLine="720"/>
        <w:jc w:val="both"/>
      </w:pPr>
      <w:r>
        <w:t xml:space="preserve">- sumažinti dėl narkotikų vartojimo kylančių infekcinių ligų ir mirčių skaičių.  </w:t>
      </w:r>
    </w:p>
    <w:p w:rsidR="008E05AA" w:rsidRDefault="008E05AA" w:rsidP="008E05AA">
      <w:pPr>
        <w:ind w:firstLine="720"/>
        <w:jc w:val="both"/>
      </w:pPr>
      <w:r>
        <w:t>Svarbiausi Programos uždaviniai:</w:t>
      </w:r>
    </w:p>
    <w:p w:rsidR="008E05AA" w:rsidRDefault="008E05AA" w:rsidP="008E05AA">
      <w:pPr>
        <w:ind w:firstLine="720"/>
        <w:jc w:val="both"/>
      </w:pPr>
      <w:r>
        <w:t>-formuoti  neigiamą visuomenės požiūrį į narkotinių ir psichotropinių medžiagų vartojimą, ypač rūpintis narkomanijos prevencija šeimoje, tarp vaikų ir jaunimo, diegti vaikams ir jaunimui sveiko gyvenimo vertybines nuostatas ( Programos 26.1p.);</w:t>
      </w:r>
    </w:p>
    <w:p w:rsidR="008E05AA" w:rsidRDefault="008E05AA" w:rsidP="008E05AA">
      <w:pPr>
        <w:ind w:firstLine="720"/>
        <w:jc w:val="both"/>
      </w:pPr>
      <w:r>
        <w:t>- plėtoti valstybės institucijų, vykdančių narkomanijos prevenciją bei narkotikų kontrolę, visuomeninių organizacijų ir bendruomenės tarpusavio bendradarbiavimą (Programos 26.2 p.);</w:t>
      </w:r>
    </w:p>
    <w:p w:rsidR="008E05AA" w:rsidRDefault="008E05AA" w:rsidP="008E05AA">
      <w:pPr>
        <w:ind w:firstLine="720"/>
        <w:jc w:val="both"/>
      </w:pPr>
      <w:r>
        <w:t>- skatinti savivaldybių ir regionų valdymo institucijų iniciatyvas sprendžiant narkomanijos prevencijos bei narkotikų kontrolės problemas (Programos 26.3 p.);</w:t>
      </w:r>
    </w:p>
    <w:p w:rsidR="008E05AA" w:rsidRDefault="008E05AA" w:rsidP="008E05AA">
      <w:pPr>
        <w:ind w:firstLine="720"/>
        <w:jc w:val="both"/>
      </w:pPr>
      <w:r>
        <w:t>- gerinti teisėsaugos institucijų veiklą siekiant mažinti narkotikų pasiūlą ir apsunkinant jų prieinamumą;</w:t>
      </w:r>
    </w:p>
    <w:p w:rsidR="008E05AA" w:rsidRDefault="008E05AA" w:rsidP="008E05AA">
      <w:pPr>
        <w:ind w:firstLine="720"/>
        <w:jc w:val="both"/>
      </w:pPr>
      <w:r>
        <w:t>- plėtoti objektyvios narkomanijos prevencijos bei narkotikų kontrolės informacijos rinkimo ir analizės sistemą, atitinkančią Europos Sąjungos reikalavimus;</w:t>
      </w:r>
    </w:p>
    <w:p w:rsidR="008E05AA" w:rsidRDefault="008E05AA" w:rsidP="008E05AA">
      <w:pPr>
        <w:ind w:firstLine="720"/>
        <w:jc w:val="both"/>
      </w:pPr>
      <w:r>
        <w:t>- skatinti tarptautinį bendradarbiavimą narkomanijos prevencijos bei narkotikų kontrolės srityje, pagrįstą regioniniais ir nacionaliniais projektais bei programomis;</w:t>
      </w:r>
    </w:p>
    <w:p w:rsidR="008E05AA" w:rsidRDefault="008E05AA" w:rsidP="008E05AA">
      <w:pPr>
        <w:ind w:firstLine="720"/>
        <w:jc w:val="both"/>
      </w:pPr>
      <w:r>
        <w:t>- užtikrinti pinigų, gautų iš neteisėtos narkotikų apyvartos, plovimo prevencijos priemonių įgyvendinimą;</w:t>
      </w:r>
    </w:p>
    <w:p w:rsidR="008E05AA" w:rsidRDefault="008E05AA" w:rsidP="008E05AA">
      <w:pPr>
        <w:ind w:firstLine="720"/>
        <w:jc w:val="both"/>
      </w:pPr>
      <w:r>
        <w:t>- užtikrinti valstybės institucijų, vykdančių narkomanijos prevenciją bei narkotikų kontrolę, efektyvų valdymą, kontrolę bei tarpusavio veiksmų koordinavimą;</w:t>
      </w:r>
    </w:p>
    <w:p w:rsidR="008E05AA" w:rsidRDefault="008E05AA" w:rsidP="008E05AA">
      <w:pPr>
        <w:ind w:firstLine="720"/>
        <w:jc w:val="both"/>
      </w:pPr>
      <w:r>
        <w:t xml:space="preserve">- sudaryti sąlygas narkomanija sergantiems asmenims baudžiamąją atsakomybę už nesunkius nusikaltimus pakeisti alternatyviomis gydymo programomis.  </w:t>
      </w:r>
    </w:p>
    <w:p w:rsidR="008E05AA" w:rsidRDefault="008E05AA" w:rsidP="008E05AA">
      <w:pPr>
        <w:ind w:firstLine="720"/>
        <w:jc w:val="both"/>
      </w:pPr>
    </w:p>
    <w:p w:rsidR="008E05AA" w:rsidRDefault="008E05AA" w:rsidP="008E05AA">
      <w:pPr>
        <w:ind w:firstLine="720"/>
        <w:jc w:val="both"/>
      </w:pPr>
      <w:r>
        <w:t xml:space="preserve">Lietuvos Respublikos Seimas patvirtinęs Programą, nustatė pagrindinius Programos principus, kuriais vadovaujantis būtų užtikrintas Programos efektyvumas. </w:t>
      </w:r>
    </w:p>
    <w:p w:rsidR="008E05AA" w:rsidRDefault="008E05AA" w:rsidP="008E05AA">
      <w:pPr>
        <w:ind w:firstLine="720"/>
        <w:jc w:val="both"/>
      </w:pPr>
      <w:r>
        <w:t xml:space="preserve">Principuose numatyta, kad Programa atvira visų Lietuvos piliečių, visuomeninių organizacijų, valstybės institucijų, religinių bendruomenių ir bendrijų, tarptautinių bendrijų veiklai, atitinkančiai jos nuostatas. Programos  priemonės planuojamos ir vykdomos  kompleksiškai, darant poveikį ne </w:t>
      </w:r>
      <w:r>
        <w:lastRenderedPageBreak/>
        <w:t xml:space="preserve">atskiriems narkomanijos plitimą lemiantiems veiksniams, o visam jų  kompleksui. Priemonių ekonominis pagrįstumas, jų poveikio efektyvumas, vykdymo išlaidos ir tikėtina jų vykdymo ekonominė nauda, turi nulemti teikiant prioritetus labiausiai ekonominiu ir efektyvumo  požiūriu pagrįstoms priemonėms. Narkomanijos prevencijos bei narkotikų kontrolės priemonės turi būti pagrįstos moksliškai, vykdomos tik esant pakankamai racionalių mokslinių argumentų, rodančių tikėtiną šių priemonių veiksmingumą. Įvertinant tai, kad narkomanija yra  nuolatinio pobūdžio socialinis reiškinys, narkomanijos prevencija ir kontrolė turi būti vykdoma nuolat, periodiškai atnaujinant Programą bei jos įgyvendinimo priemonių planą. </w:t>
      </w:r>
    </w:p>
    <w:p w:rsidR="008E05AA" w:rsidRDefault="008E05AA" w:rsidP="008E05AA">
      <w:pPr>
        <w:ind w:firstLine="720"/>
        <w:jc w:val="both"/>
      </w:pPr>
      <w:r>
        <w:t xml:space="preserve"> Lietuvos Respublikos Seimas šioje Programoje išskyrė 4 prioritetines narkotikų kontrolės ir narkomanijos prevencijos kryptis:</w:t>
      </w:r>
    </w:p>
    <w:p w:rsidR="008E05AA" w:rsidRDefault="008E05AA" w:rsidP="008E05AA">
      <w:pPr>
        <w:ind w:firstLine="720"/>
        <w:jc w:val="both"/>
      </w:pPr>
      <w:r>
        <w:t xml:space="preserve"> Pirminė narkomanijos prevencija tarp vaikų ir jaunimo.</w:t>
      </w:r>
    </w:p>
    <w:p w:rsidR="008E05AA" w:rsidRDefault="008E05AA" w:rsidP="008E05AA">
      <w:pPr>
        <w:ind w:firstLine="720"/>
        <w:jc w:val="both"/>
      </w:pPr>
      <w:r>
        <w:t>Neteisėtos narkotinių ir psichotropinių medžiagų pasiūlos mažinimas.</w:t>
      </w:r>
    </w:p>
    <w:p w:rsidR="008E05AA" w:rsidRDefault="008E05AA" w:rsidP="008E05AA">
      <w:pPr>
        <w:ind w:firstLine="720"/>
        <w:jc w:val="both"/>
      </w:pPr>
      <w:r>
        <w:t>Asmenų, vartojančių narkotines ir psichotropines medžiagas, sveikatos priežiūra, reabilitacija ir socialinė reintegracija.</w:t>
      </w:r>
    </w:p>
    <w:p w:rsidR="008E05AA" w:rsidRDefault="008E05AA" w:rsidP="008E05AA">
      <w:pPr>
        <w:ind w:firstLine="720"/>
        <w:jc w:val="both"/>
      </w:pPr>
      <w:r>
        <w:t>Moksliniai tyrimai ir informacinės sistemos plėtra.</w:t>
      </w:r>
    </w:p>
    <w:p w:rsidR="008E05AA" w:rsidRDefault="008E05AA" w:rsidP="008E05AA">
      <w:pPr>
        <w:ind w:firstLine="720"/>
        <w:jc w:val="both"/>
      </w:pPr>
    </w:p>
    <w:p w:rsidR="008E05AA" w:rsidRDefault="008E05AA" w:rsidP="008E05AA">
      <w:pPr>
        <w:ind w:firstLine="720"/>
        <w:jc w:val="both"/>
      </w:pPr>
      <w:r>
        <w:t xml:space="preserve">Šiai Programai įgyvendinti </w:t>
      </w:r>
      <w:r w:rsidRPr="00D168B0">
        <w:t>2004 metais</w:t>
      </w:r>
      <w:r>
        <w:t xml:space="preserve"> Lietuvos Respublikos Vyriausybė 2004 m. </w:t>
      </w:r>
      <w:r w:rsidRPr="00D168B0">
        <w:t xml:space="preserve">rugsėjo 15 d. </w:t>
      </w:r>
      <w:r>
        <w:t>nutarimu Nr. 1166 "Dėl Nacionalinės narkotikų kontrolės ir narkomanijos prevencijos 2004 - 2008 metų programos įgyvendinimo 2004 metų priemonių patvirtinimo" (Žin., 2004, Nr. 140-5114) patvirtino Nacionalinės narkotikų kontrolės ir narkomanijos prevencijos 2004 - 2008 metų programos įgyvendinimo 2004 metų priemones.</w:t>
      </w:r>
    </w:p>
    <w:p w:rsidR="008E05AA" w:rsidRDefault="008E05AA" w:rsidP="008E05AA">
      <w:pPr>
        <w:ind w:firstLine="720"/>
        <w:jc w:val="both"/>
      </w:pPr>
      <w:r w:rsidRPr="00D168B0">
        <w:rPr>
          <w:bCs/>
        </w:rPr>
        <w:t>2004 m.</w:t>
      </w:r>
      <w:r>
        <w:t xml:space="preserve"> Lietuvos Respublikos Vyriausybė Programos įgyvendinimui  skyrė  11 mln. 91 tūkst. litų. </w:t>
      </w:r>
    </w:p>
    <w:p w:rsidR="008E05AA" w:rsidRDefault="008E05AA" w:rsidP="008E05AA">
      <w:pPr>
        <w:ind w:firstLine="720"/>
        <w:jc w:val="both"/>
      </w:pPr>
      <w:r>
        <w:t xml:space="preserve">Šiai Programai įgyvendinti </w:t>
      </w:r>
      <w:r w:rsidRPr="00D168B0">
        <w:t>2005 metais</w:t>
      </w:r>
      <w:r>
        <w:t xml:space="preserve"> Lietuvos Respublikos Vyriausybė 2005 m. </w:t>
      </w:r>
      <w:r w:rsidRPr="00D168B0">
        <w:t xml:space="preserve">kovo 7 d. </w:t>
      </w:r>
      <w:r>
        <w:t>nutarimu Nr. 250 "Dėl Nacionalinės narkotikų kontrolės ir narkomanijos prevencijos 2004 - 2008 metų programos įgyvendinimo 2005 metų priemonių patvirtinimo" patvirtino Nacionalinės narkotikų kontrolės ir narkomanijos prevencijos 2004 - 2008 metų programos įgyvendinimo 2005 metų priemones.</w:t>
      </w:r>
    </w:p>
    <w:p w:rsidR="008E05AA" w:rsidRDefault="008E05AA" w:rsidP="008E05AA">
      <w:pPr>
        <w:ind w:firstLine="720"/>
        <w:jc w:val="both"/>
      </w:pPr>
      <w:r w:rsidRPr="00D168B0">
        <w:t>2005 metais</w:t>
      </w:r>
      <w:r>
        <w:t xml:space="preserve"> Lietuvos Respublikos Vyriausybė Programos įgyvendinimui  skyrė  12 mln. 136 tūkst. 30 litų.</w:t>
      </w:r>
    </w:p>
    <w:p w:rsidR="008E05AA" w:rsidRDefault="008E05AA" w:rsidP="008E05AA">
      <w:pPr>
        <w:ind w:firstLine="720"/>
        <w:jc w:val="both"/>
      </w:pPr>
      <w:r>
        <w:t xml:space="preserve">Šiai Programai įgyvendinti </w:t>
      </w:r>
      <w:r w:rsidRPr="00D168B0">
        <w:rPr>
          <w:bCs/>
        </w:rPr>
        <w:t>2006 metais</w:t>
      </w:r>
      <w:r>
        <w:t xml:space="preserve"> Lietuvos Respublikos Vyriausybė 2005 m. lapkričio 10 d. nutarimu Nr. 1210 "Dėl Nacionalinės narkotikų kontrolės ir narkomanijos prevencijos 2004 - 2008 metų programos įgyvendinimo 2006 metų priemonių patvirtinimo" patvirtino Nacionalinės narkotikų kontrolės ir narkomanijos prevencijos 2004–2008 metų programos  įgyvendinimo 2006 metų priemones.</w:t>
      </w:r>
    </w:p>
    <w:p w:rsidR="008E05AA" w:rsidRDefault="008E05AA" w:rsidP="008E05AA">
      <w:pPr>
        <w:ind w:firstLine="720"/>
        <w:jc w:val="both"/>
      </w:pPr>
      <w:r w:rsidRPr="00D168B0">
        <w:t>2006 metais</w:t>
      </w:r>
      <w:r>
        <w:t xml:space="preserve"> Lietuvos Respublikos Vyriausybė Programos įgyvendinimui  skyrė  14223,9  tūkst.  litų.</w:t>
      </w:r>
    </w:p>
    <w:p w:rsidR="008E05AA" w:rsidRDefault="008E05AA" w:rsidP="008E05AA">
      <w:pPr>
        <w:ind w:firstLine="720"/>
        <w:jc w:val="both"/>
      </w:pPr>
    </w:p>
    <w:p w:rsidR="008E05AA" w:rsidRDefault="008E05AA" w:rsidP="008E05AA">
      <w:pPr>
        <w:ind w:firstLine="720"/>
        <w:jc w:val="both"/>
      </w:pPr>
      <w:r>
        <w:t xml:space="preserve">Narkomanijos prevencijos komisija nagrinėjo Nacionalinės narkotikų kontrolės ir narkomanijos prevencijos 2004 - 2008 metų programos įgyvendinimą pagal prioritetines narkomanijos prevencijos ir narkotikų kontrolės kryptis: pirminė narkomanijos prevencija tarp vaikų ir jaunimo; neteisėtos narkotinių ir psichotropinių medžiagų pasiūlos mažinimas. </w:t>
      </w:r>
    </w:p>
    <w:p w:rsidR="008E05AA" w:rsidRDefault="008E05AA" w:rsidP="008E05AA">
      <w:pPr>
        <w:ind w:firstLine="720"/>
        <w:jc w:val="both"/>
      </w:pPr>
      <w:r>
        <w:t xml:space="preserve"> </w:t>
      </w:r>
    </w:p>
    <w:p w:rsidR="008E05AA" w:rsidRDefault="008E05AA" w:rsidP="008E05AA">
      <w:pPr>
        <w:ind w:firstLine="720"/>
        <w:jc w:val="both"/>
      </w:pPr>
      <w:r w:rsidRPr="00D168B0">
        <w:t>2005 11 02</w:t>
      </w:r>
      <w:r>
        <w:t xml:space="preserve"> Seimo Narkomanijos prevencijos komisija, įvertindama Nacionalinės narkotikų kontrolės ir narkomanijos prevencijos 2004 -2008 metų programos įgyvendinimą 2004 metais, patvirtino  išvadas:</w:t>
      </w:r>
    </w:p>
    <w:p w:rsidR="008E05AA" w:rsidRDefault="008E05AA" w:rsidP="008E05AA">
      <w:pPr>
        <w:ind w:firstLine="720"/>
        <w:jc w:val="both"/>
        <w:rPr>
          <w:i/>
        </w:rPr>
      </w:pPr>
      <w:r>
        <w:t>1.Programos strateginiai tikslai, kuriais buvo siekiama sustabdyti ir sumažinti narkomanijos plitimą, nustatyti ir įgyvendinti pagrindines valstybės politikos gaires ir veiklos kryptis narkomanijos prevencijos ir narkotikų kontrolės srityje, padidinti narkomanijos prevencijos Lietuvoje veiksmingumą, iš esmės teisingi, tačiau  įgyvendinant šią Programą:</w:t>
      </w:r>
    </w:p>
    <w:p w:rsidR="008E05AA" w:rsidRDefault="008E05AA" w:rsidP="008E05AA">
      <w:pPr>
        <w:ind w:firstLine="720"/>
        <w:jc w:val="both"/>
      </w:pPr>
      <w:r>
        <w:t xml:space="preserve">- nepasiekta narkomanijos augimo tempų bei narkotikų pasiūlos ir paklausos sumažėjimo; </w:t>
      </w:r>
    </w:p>
    <w:p w:rsidR="008E05AA" w:rsidRDefault="008E05AA" w:rsidP="008E05AA">
      <w:pPr>
        <w:ind w:firstLine="720"/>
        <w:jc w:val="both"/>
      </w:pPr>
      <w:r>
        <w:t xml:space="preserve">- nesukurta efektyvi narkotikų kontrolės ir narkomanijos prevencijos sistema, nesudarytos reikiamos galimybės parinkti ir taikyti veiksmingas priemones, mažinant narkomanijos ekonominę ir socialinę žalą; </w:t>
      </w:r>
    </w:p>
    <w:p w:rsidR="008E05AA" w:rsidRDefault="008E05AA" w:rsidP="008E05AA">
      <w:pPr>
        <w:ind w:firstLine="720"/>
        <w:jc w:val="both"/>
      </w:pPr>
      <w:r>
        <w:t xml:space="preserve">- nesukurta asmenų, vartojančių narkotines ir psichotropines medžiagas, sveikatos priežiūros, reabilitacijos ir socialinės reintegracijos sistema; </w:t>
      </w:r>
    </w:p>
    <w:p w:rsidR="008E05AA" w:rsidRDefault="008E05AA" w:rsidP="008E05AA">
      <w:pPr>
        <w:ind w:firstLine="720"/>
        <w:jc w:val="both"/>
      </w:pPr>
      <w:r>
        <w:lastRenderedPageBreak/>
        <w:t>- nepagerėjo iš esmės bendradarbiavimas tarp institucijų ir veiksmų koordinavimas visuose sektoriuose ir todėl nepilnai  sukurta saugesnė žmogaus aplinka.</w:t>
      </w:r>
    </w:p>
    <w:p w:rsidR="008E05AA" w:rsidRDefault="008E05AA" w:rsidP="008E05AA">
      <w:pPr>
        <w:ind w:firstLine="720"/>
        <w:jc w:val="both"/>
        <w:rPr>
          <w:i/>
        </w:rPr>
      </w:pPr>
      <w:r>
        <w:t xml:space="preserve"> 2. Komisija  mano, kad ir toliau išlieka šie svarbiausi uždaviniai:</w:t>
      </w:r>
    </w:p>
    <w:p w:rsidR="008E05AA" w:rsidRDefault="008E05AA" w:rsidP="008E05AA">
      <w:pPr>
        <w:jc w:val="both"/>
      </w:pPr>
      <w:r>
        <w:t>-formuoti  neigiamą visuomenės požiūrį į narkotinių ir psichotropinių medžiagų vartojimą, ypač rūpintis narkomanijos prevencija šeimoje, tarp vaikų ir jaunimo, diegti vaikams ir jaunimui sveiko gyvenimo vertybines nuostatas ( Programos 26.1p.);</w:t>
      </w:r>
    </w:p>
    <w:p w:rsidR="008E05AA" w:rsidRDefault="008E05AA" w:rsidP="008E05AA">
      <w:pPr>
        <w:jc w:val="both"/>
      </w:pPr>
      <w:r>
        <w:t>- plėtoti valstybės institucijų, vykdančių narkomanijos prevenciją bei narkotikų kontrolę, visuomeninių organizacijų ir bendruomenės tarpusavio bendradarbiavimą (Programos 26.2 p.);</w:t>
      </w:r>
    </w:p>
    <w:p w:rsidR="008E05AA" w:rsidRDefault="008E05AA" w:rsidP="008E05AA">
      <w:pPr>
        <w:jc w:val="both"/>
      </w:pPr>
      <w:r>
        <w:t>- skatinti savivaldybių ir regionų valdymo institucijų iniciatyvas sprendžiant narkomanijos prevencijos bei narkotikų kontrolės problemas (Programos 26.3 p.);</w:t>
      </w:r>
    </w:p>
    <w:p w:rsidR="008E05AA" w:rsidRDefault="008E05AA" w:rsidP="008E05AA">
      <w:pPr>
        <w:jc w:val="both"/>
      </w:pPr>
      <w:r>
        <w:t>- gerinti teisėsaugos institucijų veiklą siekiant mažinti narkotikų pasiūlą ir apsunkinant jų prieinamumą (Programos 26.4 p.);</w:t>
      </w:r>
    </w:p>
    <w:p w:rsidR="008E05AA" w:rsidRDefault="008E05AA" w:rsidP="008E05AA">
      <w:pPr>
        <w:jc w:val="both"/>
      </w:pPr>
      <w:r>
        <w:t>- plėtoti objektyvios narkomanijos prevencijos bei narkotikų kontrolės informacijos rinkimo ir analizės sistemą, atitinkančią Europos Sąjungos reikalavimus (Programos 26.5 p.);</w:t>
      </w:r>
    </w:p>
    <w:p w:rsidR="008E05AA" w:rsidRDefault="008E05AA" w:rsidP="008E05AA">
      <w:pPr>
        <w:jc w:val="both"/>
      </w:pPr>
      <w:r>
        <w:t>- skatinti tarptautinį bendradarbiavimą narkomanijos prevencijos bei narkotikų kontrolės srityje, pagrįstą regioniniais ir nacionaliniais projektais bei programomis (Programos 26.6 p.);</w:t>
      </w:r>
    </w:p>
    <w:p w:rsidR="008E05AA" w:rsidRDefault="008E05AA" w:rsidP="008E05AA">
      <w:pPr>
        <w:jc w:val="both"/>
      </w:pPr>
      <w:r>
        <w:t>- užtikrinti pinigų, gautų iš neteisėtos narkotikų apyvartos, plovimo, prevencijos priemonių įgyvendinimui panaudojimą</w:t>
      </w:r>
      <w:r>
        <w:rPr>
          <w:i/>
        </w:rPr>
        <w:t xml:space="preserve"> </w:t>
      </w:r>
      <w:r>
        <w:t>(Programos 26.7 p.);</w:t>
      </w:r>
    </w:p>
    <w:p w:rsidR="008E05AA" w:rsidRDefault="008E05AA" w:rsidP="008E05AA">
      <w:pPr>
        <w:jc w:val="both"/>
      </w:pPr>
      <w:r>
        <w:t>- užtikrinti valstybės institucijų, vykdančių narkomanijos prevenciją bei narkotikų kontrolę, efektyvų valdymą, kontrolę bei tarpusavio veiksmų koordinavimą (Programos 26.8 p.);</w:t>
      </w:r>
    </w:p>
    <w:p w:rsidR="008E05AA" w:rsidRDefault="008E05AA" w:rsidP="008E05AA">
      <w:pPr>
        <w:jc w:val="both"/>
      </w:pPr>
      <w:r>
        <w:rPr>
          <w:i/>
        </w:rPr>
        <w:t xml:space="preserve">  </w:t>
      </w:r>
      <w:r>
        <w:t>- sudaryti sąlygas ir sukurti įstatyminę bazę, leidžiančią narkomanija sergantiems asmenims baudžiamąją atsakomybę už nesunkius  ir apysunkius nusikaltimus pakeisti alternatyviomis</w:t>
      </w:r>
      <w:r>
        <w:rPr>
          <w:i/>
        </w:rPr>
        <w:t xml:space="preserve"> </w:t>
      </w:r>
      <w:r>
        <w:t>gydymo programomis (Programos 26.9 p.).</w:t>
      </w:r>
    </w:p>
    <w:p w:rsidR="008E05AA" w:rsidRDefault="008E05AA" w:rsidP="008E05AA">
      <w:pPr>
        <w:jc w:val="both"/>
      </w:pPr>
      <w:r>
        <w:t xml:space="preserve">  </w:t>
      </w:r>
      <w:r>
        <w:tab/>
        <w:t>3. Programoje lieka išskirtinos 4 prioritetinės narkotikų kontrolės ir narkomanijos prevencijos kryptys:</w:t>
      </w:r>
    </w:p>
    <w:p w:rsidR="008E05AA" w:rsidRDefault="008E05AA" w:rsidP="008E05AA">
      <w:pPr>
        <w:ind w:firstLine="720"/>
        <w:jc w:val="both"/>
      </w:pPr>
      <w:r>
        <w:t>Pirminė narkomanijos prevencija tarp vaikų ir jaunimo.</w:t>
      </w:r>
    </w:p>
    <w:p w:rsidR="008E05AA" w:rsidRDefault="008E05AA" w:rsidP="008E05AA">
      <w:pPr>
        <w:ind w:firstLine="720"/>
        <w:jc w:val="both"/>
      </w:pPr>
      <w:r>
        <w:t>Neteisėtos narkotinių ir psichotropinių medžiagų pasiūlos mažinimas.</w:t>
      </w:r>
    </w:p>
    <w:p w:rsidR="008E05AA" w:rsidRDefault="008E05AA" w:rsidP="008E05AA">
      <w:pPr>
        <w:ind w:firstLine="720"/>
        <w:jc w:val="both"/>
      </w:pPr>
      <w:r>
        <w:t>Asmenų, vartojančių narkotines ir psichotropines medžiagas, sveikatos priežiūra, reabilitacija ir socialinė reintegracija.</w:t>
      </w:r>
    </w:p>
    <w:p w:rsidR="008E05AA" w:rsidRDefault="008E05AA" w:rsidP="008E05AA">
      <w:pPr>
        <w:ind w:firstLine="720"/>
        <w:jc w:val="both"/>
      </w:pPr>
      <w:r>
        <w:t>Moksliniai tyrimai ir informacinės sistemos plėtra.</w:t>
      </w:r>
    </w:p>
    <w:p w:rsidR="008E05AA" w:rsidRDefault="008E05AA" w:rsidP="008E05AA">
      <w:pPr>
        <w:ind w:firstLine="720"/>
        <w:jc w:val="both"/>
      </w:pPr>
      <w:r>
        <w:t xml:space="preserve">4.Komisija rekomendavo Lietuvos Respublikos Vyriausybei skirti prioritetinių narkotikų kontrolės ir narkomanijos prevencijos krypčių įgyvendinimui reikiamą finansavimą. </w:t>
      </w:r>
    </w:p>
    <w:p w:rsidR="008E05AA" w:rsidRDefault="008E05AA" w:rsidP="008E05AA">
      <w:pPr>
        <w:ind w:firstLine="720"/>
        <w:jc w:val="both"/>
      </w:pPr>
      <w:r>
        <w:t xml:space="preserve">2004 m. Lietuvos Respublikos Vyriausybė Programos įgyvendinimui  skyrė  11 mln. 91 tūkst. litų. </w:t>
      </w:r>
    </w:p>
    <w:p w:rsidR="008E05AA" w:rsidRDefault="008E05AA" w:rsidP="008E05AA">
      <w:pPr>
        <w:jc w:val="both"/>
      </w:pPr>
      <w:r>
        <w:tab/>
        <w:t>Komisijos nuomone, finansavimo  kriterijai neaiškūs, o svarbiausioms prioritetinėms narkotikų kontrolės ir narkomanijos prevencijos kryptims  lėšų skirta per mažai:</w:t>
      </w:r>
    </w:p>
    <w:p w:rsidR="008E05AA" w:rsidRDefault="008E05AA" w:rsidP="008E05AA">
      <w:pPr>
        <w:jc w:val="both"/>
      </w:pPr>
      <w:r>
        <w:t xml:space="preserve"> </w:t>
      </w:r>
      <w:r>
        <w:tab/>
        <w:t>- 2004 m. pirminei narkomanijos prevencijai  tarp vaikų ir jaunimo   skirta  tik 3 mln. 10 tūkst. litų , arba   27 procentai;</w:t>
      </w:r>
    </w:p>
    <w:p w:rsidR="008E05AA" w:rsidRDefault="008E05AA" w:rsidP="008E05AA">
      <w:pPr>
        <w:jc w:val="both"/>
      </w:pPr>
      <w:r>
        <w:t xml:space="preserve">  </w:t>
      </w:r>
      <w:r>
        <w:tab/>
        <w:t xml:space="preserve">-neteisėtos narkotinių ir psichotropinių medžiagų pasiūlos mažinimui skirta  tik 650 tūkst. litų arba 6 procentai; </w:t>
      </w:r>
    </w:p>
    <w:p w:rsidR="008E05AA" w:rsidRDefault="008E05AA" w:rsidP="008E05AA">
      <w:pPr>
        <w:jc w:val="both"/>
      </w:pPr>
      <w:r>
        <w:t xml:space="preserve">  </w:t>
      </w:r>
      <w:r>
        <w:tab/>
        <w:t>-asmenų, vartojančių narkotines ir psichotropines medžiagas, sveikatos priežiūrai, reabilitacijai ir socialinei reintegracijai skirta  net 7 mln. 431 tūkst. litų ( Priklausomybės ligų centrams ir Socialinės apsaugos ir darbo ministerijai) arba 63 procentai;</w:t>
      </w:r>
    </w:p>
    <w:p w:rsidR="008E05AA" w:rsidRDefault="008E05AA" w:rsidP="008E05AA">
      <w:pPr>
        <w:jc w:val="both"/>
      </w:pPr>
      <w:r>
        <w:t xml:space="preserve">  </w:t>
      </w:r>
      <w:r>
        <w:tab/>
        <w:t>-moksliniams tyrimams ir informacinės sistemos plėtrai skyrė  446 tūkst. litų arba 4 procentus</w:t>
      </w:r>
      <w:r>
        <w:rPr>
          <w:b/>
        </w:rPr>
        <w:t xml:space="preserve">, </w:t>
      </w:r>
      <w:r>
        <w:t>bet ne  moksliniams tyrimams.</w:t>
      </w:r>
    </w:p>
    <w:p w:rsidR="008E05AA" w:rsidRDefault="008E05AA" w:rsidP="008E05AA">
      <w:pPr>
        <w:jc w:val="both"/>
      </w:pPr>
    </w:p>
    <w:p w:rsidR="008E05AA" w:rsidRDefault="008E05AA" w:rsidP="008E05AA">
      <w:pPr>
        <w:ind w:firstLine="720"/>
        <w:jc w:val="both"/>
      </w:pPr>
      <w:r>
        <w:t xml:space="preserve">Apibendrinus  informaciją, nustatyta, kad </w:t>
      </w:r>
      <w:r>
        <w:rPr>
          <w:b/>
        </w:rPr>
        <w:t>2005 metais</w:t>
      </w:r>
      <w:r>
        <w:t xml:space="preserve"> Lietuvos Respublikos Vyriausybė Programos įgyvendinimui  skyrė  12 mln. 136 tūkst. 30 litų.</w:t>
      </w:r>
    </w:p>
    <w:p w:rsidR="008E05AA" w:rsidRDefault="008E05AA" w:rsidP="008E05AA">
      <w:pPr>
        <w:ind w:firstLine="720"/>
        <w:jc w:val="both"/>
      </w:pPr>
      <w:r w:rsidRPr="00D168B0">
        <w:t xml:space="preserve">2005 </w:t>
      </w:r>
      <w:r>
        <w:t>m.</w:t>
      </w:r>
      <w:r>
        <w:rPr>
          <w:b/>
        </w:rPr>
        <w:t xml:space="preserve"> </w:t>
      </w:r>
      <w:r>
        <w:t xml:space="preserve">Lietuvos Respublikos Vyriausybė Programos įgyvendinimui - pirminei narkomanijos prevencijai  tarp vaikų ir jaunimo skyrė  tik  1 mln. 74 tūkst. Litų , arba </w:t>
      </w:r>
      <w:r w:rsidRPr="00D168B0">
        <w:t>8 procentus</w:t>
      </w:r>
      <w:r>
        <w:t>;</w:t>
      </w:r>
    </w:p>
    <w:p w:rsidR="008E05AA" w:rsidRDefault="008E05AA" w:rsidP="008E05AA">
      <w:pPr>
        <w:jc w:val="both"/>
      </w:pPr>
      <w:r>
        <w:t xml:space="preserve"> </w:t>
      </w:r>
      <w:r>
        <w:tab/>
        <w:t xml:space="preserve">-Policijos departamentui prie Vidaus reikalų ministerijos neteisėtam narkotinių ir psichotropinių medžiagų pasiūlos mažinimui skirta 680 tūkst. litų arba </w:t>
      </w:r>
      <w:r w:rsidRPr="00D168B0">
        <w:t>5,5 procento</w:t>
      </w:r>
      <w:r>
        <w:t xml:space="preserve">  Programos finansavimui skirtų lėšų;</w:t>
      </w:r>
    </w:p>
    <w:p w:rsidR="008E05AA" w:rsidRPr="00D168B0" w:rsidRDefault="008E05AA" w:rsidP="008E05AA">
      <w:pPr>
        <w:ind w:firstLine="720"/>
        <w:jc w:val="both"/>
      </w:pPr>
      <w:r>
        <w:t xml:space="preserve">- gerinti veikiančių priklausomybės ligų centrų veiklą, didinti ambulatorinių ir stacionarių paslaugų prieinamumą vaikams ir paaugliams  skirti 7  836, 3 tūkst. litų (Priklausomybės ligų centrams) arba net  </w:t>
      </w:r>
      <w:r w:rsidRPr="00D168B0">
        <w:t>58 procentai;</w:t>
      </w:r>
    </w:p>
    <w:p w:rsidR="008E05AA" w:rsidRDefault="008E05AA" w:rsidP="008E05AA">
      <w:pPr>
        <w:ind w:firstLine="720"/>
        <w:jc w:val="both"/>
      </w:pPr>
      <w:r>
        <w:lastRenderedPageBreak/>
        <w:t xml:space="preserve">- administraciniams gebėjimams gerinti Narkotikų kontrolės departamentui prie Lietuvos Respublikos Vyriausybės skirta 1421 tūkst. litų, arba  </w:t>
      </w:r>
      <w:r w:rsidRPr="00D168B0">
        <w:t>8,3 procento</w:t>
      </w:r>
      <w:r>
        <w:t xml:space="preserve">;  Socialinės apsaugos ir darbo ministerijai skirti 720 tūkst. Litų, arba </w:t>
      </w:r>
      <w:r w:rsidRPr="00D168B0">
        <w:t>5, 9 procentus</w:t>
      </w:r>
      <w:r>
        <w:rPr>
          <w:b/>
        </w:rPr>
        <w:t xml:space="preserve">  </w:t>
      </w:r>
      <w:r>
        <w:t xml:space="preserve">ir kt. </w:t>
      </w:r>
    </w:p>
    <w:p w:rsidR="008E05AA" w:rsidRPr="00D168B0" w:rsidRDefault="008E05AA" w:rsidP="008E05AA">
      <w:pPr>
        <w:jc w:val="both"/>
      </w:pPr>
      <w:r>
        <w:t xml:space="preserve">    </w:t>
      </w:r>
      <w:r>
        <w:tab/>
        <w:t xml:space="preserve">-moksliniams tyrimams ir informacinės sistemos plėtrai skirta 345 tūkst. litų arba </w:t>
      </w:r>
      <w:r w:rsidRPr="00D168B0">
        <w:t>2,9 procento.</w:t>
      </w:r>
    </w:p>
    <w:p w:rsidR="008E05AA" w:rsidRPr="00D168B0" w:rsidRDefault="008E05AA" w:rsidP="008E05AA">
      <w:pPr>
        <w:ind w:firstLine="720"/>
        <w:jc w:val="both"/>
      </w:pPr>
      <w:r w:rsidRPr="00D168B0">
        <w:t>Švietimo, mokslo ir kultūros komitetas, Šeimos ir vaiko reikalų komisija ir Narkomanijos prevencijos komisija nutarė pasiūlyti  Lietuvos Respublikos Vyriausybei:</w:t>
      </w:r>
    </w:p>
    <w:p w:rsidR="008E05AA" w:rsidRPr="00D168B0" w:rsidRDefault="008E05AA" w:rsidP="008E05AA">
      <w:pPr>
        <w:ind w:firstLine="720"/>
        <w:jc w:val="both"/>
      </w:pPr>
      <w:r w:rsidRPr="00D168B0">
        <w:t>1.1. Pirminę narkomanijos prevenciją derinti su alkoholio ir tabako vartojimo prevencija, grindžiant darniu ugdymu šeimoje, mokykloje, bendruomenėje ir šioms priemonėms įgyvendinti skirti 2006 m. reikiamą finansavimą.</w:t>
      </w:r>
    </w:p>
    <w:p w:rsidR="008E05AA" w:rsidRDefault="008E05AA" w:rsidP="008E05AA">
      <w:pPr>
        <w:ind w:firstLine="720"/>
        <w:jc w:val="both"/>
      </w:pPr>
      <w:r w:rsidRPr="00D168B0">
        <w:t xml:space="preserve">1.2. Sujungti Prevencinio darbo koordinavimo grupes savivaldybėse su Narkotikų kontrolės komisijomis ir tuo tikslu pakeisti </w:t>
      </w:r>
      <w:r>
        <w:t>Lietuvos Respublikos Vyriausybės 2003 m. balandžio 8 d. nutarimą Nr. 416 „Dėl pavyzdinių savivaldybių narkotikų kontrolės komisijos nuostatų patvirtinimo“ (Žin., 2003, Nr. 35-1471).</w:t>
      </w:r>
    </w:p>
    <w:p w:rsidR="008E05AA" w:rsidRDefault="008E05AA" w:rsidP="008E05AA">
      <w:pPr>
        <w:ind w:firstLine="720"/>
        <w:jc w:val="both"/>
      </w:pPr>
      <w:r w:rsidRPr="00ED3E54">
        <w:t>1.3.</w:t>
      </w:r>
      <w:r w:rsidRPr="00D168B0">
        <w:rPr>
          <w:b/>
        </w:rPr>
        <w:t xml:space="preserve"> </w:t>
      </w:r>
      <w:r w:rsidRPr="00D168B0">
        <w:rPr>
          <w:rStyle w:val="Grietas"/>
          <w:b w:val="0"/>
        </w:rPr>
        <w:t>Nacionalinės narkotikų kontrolės ir narkomanijos prevencijos 2004–2008 m. programos 2006 m. priemonėms įgyvendinti</w:t>
      </w:r>
      <w:r>
        <w:rPr>
          <w:rStyle w:val="Grietas"/>
          <w:b w:val="0"/>
        </w:rPr>
        <w:t xml:space="preserve"> </w:t>
      </w:r>
      <w:r>
        <w:t xml:space="preserve">skirti Švietimo ir mokslo ministerijai papildomai 2,4 mln. Lt vykdyti pirminę narkomanijos prevencijos ir ankstyvąją intervenciją mokyklų bendruomenėje (darbui su vaikais, mokytojais, mokyklų administracija ir tėvais); plėtoti valstybės institucijų, vykdančių narkomanijos prevenciją ir narkotikų kontrolę, asociacijų ir bendruomenės tarpusavio bendradarbiavimą (Programos 26.2 punktas); rengti profesinio tobulinimo kursus, rengti ir įgyvendinti perkvalifikavimo ir mokymo programas įvairių specialybių darbuotojams, dirbantiems narkomanijos prevencijos ir narkotikų kontrolės srityje. </w:t>
      </w:r>
    </w:p>
    <w:p w:rsidR="008E05AA" w:rsidRDefault="008E05AA" w:rsidP="008E05AA">
      <w:pPr>
        <w:ind w:firstLine="720"/>
        <w:jc w:val="both"/>
      </w:pPr>
      <w:r>
        <w:t xml:space="preserve">1.4. Sujungti Alkoholio, Tabako kontrolės ir Nacionalinės narkotikų kontrolės ir narkomanijos prevencijos 2004–2008 metų programų įgyvendinimo koordinavimą ir kontroliuoti, kad šių programų prevencijos priemonės būtų vykdomos moksliškai pagrįstais metodais. Pavesti tai atlikti Narkotikų kontrolės departamentui prie Lietuvos Respublikos Vyriausybės. </w:t>
      </w:r>
    </w:p>
    <w:p w:rsidR="008E05AA" w:rsidRDefault="008E05AA" w:rsidP="008E05AA">
      <w:pPr>
        <w:ind w:firstLine="720"/>
        <w:jc w:val="both"/>
      </w:pPr>
      <w:r>
        <w:t>1.5. Nustatyti Nacionalinės narkotikų kontrolės ir narkomanijos prevencijos programos finansavimo, atskaitomybės bei kontrolės tvarką, siekiant tikslingai ir taupiai naudoti skirtas lėšas, kontroliuoti, kad šios lėšos nebūtų panaudotos kitų programų priemonėms finansuoti.</w:t>
      </w:r>
    </w:p>
    <w:p w:rsidR="008E05AA" w:rsidRDefault="008E05AA" w:rsidP="008E05AA">
      <w:pPr>
        <w:ind w:firstLine="720"/>
        <w:jc w:val="both"/>
      </w:pPr>
      <w:r>
        <w:t xml:space="preserve">1.6. Nustatyti, kad Narkomanijos pirminės prevencijos projektų vertinimus turi atlikti, konsultacijas prevencijos projektų rengimo klausimais turi teikti pagal nustatytus vienodus reikalavimus valstybės tarnautojai, aukštųjų mokyklų, mokslo įstaigų mokslininkai. </w:t>
      </w:r>
    </w:p>
    <w:p w:rsidR="008E05AA" w:rsidRDefault="008E05AA" w:rsidP="008E05AA">
      <w:pPr>
        <w:ind w:firstLine="720"/>
        <w:jc w:val="both"/>
      </w:pPr>
      <w:r>
        <w:t xml:space="preserve">1.7. Patvirtinti švietimo įstaigoms bendrą narkomanijos prevencijos strategiją, kurioje būtų numatytas prevencinių priemonių diferencijavimas pagal amžių, lytį, rizikos grupes ir kt. </w:t>
      </w:r>
    </w:p>
    <w:p w:rsidR="008E05AA" w:rsidRDefault="008E05AA" w:rsidP="008E05AA">
      <w:pPr>
        <w:ind w:firstLine="720"/>
        <w:jc w:val="both"/>
      </w:pPr>
      <w:r>
        <w:t>1.8.Įsteigti savivaldybėse narkotikų kontrolės ir narkomanijos prevencijos koordinatoriaus, kuris koordinuotų veiklą, etatą.</w:t>
      </w:r>
    </w:p>
    <w:p w:rsidR="008E05AA" w:rsidRPr="004866ED" w:rsidRDefault="008E05AA" w:rsidP="008E05AA">
      <w:pPr>
        <w:pStyle w:val="Pagrindiniotekstotrauka2"/>
      </w:pPr>
      <w:r w:rsidRPr="004866ED">
        <w:t>2. Atkreipti Lietuvos Respublikos Vyriausybės dėmesį į tai, kad :</w:t>
      </w:r>
    </w:p>
    <w:p w:rsidR="008E05AA" w:rsidRDefault="008E05AA" w:rsidP="008E05AA">
      <w:pPr>
        <w:ind w:firstLine="720"/>
        <w:jc w:val="both"/>
      </w:pPr>
      <w:r>
        <w:t>2.1. valstybės institucijų, tiesiogiai susijusių su narkomanijos prevencija, veikla finansuojama nepakankamai;</w:t>
      </w:r>
    </w:p>
    <w:p w:rsidR="008E05AA" w:rsidRDefault="008E05AA" w:rsidP="008E05AA">
      <w:pPr>
        <w:pStyle w:val="Pagrindiniotekstotrauka"/>
      </w:pPr>
      <w:r>
        <w:t>2.2. valstybės įstaigų, savivaldos ir nevyriausybinių organizacijų bendradarbiavimas ir veiklos koordinavimas įgyvendinant narkomanijos prevenciją yra nepakankamas;</w:t>
      </w:r>
    </w:p>
    <w:p w:rsidR="008E05AA" w:rsidRDefault="008E05AA" w:rsidP="008E05AA">
      <w:pPr>
        <w:ind w:firstLine="720"/>
        <w:jc w:val="both"/>
      </w:pPr>
      <w:r>
        <w:t>2.3. narkomanijos prevencijos veikla apskrityse ir savivaldybėse organizuota nepakankamai gerai;</w:t>
      </w:r>
    </w:p>
    <w:p w:rsidR="008E05AA" w:rsidRDefault="008E05AA" w:rsidP="008E05AA">
      <w:pPr>
        <w:ind w:firstLine="720"/>
        <w:jc w:val="both"/>
      </w:pPr>
      <w:r>
        <w:t xml:space="preserve">2.4. narkomanijos prevencija regioniniu lygiu nereglamentuota, apskričių viršininkai neturi tiesioginių įpareigojimų vykdyti šią veiklą. </w:t>
      </w:r>
    </w:p>
    <w:p w:rsidR="008E05AA" w:rsidRDefault="008E05AA" w:rsidP="008E05AA">
      <w:pPr>
        <w:ind w:firstLine="720"/>
        <w:jc w:val="both"/>
      </w:pPr>
      <w:r>
        <w:t xml:space="preserve">2.5. vykdant pirminę narkomanijos prevenciją mokytojams, mokiniams, policijos pareigūnams trūksta metodinės medžiagos, videofilmų, kitų vaizdinių priemonių ir metodinės literatūros.  </w:t>
      </w:r>
    </w:p>
    <w:p w:rsidR="008E05AA" w:rsidRDefault="008E05AA" w:rsidP="008E05AA">
      <w:pPr>
        <w:ind w:firstLine="720"/>
        <w:jc w:val="both"/>
      </w:pPr>
      <w:r>
        <w:t>2.6. nepakankamas dėmesys skiriamas vaikų laisvalaikiui organizuoti, užimtumui po pamokų ir neformaliam ugdymui;</w:t>
      </w:r>
    </w:p>
    <w:p w:rsidR="008E05AA" w:rsidRDefault="008E05AA" w:rsidP="008E05AA">
      <w:pPr>
        <w:ind w:firstLine="720"/>
        <w:jc w:val="both"/>
      </w:pPr>
      <w:r>
        <w:t xml:space="preserve"> 2.7. mokyklose trūksta socialinių pedagogų, psichologų etatų.</w:t>
      </w:r>
    </w:p>
    <w:p w:rsidR="008E05AA" w:rsidRDefault="008E05AA" w:rsidP="008E05AA">
      <w:pPr>
        <w:ind w:firstLine="720"/>
        <w:jc w:val="both"/>
        <w:rPr>
          <w:b/>
          <w:bCs/>
        </w:rPr>
      </w:pPr>
    </w:p>
    <w:p w:rsidR="008E05AA" w:rsidRDefault="008E05AA" w:rsidP="008E05AA">
      <w:pPr>
        <w:ind w:firstLine="720"/>
        <w:jc w:val="both"/>
      </w:pPr>
      <w:r w:rsidRPr="00D168B0">
        <w:rPr>
          <w:bCs/>
        </w:rPr>
        <w:t>2005 12 22</w:t>
      </w:r>
      <w:r>
        <w:t xml:space="preserve"> Narkomanijos prevencijos komisija dėl Nacionalinės narkotikų kontrolės ir narkomanijos prevencijos 2004 – 2008 metų  programos  įgyvendinimo 2004 – 2005 metais dėl  neteisėtos narkotinių ir psichotropinių medžiagų pasiūlos mažinimo  konstatavo, kad Policijos </w:t>
      </w:r>
      <w:r>
        <w:lastRenderedPageBreak/>
        <w:t>departamentui prie Vidaus reikalų ministerijos 2005 metais neteisėtos narkotinių ir psichotropinių medžiagų pasiūlos mažinimui skyrė 680 tūkst. litų arba 5,5 procento  Programos finansavimui skirtų lėšų. Valstybės saugumo departamentas, Kalėjimų departamentas prie Teisingumo ministerijos, Sienos apsaugos tarnyba prie Vidaus reikalų ministerijos,  Krašto apsaugos ministerija, Muitinės departamentas prie Finansų ministerijos  2005  metais Programos priemonių įgyvendinimui lėšų negavo.</w:t>
      </w:r>
    </w:p>
    <w:p w:rsidR="008E05AA" w:rsidRDefault="008E05AA" w:rsidP="008E05AA">
      <w:pPr>
        <w:ind w:firstLine="720"/>
        <w:jc w:val="both"/>
      </w:pPr>
      <w:r>
        <w:t>Komisija konstatavo, kad 2004 metais</w:t>
      </w:r>
      <w:r>
        <w:rPr>
          <w:b/>
        </w:rPr>
        <w:t xml:space="preserve"> </w:t>
      </w:r>
      <w:r>
        <w:t xml:space="preserve"> (Programos 26.4 p.) gerinti teisėsaugos institucijų veiklą siekiant mažinti narkotikų pasiūlą ir apsunkinant jų prieinamumą, neteisėtos narkotinių ir psichotropinių medžiagų pasiūlos mažinimui skirta  tik 650 tūkst. litų arba 6 procentai. </w:t>
      </w:r>
    </w:p>
    <w:p w:rsidR="008E05AA" w:rsidRDefault="008E05AA" w:rsidP="008E05AA">
      <w:pPr>
        <w:ind w:firstLine="720"/>
        <w:jc w:val="both"/>
      </w:pPr>
      <w:r>
        <w:t>2005 metais  (Programos 26.4 p.) Policijos departamentui prie Vidaus reikalų ministerijos neteisėtos narkotinių ir psichotropinių medžiagų pasiūlos mažinimui skirta 680 tūkst. litų arba 5,5 procento  Programos finansavimui skirtų lėšų.</w:t>
      </w:r>
    </w:p>
    <w:p w:rsidR="008E05AA" w:rsidRDefault="008E05AA" w:rsidP="008E05AA">
      <w:pPr>
        <w:ind w:firstLine="720"/>
        <w:jc w:val="both"/>
      </w:pPr>
      <w:r>
        <w:t>2004 ir 2005  metais Valstybės saugumo departamentas, Kalėjimų departamentas prie Teisingumo ministerijos, Valstybės sienos apsaugos tarnyba prie Vidaus reikalų ministerijos,  Krašto apsaugos ministerija, Muitinės departamentas prie Finansų ministerijos Programos priemonių įgyvendinimui lėšų negavo.</w:t>
      </w:r>
    </w:p>
    <w:p w:rsidR="008E05AA" w:rsidRDefault="008E05AA" w:rsidP="008E05AA">
      <w:pPr>
        <w:ind w:firstLine="720"/>
        <w:jc w:val="both"/>
      </w:pPr>
      <w:r>
        <w:t>2004 - 2005   metais Specialiųjų tyrimų tarnyba į Programos įgyvendinimą ir  priemonių finansavimą neįtraukta.</w:t>
      </w:r>
    </w:p>
    <w:p w:rsidR="008E05AA" w:rsidRDefault="008E05AA" w:rsidP="008E05AA">
      <w:pPr>
        <w:ind w:firstLine="720"/>
        <w:jc w:val="both"/>
      </w:pPr>
      <w:r>
        <w:t>2005 metais  neteisėtos narkotinių ir psichotropinių medžiagų pasiūlos mažinimui yra priskirtos psichologinės, medicininės ir socialinės reabilitacijos paslaugos, gydymo metadonu stebėsenos ir jo veiksmingumo įvertinimo priemonės, kurios yra Programoje patvirtintos kita  prioritetine kryptimi  (Programos 30.3 punkto) - asmenų, vartojančių narkotines ir psichotropines medžiagas, sveikatos priežiūra, reabilitacija ir socialinė reintegracija. ( Priklausomybės ligų centrai).</w:t>
      </w:r>
    </w:p>
    <w:p w:rsidR="008E05AA" w:rsidRDefault="008E05AA" w:rsidP="008E05AA">
      <w:pPr>
        <w:ind w:firstLine="720"/>
        <w:jc w:val="both"/>
      </w:pPr>
      <w:r>
        <w:t>Policijos departamentui prie Vidaus reikalų ministerijos iš Programos lėšos neskirtos - už sulaikytų  asmenų medicininę apžiūrą girtumui ir apsvaigimui nustatyti; dalyvauti 2005 metais įgyvendinant Jungtinių Tautų projektą "Prizmė", skirtą narkotinių ir psichotropinių medžiagų pirmtakų (prekursorių) ir sintetinių narkotikų kontrolei tobulinti; dalyvauti Europolo veikloje  bei  gerinti bendradarbiavimą su Europos Sąjungos, Europos Sąjungos valstybių narių teisėsaugos institucijomis ir tarptautinėmis organizacijomis, atitinkamomis užsienio tarnybomis neteisėtos tarptautinės narkotikų apyvartos kontrolės ir prevencijos srityje - keistis informacija ir atlikti bendras operacijas.</w:t>
      </w:r>
    </w:p>
    <w:p w:rsidR="008E05AA" w:rsidRDefault="008E05AA" w:rsidP="008E05AA">
      <w:pPr>
        <w:ind w:firstLine="720"/>
        <w:jc w:val="both"/>
      </w:pPr>
      <w:r>
        <w:t xml:space="preserve"> Lietuvos Respublikos Vyriausybė į Programos įgyvendinimo priemones 2005 metais iš viso neįtraukė: Programos  25.3 punkto, kuris numato sumažinti  neteisėtą narkotinių ir psichotropinių medžiagų bei jų pirmtakų (prekursorių) apyvartą; Programos 26.7 punkto, kuris užtikrintų pinigų, gautų iš neteisėtos narkotikų apyvartos, plovimo prevencijos priemonių įgyvendinimą; 26.9 punkto, kuris numato sudaryti sąlygas narkomanija sergantiems asmenims baudžiamąją atsakomybę už nesunkius nusikaltimus pakeisti alternatyviomis gydymo programomis.</w:t>
      </w:r>
    </w:p>
    <w:p w:rsidR="008E05AA" w:rsidRPr="004866ED" w:rsidRDefault="008E05AA" w:rsidP="008E05AA">
      <w:pPr>
        <w:jc w:val="both"/>
        <w:rPr>
          <w:b/>
        </w:rPr>
      </w:pPr>
      <w:r w:rsidRPr="004866ED">
        <w:rPr>
          <w:b/>
        </w:rPr>
        <w:t>Išvados:</w:t>
      </w:r>
    </w:p>
    <w:p w:rsidR="008E05AA" w:rsidRDefault="008E05AA" w:rsidP="008E05AA">
      <w:pPr>
        <w:jc w:val="both"/>
        <w:rPr>
          <w:b/>
        </w:rPr>
      </w:pPr>
      <w:r>
        <w:t>1. 2004 metais</w:t>
      </w:r>
      <w:r>
        <w:rPr>
          <w:b/>
        </w:rPr>
        <w:t xml:space="preserve"> </w:t>
      </w:r>
      <w:r>
        <w:t xml:space="preserve"> neteisėtos narkotinių ir psichotropinių medžiagų pasiūlos mažinimui skirta  tik 650 tūkst. litų arba 6 procentai iš Programos finansavimui skirtų lėšų.</w:t>
      </w:r>
      <w:r>
        <w:rPr>
          <w:b/>
        </w:rPr>
        <w:t xml:space="preserve"> </w:t>
      </w:r>
    </w:p>
    <w:p w:rsidR="008E05AA" w:rsidRDefault="008E05AA" w:rsidP="008E05AA">
      <w:pPr>
        <w:jc w:val="both"/>
      </w:pPr>
      <w:r>
        <w:t>2. 2005 metais neteisėtos narkotinių ir psichotropinių medžiagų pasiūlos mažinimui skirta 680 tūkst. litų arba 5,5 procento  iš Programos finansavimui skirtų lėšų.</w:t>
      </w:r>
    </w:p>
    <w:p w:rsidR="008E05AA" w:rsidRDefault="008E05AA" w:rsidP="008E05AA">
      <w:pPr>
        <w:jc w:val="both"/>
      </w:pPr>
      <w:r>
        <w:t xml:space="preserve">3. 2004 - 2005 metais Lietuvos Respublikos Vyriausybė, įgyvendindama Programą, iš Programoje numatytų 9 pagrindinių krypčių, kuriomis turi būti vykdomas neteisėtos narkotinių ir psichotropinių medžiagų pasiūlos mažinimas, į Programos priemonių įgyvendinimą įtraukė  tik vieną 32 punkto 32.4 papunktį, kuris numato užtikrinti tinkamą teisėsaugos institucijų padalinių, tiesiogiai atliekančių narkotikų kontrolės funkcijas, finansinį, materialinį techninį aprūpinimą. </w:t>
      </w:r>
    </w:p>
    <w:p w:rsidR="008E05AA" w:rsidRDefault="008E05AA" w:rsidP="008E05AA">
      <w:pPr>
        <w:jc w:val="both"/>
      </w:pPr>
      <w:r>
        <w:t>4.</w:t>
      </w:r>
      <w:r>
        <w:rPr>
          <w:b/>
        </w:rPr>
        <w:t xml:space="preserve"> </w:t>
      </w:r>
      <w:r>
        <w:t xml:space="preserve">2004 - 2005 metais neįtrauktos į Programos priemonių įgyvendinimą ir neskirtos lėšos Programos 32 punkte numatytoms likusioms aštuonioms kryptims: </w:t>
      </w:r>
    </w:p>
    <w:p w:rsidR="008E05AA" w:rsidRDefault="008E05AA" w:rsidP="008E05AA">
      <w:pPr>
        <w:jc w:val="both"/>
      </w:pPr>
      <w:r>
        <w:t xml:space="preserve">32.1. įgyvendinant Europos Sąjungos ir Jungtinių Tautų nustatytus teisėtos ir neteisėtos </w:t>
      </w:r>
      <w:bookmarkStart w:id="4" w:name="66z"/>
      <w:r>
        <w:t xml:space="preserve">narkotinių </w:t>
      </w:r>
      <w:bookmarkEnd w:id="4"/>
      <w:r>
        <w:t>ir psichotropinių medžiagų apyvartos kontrolės reikalavimus;</w:t>
      </w:r>
    </w:p>
    <w:p w:rsidR="008E05AA" w:rsidRDefault="008E05AA" w:rsidP="008E05AA">
      <w:pPr>
        <w:jc w:val="both"/>
      </w:pPr>
      <w:r>
        <w:t>32.2. gerinant operatyvinės veiklos subjektų tarpusavio sąveiką tiriant nusikaltimus, susijusius su narkotinėmis ir psichotropinėmis medžiagomis;</w:t>
      </w:r>
    </w:p>
    <w:p w:rsidR="008E05AA" w:rsidRDefault="008E05AA" w:rsidP="008E05AA">
      <w:pPr>
        <w:jc w:val="both"/>
      </w:pPr>
      <w:r>
        <w:t xml:space="preserve">32.3. stiprinant valstybės sienos apsaugą, tobulinant tikrinimo pasienyje procedūras, taip užkertant kelią </w:t>
      </w:r>
      <w:bookmarkStart w:id="5" w:name="67z"/>
      <w:r>
        <w:t xml:space="preserve">narkotinėms </w:t>
      </w:r>
      <w:bookmarkEnd w:id="5"/>
      <w:r>
        <w:t>ir psichotropinėms medžiagoms neteisėtai patekti į Lietuvą;</w:t>
      </w:r>
    </w:p>
    <w:p w:rsidR="008E05AA" w:rsidRDefault="008E05AA" w:rsidP="008E05AA">
      <w:pPr>
        <w:jc w:val="both"/>
      </w:pPr>
      <w:r>
        <w:lastRenderedPageBreak/>
        <w:t>32.5. parengiant ir vykdant kovos su narkotinių ir psichotropinių medžiagų vartojimu kardomojo kalinimo ir laisvės atėmimo vietose priemones;</w:t>
      </w:r>
    </w:p>
    <w:p w:rsidR="008E05AA" w:rsidRDefault="008E05AA" w:rsidP="008E05AA">
      <w:pPr>
        <w:jc w:val="both"/>
      </w:pPr>
      <w:r>
        <w:t>32.6. stiprinant kovą su narkotikų prekeiviais ir perpardavinėtojais, ypač daug dėmesio skiriant šio nelegalaus verslo organizatoriams ir asmenims, užsiimantiems narkotikų prekyba dideliais kiekiais, nustatyti ir patraukti baudžiamojon atsakomybėn;</w:t>
      </w:r>
    </w:p>
    <w:p w:rsidR="008E05AA" w:rsidRDefault="008E05AA" w:rsidP="008E05AA">
      <w:pPr>
        <w:jc w:val="both"/>
      </w:pPr>
      <w:r>
        <w:t>32.7. užtikrinant pinigų, gautų iš neteisėtos narkotikų apyvartos, plovimo prevencijos priemonių deramą įgyvendinimą;</w:t>
      </w:r>
    </w:p>
    <w:p w:rsidR="008E05AA" w:rsidRDefault="008E05AA" w:rsidP="008E05AA">
      <w:pPr>
        <w:jc w:val="both"/>
      </w:pPr>
      <w:r>
        <w:t>32.8. stiprinant teisėsaugos institucijų bendradarbiavimą su visuomene;</w:t>
      </w:r>
    </w:p>
    <w:p w:rsidR="008E05AA" w:rsidRDefault="008E05AA" w:rsidP="008E05AA">
      <w:pPr>
        <w:jc w:val="both"/>
      </w:pPr>
      <w:r>
        <w:t xml:space="preserve">32.9. skatinant teisėsaugos institucijas sudaryti tarptautines sutartis dėl bendradarbiavimo kovojant su organizuotu nusikalstamumu, korupcija, pinigų plovimu ir kitomis su narkomanijos prevencija susijusiomis veikomis, </w:t>
      </w:r>
    </w:p>
    <w:p w:rsidR="008E05AA" w:rsidRDefault="008E05AA" w:rsidP="008E05AA">
      <w:pPr>
        <w:jc w:val="both"/>
      </w:pPr>
      <w:r>
        <w:t>5. 2004 ir 2005  metais Valstybės saugumo departamentas, Kalėjimų departamentas prie Teisingumo ministerijos, Valstybės sienos apsaugos tarnyba prie Vidaus reikalų ministerijos,  Krašto apsaugos ministerija, Muitinės departamentas prie Finansų ministerijos Programos priemonių įgyvendinimui lėšų negavo (  kinologijai išvystyti, muitinė kateriui ir narų įrangai įsigyti,  visos teisėsaugos institucijos mokymams ir  metodinei medžiagai parengti).</w:t>
      </w:r>
    </w:p>
    <w:p w:rsidR="008E05AA" w:rsidRDefault="008E05AA" w:rsidP="008E05AA">
      <w:pPr>
        <w:jc w:val="both"/>
      </w:pPr>
      <w:r>
        <w:t>6.</w:t>
      </w:r>
      <w:r>
        <w:rPr>
          <w:b/>
        </w:rPr>
        <w:t xml:space="preserve"> </w:t>
      </w:r>
      <w:r>
        <w:t>2004 - 2005   metais Specialiųjų tyrimų tarnyba į Programos įgyvendinimą ir  priemonių finansavimą neįtraukta.</w:t>
      </w:r>
    </w:p>
    <w:p w:rsidR="008E05AA" w:rsidRDefault="008E05AA" w:rsidP="008E05AA">
      <w:pPr>
        <w:jc w:val="both"/>
      </w:pPr>
      <w:r>
        <w:t>7.</w:t>
      </w:r>
      <w:r>
        <w:rPr>
          <w:b/>
        </w:rPr>
        <w:t xml:space="preserve"> </w:t>
      </w:r>
      <w:r>
        <w:t>2004 - 2005   metais neužtikrinta galimybė  rinkti informaciją, užmegzti ryšius su įmonėmis, cheminėmis laboratorijomis, gaminančiomis, įvežančiomis chemines medžiagas, kurios gali būti naudojamos neteisėtai narkotikų apyvartai, taip pat prekiaujančiomis tokiomis medžiagomis, jas kontroliuoti (Programos 26.4 p.).</w:t>
      </w:r>
    </w:p>
    <w:p w:rsidR="008E05AA" w:rsidRDefault="008E05AA" w:rsidP="008E05AA">
      <w:pPr>
        <w:jc w:val="both"/>
      </w:pPr>
      <w:r>
        <w:t>8. 2004 - 2005  metais neskirtas finansavimas stiprinant nelegalios narkotikų apyvartos kontrolę jaunimo pasilinksminimo vietose (Programos 26.4 p.).</w:t>
      </w:r>
    </w:p>
    <w:p w:rsidR="008E05AA" w:rsidRDefault="008E05AA" w:rsidP="008E05AA">
      <w:pPr>
        <w:jc w:val="both"/>
      </w:pPr>
      <w:r>
        <w:t>9. 2004 - 2005 metais neužtikrintas valstybės institucijų, vykdančių narkomanijos prevenciją bei narkotikų kontrolę, efektyvus tarpusavio veiksmų koordinavimas (Programos 26.8 p.).</w:t>
      </w:r>
    </w:p>
    <w:p w:rsidR="008E05AA" w:rsidRDefault="008E05AA" w:rsidP="008E05AA">
      <w:pPr>
        <w:jc w:val="both"/>
      </w:pPr>
      <w:r>
        <w:t>10. 2004 - 2005   metais nesudarytos sąlygos narkomanija sergantiems asmenims baudžiamąją atsakomybę už nesunkius nusikaltimus pakeisti alternatyviomis gydymo programomis (Programos 26.9 p.).</w:t>
      </w:r>
    </w:p>
    <w:p w:rsidR="008E05AA" w:rsidRDefault="008E05AA" w:rsidP="008E05AA">
      <w:pPr>
        <w:jc w:val="both"/>
      </w:pPr>
      <w:r>
        <w:t>11. 2004 - 2005 metais, siekiant  Programoje numatyto tikslo - sustabdyti ir sumažinti narkomanijos plitimą, vadovautasi teisėsaugos institucijų vidiniais finansiniais ir materialiniais resursais.</w:t>
      </w:r>
    </w:p>
    <w:p w:rsidR="008E05AA" w:rsidRDefault="008E05AA" w:rsidP="008E05AA">
      <w:pPr>
        <w:jc w:val="both"/>
        <w:rPr>
          <w:b/>
        </w:rPr>
      </w:pPr>
    </w:p>
    <w:p w:rsidR="008E05AA" w:rsidRDefault="008E05AA" w:rsidP="008E05AA">
      <w:pPr>
        <w:jc w:val="both"/>
      </w:pPr>
      <w:r>
        <w:t>NUSPRĘSTA ( bendru sutarimu):</w:t>
      </w:r>
    </w:p>
    <w:p w:rsidR="008E05AA" w:rsidRDefault="008E05AA" w:rsidP="008E05AA">
      <w:pPr>
        <w:jc w:val="both"/>
      </w:pPr>
    </w:p>
    <w:p w:rsidR="008E05AA" w:rsidRDefault="008E05AA" w:rsidP="008E05AA">
      <w:pPr>
        <w:jc w:val="both"/>
      </w:pPr>
      <w:r>
        <w:t>1.Siūlyti Lietuvos Respublikos Vyriausybei :</w:t>
      </w:r>
    </w:p>
    <w:p w:rsidR="008E05AA" w:rsidRDefault="008E05AA" w:rsidP="008E05AA">
      <w:pPr>
        <w:jc w:val="both"/>
      </w:pPr>
      <w:r>
        <w:t xml:space="preserve">1.1. įtraukti Programos 25.3 punkto nuostatas į 2006 metų Programos įgyvendinimo priemones, numatančias sumažinti  neteisėtą narkotinių ir psichotropinių medžiagų bei jų pirmtakų (prekursorių) apyvartą; </w:t>
      </w:r>
    </w:p>
    <w:p w:rsidR="008E05AA" w:rsidRDefault="008E05AA" w:rsidP="008E05AA">
      <w:pPr>
        <w:jc w:val="both"/>
      </w:pPr>
      <w:r>
        <w:t>1.2. įtraukti Programos 25.4 punkto nuostatas į 2006 metų Programos įgyvendinimo priemones, numatančias tobulinti teisinę bazę, leidžiančią veiksmingai šalinti narkomanijos plitimo priežastis;</w:t>
      </w:r>
    </w:p>
    <w:p w:rsidR="008E05AA" w:rsidRDefault="008E05AA" w:rsidP="008E05AA">
      <w:pPr>
        <w:jc w:val="both"/>
      </w:pPr>
      <w:r>
        <w:t xml:space="preserve">1.3. įtraukti Programos 26.7 punkto nuostatas į 2006 metų Programos įgyvendinimo priemones, numatančias užtikrinti pinigų, gautų iš neteisėtos narkotikų apyvartos, plovimo prevencijos priemonių įgyvendinimą; </w:t>
      </w:r>
    </w:p>
    <w:p w:rsidR="008E05AA" w:rsidRDefault="008E05AA" w:rsidP="008E05AA">
      <w:pPr>
        <w:jc w:val="both"/>
      </w:pPr>
      <w:r>
        <w:t>1.4. įtraukti Programos 26.8 punkto nuostatas į 2006 metų Programos įgyvendinimo priemones, numatančias užtikrinti valstybės institucijų, vykdančių narkomanijos prevenciją bei narkotikų kontrolę, efektyvų valdymą, kontrolę bei tarpusavio veiksmų koordinavimą;</w:t>
      </w:r>
    </w:p>
    <w:p w:rsidR="008E05AA" w:rsidRDefault="008E05AA" w:rsidP="008E05AA">
      <w:pPr>
        <w:jc w:val="both"/>
      </w:pPr>
      <w:r>
        <w:t>1.5. įtraukti Programos 26.9 punkto nuostatas į 2006 metų Programos įgyvendinimo priemones, numatančias sudaryti sąlygas narkomanija sergantiems asmenims baudžiamąją atsakomybę už nesunkius nusikaltimus pakeisti alternatyviomis gydymo programomis;</w:t>
      </w:r>
    </w:p>
    <w:p w:rsidR="008E05AA" w:rsidRDefault="008E05AA" w:rsidP="008E05AA">
      <w:pPr>
        <w:jc w:val="both"/>
      </w:pPr>
      <w:r>
        <w:t>1.6.  sustiprinti kontrolę įmonių, cheminių laboratorijų, gaminančių, įvežančių narkotines, psichotropines medžiagas ir jų pirmtakus (prekursorius), kurie gali būti naudojami narkotinėms ir psichotropinėms medžiagoms neteisėtai įsigyti;</w:t>
      </w:r>
    </w:p>
    <w:p w:rsidR="008E05AA" w:rsidRDefault="008E05AA" w:rsidP="008E05AA">
      <w:pPr>
        <w:jc w:val="both"/>
      </w:pPr>
      <w:r>
        <w:t>1.7. sudaryti sąlygos narkomanija sergantiems asmenims baudžiamąją atsakomybę už nesunkius nusikaltimus pakeisti alternatyviomis gydymo programomis;</w:t>
      </w:r>
    </w:p>
    <w:p w:rsidR="008E05AA" w:rsidRDefault="008E05AA" w:rsidP="008E05AA">
      <w:pPr>
        <w:jc w:val="both"/>
      </w:pPr>
      <w:r>
        <w:lastRenderedPageBreak/>
        <w:t>1.8. sustiprinti neteisėtos narkotinių ir psichotropinių medžiagų apyvartos kontrolę kariniuose vienetuose, skubiai patvirtinant karių, priskirtų priežiūros dėl galimo narkotinių ir psichotropinių medžiagų vartojimo grupei, stebėjimo metodiką;</w:t>
      </w:r>
    </w:p>
    <w:p w:rsidR="008E05AA" w:rsidRDefault="008E05AA" w:rsidP="008E05AA">
      <w:pPr>
        <w:jc w:val="both"/>
      </w:pPr>
      <w:r>
        <w:t xml:space="preserve"> 1.9. sugriežtinti priemones, užkardančias narkotinių ir psichotropinių medžiagų kontrabandą;</w:t>
      </w:r>
    </w:p>
    <w:p w:rsidR="008E05AA" w:rsidRDefault="008E05AA" w:rsidP="008E05AA">
      <w:pPr>
        <w:jc w:val="both"/>
      </w:pPr>
      <w:r>
        <w:t>1.10.  stiprinti teisėsaugos institucijų vaidmenį narkomanijos prevencijos srityje;</w:t>
      </w:r>
    </w:p>
    <w:p w:rsidR="008E05AA" w:rsidRDefault="008E05AA" w:rsidP="008E05AA">
      <w:pPr>
        <w:jc w:val="both"/>
      </w:pPr>
      <w:r>
        <w:t>1.11. plėtoti teisėsaugos institucijų, vykdančių narkomanijos prevenciją bei narkotikų kontrolę, visuomeninių organizacijų ir bendruomenės tarpusavio bendradarbiavimą.</w:t>
      </w:r>
    </w:p>
    <w:p w:rsidR="008E05AA" w:rsidRDefault="008E05AA" w:rsidP="008E05AA">
      <w:pPr>
        <w:jc w:val="both"/>
      </w:pPr>
      <w:r>
        <w:t>2. Atkreipti Lietuvos Respublikos Vyriausybės dėmesį į tai, kad:</w:t>
      </w:r>
    </w:p>
    <w:p w:rsidR="008E05AA" w:rsidRDefault="008E05AA" w:rsidP="008E05AA">
      <w:pPr>
        <w:jc w:val="both"/>
      </w:pPr>
      <w:r>
        <w:t>2.1. nepakankamai finansuojama teisėsaugos institucijų veikla, siekiant mažinti narkotikų pasiūlą ir apsunkinant jų prieinamumą;</w:t>
      </w:r>
    </w:p>
    <w:p w:rsidR="008E05AA" w:rsidRDefault="008E05AA" w:rsidP="008E05AA">
      <w:pPr>
        <w:jc w:val="both"/>
      </w:pPr>
      <w:r>
        <w:t>2.2. nepakankamai įgyvendinamos bendros prevencijos priemonės, mažinančios narkotinių ir psichotropinių medžiagų pasiūlą ir paklausą jaunimo pasilinksminimo vietose;</w:t>
      </w:r>
    </w:p>
    <w:p w:rsidR="008E05AA" w:rsidRDefault="008E05AA" w:rsidP="008E05AA">
      <w:pPr>
        <w:jc w:val="both"/>
      </w:pPr>
      <w:r>
        <w:t xml:space="preserve"> </w:t>
      </w:r>
      <w:r>
        <w:tab/>
        <w:t>2.3. nesudaromos sąlygos Muitinės departamentui prie Finansų ministerijos vykdyti laivų povandeninės dalies apžiūrą;</w:t>
      </w:r>
    </w:p>
    <w:p w:rsidR="008E05AA" w:rsidRDefault="008E05AA" w:rsidP="008E05AA">
      <w:pPr>
        <w:jc w:val="both"/>
      </w:pPr>
      <w:r>
        <w:t>2.4. neskiriamos lėšos  narkomanijos prevencijai ir narkotikų kontrolei laisvės atėmimo vietose.</w:t>
      </w:r>
    </w:p>
    <w:p w:rsidR="008E05AA" w:rsidRDefault="008E05AA" w:rsidP="008E05AA">
      <w:pPr>
        <w:jc w:val="both"/>
      </w:pPr>
    </w:p>
    <w:p w:rsidR="008E05AA" w:rsidRPr="00295622" w:rsidRDefault="008E05AA" w:rsidP="008E05AA">
      <w:pPr>
        <w:pStyle w:val="Pagrindinistekstas2"/>
        <w:rPr>
          <w:b/>
        </w:rPr>
      </w:pPr>
      <w:r w:rsidRPr="00295622">
        <w:rPr>
          <w:b/>
        </w:rPr>
        <w:t>Asmenų, vartojančių narkotines ir psichotropines medžiagas, sveikatos priežiūra, reabilitacija ir socialinė reintegracija</w:t>
      </w:r>
    </w:p>
    <w:p w:rsidR="008E05AA" w:rsidRDefault="008E05AA" w:rsidP="008E05AA">
      <w:pPr>
        <w:jc w:val="both"/>
        <w:rPr>
          <w:b/>
        </w:rPr>
      </w:pPr>
    </w:p>
    <w:p w:rsidR="008E05AA" w:rsidRDefault="008E05AA" w:rsidP="008E05AA">
      <w:pPr>
        <w:jc w:val="both"/>
        <w:rPr>
          <w:b/>
        </w:rPr>
      </w:pPr>
    </w:p>
    <w:p w:rsidR="008E05AA" w:rsidRDefault="008E05AA" w:rsidP="008E05AA">
      <w:pPr>
        <w:pStyle w:val="Pagrindinistekstas"/>
        <w:ind w:firstLine="720"/>
      </w:pPr>
      <w:r>
        <w:t>Priklausomybės ligų programoje patvirtintos nuostatos numato, kad asmenų, vartojančių narkotines ir psichotropines medžiagas, sveikatos priežiūra, reabilitacija ir socialinė reintegracija turėtų būti vykdoma šiomis kryptimis:</w:t>
      </w:r>
    </w:p>
    <w:p w:rsidR="008E05AA" w:rsidRPr="00D168B0" w:rsidRDefault="008E05AA" w:rsidP="008E05AA">
      <w:pPr>
        <w:pStyle w:val="Pagrindinistekstas"/>
        <w:ind w:firstLine="720"/>
        <w:rPr>
          <w:bCs/>
        </w:rPr>
      </w:pPr>
      <w:r w:rsidRPr="00D168B0">
        <w:rPr>
          <w:bCs/>
        </w:rPr>
        <w:t>- užtikrinant tinkamą specializuotų priklausomybės ligų, reabilitacijos ir psichikos sveikatos centrų teikiamų paslaugų kokybę, įvairiapusiškumą ir prieinamumą;</w:t>
      </w:r>
    </w:p>
    <w:p w:rsidR="008E05AA" w:rsidRPr="00D168B0" w:rsidRDefault="008E05AA" w:rsidP="008E05AA">
      <w:pPr>
        <w:pStyle w:val="Pagrindinistekstas"/>
        <w:ind w:firstLine="720"/>
        <w:rPr>
          <w:bCs/>
        </w:rPr>
      </w:pPr>
      <w:r w:rsidRPr="00D168B0">
        <w:rPr>
          <w:bCs/>
        </w:rPr>
        <w:t>- savivaldybėse ir kitose vietos bendruomenėse rengiant ir įgyvendinant paramos ir užimtumo programas asmenims, kurie gydosi nuo priklausomybės narkotinėms medžiagoms ar alkoholiui;</w:t>
      </w:r>
    </w:p>
    <w:p w:rsidR="008E05AA" w:rsidRPr="00D168B0" w:rsidRDefault="008E05AA" w:rsidP="008E05AA">
      <w:pPr>
        <w:pStyle w:val="Pagrindinistekstas"/>
        <w:ind w:firstLine="720"/>
        <w:rPr>
          <w:bCs/>
        </w:rPr>
      </w:pPr>
      <w:r w:rsidRPr="00D168B0">
        <w:rPr>
          <w:bCs/>
        </w:rPr>
        <w:t>- užtikrinant, kad pirminės sveikatos priežiūros gydytojai, bendradarbiaudami su atitinkamos srities specialistais, vykdytų asmenų, vartojančių narkotines ar psichotropines medžiagas, sveikatos priežiūrą;</w:t>
      </w:r>
    </w:p>
    <w:p w:rsidR="008E05AA" w:rsidRPr="00D168B0" w:rsidRDefault="008E05AA" w:rsidP="008E05AA">
      <w:pPr>
        <w:pStyle w:val="Pagrindinistekstas"/>
        <w:ind w:firstLine="720"/>
        <w:rPr>
          <w:bCs/>
        </w:rPr>
      </w:pPr>
      <w:r w:rsidRPr="00D168B0">
        <w:rPr>
          <w:bCs/>
        </w:rPr>
        <w:t>- laisvės atėmimo vietose sudarant palankesnes sąlygas nuteistiesiems gydytis nuo priklausomybės narkotikams ir gydymą pratęsti atlikus bausmę;</w:t>
      </w:r>
    </w:p>
    <w:p w:rsidR="008E05AA" w:rsidRPr="00D168B0" w:rsidRDefault="008E05AA" w:rsidP="008E05AA">
      <w:pPr>
        <w:pStyle w:val="Pagrindinistekstas"/>
        <w:ind w:firstLine="720"/>
        <w:rPr>
          <w:bCs/>
        </w:rPr>
      </w:pPr>
      <w:r w:rsidRPr="00D168B0">
        <w:rPr>
          <w:bCs/>
        </w:rPr>
        <w:t>- plačiau taikant  šiuolaikiškas, moksliškai pagrįstas, veiksmingas ankstyvos diagnostikos, gydymo, reabilitacijos metodikas ir švietimo programas asmenims, vartojantiems narkotines ir psichotropines medžiagas;</w:t>
      </w:r>
    </w:p>
    <w:p w:rsidR="008E05AA" w:rsidRPr="00D168B0" w:rsidRDefault="008E05AA" w:rsidP="008E05AA">
      <w:pPr>
        <w:pStyle w:val="Pagrindinistekstas"/>
        <w:ind w:firstLine="720"/>
        <w:rPr>
          <w:bCs/>
        </w:rPr>
      </w:pPr>
      <w:r w:rsidRPr="00D168B0">
        <w:rPr>
          <w:bCs/>
        </w:rPr>
        <w:t xml:space="preserve">- užtikrinant, kad vaikai  ir jaunimas gautų reikiamą socialinę, teisinę ir psichologinę, o švietimo įstaigų darbuotojai, šeimos – organizacinę, metodinę ir konsultacinę pagalbą; </w:t>
      </w:r>
    </w:p>
    <w:p w:rsidR="008E05AA" w:rsidRPr="00D168B0" w:rsidRDefault="008E05AA" w:rsidP="008E05AA">
      <w:pPr>
        <w:pStyle w:val="Pagrindinistekstas"/>
        <w:ind w:firstLine="720"/>
        <w:rPr>
          <w:bCs/>
        </w:rPr>
      </w:pPr>
      <w:r w:rsidRPr="00D168B0">
        <w:rPr>
          <w:bCs/>
        </w:rPr>
        <w:t xml:space="preserve">- skatinant nevyriausybines organizacijas rengti reabilitacijos programas, remiant jų įgyvendinimą.  </w:t>
      </w:r>
    </w:p>
    <w:p w:rsidR="008E05AA" w:rsidRDefault="008E05AA" w:rsidP="008E05AA">
      <w:pPr>
        <w:pStyle w:val="bodytext"/>
        <w:spacing w:before="0" w:beforeAutospacing="0" w:after="0" w:afterAutospacing="0"/>
        <w:rPr>
          <w:rFonts w:ascii="Times New Roman" w:eastAsia="Times New Roman" w:hAnsi="Times New Roman" w:cs="Times New Roman"/>
          <w:lang w:val="lt-LT"/>
        </w:rPr>
      </w:pPr>
      <w:r>
        <w:rPr>
          <w:rFonts w:ascii="Times New Roman" w:eastAsia="Times New Roman" w:hAnsi="Times New Roman" w:cs="Times New Roman"/>
          <w:lang w:val="lt-LT"/>
        </w:rPr>
        <w:tab/>
        <w:t>ESAMA SITUACIJA</w:t>
      </w:r>
    </w:p>
    <w:p w:rsidR="008E05AA" w:rsidRDefault="008E05AA" w:rsidP="008E05AA">
      <w:pPr>
        <w:jc w:val="both"/>
      </w:pPr>
    </w:p>
    <w:p w:rsidR="008E05AA" w:rsidRDefault="008E05AA" w:rsidP="008E05AA">
      <w:pPr>
        <w:ind w:firstLine="720"/>
        <w:jc w:val="both"/>
        <w:rPr>
          <w:szCs w:val="18"/>
        </w:rPr>
      </w:pPr>
      <w:r w:rsidRPr="00D168B0">
        <w:rPr>
          <w:bCs/>
          <w:szCs w:val="18"/>
        </w:rPr>
        <w:t>1995 m. rugsėjo</w:t>
      </w:r>
      <w:r>
        <w:rPr>
          <w:b/>
          <w:bCs/>
          <w:szCs w:val="18"/>
        </w:rPr>
        <w:t xml:space="preserve"> </w:t>
      </w:r>
      <w:r>
        <w:rPr>
          <w:szCs w:val="18"/>
        </w:rPr>
        <w:t xml:space="preserve">mėnesį Lietuvoje pradėta taikyti metadono programa opioidinei narkomanijai gydyti vadovaujantis Lietuvos Respublikos sveikatos apsaugos ministerijos 1995 05 15 įsakymu Nr.252. </w:t>
      </w:r>
    </w:p>
    <w:p w:rsidR="008E05AA" w:rsidRDefault="008E05AA" w:rsidP="008E05AA">
      <w:pPr>
        <w:ind w:firstLine="720"/>
        <w:jc w:val="both"/>
        <w:rPr>
          <w:szCs w:val="18"/>
        </w:rPr>
      </w:pPr>
      <w:r>
        <w:rPr>
          <w:szCs w:val="18"/>
        </w:rPr>
        <w:t xml:space="preserve">Sveikatos apsaugos ministerija  </w:t>
      </w:r>
      <w:r w:rsidRPr="00D168B0">
        <w:rPr>
          <w:bCs/>
          <w:szCs w:val="18"/>
        </w:rPr>
        <w:t>1997 metais</w:t>
      </w:r>
      <w:r>
        <w:rPr>
          <w:szCs w:val="18"/>
        </w:rPr>
        <w:t xml:space="preserve"> vertindama opioidinės  narkomanijos gydymo pakaitiniais  medikamentais (metadonu) efektyvumą, pažymėjo, kad dviejų metų patirtis parodė, kad opioidinės  narkomanijos gydymas pakaitiniais  medikamentais (metadonu)  buvo efektyvus ir pritraukė  į gydymo įstaigas tuos narkomanus, kurie iki tol gydytis vengė. 1997 m. spalio mėnesį Vilniaus narkologijos centre gydėsi 124 narkomanai, Kauno psichiatrijos ligoninės Narkologijos dispanserio skyriuje - 71, Klaipėdos priklausomybės ligų centre - 73. Kaip parodė gydymo efektyvumo tyrimai, dviem trečdaliams gydomų narkomanų pagerėjo sveikatos būklė, buvo išaiškinti ir sėkmingai gydomi kai kurie sunkūs tuberkuliozės, venerinių ligų atvejai. </w:t>
      </w:r>
    </w:p>
    <w:p w:rsidR="008E05AA" w:rsidRDefault="008E05AA" w:rsidP="008E05AA">
      <w:pPr>
        <w:ind w:firstLine="720"/>
        <w:jc w:val="both"/>
        <w:rPr>
          <w:rFonts w:eastAsia="Arial Unicode MS"/>
          <w:szCs w:val="18"/>
        </w:rPr>
      </w:pPr>
      <w:r>
        <w:rPr>
          <w:szCs w:val="18"/>
        </w:rPr>
        <w:t>Išaiškinama daug ŽIV infekuotų asmenų tarp intraveninių narkomanų - dalis jų dalyvavo metadono programoje. Apie 70 procentų metadono programos pacientų integruojasi  į visuomenę.</w:t>
      </w:r>
    </w:p>
    <w:p w:rsidR="008E05AA" w:rsidRDefault="008E05AA" w:rsidP="008E05AA">
      <w:pPr>
        <w:ind w:firstLine="720"/>
        <w:jc w:val="both"/>
        <w:rPr>
          <w:szCs w:val="18"/>
        </w:rPr>
      </w:pPr>
      <w:r>
        <w:rPr>
          <w:szCs w:val="18"/>
        </w:rPr>
        <w:t xml:space="preserve">1996 ir 1997 metais 18 narkomanų Klaipėdoje ir 1 Šiauliuose ŽIV užsikrėtė per švirkštus. Pasaulio patirtis rodo, kad vienas iš veiksmingiausių ŽIV plitimo sustabdymo būdų – substitucinis </w:t>
      </w:r>
      <w:r>
        <w:rPr>
          <w:szCs w:val="18"/>
        </w:rPr>
        <w:lastRenderedPageBreak/>
        <w:t>intraveninių narkomanų gydymas. Dėl to tikslinga toliau didinti substitucinio gydymo prieinamumą  Lietuvos gyventojams.</w:t>
      </w:r>
    </w:p>
    <w:p w:rsidR="008E05AA" w:rsidRDefault="008E05AA" w:rsidP="008E05AA">
      <w:pPr>
        <w:ind w:firstLine="720"/>
        <w:jc w:val="both"/>
        <w:rPr>
          <w:szCs w:val="18"/>
        </w:rPr>
      </w:pPr>
      <w:r>
        <w:rPr>
          <w:szCs w:val="18"/>
        </w:rPr>
        <w:t xml:space="preserve">Sveikatos apsaugos ministras </w:t>
      </w:r>
      <w:r w:rsidRPr="00D168B0">
        <w:rPr>
          <w:bCs/>
          <w:szCs w:val="18"/>
        </w:rPr>
        <w:t>1997 m. gruodžio 22 d. Įsakymu</w:t>
      </w:r>
      <w:r>
        <w:rPr>
          <w:szCs w:val="18"/>
        </w:rPr>
        <w:t xml:space="preserve"> Nr. 702 “Dėl substitucinės terapijos taikymo sergantiems priklausomybe nuo opioiodų tvarkos patvirtinimo” ( V.,Ž., 1998, Nr. 13 – 326) patvirtino  Substitucinės terapijos taikymo tvarką priklausomybei nuo opioidų gydyti, kuri būtų taikoma vadovaujantis Lietuvos Respublikos narkotinių ir psichotropinių medžiagų kontrolės, Lietuvos Respublikos narkologinės priežiūros įstatymu bei kitais galiojančiais teisės aktais. Patvirtintos substitucinės terapijos ir pakeičiamųjų opioidinių medikamentų sąvokos. </w:t>
      </w:r>
    </w:p>
    <w:p w:rsidR="008E05AA" w:rsidRDefault="008E05AA" w:rsidP="008E05AA">
      <w:pPr>
        <w:ind w:firstLine="720"/>
        <w:jc w:val="both"/>
        <w:rPr>
          <w:szCs w:val="18"/>
        </w:rPr>
      </w:pPr>
      <w:r>
        <w:rPr>
          <w:szCs w:val="18"/>
        </w:rPr>
        <w:t>Nustatyta, kad substitucinė terapija (pakaitinis gydymas) – asmenų, sergančių priklausomybe nuo opioidų, gydymas pakeičiamaisiais opioidiniais medikamentais, kurie įregistruoti Lietuvos Respublikos nustatyta tvarka.</w:t>
      </w:r>
    </w:p>
    <w:p w:rsidR="008E05AA" w:rsidRDefault="008E05AA" w:rsidP="008E05AA">
      <w:pPr>
        <w:ind w:firstLine="720"/>
        <w:jc w:val="both"/>
        <w:rPr>
          <w:szCs w:val="18"/>
        </w:rPr>
      </w:pPr>
      <w:r>
        <w:rPr>
          <w:szCs w:val="18"/>
        </w:rPr>
        <w:t xml:space="preserve">Pakeičiamieji opoidiniai medikamentai – tai sintetinės kilmės vaistinės medžiagos, priklausančios opioidų grupei, įregistruotos Lietuvos Respublikoje nustatyta tvarka. Jos gydytojo skiriamos griežtai pagal medicininės indikacijas sergantiesiems priklausomybe nuo opioidų. </w:t>
      </w:r>
    </w:p>
    <w:p w:rsidR="008E05AA" w:rsidRDefault="008E05AA" w:rsidP="008E05AA">
      <w:pPr>
        <w:ind w:firstLine="720"/>
        <w:jc w:val="both"/>
        <w:rPr>
          <w:szCs w:val="18"/>
        </w:rPr>
      </w:pPr>
      <w:r>
        <w:rPr>
          <w:szCs w:val="18"/>
        </w:rPr>
        <w:t>Detoksikacija – žmogaus organizmo funkcijų , sutrikusių dėl apsinuodijimo psichiką veikiančiomis medžiagomis, atkūrimas pašalinant tokias medžiagas arba jų skilimo produktus iš žmogaus organizmo bei abstinencijos sindromo, sukelto priklausomybės  nuo psichiką veikiančių medžiagų ir alkoholio, pašalinimas.</w:t>
      </w:r>
    </w:p>
    <w:p w:rsidR="008E05AA" w:rsidRDefault="008E05AA" w:rsidP="008E05AA">
      <w:pPr>
        <w:ind w:firstLine="720"/>
        <w:jc w:val="both"/>
        <w:rPr>
          <w:szCs w:val="18"/>
        </w:rPr>
      </w:pPr>
      <w:r>
        <w:rPr>
          <w:szCs w:val="18"/>
        </w:rPr>
        <w:t xml:space="preserve">Sveikatos apsaugos ministras priklausomybės nuo opioidų substitucinė terapija </w:t>
      </w:r>
      <w:r w:rsidRPr="00D168B0">
        <w:rPr>
          <w:bCs/>
          <w:szCs w:val="18"/>
        </w:rPr>
        <w:t>siekė tikslų</w:t>
      </w:r>
      <w:r>
        <w:rPr>
          <w:szCs w:val="18"/>
        </w:rPr>
        <w:t>:</w:t>
      </w:r>
    </w:p>
    <w:p w:rsidR="008E05AA" w:rsidRDefault="008E05AA" w:rsidP="008E05AA">
      <w:pPr>
        <w:ind w:firstLine="720"/>
        <w:jc w:val="both"/>
        <w:rPr>
          <w:szCs w:val="18"/>
        </w:rPr>
      </w:pPr>
      <w:r>
        <w:rPr>
          <w:szCs w:val="18"/>
        </w:rPr>
        <w:t>- laipsniškai gerinti sergančiųjų priklausomybe nuo opioidų somatinę ir psichinę būklę, gerinti jų socialinę adaptaciją ir integracija į visuomenę;</w:t>
      </w:r>
    </w:p>
    <w:p w:rsidR="008E05AA" w:rsidRDefault="008E05AA" w:rsidP="008E05AA">
      <w:pPr>
        <w:pStyle w:val="Pagrindiniotekstotrauka"/>
        <w:rPr>
          <w:szCs w:val="18"/>
        </w:rPr>
      </w:pPr>
      <w:r>
        <w:rPr>
          <w:szCs w:val="18"/>
        </w:rPr>
        <w:t>- geriau organizuoti ŽIV, hepatito B ir C bei kitų infekcinių ligų prevenciją tarp vartojančių narkotikus asmenų;</w:t>
      </w:r>
    </w:p>
    <w:p w:rsidR="008E05AA" w:rsidRDefault="008E05AA" w:rsidP="008E05AA">
      <w:pPr>
        <w:ind w:firstLine="720"/>
        <w:jc w:val="both"/>
        <w:rPr>
          <w:szCs w:val="18"/>
        </w:rPr>
      </w:pPr>
      <w:r>
        <w:rPr>
          <w:szCs w:val="18"/>
        </w:rPr>
        <w:t>- efektyviau gydyti gretutinius susirgimus (tuberkuliozę, cukrinį diabetą, gretutinius  psichikos sutrikimus ir kt.);</w:t>
      </w:r>
    </w:p>
    <w:p w:rsidR="008E05AA" w:rsidRDefault="008E05AA" w:rsidP="008E05AA">
      <w:pPr>
        <w:ind w:firstLine="720"/>
        <w:jc w:val="both"/>
        <w:rPr>
          <w:szCs w:val="18"/>
        </w:rPr>
      </w:pPr>
      <w:r>
        <w:rPr>
          <w:szCs w:val="18"/>
        </w:rPr>
        <w:t>- efektyviau gydyti narkotikų švirkštimosi  komplikacijas (sepsį, pūlines infekcijas, hepatitą B,C, trofinę opą ir kt.) arba padėti jų išvengti;</w:t>
      </w:r>
    </w:p>
    <w:p w:rsidR="008E05AA" w:rsidRDefault="008E05AA" w:rsidP="008E05AA">
      <w:pPr>
        <w:ind w:firstLine="720"/>
        <w:jc w:val="both"/>
        <w:rPr>
          <w:szCs w:val="18"/>
        </w:rPr>
      </w:pPr>
      <w:r>
        <w:rPr>
          <w:szCs w:val="18"/>
        </w:rPr>
        <w:t xml:space="preserve">- sudaryti sąlygas  geresnei prenatalinei ir postnatalinei narkotikus vartojančių moterų priežiūrai; </w:t>
      </w:r>
    </w:p>
    <w:p w:rsidR="008E05AA" w:rsidRDefault="008E05AA" w:rsidP="008E05AA">
      <w:pPr>
        <w:ind w:firstLine="720"/>
        <w:jc w:val="both"/>
        <w:rPr>
          <w:szCs w:val="18"/>
        </w:rPr>
      </w:pPr>
      <w:r>
        <w:rPr>
          <w:szCs w:val="18"/>
        </w:rPr>
        <w:t>- pritraukti vartojančius narkotikus asmenis gydytis asmens sveikatos priežiūros įstaigose;</w:t>
      </w:r>
    </w:p>
    <w:p w:rsidR="008E05AA" w:rsidRDefault="008E05AA" w:rsidP="008E05AA">
      <w:pPr>
        <w:ind w:firstLine="720"/>
        <w:jc w:val="both"/>
        <w:rPr>
          <w:szCs w:val="18"/>
        </w:rPr>
      </w:pPr>
      <w:r>
        <w:rPr>
          <w:szCs w:val="18"/>
        </w:rPr>
        <w:t>- ŽIV infekuotiems narkomanams sudaryti galimybę nutraukti intraveninių narkotikų vartojimą.</w:t>
      </w:r>
    </w:p>
    <w:p w:rsidR="008E05AA" w:rsidRDefault="008E05AA" w:rsidP="008E05AA">
      <w:pPr>
        <w:ind w:firstLine="720"/>
        <w:jc w:val="both"/>
        <w:rPr>
          <w:szCs w:val="20"/>
        </w:rPr>
      </w:pPr>
      <w:r>
        <w:rPr>
          <w:szCs w:val="18"/>
        </w:rPr>
        <w:t xml:space="preserve">Sveikatos apsaugos ministras, siekdamas padidinti narkomanijos gydymo metodų įvairovę bei medicinos pagalbos prieinamumą sergantiesiems narkomanija, gerinti jų sveikatos priežiūrą ir užkirsti kelią ŽIV, hepatitui B ir C bei kitoms infekcinėms ligoms, perduodamoms per kraują, plisti, </w:t>
      </w:r>
    </w:p>
    <w:p w:rsidR="008E05AA" w:rsidRDefault="008E05AA" w:rsidP="008E05AA">
      <w:pPr>
        <w:jc w:val="both"/>
        <w:rPr>
          <w:szCs w:val="20"/>
        </w:rPr>
      </w:pPr>
      <w:r>
        <w:rPr>
          <w:szCs w:val="18"/>
        </w:rPr>
        <w:t>1997 m. gruodžio 22 d. įsakymu Nr. 702 “Dėl substitucinės terapijos taikymo sergantiems priklausomybe nuo opioidų tvarkos patvirtinimo” pavedė Vilniaus narkomanijos centro vyriausiajam gydytojui E.Subatai, Kauno psichiatrijos ligoninės vyriausiajam gydytojui G.Čebeliui, Klaipėdos priklausomybės ligų centro vyriausiajam gydytojui A.Slatvickui tęsti opioidinių narkomanų substitucinį gydymą, taikant gydymą substituciniais medikamentais (ilgalaikiam pakaitiniam gydymui ir detoksikacijai) pagal numatytą tvarką. Nustatė kaip turi būti saugomi substituciniai medikamentai, ir kaip turi būti už juos atsiskaitoma pagal įsakyme numatytą tvarką. Įsakymu pavedė Vilniaus narkologijos centro vyriausiajam gydytojui E.Subatai organizuoti substitucine terapija gydomų asmenų apskaitą, duomenų apie juos rinkimą ir vertinimą.  Lietuvos Respublikos sveikatos apsaugos ministerijos Medicinos skyriaus viršininkei O.Abraitytei ir Vilniaus narkologijos centro vyriausiajam gydytojui E.Subatai pavedė vertinti poreikius ir nuolat teikti siūlymus dėl opioidinės narkomanijos substitucinės terapijos taikymo tikslingumo kituose miestuose, o Valstybinės vaistų kontrolės tarnybos Narkotikų komisijos pirmininkui V.Basiui nuolat vertinti substitucinių medikamentų poreikį ir užsakyti reikiamą jų kiekį Jungtinių Tautų Organizacijos Tarptautiniame narkotikų kontrolės komitete. Minėtu įsakymu panaikino Lietuvos Respublikos sveikatos apsaugos ministerijos 1995 05 15 įsakymą Nr.252.</w:t>
      </w:r>
    </w:p>
    <w:p w:rsidR="008E05AA" w:rsidRDefault="008E05AA" w:rsidP="008E05AA">
      <w:pPr>
        <w:jc w:val="both"/>
      </w:pPr>
      <w:r>
        <w:tab/>
        <w:t xml:space="preserve">Substitucinio gydymo skyrimo tvarkoje nustatyta, kad savivaldybei priskirtoje teritorijoje substitucinei terapijai vadovauja ir už ją atsako toje teritorijoje esančios narkologinės priežiūros įstaigos (priklausomybės ligų centrai), o ten, kur jų nėra, - psichikos sveikatos centrai. Leidimas asmens sveikatos priežiūros įstaigai taikyti substitucinę terapiją suteikiamas Lietuvos </w:t>
      </w:r>
      <w:r>
        <w:lastRenderedPageBreak/>
        <w:t xml:space="preserve">Respublikos sveikatos apsaugos ministerijos nustatyta tvarka. Gydytojas gali praktikuoti substitucinę terapiją tik išėjęs nustatytą mokymo kursą Vilniaus universiteto Psichiatrijos klinikoje. </w:t>
      </w:r>
    </w:p>
    <w:p w:rsidR="008E05AA" w:rsidRDefault="008E05AA" w:rsidP="008E05AA">
      <w:pPr>
        <w:ind w:firstLine="720"/>
        <w:jc w:val="both"/>
      </w:pPr>
      <w:r>
        <w:t xml:space="preserve">Substitucinė terapija skiriama Gydytojų konsultacinės komisijos, sudarytos asmens sveikatos priežiūros įstaigoje vyriausiojo gydytojo įsakymu. Pacientui substitucinis gydymas gali būti nutraukiamas tik GKK sprendimu. Substitucinio gydymo trukmė nustatoma pagal klinikines indikacijas. Nutraukiant substitucinį gydymą pacientui taikoma ambulatorinė arba stacionarinė detoksikacija. Pakeičiamieji opioidiniai medikamentai suvartojami medicinos personalo akivaizdoje. Gydytojų konsultacinės komisijos sprendimu, pacientui susirgus ir ambulatoriškai gydantis namie (pristačius šį gydymą patvirtinantį dokumentą iš pirminės sveikatos priežiūros ar kitos asmens sveikatos priežiūros įstaigos), pakeičiamieji medikamentai gali būti išduoti paciento artimiesiems ir apie tai pažymima paciento medicininiuose dokumentuose. Esant stabiliai remisijai, švenčių dienomis, sekmadieniais  ir ypatingais atvejais Gydytojų konsultacinės komisijos sprendimu metadoną galima išduoti pacientams išsinešti. </w:t>
      </w:r>
    </w:p>
    <w:p w:rsidR="008E05AA" w:rsidRDefault="008E05AA" w:rsidP="008E05AA">
      <w:pPr>
        <w:ind w:firstLine="720"/>
        <w:jc w:val="both"/>
      </w:pPr>
      <w:r>
        <w:t xml:space="preserve">Išdavimo tvarką nustato sveikatos priežiūros įstaiga. Substitucinio gydymo atveju rekomenduojama atlikti šlapimo tyrimus – siekiant nustatyti kitų narkotikų vartojimą bei  objektyviai įvertinti gydymo efektyvumą. Kiekvienas pakeičiamojo opoidinio medikamento išdavimo atvejis, jo dozė turi būti apskaitoma medicininiuose dokumentuose, patvirtinama išdavusio medikamentą medicinos specialisto parašu. Medikamentai išduodami tik įsitikinus asmens tapatybe. Pakeičiamųjų opioidinių medikamentų užsakymą, saugojimą ir apskaitą reglamentuoja  1997 12 22 įsakymo Nr. 702 3 priedas “Metadono išrašymo, laikymo bei apskaitos sveikatos priežiūros įstaigose tvarka”. </w:t>
      </w:r>
    </w:p>
    <w:p w:rsidR="008E05AA" w:rsidRDefault="008E05AA" w:rsidP="008E05AA">
      <w:pPr>
        <w:ind w:firstLine="720"/>
        <w:jc w:val="both"/>
      </w:pPr>
      <w:r>
        <w:t>Opioidinės priklausomybės substitucinė terapija finansuojama pagal privalomąsias valstybines bei savivaldybių programas, taip pat iš labdaros ir privačių fondų. Už substitucinį gydymą apmokėti gali pats pacientas ar jo artimieji. Šiuo atveju apmokėjimo už  substitucinį gydymą tvarką ir jos kontrolę nustato sveikatos priežiūros įstaigos vadovas.</w:t>
      </w:r>
    </w:p>
    <w:p w:rsidR="008E05AA" w:rsidRDefault="008E05AA" w:rsidP="008E05AA">
      <w:pPr>
        <w:ind w:firstLine="720"/>
        <w:jc w:val="both"/>
      </w:pPr>
      <w:r>
        <w:t>Ambulatorinės detoksikacijos indikacijos  - nustatyta priklausomybės nuo opoidų diagnozė  ir yra apsisprendimas nutraukti opioidinių medžiagų vartojimą.</w:t>
      </w:r>
    </w:p>
    <w:p w:rsidR="008E05AA" w:rsidRDefault="008E05AA" w:rsidP="008E05AA">
      <w:pPr>
        <w:ind w:firstLine="720"/>
        <w:jc w:val="both"/>
      </w:pPr>
      <w:r>
        <w:t>Ambulatorinę detoksikaciją galima atlikti tose medicinos priežiūros įstaigose, kurios skiria substitucinį gydymą, gydytojui psichiatrui įvertinus paciento būklę ir patikrinus dėl kitų psichiką aktyviai veikiančių medžiagų vartojimo.</w:t>
      </w:r>
    </w:p>
    <w:p w:rsidR="008E05AA" w:rsidRDefault="008E05AA" w:rsidP="008E05AA">
      <w:pPr>
        <w:ind w:firstLine="720"/>
        <w:jc w:val="both"/>
      </w:pPr>
      <w:r>
        <w:t xml:space="preserve"> Ambulatorinės detoksikacijos metu pakeičiamuosius opioidinius medikamentus asmenys išgeria medicinos personalo akivaizdoje (sveikatos priežiūros įstaigoje arba namie) kasdien. Prieš švenčių dienas, ypatingais atvejais – jeigu paramą gydomajam teikis šeima  - Gydytojų konsultacinės komisijos sprendimu  medikamentus galima išduoti šeimos nariui. </w:t>
      </w:r>
    </w:p>
    <w:p w:rsidR="008E05AA" w:rsidRDefault="008E05AA" w:rsidP="008E05AA">
      <w:pPr>
        <w:ind w:firstLine="720"/>
        <w:jc w:val="both"/>
      </w:pPr>
      <w:r>
        <w:t>Nustačius, jog vartojamos kitos psichiką aktyviai veikiančios medžiagos arba pacientas kitaip pažeidžia nustatytą tvarką 9sutartį, jis gali būti siunčiamas į stacionarinį detoksikacijos skyrių, gydomas pagal substitucinės terapijos programą arba jam nutraukiama ambulatorinė detoksikacija.</w:t>
      </w:r>
    </w:p>
    <w:p w:rsidR="008E05AA" w:rsidRDefault="008E05AA" w:rsidP="008E05AA">
      <w:pPr>
        <w:ind w:firstLine="720"/>
        <w:jc w:val="both"/>
      </w:pPr>
      <w:r w:rsidRPr="00D168B0">
        <w:rPr>
          <w:bCs/>
        </w:rPr>
        <w:t>Metadono, kaip ir kitų narkotinių vaistų</w:t>
      </w:r>
      <w:r>
        <w:rPr>
          <w:b/>
          <w:bCs/>
        </w:rPr>
        <w:t xml:space="preserve"> </w:t>
      </w:r>
      <w:r>
        <w:t>ir vaistinių medžiagų, reikalavimai turi būti išrašomi atskiruose reikalavimų blankuose su sveikatos priežiūros įstaigos antspaudu bei įstaigos vadovo ar pavaduotojo gydymo reikalams parašu. Sveikatos priežiūros įstaigose metadonas turi būti kasdien apskaitomas specialioje numeruotais ir perrištais lapais bei vyr. gydytojo parašu  patvirtintoje narkotinių vaistų ir vaistinių medžiagų apskaitos knygoje, kuri privalo būti kiekviename naudojančiame tokias medžiagas sveikatos priežiūros įstaigos skyriuje arba kabinete. Kiekvieno mėnesio pirmąją dieną už metadono apskaitą atsakingas asmuo turi patikrinti faktinį metadono kiekį pagal likutį, nurodytą metadono apskaitos knygoje.</w:t>
      </w:r>
    </w:p>
    <w:p w:rsidR="008E05AA" w:rsidRDefault="008E05AA" w:rsidP="008E05AA">
      <w:pPr>
        <w:ind w:firstLine="720"/>
        <w:jc w:val="both"/>
      </w:pPr>
      <w:r>
        <w:t xml:space="preserve">Ketvirčiui pasibaigus, iki kito mėnesio 15 dienos duomenys apie suvartotą </w:t>
      </w:r>
      <w:r w:rsidRPr="00D168B0">
        <w:rPr>
          <w:bCs/>
        </w:rPr>
        <w:t>metadoną</w:t>
      </w:r>
      <w:r>
        <w:t xml:space="preserve"> turi būti pateikti Lietuvos farmakologijos  komiteto Narkotikų komisijai.</w:t>
      </w:r>
      <w:r>
        <w:rPr>
          <w:b/>
          <w:bCs/>
        </w:rPr>
        <w:t xml:space="preserve"> </w:t>
      </w:r>
      <w:r w:rsidRPr="00D168B0">
        <w:rPr>
          <w:bCs/>
        </w:rPr>
        <w:t>Už racionalų</w:t>
      </w:r>
      <w:r>
        <w:rPr>
          <w:b/>
          <w:bCs/>
        </w:rPr>
        <w:t xml:space="preserve"> </w:t>
      </w:r>
      <w:r>
        <w:t>metadono vartojimą, saugojimą, išdavimą ligoniams bei apskaitą atsakingas vyr. Gydytojas ar jo įsakymu paskirtas asmuo.</w:t>
      </w:r>
    </w:p>
    <w:p w:rsidR="008E05AA" w:rsidRDefault="008E05AA" w:rsidP="008E05AA">
      <w:pPr>
        <w:jc w:val="both"/>
      </w:pPr>
      <w:r>
        <w:tab/>
        <w:t xml:space="preserve">Lietuvos respublikos Socialinės apsaugos ir darbo ministro ir Lietuvos Respublikos Sveikatos apsaugos ministro </w:t>
      </w:r>
      <w:r w:rsidRPr="00D168B0">
        <w:rPr>
          <w:bCs/>
        </w:rPr>
        <w:t>2001 m. spalio 4 d.</w:t>
      </w:r>
      <w:r>
        <w:t xml:space="preserve"> Įsakymu Nr. 129/518 “Dėl asmenų, sergančių priklausomybės nuo psichoaktyvių medžiagų ligomis, integracijos į visuomenę koncepcijos patvirtinimo” ( V.Ž., 2001, Nr. 88-3108) patvirtino Asmenų, sergančių priklausomybės nuo psichoaktyvių medžiagų ligomis, integracijos į visuomenę koncepciją, kuri parengta įgyvendinant  Lietuvos Respublikos Vyriausybės 1999 m. rugsėjo 6 d. nutarimu Nr. 970 ( Žin., 1999, Nr. 76-2291; 2001, Nr. 8-235)  patvirtintos Nacionalinės narkotikų kontrolės ir narkomanijos prevencijos 1999-2003 metų programos priemonių 2.6 punktą.</w:t>
      </w:r>
    </w:p>
    <w:p w:rsidR="008E05AA" w:rsidRDefault="008E05AA" w:rsidP="008E05AA">
      <w:pPr>
        <w:jc w:val="both"/>
      </w:pPr>
      <w:r>
        <w:lastRenderedPageBreak/>
        <w:tab/>
        <w:t>Lietuvos Respublikos Sveikatos apsaugos ministro 2002 05 03 įsakymu “Dėl priklausomybės ligų gydymo ir reabilitacijos standartų patvirtinimo” patvirtino Priklausomybės ligų gydymo ir reabilitacijos standartus.</w:t>
      </w:r>
    </w:p>
    <w:p w:rsidR="008E05AA" w:rsidRDefault="008E05AA" w:rsidP="008E05AA">
      <w:pPr>
        <w:ind w:firstLine="720"/>
        <w:jc w:val="both"/>
      </w:pPr>
      <w:r>
        <w:rPr>
          <w:szCs w:val="22"/>
        </w:rPr>
        <w:t xml:space="preserve">Lietuvos Respublikos Vyriausybės </w:t>
      </w:r>
      <w:r w:rsidRPr="00D168B0">
        <w:rPr>
          <w:bCs/>
          <w:szCs w:val="22"/>
        </w:rPr>
        <w:t>2003 m. spalio 14</w:t>
      </w:r>
      <w:r w:rsidRPr="00D168B0">
        <w:rPr>
          <w:szCs w:val="22"/>
        </w:rPr>
        <w:t xml:space="preserve"> d.</w:t>
      </w:r>
      <w:r>
        <w:rPr>
          <w:szCs w:val="22"/>
        </w:rPr>
        <w:t xml:space="preserve"> nutarimu Nr.1273 patvirtinta ŽIV/AIDS profilaktikos ir kontrolės programa, kurioje numatytos ŽIV/AIDS prevencijos priemonės asmenims, vartojantiems narkotines medžiagas.</w:t>
      </w:r>
    </w:p>
    <w:p w:rsidR="008E05AA" w:rsidRDefault="008E05AA" w:rsidP="008E05AA">
      <w:pPr>
        <w:ind w:firstLine="720"/>
        <w:jc w:val="both"/>
        <w:rPr>
          <w:szCs w:val="22"/>
        </w:rPr>
      </w:pPr>
      <w:r>
        <w:rPr>
          <w:szCs w:val="22"/>
        </w:rPr>
        <w:t xml:space="preserve">Siekiant pagerinti medicinos paslaugų prieinamumą sergantiesiems priklausomybės ligomis ir priklausomybės ligų centrų infrastruktūrą, 2003 m. buvo parengta ir 2003 m. rugsėjo 23 d. Privalomojo sveikatos draudimo tarybos nutarimu Nr. 6/7 patvirtinta Lietuvos Respublikos sveikatos apsaugos ministro </w:t>
      </w:r>
      <w:r w:rsidRPr="00D168B0">
        <w:rPr>
          <w:bCs/>
          <w:szCs w:val="22"/>
        </w:rPr>
        <w:t>2003 m. spalio 20</w:t>
      </w:r>
      <w:r>
        <w:rPr>
          <w:szCs w:val="22"/>
        </w:rPr>
        <w:t xml:space="preserve"> d. įsakymu Nr. V-614 Medicininių paslaugų sergantiesiems priklausomybės ligomis prieinamumo bei gerinimo 2003–2004 m. programa. </w:t>
      </w:r>
    </w:p>
    <w:p w:rsidR="008E05AA" w:rsidRDefault="008E05AA" w:rsidP="008E05AA">
      <w:pPr>
        <w:ind w:firstLine="720"/>
        <w:jc w:val="both"/>
      </w:pPr>
      <w:r>
        <w:t>2005 m. vasario 25 d. nutarimu Nr. 3/7 “Dėl priklausomybės ligų 2005 - 2008 metų programos, finansuojamos iš Privalomojo sveikatos draudimo fondo biudžeto”.</w:t>
      </w:r>
    </w:p>
    <w:p w:rsidR="008E05AA" w:rsidRDefault="008E05AA" w:rsidP="008E05AA">
      <w:pPr>
        <w:jc w:val="both"/>
        <w:rPr>
          <w:b/>
          <w:bCs/>
        </w:rPr>
      </w:pPr>
    </w:p>
    <w:p w:rsidR="008E05AA" w:rsidRDefault="008E05AA" w:rsidP="008E05AA">
      <w:pPr>
        <w:ind w:firstLine="720"/>
        <w:jc w:val="both"/>
      </w:pPr>
      <w:r w:rsidRPr="00D168B0">
        <w:rPr>
          <w:bCs/>
        </w:rPr>
        <w:t>Lietuvos Respublikos sveikatos apsaugos ministras 2005 m. kovo 22 d.</w:t>
      </w:r>
      <w:r>
        <w:t xml:space="preserve"> įsakymu Nr. V-182  “Dėl 2005 – 2008 m. priklausomybės ligų programos patvirtinimo” (V., Ž., 2005, Nr. 43 – 1380 patvirtino 2005 – 2008 metų Priklausomybės ligų programą, kurioje siekiama įgyvendinti nuostatas, išdėstytas Lietuvos Respublikos Vyriausybės programoje, Jungtinių Tautų, Europos Tarybos ir Europos Sąjungos rekomendacijose, rezoliucijose ir Lietuvos Respublikos sveikatos sistemos įstatymo 47 straipsnyje, Lietuvos Respublikos sveikatos draudimo įstatymo 6 straipsnyje ir kituose teisės aktuose, Pasaulio sveikatos organizacijos Suomijoje, Helsinkyje, 2005 m. sausio 12 – 15 d. Organizuotos konferencijos metu pasirašytoje deklaracijoje ir veiksmų plane. Vadovaudamasis Lietuvos Respublikos sveikatos draudimo įstatymo 6 straipsniu, Lietuvos Respublikos sveikatos sistemos įstatymo 47 straipsniu pavedė  Valstybinei ligonių kasai finansuoti programos vykdymą.</w:t>
      </w:r>
    </w:p>
    <w:p w:rsidR="008E05AA" w:rsidRDefault="008E05AA" w:rsidP="008E05AA">
      <w:pPr>
        <w:ind w:firstLine="720"/>
        <w:jc w:val="both"/>
      </w:pPr>
      <w:r>
        <w:t>Lietuvos Respublikos sveikatos apsaugos ministras 2005 m. kovo 22 d. įsakyme Nr. V-182  “Dėl 2005 – 2008 m. priklausomybės ligų programos patvirtinimo” (V., Ž., 2005, Nr. 43 – 1380) nurodė, kad Priklausomybės ligos pagal Tarptautinę statistinę ligų ir sveikatos problemų klasifikaciją priskiriamos psichikos ir elgesio sutrikimams (TLK-10, F10-F19).</w:t>
      </w:r>
    </w:p>
    <w:p w:rsidR="008E05AA" w:rsidRDefault="008E05AA" w:rsidP="008E05AA">
      <w:pPr>
        <w:ind w:firstLine="720"/>
        <w:jc w:val="both"/>
        <w:rPr>
          <w:szCs w:val="22"/>
        </w:rPr>
      </w:pPr>
      <w:r>
        <w:rPr>
          <w:szCs w:val="22"/>
        </w:rPr>
        <w:t xml:space="preserve">Priklausomybės ligų gydymą ir priežiūrą atlieka gydytojai psichiatrai, šeimos gydytojai, sveikatos priežiūros įstaigų psichologai, socialiniai darbuotojai ir slaugos specialistai. Priklausomybės ligomis sergantiems pacientams ambulatorinė ir stacionarinė pagalba pagal jiems sudarytą individualią gydymo ir reabilitacijos programą teikiama priklausomybės ligų centruose (5 specializuoti priklausomybės ligų centrai: Vilniaus, Klaipėdos, Šiaulių, Panevėžio, Kauno), psichiatrijos ligoninėse ir specializuotose medicininės reabilitacijos įstaigose (šiuo metu yra tik du medicininės ir socialinės reabilitacijos padaliniai, finansuojami biudžeto lėšomis ir turintys licenciją teikti sveikatos priežiūros paslaugas: Vilniaus priklausomybės ligų centro Reabilitacijos skyrius (12 vietų) ir Lietuvos AIDS centro narkomanų socialinės psichologijos bendruomenė (13 vietų). </w:t>
      </w:r>
    </w:p>
    <w:p w:rsidR="008E05AA" w:rsidRDefault="008E05AA" w:rsidP="008E05AA">
      <w:pPr>
        <w:ind w:firstLine="720"/>
        <w:jc w:val="both"/>
        <w:rPr>
          <w:szCs w:val="22"/>
        </w:rPr>
      </w:pPr>
      <w:r>
        <w:rPr>
          <w:szCs w:val="22"/>
        </w:rPr>
        <w:t xml:space="preserve">Priklausomybės ligomis sergantiems pacientams ambulatorinė pagalba teikiama ir psichikos sveikatos centruose (Lietuvoje veikia 64 psichikos sveikatos centrai). </w:t>
      </w:r>
    </w:p>
    <w:p w:rsidR="008E05AA" w:rsidRDefault="008E05AA" w:rsidP="008E05AA">
      <w:pPr>
        <w:ind w:firstLine="720"/>
        <w:jc w:val="both"/>
        <w:rPr>
          <w:szCs w:val="22"/>
        </w:rPr>
      </w:pPr>
      <w:r>
        <w:rPr>
          <w:szCs w:val="22"/>
        </w:rPr>
        <w:t xml:space="preserve">Būtinoji (skubi) pagalba teikiama pacientams, kai juos ištinka koma ar apsinuodijus narkotinėmis, kitomis psichotropinėmis medžiagomis, taip pat esant abstinencijos būklei, psichozinei simptomatikai. Tokie asmenys guldomi į asmens sveikatos priežiūros įstaigose esančius reanimacijos skyrius ir/ar toksikologijos skyrius. </w:t>
      </w:r>
    </w:p>
    <w:p w:rsidR="008E05AA" w:rsidRDefault="008E05AA" w:rsidP="008E05AA">
      <w:pPr>
        <w:ind w:firstLine="720"/>
        <w:jc w:val="both"/>
        <w:rPr>
          <w:szCs w:val="22"/>
        </w:rPr>
      </w:pPr>
      <w:r>
        <w:rPr>
          <w:szCs w:val="22"/>
        </w:rPr>
        <w:t xml:space="preserve">Greita detoksikacija asmenims, vartojantiems narkotikus, taikoma ligoninių toksikologijos skyriuose, priklausomybės ligų centruose bei privačiose toksikologijos klinikose. </w:t>
      </w:r>
    </w:p>
    <w:p w:rsidR="008E05AA" w:rsidRDefault="008E05AA" w:rsidP="008E05AA">
      <w:pPr>
        <w:ind w:firstLine="720"/>
        <w:jc w:val="both"/>
        <w:rPr>
          <w:szCs w:val="22"/>
        </w:rPr>
      </w:pPr>
      <w:r>
        <w:rPr>
          <w:szCs w:val="22"/>
        </w:rPr>
        <w:t xml:space="preserve">Ambulatoriniam gydymui medikamentai iš Privalomojo sveikatos draudimo fondo (toliau – PSDF) lėšų nekompensuojami. </w:t>
      </w:r>
    </w:p>
    <w:p w:rsidR="008E05AA" w:rsidRDefault="008E05AA" w:rsidP="008E05AA">
      <w:pPr>
        <w:ind w:firstLine="720"/>
        <w:jc w:val="both"/>
        <w:rPr>
          <w:szCs w:val="22"/>
        </w:rPr>
      </w:pPr>
      <w:r>
        <w:rPr>
          <w:szCs w:val="22"/>
        </w:rPr>
        <w:t xml:space="preserve">Priklausomybės ligų centrams biudžetinio finansavimo nepakanka visoms numatytoms funkcijoms vykdyti. </w:t>
      </w:r>
    </w:p>
    <w:p w:rsidR="008E05AA" w:rsidRDefault="008E05AA" w:rsidP="008E05AA">
      <w:pPr>
        <w:ind w:firstLine="720"/>
        <w:jc w:val="both"/>
        <w:rPr>
          <w:szCs w:val="22"/>
        </w:rPr>
      </w:pPr>
      <w:r>
        <w:rPr>
          <w:szCs w:val="22"/>
        </w:rPr>
        <w:t>Ne visi asmenys, priklausomi nuo alkoholio ar narkotikų, net esant indikacijoms gali gauti ambulatorinio gydymo paslaugas.</w:t>
      </w:r>
    </w:p>
    <w:p w:rsidR="008E05AA" w:rsidRDefault="008E05AA" w:rsidP="008E05AA">
      <w:pPr>
        <w:ind w:firstLine="720"/>
        <w:jc w:val="both"/>
        <w:rPr>
          <w:szCs w:val="22"/>
        </w:rPr>
      </w:pPr>
      <w:r>
        <w:rPr>
          <w:szCs w:val="22"/>
        </w:rPr>
        <w:t xml:space="preserve"> Priklausomybės ligų centrai dėl nepakankamo finansavimo ir prastos materialinės bazės negali atlikti pagal nuostatus priskirtų funkcijų. </w:t>
      </w:r>
    </w:p>
    <w:p w:rsidR="008E05AA" w:rsidRDefault="008E05AA" w:rsidP="008E05AA">
      <w:pPr>
        <w:ind w:firstLine="720"/>
        <w:jc w:val="both"/>
        <w:rPr>
          <w:szCs w:val="22"/>
        </w:rPr>
      </w:pPr>
      <w:r>
        <w:rPr>
          <w:szCs w:val="22"/>
        </w:rPr>
        <w:t xml:space="preserve">Apskričių priklausomybės ligų centrai rajonų pirminės sveikatos priežiūros, psichikos sveikatos centrams teikia tik minimalią metodinę pagalbą dėl priklausomybės ligų diagnostikos ir gydymo. </w:t>
      </w:r>
    </w:p>
    <w:p w:rsidR="008E05AA" w:rsidRDefault="008E05AA" w:rsidP="008E05AA">
      <w:pPr>
        <w:pStyle w:val="Pagrindiniotekstotrauka"/>
        <w:rPr>
          <w:szCs w:val="22"/>
        </w:rPr>
      </w:pPr>
      <w:r>
        <w:rPr>
          <w:szCs w:val="22"/>
        </w:rPr>
        <w:lastRenderedPageBreak/>
        <w:t xml:space="preserve">Dėl finansų stokos negali užtikrinti visavertės profilaktikos, gydymo ir medicininės reabilitacijos. </w:t>
      </w:r>
    </w:p>
    <w:p w:rsidR="008E05AA" w:rsidRDefault="008E05AA" w:rsidP="008E05AA">
      <w:pPr>
        <w:jc w:val="both"/>
        <w:rPr>
          <w:szCs w:val="20"/>
        </w:rPr>
      </w:pPr>
      <w:r>
        <w:rPr>
          <w:szCs w:val="22"/>
        </w:rPr>
        <w:t> </w:t>
      </w:r>
      <w:r>
        <w:rPr>
          <w:szCs w:val="22"/>
        </w:rPr>
        <w:tab/>
      </w:r>
      <w:r>
        <w:t>L.e.p. Sveikatos apsaugos ministro Žilvino Padaigos 2006 m. liepos 17 d. Įsakymu Nr. V-617  “Dėl Lietuvos Respublikos sveikatos apsaugos ministro  2005 m. kovo 22 d. įsakymo Nr. V- 182 “Dėl 2005 – 2008  metų priklausomybės ligų programos patvirtinimo” pakeitimo”, a</w:t>
      </w:r>
      <w:r>
        <w:rPr>
          <w:szCs w:val="22"/>
        </w:rPr>
        <w:t>tsižvelgdamas į Privalomojo sveikatos draudimo tarybos 2006 m. gegužės 25 d. nutarimą Nr. 5/5 „Dėl Priklausomybės ligų programoje numatyto Kauno apskrities priklausomybės ligų centro biudžeto išlaidų sąmatos pakeitimo“ pakeitė Programos 39 punktą ir nustatė, kad Priklausomybės ligų centro direktorius, gavęs TLK pranešimą apie skirtas lėšas, parengia Programos (išlaidų) sąmatą, vadovaudamasis Programoje numatytais uždaviniais, ir pateikia ją tvirtinti TLK. Sąmata sudaroma 2 egzemplioriais – po vieną Priklausomybės ligų centrui ir TLK. Naudoti Programai skirtas PSDF biudžeto lėšas be patvirtintos sąmatos neleidžiama. Sudarant išlaidų sąmatą, lėšos priklausomybės ligų centrams, išskyrus Kauno apskrities priklausomybės ligų centrą, paskirstomos taip: medikamentams – 45 proc., mokos fondui – ne daugiau kaip 27 proc., infrastruktūrai gerinti – ne daugiau kaip 18 proc., kitoms išlaidoms – ne daugiau kaip 10 procentų. Kauno apskrities priklausomybės ligų centro Priklausomybės ligų programos išlaidų sąmatoje lėšos paskirstomos taip: medikamentams – 34 proc., mokos fondui – ne daugiau kaip 40 proc., infrastruktūrai – ne daugiau kaip 5 proc., kitoms išlaidoms – ne daugiau kaip 21 procentas.“</w:t>
      </w:r>
    </w:p>
    <w:p w:rsidR="008E05AA" w:rsidRDefault="008E05AA" w:rsidP="008E05AA">
      <w:pPr>
        <w:jc w:val="both"/>
        <w:rPr>
          <w:bCs/>
        </w:rPr>
      </w:pPr>
      <w:r>
        <w:rPr>
          <w:b/>
        </w:rPr>
        <w:tab/>
      </w:r>
      <w:r w:rsidRPr="00D168B0">
        <w:t>Tvirtinant Priklausomybės ligų programą</w:t>
      </w:r>
      <w:r>
        <w:rPr>
          <w:b/>
        </w:rPr>
        <w:t xml:space="preserve"> </w:t>
      </w:r>
      <w:r>
        <w:rPr>
          <w:bCs/>
        </w:rPr>
        <w:t>Sveikatos apsaugos ministras konstatuoja, kad pastarąjį dešimtmetį alkoholizmo ir narkomanijos plitimas Lietuvoje kelia realią grėsmę valstybės saugumui, išlieka socialiai nepriimtinas reiškinys, neigiamai veikiantis visas visuomeninio gyvenimo sritis, mažinantis gyventojų saugumą, didinantis savižudybių, nelaimingų atsitikimų keliuose skaičių, keliantis grėsmę gyventojų sveikatai. Kiekvienais metais daugėja jaunų žmonių, pradedančių vartoti alkoholį ir narkotikus, skaičius. Ypač sparčiai priklausomybės formuojasi jaunimui ir vaikams, kuriems brendimo metu atsiranda asmenybės pakitimų somatinių komplikacijų. Asmenų, kurie kreipėsi į sveikatos priežiūros įstaigas dėl priklausomybės alkoholiu, narkotikams ir psichotropinėms medžiagoms, skaičius palaipsniui didėja. Pacientų, kurie kreipiasi į sveikatos priežiūros įstaigas pagalbos, amžiaus vidurkis Europos Sąjungoje 2001 metais buvo 28,05 metų. Lietuvoje tais pačiais metais į gydymo įstaigas kreipėsi asmenys, kurių amžius buvo 23,9 metų, 2002 metais – 23,5 ir 2003 metais –24,9 metų.</w:t>
      </w:r>
    </w:p>
    <w:p w:rsidR="008E05AA" w:rsidRDefault="008E05AA" w:rsidP="008E05AA">
      <w:pPr>
        <w:ind w:firstLine="720"/>
        <w:jc w:val="both"/>
        <w:rPr>
          <w:bCs/>
        </w:rPr>
      </w:pPr>
      <w:r>
        <w:rPr>
          <w:bCs/>
        </w:rPr>
        <w:t xml:space="preserve"> Ankstyvas alkoholio ir narkotikų vartojimo bei piktnaudžiavimo nustatymas padeda išvengti  priklausomybės atsiradimo, o ankstyva diagnostika ir gydymas – suteikia galimybę išvengti medicininių komplikacijų bei socialinių pasekmių. Medicininė ir socialinė reabilitacija  padeda asmeniui grįžti į visuomenę. Priklausomybės ligų gydymas padeda išvengti infekcinių ligų plitimo, mažinti asmenų, sergančių priklausomybės ligomis, socialinę atskirtį.</w:t>
      </w:r>
    </w:p>
    <w:p w:rsidR="008E05AA" w:rsidRDefault="008E05AA" w:rsidP="008E05AA">
      <w:pPr>
        <w:jc w:val="both"/>
      </w:pPr>
      <w:r>
        <w:rPr>
          <w:bCs/>
        </w:rPr>
        <w:tab/>
        <w:t>Sveikatos apsaugos ministras</w:t>
      </w:r>
      <w:r>
        <w:rPr>
          <w:b/>
        </w:rPr>
        <w:t xml:space="preserve"> </w:t>
      </w:r>
      <w:r>
        <w:rPr>
          <w:bCs/>
        </w:rPr>
        <w:t>Priklausomybės ligų programoje patvirtino uždavinius, kad</w:t>
      </w:r>
      <w:r>
        <w:rPr>
          <w:b/>
        </w:rPr>
        <w:t xml:space="preserve"> v</w:t>
      </w:r>
      <w:r>
        <w:rPr>
          <w:szCs w:val="22"/>
        </w:rPr>
        <w:t>adovaujantis teisės aktų nustatyta tvarka, nepažeidžiant pacientų teisių ir orumo, gerinti ir užtikrinti priklausomybės ligų centruose medicininių paslaugų prieinamumą ir kokybę žalingai vartojantiems alkoholį ir narkotines medžiagas bei sergantiems priklausomybės ligomis, teikiant prioritetą tam tikrų kategorijų pacientams:</w:t>
      </w:r>
    </w:p>
    <w:p w:rsidR="008E05AA" w:rsidRDefault="008E05AA" w:rsidP="008E05AA">
      <w:pPr>
        <w:jc w:val="both"/>
      </w:pPr>
      <w:r>
        <w:rPr>
          <w:szCs w:val="22"/>
        </w:rPr>
        <w:t xml:space="preserve">1. Tėvų, policijos atvežtiems ir visiems besikreipiantiems vaikams:   </w:t>
      </w:r>
    </w:p>
    <w:p w:rsidR="008E05AA" w:rsidRDefault="008E05AA" w:rsidP="008E05AA">
      <w:pPr>
        <w:jc w:val="both"/>
      </w:pPr>
      <w:r>
        <w:rPr>
          <w:szCs w:val="22"/>
        </w:rPr>
        <w:t>1.1. teikti alkoholio ir narkotinių medžiagų ankstyvosios diagnostikos paslaugas:</w:t>
      </w:r>
    </w:p>
    <w:p w:rsidR="008E05AA" w:rsidRDefault="008E05AA" w:rsidP="008E05AA">
      <w:pPr>
        <w:jc w:val="both"/>
      </w:pPr>
      <w:r>
        <w:rPr>
          <w:szCs w:val="22"/>
        </w:rPr>
        <w:t>1.1.1. organizuoti medicinos specialistų – gydytojų psichiatrų, gydytojų priklausomybės ligų psichiatrų, psichologų ir socialinių darbuotojų konsultacijas;</w:t>
      </w:r>
    </w:p>
    <w:p w:rsidR="008E05AA" w:rsidRDefault="008E05AA" w:rsidP="008E05AA">
      <w:pPr>
        <w:jc w:val="both"/>
      </w:pPr>
      <w:r>
        <w:rPr>
          <w:szCs w:val="22"/>
        </w:rPr>
        <w:t>1.1.2. diagnostikai naudoti narkotinių medžiagų greito nustatymo testus: monotestus ir multitestus;</w:t>
      </w:r>
    </w:p>
    <w:p w:rsidR="008E05AA" w:rsidRDefault="008E05AA" w:rsidP="008E05AA">
      <w:pPr>
        <w:jc w:val="both"/>
      </w:pPr>
      <w:r>
        <w:rPr>
          <w:szCs w:val="22"/>
        </w:rPr>
        <w:t>1.1.3. atlikti infekcinių ligų, žmogaus imunodeficito viruso (ŽIV), tuberkuliozės, virusinių hepatitų diagnostiką.</w:t>
      </w:r>
    </w:p>
    <w:p w:rsidR="008E05AA" w:rsidRDefault="008E05AA" w:rsidP="008E05AA">
      <w:pPr>
        <w:jc w:val="both"/>
      </w:pPr>
      <w:r>
        <w:rPr>
          <w:szCs w:val="22"/>
        </w:rPr>
        <w:t>2. Vaikams, sergantiems priklausomybės ligomis:</w:t>
      </w:r>
    </w:p>
    <w:p w:rsidR="008E05AA" w:rsidRDefault="008E05AA" w:rsidP="008E05AA">
      <w:pPr>
        <w:jc w:val="both"/>
      </w:pPr>
      <w:r>
        <w:rPr>
          <w:szCs w:val="22"/>
        </w:rPr>
        <w:t>2.1. užtikrinti gydymą vadovaujantis sveikatos apsaugos ministro 2002 m. gegužės 3 d. įsakymu Nr. 204 „Dėl priklausomybės ligų gydymo ir reabilitacijos standartų patvirtinimo“ (Žin., 2002, Nr. 47-1824):</w:t>
      </w:r>
    </w:p>
    <w:p w:rsidR="008E05AA" w:rsidRDefault="008E05AA" w:rsidP="008E05AA">
      <w:pPr>
        <w:jc w:val="both"/>
      </w:pPr>
      <w:r>
        <w:rPr>
          <w:szCs w:val="22"/>
        </w:rPr>
        <w:t>2.1.1. taikyti individualius ir grupinius psichoterapijos gydymo, psichologinius socialinius ir mokomuosius metodus pacientams ir jų tėvams bei globėjams;</w:t>
      </w:r>
    </w:p>
    <w:p w:rsidR="008E05AA" w:rsidRDefault="008E05AA" w:rsidP="008E05AA">
      <w:pPr>
        <w:jc w:val="both"/>
      </w:pPr>
      <w:r>
        <w:rPr>
          <w:szCs w:val="22"/>
        </w:rPr>
        <w:t>2.2. atlikti infekcinių ligų, žmogaus imunodeficito viruso (ŽIV), tuberkuliozės, virusinių hepatitų diagnostiką tarp asmenų, vartojančių narkotines medžiagas.</w:t>
      </w:r>
    </w:p>
    <w:p w:rsidR="008E05AA" w:rsidRDefault="008E05AA" w:rsidP="008E05AA">
      <w:pPr>
        <w:jc w:val="both"/>
      </w:pPr>
      <w:r>
        <w:rPr>
          <w:szCs w:val="22"/>
        </w:rPr>
        <w:t>3. Suaugusiems asmenims, apdraustiems privalomuoju sveikatos draudimu:</w:t>
      </w:r>
    </w:p>
    <w:p w:rsidR="008E05AA" w:rsidRDefault="008E05AA" w:rsidP="008E05AA">
      <w:pPr>
        <w:jc w:val="both"/>
      </w:pPr>
      <w:r>
        <w:rPr>
          <w:szCs w:val="22"/>
        </w:rPr>
        <w:lastRenderedPageBreak/>
        <w:t>3.1. teikti gydymo paslaugas vadovaujantis sveikatos apsaugos ministro 2002 m. gegužės 3 d. įsakymu Nr. 204 „Dėl priklausomybės ligų gydymo ir reabilitacijos standartų patvirtinimo“:</w:t>
      </w:r>
    </w:p>
    <w:p w:rsidR="008E05AA" w:rsidRDefault="008E05AA" w:rsidP="008E05AA">
      <w:pPr>
        <w:jc w:val="both"/>
      </w:pPr>
      <w:r>
        <w:rPr>
          <w:szCs w:val="22"/>
        </w:rPr>
        <w:t>3.1.1. taikyti individualius bei grupinius psichoterapijos gydymo metodus, formuojant kritišką požiūrį į savo ligą, bei taikyti psichologinius socialinius ir mokomuosius metodus, į gydymo procesą įtraukiant pacientų šeimos narius;</w:t>
      </w:r>
    </w:p>
    <w:p w:rsidR="008E05AA" w:rsidRDefault="008E05AA" w:rsidP="008E05AA">
      <w:pPr>
        <w:jc w:val="both"/>
      </w:pPr>
      <w:r>
        <w:rPr>
          <w:szCs w:val="22"/>
        </w:rPr>
        <w:t>3.2. atlikti infekcinių ligų, žmogaus imunodeficito viruso (ŽIV), tuberkuliozės, virusinių hepatitų diagnostiką tarp asmenų, vartojančių narkotines medžiagas.</w:t>
      </w:r>
    </w:p>
    <w:p w:rsidR="008E05AA" w:rsidRDefault="008E05AA" w:rsidP="008E05AA">
      <w:pPr>
        <w:ind w:firstLine="720"/>
        <w:jc w:val="both"/>
      </w:pPr>
      <w:r>
        <w:rPr>
          <w:szCs w:val="22"/>
        </w:rPr>
        <w:t>Be to, numatyta, kad siekiant pagerinti paslaugų teikimo kokybę ir teikimo sąlygas, plėtoti priklausomybės ligų centrų infrastruktūrą.</w:t>
      </w:r>
    </w:p>
    <w:p w:rsidR="008E05AA" w:rsidRDefault="008E05AA" w:rsidP="008E05AA">
      <w:pPr>
        <w:jc w:val="both"/>
      </w:pPr>
      <w:r>
        <w:rPr>
          <w:szCs w:val="22"/>
        </w:rPr>
        <w:t xml:space="preserve"> </w:t>
      </w:r>
      <w:r>
        <w:rPr>
          <w:szCs w:val="22"/>
        </w:rPr>
        <w:tab/>
        <w:t>Sveikatos apsaugos ministerija numatė, kad PSDF biudžete skirtos lėšos Programai finansuoti paskirstomos teritorinėms ligonių kasoms (toliau – TLK), atsižvelgiant į statistinį jų veiklos zonoje esančių gyventojų skaičių. TLK kas ketvirtį gautas lėšas skiria priklausomybės ligų centrams, kontroliuoja jų panaudojimą ir vertina ataskaitas pagal suformuluotus uždavinius.</w:t>
      </w:r>
    </w:p>
    <w:p w:rsidR="008E05AA" w:rsidRDefault="008E05AA" w:rsidP="008E05AA">
      <w:pPr>
        <w:jc w:val="both"/>
        <w:rPr>
          <w:bCs/>
        </w:rPr>
      </w:pPr>
      <w:r>
        <w:rPr>
          <w:bCs/>
        </w:rPr>
        <w:tab/>
      </w:r>
    </w:p>
    <w:p w:rsidR="008E05AA" w:rsidRDefault="008E05AA" w:rsidP="008E05AA">
      <w:pPr>
        <w:ind w:firstLine="720"/>
        <w:jc w:val="both"/>
      </w:pPr>
      <w:r>
        <w:rPr>
          <w:bCs/>
        </w:rPr>
        <w:t xml:space="preserve">2006 metais Lietuvos Respublikos Vyriausybė Programos priemonės 25.2 punktui – sukurti </w:t>
      </w:r>
      <w:r>
        <w:t xml:space="preserve">bendrą narkomanijos ankstyvos diagnostikos, gydymo, reabilitacijos ir reintegracijos į visuomenę sistemą siekiant padėti asmenims, priklausomiems nuo narkotikų numatytos šios priemonės ir skirtos lėšos: </w:t>
      </w:r>
    </w:p>
    <w:p w:rsidR="008E05AA" w:rsidRDefault="008E05AA" w:rsidP="008E05AA">
      <w:pPr>
        <w:ind w:firstLine="720"/>
        <w:jc w:val="both"/>
      </w:pPr>
      <w:r>
        <w:t xml:space="preserve"> gerinti priklausomybės ligų gydymo metodus, paslaugų kokybę ir prieinamumą  - plėsti teikiamas paslaugas (Sveikatos apsaugos ministerijai skirta 300 tūkst. litų; Kauno apskrities viršininkui - 1858,1 tūkst. litų; Panevėžio apskrities viršininkui 1269 tūkst. litų; Šiaulių apskrities viršininkui 575 tūkst. litų; Klaipėdos apskrities viršininkui 2183,8 tūkst. litų);</w:t>
      </w:r>
    </w:p>
    <w:p w:rsidR="008E05AA" w:rsidRDefault="008E05AA" w:rsidP="008E05AA">
      <w:pPr>
        <w:ind w:firstLine="720"/>
        <w:jc w:val="both"/>
      </w:pPr>
      <w:r>
        <w:t>plėtoti psichologinės ir socialinės reabilitacijos paslaugas asmenims, nukentėjusiems nuo narkotinių ir psichotropinių medžiagų vartojimo, – organizuoti projektų konkursus ir skirti lėšų konkursus laimėjusiems projektams įgyvendinti, gerinti teikiamų paslaugų prieinamumą  (Narkotikų kontrolės departamentui prie Lietuvos Respublikos Vyriausybės skirta 780 tūkst. litų);</w:t>
      </w:r>
    </w:p>
    <w:p w:rsidR="008E05AA" w:rsidRDefault="008E05AA" w:rsidP="008E05AA">
      <w:pPr>
        <w:ind w:firstLine="720"/>
        <w:jc w:val="both"/>
      </w:pPr>
      <w:r>
        <w:t xml:space="preserve">gerinti vaikams, vartojantiems psichiką veikiančias medžiagas, medicininės, psichologinės, socialinės reabilitacijos paslaugų prieinamumą; gerinti vaikams, vartojantiems psichiką veikiančias medžiagas, medicininės, psichologinės, socialinės reabilitacijos paslaugų prieinamumą  (Narkotikų kontrolės departamentui prie Lietuvos Respublikos Vyriausybės skirta 180 tūkst. litų); </w:t>
      </w:r>
    </w:p>
    <w:p w:rsidR="008E05AA" w:rsidRPr="00F05F24" w:rsidRDefault="008E05AA" w:rsidP="008E05AA">
      <w:pPr>
        <w:ind w:firstLine="720"/>
        <w:jc w:val="both"/>
        <w:rPr>
          <w:bCs/>
        </w:rPr>
      </w:pPr>
      <w:r>
        <w:t xml:space="preserve">analizuoti psichologinės ir socialinės reabilitacijos paslaugų prieinamumą ir kokybę priklausomiems nuo narkotinių ir psichotropinių medžiagų asmenims ir inicijuoti reikiamų teisės aktų projektų rengimą; organizuoti ir įgyvendinti nepilnamečių kardomojo kalinimo ir pataisos įstaigose narkomanijos prevencijos priemones, patvirtintas sveikatos apsaugos ministro 2004 m. gruodžio 23 d. įsakymu Nr. V-946 </w:t>
      </w:r>
      <w:r w:rsidRPr="00F05F24">
        <w:t>„</w:t>
      </w:r>
      <w:hyperlink r:id="rId65" w:tgtFrame="FTurinys" w:history="1">
        <w:r w:rsidRPr="00F05F24">
          <w:rPr>
            <w:rStyle w:val="Hipersaitas"/>
          </w:rPr>
          <w:t>Dėl narkomanijos prevencijos priemonių, organizuojamų ir įgyvendinamų nepilnamečių kardomojo kalinimo ir pataisos įstaigoje, sąrašo patvirtinimo</w:t>
        </w:r>
      </w:hyperlink>
      <w:r w:rsidRPr="00F05F24">
        <w:t xml:space="preserve">“ (lėšos neskirtos). </w:t>
      </w:r>
    </w:p>
    <w:p w:rsidR="008E05AA" w:rsidRDefault="008E05AA" w:rsidP="008E05AA">
      <w:pPr>
        <w:ind w:firstLine="720"/>
        <w:jc w:val="both"/>
      </w:pPr>
      <w:r>
        <w:rPr>
          <w:bCs/>
        </w:rPr>
        <w:t>2006 metais Lietuvos Respublikos Vyriausybė Programos priemonės 25.5 punktui - s</w:t>
      </w:r>
      <w:r>
        <w:t>umažinti dėl narkotikų vartojimo kylančių infekcinių ligų ir mirčių numatytos šios  priemonės ir skirtos lėšos:</w:t>
      </w:r>
    </w:p>
    <w:p w:rsidR="008E05AA" w:rsidRDefault="008E05AA" w:rsidP="008E05AA">
      <w:pPr>
        <w:ind w:firstLine="720"/>
        <w:jc w:val="both"/>
      </w:pPr>
      <w:r>
        <w:t xml:space="preserve">- parengti vadinamųjų gatvės darbuotojų rengimo metodines priemones, siekiant užtikrinti informacijos apie galimybes gauti medicinines-socialines paslaugas padidintos rizikos grupės asmenims, vartojantiems narkotines ar psichotropines medžiagas, sklaidą (Narkotikų kontrolės departamentui prie Lietuvos Respublikos Vyriausybės skirta 10 tūkst. litų); </w:t>
      </w:r>
    </w:p>
    <w:p w:rsidR="008E05AA" w:rsidRDefault="008E05AA" w:rsidP="008E05AA">
      <w:pPr>
        <w:ind w:firstLine="720"/>
        <w:jc w:val="both"/>
        <w:rPr>
          <w:lang w:val="en-US"/>
        </w:rPr>
      </w:pPr>
      <w:r>
        <w:t xml:space="preserve">- atlikti pakaitinio gydymo ir žalos mažinimo priemonių stebėseną (Sveikatos apsaugos ministerijai skirta 35 tūkst. litų , vykdytojams - Kauno apskrities viršininkui, Panevėžio apskrities viršininkui, Šiaulių apskrities viršininkui, Klaipėdos apskrities viršininkui, savivaldybėms lėšos neskirtos); - aprūpinti 8 laisvės atėmimo įstaigas elektrochemiškai aktyvuotų plaunančiųjų, dezinfekuojančiųjų tirpalų gamybos įrenginiais, siekiant stabdyti infekcinių ligų plitimą tarp intraveninius narkotikus vartojančių asmenų (Kalėjimų departamentui prie Teisingumo ministerijos skirta </w:t>
      </w:r>
      <w:r>
        <w:rPr>
          <w:lang w:val="en-US"/>
        </w:rPr>
        <w:t>37 tūkst. Litų);</w:t>
      </w:r>
    </w:p>
    <w:p w:rsidR="008E05AA" w:rsidRDefault="008E05AA" w:rsidP="008E05AA">
      <w:pPr>
        <w:ind w:firstLine="720"/>
        <w:jc w:val="both"/>
      </w:pPr>
      <w:r>
        <w:t xml:space="preserve">- apsvarstyti psichikos sveikatos centrų galimybes įgyvendinti vadinamąsias žemo slenksčio priemones, skirtas narkomanija sergantiems asmenims vykdytojai -Sveikatos apsaugos ministerija, </w:t>
      </w:r>
    </w:p>
    <w:p w:rsidR="008E05AA" w:rsidRDefault="008E05AA" w:rsidP="008E05AA">
      <w:pPr>
        <w:jc w:val="both"/>
      </w:pPr>
      <w:r>
        <w:t>Narkotikų kontrolės departamentas prie Lietuvos Respublikos Vyriausybės, savivaldybės)</w:t>
      </w:r>
    </w:p>
    <w:p w:rsidR="008E05AA" w:rsidRDefault="008E05AA" w:rsidP="008E05AA">
      <w:pPr>
        <w:ind w:firstLine="720"/>
        <w:jc w:val="both"/>
      </w:pPr>
      <w:r w:rsidRPr="00D168B0">
        <w:rPr>
          <w:bCs/>
        </w:rPr>
        <w:t>ESAMA BŪKLĖ</w:t>
      </w:r>
      <w:r w:rsidRPr="00D168B0">
        <w:t xml:space="preserve"> </w:t>
      </w:r>
    </w:p>
    <w:p w:rsidR="008E05AA" w:rsidRDefault="008E05AA" w:rsidP="008E05AA">
      <w:pPr>
        <w:ind w:firstLine="720"/>
        <w:jc w:val="both"/>
      </w:pPr>
      <w:r>
        <w:t xml:space="preserve">Valstybinio psichikos sveikatos centro duomenimis 2004 m. gruodžio 31 dieną sveikatos priežiūros įstaigose viso buvo užregistruoti 68  653  asmenys sergantys priklausomybės ligomis, iš jų  5011  asmenys, sergantys priklausomybe narkotinėms  psichotropinėms medžiagoms. </w:t>
      </w:r>
    </w:p>
    <w:p w:rsidR="008E05AA" w:rsidRDefault="008E05AA" w:rsidP="008E05AA">
      <w:pPr>
        <w:jc w:val="both"/>
      </w:pPr>
      <w:r>
        <w:lastRenderedPageBreak/>
        <w:t>Dėl priklausomybės nuo alkoholio į asmens sveikatos priežiūros įstaigų medikus pagalbos 2001 metais kreipėsi  63  752  pacientai, 2002 metais  -  63 489  pacientai, 2003 metais  - 61  930 pacientų ( tarp jų trys iki 18 metų amžiaus).</w:t>
      </w:r>
    </w:p>
    <w:p w:rsidR="008E05AA" w:rsidRDefault="008E05AA" w:rsidP="008E05AA">
      <w:pPr>
        <w:jc w:val="both"/>
      </w:pPr>
      <w:r>
        <w:t>2004 m. nepilnamečiai sudarė 14,3 procento bendro nusikaltimus padariusių asmenų skaičiaus. 2002 metais iš visų nusikaltimų padarymu kaltinamų asmenų 13,7 procento  buvo nepilnamečiai.</w:t>
      </w:r>
    </w:p>
    <w:p w:rsidR="008E05AA" w:rsidRDefault="008E05AA" w:rsidP="008E05AA">
      <w:pPr>
        <w:jc w:val="both"/>
      </w:pPr>
    </w:p>
    <w:p w:rsidR="008E05AA" w:rsidRDefault="008E05AA" w:rsidP="008E05AA">
      <w:pPr>
        <w:jc w:val="both"/>
      </w:pPr>
      <w:r>
        <w:t xml:space="preserve">2004 m. sveikatos priežiūros įstaigose tarp visų registruotų (besigydančių), sergančių priklausomybe nuo narkotinių ir psichotropinių medžiagų asmenų, 4/5 sudarė vyrai, 1/5 moterys. Tarp registruotų asmenų 2159 asmenys arba 43 procentai visų stebimų asmenų buvo teisti. </w:t>
      </w:r>
    </w:p>
    <w:p w:rsidR="008E05AA" w:rsidRDefault="008E05AA" w:rsidP="008E05AA">
      <w:pPr>
        <w:jc w:val="both"/>
      </w:pPr>
      <w:r>
        <w:t>Gausėja II sveikatos grupės (rizikos grupės) mokinių. Pvz., 1992 m. jų buvo 36,9 procento, 2002 m.- 49,2 procento.</w:t>
      </w:r>
    </w:p>
    <w:p w:rsidR="008E05AA" w:rsidRDefault="008E05AA" w:rsidP="008E05AA">
      <w:pPr>
        <w:jc w:val="both"/>
      </w:pPr>
      <w:r>
        <w:t xml:space="preserve">Statistikos departamento prie Lietuvos Respublikos Vyriausybės duomenimis, 2001 m. mokyklos nelankė   5256 vaikai. Tai sudaro 1,1 procento visų vaikų. </w:t>
      </w:r>
    </w:p>
    <w:p w:rsidR="008E05AA" w:rsidRDefault="008E05AA" w:rsidP="008E05AA">
      <w:pPr>
        <w:jc w:val="both"/>
      </w:pPr>
      <w:r>
        <w:t>Savivaldybių duomenimis, 1998 m. mokyklos nelankė (ją metė) 1500, 2001 m.- 684,      2003 m. -572 vaikai iki 16 metų.</w:t>
      </w:r>
    </w:p>
    <w:p w:rsidR="008E05AA" w:rsidRDefault="008E05AA" w:rsidP="008E05AA">
      <w:pPr>
        <w:jc w:val="both"/>
      </w:pPr>
      <w:r w:rsidRPr="00F05F24">
        <w:t>Kasmet gausėja socialinės atskirties šeimų, kartu - socialiai bei pedagogiškai apleistų vaikų.</w:t>
      </w:r>
      <w:r>
        <w:t xml:space="preserve"> Savivaldybių vaiko teisių apsaugos tarnybų duomenimis, 2001 m., palyginti su 1995 m., tokių šeimų pagausėjo 1,9 karto. 2001 m. jose augo 40 276 vaikai.</w:t>
      </w:r>
    </w:p>
    <w:p w:rsidR="008E05AA" w:rsidRPr="00F05F24" w:rsidRDefault="008E05AA" w:rsidP="008E05AA">
      <w:pPr>
        <w:jc w:val="both"/>
      </w:pPr>
      <w:r w:rsidRPr="00F05F24">
        <w:t>Per 2004 m. į vaiko teisių apsaugos institucijos įskaitą įtrauktos 1964  socialinės rizikos šeimos ir iki 2005 m. vasario 25 d. iš viso tokių šeimų yra 16 869.</w:t>
      </w:r>
    </w:p>
    <w:p w:rsidR="008E05AA" w:rsidRPr="00F05F24" w:rsidRDefault="008E05AA" w:rsidP="008E05AA">
      <w:pPr>
        <w:jc w:val="both"/>
      </w:pPr>
      <w:r w:rsidRPr="00F05F24">
        <w:t>Socialinės rizikos šeimose auga 36 895 vaikai, iš jų: iki 3 metų amžiaus -  5866, nuo 4 iki 6 metų amžiaus - 6619 vaikai, nuo 7 iki 17 metų amžiaus - 24 410 vaikų.</w:t>
      </w:r>
    </w:p>
    <w:p w:rsidR="008E05AA" w:rsidRPr="00F05F24" w:rsidRDefault="008E05AA" w:rsidP="008E05AA">
      <w:pPr>
        <w:jc w:val="both"/>
      </w:pPr>
      <w:r w:rsidRPr="00F05F24">
        <w:t>Iš socialinės rizikos grupės šeimų dėl girtavimo, psichotropinių medžiagų vartojimo į įskaitą pateko 12 466 šeimos, kuriose yra 27 079 vaikai. Iš jų: iki 3 m. - 4 142 vaikai, nuo 4 iki 6 m. -5233 vaikai, nuo 7 metų amžiaus iki 17 m. yra 17 704 vaikai.</w:t>
      </w:r>
    </w:p>
    <w:p w:rsidR="008E05AA" w:rsidRPr="00F05F24" w:rsidRDefault="008E05AA" w:rsidP="008E05AA">
      <w:pPr>
        <w:jc w:val="both"/>
      </w:pPr>
      <w:r w:rsidRPr="00F05F24">
        <w:t xml:space="preserve">Policijos departamento prie Vidaus reikalų ministerijos duomenimis  2005 m. per 9 mėn. nepilnamečiai padarė 3500 nusikalstamų veikų (200 veikų mažėjimas). </w:t>
      </w:r>
    </w:p>
    <w:p w:rsidR="008E05AA" w:rsidRDefault="008E05AA" w:rsidP="008E05AA">
      <w:pPr>
        <w:jc w:val="both"/>
      </w:pPr>
      <w:r>
        <w:t xml:space="preserve">Sunkūs ir labai sunkūs nusikaltimai sudaro apie 6 proc. nuo visų ištirtų nusikalstamų veikų. </w:t>
      </w:r>
    </w:p>
    <w:p w:rsidR="008E05AA" w:rsidRDefault="008E05AA" w:rsidP="008E05AA">
      <w:pPr>
        <w:jc w:val="both"/>
      </w:pPr>
      <w:r>
        <w:tab/>
        <w:t xml:space="preserve">Stebima pavojinga  tendencija, kad  daugėja nepilnamečių nusikalstamų veikų susijusių su neteisėtu disponavimu narkotinėmis ir psichotropinėmis medžiagomis. </w:t>
      </w:r>
    </w:p>
    <w:p w:rsidR="008E05AA" w:rsidRDefault="008E05AA" w:rsidP="008E05AA">
      <w:pPr>
        <w:jc w:val="both"/>
      </w:pPr>
      <w:r>
        <w:t xml:space="preserve">2005 m. į policijos įstaigas  pristatyti 4500 nepilnamečiai (2004 metais per 8000). </w:t>
      </w:r>
    </w:p>
    <w:p w:rsidR="008E05AA" w:rsidRDefault="008E05AA" w:rsidP="008E05AA">
      <w:pPr>
        <w:jc w:val="both"/>
      </w:pPr>
      <w:r>
        <w:t xml:space="preserve">Policijos profilaktinėje įskaitoje yra 183 nepilnamečiai. Policiją dominančių vaikų sąraše  per </w:t>
      </w:r>
      <w:r w:rsidRPr="00F05F24">
        <w:t xml:space="preserve">4300 </w:t>
      </w:r>
      <w:r>
        <w:t xml:space="preserve">nepilnamečių. </w:t>
      </w:r>
    </w:p>
    <w:p w:rsidR="008E05AA" w:rsidRDefault="008E05AA" w:rsidP="008E05AA">
      <w:pPr>
        <w:jc w:val="both"/>
      </w:pPr>
    </w:p>
    <w:p w:rsidR="008E05AA" w:rsidRPr="00D168B0" w:rsidRDefault="008E05AA" w:rsidP="008E05AA">
      <w:pPr>
        <w:jc w:val="both"/>
      </w:pPr>
      <w:r w:rsidRPr="00D168B0">
        <w:t>2004 m.</w:t>
      </w:r>
      <w:r>
        <w:rPr>
          <w:b/>
        </w:rPr>
        <w:t xml:space="preserve"> </w:t>
      </w:r>
      <w:r>
        <w:t xml:space="preserve">pirminei narkomanijos prevencijai tarp vaikų ir jaunimo  skirta  tik 3 mln. 10 tūkst. litų , arba  </w:t>
      </w:r>
      <w:r w:rsidRPr="00D168B0">
        <w:t>27 procentai;</w:t>
      </w:r>
    </w:p>
    <w:p w:rsidR="008E05AA" w:rsidRPr="00D168B0" w:rsidRDefault="008E05AA" w:rsidP="008E05AA">
      <w:pPr>
        <w:jc w:val="both"/>
      </w:pPr>
      <w:r>
        <w:t xml:space="preserve">  -neteisėtos narkotinių ir psichotropinių medžiagų pasiūlos mažinimui skirta  tik 650 tūkst. litų arba </w:t>
      </w:r>
      <w:r w:rsidRPr="00D168B0">
        <w:t xml:space="preserve">6 procentai; </w:t>
      </w:r>
    </w:p>
    <w:p w:rsidR="008E05AA" w:rsidRPr="00D168B0" w:rsidRDefault="008E05AA" w:rsidP="008E05AA">
      <w:pPr>
        <w:jc w:val="both"/>
      </w:pPr>
      <w:r>
        <w:t xml:space="preserve">  -asmenų, vartojančių narkotines ir psichotropines medžiagas, sveikatos priežiūrai, reabilitacijai ir socialinei reintegracijai skirta net 7 mln. 431 tūkst. litų (Priklausomybės ligų centrams ir Socialinės apsaugos ir darbo ministerijai) arba </w:t>
      </w:r>
      <w:r w:rsidRPr="00D168B0">
        <w:t>63 procentai;</w:t>
      </w:r>
    </w:p>
    <w:p w:rsidR="008E05AA" w:rsidRDefault="008E05AA" w:rsidP="008E05AA">
      <w:pPr>
        <w:jc w:val="both"/>
      </w:pPr>
      <w:r>
        <w:t xml:space="preserve">  -moksliniams tyrimams ir informacinės sistemos plėtrai skyrė  446 tūkst. litų arba </w:t>
      </w:r>
      <w:r w:rsidRPr="00D168B0">
        <w:t>4 procentus,</w:t>
      </w:r>
      <w:r>
        <w:rPr>
          <w:b/>
        </w:rPr>
        <w:t xml:space="preserve"> </w:t>
      </w:r>
      <w:r>
        <w:t>bet tai - ne  moksliniams tyrimams.</w:t>
      </w:r>
    </w:p>
    <w:p w:rsidR="008E05AA" w:rsidRDefault="008E05AA" w:rsidP="008E05AA">
      <w:pPr>
        <w:jc w:val="both"/>
        <w:rPr>
          <w:b/>
        </w:rPr>
      </w:pPr>
    </w:p>
    <w:p w:rsidR="008E05AA" w:rsidRPr="00D168B0" w:rsidRDefault="008E05AA" w:rsidP="008E05AA">
      <w:pPr>
        <w:jc w:val="both"/>
      </w:pPr>
      <w:r>
        <w:t xml:space="preserve">Be to, Lietuvos Respublikos Vyriausybė 2004 m. Programos uždaviniui - plėtoti objektyvios narkomanijos prevencijos bei narkotikų kontrolės informacijos rinkimo ir analizės sistemą, atitinkančią Europos Sąjungos reikalavimus (Programos 26.5 punktas) vykdyti skyrė  </w:t>
      </w:r>
      <w:r w:rsidRPr="00D168B0">
        <w:t>446 tūkst. litų.</w:t>
      </w:r>
    </w:p>
    <w:p w:rsidR="008E05AA" w:rsidRDefault="008E05AA" w:rsidP="008E05AA">
      <w:pPr>
        <w:jc w:val="both"/>
      </w:pPr>
      <w:r>
        <w:t>Iš jų priemonėms:</w:t>
      </w:r>
    </w:p>
    <w:p w:rsidR="008E05AA" w:rsidRDefault="008E05AA" w:rsidP="008E05AA">
      <w:pPr>
        <w:jc w:val="both"/>
      </w:pPr>
      <w:r>
        <w:t xml:space="preserve"> - parengti ir įgyvendinti medicinos specialistų, socialinių darbuotojų, pedagogų, psichologų mokymo programas ( skyrė 226 tūkst. litų Švietimo ir mokslo ministerijai ir  Sveikatos apsaugos ministerijai, 10 tūkst. litų Socialinės apsaugos ir darbo ministerijai); </w:t>
      </w:r>
    </w:p>
    <w:p w:rsidR="008E05AA" w:rsidRPr="00D168B0" w:rsidRDefault="008E05AA" w:rsidP="008E05AA">
      <w:pPr>
        <w:jc w:val="both"/>
      </w:pPr>
      <w:r>
        <w:t>Lietuvos Respublikos Vyriausybė Programos įgyvendinimo 2004 m. priemones numatė,</w:t>
      </w:r>
      <w:r>
        <w:rPr>
          <w:b/>
        </w:rPr>
        <w:t xml:space="preserve"> </w:t>
      </w:r>
      <w:r>
        <w:t xml:space="preserve">bet </w:t>
      </w:r>
      <w:r w:rsidRPr="00F05F24">
        <w:t>lėšų vykdytojams neskyrė</w:t>
      </w:r>
      <w:r>
        <w:t xml:space="preserve">  svarbiausiems </w:t>
      </w:r>
      <w:r w:rsidRPr="00D168B0">
        <w:t>Programos   26.8 - 26.9 punktuose numatytiems  uždaviniam vykdyti:</w:t>
      </w:r>
    </w:p>
    <w:p w:rsidR="008E05AA" w:rsidRDefault="008E05AA" w:rsidP="008E05AA">
      <w:pPr>
        <w:jc w:val="both"/>
      </w:pPr>
      <w:r>
        <w:t>1.Užtikrinti valstybės institucijų, vykdančių narkomanijos prevenciją bei narkotikų kontrolę, efektyvų valdymą, kontrolę bei tarpusavio veiksmų koordinavimą (Programos 26.8 p.);</w:t>
      </w:r>
    </w:p>
    <w:p w:rsidR="008E05AA" w:rsidRDefault="008E05AA" w:rsidP="008E05AA">
      <w:pPr>
        <w:jc w:val="both"/>
      </w:pPr>
      <w:r>
        <w:lastRenderedPageBreak/>
        <w:t xml:space="preserve"> </w:t>
      </w:r>
      <w:r>
        <w:tab/>
        <w:t>2.Sudaryti sąlygas narkomanija sergantiems asmenims baudžiamąją atsakomybę už nesunkius nusikaltimus pakeisti alternatyviomis gydymo programomis (Programos 26.9 p.).</w:t>
      </w:r>
    </w:p>
    <w:p w:rsidR="008E05AA" w:rsidRPr="00D168B0" w:rsidRDefault="008E05AA" w:rsidP="008E05AA">
      <w:pPr>
        <w:jc w:val="both"/>
      </w:pPr>
      <w:r w:rsidRPr="00D168B0">
        <w:t>Lietuvos Respublikos Vyriausybė 2005 m. pirminei narkomanijos prevencijai  tarp vaikų ir jaunimo  skyrė iš viso 1 mln. 74 tūkst. Litų arba 8 procentai;</w:t>
      </w:r>
    </w:p>
    <w:p w:rsidR="008E05AA" w:rsidRDefault="008E05AA" w:rsidP="008E05AA">
      <w:pPr>
        <w:jc w:val="both"/>
      </w:pPr>
      <w:r>
        <w:t xml:space="preserve"> </w:t>
      </w:r>
      <w:r>
        <w:tab/>
        <w:t xml:space="preserve"> -Policijos departamentui prie Vidaus reikalų ministerijos neteisėtam narkotinių ir psichotropinių medžiagų pasiūlos mažinimui skirta 680 tūkst. litų arba </w:t>
      </w:r>
      <w:r w:rsidRPr="00D168B0">
        <w:t>5, 5 procento</w:t>
      </w:r>
      <w:r>
        <w:t xml:space="preserve">  Programos finansavimui skirtų lėšų;</w:t>
      </w:r>
    </w:p>
    <w:p w:rsidR="008E05AA" w:rsidRPr="00D168B0" w:rsidRDefault="008E05AA" w:rsidP="008E05AA">
      <w:pPr>
        <w:jc w:val="both"/>
      </w:pPr>
      <w:r>
        <w:t xml:space="preserve">- gerinti veikiančių priklausomybės ligų centrų veiklą, didinti ambulatorinių ir stacionarių paslaugų prieinamumą vaikams ir paaugliams skirta 7 836,3 tūkst. litų (Priklausomybės ligų centrams) arba net </w:t>
      </w:r>
      <w:r w:rsidRPr="00D168B0">
        <w:t>58 procentai;</w:t>
      </w:r>
    </w:p>
    <w:p w:rsidR="008E05AA" w:rsidRDefault="008E05AA" w:rsidP="008E05AA">
      <w:pPr>
        <w:jc w:val="both"/>
      </w:pPr>
      <w:r>
        <w:t xml:space="preserve">- Narkotikų kontrolės departamentui prie Lietuvos Respublikos Vyriausybės administraciniams gebėjimams gerinti skirti 1421 tūkst. litų, arba </w:t>
      </w:r>
      <w:r w:rsidRPr="00D168B0">
        <w:t>8,3 procento;</w:t>
      </w:r>
      <w:r>
        <w:t xml:space="preserve">  Socialinės apsaugos ir darbo ministerijai skirti 720 tūkst. litų, arba </w:t>
      </w:r>
      <w:r w:rsidRPr="00D168B0">
        <w:t>5,9 procentai</w:t>
      </w:r>
      <w:r>
        <w:rPr>
          <w:b/>
        </w:rPr>
        <w:t xml:space="preserve">  </w:t>
      </w:r>
      <w:r>
        <w:t xml:space="preserve">ir kt. </w:t>
      </w:r>
    </w:p>
    <w:p w:rsidR="008E05AA" w:rsidRDefault="008E05AA" w:rsidP="008E05AA">
      <w:pPr>
        <w:jc w:val="both"/>
      </w:pPr>
      <w:r>
        <w:t xml:space="preserve">    -moksliniams tyrimams ir informacinės sistemos plėtrai skirti 345 tūkst. litų arba </w:t>
      </w:r>
      <w:r w:rsidRPr="00D168B0">
        <w:rPr>
          <w:bCs/>
        </w:rPr>
        <w:t>2,9 procento</w:t>
      </w:r>
      <w:r w:rsidRPr="00D168B0">
        <w:t>.</w:t>
      </w:r>
    </w:p>
    <w:p w:rsidR="008E05AA" w:rsidRDefault="008E05AA" w:rsidP="008E05AA">
      <w:pPr>
        <w:ind w:firstLine="1296"/>
        <w:jc w:val="both"/>
      </w:pPr>
      <w:r w:rsidRPr="00D168B0">
        <w:t>Sveikatos apsaugos ministerijos duomenimis</w:t>
      </w:r>
      <w:r>
        <w:t>, 2004 metais  Priklausomybės ligų  centrams    (toliau-PLC) skirtos valstybės biudžeto lėšos Programos priemonių įgyvendinimui tik suaugusiems, lėšos teikti paslaugas vaikams nebuvo skirtos (išskyrus Kauno PLC- apie 32,0 tūkst.Lt).</w:t>
      </w:r>
    </w:p>
    <w:p w:rsidR="008E05AA" w:rsidRDefault="008E05AA" w:rsidP="008E05AA">
      <w:pPr>
        <w:ind w:firstLine="1296"/>
        <w:jc w:val="both"/>
      </w:pPr>
      <w:r>
        <w:t>Valstybės biudžeto lėšos įstaigų veiklai skirtos  per apskričių administracijas. Vilniaus PLC valstybės biudžeto lėšos įstaigos veiklai skirtos per savivaldybę.</w:t>
      </w:r>
    </w:p>
    <w:p w:rsidR="008E05AA" w:rsidRDefault="008E05AA" w:rsidP="008E05AA">
      <w:pPr>
        <w:ind w:firstLine="1296"/>
        <w:jc w:val="both"/>
      </w:pPr>
      <w:r>
        <w:t>Programos vykdymui PLC buvo skirtos papildomos lėšos ir iš Privalomojo sveikatos draudimo fondo (vaikams nebuvo skirtos, išskyrus Panevėžio PLC - vaikų ir paauglių gydytojo etato išlaikymui).</w:t>
      </w:r>
    </w:p>
    <w:p w:rsidR="008E05AA" w:rsidRDefault="008E05AA" w:rsidP="008E05AA">
      <w:pPr>
        <w:jc w:val="both"/>
      </w:pPr>
    </w:p>
    <w:p w:rsidR="008E05AA" w:rsidRDefault="008E05AA" w:rsidP="008E05AA">
      <w:pPr>
        <w:jc w:val="both"/>
      </w:pPr>
    </w:p>
    <w:p w:rsidR="008E05AA" w:rsidRPr="0003323C" w:rsidRDefault="008E05AA" w:rsidP="008E05AA">
      <w:pPr>
        <w:ind w:firstLine="720"/>
        <w:jc w:val="both"/>
        <w:rPr>
          <w:b/>
          <w:bCs/>
        </w:rPr>
      </w:pPr>
      <w:r w:rsidRPr="0003323C">
        <w:rPr>
          <w:b/>
        </w:rPr>
        <w:t xml:space="preserve">Seimo Narkomanijos prevencijos komisija priimtas 2008 m. birželio 27 d.  sprendimas  Nr.3.  </w:t>
      </w:r>
    </w:p>
    <w:p w:rsidR="008E05AA" w:rsidRDefault="008E05AA" w:rsidP="008E05AA">
      <w:pPr>
        <w:tabs>
          <w:tab w:val="center" w:pos="7088"/>
          <w:tab w:val="center" w:pos="8222"/>
          <w:tab w:val="center" w:pos="9072"/>
        </w:tabs>
        <w:ind w:right="283"/>
      </w:pPr>
      <w:r>
        <w:t xml:space="preserve">      </w:t>
      </w:r>
      <w:r>
        <w:tab/>
        <w:t xml:space="preserve">Lietuvos Respublikos Seimo Narkomanijos prevencijos komisija (toliau – Komisija) įvertinusi informaciją  dėl apsinuodijimų alkoholiu, narkotinėmis, psichotropinėmis ir kitomis nuodingosiomis medžiagomis, </w:t>
      </w:r>
      <w:r>
        <w:rPr>
          <w:b/>
          <w:bCs/>
        </w:rPr>
        <w:t>pažymi</w:t>
      </w:r>
      <w:r>
        <w:t>:</w:t>
      </w:r>
    </w:p>
    <w:p w:rsidR="008E05AA" w:rsidRDefault="008E05AA" w:rsidP="008E05AA">
      <w:pPr>
        <w:ind w:firstLine="720"/>
        <w:jc w:val="both"/>
      </w:pPr>
      <w:r>
        <w:t xml:space="preserve">1.Įgyvendindamas Nuodingųjų medžiagų kontrolės įstatymo (Žin., 2001, Nr. 64-2330) nuostatas Sveikatos apsaugos ministras </w:t>
      </w:r>
      <w:r>
        <w:rPr>
          <w:bCs/>
        </w:rPr>
        <w:t xml:space="preserve">2003 m. spalio 8 d. įsakymu Nr. V- 597 </w:t>
      </w:r>
      <w:r>
        <w:t>“Dėl informacijos, susijusios su žmonių apsinuodijimais ir jų specifine profilaktika , kaupimo ir teikimo” (Žin., 2001, Nr. 102-3641) įpareigojo asmens sveikatos priežiūros įstaigas teikti, o Valstybiniam aplinkos sveikatos centro Apsinuodijimų kontrolės ir informacijos biurui pavedė rinkti informaciją apie  cheminius nudegimus, apsinuodijimus narkotinėmis ir psichotropinėmis medžiagomis, vaistais ir biologinėmis medžiagomis, nemedicininės paskirties medžiagų toksinį poveikį, cheminio nudegimo ir apsinuodijimo padarinius ir kitomis  nuodingosiomis medžiagomis, įrašytomis į Nuodingųjų medžiagų pagal jų toksiškumą sąrašą, patvirtintą sveikatos apsaugos ministro 2004 m. gruodžio 30 d. Įsakymu Nr. V-975 “Dėl Nuodingųjų medžiagų pagal jų toksiškumą sąrašo patvirtinimo”.</w:t>
      </w:r>
    </w:p>
    <w:p w:rsidR="008E05AA" w:rsidRDefault="008E05AA" w:rsidP="008E05AA">
      <w:pPr>
        <w:ind w:firstLine="720"/>
        <w:jc w:val="both"/>
        <w:rPr>
          <w:bCs/>
        </w:rPr>
      </w:pPr>
      <w:r>
        <w:rPr>
          <w:bCs/>
        </w:rPr>
        <w:t xml:space="preserve">Vadovaujantis Sveikatos apsaugos ministro 2003 m. spalio 8 d. įsakymu Nr. V- 597 “Dėl informacijos, susijusios su žmonių apsinuodijimais ir jų specifine profilaktika , kaupimo ir teikimo” (Žin., 2003, Nr. 99-4459) bei šio įsakymo pakeitimo  2005 m. rugpjūčio 12 d. įsakymu Nr. V- 650 (Žin., 2005, Nr. 101-3762) renkama ir kaupiama </w:t>
      </w:r>
      <w:r>
        <w:t xml:space="preserve">Valstybiniame aplinkos sveikatos centro Apsinuodijimų kontrolės ir informacijos biure </w:t>
      </w:r>
      <w:r>
        <w:rPr>
          <w:bCs/>
        </w:rPr>
        <w:t>informacija tik apie  apsinuodijimus nuodingosiomis medžiagomis, įrašytomis į Nuodingųjų medžiagų pagal jų toksiškumą sąrašą, kuris  patvirtintas  Sveikatos apsaugos ministro 2004 m. gruodžio 30 d. įsakymu Nr. V-975 “Dėl Nuodingųjų medžiagų pagal jų toksiškumą sąrašo patvirtinimo” (V.Ž., 2005, Nr. 3-47) ir šie duomenys    neapima visų su priklausomybės ligomis susijusių apsinuodijimų atvejų.</w:t>
      </w:r>
    </w:p>
    <w:p w:rsidR="008E05AA" w:rsidRDefault="008E05AA" w:rsidP="008E05AA">
      <w:pPr>
        <w:ind w:firstLine="720"/>
        <w:jc w:val="both"/>
        <w:rPr>
          <w:bCs/>
        </w:rPr>
      </w:pPr>
      <w:r>
        <w:rPr>
          <w:i/>
          <w:iCs/>
        </w:rPr>
        <w:t xml:space="preserve">  </w:t>
      </w:r>
      <w:r>
        <w:rPr>
          <w:bCs/>
        </w:rPr>
        <w:t>Lietuvoje nėra informacijos apie visus apsinuodijimus alkoholiu, narkotinėmis, psichotropinėmis ir kitomis nuodingosiomis medžiagomis.</w:t>
      </w:r>
    </w:p>
    <w:p w:rsidR="008E05AA" w:rsidRDefault="008E05AA" w:rsidP="008E05AA">
      <w:pPr>
        <w:ind w:firstLine="720"/>
        <w:jc w:val="both"/>
      </w:pPr>
      <w:r>
        <w:t xml:space="preserve">2. Lietuvoje yra vaikų, piktnaudžiaujančių alkoholiu, narkotinėmis ir kitomis psichotropinėmis medžiagomis, kuriems būtinas gydymas ir  reabilitacija. </w:t>
      </w:r>
    </w:p>
    <w:p w:rsidR="008E05AA" w:rsidRDefault="008E05AA" w:rsidP="008E05AA">
      <w:pPr>
        <w:ind w:firstLine="720"/>
        <w:jc w:val="both"/>
      </w:pPr>
      <w:r>
        <w:t xml:space="preserve">Stacionarinėse Asmens sveikatos priežiūros įstaigose (toliau – ASPĮ) gydytų (daugiau nei 97 proc.) psichiką veikiančiomis medžiagomis piktnaudžiaujančių vaikų yra 13 – 18 metų amžiaus.  2007 metais Valstybinės ligonių kasos duomenimis  dviem vaikams, jaunesniems nei 10 m. amžiaus, </w:t>
      </w:r>
      <w:r>
        <w:lastRenderedPageBreak/>
        <w:t xml:space="preserve">stacionarines paslaugas teikiančiose ASPĮ buvo diagnozuota priklausomybė raminančioms medžiagoms ir alkoholiui. </w:t>
      </w:r>
    </w:p>
    <w:p w:rsidR="008E05AA" w:rsidRDefault="008E05AA" w:rsidP="008E05AA">
      <w:pPr>
        <w:ind w:firstLine="720"/>
        <w:jc w:val="both"/>
      </w:pPr>
      <w:r>
        <w:t>91 proc. vaikų, apsinuodijusių psichiką veikiančiomis medžiagomis, buvo sulaukę 13 metų. Dažniausiai asmenys iki 18 metų kreipėsi dėl apsinuodijimų  sintetiniais narkotikais, kanapėmis, ir haliucinogenais, 20 atvejų (35 proc.) teiktos reanimacijos paslaugos.</w:t>
      </w:r>
      <w:r>
        <w:rPr>
          <w:b/>
          <w:bCs/>
        </w:rPr>
        <w:t xml:space="preserve"> </w:t>
      </w:r>
    </w:p>
    <w:p w:rsidR="008E05AA" w:rsidRDefault="008E05AA" w:rsidP="008E05AA">
      <w:pPr>
        <w:ind w:firstLine="720"/>
        <w:jc w:val="both"/>
      </w:pPr>
      <w:r>
        <w:t>Analizuojant psichikos ir elgesio sutrikimų vartojant psichiką veikiančias medžiagas paplitimą nustatyta, kad 2007 m. stacionarines paslaugas teikiančiose ASPĮ dėl šių sutrikimų buvo gydyti 84 vaikai.</w:t>
      </w:r>
    </w:p>
    <w:p w:rsidR="008E05AA" w:rsidRDefault="008E05AA" w:rsidP="008E05AA">
      <w:pPr>
        <w:ind w:firstLine="720"/>
        <w:jc w:val="both"/>
      </w:pPr>
      <w:r>
        <w:t xml:space="preserve"> Būtina skubiai įvertinti gydymo ir reabilitacijos paslaugų prieinamumą vaikams, piktnaudžiaujantiems alkoholiu, narkotinėmis ar kitomis  psichotropinėmis medžiagomis. </w:t>
      </w:r>
    </w:p>
    <w:p w:rsidR="008E05AA" w:rsidRDefault="008E05AA" w:rsidP="008E05AA">
      <w:pPr>
        <w:ind w:firstLine="720"/>
        <w:jc w:val="both"/>
      </w:pPr>
      <w:r>
        <w:t>3. Bendras apsinuodijimų narkotikais ir haliucinogenais skaičius 2007 m. Lietuvoje išaugo 18 proc. Tarp visų narkotinėmis ir psichotropinėmis medžiagomis apsinuodijusių asmenų beveik 80 proc. buvo 15 – 34 m. amžiaus. 2007 m. analizuojant priklausomybę kitoms psichiką veikiančioms medžiagoms padaugėjo asmenų į asmens sveikatos priežiūros įstaigas besikreipusių tik dėl priklausomybės raminančioms (F13) ir lakioms (F18) medžiagoms.</w:t>
      </w:r>
    </w:p>
    <w:p w:rsidR="008E05AA" w:rsidRDefault="008E05AA" w:rsidP="008E05AA">
      <w:pPr>
        <w:jc w:val="both"/>
      </w:pPr>
      <w:r>
        <w:tab/>
        <w:t>4. 2007 m. daugiau nei pusei (58 proc.) dėl apsinuodijimo alkoholiais ligoninėse gydytų pacientams nebuvo identifikuota apsinuodijimą sukėlusi medžiaga (T51.9), t.y. juos gydę asmens sveikatos priežiūros specialistai neturėjo galimybės tiksliai nustatyti sveikatos sutrikimus sukėlusios alkoholio medžiagos. Panaši situaciją ir apsinuodijus narkotikais bei haliucinogenais. Tokia situacija sietina su keletu priežasčių: nepakankama informacija iš paciento ar jo artimųjų bei galimybių laboratoriškai identifikuoti alkoholio surogatus paciento kraujyje ar šlapime stoka. 2006 metais tokių atvejų buvo 273.</w:t>
      </w:r>
    </w:p>
    <w:p w:rsidR="008E05AA" w:rsidRDefault="008E05AA" w:rsidP="008E05AA">
      <w:pPr>
        <w:ind w:firstLine="720"/>
        <w:jc w:val="both"/>
      </w:pPr>
      <w:r>
        <w:t xml:space="preserve"> Kaip ir apsinuodijimų narkotikais, taip ir apsinuodijimų alkoholiais atveju apsinuodijimai šiomis medžiagomis vaikų tarpe yra ganėtinai dažni.</w:t>
      </w:r>
    </w:p>
    <w:p w:rsidR="008E05AA" w:rsidRDefault="008E05AA" w:rsidP="008E05AA">
      <w:pPr>
        <w:ind w:firstLine="720"/>
        <w:jc w:val="both"/>
      </w:pPr>
      <w:r>
        <w:t>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w:t>
      </w:r>
    </w:p>
    <w:p w:rsidR="008E05AA" w:rsidRPr="000A35E6" w:rsidRDefault="008E05AA" w:rsidP="008E05AA">
      <w:pPr>
        <w:pStyle w:val="Antrat1"/>
        <w:rPr>
          <w:b w:val="0"/>
        </w:rPr>
      </w:pPr>
      <w:r>
        <w:rPr>
          <w:b w:val="0"/>
        </w:rPr>
        <w:tab/>
        <w:t xml:space="preserve">              </w:t>
      </w:r>
      <w:r w:rsidRPr="000A35E6">
        <w:rPr>
          <w:b w:val="0"/>
        </w:rPr>
        <w:t>Būtina sudaryti sąlygas ir galimybes asmens sveikatos priežiūros specialistams laboratoriškai identifikuoti paciento kraujyje ar šlapime ir kitas apsinuodijimą sukėlusias   medžiagas, tuo tikslu sveikatos apsaugos sistemoje įkuriant laboratoriją.</w:t>
      </w:r>
    </w:p>
    <w:p w:rsidR="008E05AA" w:rsidRDefault="008E05AA" w:rsidP="008E05AA">
      <w:pPr>
        <w:jc w:val="both"/>
      </w:pPr>
      <w:r>
        <w:tab/>
        <w:t xml:space="preserve">5. 2007 m. į stacionarines ASPĮ  gydytis psichikos ir elgesio sutrikimus dėl žalingo psichiką veikiančių medžiagų vartojimo kreipėsi 10 019 asmenų. Tarp visų asmenų, piktnaudžiaujančių psichiką veikiančiomis medžiagomis, vyrai sudaro didesniąją dalį. </w:t>
      </w:r>
    </w:p>
    <w:p w:rsidR="008E05AA" w:rsidRDefault="008E05AA" w:rsidP="008E05AA">
      <w:pPr>
        <w:ind w:firstLine="720"/>
        <w:jc w:val="both"/>
      </w:pPr>
      <w:r>
        <w:t xml:space="preserve">Lyginant 3 metų statistinius duomenis, pastebimas gerokai padidėjęs užregistruotų apsinuodijimų kokainu skaičius ( 2004 m. – 6 atvejai, 2005 m. – 17 atvejų, 2006 m. – 40 atvejų), nedaug sumažėjo apsinuodijimų kanapėmis ( 2005 m. – 17 atvejų, 2006 m. – 9 atvejai) ir opiumu ( 2005 m. – 75 atvejai, 2006 m. – 55 atvejai).  </w:t>
      </w:r>
    </w:p>
    <w:p w:rsidR="008E05AA" w:rsidRDefault="008E05AA" w:rsidP="008E05AA">
      <w:pPr>
        <w:ind w:firstLine="720"/>
        <w:jc w:val="both"/>
      </w:pPr>
      <w:r>
        <w:t xml:space="preserve">2007 m. dėl priklausomybės į ASPĮ besikreipusių asmenų mirštamumas buvo mažesnis nei 1 proc., t.y. iš 9’955 hospitalizuotų dėl minėtos priežasties mirė 64 asmenys. </w:t>
      </w:r>
    </w:p>
    <w:p w:rsidR="008E05AA" w:rsidRDefault="008E05AA" w:rsidP="008E05AA">
      <w:pPr>
        <w:jc w:val="both"/>
      </w:pPr>
      <w:r>
        <w:tab/>
        <w:t>Kaip ir bendroje stacionarines paslaugas teikiančiose ASPĮ gydytų priklausomybe sergančių asmenų statistikoje, taip ir mirštamumo rodikliuose, dauguma nuo priklausomybės mirusiųjų yra vyriškos lyties darbingo  amžiaus asmenys.</w:t>
      </w:r>
    </w:p>
    <w:p w:rsidR="008E05AA" w:rsidRDefault="008E05AA" w:rsidP="008E05AA">
      <w:pPr>
        <w:pStyle w:val="Pagrindiniotekstotrauka2"/>
        <w:rPr>
          <w:b/>
          <w:bCs/>
        </w:rPr>
      </w:pPr>
      <w:r>
        <w:t xml:space="preserve">Lietuvos Respublikos Seimo Narkomanijos prevencijos komisija </w:t>
      </w:r>
      <w:r>
        <w:rPr>
          <w:b/>
          <w:bCs/>
        </w:rPr>
        <w:t xml:space="preserve">nusprendė: </w:t>
      </w:r>
    </w:p>
    <w:p w:rsidR="008E05AA" w:rsidRDefault="008E05AA" w:rsidP="008E05AA">
      <w:pPr>
        <w:pStyle w:val="Pagrindiniotekstotrauka2"/>
      </w:pPr>
      <w:r>
        <w:t>1. Siūlyti Lietuvos Respublikos Vyriausybei:</w:t>
      </w:r>
    </w:p>
    <w:p w:rsidR="008E05AA" w:rsidRDefault="008E05AA" w:rsidP="008E05AA">
      <w:pPr>
        <w:ind w:firstLine="720"/>
      </w:pPr>
      <w:r>
        <w:t xml:space="preserve">1.1. Sukurti Lietuvoje visoms institucijoms vieningą sistemą kaupti, identifikuoti ir sisteminti visus duomenis pagal statistinės apskaitos formas apie apsinuodijusių asmenų ir apsinuodijimų alkoholiu, narkotinėmis, psichotropinėmis ir kitomis nuodingomis medžiagomis, bei apie asmenų, </w:t>
      </w:r>
      <w:r>
        <w:lastRenderedPageBreak/>
        <w:t>priklausomų nuo alkoholio, narkotinių ir psichotropinių medžiagų, skaičių, įtraukiant į vieningą informacijos sistemą ir statistiką visose gydymo įstaigose ir anonimiškai gydomus asmenis.</w:t>
      </w:r>
    </w:p>
    <w:p w:rsidR="008E05AA" w:rsidRDefault="008E05AA" w:rsidP="008E05AA"/>
    <w:p w:rsidR="008E05AA" w:rsidRDefault="008E05AA" w:rsidP="008E05AA">
      <w:pPr>
        <w:ind w:firstLine="720"/>
      </w:pPr>
      <w:r>
        <w:t>1.2. Įpareigoti Sveikatos apsaugos ministeriją užtikrinti tinkamą aprūpinimą asmens sveikatos priežiūros ir gydymo įstaigų laboratorijas diagnostine aparatūra, kuri identifikuotų paciento kraujyje, šlapime apsinuodijimą sukeliančias medžiagas.</w:t>
      </w:r>
    </w:p>
    <w:p w:rsidR="008E05AA" w:rsidRDefault="008E05AA" w:rsidP="008E05AA"/>
    <w:p w:rsidR="008E05AA" w:rsidRDefault="008E05AA" w:rsidP="008E05AA">
      <w:pPr>
        <w:ind w:firstLine="720"/>
      </w:pPr>
      <w:r>
        <w:t>1.3. Iki š.m. rugsėjo 1 d. įvertinti situaciją, ar dabartiniu metu gydymo ir reabilitacijos paslaugų prieinamumas vaikams, piktnaudžiaujantiems alkoholiu, narkotinėmis ar kitomis psichotropinėmis medžiagomis atitinka šiandienos poreikius bei išanalizuoti, kiek  gydymo ir reabilitacijos vietų ar įstaigų reikės ateityje.</w:t>
      </w:r>
    </w:p>
    <w:p w:rsidR="008E05AA" w:rsidRDefault="008E05AA" w:rsidP="008E05AA"/>
    <w:p w:rsidR="008E05AA" w:rsidRDefault="008E05AA" w:rsidP="008E05AA">
      <w:pPr>
        <w:ind w:firstLine="720"/>
      </w:pPr>
      <w:r>
        <w:t>1.4. Įpareigoti Narkotikų kontrolės departamentą prie Lietuvos Respublikos Vyriausybės parengti ir įgyvendinti prevencinį projektą visuomenei ir ypač tėvams, teikiantį jiems išsamias žinias apie alkoholio, tabako, narkotinių ir psichotropinių medžiagų vartojimo riziką, pasekmes bei aktyviai įtraukiantį visuomenę ir ypač tėvus į narkomanijos prevencijos darbą</w:t>
      </w:r>
    </w:p>
    <w:p w:rsidR="008E05AA" w:rsidRDefault="008E05AA" w:rsidP="008E05AA"/>
    <w:p w:rsidR="008E05AA" w:rsidRDefault="008E05AA" w:rsidP="008E05AA">
      <w:pPr>
        <w:ind w:firstLine="720"/>
        <w:jc w:val="both"/>
      </w:pPr>
      <w:r>
        <w:t>2. Atkreipti Lietuvos Respublikos Vyriausybės dėmesį į tai, kad:</w:t>
      </w:r>
    </w:p>
    <w:p w:rsidR="008E05AA" w:rsidRDefault="008E05AA" w:rsidP="008E05AA">
      <w:pPr>
        <w:ind w:firstLine="720"/>
        <w:jc w:val="both"/>
      </w:pPr>
      <w:r>
        <w:t>- padidėjęs užregistruotų apsinuodijimų kokainu skaičius;</w:t>
      </w:r>
    </w:p>
    <w:p w:rsidR="008E05AA" w:rsidRDefault="008E05AA" w:rsidP="008E05AA">
      <w:pPr>
        <w:ind w:firstLine="720"/>
        <w:jc w:val="both"/>
      </w:pPr>
      <w:r>
        <w:t xml:space="preserve"> - asmenų, iki 18 m, amžiaus grupėje vyrauja apsinuodijimai neįvardintu narkotiku (T40), sintetiniais narkotikais (T40.4) bei nepatikslintomis narkotinėmis medžiagomis (T40.6);</w:t>
      </w:r>
    </w:p>
    <w:p w:rsidR="008E05AA" w:rsidRDefault="008E05AA" w:rsidP="008E05AA">
      <w:pPr>
        <w:ind w:firstLine="720"/>
        <w:jc w:val="both"/>
      </w:pPr>
      <w:r>
        <w:t>-  nuo priklausomybės mirusieji yra darbingo  amžiaus asmenys.</w:t>
      </w:r>
    </w:p>
    <w:p w:rsidR="008E05AA" w:rsidRDefault="008E05AA" w:rsidP="008E05AA">
      <w:pPr>
        <w:ind w:firstLine="720"/>
        <w:jc w:val="both"/>
      </w:pPr>
    </w:p>
    <w:p w:rsidR="008E05AA" w:rsidRDefault="008E05AA" w:rsidP="008E05AA">
      <w:pPr>
        <w:pStyle w:val="Pagrindinistekstas2"/>
        <w:rPr>
          <w:rFonts w:ascii="TimesLT" w:hAnsi="TimesLT"/>
        </w:rPr>
      </w:pPr>
    </w:p>
    <w:p w:rsidR="008E05AA" w:rsidRDefault="008E05AA" w:rsidP="008E05AA">
      <w:pPr>
        <w:jc w:val="both"/>
      </w:pPr>
    </w:p>
    <w:p w:rsidR="008E05AA" w:rsidRDefault="008E05AA" w:rsidP="008E05AA">
      <w:pPr>
        <w:ind w:firstLine="720"/>
        <w:jc w:val="both"/>
      </w:pPr>
    </w:p>
    <w:p w:rsidR="008E05AA" w:rsidRDefault="008E05AA" w:rsidP="008E05AA">
      <w:pPr>
        <w:ind w:firstLine="720"/>
        <w:jc w:val="both"/>
      </w:pPr>
      <w:r>
        <w:t>Ataskaitą teikia:</w:t>
      </w:r>
    </w:p>
    <w:p w:rsidR="008E05AA" w:rsidRDefault="008E05AA" w:rsidP="008E05AA">
      <w:pPr>
        <w:ind w:firstLine="720"/>
        <w:jc w:val="both"/>
      </w:pPr>
      <w:r>
        <w:t xml:space="preserve">Lietuvos Respublikos Seimo </w:t>
      </w:r>
    </w:p>
    <w:p w:rsidR="008E05AA" w:rsidRDefault="008E05AA" w:rsidP="008E05AA">
      <w:pPr>
        <w:ind w:firstLine="720"/>
        <w:jc w:val="both"/>
      </w:pPr>
      <w:r>
        <w:t>Narkomanijos prevencijos</w:t>
      </w:r>
    </w:p>
    <w:p w:rsidR="008E05AA" w:rsidRPr="005D7872" w:rsidRDefault="008E05AA" w:rsidP="008E05AA">
      <w:pPr>
        <w:ind w:firstLine="720"/>
        <w:jc w:val="both"/>
      </w:pPr>
      <w:r>
        <w:t xml:space="preserve"> komisijos pirmininkė                                      Ramunė Visockytė</w:t>
      </w: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ind w:firstLine="720"/>
        <w:jc w:val="both"/>
      </w:pPr>
    </w:p>
    <w:p w:rsidR="008E05AA" w:rsidRPr="005D7872" w:rsidRDefault="008E05AA" w:rsidP="008E05AA">
      <w:pPr>
        <w:jc w:val="both"/>
        <w:rPr>
          <w:bCs/>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F77E33" w:rsidRDefault="00F77E33" w:rsidP="002B7A0A">
      <w:pPr>
        <w:jc w:val="center"/>
        <w:rPr>
          <w:rFonts w:ascii="TimesLT" w:hAnsi="TimesLT"/>
          <w:b/>
          <w:sz w:val="56"/>
          <w:szCs w:val="56"/>
        </w:rPr>
      </w:pPr>
    </w:p>
    <w:p w:rsidR="00DD08F5" w:rsidRDefault="00DD08F5" w:rsidP="00DD08F5">
      <w:pPr>
        <w:jc w:val="both"/>
        <w:rPr>
          <w:b/>
          <w:bCs/>
          <w:sz w:val="28"/>
        </w:rPr>
      </w:pPr>
    </w:p>
    <w:p w:rsidR="00DD08F5" w:rsidRDefault="00DD08F5" w:rsidP="00DD08F5">
      <w:pPr>
        <w:jc w:val="both"/>
        <w:rPr>
          <w:b/>
          <w:bCs/>
          <w:sz w:val="28"/>
        </w:rPr>
      </w:pPr>
    </w:p>
    <w:p w:rsidR="00DD08F5" w:rsidRDefault="00DD08F5" w:rsidP="00DD08F5">
      <w:pPr>
        <w:ind w:left="1440" w:firstLine="720"/>
        <w:jc w:val="both"/>
        <w:rPr>
          <w:b/>
          <w:bCs/>
          <w:sz w:val="28"/>
        </w:rPr>
      </w:pPr>
      <w:r>
        <w:rPr>
          <w:b/>
          <w:bCs/>
          <w:sz w:val="28"/>
        </w:rPr>
        <w:lastRenderedPageBreak/>
        <w:t xml:space="preserve">   LIETUVOS RESPUBLIKOS SEIMO</w:t>
      </w:r>
    </w:p>
    <w:p w:rsidR="00DD08F5" w:rsidRDefault="00DD08F5" w:rsidP="00DD08F5">
      <w:pPr>
        <w:jc w:val="both"/>
        <w:rPr>
          <w:b/>
          <w:bCs/>
          <w:sz w:val="28"/>
        </w:rPr>
      </w:pPr>
    </w:p>
    <w:p w:rsidR="00DD08F5" w:rsidRDefault="00DD08F5" w:rsidP="00DD08F5">
      <w:pPr>
        <w:ind w:left="1440"/>
        <w:jc w:val="both"/>
        <w:rPr>
          <w:b/>
          <w:bCs/>
          <w:sz w:val="28"/>
        </w:rPr>
      </w:pPr>
      <w:r>
        <w:rPr>
          <w:b/>
          <w:bCs/>
          <w:sz w:val="28"/>
        </w:rPr>
        <w:t>NARKOMANIJOS IR ALKOHOLIZMO PREVENCIJOS</w:t>
      </w:r>
    </w:p>
    <w:p w:rsidR="00DD08F5" w:rsidRDefault="00DD08F5" w:rsidP="00DD08F5">
      <w:pPr>
        <w:ind w:left="1440"/>
        <w:jc w:val="both"/>
        <w:rPr>
          <w:b/>
          <w:bCs/>
          <w:sz w:val="28"/>
        </w:rPr>
      </w:pPr>
      <w:r>
        <w:rPr>
          <w:b/>
          <w:bCs/>
          <w:sz w:val="28"/>
        </w:rPr>
        <w:t xml:space="preserve">                             KOMISIJOS</w:t>
      </w:r>
    </w:p>
    <w:p w:rsidR="00DD08F5" w:rsidRDefault="00DD08F5" w:rsidP="00DD08F5">
      <w:pPr>
        <w:jc w:val="both"/>
        <w:rPr>
          <w:b/>
          <w:bCs/>
          <w:sz w:val="28"/>
        </w:rPr>
      </w:pPr>
    </w:p>
    <w:p w:rsidR="00DD08F5" w:rsidRDefault="00DD08F5" w:rsidP="00DD08F5">
      <w:pPr>
        <w:ind w:left="2160" w:firstLine="720"/>
        <w:jc w:val="both"/>
        <w:rPr>
          <w:b/>
          <w:bCs/>
          <w:sz w:val="28"/>
        </w:rPr>
      </w:pPr>
      <w:r>
        <w:rPr>
          <w:b/>
          <w:bCs/>
          <w:sz w:val="28"/>
        </w:rPr>
        <w:t>2009 METŲ VEIKLOS</w:t>
      </w:r>
    </w:p>
    <w:p w:rsidR="00DD08F5" w:rsidRDefault="00DD08F5" w:rsidP="00DD08F5">
      <w:pPr>
        <w:jc w:val="both"/>
        <w:rPr>
          <w:b/>
          <w:bCs/>
          <w:sz w:val="28"/>
        </w:rPr>
      </w:pPr>
    </w:p>
    <w:p w:rsidR="00DD08F5" w:rsidRDefault="00DD08F5" w:rsidP="00DD08F5">
      <w:pPr>
        <w:jc w:val="both"/>
        <w:rPr>
          <w:b/>
          <w:bCs/>
          <w:sz w:val="28"/>
        </w:rPr>
      </w:pPr>
    </w:p>
    <w:p w:rsidR="00DD08F5" w:rsidRDefault="00DD08F5" w:rsidP="00DD08F5">
      <w:pPr>
        <w:jc w:val="both"/>
        <w:rPr>
          <w:b/>
          <w:bCs/>
          <w:sz w:val="28"/>
        </w:rPr>
      </w:pPr>
    </w:p>
    <w:p w:rsidR="00DD08F5" w:rsidRDefault="00DD08F5" w:rsidP="00DD08F5">
      <w:pPr>
        <w:pStyle w:val="Normal1"/>
        <w:rPr>
          <w:b/>
          <w:bCs/>
          <w:sz w:val="28"/>
          <w:szCs w:val="24"/>
          <w:lang w:val="lt-LT"/>
        </w:rPr>
      </w:pPr>
      <w:r>
        <w:rPr>
          <w:b/>
          <w:bCs/>
          <w:sz w:val="28"/>
          <w:szCs w:val="24"/>
          <w:lang w:val="lt-LT"/>
        </w:rPr>
        <w:t xml:space="preserve">                                                A T A S K A I T A</w:t>
      </w:r>
    </w:p>
    <w:p w:rsidR="00DD08F5" w:rsidRDefault="00DD08F5" w:rsidP="00DD08F5">
      <w:pPr>
        <w:jc w:val="both"/>
        <w:rPr>
          <w:b/>
          <w:bCs/>
          <w:sz w:val="28"/>
        </w:rPr>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pStyle w:val="Pagrindiniotekstotrauka"/>
        <w:rPr>
          <w:szCs w:val="24"/>
          <w:lang w:val="lt-LT"/>
        </w:rPr>
      </w:pPr>
      <w:r>
        <w:rPr>
          <w:szCs w:val="24"/>
          <w:lang w:val="lt-LT"/>
        </w:rPr>
        <w:t>Lietuvos Respublikos Seimas, vadovaudamasis Seimo statuto 71 straipsniu, 2008 m. gruodžio 2 d. nutarimu Nr. XI-37 sudarė nuolatinę Seimo Narkomanijos ir alkoholizmo prevencijos komisiją iš 14 narių.</w:t>
      </w:r>
    </w:p>
    <w:p w:rsidR="00DD08F5" w:rsidRDefault="00DD08F5" w:rsidP="00DD08F5">
      <w:pPr>
        <w:ind w:firstLine="720"/>
        <w:jc w:val="both"/>
      </w:pPr>
      <w:r>
        <w:t xml:space="preserve">Nuo 2008 m. gruodžio 3 d. Lietuvos Respublikos Seimo Narkomanijos ir alkoholizmo prevencijos komisijos pirmininke išrinkta Vincė Vaidevutė Margevičienė. </w:t>
      </w:r>
    </w:p>
    <w:p w:rsidR="00DD08F5" w:rsidRDefault="00DD08F5" w:rsidP="00DD08F5">
      <w:pPr>
        <w:ind w:firstLine="720"/>
        <w:jc w:val="both"/>
      </w:pPr>
      <w:r>
        <w:t>2009 m. gruodžio 3 d. Seimo Narkomanijos ir alkoholizmo prevencijos komisijos posėdyje komisijos pirmininko pavaduotoja išrinkta  Seimo narė Dangutė Mikutienė.</w:t>
      </w:r>
    </w:p>
    <w:p w:rsidR="00DD08F5" w:rsidRDefault="00DD08F5" w:rsidP="00DD08F5">
      <w:pPr>
        <w:ind w:firstLine="720"/>
        <w:jc w:val="both"/>
      </w:pPr>
      <w:r>
        <w:lastRenderedPageBreak/>
        <w:t>2009 m. kovo 26 d.  Lietuvos Respublikos Seimas nutarimu Nr. XI - 210 “Dėl Lietuvos Respublikos Seimo Narkomanijos ir alkoholizmo prevencijos komisijos nuostatų patvirtinimo” patvirtino Seimo Narkomanijos ir alkoholizmo prevencijos komisijos nuostatus.</w:t>
      </w:r>
    </w:p>
    <w:p w:rsidR="00DD08F5" w:rsidRDefault="00DD08F5" w:rsidP="00DD08F5">
      <w:pPr>
        <w:ind w:firstLine="720"/>
        <w:jc w:val="both"/>
      </w:pPr>
      <w:r>
        <w:t xml:space="preserve">Lietuvos Respublikos Seimo Narkomanijos ir alkoholizmo prevencijos komisijos sudėtis: </w:t>
      </w:r>
    </w:p>
    <w:p w:rsidR="00DD08F5" w:rsidRDefault="00DD08F5" w:rsidP="00DD08F5">
      <w:pPr>
        <w:ind w:firstLine="720"/>
        <w:jc w:val="both"/>
      </w:pPr>
      <w:r>
        <w:t>1) Vaidotas Bacevičius;</w:t>
      </w:r>
    </w:p>
    <w:p w:rsidR="00DD08F5" w:rsidRDefault="00DD08F5" w:rsidP="00DD08F5">
      <w:pPr>
        <w:ind w:firstLine="720"/>
        <w:jc w:val="both"/>
      </w:pPr>
      <w:r>
        <w:t>2) Algimantas Dumbrava;</w:t>
      </w:r>
    </w:p>
    <w:p w:rsidR="00DD08F5" w:rsidRDefault="00DD08F5" w:rsidP="00DD08F5">
      <w:pPr>
        <w:ind w:firstLine="720"/>
        <w:jc w:val="both"/>
      </w:pPr>
      <w:r>
        <w:t>3) Linas Karalius;</w:t>
      </w:r>
    </w:p>
    <w:p w:rsidR="00DD08F5" w:rsidRDefault="00DD08F5" w:rsidP="00DD08F5">
      <w:pPr>
        <w:ind w:firstLine="720"/>
        <w:jc w:val="both"/>
      </w:pPr>
      <w:r>
        <w:t>4) Egidijus Klumbys;</w:t>
      </w:r>
    </w:p>
    <w:p w:rsidR="00DD08F5" w:rsidRDefault="00DD08F5" w:rsidP="00DD08F5">
      <w:pPr>
        <w:ind w:firstLine="720"/>
        <w:jc w:val="both"/>
      </w:pPr>
      <w:r>
        <w:t>5) Jonas Liesys;</w:t>
      </w:r>
    </w:p>
    <w:p w:rsidR="00DD08F5" w:rsidRDefault="00DD08F5" w:rsidP="00DD08F5">
      <w:pPr>
        <w:ind w:firstLine="720"/>
        <w:jc w:val="both"/>
      </w:pPr>
      <w:r>
        <w:t>6) Vincė Vaidevutė Margevičienė;</w:t>
      </w:r>
    </w:p>
    <w:p w:rsidR="00DD08F5" w:rsidRDefault="00DD08F5" w:rsidP="00DD08F5">
      <w:pPr>
        <w:ind w:firstLine="720"/>
        <w:jc w:val="both"/>
      </w:pPr>
      <w:r>
        <w:t>7) Donalda Meiželytė - Svilienė;</w:t>
      </w:r>
    </w:p>
    <w:p w:rsidR="00DD08F5" w:rsidRDefault="00DD08F5" w:rsidP="00DD08F5">
      <w:pPr>
        <w:ind w:firstLine="720"/>
        <w:jc w:val="both"/>
      </w:pPr>
      <w:r>
        <w:t>8) Dangutė Mikutienė;</w:t>
      </w:r>
    </w:p>
    <w:p w:rsidR="00DD08F5" w:rsidRDefault="00DD08F5" w:rsidP="00DD08F5">
      <w:pPr>
        <w:ind w:firstLine="720"/>
        <w:jc w:val="both"/>
      </w:pPr>
      <w:r>
        <w:t>9) Gediminas Navaitis;</w:t>
      </w:r>
    </w:p>
    <w:p w:rsidR="00DD08F5" w:rsidRDefault="00DD08F5" w:rsidP="00DD08F5">
      <w:pPr>
        <w:ind w:firstLine="720"/>
        <w:jc w:val="both"/>
      </w:pPr>
      <w:r>
        <w:t>10) Algis Rimas;</w:t>
      </w:r>
    </w:p>
    <w:p w:rsidR="00DD08F5" w:rsidRDefault="00DD08F5" w:rsidP="00DD08F5">
      <w:pPr>
        <w:ind w:firstLine="720"/>
        <w:jc w:val="both"/>
      </w:pPr>
      <w:r>
        <w:t>11) Algirdas Sysas;</w:t>
      </w:r>
    </w:p>
    <w:p w:rsidR="00DD08F5" w:rsidRDefault="00DD08F5" w:rsidP="00DD08F5">
      <w:pPr>
        <w:ind w:firstLine="720"/>
        <w:jc w:val="both"/>
      </w:pPr>
      <w:r>
        <w:t>12) Gintaras Songaila;</w:t>
      </w:r>
    </w:p>
    <w:p w:rsidR="00DD08F5" w:rsidRDefault="00DD08F5" w:rsidP="00DD08F5">
      <w:pPr>
        <w:ind w:firstLine="720"/>
        <w:jc w:val="both"/>
      </w:pPr>
      <w:r>
        <w:t>13) Kazimieras Uoka;</w:t>
      </w:r>
    </w:p>
    <w:p w:rsidR="00DD08F5" w:rsidRDefault="00DD08F5" w:rsidP="00DD08F5">
      <w:pPr>
        <w:ind w:firstLine="720"/>
        <w:jc w:val="both"/>
      </w:pPr>
      <w:r>
        <w:t>14) Vidmantas Žiemelis.</w:t>
      </w:r>
    </w:p>
    <w:p w:rsidR="00DD08F5" w:rsidRDefault="00DD08F5" w:rsidP="00DD08F5">
      <w:pPr>
        <w:jc w:val="both"/>
      </w:pPr>
    </w:p>
    <w:p w:rsidR="00DD08F5" w:rsidRDefault="00DD08F5" w:rsidP="00DD08F5">
      <w:pPr>
        <w:jc w:val="both"/>
        <w:rPr>
          <w:b/>
        </w:rPr>
      </w:pPr>
      <w:r>
        <w:tab/>
      </w:r>
      <w:r>
        <w:tab/>
      </w:r>
      <w:r>
        <w:tab/>
      </w:r>
      <w:r>
        <w:rPr>
          <w:b/>
        </w:rPr>
        <w:t>Komisijos veikla</w:t>
      </w:r>
    </w:p>
    <w:p w:rsidR="00DD08F5" w:rsidRDefault="00DD08F5" w:rsidP="00DD08F5">
      <w:pPr>
        <w:jc w:val="both"/>
      </w:pPr>
    </w:p>
    <w:p w:rsidR="00DD08F5" w:rsidRDefault="00DD08F5" w:rsidP="00DD08F5">
      <w:pPr>
        <w:ind w:firstLine="720"/>
        <w:jc w:val="both"/>
      </w:pPr>
      <w:r>
        <w:t>Lietuvos Respublikos Seimo 2008/2009 metų rudens, 2009 metų pavasario ir rudens sesijų metu Komisija surengė 21 posėdį, į kuriuos buvo kviečiami atsakingi institucijų pareigūnai, visuomeninių ir kitų organizacijų atstovai.</w:t>
      </w:r>
    </w:p>
    <w:p w:rsidR="00DD08F5" w:rsidRDefault="00DD08F5" w:rsidP="00DD08F5">
      <w:pPr>
        <w:ind w:firstLine="720"/>
        <w:jc w:val="both"/>
      </w:pPr>
      <w:r>
        <w:t>Ataskaitiniu laikotarpiu Komisija išsiuntė 227 ir gavo 135</w:t>
      </w:r>
      <w:r>
        <w:rPr>
          <w:bCs/>
        </w:rPr>
        <w:t xml:space="preserve"> </w:t>
      </w:r>
      <w:r>
        <w:t xml:space="preserve">raštus. Gauti skundai dėl narkomanijos ir alkoholizmo prevencijos, narkotikų ir alkoholio kontrolės bei nacionalinių programų įgyvendinimo klausimais. </w:t>
      </w:r>
    </w:p>
    <w:p w:rsidR="00DD08F5" w:rsidRDefault="00DD08F5" w:rsidP="00DD08F5">
      <w:pPr>
        <w:ind w:firstLine="720"/>
        <w:jc w:val="both"/>
      </w:pPr>
      <w:r>
        <w:t>2009 03 20 Komisijos</w:t>
      </w:r>
      <w:r>
        <w:rPr>
          <w:bCs/>
          <w:i/>
          <w:iCs/>
        </w:rPr>
        <w:t xml:space="preserve"> </w:t>
      </w:r>
      <w:r>
        <w:t xml:space="preserve">nariai lankėsi Panevėžio pataisos namuose. </w:t>
      </w:r>
    </w:p>
    <w:p w:rsidR="00DD08F5" w:rsidRDefault="00DD08F5" w:rsidP="00DD08F5">
      <w:pPr>
        <w:ind w:firstLine="720"/>
        <w:jc w:val="both"/>
      </w:pPr>
      <w:r>
        <w:t xml:space="preserve">Ataskaitiniu laikotarpiu Komisija surengė, padėjo organizuoti seminarus, renginius ir </w:t>
      </w:r>
      <w:r>
        <w:rPr>
          <w:bCs/>
        </w:rPr>
        <w:t>konferencijas narkomanijos</w:t>
      </w:r>
      <w:r>
        <w:t xml:space="preserve"> ir alkoholizmo prevencijos, narkotikų ir alkoholio kontrolės ir  narkomanijos politikos temomis: </w:t>
      </w:r>
    </w:p>
    <w:p w:rsidR="00DD08F5" w:rsidRDefault="00DD08F5" w:rsidP="00DD08F5">
      <w:pPr>
        <w:ind w:firstLine="720"/>
        <w:jc w:val="both"/>
      </w:pPr>
      <w:r>
        <w:t>2008 12 22  konferencija “Vaiko minimalios priežiūros įgyvendinimas savivaldybėse”; 2009 05 20 diskusija “Europos Narkotikų ir Narkomanijos stebėsenos centras – pagrindinis kovos su narkotikais informacinis centras Europos Sąjungoje”; 2009 05 28 chorinio dainavimo mokyklos “Liepaitės” auklėtinių koncertas;  2009 05 29 konferencija  “Narkomanijos situacija Lietuvoje. Nepilnamečiai – kaltininkai ar aukos?”; 2009 06 01 Jungtinių tautų Vaiko teisių konvencijos dvidešimtmečio, Tarptautinės vaikų gynimo dienos proga renginys “Skrisk, svajone”;  2009 06 17 diskusija “ES patirtis. Narkotinių ir psichotropinių medžiagų vartojimo paplitimas tarp bendrojo lavinimo mokyklų mokinių ir aukštųjų mokyklų studentų Lietuvoje 2008 m.“; 2009 11 05 tarptautinė konferencija “Naujos narkotikų vartojimo tendencijos: faktai ir sprendimai”; 2009 11 16 konferencija “Psichoaktyviųjų medžiagų vartojimo prevencija ugdymo institucijose”; 2009 11 17 konferencija “Psichoaktyviųjų medžiagų vartojimo prevencija ugdymo institucijose”; 2009 11 19   konferencija “Psichoaktyviųjų medžiagų vartojimo prevencija ugdymo institucijose” .</w:t>
      </w:r>
    </w:p>
    <w:p w:rsidR="00DD08F5" w:rsidRDefault="00DD08F5" w:rsidP="00DD08F5">
      <w:pPr>
        <w:jc w:val="both"/>
        <w:rPr>
          <w:bCs/>
          <w:noProof/>
          <w:szCs w:val="20"/>
        </w:rPr>
      </w:pPr>
    </w:p>
    <w:p w:rsidR="00DD08F5" w:rsidRDefault="00DD08F5" w:rsidP="00DD08F5">
      <w:pPr>
        <w:jc w:val="both"/>
      </w:pPr>
      <w:r>
        <w:rPr>
          <w:bCs/>
          <w:i/>
          <w:noProof/>
          <w:szCs w:val="28"/>
        </w:rPr>
        <w:t xml:space="preserve">     </w:t>
      </w:r>
    </w:p>
    <w:p w:rsidR="00DD08F5" w:rsidRDefault="00DD08F5" w:rsidP="00DD08F5">
      <w:pPr>
        <w:jc w:val="both"/>
      </w:pPr>
    </w:p>
    <w:p w:rsidR="00DD08F5" w:rsidRDefault="00DD08F5" w:rsidP="00DD08F5">
      <w:pPr>
        <w:pStyle w:val="Antrat9"/>
        <w:ind w:left="720"/>
        <w:rPr>
          <w:rFonts w:ascii="Times New Roman" w:hAnsi="Times New Roman"/>
        </w:rPr>
      </w:pPr>
      <w:r>
        <w:rPr>
          <w:rFonts w:ascii="Times New Roman" w:hAnsi="Times New Roman"/>
        </w:rPr>
        <w:t xml:space="preserve">Komisijos posėdžiai 2008/2009 metais </w:t>
      </w:r>
    </w:p>
    <w:p w:rsidR="00DD08F5" w:rsidRDefault="00DD08F5" w:rsidP="00DD08F5">
      <w:pPr>
        <w:ind w:firstLine="720"/>
        <w:jc w:val="both"/>
        <w:rPr>
          <w:b/>
          <w:bCs/>
        </w:rPr>
      </w:pPr>
      <w:r>
        <w:rPr>
          <w:b/>
          <w:bCs/>
        </w:rPr>
        <w:t xml:space="preserve">  </w:t>
      </w:r>
    </w:p>
    <w:p w:rsidR="00DD08F5" w:rsidRDefault="00DD08F5" w:rsidP="00DD08F5">
      <w:pPr>
        <w:ind w:firstLine="720"/>
        <w:jc w:val="both"/>
      </w:pPr>
      <w:r>
        <w:rPr>
          <w:i/>
        </w:rPr>
        <w:t xml:space="preserve">2008 12 03 </w:t>
      </w:r>
      <w:r>
        <w:t xml:space="preserve">Seimo Narkomanijos ir alkoholizmo prevencijos komisijos posėdyje vyko Lietuvos Respublikos Seimo Narkomanijos ir alkoholizmo prevencijos komisijos pirmininko ir komisijos pirmininko pavaduotojo rinkimai. </w:t>
      </w:r>
    </w:p>
    <w:p w:rsidR="00DD08F5" w:rsidRDefault="00DD08F5" w:rsidP="00DD08F5">
      <w:pPr>
        <w:ind w:firstLine="720"/>
        <w:jc w:val="both"/>
      </w:pPr>
      <w:r>
        <w:rPr>
          <w:i/>
        </w:rPr>
        <w:t>2008 12 17</w:t>
      </w:r>
      <w:r>
        <w:t xml:space="preserve">  Seimo Narkomanijos ir alkoholizmo prevencijos komisija posėdyje svarstė šiuos klausimus: dėl Narkomanijos ir alkoholizmo prevencijos komisijos posėdžių darbo laiko; dėl Narkomanijos ir alkoholizmo prevencijos komisijos nuostatų projekto; dėl </w:t>
      </w:r>
      <w:r>
        <w:rPr>
          <w:szCs w:val="20"/>
        </w:rPr>
        <w:t xml:space="preserve">Lietuvos Respublikos atsakingų institucijų parengtos pozicijos dėl Komisijos komunikato Europos Parlamentui ir Tarybai </w:t>
      </w:r>
      <w:r>
        <w:rPr>
          <w:szCs w:val="20"/>
        </w:rPr>
        <w:lastRenderedPageBreak/>
        <w:t xml:space="preserve">dėl 2009 – 2012 m. ES kovos su narkotikais veiksmų plano (POZ- 571) išvadų pateikimo Seimo Europos reikalų komitetui; dėl narkomanijos ir alkoholizmo prevencijos savivaldybėse; dėl narkomanijos situacijos ir narkotikų kontrolės Lietuvoje. </w:t>
      </w:r>
    </w:p>
    <w:p w:rsidR="00DD08F5" w:rsidRDefault="00DD08F5" w:rsidP="00DD08F5">
      <w:pPr>
        <w:jc w:val="both"/>
      </w:pPr>
      <w:r>
        <w:t xml:space="preserve"> </w:t>
      </w:r>
      <w:r>
        <w:tab/>
      </w:r>
      <w:r>
        <w:rPr>
          <w:bCs/>
          <w:i/>
          <w:iCs/>
        </w:rPr>
        <w:t>2009 01 14</w:t>
      </w:r>
      <w:r>
        <w:t xml:space="preserve">  Seimo Narkomanijos ir alkoholizmo prevencijos komisija posėdyje svarstė šiuos klausimus: dėl Narkomanijos ir alkoholizmo prevencijos komisijos nuostatų projekto; priėmė sprendimą dėl </w:t>
      </w:r>
      <w:r>
        <w:rPr>
          <w:szCs w:val="20"/>
        </w:rPr>
        <w:t xml:space="preserve">Lietuvos Respublikos atsakingų institucijų parengtos pozicijos dėl Komisijos komunikato Europos Parlamentui ir Tarybai dėl 2009 – 2012 m. ES kovos su narkotikais veiksmų plano (POZ- 571) išvadų pateikimo Seimo Europos reikalų komitetui; priėmė sprendimą dėl Sveikatos reikalų komiteto 2008 12 08 rašte Nr. V – 2008 - 4283 “Dėl Sveikatos apsaugos ministerijos pateiktos informacijos” išdėstytos informacijos dėl paauglių svaiginimosi vaistais; susipažino su </w:t>
      </w:r>
      <w:r>
        <w:t xml:space="preserve">IV-ojo Vyskupo M.Valančiaus Vilkaviškio vyskupijos Blaivystės sąjūdžio suvažiavimo rezoliucija “2008 –ieji –Blaivybės metai”; priėmė sprendimą  kreiptis į Sveikatos apsaugos ministrą dėl Nacionalinės narkotikų kontrolės ir narkomanijos prevencijos 2009 – 2016 metų programos ir priemonių pateikimo Lietuvos Respublikos Vyriausybei; svarstė UAB “Viltis” prekybos tinkle platinamų prekių ir internetiniuose puslapiuose “buzas.lt” bei ‘amsterdamas.lt” teikiamos informacijos apie galimai svaiginimuisi skirtas medžiagas. </w:t>
      </w:r>
    </w:p>
    <w:p w:rsidR="00DD08F5" w:rsidRDefault="00DD08F5" w:rsidP="00DD08F5">
      <w:pPr>
        <w:ind w:firstLine="720"/>
        <w:jc w:val="both"/>
      </w:pPr>
      <w:r>
        <w:t>Seimo Narkomanijos ir alkoholizmo komisija nutarė, kad nuosekliai laikysis 2005 metais Seimo Narkomanijos prevencijos komisijos suformuotos pozicijos, kurioje nepritariama nuostatoms,  kuriose įtvirtinamos žalos mažinimo programų paslaugų prieinamumas ir tinkamumas, apimančios pakaitinį ir palaikomąjį gydymą taikant narkotikus, adatų ir švirkštų keitimo programoms.</w:t>
      </w:r>
    </w:p>
    <w:p w:rsidR="00DD08F5" w:rsidRDefault="00DD08F5" w:rsidP="00DD08F5">
      <w:pPr>
        <w:ind w:firstLine="720"/>
        <w:jc w:val="both"/>
      </w:pPr>
      <w:r>
        <w:t xml:space="preserve">Seimo Narkomanijos ir alkoholizmo komisija nutarė griežtai vadovautis Lietuvos Respublikos Seimo 2003 m. kovo 18 d. rezoliucija „Dėl narkotikų kontrolės politikos”, kurioje remiantis Jungtinių Tautų 1961 metų Bendrąja narkotinių medžiagų konvencija, Jungtinių Tautų 1971 metų psichotropinių medžiagų konvencija, Lietuvos Respublikos ratifikuota 1988 metų Jungtinių Tautų Organizacijos konvencija dėl kovos su neteisėta narkotinių priemonių ir psichotropinių medžiagų apyvarta ir 2002 metų Lietuvos Respublikos Seimo rezoliucija  „Dėl narkomanijos prevencijos Lietuvoje”, kuriose  griežtai pasisakyta prieš mėginimus legalizuoti narkotikus ir prieš politiką, skatinančią narkomanijos plitimą. Pritarė Lietuvos Respublikos atsakingų institucijų parengtai pozicijai (Pozicija: POZ – 571) dėl Europos Komisijos komunikato Europos Parlamentui ir Tarybai dėl 2009 – 2012 m. ES kovos su narkotikais veiksmų plano ir siūlymui 2009 – 2012 m. ES kovos su narkotikais veiksmų plano (POZ – 571) skyriuje „Paklausos mažinimas” 9 uždavinio 19 – ame  veiksme žalos mažinimo paslaugas teikti, atsižvelgiant į nacionalinės teisės aktus.  Komisijos išvados pateiktos Seimo Europos reikalų komitetui. </w:t>
      </w:r>
    </w:p>
    <w:p w:rsidR="00DD08F5" w:rsidRDefault="00DD08F5" w:rsidP="00DD08F5">
      <w:pPr>
        <w:jc w:val="both"/>
      </w:pPr>
      <w:r>
        <w:rPr>
          <w:szCs w:val="20"/>
        </w:rPr>
        <w:t xml:space="preserve"> </w:t>
      </w:r>
      <w:r>
        <w:rPr>
          <w:szCs w:val="20"/>
        </w:rPr>
        <w:tab/>
      </w:r>
      <w:r>
        <w:rPr>
          <w:bCs/>
          <w:i/>
          <w:iCs/>
        </w:rPr>
        <w:t>2009 02 18</w:t>
      </w:r>
      <w:r>
        <w:rPr>
          <w:bCs/>
        </w:rPr>
        <w:t xml:space="preserve"> </w:t>
      </w:r>
      <w:r>
        <w:t xml:space="preserve">Narkomanijos ir alkoholizmo prevencijos komisija posėdyje svarstė šiuos klausimus: Narkomanijos ir alkoholizmo prevencijos komisijos nuostatų projektą ir 2009 metų veiklos planą;  priėmė sprendimą dėl UAB “Viltis” prekybos tinkle platinamų prekių ir internetiniuose puslapiuose “buzas.lt” bei “amsterdamas.eu” teikiamos informacijos apie galimai svaiginimuisi skirtas medžiagas;  išklausė Švietimo ir mokslo  ministerijos pateiktą informaciją apie mokyklose vykdomą rūkymo, alkoholizmo ir narkomanijos prevenciją; išklausė Valstybinės tabako ir alkoholio kontrolės tarnybos prie Lietuvos Respublikos Vyriausybės informaciją  apie alkoholizmo situaciją Lietuvoje; priėmė sprendimą dėl paauglių svaiginimosi vaistais.   </w:t>
      </w:r>
    </w:p>
    <w:p w:rsidR="00DD08F5" w:rsidRDefault="00DD08F5" w:rsidP="00DD08F5">
      <w:pPr>
        <w:ind w:firstLine="720"/>
        <w:jc w:val="both"/>
      </w:pPr>
      <w:r>
        <w:rPr>
          <w:bCs/>
          <w:i/>
          <w:iCs/>
        </w:rPr>
        <w:t>2009  03 18</w:t>
      </w:r>
      <w:r>
        <w:t xml:space="preserve"> vyko Narkomanijos ir alkoholizmo prevencijos komisijos posėdis, kuriame  priimtas sprendimas “Dėl Lietuvos Respublikos Seimo nutarimo “Dėl Lietuvos Respublikos  Seimo Narkomanijos ir alkoholizmo prevencijos komisija nuostatų patvirtinimo” projekto (XIP-358); išklausyta Finansų ministerijos informacija apie Lietuvos 2007 – 2013 m. struktūrinę paramą ir Europos Sąjungos sanglaudos politiką bei galimybes, sprendžiant šeimos ir vaiko gerovės politikos klausimus Lietuvoje; pritarta darbo grupės sudarymui “Dėl Lietuvos Respublikos vaiko minimalios ir vidutinės priežiūros įstatymo pakeitimo ir papildymo” projektui parengti.</w:t>
      </w:r>
    </w:p>
    <w:p w:rsidR="00DD08F5" w:rsidRDefault="00DD08F5" w:rsidP="00DD08F5">
      <w:pPr>
        <w:ind w:firstLine="720"/>
        <w:jc w:val="both"/>
      </w:pPr>
      <w:r>
        <w:rPr>
          <w:bCs/>
          <w:i/>
          <w:iCs/>
        </w:rPr>
        <w:t>2009  03 20</w:t>
      </w:r>
      <w:r>
        <w:t xml:space="preserve"> vyko Narkomanijos ir alkoholizmo prevencijos komisijos išvažiuojamasis posėdis Panevėžio pataisos namuose, kuriame susipažinta su Panevėžio pataisos namuose esančia situacija; išklausyta informacija dėl efektyvios kompleksinės pagalbos nepilnamečiams, sergantiems priklausomybės ligomis, sistemos sukūrimo; dėl paslaugų prieinamumo pagerinimo  asmenims, esantiems laisvės atėmimo vietose, priklausomiems nuo alkoholizmo, narkotikų ir psichotropinių medžiagų vartojimo ir sprendimo  būdų bei dėl socialinio darbo su nepilnamečių, esančių laisvės atėmimo vietose, šeimoms ir kt. </w:t>
      </w:r>
    </w:p>
    <w:p w:rsidR="00DD08F5" w:rsidRDefault="00DD08F5" w:rsidP="00DD08F5">
      <w:pPr>
        <w:ind w:firstLine="720"/>
        <w:jc w:val="both"/>
      </w:pPr>
      <w:r>
        <w:rPr>
          <w:bCs/>
          <w:i/>
          <w:iCs/>
        </w:rPr>
        <w:lastRenderedPageBreak/>
        <w:t xml:space="preserve">2009 04 08 </w:t>
      </w:r>
      <w:r>
        <w:t xml:space="preserve"> Narkomanijos ir alkoholizmo prevencijos komisija posėdyje svarstė Nepilnamečių justicijos 2009 – 2013 metų programos suderinimo, tikslų ir uždavinių bei siektinų rezultatų klausimus; išklausyta BTV prodiuserio Gintauto Mieleškos informacija. Tą pačią dieną bendrame  Seimo Narkomanijos ir alkoholizmo prevencijos komisijos ir Seimo Sveikatos reikalų komiteto posėdyje svarstytas klausimas “Dėl Lietuvos Respublikos  Seimo Narkotinių ir psichotropinių medžiagų kontrolės įstatymo 7 straipsnio pakeitimo įstatymo projekto Nr. XP-2605(2) ES papildomo komiteto išvadų.</w:t>
      </w:r>
    </w:p>
    <w:p w:rsidR="00DD08F5" w:rsidRDefault="00DD08F5" w:rsidP="00DD08F5">
      <w:pPr>
        <w:ind w:firstLine="720"/>
        <w:jc w:val="both"/>
      </w:pPr>
      <w:r>
        <w:rPr>
          <w:bCs/>
          <w:i/>
          <w:iCs/>
        </w:rPr>
        <w:t xml:space="preserve">2009 04 09 </w:t>
      </w:r>
      <w:r>
        <w:t xml:space="preserve"> Narkomanijos ir alkoholizmo prevencijos komisijos posėdyje priimtas sprendimas dėl Lietuvos Respublikos  Seimo Narkotinių ir psichotropinių medžiagų kontrolės įstatymo 7 straipsnio pakeitimo įstatymo projekto Nr. XP-2605(2) ES papildomo komiteto išvadų, kuriame pritarta parengtoms Lietuvos Respublikos Seimo Narkotinių ir psichotropinių medžiagų kontrolės įstatymo 7 straipsnio pakeitimo įstatymo projekto Nr. XP-2605(2) ES papildomo komiteto išvadoms.</w:t>
      </w:r>
      <w:r>
        <w:rPr>
          <w:bCs/>
          <w:color w:val="000000"/>
        </w:rPr>
        <w:t xml:space="preserve"> </w:t>
      </w:r>
      <w:r>
        <w:rPr>
          <w:color w:val="000000"/>
        </w:rPr>
        <w:t>Nutarta a</w:t>
      </w:r>
      <w:r>
        <w:t xml:space="preserve">tmesti  projektą Nr. XP-2605(2), atsižvelgiant į Seimo kanceliarijos Teisės departamento ir Nevyriausybinių organizacijų pastabas bei pasiūlymus, ir  dėl šių priežasčių: Lietuvos Respublikos Vyriausybė 1994 m. sausio 27 d. potvarkiu Nr. 68p prisijungė prie šių Jungtinių Tautų Organizacijos konvencijų: Bendrosios narkotinių medžiagų konvencijos, pasirašytos 1961 m. kovo 13 d. Niujorke, ir Psichotropinių medžiagų konvencijos, pasirašytos 1971 m. vasario 21 d. Vienoje. Pagal 1961 m. Bendrąją narkotinių medžiagų konvenciją </w:t>
      </w:r>
      <w:r>
        <w:rPr>
          <w:bCs/>
        </w:rPr>
        <w:t>kanapės</w:t>
      </w:r>
      <w:r>
        <w:t xml:space="preserve"> yra narkotinės medžiagos, priskiriamos į I sąrašą, į kurį įrašytos narkotinės medžiagos turi būti kontroliuojamos visomis šios Konvencijos pagrindu narkotinėms medžiagoms taikytinomis priemonėmis, tarp jų priemonėms, nurodytoms 4 straipsnio 1 dalies c punkte, kuriame pažymima „kad, laikantis šios Konvencijos nuostatų, narkotinių medžiagų gamyba, apdirbimas, išvežimas, įvežimas, paskirstymas, prekyba jomis, jų naudojimas ir laikymas būtų skirti tik medicinos ir mokslo tikslams“. Konvencijos 22 straipsnyje, kuriame reglamentuojamos specialios kultivavimo nuostatos, 1 dalyje pažymima, kad „tais atvejais, kai dėl susidariusių šalyje ar teritorijoje sąlygų opijinių aguonų, kokamedžio ar </w:t>
      </w:r>
      <w:r>
        <w:rPr>
          <w:bCs/>
        </w:rPr>
        <w:t>kanapių</w:t>
      </w:r>
      <w:r>
        <w:t xml:space="preserve"> kultivavimo uždraudimas, jų nuomone, yra tikslingiausia priemonė siekiant apsaugoti žmonių sveikatą ir gerovę bei užkirsti kelią narkotinėms medžiagoms patekti neteisėton apyvarton, suinteresuotoji Šalis tokį kultivavimą uždraudžia. Konvencijos 28 straipsnyje, reglamentuojančiame kanapių kontrolę, pažymima, kad „jeigu kuri nors Šalis leidžia kultivuoti kanapių augalus kanapėms ar kanapių dervai gaminti, ji taiko kontrolės sistemą, numatytą 23 straipsnyje dėl opijinių aguonų kontrolės“. Konvencija taip pat numato priežiūros ir inspektavimo priemones, kovos su neteisėta apyvarta priemones ir nuostatas dėl bausmių. Šalies Baudžiamosios teisės nuostatos yra viršesnės už Konvencijoje numatytas nuostatas dėl bausmių. Nepaisant jokių šios Konvencijos nuostatų, niekas nekliudo ar nelaikoma kliūtimi Šalims imtis griežtesnių ar skrupulingesnių kontrolės priemonių, negu numatyta šioje Konvencijoje.  Pagal 1971 m. Psichotropinių medžiagų konvencijos 7 straipsnį, kuriame reglamentuojamos specialios nuostatos dėl į I sąrašą įrašytų medžiagų, pažymima, kad „dėl į I sąrašą įrašytų medžiagų Šalys draudžia bet kokį jų naudojimą, išskyrus naudojimą mokslo ir labai ribotiems medicinos tikslams, tinkamai įgaliotiems asmenims medicinos ar mokslinio tyrimo įstaigose, kurios yra tiesiogiai kontroliuojamos jų vyriausybių arba kurioms yra išduotas specialus leidimas; reikalauja, kad šios medžiagos būtų gaminamos, skirstomos, laikomos ir jomis prekiaujama, tik turint specialias licencijas arba iš anksto gautus leidimus; rūpestingai kontroliuoja nurodytą veiklą bei veiksmus“. Pagal JTO  tarptautinės narkotikų kontrolės programos normatyvinius aktus Lietuvos Respublikos Seimas 1998-01-08 priėmė Narkotinių ir psichotropinių medžiagų kontrolės įstatymą, kurio paskirtis – nustatyti narkotinių ir psichotropinių medžiagų klasifikavimo pagrindus, šių medžiagų, kai jos vartojamos sveikatos priežiūros, veterinarijos bei mokslo tikslams, teisėtą apyvartą ir apyvartos kontrolę pagal tarptautinių susitarimų reikalavimus.</w:t>
      </w:r>
      <w:r>
        <w:rPr>
          <w:bCs/>
        </w:rPr>
        <w:t xml:space="preserve"> Gi </w:t>
      </w:r>
      <w:r>
        <w:t>2004 m. balandžio 21 d. Komisijos reglamentu (EB) Nr. 796/2004 iš esmės nustatomos sąlygos ir reikalavimai, kurių būtina laikytis tam, kad už atitinkamų veislių kanapes būtų skiriamos tiesioginės išmokos. Iš kitų Europos Sąjungos teisės aktų, tarp jų 2000 m. liepos 27 d. Tarybos Reglamento (EB) Nr. 1673/2000 dėl bendro pluoštinių linų ir kanapių rinkų organizavimo (su paskutiniais pakeitimais, padarytais 2006 m. birželio 26 d. Tarybos reglamentu (EB) Nr. 935/2006) bei 2003 m. rugsėjo 29 d. Tarybos reglamento (EB) Nr. 1782/2003, nustatančio bendrąsias tiesioginės paramos schemų pagal bendrą žemės ūkio politiką taisykles ir nustatančio tam tikras paramos schemas ūkininkams bei iš dalies keičiančio Reglamentus (EEB) Nr. 2019/93, (EB) Nr. 1452/2001, (EB) Nr. 1453/2001, (EB) Nr. 1454/2001, (EB) Nr. 1868/94, (EB) Nr. 1251/1999, (EB) Nr. 1254/1999, (EB) Nr. 1673/2000, (EEB) Nr. 2358/71 ir (EB) Nr. 2529/2001 matyti, kad pluošto gavybai naudojamos sėjamosios kanapės (</w:t>
      </w:r>
      <w:r>
        <w:rPr>
          <w:i/>
          <w:iCs/>
        </w:rPr>
        <w:t xml:space="preserve">Cannabis sativa </w:t>
      </w:r>
      <w:r>
        <w:t xml:space="preserve">L.) (KN 5302) laikomos Europos Sąjungos </w:t>
      </w:r>
      <w:r>
        <w:lastRenderedPageBreak/>
        <w:t>bendrosios rinkos žemės ūkio produktu, naudojamu pramoniniams tikslams, o ne narkotine ar psichotropine medžiaga.Todėl teikiamo projekto nuostatos, kuriose reglamentuojamos atitinkamų kanapių veislių, kurios nėra narkotinės ir psichotropinės medžiagos, auginimas, nėra šio įstatymo reguliavimo dalykas ir neatitinka Įstatymo paskirties.</w:t>
      </w:r>
    </w:p>
    <w:p w:rsidR="00DD08F5" w:rsidRDefault="00DD08F5" w:rsidP="00DD08F5">
      <w:pPr>
        <w:ind w:firstLine="720"/>
        <w:jc w:val="both"/>
      </w:pPr>
      <w:r>
        <w:t xml:space="preserve">Atkreiptas  Lietuvos Respublikos Vyriausybės dėmesys į tai, kad: 2008 m.psichoaktyviųjų medžiagų vartojimo paplitimo bendrojoje populiacijoje tyrimo, remiantis </w:t>
      </w:r>
      <w:r>
        <w:rPr>
          <w:bCs/>
          <w:color w:val="000000"/>
        </w:rPr>
        <w:t xml:space="preserve">Europos narkotikų ir narkomanijos stebėsenos centro (ENNSC) metodinėmis rekomendacijomis, </w:t>
      </w:r>
      <w:r>
        <w:t>duomenimis nustatyta, kad kaip ir 2004 m.,– labiausiai Lietuvoje tarp narkotinių ir psichotropinių medžiagų yra paplitęs kanapių (</w:t>
      </w:r>
      <w:r>
        <w:rPr>
          <w:iCs/>
        </w:rPr>
        <w:t>marihuanos/hašišo</w:t>
      </w:r>
      <w:r>
        <w:t xml:space="preserve">) vartojimas: bent kartą gyvenime </w:t>
      </w:r>
      <w:r>
        <w:rPr>
          <w:color w:val="231F20"/>
        </w:rPr>
        <w:t xml:space="preserve">(LTP) </w:t>
      </w:r>
      <w:r>
        <w:t xml:space="preserve">kanapes yra vartoję 11,9 proc., per </w:t>
      </w:r>
      <w:r>
        <w:rPr>
          <w:color w:val="231F20"/>
        </w:rPr>
        <w:t xml:space="preserve">pastaruosius 12 mėnesių (LYP) – 5,6 proc., per paskutiniąsias 30 dienų (LMP) – 1,2 </w:t>
      </w:r>
      <w:r>
        <w:t xml:space="preserve">proc. Lietuvos gyventojų. Šios narkotinės ir psichotropinės medžiagos vartojimas šalyje išaugo, lyginant su 2004 m., nes tuomet  vartojo atitinkamai  (LTP) -7,6 proc., (LYP) - 2,2 proc. ir (LMP) - 0,7 proc. gyventojų. 2007 m. vykdyto Alkoholio ir kitų narkotikų tyrimo projekto Europos mokyklose (ESPAD) tyrimo rezultatai rodo, kad populiariausias Lietuvos paauglių narkotikas – marihuana (hašišas), antroje vietoje – ekstazi. Lietuvos mokyklose 2007 metais kanapes (marihuaną) bent kartą gyvenime nurodė bandę 18,2 proc. 15-16 metų Lietuvos moksleivių, (2003 m. – 13,5 proc.). Narkotikų, ypač marihuanos, vartojimas didžiuosiuose miestuose paplitęs kelis kartus labiau negu miesteliuose ir kaimuose. Įgyvendinant Tarybos reglamentą (EB) Nr. 1782/2003 ir Komisijos reglamentą (EB) Nr. 796/2004 kanapių augalams, kultivuojamiems vien tik pramoniniams reikalams (pluoštui ir sėkloms), būtina įvertinti šiuos reglamentus įgyvendinančių įstatymų projektų įtaką kriminogeninei situacijai ir korupcijai bei skirti papildomas lėšas kontrolės institucijoms ir kontrolės priemonėms. </w:t>
      </w:r>
    </w:p>
    <w:p w:rsidR="00DD08F5" w:rsidRDefault="00DD08F5" w:rsidP="00DD08F5">
      <w:pPr>
        <w:ind w:firstLine="720"/>
        <w:jc w:val="both"/>
      </w:pPr>
      <w:r>
        <w:rPr>
          <w:bCs/>
          <w:i/>
          <w:iCs/>
        </w:rPr>
        <w:t xml:space="preserve">2009 04 22 </w:t>
      </w:r>
      <w:r>
        <w:t xml:space="preserve"> Narkomanijos ir alkoholizmo prevencijos komisija svarstė ir priėmė sprendimą papildyti  Narkomanijos ir alkoholizmo prevencijos komisijos nuostatus nauja funkcija, siekiant veiksmingesnio tarptautinių teisės aktų, skirtų užkirsti kelią prekybai žmonėmis; svarstė nuostatų įgyvendinimo ir Prekybos žmonėmis prevencijos ir kontrolės 2009 – 2012 metų programos įgyvendinimo Lietuvoje klausimus; išklausė informaciją: organizuoto nusikalstamumo dalyvavimas neteisėtoje narkotikų apyvartoje, Lietuvos policijos organizuoto nusikalstamumo tyrimo padalinių veikla tarptautiniu mastu, neteisėta narkotikų apyvarta ir kovos su neteisėta narkotikų apyvarta problematika.</w:t>
      </w:r>
    </w:p>
    <w:p w:rsidR="00DD08F5" w:rsidRDefault="00DD08F5" w:rsidP="00DD08F5">
      <w:pPr>
        <w:jc w:val="both"/>
      </w:pPr>
      <w:r>
        <w:t xml:space="preserve"> </w:t>
      </w:r>
      <w:r>
        <w:tab/>
      </w:r>
      <w:r>
        <w:rPr>
          <w:bCs/>
          <w:i/>
          <w:iCs/>
        </w:rPr>
        <w:t xml:space="preserve">2009 05 06 </w:t>
      </w:r>
      <w:r>
        <w:t xml:space="preserve">vyko Narkomanijos ir alkoholizmo prevencijos komisijos posėdis, kuriame išklausyta informacija dėl renginių, skirtų Jungtinių tautų Vaiko teisių konvencijos dvidešimtmečio, Tarptautinės vaikų gynimo dienos proga, dėl diskusijos “Europos Narkotikų ir Narkomanijos stebėsenos centras – pagrindinis kovos su narkotikais informacinis centras Europos Sąjungoje”; svarstytas klausimas dėl  Lietuvos Respublikos Seimo nutarimo “ Dėl Lietuvos Respublikos Seimo Narkomanijos ir alkoholizmo prevencijos komisijos nuostatų patvirtinimo” priedelio papildymo projekto; pristatytos vizualinės prevencinio ugdymo priemonės, skirtos prevencijai prieš tabako, alkoholio, narkotikų vartojimą.  </w:t>
      </w:r>
    </w:p>
    <w:p w:rsidR="00DD08F5" w:rsidRDefault="00DD08F5" w:rsidP="00DD08F5">
      <w:pPr>
        <w:ind w:firstLine="720"/>
        <w:jc w:val="both"/>
      </w:pPr>
      <w:r>
        <w:rPr>
          <w:bCs/>
          <w:i/>
          <w:iCs/>
        </w:rPr>
        <w:t xml:space="preserve">2009 06 10 </w:t>
      </w:r>
      <w:r>
        <w:t>vyko Narkomanijos ir alkoholizmo prevencijos komisijos posėdis, kuriame svarstyti klausimai: dėl Narkotikų kontrolės departamento prie Lietuvos Respublikos Vyriausybės veiklos; dėl neformaliojo vaikų ir jaunimo ugdymo krepšelio, kurį sudarytų savivaldybių, valstybės biudžeto, programinės lėšos, įvedimo, taikant mokyklose įvairias ugdymo metodikas, orientuojant į kompetencijų ugdymą, ugdymo individualizavimą, atsižvelgiant į skirtingus mokinių poreikius ir siekiant, kad dauguma vaikų dalyvautų bent vienos neformaliojo ugdymo veiklos  užsiėmimuose; dėl vaikų popamokinio užimtumo;  pritarta “Lietuvos Respublikos Seimo Narkomanijos ir alkoholizmo prevencijos komisijos nuostatų patvirtinimo” priedelio papildymo projektui.</w:t>
      </w:r>
    </w:p>
    <w:p w:rsidR="00DD08F5" w:rsidRDefault="00DD08F5" w:rsidP="00DD08F5">
      <w:pPr>
        <w:ind w:firstLine="720"/>
        <w:jc w:val="both"/>
      </w:pPr>
      <w:r>
        <w:rPr>
          <w:bCs/>
          <w:i/>
          <w:iCs/>
        </w:rPr>
        <w:t xml:space="preserve">2009 07 08 </w:t>
      </w:r>
      <w:r>
        <w:t xml:space="preserve">vyko Narkomanijos ir alkoholizmo prevencijos komisijos posėdis, kuriame svarstytas “Pirminė sveikatos priežiūra asmenims, turintiems priklausomybės nuo narkotinių ir psichotropinių medžiagų bei alkoholio” klausimas. </w:t>
      </w:r>
    </w:p>
    <w:p w:rsidR="00DD08F5" w:rsidRDefault="00DD08F5" w:rsidP="00DD08F5">
      <w:pPr>
        <w:jc w:val="both"/>
      </w:pPr>
      <w:r>
        <w:t xml:space="preserve">  </w:t>
      </w:r>
      <w:r>
        <w:tab/>
      </w:r>
      <w:r>
        <w:rPr>
          <w:bCs/>
          <w:i/>
          <w:iCs/>
        </w:rPr>
        <w:t xml:space="preserve">2009 07 15  </w:t>
      </w:r>
      <w:r>
        <w:t>vyko Narkomanijos ir alkoholizmo prevencijos komisijos posėdis, kuriame buvo tęsiamas “Pirminė sveikatos priežiūros asmenims, turintiems priklausomybės nuo narkotinių ir psichotropinių medžiagų bei alkoholio klausimo” svarstymas.</w:t>
      </w:r>
    </w:p>
    <w:p w:rsidR="00DD08F5" w:rsidRDefault="00DD08F5" w:rsidP="00DD08F5">
      <w:pPr>
        <w:ind w:firstLine="720"/>
        <w:jc w:val="both"/>
      </w:pPr>
      <w:r>
        <w:rPr>
          <w:bCs/>
          <w:i/>
          <w:iCs/>
        </w:rPr>
        <w:t xml:space="preserve">2009 09 16 </w:t>
      </w:r>
      <w:r>
        <w:t xml:space="preserve">vyko Narkomanijos ir alkoholizmo prevencijos komisijos posėdis, kuriame svarstytas “Efektyvios kompleksinės pagalbos vaikams sergantiems priklausomybės ligomis sistemos sukūrimo ir medicininės reabilitacijos ir sanatorinio gydymo organizavimo” klausimas. </w:t>
      </w:r>
    </w:p>
    <w:p w:rsidR="00DD08F5" w:rsidRDefault="00DD08F5" w:rsidP="00DD08F5">
      <w:pPr>
        <w:ind w:firstLine="720"/>
        <w:jc w:val="both"/>
      </w:pPr>
      <w:r>
        <w:rPr>
          <w:bCs/>
          <w:i/>
          <w:iCs/>
        </w:rPr>
        <w:lastRenderedPageBreak/>
        <w:t xml:space="preserve">2009 09 23 </w:t>
      </w:r>
      <w:r>
        <w:t>vyko bendras Narkomanijos ir alkoholizmo prevencijos komisijos, Sveikatos reikalų komiteto ir Švietimo, mokslo ir kultūros komiteto posėdis, kuriame svarstytas “Dėl apskričių funkcijų perdavimo po apskričių reformos” klausimas.</w:t>
      </w:r>
    </w:p>
    <w:p w:rsidR="00DD08F5" w:rsidRDefault="00DD08F5" w:rsidP="00DD08F5">
      <w:pPr>
        <w:ind w:firstLine="720"/>
        <w:jc w:val="both"/>
      </w:pPr>
      <w:r>
        <w:t xml:space="preserve">Priimtas bendras sprendimas prašyti Lietuvos Respublikos Vyriausybės kanceliarijos pateikti Seimui pradėto apskričių švietimo ir kultūros įstaigų perdavimo kitiems steigėjams principus, kriterijus ir modelį. Pakartotinai svarstyti švietimo įstaigų būsimo pavaldumo klausimą gavus Vyriausybės kanceliarijos atsakymus. </w:t>
      </w:r>
    </w:p>
    <w:p w:rsidR="00DD08F5" w:rsidRDefault="00DD08F5" w:rsidP="00DD08F5">
      <w:pPr>
        <w:ind w:firstLine="720"/>
        <w:jc w:val="both"/>
      </w:pPr>
      <w:r>
        <w:rPr>
          <w:bCs/>
          <w:i/>
          <w:iCs/>
        </w:rPr>
        <w:t xml:space="preserve">2009 09 30  </w:t>
      </w:r>
      <w:r>
        <w:t>vyko  Narkomanijos ir alkoholizmo prevencijos komisijos posėdis, kuriame svarstytas Vaikų socializacijos centrų perspektyvos klausimas; svarstytas klausimas dėl 2009 m. gruodžio 3-4 d. Tarptautinės konferencijos “Policijos ir socialinių partnerių bendradarbiavimas, vykdant žalingų įpročių prevenciją bei užkardant vaikų ir jaunimo nusikalstamumą”  surengimo.</w:t>
      </w:r>
    </w:p>
    <w:p w:rsidR="00DD08F5" w:rsidRDefault="00DD08F5" w:rsidP="00DD08F5">
      <w:pPr>
        <w:ind w:firstLine="720"/>
        <w:jc w:val="both"/>
      </w:pPr>
      <w:r>
        <w:rPr>
          <w:bCs/>
          <w:i/>
          <w:iCs/>
        </w:rPr>
        <w:t xml:space="preserve">2009 10 14  </w:t>
      </w:r>
      <w:r>
        <w:t>vyko  Narkomanijos ir alkoholizmo prevencijos komisijos narių susitikimas su EUROPOLO SC2 vadovu Robert Hauschild ir EUROPOLO AWF “Synergy” vadovu Klaidu Kuchalskiu.</w:t>
      </w:r>
    </w:p>
    <w:p w:rsidR="00DD08F5" w:rsidRDefault="00DD08F5" w:rsidP="00DD08F5">
      <w:pPr>
        <w:ind w:firstLine="720"/>
        <w:jc w:val="both"/>
      </w:pPr>
      <w:r>
        <w:rPr>
          <w:bCs/>
          <w:i/>
          <w:iCs/>
        </w:rPr>
        <w:t xml:space="preserve">2009 11 06  </w:t>
      </w:r>
      <w:r>
        <w:t>vyko  Narkomanijos ir alkoholizmo prevencijos komisijos posėdis, kuriame išklausyta informacija dėl neteisėtos sintetinių narkotikų gamybos ir dėl narkotinių ir psichotropinių medžiagų pirmtakų (prekursorių) kontrolės; pritarta  siūlymui  2010 metų valstybės biudžeto ir savivaldybių biudžetų finansinių rodiklių patvirtinimo įstatymo projekte Nr. XIP – 1220 įstatymo papildymui;  pritarta siūlymui pakeisti Operatyvinės veiklos įstatymo 10 straipsnio 4 dalį.</w:t>
      </w:r>
    </w:p>
    <w:p w:rsidR="00DD08F5" w:rsidRDefault="00DD08F5" w:rsidP="00DD08F5">
      <w:pPr>
        <w:ind w:firstLine="720"/>
        <w:jc w:val="both"/>
        <w:rPr>
          <w:color w:val="000000"/>
        </w:rPr>
      </w:pPr>
      <w:r>
        <w:rPr>
          <w:color w:val="000000"/>
        </w:rPr>
        <w:t xml:space="preserve">Priimtas sprendimas - siūlyti </w:t>
      </w:r>
      <w:r>
        <w:t>2010 metų valstybės biudžeto ir savivaldybių biudžetų finansinių rodiklių patvirtinimo įstatymo projekte Nr. XIP-1220</w:t>
      </w:r>
      <w:r>
        <w:rPr>
          <w:color w:val="000000"/>
        </w:rPr>
        <w:t xml:space="preserve"> įstatymų papildyme, </w:t>
      </w:r>
      <w:r>
        <w:t>neteisėtos narkotikų apyvartos kontrolės funkcijos vykdymui</w:t>
      </w:r>
      <w:r>
        <w:rPr>
          <w:color w:val="000000"/>
        </w:rPr>
        <w:t xml:space="preserve"> s</w:t>
      </w:r>
      <w:r>
        <w:t>kirti 2010 metams Policijos departamentui prie Vidaus reikalų ministerijos papildomus  500 000 litų, nukreipiant šiuos finansus materialinio techninio pareigūnų aprūpinimo gerinimui bei administracinius gebėjimus tobulinti, nacionaliniam koordinavimui gerinti ir  tarptautiniam bendradarbiavimui skatinti.</w:t>
      </w:r>
    </w:p>
    <w:p w:rsidR="00DD08F5" w:rsidRDefault="00DD08F5" w:rsidP="00DD08F5">
      <w:pPr>
        <w:ind w:right="-50" w:firstLine="720"/>
        <w:jc w:val="both"/>
      </w:pPr>
      <w:r>
        <w:rPr>
          <w:color w:val="000000"/>
        </w:rPr>
        <w:t>Komisija priėmė sprendimą siūlyti pak</w:t>
      </w:r>
      <w:r>
        <w:t>eisti Operatyvinės veiklos įstatymo 10 straipsnio 4 dalį ir ją išdėstyti taip:</w:t>
      </w:r>
    </w:p>
    <w:p w:rsidR="00DD08F5" w:rsidRDefault="00DD08F5" w:rsidP="00DD08F5">
      <w:pPr>
        <w:ind w:firstLine="720"/>
        <w:jc w:val="both"/>
      </w:pPr>
      <w:r>
        <w:t>„</w:t>
      </w:r>
      <w:r>
        <w:rPr>
          <w:rStyle w:val="typewriter"/>
        </w:rPr>
        <w:t xml:space="preserve">4. Teikime nurodoma: </w:t>
      </w:r>
    </w:p>
    <w:p w:rsidR="00DD08F5" w:rsidRDefault="00DD08F5" w:rsidP="00DD08F5">
      <w:pPr>
        <w:ind w:firstLine="720"/>
        <w:jc w:val="both"/>
      </w:pPr>
      <w:r>
        <w:t>1) teikimą pateikusio pareigūno vardas, pavardė, pareigos;</w:t>
      </w:r>
    </w:p>
    <w:p w:rsidR="00DD08F5" w:rsidRDefault="00DD08F5" w:rsidP="00DD08F5">
      <w:pPr>
        <w:ind w:right="-50" w:firstLine="720"/>
        <w:jc w:val="both"/>
        <w:rPr>
          <w:bCs/>
        </w:rPr>
      </w:pPr>
      <w:r>
        <w:rPr>
          <w:rStyle w:val="Typewriter0"/>
          <w:rFonts w:ascii="Times New Roman" w:eastAsiaTheme="majorEastAsia" w:hAnsi="Times New Roman"/>
          <w:bCs/>
          <w:sz w:val="24"/>
        </w:rPr>
        <w:t>2) duomenys apie asmenis (vardas ir pavardė, asmens kodas, kai tokie duomenys turimi), kuriems bus taikomi operatyviniai veiksmai, arba asmens ar objekto apibūdinimas ir (arba) duomenys apie galinį įrenginį, kurio pagalba bus perduodama informacija (identifikacinis numeris, pavadinimas ir (arba) galinio įrenginio buvimo adresas);</w:t>
      </w:r>
    </w:p>
    <w:p w:rsidR="00DD08F5" w:rsidRDefault="00DD08F5" w:rsidP="00DD08F5">
      <w:pPr>
        <w:ind w:firstLine="720"/>
        <w:jc w:val="both"/>
      </w:pPr>
      <w:r>
        <w:rPr>
          <w:rStyle w:val="typewriter"/>
        </w:rPr>
        <w:t>3) duomenys (motyvai), pagrindžiantys būtinumą atlikti operatyvinius veiksmus;</w:t>
      </w:r>
    </w:p>
    <w:p w:rsidR="00DD08F5" w:rsidRDefault="00DD08F5" w:rsidP="00DD08F5">
      <w:pPr>
        <w:ind w:firstLine="720"/>
        <w:jc w:val="both"/>
      </w:pPr>
      <w:r>
        <w:rPr>
          <w:rStyle w:val="typewriter"/>
        </w:rPr>
        <w:t>4) numatomos kontroliuoti pašto siuntos, dokumentų siuntos, pašto perlaidos bei jų dokumentai (kai siekiama juos kontroliuoti);</w:t>
      </w:r>
    </w:p>
    <w:p w:rsidR="00DD08F5" w:rsidRDefault="00DD08F5" w:rsidP="00DD08F5">
      <w:pPr>
        <w:ind w:firstLine="720"/>
        <w:jc w:val="both"/>
      </w:pPr>
      <w:r>
        <w:t>5) operatyvinių veiksmų taikymo trukmė;</w:t>
      </w:r>
    </w:p>
    <w:p w:rsidR="00DD08F5" w:rsidRDefault="00DD08F5" w:rsidP="00DD08F5">
      <w:pPr>
        <w:ind w:firstLine="720"/>
        <w:jc w:val="both"/>
      </w:pPr>
      <w:r>
        <w:t>6) siekiamas rezultatas.“</w:t>
      </w:r>
    </w:p>
    <w:p w:rsidR="00DD08F5" w:rsidRDefault="00DD08F5" w:rsidP="00DD08F5">
      <w:pPr>
        <w:ind w:firstLine="720"/>
        <w:jc w:val="both"/>
      </w:pPr>
      <w:r>
        <w:rPr>
          <w:bCs/>
          <w:i/>
          <w:iCs/>
        </w:rPr>
        <w:t xml:space="preserve">2009 11 11  </w:t>
      </w:r>
      <w:r>
        <w:t xml:space="preserve"> vyko Narkomanijos ir alkoholizmo prevencijos komisijos posėdis, kuriame svarstyti klausimai:  dėl neapdraustų suaugusiųjų asmenų, sergančių priklausomybės ligomis, gydymo ir šių paslaugų finansavimo 2010 metais; dėl priklausomybės ligų reabilitacijos bendruomenių asociacijos kreipimosi “Dėl socialinės reabilitacijos paslaugų asmenims, sergantiems priklausomybės ligomis, organizavimo, teikimo bei finansavimo sistemos Lietuvoje parengimo”.</w:t>
      </w:r>
    </w:p>
    <w:p w:rsidR="00DD08F5" w:rsidRDefault="00DD08F5" w:rsidP="00DD08F5">
      <w:pPr>
        <w:ind w:firstLine="720"/>
        <w:jc w:val="both"/>
      </w:pPr>
      <w:r>
        <w:rPr>
          <w:i/>
          <w:iCs/>
        </w:rPr>
        <w:t xml:space="preserve">2009 12 02  </w:t>
      </w:r>
      <w:r>
        <w:t>vyko  Narkomanijos ir alkoholizmo prevencijos komisijos posėdis, kuriame priimti sprendimai: Dėl Lietuvos Respublikos Sveikatos sistemos įstatymo papildymo  70</w:t>
      </w:r>
      <w:r>
        <w:rPr>
          <w:vertAlign w:val="superscript"/>
        </w:rPr>
        <w:t>1</w:t>
      </w:r>
      <w:r>
        <w:t xml:space="preserve"> straipsniu ir 70 straipsnio pripažinimo netekusiu galios įstatymo projekto Nr.XIP-1285 papildomo komiteto išvados; Dėl Lietuvos Respublikos alkoholio kontrolės įstatymo 12, 16, 18</w:t>
      </w:r>
      <w:r>
        <w:rPr>
          <w:vertAlign w:val="superscript"/>
        </w:rPr>
        <w:t>1</w:t>
      </w:r>
      <w:r>
        <w:t>, 29, 31, 34 straipsnių pakeitimo ir 32 straipsnio pripažinimo netekusiu galios įstatymo projekto Nr.XIP-1286 papildomo komiteto išvados; Dėl Lietuvos Respublikos tabako kontrolės įstatymo 11 ir 26 straipsnių pakeitimo įstatymo projekto Nr. XIP –1287 papildomo komiteto išvados; Dėl Lietuvos Respublikos cheminių medžiagų ir preparatų įstatymo 19 straipsnio pakeitimo įstatymo” projekto Nr. XIP – 1288 papildomo komiteto išvados; Dėl Lietuvos Respublikos narkotinių ir psichotropinių medžiagų pirmtakų (prekursorių) kontrolės įstatymo 2, 3, 4, 5, 6 ir 7 straipsnių pakeitimo įstatymo projekto Nr. XIP –1289 papildomo komiteto išvados; Dėl Lietuvos Respublikos administracinių teisės pažeidimų kodekso 224, 239, 241</w:t>
      </w:r>
      <w:r>
        <w:rPr>
          <w:vertAlign w:val="superscript"/>
        </w:rPr>
        <w:t>1</w:t>
      </w:r>
      <w:r>
        <w:t>, 259</w:t>
      </w:r>
      <w:r>
        <w:rPr>
          <w:vertAlign w:val="superscript"/>
        </w:rPr>
        <w:t>1</w:t>
      </w:r>
      <w:r>
        <w:t>,</w:t>
      </w:r>
      <w:r>
        <w:rPr>
          <w:caps/>
        </w:rPr>
        <w:t xml:space="preserve"> </w:t>
      </w:r>
      <w:r>
        <w:t>320 straipsnių pakeitimo ir 185</w:t>
      </w:r>
      <w:r>
        <w:rPr>
          <w:vertAlign w:val="superscript"/>
        </w:rPr>
        <w:t>3</w:t>
      </w:r>
      <w:r>
        <w:t>, 247</w:t>
      </w:r>
      <w:r>
        <w:rPr>
          <w:vertAlign w:val="superscript"/>
        </w:rPr>
        <w:t>5</w:t>
      </w:r>
      <w:r>
        <w:t xml:space="preserve"> straipsnių pripažinimo netekusiais galios įstatymo  projekto Nr. XIP – 1290 papildomo komiteto išvados. Projektai atmesti, atsižvelgiant į </w:t>
      </w:r>
      <w:r>
        <w:lastRenderedPageBreak/>
        <w:t xml:space="preserve">Seimo kanceliarijos Teisės departamento, Valstybinės tabako ir alkoholio kontrolės tarnybos prie Lietuvos Respublikos Vyriausybės, Nacionalinės tabako ir alkoholio kontrolės koalicijos, Nacionalinės Sveikatos Tarybos  ir Narkotikų kontrolės departamento prie Lietuvos Respublikos Vyriausybės pastabas bei pasiūlymus ir į tai, kad Įstatymų projektų Nr. XIP – 1285, Nr. XIP – 1286, Nr. XIP – 1287, Nr. XIP – 1288, Nr. XIP – 1289, Nr. XIP – 1290  tikslai neatitinka Aiškinamuosiuose raštuose nurodytų Lietuvos Respublikos Vyriausybės  2009 m. rugpjūčio 19 d. pasitarimo protokolo Nr. 62 8 punkto nuostatų reorganizuoti Valstybinę tabako ir alkoholio kontrolės tarnybą prie Lietuvos Respublikos Vyriausybės ir Narkotikų kontrolės departamentą prie Lietuvos Respublikos Vyriausybės, įsteigiant Narkotikų, tabako ir alkoholio priežiūros departamentą prie Sveikatos apsaugos ministerijos ir tokiu būdu spręsti Vyriausybei tiesiogiai pavaldžių skirtingos funkcinės paskirties įstaigų statuso ir pavaldumo klausimus. Pasiūlyta Lietuvos Respublikos Vyriausybei parengti  narkotinių ir psichotropinių medžiagų, narkotinių ir psichotropinių medžiagų pirmtakų (prekursorių), alkoholio ir tabako kontrolės koncepciją ir pateikti Lietuvos Respublikos Seimui; priimtas sprendimas užregistruoti parengtą Lietuvos Respublikos Operatyvinės veiklos įstatymo 10 straipsnio 4 dalies pakeitimo įstatymo projektą. </w:t>
      </w:r>
    </w:p>
    <w:p w:rsidR="00DD08F5" w:rsidRDefault="00DD08F5" w:rsidP="00DD08F5">
      <w:pPr>
        <w:ind w:firstLine="720"/>
        <w:jc w:val="both"/>
      </w:pPr>
      <w:r>
        <w:rPr>
          <w:i/>
          <w:iCs/>
        </w:rPr>
        <w:t xml:space="preserve">2009 12 16  </w:t>
      </w:r>
      <w:r>
        <w:t xml:space="preserve">vyko  Narkomanijos ir alkoholizmo prevencijos komisijos posėdis, kuriame svarstyti klausimai: dėl Lietuvos pirmininkavimo  2011- 2012 metais  Baltijos jūros regiono valstybių Kovos su organizuotu nusikalstamumu darbo grupei; dėl Valstybinės  ŽIV/AIDS ir lytiškai plintančių infekcijų profilaktikos ir kontrolės  2009-2012 metų programos projekto. Priimtas sprendimas siūlyti Lietuvos Respublikos Vyriausybei  tobulinti Valstybinės  ŽIV/AIDS ir lytiškai plintančių infekcijų profilaktikos ir kontrolės  2009-2012 metų programos projektą ir iki 2010 m. balandžio mėn. pateikti patobulintą Valstybinės  ŽIV/AIDS ir lytiškai plintančių infekcijų profilaktikos ir kontrolės  2009-2012 metų programos projektą  Lietuvos Respublikos Seimo Narkomanijos ir alkoholizmo prevencijos komisijai svarstymui. Išbraukti iš Programos farmakoterapijos opioidiniais vaistiniais preparatais, tarp narkotinių ir psichotropinių medžiagų vartotojų ir jų partnerių taikymą, kaip nepagrįstą moksliniais tyrimais. </w:t>
      </w:r>
    </w:p>
    <w:p w:rsidR="00DD08F5" w:rsidRDefault="00DD08F5" w:rsidP="00DD08F5">
      <w:pPr>
        <w:ind w:firstLine="720"/>
        <w:jc w:val="both"/>
      </w:pPr>
    </w:p>
    <w:p w:rsidR="00DD08F5" w:rsidRDefault="00DD08F5" w:rsidP="00DD08F5">
      <w:pPr>
        <w:ind w:firstLine="720"/>
        <w:jc w:val="both"/>
        <w:rPr>
          <w:b/>
          <w:bCs/>
        </w:rPr>
      </w:pPr>
      <w:r>
        <w:rPr>
          <w:b/>
          <w:bCs/>
        </w:rPr>
        <w:t>Narkomanijos ir alkoholizmo prevencijos komisijos veikla 2009 metais</w:t>
      </w:r>
    </w:p>
    <w:p w:rsidR="00DD08F5" w:rsidRDefault="00DD08F5" w:rsidP="00DD08F5">
      <w:pPr>
        <w:ind w:firstLine="720"/>
        <w:jc w:val="both"/>
        <w:rPr>
          <w:b/>
          <w:bCs/>
        </w:rPr>
      </w:pPr>
    </w:p>
    <w:p w:rsidR="00DD08F5" w:rsidRDefault="00DD08F5" w:rsidP="00DD08F5">
      <w:pPr>
        <w:ind w:firstLine="720"/>
        <w:jc w:val="both"/>
      </w:pPr>
      <w:r>
        <w:t>Narkomanijos ir alkoholizmo prevencijos komisijos veikla 2009 metais buvo vykdoma vadovaujantis nuostatais, Komisijos patvirtintu 2009 metų veiklos planu ir pagal patvirtintas prioritetines veiklos kryptis.</w:t>
      </w:r>
    </w:p>
    <w:p w:rsidR="00DD08F5" w:rsidRDefault="00DD08F5" w:rsidP="00DD08F5">
      <w:pPr>
        <w:ind w:firstLine="720"/>
        <w:jc w:val="both"/>
      </w:pPr>
      <w:r>
        <w:t>Pagrindinis ilgalaikis Narkomanijos ir alkoholizmo prevencijos komisijos tikslas – užtikrinti valstybės interesus sudarant palankias sąlygas įgyvendinti valstybės narkomanijos ir alkoholizmo prevencijos, narkotikų ir alkoholio kontrolės politiką. Šio tikslo Komisija siekia atsižvelgdama į esamą narkomanijos ir alkoholizmo Lietuvoje situaciją, išskirdama prioritetines narkomanijos ir alkoholizmo prevencijos, narkotikų bei alkoholio kontrolės kryptis ir nuosekliai įgyvendindama priemones, didinančias narkomanijos ir alkoholizmo prevencijos Lietuvoje veiksmingumą.</w:t>
      </w:r>
    </w:p>
    <w:p w:rsidR="00DD08F5" w:rsidRDefault="00DD08F5" w:rsidP="00DD08F5">
      <w:pPr>
        <w:jc w:val="both"/>
      </w:pPr>
      <w:r>
        <w:t xml:space="preserve"> </w:t>
      </w:r>
      <w:r>
        <w:tab/>
        <w:t>Narkomanijos ir alkoholizmo prevencijos komisija atlieka šias funkcijas:</w:t>
      </w:r>
    </w:p>
    <w:p w:rsidR="00DD08F5" w:rsidRDefault="00DD08F5" w:rsidP="00DD08F5">
      <w:pPr>
        <w:jc w:val="both"/>
      </w:pPr>
      <w:r>
        <w:t xml:space="preserve"> </w:t>
      </w:r>
      <w:r>
        <w:tab/>
        <w:t>formuoja</w:t>
      </w:r>
      <w:r>
        <w:rPr>
          <w:bCs/>
        </w:rPr>
        <w:t xml:space="preserve"> </w:t>
      </w:r>
      <w:r>
        <w:t>valstybės strategiją ir politiką narkotikų kontrolės ir narkomanijos prevencijos srityje;</w:t>
      </w:r>
    </w:p>
    <w:p w:rsidR="00DD08F5" w:rsidRDefault="00DD08F5" w:rsidP="00DD08F5">
      <w:pPr>
        <w:ind w:firstLine="720"/>
        <w:jc w:val="both"/>
      </w:pPr>
      <w:r>
        <w:t>formuoja valstybės strategiją ir politiką alkoholio kontrolės ir alkoholizmo prevencijos srityje;</w:t>
      </w:r>
    </w:p>
    <w:p w:rsidR="00DD08F5" w:rsidRDefault="00DD08F5" w:rsidP="00DD08F5">
      <w:pPr>
        <w:ind w:firstLine="720"/>
        <w:jc w:val="both"/>
      </w:pPr>
      <w:r>
        <w:t>prižiūri, kaip įgyvendinama valstybės strategija ir politika narkotikų ir alkoholio  kontrolės, narkomanijos ir alkoholizmo prevencijos srityse;</w:t>
      </w:r>
    </w:p>
    <w:p w:rsidR="00DD08F5" w:rsidRDefault="00DD08F5" w:rsidP="00DD08F5">
      <w:pPr>
        <w:ind w:firstLine="720"/>
        <w:jc w:val="both"/>
      </w:pPr>
      <w:r>
        <w:t>inicijuoja ir rengia įstatymų, Seimo nutarimų ir rezoliucijų projektus narkotikų ir alkoholio kontrolės, narkomanijos ir alkoholizmo  prevencijos klausimais;</w:t>
      </w:r>
    </w:p>
    <w:p w:rsidR="00DD08F5" w:rsidRDefault="00DD08F5" w:rsidP="00DD08F5">
      <w:pPr>
        <w:ind w:firstLine="720"/>
        <w:jc w:val="both"/>
      </w:pPr>
      <w:r>
        <w:t xml:space="preserve">bendradarbiauja koordinuojant Seimo komitetų ir komisijų darbą narkotikų ir alkoholio kontrolės, narkomanijos ir alkoholizmo prevencijos srityse; </w:t>
      </w:r>
    </w:p>
    <w:p w:rsidR="00DD08F5" w:rsidRDefault="00DD08F5" w:rsidP="00DD08F5">
      <w:pPr>
        <w:ind w:firstLine="720"/>
        <w:jc w:val="both"/>
      </w:pPr>
      <w:r>
        <w:t>atlieka Nacionalinės narkotikų kontrolės ir narkomanijos prevencijos 2009–2016 metų programos įgyvendinimo parlamentinę kontrolę;</w:t>
      </w:r>
    </w:p>
    <w:p w:rsidR="00DD08F5" w:rsidRDefault="00DD08F5" w:rsidP="00DD08F5">
      <w:pPr>
        <w:ind w:firstLine="720"/>
        <w:jc w:val="both"/>
      </w:pPr>
      <w:r>
        <w:t>atlieka valstybės alkoholio kontrolės  programų įgyvendinimo parlamentinę kontrolę;</w:t>
      </w:r>
    </w:p>
    <w:p w:rsidR="00DD08F5" w:rsidRDefault="00DD08F5" w:rsidP="00DD08F5">
      <w:pPr>
        <w:ind w:firstLine="720"/>
        <w:jc w:val="both"/>
      </w:pPr>
      <w:r>
        <w:t>atlieka Narkotinių ir psichotropinių medžiagų kontrolės įstatymo, Narkotinių ir psichotropinių medžiagų pirmtakų (prekursorių) kontrolės įstatymo, Alkoholio kontrolės įstatymo nuostatų įgyvendinimo parlamentinę kontrolę;</w:t>
      </w:r>
    </w:p>
    <w:p w:rsidR="00DD08F5" w:rsidRDefault="00DD08F5" w:rsidP="00DD08F5">
      <w:pPr>
        <w:ind w:firstLine="720"/>
        <w:jc w:val="both"/>
      </w:pPr>
      <w:r>
        <w:lastRenderedPageBreak/>
        <w:t>prisideda stiprindama visuomenės sveikatą ir užtikrina valstybės, savivaldybių institucijų bei visuomeninių organizacijų dalyvavimą sprendžiant narkomanijos ir alkoholizmo prevencijos problemas;</w:t>
      </w:r>
    </w:p>
    <w:p w:rsidR="00DD08F5" w:rsidRDefault="00DD08F5" w:rsidP="00DD08F5">
      <w:pPr>
        <w:ind w:firstLine="720"/>
        <w:jc w:val="both"/>
      </w:pPr>
      <w:r>
        <w:t xml:space="preserve">siekia, kad veiksmingai būtų įgyvendinamos vaikų ir jaunimo socializacijos programos ir Jaunimo politikos pagrindų įstatymas narkotikų ir alkoholio kontrolės, narkomanijos ir alkoholizmo prevencijos srityse; </w:t>
      </w:r>
    </w:p>
    <w:p w:rsidR="00DD08F5" w:rsidRDefault="00DD08F5" w:rsidP="00DD08F5">
      <w:pPr>
        <w:ind w:firstLine="720"/>
        <w:jc w:val="both"/>
      </w:pPr>
      <w:r>
        <w:t xml:space="preserve">siekia, kad veiksmingai būtų įgyvendinamos Nepilnamečių justicijos programoje numatytos priemonės dėl teisę pažeidusių nepilnamečių resocializacijos narkotikų ir alkoholio kontrolės, narkomanijos ir alkoholizmo prevencijos srityse; </w:t>
      </w:r>
    </w:p>
    <w:p w:rsidR="00DD08F5" w:rsidRDefault="00DD08F5" w:rsidP="00DD08F5">
      <w:pPr>
        <w:ind w:firstLine="720"/>
        <w:jc w:val="both"/>
      </w:pPr>
      <w:r>
        <w:t xml:space="preserve">siekia, kad veiksmingai būtų įgyvendinamos Valstybinės švietimo strategijos 2003–2012 metų nuostatos narkotikų ir alkoholio kontrolės, narkomanijos ir alkoholizmo prevencijos srityse; </w:t>
      </w:r>
    </w:p>
    <w:p w:rsidR="00DD08F5" w:rsidRDefault="00DD08F5" w:rsidP="00DD08F5">
      <w:pPr>
        <w:ind w:firstLine="720"/>
        <w:jc w:val="both"/>
      </w:pPr>
      <w:r>
        <w:t>skatina visų lygių tarptautinį bendradarbiavimą su kitomis Europos Sąjungos valstybėmis narėmis ir tarptautinėmis organizacijomis alkoholio vartojimo mažinimo klausimais, stiprinant narkomanijos ir alkoholizmo prevenciją, narkotikų ir alkoholio kontrolę atliekančių institucijų ir jų atstovų tarpusavio ryšius;</w:t>
      </w:r>
    </w:p>
    <w:p w:rsidR="00DD08F5" w:rsidRDefault="00DD08F5" w:rsidP="00DD08F5">
      <w:pPr>
        <w:ind w:firstLine="720"/>
        <w:jc w:val="both"/>
      </w:pPr>
      <w:r>
        <w:t>rūpinasi, kad visuomenė būtų išsamiai informuojama apie veiksmingus narkotikų ir alkoholio kontrolės, narkomanijos ir alkoholizmo prevencijos būdus;</w:t>
      </w:r>
    </w:p>
    <w:p w:rsidR="00DD08F5" w:rsidRDefault="00DD08F5" w:rsidP="00DD08F5">
      <w:pPr>
        <w:ind w:firstLine="720"/>
        <w:jc w:val="both"/>
        <w:rPr>
          <w:u w:val="single"/>
        </w:rPr>
      </w:pPr>
      <w:r>
        <w:t>plečia ir stiprina tarpparlamentinius ryšius narkomanijos ir alkoholizmo  prevencijos, narkotikų ir alkoholio kontrolės klausimais.</w:t>
      </w:r>
      <w:r>
        <w:rPr>
          <w:u w:val="single"/>
        </w:rPr>
        <w:t xml:space="preserve"> </w:t>
      </w:r>
    </w:p>
    <w:p w:rsidR="00DD08F5" w:rsidRDefault="00DD08F5" w:rsidP="00DD08F5">
      <w:pPr>
        <w:ind w:firstLine="720"/>
        <w:jc w:val="both"/>
      </w:pPr>
      <w:r>
        <w:t>Komisija, įgyvendindama jai pavestas funkcijas, turi teisę: svarstyti ir teikti pasiūlymus Seimui ir Vyriausybei dėl narkotikų ir alkoholio  kontrolės, narkomanijos ir alkoholizmo prevencijos prioritetų; rengti ir svarstyti Lietuvos Respublikos įstatymų ir kitų teisės aktų, susijusių su narkotikų ir alkoholio kontrole, narkomanijos ir alkoholizmo prevencija, projektus; dalyvauti svarstant Seimo komitetų ir kitų komisijų, taip pat Vyriausybės ir kitų valstybės institucijų parengtus įstatymų, programų ir kitų teisės norminių aktų, tiesiogiai ar netiesiogiai susijusių su narkotikų ir alkoholio kontrole, narkomanijos ir alkoholizmo prevencija, projektus ir teikti išvadas dėl jų; rūpintis narkotikų ir alkoholio kontrolės, narkomanijos ir alkoholizmo prevencijos programų finansavimo užtikrinimu, rengti pasiūlymus narkotikų ir alkoholio kontrolės, narkomanijos ir alkoholizmo prevencijos klausimais ilgalaikėms valstybės bei kitoms strateginėms nacionalinio saugumo, vaikų ir jaunimo socializacijos, jaunimo politikos, nepilnamečių justicijos, švietimo, šeimos politikos programoms; išklausyti ministerijų ir kitų valstybės institucijų informaciją bei pranešimus, kaip vykdomi Lietuvos Respublikos įstatymai ir kiti teisės norminiai aktai, taip pat informaciją apie Lietuvos Respublikos teikiamas ataskaitas tarptautinėms organizacijoms narkotikų ir alkoholio kontrolės, narkomanijos ir alkoholizmo prevencijos klausimais ir šiais klausimais teikti pasiūlymus; dalyvauti visuomenės informavimo narkotikų ir alkoholio kontrolės, narkomanijos ir alkoholizmo prevencijos klausimais veikloje; dalyvauti tarpparlamentinių ryšių grupių veikloje narkotikų ir alkoholio kontrolės, narkomanijos ir alkoholizmo  prevencijos srityse; reguliariai susitikti su Europos narkotikų ir narkomanijos stebėsenos centro (EMCDDA), Europolo, Interpolo, Jungtinių Tautų Tarptautinio narkotikų kontrolės komiteto (INCB) atstovais ir kitomis šioje srityje veikiančiomis organizacijomis; organizuoti seminarus, konferencijas narkotikų ir alkoholio kontrolės, narkomanijos ir alkoholizmo prevencijos klausimais, aktyviai dalyvauti kitų institucijų rengiamuose tokio pobūdžio renginiuose; svarstyti gautus pasiūlymus dėl įstatymų ir kitų teisės aktų, reglamentuojančių narkotikų ir alkoholio kontrolę, narkomanijos ir alkoholizmo prevenciją.</w:t>
      </w:r>
    </w:p>
    <w:p w:rsidR="00DD08F5" w:rsidRDefault="00DD08F5" w:rsidP="00DD08F5">
      <w:pPr>
        <w:jc w:val="both"/>
        <w:rPr>
          <w:bCs/>
        </w:rPr>
      </w:pPr>
      <w:r>
        <w:tab/>
        <w:t xml:space="preserve">2009 metais Narkomanijos ir alkoholizmo prevencijos komisijos veiklos </w:t>
      </w:r>
      <w:r>
        <w:rPr>
          <w:bCs/>
        </w:rPr>
        <w:t>prioritetinės kryptys:</w:t>
      </w:r>
    </w:p>
    <w:p w:rsidR="00DD08F5" w:rsidRDefault="00DD08F5" w:rsidP="00DD08F5">
      <w:pPr>
        <w:ind w:firstLine="720"/>
        <w:jc w:val="both"/>
      </w:pPr>
      <w:r>
        <w:rPr>
          <w:bCs/>
        </w:rPr>
        <w:t xml:space="preserve"> </w:t>
      </w:r>
      <w:r>
        <w:t>Valstybės strategijos ir politikos, orientuotos į alkoholizmo ir narkomanijos prevenciją,  narkotikų kontrolę formavimas,  prioritetų nustatymas.</w:t>
      </w:r>
    </w:p>
    <w:p w:rsidR="00DD08F5" w:rsidRDefault="00DD08F5" w:rsidP="00DD08F5">
      <w:pPr>
        <w:ind w:firstLine="720"/>
        <w:jc w:val="both"/>
      </w:pPr>
      <w:r>
        <w:t>Tarptautinių konvencijų ir rekomendacijų (Jungtinių Tautų Organizacijos, Europos Tarybos, Europos Sąjungos) įgyvendinimas nacionaliniuose įstatymuose narkotikų kontrolės, alkoholizmo ir narkomanijos prevencijos  klausimais.</w:t>
      </w:r>
    </w:p>
    <w:p w:rsidR="00DD08F5" w:rsidRDefault="00DD08F5" w:rsidP="00DD08F5">
      <w:pPr>
        <w:ind w:firstLine="720"/>
        <w:jc w:val="both"/>
      </w:pPr>
      <w:r>
        <w:t>Diskusijų ir konferencijų narkotikų kontrolės, alkoholizmo ir narkomanijos prevencijos klausimais organizavimas.</w:t>
      </w:r>
    </w:p>
    <w:p w:rsidR="00DD08F5" w:rsidRDefault="00DD08F5" w:rsidP="00DD08F5">
      <w:pPr>
        <w:ind w:firstLine="720"/>
        <w:jc w:val="both"/>
      </w:pPr>
      <w:r>
        <w:t>Narkomanijos ir alkoholizmo prevencijos komisija, vykdydama parlamentinę kontrolę, analizavo kaip yra vykdoma narkomanijos ir alkoholizmo prevencija, narkotikų ir alkoholio kontrolė,  nagrinėjo informaciją apie esamą situaciją. Komisija posėdžiuose padarė išvadas ir priėmė sprendimus,  pateikė siūlymus Lietuvos Respublikos Vyriausybei.</w:t>
      </w:r>
    </w:p>
    <w:p w:rsidR="00DD08F5" w:rsidRDefault="00DD08F5" w:rsidP="00DD08F5">
      <w:pPr>
        <w:jc w:val="both"/>
      </w:pPr>
    </w:p>
    <w:p w:rsidR="00DD08F5" w:rsidRDefault="00DD08F5" w:rsidP="00DD08F5">
      <w:pPr>
        <w:jc w:val="both"/>
      </w:pPr>
      <w:r>
        <w:tab/>
        <w:t>Narkomanijos ir alkoholizmo prevencijos komisijos parlamentinė kontrolė:</w:t>
      </w:r>
    </w:p>
    <w:p w:rsidR="00DD08F5" w:rsidRDefault="00DD08F5" w:rsidP="00DD08F5">
      <w:pPr>
        <w:jc w:val="both"/>
      </w:pPr>
    </w:p>
    <w:p w:rsidR="00DD08F5" w:rsidRDefault="00DD08F5" w:rsidP="00DD08F5">
      <w:pPr>
        <w:jc w:val="both"/>
        <w:rPr>
          <w:b/>
          <w:bCs/>
        </w:rPr>
      </w:pPr>
      <w:r>
        <w:tab/>
      </w:r>
      <w:r>
        <w:rPr>
          <w:b/>
          <w:bCs/>
        </w:rPr>
        <w:t>I.</w:t>
      </w:r>
      <w:r>
        <w:t xml:space="preserve"> </w:t>
      </w:r>
      <w:r>
        <w:rPr>
          <w:b/>
          <w:bCs/>
        </w:rPr>
        <w:t>Dėl paauglių svaiginimosi vaistais, alkoholiu, narkotinėmis ir psichotropinėmis medžiagomis, kitomis medžiagomis ir apsinuodijimų jais</w:t>
      </w:r>
    </w:p>
    <w:p w:rsidR="00DD08F5" w:rsidRDefault="00DD08F5" w:rsidP="00DD08F5">
      <w:pPr>
        <w:pStyle w:val="Normal1"/>
        <w:rPr>
          <w:caps/>
          <w:szCs w:val="24"/>
          <w:lang w:val="lt-LT"/>
        </w:rPr>
      </w:pPr>
      <w:r>
        <w:rPr>
          <w:caps/>
          <w:szCs w:val="24"/>
          <w:lang w:val="lt-LT"/>
        </w:rPr>
        <w:tab/>
        <w:t xml:space="preserve"> </w:t>
      </w:r>
    </w:p>
    <w:p w:rsidR="00DD08F5" w:rsidRDefault="00DD08F5" w:rsidP="00DD08F5">
      <w:pPr>
        <w:ind w:firstLine="720"/>
        <w:jc w:val="both"/>
      </w:pPr>
      <w:r>
        <w:t xml:space="preserve">Seimo Narkomanijos ir alkoholizmo prevencijos komisija (toliau – Komisija) gavusi: Seimo Sveikatos reikalų komiteto 2008 12 08 raštą Nr. V-2008-4283 “Dėl Sveikatos apsaugos ministerijos pateiktos informacijos” dėl paauglių svaiginimosi vaistais;  2009 02 05 raštą Nr.V- 2009-583 “Dėl Vidaus reikalų ministerijos pateiktos informacijos” ir  2009 02 05 raštą Nr.V- 2009-585 “Dėl Policijos departamento prie Lietuvos Respublikos Vidaus reikalų ministerijos pateiktos informacijos” dėl prekybos galbūt pavojingomis sveikatai svaigiomis medžiagomis; 2009 02 05 raštą Nr.V- 2009-584 “Dėl Narkotikų kontrolės departamento prie Lietuvos Respublikos Vyriausybės pateiktos informacijos” dėl prekybos galimai pavojingomis sveikatai psichoaktyvų poveikį sukeliančiomis medžiagomis; 2009 02 05 raštą Nr.V- 2009-588 “Dėl Lietuvos Respublikos Vaiko teisių apsaugos kontrolieriaus pateiktos informacijos” dėl galimo nepilnamečių teisių bei teisėtų interesų pažeidimo, pradėjo tyrimą.        </w:t>
      </w:r>
    </w:p>
    <w:p w:rsidR="00DD08F5" w:rsidRDefault="00DD08F5" w:rsidP="00DD08F5">
      <w:pPr>
        <w:ind w:firstLine="720"/>
        <w:jc w:val="both"/>
      </w:pPr>
      <w:r>
        <w:t>Taip pat, Komisijoje buvo gautas Narkotikų kontrolės departamento prie Lietuvos Respublikos Vyriausybės adresuotas Ūkio  ministerijai ir Sveikatos apsaugos ministerijai 2008 12 05 raštas Nr. S-(4.3-11)-721 “Dėl augalų, kurie gali būti vartojami svaiginimuisi ir yra rūkalų, uostomųjų rūkalų, arbatų ar maisto papildų sudėtyje”, kuriame buvo siūloma Ūkio,  Sveikatos apsaugos ministerijoms išanalizuoti ir, esant reikalui, inicijuoti teisės aktų pakeitimus, parengiant draudžiamų augalų, naudojamų rūkalams, kuriuose nėra tabako, sąrašą bei siekiant, kad Tabako kontrolės įstatyme ar Lietuvos higienos normoje HN 38:2002 “Didžiausi leidžiami kenksmingų medžiagų kiekiai tabako gaminiuose”, patvirtintoje  Lietuvos Respublikos sveikatos apsaugos ministro 2002 m. birželio 28 d. įsakymu Nr. 317 (Žin., 2002, Nr. 70-2934) atsirastų nuostatos dėl minėtų rūkymui skirtų medžiagų. Narkotikų kontrolės departamentas prie Lietuvos Respublikos Vyriausybės pasiūlė peržiūrėti ir, esant reikalui, papildyti Valstybinės vaistų kontrolės tarnybos prie Sveikatos apsaugos ministerijos įsakymą ”Dėl vaistinių augalų ir jų dalių (įskaitant sėklas, vaisius ir uogas), kuriuos leidžiama vartoti farmacijoje šviežius arba džiovintus, smulkintus arba nesmulkintus, sumaltus į miltelius arba nesumaltus, bei farmacijoje vartojamų augalų ir jų dalių, kuriuos leidžiama vartoti kaip maisto priedus ar prieskonius, sąrašų patvirtinimo bei vaistinių augalų pardavimo” (Žin., 1977, Nr. 50-1220) arba nustatyti kitas veiksmingas priemones, ribojančias augalų, kurie gali būti vartojami svaiginimuisi ir yra maisto papildų bei arbatų sudėtyje, vartojamų ne sveikatos priežiūros tikslais.</w:t>
      </w:r>
    </w:p>
    <w:p w:rsidR="00DD08F5" w:rsidRDefault="00DD08F5" w:rsidP="00DD08F5">
      <w:pPr>
        <w:pStyle w:val="Pagrindinistekstas"/>
        <w:ind w:firstLine="720"/>
      </w:pPr>
      <w:r>
        <w:t xml:space="preserve">Nagrinėjant paauglių svaiginimosi vaistais, alkoholiu, narkotinėmis ir psichotropinėmis medžiagomis, kitomis medžiagomis ir apsinuodijimų jais klausimą, buvo susipažinta su įstatatymais, kitais teisės aktais ir įstatymų įgyvendinimo priemonėmis. </w:t>
      </w:r>
    </w:p>
    <w:p w:rsidR="00DD08F5" w:rsidRDefault="00DD08F5" w:rsidP="00DD08F5">
      <w:pPr>
        <w:ind w:firstLine="720"/>
        <w:jc w:val="both"/>
      </w:pPr>
      <w:r>
        <w:t>Lietuvos Respublikos Konstitucijos 39, 40 ir 41 straipsniai nustato, kad nepilnamečius vaikus gina įstatymas, valstybė prižiūri mokymo ir auklėjimo įstaigų veiklą, asmenims iki 16 metų mokslas privalomas.</w:t>
      </w:r>
    </w:p>
    <w:p w:rsidR="00DD08F5" w:rsidRDefault="00DD08F5" w:rsidP="00DD08F5">
      <w:pPr>
        <w:ind w:firstLine="720"/>
        <w:jc w:val="both"/>
        <w:rPr>
          <w:b/>
          <w:bCs/>
        </w:rPr>
      </w:pPr>
      <w:r>
        <w:rPr>
          <w:b/>
          <w:bCs/>
          <w:i/>
          <w:iCs/>
        </w:rPr>
        <w:t>Dėl vaiko gerovės politikos</w:t>
      </w:r>
    </w:p>
    <w:p w:rsidR="00DD08F5" w:rsidRDefault="00DD08F5" w:rsidP="00DD08F5">
      <w:pPr>
        <w:pStyle w:val="Pagrindiniotekstotrauka3"/>
        <w:rPr>
          <w:b/>
          <w:bCs/>
        </w:rPr>
      </w:pPr>
      <w:r>
        <w:rPr>
          <w:b/>
          <w:bCs/>
        </w:rPr>
        <w:t xml:space="preserve">Tiriant vaiko gerovės politikos klausimus, nustatyta, kad Jungtinių Tautų vaiko teisių komitetas, 2006 metais išnagrinėjęs Lietuvos antrąją periodinę ataskaitą (CRC/C/83/Add.14), savo išvadose (CRC/CLTU/CO/2) atkreipė dėmesį į duomenų apie vaikus, priklausančius pažeidžiamiausioms grupėms, stoką, kūdikių ir mokyklinio amžiaus vaikų apsaugos priemonių per mažą finansavimą, ribotą švaraus ir nekenksmingo geriamojo vandens prieinamumą, sveikatos mokymo programų ir sveikatos paslaugų stoką mokyklose, tuberkuliozės paplitimą, vaikų savižudžių, narkotikus ir alkoholį vartojančių vaikų gausą.  </w:t>
      </w:r>
    </w:p>
    <w:p w:rsidR="00DD08F5" w:rsidRDefault="00DD08F5" w:rsidP="00DD08F5">
      <w:pPr>
        <w:pStyle w:val="Pagrindiniotekstotrauka"/>
        <w:rPr>
          <w:szCs w:val="24"/>
          <w:lang w:val="lt-LT"/>
        </w:rPr>
      </w:pPr>
      <w:r>
        <w:rPr>
          <w:szCs w:val="24"/>
          <w:lang w:val="lt-LT"/>
        </w:rPr>
        <w:t>Lietuvos Respublikos Sveikatos apsaugos ministerijos 2008 metais pateiktais atlikto tyrimo duomenimis, Lietuvos vaikai patys nelaimingiausi Europoje (iki 50 proc. 12 – 17 metų vaikai jaučia depresijos požymių), net 41,7 proc. mokyklinio amžiaus vaikų turi su psichikos sveikata susijusių problemų. Tarp mokyklinio amžiaus vaikų labai paplitusios patyčios – apie 70 proc. vaikų pažymi, kad yra patyrę šį reiškinį ir kaip aukos, ir kaip skriaudėjai. Kasmet Lietuvoje nusižudo apie 20 vaikų (2002 – 2005 metais Lietuvoje nusižudė 100 vaikų iki 18 metų), plinta narkomanija ir alkoholizmas, polinkis į nusikaltimus, kurie darosi vis žiauresni. Vis aktualesnės tampa ir kitos priklausomybės rūšys – priklausomybė nuo azartinių lošimų ar kompiuterinių žaidimų, interneto.</w:t>
      </w:r>
    </w:p>
    <w:p w:rsidR="00DD08F5" w:rsidRDefault="00DD08F5" w:rsidP="00DD08F5">
      <w:pPr>
        <w:pStyle w:val="Pagrindiniotekstotrauka3"/>
      </w:pPr>
      <w:r>
        <w:t>Tesės aktai:</w:t>
      </w:r>
    </w:p>
    <w:p w:rsidR="00DD08F5" w:rsidRDefault="00DD08F5" w:rsidP="00DD08F5">
      <w:pPr>
        <w:ind w:firstLine="720"/>
        <w:jc w:val="both"/>
        <w:rPr>
          <w:szCs w:val="14"/>
        </w:rPr>
      </w:pPr>
      <w:r>
        <w:rPr>
          <w:szCs w:val="14"/>
        </w:rPr>
        <w:t xml:space="preserve">1. Lietuvos Respublikos Vyriausybė 2001 m. liepos 27 d. nutarimu Nr. </w:t>
      </w:r>
      <w:r>
        <w:rPr>
          <w:bCs/>
          <w:szCs w:val="14"/>
        </w:rPr>
        <w:t>941</w:t>
      </w:r>
      <w:r>
        <w:rPr>
          <w:szCs w:val="14"/>
        </w:rPr>
        <w:t xml:space="preserve"> “Dėl Lietuvos nacionalinės visuomenės sveikatos priežiūros 2006 – 2013 metų strategijos ir jos įgyvendinimo </w:t>
      </w:r>
      <w:r>
        <w:rPr>
          <w:szCs w:val="14"/>
        </w:rPr>
        <w:lastRenderedPageBreak/>
        <w:t xml:space="preserve">priemonių 2006 – 2008 metų plano patvirtinimo” (nauja redakcija: Žin., 2006, Nr. 70 –2574), patvirtino Lietuvos nacionalinės visuomenės sveikatos priežiūros  2006 – 2013 metų strategiją ir jos įgyvendinimo priemonių 2006 – 2008 metų planą, kuriuose išdėstytos pagrindinės valstybės nuostatos, susijusios su visuomenės sveikatos priežiūros sistemos modernizavimu, kad ji visiškai atitiktų valstybės poreikius ir naujausius tarptautinius reikalavimus, taip pat priemones šiam tikslui pasiekti. Šios Strategijos uždaviniai – rūpintis vaikų ir jaunimo sveikatos išsaugojimu ir gerinimu, mažinti sergamumą užkrečiamosiomis ir neinfekcinėmis ligomis bei šalinti jų priežastis, įtvirtinti visuomenės sveikatos svarbą valstybės ir savivaldybių politikoje; užtikrinti pasirengimą greitai reaguoti į sveikatai kylančias grėsmes ir kt.  Kas dveji metai Sveikatos apsaugos ministerija vertina, kaip vykdomas šios Strategijos įgyvendinimo priemonių planas. </w:t>
      </w:r>
    </w:p>
    <w:p w:rsidR="00DD08F5" w:rsidRDefault="00DD08F5" w:rsidP="00DD08F5">
      <w:pPr>
        <w:ind w:firstLine="720"/>
        <w:jc w:val="both"/>
        <w:rPr>
          <w:szCs w:val="14"/>
        </w:rPr>
      </w:pPr>
      <w:r>
        <w:rPr>
          <w:szCs w:val="14"/>
        </w:rPr>
        <w:t>Vienas iš šios Strategijos vertinimo kriterijų – vaikų sveikatos būklės pokyčiai.</w:t>
      </w:r>
    </w:p>
    <w:p w:rsidR="00DD08F5" w:rsidRDefault="00DD08F5" w:rsidP="00DD08F5">
      <w:pPr>
        <w:ind w:firstLine="720"/>
        <w:jc w:val="both"/>
        <w:rPr>
          <w:szCs w:val="14"/>
        </w:rPr>
      </w:pPr>
      <w:r>
        <w:rPr>
          <w:szCs w:val="14"/>
        </w:rPr>
        <w:t>Lietuvos Respublikos Seimas 2003 m. gegužės 20 d. nutarimu Nr. IX-</w:t>
      </w:r>
      <w:r>
        <w:rPr>
          <w:bCs/>
          <w:szCs w:val="14"/>
        </w:rPr>
        <w:t xml:space="preserve">1569 </w:t>
      </w:r>
      <w:r>
        <w:rPr>
          <w:szCs w:val="14"/>
        </w:rPr>
        <w:t>“Dėl Vaiko gerovės politikos koncepcijos patvirtinimo” (Žin., 2003, NR. 52-2316), patvirtinęs Vaiko gerovės valstybės politikos koncepciją (toliau – Koncepcija) siekė tikslo – pasiekti politinį susitarimą dėl vaiko gerovę lemiančių vertybių, nuostatų ir numatyti vaiko gerovės įgyvendinimo gaires. Koncepcijoje pateikiami pagrindiniai vaiko gerovės politikos principai ir vertybės. Vadovaujantis šiais principais ir vertybėmis, konstatuojamos pagrindinės vaiko gerovės problemos Lietuvoje, numatomi pagrindiniai vaiko gerovės politikos siekiai artimiausiam dešimtmečiui pagrindinėse vaiko aprūpinimo, vaiko dalyvavimo ir vaiko apsaugos srityse, ir nurodomos vaiko gerovės politikos įgyvendinimo strateginės gairės.</w:t>
      </w:r>
    </w:p>
    <w:p w:rsidR="00DD08F5" w:rsidRDefault="00DD08F5" w:rsidP="00DD08F5">
      <w:pPr>
        <w:ind w:firstLine="720"/>
        <w:jc w:val="both"/>
        <w:rPr>
          <w:szCs w:val="14"/>
        </w:rPr>
      </w:pPr>
      <w:r>
        <w:rPr>
          <w:szCs w:val="14"/>
          <w:u w:val="single"/>
        </w:rPr>
        <w:t>Vaiko gerovės politika</w:t>
      </w:r>
      <w:r>
        <w:rPr>
          <w:szCs w:val="14"/>
        </w:rPr>
        <w:t xml:space="preserve"> – socialinės politikos dalis, kuri remiantis tarptautiniais dokumentais yra nusakyta trimis principais: vaiko teisė į apsaugą, aprūpinimą ir dalyvavimą:</w:t>
      </w:r>
    </w:p>
    <w:p w:rsidR="00DD08F5" w:rsidRDefault="00DD08F5" w:rsidP="00DD08F5">
      <w:pPr>
        <w:ind w:firstLine="720"/>
        <w:jc w:val="both"/>
        <w:rPr>
          <w:szCs w:val="14"/>
        </w:rPr>
      </w:pPr>
      <w:r>
        <w:rPr>
          <w:szCs w:val="14"/>
          <w:u w:val="single"/>
        </w:rPr>
        <w:t>Vaiko apsauga</w:t>
      </w:r>
      <w:r>
        <w:rPr>
          <w:szCs w:val="14"/>
        </w:rPr>
        <w:t xml:space="preserve"> – teisė augti savo šeimoje ir gauti profesionalią pagalbą, taip pat teisė būti apsaugotam nuo socialinio ir individualaus smurto;</w:t>
      </w:r>
    </w:p>
    <w:p w:rsidR="00DD08F5" w:rsidRDefault="00DD08F5" w:rsidP="00DD08F5">
      <w:pPr>
        <w:ind w:firstLine="720"/>
        <w:jc w:val="both"/>
        <w:rPr>
          <w:szCs w:val="14"/>
        </w:rPr>
      </w:pPr>
      <w:r>
        <w:rPr>
          <w:szCs w:val="14"/>
          <w:u w:val="single"/>
        </w:rPr>
        <w:t xml:space="preserve">Vaiko aprūpinimas </w:t>
      </w:r>
      <w:r>
        <w:rPr>
          <w:szCs w:val="14"/>
        </w:rPr>
        <w:t>– teisė į išteklius ir paslaugas, juos paskirstant tarp vaiko ir suaugusiųjų, ypač skiriant dėmesį neįgaliam vaikui, vaikui, turinčiam specialiųjų poreikių, ir vaikui, kuriam pavojus patirti skurdą, tėvų smurtą bei nepriežiūrą ar įsitraukti į nusikalstamą veiklą;</w:t>
      </w:r>
    </w:p>
    <w:p w:rsidR="00DD08F5" w:rsidRDefault="00DD08F5" w:rsidP="00DD08F5">
      <w:pPr>
        <w:ind w:firstLine="720"/>
        <w:jc w:val="both"/>
        <w:rPr>
          <w:szCs w:val="14"/>
        </w:rPr>
      </w:pPr>
      <w:r>
        <w:rPr>
          <w:szCs w:val="14"/>
          <w:u w:val="single"/>
        </w:rPr>
        <w:t>Vaiko dalyvavimas</w:t>
      </w:r>
      <w:r>
        <w:rPr>
          <w:szCs w:val="14"/>
        </w:rPr>
        <w:t xml:space="preserve"> – teisė veikti, išreikšti savo nuomonę ir daryti įtaką sprendimams šeimoje ir visuomenėje individualiai ir kolektyviai, sukuriant vaikui socialinę erdvę jo aktyviam dalyvavimui.</w:t>
      </w:r>
    </w:p>
    <w:p w:rsidR="00DD08F5" w:rsidRDefault="00DD08F5" w:rsidP="00DD08F5">
      <w:pPr>
        <w:ind w:firstLine="720"/>
        <w:jc w:val="both"/>
        <w:rPr>
          <w:szCs w:val="14"/>
        </w:rPr>
      </w:pPr>
      <w:r>
        <w:rPr>
          <w:szCs w:val="14"/>
          <w:u w:val="single"/>
        </w:rPr>
        <w:t>Gerovė</w:t>
      </w:r>
      <w:r>
        <w:rPr>
          <w:szCs w:val="14"/>
        </w:rPr>
        <w:t xml:space="preserve"> – organizuota socialinių paslaugų  ir institucijų sistema, sukurta padėti individams ir grupėms pasiekti patenkinamus gyvenimo, sveikatos ir asmeninių bei socialinių ryšių standartus, kurie leistų jiems išplėtoti visus gebėjimus ir pagerintų jų gyvenimo kokybę atsižvelgiant į jų šeimų ir bendruomenės poreikius. </w:t>
      </w:r>
    </w:p>
    <w:p w:rsidR="00DD08F5" w:rsidRDefault="00DD08F5" w:rsidP="00DD08F5">
      <w:pPr>
        <w:ind w:firstLine="720"/>
        <w:jc w:val="both"/>
        <w:rPr>
          <w:color w:val="000000"/>
          <w:szCs w:val="18"/>
        </w:rPr>
      </w:pPr>
      <w:r>
        <w:t>2. Lietuvos Respublikos Seimo 2007 m. balandžio 3 d. nutarimu Nr. X-</w:t>
      </w:r>
      <w:r>
        <w:rPr>
          <w:bCs/>
        </w:rPr>
        <w:t xml:space="preserve">1070 </w:t>
      </w:r>
      <w:r>
        <w:t xml:space="preserve">“Dėl Psichikos sveikatos strategijos patvirtinimo”, patvirtintoje Psichikos sveikatos strategijoje (toliau – Strategija)  (Žin., 2007, Nr. 42-1572) konstatuojama, kad  </w:t>
      </w:r>
      <w:r>
        <w:rPr>
          <w:color w:val="000000"/>
          <w:szCs w:val="18"/>
        </w:rPr>
        <w:t>1990–2000 metais vykusios didelės socialinės, politinės, ekonominės permainos, kurios atskleidė individų ir jų grupių prastą psichologinį atsparumą ir nepakankamus įgūdžius aktyviai dalyvauti įveikiant naujas kasdienio gyvenimo</w:t>
      </w:r>
      <w:r>
        <w:rPr>
          <w:color w:val="FF0000"/>
          <w:szCs w:val="18"/>
        </w:rPr>
        <w:t xml:space="preserve"> </w:t>
      </w:r>
      <w:r>
        <w:rPr>
          <w:color w:val="000000"/>
          <w:szCs w:val="18"/>
        </w:rPr>
        <w:t xml:space="preserve">problemas. Todėl didelė dalis žmonių – tiek brandaus amžiaus, tiek vaikų ir jaunimo nepajėgė tinkamai prisitaikyti naujoje, socialinio aktyvumo reikalaujančioje aplinkoje, ir atsidūrė destruktyvaus elgesio (nukreipto arba į save, arba į kitus asmenis) rizikos grupėje – taip sukurdami terpę itin blogiems savižudybių, prievartos, priklausomybių ir kitų liguistų visuomenės sveikatos reiškinių rodikliams. </w:t>
      </w:r>
    </w:p>
    <w:p w:rsidR="00DD08F5" w:rsidRDefault="00DD08F5" w:rsidP="00DD08F5">
      <w:pPr>
        <w:jc w:val="both"/>
      </w:pPr>
      <w:r>
        <w:rPr>
          <w:color w:val="000000"/>
          <w:szCs w:val="18"/>
        </w:rPr>
        <w:tab/>
        <w:t xml:space="preserve">Grėsmių analizė rodo, kad stokojama </w:t>
      </w:r>
      <w:r>
        <w:t xml:space="preserve">kvalifikuotų psichikos sveikatos priežiūros specialistų, ypač rajonuose ir ypač psichologų, vaikų psichiatrų, psichoterapeutų. </w:t>
      </w:r>
    </w:p>
    <w:p w:rsidR="00DD08F5" w:rsidRDefault="00DD08F5" w:rsidP="00DD08F5">
      <w:pPr>
        <w:ind w:firstLine="720"/>
        <w:jc w:val="both"/>
      </w:pPr>
      <w:r>
        <w:t xml:space="preserve">Konstatuojamas </w:t>
      </w:r>
      <w:r>
        <w:rPr>
          <w:rFonts w:eastAsia="Arial Unicode MS"/>
        </w:rPr>
        <w:t xml:space="preserve"> </w:t>
      </w:r>
      <w:r>
        <w:t>vaikų ir jaunimo gyvensenos blogėjimas. Todėl, būtina užtikrinti ypač geros kokybės paslaugas, atsižvelgiant į paauglių ir jaunuolių poreikius ir ypatumus. Plėtoti vaikų raidos sutrikimų ankstyvosios reabilitacijos paslaugas, didinant jų apimtį, gerinant kokybę ir sukuriant alternatyvą kūdikių namų ir kitų valstybinių vaikų globos institucijų tinklui. Plėtoti ir integruoti į pediatrijos paslaugų infrastruktūrą vaikų psichikos sveikatos priežiūros ir socialinės (raidos) pediatrijos paslaugas. Įtraukti į šeimos gydytojų rengimo programą vaikų psichikos sveikatos priežiūros, tėvų ir vaikų santykių ir krizių kursus. Kuo daugiau su psichikos sveikata susijusių paslaugų teikti bendruose vaikams ir jaunimui skirtuose sveikatos centruose, pritaikytuose šių amžiaus grupių poreikiams.</w:t>
      </w:r>
    </w:p>
    <w:p w:rsidR="00DD08F5" w:rsidRDefault="00DD08F5" w:rsidP="00DD08F5">
      <w:pPr>
        <w:ind w:firstLine="720"/>
        <w:jc w:val="both"/>
      </w:pPr>
      <w:r>
        <w:t>Atsižvelgiant į Strategijos uždavinius, numatyta gerinti vaikų ir jaunimo psichikos sveikatos apsaugą ir priežiūrą, vykdant tikslines prevencines, gydymo ir reabilitacijos programas, skirtas vaikų, šeimų ir bendruomenių atsparumui stiprinti bei neigiamų socializacijos pasekmių prevencijai.</w:t>
      </w:r>
    </w:p>
    <w:p w:rsidR="00DD08F5" w:rsidRDefault="00DD08F5" w:rsidP="00DD08F5">
      <w:pPr>
        <w:jc w:val="both"/>
      </w:pPr>
      <w:r>
        <w:lastRenderedPageBreak/>
        <w:t xml:space="preserve"> </w:t>
      </w:r>
      <w:r>
        <w:tab/>
        <w:t>Siūloma valstybinėse sveikatos programose didžiausią dėmesį skirti šiuo metu aktualiausioms problemoms spręsti – vaikų dvasinės sveikatos, emocinės ir socialinės raidos sutrikimų prevencijai, tėvų mokymui tinkamai auginti vaikus, savižudybių, priklausomybių ir prievartos prevencijai, jaunimo sveikatos problemų sprendimui; rizikos grupėms priskiriamų tėvų mokymui kompetentingai auginti vaikus, ypač kūdikystės ir ankstyvosios vaikystės laikotarpiu; vaikų ir paauglių psichikos sveikatos stiprinimui mokyklose ir bendruomenėje; vaikų ir jaunimo smurto prevencijai;  alkoholizmo, narkomanijos ir rūkymo prevencijai ir kt.</w:t>
      </w:r>
    </w:p>
    <w:p w:rsidR="00DD08F5" w:rsidRDefault="00DD08F5" w:rsidP="00DD08F5">
      <w:pPr>
        <w:jc w:val="both"/>
      </w:pPr>
      <w:r>
        <w:rPr>
          <w:szCs w:val="14"/>
        </w:rPr>
        <w:t xml:space="preserve">          3.  Lietuvos Respublikos Vyriausybė 2005 m. vasario 17 d. nutarimu Nr. </w:t>
      </w:r>
      <w:r>
        <w:rPr>
          <w:bCs/>
          <w:szCs w:val="14"/>
        </w:rPr>
        <w:t xml:space="preserve">184 </w:t>
      </w:r>
      <w:r>
        <w:rPr>
          <w:szCs w:val="14"/>
        </w:rPr>
        <w:t xml:space="preserve">“Dėl Vaiko gerovės valstybės politikos </w:t>
      </w:r>
      <w:r>
        <w:t xml:space="preserve">strategijos ir jos įgyvendinimo priemonių 2005 – 2012 metų plano </w:t>
      </w:r>
      <w:r>
        <w:rPr>
          <w:szCs w:val="14"/>
        </w:rPr>
        <w:t xml:space="preserve">patvirtinimo” (Žin., 2005, Nr.25 - 802 ), patvirtino Vaiko gerovės valstybės politikos </w:t>
      </w:r>
      <w:r>
        <w:t xml:space="preserve">strategiją ir </w:t>
      </w:r>
      <w:r>
        <w:rPr>
          <w:szCs w:val="14"/>
        </w:rPr>
        <w:t xml:space="preserve"> Vaiko gerovės valstybės politikos </w:t>
      </w:r>
      <w:r>
        <w:t>strategijos įgyvendinimo priemonių 2005 – 2012 metų planą.</w:t>
      </w:r>
    </w:p>
    <w:p w:rsidR="00DD08F5" w:rsidRDefault="00DD08F5" w:rsidP="00DD08F5">
      <w:pPr>
        <w:ind w:firstLine="720"/>
        <w:jc w:val="both"/>
      </w:pPr>
      <w:r>
        <w:t xml:space="preserve"> Vaiko gerovės valstybės politikos  strategijos ir jos įgyvendinimo priemonių 2005 – 2012 metų plane pateikiamos konkrečios priemonės vaiko gerovei užtikrinti, gerinant vaikų sveikatos apsaugą, didinant vaikų sveikatos priežiūros paslaugų įvairovę ir prieinamumą, ypač daug dėmesio skiriant vaiko ir šeimos apsaugai nuo žmogaus imunodeficito viruso (ŽIV/AIDS) poveikio. </w:t>
      </w:r>
    </w:p>
    <w:p w:rsidR="00DD08F5" w:rsidRDefault="00DD08F5" w:rsidP="00DD08F5">
      <w:pPr>
        <w:ind w:firstLine="720"/>
        <w:jc w:val="both"/>
        <w:rPr>
          <w:szCs w:val="14"/>
        </w:rPr>
      </w:pPr>
      <w:r>
        <w:rPr>
          <w:szCs w:val="14"/>
          <w:u w:val="single"/>
        </w:rPr>
        <w:t>Valstybės misija</w:t>
      </w:r>
      <w:r>
        <w:rPr>
          <w:szCs w:val="14"/>
        </w:rPr>
        <w:t xml:space="preserve"> – formuoti ir įgyvendinti racionalią vaiko gerovės valstybės politiką, kuri užtikrintų galimybę vaikui gyventi visavertį gyvenimą šeimoje.</w:t>
      </w:r>
    </w:p>
    <w:p w:rsidR="00DD08F5" w:rsidRDefault="00DD08F5" w:rsidP="00DD08F5">
      <w:pPr>
        <w:ind w:firstLine="720"/>
        <w:jc w:val="both"/>
        <w:rPr>
          <w:szCs w:val="18"/>
        </w:rPr>
      </w:pPr>
      <w:r>
        <w:rPr>
          <w:szCs w:val="14"/>
        </w:rPr>
        <w:t xml:space="preserve">Valstybės politikos </w:t>
      </w:r>
      <w:r>
        <w:t xml:space="preserve">strategijoje yra nustatyti vaiko gerovės valstybės politikos prioritetai, pavojaus vaikų sveikatai mažinimas, būtinų paslaugų šeimai ir vaikui tinklo sukūrimas, šių paslaugų kokybės užtikrinimas bei gerinimas ir kt. </w:t>
      </w:r>
      <w:r>
        <w:rPr>
          <w:szCs w:val="14"/>
        </w:rPr>
        <w:t>Laikomasi šių principų: šeima ir valstybė dalijasi vaiko gerovės užtikrinimo atsakomybe; priimant sprendimus ar imantis bet kokių veiksmų, vadovaujamasi vaiko interesais; vaikui garantuojamos teisės ir galimybės augti, kiek įmanoma, sveikam ir gauti gerą išsilavinimą, priežiūrą ir gydymą; plėtojamos paslaugos vaikams, turintiems raidos problemų, skatinant, kad šios paslaugos ypač būtų plėtojamos bendruomenėje; perkant paslaugas</w:t>
      </w:r>
      <w:r>
        <w:rPr>
          <w:szCs w:val="18"/>
        </w:rPr>
        <w:t>, visuose vaiko priežiūros sektoriuose vadovaujamasi vaiko interesų atstovavimo principu, tai reiškia, kad paslaugos privalo būti įvairiapusės, orientuotos į vaikų ir paauglių poreikius, nuomones, kultūrą; specialistai kiekvienam asmeniui individualiai parenka tinkamus sprendimus.</w:t>
      </w:r>
    </w:p>
    <w:p w:rsidR="00DD08F5" w:rsidRDefault="00DD08F5" w:rsidP="00DD08F5">
      <w:pPr>
        <w:ind w:firstLine="720"/>
        <w:jc w:val="both"/>
      </w:pPr>
      <w:r>
        <w:t xml:space="preserve">4. Lietuvos Respublikos Seimas 2008 m. birželio 3 d. nutarimu Nr. X-1569 “Dėl Valstybinės šeimos politikos koncepcijos patvirtinimo” (Žin., 2008, Nr. 69-2624), patvirtino Valstybinę šeimos politikos koncepciją, kuri grindžiama istoriškai susiklosčiusiomis šeimos vertybėmis ir šeimos gerovę nusakančiomis sampratomis, kurios atitinka Konstituciją ir kitus teisės aktus. Šeima </w:t>
      </w:r>
      <w:r>
        <w:rPr>
          <w:bCs/>
        </w:rPr>
        <w:t xml:space="preserve">– </w:t>
      </w:r>
      <w:r>
        <w:t xml:space="preserve">esminis visuomenės gėris, kylantis iš žmogaus prigimties ir grindžiamas savanorišku vyro ir moters santuokiniu pasižadėjimu skirti savo gyvenimą šeiminiams santykiams kurti, užtikrinantis šeimos narių </w:t>
      </w:r>
      <w:r>
        <w:rPr>
          <w:bCs/>
        </w:rPr>
        <w:t xml:space="preserve">– </w:t>
      </w:r>
      <w:r>
        <w:t>vyro ir moters, vaikų bei visų kartų gerovę ir sveikos visuomenės raidą, tautos bei valstybės gyvybingumą ir kūrybingumą. Todėl valstybės ir nevyriausybinės institucijos privalo užtikrinti šeimos integralumui palankią aplinką, plėtodamos ir tobulindamos jos teisinę ir socialinę bazę.</w:t>
      </w:r>
    </w:p>
    <w:p w:rsidR="00DD08F5" w:rsidRDefault="00DD08F5" w:rsidP="00DD08F5">
      <w:pPr>
        <w:ind w:firstLine="720"/>
        <w:jc w:val="both"/>
      </w:pPr>
      <w:r>
        <w:rPr>
          <w:bCs/>
          <w:szCs w:val="22"/>
        </w:rPr>
        <w:t>Socialinės rizikos šeima</w:t>
      </w:r>
      <w:r>
        <w:rPr>
          <w:szCs w:val="22"/>
        </w:rPr>
        <w:t xml:space="preserve"> </w:t>
      </w:r>
      <w:r>
        <w:t>–</w:t>
      </w:r>
      <w:r>
        <w:rPr>
          <w:szCs w:val="22"/>
        </w:rPr>
        <w:t xml:space="preserve"> </w:t>
      </w:r>
      <w:r>
        <w:t>šeima, kurioje auga vaikų iki 18 metų ir kurioje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naudoja ne šeimos interesams ir todėl iškyla pavojus vaikų fiziniam, protiniam, dvasiniam, doroviniam vystymuisi ir saugumui.</w:t>
      </w:r>
    </w:p>
    <w:p w:rsidR="00DD08F5" w:rsidRDefault="00DD08F5" w:rsidP="00DD08F5">
      <w:pPr>
        <w:ind w:firstLine="720"/>
        <w:jc w:val="both"/>
      </w:pPr>
      <w:r>
        <w:t>Šeimos politikos koncepcijoje pažymėta, kad nepakankama socialinės pagalbos ir paramos šeimai sistema. Nėra ekonominio stabilumo,</w:t>
      </w:r>
      <w:r>
        <w:rPr>
          <w:bCs/>
        </w:rPr>
        <w:t xml:space="preserve"> </w:t>
      </w:r>
      <w:r>
        <w:t>neužtikrinta paramos šeimai plėtra ir kokybė. Esama socialinės paramos infrastruktūra silpnai išplėtota, trūksta veiksmų koordinavimo, jaučiamas kvalifikuotų specialistų, dirbančių su šeima, stygius. Socialinės pagalbos ir paramos sistema daugiau orientuota ne į prevencinį darbą ar paslaugų šeimai teikimą, bet į padarinius, socialinių išmokų mokėjimą. Išmokų mokėjimas netiesiogiai pratina nedarnių šeimų tėvus gyventi vaikų sąskaita ir vengti socialiai naudingo darbo. Nepakankamai užtikrinama jaunimo integracija į darbo rinką. Nepakankama valstybės pagalba ir parama šeimai krizių atvejais. Stokojama įvairiapusės pagalbos ir paramos šeimos socialinių, psichologinių ir kitų krizių atvejais. Stinga institucijų, vykdančių ir koordinuojančių socialinės, pedagoginės ir psichologinės paramos šeimai veiklą.</w:t>
      </w:r>
    </w:p>
    <w:p w:rsidR="00DD08F5" w:rsidRDefault="00DD08F5" w:rsidP="00DD08F5">
      <w:pPr>
        <w:jc w:val="both"/>
      </w:pPr>
      <w:r>
        <w:t xml:space="preserve"> </w:t>
      </w:r>
      <w:r>
        <w:tab/>
        <w:t>Nustatytos vaikų ugdymo ir visokeriopo saugumo užtikrinimo problemos:</w:t>
      </w:r>
    </w:p>
    <w:p w:rsidR="00DD08F5" w:rsidRDefault="00DD08F5" w:rsidP="00DD08F5">
      <w:pPr>
        <w:ind w:firstLine="720"/>
        <w:jc w:val="both"/>
        <w:rPr>
          <w:szCs w:val="16"/>
        </w:rPr>
      </w:pPr>
      <w:r>
        <w:t xml:space="preserve">– Daug dėl tėvų emigracijos be tėvų priežiūros paliktų vaikų. Emigracijos problemos yra kompleksinės, susijusios su vaiko juridinio atstovavimo aspektais, jo emocine, moraline būkle, jo ugdymo ir ugdymosi procesu, tinkamomis gyvenimo sąlygomis. </w:t>
      </w:r>
      <w:r>
        <w:rPr>
          <w:szCs w:val="16"/>
        </w:rPr>
        <w:t xml:space="preserve">Maždaug pusė emigrantų turėjo </w:t>
      </w:r>
      <w:r>
        <w:rPr>
          <w:szCs w:val="16"/>
        </w:rPr>
        <w:lastRenderedPageBreak/>
        <w:t>vaikų, bet tik kas antras iš jų išvyko kartu su vaikais. Emigracijos tyrimo rezultatai rodo, kad kas antro emigranto vaikai liko Lietuvoje su vienu iš tėvų, seneliais ar kitais giminaičiais.</w:t>
      </w:r>
    </w:p>
    <w:p w:rsidR="00DD08F5" w:rsidRDefault="00DD08F5" w:rsidP="00DD08F5">
      <w:pPr>
        <w:ind w:firstLine="720"/>
        <w:jc w:val="both"/>
      </w:pPr>
      <w:r>
        <w:rPr>
          <w:lang w:eastAsia="lt-LT"/>
        </w:rPr>
        <w:t xml:space="preserve">– </w:t>
      </w:r>
      <w:r>
        <w:t>Nemažėja globos namuose augančių vaikų skaičius.</w:t>
      </w:r>
      <w:r>
        <w:rPr>
          <w:bCs/>
        </w:rPr>
        <w:t xml:space="preserve"> </w:t>
      </w:r>
      <w:r>
        <w:t>2007 m. pradžioje buvo 13,3 tūkst. be tėvų globos likusių vaikų. 2006 m. pabaigoje, kaip ir 2005 m., globos namuose gyveno 6,1 tūkst. vaikų.</w:t>
      </w:r>
    </w:p>
    <w:p w:rsidR="00DD08F5" w:rsidRDefault="00DD08F5" w:rsidP="00DD08F5">
      <w:pPr>
        <w:ind w:firstLine="720"/>
        <w:jc w:val="both"/>
        <w:rPr>
          <w:color w:val="000000"/>
          <w:lang w:eastAsia="lt-LT"/>
        </w:rPr>
      </w:pPr>
      <w:r>
        <w:rPr>
          <w:lang w:eastAsia="lt-LT"/>
        </w:rPr>
        <w:t>–</w:t>
      </w:r>
      <w:r>
        <w:t xml:space="preserve"> Daug socialinės rizikos šeimų ir jose augančių vaikų.</w:t>
      </w:r>
      <w:r>
        <w:rPr>
          <w:i/>
          <w:iCs/>
          <w:color w:val="FF0000"/>
        </w:rPr>
        <w:t xml:space="preserve"> </w:t>
      </w:r>
      <w:r>
        <w:t>2007 m. pradžioje vaiko teisių apsaugos tarnybų įskaitose buvo įrašyta 13,5 tūkst. socialinės rizikos šeimų, jose augo 31,4 tūkst. vaikų. Apie du trečdaliai šeimų įrašyta į įskaitą dėl girtavimo.</w:t>
      </w:r>
      <w:r>
        <w:rPr>
          <w:i/>
          <w:iCs/>
        </w:rPr>
        <w:t xml:space="preserve"> </w:t>
      </w:r>
      <w:r>
        <w:t xml:space="preserve">Šios šeimos dažnai neturi pakankamai socialinių gebėjimų ir motyvacijos savarankiškai tvarkyti savo gyvenimą, todėl nesugeba auklėti savo vaikų, naudoja prieš juos psichologinę, fizinę prievartą, gaunamą valstybės paramą naudoja ne šeimos interesams. Manytina, kad </w:t>
      </w:r>
      <w:r>
        <w:rPr>
          <w:color w:val="000000"/>
        </w:rPr>
        <w:t>savo gyvenimo būdo įpročius jos perduos kitoms kartoms.</w:t>
      </w:r>
    </w:p>
    <w:p w:rsidR="00DD08F5" w:rsidRDefault="00DD08F5" w:rsidP="00DD08F5">
      <w:pPr>
        <w:ind w:firstLine="720"/>
        <w:jc w:val="both"/>
      </w:pPr>
      <w:r>
        <w:rPr>
          <w:color w:val="000000"/>
          <w:lang w:eastAsia="lt-LT"/>
        </w:rPr>
        <w:t xml:space="preserve">– </w:t>
      </w:r>
      <w:r>
        <w:t>Smurtas prieš vaikus. 2006 m. nuo nuskalstamų veikų nukentėjo 5,1 tūkst. vaikų (186 vaikais daugiau nei 2005 m.). Dažniausiai nukenčia 14–17 metų paaugliai, du trečdaliai nukentėjusiųjų – berniukai. Užregistruojama vis daugiau vaikų seksualinės prievartos atvejų. Vaikai sudaro daugiau nei pusę visų užregistruotų nukentėjusiųjų nuo šių nusikalstamų veikų. 2006 m. nuo seksualinio pobūdžio nusikalstamų veikų nukentėjo 272 vaikai (2005 m. – 239).</w:t>
      </w:r>
    </w:p>
    <w:p w:rsidR="00DD08F5" w:rsidRDefault="00DD08F5" w:rsidP="00DD08F5">
      <w:pPr>
        <w:ind w:firstLine="720"/>
        <w:jc w:val="both"/>
        <w:rPr>
          <w:color w:val="000000"/>
        </w:rPr>
      </w:pPr>
      <w:r>
        <w:rPr>
          <w:bCs/>
        </w:rPr>
        <w:t xml:space="preserve">– </w:t>
      </w:r>
      <w:r>
        <w:t xml:space="preserve">Gausėja vaikų, turinčių įvairių sveikatos sutrikimų. Statistikos departamento prie Lietuvos Respublikos Vyriausybės duomenimis, 2005 m. bent viena liga sirgo trys ketvirtadaliai vaikų. 2005 m. iš visų patikrintų vaikų iki 16 metų visai sveikų buvo tik 43 proc., o 2000 m. šis skaičius siekė 46 proc. 2006 m. Lietuvoje buvo </w:t>
      </w:r>
      <w:r>
        <w:rPr>
          <w:color w:val="000000"/>
        </w:rPr>
        <w:t>15 667 neįgalūs vaikai, tai sudarė 2,7 proc. visų Lietuvos vaikų.</w:t>
      </w:r>
    </w:p>
    <w:p w:rsidR="00DD08F5" w:rsidRDefault="00DD08F5" w:rsidP="00DD08F5">
      <w:pPr>
        <w:ind w:firstLine="720"/>
        <w:jc w:val="both"/>
      </w:pPr>
      <w:r>
        <w:t>– Nepakankamas jaunimo rengimas šeimai. Mokyklose vangiai diegiamos pedagogiškai pagrįstos jaunimo rengimo šeimai programos. Dažniausiai orientuojamasi tik į šeimos prokreacinę funkciją, nepakankamai atskleidžiami atsakingos tėvystės bei motinystės principai, neugdomas mergaičių ir berniukų gebėjimas kartu svarstyti tarpusavio santykių problemas, atpažinti ir priimti jų požiūrių ir psichologinių reakcijų skirtumus.</w:t>
      </w:r>
    </w:p>
    <w:p w:rsidR="00DD08F5" w:rsidRDefault="00DD08F5" w:rsidP="00DD08F5">
      <w:pPr>
        <w:ind w:firstLine="720"/>
        <w:jc w:val="both"/>
      </w:pPr>
      <w:r>
        <w:t>–  Dalis paauglių per anksti pradeda lytinį gyvenimą.</w:t>
      </w:r>
      <w:r>
        <w:rPr>
          <w:iCs/>
        </w:rPr>
        <w:t xml:space="preserve"> Tai neigiamai veikia skirtingos lyties asmenų gebėjimus </w:t>
      </w:r>
      <w:r>
        <w:t>ateityje užmegzti ilgalaikius atsakomybe, pagarba ir meile grįstus tarpusavio santykius ir ryšius, būtinus visavertei šeimai sukurti ir plėtoti. Lietuvos sveikatos informacijos centro duomenimis, 2006 m. gimdymų skaičius moterų iki 18 m. amžiaus grupėje – 443 (1,5 proc. visų gimdymų), dirbtinių abortų skaičius moterų nuo 15 iki 17 m. amžiaus grupėje – 213 (2,2 proc. visų abortų skaičiaus).</w:t>
      </w:r>
    </w:p>
    <w:p w:rsidR="00DD08F5" w:rsidRDefault="00DD08F5" w:rsidP="00DD08F5">
      <w:pPr>
        <w:ind w:firstLine="720"/>
        <w:jc w:val="both"/>
      </w:pPr>
      <w:r>
        <w:t>– Tarp jaunimo sparčiai plinta žalingi įpročiai.</w:t>
      </w:r>
      <w:r>
        <w:rPr>
          <w:bCs/>
        </w:rPr>
        <w:t xml:space="preserve"> </w:t>
      </w:r>
      <w:r>
        <w:t>Atliktų tyrimų duomenimis,</w:t>
      </w:r>
      <w:r>
        <w:rPr>
          <w:bCs/>
        </w:rPr>
        <w:t xml:space="preserve"> </w:t>
      </w:r>
      <w:r>
        <w:t>19 proc. 15–17 metų vaikų globos namų auklėtinių yra bandę bent vieną iš narkotikų nors kartą gyvenime, 12 proc. – nors kartą per paskutinius 12 mėnesių, 8 proc. – per paskutines 30 dienų. 2006 m. užregistruoti 1 042 asmenys, padarę nusikalstamas veikas, susijusias su disponavimu narkotinėmis ar psichotropinėmis medžiagomis (2005 m. – 1010, 2004 m. – 869). 2006 m. užregistruota 47 nepilnamečiai asmenys, padarę nusikalstamas veikas, susijusias su neteisėta narkotikų apyvarta, (2005 m. – 46, 2004 m. – 49, 2003 m. – 37, 2002 m. – 15 asmenų).</w:t>
      </w:r>
    </w:p>
    <w:p w:rsidR="00DD08F5" w:rsidRDefault="00DD08F5" w:rsidP="00DD08F5">
      <w:pPr>
        <w:ind w:firstLine="720"/>
        <w:jc w:val="both"/>
      </w:pPr>
      <w:r>
        <w:t>– Nepakankamas vaikų ir jaunimo užimtumas.</w:t>
      </w:r>
      <w:r>
        <w:rPr>
          <w:bCs/>
        </w:rPr>
        <w:t xml:space="preserve"> </w:t>
      </w:r>
      <w:r>
        <w:t>Trūksta vaikų ir jaunimo užimtumo programų ir konkrečių paslaugų, dienos centrų, kitų vaikų papildomo ugdymo įstaigų; neišspręstos vaikų ir jaunimo vasaros poilsio ir užimtumo problemos.</w:t>
      </w:r>
      <w:r>
        <w:rPr>
          <w:i/>
          <w:iCs/>
        </w:rPr>
        <w:t xml:space="preserve"> </w:t>
      </w:r>
      <w:r>
        <w:t xml:space="preserve">Mokesčiai už papildomo ugdymo paslaugas mokyklose ar kitose institucijose daliai šeimų yra per sunki našta. </w:t>
      </w:r>
    </w:p>
    <w:p w:rsidR="00DD08F5" w:rsidRDefault="00DD08F5" w:rsidP="00DD08F5">
      <w:pPr>
        <w:ind w:firstLine="720"/>
        <w:jc w:val="both"/>
      </w:pPr>
      <w:r>
        <w:rPr>
          <w:bCs/>
        </w:rPr>
        <w:t xml:space="preserve">– </w:t>
      </w:r>
      <w:r>
        <w:t>Neigiamas viešosios informacijos poveikis nepilnamečiams.</w:t>
      </w:r>
      <w:r>
        <w:rPr>
          <w:caps/>
        </w:rPr>
        <w:t xml:space="preserve"> V</w:t>
      </w:r>
      <w:r>
        <w:t>ienas didžiausių sunkumų, su kuriais susiduria tėvai, augindami vaikus, – žemos kultūros, seksualizuotos ir smurtinės informacijos plitimas televizijoje, internete ir kitose visuomenės informavimo priemonėse. Tai daro didžiulį neigiamą poveikį vaiko asmenybės vystymuisi, jo vertybinių nuostatų formavimuisi. 2006 m. duomenimis, kriminalai, erotika ir seksas – populiariausios žiniasklaidos temos. Čia pateikiama informacija nepilnamečiams formuoja iškreiptą vertybių sistemą, nepagarbą žmogui, yra skatinama neapykanta ir agresija.</w:t>
      </w:r>
    </w:p>
    <w:p w:rsidR="00DD08F5" w:rsidRDefault="00DD08F5" w:rsidP="00DD08F5">
      <w:pPr>
        <w:ind w:firstLine="720"/>
        <w:jc w:val="both"/>
      </w:pPr>
      <w:r>
        <w:t>– Nepakankamas dėmesys prevenciniam, intervenciniam, postvenciniam darbui su šeima</w:t>
      </w:r>
      <w:r>
        <w:rPr>
          <w:bCs/>
        </w:rPr>
        <w:t xml:space="preserve"> </w:t>
      </w:r>
      <w:r>
        <w:t xml:space="preserve">– stinga šeimų pedagoginio, psichologinio, medicininio ir ekonominio švietimo bei konsultavimo, šeimos narių fizinės, psichinės bei dvasinės reabilitacijos paslaugų. </w:t>
      </w:r>
    </w:p>
    <w:p w:rsidR="00DD08F5" w:rsidRDefault="00DD08F5" w:rsidP="00DD08F5">
      <w:pPr>
        <w:ind w:firstLine="720"/>
        <w:jc w:val="both"/>
        <w:rPr>
          <w:lang w:eastAsia="lt-LT"/>
        </w:rPr>
      </w:pPr>
      <w:r>
        <w:t>– Nėra bendros koordinavimo sistemos šeimos politikos srityje.</w:t>
      </w:r>
      <w:r>
        <w:rPr>
          <w:bCs/>
        </w:rPr>
        <w:t xml:space="preserve"> </w:t>
      </w:r>
      <w:r>
        <w:t xml:space="preserve">Neatliekamas sistemingas ir išsamus šeimų padėties ir poreikių tyrimas, ne visada vadovaujamasi jau priimtomis strateginėmis nuostatomis. Nėra bendros šeimos politikos sistemos, o esančios politikos priemonės įgyvendinamos </w:t>
      </w:r>
      <w:r>
        <w:lastRenderedPageBreak/>
        <w:t>nenuosekliai ir fragmentiškai.  Išvardintos problemos daro neigiamą įtaką šeimos institutui, ir tik stipri, atsakinga šeima yra pajėgi įveikti šias problemas.</w:t>
      </w:r>
    </w:p>
    <w:p w:rsidR="00DD08F5" w:rsidRDefault="00DD08F5" w:rsidP="00DD08F5">
      <w:pPr>
        <w:ind w:firstLine="720"/>
        <w:jc w:val="both"/>
      </w:pPr>
      <w:r>
        <w:t xml:space="preserve">5. Lietuvos Respublikos Vyriausybė 2008 m. birželio 18 d. nutarimu Nr. </w:t>
      </w:r>
      <w:r>
        <w:rPr>
          <w:bCs/>
        </w:rPr>
        <w:t>645</w:t>
      </w:r>
      <w:r>
        <w:t xml:space="preserve"> “Dėl Valstybinės psichikos sveikatos strategijos įgyvendinimo 2008 – 2010 metų programos patvirtinimo” (Žin., 2008, Nr. 76-3014), patvirtino Valstybinę psichikos sveikatos strategijos įgyvendinimo 2008 – 2010 metų programą ir pasiūlė savivaldybėms dalyvauti įgyvendinant šią patvirtintą programą. Vyriausybė pažymėjo, kad 2004 metais Vilniaus universitete atlikti tyrimai parodė, kad psichikos sveikatos problemų turi 41,7 procento mokyklinio amžiaus vaikų; 13 procentų sutrikimų galima kliniškai diagnozuoti. Lietuvoje psichikos sveikatos priežiūros paslaugų infrastruktūra tebėra nulemta socialinės atskirties. Tai patvirtina vaikų ir suaugusiųjų, turinčių psichikos sutrikimų, gausa ilgalaikės socialinės globos įstaigose. Šios programos tikslas – Lietuvos Respublikoje sukurti tokią psichikos sveikatos priežiūros sistemą, kuri padėtų veiksmingai ir racionaliai, vadovaujantis šiuolaikinėmis mokslo žiniomis ir vertybėmis, stiprinti visuomenės psichikos sveikatą, teikti visapusišką pagalbą psichikos ir elgesio sutrikimų turintiems asmenims bei jų šeimoms. </w:t>
      </w:r>
    </w:p>
    <w:p w:rsidR="00DD08F5" w:rsidRDefault="00DD08F5" w:rsidP="00DD08F5">
      <w:pPr>
        <w:ind w:firstLine="720"/>
        <w:jc w:val="both"/>
      </w:pPr>
      <w:r>
        <w:rPr>
          <w:szCs w:val="14"/>
        </w:rPr>
        <w:t xml:space="preserve">6. Lietuvos Respublikos Vyriausybės 2008 m. rugpjūčio 27 d. nutarimu Nr. </w:t>
      </w:r>
      <w:r>
        <w:rPr>
          <w:bCs/>
          <w:szCs w:val="14"/>
        </w:rPr>
        <w:t>836</w:t>
      </w:r>
      <w:r>
        <w:rPr>
          <w:szCs w:val="14"/>
        </w:rPr>
        <w:t xml:space="preserve"> “Dėl Vaikų sveikatos stiprinimo 2008 – 2012 metų programos patvirtinimo” (Žin., 2008, Nr. 104-3979), patvirtintoje Programoje siekiama ugdyti vaikams sveikos gyvensenos įpročius, užtikrinti vaikų sveikatos stiprinimo prieinamumą visoje šalyje, gerinti jo kokybę, tam vienyti valstybės ir savivaldybių institucijų, mokslo ir visuomenės pastangas. N</w:t>
      </w:r>
      <w:r>
        <w:t xml:space="preserve">umatoma plėtoti vaikų psichikos sveikatos priežiūros paslaugas (ambulatorines, stacionaro, dienos stacionaro, krizių intervencijos, individualios, grupinės ir šeimos psichoterapijos), didinant šių paslaugų mastą, specializuojant stacionaro ir dienos stacionaro skyrius pagal vaikų amžių, gerinant šių paslaugų kokybę ir kuo daugiau jų perduodant bendrojo profilio medicinos (pediatrijos) įstaigoms. Siekiama sukurti specializuotas paslaugas paaugliams ir jaunuoliams: paauglių stacionaro skyrius, ilgalaikės psichosocialinės reabilitacijos (resocializacijos) paslaugas paaugliams su sunkiais elgesio ir socializacijos sutrikimais, specialias reabilitacijos paslaugas paaugliams, priklausomiems nuo alkoholio ir narkotikų. Programoje vaiko sąvoka apibrėžta taip: “vaikas – asmuo, neturintis 18 metų”. </w:t>
      </w:r>
    </w:p>
    <w:p w:rsidR="00DD08F5" w:rsidRDefault="00DD08F5" w:rsidP="00DD08F5">
      <w:pPr>
        <w:ind w:firstLine="720"/>
        <w:jc w:val="both"/>
      </w:pPr>
      <w:r>
        <w:t>Vaikų sveikatos stiprinimo 2008 – 2012 metų programos uždaviniai: kurti vaikų sveikatą palaikančią aplinką, pasitelkus valstybės institucijas, savivaldybes, mokyklų bendruomenes; didinti specialistų, dirbančių su vaikais, kompetenciją sveikatos stiprinimo klausimais; ugdyti vaikų sveikos gyvensenos nuostatas ir gebėjimus; tobulinti vaikų ligų ir traumų pirminės profilaktikos organizavimo kokybę; tobulinti vaikų sveikatos stiprinimo stebėseną.</w:t>
      </w:r>
    </w:p>
    <w:p w:rsidR="00DD08F5" w:rsidRDefault="00DD08F5" w:rsidP="00DD08F5">
      <w:pPr>
        <w:ind w:firstLine="720"/>
        <w:jc w:val="both"/>
      </w:pPr>
      <w:r>
        <w:t xml:space="preserve">Vaikų sveikatos stiprinimo stebėsenoje Lietuva dalyvauja įgyvendinant Pasaulio sveikatos organizacijos projektą </w:t>
      </w:r>
      <w:r>
        <w:rPr>
          <w:spacing w:val="-2"/>
        </w:rPr>
        <w:t>„Aplinkos ir sveikatos informacinės sistemos, skirtos politikai formuoti, įsteigimas“ (ENHIS2 –</w:t>
      </w:r>
      <w:r>
        <w:t xml:space="preserve"> </w:t>
      </w:r>
      <w:r>
        <w:rPr>
          <w:rStyle w:val="texttopiclead"/>
          <w:i/>
        </w:rPr>
        <w:t>European Environment and Health Information System</w:t>
      </w:r>
      <w:r>
        <w:rPr>
          <w:rStyle w:val="texttopiclead"/>
        </w:rPr>
        <w:t>)</w:t>
      </w:r>
      <w:r>
        <w:t xml:space="preserve">. Pagal šį projektą surinkti vaikų aplinkos ir sveikatos rodikliai, tačiau tolesnė jų stebėsena nacionaliniu lygmeniu nenumatyta. Lietuvoje nėra tikslios vaikų traumų ir smurto atvejų apskaitos nuo jų gimimo iki 18 metų. Stokojama vaikų ikimokyklinio ugdymo įstaigose ir mokinių lengvų nelaimingų atsitikimų, mokinių smurto atvejų apskaitos ir atskaitomybės. Mokinių traumatizmo ir smurto rodiklių sistema neįtraukta į švietimo stebėsenos rodiklių sistemą. Lietuva nuo 1994 metų dalyvauja tarptautiniame moksleivių elgsenos tyrime, kuris kartojamas kas 4 metai ir rodo moksleivių elgsenos pokyčių tendencijas. Tačiau, dėl lėšų stokos rezultatų sklaida Lietuvoje netęsiama. Iki šiol Lietuvoje neatliktas išsamesnis ikimokyklinio amžiaus vaikų mitybos tyrimas. Mokyklinio amžiaus vaikų faktiškos mitybos tyrimai Lietuvoje atlikti daugiau kaip prieš 10 metų (Respublikinis mitybos centras, 1994–1996 metai), jie rodo, kad ir miestų, ir kaimo vietovių mokyklinio amžiaus vaikų dienos maisto davinio energinė vertė atitiko nustatytuosius reikalavimus, tačiau mityba nebuvo tinkama, daugelis mokinių nesilaikė mitybos režimo. </w:t>
      </w:r>
    </w:p>
    <w:p w:rsidR="00DD08F5" w:rsidRDefault="00DD08F5" w:rsidP="00DD08F5">
      <w:pPr>
        <w:ind w:firstLine="720"/>
        <w:jc w:val="both"/>
      </w:pPr>
      <w:r>
        <w:t>Įgyvendinus šią programą, siekiama, kad kasmet ne mažiau kaip 10 valstybės, savivaldybių institucijų, kitų socialinių partnerių į savo veiklą įtrauktų priemones, skirtas vaikų sveikatą palaikančiai aplinkai kurti, kasmet ne mažiau kaip 10 bendrojo lavinimo mokyklų būtų pripažintos sveikatą stiprinančiomis mokyklomis.</w:t>
      </w:r>
    </w:p>
    <w:p w:rsidR="00DD08F5" w:rsidRDefault="00DD08F5" w:rsidP="00DD08F5">
      <w:pPr>
        <w:ind w:firstLine="720"/>
        <w:jc w:val="both"/>
      </w:pPr>
      <w:r>
        <w:t xml:space="preserve">Rengiamos mokytojų kvalifikacijos tobulinimo programos, kurių paskirtis padėti parengti specialistus, ugdyti vaikų sveikos gyvensenos įgūdžius. </w:t>
      </w:r>
    </w:p>
    <w:p w:rsidR="00DD08F5" w:rsidRDefault="00DD08F5" w:rsidP="00DD08F5">
      <w:pPr>
        <w:ind w:firstLine="720"/>
        <w:jc w:val="both"/>
      </w:pPr>
      <w:r>
        <w:t>Už šios programos įgyvendinimo koordinavimą atsakinga Sveikatos apsaugos ministerija.</w:t>
      </w:r>
    </w:p>
    <w:p w:rsidR="00DD08F5" w:rsidRDefault="00DD08F5" w:rsidP="00DD08F5">
      <w:pPr>
        <w:ind w:firstLine="720"/>
        <w:jc w:val="both"/>
        <w:rPr>
          <w:szCs w:val="14"/>
        </w:rPr>
      </w:pPr>
      <w:r>
        <w:t xml:space="preserve"> Šios programos įgyvendinimo priemones vykdančios institucijos atsiskaito Sveikatos apsaugos ministerijai – ne vėliau kaip iki kitų metų vasario 1 dienos pateikia praėjusiųjų metų </w:t>
      </w:r>
      <w:r>
        <w:lastRenderedPageBreak/>
        <w:t xml:space="preserve">priemonių vykdymo ataskaitą. Sveikatos apsaugos ministerija iki 2010 m. kovo 1 d. pateikia Lietuvos Respublikos Vyriausybei tarpinę šios programos įgyvendinimo ataskaitą, o iki 2013 m. kovo 1 d. – galutinę ataskaitą.          </w:t>
      </w:r>
    </w:p>
    <w:p w:rsidR="00DD08F5" w:rsidRDefault="00DD08F5" w:rsidP="00DD08F5">
      <w:pPr>
        <w:jc w:val="both"/>
      </w:pPr>
      <w:r>
        <w:tab/>
        <w:t>7. Sveikatos apsaugos ministras 2008 m. gegužės 29 d. įsakymu Nr. V-</w:t>
      </w:r>
      <w:r>
        <w:rPr>
          <w:bCs/>
        </w:rPr>
        <w:t>513</w:t>
      </w:r>
      <w:r>
        <w:t xml:space="preserve"> “Dėl Valstybinės šeimos sveikatos 2008 – 2010 metų programos patvirtinimo” (Žin., 2008, Nr. 65-2475), patvirtino Valstybinę šeimos sveikatos 2008 – 2010 metų programą, kurioje apibendrinęs situacijos analizę, nurodė, kad 2006 metais pirminės sveikatos priežiūros paslaugas teikė 370 asmens sveikatos priežiūros įstaigų, iš jų – 173 privačios.</w:t>
      </w:r>
    </w:p>
    <w:p w:rsidR="00DD08F5" w:rsidRDefault="00DD08F5" w:rsidP="00DD08F5">
      <w:pPr>
        <w:ind w:firstLine="720"/>
        <w:jc w:val="both"/>
      </w:pPr>
      <w:r>
        <w:t xml:space="preserve"> Valstybine šeimos sveikatos 2008 – 2010 metų programa siekiama gerinti šeimos narių sveikatą, ligų profilaktiką ir ankstyvą diagnostiką, kokybišką ir prieinamą sveikatos priežiūrą laiku visiems šeimos nariams. </w:t>
      </w:r>
    </w:p>
    <w:p w:rsidR="00DD08F5" w:rsidRDefault="00DD08F5" w:rsidP="00DD08F5">
      <w:pPr>
        <w:jc w:val="both"/>
      </w:pPr>
      <w:r>
        <w:t xml:space="preserve"> </w:t>
      </w:r>
      <w:r>
        <w:tab/>
        <w:t>Programos nuostatose teigiama, kad sveikatos priežiūros paslaugų teikimo šeimos nariams uždavinys – užtikrinti sveikatos priežiūros paslaugų kokybę ir prieinamumą visiems šeimos nariams ir gyvenimo kokybės gerinimą visais žmogaus amžiaus tarpsniais – nuo gimimo iki mirties, o remiantis Jungtinių Tautų Vaiko teisių konvencija – ir iki gimimo.</w:t>
      </w:r>
    </w:p>
    <w:p w:rsidR="00DD08F5" w:rsidRDefault="00DD08F5" w:rsidP="00DD08F5">
      <w:pPr>
        <w:ind w:firstLine="720"/>
        <w:jc w:val="both"/>
      </w:pPr>
      <w:r>
        <w:t>Įsakyme teigiama, kad šeimos gydytojai nėra tinkamai įtraukti į psichikos sveikatos priežiūrą, trūksta bendradarbiavimo tarp šeimos gydytojų ir psichikos sveikatos specialistų. Gyventojų prisirašymo prie pirminės asmens sveikatos priežiūros įstaigų tvarkoje, patvirtintoje Sveikatos apsaugos ministro 2001 m. lapkričio 9 d. įsakymu Nr. 583 (Žin., 2001, Nr. 96-3400), numatoma, kad kiekvienas asmuo gali laisvai pasirinkti arčiausiai jo gyvenamosios vietos esančią arba jam patogiau pasiekiamą pirminės asmens sveikatos priežiūros įstaigą.</w:t>
      </w:r>
    </w:p>
    <w:p w:rsidR="00DD08F5" w:rsidRDefault="00DD08F5" w:rsidP="00DD08F5">
      <w:pPr>
        <w:ind w:firstLine="720"/>
        <w:jc w:val="both"/>
        <w:rPr>
          <w:rFonts w:eastAsia="Arial Unicode MS"/>
          <w:szCs w:val="18"/>
        </w:rPr>
      </w:pPr>
      <w:r>
        <w:t xml:space="preserve"> Tai reiškia, kad:</w:t>
      </w:r>
    </w:p>
    <w:p w:rsidR="00DD08F5" w:rsidRDefault="00DD08F5" w:rsidP="00DD08F5">
      <w:pPr>
        <w:ind w:firstLine="720"/>
        <w:jc w:val="both"/>
        <w:rPr>
          <w:szCs w:val="18"/>
        </w:rPr>
      </w:pPr>
      <w:r>
        <w:t>– pas šeimos gydytoją (ar prie Pirminės sveikatos priežiūros centro) prisirašė gyventojai, nebūtinai gyvenantys šalia Pirminės sveikatos priežiūros centro įstaigos (toliau - PSP) ar toje bendruomenėje, bet ir iš atokių vietovių. Dėl to, PSP komandos aptarnaujamų gyventojų teritorinės ribos labai išsiplėtė ar tapo neaiškios, kai kada iki 50 proc. tos teritorijos gyventojų yra prisirašę prie kitų PSP komandų arba įstaigų. Neretas atvejis, kai vienos šeimos kartu gyvenantys nariai prisirašo prie skirtingų šeimos gydytojų ar PSP centrų;</w:t>
      </w:r>
    </w:p>
    <w:p w:rsidR="00DD08F5" w:rsidRDefault="00DD08F5" w:rsidP="00DD08F5">
      <w:pPr>
        <w:ind w:firstLine="720"/>
        <w:jc w:val="both"/>
        <w:rPr>
          <w:szCs w:val="18"/>
        </w:rPr>
      </w:pPr>
      <w:r>
        <w:t>– galima teigti, jog neliko bendruomenės aptarnavimo principo miestuose ir rajonų centruose;</w:t>
      </w:r>
    </w:p>
    <w:p w:rsidR="00DD08F5" w:rsidRDefault="00DD08F5" w:rsidP="00DD08F5">
      <w:pPr>
        <w:ind w:firstLine="720"/>
        <w:jc w:val="both"/>
        <w:rPr>
          <w:szCs w:val="18"/>
        </w:rPr>
      </w:pPr>
      <w:r>
        <w:t>– PSP paslaugų orientacijos į šeimos poreikius principas negali būti įgyvendinamas visavertiškai;</w:t>
      </w:r>
    </w:p>
    <w:p w:rsidR="00DD08F5" w:rsidRDefault="00DD08F5" w:rsidP="00DD08F5">
      <w:pPr>
        <w:ind w:firstLine="720"/>
        <w:jc w:val="both"/>
        <w:rPr>
          <w:szCs w:val="18"/>
        </w:rPr>
      </w:pPr>
      <w:r>
        <w:t>–  negalima įgyvendinti į bendruomenę orientuotų slaugos paslaugų;</w:t>
      </w:r>
    </w:p>
    <w:p w:rsidR="00DD08F5" w:rsidRDefault="00DD08F5" w:rsidP="00DD08F5">
      <w:pPr>
        <w:ind w:firstLine="720"/>
        <w:jc w:val="both"/>
        <w:rPr>
          <w:szCs w:val="18"/>
        </w:rPr>
      </w:pPr>
      <w:r>
        <w:t>– sudėtinga atlikti profilaktinę ir sveikatos mokymo veiklą bendruomenėje arba, atsižvelgiant į bendruomenės poreikius.</w:t>
      </w:r>
    </w:p>
    <w:p w:rsidR="00DD08F5" w:rsidRDefault="00DD08F5" w:rsidP="00DD08F5">
      <w:pPr>
        <w:ind w:firstLine="720"/>
        <w:jc w:val="both"/>
        <w:rPr>
          <w:szCs w:val="18"/>
        </w:rPr>
      </w:pPr>
      <w:r>
        <w:t>8. Pirminės sveikatos priežiūros plėtros koncepcijoje, patvirtintoje Sveikatos apsaugos ministro 2007 m. rugsėjo 5 d. įsakymu Nr. V-</w:t>
      </w:r>
      <w:r>
        <w:rPr>
          <w:bCs/>
        </w:rPr>
        <w:t>717</w:t>
      </w:r>
      <w:r>
        <w:t xml:space="preserve"> (Žin., 2007, Nr. 96- 3897), vienas iš uždavinių numato plėtoti privačią pirminės asmens sveikatos priežiūros veiklą, siekti, kad šeimos gydytojai patys steigtų kabinetus ir centrus, tam numatyti patalpų bei įrangos įsigijimo lengvatų, t. y. siekti, kad šeimos gydytojams, užsiimantiems privačia pirminės asmens sveikatos priežiūros veikla, savivaldybės leistų naudotis patalpomis panaudos principu. 2006 metų duomenimis, buvo 197 privačios asmens sveikatos priežiūros įstaigos, sudariusios sutartis su teritorinėmis ligonių kasomis.</w:t>
      </w:r>
    </w:p>
    <w:p w:rsidR="00DD08F5" w:rsidRDefault="00DD08F5" w:rsidP="00DD08F5">
      <w:pPr>
        <w:jc w:val="both"/>
      </w:pPr>
      <w:r>
        <w:t>Lietuvos Respublikos Švietimo ir mokslo ministras 2004 m. rugsėjo 17 d. įsakymu Nr. ISAK–1462 “Dėl teisės pažeidimų, mokyklos nelankymo, narkotinių ir psichotropinių medžiagų vartojimo, ŽIV/AIDS, smurto ir nusikalstamumo prevencijos” (Žin.,2004, Nr.145–5281; 2007, Nr. 138-5677), patvirtino įsakymą, kuris taikomas visų grupių ir tipų mokykloms neatsižvelgiant į jų pavaldumą ir nuosavybės formas.</w:t>
      </w:r>
    </w:p>
    <w:p w:rsidR="00DD08F5" w:rsidRDefault="00DD08F5" w:rsidP="00DD08F5">
      <w:pPr>
        <w:ind w:firstLine="720"/>
        <w:jc w:val="both"/>
      </w:pPr>
      <w:r>
        <w:t>Minėtame įsakyme nustatyta, kad:</w:t>
      </w:r>
    </w:p>
    <w:p w:rsidR="00DD08F5" w:rsidRDefault="00DD08F5" w:rsidP="00DD08F5">
      <w:pPr>
        <w:ind w:firstLine="720"/>
        <w:jc w:val="both"/>
        <w:rPr>
          <w:szCs w:val="22"/>
        </w:rPr>
      </w:pPr>
      <w:r>
        <w:t xml:space="preserve">– mokyklų vadovai </w:t>
      </w:r>
      <w:r>
        <w:rPr>
          <w:szCs w:val="22"/>
        </w:rPr>
        <w:t>teikia mokyklos steigėjui ataskaitą ir siūlymus dėl mokyklos nelankymo, alkoholio, tabako ir kitų psichiką veikiančių medžiagų vartojimo, ŽIV/AIDS, smurto, teisės pažeidimų prevencijos, mokinių užimtumo gerinimo;</w:t>
      </w:r>
    </w:p>
    <w:p w:rsidR="00DD08F5" w:rsidRDefault="00DD08F5" w:rsidP="00DD08F5">
      <w:pPr>
        <w:ind w:firstLine="720"/>
        <w:jc w:val="both"/>
      </w:pPr>
      <w:r>
        <w:t>– informuoja mokyklos bendruomenę apie pagalbos mokiniui, mokytojui ir mokyklai teikiančių institucijų, policijos, Vaiko teisių apsaugos tarnybos, Pedagoginės psichologinės tarnybos, Psichikos sveikatos centro, Priklausomybės ligų centro, Lietuvos AIDS centro bei organizacijų, dirbančių teisės pažeidimų, mokyklos nelankymo, smurto, prievartos, savižudybių, ŽIV/AIDS prevencijos srityse, adresus ir telefonus;</w:t>
      </w:r>
    </w:p>
    <w:p w:rsidR="00DD08F5" w:rsidRDefault="00DD08F5" w:rsidP="00DD08F5">
      <w:pPr>
        <w:ind w:firstLine="720"/>
        <w:jc w:val="both"/>
      </w:pPr>
      <w:r>
        <w:lastRenderedPageBreak/>
        <w:t>– integruoja į mokyklos ugdymo turinį mokytojų, socialinių pedagogų, psichologų, visuomenės sveikatos specialistų, klasės auklėtojų organizuojamą Narkotinių medžiagų, alkoholio bei tabako vartojimo prevencijos kursą apie narkotinių medžiagų, alkoholio bei tabako žalą žmogaus sveikatai bei visuomenei, siekdami ugdyti mokinių gyvenimo įgūdžius, atsparumą žalingiems įpročiams, plėtodami darbą su šeima;</w:t>
      </w:r>
    </w:p>
    <w:p w:rsidR="00DD08F5" w:rsidRDefault="00DD08F5" w:rsidP="00DD08F5">
      <w:pPr>
        <w:ind w:firstLine="720"/>
        <w:jc w:val="both"/>
      </w:pPr>
      <w:r>
        <w:t>– sudaro sąlygas tobulinti administracijos, mokytojų, psichologų, socialinių pedagogų, klasių auklėtojų ir kitų asmenų, dirbančių su vaikais, kvalifikaciją narkotinių medžiagų vartojimo, ŽIV/AIDS, smurto, prievartos, savižudybių, nuskalstamumo ir kitais prevencinio darbo klausimais;</w:t>
      </w:r>
    </w:p>
    <w:p w:rsidR="00DD08F5" w:rsidRDefault="00DD08F5" w:rsidP="00DD08F5">
      <w:pPr>
        <w:ind w:firstLine="720"/>
        <w:jc w:val="both"/>
        <w:rPr>
          <w:szCs w:val="18"/>
        </w:rPr>
      </w:pPr>
      <w:r>
        <w:t xml:space="preserve">– </w:t>
      </w:r>
      <w:r>
        <w:rPr>
          <w:szCs w:val="18"/>
        </w:rPr>
        <w:t>užtikrina, kad narkomanijos, ŽIV/AIDS, prievartos, smurto, nusikalstamumo ir kitoms prevencinėms programoms įgyvendinti būtų naudojama Švietimo ir mokslo ministerijos rekomenduota literatūra ir vaizdinės priemonės;</w:t>
      </w:r>
    </w:p>
    <w:p w:rsidR="00DD08F5" w:rsidRDefault="00DD08F5" w:rsidP="00DD08F5">
      <w:pPr>
        <w:ind w:firstLine="720"/>
        <w:jc w:val="both"/>
      </w:pPr>
      <w:r>
        <w:t>– sustiprina Tabako kontrolės įstatymo (Žin., 1996, Nr.11-281; 2003, Nr.117-5317), Alkoholio kontrolės įstatymo (Žin., 1995, Nr.44-1073; 2004, Nr.47-1548), Narkotinių ir psichotropinių medžiagų kontrolės įstatymo (Žin., 1998, Nr.8-161) laikymąsi mokyklose, kad mokiniai, pedagogai ir kiti asmenys nevartotų ir neplatintų tabako, alkoholio, narkotinių bei psichotropinių medžiagų;</w:t>
      </w:r>
    </w:p>
    <w:p w:rsidR="00DD08F5" w:rsidRDefault="00DD08F5" w:rsidP="00DD08F5">
      <w:pPr>
        <w:ind w:firstLine="720"/>
        <w:jc w:val="both"/>
      </w:pPr>
      <w:r>
        <w:t>– sudaro sąlygas mokinių atostogų metu naudotis mokyklų baze vietos bendruomenės vaikams, ypatingą dėmesį skiria probleminių ir socialiai remtinų šeimų vaikams.</w:t>
      </w:r>
    </w:p>
    <w:p w:rsidR="00DD08F5" w:rsidRDefault="00DD08F5" w:rsidP="00DD08F5">
      <w:pPr>
        <w:jc w:val="both"/>
      </w:pPr>
      <w:r>
        <w:t>Savivaldybių administracijos:</w:t>
      </w:r>
    </w:p>
    <w:p w:rsidR="00DD08F5" w:rsidRDefault="00DD08F5" w:rsidP="00DD08F5">
      <w:pPr>
        <w:ind w:firstLine="720"/>
        <w:jc w:val="both"/>
      </w:pPr>
      <w:r>
        <w:t>–  įgyvendina priemones, kurios padėtų užtikrinti vaiko teisę į mokslą ir sugrąžintų į mokyklą jos nelankančius vaikus;</w:t>
      </w:r>
    </w:p>
    <w:p w:rsidR="00DD08F5" w:rsidRDefault="00DD08F5" w:rsidP="00DD08F5">
      <w:pPr>
        <w:ind w:firstLine="720"/>
        <w:jc w:val="both"/>
      </w:pPr>
      <w:r>
        <w:t xml:space="preserve"> –  kasmet iki spalio 25 d. teikia Švietimo ir mokslo ministerijai ataskaitas apie mokyklų vykdomas priemones narkotinių medžiagų vartojimo, ŽIV/AIDS, prievartos, smurto, nusikalstamumo prevencijos klausimais bei siūlymus prevenciniam darbui gerinti pagal Švietimo ir mokslo ministerijos parengtas rekomendacijas; organizuoja mokytojams, socialiniams pedagogams, psichologams, visuomenės sveikatos specialistams, klasės auklėtojams kvalifikacijos kėlimą narkotinių medžiagų, alkoholio bei tabako vartojimo, smurto, savižudybių ir kitais prevencinio darbo klausimais.</w:t>
      </w:r>
    </w:p>
    <w:p w:rsidR="00DD08F5" w:rsidRDefault="00DD08F5" w:rsidP="00DD08F5">
      <w:pPr>
        <w:ind w:firstLine="720"/>
        <w:jc w:val="both"/>
      </w:pPr>
      <w:r>
        <w:t xml:space="preserve">9. Lietuvos Respublikos Vyriausybė 2005 m. gegužės 17 d. nutarimu Nr. </w:t>
      </w:r>
      <w:r>
        <w:rPr>
          <w:bCs/>
        </w:rPr>
        <w:t xml:space="preserve">537 </w:t>
      </w:r>
      <w:r>
        <w:t>“Dėl Vaikų, vartojančių psichiką veikiančias medžiagas, medicininės, psichologinės, socialinės reabilitacijos paslaugų teikimo koncepcijos patvirtinimo” (Žin., 2005, Nr. 64-2285), patvirtino Vaikų, vartojančių psichiką veikiančias medžiagas, medicininės, psichologinės, socialinės reabilitacijos paslaugų teikimo koncepciją, kurios tikslas – padėti vaikams atgauti sveikatą, įveikti psichologinę, fizinę priklausomybę nuo psichiką veikiančių medžiagų ir integruotis į visuomenę; siekti teikiamų medicininių, psichologinių, socialinių reabilitacijos paslaugų kokybės, prieinamumo, tęstinumo visiems vaikams, racionaliai naudojant finansinius ir žmogiškuosius išteklius. Šioje koncepcijoje pabrėžiama ankstyvoji intervencija, kurios tikslas – skatinti vaikus nevartoti psichiką veikiančių medžiagų. Siekiama anksti nustatyti vaikus, vartojančius psichiką veikiančias medžiagas, ištirti jų sveikatos ir socialinę būklę, numatyti ir įgyvendinti pagalbos priemones.</w:t>
      </w:r>
    </w:p>
    <w:p w:rsidR="00DD08F5" w:rsidRDefault="00DD08F5" w:rsidP="00DD08F5">
      <w:pPr>
        <w:ind w:firstLine="720"/>
        <w:jc w:val="both"/>
      </w:pPr>
      <w:r>
        <w:t xml:space="preserve">10. Lietuvos Respublikos Vyriausybė 2002 m. balandžio 2 d. nutarimu Nr. </w:t>
      </w:r>
      <w:r>
        <w:rPr>
          <w:bCs/>
        </w:rPr>
        <w:t>437</w:t>
      </w:r>
      <w:r>
        <w:t xml:space="preserve"> “Dėl Ankstyvo vaikų (moksleivių) psichiką veikiančių medžiagų vartojimo nustatymo tvarkos patvirtinimo” (Žin., 2002, Nr. 35-1305; 2007, Nr. 107-4379), patvirtino  Ankstyvo vaikų (moksleivių) psichiką veikiančių medžiagų vartojimo nustatymo tvarką, kuri reglamentuoja vaikų, vartojančių narkotines, psichotropines, kitas psichiką veikiančias medžiagas, nustatymo organizavimą pradinėse pagrindinėse, vidurinėse, profesinėse mokyklose, vaikų globos įstaigose ir viešosiose vietose. </w:t>
      </w:r>
    </w:p>
    <w:p w:rsidR="00DD08F5" w:rsidRDefault="00DD08F5" w:rsidP="00DD08F5">
      <w:pPr>
        <w:ind w:firstLine="720"/>
        <w:jc w:val="both"/>
      </w:pPr>
      <w:r>
        <w:t xml:space="preserve">11. Lietuvos Respublikos Sveikatos apsaugos ministras 2005 m. kovo 22 d. įsakymu Nr. </w:t>
      </w:r>
      <w:r>
        <w:rPr>
          <w:bCs/>
        </w:rPr>
        <w:t>V-182</w:t>
      </w:r>
      <w:r>
        <w:t xml:space="preserve"> “Dėl 2005-2008 metų priklausomybės ligų gydymo programos patvirtinimo” (Žin., 2005, Nr. 43-1380), patvirtino 2005-2008 metų priklausomybės ligų gydymo programą, kurioje apibendrino bendrą esamą situaciją ir nurodė,  kad, priklausomybės ligos pagal Tarptautinę statistinę ligų ir sveikatos problemų klasifikaciją priskiriamos psichikos ir elgesio sutrikimams (TLK-10, F10–F19). Priklausomybės ligų gydymą ir priežiūrą atlieka gydytojai psichiatrai, šeimos gydytojai, sveikatos priežiūros įstaigų psichologai, socialiniai darbuotojai ir slaugos specialistai. Priklausomybės ligomis sergantiems pacientams ambulatorinė ir stacionarinė pagalba pagal jiems sudarytą individualią gydymo ir reabilitacijos programą teikiama priklausomybės ligų centruose (5 specializuoti priklausomybės ligų centrai: Vilniaus, Klaipėdos, Šiaulių, Panevėžio, Kauno), psichiatrijos ligoninėse ir specializuotose medicininės reabilitacijos įstaigose (šiuo metu yra tik du medicininės ir socialinės reabilitacijos padaliniai, finansuojami biudžeto lėšomis ir turintys licenciją teikti sveikatos priežiūros paslaugas: Vilniaus priklausomybės ligų centro Reabilitacijos skyrius (12 vietų) ir Lietuvos AIDS </w:t>
      </w:r>
      <w:r>
        <w:lastRenderedPageBreak/>
        <w:t>centro narkomanų socialinės psichologijos bendruomenė (13 vietų). Priklausomybės ligomis sergantiems pacientams ambulatorinė pagalba teikiama ir psichikos sveikatos centruose (Lietuvoje veikia 64 psichikos sveikatos centrai). Būtinoji (skubi) pagalba teikiama pacientams, kai juos ištinka koma ar apsinuodijus narkotinėmis, kitomis psichotropinėmis medžiagomis, taip pat esant abstinencijos būklei, psichozinei simptomatikai. Tokie asmenys guldomi į asmens sveikatos priežiūros įstaigose esančius reanimacijos skyrius ir/ar toksikologijos skyrius. Greita detoksikacija asmenims, vartojantiems narkotikus, taikoma ligoninių toksikologijos skyriuose, priklausomybės ligų centruose bei privačiose toksikologijos klinikose. Ambulatoriniam gydymui medikamentai iš Privalomojo sveikatos draudimo fondo (toliau – PSDF) lėšų nekompensuojami. Priklausomybės ligų centrams biudžetinio finansavimo nepakanka visoms numatytoms funkcijoms vykdyti. Ne visi asmenys, priklausomi nuo alkoholio ar narkotikų, net esant indikacijoms gali gauti ambulatorinio gydymo paslaugas. Priklausomybės ligų centrai dėl nepakankamo finansavimo ir prastos materialinės bazės negali atlikti pagal nuostatus priskirtų funkcijų. Apskričių priklausomybės ligų centrai rajonų pirminės sveikatos priežiūros, psichikos sveikatos centrams teikia tik minimalią metodinę pagalbą dėl priklausomybės ligų diagnostikos ir gydymo. Dėl finansų stokos negali užtikrinti visavertės profilaktikos, gydymo ir medicininės reabilitacijos. Siekiant pagerinti medicinos paslaugų prieinamumą sergantiesiems priklausomybės ligomis ir priklausomybės ligų centrų infrastruktūrą, 2003 m. buvo parengta ir 2003 m. rugsėjo 23 d. Privalomojo sveikatos draudimo tarybos nutarimu Nr. 6/7 patvirtinta Lietuvos Respublikos sveikatos apsaugos ministro 2003 m. spalio 20 d. įsakymu Nr. V-614 Medicininių paslaugų sergantiesiems priklausomybės ligomis prieinamumo bei gerinimo 2003–2004 m. programa. Siekiant įgyvendinti priklausomybės ligų profilaktiką, Lietuvos Respublikos Seimo 2004 m. balandžio 8 d. nutarimu Nr. IX -2110 patvirtinta ir vykdoma Nacionalinė narkotikų kontrolės ir narkomanijos prevencijos 2004–2008 metų programa (Žin., 2004, Nr.140-5114). Lietuvos Respublikos Vyriausybės 2003 m. spalio 14 d. nutarimu Nr.1273 patvirtinta ŽIV/AIDS profilaktikos ir kontrolės programa, kurioje numatytos ŽIV/AIDS prevencijos priemonės asmenims, vartojantiems narkotines medžiagas.</w:t>
      </w:r>
    </w:p>
    <w:p w:rsidR="00DD08F5" w:rsidRDefault="00DD08F5" w:rsidP="00DD08F5">
      <w:pPr>
        <w:jc w:val="both"/>
      </w:pPr>
      <w:r>
        <w:t xml:space="preserve"> </w:t>
      </w:r>
      <w:r>
        <w:tab/>
        <w:t>Programos tikslas - įgyvendinant Lietuvos Respublikos Vyriausybės programoje numatytus tikslus sveikatos apsaugos srityje, stiprinti psichikos sveikatą, vykdant priklausomybės ligų sveikatos priežiūrą, gerinti specializuotų paslaugų prieinamumą, organizuoti ir plėtoti ankstyvą priklausomybės ligų diagnostiką, teikti kokybiškas medicinines, psichologines paslaugas tiek vaikams ir paaugliams, sergantiems priklausomybės ligomis, tiek suaugusiesiems, sergantiems žmogaus imunodeficito virusu (ŽIV) ir sukėlėjo nešiotojams bei tuberkulioze, nėščioms moterims, moterims, turinčioms mažamečių vaikų, socialinės atskirties grupių atstovams, ir mažinti jų socialinę atskirtį, gerinti šių pacientų reabilitaciją ir integraciją į bendruomenę.</w:t>
      </w:r>
    </w:p>
    <w:p w:rsidR="00DD08F5" w:rsidRDefault="00DD08F5" w:rsidP="00DD08F5">
      <w:pPr>
        <w:ind w:firstLine="720"/>
        <w:jc w:val="both"/>
      </w:pPr>
      <w:r>
        <w:t>Buvo numatyti šios Programos 2005 – 2008 metais laukiami rezultatai:</w:t>
      </w:r>
    </w:p>
    <w:p w:rsidR="00DD08F5" w:rsidRDefault="00DD08F5" w:rsidP="00DD08F5">
      <w:pPr>
        <w:ind w:firstLine="720"/>
        <w:jc w:val="both"/>
      </w:pPr>
      <w:r>
        <w:t>– Asmenims, kurie kreipiasi į priklausomybės ligų centrus, sergantiems priklausomybės ligomis ir apdraustiems PSDF lėšomis, iš šios Programos lėšų bus pagerintas reikiamų medicininių paslaugų prieinamumas ir kokybė.</w:t>
      </w:r>
    </w:p>
    <w:p w:rsidR="00DD08F5" w:rsidRDefault="00DD08F5" w:rsidP="00DD08F5">
      <w:pPr>
        <w:ind w:firstLine="720"/>
        <w:jc w:val="both"/>
      </w:pPr>
      <w:r>
        <w:t>– Siekiant užtikrinti priklausomybės ligų centruose teikiamų medicininių paslaugų kokybę ir efektyvų lėšų panaudojimą, besikreipiantiems ir gydytiems pacientams bus taikoma pacientų gydymo rezultatų stebėsena, kurios pagrindiniai rodikliai – pasiektų ilgalaikių remisijų skaičius, naujai išaiškintų pacientų skaičius, kiek asmenų, vartojančių alkoholį ir narkotikus, išrašyti iš įskaitos.</w:t>
      </w:r>
    </w:p>
    <w:p w:rsidR="00DD08F5" w:rsidRDefault="00DD08F5" w:rsidP="00DD08F5">
      <w:pPr>
        <w:ind w:firstLine="720"/>
        <w:jc w:val="both"/>
      </w:pPr>
      <w:r>
        <w:t>– Pagerinus paslaugų prieinamumą, priklausomybės ligų centruose nuolat didės asmenų, gydytų dėl abstinencijos ir priklausomybės sindromo stacionare ir ambulatoriškai, skaičius.</w:t>
      </w:r>
    </w:p>
    <w:p w:rsidR="00DD08F5" w:rsidRDefault="00DD08F5" w:rsidP="00DD08F5">
      <w:pPr>
        <w:ind w:firstLine="720"/>
        <w:jc w:val="both"/>
      </w:pPr>
      <w:r>
        <w:t>– Siekiant išaiškinti naujus atvejus, užtikrinti gydymo tęstinumą, priklausomybės ligų centrai: daugiau pacientų gydys bendradarbiaudami su psichikos sveikatos centrais, darbo biržomis, nevyriausybinėmis organizacijomis; bus suteikta daugiau informacijos bendruomenėms apie priklausomybės ligų gydymo galimybes, mažės sergančiųjų priklausomybės ligomis stigmatizacija, daugės besikreipiančiųjų medicinos pagalbos.</w:t>
      </w:r>
    </w:p>
    <w:p w:rsidR="00DD08F5" w:rsidRDefault="00DD08F5" w:rsidP="00DD08F5">
      <w:pPr>
        <w:ind w:firstLine="720"/>
        <w:jc w:val="both"/>
      </w:pPr>
      <w:r>
        <w:t>–  Programa sudarys prielaidas palaipsniui gerinti kitus šalies sveikatos rodiklius: plečiant asmenų, priklausomų nuo alkoholio, gydymą ir reabilitaciją, bus sudarytos prielaidos mažėti alkoholinių psichozių, apsinuodijimų alkoholiu, nelaimingų atsitikimų ir savižudybių skaičiui; pagerinus gydymo prieinamumą asmenims, priklausomiems nuo narkotinių medžiagų, bus sudarytos prielaidos plėtoti infekcinių ligų (ŽIV/AIDS, hepatitų B ir C) bei mirčių nuo narkotikų perdozavimo profilaktiką, gerinti šių asmenų integraciją į visuomenę, mažinti socialinę atskirtį.</w:t>
      </w:r>
    </w:p>
    <w:p w:rsidR="00DD08F5" w:rsidRDefault="00DD08F5" w:rsidP="00DD08F5">
      <w:pPr>
        <w:ind w:firstLine="720"/>
        <w:jc w:val="both"/>
      </w:pPr>
      <w:r>
        <w:lastRenderedPageBreak/>
        <w:t xml:space="preserve">Už programos priemonių įgyvendinimą atsakingi priklausomybių ligų centrų vadovai, 2005-2008 metais šios Programos įgyvendinimo vieta - Vilniaus m. priklausomybės ligų centras, vadovas E. Subata, Kauno aps. priklausomybės ligų centras, vadovas T. Zikaras, Klaipėdos aps. priklausomybės ligų centras, vadovas A. Slatvickis, Šiaulių aps. priklausomybės ligų centras, vadovas E. Pr. Zevertas, Panevėžio aps. priklausomybės ligų centras, vadovė V. Kuzminskienė. </w:t>
      </w:r>
    </w:p>
    <w:p w:rsidR="00DD08F5" w:rsidRDefault="00DD08F5" w:rsidP="00DD08F5">
      <w:pPr>
        <w:ind w:firstLine="720"/>
        <w:jc w:val="both"/>
      </w:pPr>
      <w:r>
        <w:t xml:space="preserve">12. Sveikatos apsaugos ministras 2007 m. rugpjūčio 6 d. įsakymu Nr. </w:t>
      </w:r>
      <w:r>
        <w:rPr>
          <w:bCs/>
        </w:rPr>
        <w:t>V-652</w:t>
      </w:r>
      <w:r>
        <w:t xml:space="preserve"> “Dėl Lietuvos Respublikos sveikatos apsaugos ministro 2002 m. gegužės 3 d. įsakymo Nr. 204 “Dėl priklausomybės ligų gydymo ir reabilitacijos standartų patvirtinimo” pakeitimo” (Žin., 2007, Nr. 90-3586), trumpalaikės ar ilgalaikės opioidinės abstinencijos detoksikacijos paslaugą  metadonu,  papildė “ar buprenorfinu”,  nurodydamas, kad asmenų iki 18 metų, vyresnių nei 15 metų, abstinencijos būklei gydyti skiriamas tik buprenorfinas.</w:t>
      </w:r>
    </w:p>
    <w:p w:rsidR="00DD08F5" w:rsidRDefault="00DD08F5" w:rsidP="00DD08F5">
      <w:pPr>
        <w:ind w:firstLine="720"/>
        <w:jc w:val="both"/>
      </w:pPr>
      <w:r>
        <w:t xml:space="preserve">13. Lietuvos Respublikos Sveikatos apsaugos ministras 2008 m. gruodžio 31 d. įsakymu Nr. </w:t>
      </w:r>
      <w:r>
        <w:rPr>
          <w:bCs/>
        </w:rPr>
        <w:t>V-1288</w:t>
      </w:r>
      <w:r>
        <w:t xml:space="preserve"> “Dėl 2009-2012 metų priklausomybės ligų gydymo programos patvirtinimo”, patvirtino 2009 - 2012 metų priklausomybės ligų gydymo programą, kurioje numatė vaikams, sergantiems priklausomybės ligomis, užtikrinti gydymo paslaugų teikimą, vadovaujantis Sveikatos apsaugos ministro 2002 m. gegužės 3 d. įsakymu Nr. 204 “Dėl priklausomybės ligų gydymo ir reabilitacijos standartų patvirtinimo”, ir jį papildžiusiu Sveikatos apsaugos ministro 2007 m. rugpjūčio 6 d. įsakymu Nr. V-652 “Dėl Lietuvos Respublikos sveikatos apsaugos ministro 2002 m. gegužės 3 d. įsakymo Nr. 204 “Dėl priklausomybės ligų gydymo ir reabilitacijos standartų patvirtinimo” pakeitimo” (Žin., 2007, Nr. 90-3586), pagal patvirtintus Priklausomybės ligų gydymo ir reabilitacijos standartus bei  pirminio ir antrinio lygio paslaugas.</w:t>
      </w:r>
    </w:p>
    <w:p w:rsidR="00DD08F5" w:rsidRDefault="00DD08F5" w:rsidP="00DD08F5">
      <w:pPr>
        <w:ind w:firstLine="720"/>
        <w:jc w:val="both"/>
      </w:pPr>
      <w:r>
        <w:t>Sveikatos apsaugos ministro 2002 m. gegužės 3 d. įsakyme Nr</w:t>
      </w:r>
      <w:r>
        <w:rPr>
          <w:bCs/>
        </w:rPr>
        <w:t>. 204 “</w:t>
      </w:r>
      <w:r>
        <w:t xml:space="preserve">Dėl priklausomybės ligų gydymo ir reabilitacijos standartų patvirtinimo” patvirtintoje “Priklausomybės ligų gydymo ir reabilitacijos standartai. Pirminio lygio paslaugos” 10 paslaugų punkte “Trumpalaikė opioidinės abstinencijos detoksikacija metadonu ar buprenorfinu” patvirtinta priemonė: Asmenų iki 18 metų, vyresnių nei 15 metų, abstinencijos būklei gydyti skiriamas tik buprenorfinas. Paciento būklės stabilizavimas adekvačiomis metadono hidrochlorido ar buprenorfino dozėmis ir laipsniškas jų mažinimas (iki nulio) pagal individualią schemą. Gydymas analgetikais (pvz., tramadoliu  ir kt.). Minėta priemonė taikoma iki 3 mėn. </w:t>
      </w:r>
    </w:p>
    <w:p w:rsidR="00DD08F5" w:rsidRDefault="00DD08F5" w:rsidP="00DD08F5">
      <w:pPr>
        <w:ind w:firstLine="720"/>
        <w:jc w:val="both"/>
      </w:pPr>
      <w:r>
        <w:t xml:space="preserve">Paslaugų punkte Nr. 11 “Ilgalaikė opioidinės abstinencijos detoksikacija metadonu ar buprenorfinu” patvirtinta priemonė: Asmenų iki 18 metų, vyresnių nei 15 metų, abstinencijos būklei gydyti skiriamas tik buprenorfinas. Paciento būklės stabilizavimas adekvačiomis metadono hidrochlorido ar buprenorfino dozėmis ir laipsniškas jų mažinimas (iki nulio) pagal individualią schemą. Gydymas analgetikais (pvz., tramadoliu  ir kt.). Minėta priemonė taikoma iki 6 mėn. </w:t>
      </w:r>
    </w:p>
    <w:p w:rsidR="00DD08F5" w:rsidRDefault="00DD08F5" w:rsidP="00DD08F5">
      <w:pPr>
        <w:jc w:val="both"/>
      </w:pPr>
      <w:r>
        <w:t xml:space="preserve"> </w:t>
      </w:r>
      <w:r>
        <w:tab/>
        <w:t>Paslaugų punkte Nr. 12 “Benzodiazepinų abstinencijos detoksikacija” patvirtinta priemonė: Paciento būklės stabilizavimas adekvačiomis benzodiazepinų grupės vaistų dozėmis ir laipsniškas mažinimas (iki nulio) pagal individualią schemą. Gydymas kitais neuroleptikais  ir kt. Priemonė taikoma visiems vaikams,  priemonės trukmė 12-18 mėn.</w:t>
      </w:r>
    </w:p>
    <w:p w:rsidR="00DD08F5" w:rsidRDefault="00DD08F5" w:rsidP="00DD08F5">
      <w:pPr>
        <w:ind w:firstLine="720"/>
        <w:jc w:val="both"/>
      </w:pPr>
      <w:r>
        <w:t xml:space="preserve">Paslaugų punkte Nr. 17 “Priklausomybės nuo opioidų palaikomasis gydymas metadonu ar buprenorfinu (substitucinė terapija)” patvirtinta priemonė: Asmenų iki 18 metų, vyresnių nei 15 metų, pakaitiniam palaikomajam gydymui naudojamas tik buprenorfinas, kuris skiriamas tik ypatingais atvejais (ŽIV, tuberkuliozės, kitų sunkių infekcinių, psichikos ir somatinių susirgimų, nėštumo), kai neefektyvūs kiti gydymo metodai, priemonė taikoma ne mažiau kaip 1 metus. </w:t>
      </w:r>
    </w:p>
    <w:p w:rsidR="00DD08F5" w:rsidRDefault="00DD08F5" w:rsidP="00DD08F5">
      <w:pPr>
        <w:ind w:firstLine="720"/>
        <w:jc w:val="both"/>
      </w:pPr>
      <w:r>
        <w:t xml:space="preserve">Kituose paslaugų punktuose, Priklausomybės nuo alkoholio palaikomasis gydymas, numatytas neišskiriant vaikų  amžiaus.   </w:t>
      </w:r>
    </w:p>
    <w:p w:rsidR="00DD08F5" w:rsidRDefault="00DD08F5" w:rsidP="00DD08F5">
      <w:pPr>
        <w:ind w:firstLine="720"/>
        <w:jc w:val="both"/>
      </w:pPr>
      <w:r>
        <w:t>Be to, šiose pirminio lygio paslaugose numatyta disulfiramo implantacija į raumenis arba poodį, neišskiriant amžiaus.</w:t>
      </w:r>
    </w:p>
    <w:p w:rsidR="00DD08F5" w:rsidRDefault="00DD08F5" w:rsidP="00DD08F5">
      <w:pPr>
        <w:ind w:firstLine="720"/>
        <w:jc w:val="both"/>
      </w:pPr>
      <w:r>
        <w:t>Analogiškos priemonės metadonu ar buprenorfinu taikomos Antrinio lygio paslaugų 9, 10, 11, 18 punktuose.</w:t>
      </w:r>
    </w:p>
    <w:p w:rsidR="00DD08F5" w:rsidRDefault="00DD08F5" w:rsidP="00DD08F5">
      <w:pPr>
        <w:ind w:firstLine="720"/>
        <w:jc w:val="both"/>
      </w:pPr>
      <w:r>
        <w:t xml:space="preserve">Seimo Narkomanijos ir alkoholizmo prevencijos komisija, atkreipdama Sveikatos apsaugos ministro dėmesį 2009 m. sausio 28 d. raštu Nr.S-2009-1004 “Dėl Lietuvos Respublikos Sveikatos apsaugos ministro 2008 m. gruodžio 31 d. įsakymo Nr. V-1288 pakeitimo”,  kreipėsi į Sveikatos apsaugos ministrą (kopija išsiųsta Socialinės apsaugos ir darbo ministrui Rimantui Dagiui), prašydama panaikinti Sveikatos apsaugos ministro 2008 m. gruodžio 31 d. įsakymo Nr. V-1288 “Dėl 2009-2012 metų priklausomybės ligų gydymo programos patvirtinimo”  21 punkto 2 papunkčio 21.2.1. punktą, 21 punkto 4 papunktį, 26 punkto 26.1. papunktį, 27 punktą, 38 punkto 1 papunktį,  38 punkto 3 </w:t>
      </w:r>
      <w:r>
        <w:lastRenderedPageBreak/>
        <w:t xml:space="preserve">papunktį, 45 punktą, kad nebūtų padaryta esminė žala vaiko gerovei, ir išbraukti 26 punkto 2 papunkčio 26.2.2. punkte žodžius „metadono hidrochloridas“, 38 punkto 3 papunktyje – žodžius „metadono hidrochloridu“,  38 punkto 4 papunktyje – žodžius „metadono hidrochloridu“, kaip galimai proteguojančius vieną medikamentą.   </w:t>
      </w:r>
    </w:p>
    <w:p w:rsidR="00DD08F5" w:rsidRDefault="00DD08F5" w:rsidP="00DD08F5">
      <w:pPr>
        <w:jc w:val="both"/>
      </w:pPr>
      <w:r>
        <w:tab/>
        <w:t>Seimo Narkomanijos ir alkoholizmo prevencijos komisija, atkreipdama Sveikatos apsaugos ministro dėmesį, kad tvirtinant 2009 – 2012 metų priklausomybės ligų gydymo programą, nepaskelbti 2005 – 2008 metų priklausomybės ligų programos pasiekti rodikliai:</w:t>
      </w:r>
    </w:p>
    <w:p w:rsidR="00DD08F5" w:rsidRDefault="00DD08F5" w:rsidP="00DD08F5">
      <w:pPr>
        <w:ind w:firstLine="720"/>
        <w:jc w:val="both"/>
        <w:rPr>
          <w:szCs w:val="22"/>
        </w:rPr>
      </w:pPr>
      <w:r>
        <w:t xml:space="preserve"> – dėl </w:t>
      </w:r>
      <w:r>
        <w:rPr>
          <w:szCs w:val="22"/>
        </w:rPr>
        <w:t xml:space="preserve">naujai išaiškintų pacientų (tame tarpe vaikų) skaičiaus, pasiektų ilgalaikių remisijų (tame tarpe vaikų) skaičiaus, kiek asmenų (vaikų), vartojančių alkoholį ir narkotikus, išrašyti iš įskaitos, kiek vaikų gavo šias paslaugas; </w:t>
      </w:r>
    </w:p>
    <w:p w:rsidR="00DD08F5" w:rsidRDefault="00DD08F5" w:rsidP="00DD08F5">
      <w:pPr>
        <w:ind w:firstLine="720"/>
        <w:jc w:val="both"/>
        <w:rPr>
          <w:szCs w:val="22"/>
        </w:rPr>
      </w:pPr>
      <w:r>
        <w:rPr>
          <w:szCs w:val="22"/>
        </w:rPr>
        <w:t>– kiek pagerinus paslaugų prieinamumą, priklausomybės ligų centruose nuolat padidėjo asmenų (tame tarpe vaikų), gydytų dėl abstinencijos ir priklausomybės sindromo stacionare ir ambulatoriškai, skaičius;</w:t>
      </w:r>
    </w:p>
    <w:p w:rsidR="00DD08F5" w:rsidRDefault="00DD08F5" w:rsidP="00DD08F5">
      <w:pPr>
        <w:ind w:firstLine="720"/>
        <w:jc w:val="both"/>
        <w:rPr>
          <w:szCs w:val="22"/>
        </w:rPr>
      </w:pPr>
      <w:r>
        <w:rPr>
          <w:szCs w:val="22"/>
        </w:rPr>
        <w:t>– kiek daugiau pacientų (tame tarpe vaikų) gydytų bendradarbiaujant su psichikos sveikatos centrais, darbo biržomis, nevyriausybinėmis organizacijomis;</w:t>
      </w:r>
    </w:p>
    <w:p w:rsidR="00DD08F5" w:rsidRDefault="00DD08F5" w:rsidP="00DD08F5">
      <w:pPr>
        <w:ind w:firstLine="720"/>
        <w:jc w:val="both"/>
        <w:rPr>
          <w:szCs w:val="22"/>
        </w:rPr>
      </w:pPr>
      <w:r>
        <w:rPr>
          <w:szCs w:val="22"/>
        </w:rPr>
        <w:t>– ar sumažėjo sergančiųjų (tame tarpe vaikų) priklausomybės ligomis stigmatizacija, ar padaugėjo besikreipiančiųjų medicinos pagalbos;</w:t>
      </w:r>
    </w:p>
    <w:p w:rsidR="00DD08F5" w:rsidRDefault="00DD08F5" w:rsidP="00DD08F5">
      <w:pPr>
        <w:ind w:firstLine="720"/>
        <w:jc w:val="both"/>
        <w:rPr>
          <w:szCs w:val="22"/>
        </w:rPr>
      </w:pPr>
      <w:r>
        <w:rPr>
          <w:szCs w:val="22"/>
        </w:rPr>
        <w:t>– ar pagerinti kiti šalies sveikatos rodikliai (buvo siekta, kad plečiant asmenų, priklausomų nuo alkoholio, gydymą ir reabilitaciją, bus sudarytos prielaidos mažėti alkoholinių psichozių, apsinuodijimų alkoholiu, nelaimingų atsitikimų ir savižudybių skaičiai (tame tarpe vaikų);</w:t>
      </w:r>
    </w:p>
    <w:p w:rsidR="00DD08F5" w:rsidRDefault="00DD08F5" w:rsidP="00DD08F5">
      <w:pPr>
        <w:ind w:firstLine="720"/>
        <w:jc w:val="both"/>
        <w:rPr>
          <w:szCs w:val="22"/>
        </w:rPr>
      </w:pPr>
      <w:r>
        <w:rPr>
          <w:szCs w:val="22"/>
        </w:rPr>
        <w:t>– ar pasiekta, kad pagerinus gydymo prieinamumą asmenims, priklausomiems nuo narkotinių medžiagų, sudarytos prielaidos plėtoti infekcinių ligų (ŽIV/AIDS, hepatitų B ir C) bei mirčių nuo narkotikų perdozavimo profilaktiką, ar pagerinta šių asmenų integraciją į visuomenę, sumažinta socialinė atskirtis (tame tarpe vaikų).</w:t>
      </w:r>
    </w:p>
    <w:p w:rsidR="00DD08F5" w:rsidRDefault="00DD08F5" w:rsidP="00DD08F5">
      <w:pPr>
        <w:ind w:firstLine="720"/>
        <w:jc w:val="both"/>
        <w:rPr>
          <w:szCs w:val="14"/>
        </w:rPr>
      </w:pPr>
      <w:r>
        <w:t>Seimo Narkomanijos ir alkoholizmo prevencijos komisija</w:t>
      </w:r>
      <w:r>
        <w:rPr>
          <w:szCs w:val="22"/>
        </w:rPr>
        <w:t xml:space="preserve">  siūlė, kad įvertinus </w:t>
      </w:r>
      <w:r>
        <w:t>2005 – 2008 metų</w:t>
      </w:r>
      <w:r>
        <w:rPr>
          <w:szCs w:val="22"/>
        </w:rPr>
        <w:t xml:space="preserve"> vykdytos</w:t>
      </w:r>
      <w:r>
        <w:t xml:space="preserve"> priklausomybės ligų programos rezultatus, tvirtinti naują 2009 – 2012 metų priklausomybės ligų programą, kuri turėtų atitikti politines gaires, strategijas, programas ir jų įgyvendinimo priemones (kai kurios veiks net iki 2013 metų). Tai liūdytų, kad valstybėje yra </w:t>
      </w:r>
      <w:r>
        <w:rPr>
          <w:szCs w:val="14"/>
        </w:rPr>
        <w:t>daromos nuoseklios reformos, įgyvendinant Jungtinių Tautų vaiko teisių konvenciją ir vaiko gerovės politiką Lietuvoje. Be to, visi įstatymus lydintieji teisės aktai turėtų neprieštarauti jų nuostatoms.</w:t>
      </w:r>
    </w:p>
    <w:p w:rsidR="00DD08F5" w:rsidRDefault="00DD08F5" w:rsidP="00DD08F5">
      <w:pPr>
        <w:jc w:val="both"/>
      </w:pPr>
      <w:r>
        <w:t xml:space="preserve"> </w:t>
      </w:r>
      <w:r>
        <w:tab/>
        <w:t>Taikant vaikams pirminio ir antrinio lygio paslaugas pagal suaugusiųjų priklausomybės ligų gydymo ir reabilitacijos standartus visose asmens sveikatos priežiūros įstaigose (pirminės asmens ambulatorinės sveikatos priežiūros įstaigose ir psichikos sveikatos centruose) bei s</w:t>
      </w:r>
      <w:r>
        <w:rPr>
          <w:color w:val="000000"/>
          <w:szCs w:val="18"/>
        </w:rPr>
        <w:t xml:space="preserve">tokojant </w:t>
      </w:r>
      <w:r>
        <w:t>kvalifikuotų psichikos sveikatos priežiūros specialistų, ypač rajonuose ir ypač psichologų, vaikų psichiatrų, psichoterapeutų pagalbos, vaikus nuo 15 metų nukreipiant į pakaitinio gydymo (abstinencijos gydymas ir pakaitinis palaikomasis gydymas) pakaitiniais opioidiniais vaistiniais preparatais (metadonu ar buprenorfinu) paslaugas, būtų padaryta esminė žala vaiko sveikatai ir prieštarautų vykdomai vaiko gerovės politikai Lietuvoje, kartu išplėstų narkotikų vartotojų ratą.</w:t>
      </w:r>
    </w:p>
    <w:p w:rsidR="00DD08F5" w:rsidRDefault="00DD08F5" w:rsidP="00DD08F5">
      <w:pPr>
        <w:jc w:val="both"/>
        <w:rPr>
          <w:lang w:val="en-US"/>
        </w:rPr>
      </w:pPr>
      <w:r>
        <w:t xml:space="preserve"> </w:t>
      </w:r>
      <w:r>
        <w:tab/>
        <w:t xml:space="preserve"> Seimo Narkomanijos ir alkoholizmo prevencijos komisija pažymėjo, kad i</w:t>
      </w:r>
      <w:r>
        <w:rPr>
          <w:lang w:val="en-US"/>
        </w:rPr>
        <w:t xml:space="preserve">ki šiol nėra patvirtintos vaikų, vartojančių psichiką veikiančias medžiagas, gydymo metodikos ir šiuo metu vaikams taikomi Priklausomybės ligų gydymo ir reabilitacijos standartai bei pirminio ir antrinio lygio paslaugos (net buprenorfinu) yra neteisėtos. </w:t>
      </w:r>
      <w:r>
        <w:t xml:space="preserve">Narkotikų kontrolės departamentas prie Lietuvos Respublikos Vyriausybės yra Lietuvos Respublikos Vyriausybės įstaiga, kurios uždavinys įgyvendinti valstybės politiką narkotikų kontrolės ir narkomanijos prevencijos srityse – užtikrinti narkotinių ir psichotropinių medžiagų paklausos ir pasiūlos mažinimo priemonių įgyvendinimą ir pagal kompetenciją spręsti klausimus, susijusius su Lietuvos Respublikos valstybės formuojama narkotikų kontrolės ir narkomanijos prevencijos politika, siūlyti jos tobulinimo kryptis. </w:t>
      </w:r>
      <w:r>
        <w:rPr>
          <w:lang w:val="en-US"/>
        </w:rPr>
        <w:t>Narkotikų kontrolės departamentas prie Lietuvos Respublikos Vyriausybės neužtikrino, kad Vaikų, vartojančių psichiką veikiančias medžiagas, gydymo metodika būtų patvirtinta.</w:t>
      </w:r>
    </w:p>
    <w:p w:rsidR="00DD08F5" w:rsidRDefault="00DD08F5" w:rsidP="00DD08F5">
      <w:pPr>
        <w:ind w:firstLine="720"/>
        <w:jc w:val="both"/>
      </w:pPr>
      <w:r>
        <w:t xml:space="preserve">14. Lietuvos Respublikos Vyriausybės  2007 m. spalio 2 d. nutarimu Nr. </w:t>
      </w:r>
      <w:r>
        <w:rPr>
          <w:bCs/>
        </w:rPr>
        <w:t xml:space="preserve">1071 </w:t>
      </w:r>
      <w:r>
        <w:t xml:space="preserve">“Dėl Lietuvos Respublikos Vyriausybės 2002 m. balandžio 2 d. nutarimo Nr. 437 “Dėl ankstyvo vaikų (moksleivių) psichiką veikiančių medžiagų vartojimo nustatymo tvarkos patvirtinimo” pakeitimo” (Žin., 2002, Nr. 35 – 1305; 2007, Nr. 107 – 4379), patvirtintas Vaikų, vartojančių narkotines, psichotropines, kitas psichiką veikiančias medžiagas, nustatymo organizavimo tvarkos aprašas pradinėse pagrindinėse, vidurinėse, profesinėse mokyklose, vaikų globos įstaigose ir viešosiose vietose.  </w:t>
      </w:r>
    </w:p>
    <w:p w:rsidR="00DD08F5" w:rsidRDefault="00DD08F5" w:rsidP="00DD08F5">
      <w:pPr>
        <w:ind w:firstLine="720"/>
        <w:jc w:val="both"/>
        <w:rPr>
          <w:szCs w:val="22"/>
        </w:rPr>
      </w:pPr>
      <w:r>
        <w:rPr>
          <w:szCs w:val="22"/>
        </w:rPr>
        <w:lastRenderedPageBreak/>
        <w:t xml:space="preserve">Dėl vaikų, vartojančių narkotines, psichotropines, kitas psichiką veikiančias medžiagas, mokyklose numatyta, kad   mokyklos pedagoginiai darbuotojai, įtarę, kad jų mokyklą lankantis vaikas mokyklos teritorijoje vartoja narkotines, psichotropines, kitas psichiką veikiančias medžiagas, yra apsvaigęs nuo šių medžiagų, nedelsdami informuoja apie tai mokyklos vadovą ar jo įgaliotus asmenis, taip pat visuomenės sveikatos priežiūros specialistą, vykdantį sveikatos priežiūrą mokykloje. </w:t>
      </w:r>
    </w:p>
    <w:p w:rsidR="00DD08F5" w:rsidRDefault="00DD08F5" w:rsidP="00DD08F5">
      <w:pPr>
        <w:ind w:firstLine="720"/>
        <w:jc w:val="both"/>
        <w:rPr>
          <w:szCs w:val="22"/>
        </w:rPr>
      </w:pPr>
      <w:r>
        <w:rPr>
          <w:szCs w:val="14"/>
        </w:rPr>
        <w:t> </w:t>
      </w:r>
      <w:r>
        <w:rPr>
          <w:szCs w:val="22"/>
        </w:rPr>
        <w:t xml:space="preserve">Mokyklos vadovas ar jo įgalioti asmenys, nedelsdami informuoja vaiko atstovus pagal įstatymą apie įtarimą, kad jis vartoja narkotines, psichotropines, kitas psichiką veikiančias medžiagas, yra apsvaigęs nuo šių medžiagų ir kad jam reikėtų atlikti medicininę apžiūrą; informuoja vaiką, vaiko atstovus pagal įstatymą apie asmens sveikatos priežiūros įstaigas, teikiančias sveikatos priežiūros paslaugas; </w:t>
      </w:r>
      <w:r>
        <w:rPr>
          <w:szCs w:val="14"/>
        </w:rPr>
        <w:t xml:space="preserve"> </w:t>
      </w:r>
      <w:r>
        <w:rPr>
          <w:szCs w:val="22"/>
        </w:rPr>
        <w:t xml:space="preserve">informuoja vaiką, vaiko atstovus pagal įstatymą apie institucijas, įstaigas, organizacijas, teikiančias psichologinę, socialinę, teisinę ar kitą pagalbą. </w:t>
      </w:r>
    </w:p>
    <w:p w:rsidR="00DD08F5" w:rsidRDefault="00DD08F5" w:rsidP="00DD08F5">
      <w:pPr>
        <w:ind w:firstLine="720"/>
        <w:jc w:val="both"/>
        <w:rPr>
          <w:szCs w:val="14"/>
        </w:rPr>
      </w:pPr>
      <w:r>
        <w:rPr>
          <w:szCs w:val="22"/>
        </w:rPr>
        <w:t>Mokyklos pedagoginiai darbuotojai, įtarę, kad jų mokyklą lankantis vaikas mokyklos teritorijoje yra apsinuodijęs narkotinėmis, psichotropinėmis, kitomis psichiką veikiančiomis medžiagomis ir jo sveikatai ar gyvybei gresia pavojus:</w:t>
      </w:r>
      <w:r>
        <w:rPr>
          <w:szCs w:val="14"/>
        </w:rPr>
        <w:t xml:space="preserve"> </w:t>
      </w:r>
    </w:p>
    <w:p w:rsidR="00DD08F5" w:rsidRDefault="00DD08F5" w:rsidP="00DD08F5">
      <w:pPr>
        <w:ind w:firstLine="720"/>
        <w:jc w:val="both"/>
        <w:rPr>
          <w:szCs w:val="22"/>
        </w:rPr>
      </w:pPr>
      <w:r>
        <w:rPr>
          <w:szCs w:val="22"/>
        </w:rPr>
        <w:t>– suteikia vaikui pirmąją pagalbą;</w:t>
      </w:r>
    </w:p>
    <w:p w:rsidR="00DD08F5" w:rsidRDefault="00DD08F5" w:rsidP="00DD08F5">
      <w:pPr>
        <w:ind w:firstLine="720"/>
        <w:jc w:val="both"/>
        <w:rPr>
          <w:szCs w:val="22"/>
        </w:rPr>
      </w:pPr>
      <w:r>
        <w:rPr>
          <w:szCs w:val="22"/>
        </w:rPr>
        <w:t>– nedelsdami organizuoja vaiko pristatymą į asmens sveikatos priežiūros įstaigą, o kai reikia skubios medicinos pagalbos, kviečia greitąją medicinos pagalbą;</w:t>
      </w:r>
    </w:p>
    <w:p w:rsidR="00DD08F5" w:rsidRDefault="00DD08F5" w:rsidP="00DD08F5">
      <w:pPr>
        <w:ind w:firstLine="720"/>
        <w:jc w:val="both"/>
        <w:rPr>
          <w:szCs w:val="22"/>
        </w:rPr>
      </w:pPr>
      <w:r>
        <w:rPr>
          <w:szCs w:val="22"/>
        </w:rPr>
        <w:t>– nedelsdami informuoja apie tai mokyklos vadovą ar jo įgaliotus asmenis, taip pat visuomenės sveikatos priežiūros specialistą, vykdantį sveikatos priežiūrą mokykloje.</w:t>
      </w:r>
    </w:p>
    <w:p w:rsidR="00DD08F5" w:rsidRDefault="00DD08F5" w:rsidP="00DD08F5">
      <w:pPr>
        <w:ind w:firstLine="720"/>
        <w:jc w:val="both"/>
      </w:pPr>
      <w:r>
        <w:rPr>
          <w:szCs w:val="14"/>
        </w:rPr>
        <w:t xml:space="preserve"> </w:t>
      </w:r>
      <w:r>
        <w:rPr>
          <w:szCs w:val="22"/>
        </w:rPr>
        <w:t>Mokyklos vadovas ar jo įgalioti asmenys apie įtarimą, kad vaikas yra apsinuodijęs narkotinėmis, psichotropinėmis, kitomis psichiką veikiančiomis medžiagomis ir jo sveikatai ir gyvybei gresia pavojus, skubiai informuoja apie tai vaiko atstovus pagal įstatymą.</w:t>
      </w:r>
    </w:p>
    <w:p w:rsidR="00DD08F5" w:rsidRDefault="00DD08F5" w:rsidP="00DD08F5">
      <w:pPr>
        <w:ind w:firstLine="720"/>
        <w:jc w:val="both"/>
        <w:rPr>
          <w:szCs w:val="22"/>
        </w:rPr>
      </w:pPr>
      <w:r>
        <w:rPr>
          <w:szCs w:val="22"/>
        </w:rPr>
        <w:t>Mokyklų vadovai jų vadovaujamose įstaigose:</w:t>
      </w:r>
    </w:p>
    <w:p w:rsidR="00DD08F5" w:rsidRDefault="00DD08F5" w:rsidP="00DD08F5">
      <w:pPr>
        <w:jc w:val="both"/>
        <w:rPr>
          <w:szCs w:val="22"/>
        </w:rPr>
      </w:pPr>
      <w:r>
        <w:rPr>
          <w:szCs w:val="14"/>
        </w:rPr>
        <w:t> </w:t>
      </w:r>
      <w:r>
        <w:rPr>
          <w:szCs w:val="14"/>
        </w:rPr>
        <w:tab/>
        <w:t xml:space="preserve">– </w:t>
      </w:r>
      <w:r>
        <w:rPr>
          <w:szCs w:val="22"/>
        </w:rPr>
        <w:t xml:space="preserve">užtikrina, kad būtų įgyvendinama narkotinių, psichotropinių, kitų psichiką veikiančių medžiagų vartojimo prevencija, ankstyvoji intervencija, skirta vaikams, vartojantiems narkotines, psichotropines, kitas psichiką veikiančias medžiagas, teikiama pagalba vaikams, vartojantiems šias medžiagas, plėtojamas įstaigų tarpusavio bendradarbiavimas su vaiko teisių apsaugos tarnybomis, teisėsaugos, sveikatos priežiūros ir reabilitacijos įstaigomis ir  supažindina darbuotojus ir vaikus su šio Aprašo nuostatomis. </w:t>
      </w:r>
    </w:p>
    <w:p w:rsidR="00DD08F5" w:rsidRDefault="00DD08F5" w:rsidP="00DD08F5">
      <w:pPr>
        <w:ind w:firstLine="720"/>
        <w:jc w:val="both"/>
      </w:pPr>
      <w:r>
        <w:rPr>
          <w:szCs w:val="22"/>
        </w:rPr>
        <w:t>Visuomenės sveikatos priežiūros specialistas, vykdantis sveikatos priežiūrą mokykloje, savo darbe vadovaujasi Lietuvos Respublikos įstatymais, Sveikatos priežiūros mokykloje tvarkos aprašu, patvirtintu sveikatos apsaugos ministro ir švietimo ir mokslo ministro 2005 m. gruodžio 30 d. įsakymu Nr. V-1035/ISAK-2680 (Žin., 2005, Nr. 153 - 5657), kitais šio specialisto teises ir pareigas nustatančiais teisės aktais.</w:t>
      </w:r>
    </w:p>
    <w:p w:rsidR="00DD08F5" w:rsidRDefault="00DD08F5" w:rsidP="00DD08F5">
      <w:pPr>
        <w:ind w:firstLine="720"/>
        <w:jc w:val="both"/>
      </w:pPr>
      <w:r>
        <w:rPr>
          <w:szCs w:val="22"/>
        </w:rPr>
        <w:t>Dėl vaikų, vartojančių narkotines, psichotropines, kitas psichiką veikiančias medžiagas, vaikų globos (rūpybos) įstaigose, vaikų globos (rūpybos) įstaigos darbuotojai, įtarę, kad jų globojamas (rūpinamas) vaikas vartoja narkotines, psichotropines, kitas psichiką veikiančias medžiagas, yra apsvaigęs nuo šių medžiagų, nedelsdami informuoja apie tai globos įstaigos vadovą ar jo įgaliotus asmenis, taip pat sveikatos priežiūros specialistą (jeigu globos įstaigoje teikiamos sveikatos priežiūros paslaugos).</w:t>
      </w:r>
    </w:p>
    <w:p w:rsidR="00DD08F5" w:rsidRDefault="00DD08F5" w:rsidP="00DD08F5">
      <w:pPr>
        <w:ind w:firstLine="720"/>
        <w:jc w:val="both"/>
      </w:pPr>
      <w:r>
        <w:rPr>
          <w:szCs w:val="22"/>
        </w:rPr>
        <w:t>Globos įstaigos vadovas ar jo įgalioti asmenys, esant šio Aprašo 10 punkte nurodytoms aplinkybėms, organizuoja, kad vaikui būtų atlikta medicininė apžiūra, suteiktos kitos sveikatos priežiūros paslaugos ir suteikta psichologinė, socialinė, kita reikiama pagalba.</w:t>
      </w:r>
    </w:p>
    <w:p w:rsidR="00DD08F5" w:rsidRDefault="00DD08F5" w:rsidP="00DD08F5">
      <w:pPr>
        <w:jc w:val="both"/>
      </w:pPr>
      <w:r>
        <w:rPr>
          <w:szCs w:val="14"/>
        </w:rPr>
        <w:t xml:space="preserve"> </w:t>
      </w:r>
      <w:r>
        <w:rPr>
          <w:szCs w:val="14"/>
        </w:rPr>
        <w:tab/>
      </w:r>
      <w:r>
        <w:rPr>
          <w:szCs w:val="22"/>
        </w:rPr>
        <w:t>Globos įstaigos darbuotojai, įtarę, kad jų globojamas (rūpinamas) vaikas apsinuodijęs narkotinėmis, psichotropinėmis, kitomis psichiką veikiančiomis medžiagomis ir jo sveikatai ar gyvybei gresia pavojus:</w:t>
      </w:r>
    </w:p>
    <w:p w:rsidR="00DD08F5" w:rsidRDefault="00DD08F5" w:rsidP="00DD08F5">
      <w:pPr>
        <w:jc w:val="both"/>
      </w:pPr>
      <w:r>
        <w:rPr>
          <w:szCs w:val="14"/>
        </w:rPr>
        <w:t xml:space="preserve"> </w:t>
      </w:r>
      <w:r>
        <w:rPr>
          <w:szCs w:val="14"/>
        </w:rPr>
        <w:tab/>
        <w:t xml:space="preserve">– </w:t>
      </w:r>
      <w:r>
        <w:rPr>
          <w:szCs w:val="22"/>
        </w:rPr>
        <w:t>suteikia vaikui pirmąją pagalbą;</w:t>
      </w:r>
    </w:p>
    <w:p w:rsidR="00DD08F5" w:rsidRDefault="00DD08F5" w:rsidP="00DD08F5">
      <w:pPr>
        <w:ind w:firstLine="720"/>
        <w:jc w:val="both"/>
      </w:pPr>
      <w:r>
        <w:rPr>
          <w:szCs w:val="22"/>
        </w:rPr>
        <w:t>– nedelsdami organizuoja vaiko pristatymą į asmens sveikatos priežiūros įstaigą, o kai reikia skubios medicinos pagalbos, kviečia greitąją medicinos pagalbą;</w:t>
      </w:r>
    </w:p>
    <w:p w:rsidR="00DD08F5" w:rsidRDefault="00DD08F5" w:rsidP="00DD08F5">
      <w:pPr>
        <w:ind w:firstLine="720"/>
        <w:jc w:val="both"/>
      </w:pPr>
      <w:r>
        <w:rPr>
          <w:szCs w:val="22"/>
        </w:rPr>
        <w:t>– nedelsdami informuoja apie tai globos įstaigos vadovą ar jo įgaliotus asmenis, taip pat sveikatos priežiūros specialistą (jeigu globos įstaigoje teikiamos sveikatos priežiūros paslaugos).</w:t>
      </w:r>
    </w:p>
    <w:p w:rsidR="00DD08F5" w:rsidRDefault="00DD08F5" w:rsidP="00DD08F5">
      <w:pPr>
        <w:ind w:firstLine="720"/>
        <w:jc w:val="both"/>
      </w:pPr>
      <w:r>
        <w:rPr>
          <w:szCs w:val="22"/>
        </w:rPr>
        <w:t xml:space="preserve">Globos įstaigų vadovai jų vadovaujamose įstaigose užtikrina, kad būtų įgyvendinama narkotinių, psichotropinių, kitų psichiką veikiančių medžiagų vartojimo prevencija, ankstyvoji intervencija, skirta vaikams, vartojantiems narkotines, psichotropines, kitas psichiką veikiančias medžiagas, teikiama pagalba vaikams, vartojantiems šias medžiagas, plėtojamas įstaigų tarpusavio </w:t>
      </w:r>
      <w:r>
        <w:rPr>
          <w:szCs w:val="22"/>
        </w:rPr>
        <w:lastRenderedPageBreak/>
        <w:t>bendradarbiavimas su vaiko teisių apsaugos tarnybomis, teisėsaugos, sveikatos priežiūros ir reabilitacijos įstaigomis ir supažindina darbuotojus ir vaikus su šio Aprašo nuostatomis.</w:t>
      </w:r>
    </w:p>
    <w:p w:rsidR="00DD08F5" w:rsidRDefault="00DD08F5" w:rsidP="00DD08F5">
      <w:pPr>
        <w:ind w:firstLine="720"/>
        <w:jc w:val="both"/>
      </w:pPr>
      <w:r>
        <w:rPr>
          <w:szCs w:val="22"/>
        </w:rPr>
        <w:t> Dėl vartojančių narkotines, psichotropines, kitas psichiką veikiančias medžiagas, viešosiose vietose nustatyta, kad  v</w:t>
      </w:r>
      <w:r>
        <w:rPr>
          <w:spacing w:val="-2"/>
          <w:szCs w:val="22"/>
        </w:rPr>
        <w:t>aikų, vartojančių narkotines, psichotropines, kitas psichiką veikiančias medžiagas,</w:t>
      </w:r>
      <w:r>
        <w:rPr>
          <w:szCs w:val="22"/>
        </w:rPr>
        <w:t xml:space="preserve"> nustatymą viešosiose vietose organizuoja ir vykdo policijos pareigūnai, vadovaudamiesi Lietuvos Respublikos policijos veiklos įstatymu (Žin., 2000, Nr.90-2777), Transporto priemones vairuojančių ir kitų asmenų neblaivumo (girtumo) ar apsvaigimo nustatymo taisyklėmis, patvirtintomis Lietuvos Respublikos Vyriausybės 2006 m. gegužės 12 d. nutarimu Nr. 452 (Žin., 2006, Nr.56-2000), </w:t>
      </w:r>
      <w:r>
        <w:rPr>
          <w:caps/>
          <w:szCs w:val="22"/>
        </w:rPr>
        <w:t>m</w:t>
      </w:r>
      <w:r>
        <w:rPr>
          <w:szCs w:val="22"/>
        </w:rPr>
        <w:t xml:space="preserve">edicininės apžiūros neblaivumui (girtumui) ar apsvaigimui nuo psichiką veikiančių medžiagų nustatyti atlikimo ir </w:t>
      </w:r>
      <w:r>
        <w:rPr>
          <w:caps/>
          <w:szCs w:val="22"/>
        </w:rPr>
        <w:t>b</w:t>
      </w:r>
      <w:r>
        <w:rPr>
          <w:szCs w:val="22"/>
        </w:rPr>
        <w:t>endros asmens būklės įvertinimo metodikomis, patvirtintomis sveikatos apsaugos ministro 2006 m. birželio 20 d. įsakymu Nr. V-505 (Žin., 2006, Nr.71-2641</w:t>
      </w:r>
      <w:r>
        <w:rPr>
          <w:color w:val="000000"/>
          <w:szCs w:val="22"/>
        </w:rPr>
        <w:t xml:space="preserve">), </w:t>
      </w:r>
      <w:r>
        <w:rPr>
          <w:szCs w:val="22"/>
        </w:rPr>
        <w:t>kitais policijos pareigūnų veiklą reglamentuojančiais teisės aktais.</w:t>
      </w:r>
    </w:p>
    <w:p w:rsidR="00DD08F5" w:rsidRDefault="00DD08F5" w:rsidP="00DD08F5">
      <w:pPr>
        <w:ind w:firstLine="720"/>
        <w:jc w:val="both"/>
      </w:pPr>
      <w:r>
        <w:rPr>
          <w:szCs w:val="22"/>
        </w:rPr>
        <w:t>Policijos pareigūnai, įtarę, kad viešojoje vietoje vaikas vartoja narkotines, psichotropines, kitas psichiką veikiančias medžiagas ar (ir) yra apsvaigęs nuo šių medžiagų:</w:t>
      </w:r>
    </w:p>
    <w:p w:rsidR="00DD08F5" w:rsidRDefault="00DD08F5" w:rsidP="00DD08F5">
      <w:pPr>
        <w:ind w:firstLine="720"/>
        <w:jc w:val="both"/>
      </w:pPr>
      <w:r>
        <w:rPr>
          <w:szCs w:val="14"/>
        </w:rPr>
        <w:t xml:space="preserve">–  </w:t>
      </w:r>
      <w:r>
        <w:rPr>
          <w:szCs w:val="22"/>
        </w:rPr>
        <w:t>nedelsdami informuoja apie tai vaiko atstovus pagal įstatymą;</w:t>
      </w:r>
    </w:p>
    <w:p w:rsidR="00DD08F5" w:rsidRDefault="00DD08F5" w:rsidP="00DD08F5">
      <w:pPr>
        <w:ind w:firstLine="720"/>
        <w:jc w:val="both"/>
      </w:pPr>
      <w:r>
        <w:rPr>
          <w:szCs w:val="22"/>
        </w:rPr>
        <w:t>-  organizuoja, kad vaikui būtų atlikta medicininė apžiūra ir suteiktos sveikatos priežiūros paslaugos.</w:t>
      </w:r>
    </w:p>
    <w:p w:rsidR="00DD08F5" w:rsidRDefault="00DD08F5" w:rsidP="00DD08F5">
      <w:pPr>
        <w:ind w:firstLine="720"/>
        <w:jc w:val="both"/>
      </w:pPr>
      <w:r>
        <w:rPr>
          <w:spacing w:val="-2"/>
          <w:szCs w:val="22"/>
        </w:rPr>
        <w:t>Policijos pareigūnai, įtarę, kad vaikas apsinuodijęs narkotinėmis, psichotropinėmis</w:t>
      </w:r>
      <w:r>
        <w:rPr>
          <w:szCs w:val="22"/>
        </w:rPr>
        <w:t>, kitomis psichiką veikiančiomis medžiagomis ir jo sveikatai ar gyvybei gresia pavojus:</w:t>
      </w:r>
    </w:p>
    <w:p w:rsidR="00DD08F5" w:rsidRDefault="00DD08F5" w:rsidP="00DD08F5">
      <w:pPr>
        <w:ind w:firstLine="720"/>
        <w:jc w:val="both"/>
      </w:pPr>
      <w:r>
        <w:rPr>
          <w:szCs w:val="22"/>
        </w:rPr>
        <w:t>–</w:t>
      </w:r>
      <w:r>
        <w:rPr>
          <w:szCs w:val="14"/>
        </w:rPr>
        <w:t xml:space="preserve"> </w:t>
      </w:r>
      <w:r>
        <w:rPr>
          <w:szCs w:val="22"/>
        </w:rPr>
        <w:t>suteikia vaikui pirmąją pagalbą;</w:t>
      </w:r>
    </w:p>
    <w:p w:rsidR="00DD08F5" w:rsidRDefault="00DD08F5" w:rsidP="00DD08F5">
      <w:pPr>
        <w:ind w:firstLine="720"/>
        <w:jc w:val="both"/>
      </w:pPr>
      <w:r>
        <w:rPr>
          <w:szCs w:val="22"/>
        </w:rPr>
        <w:t>– organizuoja vaiko pristatymą į asmens sveikatos priežiūros įstaigą, o kai reikia skubios medicinos pagalbos, kviečia greitąją medicinos pagalbą arba nedelsdami patys pristato vaiką į asmens sveikatos priežiūros įstaigą;</w:t>
      </w:r>
    </w:p>
    <w:p w:rsidR="00DD08F5" w:rsidRDefault="00DD08F5" w:rsidP="00DD08F5">
      <w:pPr>
        <w:ind w:firstLine="720"/>
        <w:jc w:val="both"/>
      </w:pPr>
      <w:r>
        <w:rPr>
          <w:szCs w:val="22"/>
        </w:rPr>
        <w:t>– nedelsdami informuoja vaiko atstovus pagal įstatymą, kad vaikas apsinuodijęs ar įtariamas apsinuodijęs narkotinėmis, psichotropinėmis, kitomis psichiką veikiančiomis medžiagomis ir jo sveikatai ar gyvybei gresia pavojus.</w:t>
      </w:r>
    </w:p>
    <w:p w:rsidR="00DD08F5" w:rsidRDefault="00DD08F5" w:rsidP="00DD08F5">
      <w:pPr>
        <w:ind w:firstLine="720"/>
        <w:jc w:val="both"/>
      </w:pPr>
      <w:r>
        <w:t>Asmens sveikatos priežiūros specialistai, nustatę, kad vaikas vartoja narkotines, psichotropines, kitas psichiką veikiančias medžiagas, yra apsvaigęs nuo šių medžiagų, informuoja vaiką ir jo atstovus pagal įstatymą apie tai ir apie institucijas, įstaigas, organizacijas, teikiančias atitinkamą medicininę, psichologinę, socialinę, teisinę pagalbą.</w:t>
      </w:r>
    </w:p>
    <w:p w:rsidR="00DD08F5" w:rsidRDefault="00DD08F5" w:rsidP="00DD08F5">
      <w:pPr>
        <w:ind w:firstLine="720"/>
        <w:jc w:val="both"/>
      </w:pPr>
      <w:r>
        <w:t>Vykdydama parlamentinę kontrolę, Seimo Narkomanijos prevencijos komisija</w:t>
      </w:r>
      <w:r>
        <w:rPr>
          <w:szCs w:val="22"/>
        </w:rPr>
        <w:t xml:space="preserve">  </w:t>
      </w:r>
      <w:r>
        <w:t>2008 metais Lietuvos Respublikos Vyriausybei siūlė:</w:t>
      </w:r>
    </w:p>
    <w:p w:rsidR="00DD08F5" w:rsidRDefault="00DD08F5" w:rsidP="00DD08F5">
      <w:pPr>
        <w:ind w:firstLine="720"/>
        <w:jc w:val="both"/>
      </w:pPr>
      <w:r>
        <w:t>1.Sukurti Lietuvoje visoms institucijoms vieningą sistemą kaupti, identifikuoti ir sisteminti visus duomenis pagal statistinės apskaitos formas apie apsinuodijusių asmenų ir apsinuodijimų alkoholiu, narkotinėmis, psichotropinėmis ir kitomis nuodingomis medžiagomis, bei apie asmenų, priklausomų nuo alkoholio, narkotinių ir psichotropinių medžiagų, skaičių, įtraukiant į vieningą informacijos sistemą ir statistiką visose gydymo įstaigose ir anonimiškai gydomus asmenis.</w:t>
      </w:r>
    </w:p>
    <w:p w:rsidR="00DD08F5" w:rsidRDefault="00DD08F5" w:rsidP="00DD08F5">
      <w:pPr>
        <w:ind w:firstLine="720"/>
        <w:jc w:val="both"/>
      </w:pPr>
      <w:r>
        <w:t>2.Įpareigoti Sveikatos apsaugos ministeriją užtikrinti tinkamą aprūpinimą asmens sveikatos priežiūros ir gydymo įstaigų laboratorijas diagnostine aparatūra, kuri identifikuotų paciento kraujyje, šlapime apsinuodijimą sukeliančias medžiagas.</w:t>
      </w:r>
    </w:p>
    <w:p w:rsidR="00DD08F5" w:rsidRDefault="00DD08F5" w:rsidP="00DD08F5">
      <w:pPr>
        <w:ind w:firstLine="720"/>
        <w:jc w:val="both"/>
      </w:pPr>
      <w:r>
        <w:t>3. Iki 2008 m. rugsėjo 1 d. įvertinti situaciją, ar gydymo ir reabilitacijos paslaugų prieinamumas vaikams, piktnaudžiaujantiems alkoholiu, narkotinėmis ar kitomis psichotropinėmis medžiagomis atitinka šiandienos poreikius bei išanalizuoti, kiek  gydymo ir reabilitacijos vietų ar įstaigų reikės ateityje.</w:t>
      </w:r>
    </w:p>
    <w:p w:rsidR="00DD08F5" w:rsidRDefault="00DD08F5" w:rsidP="00DD08F5">
      <w:pPr>
        <w:ind w:firstLine="720"/>
        <w:jc w:val="both"/>
      </w:pPr>
      <w:r>
        <w:t>4. Įpareigoti Narkotikų kontrolės departamentą prie Lietuvos Respublikos Vyriausybės parengti ir įgyvendinti prevencinį projektą visuomenei ir ypač tėvams, teikiantį jiems išsamias žinias apie alkoholio, tabako, narkotinių ir psichotropinių medžiagų vartojimo riziką, pasekmes bei aktyviai įtraukiantį visuomenę ir ypač tėvus į narkomanijos prevencijos darbą.</w:t>
      </w:r>
    </w:p>
    <w:p w:rsidR="00DD08F5" w:rsidRDefault="00DD08F5" w:rsidP="00DD08F5">
      <w:pPr>
        <w:ind w:firstLine="720"/>
        <w:jc w:val="both"/>
        <w:rPr>
          <w:b/>
          <w:i/>
          <w:iCs/>
        </w:rPr>
      </w:pPr>
      <w:r>
        <w:rPr>
          <w:b/>
          <w:i/>
          <w:iCs/>
        </w:rPr>
        <w:t>Dėl paauglių svaiginimosi vaistais, alkoholiu, narkotinėmis ir psichotropinėmis medžiagomis ir apsinuodijimų jais</w:t>
      </w:r>
    </w:p>
    <w:p w:rsidR="00DD08F5" w:rsidRDefault="00DD08F5" w:rsidP="00DD08F5">
      <w:pPr>
        <w:pStyle w:val="Pagrindiniotekstotrauka3"/>
        <w:rPr>
          <w:bCs/>
        </w:rPr>
      </w:pPr>
      <w:r>
        <w:rPr>
          <w:bCs/>
        </w:rPr>
        <w:t>Situacijos analizė:</w:t>
      </w:r>
    </w:p>
    <w:p w:rsidR="00DD08F5" w:rsidRDefault="00DD08F5" w:rsidP="00DD08F5">
      <w:pPr>
        <w:ind w:firstLine="720"/>
        <w:jc w:val="both"/>
        <w:rPr>
          <w:bCs/>
        </w:rPr>
      </w:pPr>
      <w:r>
        <w:rPr>
          <w:bCs/>
        </w:rPr>
        <w:t>Tiriant paauglių svaiginimosi vaistais, alkoholiu, narkotinėmis ir psichotropinėmis medžiagomis ir apsinuodijimų jais atvejus, nustatyta,</w:t>
      </w:r>
      <w:r>
        <w:rPr>
          <w:b/>
        </w:rPr>
        <w:t xml:space="preserve"> </w:t>
      </w:r>
      <w:r>
        <w:rPr>
          <w:bCs/>
        </w:rPr>
        <w:t>kad:</w:t>
      </w:r>
    </w:p>
    <w:p w:rsidR="00DD08F5" w:rsidRDefault="00DD08F5" w:rsidP="00DD08F5">
      <w:pPr>
        <w:ind w:firstLine="720"/>
        <w:jc w:val="both"/>
      </w:pPr>
      <w:r>
        <w:t xml:space="preserve"> Įgyvendinant Lietuvos Respublikos Nuodingųjų medžiagų kontrolės įstatymo (Žin., 2001, Nr. 64-2330) nuostatas,  Sveikatos apsaugos ministras įsakymu “Dėl informacijos, susijusios su žmonių apsinuodijimais ir jų specifine profilaktika , kaupimo ir teikimo” (Žin., 2001, Nr. 102-3641) įpareigojo </w:t>
      </w:r>
      <w:r>
        <w:lastRenderedPageBreak/>
        <w:t>asmens sveikatos priežiūros įstaigas teikti, o Valstybiniam aplinkos sveikatos centro Apsinuodijimų kontrolės ir informacijos biurui ( toliau – Apsinuodijimų kontrolės ir informacijos biuras) pavedė rinkti informaciją apie  cheminius nudegimus, apsinuodijimus narkotinėmis ir psichotropinėmis medžiagomis, vaistais ir biologinėmis medžiagomis, nemedicininės paskirties medžiagų toksinį poveikį, cheminio nudegimo ir apsinuodijimo padarinius bei apsinuodijimus kitomis nuodingosiomis medžiagomis, įrašytomis į Nuodingųjų medžiagų pagal jų toksiškumą sąrašą, patvirtintą sveikatos apsaugos ministro 2004 m. gruodžio 30 d. Įsakymu Nr. V-975 “Dėl Nuodingųjų medžiagų pagal jų toksiškumą sąrašo patvirtinimo”.</w:t>
      </w:r>
    </w:p>
    <w:p w:rsidR="00DD08F5" w:rsidRDefault="00DD08F5" w:rsidP="00DD08F5">
      <w:pPr>
        <w:ind w:firstLine="720"/>
        <w:jc w:val="both"/>
        <w:rPr>
          <w:bCs/>
        </w:rPr>
      </w:pPr>
      <w:r>
        <w:rPr>
          <w:bCs/>
        </w:rPr>
        <w:t xml:space="preserve">Vadovaujantis Sveikatos apsaugos ministro 2003 m. spalio 8 d. įsakymu Nr. V- </w:t>
      </w:r>
      <w:r>
        <w:t xml:space="preserve">597 </w:t>
      </w:r>
      <w:r>
        <w:rPr>
          <w:bCs/>
        </w:rPr>
        <w:t>“Dėl informacijos, susijusios su žmonių apsinuodijimais ir jų specifine profilaktika , kaupimo ir teikimo” (Žin., 2003, Nr. 99-4459) bei šio įsakymo pakeitimo  2005 m. rugpjūčio 12 d. įsakymu Nr. V- 650 (Žin., 2005, Nr. 101-3762) renkama informacija tik apie  apsinuodijimus nuodingosiomis medžiagomis, įrašytomis į Nuodingųjų medžiagų pagal jų toksiškumą sąrašą, kuris  patvirtintas  Sveikatos apsaugos ministro 2004 m. gruodžio 30 d. įsakymu Nr. V-975 “Dėl Nuodingųjų medžiagų pagal jų toksiškumą sąrašo patvirtinimo” (V.Ž., 2005, Nr. 3-47) ir šie duomenys neapima visų su priklausomybės ligomis susijusių apsinuodijimų atvejų.</w:t>
      </w:r>
    </w:p>
    <w:p w:rsidR="00DD08F5" w:rsidRDefault="00DD08F5" w:rsidP="00DD08F5">
      <w:pPr>
        <w:ind w:firstLine="720"/>
        <w:jc w:val="both"/>
      </w:pPr>
      <w:r>
        <w:t>Pagal šį įsakymą Valstybiniame aplinkos sveikatos centre yra kaupiama  ir analizuojama tik minėtame ministro įsakyme nurodyta informacija. Pateikti skaičiai neapima visų su priklausomybės ligomis susijusių apsinuodijimų atvejų.</w:t>
      </w:r>
    </w:p>
    <w:p w:rsidR="00DD08F5" w:rsidRDefault="00DD08F5" w:rsidP="00DD08F5">
      <w:pPr>
        <w:ind w:firstLine="720"/>
        <w:jc w:val="both"/>
      </w:pPr>
      <w:r>
        <w:t xml:space="preserve">Statistinė informacija apie vaikų apsinuodijimus pagal atitinkamus rodiklius pradėta rinkti nuo 2005 metų. Ją kaupia ir apibendrina Statistikos departamentas prie Lietuvos Respublikos Vyriausybės. </w:t>
      </w:r>
    </w:p>
    <w:p w:rsidR="00DD08F5" w:rsidRDefault="00DD08F5" w:rsidP="00DD08F5">
      <w:pPr>
        <w:ind w:firstLine="720"/>
        <w:jc w:val="both"/>
      </w:pPr>
      <w:r>
        <w:t>2008 metais tiriant apsinuodijimus alkoholiu, narkotinėmis, psichotropinėmis ir kitomis medžiagomis atvejus, Narkomanijos prevencijos komisija nustatė, kad Lietuvoje nėra vieningos ir išsamios informacijos apie apsinuodijimus alkoholiu, narkotinėmis, psichotropinėmis ir kitomis nuodingosiomis medžiagomis. Lietuvoje yra vaikų, piktnaudžiaujančių alkoholiu, narkotinėmis ir kitomis psichotropinėmis medžiagomis, kuriems būtinas gydymas ir  reabilitacija. Stacionarinėse Asmens sveikatos priežiūros įstaigose gydytų (daugiau nei 97 proc.) psichiką veikiančiomis medžiagomis piktnaudžiaujančių vaikų yra 13 – 18 metų amžiaus. Valstybinės ligonių kasos duomenimis 2007 metais dviems vaikams, jaunesniems nei 10 m. amžiaus, stacionarines paslaugas teikiančiose ASPĮ buvo diagnozuota priklausomybė raminančioms medžiagoms ir alkoholiui. 91 proc. vaikų, apsinuodijusių psichiką veikiančiomis medžiagomis, buvo sulaukę 13 metų. Dažniausiai asmenys iki 18 metų kreipėsi dėl apsinuodijimų  sintetiniais narkotikais, kanapėmis, ir haliucinogenais, 20 atvejų (35 proc.) teiktos reanimacijos paslaugos. Analizuojant psichikos ir elgesio sutrikimų vartojant psichiką veikiančias medžiagas paplitimą nustatyta, kad 2007 m. stacionarines paslaugas teikiančiose ASPĮ dėl šių sutrikimų buvo gydyti 84 vaikai. Bendras apsinuodijimų narkotikais ir haliucinogenais skaičius 2007 m. Lietuvoje išaugo 18 proc. Tarp visų narkotinėmis ir psichotropinėmis medžiagomis apsinuodijusių asmenų beveik 80 proc. buvo 15 – 34 m. amžiaus. 2007 m. analizuojant priklausomybę kitoms psichiką veikiančioms medžiagoms padaugėjo asmenų į asmens sveikatos priežiūros įstaigas (toliau – ASPĮ) besikreipusių tik dėl priklausomybės raminančioms (F13) ir lakioms (F18) medžiagoms. 2007 m. daugiau nei pusei (58 proc.) dėl apsinuodijimo alkoholiais ligoninėse gydytų pacientams nebuvo identifikuota apsinuodijimą sukėlusi medžiaga (T51.9), t.y. juos gydę asmens sveikatos priežiūros specialistai neturėjo galimybės tiksliai nustatyti sveikatos sutrikimus sukėlusio alkoholio. Panaši situaciją ir apsinuodijus narkotikais bei haliucinogenais. Tokia situacija sietina su keletu priežasčių: nepakankama informacija iš paciento ar jo artimųjų bei galimybių laboratoriškai identifikuoti alkoholio surogatus paciento kraujyje ar šlapime stoka. 2006 metais tokių atvejų buvo 273.</w:t>
      </w:r>
    </w:p>
    <w:p w:rsidR="00DD08F5" w:rsidRDefault="00DD08F5" w:rsidP="00DD08F5">
      <w:pPr>
        <w:ind w:firstLine="720"/>
        <w:jc w:val="both"/>
      </w:pPr>
      <w:r>
        <w:t xml:space="preserve"> Kaip ir apsinuodijimų narkotikais, taip ir apsinuodijimų alkoholiais atveju apsinuodijimai šiomis medžiagomis vaikų tarpe yra ganėtinai dažni.</w:t>
      </w:r>
    </w:p>
    <w:p w:rsidR="00DD08F5" w:rsidRDefault="00DD08F5" w:rsidP="00DD08F5">
      <w:pPr>
        <w:ind w:firstLine="720"/>
        <w:jc w:val="both"/>
      </w:pPr>
      <w:r>
        <w:t>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w:t>
      </w:r>
    </w:p>
    <w:p w:rsidR="00DD08F5" w:rsidRDefault="00DD08F5" w:rsidP="00DD08F5">
      <w:pPr>
        <w:ind w:firstLine="720"/>
        <w:jc w:val="both"/>
      </w:pPr>
      <w:r>
        <w:rPr>
          <w:b/>
        </w:rPr>
        <w:t xml:space="preserve"> </w:t>
      </w:r>
      <w:r>
        <w:t xml:space="preserve">Narkotikų kontrolės departamento prie Lietuvos Respublikos Vyriausybės  duomenimis (2008 04 22 raštas Nr. S-(4.3-2) – 284), gautais  iš Valstybinės ligonių kasos prie Lietuvos Respublikos Sveikatos apsaugos ministerijos, 2007 metais į asmens sveikatos priežiūros įstaigas (toliau-ASPĮ) dėl apsinuodijimų narkotinėmis ar psichotropinėmis medžiagomis buvo kreiptasi 283 kartus ( 2006 m. – </w:t>
      </w:r>
      <w:r>
        <w:lastRenderedPageBreak/>
        <w:t xml:space="preserve">287, 2005 m. –257, 2004 m. – 300 kartų), viso kreipėsi 256 asmenys, iš jų: 205 vyrai, ir 51 moteris. Daugiausia, kaip ir ankstesniais metais, kreiptasi dėl apsinuodijimų opiumu – 66 atvejai ir heroinu - 45 atvejai. 2007 m. vaikai (asmenys iki 18 m.) dėl apsinuodijimų  kreipėsi 57 kartus (2006 m. – 42 kartus) ir tai sudaro 20,14 proc. nuo visų registruotų kreipimųsi dėl apsinuodijimų atvejų. 2007 m. kreipėsi 56 nepilnamečiai asmenys, iš jų 34 berniukai ir 22 mergaitės, tarp jų asmenys iki 15 metų kreipėsi 17 kartų 9 kreipėsi 17 asmenų, iš jų 8 berniukai ir 9 mergaitės). </w:t>
      </w:r>
    </w:p>
    <w:p w:rsidR="00DD08F5" w:rsidRDefault="00DD08F5" w:rsidP="00DD08F5">
      <w:pPr>
        <w:jc w:val="both"/>
      </w:pPr>
      <w:r>
        <w:tab/>
        <w:t xml:space="preserve">Dažniausiai asmenys iki 18 metų kreipėsi dėl apsinuodijimų  sintetiniais narkotikais, kanapėmis, ir haliucinogenais, 20 atvejų (35 proc.) teiktos reanimacijos paslaugos. </w:t>
      </w:r>
    </w:p>
    <w:p w:rsidR="00DD08F5" w:rsidRDefault="00DD08F5" w:rsidP="00DD08F5">
      <w:pPr>
        <w:jc w:val="both"/>
      </w:pPr>
      <w:r>
        <w:tab/>
        <w:t xml:space="preserve">2007 m. didesnis stacionarinėse ASPĮ gydytų narkotikais apsinuodijusių asmenų skaičius yra siejamas su didesniu apsinuodijusių opiumu, heroinu, sintetiniais narkotikais bei kitais haliucinogenais skaičiumi. </w:t>
      </w:r>
    </w:p>
    <w:p w:rsidR="00DD08F5" w:rsidRDefault="00DD08F5" w:rsidP="00DD08F5">
      <w:pPr>
        <w:jc w:val="both"/>
      </w:pPr>
      <w:r>
        <w:tab/>
        <w:t xml:space="preserve">Didžioji dauguma narkotinėmis ir psichotropinėmis medžiagomis apsinuodijusių asmenų buvo gydyti stacionarines paslaugas teikiančiose ASPĮ. Tačiau, dalies apsinuodijimų  negalima identifikuoti, nes nenustatytos medžiagos. </w:t>
      </w:r>
    </w:p>
    <w:p w:rsidR="00DD08F5" w:rsidRDefault="00DD08F5" w:rsidP="00DD08F5">
      <w:pPr>
        <w:jc w:val="both"/>
      </w:pPr>
      <w:r>
        <w:tab/>
        <w:t xml:space="preserve">Tarp visų narkotinėmis ir psichotropinėmis medžiagomis apsinuodijusių asmenų beveik 80 proc. buvo 15 – 34 m. amžiaus. Vyresnėse amžiaus grupėse apsinuodijimų šiomis medžiagomis skaičius mažėja geometrine regresija. </w:t>
      </w:r>
    </w:p>
    <w:p w:rsidR="00DD08F5" w:rsidRDefault="00DD08F5" w:rsidP="00DD08F5">
      <w:pPr>
        <w:ind w:firstLine="720"/>
        <w:jc w:val="both"/>
      </w:pPr>
      <w:r>
        <w:t xml:space="preserve">Analizuojant 2007 m. duomenis apie ligoninėse apsinuodijimų narkotikais ir haliucinogenais atvejus, nustatyta, kad apsinuodijimai įvairios kilmės opiatais (T40.0 (opiumas), T40.1 (heroinas) ir T40.2 (kiti opioidai) ) sudaro beveik pusę (46 proc.) visų minėtais metais registruotų atvejų. </w:t>
      </w:r>
    </w:p>
    <w:p w:rsidR="00DD08F5" w:rsidRDefault="00DD08F5" w:rsidP="00DD08F5">
      <w:pPr>
        <w:ind w:firstLine="720"/>
        <w:jc w:val="both"/>
      </w:pPr>
      <w:r>
        <w:t>Apsinuodijimai narkotikais ir haliucinogenais tarp vaikų yra dažnesni nei tarp sergančiųjų priklausomybės ligomis. Kaip buvo minėta anksčiau, tarp sergančiųjų psichikos ir elgesio sutrikimais vartojant psichiką veikiančias medžiagas, vaikai tesudarė 1 proc. visų 2007 m. registruotų atvejų, o apsinuodijimų šiomis medžiagomis vaikai sudaro 22 proc.</w:t>
      </w:r>
    </w:p>
    <w:p w:rsidR="00DD08F5" w:rsidRDefault="00DD08F5" w:rsidP="00DD08F5">
      <w:pPr>
        <w:ind w:firstLine="720"/>
        <w:jc w:val="both"/>
      </w:pPr>
      <w:r>
        <w:t xml:space="preserve">Analizuojant vaikų apsinuodijimus narkotikais pagal nelaimingą atsitikimą sukėlusią medžiagą, nustatyta, kad asmenų, iki 18 m, amžiaus grupėje vyrauja apsinuodijimai neįvardintu narkotiku (T40), sintetiniais narkotikais (T40.4) bei nepatikslintomis narkotinėmis medžiagomis (T40.6). </w:t>
      </w:r>
    </w:p>
    <w:p w:rsidR="00DD08F5" w:rsidRDefault="00DD08F5" w:rsidP="00DD08F5">
      <w:pPr>
        <w:ind w:firstLine="720"/>
        <w:jc w:val="both"/>
      </w:pPr>
      <w:r>
        <w:t>91 proc. vaikų, apsinuodijusių psichiką veikiančiomis medžiagomis, buvo sulaukę 13 metų. Jaunesnių nei 10 metų amžiaus (4 atv.) vaikų apsinuodijimų atvejus reikėtų sieti ne su tiksliniu narkotinių medžiagų vartojimu, bet su nesaugia aplinka. T.y. psichiką veikiančios medžiagos buvo prieinamos vaikams jiems įprastoje aplinkoje, nes mažai tikėtina, jog 1- 9 m. amžiaus vaikai galėtų savarankiškai įsigyti Lietuvoje draudžiamų medžiagų.</w:t>
      </w:r>
    </w:p>
    <w:p w:rsidR="00DD08F5" w:rsidRDefault="00DD08F5" w:rsidP="00DD08F5">
      <w:pPr>
        <w:jc w:val="both"/>
      </w:pPr>
      <w:r>
        <w:rPr>
          <w:i/>
          <w:iCs/>
        </w:rPr>
        <w:t>Narkotikais ir haliucinogenais apsinuodiję vaikai pagal amžių (metais)</w:t>
      </w:r>
    </w:p>
    <w:p w:rsidR="00DD08F5" w:rsidRDefault="00DD08F5" w:rsidP="00DD08F5">
      <w:pPr>
        <w:jc w:val="both"/>
      </w:pPr>
      <w:r>
        <w:rPr>
          <w:noProof/>
          <w:lang w:eastAsia="lt-LT"/>
        </w:rPr>
        <w:drawing>
          <wp:inline distT="0" distB="0" distL="0" distR="0" wp14:anchorId="163B01AD" wp14:editId="70BC0197">
            <wp:extent cx="4600575" cy="2447925"/>
            <wp:effectExtent l="0" t="0" r="0" b="0"/>
            <wp:docPr id="77" name="Diagrama 7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t xml:space="preserve"> </w:t>
      </w:r>
    </w:p>
    <w:p w:rsidR="00DD08F5" w:rsidRDefault="00DD08F5" w:rsidP="00DD08F5">
      <w:pPr>
        <w:jc w:val="both"/>
      </w:pPr>
    </w:p>
    <w:p w:rsidR="00DD08F5" w:rsidRDefault="00DD08F5" w:rsidP="00DD08F5">
      <w:pPr>
        <w:jc w:val="both"/>
        <w:rPr>
          <w:bCs/>
        </w:rPr>
      </w:pPr>
      <w:r>
        <w:tab/>
        <w:t>Visi stacionarines paslaugas teikiančiose įstaigose 2007 m. dėl apsinuodijimo narkotikais gydyti vaikai pasveiko, t.y. šiuo laikotarpiu vaikų mirčių dėl apsinuodijimo psichiką veikiančiomis medžiagomis neužregistruota.</w:t>
      </w:r>
    </w:p>
    <w:p w:rsidR="00DD08F5" w:rsidRDefault="00DD08F5" w:rsidP="00DD08F5">
      <w:pPr>
        <w:ind w:firstLine="720"/>
        <w:jc w:val="both"/>
      </w:pPr>
      <w:r>
        <w:t>Statistikos departamento prie Lietuvos Respublikos Vyriausybės duomenimis padidėjo vaikų ir suaugusiųjų apsinuodijusių alkoholiu: 2004 m. 652 asmenys (446 vaikai ir 206 suaugusieji); 2005 m. 671 asmuo (451 vaikas ir  215 suaugusiųjų bei 5 nežinomo amžiaus asmenys).</w:t>
      </w:r>
    </w:p>
    <w:p w:rsidR="00DD08F5" w:rsidRDefault="00DD08F5" w:rsidP="00DD08F5">
      <w:pPr>
        <w:jc w:val="both"/>
        <w:rPr>
          <w:bCs/>
        </w:rPr>
      </w:pPr>
    </w:p>
    <w:p w:rsidR="00DD08F5" w:rsidRDefault="00DD08F5" w:rsidP="00DD08F5">
      <w:pPr>
        <w:jc w:val="both"/>
      </w:pPr>
      <w:r>
        <w:rPr>
          <w:i/>
          <w:iCs/>
        </w:rPr>
        <w:lastRenderedPageBreak/>
        <w:t>Apsinuodijimų alkoholiais pasiskirstymas tarp vaikų ir suaugusiųjų:</w:t>
      </w:r>
    </w:p>
    <w:p w:rsidR="00DD08F5" w:rsidRDefault="00DD08F5" w:rsidP="00DD08F5">
      <w:pPr>
        <w:jc w:val="both"/>
      </w:pPr>
      <w:r>
        <w:rPr>
          <w:noProof/>
          <w:lang w:eastAsia="lt-LT"/>
        </w:rPr>
        <w:drawing>
          <wp:inline distT="0" distB="0" distL="0" distR="0" wp14:anchorId="77960373" wp14:editId="510F4DE2">
            <wp:extent cx="4600575" cy="2447925"/>
            <wp:effectExtent l="0" t="0" r="0" b="0"/>
            <wp:docPr id="76" name="Diagrama 7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DD08F5" w:rsidRDefault="00DD08F5" w:rsidP="00DD08F5">
      <w:pPr>
        <w:jc w:val="both"/>
      </w:pPr>
    </w:p>
    <w:p w:rsidR="00DD08F5" w:rsidRDefault="00DD08F5" w:rsidP="00DD08F5">
      <w:pPr>
        <w:jc w:val="both"/>
      </w:pPr>
      <w:r>
        <w:tab/>
        <w:t>Analizuojant vaikų apsinuodijimus alkoholiais nustatyta, kad dauguma šių atvejų užregistruota vyresnio amžiaus vaikų tarpe, tačiau dėl toksinio alkoholių poveikio ligoninėse buvo gydyti ir maži vaikai.</w:t>
      </w:r>
    </w:p>
    <w:p w:rsidR="00DD08F5" w:rsidRDefault="00DD08F5" w:rsidP="00DD08F5">
      <w:pPr>
        <w:jc w:val="both"/>
      </w:pPr>
      <w:r>
        <w:rPr>
          <w:i/>
          <w:iCs/>
        </w:rPr>
        <w:t>Vaikų apsinuodijimai alkoholiais pagal amžių:</w:t>
      </w:r>
    </w:p>
    <w:p w:rsidR="00DD08F5" w:rsidRDefault="00DD08F5" w:rsidP="00DD08F5">
      <w:pPr>
        <w:jc w:val="both"/>
        <w:rPr>
          <w:i/>
          <w:iCs/>
        </w:rPr>
      </w:pPr>
      <w:r>
        <w:rPr>
          <w:noProof/>
          <w:lang w:eastAsia="lt-LT"/>
        </w:rPr>
        <w:drawing>
          <wp:inline distT="0" distB="0" distL="0" distR="0" wp14:anchorId="532BC1B9" wp14:editId="50B3C241">
            <wp:extent cx="4924425" cy="2447925"/>
            <wp:effectExtent l="0" t="0" r="0" b="0"/>
            <wp:docPr id="75" name="Diagrama 7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Pr>
          <w:i/>
          <w:iCs/>
        </w:rPr>
        <w:t xml:space="preserve"> </w:t>
      </w:r>
    </w:p>
    <w:p w:rsidR="00DD08F5" w:rsidRDefault="00DD08F5" w:rsidP="00DD08F5">
      <w:pPr>
        <w:jc w:val="both"/>
      </w:pPr>
    </w:p>
    <w:p w:rsidR="00DD08F5" w:rsidRDefault="00DD08F5" w:rsidP="00DD08F5">
      <w:pPr>
        <w:jc w:val="both"/>
      </w:pPr>
      <w:r>
        <w:tab/>
        <w:t xml:space="preserve">Apsinuodijimai alkoholiais berniukų tarpe yra du kartus dažnesni nei tarp mergaičių. </w:t>
      </w:r>
    </w:p>
    <w:p w:rsidR="00DD08F5" w:rsidRDefault="00DD08F5" w:rsidP="00DD08F5">
      <w:pPr>
        <w:jc w:val="both"/>
        <w:rPr>
          <w:bCs/>
        </w:rPr>
      </w:pPr>
      <w:r>
        <w:tab/>
        <w:t xml:space="preserve">Visi vaikų apsinuodijimai alkoholiais buvo sėkmingai pagydyti, </w:t>
      </w:r>
      <w:r>
        <w:rPr>
          <w:bCs/>
        </w:rPr>
        <w:t xml:space="preserve">2007 m. vaikų mirčių dėl apsinuodijimo alkoholiais užregistruota nebuvo. </w:t>
      </w:r>
    </w:p>
    <w:p w:rsidR="00DD08F5" w:rsidRDefault="00DD08F5" w:rsidP="00DD08F5">
      <w:pPr>
        <w:jc w:val="both"/>
      </w:pPr>
      <w:r>
        <w:tab/>
        <w:t xml:space="preserve">Mirštamumas nuo apsinuodijimo alkoholiais 2007 m. buvo 2.7 proc. , t.y. iš 3861 dėl apsinuodijimo alkoholiais hospitalizuoto asmens mirė 108 pacientai. Mirčių dažnis vyrų tarpe yra beveik 4 kartus didesnis nei tarp moterų. </w:t>
      </w:r>
    </w:p>
    <w:p w:rsidR="00DD08F5" w:rsidRDefault="00DD08F5" w:rsidP="00DD08F5">
      <w:pPr>
        <w:jc w:val="both"/>
      </w:pPr>
    </w:p>
    <w:p w:rsidR="00DD08F5" w:rsidRDefault="00DD08F5" w:rsidP="00DD08F5">
      <w:pPr>
        <w:jc w:val="both"/>
      </w:pPr>
      <w:r>
        <w:rPr>
          <w:i/>
          <w:iCs/>
        </w:rPr>
        <w:t>2006 – 2007 m. psichikos ir elgesio sutrikimas vartojant alkoholį pagal būkles ir suteiktas paslaugas: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5041"/>
        <w:gridCol w:w="899"/>
        <w:gridCol w:w="899"/>
        <w:gridCol w:w="899"/>
        <w:gridCol w:w="899"/>
      </w:tblGrid>
      <w:tr w:rsidR="00DD08F5" w:rsidTr="004F7425">
        <w:trPr>
          <w:cantSplit/>
        </w:trPr>
        <w:tc>
          <w:tcPr>
            <w:tcW w:w="831" w:type="dxa"/>
            <w:vMerge w:val="restart"/>
          </w:tcPr>
          <w:p w:rsidR="00DD08F5" w:rsidRDefault="00DD08F5" w:rsidP="004F7425">
            <w:pPr>
              <w:jc w:val="both"/>
            </w:pPr>
            <w:r>
              <w:t>Kodas</w:t>
            </w:r>
          </w:p>
        </w:tc>
        <w:tc>
          <w:tcPr>
            <w:tcW w:w="5041" w:type="dxa"/>
            <w:vMerge w:val="restart"/>
          </w:tcPr>
          <w:p w:rsidR="00DD08F5" w:rsidRDefault="00DD08F5" w:rsidP="004F7425">
            <w:pPr>
              <w:jc w:val="both"/>
            </w:pPr>
            <w:r>
              <w:t>Sveikatos sutrikimas</w:t>
            </w:r>
          </w:p>
        </w:tc>
        <w:tc>
          <w:tcPr>
            <w:tcW w:w="1798" w:type="dxa"/>
            <w:gridSpan w:val="2"/>
          </w:tcPr>
          <w:p w:rsidR="00DD08F5" w:rsidRDefault="00DD08F5" w:rsidP="004F7425">
            <w:pPr>
              <w:jc w:val="both"/>
            </w:pPr>
            <w:r>
              <w:t>2006</w:t>
            </w:r>
          </w:p>
        </w:tc>
        <w:tc>
          <w:tcPr>
            <w:tcW w:w="1798" w:type="dxa"/>
            <w:gridSpan w:val="2"/>
          </w:tcPr>
          <w:p w:rsidR="00DD08F5" w:rsidRDefault="00DD08F5" w:rsidP="004F7425">
            <w:pPr>
              <w:jc w:val="both"/>
            </w:pPr>
            <w:r>
              <w:t>2007</w:t>
            </w:r>
          </w:p>
        </w:tc>
      </w:tr>
      <w:tr w:rsidR="00DD08F5" w:rsidTr="004F7425">
        <w:trPr>
          <w:cantSplit/>
        </w:trPr>
        <w:tc>
          <w:tcPr>
            <w:tcW w:w="831" w:type="dxa"/>
            <w:vMerge/>
          </w:tcPr>
          <w:p w:rsidR="00DD08F5" w:rsidRDefault="00DD08F5" w:rsidP="004F7425">
            <w:pPr>
              <w:jc w:val="both"/>
            </w:pPr>
          </w:p>
        </w:tc>
        <w:tc>
          <w:tcPr>
            <w:tcW w:w="5041" w:type="dxa"/>
            <w:vMerge/>
          </w:tcPr>
          <w:p w:rsidR="00DD08F5" w:rsidRDefault="00DD08F5" w:rsidP="004F7425">
            <w:pPr>
              <w:jc w:val="both"/>
            </w:pPr>
          </w:p>
        </w:tc>
        <w:tc>
          <w:tcPr>
            <w:tcW w:w="899" w:type="dxa"/>
          </w:tcPr>
          <w:p w:rsidR="00DD08F5" w:rsidRDefault="00DD08F5" w:rsidP="004F7425">
            <w:pPr>
              <w:jc w:val="both"/>
              <w:rPr>
                <w:i/>
                <w:iCs/>
              </w:rPr>
            </w:pPr>
            <w:r>
              <w:rPr>
                <w:i/>
                <w:iCs/>
              </w:rPr>
              <w:t>AMB.</w:t>
            </w:r>
          </w:p>
        </w:tc>
        <w:tc>
          <w:tcPr>
            <w:tcW w:w="899" w:type="dxa"/>
          </w:tcPr>
          <w:p w:rsidR="00DD08F5" w:rsidRDefault="00DD08F5" w:rsidP="004F7425">
            <w:pPr>
              <w:jc w:val="both"/>
              <w:rPr>
                <w:i/>
                <w:iCs/>
              </w:rPr>
            </w:pPr>
            <w:r>
              <w:rPr>
                <w:i/>
                <w:iCs/>
              </w:rPr>
              <w:t>STAC.</w:t>
            </w:r>
          </w:p>
        </w:tc>
        <w:tc>
          <w:tcPr>
            <w:tcW w:w="899" w:type="dxa"/>
          </w:tcPr>
          <w:p w:rsidR="00DD08F5" w:rsidRDefault="00DD08F5" w:rsidP="004F7425">
            <w:pPr>
              <w:jc w:val="both"/>
              <w:rPr>
                <w:i/>
                <w:iCs/>
              </w:rPr>
            </w:pPr>
            <w:r>
              <w:rPr>
                <w:i/>
                <w:iCs/>
              </w:rPr>
              <w:t>AMB.</w:t>
            </w:r>
          </w:p>
        </w:tc>
        <w:tc>
          <w:tcPr>
            <w:tcW w:w="899" w:type="dxa"/>
          </w:tcPr>
          <w:p w:rsidR="00DD08F5" w:rsidRDefault="00DD08F5" w:rsidP="004F7425">
            <w:pPr>
              <w:jc w:val="both"/>
              <w:rPr>
                <w:i/>
                <w:iCs/>
              </w:rPr>
            </w:pPr>
            <w:r>
              <w:rPr>
                <w:i/>
                <w:iCs/>
              </w:rPr>
              <w:t>STAC.</w:t>
            </w:r>
          </w:p>
        </w:tc>
      </w:tr>
      <w:tr w:rsidR="00DD08F5" w:rsidTr="004F7425">
        <w:tc>
          <w:tcPr>
            <w:tcW w:w="831" w:type="dxa"/>
          </w:tcPr>
          <w:p w:rsidR="00DD08F5" w:rsidRDefault="00DD08F5" w:rsidP="004F7425">
            <w:pPr>
              <w:jc w:val="both"/>
            </w:pPr>
            <w:r>
              <w:t>F10</w:t>
            </w:r>
          </w:p>
        </w:tc>
        <w:tc>
          <w:tcPr>
            <w:tcW w:w="5041" w:type="dxa"/>
          </w:tcPr>
          <w:p w:rsidR="00DD08F5" w:rsidRDefault="00DD08F5" w:rsidP="004F7425">
            <w:pPr>
              <w:jc w:val="both"/>
            </w:pPr>
            <w:r>
              <w:t>Psichikos ir elgesio sutrikimai vartojant alkoholį</w:t>
            </w:r>
          </w:p>
        </w:tc>
        <w:tc>
          <w:tcPr>
            <w:tcW w:w="899" w:type="dxa"/>
          </w:tcPr>
          <w:p w:rsidR="00DD08F5" w:rsidRDefault="00DD08F5" w:rsidP="004F7425">
            <w:pPr>
              <w:jc w:val="both"/>
            </w:pPr>
            <w:r>
              <w:t>1033</w:t>
            </w:r>
          </w:p>
        </w:tc>
        <w:tc>
          <w:tcPr>
            <w:tcW w:w="899" w:type="dxa"/>
          </w:tcPr>
          <w:p w:rsidR="00DD08F5" w:rsidRDefault="00DD08F5" w:rsidP="004F7425">
            <w:pPr>
              <w:jc w:val="both"/>
            </w:pPr>
            <w:r>
              <w:t>95</w:t>
            </w:r>
          </w:p>
        </w:tc>
        <w:tc>
          <w:tcPr>
            <w:tcW w:w="899" w:type="dxa"/>
          </w:tcPr>
          <w:p w:rsidR="00DD08F5" w:rsidRDefault="00DD08F5" w:rsidP="004F7425">
            <w:pPr>
              <w:jc w:val="both"/>
            </w:pPr>
            <w:r>
              <w:t>1132</w:t>
            </w:r>
          </w:p>
        </w:tc>
        <w:tc>
          <w:tcPr>
            <w:tcW w:w="899" w:type="dxa"/>
          </w:tcPr>
          <w:p w:rsidR="00DD08F5" w:rsidRDefault="00DD08F5" w:rsidP="004F7425">
            <w:pPr>
              <w:jc w:val="both"/>
            </w:pPr>
            <w:r>
              <w:t>142</w:t>
            </w:r>
          </w:p>
        </w:tc>
      </w:tr>
      <w:tr w:rsidR="00DD08F5" w:rsidTr="004F7425">
        <w:tc>
          <w:tcPr>
            <w:tcW w:w="831" w:type="dxa"/>
          </w:tcPr>
          <w:p w:rsidR="00DD08F5" w:rsidRDefault="00DD08F5" w:rsidP="004F7425">
            <w:pPr>
              <w:jc w:val="both"/>
            </w:pPr>
            <w:r>
              <w:t>F10.0</w:t>
            </w:r>
          </w:p>
        </w:tc>
        <w:tc>
          <w:tcPr>
            <w:tcW w:w="5041" w:type="dxa"/>
          </w:tcPr>
          <w:p w:rsidR="00DD08F5" w:rsidRDefault="00DD08F5" w:rsidP="004F7425">
            <w:pPr>
              <w:jc w:val="both"/>
            </w:pPr>
            <w:r>
              <w:t>Ūminė intoksikacija</w:t>
            </w:r>
          </w:p>
        </w:tc>
        <w:tc>
          <w:tcPr>
            <w:tcW w:w="899" w:type="dxa"/>
          </w:tcPr>
          <w:p w:rsidR="00DD08F5" w:rsidRDefault="00DD08F5" w:rsidP="004F7425">
            <w:pPr>
              <w:jc w:val="both"/>
            </w:pPr>
            <w:r>
              <w:t>277</w:t>
            </w:r>
          </w:p>
        </w:tc>
        <w:tc>
          <w:tcPr>
            <w:tcW w:w="899" w:type="dxa"/>
          </w:tcPr>
          <w:p w:rsidR="00DD08F5" w:rsidRDefault="00DD08F5" w:rsidP="004F7425">
            <w:pPr>
              <w:jc w:val="both"/>
            </w:pPr>
            <w:r>
              <w:t>212</w:t>
            </w:r>
          </w:p>
        </w:tc>
        <w:tc>
          <w:tcPr>
            <w:tcW w:w="899" w:type="dxa"/>
          </w:tcPr>
          <w:p w:rsidR="00DD08F5" w:rsidRDefault="00DD08F5" w:rsidP="004F7425">
            <w:pPr>
              <w:jc w:val="both"/>
            </w:pPr>
            <w:r>
              <w:t>341</w:t>
            </w:r>
          </w:p>
        </w:tc>
        <w:tc>
          <w:tcPr>
            <w:tcW w:w="899" w:type="dxa"/>
          </w:tcPr>
          <w:p w:rsidR="00DD08F5" w:rsidRDefault="00DD08F5" w:rsidP="004F7425">
            <w:pPr>
              <w:jc w:val="both"/>
            </w:pPr>
            <w:r>
              <w:t>256</w:t>
            </w:r>
          </w:p>
        </w:tc>
      </w:tr>
      <w:tr w:rsidR="00DD08F5" w:rsidTr="004F7425">
        <w:tc>
          <w:tcPr>
            <w:tcW w:w="831" w:type="dxa"/>
          </w:tcPr>
          <w:p w:rsidR="00DD08F5" w:rsidRDefault="00DD08F5" w:rsidP="004F7425">
            <w:pPr>
              <w:jc w:val="both"/>
            </w:pPr>
            <w:r>
              <w:t>F10.1</w:t>
            </w:r>
          </w:p>
        </w:tc>
        <w:tc>
          <w:tcPr>
            <w:tcW w:w="5041" w:type="dxa"/>
          </w:tcPr>
          <w:p w:rsidR="00DD08F5" w:rsidRDefault="00DD08F5" w:rsidP="004F7425">
            <w:pPr>
              <w:jc w:val="both"/>
            </w:pPr>
            <w:r>
              <w:t>Žalingas vartojimas</w:t>
            </w:r>
          </w:p>
        </w:tc>
        <w:tc>
          <w:tcPr>
            <w:tcW w:w="899" w:type="dxa"/>
          </w:tcPr>
          <w:p w:rsidR="00DD08F5" w:rsidRDefault="00DD08F5" w:rsidP="004F7425">
            <w:pPr>
              <w:jc w:val="both"/>
            </w:pPr>
            <w:r>
              <w:t>421</w:t>
            </w:r>
          </w:p>
        </w:tc>
        <w:tc>
          <w:tcPr>
            <w:tcW w:w="899" w:type="dxa"/>
          </w:tcPr>
          <w:p w:rsidR="00DD08F5" w:rsidRDefault="00DD08F5" w:rsidP="004F7425">
            <w:pPr>
              <w:jc w:val="both"/>
            </w:pPr>
            <w:r>
              <w:t>87</w:t>
            </w:r>
          </w:p>
        </w:tc>
        <w:tc>
          <w:tcPr>
            <w:tcW w:w="899" w:type="dxa"/>
          </w:tcPr>
          <w:p w:rsidR="00DD08F5" w:rsidRDefault="00DD08F5" w:rsidP="004F7425">
            <w:pPr>
              <w:jc w:val="both"/>
            </w:pPr>
            <w:r>
              <w:t>473</w:t>
            </w:r>
          </w:p>
        </w:tc>
        <w:tc>
          <w:tcPr>
            <w:tcW w:w="899" w:type="dxa"/>
          </w:tcPr>
          <w:p w:rsidR="00DD08F5" w:rsidRDefault="00DD08F5" w:rsidP="004F7425">
            <w:pPr>
              <w:jc w:val="both"/>
            </w:pPr>
            <w:r>
              <w:t>86</w:t>
            </w:r>
          </w:p>
        </w:tc>
      </w:tr>
      <w:tr w:rsidR="00DD08F5" w:rsidTr="004F7425">
        <w:tc>
          <w:tcPr>
            <w:tcW w:w="831" w:type="dxa"/>
          </w:tcPr>
          <w:p w:rsidR="00DD08F5" w:rsidRDefault="00DD08F5" w:rsidP="004F7425">
            <w:pPr>
              <w:jc w:val="both"/>
            </w:pPr>
            <w:r>
              <w:t>F10.2</w:t>
            </w:r>
          </w:p>
        </w:tc>
        <w:tc>
          <w:tcPr>
            <w:tcW w:w="5041" w:type="dxa"/>
          </w:tcPr>
          <w:p w:rsidR="00DD08F5" w:rsidRDefault="00DD08F5" w:rsidP="004F7425">
            <w:pPr>
              <w:jc w:val="both"/>
            </w:pPr>
            <w:r>
              <w:t>Priklausomybės sindromas</w:t>
            </w:r>
          </w:p>
        </w:tc>
        <w:tc>
          <w:tcPr>
            <w:tcW w:w="899" w:type="dxa"/>
          </w:tcPr>
          <w:p w:rsidR="00DD08F5" w:rsidRDefault="00DD08F5" w:rsidP="004F7425">
            <w:pPr>
              <w:jc w:val="both"/>
            </w:pPr>
            <w:r>
              <w:t>5544</w:t>
            </w:r>
          </w:p>
        </w:tc>
        <w:tc>
          <w:tcPr>
            <w:tcW w:w="899" w:type="dxa"/>
          </w:tcPr>
          <w:p w:rsidR="00DD08F5" w:rsidRDefault="00DD08F5" w:rsidP="004F7425">
            <w:pPr>
              <w:jc w:val="both"/>
            </w:pPr>
            <w:r>
              <w:t>90</w:t>
            </w:r>
          </w:p>
        </w:tc>
        <w:tc>
          <w:tcPr>
            <w:tcW w:w="899" w:type="dxa"/>
          </w:tcPr>
          <w:p w:rsidR="00DD08F5" w:rsidRDefault="00DD08F5" w:rsidP="004F7425">
            <w:pPr>
              <w:jc w:val="both"/>
            </w:pPr>
            <w:r>
              <w:t>5231</w:t>
            </w:r>
          </w:p>
        </w:tc>
        <w:tc>
          <w:tcPr>
            <w:tcW w:w="899" w:type="dxa"/>
          </w:tcPr>
          <w:p w:rsidR="00DD08F5" w:rsidRDefault="00DD08F5" w:rsidP="004F7425">
            <w:pPr>
              <w:jc w:val="both"/>
            </w:pPr>
            <w:r>
              <w:t>131</w:t>
            </w:r>
          </w:p>
        </w:tc>
      </w:tr>
      <w:tr w:rsidR="00DD08F5" w:rsidTr="004F7425">
        <w:tc>
          <w:tcPr>
            <w:tcW w:w="831" w:type="dxa"/>
          </w:tcPr>
          <w:p w:rsidR="00DD08F5" w:rsidRDefault="00DD08F5" w:rsidP="004F7425">
            <w:pPr>
              <w:jc w:val="both"/>
            </w:pPr>
            <w:r>
              <w:t>F10.3</w:t>
            </w:r>
          </w:p>
        </w:tc>
        <w:tc>
          <w:tcPr>
            <w:tcW w:w="5041" w:type="dxa"/>
          </w:tcPr>
          <w:p w:rsidR="00DD08F5" w:rsidRDefault="00DD08F5" w:rsidP="004F7425">
            <w:pPr>
              <w:jc w:val="both"/>
            </w:pPr>
            <w:r>
              <w:t>Abstinencijos būklė</w:t>
            </w:r>
          </w:p>
        </w:tc>
        <w:tc>
          <w:tcPr>
            <w:tcW w:w="899" w:type="dxa"/>
          </w:tcPr>
          <w:p w:rsidR="00DD08F5" w:rsidRDefault="00DD08F5" w:rsidP="004F7425">
            <w:pPr>
              <w:jc w:val="both"/>
            </w:pPr>
            <w:r>
              <w:t>2124</w:t>
            </w:r>
          </w:p>
        </w:tc>
        <w:tc>
          <w:tcPr>
            <w:tcW w:w="899" w:type="dxa"/>
          </w:tcPr>
          <w:p w:rsidR="00DD08F5" w:rsidRDefault="00DD08F5" w:rsidP="004F7425">
            <w:pPr>
              <w:jc w:val="both"/>
            </w:pPr>
            <w:r>
              <w:t>3230</w:t>
            </w:r>
          </w:p>
        </w:tc>
        <w:tc>
          <w:tcPr>
            <w:tcW w:w="899" w:type="dxa"/>
          </w:tcPr>
          <w:p w:rsidR="00DD08F5" w:rsidRDefault="00DD08F5" w:rsidP="004F7425">
            <w:pPr>
              <w:jc w:val="both"/>
            </w:pPr>
            <w:r>
              <w:t>2002</w:t>
            </w:r>
          </w:p>
        </w:tc>
        <w:tc>
          <w:tcPr>
            <w:tcW w:w="899" w:type="dxa"/>
          </w:tcPr>
          <w:p w:rsidR="00DD08F5" w:rsidRDefault="00DD08F5" w:rsidP="004F7425">
            <w:pPr>
              <w:jc w:val="both"/>
            </w:pPr>
            <w:r>
              <w:t>4079</w:t>
            </w:r>
          </w:p>
        </w:tc>
      </w:tr>
      <w:tr w:rsidR="00DD08F5" w:rsidTr="004F7425">
        <w:tc>
          <w:tcPr>
            <w:tcW w:w="831" w:type="dxa"/>
          </w:tcPr>
          <w:p w:rsidR="00DD08F5" w:rsidRDefault="00DD08F5" w:rsidP="004F7425">
            <w:pPr>
              <w:jc w:val="both"/>
            </w:pPr>
            <w:r>
              <w:t>F10.4</w:t>
            </w:r>
          </w:p>
        </w:tc>
        <w:tc>
          <w:tcPr>
            <w:tcW w:w="5041" w:type="dxa"/>
          </w:tcPr>
          <w:p w:rsidR="00DD08F5" w:rsidRDefault="00DD08F5" w:rsidP="004F7425">
            <w:pPr>
              <w:jc w:val="both"/>
            </w:pPr>
            <w:r>
              <w:t>Abstinencijos būklė su delyru</w:t>
            </w:r>
          </w:p>
        </w:tc>
        <w:tc>
          <w:tcPr>
            <w:tcW w:w="899" w:type="dxa"/>
          </w:tcPr>
          <w:p w:rsidR="00DD08F5" w:rsidRDefault="00DD08F5" w:rsidP="004F7425">
            <w:pPr>
              <w:jc w:val="both"/>
            </w:pPr>
            <w:r>
              <w:t>717</w:t>
            </w:r>
          </w:p>
        </w:tc>
        <w:tc>
          <w:tcPr>
            <w:tcW w:w="899" w:type="dxa"/>
          </w:tcPr>
          <w:p w:rsidR="00DD08F5" w:rsidRDefault="00DD08F5" w:rsidP="004F7425">
            <w:pPr>
              <w:jc w:val="both"/>
            </w:pPr>
            <w:r>
              <w:t>3848</w:t>
            </w:r>
          </w:p>
        </w:tc>
        <w:tc>
          <w:tcPr>
            <w:tcW w:w="899" w:type="dxa"/>
          </w:tcPr>
          <w:p w:rsidR="00DD08F5" w:rsidRDefault="00DD08F5" w:rsidP="004F7425">
            <w:pPr>
              <w:jc w:val="both"/>
            </w:pPr>
            <w:r>
              <w:t>754</w:t>
            </w:r>
          </w:p>
        </w:tc>
        <w:tc>
          <w:tcPr>
            <w:tcW w:w="899" w:type="dxa"/>
          </w:tcPr>
          <w:p w:rsidR="00DD08F5" w:rsidRDefault="00DD08F5" w:rsidP="004F7425">
            <w:pPr>
              <w:jc w:val="both"/>
            </w:pPr>
            <w:r>
              <w:t>4269</w:t>
            </w:r>
          </w:p>
        </w:tc>
      </w:tr>
      <w:tr w:rsidR="00DD08F5" w:rsidTr="004F7425">
        <w:tc>
          <w:tcPr>
            <w:tcW w:w="831" w:type="dxa"/>
          </w:tcPr>
          <w:p w:rsidR="00DD08F5" w:rsidRDefault="00DD08F5" w:rsidP="004F7425">
            <w:pPr>
              <w:jc w:val="both"/>
            </w:pPr>
            <w:r>
              <w:t>F10.5</w:t>
            </w:r>
          </w:p>
        </w:tc>
        <w:tc>
          <w:tcPr>
            <w:tcW w:w="5041" w:type="dxa"/>
          </w:tcPr>
          <w:p w:rsidR="00DD08F5" w:rsidRDefault="00DD08F5" w:rsidP="004F7425">
            <w:pPr>
              <w:jc w:val="both"/>
            </w:pPr>
            <w:r>
              <w:t>Psichozinis sutrikimas</w:t>
            </w:r>
          </w:p>
        </w:tc>
        <w:tc>
          <w:tcPr>
            <w:tcW w:w="899" w:type="dxa"/>
          </w:tcPr>
          <w:p w:rsidR="00DD08F5" w:rsidRDefault="00DD08F5" w:rsidP="004F7425">
            <w:pPr>
              <w:jc w:val="both"/>
            </w:pPr>
            <w:r>
              <w:t>241</w:t>
            </w:r>
          </w:p>
        </w:tc>
        <w:tc>
          <w:tcPr>
            <w:tcW w:w="899" w:type="dxa"/>
          </w:tcPr>
          <w:p w:rsidR="00DD08F5" w:rsidRDefault="00DD08F5" w:rsidP="004F7425">
            <w:pPr>
              <w:jc w:val="both"/>
            </w:pPr>
            <w:r>
              <w:t>481</w:t>
            </w:r>
          </w:p>
        </w:tc>
        <w:tc>
          <w:tcPr>
            <w:tcW w:w="899" w:type="dxa"/>
          </w:tcPr>
          <w:p w:rsidR="00DD08F5" w:rsidRDefault="00DD08F5" w:rsidP="004F7425">
            <w:pPr>
              <w:jc w:val="both"/>
            </w:pPr>
            <w:r>
              <w:t>260</w:t>
            </w:r>
          </w:p>
        </w:tc>
        <w:tc>
          <w:tcPr>
            <w:tcW w:w="899" w:type="dxa"/>
          </w:tcPr>
          <w:p w:rsidR="00DD08F5" w:rsidRDefault="00DD08F5" w:rsidP="004F7425">
            <w:pPr>
              <w:jc w:val="both"/>
            </w:pPr>
            <w:r>
              <w:t>572</w:t>
            </w:r>
          </w:p>
        </w:tc>
      </w:tr>
      <w:tr w:rsidR="00DD08F5" w:rsidTr="004F7425">
        <w:tc>
          <w:tcPr>
            <w:tcW w:w="831" w:type="dxa"/>
          </w:tcPr>
          <w:p w:rsidR="00DD08F5" w:rsidRDefault="00DD08F5" w:rsidP="004F7425">
            <w:pPr>
              <w:jc w:val="both"/>
            </w:pPr>
            <w:r>
              <w:t>F10.6</w:t>
            </w:r>
          </w:p>
        </w:tc>
        <w:tc>
          <w:tcPr>
            <w:tcW w:w="5041" w:type="dxa"/>
          </w:tcPr>
          <w:p w:rsidR="00DD08F5" w:rsidRDefault="00DD08F5" w:rsidP="004F7425">
            <w:pPr>
              <w:jc w:val="both"/>
            </w:pPr>
            <w:r>
              <w:t>Amnezinis sindromas</w:t>
            </w:r>
          </w:p>
        </w:tc>
        <w:tc>
          <w:tcPr>
            <w:tcW w:w="899" w:type="dxa"/>
          </w:tcPr>
          <w:p w:rsidR="00DD08F5" w:rsidRDefault="00DD08F5" w:rsidP="004F7425">
            <w:pPr>
              <w:jc w:val="both"/>
            </w:pPr>
            <w:r>
              <w:t>165</w:t>
            </w:r>
          </w:p>
        </w:tc>
        <w:tc>
          <w:tcPr>
            <w:tcW w:w="899" w:type="dxa"/>
          </w:tcPr>
          <w:p w:rsidR="00DD08F5" w:rsidRDefault="00DD08F5" w:rsidP="004F7425">
            <w:pPr>
              <w:jc w:val="both"/>
            </w:pPr>
            <w:r>
              <w:t>59</w:t>
            </w:r>
          </w:p>
        </w:tc>
        <w:tc>
          <w:tcPr>
            <w:tcW w:w="899" w:type="dxa"/>
          </w:tcPr>
          <w:p w:rsidR="00DD08F5" w:rsidRDefault="00DD08F5" w:rsidP="004F7425">
            <w:pPr>
              <w:jc w:val="both"/>
            </w:pPr>
            <w:r>
              <w:t>143</w:t>
            </w:r>
          </w:p>
        </w:tc>
        <w:tc>
          <w:tcPr>
            <w:tcW w:w="899" w:type="dxa"/>
          </w:tcPr>
          <w:p w:rsidR="00DD08F5" w:rsidRDefault="00DD08F5" w:rsidP="004F7425">
            <w:pPr>
              <w:jc w:val="both"/>
            </w:pPr>
            <w:r>
              <w:t>34</w:t>
            </w:r>
          </w:p>
        </w:tc>
      </w:tr>
      <w:tr w:rsidR="00DD08F5" w:rsidTr="004F7425">
        <w:tc>
          <w:tcPr>
            <w:tcW w:w="831" w:type="dxa"/>
          </w:tcPr>
          <w:p w:rsidR="00DD08F5" w:rsidRDefault="00DD08F5" w:rsidP="004F7425">
            <w:pPr>
              <w:jc w:val="both"/>
            </w:pPr>
            <w:r>
              <w:t>F10.7</w:t>
            </w:r>
          </w:p>
        </w:tc>
        <w:tc>
          <w:tcPr>
            <w:tcW w:w="5041" w:type="dxa"/>
          </w:tcPr>
          <w:p w:rsidR="00DD08F5" w:rsidRDefault="00DD08F5" w:rsidP="004F7425">
            <w:pPr>
              <w:jc w:val="both"/>
            </w:pPr>
            <w:r>
              <w:t>Liekamasis arba vėlai pasireiškiantis psichozinis sutrikimas</w:t>
            </w:r>
          </w:p>
        </w:tc>
        <w:tc>
          <w:tcPr>
            <w:tcW w:w="899" w:type="dxa"/>
          </w:tcPr>
          <w:p w:rsidR="00DD08F5" w:rsidRDefault="00DD08F5" w:rsidP="004F7425">
            <w:pPr>
              <w:jc w:val="both"/>
            </w:pPr>
            <w:r>
              <w:t>186</w:t>
            </w:r>
          </w:p>
        </w:tc>
        <w:tc>
          <w:tcPr>
            <w:tcW w:w="899" w:type="dxa"/>
          </w:tcPr>
          <w:p w:rsidR="00DD08F5" w:rsidRDefault="00DD08F5" w:rsidP="004F7425">
            <w:pPr>
              <w:jc w:val="both"/>
            </w:pPr>
            <w:r>
              <w:t>53</w:t>
            </w:r>
          </w:p>
        </w:tc>
        <w:tc>
          <w:tcPr>
            <w:tcW w:w="899" w:type="dxa"/>
          </w:tcPr>
          <w:p w:rsidR="00DD08F5" w:rsidRDefault="00DD08F5" w:rsidP="004F7425">
            <w:pPr>
              <w:jc w:val="both"/>
            </w:pPr>
            <w:r>
              <w:t>195</w:t>
            </w:r>
          </w:p>
        </w:tc>
        <w:tc>
          <w:tcPr>
            <w:tcW w:w="899" w:type="dxa"/>
          </w:tcPr>
          <w:p w:rsidR="00DD08F5" w:rsidRDefault="00DD08F5" w:rsidP="004F7425">
            <w:pPr>
              <w:jc w:val="both"/>
            </w:pPr>
            <w:r>
              <w:t>61</w:t>
            </w:r>
          </w:p>
        </w:tc>
      </w:tr>
      <w:tr w:rsidR="00DD08F5" w:rsidTr="004F7425">
        <w:tc>
          <w:tcPr>
            <w:tcW w:w="831" w:type="dxa"/>
          </w:tcPr>
          <w:p w:rsidR="00DD08F5" w:rsidRDefault="00DD08F5" w:rsidP="004F7425">
            <w:pPr>
              <w:jc w:val="both"/>
            </w:pPr>
            <w:r>
              <w:lastRenderedPageBreak/>
              <w:t>F10.8</w:t>
            </w:r>
          </w:p>
        </w:tc>
        <w:tc>
          <w:tcPr>
            <w:tcW w:w="5041" w:type="dxa"/>
          </w:tcPr>
          <w:p w:rsidR="00DD08F5" w:rsidRDefault="00DD08F5" w:rsidP="004F7425">
            <w:pPr>
              <w:jc w:val="both"/>
            </w:pPr>
            <w:r>
              <w:t>Kiti psichikos ir elgesio sutrikimai</w:t>
            </w:r>
          </w:p>
        </w:tc>
        <w:tc>
          <w:tcPr>
            <w:tcW w:w="899" w:type="dxa"/>
          </w:tcPr>
          <w:p w:rsidR="00DD08F5" w:rsidRDefault="00DD08F5" w:rsidP="004F7425">
            <w:pPr>
              <w:jc w:val="both"/>
            </w:pPr>
            <w:r>
              <w:t>12</w:t>
            </w:r>
          </w:p>
        </w:tc>
        <w:tc>
          <w:tcPr>
            <w:tcW w:w="899" w:type="dxa"/>
          </w:tcPr>
          <w:p w:rsidR="00DD08F5" w:rsidRDefault="00DD08F5" w:rsidP="004F7425">
            <w:pPr>
              <w:jc w:val="both"/>
            </w:pPr>
            <w:r>
              <w:t>101</w:t>
            </w:r>
          </w:p>
        </w:tc>
        <w:tc>
          <w:tcPr>
            <w:tcW w:w="899" w:type="dxa"/>
          </w:tcPr>
          <w:p w:rsidR="00DD08F5" w:rsidRDefault="00DD08F5" w:rsidP="004F7425">
            <w:pPr>
              <w:jc w:val="both"/>
            </w:pPr>
            <w:r>
              <w:t>26</w:t>
            </w:r>
          </w:p>
        </w:tc>
        <w:tc>
          <w:tcPr>
            <w:tcW w:w="899" w:type="dxa"/>
          </w:tcPr>
          <w:p w:rsidR="00DD08F5" w:rsidRDefault="00DD08F5" w:rsidP="004F7425">
            <w:pPr>
              <w:jc w:val="both"/>
            </w:pPr>
            <w:r>
              <w:t>75</w:t>
            </w:r>
          </w:p>
        </w:tc>
      </w:tr>
      <w:tr w:rsidR="00DD08F5" w:rsidTr="004F7425">
        <w:tc>
          <w:tcPr>
            <w:tcW w:w="831" w:type="dxa"/>
          </w:tcPr>
          <w:p w:rsidR="00DD08F5" w:rsidRDefault="00DD08F5" w:rsidP="004F7425">
            <w:pPr>
              <w:jc w:val="both"/>
            </w:pPr>
            <w:r>
              <w:t>F10.9</w:t>
            </w:r>
          </w:p>
        </w:tc>
        <w:tc>
          <w:tcPr>
            <w:tcW w:w="5041" w:type="dxa"/>
          </w:tcPr>
          <w:p w:rsidR="00DD08F5" w:rsidRDefault="00DD08F5" w:rsidP="004F7425">
            <w:pPr>
              <w:jc w:val="both"/>
            </w:pPr>
            <w:r>
              <w:t>Nepatikslintas psichikos ir elgesio sutikimas</w:t>
            </w:r>
          </w:p>
        </w:tc>
        <w:tc>
          <w:tcPr>
            <w:tcW w:w="899" w:type="dxa"/>
          </w:tcPr>
          <w:p w:rsidR="00DD08F5" w:rsidRDefault="00DD08F5" w:rsidP="004F7425">
            <w:pPr>
              <w:jc w:val="both"/>
            </w:pPr>
            <w:r>
              <w:t>27</w:t>
            </w:r>
          </w:p>
        </w:tc>
        <w:tc>
          <w:tcPr>
            <w:tcW w:w="899" w:type="dxa"/>
          </w:tcPr>
          <w:p w:rsidR="00DD08F5" w:rsidRDefault="00DD08F5" w:rsidP="004F7425">
            <w:pPr>
              <w:jc w:val="both"/>
            </w:pPr>
            <w:r>
              <w:t>1</w:t>
            </w:r>
          </w:p>
        </w:tc>
        <w:tc>
          <w:tcPr>
            <w:tcW w:w="899" w:type="dxa"/>
          </w:tcPr>
          <w:p w:rsidR="00DD08F5" w:rsidRDefault="00DD08F5" w:rsidP="004F7425">
            <w:pPr>
              <w:jc w:val="both"/>
            </w:pPr>
            <w:r>
              <w:t>36</w:t>
            </w:r>
          </w:p>
        </w:tc>
        <w:tc>
          <w:tcPr>
            <w:tcW w:w="899" w:type="dxa"/>
          </w:tcPr>
          <w:p w:rsidR="00DD08F5" w:rsidRDefault="00DD08F5" w:rsidP="004F7425">
            <w:pPr>
              <w:jc w:val="both"/>
            </w:pPr>
            <w:r>
              <w:t>3</w:t>
            </w:r>
          </w:p>
        </w:tc>
      </w:tr>
      <w:tr w:rsidR="00DD08F5" w:rsidTr="004F7425">
        <w:trPr>
          <w:cantSplit/>
        </w:trPr>
        <w:tc>
          <w:tcPr>
            <w:tcW w:w="5872" w:type="dxa"/>
            <w:gridSpan w:val="2"/>
          </w:tcPr>
          <w:p w:rsidR="00DD08F5" w:rsidRDefault="00DD08F5" w:rsidP="004F7425">
            <w:pPr>
              <w:jc w:val="both"/>
            </w:pPr>
            <w:r>
              <w:t>Viso (per metus pagal paslaugas)</w:t>
            </w:r>
          </w:p>
        </w:tc>
        <w:tc>
          <w:tcPr>
            <w:tcW w:w="899" w:type="dxa"/>
          </w:tcPr>
          <w:p w:rsidR="00DD08F5" w:rsidRDefault="00DD08F5" w:rsidP="004F7425">
            <w:pPr>
              <w:jc w:val="both"/>
              <w:rPr>
                <w:i/>
                <w:iCs/>
              </w:rPr>
            </w:pPr>
            <w:r>
              <w:rPr>
                <w:i/>
                <w:iCs/>
              </w:rPr>
              <w:t>10747</w:t>
            </w:r>
          </w:p>
        </w:tc>
        <w:tc>
          <w:tcPr>
            <w:tcW w:w="899" w:type="dxa"/>
          </w:tcPr>
          <w:p w:rsidR="00DD08F5" w:rsidRDefault="00DD08F5" w:rsidP="004F7425">
            <w:pPr>
              <w:jc w:val="both"/>
              <w:rPr>
                <w:i/>
                <w:iCs/>
              </w:rPr>
            </w:pPr>
            <w:r>
              <w:rPr>
                <w:i/>
                <w:iCs/>
              </w:rPr>
              <w:t>8257</w:t>
            </w:r>
          </w:p>
        </w:tc>
        <w:tc>
          <w:tcPr>
            <w:tcW w:w="899" w:type="dxa"/>
          </w:tcPr>
          <w:p w:rsidR="00DD08F5" w:rsidRDefault="00DD08F5" w:rsidP="004F7425">
            <w:pPr>
              <w:jc w:val="both"/>
              <w:rPr>
                <w:i/>
                <w:iCs/>
              </w:rPr>
            </w:pPr>
            <w:r>
              <w:rPr>
                <w:i/>
                <w:iCs/>
              </w:rPr>
              <w:t>10566</w:t>
            </w:r>
          </w:p>
        </w:tc>
        <w:tc>
          <w:tcPr>
            <w:tcW w:w="899" w:type="dxa"/>
          </w:tcPr>
          <w:p w:rsidR="00DD08F5" w:rsidRDefault="00DD08F5" w:rsidP="004F7425">
            <w:pPr>
              <w:jc w:val="both"/>
              <w:rPr>
                <w:i/>
                <w:iCs/>
              </w:rPr>
            </w:pPr>
            <w:r>
              <w:rPr>
                <w:i/>
                <w:iCs/>
              </w:rPr>
              <w:t>9708</w:t>
            </w:r>
          </w:p>
        </w:tc>
      </w:tr>
      <w:tr w:rsidR="00DD08F5" w:rsidTr="004F7425">
        <w:trPr>
          <w:cantSplit/>
        </w:trPr>
        <w:tc>
          <w:tcPr>
            <w:tcW w:w="5872" w:type="dxa"/>
            <w:gridSpan w:val="2"/>
          </w:tcPr>
          <w:p w:rsidR="00DD08F5" w:rsidRDefault="00DD08F5" w:rsidP="004F7425">
            <w:pPr>
              <w:jc w:val="both"/>
            </w:pPr>
            <w:r>
              <w:t>Viso (per metus)</w:t>
            </w:r>
          </w:p>
        </w:tc>
        <w:tc>
          <w:tcPr>
            <w:tcW w:w="1798" w:type="dxa"/>
            <w:gridSpan w:val="2"/>
          </w:tcPr>
          <w:p w:rsidR="00DD08F5" w:rsidRDefault="00DD08F5" w:rsidP="004F7425">
            <w:pPr>
              <w:jc w:val="both"/>
            </w:pPr>
            <w:r>
              <w:t>19 004</w:t>
            </w:r>
          </w:p>
        </w:tc>
        <w:tc>
          <w:tcPr>
            <w:tcW w:w="1798" w:type="dxa"/>
            <w:gridSpan w:val="2"/>
          </w:tcPr>
          <w:p w:rsidR="00DD08F5" w:rsidRDefault="00DD08F5" w:rsidP="004F7425">
            <w:pPr>
              <w:jc w:val="both"/>
            </w:pPr>
            <w:r>
              <w:t>20 274</w:t>
            </w:r>
          </w:p>
        </w:tc>
      </w:tr>
    </w:tbl>
    <w:p w:rsidR="00DD08F5" w:rsidRDefault="00DD08F5" w:rsidP="00DD08F5">
      <w:pPr>
        <w:jc w:val="both"/>
        <w:rPr>
          <w:bCs/>
        </w:rPr>
      </w:pPr>
    </w:p>
    <w:p w:rsidR="00DD08F5" w:rsidRDefault="00DD08F5" w:rsidP="00DD08F5">
      <w:pPr>
        <w:jc w:val="both"/>
        <w:rPr>
          <w:b/>
          <w:i/>
          <w:iCs/>
        </w:rPr>
      </w:pPr>
      <w:r>
        <w:rPr>
          <w:b/>
          <w:i/>
          <w:iCs/>
        </w:rPr>
        <w:t>Dėl priklausomybės raminančioms medžiagoms</w:t>
      </w:r>
    </w:p>
    <w:p w:rsidR="00DD08F5" w:rsidRDefault="00DD08F5" w:rsidP="00DD08F5">
      <w:pPr>
        <w:ind w:firstLine="720"/>
        <w:jc w:val="both"/>
      </w:pPr>
      <w:r>
        <w:t>2007 m. analizuojant priklausomybę kitoms psichiką veikiančioms medžiagoms padaugėjo asmenų į asmens sveikatos priežiūros įstaigas (toliau – ASPĮ) besikreipusių tik dėl priklausomybės raminančioms (F13) ir lakioms (F18) medžiagoms. Dėl žalingo kitų psichiką veikiančių medžiagų vartojimo kreipimosi atvejų sumažėjo. Priklausomybės nuo kitų medžiagų metų bėgyje kito nežymiai ir pasiskirstė taip:</w:t>
      </w:r>
    </w:p>
    <w:p w:rsidR="00DD08F5" w:rsidRDefault="00DD08F5" w:rsidP="00DD08F5">
      <w:pPr>
        <w:jc w:val="both"/>
      </w:pPr>
      <w:r>
        <w:rPr>
          <w:i/>
          <w:iCs/>
        </w:rPr>
        <w:t xml:space="preserve"> Diagnozuoti psichikos ir elgesio sutrikimų vartojant psichiką veikiančias medžiagas atvejai išskyrus alkoholį.</w:t>
      </w:r>
    </w:p>
    <w:p w:rsidR="00DD08F5" w:rsidRDefault="00DD08F5" w:rsidP="00DD08F5">
      <w:pPr>
        <w:jc w:val="both"/>
      </w:pPr>
      <w:r>
        <w:rPr>
          <w:i/>
          <w:iCs/>
        </w:rPr>
        <w:t>Priklausomybė nuo psichiką veikiančių medžiagų vaikų tarpe:</w:t>
      </w:r>
    </w:p>
    <w:p w:rsidR="00DD08F5" w:rsidRDefault="00DD08F5" w:rsidP="00DD08F5">
      <w:pPr>
        <w:jc w:val="both"/>
      </w:pPr>
    </w:p>
    <w:p w:rsidR="00DD08F5" w:rsidRDefault="00DD08F5" w:rsidP="00DD08F5">
      <w:pPr>
        <w:jc w:val="both"/>
      </w:pPr>
      <w:r>
        <w:rPr>
          <w:noProof/>
          <w:lang w:eastAsia="lt-LT"/>
        </w:rPr>
        <w:drawing>
          <wp:inline distT="0" distB="0" distL="0" distR="0" wp14:anchorId="1B300E9C" wp14:editId="1DAD25BB">
            <wp:extent cx="4600575" cy="2095500"/>
            <wp:effectExtent l="0" t="0" r="0" b="0"/>
            <wp:docPr id="74" name="Diagrama 7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DD08F5" w:rsidRDefault="00DD08F5" w:rsidP="00DD08F5">
      <w:pPr>
        <w:jc w:val="both"/>
        <w:rPr>
          <w:i/>
          <w:iCs/>
        </w:rPr>
      </w:pPr>
      <w:r>
        <w:rPr>
          <w:i/>
          <w:iCs/>
        </w:rPr>
        <w:t xml:space="preserve"> </w:t>
      </w:r>
    </w:p>
    <w:p w:rsidR="00DD08F5" w:rsidRDefault="00DD08F5" w:rsidP="00DD08F5">
      <w:pPr>
        <w:jc w:val="both"/>
      </w:pPr>
      <w:r>
        <w:tab/>
        <w:t>Vaikų psichikos ir elgesio sutrikimai vartojant psichiką veikiančias medžiagas pagal lytį skiriasi nuo priklausomybe sergančiųjų suaugusiųjų. Priklausomybe sergančios mergaitės sudaro trečdalį visų vaikų priklausomybės atvejų:</w:t>
      </w:r>
    </w:p>
    <w:p w:rsidR="00DD08F5" w:rsidRDefault="00DD08F5" w:rsidP="00DD08F5">
      <w:pPr>
        <w:jc w:val="both"/>
        <w:rPr>
          <w:i/>
          <w:iCs/>
        </w:rPr>
      </w:pPr>
      <w:r>
        <w:rPr>
          <w:i/>
          <w:iCs/>
        </w:rPr>
        <w:t>Vaikų psichikos ir elgesio sutrikimai vartojant psichiką veikiančias medžiagas pagal lytį:</w:t>
      </w:r>
    </w:p>
    <w:p w:rsidR="00DD08F5" w:rsidRDefault="00DD08F5" w:rsidP="00DD08F5">
      <w:pPr>
        <w:jc w:val="both"/>
      </w:pPr>
    </w:p>
    <w:p w:rsidR="00DD08F5" w:rsidRDefault="00DD08F5" w:rsidP="00DD08F5">
      <w:pPr>
        <w:jc w:val="both"/>
      </w:pPr>
      <w:r>
        <w:rPr>
          <w:noProof/>
          <w:lang w:eastAsia="lt-LT"/>
        </w:rPr>
        <w:drawing>
          <wp:inline distT="0" distB="0" distL="0" distR="0" wp14:anchorId="168D2D1C" wp14:editId="41084B29">
            <wp:extent cx="5257800" cy="2447925"/>
            <wp:effectExtent l="0" t="0" r="0" b="0"/>
            <wp:docPr id="73" name="Diagrama 7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DD08F5" w:rsidRDefault="00DD08F5" w:rsidP="00DD08F5">
      <w:pPr>
        <w:jc w:val="both"/>
      </w:pPr>
    </w:p>
    <w:p w:rsidR="00DD08F5" w:rsidRDefault="00DD08F5" w:rsidP="00DD08F5">
      <w:pPr>
        <w:jc w:val="both"/>
        <w:rPr>
          <w:color w:val="FF0000"/>
        </w:rPr>
      </w:pPr>
      <w:r>
        <w:tab/>
        <w:t>Didžioji dauguma (daugiau nei 97 proc.) psichiką veikiančiomis medžiagomis piktnaudžiaujančių vaikų yra 13-18 metų amžiaus. Valstybinės ligonių kasos duomenimis 2007 m. dviems vaikams, jaunesniems nei 10 m. amžiaus, stacionarines paslaugas teikiančiose ASPĮ buvo diagnozuota priklausomybė raminančioms medžiagoms ir alkoholiui. Atsižvelgus į psichikos ir elgesio sutrikimų diagnostikos ypatumus (šiuos sutrikimus, kaip ilgalaikio psichiką veikiančių medžiagų vartojimo pasekmę, diagnozuoja psichiatrijos specialistai) yra mažai tikėtina, jog duomenys apie vaikų, jaunesnių nei 10 m., priklausomybę nuo psichiką veikiančių medžiagų yra tikslūs.</w:t>
      </w:r>
      <w:r>
        <w:rPr>
          <w:color w:val="FF0000"/>
        </w:rPr>
        <w:t xml:space="preserve"> </w:t>
      </w:r>
    </w:p>
    <w:p w:rsidR="00DD08F5" w:rsidRDefault="00DD08F5" w:rsidP="00DD08F5">
      <w:pPr>
        <w:jc w:val="both"/>
        <w:rPr>
          <w:i/>
          <w:iCs/>
        </w:rPr>
      </w:pPr>
      <w:r>
        <w:rPr>
          <w:i/>
          <w:iCs/>
        </w:rPr>
        <w:t>Psichikos ir elgesio sutrikimai vartojant psichiką veikiančias medžiagas pagal vaikų amžių:</w:t>
      </w:r>
    </w:p>
    <w:p w:rsidR="00DD08F5" w:rsidRDefault="00DD08F5" w:rsidP="00DD08F5">
      <w:pPr>
        <w:jc w:val="both"/>
        <w:rPr>
          <w:color w:val="3366FF"/>
        </w:rPr>
      </w:pPr>
    </w:p>
    <w:p w:rsidR="00DD08F5" w:rsidRDefault="00DD08F5" w:rsidP="00DD08F5">
      <w:pPr>
        <w:jc w:val="both"/>
      </w:pPr>
      <w:r>
        <w:rPr>
          <w:noProof/>
          <w:lang w:eastAsia="lt-LT"/>
        </w:rPr>
        <w:drawing>
          <wp:inline distT="0" distB="0" distL="0" distR="0" wp14:anchorId="76384260" wp14:editId="67575EF3">
            <wp:extent cx="5257800" cy="2447925"/>
            <wp:effectExtent l="0" t="0" r="0" b="0"/>
            <wp:docPr id="72" name="Diagrama 7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DD08F5" w:rsidRDefault="00DD08F5" w:rsidP="00DD08F5">
      <w:pPr>
        <w:jc w:val="both"/>
      </w:pPr>
      <w:r>
        <w:rPr>
          <w:i/>
          <w:iCs/>
        </w:rPr>
        <w:t xml:space="preserve"> </w:t>
      </w:r>
    </w:p>
    <w:p w:rsidR="00DD08F5" w:rsidRDefault="00DD08F5" w:rsidP="00DD08F5">
      <w:pPr>
        <w:jc w:val="both"/>
      </w:pPr>
      <w:r>
        <w:tab/>
        <w:t>Stacionarinėse ASPĮ vaikų mirčių dėl psichikos ir elgesio sutrikimo, vartojant psichiką veikiančias medžiagas 2007 m. neužregistruota.</w:t>
      </w:r>
    </w:p>
    <w:p w:rsidR="00DD08F5" w:rsidRDefault="00DD08F5" w:rsidP="00DD08F5">
      <w:pPr>
        <w:jc w:val="both"/>
        <w:rPr>
          <w:lang w:val="en-US"/>
        </w:rPr>
      </w:pPr>
      <w:r>
        <w:rPr>
          <w:lang w:val="en-US"/>
        </w:rPr>
        <w:tab/>
        <w:t xml:space="preserve">Sveikatos apsaugos ministerija 2008 11 10 raštu Nr. 10-(01-22)-6686 “Dėl paauglių svaiginimosi vaistais” pateikė informaciją, kad Valstybinio aplinkos sveikatos centro duomenimis, pagal apsinuodijimų, ištirtų 2004 – 2007 metais, analizės duomenis, paskutiniaisiais metais stebimas apsinuodijimų skaičiaus mažėjimas. </w:t>
      </w:r>
    </w:p>
    <w:p w:rsidR="00DD08F5" w:rsidRDefault="00DD08F5" w:rsidP="00DD08F5">
      <w:pPr>
        <w:jc w:val="both"/>
      </w:pPr>
      <w:r>
        <w:t>Pateikiamas, vaikų, apsinuosijusių medikamentais, skaičius 2004 – 2007 m.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701"/>
        <w:gridCol w:w="1701"/>
        <w:gridCol w:w="1843"/>
        <w:gridCol w:w="1417"/>
        <w:gridCol w:w="1280"/>
      </w:tblGrid>
      <w:tr w:rsidR="00DD08F5" w:rsidTr="004F7425">
        <w:tc>
          <w:tcPr>
            <w:tcW w:w="1526" w:type="dxa"/>
          </w:tcPr>
          <w:p w:rsidR="00DD08F5" w:rsidRDefault="00DD08F5" w:rsidP="004F7425">
            <w:pPr>
              <w:jc w:val="both"/>
            </w:pPr>
            <w:r>
              <w:t>Vaikų grupė</w:t>
            </w:r>
          </w:p>
        </w:tc>
        <w:tc>
          <w:tcPr>
            <w:tcW w:w="1701" w:type="dxa"/>
          </w:tcPr>
          <w:p w:rsidR="00DD08F5" w:rsidRDefault="00DD08F5" w:rsidP="004F7425">
            <w:pPr>
              <w:jc w:val="both"/>
            </w:pPr>
            <w:r>
              <w:t xml:space="preserve">2004 m. </w:t>
            </w:r>
          </w:p>
        </w:tc>
        <w:tc>
          <w:tcPr>
            <w:tcW w:w="1701" w:type="dxa"/>
          </w:tcPr>
          <w:p w:rsidR="00DD08F5" w:rsidRDefault="00DD08F5" w:rsidP="004F7425">
            <w:pPr>
              <w:jc w:val="both"/>
            </w:pPr>
            <w:r>
              <w:t xml:space="preserve">2005 m. </w:t>
            </w:r>
          </w:p>
        </w:tc>
        <w:tc>
          <w:tcPr>
            <w:tcW w:w="1843" w:type="dxa"/>
          </w:tcPr>
          <w:p w:rsidR="00DD08F5" w:rsidRDefault="00DD08F5" w:rsidP="004F7425">
            <w:pPr>
              <w:jc w:val="both"/>
            </w:pPr>
            <w:r>
              <w:t xml:space="preserve">2006 m. </w:t>
            </w:r>
          </w:p>
        </w:tc>
        <w:tc>
          <w:tcPr>
            <w:tcW w:w="1417" w:type="dxa"/>
          </w:tcPr>
          <w:p w:rsidR="00DD08F5" w:rsidRDefault="00DD08F5" w:rsidP="004F7425">
            <w:pPr>
              <w:jc w:val="both"/>
            </w:pPr>
            <w:r>
              <w:t xml:space="preserve">2007 m. </w:t>
            </w:r>
          </w:p>
        </w:tc>
        <w:tc>
          <w:tcPr>
            <w:tcW w:w="1280" w:type="dxa"/>
          </w:tcPr>
          <w:p w:rsidR="00DD08F5" w:rsidRDefault="00DD08F5" w:rsidP="004F7425">
            <w:pPr>
              <w:jc w:val="both"/>
            </w:pPr>
          </w:p>
        </w:tc>
      </w:tr>
      <w:tr w:rsidR="00DD08F5" w:rsidTr="004F7425">
        <w:tc>
          <w:tcPr>
            <w:tcW w:w="1526" w:type="dxa"/>
          </w:tcPr>
          <w:p w:rsidR="00DD08F5" w:rsidRDefault="00DD08F5" w:rsidP="004F7425">
            <w:pPr>
              <w:jc w:val="both"/>
            </w:pPr>
            <w:r>
              <w:t xml:space="preserve">8–14 metų  </w:t>
            </w:r>
          </w:p>
        </w:tc>
        <w:tc>
          <w:tcPr>
            <w:tcW w:w="1701" w:type="dxa"/>
          </w:tcPr>
          <w:p w:rsidR="00DD08F5" w:rsidRDefault="00DD08F5" w:rsidP="004F7425">
            <w:pPr>
              <w:jc w:val="both"/>
            </w:pPr>
            <w:r>
              <w:t>97</w:t>
            </w:r>
          </w:p>
        </w:tc>
        <w:tc>
          <w:tcPr>
            <w:tcW w:w="1701" w:type="dxa"/>
          </w:tcPr>
          <w:p w:rsidR="00DD08F5" w:rsidRDefault="00DD08F5" w:rsidP="004F7425">
            <w:pPr>
              <w:jc w:val="both"/>
            </w:pPr>
            <w:r>
              <w:t>98</w:t>
            </w:r>
          </w:p>
        </w:tc>
        <w:tc>
          <w:tcPr>
            <w:tcW w:w="1843" w:type="dxa"/>
          </w:tcPr>
          <w:p w:rsidR="00DD08F5" w:rsidRDefault="00DD08F5" w:rsidP="004F7425">
            <w:pPr>
              <w:jc w:val="both"/>
            </w:pPr>
            <w:r>
              <w:t>106</w:t>
            </w:r>
          </w:p>
        </w:tc>
        <w:tc>
          <w:tcPr>
            <w:tcW w:w="1417" w:type="dxa"/>
          </w:tcPr>
          <w:p w:rsidR="00DD08F5" w:rsidRDefault="00DD08F5" w:rsidP="004F7425">
            <w:pPr>
              <w:jc w:val="both"/>
            </w:pPr>
            <w:r>
              <w:t>100</w:t>
            </w:r>
          </w:p>
        </w:tc>
        <w:tc>
          <w:tcPr>
            <w:tcW w:w="1280" w:type="dxa"/>
          </w:tcPr>
          <w:p w:rsidR="00DD08F5" w:rsidRDefault="00DD08F5" w:rsidP="004F7425">
            <w:pPr>
              <w:jc w:val="both"/>
            </w:pPr>
          </w:p>
        </w:tc>
      </w:tr>
      <w:tr w:rsidR="00DD08F5" w:rsidTr="004F7425">
        <w:tc>
          <w:tcPr>
            <w:tcW w:w="1526" w:type="dxa"/>
          </w:tcPr>
          <w:p w:rsidR="00DD08F5" w:rsidRDefault="00DD08F5" w:rsidP="004F7425">
            <w:pPr>
              <w:jc w:val="both"/>
            </w:pPr>
            <w:r>
              <w:t>15-17 metų</w:t>
            </w:r>
          </w:p>
        </w:tc>
        <w:tc>
          <w:tcPr>
            <w:tcW w:w="1701" w:type="dxa"/>
          </w:tcPr>
          <w:p w:rsidR="00DD08F5" w:rsidRDefault="00DD08F5" w:rsidP="004F7425">
            <w:pPr>
              <w:jc w:val="both"/>
            </w:pPr>
            <w:r>
              <w:t>145</w:t>
            </w:r>
          </w:p>
        </w:tc>
        <w:tc>
          <w:tcPr>
            <w:tcW w:w="1701" w:type="dxa"/>
          </w:tcPr>
          <w:p w:rsidR="00DD08F5" w:rsidRDefault="00DD08F5" w:rsidP="004F7425">
            <w:pPr>
              <w:jc w:val="both"/>
            </w:pPr>
            <w:r>
              <w:t>202</w:t>
            </w:r>
          </w:p>
        </w:tc>
        <w:tc>
          <w:tcPr>
            <w:tcW w:w="1843" w:type="dxa"/>
          </w:tcPr>
          <w:p w:rsidR="00DD08F5" w:rsidRDefault="00DD08F5" w:rsidP="004F7425">
            <w:pPr>
              <w:jc w:val="both"/>
            </w:pPr>
            <w:r>
              <w:t>221</w:t>
            </w:r>
          </w:p>
        </w:tc>
        <w:tc>
          <w:tcPr>
            <w:tcW w:w="1417" w:type="dxa"/>
          </w:tcPr>
          <w:p w:rsidR="00DD08F5" w:rsidRDefault="00DD08F5" w:rsidP="004F7425">
            <w:pPr>
              <w:jc w:val="both"/>
            </w:pPr>
            <w:r>
              <w:t>167</w:t>
            </w:r>
          </w:p>
        </w:tc>
        <w:tc>
          <w:tcPr>
            <w:tcW w:w="1280" w:type="dxa"/>
          </w:tcPr>
          <w:p w:rsidR="00DD08F5" w:rsidRDefault="00DD08F5" w:rsidP="004F7425">
            <w:pPr>
              <w:jc w:val="both"/>
            </w:pPr>
          </w:p>
        </w:tc>
      </w:tr>
    </w:tbl>
    <w:p w:rsidR="00DD08F5" w:rsidRDefault="00DD08F5" w:rsidP="00DD08F5">
      <w:pPr>
        <w:jc w:val="both"/>
      </w:pPr>
    </w:p>
    <w:p w:rsidR="00DD08F5" w:rsidRDefault="00DD08F5" w:rsidP="00DD08F5">
      <w:pPr>
        <w:ind w:firstLine="720"/>
        <w:jc w:val="both"/>
      </w:pPr>
      <w:r>
        <w:t xml:space="preserve">Sveikatos apsaugos ministerija nurodė, kad šiuo metu į vaistines yra tiekiami šie dekstrometorfano savo sudėtyje turintys vaistiniai preparatai: Actifed DM sirupas, Robitussin Antitussicum sirupas, Robitussin Junior sirupas, Theraflu FCC, Theraflu ND ir Theraflu NT milteliai, Daleron Cold tabletės, Gripex tabletės. Visi šie vaistiniai preparatai ir jų pakuotės atitinka reikalavimus nereceptiniams vaistams ir yra registruoti kaip nereceptiniai vaistiniai preparatai. Jie yra saugūs vartojant taip, kaip nurodyta pakuotės lapelyje. </w:t>
      </w:r>
    </w:p>
    <w:p w:rsidR="00DD08F5" w:rsidRDefault="00DD08F5" w:rsidP="00DD08F5">
      <w:pPr>
        <w:ind w:firstLine="720"/>
        <w:jc w:val="both"/>
      </w:pPr>
      <w:r>
        <w:t xml:space="preserve">Vaistiniai preparatai alprazolamas, diazepamas, lorazepamas, temazepamas, triazolamas, zolpidemas yra įtraukti į Narkotinių ir pasichotropinių medžiagų sąrašų, patvirtintų Sveikatos apsaugos ministro 2000 m. sausio 6 d. įsakymu Nr. 5 ( Žin., 2000, Nr. 4-113), III sąrašą (psichotropinės medžiagos, leidžiamos naudoti medicines tikslams). Tai yra receptiniai vaistiniai preparatai, kurių išrašymą ir pardavimą gyventojams reglamentuoja Taisyklės, pagal kurių 71 punktą “vaikams  iki 18 metų draudžiama išduoti (parduoti) vaistų, kuriais piktnaudžiaujant gali išsivystyti priklausomybė ar toksikomanija: narkotinių ir psichotropinių vaistų, narkotinių ir psichotropinių medžiagų pirmtakų (prekursorių), etanolio ir jo tirpalų, klonidino, antidepresantų, antihistamininių vaistų. Farmacijos specialistas turi teisę paprašyti, kad receptą pateikęs asmuo parodytų asmens dokumentą. </w:t>
      </w:r>
    </w:p>
    <w:p w:rsidR="00DD08F5" w:rsidRDefault="00DD08F5" w:rsidP="00DD08F5">
      <w:pPr>
        <w:jc w:val="both"/>
      </w:pPr>
      <w:r>
        <w:t xml:space="preserve">  </w:t>
      </w:r>
      <w:r>
        <w:tab/>
        <w:t xml:space="preserve">Sveikatos apsaugos ministerija tirdama vaikų svaiginimasi vaistais, turinčiais savo sudėtyje dekstrometorfano, įvertino vaistų pardavimo apimtis ir sergamumo gripu bei ūmiomis viršutinių kvėpavimo takų infekcijomis ryšį. </w:t>
      </w:r>
    </w:p>
    <w:p w:rsidR="00DD08F5" w:rsidRDefault="00DD08F5" w:rsidP="00DD08F5">
      <w:pPr>
        <w:ind w:firstLine="720"/>
        <w:jc w:val="both"/>
      </w:pPr>
      <w:r>
        <w:t xml:space="preserve">Sveikatos apsaugos  ministerijos duomenimis 2006 m. ir 2007 m. stebimas sergamumo rodiklių padidėjimas ūmiomis viršutinių kvėpavimo takų infekcijomis bei gripu žiemos- pavasario ir rudens laikotarpiu. </w:t>
      </w:r>
    </w:p>
    <w:p w:rsidR="00DD08F5" w:rsidRDefault="00DD08F5" w:rsidP="00DD08F5">
      <w:pPr>
        <w:ind w:firstLine="720"/>
        <w:jc w:val="both"/>
      </w:pPr>
      <w:r>
        <w:t xml:space="preserve">Ypatingai dideli sergamumo gripu rodikliai buvo stebimi 2006 metais, kai Lietuvoje vyravo gripo epidemija. </w:t>
      </w:r>
    </w:p>
    <w:p w:rsidR="00DD08F5" w:rsidRDefault="00DD08F5" w:rsidP="00DD08F5">
      <w:pPr>
        <w:ind w:firstLine="720"/>
        <w:jc w:val="both"/>
      </w:pPr>
      <w:r>
        <w:t xml:space="preserve">Atitinkamai didėjo ir vaistinių preparatų, turinčių savo sudėtyje dekstrometorfano, pardavimų skaičius. </w:t>
      </w:r>
    </w:p>
    <w:p w:rsidR="00DD08F5" w:rsidRDefault="00DD08F5" w:rsidP="00DD08F5">
      <w:pPr>
        <w:ind w:firstLine="720"/>
        <w:jc w:val="both"/>
      </w:pPr>
      <w:r>
        <w:t xml:space="preserve">Sveikatos apsaugos ministerija padarė išvadą, kad vaistų, tirinčių savo sudėtyje   dekstrometorfano, pardavimų skaičius priklauso nuo sezoniškumo ir ligų protrūkio. </w:t>
      </w:r>
    </w:p>
    <w:p w:rsidR="00DD08F5" w:rsidRDefault="00DD08F5" w:rsidP="00DD08F5">
      <w:pPr>
        <w:ind w:firstLine="720"/>
        <w:jc w:val="both"/>
      </w:pPr>
      <w:r>
        <w:lastRenderedPageBreak/>
        <w:t xml:space="preserve">Valstybinės vaistų kontrolės tarnybos prie Lietuvos Respublikos Sveikatos apsaugos ministerijos duomenimis narkotinės ir psichotropinės medžiagos klasifikuojamos pagal jų žalingą poveikį žmogaus sveikatai, kai jomis piktnaudžiaujama, ir pagal tai, ar jos gali būti vartojamos sveikatos priežiūros tikslams. </w:t>
      </w:r>
    </w:p>
    <w:p w:rsidR="00DD08F5" w:rsidRDefault="00DD08F5" w:rsidP="00DD08F5">
      <w:pPr>
        <w:ind w:firstLine="720"/>
        <w:jc w:val="both"/>
      </w:pPr>
      <w:r>
        <w:t>Narkotinės ir psichotropinės medžiagos pagal joms taikomą kontrolės režimą, remiantis Lietuvos Respublikos tarptautinėmis sutartimis, klasifikuoja ir į sąrašus įrašo Lietuvos Respublikos Sveikatos apsaugos ministerija.</w:t>
      </w:r>
    </w:p>
    <w:p w:rsidR="00DD08F5" w:rsidRDefault="00DD08F5" w:rsidP="00DD08F5">
      <w:pPr>
        <w:ind w:firstLine="720"/>
        <w:jc w:val="both"/>
      </w:pPr>
      <w:r>
        <w:t>Sudaromi trys narkotinių ir psichotropinių medžiagų sąrašai:</w:t>
      </w:r>
    </w:p>
    <w:p w:rsidR="00DD08F5" w:rsidRDefault="00DD08F5" w:rsidP="00DD08F5">
      <w:pPr>
        <w:ind w:firstLine="720"/>
        <w:jc w:val="both"/>
      </w:pPr>
      <w:r>
        <w:t xml:space="preserve">1) pirmąjį sąrašą sudaro augalai, narkotinės ir psichotropinės medžiagos, uždrausti vartoti sveikatos priežiūros tikslams dėl žalingų padarinių žmogaus sveikatai. </w:t>
      </w:r>
    </w:p>
    <w:p w:rsidR="00DD08F5" w:rsidRDefault="00DD08F5" w:rsidP="00DD08F5">
      <w:pPr>
        <w:ind w:firstLine="720"/>
        <w:jc w:val="both"/>
      </w:pPr>
      <w:r>
        <w:t xml:space="preserve">2) antrąjį sąrašą sudaro augalai,  narkotinės ir psichotropinės medžiagos, vartojami sveikatos priežiūros tikslams, žalingų padarinių, kai šiomis medžiagomis piktnaudžiaujama, labai pavojingi žmogaus sveikatai </w:t>
      </w:r>
    </w:p>
    <w:p w:rsidR="00DD08F5" w:rsidRDefault="00DD08F5" w:rsidP="00DD08F5">
      <w:pPr>
        <w:ind w:firstLine="720"/>
        <w:jc w:val="both"/>
      </w:pPr>
      <w:r>
        <w:t xml:space="preserve"> Pvz., 2006 metais tokių medžiagų  į Lietuvos Respubliką buvo importuota – </w:t>
      </w:r>
    </w:p>
    <w:p w:rsidR="00DD08F5" w:rsidRDefault="00DD08F5" w:rsidP="00DD08F5">
      <w:pPr>
        <w:jc w:val="both"/>
      </w:pPr>
      <w:r>
        <w:t xml:space="preserve">183, 066 kg.   Iš jų : Tramadol –153, 250 kg. </w:t>
      </w:r>
    </w:p>
    <w:p w:rsidR="00DD08F5" w:rsidRDefault="00DD08F5" w:rsidP="00DD08F5">
      <w:pPr>
        <w:ind w:firstLine="720"/>
        <w:jc w:val="both"/>
      </w:pPr>
      <w:r>
        <w:t>3) trečiąjį sąrašą sudaro augalai ir psichotropinės medžiagos, vartojami sveikatos priežiūros tikslams, dėl žalingų padarinių, kai  šiomis medžiagomis piktnaudžiaujama,  pavojingi žmogaus sveikatai.</w:t>
      </w:r>
    </w:p>
    <w:p w:rsidR="00DD08F5" w:rsidRDefault="00DD08F5" w:rsidP="00DD08F5">
      <w:pPr>
        <w:ind w:firstLine="720"/>
        <w:jc w:val="both"/>
      </w:pPr>
      <w:r>
        <w:t xml:space="preserve">Pvz., Tokių medžiagų 2006 metais buvo importuota  - 807, 423 kg. Iš jų Diazepam- 107, 279 kg ir Bromazepam – 53, 665 kg, Oxazepam – 40, 339 kg.   </w:t>
      </w:r>
    </w:p>
    <w:p w:rsidR="00DD08F5" w:rsidRDefault="00DD08F5" w:rsidP="00DD08F5">
      <w:pPr>
        <w:ind w:firstLine="720"/>
        <w:jc w:val="both"/>
      </w:pPr>
      <w:r>
        <w:t>Seimo Narkomanijos ir alkoholizmo prevencijos komisijoje nėra informacijos, ar 2007 - 2008 metais buvo atliekamas Sveikatos apsaugos ministerijos sistemoje narkotinių ir psichotropinių medžiagų vaistų skyrimo ir vartojimo vertinimas.</w:t>
      </w:r>
    </w:p>
    <w:p w:rsidR="00DD08F5" w:rsidRDefault="00DD08F5" w:rsidP="00DD08F5">
      <w:pPr>
        <w:jc w:val="both"/>
      </w:pPr>
      <w:r>
        <w:t xml:space="preserve"> </w:t>
      </w:r>
      <w:r>
        <w:tab/>
        <w:t>Nustatyta, kad:</w:t>
      </w:r>
    </w:p>
    <w:p w:rsidR="00DD08F5" w:rsidRDefault="00DD08F5" w:rsidP="00DD08F5">
      <w:pPr>
        <w:ind w:firstLine="720"/>
        <w:jc w:val="both"/>
      </w:pPr>
      <w:r>
        <w:t>– vaikų apsinuodijimai  alkoholiu,  narkotinėmis ir psichotropinėmis medžiagomis ir tokie apsinuodijimai narkotikais ir haliucinogenais tarp vaikų yra dažnesni nei tarp sergančių priklausomybės ligomis;</w:t>
      </w:r>
    </w:p>
    <w:p w:rsidR="00DD08F5" w:rsidRDefault="00DD08F5" w:rsidP="00DD08F5">
      <w:pPr>
        <w:ind w:firstLine="720"/>
        <w:jc w:val="both"/>
      </w:pPr>
      <w:r>
        <w:t xml:space="preserve">– didžioji dauguma (daugiau nei 97 proc.) psichiką veikiančiomis medžiagomis piktnaudžiaujančių vaikų yra 13-18 metų amžiaus; </w:t>
      </w:r>
    </w:p>
    <w:p w:rsidR="00DD08F5" w:rsidRDefault="00DD08F5" w:rsidP="00DD08F5">
      <w:pPr>
        <w:ind w:firstLine="720"/>
        <w:jc w:val="both"/>
      </w:pPr>
      <w:r>
        <w:t>– 2007 m. dviems vaikams, jaunesniems nei 10 metų amžiaus, stacionarines paslaugas teikiančiose ASPĮ buvo diagnozuota prikalusomybė raminačioms medžiagoms ir alkoholiui.</w:t>
      </w:r>
    </w:p>
    <w:p w:rsidR="00DD08F5" w:rsidRDefault="00DD08F5" w:rsidP="00DD08F5">
      <w:pPr>
        <w:ind w:firstLine="720"/>
        <w:jc w:val="both"/>
      </w:pPr>
      <w:r>
        <w:t>Atlikusi tyrimą, Seimo Narkomanijos ir alkoholizmo prevencijos komisija priėjo išvados, kad būtinas Valstybinės medicininio audito inspekcijos  prie Sveikatos apsaugos ministerijos tyrimas ir vertinimas dėl 2007 – 2008 metais Sveikatos apsaugos ministerijos sistemoje narkotinių ir psichotropinių medžiagų skyrimo ir medicininių receptų išrašymo teisėtumo ir pagrįstumo.</w:t>
      </w:r>
    </w:p>
    <w:p w:rsidR="00DD08F5" w:rsidRDefault="00DD08F5" w:rsidP="00DD08F5">
      <w:pPr>
        <w:jc w:val="both"/>
        <w:rPr>
          <w:b/>
          <w:bCs/>
          <w:i/>
          <w:iCs/>
        </w:rPr>
      </w:pPr>
      <w:r>
        <w:tab/>
      </w:r>
      <w:r>
        <w:rPr>
          <w:b/>
          <w:bCs/>
          <w:i/>
          <w:iCs/>
        </w:rPr>
        <w:t>Dėl paauglių svaiginimosi ir kitomis medžiagomis, kurios yra susijusios ir su maisto  ir ne maisto  produktų, bei rūkalų sritimis ir šių medžiagų negalima priskirti prie narkotinių ar psichotropinių medžiagų</w:t>
      </w:r>
    </w:p>
    <w:p w:rsidR="00DD08F5" w:rsidRDefault="00DD08F5" w:rsidP="00DD08F5">
      <w:pPr>
        <w:ind w:firstLine="720"/>
        <w:jc w:val="both"/>
      </w:pPr>
      <w:r>
        <w:rPr>
          <w:b/>
          <w:bCs/>
        </w:rPr>
        <w:t xml:space="preserve"> </w:t>
      </w:r>
      <w:r>
        <w:t>Tyrimu nustatyta, kad 2007 metais valstybės institucijos pradėjo tyrimą,  kokiomis kitomis medžiagomis, kurios yra susijusios ir su maisto  ir ne maisto  produktų, bei rūkalų sritimis, svaiginasi paaugliai.</w:t>
      </w:r>
    </w:p>
    <w:p w:rsidR="00DD08F5" w:rsidRDefault="00DD08F5" w:rsidP="00DD08F5">
      <w:pPr>
        <w:ind w:firstLine="720"/>
        <w:jc w:val="both"/>
      </w:pPr>
      <w:r>
        <w:t xml:space="preserve">Informacija, cheminių ir augalinių medžiagų, kurios gali būti paauglių vartojamos kaip svaiginamosios medžiagos, buvo platinama internetinėje svetainėje </w:t>
      </w:r>
      <w:hyperlink r:id="rId72" w:history="1">
        <w:r>
          <w:rPr>
            <w:rStyle w:val="Hipersaitas"/>
            <w:rFonts w:eastAsia="Courier New"/>
          </w:rPr>
          <w:t>www.buzas.lt</w:t>
        </w:r>
      </w:hyperlink>
      <w:r>
        <w:t xml:space="preserve"> (dabartiniu metu </w:t>
      </w:r>
      <w:hyperlink r:id="rId73" w:history="1">
        <w:r>
          <w:rPr>
            <w:rStyle w:val="Hipersaitas"/>
            <w:rFonts w:eastAsia="Courier New"/>
          </w:rPr>
          <w:t>www.headshop.lt</w:t>
        </w:r>
      </w:hyperlink>
      <w:r>
        <w:t xml:space="preserve">) ir </w:t>
      </w:r>
      <w:hyperlink r:id="rId74" w:history="1">
        <w:r>
          <w:rPr>
            <w:rStyle w:val="Hipersaitas"/>
            <w:rFonts w:eastAsia="Courier New"/>
          </w:rPr>
          <w:t>www.amsterdamas.eu</w:t>
        </w:r>
      </w:hyperlink>
      <w:r>
        <w:t>. Mažmeninė prekyba buvo vykdoma Liejyklos  g. 4 ir  M.Daukšos g. 5, Vilniuje, Kauno, K1aipėdos, Kretingos, Šilutės, Marijampolės, Panevėžio, Telšių, Tauragės parduotuvėse.</w:t>
      </w:r>
    </w:p>
    <w:p w:rsidR="00DD08F5" w:rsidRDefault="00DD08F5" w:rsidP="00DD08F5">
      <w:pPr>
        <w:pStyle w:val="Pagrindiniotekstotrauka"/>
        <w:rPr>
          <w:szCs w:val="24"/>
          <w:lang w:val="lt-LT"/>
        </w:rPr>
      </w:pPr>
      <w:r>
        <w:rPr>
          <w:szCs w:val="24"/>
          <w:lang w:val="lt-LT"/>
        </w:rPr>
        <w:t xml:space="preserve">Narkotikų kontrolės departamento prie Lietuvos Respublikos Vyriausybės žiniomis, tuo  metu Lietuvos prekybos rinkoje esantys galimai pavojingi sveikatai su svaigiomis medžiagomis esantys produktai, gamintojų ir platintojų įvardinti kaip aromatizatoriai, odinių drabužių valikliai, rūkalai, uostomieji rūkalai, rūkomieji žoliniai mišiniai, smilkalai, arbatos gali būti paauglių vartojami kaip svaiginamosios medžiagos. </w:t>
      </w:r>
    </w:p>
    <w:p w:rsidR="00DD08F5" w:rsidRDefault="00DD08F5" w:rsidP="00DD08F5">
      <w:pPr>
        <w:ind w:firstLine="720"/>
        <w:jc w:val="both"/>
      </w:pPr>
      <w:r>
        <w:t xml:space="preserve">Vaiko teisių apsaugos kontrolierė, gavusi informaciją, kad vaikų tarpe svaiginamasi eteriniais aliejais, įsigytais sekso reikmenų parduotuvėse, </w:t>
      </w:r>
      <w:r>
        <w:rPr>
          <w:bCs/>
        </w:rPr>
        <w:t>2007 11 09</w:t>
      </w:r>
      <w:r>
        <w:t xml:space="preserve"> nutarimu Nr. KI-123 “Dėl tyrimo savo iniciatyva”, nusprendė atlikti tyrimą savo iniciatyva dėl galimo Jungtinių Tautų vaiko teisių konvėncijos, Lietuvos Respublikos vaiko teisių apsaugos pagrindų įstatymo bei kitų, vaiko teises ir jo teisėtus interesus reglamentuojančių teisės aktų, pažeidimo. </w:t>
      </w:r>
    </w:p>
    <w:p w:rsidR="00DD08F5" w:rsidRDefault="00DD08F5" w:rsidP="00DD08F5">
      <w:pPr>
        <w:jc w:val="both"/>
      </w:pPr>
      <w:r>
        <w:lastRenderedPageBreak/>
        <w:t xml:space="preserve"> </w:t>
      </w:r>
      <w:r>
        <w:tab/>
        <w:t>Vaiko teisių apsaugos kontrolierė padarė išvadas, kad inhaliantų, kuriais piktnaudžiauja nepilnamečiai, pagrindinė aktyvioji medžiaga yra lakieji nitritai. Amilo nitritas (jaunimo tarpe vadinamas “properiu”) nėra įrašytas į Narkotinių ir psichotropinių medžiagų sąrašus, patvirtintus Lietuvos Respublikos Sveikatos apsaugos ministro 2000 m. sausio 6 d. įsakymu Nr.5 (Žin., 2000, Nr. 4- 1130), amilonitritas arba 3-metil-1- nitrozooksibutanas – tai cheminė medžiaga, suklasifikuota Europos Sąjungoje kaip labai degi, kensminga įkvėpus ir prarijus. Ji pagal Lietuvos Respublikos nuodingų medžiagų kontrolės įstatymą (Žin., 2001, Nr. 64-2330) nepriskirta nuodingosioms medžiagoms ir dėl to neįtraukta į Nuodingųjų medžiagų pagal jų toksiškumą sąrašą, patvirtintą Lietuvos Respublikos sveikatos apsaugos ministro 2004 m. gruodžio 30 d. įsakymu Nr. V-974 (Žin., 2005, Nr. 3-47).</w:t>
      </w:r>
    </w:p>
    <w:p w:rsidR="00DD08F5" w:rsidRDefault="00DD08F5" w:rsidP="00DD08F5">
      <w:pPr>
        <w:ind w:firstLine="720"/>
        <w:jc w:val="both"/>
        <w:rPr>
          <w:bCs/>
        </w:rPr>
      </w:pPr>
      <w:r>
        <w:t xml:space="preserve">Vaiko teisių apsaugos kontrolierė nustatė, kad eterinių aliejų pagrindą sudaro lakieji nitritai. Įkvėpus skysčio garų poveikis labai trumpas. Išsiplėtus kraujagyslėms apsvaigstama  dėl staiga sumažėjusio kraujospūdžio, atsiranda deguonies trūkumas smegenyse. Nitritai prikauso methemoglobiną sudarančių nuodų grupei. Didesnės nitritų dozės pakeičia hemoglobine esančios geležies valentigumą, susidaro naujas junginys – methemoglobinas. Šis patvarus junginys iš organizmo išsumia deguonį. </w:t>
      </w:r>
      <w:r>
        <w:rPr>
          <w:bCs/>
        </w:rPr>
        <w:t xml:space="preserve">Piktnaudžiaujant šiomis medžiagomis dėl hipoksijos (deguonies nepakankamumo) gali vystytis negrįžtami centrinės nervų sistemos pažeidimo reiškiniai.   </w:t>
      </w:r>
    </w:p>
    <w:p w:rsidR="00DD08F5" w:rsidRDefault="00DD08F5" w:rsidP="00DD08F5">
      <w:pPr>
        <w:ind w:firstLine="720"/>
        <w:jc w:val="both"/>
      </w:pPr>
      <w:r>
        <w:t xml:space="preserve">Be to, lakieji nitritai yra priskiriami  kancerogeninėms medžiagoms, kurias vartojant vystosi įvairūs vėžiniai susirgimai bei medžiagoms, kurias vartojant vystosi tolerancija, t.y.organizmo pripratimas prie reguliairiai vartojamos psichoaktyvios medžiagos, kai pakartotinis tos pačios dozės vartojimas sukelia mažesnį nei įprasta efektą. </w:t>
      </w:r>
    </w:p>
    <w:p w:rsidR="00DD08F5" w:rsidRDefault="00DD08F5" w:rsidP="00DD08F5">
      <w:pPr>
        <w:ind w:firstLine="720"/>
        <w:jc w:val="both"/>
      </w:pPr>
      <w:r>
        <w:t xml:space="preserve">Vaiko teisių apsaugos kontrolierė pažymėjo, kad vaikai yra labiausiai pažeidžiama visuomenės dalis, todėl būtų tikslinga reglamentuoti, apribojant nepilnamečiams galimybę  lankytis ir pirkti sekso reikmenų parduotuvėse. Sekso reikmenimis leidžiama prekiauti tiktai specializuotose parduotuvėse, tačiau, į jas patenkančių pirkėjų amžiaus cenzas nėra nustatytas. </w:t>
      </w:r>
    </w:p>
    <w:p w:rsidR="00DD08F5" w:rsidRDefault="00DD08F5" w:rsidP="00DD08F5">
      <w:pPr>
        <w:ind w:firstLine="720"/>
        <w:jc w:val="both"/>
      </w:pPr>
      <w:r>
        <w:t>Vaiko teisių apsaugos kontrolierė pažymėjo, kad pagal Lietuvos Respublikos Nepilnamečių apsaugos nuo neigiamos viešosios informacijos poveikio įstatymą erotinio pobūdžio informacija, kai skatinamas lytinis geismas, rodomas lytinis aktas, jo imitacija ar kitoks seksualinis pasitenkinimas, lytiniai organai, seksualiniai reikmenys draudžiama tiesiogiai skelbti ar platinti nepilnamečiams. Lietuvos įstatymuose nurodoma, kad sekso reikmenimis leidžiama prekiauti tiktai specializuotose parduotuvėse, tačiau į jas patenkančių pirkėjų amžiaus cenzas nėra nustatytas. Ar pardavinėti intymias prekes vaikams, apsispręsti paliekama patiems verslininkams. M</w:t>
      </w:r>
      <w:r>
        <w:rPr>
          <w:szCs w:val="22"/>
        </w:rPr>
        <w:t xml:space="preserve">ažmeninės prekybos taisyklių nepakanka apsaugoti nepilnamečius nuo narkotinių, nuodingųjų, kitų stipriai organizmą veikiančių priemonių bei medžiagų vartojimo, tokių priemonių bei medžiagų gaminimo, jų pardavinėjimo ar kitokio platinimo. </w:t>
      </w:r>
      <w:r>
        <w:t xml:space="preserve">Mažmeninės prekybos taisyklėse, patvirtintose Lietuvos Respublikos Vyriausybės 2001 m. birželio 11 d. nutarimu Nr. 697, įtvirtinta nuostata, kad sekso reikmenimis prekiaujama  specializuotose (tik sekso reikmens skirtose) parduotuvėse. Vadovaujantis šia nuostata, išvežiojamoji ar išnešiojamoji mažmeninė prekyba šiais reikmenimis negalima, taip pat šiais reikmenimis negali prekiauti fiziniai asmenys, besiverčiantys individualia prekybine veikla turgavietėse ar viešosiose vietose. </w:t>
      </w:r>
    </w:p>
    <w:p w:rsidR="00DD08F5" w:rsidRDefault="00DD08F5" w:rsidP="00DD08F5">
      <w:pPr>
        <w:ind w:firstLine="720"/>
        <w:jc w:val="both"/>
      </w:pPr>
      <w:r>
        <w:t xml:space="preserve">Valstybinė ne maisto produktų inspekcija prie Ūkio ministerijos uždraudė tiekti į rinką ir įpareigojo pašalinti </w:t>
      </w:r>
      <w:r>
        <w:rPr>
          <w:w w:val="90"/>
        </w:rPr>
        <w:t xml:space="preserve">iš </w:t>
      </w:r>
      <w:r>
        <w:t>rinkos cheminius preparatus: "Rave" - New Room Odouriser", "Reds" - New Room Odouriser", "HARD CORE ROOM ODORISOR", "Hi-Tech ROOM ODORISOR", "TNT ROOM ODORISOR", "LIQUID GOLD ROOM ODORISOR" IR "RA VE Room Odourisor STRENGHT LIQUID INCENSE" - jie buvo pagaminti iš 2-os kategorijos kancerogeninės, 3-os kategorijos mutageninės medžiagos izobutilnitrito.</w:t>
      </w:r>
    </w:p>
    <w:p w:rsidR="00DD08F5" w:rsidRDefault="00DD08F5" w:rsidP="00DD08F5">
      <w:pPr>
        <w:ind w:firstLine="720"/>
        <w:jc w:val="both"/>
        <w:rPr>
          <w:szCs w:val="22"/>
        </w:rPr>
      </w:pPr>
      <w:r>
        <w:t>Vaiko teisių apsaugos kontrolierės duomenimis, Apsinuodijimų kontrolės ir informacijos biuras neturi duomenų apie išsivysčiusią fizinę priklausomybę, tačiau reguliarų šių medžiagų vartojimą jaunimo tarpe galima įvardinti kaip psichologinę</w:t>
      </w:r>
      <w:r>
        <w:rPr>
          <w:szCs w:val="22"/>
        </w:rPr>
        <w:t xml:space="preserve"> priklausomybę.  Valstybinė ne maisto produktų inspekcija prie Ūkio ministerijos pažymėjo, kad interneto svetainėje </w:t>
      </w:r>
      <w:hyperlink r:id="rId75" w:history="1">
        <w:r>
          <w:rPr>
            <w:szCs w:val="22"/>
          </w:rPr>
          <w:t>www.buzas.lt</w:t>
        </w:r>
      </w:hyperlink>
      <w:r>
        <w:rPr>
          <w:szCs w:val="22"/>
        </w:rPr>
        <w:t xml:space="preserve"> reklamuojamos ir siūlomos įsigyti cheminės medžiagos neatininka teisės aktų, reglamentuojančių produktų saugą bei ženklinimą, reikalavimų. Valstybinė ne maisto produktų inspekcija prie Ūkio ministerijos patikrinusi UAB "Viltis" tiekiamus į rinką bei interneto svetainėje </w:t>
      </w:r>
      <w:hyperlink r:id="rId76" w:history="1">
        <w:r>
          <w:rPr>
            <w:szCs w:val="22"/>
          </w:rPr>
          <w:t>http://wvw.buzas.lt</w:t>
        </w:r>
      </w:hyperlink>
      <w:r>
        <w:rPr>
          <w:szCs w:val="22"/>
        </w:rPr>
        <w:t xml:space="preserve">  siūlomus įsigyti ir UAB "Hopas" tiekiamų į rinką bei parduodamus cheminius preparatus nustatė, kad preparatai parduodami be būtinų dokumentų (nepateikė dokumentų būtinų preparatų klasifikavimo ir ženklinimo patikrinimui).</w:t>
      </w:r>
    </w:p>
    <w:p w:rsidR="00DD08F5" w:rsidRDefault="00DD08F5" w:rsidP="00DD08F5">
      <w:pPr>
        <w:ind w:firstLine="720"/>
        <w:jc w:val="both"/>
        <w:rPr>
          <w:szCs w:val="22"/>
        </w:rPr>
      </w:pPr>
      <w:r>
        <w:lastRenderedPageBreak/>
        <w:t>Atlikusi tyrimą, vaiko teisių apsaugos kontrolierė priėmė sprendimą ir jį išdėstė 2008-05-15 pažymoje Nr. 23-2007/KI</w:t>
      </w:r>
      <w:r>
        <w:softHyphen/>
        <w:t>123. Minėtosios pažymos 2 punktu Vaiko teisių apsaugos kontrolierė nusprendė siūlyti tuometiniam Lietuvos Respublikos sveikatos apsaugos ministru Rimvydui Turčinskui peržiūrėti patvirtiną Narkotinių ir psichotropinių medžiagų sąrašą, Nuodingųjų medžiagų pagal jų toksiškumą sąrašą, ir svarstyti galimybę į juos įtraukti amilo nitritą. Pasiūlė</w:t>
      </w:r>
      <w:r>
        <w:rPr>
          <w:szCs w:val="22"/>
        </w:rPr>
        <w:t xml:space="preserve"> Lietuvos Respublikos Seimo pirmininkui </w:t>
      </w:r>
      <w:r>
        <w:rPr>
          <w:szCs w:val="21"/>
        </w:rPr>
        <w:t xml:space="preserve">Č. </w:t>
      </w:r>
      <w:r>
        <w:rPr>
          <w:szCs w:val="22"/>
        </w:rPr>
        <w:t>Juršėnui sudaryti darbo grupę prekybą sekso reikmenimis reglamentuojančio įstatymo projektui parengti.</w:t>
      </w:r>
    </w:p>
    <w:p w:rsidR="00DD08F5" w:rsidRDefault="00DD08F5" w:rsidP="00DD08F5">
      <w:pPr>
        <w:ind w:firstLine="720"/>
        <w:jc w:val="both"/>
      </w:pPr>
      <w:r>
        <w:t xml:space="preserve">Lietuvos Respublikos sveikatos apsaugos ministerijos sekretorius Romualdas Sabaliauskas 2009-01-14 raštu Nr. 10-(11.3-192)-200 Vaiko teisių apsaugos kontrolierę informavo, kad parengtas Lietuvos Respublikos sveikatos apsaugos ministro įsakymo 2004 m. gruodžio 30 d. įsakymo Nr. V - 975 "Dėl nuodingųjų medžiagų pagal jų toksiškumą sąrašo patvirtinimo" pakeitimo" tik projektas, kuriame Nuodingųjų medžiagų pagal jų toksiškumą sąrašas papildytas dviem cheminėm medžiagom - amilonitritu ir cikloheksilnitritu. Pats įstatymas dar nebuvo priimtas. </w:t>
      </w:r>
    </w:p>
    <w:p w:rsidR="00DD08F5" w:rsidRDefault="00DD08F5" w:rsidP="00DD08F5">
      <w:pPr>
        <w:ind w:firstLine="720"/>
        <w:jc w:val="both"/>
        <w:rPr>
          <w:szCs w:val="23"/>
        </w:rPr>
      </w:pPr>
      <w:r>
        <w:t xml:space="preserve">Seimo Sveikatos reikalų komitetas persiuntė 2008 12 08 raštu Nr. 2008 – 4283 “Dėl prekybos galimai pavojingomis sveikatai psichoaktyvų poveikį sukeliančiomis medžiagomis” Seimo Narkomanijos ir alkoholizmo prevencijos komisijai informaciją, kurią buvo gavęs iš Narkotikų kontrolės departamento prie Lietuvos Respublikos Vyriausybės (toliau- Departamentas)  2009 01 22 raštu Nr.S-(4.3-11)-083 “Dėl prekybos galimai pavojingomis sveikatai psichoaktyvų poveikį sukeliančiomis medžiagomis” ir, kuriame pateikta informacija, kad Narkotikų kontrolės departamentas prie Lietuvos Respublikos Vyriausybės </w:t>
      </w:r>
      <w:r>
        <w:rPr>
          <w:szCs w:val="23"/>
        </w:rPr>
        <w:t xml:space="preserve">nuolat stebi parduotuves, esančias Vilniaus mieste, bei yra susipažinę su siūlomomis prekėmis. </w:t>
      </w:r>
    </w:p>
    <w:p w:rsidR="00DD08F5" w:rsidRDefault="00DD08F5" w:rsidP="00DD08F5">
      <w:pPr>
        <w:ind w:firstLine="720"/>
        <w:jc w:val="both"/>
      </w:pPr>
      <w:r>
        <w:t xml:space="preserve">Analogiškame Narkomanijos ir alkoholizmo  prevencijos komisijai adresuotame Narkotikų kontrolės departamento prie Lietuvos Respublikos Vyriausybės (2008  12 05 rašte Nr. S-(4.3-11)-721) pateikta informacija apie cheminių ir augalinių medžiagų, kurios gali būti paauglių vartojamos kaip svaiginamosios medžiagos, reklamuojamos ir platinamos internetinėje svetainėje </w:t>
      </w:r>
      <w:hyperlink r:id="rId77" w:history="1">
        <w:r>
          <w:rPr>
            <w:rStyle w:val="Hipersaitas"/>
            <w:rFonts w:eastAsia="Courier New"/>
          </w:rPr>
          <w:t>www.buzas.lt</w:t>
        </w:r>
      </w:hyperlink>
      <w:r>
        <w:t xml:space="preserve"> ir </w:t>
      </w:r>
      <w:hyperlink r:id="rId78" w:history="1">
        <w:r>
          <w:rPr>
            <w:rStyle w:val="Hipersaitas"/>
            <w:rFonts w:eastAsia="Courier New"/>
          </w:rPr>
          <w:t>www.amsterdamas.eu</w:t>
        </w:r>
      </w:hyperlink>
      <w:r>
        <w:t xml:space="preserve">  bei mažmeninėje prekyboje Liejyklos  g. 4 bei M.Daukšos g. 5, Vilniuje.</w:t>
      </w:r>
    </w:p>
    <w:p w:rsidR="00DD08F5" w:rsidRDefault="00DD08F5" w:rsidP="00DD08F5">
      <w:pPr>
        <w:pStyle w:val="Pagrindinistekstas"/>
        <w:ind w:firstLine="720"/>
      </w:pPr>
      <w:r>
        <w:t>Rašte nurodyta, kad Departamento darbuotojams apsilankius minėtose parduotuvėse bei susipažinus su intemetinėse parduotuvėse siūlomomis minėtomis prekėmis (rūkalais, uostomaisiais rūkalais bei rūkomaisiais žoliniais mišiniais), kurių sudėtyje nėra medžiagų, įtrauktų į Narkotinių ir psichotropinių medžiagų sąrašą, patvirtintą Lietuvos Respublikos sveikatos apsaugos ministro 2000 m. sausio mėn. 6 d. įsakymu Nr. 5 (Žin., 2000,Nr.4-113), 2008-11-10 raštu Nr. S-(4,3-11), Departamentas kreipėsi į Valstybinę alkoholio ir tabako kontrolės tarnybą,  prašydami pateikti informaciją, ar minėti produktai atitinka Tabako kontro1ės įstatymo (Žin.,1996, Nr. 11-281; 2003, Nr. 117</w:t>
      </w:r>
      <w:r>
        <w:softHyphen/>
        <w:t>5317) reg1amentuotas nuostatas ir Lietuvos Respublikos produktų saugos įstatyme (Žin., 1999, Nr. 52-1673; 2004, Nr. 25-757) nustatytus privalomus produktų saugos bei ženklinimo reikalavimus bei, ar minėtų produktų gamintojai ir platintojai vykdo pareigas, numatytas teikiant vartotojams visą iš gamintojo gautą informaciją prieš perduodami gaminį vartotojams, kad jie galėtų įvertinti su gaminiu susijusią riziką per visą nurodytą, įprastą ar numanomą jo vartojimo laiką.</w:t>
      </w:r>
    </w:p>
    <w:p w:rsidR="00DD08F5" w:rsidRDefault="00DD08F5" w:rsidP="00DD08F5">
      <w:pPr>
        <w:pStyle w:val="Pagrindinistekstas"/>
        <w:ind w:firstLine="720"/>
      </w:pPr>
      <w:r>
        <w:t>Tarnyba išnagrinėjusi gautą raštą bei vizualiai apžiūrėjusi parduodamas prekes parduotuveje Liejyklos g. 4 , Vilnius, 2008-11-19 raštu Nr. 3S-2356, informavo Departamentą, kad šioje parduotuvėje parduodamų prekių negalima priskirti prie tabako gaminių bei, kad infonnacijos dėl minėtų produktų (prekių atitikimo Produktų saugos įstatymo reikalavimams bei  ženklinimo teisingumo) pateikti negali, nes tai nėra Tarnybos kompetencijos ribose.</w:t>
      </w:r>
    </w:p>
    <w:p w:rsidR="00DD08F5" w:rsidRDefault="00DD08F5" w:rsidP="00DD08F5">
      <w:pPr>
        <w:ind w:firstLine="720"/>
        <w:jc w:val="both"/>
        <w:rPr>
          <w:szCs w:val="23"/>
        </w:rPr>
      </w:pPr>
      <w:r>
        <w:rPr>
          <w:szCs w:val="23"/>
        </w:rPr>
        <w:t>Nustatyta, kad Narkotikų kontrolės departamentas įvairioms žinyboms dėl UAB "Viltis" veiklos nusiuntė raštus (2008-10-28 Nr. S-(4.31)-653; 2008-11-04 Nr. S-(4.3-11)-669; 2008-11-04 Nr. S</w:t>
      </w:r>
      <w:r>
        <w:rPr>
          <w:szCs w:val="23"/>
        </w:rPr>
        <w:softHyphen/>
        <w:t>(4.3-11)-670; 2008-11-10 Nr. S-(4.3-11)-684; 2008-11-10 Nr. S-(4.3-11)-685; 2008-11-18 Nr. S</w:t>
      </w:r>
      <w:r>
        <w:rPr>
          <w:szCs w:val="23"/>
        </w:rPr>
        <w:softHyphen/>
        <w:t>(4.3-11)-710; 2008-11-18 Nr. S-(4.3-11)-714; 2008-11-18 Nr. S-(4.3-10)-715).</w:t>
      </w:r>
    </w:p>
    <w:p w:rsidR="00DD08F5" w:rsidRDefault="00DD08F5" w:rsidP="00DD08F5">
      <w:pPr>
        <w:ind w:firstLine="720"/>
        <w:jc w:val="both"/>
      </w:pPr>
      <w:r>
        <w:t xml:space="preserve">Siekiant riboti medžiagų prieinamumą 2004-2008 m. į Narkotinių ir psichotropinių medžiagų sąrašus, patvirtintus Lietuvos Respublikos sveikatos apsaugos ministro 2000 m. sausio 6 d. įsakymu Nr. 5 "Dėl narkotinių ir psichotropinių medžiagų sąrašų patvirtinimo" (Žin., 2000, Nr. 4-113), Departamento siūlymu buvo įtrauktos šios medžiagos: </w:t>
      </w:r>
    </w:p>
    <w:p w:rsidR="00DD08F5" w:rsidRDefault="00DD08F5" w:rsidP="00DD08F5">
      <w:pPr>
        <w:ind w:firstLine="720"/>
        <w:jc w:val="both"/>
      </w:pPr>
      <w:r>
        <w:t xml:space="preserve">2004 m. į I sąrašą "Narkotinės ir psichotropinės medžiagos, draudžiamos vartoti medicinos tikslams" įtrauktos medžiagos - 2C- I </w:t>
      </w:r>
      <w:r>
        <w:rPr>
          <w:szCs w:val="21"/>
        </w:rPr>
        <w:t xml:space="preserve">(2,5 </w:t>
      </w:r>
      <w:r>
        <w:rPr>
          <w:i/>
          <w:iCs/>
        </w:rPr>
        <w:t xml:space="preserve">-dimethoxy-4-iodophenethylamine), </w:t>
      </w:r>
      <w:r>
        <w:t xml:space="preserve">2C- T -2 </w:t>
      </w:r>
      <w:r>
        <w:rPr>
          <w:szCs w:val="21"/>
        </w:rPr>
        <w:t xml:space="preserve">(2, </w:t>
      </w:r>
      <w:r>
        <w:rPr>
          <w:i/>
          <w:iCs/>
        </w:rPr>
        <w:t xml:space="preserve">5-dimethoxy-4-ethylthiophenethylamine), </w:t>
      </w:r>
      <w:r>
        <w:t>2C- T</w:t>
      </w:r>
      <w:r>
        <w:softHyphen/>
        <w:t xml:space="preserve">7 </w:t>
      </w:r>
      <w:r>
        <w:rPr>
          <w:w w:val="90"/>
          <w:szCs w:val="21"/>
        </w:rPr>
        <w:t xml:space="preserve">(2, </w:t>
      </w:r>
      <w:r>
        <w:rPr>
          <w:i/>
          <w:iCs/>
        </w:rPr>
        <w:t xml:space="preserve">5-dimethoxy-4-(n)-propylthiophenethylamine), </w:t>
      </w:r>
      <w:r>
        <w:t xml:space="preserve">PMMA ( </w:t>
      </w:r>
      <w:r>
        <w:rPr>
          <w:i/>
          <w:iCs/>
        </w:rPr>
        <w:t>Paramethoxymethylamphetamine, N</w:t>
      </w:r>
      <w:r>
        <w:rPr>
          <w:i/>
          <w:iCs/>
        </w:rPr>
        <w:softHyphen/>
        <w:t xml:space="preserve">methyl-l-(4-methoxyphenyl)-2-aminopropane), </w:t>
      </w:r>
      <w:r>
        <w:t xml:space="preserve">TMA-2 </w:t>
      </w:r>
      <w:r>
        <w:rPr>
          <w:i/>
          <w:iCs/>
        </w:rPr>
        <w:t xml:space="preserve">(2,4,5-trimethoxyamphetamine), </w:t>
      </w:r>
      <w:r>
        <w:t xml:space="preserve">į II sąrašą "Narkotinės ir psichotropinės medžiagos, leidžiamos </w:t>
      </w:r>
      <w:r>
        <w:lastRenderedPageBreak/>
        <w:t xml:space="preserve">vartoti medicinos tikslams" - Amineptinas; 2006 m. į I sąrašą - 1-(3-chlorofenil) piperazinas (mCPP); 2007 m. į I sąrašą - 1-benzilpiperazinas (BZP); 2008 m. į I sąrašą - Kvaitulinis šalavijas ir jo dalys </w:t>
      </w:r>
      <w:r>
        <w:rPr>
          <w:i/>
          <w:iCs/>
        </w:rPr>
        <w:t xml:space="preserve">(Salvia divinorum), </w:t>
      </w:r>
      <w:r>
        <w:t xml:space="preserve">Kvaitu1inio šalavijo ir jo dalių ekstraktas, Puošnioji vožtė ir jos dalys </w:t>
      </w:r>
      <w:r>
        <w:rPr>
          <w:i/>
          <w:iCs/>
        </w:rPr>
        <w:t xml:space="preserve">(Kratom, Mitragyna speciosa), </w:t>
      </w:r>
      <w:r>
        <w:t xml:space="preserve">į II sąrašą </w:t>
      </w:r>
      <w:r>
        <w:softHyphen/>
        <w:t xml:space="preserve">Salvinorinas A (Kvaitulinio šalavijo veiklioji medžiaga), Mitragininas (Puošniosios vožtės veiklioji medžiaga). </w:t>
      </w:r>
    </w:p>
    <w:p w:rsidR="00DD08F5" w:rsidRDefault="00DD08F5" w:rsidP="00DD08F5">
      <w:pPr>
        <w:ind w:firstLine="720"/>
        <w:jc w:val="both"/>
      </w:pPr>
      <w:r>
        <w:t xml:space="preserve">Gavęs informaciją iš ES valstybių narių kompetentingų institucijų Departamentas 2008 gruodžio 10 d. raštu Nr. S - (4,3-11)-790 kreipėsi ir pateikė siūlymą Valstybinei vaistų kontrolės tarnybai prie Sveikatos apsaugos ministerijos išnagrinėti galimybę prevenciniais tikslais įtraukti </w:t>
      </w:r>
      <w:r>
        <w:rPr>
          <w:i/>
          <w:iCs/>
        </w:rPr>
        <w:t xml:space="preserve">Argyreia nervosa </w:t>
      </w:r>
      <w:r>
        <w:t xml:space="preserve">(gyslotasis vyklys), </w:t>
      </w:r>
      <w:r>
        <w:rPr>
          <w:i/>
          <w:iCs/>
        </w:rPr>
        <w:t xml:space="preserve">Banisteriopsis caapi </w:t>
      </w:r>
      <w:r>
        <w:t xml:space="preserve">(svaigusis kvaitulis), </w:t>
      </w:r>
      <w:r>
        <w:rPr>
          <w:i/>
          <w:iCs/>
        </w:rPr>
        <w:t xml:space="preserve">Calea zacatechichi </w:t>
      </w:r>
      <w:r>
        <w:t xml:space="preserve">(actekiška sapnažolė), </w:t>
      </w:r>
      <w:r>
        <w:rPr>
          <w:i/>
          <w:iCs/>
        </w:rPr>
        <w:t xml:space="preserve">Echinopsis pachanoi </w:t>
      </w:r>
      <w:r>
        <w:t xml:space="preserve">(kvaitulinis echinopsis), </w:t>
      </w:r>
      <w:r>
        <w:rPr>
          <w:i/>
          <w:iCs/>
        </w:rPr>
        <w:t xml:space="preserve">Hoodia gordonii, </w:t>
      </w:r>
      <w:r>
        <w:t xml:space="preserve">kava kava (svaigusis pipiras), </w:t>
      </w:r>
      <w:r>
        <w:rPr>
          <w:i/>
          <w:iCs/>
        </w:rPr>
        <w:t xml:space="preserve">Leonotis leonurus </w:t>
      </w:r>
      <w:r>
        <w:t xml:space="preserve">(tikroji liūtausė), </w:t>
      </w:r>
      <w:r>
        <w:rPr>
          <w:i/>
          <w:iCs/>
        </w:rPr>
        <w:t xml:space="preserve">Mimoza tenuiflora </w:t>
      </w:r>
      <w:r>
        <w:t xml:space="preserve">(siauražiedė mimoza), </w:t>
      </w:r>
      <w:r>
        <w:rPr>
          <w:i/>
          <w:iCs/>
        </w:rPr>
        <w:t xml:space="preserve">Nymhaea caerulea </w:t>
      </w:r>
      <w:r>
        <w:t xml:space="preserve">(žydroji vandens lelija), </w:t>
      </w:r>
      <w:r>
        <w:rPr>
          <w:i/>
          <w:iCs/>
        </w:rPr>
        <w:t xml:space="preserve">Peganum harmala </w:t>
      </w:r>
      <w:r>
        <w:t xml:space="preserve">(sirijos rūta), </w:t>
      </w:r>
      <w:r>
        <w:rPr>
          <w:i/>
          <w:iCs/>
        </w:rPr>
        <w:t xml:space="preserve">Psychotria viridis, Rivea corymbosa </w:t>
      </w:r>
      <w:r>
        <w:t xml:space="preserve">(morning gloria), </w:t>
      </w:r>
      <w:r>
        <w:rPr>
          <w:i/>
          <w:iCs/>
        </w:rPr>
        <w:t xml:space="preserve">Trichocereus peruvianus </w:t>
      </w:r>
      <w:r>
        <w:t>į Narkotinių ir psichotropinių medžiagų sąrašus, patvirtintus Lietuvos Respublikos sveikatos apsaugos ministro 2000 m. sausio 6 d. įsakymu Nr. 5 "Dėl narkotinių ir psichotropinių medžiagų sąrašų patvirtinimo" (Zin., 2000, Nr. 4</w:t>
      </w:r>
      <w:r>
        <w:softHyphen/>
        <w:t xml:space="preserve">113). </w:t>
      </w:r>
    </w:p>
    <w:p w:rsidR="00DD08F5" w:rsidRDefault="00DD08F5" w:rsidP="00DD08F5">
      <w:pPr>
        <w:ind w:firstLine="720"/>
        <w:jc w:val="both"/>
      </w:pPr>
      <w:r>
        <w:t xml:space="preserve">Chemines medžiagas amilnitritą (Amyl nitrite, sinonimai: Isoamyl nitrite, Isopentyl Nitrite; 3-Methylbutanol Nitrite; 3-Methylbutyl Nitrite) </w:t>
      </w:r>
      <w:r>
        <w:rPr>
          <w:szCs w:val="19"/>
        </w:rPr>
        <w:t xml:space="preserve">ir </w:t>
      </w:r>
      <w:r>
        <w:t>cikloheksilnitritą Departamentas pasiūlė įtraukti į Nuodingų medžiagų pagal jų toksiškumą sąrašą, patvirtintą Lietuvos Respublikos sveikatos apsaugos ministro 2004 m. gruodžio 30 d. įsakymu Nr. V -975 "Dėl Nuodingųj.ų medžiagų pagal jų toksiškumąsąrašo patvirtinimo" (Žin., 2005, Nr. 3-47).</w:t>
      </w:r>
    </w:p>
    <w:p w:rsidR="00DD08F5" w:rsidRDefault="00DD08F5" w:rsidP="00DD08F5">
      <w:pPr>
        <w:ind w:firstLine="720"/>
        <w:jc w:val="both"/>
      </w:pPr>
      <w:r>
        <w:t>Departamentas 2008-11-17 raštu Nr. S-(4.3-11) -710 kreipėsi į Valstybinį aplinkos sveikatos centrą dėl išaiškinimo, kokiai kategorijai priskiriami minėti produktai ir kokie reikalavimai yra keliami šių produktų pateikimui į rinką. Valstybinis aplinkos sveikatos centras 2008-11-26 raštu Nr. S-01-23-1209 informavo, kad medžiaga dėl produktų paskirties išaiškinirno perduota probleminių produktų priskyrimo atitinkamai produktų grupei tarpžinybinei komisijai, patvirtintai Sveikatos apsaugos ministro 2006-09-14 įsakymu Nr. V-758 "Dėl probleminių produktų priskyrimo atitinkamai produktų grupei tarpžinybinės komisijos sudarymo" (Žin., 2006, Nr. 101-3922). Ši Komisija turėtų įvertinti produktų sudėtyje esančių medžiagų poveikį sveikatai ir priimti sprendimą minėtų produktų  priskyrimo galimybę atitinkamai produktų grupei. Departamentas 2008-11-10 raštu Nr. S -(4,3-11) kreipėsi į Valstybinę alkoholio ir tabako kontrolės tarnybą (toliau- Tarnyba) prašydamas pateikti informaciją ar rūkalai, uostomieji rūkalai bei rūkomieji žoliniai mišiniai produktai atitinka Tabako kontrolės įstatymo (Žin.,1996, Nr. 11</w:t>
      </w:r>
      <w:r>
        <w:softHyphen/>
        <w:t>281,2003, Nr. 117-5317) reglamentuotas nuostatas ir Lietuvos Respublikos produktų saugos įstatyme (Žin.,1999, Nr. 52-1673,2004, Nr. 25-757) nustatytus privalomus produktų saugos bei ženklinimo reikalavimus bei ar minėtų produktų gamintojai ir platintojai vykdo pareigas, numatytas, teikiant vartotojams visą iš gamintojo gautą informaciją prieš perduodami gaminį vartotojams, kad šie galėtų įvertinti su gaminiu susijusią riziką per visą nurodytą, įprastą ar numanomą jo vartojimo laiką. Tarnyba išnagrinėjusi gautą raštą bei vizualiai apžiūrėjusi parduodamas prekes parduotuvėje Liejyklos g. 4, Vilnius, 2008-11-19 raštu Nr. 3S-2356 informavo Departamentą, kad šioje parduotuvėje parduodamų prekių negalima priskirti prie tabako gaminių bei, kad informacijos dėl minėtų produktų (prekių) atitikimo Produktų saugos įstatymo reikalavimams bei ženklinimo teisingumo pateikti negali, nes tai nėra Tarnybos kompetencijos ribose. Pakartotinai Departamentas 2009 m. sausio 12 d. raštu Nr. S -(4.3-10)-044 kreipėsi į Valstybinę tabako ir alkoholio tarnybą prie Lietuvos Respublikos Vyriausybės prašydami įvertinti ar minėtos prekės nepažeidžia Lietuvos Respublikos tabako kontrolės įstatymo (Žin., 1996, Nr.11-</w:t>
      </w:r>
      <w:r>
        <w:rPr>
          <w:bCs/>
          <w:w w:val="79"/>
        </w:rPr>
        <w:softHyphen/>
      </w:r>
      <w:r>
        <w:t xml:space="preserve">281; 2003, Nr. 117-5317) 8 straipsnio 1 dalies 8 punkto reikalavimų bei pateikė papildomos informacijos. </w:t>
      </w:r>
    </w:p>
    <w:p w:rsidR="00DD08F5" w:rsidRDefault="00DD08F5" w:rsidP="00DD08F5">
      <w:pPr>
        <w:ind w:firstLine="720"/>
        <w:jc w:val="both"/>
        <w:rPr>
          <w:szCs w:val="23"/>
        </w:rPr>
      </w:pPr>
      <w:r>
        <w:t>Departamentas pasiūlė skubos tvarka papildyti Lietuvos higienos normą HN 38:2002 "Didžiausi leidžiami kenksmingų medžiagų kiekiai tabako gaminiuose" patvirtintą Lietuvos Respublikos sveikatos apsaugos ministro 2002 m. birželio 28 d. įsakymu Nr. 317 (Žin., 2002, Nr. 70-</w:t>
      </w:r>
      <w:r>
        <w:rPr>
          <w:szCs w:val="23"/>
        </w:rPr>
        <w:t>2934) ir į 2 lentelės sąrašą "Medžiagos, draudžiamos naudoti tabako gaminių gamyboje" įrašyti medžiagas, kurios gali būti naudojamos rūkymui mišinyje su tabaku ir sukelti psichikos sutrikimus ir pateikė projektą, kuris šiuo metų derinamas su SAM.</w:t>
      </w:r>
    </w:p>
    <w:p w:rsidR="00DD08F5" w:rsidRDefault="00DD08F5" w:rsidP="00DD08F5">
      <w:pPr>
        <w:ind w:firstLine="720"/>
        <w:jc w:val="both"/>
      </w:pPr>
      <w:r>
        <w:rPr>
          <w:szCs w:val="23"/>
        </w:rPr>
        <w:t xml:space="preserve">Taip pat, </w:t>
      </w:r>
      <w:r>
        <w:t xml:space="preserve">Departamentas </w:t>
      </w:r>
      <w:r>
        <w:rPr>
          <w:bCs/>
        </w:rPr>
        <w:t>2008 m. lapkričio 28 d</w:t>
      </w:r>
      <w:r>
        <w:t xml:space="preserve">. organizavo tarpinstitucinį pasitarimą dėl Lietuvos Respublikos rinkoje esančių cheminių medžiagų ir preparatų, įvairių žolių mišinių, arbatų ir rūkomųjų žolių mišinių, kurie gali būti paauglių vartojami kaip svaiginamosios medžiagos, apyvartos mažinimo bei minėtų medžiagų reklamos kontrolės įgyvendinimo. Minėtame pasitarime dalyvavo – Valstybinės vartotojų teisių apsaugos tarnybos direktorius; Valstybinės vartotojų teisių apsaugos </w:t>
      </w:r>
      <w:r>
        <w:lastRenderedPageBreak/>
        <w:t xml:space="preserve">tarnybos Ekonominių interesų departamento direktorius; Botanikos instituto Floros ir Geobotanikos laboratorijos darbuotojas; Valstybinės ne maisto produktų inspekcijos prie Ūkio ministerijos Gaminių kontrolės skyriaus vyresnioji valstybinė inspektorė; Valstybinio aplinkos sveikatos centro Cheminės rizikos vertinimo skyriaus visuomenės sveikatos administratorė; Farmacijos departamento Farmacinės veiklos skyriaus vyriausioji specialistė; Farmacijos departamento Farmacinės veiklos skyriaus vedėja; Valstybinės vaistų kontrolės tarnybos Narkotikų skyriaus vedėja; Valstybinės vaistų kontrolės tarnybos Vaistų saugumo ir informacijos skyriaus vedėja; Narkotikų kontrolės departamento prie Lietuvos Respublikos Vyriausybės direktoriaus pavaduotojas; Narkotikų kontrolės departamento prie Lietuvos Respublikos Vyriausybės Licencijų skyriaus vedėja; Narkotikų kontrolės departamento prie Lietuvos Respublikos Vyriausybės Kontrolės skyriaus vedėja; Narkotikų kontrolės departamento prie Lietuvos Respublikos Vyriausybės Licencijų skyriaus vyriausioji specialistė; Sveikatos apsaugos ministerijos Visuomenės sveikatos departamento Visuomenės sveikatos stiprinimo skyriaus vedėjas; Sveikatos apsaugos ministerijos Visuomenės sveikatos departamento Visuomenės sveikatos priežiūros skyriaus vyriausioji specialistė; Valstybinės visuomenės sveikatos priežiūros tarnybos prie Sveikatos apsaugos ministerijos Leidimų ir licencijų skyriaus vedėjos pavaduotoja; Lietuvos kriminalinės policijos biuro Organizuoto nusikalstamumo 3-osios valdybos I-ojo skyriaus viršininkė; Valstybinės maisto ir veterinarijos tarnybos direktoriaus pavaduotojas; </w:t>
      </w:r>
      <w:r>
        <w:rPr>
          <w:szCs w:val="23"/>
        </w:rPr>
        <w:t xml:space="preserve">Vilniaus greitosios pagalbos universitetinės ligoninės, Ūmių apsinuodijimų skyriaus vedėjas. </w:t>
      </w:r>
      <w:r>
        <w:t xml:space="preserve">Pasitarime buvo aptartos minėtų medžiagų bei gaminių apyvartos mažinimo galimybės ir konkrečios priemonės; šių medžiagų reklamos ir klaidinančios informacijos kontrolės galimybės ir priemonės; narkotinių ir psichotropinių medžiagų reklamos kontrolė. Pasitarime nuspręsta siūlyti Ūkio, Sveikatos apsaugos ministerijoms išanalizuoti ir, esant reikalui, inicijuoti teisės aktlį pakeitimus, parengiant draudžiamų augalų, naudojamų rūkalams, kuriuose nėra tabako, sąrašą bei siekiant, kad Tabako kontrolės įstatyme ar Lietuvos higienos normoje HN 38:2002 "Didžiausi leidžiami kenksminglį medžiagų kiekiai tabako gaminiuose", patvirtintoje Lietuvos Respublikos sveikatos apsaugos ministro 2002 m. birželio 28 d. įsakymu Nr. 317 (Žin., 2002, Nr. 70-2934) atsirastų nuostatos dėl minėtų rūkymui skirtų medžiagų. Taip pat, pasiūlyta peržiūrėti ir, esant reikalui, papildyti Valstybinės vaistų kontrolės tarnybos prie Sveikatos apsaugos ministerijos įsakymą "Dėl vaistinių augalų ir jų dalių (įskaitant sėklas, vaisius ir uogas), kuriuos leidžiama vartoti farmacijoje šviežius arba džiovintus, smulkintus arba nesusmulkintus, sumaltus į miltelius arba nesumaltus, bei farmacijoje vartojamų, augalų ir jų dalių, kuriuos leidžiama vartoti kaip maisto priedus ar prieskonius, sąrašų patvirtinimo bei vaistinių augalų pardavimo" (Žin., 1997, Nr. 50-1220), arba nustatyti kitas veiksmingas priemones, ribojančias augalų, kurie gali būti vartojami svaiginimuisi ir yra maisto papildų bei arbatų sudėtyje, vartojimą ne sveikatos priežiūros tikslais. Pasiūlyta Botanikos institutui surinkti informaciją apie posėdyje minimų augalų psichiką veikiančias savybes. Pasiūlyta Sveikatos apsaugos ministerijai įtraukti chemines medžiagas, kurios gali būti vartojamos svaiginimuisi ir kelti grėsmę žmogaus sveikatai, </w:t>
      </w:r>
      <w:r>
        <w:rPr>
          <w:w w:val="112"/>
          <w:szCs w:val="23"/>
        </w:rPr>
        <w:t xml:space="preserve">į </w:t>
      </w:r>
      <w:r>
        <w:t xml:space="preserve">ribojamų medžiagų sąrašus, tokiu būdu apribojant jų patekimą į Lietuvos rinką. Pasiūlyta Ūkio, Sveikatos apsaugos ministerijoms išanalizuoti ir, esant reikalui, inicijuoti teisės aktų pakeitimus, parengiant draudžiamų augalų naudojamų rūkalams, kuriuose nėra tabako, sąrašą bei siekiant, kad Tabako kontrolės įstatyme ar Lietuvos higienos normoje HN 38:2002 "Didžiausi leidžiami kenksmingų medžiagų kiekiai tabako gaminiuose" patvirtintoje Lietuvos Respublikos sveikatos apsaugos ministro 2002 m. birželio 28 d. įsakymu Nr. 317 (Žin., 2002, Nr. 70-2934) atsirastų nuostatos dėl minėtų rūkymui skirtų medžiagų. Pasiūlyta Sveikatos apsaugos ministerijai parengti Lietuvos Respublikos narkotinių ir psichotropinių medžiagų kontrolės įstatymo pakeitimo įstatymo projektą, numatant konkrečias institucijas, atsakingas už narkotinių ir psichotropinių medžiagų reklamos kontrolę. </w:t>
      </w:r>
    </w:p>
    <w:p w:rsidR="00DD08F5" w:rsidRDefault="00DD08F5" w:rsidP="00DD08F5">
      <w:pPr>
        <w:ind w:firstLine="720"/>
        <w:jc w:val="both"/>
        <w:rPr>
          <w:szCs w:val="23"/>
        </w:rPr>
      </w:pPr>
      <w:r>
        <w:t xml:space="preserve">Policijos departamentas prie Lietuvos Respublikos Vyriausybės Seimo Sveikatos reikalų komitetui adresuotame 2009 01 22 rašte Nr.5-S-34 “Dėl informacijos apie patikrinimus prekybos vietose pateikimo”, pateikė informacija, kad siekiant </w:t>
      </w:r>
      <w:r>
        <w:rPr>
          <w:szCs w:val="23"/>
        </w:rPr>
        <w:t xml:space="preserve">išaiškinti, ar prekybos vietose neprekiaujama narkotinėmis ar psichotropinėmis medžiagomis, policija nuolat atlieka atitinkanms patikrinimus. Šiuo metu policija yra pradėjusi su minėto prekybos tinklo veikla susijusius ikiteisminius tyrimus: </w:t>
      </w:r>
    </w:p>
    <w:p w:rsidR="00DD08F5" w:rsidRDefault="00DD08F5" w:rsidP="00DD08F5">
      <w:pPr>
        <w:ind w:firstLine="720"/>
        <w:jc w:val="both"/>
        <w:rPr>
          <w:szCs w:val="23"/>
        </w:rPr>
      </w:pPr>
      <w:r>
        <w:rPr>
          <w:szCs w:val="23"/>
        </w:rPr>
        <w:t>- pagal Lietuvos Respublikos baudžiamojo kodekso 260 straipsnio "Neteisėtas disponavimas narkotinėmis ar psichotropinėmis medžiagomis turint tikslą platinti arba neteisėtas disponavimas labai dideliu narkotinių ar psichotropinių medžiagų kiekiu" 1 dalį Vilniuje (Nr. 38-1</w:t>
      </w:r>
      <w:r>
        <w:rPr>
          <w:szCs w:val="23"/>
        </w:rPr>
        <w:softHyphen/>
        <w:t>00085-08), Kaune (Nr. 20-1-00011-09), Klaipėdoje (Nr. 30-1-00014-09) ir Kretingoje (Nr. 69-1</w:t>
      </w:r>
      <w:r>
        <w:rPr>
          <w:szCs w:val="23"/>
        </w:rPr>
        <w:softHyphen/>
        <w:t xml:space="preserve">00005-09); </w:t>
      </w:r>
    </w:p>
    <w:p w:rsidR="00DD08F5" w:rsidRDefault="00DD08F5" w:rsidP="00DD08F5">
      <w:pPr>
        <w:ind w:firstLine="720"/>
        <w:jc w:val="both"/>
        <w:rPr>
          <w:szCs w:val="23"/>
        </w:rPr>
      </w:pPr>
      <w:r>
        <w:rPr>
          <w:szCs w:val="23"/>
        </w:rPr>
        <w:lastRenderedPageBreak/>
        <w:t xml:space="preserve">- pagal Lietuvos Respublikos baudžiamojo kodekso 259 straipsnio "Neteisėtas disponavimas narkotinėmis ar psichotropinėmis medžiagomis be tikslo jas platinti" 1 dalį Panevėžyje (Nr. 50-1-00794-08). </w:t>
      </w:r>
    </w:p>
    <w:p w:rsidR="00DD08F5" w:rsidRDefault="00DD08F5" w:rsidP="00DD08F5">
      <w:pPr>
        <w:ind w:firstLine="720"/>
        <w:jc w:val="both"/>
      </w:pPr>
      <w:r>
        <w:rPr>
          <w:szCs w:val="23"/>
        </w:rPr>
        <w:t xml:space="preserve">Atlikus patikrinimus Kaune įsikūrusiose parduotuvėse, taip pat surinkta medžiaga dėl administracinių teisės pažeidimų (išsiųsta pagal kompetenciją į Valstybinę mokesčių inspekciją sprendimui priimti). </w:t>
      </w:r>
      <w:r>
        <w:t xml:space="preserve">Nurodytų tyrimų metu parduotuvėse buvo atliktos kratos, išimtos prekės perduotos ištirti Lietuvos policijos kriminalistinių tyrimų centrui. Priklausomai nuo specialistų išvadų bus planuojami tolesni procesiniai veiksmai baudžiamosiose bylose, taip pat tolesni patikrinimai prekybos vietose.  </w:t>
      </w:r>
    </w:p>
    <w:p w:rsidR="00DD08F5" w:rsidRDefault="00DD08F5" w:rsidP="00DD08F5">
      <w:pPr>
        <w:jc w:val="both"/>
        <w:rPr>
          <w:szCs w:val="23"/>
        </w:rPr>
      </w:pPr>
      <w:r>
        <w:rPr>
          <w:szCs w:val="23"/>
        </w:rPr>
        <w:tab/>
        <w:t xml:space="preserve">Policija pagal savo kompetencija analizuoja informaciją apie prekybos tinklo, kuriame prekiaujama smilkalais, eteriniais aliejais ir aromatinėmis žolėmis parduotuvėse ir interneto svetainėse www.buzas.1t ir </w:t>
      </w:r>
      <w:hyperlink r:id="rId79" w:history="1">
        <w:r>
          <w:rPr>
            <w:szCs w:val="23"/>
          </w:rPr>
          <w:t>www.amsterdamas.eu,</w:t>
        </w:r>
      </w:hyperlink>
      <w:r>
        <w:rPr>
          <w:szCs w:val="23"/>
        </w:rPr>
        <w:t xml:space="preserve"> veiklą. </w:t>
      </w:r>
    </w:p>
    <w:p w:rsidR="00DD08F5" w:rsidRDefault="00DD08F5" w:rsidP="00DD08F5">
      <w:pPr>
        <w:pStyle w:val="Pagrindinistekstas"/>
        <w:rPr>
          <w:szCs w:val="23"/>
        </w:rPr>
      </w:pPr>
      <w:r>
        <w:rPr>
          <w:szCs w:val="23"/>
        </w:rPr>
        <w:tab/>
        <w:t>Analogišką informaciją Seimo Sveikatos reikalų komitetui 2009 01 23 raštu Nr. 1D-618 pateikė Lietuvos Respublikos Vidaus reikalų ministerija.</w:t>
      </w:r>
    </w:p>
    <w:p w:rsidR="00DD08F5" w:rsidRDefault="00DD08F5" w:rsidP="00DD08F5">
      <w:pPr>
        <w:jc w:val="both"/>
        <w:rPr>
          <w:szCs w:val="23"/>
        </w:rPr>
      </w:pPr>
      <w:r>
        <w:rPr>
          <w:szCs w:val="23"/>
        </w:rPr>
        <w:t xml:space="preserve"> </w:t>
      </w:r>
      <w:r>
        <w:rPr>
          <w:szCs w:val="23"/>
        </w:rPr>
        <w:tab/>
        <w:t>Tyrimu nustatyta, kad 2009 m. sausio 12 d. Ūkio ministerijoje įvykusio pasitarimo dėl rinkoje platinamų neaiškios paskirties produktų (smilkalai ir žolių mišiniai), kuriais gali būti svaiginamasi, metu nutarta pasiūlyti Ne maisto produktų inspekcijai prie Ūkio ministerijos organizuoti reikiamus produktų saugos ypatybių patikrinimus ir prireikus taikyti rinkos ribojimo priemones minėtiems produktams. Departamentas iš įvairių šaltinių surinkęs informaciją apie rinkoje esančius produktus, prekiniu pavadinimu "Spice", "Spice Gold", "Spice Silver", "Spice Diamond", "Weed", "Spice Yukatan Fire", "Spice Arctic Synergy", "Spice Tropical Synergy", "Spice Egypt" " Genye" bei minėtų produktų poveikį bei riziką visuomenės sveikatai, 2009 m. sausio 21 d. raštu Nr. S -(4,3</w:t>
      </w:r>
      <w:r>
        <w:rPr>
          <w:szCs w:val="23"/>
        </w:rPr>
        <w:softHyphen/>
        <w:t xml:space="preserve">11)-077 pasiūlė Valstybinei ne maisto produktų inspekcijai prie Ūkio ministerijos taikyti Lietuvos Respublikos Produktų saugos įstatyme (Žin.,1999, Nr. 52-1673, 2004, Nr. 25-757) numatytus apribojimus šių produktų platinimui, vartojimui bei pardavimui Lietuvos rinkoje, kadangi minėtuose produktuose esančių sintetinių organinių cheminių medžiagų </w:t>
      </w:r>
      <w:r>
        <w:rPr>
          <w:szCs w:val="22"/>
        </w:rPr>
        <w:t xml:space="preserve">JWH-018 </w:t>
      </w:r>
      <w:r>
        <w:rPr>
          <w:szCs w:val="23"/>
        </w:rPr>
        <w:t>((Naphtalen-1</w:t>
      </w:r>
      <w:r>
        <w:rPr>
          <w:szCs w:val="23"/>
        </w:rPr>
        <w:softHyphen/>
        <w:t xml:space="preserve">yl-(1-pentylindol-3-yl)methanon) arba (1-Pentyl-3-(1-Naphtoyl) Indole)), </w:t>
      </w:r>
      <w:r>
        <w:rPr>
          <w:szCs w:val="22"/>
        </w:rPr>
        <w:t>CP-47497</w:t>
      </w:r>
      <w:r>
        <w:rPr>
          <w:bCs/>
          <w:szCs w:val="22"/>
        </w:rPr>
        <w:t xml:space="preserve"> </w:t>
      </w:r>
      <w:r>
        <w:rPr>
          <w:szCs w:val="22"/>
        </w:rPr>
        <w:t xml:space="preserve">( </w:t>
      </w:r>
      <w:r>
        <w:rPr>
          <w:szCs w:val="23"/>
        </w:rPr>
        <w:t>3-(4-(1,1</w:t>
      </w:r>
      <w:r>
        <w:rPr>
          <w:szCs w:val="23"/>
        </w:rPr>
        <w:softHyphen/>
        <w:t xml:space="preserve">Dimethylheptyl)-2-hydroxyphenylcyclohexanol), </w:t>
      </w:r>
      <w:r>
        <w:rPr>
          <w:szCs w:val="22"/>
        </w:rPr>
        <w:t>HU-210</w:t>
      </w:r>
      <w:r>
        <w:rPr>
          <w:bCs/>
          <w:szCs w:val="22"/>
        </w:rPr>
        <w:t xml:space="preserve"> </w:t>
      </w:r>
      <w:r>
        <w:rPr>
          <w:szCs w:val="23"/>
        </w:rPr>
        <w:t>(6aR)-trans-3-( 1,1- Dimethylheptyl)</w:t>
      </w:r>
      <w:r>
        <w:rPr>
          <w:szCs w:val="23"/>
        </w:rPr>
        <w:softHyphen/>
        <w:t xml:space="preserve"> 6a, 7,1 Oa-tetrahydro-1-hydroxy-6,6-dimethyl-6H –dibenzo [b,d] pyran-9-methanol) poveikis žmonių sveikatai yra panašus į kanabinoidų grupės medžiagas, veikia tuos pačius receptorius kaip ir kanabinoidai. </w:t>
      </w:r>
    </w:p>
    <w:p w:rsidR="00DD08F5" w:rsidRDefault="00DD08F5" w:rsidP="00DD08F5">
      <w:pPr>
        <w:jc w:val="both"/>
      </w:pPr>
      <w:r>
        <w:t xml:space="preserve"> </w:t>
      </w:r>
      <w:r>
        <w:tab/>
        <w:t xml:space="preserve"> Departamentas 2009 m. sausio 21 d. raštu Nr. S-( 4,3-11 ) - 07 5 pasiūlė Valstybinei vaistų kontro1ės tarnybai prie Lietuvos Respublikos sveikatos apsaugos ministerijos įtraukti minėtas chemines medžiagas į narkotinių ir psichotropinių medžiagų sąrašus, patvirtintus Lietuvos Respublikos sveikatos apsaugos ministro 2000 m. sausio 6 d. įsakymu Nr. 5 "Dėl narkotinių ir psichotropinių medžiagų sąrašų patvirtinimo" (Žin., 2000, Nr. 4-113). </w:t>
      </w:r>
    </w:p>
    <w:p w:rsidR="00DD08F5" w:rsidRDefault="00DD08F5" w:rsidP="00DD08F5">
      <w:pPr>
        <w:ind w:firstLine="720"/>
        <w:jc w:val="both"/>
      </w:pPr>
      <w:r>
        <w:t xml:space="preserve">Siekiant apsaugoti visuomenę nuo klaidinančios bei skatinančios vartoti informacijos apie svaiginamąsias medžiagas, platinamas bei lengvai įsigyjamas internetinėse parduotuvėse bei mažmeninėje prekyboje, kuri pastaruoju metu pateikiama įvairiomis visuomenės informavimo priemonėmis, Departamentas inicijavo Lietuvos Respublikos nepilnamečių apsaugos nuo neigiamo viešosios informacijos poveikio įstatymo (Žin., 2002, Nr. 91-3890; 2006, Nr. 141-5393) 4 straipsnio 1 dalies 6 punkto pakeitimo įstatymo projektą, įtraukiant į minėtą punktą ir medžiagas, kurios gali būti vartojamos svaiginimuisi bei Lietuvos Respublikos visuomenės informavimo įstatymo (Žin., 1996, Nr. 71-170; 2006, Nr. 82-3254) 2 straipsnio 68 dalies pakeitimo įstatymo projektą, įtraukiant į minėtą punktą ir medžiagas, kurios vartojamos arba gali būti vartojamos svaiginimuisi. </w:t>
      </w:r>
    </w:p>
    <w:p w:rsidR="00DD08F5" w:rsidRDefault="00DD08F5" w:rsidP="00DD08F5">
      <w:pPr>
        <w:pStyle w:val="Pagrindinistekstas"/>
        <w:ind w:firstLine="720"/>
        <w:rPr>
          <w:lang w:val="en-US"/>
        </w:rPr>
      </w:pPr>
      <w:r>
        <w:rPr>
          <w:lang w:val="en-US"/>
        </w:rPr>
        <w:t>Apibendrinus situacija</w:t>
      </w:r>
      <w:r>
        <w:t xml:space="preserve"> dėl paauglių svaiginimosi vaistais, alkoholiu, narkotinėmis ir psichotropinėmis medžiagomis, kitomis medžiagomis ir apsinuodijimų jais, </w:t>
      </w:r>
      <w:r>
        <w:rPr>
          <w:lang w:val="en-US"/>
        </w:rPr>
        <w:t xml:space="preserve">daromos sekančios išvados: </w:t>
      </w:r>
    </w:p>
    <w:p w:rsidR="00DD08F5" w:rsidRDefault="00DD08F5" w:rsidP="00DD08F5">
      <w:pPr>
        <w:ind w:firstLine="720"/>
        <w:jc w:val="both"/>
        <w:rPr>
          <w:szCs w:val="14"/>
        </w:rPr>
      </w:pPr>
      <w:r>
        <w:rPr>
          <w:lang w:val="en-US"/>
        </w:rPr>
        <w:t xml:space="preserve">1. </w:t>
      </w:r>
      <w:r>
        <w:rPr>
          <w:szCs w:val="14"/>
        </w:rPr>
        <w:t>Lietuvos Respublikos Vyriausybė patvirtino Lietuvos nacionalinės visuomenės sveikatos priežiūros 2006 – 2013 metų strategiją ir jos įgyvendinimo priemonių 2006 – 2008 metų planą. Būtina patvirtinti Lietuvos nacionalinės visuomenės sveikatos priežiūros 2006 – 2013 metų strategijos įgyvendinimo priemonių 2009 – 2013 metų planą.</w:t>
      </w:r>
    </w:p>
    <w:p w:rsidR="00DD08F5" w:rsidRDefault="00DD08F5" w:rsidP="00DD08F5">
      <w:pPr>
        <w:ind w:firstLine="720"/>
        <w:jc w:val="both"/>
        <w:rPr>
          <w:szCs w:val="14"/>
        </w:rPr>
      </w:pPr>
      <w:r>
        <w:rPr>
          <w:szCs w:val="14"/>
        </w:rPr>
        <w:t>2. Sveikatos apsaugos ministerija turi pateikti vertinimą, kaip yra įvykdytas Lietuvos nacionalinės visuomenės sveikatos priežiūros 2006 – 2013 metų strategijos įgyvendinimo priemonių 2006 – 2008 metų planas.</w:t>
      </w:r>
    </w:p>
    <w:p w:rsidR="00DD08F5" w:rsidRDefault="00DD08F5" w:rsidP="00DD08F5">
      <w:pPr>
        <w:ind w:firstLine="720"/>
        <w:jc w:val="both"/>
        <w:rPr>
          <w:lang w:val="en-US"/>
        </w:rPr>
      </w:pPr>
      <w:r>
        <w:rPr>
          <w:szCs w:val="14"/>
        </w:rPr>
        <w:lastRenderedPageBreak/>
        <w:t>3.</w:t>
      </w:r>
      <w:r>
        <w:t xml:space="preserve"> Lietuvos Respublikos Seimas  2007 metais patvirtino Psichikos sveikatos strategiją. </w:t>
      </w:r>
      <w:r>
        <w:rPr>
          <w:lang w:val="en-US"/>
        </w:rPr>
        <w:t xml:space="preserve">Būtina parengti Vaiko psichikos sveikatos strategiją. Būtina sukurti psichikos sveikatos priežiūros sistemą, kuri sustiprintų visuomenės psichikos sveikatą, teiktų visapusišką pagalbą psichikos ir elgesio sutrikimų turintiems asmenims bei jų šeimoms. </w:t>
      </w:r>
    </w:p>
    <w:p w:rsidR="00DD08F5" w:rsidRDefault="00DD08F5" w:rsidP="00DD08F5">
      <w:pPr>
        <w:ind w:firstLine="720"/>
        <w:jc w:val="both"/>
        <w:rPr>
          <w:lang w:val="en-US"/>
        </w:rPr>
      </w:pPr>
      <w:r>
        <w:rPr>
          <w:lang w:val="en-US"/>
        </w:rPr>
        <w:t xml:space="preserve">4. Stokojama įvairiapusės pagalbos ir paramos šeimai socialinių, psichologinių ir kitų krizių atvejais. Nėra bendros šeimos politikos sistemos, o esančios politikos priemonės įgyvendinamos nenuosekliai ir fragmentiškai. </w:t>
      </w:r>
    </w:p>
    <w:p w:rsidR="00DD08F5" w:rsidRDefault="00DD08F5" w:rsidP="00DD08F5">
      <w:pPr>
        <w:ind w:firstLine="720"/>
        <w:jc w:val="both"/>
      </w:pPr>
      <w:r>
        <w:t>5. Stinga institucijų, vykdančių ir koordinuojančių socialinės, pedagoginės ir psichologinės paramos šeimai veiklą. Esama socialinės paramos infrastruktūra silpnai išplėtota, trūksta veiksmų koordinavimo, kvalifikuotų specialistų dirbančių su šeima, todėl būtina sustiprinti kontrolę dėl pagrindinių vaiko gerovės valstybės politikos prioritetų ir uždavinių įgyvendinimo, kad būtų pašalintos opiausios vaiko gerovės problemos, visiems vaikams būtų suteiktos galimybės gauti jų poreikius atitinkančią paramą ir paslaugas, sudarytos sąlygos augti savo šeimose.</w:t>
      </w:r>
    </w:p>
    <w:p w:rsidR="00DD08F5" w:rsidRDefault="00DD08F5" w:rsidP="00DD08F5">
      <w:pPr>
        <w:ind w:firstLine="720"/>
        <w:jc w:val="both"/>
        <w:rPr>
          <w:lang w:val="en-US"/>
        </w:rPr>
      </w:pPr>
      <w:r>
        <w:rPr>
          <w:lang w:val="en-US"/>
        </w:rPr>
        <w:t>6. Būtina efektyviau koordinuoti valstybės ir savivaldybių institucijų veiklą, užtikrinant glaudų tarpžinybinį bendradarbiavimą, įtaukiant visuomenės atstovus, visuomenines organizacijas, vaiko gerovės valstybės politikos klausimais.</w:t>
      </w:r>
    </w:p>
    <w:p w:rsidR="00DD08F5" w:rsidRDefault="00DD08F5" w:rsidP="00DD08F5">
      <w:pPr>
        <w:ind w:firstLine="720"/>
        <w:jc w:val="both"/>
        <w:rPr>
          <w:bCs/>
        </w:rPr>
      </w:pPr>
      <w:r>
        <w:rPr>
          <w:bCs/>
        </w:rPr>
        <w:t>7. Skubiai plėtoti reikiamų paslaugų vaikui ir jo šeimai tinklą, tobulinant specialistų kvalifikaciją vaiko teisių apsaugos, sveikatos apsaugos ir socialinių paslaugų sistemos srityje. Efektyviau ir savalaikiai teikti pagalbą šeimai, didinti asmeninę tėvų atsakomybę už vaikus.</w:t>
      </w:r>
    </w:p>
    <w:p w:rsidR="00DD08F5" w:rsidRDefault="00DD08F5" w:rsidP="00DD08F5">
      <w:pPr>
        <w:ind w:firstLine="720"/>
        <w:jc w:val="both"/>
        <w:rPr>
          <w:bCs/>
        </w:rPr>
      </w:pPr>
      <w:r>
        <w:rPr>
          <w:bCs/>
        </w:rPr>
        <w:t xml:space="preserve"> 8. Nepakankamas vaikų ir jaunimo užimtumas. Trūksta vaikų ir jaunimo užimtumo programų ir konkrečių pasalugų, dienos centrų, kitų vaikų papildomo ugdymo įstaigų. Mokesčiai už papildomo ugdymo paslaugas mokyklose ar kitose institucijose daugeliui šeimų yra per sunki našta. Tobulinti švietimo sistemą ir spręsti vaikų laisvalaikio užimtumo finansavimą. Vaiko gerovės valstybės politikos prioritetų ir uždavinių įgyvendinimui skirti pakankamą finansavimą, didinant valstybės indelį ir derinant tarpusavyje kitus finansavimo šaltinius. </w:t>
      </w:r>
    </w:p>
    <w:p w:rsidR="00DD08F5" w:rsidRDefault="00DD08F5" w:rsidP="00DD08F5">
      <w:pPr>
        <w:ind w:firstLine="720"/>
        <w:jc w:val="both"/>
        <w:rPr>
          <w:bCs/>
        </w:rPr>
      </w:pPr>
      <w:r>
        <w:rPr>
          <w:bCs/>
        </w:rPr>
        <w:t xml:space="preserve">9. Būtina užtikrinti išsamios statistinės informacijos apie visas vaikų grupes kaupimą, tobulinant informacines sistemas, siekiant greito ir deramo reagavimo į vaikų sveikatai kylančias grėsmes. </w:t>
      </w:r>
    </w:p>
    <w:p w:rsidR="00DD08F5" w:rsidRDefault="00DD08F5" w:rsidP="00DD08F5">
      <w:pPr>
        <w:ind w:firstLine="720"/>
        <w:jc w:val="both"/>
        <w:rPr>
          <w:bCs/>
        </w:rPr>
      </w:pPr>
      <w:r>
        <w:rPr>
          <w:bCs/>
        </w:rPr>
        <w:t xml:space="preserve">10. </w:t>
      </w:r>
      <w:r>
        <w:rPr>
          <w:bCs/>
          <w:szCs w:val="14"/>
        </w:rPr>
        <w:t>Vaikų sveikatos stiprinimo 2008 – 2012 metų programoje vaikams iki 18 metų, n</w:t>
      </w:r>
      <w:r>
        <w:rPr>
          <w:bCs/>
        </w:rPr>
        <w:t xml:space="preserve">umatoma plėtoti vaikų psichikos sveikatos priežiūros paslaugas (ambulatorines, stacionaro, dienos stacionaro, krizių intervencijos, individualios, grupinės ir šeimos psichoterapijos), didinant šių paslaugų mastą, specializuojant stacionaro ir dienos stacionaro skyrius pagal vaikų amžių, gerinant šių paslaugų kokybę ir kuo daugiau jų perduodant bendrojo profilio medicinos (pediatrijos) įstaigoms. Siekiama sukurti specializuotas paslaugas paaugliams ir jaunuoliams: paauglių stacionaro skyrius, ilgalaikės psichosocialinės reabilitacijos (resocializacijos) paslaugas paaugliams su sunkiais elgesio ir socializacijos sutrikimais, specialias reabilitacijos paslaugas paaugliams, priklausomiems nuo alkoholio ir narkotikų. </w:t>
      </w:r>
    </w:p>
    <w:p w:rsidR="00DD08F5" w:rsidRDefault="00DD08F5" w:rsidP="00DD08F5">
      <w:pPr>
        <w:ind w:firstLine="720"/>
        <w:jc w:val="both"/>
        <w:rPr>
          <w:bCs/>
        </w:rPr>
      </w:pPr>
      <w:r>
        <w:rPr>
          <w:bCs/>
        </w:rPr>
        <w:t>11.</w:t>
      </w:r>
      <w:r>
        <w:t xml:space="preserve"> </w:t>
      </w:r>
      <w:r>
        <w:rPr>
          <w:bCs/>
        </w:rPr>
        <w:t>Už</w:t>
      </w:r>
      <w:r>
        <w:t xml:space="preserve"> </w:t>
      </w:r>
      <w:r>
        <w:rPr>
          <w:bCs/>
          <w:szCs w:val="14"/>
        </w:rPr>
        <w:t>Vaikų sveikatos stiprinimo 2008 – 2012 metų programos</w:t>
      </w:r>
      <w:r>
        <w:t xml:space="preserve"> </w:t>
      </w:r>
      <w:r>
        <w:rPr>
          <w:bCs/>
        </w:rPr>
        <w:t xml:space="preserve">įgyvendinimo koordinavimą atsakinga Sveikatos apsaugos ministerija. Šios programos įgyvendinimo priemones vykdančios institucijos atsiskaito Sveikatos apsaugos ministerijai – ne vėliau kaip iki kitų metų vasario 1 dienos ir pateikia praėjusiųjų metų priemonių vykdymo ataskaitą. Sveikatos apsaugos ministerija iki 2010 m. kovo 1 d. pateikia Lietuvos Respublikos Vyriausybei tarpinę šios programos įgyvendinimo ataskaitą, o iki 2013 m. kovo 1 d. – galutinę ataskaitą. </w:t>
      </w:r>
    </w:p>
    <w:p w:rsidR="00DD08F5" w:rsidRDefault="00DD08F5" w:rsidP="00DD08F5">
      <w:pPr>
        <w:ind w:firstLine="720"/>
        <w:jc w:val="both"/>
        <w:rPr>
          <w:lang w:val="en-US"/>
        </w:rPr>
      </w:pPr>
      <w:r>
        <w:rPr>
          <w:lang w:val="en-US"/>
        </w:rPr>
        <w:t xml:space="preserve">12. Lietuvos Respublikos Švietimo ir mokslo ministras patvirtino įsakymą, kuris taikomas visų grupių ir tipų mokykloms neatsižvelgiant į jų pavaldumą ir nuosavybės formas, dėl teisės pažeidimų, mokyklos nelankymo, narkotinių ir psichotropinių medžiagų vartojimo, ŽIV/AIDS, smurto ir nusikalstamumo prevencijos. </w:t>
      </w:r>
    </w:p>
    <w:p w:rsidR="00DD08F5" w:rsidRDefault="00DD08F5" w:rsidP="00DD08F5">
      <w:pPr>
        <w:ind w:firstLine="720"/>
        <w:jc w:val="both"/>
        <w:rPr>
          <w:bCs/>
          <w:szCs w:val="22"/>
        </w:rPr>
      </w:pPr>
      <w:r>
        <w:rPr>
          <w:bCs/>
        </w:rPr>
        <w:t xml:space="preserve">Mokyklų vadovai </w:t>
      </w:r>
      <w:r>
        <w:rPr>
          <w:bCs/>
          <w:szCs w:val="22"/>
        </w:rPr>
        <w:t>teikia mokyklos steigėjui ataskaitą ir siūlymus dėl mokyklos nelankymo, alkoholio, tabako ir kitų psichiką veikiančių medžiagų vartojimo, ŽIV/AIDS, smurto, teisės pažeidimų prevencijos, mokinių užimtumo gerinimo.</w:t>
      </w:r>
    </w:p>
    <w:p w:rsidR="00DD08F5" w:rsidRDefault="00DD08F5" w:rsidP="00DD08F5">
      <w:pPr>
        <w:jc w:val="both"/>
        <w:rPr>
          <w:lang w:val="en-US"/>
        </w:rPr>
      </w:pPr>
      <w:r>
        <w:rPr>
          <w:lang w:val="en-US"/>
        </w:rPr>
        <w:t xml:space="preserve"> </w:t>
      </w:r>
      <w:r>
        <w:rPr>
          <w:lang w:val="en-US"/>
        </w:rPr>
        <w:tab/>
        <w:t xml:space="preserve"> Savivaldybių administracijos įgyvendina priemones, kurios padėtų užtikrinti vaiko teisę į mokslą ir sugrąžintų į mokyklą jos nelankančius vaikus ir kasmet iki spalio 25 d. teikia Švietimo ir mokslo ministerijai ataskaitas apie mokyklų vykdomas priemones narkotinių medžiagų vartojimo, ŽIV/AIDS, prievartos, smurto, nusikalstamumo prevencijos klausimais bei siūlymus prevenciniam darbui gerinti pagal Švietimo ir mokslo ministerijos parengtas rekomendacijas; organizuoja mokytojams, socialiniams pedagogams, psichologams, visuomenės sveikatos specialistams, klasės </w:t>
      </w:r>
      <w:r>
        <w:rPr>
          <w:lang w:val="en-US"/>
        </w:rPr>
        <w:lastRenderedPageBreak/>
        <w:t>auklėtojams kvalifikacijos kėlimą narkotinių medžiagų, alkoholio bei tabako vartojimo, smurto, savižudybių ir kitais prevencinio darbo klausimais.</w:t>
      </w:r>
    </w:p>
    <w:p w:rsidR="00DD08F5" w:rsidRDefault="00DD08F5" w:rsidP="00DD08F5">
      <w:pPr>
        <w:ind w:firstLine="720"/>
        <w:jc w:val="both"/>
        <w:rPr>
          <w:lang w:val="en-US"/>
        </w:rPr>
      </w:pPr>
      <w:r>
        <w:rPr>
          <w:lang w:val="en-US"/>
        </w:rPr>
        <w:t xml:space="preserve">13. Lietuvos Respublikos Vyriausybė patvirtino Vaikų, vartojančių psichiką veikiančias medžiagas, medicininės, psichologinės, socialinės reabilitacijos paslaugų teikimo koncepciją ir Ankstyvo vaikų (moksleivių) psichiką veikiančių medžiagų vartojimo nustatymo tvarką. Koncepcijoje pabrėžiama ankstyvoji intervencija, kurios tikslas – skatinti vaikus nevartoti psichiką veikiančių medžiagų, anksti nustatyti vaikus, vartojančius psichiką veikiančias medžiagas, ištirti jų sveikatos ir socialinę būklę, numatyti ir įgyvendinti pagalbos priemones. Ankstyvo vaikų (moksleivių) psichiką veikiančių medžiagų vartojimo nustatymo tvarkoje reglamentuojama vaikų, vartojančių narkotines, psichotropines, kitas psichiką veikiančias medžiagas, nustatymo organizavimą pradinėse pagrindinėse, vidurinėse, profesinėse mokyklose, vaikų globos įstaigose ir viešosiose vietose. </w:t>
      </w:r>
    </w:p>
    <w:p w:rsidR="00DD08F5" w:rsidRDefault="00DD08F5" w:rsidP="00DD08F5">
      <w:pPr>
        <w:ind w:firstLine="720"/>
        <w:jc w:val="both"/>
      </w:pPr>
      <w:r>
        <w:t xml:space="preserve">14. Lietuvos Respublikos Konstitucijos 39, 40 ir 41 straipsniai nustato, kad nepilnamečius vaikus gina įstatymas, valstybė prižiūri mokymo ir auklėjimo įstaigų veiklą, asmenims iki 16 metų mokslas privalomas, todėl Sveikatos apsaugos ministerijos, Švietimo ir mokslo ministerijos, Socialinės apsaugos ir darbo ministerijos, Narkotikų kontrolės departamento prie Lietuvos Respublikos Vyriausybės teisės aktai vaiko gerovės politikos klausimais turi būti tarpusavyje suderinti ir privalo neprieštarauti Lietuvos Respublikos Konstitucijai. Būtina </w:t>
      </w:r>
      <w:r>
        <w:rPr>
          <w:szCs w:val="14"/>
        </w:rPr>
        <w:t xml:space="preserve">sudaryti tarpžinybinę darbo grupę dėl įstatymus lydinčiųjų teisės aktų tarpusavio suderinimo, atsižvelgiant į Vaiko gerovės politikos koncepciją ir </w:t>
      </w:r>
      <w:r>
        <w:t xml:space="preserve">Valstybinę šeimos politikos koncepciją. </w:t>
      </w:r>
    </w:p>
    <w:p w:rsidR="00DD08F5" w:rsidRDefault="00DD08F5" w:rsidP="00DD08F5">
      <w:pPr>
        <w:ind w:firstLine="720"/>
        <w:jc w:val="both"/>
      </w:pPr>
      <w:r>
        <w:rPr>
          <w:szCs w:val="22"/>
        </w:rPr>
        <w:t>15. B</w:t>
      </w:r>
      <w:r>
        <w:t>ūtinas Valstybinės medicininio audito inspekcijos  prie Sveikatos apsaugos ministerijos tyrimas ir vertinimas dėl 2007 – 2008 metais Sveikatos apsaugos ministerijos sistemoje narkotinių ir psichotropinių medžiagų skyrimo ir medicininių receptų išrašymo teisėtumo ir pagrįstumo bei  narkotinių ir psichotropinių medžiagų skyrimo ir medicininių receptų išrašymo vaikams teisėtumo ir pagrįstumo.</w:t>
      </w:r>
    </w:p>
    <w:p w:rsidR="00DD08F5" w:rsidRDefault="00DD08F5" w:rsidP="00DD08F5">
      <w:pPr>
        <w:jc w:val="both"/>
        <w:rPr>
          <w:bCs/>
        </w:rPr>
      </w:pPr>
      <w:r>
        <w:rPr>
          <w:szCs w:val="22"/>
        </w:rPr>
        <w:tab/>
      </w:r>
      <w:r>
        <w:rPr>
          <w:bCs/>
          <w:szCs w:val="22"/>
        </w:rPr>
        <w:t>16.</w:t>
      </w:r>
      <w:r>
        <w:rPr>
          <w:bCs/>
        </w:rPr>
        <w:t xml:space="preserve"> Vaiko teisių apsaugos kontrolierė 2008-05-15 priėmė sprendimą pasiūlė tuometiniam Lietuvos Respublikos sveikatos apsaugos ministru Rimvydui Turčinskui peržiūrėti patvirtiną Narkotinių ir psichotropinių medžiagų sąrašą, Nuodingųjų medžiagų pagal jų toksiškumą sąrašą, ir svarstyti galimybę į juos įtraukti amilo nitritą, tačiau, iki šiol šios medžiagos į sarašą neįtrauktos.</w:t>
      </w:r>
    </w:p>
    <w:p w:rsidR="00DD08F5" w:rsidRDefault="00DD08F5" w:rsidP="00DD08F5">
      <w:pPr>
        <w:ind w:firstLine="720"/>
        <w:jc w:val="both"/>
        <w:rPr>
          <w:bCs/>
        </w:rPr>
      </w:pPr>
      <w:r>
        <w:rPr>
          <w:bCs/>
        </w:rPr>
        <w:t>17.</w:t>
      </w:r>
      <w:r>
        <w:t xml:space="preserve"> </w:t>
      </w:r>
      <w:r>
        <w:rPr>
          <w:bCs/>
        </w:rPr>
        <w:t>Sveikatos apsaugos ministro įsakymu yra patvirtinta tarpžinybinė komisija "Dėl probleminių produktų priskyrimo atitinkamai produktų grupei”. Ši Komisija turėtų įvertinti produktų sudėtyje esančių medžiagų poveikį sveikatai ir priimti sprendimą minėtų produktų priskyrimo galimybę atitinkamai produktų grupei.</w:t>
      </w:r>
    </w:p>
    <w:p w:rsidR="00DD08F5" w:rsidRDefault="00DD08F5" w:rsidP="00DD08F5">
      <w:pPr>
        <w:ind w:firstLine="720"/>
        <w:jc w:val="both"/>
        <w:rPr>
          <w:bCs/>
          <w:szCs w:val="22"/>
        </w:rPr>
      </w:pPr>
      <w:r>
        <w:rPr>
          <w:bCs/>
          <w:lang w:eastAsia="lt-LT"/>
        </w:rPr>
        <w:t>18. Narkotikų kontrolės departamentas prie Lietuvos Respublikos Vyriausybės, r</w:t>
      </w:r>
      <w:r>
        <w:rPr>
          <w:bCs/>
        </w:rPr>
        <w:t xml:space="preserve">emdamasis informacija, kad Europos šalyse labai plinta lizergo rūgšties hidroksietilamido turinčių augalų - gyslotojo vyklio (lot. </w:t>
      </w:r>
      <w:r>
        <w:rPr>
          <w:bCs/>
          <w:i/>
          <w:iCs/>
        </w:rPr>
        <w:t xml:space="preserve">Argyreia nervosa, </w:t>
      </w:r>
      <w:r>
        <w:rPr>
          <w:bCs/>
        </w:rPr>
        <w:t xml:space="preserve">angl. </w:t>
      </w:r>
      <w:r>
        <w:rPr>
          <w:bCs/>
          <w:i/>
          <w:iCs/>
        </w:rPr>
        <w:t xml:space="preserve">Hawaiian baby woodrose) </w:t>
      </w:r>
      <w:r>
        <w:rPr>
          <w:bCs/>
        </w:rPr>
        <w:t xml:space="preserve">ir linažiedžio sukučio (lot. </w:t>
      </w:r>
      <w:r>
        <w:rPr>
          <w:bCs/>
          <w:i/>
          <w:iCs/>
        </w:rPr>
        <w:t xml:space="preserve">Jpomoea violacea, </w:t>
      </w:r>
      <w:r>
        <w:rPr>
          <w:bCs/>
        </w:rPr>
        <w:t xml:space="preserve">angl. </w:t>
      </w:r>
      <w:r>
        <w:rPr>
          <w:bCs/>
          <w:i/>
          <w:iCs/>
        </w:rPr>
        <w:t xml:space="preserve">Morning glory),- </w:t>
      </w:r>
      <w:r>
        <w:rPr>
          <w:bCs/>
        </w:rPr>
        <w:t>vartojimas svaiginimosi tikslais, pasiūlė Valstybinei vaistų kontrolės tarnybai prie Lietuvos Respublikos sveikatos apsaugos ministerijos apsvarstyti galimybę įtraukti minėtus augalus į Narkotinių ir psichotropinių medžiagų sąrašus, patvirtintus Lietuvos Respublikos sveikatos apsaugos ministro 2000 m. sausio 6 d. įsakymu Nr. 5 "Dėl narkotinių ir psichotropinių medžiagų sąrašų patvirtinimo" (Žin., 2000, Nr. 4-113), tačiau, iki šiol šios medžiagos į sarašą neįtrauktos.</w:t>
      </w:r>
    </w:p>
    <w:p w:rsidR="00DD08F5" w:rsidRDefault="00DD08F5" w:rsidP="00DD08F5">
      <w:pPr>
        <w:ind w:firstLine="720"/>
        <w:jc w:val="both"/>
        <w:rPr>
          <w:bCs/>
          <w:szCs w:val="22"/>
        </w:rPr>
      </w:pPr>
      <w:r>
        <w:rPr>
          <w:bCs/>
        </w:rPr>
        <w:t>19.</w:t>
      </w:r>
      <w:r>
        <w:rPr>
          <w:bCs/>
          <w:lang w:eastAsia="lt-LT"/>
        </w:rPr>
        <w:t xml:space="preserve"> Narkotikų kontrolės departamentas prie Lietuvos Respublikos Vyriausybės, g</w:t>
      </w:r>
      <w:r>
        <w:rPr>
          <w:bCs/>
        </w:rPr>
        <w:t xml:space="preserve">avęs informaciją iš ES valstybių narių kompetentingų institucijų 2008 gruodžio 10 d. raštu Nr. S - (4,3-11)-790 kreipėsi ir pateikė siūlymą Valstybinei vaistų kontrolės tarnybai prie Sveikatos apsaugos ministerijos išnagrinėti galimybę prevenciniais tikslais įtraukti </w:t>
      </w:r>
      <w:r>
        <w:rPr>
          <w:bCs/>
          <w:i/>
          <w:iCs/>
        </w:rPr>
        <w:t xml:space="preserve">Argyreia nervosa </w:t>
      </w:r>
      <w:r>
        <w:rPr>
          <w:bCs/>
        </w:rPr>
        <w:t xml:space="preserve">(gyslotasis vyklys), </w:t>
      </w:r>
      <w:r>
        <w:rPr>
          <w:bCs/>
          <w:i/>
          <w:iCs/>
        </w:rPr>
        <w:t xml:space="preserve">Banisteriopsis caapi </w:t>
      </w:r>
      <w:r>
        <w:rPr>
          <w:bCs/>
        </w:rPr>
        <w:t xml:space="preserve">(svaigusis kvaitulis), </w:t>
      </w:r>
      <w:r>
        <w:rPr>
          <w:bCs/>
          <w:i/>
          <w:iCs/>
        </w:rPr>
        <w:t xml:space="preserve">Calea zacatechichi </w:t>
      </w:r>
      <w:r>
        <w:rPr>
          <w:bCs/>
        </w:rPr>
        <w:t xml:space="preserve">(actekiška sapnažolė), </w:t>
      </w:r>
      <w:r>
        <w:rPr>
          <w:bCs/>
          <w:i/>
          <w:iCs/>
        </w:rPr>
        <w:t xml:space="preserve">Echinopsis pachanoi </w:t>
      </w:r>
      <w:r>
        <w:rPr>
          <w:bCs/>
        </w:rPr>
        <w:t xml:space="preserve">(kvaitulinis echinopsis), </w:t>
      </w:r>
      <w:r>
        <w:rPr>
          <w:bCs/>
          <w:i/>
          <w:iCs/>
        </w:rPr>
        <w:t xml:space="preserve">Hoodia gordonii, </w:t>
      </w:r>
      <w:r>
        <w:rPr>
          <w:bCs/>
        </w:rPr>
        <w:t xml:space="preserve">kava kava (svaigusis pipiras), </w:t>
      </w:r>
      <w:r>
        <w:rPr>
          <w:bCs/>
          <w:i/>
          <w:iCs/>
        </w:rPr>
        <w:t xml:space="preserve">Leonotis leonurus </w:t>
      </w:r>
      <w:r>
        <w:rPr>
          <w:bCs/>
        </w:rPr>
        <w:t xml:space="preserve">(tikroji liūtausė), </w:t>
      </w:r>
      <w:r>
        <w:rPr>
          <w:bCs/>
          <w:i/>
          <w:iCs/>
        </w:rPr>
        <w:t xml:space="preserve">Mimoza tenuiflora </w:t>
      </w:r>
      <w:r>
        <w:rPr>
          <w:bCs/>
        </w:rPr>
        <w:t xml:space="preserve">(siauražiedė mimoza), </w:t>
      </w:r>
      <w:r>
        <w:rPr>
          <w:bCs/>
          <w:i/>
          <w:iCs/>
        </w:rPr>
        <w:t xml:space="preserve">Nymhaea caerulea </w:t>
      </w:r>
      <w:r>
        <w:rPr>
          <w:bCs/>
        </w:rPr>
        <w:t xml:space="preserve">(žydroji vandens lelija), </w:t>
      </w:r>
      <w:r>
        <w:rPr>
          <w:bCs/>
          <w:i/>
          <w:iCs/>
        </w:rPr>
        <w:t xml:space="preserve">Peganum harmala </w:t>
      </w:r>
      <w:r>
        <w:rPr>
          <w:bCs/>
        </w:rPr>
        <w:t xml:space="preserve">(sirijos rūta), </w:t>
      </w:r>
      <w:r>
        <w:rPr>
          <w:bCs/>
          <w:i/>
          <w:iCs/>
        </w:rPr>
        <w:t xml:space="preserve">Psychotria viridis, Rivea corymbosa </w:t>
      </w:r>
      <w:r>
        <w:rPr>
          <w:bCs/>
        </w:rPr>
        <w:t xml:space="preserve">(morning gloria), </w:t>
      </w:r>
      <w:r>
        <w:rPr>
          <w:bCs/>
          <w:i/>
          <w:iCs/>
        </w:rPr>
        <w:t xml:space="preserve">Trichocereus peruvianus </w:t>
      </w:r>
      <w:r>
        <w:rPr>
          <w:bCs/>
        </w:rPr>
        <w:t>į Narkotinių ir psichotropinių medžiagų sąrašus, patvirtintus Lietuvos Respublikos sveikatos apsaugos ministro 2000 m. sausio 6 d. įsakymu Nr. 5 "Dėl narkotinių ir psichotropinių medžiagų sąrašų patvirtinimo" (Zin., 2000, Nr. 4</w:t>
      </w:r>
      <w:r>
        <w:rPr>
          <w:bCs/>
        </w:rPr>
        <w:softHyphen/>
        <w:t>113), tačiau, iki šiol šios medžiagos į sarašą neįtrauktos.</w:t>
      </w:r>
    </w:p>
    <w:p w:rsidR="00DD08F5" w:rsidRDefault="00DD08F5" w:rsidP="00DD08F5">
      <w:pPr>
        <w:ind w:firstLine="720"/>
        <w:jc w:val="both"/>
        <w:rPr>
          <w:szCs w:val="23"/>
        </w:rPr>
      </w:pPr>
      <w:r>
        <w:rPr>
          <w:bCs/>
        </w:rPr>
        <w:t>20.</w:t>
      </w:r>
      <w:r>
        <w:rPr>
          <w:bCs/>
          <w:lang w:eastAsia="lt-LT"/>
        </w:rPr>
        <w:t xml:space="preserve"> Narkotikų kontrolės departamentas prie Lietuvos Respublikos Vyriausybės </w:t>
      </w:r>
      <w:r>
        <w:rPr>
          <w:bCs/>
        </w:rPr>
        <w:t xml:space="preserve">pasiūlė skubos tvarka papildyti Lietuvos higienos normą HN 38:2002 "Didžiausi leidžiami kenksmingų medžiagų kiekiai tabako gaminiuose" patvirtintą Lietuvos Respublikos sveikatos apsaugos ministro 2002 m. </w:t>
      </w:r>
      <w:r>
        <w:rPr>
          <w:bCs/>
        </w:rPr>
        <w:lastRenderedPageBreak/>
        <w:t>birželio 28 d. įsakymu Nr. 317 (Žin., 2002, Nr. 70-</w:t>
      </w:r>
      <w:r>
        <w:rPr>
          <w:bCs/>
          <w:szCs w:val="23"/>
        </w:rPr>
        <w:t>2934) ir į 2 lentelės sąrašą "Medžiagos, draudžiamos naudoti tabako gaminių gamyboje" įrašyti medžiagas, kurios gali būti naudojamos rūkymui mišinyje su tabaku ir sukelti psichikos sutrikimus ir pateikė projektą, kuris buvo derinamas su SAM,</w:t>
      </w:r>
      <w:r>
        <w:rPr>
          <w:bCs/>
        </w:rPr>
        <w:t xml:space="preserve"> tačiau, iki šiol šios medžiagos į sarašą neįtrauktos.</w:t>
      </w:r>
    </w:p>
    <w:p w:rsidR="00DD08F5" w:rsidRDefault="00DD08F5" w:rsidP="00DD08F5">
      <w:pPr>
        <w:ind w:firstLine="720"/>
        <w:jc w:val="both"/>
        <w:rPr>
          <w:bCs/>
          <w:szCs w:val="23"/>
        </w:rPr>
      </w:pPr>
      <w:r>
        <w:rPr>
          <w:bCs/>
          <w:szCs w:val="23"/>
        </w:rPr>
        <w:t xml:space="preserve">21. Dėl </w:t>
      </w:r>
      <w:r>
        <w:rPr>
          <w:bCs/>
        </w:rPr>
        <w:t xml:space="preserve">Lietuvos Respublikos rinkoje esančių cheminių medžiagų ir preparatų, įvairių žolių mišinių, arbatų ir rūkomųjų žolių mišinių, kurie gali būti paauglių vartojami kaip svaiginamosios medžiagos, apyvartos mažinimo bei minėtų medžiagų reklamos kontrolės įgyvendinimo buvo informuotos valstybės institucijos, kurios pagal kompetenciją privalėjo imtis atitinkamų priemonių: Valstybinė vartotojų teisių apsaugos tarnyba;  Botanikos instituto Floros ir Geobotanikos laboratorija; Valstybinė ne maisto produktų inspekcija prie Ūkio ministerijos; Valstybinio aplinkos sveikatos centro Cheminės rizikos vertinimo skyrius; Farmacijos departamento Farmacinės veiklos skyrius; Valstybinė vaistų kontrolės tarnyba; Narkotikų kontrolės departamentas prie Lietuvos Respublikos Vyriausybės; Sveikatos apsaugos ministerijos Visuomenės sveikatos departamentas; Valstybinės visuomenės sveikatos priežiūros tarnybos prie Sveikatos apsaugos ministerijos Leidimų ir licencijų skyrius; Lietuvos kriminalinės policijos biuro Organizuoto nusikalstamumo 3-osios valdybos I-ojo skyrius; Valstybinės maisto ir veterinarijos tarnyba; </w:t>
      </w:r>
      <w:r>
        <w:rPr>
          <w:bCs/>
          <w:szCs w:val="23"/>
        </w:rPr>
        <w:t>Vilniaus greitosios pagalbos universitetinės ligoninės, Ūmių apsinuodijimų skyrius;</w:t>
      </w:r>
      <w:r>
        <w:rPr>
          <w:bCs/>
        </w:rPr>
        <w:t xml:space="preserve"> Vaiko teisių apsaugos kontrolierė,</w:t>
      </w:r>
      <w:r>
        <w:t xml:space="preserve"> </w:t>
      </w:r>
      <w:r>
        <w:rPr>
          <w:bCs/>
        </w:rPr>
        <w:t>Valstybinė tabako ir alkoholio tarnyba prie Lietuvos Respublikos Vyriausybės</w:t>
      </w:r>
      <w:r>
        <w:rPr>
          <w:bCs/>
          <w:szCs w:val="23"/>
        </w:rPr>
        <w:t>.</w:t>
      </w:r>
    </w:p>
    <w:p w:rsidR="00DD08F5" w:rsidRDefault="00DD08F5" w:rsidP="00DD08F5">
      <w:pPr>
        <w:ind w:firstLine="720"/>
        <w:jc w:val="both"/>
      </w:pPr>
      <w:r>
        <w:rPr>
          <w:bCs/>
        </w:rPr>
        <w:t>22.</w:t>
      </w:r>
      <w:r>
        <w:t xml:space="preserve"> </w:t>
      </w:r>
      <w:r>
        <w:rPr>
          <w:bCs/>
          <w:lang w:eastAsia="lt-LT"/>
        </w:rPr>
        <w:t xml:space="preserve">Narkotikų kontrolės departamentas prie Lietuvos Respublikos Vyriausybės </w:t>
      </w:r>
      <w:r>
        <w:rPr>
          <w:bCs/>
        </w:rPr>
        <w:t>inicijavo Lietuvos Respublikos nepilnamečių apsaugos nuo neigiamo viešosios informacijos poveikio įstatymo (Žin., 2002, Nr. 91-3890; 2006, Nr. 141-5393) 4 straipsnio 1 dalies 6 punkto pakeitimo įstatymo projektą, įtraukiant į minėtą punktą ir medžiagas, kurios gali būti vartojamos svaiginimuisi bei Lietuvos Respublikos visuomenės informavimo įstatymo (Žin., 1996, Nr. 71-170;2006, Nr. 82-3254) 2 straipsnio 68 dalies pakeitimo įstatymo projektą, įtraukiant į minėtą punktą ir medžiagas, kurios vartojamos arba gali būti vartojamos svaiginimuisi, tačiau, minėti  projektai Seimui nepateikti.</w:t>
      </w:r>
      <w:r>
        <w:t xml:space="preserve">  </w:t>
      </w:r>
    </w:p>
    <w:p w:rsidR="00DD08F5" w:rsidRDefault="00DD08F5" w:rsidP="00DD08F5">
      <w:pPr>
        <w:jc w:val="both"/>
      </w:pPr>
      <w:r>
        <w:tab/>
        <w:t xml:space="preserve">Seimo Narkomanijos ir alkoholizmo prevencijos komisija, atlikusi tyrimą ir padariusi išvadas, priėmė sprendimus: </w:t>
      </w:r>
    </w:p>
    <w:p w:rsidR="00DD08F5" w:rsidRDefault="00DD08F5" w:rsidP="00DD08F5">
      <w:pPr>
        <w:ind w:firstLine="720"/>
        <w:jc w:val="both"/>
      </w:pPr>
      <w:r>
        <w:rPr>
          <w:b/>
          <w:bCs/>
        </w:rPr>
        <w:t>1.</w:t>
      </w:r>
      <w:r>
        <w:t xml:space="preserve"> 2009 02 18 priėmė sprendimą dėl UAB „Viltis“ prekybos tinkle platinamų prekių ir internetiniuose puslapiuose „buzas.lt bei „amsterdamas.eu“ teikiamos informacijos apie galimai svaiginimuisi skirtas medžiagas ir atkreipė Lietuvos Respublikos Vyriausybės dėmesį į tai, kad:</w:t>
      </w:r>
    </w:p>
    <w:p w:rsidR="00DD08F5" w:rsidRDefault="00DD08F5" w:rsidP="00DD08F5">
      <w:pPr>
        <w:ind w:firstLine="720"/>
        <w:jc w:val="both"/>
      </w:pPr>
      <w:r>
        <w:t>1.</w:t>
      </w:r>
      <w:r>
        <w:rPr>
          <w:szCs w:val="22"/>
        </w:rPr>
        <w:t>1.</w:t>
      </w:r>
      <w:r>
        <w:t>Vaiko teisių apsaugos kontrolierė 2008-05-15 sprendimu pasiūlė tuometiniam Lietuvos Respublikos sveikatos apsaugos ministrui Rimvydui Turčinskui peržiūrėti patvirtiną Narkotinių ir psichotropinių medžiagų sąrašą, Nuodingųjų medžiagų pagal jų toksiškumą sąrašą, ir svarstyti galimybę į juos įtraukti amilo nitritą, tačiau, iki šiol ši medžiaga į sąrašą neįtraukta.</w:t>
      </w:r>
    </w:p>
    <w:p w:rsidR="00DD08F5" w:rsidRDefault="00DD08F5" w:rsidP="00DD08F5">
      <w:pPr>
        <w:ind w:firstLine="720"/>
        <w:jc w:val="both"/>
      </w:pPr>
      <w:r>
        <w:t>1.2. Sveikatos apsaugos ministro įsakymu yra patvirtinta tarpžinybinė komisija „Dėl probleminių produktų priskyrimo atitinkamai produktų grupei”. Ši Komisija operatyviau turėtų įvertinti produktų sudėtyje esančių medžiagų poveikį sveikatai ir priimti sprendimą minėtų produktų priskyrimo atitinkamai produktų grupei.</w:t>
      </w:r>
    </w:p>
    <w:p w:rsidR="00DD08F5" w:rsidRDefault="00DD08F5" w:rsidP="00DD08F5">
      <w:pPr>
        <w:ind w:firstLine="720"/>
        <w:jc w:val="both"/>
        <w:rPr>
          <w:szCs w:val="22"/>
        </w:rPr>
      </w:pPr>
      <w:r>
        <w:rPr>
          <w:lang w:eastAsia="lt-LT"/>
        </w:rPr>
        <w:t>1.3. Narkotikų kontrolės departamentas prie Lietuvos Respublikos Vyriausybės, r</w:t>
      </w:r>
      <w:r>
        <w:t xml:space="preserve">emdamasis informacija, kad Europos šalyse labai plinta lizergo rūgšties hidroksietilamido turinčių augalų - gyslotojo vyklio (lot. </w:t>
      </w:r>
      <w:r>
        <w:rPr>
          <w:i/>
          <w:iCs/>
        </w:rPr>
        <w:t xml:space="preserve">Argyreia nervosa, </w:t>
      </w:r>
      <w:r>
        <w:t xml:space="preserve">angl. </w:t>
      </w:r>
      <w:r>
        <w:rPr>
          <w:i/>
          <w:iCs/>
        </w:rPr>
        <w:t xml:space="preserve">Hawaiian baby woodrose) </w:t>
      </w:r>
      <w:r>
        <w:t xml:space="preserve">ir linažiedžio sukučio (lot. </w:t>
      </w:r>
      <w:r>
        <w:rPr>
          <w:i/>
          <w:iCs/>
        </w:rPr>
        <w:t xml:space="preserve">Jpomoea violacea, </w:t>
      </w:r>
      <w:r>
        <w:t xml:space="preserve">angl. </w:t>
      </w:r>
      <w:r>
        <w:rPr>
          <w:i/>
          <w:iCs/>
        </w:rPr>
        <w:t xml:space="preserve">Morning glory),- </w:t>
      </w:r>
      <w:r>
        <w:t>vartojimas svaiginimosi tikslais, pasiūlė Valstybinei vaistų kontrolės tarnybai prie Lietuvos Respublikos sveikatos apsaugos ministerijos apsvarstyti galimybę įtraukti minėtus augalus į Narkotinių ir psichotropinių medžiagų sąrašus, patvirtintus Lietuvos Respublikos sveikatos apsaugos ministro 2000 m. sausio 6 d. įsakymu Nr. 5 „Dėl narkotinių ir psichotropinių medžiagų sąrašų patvirtinimo” (Žin., 2000, Nr. 4-113), tačiau, iki šiol šios medžiagos į sąrašą neįtrauktos.</w:t>
      </w:r>
    </w:p>
    <w:p w:rsidR="00DD08F5" w:rsidRDefault="00DD08F5" w:rsidP="00DD08F5">
      <w:pPr>
        <w:ind w:firstLine="720"/>
        <w:jc w:val="both"/>
        <w:rPr>
          <w:szCs w:val="22"/>
        </w:rPr>
      </w:pPr>
      <w:r>
        <w:t>1.4.</w:t>
      </w:r>
      <w:r>
        <w:rPr>
          <w:lang w:eastAsia="lt-LT"/>
        </w:rPr>
        <w:t xml:space="preserve"> Narkotikų kontrolės departamentas prie Lietuvos Respublikos Vyriausybės, g</w:t>
      </w:r>
      <w:r>
        <w:t xml:space="preserve">avęs informaciją iš ES valstybių narių kompetentingų institucijų 2008 gruodžio 10 d. raštu Nr. S - (4, 3-11) - 790 kreipėsi ir pateikė siūlymą Valstybinei vaistų kontrolės tarnybai prie Sveikatos apsaugos ministerijos išnagrinėti galimybę prevenciniais tikslais įtraukti </w:t>
      </w:r>
      <w:r>
        <w:rPr>
          <w:i/>
          <w:iCs/>
        </w:rPr>
        <w:t xml:space="preserve">Argyreia nervosa </w:t>
      </w:r>
      <w:r>
        <w:t xml:space="preserve">(gyslotasis vyklys), </w:t>
      </w:r>
      <w:r>
        <w:rPr>
          <w:i/>
          <w:iCs/>
        </w:rPr>
        <w:t xml:space="preserve">Banisteriopsis caapi </w:t>
      </w:r>
      <w:r>
        <w:t xml:space="preserve">(svaigusis kvaitulis), </w:t>
      </w:r>
      <w:r>
        <w:rPr>
          <w:i/>
          <w:iCs/>
        </w:rPr>
        <w:t xml:space="preserve">Calea zacatechichi </w:t>
      </w:r>
      <w:r>
        <w:t xml:space="preserve">(actekiška sapnažolė), </w:t>
      </w:r>
      <w:r>
        <w:rPr>
          <w:i/>
          <w:iCs/>
        </w:rPr>
        <w:t xml:space="preserve">Echinopsis pachanoi </w:t>
      </w:r>
      <w:r>
        <w:t xml:space="preserve">(kvaitulinis echinopsis), </w:t>
      </w:r>
      <w:r>
        <w:rPr>
          <w:i/>
          <w:iCs/>
        </w:rPr>
        <w:t xml:space="preserve">Hoodia gordonii, </w:t>
      </w:r>
      <w:r>
        <w:t xml:space="preserve">kava kava (svaigusis pipiras), </w:t>
      </w:r>
      <w:r>
        <w:rPr>
          <w:i/>
          <w:iCs/>
        </w:rPr>
        <w:t xml:space="preserve">Leonotis leonurus </w:t>
      </w:r>
      <w:r>
        <w:t xml:space="preserve">(tikroji liūtausė), </w:t>
      </w:r>
      <w:r>
        <w:rPr>
          <w:i/>
          <w:iCs/>
        </w:rPr>
        <w:t xml:space="preserve">Mimoza tenuiflora </w:t>
      </w:r>
      <w:r>
        <w:t xml:space="preserve">(siauražiedė mimoza), </w:t>
      </w:r>
      <w:r>
        <w:rPr>
          <w:i/>
          <w:iCs/>
        </w:rPr>
        <w:t xml:space="preserve">Nymhaea caerulea </w:t>
      </w:r>
      <w:r>
        <w:t xml:space="preserve">(žydroji vandens lelija), </w:t>
      </w:r>
      <w:r>
        <w:rPr>
          <w:i/>
          <w:iCs/>
        </w:rPr>
        <w:t xml:space="preserve">Peganum harmala </w:t>
      </w:r>
      <w:r>
        <w:t xml:space="preserve">(sirijos rūta), </w:t>
      </w:r>
      <w:r>
        <w:rPr>
          <w:i/>
          <w:iCs/>
        </w:rPr>
        <w:t xml:space="preserve">Psychotria viridis, Rivea corymbosa </w:t>
      </w:r>
      <w:r>
        <w:t xml:space="preserve">(morning gloria), </w:t>
      </w:r>
      <w:r>
        <w:rPr>
          <w:i/>
          <w:iCs/>
        </w:rPr>
        <w:t xml:space="preserve">Trichocereus peruvianus </w:t>
      </w:r>
      <w:r>
        <w:t xml:space="preserve">į Narkotinių ir psichotropinių medžiagų sąrašus, patvirtintus Lietuvos Respublikos </w:t>
      </w:r>
      <w:r>
        <w:lastRenderedPageBreak/>
        <w:t>sveikatos apsaugos ministro 2000 m. sausio 6 d. įsakymu Nr. 5 „Dėl narkotinių ir psichotropinių medžiagų sąrašų patvirtinimo” (Žin., 2000, Nr. 4</w:t>
      </w:r>
      <w:r>
        <w:softHyphen/>
        <w:t>113), tačiau, iki šiol šios medžiagos į sąrašą neįtrauktos.</w:t>
      </w:r>
    </w:p>
    <w:p w:rsidR="00DD08F5" w:rsidRDefault="00DD08F5" w:rsidP="00DD08F5">
      <w:pPr>
        <w:ind w:firstLine="720"/>
        <w:jc w:val="both"/>
        <w:rPr>
          <w:szCs w:val="23"/>
        </w:rPr>
      </w:pPr>
      <w:r>
        <w:t>1.5.</w:t>
      </w:r>
      <w:r>
        <w:rPr>
          <w:lang w:eastAsia="lt-LT"/>
        </w:rPr>
        <w:t xml:space="preserve"> Narkotikų kontrolės departamentas prie Lietuvos Respublikos Vyriausybės </w:t>
      </w:r>
      <w:r>
        <w:t>pasiūlė skubos tvarka papildyti Lietuvos higienos normą HN 38:2002 „Didžiausi leidžiami kenksmingų medžiagų kiekiai tabako gaminiuose” patvirtintą Lietuvos Respublikos sveikatos apsaugos ministro 2002 m. birželio 28 d. įsakymu Nr. 317 (Žin., 2002, Nr. 70-</w:t>
      </w:r>
      <w:r>
        <w:rPr>
          <w:szCs w:val="23"/>
        </w:rPr>
        <w:t>2934) ir į 2 lentelės sąrašą „Medžiagos, draudžiamos naudoti tabako gaminių gamyboje” įrašyti medžiagas, kurios gali būti naudojamos rūkymui mišinyje su tabaku ir sukelti psichikos sutrikimus ir pateikė projektą, kuris buvo derinamas su Sveikatos apsaugos ministerija,</w:t>
      </w:r>
      <w:r>
        <w:t xml:space="preserve"> tačiau, iki šiol šios medžiagos į sąrašą neįtrauktos.</w:t>
      </w:r>
    </w:p>
    <w:p w:rsidR="00DD08F5" w:rsidRDefault="00DD08F5" w:rsidP="00DD08F5">
      <w:pPr>
        <w:ind w:firstLine="720"/>
        <w:jc w:val="both"/>
        <w:rPr>
          <w:szCs w:val="23"/>
        </w:rPr>
      </w:pPr>
      <w:r>
        <w:rPr>
          <w:szCs w:val="23"/>
        </w:rPr>
        <w:t xml:space="preserve">1.6. Dėl </w:t>
      </w:r>
      <w:r>
        <w:t xml:space="preserve">Lietuvos Respublikos rinkoje esančių cheminių medžiagų ir preparatų, įvairių žolių mišinių, arbatų ir rūkomųjų žolių mišinių, kurie gali būti paauglių vartojami kaip svaiginamosios medžiagos, apyvartos mažinimo bei minėtų medžiagų reklamos kontrolės įgyvendinimo buvo informuotos valstybės institucijos, kurios pagal kompetenciją privalėjo skubiai imtis atitinkamų priemonių: Valstybinė vartotojų teisių apsaugos tarnyba; Botanikos instituto Floros ir Geobotanikos laboratorija; Valstybinė ne maisto produktų inspekcija prie Ūkio ministerijos; Valstybinio aplinkos sveikatos centro Cheminės rizikos vertinimo skyrius; Farmacijos departamento Farmacinės veiklos skyrius; Valstybinė vaistų kontrolės tarnyba; Narkotikų kontrolės departamentas prie Lietuvos Respublikos Vyriausybės; Sveikatos apsaugos ministerijos Visuomenės sveikatos departamentas; Valstybinės visuomenės sveikatos priežiūros tarnybos prie Sveikatos apsaugos ministerijos Leidimų ir licencijų skyrius; Lietuvos kriminalinės policijos biuro Organizuoto nusikalstamumo 3-osios valdybos I-ojo skyrius; Valstybinės maisto ir veterinarijos tarnyba; </w:t>
      </w:r>
      <w:r>
        <w:rPr>
          <w:szCs w:val="23"/>
        </w:rPr>
        <w:t>Vilniaus greitosios pagalbos universitetinės ligoninės, Ūmių apsinuodijimų skyrius;</w:t>
      </w:r>
      <w:r>
        <w:t xml:space="preserve"> Valstybinė tabako ir alkoholio tarnyba prie Lietuvos Respublikos Vyriausybės</w:t>
      </w:r>
      <w:r>
        <w:rPr>
          <w:szCs w:val="23"/>
        </w:rPr>
        <w:t xml:space="preserve">, tačiau ir toliau </w:t>
      </w:r>
      <w:r>
        <w:t>UAB „Viltis” prekybos tinkle ir internetiniuose puslapiuose „buzas.lt” bei „Amsterdamas.eu” platinamos  prekės.</w:t>
      </w:r>
    </w:p>
    <w:p w:rsidR="00DD08F5" w:rsidRDefault="00DD08F5" w:rsidP="00DD08F5">
      <w:pPr>
        <w:ind w:firstLine="720"/>
        <w:jc w:val="both"/>
      </w:pPr>
      <w:r>
        <w:t xml:space="preserve">1.7. </w:t>
      </w:r>
      <w:r>
        <w:rPr>
          <w:lang w:eastAsia="lt-LT"/>
        </w:rPr>
        <w:t xml:space="preserve">Narkotikų kontrolės departamentas prie Lietuvos Respublikos Vyriausybės </w:t>
      </w:r>
      <w:r>
        <w:t xml:space="preserve">inicijavo Lietuvos Respublikos nepilnamečių apsaugos nuo neigiamo viešosios informacijos poveikio įstatymo (Žin., 2002, Nr. 91-3890; 2006, Nr. 141-5393) 4 straipsnio 1 dalies 6 punkto pakeitimo įstatymo projektą, įtraukiant į minėtą punktą ir medžiagas, kurios gali būti vartojamos svaiginimuisi bei Lietuvos Respublikos visuomenės informavimo įstatymo (Žin., 1996, Nr. 71-170;2006, Nr. 82-3254) 2 straipsnio 68 dalies pakeitimo įstatymo projektą, įtraukiant į minėtą punktą ir medžiagas, kurios vartojamos arba gali būti vartojamos svaiginimuisi, tačiau, minėti  projektai Seimui nepateikti.  </w:t>
      </w:r>
    </w:p>
    <w:p w:rsidR="00DD08F5" w:rsidRDefault="00DD08F5" w:rsidP="00DD08F5">
      <w:pPr>
        <w:ind w:firstLine="720"/>
        <w:jc w:val="both"/>
        <w:rPr>
          <w:lang w:eastAsia="lt-LT"/>
        </w:rPr>
      </w:pPr>
      <w:r>
        <w:t xml:space="preserve">1.8. Nuo Vaiko teisių apsaugos kontrolierės 2007 11 09 pradėto tyrimo dėl vaikų tarpe svaiginimosi eteriniais aliejais, įsigytais sekso reikmenų parduotuvėse iki </w:t>
      </w:r>
      <w:r>
        <w:rPr>
          <w:lang w:eastAsia="lt-LT"/>
        </w:rPr>
        <w:t xml:space="preserve">Narkotikų kontrolės departamento prie Lietuvos Respublikos Vyriausybės organizuoto tarpinstitucinio pasitarimo, įvykusio 2008 11 28,  praėjo vieneri metai. </w:t>
      </w:r>
    </w:p>
    <w:p w:rsidR="00DD08F5" w:rsidRDefault="00DD08F5" w:rsidP="00DD08F5">
      <w:pPr>
        <w:ind w:firstLine="720"/>
        <w:jc w:val="both"/>
      </w:pPr>
      <w:r>
        <w:t>Narkomanijos ir alkoholizmo prevencijos k</w:t>
      </w:r>
      <w:r>
        <w:rPr>
          <w:lang w:eastAsia="lt-LT"/>
        </w:rPr>
        <w:t xml:space="preserve">omisija </w:t>
      </w:r>
      <w:r>
        <w:t xml:space="preserve">tame pačiame sprendime </w:t>
      </w:r>
      <w:r>
        <w:rPr>
          <w:lang w:eastAsia="lt-LT"/>
        </w:rPr>
        <w:t xml:space="preserve">pasiūlė </w:t>
      </w:r>
      <w:r>
        <w:t xml:space="preserve">Lietuvos Respublikos Vyriausybei paspartinti šio sprendimo 1.1, 1.3, 1.4, 1.5,1.7 punktuose nurodytų teisės aktų pakeitimus. Komisija pasiūlė Lietuvos Respublikos Vyriausybei operatyviai užkardyti UAB „Viltis” prekybos tinklo ir kitų ūkio subjektų neteisėtą veiklą, susijusią su galimai svaiginimuisi skirtomis medžiagomis. </w:t>
      </w:r>
    </w:p>
    <w:p w:rsidR="00DD08F5" w:rsidRDefault="00DD08F5" w:rsidP="00DD08F5">
      <w:pPr>
        <w:pStyle w:val="Normal1"/>
        <w:ind w:firstLine="720"/>
      </w:pPr>
      <w:r>
        <w:t xml:space="preserve">( Sveikatos apsaugos ministerija 2009 03 26 raštu Nr. 10-(11.1-193) – 1774 “Dėl Seimo Narkomanijos ir alkoholizmo prevencijos komisijos 2009 m. vasario 18 d. priimto sprendimo, informavo, kad Lietuvos Respublikos Sveikatos apsaugos ministro 2009 m. vasario 2 d. įsakymu Nr. V-51 “Dėl Lietuvos Respublikos sveikatos apsaugos ministro 2004 m. gruodžio 30 d. įsakymo Nr. V-975 “Dėl Nuodingųjų medžiagų pagal jų toksiškumą sąrašo patvirtinimo” papildymo” (Žin., 2009, Nr. 17 – 670) amilnitritas yra įtrauktas į Nuodingųjų medžiagų pagal jų toksiškumą sąrašą. 2009 m. vasario 9 d. Probleminių produktų priskyrimo atitinkamai produktų grupei tarpžinybinės komisijos posėdyje buvo priimtas sprendimas, kad produktai, kuriuos platina UAB”Viltis”, negali būti notifikuoti kaip maisto papildai, kadangi jų vartojimas gali kelti grėsmę visuomenės sveikatai. 2009 m. vasario 17 d. raštu Valstybinė ne maisto produktų inspekcija prie Ūkio ministerijos informavo, kad laikinai uždraudė UAB “Viltis “tiekti, siūlyti tiekti į rinką ir demonstruoti 11 pavadinimų prekes. 2009 m. sausio 28 d. Narkotikų kontrolės departamento prie Lietuvos Respublikos Vyriausybės direktoriaus įsakymu Nr. T1-15 “Dėl tarpžinybinės naujų psichoaktyvų efektą sukeliančių medžiagų rizikos vertinimo komisijos sudarymo ir jos darbo reglamento patvirtinimo” (Žin., 2009, Nr. 14-576) buvo sudaryta farmacijos, medicinos, biologijos, chemijos, toksikologijos ir kitų sričių specialistų komisija, </w:t>
      </w:r>
      <w:r>
        <w:lastRenderedPageBreak/>
        <w:t xml:space="preserve">naujų psichoaktyvų efektą sukeliančių medžiagų rizikos įvertinimui. 2009 m. vasario 13 d. Naujų psichoaktyvų efektą sukeliančių medžiagų rizikos vertinimo komisijos sudėtyje nuspręsta siūlyti į kontroliuojamų medžiagų sąrašus įtraukti žolinių finišinių “Spice” sudėtyje esančias sintetines organines chemines medžiagas CP-47497, JWH-018, HU-210, augalus – gyslotąjį vyklį (lot. Argyreia nervosa, angl. Havaiian haby woodrose), svaigųjį kvaitulį (lot. Banisteriopsis caapi, angl. Ayahuasca, Caapi or Yage), linažiedį sukutį (lot. Ipomoea violacea, angl. Morning glory), jų veikliąsias medžiagas – harminą, harmaliną ir papildyti 1971 m. Psichotropinių medžiagų konvencijos I sąrašo eilutę: “Lizergidas (+)-Lysergide, LSD, LSD-25 ir išdėstyti ją taip: “Lisergidas, lizergo rūgšties amidas, izolizergo rūgšties amidas ir analogai (+)-Lysergide, LSD, LSD-25, lysergic acid amide, isolysergic acid amide and analogues)”. </w:t>
      </w:r>
    </w:p>
    <w:p w:rsidR="00DD08F5" w:rsidRDefault="00DD08F5" w:rsidP="00DD08F5">
      <w:pPr>
        <w:ind w:firstLine="720"/>
        <w:jc w:val="both"/>
        <w:rPr>
          <w:bCs/>
        </w:rPr>
      </w:pPr>
      <w:r>
        <w:rPr>
          <w:b/>
          <w:bCs/>
        </w:rPr>
        <w:t>2.</w:t>
      </w:r>
      <w:r>
        <w:t xml:space="preserve"> Dėl paauglių svaiginimosi vaistais Komisija pas</w:t>
      </w:r>
      <w:r>
        <w:rPr>
          <w:bCs/>
        </w:rPr>
        <w:t>iūlė Lietuvos Respublikos Vyriausybei inicijuoti medicininį auditą dėl Sveikatos apsaugos ministerijos sistemoje narkotinių ir psichotropinių medžiagų skyrimo ir medicininių receptų išrašymo teisėtumo ir pagrįstumo bei  narkotinių ir psichotropinių medžiagų skyrimo ir medicininių receptų išrašymo vaikams teisėtumo ir pagrįstumo.</w:t>
      </w:r>
    </w:p>
    <w:p w:rsidR="00DD08F5" w:rsidRDefault="00DD08F5" w:rsidP="00DD08F5">
      <w:pPr>
        <w:ind w:firstLine="720"/>
        <w:jc w:val="both"/>
        <w:rPr>
          <w:bCs/>
        </w:rPr>
      </w:pPr>
      <w:r>
        <w:rPr>
          <w:bCs/>
        </w:rPr>
        <w:t xml:space="preserve"> (2009 metais Sveikatos apsaugos ministerija audito dėl Sveikatos apsaugos ministerijos sistemoje narkotinių ir psichotropinių medžiagų skyrimo ir medicininių receptų išrašymo teisėtumo ir pagrįstumo bei  narkotinių ir psichotropinių medžiagų skyrimo ir medicininių receptų išrašymo vaikams teisėtumo ir pagrįstumo neatliko). </w:t>
      </w:r>
    </w:p>
    <w:p w:rsidR="00DD08F5" w:rsidRDefault="00DD08F5" w:rsidP="00DD08F5">
      <w:pPr>
        <w:pStyle w:val="Normal1"/>
        <w:rPr>
          <w:bCs/>
        </w:rPr>
      </w:pPr>
      <w:r>
        <w:tab/>
      </w:r>
      <w:r>
        <w:rPr>
          <w:b/>
          <w:bCs/>
        </w:rPr>
        <w:t>3.</w:t>
      </w:r>
      <w:r>
        <w:t xml:space="preserve"> 2009 02 11 Komisija pasiūlė Lietuvos Respublikos Vyriausybei sudaryti tarpžinybinę darbo grupę dėl teisės aktų tarpusavio suderinimo, atsižvelgiant į Vaiko gerovės politikos koncepciją ir Valstybinę šeimos politikos koncepciją, užtikrinant galimybes šeimoms gauti būtiną pagalbą, orientuotą į šeimos gebėjimų savarankiškai spręsti savo socialines problemas stiprinimą, motyvaciją kurti saugią, sveiką ir darnią aplinką savo šeimoje; sukuriant kompleksinės psichologinės pagalbos ir socialinių paslaugų teikimo sistemą krizę išgyvenančioms ir socialinės rizikos šeimoms, siekiant glaudžios socialinės partnerystės, paremtos bendruomeniškumu, savitarpio pagalba, žinybų bendradarbiavimu, panaudojant nevyriausybinių organizacijų potencialą, profesinį pasirengimą ir patirtį socialinių paslaugų teikimo srityje; gerinant vaikų ir paauglių sveikatos priežiūros paslaugas, formuojant vaikų sąmonėje sveikos gyvensenos pagrindus ir sudarant prielaidas sveikatą stiprinančios mokyklos plėtotei; </w:t>
      </w:r>
      <w:r>
        <w:rPr>
          <w:bCs/>
        </w:rPr>
        <w:t>stiprinant nepilnamečių apsaugą nuo neigiamo viešosios informacijos poveikio.</w:t>
      </w:r>
    </w:p>
    <w:p w:rsidR="00DD08F5" w:rsidRDefault="00DD08F5" w:rsidP="00DD08F5">
      <w:pPr>
        <w:ind w:firstLine="720"/>
        <w:jc w:val="both"/>
        <w:rPr>
          <w:bCs/>
        </w:rPr>
      </w:pPr>
      <w:r>
        <w:rPr>
          <w:bCs/>
        </w:rPr>
        <w:t xml:space="preserve">(Lietuvos Respublikos Ministras Pirmininkas Andrius Kubilius 2009 03 30 raštu Nr. 27-2011 ir 2009 04 21 raštu Nr27-2537 “ Dėl vaiko gerovės politikos įgyvendinimo Lietuvoje” informavo, kad siekiant tobulinti vaiko gerovės politikos įgyvendinimą Lietuvoje suinteresuotoms institucijoms papildomai pavesta pateikti konkrečius pasiūlymus dėl siektinų tikslų, keliamų uždavinių bei galimos tarpžinybinės darbo grupės sudėties). </w:t>
      </w:r>
    </w:p>
    <w:p w:rsidR="00DD08F5" w:rsidRDefault="00DD08F5" w:rsidP="00DD08F5">
      <w:pPr>
        <w:jc w:val="both"/>
      </w:pPr>
    </w:p>
    <w:p w:rsidR="00DD08F5" w:rsidRDefault="00DD08F5" w:rsidP="00DD08F5">
      <w:pPr>
        <w:ind w:left="720" w:firstLine="720"/>
        <w:jc w:val="both"/>
        <w:rPr>
          <w:b/>
          <w:bCs/>
        </w:rPr>
      </w:pPr>
      <w:r>
        <w:rPr>
          <w:b/>
          <w:bCs/>
        </w:rPr>
        <w:t xml:space="preserve">II. Lietuvos Respublikos vaiko minimalios ir vidutinės priežiūros įstatymo įgyvendinimas </w:t>
      </w:r>
    </w:p>
    <w:p w:rsidR="00DD08F5" w:rsidRDefault="00DD08F5" w:rsidP="00DD08F5">
      <w:pPr>
        <w:ind w:firstLine="720"/>
        <w:jc w:val="both"/>
      </w:pPr>
    </w:p>
    <w:p w:rsidR="00DD08F5" w:rsidRDefault="00DD08F5" w:rsidP="00DD08F5">
      <w:pPr>
        <w:ind w:firstLine="720"/>
        <w:jc w:val="both"/>
      </w:pPr>
      <w:r>
        <w:t>Nuo 2008 metų sausio 1 dienos Lietuvoje veikia Lietuvos Respublikos Vaiko minimalios ir vidutinės priežiūros įstatymas, kurio  tikslas – sukurti vaiko teises ir teisėtus interesus bei visuomenės saugumo poreikius atitinkančią sistemą, kuri padėtų vaikui įveikti susiformavusį ydingą elgesį, išsiugdyti prasmingo individualaus ir visuomeninio gyvenimo sampratas.</w:t>
      </w:r>
    </w:p>
    <w:p w:rsidR="00DD08F5" w:rsidRDefault="00DD08F5" w:rsidP="00DD08F5">
      <w:pPr>
        <w:ind w:firstLine="720"/>
        <w:jc w:val="both"/>
        <w:rPr>
          <w:bCs/>
          <w:iCs/>
        </w:rPr>
      </w:pPr>
      <w:r>
        <w:rPr>
          <w:bCs/>
          <w:u w:val="single"/>
        </w:rPr>
        <w:t>Vaiko minimali priežiūra</w:t>
      </w:r>
      <w:r>
        <w:t xml:space="preserve"> – vaiko priežiūra, vykdoma pagal vaiko nuolatinę gyvenamąją vietą, </w:t>
      </w:r>
      <w:r>
        <w:rPr>
          <w:bCs/>
        </w:rPr>
        <w:t>o jeigu vaikas neturi nuolatinės gyvenamosios vietos, – pagal jo gyvenamąją vietą.</w:t>
      </w:r>
      <w:r>
        <w:rPr>
          <w:bCs/>
          <w:iCs/>
        </w:rPr>
        <w:t xml:space="preserve"> </w:t>
      </w:r>
    </w:p>
    <w:p w:rsidR="00DD08F5" w:rsidRDefault="00DD08F5" w:rsidP="00DD08F5">
      <w:pPr>
        <w:ind w:firstLine="720"/>
        <w:jc w:val="both"/>
      </w:pPr>
      <w:r>
        <w:rPr>
          <w:bCs/>
          <w:u w:val="single"/>
        </w:rPr>
        <w:t>Vaiko vidutinė priežiūra</w:t>
      </w:r>
      <w:r>
        <w:t xml:space="preserve"> – vaiko priežiūra vaikų socializacijos centre.</w:t>
      </w:r>
    </w:p>
    <w:p w:rsidR="00DD08F5" w:rsidRDefault="00DD08F5" w:rsidP="00DD08F5">
      <w:pPr>
        <w:ind w:firstLine="720"/>
        <w:jc w:val="both"/>
      </w:pPr>
      <w:r>
        <w:t>Specialiosios pedagogikos ir psichologijos centro prie Švietimo ir mokslo ministerijos duomenimis 2008 01 01 – 2009 01 30  minimali priežiūra savivaldybėse taikyta  290 vaikams, iš jų: 80 vaikų taikyta viena minimali priežiūros priemonė, 210 vaikų taikytos kelios tarpusavyje suderintos minimalios priežiūros priemonės.</w:t>
      </w:r>
    </w:p>
    <w:p w:rsidR="00DD08F5" w:rsidRDefault="00DD08F5" w:rsidP="00DD08F5">
      <w:pPr>
        <w:pStyle w:val="Pagrindiniotekstotrauka"/>
        <w:rPr>
          <w:szCs w:val="24"/>
          <w:lang w:val="lt-LT"/>
        </w:rPr>
      </w:pPr>
      <w:r>
        <w:rPr>
          <w:szCs w:val="24"/>
          <w:lang w:val="lt-LT"/>
        </w:rPr>
        <w:t>Pagrindinės minimalios priežiūros priemonių skyrimo priežastys:</w:t>
      </w:r>
    </w:p>
    <w:p w:rsidR="00DD08F5" w:rsidRDefault="00DD08F5" w:rsidP="00DD08F5">
      <w:pPr>
        <w:ind w:firstLine="720"/>
        <w:jc w:val="both"/>
      </w:pPr>
      <w:r>
        <w:t xml:space="preserve"> mokyklos nelankymas;</w:t>
      </w:r>
    </w:p>
    <w:p w:rsidR="00DD08F5" w:rsidRDefault="00DD08F5" w:rsidP="00DD08F5">
      <w:pPr>
        <w:ind w:firstLine="720"/>
        <w:jc w:val="both"/>
      </w:pPr>
      <w:r>
        <w:t xml:space="preserve"> elgesys, darantys žalą ir keliantis pavojų aplinkiniams.</w:t>
      </w:r>
    </w:p>
    <w:p w:rsidR="00DD08F5" w:rsidRDefault="00DD08F5" w:rsidP="00DD08F5">
      <w:pPr>
        <w:ind w:firstLine="720"/>
        <w:jc w:val="both"/>
      </w:pPr>
      <w:r>
        <w:t xml:space="preserve"> Minimalios priežiūros priemonių taikymas apskrityse 2008 01 01 – 2009 01 30 taikytas sekančiai:</w:t>
      </w:r>
    </w:p>
    <w:p w:rsidR="00DD08F5" w:rsidRDefault="00DD08F5" w:rsidP="00DD08F5">
      <w:pPr>
        <w:ind w:firstLine="720"/>
        <w:jc w:val="both"/>
      </w:pPr>
      <w:r>
        <w:t xml:space="preserve">Alytaus apskrityje – 10 vaikų; Kauno apskrityje - 44 vaikams; Klaipėdos apskrityje – 37 vaikams; Marijampolės apskrityje – 21 vaikui; Panevėžio apskrityje – 45 vaikams; Šiaulių apskrityje – </w:t>
      </w:r>
      <w:r>
        <w:lastRenderedPageBreak/>
        <w:t xml:space="preserve">38 vaikams; Tauragės apskrityje – 15 vaikų; Telšių apskrityje - 19 vaikų; Utenos apskrityje - 18 vaikų; Vilniaus apskrityje – 43 vaikams. </w:t>
      </w:r>
    </w:p>
    <w:p w:rsidR="00DD08F5" w:rsidRDefault="00DD08F5" w:rsidP="00DD08F5">
      <w:pPr>
        <w:ind w:firstLine="720"/>
        <w:jc w:val="both"/>
      </w:pPr>
      <w:r>
        <w:t xml:space="preserve">49 vaikai įpareigoti lankyti vaikų dienos centrus. 90 vaikų įpareigoti dalyvauti socialinio ugdymo, reabilitacijos, integracijos, prevencijos ir kitose programose. 175 vaikai įpareigoti mokytis pagal pradinio ir pagrindinio ugdymo programas. 191 vaikų teiktos specialistų konsultacijos. </w:t>
      </w:r>
    </w:p>
    <w:p w:rsidR="00DD08F5" w:rsidRDefault="00DD08F5" w:rsidP="00DD08F5">
      <w:pPr>
        <w:ind w:firstLine="720"/>
        <w:jc w:val="both"/>
      </w:pPr>
      <w:r>
        <w:t xml:space="preserve">Minimalios priežiūros priemonių įgyvendinimo išvados: </w:t>
      </w:r>
    </w:p>
    <w:p w:rsidR="00DD08F5" w:rsidRDefault="00DD08F5" w:rsidP="00DD08F5">
      <w:pPr>
        <w:ind w:firstLine="720"/>
        <w:jc w:val="both"/>
      </w:pPr>
      <w:r>
        <w:t>- 12 savivaldybių netaikė minimalios priežiūros priemonių vaikams (nebuvo teikti prašymai).</w:t>
      </w:r>
    </w:p>
    <w:p w:rsidR="00DD08F5" w:rsidRDefault="00DD08F5" w:rsidP="00DD08F5">
      <w:pPr>
        <w:ind w:firstLine="720"/>
        <w:jc w:val="both"/>
      </w:pPr>
      <w:r>
        <w:t>- Daugumai vaikų buvo derinamos kelios minimalios priežiūros priemonės (įpareigojimas mokytis ir specialisto konsultacijos).</w:t>
      </w:r>
    </w:p>
    <w:p w:rsidR="00DD08F5" w:rsidRDefault="00DD08F5" w:rsidP="00DD08F5">
      <w:pPr>
        <w:ind w:firstLine="720"/>
        <w:jc w:val="both"/>
      </w:pPr>
      <w:r>
        <w:t>- Dažniausiai minimalios priežiūros priemonę (-es) vykdantys asmenys buvo mokyklų vadovai, socialiniai pedagogai ir psichologai.</w:t>
      </w:r>
    </w:p>
    <w:p w:rsidR="00DD08F5" w:rsidRDefault="00DD08F5" w:rsidP="00DD08F5">
      <w:pPr>
        <w:ind w:firstLine="720"/>
        <w:jc w:val="both"/>
      </w:pPr>
      <w:r>
        <w:t xml:space="preserve">- Trūksta tėvų (globėjų) iniciatyvos dėl minimalios  priežiūros priemonėms skirti ir reikiamai pagalbai organizuoti bei teikti. </w:t>
      </w:r>
    </w:p>
    <w:p w:rsidR="00DD08F5" w:rsidRDefault="00DD08F5" w:rsidP="00DD08F5">
      <w:pPr>
        <w:ind w:firstLine="720"/>
        <w:jc w:val="both"/>
      </w:pPr>
      <w:r>
        <w:t xml:space="preserve">- Nors ir numatyta nuostatuose, išsami informacija apie minimalios priežiūros priemonių taikymą ne visada perduodama  vidutinės priežiūros priemonę vykdantiems asmenims. </w:t>
      </w:r>
    </w:p>
    <w:p w:rsidR="00DD08F5" w:rsidRDefault="00DD08F5" w:rsidP="00DD08F5">
      <w:pPr>
        <w:ind w:firstLine="720"/>
        <w:jc w:val="both"/>
      </w:pPr>
      <w:r>
        <w:t xml:space="preserve">Vidutinės priežiūros priemonių taikymas Vaikų socializacijos centruose 2008 01 01 – 2008 12 01 laikotarpiu :  </w:t>
      </w:r>
    </w:p>
    <w:p w:rsidR="00DD08F5" w:rsidRDefault="00DD08F5" w:rsidP="00DD08F5">
      <w:pPr>
        <w:ind w:firstLine="720"/>
        <w:jc w:val="both"/>
      </w:pPr>
      <w:r>
        <w:t xml:space="preserve">      33 savivaldybių administracijos direktorius ar jo įgaliotas asmuo neteikė prašymo teismui dėl vidutinės priežiūros priemonės taikymo.</w:t>
      </w:r>
    </w:p>
    <w:p w:rsidR="00DD08F5" w:rsidRDefault="00DD08F5" w:rsidP="00DD08F5">
      <w:pPr>
        <w:ind w:firstLine="720"/>
        <w:jc w:val="both"/>
      </w:pPr>
      <w:r>
        <w:t xml:space="preserve"> Vidutinės priežiūros priemonės taikytos 49 mergaitėms, iš jų 48 teismo leidimu, 1 – pagal LR Baudžiamąjį kodeksą.</w:t>
      </w:r>
    </w:p>
    <w:p w:rsidR="00DD08F5" w:rsidRDefault="00DD08F5" w:rsidP="00DD08F5">
      <w:pPr>
        <w:ind w:firstLine="720"/>
        <w:jc w:val="both"/>
      </w:pPr>
      <w:r>
        <w:t xml:space="preserve">  Vidutinės priežiūros priemonės taikytos 50 berniukų, iš jų 34 teismo leidimu, 16 – pagal LR Baudžiamąjį kodeksą. </w:t>
      </w:r>
    </w:p>
    <w:p w:rsidR="00DD08F5" w:rsidRDefault="00DD08F5" w:rsidP="00DD08F5">
      <w:pPr>
        <w:ind w:firstLine="720"/>
        <w:jc w:val="both"/>
      </w:pPr>
      <w:r>
        <w:t xml:space="preserve">2009 metais vidutinės priežiūros priemonę taikė šeši socializacijos centrai (Vilniaus, Kauno ir Šiaulių apskrityse). Nuo 2009 09 01 Panevėžio apskrities vaikų socializacijos centre priimami berniukai, kuriems paskirta vidutinės priežiūros priemonė. </w:t>
      </w:r>
    </w:p>
    <w:p w:rsidR="00DD08F5" w:rsidRDefault="00DD08F5" w:rsidP="00DD08F5">
      <w:pPr>
        <w:ind w:firstLine="720"/>
        <w:jc w:val="both"/>
      </w:pPr>
      <w:r>
        <w:t>2009 03 18 vaikų skaičius Vaikų socializacijos centruose buvo toks: Veliučionių – 24, Čiobiškio – 20, Kauno apskr. – 28, Vilniaus apskr. – 33, Gruzdžių – 16, “Saulutė” – 5.</w:t>
      </w:r>
    </w:p>
    <w:p w:rsidR="00DD08F5" w:rsidRDefault="00DD08F5" w:rsidP="00DD08F5">
      <w:pPr>
        <w:ind w:firstLine="720"/>
        <w:jc w:val="both"/>
      </w:pPr>
      <w:r>
        <w:t xml:space="preserve">Taikant vidutinės priežiūros priemonės Vaikų socializacijos centruose buvo jaučiama tarpinstitucinio bendradarbiavimo stoka, vaikai į socializacijos centrus pristatomi be reikiamų dokumentų, neperduodama visa ugdymui reikalinga informacija. </w:t>
      </w:r>
    </w:p>
    <w:p w:rsidR="00DD08F5" w:rsidRDefault="00DD08F5" w:rsidP="00DD08F5">
      <w:pPr>
        <w:ind w:firstLine="720"/>
        <w:jc w:val="both"/>
      </w:pPr>
      <w:r>
        <w:t xml:space="preserve">Nustatyta, kad Vaikų socializacijos centrai retai teikia informaciją apie vidutinės priežiūros priemonės vykdymo eigą vaiko atstovams pagal įstatymą. </w:t>
      </w:r>
    </w:p>
    <w:p w:rsidR="00DD08F5" w:rsidRDefault="00DD08F5" w:rsidP="00DD08F5">
      <w:pPr>
        <w:ind w:firstLine="720"/>
        <w:jc w:val="both"/>
      </w:pPr>
      <w:r>
        <w:t xml:space="preserve">Aktyviai organizuojamas užimtumas po pamokų, tačiau, nepakankamai ugdomi vaikų socialiniai įgūdžiai, siekiant padėti vaikams išmokti kontroliuoti veiksmus, priimti pagrįstus sprendimus, lemiančius pozityvų ir apgalvotą elgėsį. </w:t>
      </w:r>
    </w:p>
    <w:p w:rsidR="00DD08F5" w:rsidRDefault="00DD08F5" w:rsidP="00DD08F5">
      <w:pPr>
        <w:ind w:firstLine="720"/>
        <w:jc w:val="both"/>
      </w:pPr>
      <w:r>
        <w:t xml:space="preserve">Veikia Specializuota kvalifikacijos tobulinimo programa specialistams, vykdantiems vaiko minimalios priežiūros priemones ir koordinuojantiems jų veiklą, kurios tikslas  - tobulinti specialistų, vykdančių vaiko minimalios priežiūros priemones bei koordinuojančių jų vykdmą, kompetencijas, padedančias užtikrinanti kokybiškos švietimo pagalbo teikimą. </w:t>
      </w:r>
    </w:p>
    <w:p w:rsidR="00DD08F5" w:rsidRDefault="00DD08F5" w:rsidP="00DD08F5">
      <w:pPr>
        <w:ind w:firstLine="720"/>
        <w:jc w:val="both"/>
      </w:pPr>
      <w:r>
        <w:t>Šios programos pagrindiniai uždaviniai yra:</w:t>
      </w:r>
    </w:p>
    <w:p w:rsidR="00DD08F5" w:rsidRDefault="00DD08F5" w:rsidP="00DD08F5">
      <w:pPr>
        <w:ind w:firstLine="720"/>
        <w:jc w:val="both"/>
      </w:pPr>
      <w:r>
        <w:t>- supažindinti specialistus su norminiais dokumentais, reglamentuojančiais vaiko minimalios ir vidutinės priežiūros įstatymo nuostatų įgyvendinimą;</w:t>
      </w:r>
    </w:p>
    <w:p w:rsidR="00DD08F5" w:rsidRDefault="00DD08F5" w:rsidP="00DD08F5">
      <w:pPr>
        <w:ind w:firstLine="720"/>
        <w:jc w:val="both"/>
      </w:pPr>
      <w:r>
        <w:t>- analizuoti ir specialistams perteikti ES šalių ir Lietuvos darbo su delinkventinio elgesio vaikais gerąją patirtį bei jiems taikomas korekcijos priemones;</w:t>
      </w:r>
    </w:p>
    <w:p w:rsidR="00DD08F5" w:rsidRDefault="00DD08F5" w:rsidP="00DD08F5">
      <w:pPr>
        <w:ind w:firstLine="720"/>
        <w:jc w:val="both"/>
      </w:pPr>
      <w:r>
        <w:t>- suteikti specialistams teorinių žinių apie psichosocialinius delinkventinio elgesio vaikų ypatumus bei tobulinti praktinius gebėjimus taikyti socialinės pagalbos technikas ir korekcijos priemones;</w:t>
      </w:r>
    </w:p>
    <w:p w:rsidR="00DD08F5" w:rsidRDefault="00DD08F5" w:rsidP="00DD08F5">
      <w:pPr>
        <w:ind w:firstLine="720"/>
        <w:jc w:val="both"/>
      </w:pPr>
      <w:r>
        <w:t xml:space="preserve">- tobulinti specialistų vadybinius gebėjimus; gebėjimą planuoti, koordinuoti kitų specialistų veiklą, kurti informacinius komunikavimo tinklus su kitomis institucijomis bei valdyti projektus. </w:t>
      </w:r>
    </w:p>
    <w:p w:rsidR="00DD08F5" w:rsidRDefault="00DD08F5" w:rsidP="00DD08F5">
      <w:pPr>
        <w:ind w:firstLine="720"/>
        <w:jc w:val="both"/>
      </w:pPr>
      <w:r>
        <w:t xml:space="preserve">  Specialiosios pedagogikos ir psichologijos centras prie Švietimo ir mokslo ministerijos turi parengti Lietuvos Respublikos vaiko minimalios ir vidutinės priežiūros įstatyme numatytų priežiūros formų skyrimo ir įgyvendinimo rekomendacijas. Taip pat numatomas specialistų, dirbančių Vaikų specializacijos centruose, kvalifikacijos tobulinimas iš Europos Sąjungos struktūrinių fondų lėšų pagal MPT plius programą.</w:t>
      </w:r>
    </w:p>
    <w:p w:rsidR="00DD08F5" w:rsidRDefault="00DD08F5" w:rsidP="00DD08F5">
      <w:pPr>
        <w:ind w:firstLine="720"/>
        <w:jc w:val="both"/>
      </w:pPr>
      <w:r>
        <w:lastRenderedPageBreak/>
        <w:t xml:space="preserve"> Specialiosios pedagogikos ir psichologijos centro prie Švietimo ir mokslo ministerijos duomenimis, Lietuvos Respublikos vaiko minimalios ir vidutinės priežiūros įstatymo nuostatoms įgyvendinti, formuojamas “vieno langelio” principas, siekiant informacijos apie minimalios ir vidutinės priežiūros taikymą prieinamumo ir sklaidos visuomenėje, nuolatinio monitoringo, adekvataus vaikų socializacijos centrų užimtumo bei reikiamos pagalbos organizavimo teikimo.  </w:t>
      </w:r>
    </w:p>
    <w:p w:rsidR="00DD08F5" w:rsidRDefault="00DD08F5" w:rsidP="00DD08F5">
      <w:pPr>
        <w:ind w:firstLine="720"/>
        <w:jc w:val="both"/>
      </w:pPr>
      <w:r>
        <w:t>2009 03 18 Seimo Narkomanijos ir alkoholizmo prevencijos komisija   pritarė darbo grupės sudarymui “Dėl Lietuvos Respublikos vaiko minimalios ir vidutinės priežiūros įstatymo pakeitimo ir papildymo” projektui parengti. Lietuvos Respublikos Seimo valdyba 2009 m. patvirtino darbo grupę sudėtį “Dėl Lietuvos Respublikos Vaiko minimalios ir vidutinės priežiūros įstatymo pakeitimo ir papildymo” projektui parengti.</w:t>
      </w:r>
    </w:p>
    <w:p w:rsidR="00DD08F5" w:rsidRDefault="00DD08F5" w:rsidP="00DD08F5">
      <w:pPr>
        <w:jc w:val="both"/>
        <w:rPr>
          <w:i/>
          <w:iCs/>
        </w:rPr>
      </w:pPr>
    </w:p>
    <w:p w:rsidR="00DD08F5" w:rsidRDefault="00DD08F5" w:rsidP="00DD08F5">
      <w:pPr>
        <w:ind w:left="720"/>
        <w:jc w:val="both"/>
        <w:rPr>
          <w:b/>
          <w:bCs/>
        </w:rPr>
      </w:pPr>
      <w:r>
        <w:rPr>
          <w:b/>
          <w:bCs/>
        </w:rPr>
        <w:t>III.</w:t>
      </w:r>
      <w:r>
        <w:t xml:space="preserve">  </w:t>
      </w:r>
      <w:r>
        <w:rPr>
          <w:b/>
          <w:bCs/>
        </w:rPr>
        <w:t>Europos Sąjungos struktūrinė parama  Lietuvai, sprendžiant  2007 – 2013 m. šeimos ir vaiko gerovės politikos klausimus Lietuvoje</w:t>
      </w:r>
    </w:p>
    <w:p w:rsidR="00DD08F5" w:rsidRDefault="00DD08F5" w:rsidP="00DD08F5">
      <w:pPr>
        <w:ind w:left="720"/>
        <w:jc w:val="both"/>
        <w:rPr>
          <w:b/>
          <w:bCs/>
        </w:rPr>
      </w:pPr>
    </w:p>
    <w:p w:rsidR="00DD08F5" w:rsidRDefault="00DD08F5" w:rsidP="00DD08F5">
      <w:pPr>
        <w:jc w:val="both"/>
      </w:pPr>
      <w:r>
        <w:tab/>
        <w:t xml:space="preserve">Seimo Narkomanijos ir alkoholizmo prevencijos komisija nagrinėjo 2007 – 2013 m.  struktūrinę paramą Lietuvai ir galimybes, sprendžiant šeimos ir vaikų gerovės politikos klausimus Lietuvoje. </w:t>
      </w:r>
    </w:p>
    <w:p w:rsidR="00DD08F5" w:rsidRDefault="00DD08F5" w:rsidP="00DD08F5">
      <w:pPr>
        <w:ind w:firstLine="720"/>
        <w:jc w:val="both"/>
      </w:pPr>
      <w:r>
        <w:t xml:space="preserve">Lietuvoje veikia 2007 – 2013 m. ES struktūrinės paramos panaudojimo strategija (Nacionalinė bendroji strategija) ir keturios veiksmų programos šiai strategijai įgyvendinti, kurios finansuojamos sekančiai: </w:t>
      </w:r>
    </w:p>
    <w:p w:rsidR="00DD08F5" w:rsidRDefault="00DD08F5" w:rsidP="00DD08F5">
      <w:pPr>
        <w:ind w:firstLine="720"/>
        <w:jc w:val="both"/>
      </w:pPr>
      <w:r>
        <w:t>- Žmogiškųjų išteklių plėtros (13,8 proc.), t.y. 3 228,43 mln. Lt iš ESF fondo.</w:t>
      </w:r>
    </w:p>
    <w:p w:rsidR="00DD08F5" w:rsidRDefault="00DD08F5" w:rsidP="00DD08F5">
      <w:pPr>
        <w:ind w:firstLine="720"/>
        <w:jc w:val="both"/>
      </w:pPr>
      <w:r>
        <w:t>- Ekonomikos augimo (45,72 proc.), t.y. 10 697,01 mln. Lt iš ERDF/SF fondo.</w:t>
      </w:r>
    </w:p>
    <w:p w:rsidR="00DD08F5" w:rsidRDefault="00DD08F5" w:rsidP="00DD08F5">
      <w:pPr>
        <w:ind w:firstLine="720"/>
        <w:jc w:val="both"/>
      </w:pPr>
      <w:r>
        <w:t>- Sangaludos skatinimo (39,08 proc.), t.y. 9 141, 46 mln. Lt iš ERDF/SF fondo.</w:t>
      </w:r>
    </w:p>
    <w:p w:rsidR="00DD08F5" w:rsidRDefault="00DD08F5" w:rsidP="00DD08F5">
      <w:pPr>
        <w:jc w:val="both"/>
      </w:pPr>
      <w:r>
        <w:t xml:space="preserve"> </w:t>
      </w:r>
      <w:r>
        <w:tab/>
        <w:t xml:space="preserve">- Techninės paramos (1,4 proc.), t.y. 322,11 mln. Lt iš ESF fondo.  </w:t>
      </w:r>
    </w:p>
    <w:p w:rsidR="00DD08F5" w:rsidRDefault="00DD08F5" w:rsidP="00DD08F5">
      <w:pPr>
        <w:ind w:firstLine="720"/>
        <w:jc w:val="both"/>
      </w:pPr>
      <w:r>
        <w:t>Nacionalinės bendrosios strategijos pagrindinis tikslas – sukurti geresnės sąlygas investuoti, dirbti ir gyventi Lietuvoje, kad ūkio augimo teikiama nauda pasiektų visus Lietuvos gyventojus.</w:t>
      </w:r>
    </w:p>
    <w:p w:rsidR="00DD08F5" w:rsidRDefault="00DD08F5" w:rsidP="00DD08F5">
      <w:pPr>
        <w:ind w:firstLine="720"/>
        <w:jc w:val="both"/>
      </w:pPr>
      <w:r>
        <w:t>I tikslas: Spartinti ūkio augimą ilguoju laikotarpiu ir kryptimi - produktyvūs žmogiškieji ištekliai žinių visuomenei.</w:t>
      </w:r>
    </w:p>
    <w:p w:rsidR="00DD08F5" w:rsidRDefault="00DD08F5" w:rsidP="00DD08F5">
      <w:pPr>
        <w:ind w:firstLine="720"/>
        <w:jc w:val="both"/>
      </w:pPr>
      <w:r>
        <w:t>II tikslas: Kurti daugiau ir geresnių dabo vietų ir kryptimi – konkurencinga ekonomika.</w:t>
      </w:r>
    </w:p>
    <w:p w:rsidR="00DD08F5" w:rsidRDefault="00DD08F5" w:rsidP="00DD08F5">
      <w:pPr>
        <w:ind w:firstLine="720"/>
        <w:jc w:val="both"/>
      </w:pPr>
      <w:r>
        <w:t>III tikslas: Plėtoti socialinę sanglaudą ir kryptimi - gyvenimo kokybė ir sanglauda.</w:t>
      </w:r>
    </w:p>
    <w:p w:rsidR="00DD08F5" w:rsidRDefault="00DD08F5" w:rsidP="00DD08F5">
      <w:pPr>
        <w:ind w:firstLine="720"/>
        <w:jc w:val="both"/>
      </w:pPr>
      <w:r>
        <w:t xml:space="preserve">Veiksmų programose Nacionalinei bendrajai strategijai įgyvendinti numatyta, kad : </w:t>
      </w:r>
    </w:p>
    <w:p w:rsidR="00DD08F5" w:rsidRDefault="00DD08F5" w:rsidP="00DD08F5">
      <w:pPr>
        <w:ind w:firstLine="720"/>
        <w:jc w:val="both"/>
      </w:pPr>
      <w:r>
        <w:t>1. Žmogiškųjų išteklių plėtros veiksmų programą sudaro: kokybiškas užimtumas ir socialinė aprėptis; mokymasis visą gyvenimą;  tyrėjų gebėjimų stiprinimas;  administracinių gebėjimų stiprinimas ir viešojo administravimo efektyvumo didinimas;  techninė parama.</w:t>
      </w:r>
    </w:p>
    <w:p w:rsidR="00DD08F5" w:rsidRDefault="00DD08F5" w:rsidP="00DD08F5">
      <w:pPr>
        <w:jc w:val="both"/>
      </w:pPr>
      <w:r>
        <w:tab/>
        <w:t>2. Ekonomikos augimo veiksmų programą sudaro: ūkio konkurencingumui ir ekonomikos augimui skirta MTTP; verslo produktyvumo didinimas ir aplinkos verslui gerinimas; informacinė visuomenė visiems; esminė ekonominė infrastruktūra; transeuropinių transporto tinklų plėtra; techninė parama.</w:t>
      </w:r>
    </w:p>
    <w:p w:rsidR="00DD08F5" w:rsidRDefault="00DD08F5" w:rsidP="00DD08F5">
      <w:pPr>
        <w:jc w:val="both"/>
      </w:pPr>
      <w:r>
        <w:tab/>
        <w:t xml:space="preserve">3. Sanglaudos skatinimo veiksmų programą sudaro: vietinė ir urbanistinė plėtra, kultūros paveldo ir gamtos išsaugojimas bei pritaikymas turizmo plėtrai; viešųjų paslaugų (sveikatos, švietimo, socialinių) kokybė ir prieinamumas; aplinka ir darnus vystymasis; techninė parama.   </w:t>
      </w:r>
    </w:p>
    <w:p w:rsidR="00DD08F5" w:rsidRDefault="00DD08F5" w:rsidP="00DD08F5">
      <w:pPr>
        <w:jc w:val="both"/>
      </w:pPr>
      <w:r>
        <w:t xml:space="preserve">   </w:t>
      </w:r>
      <w:r>
        <w:tab/>
        <w:t xml:space="preserve">4. Techninės paramos veiksmų programą  sudaro: techninė parama ES struktūrinės paramos, gaunamos siekiant konvergencijos tikslo, nacionalinei valdymo ir kontrolės sistemai. </w:t>
      </w:r>
    </w:p>
    <w:p w:rsidR="00DD08F5" w:rsidRDefault="00DD08F5" w:rsidP="00DD08F5">
      <w:pPr>
        <w:jc w:val="both"/>
      </w:pPr>
      <w:r>
        <w:t xml:space="preserve">  </w:t>
      </w:r>
      <w:r>
        <w:tab/>
        <w:t xml:space="preserve">Finansų ministerijos pateiktoje informacijoje nurodyta, kad  VP1-1.1- SADM – 04- K priemonės “Šeimos ir darbo įsipareigojimų derinimas”  tikslas – sudaryti palankias sąlygas darbingo amžiaus ekonomiškai aktyviems asmenims (dirbantiems arba ieškantiems darbo) derinti šeimos ir darbo įsipareigojimus, skatinti šeimai palankių darboviečių kūrimąsi. Priemonei įgyvendinti numatyta 36 mln. ES paramos ir 12,6 mln. biudžeto lėšų. Viso 48,6 mln. litų. Galimi pareiškėjai: valstybės ir savivaldybių biudžetinės įstaigos; privatieji juridiniai asmenys, valstybės ar savivaldybių įmonės; viešosios įstaigos; asociacijos, labdaros ir paramos fondai; profesinės sąjungos ir jų susivienijimai; religinės bendruomenės ir bendrijos; tarptautinės organizacijos. Projektų atrankos būdas – projektų konkursas. </w:t>
      </w:r>
    </w:p>
    <w:p w:rsidR="00DD08F5" w:rsidRDefault="00DD08F5" w:rsidP="00DD08F5">
      <w:pPr>
        <w:ind w:firstLine="720"/>
        <w:jc w:val="both"/>
      </w:pPr>
      <w:r>
        <w:t xml:space="preserve">Finansų ministerijos pateiktoje informacijoje nurodyta, kad  VP1-1.3- SADM – 01- K priemonės “Diskriminacijos mažinimas ir socialinių problemų prevencija dabo rinkoje” tikslas – mažinti diskriminaciją dabo rinkoje, skatinti lyčių lygybę ir išvengti socialinių problemų atsiradimo, šiuo tikslu informuoti ir šviesti visuomenę. Priemonei įgyvendinti numatyta 20 mln. litų. Galimi </w:t>
      </w:r>
      <w:r>
        <w:lastRenderedPageBreak/>
        <w:t xml:space="preserve">pareiškėjai: valstybės ar savivaldybių biudžetinės įstaigos; viešosios įstaigos; asociacijos, labdaros ir paramos fondai; profesinės sąjungos, religinės bendruomenės ir bendrijos; tarptautinės organizacijos. Projektų atrankos būdas – projektų konkursas. </w:t>
      </w:r>
    </w:p>
    <w:p w:rsidR="00DD08F5" w:rsidRDefault="00DD08F5" w:rsidP="00DD08F5">
      <w:pPr>
        <w:ind w:firstLine="720"/>
        <w:jc w:val="both"/>
      </w:pPr>
      <w:r>
        <w:t xml:space="preserve">Finansų ministerijos pateiktoje informacijoje nurodyta, kad  VP1-1.3- SADM – 02-  priemonės “Socialinės rizikos ir socialinę atskirtį patiriančių asmenų integracija į darbo rinką” tikslas – padėti socialinės rizikos ir socialinę atskirtį patiriantiems asmenims integruotis į darbo rinką, siekiant išvengti jų socialinės atskirties. Priemonei įgyvendinti numatyta 173 mln. litų iš ES struktūrinės paramos. Galimi pareiškėjai: valstybės ar savivaldybių biudžetinės įstaigos; viešosios įstaigos; asociacijos, labdaros ir paramos fondai; religinės bendruomenės ir bendrijos; tarptautinės organizacijos. Projektų atrankos būdas – projektų konkursas. </w:t>
      </w:r>
    </w:p>
    <w:p w:rsidR="00DD08F5" w:rsidRDefault="00DD08F5" w:rsidP="00DD08F5">
      <w:pPr>
        <w:ind w:firstLine="720"/>
        <w:jc w:val="both"/>
      </w:pPr>
      <w:r>
        <w:t xml:space="preserve">Finansų ministerijos pateiktoje informacijoje nurodyta, kad  VP1-2.3- ŠMM – 04- V priemonės “Kokybiškos mokymosi psichologinės, specialiosios ar socialinės pedagoginės ir kitokios pagalbos besimokantiems teikimas, didinant mokymosi visą gyvenimą paslaugų prieinamumą” tikslas – plėtoti kokybišką mokymosi, psichologinę, specialiąją ir socialinę pedagoginę pagalbą. Šiuo tikslu siekiama užtikrinti specialiųjų poreikių mokinių ugdymo organizavimo veiksmingumą, tenkinti mokinių specialiuosius ugdymo (-si) poreikius, didinti jų galimybes išlikti švietimo sistemoje, tobulinti ir koordinuoti prevencinę veiklą keliant švietimo ir pagalbos darbuotojų ekspertinius gebėjimus, edukacines ir vadybines kompetencijas. Priemonei įgyvendinti numatyta 35,7 mln. litų iš ES struktūrinės paramos ir 5,67 mln. lt biudžeto lėšų. Viso 42 mln. lt. Galimi pareiškėjai: Specialiosios pedagogikos ir psichologijos centras; Pedagogų profesinės raidos centras. Projektų atrankos būdas – valstybės projektų planavimas.      </w:t>
      </w:r>
    </w:p>
    <w:p w:rsidR="00DD08F5" w:rsidRDefault="00DD08F5" w:rsidP="00DD08F5">
      <w:pPr>
        <w:ind w:firstLine="720"/>
        <w:jc w:val="both"/>
      </w:pPr>
      <w:r>
        <w:t xml:space="preserve">Finansų ministerijos pateiktoje informacijoje nurodyta, kad  VP3- 2.1-  SAM – 05- V priemonės “Diferencijuotų kompleksinės psichiatrinės pagalbos vaikui ir šeimai centrų įkūrimas” tikslas – plėtoti kompleksinės vaikų ir paauglių psichikos sveikatos priežiūros paslaugas (ambulatorines – konsultacines, dienos stacionaro, krizių intervencijos, stacionaro). Priemonei įgyvendinti numatyta 12,75 mln. litų iš ES struktūrinės paramos ir 2,25 mln. lt biudžeto lėšų. Viso 15 mln. lt. Galimi pareiškėjai – projektus pagal priemone įgyvendina viešosios stacionariosios asmens sveikatos priežiūros įstaigos, turinčios psichiatrijos skyrius ir sutartis su teritorinėmis ligonių kasomis. Projektų atrankos būdas – valstybės projektų planavimas. </w:t>
      </w:r>
    </w:p>
    <w:p w:rsidR="00DD08F5" w:rsidRDefault="00DD08F5" w:rsidP="00DD08F5">
      <w:pPr>
        <w:ind w:firstLine="720"/>
        <w:jc w:val="both"/>
      </w:pPr>
      <w:r>
        <w:t xml:space="preserve">Finansų ministerijos pateiktoje informacijoje nurodyta, kad  VP3- 2.4 - SADM – 01- R priemonės “Nestacionarių socialinių paslaugų infrastruktūros plėtra” tikslas – gerinti nestacionarių socialinių paslaugų infrastruktūrą: mažinti socialinių paslaugų infrastruktūros skirtumus savivaldybėse, dekoncentruoti ir decentralizuoti socialinių paslaugų organizavimą ir teikimą, didinti jų įvairovę, modernizuoti socialinių paslaugų įstaigų materialinę bazę, prisidėti prie asmenų, kuriems skirtos socialinės  paslaugos, arba tokių asmenų šeimos narių sugrįžimo į darbo rinką. Priemonei įgyvendinti numatyta 152, 97 mln. lt ES paramos ir 13,5 mln. lt biudžeto lėšų. Viso 179,9 mln. lt. Galimi pareiškėjai –  savivaldybių administracijos, savivaldybių biudžetinės įstaigos, viešosios įstaigos, asociacijos, religinės bendruomenės ar bendrijos, labdaros ir paramos fondai. Projektų atrankos būdas – regionų projektų planavimas.      </w:t>
      </w:r>
    </w:p>
    <w:p w:rsidR="00DD08F5" w:rsidRDefault="00DD08F5" w:rsidP="00DD08F5">
      <w:pPr>
        <w:ind w:firstLine="720"/>
        <w:jc w:val="both"/>
      </w:pPr>
      <w:r>
        <w:t xml:space="preserve">Finansų ministerijos pateiktoje informacijoje nurodyta, kad  VP3- 2.2 – ŠMM – 11- V priemonės “ Jaunimo mokyklų aplinkos pritaikymas” tikslas -  sukurti sąlygas mokiniams pasirinkti mokymosi kryptį, atitinkančią įvairius jų polinkius bei poreikius ir galimybes išlikti švietimo sistemoje, sudaryti jaunimo mokyklose tinkamą aplinką įvairiapusiam ugdymui – bendrojo ugdymo, ikiprofesinio mokymo, papildomojo ugdymo tikslams pasiekti, atsižvelgiant į tai, kad šiose mokyklose mokosi mokiniai, turintys mokymosi motyvacijos, socializacijos problemų. Priemonei įgyvendinti numatyta 19,9 mln. ES paramos ir 3,5 mln. lt biudžeto lėšų. Viso 23,3 mln. lt. Galimi pareiškėjai – projektus pagal priemonę įgyvendina Švietimo ir mokslo ministerijos Švietimo aprūpinimo centras. Projektų atrankos būdas – valstybės projektų planavimas.  </w:t>
      </w:r>
    </w:p>
    <w:p w:rsidR="00DD08F5" w:rsidRDefault="00DD08F5" w:rsidP="00DD08F5">
      <w:pPr>
        <w:ind w:firstLine="720"/>
        <w:jc w:val="both"/>
      </w:pPr>
      <w:r>
        <w:t xml:space="preserve">Iš viso Finansų ministerijos 2009 m. kovo 18 d. Komisijai pateiktais duomenimis, sprendžiant šeimos ir vaiko gerovės politikos klausimus Lietuvoje ir panaudojant 2007 – 2013 m. Europos Sąjungos struktūrinę paramą  Lietuvai, 2007 - 2013 m. programavimo periodui iš Europos Sąjungos struktūrinės paramos Lietuvai skirta 23, 39 mlrd. Lt.  </w:t>
      </w:r>
    </w:p>
    <w:p w:rsidR="00DD08F5" w:rsidRDefault="00DD08F5" w:rsidP="00DD08F5">
      <w:pPr>
        <w:jc w:val="both"/>
      </w:pPr>
    </w:p>
    <w:p w:rsidR="00DD08F5" w:rsidRDefault="00DD08F5" w:rsidP="00DD08F5">
      <w:pPr>
        <w:jc w:val="both"/>
      </w:pPr>
    </w:p>
    <w:p w:rsidR="00DD08F5" w:rsidRDefault="00DD08F5" w:rsidP="00DD08F5">
      <w:pPr>
        <w:ind w:firstLine="720"/>
        <w:jc w:val="both"/>
        <w:rPr>
          <w:b/>
        </w:rPr>
      </w:pPr>
      <w:r>
        <w:rPr>
          <w:b/>
        </w:rPr>
        <w:t xml:space="preserve">IV. Dėl narkotikų, alkoholio ir tabako kontrolės stiprinimo </w:t>
      </w:r>
    </w:p>
    <w:p w:rsidR="00DD08F5" w:rsidRDefault="00DD08F5" w:rsidP="00DD08F5">
      <w:pPr>
        <w:jc w:val="both"/>
      </w:pPr>
    </w:p>
    <w:p w:rsidR="00DD08F5" w:rsidRDefault="00DD08F5" w:rsidP="00DD08F5">
      <w:pPr>
        <w:ind w:firstLine="720"/>
        <w:jc w:val="both"/>
      </w:pPr>
      <w:r>
        <w:lastRenderedPageBreak/>
        <w:t xml:space="preserve">Susipažinus su narkomanijos ir alkoholizmo situacija Lietuvoje ir išanalizavus Komisijoje gautus dokumentus, Lietuvos Respublikos Vyriausybei pasiūlyta kuo skubiau  priimti sprendimus dėl valstybės valdymo tobulinimo narkotikų, alkoholio ir tabako kontrolės srityse, nes vaikai auga aplinkoje, kurioje nesaikingai geriamas alkoholis; didėja psichoaktyviųjų medžiagų vartojimo mastas; padidėjo nusikalstamų veikų, susijusių su neteisėta narkotikų apyvarta ir kt.  </w:t>
      </w:r>
    </w:p>
    <w:p w:rsidR="00DD08F5" w:rsidRDefault="00DD08F5" w:rsidP="00DD08F5">
      <w:pPr>
        <w:ind w:firstLine="720"/>
        <w:jc w:val="both"/>
      </w:pPr>
      <w:r>
        <w:t>Lietuvos Respublikos Vyriausybei pasiūlyta:</w:t>
      </w:r>
    </w:p>
    <w:p w:rsidR="00DD08F5" w:rsidRDefault="00DD08F5" w:rsidP="00DD08F5">
      <w:pPr>
        <w:ind w:firstLine="720"/>
        <w:jc w:val="both"/>
      </w:pPr>
      <w:r>
        <w:t xml:space="preserve"> Griežčiau vykdyti  koordinavimo ir kontrolės veiklą centriniame  valdymo lygmenyje, įgyvendinant valstybės narkotikų,  alkoholio ir  tabako kontrolės politiką.</w:t>
      </w:r>
    </w:p>
    <w:p w:rsidR="00DD08F5" w:rsidRDefault="00DD08F5" w:rsidP="00DD08F5">
      <w:pPr>
        <w:ind w:firstLine="720"/>
        <w:jc w:val="both"/>
      </w:pPr>
      <w:r>
        <w:t>Kontroliuoti, kaip juridiniai ir fiziniai asmenys laikosi Lietuvos Respublikos įstatymų, Lietuvos Respublikos Vyriausybės nutarimų ir kitų teisės aktų narkotikų, alkoholio ir tabako kontrolės klausimais.</w:t>
      </w:r>
    </w:p>
    <w:p w:rsidR="00DD08F5" w:rsidRDefault="00DD08F5" w:rsidP="00DD08F5">
      <w:pPr>
        <w:ind w:firstLine="720"/>
        <w:jc w:val="both"/>
        <w:rPr>
          <w:color w:val="000000"/>
          <w:szCs w:val="13"/>
        </w:rPr>
      </w:pPr>
      <w:r>
        <w:t xml:space="preserve"> Kartu su kitomis valstybės institucijomis ir asociacijoms siekti, kad Lietuvoje būtų mažiau rūkoma ir vartojama alkoholinių gėrimų, kad tabakas ir alkoholis darytų kuo mažiau žalos gyventojų sveikatai ir ypatingai  vaikų sveikatai.</w:t>
      </w:r>
      <w:r>
        <w:rPr>
          <w:color w:val="000000"/>
          <w:szCs w:val="13"/>
        </w:rPr>
        <w:t xml:space="preserve"> </w:t>
      </w:r>
    </w:p>
    <w:p w:rsidR="00DD08F5" w:rsidRDefault="00DD08F5" w:rsidP="00DD08F5">
      <w:pPr>
        <w:ind w:firstLine="720"/>
        <w:jc w:val="both"/>
        <w:rPr>
          <w:color w:val="000000"/>
          <w:szCs w:val="13"/>
        </w:rPr>
      </w:pPr>
      <w:r>
        <w:rPr>
          <w:color w:val="000000"/>
          <w:szCs w:val="13"/>
        </w:rPr>
        <w:t>Užtikrinti narkotinių ir psichotropinių medžiagų paklausos ir pasiūlos mažinimo priemonių įgyvendinimą.</w:t>
      </w:r>
    </w:p>
    <w:p w:rsidR="00DD08F5" w:rsidRDefault="00DD08F5" w:rsidP="00DD08F5">
      <w:pPr>
        <w:ind w:firstLine="720"/>
        <w:jc w:val="both"/>
        <w:rPr>
          <w:color w:val="000000"/>
          <w:szCs w:val="13"/>
        </w:rPr>
      </w:pPr>
      <w:r>
        <w:rPr>
          <w:color w:val="000000"/>
          <w:szCs w:val="13"/>
        </w:rPr>
        <w:t xml:space="preserve">Atkreiptas dėmesys į tai, kad: </w:t>
      </w:r>
    </w:p>
    <w:p w:rsidR="00DD08F5" w:rsidRDefault="00DD08F5" w:rsidP="00DD08F5">
      <w:pPr>
        <w:pStyle w:val="Pagrindiniotekstotrauka3"/>
        <w:rPr>
          <w:i/>
          <w:iCs/>
        </w:rPr>
      </w:pPr>
      <w:r>
        <w:rPr>
          <w:i/>
          <w:iCs/>
        </w:rPr>
        <w:t>1) Valstybėje nepalankiai susiklostė situacija, kai vaikai auga nesaugioje jiems aplinkoje (nelanko mokyklos, bėga iš namų, lengviau įtraukiami į  įvairias priklausomybes)</w:t>
      </w:r>
    </w:p>
    <w:p w:rsidR="00DD08F5" w:rsidRDefault="00DD08F5" w:rsidP="00DD08F5">
      <w:pPr>
        <w:pStyle w:val="Pagrindiniotekstotrauka3"/>
      </w:pPr>
      <w:r>
        <w:t xml:space="preserve">  </w:t>
      </w:r>
    </w:p>
    <w:p w:rsidR="00DD08F5" w:rsidRDefault="00DD08F5" w:rsidP="00DD08F5">
      <w:pPr>
        <w:ind w:firstLine="720"/>
        <w:jc w:val="both"/>
      </w:pPr>
      <w:r>
        <w:t>Vilniaus universitete atlikto tyrimo duomenimis Lietuvos vaikai patys nelaimingiausi Europoje (iki 50 proc. 12 – 17 metų vaikai jaučia depresijos požymių), net 41,7 proc. mokyklinio amžiaus vaikų turi su psichikos sveikata susijusių problemų. Vis aktualesnės tampa ir kitos priklausomybės rūšys – priklausomybė nuo azartinių lošimų ar kompiuterinių žaidimų, interneto.</w:t>
      </w:r>
    </w:p>
    <w:p w:rsidR="00DD08F5" w:rsidRDefault="00DD08F5" w:rsidP="00DD08F5">
      <w:pPr>
        <w:jc w:val="both"/>
      </w:pPr>
      <w:r>
        <w:t xml:space="preserve"> </w:t>
      </w:r>
      <w:r>
        <w:tab/>
        <w:t xml:space="preserve">Vaikų rūkymas tampa problema. Rūkydami vaikai svaiginasi nitritais, net gėlių trąšomis. Dėl cheminių ir augalinių medžiagų, kurios gali būti naudojamos kaip svaiginamosios medžiagos, apribojant jų patekimą į rinką, Komisija 2009 02 18 priėmė sprendimą ir  kreipėsi su siūlymu imtis atitinkamų priemonių į Lietuvos Respublikos Vyriausybę, Sveikatos apsaugos ministrą ir Narkotikų kontrolės departamentą prie Lietuvos Respublikos Vyriausybės. </w:t>
      </w:r>
    </w:p>
    <w:p w:rsidR="00DD08F5" w:rsidRDefault="00DD08F5" w:rsidP="00DD08F5">
      <w:pPr>
        <w:ind w:firstLine="720"/>
        <w:jc w:val="both"/>
      </w:pPr>
      <w:r>
        <w:t>Tarp mokyklinio amžiaus vaikų labai paplitusios patyčios – apie 70 proc. vaikų pažymi, kad yra patyrę šį reiškinį ir kaip aukos, ir kaip skriaudėjai.</w:t>
      </w:r>
    </w:p>
    <w:p w:rsidR="00DD08F5" w:rsidRDefault="00DD08F5" w:rsidP="00DD08F5">
      <w:pPr>
        <w:ind w:firstLine="720"/>
        <w:jc w:val="both"/>
      </w:pPr>
      <w:r>
        <w:t xml:space="preserve">Kasmet Lietuvoje nusižudo apie 20 vaikų (2002 – 2005 metais Lietuvoje nusižudė 100 vaikų iki 18 metų),  plinta narkomanija ir alkoholizmas, polinkis į nusikaltimus, kurie darosi vis žiauresni. </w:t>
      </w:r>
    </w:p>
    <w:p w:rsidR="00DD08F5" w:rsidRDefault="00DD08F5" w:rsidP="00DD08F5">
      <w:pPr>
        <w:ind w:firstLine="720"/>
        <w:jc w:val="both"/>
      </w:pPr>
      <w:r>
        <w:t xml:space="preserve">Visuomenė pakanti narkotikų platintojams, neretai narkotikų kurjeriai toleruojami ir pateisinami kaip nelaimingi žmonės, norėję užsidirbti pinigų. Dažnai teismai jiems skiria  bausmes, nesusijusias su laisvės atėmimu. </w:t>
      </w:r>
    </w:p>
    <w:p w:rsidR="00DD08F5" w:rsidRDefault="00DD08F5" w:rsidP="00DD08F5">
      <w:pPr>
        <w:ind w:firstLine="720"/>
        <w:jc w:val="both"/>
      </w:pPr>
      <w:r>
        <w:t>UNICEF organizacijos tyrimai  rodo,  kad Lietuvoje tėvai savo vaikams per parą skiria maždaug 7 min. dėmesio, o mažieji mūsų gyventojai jaučiasi nelaimingiausi Europoje.</w:t>
      </w:r>
    </w:p>
    <w:p w:rsidR="00DD08F5" w:rsidRDefault="00DD08F5" w:rsidP="00DD08F5">
      <w:pPr>
        <w:ind w:firstLine="720"/>
        <w:jc w:val="both"/>
      </w:pPr>
      <w:r>
        <w:t>Policijos departamento prie Vidaus reikalų ministerijos Viešosios policijos valdybos Prevencinės veiklos skyriaus duomenimis 2008 metais vaikų, esančių policijos profilaktinėje įskaitoje buvo 167 ir pristatytų į policijos įstaigas buvo 12420 vaikų.</w:t>
      </w:r>
    </w:p>
    <w:p w:rsidR="00DD08F5" w:rsidRDefault="00DD08F5" w:rsidP="00DD08F5">
      <w:pPr>
        <w:jc w:val="both"/>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4"/>
        <w:gridCol w:w="3260"/>
      </w:tblGrid>
      <w:tr w:rsidR="00DD08F5" w:rsidTr="004F7425">
        <w:tc>
          <w:tcPr>
            <w:tcW w:w="2694" w:type="dxa"/>
            <w:tcBorders>
              <w:bottom w:val="nil"/>
            </w:tcBorders>
          </w:tcPr>
          <w:p w:rsidR="00DD08F5" w:rsidRDefault="00DD08F5" w:rsidP="004F7425">
            <w:pPr>
              <w:jc w:val="both"/>
            </w:pPr>
          </w:p>
        </w:tc>
        <w:tc>
          <w:tcPr>
            <w:tcW w:w="3544" w:type="dxa"/>
            <w:tcBorders>
              <w:bottom w:val="nil"/>
            </w:tcBorders>
          </w:tcPr>
          <w:p w:rsidR="00DD08F5" w:rsidRDefault="00DD08F5" w:rsidP="004F7425">
            <w:pPr>
              <w:jc w:val="both"/>
            </w:pPr>
            <w:r>
              <w:t>Vaikai, esantys policijos profilaktinėje įskaitoje 2009 m. sausio 1 d.</w:t>
            </w:r>
          </w:p>
        </w:tc>
        <w:tc>
          <w:tcPr>
            <w:tcW w:w="3260" w:type="dxa"/>
            <w:tcBorders>
              <w:bottom w:val="nil"/>
            </w:tcBorders>
          </w:tcPr>
          <w:p w:rsidR="00DD08F5" w:rsidRDefault="00DD08F5" w:rsidP="004F7425">
            <w:pPr>
              <w:jc w:val="both"/>
            </w:pPr>
            <w:r>
              <w:t xml:space="preserve">Vaikai, pristatyti į policijos įstaigas </w:t>
            </w:r>
            <w:r>
              <w:br/>
              <w:t>2008 m.</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Iš viso</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167</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12 420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amžiaus grupės, metais:</w:t>
            </w:r>
            <w:r>
              <w:br/>
              <w:t>iki 14</w:t>
            </w:r>
          </w:p>
        </w:tc>
        <w:tc>
          <w:tcPr>
            <w:tcW w:w="3544" w:type="dxa"/>
            <w:tcBorders>
              <w:top w:val="single" w:sz="4" w:space="0" w:color="auto"/>
              <w:left w:val="single" w:sz="4" w:space="0" w:color="auto"/>
              <w:bottom w:val="single" w:sz="4" w:space="0" w:color="auto"/>
              <w:right w:val="single" w:sz="4" w:space="0" w:color="auto"/>
            </w:tcBorders>
            <w:vAlign w:val="bottom"/>
          </w:tcPr>
          <w:p w:rsidR="00DD08F5" w:rsidRDefault="00DD08F5" w:rsidP="004F7425">
            <w:pPr>
              <w:jc w:val="both"/>
            </w:pPr>
            <w:r>
              <w:t>X</w:t>
            </w:r>
          </w:p>
        </w:tc>
        <w:tc>
          <w:tcPr>
            <w:tcW w:w="3260" w:type="dxa"/>
            <w:tcBorders>
              <w:top w:val="single" w:sz="4" w:space="0" w:color="auto"/>
              <w:left w:val="single" w:sz="4" w:space="0" w:color="auto"/>
              <w:bottom w:val="single" w:sz="4" w:space="0" w:color="auto"/>
              <w:right w:val="single" w:sz="4" w:space="0" w:color="auto"/>
            </w:tcBorders>
            <w:vAlign w:val="bottom"/>
          </w:tcPr>
          <w:p w:rsidR="00DD08F5" w:rsidRDefault="00DD08F5" w:rsidP="004F7425">
            <w:pPr>
              <w:jc w:val="both"/>
            </w:pPr>
            <w:r>
              <w:t>2 053</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14-15</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3 822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16-17</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106</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6 545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Mergaitės</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15</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2 045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Berniukai</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152</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10 375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Mokėsi</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128</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10 466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 xml:space="preserve">Dirbo </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227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Nedirbo ir nesimokė</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37</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1 727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 xml:space="preserve">Gyvenantys asocialiose </w:t>
            </w:r>
            <w:r>
              <w:lastRenderedPageBreak/>
              <w:t>šeimose</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lastRenderedPageBreak/>
              <w:t>25</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X</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lastRenderedPageBreak/>
              <w:t>Elgetaujantys</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X</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Valkataujantys</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X</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202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Už ATPK pažeidimus</w:t>
            </w:r>
          </w:p>
        </w:tc>
        <w:tc>
          <w:tcPr>
            <w:tcW w:w="354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X</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7 757</w:t>
            </w:r>
          </w:p>
        </w:tc>
      </w:tr>
    </w:tbl>
    <w:p w:rsidR="00DD08F5" w:rsidRDefault="00DD08F5" w:rsidP="00DD08F5">
      <w:pPr>
        <w:jc w:val="both"/>
      </w:pPr>
    </w:p>
    <w:p w:rsidR="00DD08F5" w:rsidRDefault="00DD08F5" w:rsidP="00DD08F5">
      <w:pPr>
        <w:jc w:val="both"/>
        <w:rPr>
          <w:bCs/>
        </w:rPr>
      </w:pPr>
    </w:p>
    <w:p w:rsidR="00DD08F5" w:rsidRDefault="00DD08F5" w:rsidP="00DD08F5">
      <w:pPr>
        <w:jc w:val="both"/>
      </w:pPr>
      <w:r>
        <w:rPr>
          <w:bCs/>
        </w:rPr>
        <w:t>Vaikai, esantys policijos profilaktinėje įskaitoje ir pristatyti į policijos įstaigas, apskrityse ir savivaldybėse:</w:t>
      </w:r>
    </w:p>
    <w:p w:rsidR="00DD08F5" w:rsidRDefault="00DD08F5" w:rsidP="00DD08F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694"/>
        <w:gridCol w:w="3509"/>
        <w:gridCol w:w="3260"/>
      </w:tblGrid>
      <w:tr w:rsidR="00DD08F5" w:rsidTr="004F7425">
        <w:trPr>
          <w:tblHeader/>
        </w:trPr>
        <w:tc>
          <w:tcPr>
            <w:tcW w:w="2694" w:type="dxa"/>
            <w:tcBorders>
              <w:bottom w:val="nil"/>
            </w:tcBorders>
          </w:tcPr>
          <w:p w:rsidR="00DD08F5" w:rsidRDefault="00DD08F5" w:rsidP="004F7425">
            <w:pPr>
              <w:jc w:val="both"/>
            </w:pPr>
          </w:p>
        </w:tc>
        <w:tc>
          <w:tcPr>
            <w:tcW w:w="3509" w:type="dxa"/>
            <w:tcBorders>
              <w:bottom w:val="nil"/>
            </w:tcBorders>
          </w:tcPr>
          <w:p w:rsidR="00DD08F5" w:rsidRDefault="00DD08F5" w:rsidP="004F7425">
            <w:pPr>
              <w:jc w:val="both"/>
            </w:pPr>
            <w:r>
              <w:t>Vaikai, esantys policijos profilaktinėje įskaitoje 2009 m. sausio 1 d.</w:t>
            </w:r>
          </w:p>
        </w:tc>
        <w:tc>
          <w:tcPr>
            <w:tcW w:w="3260" w:type="dxa"/>
            <w:tcBorders>
              <w:bottom w:val="nil"/>
            </w:tcBorders>
          </w:tcPr>
          <w:p w:rsidR="00DD08F5" w:rsidRDefault="00DD08F5" w:rsidP="004F7425">
            <w:pPr>
              <w:jc w:val="both"/>
            </w:pPr>
            <w:r>
              <w:t>Vaikai, pristatyti į policijos įstaigas 2008 m.</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Iš viso</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167</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12 420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Alytaus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694</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Alytaus m. ir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369</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Druskininkų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152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Lazdijų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63</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Varėnos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110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Kauno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34</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1 907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Birštono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Jonavos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136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Kaišiadorių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Kauno m.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1 467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Kauno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49</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Kėdainių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Prienų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Raseinių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Klaipėdos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32</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2 500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Klaipėdos m.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1 777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Klaipėdos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202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Kretingos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150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Neringos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Palangos m.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211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Skuodo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59</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Šilutės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Marijampolės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496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Kalvarijos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Kazlų Rūdos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Marijampolės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142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Šakių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216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Vilkaviškio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Panevėžio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32</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 xml:space="preserve">819 </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Biržų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Kupiškio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88</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Panevėžio m.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531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Panevėžio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Pasvalio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22</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Rokiškio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117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Šiaulių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1 810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Akmenės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272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Joniškio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Kelmės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108</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Pakruojo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93</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Radviliškio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181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lastRenderedPageBreak/>
              <w:t>Šiaulių m.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953</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Šiaulių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142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Tauragės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7</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473</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Jurbarko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Pagėgių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rPr>
                <w:color w:val="000000"/>
              </w:rPr>
            </w:pPr>
            <w:r>
              <w:rPr>
                <w:color w:val="000000"/>
              </w:rPr>
              <w:t>17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Šilalės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310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Tauragės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Telšių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474</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Mažeikių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Plungės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196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Rietavo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37</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Telšių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134</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Utenos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571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Anykščių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42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Ignalinos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30</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Molėtų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28</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Utenos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152</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Visagino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9</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235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Zarasų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84</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Vilniaus apskritis</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2 676</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Elektrėnų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63</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Šalčininkų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35</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Širvintų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Švenčionių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38</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Trakų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31</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Ukmergės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0</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119</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Vilniaus m.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6</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2 308</w:t>
            </w:r>
          </w:p>
        </w:tc>
      </w:tr>
      <w:tr w:rsidR="00DD08F5" w:rsidTr="004F7425">
        <w:tc>
          <w:tcPr>
            <w:tcW w:w="2694"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Vilniaus r. sav.</w:t>
            </w:r>
          </w:p>
        </w:tc>
        <w:tc>
          <w:tcPr>
            <w:tcW w:w="3509"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3</w:t>
            </w:r>
          </w:p>
        </w:tc>
        <w:tc>
          <w:tcPr>
            <w:tcW w:w="3260" w:type="dxa"/>
            <w:tcBorders>
              <w:top w:val="single" w:sz="4" w:space="0" w:color="auto"/>
              <w:left w:val="single" w:sz="4" w:space="0" w:color="auto"/>
              <w:bottom w:val="single" w:sz="4" w:space="0" w:color="auto"/>
              <w:right w:val="single" w:sz="4" w:space="0" w:color="auto"/>
            </w:tcBorders>
          </w:tcPr>
          <w:p w:rsidR="00DD08F5" w:rsidRDefault="00DD08F5" w:rsidP="004F7425">
            <w:pPr>
              <w:jc w:val="both"/>
            </w:pPr>
            <w:r>
              <w:t>21</w:t>
            </w:r>
          </w:p>
        </w:tc>
      </w:tr>
    </w:tbl>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jc w:val="both"/>
      </w:pPr>
    </w:p>
    <w:p w:rsidR="00DD08F5" w:rsidRDefault="00DD08F5" w:rsidP="00DD08F5">
      <w:pPr>
        <w:ind w:firstLine="720"/>
        <w:jc w:val="both"/>
        <w:rPr>
          <w:bCs/>
        </w:rPr>
      </w:pPr>
      <w:r>
        <w:rPr>
          <w:bCs/>
        </w:rPr>
        <w:t>Vaikai iki 16 metų amžiaus, padarę nusikalstamas veikas 2008 m.</w:t>
      </w:r>
    </w:p>
    <w:p w:rsidR="00DD08F5" w:rsidRDefault="00DD08F5" w:rsidP="00DD08F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4678"/>
      </w:tblGrid>
      <w:tr w:rsidR="00DD08F5" w:rsidTr="004F7425">
        <w:trPr>
          <w:cantSplit/>
        </w:trPr>
        <w:tc>
          <w:tcPr>
            <w:tcW w:w="4786" w:type="dxa"/>
          </w:tcPr>
          <w:p w:rsidR="00DD08F5" w:rsidRDefault="00DD08F5" w:rsidP="004F7425">
            <w:pPr>
              <w:jc w:val="both"/>
            </w:pPr>
          </w:p>
        </w:tc>
        <w:tc>
          <w:tcPr>
            <w:tcW w:w="4678" w:type="dxa"/>
          </w:tcPr>
          <w:p w:rsidR="00DD08F5" w:rsidRDefault="00DD08F5" w:rsidP="004F7425">
            <w:pPr>
              <w:jc w:val="both"/>
            </w:pPr>
            <w:r>
              <w:t>Iš viso</w:t>
            </w:r>
          </w:p>
        </w:tc>
      </w:tr>
      <w:tr w:rsidR="00DD08F5" w:rsidTr="004F7425">
        <w:trPr>
          <w:cantSplit/>
        </w:trPr>
        <w:tc>
          <w:tcPr>
            <w:tcW w:w="4786" w:type="dxa"/>
          </w:tcPr>
          <w:p w:rsidR="00DD08F5" w:rsidRDefault="00DD08F5" w:rsidP="004F7425">
            <w:pPr>
              <w:jc w:val="both"/>
            </w:pPr>
            <w:r>
              <w:t xml:space="preserve">Vaikai, iš viso </w:t>
            </w:r>
          </w:p>
        </w:tc>
        <w:tc>
          <w:tcPr>
            <w:tcW w:w="4678" w:type="dxa"/>
          </w:tcPr>
          <w:p w:rsidR="00DD08F5" w:rsidRDefault="00DD08F5" w:rsidP="004F7425">
            <w:pPr>
              <w:jc w:val="both"/>
            </w:pPr>
            <w:r>
              <w:t>851</w:t>
            </w:r>
          </w:p>
        </w:tc>
      </w:tr>
      <w:tr w:rsidR="00DD08F5" w:rsidTr="004F7425">
        <w:trPr>
          <w:cantSplit/>
        </w:trPr>
        <w:tc>
          <w:tcPr>
            <w:tcW w:w="4786" w:type="dxa"/>
          </w:tcPr>
          <w:p w:rsidR="00DD08F5" w:rsidRDefault="00DD08F5" w:rsidP="004F7425">
            <w:pPr>
              <w:jc w:val="both"/>
            </w:pPr>
            <w:r>
              <w:t>amžiaus grupės, metais:</w:t>
            </w:r>
            <w:r>
              <w:br/>
              <w:t>iki 13</w:t>
            </w:r>
          </w:p>
        </w:tc>
        <w:tc>
          <w:tcPr>
            <w:tcW w:w="4678" w:type="dxa"/>
          </w:tcPr>
          <w:p w:rsidR="00DD08F5" w:rsidRDefault="00DD08F5" w:rsidP="004F7425">
            <w:pPr>
              <w:jc w:val="both"/>
            </w:pPr>
          </w:p>
          <w:p w:rsidR="00DD08F5" w:rsidRDefault="00DD08F5" w:rsidP="004F7425">
            <w:pPr>
              <w:jc w:val="both"/>
            </w:pPr>
            <w:r>
              <w:t>530</w:t>
            </w:r>
          </w:p>
        </w:tc>
      </w:tr>
      <w:tr w:rsidR="00DD08F5" w:rsidTr="004F7425">
        <w:trPr>
          <w:cantSplit/>
        </w:trPr>
        <w:tc>
          <w:tcPr>
            <w:tcW w:w="4786" w:type="dxa"/>
          </w:tcPr>
          <w:p w:rsidR="00DD08F5" w:rsidRDefault="00DD08F5" w:rsidP="004F7425">
            <w:pPr>
              <w:jc w:val="both"/>
            </w:pPr>
            <w:r>
              <w:t>14-15</w:t>
            </w:r>
          </w:p>
        </w:tc>
        <w:tc>
          <w:tcPr>
            <w:tcW w:w="4678" w:type="dxa"/>
          </w:tcPr>
          <w:p w:rsidR="00DD08F5" w:rsidRDefault="00DD08F5" w:rsidP="004F7425">
            <w:pPr>
              <w:jc w:val="both"/>
            </w:pPr>
            <w:r>
              <w:t>321</w:t>
            </w:r>
          </w:p>
        </w:tc>
      </w:tr>
      <w:tr w:rsidR="00DD08F5" w:rsidTr="004F7425">
        <w:trPr>
          <w:cantSplit/>
        </w:trPr>
        <w:tc>
          <w:tcPr>
            <w:tcW w:w="4786" w:type="dxa"/>
          </w:tcPr>
          <w:p w:rsidR="00DD08F5" w:rsidRDefault="00DD08F5" w:rsidP="004F7425">
            <w:pPr>
              <w:jc w:val="both"/>
            </w:pPr>
            <w:r>
              <w:t>Berniukai</w:t>
            </w:r>
          </w:p>
        </w:tc>
        <w:tc>
          <w:tcPr>
            <w:tcW w:w="4678" w:type="dxa"/>
          </w:tcPr>
          <w:p w:rsidR="00DD08F5" w:rsidRDefault="00DD08F5" w:rsidP="004F7425">
            <w:pPr>
              <w:jc w:val="both"/>
            </w:pPr>
            <w:r>
              <w:t>777</w:t>
            </w:r>
          </w:p>
        </w:tc>
      </w:tr>
      <w:tr w:rsidR="00DD08F5" w:rsidTr="004F7425">
        <w:trPr>
          <w:cantSplit/>
        </w:trPr>
        <w:tc>
          <w:tcPr>
            <w:tcW w:w="4786" w:type="dxa"/>
          </w:tcPr>
          <w:p w:rsidR="00DD08F5" w:rsidRDefault="00DD08F5" w:rsidP="004F7425">
            <w:pPr>
              <w:jc w:val="both"/>
            </w:pPr>
            <w:r>
              <w:t>Mergaitės</w:t>
            </w:r>
          </w:p>
        </w:tc>
        <w:tc>
          <w:tcPr>
            <w:tcW w:w="4678" w:type="dxa"/>
          </w:tcPr>
          <w:p w:rsidR="00DD08F5" w:rsidRDefault="00DD08F5" w:rsidP="004F7425">
            <w:pPr>
              <w:jc w:val="both"/>
            </w:pPr>
            <w:r>
              <w:t>129</w:t>
            </w:r>
          </w:p>
        </w:tc>
      </w:tr>
      <w:tr w:rsidR="00DD08F5" w:rsidTr="004F7425">
        <w:trPr>
          <w:cantSplit/>
        </w:trPr>
        <w:tc>
          <w:tcPr>
            <w:tcW w:w="4786" w:type="dxa"/>
          </w:tcPr>
          <w:p w:rsidR="00DD08F5" w:rsidRDefault="00DD08F5" w:rsidP="004F7425">
            <w:pPr>
              <w:jc w:val="both"/>
            </w:pPr>
            <w:r>
              <w:t>Mokėsi</w:t>
            </w:r>
          </w:p>
        </w:tc>
        <w:tc>
          <w:tcPr>
            <w:tcW w:w="4678" w:type="dxa"/>
          </w:tcPr>
          <w:p w:rsidR="00DD08F5" w:rsidRDefault="00DD08F5" w:rsidP="004F7425">
            <w:pPr>
              <w:jc w:val="both"/>
            </w:pPr>
            <w:r>
              <w:t>X</w:t>
            </w:r>
          </w:p>
        </w:tc>
      </w:tr>
      <w:tr w:rsidR="00DD08F5" w:rsidTr="004F7425">
        <w:trPr>
          <w:cantSplit/>
        </w:trPr>
        <w:tc>
          <w:tcPr>
            <w:tcW w:w="4786" w:type="dxa"/>
          </w:tcPr>
          <w:p w:rsidR="00DD08F5" w:rsidRDefault="00DD08F5" w:rsidP="004F7425">
            <w:pPr>
              <w:jc w:val="both"/>
            </w:pPr>
            <w:r>
              <w:t>Nesimokė</w:t>
            </w:r>
          </w:p>
        </w:tc>
        <w:tc>
          <w:tcPr>
            <w:tcW w:w="4678" w:type="dxa"/>
          </w:tcPr>
          <w:p w:rsidR="00DD08F5" w:rsidRDefault="00DD08F5" w:rsidP="004F7425">
            <w:pPr>
              <w:jc w:val="both"/>
            </w:pPr>
            <w:r>
              <w:t>X</w:t>
            </w:r>
          </w:p>
        </w:tc>
      </w:tr>
      <w:tr w:rsidR="00DD08F5" w:rsidTr="004F7425">
        <w:trPr>
          <w:cantSplit/>
        </w:trPr>
        <w:tc>
          <w:tcPr>
            <w:tcW w:w="4786" w:type="dxa"/>
          </w:tcPr>
          <w:p w:rsidR="00DD08F5" w:rsidRDefault="00DD08F5" w:rsidP="004F7425">
            <w:pPr>
              <w:jc w:val="both"/>
            </w:pPr>
            <w:r>
              <w:t>Gyvenantys asocialiose šeimose</w:t>
            </w:r>
          </w:p>
        </w:tc>
        <w:tc>
          <w:tcPr>
            <w:tcW w:w="4678" w:type="dxa"/>
          </w:tcPr>
          <w:p w:rsidR="00DD08F5" w:rsidRDefault="00DD08F5" w:rsidP="004F7425">
            <w:pPr>
              <w:jc w:val="both"/>
            </w:pPr>
            <w:r>
              <w:t xml:space="preserve">154  </w:t>
            </w:r>
          </w:p>
        </w:tc>
      </w:tr>
      <w:tr w:rsidR="00DD08F5" w:rsidTr="004F7425">
        <w:trPr>
          <w:cantSplit/>
        </w:trPr>
        <w:tc>
          <w:tcPr>
            <w:tcW w:w="4786" w:type="dxa"/>
          </w:tcPr>
          <w:p w:rsidR="00DD08F5" w:rsidRDefault="00DD08F5" w:rsidP="004F7425">
            <w:pPr>
              <w:jc w:val="both"/>
            </w:pPr>
            <w:r>
              <w:t>Netekę tėvų globos</w:t>
            </w:r>
          </w:p>
        </w:tc>
        <w:tc>
          <w:tcPr>
            <w:tcW w:w="4678" w:type="dxa"/>
          </w:tcPr>
          <w:p w:rsidR="00DD08F5" w:rsidRDefault="00DD08F5" w:rsidP="004F7425">
            <w:pPr>
              <w:jc w:val="both"/>
            </w:pPr>
            <w:r>
              <w:t>X</w:t>
            </w:r>
          </w:p>
        </w:tc>
      </w:tr>
      <w:tr w:rsidR="00DD08F5" w:rsidTr="004F7425">
        <w:trPr>
          <w:cantSplit/>
        </w:trPr>
        <w:tc>
          <w:tcPr>
            <w:tcW w:w="4786" w:type="dxa"/>
          </w:tcPr>
          <w:p w:rsidR="00DD08F5" w:rsidRDefault="00DD08F5" w:rsidP="004F7425">
            <w:pPr>
              <w:jc w:val="both"/>
            </w:pPr>
            <w:r>
              <w:t>Našlaičiai</w:t>
            </w:r>
          </w:p>
        </w:tc>
        <w:tc>
          <w:tcPr>
            <w:tcW w:w="4678" w:type="dxa"/>
          </w:tcPr>
          <w:p w:rsidR="00DD08F5" w:rsidRDefault="00DD08F5" w:rsidP="004F7425">
            <w:pPr>
              <w:jc w:val="both"/>
            </w:pPr>
            <w:r>
              <w:t>X</w:t>
            </w:r>
          </w:p>
        </w:tc>
      </w:tr>
    </w:tbl>
    <w:p w:rsidR="00DD08F5" w:rsidRDefault="00DD08F5" w:rsidP="00DD08F5">
      <w:pPr>
        <w:jc w:val="both"/>
      </w:pPr>
    </w:p>
    <w:p w:rsidR="00DD08F5" w:rsidRDefault="00DD08F5" w:rsidP="00DD08F5">
      <w:pPr>
        <w:jc w:val="both"/>
      </w:pPr>
      <w:r>
        <w:tab/>
        <w:t xml:space="preserve">2009-ųjų metų sausio 1 dienai policijos profilaktinėje įskaitoje buvo 167 nepilnamečiai, iš jų: 30 nepilnamečių buvo taikyta Baudžiamojo proceso kodekso (toliau – BPK) 120 str. „Kardomųjų priemonių rūšys“ numatyta kardomoji priemonė – namų areštas (BPK 132 str.); 19 – kardomoji priemonė – atidavimas tėvams, rūpintojams arba kitiems fiziniams ar juridiniams </w:t>
      </w:r>
      <w:r>
        <w:lastRenderedPageBreak/>
        <w:t xml:space="preserve">asmenims, kurie rūpinasi vaikais, prižiūrėti (BPK 138 str.); 118 – kardomoji priemonė – įpareigojimas periodiškai registruotis policijos įstaigoje (135 str.). 2008 metų sausio 1 dienai  policijos profilaktinėje įskaitoje buvo 107 nepilnamečiai. </w:t>
      </w:r>
    </w:p>
    <w:p w:rsidR="00DD08F5" w:rsidRDefault="00DD08F5" w:rsidP="00DD08F5">
      <w:pPr>
        <w:ind w:firstLine="720"/>
        <w:jc w:val="both"/>
      </w:pPr>
      <w:r>
        <w:t>Per 2008 m. nepilnamečiams buvo surašyti 9 069 administracinių teisės pažeidimų protokolai, tai 10 proc. daugiau nei užpernai (2007 m. – 8 244). Kaip ir ankstesniais metais, daugiau nei trečdalis nepilnamečių padarytų teisėtvarkos pažeidimų yra susiję su alkoholinių gėrimų vartojimu. 2008 m. nepilnamečiams buvo surašyta 3 520 protokolų už pažeidimus, numatytus Administracinių teisės pažeidimų kodekso (toliau – ATPK) 178 str. „Alkoholinių gėrimų gėrimas viešosiose vietose arba girto pasirodymas viešosiose vietose“ (2007 m. –  3 264). Už girtų nepilnamečių iki 16 metų pasirodymą viešosiose vietose, taip pat jų gėrimą (ATPK 178 str. 4 d.) nepilnamečių tėvams buvo surašyti 1 563 protokolai (2007 m. – 1 681). Pernai 642 (2007 m. – 438) suaugę asmenys patraukti administracinėn atsakomybėn už alkoholinių gėrimų nupirkimą ar kitokį perdavimą nepilnamečiams arba už nepilnamečio nugirdimą (ATPK 180str.), 191 asmuo – už prekybos alkoholiniais gėrimais taisyklių pažeidimus (ATPK 164 str.). Surašyta 710 protokolų nepilnamečiams už rūkymą vietose, kuriose draudžiama tai daryti (ATPK 185-1 str.), ir 23 protokolai už tabako gaminių nupirkimą ar kitokį perdavimą nepilnamečiams.</w:t>
      </w:r>
    </w:p>
    <w:p w:rsidR="00DD08F5" w:rsidRDefault="00DD08F5" w:rsidP="00DD08F5">
      <w:pPr>
        <w:ind w:firstLine="720"/>
        <w:jc w:val="both"/>
      </w:pPr>
      <w:r>
        <w:t>2008 m. 68 nepilnamečiai patraukti administracinėn atsakomybėn už teisėtvarkos pažeidimus, susijusius su neteisėtu disponavimu narkotinėmis ar psichotropinėmis medžiagomis bei šių medžiagų vartojimu be gydytojo paskyrimo (ATPK 44 str. 1 ir 2 d.); surašyta 13 protokolų   suaugusiesiems (tėvams, rūpintojams) pagal ATPK 44 str. 3 d. už nepilnamečių nuo 14 iki 16 metų neteisėtą narkotinių ar psichotropinių medžiagų įgijimą ar laikymą nedideliais kiekiais be tikslo parduoti ar kitaip platinti, taip pat šių medžiagų vartojimą be gydytojo paskyrimo (2007 m. atitinkamai 66 ir 32 protokolai). Nepilnamečiams buvo surašyti 904 protokolai pagal ATPK 174 str. „Nedidelis chuliganizmas“ (2007 m. – 905); 446 tėvai ar kiti teisėti vaikų atstovai buvo patraukti administracinėn atsakomybės už vaikų, kurių amžius yra nuo 14 iki 16 metų, padarytą  chuliganizmą (ATPK 175 str.).</w:t>
      </w:r>
    </w:p>
    <w:p w:rsidR="00DD08F5" w:rsidRDefault="00DD08F5" w:rsidP="00DD08F5">
      <w:pPr>
        <w:ind w:firstLine="720"/>
        <w:jc w:val="both"/>
      </w:pPr>
      <w:r>
        <w:t>2008 m. policijos pareigūnai išnagrinėjo 3 160 pareiškimų apie tėvų ar kitų teisėtų vaiko atstovų neigiamą įtaką vaikams (2007 m. – 2 877). 6 183 asmenims buvo surašyti protokolai už tėvų valdžios nepanaudojimą arba panaudojimą priešingai vaiko interesams (ATPK 181 str.), 360 asmenų buvo patraukti administracinėn atsakomybėn už globėjo (rūpintojo) pareigų nevykdymą arba vykdymą priešingai vaiko interesams (ATPK 181-1 str.), 199 asmenys – už vaiko teisių pažeidimą (ATPK 181</w:t>
      </w:r>
      <w:r>
        <w:rPr>
          <w:vertAlign w:val="superscript"/>
        </w:rPr>
        <w:t>3</w:t>
      </w:r>
      <w:r>
        <w:t xml:space="preserve"> str.).</w:t>
      </w:r>
    </w:p>
    <w:p w:rsidR="00DD08F5" w:rsidRDefault="00DD08F5" w:rsidP="00DD08F5">
      <w:pPr>
        <w:ind w:firstLine="720"/>
        <w:jc w:val="both"/>
      </w:pPr>
      <w:r>
        <w:t xml:space="preserve"> Dėl mokyklos nelankymo, elgėsio, darančio žalą ir keliančio pavojų aplinkiniams 2008 metais 290 vaikų taikytos minimalios priežiūros priemonės, 80 vaikų taikyta viena minimalios priežiūros priemonė; 210 vaikų taikytos kelios tarpusavyje suderintos minimalios priežiūros priemonės. </w:t>
      </w:r>
      <w:r>
        <w:rPr>
          <w:color w:val="000000"/>
          <w:szCs w:val="20"/>
        </w:rPr>
        <w:t xml:space="preserve">Dažniausiai minimalios priežiūros priemonę (-es) vykdantys asmenys buvo mokyklų vadovai, socialiniai pedagogai ir psichologai. Tačiau, </w:t>
      </w:r>
      <w:r>
        <w:t>trūko tėvų (globėjų) iniciatyvos dėl minimalios priežiūros priemonėms skirti ir reikiamai pagalbai organizuoti bei teikti.</w:t>
      </w:r>
    </w:p>
    <w:p w:rsidR="00DD08F5" w:rsidRDefault="00DD08F5" w:rsidP="00DD08F5">
      <w:pPr>
        <w:jc w:val="both"/>
      </w:pPr>
      <w:r>
        <w:tab/>
      </w:r>
    </w:p>
    <w:p w:rsidR="00DD08F5" w:rsidRDefault="00DD08F5" w:rsidP="00DD08F5">
      <w:pPr>
        <w:pStyle w:val="Pagrindiniotekstotrauka3"/>
        <w:rPr>
          <w:i/>
          <w:iCs/>
        </w:rPr>
      </w:pPr>
      <w:r>
        <w:rPr>
          <w:i/>
          <w:iCs/>
        </w:rPr>
        <w:t>2) Vaikai auga aplinkoje, kurioje nesaikingai geriamas alkoholis</w:t>
      </w:r>
    </w:p>
    <w:p w:rsidR="00DD08F5" w:rsidRDefault="00DD08F5" w:rsidP="00DD08F5">
      <w:pPr>
        <w:pStyle w:val="Pagrindiniotekstotrauka3"/>
        <w:rPr>
          <w:i/>
          <w:iCs/>
        </w:rPr>
      </w:pPr>
      <w:r>
        <w:rPr>
          <w:i/>
          <w:iCs/>
        </w:rPr>
        <w:t xml:space="preserve"> </w:t>
      </w:r>
    </w:p>
    <w:p w:rsidR="00DD08F5" w:rsidRDefault="00DD08F5" w:rsidP="00DD08F5">
      <w:pPr>
        <w:ind w:firstLine="720"/>
        <w:jc w:val="both"/>
      </w:pPr>
      <w:r>
        <w:rPr>
          <w:color w:val="000000"/>
        </w:rPr>
        <w:t>Valstybinės tabako ir alkoholio kontrolės tarnybos prie Lietuvos Respublikos Vyriausybės duomenimis a</w:t>
      </w:r>
      <w:r>
        <w:t xml:space="preserve">lkoholinių gėrimų rinkoje 16,8 tūkstančiai parduotuvių Lietuvoje prekiauja alkoholiniais gėrimais. 2009 02 18 yra išduotos 92 licenzijos alkoholinių gėrimų gamybai. Šis skaičius mažėja smulkiųjų aludarių sąskaita, tačiau, didėja licenzijų skaičius verstis didmenine prekyba. 2007 m. metais vienam gyventojui buvo parduota 14,55 litro alkoholio. Nuo 1995 m. Alkoholio kontrolės įstatymas buvo keistas tik liberalizuojančia linkme. 2008  metais krito stipriųjų gėrimų pardavimas, sumažėjo ir alkoholinių kokteilių pardavimas. Alkoholio versle dalyvauja 13 milijardų litų, verslo prasme alkoholis yra lengviausiai realizuojama prekė. </w:t>
      </w:r>
    </w:p>
    <w:p w:rsidR="00DD08F5" w:rsidRDefault="00DD08F5" w:rsidP="00DD08F5">
      <w:pPr>
        <w:ind w:firstLine="720"/>
        <w:jc w:val="both"/>
      </w:pPr>
      <w:r>
        <w:t xml:space="preserve">Policijos departamento prie VRM duomenimis, 2008 metais buvo konfiskuota 17 tūkstančių litrų spirito, 4 tūkstančiai litrų alkoholinių gėrimų, falsifikuotų gėrimų – 20 tūkstančių litrų, naminės degtinės – 8 tūkstančiai litrų, kas sudaro 0,1 procentą nuo legaliai realizuotų stiprių alkoholinių gėrimų. </w:t>
      </w:r>
    </w:p>
    <w:p w:rsidR="00DD08F5" w:rsidRDefault="00DD08F5" w:rsidP="00DD08F5">
      <w:pPr>
        <w:ind w:firstLine="720"/>
        <w:jc w:val="both"/>
      </w:pPr>
      <w:r>
        <w:rPr>
          <w:color w:val="000000"/>
        </w:rPr>
        <w:t xml:space="preserve">Valstybinės tabako ir alkoholio kontrolės tarnybos prie Lietuvos Respublikos Vyriausybės </w:t>
      </w:r>
      <w:r>
        <w:t xml:space="preserve">duomenimis 2007 m. nuo alkoholio vartojimo mirė 1741 žmogus, nuo tiesiogiai atsitiktinio apsinuodijimo alkoholiu – 487 žmonės. </w:t>
      </w:r>
    </w:p>
    <w:p w:rsidR="00DD08F5" w:rsidRDefault="00DD08F5" w:rsidP="00DD08F5">
      <w:pPr>
        <w:ind w:firstLine="720"/>
        <w:jc w:val="both"/>
      </w:pPr>
      <w:r>
        <w:lastRenderedPageBreak/>
        <w:t>Alkoholinius gėrimus  gėrė 4,4 procento 11 metų berniukų ir 2,1 procento 11 metų mergaičių, 15 metų – 25 procentai berniukų ir 20 procentų mergaičių.</w:t>
      </w:r>
    </w:p>
    <w:p w:rsidR="00DD08F5" w:rsidRDefault="00DD08F5" w:rsidP="00DD08F5">
      <w:pPr>
        <w:ind w:firstLine="720"/>
        <w:jc w:val="both"/>
      </w:pPr>
      <w:r>
        <w:t xml:space="preserve"> 2003 metais bendrai vertinant ir skaičiuojant litrais, vienam gyventojui vidutiniškai teko 10,2 litrai absoliutaus alkoholio, 2007 m. vienam gyventojui vidutiniškai tenka 11,2 litro, o vienam 15 metų ir vyresniam gyventojui - 13,3 litro absoliutais alkoholio.</w:t>
      </w:r>
    </w:p>
    <w:p w:rsidR="00DD08F5" w:rsidRDefault="00DD08F5" w:rsidP="00DD08F5">
      <w:pPr>
        <w:ind w:firstLine="720"/>
        <w:jc w:val="both"/>
      </w:pPr>
      <w:r>
        <w:t xml:space="preserve">  2008 metais suvartoto alkoholio kiekis sumažėjo, tačiau Europos Sąjungos mastu išlieka aukštas. </w:t>
      </w:r>
    </w:p>
    <w:p w:rsidR="00DD08F5" w:rsidRDefault="00DD08F5" w:rsidP="00DD08F5">
      <w:pPr>
        <w:ind w:firstLine="720"/>
        <w:jc w:val="both"/>
      </w:pPr>
      <w:r>
        <w:t xml:space="preserve">Tyrimai rodo, kad jei jauname amžiuje (14-15 m.) pradedama vartoti alkoholį, priklausomybė nuo jo gali išsivystyti jau 20-21 metų amžiaus žmogui.  </w:t>
      </w:r>
    </w:p>
    <w:p w:rsidR="00DD08F5" w:rsidRDefault="00DD08F5" w:rsidP="00DD08F5">
      <w:pPr>
        <w:jc w:val="both"/>
      </w:pPr>
      <w:r>
        <w:t xml:space="preserve"> </w:t>
      </w:r>
      <w:r>
        <w:tab/>
        <w:t>Tik 1,9 proc. Lietuvos gyventojų teigia, kad jų draugų ar giminių susibūrimuose alkoholis nėra vartojamas.</w:t>
      </w:r>
    </w:p>
    <w:p w:rsidR="00DD08F5" w:rsidRDefault="00DD08F5" w:rsidP="00DD08F5">
      <w:pPr>
        <w:ind w:firstLine="720"/>
        <w:jc w:val="both"/>
      </w:pPr>
      <w:r>
        <w:t xml:space="preserve">58,4 proc. gyventojų teigia, kad draugų ir giminių susibūrimuose vartoja alkoholį kartais, per šventes. </w:t>
      </w:r>
    </w:p>
    <w:p w:rsidR="00DD08F5" w:rsidRDefault="00DD08F5" w:rsidP="00DD08F5">
      <w:pPr>
        <w:ind w:firstLine="720"/>
        <w:jc w:val="both"/>
      </w:pPr>
      <w:r>
        <w:t>Daugiausiai alkoholį vartoja  gyventojai, kurie turi aukštąjį arba nebaigtą aukštąjį išsilavinimą ir didžiausias pajamas gaunantys.</w:t>
      </w:r>
    </w:p>
    <w:p w:rsidR="00DD08F5" w:rsidRDefault="00DD08F5" w:rsidP="00DD08F5">
      <w:pPr>
        <w:jc w:val="both"/>
      </w:pPr>
      <w:r>
        <w:t xml:space="preserve"> </w:t>
      </w:r>
      <w:r>
        <w:tab/>
        <w:t xml:space="preserve">Nesaikingo alkoholio vartojimo įpročiais itin išsiskiria kaimo vyrai. </w:t>
      </w:r>
    </w:p>
    <w:p w:rsidR="00DD08F5" w:rsidRDefault="00DD08F5" w:rsidP="00DD08F5">
      <w:pPr>
        <w:ind w:firstLine="720"/>
        <w:jc w:val="both"/>
      </w:pPr>
      <w:r>
        <w:t>Eurobarometro 2006 metų tyrimas parodė, kad tik 14 proc. lietuvių teigė per pastaruosius 12 mėnesių nevartoję alkoholinių gėrimų.</w:t>
      </w:r>
    </w:p>
    <w:p w:rsidR="00DD08F5" w:rsidRDefault="00DD08F5" w:rsidP="00DD08F5">
      <w:pPr>
        <w:ind w:firstLine="720"/>
        <w:jc w:val="both"/>
      </w:pPr>
      <w:r>
        <w:t xml:space="preserve">ESPAD tyrimų duomenimis, tik labai maža dalis Lietuvos 15-16 metų moksleivių nėra vartoję alkoholio, 2003 metais tokių 15-16 metų vaikų nevartoję alkoholio buvo tik 1,4 proc.  </w:t>
      </w:r>
    </w:p>
    <w:p w:rsidR="00DD08F5" w:rsidRDefault="00DD08F5" w:rsidP="00DD08F5">
      <w:pPr>
        <w:jc w:val="both"/>
      </w:pPr>
      <w:r>
        <w:tab/>
        <w:t xml:space="preserve">Nuo 1995 m. Lietuvoje daugėja moksleivių, kurie yra vartoję alkoholį keliolika ir daugiau kartų. </w:t>
      </w:r>
    </w:p>
    <w:p w:rsidR="00DD08F5" w:rsidRDefault="00DD08F5" w:rsidP="00DD08F5">
      <w:pPr>
        <w:ind w:firstLine="720"/>
        <w:jc w:val="both"/>
      </w:pPr>
      <w:r>
        <w:t xml:space="preserve">2003 m. beveik pusė berniukų (45,3 proc.) ir trečdalis mergaičių (30,6 proc.) nurodė vartoję alkoholį 40 ir daugiau kartų. </w:t>
      </w:r>
    </w:p>
    <w:p w:rsidR="00DD08F5" w:rsidRDefault="00DD08F5" w:rsidP="00DD08F5">
      <w:pPr>
        <w:jc w:val="both"/>
      </w:pPr>
      <w:r>
        <w:t xml:space="preserve"> </w:t>
      </w:r>
      <w:r>
        <w:tab/>
        <w:t>2007 m. pastebimas berniukų populiacijoje alkoholinių gėrimų vartojimas per paskutinius 12 mėnesių ir paskutines 30 dienų sumažėjimas.</w:t>
      </w:r>
    </w:p>
    <w:p w:rsidR="00DD08F5" w:rsidRDefault="00DD08F5" w:rsidP="00DD08F5">
      <w:pPr>
        <w:ind w:firstLine="720"/>
        <w:jc w:val="both"/>
      </w:pPr>
      <w:r>
        <w:t xml:space="preserve">Mergaičių populiacijoje alkoholinių gėrimų vartojimas per paskutinius 12 mėnesių išliko toks pat kaip 2003 m., o  alkoholinių gėrimų vartojimas per paskutines 30 dienų padidėjo. </w:t>
      </w:r>
    </w:p>
    <w:p w:rsidR="00DD08F5" w:rsidRDefault="00DD08F5" w:rsidP="00DD08F5">
      <w:pPr>
        <w:jc w:val="both"/>
      </w:pPr>
      <w:r>
        <w:tab/>
        <w:t>2007 m. duomenimis alus išlieka labiausiai vartojamu alkoholiniu gėrimu berniukų tarpe, tuo tarpu mergaitės dažniausiai vartoja sidrą.</w:t>
      </w:r>
    </w:p>
    <w:p w:rsidR="00DD08F5" w:rsidRDefault="00DD08F5" w:rsidP="00DD08F5">
      <w:pPr>
        <w:jc w:val="both"/>
      </w:pPr>
      <w:r>
        <w:t xml:space="preserve"> </w:t>
      </w:r>
      <w:r>
        <w:tab/>
        <w:t>Turime skubiai keisti situaciją, nes penkiolikmetės mergaitės pasiekė geriančių bendraamžių berniukų skaičių.</w:t>
      </w:r>
    </w:p>
    <w:p w:rsidR="00DD08F5" w:rsidRDefault="00DD08F5" w:rsidP="00DD08F5">
      <w:pPr>
        <w:ind w:firstLine="720"/>
        <w:jc w:val="both"/>
      </w:pPr>
      <w:r>
        <w:t>Lietuvoje veikia  viena narkomanų reabilitacinė bendruomenė vaikams. Vilniaus, Kauno ir Klaipėdos priklausomybės ligų centruose įsteigta 18 vietų, skirtų vaikų, sergančių priklausomybe nuo psichoaktyviųjų medžiagų, gydymui ir trumpalaikei reabilitacijai, kur gydymas ir reabilitacijos paslaugos trunka nuo 1 iki 3 mėn. 2005 – 2008 metais juose priklausomybės ligų gydymo programos lėšomis suteikta paslaugų:</w:t>
      </w:r>
    </w:p>
    <w:p w:rsidR="00DD08F5" w:rsidRDefault="00DD08F5" w:rsidP="00DD08F5">
      <w:pPr>
        <w:jc w:val="both"/>
      </w:pPr>
      <w:r>
        <w:tab/>
        <w:t>Klaipėdos priklausomybės ligų centre 2008 metais - 10 vaikų suteiktos alkoholinės abstinencijos stacionarinio gydymo paslaugos (2007 m. –0), 10 vaikų suteiktos narkotinės abstinencijos stacionarinio gydymo paslaugos (2007 m. –0), 47 vaikai tikrinti dėl narkotinių ir psichotropinių medžiagų vartojimo (2007 m. –283 vaikai), 21 vaikas  patikrintas dėl infekcinių ir kt. užkrečiamų ligų (2007 m. – 0).</w:t>
      </w:r>
    </w:p>
    <w:p w:rsidR="00DD08F5" w:rsidRDefault="00DD08F5" w:rsidP="00DD08F5">
      <w:pPr>
        <w:ind w:firstLine="720"/>
        <w:jc w:val="both"/>
      </w:pPr>
      <w:r>
        <w:t>Panevėžio priklausomybės ligų centre 2008 metais - 2 vaikams suteiktos alkoholinės abstinencijos stacionarinio gydymo paslaugos (2007 m. –2), 10 suteiktos narkotinės abstinencijos stacionarinio gydymo paslaugos (2007 m. –10), 59 vaikai tikrinti dėl narkotinių ir psichotropinių medžiagų (2007 m. – 59 vaikai),  nei vienas vaikas nepatikrintas dėl infekcinių ir kt. užkrečiamų ligų (2007 m. – taip pat).</w:t>
      </w:r>
    </w:p>
    <w:p w:rsidR="00DD08F5" w:rsidRDefault="00DD08F5" w:rsidP="00DD08F5">
      <w:pPr>
        <w:ind w:firstLine="720"/>
        <w:jc w:val="both"/>
      </w:pPr>
      <w:r>
        <w:t>Vilniaus priklausomybės ligų centre 2008 metais   - 1 vaikui suteiktos alkoholinės abstinencijos stacionarinio gydymo paslaugos (2007 m. –0), 9 vaikams suteiktos narkotinės abstinencijos stacionarinio gydymo paslaugos (2007 m. – 8), 117 vaikai tikrinti dėl narkotinių ir psichotropinių medžiagų (2007 m. – 192 vaikai), nei vienas vaikas nepatikrintas dėl infekcinių ir kt. užkrečiamų ligų (2007 m. – 0).</w:t>
      </w:r>
    </w:p>
    <w:p w:rsidR="00DD08F5" w:rsidRDefault="00DD08F5" w:rsidP="00DD08F5">
      <w:pPr>
        <w:ind w:firstLine="720"/>
        <w:jc w:val="both"/>
      </w:pPr>
      <w:r>
        <w:t xml:space="preserve">Kauno priklausomybės ligų centre 2008 metais - 43 vaikams suteiktos alkoholinės abstinencijos stacionarinio gydymo paslaugos (2007 m. –26), 28 vaikams suteiktos tęstinės alkoholinės abstinencijos stacionarinio gydymo paslaugos (2007 m. –13), 72 vaikams suteiktos narkotinės abstinencijos ambulatorinio gydymo paslaugos (2007 m. –76), 19 vaikų suteiktos </w:t>
      </w:r>
      <w:r>
        <w:lastRenderedPageBreak/>
        <w:t>narkotinės abstinencijos stacionarinio gydymo paslaugos (2007 m. –17), 135 vaikai tikrinti dėl narkotinių ir psichotropinių medžiagų (2007 m. – 118 vaikai), 2 vaikai patikrinti dėl infekcinių ir kt. užkrečiamų ligų (2007 m. – 9).</w:t>
      </w:r>
    </w:p>
    <w:p w:rsidR="00DD08F5" w:rsidRDefault="00DD08F5" w:rsidP="00DD08F5">
      <w:pPr>
        <w:ind w:firstLine="720"/>
        <w:jc w:val="both"/>
      </w:pPr>
    </w:p>
    <w:p w:rsidR="00DD08F5" w:rsidRDefault="00DD08F5" w:rsidP="00DD08F5">
      <w:pPr>
        <w:jc w:val="both"/>
        <w:rPr>
          <w:b/>
          <w:bCs/>
          <w:i/>
          <w:iCs/>
        </w:rPr>
      </w:pPr>
      <w:r>
        <w:tab/>
      </w:r>
      <w:r>
        <w:rPr>
          <w:b/>
          <w:bCs/>
        </w:rPr>
        <w:t xml:space="preserve"> 3) </w:t>
      </w:r>
      <w:r>
        <w:rPr>
          <w:b/>
          <w:bCs/>
          <w:i/>
          <w:iCs/>
        </w:rPr>
        <w:t>Vaikai auga aplinkoje, kurioje didelis psichoaktyviųjų medžiagų vartojimo mastas</w:t>
      </w:r>
    </w:p>
    <w:p w:rsidR="00DD08F5" w:rsidRDefault="00DD08F5" w:rsidP="00DD08F5">
      <w:pPr>
        <w:jc w:val="both"/>
        <w:rPr>
          <w:b/>
          <w:bCs/>
        </w:rPr>
      </w:pPr>
    </w:p>
    <w:p w:rsidR="00DD08F5" w:rsidRDefault="00DD08F5" w:rsidP="00DD08F5">
      <w:pPr>
        <w:ind w:firstLine="720"/>
        <w:jc w:val="both"/>
        <w:rPr>
          <w:lang w:bidi="ta-IN"/>
        </w:rPr>
      </w:pPr>
      <w:r>
        <w:t xml:space="preserve">Lyginant tyrimo duomenis su ankstesnio tyrimo duomenimis Lietuvoje – 2008 metais kanapių vartojimo paplitimas reikšmingai išaugo tiek bent kartą gyvenime, tiek </w:t>
      </w:r>
      <w:r>
        <w:rPr>
          <w:lang w:bidi="ta-IN"/>
        </w:rPr>
        <w:t>per paskutinius 12 mėnesių, tiek per paskutines 30 dienų. Žymiausias kanapių vartojimo paplitimo augimas 15-24 metų  ir 25-34 metų amžiaus respondentų grupėse.</w:t>
      </w:r>
    </w:p>
    <w:p w:rsidR="00DD08F5" w:rsidRDefault="00DD08F5" w:rsidP="00DD08F5">
      <w:pPr>
        <w:ind w:firstLine="720"/>
        <w:jc w:val="both"/>
      </w:pPr>
      <w:r>
        <w:t>Lietuvoje psichoaktyviųjų medžiagų vartojimo paplitimo bendrojoje populiacijoje tyrimas  atliktas 2008 m. antrą kartą (pirmas tyrimas atliktas  2004 m.).</w:t>
      </w:r>
    </w:p>
    <w:p w:rsidR="00DD08F5" w:rsidRDefault="00DD08F5" w:rsidP="00DD08F5">
      <w:pPr>
        <w:ind w:firstLine="720"/>
        <w:jc w:val="both"/>
      </w:pPr>
      <w:r>
        <w:t>Kaip ir 2004 m.,– labiausiai šalyje tarp narkotinių ir psichotropinių medžiagų yra paplitęs kanapių (</w:t>
      </w:r>
      <w:r>
        <w:rPr>
          <w:iCs/>
        </w:rPr>
        <w:t>marihuaną/hašišą</w:t>
      </w:r>
      <w:r>
        <w:t xml:space="preserve">) vartojimas: bent kartą gyvenime </w:t>
      </w:r>
      <w:r>
        <w:rPr>
          <w:color w:val="231F20"/>
        </w:rPr>
        <w:t xml:space="preserve">(LTP) </w:t>
      </w:r>
      <w:r>
        <w:t xml:space="preserve">kanapes yra vartoję 11,9 proc., per </w:t>
      </w:r>
      <w:r>
        <w:rPr>
          <w:color w:val="231F20"/>
        </w:rPr>
        <w:t xml:space="preserve">pastaruosius 12 mėnesių (LYP) – 5,6 proc., per paskutiniąsias 30 dienų (LMP) – 1,2 </w:t>
      </w:r>
      <w:r>
        <w:t>proc. Lietuvos gyventojų.</w:t>
      </w:r>
    </w:p>
    <w:p w:rsidR="00DD08F5" w:rsidRDefault="00DD08F5" w:rsidP="00DD08F5">
      <w:pPr>
        <w:jc w:val="both"/>
      </w:pPr>
      <w:r>
        <w:rPr>
          <w:color w:val="231F20"/>
        </w:rPr>
        <w:t xml:space="preserve"> </w:t>
      </w:r>
      <w:r>
        <w:rPr>
          <w:color w:val="231F20"/>
        </w:rPr>
        <w:tab/>
        <w:t xml:space="preserve"> 20</w:t>
      </w:r>
      <w:r>
        <w:t>07 m. vykdyto Alkoholio ir kitų narkotikų tyrimo projekto Europos mokyklose (ESPAD) tyrimo rezultatai rodo, kad populiariausias Lietuvos paauglių narkotikas – taip pat yra marihuana (hašišas), antras pagal populiarumą narkotikas – ekstazi. Lietuvos mokyklose 2007 metais kanapes (marihuaną) bent kartą gyvenime nurodė bandę 18,2 proc. 15-16 metų Lietuvos moksleivių, (2003 m. – 13,5 proc., Europos šalių 2007 m. vidurkis – 19 proc.). Narkotikų, ypač marihuanos, vartojimas didžiuosiuose miestuose paplitęs kelis kartus labiau negu miesteliuose ir kaimuose.</w:t>
      </w:r>
    </w:p>
    <w:p w:rsidR="00DD08F5" w:rsidRDefault="00DD08F5" w:rsidP="00DD08F5">
      <w:pPr>
        <w:jc w:val="both"/>
        <w:rPr>
          <w:color w:val="000000"/>
        </w:rPr>
      </w:pPr>
      <w:r>
        <w:tab/>
        <w:t xml:space="preserve">Narkotikų kontrolės departamento duomenimis, </w:t>
      </w:r>
      <w:r>
        <w:rPr>
          <w:color w:val="000000"/>
        </w:rPr>
        <w:t xml:space="preserve">2008 m. buvo toliau kryptingai vykdomi atrankinės ir tikslinės prevencijos projektai skirti rizikos grupėms, vyko kasmetinis psichoaktyvių medžiagų vartojimo prevencijos projektų vertinimas, įgyvendinama Alkoholio, tabako ir kitų psichiką veikiančių medžiagų vartojimo prevencijos programa, patvirtinta Lietuvos Respublikos švietimo ir mokslo ministro 2006 m. kovo 17 d. įsakymu Nr. ISAK-494 (Žin., 2006, Nr. </w:t>
      </w:r>
      <w:hyperlink r:id="rId80" w:history="1">
        <w:r>
          <w:rPr>
            <w:color w:val="000000"/>
          </w:rPr>
          <w:t>33-1197</w:t>
        </w:r>
      </w:hyperlink>
      <w:r>
        <w:rPr>
          <w:color w:val="000000"/>
        </w:rPr>
        <w:t>). Teikiamos ankstyvosios intervencijos paslaugos vaikams, p</w:t>
      </w:r>
      <w:r>
        <w:rPr>
          <w:bCs/>
          <w:color w:val="000000"/>
        </w:rPr>
        <w:t>arengta ir pradėta įgyvendinti Psichoaktyvių medžiagų vartojimo prevencijos mokymo programa mokinių tėvams, patvirtinta Specialiosios pedagogikos ir psichologijos centro direktoriaus 2007 m. gruodžio 29 d. įsakymu Nr. (1.3) V-263.</w:t>
      </w:r>
    </w:p>
    <w:p w:rsidR="00DD08F5" w:rsidRDefault="00DD08F5" w:rsidP="00DD08F5">
      <w:pPr>
        <w:ind w:firstLine="540"/>
        <w:jc w:val="both"/>
      </w:pPr>
      <w:r>
        <w:t>Narkotikų kontrolės departamento prie Lietuvos Respublikos Vyriausybės 2008 m. pakartotinai atlikto reprezentatyvaus 15-64 metų Lietuvos gyventojų tyrimo duomenimis, bent vieną narkotinę ar psichotropinę medžiagą bent kartą gyvenime yra bandę 12,5 proc., bent kartą per pastaruosius 12 mėn. – 6,2 proc., o bent kartą per pastarąsias 30 dienų – 1,5 proc. gyventojų. Narkotikus bent kartą gyvenime nurodė vartoję daugiau vyrai (16,4 proc.), nei moterys (9,2 proc.), jaunesni (15-34 metų amžiaus) nei vyresni (35-64 metų amžiaus) respondentai, atitinkamai 22,1 proc. ir 4,7 proc. Kaip ir 2004 m., 2008 m. labiausiai šalyje tarp narkotinių ir psichotropinių medžiagų yra paplitęs kanapių vartojimas: bent kartą gyvenime kanapes yra vartoję 11,9 proc. Lietuvos gyventojų. Kitų narkotikų vartojimas yra gerokai mažesnis: nors kartą gyvenime ekstazi vartojo 2,1 proc., amfetaminą – 1,6 proc. Lietuvos gyventojų (1 pav.).</w:t>
      </w:r>
    </w:p>
    <w:p w:rsidR="00DD08F5" w:rsidRDefault="00DD08F5" w:rsidP="00DD08F5">
      <w:pPr>
        <w:ind w:firstLine="540"/>
        <w:jc w:val="both"/>
        <w:rPr>
          <w:i/>
        </w:rPr>
      </w:pPr>
      <w:r>
        <w:rPr>
          <w:i/>
        </w:rPr>
        <w:t>1 pav. Nors kartą gyvenime skirtingas narkotines ir psichotropines medžiagas vartojusių gyventojų (15–64 metų amžiaus) dalis (proc.) Lietuvoje ir ES šalyse, tyrimų bendrojoje populiacijoje duomenimis</w:t>
      </w:r>
    </w:p>
    <w:p w:rsidR="00DD08F5" w:rsidRDefault="00DD08F5" w:rsidP="00DD08F5">
      <w:pPr>
        <w:ind w:firstLine="540"/>
        <w:jc w:val="both"/>
        <w:rPr>
          <w:color w:val="231F20"/>
        </w:rPr>
      </w:pPr>
      <w:r>
        <w:rPr>
          <w:noProof/>
          <w:lang w:eastAsia="lt-LT"/>
        </w:rPr>
        <w:lastRenderedPageBreak/>
        <w:drawing>
          <wp:inline distT="0" distB="0" distL="0" distR="0" wp14:anchorId="1DE276B5" wp14:editId="13F0BCD9">
            <wp:extent cx="6400800" cy="2476500"/>
            <wp:effectExtent l="0" t="0" r="0" b="0"/>
            <wp:docPr id="71" name="Diagrama 7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tab/>
      </w:r>
      <w:r>
        <w:rPr>
          <w:color w:val="231F20"/>
        </w:rPr>
        <w:t xml:space="preserve">Remiantis Europos narkotikų ir narkomanijos stebėsenos centro duomenimis, kanapes bent kartą gyvenime vartojo beveik penktadalis (21,8 proc.) 15-64 metų amžiaus Europos Sąjungos gyventojų. Per pastaruosius 12 mėnesių, kanapes vartojo 6,8 proc. (23 mln.), per paskutiniąsias 30 dienų – 3,8 proc. (12,5 mln.) 15-64 metų amžiaus europiečių. </w:t>
      </w:r>
      <w:r>
        <w:t xml:space="preserve">Amfetaminus </w:t>
      </w:r>
      <w:r>
        <w:rPr>
          <w:color w:val="231F20"/>
        </w:rPr>
        <w:t>bent kartą gyvenime vartojo 3,3 proc. (11 mln.), ekstazi – 2,8 proc. (9,5 mln.) 15-64 metų amžiaus europiečių, per pastaruosius 12 mėnesių amfetaminus vartojo 0,6 proc. (2 mln.), ekstazi – 0,8 proc. (2,6 mln.).</w:t>
      </w:r>
    </w:p>
    <w:p w:rsidR="00DD08F5" w:rsidRDefault="00DD08F5" w:rsidP="00DD08F5">
      <w:pPr>
        <w:ind w:firstLine="540"/>
        <w:jc w:val="both"/>
      </w:pPr>
      <w:r>
        <w:rPr>
          <w:bCs/>
        </w:rPr>
        <w:t>2004-2008 m. Lietuvoje vykdytos psichoaktyvių medžiagų vartojimo prevencijos priemonės nulėmė tai, kad Lietuvos mokyklose 2003 - 2007 m. neteisėto narkotinių ir psichotropinių medžiagų vartojimo lygis išliko panašus.</w:t>
      </w:r>
      <w:r>
        <w:t xml:space="preserve"> 2007 m. vykdyto Alkoholio ir kitų narkotikų tyrimo projekto Europos mokyklose (ESPAD) tyrimo rezultatai rodo, kad Lietuvos mokyklose 2007 m. kanapes (marihuaną) bent kartą gyvenime nurodė bandę 18,3 proc. 15-16 metų Lietuvos moksleivių, (2003 m. – 13,6 proc.), heroiną – 1,3 proc. (2003 m. – 1,4 proc.), amfetaminus – 3,1 proc. (2003 m. – 5 proc.), ekstazi – 3,6 proc. (2003 m. – 2 proc.).</w:t>
      </w:r>
    </w:p>
    <w:p w:rsidR="00DD08F5" w:rsidRDefault="00DD08F5" w:rsidP="00DD08F5">
      <w:pPr>
        <w:ind w:firstLine="540"/>
        <w:jc w:val="both"/>
        <w:rPr>
          <w:color w:val="000000"/>
        </w:rPr>
      </w:pPr>
      <w:r>
        <w:rPr>
          <w:color w:val="000000"/>
        </w:rPr>
        <w:t xml:space="preserve">Vaikai, priskiriami rizikos grupėms, yra linkę dažniau vartoti psichoaktyvias medžiagas. Statistikos departamento prie Lietuvos Respublikos Vyriausybės duomenimis 2007 m. Lietuvoje registruota 12 tūkst. rizikos šeimų, jose augo 27,9 tūkst. socialinės rizikos vaikų, 7 321 šeima įtraukta į rizikos grupę dėl tėvų girtavimo bei psichotropinių medžiagų vartojimo, 740 vaikų, augančių rizikos šeimose, nustatyta laikinoji vaikų globa. </w:t>
      </w:r>
    </w:p>
    <w:p w:rsidR="00DD08F5" w:rsidRDefault="00DD08F5" w:rsidP="00DD08F5">
      <w:pPr>
        <w:ind w:firstLine="540"/>
        <w:jc w:val="both"/>
      </w:pPr>
      <w:r>
        <w:t xml:space="preserve">2007 – 2008 m. atliktos Lietuvos aukštųjų mokyklų studentų apklausos duomenimis, narkotinę ar psichotropinę medžiagą bent kartą gyvenime yra bandę 36,9 proc., bent kartą per pastaruosius 12 mėn. - 19,2 proc., o bent kartą per pastarąsias 30 dienų - 7,7 proc. studentų. Labiausiai tarp studentų paplitusi narkotinė medžiaga – kanapės. </w:t>
      </w:r>
    </w:p>
    <w:p w:rsidR="00DD08F5" w:rsidRDefault="00DD08F5" w:rsidP="00DD08F5">
      <w:pPr>
        <w:ind w:firstLine="540"/>
        <w:jc w:val="both"/>
      </w:pPr>
      <w:r>
        <w:t xml:space="preserve">2008 m. vykdytos apklausos tarp </w:t>
      </w:r>
      <w:r>
        <w:rPr>
          <w:noProof/>
        </w:rPr>
        <w:t>Lietuvos naktinių klubų lankytojų</w:t>
      </w:r>
      <w:r>
        <w:t xml:space="preserve"> duomenimis – bent kartą gyvenime narkotikus yra vartojęs kas trečias respondentas, beveik kas ketvirtas narkotikus vartojo per paskutinius metus, vidutiniškai kas dešimtas respondentas narkotikus vartojo paskutinio mėnesio laikotarpyje. </w:t>
      </w:r>
    </w:p>
    <w:p w:rsidR="00DD08F5" w:rsidRDefault="00DD08F5" w:rsidP="00DD08F5">
      <w:pPr>
        <w:ind w:firstLine="540"/>
        <w:jc w:val="both"/>
      </w:pPr>
      <w:r>
        <w:t xml:space="preserve">Nors 2008 m. ir toliau buvo kryptingai plėtojamos sveikatos priežiūros paslaugos asmenims, priklausomiems nuo narkotinių ir psichotropinių medžiagų vartojimo, tačiau nepakankamas gydytojų psichiatrų ir kitų specialistų skaičius, finansiniai ištekliai riboja sveikatos priežiūros paslaugų prieinamumą šiems asmenims. 2004 m. Lietuvoje veikė 65 psichikos sveikatos centrai, 2008 m. tokių centrų buvo 85. Vilniaus, Kauno, Klaipėdos priklausomybės ligų centruose pradėtos teikti specializuotos ambulatorinės ir stacionarinės paslaugos vaikams, vartojantiems narkotines ir psichotropines medžiagas bei sergantiems priklausomybe nuo narkotinių ir psichotropinių medžiagų. </w:t>
      </w:r>
      <w:r>
        <w:rPr>
          <w:bCs/>
        </w:rPr>
        <w:t>Šiuo metu medicinines ir psichoterapines  trumpalaikės reabilitacijos paslaugas vaikams, vartojantiems psichoaktyviąsias medžiagas, teikia Vilniaus, Kauno ir Klaipėdos priklausomybės ligų centrai, kuriuose yra atskiri vaikų skyriai (viso 18 vietų).</w:t>
      </w:r>
      <w:r>
        <w:t xml:space="preserve"> 2009 m. psichologinės ir socialinės reabilitacijos skyrius vaikams pradėjo veikti ir Panevėžio apskrities priklausomybės ligų centre.</w:t>
      </w:r>
    </w:p>
    <w:p w:rsidR="00DD08F5" w:rsidRDefault="00DD08F5" w:rsidP="00DD08F5">
      <w:pPr>
        <w:ind w:firstLine="720"/>
        <w:jc w:val="both"/>
      </w:pPr>
      <w:r>
        <w:t xml:space="preserve">Palyginus 2007 metus su 2008 metais, matyti kad  2007 m. į stacionarines ASPĮ  gydytis psichikos ir elgesio sutrikimus dėl žalingo psichiką veikiančių medžiagų vartojimo kreipėsi 10 019 asmenų. Tarp visų asmenų, piktnaudžiaujančių psichiką veikiančiomis medžiagomis, vyrai sudaro didesniąją dalį. </w:t>
      </w:r>
    </w:p>
    <w:p w:rsidR="00DD08F5" w:rsidRDefault="00DD08F5" w:rsidP="00DD08F5">
      <w:pPr>
        <w:ind w:firstLine="720"/>
        <w:jc w:val="both"/>
      </w:pPr>
      <w:r>
        <w:lastRenderedPageBreak/>
        <w:t xml:space="preserve">Lyginant 3 metų statistinius duomenis, pastebimas gerokai padidėjęs užregistruotų apsinuodijimų kokainu skaičius ( 2004 m. – 6 atvejai, 2005 m. – 17 atvejų, 2006 m. – 40 atvejų), nedaug sumažėjo apsinuodijimų kanapėmis ( 2005 m. – 17 atvejų, 2006 m. – 9 atvejai) ir opiumu  (2005 m. – 75 atvejai, 2006 m. – 55 atvejai).  </w:t>
      </w:r>
    </w:p>
    <w:p w:rsidR="00DD08F5" w:rsidRDefault="00DD08F5" w:rsidP="00DD08F5">
      <w:pPr>
        <w:ind w:firstLine="720"/>
        <w:jc w:val="both"/>
      </w:pPr>
      <w:r>
        <w:t xml:space="preserve">2007 m. dėl priklausomybės į ASPĮ besikreipusių asmenų mirštamumas buvo mažesnis nei 1 proc., t.y. iš 9’955 hospitalizuotų dėl minėtos priežasties mirė 64 asmenys. </w:t>
      </w:r>
    </w:p>
    <w:p w:rsidR="00DD08F5" w:rsidRDefault="00DD08F5" w:rsidP="00DD08F5">
      <w:pPr>
        <w:jc w:val="both"/>
      </w:pPr>
      <w:r>
        <w:tab/>
        <w:t>Kaip ir bendroje stacionarines paslaugas teikiančiose ASPĮ gydytų priklausomybe sergančių asmenų statistikoje, taip ir mirštamumo rodikliuose, dauguma nuo priklausomybės mirusiųjų yra vyriškos lyties darbingo  amžiaus asmenys.</w:t>
      </w:r>
    </w:p>
    <w:p w:rsidR="00DD08F5" w:rsidRDefault="00DD08F5" w:rsidP="00DD08F5">
      <w:pPr>
        <w:jc w:val="both"/>
      </w:pPr>
      <w:r>
        <w:tab/>
        <w:t xml:space="preserve">Mirčių nuo narkotinių ir psichotropinių medžiagų vartojimo skaičius didėjo 2005 m. –31, 2006 m. – 62, 2007 m. – 72, tačiau, tai sietina ir su pagerėjusia statistine apskaita. </w:t>
      </w:r>
    </w:p>
    <w:p w:rsidR="00DD08F5" w:rsidRDefault="00DD08F5" w:rsidP="00DD08F5">
      <w:pPr>
        <w:jc w:val="both"/>
      </w:pPr>
      <w:r>
        <w:tab/>
        <w:t xml:space="preserve">Alkoholinių psichozių Lietuvoje vis augo. 2005 m. alkoholinių psichozių rodiklis 100 000 gyventojų siekė 89,8 atvejo, o 2007 m. išaugo iki 111,0 atvejo /100 000 gyventojų, 2005 m. į psichiatrijos ligonines dėl alkoholinių psichozių kreipėsi 1122 asmenys, 2007 m. – 1456, o 2008 m. – 1217. </w:t>
      </w:r>
    </w:p>
    <w:p w:rsidR="00DD08F5" w:rsidRDefault="00DD08F5" w:rsidP="00DD08F5">
      <w:pPr>
        <w:ind w:firstLine="720"/>
        <w:jc w:val="both"/>
      </w:pPr>
      <w:r>
        <w:t xml:space="preserve">Lietuvos sveikatos informacijos centro duomenimis palaipsniui mažėjo asmenų, gydytų dėl alkoholio toksinio poveikio (TLK T51 – T51.90, rodiklis: 2005 m. – 77,8/ 100 000 gyventojų  iki 72,3/100000 gyventojų – 2008 m. Sumažėjo gydytų ir dėl ūmios alkoholinės intoksikacijos ( TLK F10.0) rodikliai : 2005 m. – 14.8/100000 gyventojų iki 11,3/100000 gyventojų – 2008 m. </w:t>
      </w:r>
    </w:p>
    <w:p w:rsidR="00DD08F5" w:rsidRDefault="00DD08F5" w:rsidP="00DD08F5">
      <w:pPr>
        <w:ind w:firstLine="720"/>
        <w:jc w:val="both"/>
      </w:pPr>
      <w:r>
        <w:t>Savižudybių dažnio rodiklis 100 000 gyventojų kasmet palaipsniui mažėjo: 2005 m. – 38,6 atvejo; 2006 m. – 30,9 atvejai; 2007 m. – 30,4 atvejai.</w:t>
      </w:r>
    </w:p>
    <w:p w:rsidR="00DD08F5" w:rsidRDefault="00DD08F5" w:rsidP="00DD08F5">
      <w:pPr>
        <w:ind w:firstLine="720"/>
        <w:jc w:val="both"/>
      </w:pPr>
      <w:r>
        <w:t xml:space="preserve"> ŽIV užsikrėtusių asmenų diagnozuota: 2005 m. –120, 2008 m. – 95 atvejai.  Iš viso 1401 ŽIV užsikrėtę asmenys nuo 1988m., o trejų metų laikotarpiu diagnozuotas 301 naujas atvejis. Iki 2009 m. sausio 1 d. iš viso nustatyti 197 AIDS atvejai.</w:t>
      </w:r>
    </w:p>
    <w:p w:rsidR="00DD08F5" w:rsidRDefault="00DD08F5" w:rsidP="00DD08F5">
      <w:pPr>
        <w:ind w:firstLine="540"/>
        <w:jc w:val="both"/>
      </w:pPr>
      <w:r>
        <w:t>Valstybinio psichikos sveikatos centro duomenimis 2007 m. asmens sveikatos priežiūros įstaigose dėl psichikos ir elgesio sutrikimų, neteisėtai vartojant narkotines ir psichotropines medžiagas, registruota 11 vaikų (2006 m. – 19, 2005 m. – 43 vaikai), sumažėjo asmenų, pirmą kartą besikreipiančių į sveikatos priežiūros įstaigas dėl psichikos ir elgesio sutrikimų vartojant narkotines ar psichotropines medžiagas - 2007 m. sergamumas narkomanija sudarė 9,5 atv./100 tūkst. gyventojų ir buvo mažesnis už pastarųjų 7 metų vidurkį (12 atv./100 tūkst. gyventojų)</w:t>
      </w:r>
      <w:r>
        <w:rPr>
          <w:i/>
          <w:iCs/>
        </w:rPr>
        <w:t xml:space="preserve"> </w:t>
      </w:r>
      <w:r>
        <w:rPr>
          <w:iCs/>
        </w:rPr>
        <w:t>(2 pav.)</w:t>
      </w:r>
      <w:r>
        <w:t xml:space="preserve">. 2007 m. asmens sveikatos priežiūros įstaigose dėl psichikos ir elgesio sutrikimų, neteisėtai vartojant narkotines ir psichotropines medžiagas, registruota 5715 asmenų, iš kurių daugiau kaip 90 proc. narkotines ir psichotropines medžiagas vartojo švirkščiamuoju būdu, apie 80 proc. vartojo opioidus. </w:t>
      </w:r>
    </w:p>
    <w:p w:rsidR="00DD08F5" w:rsidRDefault="00DD08F5" w:rsidP="00DD08F5">
      <w:pPr>
        <w:ind w:firstLine="540"/>
        <w:jc w:val="both"/>
        <w:rPr>
          <w:i/>
          <w:iCs/>
        </w:rPr>
      </w:pPr>
    </w:p>
    <w:p w:rsidR="00DD08F5" w:rsidRDefault="00DD08F5" w:rsidP="00DD08F5">
      <w:pPr>
        <w:ind w:firstLine="540"/>
        <w:jc w:val="both"/>
        <w:rPr>
          <w:i/>
          <w:iCs/>
        </w:rPr>
      </w:pPr>
      <w:r>
        <w:rPr>
          <w:i/>
          <w:iCs/>
        </w:rPr>
        <w:t>2 pav. Sergamumas narkomanija bei asmenų, pirmą kartą užregistruotų dėl psichikos ir elgesio sutrikimų, neteisėtai vartojant narkotines ir psichotropines medžiagas skaičius (2000–2007 m.)</w:t>
      </w:r>
    </w:p>
    <w:p w:rsidR="00DD08F5" w:rsidRDefault="00DD08F5" w:rsidP="00DD08F5">
      <w:pPr>
        <w:ind w:firstLine="540"/>
        <w:jc w:val="both"/>
        <w:rPr>
          <w:u w:val="single"/>
        </w:rPr>
      </w:pPr>
      <w:r>
        <w:rPr>
          <w:noProof/>
          <w:lang w:eastAsia="lt-LT"/>
        </w:rPr>
        <w:drawing>
          <wp:inline distT="0" distB="0" distL="0" distR="0" wp14:anchorId="15898210" wp14:editId="574F6040">
            <wp:extent cx="6105525" cy="2609850"/>
            <wp:effectExtent l="0" t="0" r="0" b="0"/>
            <wp:docPr id="70" name="Diagrama 7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DD08F5" w:rsidRDefault="00DD08F5" w:rsidP="00DD08F5">
      <w:pPr>
        <w:ind w:firstLine="540"/>
        <w:jc w:val="both"/>
      </w:pPr>
      <w:r>
        <w:t xml:space="preserve">Valstybinio psichikos sveikatos centro duomenimis, 2008 m. sausio 1 d. tik 10 proc. (395 asmenims) visų asmenų, registruotų dėl priklausomybės nuo opioidų, buvo taikomas pakaitinis gydymas metadono ar buprenorfino hidrochloridu. </w:t>
      </w:r>
    </w:p>
    <w:p w:rsidR="00DD08F5" w:rsidRDefault="00DD08F5" w:rsidP="00DD08F5">
      <w:pPr>
        <w:ind w:firstLine="540"/>
        <w:jc w:val="both"/>
        <w:rPr>
          <w:strike/>
        </w:rPr>
      </w:pPr>
      <w:r>
        <w:t xml:space="preserve">2008 m. Lietuvos savivaldybėse buvo įsteigti 28 visuomenės sveikatos biurai, kurių veiklos tikslas – rūpintis savivaldybės gyventojų sveikata, vykdyti visuomenės sveikatos priežiūrą, siekiant </w:t>
      </w:r>
      <w:r>
        <w:lastRenderedPageBreak/>
        <w:t xml:space="preserve">mažinti gyventojų sergamumą ir mirtingumą, gerinti gyvenimo kokybę teikiant kokybiškas visuomenės sveikatos priežiūros paslaugas. Viena iš visuomenės sveikatos biurų funkcijų yra narkomanijos prevencijos priemonių vykdymas savivaldybėje. </w:t>
      </w:r>
    </w:p>
    <w:p w:rsidR="00DD08F5" w:rsidRDefault="00DD08F5" w:rsidP="00DD08F5">
      <w:pPr>
        <w:ind w:firstLine="540"/>
        <w:jc w:val="both"/>
        <w:rPr>
          <w:color w:val="000000"/>
        </w:rPr>
      </w:pPr>
      <w:r>
        <w:rPr>
          <w:color w:val="000000"/>
        </w:rPr>
        <w:t xml:space="preserve">2008 m. siekiant užtikrinti socialinių psichologinių reabilitacijos paslaugų prieinamumą asmenims, priklausomiems </w:t>
      </w:r>
      <w:r>
        <w:t>nuo narkotinių ir psichotropinių medžiagų, kryptingai teikiama valstybės parama socialinės psichologinės reabilitacijos bendruomenėms išaugo 1,5 karto ir 2008 m. sudarė beveik 1 mln. Lt. 2008 m. ilgalaikę socialinę</w:t>
      </w:r>
      <w:r>
        <w:rPr>
          <w:color w:val="000000"/>
        </w:rPr>
        <w:t xml:space="preserve"> globą tokiems asmenims teikia 17 psichologinės bei socialinės reabilitacijos įstaigų, kuriose yra virš 300 vietų.</w:t>
      </w:r>
      <w:r>
        <w:t xml:space="preserve"> </w:t>
      </w:r>
    </w:p>
    <w:p w:rsidR="00DD08F5" w:rsidRDefault="00DD08F5" w:rsidP="00DD08F5">
      <w:pPr>
        <w:ind w:firstLine="540"/>
        <w:jc w:val="both"/>
      </w:pPr>
      <w:r>
        <w:t xml:space="preserve">Valstybinės ligonių kasos prie Lietuvos Respublikos sveikatos apsaugos ministerijos duomenimis į asmens sveikatos priežiūros įstaigas dėl apsinuodijimų narkotinėmis ar psichotropinėmis medžiagomis 2007 m. buvo kreiptasi 283 kartus (2006 m. - 287). Apie pusė besikreipusiųjų asmenų buvo apsinuodiję opioidais. </w:t>
      </w:r>
    </w:p>
    <w:p w:rsidR="00DD08F5" w:rsidRDefault="00DD08F5" w:rsidP="00DD08F5">
      <w:pPr>
        <w:ind w:firstLine="540"/>
        <w:jc w:val="both"/>
      </w:pPr>
      <w:r>
        <w:t xml:space="preserve">Lietuvoje, kaip ir Europoje, didėja mirčių dėl narkotinių ir psichotropinių medžiagų vartojimo skaičius. Statistikos departamento prie Lietuvos Respublikos Vyriausybės duomenimis, 2007 m. užregistruoti 72 mirčių dėl narkotinių ir psichotropinio medžiagų vartojimo atvejai (2006 m. – 62 atv., 2005 m. – 31 atv., 2004 m. – 38 atv.), kurių dažniausia mirties priežastis buvo apsinuodijimas opioidais </w:t>
      </w:r>
      <w:r>
        <w:rPr>
          <w:iCs/>
        </w:rPr>
        <w:t>(3 pav.)</w:t>
      </w:r>
      <w:r>
        <w:t>. Pastaraisiais metais tobulinamos mirties priežasties nustatymo metodikos, keliama specialistų kvalifikacija, diegiama nauja laboratorinė įranga ir informacinės sistemos.</w:t>
      </w:r>
    </w:p>
    <w:p w:rsidR="00DD08F5" w:rsidRDefault="00DD08F5" w:rsidP="00DD08F5">
      <w:pPr>
        <w:ind w:firstLine="540"/>
        <w:jc w:val="both"/>
      </w:pPr>
    </w:p>
    <w:p w:rsidR="00DD08F5" w:rsidRDefault="00DD08F5" w:rsidP="00DD08F5">
      <w:pPr>
        <w:ind w:firstLine="540"/>
        <w:jc w:val="both"/>
        <w:rPr>
          <w:i/>
          <w:iCs/>
        </w:rPr>
      </w:pPr>
      <w:r>
        <w:rPr>
          <w:i/>
          <w:iCs/>
        </w:rPr>
        <w:t>3 pav. Mirčių, kurių tiesioginė priežastis neteisėtas narkotinių ir psichotropinių medžiagų vartojimas, skaičius 2002 – 2007 metais.</w:t>
      </w:r>
    </w:p>
    <w:p w:rsidR="00DD08F5" w:rsidRDefault="00DD08F5" w:rsidP="00DD08F5">
      <w:pPr>
        <w:ind w:firstLine="540"/>
        <w:jc w:val="both"/>
      </w:pPr>
      <w:r>
        <w:rPr>
          <w:noProof/>
          <w:lang w:eastAsia="lt-LT"/>
        </w:rPr>
        <w:drawing>
          <wp:inline distT="0" distB="0" distL="0" distR="0" wp14:anchorId="1B2C592F" wp14:editId="0F662310">
            <wp:extent cx="5486400" cy="1771650"/>
            <wp:effectExtent l="0" t="0" r="0" b="0"/>
            <wp:docPr id="69" name="Diagrama 6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D08F5" w:rsidRDefault="00DD08F5" w:rsidP="00DD08F5">
      <w:pPr>
        <w:ind w:firstLine="540"/>
        <w:jc w:val="both"/>
      </w:pPr>
      <w:r>
        <w:t>Siekiant sumažinti su neteisėtu narkotinių ir psichotropinių medžiagų vartojimu ir rizikinga elgsena susijusias neigiamas medicinines, socialines, ekonomines ir teisines pasekmes visuomenei ir asmeniui, nuo 2006 m. kryptingai plėtojamos stacionarios ir mobilios žemo slenksčio paslaugos (švirkštų/adatų keitimo, informavimo, konsultavimo ir kt.), skirtos švirkščiamąsias narkotines ir psichotropines medžiagas neteisėtai vartojantiems asmenims. 2008 m. Lietuvoje veikė 11 žemo slenksčio paslaugų kabinetų, kuriuose lankėsi daugiau nei 3000 asmenų. Neteisėtas narkotinių ir psichotropinių medžiagų vartojimas tiesiogiai siejamas su infekcinių ligų (žmogaus imunodeficito viruso (ŽIV) infekcija, hepatito) plitimu. 2007-2008 m. ŽIV infekcijos paplitimas tarp šios rizikos grupės asmenų siekė apie 8 proc. Plėtojant socialines medicinines paslaugas švirkščiamųjų narkotikų vartotojams, pastaraisiais metais mažėja tokiu būdu naujai užsikrėtusių ŽIV infekcija asmenų skaičius. 2008 m. iš visų naujai per metus ŽIV infekcija užsikrėtusių asmenų skaičiaus 44,2 proc. užsikrėtė neteisėtai vartodami švirkščiamas narkotines ir psichotropines medžiagas (2004 m. – 75  proc.) (4 pav.).</w:t>
      </w:r>
    </w:p>
    <w:p w:rsidR="00DD08F5" w:rsidRDefault="00DD08F5" w:rsidP="00DD08F5">
      <w:pPr>
        <w:ind w:firstLine="540"/>
        <w:jc w:val="both"/>
        <w:rPr>
          <w:i/>
          <w:iCs/>
        </w:rPr>
      </w:pPr>
    </w:p>
    <w:p w:rsidR="00DD08F5" w:rsidRDefault="00DD08F5" w:rsidP="00DD08F5">
      <w:pPr>
        <w:ind w:firstLine="540"/>
        <w:jc w:val="both"/>
        <w:rPr>
          <w:i/>
          <w:iCs/>
        </w:rPr>
      </w:pPr>
      <w:r>
        <w:rPr>
          <w:i/>
          <w:iCs/>
        </w:rPr>
        <w:t>4 pav. Asmenų, kurie užsikrėtė ŽIV neteisėtai vartodami švirkščiamąsias narkotines ir psichotropines medžiagas, dalis 2001 – 2008 metais (proc.)</w:t>
      </w:r>
    </w:p>
    <w:p w:rsidR="00DD08F5" w:rsidRDefault="00DD08F5" w:rsidP="00DD08F5">
      <w:pPr>
        <w:ind w:firstLine="540"/>
        <w:jc w:val="both"/>
      </w:pPr>
      <w:r>
        <w:rPr>
          <w:noProof/>
          <w:lang w:eastAsia="lt-LT"/>
        </w:rPr>
        <w:lastRenderedPageBreak/>
        <w:drawing>
          <wp:inline distT="0" distB="0" distL="0" distR="0" wp14:anchorId="5C5BDF1F" wp14:editId="4B8B9EF3">
            <wp:extent cx="5486400" cy="1838325"/>
            <wp:effectExtent l="0" t="0" r="0" b="0"/>
            <wp:docPr id="68" name="Diagrama 6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DD08F5" w:rsidRDefault="00DD08F5" w:rsidP="00DD08F5">
      <w:pPr>
        <w:ind w:firstLine="540"/>
        <w:jc w:val="both"/>
      </w:pPr>
      <w:r>
        <w:t>Lietuvoje ir visoje Europoje nuolat stebimas naujų medžiagų, pasižyminčių narkotiniu ir psichotropiniu poveikiu, patekimas į rinką, ypač naudojant prekybą internetu.</w:t>
      </w:r>
      <w:r>
        <w:rPr>
          <w:color w:val="FF0000"/>
        </w:rPr>
        <w:t xml:space="preserve"> </w:t>
      </w:r>
      <w:r>
        <w:t>2008 m. iš Europos narkotikų ir narkomanijos stebėsenos centro buvo gauta 11 pranešimų apie naujas psichoaktyvias medžiagas, kurios buvo aptiktos ES šalyse. 2008 m. naudojant Ankstyvo pasikeitimo informacija apie naujas psichoaktyvias medžiagas sistemą, į Narkotinių ir psichotropinių medžiagų sąrašus, patvirtintus Lietuvos Respublikos sveikatos apsaugos ministro 2000 m. sausio 6 d. įsakymu Nr. 5 „Dėl narkotinių ir psichotropinių medžiagų sąrašų patvirtinimo“ (Žin., 2000, Nr. 4-113), buvo įtrauktos 8 medžiagos.</w:t>
      </w:r>
    </w:p>
    <w:p w:rsidR="00DD08F5" w:rsidRDefault="00DD08F5" w:rsidP="00DD08F5">
      <w:pPr>
        <w:ind w:firstLine="540"/>
        <w:jc w:val="both"/>
      </w:pPr>
      <w:r>
        <w:t>Siekiant sudaryti sąlygas įgyvendinti nusikalstamų veikų prevenciją, mažinti nusikalstamų veikų recidyvą ir laisvės atėmimo vietose esančių asmenų skaičių, 2008 m. toliau kryptingai įgyvendinama Probacijos sistemos Lietuvoje koncepcija, patvirtinta Lietuvos Respublikos Vyriausybės 2007 m. vasario 21 d. nutarimu Nr. 220 (Žin., 2007, Nr. 27-989). Kalėjimų departamento prie Lietuvos Respublikos teisingumo ministerijos duomenimis, 2008 m. Lietuvoje 87 nuteistiesiems buvo paskirtas teismo įpareigojimas gydytis nuo alkoholizmo, narkomanijos, toksikomanijos ar venerinės ligos, kai nuteistasis sutinka. Narkotikų kontrolės departamento prie Lietuvos Respublikos Vyriausybės finansuotose psichologinės bei socialinės reabilitacijos įstaigose 2008 m. ilgalaikės psichologinės bei socialinės reabilitacijos paslaugas gavo 47 asmenys, kuriems teismo sprendimu buvo paskirtas įpareigojimas gydytis. Tai sudarė 9 proc. visų asmenų, kuriems buvo teiktos ilgalaikės reabilitacijos paslaugos finansuotose įstaigose.</w:t>
      </w:r>
    </w:p>
    <w:p w:rsidR="00DD08F5" w:rsidRDefault="00DD08F5" w:rsidP="00DD08F5">
      <w:pPr>
        <w:autoSpaceDE w:val="0"/>
        <w:autoSpaceDN w:val="0"/>
        <w:adjustRightInd w:val="0"/>
        <w:ind w:firstLine="540"/>
        <w:jc w:val="both"/>
      </w:pPr>
      <w:r>
        <w:t xml:space="preserve">2008 m. įmonių, licencijuotų veiklai su I kategorijos narkotinių ir psichotropinių medžiagų pirmtakais (prekursoriais) nebuvo. Registracijos pažymėjimus veiklai su II ir III kategorijos narkotinių ir psichotropinių medžiagų pirmtakais (prekursoriais) turėjo 18 įmonių. Nuo 2008 m. spalio 1 d. teisėtos narkotinių ir psichotropinių medžiagų pirmtakų (prekursorių) apyvartos kontrolę vykdo Narkotikų kontrolės departamentas prie Lietuvos Respublikos Vyriausybės. </w:t>
      </w:r>
    </w:p>
    <w:p w:rsidR="00DD08F5" w:rsidRDefault="00DD08F5" w:rsidP="00DD08F5">
      <w:pPr>
        <w:ind w:firstLine="540"/>
        <w:jc w:val="both"/>
      </w:pPr>
      <w:r>
        <w:t>Lietuvoje plėtojama neteisėto narkotinių ir psichotropinių medžiagų vartojimo, jo padarinių, apyvartos</w:t>
      </w:r>
      <w:r>
        <w:rPr>
          <w:color w:val="FF6600"/>
        </w:rPr>
        <w:t xml:space="preserve"> </w:t>
      </w:r>
      <w:r>
        <w:t>stebėsena, duomenų surinkimas, informacijos analizė ir sklaida visuomenei, vykdomi moksliniai tyrimai. 2007 m. Narkotikų kontrolės departamentas prie Lietuvos Respublikos Vyriausybės paskirtas Europos narkotikų ir narkomanijos informacinio tinklo (REITOX) nacionaliniu centru, kurio tikslas užtikrinti informacijos rinkimą ir analizę. Valstybės ir savivaldybių institucijos ir įstaigos bei visuomenė nuolat informuojama apie narkotikų kontrolės ir narkomanijos prevencijos veiklą. Palaikomi glaudūs ryšiai su Jungtinių Tautų, Europos Sąjungos institucijomis, tarptautinėmis organizacijomis narkotikų kontrolės ir narkomanijos prevencijos srityse. Teisėsaugos institucijos sėkmingai bendradarbiauja ir dalyvauja tarptautiniuose projektuose, operacijose, susijusiose su neteisėtu disponavimu narkotinėmis ir psichotropinėmis medžiagomis bei jų pirmtakais (prekursoriais) su Europos Sąjungos valstybėmis narėmis ir trečiosiomis šalimis. Nuo 2008 m. sausio 1 d. Lietuva išrinkta į Jungtinių Tautų Narkotikų komisiją ir tapo tikrąja šios komisijos nare iki 2011 m.</w:t>
      </w:r>
    </w:p>
    <w:p w:rsidR="00DD08F5" w:rsidRDefault="00DD08F5" w:rsidP="00DD08F5">
      <w:pPr>
        <w:ind w:firstLine="540"/>
        <w:jc w:val="both"/>
        <w:rPr>
          <w:bCs/>
        </w:rPr>
      </w:pPr>
      <w:r>
        <w:rPr>
          <w:bCs/>
        </w:rPr>
        <w:t xml:space="preserve">Taip pat 2008 m. toliau buvo tobulinama teisinė bazė narkotinių </w:t>
      </w:r>
      <w:r>
        <w:t>ir psichotropinių medžiagų bei jų pirmtakų (prekursorių)</w:t>
      </w:r>
      <w:r>
        <w:rPr>
          <w:bCs/>
        </w:rPr>
        <w:t xml:space="preserve"> kontrolės srityje.</w:t>
      </w:r>
    </w:p>
    <w:p w:rsidR="00DD08F5" w:rsidRDefault="00DD08F5" w:rsidP="00DD08F5">
      <w:pPr>
        <w:jc w:val="both"/>
      </w:pPr>
    </w:p>
    <w:p w:rsidR="00DD08F5" w:rsidRDefault="00DD08F5" w:rsidP="00DD08F5">
      <w:pPr>
        <w:jc w:val="both"/>
        <w:rPr>
          <w:b/>
          <w:bCs/>
          <w:i/>
          <w:iCs/>
        </w:rPr>
      </w:pPr>
      <w:r>
        <w:tab/>
      </w:r>
      <w:r>
        <w:rPr>
          <w:b/>
          <w:bCs/>
        </w:rPr>
        <w:t>4)</w:t>
      </w:r>
      <w:r>
        <w:t xml:space="preserve"> </w:t>
      </w:r>
      <w:r>
        <w:rPr>
          <w:b/>
          <w:bCs/>
          <w:i/>
          <w:iCs/>
        </w:rPr>
        <w:t xml:space="preserve"> Padidėjo nusikalstamų veikų, susijusių su neteisėta narkotikų apyvarta</w:t>
      </w:r>
    </w:p>
    <w:p w:rsidR="00DD08F5" w:rsidRDefault="00DD08F5" w:rsidP="00DD08F5">
      <w:pPr>
        <w:jc w:val="both"/>
        <w:rPr>
          <w:b/>
          <w:bCs/>
          <w:i/>
          <w:iCs/>
        </w:rPr>
      </w:pPr>
    </w:p>
    <w:p w:rsidR="00DD08F5" w:rsidRDefault="00DD08F5" w:rsidP="00DD08F5">
      <w:pPr>
        <w:ind w:firstLine="540"/>
        <w:jc w:val="both"/>
      </w:pPr>
      <w:r>
        <w:t xml:space="preserve">Informatikos ir ryšių departamento prie Lietuvos Respublikos vidaus reikalų ministerijos duomenimis, 2008 m. lyginant su 2007 m. užregistruota 6,1 proc. daugiau nusikalstamų veikų, susijusių su disponavimu narkotinėmis ar psichotropinėmis medžiagomis, jų I kategorijos pirmtakais (prekursoriais) ir šių medžiagų kontrabanda (2008 m. užregistruotos 1837 nusikalstamos veikos, 2007 m. – 1732 veikos, 2006 m. – 1673 veikos, 2005 m. – 1816 veikų). Šios kategorijos nusikalstamos </w:t>
      </w:r>
      <w:r>
        <w:lastRenderedPageBreak/>
        <w:t>veikos sudaro apie 2 proc. visų šalyje užregistruotų nusikalstamų veikų (2008 m. – 2,3 proc., 2007 m. – 2,3 proc., 2006 m. – 2,0 proc.) (</w:t>
      </w:r>
      <w:r>
        <w:rPr>
          <w:iCs/>
        </w:rPr>
        <w:t>5 pav.)</w:t>
      </w:r>
      <w:r>
        <w:t>. Ištirta 81,2 proc. tokių veikų (2007 m. – 81,4 proc., 2006 m. – 80,6 proc.). 2008 m., lyginant su ankstesniais metais, padidėjo nepilnamečių, padariusių nusikalstamas veikas, susijusias su neteisėta narkotinių ir psichotropinių medžiagų apyvarta, skaičius: 2008 m. – 69, 2007 m. - 46, 2006 m. – 47 nepilnamečiai asmenys.</w:t>
      </w:r>
      <w:r>
        <w:rPr>
          <w:noProof/>
        </w:rPr>
        <w:t xml:space="preserve"> 2008 m. išaiškinta viena nelegali amfetamino gamybos laboratorija, veikusi Kauno apskrityje;</w:t>
      </w:r>
    </w:p>
    <w:p w:rsidR="00DD08F5" w:rsidRDefault="00DD08F5" w:rsidP="00DD08F5">
      <w:pPr>
        <w:ind w:firstLine="540"/>
        <w:jc w:val="both"/>
        <w:rPr>
          <w:i/>
          <w:iCs/>
        </w:rPr>
      </w:pPr>
      <w:r>
        <w:t> </w:t>
      </w:r>
    </w:p>
    <w:p w:rsidR="00DD08F5" w:rsidRDefault="00DD08F5" w:rsidP="00DD08F5">
      <w:pPr>
        <w:ind w:firstLine="540"/>
        <w:jc w:val="both"/>
        <w:rPr>
          <w:i/>
          <w:iCs/>
        </w:rPr>
      </w:pPr>
      <w:r>
        <w:rPr>
          <w:i/>
          <w:iCs/>
        </w:rPr>
        <w:t>5 pav. Nusikalstamų veikų, susijusių su neteisėtu disponavimu narkotinėmis ar psichotropinėmis medžiagomis bei jų I kategorijos pirmtakais (prekursoriais) skaičiaus dinamika 2006–2008 m. bendrame nusikalstamumo kontekste.</w:t>
      </w:r>
    </w:p>
    <w:p w:rsidR="00DD08F5" w:rsidRDefault="00DD08F5" w:rsidP="00DD08F5">
      <w:pPr>
        <w:jc w:val="both"/>
        <w:rPr>
          <w:b/>
          <w:bCs/>
        </w:rPr>
      </w:pPr>
      <w:r>
        <w:rPr>
          <w:noProof/>
          <w:lang w:eastAsia="lt-LT"/>
        </w:rPr>
        <w:drawing>
          <wp:inline distT="0" distB="0" distL="0" distR="0" wp14:anchorId="465D9F54" wp14:editId="10B62532">
            <wp:extent cx="6105525" cy="1952625"/>
            <wp:effectExtent l="0" t="0" r="0" b="0"/>
            <wp:docPr id="67" name="Diagrama 6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DD08F5" w:rsidRDefault="00DD08F5" w:rsidP="00DD08F5">
      <w:pPr>
        <w:jc w:val="both"/>
      </w:pPr>
      <w:r>
        <w:rPr>
          <w:b/>
          <w:bCs/>
        </w:rPr>
        <w:tab/>
      </w:r>
      <w:r>
        <w:t xml:space="preserve">Atsakomybė už narkotikų platinimą Lietuvoje numatyta nuo 16 metų. Pagal Lietuvos Respublikos baudžiamąjį kodeksą atsako asmuo, kuriam iki nusikaltimo ar baudžiamojo nusižengimo padarymo buvo suėję šešiolika metų, o šio kodekso 13 straipsnio 2 dalyje numatytais atvejais – keturiolika metų. Asmuo, kuriam iki nusikaltimo ar baudžiamojo nusižengimo padarymo buvo suėję keturiolika metų, iš visų Baudžiamajame kodekse numatytų nusikalstamų veikų, susijusių su neteisėtu disponavimu narkotinėmis ar psichotropinėmis medžiagomis, atsako tik už narkotinių ar psichotropinių medžiagų vagystę, prievartavimą arba kitokį neteisėtą užvaldymą. </w:t>
      </w:r>
    </w:p>
    <w:p w:rsidR="00DD08F5" w:rsidRDefault="00DD08F5" w:rsidP="00DD08F5">
      <w:pPr>
        <w:jc w:val="both"/>
      </w:pPr>
      <w:r>
        <w:tab/>
        <w:t xml:space="preserve">2007 m. asmenų, įtariamų (kaltinamų) nusikalstamų veikų padarymu, skaičius siekė 49, o 2008 metais - 77  asmenys. </w:t>
      </w:r>
    </w:p>
    <w:p w:rsidR="00DD08F5" w:rsidRDefault="00DD08F5" w:rsidP="00DD08F5">
      <w:pPr>
        <w:ind w:firstLine="720"/>
        <w:jc w:val="both"/>
      </w:pPr>
      <w:r>
        <w:t xml:space="preserve">Statistika rodo, kad patrauktų baudžiamojon atsakomybėn nepilnamečių skaičius 2004 – 2007 metų  laikotarpyje buvo stabilus, o 2008 metais išaugo. 2008 metais ženkliai padaugėjo nepilnamečių, įtariamų padarius nusikalstamas veikas,  67 asmenims nusikalstamos veikos padarymo metu buvo nuo 16 iki 17 metų ir 2 – nuo 14 iki 15 metų. Atsižvelgiant į nusikalstamų veikų, susijusių su neteisėta narkotikų apyvarta, latentiškumą, tai pakankamai didelis skaičius. </w:t>
      </w:r>
    </w:p>
    <w:p w:rsidR="00DD08F5" w:rsidRDefault="00DD08F5" w:rsidP="00DD08F5">
      <w:pPr>
        <w:jc w:val="both"/>
      </w:pPr>
      <w:r>
        <w:tab/>
      </w:r>
      <w:r>
        <w:rPr>
          <w:color w:val="000000"/>
          <w:lang w:val="en-GB"/>
        </w:rPr>
        <w:t xml:space="preserve">Policijos departamento prie Vidaus reikalų ministerijos duomenimis, </w:t>
      </w:r>
      <w:r>
        <w:t>2008 metais visų nusikalstamų veikų Lietuvoje užregistruota 78266 (6,1 proc. daugiau)  nei 2007 m. (jų buvo 73776).</w:t>
      </w:r>
    </w:p>
    <w:p w:rsidR="00DD08F5" w:rsidRDefault="00DD08F5" w:rsidP="00DD08F5">
      <w:pPr>
        <w:jc w:val="both"/>
      </w:pPr>
      <w:r>
        <w:t xml:space="preserve"> </w:t>
      </w:r>
      <w:r>
        <w:tab/>
        <w:t>2008 m. užregistruotos 1839 veikos, susijusios su neteisėta narkotikų apyvarta, t.y. 105 veika arba 6,1 proc. daigiau negu 2007. (1734 veikos).</w:t>
      </w:r>
    </w:p>
    <w:p w:rsidR="00DD08F5" w:rsidRDefault="00DD08F5" w:rsidP="00DD08F5">
      <w:pPr>
        <w:ind w:firstLine="720"/>
        <w:jc w:val="both"/>
      </w:pPr>
      <w:r>
        <w:t>Iš 2008 m. fiksuotų 1839 nusikalstamų veikų :</w:t>
      </w:r>
    </w:p>
    <w:p w:rsidR="00DD08F5" w:rsidRDefault="00DD08F5" w:rsidP="00DD08F5">
      <w:pPr>
        <w:ind w:firstLine="720"/>
        <w:jc w:val="both"/>
      </w:pPr>
      <w:r>
        <w:t>1042 dėl neteisėto disponavimo narkotinėmis ir psichotropinėmis medžiagomis be  tikslo jas platinti;</w:t>
      </w:r>
    </w:p>
    <w:p w:rsidR="00DD08F5" w:rsidRDefault="00DD08F5" w:rsidP="00DD08F5">
      <w:pPr>
        <w:ind w:firstLine="720"/>
        <w:jc w:val="both"/>
      </w:pPr>
      <w:r>
        <w:t>749 - dėl neteisėto disponavimo narkotinėmis ir psichotropinėmis medžiagomis turint tikslą jas platinti;</w:t>
      </w:r>
    </w:p>
    <w:p w:rsidR="00DD08F5" w:rsidRDefault="00DD08F5" w:rsidP="00DD08F5">
      <w:pPr>
        <w:ind w:firstLine="720"/>
        <w:jc w:val="both"/>
      </w:pPr>
      <w:r>
        <w:t>14 – dėl narkotikų platinimo nepilnamečiams;</w:t>
      </w:r>
    </w:p>
    <w:p w:rsidR="00DD08F5" w:rsidRDefault="00DD08F5" w:rsidP="00DD08F5">
      <w:pPr>
        <w:ind w:firstLine="720"/>
        <w:jc w:val="both"/>
      </w:pPr>
      <w:r>
        <w:t>2- dėl įrenginių narkotinėms ar psichotropinėms medžiagoms gaminti gaminimo;</w:t>
      </w:r>
    </w:p>
    <w:p w:rsidR="00DD08F5" w:rsidRDefault="00DD08F5" w:rsidP="00DD08F5">
      <w:pPr>
        <w:ind w:firstLine="720"/>
        <w:jc w:val="both"/>
      </w:pPr>
      <w:r>
        <w:t>7 – dėl narkotinių ar psichotropinių medžiagų pagrobimo;</w:t>
      </w:r>
    </w:p>
    <w:p w:rsidR="00DD08F5" w:rsidRDefault="00DD08F5" w:rsidP="00DD08F5">
      <w:pPr>
        <w:ind w:firstLine="720"/>
        <w:jc w:val="both"/>
      </w:pPr>
      <w:r>
        <w:t>8 – dėl lenkimo vartoti narkotikus;</w:t>
      </w:r>
    </w:p>
    <w:p w:rsidR="00DD08F5" w:rsidRDefault="00DD08F5" w:rsidP="00DD08F5">
      <w:pPr>
        <w:ind w:firstLine="720"/>
        <w:jc w:val="both"/>
      </w:pPr>
      <w:r>
        <w:t>8- dėl neteisėto aguonų ar kanapių auginimo;</w:t>
      </w:r>
    </w:p>
    <w:p w:rsidR="00DD08F5" w:rsidRDefault="00DD08F5" w:rsidP="00DD08F5">
      <w:pPr>
        <w:ind w:firstLine="720"/>
        <w:jc w:val="both"/>
      </w:pPr>
      <w:r>
        <w:t>3 - dėl neteisėto 1 kategorijos narkotinių ir psichotropinių medžiagų pirmtakų (prekursorių) disponavimo;</w:t>
      </w:r>
    </w:p>
    <w:p w:rsidR="00DD08F5" w:rsidRDefault="00DD08F5" w:rsidP="00DD08F5">
      <w:pPr>
        <w:ind w:firstLine="720"/>
        <w:jc w:val="both"/>
      </w:pPr>
      <w:r>
        <w:t>3 – dėl narkotikų kontrabandos.</w:t>
      </w:r>
    </w:p>
    <w:p w:rsidR="00DD08F5" w:rsidRDefault="00DD08F5" w:rsidP="00DD08F5">
      <w:pPr>
        <w:ind w:firstLine="720"/>
        <w:jc w:val="both"/>
      </w:pPr>
      <w:r>
        <w:t xml:space="preserve">VRM duomenimis, 2008 m. asmenys, apsvaigę nuo narkotinių ar psichotropinių medžiagų, padarė 218 veikų, apsvaigusių nuo alkoholio asmenų padarytos 5560 nusikalstamų veikų   sudarė 7 proc. visų nusikalstamų veikų. </w:t>
      </w:r>
    </w:p>
    <w:p w:rsidR="00DD08F5" w:rsidRDefault="00DD08F5" w:rsidP="00DD08F5">
      <w:pPr>
        <w:ind w:firstLine="720"/>
        <w:jc w:val="both"/>
      </w:pPr>
      <w:r>
        <w:lastRenderedPageBreak/>
        <w:t xml:space="preserve">Išimti iš apyvartos narkotikų kiekiai kinta kiekvienais metais. Rekordiškai didelis kiekis (Lietuvos mastu) išimtas 2008 metais -  kanapių 144 kg, hašišo 35 kg. heroino 14 kg, kokaino 41 kg, aguonų ir jų dalių – 45 kg,  metamfetamino – 26 kg, BMK skysčio naudojamo sintetinių narkotikų gamybai – 567 litrai  ir kt. </w:t>
      </w:r>
    </w:p>
    <w:p w:rsidR="00DD08F5" w:rsidRDefault="00DD08F5" w:rsidP="00DD08F5">
      <w:pPr>
        <w:ind w:firstLine="720"/>
        <w:jc w:val="both"/>
      </w:pPr>
      <w:r>
        <w:t>Stebint gilėjančią ekonominę krizę šalyje ir visame pasaulyje, prognozuojama, kad neteisėta narkotikų apyvarta, didės. Daugės ir nusikalstamų veikų, susijusių su šiuo procesu.  Turime galvoti kaip apsaugoti vaikus.</w:t>
      </w:r>
    </w:p>
    <w:p w:rsidR="00DD08F5" w:rsidRDefault="00DD08F5" w:rsidP="00DD08F5">
      <w:pPr>
        <w:ind w:firstLine="720"/>
        <w:jc w:val="both"/>
      </w:pPr>
      <w:r>
        <w:t xml:space="preserve"> Dėl Nepilnamečių justicijos 2004 – 2008 metų programos įgyvendinimo, Narkomanijos ir alkoholizmo prevencijos komisija kreipėsi į Teisingumo ministrą  2009 01 20 raštu Nr. S-2009-582 “Dėl informacijos pateikimo”, prašydama pateikti informaciją, kaip bus toliau tobulinama nepilnamečių justicijos sistema, kad ją reglamentuojantys teisės aktai atitiktų visuomenės poreikius ir būtų veiksmingai įgyvendinti. Komisija klausė, kada bus išspręstas Nepilnamečių justicijos 2009 – 2013 metų programos patvirtinimo klausimas. Nepilnamečių justicijos 2009 – 2013 metų programos patvirtinimo klausimą Komisija svarstė 2009 04 08 posėdyje. </w:t>
      </w:r>
    </w:p>
    <w:p w:rsidR="00DD08F5" w:rsidRDefault="00DD08F5" w:rsidP="00DD08F5">
      <w:pPr>
        <w:ind w:firstLine="720"/>
        <w:jc w:val="both"/>
      </w:pPr>
      <w:r>
        <w:t>Kriminalinės policijos biuro duomenimis, pastaraisiais metais Europoje išaiškinama vis daugiau nelegalių laboratorijų (yra tokių ir Lietuvoje), kuriose iš prekursorių gaminami sintetiniai narkotikai. Mūsų šalis yra prekursorių tranzito šalis. Pagal šiuo metu galiojančius teisės aktus (BK 11, 266 str. ir  Operatyvinės veiklos įstatymo 9 straipsnis) teisėsaugos pareigūnai netgi negali tinkamai atlikti operatyvinio tyrimo dėl neteisėto disponavimo I kategorijos pirmtakais (prekursoriais) ir tai iš esmės skatina neteisėtą  I kategorijos pirmtakų (prekursorių) apyvartą. Lietuvos Respublikos baudžiamojo kodekso 266 straipsnio “Neteisėtas disponavimas pirmos kategorijos narkotinių ar psichotropinių medžiagų pirmtakais (prekursoriais) 1 dalies galiojanti redakcija numato, kad tas, kas neteisėtai gamino, įgijo, laikė, gabeno, siuntė arba pardavė ar kitaip realizavo pirmos kategorijos narkotinių ar psichotropinių medžiagų pirmtakus (prekursorius), baudžiamas bauda arba areštu, arba laisvės atėmimu iki ketverių metų”. 2006 metais buvo parengtas (rengiant dalyvavo policija) šio straipsnio pakeitimo įstatymo projektas. Projekte buvo siūloma sugriežtinti sankciją už neteisėtą disponavimą I kategorijos pirmtakais (prekursoriais). Buvo siekiama siekiama sustiprinti  neteisėtos narkotinių ar psichotropinių medžiagų bei jų I kategorijos pirmtakų (prekursorių) apyvartos prevencija, išaugtų šios nusikalstamos veikos užkardymo ir išaiškinimo atvejų skaičiai, kartu būtų sustiprintas visuomenės pasitikėjimas valstybės baudžiamąja politika.</w:t>
      </w:r>
    </w:p>
    <w:p w:rsidR="00DD08F5" w:rsidRDefault="00DD08F5" w:rsidP="00DD08F5">
      <w:pPr>
        <w:ind w:firstLine="720"/>
        <w:jc w:val="both"/>
      </w:pPr>
      <w:r>
        <w:t xml:space="preserve">Yra problemų ir dėl narkotinių ar psichotropinių medžiagų grynosios (aktyviosios medžiagos) masės nustatymo ir atsakomybės už disponavimą narkotinėmis ir psichotropinėmis medžiagomis. </w:t>
      </w:r>
    </w:p>
    <w:p w:rsidR="00DD08F5" w:rsidRDefault="00DD08F5" w:rsidP="00DD08F5">
      <w:pPr>
        <w:jc w:val="both"/>
      </w:pPr>
      <w:r>
        <w:tab/>
        <w:t xml:space="preserve">Šiuo metu pagal  galiojančius teisės aktus turi būti nustatyta narkotinių ir psichotropinių medžiagų grynoji (aktyvioji medžiaga) masė ir atitinkamai numatoma atsakomybė. Teismų praktika formuojasi tokia, kad  baudžiama už grynąją masę. Iš tikrųjų pardavėjas pirkėjui parduoda vieną masę medžiagos, pirkėjas už tokia pat masę medžiagos sumoka, o išgryninus aktyvioji medžiagos  masė  būna mažesnė ir teismas baudžia už mažesnę masę. Pavyzdžiui, policija nustatė, kad asmuo pardavė kitam asmeniui 1 kg heroino ir už tai gavo 90 000 litų. Pirkėjas sumokėjo už 1 kg heroino. Policijos pareigūnams konfiskavus minėtą 1 kg heroino iš pirkėjo, ekspertai ištyrė ir nustatė,  kad iš 1 kg išimtos medžiagos heroinas sudaro 20 gramų, o visą kitą sudaro cukrus, gliukozė ir pieno miltai. Teismas tokiems asmenims taikytų nuobaudą  pirkėjui ir pardavėjui  už 20 gr. Heroino, t y. Už grynąją medžiagą.  Todėl tyčios klausimas turi būti diskutuotinas, nes asmenys nežinodami tikrosios heroino masės (20gr.), pirko 1 kg. </w:t>
      </w:r>
    </w:p>
    <w:p w:rsidR="00DD08F5" w:rsidRDefault="00DD08F5" w:rsidP="00DD08F5">
      <w:pPr>
        <w:ind w:firstLine="720"/>
        <w:jc w:val="both"/>
      </w:pPr>
      <w:r>
        <w:t xml:space="preserve">Iš paminėtinų neišspręstų problemų - neteisėta prekyba heroinu Vilniaus romų Kirtimų tabore. Ši problema jau buvo nagrinėta Lietuvos Respublikos Seimo Narkomanijos prevencijos komisijoje, svarstant narkomanijos prevencijos ir narkotikų užkardymo klausimus ir priimtos rekomendacijos bei siūlymai Lietuvos respublikos Vyriausybei.  </w:t>
      </w:r>
    </w:p>
    <w:p w:rsidR="00DD08F5" w:rsidRDefault="00DD08F5" w:rsidP="00DD08F5">
      <w:pPr>
        <w:ind w:firstLine="720"/>
        <w:jc w:val="both"/>
      </w:pPr>
      <w:r>
        <w:t xml:space="preserve">Seimo Narkomanijos ir alkoholizmo prevencijos komisija pakartotinai kreipėsi į Lietuvos Respublikos Vyriausybę ir į Vaiko teisių apsaugos kontrolierę 2009  01 16  raštu Nr. 5–2009–472 ”Dėl komisijoje gautos informacijos”, prašydama informacijos  apie Seimo Narkomanijos prevencijos komisijos sprendimo vykdymą. Pakartotinai Lietuvos Respublikos Vyriausybė buvo informuota, kad yra priimtas sprendimas ir rekomendacijos. Komisija pažymėjo, kad 2007 metais Vilniaus romų Kirtimų tabore iš 500 gyvenančių asmenų, 280 asmenų amžius buvo iki 15 metų, 220 asmenų amžius per 15 metų (iš pastarųjų net 124 asmenys teisti už neteisėtą narkotinių ir psichotropinių medžiagų disponavimą, o iš jų 50 asmenų teisti pakartotinai). Prekybą narkotinėmis ir psichotropinėmis medžiagomis Vilniaus romų Kirtimų tabore mato vaikai ir tai turi neigiamą poveikį romų tautinei </w:t>
      </w:r>
      <w:r>
        <w:lastRenderedPageBreak/>
        <w:t xml:space="preserve">grupei. Dauguma tabore gyvenančių vaikų nuolat nelanko mokyklos ir, matydami narkotinių medžiagų gaminimo, realizavimo ir vartojimo procesą, patys pradeda vartoti narkotikus ir per trumpa laiką tampa narkomanais. </w:t>
      </w:r>
    </w:p>
    <w:p w:rsidR="00DD08F5" w:rsidRDefault="00DD08F5" w:rsidP="00DD08F5">
      <w:pPr>
        <w:ind w:firstLine="720"/>
        <w:jc w:val="both"/>
      </w:pPr>
      <w:r>
        <w:t xml:space="preserve">Kriminalinės policijos biuro duomenimis, Vilniaus romų Kirtimų tabore 2008 metais Vilniaus miesto policijos komisariato pareigūnai išėmė ne mažą kiekį heroino (ankščiau ten buvo vykdoma aguonų ekstrakto, vadinamo “širka” prekyba). </w:t>
      </w:r>
    </w:p>
    <w:p w:rsidR="00DD08F5" w:rsidRDefault="00DD08F5" w:rsidP="00DD08F5">
      <w:pPr>
        <w:jc w:val="both"/>
      </w:pPr>
    </w:p>
    <w:p w:rsidR="00DD08F5" w:rsidRDefault="00DD08F5" w:rsidP="00DD08F5">
      <w:pPr>
        <w:pStyle w:val="Pagrindiniotekstotrauka3"/>
        <w:rPr>
          <w:i/>
          <w:iCs/>
        </w:rPr>
      </w:pPr>
      <w:r>
        <w:t xml:space="preserve">5) </w:t>
      </w:r>
      <w:r>
        <w:rPr>
          <w:i/>
          <w:iCs/>
        </w:rPr>
        <w:t xml:space="preserve">Lietuvoje sąlygos, lemiančios prekybą žmonėmis, mažai kinta </w:t>
      </w:r>
    </w:p>
    <w:p w:rsidR="00DD08F5" w:rsidRDefault="00DD08F5" w:rsidP="00DD08F5">
      <w:pPr>
        <w:pStyle w:val="Antrats"/>
        <w:jc w:val="both"/>
      </w:pPr>
      <w:r>
        <w:tab/>
        <w:t xml:space="preserve"> </w:t>
      </w:r>
      <w:r>
        <w:tab/>
      </w:r>
    </w:p>
    <w:p w:rsidR="00DD08F5" w:rsidRDefault="00DD08F5" w:rsidP="00DD08F5">
      <w:pPr>
        <w:jc w:val="both"/>
        <w:rPr>
          <w:bCs/>
        </w:rPr>
      </w:pPr>
      <w:r>
        <w:tab/>
        <w:t xml:space="preserve">            2008 metais buvo vykdoma Lietuvos Respublikos Vyriausybės 2005 m. gegužės 19 d. nutarimu Nr. 558 patvirtinta</w:t>
      </w:r>
      <w:r>
        <w:rPr>
          <w:szCs w:val="18"/>
        </w:rPr>
        <w:t xml:space="preserve"> Prekybos žmonėmis prevencijos bei kontrolės 2005–2008 metų programa. </w:t>
      </w:r>
      <w:r>
        <w:t xml:space="preserve">Prekybos žmonėmis prevencijos bei kontrolės 2005–2008 metų programa – tai Prekybos žmonėmis ir prostitucijos kontrolės bei prevencijos 2002–2004 metų programos, kuriai pritarta Lietuvos Respublikos Vyriausybės 2002 m. sausio 17 d. nutarimu Nr. 62, nuosekli tąsa. Šios Programos paskirtis – sukurti ir įdiegti Lietuvos Respublikoje kryptingą, ilgalaikę ir kompleksinę prekybos žmonėmis kontrolės ir prevencijos priemonių sistemą. Ši Programa parengta atsižvelgiant į Prekybos žmonėmis ir prostitucijos </w:t>
      </w:r>
      <w:r>
        <w:rPr>
          <w:bCs/>
        </w:rPr>
        <w:t>kontrolės bei prevencijos 2002–2004 metų programos įgyvendinimo rezultatus,</w:t>
      </w:r>
      <w:r>
        <w:t xml:space="preserve"> poreikį toliau vykdyti pasiteisinusias priemones, sunkumus, atsiradusius vykdant kai kurias iš jų, taigi būtinumą programą patikslinti siekiant veiksmingesnio konkrečių prekybos žmonėmis ir prostitucijos prevencijos bei kontrolės priemonių poveikio. Šioje Programoje atsižvelgta ir į naujus prekybos žmonėmis iššūkius, taip pat šio nelegalaus verslo realijas. Ieškant geriausių kovos su šiuo reiškiniu būdų ir priemonių, atsižvelgta ir į geriausią užsienio valstybių ir tarptautinių organizacijų vykdomos prekybos žmonėmis prevencijos bei kontrolės patirtį, ypač šios veiklos strategiją ir sistemą. Programoje numatyta, kad p</w:t>
      </w:r>
      <w:r>
        <w:rPr>
          <w:bCs/>
        </w:rPr>
        <w:t>rekybos žmonėmis prevencijos bei kontrolės strategija, pirmiausiai, turi būti grindžiama sisteminiu požiūriu, nes nusikaltimų prevencijos ir kontrolės praktika rodo, kad kovojant su prekyba žmonėmis toks požiūris į problemos sprendimą būtinas. Kovai su asmenimis, kurie verčiasi prekyba žmonėmis, turi būti sukurta bendra valstybės institucijų, nevalstybinių ir tarptautinių organizacijų tarpusavyje koordinuojama sistema, o kovai su nusikalstamais veiksmais prekiaujant žmonėmis – veiksminga prevencijos ir kontrolės priemonių sistema.</w:t>
      </w:r>
    </w:p>
    <w:p w:rsidR="00DD08F5" w:rsidRDefault="00DD08F5" w:rsidP="00DD08F5">
      <w:pPr>
        <w:ind w:firstLine="709"/>
        <w:jc w:val="both"/>
      </w:pPr>
      <w:r>
        <w:rPr>
          <w:bCs/>
        </w:rPr>
        <w:t>Vadovaujantis sistemingumo principu, prekybos žmonėmis prevencijos bei kontrolės uždaviniai nustatomi laikantis šių strateginių krypčių: nukentėjusiųjų nuo prekybos žmonėmis teisių ir laisvių apsaugos stiprinimas; veiksminga socialinė prekybos žmonėmis prevencija; socialinė parama nukentėjusiesiems (ypač vaikams ir moterims) nuo prekybos žmonėmis, jų apsauga ir grąžinimas į visuomenę; veiksminga kova su organizuotu nusikalstamumu ir pavieniais nusikaltimais, susijusiais su prekyba žmonėmis;</w:t>
      </w:r>
      <w:r>
        <w:t xml:space="preserve"> glaudus ir koordinuotas valstybės ir savivaldybių institucijų ir įstaigų, nevalstybinių ir tarptautinių organizacijų bendradarbiavimas kovojant su prekyba žmonėmis ir teikiant nukentėjusiesiems nuo prekybos žmonėmis socialinę paramą, užtikrinant jiems apsaugą ir grąžinant juos į visuomenę.</w:t>
      </w:r>
    </w:p>
    <w:p w:rsidR="00DD08F5" w:rsidRDefault="00DD08F5" w:rsidP="00DD08F5">
      <w:pPr>
        <w:ind w:firstLine="709"/>
        <w:jc w:val="both"/>
        <w:rPr>
          <w:bCs/>
        </w:rPr>
      </w:pPr>
      <w:r>
        <w:t>Lietuvos Respublikos Vyriausybė 2009 m. rugsėjo 9 d. nutarimu Nr. 1104 “Dėl Prekybos žmonėmis prevencijos ir kontrolės 2009–2012 metų programos patvirtinimo” patvirtino Prekybos žmonėmis prevencijos ir kontrolės 2009–2012 metų programą (Žin., 2009, Nr. 112- 4761), kurioje rekomenduota savivaldybėms, Generalinei prokuratūrai, Nacionalinei teismų administracijai ir Teisės institutui dalyvauti vykdant šiuo nutarimu patvirtintos Prekybos žmonėmis prevencijos ir kontrolės 2009–2012 metų programos įgyvendinimo priemones. Ši programa parengta atsižvelgiant į Prekybos žmonėmis prevencijos bei kontrolės 2005–2008 metų programos įgyvendinimo rezultatus, problemas, poreikį toliau vykdyti pasiteisinusias minėtos programos priemones, taip pat naujas prekybos žmonėmis tendencijas Lietuvoje ir užsienyje. Ieškant geriausių prekybos žmonėmis prevencijos ir kontrolės priemonių, atsižvelgta į geriausią užsienio valstybių ir tarptautinių organizacijų patirtį ir rekomendacijas, kaip kovoti su prekyba žmonėmis.</w:t>
      </w:r>
      <w:r>
        <w:rPr>
          <w:bCs/>
        </w:rPr>
        <w:t xml:space="preserve"> Prekybos žmonėmis prevencija ir kontrolė pirmiausiai grindžiama sisteminiu požiūriu, t. y. kovai su nusikalstamomis veikomis, numatytomis Lietuvos Respublikos baudžiamojo kodekso (Žin., 2000, Nr. </w:t>
      </w:r>
      <w:hyperlink r:id="rId86" w:history="1">
        <w:r>
          <w:rPr>
            <w:rStyle w:val="Hipersaitas"/>
            <w:rFonts w:eastAsia="Courier New"/>
            <w:bCs/>
          </w:rPr>
          <w:t>89-2741</w:t>
        </w:r>
      </w:hyperlink>
      <w:r>
        <w:rPr>
          <w:bCs/>
        </w:rPr>
        <w:t>) 147, 147</w:t>
      </w:r>
      <w:r>
        <w:rPr>
          <w:bCs/>
          <w:vertAlign w:val="superscript"/>
        </w:rPr>
        <w:t>1</w:t>
      </w:r>
      <w:r>
        <w:rPr>
          <w:bCs/>
        </w:rPr>
        <w:t>, 157, 307 ir 308 straipsniuose (toliau vadinama – veikos, susijusios su prekyba žmonėmis),</w:t>
      </w:r>
      <w:r>
        <w:rPr>
          <w:bCs/>
          <w:color w:val="FF0000"/>
        </w:rPr>
        <w:t xml:space="preserve"> </w:t>
      </w:r>
      <w:r>
        <w:rPr>
          <w:bCs/>
        </w:rPr>
        <w:t xml:space="preserve">turi būti tobulinama ir plėtojama bendra valstybės ir savivaldybių institucijų ir įstaigų, nevyriausybinių organizacijų veiksmų prieš prekybą žmonėmis koordinavimo sistema (toliau vadinama – koordinavimo sistema). Šios programos įgyvendinimas grindžiamas nediskriminavimo dėl </w:t>
      </w:r>
      <w:r>
        <w:rPr>
          <w:bCs/>
          <w:color w:val="000000"/>
        </w:rPr>
        <w:t xml:space="preserve">lyties, rasės, tautybės, kalbos, kilmės, </w:t>
      </w:r>
      <w:r>
        <w:rPr>
          <w:bCs/>
          <w:color w:val="000000"/>
        </w:rPr>
        <w:lastRenderedPageBreak/>
        <w:t>socialinės padėties</w:t>
      </w:r>
      <w:r>
        <w:rPr>
          <w:bCs/>
          <w:caps/>
          <w:color w:val="000000"/>
        </w:rPr>
        <w:t>,</w:t>
      </w:r>
      <w:r>
        <w:rPr>
          <w:bCs/>
          <w:color w:val="000000"/>
        </w:rPr>
        <w:t xml:space="preserve"> tikėjimo, įsitikinimų ar pažiūrų, </w:t>
      </w:r>
      <w:r>
        <w:rPr>
          <w:rStyle w:val="Grietas"/>
          <w:b w:val="0"/>
        </w:rPr>
        <w:t>amžiaus, lytinės orientacijos, negalios, etninės priklausomybės principu</w:t>
      </w:r>
      <w:r>
        <w:rPr>
          <w:bCs/>
        </w:rPr>
        <w:t>.</w:t>
      </w:r>
    </w:p>
    <w:p w:rsidR="00DD08F5" w:rsidRDefault="00DD08F5" w:rsidP="00DD08F5">
      <w:pPr>
        <w:jc w:val="both"/>
      </w:pPr>
      <w:r>
        <w:rPr>
          <w:i/>
          <w:iCs/>
        </w:rPr>
        <w:tab/>
      </w:r>
      <w:r>
        <w:t>Vidaus reikalų ministerijos duomenimis, prekybai žmonėmis įtakos turi tiek vidiniai šalies, tiek išoriniai (regioniniai ir globalūs) veiksniai, kurie susiję su vidiniais.</w:t>
      </w:r>
    </w:p>
    <w:p w:rsidR="00DD08F5" w:rsidRDefault="00DD08F5" w:rsidP="00DD08F5">
      <w:pPr>
        <w:ind w:firstLine="720"/>
        <w:jc w:val="both"/>
      </w:pPr>
      <w:r>
        <w:t xml:space="preserve"> Pagrindiniais veiksniais, lemiančiais prekybą žmonėmis, išlieka:</w:t>
      </w:r>
    </w:p>
    <w:p w:rsidR="00DD08F5" w:rsidRDefault="00DD08F5" w:rsidP="00DD08F5">
      <w:pPr>
        <w:ind w:firstLine="720"/>
        <w:jc w:val="both"/>
      </w:pPr>
      <w:r>
        <w:t>nestabili materialinė padėtis, skatinanti imtis neteisėto darbo arba išvykti uždarbiauti į užsienį;</w:t>
      </w:r>
    </w:p>
    <w:p w:rsidR="00DD08F5" w:rsidRDefault="00DD08F5" w:rsidP="00DD08F5">
      <w:pPr>
        <w:ind w:firstLine="720"/>
        <w:jc w:val="both"/>
      </w:pPr>
      <w:r>
        <w:t>moterų savigarbos klausimai (ne kaip seksualinių paslaugų teikėja);</w:t>
      </w:r>
    </w:p>
    <w:p w:rsidR="00DD08F5" w:rsidRDefault="00DD08F5" w:rsidP="00DD08F5">
      <w:pPr>
        <w:ind w:firstLine="720"/>
        <w:jc w:val="both"/>
      </w:pPr>
      <w:r>
        <w:t>šeimos, kaip socialinės vertybės, menkėjimas;</w:t>
      </w:r>
    </w:p>
    <w:p w:rsidR="00DD08F5" w:rsidRDefault="00DD08F5" w:rsidP="00DD08F5">
      <w:pPr>
        <w:ind w:firstLine="720"/>
        <w:jc w:val="both"/>
      </w:pPr>
      <w:r>
        <w:t>pinigų, kaip esminės vertybės, išaukštinimas visuomenėje, skatinantis jaunus žmones ieškoti lengvo ir greito uždarbio.</w:t>
      </w:r>
    </w:p>
    <w:p w:rsidR="00DD08F5" w:rsidRDefault="00DD08F5" w:rsidP="00DD08F5">
      <w:pPr>
        <w:ind w:firstLine="720"/>
        <w:jc w:val="both"/>
      </w:pPr>
      <w:r>
        <w:t xml:space="preserve">Pagrindiniai išoriniai veiksniai yra šie: didelė seksualinių paslaugų paklausa Vakarų šalyse, aktyvi etninių organizuotų nusikalstamų struktūrų veikla užsienyje, nevienodas prekybos žmonėmis teisinis reglamentavimas skirtingose valstybėse ir kt. </w:t>
      </w:r>
    </w:p>
    <w:p w:rsidR="00DD08F5" w:rsidRDefault="00DD08F5" w:rsidP="00DD08F5">
      <w:pPr>
        <w:ind w:firstLine="720"/>
        <w:jc w:val="both"/>
      </w:pPr>
      <w:r>
        <w:t xml:space="preserve">Palyginus 2004 – 2008 m. duomenis, akivaizdu, kad į prekybos žmonėmis spąstus patenka asmenys, turintys žemesnį nei vidurinį išsilavinimą,. Išsilavinimo vidurkis kasmet mažėja. 2008 m. net 40 proc. nukentėjusių neturėjo pagrindinio išsilavinimo (nebuvo baigę 10 klasių), 10 proc. turėjo pagrindinį išsilavinimą (2007 m. – nebaigę pagrindinio buvo 36 proc., baigę 10 klasių buvo 14 proc. nukentėjusiųjų). 2008 m. daugumo (67 proc.) nukentėjusiųjų nuo prekybos žmonėmis į socialinę pagalbą teikiančias nevyriausybines organizacijas pateko teisėsaugos institucijų ir kitų valstybės institucijų dėka (atitinkamai 2006 m. – 50 proc., 2007 m. – 52 proc.).   </w:t>
      </w:r>
    </w:p>
    <w:p w:rsidR="00DD08F5" w:rsidRDefault="00DD08F5" w:rsidP="00DD08F5">
      <w:pPr>
        <w:jc w:val="both"/>
      </w:pPr>
      <w:r>
        <w:t xml:space="preserve"> </w:t>
      </w:r>
      <w:r>
        <w:tab/>
        <w:t>2008 m. pradėta 18 baudžiamųjų bylų: pagal Lietuvos Respublikos Baudžiamojo kodekso 147 str. “Prekyba žmonėmis” – 16 ikiteisminių tyrimų, pagal 157 str. “Vaiko pirkimas arba pardavimas” – 2 ikiteisminiai tyrimai. Taip pat 1 ikiteisminis tyrimas pradėtas dėl išnaudojimo priverstiniam darbui. Į teismą perduotos 9 bylos. 2008 m. pirmosios instancijos teisme priimti 6 nuosprendžiai bylose dėl prekybos žmonėmis, nuteista 13 asmenų (maksimali bausmė – 8 m. laisvės atėmimo, minimali – 2 m.).</w:t>
      </w:r>
    </w:p>
    <w:p w:rsidR="00DD08F5" w:rsidRDefault="00DD08F5" w:rsidP="00DD08F5">
      <w:pPr>
        <w:jc w:val="both"/>
      </w:pPr>
      <w:r>
        <w:tab/>
        <w:t xml:space="preserve">Prostitucijos problema Lietuvoje siejama su nusikalstamumo, venerinių ligų, narkomanijos, AIDS problemomis.  </w:t>
      </w:r>
    </w:p>
    <w:p w:rsidR="00DD08F5" w:rsidRDefault="00DD08F5" w:rsidP="00DD08F5">
      <w:pPr>
        <w:jc w:val="both"/>
      </w:pPr>
      <w:r>
        <w:tab/>
        <w:t xml:space="preserve">Pagal JAV Valstybės departamento ataskaitą vien per 2008 m. iš Lietuvos į Jungtinę Karalystę buvo išgabenta maždaug 100 jaunų moterų. </w:t>
      </w:r>
    </w:p>
    <w:p w:rsidR="00DD08F5" w:rsidRDefault="00DD08F5" w:rsidP="00DD08F5">
      <w:pPr>
        <w:jc w:val="both"/>
      </w:pPr>
      <w:r>
        <w:tab/>
        <w:t xml:space="preserve">Dingusių žmonių šeimų paramos centro duomenimis, sparčiausiai Lietuvoje vystosi viena iš prekybos vaikais formų – vaikų pardavimas priverstinei prostitucijai. </w:t>
      </w:r>
    </w:p>
    <w:p w:rsidR="00DD08F5" w:rsidRDefault="00DD08F5" w:rsidP="00DD08F5">
      <w:pPr>
        <w:ind w:firstLine="720"/>
        <w:jc w:val="both"/>
      </w:pPr>
      <w:r>
        <w:t xml:space="preserve"> Ši problema aktuali ne tik dėl ekonominės, socialinės situacijos, bet ir dėl valstybės geografinės padėties (tranzitinė valstybė). Šio nusikaltimo aukomis paprastai tampa 14 – 18 metų nepilnametės.</w:t>
      </w:r>
    </w:p>
    <w:p w:rsidR="00DD08F5" w:rsidRDefault="00DD08F5" w:rsidP="00DD08F5">
      <w:pPr>
        <w:ind w:firstLine="720"/>
        <w:jc w:val="both"/>
      </w:pPr>
      <w:r>
        <w:t xml:space="preserve"> Nukentėjusios nuo prekybos žmonėmis mergaitės bei moterys beveik be išimčių būna įsitraukusios į alkoholį bei narkotikus. </w:t>
      </w:r>
    </w:p>
    <w:p w:rsidR="00DD08F5" w:rsidRDefault="00DD08F5" w:rsidP="00DD08F5">
      <w:pPr>
        <w:ind w:firstLine="720"/>
        <w:jc w:val="both"/>
      </w:pPr>
      <w:r>
        <w:t xml:space="preserve">Pagal 2008 metų “Prekyba žmonėmis Lietuvoje” ataskaitą, Lietuva yra laikoma prekybos vaikais ir moterimis, seksualinio išnaudojimo tikslais, tranzito ir tikslo šalimi. Lietuvės parduodamos tiek savo šalyje, tiek išvežamos į Didžiąją  Britaniją, Vokietiją, Ispaniją, Italiją, Daniją, Norvegiją, ir Nyderlandus.   </w:t>
      </w:r>
    </w:p>
    <w:p w:rsidR="00DD08F5" w:rsidRDefault="00DD08F5" w:rsidP="00DD08F5">
      <w:pPr>
        <w:pStyle w:val="Antrats"/>
        <w:jc w:val="both"/>
        <w:rPr>
          <w:b/>
          <w:bCs/>
          <w:sz w:val="22"/>
        </w:rPr>
      </w:pPr>
      <w:r>
        <w:tab/>
      </w:r>
      <w:r>
        <w:rPr>
          <w:szCs w:val="18"/>
        </w:rPr>
        <w:t xml:space="preserve"> </w:t>
      </w:r>
    </w:p>
    <w:p w:rsidR="00DD08F5" w:rsidRDefault="00DD08F5" w:rsidP="00DD08F5">
      <w:pPr>
        <w:ind w:firstLine="720"/>
        <w:jc w:val="both"/>
        <w:rPr>
          <w:b/>
          <w:bCs/>
        </w:rPr>
      </w:pPr>
      <w:r>
        <w:rPr>
          <w:b/>
          <w:bCs/>
        </w:rPr>
        <w:t xml:space="preserve"> V.</w:t>
      </w:r>
      <w:r>
        <w:t xml:space="preserve">  </w:t>
      </w:r>
      <w:r>
        <w:rPr>
          <w:b/>
          <w:bCs/>
        </w:rPr>
        <w:t>Dėl 2005 – 2008 metų priklausomybės ligų programos įgyvendinimo Lietuvoje</w:t>
      </w:r>
    </w:p>
    <w:p w:rsidR="00DD08F5" w:rsidRDefault="00DD08F5" w:rsidP="00DD08F5">
      <w:pPr>
        <w:jc w:val="both"/>
      </w:pPr>
    </w:p>
    <w:p w:rsidR="00DD08F5" w:rsidRDefault="00DD08F5" w:rsidP="00DD08F5">
      <w:pPr>
        <w:pStyle w:val="Pagrindinistekstas"/>
      </w:pPr>
      <w:r>
        <w:tab/>
        <w:t xml:space="preserve">Sveikatos apsaugos ministerijos duomenimis (2009 04 07 raštas Nr. 10-(10.1-22) 2015 ) ir Valstybinis psichikos sveikatos centro duomenimis  2005 – 2008 metų laikotarpiu didėjo pasiektų ilgalaikių remisijų skaičius. Nuo 2005 m. iki 2008 m. jis išaugo 102,4 proc. (2007 m. 1606, 2008 m. – 2182). Nuo 2005 m. iki 2008 m. padaugėjo naujai išaiškintų pacientų skaičius (2007 m. –2442, 2008 m. – 2463). Daugėjo asmenų, išrašytų iš įskaitos skaičius (2007 m. –166, 2008 m. – 1469). Šiuo metu galiojantis Pacientų teisių ir žalos atlyginimo įstatymas (Žin., 1996, 102-2317; 2004, Nr. 115-4284) bei kiti įstatymai nenumato anoniminių paslaugų teikimo. Tačiau, paciento apmokamų sveikatos priežiūros paslaugų  teikimą nustatantis Sveikatos apsaugos ministro 1999 m. liepos 30 d. įsakymas Nr. 357 “Dėl mokamų asmens sveikatos priežiūros paslaugų sąrašo, kainų nustatymo ir jų indeksavimo tvarkos bei šių paslaugų teikimo ir apmokėjimo tvarkos”  (Žin., 1999, Nr. 67-2175) numato ir anoniminį piktnaudžiaujančiųjų alkoholiu, narkotikais ir kitomis nuodingosiomis medžiagomis gydymą, nors galiojančiuose Pacientų teisių ir žalos atlyginimo įstatyme ((Žin., 1996, </w:t>
      </w:r>
      <w:r>
        <w:lastRenderedPageBreak/>
        <w:t>102-2317; 2004, Nr. 115-4284)  ir kituose įstatymuose ar teisės aktuose nėra apibrėžta Anoniminė sveikatos priežiūros ar Anoniminio gydymo sąvokos. Parengtose Pacientų teisių ir žalos atlyginimo įstatymo pakeitimo įstatymo projekto 10 str. nuostatose numatyta pacientų teisė į anoniminę sveikatos priežiūrą  (įstatymo projektas registruotas Seime 2008 01 18 Nr. XP-2817). Įstatymas nepriimtas.</w:t>
      </w:r>
      <w:r>
        <w:rPr>
          <w:b/>
          <w:bCs/>
        </w:rPr>
        <w:t xml:space="preserve"> </w:t>
      </w:r>
      <w:r>
        <w:t>2005 – 2008 metų priklausomybės ligų programos įgyvendinimo Lietuvoje vertinimas nepadarytas. Lietuvos Respublikos Valstybės kontrolė 2009 03 27 raštu Nr. S-(10-1.9.1)-622 “Dėl valstybinio audito rekomendacijų įgyvendinimo” nurodė, kad tikrinimo metu 82 gydymo įstaigos, teikusios priklausomybės ligų gydymo paslaugas, už kurias buvo apmokėta iš Privalomojo sveikatos draudimo fondo biudžeto lėšų, Valstybiniam psichikos sveikatos centrui nepateikė statistinės apskaitos formų. Informacija apie anonimiškai gydytus asmenis šiam centrui taip pat neteikiama. Privačios gydymo įstaigos irgi neįpareigotos Valstybiniam psichikos sveikatos centrui teikti statistinių formų.</w:t>
      </w:r>
    </w:p>
    <w:p w:rsidR="00DD08F5" w:rsidRDefault="00DD08F5" w:rsidP="00DD08F5">
      <w:pPr>
        <w:ind w:firstLine="720"/>
        <w:jc w:val="both"/>
      </w:pPr>
      <w:r>
        <w:t xml:space="preserve">Dabartiniu metu tokių privačių gydymo įstaigų, neteikiančių informacijos  Valstybiniam psichikos sveikatos centrui, sumažėjo, bet ir toliau asmenų, gavusių  priklausomybės ligų gydymo paslaugas Lietuvoje, skaičius nėra aiškus. </w:t>
      </w:r>
    </w:p>
    <w:p w:rsidR="00DD08F5" w:rsidRDefault="00DD08F5" w:rsidP="00DD08F5">
      <w:pPr>
        <w:ind w:firstLine="720"/>
        <w:jc w:val="both"/>
      </w:pPr>
      <w:r>
        <w:t xml:space="preserve">Dėl asmenų, įtariamų psichotropinių ar narkotinių medžiagų vartojimu, Policijos departamento prie Lietuvos Respublikos Vidaus reikalų ministerijos duomenimis, išanalizavus  Lietuvos Respublikos Administracinių teisės pažeidimų kodekso 44 straipsnio “Neteisėtas psichotropinių ar narkotinių medžiagų įgijimas ar laikymas nedideliais kiekiais arba psichotropinių ar narkotinių medžiagų vartojimas be gydytojo paskyrimo” taikymo praktiką, galima pažymėti keletą problemos aspektų. Per metus policijos pareigūnai sulaiko nemažai asmenų, įtariamų psichotropinių ar narkotinių medžiagų vartojimu. Lietuvos Respublikos Administracinių teisės pažeidimų kodekso 44 straipsnyje už šį pažeidimą numatyta administracinė bauda iki 500 litų. </w:t>
      </w:r>
    </w:p>
    <w:p w:rsidR="00DD08F5" w:rsidRDefault="00DD08F5" w:rsidP="00DD08F5">
      <w:pPr>
        <w:ind w:firstLine="720"/>
        <w:jc w:val="both"/>
      </w:pPr>
      <w:r>
        <w:t xml:space="preserve">Norint asmenį, įtariamą psichotropinių ar narkotinių medžiagų vartojimu, patraukti administracinėn atsakomybėn, būtina atlikti šio asmens medicininę apžiūrą bei biologinių skysčių (šlapimo arba kraujo) cheminę ekspertizę. Kol nėra patvirtinančios narkotikų vartojimą ekspertizės išvadų policijos pareigūnai negali surašyti administracinio teisės pažeidimo protokolo. Tokia ekspertizė kainuoja apie 150 litų ir atliekama apie 10 dienų. Šiuo metu dėl finansavimo problemų kai kurios policijos įstaigos yra įsiskolinusios medicinos įstaigoms už šias paslaugas, todėl medicinos įstaigose atsisakoma priimti asmenis tyrimams. </w:t>
      </w:r>
    </w:p>
    <w:p w:rsidR="00DD08F5" w:rsidRDefault="00DD08F5" w:rsidP="00DD08F5">
      <w:pPr>
        <w:ind w:firstLine="720"/>
        <w:jc w:val="both"/>
      </w:pPr>
      <w:r>
        <w:t>Gavus ekspertizės išvadą atsiranda kita problema – reikia vėl surasti pažeidėją, kuris dažniausiai yra priklausomas nuo narkotikų asmuo be nuolatinės gyvenamosios vietos.  Administracines bylas  pagal Lietuvos Respublikos Administracinių teisės pažeidimų kodekso 44 straipsnį nagrinėja ir sprendimus priima teismai, todėl surašius protokolą policijos pareigūnas atvesdina pažeidėją į teismą. Tačiau, dauguma nuo narkotikų priklausomų asmenų neturi nuolatinių pajamų šaltinių, todėl teismo paskirtų baudų jie nesumoka. Išieškoti iš tokių asmenų jiems paskirtą baudą nėra galimybių, kadangi dažniausiai šie asmenys neturi nei turto nei darbo.</w:t>
      </w:r>
    </w:p>
    <w:p w:rsidR="00DD08F5" w:rsidRDefault="00DD08F5" w:rsidP="00DD08F5">
      <w:pPr>
        <w:ind w:firstLine="720"/>
        <w:jc w:val="both"/>
      </w:pPr>
      <w:r>
        <w:t>Įstatyme numatyta galimybė pakeisti administracinę baudą į administracinį areštą, tačiau nuo narkotikų priklausomų asmenų laikymas areštinėse komplikuotas - jiems reikalinga nuolatinė medicininė priežiūra, nes būdami narkotinės abstinencijos būsenoje jie gali susižaloti arba sužaloti kitus. Po įstatyme numatytos  administracinės nuobaudos paskyrimo jie toliau vartoja narkotikus, daro teisėtvarkos pažeidimus. Vykdydami savo funkcijas, policijos pareigūnai vėl sulaikinėja tokius asmenis, teismai taiko administracinio poveikio priemones.</w:t>
      </w:r>
    </w:p>
    <w:p w:rsidR="00DD08F5" w:rsidRDefault="00DD08F5" w:rsidP="00DD08F5">
      <w:pPr>
        <w:ind w:firstLine="720"/>
        <w:jc w:val="both"/>
      </w:pPr>
      <w:r>
        <w:t xml:space="preserve">Tikslios pakartotinų sulaikymų statistikos nėra (oficialiai nenumatyta), tačiau ir kai kuri turima informacija leidžia daryti išvadas, kad narkotikais piktnaudžiaujantiems asmenims taikomos administracinės nuobaudos neturi tinkamo poveikio (jie ir toliau daro pažeidimus), administracinių nuobaudų skyrimo tikslai nepasiekiami nepaisant to,  kad šios įstatymo normos taikymas reikalauja nemažų finansinių bei žmogiškųjų išteklių. Todėl būtina ieškoti kitų problemos sprendimo būdų.  </w:t>
      </w:r>
    </w:p>
    <w:p w:rsidR="00DD08F5" w:rsidRDefault="00DD08F5" w:rsidP="00DD08F5">
      <w:pPr>
        <w:jc w:val="both"/>
      </w:pPr>
    </w:p>
    <w:p w:rsidR="00DD08F5" w:rsidRDefault="00DD08F5" w:rsidP="00DD08F5">
      <w:pPr>
        <w:jc w:val="both"/>
        <w:rPr>
          <w:rFonts w:eastAsia="Arial"/>
        </w:rPr>
      </w:pPr>
    </w:p>
    <w:p w:rsidR="00DD08F5" w:rsidRDefault="00DD08F5" w:rsidP="00DD08F5">
      <w:pPr>
        <w:ind w:firstLine="720"/>
        <w:jc w:val="both"/>
        <w:rPr>
          <w:rFonts w:eastAsia="Arial"/>
          <w:b/>
          <w:color w:val="000000"/>
          <w:szCs w:val="20"/>
        </w:rPr>
      </w:pPr>
      <w:r>
        <w:rPr>
          <w:rFonts w:eastAsia="Arial"/>
          <w:b/>
          <w:color w:val="000000"/>
          <w:szCs w:val="20"/>
        </w:rPr>
        <w:t>VI. Dėl efektyvios kompleksinės pagalbos vaikams, sergantiems priklausomybės ligomis, sistemos sukūrimo</w:t>
      </w:r>
    </w:p>
    <w:p w:rsidR="00DD08F5" w:rsidRDefault="00DD08F5" w:rsidP="00DD08F5">
      <w:pPr>
        <w:jc w:val="both"/>
        <w:rPr>
          <w:rFonts w:eastAsia="Arial"/>
          <w:bCs/>
          <w:color w:val="000000"/>
          <w:szCs w:val="20"/>
        </w:rPr>
      </w:pPr>
    </w:p>
    <w:p w:rsidR="00DD08F5" w:rsidRDefault="00DD08F5" w:rsidP="00DD08F5">
      <w:pPr>
        <w:ind w:firstLine="720"/>
        <w:jc w:val="both"/>
        <w:rPr>
          <w:rFonts w:eastAsia="Arial"/>
          <w:bCs/>
          <w:color w:val="000000"/>
          <w:szCs w:val="20"/>
        </w:rPr>
      </w:pPr>
      <w:r>
        <w:rPr>
          <w:rFonts w:eastAsia="Arial"/>
          <w:bCs/>
          <w:color w:val="000000"/>
          <w:szCs w:val="20"/>
        </w:rPr>
        <w:t>Tiriant efektyvios kompleksinės pagalbos vaikams, sergantiems priklausomybės ligomis, sistemos sukūrimo klausimus, nustatyta, kad:</w:t>
      </w:r>
    </w:p>
    <w:p w:rsidR="00DD08F5" w:rsidRDefault="00DD08F5" w:rsidP="00DD08F5">
      <w:pPr>
        <w:jc w:val="both"/>
        <w:rPr>
          <w:szCs w:val="18"/>
        </w:rPr>
      </w:pPr>
      <w:r>
        <w:rPr>
          <w:rFonts w:eastAsia="Arial"/>
          <w:bCs/>
          <w:color w:val="000000"/>
          <w:szCs w:val="20"/>
        </w:rPr>
        <w:lastRenderedPageBreak/>
        <w:t xml:space="preserve"> </w:t>
      </w:r>
      <w:r>
        <w:rPr>
          <w:rFonts w:eastAsia="Arial"/>
        </w:rPr>
        <w:t xml:space="preserve"> </w:t>
      </w:r>
      <w:r>
        <w:rPr>
          <w:rFonts w:eastAsia="Arial"/>
        </w:rPr>
        <w:tab/>
        <w:t>Lietuvos Respublikos Seimas 2007 m. balandžio 3 d. nutarimu Nr. X-1070 “Dėl psichikos sveikatos strategijos patvirtinimo” patvirtino Psichikos sveikatos strategiją (toliau – Psichikos strategija), kurioje pažymėtos stiprybės, silpnybės, galimybės ir grėsmės.</w:t>
      </w:r>
      <w:r>
        <w:rPr>
          <w:szCs w:val="18"/>
        </w:rPr>
        <w:t> </w:t>
      </w:r>
    </w:p>
    <w:p w:rsidR="00DD08F5" w:rsidRDefault="00DD08F5" w:rsidP="00DD08F5">
      <w:pPr>
        <w:ind w:firstLine="720"/>
        <w:jc w:val="both"/>
      </w:pPr>
      <w:r>
        <w:t xml:space="preserve">Lietuvos Respublikos Seimas numatė tokias </w:t>
      </w:r>
      <w:r>
        <w:rPr>
          <w:bCs/>
        </w:rPr>
        <w:t>stiprybes</w:t>
      </w:r>
      <w:r>
        <w:t xml:space="preserve">: Lietuvoje yra įgyvendinama Lietuvos sveikatos programa, patvirtinta Lietuvos Respublikos Seimo 1998 m. liepos 2 d. nutarimu Nr. VIII-833 (Žin., 1998, Nr. </w:t>
      </w:r>
      <w:hyperlink r:id="rId87" w:history="1">
        <w:r>
          <w:rPr>
            <w:rStyle w:val="Hipersaitas"/>
            <w:rFonts w:eastAsia="Courier New"/>
          </w:rPr>
          <w:t>64-1842</w:t>
        </w:r>
      </w:hyperlink>
      <w:r>
        <w:rPr>
          <w:color w:val="000000"/>
        </w:rPr>
        <w:t xml:space="preserve">), </w:t>
      </w:r>
      <w:r>
        <w:t xml:space="preserve">bei konkrečių visuomenės sveikatos sričių strategijos ir programos; psichikos sveikatos priežiūra vykdoma pagal Lietuvos Respublikos sveikatos apsaugos ministerijos nustatytus prioritetus, o kaip sudedamoji visuomenės sveikatos dalis – ir pagal Lietuvos Respublikos Vyriausybės nustatytus prioritetus; Lietuvos aukštosiose mokyklose rengiami kvalifikuoti asmens ir visuomenės sveikatos specialistai;  sukurtas asmens ir visuomenės sveikatos priežiūros įstaigų tinklas; 2005 m. PSO Europos regiono sveikatos apsaugos ministrų konferencijoje Helsinkyje priimtoje Europos psichikos sveikatos apsaugos deklaracijoje ir Veiksmų plane 2005–2010 metams psichikos sveikatos priežiūra nurodyta kaip vienas iš svarbiausių prioritetų visose Europos valstybėse; Bendrijos veiksmų visuomenės sveikatos srityje programoje (2003–2008 m.), patvirtintoje 2002 m. rugsėjo 23 d. Europos Parlamento ir Tarybos sprendimu Nr. 1786/2002/EB, sveikata ir aukštas sveikatos apsaugos lygis nurodytas kaip Europos Sąjungos ir PSO prioritetas; Europos Komisijos 2005 m. spalio 14 d. patvirtinta Europos Sąjungos „Žalioji knyga“ (Europos Sąjungos psichikos sveikatos strategijos projektas), kurioje siūloma šiuolaikinėmis priemonėmis stiprinti visuomenės psichikos sveikatą, vykdyti savižudybių, prievartos, </w:t>
      </w:r>
      <w:r>
        <w:rPr>
          <w:bCs/>
        </w:rPr>
        <w:t>priklausomybių</w:t>
      </w:r>
      <w:r>
        <w:t xml:space="preserve"> ir kitų visuomenės sveikatos problemų, tiesiogiai susijusių su psichikos sveikata, prevenciją, plėtoti sergančiųjų psichikos ligomis gydymo ir reabilitacijos bendruomenėse galimybes, įtraukiant į šį procesą jų šeimas.</w:t>
      </w:r>
    </w:p>
    <w:p w:rsidR="00DD08F5" w:rsidRDefault="00DD08F5" w:rsidP="00DD08F5">
      <w:pPr>
        <w:ind w:firstLine="720"/>
        <w:jc w:val="both"/>
      </w:pPr>
      <w:r>
        <w:rPr>
          <w:bCs/>
        </w:rPr>
        <w:t>Silpnybės</w:t>
      </w:r>
      <w:r>
        <w:t xml:space="preserve"> yra tai, kad: tarp valstybės ir savivaldybių institucijų, dirbančių psichikos sveikatos priežiūros srityje, atotrūkis; nepakankamas asmens ir visuomenės sveikatos priežiūros paslaugų integravimas į pirminę sveikatos priežiūrą; nepakankamas sveikatos, socialinės apsaugos, švietimo, teisėsaugos sektorių bendradarbiavimas psichikos sveikatos priežiūros srityje; nepakankamas sveikatos programų ir moderniosios bendruomeninės psichikos sveikatos priežiūros finansavimas; nepakankamas valstybės ir savivaldybių sveikatos programų valdymas, koordinavimas, įgyvendinimo efektyvumo vertinimas; savivaldybių biudžetuose nenumatytas finansavimas psichikos sveikatos priežiūrai; nepakankamai išplėtota visuomenės informavimo psichikos sveikatos klausimais sistema; didelė psichikos sveikatos priežiūros institucionalizacija; nepakankamai išplėtotas kompleksinių bendruomeninių psichikos sveikatos priežiūros paslaugų tinklas, taip pat ir tarp sektorių; nepakankamas visuomenės pakantumas psichikos sutrikimų turintiems asmenims, didelė psichikos ligonių, jų šeimų ir psichikos sutrikimų stigmatizacija visuomenėje.</w:t>
      </w:r>
    </w:p>
    <w:p w:rsidR="00DD08F5" w:rsidRDefault="00DD08F5" w:rsidP="00DD08F5">
      <w:pPr>
        <w:ind w:firstLine="720"/>
        <w:jc w:val="both"/>
      </w:pPr>
      <w:r>
        <w:t xml:space="preserve">Buvo numatytos </w:t>
      </w:r>
      <w:r>
        <w:rPr>
          <w:bCs/>
        </w:rPr>
        <w:t>galimybės</w:t>
      </w:r>
      <w:r>
        <w:t>: aktyvus socialinės apsaugos, švietimo, teisėsaugos, kitų sektorių dalyvavimas psichikos sveikatos stiprinimo veikloje; didėjantis visuomenės pilietiškumas ir psichikos sveikatos reikšmės suvokimas; tolesnis specialistų rengimo ir profesinio tobulinimo psichikos sveikatos priežiūros srityje plėtojimas; naudojimasis Europos Sąjungos struktūrinių fondų ir kitų programų lėšomis; tarptautinio bendradarbiavimo psichikos sveikatos priežiūros srityje plėtojimas ir dalyvavimas tarptautinėse programose; naujų informacijos priemonių naudojimas informuojant visuomenę sveikos gyvensenos ir sveikatos stiprinimo klausimais; deinstitucionalizacijos ir destigmatizacijos pritaikymas.</w:t>
      </w:r>
    </w:p>
    <w:p w:rsidR="00DD08F5" w:rsidRDefault="00DD08F5" w:rsidP="00DD08F5">
      <w:pPr>
        <w:ind w:firstLine="720"/>
        <w:jc w:val="both"/>
      </w:pPr>
      <w:r>
        <w:t xml:space="preserve">Konstatuotos </w:t>
      </w:r>
      <w:r>
        <w:rPr>
          <w:bCs/>
        </w:rPr>
        <w:t>grėsmės:</w:t>
      </w:r>
      <w:r>
        <w:t xml:space="preserve"> nepakankamas Lietuvos Respublikos Vyriausybės programų finansavimas; nepakankama socialinės apsaugos, švietimo, teisėsaugos, kitų sektorių veikla psichikos sveikatos priežiūros srityje, jų veiksmai nesuderinti tarpusavyje; kvalifikuotų psichikos sveikatos priežiūros specialistų stoka, ypač rajonuose ir ypač psichologų,</w:t>
      </w:r>
      <w:r>
        <w:rPr>
          <w:bCs/>
        </w:rPr>
        <w:t xml:space="preserve"> vaikų psichiatrų, psichoterapeutų; </w:t>
      </w:r>
      <w:r>
        <w:t xml:space="preserve">socialiniai ir ekonominiai skirtumai tarp regionų ir atskirų gyventojų socialinių grupių;  </w:t>
      </w:r>
      <w:r>
        <w:rPr>
          <w:bCs/>
          <w:u w:val="single"/>
        </w:rPr>
        <w:t>vaikų ir jaunimo gyvensenos blogėjimas</w:t>
      </w:r>
      <w:r>
        <w:t xml:space="preserve">. </w:t>
      </w:r>
    </w:p>
    <w:p w:rsidR="00DD08F5" w:rsidRDefault="00DD08F5" w:rsidP="00DD08F5">
      <w:pPr>
        <w:ind w:firstLine="720"/>
        <w:jc w:val="both"/>
        <w:rPr>
          <w:rFonts w:eastAsia="Arial"/>
          <w:bCs/>
          <w:color w:val="000000"/>
          <w:szCs w:val="40"/>
        </w:rPr>
      </w:pPr>
      <w:r>
        <w:t xml:space="preserve">Todėl, numatant 2008 metų  Sveikatos apsaugos ministerijos prioritetines veiklos kryptis, turėjo būti atsižvelgta į Lietuvos Respublikos Seimo numatytas grėsmes bei galimybes kaip jas spręsti. </w:t>
      </w:r>
    </w:p>
    <w:p w:rsidR="00DD08F5" w:rsidRDefault="00DD08F5" w:rsidP="00DD08F5">
      <w:pPr>
        <w:jc w:val="both"/>
        <w:rPr>
          <w:bCs/>
        </w:rPr>
      </w:pPr>
      <w:r>
        <w:rPr>
          <w:rFonts w:eastAsia="Arial"/>
          <w:color w:val="000000"/>
          <w:szCs w:val="40"/>
        </w:rPr>
        <w:tab/>
        <w:t>A</w:t>
      </w:r>
      <w:r>
        <w:rPr>
          <w:bCs/>
        </w:rPr>
        <w:t>tsižvelgiant į vaikų ir jaunimo gyvensenos blogėjimą, n</w:t>
      </w:r>
      <w:r>
        <w:t xml:space="preserve">agrinėti su šia tema susiję klausimai, kurie yra patvirtinti </w:t>
      </w:r>
      <w:r>
        <w:rPr>
          <w:rFonts w:eastAsia="Arial"/>
          <w:color w:val="000000"/>
          <w:szCs w:val="40"/>
        </w:rPr>
        <w:t xml:space="preserve">Seimo Narkomanijos ir alkoholizmo prevencijos komisijos veiklos plane sveikatos politikos įgyvendinimo klausimais: </w:t>
      </w:r>
      <w:r>
        <w:t xml:space="preserve">dėl bendrųjų prevencijos programų, nukreiptų prieš savižudybes, įvairias prievartos apraiškas, patyčias mokyklose, neatsakingą elgesį keliuose, stiprinančias vaikų ir jaunimo psichologinį atsparumą ir streso įveikos įgūdžius, įgyvendinimo ir deramo šių programų finansavimo; dėl vieningos informacinės sistemos sukūrimo apie asmenis, priklausomus nuo narkotinių ir psichotropinių medžiagų; dėl privalomos vaikų sveikatos stebėsenos ir </w:t>
      </w:r>
      <w:r>
        <w:lastRenderedPageBreak/>
        <w:t xml:space="preserve">ligų prevencijos nuo darželio iki mokyklos baigimo programos įgyvendinimo; dėl paslaugų prieinamumo pagerinimo asmenims, priklausomiems nuo alkoholizmo, narkotinių ir psichotropinių medžiagų vartojimo; dėl efektyvios kompleksinės pagalbos vaikams sergantiems priklausomybės ligomis sistemos sukūrimo; </w:t>
      </w:r>
      <w:r>
        <w:rPr>
          <w:bCs/>
        </w:rPr>
        <w:t xml:space="preserve">Visuomenės sveikatos biurų savivaldybėse veiklos plėtimas, kad jie taptų </w:t>
      </w:r>
      <w:r>
        <w:t>sveikos gyvensenos ugdymo, mokymo ir propagavimo, bendruomenių telkimo kovai su alkoholizmu ir narkomanija centrais;</w:t>
      </w:r>
      <w:r>
        <w:rPr>
          <w:bCs/>
        </w:rPr>
        <w:t xml:space="preserve"> asmenų, vartojančių narkotines ir psichotropines medžiagas, sveikatos priežiūra, reabilitacija ir socialinės reintegracija. </w:t>
      </w:r>
    </w:p>
    <w:p w:rsidR="00DD08F5" w:rsidRDefault="00DD08F5" w:rsidP="00DD08F5">
      <w:pPr>
        <w:ind w:firstLine="720"/>
        <w:jc w:val="both"/>
      </w:pPr>
      <w:r>
        <w:t xml:space="preserve">Rengiant išvadas buvo susipažinta su Sveikatos apsaugos ministerijos 2008 metų veiklos ataskaita  (2009 m. vasario 28 d.), artimiausio laikotarpio institucijos veiklos prioritetines kryptimis ir kitais dokumentais bei ES 2009 – 2012 m. kovos su narkotikais veiksmų plano uždaviniais, už kuriuos  atsakingos valstybės narės (didinti priklausomybės nuo narkotikų gydymo ir reabilitacijų veiksmingumą, gerinant paslaugų pasiūlą, galimybę jomis naudotis ir jų kokybę ir kt.). </w:t>
      </w:r>
    </w:p>
    <w:p w:rsidR="00DD08F5" w:rsidRDefault="00DD08F5" w:rsidP="00DD08F5">
      <w:pPr>
        <w:ind w:firstLine="720"/>
        <w:jc w:val="both"/>
      </w:pPr>
      <w:r>
        <w:t>Nustatyta, kad Lietuvoje patvirtintos šios Psichikos strategijos prioritetinės kryptys:</w:t>
      </w:r>
    </w:p>
    <w:p w:rsidR="00DD08F5" w:rsidRDefault="00DD08F5" w:rsidP="00DD08F5">
      <w:pPr>
        <w:ind w:firstLine="720"/>
        <w:jc w:val="both"/>
      </w:pPr>
      <w:r>
        <w:t>- žmogaus teisių užtikrinimas;</w:t>
      </w:r>
    </w:p>
    <w:p w:rsidR="00DD08F5" w:rsidRDefault="00DD08F5" w:rsidP="00DD08F5">
      <w:pPr>
        <w:ind w:firstLine="720"/>
        <w:jc w:val="both"/>
      </w:pPr>
      <w:r>
        <w:t>- modernios, pacientų poreikius atitinkančios paslaugos;</w:t>
      </w:r>
    </w:p>
    <w:p w:rsidR="00DD08F5" w:rsidRDefault="00DD08F5" w:rsidP="00DD08F5">
      <w:pPr>
        <w:ind w:firstLine="720"/>
        <w:jc w:val="both"/>
      </w:pPr>
      <w:r>
        <w:t>- biopsichosocialinio modelio plėtros pusiausvyra;</w:t>
      </w:r>
    </w:p>
    <w:p w:rsidR="00DD08F5" w:rsidRDefault="00DD08F5" w:rsidP="00DD08F5">
      <w:pPr>
        <w:ind w:firstLine="720"/>
        <w:jc w:val="both"/>
      </w:pPr>
      <w:r>
        <w:t>- autonomijos ir dalyvavimo skatinimas;</w:t>
      </w:r>
    </w:p>
    <w:p w:rsidR="00DD08F5" w:rsidRDefault="00DD08F5" w:rsidP="00DD08F5">
      <w:pPr>
        <w:ind w:firstLine="720"/>
        <w:jc w:val="both"/>
      </w:pPr>
      <w:r>
        <w:t>- nedidelių psichikos sveikatos sutrikimų gydymas nespecializuotose sveikatos priežiūros įstaigose;</w:t>
      </w:r>
    </w:p>
    <w:p w:rsidR="00DD08F5" w:rsidRDefault="00DD08F5" w:rsidP="00DD08F5">
      <w:pPr>
        <w:ind w:firstLine="720"/>
        <w:jc w:val="both"/>
      </w:pPr>
      <w:r>
        <w:t>- psichikos sveikatos stiprinimas ir psichikos sutrikimų prevencija, kaip neatsiejamos ir prioritetinės sveikatos, švietimo ir socialinės apsaugos strategijų įgyvendinimo dalys;</w:t>
      </w:r>
    </w:p>
    <w:p w:rsidR="00DD08F5" w:rsidRDefault="00DD08F5" w:rsidP="00DD08F5">
      <w:pPr>
        <w:ind w:firstLine="720"/>
        <w:jc w:val="both"/>
      </w:pPr>
      <w:r>
        <w:t>- pacientų, jų šeimų ir nevyriausybinio sektoriaus vaidmens stiprinimas.</w:t>
      </w:r>
    </w:p>
    <w:p w:rsidR="00DD08F5" w:rsidRDefault="00DD08F5" w:rsidP="00DD08F5">
      <w:pPr>
        <w:jc w:val="both"/>
        <w:rPr>
          <w:noProof/>
        </w:rPr>
      </w:pPr>
      <w:r>
        <w:t xml:space="preserve">            Sveikatos apsaugos ministerija yra pasitvirtinusi šiuos </w:t>
      </w:r>
      <w:r>
        <w:rPr>
          <w:noProof/>
        </w:rPr>
        <w:t>strateginius tikslus</w:t>
      </w:r>
      <w:r>
        <w:t>:</w:t>
      </w:r>
    </w:p>
    <w:p w:rsidR="00DD08F5" w:rsidRDefault="00DD08F5" w:rsidP="00DD08F5">
      <w:pPr>
        <w:ind w:firstLine="720"/>
        <w:jc w:val="both"/>
        <w:rPr>
          <w:bCs/>
          <w:iCs/>
        </w:rPr>
      </w:pPr>
      <w:r>
        <w:rPr>
          <w:bCs/>
          <w:iCs/>
        </w:rPr>
        <w:t xml:space="preserve">1.Saugoti ir stiprinti sveikatą, vykdant visuomenės sveikatos priežiūrą. </w:t>
      </w:r>
    </w:p>
    <w:p w:rsidR="00DD08F5" w:rsidRDefault="00DD08F5" w:rsidP="00DD08F5">
      <w:pPr>
        <w:ind w:firstLine="720"/>
        <w:jc w:val="both"/>
        <w:rPr>
          <w:noProof/>
        </w:rPr>
      </w:pPr>
      <w:r>
        <w:t xml:space="preserve">Pvz., konstatuojama, kad dėl išorinių priežasčių 2007 metais, lyginant su 2006 m., vyrų vidutinė tikėtina gyvenimo trukmė pailgėjo. Tam didžiausią įtaką turėjo sumažėjęs savižudybių skaičius. Tuo tarpu moterų vidutinei tikėtinai gyvenimo trukmei išorinės mirties priežastys turėjo neigiamą įtaką – ji 2006 m. sutrumpėjo 0,07 metais, palyginus su 2005 metais. </w:t>
      </w:r>
    </w:p>
    <w:p w:rsidR="00DD08F5" w:rsidRDefault="00DD08F5" w:rsidP="00DD08F5">
      <w:pPr>
        <w:jc w:val="both"/>
        <w:rPr>
          <w:iCs/>
        </w:rPr>
      </w:pPr>
      <w:r>
        <w:rPr>
          <w:iCs/>
        </w:rPr>
        <w:t xml:space="preserve">              2. Siekti, kad pacientams būtų laiku teikiama kokybiška, saugi ir prieinama   sveikatos priežiūra.</w:t>
      </w:r>
    </w:p>
    <w:p w:rsidR="00DD08F5" w:rsidRDefault="00DD08F5" w:rsidP="00DD08F5">
      <w:pPr>
        <w:ind w:firstLine="720"/>
        <w:jc w:val="both"/>
        <w:rPr>
          <w:bCs/>
          <w:i/>
          <w:iCs/>
          <w:noProof/>
        </w:rPr>
      </w:pPr>
      <w:r>
        <w:rPr>
          <w:noProof/>
        </w:rPr>
        <w:t>Pvz., konstatuojam, kad didėjant vyresnio amžiaus žmonių skaičiui, augant vaikų ir jaunimo sergamumui, didėjant sergamumui psichikos ir</w:t>
      </w:r>
      <w:r>
        <w:rPr>
          <w:bCs/>
          <w:noProof/>
        </w:rPr>
        <w:t xml:space="preserve"> priklausomybės ligomis,</w:t>
      </w:r>
      <w:r>
        <w:rPr>
          <w:bCs/>
          <w:i/>
          <w:iCs/>
          <w:noProof/>
        </w:rPr>
        <w:t xml:space="preserve"> </w:t>
      </w:r>
      <w:r>
        <w:rPr>
          <w:noProof/>
        </w:rPr>
        <w:t xml:space="preserve">mirtingumui nuo nelaimingų atsitikimų, traumų, širdies bei kraujagyslių ligų, piktybinių navikų, didėja socialinės ir medicininės išlaidos, auga visuomenės susirūpinimas sveikatos priežiūra ir jos paslaugų kokybe, todėl svarbu sudaryti vienodas sąlygas visiems šalies piliečiams gauti reikiamas sveikatos priežiūros paslaugas, ypatingą </w:t>
      </w:r>
      <w:r>
        <w:rPr>
          <w:bCs/>
          <w:i/>
          <w:iCs/>
          <w:noProof/>
        </w:rPr>
        <w:t>dėmesį skiriant vaikų ir jaunimo sveikatai.</w:t>
      </w:r>
    </w:p>
    <w:p w:rsidR="00DD08F5" w:rsidRDefault="00DD08F5" w:rsidP="00DD08F5">
      <w:pPr>
        <w:ind w:firstLine="720"/>
        <w:jc w:val="both"/>
        <w:rPr>
          <w:iCs/>
        </w:rPr>
      </w:pPr>
      <w:r>
        <w:rPr>
          <w:iCs/>
        </w:rPr>
        <w:t xml:space="preserve">3. Tobulinti sveikatos sistemos valdymą, sveikatos santykius grįsti teisumo ir solidarumo principais. </w:t>
      </w:r>
    </w:p>
    <w:p w:rsidR="00DD08F5" w:rsidRDefault="00DD08F5" w:rsidP="00DD08F5">
      <w:pPr>
        <w:jc w:val="both"/>
        <w:rPr>
          <w:iCs/>
          <w:u w:val="single"/>
        </w:rPr>
      </w:pPr>
      <w:r>
        <w:rPr>
          <w:noProof/>
        </w:rPr>
        <w:t xml:space="preserve"> </w:t>
      </w:r>
      <w:r>
        <w:rPr>
          <w:noProof/>
        </w:rPr>
        <w:tab/>
        <w:t>Sveikatos apsaugos ministerija strateginių tikslų įgyvendinimo vertinimui pasirinko  efekto kriterijus:</w:t>
      </w:r>
    </w:p>
    <w:p w:rsidR="00DD08F5" w:rsidRDefault="00DD08F5" w:rsidP="00DD08F5">
      <w:pPr>
        <w:jc w:val="both"/>
        <w:rPr>
          <w:iCs/>
          <w:color w:val="FF0000"/>
        </w:rPr>
      </w:pPr>
      <w:r>
        <w:rPr>
          <w:iCs/>
        </w:rPr>
        <w:tab/>
        <w:t>1. Didėjanti pirminiame sveikatos priežiūros lygyje išsprendžiamų sveikatos problemų dalis  (nuo 50 proc. 2006 m. iki 60 proc. 2010 m.).</w:t>
      </w:r>
    </w:p>
    <w:p w:rsidR="00DD08F5" w:rsidRDefault="00DD08F5" w:rsidP="00DD08F5">
      <w:pPr>
        <w:jc w:val="both"/>
        <w:rPr>
          <w:bCs/>
        </w:rPr>
      </w:pPr>
      <w:r>
        <w:rPr>
          <w:bCs/>
        </w:rPr>
        <w:tab/>
        <w:t>2. Racionalus PSDF biudžeto administravimas, teisumo principo sveikatos santykiuose įgyvendinimas.</w:t>
      </w:r>
    </w:p>
    <w:p w:rsidR="00DD08F5" w:rsidRDefault="00DD08F5" w:rsidP="00DD08F5">
      <w:pPr>
        <w:jc w:val="both"/>
        <w:rPr>
          <w:bCs/>
          <w:color w:val="FF0000"/>
        </w:rPr>
      </w:pPr>
      <w:r>
        <w:rPr>
          <w:bCs/>
        </w:rPr>
        <w:tab/>
        <w:t>3. Teikiamų specializuotų ambulatorinių ir stacionarinių paslaugų kokybės ir prieinamumo gyventojams gerėjimas</w:t>
      </w:r>
      <w:r>
        <w:rPr>
          <w:bCs/>
          <w:color w:val="FF0000"/>
        </w:rPr>
        <w:t>.</w:t>
      </w:r>
    </w:p>
    <w:p w:rsidR="00DD08F5" w:rsidRDefault="00DD08F5" w:rsidP="00DD08F5">
      <w:pPr>
        <w:jc w:val="both"/>
      </w:pPr>
      <w:r>
        <w:tab/>
        <w:t xml:space="preserve">4. </w:t>
      </w:r>
      <w:r>
        <w:rPr>
          <w:bCs/>
        </w:rPr>
        <w:t>Ankstyvas ligų diagnozavimas</w:t>
      </w:r>
      <w:r>
        <w:t>, sergamumo mažėjimas, gyvenimo kokybės gerėjimas.</w:t>
      </w:r>
    </w:p>
    <w:p w:rsidR="00DD08F5" w:rsidRDefault="00DD08F5" w:rsidP="00DD08F5">
      <w:pPr>
        <w:jc w:val="both"/>
        <w:rPr>
          <w:bCs/>
          <w:color w:val="FF0000"/>
          <w:lang w:eastAsia="lt-LT"/>
        </w:rPr>
      </w:pPr>
      <w:r>
        <w:rPr>
          <w:bCs/>
        </w:rPr>
        <w:tab/>
        <w:t xml:space="preserve">5. </w:t>
      </w:r>
      <w:r>
        <w:rPr>
          <w:bCs/>
          <w:lang w:eastAsia="lt-LT"/>
        </w:rPr>
        <w:t xml:space="preserve">Užtikrinamas </w:t>
      </w:r>
      <w:r>
        <w:rPr>
          <w:bCs/>
        </w:rPr>
        <w:t>1971 m. birželio 14 d. Tarybos reglamento (EEB) Nr. 1408/71 dėl socialinės apsaugos sistemų taikymo pagal darbo sutartį dirbantiems asmenims, savarankiškai dirbantiems asmenims ir jų šeimos nariams, judantiems Bendrijoje, ir 1972 m. kovo 21 d. Tarybos reglamento (EEB) Nr. 574/72, nustatančio Reglamento (EEB) Nr. 1408/71 dėl socialinės apsaugos sistemų taikymo pagal darbo sutartį dirbantiems asmenims, savarankiškai dirbantiems asmenims ir jų šeimos nariams, judantiems Bendrijoje, įgyvendinimo tvarką,</w:t>
      </w:r>
      <w:r>
        <w:rPr>
          <w:bCs/>
          <w:lang w:eastAsia="lt-LT"/>
        </w:rPr>
        <w:t xml:space="preserve"> įgyvendinimas sveikatos priežiūros srityje.</w:t>
      </w:r>
      <w:r>
        <w:rPr>
          <w:bCs/>
        </w:rPr>
        <w:t xml:space="preserve"> </w:t>
      </w:r>
      <w:r>
        <w:rPr>
          <w:bCs/>
          <w:lang w:eastAsia="lt-LT"/>
        </w:rPr>
        <w:t>Užtikrinama Europos Bendrijos steigimo sutartimi įteisinta asmenų judėjimo laisvė ir laisvai judančių asmenų sveikatos apsauga.</w:t>
      </w:r>
      <w:r>
        <w:rPr>
          <w:bCs/>
          <w:color w:val="FF0000"/>
          <w:lang w:eastAsia="lt-LT"/>
        </w:rPr>
        <w:t xml:space="preserve"> </w:t>
      </w:r>
    </w:p>
    <w:p w:rsidR="00DD08F5" w:rsidRDefault="00DD08F5" w:rsidP="00DD08F5">
      <w:pPr>
        <w:ind w:firstLine="720"/>
        <w:jc w:val="both"/>
      </w:pPr>
      <w:r>
        <w:lastRenderedPageBreak/>
        <w:t>Lietuvos Respublikos Vyriausybė 2008 m. rugpjūčio 27 d. nutarimu Nr. 836 “Dėl Vaikų sveikatos stiprinimo 2008–2012 metų programos patvirtinimo” patvirtintoje Vaikų sveikatos stiprinimo 2008–2012 metų programoje numatyti šios programos uždaviniai:</w:t>
      </w:r>
    </w:p>
    <w:p w:rsidR="00DD08F5" w:rsidRDefault="00DD08F5" w:rsidP="00DD08F5">
      <w:pPr>
        <w:ind w:firstLine="720"/>
        <w:jc w:val="both"/>
        <w:rPr>
          <w:bCs/>
        </w:rPr>
      </w:pPr>
      <w:r>
        <w:t xml:space="preserve">-  </w:t>
      </w:r>
      <w:r>
        <w:rPr>
          <w:bCs/>
        </w:rPr>
        <w:t xml:space="preserve">kurti vaikų sveikatą palaikančią aplinką, pasitelkus valstybės institucijas, savivaldybes, mokyklų bendruomenes; </w:t>
      </w:r>
    </w:p>
    <w:p w:rsidR="00DD08F5" w:rsidRDefault="00DD08F5" w:rsidP="00DD08F5">
      <w:pPr>
        <w:ind w:left="720"/>
        <w:jc w:val="both"/>
        <w:rPr>
          <w:bCs/>
        </w:rPr>
      </w:pPr>
      <w:r>
        <w:rPr>
          <w:bCs/>
        </w:rPr>
        <w:t>- didinti specialistų, dirbančių su vaikais, kompetenciją sveikatos stiprinimo klausimais;</w:t>
      </w:r>
    </w:p>
    <w:p w:rsidR="00DD08F5" w:rsidRDefault="00DD08F5" w:rsidP="00DD08F5">
      <w:pPr>
        <w:ind w:left="720"/>
        <w:jc w:val="both"/>
        <w:rPr>
          <w:bCs/>
        </w:rPr>
      </w:pPr>
      <w:r>
        <w:rPr>
          <w:bCs/>
        </w:rPr>
        <w:t>- ugdyti vaikų sveikos gyvensenos nuostatas ir gebėjimus;</w:t>
      </w:r>
    </w:p>
    <w:p w:rsidR="00DD08F5" w:rsidRDefault="00DD08F5" w:rsidP="00DD08F5">
      <w:pPr>
        <w:ind w:firstLine="720"/>
        <w:jc w:val="both"/>
        <w:rPr>
          <w:bCs/>
        </w:rPr>
      </w:pPr>
      <w:r>
        <w:rPr>
          <w:bCs/>
        </w:rPr>
        <w:t>-  tobulinti vaikų ligų ir traumų pirminės profilaktikos organizavimo kokybę;</w:t>
      </w:r>
    </w:p>
    <w:p w:rsidR="00DD08F5" w:rsidRDefault="00DD08F5" w:rsidP="00DD08F5">
      <w:pPr>
        <w:jc w:val="both"/>
        <w:rPr>
          <w:bCs/>
        </w:rPr>
      </w:pPr>
      <w:r>
        <w:rPr>
          <w:bCs/>
        </w:rPr>
        <w:t xml:space="preserve"> </w:t>
      </w:r>
      <w:r>
        <w:rPr>
          <w:bCs/>
        </w:rPr>
        <w:tab/>
        <w:t>- tobulinti vaikų sveikatos stiprinimo stebėseną.</w:t>
      </w:r>
    </w:p>
    <w:p w:rsidR="00DD08F5" w:rsidRDefault="00DD08F5" w:rsidP="00DD08F5">
      <w:pPr>
        <w:ind w:firstLine="720"/>
        <w:jc w:val="both"/>
      </w:pPr>
      <w:r>
        <w:t>Sveikatos apsaugos ministerijos teigimu, Lietuvos sveikatos sistemos politika formuojama ir įgyvendinama vadovaujantis šiais principais: integralaus požiūrio į fizinę, psichikos bei visuomenės sveikatą ir jos priežiūrą; teisumo – kiekvienas žmogus turi teisę siekti aukščiausio savo sveikatos lygio, tačiau to siekdamas negali riboti tokios pačios kitų žmonių teisės; solidarumo – sveikatos draudimo įmokos surenkamos iš visų gyventojų sergančiųjų sveikatos išlaidoms finansuoti; prieinamumo – sveikatos priežiūra turi būti prieinama kiekvienam žmogui tiek sveikatos paslaugų kokybės, tiek paslaugos laukimo, komunikacijos ir kitais aspektais; priimtinumo – sveikatos priežiūros paslaugos kiekvienam žmogui turi būti suteikiamos priimtina forma; lygybės – sveikatos priežiūra turi būti prieinama visiems gyventojams vienodai nepriklausomai nuo amžiaus, rasės, tautybės, lyties, socialinės grupės, vadovaujantis pagrindiniu kriterijumi – pagrįstu sveikatos priežiūros paslaugos poreikiu; visapusiškumo – žmogus turi turėti galimybę gauti reikiamą sveikatos ugdymo, ligų profilaktikos, diagnostikos, gydymo, reabilitacijos, slaugos ir kitą sveikatos priežiūrą; laisvo pasirinkimo − žmogus turi teisę rinktis gydytoją ir sveikatos priežiūros įstaigą; sąžiningos konkurencijos – sveikatos sistemoje paslaugų teikėjai steigiasi ir veikia iš dalies valstybės reguliuojamoje rinkoje, tačiau sąžiningos konkurencijos aplinkoje ir sąlygomis.</w:t>
      </w:r>
    </w:p>
    <w:p w:rsidR="00DD08F5" w:rsidRDefault="00DD08F5" w:rsidP="00DD08F5">
      <w:pPr>
        <w:ind w:firstLine="720"/>
        <w:jc w:val="both"/>
        <w:rPr>
          <w:noProof/>
          <w:lang w:val="es-ES"/>
        </w:rPr>
      </w:pPr>
      <w:r>
        <w:rPr>
          <w:noProof/>
          <w:lang w:val="es-ES"/>
        </w:rPr>
        <w:t>2008 metais Sveikatos apsaugos ministerijos vykdytos programos:</w:t>
      </w:r>
    </w:p>
    <w:p w:rsidR="00DD08F5" w:rsidRDefault="00DD08F5" w:rsidP="00DD08F5">
      <w:pPr>
        <w:ind w:firstLine="720"/>
        <w:jc w:val="both"/>
        <w:rPr>
          <w:noProof/>
        </w:rPr>
      </w:pPr>
      <w:r>
        <w:rPr>
          <w:noProof/>
        </w:rPr>
        <w:t>Visuomenės sveikatos priežiūros stiprinimas.</w:t>
      </w:r>
    </w:p>
    <w:p w:rsidR="00DD08F5" w:rsidRDefault="00DD08F5" w:rsidP="00DD08F5">
      <w:pPr>
        <w:ind w:firstLine="720"/>
        <w:jc w:val="both"/>
        <w:rPr>
          <w:noProof/>
        </w:rPr>
      </w:pPr>
      <w:r>
        <w:rPr>
          <w:noProof/>
        </w:rPr>
        <w:t>Asmens sveikatos priežiūros kokybės užtikrinimas.</w:t>
      </w:r>
    </w:p>
    <w:p w:rsidR="00DD08F5" w:rsidRDefault="00DD08F5" w:rsidP="00DD08F5">
      <w:pPr>
        <w:ind w:firstLine="720"/>
        <w:jc w:val="both"/>
        <w:rPr>
          <w:noProof/>
        </w:rPr>
      </w:pPr>
      <w:r>
        <w:rPr>
          <w:noProof/>
        </w:rPr>
        <w:t>Nacionalinė vaistų politika.</w:t>
      </w:r>
    </w:p>
    <w:p w:rsidR="00DD08F5" w:rsidRDefault="00DD08F5" w:rsidP="00DD08F5">
      <w:pPr>
        <w:ind w:firstLine="720"/>
        <w:jc w:val="both"/>
        <w:rPr>
          <w:noProof/>
        </w:rPr>
      </w:pPr>
      <w:r>
        <w:rPr>
          <w:noProof/>
        </w:rPr>
        <w:t>Sveikatos sistemos plėtra.</w:t>
      </w:r>
    </w:p>
    <w:p w:rsidR="00DD08F5" w:rsidRDefault="00DD08F5" w:rsidP="00DD08F5">
      <w:pPr>
        <w:ind w:firstLine="720"/>
        <w:jc w:val="both"/>
        <w:rPr>
          <w:noProof/>
          <w:lang w:val="es-ES"/>
        </w:rPr>
      </w:pPr>
      <w:r>
        <w:rPr>
          <w:noProof/>
          <w:lang w:val="es-ES"/>
        </w:rPr>
        <w:t>Specialioji sveikatos priežiūros stirpinimo ir modernizavimo programa.</w:t>
      </w:r>
    </w:p>
    <w:p w:rsidR="00DD08F5" w:rsidRDefault="00DD08F5" w:rsidP="00DD08F5">
      <w:pPr>
        <w:ind w:firstLine="720"/>
        <w:jc w:val="both"/>
        <w:rPr>
          <w:noProof/>
          <w:lang w:val="es-ES"/>
        </w:rPr>
      </w:pPr>
      <w:r>
        <w:rPr>
          <w:noProof/>
          <w:lang w:val="es-ES"/>
        </w:rPr>
        <w:t>Specialioji Europos regioninės plėtros fondo programa (BPD įgyvendinti).</w:t>
      </w:r>
    </w:p>
    <w:p w:rsidR="00DD08F5" w:rsidRDefault="00DD08F5" w:rsidP="00DD08F5">
      <w:pPr>
        <w:ind w:firstLine="720"/>
        <w:jc w:val="both"/>
        <w:rPr>
          <w:noProof/>
          <w:lang w:val="es-ES"/>
        </w:rPr>
      </w:pPr>
    </w:p>
    <w:p w:rsidR="00DD08F5" w:rsidRDefault="00DD08F5" w:rsidP="00DD08F5">
      <w:pPr>
        <w:ind w:firstLine="720"/>
        <w:jc w:val="both"/>
        <w:rPr>
          <w:noProof/>
          <w:lang w:val="es-ES"/>
        </w:rPr>
      </w:pPr>
      <w:r>
        <w:rPr>
          <w:noProof/>
          <w:lang w:val="es-ES"/>
        </w:rPr>
        <w:t>2008 m. Vykdytoms programoms patvirtintų ir panaudotų asignavimų suvestinė:</w:t>
      </w:r>
    </w:p>
    <w:p w:rsidR="00DD08F5" w:rsidRDefault="00DD08F5" w:rsidP="00DD08F5">
      <w:pPr>
        <w:jc w:val="both"/>
        <w:rPr>
          <w:noProof/>
          <w:color w:val="3366FF"/>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977"/>
        <w:gridCol w:w="1606"/>
        <w:gridCol w:w="1606"/>
      </w:tblGrid>
      <w:tr w:rsidR="00DD08F5" w:rsidTr="004F7425">
        <w:trPr>
          <w:trHeight w:val="961"/>
        </w:trPr>
        <w:tc>
          <w:tcPr>
            <w:tcW w:w="2977" w:type="dxa"/>
            <w:tcBorders>
              <w:bottom w:val="single" w:sz="4" w:space="0" w:color="auto"/>
            </w:tcBorders>
            <w:vAlign w:val="center"/>
          </w:tcPr>
          <w:p w:rsidR="00DD08F5" w:rsidRDefault="00DD08F5" w:rsidP="004F7425">
            <w:pPr>
              <w:jc w:val="both"/>
              <w:rPr>
                <w:noProof/>
                <w:szCs w:val="22"/>
              </w:rPr>
            </w:pPr>
            <w:r>
              <w:rPr>
                <w:noProof/>
                <w:szCs w:val="22"/>
              </w:rPr>
              <w:t>Programa</w:t>
            </w:r>
          </w:p>
        </w:tc>
        <w:tc>
          <w:tcPr>
            <w:tcW w:w="2977" w:type="dxa"/>
            <w:tcBorders>
              <w:bottom w:val="single" w:sz="4" w:space="0" w:color="auto"/>
            </w:tcBorders>
            <w:vAlign w:val="center"/>
          </w:tcPr>
          <w:p w:rsidR="00DD08F5" w:rsidRDefault="00DD08F5" w:rsidP="004F7425">
            <w:pPr>
              <w:jc w:val="both"/>
              <w:rPr>
                <w:noProof/>
                <w:szCs w:val="22"/>
              </w:rPr>
            </w:pPr>
            <w:r>
              <w:rPr>
                <w:noProof/>
                <w:szCs w:val="22"/>
              </w:rPr>
              <w:t>Patvirtinti (įskaitant patikslinimus) asignavimai, tūkst. litų</w:t>
            </w:r>
          </w:p>
        </w:tc>
        <w:tc>
          <w:tcPr>
            <w:tcW w:w="1606" w:type="dxa"/>
            <w:tcBorders>
              <w:bottom w:val="single" w:sz="4" w:space="0" w:color="auto"/>
            </w:tcBorders>
            <w:vAlign w:val="center"/>
          </w:tcPr>
          <w:p w:rsidR="00DD08F5" w:rsidRDefault="00DD08F5" w:rsidP="004F7425">
            <w:pPr>
              <w:jc w:val="both"/>
              <w:rPr>
                <w:noProof/>
                <w:szCs w:val="22"/>
              </w:rPr>
            </w:pPr>
            <w:r>
              <w:rPr>
                <w:noProof/>
                <w:szCs w:val="22"/>
              </w:rPr>
              <w:t>Panaudoti asignavimai, tūkst. litų</w:t>
            </w:r>
          </w:p>
        </w:tc>
        <w:tc>
          <w:tcPr>
            <w:tcW w:w="1606" w:type="dxa"/>
            <w:tcBorders>
              <w:bottom w:val="single" w:sz="4" w:space="0" w:color="auto"/>
            </w:tcBorders>
            <w:vAlign w:val="center"/>
          </w:tcPr>
          <w:p w:rsidR="00DD08F5" w:rsidRDefault="00DD08F5" w:rsidP="004F7425">
            <w:pPr>
              <w:jc w:val="both"/>
              <w:rPr>
                <w:noProof/>
                <w:szCs w:val="22"/>
              </w:rPr>
            </w:pPr>
            <w:r>
              <w:rPr>
                <w:noProof/>
                <w:szCs w:val="22"/>
              </w:rPr>
              <w:t>Panaudojimo procentas</w:t>
            </w:r>
          </w:p>
        </w:tc>
      </w:tr>
      <w:tr w:rsidR="00DD08F5" w:rsidTr="004F7425">
        <w:tc>
          <w:tcPr>
            <w:tcW w:w="2977" w:type="dxa"/>
            <w:tcBorders>
              <w:top w:val="single" w:sz="4" w:space="0" w:color="auto"/>
              <w:left w:val="single" w:sz="4" w:space="0" w:color="auto"/>
              <w:bottom w:val="single" w:sz="4" w:space="0" w:color="auto"/>
            </w:tcBorders>
          </w:tcPr>
          <w:p w:rsidR="00DD08F5" w:rsidRDefault="00DD08F5" w:rsidP="004F7425">
            <w:pPr>
              <w:jc w:val="both"/>
              <w:rPr>
                <w:noProof/>
                <w:lang w:val="en-GB"/>
              </w:rPr>
            </w:pPr>
            <w:r>
              <w:rPr>
                <w:noProof/>
                <w:lang w:val="en-GB"/>
              </w:rPr>
              <w:t xml:space="preserve">1. Visuomenės sveikatos priežiūros stiprinimas </w:t>
            </w:r>
          </w:p>
        </w:tc>
        <w:tc>
          <w:tcPr>
            <w:tcW w:w="2977" w:type="dxa"/>
            <w:tcBorders>
              <w:top w:val="single" w:sz="4" w:space="0" w:color="auto"/>
              <w:bottom w:val="single" w:sz="4" w:space="0" w:color="auto"/>
            </w:tcBorders>
            <w:vAlign w:val="center"/>
          </w:tcPr>
          <w:p w:rsidR="00DD08F5" w:rsidRDefault="00DD08F5" w:rsidP="004F7425">
            <w:pPr>
              <w:jc w:val="both"/>
            </w:pPr>
            <w:r>
              <w:t>36733,5</w:t>
            </w:r>
          </w:p>
        </w:tc>
        <w:tc>
          <w:tcPr>
            <w:tcW w:w="1606" w:type="dxa"/>
            <w:tcBorders>
              <w:top w:val="single" w:sz="4" w:space="0" w:color="auto"/>
              <w:bottom w:val="single" w:sz="4" w:space="0" w:color="auto"/>
            </w:tcBorders>
            <w:vAlign w:val="center"/>
          </w:tcPr>
          <w:p w:rsidR="00DD08F5" w:rsidRDefault="00DD08F5" w:rsidP="004F7425">
            <w:pPr>
              <w:jc w:val="both"/>
            </w:pPr>
            <w:r>
              <w:t>34836,8</w:t>
            </w:r>
          </w:p>
        </w:tc>
        <w:tc>
          <w:tcPr>
            <w:tcW w:w="1606" w:type="dxa"/>
            <w:tcBorders>
              <w:top w:val="single" w:sz="4" w:space="0" w:color="auto"/>
              <w:bottom w:val="single" w:sz="4" w:space="0" w:color="auto"/>
              <w:right w:val="single" w:sz="4" w:space="0" w:color="auto"/>
            </w:tcBorders>
            <w:vAlign w:val="center"/>
          </w:tcPr>
          <w:p w:rsidR="00DD08F5" w:rsidRDefault="00DD08F5" w:rsidP="004F7425">
            <w:pPr>
              <w:jc w:val="both"/>
            </w:pPr>
            <w:r>
              <w:t>94,8</w:t>
            </w:r>
            <w:r>
              <w:rPr>
                <w:noProof/>
              </w:rPr>
              <w:t>%</w:t>
            </w:r>
          </w:p>
        </w:tc>
      </w:tr>
      <w:tr w:rsidR="00DD08F5" w:rsidTr="004F7425">
        <w:tc>
          <w:tcPr>
            <w:tcW w:w="2977" w:type="dxa"/>
            <w:tcBorders>
              <w:top w:val="single" w:sz="4" w:space="0" w:color="auto"/>
              <w:bottom w:val="nil"/>
            </w:tcBorders>
          </w:tcPr>
          <w:p w:rsidR="00DD08F5" w:rsidRDefault="00DD08F5" w:rsidP="004F7425">
            <w:pPr>
              <w:jc w:val="both"/>
              <w:rPr>
                <w:noProof/>
                <w:color w:val="3366FF"/>
              </w:rPr>
            </w:pPr>
            <w:r>
              <w:rPr>
                <w:bCs/>
                <w:noProof/>
              </w:rPr>
              <w:t>2. Asmens sveikatos priežiūros kokybės užtikrinimas</w:t>
            </w:r>
            <w:r>
              <w:rPr>
                <w:bCs/>
                <w:noProof/>
                <w:color w:val="3366FF"/>
              </w:rPr>
              <w:t xml:space="preserve"> </w:t>
            </w:r>
          </w:p>
        </w:tc>
        <w:tc>
          <w:tcPr>
            <w:tcW w:w="2977" w:type="dxa"/>
            <w:tcBorders>
              <w:top w:val="single" w:sz="4" w:space="0" w:color="auto"/>
            </w:tcBorders>
            <w:vAlign w:val="center"/>
          </w:tcPr>
          <w:p w:rsidR="00DD08F5" w:rsidRDefault="00DD08F5" w:rsidP="004F7425">
            <w:pPr>
              <w:jc w:val="both"/>
              <w:rPr>
                <w:noProof/>
              </w:rPr>
            </w:pPr>
            <w:r>
              <w:rPr>
                <w:noProof/>
              </w:rPr>
              <w:t>16639</w:t>
            </w:r>
          </w:p>
        </w:tc>
        <w:tc>
          <w:tcPr>
            <w:tcW w:w="1606" w:type="dxa"/>
            <w:tcBorders>
              <w:top w:val="single" w:sz="4" w:space="0" w:color="auto"/>
            </w:tcBorders>
            <w:vAlign w:val="center"/>
          </w:tcPr>
          <w:p w:rsidR="00DD08F5" w:rsidRDefault="00DD08F5" w:rsidP="004F7425">
            <w:pPr>
              <w:jc w:val="both"/>
              <w:rPr>
                <w:noProof/>
              </w:rPr>
            </w:pPr>
            <w:r>
              <w:rPr>
                <w:noProof/>
              </w:rPr>
              <w:t>16525,6</w:t>
            </w:r>
          </w:p>
        </w:tc>
        <w:tc>
          <w:tcPr>
            <w:tcW w:w="1606" w:type="dxa"/>
            <w:tcBorders>
              <w:top w:val="single" w:sz="4" w:space="0" w:color="auto"/>
            </w:tcBorders>
            <w:vAlign w:val="center"/>
          </w:tcPr>
          <w:p w:rsidR="00DD08F5" w:rsidRDefault="00DD08F5" w:rsidP="004F7425">
            <w:pPr>
              <w:jc w:val="both"/>
              <w:rPr>
                <w:noProof/>
              </w:rPr>
            </w:pPr>
            <w:r>
              <w:rPr>
                <w:noProof/>
              </w:rPr>
              <w:t>99,3%</w:t>
            </w:r>
          </w:p>
        </w:tc>
      </w:tr>
      <w:tr w:rsidR="00DD08F5" w:rsidTr="004F7425">
        <w:tc>
          <w:tcPr>
            <w:tcW w:w="2977" w:type="dxa"/>
            <w:tcBorders>
              <w:bottom w:val="nil"/>
            </w:tcBorders>
          </w:tcPr>
          <w:p w:rsidR="00DD08F5" w:rsidRDefault="00DD08F5" w:rsidP="004F7425">
            <w:pPr>
              <w:jc w:val="both"/>
              <w:rPr>
                <w:noProof/>
                <w:color w:val="3366FF"/>
              </w:rPr>
            </w:pPr>
            <w:r>
              <w:rPr>
                <w:noProof/>
              </w:rPr>
              <w:t>3. Nacionalinė vaistų politika</w:t>
            </w:r>
            <w:r>
              <w:rPr>
                <w:noProof/>
                <w:color w:val="3366FF"/>
              </w:rPr>
              <w:t xml:space="preserve"> </w:t>
            </w:r>
          </w:p>
        </w:tc>
        <w:tc>
          <w:tcPr>
            <w:tcW w:w="2977" w:type="dxa"/>
            <w:vAlign w:val="center"/>
          </w:tcPr>
          <w:p w:rsidR="00DD08F5" w:rsidRDefault="00DD08F5" w:rsidP="004F7425">
            <w:pPr>
              <w:jc w:val="both"/>
              <w:rPr>
                <w:noProof/>
              </w:rPr>
            </w:pPr>
            <w:r>
              <w:rPr>
                <w:noProof/>
              </w:rPr>
              <w:t>13133</w:t>
            </w:r>
          </w:p>
        </w:tc>
        <w:tc>
          <w:tcPr>
            <w:tcW w:w="1606" w:type="dxa"/>
            <w:vAlign w:val="center"/>
          </w:tcPr>
          <w:p w:rsidR="00DD08F5" w:rsidRDefault="00DD08F5" w:rsidP="004F7425">
            <w:pPr>
              <w:jc w:val="both"/>
              <w:rPr>
                <w:noProof/>
              </w:rPr>
            </w:pPr>
            <w:r>
              <w:rPr>
                <w:noProof/>
              </w:rPr>
              <w:t>12772,6</w:t>
            </w:r>
          </w:p>
        </w:tc>
        <w:tc>
          <w:tcPr>
            <w:tcW w:w="1606" w:type="dxa"/>
            <w:vAlign w:val="center"/>
          </w:tcPr>
          <w:p w:rsidR="00DD08F5" w:rsidRDefault="00DD08F5" w:rsidP="004F7425">
            <w:pPr>
              <w:jc w:val="both"/>
              <w:rPr>
                <w:noProof/>
              </w:rPr>
            </w:pPr>
            <w:r>
              <w:rPr>
                <w:noProof/>
              </w:rPr>
              <w:t>97,3 %</w:t>
            </w:r>
          </w:p>
        </w:tc>
      </w:tr>
      <w:tr w:rsidR="00DD08F5" w:rsidTr="004F7425">
        <w:tc>
          <w:tcPr>
            <w:tcW w:w="2977" w:type="dxa"/>
            <w:tcBorders>
              <w:bottom w:val="nil"/>
            </w:tcBorders>
          </w:tcPr>
          <w:p w:rsidR="00DD08F5" w:rsidRDefault="00DD08F5" w:rsidP="004F7425">
            <w:pPr>
              <w:jc w:val="both"/>
              <w:rPr>
                <w:noProof/>
                <w:color w:val="3366FF"/>
              </w:rPr>
            </w:pPr>
            <w:r>
              <w:rPr>
                <w:noProof/>
              </w:rPr>
              <w:t>4. Sveikatos sistemos plėtra</w:t>
            </w:r>
            <w:r>
              <w:rPr>
                <w:noProof/>
                <w:color w:val="3366FF"/>
              </w:rPr>
              <w:t xml:space="preserve"> </w:t>
            </w:r>
          </w:p>
        </w:tc>
        <w:tc>
          <w:tcPr>
            <w:tcW w:w="2977" w:type="dxa"/>
            <w:vAlign w:val="center"/>
          </w:tcPr>
          <w:p w:rsidR="00DD08F5" w:rsidRDefault="00DD08F5" w:rsidP="004F7425">
            <w:pPr>
              <w:jc w:val="both"/>
              <w:rPr>
                <w:noProof/>
              </w:rPr>
            </w:pPr>
            <w:r>
              <w:rPr>
                <w:noProof/>
              </w:rPr>
              <w:t>245529,4</w:t>
            </w:r>
          </w:p>
        </w:tc>
        <w:tc>
          <w:tcPr>
            <w:tcW w:w="1606" w:type="dxa"/>
            <w:vAlign w:val="center"/>
          </w:tcPr>
          <w:p w:rsidR="00DD08F5" w:rsidRDefault="00DD08F5" w:rsidP="004F7425">
            <w:pPr>
              <w:jc w:val="both"/>
              <w:rPr>
                <w:noProof/>
              </w:rPr>
            </w:pPr>
            <w:r>
              <w:rPr>
                <w:noProof/>
              </w:rPr>
              <w:t>198690,7</w:t>
            </w:r>
          </w:p>
        </w:tc>
        <w:tc>
          <w:tcPr>
            <w:tcW w:w="1606" w:type="dxa"/>
            <w:vAlign w:val="center"/>
          </w:tcPr>
          <w:p w:rsidR="00DD08F5" w:rsidRDefault="00DD08F5" w:rsidP="004F7425">
            <w:pPr>
              <w:jc w:val="both"/>
              <w:rPr>
                <w:noProof/>
              </w:rPr>
            </w:pPr>
            <w:r>
              <w:rPr>
                <w:noProof/>
              </w:rPr>
              <w:t>80,9 %</w:t>
            </w:r>
          </w:p>
        </w:tc>
      </w:tr>
      <w:tr w:rsidR="00DD08F5" w:rsidTr="004F7425">
        <w:trPr>
          <w:cantSplit/>
        </w:trPr>
        <w:tc>
          <w:tcPr>
            <w:tcW w:w="2977" w:type="dxa"/>
            <w:tcBorders>
              <w:bottom w:val="nil"/>
            </w:tcBorders>
          </w:tcPr>
          <w:p w:rsidR="00DD08F5" w:rsidRDefault="00DD08F5" w:rsidP="004F7425">
            <w:pPr>
              <w:jc w:val="both"/>
              <w:rPr>
                <w:noProof/>
                <w:color w:val="3366FF"/>
              </w:rPr>
            </w:pPr>
            <w:r>
              <w:rPr>
                <w:bCs/>
                <w:noProof/>
              </w:rPr>
              <w:t>5. Sveikatos draudimo sistemos plėtojimas (programą įgyvendina Valstybinė ligonių kasa)</w:t>
            </w:r>
          </w:p>
        </w:tc>
        <w:tc>
          <w:tcPr>
            <w:tcW w:w="6189" w:type="dxa"/>
            <w:gridSpan w:val="3"/>
            <w:vAlign w:val="center"/>
          </w:tcPr>
          <w:p w:rsidR="00DD08F5" w:rsidRDefault="00DD08F5" w:rsidP="004F7425">
            <w:pPr>
              <w:jc w:val="both"/>
              <w:rPr>
                <w:noProof/>
              </w:rPr>
            </w:pPr>
            <w:r>
              <w:rPr>
                <w:noProof/>
              </w:rPr>
              <w:t>Detali informacija apie skirtų asignavimų panaudojimą pateika Valstybinės ligonių kasos vykdomos programos „Sveikatos draudimo sistemos plėtojimas“ ataskaitoje.</w:t>
            </w:r>
          </w:p>
        </w:tc>
      </w:tr>
      <w:tr w:rsidR="00DD08F5" w:rsidTr="004F7425">
        <w:trPr>
          <w:trHeight w:val="867"/>
        </w:trPr>
        <w:tc>
          <w:tcPr>
            <w:tcW w:w="2977" w:type="dxa"/>
            <w:tcBorders>
              <w:bottom w:val="nil"/>
            </w:tcBorders>
          </w:tcPr>
          <w:p w:rsidR="00DD08F5" w:rsidRDefault="00DD08F5" w:rsidP="004F7425">
            <w:pPr>
              <w:jc w:val="both"/>
              <w:rPr>
                <w:noProof/>
                <w:color w:val="3366FF"/>
              </w:rPr>
            </w:pPr>
            <w:r>
              <w:rPr>
                <w:noProof/>
              </w:rPr>
              <w:t>6. Specialioji sveikatos priežiūros stiprinimo ir modernizavimo programa</w:t>
            </w:r>
          </w:p>
        </w:tc>
        <w:tc>
          <w:tcPr>
            <w:tcW w:w="2977" w:type="dxa"/>
            <w:vAlign w:val="center"/>
          </w:tcPr>
          <w:p w:rsidR="00DD08F5" w:rsidRDefault="00DD08F5" w:rsidP="004F7425">
            <w:pPr>
              <w:jc w:val="both"/>
              <w:rPr>
                <w:noProof/>
              </w:rPr>
            </w:pPr>
            <w:r>
              <w:rPr>
                <w:noProof/>
              </w:rPr>
              <w:t>13625,2</w:t>
            </w:r>
          </w:p>
        </w:tc>
        <w:tc>
          <w:tcPr>
            <w:tcW w:w="1606" w:type="dxa"/>
            <w:vAlign w:val="center"/>
          </w:tcPr>
          <w:p w:rsidR="00DD08F5" w:rsidRDefault="00DD08F5" w:rsidP="004F7425">
            <w:pPr>
              <w:jc w:val="both"/>
              <w:rPr>
                <w:noProof/>
              </w:rPr>
            </w:pPr>
            <w:r>
              <w:rPr>
                <w:noProof/>
              </w:rPr>
              <w:t>11586,6</w:t>
            </w:r>
          </w:p>
        </w:tc>
        <w:tc>
          <w:tcPr>
            <w:tcW w:w="1606" w:type="dxa"/>
            <w:vAlign w:val="center"/>
          </w:tcPr>
          <w:p w:rsidR="00DD08F5" w:rsidRDefault="00DD08F5" w:rsidP="004F7425">
            <w:pPr>
              <w:jc w:val="both"/>
              <w:rPr>
                <w:noProof/>
              </w:rPr>
            </w:pPr>
            <w:r>
              <w:rPr>
                <w:noProof/>
              </w:rPr>
              <w:t>85,0 %</w:t>
            </w:r>
          </w:p>
        </w:tc>
      </w:tr>
      <w:tr w:rsidR="00DD08F5" w:rsidTr="004F7425">
        <w:tc>
          <w:tcPr>
            <w:tcW w:w="2977" w:type="dxa"/>
            <w:tcBorders>
              <w:bottom w:val="single" w:sz="4" w:space="0" w:color="auto"/>
            </w:tcBorders>
          </w:tcPr>
          <w:p w:rsidR="00DD08F5" w:rsidRDefault="00DD08F5" w:rsidP="004F7425">
            <w:pPr>
              <w:jc w:val="both"/>
              <w:rPr>
                <w:noProof/>
                <w:color w:val="3366FF"/>
              </w:rPr>
            </w:pPr>
            <w:r>
              <w:rPr>
                <w:noProof/>
              </w:rPr>
              <w:t>7. Specialioji Europos regioninės plėtros fondo programa (BPD įgyvendinti)</w:t>
            </w:r>
            <w:r>
              <w:rPr>
                <w:noProof/>
                <w:color w:val="3366FF"/>
              </w:rPr>
              <w:t xml:space="preserve"> </w:t>
            </w:r>
          </w:p>
        </w:tc>
        <w:tc>
          <w:tcPr>
            <w:tcW w:w="2977" w:type="dxa"/>
            <w:tcBorders>
              <w:bottom w:val="single" w:sz="4" w:space="0" w:color="auto"/>
            </w:tcBorders>
            <w:vAlign w:val="center"/>
          </w:tcPr>
          <w:p w:rsidR="00DD08F5" w:rsidRDefault="00DD08F5" w:rsidP="004F7425">
            <w:pPr>
              <w:jc w:val="both"/>
              <w:rPr>
                <w:noProof/>
              </w:rPr>
            </w:pPr>
            <w:r>
              <w:rPr>
                <w:noProof/>
              </w:rPr>
              <w:t>73541,7</w:t>
            </w:r>
          </w:p>
        </w:tc>
        <w:tc>
          <w:tcPr>
            <w:tcW w:w="1606" w:type="dxa"/>
            <w:tcBorders>
              <w:bottom w:val="single" w:sz="4" w:space="0" w:color="auto"/>
            </w:tcBorders>
            <w:vAlign w:val="center"/>
          </w:tcPr>
          <w:p w:rsidR="00DD08F5" w:rsidRDefault="00DD08F5" w:rsidP="004F7425">
            <w:pPr>
              <w:jc w:val="both"/>
              <w:rPr>
                <w:noProof/>
              </w:rPr>
            </w:pPr>
            <w:r>
              <w:rPr>
                <w:noProof/>
              </w:rPr>
              <w:t>60329,7</w:t>
            </w:r>
          </w:p>
        </w:tc>
        <w:tc>
          <w:tcPr>
            <w:tcW w:w="1606" w:type="dxa"/>
            <w:tcBorders>
              <w:bottom w:val="single" w:sz="4" w:space="0" w:color="auto"/>
            </w:tcBorders>
            <w:vAlign w:val="center"/>
          </w:tcPr>
          <w:p w:rsidR="00DD08F5" w:rsidRDefault="00DD08F5" w:rsidP="004F7425">
            <w:pPr>
              <w:jc w:val="both"/>
              <w:rPr>
                <w:noProof/>
                <w:lang w:val="en-US"/>
              </w:rPr>
            </w:pPr>
            <w:r>
              <w:rPr>
                <w:noProof/>
              </w:rPr>
              <w:t>82,0 %</w:t>
            </w:r>
          </w:p>
        </w:tc>
      </w:tr>
      <w:tr w:rsidR="00DD08F5" w:rsidTr="004F7425">
        <w:trPr>
          <w:trHeight w:val="451"/>
        </w:trPr>
        <w:tc>
          <w:tcPr>
            <w:tcW w:w="2977" w:type="dxa"/>
            <w:tcBorders>
              <w:top w:val="single" w:sz="4" w:space="0" w:color="auto"/>
            </w:tcBorders>
            <w:vAlign w:val="center"/>
          </w:tcPr>
          <w:p w:rsidR="00DD08F5" w:rsidRDefault="00DD08F5" w:rsidP="004F7425">
            <w:pPr>
              <w:jc w:val="both"/>
              <w:rPr>
                <w:bCs/>
                <w:noProof/>
              </w:rPr>
            </w:pPr>
            <w:r>
              <w:rPr>
                <w:bCs/>
                <w:noProof/>
              </w:rPr>
              <w:lastRenderedPageBreak/>
              <w:t>Iš viso</w:t>
            </w:r>
          </w:p>
        </w:tc>
        <w:tc>
          <w:tcPr>
            <w:tcW w:w="2977" w:type="dxa"/>
            <w:tcBorders>
              <w:top w:val="single" w:sz="4" w:space="0" w:color="auto"/>
            </w:tcBorders>
            <w:vAlign w:val="center"/>
          </w:tcPr>
          <w:p w:rsidR="00DD08F5" w:rsidRDefault="00DD08F5" w:rsidP="004F7425">
            <w:pPr>
              <w:jc w:val="both"/>
              <w:rPr>
                <w:noProof/>
              </w:rPr>
            </w:pPr>
            <w:r>
              <w:rPr>
                <w:noProof/>
              </w:rPr>
              <w:t>399201,8</w:t>
            </w:r>
          </w:p>
        </w:tc>
        <w:tc>
          <w:tcPr>
            <w:tcW w:w="1606" w:type="dxa"/>
            <w:tcBorders>
              <w:top w:val="single" w:sz="4" w:space="0" w:color="auto"/>
            </w:tcBorders>
            <w:vAlign w:val="center"/>
          </w:tcPr>
          <w:p w:rsidR="00DD08F5" w:rsidRDefault="00DD08F5" w:rsidP="004F7425">
            <w:pPr>
              <w:jc w:val="both"/>
              <w:rPr>
                <w:noProof/>
              </w:rPr>
            </w:pPr>
            <w:r>
              <w:rPr>
                <w:noProof/>
              </w:rPr>
              <w:t>334742</w:t>
            </w:r>
          </w:p>
        </w:tc>
        <w:tc>
          <w:tcPr>
            <w:tcW w:w="1606" w:type="dxa"/>
            <w:tcBorders>
              <w:top w:val="single" w:sz="4" w:space="0" w:color="auto"/>
            </w:tcBorders>
            <w:vAlign w:val="center"/>
          </w:tcPr>
          <w:p w:rsidR="00DD08F5" w:rsidRDefault="00DD08F5" w:rsidP="004F7425">
            <w:pPr>
              <w:jc w:val="both"/>
              <w:rPr>
                <w:noProof/>
              </w:rPr>
            </w:pPr>
            <w:r>
              <w:rPr>
                <w:noProof/>
              </w:rPr>
              <w:t>83,8 %</w:t>
            </w:r>
          </w:p>
        </w:tc>
      </w:tr>
    </w:tbl>
    <w:p w:rsidR="00DD08F5" w:rsidRDefault="00DD08F5" w:rsidP="00DD08F5">
      <w:pPr>
        <w:jc w:val="both"/>
        <w:rPr>
          <w:noProof/>
        </w:rPr>
      </w:pPr>
    </w:p>
    <w:p w:rsidR="00DD08F5" w:rsidRDefault="00DD08F5" w:rsidP="00DD08F5">
      <w:pPr>
        <w:ind w:firstLine="720"/>
        <w:jc w:val="both"/>
        <w:rPr>
          <w:noProof/>
          <w:color w:val="3366FF"/>
        </w:rPr>
      </w:pPr>
      <w:r>
        <w:rPr>
          <w:noProof/>
        </w:rPr>
        <w:t>Tokiu būdu, Sveikatos apsaugos ministerijai 2008 m. buvo skirta</w:t>
      </w:r>
      <w:r>
        <w:rPr>
          <w:noProof/>
          <w:color w:val="3366FF"/>
        </w:rPr>
        <w:t xml:space="preserve"> </w:t>
      </w:r>
      <w:r>
        <w:rPr>
          <w:noProof/>
        </w:rPr>
        <w:t>399 201,8 tūkst. Lt LR biudžeto asignavimų, įskaitant ir ES lėšas. Iš jų 334 742,0 tūkst. Lt buvo panaudota. Skirtų asignavimų įsisavinimas yra 83,8 procentai. Visuomenės sveikatos priežiūros stirpinimo, Asmens sveikatos kokybės užtikrinimo, Nacionalinės vaistų politikos skirtos lėšos buvo įsisavintos daugiau nei 94 procentais.</w:t>
      </w:r>
    </w:p>
    <w:p w:rsidR="00DD08F5" w:rsidRDefault="00DD08F5" w:rsidP="00DD08F5">
      <w:pPr>
        <w:ind w:firstLine="720"/>
        <w:jc w:val="both"/>
        <w:rPr>
          <w:noProof/>
          <w:color w:val="3366FF"/>
        </w:rPr>
      </w:pPr>
      <w:r>
        <w:rPr>
          <w:noProof/>
        </w:rPr>
        <w:t xml:space="preserve">2008 m. </w:t>
      </w:r>
      <w:r>
        <w:t>nepanaudota 2 038,6 tūkst. Lt</w:t>
      </w:r>
      <w:r>
        <w:rPr>
          <w:noProof/>
        </w:rPr>
        <w:t xml:space="preserve"> Specialiosios sveikatos priežiūros stiprinimo ir modernizavimo programos asignavimų</w:t>
      </w:r>
      <w:r>
        <w:t xml:space="preserve">. </w:t>
      </w:r>
    </w:p>
    <w:p w:rsidR="00DD08F5" w:rsidRDefault="00DD08F5" w:rsidP="00DD08F5">
      <w:pPr>
        <w:ind w:firstLine="720"/>
        <w:jc w:val="both"/>
        <w:rPr>
          <w:noProof/>
          <w:lang w:val="es-ES"/>
        </w:rPr>
      </w:pPr>
      <w:r>
        <w:rPr>
          <w:noProof/>
        </w:rPr>
        <w:t xml:space="preserve">Specialiajai Europos regioninės plėtros fondo programai (BPD įgyvendinti) vykdyti 2008 m. patvirtinta 41101 tūkst. Lt (įskaitant patikslinimus). </w:t>
      </w:r>
      <w:r>
        <w:rPr>
          <w:noProof/>
          <w:lang w:val="es-ES"/>
        </w:rPr>
        <w:t>Dėl 2007 m. nepanaudotų šios programos asignavimų, programos planas patikslintas 32440,7 tūkst. Lt ir iš viso 2008 m. sudarė 73541,7 tūkst. litų.</w:t>
      </w:r>
    </w:p>
    <w:p w:rsidR="00DD08F5" w:rsidRDefault="00DD08F5" w:rsidP="00DD08F5">
      <w:pPr>
        <w:ind w:firstLine="720"/>
        <w:jc w:val="both"/>
        <w:rPr>
          <w:noProof/>
          <w:lang w:val="es-ES"/>
        </w:rPr>
      </w:pPr>
      <w:r>
        <w:rPr>
          <w:noProof/>
          <w:lang w:val="es-ES"/>
        </w:rPr>
        <w:t xml:space="preserve">Per 2008 m. iš programai skirtų asignavimų išmokėta 60329,7 tūkst. Lt. (įskaitant lėšas, nepripažintas deklaruotinomis Europos Komisijai). Tame tarpe 49072,8 tūkst. Lt Europos Sąjungos lėšų ir 11256,9 tūkst. Lt bendrojo finansavimo lėšų. </w:t>
      </w:r>
    </w:p>
    <w:p w:rsidR="00DD08F5" w:rsidRDefault="00DD08F5" w:rsidP="00DD08F5">
      <w:pPr>
        <w:ind w:firstLine="720"/>
        <w:jc w:val="both"/>
        <w:rPr>
          <w:noProof/>
          <w:lang w:val="es-ES"/>
        </w:rPr>
      </w:pPr>
      <w:r>
        <w:rPr>
          <w:noProof/>
          <w:lang w:val="es-ES"/>
        </w:rPr>
        <w:t xml:space="preserve">Sveikatos sistemos plėtrai vykdyti patvirtinta 39587 tūkst. litų (įskaitant patikslinimus). Dėl 2007 m. nepanaudotų šios programos asignavimų, programos planas patikslintas 17594 tūkst. Lt ir iš viso 2008 m. sudarė 57181 tūkst. litų. </w:t>
      </w:r>
      <w:r>
        <w:rPr>
          <w:lang w:val="es-ES"/>
        </w:rPr>
        <w:t>Patvirtinti asignavimai nebuvo panaudoti</w:t>
      </w:r>
      <w:r>
        <w:rPr>
          <w:noProof/>
          <w:lang w:val="es-ES"/>
        </w:rPr>
        <w:t>, nes 2008 m. nebuvo pradėtos struktūrinės paramos išmokėjimo procedūros.</w:t>
      </w:r>
    </w:p>
    <w:p w:rsidR="00DD08F5" w:rsidRDefault="00DD08F5" w:rsidP="00DD08F5">
      <w:pPr>
        <w:ind w:firstLine="720"/>
        <w:jc w:val="both"/>
      </w:pPr>
      <w:r>
        <w:t xml:space="preserve">Sveikatos apsaugos ministerijos teigimu, sveikatos apsaugos politikos formavimui įtakos turi šalyje vykstantys procesai bei priimami sprendimai, taip pat Europos Sąjungos (toliau – ES) prioritetinių sričių (sveikatos, regioninės plėtros, socialinės politikos ir kt.) gairės. </w:t>
      </w:r>
    </w:p>
    <w:p w:rsidR="00DD08F5" w:rsidRDefault="00DD08F5" w:rsidP="00DD08F5">
      <w:pPr>
        <w:ind w:firstLine="720"/>
        <w:jc w:val="both"/>
      </w:pPr>
      <w:r>
        <w:t xml:space="preserve">Lietuva, kaip ES narė, dalyvauja rengiant ir derinant su ES reikalavimais Lietuvoje galiojančius sveikatos sistemos, farmacinės veiklos, vartotojų apsaugos bei teisių gynimo, maisto, reklamos, </w:t>
      </w:r>
      <w:r>
        <w:rPr>
          <w:bCs/>
          <w:i/>
          <w:iCs/>
        </w:rPr>
        <w:t>narkotikų kontrolės,</w:t>
      </w:r>
      <w:r>
        <w:t xml:space="preserve"> profesinių kvalifikacijų pripažinimo, profesinės sveikatos ir saugos darbe ir kt. teisės aktus. Sveikatos politika formuojama, sveikatos priežiūros reformos tikslai ir uždaviniai nustatomi vadovaujantis sveikatos priežiūros sistemos baziniuose dokumentuose (Lietuvos nacionalinė sveikatos koncepcija, Lietuvos sveikatos programa), Pasaulio sveikatos organizacijos (toliau – PSO) Europos regiono sveikatos politikos XXI amžiui „Sveikata–21“ dokumente, ES Visuomenės sveikatos programoje 2001–2010 m., </w:t>
      </w:r>
      <w:r>
        <w:rPr>
          <w:szCs w:val="22"/>
        </w:rPr>
        <w:t xml:space="preserve">Bendrijos veiksmų visuomenės sveikatos srityje programoje (2003–2008 m.) išdėstytomis nuostatomis. </w:t>
      </w:r>
      <w:r>
        <w:t xml:space="preserve">Sėkmingai pritaikomos ET ir PSO rekomendacijos psichikos sveikatos, imunoprofilaktikos, </w:t>
      </w:r>
      <w:r>
        <w:rPr>
          <w:bCs/>
          <w:i/>
          <w:iCs/>
        </w:rPr>
        <w:t>kovos su narkomanija</w:t>
      </w:r>
      <w:r>
        <w:t>, AIDS ir kitose srityse.Lietuvos gyventojų sveikata turi tiesioginę įtaką nacionalinio ūkio plėtrai. Nuostata, kad visuomenės narių sveikatos būklė tiesiogiai lemia gyvenimo kokybę, darbo išteklių apimtį ir jų produktyvumą įtvirtinta Valstybės ilgalaikės raidos strategijoje, Lisabonos strategijos įgyvendinimo programoje ir kituose teisės aktuose.</w:t>
      </w:r>
    </w:p>
    <w:p w:rsidR="00DD08F5" w:rsidRDefault="00DD08F5" w:rsidP="00DD08F5">
      <w:pPr>
        <w:ind w:firstLine="720"/>
        <w:jc w:val="both"/>
        <w:rPr>
          <w:color w:val="000000"/>
        </w:rPr>
      </w:pPr>
      <w:r>
        <w:t xml:space="preserve">Valstybinės ligonių kasos prie Sveikatos apsaugos ministerijos duomenimis  </w:t>
      </w:r>
      <w:r>
        <w:rPr>
          <w:color w:val="000000"/>
        </w:rPr>
        <w:t>2008 metais PSDF biudžetas gavo 4 241 812 tūkst.Lt  pajamų, tai  yra 125,0 mln. Lt mažiau  (be likučio metų pradžiai) nei buvo planuota (2007 metais šios pajamos siekė  3 680 871  tūkst. Lt):</w:t>
      </w:r>
    </w:p>
    <w:p w:rsidR="00DD08F5" w:rsidRDefault="00DD08F5" w:rsidP="00DD08F5">
      <w:pPr>
        <w:jc w:val="both"/>
        <w:rPr>
          <w:color w:val="000000"/>
        </w:rPr>
      </w:pPr>
      <w:r>
        <w:rPr>
          <w:color w:val="000000"/>
        </w:rPr>
        <w:tab/>
        <w:t>- iš „Sodros“ gautos visos planuotos surenkamos sveikatos draudimo įmokos (918,5 mln. Lt);</w:t>
      </w:r>
    </w:p>
    <w:p w:rsidR="00DD08F5" w:rsidRDefault="00DD08F5" w:rsidP="00DD08F5">
      <w:pPr>
        <w:jc w:val="both"/>
        <w:rPr>
          <w:color w:val="000000"/>
        </w:rPr>
      </w:pPr>
      <w:r>
        <w:rPr>
          <w:color w:val="000000"/>
        </w:rPr>
        <w:tab/>
        <w:t>- gauta 16,5 mln. Lt  daugiau kitų pajamų;</w:t>
      </w:r>
    </w:p>
    <w:p w:rsidR="00DD08F5" w:rsidRDefault="00DD08F5" w:rsidP="00DD08F5">
      <w:pPr>
        <w:jc w:val="both"/>
        <w:rPr>
          <w:color w:val="000000"/>
        </w:rPr>
      </w:pPr>
      <w:r>
        <w:rPr>
          <w:color w:val="000000"/>
        </w:rPr>
        <w:tab/>
        <w:t>- tačiau iš Valstybinės mokesčių inspekcijos atskaitymų iš gyventojų pajamų mokesčio negauta      120,3 mln. litų.</w:t>
      </w:r>
    </w:p>
    <w:p w:rsidR="00DD08F5" w:rsidRDefault="00DD08F5" w:rsidP="00DD08F5">
      <w:pPr>
        <w:ind w:firstLine="720"/>
        <w:jc w:val="both"/>
        <w:rPr>
          <w:color w:val="000000"/>
        </w:rPr>
      </w:pPr>
      <w:r>
        <w:rPr>
          <w:color w:val="000000"/>
        </w:rPr>
        <w:t>Iš Lietuvos Respublikos valstybės biudžeto negauta 21,5 mln. litų. LR valstybės biudžeto įmokos ir asignavimai sudaro 1 080 391 tūkst. litų.</w:t>
      </w:r>
    </w:p>
    <w:p w:rsidR="00DD08F5" w:rsidRDefault="00DD08F5" w:rsidP="00DD08F5">
      <w:pPr>
        <w:ind w:firstLine="720"/>
        <w:jc w:val="both"/>
        <w:rPr>
          <w:color w:val="000000"/>
        </w:rPr>
      </w:pPr>
      <w:r>
        <w:rPr>
          <w:color w:val="000000"/>
        </w:rPr>
        <w:t>Lietuvos Respublikos sveikatos apsaugos ministro 2008 m. gegužės  9 d. įsakymais nuo Nr. V-418 (Žin., 2008, Nr. 54-2011</w:t>
      </w:r>
      <w:r>
        <w:rPr>
          <w:bCs/>
          <w:color w:val="000000"/>
        </w:rPr>
        <w:t> </w:t>
      </w:r>
      <w:r>
        <w:rPr>
          <w:color w:val="000000"/>
        </w:rPr>
        <w:t>) iki Nr. V-446 (Žin., 2008, Nr. 54-2039</w:t>
      </w:r>
      <w:r>
        <w:rPr>
          <w:bCs/>
          <w:color w:val="000000"/>
        </w:rPr>
        <w:t> </w:t>
      </w:r>
      <w:r>
        <w:rPr>
          <w:color w:val="000000"/>
        </w:rPr>
        <w:t xml:space="preserve">) bei Lietuvos Respublikos sveikatos apsaugos ministro 2008 m. gegužės 16 d. įsakymu Nr. V-466 (Žin., 2008, Nr. 59-2244 indeksuotos asmens sveikatos priežiūros paslaugų bazinės kainos. </w:t>
      </w:r>
    </w:p>
    <w:p w:rsidR="00DD08F5" w:rsidRDefault="00DD08F5" w:rsidP="00DD08F5">
      <w:pPr>
        <w:ind w:firstLine="720"/>
        <w:jc w:val="both"/>
      </w:pPr>
      <w:r>
        <w:t>Kreditorinis įsiskolinimas asmens sveikatos priežiūros įstaigoms (toliau – ASPĮ) 2008-01-01 sudarė  94,2 mln. litų, 2009-01-01 – 236,0 mln. litų. Kreditorinis įsiskolinimas už išduotus (parduotus) kompensuojamuosius vaistus ir medicinos pagalbos priemones 2008-01-01 sudarė 87,7 mln. Lt, 2009-</w:t>
      </w:r>
      <w:r>
        <w:lastRenderedPageBreak/>
        <w:t xml:space="preserve">01-01 – 92,7 mln. litų. 2009-01-01 kreditorinis įsiskolinimas buvo apie 1,5 mėnesio. Kreditorinis įsiskolinimas sanatorijoms 2008-01-01 sudarė – 11,6 mln. Lt, 2009-01-01 – 15,2 mln. litų. </w:t>
      </w:r>
    </w:p>
    <w:p w:rsidR="00DD08F5" w:rsidRDefault="00DD08F5" w:rsidP="00DD08F5">
      <w:pPr>
        <w:ind w:firstLine="720"/>
        <w:jc w:val="both"/>
      </w:pPr>
      <w:r>
        <w:t xml:space="preserve">Valstybinės ligonių kasos prie Sveikatos apsaugos ministerijos duomenimis, administruojant  PSDF biudžetą buvo parengtos Lietuvos Respublikos 2009-2011 metų PSDF biudžeto prognozės (nustatyta, kad 2009 m. papildomų PSDF biudžeto lėšų poreikis yra </w:t>
      </w:r>
      <w:r>
        <w:rPr>
          <w:bCs/>
        </w:rPr>
        <w:t>1709,5 mln. Lt</w:t>
      </w:r>
      <w:r>
        <w:t>). Parengtas 2009 m. PSDF biudžeto projektas, kuris 2008 m. gruodžio 22 d.</w:t>
      </w:r>
      <w:r>
        <w:rPr>
          <w:szCs w:val="22"/>
        </w:rPr>
        <w:t xml:space="preserve"> </w:t>
      </w:r>
      <w:r>
        <w:t>patvirtintas Lietuvos Respublikos</w:t>
      </w:r>
      <w:bookmarkStart w:id="6" w:name="antraste"/>
      <w:bookmarkEnd w:id="6"/>
      <w:r>
        <w:t xml:space="preserve"> 2009 metų Privalomojo sveikatos draudimo fondo biudžeto rodiklių patvirtinimo </w:t>
      </w:r>
      <w:bookmarkStart w:id="7" w:name="dok_tipas"/>
      <w:r>
        <w:t>įstatym</w:t>
      </w:r>
      <w:bookmarkEnd w:id="7"/>
      <w:r>
        <w:t>u (Žin., 2008, Nr. 149-6021). Patvirtintas 2009 metų PSDF biudžetas sudaro 4 686 979 tūkst. Lt ir, palyginti su 2008 metais, didėja 300 203 tūkst. Lt arba 6,8 procentais. Atlikta analizė ir Finansų ministerijai pateikti duomenys (18 pozicijų) apie valstybės lėšomis draudžiamų asmenų skaičių pagal 2008-01-01 dienos būklę. Šių asmenų lyginant su 2007-01-01 duomenimis mažėja 45,5 tūkstančiais.</w:t>
      </w:r>
    </w:p>
    <w:p w:rsidR="00DD08F5" w:rsidRDefault="00DD08F5" w:rsidP="00DD08F5">
      <w:pPr>
        <w:ind w:firstLine="720"/>
        <w:jc w:val="both"/>
        <w:rPr>
          <w:color w:val="000000"/>
        </w:rPr>
      </w:pPr>
      <w:r>
        <w:rPr>
          <w:color w:val="000000"/>
        </w:rPr>
        <w:t xml:space="preserve">Atlikta 2002–2007 m. PSDF biudžeto išlaidų gyventojams pagal amžių ir lytį duomenų analizė. Tobulinant sveikatos draudimo sistemą ir įgyvendinant sveikatos santykių teisumo principą, 2008 metais toliau atsižvelgta į skirtingų regionų ir gyventojų grupių poreikius: pirminei ambulatorinei asmens sveikatos priežiūrai (taip pat skatinamosioms paslaugoms, greitosios medicinos pagalbos, slaugos ir palaikomojo gydymo, stacionarinėms, specializuotoms ambulatorinėms paslaugoms, </w:t>
      </w:r>
      <w:r>
        <w:rPr>
          <w:bCs/>
          <w:color w:val="000000"/>
        </w:rPr>
        <w:t>medicininei reabilitacijai</w:t>
      </w:r>
      <w:r>
        <w:rPr>
          <w:color w:val="000000"/>
        </w:rPr>
        <w:t>, vaistams ir medicinos pagalbos priemonėms kompensuoti, prevencinėms programoms) skiriamos lėšos priklausė nuo teritorinių ligonių kasų aptarnaujamų regionų gyventojų skaičiaus, amžiaus ir lyties.</w:t>
      </w:r>
    </w:p>
    <w:p w:rsidR="00DD08F5" w:rsidRDefault="00DD08F5" w:rsidP="00DD08F5">
      <w:pPr>
        <w:ind w:firstLine="720"/>
        <w:jc w:val="both"/>
      </w:pPr>
      <w:r>
        <w:t xml:space="preserve">2008 metais buvo tobulinta informacinės sistemos </w:t>
      </w:r>
      <w:r>
        <w:rPr>
          <w:bCs/>
        </w:rPr>
        <w:t>SVEIDRA</w:t>
      </w:r>
      <w:r>
        <w:t xml:space="preserve"> teisinė bazė. </w:t>
      </w:r>
      <w:r>
        <w:rPr>
          <w:bCs/>
        </w:rPr>
        <w:t xml:space="preserve">Valstybinės ligonių kasos prie Sveikatos apsaugos ministerijos </w:t>
      </w:r>
      <w:r>
        <w:t>duomenimis,</w:t>
      </w:r>
      <w:r>
        <w:rPr>
          <w:bCs/>
        </w:rPr>
        <w:t xml:space="preserve"> </w:t>
      </w:r>
      <w:r>
        <w:t>ji</w:t>
      </w:r>
      <w:r>
        <w:rPr>
          <w:bCs/>
        </w:rPr>
        <w:t xml:space="preserve"> </w:t>
      </w:r>
      <w:r>
        <w:t xml:space="preserve">parengė SVEIDRA nuostatų naujos redakcijos projektą ir sukūrė SVEIDRA saugos nuostatus, parengė Sveikatos draudimo įstatymo pataisas, tikslinančias VLK ir TLK funkcijas bei suteikiančias teisę tvarkyti ypatingus asmens duomenis, susijusius su sveikata. </w:t>
      </w:r>
      <w:r>
        <w:rPr>
          <w:bCs/>
        </w:rPr>
        <w:t>Valstybinė ligonių kasa prie Sveikatos apsaugos ministerijos</w:t>
      </w:r>
      <w:r>
        <w:t xml:space="preserve"> pasirengė  SVEIDRA išankstinei patikrai ir leidimo tvarkyti ypatingus asmens duomenis. Jau įvykdyti 3 etapai: analizės etapas – reikalavimai sistemai ir sistemos architektūra; projektavimo etapas – sistemos techninės specifikacijos; kūrimo etapas – sukurta programinė įranga. (Dėl šios sistemos netobulumų ne kartą Seimo Narkomanijos prevencijos komisija atkreipė dėmėsį. Valstybės kontrolė padarė išvadas). Jos tinkamas funkcionavimas sudarytų galimybes gauti išsamius duomenis apie priklausomybės ligomis sergančius asmenis.  </w:t>
      </w:r>
    </w:p>
    <w:p w:rsidR="00DD08F5" w:rsidRDefault="00DD08F5" w:rsidP="00DD08F5">
      <w:pPr>
        <w:ind w:firstLine="720"/>
        <w:jc w:val="both"/>
      </w:pPr>
      <w:r>
        <w:t>Jungtinių Tautų vaiko teisių konvencijos 24 straipsnio 1 dalyje ir Lietuvos Respublikos vaiko teisių apsaugos pagrindų įstatymo  8 straipsnyje įtvirtinta vaiko teisė būti sveikam, naudotis sveikatos sistemos paslaugomis ir ligų gydymo bei sveikatos atstatymo priemonėmis.</w:t>
      </w:r>
    </w:p>
    <w:p w:rsidR="00DD08F5" w:rsidRDefault="00DD08F5" w:rsidP="00DD08F5">
      <w:pPr>
        <w:ind w:firstLine="720"/>
        <w:jc w:val="both"/>
      </w:pPr>
      <w:r>
        <w:t>Įgyvendinant šias nuostatas, sveikatos apsaugos sistemoje taikoma medicininė reabilitacija – viena iš intensyvaus gydymo rūšių. Reabilitacinį gydymą sergantis žmogus gali gauti ne tik sanatorijoje, bet ir bet kurioje gydymo įstaigoje, gali būti skiriamos gydymas vaistais ir reabilitacinės paslaugos. Medicininės reabilitacijos ir sanatorinio gydymo įstaigose užtikrinamas mokymosi proceso tęstinumas vaikams .</w:t>
      </w:r>
    </w:p>
    <w:p w:rsidR="00DD08F5" w:rsidRDefault="00DD08F5" w:rsidP="00DD08F5">
      <w:pPr>
        <w:jc w:val="both"/>
      </w:pPr>
      <w:r>
        <w:tab/>
        <w:t>Lietuvoje veikia reabilitacijos – pirminė, antrinė, tretinė. Lietuvoje veikia ambulatorinė reabilitacija, sanatorinis antirecidyvinis gydymas, palaikomoji reabilitacija ir  pakartotinė reabilitacija.</w:t>
      </w:r>
    </w:p>
    <w:p w:rsidR="00DD08F5" w:rsidRDefault="00DD08F5" w:rsidP="00DD08F5">
      <w:pPr>
        <w:ind w:firstLine="720"/>
        <w:jc w:val="both"/>
      </w:pPr>
      <w:r>
        <w:t xml:space="preserve">Medicininės reabilitacijos ir sanatorinio gydymo paslaugų vaikams skyrimą reglamentuoja </w:t>
      </w:r>
    </w:p>
    <w:p w:rsidR="00DD08F5" w:rsidRDefault="00DD08F5" w:rsidP="00DD08F5">
      <w:pPr>
        <w:jc w:val="both"/>
      </w:pPr>
      <w:r>
        <w:rPr>
          <w:bCs/>
        </w:rPr>
        <w:t>Medicininės reabilitacijos ir sanatorinio (antirecidyvinio) gydymo organizavimo tvarka,  patvirtinta  Sveikatos apsaugos ministro 2008 m. sausio 17 d. įsakymu Nr. V-50 “Dėl  Medicininės reabilitacijos ir sanatorinio (antirecidyvinio) gydymo organizavimo</w:t>
      </w:r>
      <w:r>
        <w:t>”</w:t>
      </w:r>
      <w:r>
        <w:rPr>
          <w:bCs/>
          <w:color w:val="000000"/>
        </w:rPr>
        <w:t xml:space="preserve"> (</w:t>
      </w:r>
      <w:r>
        <w:rPr>
          <w:bCs/>
        </w:rPr>
        <w:t xml:space="preserve"> Žin., 2008, Nr. 12-407)</w:t>
      </w:r>
      <w:r>
        <w:t>, kuris  papildytas vėlesniais Sveikatos apsaugos ministro 2008 05 15 įsakymu Nr.V- 368, 2008 05 09 įsakymu Nr.V- 439 ir 2008 03 21 įsakymu Nr.V- 209.</w:t>
      </w:r>
    </w:p>
    <w:p w:rsidR="00DD08F5" w:rsidRDefault="00DD08F5" w:rsidP="00DD08F5">
      <w:pPr>
        <w:ind w:firstLine="720"/>
        <w:jc w:val="both"/>
      </w:pPr>
      <w:r>
        <w:t xml:space="preserve">Be to, šis įsakymas papildytas  Statistikos departamento prie LRV  2008 12 23 įsakymu Nr. DĮ-245 “Dėl sanatorijos ir (ar) reabilitacijos centro statistinio tyrimo ataskaitos formos patvirtinimo”, kuriame patvirtinta sanatorijos ir (ar) reabilitacijos centro statistinio tyrimo ataskaitos forma. </w:t>
      </w:r>
    </w:p>
    <w:p w:rsidR="00DD08F5" w:rsidRDefault="00DD08F5" w:rsidP="00DD08F5">
      <w:pPr>
        <w:ind w:firstLine="720"/>
        <w:jc w:val="both"/>
        <w:rPr>
          <w:bCs/>
          <w:color w:val="000000"/>
        </w:rPr>
      </w:pPr>
      <w:r>
        <w:rPr>
          <w:bCs/>
        </w:rPr>
        <w:t xml:space="preserve">Valstybinės ligonių kasos prie Sveikatos apsaugos ministerijos duomenimis, </w:t>
      </w:r>
      <w:r>
        <w:rPr>
          <w:bCs/>
          <w:color w:val="000000"/>
        </w:rPr>
        <w:t xml:space="preserve">patvirtinta nauja medicininės reabilitacijos paslaugų teikimo tvarka, praplečiant ambulatorinės reabilitacijos galimybes stacionarinės reabilitacijos sąskaita ir nustatant </w:t>
      </w:r>
      <w:r>
        <w:rPr>
          <w:color w:val="000000"/>
        </w:rPr>
        <w:t>optimalų reabilitacijos laiką</w:t>
      </w:r>
      <w:r>
        <w:rPr>
          <w:bCs/>
          <w:color w:val="000000"/>
        </w:rPr>
        <w:t>. Dėl to padidėjo bendras pacientų gaunančių reabilitaciją skaičius (2007 m. – 78 072 pacientų, o 2008 m. apie 78 227  pacientų) ir subalansuotas biudžetas.</w:t>
      </w:r>
    </w:p>
    <w:p w:rsidR="00DD08F5" w:rsidRDefault="00DD08F5" w:rsidP="00DD08F5">
      <w:pPr>
        <w:ind w:firstLine="720"/>
        <w:jc w:val="both"/>
      </w:pPr>
      <w:r>
        <w:rPr>
          <w:bCs/>
          <w:color w:val="000000"/>
        </w:rPr>
        <w:t>Be to, š</w:t>
      </w:r>
      <w:r>
        <w:rPr>
          <w:bCs/>
        </w:rPr>
        <w:t>iuo įsakymu patvirtintoje</w:t>
      </w:r>
      <w:r>
        <w:t xml:space="preserve"> medicininės reabilitacijos ir sanatorinio (antirecidyvinio) gydymo tvarkoje numatyta, kad išaugus ambulatorinės reabilitacijos poreikiui sveikatą grąžinantis </w:t>
      </w:r>
      <w:r>
        <w:lastRenderedPageBreak/>
        <w:t xml:space="preserve">gydymas suaugusiems keičiamas į Ambulatorinę reabilitaciją I ir Ambulatorinę reabilitaciją II, be to įteisinama nuostata, kad iš pirminės ambulatorinės asmens sveikatos priežiūros įstaigų suaugusieji pacientai galėtų būti siunčiami tik pakartotinei, palaikomajai ir ambulatorinei reabilitacijai, t. y. specializuotai stacionarinei reabilitacijai suaugusieji pacientai galėtų būti siunčiami tik po gydymo stacionare. </w:t>
      </w:r>
    </w:p>
    <w:p w:rsidR="00DD08F5" w:rsidRDefault="00DD08F5" w:rsidP="00DD08F5">
      <w:pPr>
        <w:ind w:firstLine="720"/>
        <w:jc w:val="both"/>
      </w:pPr>
      <w:r>
        <w:rPr>
          <w:bCs/>
        </w:rPr>
        <w:t xml:space="preserve">Valstybinės ligonių kasos prie Sveikatos apsaugos ministerijos teigimu, </w:t>
      </w:r>
      <w:r>
        <w:t xml:space="preserve">prioritetas teikiamas vaikų medicininei reabilitacijai ir ambulatorinės reabilitacijos plėtrai. </w:t>
      </w:r>
      <w:r>
        <w:rPr>
          <w:bCs/>
        </w:rPr>
        <w:t>Išlieka nuostata, kad ne mažiau kaip 20 proc. lėšų, numatytų medicininės reabilitacijos ir sanatorinio gydymo išlaidoms kompensuoti, turi būti skirta vaikų gydymui</w:t>
      </w:r>
      <w:r>
        <w:t>.</w:t>
      </w:r>
    </w:p>
    <w:p w:rsidR="00DD08F5" w:rsidRDefault="00DD08F5" w:rsidP="00DD08F5">
      <w:pPr>
        <w:ind w:firstLine="720"/>
        <w:jc w:val="both"/>
        <w:rPr>
          <w:lang w:val="es-ES"/>
        </w:rPr>
      </w:pPr>
      <w:r>
        <w:rPr>
          <w:lang w:val="es-ES"/>
        </w:rPr>
        <w:t xml:space="preserve">Be to, siekiant pagerinti reabilitacijos paslaugų prieinamumą, patvirtinta nauja medicininės reabilitacijos paslaugų teikimo tvarka, praplečiant ambulatorinės reabilitacijos galimybes stacionarinės reabilitacijos sąskaita ir nustatant optimalų reabilitacijos laiką – padidėjo bendras pacientų, gaunančių reabilitaciją, skaičius ir subalansuotas biudžetas. </w:t>
      </w:r>
    </w:p>
    <w:p w:rsidR="00DD08F5" w:rsidRDefault="00DD08F5" w:rsidP="00DD08F5">
      <w:pPr>
        <w:ind w:firstLine="720"/>
        <w:jc w:val="both"/>
        <w:rPr>
          <w:bCs/>
          <w:i/>
          <w:iCs/>
          <w:u w:val="single"/>
        </w:rPr>
      </w:pPr>
      <w:r>
        <w:rPr>
          <w:bCs/>
          <w:snapToGrid w:val="0"/>
        </w:rPr>
        <w:t>Nuo 2010 m. liepos mėn. panaikinus apskrities viršininko administracijas, minėtos įstaigos neteks steigėjo.</w:t>
      </w:r>
      <w:r>
        <w:t xml:space="preserve"> Labai svarbu, kaip bus sprendžiamas dabartinių metu veikiančių, </w:t>
      </w:r>
      <w:r>
        <w:rPr>
          <w:bCs/>
          <w:snapToGrid w:val="0"/>
        </w:rPr>
        <w:t xml:space="preserve">medicininės reabilitacijos ir sanatorinio gydymo paslaugas teikiančių įstaigų ateities klausimas.  </w:t>
      </w:r>
    </w:p>
    <w:p w:rsidR="00DD08F5" w:rsidRDefault="00DD08F5" w:rsidP="00DD08F5">
      <w:pPr>
        <w:ind w:firstLine="720"/>
        <w:jc w:val="both"/>
        <w:rPr>
          <w:i/>
          <w:iCs/>
          <w:color w:val="000000"/>
        </w:rPr>
      </w:pPr>
      <w:r>
        <w:rPr>
          <w:bCs/>
          <w:snapToGrid w:val="0"/>
        </w:rPr>
        <w:t>Užtikrinant pacientų teisę gauti medicininės reabilitacijos ir sanatorinio gydymo paslaugas, kompensuojamas iš Privalomojo sveikatos draudimo fondo biudžeto lėšų buvo patvirtintos priemonės pacientų</w:t>
      </w:r>
      <w:r>
        <w:rPr>
          <w:snapToGrid w:val="0"/>
        </w:rPr>
        <w:t xml:space="preserve"> medicininės reabilitacijos ir sanatorinio gydymo poreikio tenkinimui, sudarant ir vykdant teritorinių ligonių kasų ir ASPĮ susitarimus dėl atrankos bei siuntimo dėl medicininės reabilitacijos. Tuo siekiama t</w:t>
      </w:r>
      <w:r>
        <w:t>eikiamų specializuotų ambulatorinių ir stacionarinių paslaugų kokybės ir prieinamumo gyventojams gerėjimo .</w:t>
      </w:r>
    </w:p>
    <w:p w:rsidR="00DD08F5" w:rsidRDefault="00DD08F5" w:rsidP="00DD08F5">
      <w:pPr>
        <w:ind w:firstLine="720"/>
        <w:jc w:val="both"/>
      </w:pPr>
      <w:r>
        <w:t xml:space="preserve">2008 m. medicininės reabilitacijos paslaugoms apmokėti iš PSDF biudžeto lėšų buvo skirta 143 399 000 Lt ( 2007 m. – 131 754 300 Lt). Ypatingas dėmesys skirtas ambulatorinės reabilitacijos paslaugų teikimui, kuris lyginant su 2007 m. išaugo nuo 18 iki 29  proc. visų medicininės reabilitacijos atvejų. </w:t>
      </w:r>
    </w:p>
    <w:p w:rsidR="00DD08F5" w:rsidRDefault="00DD08F5" w:rsidP="00DD08F5">
      <w:pPr>
        <w:ind w:firstLine="720"/>
        <w:jc w:val="both"/>
        <w:rPr>
          <w:bCs/>
        </w:rPr>
      </w:pPr>
      <w:r>
        <w:rPr>
          <w:bCs/>
        </w:rPr>
        <w:t>M</w:t>
      </w:r>
      <w:r>
        <w:rPr>
          <w:bCs/>
          <w:snapToGrid w:val="0"/>
        </w:rPr>
        <w:t xml:space="preserve">edicininei reabilitacijai ir sanatoriniam gydymui </w:t>
      </w:r>
      <w:r>
        <w:rPr>
          <w:bCs/>
        </w:rPr>
        <w:t>2008 m. iš PSDF biudžeto skirta 11,6  kompensuoti poreikio didėjimą lemia tai, kad daugėja pacientų, kuriuos reikia greitai ir efektyviai išgydyti siekiant galutinio tikslo – grąžinti juos į darbą arba išvengti antrinio neįgalumo.</w:t>
      </w:r>
    </w:p>
    <w:p w:rsidR="00DD08F5" w:rsidRDefault="00DD08F5" w:rsidP="00DD08F5">
      <w:pPr>
        <w:ind w:firstLine="720"/>
        <w:jc w:val="both"/>
        <w:rPr>
          <w:bCs/>
        </w:rPr>
      </w:pPr>
      <w:r>
        <w:rPr>
          <w:bCs/>
        </w:rPr>
        <w:t xml:space="preserve"> Pagal Pasaulio sveikatos organizacijos nuostatas prioritetas turi būti teikiamas sergantiems sunkiomis ūmiomis ligomis arba patyrusiems sunkias traumas ligoniams. Tokių asmenų, kuriuos nuo mirties gelbsti naujausios medicinos technologijos, vis daugėja.</w:t>
      </w:r>
    </w:p>
    <w:p w:rsidR="00DD08F5" w:rsidRDefault="00DD08F5" w:rsidP="00DD08F5">
      <w:pPr>
        <w:ind w:firstLine="720"/>
        <w:jc w:val="both"/>
        <w:rPr>
          <w:bCs/>
          <w:snapToGrid w:val="0"/>
        </w:rPr>
      </w:pPr>
      <w:r>
        <w:t xml:space="preserve">2009 metams iš PSDF biudžeto </w:t>
      </w:r>
      <w:r>
        <w:rPr>
          <w:bCs/>
          <w:snapToGrid w:val="0"/>
        </w:rPr>
        <w:t xml:space="preserve">medicininei reabilitacijai ir sanatoriniam gydymui </w:t>
      </w:r>
      <w:r>
        <w:t xml:space="preserve">skirta 148 043 tūkst. Lt, t. y. 4644 tūkst. Lt, arba 3,2 proc., daugiau, negu buvo numatyta 2008 metų biudžete. </w:t>
      </w:r>
    </w:p>
    <w:p w:rsidR="00DD08F5" w:rsidRDefault="00DD08F5" w:rsidP="00DD08F5">
      <w:pPr>
        <w:jc w:val="both"/>
        <w:rPr>
          <w:bCs/>
          <w:snapToGrid w:val="0"/>
        </w:rPr>
      </w:pPr>
      <w:r>
        <w:t>Teritorinės ligonių kasoms (toliau – TLK)</w:t>
      </w:r>
      <w:r>
        <w:rPr>
          <w:bCs/>
          <w:snapToGrid w:val="0"/>
        </w:rPr>
        <w:t xml:space="preserve"> lėšas medicininei reabilitacijai ir sanatoriniam gydymui paskirsto ASPĮ pagal metodikas, kuriose atsižvelgiama į aptarnaujamų gyventojų skaičių, amžiaus struktūrą, sergamumą kai kuriomis lėtinėmis ligomis. </w:t>
      </w:r>
    </w:p>
    <w:p w:rsidR="00DD08F5" w:rsidRDefault="00DD08F5" w:rsidP="00DD08F5">
      <w:pPr>
        <w:jc w:val="both"/>
      </w:pPr>
      <w:r>
        <w:rPr>
          <w:bCs/>
        </w:rPr>
        <w:tab/>
      </w:r>
      <w:r>
        <w:t xml:space="preserve">Sveikatos apsaugos sistemoje vykdoma </w:t>
      </w:r>
      <w:r>
        <w:rPr>
          <w:bCs/>
        </w:rPr>
        <w:t>šeimos gydytojo institucijos plėtra</w:t>
      </w:r>
      <w:r>
        <w:t xml:space="preserve">. Sveikatos sistemos įstatymo 63 str. įpareigoja savivaldybę, kaip instituciją atsakingą už šios sveikatos priežiūros rūšies organizavimą, planuoti ir tvirtinti savivaldybės pirminės asmens sveikatos priežiūros plėtojimo programą. TLK, sudarydama sutartis su pirminės asmens sveikatos priežiūros paslaugų teikėjais, vadovaujasi savivaldybės patvirtintais plėtros planais, paslaugų teikėjo licencija bei Sveikatos apsaugos ministro 2005 m. gruodžio 5 d. įsakymu Nr. V-943 „Dėl Pirminės ambulatorinės asmens sveikatos priežiūros paslaugų organizavimo ir apmokėjimo tvarkos aprašo bei Pirminės ambulatorinės asmens sveikatos priežiūros paslaugų ir bazinių kainų tvirtinimo”, kuriame  patvirtinta pirminės ambulatorinės asmens sveikatos priežiūros paslaugų sąrašo, bazinių kainų, organizavimo bei apmokėjimo tvarka. Joje be bazinio mokėjimo už įrašytus į aptarnaujamų gyventojų sąrašus asmenis yra numatytas papildomas mokėjimas už suteiktas skatinamąsias paslaugas bei įvestas apmokėjimas už gerus darbo rezultatus. 2008 metais Lietuvos Respublikos Sveikatos apsaugos ministro </w:t>
      </w:r>
      <w:r>
        <w:rPr>
          <w:bCs/>
        </w:rPr>
        <w:t>2008 m. sausio 17 d. įsakymu Nr. V-48  ir Sveikatos apsaugos ministro 2008 m. balandžio 29 d. įsakymu Nr. V-343</w:t>
      </w:r>
      <w:r>
        <w:t xml:space="preserve"> patvirtinta nauja papildomo apmokėjimo gydymo įstaigoms už šeimos gydytojų gerus darbo rezultatus tvarka.</w:t>
      </w:r>
    </w:p>
    <w:p w:rsidR="00DD08F5" w:rsidRDefault="00DD08F5" w:rsidP="00DD08F5">
      <w:pPr>
        <w:jc w:val="both"/>
      </w:pPr>
      <w:r>
        <w:t xml:space="preserve"> </w:t>
      </w:r>
      <w:r>
        <w:tab/>
        <w:t xml:space="preserve">2008 metais sveikatos apsaugos ministro patvirtintoje tvarkoje numatyta įstaigas vertinti ir joms mokėti už gerus darbo rezultatus pagal šiuos rodiklius: vaikų ir suaugusiųjų priežiūros intensyvumą (vertinama, ar prisirašiusieji pacientai apsilanko pas šeimos gydytoją bent kartą per metus pasitikrinti sveikatos) ir prevencinių programų vykdymą (atsižvelgiama į Gimdos kaklelio </w:t>
      </w:r>
      <w:r>
        <w:lastRenderedPageBreak/>
        <w:t xml:space="preserve">piktybinių navikų prevencinių priemonių ir Priešinės liaukos vėžio ankstyvosios diagnostikos programų rezultatus). Atsižvelgiant į vaikų ir suaugusiųjų apsilankymų intensyvumą bei prevencinių programų vykdymą, lėšos, skirtos skatinimui už gerus darbo rezultatus buvo perskirstytos tarp ASPĮ, pagal faktinius jų darbo rezultatus.  </w:t>
      </w:r>
    </w:p>
    <w:p w:rsidR="00DD08F5" w:rsidRDefault="00DD08F5" w:rsidP="00DD08F5">
      <w:pPr>
        <w:ind w:firstLine="720"/>
        <w:jc w:val="both"/>
        <w:rPr>
          <w:color w:val="FF0000"/>
        </w:rPr>
      </w:pPr>
      <w:r>
        <w:rPr>
          <w:bCs/>
        </w:rPr>
        <w:t xml:space="preserve">Siekiant įgyvendinti uždavinio „Efektyvių pirminės sveikatos priežiūros teikimo formų diegimas ir plėtra“ numatytą priemonę – užtikrinti pirminės sveikatos priežiūros prieinamumą, ir 2008 metais TLK sudarė sutartis dėl asmens sveikatos priežiūros paslaugų teikimo vienodomis sąlygomis su privačiomis ir valstybinėmis sveikatos priežiūros įstaigomis. </w:t>
      </w:r>
      <w:r>
        <w:t>Gerėjant pirminių asmens sveikatos priežiūros paslaugų prieinamumui, daugėja pirmines ambulatorines asmens sveikatos priežiūros paslaugas teikiančių įstaigų. 2005 metais Lietuvoje tokių įstaigų buvo 383, iš jų privačių – 197, tuo tarpu 2008 metais jų skaičius atitinkamai išaugo iki 391 ir privačių pirmines ambulatorines asmens sveikatos priežiūros paslaugas teikiančių įstaigų padaugėjo iki 214 (t. y. 54,7 proc.).</w:t>
      </w:r>
    </w:p>
    <w:p w:rsidR="00DD08F5" w:rsidRDefault="00DD08F5" w:rsidP="00DD08F5">
      <w:pPr>
        <w:ind w:firstLine="720"/>
        <w:jc w:val="both"/>
      </w:pPr>
      <w:r>
        <w:t xml:space="preserve">2008 metais ir toliau buvo užtikrinama paciento teisė pasirinkti paslaugų teikėją, o pastarajam – teisė sudaryti sutartis su TLK dėl pirminės asmens sveikatos priežiūros paslaugų apdraustiesiems apmokėjimo. Plėtojant ir artinant prie gyventojų pirminę asmens sveikatos priežiūrą, buvo siekiama, kad iki </w:t>
      </w:r>
      <w:r>
        <w:rPr>
          <w:bCs/>
        </w:rPr>
        <w:t>2008 metų pabaigos ne mažiau kaip 60 procentų pirminės sveikatos priežiūros paslaugų teiktų privačiai dirbantys šeimos gydytojai</w:t>
      </w:r>
      <w:r>
        <w:t>, sudarantys su TLK teikiamų paslaugų apmokėjimo PSDF biudžeto lėšomis sutartis. Efektyviai veikiant šiai sveikatos priežiūros grandžiai, stiprinant šeimos gydytojų instituciją, remiant jos plėtrą kaimo vietovėse, skatinant šeimos gydytojų motyvaciją užsiimti profilaktikos, sveikatos mokymo ir ugdymo veikla, buvo taupomos PSDF biudžeto lėšos.</w:t>
      </w:r>
    </w:p>
    <w:p w:rsidR="00DD08F5" w:rsidRDefault="00DD08F5" w:rsidP="00DD08F5">
      <w:pPr>
        <w:jc w:val="both"/>
      </w:pPr>
      <w:r>
        <w:tab/>
        <w:t xml:space="preserve">Sveikatos apsaugos ministerijos duomenimis, teritorinės ligonių kasos 2008 m. </w:t>
      </w:r>
      <w:r>
        <w:rPr>
          <w:bCs/>
        </w:rPr>
        <w:t>sudarė daugiau kaip 450 s</w:t>
      </w:r>
      <w:r>
        <w:t xml:space="preserve">utarčių su privačiomis asmens sveikatos priežiūros įstaigomis </w:t>
      </w:r>
      <w:r>
        <w:rPr>
          <w:bCs/>
        </w:rPr>
        <w:t xml:space="preserve">dėl asmens sveikatos priežiūros paslaugų teikimo vienodomis sąlygomis su valstybės ir savivaldybių asmens sveikatos priežiūros viešosiomis ir biudžetinėmis įstaigomis. </w:t>
      </w:r>
      <w:r>
        <w:t xml:space="preserve">2008 m. buvo tęsiama asmens sveikatos priežiūros paslaugų laukimo eilių stebėsena. </w:t>
      </w:r>
    </w:p>
    <w:p w:rsidR="00DD08F5" w:rsidRDefault="00DD08F5" w:rsidP="00DD08F5">
      <w:pPr>
        <w:ind w:firstLine="720"/>
        <w:jc w:val="both"/>
        <w:rPr>
          <w:color w:val="000000"/>
          <w:lang w:val="es-ES"/>
        </w:rPr>
      </w:pPr>
      <w:r>
        <w:rPr>
          <w:color w:val="000000"/>
          <w:lang w:val="es-ES"/>
        </w:rPr>
        <w:t xml:space="preserve">Siekiant užtikrinti efektyvų ASPĮ turimų išteklių naudojimą bei pagerinti gydymo tęstinumą, Sveikatos apsaugos ministro 2008 m. birželio 28 d. įsakymu Nr. V-636 patvirtintas Siuntimų ambulatorinėms specializuotoms asmens  sveikatos priežiūros  paslaugoms  gauti ir brangiesiems tyrimams bei procedūroms atlikti įforminimo, išdavimo ir atsakymų pateikimo tvarkos aprašas. </w:t>
      </w:r>
    </w:p>
    <w:p w:rsidR="00DD08F5" w:rsidRDefault="00DD08F5" w:rsidP="00DD08F5">
      <w:pPr>
        <w:jc w:val="both"/>
        <w:rPr>
          <w:color w:val="000000"/>
        </w:rPr>
      </w:pPr>
      <w:r>
        <w:rPr>
          <w:color w:val="000000"/>
        </w:rPr>
        <w:t>Siekiant, kad pacientams būtų užtikrintas kokybiškas gydymas kompensuojamaisiais vaistais Lietuvos Respublikos Vyriausybės 2008 m. gegužės 28 d. nutarimu Nr. 531 pakeistas Ambulatoriniam gydymui skirtų vaistų ir medicinos pagalbos priemonių, kurių įsigijimo išlaidos kompensuojamos iš Privalomojo sveikatos draudimo fondo biudžeto lėšų, bazinių kainų apskaičiavimo tvarkos aprašas, kuriuo reglamentuota lygiagretaus importo būdu įvežamų vaistų bazinių kainų apskaičiavimo tvarka, pakeistas medicinos pagalbos priemonių bazinių kainų apskaičiavimas bei iš dalies pakeista vaistų grupavimo tvarka.</w:t>
      </w:r>
    </w:p>
    <w:p w:rsidR="00DD08F5" w:rsidRDefault="00DD08F5" w:rsidP="00DD08F5">
      <w:pPr>
        <w:jc w:val="both"/>
      </w:pPr>
      <w:r>
        <w:tab/>
        <w:t xml:space="preserve">2008 m. gruodžio 22 d.priimtas  Sveikatos draudimo įstatymo 2, 6, 8, 15, 16, 17, 18 ir 19 straipsnių pakeitimo įstatymas Nr. XI-98, kuriuo įvedamas atskiras sveikatos draudimo įmokų mokėjimas, atskiriant šias įmokas nuo anksčiau mokėto gyventojų pajamų mokesčio, kai tuo tarpu nedraustųjų priklausomybės ligomis sergančių asmenų klausimas neišspręstas iki šiol.  </w:t>
      </w:r>
    </w:p>
    <w:p w:rsidR="00DD08F5" w:rsidRDefault="00DD08F5" w:rsidP="00DD08F5">
      <w:pPr>
        <w:jc w:val="both"/>
      </w:pPr>
      <w:r>
        <w:t xml:space="preserve">          </w:t>
      </w:r>
      <w:r>
        <w:rPr>
          <w:bCs/>
        </w:rPr>
        <w:t>Sveikatos apsaugos ministerijos duomenimis vykdoma visuomenės sveikatos priežiūros pertvarka. Savivaldybėse steigiami visuomenės sveikatos biurai -</w:t>
      </w:r>
      <w:r>
        <w:rPr>
          <w:bCs/>
          <w:color w:val="000000"/>
          <w:spacing w:val="1"/>
        </w:rPr>
        <w:t xml:space="preserve"> visuomenės sveikatos paslaugas </w:t>
      </w:r>
      <w:r>
        <w:rPr>
          <w:bCs/>
          <w:color w:val="000000"/>
          <w:spacing w:val="-1"/>
        </w:rPr>
        <w:t>teikiančių įstaigų tinklas</w:t>
      </w:r>
      <w:r>
        <w:rPr>
          <w:bCs/>
        </w:rPr>
        <w:t>.</w:t>
      </w:r>
      <w:r>
        <w:t xml:space="preserve"> </w:t>
      </w:r>
    </w:p>
    <w:p w:rsidR="00DD08F5" w:rsidRDefault="00DD08F5" w:rsidP="00DD08F5">
      <w:pPr>
        <w:ind w:firstLine="720"/>
        <w:jc w:val="both"/>
        <w:rPr>
          <w:lang w:val="es-ES"/>
        </w:rPr>
      </w:pPr>
      <w:r>
        <w:rPr>
          <w:bCs/>
          <w:lang w:val="es-ES"/>
        </w:rPr>
        <w:t xml:space="preserve">2008 m. įsisteigti 20 savivaldybių visuomenės sveikatos biurų, taigi iki 2009 m. įsteigti 28 savivaldybių visuomenės sveikatos biurai, </w:t>
      </w:r>
      <w:r>
        <w:rPr>
          <w:lang w:val="es-ES"/>
        </w:rPr>
        <w:t>2008 m. 5 savivaldybės sudarė sveikatinimo veiklos sutartis su kitose savivaldybėse veikiančiais visuomenės sveikatos biurais. 2008 m. buvo pasirašytos 45 sveikatinimo veiklos sutartys su 31 savivaldybe.</w:t>
      </w:r>
    </w:p>
    <w:p w:rsidR="00DD08F5" w:rsidRDefault="00DD08F5" w:rsidP="00DD08F5">
      <w:pPr>
        <w:ind w:firstLine="720"/>
        <w:jc w:val="both"/>
        <w:rPr>
          <w:color w:val="000000"/>
          <w:spacing w:val="1"/>
        </w:rPr>
      </w:pPr>
      <w:r>
        <w:t xml:space="preserve">Siekiama </w:t>
      </w:r>
      <w:r>
        <w:rPr>
          <w:color w:val="000000"/>
          <w:spacing w:val="1"/>
        </w:rPr>
        <w:t xml:space="preserve">nustatyti savivaldybių atsakomybę formuojant ir įgyvendinant visuomenės sveikatos </w:t>
      </w:r>
      <w:r>
        <w:rPr>
          <w:color w:val="000000"/>
          <w:spacing w:val="3"/>
        </w:rPr>
        <w:t>politiką vietos lygiu, didinti savivaldybių atsakomybę už gyventojų sveikatos stiprinimo ir</w:t>
      </w:r>
      <w:r>
        <w:rPr>
          <w:color w:val="000000"/>
          <w:spacing w:val="-3"/>
        </w:rPr>
        <w:t xml:space="preserve"> ugdymo veiklą.</w:t>
      </w:r>
      <w:r>
        <w:rPr>
          <w:color w:val="000000"/>
          <w:spacing w:val="1"/>
        </w:rPr>
        <w:t xml:space="preserve"> G</w:t>
      </w:r>
      <w:r>
        <w:t xml:space="preserve">erinamas tarpžinybinis bendradarbiavimas ir visuomenės informavimo sistema sudarys galimybes efektyviau </w:t>
      </w:r>
      <w:r>
        <w:rPr>
          <w:snapToGrid w:val="0"/>
        </w:rPr>
        <w:t>vykdyti visuomenės sveikatos stebėseną,</w:t>
      </w:r>
      <w:r>
        <w:t xml:space="preserve"> gerinti ligų profilaktiką, ugdyti sveiką gyvenseną bei išsaugoti ir stiprinti visų šalies gyventojų sveikatą. </w:t>
      </w:r>
    </w:p>
    <w:p w:rsidR="00DD08F5" w:rsidRDefault="00DD08F5" w:rsidP="00DD08F5">
      <w:pPr>
        <w:jc w:val="both"/>
        <w:rPr>
          <w:color w:val="000000"/>
          <w:spacing w:val="9"/>
        </w:rPr>
      </w:pPr>
      <w:r>
        <w:rPr>
          <w:color w:val="000000"/>
        </w:rPr>
        <w:tab/>
        <w:t xml:space="preserve">Atsižvelgiant į sveikatos priežiūros paslaugų paklausos ir pasiūlos neatitikimus, toliau prioriteto tvarka numatoma plėtoti šeimos gydytojo, specializuotas ambulatorines, dienos stacionaro, dienos chirurgijos, ambulatorinės reabilitacijos, psichosocialinės reabilitacijos ir psichologinės pagalbos, slaugos ir palaikomojo gydymo, slaugos namuose bei skubios pagalbos paslaugas, plečiant </w:t>
      </w:r>
      <w:r>
        <w:rPr>
          <w:color w:val="000000"/>
        </w:rPr>
        <w:lastRenderedPageBreak/>
        <w:t xml:space="preserve">jų teikimo apimtis ir formas (paslaugas pacientų namuose, pacientų pervežimo paslaugas ir kt.). </w:t>
      </w:r>
      <w:r>
        <w:t>Taip pat numatoma</w:t>
      </w:r>
      <w:r>
        <w:rPr>
          <w:color w:val="FF0000"/>
        </w:rPr>
        <w:t xml:space="preserve"> </w:t>
      </w:r>
      <w:r>
        <w:rPr>
          <w:color w:val="000000"/>
        </w:rPr>
        <w:t xml:space="preserve">tobulinti neinfekcinių ligų ir jų rizikos veiksnių ankstyvo nustatymo ir kontrolės sistemą, aktyviau įgyvendinant profilaktines vėžio bei širdies ir kraujagyslių ligų programas. </w:t>
      </w:r>
    </w:p>
    <w:p w:rsidR="00DD08F5" w:rsidRDefault="00DD08F5" w:rsidP="00DD08F5">
      <w:pPr>
        <w:jc w:val="both"/>
      </w:pPr>
      <w:r>
        <w:t xml:space="preserve">           </w:t>
      </w:r>
      <w:r>
        <w:rPr>
          <w:color w:val="000000"/>
          <w:spacing w:val="-1"/>
        </w:rPr>
        <w:t xml:space="preserve"> Siekiant užtikrinti, kad gydymo įstaigų finansavimas tiesiogiai priklausytų nuo jų suteiktų</w:t>
      </w:r>
      <w:r>
        <w:t xml:space="preserve"> </w:t>
      </w:r>
      <w:r>
        <w:rPr>
          <w:color w:val="000000"/>
          <w:spacing w:val="6"/>
        </w:rPr>
        <w:t xml:space="preserve">paslaugų apimties ir kokybės ir </w:t>
      </w:r>
      <w:r>
        <w:t xml:space="preserve">tobulinti asmens sveikatos priežiūros paslaugų apmokėjimo metodus bei kainodarą, rengiami DRG (paslaugų apmokėjimo metodas pagal giminingų diagnozių grupes) sistemos ir ABC kainodaros (veiklomis pagrįsta asmens sveikatos priežiūros paslaugų sąnaudų apskaita) sistemos diegimo planai. </w:t>
      </w:r>
    </w:p>
    <w:p w:rsidR="00DD08F5" w:rsidRDefault="00DD08F5" w:rsidP="00DD08F5">
      <w:pPr>
        <w:jc w:val="both"/>
      </w:pPr>
      <w:r>
        <w:rPr>
          <w:bCs/>
        </w:rPr>
        <w:t xml:space="preserve">            Sveikatos apsaugos ministerijos teigimu, skirtingas viešųjų sveikatos priežiūros įstaigų pavaldumas (</w:t>
      </w:r>
      <w:r>
        <w:t xml:space="preserve">Sveikatos apsaugos ministerijai, apskričių viršininkams, savivaldybių taryboms) trukdo kurti vientisą sveikatos priežiūros organizavimo sistemą, planuoti išteklius, kooperuoti sveikatos priežiūros įstaigas ir išteklius tokiose srityse kaip technologijų įsigijimas ir atnaujinimas, diegti naujas sudėtingas paslaugas. </w:t>
      </w:r>
    </w:p>
    <w:p w:rsidR="00DD08F5" w:rsidRDefault="00DD08F5" w:rsidP="00DD08F5">
      <w:pPr>
        <w:jc w:val="both"/>
      </w:pPr>
      <w:r>
        <w:t xml:space="preserve">            Sveikatos apsaugos ministerijos teigimu, neišspręstas valstybinių sveikatos priežiūros įstaigų </w:t>
      </w:r>
      <w:r>
        <w:rPr>
          <w:bCs/>
        </w:rPr>
        <w:t>turto valdymo klausimas</w:t>
      </w:r>
      <w:r>
        <w:t>.</w:t>
      </w:r>
      <w:r>
        <w:rPr>
          <w:bCs/>
          <w:i/>
          <w:iCs/>
        </w:rPr>
        <w:t xml:space="preserve"> </w:t>
      </w:r>
      <w:r>
        <w:t>Naudojantis turtu panaudos pagrindais, turto savininkas atskiriamas nuo turto naudotojo, o tai neskatina viešųjų sveikatos priežiūros įstaigų siekti geresnių šio turto naudojimo rezultatų, mažina atsakomybę už šio turto naudojimą.</w:t>
      </w:r>
    </w:p>
    <w:p w:rsidR="00DD08F5" w:rsidRDefault="00DD08F5" w:rsidP="00DD08F5">
      <w:pPr>
        <w:jc w:val="both"/>
        <w:rPr>
          <w:bCs/>
        </w:rPr>
      </w:pPr>
      <w:r>
        <w:tab/>
      </w:r>
      <w:r>
        <w:rPr>
          <w:bCs/>
        </w:rPr>
        <w:t xml:space="preserve">Sveikatos apsaugos ministerijos teigimu, </w:t>
      </w:r>
      <w:r>
        <w:t xml:space="preserve">Vykstanti šalies socialinė ekonominė plėtra nemažina socialinių sveikatos netolygumų tarp miesto ir kaimo bei atskirų socialinių ir ekonominių gyventojų grupių. Ekonominės socialinės problemos turi neigiamos įtakos gimstamumo lygiui, psichikos sutrikimų ir savižudybių skaičiui. </w:t>
      </w:r>
      <w:r>
        <w:rPr>
          <w:bCs/>
        </w:rPr>
        <w:t>Stebima priklausomybės nuo alkoholio, tabako, narkotikų augimo tendencija, ypač tarp paauglių. Šių problemų sprendimui prioriteto tvarka bus įgyvendinamos sveikatinimo programos, vienijamos politikų, specialistų, valstybinių institucijų ir visuomenės pastangos.</w:t>
      </w:r>
    </w:p>
    <w:p w:rsidR="00DD08F5" w:rsidRDefault="00DD08F5" w:rsidP="00DD08F5">
      <w:pPr>
        <w:ind w:firstLine="720"/>
        <w:jc w:val="both"/>
        <w:rPr>
          <w:lang w:val="es-ES"/>
        </w:rPr>
      </w:pPr>
      <w:r>
        <w:rPr>
          <w:lang w:val="es-ES"/>
        </w:rPr>
        <w:t>Sveikatos apsaugos ministerijos duomenimis, 2008 m. gauta, susisteminta ir išanalizuota 1865 apsinuodijimų atvejų tyrimo protokolų. Vaikų (0-18 metų) apsinuodijimai sudaro – 67,7%, suaugusiųjų – 31,6%, o nenurodyto amžius – 0,7% visų apsinuodijimo atvejų.</w:t>
      </w:r>
      <w:r>
        <w:rPr>
          <w:bCs/>
          <w:lang w:val="es-ES"/>
        </w:rPr>
        <w:t xml:space="preserve"> </w:t>
      </w:r>
      <w:r>
        <w:rPr>
          <w:lang w:val="es-ES"/>
        </w:rPr>
        <w:t>Dominuoja suaugusiųjų asmenų apgalvoti apsinuodijimai medikamentais (31,7%), piktnaudžiavimas alkoholiu (21,9%) ir alkoholį vartojant kartu su medikamentais, narkotikais bei įkvėpus smalkių (11,9%).</w:t>
      </w:r>
      <w:r>
        <w:rPr>
          <w:bCs/>
          <w:lang w:val="es-ES"/>
        </w:rPr>
        <w:t xml:space="preserve"> </w:t>
      </w:r>
      <w:r>
        <w:rPr>
          <w:lang w:val="es-ES"/>
        </w:rPr>
        <w:t>Tarp vaikų (0-17 m.) vyrauja apgalvoti bei atsitiktiniai apsinuodijimai medikamentais (atitinkamai 16,1% ir 27,5%) ir apgalvoti apsinuodijimai alkoholiu (33,7%). Mažamečių vaikų apsinuodijimus sąlygoja nesaugiai laikomi medikamentai, o paauglių – piktnaudžiavimas alkoholiu ar savižudybės tikslu vartojami medikamentai. Parengta „Žmonių apsinuodijimų, ištirtų 2004–2007 metais, palyginamoji analizė“. 2008 m. sukurta kompiuterinė apsinuodijimų atvejų duomenų bazė.</w:t>
      </w:r>
      <w:r>
        <w:rPr>
          <w:bCs/>
          <w:lang w:val="es-ES"/>
        </w:rPr>
        <w:t xml:space="preserve"> </w:t>
      </w:r>
      <w:r>
        <w:rPr>
          <w:lang w:val="es-ES"/>
        </w:rPr>
        <w:t xml:space="preserve">Duomenų bazės sistema leis suvesti duomenis ir juos analizuoti. Apskričių visuomenės sveikatos centrai turės galimybę palyginti savo apskrities apsinuodijimų rodiklius su analogiškais kitų apskričių rodikliais.  Parengta kompiuterinės apsinuodijimų duomenų bazės naudojimo instrukcija ir specialistų kvalifikacijos tobulinimo programa. Parengta 312 informacinių – analitinių medžiagų visuomenės sveikatos priežiūros įstaigoms, valstybinėms institucijoms ir kitoms organizacijoms. </w:t>
      </w:r>
    </w:p>
    <w:p w:rsidR="00DD08F5" w:rsidRDefault="00DD08F5" w:rsidP="00DD08F5">
      <w:pPr>
        <w:ind w:firstLine="720"/>
        <w:jc w:val="both"/>
      </w:pPr>
      <w:r>
        <w:t xml:space="preserve">Lietuvos Respublikos Vyriausybė 2008 m. rugpjūčio 27 d. nutarimu Nr. 836  „Dėl Vaikų sveikatos stiprinimo 2008–2012 m. programos patvirtinimo“(Žin., 2008, Nr. 104-3979) patvirtino Vaikų sveikatos stiprinimo 2008–2012 metų programą. </w:t>
      </w:r>
    </w:p>
    <w:p w:rsidR="00DD08F5" w:rsidRDefault="00DD08F5" w:rsidP="00DD08F5">
      <w:pPr>
        <w:ind w:firstLine="720"/>
        <w:jc w:val="both"/>
      </w:pPr>
      <w:r>
        <w:t>Vaikų sveikatos stiprinimo 2008–2012 metų programoje nurodyta, kad Lietuvos mokyklose 2004 metais dirbo 711, 2005 metais – 769, o 2006 metais – 897 visuomenės sveikatos priežiūros specialistai. Mokyklose daugėja specialistų, baigusių visuomenės sveikatos studijas (2004 metais – 17, 2005 metais – 38, 2006 metais – 69 specialistai). Mokyklose dirbančių visuomenės sveikatos priežiūros specialistų veiklos tyrimo (Valstybinis aplinkos sveikatos centras, 2006 metai) duomenimis, daugumai visuomenės sveikatos priežiūros specialistų pakanka pirmosios pagalbos teikimo, žalingų įpročių, infekcinių ligų ir traumų prevencijos teorinių žinių ir praktinių įgūdžių, tačiau trūksta sveikos mitybos, fizinio aktyvumo, programinio planavimo, protinio darbo higienos ir sveikatinimo veiklos stebėjimo žinių ir įgūdžių. Įgyvendinant projektą „Lietuvos Respublikos visuomenės sveikatos specialistų profesinių žinių ir gebėjimų prisitaikyti prie pokyčių ugdymas“, finansuojamą pagal Bendrąjį programavimo dokumentą, 2006–2007 metais apmokyta 310 visuomenės sveikatos priežiūros specialistų, dirbančių mokyklose. Tačiau tolesnį šių specialistų kvalifikacijos tobulinimą riboja finansuojamų iš Lietuvos Respublikos valstybės biudžeto neformaliojo tobulinimo programų stoka.</w:t>
      </w:r>
    </w:p>
    <w:p w:rsidR="00DD08F5" w:rsidRDefault="00DD08F5" w:rsidP="00DD08F5">
      <w:pPr>
        <w:ind w:firstLine="720"/>
        <w:jc w:val="both"/>
      </w:pPr>
      <w:r>
        <w:lastRenderedPageBreak/>
        <w:t xml:space="preserve">Ten pat pažymėta, kad Jungtinių Tautų vaiko teisių komitetas, 2006 metais išnagrinėjęs Lietuvos antrąją periodinę ataskaitą (CRC/C/83/Add.14), savo išvadose (CRC/C/LTU/CO/2) atkreipė dėmesį į duomenų apie vaikus, priklausančius pažeidžiamiausioms grupėms, stoką, kūdikių ir mokyklinio amžiaus vaikų apsaugos priemonių per mažą finansavimą, ribotą švaraus ir nekenksmingo geriamojo vandens prieinamumą, sveikatos mokymo programų ir sveikatos paslaugų stoką mokyklose, tuberkuliozės paplitimą, vaikų savižudžių, narkotikus ir alkoholį vartojančių vaikų gausą. Pasaulio sveikatos organizacijos Europos regiono sveikatos apsaugos ir aplinkos ministrų IV konferencijoje, įvykusioje 2004 metais Budapešte, priimtas bendras visų Pasaulio sveikatos organizacijos Europos regiono valstybių Europos vaikų aplinkos ir sveikatos veiksmų planas (CEHAPE – </w:t>
      </w:r>
      <w:r>
        <w:rPr>
          <w:i/>
          <w:iCs/>
        </w:rPr>
        <w:t>Children's Environment and Health Action Plan for Europe</w:t>
      </w:r>
      <w:r>
        <w:t xml:space="preserve">), kurio tikslas – užkirsti kelią vaikų sergamumui ir mirtingumui dėl virškinimo sutrikimų, nesaugaus vandens, nelaimingų atsitikimų ir traumų, fizinio aktyvumo stokos ar nepalankios gyvenamosios ir darbo aplinkos, lauko ir patalpų oro taršos, pavojingų cheminių medžiagų ir iš esmės jį sumažinti. Lietuvai vykdyti įsipareigojimus kliudo valstybės institucijų atskaitomybės už šio plano įgyvendinimą teisinio reguliavimo stoka. </w:t>
      </w:r>
    </w:p>
    <w:p w:rsidR="00DD08F5" w:rsidRDefault="00DD08F5" w:rsidP="00DD08F5">
      <w:pPr>
        <w:ind w:firstLine="720"/>
        <w:jc w:val="both"/>
        <w:rPr>
          <w:lang w:val="es-ES"/>
        </w:rPr>
      </w:pPr>
      <w:r>
        <w:rPr>
          <w:bCs/>
        </w:rPr>
        <w:t>Valstybinės ligonių kasos prie Sveikatos apsaugos ministerijos duomenimis, p</w:t>
      </w:r>
      <w:r>
        <w:rPr>
          <w:lang w:val="es-ES"/>
        </w:rPr>
        <w:t xml:space="preserve">arengtos ir 1000 egz. tiražu išleistos metodinės rekomendacijos „Sveikatos stiprinimas mokyklose“. Parengta metodinė priemonė „Sveikatą stiprinančių mokyklų veiklos vertinimo praktinis vadovas“ ir atlikta bandomoji (pilotinė) studija. Įgyvendinant Mokyklų pripažinimo sveikatą stiprinančiomis mokyklomis tvarkos aprašo nuostatas, vykdyta mokyklų pripažinimo sveikatą stiprinančiomis mokyklomis (toliau – SSM) veikla: atliktas 53 vaikų ugdymo įstaigų prašymų atitikties nustatytiems kriterijams vertinimas, priimti sprendimai dėl mokyklų pripažinimo sveikatą stiprinančiomis mokyklomis (39 vaikų ugdymo įstaigoms leista tęsti sveikatą stiprinančios mokyklos veiklą, 12 ugdymo įstaigų pripažintos sveikatą stiprinančiomis mokyklomis).  </w:t>
      </w:r>
      <w:r>
        <w:rPr>
          <w:bCs/>
          <w:lang w:val="es-ES"/>
        </w:rPr>
        <w:t xml:space="preserve">Parengtos seminarų „Sveikatą stiprinančių mokyklų veiklos planavimas“ ir „Sveikatą stiprinančių mokyklų veiklos vertinimas“ išplėstinės programos ir metodinė medžiaga, pagal kurias pravesta 10 seminarų, skirtų pedagogams ir visuomenės sveikatos priežiūros specialistams, dirbantiems mokyklose, iš viso apmokyti 258 specialistai (sveikatos priežiūros specialistai, mokytojai, mokyklų vadovai, socialiniai pedagogai). </w:t>
      </w:r>
      <w:r>
        <w:rPr>
          <w:lang w:val="es-ES"/>
        </w:rPr>
        <w:t>Atestuoti 27 sveikatos ugdymo konsultantai</w:t>
      </w:r>
    </w:p>
    <w:p w:rsidR="00DD08F5" w:rsidRDefault="00DD08F5" w:rsidP="00DD08F5">
      <w:pPr>
        <w:ind w:firstLine="720"/>
        <w:jc w:val="both"/>
      </w:pPr>
      <w:r>
        <w:t xml:space="preserve">LR sveikatos apsaugos ministro 2008 m. gegužės 29 d. įsakymu Nr. V-513 ,,Dėl Valstybinės šeimos sveikatos 2008-2010 metų programos patvirtinimo“ (Žin., 2008, Nr. 65-2475) patvirtinta Valstybinės šeimos sveikatos 2008-2010 metų programa. </w:t>
      </w:r>
    </w:p>
    <w:p w:rsidR="00DD08F5" w:rsidRDefault="00DD08F5" w:rsidP="00DD08F5">
      <w:pPr>
        <w:ind w:firstLine="720"/>
        <w:jc w:val="both"/>
      </w:pPr>
      <w:r>
        <w:t>Sveikatos apsaugos ministerijos duomenimis, metinių ataskaitų iš visų psichiatrijos ligoninių, priklausomybės ligų centrų bei psichikos sveikatos centrų (iš viso iš 101 institucijos) pagrindu parengtos suvestinės apie pirminę stacionarinę bei sveikatos priežiūrą psichikos sveikatos srityje ir priklausomybės ligų srityje.</w:t>
      </w:r>
    </w:p>
    <w:p w:rsidR="00DD08F5" w:rsidRDefault="00DD08F5" w:rsidP="00DD08F5">
      <w:pPr>
        <w:ind w:firstLine="720"/>
        <w:jc w:val="both"/>
      </w:pPr>
      <w:r>
        <w:rPr>
          <w:bCs/>
        </w:rPr>
        <w:t>Valstybinio psichikos sveikatos centro suvestinės „Lietuvos sveikatos priežiūros įstaigose teikiamų paslaugų vaikams, vartojantiems psichoaktyvias medžiagas“ santraukoje,</w:t>
      </w:r>
      <w:r>
        <w:t xml:space="preserve"> kurią  parengė VšĮ „MTVC“ ekspertai Dr. Liubovė Murauskienė ir Dr. Marija Veniūtė nurodyta, kad  </w:t>
      </w:r>
      <w:r>
        <w:rPr>
          <w:bCs/>
        </w:rPr>
        <w:t>2007 m.</w:t>
      </w:r>
      <w:r>
        <w:t xml:space="preserve"> spalio - gruodžio mėn. pagal Valstybinio psichikos sveikatos centro užsakymą viešoji įstaiga „MTVC“ atliko Lietuvos sveikatos priežiūros įstaigose teikiamų paslaugų vaikams, vartojantiems psichoaktyvias medžiagas (toliau – PAM), kokybinį tyrimą. </w:t>
      </w:r>
    </w:p>
    <w:p w:rsidR="00DD08F5" w:rsidRDefault="00DD08F5" w:rsidP="00DD08F5">
      <w:pPr>
        <w:ind w:firstLine="720"/>
        <w:jc w:val="both"/>
      </w:pPr>
      <w:r>
        <w:t>Šis tyrimas atliktas įgyvendinant  Nacionalinės narkotikų kontrolės ir narkomanijos prevencijos 2004-2008 m. programos įgyvendinimo 2007 metų priemonių, patvirtintų Lietuvos Respublikos Vyriausybės 2006 m. gruodžio 21 d. nutarimu Nr. 1310, priemonę 9.8. – ,,atlikti analizę siekiant nustatyti vaikų, vartojančių psichoaktyviąsias medžiagas, medicininės, psichologinės ir socialinės reabilitacijos paslaugų teikimo būdus, metodus ir galimybes šalyje“.</w:t>
      </w:r>
    </w:p>
    <w:p w:rsidR="00DD08F5" w:rsidRDefault="00DD08F5" w:rsidP="00DD08F5">
      <w:pPr>
        <w:ind w:firstLine="720"/>
        <w:jc w:val="both"/>
      </w:pPr>
      <w:r>
        <w:rPr>
          <w:bCs/>
        </w:rPr>
        <w:t>Taikant pusiau struktūruoto interviu metodą, tyrime buvo apklausti</w:t>
      </w:r>
      <w:r>
        <w:t xml:space="preserve"> 26 ekspertai</w:t>
      </w:r>
      <w:r>
        <w:rPr>
          <w:bCs/>
        </w:rPr>
        <w:t xml:space="preserve"> </w:t>
      </w:r>
      <w:r>
        <w:t>įskaitant asmens sveikatos priežiūros įstaigų (toliau – ASPĮ) vadovus, gydytojus psichiatrus, psichologus, vaikų gydytojus (tik bendrojo profilio ligoninėse) ir socialinius darbuotojus (tik PLC ir PSC) iš 24 įstaigų/organizacijų.</w:t>
      </w:r>
    </w:p>
    <w:p w:rsidR="00DD08F5" w:rsidRDefault="00DD08F5" w:rsidP="00DD08F5">
      <w:pPr>
        <w:ind w:firstLine="720"/>
        <w:jc w:val="both"/>
      </w:pPr>
      <w:r>
        <w:t>Atlikus teisės aktų ir kitų teminių publikacijų analizę, apklausos metu gauti rezultatai buvo struktūruoti pagal stiprybių, silpnybių, grėsmių ir galimybių (SSGG) metodą.</w:t>
      </w:r>
    </w:p>
    <w:p w:rsidR="00DD08F5" w:rsidRDefault="00DD08F5" w:rsidP="00DD08F5">
      <w:pPr>
        <w:ind w:firstLine="720"/>
        <w:jc w:val="both"/>
      </w:pPr>
      <w:r>
        <w:t xml:space="preserve"> Identifikuotų problemų analizė ir šių problemų sprendimo būdų vertinimas, organizuojant paslaugų teikimą, atliktas remiantis užsienio šalyse sukauptais mokslinių tyrimų duomenimis. </w:t>
      </w:r>
    </w:p>
    <w:p w:rsidR="00DD08F5" w:rsidRDefault="00DD08F5" w:rsidP="00DD08F5">
      <w:pPr>
        <w:ind w:firstLine="720"/>
        <w:jc w:val="both"/>
      </w:pPr>
      <w:r>
        <w:t>Valstybinio psichikos sveikatos centro duomenimis šis tyrimas parodė:</w:t>
      </w:r>
    </w:p>
    <w:p w:rsidR="00DD08F5" w:rsidRDefault="00DD08F5" w:rsidP="00DD08F5">
      <w:pPr>
        <w:ind w:firstLine="720"/>
        <w:jc w:val="both"/>
      </w:pPr>
      <w:r>
        <w:rPr>
          <w:b/>
          <w:bCs/>
        </w:rPr>
        <w:lastRenderedPageBreak/>
        <w:t xml:space="preserve"> Pirma,</w:t>
      </w:r>
      <w:r>
        <w:t xml:space="preserve"> teikiant</w:t>
      </w:r>
      <w:r>
        <w:rPr>
          <w:bCs/>
        </w:rPr>
        <w:t xml:space="preserve"> </w:t>
      </w:r>
      <w:r>
        <w:t>paslaugas, trūksta sistematiškumo ir aktyvumo, o gydymo prieinamumas labiausiai priklauso nuo atskirų įstaigų ar specialistų iniciatyvos bei požiūrio.</w:t>
      </w:r>
    </w:p>
    <w:p w:rsidR="00DD08F5" w:rsidRDefault="00DD08F5" w:rsidP="00DD08F5">
      <w:pPr>
        <w:ind w:firstLine="720"/>
        <w:jc w:val="both"/>
      </w:pPr>
      <w:r>
        <w:t xml:space="preserve"> Iš dalies tai susiję su:</w:t>
      </w:r>
    </w:p>
    <w:p w:rsidR="00DD08F5" w:rsidRDefault="00DD08F5" w:rsidP="00DD08F5">
      <w:pPr>
        <w:ind w:firstLine="720"/>
        <w:jc w:val="both"/>
      </w:pPr>
      <w:r>
        <w:t>- „Paciento ypatumais“ (pvz.,  ligos nepripažinimas, maža motyvacija pasveikti, galimybių pakeisti aplinką stoka ir pan.);</w:t>
      </w:r>
    </w:p>
    <w:p w:rsidR="00DD08F5" w:rsidRDefault="00DD08F5" w:rsidP="00DD08F5">
      <w:pPr>
        <w:ind w:firstLine="720"/>
        <w:jc w:val="both"/>
      </w:pPr>
      <w:r>
        <w:t>- profesionalų patirties stoka santykinai retos ligos atveju;</w:t>
      </w:r>
    </w:p>
    <w:p w:rsidR="00DD08F5" w:rsidRDefault="00DD08F5" w:rsidP="00DD08F5">
      <w:pPr>
        <w:ind w:firstLine="720"/>
        <w:jc w:val="both"/>
      </w:pPr>
      <w:r>
        <w:t>- netikslumai/neaiškumai teisės aktuose ir metodinių nurodymų taikymo problemos.</w:t>
      </w:r>
    </w:p>
    <w:p w:rsidR="00DD08F5" w:rsidRDefault="00DD08F5" w:rsidP="00DD08F5">
      <w:pPr>
        <w:ind w:firstLine="720"/>
        <w:jc w:val="both"/>
      </w:pPr>
      <w:r>
        <w:t>Kadangi ASPĮ teikiamų paslaugų vaikams, vartojantiems PAM, analizė atskleidė paslaugų fragmentiškumą</w:t>
      </w:r>
      <w:r>
        <w:rPr>
          <w:bCs/>
        </w:rPr>
        <w:t xml:space="preserve">, </w:t>
      </w:r>
      <w:r>
        <w:t xml:space="preserve">siūloma siekti nuoseklesnio ir aktyvesnio paslaugų organizavimo modelio, adaptuojant moksliniais įrodymais pagrįstas priemones bei praktikas. </w:t>
      </w:r>
    </w:p>
    <w:p w:rsidR="00DD08F5" w:rsidRDefault="00DD08F5" w:rsidP="00DD08F5">
      <w:pPr>
        <w:ind w:firstLine="720"/>
        <w:jc w:val="both"/>
      </w:pPr>
      <w:r>
        <w:t xml:space="preserve">ASPĮ-se profesionalų taikomi gydymo metodai yra labai svarbūs, tačiau tai – nevienintelis paslaugų teikimo aspektas. Šio pobūdžio problematika nagrinėjama tobulinant profesionalaus mokymo programas, leidžiant metodinius nurodymus ir  svarstant patirtį kolegų rate. Apklausos metu buvo ne kartą minima profesionalaus bendravimo ir aprūpinimo metodinėmis priemonėmis stoka, todėl siūloma skatinti bendradarbiavimą ir netgi kurti specialistų konsultavimo sistemą.   </w:t>
      </w:r>
    </w:p>
    <w:p w:rsidR="00DD08F5" w:rsidRDefault="00DD08F5" w:rsidP="00DD08F5">
      <w:pPr>
        <w:jc w:val="both"/>
      </w:pPr>
      <w:r>
        <w:t xml:space="preserve"> </w:t>
      </w:r>
      <w:r>
        <w:tab/>
        <w:t>Siūloma teikti  paslaugą – pagalbą  klientui ir/arba jo artimiesiems pastebėti problemą ir sužinoti apie galimybes gauti reikiamą pagalbą</w:t>
      </w:r>
      <w:r>
        <w:rPr>
          <w:bCs/>
        </w:rPr>
        <w:t xml:space="preserve">. </w:t>
      </w:r>
      <w:r>
        <w:t xml:space="preserve">Kadangi tyrimo metu paaiškėjo, kad  paslaugų gavėjų ir jų artimųjų informavimas apie paslaugų teikimo galimybes sveikatos priežiūros įstaigose vyksta skirtingai ir nėra aiškių nuostatų dėl informuotumo gerinimo, vertėtų atkreipti dėmesį į  klientų informavimo gerųjų praktikų patirtį kitose šalyse. </w:t>
      </w:r>
    </w:p>
    <w:p w:rsidR="00DD08F5" w:rsidRDefault="00DD08F5" w:rsidP="00DD08F5">
      <w:pPr>
        <w:jc w:val="both"/>
      </w:pPr>
      <w:r>
        <w:tab/>
        <w:t xml:space="preserve">Kaip pavyzdys pateikiama Jungtinė Karalystė, kurioje patvirtintose paslaugų teikimo gairėse vaikams, vartojantiems PAM, išskiriami du pagrindiniai informacijos apie pagalbą aspektai − išsami, patikima ir objektyvi moksliškai pagrįsta informacija yra suteikiama ir pačiam vaikui, ir vaiko tėvams ar globėjams.  Paslaugų gavėjai turėtų būti informuojami raštu, kad galėtų priimti pagrįstus sprendimus dėl gydymo. Informacija turi būti objektyvi (ypač informacija apie ligą), vengiama ligos mitologizavimo ir stigmatizavimo; paslaugos gavėjas turi būti informuojamas apie sveikatos būklę, gydymo paslaugas aiškiai ir suprantamai, atsižvelgiant į jo gimtąją kalbą, amžių, fizinius, psichologinius ir intelekto sutrikimus. </w:t>
      </w:r>
    </w:p>
    <w:p w:rsidR="00DD08F5" w:rsidRDefault="00DD08F5" w:rsidP="00DD08F5">
      <w:pPr>
        <w:ind w:firstLine="720"/>
        <w:jc w:val="both"/>
      </w:pPr>
      <w:r>
        <w:t>Tyrimo išvadose  siūloma:</w:t>
      </w:r>
    </w:p>
    <w:p w:rsidR="00DD08F5" w:rsidRDefault="00DD08F5" w:rsidP="00DD08F5">
      <w:pPr>
        <w:ind w:firstLine="720"/>
        <w:jc w:val="both"/>
      </w:pPr>
      <w:r>
        <w:t>sukurti tipinę spausdintos informacijos teikimo formą;</w:t>
      </w:r>
    </w:p>
    <w:p w:rsidR="00DD08F5" w:rsidRDefault="00DD08F5" w:rsidP="00DD08F5">
      <w:pPr>
        <w:ind w:firstLine="720"/>
        <w:jc w:val="both"/>
      </w:pPr>
      <w:r>
        <w:t>nustatyti reikalavimus reguliariam formos turinio atnaujinimui;</w:t>
      </w:r>
    </w:p>
    <w:p w:rsidR="00DD08F5" w:rsidRDefault="00DD08F5" w:rsidP="00DD08F5">
      <w:pPr>
        <w:ind w:firstLine="720"/>
        <w:jc w:val="both"/>
      </w:pPr>
      <w:r>
        <w:t xml:space="preserve">siekti, kad ši informacija būtų prieinama visose ASPĮ, kur lankosi vaikai ir jų tėvai. </w:t>
      </w:r>
    </w:p>
    <w:p w:rsidR="00DD08F5" w:rsidRDefault="00DD08F5" w:rsidP="00DD08F5">
      <w:pPr>
        <w:ind w:firstLine="720"/>
        <w:jc w:val="both"/>
      </w:pPr>
      <w:r>
        <w:rPr>
          <w:b/>
          <w:bCs/>
        </w:rPr>
        <w:t>Antra,</w:t>
      </w:r>
      <w:r>
        <w:t xml:space="preserve"> reikšminga teigiamų sisteminių poveikių pasiekimo sąlyga – tai prevencijos stiprinimas. Pagal Lietuvos Respublikos Narkologinės priežiūros įstatymą</w:t>
      </w:r>
      <w:r>
        <w:rPr>
          <w:rStyle w:val="Puslapioinaosnuoroda"/>
        </w:rPr>
        <w:footnoteReference w:id="18"/>
      </w:r>
      <w:r>
        <w:t xml:space="preserve">  (12 ir 13 str.) sveikatos priežiūros įstaigose turi būti vykdomos narkologinių susirgimų prevencijos priemonės. Vaikų, vartojančių psichiką veikiančias medžiagas, medicininės, psichologinės, socialinės reabilitacijos paslaugų teikimo koncepcijoje</w:t>
      </w:r>
      <w:r>
        <w:rPr>
          <w:rStyle w:val="Puslapioinaosnuoroda"/>
        </w:rPr>
        <w:footnoteReference w:id="19"/>
      </w:r>
      <w:r>
        <w:t xml:space="preserve"> (LR Vyriausybės 2005 m. gegužės 17 d. nutarimas Nr. 537 ” Dėl vaikų, vartojančių psichiką veikiančias medžiagas, medicininės, psichologinės, socialinės reabilitacijos paslaugų teikimo koncepcijos patvirtinimo”)  numatoma anksti išaiškinti vaikus, vartojančius psichiką veikiančias medžiagas, ištirti jų sveikatos ir socialinę būklę, numatyti ir įgyvendinti pagalbos priemones – tai  ankstyvos intervencijos priemonė. Ankstyva intervencija – tai darbas su rizikos grupės vaikais, o rizikos grupės vaikai yra socialinių ir ugdymo įstaigų tikslinė grupė. Todėl ASPĮ  atveju taikytinas tik antrasis iš dviejų paslaugų teikimo būdų (ankstyvos intervencijos ir reabilitacijos) – reabilitacija (ir dar tiksliau – medicininė reabilitacija).</w:t>
      </w:r>
    </w:p>
    <w:p w:rsidR="00DD08F5" w:rsidRDefault="00DD08F5" w:rsidP="00DD08F5">
      <w:pPr>
        <w:pStyle w:val="Pagrindinistekstas"/>
      </w:pPr>
      <w:r>
        <w:t xml:space="preserve"> </w:t>
      </w:r>
      <w:r>
        <w:tab/>
        <w:t xml:space="preserve">Lietuvoje padidintos socialinės rizikos grupei priklausantys vaikai neturi juridinio pagrindo gauti standartizuotas psichikos sveikatos priežiūros paslaugas sveikatos priežiūros įstaigose, todėl, kad ASPĮ klientai – tai jau patvirtintą priklausomybės ligos diagnozę turintys asmenys. Ši vaikų grupė Lietuvoje daugiausiai patenka į švietimo, socialinės apsaugos, teisėsaugos įstaigų akiratį.  </w:t>
      </w:r>
    </w:p>
    <w:p w:rsidR="00DD08F5" w:rsidRDefault="00DD08F5" w:rsidP="00DD08F5">
      <w:pPr>
        <w:ind w:firstLine="720"/>
        <w:jc w:val="both"/>
      </w:pPr>
      <w:r>
        <w:t>Pvz., Jungtinėje Karalystėje bendrame (socialinės ir sveikatos priežiūros) paslaugų vaikams, vartojantiems PAM, modelyje išskiriamos dvi tikslinės grupės:</w:t>
      </w:r>
    </w:p>
    <w:p w:rsidR="00DD08F5" w:rsidRDefault="00DD08F5" w:rsidP="00DD08F5">
      <w:pPr>
        <w:ind w:firstLine="720"/>
        <w:jc w:val="both"/>
      </w:pPr>
      <w:r>
        <w:t>Vaikai, kurie tik priklauso pažeidžiamai padidintos socialinės rizikos asmenų grupei;</w:t>
      </w:r>
    </w:p>
    <w:p w:rsidR="00DD08F5" w:rsidRDefault="00DD08F5" w:rsidP="00DD08F5">
      <w:pPr>
        <w:ind w:firstLine="720"/>
        <w:jc w:val="both"/>
      </w:pPr>
      <w:r>
        <w:t>Vaikai, kurie vartoja PAM.</w:t>
      </w:r>
    </w:p>
    <w:p w:rsidR="00DD08F5" w:rsidRDefault="00DD08F5" w:rsidP="00DD08F5">
      <w:pPr>
        <w:ind w:firstLine="720"/>
        <w:jc w:val="both"/>
      </w:pPr>
      <w:r>
        <w:lastRenderedPageBreak/>
        <w:t xml:space="preserve">Tyrime pabrėžiama, jog Lietuvoje ASPĮ paslaugos nustatomos ir teikiamos pagal teisinį „vaiko“ statusą (iki 18 metų amžiaus), tuo tarpu vakarų šalyse paslaugos organizuojamos pagal skirtingus modelius, tačiau aiškiai įvardinamos vaikų, paauglių ir jaunimo socialinės grupės kaip tikslinės sveikatos paslaugų gavėjų kohortos. Amžiaus ribos dažniausiai siekia 25 metus, o paslaugų pobūdis ir turinys skiriasi pagal įvairias vaikų ir jaunuolių amžiaus grupes (pvz. išskiriamos 10-12 metų, 11-16 metų amžiaus grupės ir pan.).  </w:t>
      </w:r>
    </w:p>
    <w:p w:rsidR="00DD08F5" w:rsidRDefault="00DD08F5" w:rsidP="00DD08F5">
      <w:pPr>
        <w:ind w:firstLine="720"/>
        <w:jc w:val="both"/>
      </w:pPr>
      <w:r>
        <w:t>Pvz., pagal Jungtinės Karalystės Nacionalinio sveikatos ir klinikinės praktikos instituto parengtą  Intervencijų, siekiančių sumažinti psichoaktyvių medžiagų vartojimą pažeidžiamoje jaunuolių grupėje, programą, p</w:t>
      </w:r>
      <w:r>
        <w:rPr>
          <w:color w:val="000000"/>
        </w:rPr>
        <w:t>ažeidžiamai rizikos grupei yra priskiriami vaikai, paaugliai ir jaunuoliai iki 25 metų:</w:t>
      </w:r>
    </w:p>
    <w:p w:rsidR="00DD08F5" w:rsidRDefault="00DD08F5" w:rsidP="00DD08F5">
      <w:pPr>
        <w:ind w:firstLine="720"/>
        <w:jc w:val="both"/>
        <w:rPr>
          <w:color w:val="000000"/>
        </w:rPr>
      </w:pPr>
      <w:r>
        <w:rPr>
          <w:color w:val="000000"/>
        </w:rPr>
        <w:t>- kurių šeimose yra vartojami narkotikai;</w:t>
      </w:r>
    </w:p>
    <w:p w:rsidR="00DD08F5" w:rsidRDefault="00DD08F5" w:rsidP="00DD08F5">
      <w:pPr>
        <w:ind w:firstLine="720"/>
        <w:jc w:val="both"/>
        <w:rPr>
          <w:color w:val="000000"/>
        </w:rPr>
      </w:pPr>
      <w:r>
        <w:rPr>
          <w:color w:val="000000"/>
        </w:rPr>
        <w:t>- tie, kurie patys turi elgesio, psichikos sveikatos ar socialinių problemų;</w:t>
      </w:r>
    </w:p>
    <w:p w:rsidR="00DD08F5" w:rsidRDefault="00DD08F5" w:rsidP="00DD08F5">
      <w:pPr>
        <w:ind w:firstLine="720"/>
        <w:jc w:val="both"/>
        <w:rPr>
          <w:color w:val="000000"/>
        </w:rPr>
      </w:pPr>
      <w:r>
        <w:rPr>
          <w:color w:val="000000"/>
        </w:rPr>
        <w:t>- mokiniai, kurie praleidinėja pamokas arba yra pašalinti iš mokyklos;</w:t>
      </w:r>
    </w:p>
    <w:p w:rsidR="00DD08F5" w:rsidRDefault="00DD08F5" w:rsidP="00DD08F5">
      <w:pPr>
        <w:ind w:firstLine="720"/>
        <w:jc w:val="both"/>
        <w:rPr>
          <w:color w:val="000000"/>
        </w:rPr>
      </w:pPr>
      <w:r>
        <w:rPr>
          <w:color w:val="000000"/>
        </w:rPr>
        <w:t xml:space="preserve">- pažeidžiantys įstatymus; </w:t>
      </w:r>
    </w:p>
    <w:p w:rsidR="00DD08F5" w:rsidRDefault="00DD08F5" w:rsidP="00DD08F5">
      <w:pPr>
        <w:ind w:firstLine="720"/>
        <w:jc w:val="both"/>
        <w:rPr>
          <w:color w:val="000000"/>
        </w:rPr>
      </w:pPr>
      <w:r>
        <w:rPr>
          <w:color w:val="000000"/>
        </w:rPr>
        <w:t>- benamiai;</w:t>
      </w:r>
    </w:p>
    <w:p w:rsidR="00DD08F5" w:rsidRDefault="00DD08F5" w:rsidP="00DD08F5">
      <w:pPr>
        <w:ind w:firstLine="720"/>
        <w:jc w:val="both"/>
        <w:rPr>
          <w:color w:val="000000"/>
        </w:rPr>
      </w:pPr>
      <w:r>
        <w:rPr>
          <w:color w:val="000000"/>
        </w:rPr>
        <w:t>- besiverčiantys prostitucija;</w:t>
      </w:r>
    </w:p>
    <w:p w:rsidR="00DD08F5" w:rsidRDefault="00DD08F5" w:rsidP="00DD08F5">
      <w:pPr>
        <w:ind w:firstLine="720"/>
        <w:jc w:val="both"/>
        <w:rPr>
          <w:color w:val="000000"/>
        </w:rPr>
      </w:pPr>
      <w:r>
        <w:rPr>
          <w:color w:val="000000"/>
        </w:rPr>
        <w:t xml:space="preserve">- vaikai iš marginalizuotų socialinių, etninių grupių. </w:t>
      </w:r>
    </w:p>
    <w:p w:rsidR="00DD08F5" w:rsidRDefault="00DD08F5" w:rsidP="00DD08F5">
      <w:pPr>
        <w:jc w:val="both"/>
      </w:pPr>
      <w:r>
        <w:t>Greta rizikos grupės kriterijų, specialistai gali taikyti parengtus vertinimo instrumentus</w:t>
      </w:r>
      <w:r>
        <w:rPr>
          <w:rStyle w:val="Puslapioinaosnuoroda"/>
        </w:rPr>
        <w:footnoteReference w:id="20"/>
      </w:r>
      <w:r>
        <w:t xml:space="preserve">. </w:t>
      </w:r>
    </w:p>
    <w:p w:rsidR="00DD08F5" w:rsidRDefault="00DD08F5" w:rsidP="00DD08F5">
      <w:pPr>
        <w:ind w:firstLine="720"/>
        <w:jc w:val="both"/>
      </w:pPr>
      <w:r>
        <w:rPr>
          <w:b/>
          <w:bCs/>
        </w:rPr>
        <w:t>Trečia,</w:t>
      </w:r>
      <w:r>
        <w:t xml:space="preserve"> reikšmingas paslaugų teikimo organizavimo komponentas – panaudoti kuo daugiau pacientų arba jų artimųjų kontaktų su asmens sveikatos priežiūros įstaiga (toliau – ASPĮ) , tam kad būtų sukurta gydymo motyvacija. </w:t>
      </w:r>
    </w:p>
    <w:p w:rsidR="00DD08F5" w:rsidRDefault="00DD08F5" w:rsidP="00DD08F5">
      <w:pPr>
        <w:ind w:firstLine="720"/>
        <w:jc w:val="both"/>
      </w:pPr>
      <w:r>
        <w:t xml:space="preserve">Dabartiniu metu paslaugos vaikams, vartojantiems PAM, dažniausiai teikiamos specializuotuose priklausomybės ligų gydymo centruose. Kitų ASPĮ (ypač veikiančių bendruomenėje, lengviausiai prieinamų vaikams ir jų artimiesiems ASPĮ) vaidmens, nukreipiant turimus pacientus, padidėjimas sąlygotų prevencijos ir gydymo veiksmingumo pažangą.  Nustačius PAM vartojimo riziką, „motyvuojantį interviu“ bent pirminio kontakto užmezgimui turėtų sugebėti atlikti platesnis ASPĮ darbuotojų (įskaitant  šeimos gydytojus) ratas. </w:t>
      </w:r>
    </w:p>
    <w:p w:rsidR="00DD08F5" w:rsidRDefault="00DD08F5" w:rsidP="00DD08F5">
      <w:pPr>
        <w:ind w:firstLine="720"/>
        <w:jc w:val="both"/>
      </w:pPr>
      <w:r>
        <w:rPr>
          <w:b/>
        </w:rPr>
        <w:t>Ketvirta,</w:t>
      </w:r>
      <w:r>
        <w:rPr>
          <w:bCs/>
        </w:rPr>
        <w:t xml:space="preserve"> v</w:t>
      </w:r>
      <w:r>
        <w:t>eiksmingesnės vaikų PAM vartojimo prevencijos sistemos sukūrimas, tai siejasi ne tik su priklausomybės ligų centruose, bet ir kitose ASPĮ teikiamų paslaugų tikslinimu, todėl siūloma:</w:t>
      </w:r>
    </w:p>
    <w:p w:rsidR="00DD08F5" w:rsidRDefault="00DD08F5" w:rsidP="00DD08F5">
      <w:pPr>
        <w:pStyle w:val="Pagrindiniotekstotrauka"/>
        <w:rPr>
          <w:szCs w:val="24"/>
          <w:lang w:val="lt-LT"/>
        </w:rPr>
      </w:pPr>
      <w:r>
        <w:rPr>
          <w:szCs w:val="24"/>
          <w:lang w:val="lt-LT"/>
        </w:rPr>
        <w:t xml:space="preserve">Nustatyti, kokios paslaugos turi būti teikiamos ASPĮ vaikams iš padidintos PAM vartojimo rizikos grupės. Vakarų šalyse moksliniais tyrimais įrodytas tam tikrų intervencijų veiksmingumas (įskaitant grupinę elgesio terapiją) gali būti pagrindas siekti, kad tokias intervencijas vykdytų kuo daugiau ASPĮ (įskaitant psichikos sveikatos centrus ir vaikų raidos tarnybas). </w:t>
      </w:r>
    </w:p>
    <w:p w:rsidR="00DD08F5" w:rsidRDefault="00DD08F5" w:rsidP="00DD08F5">
      <w:pPr>
        <w:ind w:firstLine="720"/>
        <w:jc w:val="both"/>
      </w:pPr>
      <w:r>
        <w:t>Tiksliai apibrėžti medicininės ar socialinės reabilitacijos  paslaugų turinius ir reikalavimus.</w:t>
      </w:r>
    </w:p>
    <w:p w:rsidR="00DD08F5" w:rsidRDefault="00DD08F5" w:rsidP="00DD08F5">
      <w:pPr>
        <w:ind w:firstLine="720"/>
        <w:jc w:val="both"/>
      </w:pPr>
      <w:r>
        <w:t>Kurti ir (arba)  pritaikyti paslaugų teikimo organizavimo moksliškai įrodytus standartus.</w:t>
      </w:r>
    </w:p>
    <w:p w:rsidR="00DD08F5" w:rsidRDefault="00DD08F5" w:rsidP="00DD08F5">
      <w:pPr>
        <w:ind w:firstLine="720"/>
        <w:jc w:val="both"/>
      </w:pPr>
      <w:r>
        <w:t>Palaipsniui papildyti periodinės informacijos rinkimo ir rodiklių stebėjimo sistemą, siekiant  įvertinti, kaip įgyvendinami standartai.</w:t>
      </w:r>
    </w:p>
    <w:p w:rsidR="00DD08F5" w:rsidRDefault="00DD08F5" w:rsidP="00DD08F5">
      <w:pPr>
        <w:jc w:val="both"/>
        <w:rPr>
          <w:rFonts w:eastAsia="Arial"/>
        </w:rPr>
      </w:pPr>
      <w:r>
        <w:tab/>
        <w:t xml:space="preserve">Įgyvendinti minėtus siūlymus įmanoma. Finansų ministerijos duomenimis 2007 2013 metų ES struktūrinėje paramoje  Lietuvai yra numatyta </w:t>
      </w:r>
      <w:r>
        <w:rPr>
          <w:rFonts w:eastAsia="Arial"/>
        </w:rPr>
        <w:t xml:space="preserve">VP3-2.1-SAM-05-V priemonė “Diferencijuotų kompleksinės psichiatrinės pagalbos vaikui ir šeimai centrų įkūrimas”. Priemonės tikslas - plėtoti kompleksines vaikų ir paauglių psichikos sveikatos priežiūros paslaugas (ambulatorines-konsultacines, dienos stacionaro, krizių intervencijos, stacionaro). Priemonei įgyvendinti numatyta 12,75 mln. ES paramos ir 2,25 mln. biudžeto lėšų. Viso: 15 mln. litų. Galimi pareiškėjai – projektus pagal priemonę įgyvendina viešosios stacionariosios asmens sveikatos priežiūros įstaigos, turinčios psichiatrijos skyrius ir sutartis su teritorinėmis ligonių kasomis. </w:t>
      </w:r>
    </w:p>
    <w:p w:rsidR="00DD08F5" w:rsidRDefault="00DD08F5" w:rsidP="00DD08F5">
      <w:pPr>
        <w:jc w:val="both"/>
      </w:pPr>
      <w:r>
        <w:rPr>
          <w:rFonts w:eastAsia="Arial"/>
          <w:lang w:val="en-US"/>
        </w:rPr>
        <w:tab/>
      </w:r>
      <w:r>
        <w:t xml:space="preserve">Seimo Narkomanijos ir alkoholizmo prevencijos komisija 2009 06 18 raštu Nr.S-2009 –6786 ”Dėl  narkotikų, alkoholio ir tabako kontrolės sustiprinimo” kreipėsi į Lietuvos Respublikos Ministrą Pirmininką su siūlymu skubiau  priimti sprendimus dėl valstybės valdymo tobulinimo narkotikų, alkoholio ir tabako kontrolės srityse, nes vaikai auga aplinkoje, kurioje nesaikingai geriamas alkoholis; didėja psichoaktyviųjų medžiagų vartojimo mastas; padidėjo nusikalstamų veikų, susijusių su neteisėta narkotikų apyvarta ir kt.  </w:t>
      </w:r>
    </w:p>
    <w:p w:rsidR="00DD08F5" w:rsidRDefault="00DD08F5" w:rsidP="00DD08F5">
      <w:pPr>
        <w:ind w:firstLine="720"/>
        <w:jc w:val="both"/>
        <w:rPr>
          <w:rFonts w:eastAsia="Arial"/>
          <w:lang w:val="en-US"/>
        </w:rPr>
      </w:pPr>
      <w:r>
        <w:rPr>
          <w:rFonts w:eastAsia="Arial"/>
          <w:lang w:val="en-US"/>
        </w:rPr>
        <w:t>Atkreipiamas dėmesys į tai, kad nuolat diagnozuojami nauji ŽIV infekcijos atvejai</w:t>
      </w:r>
      <w:r>
        <w:rPr>
          <w:lang w:val="es-ES"/>
        </w:rPr>
        <w:t xml:space="preserve"> ir didėja lytiškai plintančių infekcijų</w:t>
      </w:r>
      <w:r>
        <w:rPr>
          <w:rFonts w:eastAsia="Arial"/>
          <w:lang w:val="en-US"/>
        </w:rPr>
        <w:t xml:space="preserve">. </w:t>
      </w:r>
    </w:p>
    <w:p w:rsidR="00DD08F5" w:rsidRDefault="00DD08F5" w:rsidP="00DD08F5">
      <w:pPr>
        <w:ind w:firstLine="720"/>
        <w:jc w:val="both"/>
        <w:rPr>
          <w:lang w:val="es-ES"/>
        </w:rPr>
      </w:pPr>
      <w:r>
        <w:rPr>
          <w:lang w:val="es-ES"/>
        </w:rPr>
        <w:lastRenderedPageBreak/>
        <w:t xml:space="preserve">Vadovaujantis Lietuvos Respublikos sveikatos apsaugos ministro 2008 m. balandžio 30 d. įsakymu Nr. V-352 „Dėl lėšų, skirtų Valstybinės lytiškai plintančių infekcijų profilaktikos ir kontrolės 2006—2009 metų programos priemonėms 2008 metais įgyvendinti, panaudojimo“ Lietuvos AIDS centras, nacionaliniu mastu taikydamas lytiškai plintančių infekcijų stebėseną pagal Pasaulio sveikatos organizacijos metodiką, atliko Vilniaus m. stoties rajone seksualines paslaugas teikiančių moterų demografinio, biologinio ir elgesio indikatorių tyrimą. Dėl žmogaus imunodeficito viruso buvo tiriama 71 (94,7 proc.) prostitutė ir nei vienai iš jų ŽIV nenustatytas. Dėl hepatito B ir C buvo ištirta 70 prostitučių, iš kurių 11,4 proc. (8) laboratoriškai nustatytas hepatito B virusas ir 24,3 proc. hepatito C virusas. Dėl žmogaus papilomos viruso ištirtos 49 prostitutės (65,4 proc.), iš kurių 40,8 proc. (20) laboratoriškai nustatytas ŽPV. Dėl sifilio ištirta 70 prostitučių (93,3 proc.), iš kurių 5,7 proc. (4) teigiamos. Dėl gonorėjos ištirtos 73 prostitutės (97,3 proc.), iš kurių 19,2 proc. (14) rasti gonokokai. Dėl chlamidijų ištirtos 73 prostitutės (97,3 proc.), iš kurių 8,2 proc. (6) diagnozuota chlamidijozė. </w:t>
      </w:r>
    </w:p>
    <w:p w:rsidR="00DD08F5" w:rsidRDefault="00DD08F5" w:rsidP="00DD08F5">
      <w:pPr>
        <w:ind w:firstLine="720"/>
        <w:jc w:val="both"/>
      </w:pPr>
      <w:r>
        <w:t>Vykdant ŽIV stebėjimus plitimo tendencijoms teritorijoje nustatyti, pagal apskritis 2008 metais daugiausiai – 29, naujų ŽIV infekcijos atvejų nustatyti Vilniaus apskrityje (2007 – 28). Klaipėdos apskrities gyventojams diagnozuota – 21 (2007 m. – 27), Kauno – 11 (2007 m. – 11), Alytaus apskrities -16 (išaugo 4 kartus lyginant su 2007 metais). Daugiausia ŽIV užsikrėtusiųjų žmonių yra Klaipėdos apskrities gyventojai (428), antroje vietoje Vilniaus (259), Kauno (85), Šiaulių (73), Telšių (53), Alytaus (42), Panevėžio (17), 2008 metais Lietuvoje viso diagnozuoti 95 nauji ŽIV infekcijos atvejai, 2007 m. – 106. Per 1988 – 2008 metus Lietuvoje diagnozuota 1401 ŽIV užsikrėtęs žmogus.</w:t>
      </w:r>
    </w:p>
    <w:p w:rsidR="00DD08F5" w:rsidRDefault="00DD08F5" w:rsidP="00DD08F5">
      <w:pPr>
        <w:ind w:firstLine="720"/>
        <w:jc w:val="both"/>
        <w:rPr>
          <w:bCs/>
          <w:color w:val="000000"/>
        </w:rPr>
      </w:pPr>
      <w:r>
        <w:t xml:space="preserve">2008 m. ŽIV infekcija diagnozuota 30 moterų, pernai – 32. Per visą ŽIV registracijos laikotarpį pagal lytį užregistruoti 1183 ŽIV užsikrėtę vyrai ir 218 moterų. Naujai ŽIV užsikrėtusių vyrų amžiaus vidurkis – 36 metai, moterų - 32 metai. </w:t>
      </w:r>
      <w:r>
        <w:rPr>
          <w:bCs/>
          <w:color w:val="000000"/>
        </w:rPr>
        <w:t>2008 m.  diagnozuoti 26 asmenys užsikrėtę heteroseksualių (pernai - 27 ), 9 homoseksualių lytinių santykių metu (pernai - 4), 42 vartodami švirkščiamuosius narkotikus (pernai per tą patį laikotarpį - 59), kitų užsikrėtimo būdas nežinomas.</w:t>
      </w:r>
    </w:p>
    <w:p w:rsidR="00DD08F5" w:rsidRDefault="00DD08F5" w:rsidP="00DD08F5">
      <w:pPr>
        <w:jc w:val="both"/>
      </w:pPr>
      <w:r>
        <w:t>.      Lietuvos AIDS centre buvo ištirti visi, pareiškę norą profilaktiškai išsitirti dėl ŽIV. Buvo plečiamos didelės rizikos grupėms priklausantiems asmenims teikiamos paslaugos (ŽIV ir su juo susijusių infekcijų tyrimai, psichologinė parama), diegiami nauji lytiškai plintančių infekcijų (toliau – LPI) tyrimo metodai, tuo pačiu  gerinama ŽIV ir LPI diagnostika. 2008 m. buvo įdiegtos 8 naujos tyrimų metodikos, tarp jų pirmą kartą Lietuvoje įsisavintas ir įdiegtas aukštos rezoliucijos HLA B5701 tyrimas sekvenavimo metodu,  pradėti tyrimai dėl jautrumo Abacavir nustatymui ŽIV infekuotiems asmenims.</w:t>
      </w:r>
    </w:p>
    <w:p w:rsidR="00DD08F5" w:rsidRDefault="00DD08F5" w:rsidP="00DD08F5">
      <w:pPr>
        <w:ind w:firstLine="720"/>
        <w:jc w:val="both"/>
      </w:pPr>
      <w:r>
        <w:t>Užtikrinant infekuotų ŽIV ir sergančių AIDS asmenų sveikatos priežiūrą, rūpinantis infekuotų ŽIV narkomanų psichologine socialine reabilitacija, reintegracija į visuomenę,</w:t>
      </w:r>
      <w:r>
        <w:rPr>
          <w:bCs/>
        </w:rPr>
        <w:t xml:space="preserve"> </w:t>
      </w:r>
      <w:r>
        <w:t>asmenų konsultavimą prieš testavimą ir po testavimo dėl ŽIV, per 2008 metus ištirta ir suteikta 185 prieš ir potestinės konsultacijos švirkščiamųjų narkotikų vartotojams. Anonimiškai kreipėsi pasitikrinti dėl ŽIV 524 asmenys, dar 1747 tyrėsi konfidencialiai; išduoti 1688 sertifikatai dėl ŽIV.</w:t>
      </w:r>
    </w:p>
    <w:p w:rsidR="00DD08F5" w:rsidRDefault="00DD08F5" w:rsidP="00DD08F5">
      <w:pPr>
        <w:ind w:firstLine="720"/>
        <w:jc w:val="both"/>
        <w:rPr>
          <w:bCs/>
          <w:lang w:val="es-ES"/>
        </w:rPr>
      </w:pPr>
      <w:r>
        <w:rPr>
          <w:bCs/>
        </w:rPr>
        <w:t xml:space="preserve">Per 2008 m. buvo stebėta 401 Lietuvos AIDS centro žalos mažinimo programoje dalyvaujančių švirkščiamųjų narkotikų vartotojų (iš jų 78 pirmą kartą apsilankiusiųjų): tiriami dėl ŽIV (185), sifilio (150), HBsAg (78), antiHCV (53). </w:t>
      </w:r>
      <w:r>
        <w:rPr>
          <w:bCs/>
          <w:lang w:val="es-ES"/>
        </w:rPr>
        <w:t xml:space="preserve">ŽIV sergamumas sudarė 1,08%, HBsAg paplitimas sudarė 1,3 %, HCV paplitimas sudarė 58,5 %, sifilio sergamumas 2,7 %.  </w:t>
      </w:r>
      <w:r>
        <w:rPr>
          <w:lang w:val="es-ES"/>
        </w:rPr>
        <w:t xml:space="preserve">Per 2008 metus </w:t>
      </w:r>
      <w:r>
        <w:rPr>
          <w:bCs/>
          <w:lang w:val="es-ES"/>
        </w:rPr>
        <w:t>atliktos dvi anoniminės apklausos: vienos jų metų apklausti 56 asmenys, kitos (internetinės) apklausos metų buvo apklausta 277 homoseksualūs ir biseksualūs vyrai.</w:t>
      </w:r>
    </w:p>
    <w:p w:rsidR="00DD08F5" w:rsidRDefault="00DD08F5" w:rsidP="00DD08F5">
      <w:pPr>
        <w:ind w:firstLine="720"/>
        <w:jc w:val="both"/>
        <w:rPr>
          <w:lang w:val="es-ES"/>
        </w:rPr>
      </w:pPr>
      <w:r>
        <w:rPr>
          <w:lang w:val="es-ES"/>
        </w:rPr>
        <w:t>Užtikrinant infekuotųjų ŽIV ir sergančiųjų AIDS tikrinimą, ar jie neserga tuberkulioze dėl tuberkuliozės simptomų patikrinta 165 ŽIV užsikrėtusiųjų asmenų.Centralizuotai atliekant donorams atrankinius ir patvirtinamuosius ŽIV tyrimus ištirti 47 potencialūs organų donorai (atlikti 423 tyrimai) ir 2 placentos donorės dėl infekcinių ligų žymenų; atlikti 85 kraujo donorų patvirtinamieji ŽIV tyrimai.Dėl virusinio hepatito C patvirtinimui gauti 255, dėl virusinio hepatito B - 91, dėl sifilio - 18 asmenų serumai.</w:t>
      </w:r>
    </w:p>
    <w:p w:rsidR="00DD08F5" w:rsidRDefault="00DD08F5" w:rsidP="00DD08F5">
      <w:pPr>
        <w:ind w:firstLine="720"/>
        <w:jc w:val="both"/>
      </w:pPr>
      <w:r>
        <w:rPr>
          <w:lang w:val="es-ES"/>
        </w:rPr>
        <w:t xml:space="preserve"> 2008 metais </w:t>
      </w:r>
      <w:r>
        <w:rPr>
          <w:bCs/>
          <w:snapToGrid w:val="0"/>
        </w:rPr>
        <w:t xml:space="preserve">Sveikatos apsaugso ministerija, </w:t>
      </w:r>
      <w:r>
        <w:rPr>
          <w:iCs/>
        </w:rPr>
        <w:t>u</w:t>
      </w:r>
      <w:r>
        <w:rPr>
          <w:snapToGrid w:val="0"/>
        </w:rPr>
        <w:t>gdydama visuomenės sveikatą, formuojant sveikos gyvensenos pagrindus, parengė</w:t>
      </w:r>
      <w:r>
        <w:t xml:space="preserve"> socialinį projektą "Būk blaivus!", skirtas žalingų įpročių tarp jaunimo prevencijai ir blaivybės idėjų sklaidai.</w:t>
      </w:r>
    </w:p>
    <w:p w:rsidR="00DD08F5" w:rsidRDefault="00DD08F5" w:rsidP="00DD08F5">
      <w:pPr>
        <w:jc w:val="both"/>
        <w:rPr>
          <w:lang w:val="es-ES"/>
        </w:rPr>
      </w:pPr>
      <w:r>
        <w:rPr>
          <w:color w:val="000000"/>
        </w:rPr>
        <w:t xml:space="preserve"> </w:t>
      </w:r>
      <w:r>
        <w:rPr>
          <w:color w:val="000000"/>
        </w:rPr>
        <w:tab/>
      </w:r>
      <w:r>
        <w:rPr>
          <w:bCs/>
          <w:snapToGrid w:val="0"/>
        </w:rPr>
        <w:t>Sveikatos apsaugso ministerija</w:t>
      </w:r>
      <w:r>
        <w:t xml:space="preserve"> 2008 m. organizavo ir dalyvavo konferencijose bei seminaruose sveikos gyvensenos temomis: organizuota konferencija „Vyskupo Motiejaus Valančiaus blaivybės idėjos: istorija ir dabartis“, organizuotas 6 val. trukmės seminaras ,,Psichikos sveikatos problematika savivaldybių visuomenės sveikatos biurų veikloje“ savivaldybių visuomenės sveikatos </w:t>
      </w:r>
      <w:r>
        <w:lastRenderedPageBreak/>
        <w:t>biurų specialistams, organizuota tarptautinė konferencija „Tabako ir alkoholio kontrolė – prioritetai Baltijos sveikatos politikoje“, atskiru leidiniu išleista konferencijos medžiaga (Konferencijos metu įkurta Baltijos šalių tabako ir alkoholio kontrolės koalicija), organizuota konferencija – Blaivybės projektų mugė, skirta nevyriausybinėms organizacijoms, dalyvavusioms įgyvendinant Blaivybės metų programos projektus. Per 2008 m. skaitytos 37 paskaitas vaikams ir jaunimui bei specialistams  apie tabako ir alkoholio, narkotinių ir psichotropinių medžiagų vartojimo prevenciją ir žalą žmogaus sveikatai.</w:t>
      </w:r>
      <w:r>
        <w:rPr>
          <w:color w:val="000000"/>
        </w:rPr>
        <w:t xml:space="preserve"> 2008 metais perskaityta 19 paskaitų visuomenės sveikatos specialistų tobulinimo kursuose „Narkomanijos ir kitų priklausomybės ligų prevencija“. </w:t>
      </w:r>
      <w:r>
        <w:rPr>
          <w:lang w:val="es-ES"/>
        </w:rPr>
        <w:t xml:space="preserve">Psichikos sveikatos centras išleido 22 leidinius tabako, alkoholio ir priklausomybių klausimais.  </w:t>
      </w:r>
    </w:p>
    <w:p w:rsidR="00DD08F5" w:rsidRDefault="00DD08F5" w:rsidP="00DD08F5">
      <w:pPr>
        <w:jc w:val="both"/>
      </w:pPr>
      <w:r>
        <w:rPr>
          <w:lang w:val="es-ES"/>
        </w:rPr>
        <w:tab/>
      </w:r>
      <w:r>
        <w:rPr>
          <w:noProof/>
          <w:snapToGrid w:val="0"/>
        </w:rPr>
        <w:t xml:space="preserve"> </w:t>
      </w:r>
      <w:r>
        <w:rPr>
          <w:noProof/>
        </w:rPr>
        <w:t xml:space="preserve">Užtikrinant asmens sveikatos priežiūros paslaugų kokybę, tinkamumą ir saugą, Sveikatos apsaugso ministerija </w:t>
      </w:r>
      <w:r>
        <w:rPr>
          <w:noProof/>
          <w:u w:val="single"/>
        </w:rPr>
        <w:t>l</w:t>
      </w:r>
      <w:r>
        <w:t xml:space="preserve">icencijavo asmens sveikatos priežiūros įstaigas ir vykdė jų licencijų sąlygų laikymosi priežiūrą. </w:t>
      </w:r>
      <w:r>
        <w:rPr>
          <w:iCs/>
          <w:noProof/>
        </w:rPr>
        <w:t xml:space="preserve">Buvo atliekamas asmens sveikatos priežiūros įstaigų licencijavimas vertinant įstaigų pateiktų dokumentų atitiktį galiojantiems teisės aktams, vertinamas vietoje asmens sveikatos priežiūros laboratorijų pasirengimas teikti laboratorinės diagnostikos paslaugą ir patologijos paslaugą. </w:t>
      </w:r>
      <w:r>
        <w:t xml:space="preserve">Informacinėje duomenų bazėje užregistruotos </w:t>
      </w:r>
      <w:r>
        <w:rPr>
          <w:bCs/>
        </w:rPr>
        <w:t>389 įstaigų, teikiančių asmens sveikatos priežiūros paslaugas</w:t>
      </w:r>
      <w:r>
        <w:t xml:space="preserve">, licencijos. </w:t>
      </w:r>
    </w:p>
    <w:p w:rsidR="00DD08F5" w:rsidRDefault="00DD08F5" w:rsidP="00DD08F5">
      <w:pPr>
        <w:jc w:val="both"/>
        <w:rPr>
          <w:bCs/>
        </w:rPr>
      </w:pPr>
      <w:r>
        <w:rPr>
          <w:bCs/>
        </w:rPr>
        <w:t xml:space="preserve">          </w:t>
      </w:r>
      <w:r>
        <w:rPr>
          <w:bCs/>
          <w:color w:val="FF0000"/>
        </w:rPr>
        <w:t xml:space="preserve">        </w:t>
      </w:r>
      <w:r>
        <w:rPr>
          <w:bCs/>
        </w:rPr>
        <w:t>2008 m. Sveikatos apsaugos ministerija įgyvendino socialinės reklamos kampaniją – žalingų įpročių prevencija, šeimos gydytojo institucijos įvaizdžio stiprinimas, sveikos gyvensenos propagavimas visuomenės informavimo priemonėmis, skirtomis plačiajai visuomenei.</w:t>
      </w:r>
    </w:p>
    <w:p w:rsidR="00DD08F5" w:rsidRDefault="00DD08F5" w:rsidP="00DD08F5">
      <w:pPr>
        <w:jc w:val="both"/>
      </w:pPr>
      <w:r>
        <w:t xml:space="preserve"> </w:t>
      </w:r>
      <w:r>
        <w:tab/>
        <w:t xml:space="preserve">Buvo sukurti 4 vaizdo ir 4 garso klipai. Vaizdo klipai transliuoti per Lietuvos televiziją, Lietuvos ryto televiziją ir LNK. Garso klipai transliuoti per radijo stotis M-1, Radiocentras ir Lietuvos radijas. Sveikatos apsaugos ministerijos ir Lietuvos dailininkų sąjungos Karikatūristų sekcija surengė karikatūrų konkursą ,,Ant kamščio paslydęs – sveikas nekelsi” – pateiktos 146 karikatūros, kurias nupiešė 32 dailininkai. Organizuotas alkoholio kontrolės ir blaivybės temomis rašančių žurnalistų regioninės spaudos straipsnių konkursas tema ,,2008-ji – Blaivybės metai”. Konkursui pateikti 18-os autorių spaudos ir interneto svetainių darbai.   </w:t>
      </w:r>
    </w:p>
    <w:p w:rsidR="00DD08F5" w:rsidRDefault="00DD08F5" w:rsidP="00DD08F5">
      <w:pPr>
        <w:ind w:firstLine="720"/>
        <w:jc w:val="both"/>
        <w:rPr>
          <w:bCs/>
        </w:rPr>
      </w:pPr>
      <w:r>
        <w:rPr>
          <w:color w:val="000000"/>
        </w:rPr>
        <w:t>Siekiant</w:t>
      </w:r>
      <w:r>
        <w:rPr>
          <w:color w:val="993300"/>
        </w:rPr>
        <w:t xml:space="preserve"> </w:t>
      </w:r>
      <w:r>
        <w:t xml:space="preserve">inicijuoti nuoseklią ir kryptingą sveikatos sistemos pertvarką, kuriant efektyvią ir konkurencingą sveikatos sistemą, Sveikatos apsaugos ministerija kartu su Prezidentūros, Lietuvos Respublikos Seimo, Lietuvos Respublikos Vyriausybės, Laisvosios rinkos instituto, Privačių medicinos įstaigų asociacijos ir kitų institucijų atstovais parengė Tolesnės </w:t>
      </w:r>
      <w:r>
        <w:rPr>
          <w:bCs/>
        </w:rPr>
        <w:t xml:space="preserve">sveikatos sistemos plėtros 2008–2015 m. metmenų projektą. </w:t>
      </w:r>
      <w:r>
        <w:t xml:space="preserve">Tai strateginis sveikatos sistemos dokumentas, kuriame analizuojamos egzistuojančios sveikatos sistemos problemos, jas lemiančios priežastys bei nurodomos pagrindinės sveikatos sistemos plėtros kryptys – papildomo sveikatos draudimo įvedimas, rezidentūros organizavimo modelio pakeitimas, sveikatos priežiūros specialistų pritraukimas į rajonus, pacientų eilių stebėjimas ir priemonių joms mažinti įgyvendinimas, medicinos darbuotojų darbo užmokesčio didinimas, sveikatos politikos tęstinumo užtikrinimas, konkurencijos tarp sveikatos priežiūros paslaugų teikėjų skatinimas ir kt. Rengiant Metmenų projektą buvo remiamasi daugiau kaip 300 įstaigų, pacientų, mokslininkų ir specialistų nuomone. Metmenų projektui buvo pritarta </w:t>
      </w:r>
      <w:r>
        <w:rPr>
          <w:bCs/>
        </w:rPr>
        <w:t>XIV</w:t>
      </w:r>
      <w:r>
        <w:t xml:space="preserve"> Lietuvos Respublikos Vyriausybės Strateginio planavimo komitete (2008-11-13 posėdžio protokolas Nr.25).</w:t>
      </w:r>
      <w:r>
        <w:rPr>
          <w:bCs/>
        </w:rPr>
        <w:t xml:space="preserve"> </w:t>
      </w:r>
    </w:p>
    <w:p w:rsidR="00DD08F5" w:rsidRDefault="00DD08F5" w:rsidP="00DD08F5">
      <w:pPr>
        <w:ind w:firstLine="720"/>
        <w:jc w:val="both"/>
      </w:pPr>
      <w:r>
        <w:rPr>
          <w:bCs/>
        </w:rPr>
        <w:t>Sveikatos apsaugos ministerijos duomenimis, atsižvelgiant į pirmojo sveikatos priežiūros įstaigų restruktūrizavimo etapo rezultatus</w:t>
      </w:r>
      <w:r>
        <w:t xml:space="preserve">, bei įgyvendinant Lietuvos Respublikos Vyriausybės 2006 m. birželio 29 d. nutarimu Nr. 647 patvirtintą Antrojo sveikatos priežiūros įstaigų restruktūrizavimo etapo strategiją, toliau buvo tęsiamas </w:t>
      </w:r>
      <w:r>
        <w:rPr>
          <w:bCs/>
        </w:rPr>
        <w:t>2006 m. pradėtas antrasis (2006–2008 m.)</w:t>
      </w:r>
      <w:r>
        <w:t xml:space="preserve"> sveikatos priežiūros įstaigų restruktūrizavimo etapas, kurio prioritetai yra: toliau plėtoti pirminę asmens sveikatos priežiūrą; plėtoti dienos stacionaro ir dienos chirurgijos paslaugas; optimizuoti stacionarines paslaugas; plėtoti ambulatorinės reabilitacijos apimtis ir formas; integruoti slaugos paslaugas į bendrojo pobūdžio ligonines, teikiant jas kartu su globos paslaugomis, plėtojant slaugą paciento namuose. Siekiant įgyvendinti antrojo sveikatos priežiūros įstaigų restruktūrizavimo etapo tikslus parengti apskričių sveikatos priežiūros įstaigų antrojo restruktūrizavimo etapo planai. Atsižvelgiant į apskričių regionų plėtros tarybų siūlymus, rengti apskričių sveikatos priežiūros įstaigų antrojo restruktūrizavimo etapo planų pakeitimai. </w:t>
      </w:r>
    </w:p>
    <w:p w:rsidR="00DD08F5" w:rsidRDefault="00DD08F5" w:rsidP="00DD08F5">
      <w:pPr>
        <w:ind w:firstLine="720"/>
        <w:jc w:val="both"/>
      </w:pPr>
      <w:r>
        <w:t xml:space="preserve">Siekiant pagerinti paslaugų prieinamumą, apskričių restruktūrizavimo planuose numatyta, kad kiekviena įstaiga, turinti sutartį su teritorinė ligonių kasa turi stebėti ir skelbti kokios susidariusios eilės gauti paslaugas ar specialistų konsultacijas. Tai duoda teigiamų rezultatų, kai kuriose sveikatos priežiūros įstaigose eilės sutrumpėjo nuo kelių mėnesių iki kelių savaičių. Tuo tarpu pacientai, </w:t>
      </w:r>
      <w:r>
        <w:lastRenderedPageBreak/>
        <w:t>žinodami, kad patekti pas specialistą reiks laukti, gali pasirinkti kitą gydymo įstaigą ar kitą specialistą, kur eilių nėra arba trumpiau reikia laukti.</w:t>
      </w:r>
    </w:p>
    <w:p w:rsidR="00DD08F5" w:rsidRDefault="00DD08F5" w:rsidP="00DD08F5">
      <w:pPr>
        <w:ind w:firstLine="720"/>
        <w:jc w:val="both"/>
        <w:rPr>
          <w:bCs/>
        </w:rPr>
      </w:pPr>
      <w:r>
        <w:rPr>
          <w:bCs/>
        </w:rPr>
        <w:t>Pagrindinės PSDF biudžeto Paslaugų restruktūrizavimo programos lėšos buvo nukreiptos ligoninių priėmimo ir skubios pagalbos skyrių pertvarkymui bei aprūpinimui reikiama medicinine įranga, dienos stacionaro ir dienos chirurgijos paslaugų plėtrai, taip pat slaugos ir palaikomojo gydymo paslaugų perkėlimui į bendrojo profilio ligonines ir/ar integravimui su globa ir  gavimas ir saugojimas;  registracijos apsilankymui (konsultacijai, gydymui, tyrimui) vykdymas.</w:t>
      </w:r>
    </w:p>
    <w:p w:rsidR="00DD08F5" w:rsidRDefault="00DD08F5" w:rsidP="00DD08F5">
      <w:pPr>
        <w:ind w:firstLine="720"/>
        <w:jc w:val="both"/>
      </w:pPr>
      <w:r>
        <w:t>Taip pat įgyvendintas projektas ,,E. sveikatos paslaugos“, kurį diegiant didžiausiose šalies sveikatos priežiūros įstaigose – Kauno medicinos universiteto klinikose, Vilniaus universiteto ligoninės Santariškių klinikose ir Klaipėdos universitetinėje ligoninėje – buvo įdiegtos ligoninių informacinės sistemos, integruotos su kuriama Nacionaline elektroninės sveikatos sistema. Projektui skirta parama sudaro 15,195 mln. litų. Projektą rėmė Lietuvos Respublika (6,617 mln. Lt), iš dalies finansavo Europos Sąjunga (8,578 mln. Lt).</w:t>
      </w:r>
    </w:p>
    <w:p w:rsidR="00DD08F5" w:rsidRDefault="00DD08F5" w:rsidP="00DD08F5">
      <w:pPr>
        <w:ind w:firstLine="720"/>
        <w:jc w:val="both"/>
      </w:pPr>
      <w:r>
        <w:rPr>
          <w:color w:val="000000"/>
        </w:rPr>
        <w:t xml:space="preserve">2008 m. toliau buvo plėtojama </w:t>
      </w:r>
      <w:r>
        <w:t>pirminė asmens sveikatos priežiūra. Siekiant gerinti pirminės asmens sveikatos priežiūros paslaugų prieinamumą, pacientams sudaryta daugiau galimybių rinktis ne tik valstybines, bet ir privačias sveikatos priežiūros įstaigas. Teritorinės ligonių kasos sudarė sutartis su daugiau kaip 400 pirminės asmens sveikatos priežiūros įstaigų, 220 iš jų – privačios pirminės asmens sveikatos priežiūros įstaigos. Prie privačių pirminės asmens sveikatos priežiūros įstaigų buvo prisirašę apie 30 proc. visų Lietuvos gyventojų.</w:t>
      </w:r>
    </w:p>
    <w:p w:rsidR="00DD08F5" w:rsidRDefault="00DD08F5" w:rsidP="00DD08F5">
      <w:pPr>
        <w:ind w:firstLine="720"/>
        <w:jc w:val="both"/>
      </w:pPr>
      <w:r>
        <w:t xml:space="preserve">Siekiant, kad pacientai sulauktų kuo daugiau šeimos gydytojų dėmesio, geresnių pirminės ambulatorinės asmens sveikatos priežiūros paslaugų kokybės bei prieinamumo 2008 metais buvo toliau tobulinama pirminio lygio paslaugų apmokėjimo tvarka, šalia apmokėjimo už prisirašiusiųjų pacientų skaičių vis daugiau buvo mokama už realiai suteiktas paslaugas – didinamas skatinamųjų paslaugų kiekis. 2008 m. skatinamųjų paslaugų kiekis, lyginant su 2007 m. padidėjo 12,2 procento. </w:t>
      </w:r>
    </w:p>
    <w:p w:rsidR="00DD08F5" w:rsidRDefault="00DD08F5" w:rsidP="00DD08F5">
      <w:pPr>
        <w:jc w:val="both"/>
      </w:pPr>
      <w:r>
        <w:t>Siekiant optimizuoti stacionarines paslaugas, buvo plėtojamos dienos stacionaro ir dienos chirurgijos paslaugos, stiprinama konsultacinių poliklinikų ir skubios pagalbos – priėmimo skyrių infrastruktūra. Pastaraisiais metais ypatingai išaugo dienos chirurgijos ir dienos stacionaro paslaugų teikimo apimtys. Įdiegus šias paslaugas medicinos įstaigoje, sutrumpėja paslaugų laukiančių pacientų eilės, mažėja ligonių nedarbo dienų skaičius, gerėja sveikatos priežiūros prieinamumas tokiais atvejais, kai gydymo stacionare atsisakoma dėl buitinių priežasčių ar darbo, mažėja hospitalinės infekcijos tikimybė, dienos stacionare suteikta paslauga – pigesnė. 2008 m., lyginant su 2007 m., dienos chirurgijos paslaugų apimtys padidėjo 40 proc., trumpalaikio gydymo paslaugų apimtys padidėjo beveik 5,7 proc., dienos stacionaro paslaugų apimtys padidėjo 11,5 procentų. Tai leido pagerinti sveikatos priežiūros paslaugų prieinamumą ir kokybę. Mažėjanti vidutinė gulėjimo trukmė (dienų skaičius). Buvo planuota vidutinę gulėjimo trukmę sumažinti iki 7,3 dienų, sutrumpėjo iki 6,3 dienų. Įvykdyta 115,9 procentų.</w:t>
      </w:r>
    </w:p>
    <w:p w:rsidR="00DD08F5" w:rsidRDefault="00DD08F5" w:rsidP="00DD08F5">
      <w:pPr>
        <w:ind w:firstLine="720"/>
        <w:jc w:val="both"/>
        <w:rPr>
          <w:bCs/>
        </w:rPr>
      </w:pPr>
      <w:r>
        <w:rPr>
          <w:bCs/>
          <w:snapToGrid w:val="0"/>
        </w:rPr>
        <w:t>Siekiant gerinti medicininę reabilitaciją ligoniams po sunkių traumų ir ligų bei greičiau</w:t>
      </w:r>
      <w:r>
        <w:rPr>
          <w:bCs/>
          <w:snapToGrid w:val="0"/>
          <w:color w:val="000000"/>
        </w:rPr>
        <w:t xml:space="preserve"> sugrąžinti jų darbingumą, </w:t>
      </w:r>
      <w:r>
        <w:rPr>
          <w:color w:val="000000"/>
        </w:rPr>
        <w:t xml:space="preserve">medicininės reabilitacijos paslaugoms apmokėti iš PSDF biudžeto lėšų 2008 m. buvo skirta 143,399 mln. Lt, arba 11,6 mln. Lt daugiau nei 2007 metais. Prioritetas buvo </w:t>
      </w:r>
      <w:r>
        <w:rPr>
          <w:bCs/>
          <w:color w:val="000000"/>
        </w:rPr>
        <w:t xml:space="preserve">teikiamas vaikų medicininei reabilitacijai ir ambulatorinės reabilitacijos plėtrai. Ambulatorinė reabilitacija veiksmingumu nenusileidžia stacionarinei reabilitacijai. Ji dažniausiai teikiama poliklinikose, teikiančiose antrinio lygio asmens sveikatos priežiūros paslaugas, t. y. arčiau pacientų namų esančiose gydymo įstaigose. </w:t>
      </w:r>
      <w:r>
        <w:rPr>
          <w:bCs/>
        </w:rPr>
        <w:t>Ambulatorinės reabilitacijos paslaugos 2008 m. sudarė 28,5 proc. visų medicininės reabilitacijos atvejų. Šių paslaugų apimtys (atvejais) 2008 m., lyginant 2007 m., padidėjo beveik 53 procentais.</w:t>
      </w:r>
    </w:p>
    <w:p w:rsidR="00DD08F5" w:rsidRDefault="00DD08F5" w:rsidP="00DD08F5">
      <w:pPr>
        <w:ind w:firstLine="720"/>
        <w:jc w:val="both"/>
        <w:rPr>
          <w:color w:val="000000"/>
        </w:rPr>
      </w:pPr>
      <w:r>
        <w:rPr>
          <w:bCs/>
          <w:color w:val="000000"/>
        </w:rPr>
        <w:t xml:space="preserve">2008 m. sausio 17 d. Lietuvos Respublikos </w:t>
      </w:r>
      <w:r>
        <w:rPr>
          <w:color w:val="000000"/>
        </w:rPr>
        <w:t>sveikatos apsaugos ministro</w:t>
      </w:r>
      <w:r>
        <w:rPr>
          <w:bCs/>
          <w:color w:val="000000"/>
        </w:rPr>
        <w:t xml:space="preserve"> įsakymu Nr. V-50 „Dėl medicininės reabilitacijos ir sanatorinio (antirecidyvinio) gydymo organizavimo“ (Žin., 2008, Nr. 12-407) patvirtinta M</w:t>
      </w:r>
      <w:r>
        <w:rPr>
          <w:color w:val="000000"/>
        </w:rPr>
        <w:t>edicininės reabilitacijos ir sanatorinio (antirecidyvinio) gydymo tvarka</w:t>
      </w:r>
      <w:r>
        <w:rPr>
          <w:bCs/>
          <w:color w:val="000000"/>
        </w:rPr>
        <w:t>, praplečianti ambulatorinės reabilitacijos galimybes stacionarinės reabilitacijos sąskaita ir nustatanti optimalų reabilitacijos laiką. Į</w:t>
      </w:r>
      <w:r>
        <w:rPr>
          <w:color w:val="000000"/>
        </w:rPr>
        <w:t xml:space="preserve">teisinta nuostata, kad iš pirminės ambulatorinės asmens sveikatos priežiūros įstaigų suaugusieji pacientai galėtų būti siunčiami tik pakartotinei, palaikomajai ir ambulatorinei reabilitacijai, t. y. specializuotai stacionarinei reabilitacijai suaugusieji pacientai galėtų būti siunčiami tik po gydymo stacionare. </w:t>
      </w:r>
    </w:p>
    <w:p w:rsidR="00DD08F5" w:rsidRDefault="00DD08F5" w:rsidP="00DD08F5">
      <w:pPr>
        <w:ind w:firstLine="720"/>
        <w:jc w:val="both"/>
        <w:rPr>
          <w:bCs/>
        </w:rPr>
      </w:pPr>
      <w:r>
        <w:t>Sveikatos apsaugos ministerija, 2008 metais į</w:t>
      </w:r>
      <w:r>
        <w:rPr>
          <w:noProof/>
        </w:rPr>
        <w:t xml:space="preserve">gyvendindama 2007-2013 m. Sanglaudos skatinimo veiksmų programos 2 prioriteto ,,Viešųjų paslaugų kokybė ir prieinamumas: sveikatos, švietimo ir socialinė infrastruktūra“ uždavinį ,,Teikti kokybiškas ir prieinamas sveikatos priežiūros paslaugas“ ir </w:t>
      </w:r>
      <w:r>
        <w:t xml:space="preserve">priemonę „Finansuoti ir administruoti sveikatos priežiūros sektoriaus projektų </w:t>
      </w:r>
      <w:r>
        <w:lastRenderedPageBreak/>
        <w:t>įgyvendinimą“, parengė ir Lietuvos Respublikos Vyriausybė 2008-07-23 nutarimu Nr. 787 patvirtino Sanglaudos skatinimo veiksmų programos 2 prioriteto „Viešųjų paslaugų kokybė ir prieinamumas: sveikatos, švietimo ir socialinė infrastruktūra“ 1 uždavinio „</w:t>
      </w:r>
      <w:r>
        <w:rPr>
          <w:bCs/>
        </w:rPr>
        <w:t>Teikti kokybiškas ir prieinamas sveikatos priežiūros paslaugas“ visų vienuolikos priemonių aprašymus. Parengtas ir Stebėsenos komiteto patvirtintas galutinis priemonių specialiųjų atrankos kriterijų sąrašas.</w:t>
      </w:r>
    </w:p>
    <w:p w:rsidR="00DD08F5" w:rsidRDefault="00DD08F5" w:rsidP="00DD08F5">
      <w:pPr>
        <w:ind w:firstLine="720"/>
        <w:jc w:val="both"/>
      </w:pPr>
      <w:r>
        <w:rPr>
          <w:bCs/>
        </w:rPr>
        <w:t xml:space="preserve">Parengti </w:t>
      </w:r>
      <w:r>
        <w:rPr>
          <w:bCs/>
          <w:iCs/>
          <w:color w:val="000000"/>
        </w:rPr>
        <w:t>Veiksmų Programos (toliau – VP) priemonių: „Sergamumo ir mirtingumo nuo širdies ir kraujagyslių ligų mažinimas“, „Asmens sveikatos priežiūros įstaigų, teikiančių skubią medicinos pagalbą traumų ir kitais išorinių priežasčių sąlygotų būklių atvejais, infrastruktūros atnaujinimas“, „Greitosios medicinos pagalbos ir skubios konsultacinės sveikatos priežiūros pagalbos infrastruktūros atnaujinimas“, „Ankstyva onkologinių susirgimų diagnostika ir visavertis gydymas“, „</w:t>
      </w:r>
      <w:r>
        <w:rPr>
          <w:iCs/>
          <w:color w:val="000000"/>
        </w:rPr>
        <w:t>Diferencijuotų kompleksinės psichiatrinės pagalbos vaikui ir šeimai centrų įkūrimas“, „Psichiatrijos stacionaro modernizavimas“, „</w:t>
      </w:r>
      <w:r>
        <w:rPr>
          <w:color w:val="000000"/>
        </w:rPr>
        <w:t xml:space="preserve">Psichikos sveikatos priežiūros paslaugų stebėsenos užtikrinimo infrastruktūros modernizavimas“, „Psichikos dienos stacionarų (centrų) įkūrimas“, „Krizių intervencijos centrų įkūrimas“, „Ambulatorinių, palaikomojo gydymo ir slaugos paslaugų plėtra bei stacionarinių paslaugų optimizavimas“, „Visuomenės sveikatos priežiūros paslaugų infrastruktūros savivaldybėse plėtra“ </w:t>
      </w:r>
      <w:r>
        <w:t xml:space="preserve">projektų finansavimo sąlygų aprašai, iš kurių septyni </w:t>
      </w:r>
      <w:r>
        <w:rPr>
          <w:bCs/>
        </w:rPr>
        <w:t xml:space="preserve">patvirtinti </w:t>
      </w:r>
      <w:r>
        <w:t xml:space="preserve">sveikatos apsaugos ministro įsakymais (2008-04-29 Nr. V-337, 2008-09-24 Nr. V-904, Nr. V-905, Nr. V-906, 2008-10-27 Nr. V-1042, 2008-11-06 Nr. 1079, 2008-11-19 Nr. 1125). </w:t>
      </w:r>
    </w:p>
    <w:p w:rsidR="00DD08F5" w:rsidRDefault="00DD08F5" w:rsidP="00DD08F5">
      <w:pPr>
        <w:ind w:firstLine="720"/>
        <w:jc w:val="both"/>
      </w:pPr>
      <w:r>
        <w:rPr>
          <w:bCs/>
        </w:rPr>
        <w:t>Atliktas Lietuvos sveikatos programos įgyvendinimo tarpinis vertinimas</w:t>
      </w:r>
      <w:r>
        <w:t xml:space="preserve"> (Li</w:t>
      </w:r>
      <w:r>
        <w:rPr>
          <w:noProof/>
        </w:rPr>
        <w:t xml:space="preserve">etuvos Respublikos sveikatos apsaugos ministro 2008 m. gruodžio 4 d. įsakymas Nr. V-1183 ,,Dėl Lietuvos sveikatos programos tarpinio vertinimo ataskaitos patvirtinimo“), kurio metu </w:t>
      </w:r>
      <w:r>
        <w:t>nustatyti demografinių ir gyventojų sveikatos rodiklių pokyčiai bei išanalizuotos šių pokyčių priežastys, įvertinti ir apibendrinti vykdomos sveikatos apsaugos sistemos reformos rezultatai, išanalizuotas Lietuvos sveikatos programos siekių, tikslų ir uždavinių įgyvendinimas.</w:t>
      </w:r>
    </w:p>
    <w:p w:rsidR="00DD08F5" w:rsidRDefault="00DD08F5" w:rsidP="00DD08F5">
      <w:pPr>
        <w:ind w:firstLine="720"/>
        <w:jc w:val="both"/>
      </w:pPr>
      <w:r>
        <w:rPr>
          <w:noProof/>
        </w:rPr>
        <w:t xml:space="preserve">Ypatingas dėmesys yra skiriamas programoms. </w:t>
      </w:r>
      <w:r>
        <w:t xml:space="preserve">Sveikatos apsaugos ministerija koordinuoja daugiau kaip 50 Lietuvos Respublikos Seimo, Lietuvos Respublikos Vyriausybės, sveikatos apsaugos ministro patvirtintų programų įgyvendinimą. </w:t>
      </w:r>
      <w:r>
        <w:rPr>
          <w:noProof/>
        </w:rPr>
        <w:t>Įgyvendinamos ir numatomos įgyvendinti sveikatos programos atitinka prioritetines Sveikatos priežiūros reformos tikslų ir uždavinių įgyvendinimo strategijos veiklos kryptis – motinos ir vaiko sveikatos apsaugos, sveikatos politikos, sveikatos priežiūros reformos, neinfekcinių ligų profilaktikos ir kontrolės, užkrečiamųjų ligų profilaktikos ir kontrolės, aplinkos ir sveikatos.</w:t>
      </w:r>
    </w:p>
    <w:p w:rsidR="00DD08F5" w:rsidRDefault="00DD08F5" w:rsidP="00DD08F5">
      <w:pPr>
        <w:ind w:firstLine="720"/>
        <w:jc w:val="both"/>
      </w:pPr>
      <w:r>
        <w:t>Vykdant Sveikatos sistemos plėtros programos 22 priemonę „Vykdyti strategijose ir sveikatos programose numatytas priemones bei Lisabonos strategijos 3.1.14 ir 3.1.17 priemones“ sveikatos ir su sveikata susijusių programų įgyvendinimui 2008 m. Sveikatos apsaugos ministerija skyrė 1748,7 tūkst. litų.</w:t>
      </w:r>
    </w:p>
    <w:p w:rsidR="00DD08F5" w:rsidRDefault="00DD08F5" w:rsidP="00DD08F5">
      <w:pPr>
        <w:ind w:firstLine="720"/>
        <w:jc w:val="both"/>
      </w:pPr>
      <w:r>
        <w:t xml:space="preserve">2008 m. Blaivybės metų programai įgyvendinti SAM iniciatyva buvo išleistas ir išplatintas būsimiems tėvams skirtas leidinys </w:t>
      </w:r>
      <w:r>
        <w:rPr>
          <w:bCs/>
        </w:rPr>
        <w:t>apie alkoholio vartojimo žalą,</w:t>
      </w:r>
      <w:r>
        <w:t xml:space="preserve"> paskelbtas geriausios bendruomenės programos, skirtos alkoholio vartojimo prevencijai vykdyti, konkursas,  bendruomenių ir ugdymo įstaigų Blaivybės metams skirtiems projektams remti; parengtas mokomasis informacinis leidinys (spalvinimo knygelė) jaunesniųjų klasių moksleiviams, surengtas nacionalinis forumas, skirtas Blaivybės metams paminėti, organizuota akcija transporto priemonių vairuotojams – 25 tūkst. vnt. tiražu išleisti ir išplatinti lipdukai „Nevairuok išgėręs“. Narkotikų kontrolės departamentas prie Lietuvos Respublikos Vyriausybės organizavo straipsnių blaivybės temomis konkursą, seminarus-diskusijas skirtas Kauno, Šiaulių, Marijampolės ir Vilniaus apskričių specialistams.</w:t>
      </w:r>
    </w:p>
    <w:p w:rsidR="00DD08F5" w:rsidRDefault="00DD08F5" w:rsidP="00DD08F5">
      <w:pPr>
        <w:ind w:firstLine="720"/>
        <w:jc w:val="both"/>
      </w:pPr>
      <w:r>
        <w:t xml:space="preserve">Įgyvendinant Valstybės alkoholio kontrolės programą, 2008 m. buvo atliktas tyrimas alkoholio vartojimo įtakos sveikatai, nusikalstamumui ir teisėtvarkos pažeidimams tirti, surengti seminarai, konferencijos alkoholio prevencijos klausimais. </w:t>
      </w:r>
    </w:p>
    <w:p w:rsidR="00DD08F5" w:rsidRDefault="00DD08F5" w:rsidP="00DD08F5">
      <w:pPr>
        <w:ind w:firstLine="720"/>
        <w:jc w:val="both"/>
      </w:pPr>
      <w:r>
        <w:t xml:space="preserve">Įgyvendinant Valstybės </w:t>
      </w:r>
      <w:r>
        <w:rPr>
          <w:bCs/>
        </w:rPr>
        <w:t xml:space="preserve">tabako </w:t>
      </w:r>
      <w:r>
        <w:t>kontrolės programą, 2008 m. buvo organizuota kampanija Pasaulinei dienai be tabako paminėti; parengti nerūkymo propagavimo projektai žiniasklaidos priemonėse; parengti moterų rūkymo prevencijos projektai; gydytojams, mokyklose dirbantiems sveikatos priežiūros ir socialiniams darbuotojams, psichologams. organizuoti kvalifikacijos tobulinimo kursai.</w:t>
      </w:r>
    </w:p>
    <w:p w:rsidR="00DD08F5" w:rsidRDefault="00DD08F5" w:rsidP="00DD08F5">
      <w:pPr>
        <w:ind w:firstLine="720"/>
        <w:jc w:val="both"/>
      </w:pPr>
      <w:r>
        <w:rPr>
          <w:bCs/>
        </w:rPr>
        <w:t xml:space="preserve">Įgyvendinant Nacionalinę narkotikų kontrolės ir narkomanijos prevencijos 2004–2008 m. programą, 2008 metais visuomenė buvo informuota apie psichiką veikiančių medžiagų žalingą poveikį, priklausomybės ligų ypatumus ir medicininės, psichologinės, socialinės reabilitacijos paslaugų teikimą vaikams, vartojantiems psichiką veikiančias medžiagas, organizuoti mokymai </w:t>
      </w:r>
      <w:r>
        <w:rPr>
          <w:bCs/>
        </w:rPr>
        <w:lastRenderedPageBreak/>
        <w:t>prevencinio darbo grupėms ir specialistams, teikiantiems ankstyvosios intervencijos paslaugas mokyklose bei vaikų globos įstaigose</w:t>
      </w:r>
      <w:r>
        <w:t>.</w:t>
      </w:r>
    </w:p>
    <w:p w:rsidR="00DD08F5" w:rsidRDefault="00DD08F5" w:rsidP="00DD08F5">
      <w:pPr>
        <w:ind w:firstLine="720"/>
        <w:jc w:val="both"/>
        <w:rPr>
          <w:noProof/>
          <w:lang w:val="es-ES"/>
        </w:rPr>
      </w:pPr>
      <w:r>
        <w:t>Sveikatos apsaugos ministerijos duomenimis, p</w:t>
      </w:r>
      <w:r>
        <w:rPr>
          <w:bCs/>
          <w:noProof/>
          <w:lang w:val="es-ES"/>
        </w:rPr>
        <w:t>asinaudojant ES struktūrinių fondų finansine parama modernizuoti ir optimizuoti sveikatos priežiūros sektoriaus infrastruktūrą,</w:t>
      </w:r>
      <w:r>
        <w:rPr>
          <w:noProof/>
          <w:lang w:val="es-ES"/>
        </w:rPr>
        <w:t xml:space="preserve"> Sveikatos apsaugos ministerija </w:t>
      </w:r>
      <w:r>
        <w:rPr>
          <w:bCs/>
          <w:noProof/>
          <w:szCs w:val="28"/>
          <w:lang w:val="es-ES"/>
        </w:rPr>
        <w:t>įgyvendino BPD priemonę</w:t>
      </w:r>
      <w:r>
        <w:rPr>
          <w:noProof/>
          <w:szCs w:val="28"/>
          <w:lang w:val="es-ES"/>
        </w:rPr>
        <w:t xml:space="preserve"> -</w:t>
      </w:r>
      <w:r>
        <w:rPr>
          <w:noProof/>
          <w:snapToGrid w:val="0"/>
          <w:color w:val="000000"/>
          <w:lang w:val="es-ES"/>
        </w:rPr>
        <w:t xml:space="preserve">,,Sveikatos priežiūros įstaigų restruktūrizavimas ir modernizavimas“), kuriai </w:t>
      </w:r>
      <w:r>
        <w:rPr>
          <w:noProof/>
          <w:lang w:val="es-ES"/>
        </w:rPr>
        <w:t xml:space="preserve">skyrė – 148,05 mln. litų. Šioje programoje vartojama sąvoka „Bendrosios praktikos gydytojas” (BPG) atitinka sąvoką </w:t>
      </w:r>
      <w:r>
        <w:rPr>
          <w:bCs/>
          <w:noProof/>
          <w:lang w:val="es-ES"/>
        </w:rPr>
        <w:t>„šeimos gydytojas”.</w:t>
      </w:r>
    </w:p>
    <w:p w:rsidR="00DD08F5" w:rsidRDefault="00DD08F5" w:rsidP="00DD08F5">
      <w:pPr>
        <w:ind w:firstLine="720"/>
        <w:jc w:val="both"/>
        <w:rPr>
          <w:noProof/>
          <w:lang w:val="es-ES"/>
        </w:rPr>
      </w:pPr>
      <w:r>
        <w:t xml:space="preserve">Sveikatos apsaugos ministerijos duomenimis, </w:t>
      </w:r>
      <w:r>
        <w:rPr>
          <w:noProof/>
          <w:lang w:val="es-ES"/>
        </w:rPr>
        <w:t>ES parama buvo skiriama dviem veiklos sritims:</w:t>
      </w:r>
    </w:p>
    <w:p w:rsidR="00DD08F5" w:rsidRDefault="00DD08F5" w:rsidP="00DD08F5">
      <w:pPr>
        <w:ind w:firstLine="720"/>
        <w:jc w:val="both"/>
        <w:rPr>
          <w:noProof/>
          <w:lang w:val="es-ES"/>
        </w:rPr>
      </w:pPr>
      <w:r>
        <w:rPr>
          <w:noProof/>
          <w:lang w:val="es-ES"/>
        </w:rPr>
        <w:t xml:space="preserve">1. </w:t>
      </w:r>
      <w:r>
        <w:rPr>
          <w:bCs/>
          <w:noProof/>
          <w:lang w:val="es-ES"/>
        </w:rPr>
        <w:t>Kardiologinės</w:t>
      </w:r>
      <w:r>
        <w:rPr>
          <w:noProof/>
          <w:lang w:val="es-ES"/>
        </w:rPr>
        <w:t xml:space="preserve"> sveikatos priežiūros paslaugų stiprinimas ir plėtra modernizuojant sveikatos priežiūros įstaigas. Šios veiklos srities paramos tikslas - plėtoti kardiologinės sveikatos priežiūros sistemą bei šias paslaugas teikiančių sveikatos priežiūros įstaigų infrastruktūrą: stiprinti ligų prevenciją bei gydymą, plėsti konsultacines bei diagnostikos paslaugas visose sveikatos priežiūros sistemos grandyse; optimizuoti ir modernizuoti stacionarinės pagalbos tinklą regionuose subalansuojant pacientų srautus ir gerinti specializuotų sveikatos priežiūros paslaugų prieinamumą </w:t>
      </w:r>
      <w:r>
        <w:rPr>
          <w:bCs/>
          <w:lang w:val="es-ES"/>
        </w:rPr>
        <w:t>rytų ir pietryčių Lietuvos regionų gyventojams</w:t>
      </w:r>
      <w:r>
        <w:rPr>
          <w:noProof/>
          <w:lang w:val="es-ES"/>
        </w:rPr>
        <w:t xml:space="preserve">, nes </w:t>
      </w:r>
      <w:r>
        <w:rPr>
          <w:lang w:val="es-ES"/>
        </w:rPr>
        <w:t>šis regionas išsiskiria sergamumo bei mirštamumo nuo širdies ir kraujagyslių ligų rodikliais.</w:t>
      </w:r>
    </w:p>
    <w:p w:rsidR="00DD08F5" w:rsidRDefault="00DD08F5" w:rsidP="00DD08F5">
      <w:pPr>
        <w:ind w:firstLine="720"/>
        <w:jc w:val="both"/>
        <w:rPr>
          <w:noProof/>
          <w:lang w:val="es-ES"/>
        </w:rPr>
      </w:pPr>
      <w:r>
        <w:rPr>
          <w:noProof/>
          <w:lang w:val="es-ES"/>
        </w:rPr>
        <w:t xml:space="preserve">2. </w:t>
      </w:r>
      <w:r>
        <w:rPr>
          <w:bCs/>
          <w:noProof/>
          <w:lang w:val="es-ES"/>
        </w:rPr>
        <w:t>Bendrosios praktikos gydytojų</w:t>
      </w:r>
      <w:r>
        <w:rPr>
          <w:noProof/>
          <w:lang w:val="es-ES"/>
        </w:rPr>
        <w:t xml:space="preserve"> paslaugų infrastruktūros plėtra ir modernizavimas. Šios veiklos srities tikslas – prisidėti prie pirminės sveikatos priežiūros sistemos, galinčios tinkamai spręsti pagrindines sveikatos išsaugojimo, ligų profilaktikos, gydymo, taip pat ir socialines problemas, plėtojimo. Prioritetas teikiamas plėtoti BPG paslaugų teikimą kaimo ir atokių vietovių gyventojams. Parama teikiama pirminės sveikatos priežiūros įstaigų BPG paslaugų tinklo infrastruktūrai atnaujinti ir kompiuterizuoti, naujoms technologijoms bei medicinos įrangai diegti.</w:t>
      </w:r>
    </w:p>
    <w:p w:rsidR="00DD08F5" w:rsidRDefault="00DD08F5" w:rsidP="00DD08F5">
      <w:pPr>
        <w:jc w:val="both"/>
        <w:rPr>
          <w:noProof/>
          <w:lang w:val="es-ES"/>
        </w:rPr>
      </w:pPr>
      <w:r>
        <w:rPr>
          <w:noProof/>
          <w:lang w:val="es-ES"/>
        </w:rPr>
        <w:t xml:space="preserve">Atsižvelgus į projektų vykdytojų – sveikatos priežiūros įstaigų skaičių ir jų aptarnaujamų gyventojų skaičių, 2008 m. užsibrėžtas tikslas – pirminės sveikatos priežiūros paslaugų kokybę ir prieinamumą pagerinti 790000 gyventojų. </w:t>
      </w:r>
    </w:p>
    <w:p w:rsidR="00DD08F5" w:rsidRDefault="00DD08F5" w:rsidP="00DD08F5">
      <w:pPr>
        <w:ind w:firstLine="720"/>
        <w:jc w:val="both"/>
      </w:pPr>
      <w:r>
        <w:t xml:space="preserve">2008 m. Blaivybės metų programai įgyvendinti Sveikatos apsaugos ministerijos iniciatyva buvo išleisti ir išplatinti būsimiems tėvams skirtas leidinys apie alkoholio vartojimo žalą, paskelbtas konkursas geriausios bendruomenės programos, skirtos alkoholio vartojimo prevencijai vykdyti, bendruomenių ir ugdymo įstaigų Blaivybės metams skirtiems projektams remti; parengtas mokomasis informacinis leidinys (spalvinimo knygelė) jaunesniųjų klasių moksleiviams, surengtas nacionalinis forumas, skirtas Blaivybės metams paminėti, organizuota akcija transporto priemonių vairuotojams – 25 tūkst. vnt. tiražu išleisti ir išplatinti lipdukai „Nevairuok išgėręs“. Švietimo ir mokslo ministerija organizavo Psichoaktyviųjų medžiagų vartojimo prevencijos projektų rėmimo konkursą. Lėšos buvo paskirstytos savivaldybių administracijoms, apskričių viršininkų administracijoms bei nacionalinių projektų vykdytojams. Paremti 4 projektai, skirti Blaivybės metų programai įgyvendinti. Kultūros ministerija surengė tarpinstitucinę konferenciją, skirtą vyskupo Motiejaus Valančiaus blaivybės idėjoms propaguoti ir skleisti. Konferencija vyko Panevėžyje, dalyvavo 100 žmonių. Valstybinė darbo inspekcija, išanalizavusi užsienio šalių ir Lietuvos Respublikos įmonių turimą alkoholio vartojimo prevencijos darbo vietose praktiką, parengė rekomendacijas alkoholiui darbe, kaip rizikos veiksniui šalinti šalies įmonėse, įstaigose ir organizacijose (Žin. 2008, Nr. 73-2849); parengė Nušalinimo nuo darbo dėl neblaivumo (girtumo) ar apsvaigimo nuo psichiką veikiančių medžiagų metodines rekomendacijas su priedais (Žin. 2008, Nr. 55-2113); internete patalpino sąrašą įmonių, kuriose nelaimingų atsitikimų darbe metu žuvo neblaivūs darbuotojai, pateikiant ir trumpus įvykių aplinkybių aprašymus ir kt. Narkotikų kontrolės departamentas prie Lietuvos Respublikos Vyriausybės bei Jaunimo reikalų departamentas prie Socialinės apsaugos ir darbo ministerijos organizavo straipsnių blaivybės temomis konkursą, seminarus-diskusijas, skirtas Kauno, Šiaulių, Marijampolės ir Vilniaus apskričių specialistams.       </w:t>
      </w:r>
    </w:p>
    <w:p w:rsidR="00DD08F5" w:rsidRDefault="00DD08F5" w:rsidP="00DD08F5">
      <w:pPr>
        <w:ind w:firstLine="720"/>
        <w:jc w:val="both"/>
        <w:rPr>
          <w:lang w:val="es-ES"/>
        </w:rPr>
      </w:pPr>
      <w:r>
        <w:t xml:space="preserve">2008 m. Valstybės alkoholio kontrolės programai įgyvendinti Sveikatos apsaugos ministerijos iniciatyva buvo atlikti alkoholio vartojimo įtakos sveikatai, nusikalstamumui ir teisėtvarkos pažeidimams tyrimas; surengti seminarai, konferencijos alkoholio prevencijos klausimais. Vidaus reikalų ministerija pateikė statistinius duomenis apie nusikalstamas veiklas, kurių padarymu įtariami (kaltinami) neblaivūs asmenys, duomenis apie eismo įvykius, trumpą statistinės informacijos analizę ir duomenų vertinimą. </w:t>
      </w:r>
      <w:r>
        <w:rPr>
          <w:lang w:val="es-ES"/>
        </w:rPr>
        <w:t xml:space="preserve">Muitinės departamentas prie Finansų ministerijos inicijavo projektą dėl transporto priemonių valstybinių numerių atpažinimo. Vidaus reikalų ministerija ir jos valdymo srities įstaigos vykdė kovos su kontrabanda priemones. Valstybės sienos apsaugos prie Vidaus reikalų ministerijos vykdė kovos su kontrabanda ir nelegalia prekių apyvarta priemones. </w:t>
      </w:r>
    </w:p>
    <w:p w:rsidR="00DD08F5" w:rsidRDefault="00DD08F5" w:rsidP="00DD08F5">
      <w:pPr>
        <w:ind w:firstLine="720"/>
        <w:jc w:val="both"/>
        <w:rPr>
          <w:lang w:val="es-ES"/>
        </w:rPr>
      </w:pPr>
      <w:r>
        <w:rPr>
          <w:lang w:val="es-ES"/>
        </w:rPr>
        <w:lastRenderedPageBreak/>
        <w:t xml:space="preserve">2008 m. Valstybės tabako kontrolės programai įgyvendinti Sveikatos apsaugos ministerijos iniciatyva buvo organizuota kampanija Pasaulinei dienai be tabako paminėti; parengti nerūkymo propagavimo žiniasklaidos priemonėms projektai; parengti moterų rūkymo prevencijos projektai; organizuoti kvalifikacijos tobulinimo kursai gydytojams, mokyklose dirbantiems sveikatos priežiūros ir socialiniams darbuotojams, psichologams. Muitinės departamentas prie Finansų ministerijos ir Finansinių nusikaltimų tyrimo tarnyba prie Vidaus reikalų ministerijos plėtojo eksportuojamų ir importuojamų tabako gaminių stebėsenos ir rizikos valdymo sistemą. Policijos departamentas prie Vidaus reikalų ministerijos kontroliavo, kad būtų paisoma draudimo rūkyti tose vietose, kuriose pagal LR tabako kontrolės įstatymą tai daryti draudžiama. Jaunimo reikalų departamentas prie Socialinės apsaugos ir darbo ministerijos skelbė Jaunimo atrankinės ir tikslinės psichoaktyviųjų medžiagų vartojimo prevencijos projektų finansavimo konkursą. Šiam konkursui projektus teikė jaunimo ir su jaunimu dirbančios nevyriausybinės organizacijos. Konkurso nuostatuose išskirtas prioritetas – „tabako gaminių vartojimo prevencijos skatinimas“. Šį prioritetą atitiko keletas projektų. Kultūros ministerija, vykdydama priemonę „išanalizuoti ir prireikus pateikti Lietuvos Respublikos Vyriausybei teisės aktų dėl rūkymo scenų jaunimui skirtose televizijos laidose uždraudimo projektus“, išanalizavo nepilnamečių bei žmogaus orumo apsaugos žiniasklaidoje reglamentavimas bei nustatyta, kad tesės aktų keitimas priemonėje numatyta apimtimi nėra tikslingas. Kultūros ministerija dalyvavo Seime sudarytos darbo grupės veikloje, kuri parengė naujos redakcijos Lietuvos Respublikos Nepilnamečių apsaugos nuo neigiamos viešosios informacijos poveikio įstatymo pakeitimo įstatymo projektą. </w:t>
      </w:r>
    </w:p>
    <w:p w:rsidR="00DD08F5" w:rsidRDefault="00DD08F5" w:rsidP="00DD08F5">
      <w:pPr>
        <w:ind w:firstLine="720"/>
        <w:jc w:val="both"/>
        <w:rPr>
          <w:lang w:val="es-ES"/>
        </w:rPr>
      </w:pPr>
      <w:r>
        <w:rPr>
          <w:lang w:val="es-ES"/>
        </w:rPr>
        <w:t xml:space="preserve">2008 m. Nacionalinei narkotikų kontrolės ir narkomanijos prevencijos 2004–2008 metų programai įgyvendinti Sveikatos apsaugos ministerija pagal paklausimą Narkotikų kontrolės departamentui prie Lietuvos Respublikos Vyriausybės teikė </w:t>
      </w:r>
      <w:r>
        <w:rPr>
          <w:color w:val="000000"/>
          <w:lang w:val="es-ES"/>
        </w:rPr>
        <w:t xml:space="preserve">informaciją apie sergamumą ūminiais virusiniais C ir B hepatitais, jų perdavimo kelius, susirgimų šiomis infekcijomis epidemiologinius ypatumus tarp švirkščiamąsias narkotines medžiagas vartojančių asmenų. </w:t>
      </w:r>
      <w:r>
        <w:rPr>
          <w:lang w:val="es-ES"/>
        </w:rPr>
        <w:t xml:space="preserve">Dalyvavo Narkotikų kontrolės departamento organizuotose dviejose tarptautinėse konferencijose „Narkotikų vartojimo žalos mažinimo programos Europoje: praktika, problemos, perspektyvos“, „Narkotikų vartojimas ir narkomanijos prevencija 2008 m.: jaunimas ir narkotikai“. Psichikos sveikatos centras įgyvendino šias priemones: </w:t>
      </w:r>
      <w:r>
        <w:rPr>
          <w:i/>
          <w:lang w:val="es-ES"/>
        </w:rPr>
        <w:t xml:space="preserve"> </w:t>
      </w:r>
      <w:r>
        <w:rPr>
          <w:lang w:val="es-ES"/>
        </w:rPr>
        <w:t>„Informuoti visuomenę apie psichiką veikiančių medžiagų žalingą poveikį, priklausomybės ligų ypatumus ir medicininės, psichologinės, socialinės reabilitacijos paslaugų teikimą vaikams, vartojantiems psichiką veikiančias medžiagas“, „Organizuoti kvalifikacijos tobulinimo kursus pedagogams, klasių auklėtojams, socialiniams pedagogams, visuomenės sveikatos priežiūros specialistams, pirminės sveikatos priežiūros specialistams, dirbantiems psichoaktyviųjų medžiagų prevencijos ir narkotikų kontrolės srityje, savivaldybių administracijų švietimo padalinių specialistams ir mokyklose įsteigtų prevencinio darbo grupių atstovams psichoaktyviųjų medžiagų prevencijos ir ankstyvosios intervencijos klausimais“ (apmokyti 44 dalyviai). Visuomenė buvo informuota apie psichiką veikiančių medžiagų žalingą poveikį, priklausomybės ligų ypatumus ir medicininės, psichologinės, socialinės reabilitacijos paslaugų teikimą vaikams, vartojantiems psichiką veikiančias medžiagas, organizuoti mokymai prevencinio darbo grupėms ir specialistams, teikiantiems ankstyvosios intervencijos paslaugas mokyklose bei vaikų globos įstaigose.</w:t>
      </w:r>
    </w:p>
    <w:p w:rsidR="00DD08F5" w:rsidRDefault="00DD08F5" w:rsidP="00DD08F5">
      <w:pPr>
        <w:ind w:firstLine="720"/>
        <w:jc w:val="both"/>
        <w:rPr>
          <w:lang w:val="es-ES"/>
        </w:rPr>
      </w:pPr>
      <w:r>
        <w:rPr>
          <w:lang w:val="es-ES"/>
        </w:rPr>
        <w:t xml:space="preserve">2008 m. Valstybinei lytiškai plintančių infekcijų profilaktikos ir kontrolės 2006–2009 m. programai įgyvendinti Sveikatos apsaugos ministerijos iniciatyva buvo pagerinta venerologinę pagalbą teikiančių asmens sveikatos priežiūros įstaigų techninė bazė. Policijos departamentas prie Vidaus reikalų ministerijos į policijos pareigūnų pirmosios medicinos pagalbos mokymo programą įtraukė ŽIV (AIDS) bei kitų lytiškai plintančių infekcijų profilaktikos klausimus. Buvo organizuota 14 kvalifikacijos tobulinimosi renginių, kuriuose dalyvavo 258 policijos pareigūnai. Lietuvos kariuomenės Dr. Jono Basanavičiaus karo medicinos tarnyba teikė  Lietuvos karo akademijos kariūnams ir privalomosios pradinės, profesinės, savanoriškos karo tarnybos kariams lytiškai plintančių infekcijų diagnostikos ir gydymo paslaugas; informavo kariūnus apie infekcijų plitimo būdus ir profilaktiką. Kalėjimų departamentas prie Lietuvos Respublikos Vyriausybės užtikrino lytiškai plintančių infekcijų diagnostiką, profilaktiką ir kontrolę 80 proc. asmenų, esančių laisvės atėmimo vietose. 92 proc. suimtųjų ištyrė dėl sifilio. Švietimo ir mokslo ministerija, Lietuvos Respublikos Vyriausybės 2007 m. rugsėjo 5 d. nutarimu Nr. 948 patvirtintame Nacionalinės demografinės (gyventojų) politikos strategijos šeimos gerovės įgyvendinimo 2008–2010 m. priemonių plane numatė priemonę „Užtikrinti, kad mokyklose būtų vykdoma rengimo šeimai ir lytiškumo ugdymo programa“. Bendruosiuose ugdymo planuose 2008–2009 m. numatyta vykdyti Rengimo šeimai ir lytiškumo ugdymo programą.     </w:t>
      </w:r>
    </w:p>
    <w:p w:rsidR="00DD08F5" w:rsidRDefault="00DD08F5" w:rsidP="00DD08F5">
      <w:pPr>
        <w:ind w:firstLine="720"/>
        <w:jc w:val="both"/>
      </w:pPr>
      <w:r>
        <w:rPr>
          <w:lang w:val="es-ES"/>
        </w:rPr>
        <w:lastRenderedPageBreak/>
        <w:t xml:space="preserve">2008 m. Valstybinei ŽIV/AIDS profilaktikos ir kontrolės 2003–2008 metų programai įgyvendinti Vidaus reikalų ministerija organizavo Vidaus reikalų ministerijos kompetencijai priskirtą vidaus tarnybos sistemos pareigūnų sveikatinimo veiklą ir socialinių garantijų realizavimą, užtikrinti įstaigų prie Vidaus reikalų ministerijos ir Vidaus reikalų ministerijos įsteigtų sveikatos priežiūros veiklą. </w:t>
      </w:r>
      <w:r>
        <w:t xml:space="preserve">Per 2008 m. epidemiologiniai tyrimai atlikti 7 vidaus reikalų įstaigose; Valstybės sienos apsaugos tarnybos prie VRM (toliau – VSAT) Pasieniečių mokykloje, VSAT Vilniaus rinktinės Padvarionių užkardoje, VSAT Vilniaus rinktinės Oro uosto užkardoje, Vilniaus apskrities vyriausiame policijos komisariate, šio komisariato Vilniaus m. 1-e ir 3-e policijos komisariatuose, Policijos departamento prie VRM Kriminalinės policijos biure). Lietuvos kariuomenės Dr. Jono Basanavičiaus karo medicinos tarnyba vykdė ŽIV plitimo lytiniu būdu profilaktiką. Teikė karių sveikatos priežiūros įstaigoms informaciją apie ŽIV ir su juo susijusių infekcijų epidemiologinę būklę Lietuvoje ir kariuomenėje; išleido 2 informacinius biuletenius. Taip pat organizavo švietėjiškas ŽIV ir su juo susijusių infekcijų, narkomanijos profilaktikos priemones privalomosios karinės ir profesinės tarnybos kariams. Paskaitas išklausiusiųjų karių skaičius – 50 proc. nuo bendro karių skaičiaus. Lietuvos kariuomenės Dr. Jono Basanavičiaus karo medicinos tarnyba surengė 6 masinius ir specialius renginius narkomanijos, ŽIV ir su juo susijusių infekcijų profilaktikos klausimais. Tarnyba parengė 20 karių savanorių dirbti ŽIV/AIDS ir su jais susijusių infekcijų, narkomanijos profilaktikos darbus; parengė 20 karo medicinos darbuotojų galinčių teikti konsultacijas ir informaciją; pravedė seminarus, paskaitas karo vadams apie ŽIV, narkomanija; atliko 100 proc. nuo išvykusiųjų skaičiaus profilaktinių tyrimų dėl ŽIV, hepatito B, C ir LPI. Kalėjimų departamentas prie Lietuvos Respublikos Vyriausybės ištyrė 80 proc. nuteistųjų dėl ŽIV ir kitų užkrečiamųjų ligų laisvės atėmimo vietose, taip pat 80 proc. nuteistųjų supažindino su ŽIV perdavimo būdais ir profilaktika. Švietimo ir mokslo ministerija vykdė konkurso „Mes prieš AIDS“, skirto Pasaulinei AIDS dienai, tęstinį projektą – moksleivių piešinio, rašinio, kompiuterinio plakato ir fotografijos (vyksta nuo 1994 m.) bei socialinės reklamos ŽIV/AIDS tema konkursą „Mes prieš AIDS“ (vyksta nuo 1999 m.).     </w:t>
      </w:r>
      <w:r>
        <w:rPr>
          <w:color w:val="FF0000"/>
        </w:rPr>
        <w:t xml:space="preserve"> </w:t>
      </w:r>
    </w:p>
    <w:p w:rsidR="00DD08F5" w:rsidRDefault="00DD08F5" w:rsidP="00DD08F5">
      <w:pPr>
        <w:jc w:val="both"/>
        <w:rPr>
          <w:bCs/>
          <w:color w:val="FF6600"/>
        </w:rPr>
      </w:pPr>
      <w:r>
        <w:rPr>
          <w:bCs/>
        </w:rPr>
        <w:t xml:space="preserve">          Sveikatos apsaugos ministerijos duomenimis, numatomos artimiausio laikotarpio veiklos prioritetinės kryptys: </w:t>
      </w:r>
    </w:p>
    <w:p w:rsidR="00DD08F5" w:rsidRDefault="00DD08F5" w:rsidP="00DD08F5">
      <w:pPr>
        <w:jc w:val="both"/>
        <w:rPr>
          <w:lang w:val="es-ES"/>
        </w:rPr>
      </w:pPr>
      <w:r>
        <w:tab/>
        <w:t>- kad s</w:t>
      </w:r>
      <w:r>
        <w:rPr>
          <w:lang w:val="es-ES"/>
        </w:rPr>
        <w:t>veikatos apsaugos sistema, atitinkanti modernios visuomenės sveikatos koncepciją ir Europos Sąjungos bei Pasaulio sveikatos organizacijos „Sveikata visiems XXI amžiuje principus“, taptų draugiška, į gyventojus orientuota, jų teises gerbiančia ir prieinamas kokybiškas paslaugas teikiančia sistema, kurioje svarbiausi sprendimai priimami tariantis su visuomene;</w:t>
      </w:r>
    </w:p>
    <w:p w:rsidR="00DD08F5" w:rsidRDefault="00DD08F5" w:rsidP="00DD08F5">
      <w:pPr>
        <w:jc w:val="both"/>
        <w:rPr>
          <w:lang w:val="es-ES"/>
        </w:rPr>
      </w:pPr>
      <w:r>
        <w:rPr>
          <w:lang w:val="es-ES"/>
        </w:rPr>
        <w:tab/>
        <w:t>- kokybiškos ir prieinamos paslaugos visų pirma susijusios su finansiniais ištekliais ir jų racionaliu naudojimu. Todėl ypatingą dėmesį skirs sveikatos priežiūros paslaugų kokybei ir atliks išlaidų, skirtų sveikatos priežiūrai, efektyvumo analizę. Gauti duomenys leis racionaliai panaudoti ir koncentruoti finansinius bei kitus išteklius toms sveikatos sritims, kurios gali efektyviausiai sumažinti žmonių sergamumą ir mirtingumą;</w:t>
      </w:r>
    </w:p>
    <w:p w:rsidR="00DD08F5" w:rsidRDefault="00DD08F5" w:rsidP="00DD08F5">
      <w:pPr>
        <w:jc w:val="both"/>
        <w:rPr>
          <w:lang w:val="es-ES"/>
        </w:rPr>
      </w:pPr>
      <w:r>
        <w:rPr>
          <w:lang w:val="es-ES"/>
        </w:rPr>
        <w:tab/>
        <w:t>- numatoma, kad pagrindinis dėmesys ir finansiniai ištekliai valstybės mastu būtų koncentruojami sergamumo ir mirtingumo nuo labiausiai paplitusių ligų mažinimui, skatinant ligų prevenciją ir didinant piliečių atsakomybę už savo sveikatą. Būtų sudaroma galimybė didinti valstybės lėšas, skirtas sveikatos sistemai finansuoti, skatinti privataus sektoriaus dalies augimą, viešojo ir privataus sektorių partnerystės plėtrą sveikatos sektoriuje, tobulinti viešojo sveikatos sektoriaus reguliavimo principus ir metodus;</w:t>
      </w:r>
    </w:p>
    <w:p w:rsidR="00DD08F5" w:rsidRDefault="00DD08F5" w:rsidP="00DD08F5">
      <w:pPr>
        <w:ind w:firstLine="720"/>
        <w:jc w:val="both"/>
      </w:pPr>
      <w:r>
        <w:rPr>
          <w:lang w:val="es-ES"/>
        </w:rPr>
        <w:t xml:space="preserve">- </w:t>
      </w:r>
      <w:r>
        <w:rPr>
          <w:bCs/>
        </w:rPr>
        <w:t>numatoma stiprinti visuomenės sveikatos priežiūrą savivaldybėse plečiant savivaldybių</w:t>
      </w:r>
      <w:r>
        <w:t xml:space="preserve"> visuomenės sveikatos biurų tinklą, gerinant visuomenės sveikatos priežiūros paslaugų prieinamumą ir kokybę;</w:t>
      </w:r>
    </w:p>
    <w:p w:rsidR="00DD08F5" w:rsidRDefault="00DD08F5" w:rsidP="00DD08F5">
      <w:pPr>
        <w:ind w:firstLine="720"/>
        <w:jc w:val="both"/>
      </w:pPr>
      <w:r>
        <w:t>- įgyvendinant Psichikos sveikatos strategiją, prioritetas bus skiriamas modernių visuomenės psichikos sveikatos principų įgyvendinimui, savižudybių, prievartos, psichologinių krizių prevencijai ir gyventojų sveikatos ugdymui;</w:t>
      </w:r>
    </w:p>
    <w:p w:rsidR="00DD08F5" w:rsidRDefault="00DD08F5" w:rsidP="00DD08F5">
      <w:pPr>
        <w:ind w:firstLine="720"/>
        <w:jc w:val="both"/>
      </w:pPr>
      <w:r>
        <w:t>- numatoma toliau įgyvendinti tabako, alkoholio, narkotinių ir psichotropinių medžiagų vartojimo prevencijos, mitybos ir nutukimo prevencijos, vaikų sveikatos stiprinimo, traumatizmo, užkrečiamųjų ligų profilaktikos, neužkrečiamųjų ligų pirminės profilaktikos, kitas sveikatos stiprinimo ir profilaktikos programas;</w:t>
      </w:r>
    </w:p>
    <w:p w:rsidR="00DD08F5" w:rsidRDefault="00DD08F5" w:rsidP="00DD08F5">
      <w:pPr>
        <w:ind w:firstLine="720"/>
        <w:jc w:val="both"/>
      </w:pPr>
      <w:r>
        <w:t>- planuojama 2009 m. pradėti statyti Vilniaus universiteto ligoninės Santariškių klinikų Akušerijos ir chirurgijos korpusą, pastatyti Vilniaus universiteto vaikų ligoninės Pediatrijos centro, konsultacinės poliklinikos ir Vaiko raidos centro korpusą;</w:t>
      </w:r>
    </w:p>
    <w:p w:rsidR="00DD08F5" w:rsidRDefault="00DD08F5" w:rsidP="00DD08F5">
      <w:pPr>
        <w:ind w:firstLine="720"/>
        <w:jc w:val="both"/>
        <w:rPr>
          <w:lang w:val="es-ES"/>
        </w:rPr>
      </w:pPr>
      <w:r>
        <w:lastRenderedPageBreak/>
        <w:t xml:space="preserve">- </w:t>
      </w:r>
      <w:r>
        <w:rPr>
          <w:lang w:val="es-ES"/>
        </w:rPr>
        <w:t>plėtoti šeimos gydytojų, specializuotos ambulatorinės pagalbos, dienos chirurgijos ir dienos stacionarų paslaugos;</w:t>
      </w:r>
    </w:p>
    <w:p w:rsidR="00DD08F5" w:rsidRDefault="00DD08F5" w:rsidP="00DD08F5">
      <w:pPr>
        <w:ind w:firstLine="720"/>
        <w:jc w:val="both"/>
        <w:rPr>
          <w:lang w:val="es-ES"/>
        </w:rPr>
      </w:pPr>
      <w:r>
        <w:rPr>
          <w:lang w:val="es-ES"/>
        </w:rPr>
        <w:t>- peržiūrėti greitosios medicinos pagalbos paslaugų teikimo koncepciją;</w:t>
      </w:r>
    </w:p>
    <w:p w:rsidR="00DD08F5" w:rsidRDefault="00DD08F5" w:rsidP="00DD08F5">
      <w:pPr>
        <w:ind w:firstLine="720"/>
        <w:jc w:val="both"/>
        <w:rPr>
          <w:lang w:val="es-ES"/>
        </w:rPr>
      </w:pPr>
      <w:r>
        <w:rPr>
          <w:lang w:val="es-ES"/>
        </w:rPr>
        <w:t>- teikti kuo daugiau sveikatos paslaugų per bendruomenes ir paciento namuose, diegti naujas paslaugas;</w:t>
      </w:r>
    </w:p>
    <w:p w:rsidR="00DD08F5" w:rsidRDefault="00DD08F5" w:rsidP="00DD08F5">
      <w:pPr>
        <w:ind w:firstLine="720"/>
        <w:jc w:val="both"/>
        <w:rPr>
          <w:lang w:val="es-ES"/>
        </w:rPr>
      </w:pPr>
      <w:r>
        <w:rPr>
          <w:lang w:val="es-ES"/>
        </w:rPr>
        <w:t>- satinti kraujo ir organų donorystę;</w:t>
      </w:r>
    </w:p>
    <w:p w:rsidR="00DD08F5" w:rsidRDefault="00DD08F5" w:rsidP="00DD08F5">
      <w:pPr>
        <w:ind w:firstLine="720"/>
        <w:jc w:val="both"/>
        <w:rPr>
          <w:lang w:val="es-ES"/>
        </w:rPr>
      </w:pPr>
      <w:r>
        <w:rPr>
          <w:lang w:val="es-ES"/>
        </w:rPr>
        <w:t>-  tęsti psichikos sveikatos strategijos įgyvendinimą;</w:t>
      </w:r>
    </w:p>
    <w:p w:rsidR="00DD08F5" w:rsidRDefault="00DD08F5" w:rsidP="00DD08F5">
      <w:pPr>
        <w:ind w:firstLine="720"/>
        <w:jc w:val="both"/>
        <w:rPr>
          <w:lang w:val="es-ES"/>
        </w:rPr>
      </w:pPr>
      <w:r>
        <w:rPr>
          <w:lang w:val="es-ES"/>
        </w:rPr>
        <w:t>- efektyviau spręsti šeimų, turinčių vaisingumo sutrikimų, problemas;</w:t>
      </w:r>
    </w:p>
    <w:p w:rsidR="00DD08F5" w:rsidRDefault="00DD08F5" w:rsidP="00DD08F5">
      <w:pPr>
        <w:ind w:firstLine="720"/>
        <w:jc w:val="both"/>
      </w:pPr>
      <w:r>
        <w:rPr>
          <w:lang w:val="es-ES"/>
        </w:rPr>
        <w:t>- p</w:t>
      </w:r>
      <w:r>
        <w:t>lėtoti mokslinius tyrimus sveikatos politikos ir kitose srityse</w:t>
      </w:r>
    </w:p>
    <w:p w:rsidR="00DD08F5" w:rsidRDefault="00DD08F5" w:rsidP="00DD08F5">
      <w:pPr>
        <w:ind w:firstLine="720"/>
        <w:jc w:val="both"/>
      </w:pPr>
      <w:r>
        <w:t>- diegti naujas technologijas, nacionalinę elektroninę sveikatos sistemą;</w:t>
      </w:r>
    </w:p>
    <w:p w:rsidR="00DD08F5" w:rsidRDefault="00DD08F5" w:rsidP="00DD08F5">
      <w:pPr>
        <w:ind w:firstLine="720"/>
        <w:jc w:val="both"/>
      </w:pPr>
      <w:r>
        <w:t>- užtikrinti skaidrų ir efektyvų Europos Sąjungos lėšų naudojimą. Europos Sąjungos struktūrinių fondų lėšas naudos sveikatos priežiūros paslaugų infrastruktūrai gerinti, naujiems ir moderniems diagnostikos ir gydymo metodams diegti, gydymo procesui tobulinti;</w:t>
      </w:r>
    </w:p>
    <w:p w:rsidR="00DD08F5" w:rsidRDefault="00DD08F5" w:rsidP="00DD08F5">
      <w:pPr>
        <w:ind w:firstLine="720"/>
        <w:jc w:val="both"/>
      </w:pPr>
      <w:r>
        <w:t>- p</w:t>
      </w:r>
      <w:r>
        <w:rPr>
          <w:rStyle w:val="Grietas"/>
          <w:b w:val="0"/>
        </w:rPr>
        <w:t>ritraukti privatų kapitalą į sveikatos sistemą ir s</w:t>
      </w:r>
      <w:r>
        <w:t>katins privačių pirminės sveikatos priežiūros įstaigų plėtrą.</w:t>
      </w:r>
    </w:p>
    <w:p w:rsidR="00DD08F5" w:rsidRDefault="00DD08F5" w:rsidP="00DD08F5">
      <w:pPr>
        <w:ind w:firstLine="720"/>
        <w:jc w:val="both"/>
      </w:pPr>
      <w:r>
        <w:t>- skatinti papildomą savanorišką sveikatos draudimą, kurį įvedus būtų įgyvendintas principas ir nuostata „pinigai seka paskui pacientą“;</w:t>
      </w:r>
    </w:p>
    <w:p w:rsidR="00DD08F5" w:rsidRDefault="00DD08F5" w:rsidP="00DD08F5">
      <w:pPr>
        <w:ind w:firstLine="720"/>
        <w:jc w:val="both"/>
      </w:pPr>
      <w:r>
        <w:t>- sukurti informacinę sistemą (sveikatos draudimo sąskaita), kad kiekvienas mokesčių mokėtojas lengvai rastų informaciją, kiek sveikatos draudimo įmokų jis sumokėjo ir kokią jų dalį panaudojo savo sveikatai;</w:t>
      </w:r>
    </w:p>
    <w:p w:rsidR="00DD08F5" w:rsidRDefault="00DD08F5" w:rsidP="00DD08F5">
      <w:pPr>
        <w:ind w:firstLine="720"/>
        <w:jc w:val="both"/>
      </w:pPr>
      <w:r>
        <w:t>-  sieks išgyvendinti korupciją ir nelegalius mokėjimus sveikatos sistemoje;</w:t>
      </w:r>
    </w:p>
    <w:p w:rsidR="00DD08F5" w:rsidRDefault="00DD08F5" w:rsidP="00DD08F5">
      <w:pPr>
        <w:ind w:firstLine="720"/>
        <w:jc w:val="both"/>
      </w:pPr>
      <w:r>
        <w:t>- skatins aktyvų pacientų organizacijų dalyvavimą priimant svarbius sveikatos sistemos sprendimus;</w:t>
      </w:r>
    </w:p>
    <w:p w:rsidR="00DD08F5" w:rsidRDefault="00DD08F5" w:rsidP="00DD08F5">
      <w:pPr>
        <w:ind w:firstLine="720"/>
        <w:jc w:val="both"/>
      </w:pPr>
      <w:r>
        <w:t>- didins nevyriausybinių organizacijų vaidmenį, įtraukdami jas į asmens sveikatos priežiūros paslaugų teikimą;</w:t>
      </w:r>
    </w:p>
    <w:p w:rsidR="00DD08F5" w:rsidRDefault="00DD08F5" w:rsidP="00DD08F5">
      <w:pPr>
        <w:ind w:firstLine="720"/>
        <w:jc w:val="both"/>
      </w:pPr>
      <w:r>
        <w:t>- peržiūrėti pacientų teisių ir žalos atlyginimo įstatymą, ypatingą dėmesį skirdami žalos atlyginimo „be kaltės“ sistemos sukūrimui;</w:t>
      </w:r>
    </w:p>
    <w:p w:rsidR="00DD08F5" w:rsidRDefault="00DD08F5" w:rsidP="00DD08F5">
      <w:pPr>
        <w:ind w:firstLine="720"/>
        <w:jc w:val="both"/>
      </w:pPr>
      <w:r>
        <w:t>- siekti užtikrinti, kad žalos atlyginimas nesupriešintų medikų ir pacientų.</w:t>
      </w:r>
    </w:p>
    <w:p w:rsidR="00DD08F5" w:rsidRDefault="00DD08F5" w:rsidP="00DD08F5">
      <w:pPr>
        <w:ind w:firstLine="720"/>
        <w:jc w:val="both"/>
        <w:rPr>
          <w:bCs/>
        </w:rPr>
      </w:pPr>
      <w:r>
        <w:rPr>
          <w:bCs/>
          <w:color w:val="000000"/>
        </w:rPr>
        <w:t>Apibendrinus informaciją daromos išvados:</w:t>
      </w:r>
      <w:r>
        <w:rPr>
          <w:bCs/>
        </w:rPr>
        <w:t xml:space="preserve"> </w:t>
      </w:r>
    </w:p>
    <w:p w:rsidR="00DD08F5" w:rsidRDefault="00DD08F5" w:rsidP="00DD08F5">
      <w:pPr>
        <w:ind w:firstLine="720"/>
        <w:jc w:val="both"/>
      </w:pPr>
      <w:r>
        <w:rPr>
          <w:bCs/>
        </w:rPr>
        <w:t xml:space="preserve">1. </w:t>
      </w:r>
      <w:r>
        <w:t>Sveikatos apsaugos ministerija, atsižvelgiant į pirmojo sveikatos priežiūros įstaigų restruktūrizavimo etapo rezultatus, bei įgyvendinant Lietuvos Respublikos Vyriausybės 2006 m. birželio 29 d. nutarimu Nr. 647 patvirtintą Antrojo sveikatos priežiūros įstaigų restruktūrizavimo etapo strategiją, toliau tęsė 2006 m. pradėtą antrąjį  (2006–2008 m.) sveikatos priežiūros įstaigų restruktūrizavimo etapą,  kurio prioritetai yra:</w:t>
      </w:r>
    </w:p>
    <w:p w:rsidR="00DD08F5" w:rsidRDefault="00DD08F5" w:rsidP="00DD08F5">
      <w:pPr>
        <w:jc w:val="both"/>
      </w:pPr>
      <w:r>
        <w:t xml:space="preserve"> </w:t>
      </w:r>
      <w:r>
        <w:tab/>
        <w:t>toliau plėtoti pirminę asmens sveikatos priežiūrą; plėtoti dienos stacionaro ir dienos chirurgijos paslaugas; optimizuoti stacionarines paslaugas; plėtoti ambulatorinės reabilitacijos apimtis ir formas; integruoti slaugos paslaugas į bendrojo pobūdžio ligonines, teikiant jas kartu su globos paslaugomis, plėtojant slaugą paciento namuose.</w:t>
      </w:r>
    </w:p>
    <w:p w:rsidR="00DD08F5" w:rsidRDefault="00DD08F5" w:rsidP="00DD08F5">
      <w:pPr>
        <w:ind w:firstLine="720"/>
        <w:jc w:val="both"/>
      </w:pPr>
      <w:r>
        <w:t>Siekiant įgyvendinti antrojo sveikatos priežiūros įstaigų restruktūrizavimo etapo tikslus parengti apskričių sveikatos priežiūros įstaigų antrojo restruktūrizavimo etapo planai. Atsižvelgiant į apskričių regionų plėtros tarybų siūlymus, rengti apskričių sveikatos priežiūros įstaigų antrojo restruktūrizavimo etapo planų pakeitimai.</w:t>
      </w:r>
    </w:p>
    <w:p w:rsidR="00DD08F5" w:rsidRDefault="00DD08F5" w:rsidP="00DD08F5">
      <w:pPr>
        <w:jc w:val="both"/>
      </w:pPr>
      <w:r>
        <w:t xml:space="preserve"> </w:t>
      </w:r>
      <w:r>
        <w:tab/>
        <w:t>Atliktas Lietuvos sveikatos programos įgyvendinimo tarpinis vertinimas (Li</w:t>
      </w:r>
      <w:r>
        <w:rPr>
          <w:noProof/>
        </w:rPr>
        <w:t xml:space="preserve">etuvos Respublikos sveikatos apsaugos ministro 2008 m. gruodžio 4 d. įsakymas Nr. V-1183 ,,Dėl Lietuvos sveikatos programos tarpinio vertinimo ataskaitos patvirtinimo“), kurio metu </w:t>
      </w:r>
      <w:r>
        <w:t>nustatyti demografinių ir gyventojų sveikatos rodiklių pokyčiai bei išanalizuotos šių pokyčių priežastys, įvertinti ir apibendrinti vykdomos sveikatos apsaugos sistemos reformos rezultatai, išanalizuotas Lietuvos sveikatos programos siekių, tikslų ir uždavinių įgyvendinimas.</w:t>
      </w:r>
    </w:p>
    <w:p w:rsidR="00DD08F5" w:rsidRDefault="00DD08F5" w:rsidP="00DD08F5">
      <w:pPr>
        <w:jc w:val="both"/>
      </w:pPr>
      <w:r>
        <w:tab/>
      </w:r>
      <w:r>
        <w:rPr>
          <w:bCs/>
        </w:rPr>
        <w:t>2.</w:t>
      </w:r>
      <w:r>
        <w:t xml:space="preserve"> Sveikatos apsaugos ministerija kartu su Prezidentūros, Lietuvos Respublikos Seimo, Lietuvos Respublikos Vyriausybės, Laisvosios rinkos instituto, Privačių medicinos įstaigų asociacijos ir kitų institucijų atstovais parengė Tolesnės sveikatos sistemos plėtros 2008–2015 m. metmenų projektą.</w:t>
      </w:r>
    </w:p>
    <w:p w:rsidR="00DD08F5" w:rsidRDefault="00DD08F5" w:rsidP="00DD08F5">
      <w:pPr>
        <w:ind w:firstLine="720"/>
        <w:jc w:val="both"/>
      </w:pPr>
      <w:r>
        <w:rPr>
          <w:rFonts w:eastAsia="Arial"/>
          <w:bCs/>
        </w:rPr>
        <w:t>3.</w:t>
      </w:r>
      <w:r>
        <w:rPr>
          <w:color w:val="000000"/>
        </w:rPr>
        <w:t xml:space="preserve"> P</w:t>
      </w:r>
      <w:r>
        <w:t>sichikos sveikatos priežiūra nurodyta kaip vienas iš svarbiausių prioritetų visose Europos valstybėse.</w:t>
      </w:r>
    </w:p>
    <w:p w:rsidR="00DD08F5" w:rsidRDefault="00DD08F5" w:rsidP="00DD08F5">
      <w:pPr>
        <w:ind w:firstLine="720"/>
        <w:jc w:val="both"/>
        <w:rPr>
          <w:rFonts w:eastAsia="Arial"/>
          <w:bCs/>
        </w:rPr>
      </w:pPr>
      <w:r>
        <w:rPr>
          <w:rFonts w:eastAsia="Arial"/>
          <w:bCs/>
        </w:rPr>
        <w:t>4.</w:t>
      </w:r>
      <w:r>
        <w:rPr>
          <w:rFonts w:eastAsia="Arial"/>
        </w:rPr>
        <w:t xml:space="preserve"> Lietuvos Respublikos Seimo 2007 m. balandžio 3 d. nutarimu Nr. X-1070 “Dėl Psichikos sveikatos strategijos patvirtinimo” patvirtinęs Psichikos sveikatos strategiją, numatė silpnybes ir </w:t>
      </w:r>
      <w:r>
        <w:rPr>
          <w:rFonts w:eastAsia="Arial"/>
        </w:rPr>
        <w:lastRenderedPageBreak/>
        <w:t xml:space="preserve">grėsmes, kurios išliko bei į kurias būtina  atsižvelgti. </w:t>
      </w:r>
      <w:r>
        <w:rPr>
          <w:rFonts w:eastAsia="Arial"/>
          <w:bCs/>
        </w:rPr>
        <w:t>Nustatytas vaikų ir jaunimo gyvensenos blogėjimas.</w:t>
      </w:r>
    </w:p>
    <w:p w:rsidR="00DD08F5" w:rsidRDefault="00DD08F5" w:rsidP="00DD08F5">
      <w:pPr>
        <w:ind w:firstLine="720"/>
        <w:jc w:val="both"/>
      </w:pPr>
      <w:r>
        <w:t>Patvirtintos šios Psichikos strategijos prioritetinės kryptys:</w:t>
      </w:r>
    </w:p>
    <w:p w:rsidR="00DD08F5" w:rsidRDefault="00DD08F5" w:rsidP="00DD08F5">
      <w:pPr>
        <w:ind w:firstLine="720"/>
        <w:jc w:val="both"/>
      </w:pPr>
      <w:r>
        <w:t>- žmogaus teisių užtikrinimas;</w:t>
      </w:r>
    </w:p>
    <w:p w:rsidR="00DD08F5" w:rsidRDefault="00DD08F5" w:rsidP="00DD08F5">
      <w:pPr>
        <w:ind w:firstLine="720"/>
        <w:jc w:val="both"/>
      </w:pPr>
      <w:r>
        <w:t>- modernios, pacientų poreikius atitinkančios paslaugos;</w:t>
      </w:r>
    </w:p>
    <w:p w:rsidR="00DD08F5" w:rsidRDefault="00DD08F5" w:rsidP="00DD08F5">
      <w:pPr>
        <w:ind w:firstLine="720"/>
        <w:jc w:val="both"/>
      </w:pPr>
      <w:r>
        <w:t>- biopsichosocialinio modelio plėtros pusiausvyra;</w:t>
      </w:r>
    </w:p>
    <w:p w:rsidR="00DD08F5" w:rsidRDefault="00DD08F5" w:rsidP="00DD08F5">
      <w:pPr>
        <w:ind w:firstLine="720"/>
        <w:jc w:val="both"/>
      </w:pPr>
      <w:r>
        <w:t>- autonomijos ir dalyvavimo skatinimas;</w:t>
      </w:r>
    </w:p>
    <w:p w:rsidR="00DD08F5" w:rsidRDefault="00DD08F5" w:rsidP="00DD08F5">
      <w:pPr>
        <w:ind w:firstLine="720"/>
        <w:jc w:val="both"/>
      </w:pPr>
      <w:r>
        <w:t>- nedidelių psichikos sveikatos sutrikimų gydymas nespecializuotose sveikatos priežiūros įstaigose;</w:t>
      </w:r>
    </w:p>
    <w:p w:rsidR="00DD08F5" w:rsidRDefault="00DD08F5" w:rsidP="00DD08F5">
      <w:pPr>
        <w:ind w:firstLine="720"/>
        <w:jc w:val="both"/>
      </w:pPr>
      <w:r>
        <w:t>- psichikos sveikatos stiprinimas ir psichikos sutrikimų prevencija, kaip neatsiejamos ir prioritetinės sveikatos, švietimo ir socialinės apsaugos strategijų įgyvendinimo dalys;</w:t>
      </w:r>
    </w:p>
    <w:p w:rsidR="00DD08F5" w:rsidRDefault="00DD08F5" w:rsidP="00DD08F5">
      <w:pPr>
        <w:ind w:firstLine="720"/>
        <w:jc w:val="both"/>
        <w:rPr>
          <w:lang w:val="en-US"/>
        </w:rPr>
      </w:pPr>
      <w:r>
        <w:t>- pacientų, jų šeimų ir nevyriausybinio sektoriaus vaidmens stiprinimas.</w:t>
      </w:r>
    </w:p>
    <w:p w:rsidR="00DD08F5" w:rsidRDefault="00DD08F5" w:rsidP="00DD08F5">
      <w:pPr>
        <w:ind w:firstLine="720"/>
        <w:jc w:val="both"/>
      </w:pPr>
      <w:r>
        <w:rPr>
          <w:bCs/>
        </w:rPr>
        <w:t>5.</w:t>
      </w:r>
      <w:r>
        <w:t xml:space="preserve"> Lietuvos Respublikos Vyriausybė 2008 m. rugpjūčio 27 d. nutarimu Nr. 836 “Dėl Vaikų sveikatos stiprinimo 2008–2012 metų programos patvirtinimo” patvirtintoje Vaikų sveikatos stiprinimo 2008–2012 metų programoje numatė šiuos uždavinius:</w:t>
      </w:r>
    </w:p>
    <w:p w:rsidR="00DD08F5" w:rsidRDefault="00DD08F5" w:rsidP="00DD08F5">
      <w:pPr>
        <w:ind w:firstLine="720"/>
        <w:jc w:val="both"/>
      </w:pPr>
      <w:r>
        <w:t xml:space="preserve"> kurti vaikų sveikatą palaikančią aplinką, pasitelkus valstybės institucijas, savivaldybes, mokyklų bendruomenes; </w:t>
      </w:r>
    </w:p>
    <w:p w:rsidR="00DD08F5" w:rsidRDefault="00DD08F5" w:rsidP="00DD08F5">
      <w:pPr>
        <w:ind w:firstLine="720"/>
        <w:jc w:val="both"/>
      </w:pPr>
      <w:r>
        <w:t>didinti specialistų, dirbančių su vaikais, kompetenciją sveikatos stiprinimo klausimais; ugdyti vaikų sveikos gyvensenos nuostatas ir gebėjimus;</w:t>
      </w:r>
    </w:p>
    <w:p w:rsidR="00DD08F5" w:rsidRDefault="00DD08F5" w:rsidP="00DD08F5">
      <w:pPr>
        <w:jc w:val="both"/>
      </w:pPr>
      <w:r>
        <w:t xml:space="preserve"> </w:t>
      </w:r>
      <w:r>
        <w:tab/>
        <w:t>tobulinti vaikų ligų ir traumų pirminės profilaktikos organizavimo kokybę;</w:t>
      </w:r>
    </w:p>
    <w:p w:rsidR="00DD08F5" w:rsidRDefault="00DD08F5" w:rsidP="00DD08F5">
      <w:pPr>
        <w:jc w:val="both"/>
      </w:pPr>
      <w:r>
        <w:t xml:space="preserve"> </w:t>
      </w:r>
      <w:r>
        <w:tab/>
        <w:t>tobulinti vaikų sveikatos stiprinimo stebėseną.</w:t>
      </w:r>
    </w:p>
    <w:p w:rsidR="00DD08F5" w:rsidRDefault="00DD08F5" w:rsidP="00DD08F5">
      <w:pPr>
        <w:ind w:firstLine="720"/>
        <w:jc w:val="both"/>
        <w:rPr>
          <w:noProof/>
        </w:rPr>
      </w:pPr>
      <w:r>
        <w:rPr>
          <w:rFonts w:eastAsia="Arial"/>
          <w:bCs/>
        </w:rPr>
        <w:t>6.</w:t>
      </w:r>
      <w:r>
        <w:rPr>
          <w:rFonts w:eastAsia="Arial"/>
        </w:rPr>
        <w:t xml:space="preserve"> </w:t>
      </w:r>
      <w:r>
        <w:rPr>
          <w:color w:val="000000"/>
        </w:rPr>
        <w:t>Sveikatos apsaugos ministerija</w:t>
      </w:r>
      <w:r>
        <w:t xml:space="preserve"> yra pasitvirtinusi šiuos </w:t>
      </w:r>
      <w:r>
        <w:rPr>
          <w:noProof/>
        </w:rPr>
        <w:t>strateginius tikslus</w:t>
      </w:r>
      <w:r>
        <w:t>:</w:t>
      </w:r>
    </w:p>
    <w:p w:rsidR="00DD08F5" w:rsidRDefault="00DD08F5" w:rsidP="00DD08F5">
      <w:pPr>
        <w:ind w:firstLine="720"/>
        <w:jc w:val="both"/>
        <w:rPr>
          <w:bCs/>
          <w:iCs/>
        </w:rPr>
      </w:pPr>
      <w:r>
        <w:rPr>
          <w:bCs/>
          <w:iCs/>
        </w:rPr>
        <w:t xml:space="preserve">- saugoti ir stiprinti sveikatą, vykdant visuomenės sveikatos priežiūrą; </w:t>
      </w:r>
    </w:p>
    <w:p w:rsidR="00DD08F5" w:rsidRDefault="00DD08F5" w:rsidP="00DD08F5">
      <w:pPr>
        <w:jc w:val="both"/>
        <w:rPr>
          <w:iCs/>
        </w:rPr>
      </w:pPr>
      <w:r>
        <w:rPr>
          <w:iCs/>
        </w:rPr>
        <w:t xml:space="preserve">             - siekti, kad pacientams būtų laiku teikiama kokybiška, saugi ir prieinama   sveikatos priežiūra;</w:t>
      </w:r>
    </w:p>
    <w:p w:rsidR="00DD08F5" w:rsidRDefault="00DD08F5" w:rsidP="00DD08F5">
      <w:pPr>
        <w:ind w:firstLine="720"/>
        <w:jc w:val="both"/>
        <w:rPr>
          <w:iCs/>
        </w:rPr>
      </w:pPr>
      <w:r>
        <w:rPr>
          <w:iCs/>
        </w:rPr>
        <w:t xml:space="preserve">- tobulinti sveikatos sistemos valdymą, sveikatos santykius grįsti teisumo ir solidarumo principais. </w:t>
      </w:r>
    </w:p>
    <w:p w:rsidR="00DD08F5" w:rsidRDefault="00DD08F5" w:rsidP="00DD08F5">
      <w:pPr>
        <w:ind w:firstLine="720"/>
        <w:jc w:val="both"/>
        <w:rPr>
          <w:bCs/>
          <w:noProof/>
        </w:rPr>
      </w:pPr>
      <w:r>
        <w:rPr>
          <w:noProof/>
        </w:rPr>
        <w:t xml:space="preserve">Strateginių tikslų įgyvendinimo vertinimui pasirinkti  </w:t>
      </w:r>
      <w:r>
        <w:rPr>
          <w:bCs/>
          <w:noProof/>
        </w:rPr>
        <w:t>efekto kriterijai.</w:t>
      </w:r>
    </w:p>
    <w:p w:rsidR="00DD08F5" w:rsidRDefault="00DD08F5" w:rsidP="00DD08F5">
      <w:pPr>
        <w:jc w:val="both"/>
      </w:pPr>
      <w:r>
        <w:rPr>
          <w:noProof/>
        </w:rPr>
        <w:t xml:space="preserve"> </w:t>
      </w:r>
      <w:r>
        <w:rPr>
          <w:noProof/>
        </w:rPr>
        <w:tab/>
        <w:t>Pvz., T</w:t>
      </w:r>
      <w:r>
        <w:rPr>
          <w:bCs/>
        </w:rPr>
        <w:t>eikiamų specializuotų ambulatorinių ir stacionarinių paslaugų kokybės ir prieinamumo gyventojams gerėjimas,</w:t>
      </w:r>
      <w:r>
        <w:rPr>
          <w:bCs/>
          <w:color w:val="FF0000"/>
        </w:rPr>
        <w:t xml:space="preserve"> </w:t>
      </w:r>
      <w:r>
        <w:t>ankstyvas ligų diagnozavimas ir kt.</w:t>
      </w:r>
    </w:p>
    <w:p w:rsidR="00DD08F5" w:rsidRDefault="00DD08F5" w:rsidP="00DD08F5">
      <w:pPr>
        <w:jc w:val="both"/>
        <w:rPr>
          <w:color w:val="FF6600"/>
        </w:rPr>
      </w:pPr>
      <w:r>
        <w:rPr>
          <w:bCs/>
        </w:rPr>
        <w:t xml:space="preserve">           7.</w:t>
      </w:r>
      <w:r>
        <w:t xml:space="preserve"> Sveikatos apsaugos ministerijos numatytos artimiausio laikotarpio veiklos prioritetinės kryptys: </w:t>
      </w:r>
    </w:p>
    <w:p w:rsidR="00DD08F5" w:rsidRDefault="00DD08F5" w:rsidP="00DD08F5">
      <w:pPr>
        <w:jc w:val="both"/>
        <w:rPr>
          <w:lang w:val="es-ES"/>
        </w:rPr>
      </w:pPr>
      <w:r>
        <w:tab/>
        <w:t>- kad s</w:t>
      </w:r>
      <w:r>
        <w:rPr>
          <w:lang w:val="es-ES"/>
        </w:rPr>
        <w:t>veikatos apsaugos sistema, atitinkanti modernios visuomenės sveikatos koncepciją ir Europos Sąjungos bei Pasaulio sveikatos organizacijos „Sveikata visiems XXI amžiuje principus“, taptų į gyventojus orientuota, jų teises gerbiančia ir prieinamas kokybiškas paslaugas teikiančia sistema, kurioje svarbiausi sprendimai priimami tariantis su visuomene;</w:t>
      </w:r>
    </w:p>
    <w:p w:rsidR="00DD08F5" w:rsidRDefault="00DD08F5" w:rsidP="00DD08F5">
      <w:pPr>
        <w:jc w:val="both"/>
        <w:rPr>
          <w:lang w:val="es-ES"/>
        </w:rPr>
      </w:pPr>
      <w:r>
        <w:rPr>
          <w:lang w:val="es-ES"/>
        </w:rPr>
        <w:tab/>
        <w:t>- kokybiškos ir prieinamos paslaugos visų pirma susijusios su finansiniais ištekliais ir jų racionaliu naudojimu;</w:t>
      </w:r>
    </w:p>
    <w:p w:rsidR="00DD08F5" w:rsidRDefault="00DD08F5" w:rsidP="00DD08F5">
      <w:pPr>
        <w:jc w:val="both"/>
      </w:pPr>
      <w:r>
        <w:rPr>
          <w:lang w:val="es-ES"/>
        </w:rPr>
        <w:tab/>
      </w:r>
      <w:r>
        <w:t>- įgyvendinant Psichikos sveikatos strategiją, prioritetas bus skiriamas modernių visuomenės psichikos sveikatos principų įgyvendinimui, savižudybių, prievartos, psichologinių krizių prevencijai ir gyventojų sveikatos ugdymui;</w:t>
      </w:r>
    </w:p>
    <w:p w:rsidR="00DD08F5" w:rsidRDefault="00DD08F5" w:rsidP="00DD08F5">
      <w:pPr>
        <w:ind w:firstLine="720"/>
        <w:jc w:val="both"/>
      </w:pPr>
      <w:r>
        <w:t>- numatoma toliau įgyvendinti tabako, alkoholio, narkotinių ir psichotropinių medžiagų vartojimo prevencijos, mitybos ir nutukimo prevencijos, vaikų sveikatos stiprinimo, traumatizmo, užkrečiamųjų ligų profilaktikos, neužkrečiamųjų ligų pirminės profilaktikos, kitas sveikatos stiprinimo ir profilaktikos programas;</w:t>
      </w:r>
    </w:p>
    <w:p w:rsidR="00DD08F5" w:rsidRDefault="00DD08F5" w:rsidP="00DD08F5">
      <w:pPr>
        <w:ind w:firstLine="720"/>
        <w:jc w:val="both"/>
        <w:rPr>
          <w:lang w:val="es-ES"/>
        </w:rPr>
      </w:pPr>
      <w:r>
        <w:t xml:space="preserve">- </w:t>
      </w:r>
      <w:r>
        <w:rPr>
          <w:lang w:val="es-ES"/>
        </w:rPr>
        <w:t>plėtoti šeimos gydytojų, specializuotos ambulatorinės pagalbos, dienos chirurgijos ir dienos stacionarų paslaugos;</w:t>
      </w:r>
    </w:p>
    <w:p w:rsidR="00DD08F5" w:rsidRDefault="00DD08F5" w:rsidP="00DD08F5">
      <w:pPr>
        <w:ind w:firstLine="720"/>
        <w:jc w:val="both"/>
        <w:rPr>
          <w:lang w:val="es-ES"/>
        </w:rPr>
      </w:pPr>
      <w:r>
        <w:rPr>
          <w:lang w:val="es-ES"/>
        </w:rPr>
        <w:t xml:space="preserve">-  tęsti psichikos sveikatos strategijos įgyvendinimą ir kt. </w:t>
      </w:r>
    </w:p>
    <w:p w:rsidR="00DD08F5" w:rsidRDefault="00DD08F5" w:rsidP="00DD08F5">
      <w:pPr>
        <w:ind w:firstLine="720"/>
        <w:jc w:val="both"/>
      </w:pPr>
      <w:r>
        <w:rPr>
          <w:color w:val="000000"/>
        </w:rPr>
        <w:t>Prioriteto tvarka numatoma plėtoti šeimos gydytojo, specializuotas ambulatorines, dienos stacionaro, ambulatorinės reabilitacijos, psichosocialinės reabilitacijos ir psichologinės pagalbos paslaugas.</w:t>
      </w:r>
      <w:r>
        <w:t xml:space="preserve"> Toliau įgyvendinant sveikatos priežiūros įstaigų restruktūrizavimo strategiją 2008 metais buvo siekiama, kad kuo daugiau visų sveikatos problemų būtų išspręsta ambulatoriniu lygiu.</w:t>
      </w:r>
    </w:p>
    <w:p w:rsidR="00DD08F5" w:rsidRDefault="00DD08F5" w:rsidP="00DD08F5">
      <w:pPr>
        <w:ind w:firstLine="720"/>
        <w:jc w:val="both"/>
      </w:pPr>
      <w:r>
        <w:rPr>
          <w:bCs/>
        </w:rPr>
        <w:t>8.</w:t>
      </w:r>
      <w:r>
        <w:t xml:space="preserve"> Išlieka nuostata, kad ne mažiau kaip 20 proc. lėšų, numatytų medicininės reabilitacijos ir sanatorinio gydymo išlaidoms kompensuoti, turi būti skirta vaikų gydymui.</w:t>
      </w:r>
    </w:p>
    <w:p w:rsidR="00DD08F5" w:rsidRDefault="00DD08F5" w:rsidP="00DD08F5">
      <w:pPr>
        <w:jc w:val="both"/>
      </w:pPr>
      <w:r>
        <w:tab/>
      </w:r>
      <w:r>
        <w:rPr>
          <w:bCs/>
        </w:rPr>
        <w:t>9.</w:t>
      </w:r>
      <w:r>
        <w:t xml:space="preserve"> Sveikatos apsaugos sistemoje taip pat vykdoma šeimos gydytojo institucijos plėtra.</w:t>
      </w:r>
    </w:p>
    <w:p w:rsidR="00DD08F5" w:rsidRDefault="00DD08F5" w:rsidP="00DD08F5">
      <w:pPr>
        <w:jc w:val="both"/>
      </w:pPr>
      <w:r>
        <w:lastRenderedPageBreak/>
        <w:t>Siekiama sudaryti vienodas konkurencines sąlygas visiems šeimos gydytojams nepriklausomai nuo nuosavybės formos: sudaryti lygias sąlygas ir vienodas galimybes valstybės ir privataus sektorių sveikatos priežiūros paslaugų teikėjams konkuruoti dėl Europos Sąjungos struktūrinių fondų, kitų finansavimo šaltinių.</w:t>
      </w:r>
    </w:p>
    <w:p w:rsidR="00DD08F5" w:rsidRDefault="00DD08F5" w:rsidP="00DD08F5">
      <w:pPr>
        <w:ind w:firstLine="720"/>
        <w:jc w:val="both"/>
        <w:rPr>
          <w:color w:val="000000"/>
          <w:spacing w:val="-1"/>
        </w:rPr>
      </w:pPr>
      <w:r>
        <w:rPr>
          <w:bCs/>
        </w:rPr>
        <w:t>10.</w:t>
      </w:r>
      <w:r>
        <w:t xml:space="preserve"> Vykdoma visuomenės sveikatos priežiūros pertvarka. Savivaldybėse steigiami visuomenės sveikatos biurai -</w:t>
      </w:r>
      <w:r>
        <w:rPr>
          <w:color w:val="000000"/>
          <w:spacing w:val="1"/>
        </w:rPr>
        <w:t xml:space="preserve"> visuomenės sveikatos paslaugas </w:t>
      </w:r>
      <w:r>
        <w:rPr>
          <w:color w:val="000000"/>
          <w:spacing w:val="-1"/>
        </w:rPr>
        <w:t>teikiančių įstaigų tinklas.</w:t>
      </w:r>
    </w:p>
    <w:p w:rsidR="00DD08F5" w:rsidRDefault="00DD08F5" w:rsidP="00DD08F5">
      <w:pPr>
        <w:jc w:val="both"/>
      </w:pPr>
      <w:r>
        <w:rPr>
          <w:bCs/>
        </w:rPr>
        <w:t xml:space="preserve">            11.</w:t>
      </w:r>
      <w:r>
        <w:t xml:space="preserve"> Skirtingas viešųjų sveikatos priežiūros įstaigų pavaldumas (Sveikatos apsaugos ministerijai, apskričių viršininkams, savivaldybių taryboms) trukdo kurti vientisą sveikatos priežiūros organizavimo sistemą, planuoti išteklius, kooperuoti sveikatos priežiūros įstaigas ir išteklius tokiose srityse kaip technologijų įsigijimas ir atnaujinimas, diegti naujas sudėtingas paslaugas.</w:t>
      </w:r>
    </w:p>
    <w:p w:rsidR="00DD08F5" w:rsidRDefault="00DD08F5" w:rsidP="00DD08F5">
      <w:pPr>
        <w:jc w:val="both"/>
      </w:pPr>
      <w:r>
        <w:tab/>
      </w:r>
      <w:r>
        <w:rPr>
          <w:bCs/>
        </w:rPr>
        <w:t>12.</w:t>
      </w:r>
      <w:r>
        <w:t xml:space="preserve"> Sveikatos apsaugos ministerijos teigimu, neišspręstas valstybinių sveikatos priežiūros įstaigų turto valdymo klausimas, nes naudojantis turtu panaudos pagrindais, turto savininkas atskiriamas nuo turto naudotojo, o tai neskatina viešųjų sveikatos priežiūros įstaigų siekti geresnių šio turto naudojimo rezultatų, mažina atsakomybę už šio turto naudojimą.</w:t>
      </w:r>
    </w:p>
    <w:p w:rsidR="00DD08F5" w:rsidRDefault="00DD08F5" w:rsidP="00DD08F5">
      <w:pPr>
        <w:jc w:val="both"/>
      </w:pPr>
      <w:r>
        <w:tab/>
      </w:r>
      <w:r>
        <w:rPr>
          <w:bCs/>
        </w:rPr>
        <w:t>13.</w:t>
      </w:r>
      <w:r>
        <w:t xml:space="preserve"> Stebima priklausomybės nuo alkoholio, tabako, narkotikų augimo tendencija, ypač tarp paauglių. Šių problemų sprendimui prioriteto tvarka bus įgyvendinamos sveikatinimo programos, vienijamos politikų, specialistų, valstybinių institucijų ir visuomenės pastangos. Lietuvoje sparčiai daugėja vaikų savižudybių – per pastaruosius 10 metų jų padaugėjo 55,8 procento.</w:t>
      </w:r>
    </w:p>
    <w:p w:rsidR="00DD08F5" w:rsidRDefault="00DD08F5" w:rsidP="00DD08F5">
      <w:pPr>
        <w:jc w:val="both"/>
      </w:pPr>
      <w:r>
        <w:rPr>
          <w:bCs/>
          <w:noProof/>
        </w:rPr>
        <w:t xml:space="preserve"> </w:t>
      </w:r>
      <w:r>
        <w:rPr>
          <w:bCs/>
          <w:noProof/>
        </w:rPr>
        <w:tab/>
      </w:r>
      <w:r>
        <w:rPr>
          <w:bCs/>
        </w:rPr>
        <w:t>14.</w:t>
      </w:r>
      <w:r>
        <w:t xml:space="preserve"> Valstybinio psichikos sveikatos centro užsakymu 2007 m. spalio-gruodžio mėn. atliktas Lietuvos sveikatos priežiūros įstaigose teikiamų paslaugų vaikams, vartojantiems psichoaktyvias medžiagas (toliau – PAM), kokybinės tyrimas. </w:t>
      </w:r>
    </w:p>
    <w:p w:rsidR="00DD08F5" w:rsidRDefault="00DD08F5" w:rsidP="00DD08F5">
      <w:pPr>
        <w:ind w:left="720"/>
        <w:jc w:val="both"/>
      </w:pPr>
      <w:r>
        <w:t>Atliktas tyrimas parodė, kad:</w:t>
      </w:r>
    </w:p>
    <w:p w:rsidR="00DD08F5" w:rsidRDefault="00DD08F5" w:rsidP="00DD08F5">
      <w:pPr>
        <w:jc w:val="both"/>
      </w:pPr>
      <w:r>
        <w:t xml:space="preserve"> </w:t>
      </w:r>
      <w:r>
        <w:tab/>
        <w:t xml:space="preserve">- teikiant paslaugas trūksta sistematiškumo ir aktyvumo, o gydymo prieinamumas labiausiai priklauso nuo atskirų įstaigų ar specialistų iniciatyvos bei požiūrio; </w:t>
      </w:r>
    </w:p>
    <w:p w:rsidR="00DD08F5" w:rsidRDefault="00DD08F5" w:rsidP="00DD08F5">
      <w:pPr>
        <w:ind w:firstLine="720"/>
        <w:jc w:val="both"/>
      </w:pPr>
      <w:r>
        <w:t xml:space="preserve">- reikia nuoseklesnio ir aktyvesnio paslaugų organizavimo modelio, adaptuojant moksliniais įrodymais pagrįstas priemones bei praktikas; </w:t>
      </w:r>
    </w:p>
    <w:p w:rsidR="00DD08F5" w:rsidRDefault="00DD08F5" w:rsidP="00DD08F5">
      <w:pPr>
        <w:ind w:firstLine="720"/>
        <w:jc w:val="both"/>
      </w:pPr>
      <w:r>
        <w:t xml:space="preserve">- profesionalaus bendravimo ir aprūpinimo metodinėmis priemonėmis stoka, siūloma skatinti bendradarbiavimą ir netgi kurti specialistų konsultavimo sistemą;   </w:t>
      </w:r>
    </w:p>
    <w:p w:rsidR="00DD08F5" w:rsidRDefault="00DD08F5" w:rsidP="00DD08F5">
      <w:pPr>
        <w:ind w:firstLine="720"/>
        <w:jc w:val="both"/>
        <w:rPr>
          <w:bCs/>
        </w:rPr>
      </w:pPr>
      <w:r>
        <w:t>- trūksta paslaugos – pagalbos  klientui ir/arba jo artimiesiems pastebėti problemą ir sužinoti apie galimybes gauti reikiamą pagalbą;</w:t>
      </w:r>
    </w:p>
    <w:p w:rsidR="00DD08F5" w:rsidRDefault="00DD08F5" w:rsidP="00DD08F5">
      <w:pPr>
        <w:ind w:firstLine="720"/>
        <w:jc w:val="both"/>
      </w:pPr>
      <w:r>
        <w:t>- sveikatos priežiūros įstaigose turi būti vykdomos narkologinių susirgimų prevencijos priemonės;</w:t>
      </w:r>
    </w:p>
    <w:p w:rsidR="00DD08F5" w:rsidRDefault="00DD08F5" w:rsidP="00DD08F5">
      <w:pPr>
        <w:ind w:firstLine="720"/>
        <w:jc w:val="both"/>
      </w:pPr>
      <w:r>
        <w:t xml:space="preserve">- Lietuvoje padidintos socialinės rizikos grupei priklausantys vaikai neturi juridinio pagrindo gauti standartizuotas psichikos sveikatos priežiūros paslaugas sveikatos priežiūros įstaigose (todėl, kad asmens sveikatos priežiūros įstaigų, t.y. ASPĮ klientai - jau patvirtintą priklausomybės ligos diagnozę turintys asmenys. Ši vaikų grupė Lietuvoje daugiausiai patenka į švietimo, socialinės apsaugos, teisėsaugos įstaigų akiratį); </w:t>
      </w:r>
    </w:p>
    <w:p w:rsidR="00DD08F5" w:rsidRDefault="00DD08F5" w:rsidP="00DD08F5">
      <w:pPr>
        <w:ind w:firstLine="720"/>
        <w:jc w:val="both"/>
      </w:pPr>
      <w:r>
        <w:t xml:space="preserve">-  Lietuvoje ASPĮ paslaugos nustatomos ir teikiamos pagal teisinį „vaiko“ statusą iki 18 metų amžiaus (vakarų šalyse paslaugos organizuojamos pagal skirtingus modelius, tačiau aiškiai įvardinamos vaikų, paauglių ir jaunimo socialinės grupės kaip tikslinės sveikatos paslaugų gavėjų kohortos ir amžiaus ribos dažniausiai siekia 25 metus, o paslaugų pobūdis ir turinys skiriasi pagal įvairias vaikų ir jaunuolių amžiaus grupes 10-12 metų, 11-16 metų amžiaus grupės ir pan.);  </w:t>
      </w:r>
    </w:p>
    <w:p w:rsidR="00DD08F5" w:rsidRDefault="00DD08F5" w:rsidP="00DD08F5">
      <w:pPr>
        <w:ind w:firstLine="720"/>
        <w:jc w:val="both"/>
      </w:pPr>
      <w:r>
        <w:t xml:space="preserve">- siūloma nustatyti, kokios paslaugos turi būti teikiamos ASPĮ vaikams iš padidintos PAM vartojimo rizikos grupės, paslaugos vaikams, vartojantiems psichoaktyvias medžiagas, dažniausiai teikiamos specializuotuose priklausomybės ligų gydymo centruose, kitų ASPĮ (įskaitant  šeimos gydytojus) ir (ypač veikiančių bendruomenėje, lengviausiai prieinamų vaikams ir jų artimiesiems ASPĮ) vaidmens, nukreipiant turimus pacientus, padidėjimas sąlygotų prevencijos ir gydymo veiksmingumo pažangą. (Vakarų šalyse moksliniais tyrimais įrodytas tam tikrų intervencijų veiksmingumas (įskaitant grupinę elgesio terapiją) gali būti pagrindas siekti, kad tokias intervencijas vykdytų kuo daugiau ASPĮ (įskaitant psichikos sveikatos centrus ir vaikų raidos tarnybas); </w:t>
      </w:r>
    </w:p>
    <w:p w:rsidR="00DD08F5" w:rsidRDefault="00DD08F5" w:rsidP="00DD08F5">
      <w:pPr>
        <w:ind w:firstLine="720"/>
        <w:jc w:val="both"/>
      </w:pPr>
      <w:r>
        <w:t>- tiksliai apibrėžti medicininės ar socialinės reabilitacijos  paslaugų turinius ir reikalavimus;</w:t>
      </w:r>
    </w:p>
    <w:p w:rsidR="00DD08F5" w:rsidRDefault="00DD08F5" w:rsidP="00DD08F5">
      <w:pPr>
        <w:ind w:firstLine="720"/>
        <w:jc w:val="both"/>
      </w:pPr>
      <w:r>
        <w:t>- kurti ir (arba)  pritaikyti paslaugų teikimo organizavimo moksliškai įrodytus standartus;</w:t>
      </w:r>
    </w:p>
    <w:p w:rsidR="00DD08F5" w:rsidRDefault="00DD08F5" w:rsidP="00DD08F5">
      <w:pPr>
        <w:ind w:firstLine="720"/>
        <w:jc w:val="both"/>
      </w:pPr>
      <w:r>
        <w:t>- palaipsniui papildyti periodinės informacijos rinkimo ir rodiklių stebėjimo sistemą, siekiant  įvertinti, kaip įgyvendinami standartai.</w:t>
      </w:r>
    </w:p>
    <w:p w:rsidR="00DD08F5" w:rsidRDefault="00DD08F5" w:rsidP="00DD08F5">
      <w:pPr>
        <w:ind w:firstLine="720"/>
        <w:jc w:val="both"/>
        <w:rPr>
          <w:lang w:val="es-ES"/>
        </w:rPr>
      </w:pPr>
      <w:r>
        <w:rPr>
          <w:bCs/>
          <w:noProof/>
        </w:rPr>
        <w:t>15.</w:t>
      </w:r>
      <w:r>
        <w:rPr>
          <w:noProof/>
        </w:rPr>
        <w:t xml:space="preserve"> </w:t>
      </w:r>
      <w:r>
        <w:rPr>
          <w:lang w:val="es-ES"/>
        </w:rPr>
        <w:t xml:space="preserve">Vaikų (0-18 metų) apsinuodijimai sudaro – 67,7%, suaugusiųjų – 31,6%, o nenurodyto amžius – 0,7% visų apsinuodijimo atvejų. Dominuoja suaugusiųjų asmenų apgalvoti apsinuodijimai </w:t>
      </w:r>
      <w:r>
        <w:rPr>
          <w:lang w:val="es-ES"/>
        </w:rPr>
        <w:lastRenderedPageBreak/>
        <w:t xml:space="preserve">medikamentais (31,7%), piktnaudžiavimas alkoholiu (21,9%) ir alkoholį vartojant kartu su medikamentais, narkotikais bei įkvėpus smalkių (11,9%). </w:t>
      </w:r>
      <w:r>
        <w:rPr>
          <w:noProof/>
        </w:rPr>
        <w:t xml:space="preserve"> </w:t>
      </w:r>
      <w:r>
        <w:rPr>
          <w:lang w:val="es-ES"/>
        </w:rPr>
        <w:t>Tarp vaikų (0-17 m.) vyrauja apgalvoti bei atsitiktiniai apsinuodijimai medikamentais (atitinkamai 16,1% ir 27,5%) ir apgalvoti apsinuodijimai alkoholiu (33,7%). Mažamečių vaikų apsinuodijimus sąlygoja nesaugiai laikomi medikamentai, o paauglių – piktnaudžiavimas alkoholiu ar savižudybės tikslu vartojami medikamentai.</w:t>
      </w:r>
    </w:p>
    <w:p w:rsidR="00DD08F5" w:rsidRDefault="00DD08F5" w:rsidP="00DD08F5">
      <w:pPr>
        <w:ind w:firstLine="720"/>
        <w:jc w:val="both"/>
        <w:rPr>
          <w:bCs/>
          <w:i/>
          <w:iCs/>
        </w:rPr>
      </w:pPr>
      <w:r>
        <w:rPr>
          <w:bCs/>
        </w:rPr>
        <w:t>16.</w:t>
      </w:r>
      <w:r>
        <w:t xml:space="preserve"> Lietuvos Respublikos Sveikatos sistemos įstatymo 63 str. įpareigoja savivaldybę, kaip instituciją atsakingą už šios sveikatos priežiūros rūšies organizavimą, planuoti ir tvirtinti savivaldybės pirminės asmens sveikatos priežiūros plėtojimo programą. Savivaldybėse steigiami visuomenės sveikatos biurai -</w:t>
      </w:r>
      <w:r>
        <w:rPr>
          <w:color w:val="000000"/>
          <w:spacing w:val="1"/>
        </w:rPr>
        <w:t xml:space="preserve"> visuomenės sveikatos paslaugas </w:t>
      </w:r>
      <w:r>
        <w:rPr>
          <w:color w:val="000000"/>
          <w:spacing w:val="-1"/>
        </w:rPr>
        <w:t>teikiančių įstaigų tinklas.</w:t>
      </w:r>
      <w:r>
        <w:rPr>
          <w:bCs/>
        </w:rPr>
        <w:t xml:space="preserve"> </w:t>
      </w:r>
      <w:r>
        <w:t xml:space="preserve">Toliau įgyvendinant sveikatos priežiūros įstaigų restruktūrizavimo strategiją 2008 metais buvo siekiama, kad kuo daugiau visų sveikatos problemų būtų išspręsta ambulatoriniu lygiu.  </w:t>
      </w:r>
    </w:p>
    <w:p w:rsidR="00DD08F5" w:rsidRDefault="00DD08F5" w:rsidP="00DD08F5">
      <w:pPr>
        <w:jc w:val="both"/>
      </w:pPr>
      <w:r>
        <w:rPr>
          <w:bCs/>
        </w:rPr>
        <w:t xml:space="preserve">           17. </w:t>
      </w:r>
      <w:r>
        <w:t>Stebima priklausomybės nuo alkoholio, tabako, narkotikų augimo tendencija, ypač tarp paauglių. Šių problemų sprendimui prioriteto tvarka būtinos sveikatinimo programos, vienijamos politikų, specialistų, valstybinių institucijų ir visuomenės pastangos.</w:t>
      </w:r>
    </w:p>
    <w:p w:rsidR="00DD08F5" w:rsidRDefault="00DD08F5" w:rsidP="00DD08F5">
      <w:pPr>
        <w:ind w:firstLine="720"/>
        <w:jc w:val="both"/>
        <w:rPr>
          <w:rFonts w:eastAsia="Arial"/>
          <w:color w:val="000000"/>
          <w:szCs w:val="20"/>
        </w:rPr>
      </w:pPr>
      <w:r>
        <w:rPr>
          <w:bCs/>
          <w:noProof/>
        </w:rPr>
        <w:t xml:space="preserve">18. </w:t>
      </w:r>
      <w:r>
        <w:rPr>
          <w:noProof/>
        </w:rPr>
        <w:t xml:space="preserve">Būtina </w:t>
      </w:r>
      <w:r>
        <w:rPr>
          <w:rFonts w:eastAsia="Arial"/>
          <w:color w:val="000000"/>
          <w:szCs w:val="20"/>
        </w:rPr>
        <w:t xml:space="preserve"> plėtoti medicininės reabilitacijos ir sanatorinio gydymo paslaugas vaikams, sergantiems priklausomybės ligomis. </w:t>
      </w:r>
    </w:p>
    <w:p w:rsidR="00DD08F5" w:rsidRDefault="00DD08F5" w:rsidP="00DD08F5">
      <w:pPr>
        <w:ind w:firstLine="720"/>
        <w:jc w:val="both"/>
        <w:rPr>
          <w:rFonts w:eastAsia="Arial"/>
          <w:color w:val="000000"/>
          <w:szCs w:val="20"/>
        </w:rPr>
      </w:pPr>
      <w:r>
        <w:rPr>
          <w:rFonts w:eastAsia="Arial"/>
          <w:bCs/>
          <w:color w:val="000000"/>
          <w:szCs w:val="20"/>
        </w:rPr>
        <w:t xml:space="preserve">19. </w:t>
      </w:r>
      <w:r>
        <w:rPr>
          <w:rFonts w:eastAsia="Arial"/>
          <w:color w:val="000000"/>
          <w:szCs w:val="20"/>
        </w:rPr>
        <w:t>Į</w:t>
      </w:r>
      <w:r>
        <w:rPr>
          <w:rFonts w:eastAsia="Arial"/>
          <w:bCs/>
          <w:color w:val="000000"/>
          <w:szCs w:val="20"/>
        </w:rPr>
        <w:t xml:space="preserve"> </w:t>
      </w:r>
      <w:r>
        <w:rPr>
          <w:rFonts w:eastAsia="Arial"/>
          <w:color w:val="000000"/>
          <w:szCs w:val="20"/>
        </w:rPr>
        <w:t xml:space="preserve">Sveikatos apsaugos ministerijos artimiausio laikotarpio veiklos prioritetines kryptis, įtraukti efektyvios kompleksinės pagalbos vaikams, sergantiems priklausomybės ligomis, sistemos sukūrimą.  </w:t>
      </w:r>
    </w:p>
    <w:p w:rsidR="00DD08F5" w:rsidRDefault="00DD08F5" w:rsidP="00DD08F5">
      <w:pPr>
        <w:jc w:val="both"/>
        <w:rPr>
          <w:rFonts w:eastAsia="Arial"/>
          <w:color w:val="000000"/>
          <w:szCs w:val="20"/>
        </w:rPr>
      </w:pPr>
    </w:p>
    <w:p w:rsidR="00DD08F5" w:rsidRDefault="00DD08F5" w:rsidP="00DD08F5">
      <w:pPr>
        <w:jc w:val="both"/>
        <w:rPr>
          <w:rFonts w:eastAsia="Arial"/>
          <w:color w:val="000000"/>
          <w:szCs w:val="20"/>
        </w:rPr>
      </w:pPr>
    </w:p>
    <w:p w:rsidR="00DD08F5" w:rsidRDefault="00DD08F5" w:rsidP="00DD08F5">
      <w:pPr>
        <w:ind w:firstLine="720"/>
        <w:jc w:val="both"/>
        <w:rPr>
          <w:rFonts w:eastAsia="Arial"/>
          <w:b/>
          <w:bCs/>
          <w:color w:val="000000"/>
          <w:szCs w:val="20"/>
        </w:rPr>
      </w:pPr>
      <w:r>
        <w:rPr>
          <w:rFonts w:eastAsia="Arial"/>
          <w:b/>
          <w:bCs/>
          <w:color w:val="000000"/>
          <w:szCs w:val="20"/>
        </w:rPr>
        <w:t>VII. Priklausomybių gydymas : pirminė sveikatos priežiūra</w:t>
      </w:r>
    </w:p>
    <w:p w:rsidR="00DD08F5" w:rsidRDefault="00DD08F5" w:rsidP="00DD08F5">
      <w:pPr>
        <w:ind w:firstLine="720"/>
        <w:jc w:val="both"/>
        <w:rPr>
          <w:rFonts w:eastAsia="Arial"/>
          <w:b/>
          <w:bCs/>
          <w:color w:val="000000"/>
          <w:szCs w:val="20"/>
        </w:rPr>
      </w:pPr>
    </w:p>
    <w:p w:rsidR="00DD08F5" w:rsidRDefault="00DD08F5" w:rsidP="00DD08F5">
      <w:pPr>
        <w:ind w:firstLine="720"/>
        <w:jc w:val="both"/>
        <w:rPr>
          <w:rFonts w:eastAsia="Arial"/>
          <w:color w:val="000000"/>
          <w:szCs w:val="20"/>
        </w:rPr>
      </w:pPr>
      <w:r>
        <w:rPr>
          <w:rFonts w:eastAsia="Arial"/>
          <w:color w:val="000000"/>
          <w:szCs w:val="20"/>
        </w:rPr>
        <w:t>Nacionalinės priklausomybių kontrolės ir prevencijos politikos pagrindiniai dokumentai:</w:t>
      </w:r>
    </w:p>
    <w:p w:rsidR="00DD08F5" w:rsidRDefault="00DD08F5" w:rsidP="00DD08F5">
      <w:pPr>
        <w:ind w:firstLine="720"/>
        <w:jc w:val="both"/>
        <w:rPr>
          <w:rFonts w:eastAsia="Arial"/>
          <w:color w:val="000000"/>
          <w:szCs w:val="20"/>
        </w:rPr>
      </w:pPr>
      <w:r>
        <w:rPr>
          <w:rFonts w:eastAsia="Arial"/>
          <w:color w:val="000000"/>
          <w:szCs w:val="20"/>
        </w:rPr>
        <w:t>Lietuvos Respublikos alkoholio kontrolės įstatymas (Žin., 1995, Nr. 44 – 1073);</w:t>
      </w:r>
    </w:p>
    <w:p w:rsidR="00DD08F5" w:rsidRDefault="00DD08F5" w:rsidP="00DD08F5">
      <w:pPr>
        <w:ind w:firstLine="720"/>
        <w:jc w:val="both"/>
        <w:rPr>
          <w:rFonts w:eastAsia="Arial"/>
          <w:color w:val="000000"/>
          <w:szCs w:val="20"/>
        </w:rPr>
      </w:pPr>
      <w:r>
        <w:rPr>
          <w:rFonts w:eastAsia="Arial"/>
          <w:color w:val="000000"/>
          <w:szCs w:val="20"/>
        </w:rPr>
        <w:t>Lietuvos Respublikos narkologinės priežiūros įstatymas (Žin., 1997, Nr. 30 – 711);</w:t>
      </w:r>
    </w:p>
    <w:p w:rsidR="00DD08F5" w:rsidRDefault="00DD08F5" w:rsidP="00DD08F5">
      <w:pPr>
        <w:ind w:firstLine="720"/>
        <w:jc w:val="both"/>
        <w:rPr>
          <w:rFonts w:eastAsia="Arial"/>
          <w:color w:val="000000"/>
          <w:szCs w:val="20"/>
        </w:rPr>
      </w:pPr>
      <w:r>
        <w:rPr>
          <w:rFonts w:eastAsia="Arial"/>
          <w:color w:val="000000"/>
          <w:szCs w:val="20"/>
        </w:rPr>
        <w:t>Lietuvos Respublikos narkotinių ir psichotropinių medžiagų kontrolės įstatymas (Žin., 1998, Nr. 8 – 161);</w:t>
      </w:r>
    </w:p>
    <w:p w:rsidR="00DD08F5" w:rsidRDefault="00DD08F5" w:rsidP="00DD08F5">
      <w:pPr>
        <w:ind w:firstLine="720"/>
        <w:jc w:val="both"/>
        <w:rPr>
          <w:rFonts w:eastAsia="Arial"/>
          <w:color w:val="000000"/>
          <w:szCs w:val="20"/>
        </w:rPr>
      </w:pPr>
      <w:r>
        <w:rPr>
          <w:rFonts w:eastAsia="Arial"/>
          <w:color w:val="000000"/>
          <w:szCs w:val="20"/>
        </w:rPr>
        <w:t xml:space="preserve"> Lietuvos sveikatos programa (Žin., 1998, Nr.64 – 1842);</w:t>
      </w:r>
    </w:p>
    <w:p w:rsidR="00DD08F5" w:rsidRDefault="00DD08F5" w:rsidP="00DD08F5">
      <w:pPr>
        <w:ind w:firstLine="720"/>
        <w:jc w:val="both"/>
        <w:rPr>
          <w:rFonts w:eastAsia="Arial"/>
          <w:color w:val="000000"/>
          <w:szCs w:val="20"/>
        </w:rPr>
      </w:pPr>
      <w:r>
        <w:rPr>
          <w:rFonts w:eastAsia="Arial"/>
          <w:color w:val="000000"/>
          <w:szCs w:val="20"/>
        </w:rPr>
        <w:t>Valstybės ilgalaikės raidos strategija (Žin., 2002, Nr.113 – 5029);</w:t>
      </w:r>
    </w:p>
    <w:p w:rsidR="00DD08F5" w:rsidRDefault="00DD08F5" w:rsidP="00DD08F5">
      <w:pPr>
        <w:ind w:firstLine="720"/>
        <w:jc w:val="both"/>
        <w:rPr>
          <w:rFonts w:eastAsia="Arial"/>
          <w:color w:val="000000"/>
          <w:szCs w:val="20"/>
        </w:rPr>
      </w:pPr>
      <w:r>
        <w:rPr>
          <w:rFonts w:eastAsia="Arial"/>
          <w:color w:val="000000"/>
          <w:szCs w:val="20"/>
        </w:rPr>
        <w:t>Psichikos sveikatos strategija ( patvirtinta Lietuvos Respublikos Seimo 2007 m. balandžio 3 d. nutarimu Nr. X-1070 (Žin., 2007, Nr. 42 – 1572).</w:t>
      </w:r>
    </w:p>
    <w:p w:rsidR="00DD08F5" w:rsidRDefault="00DD08F5" w:rsidP="00DD08F5">
      <w:pPr>
        <w:ind w:firstLine="720"/>
        <w:jc w:val="both"/>
        <w:rPr>
          <w:rFonts w:eastAsia="Arial"/>
          <w:color w:val="000000"/>
          <w:szCs w:val="20"/>
        </w:rPr>
      </w:pPr>
      <w:r>
        <w:rPr>
          <w:rFonts w:eastAsia="Arial"/>
          <w:color w:val="000000"/>
          <w:szCs w:val="20"/>
        </w:rPr>
        <w:t xml:space="preserve">Lietuvos Respublikos Vyriausybė 2008 m. birželio 18 d. nutarimu Nr. 645 “Dėl Valstybinės psichikos sveikatos strategijos įgyvendinimo 2008 2010 metų programos patvirtinimo (Žin., 2008, Nr. 76-3014) patvirtino minėtą programą ir kt. </w:t>
      </w:r>
    </w:p>
    <w:p w:rsidR="00DD08F5" w:rsidRDefault="00DD08F5" w:rsidP="00DD08F5">
      <w:pPr>
        <w:ind w:firstLine="720"/>
        <w:jc w:val="both"/>
        <w:rPr>
          <w:rFonts w:eastAsia="Arial"/>
          <w:color w:val="000000"/>
          <w:szCs w:val="20"/>
        </w:rPr>
      </w:pPr>
      <w:r>
        <w:rPr>
          <w:rFonts w:eastAsia="Arial"/>
          <w:color w:val="000000"/>
          <w:szCs w:val="20"/>
        </w:rPr>
        <w:t xml:space="preserve"> Valstybinio psichikos sveikatos centro duomenimis, Lietuvoje yra didžiausias pasaulyje savižudybių rodiklis, aukšti su prievarta susiję rodikliai- žmogžudysčių ir kitų nusikaltimų skaičius, patyčių tarp vaikų dažnumas, itin didelis girtavimo ir priklausomybės nuo alkoholio paplitimas. Nors savižudybių skaičius (2005 m. –38,6 atv./100000 gyventojų) pradėjo palaipsniu mažėti, tačiau, dar yra didžiausias Europoje. </w:t>
      </w:r>
    </w:p>
    <w:p w:rsidR="00DD08F5" w:rsidRDefault="00DD08F5" w:rsidP="00DD08F5">
      <w:pPr>
        <w:ind w:firstLine="720"/>
        <w:jc w:val="both"/>
        <w:rPr>
          <w:rFonts w:eastAsia="Arial"/>
          <w:color w:val="000000"/>
          <w:szCs w:val="20"/>
        </w:rPr>
      </w:pPr>
      <w:r>
        <w:rPr>
          <w:rFonts w:eastAsia="Arial"/>
          <w:color w:val="000000"/>
          <w:szCs w:val="20"/>
        </w:rPr>
        <w:t xml:space="preserve">Valstybinio psichikos sveikatos centro duomenimis 2008 metų pabaigoje pas pirminės psichikos sveikatos priežiūros specialistus gydėsi iš viso – 165982 asmenys (4,95 proc. visų Lietuvos gyventojų). Iš jų: </w:t>
      </w:r>
    </w:p>
    <w:p w:rsidR="00DD08F5" w:rsidRDefault="00DD08F5" w:rsidP="00DD08F5">
      <w:pPr>
        <w:ind w:firstLine="720"/>
        <w:jc w:val="both"/>
        <w:rPr>
          <w:rFonts w:eastAsia="Arial"/>
          <w:color w:val="000000"/>
          <w:szCs w:val="20"/>
        </w:rPr>
      </w:pPr>
      <w:r>
        <w:rPr>
          <w:rFonts w:eastAsia="Arial"/>
          <w:color w:val="000000"/>
          <w:szCs w:val="20"/>
        </w:rPr>
        <w:t>- 96 642 (2,95 proc.) dėl psichikos sutrikimų;</w:t>
      </w:r>
    </w:p>
    <w:p w:rsidR="00DD08F5" w:rsidRDefault="00DD08F5" w:rsidP="00DD08F5">
      <w:pPr>
        <w:ind w:firstLine="720"/>
        <w:jc w:val="both"/>
        <w:rPr>
          <w:rFonts w:eastAsia="Arial"/>
          <w:color w:val="000000"/>
          <w:szCs w:val="20"/>
        </w:rPr>
      </w:pPr>
      <w:r>
        <w:rPr>
          <w:rFonts w:eastAsia="Arial"/>
          <w:color w:val="000000"/>
          <w:szCs w:val="20"/>
        </w:rPr>
        <w:t>- 69 340 (2 proc.) dėl priklausomybės ligų (63 531 dėl priklausomybės alkoholiui ir 5 809 dėl priklausomybės psichoaktyvioms medžiagoms).</w:t>
      </w:r>
    </w:p>
    <w:p w:rsidR="00DD08F5" w:rsidRDefault="00DD08F5" w:rsidP="00DD08F5">
      <w:pPr>
        <w:ind w:firstLine="720"/>
        <w:jc w:val="both"/>
        <w:rPr>
          <w:rFonts w:eastAsia="Arial"/>
          <w:color w:val="000000"/>
          <w:szCs w:val="20"/>
        </w:rPr>
      </w:pPr>
      <w:r>
        <w:rPr>
          <w:rFonts w:eastAsia="Arial"/>
          <w:color w:val="000000"/>
          <w:szCs w:val="20"/>
        </w:rPr>
        <w:t xml:space="preserve">2008 m. bendras dėl priklausomybės gydomų vaikų skaičius (absol. sk.) buvo: priklausomybė alkoholiui - 8 vaikai (2007 m.- 2 vaikai), priklausomybė psichoaktyvioms medžiagoms – 15 vaikų (2007 m. – 11 vaikų). </w:t>
      </w:r>
    </w:p>
    <w:p w:rsidR="00DD08F5" w:rsidRDefault="00DD08F5" w:rsidP="00DD08F5">
      <w:pPr>
        <w:ind w:firstLine="720"/>
        <w:jc w:val="both"/>
        <w:rPr>
          <w:rFonts w:eastAsia="Arial"/>
          <w:color w:val="000000"/>
          <w:szCs w:val="20"/>
        </w:rPr>
      </w:pPr>
      <w:r>
        <w:rPr>
          <w:rFonts w:eastAsia="Arial"/>
          <w:color w:val="000000"/>
          <w:szCs w:val="20"/>
        </w:rPr>
        <w:t>Narkomanų pasiskirstymas pagal amžiaus grupes 2007-2008 m. buvo:</w:t>
      </w:r>
    </w:p>
    <w:p w:rsidR="00DD08F5" w:rsidRDefault="00DD08F5" w:rsidP="00DD08F5">
      <w:pPr>
        <w:ind w:firstLine="720"/>
        <w:jc w:val="both"/>
        <w:rPr>
          <w:rFonts w:eastAsia="Arial"/>
          <w:color w:val="000000"/>
          <w:szCs w:val="20"/>
        </w:rPr>
      </w:pPr>
      <w:r>
        <w:rPr>
          <w:rFonts w:eastAsia="Arial"/>
          <w:color w:val="000000"/>
          <w:szCs w:val="20"/>
        </w:rPr>
        <w:t>Iki 14 m. – 0,1 proc.</w:t>
      </w:r>
    </w:p>
    <w:p w:rsidR="00DD08F5" w:rsidRDefault="00DD08F5" w:rsidP="00DD08F5">
      <w:pPr>
        <w:ind w:firstLine="720"/>
        <w:jc w:val="both"/>
        <w:rPr>
          <w:rFonts w:eastAsia="Arial"/>
          <w:color w:val="000000"/>
          <w:szCs w:val="20"/>
        </w:rPr>
      </w:pPr>
      <w:r>
        <w:rPr>
          <w:rFonts w:eastAsia="Arial"/>
          <w:color w:val="000000"/>
          <w:szCs w:val="20"/>
        </w:rPr>
        <w:t xml:space="preserve">15 –19 m. – 2,2 ir 1,4 proc. </w:t>
      </w:r>
    </w:p>
    <w:p w:rsidR="00DD08F5" w:rsidRDefault="00DD08F5" w:rsidP="00DD08F5">
      <w:pPr>
        <w:ind w:firstLine="720"/>
        <w:jc w:val="both"/>
        <w:rPr>
          <w:rFonts w:eastAsia="Arial"/>
          <w:color w:val="000000"/>
          <w:szCs w:val="20"/>
        </w:rPr>
      </w:pPr>
      <w:r>
        <w:rPr>
          <w:rFonts w:eastAsia="Arial"/>
          <w:color w:val="000000"/>
          <w:szCs w:val="20"/>
        </w:rPr>
        <w:t>20 –24 m. – 18,5 ir 15,4 proc.</w:t>
      </w:r>
    </w:p>
    <w:p w:rsidR="00DD08F5" w:rsidRDefault="00DD08F5" w:rsidP="00DD08F5">
      <w:pPr>
        <w:ind w:firstLine="720"/>
        <w:jc w:val="both"/>
        <w:rPr>
          <w:rFonts w:eastAsia="Arial"/>
          <w:color w:val="000000"/>
          <w:szCs w:val="20"/>
        </w:rPr>
      </w:pPr>
      <w:r>
        <w:rPr>
          <w:rFonts w:eastAsia="Arial"/>
          <w:color w:val="000000"/>
          <w:szCs w:val="20"/>
        </w:rPr>
        <w:t xml:space="preserve">25 – 34 m. – 52,6 ir 53,6 proc. </w:t>
      </w:r>
    </w:p>
    <w:p w:rsidR="00DD08F5" w:rsidRDefault="00DD08F5" w:rsidP="00DD08F5">
      <w:pPr>
        <w:ind w:firstLine="720"/>
        <w:jc w:val="both"/>
        <w:rPr>
          <w:rFonts w:eastAsia="Arial"/>
          <w:color w:val="000000"/>
          <w:szCs w:val="20"/>
        </w:rPr>
      </w:pPr>
      <w:r>
        <w:rPr>
          <w:rFonts w:eastAsia="Arial"/>
          <w:color w:val="000000"/>
          <w:szCs w:val="20"/>
        </w:rPr>
        <w:t xml:space="preserve">35 m. ir daugiau – 26 ir 29,5 proc. </w:t>
      </w:r>
    </w:p>
    <w:p w:rsidR="00DD08F5" w:rsidRDefault="00DD08F5" w:rsidP="00DD08F5">
      <w:pPr>
        <w:ind w:firstLine="720"/>
        <w:jc w:val="both"/>
        <w:rPr>
          <w:rFonts w:eastAsia="Arial"/>
          <w:color w:val="000000"/>
          <w:szCs w:val="20"/>
        </w:rPr>
      </w:pPr>
      <w:r>
        <w:rPr>
          <w:rFonts w:eastAsia="Arial"/>
          <w:color w:val="000000"/>
          <w:szCs w:val="20"/>
        </w:rPr>
        <w:lastRenderedPageBreak/>
        <w:t xml:space="preserve">Asmenų, kuriems stacionare užregistruotos diagnozės, susijusios su ūminiu alkoholio poveikiu 2008 m.: alkoholio toksinis poveikis – 2434 asmenys; ūmi alkoholinė intoksikacija – 381 asmuo; alkoholinės psichozės – 3822 asmenys. Alkoholinių psichozių skaičius per 1999-2005 metus išaugo nuo 51,1 atv. / 100000 gyventojų iki 89,8 atv./ 100000 gyventojų 92005 m. duomenys preliminarūs). </w:t>
      </w:r>
    </w:p>
    <w:p w:rsidR="00DD08F5" w:rsidRDefault="00DD08F5" w:rsidP="00DD08F5">
      <w:pPr>
        <w:ind w:firstLine="720"/>
        <w:jc w:val="both"/>
        <w:rPr>
          <w:rFonts w:eastAsia="Arial"/>
          <w:color w:val="000000"/>
          <w:szCs w:val="20"/>
        </w:rPr>
      </w:pPr>
      <w:r>
        <w:rPr>
          <w:rFonts w:eastAsia="Arial"/>
          <w:color w:val="000000"/>
          <w:szCs w:val="20"/>
        </w:rPr>
        <w:t xml:space="preserve">Asmenų, kuriems bent vieną kartą užregistruota diagnozė, skaičius 2008 m. I ketv. pagal Lietuvos sveikatos informacijos centro duomenis, paimtus iš Privalomojo sveikatos draudimo informacinės sistemos SVEIDRA duomenų bazės sudarė: dėl alkoholio toksinio – 474 asmenys; dėl ūmios alkoholinės intoksikacijos – 66 asmenys; dėl alkoholinės psichozės – 877 asmenys. </w:t>
      </w:r>
    </w:p>
    <w:p w:rsidR="00DD08F5" w:rsidRDefault="00DD08F5" w:rsidP="00DD08F5">
      <w:pPr>
        <w:ind w:firstLine="720"/>
        <w:jc w:val="both"/>
        <w:rPr>
          <w:rFonts w:eastAsia="Arial"/>
          <w:color w:val="000000"/>
          <w:szCs w:val="20"/>
        </w:rPr>
      </w:pPr>
      <w:r>
        <w:rPr>
          <w:rFonts w:eastAsia="Arial"/>
          <w:color w:val="000000"/>
          <w:szCs w:val="20"/>
        </w:rPr>
        <w:t xml:space="preserve">Statistikos departamento prie Lietuvos Respublikos Vyriausybės duomenimis ir Valstybinio psichikos sveikatos centro duomenimis savižudybių dažnis Lietuvoje 2007 – 2008 m. ( 100 000 gyventojų)  tarp vyrų  - 53,9 proc. ir  58,6 proc. ; moterų – 9,8 proc. ir 10,7 proc.   </w:t>
      </w:r>
    </w:p>
    <w:p w:rsidR="00DD08F5" w:rsidRDefault="00DD08F5" w:rsidP="00DD08F5">
      <w:pPr>
        <w:ind w:firstLine="720"/>
        <w:jc w:val="both"/>
        <w:rPr>
          <w:rFonts w:eastAsia="Arial"/>
          <w:color w:val="000000"/>
          <w:szCs w:val="20"/>
        </w:rPr>
      </w:pPr>
      <w:r>
        <w:rPr>
          <w:rFonts w:eastAsia="Arial"/>
          <w:color w:val="000000"/>
          <w:szCs w:val="20"/>
        </w:rPr>
        <w:t xml:space="preserve"> Valstybinio psichikos sveikatos centras pažymi, kad Tarptautinis Alkoholio ir narkotinių medžiagų tyrimas Europos mokyklose ESPAD – 2007, kuris vykdytas 35 šalyse parodė, kad Lietuvoje per ketverius pastaruosius metus sumažėjo tabako, alkoholinių gėrimų ir reguliarus narkotikų vartojimas tarp 15 – 16 metų amžiaus mokinių. Tarp berniukų  alkoholio vartojimas sumažėjo labiau, negu tarp mergaičių.</w:t>
      </w:r>
    </w:p>
    <w:p w:rsidR="00DD08F5" w:rsidRDefault="00DD08F5" w:rsidP="00DD08F5">
      <w:pPr>
        <w:ind w:firstLine="720"/>
        <w:jc w:val="both"/>
        <w:rPr>
          <w:rFonts w:eastAsia="Arial"/>
          <w:color w:val="000000"/>
          <w:szCs w:val="20"/>
        </w:rPr>
      </w:pPr>
      <w:r>
        <w:rPr>
          <w:rFonts w:eastAsia="Arial"/>
          <w:color w:val="000000"/>
          <w:szCs w:val="20"/>
        </w:rPr>
        <w:t xml:space="preserve">Populiariausi Lietuvos mokinių alkoholiniai gėrimai sidras ir kokteiliai. Sumažėjo alaus ir stipriųjų gėrimų vartojimas. Tarp paauglių Lietuvoje sumažėjo girtumo atvejų.  </w:t>
      </w:r>
    </w:p>
    <w:p w:rsidR="00DD08F5" w:rsidRDefault="00DD08F5" w:rsidP="00DD08F5">
      <w:pPr>
        <w:jc w:val="both"/>
        <w:rPr>
          <w:rFonts w:eastAsia="Arial"/>
          <w:color w:val="000000"/>
          <w:szCs w:val="20"/>
        </w:rPr>
      </w:pPr>
      <w:r>
        <w:rPr>
          <w:rFonts w:eastAsia="Arial"/>
          <w:color w:val="000000"/>
          <w:szCs w:val="20"/>
        </w:rPr>
        <w:tab/>
        <w:t xml:space="preserve">Tyrimo duomenimis Lietuvoje: </w:t>
      </w:r>
    </w:p>
    <w:p w:rsidR="00DD08F5" w:rsidRDefault="00DD08F5" w:rsidP="00DD08F5">
      <w:pPr>
        <w:ind w:firstLine="720"/>
        <w:jc w:val="both"/>
        <w:rPr>
          <w:rFonts w:eastAsia="Arial"/>
          <w:color w:val="000000"/>
          <w:szCs w:val="20"/>
        </w:rPr>
      </w:pPr>
      <w:r>
        <w:rPr>
          <w:rFonts w:eastAsia="Arial"/>
          <w:color w:val="000000"/>
          <w:szCs w:val="20"/>
        </w:rPr>
        <w:t xml:space="preserve">Narkotikų paplitimas auga, bet reguliariai ar labai dažnai juos vartojančių paauglių skaičius nuo 2003 m. padidėjo mažai ar net kai kuriais atvejais sumažėjo. Populiariausias Lietuvos paauglių narkotikas – marihuana (hašišas), antroje vietoje – ekstazi.  </w:t>
      </w:r>
    </w:p>
    <w:p w:rsidR="00DD08F5" w:rsidRDefault="00DD08F5" w:rsidP="00DD08F5">
      <w:pPr>
        <w:jc w:val="both"/>
        <w:rPr>
          <w:rFonts w:eastAsia="Arial"/>
          <w:color w:val="000000"/>
          <w:szCs w:val="20"/>
        </w:rPr>
      </w:pPr>
      <w:r>
        <w:rPr>
          <w:rFonts w:eastAsia="Arial"/>
          <w:color w:val="000000"/>
          <w:szCs w:val="20"/>
        </w:rPr>
        <w:tab/>
        <w:t xml:space="preserve">Lietuvoe padaugėjo “smalsaujančių”, bandžiusių kvaišalus pavartoti 1-2 kartus per gyvenimą mokinių. Lietuvoje ryškiausiai sumažėjo heroino ir amfetaminų vartojimas.  </w:t>
      </w:r>
    </w:p>
    <w:p w:rsidR="00DD08F5" w:rsidRDefault="00DD08F5" w:rsidP="00DD08F5">
      <w:pPr>
        <w:ind w:firstLine="720"/>
        <w:jc w:val="both"/>
        <w:rPr>
          <w:rFonts w:eastAsia="Arial"/>
          <w:color w:val="000000"/>
          <w:szCs w:val="20"/>
        </w:rPr>
      </w:pPr>
      <w:r>
        <w:rPr>
          <w:rFonts w:eastAsia="Arial"/>
          <w:color w:val="000000"/>
          <w:szCs w:val="20"/>
        </w:rPr>
        <w:t xml:space="preserve">Bent kartą  narkotikų bandė 20 proc. Lietuvos mokinių, Latvijoje – 22 proc., tokio amžiaus mokinių, Estijoje – 28 proc., Airijoje – 22 proc. Daugiausia paauglių narkotikais svaiginasi Čekijoje – net 46 proc., o Armenijoje - 4 proc. Lietuvoje ir Latvijoje marihuaną bent kartą yra pavartoję po 18 proc. paauglių, Estijoje – 26 proc., Čekijoje – 45 proc. ir Armenijoje – 3 proc.   </w:t>
      </w:r>
    </w:p>
    <w:p w:rsidR="00DD08F5" w:rsidRDefault="00DD08F5" w:rsidP="00DD08F5">
      <w:pPr>
        <w:jc w:val="both"/>
        <w:rPr>
          <w:rFonts w:eastAsia="Arial"/>
          <w:color w:val="000000"/>
          <w:szCs w:val="20"/>
        </w:rPr>
      </w:pPr>
      <w:r>
        <w:rPr>
          <w:rFonts w:eastAsia="Arial"/>
          <w:color w:val="000000"/>
          <w:szCs w:val="20"/>
        </w:rPr>
        <w:tab/>
        <w:t xml:space="preserve">Tyrimas labai aiškiai atskleidė, kad mokinių psichoaktyviųjų medžiagų vartojimui labai didelę įtaką daro tai, kaip jie praleidžia laisvalaikį. Tikslingi, organizuoti laisvalaikio užsiėmimai, susiję su žemu šių medžiagų vartojimo lygiu. Labiausiai psichoaktyviųjų medžiagų vartojimą skatina dažnas neorganizuotas laisvalaikio leidimas su draugais: bastymasis gatvėse, laisvalaikio leidimas prekybos centruose. Paauglių psichoaktyviųjų medžiagų vartojimui įtakos daro draugai ir vyresnieji broliai ar seserys. Tėvų požiūris į psichaktyviųjų medžiagų vartojimą ir mokinių įsivaizdavimas, kokia būtų tėvų reakcija, taip pat gana reikšmingai susijęs su kvaišalų vartojimo įpročiais. Paaugliai, kurių tėvai žino, kur jų vaikai leidžia laisvalaikį, vartoja psichoaktyviąsias  medžiagas kelis kartus rečiau už tuos, kurių tėvai nesidomi vaikų laisvalaikiu ar kontroliuoja tik retkarčiais.      </w:t>
      </w:r>
    </w:p>
    <w:p w:rsidR="00DD08F5" w:rsidRDefault="00DD08F5" w:rsidP="00DD08F5">
      <w:pPr>
        <w:jc w:val="both"/>
        <w:rPr>
          <w:rFonts w:eastAsia="Arial"/>
          <w:color w:val="000000"/>
          <w:szCs w:val="20"/>
        </w:rPr>
      </w:pPr>
      <w:r>
        <w:rPr>
          <w:rFonts w:eastAsia="Arial"/>
          <w:color w:val="000000"/>
          <w:szCs w:val="20"/>
        </w:rPr>
        <w:tab/>
        <w:t xml:space="preserve">Psichikos sveikatos strategijos prioritetinės kryptys: žmogaus teisių užtikrinimas; modernios, pacientų poreikius atitinkančios paslaugos; biopsichosocialinio modelio plėtros pusiausvyra; autonomijos ir dalyvavimo skatinimas; nedidelių psichikos sveikatos sutrikimų gydymas nespecializuotose sveikatos priežiūros įstaigose; psichikos sveikatos stiprinimas ir psichikos sutrikimų prevencija, kaip neatsiejamos ir prioritetinės sveikatos, švietimo ir socialinės pasaugos strategijų įgyvendinimo dalys; pacientų, jų šeimų ir nevyriausybinio sektoriaus vaidmens stiprinimas.   </w:t>
      </w:r>
    </w:p>
    <w:p w:rsidR="00DD08F5" w:rsidRDefault="00DD08F5" w:rsidP="00DD08F5">
      <w:pPr>
        <w:ind w:firstLine="720"/>
        <w:jc w:val="both"/>
        <w:rPr>
          <w:rFonts w:eastAsia="Arial"/>
          <w:color w:val="000000"/>
          <w:szCs w:val="20"/>
        </w:rPr>
      </w:pPr>
      <w:r>
        <w:rPr>
          <w:rFonts w:eastAsia="Arial"/>
          <w:color w:val="000000"/>
          <w:szCs w:val="20"/>
        </w:rPr>
        <w:t xml:space="preserve">Psichikos sveikatos strategijos įgyvendinimo priemonių plane numatyta psichikos sveikatos priežiūros paslaugų teikimo bendruomenėje plėtra, kuriai reikalinga: parengti ir įdiegti kompleksinės pagalbos  ikimokyklinio amžiaus vaikams ir šeimoms, kuriose auga vaikai su psichikos ir elgesio sutrikimais, metodikas; parengti ir įdiegti ambulatorinių ir stacionarinių paslaugų teikimo vaikams su sudėtingais psichikos, elgesio ir raidos sutrikimais metodikas; parengti vaikų psichiatrijos, psichoterapijos paslaugų teikimo organizavimo tvarkos aprašą; parengti ir įdiegti psichologinės ir psichoterapinės pagalbos ikimokyklinio ugdymo įstaigose tvarkos aprašą. </w:t>
      </w:r>
    </w:p>
    <w:p w:rsidR="00DD08F5" w:rsidRDefault="00DD08F5" w:rsidP="00DD08F5">
      <w:pPr>
        <w:ind w:firstLine="720"/>
        <w:jc w:val="both"/>
        <w:rPr>
          <w:rFonts w:eastAsia="Arial"/>
          <w:color w:val="000000"/>
          <w:szCs w:val="20"/>
        </w:rPr>
      </w:pPr>
      <w:r>
        <w:rPr>
          <w:rFonts w:eastAsia="Arial"/>
          <w:color w:val="000000"/>
          <w:szCs w:val="20"/>
        </w:rPr>
        <w:t xml:space="preserve">Taip pat reikalinga visuomenės psichikos sveikatos stiprinimui ir psichikos sutrikimų prevencijai parengti ir įdiegti Lietuvos regionuose tėvystės įgūdžių formavimo ir šeimų konsultavimo mokymo programas kai skiriasi sutuoktiniai aba vaikams, kurių tėvai išvykę uždarbiauti į užsienį bei psichikos ligomis sergantiems tėvams ir jų vaikams. </w:t>
      </w:r>
    </w:p>
    <w:p w:rsidR="00DD08F5" w:rsidRDefault="00DD08F5" w:rsidP="00DD08F5">
      <w:pPr>
        <w:ind w:firstLine="720"/>
        <w:jc w:val="both"/>
        <w:rPr>
          <w:rFonts w:eastAsia="Arial"/>
          <w:color w:val="000000"/>
          <w:szCs w:val="20"/>
        </w:rPr>
      </w:pPr>
      <w:r>
        <w:rPr>
          <w:rFonts w:eastAsia="Arial"/>
          <w:color w:val="000000"/>
          <w:szCs w:val="20"/>
        </w:rPr>
        <w:t xml:space="preserve">Valstybinio psichikos sveikatos centro teigimu, priklausomybių kontrolės ir prevencijos politika turi būti vykdoma per švietimą, gydymą, įstatymų kontrolę ir sienos apsaugą. </w:t>
      </w:r>
    </w:p>
    <w:p w:rsidR="00DD08F5" w:rsidRDefault="00DD08F5" w:rsidP="00DD08F5">
      <w:pPr>
        <w:ind w:firstLine="720"/>
        <w:jc w:val="both"/>
        <w:rPr>
          <w:rFonts w:eastAsia="Arial"/>
          <w:color w:val="000000"/>
          <w:szCs w:val="20"/>
        </w:rPr>
      </w:pPr>
      <w:r>
        <w:rPr>
          <w:rFonts w:eastAsia="Arial"/>
          <w:color w:val="000000"/>
          <w:szCs w:val="20"/>
        </w:rPr>
        <w:lastRenderedPageBreak/>
        <w:t>Valstybinio psichikos sveikatos centro duomenimis, sergančiųjų priklausomybės ligomis sveikatos priežiūrą vykdo šeimos (bendrosios praktikos) gydytojai, Psichikos sveikatos centrai.  2009 m. buvo 85 PSC. Iš jų: 17 turėjo juridinio asmens statusą, 22 privatūs ( 4 iš jų – savarankiški juridiniai vienetai (UAB), likusieji – privačių PSPC sudėtyje). Psichikos sveikatos centruose dirbančių specialistų užimti etatai: gydytojai psichiatrai –192,5; vaikų ir paauglių psichiatrai –39,55; slaugytojai – 223,1; socialiniai darbuotojai –167; psichologai – 109,6. Paslaugos buvo teikiamos stacionare: 5 Priklausomybės   ligų centruose; Psichiatrijos  ligoninėse; Toksikologijos skyriuose; Reanimacijos ir/ar intensyvios terapijos skyriuose bendro profilio ligoninėse.</w:t>
      </w:r>
    </w:p>
    <w:p w:rsidR="00DD08F5" w:rsidRDefault="00DD08F5" w:rsidP="00DD08F5">
      <w:pPr>
        <w:ind w:firstLine="720"/>
        <w:jc w:val="both"/>
        <w:rPr>
          <w:rFonts w:eastAsia="Arial"/>
          <w:color w:val="000000"/>
          <w:szCs w:val="20"/>
        </w:rPr>
      </w:pPr>
      <w:r>
        <w:rPr>
          <w:rFonts w:eastAsia="Arial"/>
          <w:color w:val="000000"/>
          <w:szCs w:val="20"/>
        </w:rPr>
        <w:t xml:space="preserve">Psichosocialinės reabilitacijos paslaugos buvo teikiamos: Vilniaus priklausomybės ligų centre ir Lietuvos AIDS centre; Psichosocialinės ir socialinės reabilitacijos bendruomenėse; Nakvynės namuose, Anoniminių alkoholikų ir Anoniminių narkomanų klubuose, Nevyriausybinių organizacijų sektoriuje. </w:t>
      </w:r>
    </w:p>
    <w:p w:rsidR="00DD08F5" w:rsidRDefault="00DD08F5" w:rsidP="00DD08F5">
      <w:pPr>
        <w:ind w:firstLine="720"/>
        <w:jc w:val="both"/>
        <w:rPr>
          <w:rFonts w:eastAsia="Arial"/>
          <w:color w:val="000000"/>
          <w:szCs w:val="20"/>
        </w:rPr>
      </w:pPr>
      <w:r>
        <w:rPr>
          <w:rFonts w:eastAsia="Arial"/>
          <w:color w:val="000000"/>
          <w:szCs w:val="20"/>
        </w:rPr>
        <w:t xml:space="preserve"> Valstybinio psichikos sveikatos centro siūlymu prevencija ir ankstyvoji intervencija sveikatos priežiūroje sudarytų: </w:t>
      </w:r>
    </w:p>
    <w:p w:rsidR="00DD08F5" w:rsidRDefault="00DD08F5" w:rsidP="00DD08F5">
      <w:pPr>
        <w:ind w:firstLine="720"/>
        <w:jc w:val="both"/>
        <w:rPr>
          <w:rFonts w:eastAsia="Arial"/>
          <w:color w:val="000000"/>
          <w:szCs w:val="20"/>
        </w:rPr>
      </w:pPr>
      <w:r>
        <w:rPr>
          <w:rFonts w:eastAsia="Arial"/>
          <w:color w:val="000000"/>
          <w:szCs w:val="20"/>
        </w:rPr>
        <w:t>Pirminė prevencija (poveikis rizikos veiksnius – pasiūlos, prieinamumo, paklausos mažinimas), siekiant išvengti problemos.</w:t>
      </w:r>
    </w:p>
    <w:p w:rsidR="00DD08F5" w:rsidRDefault="00DD08F5" w:rsidP="00DD08F5">
      <w:pPr>
        <w:ind w:firstLine="720"/>
        <w:jc w:val="both"/>
        <w:rPr>
          <w:rFonts w:eastAsia="Arial"/>
          <w:color w:val="000000"/>
          <w:szCs w:val="20"/>
        </w:rPr>
      </w:pPr>
      <w:r>
        <w:rPr>
          <w:rFonts w:eastAsia="Arial"/>
          <w:color w:val="000000"/>
          <w:szCs w:val="20"/>
        </w:rPr>
        <w:t>Antrinė prevencija – ankstyvoji intervencija (ankstyvoji diagnostika išgydymas).</w:t>
      </w:r>
    </w:p>
    <w:p w:rsidR="00DD08F5" w:rsidRDefault="00DD08F5" w:rsidP="00DD08F5">
      <w:pPr>
        <w:ind w:firstLine="720"/>
        <w:jc w:val="both"/>
        <w:rPr>
          <w:rFonts w:eastAsia="Arial"/>
          <w:color w:val="000000"/>
          <w:szCs w:val="20"/>
        </w:rPr>
      </w:pPr>
      <w:r>
        <w:rPr>
          <w:rFonts w:eastAsia="Arial"/>
          <w:color w:val="000000"/>
          <w:szCs w:val="20"/>
        </w:rPr>
        <w:t>Tretinė prevencija (ilgalaikis palaikomasis gydymas kartu su psichosocialine reabilitacija).</w:t>
      </w:r>
    </w:p>
    <w:p w:rsidR="00DD08F5" w:rsidRDefault="00DD08F5" w:rsidP="00DD08F5">
      <w:pPr>
        <w:ind w:firstLine="720"/>
        <w:jc w:val="both"/>
        <w:rPr>
          <w:rFonts w:eastAsia="Arial"/>
          <w:color w:val="000000"/>
          <w:szCs w:val="20"/>
        </w:rPr>
      </w:pPr>
      <w:r>
        <w:rPr>
          <w:rFonts w:eastAsia="Arial"/>
          <w:color w:val="000000"/>
          <w:szCs w:val="20"/>
        </w:rPr>
        <w:t xml:space="preserve"> Valstybinio psichikos sveikatos centro duomenimis pagrindinės problemos yra šios:</w:t>
      </w:r>
    </w:p>
    <w:p w:rsidR="00DD08F5" w:rsidRDefault="00DD08F5" w:rsidP="00DD08F5">
      <w:pPr>
        <w:ind w:firstLine="720"/>
        <w:jc w:val="both"/>
        <w:rPr>
          <w:rFonts w:eastAsia="Arial"/>
          <w:color w:val="000000"/>
          <w:szCs w:val="20"/>
        </w:rPr>
      </w:pPr>
      <w:r>
        <w:rPr>
          <w:rFonts w:eastAsia="Arial"/>
          <w:color w:val="000000"/>
          <w:szCs w:val="20"/>
        </w:rPr>
        <w:t>specialistų tiesiogiai dirbančių su priklausomybe sergančiais pacientais stoka;</w:t>
      </w:r>
    </w:p>
    <w:p w:rsidR="00DD08F5" w:rsidRDefault="00DD08F5" w:rsidP="00DD08F5">
      <w:pPr>
        <w:ind w:firstLine="720"/>
        <w:jc w:val="both"/>
        <w:rPr>
          <w:rFonts w:eastAsia="Arial"/>
          <w:color w:val="000000"/>
          <w:szCs w:val="20"/>
        </w:rPr>
      </w:pPr>
      <w:r>
        <w:rPr>
          <w:rFonts w:eastAsia="Arial"/>
          <w:color w:val="000000"/>
          <w:szCs w:val="20"/>
        </w:rPr>
        <w:t>nepakankamas slaugytojų ir socialinių darbuotojų panaudojimas;</w:t>
      </w:r>
    </w:p>
    <w:p w:rsidR="00DD08F5" w:rsidRDefault="00DD08F5" w:rsidP="00DD08F5">
      <w:pPr>
        <w:ind w:firstLine="720"/>
        <w:jc w:val="both"/>
        <w:rPr>
          <w:rFonts w:eastAsia="Arial"/>
          <w:color w:val="000000"/>
          <w:szCs w:val="20"/>
        </w:rPr>
      </w:pPr>
      <w:r>
        <w:rPr>
          <w:rFonts w:eastAsia="Arial"/>
          <w:color w:val="000000"/>
          <w:szCs w:val="20"/>
        </w:rPr>
        <w:t>galimų taikyti gydymo ir reabilitacijos “instrumentų” stoka;</w:t>
      </w:r>
    </w:p>
    <w:p w:rsidR="00DD08F5" w:rsidRDefault="00DD08F5" w:rsidP="00DD08F5">
      <w:pPr>
        <w:ind w:firstLine="720"/>
        <w:jc w:val="both"/>
        <w:rPr>
          <w:rFonts w:eastAsia="Arial"/>
          <w:color w:val="000000"/>
          <w:szCs w:val="20"/>
        </w:rPr>
      </w:pPr>
      <w:r>
        <w:rPr>
          <w:rFonts w:eastAsia="Arial"/>
          <w:color w:val="000000"/>
          <w:szCs w:val="20"/>
        </w:rPr>
        <w:t xml:space="preserve">nepakankamas tarpžinybinis veiksmų koordinavimas. </w:t>
      </w:r>
    </w:p>
    <w:p w:rsidR="00DD08F5" w:rsidRDefault="00DD08F5" w:rsidP="00DD08F5">
      <w:pPr>
        <w:jc w:val="both"/>
        <w:rPr>
          <w:rFonts w:eastAsia="Arial"/>
          <w:color w:val="000000"/>
          <w:szCs w:val="20"/>
        </w:rPr>
      </w:pPr>
      <w:r>
        <w:rPr>
          <w:rFonts w:eastAsia="Arial"/>
          <w:color w:val="000000"/>
          <w:szCs w:val="20"/>
        </w:rPr>
        <w:tab/>
        <w:t xml:space="preserve">Sveikatos apsaugos ministerijos duomenimis reabilitacijos paslaugas Lietuvoje 2008 m. teikė: 17 ilgalaikės reabilitacijos įstaigų, jose buvo 312 vietų, iš jų – 2 įstaigos vaikams ir jaunimui – 22 vietos;  trumpalaikės reabilitacijos paslaugas vaikams teikė 4 Prikalusomybės ligų centrai – 22 vietos.  </w:t>
      </w:r>
    </w:p>
    <w:p w:rsidR="00DD08F5" w:rsidRDefault="00DD08F5" w:rsidP="00DD08F5">
      <w:pPr>
        <w:ind w:firstLine="720"/>
        <w:rPr>
          <w:rFonts w:eastAsia="Arial"/>
          <w:color w:val="000000"/>
          <w:szCs w:val="20"/>
        </w:rPr>
      </w:pPr>
      <w:r>
        <w:rPr>
          <w:rFonts w:eastAsia="Arial"/>
          <w:color w:val="000000"/>
          <w:szCs w:val="20"/>
        </w:rPr>
        <w:t>Valstybinės ligonių kasos prie Sveikatos apsaugos ministerijos bei SVEIDRA ir teritorinių ligonių kasų ataskaitų duomenimis psichikos sveikatos priežiūros paslaugų apmokėjimas 2007 m. pirminei sveikatos priežiūrai panaudotos PSDF lėšos -  34 668 088 Lt;</w:t>
      </w:r>
    </w:p>
    <w:p w:rsidR="00DD08F5" w:rsidRDefault="00DD08F5" w:rsidP="00DD08F5">
      <w:pPr>
        <w:ind w:firstLine="720"/>
        <w:jc w:val="both"/>
        <w:rPr>
          <w:rFonts w:eastAsia="Arial"/>
          <w:color w:val="000000"/>
          <w:szCs w:val="20"/>
        </w:rPr>
      </w:pPr>
      <w:r>
        <w:rPr>
          <w:rFonts w:eastAsia="Arial"/>
          <w:color w:val="000000"/>
          <w:szCs w:val="20"/>
        </w:rPr>
        <w:t xml:space="preserve"> antrinio lygio ambulatorinėms psichikos sveikatos priežiūros paslaugoms apmokėti panaudotos PSDF lėšos – 475 062 Lt; </w:t>
      </w:r>
    </w:p>
    <w:p w:rsidR="00DD08F5" w:rsidRDefault="00DD08F5" w:rsidP="00DD08F5">
      <w:pPr>
        <w:ind w:firstLine="720"/>
        <w:jc w:val="both"/>
        <w:rPr>
          <w:rFonts w:eastAsia="Arial"/>
          <w:color w:val="000000"/>
          <w:szCs w:val="20"/>
        </w:rPr>
      </w:pPr>
      <w:r>
        <w:rPr>
          <w:rFonts w:eastAsia="Arial"/>
          <w:color w:val="000000"/>
          <w:szCs w:val="20"/>
        </w:rPr>
        <w:t xml:space="preserve">tretinio lygio ambulatorinėms psichikos sveikatos priežiūros paslaugoms apmokėti panaudotos PSDF lėšos – 190 614 Lt; </w:t>
      </w:r>
    </w:p>
    <w:p w:rsidR="00DD08F5" w:rsidRDefault="00DD08F5" w:rsidP="00DD08F5">
      <w:pPr>
        <w:ind w:firstLine="720"/>
        <w:jc w:val="both"/>
        <w:rPr>
          <w:rFonts w:eastAsia="Arial"/>
          <w:color w:val="000000"/>
          <w:szCs w:val="20"/>
        </w:rPr>
      </w:pPr>
      <w:r>
        <w:rPr>
          <w:rFonts w:eastAsia="Arial"/>
          <w:color w:val="000000"/>
          <w:szCs w:val="20"/>
        </w:rPr>
        <w:t xml:space="preserve">antrinio ir tretinio lygio stacionarinių paslaugų  apmokėjimas iš PSDF lėšų buvo: antrinio – 122 440 104 Lt ir tretinio 9 519 012 Lt. </w:t>
      </w:r>
    </w:p>
    <w:p w:rsidR="00DD08F5" w:rsidRDefault="00DD08F5" w:rsidP="00DD08F5">
      <w:pPr>
        <w:ind w:firstLine="720"/>
        <w:jc w:val="both"/>
        <w:rPr>
          <w:rFonts w:eastAsia="Arial"/>
          <w:color w:val="000000"/>
          <w:szCs w:val="20"/>
        </w:rPr>
      </w:pPr>
      <w:r>
        <w:rPr>
          <w:rFonts w:eastAsia="Arial"/>
          <w:color w:val="000000"/>
          <w:szCs w:val="20"/>
        </w:rPr>
        <w:t xml:space="preserve">Pacientams teikiamos psichikos sveikatos priežiūros paslaugos: ligų diagnostika, testavimas; medikamentinis gydymas, detoksikacija; individuali ar grupinė psichologo konsultacija, psichoterapija; šeimos konsultavimas; esant indikacijų - pakaitinis palaikomasis gydymas; pacientų mokymas, socialiniai įgūdžiai; psichologinė – socialinė reabilitacija. </w:t>
      </w:r>
    </w:p>
    <w:p w:rsidR="00DD08F5" w:rsidRDefault="00DD08F5" w:rsidP="00DD08F5">
      <w:pPr>
        <w:jc w:val="both"/>
        <w:rPr>
          <w:rFonts w:eastAsia="Arial"/>
          <w:color w:val="000000"/>
          <w:szCs w:val="20"/>
        </w:rPr>
      </w:pPr>
      <w:r>
        <w:rPr>
          <w:rFonts w:ascii="Arial" w:eastAsia="Arial Unicode MS" w:hAnsi="Arial" w:cs="Arial"/>
          <w:b/>
          <w:bCs/>
          <w:color w:val="000000"/>
          <w:sz w:val="18"/>
          <w:szCs w:val="18"/>
        </w:rPr>
        <w:tab/>
      </w:r>
      <w:r>
        <w:rPr>
          <w:rFonts w:eastAsia="Arial"/>
          <w:color w:val="000000"/>
          <w:szCs w:val="20"/>
        </w:rPr>
        <w:t>Visuomenės sveikatos klausimais Psichikos sveikatos strategijos uždaviniuose numatyta:</w:t>
      </w:r>
    </w:p>
    <w:p w:rsidR="00DD08F5" w:rsidRDefault="00DD08F5" w:rsidP="00DD08F5">
      <w:pPr>
        <w:ind w:firstLine="720"/>
        <w:jc w:val="both"/>
        <w:rPr>
          <w:color w:val="000000"/>
          <w:szCs w:val="16"/>
        </w:rPr>
      </w:pPr>
      <w:r>
        <w:rPr>
          <w:color w:val="000000"/>
          <w:szCs w:val="16"/>
        </w:rPr>
        <w:t xml:space="preserve"> plėsti lanksčių nestacionarinių paslaugų vaikams ir suaugusiems, turintiems psichikos sutrikimų, tinklą;</w:t>
      </w:r>
    </w:p>
    <w:p w:rsidR="00DD08F5" w:rsidRDefault="00DD08F5" w:rsidP="00DD08F5">
      <w:pPr>
        <w:ind w:firstLine="720"/>
        <w:jc w:val="both"/>
        <w:rPr>
          <w:color w:val="000000"/>
          <w:szCs w:val="16"/>
        </w:rPr>
      </w:pPr>
      <w:r>
        <w:rPr>
          <w:color w:val="000000"/>
          <w:szCs w:val="16"/>
        </w:rPr>
        <w:t>gerinti vaikų ir jaunimo psichikos sveikatos apsaugą ir priežiūrą, vykdant tikslines prevencines, gydymo ir reabilitacijos problemas, skirtas vaikų, šeimų ir bendruomenių atsparumui stiprinti bei neigiamų socializacijos pasekmių prevencija;</w:t>
      </w:r>
    </w:p>
    <w:p w:rsidR="00DD08F5" w:rsidRDefault="00DD08F5" w:rsidP="00DD08F5">
      <w:pPr>
        <w:ind w:firstLine="720"/>
        <w:jc w:val="both"/>
        <w:rPr>
          <w:color w:val="000000"/>
          <w:szCs w:val="16"/>
        </w:rPr>
      </w:pPr>
      <w:r>
        <w:rPr>
          <w:color w:val="000000"/>
          <w:szCs w:val="16"/>
        </w:rPr>
        <w:t>valstybinėse sveikatos programose didžiausią dėmesį skirti vaikų dvasinės sveikatos, emocinės ir socialinės raidos sutrikimų prevencijai, tėvų mokymui tinkamai auginti vaikus, jaunimo sveikatos problemų sprendimui;</w:t>
      </w:r>
    </w:p>
    <w:p w:rsidR="00DD08F5" w:rsidRDefault="00DD08F5" w:rsidP="00DD08F5">
      <w:pPr>
        <w:ind w:firstLine="720"/>
        <w:jc w:val="both"/>
        <w:rPr>
          <w:color w:val="000000"/>
          <w:szCs w:val="16"/>
          <w:lang w:val="en-US"/>
        </w:rPr>
      </w:pPr>
      <w:r>
        <w:rPr>
          <w:color w:val="000000"/>
          <w:szCs w:val="16"/>
        </w:rPr>
        <w:t>remti valstybės ir savivaldybių psichikos sveikatos stiprinimo ir psichikos sutrikimų prevencijos programas, visų pirma užtikrinant tęstinę paramą šioms sveikatos stiprinimo ir sutrikimų prevencijos kryptims: rizikos grupėms priskiriamų tėvų mokymui kompetentingai auginti vaikus, ypač kūdikystės ir ankstyvosios vaikystės laikotarpiu; vaikų ir paauglių psichikos sveikatos stiprinimui mokyklose ir bendruomenėje; vaikų ir jaunimo smurto prevencijai; savižudybių prevencijai; alkoholizmo, narkomanijos ir rūkymo prevencijai.</w:t>
      </w:r>
    </w:p>
    <w:p w:rsidR="00DD08F5" w:rsidRPr="00DD08F5" w:rsidRDefault="00DD08F5" w:rsidP="00DD08F5">
      <w:pPr>
        <w:jc w:val="both"/>
        <w:rPr>
          <w:b/>
          <w:bCs/>
          <w:color w:val="00007D"/>
          <w14:shadow w14:blurRad="50800" w14:dist="38100" w14:dir="2700000" w14:sx="100000" w14:sy="100000" w14:kx="0" w14:ky="0" w14:algn="tl">
            <w14:srgbClr w14:val="000000">
              <w14:alpha w14:val="60000"/>
            </w14:srgbClr>
          </w14:shadow>
        </w:rPr>
      </w:pPr>
      <w:r>
        <w:rPr>
          <w:rFonts w:eastAsia="Arial"/>
          <w:color w:val="000000"/>
          <w:szCs w:val="20"/>
        </w:rPr>
        <w:lastRenderedPageBreak/>
        <w:tab/>
        <w:t>Numatytas valstybės projektų planavimas - d</w:t>
      </w:r>
      <w:r>
        <w:rPr>
          <w:color w:val="000000"/>
        </w:rPr>
        <w:t>iferencijuotų kompleksinės psichiatrinės pagalbos vaikui ir šeimai centrų įkūrimas (15 mln. Lt), psichiatrijos stacionaro modernizavimas (15 mln. Lt), psichikos sveikatos priežiūros paslaugų stebėsenos užtikrinimo infrastruktūros modernizavimas (0,58 mln. Lt);</w:t>
      </w:r>
    </w:p>
    <w:p w:rsidR="00DD08F5" w:rsidRDefault="00DD08F5" w:rsidP="00DD08F5">
      <w:pPr>
        <w:jc w:val="both"/>
        <w:rPr>
          <w:color w:val="000000"/>
        </w:rPr>
      </w:pPr>
      <w:r>
        <w:rPr>
          <w:color w:val="000000"/>
          <w:szCs w:val="8"/>
        </w:rPr>
        <w:tab/>
      </w:r>
      <w:r>
        <w:rPr>
          <w:rFonts w:eastAsia="Arial"/>
          <w:color w:val="000000"/>
          <w:szCs w:val="20"/>
        </w:rPr>
        <w:t>Numatytas</w:t>
      </w:r>
      <w:r>
        <w:rPr>
          <w:color w:val="000000"/>
          <w:szCs w:val="8"/>
        </w:rPr>
        <w:t xml:space="preserve"> regionų projektų planavimas - </w:t>
      </w:r>
      <w:r>
        <w:rPr>
          <w:color w:val="000000"/>
        </w:rPr>
        <w:t>psichikos sveikatos priežiūros paslaugų stebėsenos užtikrinimo infrastruktūros modernizavimas (0,58 mln. Lt), Psichikos dienos stacionarų (centrų) įkūrimas (59,4 mln. Lt.), Krizių intervencijos centrų įkūrimas (10 mln. Lt.).</w:t>
      </w:r>
    </w:p>
    <w:p w:rsidR="00DD08F5" w:rsidRDefault="00DD08F5" w:rsidP="00DD08F5">
      <w:pPr>
        <w:ind w:firstLine="720"/>
        <w:jc w:val="both"/>
      </w:pPr>
      <w:r>
        <w:t xml:space="preserve">Plėtojant vaikų ir paauglių psichikos sveikatos priežiūros paslaugas, siekiant gydyti dažnus vaikų psichikos sveikatos sutrikimus, </w:t>
      </w:r>
      <w:r>
        <w:rPr>
          <w:lang w:val="en-US"/>
        </w:rPr>
        <w:t xml:space="preserve">plėtojant  kompleksines vaikų ir paauglių psichikos sveikatos priežiūros paslaugas (ambulatorines- konsultacines, dienos stacionaro, krizių intervencijos, stacionaro) numatyta, kad turi būti kuriami diferencijuotų kompleksinės psichiatrinės pagalbos vaikui ir šeimai centų įkūrimas. Tam tikslui įgyvendinti reikalinga įsteigti </w:t>
      </w:r>
      <w:r>
        <w:t xml:space="preserve">regioninius diferencijuotus kompleksinės psichiatrinės pagalbos vaikui ir šeimai centrus Vilniuje, Kaune, Klaipėdoje, Šiauliuose ir Panevėžyje; investuoti į šių centrų patalpų remontą / rekonstrukciją, įrengimą su saugia ir patogia aplinka pacientui ir personalui, kiemelių įrengimą; įsigyti baldus, kompiuterinę bei programinę įrangą; sigyti reikalingą medicininę įrangą ir transportą mobiliosioms paslaugoms teikti. Numatomi paramos gavėjai -  viešosios stacionarinės asmens sveikatos priežiūros įstaigos, turinčios psichiatrijos skyrius ir sutartis su teritorinėmis ligonių kasomis. </w:t>
      </w:r>
    </w:p>
    <w:p w:rsidR="00DD08F5" w:rsidRDefault="00DD08F5" w:rsidP="00DD08F5">
      <w:pPr>
        <w:ind w:firstLine="720"/>
        <w:jc w:val="both"/>
        <w:rPr>
          <w:rFonts w:eastAsia="Arial Unicode MS" w:hAnsi="Arial Unicode MS"/>
          <w:color w:val="000000"/>
          <w:szCs w:val="20"/>
          <w:lang w:val="en-GB"/>
        </w:rPr>
      </w:pPr>
      <w:r>
        <w:t>Taip pat būtinas psichiatrijos centro modernizavimas, kad p</w:t>
      </w:r>
      <w:r>
        <w:rPr>
          <w:color w:val="000000"/>
          <w:szCs w:val="20"/>
        </w:rPr>
        <w:t>ritaikyti prie šiuolaikinių reikalavimų ūmios psichiatrijos stacionarinę grandį. Numatoma investuoti į ūmios psichiatrijos patalpų remontą / rekonstrukciją ar įkūrimą su saugia ir patogia aplinka pacientui ir personalui, įrengti saugius kiemelius; įsigyti įrangą saugiam stebėjimui ir slaugai; įsigyti diagnostinę bei gydymo įrangą; įsigyti baldus, kompiuterinę bei programinę įrangą; modernizuoti teismo psichiatrijos stacionarą, remontuojant / rekonstruojant patalpas ir aprūpinant reikalinga įranga. Numatomi paramos gavėjai - viešosios stacionarinės asmens sveikatos priežiūros įstaigos, teikiančios stacionarinę pagalbą ūmių psichikos sutrikimų atvejais (5-se didžiuosiuose miestuose); valstybinė teismo psichiatrijos tarnyba prie Sveikatos apsaugos ministerijos.</w:t>
      </w:r>
    </w:p>
    <w:p w:rsidR="00DD08F5" w:rsidRDefault="00DD08F5" w:rsidP="00DD08F5">
      <w:pPr>
        <w:ind w:firstLine="720"/>
        <w:jc w:val="both"/>
        <w:rPr>
          <w:color w:val="000000"/>
          <w:szCs w:val="18"/>
        </w:rPr>
      </w:pPr>
      <w:r>
        <w:rPr>
          <w:color w:val="000000"/>
          <w:szCs w:val="20"/>
        </w:rPr>
        <w:t xml:space="preserve">Sveikatos apsaugos ministerijos duomenimis numatytas Psichikos sveikatos priežiūros paslaugų stebėsenos užtikrinimo infrastruktūros modernizavimas, kad būtų sudaryta galimybė efektyviai vertinti psichikos sveikatos sistemos veiklą siekiant užtikrinti geros kokybės ir prieinamas psichikos sveikatos priežiūros paslaugas pacientams. Numatoma investuoti </w:t>
      </w:r>
      <w:r>
        <w:rPr>
          <w:color w:val="000000"/>
          <w:szCs w:val="18"/>
        </w:rPr>
        <w:t xml:space="preserve">investuoti į įstaigos, kuri atlieka psichikos sveikatos priežiūros paslaugų vertinimą ir stebėseną, patalpų remontą ir (arba) rekonstrukciją; įsigyti biuro įrangą, kompiuterinę bei programinę įrangą, baldų; įsigyti transporto priemonę. Numatomi paramos gavėjai – Valstybinis psichikos sveikatos centras. </w:t>
      </w:r>
    </w:p>
    <w:p w:rsidR="00DD08F5" w:rsidRDefault="00DD08F5" w:rsidP="00DD08F5">
      <w:pPr>
        <w:ind w:firstLine="720"/>
        <w:jc w:val="both"/>
        <w:rPr>
          <w:color w:val="000000"/>
        </w:rPr>
      </w:pPr>
      <w:r>
        <w:rPr>
          <w:color w:val="000000"/>
        </w:rPr>
        <w:t>Plėtojant psichikos sveikatos priežiūros paslaugų tinklą, numatoma didinti psichikos sveikatos paslaugų prieinamumą (apie 20 centrų prie PSC), kuriuo siekiama išvengti asmenų, kurių psichikos būsena leistų gydytis dienos centre, patekimo į stacionarą. Šie centrai teiks ankstyvą pagalbą pradėjus blogėti paciento psichikos sveikatai. Šiuose centruose ligoniai gaus įvairiapusiškas  paslaugas, intensyvų gydymą, nenutrūks jų  ryšys su šeima ir įprastine aplinka.</w:t>
      </w:r>
    </w:p>
    <w:p w:rsidR="00DD08F5" w:rsidRDefault="00DD08F5" w:rsidP="00DD08F5">
      <w:pPr>
        <w:ind w:firstLine="720"/>
        <w:jc w:val="both"/>
        <w:rPr>
          <w:color w:val="000000"/>
        </w:rPr>
      </w:pPr>
      <w:r>
        <w:rPr>
          <w:rFonts w:eastAsia="Arial Unicode MS" w:hAnsi="Arial Unicode MS"/>
          <w:color w:val="000000"/>
          <w:lang w:val="en-GB"/>
        </w:rPr>
        <w:t>U</w:t>
      </w:r>
      <w:r>
        <w:rPr>
          <w:rFonts w:eastAsia="Arial Unicode MS" w:hAnsi="Arial Unicode MS"/>
          <w:color w:val="000000"/>
          <w:lang w:val="en-GB"/>
        </w:rPr>
        <w:t>ž</w:t>
      </w:r>
      <w:r>
        <w:rPr>
          <w:rFonts w:eastAsia="Arial Unicode MS" w:hAnsi="Arial Unicode MS"/>
          <w:color w:val="000000"/>
          <w:lang w:val="en-GB"/>
        </w:rPr>
        <w:t>tikrinant</w:t>
      </w:r>
      <w:r>
        <w:rPr>
          <w:color w:val="000000"/>
        </w:rPr>
        <w:t xml:space="preserve"> ankstyvą pagalbą esant krizinėms situacijoms, sutrikdančioms žmogaus psichinę sveikatą numatoma įkurti Krizių inrevencijos centrus, kad pacientas gautų kompleksinę pagalbą: ne  tik trumpą stacionarizavimą, bet ir specializuotą ambulatorinę pagalbą. Didžiausias skaičius  asmenų, kuriems bus reikalinga  krizių intervencijos paslauga, yra didžiuosiuose miestuose. Žmogiškieji ištekliai, galintys visą parą užtikrinti adekvačią pagalbą, šiuo metu  yra tik didžiuosiuose miestuose. Projektus pagal priemonę gali įgyvendinti stacionarinės asmens sveikatos priežiūros įstaigos, turinčios psichiatrijos skyrius ir sutartis su teritorinėmis ligonių kasomis. </w:t>
      </w:r>
    </w:p>
    <w:p w:rsidR="00DD08F5" w:rsidRDefault="00DD08F5" w:rsidP="00DD08F5">
      <w:pPr>
        <w:jc w:val="both"/>
        <w:rPr>
          <w:color w:val="000000"/>
        </w:rPr>
      </w:pPr>
      <w:r>
        <w:rPr>
          <w:rFonts w:eastAsia="Arial Unicode MS" w:hAnsi="Arial Unicode MS"/>
          <w:color w:val="000000"/>
          <w:lang w:val="en-GB"/>
        </w:rPr>
        <w:tab/>
      </w:r>
      <w:r>
        <w:rPr>
          <w:rFonts w:eastAsia="Arial Unicode MS"/>
          <w:color w:val="000000"/>
          <w:lang w:val="en-GB"/>
        </w:rPr>
        <w:t xml:space="preserve">Sveikatos apsaugos ministerijos duomenimis, numatomas specialistų  kvalifikacijos kėlimas, kurios metu pirmenybė </w:t>
      </w:r>
      <w:r>
        <w:rPr>
          <w:color w:val="000000"/>
        </w:rPr>
        <w:t>teikiama specialistams, dirbantiems sveikatos priežiūros įstaigose, kurios įgyvendins Sergamumo ir mirtingumo nuo pagrindinių neinfekcinių ligų mažinimo 2007–2013 m. programą. Taip pat specialistams, dirbantiems visuomenės sveikatos priežiūros ir kitose Lietuvos nacionalinei sveikatos sistemai priklausiančiose sveikatos priežiūros įstaigose. Psichikos sveikatos sričiai numatyta 19,2 mln. Lt.</w:t>
      </w:r>
    </w:p>
    <w:p w:rsidR="00DD08F5" w:rsidRDefault="00DD08F5" w:rsidP="00DD08F5">
      <w:pPr>
        <w:jc w:val="both"/>
        <w:rPr>
          <w:color w:val="000000"/>
        </w:rPr>
      </w:pPr>
      <w:r>
        <w:rPr>
          <w:color w:val="000000"/>
        </w:rPr>
        <w:tab/>
        <w:t>Sveikatos apsaugos ministerijos duomenimis reikalingi:</w:t>
      </w:r>
    </w:p>
    <w:p w:rsidR="00DD08F5" w:rsidRDefault="00DD08F5" w:rsidP="00DD08F5">
      <w:pPr>
        <w:ind w:firstLine="720"/>
        <w:rPr>
          <w:rFonts w:ascii="Arial Unicode MS" w:eastAsia="Arial Unicode MS" w:cs="Arial Unicode MS"/>
          <w:color w:val="000000"/>
        </w:rPr>
      </w:pPr>
      <w:r>
        <w:rPr>
          <w:color w:val="000000"/>
        </w:rPr>
        <w:t xml:space="preserve">Psichikos sveikatos priežiūros paslaugų reikalavimų kūrimas. </w:t>
      </w:r>
    </w:p>
    <w:p w:rsidR="00DD08F5" w:rsidRDefault="00DD08F5" w:rsidP="00DD08F5">
      <w:pPr>
        <w:ind w:firstLine="720"/>
        <w:jc w:val="both"/>
        <w:rPr>
          <w:rFonts w:ascii="Arial Unicode MS" w:cs="Arial Unicode MS"/>
          <w:color w:val="000000"/>
        </w:rPr>
      </w:pPr>
      <w:r>
        <w:rPr>
          <w:color w:val="000000"/>
        </w:rPr>
        <w:t>Esamos teisinės bazės tobulinimas.</w:t>
      </w:r>
    </w:p>
    <w:p w:rsidR="00DD08F5" w:rsidRDefault="00DD08F5" w:rsidP="00DD08F5">
      <w:pPr>
        <w:jc w:val="both"/>
        <w:rPr>
          <w:color w:val="000000"/>
        </w:rPr>
      </w:pPr>
      <w:r>
        <w:rPr>
          <w:rFonts w:eastAsia="Arial Unicode MS"/>
          <w:color w:val="000000"/>
          <w:lang w:val="en-GB"/>
        </w:rPr>
        <w:lastRenderedPageBreak/>
        <w:tab/>
      </w:r>
      <w:r>
        <w:rPr>
          <w:color w:val="000000"/>
        </w:rPr>
        <w:t xml:space="preserve">Paslaugų apmokėjimas iš PSDF ar mišraus apmokėjimo modelio kūrimas. Medikamentų kompensavimas iš PSDF. Išspręsti nedraustų  pacientų apmokėjimo už paslaugas klausimus. </w:t>
      </w:r>
    </w:p>
    <w:p w:rsidR="00DD08F5" w:rsidRDefault="00DD08F5" w:rsidP="00DD08F5">
      <w:pPr>
        <w:ind w:firstLine="720"/>
        <w:jc w:val="both"/>
      </w:pPr>
      <w:r>
        <w:rPr>
          <w:color w:val="000000"/>
        </w:rPr>
        <w:t>Bendradarbiavimo tarp sveikatos priežiūros įstaigų ir nevyriausybinių organizacijų užtikrinimas.</w:t>
      </w:r>
      <w:r>
        <w:t>Tarpžinybinio  bendradarbiavimo gerinimas.</w:t>
      </w:r>
    </w:p>
    <w:p w:rsidR="00DD08F5" w:rsidRDefault="00DD08F5" w:rsidP="00DD08F5">
      <w:pPr>
        <w:ind w:firstLine="540"/>
        <w:jc w:val="both"/>
        <w:rPr>
          <w:bCs/>
        </w:rPr>
      </w:pPr>
      <w:r>
        <w:t xml:space="preserve">2008 metais Narkotikų kontrolės departamentas prie Lietuvos Respublikos Vyriausybės ir  </w:t>
      </w:r>
      <w:r>
        <w:rPr>
          <w:noProof/>
        </w:rPr>
        <w:t>Lietuvos Respublikos</w:t>
      </w:r>
      <w:r>
        <w:t xml:space="preserve"> sveikatos apsaugos ministerija vykdė bendrą priemonę “</w:t>
      </w:r>
      <w:r>
        <w:rPr>
          <w:bCs/>
        </w:rPr>
        <w:t>Plėsti reabilitacijos paslaugas vaikams, priklausomiems nuo psichoaktyvių medžiagų”.</w:t>
      </w:r>
    </w:p>
    <w:p w:rsidR="00DD08F5" w:rsidRDefault="00DD08F5" w:rsidP="00DD08F5">
      <w:pPr>
        <w:ind w:firstLine="540"/>
        <w:jc w:val="both"/>
        <w:rPr>
          <w:bCs/>
        </w:rPr>
      </w:pPr>
      <w:r>
        <w:t xml:space="preserve">Narkotikų kontrolės departamento prie Lietuvos Respublikos Vyriausybės duomenimis, nuo 2008 m. </w:t>
      </w:r>
      <w:r>
        <w:rPr>
          <w:bCs/>
        </w:rPr>
        <w:t>medicinines ir psichoterapines trumpalaikes reabilitacijos paslaugas vaikams, vartojantiems psichoaktyvias medžiagas, teikia Vilniaus, Kauno ir Klaipėdos priklausomybės ligų centrai, kuriuose yra atskiri vaikų skyriai (viso 18 vietų).</w:t>
      </w:r>
    </w:p>
    <w:p w:rsidR="00DD08F5" w:rsidRDefault="00DD08F5" w:rsidP="00DD08F5">
      <w:pPr>
        <w:ind w:firstLine="540"/>
        <w:jc w:val="both"/>
      </w:pPr>
      <w:r>
        <w:rPr>
          <w:bCs/>
        </w:rPr>
        <w:t>Ilgalaikės psichologinės bei socialinės reabilitacijos paslaugas vaikams teikia VšĮ „Apsispendimas“ - 12 vietų</w:t>
      </w:r>
      <w:r>
        <w:t xml:space="preserve"> (šioje įstaigoje reabilitacijos paslaugas gavo 12 vaikų),</w:t>
      </w:r>
      <w:r>
        <w:rPr>
          <w:bCs/>
        </w:rPr>
        <w:t xml:space="preserve"> ir </w:t>
      </w:r>
      <w:r>
        <w:t>Vaikų ir jaunimo ilgalaikės reabilitacijos skyrius</w:t>
      </w:r>
      <w:r>
        <w:rPr>
          <w:bCs/>
        </w:rPr>
        <w:t xml:space="preserve"> Kauno apskrities priklausomybės ligų centre – 10 vietų, kuris atsidarė 2008 m. kovo mėn. </w:t>
      </w:r>
      <w:r>
        <w:t>Nuo 2008 m. balandžio mėn. Vaikų ir jaunimo ilgalaikės reabilitacijos skyriuje buvo gydyti 5 vaikai iki 18 m., jaunesnių negu 14 metų vaikų gydyta nebuvo.</w:t>
      </w:r>
    </w:p>
    <w:p w:rsidR="00DD08F5" w:rsidRDefault="00DD08F5" w:rsidP="00DD08F5">
      <w:pPr>
        <w:ind w:firstLine="540"/>
        <w:jc w:val="both"/>
      </w:pPr>
      <w:r>
        <w:t>2009 m. psichologinės ir socialinės reabilitacijos skyrius vaikams pradėjo veikti Panevėžio apskrities priklausomybės ligų centre.</w:t>
      </w:r>
    </w:p>
    <w:p w:rsidR="00DD08F5" w:rsidRDefault="00DD08F5" w:rsidP="00DD08F5">
      <w:pPr>
        <w:ind w:firstLine="540"/>
        <w:jc w:val="both"/>
      </w:pPr>
      <w:r>
        <w:rPr>
          <w:bCs/>
        </w:rPr>
        <w:t xml:space="preserve"> </w:t>
      </w:r>
      <w:r>
        <w:t>VšĮ „Gyvybės versmė“ teikia reabilitacijos paslaugas moterims, priklausomoms nuo psichoaktyvių medžiagų, suteikiant joms apgyvendinimo paslaugas kartu su mažamečiais vaikais.</w:t>
      </w:r>
    </w:p>
    <w:p w:rsidR="00DD08F5" w:rsidRDefault="00DD08F5" w:rsidP="00DD08F5">
      <w:pPr>
        <w:ind w:firstLine="540"/>
        <w:jc w:val="both"/>
      </w:pPr>
      <w:r>
        <w:t>Atsižvelgiant į didžiausias rizikos grupes organizuojamas psichologinių bei socialinių reabilitacijos paslaugų teikimas vaikams Kauno nepilnamečių tardymo izoliatoriaus pataisos namuose ir Panevėžio (nepilnamečių mergaičių grupė) pataisos namuose. Tam tikslui Narkotikų kontrolės departamentas prie Lietuvos Respublikos Vyriausybės finansavo ilgalaikio turto įsigijimą Kauno nepilnamečių tardymo izoliatoriuje, Panevėžio pataisos namuose bei Panevėžio apskrities priklausomybės ligų centre (157 tūkst. Lt), skirtą plėtoti reabilitacijos paslaugoms vaikams.</w:t>
      </w:r>
    </w:p>
    <w:p w:rsidR="00DD08F5" w:rsidRDefault="00DD08F5" w:rsidP="00DD08F5">
      <w:pPr>
        <w:ind w:firstLine="540"/>
        <w:jc w:val="both"/>
        <w:rPr>
          <w:bCs/>
        </w:rPr>
      </w:pPr>
      <w:r>
        <w:rPr>
          <w:bCs/>
        </w:rPr>
        <w:t xml:space="preserve">Reabilitacijos paslaugos vaikams nemokamos. </w:t>
      </w:r>
    </w:p>
    <w:p w:rsidR="00DD08F5" w:rsidRDefault="00DD08F5" w:rsidP="00DD08F5">
      <w:pPr>
        <w:ind w:firstLine="540"/>
        <w:jc w:val="both"/>
        <w:rPr>
          <w:bCs/>
        </w:rPr>
      </w:pPr>
      <w:r>
        <w:t>Narkotikų kontrolės departamento prie Lietuvos Respublikos Vyriausybės duomenimis, 2008 metais buvo vykdoma priemonė “</w:t>
      </w:r>
      <w:r>
        <w:rPr>
          <w:bCs/>
        </w:rPr>
        <w:t>Sudaryti sąlygas narkomanija sergantiems asmenims baudžiamąją atsakomybę už nesunkius nusikaltimus pakeisti alternatyviomis gydymo programomis”.</w:t>
      </w:r>
    </w:p>
    <w:p w:rsidR="00DD08F5" w:rsidRDefault="00DD08F5" w:rsidP="00DD08F5">
      <w:pPr>
        <w:ind w:firstLine="540"/>
        <w:jc w:val="both"/>
      </w:pPr>
      <w:r>
        <w:rPr>
          <w:bCs/>
        </w:rPr>
        <w:t xml:space="preserve"> P</w:t>
      </w:r>
      <w:r>
        <w:t>agal psichikos sveikatos priežiūros įstaigų pateiktus duomenis, 65 asmenys, teismo įpareigoti gydytis, gavo priklausomybės ligų gydymo ir reabilitacijos paslaugas 53 įstaigose (psichikos sveikatos centruose ir  priklausomybės ligų centruose).  Iš 65 asmenų:   28 (iš jų 9 moterys) dėl psichikos ir elgesio sutrikimų vartojant narkotines ir psichotropines medžiagas; 37 (iš jų 8 moterys) dėl psichikos ir elgesio sutrikimų vartojant alkoholį.</w:t>
      </w:r>
    </w:p>
    <w:p w:rsidR="00DD08F5" w:rsidRDefault="00DD08F5" w:rsidP="00DD08F5">
      <w:pPr>
        <w:ind w:firstLine="540"/>
        <w:jc w:val="both"/>
      </w:pPr>
      <w:r>
        <w:rPr>
          <w:bCs/>
        </w:rPr>
        <w:t xml:space="preserve"> </w:t>
      </w:r>
      <w:r>
        <w:t xml:space="preserve">Valstybinis psichikos sveikatos centras papildė savo tinklalapį </w:t>
      </w:r>
      <w:hyperlink r:id="rId88" w:history="1">
        <w:r>
          <w:rPr>
            <w:rStyle w:val="Hipersaitas"/>
            <w:rFonts w:eastAsia="Courier New"/>
          </w:rPr>
          <w:t>www.vpsc.lt</w:t>
        </w:r>
      </w:hyperlink>
      <w:r>
        <w:t xml:space="preserve"> informacija apie teisės aktus, kurie numato galimybę taikyti gydymą nuo alkoholizmo, narkomanijos, toksikomanijos kaip alternatyvą laisvės atėmimo bausmei.</w:t>
      </w:r>
    </w:p>
    <w:p w:rsidR="00DD08F5" w:rsidRDefault="00DD08F5" w:rsidP="00DD08F5">
      <w:pPr>
        <w:ind w:firstLine="540"/>
        <w:jc w:val="both"/>
      </w:pPr>
      <w:r>
        <w:t>Kalėjimų departamento prie Lietuvos Respublikos teisingumo ministerijos duomenimis, 2008 m. teismo įpareigojimai gydytis nuo alkoholizmo, narkomanijos, toksikomanijos ar venerinės ligos, kai nuteistasis sutinka, buvo skirti 87 nuteistiesiems. Nuteistieji, kurie yra įpareigoti gydytis, gydymosi įstaigas renkasi savarankiškai (dažniausiai tai būna psichikos sveikatos centrai ir reabilitaciniai centrai).</w:t>
      </w:r>
    </w:p>
    <w:p w:rsidR="00DD08F5" w:rsidRDefault="00DD08F5" w:rsidP="00DD08F5">
      <w:pPr>
        <w:ind w:firstLine="540"/>
        <w:jc w:val="both"/>
      </w:pPr>
      <w:r>
        <w:t>Narkotikų kontrolės departamento prie Lietuvos Respublikos Vyriausybės finansuotose psichologinės bei socialinės reabilitacijos įstaigose 2008 m. ilgalaikės psichologinės bei socialinės reabilitacijos paslaugas gavo 47 asmenys, kuriems teismo sprendimu buvo paskirtas įpareigojimas gydytis. Tai sudarė 9 proc. visų asmenų, kuriems buvo teiktos ilgalaikės reabilitacijos paslaugos finansuotose įstaigose.</w:t>
      </w:r>
    </w:p>
    <w:p w:rsidR="00DD08F5" w:rsidRDefault="00DD08F5" w:rsidP="00DD08F5">
      <w:pPr>
        <w:tabs>
          <w:tab w:val="left" w:pos="482"/>
        </w:tabs>
        <w:ind w:firstLine="540"/>
        <w:jc w:val="both"/>
      </w:pPr>
      <w:r>
        <w:rPr>
          <w:bCs/>
        </w:rPr>
        <w:t>2008 metais</w:t>
      </w:r>
      <w:r>
        <w:rPr>
          <w:b/>
        </w:rPr>
        <w:t xml:space="preserve"> </w:t>
      </w:r>
      <w:r>
        <w:t>Narkotikų kontrolės departamentas prie Lietuvos Respublikos Vyriausybės, Lietuvos Respublikos sveikatos apsaugos ministerija, apskričių viršininkai vykdė bendrą priemonę “</w:t>
      </w:r>
      <w:r>
        <w:rPr>
          <w:bCs/>
        </w:rPr>
        <w:t>Organizuoti narkotinių ir psichotropinių medžiagų vartojimo žalos mažinimo programų konkursus ir skirti lėšų konkursą laimėjusiems projektams įgyvendinti”. Pasiekti rezultatai:</w:t>
      </w:r>
      <w:r>
        <w:rPr>
          <w:b/>
        </w:rPr>
        <w:t xml:space="preserve"> </w:t>
      </w:r>
      <w:r>
        <w:t xml:space="preserve">Narkotikų kontrolės departamentas prie Lietuvos Respublikos Vyriausybės direktoriaus 2008 m. sausio 4 d. įsakymu Nr. T1-4 „Dėl narkotinių ir psichotropinių medžiagų žalos mažinimo programų vykdymo projektų atrankos konkurso 2008 metais nuostatų patvirtinimo“ (Žin., 2008, Nr. 4-158) patvirtinti Narkotinių ir </w:t>
      </w:r>
      <w:r>
        <w:lastRenderedPageBreak/>
        <w:t xml:space="preserve">psichotropinių medžiagų žalos mažinimo programų vykdymo projektų atrankos 2008 metais konkurso nuostatai ir paskelbtas konkursas. </w:t>
      </w:r>
    </w:p>
    <w:p w:rsidR="00DD08F5" w:rsidRDefault="00DD08F5" w:rsidP="00DD08F5">
      <w:pPr>
        <w:ind w:firstLine="540"/>
        <w:jc w:val="both"/>
      </w:pPr>
      <w:r>
        <w:t xml:space="preserve"> Narkotikų kontrolės departamentas prie Lietuvos Respublikos Vyriausybės direktoriaus 2008 m. vasario 27 d. įsakymu Nr. T1-49 „Dėl juridinių asmenų, kurių projektai laimėjo narkotinių ir psichotropinių medžiagų žalos mažinimo programų vykdymo projektų finansavimo 2008 metais atrankos konkursą, sąrašo ir jiems skiriamų lėšų patvirtinimo“ paskirti 200 tūkst. Lt. penkiems, konkursą laimėjusiems projektams įgyvendinti.</w:t>
      </w:r>
    </w:p>
    <w:p w:rsidR="00DD08F5" w:rsidRDefault="00DD08F5" w:rsidP="00DD08F5">
      <w:pPr>
        <w:ind w:firstLine="540"/>
        <w:jc w:val="both"/>
      </w:pPr>
      <w:r>
        <w:t>Socialinių medicininių paslaugų plėtra švirkščiamųjų narkotikų vartotojams didele dalimi lėmė, kad 2008 m. žymiai mažiau asmenų užsikrėtė  ŽIV infekcija neteisėtai vartodami švirkščiamas narkotines ir psichotropines medžiagas (2008 m. naujai ŽIV užsikrėtusių dėl švirkščiamųjų narkotikų vartojimo asmenų skaičius sudarė  44,2 proc.,  2007 m. – 55,6 proc., 2006 m. – 62 proc.).</w:t>
      </w:r>
    </w:p>
    <w:p w:rsidR="00DD08F5" w:rsidRDefault="00DD08F5" w:rsidP="00DD08F5">
      <w:pPr>
        <w:ind w:firstLine="720"/>
        <w:jc w:val="both"/>
      </w:pPr>
    </w:p>
    <w:p w:rsidR="00DD08F5" w:rsidRDefault="00DD08F5" w:rsidP="00DD08F5">
      <w:pPr>
        <w:ind w:firstLine="720"/>
        <w:jc w:val="both"/>
        <w:rPr>
          <w:b/>
          <w:bCs/>
          <w:szCs w:val="20"/>
        </w:rPr>
      </w:pPr>
      <w:r>
        <w:t xml:space="preserve"> </w:t>
      </w:r>
      <w:r>
        <w:rPr>
          <w:b/>
          <w:bCs/>
        </w:rPr>
        <w:t>VIII.</w:t>
      </w:r>
      <w:r>
        <w:t xml:space="preserve"> </w:t>
      </w:r>
      <w:r>
        <w:rPr>
          <w:b/>
          <w:bCs/>
          <w:szCs w:val="20"/>
        </w:rPr>
        <w:t>Dėl paslaugų prieinamumo pagerinimo asmenims, esantiems laisvės atėmimo vietose, priklausomiems nuo alkoholizmo, narkotikų ir psichotropinių medžiagų vartojimo</w:t>
      </w:r>
    </w:p>
    <w:p w:rsidR="00DD08F5" w:rsidRDefault="00DD08F5" w:rsidP="00DD08F5">
      <w:pPr>
        <w:ind w:firstLine="488"/>
        <w:jc w:val="both"/>
        <w:rPr>
          <w:szCs w:val="20"/>
        </w:rPr>
      </w:pPr>
      <w:r>
        <w:rPr>
          <w:szCs w:val="20"/>
        </w:rPr>
        <w:t>Lietuvoje yra 15 penitencinių įstaigų: 3 tardymo izoliatoriai, kurių vienas tardymo izoliatorius – kalėjimas, 10 pataisos namų: 1 pataisos namai- atviroji kolonija;  1 gydymo pataisos namai, kuriuose gydomi vyrai sergantys tuberkulioze; 1 pataisos namai moterims; 1 tardymo izoliatorius – pataisos namai skirti nepilnamečiams; 1 laisvės atėmimo vietų ligoninė.</w:t>
      </w:r>
    </w:p>
    <w:p w:rsidR="00DD08F5" w:rsidRDefault="00DD08F5" w:rsidP="00DD08F5">
      <w:pPr>
        <w:ind w:firstLine="720"/>
        <w:jc w:val="both"/>
        <w:rPr>
          <w:szCs w:val="20"/>
        </w:rPr>
      </w:pPr>
      <w:r>
        <w:rPr>
          <w:szCs w:val="20"/>
        </w:rPr>
        <w:t xml:space="preserve">Kalėjimų departamento prie Teisingumo ministerijos duomenimis laisvės atėmimo vietose vykdoma daugybė programų, kuriose dalyvauja sveikatos priežiūros tarnybos. Iš jų: Asmens sveikatos priežiūros paslaugų teikimas suimtiesiems ir nuteistiesiems; Nacionalinė narkotikų kontrolės ir narkomanijos prevencijos įgyvendinimo programa; Valstybinė ŽIV/AIDS profilaktikos ir kontrolės programa; Valstybinė lytiškai plintančių infekcijų profilaktikos ir kontrolės įgyvendinimo programa; Valstybinė tuberkuliozės profilaktikos ir kontrolės programa; PSO projektas sveikatos priežiūra kalėjimuose ir kt. . </w:t>
      </w:r>
    </w:p>
    <w:p w:rsidR="00DD08F5" w:rsidRDefault="00DD08F5" w:rsidP="00DD08F5">
      <w:pPr>
        <w:ind w:firstLine="488"/>
        <w:jc w:val="both"/>
        <w:rPr>
          <w:szCs w:val="20"/>
        </w:rPr>
      </w:pPr>
      <w:r>
        <w:rPr>
          <w:szCs w:val="20"/>
        </w:rPr>
        <w:t>Veikia nepilnamečių integracijos centras, kuriame 3 mėn. iki paleidimo iš įkalinimo vietos į laisvę nuteistiesiems suteikiama informacija apie įstaigas, į kurias jie turėtų kreiptis laisvėje.</w:t>
      </w:r>
    </w:p>
    <w:p w:rsidR="00DD08F5" w:rsidRDefault="00DD08F5" w:rsidP="00DD08F5">
      <w:pPr>
        <w:ind w:firstLine="720"/>
        <w:jc w:val="both"/>
        <w:rPr>
          <w:szCs w:val="20"/>
        </w:rPr>
      </w:pPr>
      <w:r>
        <w:rPr>
          <w:szCs w:val="20"/>
        </w:rPr>
        <w:t>Nuteistųjų skaičius Lietuvoje svyruoja apie 8000: bausmes atlieka apie 6000 nuteistųjų, apie 1000 yra suimtųjų, moterų – 37 proc.</w:t>
      </w:r>
    </w:p>
    <w:p w:rsidR="00DD08F5" w:rsidRDefault="00DD08F5" w:rsidP="00DD08F5">
      <w:pPr>
        <w:ind w:firstLine="488"/>
        <w:jc w:val="both"/>
        <w:rPr>
          <w:szCs w:val="20"/>
        </w:rPr>
      </w:pPr>
      <w:r>
        <w:rPr>
          <w:szCs w:val="20"/>
        </w:rPr>
        <w:t xml:space="preserve">Iki 1995 metų laisvės atėmimo vietose vyravo alkoholio vartojimas, o jau 1997 metais pirmą kartą narkotines medžiagas vartojančių nuteistųjų skaičius viršijo vartojančius alkoholį. 2007 01 01 narkotines medžiagas vartojančių asmenų buvo – 1488, 2008 01 01 – 1390 asmenų ir 2009 01 01 – 1604 asmenų.  </w:t>
      </w:r>
    </w:p>
    <w:p w:rsidR="00DD08F5" w:rsidRDefault="00DD08F5" w:rsidP="00DD08F5">
      <w:pPr>
        <w:ind w:firstLine="488"/>
        <w:jc w:val="both"/>
        <w:rPr>
          <w:szCs w:val="20"/>
        </w:rPr>
      </w:pPr>
      <w:r>
        <w:rPr>
          <w:szCs w:val="20"/>
        </w:rPr>
        <w:t xml:space="preserve"> Stebimas palaipsniškas asmenų, vartojančių narkotines medžiagas skaičiaus didėjimas (200 – 300 asmenų yra įskaitoje). Apie 40 proc. asmenų teigia, kad jie vartoja opioidus, nemažėja stimuliatorių vartojimas, tačiau realiai jie vartoja amfetaminą, pagrindinę vartotojų dalį sudaro intraveniniai narkotikai. Pvz., 2007 m. 41, 7 proc. nuteistųjų vartoja kelis narkotikus, stimuliatorius – 8,1 proc., raminamuosius ir migdomuosius – 1,1 proc., kanabinoidus – 3,4 proc. opioidus – 44,2 proc. Dabartiniu metu laisvės atėmimo vietose galioja ta pati apsvaigimo nustatymo tvarka, kokią atlieka ir policijos pareigūnai. </w:t>
      </w:r>
    </w:p>
    <w:p w:rsidR="00DD08F5" w:rsidRDefault="00DD08F5" w:rsidP="00DD08F5">
      <w:pPr>
        <w:ind w:firstLine="488"/>
        <w:jc w:val="both"/>
        <w:rPr>
          <w:szCs w:val="20"/>
        </w:rPr>
      </w:pPr>
      <w:r>
        <w:rPr>
          <w:szCs w:val="20"/>
        </w:rPr>
        <w:t xml:space="preserve"> Prieš du metus buvo uždrausta nuteistiesiems gauti maisto siuntinius, vėliau įsigaliojo pataisa dėl vaišinimosi uždraudimo per trumpalaikį pasimatymą.</w:t>
      </w:r>
    </w:p>
    <w:p w:rsidR="00DD08F5" w:rsidRDefault="00DD08F5" w:rsidP="00DD08F5">
      <w:pPr>
        <w:ind w:firstLine="488"/>
        <w:jc w:val="both"/>
        <w:rPr>
          <w:szCs w:val="20"/>
        </w:rPr>
      </w:pPr>
      <w:r>
        <w:rPr>
          <w:szCs w:val="20"/>
        </w:rPr>
        <w:t xml:space="preserve">Yra problemų dėl narkotinių medžiagų permetimų per tvorą, kurios pasiekia nuteistuosius. </w:t>
      </w:r>
    </w:p>
    <w:p w:rsidR="00DD08F5" w:rsidRDefault="00DD08F5" w:rsidP="00DD08F5">
      <w:pPr>
        <w:ind w:firstLine="488"/>
        <w:jc w:val="both"/>
        <w:rPr>
          <w:szCs w:val="20"/>
        </w:rPr>
      </w:pPr>
      <w:r>
        <w:rPr>
          <w:szCs w:val="20"/>
        </w:rPr>
        <w:t xml:space="preserve"> Mobiliojo ryšio aparatų išimta: 2007 m. – 3954 vnt., 2008 m. – 4580 vnt.</w:t>
      </w:r>
    </w:p>
    <w:p w:rsidR="00DD08F5" w:rsidRDefault="00DD08F5" w:rsidP="00DD08F5">
      <w:pPr>
        <w:ind w:firstLine="488"/>
        <w:jc w:val="both"/>
        <w:rPr>
          <w:szCs w:val="20"/>
        </w:rPr>
      </w:pPr>
      <w:r>
        <w:rPr>
          <w:szCs w:val="20"/>
        </w:rPr>
        <w:t>Nuteistiesiems tenka mažas skaičius prižiūrėtojų (pvz. Alytaus pataisos namuose 1500 nuteistųjų tenka tik 15 prižiūrėtojų).</w:t>
      </w:r>
    </w:p>
    <w:p w:rsidR="00DD08F5" w:rsidRDefault="00DD08F5" w:rsidP="00DD08F5">
      <w:pPr>
        <w:ind w:firstLine="488"/>
        <w:jc w:val="both"/>
        <w:rPr>
          <w:szCs w:val="20"/>
        </w:rPr>
      </w:pPr>
      <w:r>
        <w:rPr>
          <w:szCs w:val="20"/>
        </w:rPr>
        <w:t>Nepalaikoma švirkštų dalinimo laisvės atėmimo vietose idėja, nes davus švirkštus yra palengvinimas kelias nuteistiesiems vartoti narkotikus. Be to, švirkštas gali tapti ginklu. ES šalių praktika rodo, kad kai kuriose valstybėse, pvz., Vokietijoje, atsisakoma švirkštų dalinimo, metadono programų. Pravieniškių 1-iuose pataisos namuose yra įkurtas narkomanijos prevencijos vietinis centras, pilotažinis projektas buvo vykdomas visuose pataisos namuose.</w:t>
      </w:r>
    </w:p>
    <w:p w:rsidR="00DD08F5" w:rsidRDefault="00DD08F5" w:rsidP="00DD08F5">
      <w:pPr>
        <w:ind w:firstLine="488"/>
        <w:jc w:val="both"/>
        <w:rPr>
          <w:szCs w:val="20"/>
        </w:rPr>
      </w:pPr>
      <w:r>
        <w:rPr>
          <w:szCs w:val="20"/>
        </w:rPr>
        <w:t>Kalėjimų departamento prie Teisingumo ministerijos siūlymu narkotikų vartojimą mažinančios priemonės laisvės atėmimo vietose būtų: suimtųjų ir nuteistųjų skaičiaus mažinimas; laisvės atėmimo bausmės trumpinimas; suimtųjų ir nuteistųjų gyvenimo sąlygų gerinimas; dalyvavimas socialinės reabilitacijos programose; mokslas; užimtumo didinimas (2007 m. dirbo 31,7 proc. nuteistųjų; 2008 m. – 30,7 proc. nuteistųjų).</w:t>
      </w:r>
    </w:p>
    <w:p w:rsidR="00DD08F5" w:rsidRDefault="00DD08F5" w:rsidP="00DD08F5">
      <w:pPr>
        <w:ind w:firstLine="488"/>
        <w:jc w:val="both"/>
        <w:rPr>
          <w:szCs w:val="20"/>
        </w:rPr>
      </w:pPr>
      <w:r>
        <w:rPr>
          <w:szCs w:val="20"/>
        </w:rPr>
        <w:lastRenderedPageBreak/>
        <w:t xml:space="preserve">Siūloma laisvės atėmimo vietose mažinti priklausomybę turinčių asmenų skaičių, narkotinių medžiagų patekimui į laisvės atėmimo vietas įdiegti naujas technikos priemones, kad būtų galima įdiegti mobiliųjų telefonų blokavimo įrangą, mobiliųjų telefonų aptikimo įrangą. </w:t>
      </w:r>
    </w:p>
    <w:p w:rsidR="00DD08F5" w:rsidRDefault="00DD08F5" w:rsidP="00DD08F5">
      <w:pPr>
        <w:ind w:firstLine="488"/>
        <w:jc w:val="both"/>
        <w:rPr>
          <w:szCs w:val="20"/>
        </w:rPr>
      </w:pPr>
      <w:r>
        <w:rPr>
          <w:szCs w:val="20"/>
        </w:rPr>
        <w:t>Siūloma įsteigti Reabilitacijos centrą laisvės atėmimo vietose, kad taikyti gydymą ir reabilitaciją asmenims, priklausomiems nuo alkoholio ar narkotikų. Siūloma skirti reikalingas lėšas ŽIV programai įgyvendinti.</w:t>
      </w:r>
    </w:p>
    <w:p w:rsidR="00DD08F5" w:rsidRDefault="00DD08F5" w:rsidP="00DD08F5">
      <w:pPr>
        <w:ind w:firstLine="488"/>
        <w:jc w:val="both"/>
        <w:rPr>
          <w:szCs w:val="20"/>
        </w:rPr>
      </w:pPr>
      <w:r>
        <w:rPr>
          <w:szCs w:val="20"/>
        </w:rPr>
        <w:t xml:space="preserve">Laisvės atėmimo vietose nepakankamas medicinos darbuotojų ir gydytojų skaičius (susiduriama su medikų trūkumu, 50 proc. įstaigų neturi psichiatrų, su psichologų trūkumu, medikų atlyginimo problema). </w:t>
      </w:r>
    </w:p>
    <w:p w:rsidR="00DD08F5" w:rsidRDefault="00DD08F5" w:rsidP="00DD08F5">
      <w:pPr>
        <w:ind w:firstLine="488"/>
        <w:jc w:val="both"/>
        <w:rPr>
          <w:szCs w:val="20"/>
        </w:rPr>
      </w:pPr>
      <w:r>
        <w:rPr>
          <w:szCs w:val="20"/>
        </w:rPr>
        <w:t xml:space="preserve">Neišspręstas </w:t>
      </w:r>
      <w:r>
        <w:t>nepilnamečių vaikų tėvų atsakomybės klausimas. V</w:t>
      </w:r>
      <w:r>
        <w:rPr>
          <w:szCs w:val="20"/>
        </w:rPr>
        <w:t>aikui, kuris vogė dėl to, kad neturėjo valgyti, norėjo gražiau apsirengti, skiriamas laisvės atėmimas, o tėvams - jokios atsakomybės. Tėvai nelanko vaikų, jiems yra siunčiami laiškai, kad jie atvažiuotų aplankyti savo vaikų, tačiau, tik 50 proc. vaikų sulaukia tėvų, artimųjų dėmesio.</w:t>
      </w:r>
    </w:p>
    <w:p w:rsidR="00DD08F5" w:rsidRDefault="00DD08F5" w:rsidP="00DD08F5">
      <w:pPr>
        <w:ind w:firstLine="488"/>
        <w:jc w:val="both"/>
        <w:rPr>
          <w:szCs w:val="20"/>
        </w:rPr>
      </w:pPr>
      <w:r>
        <w:rPr>
          <w:szCs w:val="20"/>
        </w:rPr>
        <w:t xml:space="preserve">Kartais nepilnamečiai į laisvės atėmimo vietas patenka be asmens tapatybės kortelių (tik su gimimo liudijimais), nebūna informacijos net kokioje klasėje vaikas mokėsi iki patekimo į pataisos namus, pataisos namai neturi jokio ryšio su rajonų, miestų socialiniais darbuotojais. </w:t>
      </w:r>
    </w:p>
    <w:p w:rsidR="00DD08F5" w:rsidRDefault="00DD08F5" w:rsidP="00DD08F5">
      <w:pPr>
        <w:ind w:firstLine="488"/>
        <w:jc w:val="both"/>
        <w:rPr>
          <w:szCs w:val="20"/>
        </w:rPr>
      </w:pPr>
      <w:r>
        <w:rPr>
          <w:szCs w:val="20"/>
        </w:rPr>
        <w:t xml:space="preserve">Narkotinių medžiagų paklausos mažinimas laisvės atėmimo vietose galėtų būti sprendžiamas: per narkomanijos reabilitacijos ir prevencijos centrų steigimą visuose pataisos namuose; bendradarbiavimą su valstybės institucijomis ir nevyriausybinėmis organizacijomis; švietėjiška veikla turėtų būti prieinama personalui bei visiems suimtiesiems ir nutestiesiems; suimtųjų ir nuteistųjų individualios konsultacijos; laisvės atėmimo vietų pareigūnų atestacija ir atranka; sustiprinta laisvės atėmimo vietų personalo kontrolė; laisvės atėmimo vietų perimetro apsaugos stiprinimas ir kitos bendros su policijos departamentu priemonės; pašto ir daiktų perdavimo tikrinimo kontrolės sugriežtinimas techninėmis priemonėmis; išorės ir vidaus stebėjimo taškų įrengimas. </w:t>
      </w:r>
    </w:p>
    <w:p w:rsidR="00DD08F5" w:rsidRDefault="00DD08F5" w:rsidP="00DD08F5">
      <w:pPr>
        <w:ind w:firstLine="488"/>
        <w:jc w:val="both"/>
        <w:rPr>
          <w:szCs w:val="20"/>
        </w:rPr>
      </w:pPr>
      <w:r>
        <w:rPr>
          <w:szCs w:val="20"/>
        </w:rPr>
        <w:t xml:space="preserve">Narkotinių medžiagų išėmimas laisvės atėmimo vietose: 2007 m. išimta 1180,46 g; 2008 m. – 1378, 48 g. Dėl neteisėtos narkotinių medžiagų apyvartos pradėti ikiteisminiai tyrimai ar iškeltos baudžiamosios bylos: 2007 m. – 152 ikiteisminiai tyrimai; 2008 m. – 140 ikiteisminių tyrimų. </w:t>
      </w:r>
    </w:p>
    <w:p w:rsidR="00DD08F5" w:rsidRDefault="00DD08F5" w:rsidP="00DD08F5">
      <w:pPr>
        <w:ind w:firstLine="488"/>
        <w:jc w:val="both"/>
        <w:rPr>
          <w:szCs w:val="20"/>
        </w:rPr>
      </w:pPr>
    </w:p>
    <w:p w:rsidR="00DD08F5" w:rsidRDefault="00DD08F5" w:rsidP="00DD08F5">
      <w:pPr>
        <w:pStyle w:val="Antrat8"/>
        <w:rPr>
          <w:bCs/>
        </w:rPr>
      </w:pPr>
      <w:r>
        <w:rPr>
          <w:bCs/>
        </w:rPr>
        <w:t>IX. Narkotinių ir psichotropinių medžiagų pirmtakų (prekursorių) kontrolė</w:t>
      </w:r>
    </w:p>
    <w:p w:rsidR="00DD08F5" w:rsidRDefault="00DD08F5" w:rsidP="00DD08F5"/>
    <w:p w:rsidR="00DD08F5" w:rsidRDefault="00DD08F5" w:rsidP="00DD08F5">
      <w:pPr>
        <w:ind w:firstLine="720"/>
        <w:jc w:val="both"/>
      </w:pPr>
      <w:r>
        <w:t>Narkotikų kontrolės departamento prie Lietuvos Respublikos Vyriausybės duomenimis, narkotinių ir psichotropinių medžiagų pirmtakai (prekursoriai) - cheminės medžiagos, šių medžiagų druskos, mišiniai, naudojami neteisėtai narkotinių ir psichotropinių medžiagų gamybai.</w:t>
      </w:r>
    </w:p>
    <w:p w:rsidR="00DD08F5" w:rsidRDefault="00DD08F5" w:rsidP="00DD08F5">
      <w:pPr>
        <w:ind w:firstLine="360"/>
        <w:jc w:val="both"/>
        <w:rPr>
          <w:b/>
          <w:bCs/>
        </w:rPr>
      </w:pPr>
      <w:r>
        <w:t>Vienos medžiagos yra įtrauktos į oficialųjį sąrašą, kurios įtrauktos į teisės aktų taikymo sritį (į 3 kategorijos sąrašus įtrauktos 23 medžiagos).</w:t>
      </w:r>
    </w:p>
    <w:p w:rsidR="00DD08F5" w:rsidRDefault="00DD08F5" w:rsidP="00DD08F5">
      <w:pPr>
        <w:pStyle w:val="Pagrindinistekstas"/>
        <w:ind w:firstLine="360"/>
      </w:pPr>
      <w:r>
        <w:t xml:space="preserve">Kitos medžiagos į oficialųjį sąrašą neįtrauktos, tokios medžiago, kurioms netaikomi teisės aktų reikalavimai, bet ūkio subjektai raginami savo noru stebėti su jomis susijusius sandorius (tokių yra 15 medžiagų). </w:t>
      </w:r>
    </w:p>
    <w:p w:rsidR="00DD08F5" w:rsidRDefault="00DD08F5" w:rsidP="00DD08F5">
      <w:pPr>
        <w:ind w:firstLine="360"/>
        <w:jc w:val="both"/>
        <w:rPr>
          <w:b/>
        </w:rPr>
      </w:pPr>
      <w:r>
        <w:t xml:space="preserve">Narkotinių ir psichotropinių medžiagų pirmtakams (prekursoriams) </w:t>
      </w:r>
      <w:r>
        <w:rPr>
          <w:bCs/>
        </w:rPr>
        <w:t>keliami reikalavimai:</w:t>
      </w:r>
      <w:r>
        <w:rPr>
          <w:b/>
        </w:rPr>
        <w:t xml:space="preserve"> </w:t>
      </w:r>
    </w:p>
    <w:p w:rsidR="00DD08F5" w:rsidRDefault="00DD08F5" w:rsidP="00DD08F5">
      <w:pPr>
        <w:ind w:left="360"/>
        <w:jc w:val="both"/>
      </w:pPr>
      <w:r>
        <w:t>Specialieji reikalavimai, kurie taikomi ūkio subjektams, savo veikloje naudojantiems narkotinių ir psichotropinių medžiagų pirmtakus (prekursorius).</w:t>
      </w:r>
    </w:p>
    <w:p w:rsidR="00DD08F5" w:rsidRDefault="00DD08F5" w:rsidP="00DD08F5">
      <w:pPr>
        <w:ind w:left="360"/>
        <w:jc w:val="both"/>
        <w:rPr>
          <w:b/>
          <w:bCs/>
        </w:rPr>
      </w:pPr>
      <w:r>
        <w:t>Papildomi ir kiti bendrieji reikalavimai,</w:t>
      </w:r>
      <w:r>
        <w:rPr>
          <w:b/>
          <w:bCs/>
        </w:rPr>
        <w:t xml:space="preserve"> </w:t>
      </w:r>
      <w:r>
        <w:t>kurie taikomi ūkio subjektams, vykdantiems veiklą su cheminėmis medžiagomis ir preparatais (tiekia rinkai ar kitaip tvarko) Lietuvos Respublikos narkotinių ir psichotropinių medžiagų pirmtakų (prekursorių) įstatymas (Žin.,1999, Nr. 55-1764; 2008, Nr. 65-2455) 1 straipsnis;</w:t>
      </w:r>
    </w:p>
    <w:p w:rsidR="00DD08F5" w:rsidRDefault="00DD08F5" w:rsidP="00DD08F5">
      <w:pPr>
        <w:rPr>
          <w:bCs/>
        </w:rPr>
      </w:pPr>
      <w:r>
        <w:rPr>
          <w:bCs/>
        </w:rPr>
        <w:t>Teisės aktai (TA), kuriais vadovaujantis įgyvendinama kontrolė:</w:t>
      </w:r>
    </w:p>
    <w:p w:rsidR="00DD08F5" w:rsidRDefault="00DD08F5" w:rsidP="00DD08F5">
      <w:pPr>
        <w:ind w:left="360"/>
      </w:pPr>
      <w:r>
        <w:t>Reglamentai Nr. 273/2004, Nr. 111/2005, Nr. 1277/2005; Nr. 297/2009;</w:t>
      </w:r>
    </w:p>
    <w:p w:rsidR="00DD08F5" w:rsidRDefault="00DD08F5" w:rsidP="00DD08F5">
      <w:pPr>
        <w:ind w:left="360"/>
      </w:pPr>
      <w:r>
        <w:t>Lietuvos Respublikos narkotinių ir psichotropinių medžiagų pirmtakų (prekursorių) įstatymas (Žin.,1999, Nr. 55-1764; 2008, Nr. 65-2455);</w:t>
      </w:r>
    </w:p>
    <w:p w:rsidR="00DD08F5" w:rsidRDefault="00DD08F5" w:rsidP="00DD08F5">
      <w:pPr>
        <w:ind w:left="360"/>
      </w:pPr>
      <w:r>
        <w:t>Lietuvos Respublikos Vyriausybės nutarimas  “Dėl narkotinių ir psichotropinių medžiagų vartojimo, jo padarinių, narkotinių ir psichotropinių medžiagų ir jų pirmtakų (prekursorių)apyvartos stebėsenos tvarkos aprašo patvirtinimo” (Žin., 2009, Nr. 90-3847);</w:t>
      </w:r>
    </w:p>
    <w:p w:rsidR="00DD08F5" w:rsidRDefault="00DD08F5" w:rsidP="00DD08F5">
      <w:pPr>
        <w:ind w:left="360"/>
      </w:pPr>
      <w:r>
        <w:t xml:space="preserve">Subjektų veiklos, susijusios su narkotinių ir psichotropinių medžiagų pirmtakais (prekursoriais), kontrolės tvarkos aprašas </w:t>
      </w:r>
      <w:r>
        <w:tab/>
        <w:t xml:space="preserve">(Žin., 2009. Nr. 15-617); </w:t>
      </w:r>
    </w:p>
    <w:p w:rsidR="00DD08F5" w:rsidRDefault="00DD08F5" w:rsidP="00DD08F5">
      <w:pPr>
        <w:ind w:left="360"/>
      </w:pPr>
      <w:r>
        <w:lastRenderedPageBreak/>
        <w:t>Lietuvos Respublikos ATPK 442</w:t>
      </w:r>
      <w:r>
        <w:rPr>
          <w:b/>
          <w:bCs/>
        </w:rPr>
        <w:t xml:space="preserve"> </w:t>
      </w:r>
      <w:r>
        <w:t>str. Teisės aktų, reglamentuojančių su narkotinių ar psichotropinių medžiagų pirmtakais (prekursoriais) susijusią veiklą, pažeidimas;</w:t>
      </w:r>
    </w:p>
    <w:p w:rsidR="00DD08F5" w:rsidRDefault="00DD08F5" w:rsidP="00DD08F5">
      <w:pPr>
        <w:ind w:left="360"/>
        <w:rPr>
          <w:b/>
        </w:rPr>
      </w:pPr>
      <w:r>
        <w:t>Lietuvos Respublikos BK 266 straipsnis. Neteisėtas disponavimas pirmos kategorijos narkotinių ar psichotropinių medžiagų pirmtakais (prekursoriais);</w:t>
      </w:r>
    </w:p>
    <w:p w:rsidR="00DD08F5" w:rsidRDefault="00DD08F5" w:rsidP="00DD08F5">
      <w:pPr>
        <w:ind w:left="360"/>
      </w:pPr>
      <w:r>
        <w:t>Lietuvos Respublikos Aplinkos ir sveikatos apsaugos ministrų 2000-12-19 įsakymas  Nr. 532/742</w:t>
      </w:r>
      <w:r>
        <w:rPr>
          <w:b/>
          <w:bCs/>
        </w:rPr>
        <w:t xml:space="preserve"> </w:t>
      </w:r>
      <w:r>
        <w:t>„Pavojingų cheminių medžiagų ir preparatų klasifikavimo ir ženklinimo tvarka“ (</w:t>
      </w:r>
      <w:hyperlink r:id="rId89" w:tgtFrame="_parent" w:history="1">
        <w:r>
          <w:rPr>
            <w:rStyle w:val="Hipersaitas"/>
            <w:rFonts w:eastAsia="Courier New"/>
          </w:rPr>
          <w:t>Žin., 2001, Nr. 16-509</w:t>
        </w:r>
      </w:hyperlink>
      <w:r>
        <w:t xml:space="preserve">; </w:t>
      </w:r>
      <w:hyperlink r:id="rId90" w:tgtFrame="_parent" w:history="1">
        <w:r>
          <w:rPr>
            <w:rStyle w:val="Hipersaitas"/>
            <w:rFonts w:eastAsia="Courier New"/>
          </w:rPr>
          <w:t>2002, Nr. 81-3501</w:t>
        </w:r>
      </w:hyperlink>
      <w:r>
        <w:t xml:space="preserve">; </w:t>
      </w:r>
      <w:hyperlink r:id="rId91" w:tgtFrame="_parent" w:history="1">
        <w:r>
          <w:rPr>
            <w:rStyle w:val="Hipersaitas"/>
            <w:rFonts w:eastAsia="Courier New"/>
          </w:rPr>
          <w:t>2003, Nr. 81(1)-3703</w:t>
        </w:r>
      </w:hyperlink>
      <w:r>
        <w:t xml:space="preserve">, </w:t>
      </w:r>
      <w:hyperlink r:id="rId92" w:tgtFrame="_parent" w:history="1">
        <w:r>
          <w:rPr>
            <w:rStyle w:val="Hipersaitas"/>
            <w:rFonts w:eastAsia="Courier New"/>
          </w:rPr>
          <w:t>Nr. 81(2)-3703</w:t>
        </w:r>
      </w:hyperlink>
      <w:r>
        <w:t xml:space="preserve">, </w:t>
      </w:r>
      <w:hyperlink r:id="rId93" w:tgtFrame="_parent" w:history="1">
        <w:r>
          <w:rPr>
            <w:rStyle w:val="Hipersaitas"/>
            <w:rFonts w:eastAsia="Courier New"/>
          </w:rPr>
          <w:t>Nr. 81(3)-3703</w:t>
        </w:r>
      </w:hyperlink>
      <w:r>
        <w:t xml:space="preserve">; </w:t>
      </w:r>
      <w:hyperlink r:id="rId94" w:tgtFrame="_parent" w:history="1">
        <w:r>
          <w:rPr>
            <w:rStyle w:val="Hipersaitas"/>
            <w:rFonts w:eastAsia="Courier New"/>
          </w:rPr>
          <w:t>2005, Nr. 115-</w:t>
        </w:r>
      </w:hyperlink>
      <w:hyperlink r:id="rId95" w:tgtFrame="_parent" w:history="1">
        <w:r>
          <w:rPr>
            <w:rStyle w:val="Hipersaitas"/>
            <w:rFonts w:eastAsia="Courier New"/>
          </w:rPr>
          <w:t>4196</w:t>
        </w:r>
      </w:hyperlink>
      <w:r>
        <w:t xml:space="preserve">, </w:t>
      </w:r>
      <w:hyperlink r:id="rId96" w:tgtFrame="_parent" w:history="1">
        <w:r>
          <w:rPr>
            <w:rStyle w:val="Hipersaitas"/>
            <w:rFonts w:eastAsia="Courier New"/>
          </w:rPr>
          <w:t>Nr.141-5095</w:t>
        </w:r>
      </w:hyperlink>
      <w:r>
        <w:t xml:space="preserve">, </w:t>
      </w:r>
      <w:hyperlink r:id="rId97" w:tgtFrame="_parent" w:history="1">
        <w:r>
          <w:rPr>
            <w:rStyle w:val="Hipersaitas"/>
            <w:rFonts w:eastAsia="Courier New"/>
          </w:rPr>
          <w:t>2008, Nr. 66-2517</w:t>
        </w:r>
      </w:hyperlink>
      <w:r>
        <w:t xml:space="preserve">; </w:t>
      </w:r>
    </w:p>
    <w:p w:rsidR="00DD08F5" w:rsidRDefault="00DD08F5" w:rsidP="00DD08F5">
      <w:pPr>
        <w:ind w:left="360"/>
      </w:pPr>
      <w: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(REACH reglamentą) (ES OL Nr. L353);</w:t>
      </w:r>
    </w:p>
    <w:p w:rsidR="00DD08F5" w:rsidRDefault="00DD08F5" w:rsidP="00DD08F5">
      <w:pPr>
        <w:ind w:left="360"/>
      </w:pPr>
      <w:r>
        <w:t>LR aplinkos ministro 2008-07-02 įsakymu Nr. D1-360 „Dėl cheminių medžiagų ir preparatų apskaitos tvarkos aprašo patvirtinimo“ (</w:t>
      </w:r>
      <w:hyperlink r:id="rId98" w:tgtFrame="_parent" w:history="1">
        <w:r>
          <w:rPr>
            <w:rStyle w:val="Hipersaitas"/>
            <w:rFonts w:eastAsia="Courier New"/>
          </w:rPr>
          <w:t>Žin., 2008, Nr. 77-3</w:t>
        </w:r>
      </w:hyperlink>
      <w:r>
        <w:t>049, Nr. 123-4688, 2009, Nr. 17-672);</w:t>
      </w:r>
    </w:p>
    <w:p w:rsidR="00DD08F5" w:rsidRDefault="00DD08F5" w:rsidP="00DD08F5">
      <w:pPr>
        <w:ind w:left="360"/>
      </w:pPr>
      <w:r>
        <w:t>Lietuvos Respublikos aplinkos ministro</w:t>
      </w:r>
      <w:r>
        <w:rPr>
          <w:b/>
          <w:bCs/>
        </w:rPr>
        <w:t xml:space="preserve"> </w:t>
      </w:r>
      <w:r>
        <w:t>2002-11-19 įsakymas Nr. 599 „Pavojingų cheminių medžiagų ir preparatų pakuotės reikalavimų bei pakavimo tvarka“ (</w:t>
      </w:r>
      <w:hyperlink r:id="rId99" w:tgtFrame="_parent" w:history="1">
        <w:r>
          <w:rPr>
            <w:rStyle w:val="Hipersaitas"/>
            <w:rFonts w:eastAsia="Courier New"/>
          </w:rPr>
          <w:t>Žin., 2002, Nr. 115-5161</w:t>
        </w:r>
      </w:hyperlink>
      <w:r>
        <w:t xml:space="preserve">, </w:t>
      </w:r>
      <w:hyperlink r:id="rId100" w:tgtFrame="_parent" w:history="1">
        <w:r>
          <w:rPr>
            <w:rStyle w:val="Hipersaitas"/>
            <w:rFonts w:eastAsia="Courier New"/>
          </w:rPr>
          <w:t>2008, Nr. 53-1989</w:t>
        </w:r>
      </w:hyperlink>
      <w:r>
        <w:t>);</w:t>
      </w:r>
    </w:p>
    <w:p w:rsidR="00DD08F5" w:rsidRDefault="00DD08F5" w:rsidP="00DD08F5">
      <w:pPr>
        <w:ind w:left="360"/>
        <w:rPr>
          <w:b/>
          <w:bCs/>
        </w:rPr>
      </w:pPr>
      <w:r>
        <w:t>Cheminių medžiagų ir preparatų</w:t>
      </w:r>
      <w:r>
        <w:rPr>
          <w:b/>
          <w:bCs/>
        </w:rPr>
        <w:t xml:space="preserve"> </w:t>
      </w:r>
      <w:r>
        <w:t>saugos duomenų lapus tvarkyti</w:t>
      </w:r>
      <w:r>
        <w:rPr>
          <w:b/>
          <w:bCs/>
        </w:rPr>
        <w:t xml:space="preserve"> </w:t>
      </w:r>
      <w:r>
        <w:t>vadovaujantis Lietuvos Respublikos Cheminių medžiagų ir preparatų įstatymu (</w:t>
      </w:r>
      <w:hyperlink r:id="rId101" w:tgtFrame="_parent" w:history="1">
        <w:r>
          <w:rPr>
            <w:rStyle w:val="Hipersaitas"/>
            <w:rFonts w:eastAsia="Courier New"/>
          </w:rPr>
          <w:t>Žin., 2000, Nr. 36-987</w:t>
        </w:r>
      </w:hyperlink>
      <w:r>
        <w:t xml:space="preserve">; </w:t>
      </w:r>
      <w:hyperlink r:id="rId102" w:tgtFrame="_parent" w:history="1">
        <w:r>
          <w:rPr>
            <w:rStyle w:val="Hipersaitas"/>
            <w:rFonts w:eastAsia="Courier New"/>
          </w:rPr>
          <w:t>2004, Nr. 116-</w:t>
        </w:r>
      </w:hyperlink>
      <w:hyperlink r:id="rId103" w:tgtFrame="_parent" w:history="1">
        <w:r>
          <w:rPr>
            <w:rStyle w:val="Hipersaitas"/>
            <w:rFonts w:eastAsia="Courier New"/>
          </w:rPr>
          <w:t>4329</w:t>
        </w:r>
      </w:hyperlink>
      <w:r>
        <w:t xml:space="preserve">; </w:t>
      </w:r>
      <w:hyperlink r:id="rId104" w:tgtFrame="_parent" w:history="1">
        <w:r>
          <w:rPr>
            <w:rStyle w:val="Hipersaitas"/>
            <w:rFonts w:eastAsia="Courier New"/>
          </w:rPr>
          <w:t>2005, Nr. 79-2846</w:t>
        </w:r>
      </w:hyperlink>
      <w:r>
        <w:t xml:space="preserve">; </w:t>
      </w:r>
      <w:hyperlink r:id="rId105" w:tgtFrame="_parent" w:history="1">
        <w:r>
          <w:rPr>
            <w:rStyle w:val="Hipersaitas"/>
            <w:rFonts w:eastAsia="Courier New"/>
          </w:rPr>
          <w:t>2006, Nr. 65-2381</w:t>
        </w:r>
      </w:hyperlink>
      <w:r>
        <w:t xml:space="preserve">; </w:t>
      </w:r>
      <w:hyperlink r:id="rId106" w:tgtFrame="_parent" w:history="1">
        <w:r>
          <w:rPr>
            <w:rStyle w:val="Hipersaitas"/>
            <w:rFonts w:eastAsia="Courier New"/>
          </w:rPr>
          <w:t>2008, Nr. 76-3000</w:t>
        </w:r>
      </w:hyperlink>
      <w:r>
        <w:t>) bei Europos Parlamento ir Tarybos reglamentu (EB) Nr. 1907/2006 „Dėl cheminių medžiagų registracijos, įvertinimo, autorizacijos ir apribojimų (REACH)“ .</w:t>
      </w:r>
    </w:p>
    <w:p w:rsidR="00DD08F5" w:rsidRDefault="00DD08F5" w:rsidP="00DD08F5">
      <w:r>
        <w:t>Prekursorių naudojimo sritys ES rinkoje:</w:t>
      </w:r>
    </w:p>
    <w:p w:rsidR="00DD08F5" w:rsidRDefault="00DD08F5" w:rsidP="00DD08F5">
      <w:pPr>
        <w:ind w:left="360" w:firstLine="360"/>
      </w:pPr>
      <w:r>
        <w:t>Teisėti tikslai:</w:t>
      </w:r>
    </w:p>
    <w:p w:rsidR="00DD08F5" w:rsidRDefault="00DD08F5" w:rsidP="00DD08F5">
      <w:pPr>
        <w:ind w:left="1080"/>
      </w:pPr>
      <w:r>
        <w:t>farmacijos pramonėje;</w:t>
      </w:r>
    </w:p>
    <w:p w:rsidR="00DD08F5" w:rsidRDefault="00DD08F5" w:rsidP="00DD08F5">
      <w:pPr>
        <w:ind w:left="1080"/>
      </w:pPr>
      <w:r>
        <w:t>parfumerijos pramonėje;</w:t>
      </w:r>
    </w:p>
    <w:p w:rsidR="00DD08F5" w:rsidRDefault="00DD08F5" w:rsidP="00DD08F5">
      <w:pPr>
        <w:ind w:left="1080"/>
      </w:pPr>
      <w:r>
        <w:t>organinė chemija;</w:t>
      </w:r>
    </w:p>
    <w:p w:rsidR="00DD08F5" w:rsidRDefault="00DD08F5" w:rsidP="00DD08F5">
      <w:pPr>
        <w:ind w:left="1080"/>
      </w:pPr>
      <w:r>
        <w:t>fotografija;</w:t>
      </w:r>
    </w:p>
    <w:p w:rsidR="00DD08F5" w:rsidRDefault="00DD08F5" w:rsidP="00DD08F5">
      <w:pPr>
        <w:ind w:left="1080"/>
      </w:pPr>
      <w:r>
        <w:t>plastmasių, tekstilės, dažų, lakų, trąšų, sprogstamųjų medžiagų gamyba, tirpikliai;</w:t>
      </w:r>
    </w:p>
    <w:p w:rsidR="00DD08F5" w:rsidRDefault="00DD08F5" w:rsidP="00DD08F5">
      <w:pPr>
        <w:ind w:left="1080"/>
      </w:pPr>
      <w:r>
        <w:t>dezodorantų, kvapiųjų medžiagų, dezinfekcinių ir valymo medžiagų gamyba;</w:t>
      </w:r>
    </w:p>
    <w:p w:rsidR="00DD08F5" w:rsidRDefault="00DD08F5" w:rsidP="00DD08F5">
      <w:pPr>
        <w:ind w:left="1080"/>
      </w:pPr>
      <w:r>
        <w:t>vandens paruošimas;</w:t>
      </w:r>
    </w:p>
    <w:p w:rsidR="00DD08F5" w:rsidRDefault="00DD08F5" w:rsidP="00DD08F5">
      <w:pPr>
        <w:ind w:left="1080"/>
      </w:pPr>
      <w:r>
        <w:t>galvanika ir kt.</w:t>
      </w:r>
    </w:p>
    <w:p w:rsidR="00DD08F5" w:rsidRDefault="00DD08F5" w:rsidP="00DD08F5">
      <w:pPr>
        <w:ind w:left="360" w:firstLine="360"/>
      </w:pPr>
      <w:r>
        <w:t>Neteisėti tikslai</w:t>
      </w:r>
    </w:p>
    <w:p w:rsidR="00DD08F5" w:rsidRDefault="00DD08F5" w:rsidP="00DD08F5">
      <w:pPr>
        <w:ind w:left="1080"/>
      </w:pPr>
      <w:r>
        <w:t>daugiausiai nelegalių narkotinių ir psichotropinių medžiagų gamyba – amfetamino, metamfetamino, LSD, metkatinono, metakvalono, meklokvalono, MDMA (</w:t>
      </w:r>
      <w:r>
        <w:rPr>
          <w:i/>
          <w:iCs/>
        </w:rPr>
        <w:t>ekstazy</w:t>
      </w:r>
      <w:r>
        <w:t xml:space="preserve"> tabletės) ir kt., kokaino išgryninimui iš kokamedžio pastos;</w:t>
      </w:r>
    </w:p>
    <w:p w:rsidR="00DD08F5" w:rsidRDefault="00DD08F5" w:rsidP="00DD08F5">
      <w:pPr>
        <w:ind w:left="1080"/>
      </w:pPr>
      <w:r>
        <w:t>naminis heroinas ir kt.</w:t>
      </w:r>
    </w:p>
    <w:p w:rsidR="00DD08F5" w:rsidRDefault="00DD08F5" w:rsidP="00DD08F5">
      <w:pPr>
        <w:ind w:firstLine="720"/>
      </w:pPr>
      <w:r>
        <w:t>Pagrindinis Narkotikų kontrolės departamento prie LRV veiklos uždavinys - teisės aktų nustatyta tvarka užtikrinti veiklos, susijusios su teisėta narkotinių ir psichotropinių medžiagų pirmtakų (prekursorių) apyvarta, kontrolę.</w:t>
      </w:r>
    </w:p>
    <w:p w:rsidR="00DD08F5" w:rsidRDefault="00DD08F5" w:rsidP="00DD08F5">
      <w:pPr>
        <w:pStyle w:val="Normal1"/>
        <w:ind w:firstLine="360"/>
        <w:rPr>
          <w:szCs w:val="24"/>
          <w:lang w:val="lt-LT"/>
        </w:rPr>
      </w:pPr>
      <w:r>
        <w:t xml:space="preserve">Narkotikų kontrolės departamento prie LRV </w:t>
      </w:r>
      <w:r>
        <w:rPr>
          <w:szCs w:val="24"/>
          <w:lang w:val="lt-LT"/>
        </w:rPr>
        <w:t>Kontrolės skyriaus funkcijos:</w:t>
      </w:r>
    </w:p>
    <w:p w:rsidR="00DD08F5" w:rsidRDefault="00DD08F5" w:rsidP="00DD08F5">
      <w:pPr>
        <w:ind w:left="360"/>
        <w:jc w:val="both"/>
      </w:pPr>
      <w:r>
        <w:t xml:space="preserve">Vykdo ūkio subjekto patikrinimus . </w:t>
      </w:r>
    </w:p>
    <w:p w:rsidR="00DD08F5" w:rsidRDefault="00DD08F5" w:rsidP="00DD08F5">
      <w:pPr>
        <w:ind w:left="360"/>
      </w:pPr>
      <w:r>
        <w:rPr>
          <w:i/>
          <w:iCs/>
        </w:rPr>
        <w:t>Bendrasis patikrinimas (BP)-</w:t>
      </w:r>
      <w:r>
        <w:t>prieš priimant sprendimą išduoti licenciją, specialiąją licenciją, veiklos vietos registravimo pažymėjimą;</w:t>
      </w:r>
    </w:p>
    <w:p w:rsidR="00DD08F5" w:rsidRDefault="00DD08F5" w:rsidP="00DD08F5">
      <w:pPr>
        <w:ind w:left="360"/>
      </w:pPr>
      <w:r>
        <w:rPr>
          <w:i/>
          <w:iCs/>
        </w:rPr>
        <w:t>Pakartotinis patikrinimas-</w:t>
      </w:r>
      <w:r>
        <w:t xml:space="preserve"> siekiant įvertinti ar pašalinti BP metu nustatyti trūkumai;</w:t>
      </w:r>
    </w:p>
    <w:p w:rsidR="00DD08F5" w:rsidRDefault="00DD08F5" w:rsidP="00DD08F5">
      <w:pPr>
        <w:ind w:left="360"/>
      </w:pPr>
      <w:r>
        <w:rPr>
          <w:i/>
          <w:iCs/>
        </w:rPr>
        <w:t>Tikslinis patikrinimas-</w:t>
      </w:r>
      <w:r>
        <w:t xml:space="preserve"> </w:t>
      </w:r>
    </w:p>
    <w:p w:rsidR="00DD08F5" w:rsidRDefault="00DD08F5" w:rsidP="00DD08F5">
      <w:r>
        <w:tab/>
        <w:t>*atsiradus aplinkybėms, kurių nebuvo galima numatyti atliekant BP ;</w:t>
      </w:r>
    </w:p>
    <w:p w:rsidR="00DD08F5" w:rsidRDefault="00DD08F5" w:rsidP="00DD08F5">
      <w:r>
        <w:tab/>
        <w:t>*gavus iš kitų kompetentingų institucijų informaciją apie....</w:t>
      </w:r>
    </w:p>
    <w:p w:rsidR="00DD08F5" w:rsidRDefault="00DD08F5" w:rsidP="00DD08F5">
      <w:r>
        <w:tab/>
        <w:t>*prieš priimant sprendimą dėl licencijos, spec. licencijos, veiklos vietos registravimo pažymėjimo panaikinimo.</w:t>
      </w:r>
    </w:p>
    <w:p w:rsidR="00DD08F5" w:rsidRDefault="00DD08F5" w:rsidP="00DD08F5">
      <w:pPr>
        <w:ind w:left="360"/>
      </w:pPr>
      <w:r>
        <w:rPr>
          <w:i/>
          <w:iCs/>
        </w:rPr>
        <w:t>Planinis patikrinimas-</w:t>
      </w:r>
      <w:r>
        <w:t xml:space="preserve"> pagal patvirtintą patikrinimų planą.</w:t>
      </w:r>
    </w:p>
    <w:p w:rsidR="00DD08F5" w:rsidRDefault="00DD08F5" w:rsidP="00DD08F5">
      <w:pPr>
        <w:rPr>
          <w:b/>
        </w:rPr>
      </w:pPr>
      <w:r>
        <w:rPr>
          <w:b/>
        </w:rPr>
        <w:t>Kontrolės tikslas:</w:t>
      </w:r>
    </w:p>
    <w:p w:rsidR="00DD08F5" w:rsidRDefault="00DD08F5" w:rsidP="00DD08F5">
      <w:pPr>
        <w:ind w:left="360"/>
        <w:rPr>
          <w:b/>
          <w:bCs/>
        </w:rPr>
      </w:pPr>
      <w:r>
        <w:t>nustatyti kaip subjektai laikosi teisės aktų, reglamentuojančių veiklą, susijusią su narkotinių ir psichotropinių medžiagų pirmtakais (prekursoriais), reikalavimų;</w:t>
      </w:r>
    </w:p>
    <w:p w:rsidR="00DD08F5" w:rsidRDefault="00DD08F5" w:rsidP="00DD08F5">
      <w:pPr>
        <w:ind w:left="360"/>
      </w:pPr>
      <w:r>
        <w:t>subjektų veiklos vietos patikrinimas (veiklai naudojamos patalpos, veikloje naudojamos medžiagos, įrengimai, įranga, atsargos);</w:t>
      </w:r>
    </w:p>
    <w:p w:rsidR="00DD08F5" w:rsidRDefault="00DD08F5" w:rsidP="00DD08F5">
      <w:pPr>
        <w:ind w:left="360"/>
      </w:pPr>
      <w:r>
        <w:lastRenderedPageBreak/>
        <w:t>dokumentacijos patikrinimas.</w:t>
      </w:r>
    </w:p>
    <w:p w:rsidR="00DD08F5" w:rsidRDefault="00DD08F5" w:rsidP="00DD08F5">
      <w:pPr>
        <w:ind w:left="360"/>
      </w:pPr>
      <w:r>
        <w:t>Narkotikų kontrolės departamento prie LRV Kontrolės skyrius vykdo subjekto patikrinimus,</w:t>
      </w:r>
      <w:r>
        <w:rPr>
          <w:b/>
          <w:bCs/>
        </w:rPr>
        <w:t xml:space="preserve"> </w:t>
      </w:r>
      <w:r>
        <w:t>kurie:</w:t>
      </w:r>
      <w:r>
        <w:rPr>
          <w:b/>
          <w:bCs/>
        </w:rPr>
        <w:t xml:space="preserve"> </w:t>
      </w:r>
    </w:p>
    <w:p w:rsidR="00DD08F5" w:rsidRDefault="00DD08F5" w:rsidP="00DD08F5">
      <w:pPr>
        <w:ind w:left="360"/>
      </w:pPr>
      <w:r>
        <w:t xml:space="preserve"> - Gamina prekursorius.</w:t>
      </w:r>
    </w:p>
    <w:p w:rsidR="00DD08F5" w:rsidRDefault="00DD08F5" w:rsidP="00DD08F5">
      <w:pPr>
        <w:ind w:left="360"/>
      </w:pPr>
      <w:r>
        <w:t>- Naudoja prekursorius gamyboje.</w:t>
      </w:r>
    </w:p>
    <w:p w:rsidR="00DD08F5" w:rsidRDefault="00DD08F5" w:rsidP="00DD08F5">
      <w:pPr>
        <w:ind w:left="360"/>
      </w:pPr>
      <w:r>
        <w:t>- Užsiima didmenine ir/ar mažmenine prekyba prekursoriais.</w:t>
      </w:r>
    </w:p>
    <w:p w:rsidR="00DD08F5" w:rsidRDefault="00DD08F5" w:rsidP="00DD08F5">
      <w:pPr>
        <w:ind w:left="360"/>
      </w:pPr>
      <w:r>
        <w:t>-Mokslinius tyrimus atliekančių universitetų, institutų, valstybinių biudžetinių įstaigų laboratorijos, kurios savo veikloje naudoja prekursorius.</w:t>
      </w:r>
    </w:p>
    <w:p w:rsidR="00DD08F5" w:rsidRDefault="00DD08F5" w:rsidP="00DD08F5">
      <w:pPr>
        <w:rPr>
          <w:bCs/>
        </w:rPr>
      </w:pPr>
      <w:r>
        <w:rPr>
          <w:bCs/>
        </w:rPr>
        <w:t>Reikalavimai subjektams:</w:t>
      </w:r>
    </w:p>
    <w:p w:rsidR="00DD08F5" w:rsidRDefault="00DD08F5" w:rsidP="00DD08F5">
      <w:pPr>
        <w:ind w:left="360" w:firstLine="360"/>
      </w:pPr>
      <w:r>
        <w:t>Licencija, specialioji licencija, vietos registravimo pažymėjimas, importo leidimas, eksporto leidimas;</w:t>
      </w:r>
    </w:p>
    <w:p w:rsidR="00DD08F5" w:rsidRDefault="00DD08F5" w:rsidP="00DD08F5">
      <w:pPr>
        <w:ind w:left="360" w:firstLine="360"/>
      </w:pPr>
      <w:r>
        <w:t xml:space="preserve">Pirkimo ir/ar pardavimo dokumentai, kita veiklos dokumentacija (Reglamentas Nr.273/2004,10 str.) </w:t>
      </w:r>
    </w:p>
    <w:p w:rsidR="00DD08F5" w:rsidRDefault="00DD08F5" w:rsidP="00DD08F5">
      <w:pPr>
        <w:ind w:left="360" w:firstLine="360"/>
      </w:pPr>
      <w:r>
        <w:t>Apskaitos sistema;</w:t>
      </w:r>
    </w:p>
    <w:p w:rsidR="00DD08F5" w:rsidRDefault="00DD08F5" w:rsidP="00DD08F5">
      <w:pPr>
        <w:ind w:left="360" w:firstLine="360"/>
      </w:pPr>
      <w:r>
        <w:t>Ženklinimas;</w:t>
      </w:r>
    </w:p>
    <w:p w:rsidR="00DD08F5" w:rsidRDefault="00DD08F5" w:rsidP="00DD08F5">
      <w:pPr>
        <w:ind w:left="360" w:firstLine="360"/>
      </w:pPr>
      <w:r>
        <w:t>Sandėliavimas ir saugojimas (komercinių patalpų tinkamumas Reglamentas Nr.1277/2005, 28 str.)</w:t>
      </w:r>
    </w:p>
    <w:p w:rsidR="00DD08F5" w:rsidRDefault="00DD08F5" w:rsidP="00DD08F5">
      <w:r>
        <w:t>Narkotikų kontrolės departamento prie Lietuvos respublikos Vyriausybės  2009 m. patikrinimų rezultatai:</w:t>
      </w:r>
    </w:p>
    <w:p w:rsidR="00DD08F5" w:rsidRDefault="00DD08F5" w:rsidP="00DD08F5">
      <w:pPr>
        <w:ind w:left="360" w:firstLine="360"/>
      </w:pPr>
      <w:r>
        <w:t>- Patikrinta 140 subjektų.</w:t>
      </w:r>
    </w:p>
    <w:p w:rsidR="00DD08F5" w:rsidRDefault="00DD08F5" w:rsidP="00DD08F5">
      <w:pPr>
        <w:ind w:left="360" w:firstLine="360"/>
      </w:pPr>
      <w:r>
        <w:t>- 140 subjektai naudoja antros ir trečios kategorijų prekursorius, iš kurių gali būti neteisėtai gaminami narkotikai.</w:t>
      </w:r>
    </w:p>
    <w:p w:rsidR="00DD08F5" w:rsidRDefault="00DD08F5" w:rsidP="00DD08F5">
      <w:pPr>
        <w:ind w:left="360" w:firstLine="360"/>
      </w:pPr>
      <w:r>
        <w:t>- 47 subjektų palikti nurodymai dėl apskaitos vedimo, prekursorių ženklinimo ir teisėtai veiklai reikalingų dokumentų įsigijimo.</w:t>
      </w:r>
    </w:p>
    <w:p w:rsidR="00DD08F5" w:rsidRDefault="00DD08F5" w:rsidP="00DD08F5">
      <w:pPr>
        <w:ind w:left="360"/>
        <w:jc w:val="both"/>
      </w:pPr>
      <w:r>
        <w:t>Pirmos kategorijos prekursorių, tiesiogiai naudojamų metamfetamino ir kitų sintetinių narkotikų gamybai, teisėtoje Lietuvos rinkos apyvartoje nėra.</w:t>
      </w:r>
    </w:p>
    <w:p w:rsidR="00DD08F5" w:rsidRDefault="00DD08F5" w:rsidP="00DD08F5">
      <w:pPr>
        <w:jc w:val="both"/>
      </w:pPr>
      <w:r>
        <w:t xml:space="preserve">Narkotikų kontrolės departamento prie LRV Kontrolės skyrius vykdo kitas </w:t>
      </w:r>
      <w:r>
        <w:rPr>
          <w:iCs/>
        </w:rPr>
        <w:t>funkcijas:</w:t>
      </w:r>
    </w:p>
    <w:p w:rsidR="00DD08F5" w:rsidRDefault="00DD08F5" w:rsidP="00DD08F5">
      <w:pPr>
        <w:ind w:left="360"/>
        <w:jc w:val="both"/>
      </w:pPr>
      <w:r>
        <w:t xml:space="preserve">Organizuoja ir vykdo veiklos, susijusios su narkotinių ir psichotropinių medžiagų pirmtakais (prekursoriais), stebėseną. </w:t>
      </w:r>
    </w:p>
    <w:p w:rsidR="00DD08F5" w:rsidRDefault="00DD08F5" w:rsidP="00DD08F5">
      <w:pPr>
        <w:jc w:val="both"/>
      </w:pPr>
      <w:r>
        <w:rPr>
          <w:b/>
          <w:bCs/>
        </w:rPr>
        <w:t xml:space="preserve">    </w:t>
      </w:r>
      <w:r>
        <w:t>Vykdo duomenų susijusių su narkotinių ir psichotropinių medžiagų pirmtakais (prekursoriais): rinkimą, kaupimą, apdorojimą, analizę, vertinimą, teikia išvadas suinteresuotoms valstybės ir savivaldybių institucijoms ir įstaigoms.</w:t>
      </w:r>
    </w:p>
    <w:p w:rsidR="00DD08F5" w:rsidRDefault="00DD08F5" w:rsidP="00DD08F5">
      <w:pPr>
        <w:ind w:firstLine="720"/>
        <w:jc w:val="both"/>
      </w:pPr>
      <w:r>
        <w:t xml:space="preserve">Narkotikų kontrolės departamento prie LRV duomenimis, buvo apklaustos 800 įmonių ir 47 mokslo įstaigų laboratorijos. 197 įmonės savo veikloje naudoja prekursorius. Iš jų: 56 – platinimas; </w:t>
      </w:r>
    </w:p>
    <w:p w:rsidR="00DD08F5" w:rsidRDefault="00DD08F5" w:rsidP="00DD08F5">
      <w:pPr>
        <w:jc w:val="both"/>
      </w:pPr>
      <w:r>
        <w:t>23- vandens paruošimas;  32- laboratoriniams tyrimams; 86- galvanika, tekstilė, maisto pramonė, logistika; 35 mokslo įstaigų laboratorijos naudoja prekursorius.</w:t>
      </w:r>
    </w:p>
    <w:p w:rsidR="00DD08F5" w:rsidRDefault="00DD08F5" w:rsidP="00DD08F5">
      <w:pPr>
        <w:ind w:firstLine="720"/>
        <w:jc w:val="both"/>
      </w:pPr>
      <w:r>
        <w:t>Narkotikų kontrolės departamento prie LRV duomenimis, patikrinta 70 proc. (140) subjektų, naudojančių savo veikloje prekursorius.</w:t>
      </w:r>
    </w:p>
    <w:p w:rsidR="00DD08F5" w:rsidRDefault="00DD08F5" w:rsidP="00DD08F5">
      <w:pPr>
        <w:ind w:firstLine="720"/>
        <w:jc w:val="both"/>
        <w:rPr>
          <w:bCs/>
        </w:rPr>
      </w:pPr>
      <w:r>
        <w:t xml:space="preserve">Narkotikų kontrolės departamento prie LRV duomenimis, </w:t>
      </w:r>
      <w:r>
        <w:rPr>
          <w:bCs/>
        </w:rPr>
        <w:t>2009 m.vyko seminaras ūkio subjektams, kurie iki 2008 m. vykdė veiklą su prekursoriais ir turėjo tam reikalingus dokumentus; seminaras ūkio subjektams, kurie tiekia prekursorius Lietuvos rinkoje.</w:t>
      </w:r>
    </w:p>
    <w:p w:rsidR="00DD08F5" w:rsidRDefault="00DD08F5" w:rsidP="00DD08F5">
      <w:pPr>
        <w:ind w:firstLine="360"/>
        <w:jc w:val="both"/>
        <w:rPr>
          <w:bCs/>
        </w:rPr>
      </w:pPr>
      <w:r>
        <w:rPr>
          <w:bCs/>
        </w:rPr>
        <w:t xml:space="preserve">Kiekvieno patikrinimo metu suteikiama žinių apie prekursorių sandėliavimą, ženklinimą, apsaugojimą nuo neteisėto paėmimo, apskaitos vykdymą ir kitų reikalingų dokumentų tvarkymą. </w:t>
      </w:r>
    </w:p>
    <w:p w:rsidR="00DD08F5" w:rsidRDefault="00DD08F5" w:rsidP="00DD08F5">
      <w:pPr>
        <w:ind w:firstLine="360"/>
        <w:jc w:val="both"/>
        <w:rPr>
          <w:bCs/>
        </w:rPr>
      </w:pPr>
      <w:r>
        <w:rPr>
          <w:bCs/>
        </w:rPr>
        <w:t>Mokoma kaip pastebėti įtartinus sandorius ir patariama kur kreiptis kilus įtarimams.</w:t>
      </w:r>
    </w:p>
    <w:p w:rsidR="00DD08F5" w:rsidRDefault="00DD08F5" w:rsidP="00DD08F5">
      <w:pPr>
        <w:ind w:firstLine="360"/>
        <w:jc w:val="both"/>
        <w:rPr>
          <w:bCs/>
        </w:rPr>
      </w:pPr>
      <w:r>
        <w:rPr>
          <w:bCs/>
        </w:rPr>
        <w:t xml:space="preserve"> Informuojama apie numatytą administracinę bei baudžiamąją atsakomybę už teisės aktuose numatytų reikalavimų nevykdymą.</w:t>
      </w:r>
    </w:p>
    <w:p w:rsidR="00DD08F5" w:rsidRDefault="00DD08F5" w:rsidP="00DD08F5">
      <w:pPr>
        <w:ind w:firstLine="360"/>
        <w:jc w:val="both"/>
      </w:pPr>
      <w:r>
        <w:t>Narkotikų kontrolės departamento prie LRV duomenimis reikalingos: Tarpžinybinė naujų psichoaktyvų efektą sukeliančių medžiagų rizikos vertinimo komisija ir Tarpinstitucinės veiklos, susijusios su narkotinių ir psichotropinių medžiagų pirmtakais (prekursoriais), licencijavimo ir registravimo komisija, Elektroninio mokymo kursas apie narkotinių ir psichotropinių medžiagų pirmtakų kontrolę, skirtas įvairias pareigas užimantiems darbuotojams, dirbantiems chemijos pramonės įmonėse – vadybininkams, sandėlio darbuotojams; taip pat vadovams.</w:t>
      </w:r>
    </w:p>
    <w:p w:rsidR="00DD08F5" w:rsidRDefault="00DD08F5" w:rsidP="00DD08F5">
      <w:pPr>
        <w:ind w:firstLine="360"/>
        <w:jc w:val="both"/>
      </w:pPr>
      <w:r>
        <w:t xml:space="preserve"> Narkotikų kontrolės departamento prie LRV duomenimis, paaiškinami teisės aktų reikalavimai, ypatingas dėmesys skiriamas įtartinų sandorių nustatymui ir pasikeitimui informacija su valstybinėmis institucijomis.</w:t>
      </w:r>
    </w:p>
    <w:p w:rsidR="00DD08F5" w:rsidRDefault="00DD08F5" w:rsidP="00DD08F5">
      <w:pPr>
        <w:ind w:firstLine="488"/>
        <w:jc w:val="both"/>
        <w:rPr>
          <w:szCs w:val="20"/>
        </w:rPr>
      </w:pPr>
    </w:p>
    <w:p w:rsidR="00DD08F5" w:rsidRDefault="00DD08F5" w:rsidP="00DD08F5">
      <w:pPr>
        <w:ind w:firstLine="720"/>
        <w:jc w:val="both"/>
        <w:rPr>
          <w:b/>
          <w:bCs/>
          <w:szCs w:val="20"/>
        </w:rPr>
      </w:pPr>
      <w:r>
        <w:rPr>
          <w:b/>
          <w:bCs/>
          <w:szCs w:val="20"/>
        </w:rPr>
        <w:lastRenderedPageBreak/>
        <w:t xml:space="preserve">X. Narkotikų kontrolės departamento prie Lietuvos Respublikos Vyriausybės 2004 -  2008 metų veikla </w:t>
      </w:r>
    </w:p>
    <w:p w:rsidR="00DD08F5" w:rsidRDefault="00DD08F5" w:rsidP="00DD08F5">
      <w:pPr>
        <w:ind w:firstLine="488"/>
        <w:jc w:val="both"/>
        <w:rPr>
          <w:b/>
          <w:bCs/>
          <w:szCs w:val="20"/>
        </w:rPr>
      </w:pPr>
    </w:p>
    <w:p w:rsidR="00DD08F5" w:rsidRDefault="00DD08F5" w:rsidP="00DD08F5">
      <w:pPr>
        <w:ind w:firstLine="488"/>
        <w:jc w:val="both"/>
      </w:pPr>
      <w:r>
        <w:t xml:space="preserve">Narkotikų kontrolės departamentas prie Lietuvos Respublikos Vyriausybės 2009 metais birželio 10 d. Narkomanijos ir alkoholizmo prevencijos komisijos posėdyje pateikė 2004 – 2008 metų veiklos ataskaitą. </w:t>
      </w:r>
    </w:p>
    <w:p w:rsidR="00DD08F5" w:rsidRDefault="00DD08F5" w:rsidP="00DD08F5">
      <w:pPr>
        <w:ind w:firstLine="488"/>
        <w:jc w:val="both"/>
      </w:pPr>
      <w:r>
        <w:t>Narkotikų kontrolės departamento prie LRV misija - dalyvauti formuojant ir įgyvendinti narkotikų kontrolės ir narkomanijos prevencijos sričių valstybės politiką.</w:t>
      </w:r>
    </w:p>
    <w:p w:rsidR="00DD08F5" w:rsidRDefault="00DD08F5" w:rsidP="00DD08F5">
      <w:pPr>
        <w:ind w:firstLine="488"/>
        <w:jc w:val="both"/>
      </w:pPr>
      <w:r>
        <w:t>Departamentas koordinuoja tarpinstitucinės Narkotikų kontrolės ir narkomanijos prevencijos programos vykdymą. Tarpinstitucinėje programoje numatytus tikslus ir uždavinius įgyvendina kelios institucijos veikiančios skirtingose valdymo srityse (SAM, ŠMM, SADM, VRM, URM, TM, FM ir kt.), todėl ir yra būtina koordinuoti kelių ministerijų valdymo sričių veiklą.</w:t>
      </w: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344E26" w:rsidP="00DD08F5">
      <w:pPr>
        <w:ind w:firstLine="54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v:imagedata r:id="rId107" o:title=""/>
          </v:shape>
        </w:pict>
      </w:r>
    </w:p>
    <w:p w:rsidR="00DD08F5" w:rsidRDefault="00DD08F5" w:rsidP="00DD08F5">
      <w:pPr>
        <w:ind w:firstLine="540"/>
        <w:jc w:val="center"/>
      </w:pPr>
    </w:p>
    <w:p w:rsidR="00DD08F5" w:rsidRDefault="00DD08F5" w:rsidP="00DD08F5">
      <w:pPr>
        <w:ind w:firstLine="540"/>
        <w:jc w:val="both"/>
      </w:pPr>
      <w:r>
        <w:t>Narkotikų kontrolės departamento prie Lietuvos Respublikos Vyriausybės teigimu, koordinuojančios institucijos steigimo pagrindai:</w:t>
      </w:r>
    </w:p>
    <w:p w:rsidR="00DD08F5" w:rsidRDefault="00DD08F5" w:rsidP="00DD08F5">
      <w:pPr>
        <w:pStyle w:val="Pagrindinistekstas"/>
        <w:ind w:firstLine="540"/>
      </w:pPr>
      <w:r>
        <w:t xml:space="preserve">2003 11 12 d. Europos Komisijos komunikatas Europos Parlamentui ir Europos Tarybai  “Narkotikų kontrolės koordinavimas Europos Sąjungoje” (COM/2003/0681), kuriame valstybės narės turi apsvarstyti galimybes sukurti nacionalinį kovos su narkotikais koordinavimo mechanizmą arba jį stiprinti. Koordinavimas yra pagrindinis narkotikų kontrolės politikos elementas; koordinuojanti struktūra būtų efektyvi reikia: būti juridiškai atpažįstama;  turėti aiškias užduotis ir uždavinius; turėti pakankamai resursų (tiek finansinių, tiek žmogiškųjų); EK struktūra turi būti tiesiogiai įtraukta į politikos įgyvendinimą turi turėti finansinių resursų. Ši struktūra taip pat turi atlikti ir strategijų įgyvendinimo vertinimą. </w:t>
      </w:r>
    </w:p>
    <w:p w:rsidR="00DD08F5" w:rsidRDefault="00DD08F5" w:rsidP="00DD08F5">
      <w:pPr>
        <w:pStyle w:val="Pagrindinistekstas"/>
        <w:ind w:firstLine="540"/>
      </w:pPr>
      <w:r>
        <w:t>EP ir ET reglamentas 2006 12 12 Nr. 1920/2006 dėl Europos narkotikų ir narkomanijos stebėsenos centro numato, kad valstybėse narėse turi būti nacionaliniai centrai, kurie sutelktų skirtingų institucijų patirtį, rinktų informaciją apie situaciją, politiką, naujas psichoaktyvias medžiagas ir t.t. Nacionalinės valdžios institucijos turi užtikrinti centrų veiklą.</w:t>
      </w:r>
    </w:p>
    <w:p w:rsidR="00DD08F5" w:rsidRDefault="00DD08F5" w:rsidP="00DD08F5">
      <w:pPr>
        <w:ind w:firstLine="540"/>
        <w:jc w:val="both"/>
      </w:pPr>
      <w:r>
        <w:t>ES Kovos su narkotikais strategija 2000-2004.</w:t>
      </w:r>
    </w:p>
    <w:p w:rsidR="00DD08F5" w:rsidRDefault="00DD08F5" w:rsidP="00DD08F5">
      <w:pPr>
        <w:ind w:firstLine="540"/>
        <w:jc w:val="both"/>
      </w:pPr>
      <w:r>
        <w:t xml:space="preserve">ES Kovos su narkotikais strategija  2005-2015 m. </w:t>
      </w:r>
    </w:p>
    <w:p w:rsidR="00DD08F5" w:rsidRDefault="00DD08F5" w:rsidP="00DD08F5">
      <w:pPr>
        <w:ind w:firstLine="540"/>
        <w:jc w:val="both"/>
      </w:pPr>
      <w:r>
        <w:t xml:space="preserve">Būtina ES šalims stiprinti narkotikų kontrolės politikos, informacijos koordinavimą, gerinti institucinius gebėjimus. </w:t>
      </w:r>
    </w:p>
    <w:p w:rsidR="00DD08F5" w:rsidRDefault="00DD08F5" w:rsidP="00DD08F5">
      <w:pPr>
        <w:ind w:firstLine="540"/>
        <w:jc w:val="both"/>
      </w:pPr>
      <w:r>
        <w:t>Šalyse turi būti nacionalinės institucijos, atsakingos už kovos su narkotikais klausimų ir politikos koordinavimą.</w:t>
      </w:r>
    </w:p>
    <w:p w:rsidR="00DD08F5" w:rsidRDefault="00DD08F5" w:rsidP="00DD08F5">
      <w:pPr>
        <w:ind w:firstLine="540"/>
        <w:jc w:val="both"/>
      </w:pPr>
      <w:r>
        <w:lastRenderedPageBreak/>
        <w:t xml:space="preserve"> ES kovos su narkotikais 2005-2008 m. veiksmų planas.</w:t>
      </w:r>
    </w:p>
    <w:p w:rsidR="00DD08F5" w:rsidRDefault="00DD08F5" w:rsidP="00DD08F5">
      <w:pPr>
        <w:ind w:firstLine="540"/>
        <w:jc w:val="both"/>
      </w:pPr>
      <w:r>
        <w:t>Veiksmingai koordinuoti veiksmus ES ir nacionaliniu lygiu ( VN ir EK sukurti visapusiškai veikiantį koordinavimo mechanizmą, paskirti instituciją ir asmenį koordinatoriumi.</w:t>
      </w:r>
    </w:p>
    <w:p w:rsidR="00DD08F5" w:rsidRDefault="00DD08F5" w:rsidP="00DD08F5">
      <w:pPr>
        <w:ind w:firstLine="540"/>
        <w:jc w:val="both"/>
      </w:pPr>
      <w:r>
        <w:t xml:space="preserve">Teikti patikimus duomenis apie pagrindinius epidemiologinius rodiklius ir padėtį dėl narkotikų. </w:t>
      </w:r>
    </w:p>
    <w:p w:rsidR="00DD08F5" w:rsidRDefault="00DD08F5" w:rsidP="00DD08F5">
      <w:pPr>
        <w:ind w:firstLine="540"/>
        <w:jc w:val="both"/>
      </w:pPr>
      <w:r>
        <w:t xml:space="preserve"> Valstybėms narėms ir Komisijai sukurti visapusiškai veikiantį kovos su narkotikais koordinavimo mechanizmą ir paskirti asmenį, departamentą ar instituciją kovos su narkotikais koordinatoriumi.</w:t>
      </w:r>
    </w:p>
    <w:p w:rsidR="00DD08F5" w:rsidRDefault="00DD08F5" w:rsidP="00DD08F5">
      <w:pPr>
        <w:ind w:firstLine="540"/>
        <w:jc w:val="both"/>
        <w:rPr>
          <w:b/>
          <w:bCs/>
        </w:rPr>
      </w:pPr>
      <w:r>
        <w:t>ES kovos su narkotikais 2009-2012 m. veiksmų planas (2008/C326/09):</w:t>
      </w:r>
    </w:p>
    <w:p w:rsidR="00DD08F5" w:rsidRDefault="00DD08F5" w:rsidP="00DD08F5">
      <w:pPr>
        <w:ind w:firstLine="540"/>
        <w:jc w:val="both"/>
      </w:pPr>
      <w:r>
        <w:t>Užtikrinti efektyvų koordinavimą nacionaliniame lygmenyje – Valstybės narės turi išnagrinėti tarpžinybinį koordinavimą, kad užtikrintų suderintas pozicijas ES lygiu.</w:t>
      </w:r>
    </w:p>
    <w:p w:rsidR="00DD08F5" w:rsidRDefault="00DD08F5" w:rsidP="00DD08F5">
      <w:pPr>
        <w:ind w:firstLine="540"/>
        <w:jc w:val="both"/>
      </w:pPr>
      <w:r>
        <w:t>Valstybės narės turi teikti išteklius REITOX nacionaliniams centrams, įsipareigojimams vykdyti ir užtikrinant kokybės reikalavimus, susijusius su naryste Europos narkotikų ir narkomanijos stebėsenos centre.</w:t>
      </w:r>
    </w:p>
    <w:p w:rsidR="00DD08F5" w:rsidRDefault="00DD08F5" w:rsidP="00DD08F5">
      <w:pPr>
        <w:ind w:firstLine="540"/>
        <w:jc w:val="both"/>
      </w:pPr>
      <w:r>
        <w:t>Narkotikų kontrolės departamento prie Lietuvos Respublikos Vyriausybės duomenimis, Valstybės kontrolės valstybinio audito išvadoje dėl narkotikų kontrolės ir narkomanijos prevencijos koordinavimo 2002 m.  (2002-10-04 Nr. 2010-4) nurodoma, kad:</w:t>
      </w:r>
    </w:p>
    <w:p w:rsidR="00DD08F5" w:rsidRDefault="00DD08F5" w:rsidP="00DD08F5">
      <w:pPr>
        <w:ind w:firstLine="360"/>
        <w:jc w:val="both"/>
      </w:pPr>
      <w:r>
        <w:t>- Vyriausybinės narkotikų kontrolės komisijos (VNKK)  veikla, tobulinant Programą bei jos valdymą, buvo nerezultatyvi.</w:t>
      </w:r>
    </w:p>
    <w:p w:rsidR="00DD08F5" w:rsidRDefault="00DD08F5" w:rsidP="00DD08F5">
      <w:pPr>
        <w:ind w:firstLine="360"/>
        <w:jc w:val="both"/>
      </w:pPr>
      <w:r>
        <w:t xml:space="preserve"> -  Bendradarbiavimas su savivaldos institucijomis praktiškai nevyksta.</w:t>
      </w:r>
    </w:p>
    <w:p w:rsidR="00DD08F5" w:rsidRDefault="00DD08F5" w:rsidP="00DD08F5">
      <w:pPr>
        <w:ind w:firstLine="360"/>
        <w:jc w:val="both"/>
      </w:pPr>
      <w:r>
        <w:t xml:space="preserve"> -  VNKK organizacinė struktūra bei sudėtis yra netinkama efektyviam strateginiam planavimui užtikrinti.</w:t>
      </w:r>
    </w:p>
    <w:p w:rsidR="00DD08F5" w:rsidRDefault="00DD08F5" w:rsidP="00DD08F5">
      <w:pPr>
        <w:ind w:firstLine="360"/>
        <w:jc w:val="both"/>
      </w:pPr>
      <w:r>
        <w:rPr>
          <w:i/>
          <w:iCs/>
        </w:rPr>
        <w:t xml:space="preserve"> - </w:t>
      </w:r>
      <w:r>
        <w:t>VNKK administraciniai pajėgumai nesudaro sąlygų efektyviai vykdyti jos nuostatuose nurodytos veiklos.</w:t>
      </w:r>
    </w:p>
    <w:p w:rsidR="00DD08F5" w:rsidRDefault="00DD08F5" w:rsidP="00DD08F5">
      <w:pPr>
        <w:ind w:firstLine="360"/>
        <w:jc w:val="both"/>
      </w:pPr>
      <w:r>
        <w:t>- VNKK sudėtis neužtikrina efektyvaus komisijos darbo. Egzistuoja pakankamai didelė rizika, kad Komisijos veikloje dalyvaus nepakankamai kompetentingi bei suinteresuoti dalyvavimu posėdžiuose asmenys.</w:t>
      </w:r>
    </w:p>
    <w:p w:rsidR="00DD08F5" w:rsidRDefault="00DD08F5" w:rsidP="00DD08F5">
      <w:pPr>
        <w:ind w:firstLine="360"/>
        <w:jc w:val="both"/>
      </w:pPr>
      <w:r>
        <w:rPr>
          <w:i/>
          <w:iCs/>
        </w:rPr>
        <w:t xml:space="preserve">- </w:t>
      </w:r>
      <w:r>
        <w:t>Valstybinėje visuomenės sveikatos priežiūros tarnyboje prie SAM įsteigtas Nacionalinis narkotikų informacijos biuras. būdamas žinybiniu struktūriniu padaliniu, gali būti nepajėgus užtikrinti tinkamą tarpžinybinį ir tarptautinį bendradarbiavimą.</w:t>
      </w:r>
    </w:p>
    <w:p w:rsidR="00DD08F5" w:rsidRDefault="00DD08F5" w:rsidP="00DD08F5">
      <w:pPr>
        <w:ind w:firstLine="540"/>
        <w:jc w:val="both"/>
      </w:pPr>
      <w:r>
        <w:t>- LRV 2003 08 21 d. nutarimu Nr. 1059 priimamas sprendimas dėl Narkotikų kontrolės departamento prie LRV įsteigimo.</w:t>
      </w:r>
    </w:p>
    <w:p w:rsidR="00DD08F5" w:rsidRDefault="00DD08F5" w:rsidP="00DD08F5">
      <w:pPr>
        <w:ind w:firstLine="540"/>
        <w:jc w:val="both"/>
      </w:pPr>
      <w:r>
        <w:t>- 2003 11 27 d. nutarimu Nr. 1478 patvirtinami Departamento nuostatai.</w:t>
      </w:r>
    </w:p>
    <w:p w:rsidR="00DD08F5" w:rsidRDefault="00DD08F5" w:rsidP="00DD08F5">
      <w:pPr>
        <w:ind w:firstLine="540"/>
        <w:jc w:val="both"/>
        <w:rPr>
          <w:i/>
          <w:iCs/>
        </w:rPr>
      </w:pPr>
      <w:r>
        <w:t>- 2004 metų vasario mėnesį Departamentas pradėjo savo veiklą.</w:t>
      </w:r>
      <w:r>
        <w:rPr>
          <w:i/>
          <w:iCs/>
        </w:rPr>
        <w:t xml:space="preserve"> </w:t>
      </w:r>
    </w:p>
    <w:p w:rsidR="00DD08F5" w:rsidRDefault="00DD08F5" w:rsidP="00DD08F5">
      <w:pPr>
        <w:ind w:firstLine="540"/>
        <w:jc w:val="both"/>
      </w:pPr>
      <w:r>
        <w:t xml:space="preserve">Narkotikų kontrolės departamento prie Lietuvos Respublikos Vyriausybės duomenimis, Valstybės kontrolė 2006 m. atliko valstybinį auditą „Narkomanijos prevencijos ir pagalbos organizavimas“, nagrinėjo Nacionalinės narkotikų kontrolės ir narkomanijos prevencijos 2004–2008 metų programos vykdymą, jo administravimą ir koordinavimą (2006 m. gruodžio 21 d. Nr. VA-10-9P-32). </w:t>
      </w:r>
    </w:p>
    <w:p w:rsidR="00DD08F5" w:rsidRDefault="00DD08F5" w:rsidP="00DD08F5">
      <w:pPr>
        <w:ind w:firstLine="540"/>
        <w:jc w:val="both"/>
      </w:pPr>
      <w:r>
        <w:t xml:space="preserve">Audito ataskaitoje apžvelgiant pokyčius po ankstesnio, 2002 m. atlikto valstybinio audito nurodoma, kad nuo 2004 m. savo veiklą pradėjo Narkotikų kontrolės departamentas prie Lietuvos Respublikos Vyriausybės (toliau – Departamentas), siekdamas tobulinti ir geriau koordinuoti valstybės ir savivaldybių institucijų bei įstaigų veiklą narkomanijos prevencijos ir narkotikų kontrolės srityje. Atlikdamas pavestas funkcijas, Departamentas kasmet rengia ir teikia Vyriausybei tvirtinti Programos priemonių planus, rengia priemonių įgyvendinimo ataskaitas. Be to, Departamentas vykdo kai kurias Programos priemones. Visose savivaldybėse įsteigtos Savivaldybių narkotikų kontrolės komisijos.  Departamentas bendradarbiauja su Europos narkotikų ir narkomanijos stebėsenos centru. </w:t>
      </w:r>
    </w:p>
    <w:p w:rsidR="00DD08F5" w:rsidRDefault="00DD08F5" w:rsidP="00DD08F5">
      <w:pPr>
        <w:ind w:firstLine="540"/>
        <w:jc w:val="both"/>
      </w:pPr>
      <w:r>
        <w:t>Valstybės kontrolė 2006 m. atlikus valstybino auditą, ataskaitoje Nacionalinės narkotikų kontrolės ir narkomanijos prevencijos 2004–2008 metų programos koordinavimui gerinti, rekomendacijų nepateikė.</w:t>
      </w:r>
    </w:p>
    <w:p w:rsidR="00DD08F5" w:rsidRDefault="00DD08F5" w:rsidP="00DD08F5">
      <w:pPr>
        <w:ind w:firstLine="540"/>
        <w:jc w:val="both"/>
      </w:pPr>
      <w:r>
        <w:t>Lietuvos Respublikos socialinės apsaugos ir darbo ministerija  2008 m. spalio 23 d. atliko</w:t>
      </w:r>
      <w:r>
        <w:rPr>
          <w:b/>
          <w:bCs/>
        </w:rPr>
        <w:t xml:space="preserve"> </w:t>
      </w:r>
      <w:r>
        <w:t xml:space="preserve"> ESF 2.3 priemonės projekto „Asmenų, vartojančių narkotines ir psichotropines medžiagas, reabilitacija ir socialinė reintegracija, novatoriško socialinių paslaugų modulio kūrimas“ auditą ir teigiamai įvertino vykdytas priemones. </w:t>
      </w:r>
    </w:p>
    <w:p w:rsidR="00DD08F5" w:rsidRDefault="00DD08F5" w:rsidP="00DD08F5">
      <w:pPr>
        <w:ind w:firstLine="540"/>
        <w:jc w:val="both"/>
      </w:pPr>
      <w:r>
        <w:t>Kasmet Departamente atliekamas veikloje nepriklausomas lėšų ir finansinis auditas dėl veiklos susijusios su</w:t>
      </w:r>
      <w:r>
        <w:rPr>
          <w:b/>
          <w:bCs/>
        </w:rPr>
        <w:t xml:space="preserve"> </w:t>
      </w:r>
      <w:r>
        <w:t xml:space="preserve"> dalyvavimu Europos narkotikų ir narkomanijos stebėsenos centro veikloje.Departamento veikla vertinama teigiamai. </w:t>
      </w:r>
    </w:p>
    <w:p w:rsidR="00DD08F5" w:rsidRDefault="00DD08F5" w:rsidP="00DD08F5">
      <w:pPr>
        <w:ind w:firstLine="540"/>
        <w:jc w:val="both"/>
        <w:rPr>
          <w:b/>
          <w:bCs/>
        </w:rPr>
      </w:pPr>
      <w:r>
        <w:lastRenderedPageBreak/>
        <w:t>Narkotikų kontrolės departamentas prie Lietuvos Respublikos Vyriausybės:</w:t>
      </w:r>
    </w:p>
    <w:p w:rsidR="00DD08F5" w:rsidRDefault="00DD08F5" w:rsidP="00DD08F5">
      <w:pPr>
        <w:ind w:firstLine="540"/>
        <w:jc w:val="both"/>
      </w:pPr>
      <w:r>
        <w:t>1. Koordinuoja Nacionalinės narkotikų kontrolės ir narkomanijos prevencijos programos priemonių vykdymą;</w:t>
      </w:r>
    </w:p>
    <w:p w:rsidR="00DD08F5" w:rsidRDefault="00DD08F5" w:rsidP="00DD08F5">
      <w:pPr>
        <w:ind w:firstLine="540"/>
        <w:jc w:val="both"/>
      </w:pPr>
      <w:r>
        <w:t>2. Organizuoja bendrąją, atrankinę ir tikslinę  psichoaktyvių medžiagų vartojimo prevenciją, jos vertinimą, ankstyvosios intervencijos paslaugas, rengia metodikas, organizuoja specialistų mokymus.</w:t>
      </w:r>
    </w:p>
    <w:p w:rsidR="00DD08F5" w:rsidRDefault="00DD08F5" w:rsidP="00DD08F5">
      <w:pPr>
        <w:ind w:firstLine="540"/>
        <w:jc w:val="both"/>
      </w:pPr>
      <w:r>
        <w:t>3. Organizuoja psichologinės ir socialinės reabilitacijos, reintegracijos paslaugų teikimą, gerina jų prieinamumą ir plėtrą, rengia metodikas, organizuoja specialistų mokymus.</w:t>
      </w:r>
    </w:p>
    <w:p w:rsidR="00DD08F5" w:rsidRDefault="00DD08F5" w:rsidP="00DD08F5">
      <w:pPr>
        <w:ind w:firstLine="540"/>
        <w:jc w:val="both"/>
      </w:pPr>
      <w:r>
        <w:t>4. Didina sveikatos priežiūros ir socialinių paslaugų prieinamumą padidintos rizikos asmenims, vartojantiems narkotines ir psichotropines medžiagas.</w:t>
      </w:r>
    </w:p>
    <w:p w:rsidR="00DD08F5" w:rsidRDefault="00DD08F5" w:rsidP="00DD08F5">
      <w:pPr>
        <w:ind w:firstLine="540"/>
        <w:jc w:val="both"/>
      </w:pPr>
      <w:r>
        <w:t>5. Vykdo subjektų, kurie gamina, laiko, naudoja, importuoja arba eksportuoja narkotinių ir psichotropinių medžiagų pirmtakus (prekursorius), verčiasi jų didmenine prekyba licencijavimą ir kontrolę.</w:t>
      </w:r>
    </w:p>
    <w:p w:rsidR="00DD08F5" w:rsidRDefault="00DD08F5" w:rsidP="00DD08F5">
      <w:pPr>
        <w:ind w:firstLine="540"/>
        <w:jc w:val="both"/>
      </w:pPr>
      <w:r>
        <w:t>6. Užtikrina informacijos apie naujų psichoaktyvių medžiagų atsiradimą pasikeitimą ir rizikos vertinimą pagal ES reikalavimus.</w:t>
      </w:r>
    </w:p>
    <w:p w:rsidR="00DD08F5" w:rsidRDefault="00DD08F5" w:rsidP="00DD08F5">
      <w:pPr>
        <w:ind w:firstLine="540"/>
        <w:jc w:val="both"/>
      </w:pPr>
      <w:r>
        <w:t>7. Vykdo narkotinių ir psichotropinių medžiagų vartojimo, jo padarinių stebėseną, atlieka mokslinius tyrimus.</w:t>
      </w:r>
    </w:p>
    <w:p w:rsidR="00DD08F5" w:rsidRDefault="00DD08F5" w:rsidP="00DD08F5">
      <w:pPr>
        <w:ind w:firstLine="540"/>
        <w:jc w:val="both"/>
      </w:pPr>
      <w:r>
        <w:t>8. Atstovauja ES institucijose, tarptautinėse organizacijose nagrinėjamais klausimais, dalyvauja įgyvendinant tarptautinius projektus.</w:t>
      </w:r>
    </w:p>
    <w:p w:rsidR="00DD08F5" w:rsidRDefault="00DD08F5" w:rsidP="00DD08F5">
      <w:pPr>
        <w:ind w:firstLine="540"/>
        <w:jc w:val="both"/>
      </w:pPr>
      <w:r>
        <w:t>Narkotikų kontrolės departamentas prie Lietuvos Respublikos Vyriausybės koordinuoja:</w:t>
      </w:r>
    </w:p>
    <w:p w:rsidR="00DD08F5" w:rsidRDefault="00DD08F5" w:rsidP="00DD08F5">
      <w:pPr>
        <w:ind w:left="360" w:firstLine="180"/>
        <w:jc w:val="both"/>
      </w:pPr>
      <w:r>
        <w:t>Nacionalinės narkotikų kontrolės ir narkomanijos prevencijos programos 2004-2008 m.  Programos priemonių vykdymą, ataskaitų rengimą;</w:t>
      </w:r>
    </w:p>
    <w:p w:rsidR="00DD08F5" w:rsidRDefault="00DD08F5" w:rsidP="00DD08F5">
      <w:pPr>
        <w:ind w:left="360" w:firstLine="180"/>
        <w:jc w:val="both"/>
      </w:pPr>
      <w:r>
        <w:t>ES Kovos su narkotikais strategijos 2005– 2012 m. ir ES kovos su narkotikais veiksmų plano 2005-2008 m., 2009-2012 m. įgyvendinimą;</w:t>
      </w:r>
    </w:p>
    <w:p w:rsidR="00DD08F5" w:rsidRDefault="00DD08F5" w:rsidP="00DD08F5">
      <w:pPr>
        <w:ind w:left="360" w:firstLine="180"/>
        <w:jc w:val="both"/>
      </w:pPr>
      <w:r>
        <w:t>Nacionalinės narkotikų kontrolės ir narkomanijos prevencijos programos 2009-2016 m. projekto rengimą ir derinimą;</w:t>
      </w:r>
    </w:p>
    <w:p w:rsidR="00DD08F5" w:rsidRDefault="00DD08F5" w:rsidP="00DD08F5">
      <w:pPr>
        <w:ind w:left="360" w:firstLine="180"/>
        <w:jc w:val="both"/>
      </w:pPr>
      <w:r>
        <w:t xml:space="preserve">bendradarbiavimą su valstybės institucijomis, savivaldybių administracijomis, asociacijomis, informacijos rinkimą ir sklaidą; </w:t>
      </w:r>
    </w:p>
    <w:p w:rsidR="00DD08F5" w:rsidRDefault="00DD08F5" w:rsidP="00DD08F5">
      <w:pPr>
        <w:ind w:left="360" w:firstLine="180"/>
        <w:jc w:val="both"/>
      </w:pPr>
      <w:r>
        <w:t xml:space="preserve">ES Tarybos narkotikų kontrolės darbo grupei pozicijų rengimą; </w:t>
      </w:r>
    </w:p>
    <w:p w:rsidR="00DD08F5" w:rsidRDefault="00DD08F5" w:rsidP="00DD08F5">
      <w:pPr>
        <w:ind w:left="360" w:firstLine="180"/>
        <w:jc w:val="both"/>
      </w:pPr>
      <w:r>
        <w:t>Atstovavimą ES institucijų Valdymo organuose (ENNSC Valdymo taryba ir biudžeto komitetas);</w:t>
      </w:r>
    </w:p>
    <w:p w:rsidR="00DD08F5" w:rsidRDefault="00DD08F5" w:rsidP="00DD08F5">
      <w:pPr>
        <w:ind w:left="360" w:firstLine="180"/>
        <w:jc w:val="both"/>
      </w:pPr>
      <w:r>
        <w:t xml:space="preserve">Atstovavimą JT Narkotikų kontrolės komisijoje;  </w:t>
      </w:r>
    </w:p>
    <w:p w:rsidR="00DD08F5" w:rsidRDefault="00DD08F5" w:rsidP="00DD08F5">
      <w:pPr>
        <w:ind w:left="360" w:firstLine="180"/>
        <w:jc w:val="both"/>
      </w:pPr>
      <w:r>
        <w:t>Atstovauti 2008-01-01 Lietuvą išrinkus JT Narkotikų kontrolės komisijos nare, CND biuro nare (skirtas pirmininkavimą 52 sesijoje bei Ministrų konferencijoje 2009 m. Vienoje);</w:t>
      </w:r>
    </w:p>
    <w:p w:rsidR="00DD08F5" w:rsidRDefault="00DD08F5" w:rsidP="00DD08F5">
      <w:pPr>
        <w:ind w:left="360" w:firstLine="180"/>
        <w:jc w:val="both"/>
      </w:pPr>
      <w:r>
        <w:t>Atstovavimą tarptautinėse organizacijose ir jų institucijose (EMCDDA, HDG, REITOX, JT, ET Pompidou grupė ir kt.);</w:t>
      </w:r>
    </w:p>
    <w:p w:rsidR="00DD08F5" w:rsidRDefault="00DD08F5" w:rsidP="00DD08F5">
      <w:pPr>
        <w:ind w:left="360" w:firstLine="180"/>
        <w:jc w:val="both"/>
      </w:pPr>
      <w:r>
        <w:t xml:space="preserve">Tarptautinių konferencijų,  seminarų organizavimą. </w:t>
      </w:r>
    </w:p>
    <w:p w:rsidR="00DD08F5" w:rsidRDefault="00DD08F5" w:rsidP="00DD08F5">
      <w:pPr>
        <w:ind w:firstLine="540"/>
        <w:jc w:val="both"/>
      </w:pPr>
      <w:r>
        <w:t>Narkotikų kontrolės departamento prie LRV duomenimis, vykdant narkomanijos prevencija, nuo 2006 m. siekiama, kad pirminė prevencija apimtų visų psichoaktyvių medžiagų vartojimą.  Atskirai įgyvendinamos programos yra neveiksmingos ir finansiškai brangios. Prevencija kaip atsitiktinė informacija neduoda sėkmingų rezultatų. Psichoaktyvių medžiagų vartojimo prevencija turi būti sveikos gyvensenos ugdymo sudedamoji dalis ir į mokymo kursą turi būti įtraukiama kaip privaloma ir atskira disciplina. LR švietimo ir mokslo ministro 2006 m. kovo 17 d. įsakymu Nr. ISAK - 494 patvirtinta Alkoholio, tabako, ir kitų psichiką veikiančių medžiagų vartojimo prevencijos programa, kuria siekiama užtikrinti bendrosios prevencinės veiklos veiksmingumą.  Prevencijai skirtos 5 val. per mokslo metus.</w:t>
      </w:r>
    </w:p>
    <w:p w:rsidR="00DD08F5" w:rsidRDefault="00DD08F5" w:rsidP="00DD08F5">
      <w:pPr>
        <w:ind w:firstLine="540"/>
        <w:jc w:val="both"/>
      </w:pPr>
      <w:r>
        <w:t xml:space="preserve">Nuo 2006 m. vykdoma universali, atrankinė, tikslinė prevencija bei ankstyvoji intervencija. Vykdyti patikrinimai projektų įgyvendinimo vietose, įgyvendintų psichoaktyviųjų medžiagų vartojimo prevencijos projektų vertinimas, parengtos rekomendacijos, vykdomi mokymą, internetinė psichoaktyvių medžiagų vartojimo prevencijos projektų informacinė sistema. </w:t>
      </w:r>
    </w:p>
    <w:p w:rsidR="00DD08F5" w:rsidRDefault="00DD08F5" w:rsidP="00DD08F5">
      <w:pPr>
        <w:ind w:firstLine="360"/>
        <w:jc w:val="both"/>
      </w:pPr>
      <w:r>
        <w:t xml:space="preserve">Parengti metodiniai informaciniai leidiniai: </w:t>
      </w:r>
    </w:p>
    <w:p w:rsidR="00DD08F5" w:rsidRDefault="00DD08F5" w:rsidP="00DD08F5">
      <w:pPr>
        <w:ind w:firstLine="360"/>
        <w:jc w:val="both"/>
      </w:pPr>
      <w:r>
        <w:t xml:space="preserve">Vaiko, tėvų, pedagogų teisės, pareigos ir atsakomybė; Kaip vertinti prevencijos efektyvumą; lankstinukai tėvams kaip elgtis, kad vaikas nepradėtų vartoti narkotikų; Vaikų gyvenimo įgūdžių ugdymas, Reintegracija į visuomenę ir socialinės atskirties problemų sprendimas - metodika. Veikia Specializuotos interneto svetainės jaunimui, tėvams ir pedagogams. Buvo vykdytos informacinės prevencinės kampanijos „Pamiršk”, “Pramogos be narkotikų”, visuomenės informavimas. Vyko specialistų, savivaldybių narkotikų kontrolės komisijų, pedagogų, bendruomenių mokymai pagal </w:t>
      </w:r>
      <w:r>
        <w:lastRenderedPageBreak/>
        <w:t>parengtas programas. Skaityti pranešimai kitų institucijų organizuojamuose konferencijose, seminaruose, mokymuose.  Visuomenės informavimas - pranešimai spaudai, spaudos konferencijos.</w:t>
      </w:r>
    </w:p>
    <w:p w:rsidR="00DD08F5" w:rsidRDefault="00DD08F5" w:rsidP="00DD08F5">
      <w:pPr>
        <w:ind w:firstLine="540"/>
        <w:jc w:val="both"/>
      </w:pPr>
      <w:r>
        <w:tab/>
        <w:t>Narkotikų kontrolės departamento prie LRV duomenimis, pagal parengtą Psichoaktyvių medžiagų vartojimo prevencijos mokymo programą mokinių tėvams turi būti rengiama metodinė medžiaga bei organizuojami mokymai pedagogams dirbti pagal parengtą metodinę medžiagą. Turi būti  ankstyvosios intervencijos metodikos taikymas.</w:t>
      </w:r>
    </w:p>
    <w:p w:rsidR="00DD08F5" w:rsidRDefault="00DD08F5" w:rsidP="00DD08F5">
      <w:pPr>
        <w:ind w:firstLine="540"/>
        <w:jc w:val="both"/>
      </w:pPr>
      <w:r>
        <w:t>Narkotikų kontrolės departamento prie LRV duomenimis, vadovaujantis Lietuvos Respublikos Vyriausybės 2005 05 30 nutarimu Nr. 591 “Dėl Narkotinių ir psichotropinių medžiagų vartojimo, jo padarinių bei narkotinių ir psichotropinių medžiagų ir jų pirmtakų apyvartos stebėsenos tvarkos aprašo patvirtinimo” ir 2006 12 12 EP ir ET reglamentu Nr. 1920/2006 dėl Europos narkotikų ir narkomanijos stebėsenos centro, nuo 2007 m. Departamentas paskirtas ENNSC  informacinio tinklo (Reitox) nacionaliniu centru.</w:t>
      </w:r>
    </w:p>
    <w:p w:rsidR="00DD08F5" w:rsidRDefault="00DD08F5" w:rsidP="00DD08F5">
      <w:pPr>
        <w:ind w:firstLine="540"/>
        <w:jc w:val="both"/>
      </w:pPr>
    </w:p>
    <w:tbl>
      <w:tblPr>
        <w:tblW w:w="7860" w:type="dxa"/>
        <w:tblCellSpacing w:w="0" w:type="dxa"/>
        <w:tblCellMar>
          <w:left w:w="0" w:type="dxa"/>
          <w:right w:w="0" w:type="dxa"/>
        </w:tblCellMar>
        <w:tblLook w:val="0000" w:firstRow="0" w:lastRow="0" w:firstColumn="0" w:lastColumn="0" w:noHBand="0" w:noVBand="0"/>
      </w:tblPr>
      <w:tblGrid>
        <w:gridCol w:w="5552"/>
        <w:gridCol w:w="2308"/>
      </w:tblGrid>
      <w:tr w:rsidR="00DD08F5" w:rsidTr="004F7425">
        <w:trPr>
          <w:trHeight w:val="240"/>
          <w:tblCellSpacing w:w="0" w:type="dxa"/>
        </w:trPr>
        <w:tc>
          <w:tcPr>
            <w:tcW w:w="5565" w:type="dxa"/>
            <w:tcBorders>
              <w:top w:val="single" w:sz="12" w:space="0" w:color="000000"/>
              <w:left w:val="single" w:sz="12" w:space="0" w:color="000000"/>
              <w:bottom w:val="single" w:sz="6" w:space="0" w:color="000000"/>
              <w:right w:val="single" w:sz="6" w:space="0" w:color="000000"/>
            </w:tcBorders>
          </w:tcPr>
          <w:p w:rsidR="00DD08F5" w:rsidRDefault="00DD08F5" w:rsidP="004F7425">
            <w:pPr>
              <w:ind w:firstLine="540"/>
            </w:pPr>
            <w:r>
              <w:t>Rodiklio pavadinimas</w:t>
            </w:r>
          </w:p>
        </w:tc>
        <w:tc>
          <w:tcPr>
            <w:tcW w:w="2310" w:type="dxa"/>
            <w:tcBorders>
              <w:top w:val="single" w:sz="12" w:space="0" w:color="000000"/>
              <w:left w:val="single" w:sz="6" w:space="0" w:color="000000"/>
              <w:bottom w:val="single" w:sz="6" w:space="0" w:color="000000"/>
              <w:right w:val="single" w:sz="12" w:space="0" w:color="000000"/>
            </w:tcBorders>
          </w:tcPr>
          <w:p w:rsidR="00DD08F5" w:rsidRDefault="00DD08F5" w:rsidP="004F7425">
            <w:pPr>
              <w:ind w:firstLine="540"/>
            </w:pPr>
            <w:r>
              <w:t>Duomenys</w:t>
            </w:r>
          </w:p>
        </w:tc>
      </w:tr>
      <w:tr w:rsidR="00DD08F5" w:rsidTr="004F7425">
        <w:trPr>
          <w:trHeight w:val="405"/>
          <w:tblCellSpacing w:w="0" w:type="dxa"/>
        </w:trPr>
        <w:tc>
          <w:tcPr>
            <w:tcW w:w="5565"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1. Psichoaktyvių medžiagų vartojimo paplitimas tarp šalies gyventojų ir jų grupių</w:t>
            </w:r>
          </w:p>
        </w:tc>
        <w:tc>
          <w:tcPr>
            <w:tcW w:w="2310"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LTP (2004) – 8,2%,</w:t>
            </w:r>
          </w:p>
          <w:p w:rsidR="00DD08F5" w:rsidRDefault="00DD08F5" w:rsidP="004F7425">
            <w:pPr>
              <w:ind w:firstLine="540"/>
            </w:pPr>
            <w:r>
              <w:t>LTP (2008) – 12%</w:t>
            </w:r>
          </w:p>
        </w:tc>
      </w:tr>
      <w:tr w:rsidR="00DD08F5" w:rsidTr="004F7425">
        <w:trPr>
          <w:trHeight w:val="240"/>
          <w:tblCellSpacing w:w="0" w:type="dxa"/>
        </w:trPr>
        <w:tc>
          <w:tcPr>
            <w:tcW w:w="5565"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2.  Probleminis narkotikų vartojimas (ilgalaikis švirkščiamųjų narkotikų vartojimas)</w:t>
            </w:r>
          </w:p>
        </w:tc>
        <w:tc>
          <w:tcPr>
            <w:tcW w:w="2310"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6000-7000 asm. (2008)</w:t>
            </w:r>
          </w:p>
        </w:tc>
      </w:tr>
      <w:tr w:rsidR="00DD08F5" w:rsidTr="004F7425">
        <w:trPr>
          <w:trHeight w:val="360"/>
          <w:tblCellSpacing w:w="0" w:type="dxa"/>
        </w:trPr>
        <w:tc>
          <w:tcPr>
            <w:tcW w:w="5565"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3.  Užkrečiamųjų ligų paplitimas tarp švirkščiamųjų narkotikų vartotojų (ŽIV, hepatitas)</w:t>
            </w:r>
          </w:p>
        </w:tc>
        <w:tc>
          <w:tcPr>
            <w:tcW w:w="2310"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8-11 proc. ŽIV (2008)</w:t>
            </w:r>
          </w:p>
        </w:tc>
      </w:tr>
      <w:tr w:rsidR="00DD08F5" w:rsidTr="004F7425">
        <w:trPr>
          <w:trHeight w:val="570"/>
          <w:tblCellSpacing w:w="0" w:type="dxa"/>
        </w:trPr>
        <w:tc>
          <w:tcPr>
            <w:tcW w:w="5565"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4. Mirčių, susijusių su narkotinių ir psichotropinių medžiagų vartojimu, sk.</w:t>
            </w:r>
          </w:p>
        </w:tc>
        <w:tc>
          <w:tcPr>
            <w:tcW w:w="2310"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72 asm. (2007)</w:t>
            </w:r>
          </w:p>
          <w:p w:rsidR="00DD08F5" w:rsidRDefault="00DD08F5" w:rsidP="004F7425">
            <w:pPr>
              <w:ind w:firstLine="540"/>
            </w:pPr>
            <w:r>
              <w:t>60  asm. (2008)</w:t>
            </w:r>
          </w:p>
        </w:tc>
      </w:tr>
      <w:tr w:rsidR="00DD08F5" w:rsidTr="004F7425">
        <w:trPr>
          <w:trHeight w:val="405"/>
          <w:tblCellSpacing w:w="0" w:type="dxa"/>
        </w:trPr>
        <w:tc>
          <w:tcPr>
            <w:tcW w:w="5565"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5. Gydymo paslaugų dėl priklausomybės narkotinėms ir psichotropinėms medžiagoms poreikio nustatymas</w:t>
            </w:r>
          </w:p>
        </w:tc>
        <w:tc>
          <w:tcPr>
            <w:tcW w:w="2310"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Sergamumas – 9,4/100 tūkst. gyv.(2007)</w:t>
            </w:r>
          </w:p>
          <w:p w:rsidR="00DD08F5" w:rsidRDefault="00DD08F5" w:rsidP="004F7425">
            <w:pPr>
              <w:ind w:firstLine="540"/>
            </w:pPr>
            <w:r>
              <w:t>Pacientų charakteristikos</w:t>
            </w:r>
          </w:p>
        </w:tc>
      </w:tr>
      <w:tr w:rsidR="00DD08F5" w:rsidTr="004F7425">
        <w:trPr>
          <w:trHeight w:val="465"/>
          <w:tblCellSpacing w:w="0" w:type="dxa"/>
        </w:trPr>
        <w:tc>
          <w:tcPr>
            <w:tcW w:w="5565" w:type="dxa"/>
            <w:tcBorders>
              <w:top w:val="single" w:sz="6" w:space="0" w:color="000000"/>
              <w:left w:val="single" w:sz="12" w:space="0" w:color="000000"/>
              <w:bottom w:val="single" w:sz="12" w:space="0" w:color="000000"/>
              <w:right w:val="single" w:sz="6" w:space="0" w:color="000000"/>
            </w:tcBorders>
          </w:tcPr>
          <w:p w:rsidR="00DD08F5" w:rsidRDefault="00DD08F5" w:rsidP="004F7425">
            <w:pPr>
              <w:ind w:firstLine="540"/>
            </w:pPr>
            <w:r>
              <w:rPr>
                <w:i/>
                <w:iCs/>
              </w:rPr>
              <w:t>Neteisėtos narkotinių ir psichotropinių medžiagų, jų pirmtakų (prekursorių) apyvartos indikatoriai (nusikalstamų veikų skaičius,  konfiskuotų medžiagų kiekiai, grynumas ir kt.)</w:t>
            </w:r>
          </w:p>
        </w:tc>
        <w:tc>
          <w:tcPr>
            <w:tcW w:w="2310" w:type="dxa"/>
            <w:tcBorders>
              <w:top w:val="single" w:sz="6" w:space="0" w:color="000000"/>
              <w:left w:val="single" w:sz="6" w:space="0" w:color="000000"/>
              <w:bottom w:val="single" w:sz="12" w:space="0" w:color="000000"/>
              <w:right w:val="single" w:sz="12" w:space="0" w:color="000000"/>
            </w:tcBorders>
          </w:tcPr>
          <w:p w:rsidR="00DD08F5" w:rsidRDefault="00DD08F5" w:rsidP="004F7425">
            <w:pPr>
              <w:ind w:firstLine="540"/>
            </w:pPr>
            <w:r>
              <w:t>sudaro apie 2 proc. visų šalyje užregistruotų nusikalstamų veikų</w:t>
            </w:r>
          </w:p>
        </w:tc>
      </w:tr>
    </w:tbl>
    <w:p w:rsidR="00DD08F5" w:rsidRDefault="00DD08F5" w:rsidP="00DD08F5">
      <w:pPr>
        <w:ind w:firstLine="540"/>
        <w:jc w:val="center"/>
      </w:pPr>
    </w:p>
    <w:p w:rsidR="00DD08F5" w:rsidRDefault="00DD08F5" w:rsidP="00DD08F5">
      <w:pPr>
        <w:ind w:firstLine="540"/>
        <w:jc w:val="both"/>
      </w:pPr>
      <w:r>
        <w:t>Narkotikų kontrolės departamento prie LRV duomenimis, atlikti tyrimai:</w:t>
      </w:r>
    </w:p>
    <w:p w:rsidR="00DD08F5" w:rsidRDefault="00DD08F5" w:rsidP="00DD08F5">
      <w:pPr>
        <w:numPr>
          <w:ilvl w:val="0"/>
          <w:numId w:val="21"/>
        </w:numPr>
        <w:jc w:val="both"/>
      </w:pPr>
      <w:r>
        <w:t>“Psichoaktyvių medžiagų vartojimo paplitimas bendrojoje populiacijoje”, 2004, 2008</w:t>
      </w:r>
    </w:p>
    <w:p w:rsidR="00DD08F5" w:rsidRDefault="00DD08F5" w:rsidP="00DD08F5">
      <w:pPr>
        <w:numPr>
          <w:ilvl w:val="0"/>
          <w:numId w:val="21"/>
        </w:numPr>
        <w:jc w:val="both"/>
      </w:pPr>
      <w:r>
        <w:t>“Psichoaktyviųjų medžiagų vartojimo paplitimas tarp didžiųjų Lietuvos miestų aukštųjų mokyklų studentų”, 2008</w:t>
      </w:r>
    </w:p>
    <w:p w:rsidR="00DD08F5" w:rsidRDefault="00DD08F5" w:rsidP="00DD08F5">
      <w:pPr>
        <w:numPr>
          <w:ilvl w:val="0"/>
          <w:numId w:val="21"/>
        </w:numPr>
        <w:jc w:val="both"/>
      </w:pPr>
      <w:r>
        <w:t>“Psichoaktyviųjų medžiagų vartojimo paplitimas tarp naktinių klubų lankytojų”, 2008</w:t>
      </w:r>
    </w:p>
    <w:p w:rsidR="00DD08F5" w:rsidRDefault="00DD08F5" w:rsidP="00DD08F5">
      <w:pPr>
        <w:numPr>
          <w:ilvl w:val="0"/>
          <w:numId w:val="21"/>
        </w:numPr>
        <w:jc w:val="both"/>
      </w:pPr>
      <w:r>
        <w:t>“Probleminių narkotikų vartojimo paplitimas”, 2008</w:t>
      </w:r>
    </w:p>
    <w:p w:rsidR="00DD08F5" w:rsidRDefault="00DD08F5" w:rsidP="00DD08F5">
      <w:pPr>
        <w:numPr>
          <w:ilvl w:val="0"/>
          <w:numId w:val="21"/>
        </w:numPr>
        <w:jc w:val="both"/>
      </w:pPr>
      <w:r>
        <w:t>“Pakaitinio gydymo dalyvių charakteristikos” 2007-2008</w:t>
      </w:r>
    </w:p>
    <w:p w:rsidR="00DD08F5" w:rsidRDefault="00DD08F5" w:rsidP="00DD08F5">
      <w:pPr>
        <w:numPr>
          <w:ilvl w:val="0"/>
          <w:numId w:val="21"/>
        </w:numPr>
        <w:jc w:val="both"/>
      </w:pPr>
      <w:r>
        <w:t>“Psichoaktyviųjų medžiagų vartojimo paplitimas vaikų globos namuose”, 2006</w:t>
      </w:r>
    </w:p>
    <w:p w:rsidR="00DD08F5" w:rsidRDefault="00DD08F5" w:rsidP="00DD08F5">
      <w:pPr>
        <w:numPr>
          <w:ilvl w:val="0"/>
          <w:numId w:val="21"/>
        </w:numPr>
        <w:jc w:val="both"/>
      </w:pPr>
      <w:r>
        <w:t>Atliktas šalyje vykdomų kvalifikacijos tobulinimo programų, skirtų sveikatos priežiūros specialistams, socialiniams darbuotojams, socialiniams pedagogams, psichologams, policijos pareigūnams, teisėjams rengti, poreikio tyrimas ir parengtos kvalifikacijos tobulinimo programų rengimo rekomendacijos, 2008</w:t>
      </w:r>
    </w:p>
    <w:p w:rsidR="00DD08F5" w:rsidRDefault="00DD08F5" w:rsidP="00DD08F5">
      <w:pPr>
        <w:numPr>
          <w:ilvl w:val="0"/>
          <w:numId w:val="21"/>
        </w:numPr>
        <w:jc w:val="both"/>
      </w:pPr>
      <w:r>
        <w:t xml:space="preserve">Vaikų, vartojančių psichoaktyvias medžiagas, psichologinės ir socialinės reabilitacijos paslaugų teikimo būdų, metodų ir galimybių analizė bei poreikio nustatymo metodika, 2006 </w:t>
      </w:r>
    </w:p>
    <w:p w:rsidR="00DD08F5" w:rsidRDefault="00DD08F5" w:rsidP="00DD08F5">
      <w:pPr>
        <w:numPr>
          <w:ilvl w:val="0"/>
          <w:numId w:val="21"/>
        </w:numPr>
        <w:jc w:val="both"/>
      </w:pPr>
      <w:r>
        <w:t xml:space="preserve">Nacionalinės narkotikų kontrolės ir narkomanijos prevencijos 2004-2008 metų programos vertinimo metodika. </w:t>
      </w:r>
    </w:p>
    <w:p w:rsidR="00DD08F5" w:rsidRDefault="00DD08F5" w:rsidP="00DD08F5">
      <w:pPr>
        <w:jc w:val="center"/>
      </w:pPr>
      <w:r>
        <w:t>Narkotikų kontrolės departamento prie LRV duomenimis, išleisti:</w:t>
      </w:r>
    </w:p>
    <w:p w:rsidR="00DD08F5" w:rsidRDefault="00DD08F5" w:rsidP="00DD08F5">
      <w:pPr>
        <w:numPr>
          <w:ilvl w:val="0"/>
          <w:numId w:val="22"/>
        </w:numPr>
        <w:jc w:val="both"/>
      </w:pPr>
      <w:r>
        <w:t>Metiniai pranešimai, 2004, 2005, 2006, 2007, 2008 m.</w:t>
      </w:r>
    </w:p>
    <w:p w:rsidR="00DD08F5" w:rsidRDefault="00DD08F5" w:rsidP="00DD08F5">
      <w:pPr>
        <w:numPr>
          <w:ilvl w:val="0"/>
          <w:numId w:val="22"/>
        </w:numPr>
        <w:jc w:val="both"/>
      </w:pPr>
      <w:r>
        <w:t>Psichoaktyvių medžiagų  vartojimo paplitimas Lietuvoje, 2009</w:t>
      </w:r>
    </w:p>
    <w:p w:rsidR="00DD08F5" w:rsidRDefault="00DD08F5" w:rsidP="00DD08F5">
      <w:pPr>
        <w:numPr>
          <w:ilvl w:val="0"/>
          <w:numId w:val="22"/>
        </w:numPr>
        <w:jc w:val="both"/>
      </w:pPr>
      <w:r>
        <w:t>Narkotikų kontrolė ir narkomanijos prevencija 2008 m., 2009. Naudinga informacija</w:t>
      </w:r>
    </w:p>
    <w:p w:rsidR="00DD08F5" w:rsidRDefault="00DD08F5" w:rsidP="00DD08F5">
      <w:pPr>
        <w:numPr>
          <w:ilvl w:val="0"/>
          <w:numId w:val="22"/>
        </w:numPr>
        <w:jc w:val="both"/>
      </w:pPr>
      <w:r>
        <w:t>Kartu su vaiku. Informacinis leidinys tėvams, 2009</w:t>
      </w:r>
    </w:p>
    <w:p w:rsidR="00DD08F5" w:rsidRDefault="00DD08F5" w:rsidP="00DD08F5">
      <w:pPr>
        <w:numPr>
          <w:ilvl w:val="0"/>
          <w:numId w:val="22"/>
        </w:numPr>
        <w:jc w:val="both"/>
      </w:pPr>
      <w:r>
        <w:lastRenderedPageBreak/>
        <w:t>Vaiko gyvenimo įgūdžių ugdymas, Metodinė medžiaga, 2009</w:t>
      </w:r>
    </w:p>
    <w:p w:rsidR="00DD08F5" w:rsidRDefault="00DD08F5" w:rsidP="00DD08F5">
      <w:pPr>
        <w:numPr>
          <w:ilvl w:val="0"/>
          <w:numId w:val="22"/>
        </w:numPr>
        <w:jc w:val="both"/>
      </w:pPr>
      <w:r>
        <w:t>Asmenų, priklausomų nuo narkotinių ir psichotropinių medžiagų vartojimo, reintegracija į visuomenę ir į darbo rinką: socialinės atskirties problemų sprendimas, 2008 m.</w:t>
      </w:r>
    </w:p>
    <w:p w:rsidR="00DD08F5" w:rsidRDefault="00DD08F5" w:rsidP="00DD08F5">
      <w:pPr>
        <w:numPr>
          <w:ilvl w:val="0"/>
          <w:numId w:val="22"/>
        </w:numPr>
        <w:jc w:val="both"/>
      </w:pPr>
      <w:r>
        <w:t>Vaiko, tėvų, pedagogų teisės, pareigos ir atsakomybė, 2008 m.</w:t>
      </w:r>
    </w:p>
    <w:p w:rsidR="00DD08F5" w:rsidRDefault="00DD08F5" w:rsidP="00DD08F5">
      <w:pPr>
        <w:numPr>
          <w:ilvl w:val="0"/>
          <w:numId w:val="22"/>
        </w:numPr>
        <w:jc w:val="both"/>
      </w:pPr>
      <w:r>
        <w:t>Metodinės rekomendacijos „Kaip vertinti prevencijos efektyvumą?“, 2007 m.</w:t>
      </w:r>
    </w:p>
    <w:p w:rsidR="00DD08F5" w:rsidRDefault="00DD08F5" w:rsidP="00DD08F5">
      <w:pPr>
        <w:numPr>
          <w:ilvl w:val="0"/>
          <w:numId w:val="22"/>
        </w:numPr>
        <w:jc w:val="both"/>
      </w:pPr>
      <w:r>
        <w:t>Patarimai, kaip elgtis, kad vaikas nepradėtų vartoti narkotikų, ir kaip padėti vaikui, jei jis vartoja narkotikus, 2007 m.</w:t>
      </w:r>
    </w:p>
    <w:p w:rsidR="00DD08F5" w:rsidRDefault="00DD08F5" w:rsidP="00DD08F5">
      <w:pPr>
        <w:numPr>
          <w:ilvl w:val="0"/>
          <w:numId w:val="22"/>
        </w:numPr>
        <w:jc w:val="both"/>
      </w:pPr>
      <w:r>
        <w:t>Metodinės rekomendacijos „Ankstyvosios intervencijos taikymas, mažinant psichiką veikiančių medžiagų vartojimą“, 2007 m.</w:t>
      </w:r>
    </w:p>
    <w:p w:rsidR="00DD08F5" w:rsidRDefault="00DD08F5" w:rsidP="00DD08F5">
      <w:pPr>
        <w:numPr>
          <w:ilvl w:val="0"/>
          <w:numId w:val="22"/>
        </w:numPr>
        <w:jc w:val="both"/>
      </w:pPr>
      <w:r>
        <w:t>Gatvės darbuotojų, dirbančių su padidėjusios rizikos grupės asmenimis, vartojančiais narkotines ir psichotropines medžiagas, rengimo metodinės rekomendacijos, 2006 m.</w:t>
      </w:r>
    </w:p>
    <w:p w:rsidR="00DD08F5" w:rsidRDefault="00DD08F5" w:rsidP="00DD08F5">
      <w:pPr>
        <w:numPr>
          <w:ilvl w:val="0"/>
          <w:numId w:val="22"/>
        </w:numPr>
        <w:jc w:val="both"/>
      </w:pPr>
      <w:r>
        <w:t>Metodinės rekomendacijos „Pramogos be narkotikų“, 2006 m.</w:t>
      </w:r>
    </w:p>
    <w:p w:rsidR="00DD08F5" w:rsidRDefault="00DD08F5" w:rsidP="00DD08F5">
      <w:pPr>
        <w:numPr>
          <w:ilvl w:val="0"/>
          <w:numId w:val="22"/>
        </w:numPr>
        <w:jc w:val="both"/>
      </w:pPr>
      <w:r>
        <w:t>Pirminės narkomanijos prevencijos bendruomenėje vykdymas, 2005 m.</w:t>
      </w:r>
    </w:p>
    <w:p w:rsidR="00DD08F5" w:rsidRDefault="00DD08F5" w:rsidP="00DD08F5">
      <w:pPr>
        <w:numPr>
          <w:ilvl w:val="0"/>
          <w:numId w:val="22"/>
        </w:numPr>
        <w:jc w:val="both"/>
      </w:pPr>
      <w:r>
        <w:t>Apie narkotikus trumpai policijos pareigūnams, 2005 m.</w:t>
      </w:r>
    </w:p>
    <w:p w:rsidR="00DD08F5" w:rsidRDefault="00DD08F5" w:rsidP="00DD08F5">
      <w:pPr>
        <w:ind w:firstLine="360"/>
        <w:jc w:val="both"/>
      </w:pPr>
      <w:r>
        <w:t xml:space="preserve">Narkotikų kontrolės departamento prie LRV duomenimis, dėl asmenų, priklausomų nuo psichoaktyviųjų medžiagų, psichologinės ir socialinės reabilitacijos reabilitacijos, įgyvendinti šie projektai:  </w:t>
      </w:r>
    </w:p>
    <w:p w:rsidR="00DD08F5" w:rsidRDefault="00DD08F5" w:rsidP="00DD08F5">
      <w:pPr>
        <w:ind w:firstLine="540"/>
        <w:jc w:val="both"/>
      </w:pPr>
      <w:r>
        <w:t>Narkotikų kontrolės departamento prie Lietuvos Respublikos Vyriausybės direktoriaus 2009 m. sausio 12 d. įsakymu Nr. T1-2 ,,Dėl Asmenų, priklausomų nuo psichoaktyviųjų medžiagų, psichologinės ir socialinės reabilitacijos projektų atrankos konkurso 2009 metais nuostatų patvirtinimo“(Žin., 2009, Nr. 12-502) patvirtinti Asmenų, priklausomų nuo psichoaktyviųjų medžiagų, psichologinės ir socialinės reabilitacijos projektų atrankos konkurso 2009 metais nuostatai ir paskelbtas projektų konkursas. Konkursą laimėjo 11 projektų. Sudaryta komisija vertino visų ketvirčių ir metines projektų veiklos vykdymo ir lėšų panaudojimo ataskaitas. Surinkta ir apibendrinta informacija apie Departamento finansuotų socialinės bei psichologinės reabilitacijos projektų įgyvendinimo 2009 metais rezultatus. Vietose buvo patikrintas visų 11-os projektų įgyvendinimas ir jų finansavimui skirta 499,5 tūkst. Lt.</w:t>
      </w:r>
    </w:p>
    <w:p w:rsidR="00DD08F5" w:rsidRDefault="00DD08F5" w:rsidP="00DD08F5">
      <w:pPr>
        <w:tabs>
          <w:tab w:val="left" w:pos="1080"/>
        </w:tabs>
        <w:ind w:firstLine="540"/>
        <w:jc w:val="both"/>
      </w:pPr>
      <w:r>
        <w:t>2009 metais įgyvendinant projektus suteiktos ilgalaikės socialinės bei psichologinės reabilitacijos paslaugos 450 asmenų, priklausomų nuo psichiką veikiančių medžiagų, suteikta pagalba 158 priklausomų asmenų šeimų nariams, paslaugas teikė 73 darbuotojai. 2009 m. baigusiųjų ilgalaikę reabilitacijos programą asmenų skaičius sudarė 76, iš kurių 49 proc. asmenų dirba arba mokosi.</w:t>
      </w:r>
    </w:p>
    <w:p w:rsidR="00DD08F5" w:rsidRDefault="00DD08F5" w:rsidP="00DD08F5">
      <w:pPr>
        <w:tabs>
          <w:tab w:val="left" w:pos="1080"/>
        </w:tabs>
        <w:ind w:firstLine="540"/>
        <w:jc w:val="both"/>
      </w:pPr>
      <w:r>
        <w:t>2009 metais projektų įgyvendinimo finansavimą iš Departamento gavusios psichologinės ir socialinės reabilitacijos įstaigos dalyvavo reabilitacijos paslaugų teikimo stebėsenos ir monitoringo sistemoje. Kompiuterizuotas informacijos rinkimas padeda bendradarbiauti organizacijoms, gaunama ir prieinama specialistams reikalinga ir naudinga informacija, Departamento specialistai efektyviau kontroliuoja paslaugų teikimą.</w:t>
      </w:r>
    </w:p>
    <w:p w:rsidR="00DD08F5" w:rsidRDefault="00DD08F5" w:rsidP="00DD08F5">
      <w:pPr>
        <w:shd w:val="clear" w:color="auto" w:fill="FFFFFF"/>
        <w:tabs>
          <w:tab w:val="left" w:pos="1080"/>
        </w:tabs>
        <w:ind w:firstLine="540"/>
        <w:jc w:val="both"/>
      </w:pPr>
      <w:r>
        <w:rPr>
          <w:color w:val="010101"/>
        </w:rPr>
        <w:t>2009 m. rugsėjo 1 d. 10 Departamento finansuotų psichologinės ir socialinės reabilitacijos projektų vykdytojų pasirašė finansavimo ir administravimo sutartis paramai iš Europos Sąjungos gauti pagal priemonę „Socialinės rizikos ir socialinę atskirtį patiriančių asmenų integracija į darbo rinką“. Remiantis paraiškų Europos Sąjungos paramai gauti vertinimo komisijos 2009 m. rugpjūčio 12 d. posėdžio protokolu Nr. 2009-SADM-PO39, Departamentas, siekdamas išvengti lėšų dubliavimosi, nuo 2009 m. rugsėjo 1 d. nutraukė psichologinės bei socialinės reabilitacijos įstaigų projektų, gavusių paramą iš Europos Sąjungos, finansavimą iš Lietuvos valstybės biudžeto.</w:t>
      </w:r>
    </w:p>
    <w:p w:rsidR="00DD08F5" w:rsidRDefault="00DD08F5" w:rsidP="00DD08F5">
      <w:pPr>
        <w:tabs>
          <w:tab w:val="left" w:pos="1080"/>
        </w:tabs>
        <w:ind w:right="9" w:firstLine="540"/>
        <w:jc w:val="both"/>
      </w:pPr>
      <w:r>
        <w:t>2009 m. vasario 25 d. Vilniuje D</w:t>
      </w:r>
      <w:r>
        <w:rPr>
          <w:rStyle w:val="Grietas"/>
          <w:b w:val="0"/>
        </w:rPr>
        <w:t xml:space="preserve">epartamentas </w:t>
      </w:r>
      <w:r>
        <w:t>organizavo seminarą „Projekto „Asmenų, vartojančių narkotines ir psichotropines medžiagas, reabilitacija ir socialinė reintegracija, novatoriško socialinių paslaugų modulio kūrimas“ įgyvendinimas 2006–2008 m.“, kuris buvo skirtas apibendrinti projekto įgyvendinimo rezultatus, numatyti tolesnes reabilitacijos paslaugų plėtros galimybes.</w:t>
      </w:r>
    </w:p>
    <w:p w:rsidR="00DD08F5" w:rsidRDefault="00DD08F5" w:rsidP="00DD08F5">
      <w:pPr>
        <w:ind w:firstLine="540"/>
        <w:jc w:val="both"/>
      </w:pPr>
      <w:r>
        <w:t>Narkotikų kontrolės departamento prie LRV duomenimis, Lietuvoje veikia 17 ilgalaikės reabilitacijos įstaigų, (312 vietų suaugusiems); 2 įstaigos vaikams (22 vietos), kurioms skirtos valstybės biudžeto - 950 tūkst.Lt ir  ES struktūrinių fondų lėšos; veikia trumpalaikės reabilitacijos paslaugos vaikams Vilniaus, Kauno, Klaipėdos, Panevėžio PLC (23 vietos); 2008 m. trumpalaikės reabilitacijos ir reintegracijos paslaugos vaikams pradėtos teikti Kauno nepilnamečių tardymo izoliatoriuje-pataisos namuose, Panevėžio pataisos namuose, apmokant iš valstybės biudžeto 180 tūkst. Lt.</w:t>
      </w:r>
    </w:p>
    <w:p w:rsidR="00DD08F5" w:rsidRDefault="00DD08F5" w:rsidP="00DD08F5">
      <w:pPr>
        <w:ind w:firstLine="540"/>
        <w:jc w:val="both"/>
      </w:pPr>
      <w:r>
        <w:lastRenderedPageBreak/>
        <w:t xml:space="preserve">Lietuvoje veikia ES BPD 2,3 priemonės projektas ”Asmenų, vartojančių narkotines ir psichotropines medžiagas, reabilitacija ir socialinė reintegracija, novatoriško modelio kūrimas” (5 partneriai). Šios priemonės veiklos rezultatai -  Žemo slenksčio paslaugų plėtra </w:t>
      </w:r>
    </w:p>
    <w:p w:rsidR="00DD08F5" w:rsidRDefault="00DD08F5" w:rsidP="00DD08F5">
      <w:pPr>
        <w:ind w:firstLine="540"/>
      </w:pPr>
    </w:p>
    <w:tbl>
      <w:tblPr>
        <w:tblW w:w="4230" w:type="dxa"/>
        <w:tblCellSpacing w:w="0" w:type="dxa"/>
        <w:tblCellMar>
          <w:left w:w="0" w:type="dxa"/>
          <w:right w:w="0" w:type="dxa"/>
        </w:tblCellMar>
        <w:tblLook w:val="0000" w:firstRow="0" w:lastRow="0" w:firstColumn="0" w:lastColumn="0" w:noHBand="0" w:noVBand="0"/>
      </w:tblPr>
      <w:tblGrid>
        <w:gridCol w:w="2131"/>
        <w:gridCol w:w="698"/>
        <w:gridCol w:w="698"/>
        <w:gridCol w:w="703"/>
      </w:tblGrid>
      <w:tr w:rsidR="00DD08F5" w:rsidTr="004F7425">
        <w:trPr>
          <w:trHeight w:val="330"/>
          <w:tblCellSpacing w:w="0" w:type="dxa"/>
        </w:trPr>
        <w:tc>
          <w:tcPr>
            <w:tcW w:w="2160" w:type="dxa"/>
            <w:tcBorders>
              <w:top w:val="single" w:sz="12" w:space="0" w:color="000000"/>
              <w:left w:val="single" w:sz="12" w:space="0" w:color="000000"/>
              <w:bottom w:val="single" w:sz="6" w:space="0" w:color="000000"/>
              <w:right w:val="single" w:sz="6" w:space="0" w:color="000000"/>
            </w:tcBorders>
          </w:tcPr>
          <w:p w:rsidR="00DD08F5" w:rsidRDefault="00DD08F5" w:rsidP="004F7425">
            <w:pPr>
              <w:ind w:firstLine="540"/>
            </w:pPr>
            <w:r>
              <w:t>Rodiklio pavadinimas</w:t>
            </w:r>
          </w:p>
        </w:tc>
        <w:tc>
          <w:tcPr>
            <w:tcW w:w="705" w:type="dxa"/>
            <w:tcBorders>
              <w:top w:val="single" w:sz="12" w:space="0" w:color="000000"/>
              <w:left w:val="single" w:sz="6" w:space="0" w:color="000000"/>
              <w:bottom w:val="single" w:sz="6" w:space="0" w:color="000000"/>
              <w:right w:val="single" w:sz="6" w:space="0" w:color="000000"/>
            </w:tcBorders>
          </w:tcPr>
          <w:p w:rsidR="00DD08F5" w:rsidRDefault="00DD08F5" w:rsidP="004F7425">
            <w:pPr>
              <w:ind w:firstLine="540"/>
            </w:pPr>
            <w:r>
              <w:t>2007</w:t>
            </w:r>
          </w:p>
        </w:tc>
        <w:tc>
          <w:tcPr>
            <w:tcW w:w="705" w:type="dxa"/>
            <w:tcBorders>
              <w:top w:val="single" w:sz="12" w:space="0" w:color="000000"/>
              <w:left w:val="single" w:sz="6" w:space="0" w:color="000000"/>
              <w:bottom w:val="single" w:sz="6" w:space="0" w:color="000000"/>
              <w:right w:val="single" w:sz="6" w:space="0" w:color="000000"/>
            </w:tcBorders>
          </w:tcPr>
          <w:p w:rsidR="00DD08F5" w:rsidRDefault="00DD08F5" w:rsidP="004F7425">
            <w:pPr>
              <w:ind w:firstLine="540"/>
            </w:pPr>
            <w:r>
              <w:t>2008</w:t>
            </w:r>
          </w:p>
        </w:tc>
        <w:tc>
          <w:tcPr>
            <w:tcW w:w="705" w:type="dxa"/>
            <w:tcBorders>
              <w:top w:val="single" w:sz="12" w:space="0" w:color="000000"/>
              <w:left w:val="single" w:sz="6" w:space="0" w:color="000000"/>
              <w:bottom w:val="single" w:sz="6" w:space="0" w:color="000000"/>
              <w:right w:val="single" w:sz="12" w:space="0" w:color="000000"/>
            </w:tcBorders>
          </w:tcPr>
          <w:p w:rsidR="00DD08F5" w:rsidRDefault="00DD08F5" w:rsidP="004F7425">
            <w:pPr>
              <w:ind w:firstLine="540"/>
            </w:pPr>
            <w:r>
              <w:t>2009*</w:t>
            </w:r>
          </w:p>
        </w:tc>
      </w:tr>
      <w:tr w:rsidR="00DD08F5" w:rsidTr="004F7425">
        <w:trPr>
          <w:trHeight w:val="405"/>
          <w:tblCellSpacing w:w="0" w:type="dxa"/>
        </w:trPr>
        <w:tc>
          <w:tcPr>
            <w:tcW w:w="2160"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Žemo slenksčio paslaugų teikėjų sk.</w:t>
            </w:r>
          </w:p>
        </w:tc>
        <w:tc>
          <w:tcPr>
            <w:tcW w:w="705" w:type="dxa"/>
            <w:tcBorders>
              <w:top w:val="single" w:sz="6" w:space="0" w:color="000000"/>
              <w:left w:val="single" w:sz="6" w:space="0" w:color="000000"/>
              <w:bottom w:val="single" w:sz="6" w:space="0" w:color="000000"/>
              <w:right w:val="single" w:sz="6" w:space="0" w:color="000000"/>
            </w:tcBorders>
          </w:tcPr>
          <w:p w:rsidR="00DD08F5" w:rsidRDefault="00DD08F5" w:rsidP="004F7425">
            <w:pPr>
              <w:ind w:firstLine="540"/>
            </w:pPr>
            <w:r>
              <w:t>9</w:t>
            </w:r>
          </w:p>
        </w:tc>
        <w:tc>
          <w:tcPr>
            <w:tcW w:w="705" w:type="dxa"/>
            <w:tcBorders>
              <w:top w:val="single" w:sz="6" w:space="0" w:color="000000"/>
              <w:left w:val="single" w:sz="6" w:space="0" w:color="000000"/>
              <w:bottom w:val="single" w:sz="6" w:space="0" w:color="000000"/>
              <w:right w:val="single" w:sz="6" w:space="0" w:color="000000"/>
            </w:tcBorders>
          </w:tcPr>
          <w:p w:rsidR="00DD08F5" w:rsidRDefault="00DD08F5" w:rsidP="004F7425">
            <w:pPr>
              <w:ind w:firstLine="540"/>
            </w:pPr>
            <w:r>
              <w:t>11</w:t>
            </w:r>
          </w:p>
        </w:tc>
        <w:tc>
          <w:tcPr>
            <w:tcW w:w="705"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13</w:t>
            </w:r>
          </w:p>
        </w:tc>
      </w:tr>
      <w:tr w:rsidR="00DD08F5" w:rsidTr="004F7425">
        <w:trPr>
          <w:trHeight w:val="315"/>
          <w:tblCellSpacing w:w="0" w:type="dxa"/>
        </w:trPr>
        <w:tc>
          <w:tcPr>
            <w:tcW w:w="2160" w:type="dxa"/>
            <w:tcBorders>
              <w:top w:val="single" w:sz="6" w:space="0" w:color="000000"/>
              <w:left w:val="single" w:sz="12" w:space="0" w:color="000000"/>
              <w:bottom w:val="single" w:sz="6" w:space="0" w:color="000000"/>
              <w:right w:val="single" w:sz="6" w:space="0" w:color="000000"/>
            </w:tcBorders>
          </w:tcPr>
          <w:p w:rsidR="00DD08F5" w:rsidRDefault="00DD08F5" w:rsidP="004F7425">
            <w:pPr>
              <w:ind w:firstLine="540"/>
            </w:pPr>
            <w:r>
              <w:t>Paslaugų gavėjų sk.</w:t>
            </w:r>
          </w:p>
        </w:tc>
        <w:tc>
          <w:tcPr>
            <w:tcW w:w="705" w:type="dxa"/>
            <w:tcBorders>
              <w:top w:val="single" w:sz="6" w:space="0" w:color="000000"/>
              <w:left w:val="single" w:sz="6" w:space="0" w:color="000000"/>
              <w:bottom w:val="single" w:sz="6" w:space="0" w:color="000000"/>
              <w:right w:val="single" w:sz="6" w:space="0" w:color="000000"/>
            </w:tcBorders>
          </w:tcPr>
          <w:p w:rsidR="00DD08F5" w:rsidRDefault="00DD08F5" w:rsidP="004F7425">
            <w:pPr>
              <w:ind w:firstLine="540"/>
            </w:pPr>
            <w:r>
              <w:t>3 400</w:t>
            </w:r>
          </w:p>
        </w:tc>
        <w:tc>
          <w:tcPr>
            <w:tcW w:w="705" w:type="dxa"/>
            <w:tcBorders>
              <w:top w:val="single" w:sz="6" w:space="0" w:color="000000"/>
              <w:left w:val="single" w:sz="6" w:space="0" w:color="000000"/>
              <w:bottom w:val="single" w:sz="6" w:space="0" w:color="000000"/>
              <w:right w:val="single" w:sz="6" w:space="0" w:color="000000"/>
            </w:tcBorders>
          </w:tcPr>
          <w:p w:rsidR="00DD08F5" w:rsidRDefault="00DD08F5" w:rsidP="004F7425">
            <w:pPr>
              <w:ind w:firstLine="540"/>
            </w:pPr>
            <w:r>
              <w:t>3 500</w:t>
            </w:r>
          </w:p>
        </w:tc>
        <w:tc>
          <w:tcPr>
            <w:tcW w:w="705" w:type="dxa"/>
            <w:tcBorders>
              <w:top w:val="single" w:sz="6" w:space="0" w:color="000000"/>
              <w:left w:val="single" w:sz="6" w:space="0" w:color="000000"/>
              <w:bottom w:val="single" w:sz="6" w:space="0" w:color="000000"/>
              <w:right w:val="single" w:sz="12" w:space="0" w:color="000000"/>
            </w:tcBorders>
          </w:tcPr>
          <w:p w:rsidR="00DD08F5" w:rsidRDefault="00DD08F5" w:rsidP="004F7425">
            <w:pPr>
              <w:ind w:firstLine="540"/>
            </w:pPr>
            <w:r>
              <w:t>~4000</w:t>
            </w:r>
          </w:p>
        </w:tc>
      </w:tr>
      <w:tr w:rsidR="00DD08F5" w:rsidTr="004F7425">
        <w:trPr>
          <w:trHeight w:val="435"/>
          <w:tblCellSpacing w:w="0" w:type="dxa"/>
        </w:trPr>
        <w:tc>
          <w:tcPr>
            <w:tcW w:w="2160" w:type="dxa"/>
            <w:tcBorders>
              <w:top w:val="single" w:sz="6" w:space="0" w:color="000000"/>
              <w:left w:val="single" w:sz="12" w:space="0" w:color="000000"/>
              <w:bottom w:val="single" w:sz="12" w:space="0" w:color="000000"/>
              <w:right w:val="single" w:sz="6" w:space="0" w:color="000000"/>
            </w:tcBorders>
          </w:tcPr>
          <w:p w:rsidR="00DD08F5" w:rsidRDefault="00DD08F5" w:rsidP="004F7425">
            <w:pPr>
              <w:ind w:firstLine="540"/>
            </w:pPr>
            <w:r>
              <w:t>NKD, tūkst. Lt</w:t>
            </w:r>
          </w:p>
          <w:p w:rsidR="00DD08F5" w:rsidRDefault="00DD08F5" w:rsidP="004F7425">
            <w:pPr>
              <w:ind w:firstLine="540"/>
            </w:pPr>
            <w:r>
              <w:t>JT projekto lėšos</w:t>
            </w:r>
          </w:p>
        </w:tc>
        <w:tc>
          <w:tcPr>
            <w:tcW w:w="705" w:type="dxa"/>
            <w:tcBorders>
              <w:top w:val="single" w:sz="6" w:space="0" w:color="000000"/>
              <w:left w:val="single" w:sz="6" w:space="0" w:color="000000"/>
              <w:bottom w:val="single" w:sz="12" w:space="0" w:color="000000"/>
              <w:right w:val="single" w:sz="6" w:space="0" w:color="000000"/>
            </w:tcBorders>
          </w:tcPr>
          <w:p w:rsidR="00DD08F5" w:rsidRDefault="00DD08F5" w:rsidP="004F7425">
            <w:pPr>
              <w:ind w:firstLine="540"/>
            </w:pPr>
            <w:r>
              <w:t>270</w:t>
            </w:r>
          </w:p>
        </w:tc>
        <w:tc>
          <w:tcPr>
            <w:tcW w:w="705" w:type="dxa"/>
            <w:tcBorders>
              <w:top w:val="single" w:sz="6" w:space="0" w:color="000000"/>
              <w:left w:val="single" w:sz="6" w:space="0" w:color="000000"/>
              <w:bottom w:val="single" w:sz="12" w:space="0" w:color="000000"/>
              <w:right w:val="single" w:sz="6" w:space="0" w:color="000000"/>
            </w:tcBorders>
          </w:tcPr>
          <w:p w:rsidR="00DD08F5" w:rsidRDefault="00DD08F5" w:rsidP="004F7425">
            <w:pPr>
              <w:ind w:firstLine="540"/>
            </w:pPr>
            <w:r>
              <w:t>200</w:t>
            </w:r>
          </w:p>
        </w:tc>
        <w:tc>
          <w:tcPr>
            <w:tcW w:w="705" w:type="dxa"/>
            <w:tcBorders>
              <w:top w:val="single" w:sz="6" w:space="0" w:color="000000"/>
              <w:left w:val="single" w:sz="6" w:space="0" w:color="000000"/>
              <w:bottom w:val="single" w:sz="12" w:space="0" w:color="000000"/>
              <w:right w:val="single" w:sz="12" w:space="0" w:color="000000"/>
            </w:tcBorders>
          </w:tcPr>
          <w:p w:rsidR="00DD08F5" w:rsidRDefault="00DD08F5" w:rsidP="004F7425">
            <w:pPr>
              <w:ind w:firstLine="540"/>
            </w:pPr>
            <w:r>
              <w:t> </w:t>
            </w:r>
          </w:p>
        </w:tc>
      </w:tr>
    </w:tbl>
    <w:p w:rsidR="00DD08F5" w:rsidRDefault="00DD08F5" w:rsidP="00DD08F5">
      <w:pPr>
        <w:ind w:firstLine="540"/>
      </w:pPr>
    </w:p>
    <w:p w:rsidR="00DD08F5" w:rsidRDefault="00DD08F5" w:rsidP="00DD08F5">
      <w:pPr>
        <w:ind w:firstLine="540"/>
        <w:jc w:val="both"/>
      </w:pPr>
      <w:r>
        <w:t>Narkotikų kontrolės departamento prie LRV duomenimis, ŽIV užsikrėtimo dinamika vartojant švirkščiamuosius narkotikus</w:t>
      </w:r>
    </w:p>
    <w:p w:rsidR="00DD08F5" w:rsidRDefault="00DD08F5" w:rsidP="00DD08F5">
      <w:pPr>
        <w:ind w:firstLine="540"/>
        <w:jc w:val="center"/>
      </w:pPr>
      <w:r>
        <w:rPr>
          <w:noProof/>
          <w:lang w:eastAsia="lt-LT"/>
        </w:rPr>
        <w:drawing>
          <wp:anchor distT="0" distB="0" distL="114300" distR="114300" simplePos="0" relativeHeight="251697152" behindDoc="0" locked="0" layoutInCell="1" allowOverlap="1" wp14:anchorId="23327A9C" wp14:editId="62967A14">
            <wp:simplePos x="0" y="0"/>
            <wp:positionH relativeFrom="column">
              <wp:posOffset>0</wp:posOffset>
            </wp:positionH>
            <wp:positionV relativeFrom="paragraph">
              <wp:posOffset>95885</wp:posOffset>
            </wp:positionV>
            <wp:extent cx="5486400" cy="1961515"/>
            <wp:effectExtent l="13335" t="7620" r="5715" b="12065"/>
            <wp:wrapNone/>
            <wp:docPr id="101" name="Diagrama 10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14:sizeRelH relativeFrom="page">
              <wp14:pctWidth>0</wp14:pctWidth>
            </wp14:sizeRelH>
            <wp14:sizeRelV relativeFrom="page">
              <wp14:pctHeight>0</wp14:pctHeight>
            </wp14:sizeRelV>
          </wp:anchor>
        </w:drawing>
      </w: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center"/>
      </w:pPr>
    </w:p>
    <w:p w:rsidR="00DD08F5" w:rsidRDefault="00DD08F5" w:rsidP="00DD08F5">
      <w:pPr>
        <w:ind w:firstLine="540"/>
        <w:jc w:val="both"/>
      </w:pPr>
      <w:r>
        <w:t>Žemo slenksčio paslaugų (konsultavimas, informavimas, švirkštų/adatų keitimas, nukreipimai gydytis) plėtra leidžia sumažinti asmenų, užsikrėtusių ŽIV infekcija, vartojant injekcinius narkotikus, skaičių 1,6 karto per  3 metus:</w:t>
      </w:r>
    </w:p>
    <w:p w:rsidR="00DD08F5" w:rsidRDefault="00DD08F5" w:rsidP="00DD08F5">
      <w:pPr>
        <w:numPr>
          <w:ilvl w:val="0"/>
          <w:numId w:val="23"/>
        </w:numPr>
        <w:jc w:val="both"/>
      </w:pPr>
      <w:r>
        <w:t>Probleminių vartotojų sk. 6000-7000</w:t>
      </w:r>
    </w:p>
    <w:p w:rsidR="00DD08F5" w:rsidRDefault="00DD08F5" w:rsidP="00DD08F5">
      <w:pPr>
        <w:numPr>
          <w:ilvl w:val="0"/>
          <w:numId w:val="23"/>
        </w:numPr>
        <w:jc w:val="both"/>
      </w:pPr>
      <w:r>
        <w:t xml:space="preserve"> Tarp jų ŽIV infekuotų – 8 proc.</w:t>
      </w:r>
    </w:p>
    <w:p w:rsidR="00DD08F5" w:rsidRDefault="00DD08F5" w:rsidP="00DD08F5">
      <w:pPr>
        <w:numPr>
          <w:ilvl w:val="0"/>
          <w:numId w:val="23"/>
        </w:numPr>
        <w:jc w:val="both"/>
      </w:pPr>
      <w:r>
        <w:t xml:space="preserve"> Viso infekuoti ŽIV per ŠNV – 76 proc.</w:t>
      </w:r>
    </w:p>
    <w:p w:rsidR="00DD08F5" w:rsidRDefault="00DD08F5" w:rsidP="00DD08F5">
      <w:pPr>
        <w:numPr>
          <w:ilvl w:val="0"/>
          <w:numId w:val="23"/>
        </w:numPr>
        <w:jc w:val="both"/>
      </w:pPr>
      <w:r>
        <w:t xml:space="preserve"> HCV infekuoti – 70-90 proc.</w:t>
      </w:r>
    </w:p>
    <w:p w:rsidR="00DD08F5" w:rsidRDefault="00DD08F5" w:rsidP="00DD08F5">
      <w:pPr>
        <w:ind w:firstLine="540"/>
        <w:jc w:val="both"/>
      </w:pPr>
      <w:r>
        <w:t>Narkotikų kontrolės departamento prie LRV duomenimis, įgyvendinami tarptautiniai projektai:</w:t>
      </w:r>
    </w:p>
    <w:p w:rsidR="00DD08F5" w:rsidRDefault="00DD08F5" w:rsidP="00DD08F5">
      <w:pPr>
        <w:ind w:firstLine="360"/>
        <w:jc w:val="both"/>
      </w:pPr>
      <w:r>
        <w:t>JT Narkotikų ir nusikalstamumo biuro (UNODC) regioninis projektas “ŽIV/AIDS prevencija tarp švirkščiamųjų narkotikų vartotojų bei jų priežiūra, Estijos, Latvijos ir Lietuvos įkalinimo įstaigose“  (5 mln.  JAV dol.);</w:t>
      </w:r>
    </w:p>
    <w:p w:rsidR="00DD08F5" w:rsidRDefault="00DD08F5" w:rsidP="00DD08F5">
      <w:pPr>
        <w:ind w:firstLine="360"/>
        <w:jc w:val="both"/>
      </w:pPr>
      <w:r>
        <w:t xml:space="preserve"> JT projektai: “COHESION”, “PRISM”, “ADAM”; </w:t>
      </w:r>
    </w:p>
    <w:p w:rsidR="00DD08F5" w:rsidRDefault="00DD08F5" w:rsidP="00DD08F5">
      <w:pPr>
        <w:ind w:firstLine="360"/>
        <w:jc w:val="both"/>
      </w:pPr>
      <w:r>
        <w:t>ET Pompidou grupės prevencinis projektas “Vaikų gyvenimo įgūdžių ugdymas”;</w:t>
      </w:r>
    </w:p>
    <w:p w:rsidR="00DD08F5" w:rsidRDefault="00DD08F5" w:rsidP="00DD08F5">
      <w:pPr>
        <w:ind w:firstLine="360"/>
        <w:jc w:val="both"/>
      </w:pPr>
      <w:r>
        <w:t>EK projektas “Ankstyvosios intervencijos taikymas psichoaktyvių medžiagų vartotojams (paaugliams)”;</w:t>
      </w:r>
    </w:p>
    <w:p w:rsidR="00DD08F5" w:rsidRDefault="00DD08F5" w:rsidP="00DD08F5">
      <w:pPr>
        <w:ind w:firstLine="360"/>
        <w:jc w:val="both"/>
      </w:pPr>
      <w:r>
        <w:t>EMCDDA projektas “EMCDDA veiklos plėtra”;</w:t>
      </w:r>
    </w:p>
    <w:p w:rsidR="00DD08F5" w:rsidRDefault="00DD08F5" w:rsidP="00DD08F5">
      <w:pPr>
        <w:ind w:firstLine="360"/>
        <w:jc w:val="both"/>
      </w:pPr>
      <w:r>
        <w:t xml:space="preserve">EK ir ENNSC projektas „REITOX Coach“ penkioms Vakarų Balkanų šalims - Albanijos, Bosnijos ir Hercegovinos, Makedonijos, Serbijos ir Juodkalnijos. </w:t>
      </w:r>
    </w:p>
    <w:p w:rsidR="00DD08F5" w:rsidRDefault="00DD08F5" w:rsidP="00DD08F5">
      <w:pPr>
        <w:ind w:firstLine="540"/>
        <w:jc w:val="both"/>
      </w:pPr>
      <w:r>
        <w:t>Narkotikų kontrolės departamento prie LRV duomenimis, įgyvendinami investiciniai projektai (2005-2008 m.):</w:t>
      </w:r>
    </w:p>
    <w:p w:rsidR="00DD08F5" w:rsidRDefault="00DD08F5" w:rsidP="00DD08F5">
      <w:pPr>
        <w:ind w:firstLine="540"/>
        <w:jc w:val="both"/>
      </w:pPr>
      <w:r>
        <w:t>Diegti technines apsaugos priemones (vaizdo stebėjimo sistemas) globos įstaigų teritorijose; siekiant užtikrinti vaikų saugumą (19 globos namų);</w:t>
      </w:r>
    </w:p>
    <w:p w:rsidR="00DD08F5" w:rsidRDefault="00DD08F5" w:rsidP="00DD08F5">
      <w:pPr>
        <w:ind w:firstLine="540"/>
        <w:jc w:val="both"/>
      </w:pPr>
      <w:r>
        <w:t>Gerinti medicinines, socialinės reabilitacijos ir reintegracijos paslaugas vaikams (Vilniaus, Kauno, Klaipėdos, Panevėžio PLC, Kauno nepilnamečių TI, Panevėžio PN).</w:t>
      </w:r>
    </w:p>
    <w:p w:rsidR="00DD08F5" w:rsidRDefault="00DD08F5" w:rsidP="00DD08F5">
      <w:pPr>
        <w:ind w:firstLine="540"/>
        <w:jc w:val="both"/>
      </w:pPr>
    </w:p>
    <w:p w:rsidR="00DD08F5" w:rsidRDefault="00DD08F5" w:rsidP="00DD08F5">
      <w:pPr>
        <w:ind w:firstLine="540"/>
        <w:jc w:val="both"/>
      </w:pPr>
      <w:r>
        <w:lastRenderedPageBreak/>
        <w:t xml:space="preserve">Narkotikų kontrolės departamento prie LRV duomenimis, nuo 2008 m. spalio 1 d. departamentas yra įgaliotas vykdyti veiklos, susijusios su narkotinių ir psichotropinių medžiagų pirmtakais (prekursoriais): </w:t>
      </w:r>
    </w:p>
    <w:p w:rsidR="00DD08F5" w:rsidRDefault="00DD08F5" w:rsidP="00DD08F5">
      <w:pPr>
        <w:numPr>
          <w:ilvl w:val="0"/>
          <w:numId w:val="24"/>
        </w:numPr>
        <w:jc w:val="both"/>
        <w:rPr>
          <w:bCs/>
        </w:rPr>
      </w:pPr>
      <w:r>
        <w:rPr>
          <w:bCs/>
        </w:rPr>
        <w:t>licencijavimo,</w:t>
      </w:r>
    </w:p>
    <w:p w:rsidR="00DD08F5" w:rsidRDefault="00DD08F5" w:rsidP="00DD08F5">
      <w:pPr>
        <w:numPr>
          <w:ilvl w:val="0"/>
          <w:numId w:val="24"/>
        </w:numPr>
        <w:jc w:val="both"/>
        <w:rPr>
          <w:bCs/>
        </w:rPr>
      </w:pPr>
      <w:r>
        <w:rPr>
          <w:bCs/>
        </w:rPr>
        <w:t>veiklos vietos registravimo,</w:t>
      </w:r>
    </w:p>
    <w:p w:rsidR="00DD08F5" w:rsidRDefault="00DD08F5" w:rsidP="00DD08F5">
      <w:pPr>
        <w:numPr>
          <w:ilvl w:val="0"/>
          <w:numId w:val="24"/>
        </w:numPr>
        <w:jc w:val="both"/>
        <w:rPr>
          <w:bCs/>
        </w:rPr>
      </w:pPr>
      <w:r>
        <w:rPr>
          <w:bCs/>
        </w:rPr>
        <w:t>importo ir eksporto leidimų išdavimo,</w:t>
      </w:r>
    </w:p>
    <w:p w:rsidR="00DD08F5" w:rsidRDefault="00DD08F5" w:rsidP="00DD08F5">
      <w:pPr>
        <w:numPr>
          <w:ilvl w:val="0"/>
          <w:numId w:val="24"/>
        </w:numPr>
        <w:jc w:val="both"/>
        <w:rPr>
          <w:bCs/>
        </w:rPr>
      </w:pPr>
      <w:r>
        <w:rPr>
          <w:bCs/>
        </w:rPr>
        <w:t>teisėtos veiklos kontrolės funkcijas.</w:t>
      </w:r>
    </w:p>
    <w:p w:rsidR="00DD08F5" w:rsidRDefault="00DD08F5" w:rsidP="00DD08F5">
      <w:pPr>
        <w:tabs>
          <w:tab w:val="left" w:pos="1080"/>
        </w:tabs>
        <w:ind w:firstLine="540"/>
        <w:jc w:val="both"/>
        <w:rPr>
          <w:rFonts w:eastAsia="Arial Unicode MS"/>
        </w:rPr>
      </w:pPr>
      <w:r>
        <w:t>Sustiprinta juridinių ir fizinių asmenų, vykdančių veiklą, susijusią su narkotinių ir psichotropinių medžiagų pirmtakais (prekursoriais), kontrolė:</w:t>
      </w:r>
    </w:p>
    <w:p w:rsidR="00DD08F5" w:rsidRDefault="00DD08F5" w:rsidP="00DD08F5">
      <w:pPr>
        <w:tabs>
          <w:tab w:val="left" w:pos="1080"/>
        </w:tabs>
        <w:ind w:firstLine="540"/>
        <w:jc w:val="both"/>
      </w:pPr>
      <w:r>
        <w:t>Vadovaujantis Lietuvos Respublikos narkotinių ir psichotropinių medžiagų pirmtakų (prekursorių) kontrolės įstatymu bei siekiant nustatyti, kokiose veiklos srityse ir kokiu mastu Lietuvos įmonės naudoja narkotinių ir psichotropinių medžiagų pirmtakus (prekursorius) savo teisėtoje veikloje, apklausta 800 įmonių, iš kurių - 203 savo veikloje naudoja chemines medžiagas, kurios yra įtrauktos į narkotinių ir psichotropinių medžiagų pirmtakų (prekursorių) sąrašus ir kurioms teisės aktų numatyta tvarka yra nustatytas specialus kontrolės mechanizmas. Daugiausia įmonių, kurios savo veikloje naudoja narkotinių ir psichotropinių medžiagų pirmtakus (prekursorius) yra Vilniaus, Kauno ir Klaipėdos apskrityse. Pagal apklaustų Lietuvos įmonių pateiktus duomenis, net 35 proc. įmonių teikia narkotinių ir psichotropinių medžiagų pirmtakus (prekursorius) rinkai. Per 2008 m. į Lietuvą buvo įvežta 43532,51 tonos sieros rūgšties, 2613,607 tonos druskos rūgšties, 1052,207 tonos acetono, 9,419 tonos kalio permanganato, 6,134 tonos metiletilketono, 4,131 tonos tolueno. Visa informacija apie ūkio subjekto teisėtoje veikloje naudojamus narkotinių ir psichotropinių medžiagų pirmtakus (prekursorius) renkama vadovaujantis</w:t>
      </w:r>
      <w:r>
        <w:br/>
        <w:t>2004 m. vasario 11 d. Europos Parlamento ir Tarybos reglamentu (EB) Nr. 273/2004 dėl narkotinių ir psichotropinių medžiagų pirmtakų (prekursorių), 2005 m. liepos 27 d. Komisijos reglamentu (EB)</w:t>
      </w:r>
      <w:r>
        <w:br/>
        <w:t>Nr. 1277/2005, nustatančiu Europos Parlamento ir Tarybos reglamento (EB) Nr. 273/2004 dėl narkotinių medžiagų pirmtakų (prekursorių) ir Tarybos reglamento (EB) Nr. 111/2005, nustatančio prekybos narkotinių ir psichotropinių medžiagų pirmtakais (prekursoriais) tarp Bendrijos ir trečiųjų šalių stebėsenos taisykles, įgyvendinimo taisykles ir 2004 m. gruodžio 22 d. Tarybos reglamentu (EB) Nr. 111/2005, nustatančiu prekybos narkotinių ir psichotropinių medžiagų pirmtakais (prekursoriais) tarp Bendrijos ir trečiųjų šalių stebėsenos taisykles, nuostatomis dėl informacijos rinkimo ir sisteminimo funkcijų, priskirtų kompetentingai institucijai.</w:t>
      </w:r>
    </w:p>
    <w:p w:rsidR="00DD08F5" w:rsidRDefault="00DD08F5" w:rsidP="00DD08F5">
      <w:pPr>
        <w:tabs>
          <w:tab w:val="left" w:pos="1080"/>
        </w:tabs>
        <w:ind w:firstLine="540"/>
        <w:jc w:val="both"/>
      </w:pPr>
      <w:r>
        <w:t xml:space="preserve">Įgyvendinant Lietuvos Respublikos narkotinių ir psichotropinių medžiagų pirmtakų (prekursorių) kontrolės įstatymo ir </w:t>
      </w:r>
      <w:r>
        <w:rPr>
          <w:color w:val="000000"/>
        </w:rPr>
        <w:t>V</w:t>
      </w:r>
      <w:r>
        <w:t xml:space="preserve">eiklos, susijusios su narkotinių ir psichotropinių medžiagų pirmtakais (prekursoriais), licencijavimo, vietos registravimo, importo ir eksporto leidimų išdavimo ir šios veiklos kontrolės vykdymo taisyklių, patvirtintų Lietuvos Respublikos Vyriausybės 2006 m. kovo 9 d. nutarimu Nr. 221 „Dėl </w:t>
      </w:r>
      <w:r>
        <w:rPr>
          <w:color w:val="000000"/>
        </w:rPr>
        <w:t>V</w:t>
      </w:r>
      <w:r>
        <w:t>eiklos, susijusios su narkotinių ir psichotropinių medžiagų pirmtakais (prekursoriais), licencijavimo, vietos registravimo, importo ir eksporto leidimų išdavimo ir šios veiklos kontrolės vykdymo taisyklių patvirtinimo“ (Žin., 2006, Nr. 29-985; 2009, Nr. 22-849) reikalavimus, Narkotikų kontrolės departamento prie Lietuvos Respublikos Vyriausybės direktoriaus 2009 m. balandžio 1 d. įsakymu Nr. T1-38 „</w:t>
      </w:r>
      <w:hyperlink r:id="rId109" w:tooltip="Dokumento tekstas" w:history="1">
        <w:r>
          <w:rPr>
            <w:rStyle w:val="Hipersaitas"/>
            <w:rFonts w:eastAsia="Courier New"/>
          </w:rPr>
          <w:t>Dėl Tarpinstitucinės veiklos, susijusios su narkotinių ir psichotropinių medžiagų pirmtakais (prekursoriais), licencijavimo ir registravimo komisijos sudarymo ir jos darbo reglamento patvirtinimo</w:t>
        </w:r>
      </w:hyperlink>
      <w:r>
        <w:rPr>
          <w:rStyle w:val="dpav"/>
        </w:rPr>
        <w:t>“</w:t>
      </w:r>
      <w:r>
        <w:t xml:space="preserve"> (Žin., 2009, Nr. 40-1537) buvo sudaryta Tarpinstitucinė veiklos, susijusios su narkotinių ir psichotropinių medžiagų pirmtakais (prekursoriais), licencijavimo ir registravimo komisija. Į šios komisijos sudėtį įeina Lietuvos Respublikos aplinkos ministerijos, Lietuvos Respublikos sveikatos apsaugos ministerijos, Muitinės kriminalinės tarnybos ir Departamento atstovai. Pagal poreikį komisijos darbe dalyvauja Policijos departamento prie Lietuvos Respublikos vidaus reikalų ministerijos atstovai. 2009 m. buvo suorganizuota 15 Komisijos posėdžių, kurių metu Komisijos nariai įvertino ir pateikė Departamentui siūlymus dėl 36 įmonių pateiktų prašymų ir dokumentų veiklos vietos registracijos pažymėjimui gauti (35 įmonėms pasiūlyta išduoti Veiklos vietos registracijos pažymėjimą, vienai įmonei – neišduoti, kadangi neatitiko teisės aktais nustatytų reikalavimų) ir 3 valstybės institucijų pateiktų prašymų ir dokumentų Specialiajai licencijai gauti. Komisijos posėdžių metu buvo aptartas šiuo metu aktualus klausimas - kalio permanganato (antros kategorijos narkotinių ir psichotropinių medžiagų pirmtako (prekursoriaus) patekimas į Lietuvos Respublikos rinką bei kiti su narkotinių ir psichotropinių medžiagų pirmtakų (prekursorių) kontrole susiję klausimai.</w:t>
      </w:r>
    </w:p>
    <w:p w:rsidR="00DD08F5" w:rsidRDefault="00DD08F5" w:rsidP="00DD08F5">
      <w:pPr>
        <w:tabs>
          <w:tab w:val="left" w:pos="1080"/>
        </w:tabs>
        <w:ind w:firstLine="540"/>
        <w:jc w:val="both"/>
      </w:pPr>
      <w:r>
        <w:lastRenderedPageBreak/>
        <w:t>Per ataskaitinį laikotarpį išduotos 3 Specialiosios licencijos valstybės institucijoms ir 35 Veiklos vietos registracijos pažymėjimai įmonėms, iš kurių 12 pažymėjimų išduota pakeičiant Valstybinės vaistų kontrolės tarnybos prie Lietuvos Respublikos sveikatos apsaugos ministerijos išduotus seno pavyzdžio registracijos pažymėjimus.</w:t>
      </w:r>
    </w:p>
    <w:p w:rsidR="00DD08F5" w:rsidRDefault="00DD08F5" w:rsidP="00DD08F5">
      <w:pPr>
        <w:tabs>
          <w:tab w:val="left" w:pos="1080"/>
        </w:tabs>
        <w:ind w:firstLine="540"/>
        <w:jc w:val="both"/>
      </w:pPr>
      <w:r>
        <w:t>2009 m. įmonių prašymų dėl importo, eksporto leidimų išdavimo nebuvo gauta. Buvo gautas vienos įmonės prašymas išduoti licenciją veiklai su pirmos kategorijos prekursoriais, tačiau vėliau ši įmonė pateikė prašymą atidėti jos pateiktų dokumentų svarstymą.</w:t>
      </w:r>
    </w:p>
    <w:p w:rsidR="00DD08F5" w:rsidRDefault="00DD08F5" w:rsidP="00DD08F5">
      <w:pPr>
        <w:tabs>
          <w:tab w:val="left" w:pos="1080"/>
        </w:tabs>
        <w:ind w:firstLine="540"/>
        <w:jc w:val="both"/>
      </w:pPr>
      <w:r>
        <w:t>Per 2009 metus aplankytos ir patikrintos 123 įmonės, kurios savo veikloje naudoja chemines medžiagas, įtrauktas į kontroliuojamų narkotinių ir psichotropinių medžiagų pirmtakų (prekursorių) sąrašus. Atlikti 94 planiniai ir 29 bendrieji patikrinimai pagal įmonių pateiktas paraiškas gauti veiklos, susijusios su antros ir (arba) trečios kategorijos narkotinių ir psichotropinių medžiagų pirmtakais (prekursoriais), vietos registracijos pažymėjimus bei specialiąsias licencijas.</w:t>
      </w:r>
    </w:p>
    <w:p w:rsidR="00DD08F5" w:rsidRDefault="00DD08F5" w:rsidP="00DD08F5">
      <w:pPr>
        <w:tabs>
          <w:tab w:val="left" w:pos="1080"/>
        </w:tabs>
        <w:ind w:firstLine="540"/>
        <w:jc w:val="both"/>
      </w:pPr>
      <w:r>
        <w:t>Patikrinimų metu įmonės supažindintos su teisės aktuose subjektams, kurių veikla susijusi su narkotinių ir psichotropinių medžiagų pirmtakais (prekursoriais), keliamais specialiaisiais reikalavimais minėtų cheminių medžiagų sandėliavimui, ženklinimui, apskaitai ir kitos dokumentacijos tvarkymui bei apie numatytą administracinę atsakomybę.</w:t>
      </w:r>
    </w:p>
    <w:p w:rsidR="00DD08F5" w:rsidRDefault="00DD08F5" w:rsidP="00DD08F5">
      <w:pPr>
        <w:tabs>
          <w:tab w:val="left" w:pos="1080"/>
        </w:tabs>
        <w:ind w:firstLine="540"/>
        <w:jc w:val="both"/>
      </w:pPr>
      <w:r>
        <w:t xml:space="preserve">Narkotikų kontrolės departamento prie LRV duomenimis, 2009 m. kovo 27 d. departamente organizuotas seminaras „Narkotinių ir psichotropinių medžiagų pirmtakai (prekursoriai)“. Dalyvavo specialistai, atstovaujantys chemijos pramonės įmones, savo veikloje naudojančias chemines medžiagas, kurios yra įtrauktos į narkotinių ir psichotropinių medžiagų pirmtakų (prekursorių) sąrašus, bei vykdančias didmeninę ar mažmeninę prekybą minėtomis cheminėmis medžiagomis. Seminaro dalyviai supažindinti su </w:t>
      </w:r>
      <w:hyperlink r:id="rId110" w:tgtFrame="_blank" w:history="1">
        <w:r>
          <w:rPr>
            <w:rStyle w:val="Hipersaitas"/>
            <w:rFonts w:eastAsia="Courier New"/>
          </w:rPr>
          <w:t>2004 m. vasario 11 d. Europos Parlamento ir Tarybos reglamento (EB) 273/2004 dėl narkotinių medžiagų pirmtakų (prekursorių)</w:t>
        </w:r>
      </w:hyperlink>
      <w:r>
        <w:t xml:space="preserve"> (OL L 047, 18/02/2004 p. 0001 – 0010), </w:t>
      </w:r>
      <w:hyperlink r:id="rId111" w:tgtFrame="_blank" w:history="1">
        <w:r>
          <w:rPr>
            <w:rStyle w:val="Hipersaitas"/>
            <w:rFonts w:eastAsia="Courier New"/>
          </w:rPr>
          <w:t>2005 m. liepos 27 d. Komisijos reglamento (EB) Nr. 1277/2005, nustatančio Europos Parlamento ir Tarybos reglamento (EB) Nr. 273/2004 dėl narkotinių medžiagų pirmtakų (prekursorių) ir Tarybos reglamento (EB) Nr. 111/2005, nustatančio prekybos narkotinių ir psichotropinių medžiagų pirmtakais (prekursoriais) tarp Bendrijos ir trečiųjų šalių stebėsenos taisykles</w:t>
        </w:r>
      </w:hyperlink>
      <w:r>
        <w:t xml:space="preserve"> (OL L 202, 03/08/2005 p. 0007 – 0033), </w:t>
      </w:r>
      <w:hyperlink r:id="rId112" w:tgtFrame="_blank" w:history="1">
        <w:r>
          <w:rPr>
            <w:rStyle w:val="Hipersaitas"/>
            <w:rFonts w:eastAsia="Courier New"/>
          </w:rPr>
          <w:t>2004 m. gruodžio 22 d. Tarybos reglamento (EB) Nr. 111/2005, nustatančio prekybos narkotinių ir psichotropinių medžiagų pirmtakais (prekursoriais) tarp Bendrijos ir trečiųjų šalių stebėsenos taisykles</w:t>
        </w:r>
      </w:hyperlink>
      <w:r>
        <w:t xml:space="preserve"> (OL 2005 L 22, p. 1), </w:t>
      </w:r>
      <w:hyperlink r:id="rId113" w:tgtFrame="_blank" w:history="1">
        <w:r>
          <w:rPr>
            <w:rStyle w:val="Hipersaitas"/>
            <w:rFonts w:eastAsia="Courier New"/>
          </w:rPr>
          <w:t>Lietuvos Respublikos narkotinių ir psichotropinių medžiagų pirmtakų (prekursorių) kontrolės įstatym</w:t>
        </w:r>
      </w:hyperlink>
      <w:r>
        <w:t xml:space="preserve">o ir </w:t>
      </w:r>
      <w:hyperlink r:id="rId114" w:tgtFrame="_blank" w:history="1">
        <w:r>
          <w:rPr>
            <w:rStyle w:val="Hipersaitas"/>
            <w:rFonts w:eastAsia="Courier New"/>
          </w:rPr>
          <w:t>Lietuvos Respublikos Vyriausybės 2006 m. kovo 9 d. nutarimo Nr. 221 „Dėl veiklos, susijusios su narkotinių ir psichotropinių medžiagų pirmtakais (prekursoriais), licencijavimo, vietos registravimo, importo ir eksporto leidimų išdavimo ir šios veiklos kontrolės vykdymo taisyklių patvirtinimo“</w:t>
        </w:r>
      </w:hyperlink>
      <w:r>
        <w:t xml:space="preserve"> pagrindiniais aspektais.</w:t>
      </w:r>
    </w:p>
    <w:p w:rsidR="00DD08F5" w:rsidRDefault="00DD08F5" w:rsidP="00DD08F5">
      <w:pPr>
        <w:tabs>
          <w:tab w:val="left" w:pos="1080"/>
        </w:tabs>
        <w:ind w:firstLine="540"/>
        <w:jc w:val="both"/>
      </w:pPr>
      <w:r>
        <w:t>Narkotikų kontrolės departamento prie LRV duomenimis, 2009 m. gruodžio 9 d. buvo organizuotas informacinis seminaras „Narkotinių ir psichotropinių medžiagų pirmtakų (prekursorių) kontrolės aspektai 2009 metais“. Dalyvavo įmonių, kurios į Lietuvos Respublikos rinką tiekia narkotinių ir psichotropinių medžiagų pirmtakus (prekursorius), atstovai. Seminaro metu ūkio subjektai buvo supažindinti su narkotinių ir psichotropinių medžiagų pirmtakų (prekursorių) kontrolės svarba Europos Sąjungoje ir Lietuvoje, prekursorių kontrole Lietuvos muitinėje, 2009 metų prekursorių kontrolės rezultatais, problemomis ir galimais jų sprendimo būdais.</w:t>
      </w:r>
    </w:p>
    <w:p w:rsidR="00DD08F5" w:rsidRDefault="00DD08F5" w:rsidP="00DD08F5">
      <w:pPr>
        <w:tabs>
          <w:tab w:val="left" w:pos="1080"/>
        </w:tabs>
        <w:ind w:firstLine="540"/>
        <w:jc w:val="both"/>
      </w:pPr>
      <w:r>
        <w:t>Narkotikų kontrolės departamento prie LRV duomenimis, departamentas Lietuvoje pradėjo diegti Europos Komisijos sukurtą elektroninę mokymo sistemą, skirtą mokyti subjektus, vykdančius teisėtą veiklą su narkotinių ir psichotropinių medžiagų pirmtakais (prekursoriais), siekiant atpažinti įtartinus sandorius.</w:t>
      </w:r>
    </w:p>
    <w:p w:rsidR="00DD08F5" w:rsidRDefault="00DD08F5" w:rsidP="00DD08F5">
      <w:pPr>
        <w:ind w:firstLine="540"/>
        <w:jc w:val="both"/>
        <w:rPr>
          <w:bCs/>
        </w:rPr>
      </w:pPr>
      <w:r>
        <w:t>Narkotikų kontrolės departamento prie LRV duomenimis, departamentas Lietuvoje r</w:t>
      </w:r>
      <w:r>
        <w:rPr>
          <w:bCs/>
        </w:rPr>
        <w:t xml:space="preserve">enka informaciją apie rinkoje esančias cheminės ir augalinės kilmės medžiagas, kurios gali būti vartojamos svaiginimosi tikslais, inicijuoti teisės aktų tobulinimą, siekiant riboti minėtų medžiagų prieinamumą bei tiekimą į rinką. </w:t>
      </w:r>
    </w:p>
    <w:p w:rsidR="00DD08F5" w:rsidRDefault="00DD08F5" w:rsidP="00DD08F5">
      <w:pPr>
        <w:tabs>
          <w:tab w:val="left" w:pos="1080"/>
        </w:tabs>
        <w:ind w:firstLine="540"/>
        <w:jc w:val="both"/>
      </w:pPr>
      <w:r>
        <w:rPr>
          <w:bCs/>
        </w:rPr>
        <w:t xml:space="preserve">Taip pat, keičiasi informacija </w:t>
      </w:r>
      <w:r>
        <w:t>apie naujas psichoaktyviąsias medžiagas.</w:t>
      </w:r>
    </w:p>
    <w:p w:rsidR="00DD08F5" w:rsidRDefault="00DD08F5" w:rsidP="00DD08F5">
      <w:pPr>
        <w:tabs>
          <w:tab w:val="left" w:pos="1080"/>
        </w:tabs>
        <w:ind w:firstLine="540"/>
        <w:jc w:val="both"/>
      </w:pPr>
      <w:r>
        <w:t xml:space="preserve"> Keitimosi informacija apie naujas psichoaktyviąsias medžiagas mechanizmas  nustatytas 2005 m. gegužės 10 d. Tarybos sprendimu 2005/387/TVR “Dėl keitimosi informacija apie naujas psichoaktyviąsias medžiagas, jų rizikos įvertinimo ir kontrolės”. Šis sprendimas taikomas medžiagoms, kurios nėra įtrauktos į 1961 m. Jungtinių Tautų bendrosios narkotinių medžiagų konvencijos ir 1971 m. Jungtinių Tautų psichotropinių medžiagų konvencijos sąrašus. Informacija apie naujas psichoaktyviąsias medžiagas, jų gamybą, prekybą jomis ir vartojimą teikiama Europolui ir </w:t>
      </w:r>
      <w:r>
        <w:lastRenderedPageBreak/>
        <w:t>Europos narkotikų ir narkomanijos stebėsenos centrui. Naujų psichoaktyviųjų medžiagų rizikos įvertinimą atlieka Europos narkotikų ir narkomanijos stebėsenos centro mokslinis komitetas kartu su Europos Komisijos, Europolo, Europos vaistų agentūros ekspertais ir tų mokslo sričių, kurioms neatstovaujama ar atstovaujama nepakankamai, ekspertais.</w:t>
      </w:r>
    </w:p>
    <w:p w:rsidR="00DD08F5" w:rsidRDefault="00DD08F5" w:rsidP="00DD08F5">
      <w:pPr>
        <w:tabs>
          <w:tab w:val="left" w:pos="1080"/>
        </w:tabs>
        <w:ind w:firstLine="540"/>
        <w:jc w:val="both"/>
      </w:pPr>
      <w:r>
        <w:t>Narkotikų kontrolės departamento prie LRV duomenimis, efektyvesnei naujų psichoaktyviųjų medžiagų kontrolei Lietuvoje departamentas, vadovaudamasis 2005 m. gegužės 10 d. Tarybos sprendimu 2005/387/TVR dėl keitimosi informacija apie naujas psichoaktyviąsias medžiagas, jų rizikos įvertinimo ir kontrolės, parengė Pasikeitimo informacija apie naujų psichoaktyviųjų medžiagų atsiradimą tvarkos aprašą, patvirtintą Narkotikų kontrolės departamento prie Lietuvos Respublikos Vyriausybės direktoriaus 2005 m. sausio 17 d. įsakymu Nr. 1.2-2. Šis aprašas įpareigoja atsakingas institucijas operatyviai keistis informacija apie naujų psichoaktyviųjų medžiagų atsiradimą. Departamentas organizuoja ir koordinuoja informacijos apie naujų psichoaktyviųjų medžiagų atsiradimą pasikeitimą. Duomenis pagal savo kompetenciją renka ir teikia Kalėjimų departamentas prie Lietuvos Respublikos teisingumo ministerijos, Valstybinė teismo medicinos tarnyba prie Lietuvos Respublikos teisingumo ministerijos, Muitinės departamentas prie Lietuvos Respublikos finansų ministerijos, Sveikatos apsaugos ministerijos Ekstremalių sveikatai situacijų centras, Valstybinė vaistų kontrolės tarnyba prie Lietuvos Respublikos sveikatos apsaugos ministerijos, Valstybinis aplinkos sveikatos centras, Valstybinis psichikos sveikatos centras, Valstybinė ne maisto produktų inspekcija prie Ūkio ministerijos, Valstybinė visuomenės sveikatos priežiūros tarnyba prie Sveikatos apsaugos ministerijos, Valstybinė maisto ir veterinarijos tarnyba.</w:t>
      </w:r>
    </w:p>
    <w:p w:rsidR="00DD08F5" w:rsidRDefault="00DD08F5" w:rsidP="00DD08F5">
      <w:pPr>
        <w:tabs>
          <w:tab w:val="left" w:pos="1080"/>
        </w:tabs>
        <w:ind w:firstLine="540"/>
        <w:jc w:val="both"/>
      </w:pPr>
      <w:r>
        <w:t>Narkotikų kontrolės departamento prie LRV duomenimis, 2009 m. iš Europos narkotikų ir narkomanijos stebėsenos centro buvo gauta 20 pranešimų apie naujas psichoaktyviąsias medžiagas, pranešimai išsiųsti aukščiau minėtoms Lietuvos institucijoms. Europos narkotikų ir narkomanijos stebėsenos centrui nusiųsta informacija apie vieną Lietuvoje pasirodžiusią naują psichoaktyvią medžiagą (kitose Europos Sąjungos valstybėse dar neužfiksuotą – JWH-200), taip pat apie Lietuvos Respublikos teisės aktų pakeitimus, kuriais į Narkotinių ir psichotropinių medžiagų sąrašus, patvirtintus Lietuvos Respublikos sveikatos apsaugos ministro 2000 m. sausio 6 d. įsakymu Nr. 5 „Dėl narkotinių ir psichotropinių medžiagų sąrašų patvirtinimo“ įtrauktos naujos medžiagos.</w:t>
      </w:r>
    </w:p>
    <w:p w:rsidR="00DD08F5" w:rsidRDefault="00DD08F5" w:rsidP="00DD08F5">
      <w:pPr>
        <w:tabs>
          <w:tab w:val="left" w:pos="1080"/>
        </w:tabs>
        <w:ind w:firstLine="540"/>
        <w:jc w:val="both"/>
      </w:pPr>
      <w:r>
        <w:t>Narkotikų kontrolės departamento prie LRV duomenimis, Tarpžinybinė naujų psichoaktyvų efektą sukeliančių medžiagų rizikos vertinimo komisija, išnagrinėjo surinktą informaciją apie rinkoje esančias cheminės ir augalinės kilmės medžiagas, kurios gali būti vartojamos svaiginimosi tikslams, atsižvelgusi į Europos narkotikų ir narkomanijos stebėsenos centro rekomendacijas, minėtą informaciją pateikė Lietuvos Respublikos sveikatos apsaugos ministerijai.</w:t>
      </w:r>
      <w:r>
        <w:br/>
        <w:t xml:space="preserve">2009 m. į Narkotinių ir psichotropinių medžiagų sąrašus įtrauktos cheminės medžiagos, kurios yra žolinių mišinių, prekiniu pavadinimu „Spice“, sudėtyje (CP-47,497, CP-47, 497-C6, CP-47, 497-C8, CP-47, 497-C9, HU-210, JWH-018, JWH-073 – į I sąrašą „Narkotinės ir psichotropinės medžiagos, draudžiamos vartoti medicinos tikslams“), taip pat keli psichoaktyviu poveikiu pasižymintys augalai ir jų veikliosios medžiagos (gyslotasis vyklys ir jo dalys (lot. </w:t>
      </w:r>
      <w:r>
        <w:rPr>
          <w:i/>
          <w:iCs/>
        </w:rPr>
        <w:t>Argyreia nervosa</w:t>
      </w:r>
      <w:r>
        <w:t xml:space="preserve">, angl. </w:t>
      </w:r>
      <w:r>
        <w:rPr>
          <w:i/>
          <w:iCs/>
        </w:rPr>
        <w:t>Hawaiian baby woodrose</w:t>
      </w:r>
      <w:r>
        <w:t xml:space="preserve">), gyslotojo vyklio ir jo dalių ekstraktas, linažiedis sukutis ir jo dalys (lot. </w:t>
      </w:r>
      <w:r>
        <w:rPr>
          <w:i/>
          <w:iCs/>
        </w:rPr>
        <w:t>Ipomoea violacea</w:t>
      </w:r>
      <w:r>
        <w:t xml:space="preserve">, angl. </w:t>
      </w:r>
      <w:r>
        <w:rPr>
          <w:i/>
          <w:iCs/>
        </w:rPr>
        <w:t>Morning glory</w:t>
      </w:r>
      <w:r>
        <w:t xml:space="preserve">), linažiedžio sukučio ir jo dalių ekstraktas, svaigusis kvaitulis ir jo dalys (lot. </w:t>
      </w:r>
      <w:r>
        <w:rPr>
          <w:i/>
          <w:iCs/>
        </w:rPr>
        <w:t>Banisteriopsis caapi</w:t>
      </w:r>
      <w:r>
        <w:t>), svaigiojo kvaitulio ir jo dalių ekstraktas, lizergo rūgšties amidas, izolizergo rūgšties amidas ir analogai (gyslotojo vyklio ir linažiedžio sukučio veikliosios medžiagos), 4-fluoramfetaminas – į I sąrašą „Narkotinės ir psichotropinės medžiagos, draudžiamos vartoti medicinos tikslams“; harmalinas ir harminas (svaigiojo kvaitulio veikliosios medžiagos), tapentadolis – į II sąrašą „Narkotinės ir psichotropinės medžiagos, leidžiamos vartoti medicinos tikslams“). Taip pat 2009 m. vasario 2 d. amilnitritas ir cikloheksilnitritas įtraukti į Nuodingų medžiagų pagal jų toksiškumą sąrašą, patvirtintą Lietuvos Respublikos sveikatos apsaugos ministro 2004 m. gruodžio 30 d. įsakymu Nr. V-975 (Žin., 2005, Nr. 3-47).</w:t>
      </w:r>
    </w:p>
    <w:p w:rsidR="00DD08F5" w:rsidRDefault="00DD08F5" w:rsidP="00DD08F5">
      <w:pPr>
        <w:tabs>
          <w:tab w:val="left" w:pos="1080"/>
        </w:tabs>
        <w:ind w:firstLine="540"/>
        <w:jc w:val="both"/>
        <w:rPr>
          <w:color w:val="FF0000"/>
          <w:szCs w:val="22"/>
        </w:rPr>
      </w:pPr>
      <w:r>
        <w:t xml:space="preserve">Narkotikų kontrolės departamento prie LRV duomenimis, sudaryta Tarpžinybinė naujų psichoaktyvų efektą sukeliančių medžiagų rizikos vertinimo komisija, į kurios sudėtį įeina Lietuvos Respublikos sveikatos apsaugos ministerijos, Valstybinės vaistų kontrolės tarnybos prie Lietuvos Respublikos sveikatos apsaugos ministerijos, Vilniaus universiteto, Botanikos instituto, Kauno medicinos universiteto, Teismo medicinos tarnybos prie Lietuvos Respublikos teisingumo ministerijos, Departamento, Valstybinio aplinkos sveikatos centro prie Lietuvos Respublikos sveikatos apsaugos ministerijos, Lietuvos Respublikos sveikatos apsaugos ministerijos Farmacijos departamento, Nacionalinio maisto ir veterinarijos rizikos vertinimo instituto, Lietuvos policijos </w:t>
      </w:r>
      <w:r>
        <w:lastRenderedPageBreak/>
        <w:t>kriminalistinių tyrimų centro atstovai. Per 2009 metus buvo suorganizuoti 3 Komisijos posėdžiai, kurių metu buvo apsvarstytos 25 psichoaktyviu poveikiu pasižyminčios medžiagos ir 19 iš jų buvo nuspręsta siūlyti Sveikatos apsaugos ministerijai įtraukti į Narkotinių ir psichotropinių medžiagų sąrašus.</w:t>
      </w:r>
    </w:p>
    <w:p w:rsidR="00DD08F5" w:rsidRDefault="00DD08F5" w:rsidP="00DD08F5">
      <w:pPr>
        <w:ind w:firstLine="540"/>
        <w:jc w:val="both"/>
      </w:pPr>
      <w:r>
        <w:t xml:space="preserve">Narkotikų kontrolės departamento prie LRV duomenimis, po kanapių, pasauliniu lygiu labiausiai vartojami narkotikai yra amfetaminai ir ekstazi. </w:t>
      </w:r>
    </w:p>
    <w:p w:rsidR="00DD08F5" w:rsidRDefault="00DD08F5" w:rsidP="00DD08F5">
      <w:pPr>
        <w:ind w:firstLine="540"/>
        <w:jc w:val="both"/>
      </w:pPr>
      <w:r>
        <w:t>Narkotikų kontrolės departamento prie LRV duomenimis, pagal Europos narkotikų ir narkomanijos stebėsenos centrą:</w:t>
      </w:r>
    </w:p>
    <w:p w:rsidR="00DD08F5" w:rsidRDefault="00DD08F5" w:rsidP="00DD08F5">
      <w:pPr>
        <w:jc w:val="both"/>
      </w:pPr>
      <w:r>
        <w:t>- amfetaminus bent kartą gyvenime vartojo 3,3 % europiečių, Lietuvoje – 1,6 %.</w:t>
      </w:r>
    </w:p>
    <w:p w:rsidR="00DD08F5" w:rsidRDefault="00DD08F5" w:rsidP="00DD08F5">
      <w:pPr>
        <w:jc w:val="both"/>
      </w:pPr>
      <w:r>
        <w:t>- per pastaruosius 12 mėnesių -  0,6 % europiečių, Lietuvoje - 0,7 %.</w:t>
      </w:r>
    </w:p>
    <w:p w:rsidR="00DD08F5" w:rsidRDefault="00DD08F5" w:rsidP="00DD08F5">
      <w:pPr>
        <w:jc w:val="both"/>
      </w:pPr>
      <w:r>
        <w:t>- vartojimas stabilizavosi per pastaruosius 4 metus Lietuvoje.</w:t>
      </w:r>
    </w:p>
    <w:p w:rsidR="00DD08F5" w:rsidRDefault="00DD08F5" w:rsidP="00DD08F5">
      <w:pPr>
        <w:jc w:val="both"/>
      </w:pPr>
      <w:r>
        <w:t>- nors kartą gyvenime ekstazi vartojo 2,8 % 15-64 metų amžiaus europiečių; Lietuvoje - 2,1 %.</w:t>
      </w:r>
    </w:p>
    <w:p w:rsidR="00DD08F5" w:rsidRDefault="00DD08F5" w:rsidP="00DD08F5">
      <w:pPr>
        <w:jc w:val="both"/>
      </w:pPr>
      <w:r>
        <w:t>- per pastaruosius 12 mėn.  – 0,8 % europiečių, Lietuvoje – 1 %.</w:t>
      </w:r>
    </w:p>
    <w:p w:rsidR="00DD08F5" w:rsidRDefault="00DD08F5" w:rsidP="00DD08F5">
      <w:pPr>
        <w:jc w:val="both"/>
      </w:pPr>
      <w:r>
        <w:t xml:space="preserve">- stebimas Lietuvoje ekstazi vartojimo didėjimas, (taip pat Airijoje, Prancūzijoje, Vengrijoje, Olandijoje, Slovakijoje). </w:t>
      </w:r>
    </w:p>
    <w:p w:rsidR="00DD08F5" w:rsidRDefault="00DD08F5" w:rsidP="00DD08F5">
      <w:pPr>
        <w:ind w:firstLine="360"/>
        <w:jc w:val="both"/>
      </w:pPr>
      <w:r>
        <w:t>Paskutiniais tyrimų duomenimis, Europoje stebimas kokaino vartojimo augimas, kuris  jaunimo tarpe prasidėjo  dar 9-ojo  dešimtmečio viduryje.</w:t>
      </w:r>
    </w:p>
    <w:p w:rsidR="00DD08F5" w:rsidRDefault="00DD08F5" w:rsidP="00DD08F5">
      <w:pPr>
        <w:ind w:firstLine="360"/>
        <w:jc w:val="both"/>
      </w:pPr>
      <w:r>
        <w:t>Kokainą 15-64 metų amžiaus europiečių tarpe bent kartą gyvenime yra vartoję 3,6 proc., Lietuvoje - 0,5 proc.;  per pastaruosius 12 mėnesių Europoje– 1,2 proc., Lietuvoje – 0,2 proc.; per paskutiniąsias 30 dienų Europoje – 0,5 proc., Lietuvoje – 0,1 proc. Lietuvoje, lyginant su 2004 m. tyrimo duomenimis, reikšmingų skirtumų kokaino vartojimo paplitime nenustatyta.</w:t>
      </w:r>
    </w:p>
    <w:p w:rsidR="00DD08F5" w:rsidRDefault="00DD08F5" w:rsidP="00DD08F5">
      <w:pPr>
        <w:ind w:firstLine="360"/>
        <w:jc w:val="both"/>
      </w:pPr>
      <w:r>
        <w:t>Vidutinis narkotikų vartojimo pradžios amžius (pagal medianą) 18-22 m.:</w:t>
      </w:r>
    </w:p>
    <w:p w:rsidR="00DD08F5" w:rsidRDefault="00DD08F5" w:rsidP="00DD08F5">
      <w:pPr>
        <w:ind w:left="360" w:firstLine="360"/>
        <w:jc w:val="both"/>
      </w:pPr>
      <w:r>
        <w:t>Kanapių – 19 m.</w:t>
      </w:r>
    </w:p>
    <w:p w:rsidR="00DD08F5" w:rsidRDefault="00DD08F5" w:rsidP="00DD08F5">
      <w:pPr>
        <w:ind w:left="360" w:firstLine="360"/>
        <w:jc w:val="both"/>
      </w:pPr>
      <w:r>
        <w:t>Ekstazi – 18 m.</w:t>
      </w:r>
    </w:p>
    <w:p w:rsidR="00DD08F5" w:rsidRDefault="00DD08F5" w:rsidP="00DD08F5">
      <w:pPr>
        <w:ind w:left="360" w:firstLine="360"/>
        <w:jc w:val="both"/>
      </w:pPr>
      <w:r>
        <w:t>Kokaino ir LSD – 22m.</w:t>
      </w:r>
    </w:p>
    <w:p w:rsidR="00DD08F5" w:rsidRDefault="00DD08F5" w:rsidP="00DD08F5">
      <w:pPr>
        <w:ind w:left="360" w:firstLine="360"/>
        <w:jc w:val="both"/>
      </w:pPr>
      <w:r>
        <w:t>Ketvirtadalis respondentų pabandė kanapių būdami ne vyresni nei 17 m., trys ketvirtadaliai – iki  21 m. 90 proc. iki  27 m.</w:t>
      </w:r>
    </w:p>
    <w:p w:rsidR="00DD08F5" w:rsidRDefault="00DD08F5" w:rsidP="00DD08F5">
      <w:pPr>
        <w:ind w:left="360" w:firstLine="360"/>
        <w:jc w:val="both"/>
      </w:pPr>
      <w:r>
        <w:t>Jauniausias asmuo – 12 metų</w:t>
      </w:r>
    </w:p>
    <w:p w:rsidR="00DD08F5" w:rsidRDefault="00DD08F5" w:rsidP="00DD08F5">
      <w:pPr>
        <w:ind w:left="360" w:firstLine="360"/>
        <w:jc w:val="both"/>
      </w:pPr>
      <w:r>
        <w:t xml:space="preserve">Vyriausias – 57 m. </w:t>
      </w:r>
    </w:p>
    <w:p w:rsidR="00DD08F5" w:rsidRDefault="00DD08F5" w:rsidP="00DD08F5">
      <w:pPr>
        <w:ind w:left="360" w:firstLine="360"/>
        <w:jc w:val="both"/>
      </w:pPr>
      <w:r>
        <w:t>Kaip ir 2004 m. dažniausiai narkotikai yra vartojami draugų rate (74 proc.), lankantis diskotekose, naktiniuose klubuose (20 proc.). Dažniau vartoja aukštesnes pajamas gaunantys asmenys.</w:t>
      </w:r>
    </w:p>
    <w:p w:rsidR="00DD08F5" w:rsidRDefault="00DD08F5" w:rsidP="00DD08F5">
      <w:pPr>
        <w:ind w:left="360" w:firstLine="360"/>
        <w:jc w:val="both"/>
      </w:pPr>
      <w:r>
        <w:t>15-24 m. asmenų tarpe padidėjo asmenų žinančių, kur įsigyti narkotikų, 19 proc.  asmenų, buvo pasiūlyta narkotikų nors kartą gyvenime, dažniausiai kanapių</w:t>
      </w:r>
    </w:p>
    <w:p w:rsidR="00DD08F5" w:rsidRDefault="00DD08F5" w:rsidP="00DD08F5">
      <w:pPr>
        <w:ind w:left="360" w:firstLine="360"/>
        <w:jc w:val="both"/>
      </w:pPr>
      <w:r>
        <w:t xml:space="preserve">Kanapes labai lengva gauti būtų 8,1 proc. 15-34 m. gyventojų, sunkiausiai - haliucinogeniniai grybai ir LSD. </w:t>
      </w:r>
    </w:p>
    <w:p w:rsidR="00DD08F5" w:rsidRDefault="00DD08F5" w:rsidP="00DD08F5">
      <w:pPr>
        <w:ind w:left="360" w:firstLine="360"/>
        <w:jc w:val="both"/>
      </w:pPr>
      <w:r>
        <w:t xml:space="preserve">Kaip ir 2004 m., 33 proc. 15-34 m. Lietuvos gyventojų pažįsta žmones, kurie vartoja kanapes. Nurodžiusių, jog pažįsta ekstazi vartojančius žmones buvo 12 proc., amfetaminą – 8 proc. </w:t>
      </w:r>
    </w:p>
    <w:p w:rsidR="00DD08F5" w:rsidRDefault="00DD08F5" w:rsidP="00DD08F5">
      <w:pPr>
        <w:ind w:left="360" w:firstLine="360"/>
        <w:jc w:val="both"/>
      </w:pPr>
      <w:r>
        <w:t xml:space="preserve">Kaip ir 2004 m., kas penktas respondentas, bandęs arba vartojantis narkotikus, nurodė, kad jo šeimos nariai apie tai žino, o kad žino draugai – nurodė 83,5 proc. </w:t>
      </w:r>
    </w:p>
    <w:p w:rsidR="00DD08F5" w:rsidRDefault="00DD08F5" w:rsidP="00DD08F5">
      <w:pPr>
        <w:ind w:left="360" w:firstLine="360"/>
        <w:jc w:val="both"/>
      </w:pPr>
      <w:r>
        <w:t>Kaip ir 2004 m., pagrindinėmis priežastimis, kurios sulaikė nuo narkotikų pabandymo, respondentai įvardijo nesidomėjimą narkotikais („manęs tai nedomina“ – 52,5 proc.), neigiamą požiūrį į narkotikų vartojimą („esu neigiamai nusistatęs prieš narkotikų vartojimą“ – 38,8 proc.), kenkimą sveikatai („suvokiu neigiamą narkotikų poveikį sveikatai“ – 28,3 proc.) ir priklausomybės baimę („baimė tapti priklausomu“ – 18,9 proc.). Sumažėjo asmenų, kurie sutiktų,  jog reiktų leisti legaliai rūkyti hašišą arba marihuaną, “žolę”(2004 m. – 17 proc., 2008 m. 10 proc.) bei kurie sutiktų, kad reiktų legaliai leisti rūkyti heroiną (2004 m. – 6 proc., 2008 m. – 1,8 proc.).</w:t>
      </w:r>
    </w:p>
    <w:p w:rsidR="00DD08F5" w:rsidRDefault="00DD08F5" w:rsidP="00DD08F5">
      <w:pPr>
        <w:ind w:left="360" w:firstLine="360"/>
        <w:jc w:val="both"/>
      </w:pPr>
      <w:r>
        <w:t>Lietuvos gyventojai gana teigiamai vertina savo žinias apie galimas narkotikų vartojimo pasekmes 2008 m. – 89 proc.</w:t>
      </w:r>
    </w:p>
    <w:p w:rsidR="00DD08F5" w:rsidRDefault="00DD08F5" w:rsidP="00DD08F5">
      <w:pPr>
        <w:ind w:left="360" w:firstLine="360"/>
        <w:jc w:val="both"/>
      </w:pPr>
      <w:r>
        <w:t xml:space="preserve">Dauguma mano, kad jaunimas pradeda vartoti narkotikus, kad patenkintų smalsumą, sumažintų nuobodulį, neišsiskirtų iš bendraamžių (30-50 proc.). </w:t>
      </w:r>
    </w:p>
    <w:p w:rsidR="00DD08F5" w:rsidRDefault="00DD08F5" w:rsidP="00DD08F5">
      <w:pPr>
        <w:ind w:left="360" w:firstLine="360"/>
        <w:jc w:val="both"/>
      </w:pPr>
      <w:r>
        <w:t>Dvigubai sumažėjo manančių, kad narkotikus vartoti madinga. (2004 m. – 25 proc., 2008 m. – 13 proc.).</w:t>
      </w:r>
    </w:p>
    <w:p w:rsidR="00DD08F5" w:rsidRDefault="00DD08F5" w:rsidP="00DD08F5">
      <w:pPr>
        <w:ind w:left="360" w:firstLine="360"/>
        <w:jc w:val="both"/>
      </w:pPr>
      <w:r>
        <w:t>14,8 proc. apklaustųjų nurodė, kad yra vairavę apsvaigę nuo alkoholinių gėrimų. Klubų lankytojų – 32 proc.</w:t>
      </w:r>
    </w:p>
    <w:p w:rsidR="00DD08F5" w:rsidRDefault="00DD08F5" w:rsidP="00DD08F5">
      <w:pPr>
        <w:ind w:left="360" w:firstLine="360"/>
        <w:jc w:val="both"/>
      </w:pPr>
      <w:r>
        <w:t>Apsvaigę nuo narkotikų bent kartą yra vairavę 0,8 proc. Klubų lankytojų – 11 proc.</w:t>
      </w:r>
    </w:p>
    <w:p w:rsidR="00DD08F5" w:rsidRDefault="00DD08F5" w:rsidP="00DD08F5">
      <w:pPr>
        <w:ind w:firstLine="360"/>
        <w:jc w:val="both"/>
      </w:pPr>
      <w:r>
        <w:lastRenderedPageBreak/>
        <w:t>Narkotikų kontrolės departamento prie LRV duomenimis, sveikatos priežiūrą vykdo 5 priklausomybės ligų centrai, 65 psichikos sveikatos centrai. Lietuvoje yra 256 asmens sveikatos priežiūros įstaigos, turinčios teisę užsiimti asmens sveikatos priežiūros veikla,  teikiant psichiatrijos, priklausomybės ligų psichiatrijos, psichoterapijos, vaikų ir paauglių psichiatrijos sveikatos priežiūros paslaugas.</w:t>
      </w:r>
    </w:p>
    <w:p w:rsidR="00DD08F5" w:rsidRDefault="00DD08F5" w:rsidP="00DD08F5">
      <w:pPr>
        <w:ind w:firstLine="360"/>
        <w:jc w:val="both"/>
      </w:pPr>
      <w:r>
        <w:t xml:space="preserve">Narkotikų kontrolės departamento prie LRV duomenimis, buvo organizuoti pedagogų mokymus dėl Alkoholio, tabako ir kitų psichiką veikiančių medžiagų vartojimo prevencijos programos įgyvendinimo. </w:t>
      </w:r>
      <w:r>
        <w:rPr>
          <w:rStyle w:val="Grietas"/>
          <w:b w:val="0"/>
        </w:rPr>
        <w:t xml:space="preserve">2009 m. gegužės 19 d. kartu su </w:t>
      </w:r>
      <w:r>
        <w:t>Vilniaus miesto savivaldybės administracijos Kultūros ir ugdymo departamento Švietimo skyriumi organizavo konferenciją „Psichoaktyviųjų medžiagų vartojimo prevencijos aktualijos“, kurios metu buvo pristatytos naujausios psichoaktyviųjų medžiagų vartojimo paplitimo tendencijos Lietuvoje bei ESPAD tyrimai, taip pat nagrinėjamos psichoaktyviųjų medžiagų vartojimo ir prevencijos problemos. K</w:t>
      </w:r>
      <w:r>
        <w:rPr>
          <w:color w:val="000000"/>
        </w:rPr>
        <w:t xml:space="preserve">artu su Vilniaus universiteto Medicinos fakulteto Visuomenės sveikatos institutu 2009 m. birželio 8 d. Kaune, 2009 m. birželio 10 d. Klaipėdoje ir 2009 m. birželio 17 d. Vilniuje organizavo mokymus savivaldybių narkotikų kontrolės komisijų ir savivaldybių prevencinio darbo koordinavimo grupių nariams. Mokymuose dalyviai buvo supažindinti su narkotikų kontrolės ir narkomanijos prevencijos priemonių įgyvendinimo aktualijomis, Vaiko teisių apsaugos ir kitų institucijų bendradarbiavimu sprendžiant vaikų psichoaktyviųjų medžiagų vartojimo problemą, psichoaktyviųjų medžiagų vartojimo paplitimo tyrimais, prevencinio darbo organizavimo naujovėmis, naujomis psichoaktyviosiomis medžiagomis, paslaugų, teikiamų asmenims, vartojantiems psichoaktyviąsias medžiagas arba sergantiems priklausomybe, organizavimu. </w:t>
      </w:r>
      <w:r>
        <w:t xml:space="preserve">2009 m. lapkričio 5 d. kartu su Lietuvos Respublikos Seimo Narkomanijos ir alkoholizmo prevencijos komisija, Jungtinių Tautų Narkotikų ir nusikalstamumo biuru bei Europos narkotikų ir narkomanijos stebėsenos centru Lietuvos Respublikos Seime organizavo tarptautinę konferenciją „Naujos narkotikų vartojimo tendencijos: faktai ir sprendimai“. </w:t>
      </w:r>
      <w:r>
        <w:rPr>
          <w:color w:val="000000"/>
        </w:rPr>
        <w:t xml:space="preserve">Lietuvos Respublikos </w:t>
      </w:r>
      <w:r>
        <w:t xml:space="preserve">Seimo Narkomanijos ir alkoholizmo prevencijos komisija kartu su departamentu bei </w:t>
      </w:r>
      <w:r>
        <w:rPr>
          <w:color w:val="000000"/>
        </w:rPr>
        <w:t>Lietuvos Respublikos š</w:t>
      </w:r>
      <w:r>
        <w:t>vietimo ir mokslo ministerija 2009 m. lapkričio 16, 17, 19 dienomis organizavo apskričių viršininkams, savivaldybių administracijų švietimo padalinių ir mokyklų vadovams skirtus mokymus – konferenciją „Psichoaktyviųjų medžiagų vartojimo prevencija ugdymo įstaigose“.</w:t>
      </w:r>
      <w:r>
        <w:rPr>
          <w:color w:val="000000"/>
        </w:rPr>
        <w:t xml:space="preserve"> </w:t>
      </w:r>
      <w:r>
        <w:t>Departamento specialistai dalyvavo organizuojant mokymus bei skaitė pranešimus mokymų metu.</w:t>
      </w:r>
    </w:p>
    <w:p w:rsidR="00DD08F5" w:rsidRDefault="00DD08F5" w:rsidP="00DD08F5">
      <w:pPr>
        <w:ind w:firstLine="360"/>
        <w:rPr>
          <w:b/>
          <w:bCs/>
        </w:rPr>
      </w:pPr>
      <w:r>
        <w:rPr>
          <w:b/>
          <w:bCs/>
        </w:rPr>
        <w:t xml:space="preserve">Narkotikų kontrolės departamento prie LRV 2008 metais vykdytos priemonės, kuriose buvo paskirtas atsakingu vykdytoju :  </w:t>
      </w:r>
    </w:p>
    <w:p w:rsidR="00DD08F5" w:rsidRDefault="00DD08F5" w:rsidP="00DD08F5">
      <w:pPr>
        <w:ind w:firstLine="540"/>
        <w:jc w:val="both"/>
        <w:rPr>
          <w:bCs/>
        </w:rPr>
      </w:pPr>
      <w:r>
        <w:rPr>
          <w:bCs/>
        </w:rPr>
        <w:t>Nacionalinės narkotikų kontrolės ir narkomanijos prevencijos 2004-2008 metų programos 2008 metų priemonių įgyvendinimo lėšos, nurodytos Lietuvos Respublikos Vyriausybės 2007 m. gruodžio 19 d. nutarime Nr. 1404 (Žin., 2007, Nr. 138-5672).</w:t>
      </w:r>
    </w:p>
    <w:p w:rsidR="00DD08F5" w:rsidRDefault="00DD08F5" w:rsidP="00DD08F5">
      <w:pPr>
        <w:ind w:firstLine="540"/>
        <w:jc w:val="both"/>
      </w:pPr>
    </w:p>
    <w:tbl>
      <w:tblPr>
        <w:tblW w:w="0" w:type="auto"/>
        <w:jc w:val="center"/>
        <w:tblInd w:w="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0"/>
        <w:gridCol w:w="2340"/>
      </w:tblGrid>
      <w:tr w:rsidR="00DD08F5" w:rsidTr="004F7425">
        <w:trPr>
          <w:jc w:val="center"/>
        </w:trPr>
        <w:tc>
          <w:tcPr>
            <w:tcW w:w="5350" w:type="dxa"/>
          </w:tcPr>
          <w:p w:rsidR="00DD08F5" w:rsidRDefault="00DD08F5" w:rsidP="004F7425">
            <w:pPr>
              <w:ind w:firstLine="540"/>
              <w:jc w:val="both"/>
              <w:rPr>
                <w:b/>
              </w:rPr>
            </w:pPr>
            <w:r>
              <w:rPr>
                <w:b/>
              </w:rPr>
              <w:t>Atsakingi vykdytojai</w:t>
            </w:r>
          </w:p>
        </w:tc>
        <w:tc>
          <w:tcPr>
            <w:tcW w:w="2340" w:type="dxa"/>
          </w:tcPr>
          <w:p w:rsidR="00DD08F5" w:rsidRDefault="00DD08F5" w:rsidP="004F7425">
            <w:pPr>
              <w:ind w:firstLine="540"/>
              <w:jc w:val="both"/>
              <w:rPr>
                <w:b/>
              </w:rPr>
            </w:pPr>
            <w:r>
              <w:rPr>
                <w:b/>
              </w:rPr>
              <w:t>2008 m. tūkst. Lt.palyginama skliaustuose (2007 m.)</w:t>
            </w:r>
          </w:p>
        </w:tc>
      </w:tr>
      <w:tr w:rsidR="00DD08F5" w:rsidTr="004F7425">
        <w:trPr>
          <w:jc w:val="center"/>
        </w:trPr>
        <w:tc>
          <w:tcPr>
            <w:tcW w:w="5350" w:type="dxa"/>
          </w:tcPr>
          <w:p w:rsidR="00DD08F5" w:rsidRDefault="00DD08F5" w:rsidP="004F7425">
            <w:pPr>
              <w:ind w:firstLine="540"/>
              <w:jc w:val="both"/>
            </w:pPr>
            <w:r>
              <w:t>Narkotikų kontrolės departamentas prie LRV</w:t>
            </w:r>
          </w:p>
        </w:tc>
        <w:tc>
          <w:tcPr>
            <w:tcW w:w="2340" w:type="dxa"/>
          </w:tcPr>
          <w:p w:rsidR="00DD08F5" w:rsidRDefault="00DD08F5" w:rsidP="004F7425">
            <w:pPr>
              <w:ind w:firstLine="540"/>
              <w:jc w:val="both"/>
            </w:pPr>
            <w:r>
              <w:t xml:space="preserve">4040   (3625) </w:t>
            </w:r>
          </w:p>
        </w:tc>
      </w:tr>
      <w:tr w:rsidR="00DD08F5" w:rsidTr="004F7425">
        <w:trPr>
          <w:jc w:val="center"/>
        </w:trPr>
        <w:tc>
          <w:tcPr>
            <w:tcW w:w="5350" w:type="dxa"/>
          </w:tcPr>
          <w:p w:rsidR="00DD08F5" w:rsidRDefault="00DD08F5" w:rsidP="004F7425">
            <w:pPr>
              <w:ind w:firstLine="540"/>
              <w:jc w:val="both"/>
            </w:pPr>
            <w:r>
              <w:t>Švietimo ir mokslo ministerija</w:t>
            </w:r>
          </w:p>
        </w:tc>
        <w:tc>
          <w:tcPr>
            <w:tcW w:w="2340" w:type="dxa"/>
          </w:tcPr>
          <w:p w:rsidR="00DD08F5" w:rsidRDefault="00DD08F5" w:rsidP="004F7425">
            <w:pPr>
              <w:ind w:firstLine="540"/>
              <w:jc w:val="both"/>
            </w:pPr>
            <w:r>
              <w:t>2500   (2500)</w:t>
            </w:r>
          </w:p>
        </w:tc>
      </w:tr>
      <w:tr w:rsidR="00DD08F5" w:rsidTr="004F7425">
        <w:trPr>
          <w:jc w:val="center"/>
        </w:trPr>
        <w:tc>
          <w:tcPr>
            <w:tcW w:w="5350" w:type="dxa"/>
          </w:tcPr>
          <w:p w:rsidR="00DD08F5" w:rsidRDefault="00DD08F5" w:rsidP="004F7425">
            <w:pPr>
              <w:ind w:firstLine="540"/>
              <w:jc w:val="both"/>
            </w:pPr>
            <w:r>
              <w:t>Jaunimo reikalų departamentas prie LRV</w:t>
            </w:r>
          </w:p>
        </w:tc>
        <w:tc>
          <w:tcPr>
            <w:tcW w:w="2340" w:type="dxa"/>
          </w:tcPr>
          <w:p w:rsidR="00DD08F5" w:rsidRDefault="00DD08F5" w:rsidP="004F7425">
            <w:pPr>
              <w:ind w:firstLine="540"/>
              <w:jc w:val="both"/>
            </w:pPr>
            <w:r>
              <w:t>300     (100)</w:t>
            </w:r>
          </w:p>
        </w:tc>
      </w:tr>
      <w:tr w:rsidR="00DD08F5" w:rsidTr="004F7425">
        <w:trPr>
          <w:jc w:val="center"/>
        </w:trPr>
        <w:tc>
          <w:tcPr>
            <w:tcW w:w="5350" w:type="dxa"/>
          </w:tcPr>
          <w:p w:rsidR="00DD08F5" w:rsidRDefault="00DD08F5" w:rsidP="004F7425">
            <w:pPr>
              <w:ind w:firstLine="540"/>
              <w:jc w:val="both"/>
            </w:pPr>
            <w:r>
              <w:t>Policijos departamentas prie VRM</w:t>
            </w:r>
          </w:p>
        </w:tc>
        <w:tc>
          <w:tcPr>
            <w:tcW w:w="2340" w:type="dxa"/>
          </w:tcPr>
          <w:p w:rsidR="00DD08F5" w:rsidRDefault="00DD08F5" w:rsidP="004F7425">
            <w:pPr>
              <w:ind w:firstLine="540"/>
              <w:jc w:val="both"/>
            </w:pPr>
            <w:r>
              <w:t>2717   (1498)</w:t>
            </w:r>
          </w:p>
        </w:tc>
      </w:tr>
      <w:tr w:rsidR="00DD08F5" w:rsidTr="004F7425">
        <w:trPr>
          <w:jc w:val="center"/>
        </w:trPr>
        <w:tc>
          <w:tcPr>
            <w:tcW w:w="5350" w:type="dxa"/>
          </w:tcPr>
          <w:p w:rsidR="00DD08F5" w:rsidRDefault="00DD08F5" w:rsidP="004F7425">
            <w:pPr>
              <w:ind w:firstLine="540"/>
              <w:jc w:val="both"/>
            </w:pPr>
            <w:r>
              <w:t>Sveikatos apsaugos ministerija</w:t>
            </w:r>
          </w:p>
        </w:tc>
        <w:tc>
          <w:tcPr>
            <w:tcW w:w="2340" w:type="dxa"/>
          </w:tcPr>
          <w:p w:rsidR="00DD08F5" w:rsidRDefault="00DD08F5" w:rsidP="004F7425">
            <w:pPr>
              <w:ind w:firstLine="540"/>
              <w:jc w:val="both"/>
            </w:pPr>
            <w:r>
              <w:t>500     (550)</w:t>
            </w:r>
          </w:p>
        </w:tc>
      </w:tr>
      <w:tr w:rsidR="00DD08F5" w:rsidTr="004F7425">
        <w:trPr>
          <w:jc w:val="center"/>
        </w:trPr>
        <w:tc>
          <w:tcPr>
            <w:tcW w:w="5350" w:type="dxa"/>
          </w:tcPr>
          <w:p w:rsidR="00DD08F5" w:rsidRDefault="00DD08F5" w:rsidP="004F7425">
            <w:pPr>
              <w:ind w:firstLine="540"/>
              <w:jc w:val="both"/>
            </w:pPr>
            <w:r>
              <w:t>Kalėjimų departamentas prie TM</w:t>
            </w:r>
          </w:p>
        </w:tc>
        <w:tc>
          <w:tcPr>
            <w:tcW w:w="2340" w:type="dxa"/>
          </w:tcPr>
          <w:p w:rsidR="00DD08F5" w:rsidRDefault="00DD08F5" w:rsidP="004F7425">
            <w:pPr>
              <w:ind w:firstLine="540"/>
              <w:jc w:val="both"/>
            </w:pPr>
            <w:r>
              <w:t>200,4   (338,4)</w:t>
            </w:r>
          </w:p>
        </w:tc>
      </w:tr>
      <w:tr w:rsidR="00DD08F5" w:rsidTr="004F7425">
        <w:trPr>
          <w:jc w:val="center"/>
        </w:trPr>
        <w:tc>
          <w:tcPr>
            <w:tcW w:w="5350" w:type="dxa"/>
          </w:tcPr>
          <w:p w:rsidR="00DD08F5" w:rsidRDefault="00DD08F5" w:rsidP="004F7425">
            <w:pPr>
              <w:ind w:firstLine="540"/>
              <w:jc w:val="both"/>
            </w:pPr>
            <w:r>
              <w:t>Kultūros ministerija</w:t>
            </w:r>
          </w:p>
        </w:tc>
        <w:tc>
          <w:tcPr>
            <w:tcW w:w="2340" w:type="dxa"/>
          </w:tcPr>
          <w:p w:rsidR="00DD08F5" w:rsidRDefault="00DD08F5" w:rsidP="004F7425">
            <w:pPr>
              <w:ind w:firstLine="540"/>
              <w:jc w:val="both"/>
            </w:pPr>
            <w:r>
              <w:t>4         (65)</w:t>
            </w:r>
          </w:p>
        </w:tc>
      </w:tr>
      <w:tr w:rsidR="00DD08F5" w:rsidTr="004F7425">
        <w:trPr>
          <w:jc w:val="center"/>
        </w:trPr>
        <w:tc>
          <w:tcPr>
            <w:tcW w:w="5350" w:type="dxa"/>
          </w:tcPr>
          <w:p w:rsidR="00DD08F5" w:rsidRDefault="00DD08F5" w:rsidP="004F7425">
            <w:pPr>
              <w:ind w:firstLine="540"/>
              <w:jc w:val="both"/>
            </w:pPr>
            <w:r>
              <w:t>Muitinės departamentas prie FM</w:t>
            </w:r>
          </w:p>
        </w:tc>
        <w:tc>
          <w:tcPr>
            <w:tcW w:w="2340" w:type="dxa"/>
          </w:tcPr>
          <w:p w:rsidR="00DD08F5" w:rsidRDefault="00DD08F5" w:rsidP="004F7425">
            <w:pPr>
              <w:ind w:firstLine="540"/>
              <w:jc w:val="both"/>
            </w:pPr>
            <w:r>
              <w:t>754      (450)</w:t>
            </w:r>
          </w:p>
        </w:tc>
      </w:tr>
      <w:tr w:rsidR="00DD08F5" w:rsidTr="004F7425">
        <w:trPr>
          <w:jc w:val="center"/>
        </w:trPr>
        <w:tc>
          <w:tcPr>
            <w:tcW w:w="5350" w:type="dxa"/>
          </w:tcPr>
          <w:p w:rsidR="00DD08F5" w:rsidRDefault="00DD08F5" w:rsidP="004F7425">
            <w:pPr>
              <w:ind w:firstLine="540"/>
              <w:jc w:val="both"/>
            </w:pPr>
            <w:r>
              <w:t>Valstybės sienos apsaugos tarnyba prie VRM</w:t>
            </w:r>
          </w:p>
        </w:tc>
        <w:tc>
          <w:tcPr>
            <w:tcW w:w="2340" w:type="dxa"/>
          </w:tcPr>
          <w:p w:rsidR="00DD08F5" w:rsidRDefault="00DD08F5" w:rsidP="004F7425">
            <w:pPr>
              <w:ind w:firstLine="540"/>
              <w:jc w:val="both"/>
            </w:pPr>
            <w:r>
              <w:t>390      (646)</w:t>
            </w:r>
          </w:p>
        </w:tc>
      </w:tr>
      <w:tr w:rsidR="00DD08F5" w:rsidTr="004F7425">
        <w:trPr>
          <w:jc w:val="center"/>
        </w:trPr>
        <w:tc>
          <w:tcPr>
            <w:tcW w:w="5350" w:type="dxa"/>
          </w:tcPr>
          <w:p w:rsidR="00DD08F5" w:rsidRDefault="00DD08F5" w:rsidP="004F7425">
            <w:pPr>
              <w:ind w:firstLine="540"/>
              <w:jc w:val="both"/>
            </w:pPr>
            <w:r>
              <w:t>Kauno, Klaipėdos, Panevėžio, Šiaulių PLC</w:t>
            </w:r>
          </w:p>
        </w:tc>
        <w:tc>
          <w:tcPr>
            <w:tcW w:w="2340" w:type="dxa"/>
          </w:tcPr>
          <w:p w:rsidR="00DD08F5" w:rsidRDefault="00DD08F5" w:rsidP="004F7425">
            <w:pPr>
              <w:ind w:firstLine="540"/>
              <w:jc w:val="both"/>
            </w:pPr>
            <w:r>
              <w:t>9237  (7834,8)</w:t>
            </w:r>
          </w:p>
        </w:tc>
      </w:tr>
      <w:tr w:rsidR="00DD08F5" w:rsidTr="004F7425">
        <w:trPr>
          <w:jc w:val="center"/>
        </w:trPr>
        <w:tc>
          <w:tcPr>
            <w:tcW w:w="5350" w:type="dxa"/>
          </w:tcPr>
          <w:p w:rsidR="00DD08F5" w:rsidRDefault="00DD08F5" w:rsidP="004F7425">
            <w:pPr>
              <w:ind w:firstLine="540"/>
              <w:jc w:val="both"/>
            </w:pPr>
            <w:r>
              <w:t>Vilniaus PLC</w:t>
            </w:r>
          </w:p>
          <w:p w:rsidR="00DD08F5" w:rsidRDefault="00DD08F5" w:rsidP="004F7425">
            <w:pPr>
              <w:ind w:firstLine="540"/>
              <w:jc w:val="both"/>
            </w:pPr>
          </w:p>
        </w:tc>
        <w:tc>
          <w:tcPr>
            <w:tcW w:w="2340" w:type="dxa"/>
          </w:tcPr>
          <w:p w:rsidR="00DD08F5" w:rsidRDefault="00DD08F5" w:rsidP="004F7425">
            <w:pPr>
              <w:jc w:val="both"/>
            </w:pPr>
            <w:r>
              <w:t>6032,5     ( 5368,6)</w:t>
            </w:r>
          </w:p>
        </w:tc>
      </w:tr>
      <w:tr w:rsidR="00DD08F5" w:rsidTr="004F7425">
        <w:trPr>
          <w:jc w:val="center"/>
        </w:trPr>
        <w:tc>
          <w:tcPr>
            <w:tcW w:w="5350" w:type="dxa"/>
          </w:tcPr>
          <w:p w:rsidR="00DD08F5" w:rsidRDefault="00DD08F5" w:rsidP="004F7425">
            <w:pPr>
              <w:ind w:firstLine="540"/>
              <w:jc w:val="both"/>
            </w:pPr>
            <w:r>
              <w:t>Finansinių nusikaltimų tyrimo tarnyba prie VRM</w:t>
            </w:r>
          </w:p>
        </w:tc>
        <w:tc>
          <w:tcPr>
            <w:tcW w:w="2340" w:type="dxa"/>
          </w:tcPr>
          <w:p w:rsidR="00DD08F5" w:rsidRDefault="00DD08F5" w:rsidP="004F7425">
            <w:pPr>
              <w:ind w:firstLine="540"/>
              <w:jc w:val="both"/>
            </w:pPr>
            <w:r>
              <w:t>240 (300)</w:t>
            </w:r>
          </w:p>
        </w:tc>
      </w:tr>
      <w:tr w:rsidR="00DD08F5" w:rsidTr="004F7425">
        <w:trPr>
          <w:jc w:val="center"/>
        </w:trPr>
        <w:tc>
          <w:tcPr>
            <w:tcW w:w="5350" w:type="dxa"/>
          </w:tcPr>
          <w:p w:rsidR="00DD08F5" w:rsidRDefault="00DD08F5" w:rsidP="004F7425">
            <w:pPr>
              <w:ind w:firstLine="540"/>
              <w:jc w:val="both"/>
            </w:pPr>
            <w:r>
              <w:t>Viso priemonėms:</w:t>
            </w:r>
          </w:p>
        </w:tc>
        <w:tc>
          <w:tcPr>
            <w:tcW w:w="2340" w:type="dxa"/>
          </w:tcPr>
          <w:p w:rsidR="00DD08F5" w:rsidRDefault="00DD08F5" w:rsidP="004F7425">
            <w:pPr>
              <w:jc w:val="both"/>
            </w:pPr>
            <w:r>
              <w:t>26914,9  (23175,8)</w:t>
            </w:r>
          </w:p>
        </w:tc>
      </w:tr>
    </w:tbl>
    <w:p w:rsidR="00DD08F5" w:rsidRDefault="00DD08F5" w:rsidP="00DD08F5">
      <w:pPr>
        <w:jc w:val="both"/>
        <w:rPr>
          <w:b/>
          <w:bCs/>
          <w:i/>
          <w:iCs/>
        </w:rPr>
      </w:pPr>
    </w:p>
    <w:p w:rsidR="00DD08F5" w:rsidRDefault="00DD08F5" w:rsidP="00DD08F5">
      <w:pPr>
        <w:pStyle w:val="Pagrindinistekstas2"/>
        <w:ind w:firstLine="540"/>
        <w:outlineLvl w:val="0"/>
        <w:rPr>
          <w:noProof/>
        </w:rPr>
      </w:pPr>
      <w:r>
        <w:lastRenderedPageBreak/>
        <w:tab/>
        <w:t>Narkotikų kontrolės departamento prie Lietuvos Respublikos Vyriausybės duomenimis, kaip atsakingos institucijos už Nacionalinės narkotikų kontrolės ir narkomanijos prevencijos 2004-2008 metų programos 2008 metų įgyvendinimo priemonę: “Plėtoti valstybės institucijų, vykdančių narkomanijos prevenciją ir narkotikų kontrolę, asociacijų ir bendruomenės tarpusavio bendradarbiavimą”, buvo plėtojamas</w:t>
      </w:r>
      <w:r>
        <w:rPr>
          <w:b/>
        </w:rPr>
        <w:t xml:space="preserve"> </w:t>
      </w:r>
      <w:r>
        <w:t>valstybės institucijų, vykdančių narkomanijos prevenciją ir narkotikų kontrolę, asociacijų ir bendruomenės tarpusavio bendradarbiavimas.</w:t>
      </w:r>
      <w:r>
        <w:rPr>
          <w:b/>
          <w:noProof/>
        </w:rPr>
        <w:t xml:space="preserve"> </w:t>
      </w:r>
      <w:r>
        <w:rPr>
          <w:noProof/>
        </w:rPr>
        <w:t>Organizuoti pasitarimai su savivaldybių narkotikų kontrolės komisijų nariais, apskričių viršininkais, nevyriausybinių organizacijų atstovais narkotikų kontrolės ir narkomanijos prevencijos klausimais.</w:t>
      </w:r>
    </w:p>
    <w:p w:rsidR="00DD08F5" w:rsidRDefault="00DD08F5" w:rsidP="00DD08F5">
      <w:pPr>
        <w:pStyle w:val="prastasistinklapis"/>
        <w:spacing w:before="0" w:beforeAutospacing="0" w:after="0" w:afterAutospacing="0"/>
        <w:ind w:firstLine="540"/>
        <w:jc w:val="both"/>
        <w:rPr>
          <w:noProof/>
        </w:rPr>
      </w:pPr>
      <w:r>
        <w:rPr>
          <w:noProof/>
        </w:rPr>
        <w:t xml:space="preserve">Narkotikų kontrolės departamentas prie Lietuvos Respublikos Vyriausybės surengė 2 tarptautines konferencijas narkotikų kontrolės ir narkomanijos prevencijos klausimais. Vilniuje ir Klaipėdoje surengė Lietuvos savivaldybių narkotikų kontrolės komisijų narių mokymus narkotikų kontrolės ir narkomanijos prevencijos klausimais, kartu su Jungtinių Tautų Narkotikų ir nusikalstamumo biuru Visagine surengė apskrito stalo diskusiją apie narkotinių ir psichotropinių medžiagų žalos mažinimo programų vystymą Lietuvoje, kartu su Specialiosios pedagogikos ir psichologijos centro darbuotojais organizavo mokymus </w:t>
      </w:r>
      <w:r>
        <w:rPr>
          <w:rStyle w:val="Grietas"/>
          <w:b w:val="0"/>
          <w:noProof/>
        </w:rPr>
        <w:t>apskričių</w:t>
      </w:r>
      <w:r>
        <w:rPr>
          <w:noProof/>
        </w:rPr>
        <w:t xml:space="preserve"> specialistams.</w:t>
      </w:r>
    </w:p>
    <w:p w:rsidR="00DD08F5" w:rsidRDefault="00DD08F5" w:rsidP="00DD08F5">
      <w:pPr>
        <w:pStyle w:val="prastasistinklapis"/>
        <w:spacing w:before="0" w:beforeAutospacing="0" w:after="0" w:afterAutospacing="0"/>
        <w:ind w:firstLine="540"/>
        <w:jc w:val="both"/>
        <w:rPr>
          <w:noProof/>
        </w:rPr>
      </w:pPr>
      <w:r>
        <w:rPr>
          <w:noProof/>
        </w:rPr>
        <w:t xml:space="preserve">Priklausomybės ligų reabilitacijos bendruomenių vadovams ir darbuotojams Narkotikų kontrolės departamentas prie Lietuvos Respublikos Vyriausybės </w:t>
      </w:r>
      <w:r>
        <w:rPr>
          <w:rStyle w:val="Grietas"/>
          <w:b w:val="0"/>
          <w:noProof/>
        </w:rPr>
        <w:t>2008 m. balandžio 29-30 d. Dubingiuose organizavo</w:t>
      </w:r>
      <w:r>
        <w:rPr>
          <w:noProof/>
        </w:rPr>
        <w:t xml:space="preserve"> seminarą „Metodikos „Priklausomų asmenų reintegracija į visuomenę ir į darbo rinką: socialinės atskirties problemų sprendimas“ pristatymas.</w:t>
      </w:r>
    </w:p>
    <w:p w:rsidR="00DD08F5" w:rsidRDefault="00DD08F5" w:rsidP="00DD08F5">
      <w:pPr>
        <w:pStyle w:val="prastasistinklapis"/>
        <w:spacing w:before="0" w:beforeAutospacing="0" w:after="0" w:afterAutospacing="0"/>
        <w:ind w:firstLine="540"/>
        <w:jc w:val="both"/>
        <w:rPr>
          <w:noProof/>
        </w:rPr>
      </w:pPr>
      <w:r>
        <w:rPr>
          <w:noProof/>
        </w:rPr>
        <w:t xml:space="preserve">Narkotikų kontrolės departamente prie Lietuvos Respublikos Vyriausybės organizuoti susitikimai su Vilniaus, Kelmės ir Visagino savivaldybių atstovais dėl narkomanijos prevencinės veiklos vykdymo atitinkamose savivaldybėse, su Jungtinių Tautų Narkotikų ir nusikalstamumo biuro regioninių projektų koordinatore Baltijos šalims, siekiant aptarti projekto „ŽIV/AIDS prevencija ir priežiūra tarp švirkščiamųjų narkotikų vartotojų bei nuteistųjų Lietuvoje, Estijoje ir Latvijoje“ įgyvendinimą ir žalos mažinimo veiklas. </w:t>
      </w:r>
    </w:p>
    <w:p w:rsidR="00DD08F5" w:rsidRDefault="00DD08F5" w:rsidP="00DD08F5">
      <w:pPr>
        <w:pStyle w:val="prastasistinklapis"/>
        <w:spacing w:before="0" w:beforeAutospacing="0" w:after="0" w:afterAutospacing="0"/>
        <w:ind w:firstLine="540"/>
        <w:jc w:val="both"/>
        <w:rPr>
          <w:noProof/>
        </w:rPr>
      </w:pPr>
      <w:r>
        <w:rPr>
          <w:noProof/>
        </w:rPr>
        <w:t xml:space="preserve">Narkotikų kontrolės departamento prie Lietuvos Respublikos Vyriausybės specialistai skaitė pranešimus kitų institucijų, organizacijų organizuotuose seminaruose, konferencijose, posėdžiuose, dalyvavo įvairiuose tarpžinybiniuose pasitarimuose.  </w:t>
      </w:r>
    </w:p>
    <w:p w:rsidR="00DD08F5" w:rsidRDefault="00DD08F5" w:rsidP="00DD08F5">
      <w:pPr>
        <w:ind w:firstLine="540"/>
        <w:jc w:val="both"/>
        <w:rPr>
          <w:noProof/>
        </w:rPr>
      </w:pPr>
      <w:r>
        <w:rPr>
          <w:noProof/>
        </w:rPr>
        <w:t xml:space="preserve">Lietuvos Respublikos švietimo ir mokslo ministerija ir Lietuvos jaunimo turizmo centras 2008 m. lapkričio 13-14 d. Palangoje organizavo seminarą „Neformalusis vaikų švietimas: situacija ir galimybės“, kuriame dalyvavo švietimo skyrių atstovai iš 42 Lietuvos savivaldybių administracijų, Policijos departamento prie Vidaus reikalų ministerijos, Vaiko teisių apsaugos tarnybos bei neformaliojo švietimo specialistai (80 dalyvių). </w:t>
      </w:r>
    </w:p>
    <w:p w:rsidR="00DD08F5" w:rsidRDefault="00DD08F5" w:rsidP="00DD08F5">
      <w:pPr>
        <w:ind w:firstLine="540"/>
        <w:jc w:val="both"/>
        <w:rPr>
          <w:noProof/>
        </w:rPr>
      </w:pPr>
      <w:r>
        <w:rPr>
          <w:noProof/>
        </w:rPr>
        <w:t xml:space="preserve">Valstybinis psichikos sveikatos centras 2008 m. lapkričio 14 d. Trakų visuomenės sveikatos priežiūros ir specialistų tobulinimo centre savivaldybių visuomenės sveikatos biurų specialistams organizavo seminarą ,,Psichikos sveikatos problematika savivaldybių visuomenės sveikatos biurų veikloje“. </w:t>
      </w:r>
    </w:p>
    <w:p w:rsidR="00DD08F5" w:rsidRDefault="00DD08F5" w:rsidP="00DD08F5">
      <w:pPr>
        <w:ind w:firstLine="540"/>
        <w:jc w:val="both"/>
      </w:pPr>
      <w:r>
        <w:rPr>
          <w:noProof/>
        </w:rPr>
        <w:t xml:space="preserve">Narkotikų kontrolės departamento prie Lietuvos Respublikos Vyriausybės duomenimis,  </w:t>
      </w:r>
      <w:r>
        <w:t xml:space="preserve">Lietuvos Respublikos švietimo ir mokslo ministerija, Lietuvos Respublikos sveikatos apsaugos ministerija 2008 metais organizavo kvalifikacijos tobulinimo kursus pedagogams, klasių auklėtojams, socialiniams pedagogams, visuomenės sveikatos priežiūros specialistams, pirminės sveikatos priežiūros specialistams, dirbantiems psichoaktyviųjų medžiagų prevencijos ir narkotikų kontrolės srityje, savivaldybių administracijų švietimo padalinių specialistams ir mokyklose įsteigtų prevencinio darbo grupių atstovams psichoaktyviųjų medžiagų prevencijos ir ankstyvosios intervencijos klausimais. Lietuvos Respublikos švietimo ir mokslo ministerija pagal Psichoaktyvių medžiagų vartojimo prevencijos projektų finansavimo 2008 metais konkurso organizavimo tvarkos aprašo nuostatas, patvirtintas Lietuvos Respublikos švietimo ir mokslo ministro 2008 m. vasario 12 d. įsakymu Nr. ISAK-383, lėšas pedagogų kvalifikacijos tobulinimui įgyvendinant Alkoholio, tabako ir kitų psichiką veikiančių medžiagų vartojimo prevencijos programą, patvirtintą Lietuvos Respublikos švietimo ir mokslo ministro 2006 m. kovo 17 d. įsakymu Nr. ISAK-494, skyrė kiekvienai savivaldybei atsižvelgiant į jos teritorijoje dirbančių pedagogų skaičių. Šalies savivaldybių ugdymo institucijų pedagogai seminaruose susipažino su „Alkoholio, tabako ir kitų psichiką veikiančių medžiagų vartojimo prevencijos programa“, naujausiomis narkotikų vartojimo prevencijos kryptimis ir metodikomis, buvo mokomi pagal jas dirbti, mokėsi savarankiškai rengti prevencines programas, dirbti ankstyvosios intervencijos ir gyvenimo įgūdžių ugdymo srityse. Kiekvienos savivaldybės švietimo centrai, turintys teisę vykdyti valstybinių mokyklų vadovų, jų pavaduotojų ugdymui, ugdymą </w:t>
      </w:r>
      <w:r>
        <w:lastRenderedPageBreak/>
        <w:t>organizuojančių skyrių vedėjų, mokytojų, pagalbos specialistų kvalifikacijos tobulinimą – pagal esamą situaciją ir poreikį savivaldybėje organizavo pedagogų mokymus. Iš viso 2008 m. kvalifikacijos tobulinimo kursuose dalyvavo 19195 pedagogai, klasių auklėtojai, socialiniai pedagogai, visuomenės sveikatos priežiūros specialistai, pirminės sveikatos priežiūros specialistai.</w:t>
      </w:r>
    </w:p>
    <w:p w:rsidR="00DD08F5" w:rsidRDefault="00DD08F5" w:rsidP="00DD08F5">
      <w:pPr>
        <w:ind w:firstLine="540"/>
        <w:jc w:val="both"/>
      </w:pPr>
      <w:r>
        <w:rPr>
          <w:noProof/>
        </w:rPr>
        <w:t>Narkotikų kontrolės departamento prie Lietuvos Respublikos Vyriausybės duomenimis,  su Lietuvos AIDS centru 2008 m. rugsėjo – lapkričio mėn. organizavo konferencijas „Visapusių ŽIV ir AIDS prevencijos priemonių tarp švirkščiamųjų narkotikų vartotojų vykdymas“ Alytaus m., Panevėžio m., Marijampolės m. ir Utenos raj., Telšių raj., Tauragės raj. savivaldybėse. Iš viso susitikimuose dalyvavo 118 asmenų.</w:t>
      </w:r>
    </w:p>
    <w:p w:rsidR="00DD08F5" w:rsidRDefault="00DD08F5" w:rsidP="00DD08F5">
      <w:pPr>
        <w:ind w:firstLine="540"/>
        <w:jc w:val="both"/>
      </w:pPr>
      <w:r>
        <w:t xml:space="preserve">Organizuoti 28 seminarai alkoholio, tabako ir kitų psichoaktyvių medžiagų vartojimo prevencijos tematika, juose dalyvavo 1085 ikimokyklinių įstaigų, pradinių, pagrindinių, vidurinių, gimnazijų, globos namų, neformaliojo ugdymo įstaigų, profesinių mokyklų pedagogai. </w:t>
      </w:r>
    </w:p>
    <w:p w:rsidR="00DD08F5" w:rsidRDefault="00DD08F5" w:rsidP="00DD08F5">
      <w:pPr>
        <w:ind w:firstLine="540"/>
        <w:jc w:val="both"/>
      </w:pPr>
      <w:r>
        <w:t xml:space="preserve">Vyko tęstinis kvalifikacijos tobulinimas pedagogams lektoriams, kurie vykdo Alkoholio, tabako ir kitų psichiką veikiančių medžiagų vartojimo prevencijos programos įgyvenimo sklaidą regionuose. </w:t>
      </w:r>
    </w:p>
    <w:p w:rsidR="00DD08F5" w:rsidRDefault="00DD08F5" w:rsidP="00DD08F5">
      <w:pPr>
        <w:ind w:firstLine="540"/>
        <w:jc w:val="both"/>
      </w:pPr>
      <w:r>
        <w:t xml:space="preserve">Organizuoti 7 seminarai ugdytinių tėvams, kurie supažindinti su prevencijos programa, bendravimo su vaikais ypatumais ir informacija, kur kreiptis pastebėjus pakitusį vaikų elgesį. Visų seminarų dalyviai gavo paskaitų konspektus ir padalomąją medžiagą. </w:t>
      </w:r>
    </w:p>
    <w:p w:rsidR="00DD08F5" w:rsidRDefault="00DD08F5" w:rsidP="00DD08F5">
      <w:pPr>
        <w:ind w:firstLine="540"/>
        <w:jc w:val="both"/>
      </w:pPr>
      <w:r>
        <w:tab/>
        <w:t>Lietuvos Respublikos sveikatos apsaugos ministerijos Valstybinis psichikos sveikatos centras kartu su Vilniaus priklausomybės ligų centru, Vilniaus universiteto Medicinos fakulteto Psichiatrijos klinika, Jungtinių Tautų Narkotikų kontrolės ir nusikalstamumo prevencijos biuru 2008 m. rugsėjo 10-12 d. Kėdainiuose ir 2008 m. rugsėjo 24-26 d. Vilniuje organizavo 2 mokymo seminarus tema ,,Asmenų, sergančių priklausomybe nuo opioidų, diagnostika, medikamentinis gydymas ir sveikatos priežiūra“. Viso apmokyti 44 specialistai, iš jų: 24 psichikos sveikatos priežiūros įstaigų specialistai, 20 laisvės atėmimo vietų (kalėjimų, tardymo izoliatorių, pataisos namų) sveikatos priežiūros darbuotojai.</w:t>
      </w:r>
    </w:p>
    <w:p w:rsidR="00DD08F5" w:rsidRDefault="00DD08F5" w:rsidP="00DD08F5">
      <w:pPr>
        <w:ind w:firstLine="540"/>
        <w:jc w:val="both"/>
      </w:pPr>
      <w:r>
        <w:tab/>
        <w:t xml:space="preserve">Lietuvos Respublikos sveikatos apsaugos ministerijos Slaugos darbuotojų tobulinimosi ir specializacijos centras 2008 m. rugsėjo – lapkričio mėn. organizavo mokymus tema ,,Psichoaktyvių medžiagų vartojimo prevencijos priemonių įgyvendinimas bendruomenėje“, kurie vyko nuotoliniu būdu prisijungiant prie internetinės svetainės www.sdtsc.lt ir per leidinį ,,Slauga. Mokslas ir praktika“ temomis „Psichoaktyvios medžiagos, jų rūšys, poveikis ir padariniai žmogaus organizmui“, „Rūkymo profilaktikos priemonės“, „Alkoholio vartojimo mažinimo priemonių įgyvendinimas“. </w:t>
      </w:r>
    </w:p>
    <w:p w:rsidR="00DD08F5" w:rsidRDefault="00DD08F5" w:rsidP="00DD08F5">
      <w:pPr>
        <w:ind w:firstLine="540"/>
        <w:jc w:val="both"/>
        <w:rPr>
          <w:bCs/>
        </w:rPr>
      </w:pPr>
      <w:r>
        <w:tab/>
        <w:t xml:space="preserve"> Narkotikų kontrolės departamentas prie Lietuvos Respublikos Vyriausybės, </w:t>
      </w:r>
      <w:r>
        <w:rPr>
          <w:noProof/>
        </w:rPr>
        <w:t>Lietuvos Respublikos</w:t>
      </w:r>
      <w:r>
        <w:t xml:space="preserve"> sveikatos apsaugos ministerija, </w:t>
      </w:r>
      <w:r>
        <w:rPr>
          <w:noProof/>
        </w:rPr>
        <w:t>Lietuvos Respublikos</w:t>
      </w:r>
      <w:r>
        <w:t xml:space="preserve"> socialinės apsaugos ir darbo ministerija, </w:t>
      </w:r>
      <w:r>
        <w:rPr>
          <w:noProof/>
        </w:rPr>
        <w:t>Lietuvos Respublikos</w:t>
      </w:r>
      <w:r>
        <w:t xml:space="preserve"> švietimo ir mokslo ministerija, Policijos departamentas prie </w:t>
      </w:r>
      <w:r>
        <w:rPr>
          <w:noProof/>
        </w:rPr>
        <w:t>Lietuvos Respublikos</w:t>
      </w:r>
      <w:r>
        <w:t xml:space="preserve"> vidaus reikalų ministerijos, Jaunimo reikalų departamentas prie </w:t>
      </w:r>
      <w:r>
        <w:rPr>
          <w:noProof/>
        </w:rPr>
        <w:t>Lietuvos Respublikos</w:t>
      </w:r>
      <w:r>
        <w:t xml:space="preserve"> socialinės apsaugos ir darbo ministerijos atliko Lietuvoje </w:t>
      </w:r>
      <w:r>
        <w:rPr>
          <w:bCs/>
        </w:rPr>
        <w:t>vykdomų kvalifikacijos tobulinimo programų, skirtų sveikatos priežiūros specialistams, socialiniams darbuotojams, socialiniams pedagogams, psichologams, policijos pareigūnams, teisėjams rengti, poreikio tyrimą ir parengti kvalifikacijos tobulinimo programų rengimo rekomendacijas.</w:t>
      </w:r>
    </w:p>
    <w:p w:rsidR="00DD08F5" w:rsidRDefault="00DD08F5" w:rsidP="00DD08F5">
      <w:pPr>
        <w:ind w:firstLine="540"/>
        <w:jc w:val="both"/>
      </w:pPr>
      <w:r>
        <w:t xml:space="preserve">Šios priemonės įgyvendinimas vyko nuo 2007 m. Ši priemonė įgyvendinta trimis etapais: </w:t>
      </w:r>
    </w:p>
    <w:p w:rsidR="00DD08F5" w:rsidRDefault="00DD08F5" w:rsidP="00DD08F5">
      <w:pPr>
        <w:ind w:firstLine="540"/>
        <w:jc w:val="both"/>
      </w:pPr>
      <w:r>
        <w:t>I etapas - atlikti</w:t>
      </w:r>
      <w:r>
        <w:rPr>
          <w:b/>
        </w:rPr>
        <w:t xml:space="preserve"> </w:t>
      </w:r>
      <w:r>
        <w:t>kvalifikacijos tobulinimo programų (narkotikų kontrolės ir narkomanijos prevencijos srityje) Lietuvoje analizę, apibendrinti užsienio šalių patirtį šioje veiklos srityje ir parengti klausimyną, skirtą</w:t>
      </w:r>
      <w:r>
        <w:rPr>
          <w:b/>
        </w:rPr>
        <w:t xml:space="preserve"> </w:t>
      </w:r>
      <w:r>
        <w:t>kvalifikacijos tobulinimo programų (narkotikų kontrolės ir narkomanijos prevencijos srityje), skirtų sveikatos priežiūros specialistams, socialiniams darbuotojams, socialiniams pedagogams, psichologams, policijos pareigūnams, teisėjams rengti, Lietuvoje poreikiui nustatyti;</w:t>
      </w:r>
    </w:p>
    <w:p w:rsidR="00DD08F5" w:rsidRDefault="00DD08F5" w:rsidP="00DD08F5">
      <w:pPr>
        <w:ind w:firstLine="540"/>
        <w:jc w:val="both"/>
      </w:pPr>
      <w:r>
        <w:t>II etapas – kvalifikacijos tobulinimo programų atskiroms tikslinėms grupėms poreikio tyrimo atlikimas vadovaujantis parengtu klausimynu (pagal atsakingus vykdytojus atitinkamoms tikslinėms grupėms);</w:t>
      </w:r>
    </w:p>
    <w:p w:rsidR="00DD08F5" w:rsidRDefault="00DD08F5" w:rsidP="00DD08F5">
      <w:pPr>
        <w:ind w:firstLine="540"/>
        <w:jc w:val="both"/>
      </w:pPr>
      <w:r>
        <w:t>2008 m. atliktas III–iasis tyrimo etapas – remiantis kvalifikacijos tobulinimo programų poreikio tyrimo rezultatais parengtos kvalifikacijos tobulinimo programų narkotikų kontrolės ir narkomanijos prevencijos srityje rengimo rekomendacijos, organizuotas viso tyrimo etapų rezultatų pristatymas suinteresuotoms institucijoms.</w:t>
      </w:r>
    </w:p>
    <w:p w:rsidR="00DD08F5" w:rsidRDefault="00DD08F5" w:rsidP="00DD08F5">
      <w:pPr>
        <w:ind w:firstLine="540"/>
        <w:jc w:val="both"/>
      </w:pPr>
      <w:r>
        <w:rPr>
          <w:noProof/>
        </w:rPr>
        <w:t>Lietuvos Respublikos</w:t>
      </w:r>
      <w:r>
        <w:t xml:space="preserve"> sveikatos apsaugos ministerijos Valstybinio psichikos sveikatos centro specialistai  dalyvavo Narkotikų kontrolės departamento prie Lietuvos Respublikos Vyriausybės organizuotame pasitarime dėl metodinių rekomendacijų kvalifikacijos tobulinimo programoms </w:t>
      </w:r>
      <w:r>
        <w:lastRenderedPageBreak/>
        <w:t>parengti ir atliko tyrimą, kuriame buvo apklausti 357 asmenys, dirbantys sveikatos priežiūros sistemoje ir tobulinę kvalifikaciją narkotikų kontrolės ir narkomanijos prevencijos klausimais.</w:t>
      </w:r>
    </w:p>
    <w:p w:rsidR="00DD08F5" w:rsidRDefault="00DD08F5" w:rsidP="00DD08F5">
      <w:pPr>
        <w:spacing w:after="20"/>
        <w:ind w:firstLine="540"/>
        <w:jc w:val="both"/>
      </w:pPr>
      <w:r>
        <w:t>Lietuvos socialinių pedagogų asociacija ir Švietimo plėtotės centras 2008 m. atliko tyrimą, kurio metu buvo apklausti 169 psichologai, 279 socialiniai pedagogai ir 55 socialiniai darbuotojai, dirbantys švietimo sistemoje. Duomenys perduoti Narkotikų kontrolės departamentui prie Lietuvos Respublikos Vyriausybės. Švietimo ir mokslo ministerijos specialistai dalyvavo šio tyrimo ir parengtų rekomendacijų pristatyme – diskusijose 2009 m. sausio 8 d.</w:t>
      </w:r>
    </w:p>
    <w:p w:rsidR="00DD08F5" w:rsidRDefault="00DD08F5" w:rsidP="00DD08F5">
      <w:pPr>
        <w:ind w:firstLine="540"/>
        <w:jc w:val="both"/>
      </w:pPr>
      <w:r>
        <w:t>Policijos departamentas</w:t>
      </w:r>
      <w:r>
        <w:rPr>
          <w:color w:val="FF0000"/>
        </w:rPr>
        <w:t xml:space="preserve"> </w:t>
      </w:r>
      <w:r>
        <w:t xml:space="preserve">prie </w:t>
      </w:r>
      <w:r>
        <w:rPr>
          <w:noProof/>
        </w:rPr>
        <w:t>Lietuvos Respublikos</w:t>
      </w:r>
      <w:r>
        <w:t xml:space="preserve"> vidaus reikalų ministerijos atliko tyrimą, kurio metu buvo apklausti 500 patrulių ir 500 vidurinės grandies bei kriminalinės policijos pareigūnų apie kvalifikacijos tobulinimo programas, skirtas narkotikų kontrolės ir narkomanijos prevencijos klausimams. Tyrimo medžiaga perduota Narkotikų kontrolės departamentui prie Lietuvos Respublikos Vyriausybės.</w:t>
      </w:r>
    </w:p>
    <w:p w:rsidR="00DD08F5" w:rsidRDefault="00DD08F5" w:rsidP="00DD08F5">
      <w:pPr>
        <w:tabs>
          <w:tab w:val="left" w:pos="482"/>
        </w:tabs>
        <w:ind w:firstLine="540"/>
        <w:jc w:val="both"/>
      </w:pPr>
      <w:r>
        <w:t xml:space="preserve">Narkotikų kontrolės departamentas prie Lietuvos Respublikos Vyriausybės, </w:t>
      </w:r>
      <w:r>
        <w:rPr>
          <w:noProof/>
        </w:rPr>
        <w:t>Lietuvos Respublikos</w:t>
      </w:r>
      <w:r>
        <w:t xml:space="preserve"> švietimo ir mokslo ministerija, </w:t>
      </w:r>
      <w:r>
        <w:rPr>
          <w:noProof/>
        </w:rPr>
        <w:t>Lietuvos Respublikos</w:t>
      </w:r>
      <w:r>
        <w:t xml:space="preserve"> sveikatos apsaugos ministerija, </w:t>
      </w:r>
      <w:r>
        <w:rPr>
          <w:noProof/>
        </w:rPr>
        <w:t>Lietuvos Respublikos</w:t>
      </w:r>
      <w:r>
        <w:t xml:space="preserve"> socialinės apsaugos ir darbo ministerija, bendradarbiaujant su nevyriausybinėmis organizacijomis, organizavo informacinį tinklą suinteresuotiems subjektams, teikiantiems medicininės, psichologinės, socialinės reabilitacijos paslaugas vaikams.</w:t>
      </w:r>
    </w:p>
    <w:p w:rsidR="00DD08F5" w:rsidRDefault="00DD08F5" w:rsidP="00DD08F5">
      <w:pPr>
        <w:tabs>
          <w:tab w:val="left" w:pos="482"/>
          <w:tab w:val="left" w:pos="9638"/>
        </w:tabs>
        <w:jc w:val="both"/>
        <w:rPr>
          <w:color w:val="FF0000"/>
        </w:rPr>
      </w:pPr>
      <w:r>
        <w:tab/>
        <w:t xml:space="preserve">Narkotikų kontrolės departamento prie Lietuvos Respublikos Vyriausybės svetainėje </w:t>
      </w:r>
      <w:hyperlink r:id="rId115" w:history="1">
        <w:r>
          <w:t>www.nkd.lt</w:t>
        </w:r>
      </w:hyperlink>
      <w:r>
        <w:t xml:space="preserve"> rubrikoje „Reabilitacija“ nuolat atnaujinama informacija apie vietų skaičių, teikiamas paslaugas bei paslaugų kainas asmenų, priklausomų nuo psichoaktyvių medžiagų, reabilitacijos įstaigose. Taip pat pateikiama ir kita aktuali informacija apie vaikų reabilitacijos galimybes Lietuvoje.</w:t>
      </w:r>
    </w:p>
    <w:p w:rsidR="00DD08F5" w:rsidRDefault="00DD08F5" w:rsidP="00DD08F5">
      <w:pPr>
        <w:ind w:firstLine="540"/>
        <w:jc w:val="both"/>
        <w:rPr>
          <w:bCs/>
        </w:rPr>
      </w:pPr>
      <w:r>
        <w:t xml:space="preserve">Įgyvendinant ES struktūrinių fondų remiamo projekto „Asmenų, vartojančių narkotines ir psichotropines medžiagas, reabilitacija ir socialinė reintegracija, novatoriško socialinių paslaugų modulio kūrimas“ įgyvendinimą, sukurta ir 2008 m. pradėjo veikti reabilitacijos paslaugų teikimo stebėsenos ir monitoringo sistema reabilitacijos įstaigose, kurių projektus finansuoja Narkotikų kontrolės departamentas prie Lietuvos Respublikos Vyriausybės. Kompiuterizuotas informacijos rinkimas padeda </w:t>
      </w:r>
      <w:r>
        <w:rPr>
          <w:bCs/>
        </w:rPr>
        <w:t>bendradarbiauti organizacijoms, gaunama ir prieinama specialistams reikalinga ir naudinga informacija.</w:t>
      </w:r>
    </w:p>
    <w:p w:rsidR="00DD08F5" w:rsidRDefault="00DD08F5" w:rsidP="00DD08F5">
      <w:pPr>
        <w:ind w:firstLine="540"/>
        <w:jc w:val="both"/>
      </w:pPr>
      <w:r>
        <w:rPr>
          <w:noProof/>
        </w:rPr>
        <w:t>Lietuvos Respublikos</w:t>
      </w:r>
      <w:r>
        <w:t xml:space="preserve"> švietimo ir mokslo ministerija, įgyvendindama šią priemonę, teikė būtiną pagalbą bei informaciją nevyriausybinėms organizacijoms ir kitiems suinteresuotiems subjektams.</w:t>
      </w:r>
    </w:p>
    <w:p w:rsidR="00DD08F5" w:rsidRDefault="00DD08F5" w:rsidP="00DD08F5">
      <w:pPr>
        <w:ind w:firstLine="540"/>
        <w:jc w:val="both"/>
      </w:pPr>
      <w:r>
        <w:t xml:space="preserve">Valstybinio psichikos sveikatos cento interneto puslapyje </w:t>
      </w:r>
      <w:hyperlink r:id="rId116" w:history="1">
        <w:r>
          <w:rPr>
            <w:rStyle w:val="Hipersaitas"/>
            <w:rFonts w:eastAsia="Courier New"/>
          </w:rPr>
          <w:t>www.vpsc.lt</w:t>
        </w:r>
      </w:hyperlink>
      <w:r>
        <w:t xml:space="preserve"> buvo atnaujinta informacija apie organizacijas, teikiančias paslaugas vaikams. </w:t>
      </w:r>
    </w:p>
    <w:p w:rsidR="00DD08F5" w:rsidRDefault="00DD08F5" w:rsidP="00DD08F5">
      <w:pPr>
        <w:ind w:firstLine="540"/>
        <w:jc w:val="both"/>
        <w:rPr>
          <w:bCs/>
          <w:noProof/>
        </w:rPr>
      </w:pPr>
      <w:r>
        <w:rPr>
          <w:noProof/>
        </w:rPr>
        <w:t xml:space="preserve">Narkotikų kontrolės departamentas prie Lietuvos Respublikos Vyriausybės pastangomis leidžiamas </w:t>
      </w:r>
      <w:r>
        <w:rPr>
          <w:bCs/>
          <w:noProof/>
        </w:rPr>
        <w:t>elektroninis naujienlaiškis aktualiais narkotikų kontrolės ir narkomanijos prevencijos klausimais.</w:t>
      </w:r>
    </w:p>
    <w:p w:rsidR="00DD08F5" w:rsidRDefault="00DD08F5" w:rsidP="00DD08F5">
      <w:pPr>
        <w:ind w:firstLine="540"/>
        <w:jc w:val="both"/>
        <w:rPr>
          <w:noProof/>
        </w:rPr>
      </w:pPr>
      <w:r>
        <w:rPr>
          <w:noProof/>
        </w:rPr>
        <w:t xml:space="preserve">Kiekvieną mėnesio paskutinę savaitę platintas Narkotikų kontrolės departamento prie Lietuvos Respublikos Vyriausybės elektroninis naujienlaiškis, kuriame galima rasti aktualiausius mėnesio įvykius iš narkotikų kontrolės ir narkomanijos prevencijos srities. Naujienlaiškis pasiekė 2 355 adresatus (t.y. narkotikų kontrolės ir narkomanijos prevencijos srityje dirbančius specialistus, tarptautinių organizacijų atstovus, valstybės institucijas, savivaldybių ir apskričių administracijas, švietimo, gydymo įstaigas, reabilitacijos bendruomenes, visuomenines organizacijas, policijos bei įkalinimo įstaigas ir kt.), kurie nuolat atnaujinami ir jų skaičius didinamas. </w:t>
      </w:r>
    </w:p>
    <w:p w:rsidR="00DD08F5" w:rsidRDefault="00DD08F5" w:rsidP="00DD08F5">
      <w:pPr>
        <w:ind w:firstLine="540"/>
        <w:jc w:val="both"/>
        <w:rPr>
          <w:noProof/>
        </w:rPr>
      </w:pPr>
      <w:r>
        <w:rPr>
          <w:noProof/>
        </w:rPr>
        <w:t>Narkotikų kontrolės departamentas prie Lietuvos Respublikos Vyriausybės kartu su Vilniaus universiteto Medicinos fakulteto Visuomenės sveikatos institutu ir Jungtinių Tautų Narkotikų ir nusikalstamumo biuru 2008 m. kovo 5-6 d., kovo 19-20 d. Vilniuje ir kovo 27-28 d. Klaipėdoje organizavo mokymus savivaldybių narkotikų kontrolės komisijų nariams.</w:t>
      </w:r>
    </w:p>
    <w:p w:rsidR="00DD08F5" w:rsidRDefault="00DD08F5" w:rsidP="00DD08F5">
      <w:pPr>
        <w:ind w:firstLine="540"/>
        <w:jc w:val="both"/>
        <w:rPr>
          <w:noProof/>
        </w:rPr>
      </w:pPr>
      <w:r>
        <w:rPr>
          <w:noProof/>
        </w:rPr>
        <w:t>Mokymų metu dalyviai buvo supažindinti su Nacionalinės narkotikų kontrolės ir narkomanijos prevencijos programos įgyvendinimo aktualijomis, psichoaktyvių medžiagų vartojimo paplitimo tyrimais, psichoaktyvių medžiagų vartojimo prevencijos projektų rengimo praktika ir psichoaktyvių medžiagų vartojimo prevencijos priemonių vertinimo metodika.</w:t>
      </w:r>
    </w:p>
    <w:p w:rsidR="00DD08F5" w:rsidRDefault="00DD08F5" w:rsidP="00DD08F5">
      <w:pPr>
        <w:ind w:firstLine="540"/>
        <w:jc w:val="both"/>
        <w:rPr>
          <w:noProof/>
        </w:rPr>
      </w:pPr>
      <w:r>
        <w:rPr>
          <w:noProof/>
        </w:rPr>
        <w:t>Iš viso trijuose savivaldybių narkotikų kontrolės komisijų narių mokymuose dalyvavo 128 asmenys.</w:t>
      </w:r>
    </w:p>
    <w:p w:rsidR="00DD08F5" w:rsidRDefault="00DD08F5" w:rsidP="00DD08F5">
      <w:pPr>
        <w:ind w:firstLine="540"/>
        <w:jc w:val="both"/>
        <w:rPr>
          <w:noProof/>
        </w:rPr>
      </w:pPr>
      <w:r>
        <w:rPr>
          <w:noProof/>
        </w:rPr>
        <w:t>Apie mokymų naudą ir pasiektus rezultatus visuomenė buvo informuota, išplatinus pranešimą spaudai „Savivaldybės tobulina žinias narkomanijos prevencijos srityje“, mokymų medžiagą pateikus Departamento interneto svetainėje www.nkd.lt.</w:t>
      </w:r>
    </w:p>
    <w:p w:rsidR="00DD08F5" w:rsidRDefault="00DD08F5" w:rsidP="00DD08F5">
      <w:pPr>
        <w:ind w:firstLine="540"/>
        <w:jc w:val="both"/>
      </w:pPr>
      <w:r>
        <w:lastRenderedPageBreak/>
        <w:t xml:space="preserve">Narkotikų kontrolės departamentas prie Lietuvos Respublikos Vyriausybės 2008 m. I pusmetyje surinko, apibendrino ir patalpino internetinėje svetainėje </w:t>
      </w:r>
      <w:r>
        <w:rPr>
          <w:color w:val="0000FF"/>
        </w:rPr>
        <w:t>www.nkd.lt/visuomene</w:t>
      </w:r>
      <w:r>
        <w:t xml:space="preserve"> informaciją apie Lietuvoje veikiančias savigalbos grupes (adresai, telefonai, susitikimų laikas ir pan.). Minėtos internetinės svetainės </w:t>
      </w:r>
      <w:hyperlink r:id="rId117" w:history="1">
        <w:r>
          <w:rPr>
            <w:rStyle w:val="Hipersaitas"/>
            <w:rFonts w:eastAsia="Courier New"/>
          </w:rPr>
          <w:t>www.nkd.lt/visuomen</w:t>
        </w:r>
      </w:hyperlink>
      <w:r>
        <w:t>e</w:t>
      </w:r>
      <w:r>
        <w:rPr>
          <w:color w:val="0000FF"/>
        </w:rPr>
        <w:t xml:space="preserve"> </w:t>
      </w:r>
      <w:r>
        <w:t>rubrikoje „Tėvams“ patalpinta metodinė medžiaga dėl tėvų savigalbos grupių steigimo. 2008 m. lapkričio mėn. organizuotas seminaras–diskusija „Savigalbos grupių steigimas“  Kėdainių savivaldybės švietimo skyriaus, pirminės sveikatos priežiūros Psichikos sveikatos centro atstovams. Narkotikų kontrolės departamentas prie Lietuvos Respublikos Vyriausybės palaiko ryšius su Vilniaus m. tėvų, turinčių vaikų, priklausomų nuo narkotikų, savigalbos grupe „Tėvų partnerystė“, remia šios grupės veiklą, suteikdamas patalpas grupės susitikimams.</w:t>
      </w:r>
    </w:p>
    <w:p w:rsidR="00DD08F5" w:rsidRDefault="00DD08F5" w:rsidP="00DD08F5">
      <w:pPr>
        <w:tabs>
          <w:tab w:val="left" w:pos="482"/>
        </w:tabs>
        <w:jc w:val="both"/>
      </w:pPr>
      <w:r>
        <w:rPr>
          <w:bCs/>
        </w:rPr>
        <w:tab/>
        <w:t>Narkotikų kontrolės departamentas prie Lietuvos Respublikos Vyriausybės ir</w:t>
      </w:r>
      <w:r>
        <w:t xml:space="preserve"> Specialiosios pedagogikos ir psichologijos centras organizavo ir vedė 10 pasitarimų - diskusijų  </w:t>
      </w:r>
      <w:r>
        <w:rPr>
          <w:rFonts w:eastAsia="Arial Unicode MS"/>
        </w:rPr>
        <w:t xml:space="preserve">„Psichoaktyvių medžiagų vartojimo prevencijos projektų rengimas“, kurie buvo skirti specialistams apskrityse. </w:t>
      </w:r>
      <w:r>
        <w:rPr>
          <w:bCs/>
        </w:rPr>
        <w:t>Narkotikų kontrolės departamento prie Lietuvos Respublikos Vyriausybės</w:t>
      </w:r>
      <w:r>
        <w:t xml:space="preserve"> specialistai vedė diskusiją 5 apskričių specialistams. Iš viso pasitarimuose - diskusijose dalyvavo 317 dalyvių. </w:t>
      </w:r>
      <w:r>
        <w:rPr>
          <w:bCs/>
        </w:rPr>
        <w:t>Skaityti pranešimai</w:t>
      </w:r>
      <w:r>
        <w:t xml:space="preserve"> prevencijos projektų rengimo klausimais kitų institucijų, organizacijų organizuotuose seminaruose-diskusijose.</w:t>
      </w:r>
    </w:p>
    <w:p w:rsidR="00DD08F5" w:rsidRDefault="00DD08F5" w:rsidP="00DD08F5">
      <w:pPr>
        <w:ind w:firstLine="540"/>
        <w:jc w:val="both"/>
      </w:pPr>
      <w:r>
        <w:t>Narkotikų kontrolės departamentas prie Lietuvos Respublikos Vyriausybės, Lietuvos Respublikos švietimo ir mokslo ministerija, Lietuvos Respublikos sveikatos apsaugos ministerija, Lietuvos Respublikos teisingumo ministerija, išanalizavo galiojančius teisės aktus, reglamentuojančius ankstyvosios intervencijos mokymo įstaigose tvarką. Šiai priemonei įgyvendinti</w:t>
      </w:r>
      <w:r>
        <w:rPr>
          <w:b/>
        </w:rPr>
        <w:t xml:space="preserve"> </w:t>
      </w:r>
      <w:r>
        <w:t xml:space="preserve">Narkotikų kontrolės departamento prie Lietuvos Respublikos Vyriausybės direktoriaus </w:t>
      </w:r>
      <w:r>
        <w:rPr>
          <w:bCs/>
        </w:rPr>
        <w:t xml:space="preserve">įsakymu </w:t>
      </w:r>
      <w:r>
        <w:t xml:space="preserve">sudaryta 2007 m. tarpinstitucinė darbo grupė išanalizavo 13 teisės aktų, reglamentuojančių ankstyvosios intervencijos priemonių vykdymo galimybes mokymo įstaigose bei Lietuvos Respublikos švietimo ir mokslo ministerijos užsakymu </w:t>
      </w:r>
      <w:r>
        <w:rPr>
          <w:bCs/>
        </w:rPr>
        <w:t>2005 m. atliktą tyrimą „Prevencinio darbo grupių savivaldybėse veiklos vertinimas“,</w:t>
      </w:r>
      <w:r>
        <w:t xml:space="preserve"> Lietuvos Respublikos švietimo ir mokslo ministerijos užsakymu 2006 m. atliktą tyrimą „Pedagoginės psichologinės pagalbos mokykloje veiksmingumas (mokyklų psichologų, socialinių pedagogų, specialiųjų pedagogų, mokytojų padėjėjų funkcijos: mokyklose pagal pareigines instrukcijas ir realų darbo turinį)“, Narkotikų kontrolės departamento prie Lietuvos Respublikos Vyriausybės iniciatyva Socialinių tyrimų instituto atliktą Vaikų, vartojančių psichoaktyvias medžiagas, psichologinės ir socialinės reabilitacijos paslaugų teikimo būdų, metodų ir galimybių šalyje analizę bei parengtą Psichologinių ir socialinių paslaugų vaikams, vartojantiems psichoaktyviąsias medžiagas, poreikio nustatymo metodiką. Pateikti minėtos darbo grupės siūlymai. </w:t>
      </w:r>
    </w:p>
    <w:p w:rsidR="00DD08F5" w:rsidRDefault="00DD08F5" w:rsidP="00DD08F5">
      <w:pPr>
        <w:ind w:firstLine="540"/>
        <w:jc w:val="both"/>
      </w:pPr>
      <w:r>
        <w:t xml:space="preserve">Narkotikų kontrolės departamento prie Lietuvos Respublikos Vyriausybės iniciatyva parengtas Lietuvos Respublikos Vyriausybės nutarimo „Dėl Lietuvos Respublikos Vyriausybės 2002 m. balandžio 2 d. nutarimo Nr. 437 „Dėl Ankstyvo vaikų (moksleivių) psichiką veikiančių medžiagų vartojimo nustatymo tvarkos patvirtinimo“ pakeitimo“ projektas (teisės aktas patvirtintas Lietuvos Respublikos Vyriausybės 2007 m. spalio 2 d. nutarimu Nr. 1071 (toliau – Nutarimas) (Žin., 2007, Nr. 107-4379). Narkotikų kontrolės departamentas prie Lietuvos Respublikos Vyriausybės 2008 m. sausio 21 d. raštu apklausė apskričių administracijas ir savivaldybes apie minėto Nutarimo vykdymą. Gauta informacija iš visų Lietuvos apskričių ir savivaldybių apie mokyklų ir vaikų globos (rūpybos) įstaigų darbuotojų, vaikų ir jų tėvų supažindinimą su minėtu Nutarimu. </w:t>
      </w:r>
    </w:p>
    <w:p w:rsidR="00DD08F5" w:rsidRDefault="00DD08F5" w:rsidP="00DD08F5">
      <w:pPr>
        <w:spacing w:after="20"/>
        <w:ind w:firstLine="540"/>
        <w:jc w:val="both"/>
        <w:rPr>
          <w:i/>
        </w:rPr>
      </w:pPr>
      <w:r>
        <w:t xml:space="preserve">Specialiosios pedagogikos ir psichologijos centro direktoriaus 2007 m. spalio 12 d. įsakymu Nr. (1.3) V-173 sudaryta tarpinstitucinė darbo grupė, kuri parengė projektą „Ankstyvosios intervencijos paslaugų teikimo rekomendacijas prevencinio darbo grupėms ir specialistams mokyklose“. Į šią darbo grupę įėjo Lietuvos Respublikos švietimo ir mokslo ministerijos, Narkotikų kontrolės departamento prie Lietuvos Respublikos Vyriausybės, Specialiosios pedagogikos ir psichologijos centro specialistai. Darbo grupė parengė Ankstyvosios intervencijos paslaugų teikimo rekomendacijas prevencinio darbo grupėms ir specialistams mokyklose. </w:t>
      </w:r>
    </w:p>
    <w:p w:rsidR="00DD08F5" w:rsidRDefault="00DD08F5" w:rsidP="00DD08F5">
      <w:pPr>
        <w:ind w:firstLine="540"/>
        <w:jc w:val="both"/>
        <w:rPr>
          <w:bCs/>
          <w:i/>
        </w:rPr>
      </w:pPr>
      <w:r>
        <w:t xml:space="preserve">Narkotikų kontrolės departamentas prie Lietuvos Respublikos Vyriausybės,  </w:t>
      </w:r>
      <w:r>
        <w:rPr>
          <w:noProof/>
        </w:rPr>
        <w:t>Lietuvos Respublikos</w:t>
      </w:r>
      <w:r>
        <w:t xml:space="preserve"> socialinės apsaugos ir darbo ministerija, </w:t>
      </w:r>
      <w:r>
        <w:rPr>
          <w:noProof/>
        </w:rPr>
        <w:t>Lietuvos Respublikos</w:t>
      </w:r>
      <w:r>
        <w:t xml:space="preserve"> sveikatos apsaugos ministerija vykdė bendrą priemonę “</w:t>
      </w:r>
      <w:r>
        <w:rPr>
          <w:bCs/>
        </w:rPr>
        <w:t>Užtikrinti psichologinės ir socialinės reabilitacijos paslaugų prieinamumą asmenims, priklausomiems nuo psichoaktyviųjų medžiagų vartojimo, organizuoti projektų konkursus ir skirti lėšų konkursus laimėjusiems projektams įgyvendinti”</w:t>
      </w:r>
      <w:r>
        <w:rPr>
          <w:bCs/>
          <w:iCs/>
        </w:rPr>
        <w:t>.</w:t>
      </w:r>
    </w:p>
    <w:p w:rsidR="00DD08F5" w:rsidRDefault="00DD08F5" w:rsidP="00DD08F5">
      <w:pPr>
        <w:ind w:firstLine="540"/>
        <w:jc w:val="both"/>
      </w:pPr>
      <w:r>
        <w:t xml:space="preserve">Narkotikų kontrolės departamento prie Lietuvos Respublikos Vyriausybės direktoriaus 2007 m. gruodžio 29 d. įsakymu Nr. T1-208 ,,Dėl Asmenų, priklausomų nuo psichiką veikiančių medžiagų, </w:t>
      </w:r>
      <w:r>
        <w:lastRenderedPageBreak/>
        <w:t>psichologinės ir socialinės reabilitacijos projektų atrankos konkurso 2008 metais nuostatų patvirtinimo“ (Žin., 2008, Nr. 3-112) patvirtinti Asmenų, priklausomų nuo psichiką veikiančių medžiagų, psichologinės ir socialinės reabilitacijos projektų 2008 metais atrankos konkurso nuostatai ir paskelbtas projektų konkursas. Konkursą laimėjo 10 projektų, kurių įgyvendinimui skirta 985 tūkst.Lt. Visi projektai skirti ilgalaikės psichologinės ir socialinės reabilitacijos bendruomenėms. Buvo vertintos visų ketvirčių ir metines projektų veiklos vykdymo ir lėšų panaudojimo ataskaitos, patikrintas visų 10 projektų įgyvendinimas vietose.</w:t>
      </w:r>
    </w:p>
    <w:p w:rsidR="00DD08F5" w:rsidRDefault="00DD08F5" w:rsidP="00DD08F5">
      <w:pPr>
        <w:ind w:firstLine="540"/>
        <w:jc w:val="both"/>
      </w:pPr>
      <w:r>
        <w:t xml:space="preserve">Per 2008 m. įgyvendinant projektus, suteiktos ilgalaikės socialinės bei psichologinės reabilitacijos paslaugos 510 asmenų, priklausomų nuo psichoaktyvių medžiagų, suteikta pagalba 327 priklausomų asmenų šeimų nariams, projektuose dirbo 85 darbuotojai. 2008 m. lyginant su 2007 m. padidėjo (19 proc.) baigusiųjų ilgalaikę programą asmenų skaičius ir sudarė 105, iš kurių didžioji dalis dirba (61 proc.). 2009 m. reikalinga tinkamai pasiruošti įstaigų licencijavimui, kuris numatomas 2010 m. </w:t>
      </w:r>
    </w:p>
    <w:p w:rsidR="00DD08F5" w:rsidRDefault="00DD08F5" w:rsidP="00DD08F5">
      <w:pPr>
        <w:ind w:firstLine="540"/>
        <w:jc w:val="both"/>
      </w:pPr>
      <w:r>
        <w:t>2008 m. buvo tęsiamas ir užbaigtas ES struktūrinių fondų remiamo projekto „Asmenų, vartojančių narkotines ir psichotropines medžiagas, reabilitacija ir socialinė reintegracija, novatoriško socialinių paslaugų modulio kūrimas“ įgyvendinimas. Asmenims, priklausomiems nuo narkotinių ir psichotropinių medžiagų, buvo suteikta galimybė nemokamai gauti psichologinės bei socialinės reabilitacijos paslaugas ilgalaikėse programose. Projekto pasiekimai ir rezultatų rodikliai sėkmingai įvykdyti.</w:t>
      </w:r>
    </w:p>
    <w:p w:rsidR="00DD08F5" w:rsidRDefault="00DD08F5" w:rsidP="00DD08F5">
      <w:pPr>
        <w:ind w:firstLine="540"/>
        <w:jc w:val="both"/>
      </w:pPr>
      <w:r>
        <w:t xml:space="preserve">Narkotikų kontrolės departamentas prie Lietuvos Respublikos Vyriausybės 2008 m. išleido novatorišką reabilitacijos metodiką - leidinį „Asmenų, priklausomų nuo narkotinių ir psichotropinių medžiagų vartojimo, reintegracija į visuomenę ir į darbo rinką: socialinės atskirties problemų sprendimas“, kuriame numatyta psichologinės, socialinės reabilitacijos paslaugų teikimo specifika, aprašyti specialistų užsiėmimai. </w:t>
      </w:r>
    </w:p>
    <w:p w:rsidR="00DD08F5" w:rsidRDefault="00DD08F5" w:rsidP="00DD08F5">
      <w:pPr>
        <w:ind w:firstLine="540"/>
        <w:jc w:val="both"/>
      </w:pPr>
      <w:r>
        <w:t>2008 m. sukurta reabilitacijos paslaugų teikimo stebėsenos ir monitoringo sistema reabilitacijos įstaigose, kurių projektus finansuoja Narkotikų kontrolės departamentas prie Lietuvos Respublikos Vyriausybės. Kompiuterizuotas informacijos rinkimas padeda bendradarbiauti organizacijoms, gaunama ir prieinama specialistams reikalinga ir naudinga informacija.</w:t>
      </w:r>
    </w:p>
    <w:p w:rsidR="00DD08F5" w:rsidRDefault="00DD08F5" w:rsidP="00DD08F5">
      <w:pPr>
        <w:ind w:firstLine="540"/>
        <w:jc w:val="both"/>
        <w:rPr>
          <w:bCs/>
        </w:rPr>
      </w:pPr>
      <w:r>
        <w:rPr>
          <w:bCs/>
        </w:rPr>
        <w:t>2008 metais</w:t>
      </w:r>
      <w:r>
        <w:rPr>
          <w:b/>
        </w:rPr>
        <w:t xml:space="preserve"> </w:t>
      </w:r>
      <w:r>
        <w:t>Narkotikų kontrolės departamentas prie Lietuvos Respublikos Vyriausybės, Lietuvos Respublikos sveikatos apsaugos ministerija, Lietuvos Respublikos socialinės apsaugos ir darbo ministerija, Policijos departamentas prie Lietuvos Respublikos vidaus reikalų ministerijos, Lietuvos Respublikos teisingumo ministerija vykdė priemonę “</w:t>
      </w:r>
      <w:r>
        <w:rPr>
          <w:bCs/>
        </w:rPr>
        <w:t>Analizuoti teisės aktus, susijusius su vaikų, padariusių nusikalstamas veikas ir vartojančių psichoaktyvias medžiagas, medicinine, psichologine, socialine reabilitacija, o prireikus – parengti reikiamų teisės aktų projektus”.</w:t>
      </w:r>
    </w:p>
    <w:p w:rsidR="00DD08F5" w:rsidRDefault="00DD08F5" w:rsidP="00DD08F5">
      <w:pPr>
        <w:ind w:firstLine="540"/>
        <w:jc w:val="both"/>
        <w:rPr>
          <w:color w:val="FF6600"/>
        </w:rPr>
      </w:pPr>
      <w:r>
        <w:rPr>
          <w:bCs/>
        </w:rPr>
        <w:t xml:space="preserve"> Rezultatai:</w:t>
      </w:r>
      <w:r>
        <w:t xml:space="preserve"> Atlikus teisės aktų, susijusių su vaikų, padariusių nusikalstamas veikas ir vartojančių psichoaktyviąsias medžiagas, medicinine, psichologine, socialine reabilitacija, analizę, pažymėtina, kad valstybės institucijos ir įstaigos pagal kompetenciją priėmė keletą svarbių teisės aktų. </w:t>
      </w:r>
    </w:p>
    <w:p w:rsidR="00DD08F5" w:rsidRDefault="00DD08F5" w:rsidP="00DD08F5">
      <w:pPr>
        <w:ind w:firstLine="540"/>
        <w:jc w:val="both"/>
      </w:pPr>
      <w:r>
        <w:t>Lietuvos Respublikos Vyriausybė 2008 m. balandžio 24 d. nutarimu Nr. 392 patvirtinta Nacionalinės smurto prieš vaikus prevencijos ir pagalbos vaikams 2008–2010 metų programa (Žin., 2008, Nr. 51-1892), kurios paskirtis - numatyti kompleksines priemones smurtui prieš vaikus su visomis jo apraiškomis šalinti. Programos priemonės skiriamos vaikams, galintiems nukentėti ir nukentėjusiems nuo psichologinio, fizinio, seksualinio išnaudojimo ir nepriežiūros, jų šeimoms, smurto ir patyčių prevencijai mokyklose.</w:t>
      </w:r>
    </w:p>
    <w:p w:rsidR="00DD08F5" w:rsidRDefault="00DD08F5" w:rsidP="00DD08F5">
      <w:pPr>
        <w:ind w:firstLine="540"/>
        <w:jc w:val="both"/>
      </w:pPr>
      <w:r>
        <w:t>Vadovaudamasis Vaikų ir jaunimo socializacijos programos, patvirtintos Lietuvos Respublikos Vyriausybės 2004 m. vasario 23 d. nutarimu Nr. 209 „Dėl Vaikų ir jaunimo socializacijos programos patvirtinimo“ (Žin., 2004, Nr. 30-995), priedo 3.2.1.1 priemonėje, Lietuvos Respublikos vidaus reikalų ministras 2008 m. gegužės 7 d. įsakymu Nr. 1V-167 patvirtino Vaikų socialinės aplinkos duomenų rinkimo, analizės ir vertinimo metodiką (Žin., 2008, Nr.57-2160), kuri nustato socialinės aplinkos duomenų rinkimo, analizės ir vertinimo vaikų nusikalstamumo požiūriu bei vertinimo rezultatų paskelbimo tvarką, ir kurios tikslas - įvertinti vaikų nusikalstamumo būklę ir nustatyti svarbiausius vaikų nusikalstamumo rizikos socialinius veiksnius savivaldybių ir šalies lygiu.</w:t>
      </w:r>
    </w:p>
    <w:p w:rsidR="00DD08F5" w:rsidRDefault="00DD08F5" w:rsidP="00DD08F5">
      <w:pPr>
        <w:ind w:firstLine="540"/>
        <w:jc w:val="both"/>
      </w:pPr>
      <w:r>
        <w:t xml:space="preserve">Kiti atsakingi vykdytojai teisės aktų, susijusių su vaikų, padariusių nusikalstamas veikas ir vartojančių psichoaktyviąsias medžiagas, medicininės, psichologinės socialinės reabilitacijos, neinicijavo ir jų projektų rengime nedalyvavo. </w:t>
      </w:r>
    </w:p>
    <w:p w:rsidR="00DD08F5" w:rsidRDefault="00DD08F5" w:rsidP="00DD08F5">
      <w:pPr>
        <w:ind w:firstLine="540"/>
        <w:jc w:val="both"/>
      </w:pPr>
      <w:r>
        <w:t xml:space="preserve">2008 metais Narkotikų kontrolės departamentas prie Lietuvos Respublikos Vyriausybės atsižvelgdamas į </w:t>
      </w:r>
      <w:r>
        <w:rPr>
          <w:bCs/>
        </w:rPr>
        <w:t xml:space="preserve">Europos narkotikų ir narkomanijos stebėsenos centro nustatytus epidemiologinių </w:t>
      </w:r>
      <w:r>
        <w:rPr>
          <w:bCs/>
        </w:rPr>
        <w:lastRenderedPageBreak/>
        <w:t>duomenų rinkimo reikalavimus,</w:t>
      </w:r>
      <w:r>
        <w:t xml:space="preserve"> 2008 m. atliko Psichoaktyvių medžiagų vartojimo paplitimo bendroje populiacijoje tyrimus, Psichoaktyvių medžiagų vartojimo paplitimo tarp Lietuvos aukštųjų mokyklų studentų (universitetų, kolegijų), tarp naktinių klubų lankytojų tyrimus. Šių tyrimų pagrindiniai rezultatai yra pateikiami Narkotikų kontrolės departamento prie Lietuvos Respublikos Vyriausybės internetinėje svetainėje. </w:t>
      </w:r>
    </w:p>
    <w:p w:rsidR="00DD08F5" w:rsidRDefault="00DD08F5" w:rsidP="00DD08F5">
      <w:pPr>
        <w:ind w:firstLine="540"/>
        <w:jc w:val="both"/>
      </w:pPr>
      <w:r>
        <w:t>Epidemiologinių duomenų bei kitos informacijos, surinktos iš Lietuvos valstybinių institucijų ir nevyriausybinių organizacijų, analizė pateikta Narkotikų kontrolės departamento prie Lietuvos Respublikos Vyriausybės 2008 metų metiniame pranešime. 2008 m. taip pat buvo organizuojami pasitarimai bei diskusijos su kompetentingomis institucijomis dėl renkamų epidemiologinių duomenų surinkimo gerinimo, informacinių sistemų tobulinimo.</w:t>
      </w:r>
    </w:p>
    <w:p w:rsidR="00DD08F5" w:rsidRDefault="00DD08F5" w:rsidP="00DD08F5">
      <w:pPr>
        <w:ind w:firstLine="540"/>
        <w:jc w:val="both"/>
      </w:pPr>
      <w:r>
        <w:t>Įdiegtos ir veikia 5 informacinės sistemos pagal ES reikalavimus.</w:t>
      </w:r>
    </w:p>
    <w:p w:rsidR="00DD08F5" w:rsidRDefault="00DD08F5" w:rsidP="00DD08F5">
      <w:pPr>
        <w:ind w:firstLine="540"/>
        <w:jc w:val="both"/>
      </w:pPr>
      <w:r>
        <w:t>Siekiant užtikrinti švirkščiamųjų narkotikų vartotojų epidemiologinės stebėsenos duomenų rinkimą pagal PSO antros kartos ŽIV epidemiologinės priežiūros rekomendacijas, pagal pateiktus pasiūlymus patobulinta statistinė „Informacijos apie asmenis, kurie gauna narkotinių ir psichotropinių medžiagų žalos mažinimo programų paslaugas“, forma.</w:t>
      </w:r>
    </w:p>
    <w:p w:rsidR="00DD08F5" w:rsidRDefault="00DD08F5" w:rsidP="00DD08F5">
      <w:pPr>
        <w:ind w:firstLine="540"/>
        <w:jc w:val="both"/>
        <w:rPr>
          <w:bCs/>
        </w:rPr>
      </w:pPr>
      <w:r>
        <w:rPr>
          <w:bCs/>
        </w:rPr>
        <w:t>2008 metais</w:t>
      </w:r>
      <w:r>
        <w:rPr>
          <w:b/>
        </w:rPr>
        <w:t xml:space="preserve"> </w:t>
      </w:r>
      <w:r>
        <w:t xml:space="preserve"> Narkotikų kontrolės departamentas prie Lietuvos Respublikos Vyriausybės kartu su Lietuvos Respublikos</w:t>
      </w:r>
      <w:r>
        <w:rPr>
          <w:b/>
        </w:rPr>
        <w:t xml:space="preserve"> </w:t>
      </w:r>
      <w:r>
        <w:rPr>
          <w:bCs/>
        </w:rPr>
        <w:t>sveikatos</w:t>
      </w:r>
      <w:r>
        <w:t xml:space="preserve"> apsaugos ministerija vykdė priemonę “</w:t>
      </w:r>
      <w:r>
        <w:rPr>
          <w:bCs/>
        </w:rPr>
        <w:t>Organizuoti asmenų, kurie kreipiasi į asmens sveikatos priežiūros įstaigas dėl psichikos ir elgesio sutrikimų, nes vartoja narkotines ir psichotropines medžiagas, stebėseną, įsigyti informacinių sistemų įrangos”.</w:t>
      </w:r>
    </w:p>
    <w:p w:rsidR="00DD08F5" w:rsidRDefault="00DD08F5" w:rsidP="00DD08F5">
      <w:pPr>
        <w:ind w:firstLine="540"/>
        <w:jc w:val="both"/>
      </w:pPr>
      <w:r>
        <w:rPr>
          <w:bCs/>
        </w:rPr>
        <w:t>Rezultatai:</w:t>
      </w:r>
      <w:r>
        <w:rPr>
          <w:b/>
        </w:rPr>
        <w:t xml:space="preserve"> </w:t>
      </w:r>
      <w:r>
        <w:t>Sveikatos apsaugos ministro 2008 m. kovo 26 d. įsakymu Nr. V-227 ,,Dėl darbo grupės sudarymo“ buvo sudaryta darbo grupė stebėsenos informacinės sistemos ir saugos nuostatams bei sistemos sukūrimo ir įdiegimo paslaugų pirkimo techninei specifikacijai parengti. Narkotikų kontrolės departamento prie Lietuvos Respublikos Vyriausybės specialistai dalyvavo Sveikatos apsaugos ministro 2008 m. kovo 26 d. įsakymu Nr. V-227 „Dėl darbo grupės sudarymo“ sudarytos darbo grupės veikloje, teikė pastabas ir pasiūlymus. Dėl techninių problemų įgyvendinant šią priemonę stebėsenos informacinė sistema nesukurta. Priemonė neįgyvendinta. Lėšos (250 tūkst. Lt.) nepanaudotos.</w:t>
      </w:r>
    </w:p>
    <w:p w:rsidR="00DD08F5" w:rsidRDefault="00DD08F5" w:rsidP="00DD08F5">
      <w:pPr>
        <w:ind w:firstLine="540"/>
        <w:jc w:val="both"/>
      </w:pPr>
      <w:r>
        <w:t>2008 metais Narkotikų kontrolės departamentas prie Lietuvos Respublikos Vyriausybės, siekdamas efektyviau kontroliuoti naujas psichoaktyvias medžiagas Lietuvoje, vadovaudamasis Departamento direktoriaus 2005 m. sausio 17 d. įsakymu Nr. 1.2-2 (Žin., 2005, Nr. 9-318), kuris įpareigoja atsakingas institucijas pagal kompetenciją keistis operatyvia informacija apie naujų psichoaktyvių medžiagų atsiradimą, koordinavo pasikeitimą informacija apie naujų psichoaktyvių medžiagų atsiradimą (Ankstyvo keitimosi informacija apie naujas psichoaktyvias medžiagas mechanizmas nustatytas Europos Tarybos 2005 m. gegužės 10 d. sprendime 2005/387/TVR dėl keitimosi informacija apie naujas psichoaktyvias medžiagas, jų rizikos įvertinimas ir kontrolė). Iš Europos narkotikų ir narkomanijos stebėsenos centro buvo gauta 11 pranešimų apie naujas psichoaktyvias medžiagas, kurios buvo aptiktos ES šalyse.</w:t>
      </w:r>
    </w:p>
    <w:p w:rsidR="00DD08F5" w:rsidRDefault="00DD08F5" w:rsidP="00DD08F5">
      <w:pPr>
        <w:ind w:firstLine="540"/>
        <w:jc w:val="both"/>
      </w:pPr>
      <w:r>
        <w:t>2008 m. Narkotikų kontrolės departamentas prie Lietuvos Respublikos Vyriausybės inicijavo Lietuvos Respublikos sveikatos apsaugos ministro 2008 m. gegužės 16 d. įsakymo Nr. V-462 “Dėl Lietuvos Respublikos sveikatos apsaugos ministro 2000 m. sausio 6 d. įsakymo Nr. 5 „Dėl narkotinių ir psichotropinių medžiagų sąrašų patvirtinimo“ pakeitimo“ (Žin., 2008, Nr. 59-2242) ir Lietuvos Respublikos sveikatos apsaugos ministro 2008 m. spalio 6 d. įsakymo Nr. V-957 “Dėl Lietuvos Respublikos sveikatos apsaugos ministro 2000 m. sausio 6 d. įsakymo Nr. 5 „Dėl narkotinių ir psichotropinių medžiagų sąrašų patvirtinimo“ pakeitimo“ (Žin., 2008, Nr. 119-4523) atsiradimą. Minėtais įsakymais į kontroliuojamų narkotinių ir psichotropinių medžiagų sąrašus buvo įtrauktos 8 medžiagos.</w:t>
      </w:r>
    </w:p>
    <w:p w:rsidR="00DD08F5" w:rsidRDefault="00DD08F5" w:rsidP="00DD08F5">
      <w:pPr>
        <w:ind w:firstLine="540"/>
        <w:jc w:val="both"/>
      </w:pPr>
      <w:r>
        <w:t xml:space="preserve">Narkotikų kontrolės departamentas prie Lietuvos Respublikos Vyriausybės reaguodamas į Lietuvoje ir Europos Sąjungos šalyse plintantį svaiginimąsi naujomis psichoaktyviomis medžiagomis rengė teisės aktus, surinko bei pateikė kompetentingoms institucijoms informaciją apie šių medžiagų keliamą riziką žmonių sveikatai bei visuomenės saugumui. </w:t>
      </w:r>
    </w:p>
    <w:p w:rsidR="00DD08F5" w:rsidRDefault="00DD08F5" w:rsidP="00DD08F5">
      <w:pPr>
        <w:ind w:firstLine="540"/>
        <w:jc w:val="both"/>
      </w:pPr>
      <w:r>
        <w:t>Nuo 2009 m. pradžios Lietuvoje yra uždraustas rūkomųjų žolinių mišinių, rūkalų, uostomųjų rūkalų ir smilkalų tiekimas į rinką ir apribotas prieinamumas bei tiekimas į rinką svaiginimuisi vartojamų aromatizatorių.</w:t>
      </w:r>
    </w:p>
    <w:p w:rsidR="00DD08F5" w:rsidRDefault="00DD08F5" w:rsidP="00DD08F5">
      <w:pPr>
        <w:ind w:firstLine="540"/>
        <w:jc w:val="both"/>
        <w:rPr>
          <w:bCs/>
        </w:rPr>
      </w:pPr>
      <w:r>
        <w:t>2008 metais Narkotikų kontrolės departamentas prie Lietuvos Respublikos Vyriausybės vykdė priemonę “</w:t>
      </w:r>
      <w:r>
        <w:rPr>
          <w:bCs/>
        </w:rPr>
        <w:t>Rinkti ir vertinti Lietuvoje įgyvendintus psichoaktyvių medžiagų vartojimo prevencijos projektus pagal Europos narkotikų ir narkomanijos stebėsenos centro reikalavimus”.</w:t>
      </w:r>
    </w:p>
    <w:p w:rsidR="00DD08F5" w:rsidRDefault="00DD08F5" w:rsidP="00DD08F5">
      <w:pPr>
        <w:ind w:firstLine="540"/>
        <w:jc w:val="both"/>
        <w:rPr>
          <w:color w:val="000000"/>
        </w:rPr>
      </w:pPr>
      <w:r>
        <w:lastRenderedPageBreak/>
        <w:t xml:space="preserve">.Nuo 2006 metų veikianti </w:t>
      </w:r>
      <w:r>
        <w:rPr>
          <w:bCs/>
        </w:rPr>
        <w:t xml:space="preserve">Narkotikų kontrolės departamento prie Lietuvos Respublikos Vyriausybės </w:t>
      </w:r>
      <w:r>
        <w:t xml:space="preserve">direktoriaus įsakymu sudaryta Įgyvendintų psichoaktyvių medžiagų vartojimo prevencijos projektų vertinimo tarpinstitucinė komisija (toliau – komisija), vadovaudamasi Informacijos apie psichoaktyvių medžiagų vartojimo prevencijos projektus rinkimo tvarkos aprašu, patvirtintu </w:t>
      </w:r>
      <w:r>
        <w:rPr>
          <w:bCs/>
        </w:rPr>
        <w:t>Narkotikų kontrolės departamento prie Lietuvos Respublikos Vyriausybės</w:t>
      </w:r>
      <w:r>
        <w:t xml:space="preserve"> direktoriaus 2005 m. spalio 4 d. įsakymu Nr. 1.2-58 (Žin., 2005, Nr. 119-4319), </w:t>
      </w:r>
      <w:r>
        <w:rPr>
          <w:color w:val="000000"/>
        </w:rPr>
        <w:t>atliko 2007 m. įgyvendintų 813 psichoaktyvių medžiagų vartojimo prevencijos projektų (toliau – projektai) vertinimą pagal užpildytas ir pateiktas ataskaitų formas.</w:t>
      </w:r>
    </w:p>
    <w:p w:rsidR="00DD08F5" w:rsidRDefault="00DD08F5" w:rsidP="00DD08F5">
      <w:pPr>
        <w:tabs>
          <w:tab w:val="left" w:pos="482"/>
        </w:tabs>
        <w:ind w:firstLine="540"/>
        <w:jc w:val="both"/>
        <w:rPr>
          <w:b/>
          <w:i/>
        </w:rPr>
      </w:pPr>
      <w:r>
        <w:rPr>
          <w:color w:val="000000"/>
        </w:rPr>
        <w:t xml:space="preserve">Komisijos nariai vertino projektų ataskaitas pagal nustatytus kriterijus, aprašydami projektų stipriąsias ir silpnąsias puses, taip pat pateikdami rekomendacijas ir siūlymus, susijusius su projektų įgyvendinimo efektyvumo didinimu (apibendrinta informacija apie komisijos narių išvadas ir siūlymus pateikiama Metiniame pranešime apie narkomanijos prevencijos ir narkotikų kontrolės būklę Lietuvoje 2007 m.). Narkotikų kontrolės departamentas prie Lietuvos Respublikos Vyriausybės informaciją apie geriausiai įvertintus projektus patalpino internetiniame puslapyje </w:t>
      </w:r>
      <w:hyperlink r:id="rId118" w:history="1">
        <w:r>
          <w:rPr>
            <w:rStyle w:val="Hipersaitas"/>
            <w:rFonts w:eastAsia="Courier New"/>
          </w:rPr>
          <w:t>www.nkd.lt</w:t>
        </w:r>
      </w:hyperlink>
      <w:r>
        <w:rPr>
          <w:color w:val="000000"/>
        </w:rPr>
        <w:t>.</w:t>
      </w:r>
    </w:p>
    <w:p w:rsidR="00DD08F5" w:rsidRDefault="00DD08F5" w:rsidP="00DD08F5">
      <w:pPr>
        <w:ind w:firstLine="540"/>
        <w:jc w:val="both"/>
        <w:rPr>
          <w:b/>
          <w:i/>
        </w:rPr>
      </w:pPr>
      <w:r>
        <w:t>2008 metais Narkotikų kontrolės departamentas prie Lietuvos Respublikos Vyriausybės, vadovaudamasis Lietuvos Respublikos Vyriausybės 2005 m. gegužės 30 d. nutarimu Nr. 591 patvirtintu Narkotinių ir psichotropinių medžiagų vartojimo, jo padarinių bei narkotinių ir psichotropinių medžiagų ir jų pirmtakų apyvartos stebėsenos tvarkos aprašu (Žin., 2005, Nr. 69-2470), kaip ir kasmet atlieka surinktų narkotikų kontrolės ir narkomanijos prevencijos būklę Lietuvoje atspindinčių stebėsenos duomenų apibendrinimą ir analizę. Šią informaciją Narkotikų kontrolės departamentas prie Lietuvos Respublikos Vyriausybės skelbia kasmetiniame „Metiniame pranešime“, interneto svetainėje (http://www.nkd.lt), pranešimuose spaudai, teikė suinteresuotiems asmenims ir institucijoms, naudojo rengiant Narkotikų kontrolės departamento prie Lietuvos Respublikos Vyriausybės ataskaitas, skirtas Lietuvos Respublikos Vyriausybei, Europos narkotikų ir narkomanijos stebėsenos centrui, Pasaulio sveikatos organizacijai, Jungtinėms Tautoms, rengiant Lietuvos Respublikos Seimo nutarimo „Dėl Nacionalinės narkotikų kontrolės ir narkomanijos prevencijos 2009-2016 metų programos patvirtinimo“ projektą, įstaigos strateginius planus, koncepcijas, metodines rekomendacijas, teisės aktų projektus ir kitus veiklos dokumentus. Narkotikų kontrolės departamentas prie Lietuvos Respublikos Vyriausybės parengė Lietuvos Respublikos Vyriausybės 2005 m. gegužės 30 d. nutarimo Nr. 591 „Dėl Narkotinių ir psichotropinių medžiagų vartojimo, jo padarinių bei narkotinių ir psichotropinių medžiagų ir jų pirmtakų apyvartos stebėsenos tvarkos aprašo patvirtinimo“ naujos redakcijos projektą.</w:t>
      </w:r>
    </w:p>
    <w:p w:rsidR="00DD08F5" w:rsidRDefault="00DD08F5" w:rsidP="00DD08F5">
      <w:pPr>
        <w:ind w:firstLine="540"/>
        <w:jc w:val="both"/>
        <w:rPr>
          <w:b/>
          <w:i/>
        </w:rPr>
      </w:pPr>
      <w:r>
        <w:t>Valstybinis psichikos sveikatos centras bendradarbiaudamas su Narkotikų kontrolės departamentu prie Lietuvos Respublikos Vyriausybės, Valstybine ligonių kasa, Statistikos departamentu prie Lietuvos Respublikos Vyriausybės atliko specializuotą turimų statistinių duomenų apie asmenų, sirgusių priklausomybe nuo narkotinių ir psichotropinių medžiagų, mirtis palyginimo tyrimą. Tyrimo tikslas - surinkti iš bendro mirčių registro duomenis apie asmenų, sirgusių priklausomybės nuo narkotinių ir psichotropinių medžiagų ligomis.</w:t>
      </w:r>
    </w:p>
    <w:p w:rsidR="00DD08F5" w:rsidRDefault="00DD08F5" w:rsidP="00DD08F5">
      <w:pPr>
        <w:ind w:firstLine="540"/>
        <w:jc w:val="both"/>
        <w:rPr>
          <w:bCs/>
        </w:rPr>
      </w:pPr>
      <w:r>
        <w:t xml:space="preserve">Narkotikų kontrolės departamentas prie Lietuvos Respublikos Vyriausybės, </w:t>
      </w:r>
      <w:r>
        <w:rPr>
          <w:noProof/>
        </w:rPr>
        <w:t>Lietuvos Respublikos</w:t>
      </w:r>
      <w:r>
        <w:t xml:space="preserve"> sveikatos apsaugos ministerija, </w:t>
      </w:r>
      <w:r>
        <w:rPr>
          <w:noProof/>
        </w:rPr>
        <w:t>Lietuvos Respublikos</w:t>
      </w:r>
      <w:r>
        <w:t xml:space="preserve"> socialinės apsaugos ir darbo ministerija, </w:t>
      </w:r>
      <w:r>
        <w:rPr>
          <w:noProof/>
        </w:rPr>
        <w:t>Lietuvos Respublikos</w:t>
      </w:r>
      <w:r>
        <w:t xml:space="preserve"> švietimo ir mokslo ministerija, Kalėjimų departamentas prie </w:t>
      </w:r>
      <w:r>
        <w:rPr>
          <w:noProof/>
        </w:rPr>
        <w:t>Lietuvos Respublikos</w:t>
      </w:r>
      <w:r>
        <w:t xml:space="preserve"> teisingumo ministerijos vykdė bendrą priemonę “</w:t>
      </w:r>
      <w:r>
        <w:rPr>
          <w:bCs/>
        </w:rPr>
        <w:t>Rinkti ir apibendrinti duomenis apie teikiamas medicininės, psichologinės, socialinės reabilitacijos paslaugas vaikams, vartojantiems psichiką veikiančias medžiagas.</w:t>
      </w:r>
    </w:p>
    <w:p w:rsidR="00DD08F5" w:rsidRDefault="00DD08F5" w:rsidP="00DD08F5">
      <w:pPr>
        <w:ind w:firstLine="540"/>
        <w:jc w:val="both"/>
        <w:rPr>
          <w:i/>
          <w:color w:val="FF0000"/>
        </w:rPr>
      </w:pPr>
      <w:r>
        <w:rPr>
          <w:bCs/>
        </w:rPr>
        <w:t>Rezultatai:</w:t>
      </w:r>
      <w:r>
        <w:t xml:space="preserve"> Įgyvendinant šią priemonę buvo surinkti ir apibendrinti duomenys apie 2007 m. teiktas paslaugas vaikams pagal Medicininių, psichologinių, socialinių reabilitacijos paslaugų vaikams, vartojantiems psichiką veikiančias medžiagas, teikimo metinės ataskaitos formą, patvirtintą Narkotikų kontrolės departamento prie Lietuvos Respublikos Vyriausybės</w:t>
      </w:r>
      <w:r>
        <w:rPr>
          <w:bCs/>
        </w:rPr>
        <w:t xml:space="preserve"> </w:t>
      </w:r>
      <w:r>
        <w:t>direktoriaus 2005 m. gruodžio 29 d.</w:t>
      </w:r>
      <w:r>
        <w:rPr>
          <w:bCs/>
        </w:rPr>
        <w:t xml:space="preserve"> </w:t>
      </w:r>
      <w:r>
        <w:t xml:space="preserve">įsakymu Nr. 1.2-107 (Žin., 2006, Nr. 2-43) (šiuos duomenis kasmet iki vasario 1 d. Narkotikų kontrolės departamentui prie Lietuvos Respublikos Vyriausybės teikia Lietuvos Respublikos sveikatos apsaugos ministerija, Lietuvos Respublikos socialinės apsaugos ir darbo ministerija, Lietuvos Respublikos švietimo ir mokslo ministerija bei apskričių viršininkai). </w:t>
      </w:r>
      <w:r>
        <w:rPr>
          <w:color w:val="000000"/>
        </w:rPr>
        <w:t>Apibendrinus ataskaitas nustatyta, kad apskričių duomenimis tarp pirminio lygio priklausomybės ligų gydymo ir reabilitacijos</w:t>
      </w:r>
      <w:r>
        <w:rPr>
          <w:b/>
          <w:bCs/>
          <w:color w:val="000000"/>
        </w:rPr>
        <w:t xml:space="preserve"> </w:t>
      </w:r>
      <w:r>
        <w:rPr>
          <w:color w:val="000000"/>
        </w:rPr>
        <w:t>paslaugų daugiausia buvo</w:t>
      </w:r>
      <w:r>
        <w:rPr>
          <w:i/>
          <w:color w:val="000000"/>
        </w:rPr>
        <w:t xml:space="preserve"> </w:t>
      </w:r>
      <w:r>
        <w:t xml:space="preserve">socialinio darbuotojo – 357 (2006 m. – 37, t.y. išaugo beveik 10 kartų). Po to seka psichologo paslaugos – 117 (2006 m. buvo tik  32) ir gydytojo psichiatro, vaikų psichiatro, priklausomybės ligų psichiatro – 123 (2006 m. – 52, t.y. išaugo 2 kartus). </w:t>
      </w:r>
      <w:r>
        <w:lastRenderedPageBreak/>
        <w:t xml:space="preserve">Medicininių apžiūrų apsvaigimui nustatyti buvo 51 (2006 m. – </w:t>
      </w:r>
      <w:r>
        <w:rPr>
          <w:color w:val="000000"/>
        </w:rPr>
        <w:t xml:space="preserve">65). Daugiausia paslaugų, lyginant su kitomis apskritimis, buvo suteikta Vilniaus apskrityje. </w:t>
      </w:r>
      <w:r>
        <w:t>2007 m., palyginus su 2006 m., apskričių administracijų įstaigose žymiai daugiau suteikta vaikams antrinio lygio priklausomybės ligų gydymo ir reabilitacijos</w:t>
      </w:r>
      <w:r>
        <w:rPr>
          <w:b/>
          <w:bCs/>
        </w:rPr>
        <w:t xml:space="preserve"> </w:t>
      </w:r>
      <w:r>
        <w:t>paslaugų. Daugiausia antrinio lygio paslaugų buvo suteikta psichologo, psichoterapeuto – 663 (2006 m. - 247) ir 186 medicininės apžiūros apsvaigimui nustatyti (2006 m. – 131). Socialinio darbuotojo paslaugų suteikta kiek mažiau – 375 (2006 m. – 391).</w:t>
      </w:r>
      <w:r>
        <w:rPr>
          <w:i/>
          <w:color w:val="000000"/>
        </w:rPr>
        <w:t xml:space="preserve"> </w:t>
      </w:r>
    </w:p>
    <w:p w:rsidR="00DD08F5" w:rsidRDefault="00DD08F5" w:rsidP="00DD08F5">
      <w:pPr>
        <w:ind w:firstLine="540"/>
        <w:jc w:val="both"/>
      </w:pPr>
      <w:r>
        <w:t xml:space="preserve">Dalyvaudamas Europos narkotikų ir narkomanijos stebėsenos centro ir REITOX informacinio tinklo veikloje, Narkotikų kontrolės departamentas prie Lietuvos Respublikos Vyriausybės 2008 m. užpildė ir pateikė Europos narkotikų ir narkomanijos stebėsenos centrui 11 standartizuotų epidemiologinių duomenų pateikimo lentelių bei 2 struktūrizuotus teminius klausimynus, parengė ir pateikė pagal metodines rekomendacijas metinį pranešimą apie narkomanijos situaciją Lietuvoje anglų kalba. </w:t>
      </w:r>
    </w:p>
    <w:p w:rsidR="00DD08F5" w:rsidRDefault="00DD08F5" w:rsidP="00DD08F5">
      <w:pPr>
        <w:ind w:firstLine="540"/>
        <w:jc w:val="both"/>
      </w:pPr>
      <w:r>
        <w:t xml:space="preserve">Narkotikų kontrolės departamento prie Lietuvos Respublikos Vyriausybės specialistai dalyvavo 13 - oje Europos narkotikų ir narkomanijos stebėsenos centro organizuotų ekspertų, Valdymo tarybos ir Biudžeto komiteto susitikimų ir mokymų, keitėsi informacija ir patirtimi su Europos narkotikų ir narkomanijos stebėsenos centro REITOX informaciniam tinklui priklausančiais Europos Sąjungos šalių ir šalių kandidačių bei Norvegijos nacionaliniais narkotikų informacijos biurais bei teikė pastabas ir pasiūlymus. </w:t>
      </w:r>
    </w:p>
    <w:p w:rsidR="00DD08F5" w:rsidRDefault="00DD08F5" w:rsidP="00DD08F5">
      <w:pPr>
        <w:ind w:firstLine="540"/>
        <w:jc w:val="both"/>
      </w:pPr>
      <w:r>
        <w:t>Organizuotas Europos narkotikų ir narkomanijos stebėsenos centro 2008 m. metinės ataskaitos pristatymas Lietuvoje, parengtos informacijos, leidinių ir metodinių rekomendacijų pristatymas ir sklaida, Europos narkotikų ir narkomanijos stebėsenos centro ekspertai lankėsi ir skaitė pranešimus Lietuvoje organizuotose tarptautinėse konferencijose. Narkotikų kontrolės departamento prie Lietuvos Respublikos Vyriausybės specialistai dalyvavo Europos Komisijos remiamame ir Europos narkotikų ir narkomanijos stebėsenos centro vykdomame projekte „REITOX Coach“. Projektas skirtas įvertinti penkių Vakarų Balkanų šalių (Albanijos, Bosnijos ir Hercegovinos, Makedonijos, Serbijos ir Juodkalnijos) su narkotikų kontrole ir narkomanija susijusių duomenų rinkimo sistemų būklę, renkamų duomenų kokybę, suteikti pagalbą, kuriant informacines sistemas ir organizuojant šiose šalyse duomenų rinkimą pagal Europos narkotikų ir narkomanijos stebėsenos centro standartus ir reikalavimus.</w:t>
      </w:r>
    </w:p>
    <w:p w:rsidR="00DD08F5" w:rsidRDefault="00DD08F5" w:rsidP="00DD08F5">
      <w:pPr>
        <w:ind w:firstLine="540"/>
        <w:jc w:val="both"/>
        <w:rPr>
          <w:bCs/>
        </w:rPr>
      </w:pPr>
      <w:r>
        <w:t>Narkotikų kontrolės departamentas prie Lietuvos Respublikos Vyriausybės, Policijos departamentas prie Lietuvos Respublikos vidaus reikalų ministerijos ir  Muitinės departamentas prie Lietuvos Respublikos finansų ministerijos, dalyvavo</w:t>
      </w:r>
      <w:r>
        <w:rPr>
          <w:bCs/>
        </w:rPr>
        <w:t xml:space="preserve"> įgyvendinant Jungtinių Tautų projektus „Prizmė“, „Cohesion“, skirtus narkotinių ir psichotropinių medžiagų bei jų pirmtakų (prekursorių) kontrolei atlikti.</w:t>
      </w:r>
    </w:p>
    <w:p w:rsidR="00DD08F5" w:rsidRDefault="00DD08F5" w:rsidP="00DD08F5">
      <w:pPr>
        <w:ind w:firstLine="540"/>
        <w:jc w:val="both"/>
        <w:rPr>
          <w:b/>
        </w:rPr>
      </w:pPr>
      <w:r>
        <w:rPr>
          <w:bCs/>
        </w:rPr>
        <w:t>Rezultatai:</w:t>
      </w:r>
      <w:r>
        <w:rPr>
          <w:b/>
        </w:rPr>
        <w:t xml:space="preserve"> </w:t>
      </w:r>
      <w:r>
        <w:t>2008 m. įgyvendinant Jungtinių Tautų projektą „Prizmė“ ir „Cohesion“ ir toliau Lietuvos Respublikos institucijoms pagal kompetenciją buvo siunčiama Jungtinių Tautų Tarptautinio narkotikų kontrolės komiteto informacija apie sulaikytas prekursorių kontrabandos siuntas, naujus prekursorių kontrabandos būdus, įmones, kurioms buvo atimta licencija importuoti/eksportuoti pirmtakus.</w:t>
      </w:r>
    </w:p>
    <w:p w:rsidR="00DD08F5" w:rsidRDefault="00DD08F5" w:rsidP="00DD08F5">
      <w:pPr>
        <w:tabs>
          <w:tab w:val="left" w:pos="482"/>
        </w:tabs>
        <w:jc w:val="both"/>
      </w:pPr>
      <w:r>
        <w:rPr>
          <w:bCs/>
        </w:rPr>
        <w:tab/>
        <w:t xml:space="preserve">2008 metais </w:t>
      </w:r>
      <w:r>
        <w:t>Narkotikų kontrolės departamentas prie Lietuvos Respublikos Vyriausybės, Lietuvos Respublikos sveikatos apsaugos ministerija ir  Kalėjimų departamentas prie Lietuvos Respublikos teisingumo ministerijos,  d</w:t>
      </w:r>
      <w:r>
        <w:rPr>
          <w:bCs/>
        </w:rPr>
        <w:t>alyvavo įgyvendinant Jungtinių Tautų Narkotikų kontrolės ir nusikalstamumo prevencijos biuro projektą „ŽIV/AIDS prevencija ir priežiūra tarp švirkščiamųjų narkotikų vartotojų bei nuteistųjų Lietuvoje, Estijoje ir Latvijoje“. O</w:t>
      </w:r>
      <w:r>
        <w:t xml:space="preserve">rganizavo projekto valdymo komiteto posėdžius, kuriuose buvo įvertinti projekto 2007 m. rezultatai ir patvirtintas darbų planas 2008 m., įvertinti 2008 m. projekto rezultatai ir pasiūlyti tolimesni veiksmai 2009 metams. 2008 m. kovo 13 d. organizuotas seminaras „Narkotikų vartojimo laisvės atėmimo vietose greito vertinimo rezultatų pristatymas Lietuvoje“. Buvo organizuoti trys savivaldybių narkotikų kontrolės komisijų narių mokymai, Visagine organizuota apskrito stalo diskusija apie žalos mažinimo programų vystymą Lietuvoje. 2008 m. balandžio 24-25 d. organizuota pažintinė kelionė sprendimų priėmėjams iš savivaldybių susipažinti su žalos mažinimo paslaugų prieinamumu švirkščiamųjų narkotikų vartotojams Barselonoje (Ispanija). 2008 m. gegužės 29-30 d. organizuota tarptautinė konferencija „Narkotikų vartojimo žalos mažinimo programos Europoje: praktika, problemos ir perspektyvos“. Organizuoti mokymai žemo slenksčio paslaugų teikėjams, gydytojams psichiatrams, šeimos gydytojams, socialiniams darbuotojams, kalinimo įstaigų darbuotojams. Buvo išleisti 6 informaciniai bukletai, skirti švirkščiamųjų narkotikų vartotojams, atliktas tyrimas „Sterilios švirkštimosi įrangos </w:t>
      </w:r>
      <w:r>
        <w:lastRenderedPageBreak/>
        <w:t>prieinamumo vaistinėse tyrimas“. Buvo organizuota Nacionalinės Narkotikų kontrolės ir narkomanijos prevencijos 2009-2016 m. programos ir Nacionalinės ŽIV/AIDS profilaktikos ir kontrolės 2009-2012 m. programos projektų tarptautinė ekspertizė. 2008 m. gruodžio 1-2 d. organizuota konferencija „ŽIV prevencijos stiprinimas tarp švirkščiamųjų narkotikų vartotojų bei kalinimo įstaigose: universalios prieigos link“. 2008 m. žalos mažinimo paslaugų plėtros 5 projektams ir 2 projektams psichologiniam-socialiniam darbui pataisos namuose vykdyti skirta 488 tūkst. litų finansinė parama. Pradėta rengti mokymo programa „Socialinio darbo su švirkščiamųjų narkotikų vartotojais metodų ir socialinių inovacijų projektavimo programa“.</w:t>
      </w:r>
    </w:p>
    <w:p w:rsidR="00DD08F5" w:rsidRDefault="00DD08F5" w:rsidP="00DD08F5">
      <w:pPr>
        <w:ind w:firstLine="540"/>
        <w:jc w:val="both"/>
      </w:pPr>
      <w:r>
        <w:rPr>
          <w:bCs/>
        </w:rPr>
        <w:t>2008 metais atsakingi vykdytojai:</w:t>
      </w:r>
      <w:r>
        <w:t xml:space="preserve"> Narkotikų kontrolės departamentas prie Lietuvos Respublikos Vyriausybės, Lietuvos Respublikos sveikatos apsaugos ministerija, Lietuvos Respublikos teisingumo ministerija, Policijos departamentas prie Lietuvos Respublikos vidaus reikalų ministerijos, Muitinės kriminalinė tarnyba, įgyvendino priemonę “</w:t>
      </w:r>
      <w:r>
        <w:rPr>
          <w:bCs/>
        </w:rPr>
        <w:t>Užtikrinti dalyvavimą Europos Tarybos bendradarbiavimo „Pompidou“ grupės prevencijos, gydymo, baudžiamosios teisės, tyrimų, etikos, oro uostų platformų, kovojančių su neteisėta narkotinių ir psichotropinių medžiagų apyvarta ir piktnaudžiavimu narkotinėmis ir psichotropinėmis medžiagomis, veikloje”.</w:t>
      </w:r>
    </w:p>
    <w:p w:rsidR="00DD08F5" w:rsidRDefault="00DD08F5" w:rsidP="00DD08F5">
      <w:pPr>
        <w:ind w:firstLine="540"/>
        <w:jc w:val="both"/>
      </w:pPr>
      <w:r>
        <w:rPr>
          <w:bCs/>
        </w:rPr>
        <w:t>Rezultatai:</w:t>
      </w:r>
      <w:r>
        <w:rPr>
          <w:b/>
        </w:rPr>
        <w:t xml:space="preserve"> </w:t>
      </w:r>
      <w:r>
        <w:t>Atsakingos Lietuvos Respublikos institucijos nuolat dalyvauja Europos Tarybos Pompidou grupės veikloje, keičiasi informacija, geros praktikos pavyzdžiais, koordinuoja ir dalyvauja 6 Pompidou platformų veikloje (Prevencijos, Tyrimų, Baudžiamosios teisės, Gydymo, Etikos, Oro uostų ir aviacijos) ir nuolatinių atstovų susitikimuose. Sumokėtas Europos Tarybos Pompidou grupės metinis narystės mokestis. Parengtos ir pateiktos informacinės apžvalgos ET Pompidou grupei.</w:t>
      </w:r>
    </w:p>
    <w:p w:rsidR="00DD08F5" w:rsidRDefault="00DD08F5" w:rsidP="00DD08F5">
      <w:pPr>
        <w:ind w:firstLine="540"/>
        <w:jc w:val="both"/>
        <w:rPr>
          <w:bCs/>
        </w:rPr>
      </w:pPr>
      <w:r>
        <w:t>Narkotikų kontrolės departamentas prie Lietuvos Respublikos Vyriausybės, Policijos departamentas prie Lietuvos Respublikos vidaus reikalų ministerijos ir  Lietuvos Respublikos sveikatos apsaugos ministerija 2008 metais vykdė priemonę “</w:t>
      </w:r>
      <w:r>
        <w:rPr>
          <w:bCs/>
        </w:rPr>
        <w:t>Bendradarbiauti su Jungtinių Tautų Nusikalstamumo ir narkotikų kontrolės biuru, Jungtinių Tautų Narkotikų kontrolės komisija, Dublino grupe, kitomis tarptautinėmis institucijomis ir organizacijomis narkotikų kontrolės ir narkomanijos prevencijos klausimais”.</w:t>
      </w:r>
    </w:p>
    <w:p w:rsidR="00DD08F5" w:rsidRDefault="00DD08F5" w:rsidP="00DD08F5">
      <w:pPr>
        <w:ind w:firstLine="540"/>
        <w:jc w:val="both"/>
      </w:pPr>
      <w:r>
        <w:rPr>
          <w:bCs/>
        </w:rPr>
        <w:t>Rezultatai:</w:t>
      </w:r>
      <w:r>
        <w:t xml:space="preserve"> 2007 m. balandžio mėn. Jungtinių Tautų Ekonominės ir socialinės tarybos organizacinėje sesijoje Lietuva buvo išrinkta ketverių metų kadencijai į Jungtinių Tautų Narkotinių medžiagų komisiją. Nuo 2008 m. sausio 1 d. Lietuva dalyvauja Jungtinių Tautų Narkotinių medžiagų komisijos veikloje kaip tikroji narė.</w:t>
      </w:r>
    </w:p>
    <w:p w:rsidR="00DD08F5" w:rsidRDefault="00DD08F5" w:rsidP="00DD08F5">
      <w:pPr>
        <w:ind w:firstLine="540"/>
        <w:jc w:val="both"/>
      </w:pPr>
      <w:r>
        <w:t>2008 m. kovo 9-14 d. Narkotikų kontrolės departamento prie Lietuvos Respublikos Vyriausybės, Policijos departamento prie Lietuvos Respublikos vidaus reikalų ministerijos, Kriminalinės policijos biuro Organizuoto nusikalstamumo tyrimo valdybos ir Valstybinės vaistų kontrolės tarnybos prie Lietuvos Respublikos sveikatos apsaugos ministerijos atstovai dalyvavo Jungtinių Tautų Narkotikų kontrolės komisijos 51-oje sesijoje Vienoje (Austrija).</w:t>
      </w:r>
    </w:p>
    <w:p w:rsidR="00DD08F5" w:rsidRDefault="00DD08F5" w:rsidP="00DD08F5">
      <w:pPr>
        <w:ind w:firstLine="540"/>
        <w:jc w:val="both"/>
      </w:pPr>
      <w:r>
        <w:t>Narkotikų kontrolės departamentas prie Lietuvos Respublikos Vyriausybės pagal kompetenciją pildė Jungtinių Tautų klausimynus, kuriais remiantis ruošiami Jungtinių Tautų metiniai pranešimai,  nuolat vyko susitikimai su Jungtinių Tautų Narkotikų ir nusikalstamumo biuro (UNODC) regioninių projektų koordinatore Baltijos šalyse dėl projekto „ŽIV/AIDS prevencija ir priežiūra tarp švirkščiamųjų narkotikų vartotojų bei nuteistųjų Lietuvoje, Estijoje ir Latvijoje“ įgyvendinimo.</w:t>
      </w:r>
    </w:p>
    <w:p w:rsidR="00DD08F5" w:rsidRDefault="00DD08F5" w:rsidP="00DD08F5">
      <w:pPr>
        <w:ind w:firstLine="540"/>
        <w:jc w:val="both"/>
      </w:pPr>
      <w:r>
        <w:t xml:space="preserve">2008 m. sausio 23-24 d. Narkotikų kontrolės departamento prie Lietuvos Respublikos Vyriausybės ir Valstybinio psichikos sveikatos centro atstovas dalyvavo JAV Baltųjų Rūmų Narkotikų kontrolės politikos departamento (ONDCP) ir JAV Tarptautinio narkotikų ir teisėsaugos reikalų biuro organizuotoje  konferencijoje ,,Poreikio mažinimas: kaip veikia narkotikų vartojimo mažinimo sistema“ (,,Demand reduction conference: What works to reduce drug use“) Budapešte (Vengrija). </w:t>
      </w:r>
    </w:p>
    <w:p w:rsidR="00DD08F5" w:rsidRDefault="00DD08F5" w:rsidP="00DD08F5">
      <w:pPr>
        <w:ind w:firstLine="540"/>
        <w:jc w:val="both"/>
      </w:pPr>
      <w:r>
        <w:t xml:space="preserve">2008 m. sausio 23 d. ir birželio 27 d. Narkotikų kontrolės departamento prie Lietuvos Respublikos Vyriausybės ir Policijos departamento prie Lietuvos Respublikos vidaus reikalų ministerijos atstovai dalyvavo Dublino grupės susitikime Briuselyje (Belgija). </w:t>
      </w:r>
    </w:p>
    <w:p w:rsidR="00DD08F5" w:rsidRDefault="00DD08F5" w:rsidP="00DD08F5">
      <w:pPr>
        <w:ind w:firstLine="540"/>
        <w:jc w:val="both"/>
      </w:pPr>
      <w:r>
        <w:t>2008 m. vasario 18-22 d. Narkotikų kontrolės departamento prie Lietuvos Respublikos Vyriausybės direktorė dalyvavo Jungtinių Tautų Narkotikų ir nusikalstamumo biuro (UNODC) organizuojamoje 2-oje neformalioje konsultacijoje „ŽIV prevencija tarp švirkščiamųjų narkotikų vartotojų ir laisvės atėmimo vietose“ Vienoje (Austrija).</w:t>
      </w:r>
    </w:p>
    <w:p w:rsidR="00DD08F5" w:rsidRDefault="00DD08F5" w:rsidP="00DD08F5">
      <w:pPr>
        <w:ind w:firstLine="540"/>
        <w:jc w:val="both"/>
      </w:pPr>
      <w:r>
        <w:t xml:space="preserve">2008 m. kovo 31 d. – balandžio 4 d. Narkotikų kontrolės departamento prie Lietuvos Respublikos Vyriausybės atstovas dalyvavo Europos projekto „Ankstyvosios intervencijos taikymas psichoaktyvias medžiagas vartojantiems vaikams ir jaunimui“ susitikime Liuksemburge, o 2008 m. </w:t>
      </w:r>
      <w:r>
        <w:lastRenderedPageBreak/>
        <w:t xml:space="preserve">birželio 30 d. – liepos 3 d. sekantis šio projekto vykdytojų ir partnerių susitikimas įvyko Reikjavike (Islandija). </w:t>
      </w:r>
    </w:p>
    <w:p w:rsidR="00DD08F5" w:rsidRDefault="00DD08F5" w:rsidP="00DD08F5">
      <w:pPr>
        <w:tabs>
          <w:tab w:val="left" w:pos="482"/>
        </w:tabs>
        <w:ind w:firstLine="540"/>
        <w:jc w:val="both"/>
      </w:pPr>
      <w:r>
        <w:t>2008 m. balandžio 23-26 d. Narkotikų kontrolės departamento prie Lietuvos Respublikos Vyriausybės atstovai dalyvavo Jungtinių Tautų Narkotikų ir nusikalstamumo biuro organizuotame mokomajame seminare „ŽIV prevencija tarp švirkščiamų narkotikų vartotojų“ Barselonoje (Ispanija).</w:t>
      </w:r>
    </w:p>
    <w:p w:rsidR="00DD08F5" w:rsidRDefault="00DD08F5" w:rsidP="00DD08F5">
      <w:pPr>
        <w:ind w:firstLine="540"/>
        <w:jc w:val="both"/>
      </w:pPr>
      <w:r>
        <w:t>2008 m. gegužės 29-30 d. Narkotikų kontrolės departamentas prie Lietuvos Respublikos Vyriausybės kartu su Jungtinių Tautų Narkotikų ir nusikalstamumo biuru Vilniuje organizavo tarptautinę konferenciją „Narkotikų vartojimo žalos mažinimo programos Europoje: praktika, problemos, perspektyvos“.</w:t>
      </w:r>
    </w:p>
    <w:p w:rsidR="00DD08F5" w:rsidRDefault="00DD08F5" w:rsidP="00DD08F5">
      <w:pPr>
        <w:ind w:firstLine="540"/>
        <w:jc w:val="both"/>
      </w:pPr>
      <w:r>
        <w:t>2008 m. liepos 2 – 4 d. Narkotikų kontrolės departamento prie Lietuvos Respublikos Vyriausybės atstovas pirmininkavo Jungtinių Tautų Narkotikų komisijos biuro rengiamame tarpvyriausybiniame ekspertų darbo grupės posėdyje Vienoje (Austrija).</w:t>
      </w:r>
    </w:p>
    <w:p w:rsidR="00DD08F5" w:rsidRDefault="00DD08F5" w:rsidP="00DD08F5">
      <w:pPr>
        <w:ind w:firstLine="540"/>
        <w:jc w:val="both"/>
      </w:pPr>
      <w:r>
        <w:t>2008 m. liepos 13 – 18 d. Narkotikų kontrolės departamento prie Lietuvos Respublikos Vyriausybės atstovas dalyvavo Pasaulio sveikatos organizacijos ŽIV/AIDS priežiūros mokymo centro ir Ligų kontrolės ir prevencijos centro organizuojamuose duomenų analizės ir interpretavimo mokymuose Zagrebe (Kroatija).</w:t>
      </w:r>
    </w:p>
    <w:p w:rsidR="00DD08F5" w:rsidRDefault="00DD08F5" w:rsidP="00DD08F5">
      <w:pPr>
        <w:ind w:firstLine="540"/>
        <w:jc w:val="both"/>
      </w:pPr>
      <w:r>
        <w:t>2008 m. liepos 16 – 19 d. Narkotikų kontrolės departamento prie Lietuvos Respublikos Vyriausybės atstovas dalyvavo Europos saugumo ir bendradarbiavimo organizacijos (ESBO) surengtoje ekspertų konferencijoje Vienoje (Austrija) dėl tarptautinio bendradarbiavimo narkotikų kontrolės srityje ir neteisėto prekursorių platinimo.</w:t>
      </w:r>
    </w:p>
    <w:p w:rsidR="00DD08F5" w:rsidRDefault="00DD08F5" w:rsidP="00DD08F5">
      <w:pPr>
        <w:ind w:firstLine="540"/>
        <w:jc w:val="both"/>
      </w:pPr>
      <w:r>
        <w:t>2008 m. rugsėjo 3 d. Narkotikų kontrolės departamento prie Lietuvos Respublikos Vyriausybės atstovas dalyvavo Jungtinių Tautų Narkotikų ir nusikalstamumo biuro narių susitikime Vienoje (Austrija), kuriame buvo aptariami darbai ruošiantis 52-jai Narkotinių medžiagų komisijos sesijai.</w:t>
      </w:r>
    </w:p>
    <w:p w:rsidR="00DD08F5" w:rsidRDefault="00DD08F5" w:rsidP="00DD08F5">
      <w:pPr>
        <w:ind w:firstLine="540"/>
        <w:jc w:val="both"/>
      </w:pPr>
      <w:r>
        <w:t>2008 rugsėjo 2 - 6 d. Narkotikų kontrolės departamento prie Lietuvos Respublikos Vyriausybės atstovas dalyvavo Jungtinių Tautų Narkotikų ir nusikalstamumo biuro organizuotame seminare Jūrmaloje (Latvija) apie žalos mažinimo programas.</w:t>
      </w:r>
    </w:p>
    <w:p w:rsidR="00DD08F5" w:rsidRDefault="00DD08F5" w:rsidP="00DD08F5">
      <w:pPr>
        <w:ind w:firstLine="540"/>
        <w:jc w:val="both"/>
      </w:pPr>
      <w:r>
        <w:t xml:space="preserve">2008 m. rugsėjo 16 - 20 d. Narkotikų kontrolės departamento prie Lietuvos Respublikos Vyriausybės atstovai dalyvavo Jungtinių Tautų Narkotikų kontrolės ir nusikalstamumo prevencijos biuro Narkotinių medžiagų komisijos ekspertų darbo grupėje Vienoje (Austrija), svarstančioje narkotinių ir psichotropinių medžiagų pirmtakų (prekursorių) ir amfetamino tipo stimuliatorių kontrolės klausimus. </w:t>
      </w:r>
    </w:p>
    <w:p w:rsidR="00DD08F5" w:rsidRDefault="00DD08F5" w:rsidP="00DD08F5">
      <w:pPr>
        <w:ind w:firstLine="540"/>
        <w:jc w:val="both"/>
      </w:pPr>
      <w:r>
        <w:t>2008 m. gruodžio 15-19 d. Narkotikų kontrolės departamento prie Lietuvos Respublikos Vyriausybės atstovas dalyvavo Jungtinių Tautų Narkotikų ir nusikalstamumo biuro techniniame seminare Vienoje (Austrija), kuriame buvo aptariami narkomanijos prevencijos ir gydymo klausimai.</w:t>
      </w:r>
    </w:p>
    <w:p w:rsidR="00DD08F5" w:rsidRDefault="00DD08F5" w:rsidP="00DD08F5">
      <w:pPr>
        <w:ind w:firstLine="540"/>
        <w:jc w:val="both"/>
      </w:pPr>
      <w:r>
        <w:t>2008 metais Narkotikų kontrolės departamentas prie Lietuvos Respublikos Vyriausybės, Policijos departamentas prie Lietuvos Respublikos vidaus reikalų ministerijos ir  Lietuvos Respublikos sveikatos apsaugos ministerija vykdė bendrą priemonę “</w:t>
      </w:r>
      <w:r>
        <w:rPr>
          <w:bCs/>
        </w:rPr>
        <w:t>Dalyvauti Europos Sąjungos Tarybos, Europos Komisijos darbo grupių veikloje narkotikų kontrolės klausimais”.</w:t>
      </w:r>
    </w:p>
    <w:p w:rsidR="00DD08F5" w:rsidRDefault="00DD08F5" w:rsidP="00DD08F5">
      <w:pPr>
        <w:ind w:firstLine="540"/>
        <w:jc w:val="both"/>
      </w:pPr>
      <w:r>
        <w:rPr>
          <w:bCs/>
        </w:rPr>
        <w:t>Rezultatai:</w:t>
      </w:r>
      <w:r>
        <w:t xml:space="preserve"> 2008 m. gegužės 19 d. Lietuvos Respublikos Ministro Pirmininko potvarkiu Nr. 187 „Dėl valstybės institucijų ir įstaigų, kitų institucijų, kurių atstovai pristato Lietuvos Respublikos poziciją Europos Sąjungos Tarybos, Europos Komisijos, Stojimo į Europos Sąjungą sutarties Akto 52 straipsnio komitetuose ir darbo grupėse, sąrašų patvirtinimo“ Narkotikų kontrolės departamentas prie Lietuvos Respublikos Vyriausybės nurodytas kaip atsakinga institucija už dalyvavimą Europos Sąjungos Tarybos Narkotikų horizontaliojoje darbo grupėje. 2008 m. Narkotikų kontrolės departamento prie Lietuvos Respublikos Vyriausybės atstovai dalyvavo visuose 11 ES Tarybos Narkotikų horizontaliosios darbo grupės </w:t>
      </w:r>
      <w:r>
        <w:rPr>
          <w:i/>
          <w:iCs/>
        </w:rPr>
        <w:t xml:space="preserve">(HDG-Horizontal Working Party on Drugs; </w:t>
      </w:r>
      <w:r>
        <w:t>darbo grupės kodas – B.4)</w:t>
      </w:r>
      <w:r>
        <w:rPr>
          <w:i/>
          <w:iCs/>
        </w:rPr>
        <w:t xml:space="preserve"> </w:t>
      </w:r>
      <w:r>
        <w:t>posėdžiuose, kurių metu buvo analizuojami Europos Sąjungos teisės aktų projektai, teikti pasiūlymai bei pastabos, derintos pozicijos. Taip pat 2008 m. gegužės 30 d. Narkotikų kontrolės departamento prie Lietuvos Respublikos Vyriausybės atstovas dalyvavo Europos Komisijos specialiosios programos „Narkotikų prevencija ir informacija“ komiteto posėdyje, kuriame buvo svarstomi projektų konkurso rezultatai, tvirtinami nauji projektų konkursai.</w:t>
      </w:r>
    </w:p>
    <w:p w:rsidR="00DD08F5" w:rsidRDefault="00DD08F5" w:rsidP="00DD08F5">
      <w:pPr>
        <w:jc w:val="both"/>
        <w:rPr>
          <w:b/>
          <w:bCs/>
          <w:i/>
          <w:iCs/>
        </w:rPr>
      </w:pPr>
      <w:r>
        <w:rPr>
          <w:b/>
          <w:bCs/>
          <w:i/>
          <w:iCs/>
        </w:rPr>
        <w:tab/>
      </w:r>
    </w:p>
    <w:p w:rsidR="00DD08F5" w:rsidRDefault="00DD08F5" w:rsidP="00DD08F5">
      <w:pPr>
        <w:ind w:firstLine="540"/>
        <w:jc w:val="both"/>
        <w:rPr>
          <w:b/>
          <w:bCs/>
        </w:rPr>
      </w:pPr>
      <w:r>
        <w:rPr>
          <w:b/>
          <w:bCs/>
          <w:i/>
          <w:iCs/>
        </w:rPr>
        <w:t xml:space="preserve">XI. </w:t>
      </w:r>
      <w:r>
        <w:rPr>
          <w:b/>
          <w:bCs/>
        </w:rPr>
        <w:t xml:space="preserve">Metinė apžvalga apie neteisėtą narkotikų apyvartą ir jos kontrolę Lietuvoje </w:t>
      </w:r>
    </w:p>
    <w:p w:rsidR="00DD08F5" w:rsidRDefault="00DD08F5" w:rsidP="00DD08F5">
      <w:pPr>
        <w:ind w:firstLine="720"/>
        <w:jc w:val="both"/>
        <w:rPr>
          <w:b/>
          <w:bCs/>
        </w:rPr>
      </w:pPr>
      <w:r>
        <w:rPr>
          <w:b/>
          <w:bCs/>
        </w:rPr>
        <w:t xml:space="preserve"> </w:t>
      </w:r>
    </w:p>
    <w:p w:rsidR="00DD08F5" w:rsidRDefault="00DD08F5" w:rsidP="00DD08F5">
      <w:pPr>
        <w:jc w:val="both"/>
        <w:rPr>
          <w:b/>
          <w:bCs/>
          <w:i/>
          <w:iCs/>
        </w:rPr>
      </w:pPr>
    </w:p>
    <w:p w:rsidR="00DD08F5" w:rsidRDefault="00DD08F5" w:rsidP="00DD08F5">
      <w:pPr>
        <w:ind w:firstLine="720"/>
        <w:jc w:val="both"/>
        <w:rPr>
          <w:i/>
          <w:color w:val="0000FF"/>
          <w:spacing w:val="5"/>
        </w:rPr>
      </w:pPr>
      <w:r>
        <w:rPr>
          <w:i/>
          <w:color w:val="0000FF"/>
          <w:spacing w:val="5"/>
        </w:rPr>
        <w:lastRenderedPageBreak/>
        <w:t xml:space="preserve">Metinėje Apžvalgoje apie neteisėtą narkotikų apyvartą ir jos kontrolę Lietuvoje yra remiamasi Informatikos ir Ryšių departamento prie VRM, Muitinės kriminalinės tarnybos, Valstybės sienos apsaugos tarnybos, Kalėjimo departamento prie TM, Apskričių vyriausiųjų policijos komisariatų organizuoto nusikalstamumo tyrimo padalinių ir Lietuvos kriminalinės policijos biuro pareigūnų pateikta informacija.  </w:t>
      </w:r>
    </w:p>
    <w:p w:rsidR="00DD08F5" w:rsidRDefault="00DD08F5" w:rsidP="00DD08F5">
      <w:pPr>
        <w:ind w:firstLine="720"/>
        <w:jc w:val="both"/>
        <w:rPr>
          <w:i/>
          <w:color w:val="0000FF"/>
          <w:spacing w:val="5"/>
        </w:rPr>
      </w:pPr>
    </w:p>
    <w:p w:rsidR="00DD08F5" w:rsidRDefault="00DD08F5" w:rsidP="00DD08F5">
      <w:pPr>
        <w:ind w:left="5040"/>
        <w:jc w:val="both"/>
        <w:rPr>
          <w:i/>
          <w:color w:val="0000FF"/>
          <w:spacing w:val="5"/>
        </w:rPr>
      </w:pPr>
      <w:r>
        <w:rPr>
          <w:i/>
          <w:color w:val="0000FF"/>
          <w:spacing w:val="5"/>
        </w:rPr>
        <w:t xml:space="preserve">                          LKPB ONT 3 –ioji  valdyba</w:t>
      </w:r>
    </w:p>
    <w:p w:rsidR="00DD08F5" w:rsidRDefault="00DD08F5" w:rsidP="00DD08F5">
      <w:pPr>
        <w:ind w:firstLine="720"/>
        <w:jc w:val="both"/>
        <w:rPr>
          <w:i/>
          <w:color w:val="0000FF"/>
          <w:spacing w:val="5"/>
        </w:rPr>
      </w:pPr>
    </w:p>
    <w:p w:rsidR="00DD08F5" w:rsidRDefault="00DD08F5" w:rsidP="00DD08F5">
      <w:pPr>
        <w:ind w:firstLine="720"/>
        <w:jc w:val="both"/>
        <w:rPr>
          <w:i/>
          <w:color w:val="0000FF"/>
          <w:spacing w:val="5"/>
        </w:rPr>
      </w:pPr>
    </w:p>
    <w:p w:rsidR="00DD08F5" w:rsidRDefault="00DD08F5" w:rsidP="00DD08F5">
      <w:pPr>
        <w:ind w:firstLine="720"/>
        <w:jc w:val="both"/>
        <w:rPr>
          <w:i/>
          <w:color w:val="0000FF"/>
          <w:spacing w:val="5"/>
        </w:rPr>
      </w:pPr>
    </w:p>
    <w:p w:rsidR="00DD08F5" w:rsidRDefault="00344E26" w:rsidP="00DD08F5">
      <w:pPr>
        <w:rPr>
          <w:b/>
          <w:i/>
          <w:color w:val="0000FF"/>
        </w:rPr>
      </w:pPr>
      <w:r>
        <w:rPr>
          <w:b/>
          <w:i/>
          <w:noProof/>
          <w:color w:val="0000FF"/>
          <w:lang w:val="en-US"/>
        </w:rPr>
        <w:pict>
          <v:shape id="_x0000_s1068" type="#_x0000_t75" style="position:absolute;margin-left:0;margin-top:255.1pt;width:464.2pt;height:255.7pt;z-index:251703296" o:allowoverlap="f">
            <v:imagedata r:id="rId119" o:title=""/>
            <w10:wrap type="topAndBottom"/>
            <w10:anchorlock/>
          </v:shape>
        </w:pict>
      </w:r>
      <w:r w:rsidR="00DD08F5">
        <w:rPr>
          <w:b/>
          <w:i/>
          <w:color w:val="0000FF"/>
        </w:rPr>
        <w:t>Bendroji situacijos apžvalga</w:t>
      </w:r>
    </w:p>
    <w:p w:rsidR="00DD08F5" w:rsidRDefault="00DD08F5" w:rsidP="00DD08F5">
      <w:pPr>
        <w:ind w:firstLine="720"/>
        <w:jc w:val="both"/>
        <w:rPr>
          <w:i/>
          <w:color w:val="0000FF"/>
          <w:spacing w:val="5"/>
        </w:rPr>
      </w:pPr>
    </w:p>
    <w:p w:rsidR="00DD08F5" w:rsidRDefault="00DD08F5" w:rsidP="00DD08F5">
      <w:pPr>
        <w:ind w:firstLine="720"/>
        <w:jc w:val="both"/>
        <w:rPr>
          <w:i/>
          <w:color w:val="0000FF"/>
          <w:spacing w:val="5"/>
        </w:rPr>
      </w:pPr>
    </w:p>
    <w:p w:rsidR="00DD08F5" w:rsidRDefault="00DD08F5" w:rsidP="00DD08F5">
      <w:pPr>
        <w:ind w:firstLine="720"/>
        <w:jc w:val="both"/>
      </w:pPr>
      <w:r>
        <w:t>2008 metais visų nusikalstamų veikų Lietuvoje užregistruota 6,1 % daugiau negu 2007 m. (atitinkamai 78 266 ir 73 776 ir), bet 5 % mažiau negu 2006 m. (82 255). Bendrame nusikalstamumo kontekste nusikalstamos veikos, susijusios su neteisėtu narkotikų disponavimu, sudaro  2,34 %, t.y. tiek pat kiek pernai ir  1 % daugiau negu prieš penkis metus. Tai  nėra didelis procentas, lyginat su nusikalstamų veikų nuosavybei, turtinėms teisėms ir turtiniams interesams, procentu, pastarosios sudaro daugiau kaip pusę (</w:t>
      </w:r>
      <w:r>
        <w:rPr>
          <w:rFonts w:ascii="Univers Condensed" w:hAnsi="Univers Condensed"/>
        </w:rPr>
        <w:t>~</w:t>
      </w:r>
      <w:r>
        <w:t xml:space="preserve">65 %) visų registruotų nusikalstamų veikų. Praėjusiais metais padaugėjo vagysčių bei turto sugadinimo ir sunaikinimo atvejų. </w:t>
      </w:r>
    </w:p>
    <w:p w:rsidR="00DD08F5" w:rsidRDefault="00DD08F5" w:rsidP="00DD08F5">
      <w:pPr>
        <w:ind w:firstLine="720"/>
        <w:jc w:val="both"/>
      </w:pPr>
      <w:r>
        <w:t>Nusikalstamų veikų, susijusių su psichotropinėmis ir narkotinėmis medžiagomis, tankumas šalyje per 2008 m. sudarė 55 nusikalstamas veikas  100 tūkst. gyventojų, t.y. 8 nusikalstamomis veikomis daugiau negu 2007 m.</w:t>
      </w:r>
      <w:r>
        <w:rPr>
          <w:i/>
          <w:color w:val="0000FF"/>
        </w:rPr>
        <w:t xml:space="preserve">. </w:t>
      </w:r>
      <w:r>
        <w:t xml:space="preserve">Palyginimui pateiksime automobilių vagysčių tankumą šalyje, kuris 2008 m. sudarė 65 nusikalstamas veikas 100 tūkst. gyventojų, vagystės 1044, turto sunaikinimas ar sugadinimas – 114, o  </w:t>
      </w:r>
      <w:r>
        <w:rPr>
          <w:color w:val="000000"/>
        </w:rPr>
        <w:t>neteisėtas namų gamybos stiprių alkoholinių gėrimų ir aparatų gaminimas, laikymas, gabenimas -9 veikos.</w:t>
      </w:r>
      <w:r>
        <w:t xml:space="preserve"> </w:t>
      </w:r>
    </w:p>
    <w:p w:rsidR="00DD08F5" w:rsidRDefault="00DD08F5" w:rsidP="00DD08F5">
      <w:pPr>
        <w:ind w:firstLine="720"/>
        <w:jc w:val="both"/>
      </w:pPr>
      <w:r>
        <w:rPr>
          <w:noProof/>
          <w:lang w:eastAsia="lt-LT"/>
        </w:rPr>
        <mc:AlternateContent>
          <mc:Choice Requires="wps">
            <w:drawing>
              <wp:anchor distT="0" distB="0" distL="114300" distR="114300" simplePos="0" relativeHeight="251708416" behindDoc="0" locked="0" layoutInCell="1" allowOverlap="1" wp14:anchorId="637A204F" wp14:editId="5F3653E9">
                <wp:simplePos x="0" y="0"/>
                <wp:positionH relativeFrom="column">
                  <wp:posOffset>5490845</wp:posOffset>
                </wp:positionH>
                <wp:positionV relativeFrom="paragraph">
                  <wp:posOffset>360045</wp:posOffset>
                </wp:positionV>
                <wp:extent cx="685800" cy="342900"/>
                <wp:effectExtent l="0" t="0" r="1270" b="0"/>
                <wp:wrapNone/>
                <wp:docPr id="100" name="Teksto laukas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DD08F5">
                            <w:pPr>
                              <w:rPr>
                                <w:color w:val="0000FF"/>
                                <w:lang w:val="en-US"/>
                              </w:rPr>
                            </w:pPr>
                            <w:r>
                              <w:rPr>
                                <w:color w:val="0000FF"/>
                                <w:lang w:val="en-US"/>
                              </w:rPr>
                              <w:t>1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100" o:spid="_x0000_s1045" type="#_x0000_t202" style="position:absolute;left:0;text-align:left;margin-left:432.35pt;margin-top:28.35pt;width:54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" filled="f" stroked="f">
                <v:textbox>
                  <w:txbxContent>
                    <w:p w:rsidR="004F7425" w:rsidRDefault="004F7425" w:rsidP="00DD08F5">
                      <w:pPr>
                        <w:rPr>
                          <w:color w:val="0000FF"/>
                          <w:lang w:val="en-US"/>
                        </w:rPr>
                      </w:pPr>
                      <w:r>
                        <w:rPr>
                          <w:color w:val="0000FF"/>
                          <w:lang w:val="en-US"/>
                        </w:rPr>
                        <w:t>1 pav.</w:t>
                      </w:r>
                    </w:p>
                  </w:txbxContent>
                </v:textbox>
              </v:shape>
            </w:pict>
          </mc:Fallback>
        </mc:AlternateContent>
      </w:r>
      <w:r>
        <w:t xml:space="preserve">2008 m. užregistruotos 1839  veikos, susijusios su neteisėta narkotikų apyvarta, t.y. 105 veika arba 6.1 % daugiau negu 2007 m. (1734). </w:t>
      </w:r>
    </w:p>
    <w:p w:rsidR="00DD08F5" w:rsidRDefault="00DD08F5" w:rsidP="00DD08F5">
      <w:pPr>
        <w:widowControl w:val="0"/>
        <w:ind w:firstLine="720"/>
        <w:jc w:val="both"/>
      </w:pPr>
    </w:p>
    <w:p w:rsidR="00DD08F5" w:rsidRDefault="00DD08F5" w:rsidP="00DD08F5">
      <w:pPr>
        <w:widowControl w:val="0"/>
        <w:ind w:firstLine="720"/>
        <w:jc w:val="both"/>
      </w:pPr>
    </w:p>
    <w:p w:rsidR="00DD08F5" w:rsidRDefault="00DD08F5" w:rsidP="00DD08F5">
      <w:pPr>
        <w:widowControl w:val="0"/>
        <w:ind w:firstLine="720"/>
        <w:jc w:val="both"/>
      </w:pPr>
    </w:p>
    <w:p w:rsidR="00DD08F5" w:rsidRDefault="00DD08F5" w:rsidP="00DD08F5">
      <w:pPr>
        <w:widowControl w:val="0"/>
        <w:ind w:firstLine="720"/>
        <w:jc w:val="both"/>
      </w:pPr>
    </w:p>
    <w:p w:rsidR="00DD08F5" w:rsidRDefault="00DD08F5" w:rsidP="00DD08F5">
      <w:pPr>
        <w:widowControl w:val="0"/>
        <w:ind w:firstLine="720"/>
        <w:jc w:val="both"/>
      </w:pPr>
      <w:r>
        <w:t xml:space="preserve">Pagal IRD prie VRM pateiktą statistiką, iš 2008 m. fiksuotų </w:t>
      </w:r>
      <w:r>
        <w:rPr>
          <w:b/>
        </w:rPr>
        <w:t>1839</w:t>
      </w:r>
      <w:r>
        <w:t xml:space="preserve"> nusikalstamų veikų, susijusių su narkotikų disponavimu, užregistruota: </w:t>
      </w:r>
    </w:p>
    <w:p w:rsidR="00DD08F5" w:rsidRDefault="00DD08F5" w:rsidP="00DD08F5">
      <w:pPr>
        <w:widowControl w:val="0"/>
        <w:ind w:firstLine="720"/>
        <w:jc w:val="both"/>
      </w:pPr>
    </w:p>
    <w:p w:rsidR="00DD08F5" w:rsidRDefault="00DD08F5" w:rsidP="00DD08F5">
      <w:pPr>
        <w:widowControl w:val="0"/>
        <w:ind w:firstLine="720"/>
        <w:jc w:val="both"/>
      </w:pPr>
      <w:r>
        <w:rPr>
          <w:b/>
        </w:rPr>
        <w:t>1042</w:t>
      </w:r>
      <w:r>
        <w:t xml:space="preserve"> - dėl neteisėto disponavimo narkotinėmis ir psichotropinėmis medžiagomis be tikslo jas platinti (2007 m. - 966) – LR PB 259 str.; </w:t>
      </w:r>
    </w:p>
    <w:p w:rsidR="00DD08F5" w:rsidRDefault="00DD08F5" w:rsidP="00DD08F5">
      <w:pPr>
        <w:widowControl w:val="0"/>
        <w:ind w:firstLine="720"/>
        <w:jc w:val="both"/>
      </w:pPr>
      <w:r>
        <w:rPr>
          <w:b/>
        </w:rPr>
        <w:lastRenderedPageBreak/>
        <w:t xml:space="preserve">749 </w:t>
      </w:r>
      <w:r>
        <w:t>– dėl neteisėto disponavimo narkotinėmis ir psichotropinėmis medžiagomis turint tikslą jas platinti (2007 m. – 728), iš jų 62 nusikalstamos veikos dėl platinimo labai didelio kiekio – LR BK 260 str.;</w:t>
      </w:r>
    </w:p>
    <w:p w:rsidR="00DD08F5" w:rsidRDefault="00DD08F5" w:rsidP="00DD08F5">
      <w:pPr>
        <w:widowControl w:val="0"/>
        <w:ind w:firstLine="720"/>
        <w:jc w:val="both"/>
      </w:pPr>
      <w:r>
        <w:rPr>
          <w:b/>
        </w:rPr>
        <w:t>14</w:t>
      </w:r>
      <w:r>
        <w:t xml:space="preserve"> – dėl narkotikų platinimo nepilnamečiams (2007 m. – 8) – LR BK 261 str.;</w:t>
      </w:r>
    </w:p>
    <w:p w:rsidR="00DD08F5" w:rsidRDefault="00DD08F5" w:rsidP="00DD08F5">
      <w:pPr>
        <w:widowControl w:val="0"/>
        <w:ind w:firstLine="720"/>
        <w:jc w:val="both"/>
      </w:pPr>
      <w:r>
        <w:rPr>
          <w:b/>
        </w:rPr>
        <w:t>2</w:t>
      </w:r>
      <w:r>
        <w:t xml:space="preserve"> - dėl įrenginių narkotinėms ar psichotropinėms medžiagoms gaminti gaminimo (2007 m. - 2) – LR BK 262 str.;</w:t>
      </w:r>
    </w:p>
    <w:p w:rsidR="00DD08F5" w:rsidRDefault="00DD08F5" w:rsidP="00DD08F5">
      <w:pPr>
        <w:widowControl w:val="0"/>
        <w:ind w:firstLine="720"/>
        <w:jc w:val="both"/>
      </w:pPr>
      <w:r>
        <w:rPr>
          <w:b/>
        </w:rPr>
        <w:t>7</w:t>
      </w:r>
      <w:r>
        <w:t xml:space="preserve"> - dėl narkotinių ar psichotropinių medžiagų pagrobimo (2007 m.- 4) – LR BK 263 str.;</w:t>
      </w:r>
    </w:p>
    <w:p w:rsidR="00DD08F5" w:rsidRDefault="00DD08F5" w:rsidP="00DD08F5">
      <w:pPr>
        <w:widowControl w:val="0"/>
        <w:ind w:firstLine="720"/>
        <w:jc w:val="both"/>
        <w:rPr>
          <w:color w:val="0000FF"/>
        </w:rPr>
      </w:pPr>
      <w:r>
        <w:rPr>
          <w:b/>
        </w:rPr>
        <w:t>8</w:t>
      </w:r>
      <w:r>
        <w:t>- dėl lenkimo</w:t>
      </w:r>
      <w:r>
        <w:rPr>
          <w:color w:val="0000FF"/>
        </w:rPr>
        <w:t xml:space="preserve"> </w:t>
      </w:r>
      <w:r>
        <w:t>vartoti narkotikus (2007 m. - 8) LR BK 264 str.;</w:t>
      </w:r>
      <w:r>
        <w:rPr>
          <w:color w:val="0000FF"/>
        </w:rPr>
        <w:t xml:space="preserve"> </w:t>
      </w:r>
    </w:p>
    <w:p w:rsidR="00DD08F5" w:rsidRDefault="00DD08F5" w:rsidP="00DD08F5">
      <w:pPr>
        <w:widowControl w:val="0"/>
        <w:ind w:firstLine="720"/>
        <w:jc w:val="both"/>
      </w:pPr>
      <w:r>
        <w:rPr>
          <w:b/>
        </w:rPr>
        <w:t>8</w:t>
      </w:r>
      <w:r>
        <w:t xml:space="preserve"> - dėl neteisėto aguonų ar kanapių auginimo (2007 m. -  4) – LR BK 265 str.;</w:t>
      </w:r>
    </w:p>
    <w:p w:rsidR="00DD08F5" w:rsidRDefault="00DD08F5" w:rsidP="00DD08F5">
      <w:pPr>
        <w:widowControl w:val="0"/>
        <w:ind w:firstLine="720"/>
        <w:jc w:val="both"/>
      </w:pPr>
      <w:r>
        <w:rPr>
          <w:b/>
        </w:rPr>
        <w:t>3</w:t>
      </w:r>
      <w:r>
        <w:t xml:space="preserve"> - dėl neteisėto I kategorijos narkotinių ir psichotropinių medžiagų pirmtakų (prekursorių) disponavimo (2007 m. – 7)-LR BK 266 str.;</w:t>
      </w:r>
    </w:p>
    <w:p w:rsidR="00DD08F5" w:rsidRDefault="00DD08F5" w:rsidP="00DD08F5">
      <w:pPr>
        <w:widowControl w:val="0"/>
        <w:ind w:firstLine="720"/>
        <w:jc w:val="both"/>
      </w:pPr>
      <w:r>
        <w:rPr>
          <w:b/>
        </w:rPr>
        <w:t>3</w:t>
      </w:r>
      <w:r>
        <w:t xml:space="preserve"> – dėl narkotikų kontrabandos (2007 m. - 8) – LR BK 199 str.</w:t>
      </w:r>
    </w:p>
    <w:p w:rsidR="00DD08F5" w:rsidRDefault="00DD08F5" w:rsidP="00DD08F5">
      <w:pPr>
        <w:ind w:firstLine="720"/>
        <w:jc w:val="both"/>
      </w:pPr>
    </w:p>
    <w:p w:rsidR="00DD08F5" w:rsidRDefault="00DD08F5" w:rsidP="00DD08F5">
      <w:pPr>
        <w:tabs>
          <w:tab w:val="left" w:pos="720"/>
        </w:tabs>
        <w:jc w:val="both"/>
      </w:pPr>
      <w:r>
        <w:rPr>
          <w:noProof/>
          <w:lang w:eastAsia="lt-LT"/>
        </w:rPr>
        <mc:AlternateContent>
          <mc:Choice Requires="wps">
            <w:drawing>
              <wp:anchor distT="0" distB="0" distL="114300" distR="114300" simplePos="0" relativeHeight="251709440" behindDoc="0" locked="0" layoutInCell="1" allowOverlap="1" wp14:anchorId="423DE9FC" wp14:editId="5C46484E">
                <wp:simplePos x="0" y="0"/>
                <wp:positionH relativeFrom="column">
                  <wp:posOffset>5372100</wp:posOffset>
                </wp:positionH>
                <wp:positionV relativeFrom="paragraph">
                  <wp:posOffset>388620</wp:posOffset>
                </wp:positionV>
                <wp:extent cx="685800" cy="342900"/>
                <wp:effectExtent l="3810" t="0" r="0" b="3810"/>
                <wp:wrapNone/>
                <wp:docPr id="99" name="Teksto laukas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DD08F5">
                            <w:pPr>
                              <w:rPr>
                                <w:color w:val="0000FF"/>
                                <w:lang w:val="en-US"/>
                              </w:rPr>
                            </w:pPr>
                            <w:r>
                              <w:rPr>
                                <w:color w:val="0000FF"/>
                                <w:lang w:val="en-US"/>
                              </w:rPr>
                              <w:t>2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99" o:spid="_x0000_s1046" type="#_x0000_t202" style="position:absolute;left:0;text-align:left;margin-left:423pt;margin-top:30.6pt;width:54pt;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" filled="f" stroked="f">
                <v:textbox>
                  <w:txbxContent>
                    <w:p w:rsidR="004F7425" w:rsidRDefault="004F7425" w:rsidP="00DD08F5">
                      <w:pPr>
                        <w:rPr>
                          <w:color w:val="0000FF"/>
                          <w:lang w:val="en-US"/>
                        </w:rPr>
                      </w:pPr>
                      <w:r>
                        <w:rPr>
                          <w:color w:val="0000FF"/>
                          <w:lang w:val="en-US"/>
                        </w:rPr>
                        <w:t>2 pav.</w:t>
                      </w:r>
                    </w:p>
                  </w:txbxContent>
                </v:textbox>
              </v:shape>
            </w:pict>
          </mc:Fallback>
        </mc:AlternateContent>
      </w:r>
      <w:r>
        <w:rPr>
          <w:noProof/>
          <w:lang w:eastAsia="lt-LT"/>
        </w:rPr>
        <w:drawing>
          <wp:anchor distT="0" distB="0" distL="114300" distR="114300" simplePos="0" relativeHeight="251699200" behindDoc="0" locked="0" layoutInCell="1" allowOverlap="0" wp14:anchorId="0F50B76C" wp14:editId="269970F8">
            <wp:simplePos x="0" y="0"/>
            <wp:positionH relativeFrom="column">
              <wp:posOffset>-114300</wp:posOffset>
            </wp:positionH>
            <wp:positionV relativeFrom="page">
              <wp:posOffset>4800600</wp:posOffset>
            </wp:positionV>
            <wp:extent cx="6225540" cy="2113280"/>
            <wp:effectExtent l="3810" t="0" r="0" b="1270"/>
            <wp:wrapSquare wrapText="bothSides"/>
            <wp:docPr id="98" name="Diagrama 9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page">
              <wp14:pctWidth>0</wp14:pctWidth>
            </wp14:sizeRelH>
            <wp14:sizeRelV relativeFrom="page">
              <wp14:pctHeight>0</wp14:pctHeight>
            </wp14:sizeRelV>
          </wp:anchor>
        </w:drawing>
      </w:r>
      <w:r>
        <w:t xml:space="preserve">Siekiant mažinti narkotikų pasiūlą svarbu užkardyti narkotikų gamybą, kontrabandą bei narkotikų platinimą (ypač dideliu kiekiu), tačiau  34 </w:t>
      </w:r>
      <w:r>
        <w:rPr>
          <w:rFonts w:ascii="Helvetica Narrow" w:hAnsi="Helvetica Narrow"/>
        </w:rPr>
        <w:t>%</w:t>
      </w:r>
      <w:r>
        <w:t xml:space="preserve"> 2008 metais užregistruotų veikų yra baudžiamieji nusižengimai.</w:t>
      </w:r>
    </w:p>
    <w:p w:rsidR="00DD08F5" w:rsidRDefault="00DD08F5" w:rsidP="00DD08F5">
      <w:pPr>
        <w:tabs>
          <w:tab w:val="left" w:pos="720"/>
        </w:tabs>
        <w:jc w:val="both"/>
      </w:pPr>
    </w:p>
    <w:p w:rsidR="00DD08F5" w:rsidRDefault="00DD08F5" w:rsidP="00DD08F5">
      <w:pPr>
        <w:tabs>
          <w:tab w:val="left" w:pos="720"/>
        </w:tabs>
        <w:jc w:val="both"/>
      </w:pPr>
    </w:p>
    <w:p w:rsidR="00DD08F5" w:rsidRDefault="00DD08F5" w:rsidP="00DD08F5">
      <w:pPr>
        <w:tabs>
          <w:tab w:val="left" w:pos="720"/>
        </w:tabs>
        <w:jc w:val="both"/>
      </w:pPr>
    </w:p>
    <w:p w:rsidR="00DD08F5" w:rsidRDefault="00DD08F5" w:rsidP="00DD08F5">
      <w:pPr>
        <w:tabs>
          <w:tab w:val="left" w:pos="720"/>
        </w:tabs>
        <w:jc w:val="both"/>
      </w:pPr>
      <w:r>
        <w:tab/>
        <w:t xml:space="preserve">IRD prie VRM  duomenimis, 2008 m. asmenys, apsvaigę nuo narkotinių ar psichotropinių medžiagų, padarė 218 veikų, tai sudaro 0,3 % visų įvykdytų nusikalstamų veikų Lietuvoje (procentine išraiška  tiek pat kiek 2007 metais (246)). Šie skaičiai neatspindi tikrosios situacijos, nes sulaikyti asmenys retai tikrinami dėl apsvaigimo nuo narkotikų (dažnai tai motyvuojama didelėmis išlaidomis šiems tyrimams atlikti). Apsvaigusių nuo alkoholio asmenų padarytos nusikalstamos veikos (5560) sudarė 7 % visų nusikalstamų veikų, 1 %mažiau negu 2007 metais (5782). </w:t>
      </w:r>
    </w:p>
    <w:p w:rsidR="00DD08F5" w:rsidRDefault="00DD08F5" w:rsidP="00DD08F5">
      <w:pPr>
        <w:ind w:firstLine="720"/>
        <w:jc w:val="both"/>
        <w:rPr>
          <w:color w:val="0000FF"/>
        </w:rPr>
      </w:pPr>
    </w:p>
    <w:p w:rsidR="00DD08F5" w:rsidRDefault="00DD08F5" w:rsidP="00DD08F5">
      <w:pPr>
        <w:widowControl w:val="0"/>
        <w:ind w:firstLine="720"/>
        <w:jc w:val="both"/>
      </w:pPr>
    </w:p>
    <w:p w:rsidR="00DD08F5" w:rsidRDefault="00DD08F5" w:rsidP="00DD08F5">
      <w:pPr>
        <w:widowControl w:val="0"/>
        <w:ind w:firstLine="720"/>
        <w:jc w:val="both"/>
      </w:pPr>
      <w:r>
        <w:rPr>
          <w:noProof/>
          <w:lang w:eastAsia="lt-LT"/>
        </w:rPr>
        <mc:AlternateContent>
          <mc:Choice Requires="wps">
            <w:drawing>
              <wp:anchor distT="0" distB="0" distL="114300" distR="114300" simplePos="0" relativeHeight="251700224" behindDoc="0" locked="0" layoutInCell="1" allowOverlap="1" wp14:anchorId="678F9F8D" wp14:editId="0BE8CCAD">
                <wp:simplePos x="0" y="0"/>
                <wp:positionH relativeFrom="column">
                  <wp:posOffset>5143500</wp:posOffset>
                </wp:positionH>
                <wp:positionV relativeFrom="paragraph">
                  <wp:posOffset>130175</wp:posOffset>
                </wp:positionV>
                <wp:extent cx="914400" cy="114300"/>
                <wp:effectExtent l="3810" t="635" r="0" b="0"/>
                <wp:wrapNone/>
                <wp:docPr id="97" name="Teksto laukas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DD08F5">
                            <w:pPr>
                              <w:rPr>
                                <w:b/>
                                <w:color w:val="008000"/>
                                <w:sz w:val="20"/>
                                <w:szCs w:val="20"/>
                              </w:rPr>
                            </w:pPr>
                            <w:r>
                              <w:rPr>
                                <w:b/>
                                <w:color w:val="008000"/>
                                <w:sz w:val="20"/>
                                <w:szCs w:val="20"/>
                              </w:rPr>
                              <w:t>2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97" o:spid="_x0000_s1047" type="#_x0000_t202" style="position:absolute;left:0;text-align:left;margin-left:405pt;margin-top:10.25pt;width:1in;height: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" filled="f" stroked="f">
                <v:textbox>
                  <w:txbxContent>
                    <w:p w:rsidR="004F7425" w:rsidRDefault="004F7425" w:rsidP="00DD08F5">
                      <w:pPr>
                        <w:rPr>
                          <w:b/>
                          <w:color w:val="008000"/>
                          <w:sz w:val="20"/>
                          <w:szCs w:val="20"/>
                        </w:rPr>
                      </w:pPr>
                      <w:r>
                        <w:rPr>
                          <w:b/>
                          <w:color w:val="008000"/>
                          <w:sz w:val="20"/>
                          <w:szCs w:val="20"/>
                        </w:rPr>
                        <w:t>2 pav.</w:t>
                      </w:r>
                    </w:p>
                  </w:txbxContent>
                </v:textbox>
              </v:shape>
            </w:pict>
          </mc:Fallback>
        </mc:AlternateContent>
      </w:r>
      <w:r>
        <w:t xml:space="preserve">Nusikalstamų veikų, susijusių su neteisėta narkotikų apyvarta, pasiskirstymas šalies teritorijoje nuolat keičiasi, tačiau vis dar daugiau kaip 60 </w:t>
      </w:r>
      <w:r>
        <w:rPr>
          <w:rFonts w:ascii="Helvetica Narrow" w:hAnsi="Helvetica Narrow"/>
        </w:rPr>
        <w:t>%</w:t>
      </w:r>
      <w:r>
        <w:t xml:space="preserve"> jų užregistruota penkiuose didžiuosiuose miestuose (</w:t>
      </w:r>
      <w:r>
        <w:rPr>
          <w:i/>
        </w:rPr>
        <w:t>žr. 3  pav.).</w:t>
      </w:r>
      <w:r>
        <w:t xml:space="preserve">  Tokį nusikalstamumo aktyvumą lemia objektyvios priežastys: gyventojų, ypač jaunimo, koncentracija, didžiausios pajamos, pramogų pasiūla, išvystyta infrastruktūra.</w:t>
      </w:r>
    </w:p>
    <w:p w:rsidR="00DD08F5" w:rsidRDefault="00DD08F5" w:rsidP="00DD08F5">
      <w:pPr>
        <w:widowControl w:val="0"/>
        <w:ind w:firstLine="720"/>
        <w:jc w:val="both"/>
        <w:rPr>
          <w:color w:val="0000FF"/>
        </w:rPr>
      </w:pPr>
    </w:p>
    <w:p w:rsidR="00DD08F5" w:rsidRDefault="00DD08F5" w:rsidP="00DD08F5">
      <w:pPr>
        <w:widowControl w:val="0"/>
        <w:ind w:firstLine="720"/>
        <w:jc w:val="both"/>
        <w:rPr>
          <w:color w:val="0000FF"/>
        </w:rPr>
      </w:pPr>
      <w:r>
        <w:rPr>
          <w:noProof/>
          <w:color w:val="0000FF"/>
          <w:lang w:eastAsia="lt-LT"/>
        </w:rPr>
        <w:lastRenderedPageBreak/>
        <w:drawing>
          <wp:anchor distT="0" distB="0" distL="114300" distR="114300" simplePos="0" relativeHeight="251710464" behindDoc="1" locked="0" layoutInCell="1" allowOverlap="0" wp14:anchorId="7D00C443" wp14:editId="2176401E">
            <wp:simplePos x="0" y="0"/>
            <wp:positionH relativeFrom="column">
              <wp:posOffset>3086100</wp:posOffset>
            </wp:positionH>
            <wp:positionV relativeFrom="page">
              <wp:posOffset>914400</wp:posOffset>
            </wp:positionV>
            <wp:extent cx="2974340" cy="2049780"/>
            <wp:effectExtent l="0" t="0" r="3175" b="0"/>
            <wp:wrapSquare wrapText="bothSides"/>
            <wp:docPr id="96" name="Diagrama 9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page">
              <wp14:pctWidth>0</wp14:pctWidth>
            </wp14:sizeRelH>
            <wp14:sizeRelV relativeFrom="page">
              <wp14:pctHeight>0</wp14:pctHeight>
            </wp14:sizeRelV>
          </wp:anchor>
        </w:drawing>
      </w:r>
      <w:r>
        <w:rPr>
          <w:noProof/>
          <w:color w:val="0000FF"/>
          <w:lang w:eastAsia="lt-LT"/>
        </w:rPr>
        <w:drawing>
          <wp:anchor distT="0" distB="0" distL="114300" distR="114300" simplePos="0" relativeHeight="251701248" behindDoc="0" locked="0" layoutInCell="1" allowOverlap="0" wp14:anchorId="50868974" wp14:editId="5453F6B7">
            <wp:simplePos x="0" y="0"/>
            <wp:positionH relativeFrom="column">
              <wp:posOffset>-228600</wp:posOffset>
            </wp:positionH>
            <wp:positionV relativeFrom="page">
              <wp:posOffset>914400</wp:posOffset>
            </wp:positionV>
            <wp:extent cx="3317240" cy="2286000"/>
            <wp:effectExtent l="0" t="0" r="3175" b="0"/>
            <wp:wrapSquare wrapText="bothSides"/>
            <wp:docPr id="95" name="Diagrama 9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14:sizeRelH relativeFrom="page">
              <wp14:pctWidth>0</wp14:pctWidth>
            </wp14:sizeRelH>
            <wp14:sizeRelV relativeFrom="page">
              <wp14:pctHeight>0</wp14:pctHeight>
            </wp14:sizeRelV>
          </wp:anchor>
        </w:drawing>
      </w:r>
    </w:p>
    <w:p w:rsidR="00DD08F5" w:rsidRDefault="00DD08F5" w:rsidP="00DD08F5">
      <w:pPr>
        <w:ind w:left="-636"/>
      </w:pPr>
    </w:p>
    <w:p w:rsidR="00DD08F5" w:rsidRDefault="00DD08F5" w:rsidP="00DD08F5">
      <w:pPr>
        <w:ind w:firstLine="851"/>
        <w:jc w:val="both"/>
      </w:pPr>
    </w:p>
    <w:p w:rsidR="00DD08F5" w:rsidRDefault="00DD08F5" w:rsidP="00DD08F5">
      <w:pPr>
        <w:ind w:firstLine="851"/>
        <w:jc w:val="both"/>
      </w:pPr>
      <w:r>
        <w:t xml:space="preserve">„2008 metais Kalėjimų departamentui prie Lietuvos Respublikos teisingumo ministerijos pavaldžiose laisvės atėmimo vietose pagal sutikrintus su Informatikos ir ryšių departamento prie Lietuvos Respublikos vidaus reikalų ministerijos Statistikos skyriumi duomenis dėl neteisėtos narkotikų apyvartos užregistruotos 140 nusikalstamos veikos (2007 m. – 152). Pagal laisvės atėmimo vietų pateiktus duomenis, įtarus su narkotikų apyvarta susijusių veikų padarymu, sulaikyti ar pareikšti įtarimai 76 asmenims (2007 m. – 47 asmenims). </w:t>
      </w:r>
    </w:p>
    <w:p w:rsidR="00DD08F5" w:rsidRDefault="00DD08F5" w:rsidP="00DD08F5">
      <w:pPr>
        <w:ind w:firstLine="851"/>
        <w:jc w:val="both"/>
      </w:pPr>
      <w:r>
        <w:t>Palyginus su 2007 metais su narkotikais susijusių užregistruotų nusikalstamų veikų</w:t>
      </w:r>
      <w:r>
        <w:rPr>
          <w:b/>
        </w:rPr>
        <w:t xml:space="preserve"> </w:t>
      </w:r>
      <w:r>
        <w:t>sumažėjo 12, iš 140 tokių nusikalstamų veikų 67 atvejais ikiteisminiai tyrimai pradėti užkardžius narkotinių ir psichotropinių medžiagų patekimą per siuntinius, pašto siuntas, perdavimus ir perėmus permetimus, o 73 atvejais – radus laisvės atėmimo vietų teritorijose ar pas nuteistuosius.</w:t>
      </w:r>
    </w:p>
    <w:p w:rsidR="00DD08F5" w:rsidRDefault="00DD08F5" w:rsidP="00DD08F5">
      <w:pPr>
        <w:ind w:firstLine="851"/>
        <w:jc w:val="both"/>
      </w:pPr>
      <w:r>
        <w:t xml:space="preserve">Kaip ir anksčiau, pagrindinis narkotinių ir psichotropinių medžiagų patekimo būdas išliko permetimai ar tokių medžiagų siuntimas į laisvės atėmimo vietas, taip išvengiant tiesioginio kontakto ir padidinant galimybę išvengti baudžiamosios atsakomybės. </w:t>
      </w:r>
    </w:p>
    <w:p w:rsidR="00DD08F5" w:rsidRDefault="00DD08F5" w:rsidP="00DD08F5">
      <w:pPr>
        <w:ind w:firstLine="851"/>
        <w:jc w:val="both"/>
        <w:rPr>
          <w:color w:val="000000"/>
        </w:rPr>
      </w:pPr>
      <w:r>
        <w:rPr>
          <w:color w:val="000000"/>
        </w:rPr>
        <w:t>2008 metais bendras rastų ir paimtų narkotinių ir psichotropinių medžiagų kiekis sudarė 667,0369 g (2007 metais – 564,93 g). Kaip matyti, padidėjęs rastų ir paimtų narkotinių ir psichotropinių medžiagų kiekis (palyginus su 2007 metais), sąlygojo ir padidėjusį sulaikytų asmenų skaičių.“</w:t>
      </w:r>
      <w:r>
        <w:rPr>
          <w:rStyle w:val="Puslapioinaosnuoroda"/>
          <w:color w:val="000000"/>
        </w:rPr>
        <w:footnoteReference w:id="21"/>
      </w:r>
    </w:p>
    <w:p w:rsidR="00DD08F5" w:rsidRDefault="00DD08F5" w:rsidP="00DD08F5">
      <w:pPr>
        <w:tabs>
          <w:tab w:val="left" w:pos="720"/>
        </w:tabs>
        <w:jc w:val="both"/>
        <w:rPr>
          <w:color w:val="0000FF"/>
        </w:rPr>
      </w:pPr>
    </w:p>
    <w:p w:rsidR="00DD08F5" w:rsidRDefault="00DD08F5" w:rsidP="00DD08F5">
      <w:pPr>
        <w:tabs>
          <w:tab w:val="left" w:pos="720"/>
        </w:tabs>
        <w:jc w:val="both"/>
        <w:rPr>
          <w:b/>
          <w:i/>
          <w:color w:val="0000FF"/>
        </w:rPr>
      </w:pPr>
      <w:r>
        <w:rPr>
          <w:b/>
          <w:i/>
          <w:color w:val="0000FF"/>
        </w:rPr>
        <w:t>Asmenys</w:t>
      </w:r>
    </w:p>
    <w:p w:rsidR="00DD08F5" w:rsidRDefault="00DD08F5" w:rsidP="00DD08F5">
      <w:pPr>
        <w:tabs>
          <w:tab w:val="left" w:pos="720"/>
        </w:tabs>
        <w:jc w:val="both"/>
        <w:rPr>
          <w:b/>
          <w:i/>
          <w:color w:val="0000FF"/>
        </w:rPr>
      </w:pPr>
    </w:p>
    <w:p w:rsidR="00DD08F5" w:rsidRDefault="00344E26" w:rsidP="00DD08F5">
      <w:pPr>
        <w:tabs>
          <w:tab w:val="left" w:pos="720"/>
        </w:tabs>
        <w:jc w:val="both"/>
        <w:rPr>
          <w:color w:val="0000FF"/>
        </w:rPr>
      </w:pPr>
      <w:r>
        <w:rPr>
          <w:noProof/>
        </w:rPr>
        <w:pict>
          <v:shape id="_x0000_s1063" type="#_x0000_t75" style="position:absolute;left:0;text-align:left;margin-left:225pt;margin-top:30.05pt;width:255.1pt;height:176.25pt;z-index:251698176">
            <v:imagedata r:id="rId123" o:title=""/>
            <w10:wrap type="square"/>
          </v:shape>
        </w:pict>
      </w:r>
      <w:r w:rsidR="00DD08F5">
        <w:tab/>
        <w:t>Informatikos ir ryšių departamento prie VRM  duomenimis 2008 m. užregistruoti 1226 (2007 m. -1113, 2006 m. -1042) asmenys, padarę nusikalstamas veikas, susijusias su disponavimu narkotinėmis ar psichotropinėmis medžiagomis, tame tarpe 205 moterys, 7 užsienio piliečiai, 5 asmenys be pilietybės. Sulaikyti vyrai sudaro 83 %</w:t>
      </w:r>
      <w:r w:rsidR="00DD08F5">
        <w:rPr>
          <w:color w:val="0000FF"/>
        </w:rPr>
        <w:t xml:space="preserve">. </w:t>
      </w:r>
    </w:p>
    <w:p w:rsidR="00DD08F5" w:rsidRDefault="00DD08F5" w:rsidP="00DD08F5">
      <w:pPr>
        <w:tabs>
          <w:tab w:val="left" w:pos="720"/>
        </w:tabs>
        <w:jc w:val="both"/>
      </w:pPr>
      <w:r>
        <w:tab/>
        <w:t xml:space="preserve">Didelį skirtumą tarp nusikalstamų veikų (1839) ir asmenų, įtariamų padarius šias veikas (1226), lemia šie faktoriai: </w:t>
      </w:r>
    </w:p>
    <w:p w:rsidR="00DD08F5" w:rsidRDefault="00DD08F5" w:rsidP="00DD08F5">
      <w:pPr>
        <w:tabs>
          <w:tab w:val="left" w:pos="720"/>
        </w:tabs>
        <w:jc w:val="both"/>
        <w:rPr>
          <w:color w:val="0000FF"/>
        </w:rPr>
      </w:pPr>
      <w:r>
        <w:tab/>
        <w:t>- vienas asmuo padaro kelias nusikalstamas veikas. IRD duomenimis 170 asmenų įtariami įvykdę po 2 nusikalstamas veikas, 51 asmuo po 3, 36 asmenys po 4 ir 43 asmenys po 5 ir daugiau nusikalstamas veikas.</w:t>
      </w:r>
    </w:p>
    <w:p w:rsidR="00DD08F5" w:rsidRDefault="00DD08F5" w:rsidP="00DD08F5">
      <w:pPr>
        <w:tabs>
          <w:tab w:val="left" w:pos="1980"/>
        </w:tabs>
        <w:ind w:firstLine="720"/>
        <w:jc w:val="both"/>
      </w:pPr>
      <w:r>
        <w:rPr>
          <w:color w:val="0000FF"/>
        </w:rPr>
        <w:t xml:space="preserve">-  </w:t>
      </w:r>
      <w:r>
        <w:t xml:space="preserve">neišaiškintas aptiktų narkotikų savininkas. Tokie atvejai dažnai pasitaiko laisvės atėmimo vietose. </w:t>
      </w:r>
    </w:p>
    <w:p w:rsidR="00DD08F5" w:rsidRDefault="00DD08F5" w:rsidP="00DD08F5">
      <w:pPr>
        <w:ind w:left="-636"/>
        <w:jc w:val="both"/>
      </w:pPr>
      <w:r>
        <w:rPr>
          <w:noProof/>
          <w:color w:val="0000FF"/>
          <w:lang w:eastAsia="lt-LT"/>
        </w:rPr>
        <w:lastRenderedPageBreak/>
        <w:drawing>
          <wp:anchor distT="0" distB="0" distL="114300" distR="114300" simplePos="0" relativeHeight="251702272" behindDoc="0" locked="0" layoutInCell="1" allowOverlap="1" wp14:anchorId="342CA093" wp14:editId="2F18F5EE">
            <wp:simplePos x="0" y="0"/>
            <wp:positionH relativeFrom="column">
              <wp:posOffset>-114300</wp:posOffset>
            </wp:positionH>
            <wp:positionV relativeFrom="paragraph">
              <wp:posOffset>1249680</wp:posOffset>
            </wp:positionV>
            <wp:extent cx="6075680" cy="1987550"/>
            <wp:effectExtent l="3810" t="5715" r="0" b="0"/>
            <wp:wrapSquare wrapText="bothSides"/>
            <wp:docPr id="94" name="Diagrama 9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14:sizeRelH relativeFrom="page">
              <wp14:pctWidth>0</wp14:pctWidth>
            </wp14:sizeRelH>
            <wp14:sizeRelV relativeFrom="page">
              <wp14:pctHeight>0</wp14:pctHeight>
            </wp14:sizeRelV>
          </wp:anchor>
        </w:drawing>
      </w:r>
    </w:p>
    <w:p w:rsidR="00DD08F5" w:rsidRDefault="00DD08F5" w:rsidP="00DD08F5">
      <w:pPr>
        <w:jc w:val="both"/>
        <w:rPr>
          <w:color w:val="0000FF"/>
        </w:rPr>
      </w:pPr>
      <w:r>
        <w:t xml:space="preserve"> </w:t>
      </w:r>
      <w:r>
        <w:tab/>
        <w:t>Anksčiau, remdamiesi turimais duomenimis, esame teigę, kad vis daugiau į nelegalią narkotikų apyvartą įtraukiami jauni, pilnametystės nesulaukę asmenys, praėjusiųjų metų sulaikymai šią informaciją patvirtino. 2008 metais ženkliai padaugėjo nepilnamečių, įtariamų padarius nusikalstamas veikas. 67 asmenims nusikalstamos veikos padarymo metu buvo nuo 16 iki 17 metų ir 2 nuo 14 iki 15, 2007 m. atitinkamai 45 ir 1.</w:t>
      </w:r>
      <w:r>
        <w:rPr>
          <w:color w:val="0000FF"/>
        </w:rPr>
        <w:t xml:space="preserve"> </w:t>
      </w:r>
    </w:p>
    <w:p w:rsidR="00DD08F5" w:rsidRDefault="00DD08F5" w:rsidP="00DD08F5">
      <w:pPr>
        <w:ind w:firstLine="540"/>
        <w:jc w:val="both"/>
        <w:rPr>
          <w:color w:val="0000FF"/>
        </w:rPr>
      </w:pPr>
    </w:p>
    <w:p w:rsidR="00DD08F5" w:rsidRDefault="00DD08F5" w:rsidP="00DD08F5">
      <w:pPr>
        <w:ind w:firstLine="540"/>
        <w:jc w:val="both"/>
      </w:pPr>
      <w:r>
        <w:t xml:space="preserve"> Sulaikytųjų, už neteisėtą narkotikų apyvartą charakteristika nekinta, tai dažniausiai jauni, iki 30 m., asmenys (60 %), turintis nedidelį išsilavinimą (40%), nedirbantys ir nesimokantys (57 %). </w:t>
      </w:r>
    </w:p>
    <w:p w:rsidR="00DD08F5" w:rsidRDefault="00DD08F5" w:rsidP="00DD08F5">
      <w:pPr>
        <w:tabs>
          <w:tab w:val="left" w:pos="567"/>
        </w:tabs>
        <w:jc w:val="center"/>
        <w:rPr>
          <w:color w:val="0000FF"/>
        </w:rPr>
      </w:pPr>
    </w:p>
    <w:p w:rsidR="00DD08F5" w:rsidRDefault="00DD08F5" w:rsidP="00DD08F5">
      <w:pPr>
        <w:tabs>
          <w:tab w:val="left" w:pos="567"/>
        </w:tabs>
        <w:jc w:val="center"/>
        <w:rPr>
          <w:color w:val="0000FF"/>
        </w:rPr>
      </w:pPr>
    </w:p>
    <w:p w:rsidR="00DD08F5" w:rsidRDefault="00DD08F5" w:rsidP="00DD08F5">
      <w:pPr>
        <w:tabs>
          <w:tab w:val="left" w:pos="567"/>
        </w:tabs>
        <w:jc w:val="center"/>
        <w:rPr>
          <w:color w:val="0000FF"/>
        </w:rPr>
      </w:pPr>
      <w:r>
        <w:rPr>
          <w:noProof/>
          <w:lang w:eastAsia="lt-LT"/>
        </w:rPr>
        <w:drawing>
          <wp:anchor distT="0" distB="0" distL="114300" distR="114300" simplePos="0" relativeHeight="251704320" behindDoc="0" locked="0" layoutInCell="1" allowOverlap="1" wp14:anchorId="6B9F6CB9" wp14:editId="5E1AD710">
            <wp:simplePos x="0" y="0"/>
            <wp:positionH relativeFrom="column">
              <wp:posOffset>-83185</wp:posOffset>
            </wp:positionH>
            <wp:positionV relativeFrom="page">
              <wp:posOffset>7692390</wp:posOffset>
            </wp:positionV>
            <wp:extent cx="3456305" cy="2399665"/>
            <wp:effectExtent l="0" t="0" r="4445" b="4445"/>
            <wp:wrapSquare wrapText="bothSides"/>
            <wp:docPr id="93" name="Diagrama 9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14:sizeRelH relativeFrom="page">
              <wp14:pctWidth>0</wp14:pctWidth>
            </wp14:sizeRelH>
            <wp14:sizeRelV relativeFrom="page">
              <wp14:pctHeight>0</wp14:pctHeight>
            </wp14:sizeRelV>
          </wp:anchor>
        </w:drawing>
      </w:r>
    </w:p>
    <w:p w:rsidR="00DD08F5" w:rsidRDefault="00DD08F5" w:rsidP="00DD08F5">
      <w:pPr>
        <w:tabs>
          <w:tab w:val="left" w:pos="567"/>
        </w:tabs>
        <w:rPr>
          <w:b/>
          <w:i/>
          <w:color w:val="0000FF"/>
        </w:rPr>
      </w:pPr>
      <w:r>
        <w:rPr>
          <w:b/>
          <w:i/>
          <w:color w:val="0000FF"/>
        </w:rPr>
        <w:t>Narkotinių ir psichotropinių medžiagų bei jų pirmtakų apyvarta ir išimti  iš apyvartos  kiekiai</w:t>
      </w:r>
    </w:p>
    <w:p w:rsidR="00DD08F5" w:rsidRDefault="00DD08F5" w:rsidP="00DD08F5">
      <w:pPr>
        <w:tabs>
          <w:tab w:val="left" w:pos="567"/>
        </w:tabs>
        <w:jc w:val="center"/>
        <w:rPr>
          <w:color w:val="008000"/>
        </w:rPr>
      </w:pPr>
    </w:p>
    <w:p w:rsidR="00DD08F5" w:rsidRDefault="00DD08F5" w:rsidP="00DD08F5">
      <w:pPr>
        <w:rPr>
          <w:b/>
          <w:caps/>
          <w:color w:val="0000FF"/>
        </w:rPr>
      </w:pPr>
      <w:r>
        <w:rPr>
          <w:noProof/>
          <w:lang w:eastAsia="lt-LT"/>
        </w:rPr>
        <w:drawing>
          <wp:anchor distT="0" distB="0" distL="114300" distR="114300" simplePos="0" relativeHeight="251706368" behindDoc="0" locked="0" layoutInCell="1" allowOverlap="1" wp14:anchorId="46B96331" wp14:editId="511F3B99">
            <wp:simplePos x="0" y="0"/>
            <wp:positionH relativeFrom="column">
              <wp:posOffset>2971800</wp:posOffset>
            </wp:positionH>
            <wp:positionV relativeFrom="page">
              <wp:posOffset>5749290</wp:posOffset>
            </wp:positionV>
            <wp:extent cx="3169285" cy="2236470"/>
            <wp:effectExtent l="3810" t="0" r="0" b="5715"/>
            <wp:wrapSquare wrapText="bothSides"/>
            <wp:docPr id="92" name="Diagrama 9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14:sizeRelH relativeFrom="page">
              <wp14:pctWidth>0</wp14:pctWidth>
            </wp14:sizeRelH>
            <wp14:sizeRelV relativeFrom="page">
              <wp14:pctHeight>0</wp14:pctHeight>
            </wp14:sizeRelV>
          </wp:anchor>
        </w:drawing>
      </w:r>
    </w:p>
    <w:p w:rsidR="00DD08F5" w:rsidRDefault="00DD08F5" w:rsidP="00DD08F5">
      <w:pPr>
        <w:tabs>
          <w:tab w:val="left" w:pos="720"/>
        </w:tabs>
        <w:ind w:firstLine="720"/>
        <w:jc w:val="both"/>
      </w:pPr>
      <w:r>
        <w:t xml:space="preserve">Kiekvienais metais rengdami metinę apžvalgą ieškome vis naujų duomenų šaltinių, siekdami pagrįstai apibūdinti ir įvertinti neteisėtos narkotikų apyvartos situaciją bei mastą. 2009 metais Čekija pradėjo pirmininkavimo pusmetį Europos Sąjungoje, vienas jų prioritetų narkotikų kontrolės srityje - pasistengti sukurti (apibrėžti) vieningus Europos Sąjungoje narkotikų pasiūlos mastų įvertinimo rodiklius. Narkotikų pasiūlos mastui įvertinti Europos Sąjungos valstybėse dažniausiai naudojami šie rodikliai: narkotikų kaina ir grynumas, išimti iš apyvartos narkotikų kiekiai, narkotikų sulaikymo atvejai. Tačiau nė vienas iš šių rodiklių neturėtų būti vertinamas atskirai, todėl, kad jie labai tampriai susiję tarpusavyje, taip pat kiekvienas rodiklis dar priklauso nuo kitų aplinkybių. Pvz. išimti narkotikų kiekiai negali tiesiogiai atspindėti šalies narkotikų pasiūlos masto, jeigu jie per tą šalį buvo gabenami tranzitu. Narkotikų pasiūlos apibūdinimui turi įtakos ir pareigūnams keliami uždaviniai bei visa valstybės narkotikų kontrolės politika. </w:t>
      </w:r>
    </w:p>
    <w:p w:rsidR="00DD08F5" w:rsidRDefault="00DD08F5" w:rsidP="00DD08F5">
      <w:pPr>
        <w:tabs>
          <w:tab w:val="left" w:pos="720"/>
        </w:tabs>
        <w:ind w:firstLine="720"/>
        <w:jc w:val="both"/>
      </w:pPr>
      <w:r>
        <w:rPr>
          <w:noProof/>
          <w:lang w:eastAsia="lt-LT"/>
        </w:rPr>
        <w:lastRenderedPageBreak/>
        <w:drawing>
          <wp:anchor distT="0" distB="0" distL="114300" distR="114300" simplePos="0" relativeHeight="251705344" behindDoc="0" locked="0" layoutInCell="1" allowOverlap="1" wp14:anchorId="363E2C88" wp14:editId="0A3F2FFB">
            <wp:simplePos x="0" y="0"/>
            <wp:positionH relativeFrom="column">
              <wp:posOffset>2628900</wp:posOffset>
            </wp:positionH>
            <wp:positionV relativeFrom="page">
              <wp:posOffset>834390</wp:posOffset>
            </wp:positionV>
            <wp:extent cx="3456305" cy="2399665"/>
            <wp:effectExtent l="3810" t="0" r="0" b="4445"/>
            <wp:wrapSquare wrapText="bothSides"/>
            <wp:docPr id="91" name="Diagrama 9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14:sizeRelH relativeFrom="page">
              <wp14:pctWidth>0</wp14:pctWidth>
            </wp14:sizeRelH>
            <wp14:sizeRelV relativeFrom="page">
              <wp14:pctHeight>0</wp14:pctHeight>
            </wp14:sizeRelV>
          </wp:anchor>
        </w:drawing>
      </w:r>
      <w:r>
        <w:t xml:space="preserve">Narkotikų paklausai įvertinti naudojamas iš pirmo žvilgsnio atrodytų subjektyvus kriterijus, apklausos. </w:t>
      </w:r>
    </w:p>
    <w:p w:rsidR="00DD08F5" w:rsidRDefault="00DD08F5" w:rsidP="00DD08F5">
      <w:pPr>
        <w:tabs>
          <w:tab w:val="left" w:pos="720"/>
        </w:tabs>
        <w:ind w:firstLine="720"/>
        <w:jc w:val="both"/>
      </w:pPr>
      <w:r>
        <w:t>Prieš dešimtmetį analizuodavome tik sulaikytus narkotikų kiekius ir registruotas nusikalstamas veikas, susijusias su neteisėta narkotikų apyvarta, tačiau dabar jau keletą metų iš eilės lyginame ne tik paskutinių dviejų metų duomenis, bet analizuojame ilgesnį laikotarpį ir žymiai daugiau duomenų iš įvairių šaltinių.</w:t>
      </w: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rPr>
          <w:color w:val="FF0000"/>
        </w:rPr>
      </w:pPr>
      <w:r>
        <w:t>Remiantis skirtingų rodiklių analize neteisėtos narkotikų rinkos situaciją Lietuvoje apibūdina šios tendencijos</w:t>
      </w:r>
      <w:r>
        <w:rPr>
          <w:color w:val="FF0000"/>
        </w:rPr>
        <w:t>:</w:t>
      </w:r>
    </w:p>
    <w:p w:rsidR="00DD08F5" w:rsidRDefault="00DD08F5" w:rsidP="00DD08F5">
      <w:pPr>
        <w:ind w:firstLine="720"/>
        <w:jc w:val="both"/>
        <w:rPr>
          <w:color w:val="FF0000"/>
        </w:rPr>
      </w:pPr>
    </w:p>
    <w:p w:rsidR="00DD08F5" w:rsidRDefault="00DD08F5" w:rsidP="00DD08F5">
      <w:pPr>
        <w:numPr>
          <w:ilvl w:val="0"/>
          <w:numId w:val="25"/>
        </w:numPr>
        <w:jc w:val="both"/>
      </w:pPr>
      <w:r>
        <w:t>Tarp vartotojų populiariausios kanapės ir ATS (amfetamino tipo stimuliuojamosios) medžiagos;</w:t>
      </w:r>
    </w:p>
    <w:p w:rsidR="00DD08F5" w:rsidRDefault="00DD08F5" w:rsidP="00DD08F5">
      <w:pPr>
        <w:numPr>
          <w:ilvl w:val="1"/>
          <w:numId w:val="25"/>
        </w:numPr>
        <w:jc w:val="both"/>
      </w:pPr>
      <w:r>
        <w:t>Iš ATS medžiagų populiariausias metamfetaminas;</w:t>
      </w:r>
    </w:p>
    <w:p w:rsidR="00DD08F5" w:rsidRDefault="00DD08F5" w:rsidP="00DD08F5">
      <w:pPr>
        <w:numPr>
          <w:ilvl w:val="1"/>
          <w:numId w:val="25"/>
        </w:numPr>
        <w:jc w:val="both"/>
      </w:pPr>
      <w:r>
        <w:t>Ecstasy tabletės atgabenamos iš Nyderlandų;</w:t>
      </w:r>
    </w:p>
    <w:p w:rsidR="00DD08F5" w:rsidRDefault="00DD08F5" w:rsidP="00DD08F5">
      <w:pPr>
        <w:numPr>
          <w:ilvl w:val="1"/>
          <w:numId w:val="25"/>
        </w:numPr>
        <w:jc w:val="both"/>
      </w:pPr>
      <w:r>
        <w:t>Dalis metamfetamino nelegaliai gaminama Lietuvoje;</w:t>
      </w:r>
    </w:p>
    <w:p w:rsidR="00DD08F5" w:rsidRDefault="00DD08F5" w:rsidP="00DD08F5">
      <w:pPr>
        <w:numPr>
          <w:ilvl w:val="1"/>
          <w:numId w:val="25"/>
        </w:numPr>
        <w:jc w:val="both"/>
      </w:pPr>
      <w:r>
        <w:t xml:space="preserve">Vidaus rinkoje mažėja amfetamino; </w:t>
      </w:r>
    </w:p>
    <w:p w:rsidR="00DD08F5" w:rsidRDefault="00DD08F5" w:rsidP="00DD08F5">
      <w:pPr>
        <w:numPr>
          <w:ilvl w:val="1"/>
          <w:numId w:val="25"/>
        </w:numPr>
        <w:jc w:val="both"/>
      </w:pPr>
      <w:r>
        <w:t>Kanapės atvežamos iš Nyderlandų arba auginamos dirbtinėmis sąlygomis Lietuvoje;</w:t>
      </w:r>
    </w:p>
    <w:p w:rsidR="00DD08F5" w:rsidRDefault="00DD08F5" w:rsidP="00DD08F5">
      <w:pPr>
        <w:numPr>
          <w:ilvl w:val="0"/>
          <w:numId w:val="25"/>
        </w:numPr>
        <w:jc w:val="both"/>
      </w:pPr>
      <w:r>
        <w:t>Iš aguonų pagamintus narkotikus pakeitė heroinas;</w:t>
      </w:r>
    </w:p>
    <w:p w:rsidR="00DD08F5" w:rsidRDefault="00DD08F5" w:rsidP="00DD08F5">
      <w:pPr>
        <w:numPr>
          <w:ilvl w:val="1"/>
          <w:numId w:val="25"/>
        </w:numPr>
        <w:jc w:val="both"/>
      </w:pPr>
      <w:r>
        <w:t>Heroinas populiariausias intraveninis narkotikas;</w:t>
      </w:r>
    </w:p>
    <w:p w:rsidR="00DD08F5" w:rsidRDefault="00DD08F5" w:rsidP="00DD08F5">
      <w:pPr>
        <w:numPr>
          <w:ilvl w:val="1"/>
          <w:numId w:val="25"/>
        </w:numPr>
        <w:jc w:val="both"/>
      </w:pPr>
      <w:r>
        <w:t xml:space="preserve">Didelis heroino grynumas gatvės prekyboje; </w:t>
      </w:r>
    </w:p>
    <w:p w:rsidR="00DD08F5" w:rsidRDefault="00DD08F5" w:rsidP="00DD08F5">
      <w:pPr>
        <w:numPr>
          <w:ilvl w:val="0"/>
          <w:numId w:val="25"/>
        </w:numPr>
        <w:jc w:val="both"/>
      </w:pPr>
      <w:r>
        <w:t>Padidėjusi kokaino pasiūla;</w:t>
      </w:r>
    </w:p>
    <w:p w:rsidR="00DD08F5" w:rsidRDefault="00DD08F5" w:rsidP="00DD08F5">
      <w:pPr>
        <w:numPr>
          <w:ilvl w:val="0"/>
          <w:numId w:val="25"/>
        </w:numPr>
        <w:jc w:val="both"/>
      </w:pPr>
      <w:r>
        <w:t>Narkotikų rinkoje pasirodo naujos (šalies rinkai) kontroliuojamos ir nekontroliuojamos psichoaktyvios medžiagos, tokios kaip Salvija Divinorum, puošnioji vožtė ir pan.;</w:t>
      </w:r>
    </w:p>
    <w:p w:rsidR="00DD08F5" w:rsidRDefault="00DD08F5" w:rsidP="00DD08F5">
      <w:pPr>
        <w:numPr>
          <w:ilvl w:val="0"/>
          <w:numId w:val="25"/>
        </w:numPr>
        <w:jc w:val="both"/>
      </w:pPr>
      <w:r>
        <w:t>Nežymus narkotikų kainos ir grynumo svyravimas.</w:t>
      </w:r>
    </w:p>
    <w:p w:rsidR="00DD08F5" w:rsidRDefault="00DD08F5" w:rsidP="00DD08F5">
      <w:pPr>
        <w:jc w:val="both"/>
      </w:pPr>
    </w:p>
    <w:p w:rsidR="00DD08F5" w:rsidRDefault="00DD08F5" w:rsidP="00DD08F5">
      <w:pPr>
        <w:ind w:firstLine="720"/>
        <w:jc w:val="both"/>
      </w:pPr>
      <w:r>
        <w:t xml:space="preserve">Išimti iš apyvartos kiekiai kinta kiekvienais metais, rekordiškai didelis (Lietuvos mastu) 2008 metais išimto iš nelegalios apyvartos heroino kiekis buvo skirtas vidaus rinkai. Jau praėjusiais metais rašėme, kad heroinas sparčiai skverbiasi į šalies narkotikų rinką, išstumdamas vietoj gaminamą aguonų ir jų dalių koncentratą. Dažniausiai heroinas išimtas Vilniuje, Alytaus ir Utenos apskrityse, jeigu atmesime kanapių sulaikymus, taip pat Klaipėdoje ir Kaune. Antroje vietoje po marihuanos ir heroino pagal sulaikymų dažnumą  dominuoja metamfetaminas.  </w:t>
      </w:r>
    </w:p>
    <w:p w:rsidR="00DD08F5" w:rsidRDefault="00DD08F5" w:rsidP="00DD08F5">
      <w:pPr>
        <w:ind w:firstLine="720"/>
        <w:jc w:val="both"/>
      </w:pPr>
    </w:p>
    <w:p w:rsidR="00DD08F5" w:rsidRDefault="00DD08F5" w:rsidP="00DD08F5">
      <w:pPr>
        <w:ind w:firstLine="720"/>
        <w:jc w:val="both"/>
      </w:pPr>
      <w:r>
        <w:t>Galima įvardinti naują tendenciją, kad šalies narkotikų rinkoje mažėja amfetamino, sulaikoma ne tik mažesnis kiekis, bet ir rečiau. Panagrinėjus ikiteisminius tyrimus pradėtus pagal LR BK 260 str. 1d., kuriuos galima traktuoti kaip narkotikų platinimą gatvėje, nustatyta, kad šalyje  tarp platinamų medžiagų dominuoja heroinas, metamfetaminas ir  kanapės. Beveik pusę nagrinėtų atvejų sudaro platinimas dviejų ar daugiau medžiagų.</w:t>
      </w:r>
    </w:p>
    <w:p w:rsidR="00DD08F5" w:rsidRDefault="00DD08F5" w:rsidP="00DD08F5">
      <w:pPr>
        <w:tabs>
          <w:tab w:val="left" w:pos="720"/>
        </w:tabs>
        <w:ind w:firstLine="1304"/>
        <w:jc w:val="center"/>
        <w:rPr>
          <w:b/>
          <w:color w:val="0000FF"/>
        </w:rPr>
      </w:pPr>
    </w:p>
    <w:p w:rsidR="00DD08F5" w:rsidRDefault="00DD08F5" w:rsidP="00DD08F5">
      <w:pPr>
        <w:tabs>
          <w:tab w:val="left" w:pos="720"/>
        </w:tabs>
        <w:ind w:firstLine="1304"/>
        <w:jc w:val="center"/>
        <w:rPr>
          <w:b/>
          <w:color w:val="0000FF"/>
        </w:rPr>
      </w:pPr>
    </w:p>
    <w:p w:rsidR="00DD08F5" w:rsidRDefault="00DD08F5" w:rsidP="00DD08F5">
      <w:pPr>
        <w:tabs>
          <w:tab w:val="left" w:pos="720"/>
        </w:tabs>
        <w:ind w:firstLine="1304"/>
        <w:jc w:val="center"/>
        <w:rPr>
          <w:b/>
          <w:color w:val="0000FF"/>
        </w:rPr>
      </w:pPr>
    </w:p>
    <w:p w:rsidR="00DD08F5" w:rsidRDefault="00DD08F5" w:rsidP="00DD08F5">
      <w:pPr>
        <w:tabs>
          <w:tab w:val="left" w:pos="720"/>
        </w:tabs>
        <w:ind w:firstLine="1304"/>
        <w:jc w:val="center"/>
        <w:rPr>
          <w:b/>
          <w:color w:val="0000FF"/>
        </w:rPr>
      </w:pPr>
    </w:p>
    <w:p w:rsidR="00DD08F5" w:rsidRDefault="00DD08F5" w:rsidP="00DD08F5">
      <w:pPr>
        <w:tabs>
          <w:tab w:val="left" w:pos="720"/>
        </w:tabs>
        <w:ind w:firstLine="1304"/>
        <w:jc w:val="center"/>
        <w:rPr>
          <w:b/>
          <w:color w:val="0000FF"/>
        </w:rPr>
      </w:pPr>
    </w:p>
    <w:p w:rsidR="00DD08F5" w:rsidRDefault="00DD08F5" w:rsidP="00DD08F5">
      <w:pPr>
        <w:tabs>
          <w:tab w:val="left" w:pos="720"/>
        </w:tabs>
        <w:ind w:firstLine="1304"/>
        <w:jc w:val="center"/>
        <w:rPr>
          <w:b/>
          <w:color w:val="0000FF"/>
        </w:rPr>
      </w:pPr>
      <w:r>
        <w:rPr>
          <w:b/>
          <w:color w:val="0000FF"/>
        </w:rPr>
        <w:t>Išimtų iš apyvartos narkotinių ir psichotropinių medžiagų bei jų I kategorijos pirmtakų kiekio lyginamoji lentelė</w:t>
      </w:r>
    </w:p>
    <w:tbl>
      <w:tblPr>
        <w:tblpPr w:leftFromText="180" w:rightFromText="180" w:vertAnchor="text" w:horzAnchor="margin" w:tblpY="95"/>
        <w:tblOverlap w:val="never"/>
        <w:tblW w:w="9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808"/>
        <w:gridCol w:w="2880"/>
        <w:gridCol w:w="2700"/>
        <w:gridCol w:w="1260"/>
      </w:tblGrid>
      <w:tr w:rsidR="00DD08F5" w:rsidTr="004F7425">
        <w:trPr>
          <w:cantSplit/>
          <w:trHeight w:val="511"/>
        </w:trPr>
        <w:tc>
          <w:tcPr>
            <w:tcW w:w="2808" w:type="dxa"/>
            <w:tcBorders>
              <w:top w:val="single" w:sz="12" w:space="0" w:color="auto"/>
              <w:left w:val="single" w:sz="12" w:space="0" w:color="auto"/>
              <w:bottom w:val="single" w:sz="12" w:space="0" w:color="auto"/>
            </w:tcBorders>
            <w:shd w:val="clear" w:color="auto" w:fill="CCFFCC"/>
            <w:vAlign w:val="center"/>
          </w:tcPr>
          <w:p w:rsidR="00DD08F5" w:rsidRDefault="00DD08F5" w:rsidP="004F7425">
            <w:pPr>
              <w:jc w:val="center"/>
              <w:rPr>
                <w:b/>
              </w:rPr>
            </w:pPr>
            <w:r>
              <w:rPr>
                <w:b/>
              </w:rPr>
              <w:t>Medžiagos pavadinimas</w:t>
            </w:r>
          </w:p>
        </w:tc>
        <w:tc>
          <w:tcPr>
            <w:tcW w:w="2880" w:type="dxa"/>
            <w:tcBorders>
              <w:top w:val="single" w:sz="12" w:space="0" w:color="auto"/>
              <w:bottom w:val="single" w:sz="12" w:space="0" w:color="auto"/>
            </w:tcBorders>
            <w:shd w:val="clear" w:color="auto" w:fill="CCFFCC"/>
            <w:vAlign w:val="center"/>
          </w:tcPr>
          <w:p w:rsidR="00DD08F5" w:rsidRDefault="00DD08F5" w:rsidP="004F7425">
            <w:pPr>
              <w:ind w:firstLine="72"/>
              <w:jc w:val="center"/>
              <w:rPr>
                <w:b/>
              </w:rPr>
            </w:pPr>
            <w:r>
              <w:rPr>
                <w:b/>
              </w:rPr>
              <w:t>2007 m.</w:t>
            </w:r>
          </w:p>
        </w:tc>
        <w:tc>
          <w:tcPr>
            <w:tcW w:w="2700" w:type="dxa"/>
            <w:tcBorders>
              <w:top w:val="single" w:sz="12" w:space="0" w:color="auto"/>
              <w:bottom w:val="single" w:sz="12" w:space="0" w:color="auto"/>
            </w:tcBorders>
            <w:shd w:val="clear" w:color="auto" w:fill="CCFFCC"/>
            <w:vAlign w:val="center"/>
          </w:tcPr>
          <w:p w:rsidR="00DD08F5" w:rsidRDefault="00DD08F5" w:rsidP="004F7425">
            <w:pPr>
              <w:ind w:firstLine="72"/>
              <w:jc w:val="center"/>
              <w:rPr>
                <w:b/>
                <w:color w:val="0000FF"/>
              </w:rPr>
            </w:pPr>
            <w:r>
              <w:rPr>
                <w:b/>
                <w:color w:val="0000FF"/>
              </w:rPr>
              <w:t>2008 m.</w:t>
            </w:r>
          </w:p>
        </w:tc>
        <w:tc>
          <w:tcPr>
            <w:tcW w:w="1260" w:type="dxa"/>
            <w:tcBorders>
              <w:top w:val="single" w:sz="12" w:space="0" w:color="auto"/>
              <w:bottom w:val="single" w:sz="12" w:space="0" w:color="auto"/>
              <w:right w:val="single" w:sz="12" w:space="0" w:color="auto"/>
            </w:tcBorders>
            <w:shd w:val="clear" w:color="auto" w:fill="CCFFCC"/>
          </w:tcPr>
          <w:p w:rsidR="00DD08F5" w:rsidRDefault="00DD08F5" w:rsidP="004F7425">
            <w:pPr>
              <w:ind w:firstLine="1304"/>
              <w:jc w:val="center"/>
              <w:rPr>
                <w:b/>
                <w:color w:val="FF0000"/>
                <w:sz w:val="20"/>
                <w:szCs w:val="20"/>
              </w:rPr>
            </w:pPr>
            <w:r>
              <w:rPr>
                <w:b/>
                <w:color w:val="FF0000"/>
                <w:sz w:val="20"/>
                <w:szCs w:val="20"/>
              </w:rPr>
              <w:t xml:space="preserve">AAugimas </w:t>
            </w:r>
            <w:r>
              <w:rPr>
                <w:b/>
                <w:color w:val="0000FF"/>
                <w:sz w:val="20"/>
                <w:szCs w:val="20"/>
              </w:rPr>
              <w:t>/mažėjimas</w:t>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Aguonos ir jų dalys</w:t>
            </w:r>
          </w:p>
        </w:tc>
        <w:tc>
          <w:tcPr>
            <w:tcW w:w="2880" w:type="dxa"/>
            <w:tcBorders>
              <w:left w:val="single" w:sz="12" w:space="0" w:color="auto"/>
              <w:right w:val="single" w:sz="12" w:space="0" w:color="auto"/>
            </w:tcBorders>
          </w:tcPr>
          <w:p w:rsidR="00DD08F5" w:rsidRDefault="00DD08F5" w:rsidP="004F7425">
            <w:pPr>
              <w:ind w:firstLine="72"/>
              <w:jc w:val="center"/>
            </w:pPr>
            <w:r>
              <w:rPr>
                <w:b/>
              </w:rPr>
              <w:t>26 kg</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45 kg</w:t>
            </w:r>
          </w:p>
        </w:tc>
        <w:tc>
          <w:tcPr>
            <w:tcW w:w="1260" w:type="dxa"/>
            <w:tcBorders>
              <w:right w:val="single" w:sz="12" w:space="0" w:color="auto"/>
            </w:tcBorders>
          </w:tcPr>
          <w:p w:rsidR="00DD08F5" w:rsidRDefault="00DD08F5" w:rsidP="004F7425">
            <w:pPr>
              <w:jc w:val="center"/>
              <w:rPr>
                <w:b/>
                <w:color w:val="0000FF"/>
              </w:rPr>
            </w:pPr>
            <w:r>
              <w:rPr>
                <w:b/>
                <w:color w:val="0000FF"/>
              </w:rPr>
              <w:sym w:font="Symbol" w:char="F0AF"/>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lastRenderedPageBreak/>
              <w:t>Aguonų ir jų dalių ekstraktas ir koncentratas</w:t>
            </w:r>
          </w:p>
        </w:tc>
        <w:tc>
          <w:tcPr>
            <w:tcW w:w="2880" w:type="dxa"/>
            <w:tcBorders>
              <w:left w:val="single" w:sz="12" w:space="0" w:color="auto"/>
              <w:right w:val="single" w:sz="12" w:space="0" w:color="auto"/>
            </w:tcBorders>
          </w:tcPr>
          <w:p w:rsidR="00DD08F5" w:rsidRDefault="00DD08F5" w:rsidP="004F7425">
            <w:pPr>
              <w:ind w:firstLine="72"/>
              <w:jc w:val="center"/>
              <w:rPr>
                <w:b/>
              </w:rPr>
            </w:pPr>
            <w:r>
              <w:rPr>
                <w:b/>
              </w:rPr>
              <w:t>83 l</w:t>
            </w:r>
          </w:p>
          <w:p w:rsidR="00DD08F5" w:rsidRDefault="00DD08F5" w:rsidP="004F7425">
            <w:pPr>
              <w:ind w:firstLine="72"/>
              <w:jc w:val="center"/>
            </w:pPr>
            <w:r>
              <w:rPr>
                <w:b/>
              </w:rPr>
              <w:t>71 g</w:t>
            </w:r>
          </w:p>
        </w:tc>
        <w:tc>
          <w:tcPr>
            <w:tcW w:w="2700" w:type="dxa"/>
            <w:tcBorders>
              <w:left w:val="single" w:sz="12" w:space="0" w:color="auto"/>
              <w:right w:val="single" w:sz="12" w:space="0" w:color="auto"/>
            </w:tcBorders>
          </w:tcPr>
          <w:p w:rsidR="00DD08F5" w:rsidRDefault="00DD08F5" w:rsidP="004F7425">
            <w:pPr>
              <w:jc w:val="center"/>
              <w:rPr>
                <w:b/>
                <w:color w:val="0000FF"/>
              </w:rPr>
            </w:pPr>
            <w:r>
              <w:rPr>
                <w:b/>
                <w:color w:val="0000FF"/>
              </w:rPr>
              <w:t>11,3 l</w:t>
            </w:r>
          </w:p>
          <w:p w:rsidR="00DD08F5" w:rsidRDefault="00DD08F5" w:rsidP="004F7425">
            <w:pPr>
              <w:ind w:firstLine="72"/>
              <w:jc w:val="center"/>
              <w:rPr>
                <w:b/>
                <w:color w:val="0000FF"/>
              </w:rPr>
            </w:pPr>
            <w:r>
              <w:rPr>
                <w:b/>
                <w:color w:val="0000FF"/>
              </w:rPr>
              <w:t>19 g</w:t>
            </w:r>
          </w:p>
        </w:tc>
        <w:tc>
          <w:tcPr>
            <w:tcW w:w="1260" w:type="dxa"/>
            <w:tcBorders>
              <w:right w:val="single" w:sz="12" w:space="0" w:color="auto"/>
            </w:tcBorders>
          </w:tcPr>
          <w:p w:rsidR="00DD08F5" w:rsidRDefault="00DD08F5" w:rsidP="004F7425">
            <w:pPr>
              <w:jc w:val="center"/>
              <w:rPr>
                <w:b/>
                <w:color w:val="008000"/>
              </w:rPr>
            </w:pPr>
            <w:r>
              <w:rPr>
                <w:b/>
                <w:color w:val="0000FF"/>
              </w:rPr>
              <w:sym w:font="Symbol" w:char="F0AF"/>
            </w:r>
          </w:p>
        </w:tc>
      </w:tr>
      <w:tr w:rsidR="00DD08F5" w:rsidTr="004F7425">
        <w:trPr>
          <w:cantSplit/>
          <w:trHeight w:val="54"/>
        </w:trPr>
        <w:tc>
          <w:tcPr>
            <w:tcW w:w="2808" w:type="dxa"/>
            <w:tcBorders>
              <w:left w:val="single" w:sz="12" w:space="0" w:color="auto"/>
              <w:right w:val="single" w:sz="12" w:space="0" w:color="auto"/>
            </w:tcBorders>
          </w:tcPr>
          <w:p w:rsidR="00DD08F5" w:rsidRDefault="00DD08F5" w:rsidP="004F7425">
            <w:pPr>
              <w:jc w:val="center"/>
            </w:pPr>
            <w:r>
              <w:t>Kanapės</w:t>
            </w:r>
          </w:p>
        </w:tc>
        <w:tc>
          <w:tcPr>
            <w:tcW w:w="2880" w:type="dxa"/>
            <w:tcBorders>
              <w:left w:val="single" w:sz="12" w:space="0" w:color="auto"/>
              <w:right w:val="single" w:sz="12" w:space="0" w:color="auto"/>
            </w:tcBorders>
          </w:tcPr>
          <w:p w:rsidR="00DD08F5" w:rsidRDefault="00DD08F5" w:rsidP="004F7425">
            <w:pPr>
              <w:ind w:firstLine="72"/>
              <w:jc w:val="center"/>
            </w:pPr>
            <w:r>
              <w:rPr>
                <w:b/>
              </w:rPr>
              <w:t>160 kg</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144 kg</w:t>
            </w:r>
          </w:p>
        </w:tc>
        <w:tc>
          <w:tcPr>
            <w:tcW w:w="1260" w:type="dxa"/>
            <w:tcBorders>
              <w:right w:val="single" w:sz="12" w:space="0" w:color="auto"/>
            </w:tcBorders>
          </w:tcPr>
          <w:p w:rsidR="00DD08F5" w:rsidRDefault="00DD08F5" w:rsidP="004F7425">
            <w:pPr>
              <w:jc w:val="center"/>
              <w:rPr>
                <w:b/>
                <w:color w:val="008000"/>
              </w:rPr>
            </w:pPr>
            <w:r>
              <w:rPr>
                <w:b/>
                <w:color w:val="0000FF"/>
              </w:rPr>
              <w:sym w:font="Symbol" w:char="F0AF"/>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Hašišas</w:t>
            </w:r>
          </w:p>
        </w:tc>
        <w:tc>
          <w:tcPr>
            <w:tcW w:w="2880" w:type="dxa"/>
            <w:tcBorders>
              <w:left w:val="single" w:sz="12" w:space="0" w:color="auto"/>
              <w:right w:val="single" w:sz="12" w:space="0" w:color="auto"/>
            </w:tcBorders>
          </w:tcPr>
          <w:p w:rsidR="00DD08F5" w:rsidRDefault="00DD08F5" w:rsidP="004F7425">
            <w:pPr>
              <w:ind w:firstLine="72"/>
              <w:jc w:val="center"/>
            </w:pPr>
            <w:r>
              <w:rPr>
                <w:b/>
              </w:rPr>
              <w:t>1,2 kg</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35 kg</w:t>
            </w:r>
          </w:p>
        </w:tc>
        <w:tc>
          <w:tcPr>
            <w:tcW w:w="1260" w:type="dxa"/>
            <w:tcBorders>
              <w:right w:val="single" w:sz="12" w:space="0" w:color="auto"/>
            </w:tcBorders>
          </w:tcPr>
          <w:p w:rsidR="00DD08F5" w:rsidRDefault="00DD08F5" w:rsidP="004F7425">
            <w:pPr>
              <w:jc w:val="center"/>
              <w:rPr>
                <w:b/>
                <w:color w:val="008000"/>
              </w:rPr>
            </w:pPr>
            <w:r>
              <w:rPr>
                <w:b/>
                <w:color w:val="FF0000"/>
              </w:rPr>
              <w:sym w:font="Symbol" w:char="F0AD"/>
            </w:r>
          </w:p>
        </w:tc>
      </w:tr>
      <w:tr w:rsidR="00DD08F5" w:rsidTr="004F7425">
        <w:trPr>
          <w:cantSplit/>
          <w:trHeight w:val="285"/>
        </w:trPr>
        <w:tc>
          <w:tcPr>
            <w:tcW w:w="2808" w:type="dxa"/>
            <w:tcBorders>
              <w:top w:val="single" w:sz="8" w:space="0" w:color="auto"/>
              <w:left w:val="single" w:sz="12" w:space="0" w:color="auto"/>
              <w:right w:val="single" w:sz="12" w:space="0" w:color="auto"/>
            </w:tcBorders>
          </w:tcPr>
          <w:p w:rsidR="00DD08F5" w:rsidRDefault="00DD08F5" w:rsidP="004F7425">
            <w:pPr>
              <w:jc w:val="center"/>
            </w:pPr>
            <w:r>
              <w:t>Heroinas</w:t>
            </w:r>
          </w:p>
        </w:tc>
        <w:tc>
          <w:tcPr>
            <w:tcW w:w="2880" w:type="dxa"/>
            <w:tcBorders>
              <w:top w:val="single" w:sz="8" w:space="0" w:color="auto"/>
              <w:left w:val="single" w:sz="12" w:space="0" w:color="auto"/>
              <w:right w:val="single" w:sz="12" w:space="0" w:color="auto"/>
            </w:tcBorders>
          </w:tcPr>
          <w:p w:rsidR="00DD08F5" w:rsidRDefault="00DD08F5" w:rsidP="004F7425">
            <w:pPr>
              <w:ind w:firstLine="72"/>
              <w:jc w:val="center"/>
            </w:pPr>
            <w:r>
              <w:rPr>
                <w:b/>
              </w:rPr>
              <w:t>6,4 kg</w:t>
            </w:r>
          </w:p>
        </w:tc>
        <w:tc>
          <w:tcPr>
            <w:tcW w:w="2700" w:type="dxa"/>
            <w:tcBorders>
              <w:top w:val="single" w:sz="8" w:space="0" w:color="auto"/>
              <w:left w:val="single" w:sz="12" w:space="0" w:color="auto"/>
              <w:right w:val="single" w:sz="12" w:space="0" w:color="auto"/>
            </w:tcBorders>
          </w:tcPr>
          <w:p w:rsidR="00DD08F5" w:rsidRDefault="00DD08F5" w:rsidP="004F7425">
            <w:pPr>
              <w:ind w:firstLine="72"/>
              <w:jc w:val="center"/>
              <w:rPr>
                <w:b/>
                <w:color w:val="0000FF"/>
              </w:rPr>
            </w:pPr>
            <w:r>
              <w:rPr>
                <w:b/>
                <w:color w:val="0000FF"/>
              </w:rPr>
              <w:t>14 kg</w:t>
            </w:r>
          </w:p>
        </w:tc>
        <w:tc>
          <w:tcPr>
            <w:tcW w:w="1260" w:type="dxa"/>
            <w:tcBorders>
              <w:right w:val="single" w:sz="12" w:space="0" w:color="auto"/>
            </w:tcBorders>
          </w:tcPr>
          <w:p w:rsidR="00DD08F5" w:rsidRDefault="00DD08F5" w:rsidP="004F7425">
            <w:pPr>
              <w:jc w:val="center"/>
              <w:rPr>
                <w:b/>
                <w:color w:val="FF0000"/>
              </w:rPr>
            </w:pPr>
            <w:r>
              <w:rPr>
                <w:b/>
                <w:color w:val="FF0000"/>
              </w:rPr>
              <w:sym w:font="Symbol" w:char="F0AD"/>
            </w:r>
          </w:p>
        </w:tc>
      </w:tr>
      <w:tr w:rsidR="00DD08F5" w:rsidTr="004F7425">
        <w:trPr>
          <w:cantSplit/>
          <w:trHeight w:val="357"/>
        </w:trPr>
        <w:tc>
          <w:tcPr>
            <w:tcW w:w="2808" w:type="dxa"/>
            <w:tcBorders>
              <w:left w:val="single" w:sz="12" w:space="0" w:color="auto"/>
              <w:right w:val="single" w:sz="12" w:space="0" w:color="auto"/>
            </w:tcBorders>
          </w:tcPr>
          <w:p w:rsidR="00DD08F5" w:rsidRDefault="00DD08F5" w:rsidP="004F7425">
            <w:pPr>
              <w:jc w:val="center"/>
            </w:pPr>
            <w:r>
              <w:t>Kokainas</w:t>
            </w:r>
          </w:p>
        </w:tc>
        <w:tc>
          <w:tcPr>
            <w:tcW w:w="2880" w:type="dxa"/>
            <w:tcBorders>
              <w:left w:val="single" w:sz="12" w:space="0" w:color="auto"/>
              <w:right w:val="single" w:sz="12" w:space="0" w:color="auto"/>
            </w:tcBorders>
          </w:tcPr>
          <w:p w:rsidR="00DD08F5" w:rsidRDefault="00DD08F5" w:rsidP="004F7425">
            <w:pPr>
              <w:ind w:firstLine="72"/>
              <w:jc w:val="center"/>
            </w:pPr>
            <w:r>
              <w:rPr>
                <w:b/>
              </w:rPr>
              <w:t>1,2 kg</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41 kg</w:t>
            </w:r>
          </w:p>
        </w:tc>
        <w:tc>
          <w:tcPr>
            <w:tcW w:w="1260" w:type="dxa"/>
            <w:tcBorders>
              <w:right w:val="single" w:sz="12" w:space="0" w:color="auto"/>
            </w:tcBorders>
          </w:tcPr>
          <w:p w:rsidR="00DD08F5" w:rsidRDefault="00DD08F5" w:rsidP="004F7425">
            <w:pPr>
              <w:jc w:val="center"/>
              <w:rPr>
                <w:b/>
                <w:color w:val="FF0000"/>
              </w:rPr>
            </w:pPr>
            <w:r>
              <w:rPr>
                <w:b/>
                <w:color w:val="FF0000"/>
              </w:rPr>
              <w:sym w:font="Symbol" w:char="F0AD"/>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Amfetaminas</w:t>
            </w:r>
          </w:p>
        </w:tc>
        <w:tc>
          <w:tcPr>
            <w:tcW w:w="2880" w:type="dxa"/>
            <w:tcBorders>
              <w:left w:val="single" w:sz="12" w:space="0" w:color="auto"/>
              <w:right w:val="single" w:sz="12" w:space="0" w:color="auto"/>
            </w:tcBorders>
          </w:tcPr>
          <w:p w:rsidR="00DD08F5" w:rsidRDefault="00DD08F5" w:rsidP="004F7425">
            <w:pPr>
              <w:ind w:firstLine="72"/>
              <w:jc w:val="center"/>
            </w:pPr>
            <w:r>
              <w:rPr>
                <w:b/>
              </w:rPr>
              <w:t>11 kg +1000 tab</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7,6 kg + 9</w:t>
            </w:r>
            <w:r>
              <w:rPr>
                <w:b/>
                <w:color w:val="0000FF"/>
                <w:vertAlign w:val="superscript"/>
              </w:rPr>
              <w:t>*</w:t>
            </w:r>
            <w:r>
              <w:rPr>
                <w:b/>
                <w:color w:val="0000FF"/>
              </w:rPr>
              <w:t xml:space="preserve"> kg+ 22 tab</w:t>
            </w:r>
          </w:p>
        </w:tc>
        <w:tc>
          <w:tcPr>
            <w:tcW w:w="1260" w:type="dxa"/>
            <w:tcBorders>
              <w:right w:val="single" w:sz="12" w:space="0" w:color="auto"/>
            </w:tcBorders>
          </w:tcPr>
          <w:p w:rsidR="00DD08F5" w:rsidRDefault="00DD08F5" w:rsidP="004F7425">
            <w:pPr>
              <w:jc w:val="center"/>
              <w:rPr>
                <w:b/>
                <w:color w:val="FF0000"/>
              </w:rPr>
            </w:pPr>
            <w:r>
              <w:rPr>
                <w:b/>
                <w:color w:val="FF0000"/>
              </w:rPr>
              <w:sym w:font="Symbol" w:char="F0AD"/>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Metamfetaminas</w:t>
            </w:r>
          </w:p>
        </w:tc>
        <w:tc>
          <w:tcPr>
            <w:tcW w:w="2880" w:type="dxa"/>
            <w:tcBorders>
              <w:left w:val="single" w:sz="12" w:space="0" w:color="auto"/>
              <w:right w:val="single" w:sz="12" w:space="0" w:color="auto"/>
            </w:tcBorders>
          </w:tcPr>
          <w:p w:rsidR="00DD08F5" w:rsidRDefault="00DD08F5" w:rsidP="004F7425">
            <w:pPr>
              <w:ind w:firstLine="72"/>
              <w:jc w:val="center"/>
            </w:pPr>
            <w:r>
              <w:rPr>
                <w:b/>
              </w:rPr>
              <w:t>49 kg</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26 kg</w:t>
            </w:r>
          </w:p>
        </w:tc>
        <w:tc>
          <w:tcPr>
            <w:tcW w:w="1260" w:type="dxa"/>
            <w:tcBorders>
              <w:right w:val="single" w:sz="12" w:space="0" w:color="auto"/>
            </w:tcBorders>
          </w:tcPr>
          <w:p w:rsidR="00DD08F5" w:rsidRDefault="00DD08F5" w:rsidP="004F7425">
            <w:pPr>
              <w:jc w:val="center"/>
              <w:rPr>
                <w:b/>
                <w:color w:val="008000"/>
              </w:rPr>
            </w:pPr>
            <w:r>
              <w:rPr>
                <w:b/>
                <w:color w:val="0000FF"/>
              </w:rPr>
              <w:sym w:font="Symbol" w:char="F0AF"/>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Metamfetamino ir amfetamino mišinys</w:t>
            </w:r>
          </w:p>
        </w:tc>
        <w:tc>
          <w:tcPr>
            <w:tcW w:w="2880" w:type="dxa"/>
            <w:tcBorders>
              <w:left w:val="single" w:sz="12" w:space="0" w:color="auto"/>
              <w:right w:val="single" w:sz="12" w:space="0" w:color="auto"/>
            </w:tcBorders>
          </w:tcPr>
          <w:p w:rsidR="00DD08F5" w:rsidRDefault="00DD08F5" w:rsidP="004F7425">
            <w:pPr>
              <w:ind w:firstLine="72"/>
              <w:jc w:val="center"/>
            </w:pPr>
            <w:r>
              <w:rPr>
                <w:b/>
              </w:rPr>
              <w:t>122 g</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3 kg</w:t>
            </w:r>
          </w:p>
        </w:tc>
        <w:tc>
          <w:tcPr>
            <w:tcW w:w="1260" w:type="dxa"/>
            <w:tcBorders>
              <w:right w:val="single" w:sz="12" w:space="0" w:color="auto"/>
            </w:tcBorders>
          </w:tcPr>
          <w:p w:rsidR="00DD08F5" w:rsidRDefault="00DD08F5" w:rsidP="004F7425">
            <w:pPr>
              <w:jc w:val="center"/>
              <w:rPr>
                <w:b/>
                <w:color w:val="FF0000"/>
              </w:rPr>
            </w:pPr>
            <w:r>
              <w:rPr>
                <w:b/>
                <w:color w:val="FF0000"/>
              </w:rPr>
              <w:sym w:font="Symbol" w:char="F0AD"/>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Amfetamino ir MDMA mišinys</w:t>
            </w:r>
          </w:p>
        </w:tc>
        <w:tc>
          <w:tcPr>
            <w:tcW w:w="2880" w:type="dxa"/>
            <w:tcBorders>
              <w:left w:val="single" w:sz="12" w:space="0" w:color="auto"/>
              <w:right w:val="single" w:sz="12" w:space="0" w:color="auto"/>
            </w:tcBorders>
          </w:tcPr>
          <w:p w:rsidR="00DD08F5" w:rsidRDefault="00DD08F5" w:rsidP="004F7425">
            <w:pPr>
              <w:ind w:firstLine="72"/>
              <w:jc w:val="center"/>
              <w:rPr>
                <w:b/>
              </w:rPr>
            </w:pPr>
            <w:r>
              <w:rPr>
                <w:b/>
              </w:rPr>
              <w:t>0</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1605 tab</w:t>
            </w:r>
          </w:p>
        </w:tc>
        <w:tc>
          <w:tcPr>
            <w:tcW w:w="1260" w:type="dxa"/>
            <w:tcBorders>
              <w:right w:val="single" w:sz="12" w:space="0" w:color="auto"/>
            </w:tcBorders>
          </w:tcPr>
          <w:p w:rsidR="00DD08F5" w:rsidRDefault="00DD08F5" w:rsidP="004F7425">
            <w:pPr>
              <w:jc w:val="center"/>
              <w:rPr>
                <w:b/>
                <w:color w:val="008000"/>
              </w:rPr>
            </w:pPr>
            <w:r>
              <w:rPr>
                <w:b/>
                <w:color w:val="FF0000"/>
              </w:rPr>
              <w:sym w:font="Symbol" w:char="F0AD"/>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Ecstasy</w:t>
            </w:r>
          </w:p>
        </w:tc>
        <w:tc>
          <w:tcPr>
            <w:tcW w:w="2880" w:type="dxa"/>
            <w:tcBorders>
              <w:left w:val="single" w:sz="12" w:space="0" w:color="auto"/>
              <w:right w:val="single" w:sz="12" w:space="0" w:color="auto"/>
            </w:tcBorders>
          </w:tcPr>
          <w:p w:rsidR="00DD08F5" w:rsidRDefault="00DD08F5" w:rsidP="004F7425">
            <w:pPr>
              <w:ind w:firstLine="72"/>
              <w:jc w:val="center"/>
            </w:pPr>
            <w:r>
              <w:rPr>
                <w:b/>
              </w:rPr>
              <w:t>~22 356 tab</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 xml:space="preserve">~76 808 tab </w:t>
            </w:r>
          </w:p>
        </w:tc>
        <w:tc>
          <w:tcPr>
            <w:tcW w:w="1260" w:type="dxa"/>
            <w:tcBorders>
              <w:right w:val="single" w:sz="12" w:space="0" w:color="auto"/>
            </w:tcBorders>
          </w:tcPr>
          <w:p w:rsidR="00DD08F5" w:rsidRDefault="00DD08F5" w:rsidP="004F7425">
            <w:pPr>
              <w:jc w:val="center"/>
              <w:rPr>
                <w:b/>
                <w:color w:val="FF0000"/>
              </w:rPr>
            </w:pPr>
            <w:r>
              <w:rPr>
                <w:b/>
                <w:color w:val="FF0000"/>
              </w:rPr>
              <w:sym w:font="Symbol" w:char="F0AD"/>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Vaistinės medžiagos</w:t>
            </w:r>
          </w:p>
        </w:tc>
        <w:tc>
          <w:tcPr>
            <w:tcW w:w="2880" w:type="dxa"/>
            <w:tcBorders>
              <w:left w:val="single" w:sz="12" w:space="0" w:color="auto"/>
              <w:right w:val="single" w:sz="12" w:space="0" w:color="auto"/>
            </w:tcBorders>
          </w:tcPr>
          <w:p w:rsidR="00DD08F5" w:rsidRDefault="00DD08F5" w:rsidP="004F7425">
            <w:pPr>
              <w:ind w:firstLine="72"/>
              <w:jc w:val="center"/>
            </w:pPr>
            <w:r>
              <w:rPr>
                <w:b/>
              </w:rPr>
              <w:t>75 g + 450 ml+5500 tab</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55 g+385 tab+28 ml</w:t>
            </w:r>
          </w:p>
        </w:tc>
        <w:tc>
          <w:tcPr>
            <w:tcW w:w="1260" w:type="dxa"/>
            <w:tcBorders>
              <w:right w:val="single" w:sz="12" w:space="0" w:color="auto"/>
            </w:tcBorders>
          </w:tcPr>
          <w:p w:rsidR="00DD08F5" w:rsidRDefault="00DD08F5" w:rsidP="004F7425">
            <w:pPr>
              <w:jc w:val="center"/>
              <w:rPr>
                <w:b/>
                <w:color w:val="FF0000"/>
              </w:rPr>
            </w:pPr>
            <w:r>
              <w:rPr>
                <w:b/>
                <w:color w:val="0000FF"/>
              </w:rPr>
              <w:sym w:font="Symbol" w:char="F0AF"/>
            </w:r>
          </w:p>
        </w:tc>
      </w:tr>
      <w:tr w:rsidR="00DD08F5" w:rsidTr="004F7425">
        <w:trPr>
          <w:cantSplit/>
        </w:trPr>
        <w:tc>
          <w:tcPr>
            <w:tcW w:w="2808" w:type="dxa"/>
            <w:tcBorders>
              <w:left w:val="single" w:sz="12" w:space="0" w:color="auto"/>
              <w:right w:val="single" w:sz="12" w:space="0" w:color="auto"/>
            </w:tcBorders>
          </w:tcPr>
          <w:p w:rsidR="00DD08F5" w:rsidRDefault="00DD08F5" w:rsidP="004F7425">
            <w:pPr>
              <w:jc w:val="center"/>
            </w:pPr>
            <w:r>
              <w:t>BMK</w:t>
            </w:r>
          </w:p>
        </w:tc>
        <w:tc>
          <w:tcPr>
            <w:tcW w:w="2880" w:type="dxa"/>
            <w:tcBorders>
              <w:left w:val="single" w:sz="12" w:space="0" w:color="auto"/>
              <w:right w:val="single" w:sz="12" w:space="0" w:color="auto"/>
            </w:tcBorders>
          </w:tcPr>
          <w:p w:rsidR="00DD08F5" w:rsidRDefault="00DD08F5" w:rsidP="004F7425">
            <w:pPr>
              <w:ind w:firstLine="72"/>
              <w:jc w:val="center"/>
            </w:pPr>
            <w:r>
              <w:t>106 l</w:t>
            </w:r>
          </w:p>
        </w:tc>
        <w:tc>
          <w:tcPr>
            <w:tcW w:w="2700" w:type="dxa"/>
            <w:tcBorders>
              <w:left w:val="single" w:sz="12" w:space="0" w:color="auto"/>
              <w:right w:val="single" w:sz="12" w:space="0" w:color="auto"/>
            </w:tcBorders>
          </w:tcPr>
          <w:p w:rsidR="00DD08F5" w:rsidRDefault="00DD08F5" w:rsidP="004F7425">
            <w:pPr>
              <w:ind w:firstLine="72"/>
              <w:jc w:val="center"/>
              <w:rPr>
                <w:b/>
                <w:color w:val="0000FF"/>
              </w:rPr>
            </w:pPr>
            <w:r>
              <w:rPr>
                <w:b/>
                <w:color w:val="0000FF"/>
              </w:rPr>
              <w:t>567 l</w:t>
            </w:r>
          </w:p>
        </w:tc>
        <w:tc>
          <w:tcPr>
            <w:tcW w:w="1260" w:type="dxa"/>
            <w:tcBorders>
              <w:right w:val="single" w:sz="12" w:space="0" w:color="auto"/>
            </w:tcBorders>
          </w:tcPr>
          <w:p w:rsidR="00DD08F5" w:rsidRDefault="00DD08F5" w:rsidP="004F7425">
            <w:pPr>
              <w:jc w:val="center"/>
              <w:rPr>
                <w:b/>
                <w:color w:val="0000FF"/>
              </w:rPr>
            </w:pPr>
            <w:r>
              <w:rPr>
                <w:b/>
                <w:color w:val="FF0000"/>
              </w:rPr>
              <w:sym w:font="Symbol" w:char="F0AD"/>
            </w:r>
          </w:p>
        </w:tc>
      </w:tr>
    </w:tbl>
    <w:p w:rsidR="00DD08F5" w:rsidRDefault="00DD08F5" w:rsidP="00DD08F5">
      <w:pPr>
        <w:ind w:left="720"/>
        <w:jc w:val="both"/>
        <w:rPr>
          <w:color w:val="0000FF"/>
          <w:sz w:val="20"/>
          <w:szCs w:val="20"/>
        </w:rPr>
      </w:pPr>
      <w:r>
        <w:rPr>
          <w:color w:val="0000FF"/>
          <w:sz w:val="20"/>
          <w:szCs w:val="20"/>
        </w:rPr>
        <w:t xml:space="preserve">*grynoji medžiaga gauta iš laboratorijoje rastų atliekų, kurių bendras kiekis 151,5 kg, amfetaminas jose sudarė 5,8 </w:t>
      </w:r>
      <w:r>
        <w:rPr>
          <w:rFonts w:ascii="Helvetica Narrow" w:hAnsi="Helvetica Narrow"/>
          <w:color w:val="0000FF"/>
          <w:sz w:val="20"/>
          <w:szCs w:val="20"/>
        </w:rPr>
        <w:t>%</w:t>
      </w:r>
      <w:r>
        <w:rPr>
          <w:color w:val="0000FF"/>
          <w:sz w:val="20"/>
          <w:szCs w:val="20"/>
        </w:rPr>
        <w:t>.</w:t>
      </w:r>
    </w:p>
    <w:p w:rsidR="00DD08F5" w:rsidRDefault="00DD08F5" w:rsidP="00DD08F5">
      <w:pPr>
        <w:ind w:left="720"/>
        <w:jc w:val="both"/>
        <w:rPr>
          <w:color w:val="0000FF"/>
          <w:sz w:val="20"/>
          <w:szCs w:val="20"/>
        </w:rPr>
      </w:pPr>
    </w:p>
    <w:p w:rsidR="00DD08F5" w:rsidRDefault="00DD08F5" w:rsidP="00DD08F5">
      <w:pPr>
        <w:ind w:firstLine="720"/>
        <w:jc w:val="both"/>
      </w:pPr>
    </w:p>
    <w:p w:rsidR="00DD08F5" w:rsidRDefault="00DD08F5" w:rsidP="00DD08F5">
      <w:pPr>
        <w:ind w:firstLine="720"/>
      </w:pPr>
      <w:r>
        <w:t>Kad gatvės platintojai parduoda kelias medžiagas patvirtina ir narkotikų kontrolės padalinių pateikti duomenys apie narkotikų platintojus. Išanalizavę pateiktus duomenis galime teigti, kad:</w:t>
      </w:r>
    </w:p>
    <w:p w:rsidR="00DD08F5" w:rsidRDefault="00DD08F5" w:rsidP="00DD08F5">
      <w:pPr>
        <w:numPr>
          <w:ilvl w:val="0"/>
          <w:numId w:val="30"/>
        </w:numPr>
        <w:tabs>
          <w:tab w:val="left" w:pos="6945"/>
        </w:tabs>
        <w:jc w:val="both"/>
      </w:pPr>
      <w:r>
        <w:t>Prekeivių amžius svyruoja nuo 16-40, dažniausiai 19-28 m. (45%) ir 29-38 (29%), vidurkis- 20-21metai;</w:t>
      </w:r>
    </w:p>
    <w:p w:rsidR="00DD08F5" w:rsidRDefault="00DD08F5" w:rsidP="00DD08F5">
      <w:pPr>
        <w:numPr>
          <w:ilvl w:val="0"/>
          <w:numId w:val="30"/>
        </w:numPr>
        <w:jc w:val="both"/>
      </w:pPr>
      <w:r>
        <w:t>Prekiaujama dažniausiai keliomis medžiagomis;</w:t>
      </w:r>
    </w:p>
    <w:p w:rsidR="00DD08F5" w:rsidRDefault="00DD08F5" w:rsidP="00DD08F5">
      <w:pPr>
        <w:numPr>
          <w:ilvl w:val="0"/>
          <w:numId w:val="30"/>
        </w:numPr>
        <w:jc w:val="both"/>
      </w:pPr>
      <w:r>
        <w:t xml:space="preserve"> Nėra tendencingumo tarp platinamų medžiagų rūšies: prekiaujama ir heroinu, ir sintetiniais narkotikais, arba kokainu ir psichotropiniais vaistais, taip pat ir heroinu ir marihuana ir t.t..</w:t>
      </w:r>
      <w:r>
        <w:tab/>
      </w:r>
    </w:p>
    <w:p w:rsidR="00DD08F5" w:rsidRDefault="00DD08F5" w:rsidP="00DD08F5">
      <w:pPr>
        <w:tabs>
          <w:tab w:val="num" w:pos="0"/>
        </w:tabs>
        <w:jc w:val="both"/>
      </w:pPr>
    </w:p>
    <w:p w:rsidR="00DD08F5" w:rsidRDefault="00DD08F5" w:rsidP="00DD08F5">
      <w:pPr>
        <w:jc w:val="both"/>
        <w:rPr>
          <w:b/>
          <w:i/>
          <w:caps/>
          <w:color w:val="0000FF"/>
        </w:rPr>
      </w:pPr>
    </w:p>
    <w:p w:rsidR="00DD08F5" w:rsidRDefault="00DD08F5" w:rsidP="00DD08F5">
      <w:pPr>
        <w:jc w:val="both"/>
        <w:rPr>
          <w:b/>
          <w:i/>
          <w:color w:val="0000FF"/>
        </w:rPr>
      </w:pPr>
      <w:r>
        <w:rPr>
          <w:b/>
          <w:i/>
          <w:color w:val="0000FF"/>
        </w:rPr>
        <w:t xml:space="preserve">Narkotikų kaina </w:t>
      </w:r>
    </w:p>
    <w:p w:rsidR="00DD08F5" w:rsidRDefault="00DD08F5" w:rsidP="00DD08F5">
      <w:pPr>
        <w:jc w:val="both"/>
        <w:rPr>
          <w:b/>
          <w:i/>
          <w:caps/>
          <w:color w:val="0000FF"/>
        </w:rPr>
      </w:pPr>
    </w:p>
    <w:p w:rsidR="00DD08F5" w:rsidRDefault="00DD08F5" w:rsidP="00DD08F5">
      <w:pPr>
        <w:tabs>
          <w:tab w:val="num" w:pos="0"/>
        </w:tabs>
        <w:jc w:val="both"/>
      </w:pPr>
      <w:r>
        <w:tab/>
        <w:t>2008 metų narkotinių ir psichotropinių medžiagų kainų Lietuvoje analizė atlikta remiantis duomenimis, gautais iš centrinių bei teritorinių policijos organizuoto nusikalstamumo tyrimo padalinių ir Muitinės kriminalinės tarnybos. Renkama informacija apie „gatvės“ prekybos kainas bei apie „didmeninę“ prekybą.</w:t>
      </w:r>
    </w:p>
    <w:p w:rsidR="00DD08F5" w:rsidRDefault="00DD08F5" w:rsidP="00DD08F5">
      <w:pPr>
        <w:ind w:firstLine="540"/>
        <w:jc w:val="both"/>
      </w:pPr>
      <w:r>
        <w:t xml:space="preserve">Narkotinių ir psichotropinių medžiagų „gatvės“ kainų analizė gali atspindėti narkotinių medžiagų pasiūlą šalyje, taip pat leidžia preliminariai apskaičiuoti pelną gaunamą iš narkotikų verslo, be to „gatvės“ kaina yra tikslesnis narkotikų rinkos rodiklis nei „didmeninė“ kaina. Pavyzdžiui, pagal Europolo metodiką, didmeninė kaina yra laikoma kaina už 1 kg arba 1000 tab ir daugiau medžiagos, tačiau Lietuvos narkotinių medžiagų rinkoje pastebima, kad ta pati didmeninė kaina mokama tiek už žymiai mažesnį kiekį negu kilogramas, tiek ir už kilogramą narkotinės medžiagos. </w:t>
      </w:r>
    </w:p>
    <w:p w:rsidR="00DD08F5" w:rsidRDefault="00DD08F5" w:rsidP="00DD08F5">
      <w:pPr>
        <w:ind w:firstLine="540"/>
        <w:jc w:val="both"/>
      </w:pPr>
      <w:r>
        <w:t xml:space="preserve">Apžvelgiant bendrą situaciją, galima teigti, kad narkotinių ir psichotropinių kainos lyginant su praėjusiais metais beveik nesikeičia. Brango tik metamfetaminas, nes didėjo ir apatinė ir viršutinė jo kainos riba. Nedideli kainų svyravimai gali būti susiję su pateikiamos informacijos apimtimi. </w:t>
      </w:r>
    </w:p>
    <w:p w:rsidR="00DD08F5" w:rsidRDefault="00DD08F5" w:rsidP="00DD08F5">
      <w:pPr>
        <w:pStyle w:val="Antrat2"/>
        <w:jc w:val="center"/>
        <w:rPr>
          <w:color w:val="0000FF"/>
        </w:rPr>
      </w:pPr>
      <w:r>
        <w:rPr>
          <w:color w:val="0000FF"/>
        </w:rPr>
        <w:t>Narkotinių ir psichotropinių medžiagų vidutinės  kainos šalies nelegalioje apyvartoje</w:t>
      </w:r>
    </w:p>
    <w:p w:rsidR="00DD08F5" w:rsidRDefault="00DD08F5" w:rsidP="00DD08F5"/>
    <w:tbl>
      <w:tblPr>
        <w:tblW w:w="0" w:type="auto"/>
        <w:tblInd w:w="108" w:type="dxa"/>
        <w:tblBorders>
          <w:top w:val="single" w:sz="12" w:space="0" w:color="0000FF"/>
          <w:left w:val="single" w:sz="12" w:space="0" w:color="0000FF"/>
          <w:bottom w:val="single" w:sz="12" w:space="0" w:color="0000FF"/>
          <w:right w:val="single" w:sz="12" w:space="0" w:color="0000FF"/>
          <w:insideH w:val="single" w:sz="6" w:space="0" w:color="0000FF"/>
          <w:insideV w:val="single" w:sz="6" w:space="0" w:color="0000FF"/>
        </w:tblBorders>
        <w:tblLook w:val="01E0" w:firstRow="1" w:lastRow="1" w:firstColumn="1" w:lastColumn="1" w:noHBand="0" w:noVBand="0"/>
      </w:tblPr>
      <w:tblGrid>
        <w:gridCol w:w="2447"/>
        <w:gridCol w:w="2424"/>
        <w:gridCol w:w="2424"/>
        <w:gridCol w:w="2425"/>
      </w:tblGrid>
      <w:tr w:rsidR="00DD08F5" w:rsidTr="004F7425">
        <w:trPr>
          <w:cantSplit/>
        </w:trPr>
        <w:tc>
          <w:tcPr>
            <w:tcW w:w="2447" w:type="dxa"/>
            <w:vMerge w:val="restart"/>
          </w:tcPr>
          <w:p w:rsidR="00DD08F5" w:rsidRDefault="00DD08F5" w:rsidP="004F7425">
            <w:pPr>
              <w:rPr>
                <w:b/>
                <w:i/>
                <w:caps/>
              </w:rPr>
            </w:pPr>
            <w:r>
              <w:rPr>
                <w:b/>
                <w:bCs/>
              </w:rPr>
              <w:t>Medžiagos pavadinimas</w:t>
            </w:r>
          </w:p>
        </w:tc>
        <w:tc>
          <w:tcPr>
            <w:tcW w:w="7273" w:type="dxa"/>
            <w:gridSpan w:val="3"/>
          </w:tcPr>
          <w:p w:rsidR="00DD08F5" w:rsidRDefault="00DD08F5" w:rsidP="004F7425">
            <w:pPr>
              <w:jc w:val="center"/>
              <w:rPr>
                <w:b/>
                <w:bCs/>
                <w:color w:val="0000FF"/>
              </w:rPr>
            </w:pPr>
            <w:r>
              <w:rPr>
                <w:b/>
                <w:bCs/>
                <w:color w:val="0000FF"/>
              </w:rPr>
              <w:t>Fiksuota žemiausia ir aukščiausia gatvės kaina</w:t>
            </w:r>
          </w:p>
          <w:p w:rsidR="00DD08F5" w:rsidRDefault="00DD08F5" w:rsidP="004F7425">
            <w:pPr>
              <w:jc w:val="center"/>
              <w:rPr>
                <w:b/>
                <w:i/>
                <w:caps/>
                <w:color w:val="008000"/>
              </w:rPr>
            </w:pPr>
            <w:r>
              <w:rPr>
                <w:b/>
                <w:bCs/>
                <w:color w:val="0000FF"/>
              </w:rPr>
              <w:t>(litais)</w:t>
            </w:r>
          </w:p>
        </w:tc>
      </w:tr>
      <w:tr w:rsidR="00DD08F5" w:rsidTr="004F7425">
        <w:trPr>
          <w:cantSplit/>
        </w:trPr>
        <w:tc>
          <w:tcPr>
            <w:tcW w:w="2447" w:type="dxa"/>
            <w:vMerge/>
          </w:tcPr>
          <w:p w:rsidR="00DD08F5" w:rsidRDefault="00DD08F5" w:rsidP="004F7425">
            <w:pPr>
              <w:rPr>
                <w:b/>
                <w:i/>
                <w:caps/>
              </w:rPr>
            </w:pPr>
          </w:p>
        </w:tc>
        <w:tc>
          <w:tcPr>
            <w:tcW w:w="2424" w:type="dxa"/>
          </w:tcPr>
          <w:p w:rsidR="00DD08F5" w:rsidRDefault="00DD08F5" w:rsidP="004F7425">
            <w:pPr>
              <w:jc w:val="center"/>
              <w:rPr>
                <w:b/>
              </w:rPr>
            </w:pPr>
            <w:r>
              <w:rPr>
                <w:b/>
                <w:caps/>
              </w:rPr>
              <w:t xml:space="preserve">2006 </w:t>
            </w:r>
            <w:r>
              <w:rPr>
                <w:b/>
              </w:rPr>
              <w:t>m</w:t>
            </w:r>
          </w:p>
        </w:tc>
        <w:tc>
          <w:tcPr>
            <w:tcW w:w="2424" w:type="dxa"/>
          </w:tcPr>
          <w:p w:rsidR="00DD08F5" w:rsidRDefault="00DD08F5" w:rsidP="004F7425">
            <w:pPr>
              <w:jc w:val="center"/>
              <w:rPr>
                <w:b/>
                <w:i/>
                <w:caps/>
              </w:rPr>
            </w:pPr>
            <w:r>
              <w:rPr>
                <w:b/>
                <w:i/>
                <w:caps/>
              </w:rPr>
              <w:t>2007</w:t>
            </w:r>
            <w:r>
              <w:rPr>
                <w:b/>
                <w:i/>
              </w:rPr>
              <w:t>m.</w:t>
            </w:r>
          </w:p>
        </w:tc>
        <w:tc>
          <w:tcPr>
            <w:tcW w:w="2425" w:type="dxa"/>
          </w:tcPr>
          <w:p w:rsidR="00DD08F5" w:rsidRDefault="00DD08F5" w:rsidP="004F7425">
            <w:pPr>
              <w:jc w:val="center"/>
              <w:rPr>
                <w:b/>
                <w:color w:val="0000FF"/>
              </w:rPr>
            </w:pPr>
            <w:r>
              <w:rPr>
                <w:b/>
                <w:color w:val="0000FF"/>
              </w:rPr>
              <w:t>2008 m.</w:t>
            </w:r>
          </w:p>
        </w:tc>
      </w:tr>
      <w:tr w:rsidR="00DD08F5" w:rsidTr="004F7425">
        <w:tc>
          <w:tcPr>
            <w:tcW w:w="2447" w:type="dxa"/>
          </w:tcPr>
          <w:p w:rsidR="00DD08F5" w:rsidRDefault="00DD08F5" w:rsidP="004F7425">
            <w:pPr>
              <w:rPr>
                <w:lang w:val="en-US"/>
              </w:rPr>
            </w:pPr>
            <w:r>
              <w:rPr>
                <w:bCs/>
              </w:rPr>
              <w:t>Marihuana (1 g)</w:t>
            </w:r>
          </w:p>
        </w:tc>
        <w:tc>
          <w:tcPr>
            <w:tcW w:w="2424" w:type="dxa"/>
          </w:tcPr>
          <w:p w:rsidR="00DD08F5" w:rsidRDefault="00DD08F5" w:rsidP="004F7425">
            <w:pPr>
              <w:jc w:val="center"/>
              <w:rPr>
                <w:b/>
                <w:i/>
                <w:caps/>
              </w:rPr>
            </w:pPr>
            <w:r>
              <w:t>20-44</w:t>
            </w:r>
          </w:p>
        </w:tc>
        <w:tc>
          <w:tcPr>
            <w:tcW w:w="2424" w:type="dxa"/>
          </w:tcPr>
          <w:p w:rsidR="00DD08F5" w:rsidRDefault="00DD08F5" w:rsidP="004F7425">
            <w:pPr>
              <w:jc w:val="center"/>
              <w:rPr>
                <w:b/>
                <w:i/>
                <w:caps/>
              </w:rPr>
            </w:pPr>
            <w:r>
              <w:t>20-66</w:t>
            </w:r>
          </w:p>
        </w:tc>
        <w:tc>
          <w:tcPr>
            <w:tcW w:w="2425" w:type="dxa"/>
          </w:tcPr>
          <w:p w:rsidR="00DD08F5" w:rsidRDefault="00DD08F5" w:rsidP="004F7425">
            <w:pPr>
              <w:jc w:val="center"/>
              <w:rPr>
                <w:b/>
                <w:i/>
                <w:caps/>
                <w:color w:val="0000FF"/>
              </w:rPr>
            </w:pPr>
            <w:r>
              <w:rPr>
                <w:b/>
                <w:i/>
                <w:caps/>
                <w:color w:val="0000FF"/>
              </w:rPr>
              <w:t>20-60</w:t>
            </w:r>
          </w:p>
        </w:tc>
      </w:tr>
      <w:tr w:rsidR="00DD08F5" w:rsidTr="004F7425">
        <w:tc>
          <w:tcPr>
            <w:tcW w:w="2447" w:type="dxa"/>
          </w:tcPr>
          <w:p w:rsidR="00DD08F5" w:rsidRDefault="00DD08F5" w:rsidP="004F7425">
            <w:pPr>
              <w:rPr>
                <w:lang w:val="en-US"/>
              </w:rPr>
            </w:pPr>
            <w:r>
              <w:rPr>
                <w:bCs/>
              </w:rPr>
              <w:t>Hašišas (1 g)</w:t>
            </w:r>
          </w:p>
        </w:tc>
        <w:tc>
          <w:tcPr>
            <w:tcW w:w="2424" w:type="dxa"/>
          </w:tcPr>
          <w:p w:rsidR="00DD08F5" w:rsidRDefault="00DD08F5" w:rsidP="004F7425">
            <w:pPr>
              <w:jc w:val="center"/>
              <w:rPr>
                <w:b/>
                <w:i/>
                <w:caps/>
              </w:rPr>
            </w:pPr>
            <w:r>
              <w:t>15-25</w:t>
            </w:r>
          </w:p>
        </w:tc>
        <w:tc>
          <w:tcPr>
            <w:tcW w:w="2424" w:type="dxa"/>
          </w:tcPr>
          <w:p w:rsidR="00DD08F5" w:rsidRDefault="00DD08F5" w:rsidP="004F7425">
            <w:pPr>
              <w:jc w:val="center"/>
              <w:rPr>
                <w:b/>
                <w:i/>
                <w:caps/>
              </w:rPr>
            </w:pPr>
            <w:r>
              <w:t>15-40</w:t>
            </w:r>
          </w:p>
        </w:tc>
        <w:tc>
          <w:tcPr>
            <w:tcW w:w="2425" w:type="dxa"/>
          </w:tcPr>
          <w:p w:rsidR="00DD08F5" w:rsidRDefault="00DD08F5" w:rsidP="004F7425">
            <w:pPr>
              <w:jc w:val="center"/>
              <w:rPr>
                <w:b/>
                <w:i/>
                <w:caps/>
                <w:color w:val="0000FF"/>
              </w:rPr>
            </w:pPr>
            <w:r>
              <w:rPr>
                <w:b/>
                <w:i/>
                <w:caps/>
                <w:color w:val="0000FF"/>
              </w:rPr>
              <w:t>10-40</w:t>
            </w:r>
          </w:p>
        </w:tc>
      </w:tr>
      <w:tr w:rsidR="00DD08F5" w:rsidTr="004F7425">
        <w:tc>
          <w:tcPr>
            <w:tcW w:w="2447" w:type="dxa"/>
          </w:tcPr>
          <w:p w:rsidR="00DD08F5" w:rsidRDefault="00DD08F5" w:rsidP="004F7425">
            <w:pPr>
              <w:rPr>
                <w:lang w:val="en-US"/>
              </w:rPr>
            </w:pPr>
            <w:r>
              <w:rPr>
                <w:bCs/>
              </w:rPr>
              <w:t>Metamfetaminas (1 g)</w:t>
            </w:r>
          </w:p>
        </w:tc>
        <w:tc>
          <w:tcPr>
            <w:tcW w:w="2424" w:type="dxa"/>
          </w:tcPr>
          <w:p w:rsidR="00DD08F5" w:rsidRDefault="00DD08F5" w:rsidP="004F7425">
            <w:pPr>
              <w:jc w:val="center"/>
              <w:rPr>
                <w:b/>
                <w:i/>
                <w:caps/>
              </w:rPr>
            </w:pPr>
            <w:r>
              <w:t>40-47</w:t>
            </w:r>
          </w:p>
        </w:tc>
        <w:tc>
          <w:tcPr>
            <w:tcW w:w="2424" w:type="dxa"/>
          </w:tcPr>
          <w:p w:rsidR="00DD08F5" w:rsidRDefault="00DD08F5" w:rsidP="004F7425">
            <w:pPr>
              <w:jc w:val="center"/>
              <w:rPr>
                <w:b/>
                <w:i/>
                <w:caps/>
              </w:rPr>
            </w:pPr>
            <w:r>
              <w:t>23-40</w:t>
            </w:r>
          </w:p>
        </w:tc>
        <w:tc>
          <w:tcPr>
            <w:tcW w:w="2425" w:type="dxa"/>
          </w:tcPr>
          <w:p w:rsidR="00DD08F5" w:rsidRDefault="00DD08F5" w:rsidP="004F7425">
            <w:pPr>
              <w:jc w:val="center"/>
              <w:rPr>
                <w:b/>
                <w:i/>
                <w:caps/>
                <w:color w:val="0000FF"/>
              </w:rPr>
            </w:pPr>
            <w:r>
              <w:rPr>
                <w:b/>
                <w:i/>
                <w:caps/>
                <w:color w:val="0000FF"/>
              </w:rPr>
              <w:t>25-70</w:t>
            </w:r>
          </w:p>
        </w:tc>
      </w:tr>
      <w:tr w:rsidR="00DD08F5" w:rsidTr="004F7425">
        <w:tc>
          <w:tcPr>
            <w:tcW w:w="2447" w:type="dxa"/>
          </w:tcPr>
          <w:p w:rsidR="00DD08F5" w:rsidRDefault="00DD08F5" w:rsidP="004F7425">
            <w:pPr>
              <w:rPr>
                <w:lang w:val="en-US"/>
              </w:rPr>
            </w:pPr>
            <w:r>
              <w:rPr>
                <w:bCs/>
              </w:rPr>
              <w:t xml:space="preserve">Amfetaminas (1 tab.) </w:t>
            </w:r>
          </w:p>
        </w:tc>
        <w:tc>
          <w:tcPr>
            <w:tcW w:w="2424" w:type="dxa"/>
          </w:tcPr>
          <w:p w:rsidR="00DD08F5" w:rsidRDefault="00DD08F5" w:rsidP="004F7425">
            <w:pPr>
              <w:jc w:val="center"/>
              <w:rPr>
                <w:b/>
                <w:i/>
                <w:caps/>
              </w:rPr>
            </w:pPr>
            <w:r>
              <w:t>6-20</w:t>
            </w:r>
          </w:p>
        </w:tc>
        <w:tc>
          <w:tcPr>
            <w:tcW w:w="2424" w:type="dxa"/>
          </w:tcPr>
          <w:p w:rsidR="00DD08F5" w:rsidRDefault="00DD08F5" w:rsidP="004F7425">
            <w:pPr>
              <w:jc w:val="center"/>
              <w:rPr>
                <w:b/>
                <w:i/>
                <w:caps/>
              </w:rPr>
            </w:pPr>
            <w:r>
              <w:t>7-13</w:t>
            </w:r>
          </w:p>
        </w:tc>
        <w:tc>
          <w:tcPr>
            <w:tcW w:w="2425" w:type="dxa"/>
          </w:tcPr>
          <w:p w:rsidR="00DD08F5" w:rsidRDefault="00DD08F5" w:rsidP="004F7425">
            <w:pPr>
              <w:jc w:val="center"/>
              <w:rPr>
                <w:b/>
                <w:i/>
                <w:caps/>
                <w:color w:val="0000FF"/>
              </w:rPr>
            </w:pPr>
            <w:r>
              <w:rPr>
                <w:b/>
                <w:i/>
                <w:caps/>
                <w:color w:val="0000FF"/>
              </w:rPr>
              <w:t>7-13</w:t>
            </w:r>
          </w:p>
        </w:tc>
      </w:tr>
      <w:tr w:rsidR="00DD08F5" w:rsidTr="004F7425">
        <w:tc>
          <w:tcPr>
            <w:tcW w:w="2447" w:type="dxa"/>
          </w:tcPr>
          <w:p w:rsidR="00DD08F5" w:rsidRDefault="00DD08F5" w:rsidP="004F7425">
            <w:pPr>
              <w:rPr>
                <w:lang w:val="en-US"/>
              </w:rPr>
            </w:pPr>
            <w:r>
              <w:rPr>
                <w:bCs/>
              </w:rPr>
              <w:t xml:space="preserve">Amfetaminas  (1 g)  </w:t>
            </w:r>
          </w:p>
        </w:tc>
        <w:tc>
          <w:tcPr>
            <w:tcW w:w="2424" w:type="dxa"/>
          </w:tcPr>
          <w:p w:rsidR="00DD08F5" w:rsidRDefault="00DD08F5" w:rsidP="004F7425">
            <w:pPr>
              <w:jc w:val="center"/>
              <w:rPr>
                <w:b/>
                <w:i/>
                <w:caps/>
              </w:rPr>
            </w:pPr>
            <w:r>
              <w:t>6-40</w:t>
            </w:r>
          </w:p>
        </w:tc>
        <w:tc>
          <w:tcPr>
            <w:tcW w:w="2424" w:type="dxa"/>
          </w:tcPr>
          <w:p w:rsidR="00DD08F5" w:rsidRDefault="00DD08F5" w:rsidP="004F7425">
            <w:pPr>
              <w:jc w:val="center"/>
              <w:rPr>
                <w:b/>
                <w:i/>
                <w:caps/>
              </w:rPr>
            </w:pPr>
            <w:r>
              <w:t>9-40</w:t>
            </w:r>
          </w:p>
        </w:tc>
        <w:tc>
          <w:tcPr>
            <w:tcW w:w="2425" w:type="dxa"/>
          </w:tcPr>
          <w:p w:rsidR="00DD08F5" w:rsidRDefault="00DD08F5" w:rsidP="004F7425">
            <w:pPr>
              <w:jc w:val="center"/>
              <w:rPr>
                <w:b/>
                <w:i/>
                <w:caps/>
                <w:color w:val="0000FF"/>
              </w:rPr>
            </w:pPr>
            <w:r>
              <w:rPr>
                <w:b/>
                <w:i/>
                <w:caps/>
                <w:color w:val="0000FF"/>
              </w:rPr>
              <w:t>10-50</w:t>
            </w:r>
          </w:p>
        </w:tc>
      </w:tr>
      <w:tr w:rsidR="00DD08F5" w:rsidTr="004F7425">
        <w:tc>
          <w:tcPr>
            <w:tcW w:w="2447" w:type="dxa"/>
          </w:tcPr>
          <w:p w:rsidR="00DD08F5" w:rsidRDefault="00DD08F5" w:rsidP="004F7425">
            <w:pPr>
              <w:rPr>
                <w:lang w:val="en-US"/>
              </w:rPr>
            </w:pPr>
            <w:r>
              <w:rPr>
                <w:bCs/>
              </w:rPr>
              <w:t xml:space="preserve">Ecstasy (1 tab.) </w:t>
            </w:r>
          </w:p>
        </w:tc>
        <w:tc>
          <w:tcPr>
            <w:tcW w:w="2424" w:type="dxa"/>
          </w:tcPr>
          <w:p w:rsidR="00DD08F5" w:rsidRDefault="00DD08F5" w:rsidP="004F7425">
            <w:pPr>
              <w:jc w:val="center"/>
              <w:rPr>
                <w:b/>
                <w:i/>
                <w:caps/>
              </w:rPr>
            </w:pPr>
            <w:r>
              <w:t>8-15</w:t>
            </w:r>
          </w:p>
        </w:tc>
        <w:tc>
          <w:tcPr>
            <w:tcW w:w="2424" w:type="dxa"/>
          </w:tcPr>
          <w:p w:rsidR="00DD08F5" w:rsidRDefault="00DD08F5" w:rsidP="004F7425">
            <w:pPr>
              <w:jc w:val="center"/>
              <w:rPr>
                <w:b/>
                <w:i/>
                <w:caps/>
              </w:rPr>
            </w:pPr>
            <w:r>
              <w:t>6-25</w:t>
            </w:r>
          </w:p>
        </w:tc>
        <w:tc>
          <w:tcPr>
            <w:tcW w:w="2425" w:type="dxa"/>
          </w:tcPr>
          <w:p w:rsidR="00DD08F5" w:rsidRDefault="00DD08F5" w:rsidP="004F7425">
            <w:pPr>
              <w:jc w:val="center"/>
              <w:rPr>
                <w:b/>
                <w:i/>
                <w:caps/>
                <w:color w:val="0000FF"/>
              </w:rPr>
            </w:pPr>
            <w:r>
              <w:rPr>
                <w:b/>
                <w:i/>
                <w:caps/>
                <w:color w:val="0000FF"/>
              </w:rPr>
              <w:t>6-25</w:t>
            </w:r>
          </w:p>
        </w:tc>
      </w:tr>
      <w:tr w:rsidR="00DD08F5" w:rsidTr="004F7425">
        <w:tc>
          <w:tcPr>
            <w:tcW w:w="2447" w:type="dxa"/>
          </w:tcPr>
          <w:p w:rsidR="00DD08F5" w:rsidRDefault="00DD08F5" w:rsidP="004F7425">
            <w:pPr>
              <w:rPr>
                <w:lang w:val="en-US"/>
              </w:rPr>
            </w:pPr>
            <w:r>
              <w:rPr>
                <w:bCs/>
              </w:rPr>
              <w:lastRenderedPageBreak/>
              <w:t xml:space="preserve">Heroinas (1 g) </w:t>
            </w:r>
          </w:p>
        </w:tc>
        <w:tc>
          <w:tcPr>
            <w:tcW w:w="2424" w:type="dxa"/>
          </w:tcPr>
          <w:p w:rsidR="00DD08F5" w:rsidRDefault="00DD08F5" w:rsidP="004F7425">
            <w:pPr>
              <w:jc w:val="center"/>
              <w:rPr>
                <w:b/>
                <w:i/>
                <w:caps/>
              </w:rPr>
            </w:pPr>
            <w:r>
              <w:t>100-240</w:t>
            </w:r>
          </w:p>
        </w:tc>
        <w:tc>
          <w:tcPr>
            <w:tcW w:w="2424" w:type="dxa"/>
          </w:tcPr>
          <w:p w:rsidR="00DD08F5" w:rsidRDefault="00DD08F5" w:rsidP="004F7425">
            <w:pPr>
              <w:jc w:val="center"/>
              <w:rPr>
                <w:b/>
                <w:i/>
                <w:caps/>
              </w:rPr>
            </w:pPr>
            <w:r>
              <w:t>120-200</w:t>
            </w:r>
          </w:p>
        </w:tc>
        <w:tc>
          <w:tcPr>
            <w:tcW w:w="2425" w:type="dxa"/>
          </w:tcPr>
          <w:p w:rsidR="00DD08F5" w:rsidRDefault="00DD08F5" w:rsidP="004F7425">
            <w:pPr>
              <w:jc w:val="center"/>
              <w:rPr>
                <w:b/>
                <w:i/>
                <w:caps/>
                <w:color w:val="0000FF"/>
              </w:rPr>
            </w:pPr>
            <w:r>
              <w:rPr>
                <w:b/>
                <w:i/>
                <w:caps/>
                <w:color w:val="0000FF"/>
              </w:rPr>
              <w:t>120-200</w:t>
            </w:r>
          </w:p>
        </w:tc>
      </w:tr>
      <w:tr w:rsidR="00DD08F5" w:rsidTr="004F7425">
        <w:tc>
          <w:tcPr>
            <w:tcW w:w="2447" w:type="dxa"/>
          </w:tcPr>
          <w:p w:rsidR="00DD08F5" w:rsidRDefault="00DD08F5" w:rsidP="004F7425">
            <w:pPr>
              <w:rPr>
                <w:lang w:val="en-US"/>
              </w:rPr>
            </w:pPr>
            <w:r>
              <w:rPr>
                <w:bCs/>
              </w:rPr>
              <w:t>Kokainas (1g)</w:t>
            </w:r>
          </w:p>
        </w:tc>
        <w:tc>
          <w:tcPr>
            <w:tcW w:w="2424" w:type="dxa"/>
          </w:tcPr>
          <w:p w:rsidR="00DD08F5" w:rsidRDefault="00DD08F5" w:rsidP="004F7425">
            <w:pPr>
              <w:jc w:val="center"/>
              <w:rPr>
                <w:b/>
                <w:i/>
                <w:caps/>
              </w:rPr>
            </w:pPr>
            <w:r>
              <w:t>160-250</w:t>
            </w:r>
          </w:p>
        </w:tc>
        <w:tc>
          <w:tcPr>
            <w:tcW w:w="2424" w:type="dxa"/>
          </w:tcPr>
          <w:p w:rsidR="00DD08F5" w:rsidRDefault="00DD08F5" w:rsidP="004F7425">
            <w:pPr>
              <w:jc w:val="center"/>
              <w:rPr>
                <w:b/>
                <w:i/>
                <w:caps/>
              </w:rPr>
            </w:pPr>
            <w:r>
              <w:t>138-250</w:t>
            </w:r>
          </w:p>
        </w:tc>
        <w:tc>
          <w:tcPr>
            <w:tcW w:w="2425" w:type="dxa"/>
          </w:tcPr>
          <w:p w:rsidR="00DD08F5" w:rsidRDefault="00DD08F5" w:rsidP="004F7425">
            <w:pPr>
              <w:jc w:val="center"/>
              <w:rPr>
                <w:b/>
                <w:i/>
                <w:caps/>
                <w:color w:val="0000FF"/>
              </w:rPr>
            </w:pPr>
            <w:r>
              <w:rPr>
                <w:b/>
                <w:i/>
                <w:caps/>
                <w:color w:val="0000FF"/>
              </w:rPr>
              <w:t>180-250</w:t>
            </w:r>
          </w:p>
        </w:tc>
      </w:tr>
    </w:tbl>
    <w:p w:rsidR="00DD08F5" w:rsidRDefault="00DD08F5" w:rsidP="00DD08F5">
      <w:pPr>
        <w:ind w:firstLine="540"/>
      </w:pPr>
    </w:p>
    <w:p w:rsidR="00DD08F5" w:rsidRDefault="00DD08F5" w:rsidP="00DD08F5">
      <w:pPr>
        <w:ind w:firstLine="540"/>
        <w:rPr>
          <w:color w:val="0000FF"/>
        </w:rPr>
      </w:pPr>
    </w:p>
    <w:p w:rsidR="00DD08F5" w:rsidRDefault="00DD08F5" w:rsidP="00DD08F5">
      <w:pPr>
        <w:ind w:firstLine="540"/>
        <w:jc w:val="both"/>
      </w:pPr>
    </w:p>
    <w:p w:rsidR="00DD08F5" w:rsidRDefault="00DD08F5" w:rsidP="00DD08F5">
      <w:pPr>
        <w:jc w:val="both"/>
        <w:rPr>
          <w:b/>
          <w:i/>
          <w:color w:val="0000FF"/>
          <w:szCs w:val="20"/>
        </w:rPr>
      </w:pPr>
      <w:r>
        <w:rPr>
          <w:b/>
          <w:i/>
          <w:color w:val="0000FF"/>
          <w:szCs w:val="20"/>
        </w:rPr>
        <w:t xml:space="preserve">Kanapės (Marihuana) </w:t>
      </w:r>
    </w:p>
    <w:p w:rsidR="00DD08F5" w:rsidRDefault="00DD08F5" w:rsidP="00DD08F5">
      <w:pPr>
        <w:rPr>
          <w:b/>
          <w:caps/>
          <w:color w:val="0000FF"/>
        </w:rPr>
      </w:pPr>
    </w:p>
    <w:p w:rsidR="00DD08F5" w:rsidRDefault="00344E26" w:rsidP="00DD08F5">
      <w:pPr>
        <w:shd w:val="clear" w:color="auto" w:fill="FFFFFF"/>
        <w:spacing w:line="283" w:lineRule="exact"/>
        <w:ind w:firstLine="720"/>
        <w:jc w:val="both"/>
      </w:pPr>
      <w:r>
        <w:rPr>
          <w:noProof/>
        </w:rPr>
        <w:pict>
          <v:shape id="_x0000_s1072" type="#_x0000_t75" style="position:absolute;left:0;text-align:left;margin-left:261pt;margin-top:-.15pt;width:225pt;height:168.75pt;z-index:251707392">
            <v:imagedata r:id="rId128" o:title=""/>
            <w10:wrap type="square"/>
          </v:shape>
          <o:OLEObject Type="Embed" ProgID="MSPhotoEd.3" ShapeID="_x0000_s1072" DrawAspect="Content" ObjectID="_1488359251" r:id="rId129"/>
        </w:pict>
      </w:r>
      <w:r w:rsidR="00DD08F5">
        <w:t xml:space="preserve">EMCDD duomenimis kanapių vartojimas Europoje stabilizuojasi, tačiau vis dar kelia didelį susirūpinimą, nes išlieka plačiai paplitusiu. Kas penktas europietis nuo 15-64 metų yra kada nors gyvenime vartojęs kanapių. </w:t>
      </w:r>
    </w:p>
    <w:p w:rsidR="00DD08F5" w:rsidRDefault="00DD08F5" w:rsidP="00DD08F5">
      <w:pPr>
        <w:jc w:val="both"/>
      </w:pPr>
      <w:r>
        <w:tab/>
        <w:t>Lietuvoje kanapės yra labai populiarus narkotikas vartotojų tarpe, dažnai nepagrįstai neįvertinama jo žala sveikatai. Pasitaiko atvejų kai kanapes rūko vyresnio amžiaus asmenys, teigdami, kad tai labai puikus būdas atsipalaiduoti. Jaunimui įtakos turi kartkartėmis spaudoje pasirodantys straipsniai kaip viena ar kita pasaulinio lygio žvaigždė prisipažįsta, kad paauglystėje yra vartoję marihuaną.</w:t>
      </w:r>
    </w:p>
    <w:p w:rsidR="00DD08F5" w:rsidRDefault="00DD08F5" w:rsidP="00DD08F5">
      <w:pPr>
        <w:ind w:firstLine="720"/>
        <w:jc w:val="both"/>
      </w:pPr>
      <w:r>
        <w:t>2007 metais Lietuvoje buvo aptiktos ir sunaikintos 6 kanapių plantacijos, 2008 m. tik dvi, nors turimais duomenimis, tokių auginimo vietų gali būti ir daugiau.</w:t>
      </w:r>
    </w:p>
    <w:p w:rsidR="00DD08F5" w:rsidRDefault="00DD08F5" w:rsidP="00DD08F5">
      <w:pPr>
        <w:ind w:firstLine="720"/>
        <w:jc w:val="both"/>
      </w:pPr>
      <w:r>
        <w:t>Šalyje platinamos kanapės, užaugintos Lietuvoje ir atvežtos iš Nyderlandų.</w:t>
      </w:r>
    </w:p>
    <w:p w:rsidR="00DD08F5" w:rsidRDefault="00DD08F5" w:rsidP="00DD08F5">
      <w:pPr>
        <w:jc w:val="both"/>
        <w:rPr>
          <w:color w:val="0000FF"/>
        </w:rPr>
      </w:pPr>
    </w:p>
    <w:p w:rsidR="00DD08F5" w:rsidRDefault="00DD08F5" w:rsidP="00DD08F5">
      <w:pPr>
        <w:jc w:val="both"/>
        <w:rPr>
          <w:b/>
          <w:i/>
          <w:color w:val="0000FF"/>
        </w:rPr>
      </w:pPr>
    </w:p>
    <w:p w:rsidR="00DD08F5" w:rsidRDefault="00DD08F5" w:rsidP="00DD08F5">
      <w:pPr>
        <w:jc w:val="right"/>
        <w:rPr>
          <w:b/>
          <w:i/>
          <w:color w:val="0000FF"/>
        </w:rPr>
      </w:pPr>
      <w:r>
        <w:rPr>
          <w:b/>
          <w:i/>
          <w:color w:val="0000FF"/>
        </w:rPr>
        <w:t>Amfetamino tipo stimuliuojančios medžiagos</w:t>
      </w:r>
    </w:p>
    <w:p w:rsidR="00DD08F5" w:rsidRDefault="00344E26" w:rsidP="00DD08F5">
      <w:pPr>
        <w:ind w:firstLine="741"/>
        <w:jc w:val="both"/>
      </w:pPr>
      <w:r>
        <w:rPr>
          <w:noProof/>
        </w:rPr>
        <w:pict>
          <v:shape id="_x0000_s1087" type="#_x0000_t75" style="position:absolute;left:0;text-align:left;margin-left:-9pt;margin-top:1.15pt;width:197.25pt;height:181.5pt;z-index:251722752">
            <v:imagedata r:id="rId130" o:title=""/>
            <w10:wrap type="square"/>
          </v:shape>
          <o:OLEObject Type="Embed" ProgID="MSPhotoEd.3" ShapeID="_x0000_s1087" DrawAspect="Content" ObjectID="_1488359252" r:id="rId131"/>
        </w:pict>
      </w:r>
    </w:p>
    <w:p w:rsidR="00DD08F5" w:rsidRDefault="00DD08F5" w:rsidP="00DD08F5">
      <w:pPr>
        <w:ind w:firstLine="741"/>
        <w:jc w:val="both"/>
      </w:pPr>
    </w:p>
    <w:p w:rsidR="00DD08F5" w:rsidRDefault="00DD08F5" w:rsidP="00DD08F5">
      <w:pPr>
        <w:ind w:firstLine="741"/>
        <w:jc w:val="both"/>
      </w:pPr>
      <w:r>
        <w:t>Amfetamino tipo stimuliuojančios medžiagos (ATS), kaip ir ankstesniais metais, išlieka vienos populiariausių šalyje. Nemaža dalis šių medžiagų yra atvežamos iš užsienio valstybių. Remiantis sulaikymais bei kita informacija galima patvirtinti faktą, kad šalyje yra nelegali metamfetamino ir amfetamino gamyba, tačiau ji nėra didelė. Reikia atkreipti dėmesį, kad lietuvių kurjerių gabenamas amfetaminas dažnai yra ne lietuviškos kilmės.</w:t>
      </w:r>
    </w:p>
    <w:p w:rsidR="00DD08F5" w:rsidRDefault="00DD08F5" w:rsidP="00DD08F5">
      <w:pPr>
        <w:ind w:firstLine="741"/>
        <w:jc w:val="both"/>
      </w:pPr>
    </w:p>
    <w:p w:rsidR="00DD08F5" w:rsidRDefault="00DD08F5" w:rsidP="00DD08F5">
      <w:pPr>
        <w:ind w:firstLine="741"/>
        <w:jc w:val="both"/>
      </w:pPr>
      <w:r>
        <w:t xml:space="preserve">2008 m. buvo aptikta viena nelegali amfetamino laboratorija, kurioje pagaminta produkcija keliaudavo į Skandinaviją. Sulaikyti 3 asmenys, išimta daugiau kaip pusė kilogramo pagaminto amfetamino. Gamybos vietoje aptiktas didelis kiekis atliekų, supakuotų į plastikinius maišus. Ekspertų nuomone, gamintojai žinojo, kad atliekose dar yra amfetamino, todėl neskubėjo jomis atsikratyti. Įdomus faktas, kad vietoj filtrų jie naudojo džinsines kelnes, kurios taip pat buvo sukrautos į tuos maišus. Atliekose (151,5 kg) kriminalistinių tyrimų specialistai surado 8,9 kg amfetamino. </w:t>
      </w:r>
    </w:p>
    <w:p w:rsidR="00DD08F5" w:rsidRDefault="00DD08F5" w:rsidP="00DD08F5">
      <w:pPr>
        <w:ind w:firstLine="720"/>
        <w:jc w:val="both"/>
      </w:pPr>
    </w:p>
    <w:p w:rsidR="00DD08F5" w:rsidRDefault="00DD08F5" w:rsidP="00DD08F5">
      <w:pPr>
        <w:ind w:firstLine="720"/>
        <w:jc w:val="both"/>
      </w:pPr>
      <w:r>
        <w:rPr>
          <w:noProof/>
          <w:lang w:eastAsia="lt-LT"/>
        </w:rPr>
        <w:lastRenderedPageBreak/>
        <w:drawing>
          <wp:anchor distT="0" distB="0" distL="114300" distR="114300" simplePos="0" relativeHeight="251712512" behindDoc="0" locked="0" layoutInCell="1" allowOverlap="1">
            <wp:simplePos x="0" y="0"/>
            <wp:positionH relativeFrom="column">
              <wp:posOffset>-228600</wp:posOffset>
            </wp:positionH>
            <wp:positionV relativeFrom="page">
              <wp:posOffset>1748790</wp:posOffset>
            </wp:positionV>
            <wp:extent cx="6174105" cy="2491740"/>
            <wp:effectExtent l="0" t="5715" r="3810" b="0"/>
            <wp:wrapSquare wrapText="bothSides"/>
            <wp:docPr id="90" name="Diagrama 9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14:sizeRelH relativeFrom="page">
              <wp14:pctWidth>0</wp14:pctWidth>
            </wp14:sizeRelH>
            <wp14:sizeRelV relativeFrom="page">
              <wp14:pctHeight>0</wp14:pctHeight>
            </wp14:sizeRelV>
          </wp:anchor>
        </w:drawing>
      </w:r>
      <w:r w:rsidR="00344E26">
        <w:rPr>
          <w:noProof/>
        </w:rPr>
        <w:pict>
          <v:shape id="_x0000_s1088" type="#_x0000_t75" style="position:absolute;left:0;text-align:left;margin-left:-45pt;margin-top:209.4pt;width:221.25pt;height:171pt;z-index:251723776;mso-position-horizontal-relative:text;mso-position-vertical-relative:text">
            <v:imagedata r:id="rId133" o:title=""/>
            <w10:wrap type="square"/>
          </v:shape>
          <o:OLEObject Type="Embed" ProgID="MSPhotoEd.3" ShapeID="_x0000_s1088" DrawAspect="Content" ObjectID="_1488359253" r:id="rId134"/>
        </w:pict>
      </w:r>
      <w:r>
        <w:t>Kaip rodo visi mūsų nagrinėjami rodikliai, šalyje dažniau vartojamas metamfetaminas, negu amfetaminas. Vartotojai, ypač bandantys medžiagas tik kartais, dažnai neatskiria ar vartoja amfetaminą, ar metamfetaminą, o ir platintojai nevengia abi medžiagas vadinti amfetaminu, nes daugeliui tai labiau girdėta medžiaga, negu metamfetaminas. Šios medžiagos labai panašios: abi priklauso fenetilaminų šeimai, abi medžiagos yra centrinę nervų sistemą stimuliuojančios, vienodas veikimo mechanizmas, poveikis elgesiui, tolerancija, ilgo (chroniško) veikimo pasekmės taip pat vienodos. Skirtumas bene vienintelis, kad metamfetaminas yra stipresnis negu amfetaminas ir sunkesnė abstinencija.</w:t>
      </w:r>
    </w:p>
    <w:p w:rsidR="00DD08F5" w:rsidRDefault="00DD08F5" w:rsidP="00DD08F5">
      <w:pPr>
        <w:ind w:firstLine="720"/>
        <w:jc w:val="both"/>
      </w:pPr>
    </w:p>
    <w:p w:rsidR="00DD08F5" w:rsidRDefault="00DD08F5" w:rsidP="00DD08F5">
      <w:pPr>
        <w:ind w:firstLine="720"/>
        <w:jc w:val="both"/>
      </w:pPr>
      <w:r>
        <w:rPr>
          <w:noProof/>
          <w:lang w:eastAsia="lt-LT"/>
        </w:rPr>
        <w:drawing>
          <wp:anchor distT="0" distB="0" distL="114300" distR="114300" simplePos="0" relativeHeight="251713536" behindDoc="0" locked="0" layoutInCell="1" allowOverlap="1">
            <wp:simplePos x="0" y="0"/>
            <wp:positionH relativeFrom="column">
              <wp:posOffset>-457200</wp:posOffset>
            </wp:positionH>
            <wp:positionV relativeFrom="paragraph">
              <wp:posOffset>137160</wp:posOffset>
            </wp:positionV>
            <wp:extent cx="6517005" cy="2743200"/>
            <wp:effectExtent l="0" t="0" r="3810" b="3810"/>
            <wp:wrapSquare wrapText="bothSides"/>
            <wp:docPr id="89" name="Diagrama 8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14:sizeRelH relativeFrom="page">
              <wp14:pctWidth>0</wp14:pctWidth>
            </wp14:sizeRelH>
            <wp14:sizeRelV relativeFrom="page">
              <wp14:pctHeight>0</wp14:pctHeight>
            </wp14:sizeRelV>
          </wp:anchor>
        </w:drawing>
      </w:r>
      <w:r>
        <w:t xml:space="preserve"> </w:t>
      </w:r>
    </w:p>
    <w:p w:rsidR="00DD08F5" w:rsidRDefault="00DD08F5" w:rsidP="00DD08F5">
      <w:pPr>
        <w:ind w:firstLine="720"/>
        <w:jc w:val="both"/>
      </w:pPr>
      <w:r>
        <w:t>2008 metais ATS medžiagų kontrabandos keliai iš esmės nepakito. Ecstasy dažniausiai yra gabenamas iš Nyderlandų ir Belgijos. Dalis šios medžiagos lieka Lietuvoje, o kita dalis gabenama į Rytus, t.y. Baltarusiją ir Rusiją. Amfetaminas ir metamfetaminas per/iš Lietuvos dažniausiai vežamas į Skandinavijos valstybes, o taip ir į Rusiją bei Baltarusiją.</w:t>
      </w:r>
    </w:p>
    <w:p w:rsidR="00DD08F5" w:rsidRDefault="00DD08F5" w:rsidP="00DD08F5">
      <w:pPr>
        <w:ind w:firstLine="1296"/>
        <w:jc w:val="both"/>
      </w:pPr>
    </w:p>
    <w:p w:rsidR="00DD08F5" w:rsidRDefault="00DD08F5" w:rsidP="00DD08F5">
      <w:pPr>
        <w:ind w:firstLine="1296"/>
        <w:jc w:val="both"/>
      </w:pPr>
    </w:p>
    <w:p w:rsidR="00DD08F5" w:rsidRDefault="00DD08F5" w:rsidP="00DD08F5">
      <w:pPr>
        <w:rPr>
          <w:b/>
          <w:i/>
          <w:color w:val="0000FF"/>
        </w:rPr>
      </w:pPr>
      <w:r>
        <w:rPr>
          <w:b/>
          <w:i/>
          <w:color w:val="0000FF"/>
        </w:rPr>
        <w:t xml:space="preserve">Heroinas </w:t>
      </w:r>
    </w:p>
    <w:p w:rsidR="00DD08F5" w:rsidRDefault="00DD08F5" w:rsidP="00DD08F5">
      <w:pPr>
        <w:rPr>
          <w:b/>
          <w:caps/>
          <w:color w:val="0000FF"/>
        </w:rPr>
      </w:pPr>
    </w:p>
    <w:p w:rsidR="00DD08F5" w:rsidRDefault="00344E26" w:rsidP="00DD08F5">
      <w:pPr>
        <w:ind w:firstLine="720"/>
        <w:jc w:val="both"/>
      </w:pPr>
      <w:r>
        <w:rPr>
          <w:noProof/>
        </w:rPr>
        <w:pict>
          <v:shape id="_x0000_s1091" type="#_x0000_t75" style="position:absolute;left:0;text-align:left;margin-left:0;margin-top:6.6pt;width:234pt;height:156pt;z-index:-251589632">
            <v:imagedata r:id="rId136" o:title=""/>
            <w10:wrap type="square"/>
          </v:shape>
          <o:OLEObject Type="Embed" ProgID="MSPhotoEd.3" ShapeID="_x0000_s1091" DrawAspect="Content" ObjectID="_1488359254" r:id="rId137"/>
        </w:pict>
      </w:r>
    </w:p>
    <w:p w:rsidR="00DD08F5" w:rsidRDefault="00DD08F5" w:rsidP="00DD08F5">
      <w:pPr>
        <w:ind w:firstLine="720"/>
        <w:jc w:val="both"/>
      </w:pPr>
      <w:r>
        <w:t xml:space="preserve">Afganistanas – pagrindinis heroino gamintojas ir tiekėjas. Pagal Jungtinių Tautų Narkotikų ir nusikalstamumo biuro duomenis Afganistane jau keli metai iš eilės mažėja auginamų aguonų plotai, tačiau  pagaminamo opijaus ir heroino kiekis vis dar viršija pasaulinę paklausą. </w:t>
      </w:r>
      <w:r>
        <w:lastRenderedPageBreak/>
        <w:t xml:space="preserve">2008 metais aguonų laukų sumažėjo 19 %,  gamyba sumažėjo 6 %.   </w:t>
      </w:r>
    </w:p>
    <w:p w:rsidR="00DD08F5" w:rsidRDefault="00DD08F5" w:rsidP="00DD08F5">
      <w:pPr>
        <w:ind w:firstLine="720"/>
        <w:jc w:val="both"/>
      </w:pPr>
    </w:p>
    <w:p w:rsidR="00DD08F5" w:rsidRDefault="00DD08F5" w:rsidP="00DD08F5">
      <w:pPr>
        <w:ind w:firstLine="720"/>
        <w:jc w:val="both"/>
      </w:pPr>
      <w:r>
        <w:rPr>
          <w:noProof/>
          <w:lang w:eastAsia="lt-LT"/>
        </w:rPr>
        <mc:AlternateContent>
          <mc:Choice Requires="wps">
            <w:drawing>
              <wp:anchor distT="0" distB="0" distL="114300" distR="114300" simplePos="0" relativeHeight="251721728" behindDoc="0" locked="0" layoutInCell="1" allowOverlap="1">
                <wp:simplePos x="0" y="0"/>
                <wp:positionH relativeFrom="column">
                  <wp:posOffset>-2514600</wp:posOffset>
                </wp:positionH>
                <wp:positionV relativeFrom="paragraph">
                  <wp:posOffset>45720</wp:posOffset>
                </wp:positionV>
                <wp:extent cx="2400300" cy="236220"/>
                <wp:effectExtent l="13335" t="5715" r="5715" b="5715"/>
                <wp:wrapNone/>
                <wp:docPr id="88" name="Teksto laukas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362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F7425" w:rsidRDefault="004F7425" w:rsidP="00DD08F5">
                            <w:pPr>
                              <w:rPr>
                                <w:b/>
                                <w:color w:val="0000FF"/>
                                <w:sz w:val="20"/>
                                <w:szCs w:val="20"/>
                              </w:rPr>
                            </w:pPr>
                            <w:r>
                              <w:rPr>
                                <w:b/>
                                <w:color w:val="0000FF"/>
                                <w:sz w:val="20"/>
                                <w:szCs w:val="20"/>
                              </w:rPr>
                              <w:t>2,8 kg heroino  atgabento iš Kirgizijos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88" o:spid="_x0000_s1048" type="#_x0000_t202" style="position:absolute;left:0;text-align:left;margin-left:-198pt;margin-top:3.6pt;width:189pt;height:18.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" filled="f">
                <v:textbox>
                  <w:txbxContent>
                    <w:p w:rsidR="004F7425" w:rsidRDefault="004F7425" w:rsidP="00DD08F5">
                      <w:pPr>
                        <w:rPr>
                          <w:b/>
                          <w:color w:val="0000FF"/>
                          <w:sz w:val="20"/>
                          <w:szCs w:val="20"/>
                        </w:rPr>
                      </w:pPr>
                      <w:r>
                        <w:rPr>
                          <w:b/>
                          <w:color w:val="0000FF"/>
                          <w:sz w:val="20"/>
                          <w:szCs w:val="20"/>
                        </w:rPr>
                        <w:t>2,8 kg heroino  atgabento iš Kirgizijos</w:t>
                      </w:r>
                    </w:p>
                  </w:txbxContent>
                </v:textbox>
              </v:shape>
            </w:pict>
          </mc:Fallback>
        </mc:AlternateContent>
      </w: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r>
        <w:t xml:space="preserve">Ankstesnėje Apžvalgoje esame rašę, kad heroinas sparčiai skverbiasi į šalies nelegalią narkotikų rinką, 2008 m. sulaikymai ir kita turima informacija, tai patvirtina. 14 kg heroino- sėkmingo pareigūnų darbo rezultatas. Per metus buvo sulaikytos kelios didelės heroino partijos: 2,8 kg, 5 kg, 1 kg, 2 kg. Heroinas gatvės prekyboje vyrauja Vilniuje, Kaune, Klaipėdoje, Alytuje. </w:t>
      </w:r>
    </w:p>
    <w:p w:rsidR="00DD08F5" w:rsidRDefault="00DD08F5" w:rsidP="00DD08F5">
      <w:pPr>
        <w:ind w:firstLine="720"/>
        <w:jc w:val="both"/>
      </w:pPr>
      <w:r>
        <w:rPr>
          <w:noProof/>
          <w:lang w:eastAsia="lt-LT"/>
        </w:rPr>
        <w:drawing>
          <wp:anchor distT="0" distB="0" distL="114300" distR="114300" simplePos="0" relativeHeight="251711488" behindDoc="0" locked="0" layoutInCell="1" allowOverlap="1">
            <wp:simplePos x="0" y="0"/>
            <wp:positionH relativeFrom="column">
              <wp:posOffset>114300</wp:posOffset>
            </wp:positionH>
            <wp:positionV relativeFrom="paragraph">
              <wp:posOffset>252095</wp:posOffset>
            </wp:positionV>
            <wp:extent cx="6001385" cy="3086100"/>
            <wp:effectExtent l="3810" t="0" r="0" b="0"/>
            <wp:wrapSquare wrapText="bothSides"/>
            <wp:docPr id="87" name="Diagrama 8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14:sizeRelH relativeFrom="page">
              <wp14:pctWidth>0</wp14:pctWidth>
            </wp14:sizeRelH>
            <wp14:sizeRelV relativeFrom="page">
              <wp14:pctHeight>0</wp14:pctHeight>
            </wp14:sizeRelV>
          </wp:anchor>
        </w:drawing>
      </w:r>
    </w:p>
    <w:p w:rsidR="00DD08F5" w:rsidRDefault="00DD08F5" w:rsidP="00DD08F5">
      <w:pPr>
        <w:ind w:firstLine="720"/>
        <w:jc w:val="both"/>
      </w:pPr>
      <w:r>
        <w:t xml:space="preserve">Heroino kontrabandos maršrutai nesikeičia, į Lietuvą jis atgabenamas iš V.Azijos per Rusiją ir Baltarusiją. Toliau gabenamas į Rusijos Federacijos Kaliningrado sritį bei Vakarų Europą. Vidurinės Azijos šalių piliečiai, atvykstantys į Lietuvą pirkti naudotų automobilių, atgabena ir heroiną. </w:t>
      </w:r>
    </w:p>
    <w:p w:rsidR="00DD08F5" w:rsidRDefault="00DD08F5" w:rsidP="00DD08F5">
      <w:pPr>
        <w:ind w:firstLine="720"/>
        <w:jc w:val="both"/>
        <w:rPr>
          <w:color w:val="99CC00"/>
        </w:rPr>
      </w:pPr>
    </w:p>
    <w:p w:rsidR="00DD08F5" w:rsidRDefault="00DD08F5" w:rsidP="00DD08F5">
      <w:pPr>
        <w:rPr>
          <w:b/>
          <w:i/>
          <w:caps/>
          <w:color w:val="0000FF"/>
        </w:rPr>
      </w:pPr>
    </w:p>
    <w:p w:rsidR="00DD08F5" w:rsidRDefault="00DD08F5" w:rsidP="00DD08F5">
      <w:pPr>
        <w:rPr>
          <w:b/>
          <w:i/>
          <w:caps/>
          <w:color w:val="0000FF"/>
        </w:rPr>
      </w:pPr>
    </w:p>
    <w:p w:rsidR="00DD08F5" w:rsidRDefault="00DD08F5" w:rsidP="00DD08F5">
      <w:pPr>
        <w:rPr>
          <w:b/>
          <w:i/>
          <w:caps/>
          <w:color w:val="0000FF"/>
        </w:rPr>
      </w:pPr>
    </w:p>
    <w:p w:rsidR="00DD08F5" w:rsidRDefault="00DD08F5" w:rsidP="00DD08F5">
      <w:pPr>
        <w:rPr>
          <w:b/>
          <w:i/>
          <w:color w:val="0000FF"/>
        </w:rPr>
      </w:pPr>
      <w:r>
        <w:rPr>
          <w:b/>
          <w:i/>
          <w:color w:val="0000FF"/>
        </w:rPr>
        <w:t>Kokainas</w:t>
      </w:r>
    </w:p>
    <w:p w:rsidR="00DD08F5" w:rsidRDefault="00DD08F5" w:rsidP="00DD08F5">
      <w:pPr>
        <w:pStyle w:val="Pagrindinistekstas"/>
        <w:ind w:firstLine="720"/>
      </w:pPr>
    </w:p>
    <w:p w:rsidR="00DD08F5" w:rsidRDefault="00344E26" w:rsidP="00DD08F5">
      <w:pPr>
        <w:pStyle w:val="Pagrindinistekstas"/>
        <w:ind w:firstLine="720"/>
      </w:pPr>
      <w:r>
        <w:rPr>
          <w:noProof/>
        </w:rPr>
        <w:pict>
          <v:shape id="_x0000_s1089" type="#_x0000_t75" style="position:absolute;left:0;text-align:left;margin-left:261pt;margin-top:-.6pt;width:209.25pt;height:156.75pt;z-index:251724800">
            <v:imagedata r:id="rId139" o:title=""/>
            <w10:wrap type="square"/>
          </v:shape>
          <o:OLEObject Type="Embed" ProgID="MSPhotoEd.3" ShapeID="_x0000_s1089" DrawAspect="Content" ObjectID="_1488359255" r:id="rId140"/>
        </w:pict>
      </w:r>
      <w:r w:rsidR="00DD08F5">
        <w:t xml:space="preserve">Kokainas Lietuvoje brangiausias narkotikas, anksčiau manyta, kad jį vartoja tik tam tikrą visuomenės sluoksnį atstovaujantys asmenys, tačiau praktika rodo, kad dabar šį narkotiką gali vartoti bet kas, galintis jį įpirkti. Prieš kelis metus kokainas nebuvo platinamas „taškuose“ ar mažesniuose šalies miesteliuose, jo galima buvo nusipirkti tik per pažįstamus didmiesčiuose, retas tiekėjas galėjo pasigirti, kad gali pasiūlyti „prabangią prekę“. Pastaruoju metu kokaino galima nusipirkti ir narkotikų platinimo taškuose, kur pardavinėja ir kitus narkotikus (analizė atlikta pagal Apskričių VPK Organizuoto nusikalstamumo tyrimo padalinių ataskaitose pateiktus duomenis). Nedidelį kokaino apyvartos didėjimą galima paaiškinti ankstesnių metų gera ekonomine situacija, ES vyraujančia kokaino vartojimo augimo tendencija, didėjančiu Lietuvos piliečių kaip kokaino kurjerių aktyvumu bei istoriškai susiklosčiusia tam tikrų organizuotų grupuočių ar su jomis tik palaikančių ryšius asmenų organizuojama kokaino kontrabanda iš P.Amerikos per Lietuvą į Vakarų Europą arba Rusija. </w:t>
      </w:r>
    </w:p>
    <w:p w:rsidR="00DD08F5" w:rsidRDefault="00344E26" w:rsidP="00DD08F5">
      <w:pPr>
        <w:pStyle w:val="Pagrindinistekstas"/>
        <w:ind w:firstLine="720"/>
        <w:rPr>
          <w:i/>
        </w:rPr>
      </w:pPr>
      <w:r>
        <w:rPr>
          <w:noProof/>
        </w:rPr>
        <w:lastRenderedPageBreak/>
        <w:pict>
          <v:shape id="_x0000_s1090" type="#_x0000_t75" style="position:absolute;left:0;text-align:left;margin-left:-9pt;margin-top:-52.2pt;width:215.25pt;height:161.25pt;z-index:251725824">
            <v:imagedata r:id="rId141" o:title=""/>
            <w10:wrap type="square"/>
          </v:shape>
          <o:OLEObject Type="Embed" ProgID="MSPhotoEd.3" ShapeID="_x0000_s1090" DrawAspect="Content" ObjectID="_1488359256" r:id="rId142"/>
        </w:pict>
      </w:r>
      <w:r w:rsidR="00DD08F5">
        <w:t xml:space="preserve">2008 metų tarptautinė operacija įrodė, kad Klaipėdos uostas yra naudojamas narkotikų kontrabandai. Tyrimo metu buvo sužinota, kad į Klaipėdos jūrų uostą atplaukia krovinys iš Panamos -trys konteineriai, skirti vienai bendrovei, registruotai Kaune. Buvo žinoma, kad kuriame nors iš trijų konteinerių gali būti paslėptas kokainas. Praktika rodo, kad kokaino slėpimui yra pasitelkiama didelė fantazija. Dar 1998 metais į Lietuvą buvo atsiųsta 18 kg juodojo kokaino, atrodančio kaip spausdintuvų milteliai, tuo metu tai buvo trečias žinomas toks maskavimo būdas pasaulyje. Nemažiau išradingai buvo paslėptas kokainas ir šį kartą. Kokainas sumaišytas su guma ir paslėptas plastmasinių palečių (ant kurių buvo sukrauti daiktai) lentose. Kad lentos yra įtartinos išdavė tik per didelis vinių skylių skaičius jose, t.y. buvo matyti, kad jos kaltos antrą kartą. Vienoje lentoje paslėptoje gumos su kokainu masėje buvo  720 gr gryno kokaino. Iš viso išimta iš apyvartos 40 kg kokaino. </w:t>
      </w:r>
    </w:p>
    <w:p w:rsidR="00DD08F5" w:rsidRDefault="00DD08F5" w:rsidP="00DD08F5">
      <w:pPr>
        <w:pStyle w:val="Pagrindinistekstas"/>
        <w:ind w:firstLine="720"/>
      </w:pPr>
      <w:r>
        <w:t xml:space="preserve">Plačiau apie kokaino tendencijas Europoje ir pasaulyje esame aprašę praėjusių metų Apžvalgoje. </w:t>
      </w:r>
    </w:p>
    <w:p w:rsidR="00DD08F5" w:rsidRDefault="00DD08F5" w:rsidP="00DD08F5">
      <w:pPr>
        <w:pStyle w:val="Sraopastraipa1"/>
        <w:rPr>
          <w:b/>
          <w:i/>
          <w:caps/>
          <w:color w:val="008000"/>
        </w:rPr>
      </w:pPr>
    </w:p>
    <w:p w:rsidR="00DD08F5" w:rsidRDefault="00DD08F5" w:rsidP="00DD08F5">
      <w:pPr>
        <w:rPr>
          <w:b/>
          <w:i/>
          <w:color w:val="0000FF"/>
        </w:rPr>
      </w:pPr>
      <w:r>
        <w:rPr>
          <w:b/>
          <w:i/>
          <w:color w:val="0000FF"/>
        </w:rPr>
        <w:t>Kitos psichoaktyvios medžiagos</w:t>
      </w:r>
    </w:p>
    <w:p w:rsidR="00DD08F5" w:rsidRDefault="00DD08F5" w:rsidP="00DD08F5">
      <w:pPr>
        <w:jc w:val="center"/>
        <w:rPr>
          <w:b/>
          <w:caps/>
          <w:color w:val="0000FF"/>
        </w:rPr>
      </w:pPr>
    </w:p>
    <w:p w:rsidR="00DD08F5" w:rsidRDefault="00DD08F5" w:rsidP="00DD08F5">
      <w:pPr>
        <w:ind w:firstLine="720"/>
        <w:jc w:val="both"/>
        <w:rPr>
          <w:rFonts w:ascii="Tahoma" w:hAnsi="Tahoma" w:cs="Tahoma"/>
          <w:color w:val="000000"/>
          <w:sz w:val="17"/>
          <w:szCs w:val="17"/>
        </w:rPr>
      </w:pPr>
      <w:r>
        <w:t xml:space="preserve">2007 metų Apžvalgoje plačiai esame aprašę Kvaitulinį šalaviją ir nitritų mišinius, kuriais buvo prekiaujama internetu, o 2008 metais ir ne tik virtualiose parduotuvėse. Per praėjusius metus policijos pareigūnai atlikę patikrinimus  tokiose parduotuvėse Vilniuje, Kaune, Klaipėdoje, Panevėžyje bei Kretingos rajone pradėjo 5 ikiteisminius tyrimus. </w:t>
      </w:r>
    </w:p>
    <w:p w:rsidR="00DD08F5" w:rsidRDefault="00DD08F5" w:rsidP="00DD08F5">
      <w:pPr>
        <w:pStyle w:val="prastasistinklapis"/>
        <w:spacing w:before="0" w:beforeAutospacing="0" w:after="0" w:afterAutospacing="0"/>
        <w:ind w:firstLine="720"/>
        <w:jc w:val="both"/>
      </w:pPr>
      <w:r>
        <w:t xml:space="preserve">Kartais internetinėse bei realiai veikiančiose parduotuvėse prekiaujama medžiagomis, kurių nėra Narkotinių ir psichotropinių medžiagų sąraše, tačiau jomis galima svaigintis. Daugelis tų medžiagų yra plataus vartojimo prekės, pvz. smilkalai arba arbatų mišiniai,  todėl jų prekyba gali būti legali, jeigu tų produktų sudedamosios dalys neįtrauktos į pavojingų medžiagų ar kitus kontroliuojamų medžiagų  sąrašus. </w:t>
      </w:r>
    </w:p>
    <w:p w:rsidR="00DD08F5" w:rsidRDefault="00DD08F5" w:rsidP="00DD08F5">
      <w:pPr>
        <w:ind w:firstLine="720"/>
        <w:jc w:val="both"/>
      </w:pPr>
      <w:r>
        <w:t xml:space="preserve">Siekiant maksimaliai apriboti tokių medžiagų prekybą šalyje Valstybinė ne maisto produktų inspekcija ėmėsi griežtos minėtų produktų kontrolės, t.y. nustatyti ar nėra tuose gaminiuose pavojingų medžiagų. 2009 metais Valstybinės ne maisto produktų inspekcijos sprendimu jau yra uždrausta šių produktų: Odos gaminių valiklį „AMSTERDAM SPECIAL“,Odos gaminių valiklį „JUNGLE JUICE PLATINUM“, prekyba. Nustatyta, kad  šie produktai kelia cheminį pavojų, o jų rizika- didelė. Dėl dar 19 produktų Valstybinės ne maisto produktų inspekcija priėmė sprendimą laikinai draudžiantį UAB „Viltis“ tiekti, siūlyti tiekti į rinką ir demonstruoti produktus kol bus atlikti jų saugos įvertinimai, patikrinimai ir kontrolė, valstybinė produktų saugos ekspertizė. Daugiau informacijos galima rasti adresu: </w:t>
      </w:r>
      <w:hyperlink r:id="rId143" w:history="1">
        <w:r>
          <w:rPr>
            <w:rStyle w:val="Hipersaitas"/>
            <w:rFonts w:eastAsia="Courier New"/>
          </w:rPr>
          <w:t>http://www.vnmpi.lt</w:t>
        </w:r>
      </w:hyperlink>
      <w:r>
        <w:t xml:space="preserve">. </w:t>
      </w:r>
    </w:p>
    <w:p w:rsidR="00DD08F5" w:rsidRDefault="00DD08F5" w:rsidP="00DD08F5">
      <w:pPr>
        <w:ind w:firstLine="720"/>
        <w:jc w:val="both"/>
      </w:pPr>
      <w:r>
        <w:t xml:space="preserve">Produktai netinkamai naudoti ne pagal paskirtį gali būti pavojingi. </w:t>
      </w:r>
      <w:r>
        <w:rPr>
          <w:color w:val="000000"/>
        </w:rPr>
        <w:t>Iki šiol Lietuvoje platinti smilkalai, žolių mišiniai, žinomi kaip „Spice“, pavojingi produktai žmogaus sveikatai – gali sukelti ne tik psichinius sutrikimus, bet ir riziką susirgti plaučių vėžiu, širdies ir kraujagyslių sistemos ligomis.Gali pasireikšti staigūs kraujospūdžio ir pulso ritmo sutrikimai, kraujo išsiliejimas į smegenis, ilgalaikiai atminties sutrikimai, kvėpavimo, širdies veiklos sutrikimai, sutrinka kepenų ir inkstų veikla.</w:t>
      </w:r>
    </w:p>
    <w:p w:rsidR="00DD08F5" w:rsidRDefault="00DD08F5" w:rsidP="00DD08F5">
      <w:pPr>
        <w:pStyle w:val="prastasistinklapis"/>
        <w:spacing w:before="0" w:beforeAutospacing="0" w:after="0" w:afterAutospacing="0"/>
        <w:ind w:firstLine="720"/>
        <w:jc w:val="both"/>
      </w:pPr>
      <w:r>
        <w:rPr>
          <w:noProof/>
        </w:rPr>
        <w:drawing>
          <wp:anchor distT="0" distB="0" distL="114300" distR="114300" simplePos="0" relativeHeight="251727872" behindDoc="0" locked="0" layoutInCell="1" allowOverlap="1">
            <wp:simplePos x="0" y="0"/>
            <wp:positionH relativeFrom="column">
              <wp:posOffset>4114800</wp:posOffset>
            </wp:positionH>
            <wp:positionV relativeFrom="paragraph">
              <wp:posOffset>922020</wp:posOffset>
            </wp:positionV>
            <wp:extent cx="2057400" cy="1944370"/>
            <wp:effectExtent l="0" t="0" r="0" b="0"/>
            <wp:wrapSquare wrapText="bothSides"/>
            <wp:docPr id="86" name="Paveikslėlis 86" descr="Kratom_2012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Kratom_2012_heade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057400" cy="1944370"/>
                    </a:xfrm>
                    <a:prstGeom prst="rect">
                      <a:avLst/>
                    </a:prstGeom>
                    <a:noFill/>
                    <a:ln>
                      <a:noFill/>
                    </a:ln>
                  </pic:spPr>
                </pic:pic>
              </a:graphicData>
            </a:graphic>
            <wp14:sizeRelH relativeFrom="page">
              <wp14:pctWidth>0</wp14:pctWidth>
            </wp14:sizeRelH>
            <wp14:sizeRelV relativeFrom="page">
              <wp14:pctHeight>0</wp14:pctHeight>
            </wp14:sizeRelV>
          </wp:anchor>
        </w:drawing>
      </w:r>
      <w:r>
        <w:t>Nekontroliuojamų psichoaktyvių medžiagų vartojimas nėra naujiena, tačiau toks veržlumas Lietuvos rinkoje nustebino daugelį. Narkotikų kontrolės departamento prie LRV ir teisėsaugos institucijų bendromis pastangomis į Lietuvos kontroliuojjamų narkotikų sąrašus buvo įtrauktas ne tik Kvaitulinis šalavijas, jo ekstraktas ir veiklioji medžiaga Salvinorinas A, bet ir Puošnioji vožtė (</w:t>
      </w:r>
      <w:r>
        <w:rPr>
          <w:i/>
        </w:rPr>
        <w:t>Kratom/Mitragyna speciosa</w:t>
      </w:r>
      <w:r>
        <w:t xml:space="preserve">) ir Mitragininas. </w:t>
      </w:r>
    </w:p>
    <w:p w:rsidR="00DD08F5" w:rsidRDefault="00DD08F5" w:rsidP="00DD08F5">
      <w:pPr>
        <w:ind w:firstLine="720"/>
        <w:jc w:val="both"/>
      </w:pPr>
      <w:r>
        <w:t xml:space="preserve">Puošnioji vožtė yra medžiai, augantys pietryčių Azijoje, tos pačios </w:t>
      </w:r>
      <w:r>
        <w:rPr>
          <w:i/>
        </w:rPr>
        <w:t>rubiaceae</w:t>
      </w:r>
      <w:r>
        <w:t xml:space="preserve"> šeimos kaip ir kavamedis. Šio augalo vartojimas uždraustas Australijoje, Malaizijoje, Tailande Myanmaryje, tačiau legalus JAV ir daugelyje ES valstybių. </w:t>
      </w:r>
    </w:p>
    <w:p w:rsidR="00DD08F5" w:rsidRDefault="00DD08F5" w:rsidP="00DD08F5">
      <w:pPr>
        <w:ind w:firstLine="720"/>
        <w:jc w:val="both"/>
      </w:pPr>
      <w:r>
        <w:t>Vartojama tik lapai: kramtomi tik žali, nes sausi labai kieti, geriama sausų lapų arbata, labai retai rūkomi (nes reikia daug surūkyti, kad būtų poveikis.)</w:t>
      </w:r>
    </w:p>
    <w:p w:rsidR="00DD08F5" w:rsidRDefault="00DD08F5" w:rsidP="00DD08F5">
      <w:pPr>
        <w:ind w:firstLine="720"/>
        <w:jc w:val="both"/>
      </w:pPr>
      <w:r>
        <w:t xml:space="preserve">Mažos dozės veikia kaip stimuliuojanti medžiaga, o didelės dozės kaip haliucinogenas ir analgetikas. Priklausomai </w:t>
      </w:r>
      <w:r>
        <w:lastRenderedPageBreak/>
        <w:t>nuo dozės gali būti poveikis artimas heroinui, tik lengvesnis. Nuo jo vartojimo išsivysto priklausomybė. Vartojimo pasekmės: svorio praradimas, pigmentinių dėmių atsiradimas, irzlumas, nevaldomas verksmas, chroniška sloga, traukuliai, viduriavimas ir t.t.</w:t>
      </w:r>
    </w:p>
    <w:p w:rsidR="00DD08F5" w:rsidRDefault="00DD08F5" w:rsidP="00DD08F5">
      <w:pPr>
        <w:ind w:firstLine="720"/>
        <w:jc w:val="both"/>
      </w:pPr>
      <w:r>
        <w:rPr>
          <w:noProof/>
          <w:lang w:eastAsia="lt-LT"/>
        </w:rPr>
        <w:drawing>
          <wp:anchor distT="0" distB="0" distL="114300" distR="114300" simplePos="0" relativeHeight="251728896" behindDoc="0" locked="0" layoutInCell="1" allowOverlap="1">
            <wp:simplePos x="0" y="0"/>
            <wp:positionH relativeFrom="column">
              <wp:posOffset>0</wp:posOffset>
            </wp:positionH>
            <wp:positionV relativeFrom="paragraph">
              <wp:posOffset>53975</wp:posOffset>
            </wp:positionV>
            <wp:extent cx="1733550" cy="1675130"/>
            <wp:effectExtent l="0" t="0" r="0" b="1270"/>
            <wp:wrapSquare wrapText="bothSides"/>
            <wp:docPr id="85" name="Paveikslėlis 85" descr="http://tbn0.google.com/images?q=tbn:SO2DGtrtN4wnlM:http://www.salix.cz/rs/image/200502021727_lophophora_wiliamsii_var_decipiens.jpg">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bn0.google.com/images?q=tbn:SO2DGtrtN4wnlM:http://www.salix.cz/rs/image/200502021727_lophophora_wiliamsii_var_decipiens.jpg">
                      <a:hlinkClick r:id="rId145"/>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33550" cy="167513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Muitinės kriminalinės tarnybos pareigūnai dažnai sulaiko neįprastus pašto siuntinius, 2007 metais sulaikė katho siuntą, 2008 metais sulaikė 10 kg džiovintų lapų iš Meksikos, tačiau atlikus tyrimą buvo nustatyta, kad tai kvaitulinis šalavijas, o kadangi augalas dar buvo neįtrauktas į kontroliuojamų medžiagų sąrašus, ikiteisminis tyrimas nepradėtas. Dar vienas siuntinys, sukėlęs įtarimų buvo iš JAV, siuntinyje buvo 130 g puošniosios vožtės. Pradėtas ikiteisminis tyrimas. </w:t>
      </w:r>
    </w:p>
    <w:p w:rsidR="00DD08F5" w:rsidRDefault="00344E26" w:rsidP="00DD08F5">
      <w:pPr>
        <w:ind w:firstLine="720"/>
        <w:jc w:val="both"/>
      </w:pPr>
      <w:r>
        <w:rPr>
          <w:noProof/>
          <w:lang w:val="en-US"/>
        </w:rPr>
        <w:pict>
          <v:shape id="_x0000_s1094" type="#_x0000_t75" style="position:absolute;left:0;text-align:left;margin-left:169.5pt;margin-top:46.85pt;width:166.5pt;height:123pt;z-index:251729920">
            <v:imagedata r:id="rId147" o:title=""/>
            <w10:wrap type="square"/>
          </v:shape>
          <o:OLEObject Type="Embed" ProgID="MSPhotoEd.3" ShapeID="_x0000_s1094" DrawAspect="Content" ObjectID="_1488359257" r:id="rId148"/>
        </w:pict>
      </w:r>
      <w:r w:rsidR="00DD08F5">
        <w:t>Muitinės pareigūnai 2008 metais sulaikė iš Olandijos siunčiamą kaktusą (plastikiniame vazone), po tyrimo paaiškėjo, kad tai meskalino turintis kaktusas. Meskalinas (</w:t>
      </w:r>
      <w:r w:rsidR="00DD08F5">
        <w:rPr>
          <w:i/>
        </w:rPr>
        <w:t>Peyoitl</w:t>
      </w:r>
      <w:r w:rsidR="00DD08F5">
        <w:t>) meksikietiško kaktuso alkaloidas, natūralus haliucinogenas. Ši veiklioji medžiaga sukelia haliucinacijas, dažnai besibaigiančias košmarais. Vartojami sudžiovinti kaktuso griežinėliai. Poveikis artimas LSD.</w:t>
      </w:r>
    </w:p>
    <w:p w:rsidR="00DD08F5" w:rsidRDefault="00DD08F5" w:rsidP="00DD08F5">
      <w:pPr>
        <w:ind w:firstLine="720"/>
        <w:jc w:val="both"/>
      </w:pPr>
      <w:r>
        <w:t>„Pašto siuntų patikrinimai atskleidė naują kontrabandos rūšį: haliucinogeninių grybų arba grybienos kontrabandą. Iš Olandijos buvo siunčiamas substratas: baltos spalvos perlitas, pilkšvai geltonos – vermikulito (mineralo) granulių ir grūdų mišinys. Substrate buvo baltos spalvos plėvelių ir siūlų pavidalo medžiagos.  Lietuvos teismo ekspertizės centro specialistai nustatė, kad tai yra grybiena. Grybų auginimui nieko, išskyrus vandenį nebereikia. Pradėtas ikiteisminis tyrimas dėl neteisėto disponavimo narkotinėmis ir psichotropinėmis medžiagomis, šiuo metu vyksta teisminis bylos nagrinėjimas.</w:t>
      </w:r>
      <w:r>
        <w:rPr>
          <w:rStyle w:val="Puslapioinaosnuoroda"/>
        </w:rPr>
        <w:footnoteReference w:id="22"/>
      </w:r>
    </w:p>
    <w:p w:rsidR="00DD08F5" w:rsidRDefault="00DD08F5" w:rsidP="00DD08F5">
      <w:pPr>
        <w:tabs>
          <w:tab w:val="left" w:pos="225"/>
        </w:tabs>
        <w:jc w:val="center"/>
        <w:rPr>
          <w:b/>
          <w:caps/>
          <w:color w:val="0000FF"/>
        </w:rPr>
      </w:pPr>
    </w:p>
    <w:p w:rsidR="00DD08F5" w:rsidRDefault="00DD08F5" w:rsidP="00DD08F5">
      <w:pPr>
        <w:tabs>
          <w:tab w:val="left" w:pos="225"/>
        </w:tabs>
        <w:jc w:val="center"/>
        <w:rPr>
          <w:b/>
          <w:caps/>
          <w:color w:val="0000FF"/>
        </w:rPr>
      </w:pPr>
    </w:p>
    <w:p w:rsidR="00DD08F5" w:rsidRDefault="00DD08F5" w:rsidP="00DD08F5">
      <w:pPr>
        <w:tabs>
          <w:tab w:val="left" w:pos="225"/>
        </w:tabs>
        <w:jc w:val="center"/>
        <w:rPr>
          <w:b/>
          <w:caps/>
          <w:color w:val="0000FF"/>
        </w:rPr>
      </w:pPr>
      <w:r>
        <w:rPr>
          <w:b/>
          <w:caps/>
          <w:color w:val="0000FF"/>
        </w:rPr>
        <w:t>Lietuvos piliečių nusikalstamos veikos, susijusios su tarptautine neteisėta narkotikų apyvarta</w:t>
      </w:r>
    </w:p>
    <w:p w:rsidR="00DD08F5" w:rsidRDefault="00DD08F5" w:rsidP="00DD08F5">
      <w:pPr>
        <w:jc w:val="center"/>
        <w:rPr>
          <w:b/>
          <w:caps/>
          <w:color w:val="0000FF"/>
        </w:rPr>
      </w:pPr>
    </w:p>
    <w:p w:rsidR="00DD08F5" w:rsidRDefault="00DD08F5" w:rsidP="00DD08F5">
      <w:pPr>
        <w:ind w:firstLine="1296"/>
        <w:jc w:val="both"/>
      </w:pPr>
      <w:r>
        <w:t xml:space="preserve">Šiame skirsnyje pateikiame teisėsaugos institucijoms žinomą informaciją apie Lietuvos piliečių sulaikymus, susijusius su neteisėta narkotikų apyvarta, užsienyje. Apie sulaikymus sužinoma iš giminingų tarnybų užsienyje, Europolo ir Interpolo bei iš Lietuvos diplomatinių atstovybių konsulinės tarnybos. Tačiau ne visos valstybės operatyviai teikia tokią informaciją, ypač jeigu sulaikymas įvyksta kur nors šalies provincijoje, konsulinė tarnyba apie sulaikymus sužino tik kai to prašo sulaikytasis ar dėl kokių nors priežasčių kreipiasi jų artimieji. </w:t>
      </w:r>
    </w:p>
    <w:p w:rsidR="00DD08F5" w:rsidRDefault="00DD08F5" w:rsidP="00DD08F5">
      <w:pPr>
        <w:ind w:firstLine="1296"/>
        <w:jc w:val="both"/>
      </w:pPr>
    </w:p>
    <w:p w:rsidR="00DD08F5" w:rsidRDefault="00DD08F5" w:rsidP="00DD08F5">
      <w:pPr>
        <w:ind w:firstLine="1296"/>
        <w:jc w:val="both"/>
      </w:pPr>
      <w:r>
        <w:rPr>
          <w:noProof/>
          <w:lang w:eastAsia="lt-LT"/>
        </w:rPr>
        <w:drawing>
          <wp:anchor distT="0" distB="0" distL="114300" distR="114300" simplePos="0" relativeHeight="251720704" behindDoc="0" locked="0" layoutInCell="1" allowOverlap="1">
            <wp:simplePos x="0" y="0"/>
            <wp:positionH relativeFrom="column">
              <wp:posOffset>-114300</wp:posOffset>
            </wp:positionH>
            <wp:positionV relativeFrom="paragraph">
              <wp:posOffset>114935</wp:posOffset>
            </wp:positionV>
            <wp:extent cx="6286500" cy="2409825"/>
            <wp:effectExtent l="3810" t="2540" r="0" b="0"/>
            <wp:wrapSquare wrapText="bothSides"/>
            <wp:docPr id="84" name="Diagrama 8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14:sizeRelH relativeFrom="page">
              <wp14:pctWidth>0</wp14:pctWidth>
            </wp14:sizeRelH>
            <wp14:sizeRelV relativeFrom="page">
              <wp14:pctHeight>0</wp14:pctHeight>
            </wp14:sizeRelV>
          </wp:anchor>
        </w:drawing>
      </w:r>
      <w:r>
        <w:t>Lietuvos piliečių neteisėtą veiklą, susijusią su narkotikais, užsienyje apibūdina šie veiksniai:</w:t>
      </w:r>
    </w:p>
    <w:p w:rsidR="00DD08F5" w:rsidRDefault="00DD08F5" w:rsidP="00DD08F5">
      <w:pPr>
        <w:ind w:firstLine="1296"/>
        <w:jc w:val="both"/>
      </w:pPr>
    </w:p>
    <w:p w:rsidR="00DD08F5" w:rsidRDefault="00DD08F5" w:rsidP="00DD08F5">
      <w:pPr>
        <w:numPr>
          <w:ilvl w:val="0"/>
          <w:numId w:val="36"/>
        </w:numPr>
        <w:ind w:hanging="2436"/>
        <w:jc w:val="both"/>
      </w:pPr>
      <w:r>
        <w:t>Amfetamino ir metamfetamino kontrabanda:</w:t>
      </w:r>
    </w:p>
    <w:p w:rsidR="00DD08F5" w:rsidRDefault="00DD08F5" w:rsidP="00DD08F5">
      <w:pPr>
        <w:numPr>
          <w:ilvl w:val="1"/>
          <w:numId w:val="40"/>
        </w:numPr>
        <w:tabs>
          <w:tab w:val="num" w:pos="720"/>
        </w:tabs>
        <w:ind w:hanging="1080"/>
        <w:jc w:val="both"/>
      </w:pPr>
      <w:r>
        <w:t>ketvirtadalis visų sulaikymų yra susiję su šių medžiagų apyvarta,</w:t>
      </w:r>
    </w:p>
    <w:p w:rsidR="00DD08F5" w:rsidRDefault="00DD08F5" w:rsidP="00DD08F5">
      <w:pPr>
        <w:numPr>
          <w:ilvl w:val="1"/>
          <w:numId w:val="40"/>
        </w:numPr>
        <w:tabs>
          <w:tab w:val="num" w:pos="720"/>
        </w:tabs>
        <w:ind w:hanging="1080"/>
        <w:jc w:val="both"/>
      </w:pPr>
      <w:r>
        <w:t xml:space="preserve">pagrindinės kontrabandos kryptys: Skandinavija, Rusija ir Baltarusija </w:t>
      </w:r>
    </w:p>
    <w:p w:rsidR="00DD08F5" w:rsidRDefault="00DD08F5" w:rsidP="00DD08F5">
      <w:pPr>
        <w:ind w:left="360"/>
        <w:jc w:val="both"/>
      </w:pPr>
      <w:r>
        <w:rPr>
          <w:noProof/>
          <w:lang w:eastAsia="lt-LT"/>
        </w:rPr>
        <w:drawing>
          <wp:anchor distT="0" distB="0" distL="114300" distR="114300" simplePos="0" relativeHeight="251717632" behindDoc="0" locked="0" layoutInCell="1" allowOverlap="1">
            <wp:simplePos x="0" y="0"/>
            <wp:positionH relativeFrom="column">
              <wp:posOffset>-114300</wp:posOffset>
            </wp:positionH>
            <wp:positionV relativeFrom="paragraph">
              <wp:posOffset>452120</wp:posOffset>
            </wp:positionV>
            <wp:extent cx="3200400" cy="2120265"/>
            <wp:effectExtent l="3810" t="5715" r="0" b="0"/>
            <wp:wrapSquare wrapText="bothSides"/>
            <wp:docPr id="83" name="Diagrama 8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14:sizeRelH relativeFrom="page">
              <wp14:pctWidth>0</wp14:pctWidth>
            </wp14:sizeRelH>
            <wp14:sizeRelV relativeFrom="page">
              <wp14:pctHeight>0</wp14:pctHeight>
            </wp14:sizeRelV>
          </wp:anchor>
        </w:drawing>
      </w:r>
    </w:p>
    <w:p w:rsidR="00DD08F5" w:rsidRDefault="00DD08F5" w:rsidP="00DD08F5">
      <w:pPr>
        <w:ind w:left="360"/>
        <w:jc w:val="both"/>
      </w:pPr>
    </w:p>
    <w:p w:rsidR="00DD08F5" w:rsidRDefault="00DD08F5" w:rsidP="00DD08F5">
      <w:pPr>
        <w:numPr>
          <w:ilvl w:val="0"/>
          <w:numId w:val="36"/>
        </w:numPr>
        <w:jc w:val="both"/>
      </w:pPr>
      <w:r>
        <w:t>Kokaino kontrabanda iš Pietų Amerikos ir Karibų jūros regiono į Europą:</w:t>
      </w:r>
    </w:p>
    <w:p w:rsidR="00DD08F5" w:rsidRDefault="00DD08F5" w:rsidP="00DD08F5">
      <w:pPr>
        <w:numPr>
          <w:ilvl w:val="1"/>
          <w:numId w:val="41"/>
        </w:numPr>
        <w:tabs>
          <w:tab w:val="num" w:pos="720"/>
          <w:tab w:val="left" w:pos="5940"/>
          <w:tab w:val="left" w:pos="6120"/>
          <w:tab w:val="left" w:pos="6300"/>
          <w:tab w:val="left" w:pos="7020"/>
        </w:tabs>
        <w:ind w:hanging="1080"/>
        <w:jc w:val="both"/>
      </w:pPr>
      <w:r>
        <w:t>30 % sulaikymo atvejų yra susiję su kokaino gabenimu,</w:t>
      </w:r>
    </w:p>
    <w:p w:rsidR="00DD08F5" w:rsidRDefault="00DD08F5" w:rsidP="00DD08F5">
      <w:pPr>
        <w:numPr>
          <w:ilvl w:val="1"/>
          <w:numId w:val="41"/>
        </w:numPr>
        <w:tabs>
          <w:tab w:val="num" w:pos="720"/>
          <w:tab w:val="left" w:pos="6120"/>
          <w:tab w:val="left" w:pos="6660"/>
          <w:tab w:val="left" w:pos="7020"/>
        </w:tabs>
        <w:ind w:hanging="1080"/>
        <w:jc w:val="both"/>
      </w:pPr>
      <w:r>
        <w:t xml:space="preserve"> antri metai iš eilės daugėja kokaino kurjerių,</w:t>
      </w:r>
    </w:p>
    <w:p w:rsidR="00DD08F5" w:rsidRDefault="00DD08F5" w:rsidP="00DD08F5">
      <w:pPr>
        <w:numPr>
          <w:ilvl w:val="0"/>
          <w:numId w:val="37"/>
        </w:numPr>
        <w:tabs>
          <w:tab w:val="left" w:pos="6120"/>
          <w:tab w:val="left" w:pos="6660"/>
          <w:tab w:val="left" w:pos="7020"/>
        </w:tabs>
        <w:jc w:val="both"/>
      </w:pPr>
      <w:r>
        <w:t xml:space="preserve"> 17 asmenų sulaikyta  P.Amerikoje,  dar 4 kurjeriai sulaikyti parskridę į Europos oro uostus,</w:t>
      </w:r>
    </w:p>
    <w:p w:rsidR="00DD08F5" w:rsidRDefault="00DD08F5" w:rsidP="00DD08F5">
      <w:pPr>
        <w:numPr>
          <w:ilvl w:val="0"/>
          <w:numId w:val="37"/>
        </w:numPr>
        <w:jc w:val="both"/>
      </w:pPr>
      <w:r>
        <w:t>gabenimo maršrutas: Peru- Nyderlandai, Venesuela -  Ispanija arba Nyderlandai.</w:t>
      </w:r>
    </w:p>
    <w:p w:rsidR="00DD08F5" w:rsidRDefault="00DD08F5" w:rsidP="00DD08F5">
      <w:pPr>
        <w:ind w:left="360"/>
        <w:jc w:val="both"/>
      </w:pPr>
    </w:p>
    <w:p w:rsidR="00DD08F5" w:rsidRDefault="00DD08F5" w:rsidP="00DD08F5">
      <w:pPr>
        <w:numPr>
          <w:ilvl w:val="0"/>
          <w:numId w:val="36"/>
        </w:numPr>
        <w:jc w:val="both"/>
      </w:pPr>
      <w:r>
        <w:rPr>
          <w:noProof/>
          <w:lang w:eastAsia="lt-LT"/>
        </w:rPr>
        <w:drawing>
          <wp:anchor distT="0" distB="0" distL="114300" distR="114300" simplePos="0" relativeHeight="251718656" behindDoc="0" locked="0" layoutInCell="1" allowOverlap="1">
            <wp:simplePos x="0" y="0"/>
            <wp:positionH relativeFrom="column">
              <wp:posOffset>3200400</wp:posOffset>
            </wp:positionH>
            <wp:positionV relativeFrom="page">
              <wp:posOffset>720090</wp:posOffset>
            </wp:positionV>
            <wp:extent cx="2971165" cy="2354580"/>
            <wp:effectExtent l="3810" t="0" r="0" b="1905"/>
            <wp:wrapSquare wrapText="bothSides"/>
            <wp:docPr id="82" name="Diagrama 8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14:sizeRelH relativeFrom="page">
              <wp14:pctWidth>0</wp14:pctWidth>
            </wp14:sizeRelH>
            <wp14:sizeRelV relativeFrom="page">
              <wp14:pctHeight>0</wp14:pctHeight>
            </wp14:sizeRelV>
          </wp:anchor>
        </w:drawing>
      </w:r>
      <w:r>
        <w:t>BMK kontrabanda iš Rusijos į V.Europą;</w:t>
      </w:r>
    </w:p>
    <w:p w:rsidR="00DD08F5" w:rsidRDefault="00DD08F5" w:rsidP="00DD08F5">
      <w:pPr>
        <w:numPr>
          <w:ilvl w:val="0"/>
          <w:numId w:val="42"/>
        </w:numPr>
        <w:jc w:val="both"/>
      </w:pPr>
      <w:r>
        <w:t>Su visais  2008 metais  ES vykusiais BMK sulaikymais yra susiję LR piliečiai.</w:t>
      </w:r>
    </w:p>
    <w:p w:rsidR="00DD08F5" w:rsidRDefault="00DD08F5" w:rsidP="00DD08F5">
      <w:pPr>
        <w:ind w:left="360"/>
        <w:jc w:val="both"/>
      </w:pPr>
    </w:p>
    <w:p w:rsidR="00DD08F5" w:rsidRDefault="00DD08F5" w:rsidP="00DD08F5">
      <w:pPr>
        <w:numPr>
          <w:ilvl w:val="0"/>
          <w:numId w:val="36"/>
        </w:numPr>
        <w:ind w:hanging="2436"/>
        <w:jc w:val="both"/>
      </w:pPr>
      <w:r>
        <w:t>Aktyviausia lietuvių veikla Skandinavijoje ir Vokietijoje;</w:t>
      </w:r>
    </w:p>
    <w:p w:rsidR="00DD08F5" w:rsidRDefault="00DD08F5" w:rsidP="00DD08F5">
      <w:pPr>
        <w:jc w:val="both"/>
      </w:pPr>
    </w:p>
    <w:p w:rsidR="00DD08F5" w:rsidRDefault="00DD08F5" w:rsidP="00DD08F5">
      <w:pPr>
        <w:numPr>
          <w:ilvl w:val="0"/>
          <w:numId w:val="36"/>
        </w:numPr>
        <w:jc w:val="both"/>
      </w:pPr>
      <w:r>
        <w:t>Du trečdaliai sulaikytųjų yra narkotikų kurjeriai:</w:t>
      </w:r>
    </w:p>
    <w:p w:rsidR="00DD08F5" w:rsidRDefault="00DD08F5" w:rsidP="00DD08F5">
      <w:pPr>
        <w:numPr>
          <w:ilvl w:val="0"/>
          <w:numId w:val="38"/>
        </w:numPr>
        <w:ind w:left="360" w:firstLine="0"/>
        <w:jc w:val="both"/>
      </w:pPr>
      <w:r>
        <w:t xml:space="preserve">70 % sulaikytųjų buvo susiję su narkotikų kontrabanda, 14 % - su narkotikų disponavimu ir 6 % su narkotikų prekyba.  </w:t>
      </w:r>
    </w:p>
    <w:p w:rsidR="00DD08F5" w:rsidRDefault="00DD08F5" w:rsidP="00DD08F5">
      <w:pPr>
        <w:ind w:left="360"/>
        <w:jc w:val="both"/>
      </w:pPr>
    </w:p>
    <w:p w:rsidR="00DD08F5" w:rsidRDefault="00DD08F5" w:rsidP="00DD08F5">
      <w:pPr>
        <w:numPr>
          <w:ilvl w:val="0"/>
          <w:numId w:val="36"/>
        </w:numPr>
        <w:jc w:val="both"/>
      </w:pPr>
      <w:r>
        <w:rPr>
          <w:noProof/>
          <w:lang w:eastAsia="lt-LT"/>
        </w:rPr>
        <w:drawing>
          <wp:anchor distT="0" distB="0" distL="114300" distR="114300" simplePos="0" relativeHeight="251719680" behindDoc="0" locked="0" layoutInCell="1" allowOverlap="1">
            <wp:simplePos x="0" y="0"/>
            <wp:positionH relativeFrom="column">
              <wp:posOffset>114300</wp:posOffset>
            </wp:positionH>
            <wp:positionV relativeFrom="paragraph">
              <wp:posOffset>181610</wp:posOffset>
            </wp:positionV>
            <wp:extent cx="3086100" cy="2400300"/>
            <wp:effectExtent l="3810" t="0" r="0" b="1905"/>
            <wp:wrapSquare wrapText="bothSides"/>
            <wp:docPr id="81" name="Diagrama 8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14:sizeRelH relativeFrom="page">
              <wp14:pctWidth>0</wp14:pctWidth>
            </wp14:sizeRelH>
            <wp14:sizeRelV relativeFrom="page">
              <wp14:pctHeight>0</wp14:pctHeight>
            </wp14:sizeRelV>
          </wp:anchor>
        </w:drawing>
      </w:r>
      <w:r>
        <w:t>Sulaikytųjų amžius svyruoja nuo 17 iki 66 metų:</w:t>
      </w:r>
    </w:p>
    <w:p w:rsidR="00DD08F5" w:rsidRDefault="00DD08F5" w:rsidP="00DD08F5">
      <w:pPr>
        <w:numPr>
          <w:ilvl w:val="0"/>
          <w:numId w:val="43"/>
        </w:numPr>
        <w:jc w:val="both"/>
      </w:pPr>
      <w:r>
        <w:t>Sulaikytųjų amžiaus vidurkis- 32 metai,</w:t>
      </w:r>
    </w:p>
    <w:p w:rsidR="00DD08F5" w:rsidRDefault="00DD08F5" w:rsidP="00DD08F5">
      <w:pPr>
        <w:numPr>
          <w:ilvl w:val="0"/>
          <w:numId w:val="43"/>
        </w:numPr>
        <w:jc w:val="both"/>
      </w:pPr>
      <w:r>
        <w:t>Dažniausiai sulaikyti asmenys buvo nuo 20 iki 25 metų amžiaus,</w:t>
      </w:r>
    </w:p>
    <w:p w:rsidR="00DD08F5" w:rsidRDefault="00DD08F5" w:rsidP="00DD08F5">
      <w:pPr>
        <w:numPr>
          <w:ilvl w:val="0"/>
          <w:numId w:val="43"/>
        </w:numPr>
        <w:jc w:val="both"/>
      </w:pPr>
      <w:r>
        <w:t>Sulaikytųjų Skandinavijoje amžius jaunesnis, negu sulaikytų Rusijoje ir Baltarusijoje.</w:t>
      </w:r>
    </w:p>
    <w:p w:rsidR="00DD08F5" w:rsidRDefault="00DD08F5" w:rsidP="00DD08F5">
      <w:pPr>
        <w:ind w:left="360"/>
        <w:jc w:val="both"/>
      </w:pPr>
    </w:p>
    <w:p w:rsidR="00DD08F5" w:rsidRDefault="00DD08F5" w:rsidP="00DD08F5">
      <w:pPr>
        <w:numPr>
          <w:ilvl w:val="0"/>
          <w:numId w:val="36"/>
        </w:numPr>
        <w:jc w:val="both"/>
      </w:pPr>
      <w:r>
        <w:t>Beveik trečdalis sulaikytųjų gyvena arba deklaravę gyvenamąsias vietas Kauno apskrityje:</w:t>
      </w:r>
    </w:p>
    <w:p w:rsidR="00DD08F5" w:rsidRDefault="00DD08F5" w:rsidP="00DD08F5">
      <w:pPr>
        <w:numPr>
          <w:ilvl w:val="0"/>
          <w:numId w:val="39"/>
        </w:numPr>
        <w:jc w:val="both"/>
      </w:pPr>
      <w:r>
        <w:t>Daugiausiai jų sulaikyta Skandinavijoje.</w:t>
      </w:r>
    </w:p>
    <w:p w:rsidR="00DD08F5" w:rsidRDefault="00DD08F5" w:rsidP="00DD08F5">
      <w:pPr>
        <w:numPr>
          <w:ilvl w:val="1"/>
          <w:numId w:val="35"/>
        </w:numPr>
        <w:tabs>
          <w:tab w:val="num" w:pos="540"/>
        </w:tabs>
        <w:ind w:left="0" w:hanging="1800"/>
        <w:jc w:val="both"/>
      </w:pPr>
    </w:p>
    <w:p w:rsidR="00DD08F5" w:rsidRDefault="00DD08F5" w:rsidP="00DD08F5">
      <w:pPr>
        <w:numPr>
          <w:ilvl w:val="1"/>
          <w:numId w:val="35"/>
        </w:numPr>
        <w:tabs>
          <w:tab w:val="num" w:pos="540"/>
        </w:tabs>
        <w:ind w:left="0" w:hanging="1800"/>
        <w:jc w:val="both"/>
      </w:pPr>
      <w:r>
        <w:t xml:space="preserve">Lyginant visas užsienio šalis, kuriose 2008 m. buvo sulaikyti LR piliečiai susiję su neteisėta narkotinių medžiagų apyvarta, matyti, kad pirmąją vietą iš šių šalių pagal sulaikymo atvejų dažnumą užima Vokietija. </w:t>
      </w:r>
    </w:p>
    <w:p w:rsidR="00DD08F5" w:rsidRDefault="00DD08F5" w:rsidP="00DD08F5">
      <w:pPr>
        <w:ind w:firstLine="1440"/>
        <w:jc w:val="both"/>
      </w:pPr>
    </w:p>
    <w:p w:rsidR="00DD08F5" w:rsidRDefault="00DD08F5" w:rsidP="00DD08F5">
      <w:pPr>
        <w:ind w:firstLine="1440"/>
        <w:jc w:val="both"/>
      </w:pPr>
      <w:r>
        <w:rPr>
          <w:noProof/>
          <w:lang w:eastAsia="lt-LT"/>
        </w:rPr>
        <w:lastRenderedPageBreak/>
        <w:drawing>
          <wp:anchor distT="0" distB="0" distL="114300" distR="114300" simplePos="0" relativeHeight="251714560" behindDoc="0" locked="0" layoutInCell="1" allowOverlap="1">
            <wp:simplePos x="0" y="0"/>
            <wp:positionH relativeFrom="column">
              <wp:posOffset>114300</wp:posOffset>
            </wp:positionH>
            <wp:positionV relativeFrom="page">
              <wp:posOffset>6663690</wp:posOffset>
            </wp:positionV>
            <wp:extent cx="6057900" cy="2295525"/>
            <wp:effectExtent l="0" t="0" r="0" b="9525"/>
            <wp:wrapSquare wrapText="bothSides"/>
            <wp:docPr id="80" name="Paveikslėli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057900" cy="2295525"/>
                    </a:xfrm>
                    <a:prstGeom prst="rect">
                      <a:avLst/>
                    </a:prstGeom>
                    <a:noFill/>
                    <a:ln>
                      <a:noFill/>
                    </a:ln>
                  </pic:spPr>
                </pic:pic>
              </a:graphicData>
            </a:graphic>
            <wp14:sizeRelH relativeFrom="page">
              <wp14:pctWidth>0</wp14:pctWidth>
            </wp14:sizeRelH>
            <wp14:sizeRelV relativeFrom="page">
              <wp14:pctHeight>0</wp14:pctHeight>
            </wp14:sizeRelV>
          </wp:anchor>
        </w:drawing>
      </w:r>
      <w:r>
        <w:t>2008 m. Vokietijoje užfiksuota 12 sulaikymo atvejų (2007 m. - 13) ir sulaikyta 16 (2007 m. -16). Iš šių paminėtų 12 atvejų, 4 susiję su narkotikų kontrabanda, 5 su narkotinių medžiagų laikymu ir 3 su narkotinių medžiagų platinimu. Lyginant šių metų ir 2007 m. sulaikytų medžiagų kiekius galima įžvelgti iš nelegalios apyvartos išimtų narkotinių medžiagų kiekių augimą. Narkotinės medžiagos slepiamos automobiliuose, bagaže, taip pat užfiksuotas atvejis kuomet vykstant iš Stambulo per Miuncheną į Neapolį, 2,1 kg heroino buvo paslėpta batų paduose. Tarp sulaikytųjų 2008 m. Vokietijoje LR piliečių dominuoja Panevėžio ir Klaipėdos gyventojai. Sulaikytųjų LR piliečių amžius svyruoja nuo 20 iki 58 metų (sulaikytųjų amžiaus vidurkis apie 29 metus).</w:t>
      </w:r>
    </w:p>
    <w:p w:rsidR="00DD08F5" w:rsidRDefault="00DD08F5" w:rsidP="00DD08F5">
      <w:pPr>
        <w:ind w:firstLine="1296"/>
        <w:jc w:val="both"/>
      </w:pPr>
      <w:r>
        <w:t xml:space="preserve">Nors pagal informaciją 2008 m  daugiausiai LR piliečių (25), susijusių su neteisėta narkotinių medžiagų apyvarta sulaikyta Airijoje, tai nereiškia, kad šioje šalyje padaugėjo nusikaltimų, su kuriais susiję LR piliečiai. Informacijos pagausėjimą lėmė 2008 metais Policijos departamento prie Vidaus reikalų ministerijos Tarptautinio bendradarbiavimo valdybos specialiojo atašė Airijos Respublikoje pareigybės įsteigimas. Didelis informacijos kiekis - glaudaus bendradarbiavimo bei keitimosi informacija rezultatas. </w:t>
      </w:r>
    </w:p>
    <w:p w:rsidR="00DD08F5" w:rsidRDefault="00DD08F5" w:rsidP="00DD08F5">
      <w:pPr>
        <w:ind w:firstLine="1296"/>
        <w:jc w:val="both"/>
      </w:pPr>
      <w:r>
        <w:rPr>
          <w:noProof/>
          <w:lang w:eastAsia="lt-LT"/>
        </w:rPr>
        <w:drawing>
          <wp:anchor distT="0" distB="0" distL="114300" distR="114300" simplePos="0" relativeHeight="251716608" behindDoc="0" locked="0" layoutInCell="1" allowOverlap="1">
            <wp:simplePos x="0" y="0"/>
            <wp:positionH relativeFrom="column">
              <wp:posOffset>3086100</wp:posOffset>
            </wp:positionH>
            <wp:positionV relativeFrom="paragraph">
              <wp:posOffset>492760</wp:posOffset>
            </wp:positionV>
            <wp:extent cx="3143250" cy="1971675"/>
            <wp:effectExtent l="0" t="0" r="0" b="0"/>
            <wp:wrapSquare wrapText="bothSides"/>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14325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715584" behindDoc="0" locked="0" layoutInCell="1" allowOverlap="1">
            <wp:simplePos x="0" y="0"/>
            <wp:positionH relativeFrom="column">
              <wp:posOffset>0</wp:posOffset>
            </wp:positionH>
            <wp:positionV relativeFrom="paragraph">
              <wp:posOffset>492760</wp:posOffset>
            </wp:positionV>
            <wp:extent cx="3181350" cy="1971675"/>
            <wp:effectExtent l="0" t="0" r="0" b="0"/>
            <wp:wrapSquare wrapText="bothSides"/>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18135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2008 metais pastebimas narkotinių medžiagų sulaikymo atvejų bei sulaikytų LR piliečių Skandinavijos šalyse sumažėjimas. Lyginant 2007 m. ir šiais metais Norvegijoje sulaikytus amfetamino kiekius matomas išimto iš nelegalios apyvartos amfetamino kiekio sumažėjimas, o Švedijoje sulaikytas didesnis kiekis, nors užfiksuota mažiau sulaikymo atvejų. </w:t>
      </w:r>
    </w:p>
    <w:p w:rsidR="00DD08F5" w:rsidRDefault="00DD08F5" w:rsidP="00DD08F5">
      <w:pPr>
        <w:ind w:firstLine="1260"/>
        <w:jc w:val="both"/>
      </w:pPr>
      <w:r>
        <w:t>Sulaikytų LR piliečių Norvegijoje amžius jaunėja ir svyruoja nuo 19 iki 42 metų (amžiaus vidurkis apie 29 metus) ir kaip praėjusiais metais dominuoja Kauno apskrities gyventojai. 2008 m. Švedijoje sulaikytų LR piliečių amžius svyruoja nuo 21 iki 48 metų (amžiaus vidurkis apie 33 metus).</w:t>
      </w:r>
    </w:p>
    <w:p w:rsidR="00DD08F5" w:rsidRDefault="00DD08F5" w:rsidP="00DD08F5">
      <w:pPr>
        <w:ind w:firstLine="1296"/>
        <w:jc w:val="both"/>
      </w:pPr>
      <w:r>
        <w:t xml:space="preserve">Dėl savo geografinės padėties Lietuva atlieka tranzitinės valstybės vaidmenį tiek iš rytų į vakarus, tiek ir iš vakarų į rytus. Narkotikų kontrabandą į Rytus lemia ir vartotojų rinkos dydžio bei narkotinių ir psichotropinių medžiagų kainų skirtumas. 2008 metais Rusijoje užfiksuoti 6 sulaikymo atvejai ir sulaikyta 10 LR piliečių. Heroinas iš Rusijos (per Baltarusiją) arba per ją iš V.Azijos patenka  į Lietuvą, o tam tikras jo kiekis keliauja į Vakarų Europą. Bendra Lietuvos siena su Rusijos Federacijos Kaliningrado sritimi lemia heroino patekimą iš Rusijos į Kaliningrado sritį bei Lietuvą. 2008 metais Lietuvos kriminalinės policijos biurui bendradarbiaujant su Rusijos kolegomis  Rusijos-Latvijos pasienyje buvo sulaikyti 4 vilkikai. Iš neteisėtos apyvartos buvo išimta 2160 litrų BMK, </w:t>
      </w:r>
      <w:r>
        <w:lastRenderedPageBreak/>
        <w:t>gabentų specialiai tam įrengtuose kuro bakuose, ir sulaikyti 5, su šiuo nusikaltimu susiję LR piliečiai ir 1 RF pilietis. 2009 metų išvakarėse Baltarusijos- Lietuvos pasienyje Lietuvos kriminalinės policijos biuras bendradarbiaudamas su Rusijos kolegomis  sulaikė vilkiką, gabenusį 563 litrus BMK. Tarp sulaikytųjų Rusijoje LR piliečių dominuoja Vilniaus apskrities gyventojai, kurių amžius svyruoja nuo 29 iki 58 metų (amžiaus vidurkis apie 42 metus).</w:t>
      </w:r>
    </w:p>
    <w:p w:rsidR="00DD08F5" w:rsidRDefault="00DD08F5" w:rsidP="00DD08F5">
      <w:pPr>
        <w:ind w:firstLine="1296"/>
        <w:jc w:val="both"/>
      </w:pPr>
      <w:r>
        <w:t>2008 metais Baltarusijoje sulaikyti 7 LR piliečiai ir užfiksuoti 7 sulaikymo atvejai, susiję su neteisėta narkotinių medžiagų apyvarta. Sintetiniai narkotikai, tokie kaip ecstasy, amfetaminas, kontrabanda per/iš Lietuvos gabenami į Baltarusijos Respubliką. Amfetamino tipo stimuliuojamų medžiagų kontrabandą į Baltarusiją patvirtina atliekamos bendros operacijos su šių valstybių analogiškomis tarnybomis. Tarp sulaikytųjų Baltarusijoje LR piliečių dominuoja Vilniaus apskrities gyventojai, kurių amžius svyruoja nuo 25 iki 40 metų (amžiaus vidurkis apie 32 metus).</w:t>
      </w:r>
    </w:p>
    <w:p w:rsidR="00DD08F5" w:rsidRDefault="00DD08F5" w:rsidP="00DD08F5">
      <w:pPr>
        <w:ind w:firstLine="1296"/>
        <w:jc w:val="both"/>
      </w:pPr>
    </w:p>
    <w:p w:rsidR="00DD08F5" w:rsidRDefault="00DD08F5" w:rsidP="00DD08F5">
      <w:pPr>
        <w:ind w:firstLine="720"/>
        <w:jc w:val="center"/>
        <w:rPr>
          <w:b/>
          <w:color w:val="0000FF"/>
        </w:rPr>
      </w:pPr>
    </w:p>
    <w:p w:rsidR="00DD08F5" w:rsidRDefault="00DD08F5" w:rsidP="00DD08F5">
      <w:pPr>
        <w:ind w:firstLine="720"/>
        <w:jc w:val="center"/>
        <w:rPr>
          <w:b/>
          <w:color w:val="0000FF"/>
        </w:rPr>
      </w:pPr>
    </w:p>
    <w:p w:rsidR="00DD08F5" w:rsidRDefault="00DD08F5" w:rsidP="00DD08F5">
      <w:pPr>
        <w:ind w:firstLine="720"/>
        <w:jc w:val="center"/>
        <w:rPr>
          <w:b/>
          <w:color w:val="0000FF"/>
        </w:rPr>
      </w:pPr>
      <w:r>
        <w:rPr>
          <w:b/>
          <w:color w:val="0000FF"/>
        </w:rPr>
        <w:t>BENDR</w:t>
      </w:r>
      <w:r>
        <w:rPr>
          <w:b/>
          <w:caps/>
          <w:color w:val="0000FF"/>
        </w:rPr>
        <w:t>ADaRB</w:t>
      </w:r>
      <w:r>
        <w:rPr>
          <w:b/>
          <w:color w:val="0000FF"/>
        </w:rPr>
        <w:t>IAVIMAS</w:t>
      </w:r>
    </w:p>
    <w:p w:rsidR="00DD08F5" w:rsidRDefault="00DD08F5" w:rsidP="00DD08F5">
      <w:pPr>
        <w:ind w:firstLine="720"/>
        <w:jc w:val="center"/>
        <w:rPr>
          <w:b/>
          <w:color w:val="0000FF"/>
        </w:rPr>
      </w:pPr>
    </w:p>
    <w:p w:rsidR="00DD08F5" w:rsidRDefault="00DD08F5" w:rsidP="00DD08F5">
      <w:pPr>
        <w:ind w:firstLine="720"/>
        <w:jc w:val="both"/>
      </w:pPr>
      <w:r>
        <w:t xml:space="preserve">Vadovaudamiesi 2005-2012 metų Europos Sąjungos kovos su narkotikais ES strategija bei Nacionaline narkotikų kontrolės ir narkomanijos prevencijos 2004-2008 metų programa Lietuvos teisėsaugos institucijų pareigūnai 2008 metais koordinavo ir/ar dalyvavo tokiuose tarptautiniuose projektuose bei darbo grupėse: </w:t>
      </w:r>
    </w:p>
    <w:p w:rsidR="00DD08F5" w:rsidRDefault="00DD08F5" w:rsidP="00DD08F5">
      <w:pPr>
        <w:keepNext/>
        <w:ind w:firstLine="720"/>
        <w:jc w:val="both"/>
      </w:pPr>
    </w:p>
    <w:p w:rsidR="00DD08F5" w:rsidRDefault="00DD08F5" w:rsidP="00DD08F5">
      <w:pPr>
        <w:numPr>
          <w:ilvl w:val="0"/>
          <w:numId w:val="26"/>
        </w:numPr>
        <w:tabs>
          <w:tab w:val="num" w:pos="1260"/>
          <w:tab w:val="num" w:pos="2160"/>
        </w:tabs>
        <w:ind w:left="0" w:firstLine="720"/>
        <w:jc w:val="both"/>
      </w:pPr>
      <w:r>
        <w:t xml:space="preserve">Europos Sąjungos Tarybos Kovos su narkotikais horizontaliojoje (angl. </w:t>
      </w:r>
      <w:r>
        <w:rPr>
          <w:i/>
        </w:rPr>
        <w:t>HDG-</w:t>
      </w:r>
      <w:r>
        <w:rPr>
          <w:i/>
          <w:iCs/>
        </w:rPr>
        <w:t xml:space="preserve"> Horizontal Working Party on Drugs</w:t>
      </w:r>
      <w:r>
        <w:t>) darbo grupėje, kurios funkcijos yra: „parengti aiškią ir nuoseklią kovos su narkotikais politiką, kurią patvirtintų Taryba bei Tarybos vardu įgyvendinti tą politiką“</w:t>
      </w:r>
      <w:r>
        <w:rPr>
          <w:rStyle w:val="Puslapioinaosnuoroda"/>
        </w:rPr>
        <w:footnoteReference w:id="23"/>
      </w:r>
      <w:r>
        <w:t>. /</w:t>
      </w:r>
      <w:r>
        <w:rPr>
          <w:i/>
        </w:rPr>
        <w:t>policija</w:t>
      </w:r>
      <w:r>
        <w:t>/;</w:t>
      </w:r>
    </w:p>
    <w:p w:rsidR="00DD08F5" w:rsidRDefault="00DD08F5" w:rsidP="00DD08F5">
      <w:pPr>
        <w:tabs>
          <w:tab w:val="num" w:pos="0"/>
          <w:tab w:val="num" w:pos="1260"/>
        </w:tabs>
        <w:ind w:firstLine="720"/>
        <w:jc w:val="both"/>
      </w:pPr>
    </w:p>
    <w:p w:rsidR="00DD08F5" w:rsidRDefault="00DD08F5" w:rsidP="00DD08F5">
      <w:pPr>
        <w:numPr>
          <w:ilvl w:val="0"/>
          <w:numId w:val="26"/>
        </w:numPr>
        <w:ind w:left="0" w:firstLine="720"/>
        <w:jc w:val="both"/>
      </w:pPr>
      <w:r>
        <w:t>Europos policijos organizacijos Europol‘o  projekto „</w:t>
      </w:r>
      <w:r>
        <w:rPr>
          <w:i/>
        </w:rPr>
        <w:t>Synergy</w:t>
      </w:r>
      <w:r>
        <w:t>„  veikloje, nukreiptoje gerinti sintetinių narkotikų ir jų prekursorių kontrolę /</w:t>
      </w:r>
      <w:r>
        <w:rPr>
          <w:i/>
        </w:rPr>
        <w:t xml:space="preserve"> koord.- policija, dalyv. - visos teisėsaugos i-jos</w:t>
      </w:r>
      <w:r>
        <w:t>/;</w:t>
      </w:r>
    </w:p>
    <w:p w:rsidR="00DD08F5" w:rsidRDefault="00DD08F5" w:rsidP="00DD08F5">
      <w:pPr>
        <w:tabs>
          <w:tab w:val="num" w:pos="0"/>
        </w:tabs>
        <w:ind w:firstLine="720"/>
        <w:jc w:val="both"/>
      </w:pPr>
    </w:p>
    <w:p w:rsidR="00DD08F5" w:rsidRDefault="00DD08F5" w:rsidP="00DD08F5">
      <w:pPr>
        <w:numPr>
          <w:ilvl w:val="0"/>
          <w:numId w:val="26"/>
        </w:numPr>
        <w:ind w:left="0" w:firstLine="720"/>
        <w:jc w:val="both"/>
      </w:pPr>
      <w:r>
        <w:t>Europos policijos organizacijos Europol‘o  projekto „</w:t>
      </w:r>
      <w:r>
        <w:rPr>
          <w:i/>
        </w:rPr>
        <w:t>Cola</w:t>
      </w:r>
      <w:r>
        <w:t>“ veikloje, nukreiptoje prieš kokaino kontrabandą į Europą /</w:t>
      </w:r>
      <w:r>
        <w:rPr>
          <w:i/>
        </w:rPr>
        <w:t xml:space="preserve"> koord.- policija, dalyv. - visos teisėsaugos i-jos</w:t>
      </w:r>
      <w:r>
        <w:t>/;</w:t>
      </w:r>
    </w:p>
    <w:p w:rsidR="00DD08F5" w:rsidRDefault="00DD08F5" w:rsidP="00DD08F5">
      <w:pPr>
        <w:tabs>
          <w:tab w:val="num" w:pos="0"/>
        </w:tabs>
        <w:ind w:firstLine="720"/>
        <w:jc w:val="both"/>
      </w:pPr>
    </w:p>
    <w:p w:rsidR="00DD08F5" w:rsidRDefault="00DD08F5" w:rsidP="00DD08F5">
      <w:pPr>
        <w:numPr>
          <w:ilvl w:val="0"/>
          <w:numId w:val="26"/>
        </w:numPr>
        <w:ind w:left="0" w:firstLine="720"/>
        <w:jc w:val="both"/>
      </w:pPr>
      <w:r>
        <w:t>COSPOL (</w:t>
      </w:r>
      <w:r>
        <w:rPr>
          <w:i/>
          <w:iCs/>
        </w:rPr>
        <w:t>Comprehensive Operational Stategic Planning for the Police</w:t>
      </w:r>
      <w:r>
        <w:t>) Kovos su sintetiniais narkotikais projekte /</w:t>
      </w:r>
      <w:r>
        <w:rPr>
          <w:i/>
        </w:rPr>
        <w:t>policija</w:t>
      </w:r>
      <w:r>
        <w:t xml:space="preserve">/. COSPOL – tai ilgalaikė programa, kuri orientuota į operatyvinį bendradarbiavimą kovojant su transnacionaliniu nusikalstamumu. </w:t>
      </w:r>
      <w:r>
        <w:rPr>
          <w:i/>
        </w:rPr>
        <w:t xml:space="preserve">COSPOL kovos su sintetiniais narkotikais projektas  </w:t>
      </w:r>
      <w:r>
        <w:t>orientuotas į du prioritetus:</w:t>
      </w:r>
      <w:r>
        <w:rPr>
          <w:i/>
        </w:rPr>
        <w:t xml:space="preserve"> </w:t>
      </w:r>
      <w:r>
        <w:t xml:space="preserve">prekursorių ir įrenginių, kurie gali būti naudojami nelegaliose sintetinių narkotikų gamybos laboratorijose, kontrolę. </w:t>
      </w:r>
    </w:p>
    <w:p w:rsidR="00DD08F5" w:rsidRDefault="00DD08F5" w:rsidP="00DD08F5">
      <w:pPr>
        <w:tabs>
          <w:tab w:val="num" w:pos="0"/>
        </w:tabs>
        <w:ind w:firstLine="720"/>
        <w:jc w:val="both"/>
      </w:pPr>
    </w:p>
    <w:p w:rsidR="00DD08F5" w:rsidRDefault="00DD08F5" w:rsidP="00DD08F5">
      <w:pPr>
        <w:numPr>
          <w:ilvl w:val="0"/>
          <w:numId w:val="26"/>
        </w:numPr>
        <w:ind w:left="0" w:firstLine="720"/>
        <w:jc w:val="both"/>
      </w:pPr>
      <w:r>
        <w:t>Tarptautinėje operacijoje „</w:t>
      </w:r>
      <w:r>
        <w:rPr>
          <w:i/>
        </w:rPr>
        <w:t>Kanalas</w:t>
      </w:r>
      <w:r>
        <w:t>“ stebėtojo teisėmis /</w:t>
      </w:r>
      <w:r>
        <w:rPr>
          <w:i/>
        </w:rPr>
        <w:t xml:space="preserve">policija/. </w:t>
      </w:r>
      <w:r>
        <w:t>Operacijos dalyviai</w:t>
      </w:r>
      <w:r>
        <w:rPr>
          <w:i/>
        </w:rPr>
        <w:t xml:space="preserve"> </w:t>
      </w:r>
      <w:r>
        <w:t>Armėnija, Baltarusija, Kazachstanas, Kirgizija, Rusijos Federacija, Uzbekistanas, Tadžikistanas. Stebėtojai Lietuvos, Latvijos, Estijos, Lenkijos, JAV, Suomijos pareigūnai. Operacijos tikslai: atlikti kompleksines operatyvines priemones, siekiant išaiškinti ir užkirsti narkotikų kontrabandą ir tarptautinius narkotikų pervežimo kelius; sustiprinti pasienio perėjimo postų kontrolę; nustatyti šalių-dalyvių galimybes atlikti kontroliuojamus narkotikų gabenimus; sustiprinti bendradarbiavimą tarp šalių-dalyvių, atskleidžiant nusikaltimus susijusius su neteisėta narkotikų apyvarta.</w:t>
      </w:r>
    </w:p>
    <w:p w:rsidR="00DD08F5" w:rsidRDefault="00DD08F5" w:rsidP="00DD08F5">
      <w:pPr>
        <w:tabs>
          <w:tab w:val="num" w:pos="0"/>
        </w:tabs>
        <w:ind w:firstLine="720"/>
        <w:jc w:val="both"/>
      </w:pPr>
    </w:p>
    <w:p w:rsidR="00DD08F5" w:rsidRDefault="00DD08F5" w:rsidP="00DD08F5">
      <w:pPr>
        <w:numPr>
          <w:ilvl w:val="0"/>
          <w:numId w:val="44"/>
        </w:numPr>
        <w:tabs>
          <w:tab w:val="num" w:pos="360"/>
        </w:tabs>
        <w:ind w:left="0" w:firstLine="720"/>
        <w:jc w:val="both"/>
      </w:pPr>
      <w:r>
        <w:t>Baltijos jūros regiono valstybių</w:t>
      </w:r>
      <w:r>
        <w:rPr>
          <w:i/>
        </w:rPr>
        <w:t xml:space="preserve"> „Task Force“ </w:t>
      </w:r>
      <w:r>
        <w:t xml:space="preserve">projekto rėmuose dvišaliame </w:t>
      </w:r>
      <w:r>
        <w:rPr>
          <w:i/>
        </w:rPr>
        <w:t>Lietuvos ir Švedijos</w:t>
      </w:r>
      <w:r>
        <w:t xml:space="preserve"> projekte „A1“</w:t>
      </w:r>
      <w:r>
        <w:rPr>
          <w:i/>
        </w:rPr>
        <w:t xml:space="preserve"> (/policija/muitinė)</w:t>
      </w:r>
      <w:r>
        <w:t xml:space="preserve">, skirtame konkretiems jungtiniams tyrimams gerinti. 2008 m. projektas užbaigtas. </w:t>
      </w:r>
    </w:p>
    <w:p w:rsidR="00DD08F5" w:rsidRDefault="00DD08F5" w:rsidP="00DD08F5">
      <w:pPr>
        <w:tabs>
          <w:tab w:val="num" w:pos="0"/>
        </w:tabs>
        <w:ind w:firstLine="720"/>
        <w:jc w:val="both"/>
      </w:pPr>
    </w:p>
    <w:p w:rsidR="00DD08F5" w:rsidRDefault="00DD08F5" w:rsidP="00DD08F5">
      <w:pPr>
        <w:numPr>
          <w:ilvl w:val="0"/>
          <w:numId w:val="44"/>
        </w:numPr>
        <w:tabs>
          <w:tab w:val="num" w:pos="360"/>
          <w:tab w:val="left" w:pos="1440"/>
        </w:tabs>
        <w:ind w:left="0" w:firstLine="720"/>
        <w:jc w:val="both"/>
      </w:pPr>
      <w:r>
        <w:t>Baltijos jūros regiono valstybių</w:t>
      </w:r>
      <w:r>
        <w:rPr>
          <w:i/>
        </w:rPr>
        <w:t xml:space="preserve"> „Task Force“ </w:t>
      </w:r>
      <w:r>
        <w:t>projekto rėmuose Lietuvos ir Lenkijos projekte „</w:t>
      </w:r>
      <w:r>
        <w:rPr>
          <w:i/>
        </w:rPr>
        <w:t>TRAP III“,</w:t>
      </w:r>
      <w:r>
        <w:t xml:space="preserve"> nukreiptame prieš narkotikų gabentojus abiejose dalyvaujančiose šalyse </w:t>
      </w:r>
      <w:r>
        <w:rPr>
          <w:i/>
        </w:rPr>
        <w:t>/koord.-policija</w:t>
      </w:r>
      <w:r>
        <w:t>/. Šiuo metu operacijos prioritetas – narkotinių ir psichotropinių medžiagų pirmtako – BMK, kontrabanda iš Rusijos per Lietuvą, Lenkiją į Nyderlandus.</w:t>
      </w:r>
    </w:p>
    <w:p w:rsidR="00DD08F5" w:rsidRDefault="00DD08F5" w:rsidP="00DD08F5">
      <w:pPr>
        <w:tabs>
          <w:tab w:val="num" w:pos="540"/>
          <w:tab w:val="left" w:pos="1800"/>
        </w:tabs>
        <w:ind w:left="540" w:hanging="540"/>
        <w:jc w:val="both"/>
      </w:pPr>
    </w:p>
    <w:p w:rsidR="00DD08F5" w:rsidRDefault="00DD08F5" w:rsidP="00DD08F5">
      <w:pPr>
        <w:ind w:firstLine="720"/>
        <w:jc w:val="both"/>
      </w:pPr>
      <w:r>
        <w:t>2008 metais bendradarbiaujant su ES Valstybių narių ir trečiųjų  šalių policijos padaliniais policija atliko 6 tarptautines operacijas, susijusias su neteisėta narkotikų apyvarta. Bendros tarptautinės operacijos buvo vykdomos su Baltarusijos, Rusijos, Lenkijos, Latvijos narkotikų kontrolės padalinių pareigūnais. Tarptautinių operacijų metu išimta iš apyvartos 3 tonos BMK, 2,6 kg hašišo, 1,5 kg kanapių, 3,2 heroino, apie 40 kg kokaino. Tarptautinių operacijų metu sulaikyta 15 asmenų.</w:t>
      </w:r>
    </w:p>
    <w:p w:rsidR="00DD08F5" w:rsidRDefault="00DD08F5" w:rsidP="00DD08F5">
      <w:pPr>
        <w:ind w:firstLine="720"/>
        <w:jc w:val="both"/>
      </w:pPr>
      <w:r>
        <w:t>Muitinės kriminalinei tarnybai bendradarbiaujant su Norvegijos, Švedijos, Ispanijos, Vokietijos kolegomis buvo atliktos 6 tarptautinės operacijos. Sulaikyta 10 asmenų, išimta 20 kg metamfetamino ir 2 kg amfetamino, 8 kg kokaino.</w:t>
      </w:r>
    </w:p>
    <w:p w:rsidR="00DD08F5" w:rsidRDefault="00DD08F5" w:rsidP="00DD08F5">
      <w:pPr>
        <w:ind w:firstLine="720"/>
        <w:jc w:val="both"/>
      </w:pPr>
    </w:p>
    <w:p w:rsidR="00DD08F5" w:rsidRDefault="00DD08F5" w:rsidP="00DD08F5">
      <w:pPr>
        <w:tabs>
          <w:tab w:val="left" w:pos="567"/>
        </w:tabs>
        <w:jc w:val="center"/>
        <w:rPr>
          <w:b/>
          <w:caps/>
          <w:color w:val="0000FF"/>
        </w:rPr>
      </w:pPr>
    </w:p>
    <w:p w:rsidR="00DD08F5" w:rsidRDefault="00DD08F5" w:rsidP="00DD08F5">
      <w:pPr>
        <w:tabs>
          <w:tab w:val="left" w:pos="567"/>
        </w:tabs>
        <w:jc w:val="center"/>
        <w:rPr>
          <w:b/>
          <w:caps/>
          <w:color w:val="0000FF"/>
        </w:rPr>
      </w:pPr>
      <w:r>
        <w:rPr>
          <w:b/>
          <w:caps/>
          <w:color w:val="0000FF"/>
        </w:rPr>
        <w:t>Teisinės bazės pasikeitimai</w:t>
      </w:r>
    </w:p>
    <w:p w:rsidR="00DD08F5" w:rsidRDefault="00DD08F5" w:rsidP="00DD08F5">
      <w:pPr>
        <w:tabs>
          <w:tab w:val="left" w:pos="567"/>
        </w:tabs>
        <w:jc w:val="both"/>
        <w:rPr>
          <w:b/>
          <w:caps/>
          <w:sz w:val="28"/>
          <w:szCs w:val="28"/>
        </w:rPr>
      </w:pPr>
    </w:p>
    <w:p w:rsidR="00DD08F5" w:rsidRDefault="00DD08F5" w:rsidP="00DD08F5">
      <w:pPr>
        <w:tabs>
          <w:tab w:val="left" w:pos="567"/>
          <w:tab w:val="left" w:pos="900"/>
        </w:tabs>
        <w:ind w:left="540" w:hanging="540"/>
        <w:jc w:val="both"/>
      </w:pPr>
      <w:r>
        <w:t>2008 metais šalyje įvyko šie  neteisėtos narkotikų apyvartos kontrolės teisinio reglamentavimo pokyčiai:</w:t>
      </w:r>
    </w:p>
    <w:p w:rsidR="00DD08F5" w:rsidRDefault="00DD08F5" w:rsidP="00DD08F5">
      <w:pPr>
        <w:tabs>
          <w:tab w:val="left" w:pos="567"/>
          <w:tab w:val="left" w:pos="900"/>
        </w:tabs>
        <w:ind w:left="540" w:hanging="540"/>
        <w:jc w:val="both"/>
      </w:pPr>
    </w:p>
    <w:p w:rsidR="00DD08F5" w:rsidRDefault="00DD08F5" w:rsidP="00DD08F5">
      <w:pPr>
        <w:numPr>
          <w:ilvl w:val="0"/>
          <w:numId w:val="32"/>
        </w:numPr>
        <w:tabs>
          <w:tab w:val="left" w:pos="0"/>
          <w:tab w:val="left" w:pos="540"/>
        </w:tabs>
        <w:ind w:hanging="84"/>
        <w:jc w:val="both"/>
      </w:pPr>
      <w:r>
        <w:t>2008 05 22 priimtas Narkotinių ir psichotropinių medžiagų pirmtakų prekursorių kontrolės įstatymo pakeitimo įstatymas Nr. X-1556 (Žin., 2008, Nr. 65-2455), kuriuo patvirtinama nauja Įstatymo teksto redakcija. Pakeitimo esmė</w:t>
      </w:r>
    </w:p>
    <w:p w:rsidR="00DD08F5" w:rsidRDefault="00DD08F5" w:rsidP="00DD08F5">
      <w:pPr>
        <w:numPr>
          <w:ilvl w:val="1"/>
          <w:numId w:val="32"/>
        </w:numPr>
        <w:tabs>
          <w:tab w:val="left" w:pos="0"/>
          <w:tab w:val="left" w:pos="540"/>
        </w:tabs>
        <w:jc w:val="both"/>
      </w:pPr>
      <w:r>
        <w:t>prekursorių sąrašai yra vieningi visai ES, nurodyti Reglamento (EB) Nr. 273/2004 2 straipsnio a punkte ir Reglamento (EB) Nr. 111/2005 2 straipsnio a punkte.</w:t>
      </w:r>
    </w:p>
    <w:p w:rsidR="00DD08F5" w:rsidRDefault="00DD08F5" w:rsidP="00DD08F5">
      <w:pPr>
        <w:numPr>
          <w:ilvl w:val="1"/>
          <w:numId w:val="32"/>
        </w:numPr>
        <w:tabs>
          <w:tab w:val="left" w:pos="0"/>
          <w:tab w:val="left" w:pos="540"/>
        </w:tabs>
        <w:jc w:val="both"/>
      </w:pPr>
      <w:r>
        <w:t>Licencijas bei importo ir eksporto leidimus išduoda narkotikų kontrolės departamentas prie LRV.</w:t>
      </w:r>
    </w:p>
    <w:p w:rsidR="00DD08F5" w:rsidRDefault="00DD08F5" w:rsidP="00DD08F5">
      <w:pPr>
        <w:numPr>
          <w:ilvl w:val="1"/>
          <w:numId w:val="32"/>
        </w:numPr>
        <w:tabs>
          <w:tab w:val="left" w:pos="0"/>
          <w:tab w:val="left" w:pos="540"/>
        </w:tabs>
        <w:jc w:val="both"/>
      </w:pPr>
      <w:r>
        <w:t xml:space="preserve">Visi reikalavimai veiklai su prekursoriais yra išdėstyti ES tiesioginio veikimo teisės aktuose. </w:t>
      </w:r>
    </w:p>
    <w:p w:rsidR="00DD08F5" w:rsidRDefault="00DD08F5" w:rsidP="00DD08F5">
      <w:pPr>
        <w:numPr>
          <w:ilvl w:val="0"/>
          <w:numId w:val="32"/>
        </w:numPr>
        <w:tabs>
          <w:tab w:val="left" w:pos="0"/>
          <w:tab w:val="left" w:pos="540"/>
        </w:tabs>
        <w:ind w:hanging="84"/>
        <w:jc w:val="both"/>
        <w:rPr>
          <w:b/>
          <w:bCs/>
        </w:rPr>
      </w:pPr>
      <w:r>
        <w:t>2008 10 06 pakeistas Lietuvos Respublikos vidaus reikalų ministerijos ir Lietuvos Respublikos sveikatos apsaugos ministerijos 1998 m. rugpjūčio 25 d. įsakymas Nr. 342/482 „Dėl narkotinių ir psichotropinių medžiagų gamybos ir laikymo patalpų įrengimo reikalavimų patvirtinimo“. Priimta nauja redakcija (Žin.</w:t>
      </w:r>
      <w:r>
        <w:rPr>
          <w:b/>
          <w:bCs/>
        </w:rPr>
        <w:t>, </w:t>
      </w:r>
      <w:r>
        <w:rPr>
          <w:bCs/>
        </w:rPr>
        <w:t>2008, Nr. 119-4521</w:t>
      </w:r>
      <w:r>
        <w:rPr>
          <w:b/>
          <w:bCs/>
        </w:rPr>
        <w:t xml:space="preserve">). </w:t>
      </w:r>
      <w:r>
        <w:rPr>
          <w:bCs/>
        </w:rPr>
        <w:t>Esmė:</w:t>
      </w:r>
    </w:p>
    <w:p w:rsidR="00DD08F5" w:rsidRDefault="00DD08F5" w:rsidP="00DD08F5">
      <w:pPr>
        <w:numPr>
          <w:ilvl w:val="1"/>
          <w:numId w:val="32"/>
        </w:numPr>
        <w:tabs>
          <w:tab w:val="left" w:pos="0"/>
          <w:tab w:val="left" w:pos="540"/>
        </w:tabs>
        <w:jc w:val="both"/>
      </w:pPr>
      <w:r>
        <w:t>nustatyti minimalūs reikalavimai juridinių asmenų ir užsienio juridinių asmenų filialų patalpoms, kuriose laikomos į II ir III sąrašus įtrauktos narkotinės ir (ar) psichotropinės medžiagos verčiantis jų gamyba, didmenine ar mažmenine prekyba.</w:t>
      </w:r>
    </w:p>
    <w:p w:rsidR="00DD08F5" w:rsidRDefault="00DD08F5" w:rsidP="00DD08F5">
      <w:pPr>
        <w:tabs>
          <w:tab w:val="left" w:pos="0"/>
          <w:tab w:val="left" w:pos="540"/>
        </w:tabs>
        <w:jc w:val="both"/>
      </w:pPr>
    </w:p>
    <w:p w:rsidR="00DD08F5" w:rsidRDefault="00DD08F5" w:rsidP="00DD08F5">
      <w:pPr>
        <w:numPr>
          <w:ilvl w:val="2"/>
          <w:numId w:val="32"/>
        </w:numPr>
        <w:tabs>
          <w:tab w:val="left" w:pos="0"/>
          <w:tab w:val="left" w:pos="540"/>
        </w:tabs>
        <w:ind w:left="0" w:firstLine="0"/>
        <w:jc w:val="both"/>
      </w:pPr>
      <w:r>
        <w:t xml:space="preserve">2008 05 16 ir 2008 10 06 papildyti Narkotinių ir psichotropinių medžiagų sąrašai, patvirtinti Lietuvos Respublikos sveikatos apsaugos ministro 2000 m. sausio 6 d. įsakymu Nr. 5 „Dėl narkotinių ir psichotropinių medžiagų sąrašų patvirtinimo“ </w:t>
      </w:r>
    </w:p>
    <w:p w:rsidR="00DD08F5" w:rsidRDefault="00DD08F5" w:rsidP="00DD08F5">
      <w:pPr>
        <w:numPr>
          <w:ilvl w:val="1"/>
          <w:numId w:val="33"/>
        </w:numPr>
        <w:tabs>
          <w:tab w:val="left" w:pos="0"/>
          <w:tab w:val="left" w:pos="540"/>
        </w:tabs>
        <w:jc w:val="both"/>
      </w:pPr>
      <w:r>
        <w:t>nuo 2008 05 25 į sąrašus įtraukiamos: Kvaitulinis šalavijas ir jo dalys (</w:t>
      </w:r>
      <w:r>
        <w:rPr>
          <w:i/>
          <w:iCs/>
        </w:rPr>
        <w:t>Salvia divinorum plant</w:t>
      </w:r>
      <w:r>
        <w:t>); Kvaitulinio šalavijo ir jo dalių ekstraktas (</w:t>
      </w:r>
      <w:r>
        <w:rPr>
          <w:i/>
          <w:iCs/>
        </w:rPr>
        <w:t>extract of Salvia divinorum</w:t>
      </w:r>
      <w:r>
        <w:t>); „Salvinorinas A (Salvinorine A)</w:t>
      </w:r>
    </w:p>
    <w:p w:rsidR="00DD08F5" w:rsidRDefault="00DD08F5" w:rsidP="00DD08F5">
      <w:pPr>
        <w:numPr>
          <w:ilvl w:val="1"/>
          <w:numId w:val="33"/>
        </w:numPr>
        <w:tabs>
          <w:tab w:val="left" w:pos="0"/>
          <w:tab w:val="left" w:pos="540"/>
        </w:tabs>
        <w:jc w:val="both"/>
      </w:pPr>
      <w:r>
        <w:t>nuo 2008 10 17 į sąrašus įtraukta: Puošnioji vožtė ir jos dalys (</w:t>
      </w:r>
      <w:r>
        <w:rPr>
          <w:i/>
        </w:rPr>
        <w:t>Kratom (Mitragyna speciosa) plant</w:t>
      </w:r>
      <w:r>
        <w:t>); Puošniosios vožtės ir jos dalių ekstraktas (</w:t>
      </w:r>
      <w:r>
        <w:rPr>
          <w:i/>
        </w:rPr>
        <w:t>extract of Kratom (Mitragyna speciosa) plant</w:t>
      </w:r>
      <w:r>
        <w:t>); „Mitragininas (</w:t>
      </w:r>
      <w:r>
        <w:rPr>
          <w:i/>
        </w:rPr>
        <w:t>Mitragynine</w:t>
      </w:r>
      <w:r>
        <w:t>).</w:t>
      </w:r>
    </w:p>
    <w:p w:rsidR="00DD08F5" w:rsidRDefault="00DD08F5" w:rsidP="00DD08F5">
      <w:pPr>
        <w:pStyle w:val="Hipersaitas1"/>
        <w:numPr>
          <w:ilvl w:val="2"/>
          <w:numId w:val="33"/>
        </w:numPr>
        <w:spacing w:line="280" w:lineRule="auto"/>
        <w:ind w:left="0" w:firstLine="0"/>
        <w:rPr>
          <w:b/>
          <w:caps/>
          <w:color w:val="0000FF"/>
        </w:rPr>
      </w:pPr>
      <w:r>
        <w:t>2008 05 16 (žin., 2008, 59-2243) ir 2008 10 06 (Žin., 2008, Nr. 119-4524) papildytos naujų medžiagų kiekiais Narkotinių ir psichotropinių medžiagų nedidelio, didelio ir labai didelio kiekio nustatymo rekomendacijos, patvirtintos Lietuvos Respublikos sveikatos apsaugos ministro 2003 m. balandžio 23 d. įsakymu Nr. V-239.</w:t>
      </w:r>
    </w:p>
    <w:p w:rsidR="00DD08F5" w:rsidRDefault="00DD08F5" w:rsidP="00DD08F5">
      <w:pPr>
        <w:jc w:val="center"/>
        <w:rPr>
          <w:b/>
          <w:caps/>
          <w:color w:val="0000FF"/>
        </w:rPr>
      </w:pPr>
      <w:r>
        <w:rPr>
          <w:b/>
          <w:caps/>
          <w:color w:val="0000FF"/>
        </w:rPr>
        <w:t>IŠVADOS</w:t>
      </w:r>
    </w:p>
    <w:p w:rsidR="00DD08F5" w:rsidRDefault="00DD08F5" w:rsidP="00DD08F5">
      <w:pPr>
        <w:jc w:val="center"/>
        <w:rPr>
          <w:b/>
          <w:caps/>
          <w:color w:val="0000FF"/>
        </w:rPr>
      </w:pPr>
    </w:p>
    <w:p w:rsidR="00DD08F5" w:rsidRDefault="00DD08F5" w:rsidP="00DD08F5">
      <w:pPr>
        <w:ind w:firstLine="720"/>
        <w:jc w:val="both"/>
      </w:pPr>
      <w:r>
        <w:t xml:space="preserve">Narkotikų reiškinys Lietuvoje jau nebe naujiena ir vis labiau visuomenė išmoksta su juo susigyventi, tai nereiškia, kad didėja tolerancija narkotikams, tačiau visuomenės sąmoningumas dėl sergamumo narkotikų priklausomybe, žalos mažinimo programų, didėja, stengiamasi nuo narkotikų priklausomam asmeniui padėti, jį gydyti ir reabilituoti pilnaverčiam gyvenimui, o ne pasmerkti jį izoliacijai ar smerkti kaip nusikaltėlį. Visuomenė nepakanti narkotikų platintojams, tačiau neretai </w:t>
      </w:r>
      <w:r>
        <w:lastRenderedPageBreak/>
        <w:t>narkotikų kurjeriai toleruojami ir pateisinami, kaip nelaimingi žmonės, norėję užsidirbti pinigų, taip mastantys nesivargina pagalvoti, o kam gi skirti tie narkotikai, kuriuos gabeno kurjeris, ar tai ne toks pat platintojas?</w:t>
      </w:r>
    </w:p>
    <w:p w:rsidR="00DD08F5" w:rsidRDefault="00DD08F5" w:rsidP="00DD08F5">
      <w:pPr>
        <w:ind w:firstLine="720"/>
        <w:jc w:val="both"/>
      </w:pPr>
      <w:r>
        <w:t>Nelegali narkotikų apyvarta šalyje įgavo stabilumo požymių, tendencijos jau kelis metus iš eilės nesikeičia:</w:t>
      </w:r>
    </w:p>
    <w:p w:rsidR="00DD08F5" w:rsidRDefault="00DD08F5" w:rsidP="00DD08F5">
      <w:pPr>
        <w:tabs>
          <w:tab w:val="num" w:pos="540"/>
        </w:tabs>
        <w:jc w:val="both"/>
      </w:pPr>
      <w:r>
        <w:t xml:space="preserve">Nedidelis nelegalios narkotikų apyvartos augimas:               </w:t>
      </w:r>
    </w:p>
    <w:p w:rsidR="00DD08F5" w:rsidRDefault="00DD08F5" w:rsidP="00DD08F5">
      <w:pPr>
        <w:jc w:val="both"/>
      </w:pPr>
    </w:p>
    <w:p w:rsidR="00DD08F5" w:rsidRDefault="00DD08F5" w:rsidP="00DD08F5">
      <w:pPr>
        <w:numPr>
          <w:ilvl w:val="1"/>
          <w:numId w:val="27"/>
        </w:numPr>
        <w:tabs>
          <w:tab w:val="num" w:pos="1260"/>
        </w:tabs>
        <w:ind w:left="1260" w:hanging="540"/>
        <w:jc w:val="both"/>
      </w:pPr>
      <w:r>
        <w:t>daugėja narkotikų sulaikymų;</w:t>
      </w:r>
    </w:p>
    <w:p w:rsidR="00DD08F5" w:rsidRDefault="00DD08F5" w:rsidP="00DD08F5">
      <w:pPr>
        <w:numPr>
          <w:ilvl w:val="1"/>
          <w:numId w:val="27"/>
        </w:numPr>
        <w:tabs>
          <w:tab w:val="num" w:pos="1260"/>
        </w:tabs>
        <w:ind w:left="1260" w:hanging="540"/>
        <w:jc w:val="both"/>
      </w:pPr>
      <w:r>
        <w:t>didėja sulaikytų narkotikų kiekiai;</w:t>
      </w:r>
    </w:p>
    <w:p w:rsidR="00DD08F5" w:rsidRDefault="00DD08F5" w:rsidP="00DD08F5">
      <w:pPr>
        <w:numPr>
          <w:ilvl w:val="1"/>
          <w:numId w:val="27"/>
        </w:numPr>
        <w:tabs>
          <w:tab w:val="num" w:pos="1260"/>
        </w:tabs>
        <w:ind w:left="1260" w:hanging="540"/>
        <w:jc w:val="both"/>
      </w:pPr>
      <w:r>
        <w:t>narkotikų rinkoje pasirodo naujos nekontroliuojamos psichoaktyvios medžiagos;</w:t>
      </w:r>
    </w:p>
    <w:p w:rsidR="00DD08F5" w:rsidRDefault="00DD08F5" w:rsidP="00DD08F5">
      <w:pPr>
        <w:numPr>
          <w:ilvl w:val="1"/>
          <w:numId w:val="27"/>
        </w:numPr>
        <w:tabs>
          <w:tab w:val="num" w:pos="1260"/>
        </w:tabs>
        <w:ind w:left="1260" w:hanging="540"/>
        <w:jc w:val="both"/>
      </w:pPr>
      <w:r>
        <w:t>narkotikų vidutinė koncentracija išlieka pakankamai aukšta ir stabili;</w:t>
      </w:r>
    </w:p>
    <w:p w:rsidR="00DD08F5" w:rsidRDefault="00DD08F5" w:rsidP="00DD08F5">
      <w:pPr>
        <w:numPr>
          <w:ilvl w:val="1"/>
          <w:numId w:val="27"/>
        </w:numPr>
        <w:tabs>
          <w:tab w:val="num" w:pos="1260"/>
        </w:tabs>
        <w:ind w:left="1260" w:hanging="540"/>
        <w:jc w:val="both"/>
      </w:pPr>
      <w:r>
        <w:t xml:space="preserve">narkotikų kaina stabili. </w:t>
      </w:r>
    </w:p>
    <w:p w:rsidR="00DD08F5" w:rsidRDefault="00DD08F5" w:rsidP="00DD08F5">
      <w:pPr>
        <w:jc w:val="both"/>
        <w:rPr>
          <w:color w:val="0000FF"/>
        </w:rPr>
      </w:pPr>
      <w:r>
        <w:t>Populiariausi narkotikai – marihuana ir ATS  medžiagos</w:t>
      </w:r>
      <w:r>
        <w:rPr>
          <w:color w:val="0000FF"/>
        </w:rPr>
        <w:t>:</w:t>
      </w:r>
    </w:p>
    <w:p w:rsidR="00DD08F5" w:rsidRDefault="00DD08F5" w:rsidP="00DD08F5">
      <w:pPr>
        <w:jc w:val="both"/>
        <w:rPr>
          <w:color w:val="0000FF"/>
        </w:rPr>
      </w:pPr>
    </w:p>
    <w:p w:rsidR="00DD08F5" w:rsidRDefault="00DD08F5" w:rsidP="00DD08F5">
      <w:pPr>
        <w:numPr>
          <w:ilvl w:val="0"/>
          <w:numId w:val="28"/>
        </w:numPr>
        <w:jc w:val="both"/>
      </w:pPr>
      <w:r>
        <w:t xml:space="preserve">   metamfetaminas populiariausias iš ATS medžiagų;</w:t>
      </w:r>
    </w:p>
    <w:p w:rsidR="00DD08F5" w:rsidRDefault="00DD08F5" w:rsidP="00DD08F5">
      <w:pPr>
        <w:numPr>
          <w:ilvl w:val="0"/>
          <w:numId w:val="28"/>
        </w:numPr>
        <w:jc w:val="both"/>
      </w:pPr>
      <w:r>
        <w:t xml:space="preserve">   nelegali nedidelės apimties amfetamino ir metamfetamino gamyba Lietuvoje;</w:t>
      </w:r>
    </w:p>
    <w:p w:rsidR="00DD08F5" w:rsidRDefault="00DD08F5" w:rsidP="00DD08F5">
      <w:pPr>
        <w:numPr>
          <w:ilvl w:val="0"/>
          <w:numId w:val="28"/>
        </w:numPr>
        <w:tabs>
          <w:tab w:val="num" w:pos="1260"/>
        </w:tabs>
        <w:jc w:val="both"/>
      </w:pPr>
      <w:r>
        <w:t>kanapių auginimas dirbtinėmis sąlygomis.</w:t>
      </w:r>
    </w:p>
    <w:p w:rsidR="00DD08F5" w:rsidRDefault="00DD08F5" w:rsidP="00DD08F5">
      <w:pPr>
        <w:tabs>
          <w:tab w:val="num" w:pos="540"/>
        </w:tabs>
        <w:jc w:val="both"/>
      </w:pPr>
      <w:r>
        <w:t>Heroino apyvarta:</w:t>
      </w:r>
    </w:p>
    <w:p w:rsidR="00DD08F5" w:rsidRDefault="00DD08F5" w:rsidP="00DD08F5">
      <w:pPr>
        <w:numPr>
          <w:ilvl w:val="0"/>
          <w:numId w:val="29"/>
        </w:numPr>
        <w:tabs>
          <w:tab w:val="num" w:pos="1260"/>
        </w:tabs>
        <w:jc w:val="both"/>
      </w:pPr>
      <w:r>
        <w:t>per dvejus metus dvigubai padažnėjo sulaikymų;</w:t>
      </w:r>
    </w:p>
    <w:p w:rsidR="00DD08F5" w:rsidRDefault="00DD08F5" w:rsidP="00DD08F5">
      <w:pPr>
        <w:numPr>
          <w:ilvl w:val="0"/>
          <w:numId w:val="29"/>
        </w:numPr>
        <w:tabs>
          <w:tab w:val="num" w:pos="1260"/>
        </w:tabs>
        <w:jc w:val="both"/>
      </w:pPr>
      <w:r>
        <w:t>didelės koncentracijos heroinas gatvės prekyboje;</w:t>
      </w:r>
    </w:p>
    <w:p w:rsidR="00DD08F5" w:rsidRDefault="00DD08F5" w:rsidP="00DD08F5">
      <w:pPr>
        <w:numPr>
          <w:ilvl w:val="0"/>
          <w:numId w:val="29"/>
        </w:numPr>
        <w:tabs>
          <w:tab w:val="num" w:pos="1260"/>
        </w:tabs>
        <w:jc w:val="both"/>
      </w:pPr>
      <w:r>
        <w:t>sulaikytas didelis kiekis šalies vidaus rinkoje.</w:t>
      </w:r>
    </w:p>
    <w:p w:rsidR="00DD08F5" w:rsidRDefault="00DD08F5" w:rsidP="00DD08F5">
      <w:pPr>
        <w:jc w:val="both"/>
        <w:rPr>
          <w:color w:val="0000FF"/>
        </w:rPr>
      </w:pPr>
      <w:r>
        <w:t>Padidėjusi kokaino pasiūla</w:t>
      </w:r>
      <w:r>
        <w:rPr>
          <w:color w:val="0000FF"/>
        </w:rPr>
        <w:t>:</w:t>
      </w:r>
    </w:p>
    <w:p w:rsidR="00DD08F5" w:rsidRDefault="00DD08F5" w:rsidP="00DD08F5">
      <w:pPr>
        <w:numPr>
          <w:ilvl w:val="0"/>
          <w:numId w:val="31"/>
        </w:numPr>
        <w:tabs>
          <w:tab w:val="num" w:pos="1260"/>
        </w:tabs>
        <w:jc w:val="both"/>
      </w:pPr>
      <w:r>
        <w:t>vidaus rinkoje sulaikomi didesni kiekiai;</w:t>
      </w:r>
    </w:p>
    <w:p w:rsidR="00DD08F5" w:rsidRDefault="00DD08F5" w:rsidP="00DD08F5">
      <w:pPr>
        <w:numPr>
          <w:ilvl w:val="0"/>
          <w:numId w:val="31"/>
        </w:numPr>
        <w:tabs>
          <w:tab w:val="num" w:pos="1260"/>
        </w:tabs>
        <w:jc w:val="both"/>
      </w:pPr>
      <w:r>
        <w:t>dažniau sulaikoma šalies viduje;</w:t>
      </w:r>
    </w:p>
    <w:p w:rsidR="00DD08F5" w:rsidRDefault="00DD08F5" w:rsidP="00DD08F5">
      <w:pPr>
        <w:numPr>
          <w:ilvl w:val="0"/>
          <w:numId w:val="31"/>
        </w:numPr>
        <w:tabs>
          <w:tab w:val="num" w:pos="1260"/>
          <w:tab w:val="num" w:pos="1800"/>
        </w:tabs>
        <w:jc w:val="both"/>
        <w:rPr>
          <w:color w:val="0000FF"/>
        </w:rPr>
      </w:pPr>
      <w:r>
        <w:t>kokaino sulaikymai fiksuojami ne tik didmiesčiuose, bet ir mažesniuose miesteliuose.</w:t>
      </w:r>
    </w:p>
    <w:p w:rsidR="00DD08F5" w:rsidRDefault="00DD08F5" w:rsidP="00DD08F5">
      <w:pPr>
        <w:jc w:val="both"/>
        <w:rPr>
          <w:color w:val="0000FF"/>
        </w:rPr>
      </w:pPr>
      <w:r>
        <w:t>LR piliečių vaidmuo tarptautinėje nelegalioje narkotikų ir prekursorių apyvartoje:</w:t>
      </w:r>
      <w:r>
        <w:rPr>
          <w:color w:val="0000FF"/>
        </w:rPr>
        <w:t xml:space="preserve"> </w:t>
      </w:r>
    </w:p>
    <w:p w:rsidR="00DD08F5" w:rsidRDefault="00DD08F5" w:rsidP="00DD08F5">
      <w:pPr>
        <w:numPr>
          <w:ilvl w:val="0"/>
          <w:numId w:val="34"/>
        </w:numPr>
        <w:tabs>
          <w:tab w:val="num" w:pos="1260"/>
        </w:tabs>
        <w:ind w:hanging="1080"/>
        <w:jc w:val="both"/>
      </w:pPr>
      <w:r>
        <w:t>Amfetamino ir metamfetamino kontrabanda iš/per Lietuvą į Skandinaviją,</w:t>
      </w:r>
    </w:p>
    <w:p w:rsidR="00DD08F5" w:rsidRDefault="00DD08F5" w:rsidP="00DD08F5">
      <w:pPr>
        <w:numPr>
          <w:ilvl w:val="0"/>
          <w:numId w:val="34"/>
        </w:numPr>
        <w:tabs>
          <w:tab w:val="num" w:pos="1260"/>
        </w:tabs>
        <w:ind w:hanging="1080"/>
        <w:jc w:val="both"/>
      </w:pPr>
      <w:r>
        <w:t>BMK kontrabanda iš Rusijos į V.Europą;</w:t>
      </w:r>
    </w:p>
    <w:p w:rsidR="00DD08F5" w:rsidRDefault="00DD08F5" w:rsidP="00DD08F5">
      <w:pPr>
        <w:numPr>
          <w:ilvl w:val="0"/>
          <w:numId w:val="34"/>
        </w:numPr>
        <w:tabs>
          <w:tab w:val="num" w:pos="1260"/>
        </w:tabs>
        <w:ind w:hanging="1080"/>
        <w:jc w:val="both"/>
      </w:pPr>
      <w:r>
        <w:t>ATS medžiagų kontrabanda į Baltarusiją ir Rusiją;</w:t>
      </w:r>
    </w:p>
    <w:p w:rsidR="00DD08F5" w:rsidRDefault="00DD08F5" w:rsidP="00DD08F5">
      <w:pPr>
        <w:numPr>
          <w:ilvl w:val="0"/>
          <w:numId w:val="34"/>
        </w:numPr>
        <w:tabs>
          <w:tab w:val="num" w:pos="1260"/>
        </w:tabs>
        <w:ind w:hanging="1080"/>
        <w:jc w:val="both"/>
      </w:pPr>
      <w:r>
        <w:t>Kokaino kontrabanda iš Pietų Amerikos ir Karibų jūros regiono į Europą;</w:t>
      </w:r>
    </w:p>
    <w:p w:rsidR="00DD08F5" w:rsidRDefault="00DD08F5" w:rsidP="00DD08F5">
      <w:pPr>
        <w:numPr>
          <w:ilvl w:val="0"/>
          <w:numId w:val="34"/>
        </w:numPr>
        <w:tabs>
          <w:tab w:val="num" w:pos="1260"/>
        </w:tabs>
        <w:ind w:left="1260" w:hanging="540"/>
        <w:jc w:val="both"/>
      </w:pPr>
      <w:r>
        <w:t>Organizavimas / dalyvavimas hašišo kontrabandos gabenime iš Pietų Europos į V.Europą arba Rusiją.</w:t>
      </w: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r>
        <w:tab/>
      </w:r>
      <w:r>
        <w:tab/>
      </w:r>
      <w:r>
        <w:tab/>
        <w:t>TURINYS</w:t>
      </w: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p>
    <w:p w:rsidR="00DD08F5" w:rsidRDefault="00DD08F5" w:rsidP="00DD08F5">
      <w:pPr>
        <w:ind w:firstLine="720"/>
        <w:jc w:val="both"/>
      </w:pPr>
      <w:r>
        <w:t>Komisijos sudėtis---------------------------------------------------2 psl.</w:t>
      </w:r>
    </w:p>
    <w:p w:rsidR="00DD08F5" w:rsidRDefault="00DD08F5" w:rsidP="00DD08F5">
      <w:pPr>
        <w:ind w:firstLine="720"/>
        <w:jc w:val="both"/>
      </w:pPr>
      <w:r>
        <w:t>Komisijos posėdžiai--------------------------------------------3 - 7 psl.</w:t>
      </w:r>
    </w:p>
    <w:p w:rsidR="00DD08F5" w:rsidRDefault="00DD08F5" w:rsidP="00DD08F5">
      <w:pPr>
        <w:ind w:firstLine="720"/>
        <w:jc w:val="both"/>
      </w:pPr>
      <w:r>
        <w:t>Komisijos veikla 2009 metais -------------------------------- 8- 9 psl.</w:t>
      </w:r>
    </w:p>
    <w:p w:rsidR="00DD08F5" w:rsidRDefault="00DD08F5" w:rsidP="00DD08F5">
      <w:pPr>
        <w:ind w:firstLine="720"/>
        <w:jc w:val="both"/>
      </w:pPr>
      <w:r>
        <w:t>Komisijos parlamentinė kontrolė-----------------------------     9 psl.</w:t>
      </w:r>
    </w:p>
    <w:p w:rsidR="00DD08F5" w:rsidRDefault="00DD08F5" w:rsidP="00DD08F5">
      <w:pPr>
        <w:ind w:firstLine="720"/>
        <w:jc w:val="both"/>
      </w:pPr>
      <w:r>
        <w:t>I. Dėl paauglių svaiginimosi vaistais, alkoholiu,</w:t>
      </w:r>
    </w:p>
    <w:p w:rsidR="00DD08F5" w:rsidRDefault="00DD08F5" w:rsidP="00DD08F5">
      <w:pPr>
        <w:ind w:left="720" w:firstLine="720"/>
        <w:jc w:val="both"/>
      </w:pPr>
      <w:r>
        <w:t xml:space="preserve"> narkotinėmis ir psichotropinėmis medžiagomis,</w:t>
      </w:r>
    </w:p>
    <w:p w:rsidR="00DD08F5" w:rsidRDefault="00DD08F5" w:rsidP="00DD08F5">
      <w:pPr>
        <w:ind w:left="720" w:firstLine="720"/>
        <w:jc w:val="both"/>
      </w:pPr>
      <w:r>
        <w:t xml:space="preserve"> kitomis medžiagomis ir apsinuodijimų jais -----9 – 40 psl.</w:t>
      </w:r>
    </w:p>
    <w:p w:rsidR="00DD08F5" w:rsidRDefault="00DD08F5" w:rsidP="00DD08F5">
      <w:pPr>
        <w:ind w:firstLine="720"/>
        <w:jc w:val="both"/>
      </w:pPr>
      <w:r>
        <w:t>II. Lietuvos Respublikos vaiko minimalios ir vidutinės</w:t>
      </w:r>
    </w:p>
    <w:p w:rsidR="00DD08F5" w:rsidRDefault="00DD08F5" w:rsidP="00DD08F5">
      <w:pPr>
        <w:ind w:firstLine="720"/>
        <w:jc w:val="both"/>
      </w:pPr>
      <w:r>
        <w:t xml:space="preserve">             priežiūros įstatymo įgyvendinimas----------- --40 – 41 psl.</w:t>
      </w:r>
    </w:p>
    <w:p w:rsidR="00DD08F5" w:rsidRDefault="00DD08F5" w:rsidP="00DD08F5">
      <w:pPr>
        <w:ind w:firstLine="720"/>
        <w:jc w:val="both"/>
      </w:pPr>
      <w:r>
        <w:t>III. Europos Sąjungos struktūrinė parama Lietuvai,</w:t>
      </w:r>
    </w:p>
    <w:p w:rsidR="00DD08F5" w:rsidRDefault="00DD08F5" w:rsidP="00DD08F5">
      <w:pPr>
        <w:ind w:firstLine="720"/>
        <w:jc w:val="both"/>
      </w:pPr>
      <w:r>
        <w:tab/>
        <w:t>sprendžiant 2007 – 2013 m. šeimos ir vaiko gerovės</w:t>
      </w:r>
    </w:p>
    <w:p w:rsidR="00DD08F5" w:rsidRDefault="00DD08F5" w:rsidP="00DD08F5">
      <w:pPr>
        <w:ind w:firstLine="720"/>
        <w:jc w:val="both"/>
      </w:pPr>
      <w:r>
        <w:tab/>
        <w:t>politikos klausimus Lietuvoje------------------- 41 – 43  psl.</w:t>
      </w:r>
    </w:p>
    <w:p w:rsidR="00DD08F5" w:rsidRDefault="00DD08F5" w:rsidP="00DD08F5">
      <w:pPr>
        <w:ind w:firstLine="720"/>
        <w:jc w:val="both"/>
      </w:pPr>
      <w:r>
        <w:t>IV. Dėl narkotikų, alkoholio ir tabako kontrolės ------ -43 - 58 psl.</w:t>
      </w:r>
    </w:p>
    <w:p w:rsidR="00DD08F5" w:rsidRDefault="00DD08F5" w:rsidP="00DD08F5">
      <w:pPr>
        <w:ind w:firstLine="720"/>
        <w:jc w:val="both"/>
      </w:pPr>
      <w:r>
        <w:t xml:space="preserve">V. Dėl 2005 – 2008 metų priklausomybės ligų programos </w:t>
      </w:r>
    </w:p>
    <w:p w:rsidR="00DD08F5" w:rsidRDefault="00DD08F5" w:rsidP="00DD08F5">
      <w:pPr>
        <w:ind w:firstLine="720"/>
        <w:jc w:val="both"/>
      </w:pPr>
      <w:r>
        <w:tab/>
        <w:t>Įgyvendinimo Lietuvoje --------------------------58 – 59 psl.</w:t>
      </w:r>
    </w:p>
    <w:p w:rsidR="00DD08F5" w:rsidRDefault="00DD08F5" w:rsidP="00DD08F5">
      <w:pPr>
        <w:ind w:firstLine="720"/>
        <w:jc w:val="both"/>
      </w:pPr>
      <w:r>
        <w:lastRenderedPageBreak/>
        <w:t>VI. Dėl efektyvios kompleksinės pagalbos vaikams,</w:t>
      </w:r>
    </w:p>
    <w:p w:rsidR="00DD08F5" w:rsidRDefault="00DD08F5" w:rsidP="00DD08F5">
      <w:pPr>
        <w:ind w:left="720" w:firstLine="720"/>
        <w:jc w:val="both"/>
      </w:pPr>
      <w:r>
        <w:t>sergantiems priklausomybės ligomis,</w:t>
      </w:r>
    </w:p>
    <w:p w:rsidR="00DD08F5" w:rsidRDefault="00DD08F5" w:rsidP="00DD08F5">
      <w:pPr>
        <w:ind w:left="720" w:firstLine="720"/>
        <w:jc w:val="both"/>
      </w:pPr>
      <w:r>
        <w:t>sistemos sukūrimo --------------------------------59 – 83 psl.</w:t>
      </w:r>
    </w:p>
    <w:p w:rsidR="00DD08F5" w:rsidRDefault="00DD08F5" w:rsidP="00DD08F5">
      <w:pPr>
        <w:jc w:val="both"/>
      </w:pPr>
      <w:r>
        <w:t xml:space="preserve">      </w:t>
      </w:r>
      <w:r>
        <w:tab/>
        <w:t xml:space="preserve">VII. Priklausomybių gydymas: </w:t>
      </w:r>
    </w:p>
    <w:p w:rsidR="00DD08F5" w:rsidRDefault="00DD08F5" w:rsidP="00DD08F5">
      <w:pPr>
        <w:ind w:left="720" w:firstLine="720"/>
        <w:jc w:val="both"/>
      </w:pPr>
      <w:r>
        <w:t>pirminė sveikatos priežiūra ----------------------83 – 88 psl.</w:t>
      </w:r>
    </w:p>
    <w:p w:rsidR="00DD08F5" w:rsidRDefault="00DD08F5" w:rsidP="00DD08F5">
      <w:pPr>
        <w:jc w:val="both"/>
      </w:pPr>
      <w:r>
        <w:tab/>
        <w:t xml:space="preserve">VIII. Dėl paslaugų prieinamumo pagerinimo asmenims, </w:t>
      </w:r>
    </w:p>
    <w:p w:rsidR="00DD08F5" w:rsidRDefault="00DD08F5" w:rsidP="00DD08F5">
      <w:pPr>
        <w:jc w:val="both"/>
      </w:pPr>
      <w:r>
        <w:tab/>
      </w:r>
      <w:r>
        <w:tab/>
        <w:t>Esantiems laisvės atėmimo vietose, priklausomiems</w:t>
      </w:r>
    </w:p>
    <w:p w:rsidR="00DD08F5" w:rsidRDefault="00DD08F5" w:rsidP="00DD08F5">
      <w:pPr>
        <w:ind w:left="720" w:firstLine="720"/>
        <w:jc w:val="both"/>
      </w:pPr>
      <w:r>
        <w:t xml:space="preserve">Nuo alkoholizmo, narkotikų ir psichotropinių </w:t>
      </w:r>
    </w:p>
    <w:p w:rsidR="00DD08F5" w:rsidRDefault="00DD08F5" w:rsidP="00DD08F5">
      <w:pPr>
        <w:ind w:left="720" w:firstLine="720"/>
        <w:jc w:val="both"/>
      </w:pPr>
      <w:r>
        <w:t>Medžiagų vartojimo --------------------------- --88 – 89 psl.</w:t>
      </w:r>
    </w:p>
    <w:p w:rsidR="00DD08F5" w:rsidRDefault="00DD08F5" w:rsidP="00DD08F5">
      <w:pPr>
        <w:jc w:val="both"/>
      </w:pPr>
      <w:r>
        <w:t xml:space="preserve">           IX. Narkotinių ir psichotropinių medžiagų pirmtakų</w:t>
      </w:r>
    </w:p>
    <w:p w:rsidR="00DD08F5" w:rsidRDefault="00DD08F5" w:rsidP="00DD08F5">
      <w:pPr>
        <w:ind w:left="720" w:firstLine="720"/>
        <w:jc w:val="both"/>
      </w:pPr>
      <w:r>
        <w:t>(prekursorių) kontrolė -------------------------- -89 – 92 psl.</w:t>
      </w:r>
    </w:p>
    <w:p w:rsidR="00DD08F5" w:rsidRDefault="00DD08F5" w:rsidP="00DD08F5">
      <w:pPr>
        <w:ind w:firstLine="720"/>
        <w:jc w:val="both"/>
      </w:pPr>
      <w:r>
        <w:t>X. Narkotikų kontrolės departamento prie Lietuvos Respublikos</w:t>
      </w:r>
    </w:p>
    <w:p w:rsidR="00DD08F5" w:rsidRDefault="00DD08F5" w:rsidP="00DD08F5">
      <w:pPr>
        <w:ind w:left="720" w:firstLine="720"/>
        <w:jc w:val="both"/>
      </w:pPr>
      <w:r>
        <w:t>Vyriausybės 2004 – 2008 metų veikla------ -92 – 115 psl.</w:t>
      </w:r>
    </w:p>
    <w:p w:rsidR="00DD08F5" w:rsidRDefault="00DD08F5" w:rsidP="00DD08F5">
      <w:pPr>
        <w:ind w:firstLine="720"/>
        <w:jc w:val="both"/>
      </w:pPr>
      <w:r>
        <w:t xml:space="preserve">XI. Metinė apžvalga apie neteisėtą narkotikų apyvartą </w:t>
      </w:r>
    </w:p>
    <w:p w:rsidR="00DD08F5" w:rsidRDefault="00DD08F5" w:rsidP="00DD08F5">
      <w:pPr>
        <w:ind w:firstLine="720"/>
        <w:jc w:val="both"/>
      </w:pPr>
      <w:r>
        <w:tab/>
        <w:t xml:space="preserve">ir jos kontrolę Lietuvoje ----------------------115 – 132 psl.               </w:t>
      </w:r>
    </w:p>
    <w:p w:rsidR="00DD08F5" w:rsidRDefault="00DD08F5" w:rsidP="00DD08F5">
      <w:pPr>
        <w:ind w:firstLine="720"/>
        <w:jc w:val="both"/>
      </w:pPr>
      <w:r>
        <w:tab/>
      </w:r>
    </w:p>
    <w:p w:rsidR="00DD08F5" w:rsidRDefault="00DD08F5" w:rsidP="00DD08F5">
      <w:pPr>
        <w:ind w:firstLine="720"/>
        <w:jc w:val="both"/>
      </w:pPr>
      <w:r>
        <w:t xml:space="preserve">Turinys ----------------------------------------------------------133 psl.   </w:t>
      </w:r>
    </w:p>
    <w:p w:rsidR="00F77E33" w:rsidRPr="00D138CB" w:rsidRDefault="00F77E33" w:rsidP="002B7A0A">
      <w:pPr>
        <w:jc w:val="center"/>
        <w:rPr>
          <w:rFonts w:ascii="TimesLT" w:hAnsi="TimesLT"/>
          <w:b/>
          <w:sz w:val="56"/>
          <w:szCs w:val="56"/>
        </w:rPr>
      </w:pPr>
    </w:p>
    <w:p w:rsidR="002B7A0A" w:rsidRDefault="002B7A0A" w:rsidP="002B7A0A">
      <w:pPr>
        <w:jc w:val="center"/>
        <w:rPr>
          <w:rFonts w:ascii="TimesLT" w:hAnsi="TimesLT"/>
          <w:b/>
          <w:sz w:val="28"/>
        </w:rPr>
      </w:pPr>
    </w:p>
    <w:p w:rsidR="00CF5DDA" w:rsidRDefault="00CF5DDA"/>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22CC" w:rsidRDefault="006222CC"/>
    <w:p w:rsidR="00626711" w:rsidRDefault="00626711" w:rsidP="00626711">
      <w:pPr>
        <w:ind w:left="1440" w:firstLine="720"/>
        <w:jc w:val="both"/>
        <w:rPr>
          <w:b/>
          <w:bCs/>
          <w:sz w:val="28"/>
        </w:rPr>
      </w:pPr>
    </w:p>
    <w:p w:rsidR="00626711" w:rsidRDefault="00626711" w:rsidP="00626711">
      <w:pPr>
        <w:ind w:left="1440" w:firstLine="720"/>
        <w:jc w:val="both"/>
        <w:rPr>
          <w:b/>
          <w:bCs/>
          <w:sz w:val="28"/>
        </w:rPr>
      </w:pPr>
      <w:r>
        <w:rPr>
          <w:b/>
          <w:bCs/>
          <w:sz w:val="28"/>
        </w:rPr>
        <w:t xml:space="preserve">   LIETUVOS RESPUBLIKOS SEIMO</w:t>
      </w:r>
    </w:p>
    <w:p w:rsidR="00626711" w:rsidRDefault="00626711" w:rsidP="00626711">
      <w:pPr>
        <w:jc w:val="both"/>
        <w:rPr>
          <w:b/>
          <w:bCs/>
          <w:sz w:val="28"/>
        </w:rPr>
      </w:pPr>
    </w:p>
    <w:p w:rsidR="00626711" w:rsidRDefault="00626711" w:rsidP="00626711">
      <w:pPr>
        <w:ind w:left="1440"/>
        <w:jc w:val="both"/>
        <w:rPr>
          <w:b/>
          <w:bCs/>
          <w:sz w:val="28"/>
        </w:rPr>
      </w:pPr>
      <w:r>
        <w:rPr>
          <w:b/>
          <w:bCs/>
          <w:sz w:val="28"/>
        </w:rPr>
        <w:t>NARKOMANIJOS IR ALKOHOLIZMO PREVENCIJOS</w:t>
      </w:r>
    </w:p>
    <w:p w:rsidR="00626711" w:rsidRDefault="00626711" w:rsidP="00626711">
      <w:pPr>
        <w:ind w:left="1440"/>
        <w:jc w:val="both"/>
        <w:rPr>
          <w:b/>
          <w:bCs/>
          <w:sz w:val="28"/>
        </w:rPr>
      </w:pPr>
      <w:r>
        <w:rPr>
          <w:b/>
          <w:bCs/>
          <w:sz w:val="28"/>
        </w:rPr>
        <w:t xml:space="preserve">                             KOMISIJOS</w:t>
      </w:r>
    </w:p>
    <w:p w:rsidR="00626711" w:rsidRDefault="00626711" w:rsidP="00626711">
      <w:pPr>
        <w:jc w:val="both"/>
        <w:rPr>
          <w:b/>
          <w:bCs/>
          <w:sz w:val="28"/>
        </w:rPr>
      </w:pPr>
    </w:p>
    <w:p w:rsidR="00626711" w:rsidRDefault="00626711" w:rsidP="00626711">
      <w:pPr>
        <w:ind w:left="2160" w:firstLine="720"/>
        <w:jc w:val="both"/>
        <w:rPr>
          <w:b/>
          <w:bCs/>
          <w:sz w:val="28"/>
        </w:rPr>
      </w:pPr>
      <w:r>
        <w:rPr>
          <w:b/>
          <w:bCs/>
          <w:sz w:val="28"/>
        </w:rPr>
        <w:t>2010 METŲ VEIKLOS</w:t>
      </w:r>
    </w:p>
    <w:p w:rsidR="00626711" w:rsidRDefault="00626711" w:rsidP="00626711">
      <w:pPr>
        <w:jc w:val="both"/>
        <w:rPr>
          <w:b/>
          <w:bCs/>
          <w:sz w:val="28"/>
        </w:rPr>
      </w:pPr>
    </w:p>
    <w:p w:rsidR="00626711" w:rsidRDefault="00626711" w:rsidP="00626711">
      <w:pPr>
        <w:jc w:val="both"/>
        <w:rPr>
          <w:b/>
          <w:bCs/>
          <w:sz w:val="28"/>
        </w:rPr>
      </w:pPr>
    </w:p>
    <w:p w:rsidR="00626711" w:rsidRDefault="00626711" w:rsidP="00626711">
      <w:pPr>
        <w:jc w:val="both"/>
        <w:rPr>
          <w:b/>
          <w:bCs/>
          <w:sz w:val="28"/>
        </w:rPr>
      </w:pPr>
    </w:p>
    <w:p w:rsidR="00626711" w:rsidRDefault="00626711" w:rsidP="00626711">
      <w:pPr>
        <w:pStyle w:val="Normal1"/>
        <w:rPr>
          <w:b/>
          <w:bCs/>
          <w:sz w:val="28"/>
          <w:szCs w:val="24"/>
          <w:lang w:val="lt-LT"/>
        </w:rPr>
      </w:pPr>
      <w:r>
        <w:rPr>
          <w:b/>
          <w:bCs/>
          <w:sz w:val="28"/>
          <w:szCs w:val="24"/>
          <w:lang w:val="lt-LT"/>
        </w:rPr>
        <w:t xml:space="preserve">                                                A T A S K A I T A</w:t>
      </w:r>
    </w:p>
    <w:p w:rsidR="00626711" w:rsidRDefault="00626711" w:rsidP="00626711">
      <w:pPr>
        <w:jc w:val="both"/>
        <w:rPr>
          <w:b/>
          <w:bCs/>
          <w:sz w:val="28"/>
        </w:rPr>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jc w:val="both"/>
      </w:pPr>
    </w:p>
    <w:p w:rsidR="00626711" w:rsidRDefault="00626711" w:rsidP="00626711">
      <w:pPr>
        <w:pStyle w:val="Pagrindiniotekstotrauka"/>
        <w:rPr>
          <w:szCs w:val="24"/>
        </w:rPr>
      </w:pPr>
      <w:r>
        <w:rPr>
          <w:szCs w:val="24"/>
        </w:rPr>
        <w:t>Lietuvos Respublikos Seimas, vadovaudamasis Seimo statuto 71 straipsniu, 2008 m. gruodžio 2 d. nutarimu Nr. XI-37 sudarė nuolatinę Seimo Narkomanijos ir alkoholizmo prevencijos komisiją iš 14 narių.</w:t>
      </w:r>
    </w:p>
    <w:p w:rsidR="00626711" w:rsidRDefault="00626711" w:rsidP="00626711">
      <w:pPr>
        <w:ind w:firstLine="720"/>
        <w:jc w:val="both"/>
      </w:pPr>
      <w:r>
        <w:t xml:space="preserve">Nuo 2008 m. gruodžio 3 d. Lietuvos Respublikos Seimo Narkomanijos ir alkoholizmo prevencijos komisijos pirmininke išrinkta Vincė Vaidevutė Margevičienė. </w:t>
      </w:r>
    </w:p>
    <w:p w:rsidR="00626711" w:rsidRDefault="00626711" w:rsidP="00626711">
      <w:pPr>
        <w:ind w:firstLine="720"/>
        <w:jc w:val="both"/>
      </w:pPr>
      <w:r>
        <w:t>2009 m. gruodžio 3 d. Seimo Narkomanijos ir alkoholizmo prevencijos komisijos posėdyje komisijos pirmininko pavaduotoja išrinkta  Seimo narė Dangutė Mikutienė.</w:t>
      </w:r>
    </w:p>
    <w:p w:rsidR="00626711" w:rsidRDefault="00626711" w:rsidP="00626711">
      <w:pPr>
        <w:ind w:firstLine="720"/>
        <w:jc w:val="both"/>
      </w:pPr>
      <w:r>
        <w:t>2009 m. kovo 26 d.  Lietuvos Respublikos Seimas nutarimu Nr. XI - 210 “Dėl Lietuvos Respublikos Seimo Narkomanijos ir alkoholizmo prevencijos komisijos nuostatų patvirtinimo” patvirtino Seimo Narkomanijos ir alkoholizmo prevencijos komisijos nuostatus.</w:t>
      </w:r>
    </w:p>
    <w:p w:rsidR="00626711" w:rsidRDefault="00626711" w:rsidP="00626711">
      <w:pPr>
        <w:ind w:firstLine="720"/>
        <w:jc w:val="both"/>
      </w:pPr>
      <w:r>
        <w:t xml:space="preserve">Lietuvos Respublikos Seimo Narkomanijos ir alkoholizmo prevencijos komisijos sudėtis: </w:t>
      </w:r>
    </w:p>
    <w:p w:rsidR="00626711" w:rsidRDefault="00626711" w:rsidP="00626711">
      <w:pPr>
        <w:ind w:firstLine="720"/>
        <w:jc w:val="both"/>
      </w:pPr>
      <w:r>
        <w:t>1) Vaidotas Bacevičius;</w:t>
      </w:r>
    </w:p>
    <w:p w:rsidR="00626711" w:rsidRDefault="00626711" w:rsidP="00626711">
      <w:pPr>
        <w:ind w:firstLine="720"/>
        <w:jc w:val="both"/>
      </w:pPr>
      <w:r>
        <w:t>2) Algimantas Dumbrava;</w:t>
      </w:r>
    </w:p>
    <w:p w:rsidR="00626711" w:rsidRDefault="00626711" w:rsidP="00626711">
      <w:pPr>
        <w:ind w:firstLine="720"/>
        <w:jc w:val="both"/>
      </w:pPr>
      <w:r>
        <w:t>3) Linas Karalius;</w:t>
      </w:r>
    </w:p>
    <w:p w:rsidR="00626711" w:rsidRDefault="00626711" w:rsidP="00626711">
      <w:pPr>
        <w:ind w:firstLine="720"/>
        <w:jc w:val="both"/>
      </w:pPr>
      <w:r>
        <w:t>4) Egidijus Klumbys;</w:t>
      </w:r>
    </w:p>
    <w:p w:rsidR="00626711" w:rsidRDefault="00626711" w:rsidP="00626711">
      <w:pPr>
        <w:ind w:firstLine="720"/>
        <w:jc w:val="both"/>
      </w:pPr>
      <w:r>
        <w:t>5) Jonas Liesys;</w:t>
      </w:r>
    </w:p>
    <w:p w:rsidR="00626711" w:rsidRDefault="00626711" w:rsidP="00626711">
      <w:pPr>
        <w:ind w:firstLine="720"/>
        <w:jc w:val="both"/>
      </w:pPr>
      <w:r>
        <w:t>6) Vincė Vaidevutė Margevičienė;</w:t>
      </w:r>
    </w:p>
    <w:p w:rsidR="00626711" w:rsidRDefault="00626711" w:rsidP="00626711">
      <w:pPr>
        <w:ind w:firstLine="720"/>
        <w:jc w:val="both"/>
      </w:pPr>
      <w:r>
        <w:t>7) Donalda Meiželytė - Svilienė;</w:t>
      </w:r>
    </w:p>
    <w:p w:rsidR="00626711" w:rsidRDefault="00626711" w:rsidP="00626711">
      <w:pPr>
        <w:ind w:firstLine="720"/>
        <w:jc w:val="both"/>
      </w:pPr>
      <w:r>
        <w:t>8) Dangutė Mikutienė;</w:t>
      </w:r>
    </w:p>
    <w:p w:rsidR="00626711" w:rsidRDefault="00626711" w:rsidP="00626711">
      <w:pPr>
        <w:ind w:firstLine="720"/>
        <w:jc w:val="both"/>
      </w:pPr>
      <w:r>
        <w:t>9) Gediminas Navaitis;</w:t>
      </w:r>
    </w:p>
    <w:p w:rsidR="00626711" w:rsidRDefault="00626711" w:rsidP="00626711">
      <w:pPr>
        <w:ind w:firstLine="720"/>
        <w:jc w:val="both"/>
      </w:pPr>
      <w:r>
        <w:t>10) Algis Rimas;</w:t>
      </w:r>
    </w:p>
    <w:p w:rsidR="00626711" w:rsidRDefault="00626711" w:rsidP="00626711">
      <w:pPr>
        <w:ind w:firstLine="720"/>
        <w:jc w:val="both"/>
      </w:pPr>
      <w:r>
        <w:t>11) Algirdas Sysas;</w:t>
      </w:r>
    </w:p>
    <w:p w:rsidR="00626711" w:rsidRDefault="00626711" w:rsidP="00626711">
      <w:pPr>
        <w:ind w:firstLine="720"/>
        <w:jc w:val="both"/>
      </w:pPr>
      <w:r>
        <w:t>12) Gintaras Songaila;</w:t>
      </w:r>
    </w:p>
    <w:p w:rsidR="00626711" w:rsidRDefault="00626711" w:rsidP="00626711">
      <w:pPr>
        <w:ind w:firstLine="720"/>
        <w:jc w:val="both"/>
      </w:pPr>
      <w:r>
        <w:t>13) Kazimieras Uoka;</w:t>
      </w:r>
    </w:p>
    <w:p w:rsidR="00626711" w:rsidRDefault="00626711" w:rsidP="00626711">
      <w:pPr>
        <w:ind w:firstLine="720"/>
        <w:jc w:val="both"/>
      </w:pPr>
      <w:r>
        <w:t>14) Vidmantas Žiemelis.</w:t>
      </w:r>
    </w:p>
    <w:p w:rsidR="00626711" w:rsidRDefault="00626711" w:rsidP="00626711">
      <w:pPr>
        <w:jc w:val="both"/>
      </w:pPr>
    </w:p>
    <w:p w:rsidR="00626711" w:rsidRDefault="00626711" w:rsidP="00626711">
      <w:pPr>
        <w:jc w:val="both"/>
      </w:pPr>
      <w:r>
        <w:tab/>
      </w:r>
      <w:r>
        <w:tab/>
      </w:r>
      <w:r>
        <w:tab/>
      </w:r>
    </w:p>
    <w:p w:rsidR="00626711" w:rsidRDefault="00626711" w:rsidP="00626711">
      <w:pPr>
        <w:jc w:val="both"/>
        <w:rPr>
          <w:bCs/>
          <w:noProof/>
          <w:szCs w:val="20"/>
        </w:rPr>
      </w:pPr>
    </w:p>
    <w:p w:rsidR="00626711" w:rsidRDefault="00626711" w:rsidP="00626711">
      <w:pPr>
        <w:jc w:val="both"/>
      </w:pPr>
      <w:r>
        <w:rPr>
          <w:bCs/>
          <w:i/>
          <w:noProof/>
          <w:szCs w:val="28"/>
        </w:rPr>
        <w:t xml:space="preserve">     </w:t>
      </w:r>
    </w:p>
    <w:p w:rsidR="00626711" w:rsidRDefault="00626711" w:rsidP="00626711"/>
    <w:p w:rsidR="00626711" w:rsidRDefault="00626711" w:rsidP="00626711">
      <w:pPr>
        <w:pStyle w:val="Antrat1"/>
        <w:jc w:val="both"/>
      </w:pPr>
    </w:p>
    <w:p w:rsidR="00626711" w:rsidRDefault="00626711" w:rsidP="00626711">
      <w:pPr>
        <w:pStyle w:val="Antrat1"/>
        <w:jc w:val="both"/>
      </w:pPr>
    </w:p>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 w:rsidR="00626711" w:rsidRDefault="00626711" w:rsidP="00626711">
      <w:pPr>
        <w:pStyle w:val="Antrat1"/>
        <w:jc w:val="both"/>
        <w:rPr>
          <w:b w:val="0"/>
          <w:bCs w:val="0"/>
        </w:rPr>
      </w:pPr>
    </w:p>
    <w:p w:rsidR="00626711" w:rsidRPr="00CD6088" w:rsidRDefault="00626711" w:rsidP="00626711"/>
    <w:p w:rsidR="00626711" w:rsidRPr="00C301EA" w:rsidRDefault="00626711" w:rsidP="00626711">
      <w:pPr>
        <w:pStyle w:val="Antrat1"/>
        <w:jc w:val="both"/>
      </w:pPr>
      <w:r w:rsidRPr="00C301EA">
        <w:t>KOMISIJOS POSĖDŽIAI</w:t>
      </w:r>
    </w:p>
    <w:p w:rsidR="00626711" w:rsidRPr="00F94DD1" w:rsidRDefault="00626711" w:rsidP="00626711">
      <w:pPr>
        <w:jc w:val="both"/>
        <w:rPr>
          <w:b/>
        </w:rPr>
      </w:pPr>
    </w:p>
    <w:p w:rsidR="00626711" w:rsidRPr="00F94DD1" w:rsidRDefault="00626711" w:rsidP="00626711">
      <w:pPr>
        <w:pStyle w:val="Betarp"/>
        <w:jc w:val="both"/>
        <w:rPr>
          <w:rFonts w:eastAsia="Arial Unicode MS"/>
        </w:rPr>
      </w:pPr>
      <w:r w:rsidRPr="00F94DD1">
        <w:rPr>
          <w:b/>
          <w:i/>
          <w:iCs/>
        </w:rPr>
        <w:t xml:space="preserve">1 posėdis </w:t>
      </w:r>
      <w:r w:rsidRPr="00F94DD1">
        <w:rPr>
          <w:i/>
          <w:iCs/>
        </w:rPr>
        <w:t xml:space="preserve">- 2010-02-10 </w:t>
      </w:r>
      <w:r w:rsidRPr="00F94DD1">
        <w:t>Seimo Narkomanijos ir alkoholizmo prevencijos komisija posėdyje svarstė šiuos klausimus: “Dėl 2010 m. maisto iš intervencinių atsargų tiekimo paskirtoms organizacijoms ir jo paskirstymo socialinės rizikos grupėms” bei “</w:t>
      </w:r>
      <w:r w:rsidRPr="00F94DD1">
        <w:rPr>
          <w:rFonts w:eastAsia="Arial Unicode MS"/>
        </w:rPr>
        <w:t>Dėl priklausomybės ligų centrų reformos, keičiantis steigėjui, ir vaikų ir jaunimo trumpalaikės bei ilgalaikės reabilitacijos paslaugų tolimesnio teikimo”.</w:t>
      </w:r>
    </w:p>
    <w:p w:rsidR="00626711" w:rsidRPr="00F94DD1" w:rsidRDefault="00626711" w:rsidP="00626711">
      <w:pPr>
        <w:pStyle w:val="Betarp"/>
        <w:jc w:val="both"/>
      </w:pPr>
      <w:r w:rsidRPr="00F94DD1">
        <w:rPr>
          <w:rFonts w:eastAsia="Arial Unicode MS"/>
          <w:b/>
          <w:i/>
          <w:iCs/>
        </w:rPr>
        <w:t xml:space="preserve">2 posėdis </w:t>
      </w:r>
      <w:r w:rsidRPr="00F94DD1">
        <w:rPr>
          <w:rFonts w:eastAsia="Arial Unicode MS"/>
          <w:i/>
          <w:iCs/>
        </w:rPr>
        <w:t>- 2010-03-17</w:t>
      </w:r>
      <w:r w:rsidRPr="00F94DD1">
        <w:rPr>
          <w:rFonts w:eastAsia="Arial Unicode MS"/>
        </w:rPr>
        <w:t xml:space="preserve"> </w:t>
      </w:r>
      <w:r w:rsidRPr="00F94DD1">
        <w:t>Seimo Narkomanijos ir alkoholizmo prevencijos komisija posėdyje svarstė šiuos klausimus: “</w:t>
      </w:r>
      <w:r w:rsidRPr="00F94DD1">
        <w:rPr>
          <w:rFonts w:eastAsia="Arial Unicode MS"/>
        </w:rPr>
        <w:t>Dėl teikiamų nakvynės paslaugų asmenims be gyvenamosios vietos Lietuvoje” ir “</w:t>
      </w:r>
      <w:r w:rsidRPr="00F94DD1">
        <w:t>Dėl vaikų nelankančių mokyklos 2009 m. rugsėjo – gruodžio mėnesiais”.</w:t>
      </w:r>
    </w:p>
    <w:p w:rsidR="00626711" w:rsidRPr="00F94DD1" w:rsidRDefault="00626711" w:rsidP="00626711">
      <w:pPr>
        <w:pStyle w:val="Betarp"/>
        <w:jc w:val="both"/>
        <w:rPr>
          <w:rFonts w:eastAsia="Arial Unicode MS"/>
        </w:rPr>
      </w:pPr>
      <w:r w:rsidRPr="00F94DD1">
        <w:rPr>
          <w:b/>
          <w:i/>
          <w:iCs/>
        </w:rPr>
        <w:t xml:space="preserve">3 posėdis </w:t>
      </w:r>
      <w:r w:rsidRPr="00F94DD1">
        <w:rPr>
          <w:i/>
          <w:iCs/>
        </w:rPr>
        <w:t>- 2010-03-24</w:t>
      </w:r>
      <w:r w:rsidRPr="00F94DD1">
        <w:t xml:space="preserve"> Seimo Narkomanijos ir alkoholizmo prevencijos komisija posėdyje išklausė </w:t>
      </w:r>
      <w:r w:rsidRPr="00F94DD1">
        <w:rPr>
          <w:rFonts w:eastAsia="Arial Unicode MS"/>
        </w:rPr>
        <w:t xml:space="preserve">Policijos departamento prie LR VRM Neteisėtos narkotikų apyvartos Lietuvoje 2009 m. pristatytos apžvalgos, buvo pristatytas </w:t>
      </w:r>
      <w:r w:rsidRPr="00F94DD1">
        <w:t>Narkotikų kontrolės departamento parengtas Narkotinių ir psichotropinių medžiagų kontrolės įstatymo 2, 3 ir 10 straipsnių pakeitimo ir papildymo įstatymo projektas, buvo svarstomas klausimas “</w:t>
      </w:r>
      <w:r w:rsidRPr="00F94DD1">
        <w:rPr>
          <w:rFonts w:eastAsia="Arial Unicode MS"/>
        </w:rPr>
        <w:t>Narkomanijos ir alkoholizmo prevencijos komisijos 2006-12-19 sprendimo “Dėl narkomanijos prevencijos ir narkotikų užkardymo romų tabore Kirtimuose, Vilniuje” įgyvendinimo problemos”.</w:t>
      </w:r>
    </w:p>
    <w:p w:rsidR="00626711" w:rsidRPr="00F94DD1" w:rsidRDefault="00626711" w:rsidP="00626711">
      <w:pPr>
        <w:pStyle w:val="Betarp"/>
        <w:jc w:val="both"/>
      </w:pPr>
      <w:r w:rsidRPr="00F94DD1">
        <w:rPr>
          <w:b/>
          <w:i/>
          <w:iCs/>
        </w:rPr>
        <w:t>4 posėdis</w:t>
      </w:r>
      <w:r w:rsidRPr="00F94DD1">
        <w:rPr>
          <w:i/>
          <w:iCs/>
        </w:rPr>
        <w:t xml:space="preserve"> - 2010-04-07</w:t>
      </w:r>
      <w:r w:rsidRPr="00F94DD1">
        <w:t xml:space="preserve"> Seimo Narkomanijos ir alkoholizmo prevencijos komisija posėdyje išklausė Muitinės departamento prie Finansų ministerijos ir Valstybės sienos apsaugos tarnybos atstovų informaciją „  Dėl laivų (bet kurio tipo savaeigio arba nesavaeigio plaukiojančio statinio, kuris yra arba gali būti naudojamas laivybai) išorinės povandeninės dalies patikrinimo Klaipėdos valstybinio jūrų uosto pasienio kontrolės punktų teritorijoje“, „Dėl prekių gabenimo, laikymo ir tikrinimo Klaipėdos valstybinio jūrų uosto pasienio kontrolės punktų teritorijoje esančiose muitinės prižiūrimose uosto komplekso zonose“, „</w:t>
      </w:r>
      <w:r w:rsidRPr="00F94DD1">
        <w:rPr>
          <w:rFonts w:eastAsia="Arial Unicode MS"/>
        </w:rPr>
        <w:t>Dėl asmenų ir transporto priemonių tikrinimo</w:t>
      </w:r>
      <w:r w:rsidRPr="00F94DD1">
        <w:t xml:space="preserve"> Klaipėdos valstybinio jūrų uosto pasienio kontrolės punktų teritorijoje“ ir „Dėl sintetinių narkotikų gabenimo užkardymo pasienio kontrolės punktuose“. </w:t>
      </w:r>
    </w:p>
    <w:p w:rsidR="00626711" w:rsidRPr="00F94DD1" w:rsidRDefault="00626711" w:rsidP="00626711">
      <w:pPr>
        <w:pStyle w:val="Betarp"/>
        <w:jc w:val="both"/>
        <w:rPr>
          <w:rFonts w:eastAsia="Arial Unicode MS"/>
        </w:rPr>
      </w:pPr>
      <w:r w:rsidRPr="00F94DD1">
        <w:rPr>
          <w:rFonts w:eastAsia="Arial Unicode MS"/>
          <w:b/>
          <w:i/>
          <w:iCs/>
        </w:rPr>
        <w:t>5 posėdis</w:t>
      </w:r>
      <w:r w:rsidRPr="00F94DD1">
        <w:rPr>
          <w:rFonts w:eastAsia="Arial Unicode MS"/>
          <w:i/>
          <w:iCs/>
        </w:rPr>
        <w:t xml:space="preserve"> - 2010-05-12</w:t>
      </w:r>
      <w:r w:rsidRPr="00F94DD1">
        <w:t xml:space="preserve"> Seimo Narkomanijos ir alkoholizmo prevencijos komisija posėdyje patvirtino </w:t>
      </w:r>
      <w:r w:rsidRPr="00F94DD1">
        <w:rPr>
          <w:rFonts w:eastAsia="Arial Unicode MS"/>
        </w:rPr>
        <w:t xml:space="preserve">Seimo Narkomanijos ir alkoholizmo prevencijos komisijos 2009 metų veiklos ataskaitą, svarstė </w:t>
      </w:r>
      <w:r w:rsidRPr="00F94DD1">
        <w:t xml:space="preserve">Seimo Narkomanijos ir alkoholizmo prevencijos komisijos 2010 metų veiklos planą bei išklausė </w:t>
      </w:r>
      <w:r w:rsidRPr="00F94DD1">
        <w:rPr>
          <w:rFonts w:eastAsia="Arial Unicode MS"/>
        </w:rPr>
        <w:t>Vaiko minimalios ir vidutinės priežiūros įstatymo projekto pristatymo.</w:t>
      </w:r>
    </w:p>
    <w:p w:rsidR="00626711" w:rsidRPr="00F94DD1" w:rsidRDefault="00626711" w:rsidP="00626711">
      <w:pPr>
        <w:pStyle w:val="Betarp"/>
        <w:jc w:val="both"/>
      </w:pPr>
      <w:r w:rsidRPr="00F94DD1">
        <w:rPr>
          <w:b/>
          <w:i/>
          <w:iCs/>
        </w:rPr>
        <w:t>6 posėdis</w:t>
      </w:r>
      <w:r w:rsidRPr="00F94DD1">
        <w:rPr>
          <w:i/>
          <w:iCs/>
        </w:rPr>
        <w:t xml:space="preserve"> - 2010-05-26</w:t>
      </w:r>
      <w:r w:rsidRPr="00F94DD1">
        <w:t xml:space="preserve"> Seimo Narkomanijos ir alkoholizmo prevencijos komisija posėdyje patvirtino Seimo Narkomanijos ir alkoholizmo prevencijos komisijos 2010 metų veiklos planą.</w:t>
      </w:r>
    </w:p>
    <w:p w:rsidR="00626711" w:rsidRPr="00F94DD1" w:rsidRDefault="00626711" w:rsidP="00626711">
      <w:pPr>
        <w:pStyle w:val="Betarp"/>
        <w:jc w:val="both"/>
        <w:rPr>
          <w:rFonts w:eastAsia="Arial Unicode MS"/>
        </w:rPr>
      </w:pPr>
      <w:r w:rsidRPr="00F94DD1">
        <w:rPr>
          <w:b/>
          <w:i/>
          <w:iCs/>
        </w:rPr>
        <w:t>7 posėdis</w:t>
      </w:r>
      <w:r w:rsidRPr="00F94DD1">
        <w:rPr>
          <w:i/>
          <w:iCs/>
        </w:rPr>
        <w:t xml:space="preserve"> - 2010-06-02</w:t>
      </w:r>
      <w:r w:rsidRPr="00F94DD1">
        <w:t xml:space="preserve"> Seimo Narkomanijos ir alkoholizmo prevencijos komisija posėdyje svarstė šiuos klausimus: “</w:t>
      </w:r>
      <w:r w:rsidRPr="00F94DD1">
        <w:rPr>
          <w:rFonts w:eastAsia="Arial Unicode MS"/>
        </w:rPr>
        <w:t>Dėl priklausomybės ligų centrų reformos, keičiantis steigėjui, ir vaikų ir jaunimo trumpalaikės bei ilgalaikės reabilitacijos paslaugų tolimesnio teikimo”, “</w:t>
      </w:r>
      <w:r w:rsidRPr="00F94DD1">
        <w:t>Programų (Psichoaktyvių medžiagų vartojimo prevencijos mokymo programa tėvams, Priklausomybių prevencija rizikos vaikams, Vaikų gyvenimo įgūdžių programa), skirtų psichoaktyvių ir narkotinių medžiagų vartojimo prevencijai, įgyvendinimo problemos” bei patvirtino i</w:t>
      </w:r>
      <w:r w:rsidRPr="00F94DD1">
        <w:rPr>
          <w:rFonts w:eastAsia="Arial Unicode MS"/>
        </w:rPr>
        <w:t>švadą Narkotinių ir psichotropinių medžiagų kontrolės 2, 3 ir 10 straipsnių pakeitimo ir papildymo įstatymo projektui Nr. XIP-2067.</w:t>
      </w:r>
    </w:p>
    <w:p w:rsidR="00626711" w:rsidRPr="00F94DD1" w:rsidRDefault="00626711" w:rsidP="00626711">
      <w:pPr>
        <w:pStyle w:val="Betarp"/>
        <w:jc w:val="both"/>
      </w:pPr>
      <w:r w:rsidRPr="00F94DD1">
        <w:rPr>
          <w:b/>
          <w:i/>
          <w:iCs/>
        </w:rPr>
        <w:t>8 posėdis</w:t>
      </w:r>
      <w:r w:rsidRPr="00F94DD1">
        <w:rPr>
          <w:i/>
          <w:iCs/>
        </w:rPr>
        <w:t xml:space="preserve"> - 2010-06-16</w:t>
      </w:r>
      <w:r w:rsidRPr="00F94DD1">
        <w:t xml:space="preserve"> Seimo Narkomanijos ir alkoholizmo prevencijos komisija posėdyje patvirtino išvadas: „Dėl Lietuvos Respublikos Administracinių teisės pažeidimų kodekso </w:t>
      </w:r>
      <w:r w:rsidRPr="00F94DD1">
        <w:rPr>
          <w:lang w:eastAsia="lt-LT"/>
        </w:rPr>
        <w:t>185</w:t>
      </w:r>
      <w:r w:rsidRPr="00F94DD1">
        <w:rPr>
          <w:vertAlign w:val="superscript"/>
          <w:lang w:eastAsia="lt-LT"/>
        </w:rPr>
        <w:t>3</w:t>
      </w:r>
      <w:r w:rsidRPr="00F94DD1">
        <w:rPr>
          <w:lang w:eastAsia="lt-LT"/>
        </w:rPr>
        <w:t>, 247</w:t>
      </w:r>
      <w:r w:rsidRPr="00F94DD1">
        <w:rPr>
          <w:vertAlign w:val="superscript"/>
          <w:lang w:eastAsia="lt-LT"/>
        </w:rPr>
        <w:t>5</w:t>
      </w:r>
      <w:r w:rsidRPr="00F94DD1">
        <w:rPr>
          <w:lang w:eastAsia="lt-LT"/>
        </w:rPr>
        <w:t xml:space="preserve">, </w:t>
      </w:r>
      <w:r w:rsidRPr="00F94DD1">
        <w:t>259</w:t>
      </w:r>
      <w:r w:rsidRPr="00F94DD1">
        <w:rPr>
          <w:vertAlign w:val="superscript"/>
        </w:rPr>
        <w:t>1</w:t>
      </w:r>
      <w:r w:rsidRPr="00F94DD1">
        <w:t>,</w:t>
      </w:r>
      <w:r w:rsidRPr="00F94DD1">
        <w:rPr>
          <w:b/>
          <w:bCs/>
          <w:caps/>
        </w:rPr>
        <w:t xml:space="preserve"> </w:t>
      </w:r>
      <w:r w:rsidRPr="00F94DD1">
        <w:t>320</w:t>
      </w:r>
      <w:r w:rsidRPr="00F94DD1">
        <w:rPr>
          <w:bCs/>
        </w:rPr>
        <w:t xml:space="preserve"> straipsnių pakeitimo įstatymo projekto Nr. XIP-1290(2)”; “ Dėl </w:t>
      </w:r>
      <w:r w:rsidRPr="00F94DD1">
        <w:t>Lietuvos Respublikos Seimo statuto „Dėl Seimo statuto 60 straipsnio pakeitimo“</w:t>
      </w:r>
      <w:r w:rsidRPr="00F94DD1">
        <w:rPr>
          <w:bCs/>
        </w:rPr>
        <w:t xml:space="preserve"> projekto Nr. XIP-1902”; “Dėl </w:t>
      </w:r>
      <w:r w:rsidRPr="00F94DD1">
        <w:t>2010-06-03 priimto Lietuvos Respublikos Vyriausybės įstatymo 3, 6, 22, 24, 26, 29, 30, 31, 31</w:t>
      </w:r>
      <w:r w:rsidRPr="00F94DD1">
        <w:rPr>
          <w:vertAlign w:val="superscript"/>
        </w:rPr>
        <w:t>1</w:t>
      </w:r>
      <w:r w:rsidRPr="00F94DD1">
        <w:t>, 35, 38, 45 straipsnių, aštuntojo skirsnio pavadinimo pakeitimo, įstatymo papildymo 28</w:t>
      </w:r>
      <w:r w:rsidRPr="00F94DD1">
        <w:rPr>
          <w:vertAlign w:val="superscript"/>
        </w:rPr>
        <w:t>1</w:t>
      </w:r>
      <w:r w:rsidRPr="00F94DD1">
        <w:t>, 29</w:t>
      </w:r>
      <w:r w:rsidRPr="00F94DD1">
        <w:rPr>
          <w:vertAlign w:val="superscript"/>
        </w:rPr>
        <w:t xml:space="preserve">1 </w:t>
      </w:r>
      <w:r w:rsidRPr="00F94DD1">
        <w:t>straipsniais ir 33 straipsnio pripažinimo netekusiu galios įstatymo (sujungus projektą XIP –1842(2) su Projektu XIP-1131(2)  įgyvendinimo”.</w:t>
      </w:r>
    </w:p>
    <w:p w:rsidR="00626711" w:rsidRPr="00F94DD1" w:rsidRDefault="00626711" w:rsidP="00626711">
      <w:pPr>
        <w:pStyle w:val="Betarp"/>
        <w:jc w:val="both"/>
        <w:rPr>
          <w:bCs/>
        </w:rPr>
      </w:pPr>
      <w:r w:rsidRPr="00F94DD1">
        <w:rPr>
          <w:b/>
          <w:i/>
          <w:iCs/>
        </w:rPr>
        <w:t>9 posėdis</w:t>
      </w:r>
      <w:r w:rsidRPr="00F94DD1">
        <w:rPr>
          <w:i/>
          <w:iCs/>
        </w:rPr>
        <w:t xml:space="preserve"> - 2010-06-18</w:t>
      </w:r>
      <w:r w:rsidRPr="00F94DD1">
        <w:t xml:space="preserve"> Seimo Narkomanijos ir alkoholizmo prevencijos komisija posėdyje patvirtino papildomo komiteto išvadas: „ Dėl Lietuvos Respublikos Sveikatos sistemos įstatymo papildymo 70</w:t>
      </w:r>
      <w:r w:rsidRPr="00F94DD1">
        <w:rPr>
          <w:vertAlign w:val="superscript"/>
        </w:rPr>
        <w:t>1</w:t>
      </w:r>
      <w:r w:rsidRPr="00F94DD1">
        <w:t xml:space="preserve"> straipsniu ir 70  straipsnio pripažinimo netekusiu galios įstatymo projekto Nr. XIP-1285(2) papildomo komiteto išvados“; „ Dėl Lietuvos Respublikos Alkoholio kontrolės įstatymo 12,16, 18</w:t>
      </w:r>
      <w:r w:rsidRPr="00F94DD1">
        <w:rPr>
          <w:vertAlign w:val="superscript"/>
        </w:rPr>
        <w:t xml:space="preserve">1  </w:t>
      </w:r>
      <w:r w:rsidRPr="00F94DD1">
        <w:t xml:space="preserve">, 29, 31, 32, 34 straipsnių pakeitimo įstatymo projekto Nr. XIP-1286(2) papildomo komiteto išvados”; “ Dėl Lietuvos Respublikos Tabako kontrolės įstatymo 11 ir 26 straipsnių pakeitimo įstatymo projekto Nr. </w:t>
      </w:r>
      <w:r w:rsidRPr="00F94DD1">
        <w:lastRenderedPageBreak/>
        <w:t xml:space="preserve">XIP- 1287(2) papildomo komiteto išvados”; „Dėl Lietuvos Respublikos Cheminių medžiagų ir preparatų įstatymo 19 straipsnio pakeitimo įstatymo projekto Nr. XIP- 1288(2) papildomo komiteto išvados“; „Dėl Lietuvos Respublikos Narkotinių ir psichotropinių medžiagų pirmtakų (prekursorių) kontrolės įstatymo 2,3,4,5,6 ir 7 straipsnių pakeitimo įstatymo projekto Nr. XIP-1289(2) papildomo komiteto išvados“; „Dėl Lietuvos Respublikos Administracinių teisės pažeidimų kodekso </w:t>
      </w:r>
      <w:r w:rsidRPr="00F94DD1">
        <w:rPr>
          <w:lang w:eastAsia="lt-LT"/>
        </w:rPr>
        <w:t>185</w:t>
      </w:r>
      <w:r w:rsidRPr="00F94DD1">
        <w:rPr>
          <w:vertAlign w:val="superscript"/>
          <w:lang w:eastAsia="lt-LT"/>
        </w:rPr>
        <w:t>3</w:t>
      </w:r>
      <w:r w:rsidRPr="00F94DD1">
        <w:rPr>
          <w:lang w:eastAsia="lt-LT"/>
        </w:rPr>
        <w:t>, 247</w:t>
      </w:r>
      <w:r w:rsidRPr="00F94DD1">
        <w:rPr>
          <w:vertAlign w:val="superscript"/>
          <w:lang w:eastAsia="lt-LT"/>
        </w:rPr>
        <w:t>5</w:t>
      </w:r>
      <w:r w:rsidRPr="00F94DD1">
        <w:rPr>
          <w:lang w:eastAsia="lt-LT"/>
        </w:rPr>
        <w:t xml:space="preserve">, </w:t>
      </w:r>
      <w:r w:rsidRPr="00F94DD1">
        <w:t>259</w:t>
      </w:r>
      <w:r w:rsidRPr="00F94DD1">
        <w:rPr>
          <w:vertAlign w:val="superscript"/>
        </w:rPr>
        <w:t>1</w:t>
      </w:r>
      <w:r w:rsidRPr="00F94DD1">
        <w:t>,</w:t>
      </w:r>
      <w:r w:rsidRPr="00F94DD1">
        <w:rPr>
          <w:b/>
          <w:bCs/>
          <w:caps/>
        </w:rPr>
        <w:t xml:space="preserve"> </w:t>
      </w:r>
      <w:r w:rsidRPr="00F94DD1">
        <w:t>320</w:t>
      </w:r>
      <w:r w:rsidRPr="00F94DD1">
        <w:rPr>
          <w:bCs/>
        </w:rPr>
        <w:t xml:space="preserve"> straipsnių pakeitimo įstatymo projekto Nr. XIP-1290(2) papildomo komiteto išvados“;  “ Dėl </w:t>
      </w:r>
      <w:r w:rsidRPr="00F94DD1">
        <w:t>Lietuvos Respublikos Seimo statuto „Dėl Seimo statuto 60 straipsnio pakeitimo“</w:t>
      </w:r>
      <w:r w:rsidRPr="00F94DD1">
        <w:rPr>
          <w:bCs/>
        </w:rPr>
        <w:t xml:space="preserve"> projekto Nr. XIP-1902  papildomo komiteto išvados”.</w:t>
      </w:r>
    </w:p>
    <w:p w:rsidR="00626711" w:rsidRPr="00F94DD1" w:rsidRDefault="00626711" w:rsidP="00626711">
      <w:pPr>
        <w:pStyle w:val="Betarp"/>
        <w:jc w:val="both"/>
        <w:rPr>
          <w:rFonts w:eastAsia="Arial Unicode MS"/>
        </w:rPr>
      </w:pPr>
      <w:r w:rsidRPr="00F94DD1">
        <w:rPr>
          <w:b/>
          <w:i/>
          <w:iCs/>
        </w:rPr>
        <w:t>10 posėdis</w:t>
      </w:r>
      <w:r w:rsidRPr="00F94DD1">
        <w:rPr>
          <w:i/>
          <w:iCs/>
        </w:rPr>
        <w:t xml:space="preserve"> - 2010-09-15</w:t>
      </w:r>
      <w:r w:rsidRPr="00F94DD1">
        <w:t xml:space="preserve"> Seimo Narkomanijos ir alkoholizmo prevencijos komisija posėdyje svarstė šiuos klausimus:</w:t>
      </w:r>
      <w:r w:rsidRPr="00F94DD1">
        <w:rPr>
          <w:rFonts w:eastAsia="Arial Unicode MS"/>
        </w:rPr>
        <w:t xml:space="preserve"> “Dėl Priklausomybės ligų centrų pavaldumo ir finansavimo”, “Dėl laisvės atėmimo vietose esančių asmenų, sergančių priklausomybės bei užkrečiamomis ligomis gydymo”, “Dėl patobulintos </w:t>
      </w:r>
      <w:r w:rsidRPr="00F94DD1">
        <w:t xml:space="preserve">Nacionalinės narkotikų kontrolės ir narkomanijos prevencijos </w:t>
      </w:r>
      <w:bookmarkStart w:id="8" w:name="2z"/>
      <w:r w:rsidRPr="00F94DD1">
        <w:rPr>
          <w:color w:val="000000"/>
        </w:rPr>
        <w:t>2010–2016 metų  programos projekto”,</w:t>
      </w:r>
      <w:bookmarkEnd w:id="8"/>
      <w:r w:rsidRPr="00F94DD1">
        <w:rPr>
          <w:color w:val="000000"/>
        </w:rPr>
        <w:t xml:space="preserve"> “</w:t>
      </w:r>
      <w:r w:rsidRPr="00F94DD1">
        <w:rPr>
          <w:rFonts w:eastAsia="Arial Unicode MS"/>
        </w:rPr>
        <w:t xml:space="preserve"> Dėl rengiamos 2010 m. lapkričio mėn. 10 d. tarptautinės konferencijos”. </w:t>
      </w:r>
    </w:p>
    <w:p w:rsidR="00626711" w:rsidRPr="00F94DD1" w:rsidRDefault="00626711" w:rsidP="00626711">
      <w:pPr>
        <w:pStyle w:val="Betarp"/>
        <w:jc w:val="both"/>
        <w:rPr>
          <w:rFonts w:eastAsia="Arial Unicode MS"/>
        </w:rPr>
      </w:pPr>
      <w:r w:rsidRPr="00CC0D7D">
        <w:rPr>
          <w:b/>
          <w:i/>
        </w:rPr>
        <w:t>11 posėdis</w:t>
      </w:r>
      <w:r w:rsidRPr="00F94DD1">
        <w:t xml:space="preserve"> - 2010-09-22 Seimo Narkomanijos ir alkoholizmo prevencijos komisija posėdyje patvirtino i</w:t>
      </w:r>
      <w:r w:rsidRPr="00F94DD1">
        <w:rPr>
          <w:rFonts w:eastAsia="Arial Unicode MS"/>
        </w:rPr>
        <w:t>švadą Nutarimo “Dėl Nacionalinės narkotikų kontrolės ir narkomanijos prevencijos 2010-2016 metų programos patvirtinimo” projektui Nr. XIP-980 bei priėmė sprendimą “Dėl asmenų, kurie kreipiasi į asmens sveikatos priežiūros įstaigas dėl psichikos ir elgesio sutrikimų, vartojant narkotines ir psichotropines medžiagas, stebėsenos”.</w:t>
      </w:r>
    </w:p>
    <w:p w:rsidR="00626711" w:rsidRPr="00F94DD1" w:rsidRDefault="00626711" w:rsidP="00626711">
      <w:pPr>
        <w:pStyle w:val="Betarp"/>
        <w:jc w:val="both"/>
      </w:pPr>
      <w:r w:rsidRPr="00CC0D7D">
        <w:rPr>
          <w:b/>
          <w:i/>
        </w:rPr>
        <w:t>12 posėdis</w:t>
      </w:r>
      <w:r w:rsidRPr="00F94DD1">
        <w:t xml:space="preserve"> - 2010-09-29 Seimo Narkomanijos ir alkoholizmo prevencijos komisija posėdyje svarstė klausimus: „ Dėl suaugusiųjų asmenų, sergančių priklausomybės ligomis, gydymo ir šių paslaugų finansavimo 2010 metais”, “</w:t>
      </w:r>
      <w:r w:rsidRPr="00F94DD1">
        <w:rPr>
          <w:rFonts w:eastAsia="Arial Unicode MS"/>
        </w:rPr>
        <w:t>Dėl Lietuvos sveikatos priežiūros įstaigose teikiamų paslaugų vaikams, sergantiems priklausomybės ligomis ir šių paslaugų finansavimo 2010 metais”, “Dėl paauglių svaiginimosi vaistais ir medicininio audito atlikimo Sveikatos apsaugos ministerijos sistemoje narkotinių ir psichotropinių medžiagų skyrimo ir medicininių receptų išrašymo teisėtumo ir pagrįstumo”. Patvirtino išvadas : “</w:t>
      </w:r>
      <w:r w:rsidRPr="00F94DD1">
        <w:t>Dėl Lietuvos Respublikos Seimo nutarimo “Dėl Lietuvos Respublikos Seimo nutarimo “Dėl ilgalaikių valstybinių saugumo stiprinimo programų rengimo plano patvirtinimo” papildymo” projekto Nr. XIP- 981”, “Dėl Lietuvos Respublikos Narkotinių ir psichotropinių medžiagų kontrolės įstatymo 2,3 ir 10 straipsnių pakeitimo ir papildymo įstatymo projekto Nr. XIP-2067 2 straipsnio  9 dalies sąvokos patikslinimo”.</w:t>
      </w:r>
    </w:p>
    <w:p w:rsidR="00626711" w:rsidRPr="00F94DD1" w:rsidRDefault="00626711" w:rsidP="00626711">
      <w:pPr>
        <w:pStyle w:val="Betarp"/>
        <w:jc w:val="both"/>
      </w:pPr>
      <w:r w:rsidRPr="00CC0D7D">
        <w:rPr>
          <w:rFonts w:eastAsia="Arial Unicode MS"/>
          <w:b/>
          <w:i/>
          <w:iCs/>
        </w:rPr>
        <w:t>13 posėdis</w:t>
      </w:r>
      <w:r>
        <w:rPr>
          <w:rFonts w:eastAsia="Arial Unicode MS"/>
          <w:i/>
          <w:iCs/>
        </w:rPr>
        <w:t xml:space="preserve"> -  </w:t>
      </w:r>
      <w:r w:rsidRPr="00F94DD1">
        <w:rPr>
          <w:rFonts w:eastAsia="Arial Unicode MS"/>
          <w:i/>
          <w:iCs/>
        </w:rPr>
        <w:t>2010-10-06</w:t>
      </w:r>
      <w:r w:rsidRPr="00F94DD1">
        <w:t xml:space="preserve"> Seimo Narkomanijos ir alkoholizmo prevencijos komisija išvažiuojamajame posėdyje svarstė šiuos klausimus: 1. Priklausomybės ligų reabilitacijos bendruomenė LPF “Vilties švyturys”. Susipažinimas su bendruomenės sąlygomis, vykdomomis programomis, esamomis problemomis“; „ Priklausomybės ligų reabilitacijos bendruomenė Všį “Gyvybės versmė”. Susipažinimas su bendruomenės sąlygomis, vykdomomis programomis, esamomis problemomis“; „</w:t>
      </w:r>
      <w:r w:rsidRPr="00F94DD1">
        <w:rPr>
          <w:rFonts w:eastAsia="Arial Unicode MS"/>
        </w:rPr>
        <w:t xml:space="preserve">Priklausomybės ligų reabilitacijos bendruomenė Všį “Sugrįžimas”. </w:t>
      </w:r>
      <w:r w:rsidRPr="00F94DD1">
        <w:t>Susipažinimas su bendruomenės sąlygomis, vykdomomis programomis, esamomis problemomis. Priklausomybės ligų reabilitacijų bendruomenių problemos, sprendimo būdai, pasiūlymai“.</w:t>
      </w:r>
    </w:p>
    <w:p w:rsidR="00626711" w:rsidRPr="00F94DD1" w:rsidRDefault="00626711" w:rsidP="00626711">
      <w:pPr>
        <w:pStyle w:val="Betarp"/>
        <w:jc w:val="both"/>
      </w:pPr>
      <w:r w:rsidRPr="00CC0D7D">
        <w:rPr>
          <w:rFonts w:eastAsia="Arial Unicode MS"/>
          <w:b/>
          <w:i/>
          <w:iCs/>
        </w:rPr>
        <w:t>14 posėdis</w:t>
      </w:r>
      <w:r>
        <w:rPr>
          <w:rFonts w:eastAsia="Arial Unicode MS"/>
          <w:i/>
          <w:iCs/>
        </w:rPr>
        <w:t xml:space="preserve"> - </w:t>
      </w:r>
      <w:r w:rsidRPr="00F94DD1">
        <w:rPr>
          <w:rFonts w:eastAsia="Arial Unicode MS"/>
          <w:i/>
          <w:iCs/>
        </w:rPr>
        <w:t>2010-10-20</w:t>
      </w:r>
      <w:r w:rsidRPr="00F94DD1">
        <w:t xml:space="preserve"> Seimo Narkomanijos ir alkoholizmo prevencijos komisija posėdyje svarstė šiuos klausimus:</w:t>
      </w:r>
      <w:r w:rsidRPr="00F94DD1">
        <w:rPr>
          <w:rFonts w:eastAsia="Arial Unicode MS"/>
          <w:i/>
          <w:iCs/>
        </w:rPr>
        <w:t xml:space="preserve"> </w:t>
      </w:r>
      <w:r w:rsidRPr="00F94DD1">
        <w:rPr>
          <w:rFonts w:eastAsia="Arial Unicode MS"/>
        </w:rPr>
        <w:t>“Dėl situacijos bei planų 2011 m. laisvės atėmimo vietose narkotikų kontrolės bei narkomanijos prevencijos srityje”, “Sprendimas dėl</w:t>
      </w:r>
      <w:r w:rsidRPr="00F94DD1">
        <w:t xml:space="preserve"> suaugusiųjų asmenų, sergančių priklausomybės ligomis, gydymo ir šių paslaugų finansavimo 2010 metais”.</w:t>
      </w:r>
    </w:p>
    <w:p w:rsidR="00626711" w:rsidRPr="00F94DD1" w:rsidRDefault="00626711" w:rsidP="00626711">
      <w:pPr>
        <w:pStyle w:val="Betarp"/>
        <w:jc w:val="both"/>
      </w:pPr>
      <w:r w:rsidRPr="00CC0D7D">
        <w:rPr>
          <w:b/>
          <w:i/>
          <w:iCs/>
        </w:rPr>
        <w:t>15 posėdis</w:t>
      </w:r>
      <w:r>
        <w:rPr>
          <w:i/>
          <w:iCs/>
        </w:rPr>
        <w:t xml:space="preserve"> - </w:t>
      </w:r>
      <w:r w:rsidRPr="00F94DD1">
        <w:rPr>
          <w:i/>
          <w:iCs/>
        </w:rPr>
        <w:t>2010-10-27</w:t>
      </w:r>
      <w:r w:rsidRPr="00F94DD1">
        <w:t xml:space="preserve"> Seimo Narkomanijos ir alkoholizmo prevencijos komisija posėdyje svarstė šiuos klausimus: “</w:t>
      </w:r>
      <w:r w:rsidRPr="00F94DD1">
        <w:rPr>
          <w:rFonts w:eastAsia="Arial Unicode MS"/>
        </w:rPr>
        <w:t>Dėl metadono naudojimo gydymo įstaigose bei šio preparato teikimo laisvės atėmimo vietoms”, “Seimo Narkomanijos ir alkoholizmo prevencijos komisijos 2010-09-22 sprendimo “Dėl asmenų, kurie kreipiasi į asmens sveikatos priežiūros įstaigas dėl psichikos ir elgesio sutrikimų, vartojant narkotines ir psichotropines medžiagas, stebėsenos” bei 2010-09-27 sprendimo “Dėl paauglių svaiginimosi vaistais ir medicininio audito atlikimo Sveikatos apsaugos ministerijos sistemoje narkotinių ir psichotropinių medžiagų skyrimo ir medicininių receptų išrašymo teisėtumo ir pagrįstumo” įgyvendinimo rezultatai</w:t>
      </w:r>
      <w:r w:rsidRPr="00F94DD1">
        <w:t>.</w:t>
      </w:r>
    </w:p>
    <w:p w:rsidR="00626711" w:rsidRPr="00F94DD1" w:rsidRDefault="00626711" w:rsidP="00626711">
      <w:pPr>
        <w:pStyle w:val="Betarp"/>
        <w:jc w:val="both"/>
      </w:pPr>
      <w:r w:rsidRPr="00CC0D7D">
        <w:rPr>
          <w:b/>
          <w:i/>
          <w:iCs/>
        </w:rPr>
        <w:t>16 posėdis</w:t>
      </w:r>
      <w:r>
        <w:rPr>
          <w:i/>
          <w:iCs/>
        </w:rPr>
        <w:t xml:space="preserve"> - </w:t>
      </w:r>
      <w:r w:rsidRPr="00F94DD1">
        <w:rPr>
          <w:i/>
          <w:iCs/>
        </w:rPr>
        <w:t>2010-10-29</w:t>
      </w:r>
      <w:r w:rsidRPr="00F94DD1">
        <w:t xml:space="preserve"> Seimo Narkomanijos ir alkoholizmo prevencijos komisija išvažiuojamajame posėdyje susipažino su Priklausomybės ligų reabilitacijos bendruomene „Apsisprendimas“ veikla. </w:t>
      </w:r>
    </w:p>
    <w:p w:rsidR="00626711" w:rsidRPr="00F94DD1" w:rsidRDefault="00626711" w:rsidP="00626711">
      <w:pPr>
        <w:pStyle w:val="Betarp"/>
        <w:jc w:val="both"/>
      </w:pPr>
      <w:r w:rsidRPr="00CC0D7D">
        <w:rPr>
          <w:b/>
          <w:i/>
          <w:iCs/>
        </w:rPr>
        <w:t>17 posėdis</w:t>
      </w:r>
      <w:r>
        <w:rPr>
          <w:i/>
          <w:iCs/>
        </w:rPr>
        <w:t xml:space="preserve"> - </w:t>
      </w:r>
      <w:r w:rsidRPr="00F94DD1">
        <w:rPr>
          <w:i/>
          <w:iCs/>
        </w:rPr>
        <w:t>2010-11-17</w:t>
      </w:r>
      <w:r w:rsidRPr="00F94DD1">
        <w:t xml:space="preserve"> Seimo Narkomanijos ir alkoholizmo prevencijos komisija svarstė „Dėl nedraustų suaugusiųjų asmenų, sergančių priklausomybės ligomis, gydymo  2011 metais” klausimą.</w:t>
      </w:r>
    </w:p>
    <w:p w:rsidR="00626711" w:rsidRPr="00F94DD1" w:rsidRDefault="00626711" w:rsidP="00626711">
      <w:pPr>
        <w:pStyle w:val="Betarp"/>
        <w:jc w:val="both"/>
      </w:pPr>
      <w:r w:rsidRPr="00CC0D7D">
        <w:rPr>
          <w:b/>
          <w:i/>
          <w:iCs/>
        </w:rPr>
        <w:t>18 posėdis</w:t>
      </w:r>
      <w:r>
        <w:rPr>
          <w:i/>
          <w:iCs/>
        </w:rPr>
        <w:t xml:space="preserve"> - </w:t>
      </w:r>
      <w:r w:rsidRPr="00F94DD1">
        <w:rPr>
          <w:i/>
          <w:iCs/>
        </w:rPr>
        <w:t>2010-11-24</w:t>
      </w:r>
      <w:r w:rsidRPr="00F94DD1">
        <w:t xml:space="preserve"> Seimo Narkomanijos ir alkoholizmo prevencijos komisija svarstė šiuos klausimus: „ Dėl bendrosios, atrankinės ir tikslinės narkomanijos prevencijos laisvės atėmimo vietose įgyvendinimo”; “ Dėl psichokorekcinių paslaugų teikimo asmenims, sergantiems priklausomybės </w:t>
      </w:r>
      <w:r w:rsidRPr="00F94DD1">
        <w:lastRenderedPageBreak/>
        <w:t>ligomis visose laisvės atėmimo vietose pagal Vilniaus 2 – ųjų pataisos namų vykdomą Priklausomų asmenų reabilitacijos grupės programą”;  “ Dėl Elgesio pataisos programų(os) įgyvendinimo laisvės atėmimo vietose”; “Dėl kreipimosi į Lietuvos Respublikos Seimo valdybą sudaryti darbo grupę “Dėl ankstyvos intervencijos, gydymo, reabilitacijos ir reintegracijos ir tarpinstitucinio bendradarbiavimo sistemos, skirtos vaikams ir jaunimui, sergantiems priklausomybės ligomis”, parengti “; “Dėl siūlymo įteisinti Kauno apskrities priklausomybės ligų centro vaikų ir jaunimo skyrių respublikiniu metodiniu centru”. Nutarta k</w:t>
      </w:r>
      <w:r w:rsidRPr="00F94DD1">
        <w:rPr>
          <w:rFonts w:eastAsia="Arial Unicode MS"/>
        </w:rPr>
        <w:t xml:space="preserve">reiptis </w:t>
      </w:r>
      <w:r w:rsidRPr="00F94DD1">
        <w:t>į Lietuvos Respublikos Seimo valdybą sudaryti darbo grupę “Dėl ankstyvos intervencijos, gydymo, reabilitacijos ir reintegracijos ir tarpinstitucinio bendradarbiavimo sistemos, skirtos vaikams ir jaunimui, sergantiems priklausomybės ligomis”, parengti  ir Siūlyti Lietuvos Respublikos Vyriausybei įteisinti Kauno apskrities priklausomybės ligų centro vaikų ir jaunimo skyrių respublikiniu metodiniu centru.</w:t>
      </w:r>
    </w:p>
    <w:p w:rsidR="00626711" w:rsidRPr="00F94DD1" w:rsidRDefault="00626711" w:rsidP="00626711">
      <w:pPr>
        <w:pStyle w:val="Betarp"/>
        <w:jc w:val="both"/>
      </w:pPr>
      <w:r w:rsidRPr="00CC0D7D">
        <w:rPr>
          <w:b/>
          <w:i/>
          <w:iCs/>
        </w:rPr>
        <w:t>19 posėdis</w:t>
      </w:r>
      <w:r>
        <w:rPr>
          <w:i/>
          <w:iCs/>
        </w:rPr>
        <w:t xml:space="preserve"> - </w:t>
      </w:r>
      <w:r w:rsidRPr="00F94DD1">
        <w:rPr>
          <w:i/>
          <w:iCs/>
        </w:rPr>
        <w:t>2010-12-01</w:t>
      </w:r>
      <w:r w:rsidRPr="00F94DD1">
        <w:t xml:space="preserve"> Seimo Narkomanijos ir alkoholizmo prevencijos komisija išklausė </w:t>
      </w:r>
      <w:r w:rsidRPr="00F94DD1">
        <w:rPr>
          <w:rFonts w:eastAsia="Arial Unicode MS"/>
        </w:rPr>
        <w:t xml:space="preserve">Sveikatos apsaugos ministerijos ir Socialinės apsaugos ir darbo ministerijos atstovų ataskaitas apie </w:t>
      </w:r>
      <w:r w:rsidRPr="00F94DD1">
        <w:t xml:space="preserve">Nacionalinės narkotikų kontrolės ir narkomanijos prevencijos 2010-2016 programos įgyvendinimui numatytų priemonių 2011 metais įgyvendinimą, kuriose Lietuvos Respublikos Sveikatos apsaugos ministerijai numatytos 1 uždavinio 1 ir 11 priemonės; 2 uždavinio 1 – 9 priemonės, 11-15 priemonės; 3 uždavinio 1-3 priemonės, 5  priemonė; 4 uždavinio 1 – 3 priemonės.  Lietuvos Respublikos Socialinės apsaugos ir darbo ministerijai numatytos 2 uždavinio   1- 5 priemonės, 7 – 10 priemonės, 13-14 priemonės; 3 uždavinio 1 – 3 priemonės; 4 uždavinio 1- 3 priemonės. </w:t>
      </w:r>
    </w:p>
    <w:p w:rsidR="00626711" w:rsidRPr="00F94DD1" w:rsidRDefault="00626711" w:rsidP="00626711">
      <w:pPr>
        <w:pStyle w:val="Betarp"/>
        <w:jc w:val="both"/>
      </w:pPr>
      <w:r w:rsidRPr="00CC0D7D">
        <w:rPr>
          <w:b/>
          <w:i/>
          <w:iCs/>
        </w:rPr>
        <w:t>20 posėdis</w:t>
      </w:r>
      <w:r>
        <w:rPr>
          <w:i/>
          <w:iCs/>
        </w:rPr>
        <w:t xml:space="preserve"> - </w:t>
      </w:r>
      <w:r w:rsidRPr="00F94DD1">
        <w:rPr>
          <w:i/>
          <w:iCs/>
        </w:rPr>
        <w:t>2010-12-08</w:t>
      </w:r>
      <w:r w:rsidRPr="00F94DD1">
        <w:t xml:space="preserve"> Seimo Narkomanijos ir alkoholizmo prevencijos komisija išklausė </w:t>
      </w:r>
      <w:r w:rsidRPr="00F94DD1">
        <w:rPr>
          <w:rFonts w:eastAsia="Arial Unicode MS"/>
        </w:rPr>
        <w:t xml:space="preserve">Švietimo  ir mokslo ministerijos, Finansų ministerijos,  Muitinės departamento prie Finansų ministerijos,  Teisingumo ministerijos, Generalinės prokuratūros atstovų ataskaitas apie </w:t>
      </w:r>
      <w:r w:rsidRPr="00F94DD1">
        <w:t>Nacionalinės narkotikų kontrolės ir narkomanijos prevencijos 2010-2016 programos įgyvendinimui numatytų priemonių 2011 metais, kuriose Lietuvos Respublikos Švietimo ir mokslo  ministerijai numatytos 2 uždavinio 1 – 7 priemonės, 11, 14 priemonės; 3 uždavinio 1-3 priemonės, 5  priemonė; 4 uždavinio 1 – 3 priemonės.  Lietuvos Respublikos Finansų ministerijai ir Muitinės departamentui prie Finansų ministerijos numatytos 1 uždavinio   2 -  4 priemonės, 6, 9 – 10 priemonės, 12 priemonė; 3 uždavinio 7 priemonė; 4 uždavinio 1,  3 - 5 priemonės;  4 uždavinio 2 priemonė.  Teisingumo ministerijai numatytos 1 uždavinio   1, 3 priemonės, 5 – 6 priemonės, 8 - 10 priemonės; 2 uždavinio 6 - 7 priemonės,  11 – 15 priemonės; 3 uždavinio 3, 5  priemonės; 4 uždavinio 1 – 3 priemonės. Generalinei prokuratūrai numatytos 1 uždavinio   3, 6 – 7 priemonės, 10 priemonė; 3 uždavinio 4 priemonė.</w:t>
      </w:r>
    </w:p>
    <w:p w:rsidR="00626711" w:rsidRPr="00F94DD1" w:rsidRDefault="00626711" w:rsidP="00626711">
      <w:pPr>
        <w:pStyle w:val="Betarp"/>
        <w:jc w:val="both"/>
      </w:pPr>
      <w:r w:rsidRPr="00CC0D7D">
        <w:rPr>
          <w:b/>
          <w:i/>
          <w:iCs/>
        </w:rPr>
        <w:t>21 posėdis</w:t>
      </w:r>
      <w:r>
        <w:rPr>
          <w:i/>
          <w:iCs/>
        </w:rPr>
        <w:t xml:space="preserve"> - </w:t>
      </w:r>
      <w:r w:rsidRPr="00F94DD1">
        <w:rPr>
          <w:i/>
          <w:iCs/>
        </w:rPr>
        <w:t xml:space="preserve">2010-12-15 </w:t>
      </w:r>
      <w:r w:rsidRPr="00F94DD1">
        <w:t xml:space="preserve"> Seimo Narkomanijos ir alkoholizmo prevencijos komisija išklausė </w:t>
      </w:r>
      <w:r w:rsidRPr="00F94DD1">
        <w:rPr>
          <w:rFonts w:eastAsia="Arial Unicode MS"/>
        </w:rPr>
        <w:t xml:space="preserve">Švietimo  ir mokslo ministerijos, Vidaus reikalų ministerijos, Finansinių nusikaltimų tyrimo tarnybos prie VRM, </w:t>
      </w:r>
      <w:r w:rsidRPr="00F94DD1">
        <w:t xml:space="preserve"> Valstybės sienos apsaugos tarnybos prie VRM,  </w:t>
      </w:r>
      <w:r w:rsidRPr="00F94DD1">
        <w:rPr>
          <w:rFonts w:eastAsia="Arial Unicode MS"/>
        </w:rPr>
        <w:t xml:space="preserve">Policijos  departamento prie VRM,  Kultūros ministerijos,  Aplinkos ministerijos, </w:t>
      </w:r>
      <w:r w:rsidRPr="00F94DD1">
        <w:t xml:space="preserve"> Nacionalinės narkotikų kontrolės ir narkomanijos prevencijos 2010-2016 programos įgyvendinimui numatytų priemonių 2011 metais įgyvendinimo, kuriose Lietuvos Respublikos Švietimo ir mokslo  ministerijai numatytos 2 uždavinio 1 – 7 priemonės, 11, 14 priemonės; 3 uždavinio 1-3 priemonės, 5  priemonė; 4 uždavinio 1 – 3 priemonės;  Lietuvos Respublikos Vidaus reikalų ministerijai numatytos 1 uždavinio   1 priemonė, 5 priemonė;  2 uždavinio 1-2 priemonės; 4 priemonė; 13 priemonė; 3 uždavinio 5 priemonė; 4 uždavinio 1 priemonė, 3 priemonė; Finansinių nusikaltimų tyrimų tarnybai prie Vidaus reikalų ministerijos numatytos 1  uždavinio 2,6,7 priemonės, 10,12 priemonės;  Valstybės sienos apsaugos tarnybai prie Vidaus reikalų ministerijos numatytos 1 uždavinio   2 - 4, 6 , 9-10 priemonės; 3 uždavinio 3 - 4 priemonės;  Policijos departamentui prie Vidaus reikalų ministerijos numatytos 1 uždavinio   2-3 priemonės, 6-7 priemonės; 9-12priemonės;  2 uždavinio 3, 7 priemonės; 14 priemonė; 3 uždavinio 1, 3 – 5 priemonės; 4 uždavinio 2 priemonė; Kultūros ministerijai  numatytos 2 uždavinio 1 – 2  priemonės; Aplinkos ministerijai numatytos 2 uždavinio 4 priemonė; Ūkio ministerijai numatytos 2 uždavinio 6 priemonė; 3 uždavinio 1 priemonė.</w:t>
      </w:r>
    </w:p>
    <w:p w:rsidR="00626711" w:rsidRPr="00F94DD1" w:rsidRDefault="00626711" w:rsidP="00626711">
      <w:pPr>
        <w:pStyle w:val="Betarp"/>
        <w:jc w:val="both"/>
      </w:pPr>
      <w:r w:rsidRPr="00CC0D7D">
        <w:rPr>
          <w:b/>
          <w:i/>
          <w:iCs/>
        </w:rPr>
        <w:t>22 posėdis</w:t>
      </w:r>
      <w:r>
        <w:rPr>
          <w:i/>
          <w:iCs/>
        </w:rPr>
        <w:t xml:space="preserve"> - </w:t>
      </w:r>
      <w:r w:rsidRPr="00F94DD1">
        <w:rPr>
          <w:i/>
          <w:iCs/>
        </w:rPr>
        <w:t xml:space="preserve">2010-12-22 </w:t>
      </w:r>
      <w:r w:rsidRPr="00F94DD1">
        <w:t xml:space="preserve"> Seimo Narkomanijos ir alkoholizmo prevencijos komisija kartu su Sveikatos reikalų komitetu nagrinėjo „Dėl metadono naudojimo problemų Lietuvoje“ klausimą.</w:t>
      </w:r>
    </w:p>
    <w:p w:rsidR="00626711" w:rsidRPr="00F94DD1" w:rsidRDefault="00626711" w:rsidP="00626711">
      <w:pPr>
        <w:pStyle w:val="Betarp"/>
        <w:jc w:val="both"/>
      </w:pPr>
      <w:r w:rsidRPr="00F94DD1">
        <w:t>Seimo Sveikatos reikalų komitetas ir Narkomanijos ir alkoholizmo prevencijos komisija, išklausę Sveikatos apsaugos ministerijos, Narkotikų kontrolės departamento prie Lietuvos Respublikos Vyriausybės, Policijos departamento prie Vidaus reikalų ministerijos, Kalėjimų departamento prie Teisingumo ministerijos,</w:t>
      </w:r>
      <w:r w:rsidRPr="00F94DD1">
        <w:rPr>
          <w:bCs/>
        </w:rPr>
        <w:t xml:space="preserve"> Valstybinės vaistų kontrolės tarnybos prie Sveikatos apsaugos ministerijos, Užkrečiamųjų ligų ir AIDS centro, Valstybinio psichikos sveikatos centro, Nacionalinės sveikatos tarybos, Lietuvos psichiatrų asociacijos, teritorinių psichikos sveikatos centrų, priklausomybės ligų </w:t>
      </w:r>
      <w:r w:rsidRPr="00F94DD1">
        <w:rPr>
          <w:bCs/>
        </w:rPr>
        <w:lastRenderedPageBreak/>
        <w:t xml:space="preserve">centrų </w:t>
      </w:r>
      <w:r w:rsidRPr="00F94DD1">
        <w:t xml:space="preserve">atstovų informaciją ir išanalizavę Narkomanijos ir alkoholizmo prevencijos komisijos ir Sveikatos reikalų komiteto susirašinėjimo su valstybės institucijomis informaciją , pažymėjo, kad </w:t>
      </w:r>
      <w:r w:rsidRPr="00F94DD1">
        <w:rPr>
          <w:b/>
        </w:rPr>
        <w:tab/>
      </w:r>
      <w:r w:rsidRPr="00F94DD1">
        <w:t>Priklausomybės ligų sveikatos priežiūros paslaugos teikiamos vadovaujantis sveikatos apsaugos ministro 2008 m. gruodžio 31 d. įsakymu Nr. V-1288 patvirtinta 2009-2012 metų Priklausomybės ligų gydymo programa.</w:t>
      </w:r>
    </w:p>
    <w:p w:rsidR="00626711" w:rsidRPr="00F94DD1" w:rsidRDefault="00626711" w:rsidP="00626711">
      <w:pPr>
        <w:pStyle w:val="Betarp"/>
        <w:jc w:val="both"/>
        <w:rPr>
          <w:bCs/>
        </w:rPr>
      </w:pPr>
      <w:r w:rsidRPr="00F94DD1">
        <w:t xml:space="preserve">Valstybinio psichikos sveikatos centro duomenimis šiuo metu pakaitinio palaikomojo gydymo opioidiniais vaistiniais preparatais paslaugos teikiamos keturiuose priklausomybės ligų centruose ir 13 psichikos sveikatos centrų. Jei asmuo, esantis palaikomajame pakaitiniame gydyme patenka į areštinę, gydymą jis gauna. Nagrinėjant pakaitinio palaikomojo gydymo opioidiniais vaistiniais preparatais (metadonu) paslaugų dinamiką, nustatyta, kad išaugo pacientų, gaunančių šias paslaugas skaičius (1997 m. – 184 pacientai, 2008 m. – 395 pacientai, 2009 m. – 512 pacientų). Taip pat išaugo metadono hidrochlorido sunaudojimo pacientų gydymui kiekis (2009 m. -11157,535 litrai, o 2010 m. I pusmetyje – 7098,855 litrai). 2011 metams nustatytas ir Tarptautiniam narkotikų kontrolės komitetui pateiktas metadono poreikis yra 12000 gramų. Išryškėjo su opioidinių vaistinių preparatų (metadono) panaudojimu, kontrole ir stebėsena susijusios problemos: 1. Iki šiol ilgalaikės priklausomybės ligų gydymo programos buvo tvirtinamos tik sveikatos apsaugos ministro įsakymais, neįtraukiant kitų ministerijų ir žinybų.2. Nesukurta asmenų, kurie kreipiasi į sveikatos priežiūros įstaigas dėl elgesio ir psichikos sutrikimų, vartojant narkotines ir psichotropines medžiagas, stebėsenos sistema. Dėl to skiriasi įvairių institucijų pateikti statistiniai duomenys apie asmenis, sergančius priklausomybės ligomis. </w:t>
      </w:r>
      <w:r w:rsidRPr="00F94DD1">
        <w:rPr>
          <w:bCs/>
        </w:rPr>
        <w:t>3. Nėra sistemos, siekiant narkologinės priežiūros tikslų, kad 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socialinę globą. 4. Neužtikrintas finansavimas ir neaiškūs finansavimo šaltiniai asmenims, nedraustiems privalomuoju sveikatos draudimu ir sergantiems priklausomybės ligomis. 5. Asmenims, sergantiems priklausomybės ligomis (draustiems ir nedraustiems privalomuoju sveikatos draudimu), gydymo programų efektyvumo vertinimo kriterijai nustatomi pagal asmenų, atvykusių į pakaitinį palaikomąjį gydymą, skaičių, o ne pagal asmenų, pasveikusių ir baigusių pakaitinį palaikomąjį gydymą, skaičių. 6. Nuo 2009 m. vasario 12 d. įsigaliojus sveikatos apsaugos ministro įsakymu Nr. V-104, „Dėl Lietuvos Respublikos sveikatos apsaugos ministro 2008 m. gruodžio 31 d. įsakymo Nr. V-1288 „Dėl 2009-2012 metų priklausomybės ligų gydymo programos patvirtinimo“ pakeitimo“, žodis „metadonas“ išbrauktas iš 2009-2012 metų programos gydymui vartojamų medikamentų sąrašo, ir todėl nėra aišku, ar 2009-2010 metais, vykdant viešuosius pirkimus, metadonas, kaip medikamentas, skirtas asmenų, sergančių priklausomybe nuo opioidų, gydymui, buvo pigiausias opioidinis vaistinis preparatas. Nuspręsta</w:t>
      </w:r>
    </w:p>
    <w:p w:rsidR="00626711" w:rsidRPr="00F94DD1" w:rsidRDefault="00626711" w:rsidP="00626711">
      <w:pPr>
        <w:pStyle w:val="Betarp"/>
        <w:jc w:val="both"/>
      </w:pPr>
      <w:r w:rsidRPr="00F94DD1">
        <w:rPr>
          <w:bCs/>
        </w:rPr>
        <w:t xml:space="preserve"> </w:t>
      </w:r>
      <w:r w:rsidRPr="00F94DD1">
        <w:t xml:space="preserve"> Lietuvos Respublikos Vyriausybei:</w:t>
      </w:r>
      <w:r w:rsidRPr="00F94DD1">
        <w:rPr>
          <w:b/>
        </w:rPr>
        <w:t xml:space="preserve"> </w:t>
      </w:r>
      <w:r w:rsidRPr="00F94DD1">
        <w:rPr>
          <w:b/>
        </w:rPr>
        <w:tab/>
      </w:r>
      <w:r w:rsidRPr="00F94DD1">
        <w:t xml:space="preserve">1.1. Tvirtinti priklausomybės ligų gydymo programas, sistemiškai derinant jas su Seimo 2009 m. spalio 22 d. rezoliucija „Dėl narkotikų kontrolės politikos tęstinumo“, Seimo 2010 m. lapkričio 18 d. rezoliucija „Dėl kovos su naujomis psichoaktyviosiomis medžiagomis (naujais narkotikais) tęstinumo“ ir Nacionaline narkotikų kontrolės ir narkomanijos prevencijos 2010-2016 metų programa. 1.2. Iki 2011 m. liepos 1 d. sukurti vieningą informacinę asmenų, turinčių psichikos ir elgesio sutrikimų, vartojant psichoaktyviąsias medžiagas, duomenų bazę, kuri sudarytų galimybę rinkti duomenis iš privačių įstaigų ir valstybės įstaigų, pavaldžių skirtingoms ministerijoms.  1.3.  Užtikrinti pakankamą finansavimą už suteiktas sveikatos priežiūros paslaugas draustiems privalomuoju sveikatos draudimu asmenims ir sergantiems priklausomybės ligomis iš Privalomojo sveikatos draudimo fondo lėšų, o nedraustiems privalomuoju sveikatos draudimu asmenims užtikrinti aiškų finansavimo šaltinį iš valstybės biudžeto lėšų. Numatyti vienodą asmenų, nedraustų privalomuoju sveikatos draudimu ir  sergančių priklausomybės ligomis, finansavimo mechanizmą. 1.4. Patvirtinti asmenų, sergančių priklausomybės ligomis, gydymo, psichosocialinės reabilitacijos ir reintegracijos paslaugų bendrą sistemą. </w:t>
      </w:r>
      <w:r w:rsidRPr="00F94DD1">
        <w:tab/>
        <w:t xml:space="preserve">1.5. Iki 2011 m sausio 31 d. nustatyti asmenų, sergančių priklausomybės ligomis (draustiems ir nedraustiems privalomuoju sveikatos draudimu) gydymo programų efektyvumo vertinimo kriterijus (pagal asmenų, pasveikusių ir baigusių palaikomąjį gydymą, skaičių). 1.6. Iki 2011 m. kovo 15 d. atlikti tyrimą dėl sveikatos priežiūros paslaugų atitikties nustatytiems reikalavimams asmens sveikatos priežiūros įstaigose, kurioms 2009-2010 m. buvo tiektas vaistinis preparatas „Metadon“. </w:t>
      </w:r>
    </w:p>
    <w:p w:rsidR="00626711" w:rsidRPr="00F94DD1" w:rsidRDefault="00626711" w:rsidP="00626711">
      <w:pPr>
        <w:pStyle w:val="Betarp"/>
        <w:jc w:val="both"/>
      </w:pPr>
      <w:r w:rsidRPr="00F94DD1">
        <w:t>2. Valstybės kontrolei: 2011 m. I pusmetyje atlikti tyrimą dėl metadono panaudojimo Lietuvoje.</w:t>
      </w:r>
    </w:p>
    <w:p w:rsidR="00626711" w:rsidRPr="00F94DD1" w:rsidRDefault="00626711" w:rsidP="00626711">
      <w:pPr>
        <w:pStyle w:val="Betarp"/>
        <w:jc w:val="both"/>
      </w:pPr>
      <w:r w:rsidRPr="00F94DD1">
        <w:t>3. Seimo nacionalinio saugumo ir gynybos komitetą, Valstybės saugumo departamentą ir Specialiųjų tyrimų tarnybą supažindinti su šiuo priimtu sprendimu.</w:t>
      </w:r>
    </w:p>
    <w:p w:rsidR="00626711" w:rsidRPr="00F94DD1" w:rsidRDefault="00626711" w:rsidP="00626711">
      <w:pPr>
        <w:pStyle w:val="Betarp"/>
        <w:jc w:val="both"/>
      </w:pPr>
    </w:p>
    <w:p w:rsidR="00626711" w:rsidRPr="00F94DD1" w:rsidRDefault="00626711" w:rsidP="00626711">
      <w:pPr>
        <w:pStyle w:val="Betarp"/>
        <w:jc w:val="both"/>
      </w:pPr>
      <w:r w:rsidRPr="00F94DD1">
        <w:rPr>
          <w:rFonts w:eastAsia="Arial Unicode MS"/>
          <w:i/>
        </w:rPr>
        <w:t xml:space="preserve">Seimo Narkomanijos ir alkoholizmo prevencijos komisija surengė du išvažiuojamuosius posėdžius. </w:t>
      </w:r>
      <w:r w:rsidRPr="00F94DD1">
        <w:rPr>
          <w:i/>
          <w:iCs/>
        </w:rPr>
        <w:t>2010-10-06</w:t>
      </w:r>
      <w:r w:rsidRPr="00F94DD1">
        <w:t xml:space="preserve"> surengtas išvažiuojamasis posėdis. Jo metu buvo aplankytos šios priklausomybės ligų reabilitacijos bendruomenės “Vilties švyturys” ir “Sugrįžimas”. </w:t>
      </w:r>
      <w:r w:rsidRPr="00F94DD1">
        <w:rPr>
          <w:i/>
          <w:iCs/>
        </w:rPr>
        <w:t>2010-10-29</w:t>
      </w:r>
      <w:r w:rsidRPr="00F94DD1">
        <w:t xml:space="preserve"> surengtas išvažiuojamasis posėdis į Priklausomybės ligų bendruomenę “Apsisprendimas”, skirtą vaikų reabilitacijai. </w:t>
      </w:r>
    </w:p>
    <w:p w:rsidR="00626711" w:rsidRPr="00F94DD1" w:rsidRDefault="00626711" w:rsidP="00626711">
      <w:pPr>
        <w:pStyle w:val="Betarp"/>
        <w:jc w:val="both"/>
      </w:pPr>
      <w:r w:rsidRPr="00F94DD1">
        <w:rPr>
          <w:i/>
        </w:rPr>
        <w:t xml:space="preserve">Komisijos rengti renginiai: 2010 02 09  </w:t>
      </w:r>
      <w:r w:rsidRPr="00F94DD1">
        <w:t xml:space="preserve">Narkomanijos ir alkoholizmo prevencijos komisijos iniciatyva Kaune įvyko mokslinis – praktinis seminaras „Gyvenimo įgūdžiai. Bendravimas  ir teisingi sprendimai‘. </w:t>
      </w:r>
      <w:r w:rsidRPr="00F94DD1">
        <w:rPr>
          <w:i/>
        </w:rPr>
        <w:t>2010 05 26</w:t>
      </w:r>
      <w:r w:rsidRPr="00F94DD1">
        <w:t xml:space="preserve">  gegužės 26-ąją dieną LR Seime Komisija ir Dingusių žmonių paramos centras organizavo konferenciją „Neparduok savęs: prevencija prieš prekybą žmonėmis“.</w:t>
      </w:r>
    </w:p>
    <w:p w:rsidR="00626711" w:rsidRPr="00F94DD1" w:rsidRDefault="00626711" w:rsidP="00626711">
      <w:pPr>
        <w:pStyle w:val="Betarp"/>
        <w:jc w:val="both"/>
      </w:pPr>
      <w:r w:rsidRPr="00F94DD1">
        <w:t xml:space="preserve">Seimo Narkomanijos ir alkoholizmo prevencijos komisijos nariai 2010 metais surengė 3 susitikimus su Lietuvos mokinių parlamentu. Buvo aptariamos narkomanijos prevencijos problemos, alkoholio vartojimo jaunimo tarpe sumažinimo ir užkardymo būdai, galimybės, taip pat kiti klausimai. </w:t>
      </w:r>
    </w:p>
    <w:p w:rsidR="00626711" w:rsidRPr="00F94DD1" w:rsidRDefault="00626711" w:rsidP="00626711">
      <w:pPr>
        <w:pStyle w:val="Betarp"/>
        <w:jc w:val="both"/>
        <w:rPr>
          <w:i/>
        </w:rPr>
      </w:pPr>
      <w:r w:rsidRPr="00F94DD1">
        <w:rPr>
          <w:i/>
        </w:rPr>
        <w:t>Surengtos diskusijos:</w:t>
      </w:r>
    </w:p>
    <w:p w:rsidR="00626711" w:rsidRPr="00F94DD1" w:rsidRDefault="00626711" w:rsidP="00626711">
      <w:pPr>
        <w:pStyle w:val="Betarp"/>
        <w:jc w:val="both"/>
      </w:pPr>
      <w:r w:rsidRPr="00F94DD1">
        <w:rPr>
          <w:i/>
        </w:rPr>
        <w:t>2010 03 29</w:t>
      </w:r>
      <w:r w:rsidRPr="00F94DD1">
        <w:t xml:space="preserve"> Seimo Narkomanijos ir alkoholizmo prevencijos komisija  rengė diskusiją “Dėl alternatyvių bausmių taikymo Lietuvoje”. </w:t>
      </w:r>
    </w:p>
    <w:p w:rsidR="00626711" w:rsidRPr="00F94DD1" w:rsidRDefault="00626711" w:rsidP="00626711">
      <w:pPr>
        <w:pStyle w:val="Betarp"/>
        <w:jc w:val="both"/>
      </w:pPr>
      <w:r w:rsidRPr="00F94DD1">
        <w:rPr>
          <w:i/>
        </w:rPr>
        <w:t>2010 05 19</w:t>
      </w:r>
      <w:r w:rsidRPr="00F94DD1">
        <w:t xml:space="preserve"> Seimo Narkomanijos ir alkoholizmo prevencijos komisija rengė diskusiją tema: “Psichologų praktinės veiklos reglamentavimas”.</w:t>
      </w:r>
    </w:p>
    <w:p w:rsidR="00626711" w:rsidRPr="00F94DD1" w:rsidRDefault="00626711" w:rsidP="00626711">
      <w:pPr>
        <w:pStyle w:val="Betarp"/>
        <w:jc w:val="both"/>
        <w:rPr>
          <w:rStyle w:val="Grietas"/>
          <w:rFonts w:eastAsiaTheme="majorEastAsia"/>
        </w:rPr>
      </w:pPr>
      <w:r w:rsidRPr="00F94DD1">
        <w:rPr>
          <w:i/>
          <w:iCs/>
        </w:rPr>
        <w:t>2010-08-11</w:t>
      </w:r>
      <w:r w:rsidRPr="00F94DD1">
        <w:t xml:space="preserve"> buvo surengta diskusija „Dėl gydymo ir reabilitacijos paslaugų teikimo nedraustiems asmenims, priklausomiems nuo narkotinių ir psichotropinių medžiagų bei alkoholio</w:t>
      </w:r>
      <w:r w:rsidRPr="00F94DD1">
        <w:rPr>
          <w:rStyle w:val="Grietas"/>
          <w:rFonts w:eastAsiaTheme="majorEastAsia"/>
        </w:rPr>
        <w:t>“.</w:t>
      </w:r>
    </w:p>
    <w:p w:rsidR="00626711" w:rsidRPr="00F94DD1" w:rsidRDefault="00626711" w:rsidP="00626711">
      <w:pPr>
        <w:pStyle w:val="Betarp"/>
        <w:jc w:val="both"/>
      </w:pPr>
      <w:r w:rsidRPr="00F94DD1">
        <w:rPr>
          <w:i/>
          <w:iCs/>
        </w:rPr>
        <w:t>2010-08-18</w:t>
      </w:r>
      <w:r w:rsidRPr="00F94DD1">
        <w:t xml:space="preserve"> buvo surengta diskusija “Dėl laisvės atėmimo vietose esančių asmenų, sergančių priklausomybės bei užkrečiamosiomis ligomis”.</w:t>
      </w:r>
    </w:p>
    <w:p w:rsidR="00626711" w:rsidRPr="00F94DD1" w:rsidRDefault="00626711" w:rsidP="00626711">
      <w:pPr>
        <w:pStyle w:val="Betarp"/>
        <w:jc w:val="both"/>
      </w:pPr>
      <w:r w:rsidRPr="00F94DD1">
        <w:rPr>
          <w:i/>
        </w:rPr>
        <w:t xml:space="preserve">2010 10 13 </w:t>
      </w:r>
      <w:r w:rsidRPr="00F94DD1">
        <w:t>buvo surengta diskusija “ Psichoaktyvių medžiagų vartojimo prevencijos programos: geroji Europos Sąjungos patirtis Lietuvoje”.</w:t>
      </w:r>
    </w:p>
    <w:p w:rsidR="00626711" w:rsidRPr="00F94DD1" w:rsidRDefault="00626711" w:rsidP="00626711">
      <w:pPr>
        <w:pStyle w:val="Betarp"/>
        <w:jc w:val="both"/>
      </w:pPr>
      <w:r w:rsidRPr="00F94DD1">
        <w:rPr>
          <w:i/>
        </w:rPr>
        <w:t>2010 11 03</w:t>
      </w:r>
      <w:r w:rsidRPr="00F94DD1">
        <w:t xml:space="preserve"> Narkomanijos ir alkoholizmo prevencijos komisijos iniciatyva Seime įvyko pasitarimas dėl Kauno priklausomybės ligų centro ateities, kuriame dalyvavo mokslininkai, valstybės įstaigų atstovai, gydytojai.  </w:t>
      </w:r>
    </w:p>
    <w:p w:rsidR="00626711" w:rsidRDefault="00626711" w:rsidP="00626711">
      <w:pPr>
        <w:pStyle w:val="Betarp"/>
        <w:jc w:val="both"/>
      </w:pPr>
      <w:r w:rsidRPr="00F94DD1">
        <w:t xml:space="preserve">Seimo Narkomanijos ir alkoholizmo komisijos pirmininkės Vincės Vaidevutės Margevičienės  spaudos konferencijos: </w:t>
      </w:r>
      <w:r w:rsidRPr="00F94DD1">
        <w:rPr>
          <w:bCs/>
        </w:rPr>
        <w:t>2010 03 17 - „Vaikų svaiginimuisi elektroniniais inhaliatoriais – Ne“.</w:t>
      </w:r>
      <w:r>
        <w:rPr>
          <w:bCs/>
        </w:rPr>
        <w:t xml:space="preserve"> </w:t>
      </w:r>
      <w:r w:rsidRPr="00F94DD1">
        <w:t>2010 m. kovo 31 d. spaudos konferencija  “Vaiko dvasinių vertybių ir psichologinio bendravimo įgūdžių ugdymas – universaliosios prevencijos pagrindas”</w:t>
      </w:r>
      <w:r>
        <w:t xml:space="preserve">. </w:t>
      </w:r>
    </w:p>
    <w:p w:rsidR="00626711" w:rsidRDefault="00626711" w:rsidP="00626711">
      <w:pPr>
        <w:pStyle w:val="Betarp"/>
        <w:jc w:val="both"/>
        <w:rPr>
          <w:rFonts w:eastAsia="Arial Unicode MS"/>
        </w:rPr>
      </w:pPr>
      <w:r>
        <w:t>Komisijos priimtas sprendimas d</w:t>
      </w:r>
      <w:r w:rsidRPr="00F94DD1">
        <w:rPr>
          <w:rFonts w:eastAsia="Arial Unicode MS"/>
        </w:rPr>
        <w:t>ėl Lietuvos sveikatos priežiūros įstaigose teikiamų paslaugų vaikams, sergantiems priklausomybės ligomis ir šių p</w:t>
      </w:r>
      <w:r>
        <w:rPr>
          <w:rFonts w:eastAsia="Arial Unicode MS"/>
        </w:rPr>
        <w:t xml:space="preserve">aslaugų finansavimo 2010 metais. </w:t>
      </w:r>
    </w:p>
    <w:p w:rsidR="00626711" w:rsidRPr="00F94DD1" w:rsidRDefault="00626711" w:rsidP="00626711">
      <w:pPr>
        <w:pStyle w:val="Betarp"/>
        <w:jc w:val="both"/>
        <w:rPr>
          <w:rFonts w:eastAsia="Arial"/>
          <w:color w:val="000000"/>
        </w:rPr>
      </w:pPr>
      <w:r>
        <w:rPr>
          <w:rFonts w:eastAsia="Arial Unicode MS"/>
        </w:rPr>
        <w:t xml:space="preserve">Komisija </w:t>
      </w:r>
      <w:r w:rsidRPr="00F94DD1">
        <w:rPr>
          <w:rFonts w:eastAsia="Arial Unicode MS"/>
        </w:rPr>
        <w:t xml:space="preserve"> nutar</w:t>
      </w:r>
      <w:r>
        <w:rPr>
          <w:rFonts w:eastAsia="Arial Unicode MS"/>
        </w:rPr>
        <w:t>ė</w:t>
      </w:r>
      <w:r w:rsidRPr="00F94DD1">
        <w:rPr>
          <w:rFonts w:eastAsia="Arial Unicode MS"/>
        </w:rPr>
        <w:t xml:space="preserve"> kreiptis </w:t>
      </w:r>
      <w:r w:rsidRPr="00F94DD1">
        <w:rPr>
          <w:rFonts w:eastAsia="Arial"/>
          <w:color w:val="000000"/>
        </w:rPr>
        <w:t>į Lietuvos Respublikos Vyriausybę:</w:t>
      </w:r>
    </w:p>
    <w:p w:rsidR="00626711" w:rsidRPr="00F94DD1" w:rsidRDefault="00626711" w:rsidP="00626711">
      <w:pPr>
        <w:pStyle w:val="Betarp"/>
        <w:jc w:val="both"/>
      </w:pPr>
      <w:r w:rsidRPr="00F94DD1">
        <w:t xml:space="preserve">1.1. Siūlyti </w:t>
      </w:r>
      <w:r w:rsidRPr="00F94DD1">
        <w:rPr>
          <w:rFonts w:eastAsia="Arial"/>
          <w:color w:val="000000"/>
        </w:rPr>
        <w:t xml:space="preserve">Sveikatos apsaugos ministerijos veiklos prioritetine kryptimi  patvirtinti efektyvios kompleksinės pagalbos vaikams, sergantiems priklausomybės ligomis, sistemos sukūrimą.1.2. Skubiai plėtoti psichosocialinės reabilitacijos ir sanatorinio gydymo paslaugas vaikams, sergantiems priklausomybės ligomis.1.3. </w:t>
      </w:r>
      <w:r w:rsidRPr="00F94DD1">
        <w:t>Skubiai sukurti specialistų konsultavimo tėvams ir vaikams, sistemą.  1.4. Patvirtinti  paslaugų teikimo vaikams moksliškai pagrįstus standartus. Pildyti periodinės informacijos rinkimo ir rodiklių stebėjimo sistemą, duomenimis, kaip yra įgyvendinami standartai. 1.5. Apibrėžti medicininės ar psichosocialinės reabilitacijos  paslaugų, teikiamų vaikams, sergantiems priklausomybės ligomis, moksliškai pagrįstus turinius ir  reikalavimus.</w:t>
      </w:r>
    </w:p>
    <w:p w:rsidR="00626711" w:rsidRPr="00F94DD1" w:rsidRDefault="00626711" w:rsidP="00626711">
      <w:pPr>
        <w:pStyle w:val="Betarp"/>
        <w:jc w:val="both"/>
        <w:rPr>
          <w:rFonts w:eastAsia="Arial"/>
          <w:color w:val="000000"/>
        </w:rPr>
      </w:pPr>
      <w:r w:rsidRPr="00F94DD1">
        <w:rPr>
          <w:rFonts w:eastAsia="Arial"/>
          <w:color w:val="000000"/>
        </w:rPr>
        <w:t xml:space="preserve">2. Atkreipti Lietuvos Respublikos Vyriausybės dėmesį į tai,  kad: </w:t>
      </w:r>
    </w:p>
    <w:p w:rsidR="00626711" w:rsidRPr="00F94DD1" w:rsidRDefault="00626711" w:rsidP="00626711">
      <w:pPr>
        <w:pStyle w:val="Betarp"/>
        <w:jc w:val="both"/>
      </w:pPr>
      <w:r w:rsidRPr="00F94DD1">
        <w:rPr>
          <w:rFonts w:eastAsia="Arial"/>
          <w:color w:val="000000"/>
        </w:rPr>
        <w:t>2.1.</w:t>
      </w:r>
      <w:r w:rsidRPr="00F94DD1">
        <w:t xml:space="preserve"> Pastaruoju metu tarp paauglių stebima priklausomybės nuo alkoholio, tabako, narkotikų augimo tendencija, būtinos sveikatinimo programos ir prioriteto tvarka problemų sprendimui, vienijamos politikų, specialistų, valstybinių institucijų ir visuomenės pastangos.</w:t>
      </w:r>
    </w:p>
    <w:p w:rsidR="00626711" w:rsidRPr="00F94DD1" w:rsidRDefault="00626711" w:rsidP="00626711">
      <w:pPr>
        <w:pStyle w:val="Betarp"/>
        <w:jc w:val="both"/>
      </w:pPr>
      <w:r w:rsidRPr="00F94DD1">
        <w:t>2.2. Teikiant paslaugas vaikams, vartojantiems alkoholį, narkotines ar psichotropines medžiagas,  trūksta sistematiškumo ir aktyvumo, o gydymo prieinamumas labiausiai priklauso nuo atskirų įstaigų ar specialistų iniciatyvos bei požiūrio.</w:t>
      </w:r>
    </w:p>
    <w:p w:rsidR="00626711" w:rsidRPr="00F94DD1" w:rsidRDefault="00626711" w:rsidP="00626711">
      <w:pPr>
        <w:pStyle w:val="Betarp"/>
        <w:jc w:val="both"/>
      </w:pPr>
      <w:r w:rsidRPr="00F94DD1">
        <w:t>2.3. Reikia nuoseklesnio ir aktyvesnio paslaugų organizavimo modelio, adaptuojant moksliniais įrodymais pagrįstas priemones bei praktikas.</w:t>
      </w:r>
    </w:p>
    <w:p w:rsidR="00626711" w:rsidRPr="00F94DD1" w:rsidRDefault="00626711" w:rsidP="00626711">
      <w:pPr>
        <w:pStyle w:val="Betarp"/>
        <w:jc w:val="both"/>
      </w:pPr>
      <w:r w:rsidRPr="00F94DD1">
        <w:t>2.4. Trūksta paslaugos – pagalbos  klientui ir/arba jo artimiesiems pastebėti problemą ir sužinoti apie galimybes gauti reikiamą pagalbą.</w:t>
      </w:r>
    </w:p>
    <w:p w:rsidR="00626711" w:rsidRPr="00F94DD1" w:rsidRDefault="00626711" w:rsidP="00626711">
      <w:pPr>
        <w:pStyle w:val="Betarp"/>
        <w:jc w:val="both"/>
      </w:pPr>
      <w:r w:rsidRPr="00F94DD1">
        <w:rPr>
          <w:rFonts w:eastAsia="Arial"/>
          <w:color w:val="000000"/>
        </w:rPr>
        <w:t xml:space="preserve">2.5. </w:t>
      </w:r>
      <w:r w:rsidRPr="00F94DD1">
        <w:t>Sveikatos priežiūros įstaigose būtina vykdyti narkologinių susirgimų prevencijos priemones.</w:t>
      </w:r>
    </w:p>
    <w:p w:rsidR="00626711" w:rsidRPr="00F94DD1" w:rsidRDefault="00626711" w:rsidP="00626711">
      <w:pPr>
        <w:pStyle w:val="Betarp"/>
        <w:jc w:val="both"/>
      </w:pPr>
      <w:r w:rsidRPr="00F94DD1">
        <w:rPr>
          <w:rFonts w:eastAsia="Arial Unicode MS"/>
        </w:rPr>
        <w:t>Dėl paauglių svaiginimosi vaistais ir medicininio audito atlikimo Sveikatos apsaugos ministerijos sistemoje narkotinių ir psichotropinių medžiagų skyrimo ir medicininių receptų išrašymo teisėtumo ir pagrįstumo nutarta k</w:t>
      </w:r>
      <w:r w:rsidRPr="00F94DD1">
        <w:t>reiptis į Lietuvos Respublikos Vyriausybę:</w:t>
      </w:r>
    </w:p>
    <w:p w:rsidR="00626711" w:rsidRPr="00F94DD1" w:rsidRDefault="00626711" w:rsidP="00626711">
      <w:pPr>
        <w:pStyle w:val="Betarp"/>
        <w:jc w:val="both"/>
      </w:pPr>
      <w:r w:rsidRPr="00F94DD1">
        <w:lastRenderedPageBreak/>
        <w:t>1.1. Siūlyti per 3 mėn. įvertinti atsakingų pareigūnų veiksmus dėl medicininio audito neatlikimo.</w:t>
      </w:r>
    </w:p>
    <w:p w:rsidR="00626711" w:rsidRPr="00F94DD1" w:rsidRDefault="00626711" w:rsidP="00626711">
      <w:pPr>
        <w:pStyle w:val="Betarp"/>
        <w:jc w:val="both"/>
      </w:pPr>
      <w:r w:rsidRPr="00F94DD1">
        <w:t>1.2. Skubiai priimti sprendimą dėl medicininio audito dėl Sveikatos apsaugos ministerijos sistemoje narkotinių ir psichotropinių medžiagų skyrimo ir medicininių receptų išrašymo teisėtumo ir pagrįstumo kontrolės bei narkotinių ir psichotropinių medžiagų skyrimo ir medicininių receptų išrašymo vaikams teisėtumo ir pagrįstumo.</w:t>
      </w:r>
    </w:p>
    <w:p w:rsidR="00626711" w:rsidRPr="00F94DD1" w:rsidRDefault="00626711" w:rsidP="00626711">
      <w:pPr>
        <w:pStyle w:val="Betarp"/>
        <w:jc w:val="both"/>
      </w:pPr>
      <w:r w:rsidRPr="00F94DD1">
        <w:t>2. Kreiptis į Lietuvos Respublikos Specialiųjų tyrimų tarnyba su prašymu įvertinti ar Sveikatos apsaugos ministerijos sistemoje dėl narkotinių ir psichotropinių medžiagų skyrimo ir medicininių receptų išrašymo vaikams nėra korupcijos:</w:t>
      </w:r>
    </w:p>
    <w:p w:rsidR="00626711" w:rsidRPr="00F94DD1" w:rsidRDefault="00626711" w:rsidP="00626711">
      <w:pPr>
        <w:pStyle w:val="Betarp"/>
        <w:jc w:val="both"/>
      </w:pPr>
      <w:r w:rsidRPr="00F94DD1">
        <w:t>2.1. Atlikti tos srities reglamentuojančių teisės aktų antikorupcinį vertinimą.</w:t>
      </w:r>
    </w:p>
    <w:p w:rsidR="00626711" w:rsidRPr="00F94DD1" w:rsidRDefault="00626711" w:rsidP="00626711">
      <w:pPr>
        <w:pStyle w:val="Betarp"/>
        <w:jc w:val="both"/>
      </w:pPr>
      <w:r w:rsidRPr="00F94DD1">
        <w:t>2.2. Atlikti tos srities korupcijos rizikos analizę.</w:t>
      </w:r>
    </w:p>
    <w:p w:rsidR="00626711" w:rsidRPr="00F94DD1" w:rsidRDefault="00626711" w:rsidP="00626711">
      <w:pPr>
        <w:pStyle w:val="Betarp"/>
        <w:jc w:val="both"/>
      </w:pPr>
      <w:r w:rsidRPr="00F94DD1">
        <w:t>3. Kreiptis į Vaiko teisių apsaugos kontrolieriaus įstaigą pateikti išvadas, ar Sveikatos apsaugos sistemoje, atliekant medicininių receptų išrašymo vaikams teisėtumo ir pagrįstumo bei narkotinių ir psichotropinių medžiagų skyrimo vaikams kontrolę yra tinkamai įgyvendinamos vaiko teisių ir jo teisėtų interesų apsaugos, nuostatos.</w:t>
      </w:r>
    </w:p>
    <w:p w:rsidR="00626711" w:rsidRPr="00F94DD1" w:rsidRDefault="00626711" w:rsidP="00626711">
      <w:pPr>
        <w:pStyle w:val="Betarp"/>
        <w:jc w:val="both"/>
      </w:pPr>
    </w:p>
    <w:p w:rsidR="00626711" w:rsidRPr="00F94DD1" w:rsidRDefault="00626711" w:rsidP="00626711">
      <w:pPr>
        <w:pStyle w:val="Betarp"/>
        <w:jc w:val="both"/>
      </w:pPr>
      <w:r w:rsidRPr="00F94DD1">
        <w:t xml:space="preserve">PARLAMENTINĖ KONTROLĖ </w:t>
      </w:r>
    </w:p>
    <w:p w:rsidR="00626711" w:rsidRDefault="00626711" w:rsidP="00626711">
      <w:pPr>
        <w:pStyle w:val="Betarp"/>
        <w:jc w:val="both"/>
        <w:rPr>
          <w:b/>
          <w:bCs/>
          <w:i/>
          <w:iCs/>
        </w:rPr>
      </w:pPr>
    </w:p>
    <w:p w:rsidR="00626711" w:rsidRDefault="00626711" w:rsidP="00C07927">
      <w:pPr>
        <w:pStyle w:val="Betarp"/>
        <w:numPr>
          <w:ilvl w:val="0"/>
          <w:numId w:val="46"/>
        </w:numPr>
        <w:jc w:val="both"/>
      </w:pPr>
      <w:r w:rsidRPr="00F94DD1">
        <w:rPr>
          <w:b/>
          <w:bCs/>
          <w:i/>
          <w:iCs/>
        </w:rPr>
        <w:t>Nakvynės namai ir išblaivinimo įstaigos Lietuvos Respublikoje</w:t>
      </w:r>
      <w:r>
        <w:rPr>
          <w:b/>
          <w:bCs/>
          <w:i/>
          <w:iCs/>
        </w:rPr>
        <w:t>.</w:t>
      </w:r>
    </w:p>
    <w:p w:rsidR="00626711" w:rsidRPr="00F94DD1" w:rsidRDefault="00626711" w:rsidP="00626711">
      <w:pPr>
        <w:pStyle w:val="Betarp"/>
        <w:ind w:left="720"/>
        <w:jc w:val="both"/>
      </w:pPr>
      <w:r w:rsidRPr="00F94DD1">
        <w:t xml:space="preserve"> </w:t>
      </w:r>
    </w:p>
    <w:p w:rsidR="00626711" w:rsidRPr="00F94DD1" w:rsidRDefault="00626711" w:rsidP="00626711">
      <w:pPr>
        <w:pStyle w:val="Betarp"/>
        <w:ind w:firstLine="720"/>
        <w:jc w:val="both"/>
        <w:rPr>
          <w:bCs/>
          <w:spacing w:val="4"/>
        </w:rPr>
      </w:pPr>
      <w:r w:rsidRPr="00F94DD1">
        <w:rPr>
          <w:bCs/>
          <w:spacing w:val="4"/>
        </w:rPr>
        <w:t>Nakvynės namai yra įsteigti 21 savivaldybėje. Kitose savivaldybėse neblaivūs, apsvaigę asmenys vežami į ligonines ar policijos komisariatus, mažesnėse savivaldybėse asmenys pristatomi į namus.</w:t>
      </w:r>
    </w:p>
    <w:p w:rsidR="00626711" w:rsidRPr="00F94DD1" w:rsidRDefault="00626711" w:rsidP="00626711">
      <w:pPr>
        <w:pStyle w:val="Betarp"/>
        <w:ind w:firstLine="720"/>
        <w:jc w:val="both"/>
        <w:rPr>
          <w:bCs/>
          <w:spacing w:val="4"/>
        </w:rPr>
      </w:pPr>
      <w:r w:rsidRPr="00F94DD1">
        <w:rPr>
          <w:bCs/>
          <w:spacing w:val="4"/>
        </w:rPr>
        <w:t>Dauguma savivaldybių, kuriose nėra nakvynės namų, tokio poreikio neturi ir nakvynės namų steigti neketina.</w:t>
      </w:r>
    </w:p>
    <w:p w:rsidR="00626711" w:rsidRPr="00F94DD1" w:rsidRDefault="00626711" w:rsidP="00626711">
      <w:pPr>
        <w:pStyle w:val="Betarp"/>
        <w:ind w:firstLine="720"/>
        <w:jc w:val="both"/>
        <w:rPr>
          <w:bCs/>
          <w:spacing w:val="4"/>
        </w:rPr>
      </w:pPr>
      <w:r w:rsidRPr="00F94DD1">
        <w:rPr>
          <w:bCs/>
          <w:spacing w:val="4"/>
        </w:rPr>
        <w:t>Dalis savivaldybių poreikį nakvynėms namams turi, tačiau tam nepakanka lėšų. Dalis savivaldybių turi poreikį steigti nakvynės namus ir tai rengiamasi daryti, kadangi yra įgyvendinami projektai, gauta Europos Sąjunga parama.</w:t>
      </w:r>
    </w:p>
    <w:p w:rsidR="00626711" w:rsidRPr="00F94DD1" w:rsidRDefault="00626711" w:rsidP="00626711">
      <w:pPr>
        <w:pStyle w:val="Betarp"/>
        <w:ind w:firstLine="720"/>
        <w:jc w:val="both"/>
        <w:rPr>
          <w:bCs/>
          <w:spacing w:val="4"/>
        </w:rPr>
      </w:pPr>
      <w:r w:rsidRPr="00F94DD1">
        <w:rPr>
          <w:bCs/>
          <w:spacing w:val="4"/>
        </w:rPr>
        <w:t xml:space="preserve">Savivaldybėse, kuriose veikia nakvynės namai, didžiausia problema yra neblaivūs ir apsvaigę asmenys. Į nakvynės namus siekiant apsaugoti gyventojus jie neturėtų būti priimami, tačiau ypač šaltuoju sezonu gelbstint benamių gyvybę priimami ir apsvaigę asmenys. Tokiu būdu sudaroma grėsmė tiek kitiems nakvynės namų gyventojams, tiek personalui. Neblaivūs asmenys dažniausia gabenami į ligonines, ypač jei yra sužalojimų ar asmuo akivaizdžiai yra sergantis. Tačiau tokia tvarka yra taip pat netinkama, kadangi apsvaigę asmenys dažnai būna agresyvūs, o ligoninių patalpos nepritaikytos tokiems asmenims hospitalizuoti. </w:t>
      </w:r>
    </w:p>
    <w:p w:rsidR="00626711" w:rsidRPr="00CC0D7D" w:rsidRDefault="00626711" w:rsidP="00626711">
      <w:pPr>
        <w:pStyle w:val="Betarp"/>
        <w:ind w:firstLine="720"/>
        <w:jc w:val="both"/>
        <w:rPr>
          <w:bCs/>
        </w:rPr>
      </w:pPr>
      <w:r w:rsidRPr="00CC0D7D">
        <w:rPr>
          <w:bCs/>
        </w:rPr>
        <w:t>2009-12-04 LR Ministro Pirmininko potvarkiu Nr. 548 buvo sudaryta darbo grupė neblaivių asmenų išblaivinimo problemoms spręsti. Darbo grupės laikas buvo numatytas iki 2010-03-01, tačiau darbo grupė neparengė išvadų ir jų nepateikė.</w:t>
      </w:r>
    </w:p>
    <w:p w:rsidR="00626711" w:rsidRPr="00F94DD1" w:rsidRDefault="00626711" w:rsidP="00626711">
      <w:pPr>
        <w:pStyle w:val="Betarp"/>
        <w:ind w:firstLine="720"/>
        <w:jc w:val="both"/>
      </w:pPr>
      <w:r w:rsidRPr="00F94DD1">
        <w:t>2010-03-17 vykusios Seimo Narkomanijos ir alkoholizmo prevencijos komisijos posėdyje minėtos darbo grupės vadovė Ministro Pirmininko tarnybos Reformų departamento direktorė Lina Drakšienė teigė, jog neblaivūs asmenys užkemša ligoninių priimamuosius, ypač šaltuoju metų laiku. Lietuvoje veikia vienintelė išblaivinimo įstaiga “Sala”, kurioje yra 30 vietų ir jų visiškai pakanka Vilniaus miestui. Kituose miestuose neblaivūs asmenys vežami į ligonines, tačiau tik daliai jų iš tikrųjų būtina medicininė pagalba.</w:t>
      </w:r>
    </w:p>
    <w:p w:rsidR="00626711" w:rsidRPr="00F94DD1" w:rsidRDefault="00626711" w:rsidP="00626711">
      <w:pPr>
        <w:pStyle w:val="Betarp"/>
        <w:ind w:firstLine="720"/>
        <w:jc w:val="both"/>
      </w:pPr>
      <w:r w:rsidRPr="00F94DD1">
        <w:t xml:space="preserve">Darbo grupė nustatė, kad dabar galiojančius teisės aktus išblaivinimo paslaugą galima teikti kaip socialinę paslaugą, kadangi ji yra įtraukta į Socialinių paslaugų katalogą. Policija turi pareigą pasirūpinti  asmenimis, kurie kelia pavojų aplinkiniams arba dėl savo bejėgiškos būklės gali tapti nusikaltimų auka. Tokie asmenys vežami į gydymo įstaigą kai nekelia grėsmės, arba į policijos komisariatą. Iš gydymo įstaigos suteikus medicininę paslaugą, jei asmeniui nereikalingas tolimesnis gydymas, asmenys turėtų būti paleidžiami. Tačiau problema yra tame, kad daugelis tokių asmenų neturi, kur eiti. Todėl jie dažniausia lieka gydymo įstaigoje ir jiems teikiamos tokios su medicina nesusijusios paslaugos kaip apnakvindinimas, prausimas ir pan. Darbo grupės pasiūlymas būtų steigti tokius nakvynės namus, kaip Vilniuje veikiantys “Sala”. Tačiau problema yra tame, kad tai yra socialinė paslauga, o socialines paslaugas teikia savivaldybės. Kol kas savivaldybių asociacija informavo, jog savivaldybės galėtų teikti tokią paslaugą, jei būtų skirtas atskiras finansavimas, kitu atveju savivaldybėms tai nėra prioritetinis dalykas ir tam nėra skiriama lėšų. </w:t>
      </w:r>
    </w:p>
    <w:p w:rsidR="00626711" w:rsidRPr="00F94DD1" w:rsidRDefault="00626711" w:rsidP="00626711">
      <w:pPr>
        <w:pStyle w:val="Betarp"/>
        <w:ind w:firstLine="720"/>
        <w:jc w:val="both"/>
      </w:pPr>
      <w:r w:rsidRPr="00F94DD1">
        <w:lastRenderedPageBreak/>
        <w:t xml:space="preserve">Kadangi problema yra opi, aktuali ir ginčytina, posėdžio metu buvo nutarta surinktą medžiagą perduoti Seimo Socialinių reikalų ir darbo komitetui. </w:t>
      </w:r>
    </w:p>
    <w:p w:rsidR="00626711" w:rsidRPr="00F94DD1" w:rsidRDefault="00626711" w:rsidP="00626711">
      <w:pPr>
        <w:pStyle w:val="Betarp"/>
        <w:jc w:val="both"/>
      </w:pPr>
    </w:p>
    <w:p w:rsidR="00626711" w:rsidRPr="00F94DD1" w:rsidRDefault="00626711" w:rsidP="00626711">
      <w:pPr>
        <w:pStyle w:val="Betarp"/>
        <w:jc w:val="both"/>
        <w:rPr>
          <w:b/>
          <w:bCs/>
          <w:i/>
          <w:iCs/>
        </w:rPr>
      </w:pPr>
      <w:r w:rsidRPr="00F94DD1">
        <w:rPr>
          <w:b/>
          <w:bCs/>
          <w:i/>
          <w:iCs/>
        </w:rPr>
        <w:t xml:space="preserve">2. Nelankantys mokyklos ir nesimokantys vaikai. </w:t>
      </w:r>
    </w:p>
    <w:p w:rsidR="00626711" w:rsidRPr="00F94DD1" w:rsidRDefault="00626711" w:rsidP="00626711">
      <w:pPr>
        <w:pStyle w:val="Betarp"/>
        <w:jc w:val="both"/>
        <w:rPr>
          <w:b/>
          <w:bCs/>
          <w:i/>
          <w:iCs/>
        </w:rPr>
      </w:pPr>
    </w:p>
    <w:p w:rsidR="00626711" w:rsidRPr="00F94DD1" w:rsidRDefault="00626711" w:rsidP="00626711">
      <w:pPr>
        <w:pStyle w:val="Betarp"/>
        <w:ind w:firstLine="720"/>
        <w:jc w:val="both"/>
        <w:rPr>
          <w:bCs/>
          <w:spacing w:val="4"/>
        </w:rPr>
      </w:pPr>
      <w:r w:rsidRPr="00F94DD1">
        <w:rPr>
          <w:bCs/>
          <w:spacing w:val="4"/>
        </w:rPr>
        <w:t>Švietimo informacinių technologijų centras (toliau – Centras) renka duomenis apie vaikus, nelankančius mokyklos. Tačiau savivaldybės teigia, jog šio Centro pateikiama informacija stipriai skiriasi nuo tos, kurią turi savivaldybių švietimo skyriai ir pačios švietimo įstaigos. Centras duomenis renka pagal Gyventojų registro duomenis, o savivaldybės teigia, jog yra nemažai vaikų, pakeitusių gyvenamąją vietą faktiškai, o deklaracijos vieta nepasikeitė. Todėl šiuo metu daugelis savivaldybių tikslina esamus duomenis.</w:t>
      </w:r>
    </w:p>
    <w:p w:rsidR="00626711" w:rsidRPr="00F94DD1" w:rsidRDefault="00626711" w:rsidP="00626711">
      <w:pPr>
        <w:pStyle w:val="Betarp"/>
        <w:ind w:firstLine="720"/>
        <w:jc w:val="both"/>
      </w:pPr>
      <w:r w:rsidRPr="00F94DD1">
        <w:t>Centras į nelankančių mokyklos vaikų sąrašus įtraukė visus, kurie mokyklos nelanko Lietuvos Respublikoje. T. y. sąraše yra ir tie vaikai, kurie išvykę į užsienį ir galbūt ten lanko mokyklą. Tačiau ne visos savivaldybės turi duomenis apie tokius vaikus ir ne visos tokius duomenis pateikė. Yra savivaldybių, kurios nurodė tik vaikus, kurie nelanko mokyklos arba ją lanko nereguliariai dėl socialinių priežasčių. Vienos savivaldybės pateikė informaciją apie neįgalius vaikus, nelankančius mokyklos dėl sveikatos, kitos savivaldybės tokių duomenų nepateikė. Yra savivaldybių, kurios nenurodė nereguliariai lankančių vaikų. Todėl skaičiuojant nelankančius vaikus galima neatitikimai su realiu skaičium vaikų, kurie nelanko mokyklos. Tenka pažymėti, kad tikslaus skaičiaus nelankančių mokyklos vaikų nepateikė ir Švietimo ir mokslo ministerija.</w:t>
      </w:r>
    </w:p>
    <w:p w:rsidR="00626711" w:rsidRPr="00F94DD1" w:rsidRDefault="00626711" w:rsidP="00626711">
      <w:pPr>
        <w:pStyle w:val="Betarp"/>
        <w:ind w:firstLine="720"/>
        <w:jc w:val="both"/>
        <w:rPr>
          <w:bCs/>
          <w:spacing w:val="4"/>
        </w:rPr>
      </w:pPr>
      <w:r w:rsidRPr="00F94DD1">
        <w:rPr>
          <w:bCs/>
          <w:spacing w:val="4"/>
        </w:rPr>
        <w:t xml:space="preserve">Pateiktais duomenimis, vaikų grupėje nuo 6 (7) metų iki 16 metų </w:t>
      </w:r>
      <w:r w:rsidRPr="00F94DD1">
        <w:rPr>
          <w:b/>
          <w:spacing w:val="4"/>
        </w:rPr>
        <w:t>mokyklos nelanko</w:t>
      </w:r>
      <w:r w:rsidRPr="00F94DD1">
        <w:rPr>
          <w:bCs/>
          <w:spacing w:val="4"/>
        </w:rPr>
        <w:t xml:space="preserve"> </w:t>
      </w:r>
      <w:r w:rsidRPr="00F94DD1">
        <w:t xml:space="preserve">2826 </w:t>
      </w:r>
      <w:r w:rsidRPr="00F94DD1">
        <w:rPr>
          <w:bCs/>
          <w:spacing w:val="4"/>
        </w:rPr>
        <w:t xml:space="preserve">vaikų, o tai sudaro apie 0,85 procento visų turinčių lankyti mokyklą to amžiaus vaikų. Vaikų grupėje nuo 16 iki 18 metų </w:t>
      </w:r>
      <w:r w:rsidRPr="00F94DD1">
        <w:rPr>
          <w:b/>
          <w:spacing w:val="4"/>
        </w:rPr>
        <w:t>mokyklos nelanko</w:t>
      </w:r>
      <w:r w:rsidRPr="00F94DD1">
        <w:rPr>
          <w:bCs/>
          <w:spacing w:val="4"/>
        </w:rPr>
        <w:t xml:space="preserve"> </w:t>
      </w:r>
      <w:r w:rsidRPr="00F94DD1">
        <w:t>1626</w:t>
      </w:r>
      <w:r w:rsidRPr="00F94DD1">
        <w:rPr>
          <w:bCs/>
          <w:spacing w:val="4"/>
        </w:rPr>
        <w:t xml:space="preserve"> vaikų, o tai sudaro apie 1,3 procentus visų to amžiaus vaikų. Skaičiai gali būti netikslūs, atsižvelgiant į tai, kad kai kurios savivaldybės nepateikė duomenų, apie vaikus, sulaukusius 16 metų, kadangi mokslas Lietuvoje privalomas iki 16 metų. </w:t>
      </w:r>
    </w:p>
    <w:p w:rsidR="00626711" w:rsidRPr="00F94DD1" w:rsidRDefault="00626711" w:rsidP="00626711">
      <w:pPr>
        <w:pStyle w:val="Betarp"/>
        <w:ind w:firstLine="720"/>
        <w:jc w:val="both"/>
        <w:rPr>
          <w:bCs/>
          <w:spacing w:val="4"/>
        </w:rPr>
      </w:pPr>
      <w:r w:rsidRPr="00F94DD1">
        <w:rPr>
          <w:bCs/>
          <w:spacing w:val="4"/>
        </w:rPr>
        <w:t>Didžiausias skaičius vaikų, savivaldybių duomenimis, yra išvykęs į užsienį kartu su tėvais. Tačiau didžioji dalis savivaldybių pateikia tik tikėtiną vaiko buvimo vietą, t.y. neturi įrodymų, jog vaikas tikrai yra užsienyje. Nerastus pagal sąrašą vaikus savivaldybės laiko išvykusiais į užsienį, persikėlusiais gyventi į kitą Lietuvos rajoną ir tik maža dalis nurodo, jog vaikas nerastas pagal sąrašą, tačiau jo paieškos tęsiamos.</w:t>
      </w:r>
    </w:p>
    <w:p w:rsidR="00626711" w:rsidRPr="00F94DD1" w:rsidRDefault="00626711" w:rsidP="00626711">
      <w:pPr>
        <w:pStyle w:val="Betarp"/>
        <w:ind w:firstLine="720"/>
        <w:jc w:val="both"/>
      </w:pPr>
      <w:r w:rsidRPr="00F94DD1">
        <w:t>2010-03-17 vykusio Seimo Narkomanijos ir alkoholizmo prevencijos komisijos posėdyje Švietimo informacinių technologijų centro direktoriaus pavaduotojas Eduardas Daujotis teigė, jog 80 procentų savivaldybių nežino, kur yra jų vaikai ir nesiruošia jų ieškoti, domėtis. Savivaldybės piktinasi, kad Švietimo informacinių technologijų centras renka nesimokančių vaikų statistiką. Didžioji dalis vaikų vis dėlto yra išvykusi į užsienį ir nedeklaravę išvykimo.</w:t>
      </w:r>
    </w:p>
    <w:p w:rsidR="00626711" w:rsidRDefault="00626711" w:rsidP="00626711">
      <w:pPr>
        <w:pStyle w:val="Betarp"/>
        <w:ind w:firstLine="720"/>
        <w:jc w:val="both"/>
      </w:pPr>
      <w:r w:rsidRPr="00F94DD1">
        <w:t xml:space="preserve">2010 metų birželio mėnesį Statistikos departamentas perdavė Seimo Narkomanijos ir alkoholizmo prevencijos komisijai oficialią nesimokančių vaikų statistiką. Pagal ją iš viso Lietuvoje nesimoko 15924 vaikai iki 16 metų. Į šį skaičių patenka visi vaikai, kurių gimimas yra registruotas Lietuvos Respublikoje. Kaip komisijai žodžiu paaiškino Migracijos departamento atstovai, daugelis tėvų net gyvendami ir vaiko sulaukę užsienyje jo gimimą registruoja Lietuvos Respublikoje. Tik paskutiniu metu padaugėjo asmenų, deklaruojančių savo išvykimą į užsienio šalis, tačiau vis dar tikslus tokių išvykusių skaičius nėra žinomas. Susirūpinimą kelia tai, jog nėra jokių žinių apie 8796 vaikus. </w:t>
      </w:r>
    </w:p>
    <w:p w:rsidR="00626711" w:rsidRPr="00F94DD1" w:rsidRDefault="00626711" w:rsidP="00626711">
      <w:pPr>
        <w:pStyle w:val="Betarp"/>
        <w:ind w:firstLine="720"/>
        <w:jc w:val="both"/>
      </w:pPr>
      <w:r w:rsidRPr="00F94DD1">
        <w:t xml:space="preserve">Reaguodama į susiklosčiusią padėtį Seimo Narkomanijos ir alkoholizmo prevencijos komisija kreipėsi į Vaiko teisių apsaugos kontrolieriaus įstaigą prašydama atlikti tyrimą bei nustatyti šių nerastų vaikų buvimo vietą. Tyrimas iki šiol atliekamas. </w:t>
      </w:r>
    </w:p>
    <w:p w:rsidR="00626711" w:rsidRPr="00F94DD1" w:rsidRDefault="00626711" w:rsidP="00626711">
      <w:pPr>
        <w:pStyle w:val="Betarp"/>
        <w:jc w:val="both"/>
      </w:pPr>
    </w:p>
    <w:p w:rsidR="00626711" w:rsidRPr="000E212B" w:rsidRDefault="00626711" w:rsidP="00626711">
      <w:pPr>
        <w:pStyle w:val="Betarp"/>
        <w:jc w:val="both"/>
        <w:rPr>
          <w:b/>
        </w:rPr>
      </w:pPr>
      <w:r w:rsidRPr="000E212B">
        <w:rPr>
          <w:b/>
        </w:rPr>
        <w:t>3. Dėl asmenų, kurie kreipiasi į sveikatos priežiūros įstaigas dėl elgesio ir psichikos sutrikimų, vartojant narkotines ir psichotropines medžiagas, stebėsenos</w:t>
      </w:r>
      <w:r>
        <w:rPr>
          <w:b/>
        </w:rPr>
        <w:t>.</w:t>
      </w:r>
    </w:p>
    <w:p w:rsidR="00626711" w:rsidRPr="000E212B" w:rsidRDefault="00626711" w:rsidP="00626711">
      <w:pPr>
        <w:pStyle w:val="Betarp"/>
        <w:jc w:val="both"/>
        <w:rPr>
          <w:b/>
          <w:bCs/>
          <w:i/>
          <w:iCs/>
        </w:rPr>
      </w:pPr>
    </w:p>
    <w:p w:rsidR="00626711" w:rsidRPr="00F94DD1" w:rsidRDefault="00626711" w:rsidP="00626711">
      <w:pPr>
        <w:pStyle w:val="Betarp"/>
        <w:ind w:firstLine="720"/>
        <w:jc w:val="both"/>
        <w:rPr>
          <w:bCs/>
          <w:spacing w:val="4"/>
        </w:rPr>
      </w:pPr>
      <w:r w:rsidRPr="00F94DD1">
        <w:rPr>
          <w:bCs/>
          <w:spacing w:val="4"/>
        </w:rPr>
        <w:t>Lietuvos Respublikos valstybės kontrolė 2006-12-21 valstybinio audito ataskaitoje Nr. VA-10-9P-32 “Narkomanijos prevencijos ir pagalbos organizavimas” rekomenduoja gerinti statistinių duomenų apie asmenis, priklausomus nuo narkotinių ir psichotropinių medžiagų, rinkimą ir siūlo:</w:t>
      </w:r>
    </w:p>
    <w:p w:rsidR="00626711" w:rsidRPr="00F94DD1" w:rsidRDefault="00626711" w:rsidP="00626711">
      <w:pPr>
        <w:pStyle w:val="Betarp"/>
        <w:ind w:firstLine="720"/>
        <w:jc w:val="both"/>
        <w:rPr>
          <w:bCs/>
          <w:spacing w:val="4"/>
        </w:rPr>
      </w:pPr>
      <w:r w:rsidRPr="00F94DD1">
        <w:rPr>
          <w:bCs/>
          <w:spacing w:val="4"/>
        </w:rPr>
        <w:lastRenderedPageBreak/>
        <w:t>“-užtikrinti, kad visos licencijuotos gydymo įstaigos būtų įpareigotos Valstybiniam psichikos sveikatos centrui (toliau – Centras) teikti informaciją apie asmenis, sergančius priklausomybe nuo narkotinių ir psichotropinių medžiagų ir suteiktas jiems paslaugas,</w:t>
      </w:r>
    </w:p>
    <w:p w:rsidR="00626711" w:rsidRPr="00F94DD1" w:rsidRDefault="00626711" w:rsidP="00626711">
      <w:pPr>
        <w:pStyle w:val="Betarp"/>
        <w:ind w:firstLine="720"/>
        <w:jc w:val="both"/>
        <w:rPr>
          <w:bCs/>
          <w:spacing w:val="4"/>
        </w:rPr>
      </w:pPr>
      <w:r w:rsidRPr="00F94DD1">
        <w:rPr>
          <w:bCs/>
          <w:spacing w:val="4"/>
        </w:rPr>
        <w:t>-užtikrinti, kad visoms gydymo įstaigoms, teikiančioms Centrui statistines formas apie minėtus asmenis, būtų sudaryta galimybė naudotis SVIEDRA informacine sistema”.</w:t>
      </w:r>
    </w:p>
    <w:p w:rsidR="00626711" w:rsidRPr="00F94DD1" w:rsidRDefault="00626711" w:rsidP="00626711">
      <w:pPr>
        <w:pStyle w:val="Betarp"/>
        <w:ind w:firstLine="720"/>
        <w:jc w:val="both"/>
        <w:rPr>
          <w:bCs/>
          <w:spacing w:val="4"/>
        </w:rPr>
      </w:pPr>
      <w:r w:rsidRPr="00F94DD1">
        <w:rPr>
          <w:bCs/>
          <w:spacing w:val="4"/>
        </w:rPr>
        <w:t>2007-08-01 Sveikatos apsaugos ministro įsakymu Nr. V-636 “Dėl asmenų, kurie kreipiasi į asmens sveikatos priežiūros įstaigas dėl psichikos ir elgesio sutrikimų, vartojant narkotines ir psichotropines medžiagas, stebėsenos tvarkos aprašo patvirtinimo” (Žin., 2007, Nr. 88-3496) įteisinta nauja stebėsena Lietuvoje. Šiuo įsakymu Centrui pavesta vykdyti asmenų, kurie kreipiasi į asmens sveikatos priežiūros įstaigas dėl psichikos ir elgesio sutrikimų, vartojant narkotines ir psichotropines medžiagas, stebėseną (toliau – Stebėsena). Valstybinei ligonių kasai (toliau – VLK) pavesta organizuoti stebėsenos informacinės sistemos sukūrimą ir eksploatavimą. Į Nacionalinės narkotikų kontrolės ir narkomanijos prevencijos 2004-2008 metų programos įgyvendinimo priemonių planą buvo įtraukta priemonė: “12.5 Organizuoti asmenų, kurie kreipiasi į asmens sveikatos priežiūros įstaigas dėl psichikos ir elgesio sutrikimų, vartojant narkotines ir psichotropines medžiagas, stebėseną, įsigyti informacinių sistemų įrangos”. Priemonė dėl techninių ir teisinių problemų nebuvo įgyvendinta, jai skirtos lėšos (250 tūkst. Lt) nepanaudotos.</w:t>
      </w:r>
    </w:p>
    <w:p w:rsidR="00626711" w:rsidRPr="00F94DD1" w:rsidRDefault="00626711" w:rsidP="00626711">
      <w:pPr>
        <w:pStyle w:val="Betarp"/>
        <w:ind w:firstLine="720"/>
        <w:jc w:val="both"/>
        <w:rPr>
          <w:bCs/>
          <w:spacing w:val="4"/>
        </w:rPr>
      </w:pPr>
      <w:r w:rsidRPr="00F94DD1">
        <w:rPr>
          <w:bCs/>
          <w:spacing w:val="4"/>
        </w:rPr>
        <w:t>Stebėsenos informacinė sistema nesukurta iki šiol, todėl Centro kaupiami duomenys yra netikslūs, neatspindi realios situacijos. Ne visos sveikatos priežiūros įstaigos pildo statistines formas ir teikia informaciją Centrui.</w:t>
      </w:r>
    </w:p>
    <w:p w:rsidR="00626711" w:rsidRPr="00F94DD1" w:rsidRDefault="00626711" w:rsidP="00626711">
      <w:pPr>
        <w:pStyle w:val="Betarp"/>
        <w:ind w:firstLine="720"/>
        <w:jc w:val="both"/>
        <w:rPr>
          <w:bCs/>
          <w:spacing w:val="4"/>
        </w:rPr>
      </w:pPr>
      <w:r w:rsidRPr="00F94DD1">
        <w:rPr>
          <w:bCs/>
          <w:spacing w:val="4"/>
        </w:rPr>
        <w:t>Kalėjimų departamentas atlieka savo vidinę stebėseną dėl asmenų, kurie patenka į įkalinimo įstaigas vartodami narkotines ir psichotropines medžiagas. Departamentas nėra įpareigotas teikti informaciją Centrui, todėl įkalinimo įstaigose esantys vartojantys narkotines ir psichotropines medžiagas asmenys yra apskaitomi atskirai ir į bendrą statistiką nepatenka.</w:t>
      </w:r>
    </w:p>
    <w:p w:rsidR="00626711" w:rsidRPr="00F94DD1" w:rsidRDefault="00626711" w:rsidP="00626711">
      <w:pPr>
        <w:pStyle w:val="Betarp"/>
        <w:jc w:val="both"/>
        <w:rPr>
          <w:bCs/>
          <w:spacing w:val="4"/>
        </w:rPr>
      </w:pPr>
      <w:r w:rsidRPr="00F94DD1">
        <w:rPr>
          <w:bCs/>
          <w:spacing w:val="4"/>
        </w:rPr>
        <w:t xml:space="preserve">2010-09-22 Seimo Narkomanijos ir alkoholizmo prevencijos komisijos posėdyje išryškėjo didžiausia problema tame, kad atskiros įstaigos renka savo statišką apie priklausomybės ligomis sergančius asmenis, tačiau bendros statistikos nėra, todėl duomenys yra netikslūs. </w:t>
      </w:r>
    </w:p>
    <w:p w:rsidR="00626711" w:rsidRDefault="00626711" w:rsidP="00626711">
      <w:pPr>
        <w:pStyle w:val="Betarp"/>
        <w:ind w:firstLine="720"/>
        <w:jc w:val="both"/>
        <w:rPr>
          <w:bCs/>
          <w:spacing w:val="4"/>
        </w:rPr>
      </w:pPr>
      <w:r w:rsidRPr="00F94DD1">
        <w:rPr>
          <w:bCs/>
          <w:spacing w:val="4"/>
        </w:rPr>
        <w:t>Būtent dėl šios priežasties buvo priimtas sprendimas, kuriuo Vyriausybė bei Sveikatos apsaugos ministerija įpareigotos iki 2010-12-01 parengti unifikuotos sistemos kūrimo modelį ir užtikrinti, kad atskirų institucijų renkama informacija pasiektų Valstybinį psichikos sveikatos centrą ir būtų renkama oficiali vieninga statistika.</w:t>
      </w:r>
    </w:p>
    <w:p w:rsidR="00626711" w:rsidRPr="00F94DD1" w:rsidRDefault="00626711" w:rsidP="00626711">
      <w:pPr>
        <w:pStyle w:val="Betarp"/>
        <w:ind w:firstLine="720"/>
        <w:jc w:val="both"/>
        <w:rPr>
          <w:bCs/>
          <w:spacing w:val="4"/>
        </w:rPr>
      </w:pPr>
    </w:p>
    <w:p w:rsidR="00626711" w:rsidRPr="00F94DD1" w:rsidRDefault="00626711" w:rsidP="00626711">
      <w:pPr>
        <w:pStyle w:val="Betarp"/>
        <w:jc w:val="both"/>
        <w:rPr>
          <w:b/>
          <w:i/>
        </w:rPr>
      </w:pPr>
      <w:r w:rsidRPr="00F94DD1">
        <w:rPr>
          <w:bCs/>
          <w:spacing w:val="4"/>
        </w:rPr>
        <w:tab/>
      </w:r>
      <w:r w:rsidRPr="00F94DD1">
        <w:rPr>
          <w:b/>
          <w:bCs/>
          <w:i/>
          <w:spacing w:val="4"/>
        </w:rPr>
        <w:t xml:space="preserve">4. </w:t>
      </w:r>
      <w:bookmarkStart w:id="9" w:name="straipsnis1"/>
      <w:r w:rsidRPr="00F94DD1">
        <w:rPr>
          <w:b/>
          <w:i/>
        </w:rPr>
        <w:t xml:space="preserve"> “Dėl Klaipėdos valstybinio jūrų uosto pasienio kontrolės punktuose atliekamų patikrinimų teisinio statuso”</w:t>
      </w:r>
      <w:r>
        <w:rPr>
          <w:b/>
          <w:i/>
        </w:rPr>
        <w:t>.</w:t>
      </w:r>
      <w:r w:rsidRPr="00F94DD1">
        <w:rPr>
          <w:b/>
          <w:i/>
        </w:rPr>
        <w:t xml:space="preserve"> </w:t>
      </w:r>
    </w:p>
    <w:p w:rsidR="00626711" w:rsidRPr="00F94DD1" w:rsidRDefault="00626711" w:rsidP="00626711">
      <w:pPr>
        <w:pStyle w:val="Betarp"/>
        <w:jc w:val="both"/>
        <w:rPr>
          <w:b/>
        </w:rPr>
      </w:pPr>
    </w:p>
    <w:bookmarkEnd w:id="9"/>
    <w:p w:rsidR="00626711" w:rsidRPr="00F94DD1" w:rsidRDefault="00626711" w:rsidP="00626711">
      <w:pPr>
        <w:pStyle w:val="Betarp"/>
        <w:ind w:firstLine="720"/>
        <w:jc w:val="both"/>
        <w:rPr>
          <w:bCs/>
        </w:rPr>
      </w:pPr>
      <w:r w:rsidRPr="00F94DD1">
        <w:rPr>
          <w:bCs/>
        </w:rPr>
        <w:t>Uostas. 1991 m. Vyriausybės nutarimu buvo įkurta Klaipėdos uosto direkcija, o 1992 metais Klaipėdos uostui suteiktas valstybinio jūrų uosto statusas. 1996 metais buvo priimtas Klaipėdos valstybinio jūrų uosto įstatymas, kuris nustato, kad Klaipėdos uosto žemė, akvatorija, krantinės, hidrotechniniai įrenginiai, navigacijos keliai, kanalai ir įrenginiai bei kiti infrastruktūros objektai – priklauso valstybei ir negali būti privatizuojami. Lietuvos Respublikos Klaipėdos valstybinio jūrų uosto įstatymas (1996 m. gegužės 16 d. Nr. I-1340) reguliuoja Klaipėdos valstybinio jūrų uosto (toliau - uostas) veiklą bei valdymą.</w:t>
      </w:r>
    </w:p>
    <w:p w:rsidR="00626711" w:rsidRPr="00F94DD1" w:rsidRDefault="00626711" w:rsidP="00626711">
      <w:pPr>
        <w:pStyle w:val="Betarp"/>
        <w:jc w:val="both"/>
        <w:rPr>
          <w:rStyle w:val="Typewriter0"/>
        </w:rPr>
      </w:pPr>
      <w:r w:rsidRPr="00F94DD1">
        <w:rPr>
          <w:rStyle w:val="Typewriter0"/>
        </w:rPr>
        <w:t xml:space="preserve"> </w:t>
      </w:r>
      <w:r w:rsidRPr="00F94DD1">
        <w:rPr>
          <w:rStyle w:val="Typewriter0"/>
        </w:rPr>
        <w:tab/>
        <w:t>Kitų Lietuvos Respublikos jūrų uostų, naftos bei chemijos produktų terminalų, neįeinančių į jūrų uostų teritorijas, veiklą bei valdymą reguliuoja kiti Lietuvos Respublikos įstatymai, o iki jų įsigaliojimo - Lietuvos Respublikos Vyriausybės nutarimai.</w:t>
      </w:r>
    </w:p>
    <w:p w:rsidR="00626711" w:rsidRPr="00F94DD1" w:rsidRDefault="00626711" w:rsidP="00626711">
      <w:pPr>
        <w:pStyle w:val="Betarp"/>
        <w:jc w:val="both"/>
      </w:pPr>
      <w:r w:rsidRPr="00F94DD1">
        <w:t>Pagrindinės Uosto direkcijos funkcijos: 1) koordinuoti uosto žemės naudotojų vykdomą uosto teritorijos apsaugą, užtikrinti saugią laivybą uoste; 2) užtikrinti uosto kapitono veiklą; 3) organizuoti ir vykdyti u</w:t>
      </w:r>
      <w:bookmarkStart w:id="10" w:name="straipsnis12"/>
      <w:r w:rsidRPr="00F94DD1">
        <w:t xml:space="preserve">osto aplinkos apsaugą ir kt. </w:t>
      </w:r>
    </w:p>
    <w:p w:rsidR="00626711" w:rsidRPr="00F94DD1" w:rsidRDefault="00626711" w:rsidP="00626711">
      <w:pPr>
        <w:pStyle w:val="Betarp"/>
        <w:ind w:firstLine="720"/>
        <w:jc w:val="both"/>
      </w:pPr>
      <w:r w:rsidRPr="00F94DD1">
        <w:t xml:space="preserve"> </w:t>
      </w:r>
      <w:r w:rsidRPr="00F94DD1">
        <w:rPr>
          <w:bCs/>
        </w:rPr>
        <w:t>Kitos uosto valdymo institucijos:</w:t>
      </w:r>
      <w:bookmarkEnd w:id="10"/>
      <w:r w:rsidRPr="00F94DD1">
        <w:rPr>
          <w:bCs/>
        </w:rPr>
        <w:t xml:space="preserve"> </w:t>
      </w:r>
      <w:r w:rsidRPr="00F94DD1">
        <w:t xml:space="preserve">1. Uosto strategijai formuoti, santykiams tarp uosto, Klaipėdos miesto savivaldybės bei valstybės įstaigų koordinuoti Lietuvos Respublikos Vyriausybės nutarimu sudaroma Uosto plėtojimo taryba iš Susisiekimo, Finansų ir kitų suinteresuotų ministerijų, Klaipėdos apskrities viršininko administracijos, Klaipėdos miesto savivaldybės, mokslo įstaigų, Uosto direkcijos bei uosto naudotojų ir jų asociacijų atstovų.  2. Uosto plėtojimo tarybos nuostatus tvirtina Lietuvos Respublikos Vyriausybė. 3. Uosto plėtros klausimams (programoms) rengti sudaroma Uosto taryba iš Susisiekimo ministerijos, Klaipėdos apskrities viršininko administracijos, Klaipėdos miesto </w:t>
      </w:r>
      <w:r w:rsidRPr="00F94DD1">
        <w:lastRenderedPageBreak/>
        <w:t>savivaldybės, Uosto direkcijos, uosto naudotojų ir jų asociacijų bei įstaigų atstovų. 4. Uosto tarybos nuostatus tvirtina Susisiekimo ministerija.</w:t>
      </w:r>
      <w:bookmarkStart w:id="11" w:name="straipsnis13"/>
    </w:p>
    <w:p w:rsidR="00626711" w:rsidRPr="00F94DD1" w:rsidRDefault="00626711" w:rsidP="00626711">
      <w:pPr>
        <w:pStyle w:val="Betarp"/>
        <w:ind w:firstLine="720"/>
        <w:jc w:val="both"/>
      </w:pPr>
      <w:r w:rsidRPr="00F94DD1">
        <w:t>Laisvojo uosto steigimas</w:t>
      </w:r>
      <w:bookmarkEnd w:id="11"/>
      <w:r w:rsidRPr="00F94DD1">
        <w:t>.  Laisvasis uostas steigiamas Klaipėdos valstybinio jūrų uosto teritorijos dalyje, kurios ribas ir veiklos sąlygas nustato Lietuvos Respublikos Vyriausybė.</w:t>
      </w:r>
      <w:bookmarkStart w:id="12" w:name="straipsnis18"/>
    </w:p>
    <w:p w:rsidR="00626711" w:rsidRPr="00F94DD1" w:rsidRDefault="00626711" w:rsidP="00626711">
      <w:pPr>
        <w:pStyle w:val="Betarp"/>
        <w:jc w:val="both"/>
        <w:rPr>
          <w:color w:val="000000"/>
        </w:rPr>
      </w:pPr>
      <w:r w:rsidRPr="00F94DD1">
        <w:rPr>
          <w:color w:val="000000"/>
        </w:rPr>
        <w:t>Prekių įvežimas į laisvąjį uostą ir išvežimas iš jo, prekių laikymas ir apskaita laisvajame uoste.</w:t>
      </w:r>
      <w:bookmarkEnd w:id="12"/>
      <w:r w:rsidRPr="00F94DD1">
        <w:rPr>
          <w:color w:val="000000"/>
        </w:rPr>
        <w:t xml:space="preserve">  Prekių įvežimo į laisvąjį uostą, išvežimo iš jo, laikymo ir apskaitos laisvajame uoste tvarką nustato Muitinės kodeksas ir jo taikymą reglamentuojantys teisės aktai.</w:t>
      </w:r>
      <w:bookmarkStart w:id="13" w:name="straipsnis19"/>
      <w:r w:rsidRPr="00F94DD1">
        <w:rPr>
          <w:color w:val="000000"/>
        </w:rPr>
        <w:t xml:space="preserve"> </w:t>
      </w:r>
    </w:p>
    <w:p w:rsidR="00626711" w:rsidRPr="00F94DD1" w:rsidRDefault="00626711" w:rsidP="00626711">
      <w:pPr>
        <w:pStyle w:val="Betarp"/>
        <w:ind w:firstLine="720"/>
        <w:jc w:val="both"/>
        <w:rPr>
          <w:color w:val="000000"/>
        </w:rPr>
      </w:pPr>
      <w:r w:rsidRPr="00F94DD1">
        <w:t>Patekimas į laisvąjį uostą</w:t>
      </w:r>
      <w:bookmarkEnd w:id="13"/>
      <w:r w:rsidRPr="00F94DD1">
        <w:t xml:space="preserve">. 1. Asmenys ir transporto priemonės į laisvąjį uostą įleidžiami pateikę leidimus. Leidimų išdavimo tvarką ir pavyzdžius tvirtina susisiekimo ministras suderinęs su Muitinės departamentu prie Finansų ministerijos ir Valstybės sienos apsaugos tarnyba. </w:t>
      </w:r>
      <w:r w:rsidRPr="00F94DD1">
        <w:rPr>
          <w:color w:val="000000"/>
        </w:rPr>
        <w:t>2. Uosto direkcijos ir valstybės institucijų, vykdančių laisvojo uosto ar laivybos priežiūrą bei kontrolę, pareigūnai ir jų transporto priemonės į laisvąjį uostą įleidžiami pateikę tarnybinį pažymėjimą.</w:t>
      </w:r>
      <w:bookmarkStart w:id="14" w:name="straipsnis21"/>
    </w:p>
    <w:p w:rsidR="00626711" w:rsidRPr="00F94DD1" w:rsidRDefault="00626711" w:rsidP="00626711">
      <w:pPr>
        <w:pStyle w:val="Betarp"/>
        <w:ind w:firstLine="720"/>
        <w:jc w:val="both"/>
        <w:rPr>
          <w:color w:val="030303"/>
        </w:rPr>
      </w:pPr>
      <w:r w:rsidRPr="00F94DD1">
        <w:t>Laisvojo uosto priežiūra.</w:t>
      </w:r>
      <w:bookmarkEnd w:id="14"/>
      <w:r w:rsidRPr="00F94DD1">
        <w:t xml:space="preserve">  1. Laisvojo uosto ribas ir prekių įvežimo bei išvežimo vietas prižiūri muitinė. Teisės aktų nustatyta tvarka ji tikrina į laisvąjį uostą atvykstančius ir iš jo išvykstančius fizinius asmenis bei transporto priemones. Laisvojo uosto pagal perimetrą apsaugą organizuoja ir vykdo uosto žemės naudotojai. 2</w:t>
      </w:r>
      <w:r w:rsidRPr="00F94DD1">
        <w:rPr>
          <w:rStyle w:val="Typewriter0"/>
        </w:rPr>
        <w:t xml:space="preserve">. </w:t>
      </w:r>
      <w:r w:rsidRPr="00F94DD1">
        <w:t>Prekės iš Lietuvos Respublikos muitų teritorijos į laisvąjį uostą įvežamos ir iš laisvojo uosto į Lietuvos Respublikos muitų teritoriją išvežamos per tam tikslui įrengtas vietas. Postų ir muitinio tikrinimo vietų įrengimą organizuoja Vyriausybės įgaliota institucija, patalpų, muitinio tikrinimo vietų bei infrastruktūros projektus suderinusi su Muitinės departamentu prie Lietuvos Respublikos finansų ministerijos</w:t>
      </w:r>
      <w:r w:rsidRPr="00F94DD1">
        <w:rPr>
          <w:rStyle w:val="Typewriter0"/>
        </w:rPr>
        <w:t>. 3. Muitinė tikrina į laisvąjį uostą įvežamas, iš jo išvežamas ir jame laikomas prekes Muitinės kodekso nustatyta tvarka.</w:t>
      </w:r>
      <w:r w:rsidRPr="00F94DD1">
        <w:tab/>
      </w:r>
      <w:r w:rsidRPr="00F94DD1">
        <w:rPr>
          <w:color w:val="030303"/>
        </w:rPr>
        <w:t xml:space="preserve">Klaipėdos uoste įdiegtos modernios laivų eismo valdymo, žmonių paieškos ir gelbėjimo sistemos. Uosto teritorija visą parą stebima vaizdo kameromis. Asmenys ir transporto priemonės į laisvąjį uostą įleidžiami pateikę leidimus. Leidimų  išdavimo tvarką ir pavyzdžius tvirtina susisiekimo ministras  suderinęs su Muitinės departamentu prie Finansų ministerijos ir Valstybės sienos apsaugos tarnyba. </w:t>
      </w:r>
    </w:p>
    <w:p w:rsidR="00626711" w:rsidRPr="00F94DD1" w:rsidRDefault="00626711" w:rsidP="00626711">
      <w:pPr>
        <w:pStyle w:val="Betarp"/>
        <w:ind w:firstLine="720"/>
        <w:jc w:val="both"/>
      </w:pPr>
      <w:r w:rsidRPr="00F94DD1">
        <w:rPr>
          <w:color w:val="030303"/>
        </w:rPr>
        <w:t xml:space="preserve">Lietuvos Respublikos </w:t>
      </w:r>
      <w:r w:rsidRPr="00A14CBD">
        <w:rPr>
          <w:bCs/>
          <w:color w:val="030303"/>
        </w:rPr>
        <w:t>Muitinės įstatymas</w:t>
      </w:r>
      <w:r w:rsidRPr="00F94DD1">
        <w:rPr>
          <w:color w:val="030303"/>
        </w:rPr>
        <w:t xml:space="preserve"> 2004 m. balandžio 27 d. Nr. IX-2183 nustatė: </w:t>
      </w:r>
      <w:r w:rsidRPr="00F94DD1">
        <w:t xml:space="preserve">1) Lietuvos Respublikos muitinės paskirtį, veiklos principus ir teisinius pagrindus, funkcijas, struktūrą, veiklos organizavimą, finansavimą, bendradarbiavimo su valstybės ir savivaldybės institucijomis ir įstaigomis, kitais asmenimis, Europos Sąjungos ir užsienio valstybių institucijomis pagrindus; 2) Lietuvos Respublikos muitinės pareigūnų įgaliojimus, teises, pareigas, garantijas ir atsakomybę; 3) iš trečiųjų šalių importuotų ir į trečiąsias šalis eksportuojamų prekių muitinės priežiūros tvarką;  4) Lietuvos Respublikos muitinės administruojamų mokesčių taikymo tvarką; 5) Lietuvos Respublikos užsienio prekybos statistinių duomenų rinkimo ir apdorojimo tvarką. </w:t>
      </w:r>
    </w:p>
    <w:p w:rsidR="00626711" w:rsidRPr="00F94DD1" w:rsidRDefault="00626711" w:rsidP="00626711">
      <w:pPr>
        <w:pStyle w:val="Betarp"/>
        <w:ind w:firstLine="720"/>
        <w:jc w:val="both"/>
      </w:pPr>
      <w:r w:rsidRPr="00F94DD1">
        <w:t xml:space="preserve">Taip pat šiuo Įstatymu įgyvendinami šio Įstatymo priede nurodyti Europos Sąjungos teisės aktai. </w:t>
      </w:r>
      <w:r w:rsidRPr="00F94DD1">
        <w:rPr>
          <w:color w:val="000000"/>
        </w:rPr>
        <w:t xml:space="preserve">Šio įstatymo 9 straipsniu patvirtintos  Muitinės funkcijos: </w:t>
      </w:r>
      <w:r w:rsidRPr="00F94DD1">
        <w:t xml:space="preserve">1. Muitinės funkcijos: 1) muitinės priežiūros priemonėmis užtikrinti muitų teisės aktų įgyvendinimą; 2) administruoti importo ir eksporto muitus ir kitus muitinės administruojamus importo ir eksporto mokesčius; 3) kontroliuoti bendrojo muitų tarifo, muitų ir kitų muitinės administruojamų mokesčių bei jų lengvatų, taip pat muitų teisės aktų nustatytų importo, eksporto ir tranzito draudimų bei apribojimų taikymą; 4) atlikti muitų teisės aktų pažeidimų prevenciją ir tyrimą; 5) taikyti Lietuvos Respublikos operatyvinės veiklos įstatymo nustatytus operatyvinius veiksmus bei naudoti operatyvinės veiklos priemones su muitinės veikla susijusioms nusikalstamoms veikoms nustatyti ir atlikti šių veikų ikiteisminį tyrimą; 6) tvarkyti prekių importo ir eksporto bei prekybos su kitomis Europos Sąjungos valstybėmis narėmis statistiką; 7) tikrinti Lietuvos Respublikos muitų teritorijoje savo veiklą vykdančių asmenų ūkinę komercinę veiklą, jos apskaitą, su muitų teisės aktų taikymu susijusią finansinę atskaitomybę. 2. Muitinė atlieka kitas Europos Sąjungos ir Lietuvos Respublikos teisės aktuose nustatytas muitinės funkcijas.3. Teisės aktų nustatytais atvejais ir tvarka muitinei gali būti pavesta atlikti kitų valstybės institucijų funkcijas.4. Teisės aktų nustatytais atvejais ir tvarka kai kurias muitinės funkcijas gali būti pavesta atlikti kitoms valstybės institucijoms ar įstaigoms. </w:t>
      </w:r>
    </w:p>
    <w:p w:rsidR="00626711" w:rsidRPr="00F94DD1" w:rsidRDefault="00626711" w:rsidP="00626711">
      <w:pPr>
        <w:pStyle w:val="Betarp"/>
        <w:ind w:firstLine="720"/>
        <w:jc w:val="both"/>
      </w:pPr>
      <w:r w:rsidRPr="00F94DD1">
        <w:t>Nustatyta</w:t>
      </w:r>
      <w:r w:rsidRPr="00F94DD1">
        <w:rPr>
          <w:b/>
          <w:bCs/>
          <w:color w:val="000000"/>
        </w:rPr>
        <w:t xml:space="preserve"> Muitinės sistema. </w:t>
      </w:r>
      <w:r w:rsidRPr="00F94DD1">
        <w:t xml:space="preserve">Muitinę sudaro: 1) Muitinės departamentas; 2) teritorinės muitinės; 3) specialiosios muitinės įstaigos. </w:t>
      </w:r>
    </w:p>
    <w:p w:rsidR="00626711" w:rsidRPr="00F94DD1" w:rsidRDefault="00626711" w:rsidP="00626711">
      <w:pPr>
        <w:pStyle w:val="Betarp"/>
        <w:ind w:firstLine="720"/>
        <w:jc w:val="both"/>
      </w:pPr>
      <w:r w:rsidRPr="00F94DD1">
        <w:rPr>
          <w:color w:val="000000"/>
        </w:rPr>
        <w:t>Muitinės įstatymo 20 straipsnis</w:t>
      </w:r>
      <w:r w:rsidRPr="00F94DD1">
        <w:t xml:space="preserve"> nustato Muitinės pareigūnų įgaliojimus, jų bendrąsias teises ir pareigas: </w:t>
      </w:r>
    </w:p>
    <w:p w:rsidR="00626711" w:rsidRPr="00F94DD1" w:rsidRDefault="00626711" w:rsidP="00626711">
      <w:pPr>
        <w:pStyle w:val="Betarp"/>
        <w:ind w:firstLine="720"/>
        <w:jc w:val="both"/>
      </w:pPr>
      <w:r w:rsidRPr="00F94DD1">
        <w:t xml:space="preserve">1. Muitinės pareigūnas, atlikdamas muitų teisės aktų jam pavestas funkcijas, turi teisę reikalauti, kad jam nepavaldūs asmenys vykdytų jo teisėtus reikalavimus, o jų nevykdymo ar </w:t>
      </w:r>
      <w:r w:rsidRPr="00F94DD1">
        <w:lastRenderedPageBreak/>
        <w:t xml:space="preserve">pasipriešinimo atveju – panaudoti fizinę ar kitokią prievartą šio Įstatymo II skyriaus šeštojo skirsnio nustatytais atvejais ir tvarka. </w:t>
      </w:r>
    </w:p>
    <w:p w:rsidR="00626711" w:rsidRPr="00F94DD1" w:rsidRDefault="00626711" w:rsidP="00626711">
      <w:pPr>
        <w:pStyle w:val="Betarp"/>
        <w:ind w:firstLine="720"/>
        <w:jc w:val="both"/>
      </w:pPr>
      <w:r w:rsidRPr="00F94DD1">
        <w:t>2. Muitinės pareigūnai, vykdydami jiems suteiktus įgaliojimus, vadovaujasi Europos Bendrijos muitų teisės aktais, tarptautinėmis sutartimis ir Lietuvos Respublikos teisės aktais. Teisėti muitinės pareigūnų reikalavimai yra privalomi visiems asmenims, kuriems šie reikalavimai taikytini. Už šių reikalavimų nevykdymą asmenys atsako Lietuvos Respublikos teisės aktų nustatyta tvarka.</w:t>
      </w:r>
    </w:p>
    <w:p w:rsidR="00626711" w:rsidRDefault="00626711" w:rsidP="00626711">
      <w:pPr>
        <w:pStyle w:val="Betarp"/>
        <w:ind w:firstLine="720"/>
        <w:jc w:val="both"/>
      </w:pPr>
      <w:r w:rsidRPr="00F94DD1">
        <w:t xml:space="preserve">3. Muitinės pareigūnas turi teisę: 1) reikalauti iš asmenų deklaruoti ir pateikti muitiniam tikrinimui į Bendrijos muitų teritoriją importuojamas, iš jos eksportuojamas arba tranzitu per šią teritoriją gabenamas prekes, su jų gabenimu susijusius dokumentus ir kitą muitiniam tikrinimui reikalingą informaciją bei paaiškinimus; 2) stabdyti, apžiūrėti ir tikrinti transporto priemones, gabenamas prekes bei su jų gabenimu susijusius dokumentus ir jas gabenančius asmenis, jeigu sprendžiant pagal teisės aktuose nustatytus rizikos požymius yra pagrindo manyti, kad gabenamoms prekėms taikomos ar taikytinos muitinės priežiūros priemonės; 3) tikrindamas transporto priemones ir (arba) gabenamas prekes teisės aktų nustatytais atvejais ir tvarka naudoti technines ir kitas priemones; 4) muitų teisės aktų nustatyta tvarka imti gabenamų, tikrinamų asmenų patalpose arba kitose saugojimo vietose laikomų prekių pavyzdžius (mėginius); 5) reikalauti, kad prekes gabenantys, perkraunantys arba laikantys asmenys sudarytų </w:t>
      </w:r>
      <w:r w:rsidRPr="00F94DD1">
        <w:rPr>
          <w:color w:val="000000"/>
        </w:rPr>
        <w:t xml:space="preserve">muitinei </w:t>
      </w:r>
      <w:r w:rsidRPr="00F94DD1">
        <w:t xml:space="preserve">tinkamas sąlygas prekėms ir transporto priemonėms patikrinti; 6) sulaikyti asmenis, gabenamas prekes, su jų gabenimu susijusius dokumentus ir jas gabenančias transporto priemones visoje Lietuvos Respublikos muitų teritorijoje; 7) teisės aktų nustatyta tvarka atlikti asmens apžiūrą; 8) atlikti Lietuvos Respublikos muitų teritorijoje savo veiklą vykdančių asmenų ūkinės komercinės veiklos, jos apskaitos, finansinės atskaitomybės, susijusios su muitų teisės aktų taikymu, tikrinimus, teisės aktų nustatyta tvarka susipažinti ir paimti buhalterinės apskaitos, prekių gabenimo, įsigijimo ir (arba) kitus dokumentus, kompiuterinių duomenų laikmenas, patikrinimų, revizijų medžiagas; 9) atliekant asmenų ūkinės komercinės veiklos ir prekių, kurioms taikomos arba taikytinos muitinės priežiūros priemonės, tikrinimus, netrukdomai įeiti į tikrinamų arba prekes laikančių asmenų administracines, gamybines ir kitas (tarp jų ir asmenų užplombuotas) patalpas bei teritorijas, naudojamas ūkinei komercinei veiklai; 10) gauti iš tikrinamų asmenų žodinius ir rašytinius paaiškinimus, pažymas, dokumentus arba jų kopijas, kompiuterinius duomenis ir kitą informaciją; 11) teisės aktų nustatyta tvarka gauti informaciją bei pagalbą, būtiną muitinės funkcijoms vykdyti; 12) vykdydamas tarnybines pareigas, patekti į Lietuvos Respublikos pasienio kontrolės punktų teritoriją; 13) teisės aktų pažeidimo atvejais atidaryti patalpas, naudojamas ūkinei komercinei veiklai, ar transporto priemones ir į jas patekti; 14) atlikti </w:t>
      </w:r>
      <w:r w:rsidRPr="00F94DD1">
        <w:rPr>
          <w:color w:val="000000"/>
        </w:rPr>
        <w:t xml:space="preserve">prekių </w:t>
      </w:r>
      <w:r w:rsidRPr="00F94DD1">
        <w:t xml:space="preserve">kontrolinius matavimus, inventorizacijas, asmenų ūkinės komercinės veiklos tikrinimo metu tikrinti jų patalpose laikomas prekes ir transporto priemones; 15) atliekant asmenų ūkinės komercinės veiklos tikrinimus ar inventorizacijas, plombuoti muitinės plombomis ar kitaip ženklinti dokumentų, pinigų, vertybinių popierių, prekių saugojimo vietas (patalpas, specialias saugyklas ir pan.), įrengimus ir matavimo prietaisus; 16) tikrinti asmenų, vykdančių prekybą su kitomis Europos Sąjungos valstybėmis narėmis, muitinei teikiamų statistinių duomenų kokybę; 17) šio Įstatymo II skyriaus šeštajame skirsnyje numatytais atvejais ir tvarka turėti, nešioti ir naudoti šaunamąjį ginklą bei naudoti fizinę ir kitokią prievartą; 18) teisės aktų nustatytais atvejais ir tvarka naudotis specialiais šviesos ir (arba) garso signalais; 19) nevykdyti teisės aktams prieštaraujančių įsakymų arba nurodymų; 20) naudotis kitomis teisės aktų nustatytomis teisėmis. </w:t>
      </w:r>
    </w:p>
    <w:p w:rsidR="00626711" w:rsidRPr="00F94DD1" w:rsidRDefault="00626711" w:rsidP="00626711">
      <w:pPr>
        <w:pStyle w:val="Betarp"/>
        <w:ind w:firstLine="720"/>
        <w:jc w:val="both"/>
      </w:pPr>
      <w:r w:rsidRPr="00F94DD1">
        <w:t xml:space="preserve">4. Muitinės pareigūnas privalo: </w:t>
      </w:r>
    </w:p>
    <w:p w:rsidR="00626711" w:rsidRPr="00F94DD1" w:rsidRDefault="00626711" w:rsidP="00626711">
      <w:pPr>
        <w:pStyle w:val="Betarp"/>
        <w:jc w:val="both"/>
      </w:pPr>
      <w:r w:rsidRPr="00F94DD1">
        <w:t xml:space="preserve">1) vykdyti muitų teisės aktų reikalavimus; </w:t>
      </w:r>
    </w:p>
    <w:p w:rsidR="00626711" w:rsidRPr="00F94DD1" w:rsidRDefault="00626711" w:rsidP="00626711">
      <w:pPr>
        <w:pStyle w:val="Betarp"/>
        <w:jc w:val="both"/>
      </w:pPr>
      <w:r w:rsidRPr="00F94DD1">
        <w:t>2) teisės aktų nustatyta tvarka įvesti į muitinės informacines sistemas muitinės deklaracijų bei kitus šių sistemų apdorojamus duomenis, taip pat šiuos duomenis tvarkyti, analizuoti, perduoti ir priimti;</w:t>
      </w:r>
    </w:p>
    <w:p w:rsidR="00626711" w:rsidRPr="00F94DD1" w:rsidRDefault="00626711" w:rsidP="00626711">
      <w:pPr>
        <w:pStyle w:val="Betarp"/>
        <w:jc w:val="both"/>
      </w:pPr>
      <w:r w:rsidRPr="00F94DD1">
        <w:t>3) užtikrinti muitinės informacinėse sistemose sukauptų duomenų (informacijos) apsaugą ir autentiškumą;</w:t>
      </w:r>
    </w:p>
    <w:p w:rsidR="00626711" w:rsidRPr="00F94DD1" w:rsidRDefault="00626711" w:rsidP="00626711">
      <w:pPr>
        <w:pStyle w:val="Betarp"/>
        <w:jc w:val="both"/>
      </w:pPr>
      <w:r w:rsidRPr="00F94DD1">
        <w:t>4) eidamas pareigas turėti tarnybinį pažymėjimą ir (arba) tarnybos ženklą;</w:t>
      </w:r>
    </w:p>
    <w:p w:rsidR="00626711" w:rsidRPr="00F94DD1" w:rsidRDefault="00626711" w:rsidP="00626711">
      <w:pPr>
        <w:pStyle w:val="Betarp"/>
        <w:jc w:val="both"/>
      </w:pPr>
      <w:r w:rsidRPr="00F94DD1">
        <w:t>5) asmens, kurio prekės, transporto priemonė ar veikla tikrinami arba kuriam taikomi muitinės pareigūno reikalavimai, prašymu prisistatyti, parodyti savo tarnybinį pažymėjimą (tarnybinį ženklą) ir teisės aktų nustatytais atvejais kitus dokumentus, liudijančius, kad muitinės pareigūnas turi atitinkamus įgaliojimus;</w:t>
      </w:r>
    </w:p>
    <w:p w:rsidR="00626711" w:rsidRPr="00F94DD1" w:rsidRDefault="00626711" w:rsidP="00626711">
      <w:pPr>
        <w:pStyle w:val="Betarp"/>
        <w:jc w:val="both"/>
      </w:pPr>
      <w:r w:rsidRPr="00F94DD1">
        <w:t>6) laikytis Lietuvos Respublikos muitinės pareigūnų etikos kodekso reikalavimų;</w:t>
      </w:r>
    </w:p>
    <w:p w:rsidR="00626711" w:rsidRPr="00F94DD1" w:rsidRDefault="00626711" w:rsidP="00626711">
      <w:pPr>
        <w:pStyle w:val="Betarp"/>
        <w:jc w:val="both"/>
      </w:pPr>
      <w:r w:rsidRPr="00F94DD1">
        <w:t>7) vykdyti kitas teisės aktų nustatytas pareigas.</w:t>
      </w:r>
    </w:p>
    <w:p w:rsidR="00626711" w:rsidRPr="00F94DD1" w:rsidRDefault="00626711" w:rsidP="00626711">
      <w:pPr>
        <w:pStyle w:val="Betarp"/>
        <w:jc w:val="both"/>
      </w:pPr>
      <w:r w:rsidRPr="00F94DD1">
        <w:lastRenderedPageBreak/>
        <w:t xml:space="preserve">Muitinės įstatymo </w:t>
      </w:r>
      <w:r w:rsidRPr="00F94DD1">
        <w:rPr>
          <w:color w:val="000000"/>
        </w:rPr>
        <w:t xml:space="preserve">21 straipsnis nustato, kad </w:t>
      </w:r>
      <w:r w:rsidRPr="00F94DD1">
        <w:t xml:space="preserve"> Muitinės pareigūnų, turinčių įgaliojimus vykdyti operatyvinę veiklą ir (arba) atlikti ikiteisminį tyrimą, teisės ir pareigas:</w:t>
      </w:r>
    </w:p>
    <w:p w:rsidR="00626711" w:rsidRPr="00F94DD1" w:rsidRDefault="00626711" w:rsidP="00626711">
      <w:pPr>
        <w:pStyle w:val="Betarp"/>
        <w:jc w:val="both"/>
      </w:pPr>
      <w:r w:rsidRPr="00F94DD1">
        <w:t>1. Muitinės pareigūnas, turintis įgaliojimus vykdyti operatyvinę veiklą ir (arba) atlikti ikiteisminį tyrimą, be teisių, išvardytų 20 straipsnio 3 dalyje, turi teisę:</w:t>
      </w:r>
    </w:p>
    <w:p w:rsidR="00626711" w:rsidRPr="00F94DD1" w:rsidRDefault="00626711" w:rsidP="00626711">
      <w:pPr>
        <w:pStyle w:val="Betarp"/>
        <w:jc w:val="both"/>
      </w:pPr>
      <w:r w:rsidRPr="00F94DD1">
        <w:t>1) įtardamas, kad asmenys daro arba yra padarę muitų teisės aktų pažeidimus, tokius asmenis persekioti, sulaikyti, pristatyti į muitinės ar teisėsaugos institucijų patalpas jų asmenybėms nustatyti, protokolams, aktams ar kitiems dokumentams surašyti ar jų turimiems daiktams apžiūrėti;</w:t>
      </w:r>
    </w:p>
    <w:p w:rsidR="00626711" w:rsidRPr="00F94DD1" w:rsidRDefault="00626711" w:rsidP="00626711">
      <w:pPr>
        <w:pStyle w:val="Betarp"/>
        <w:jc w:val="both"/>
      </w:pPr>
      <w:r w:rsidRPr="00F94DD1">
        <w:t>2) nekliudomas įeiti į visų nuosavybės formų ir rūšių įmonių, įstaigų, organizacijų patalpas jų darbo metu, o ne darbo metu – su tos įmonės, įstaigos ar organizacijos administracijos atstovu, savininku arba jo atstovu, jeigu yra pagrindo manyti, kad ten yra asmenų, kuriuos muitinės pareigūnas įtaria darant ar padarius muitų teisės aktų pažeidimus, kad ten yra muitiniam tikrinimui privalomi pateikti dokumentai, kompiuterinių duomenų laikmenos arba prekės, daryti dokumentų nuorašus, kopijuoti kompiuterinius duomenis, antspauduoti ar plombuoti prekių, dokumentų, kompiuterinių duomenų laikmenų, vertybinių popierių ir pinigų saugojimo vietas;</w:t>
      </w:r>
    </w:p>
    <w:p w:rsidR="00626711" w:rsidRPr="00F94DD1" w:rsidRDefault="00626711" w:rsidP="00626711">
      <w:pPr>
        <w:pStyle w:val="Betarp"/>
        <w:jc w:val="both"/>
      </w:pPr>
      <w:r w:rsidRPr="00F94DD1">
        <w:t>3) įtardamas, kad asmuo savo vidaus organuose gabena draudžiamų arba ribojamų platinti medžiagų, įstatymų nustatyta tvarka skirti medicininį tikrinimą šiam faktui nustatyti;</w:t>
      </w:r>
    </w:p>
    <w:p w:rsidR="00626711" w:rsidRPr="00F94DD1" w:rsidRDefault="00626711" w:rsidP="00626711">
      <w:pPr>
        <w:pStyle w:val="Betarp"/>
        <w:jc w:val="both"/>
      </w:pPr>
      <w:r w:rsidRPr="00F94DD1">
        <w:t>4) įtardamas, kad yra pažeidžiami muitų teisės aktų nustatyti reikalavimai, sulaikyti ir tikrinti</w:t>
      </w:r>
      <w:r w:rsidRPr="00F94DD1">
        <w:rPr>
          <w:bCs/>
        </w:rPr>
        <w:t xml:space="preserve"> </w:t>
      </w:r>
      <w:r w:rsidRPr="00F94DD1">
        <w:t>asmenis, prekes, dokumentus, sulaikyti ir tikrinti transporto priemones bet kurioje Lietuvos Respublikos muitų teritorijos vietoje, taip pat už jos ribų, kai tai numatyta Europos Bendrijos muitų teisės aktuose arba Lietuvos Respublikos tarptautinėse sutartyse;</w:t>
      </w:r>
    </w:p>
    <w:p w:rsidR="00626711" w:rsidRPr="00F94DD1" w:rsidRDefault="00626711" w:rsidP="00626711">
      <w:pPr>
        <w:pStyle w:val="Betarp"/>
        <w:jc w:val="both"/>
      </w:pPr>
      <w:r w:rsidRPr="00F94DD1">
        <w:t>5) laikinai apriboti asmenų teises patekti į tam tikrą teritoriją, patalpą ar transporto priemonę, sustabdyti vykdomus darbus, jeigu tai trukdo atlikti tiesiogines muitinės pareigūno funkcijas;</w:t>
      </w:r>
    </w:p>
    <w:p w:rsidR="00626711" w:rsidRPr="00F94DD1" w:rsidRDefault="00626711" w:rsidP="00626711">
      <w:pPr>
        <w:pStyle w:val="Betarp"/>
        <w:jc w:val="both"/>
      </w:pPr>
      <w:r w:rsidRPr="00F94DD1">
        <w:t>6) atlikdamas muitinės funkcijas ir laikydamasis Lietuvos Respublikos baudžiamojo proceso kodekso bei Lietuvos Respublikos operatyvinės veiklos įstatymo nustatytos tvarkos pagal savo kompetenciją vykdyti operatyvinę veiklą ir ikiteisminį tyrimą;</w:t>
      </w:r>
    </w:p>
    <w:p w:rsidR="00626711" w:rsidRPr="00F94DD1" w:rsidRDefault="00626711" w:rsidP="00626711">
      <w:pPr>
        <w:pStyle w:val="Betarp"/>
        <w:jc w:val="both"/>
      </w:pPr>
      <w:r w:rsidRPr="00F94DD1">
        <w:t>7) vykdamas į nusikalstamos veikos padarymo vietą, persekiodamas įtariamą padarius nusikalstamą veiką asmenį, gabendamas asmenį, kuriam būtina skubi medicinos pagalba, į gydymo įstaigą, nekliudomas naudotis visiems asmenims, išskyrus užsienio valstybių diplomatines arba konsulines atstovybes, priklausančiomis visų rūšių transporto arba ryšių priemonėmis. Transporto arba ryšių priemonės savininko arba valdytojo dėl to patirti nuostoliai ar materialinė žala kompensuojami teisės aktų nustatyta tvarka;</w:t>
      </w:r>
    </w:p>
    <w:p w:rsidR="00626711" w:rsidRPr="00F94DD1" w:rsidRDefault="00626711" w:rsidP="00626711">
      <w:pPr>
        <w:pStyle w:val="Betarp"/>
        <w:jc w:val="both"/>
      </w:pPr>
      <w:r w:rsidRPr="00F94DD1">
        <w:t>8) nustatydamas asmenis, susijusius su neteisėtu prekių, kurioms taikomi draudimai arba apribojimai, gabenimu, muitų teisės aktų ir (arba) Lietuvos Respublikos operatyvinės veiklos įstatymo nustatyta tvarka taikyti kontroliuojamojo gabenimo metodą;</w:t>
      </w:r>
    </w:p>
    <w:p w:rsidR="00626711" w:rsidRPr="00F94DD1" w:rsidRDefault="00626711" w:rsidP="00626711">
      <w:pPr>
        <w:pStyle w:val="Betarp"/>
        <w:jc w:val="both"/>
      </w:pPr>
      <w:r w:rsidRPr="00F94DD1">
        <w:t>9) naudotis kitomis teisės aktų nustatytomis teisėmis.</w:t>
      </w:r>
    </w:p>
    <w:p w:rsidR="00626711" w:rsidRPr="00F94DD1" w:rsidRDefault="00626711" w:rsidP="00626711">
      <w:pPr>
        <w:pStyle w:val="Betarp"/>
        <w:jc w:val="both"/>
      </w:pPr>
      <w:r w:rsidRPr="00F94DD1">
        <w:t>2. Šio straipsnio 1 dalyje nurodytas muitinės pareigūnas, tirdamas nusikalstamas veikas, be pareigų, išvardytų šio Įstatymo 20 straipsnio 4 dalyje, privalo:</w:t>
      </w:r>
    </w:p>
    <w:p w:rsidR="00626711" w:rsidRPr="00F94DD1" w:rsidRDefault="00626711" w:rsidP="00626711">
      <w:pPr>
        <w:pStyle w:val="Betarp"/>
        <w:jc w:val="both"/>
      </w:pPr>
      <w:r w:rsidRPr="00F94DD1">
        <w:t>1) gavęs pranešimą arba pareiškimą apie rengiamą ar daromą nusikalstamą veiką arba kitokį teisės pažeidimą arba pats tiesiogiai jį atskleidęs ar</w:t>
      </w:r>
      <w:r w:rsidRPr="00F94DD1">
        <w:rPr>
          <w:bCs/>
        </w:rPr>
        <w:t xml:space="preserve"> </w:t>
      </w:r>
      <w:r w:rsidRPr="00F94DD1">
        <w:t>būdamas įvykio liudytoju, imtis neatidėliotinų priemonių rengiamai ar daromai nusikalstamai veikai arba kitam pažeidimui užkardyti, įvykio vietai,</w:t>
      </w:r>
      <w:r w:rsidRPr="00F94DD1">
        <w:rPr>
          <w:bCs/>
        </w:rPr>
        <w:t xml:space="preserve"> </w:t>
      </w:r>
      <w:r w:rsidRPr="00F94DD1">
        <w:t>dokumentams ir kitiems įrodymams</w:t>
      </w:r>
      <w:r w:rsidRPr="00F94DD1">
        <w:rPr>
          <w:bCs/>
        </w:rPr>
        <w:t xml:space="preserve"> </w:t>
      </w:r>
      <w:r w:rsidRPr="00F94DD1">
        <w:t>apsaugoti, įvykio liudytojams nustatyti arba pranešti apie įvykį kitoms kompetentingoms institucijoms;</w:t>
      </w:r>
    </w:p>
    <w:p w:rsidR="00626711" w:rsidRPr="00F94DD1" w:rsidRDefault="00626711" w:rsidP="00626711">
      <w:pPr>
        <w:pStyle w:val="Betarp"/>
        <w:jc w:val="both"/>
      </w:pPr>
      <w:r w:rsidRPr="00F94DD1">
        <w:t>2) užtikrinti sulaikytų asmenų teises ir teisėtus interesus, suteikti neatidėliotiną medicinos ar kitą būtiną pagalbą nukentėjusiems nuo nusikalstamų veikų arba kitų pažeidimų asmenims ir asmenims, kurių būklė yra bejėgiška;</w:t>
      </w:r>
    </w:p>
    <w:p w:rsidR="00626711" w:rsidRPr="00F94DD1" w:rsidRDefault="00626711" w:rsidP="00626711">
      <w:pPr>
        <w:pStyle w:val="Betarp"/>
        <w:jc w:val="both"/>
      </w:pPr>
      <w:r w:rsidRPr="00F94DD1">
        <w:t>3) imtis priemonių muitų teisės aktų pažeidimų priežastims bei sąlygoms šalinti;</w:t>
      </w:r>
    </w:p>
    <w:p w:rsidR="00626711" w:rsidRPr="00F94DD1" w:rsidRDefault="00626711" w:rsidP="00626711">
      <w:pPr>
        <w:pStyle w:val="Betarp"/>
        <w:jc w:val="both"/>
      </w:pPr>
      <w:r w:rsidRPr="00F94DD1">
        <w:t>4) vykdyti kitas teisės aktų nustatytas pareigas.</w:t>
      </w:r>
    </w:p>
    <w:p w:rsidR="00626711" w:rsidRPr="00F94DD1" w:rsidRDefault="00626711" w:rsidP="00626711">
      <w:pPr>
        <w:pStyle w:val="Betarp"/>
        <w:jc w:val="both"/>
      </w:pPr>
      <w:r w:rsidRPr="00F94DD1">
        <w:rPr>
          <w:color w:val="030303"/>
        </w:rPr>
        <w:t xml:space="preserve">Lietuvos Respublikos </w:t>
      </w:r>
      <w:r w:rsidRPr="00A14CBD">
        <w:rPr>
          <w:bCs/>
          <w:color w:val="030303"/>
        </w:rPr>
        <w:t>Valstybės sienos apsaugos įstatymu</w:t>
      </w:r>
      <w:r w:rsidRPr="00F94DD1">
        <w:rPr>
          <w:color w:val="030303"/>
        </w:rPr>
        <w:t xml:space="preserve"> 2000 m. spalio 10 d. VIII-1996 patvirtintas valstybės sienos apsaugos teisinis reglamentavimas. </w:t>
      </w:r>
      <w:r w:rsidRPr="00F94DD1">
        <w:t xml:space="preserve">Įstatymas nustato Valstybės sienos apsaugos tarnybos statusą, funkcijas, struktūrą, tarnybos organizavimo pagrindus, finansavimą, pareigūnų teises ir pareigas. </w:t>
      </w:r>
    </w:p>
    <w:p w:rsidR="00626711" w:rsidRPr="00F94DD1" w:rsidRDefault="00626711" w:rsidP="00626711">
      <w:pPr>
        <w:pStyle w:val="Betarp"/>
        <w:jc w:val="both"/>
      </w:pPr>
      <w:r w:rsidRPr="00F94DD1">
        <w:t xml:space="preserve">Valstybės sienos apsaugos tarnyba prie Lietuvos Respublikos vidaus reikalų ministerijos yra valstybės institucija, kurios </w:t>
      </w:r>
      <w:r w:rsidRPr="00A14CBD">
        <w:rPr>
          <w:bCs/>
        </w:rPr>
        <w:t>paskirtis – įgyvendinti valstybės sienos apsaugą ir jos kirtimo kontrolę,</w:t>
      </w:r>
      <w:r w:rsidRPr="00A14CBD">
        <w:t xml:space="preserve"> </w:t>
      </w:r>
      <w:r w:rsidRPr="00F94DD1">
        <w:t xml:space="preserve">o karo metu – ginkluotųjų pajėgų sudėtyje ginti valstybę. Tarnyba priklauso Vidaus reikalų ministerijos valdymo sričiai. Vidaus reikalų ministerija vadovauja valstybės sienos apsaugos politikos įgyvendinimui ir jį kontroliuoja. Tarnyba savo veiklą grindžia teisėtumo, pagarbos žmogaus teisėms ir laisvėms, </w:t>
      </w:r>
      <w:r w:rsidRPr="00F94DD1">
        <w:lastRenderedPageBreak/>
        <w:t xml:space="preserve">pareigūno asmens laisvės ir statutinės drausmės derinimo, nuolatinės parengties, viešumo ir konfidencialumo derinimo principais. Vidinis tarnybos organizavimas grindžiamas statutiniais pagrindais. Tarnybos pareigūnų statutiniams santykiams reguliuoti, jų tarnybos stažui, kvalifikacijai bei pareigoms žymėti nustatomi tarnybos pareigūnų specialieji </w:t>
      </w:r>
      <w:r w:rsidRPr="00F94DD1">
        <w:rPr>
          <w:bCs/>
        </w:rPr>
        <w:t>nekariniai</w:t>
      </w:r>
      <w:r w:rsidRPr="00F94DD1">
        <w:rPr>
          <w:bCs/>
          <w:color w:val="0000FF"/>
        </w:rPr>
        <w:t xml:space="preserve"> </w:t>
      </w:r>
      <w:r w:rsidRPr="00F94DD1">
        <w:rPr>
          <w:bCs/>
        </w:rPr>
        <w:t xml:space="preserve">laipsniai. </w:t>
      </w:r>
      <w:r w:rsidRPr="00F94DD1">
        <w:t xml:space="preserve"> Tarnyba yra operatyvinės veiklos subjektas.</w:t>
      </w:r>
    </w:p>
    <w:p w:rsidR="00626711" w:rsidRPr="00F94DD1" w:rsidRDefault="00626711" w:rsidP="00626711">
      <w:pPr>
        <w:pStyle w:val="Betarp"/>
        <w:ind w:firstLine="720"/>
        <w:jc w:val="both"/>
      </w:pPr>
      <w:r w:rsidRPr="00F94DD1">
        <w:t>Įgyvendindama pavestas ikiteisminio tyrimo funkcijas, Tarnyba veikia visoje valstybės teritorijoje.</w:t>
      </w:r>
    </w:p>
    <w:p w:rsidR="00626711" w:rsidRDefault="00626711" w:rsidP="00626711">
      <w:pPr>
        <w:pStyle w:val="Betarp"/>
        <w:ind w:firstLine="720"/>
        <w:jc w:val="both"/>
      </w:pPr>
      <w:r w:rsidRPr="00F94DD1">
        <w:t xml:space="preserve"> Vykdydama operatyvinę veiklą, ikiteisminį tyrimą ir valstybinę migracijos procesų kontrolę, Tarnyba veikia visoje valstybės teritorijoje.</w:t>
      </w:r>
    </w:p>
    <w:p w:rsidR="00626711" w:rsidRPr="00F94DD1" w:rsidRDefault="00626711" w:rsidP="00626711">
      <w:pPr>
        <w:pStyle w:val="Betarp"/>
        <w:ind w:firstLine="720"/>
        <w:jc w:val="both"/>
      </w:pPr>
      <w:r w:rsidRPr="00A14CBD">
        <w:rPr>
          <w:bCs/>
        </w:rPr>
        <w:t>Tarnyba:</w:t>
      </w:r>
      <w:r w:rsidRPr="00F94DD1">
        <w:t xml:space="preserve"> 1) saugo valstybės sieną sausumoje, jūroje, Kuršių mariose ir pasienio vidaus vandenyse; 2) atlieka asmenų ir transporto priemonių, kertančių valstybės sieną, kontrolę;2) laikydamasi Valstybės sienos ir jos apsaugos įstatymo 5 straipsnio 5 ir 6 dalių nuostatų, atlieka asmenų ir transporto priemonių, kertančių valstybės sieną, kontrolę; užtikrina pasienio teisinį režimą ir pagal kompetenciją pasienio kontrolės punktų režimą; dalyvauja įgyvendinant valstybinę migracijos procesų kontrolę;  dalyvauja užtikrinant viešąją tvarką ir atlieka kitas įstatymų nustatytas teisėtvarkos funkcijas pasienio ruože;  ginkluotųjų pajėgų sudėtyje gina valstybę karo metu;  dalyvauja tarptautinių organizacijų ir tarptautinių organizacijų misijų veikloje; palaiko nuolatinę parengtį atnaujinti pasienio tikrinimą prie vidaus sienos ir kt. Šiame įstatyme nurodytas funkcijas Tarnyba įgyvendina veikdama viešai ir prireikus naudodama įstatymų numatytus operatyvinės veiklos metodus ir priemones.</w:t>
      </w:r>
      <w:bookmarkStart w:id="15" w:name="straipsnis6"/>
    </w:p>
    <w:p w:rsidR="00626711" w:rsidRPr="00F94DD1" w:rsidRDefault="00626711" w:rsidP="00626711">
      <w:pPr>
        <w:pStyle w:val="Betarp"/>
        <w:ind w:firstLine="720"/>
        <w:jc w:val="both"/>
        <w:rPr>
          <w:bCs/>
        </w:rPr>
      </w:pPr>
      <w:r w:rsidRPr="00F94DD1">
        <w:t xml:space="preserve">Valstybės sienos apsaugos tarnybos </w:t>
      </w:r>
      <w:r w:rsidRPr="00F94DD1">
        <w:rPr>
          <w:bCs/>
        </w:rPr>
        <w:t>įstatymo</w:t>
      </w:r>
      <w:r w:rsidRPr="00F94DD1">
        <w:t xml:space="preserve"> </w:t>
      </w:r>
      <w:r w:rsidRPr="00F94DD1">
        <w:rPr>
          <w:bCs/>
        </w:rPr>
        <w:t>6 straipsnis nustato Tarnybos įgaliojimus saugant valstybės sieną.</w:t>
      </w:r>
      <w:bookmarkEnd w:id="15"/>
    </w:p>
    <w:p w:rsidR="00626711" w:rsidRPr="00F94DD1" w:rsidRDefault="00626711" w:rsidP="00626711">
      <w:pPr>
        <w:pStyle w:val="Betarp"/>
        <w:ind w:firstLine="720"/>
        <w:jc w:val="both"/>
      </w:pPr>
      <w:r w:rsidRPr="00F94DD1">
        <w:t>Valstybės sienos apsaugos tarnyba:</w:t>
      </w:r>
    </w:p>
    <w:p w:rsidR="00626711" w:rsidRPr="00F94DD1" w:rsidRDefault="00626711" w:rsidP="00626711">
      <w:pPr>
        <w:pStyle w:val="Betarp"/>
        <w:jc w:val="both"/>
      </w:pPr>
      <w:r w:rsidRPr="00F94DD1">
        <w:t xml:space="preserve">1) įrengia ir prižiūri valstybės sienos </w:t>
      </w:r>
      <w:r w:rsidRPr="00F94DD1">
        <w:rPr>
          <w:rStyle w:val="HTMLspausdinimomainl"/>
        </w:rPr>
        <w:t>ženklus, pasienio patrulio taką, inžinerines užtvaras, signalizacijos sistemas (kompleksus), kitus valstybės sienos apsaugos objektus bei įrenginius</w:t>
      </w:r>
      <w:r w:rsidRPr="00F94DD1">
        <w:t>;</w:t>
      </w:r>
    </w:p>
    <w:p w:rsidR="00626711" w:rsidRPr="00F94DD1" w:rsidRDefault="00626711" w:rsidP="00626711">
      <w:pPr>
        <w:pStyle w:val="Betarp"/>
        <w:jc w:val="both"/>
      </w:pPr>
      <w:r w:rsidRPr="00F94DD1">
        <w:t>2) koordinuoja valstybės institucijų veiklą užtikrinant valstybės sienos teisinį režimą;</w:t>
      </w:r>
    </w:p>
    <w:p w:rsidR="00626711" w:rsidRPr="00F94DD1" w:rsidRDefault="00626711" w:rsidP="00626711">
      <w:pPr>
        <w:pStyle w:val="Betarp"/>
        <w:jc w:val="both"/>
      </w:pPr>
      <w:r w:rsidRPr="00F94DD1">
        <w:t>3) užkardo ir pagal kompetenciją tiria pasienio incidentus;</w:t>
      </w:r>
    </w:p>
    <w:p w:rsidR="00626711" w:rsidRPr="00F94DD1" w:rsidRDefault="00626711" w:rsidP="00626711">
      <w:pPr>
        <w:pStyle w:val="Betarp"/>
        <w:jc w:val="both"/>
      </w:pPr>
      <w:r w:rsidRPr="00F94DD1">
        <w:t>4) neleidžia asmenims ir transporto priemonėms kirsti valstybės sieną nenustatytose vietose ir (ar) pasienio kontrolės punktuose nenustatytu laiku;</w:t>
      </w:r>
    </w:p>
    <w:p w:rsidR="00626711" w:rsidRPr="00F94DD1" w:rsidRDefault="00626711" w:rsidP="00626711">
      <w:pPr>
        <w:pStyle w:val="Betarp"/>
        <w:jc w:val="both"/>
      </w:pPr>
      <w:r w:rsidRPr="00F94DD1">
        <w:t>5) nustato bei sulaiko asmenis ir transporto priemones, neteisėtai kirtusius valstybės sieną;</w:t>
      </w:r>
    </w:p>
    <w:p w:rsidR="00626711" w:rsidRPr="00F94DD1" w:rsidRDefault="00626711" w:rsidP="00626711">
      <w:pPr>
        <w:pStyle w:val="Betarp"/>
        <w:jc w:val="both"/>
      </w:pPr>
      <w:r w:rsidRPr="00F94DD1">
        <w:t>6) įstatymų nustatytais atvejais ir tvarka atlieka ikiteisminį tyrimą;</w:t>
      </w:r>
    </w:p>
    <w:p w:rsidR="00626711" w:rsidRPr="00F94DD1" w:rsidRDefault="00626711" w:rsidP="00626711">
      <w:pPr>
        <w:pStyle w:val="Betarp"/>
        <w:jc w:val="both"/>
      </w:pPr>
      <w:r w:rsidRPr="00F94DD1">
        <w:t>7) užtikrina aplinkos apsaugos režimą valstybės sienos apsaugos objektuose;</w:t>
      </w:r>
    </w:p>
    <w:p w:rsidR="00626711" w:rsidRPr="00F94DD1" w:rsidRDefault="00626711" w:rsidP="00626711">
      <w:pPr>
        <w:pStyle w:val="Betarp"/>
        <w:jc w:val="both"/>
        <w:rPr>
          <w:bCs/>
        </w:rPr>
      </w:pPr>
      <w:r w:rsidRPr="00F94DD1">
        <w:t>8) Lietuvos Respublikos tarptautinių sutarčių nustatytais atvejais keičiasi informacija su kitų valstybių teisėsaugos institucijomis</w:t>
      </w:r>
      <w:r w:rsidRPr="00F94DD1">
        <w:rPr>
          <w:bCs/>
        </w:rPr>
        <w:t>.</w:t>
      </w:r>
    </w:p>
    <w:p w:rsidR="00626711" w:rsidRPr="00F94DD1" w:rsidRDefault="00626711" w:rsidP="00626711">
      <w:pPr>
        <w:pStyle w:val="Betarp"/>
        <w:jc w:val="both"/>
      </w:pPr>
      <w:r w:rsidRPr="00F94DD1">
        <w:t>Saugodama valstybės sieną, tarnyba naudoja reikiamą ginkluotę, technines ir kitas specialiąsias priemones.</w:t>
      </w:r>
    </w:p>
    <w:p w:rsidR="00626711" w:rsidRPr="00F94DD1" w:rsidRDefault="00626711" w:rsidP="00626711">
      <w:pPr>
        <w:pStyle w:val="Betarp"/>
        <w:ind w:firstLine="720"/>
        <w:jc w:val="both"/>
        <w:rPr>
          <w:bCs/>
        </w:rPr>
      </w:pPr>
      <w:r w:rsidRPr="00F94DD1">
        <w:t xml:space="preserve">Valstybės sienos apsaugos tarnybos </w:t>
      </w:r>
      <w:r w:rsidRPr="00F94DD1">
        <w:rPr>
          <w:bCs/>
        </w:rPr>
        <w:t>įstatymo</w:t>
      </w:r>
      <w:bookmarkStart w:id="16" w:name="straipsnis7"/>
      <w:r w:rsidRPr="00F94DD1">
        <w:rPr>
          <w:bCs/>
        </w:rPr>
        <w:t xml:space="preserve"> </w:t>
      </w:r>
      <w:r w:rsidRPr="00F94DD1">
        <w:t xml:space="preserve">7 straipsnis nustato </w:t>
      </w:r>
      <w:r w:rsidRPr="00F94DD1">
        <w:rPr>
          <w:bCs/>
        </w:rPr>
        <w:t>Tarnybos įgaliojimus atliekant asmenų ir transporto priemonių pasienio kontrolę.</w:t>
      </w:r>
      <w:bookmarkEnd w:id="16"/>
    </w:p>
    <w:p w:rsidR="00626711" w:rsidRPr="00F94DD1" w:rsidRDefault="00626711" w:rsidP="00626711">
      <w:pPr>
        <w:pStyle w:val="Betarp"/>
        <w:jc w:val="both"/>
      </w:pPr>
      <w:r w:rsidRPr="00F94DD1">
        <w:t xml:space="preserve">1. Atlikdama asmenų ir transporto priemonių pasienio kontrolę, Tarnyba: </w:t>
      </w:r>
    </w:p>
    <w:p w:rsidR="00626711" w:rsidRPr="00F94DD1" w:rsidRDefault="00626711" w:rsidP="00626711">
      <w:pPr>
        <w:pStyle w:val="Betarp"/>
        <w:jc w:val="both"/>
      </w:pPr>
      <w:r w:rsidRPr="00F94DD1">
        <w:t>1) tikrina asmenų bei transporto priemonių dokumentus, daro juose reikiamas žymas;</w:t>
      </w:r>
    </w:p>
    <w:p w:rsidR="00626711" w:rsidRPr="00F94DD1" w:rsidRDefault="00626711" w:rsidP="00626711">
      <w:pPr>
        <w:pStyle w:val="Betarp"/>
        <w:jc w:val="both"/>
      </w:pPr>
      <w:r w:rsidRPr="00F94DD1">
        <w:t>2) tikrina nustatytose įskaitose, duomenų bazėse ir kituose informacijos šaltiniuose duomenis apie kertančius valstybės sieną asmenis bei transporto priemones;</w:t>
      </w:r>
    </w:p>
    <w:p w:rsidR="00626711" w:rsidRPr="00F94DD1" w:rsidRDefault="00626711" w:rsidP="00626711">
      <w:pPr>
        <w:pStyle w:val="Betarp"/>
        <w:jc w:val="both"/>
      </w:pPr>
      <w:r w:rsidRPr="00F94DD1">
        <w:t>3) išsiaiškina atvykstančių užsieniečių vykimo tikslą, kelionės pobūdį, tikrina, ar atvykstantys užsieniečiai turi pakankamai lėšų pragyventi buvimo Lietuvos Respublikoje metu, ar atitinka kitus Lietuvos Respublikos įstatymų ir kitų teisės aktų nustatytus įleidimo į Lietuvos Respubliką reikalavimus;</w:t>
      </w:r>
    </w:p>
    <w:p w:rsidR="00626711" w:rsidRPr="00F94DD1" w:rsidRDefault="00626711" w:rsidP="00626711">
      <w:pPr>
        <w:pStyle w:val="Betarp"/>
        <w:jc w:val="both"/>
      </w:pPr>
      <w:r w:rsidRPr="00F94DD1">
        <w:t>4) įstatymų ir kitų teisės aktų nustatyta tvarka išduoda užsieniečiams vizas ar kitus leidimus kirsti valstybės sieną;</w:t>
      </w:r>
    </w:p>
    <w:p w:rsidR="00626711" w:rsidRPr="00F94DD1" w:rsidRDefault="00626711" w:rsidP="00626711">
      <w:pPr>
        <w:pStyle w:val="Betarp"/>
        <w:jc w:val="both"/>
      </w:pPr>
      <w:r w:rsidRPr="00F94DD1">
        <w:t>5) tikrina transporto priemones, ar jose nėra pasislėpusių asmenų;</w:t>
      </w:r>
    </w:p>
    <w:p w:rsidR="00626711" w:rsidRPr="00F94DD1" w:rsidRDefault="00626711" w:rsidP="00626711">
      <w:pPr>
        <w:pStyle w:val="Betarp"/>
        <w:jc w:val="both"/>
      </w:pPr>
      <w:r w:rsidRPr="00F94DD1">
        <w:t>6) atlieka asmenų ir transporto priemonių, kertančių valstybės sieną, bei gabenamų krovinių radiacinę kontrolę;</w:t>
      </w:r>
    </w:p>
    <w:p w:rsidR="00626711" w:rsidRPr="00F94DD1" w:rsidRDefault="00626711" w:rsidP="00626711">
      <w:pPr>
        <w:pStyle w:val="Betarp"/>
        <w:jc w:val="both"/>
      </w:pPr>
      <w:r w:rsidRPr="00F94DD1">
        <w:t>7) sulaiko neteisėtai kertančius valstybės sieną asmenis ir transporto priemones;</w:t>
      </w:r>
    </w:p>
    <w:p w:rsidR="00626711" w:rsidRPr="00F94DD1" w:rsidRDefault="00626711" w:rsidP="00626711">
      <w:pPr>
        <w:pStyle w:val="Betarp"/>
        <w:jc w:val="both"/>
      </w:pPr>
      <w:r w:rsidRPr="00F94DD1">
        <w:t>8) sulaiko, kol bus priimtas atitinkamas sprendimas, asmenis, be leidimo įvežančius ar išvežančius šaunamuosius ginklus, šaudmenis, sprogmenis, sprogstamąsias, narkotines, psichotropines, pavojingas ir (ar) kenksmingas medžiagas;</w:t>
      </w:r>
    </w:p>
    <w:p w:rsidR="00626711" w:rsidRPr="00F94DD1" w:rsidRDefault="00626711" w:rsidP="00626711">
      <w:pPr>
        <w:pStyle w:val="Betarp"/>
        <w:jc w:val="both"/>
      </w:pPr>
      <w:r w:rsidRPr="00F94DD1">
        <w:t>9) įstatymų nustatytais pagrindais ir tvarka taiko administracinės atsakomybės priemones asmenims už pasienio teisinio režimo ir (ar) pasienio kontrolės punktų veiklos taisyklių pažeidimus.</w:t>
      </w:r>
    </w:p>
    <w:p w:rsidR="00626711" w:rsidRPr="00F94DD1" w:rsidRDefault="00626711" w:rsidP="00626711">
      <w:pPr>
        <w:pStyle w:val="Betarp"/>
        <w:ind w:firstLine="720"/>
        <w:jc w:val="both"/>
      </w:pPr>
      <w:r w:rsidRPr="00F94DD1">
        <w:lastRenderedPageBreak/>
        <w:t>Atlikdama asmenų ir transporto priemonių pasienio kontrolę, Tarnyba naudoja technines, o sulaikant asmenis, – ir kitas specialiąsias priemones.</w:t>
      </w:r>
    </w:p>
    <w:p w:rsidR="00626711" w:rsidRPr="00F94DD1" w:rsidRDefault="00626711" w:rsidP="00626711">
      <w:pPr>
        <w:pStyle w:val="Betarp"/>
        <w:ind w:firstLine="720"/>
        <w:jc w:val="both"/>
      </w:pPr>
      <w:r w:rsidRPr="00F94DD1">
        <w:rPr>
          <w:rStyle w:val="HTMLspausdinimomainl"/>
          <w:bCs/>
        </w:rPr>
        <w:t>Valstybės ir savivaldybių institucijos, jų įstaigos bei įmonės privalo sudaryti sąlygas Tarnybai neatlygintinai ir netrukdomai naudotis valstybės registrų, kadastrų, klasifikatorių duomenų bankais. Kitais valstybės ir savivaldybių institucijų, jų įstaigų, įmonių, kitų juridinių bei fizinių asmenų duomenų bankais Tarnyba gali naudotis pagal atskiras sutartis, jeigu įstatymai nenustato kitaip</w:t>
      </w:r>
      <w:r w:rsidRPr="00F94DD1">
        <w:t>.</w:t>
      </w:r>
    </w:p>
    <w:p w:rsidR="00626711" w:rsidRPr="00F94DD1" w:rsidRDefault="00626711" w:rsidP="00626711">
      <w:pPr>
        <w:pStyle w:val="Betarp"/>
        <w:ind w:firstLine="720"/>
        <w:jc w:val="both"/>
      </w:pPr>
      <w:r w:rsidRPr="00F94DD1">
        <w:t xml:space="preserve">Valstybės sienos apsaugos tarnybos </w:t>
      </w:r>
      <w:r w:rsidRPr="00F94DD1">
        <w:rPr>
          <w:bCs/>
        </w:rPr>
        <w:t xml:space="preserve">įstatymo 8 straipsnis nustato Tarnybos įgaliojimus užtikrinant pasienio teisinį režimą ir pasienio kontrolės punktų režimą. 8 straipsnio </w:t>
      </w:r>
      <w:r w:rsidRPr="00F94DD1">
        <w:t xml:space="preserve">1 dalies redakcija iki Tarybos sprendimo, patikrinus pagal taikomas Šengeno vertinimo procedūras, ar būtinos sąlygos dėl viso atitinkamo </w:t>
      </w:r>
      <w:r w:rsidRPr="00F94DD1">
        <w:rPr>
          <w:rStyle w:val="Emfaz"/>
        </w:rPr>
        <w:t>acquis</w:t>
      </w:r>
      <w:r w:rsidRPr="00F94DD1">
        <w:t xml:space="preserve"> taikymo yra įvykdytos Lietuvos Respublikoje, priėmimo:</w:t>
      </w:r>
    </w:p>
    <w:p w:rsidR="00626711" w:rsidRPr="00F94DD1" w:rsidRDefault="00626711" w:rsidP="00626711">
      <w:pPr>
        <w:pStyle w:val="Betarp"/>
        <w:jc w:val="both"/>
      </w:pPr>
      <w:r w:rsidRPr="00F94DD1">
        <w:t>1. Užtikrindama pasienio teisinį režimą, Tarnyba:</w:t>
      </w:r>
    </w:p>
    <w:p w:rsidR="00626711" w:rsidRPr="00F94DD1" w:rsidRDefault="00626711" w:rsidP="00626711">
      <w:pPr>
        <w:pStyle w:val="Betarp"/>
        <w:jc w:val="both"/>
      </w:pPr>
      <w:r w:rsidRPr="00F94DD1">
        <w:t xml:space="preserve">1) kontroliuoja, kaip laikomasi nustatytos Lietuvos Respublikos piliečių ir užsieniečių vykimo į pasienio ruožą ir buvimo jame tvarkos; </w:t>
      </w:r>
    </w:p>
    <w:p w:rsidR="00626711" w:rsidRPr="00F94DD1" w:rsidRDefault="00626711" w:rsidP="00626711">
      <w:pPr>
        <w:pStyle w:val="Betarp"/>
        <w:jc w:val="both"/>
      </w:pPr>
      <w:r w:rsidRPr="00F94DD1">
        <w:t>2) užkardo krovinių (prekių, vertybių ir kitokių daiktų) gabenimą kontrabandos būdu ne per pasienio kontrolės punktus;</w:t>
      </w:r>
    </w:p>
    <w:p w:rsidR="00626711" w:rsidRPr="00F94DD1" w:rsidRDefault="00626711" w:rsidP="00626711">
      <w:pPr>
        <w:pStyle w:val="Betarp"/>
        <w:jc w:val="both"/>
      </w:pPr>
      <w:r w:rsidRPr="00F94DD1">
        <w:t>3) užtikrindama valstybės sienos saugumą, kontroliuoja, kaip laikomasi nustatytos gamybinės, ūkinės ar kitokios fizinių ar juridinių asmenų bei įmonių, neturinčių juridinio asmens teisių, veiklos pasienio ruože tvarkos;</w:t>
      </w:r>
    </w:p>
    <w:p w:rsidR="00626711" w:rsidRPr="00F94DD1" w:rsidRDefault="00626711" w:rsidP="00626711">
      <w:pPr>
        <w:pStyle w:val="Betarp"/>
        <w:jc w:val="both"/>
      </w:pPr>
      <w:r w:rsidRPr="00F94DD1">
        <w:t>4) kontroliuoja, kaip laikomasi nustatytos laivų išplaukimo į teritorinę jūrą, jūros vidaus vandenis, pasienio vandenis bei plaukimo ir buvimo juose tvarkos;</w:t>
      </w:r>
    </w:p>
    <w:p w:rsidR="00626711" w:rsidRPr="00F94DD1" w:rsidRDefault="00626711" w:rsidP="00626711">
      <w:pPr>
        <w:pStyle w:val="Betarp"/>
        <w:jc w:val="both"/>
      </w:pPr>
      <w:r w:rsidRPr="00F94DD1">
        <w:t>5) užtikrindama valstybės sienos teisinį režimą, dalyvauja kontroliuojant, kaip pasienio ruože naudojami gamtos ištekliai;</w:t>
      </w:r>
    </w:p>
    <w:p w:rsidR="00626711" w:rsidRPr="00F94DD1" w:rsidRDefault="00626711" w:rsidP="00626711">
      <w:pPr>
        <w:pStyle w:val="Betarp"/>
        <w:jc w:val="both"/>
      </w:pPr>
      <w:r w:rsidRPr="00F94DD1">
        <w:t>6) dalyvauja vykdant paieškos ir gelbėjimo darbus jūroje, Kuršių mariose bei pasienio vidaus vandenyse.</w:t>
      </w:r>
    </w:p>
    <w:p w:rsidR="00626711" w:rsidRPr="00F94DD1" w:rsidRDefault="00626711" w:rsidP="00626711">
      <w:pPr>
        <w:pStyle w:val="Betarp"/>
        <w:jc w:val="both"/>
      </w:pPr>
      <w:r w:rsidRPr="00F94DD1">
        <w:t xml:space="preserve">1 dalies redakcija nuo Tarybos sprendimo, patikrinus pagal taikomas Šengeno vertinimo procedūras, ar būtinos sąlygos dėl viso atitinkamo </w:t>
      </w:r>
      <w:r w:rsidRPr="00F94DD1">
        <w:rPr>
          <w:rStyle w:val="Emfaz"/>
        </w:rPr>
        <w:t>acquis</w:t>
      </w:r>
      <w:r w:rsidRPr="00F94DD1">
        <w:t xml:space="preserve"> taikymo yra įvykdytos Lietuvos Respublikoje, priėmimo:</w:t>
      </w:r>
    </w:p>
    <w:p w:rsidR="00626711" w:rsidRPr="00F94DD1" w:rsidRDefault="00626711" w:rsidP="00626711">
      <w:pPr>
        <w:pStyle w:val="Betarp"/>
        <w:jc w:val="both"/>
      </w:pPr>
      <w:r w:rsidRPr="00F94DD1">
        <w:t>1. Užtikrindama pasienio teisinį režimą, Tarnyba:</w:t>
      </w:r>
    </w:p>
    <w:p w:rsidR="00626711" w:rsidRPr="00F94DD1" w:rsidRDefault="00626711" w:rsidP="00626711">
      <w:pPr>
        <w:pStyle w:val="Betarp"/>
        <w:jc w:val="both"/>
        <w:rPr>
          <w:bCs/>
        </w:rPr>
      </w:pPr>
      <w:r w:rsidRPr="00F94DD1">
        <w:t xml:space="preserve">1) kontroliuoja, kaip laikomasi nustatytos asmenų </w:t>
      </w:r>
      <w:r w:rsidRPr="00F94DD1">
        <w:rPr>
          <w:bCs/>
        </w:rPr>
        <w:t xml:space="preserve">vykimo į pasienio ruožą ir buvimo jame tvarkos; </w:t>
      </w:r>
    </w:p>
    <w:p w:rsidR="00626711" w:rsidRPr="00F94DD1" w:rsidRDefault="00626711" w:rsidP="00626711">
      <w:pPr>
        <w:pStyle w:val="Betarp"/>
        <w:jc w:val="both"/>
      </w:pPr>
      <w:r w:rsidRPr="00F94DD1">
        <w:t xml:space="preserve">2) užkardo krovinių (prekių, vertybių ir kitokių daiktų) gabenimą </w:t>
      </w:r>
      <w:r w:rsidRPr="00F94DD1">
        <w:rPr>
          <w:bCs/>
        </w:rPr>
        <w:t>kontrabanda</w:t>
      </w:r>
      <w:r w:rsidRPr="00F94DD1">
        <w:t xml:space="preserve"> ne per pasienio kontrolės punktus;</w:t>
      </w:r>
    </w:p>
    <w:p w:rsidR="00626711" w:rsidRPr="00F94DD1" w:rsidRDefault="00626711" w:rsidP="00626711">
      <w:pPr>
        <w:pStyle w:val="Betarp"/>
        <w:jc w:val="both"/>
      </w:pPr>
      <w:r w:rsidRPr="00F94DD1">
        <w:t>3) užtikrindama valstybės sienos saugumą, kontroliuoja, kaip laikomasi nustatytos gamybinės, ūkinės ar kitokios fizinių ar juridinių asmenų bei įmonių, neturinčių juridinio asmens teisių, veiklos pasienio ruože tvarkos;</w:t>
      </w:r>
    </w:p>
    <w:p w:rsidR="00626711" w:rsidRPr="00F94DD1" w:rsidRDefault="00626711" w:rsidP="00626711">
      <w:pPr>
        <w:pStyle w:val="Betarp"/>
        <w:jc w:val="both"/>
        <w:rPr>
          <w:color w:val="FF0000"/>
        </w:rPr>
      </w:pPr>
      <w:r w:rsidRPr="00F94DD1">
        <w:rPr>
          <w:strike/>
        </w:rPr>
        <w:t>4</w:t>
      </w:r>
      <w:r w:rsidRPr="00F94DD1">
        <w:t>) kontroliuoja, kaip laikomasi nustatytos laivų išplaukimo į teritorinę jūrą, jūros vidaus vandenis, pasienio vandenis bei plaukimo ir buvimo juose tvarkos;</w:t>
      </w:r>
      <w:r w:rsidRPr="00F94DD1">
        <w:rPr>
          <w:color w:val="FF0000"/>
        </w:rPr>
        <w:t xml:space="preserve"> </w:t>
      </w:r>
    </w:p>
    <w:p w:rsidR="00626711" w:rsidRPr="00F94DD1" w:rsidRDefault="00626711" w:rsidP="00626711">
      <w:pPr>
        <w:pStyle w:val="Betarp"/>
        <w:jc w:val="both"/>
      </w:pPr>
      <w:r w:rsidRPr="00F94DD1">
        <w:t>5) užtikrindama valstybės sienos teisinį režimą, dalyvauja kontroliuojant, kaip pasienio ruože naudojami gamtos ištekliai;</w:t>
      </w:r>
    </w:p>
    <w:p w:rsidR="00626711" w:rsidRPr="00F94DD1" w:rsidRDefault="00626711" w:rsidP="00626711">
      <w:pPr>
        <w:pStyle w:val="Betarp"/>
        <w:jc w:val="both"/>
      </w:pPr>
      <w:r w:rsidRPr="00F94DD1">
        <w:t>6) dalyvauja vykdant paieškos ir gelbėjimo darbus jūroje, Kuršių mariose bei pasienio vidaus vandenyse;</w:t>
      </w:r>
    </w:p>
    <w:p w:rsidR="00626711" w:rsidRPr="00F94DD1" w:rsidRDefault="00626711" w:rsidP="00626711">
      <w:pPr>
        <w:pStyle w:val="Betarp"/>
        <w:jc w:val="both"/>
        <w:rPr>
          <w:bCs/>
        </w:rPr>
      </w:pPr>
      <w:r w:rsidRPr="00F94DD1">
        <w:rPr>
          <w:bCs/>
        </w:rPr>
        <w:t>7) kontroliuoja kitų valstybių laivų taikų plaukimą teritorine jūra, persekioja, apžiūri ir sulaiko laivus, pažeidusius nustatytą teisinį režimą teritorinėje jūroje.</w:t>
      </w:r>
    </w:p>
    <w:p w:rsidR="00626711" w:rsidRPr="00F94DD1" w:rsidRDefault="00626711" w:rsidP="00626711">
      <w:pPr>
        <w:pStyle w:val="Betarp"/>
        <w:jc w:val="both"/>
      </w:pPr>
      <w:r w:rsidRPr="00F94DD1">
        <w:t xml:space="preserve">2 dalies redakcija iki Tarybos sprendimo, patikrinus pagal taikomas Šengeno vertinimo procedūras, ar būtinos sąlygos dėl viso atitinkamo </w:t>
      </w:r>
      <w:r w:rsidRPr="00F94DD1">
        <w:rPr>
          <w:rStyle w:val="Emfaz"/>
        </w:rPr>
        <w:t>acquis</w:t>
      </w:r>
      <w:r w:rsidRPr="00F94DD1">
        <w:t xml:space="preserve"> taikymo yra įvykdytos Lietuvos Respublikoje, priėmimo:</w:t>
      </w:r>
    </w:p>
    <w:p w:rsidR="00626711" w:rsidRPr="00C611AA" w:rsidRDefault="00626711" w:rsidP="00626711">
      <w:pPr>
        <w:pStyle w:val="Betarp"/>
        <w:ind w:firstLine="720"/>
        <w:jc w:val="both"/>
        <w:rPr>
          <w:bCs/>
        </w:rPr>
      </w:pPr>
      <w:r w:rsidRPr="00F94DD1">
        <w:t xml:space="preserve">2. </w:t>
      </w:r>
      <w:r w:rsidRPr="00C611AA">
        <w:rPr>
          <w:bCs/>
        </w:rPr>
        <w:t>Pasienio kontrolės punktuose Tarnyba:</w:t>
      </w:r>
    </w:p>
    <w:p w:rsidR="00626711" w:rsidRPr="00F94DD1" w:rsidRDefault="00626711" w:rsidP="00626711">
      <w:pPr>
        <w:pStyle w:val="Betarp"/>
        <w:jc w:val="both"/>
      </w:pPr>
      <w:r w:rsidRPr="00F94DD1">
        <w:t>1) Vyriausybės nustatyta tvarka užtikrina nepertraukiamą pasienio kontrolės punktų funkcionavimą;</w:t>
      </w:r>
    </w:p>
    <w:p w:rsidR="00626711" w:rsidRPr="00F94DD1" w:rsidRDefault="00626711" w:rsidP="00626711">
      <w:pPr>
        <w:pStyle w:val="Betarp"/>
        <w:jc w:val="both"/>
      </w:pPr>
      <w:r w:rsidRPr="00F94DD1">
        <w:t>2) kontroliuoja asmenis ir transporto priemones, įeinančius ar įvažiuojančius į pasienio kontrolės punktą;</w:t>
      </w:r>
    </w:p>
    <w:p w:rsidR="00626711" w:rsidRPr="00F94DD1" w:rsidRDefault="00626711" w:rsidP="00626711">
      <w:pPr>
        <w:pStyle w:val="Betarp"/>
        <w:jc w:val="both"/>
      </w:pPr>
      <w:r w:rsidRPr="00F94DD1">
        <w:t>3) kontroliuoja asmenų, transporto priemonių judėjimą pasienio kontrolės punkto teritorijoje;</w:t>
      </w:r>
    </w:p>
    <w:p w:rsidR="00626711" w:rsidRPr="00F94DD1" w:rsidRDefault="00626711" w:rsidP="00626711">
      <w:pPr>
        <w:pStyle w:val="Betarp"/>
        <w:jc w:val="both"/>
      </w:pPr>
      <w:r w:rsidRPr="00F94DD1">
        <w:t>4) tarnybos tikslais ar saugumo sumetimais apriboja įėjimą ar įvažiavimą į tam tikrą pasienio kontrolės punkto teritorijos dalį;</w:t>
      </w:r>
    </w:p>
    <w:p w:rsidR="00626711" w:rsidRPr="00F94DD1" w:rsidRDefault="00626711" w:rsidP="00626711">
      <w:pPr>
        <w:pStyle w:val="Betarp"/>
        <w:jc w:val="both"/>
      </w:pPr>
      <w:r w:rsidRPr="00F94DD1">
        <w:t xml:space="preserve">5) pasienio kontrolės punkte palaiko viešąją tvarką, užtikrina visuomenės rimtį ir kertančių valstybės sieną asmenų bei punkte dirbančių pareigūnų saugumą. </w:t>
      </w:r>
    </w:p>
    <w:p w:rsidR="00626711" w:rsidRPr="00F94DD1" w:rsidRDefault="00626711" w:rsidP="00626711">
      <w:pPr>
        <w:pStyle w:val="Betarp"/>
        <w:jc w:val="both"/>
      </w:pPr>
      <w:r w:rsidRPr="00F94DD1">
        <w:t xml:space="preserve">2 dalies redakcija nuo Tarybos sprendimo, patikrinus pagal taikomas Šengeno vertinimo procedūras, ar būtinos sąlygos dėl viso atitinkamo </w:t>
      </w:r>
      <w:r w:rsidRPr="00F94DD1">
        <w:rPr>
          <w:rStyle w:val="Emfaz"/>
        </w:rPr>
        <w:t>acquis</w:t>
      </w:r>
      <w:r w:rsidRPr="00F94DD1">
        <w:t xml:space="preserve"> taikymo yra įvykdytos Lietuvos Respublikoje, priėmimo:</w:t>
      </w:r>
    </w:p>
    <w:p w:rsidR="00626711" w:rsidRPr="00F94DD1" w:rsidRDefault="00626711" w:rsidP="00626711">
      <w:pPr>
        <w:pStyle w:val="Betarp"/>
        <w:ind w:firstLine="720"/>
        <w:jc w:val="both"/>
      </w:pPr>
      <w:r w:rsidRPr="00F94DD1">
        <w:lastRenderedPageBreak/>
        <w:t>2. Pasienio kontrolės punktuose Tarnyba:</w:t>
      </w:r>
    </w:p>
    <w:p w:rsidR="00626711" w:rsidRPr="00F94DD1" w:rsidRDefault="00626711" w:rsidP="00626711">
      <w:pPr>
        <w:pStyle w:val="Betarp"/>
        <w:jc w:val="both"/>
      </w:pPr>
      <w:r w:rsidRPr="00F94DD1">
        <w:t>1) Vyriausybės nustatyta tvarka užtikrina nepertraukiamą pasienio kontrolės punktų funkcionavimą;</w:t>
      </w:r>
    </w:p>
    <w:p w:rsidR="00626711" w:rsidRPr="00F94DD1" w:rsidRDefault="00626711" w:rsidP="00626711">
      <w:pPr>
        <w:pStyle w:val="Betarp"/>
        <w:jc w:val="both"/>
      </w:pPr>
      <w:r w:rsidRPr="00F94DD1">
        <w:t>2) kontroliuoja asmenis ir transporto priemones, atvykstančius</w:t>
      </w:r>
      <w:r w:rsidRPr="00F94DD1">
        <w:rPr>
          <w:bCs/>
        </w:rPr>
        <w:t xml:space="preserve"> </w:t>
      </w:r>
      <w:r w:rsidRPr="00F94DD1">
        <w:t xml:space="preserve">į pasienio kontrolės punktą; </w:t>
      </w:r>
    </w:p>
    <w:p w:rsidR="00626711" w:rsidRPr="00F94DD1" w:rsidRDefault="00626711" w:rsidP="00626711">
      <w:pPr>
        <w:pStyle w:val="Betarp"/>
        <w:jc w:val="both"/>
      </w:pPr>
      <w:r w:rsidRPr="00F94DD1">
        <w:t xml:space="preserve">3) kontroliuoja asmenų </w:t>
      </w:r>
      <w:r w:rsidRPr="00F94DD1">
        <w:rPr>
          <w:bCs/>
        </w:rPr>
        <w:t>buvimą,</w:t>
      </w:r>
      <w:r w:rsidRPr="00F94DD1">
        <w:t xml:space="preserve"> transporto priemonių </w:t>
      </w:r>
      <w:r w:rsidRPr="00F94DD1">
        <w:rPr>
          <w:bCs/>
        </w:rPr>
        <w:t>eismo tvarką</w:t>
      </w:r>
      <w:r w:rsidRPr="00F94DD1">
        <w:t xml:space="preserve"> pasienio kontrolės punkto teritorijoje;</w:t>
      </w:r>
    </w:p>
    <w:p w:rsidR="00626711" w:rsidRPr="00F94DD1" w:rsidRDefault="00626711" w:rsidP="00626711">
      <w:pPr>
        <w:pStyle w:val="Betarp"/>
        <w:jc w:val="both"/>
      </w:pPr>
      <w:r w:rsidRPr="00F94DD1">
        <w:t>4) tarnybos tikslais ar saugumo sumetimais apriboja įėjimą ar įvažiavimą į tam tikrą pasienio kontrolės punkto teritorijos dalį;</w:t>
      </w:r>
    </w:p>
    <w:p w:rsidR="00626711" w:rsidRPr="00F94DD1" w:rsidRDefault="00626711" w:rsidP="00626711">
      <w:pPr>
        <w:pStyle w:val="Betarp"/>
        <w:jc w:val="both"/>
      </w:pPr>
      <w:r w:rsidRPr="00F94DD1">
        <w:t>5) pasienio kontrolės punkte palaiko viešąją tvarką, užtikrina visuomenės rimtį ir kertančių valstybės sieną asmenų bei punkte dirbančių pareigūnų saugumą.</w:t>
      </w:r>
    </w:p>
    <w:p w:rsidR="00626711" w:rsidRPr="00F94DD1" w:rsidRDefault="00626711" w:rsidP="00626711">
      <w:pPr>
        <w:pStyle w:val="Betarp"/>
        <w:ind w:firstLine="720"/>
        <w:jc w:val="both"/>
      </w:pPr>
      <w:r w:rsidRPr="00F94DD1">
        <w:t>3. Praleisdama asmenis per pasienio kontrolės punktus, kuriuose nėra muitinės įstaigų, Tarnyba užtikrina, kad vykstantys per šiuos pasienio kontrolės punktus asmenys, gabendami daiktus, už kuriuos imami importo (eksporto) muitai ir kiti mokesčiai ar kuriems taikomi įvežimo (išvežimo) draudimai bei apribojimai, laikytųsi nustatytų šių daiktų įvežimo (išvežimo) normų.</w:t>
      </w:r>
    </w:p>
    <w:p w:rsidR="00626711" w:rsidRPr="00F94DD1" w:rsidRDefault="00626711" w:rsidP="00626711">
      <w:pPr>
        <w:pStyle w:val="Betarp"/>
        <w:ind w:firstLine="720"/>
        <w:jc w:val="both"/>
      </w:pPr>
      <w:r w:rsidRPr="00F94DD1">
        <w:t>4. Nustačiusi muitų taisyklių pažeidimą ar kontrabandos gabenimo faktą, Tarnyba sulaiko asmenis, transporto priemones ir per sieną gabenamus krovinius, kol bus priimtas atitinkamas įgaliotų institucijų sprendimas.</w:t>
      </w:r>
    </w:p>
    <w:p w:rsidR="00626711" w:rsidRPr="00F94DD1" w:rsidRDefault="00626711" w:rsidP="00626711">
      <w:pPr>
        <w:pStyle w:val="Betarp"/>
        <w:ind w:firstLine="720"/>
        <w:jc w:val="both"/>
      </w:pPr>
      <w:r w:rsidRPr="00F94DD1">
        <w:t xml:space="preserve">Taip pat 8 straipsnis papildomas 5 dalimi nuo Tarybos sprendimo, patikrinus pagal taikomas Šengeno vertinimo procedūras, ar būtinos sąlygos dėl viso atitinkamo </w:t>
      </w:r>
      <w:r w:rsidRPr="00F94DD1">
        <w:rPr>
          <w:rStyle w:val="Emfaz"/>
        </w:rPr>
        <w:t>acquis</w:t>
      </w:r>
      <w:r w:rsidRPr="00F94DD1">
        <w:t xml:space="preserve"> taikymo yra įvykdytos Lietuvos Respublikoje, priėmimo:</w:t>
      </w:r>
    </w:p>
    <w:p w:rsidR="00626711" w:rsidRPr="00F94DD1" w:rsidRDefault="00626711" w:rsidP="00626711">
      <w:pPr>
        <w:pStyle w:val="Betarp"/>
        <w:ind w:firstLine="720"/>
        <w:jc w:val="both"/>
      </w:pPr>
      <w:r w:rsidRPr="00C611AA">
        <w:rPr>
          <w:bCs/>
          <w:color w:val="030303"/>
        </w:rPr>
        <w:t>Lietuvos Respublikos Vyriausybė</w:t>
      </w:r>
      <w:r w:rsidRPr="00F94DD1">
        <w:rPr>
          <w:color w:val="030303"/>
        </w:rPr>
        <w:t xml:space="preserve"> 1999 m. sausio 22 d. nutarimu Nr. 78 “Dėl Prekių gabenimo, laikymo ir tikrinimo Klaipėdos valstybinio jūrų uosto pasienio kontrolės punktų teritorijoje esančiose muitinės prižiūrimose uosto komplekso zonose taisyklių patvirtinimo” patvirtino Taisykles, kuriose reglamentuota laivų ir jais gabenamų prekių priežiūra, laivų aprūpinimas atsargomis, prekių laikymas ir muitinės priežiūra uosto komplekso zonose tvarka. </w:t>
      </w:r>
      <w:r w:rsidRPr="00F94DD1">
        <w:rPr>
          <w:color w:val="030303"/>
        </w:rPr>
        <w:tab/>
      </w:r>
      <w:r w:rsidRPr="00C611AA">
        <w:rPr>
          <w:bCs/>
          <w:color w:val="030303"/>
        </w:rPr>
        <w:t>Lietuvos Respublikos Vyriausybė</w:t>
      </w:r>
      <w:r w:rsidRPr="00F94DD1">
        <w:rPr>
          <w:color w:val="030303"/>
        </w:rPr>
        <w:t xml:space="preserve"> </w:t>
      </w:r>
      <w:r w:rsidRPr="00F94DD1">
        <w:t>1999 m. kovo 10 d. nutarimu Nr. 275 “Dėl Klaipėdos valstybinio jūrų uosto apsaugos užtikrinimo” siekdama užtikrinti patikimą Klaipėdos valstybinio jūrų uosto ir jame esančių muitinės prižiūrimų zonų apsaugą, pavedė Vidaus reikalų ministerijai skirti policijos padalinį visoms policijos funkcijoms vykdyti uosto akvatorijoje ir teritorijoje; įdiegti specialias uosto įplaukos vizualinio, o iki 2000 m. sausio 30 d. – techninio stebėjimo sistemas, užtikrinančias deramą įplaukiančių į uostą ir išplaukiančių iš jo laivų kontrolę, stebėjimą ir atpažinimą visą parą visokiomis hidrometeorologinėmis sąlygomis; įteisinti patvirtintose uosto pasienio kontrolės punktų išdėstymo teritorijose pasienio kontrolės punktų režimą.</w:t>
      </w:r>
    </w:p>
    <w:p w:rsidR="00626711" w:rsidRPr="00F94DD1" w:rsidRDefault="00626711" w:rsidP="00626711">
      <w:pPr>
        <w:pStyle w:val="Betarp"/>
        <w:ind w:firstLine="720"/>
        <w:jc w:val="both"/>
      </w:pPr>
      <w:r w:rsidRPr="00F94DD1">
        <w:t>Minėtu nutarimu Susisiekimo ministeriją įpareigota suderinus su Lietuvos Respublikos valstybės saugumo departamentu ir Vidaus reikalų ministerija, papildyti susisiekimo ministro patvirtintas Klaipėdos valstybinio jūrų uosto naudojimo taisykles uosto teritorijos aptvėrimo, apšvietimo, vaizdo stebėjimo ir režimo reikalavimais; pateikti Lietuvos Respublikos Vyriausybei pasiūlymus dėl Lietuvos Respublikos administracinių teisės pažeidimų kodekso papildymo – atsakomybės už uosto naudojimo taisyklių nesilaikymą nustatymo; nedelsiant sudaryti sąlygas muitinės ir Valstybės sienos apsaugos tarnybos prie Vidaus reikalų ministerijos pareigūnams stebėti uosto teritoriją ir akvatoriją panaudojant esamas televizijos, vaizdo ir radiolokacines stebėjimo sistemas, taip pat spręsti klausimą dėl papildomų stacionarių filmavimo kamerų įrengimo; projektuojant ir įrengiant nurodytąsias uosto teritorijos ir akvatorijos stebėjimo sistemas, numatyti technines galimybes prie jų prisijungti kitoms uoste tikrinimą atliekančioms ir jo saugumą užtikrinančioms institucijoms, kad jos galėtų gauti Lietuvos Respublikos įstatymų ir kitų teisės aktų nustatyta tvarka reikiamą informaciją; kartu su Vidaus reikalų ministerija ir Lietuvos Respublikos valstybės saugumo departamentu, uosto naudotojais ir jo žemės nuomininkais parengti kompleksinį uosto saugos planą.</w:t>
      </w:r>
    </w:p>
    <w:p w:rsidR="00626711" w:rsidRPr="00F94DD1" w:rsidRDefault="00626711" w:rsidP="00626711">
      <w:pPr>
        <w:pStyle w:val="Betarp"/>
        <w:ind w:firstLine="720"/>
        <w:jc w:val="both"/>
      </w:pPr>
      <w:r w:rsidRPr="00F94DD1">
        <w:t>Finansų ministerijai iki 1999 m. gegužės 1 d. turėjo organizuoti prie uosto teritorijos vartų (įvažiavimo ir išvažiavimo) muitinę kontrolę, kad būtų tikrinama, ar išvežamiems iš uosto teritorijos kroviniams atliktas muitinis tikrinimas, ar ūkio subjektai atliko visus privalomus muitinės formalumus ir įformino muitinės procedūras.</w:t>
      </w:r>
    </w:p>
    <w:p w:rsidR="00626711" w:rsidRPr="00F94DD1" w:rsidRDefault="00626711" w:rsidP="00626711">
      <w:pPr>
        <w:pStyle w:val="Betarp"/>
        <w:ind w:firstLine="720"/>
        <w:jc w:val="both"/>
      </w:pPr>
      <w:r w:rsidRPr="00F94DD1">
        <w:t xml:space="preserve">Minėtu nutarimu  Klaipėdos valstybinio jūrų uosto direkcijai pavedė išnuomojant uosto žemę, nuomos sutartyse nustatyti nuomininkams šiuos reikalavimus:  įrengti aptvertas saugomas aikšteles akcizais apmokestinamoms prekėms ir prekėms, nurodytoms Finansų ministerijos sąraše, bei kontroliuojamoms strateginėms prekėms ir technologijoms, nurodytoms Lietuvos Respublikos Vyriausybės patvirtintame sąraše, sandėliuoti ir saugoti; derinti su Lietuvos Respublikos valstybės </w:t>
      </w:r>
      <w:r w:rsidRPr="00F94DD1">
        <w:lastRenderedPageBreak/>
        <w:t>saugumo departamentu ir Policijos departamentu prie Vidaus reikalų ministerijos su įmonėmis, teikiančiomis apsaugos paslaugas, sudaromas nuomojamos uosto teritorijos apsaugos sutartis; įrengti Klaipėdos valstybinio jūrų uosto automobilių ir pėsčiųjų vartų techninės kontrolės sistemas pagal susisiekimo ministro patvirtintus šių sistemų techninius reikalavimus ir šių sistemų techninius projektus, suderintus su Valstybės saugumo departamentu, Muitinės departamentu prie Finansų ministerijos, Valstybės sienos apsaugos tarnyba prie Vidaus reikalų ministerijos, Klaipėdos valstybinio jūrų uosto direkcija. Užtikrinti šių sistemų funkcionavimą ir sudaryti technines galimybes neatlygintinai prie jų prisijungti uoste kontrolę vykdančioms valstybės institucijoms ir Klaipėdos valstybinio jūrų uosto direkcijai. Vykdyti uosto teritorijos perimetro apsaugą, naudojant uosto teritorijos perimetro televizijos stebėjimo ir uosto teritorijos perimetro apsauginės signalizacijos sistemas; organizuoti perimtų iš miesto savivaldybės rezervinių teritorijų, skirtų uostui plėtoti, aptvėrimą, apšvietimą ir apsaugą;  nutraukti sudarytas uosto žemės nuomos sutartis, jeigu nevykdomi šio nutarimo reikalavimai, taip pat kiti reikalavimai, numatyti susisiekimo ministro patvirtintoje uosto žemės nuomos sutarties formoje; užtikrinti nurodytų automobilių ir pėsčiųjų vartų techninės kontrolės sistemų, uosto teritorijos perimetro televizijos stebėjimo ir uosto teritorijos perimetro apsauginės signalizacijos sistemų įrengimą ir funkcionavimą dar neišnuomotose uosto žemės (teritorijos) dalyse.</w:t>
      </w:r>
    </w:p>
    <w:p w:rsidR="00626711" w:rsidRPr="00F94DD1" w:rsidRDefault="00626711" w:rsidP="00626711">
      <w:pPr>
        <w:pStyle w:val="Betarp"/>
        <w:ind w:firstLine="720"/>
        <w:jc w:val="both"/>
      </w:pPr>
      <w:r w:rsidRPr="00C611AA">
        <w:rPr>
          <w:bCs/>
        </w:rPr>
        <w:t>Lietuvos Respublikos Finansų ministro ir Lietuvos Respublikos Susisiekimo ministro</w:t>
      </w:r>
      <w:r w:rsidRPr="00F94DD1">
        <w:t xml:space="preserve"> 2010 03 23 įsakymu Nr. IK-081/3-172 “Dėl Klaipėdos valstybinio jūrų uosto teritorijos vartų (įvažiavimo ir išvažiavimo) muitinės kontrolės užtikrinimo ir kai kurių Lietuvos Respublikos Finansų ministro ir Lietuvos Respublikos Susisiekimo ministro įsakymų pripažinimo galios” pavedė Muitinės departamento prie Lietuvos respublikos finansų ministerijos generaliniam direktoriui suderinus su valstybės įmonės  Klaipėdos valstybinio jūrų uosto direkcijos generaliniu direktoriumi iki 2010 m. balandžio 1 d. patvirtinti  Klaipėdos valstybinio jūrų uosto komplekso vartų, pro kuriuos leidžiama gabenti prekes (krovinius), sąrašą.  </w:t>
      </w:r>
      <w:bookmarkStart w:id="17" w:name="straipsnis42"/>
    </w:p>
    <w:p w:rsidR="00626711" w:rsidRPr="00F94DD1" w:rsidRDefault="00626711" w:rsidP="00626711">
      <w:pPr>
        <w:pStyle w:val="Betarp"/>
        <w:jc w:val="both"/>
        <w:rPr>
          <w:rStyle w:val="Grietas"/>
          <w:rFonts w:eastAsiaTheme="majorEastAsia"/>
          <w:b w:val="0"/>
          <w:bCs w:val="0"/>
          <w:color w:val="030303"/>
        </w:rPr>
      </w:pPr>
      <w:r w:rsidRPr="00F94DD1">
        <w:tab/>
      </w:r>
      <w:bookmarkEnd w:id="17"/>
      <w:r w:rsidRPr="00F94DD1">
        <w:rPr>
          <w:rStyle w:val="Grietas"/>
          <w:rFonts w:eastAsiaTheme="majorEastAsia"/>
          <w:b w:val="0"/>
          <w:bCs w:val="0"/>
          <w:color w:val="030303"/>
        </w:rPr>
        <w:t>2008 m.</w:t>
      </w:r>
      <w:r w:rsidRPr="00F94DD1">
        <w:rPr>
          <w:color w:val="030303"/>
        </w:rPr>
        <w:t xml:space="preserve"> į Klaipėdos uostą atplaukė  </w:t>
      </w:r>
      <w:r w:rsidRPr="00F94DD1">
        <w:rPr>
          <w:rStyle w:val="Grietas"/>
          <w:rFonts w:eastAsiaTheme="majorEastAsia"/>
          <w:b w:val="0"/>
          <w:bCs w:val="0"/>
          <w:color w:val="030303"/>
        </w:rPr>
        <w:t>8348</w:t>
      </w:r>
      <w:r w:rsidRPr="00F94DD1">
        <w:rPr>
          <w:bCs/>
          <w:color w:val="030303"/>
        </w:rPr>
        <w:t xml:space="preserve"> </w:t>
      </w:r>
      <w:r w:rsidRPr="00F94DD1">
        <w:rPr>
          <w:rStyle w:val="Grietas"/>
          <w:rFonts w:eastAsiaTheme="majorEastAsia"/>
          <w:b w:val="0"/>
          <w:bCs w:val="0"/>
          <w:color w:val="030303"/>
        </w:rPr>
        <w:t>laivai</w:t>
      </w:r>
      <w:r w:rsidRPr="00F94DD1">
        <w:rPr>
          <w:bCs/>
          <w:color w:val="030303"/>
        </w:rPr>
        <w:t xml:space="preserve">. </w:t>
      </w:r>
      <w:r w:rsidRPr="00F94DD1">
        <w:rPr>
          <w:color w:val="030303"/>
        </w:rPr>
        <w:t xml:space="preserve">Daugiausiai laivų per mėnesį uoste apsilankė </w:t>
      </w:r>
      <w:r w:rsidRPr="00F94DD1">
        <w:rPr>
          <w:rStyle w:val="Grietas"/>
          <w:rFonts w:eastAsiaTheme="majorEastAsia"/>
          <w:b w:val="0"/>
          <w:bCs w:val="0"/>
          <w:color w:val="030303"/>
        </w:rPr>
        <w:t>2008 m. rugsėjį</w:t>
      </w:r>
      <w:r w:rsidRPr="00F94DD1">
        <w:rPr>
          <w:color w:val="030303"/>
        </w:rPr>
        <w:t xml:space="preserve">  </w:t>
      </w:r>
      <w:r w:rsidRPr="00F94DD1">
        <w:rPr>
          <w:rStyle w:val="Grietas"/>
          <w:rFonts w:eastAsiaTheme="majorEastAsia"/>
          <w:b w:val="0"/>
          <w:bCs w:val="0"/>
          <w:color w:val="030303"/>
        </w:rPr>
        <w:t>872 laivai</w:t>
      </w:r>
      <w:r w:rsidRPr="00F94DD1">
        <w:rPr>
          <w:bCs/>
          <w:color w:val="030303"/>
        </w:rPr>
        <w:t>.</w:t>
      </w:r>
      <w:r w:rsidRPr="00F94DD1">
        <w:rPr>
          <w:rStyle w:val="Grietas"/>
          <w:rFonts w:eastAsiaTheme="majorEastAsia"/>
          <w:b w:val="0"/>
          <w:bCs w:val="0"/>
          <w:color w:val="030303"/>
        </w:rPr>
        <w:t xml:space="preserve"> 2008 m.</w:t>
      </w:r>
      <w:r w:rsidRPr="00F94DD1">
        <w:rPr>
          <w:color w:val="030303"/>
        </w:rPr>
        <w:t xml:space="preserve"> Klaipėdos uoste pasiekta didžiausia krovinių apyvarta per </w:t>
      </w:r>
      <w:r w:rsidRPr="00F94DD1">
        <w:rPr>
          <w:rStyle w:val="Grietas"/>
          <w:rFonts w:eastAsiaTheme="majorEastAsia"/>
          <w:b w:val="0"/>
          <w:bCs w:val="0"/>
          <w:color w:val="030303"/>
        </w:rPr>
        <w:t>metus - 29,88 mln. t</w:t>
      </w:r>
      <w:r w:rsidRPr="00F94DD1">
        <w:rPr>
          <w:color w:val="030303"/>
        </w:rPr>
        <w:t xml:space="preserve"> krovinių. Didžiausia </w:t>
      </w:r>
      <w:r w:rsidRPr="00F94DD1">
        <w:rPr>
          <w:rStyle w:val="Grietas"/>
          <w:rFonts w:eastAsiaTheme="majorEastAsia"/>
          <w:b w:val="0"/>
          <w:bCs w:val="0"/>
          <w:color w:val="030303"/>
        </w:rPr>
        <w:t>mėnesio</w:t>
      </w:r>
      <w:r w:rsidRPr="00F94DD1">
        <w:rPr>
          <w:rStyle w:val="Grietas"/>
          <w:rFonts w:eastAsiaTheme="majorEastAsia"/>
          <w:color w:val="030303"/>
        </w:rPr>
        <w:t xml:space="preserve"> </w:t>
      </w:r>
      <w:r w:rsidRPr="00F94DD1">
        <w:rPr>
          <w:color w:val="030303"/>
        </w:rPr>
        <w:t>krovinių apyvarta - </w:t>
      </w:r>
      <w:r w:rsidRPr="00F94DD1">
        <w:rPr>
          <w:rStyle w:val="Grietas"/>
          <w:rFonts w:eastAsiaTheme="majorEastAsia"/>
          <w:b w:val="0"/>
          <w:bCs w:val="0"/>
          <w:color w:val="030303"/>
        </w:rPr>
        <w:t>2,94 mln.</w:t>
      </w:r>
      <w:r w:rsidRPr="00F94DD1">
        <w:rPr>
          <w:rStyle w:val="Grietas"/>
          <w:rFonts w:eastAsiaTheme="majorEastAsia"/>
          <w:color w:val="030303"/>
        </w:rPr>
        <w:t xml:space="preserve"> </w:t>
      </w:r>
      <w:r w:rsidRPr="00F94DD1">
        <w:rPr>
          <w:rStyle w:val="Grietas"/>
          <w:rFonts w:eastAsiaTheme="majorEastAsia"/>
          <w:b w:val="0"/>
          <w:bCs w:val="0"/>
          <w:color w:val="030303"/>
        </w:rPr>
        <w:t>t</w:t>
      </w:r>
      <w:r w:rsidRPr="00F94DD1">
        <w:rPr>
          <w:bCs/>
          <w:color w:val="030303"/>
        </w:rPr>
        <w:t>,</w:t>
      </w:r>
      <w:r w:rsidRPr="00F94DD1">
        <w:rPr>
          <w:color w:val="030303"/>
        </w:rPr>
        <w:t xml:space="preserve"> pasiekta </w:t>
      </w:r>
      <w:r w:rsidRPr="00F94DD1">
        <w:rPr>
          <w:rStyle w:val="Grietas"/>
          <w:rFonts w:eastAsiaTheme="majorEastAsia"/>
          <w:b w:val="0"/>
          <w:bCs w:val="0"/>
          <w:color w:val="030303"/>
        </w:rPr>
        <w:t>2008 m. birželio mėnesį</w:t>
      </w:r>
      <w:r w:rsidRPr="00F94DD1">
        <w:rPr>
          <w:bCs/>
          <w:color w:val="030303"/>
        </w:rPr>
        <w:t>.</w:t>
      </w:r>
      <w:r w:rsidRPr="00F94DD1">
        <w:rPr>
          <w:color w:val="030303"/>
        </w:rPr>
        <w:t> </w:t>
      </w:r>
      <w:r w:rsidRPr="00F94DD1">
        <w:rPr>
          <w:rStyle w:val="Grietas"/>
          <w:rFonts w:eastAsiaTheme="majorEastAsia"/>
          <w:color w:val="030303"/>
        </w:rPr>
        <w:t> </w:t>
      </w:r>
      <w:r w:rsidRPr="00F94DD1">
        <w:rPr>
          <w:color w:val="030303"/>
        </w:rPr>
        <w:t xml:space="preserve"> Rekordinė konteinerių krova per </w:t>
      </w:r>
      <w:r w:rsidRPr="00F94DD1">
        <w:rPr>
          <w:rStyle w:val="Grietas"/>
          <w:rFonts w:eastAsiaTheme="majorEastAsia"/>
          <w:b w:val="0"/>
          <w:bCs w:val="0"/>
          <w:color w:val="030303"/>
        </w:rPr>
        <w:t>metus</w:t>
      </w:r>
      <w:r w:rsidRPr="00F94DD1">
        <w:rPr>
          <w:rStyle w:val="Grietas"/>
          <w:rFonts w:eastAsiaTheme="majorEastAsia"/>
          <w:color w:val="030303"/>
        </w:rPr>
        <w:t xml:space="preserve"> </w:t>
      </w:r>
      <w:r w:rsidRPr="00F94DD1">
        <w:rPr>
          <w:color w:val="030303"/>
        </w:rPr>
        <w:t>buvo pasiekta </w:t>
      </w:r>
      <w:r w:rsidRPr="00F94DD1">
        <w:rPr>
          <w:rStyle w:val="Grietas"/>
          <w:rFonts w:eastAsiaTheme="majorEastAsia"/>
          <w:b w:val="0"/>
          <w:bCs w:val="0"/>
          <w:color w:val="030303"/>
        </w:rPr>
        <w:t>2008 m.</w:t>
      </w:r>
      <w:r w:rsidRPr="00F94DD1">
        <w:rPr>
          <w:bCs/>
          <w:color w:val="030303"/>
        </w:rPr>
        <w:t xml:space="preserve"> – </w:t>
      </w:r>
      <w:r w:rsidRPr="00F94DD1">
        <w:rPr>
          <w:rStyle w:val="Grietas"/>
          <w:rFonts w:eastAsiaTheme="majorEastAsia"/>
          <w:b w:val="0"/>
          <w:bCs w:val="0"/>
          <w:color w:val="030303"/>
        </w:rPr>
        <w:t>373 263 TEU. 2008 m. spalio mėnesį</w:t>
      </w:r>
      <w:r w:rsidRPr="00F94DD1">
        <w:rPr>
          <w:color w:val="030303"/>
        </w:rPr>
        <w:t xml:space="preserve"> perkrautas didžiausiais konteinerių kiekis per</w:t>
      </w:r>
      <w:r w:rsidRPr="00F94DD1">
        <w:rPr>
          <w:bCs/>
          <w:color w:val="030303"/>
        </w:rPr>
        <w:t> </w:t>
      </w:r>
      <w:r w:rsidRPr="00F94DD1">
        <w:rPr>
          <w:rStyle w:val="Grietas"/>
          <w:rFonts w:eastAsiaTheme="majorEastAsia"/>
          <w:b w:val="0"/>
          <w:bCs w:val="0"/>
          <w:color w:val="030303"/>
        </w:rPr>
        <w:t>mėnesį</w:t>
      </w:r>
      <w:r w:rsidRPr="00F94DD1">
        <w:rPr>
          <w:bCs/>
          <w:color w:val="030303"/>
        </w:rPr>
        <w:t xml:space="preserve"> – </w:t>
      </w:r>
      <w:r w:rsidRPr="00F94DD1">
        <w:rPr>
          <w:rStyle w:val="Grietas"/>
          <w:rFonts w:eastAsiaTheme="majorEastAsia"/>
          <w:b w:val="0"/>
          <w:bCs w:val="0"/>
          <w:color w:val="030303"/>
        </w:rPr>
        <w:t>35 161 TEU.</w:t>
      </w:r>
      <w:hyperlink r:id="rId156" w:history="1">
        <w:r>
          <w:rPr>
            <w:bCs/>
            <w:noProof/>
            <w:color w:val="030303"/>
            <w:lang w:eastAsia="lt-LT"/>
          </w:rPr>
          <w:drawing>
            <wp:anchor distT="47625" distB="47625" distL="95250" distR="95250" simplePos="0" relativeHeight="251731968" behindDoc="0" locked="0" layoutInCell="1" allowOverlap="0">
              <wp:simplePos x="0" y="0"/>
              <wp:positionH relativeFrom="column">
                <wp:align>right</wp:align>
              </wp:positionH>
              <wp:positionV relativeFrom="line">
                <wp:posOffset>0</wp:posOffset>
              </wp:positionV>
              <wp:extent cx="1428750" cy="952500"/>
              <wp:effectExtent l="0" t="0" r="0" b="0"/>
              <wp:wrapSquare wrapText="bothSides"/>
              <wp:docPr id="115" name="Paveikslėlis 115" descr="RoR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oRo">
                        <a:hlinkClick r:id="rId156"/>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28750" cy="9525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F94DD1">
        <w:rPr>
          <w:rStyle w:val="Grietas"/>
          <w:rFonts w:eastAsiaTheme="majorEastAsia"/>
          <w:b w:val="0"/>
          <w:bCs w:val="0"/>
          <w:color w:val="030303"/>
        </w:rPr>
        <w:t xml:space="preserve"> </w:t>
      </w:r>
    </w:p>
    <w:p w:rsidR="00626711" w:rsidRPr="00F94DD1" w:rsidRDefault="00626711" w:rsidP="00626711">
      <w:pPr>
        <w:pStyle w:val="Betarp"/>
        <w:jc w:val="both"/>
        <w:rPr>
          <w:bCs/>
          <w:color w:val="030303"/>
        </w:rPr>
      </w:pPr>
      <w:r w:rsidRPr="00F94DD1">
        <w:rPr>
          <w:color w:val="030303"/>
        </w:rPr>
        <w:t xml:space="preserve">2007 m. Klaipėdos mieste apsilankė  </w:t>
      </w:r>
      <w:r w:rsidRPr="00F94DD1">
        <w:rPr>
          <w:rStyle w:val="Grietas"/>
          <w:rFonts w:eastAsiaTheme="majorEastAsia"/>
          <w:b w:val="0"/>
          <w:bCs w:val="0"/>
          <w:color w:val="030303"/>
        </w:rPr>
        <w:t>285 216 keleivių</w:t>
      </w:r>
      <w:r w:rsidRPr="00F94DD1">
        <w:rPr>
          <w:color w:val="030303"/>
        </w:rPr>
        <w:t>.</w:t>
      </w:r>
      <w:r w:rsidRPr="00F94DD1">
        <w:rPr>
          <w:bCs/>
          <w:color w:val="030303"/>
        </w:rPr>
        <w:t xml:space="preserve"> </w:t>
      </w:r>
      <w:r w:rsidRPr="00F94DD1">
        <w:rPr>
          <w:rStyle w:val="Grietas"/>
          <w:rFonts w:eastAsiaTheme="majorEastAsia"/>
          <w:b w:val="0"/>
          <w:bCs w:val="0"/>
          <w:color w:val="030303"/>
        </w:rPr>
        <w:t>2007 m. rugpjūtį</w:t>
      </w:r>
      <w:r w:rsidRPr="00F94DD1">
        <w:rPr>
          <w:color w:val="030303"/>
        </w:rPr>
        <w:t xml:space="preserve"> atvyko </w:t>
      </w:r>
      <w:r w:rsidRPr="00F94DD1">
        <w:rPr>
          <w:rStyle w:val="Grietas"/>
          <w:rFonts w:eastAsiaTheme="majorEastAsia"/>
          <w:b w:val="0"/>
          <w:bCs w:val="0"/>
          <w:color w:val="030303"/>
        </w:rPr>
        <w:t>49 183 turistai</w:t>
      </w:r>
      <w:r w:rsidRPr="00F94DD1">
        <w:rPr>
          <w:bCs/>
          <w:color w:val="030303"/>
        </w:rPr>
        <w:t xml:space="preserve">. </w:t>
      </w:r>
      <w:r w:rsidRPr="00F94DD1">
        <w:rPr>
          <w:rStyle w:val="Grietas"/>
          <w:rFonts w:eastAsiaTheme="majorEastAsia"/>
          <w:b w:val="0"/>
          <w:bCs w:val="0"/>
          <w:color w:val="030303"/>
        </w:rPr>
        <w:t xml:space="preserve">2007 m. kruiziniais laivais </w:t>
      </w:r>
      <w:r w:rsidRPr="00F94DD1">
        <w:rPr>
          <w:color w:val="030303"/>
        </w:rPr>
        <w:t xml:space="preserve">į Klaipėdos uostą atvyko  </w:t>
      </w:r>
      <w:r w:rsidRPr="00F94DD1">
        <w:rPr>
          <w:rStyle w:val="Grietas"/>
          <w:rFonts w:eastAsiaTheme="majorEastAsia"/>
          <w:b w:val="0"/>
          <w:bCs w:val="0"/>
          <w:color w:val="030303"/>
        </w:rPr>
        <w:t>36 866 turistai</w:t>
      </w:r>
      <w:r w:rsidRPr="00F94DD1">
        <w:rPr>
          <w:color w:val="030303"/>
        </w:rPr>
        <w:t xml:space="preserve">. </w:t>
      </w:r>
      <w:r w:rsidRPr="00F94DD1">
        <w:rPr>
          <w:rStyle w:val="Grietas"/>
          <w:rFonts w:eastAsiaTheme="majorEastAsia"/>
          <w:b w:val="0"/>
          <w:bCs w:val="0"/>
          <w:color w:val="030303"/>
        </w:rPr>
        <w:t>2007 m.</w:t>
      </w:r>
      <w:r w:rsidRPr="00F94DD1">
        <w:rPr>
          <w:rStyle w:val="Grietas"/>
          <w:rFonts w:eastAsiaTheme="majorEastAsia"/>
          <w:color w:val="030303"/>
        </w:rPr>
        <w:t xml:space="preserve"> </w:t>
      </w:r>
      <w:r w:rsidRPr="00F94DD1">
        <w:rPr>
          <w:rStyle w:val="Grietas"/>
          <w:rFonts w:eastAsiaTheme="majorEastAsia"/>
          <w:b w:val="0"/>
          <w:bCs w:val="0"/>
          <w:color w:val="030303"/>
        </w:rPr>
        <w:t>rugpjūtį</w:t>
      </w:r>
      <w:r w:rsidRPr="00F94DD1">
        <w:rPr>
          <w:rStyle w:val="Grietas"/>
          <w:rFonts w:eastAsiaTheme="majorEastAsia"/>
          <w:color w:val="030303"/>
        </w:rPr>
        <w:t> </w:t>
      </w:r>
      <w:r w:rsidRPr="00F94DD1">
        <w:rPr>
          <w:color w:val="030303"/>
        </w:rPr>
        <w:t>apsilankė rekordinis kruizinių laivų keleivių skaičius per</w:t>
      </w:r>
      <w:r w:rsidRPr="00F94DD1">
        <w:rPr>
          <w:rStyle w:val="Grietas"/>
          <w:rFonts w:eastAsiaTheme="majorEastAsia"/>
          <w:color w:val="030303"/>
        </w:rPr>
        <w:t xml:space="preserve"> </w:t>
      </w:r>
      <w:r w:rsidRPr="00F94DD1">
        <w:rPr>
          <w:rStyle w:val="Grietas"/>
          <w:rFonts w:eastAsiaTheme="majorEastAsia"/>
          <w:b w:val="0"/>
          <w:bCs w:val="0"/>
          <w:color w:val="030303"/>
        </w:rPr>
        <w:t>mėnesį</w:t>
      </w:r>
      <w:r w:rsidRPr="00F94DD1">
        <w:rPr>
          <w:bCs/>
          <w:color w:val="030303"/>
        </w:rPr>
        <w:t xml:space="preserve"> – </w:t>
      </w:r>
      <w:r w:rsidRPr="00F94DD1">
        <w:rPr>
          <w:rStyle w:val="Grietas"/>
          <w:rFonts w:eastAsiaTheme="majorEastAsia"/>
          <w:b w:val="0"/>
          <w:bCs w:val="0"/>
          <w:color w:val="030303"/>
        </w:rPr>
        <w:t>11 745 turistai</w:t>
      </w:r>
      <w:r w:rsidRPr="00F94DD1">
        <w:rPr>
          <w:bCs/>
          <w:color w:val="030303"/>
        </w:rPr>
        <w:t>.</w:t>
      </w:r>
    </w:p>
    <w:p w:rsidR="00626711" w:rsidRDefault="00626711" w:rsidP="00626711">
      <w:pPr>
        <w:pStyle w:val="Betarp"/>
        <w:jc w:val="both"/>
        <w:rPr>
          <w:rStyle w:val="Grietas"/>
          <w:rFonts w:eastAsiaTheme="majorEastAsia"/>
          <w:b w:val="0"/>
          <w:bCs w:val="0"/>
          <w:color w:val="030303"/>
        </w:rPr>
      </w:pPr>
      <w:r w:rsidRPr="00F94DD1">
        <w:rPr>
          <w:color w:val="030303"/>
        </w:rPr>
        <w:t xml:space="preserve"> Didžiausia </w:t>
      </w:r>
      <w:r w:rsidRPr="00F94DD1">
        <w:rPr>
          <w:rStyle w:val="Grietas"/>
          <w:rFonts w:eastAsiaTheme="majorEastAsia"/>
          <w:b w:val="0"/>
          <w:bCs w:val="0"/>
          <w:color w:val="030303"/>
        </w:rPr>
        <w:t>RO-RO KROVINIŲ</w:t>
      </w:r>
      <w:r w:rsidRPr="00F94DD1">
        <w:rPr>
          <w:bCs/>
          <w:color w:val="030303"/>
        </w:rPr>
        <w:t> </w:t>
      </w:r>
      <w:r w:rsidRPr="00F94DD1">
        <w:rPr>
          <w:rStyle w:val="Grietas"/>
          <w:rFonts w:eastAsiaTheme="majorEastAsia"/>
          <w:b w:val="0"/>
          <w:bCs w:val="0"/>
          <w:color w:val="030303"/>
        </w:rPr>
        <w:t>metinė</w:t>
      </w:r>
      <w:r w:rsidRPr="00F94DD1">
        <w:rPr>
          <w:color w:val="030303"/>
        </w:rPr>
        <w:t xml:space="preserve"> krova (įskaitant vagonus) pasiekta </w:t>
      </w:r>
      <w:r w:rsidRPr="00F94DD1">
        <w:rPr>
          <w:rStyle w:val="Grietas"/>
          <w:rFonts w:eastAsiaTheme="majorEastAsia"/>
          <w:b w:val="0"/>
          <w:bCs w:val="0"/>
          <w:color w:val="030303"/>
        </w:rPr>
        <w:t>2007 m.</w:t>
      </w:r>
      <w:r w:rsidRPr="00F94DD1">
        <w:rPr>
          <w:bCs/>
          <w:color w:val="030303"/>
        </w:rPr>
        <w:t xml:space="preserve"> – </w:t>
      </w:r>
      <w:r w:rsidRPr="00F94DD1">
        <w:rPr>
          <w:rStyle w:val="Grietas"/>
          <w:rFonts w:eastAsiaTheme="majorEastAsia"/>
          <w:b w:val="0"/>
          <w:bCs w:val="0"/>
          <w:color w:val="030303"/>
        </w:rPr>
        <w:t xml:space="preserve">225 662 vnt. </w:t>
      </w:r>
      <w:r w:rsidRPr="00F94DD1">
        <w:rPr>
          <w:color w:val="030303"/>
        </w:rPr>
        <w:t xml:space="preserve">Rekordinė Ro-Ro krovinių </w:t>
      </w:r>
      <w:r w:rsidRPr="00F94DD1">
        <w:rPr>
          <w:rStyle w:val="Grietas"/>
          <w:rFonts w:eastAsiaTheme="majorEastAsia"/>
          <w:b w:val="0"/>
          <w:bCs w:val="0"/>
          <w:color w:val="030303"/>
        </w:rPr>
        <w:t>mėnesio</w:t>
      </w:r>
      <w:r w:rsidRPr="00F94DD1">
        <w:rPr>
          <w:color w:val="030303"/>
        </w:rPr>
        <w:t xml:space="preserve"> apyvarta (įskaitant vagonus) pasiekta  </w:t>
      </w:r>
      <w:r w:rsidRPr="00F94DD1">
        <w:rPr>
          <w:rStyle w:val="Grietas"/>
          <w:rFonts w:eastAsiaTheme="majorEastAsia"/>
          <w:b w:val="0"/>
          <w:bCs w:val="0"/>
          <w:color w:val="030303"/>
        </w:rPr>
        <w:t>2007 m. liepos mėnesį</w:t>
      </w:r>
      <w:r w:rsidRPr="00F94DD1">
        <w:rPr>
          <w:bCs/>
          <w:color w:val="030303"/>
        </w:rPr>
        <w:t xml:space="preserve"> – </w:t>
      </w:r>
      <w:r w:rsidRPr="00F94DD1">
        <w:rPr>
          <w:rStyle w:val="Grietas"/>
          <w:rFonts w:eastAsiaTheme="majorEastAsia"/>
          <w:b w:val="0"/>
          <w:bCs w:val="0"/>
          <w:color w:val="030303"/>
        </w:rPr>
        <w:t>22 343 vnt.</w:t>
      </w:r>
    </w:p>
    <w:p w:rsidR="00626711" w:rsidRPr="00F94DD1" w:rsidRDefault="00626711" w:rsidP="00626711">
      <w:pPr>
        <w:pStyle w:val="Betarp"/>
        <w:jc w:val="both"/>
        <w:rPr>
          <w:rStyle w:val="Grietas"/>
          <w:rFonts w:eastAsiaTheme="majorEastAsia"/>
          <w:b w:val="0"/>
          <w:bCs w:val="0"/>
          <w:color w:val="030303"/>
        </w:rPr>
      </w:pPr>
    </w:p>
    <w:p w:rsidR="00626711" w:rsidRDefault="00626711" w:rsidP="00626711">
      <w:pPr>
        <w:pStyle w:val="Betarp"/>
        <w:jc w:val="both"/>
        <w:rPr>
          <w:b/>
          <w:i/>
          <w:snapToGrid w:val="0"/>
        </w:rPr>
      </w:pPr>
      <w:r w:rsidRPr="00F94DD1">
        <w:rPr>
          <w:i/>
          <w:snapToGrid w:val="0"/>
        </w:rPr>
        <w:tab/>
      </w:r>
      <w:r w:rsidRPr="00F94DD1">
        <w:rPr>
          <w:b/>
          <w:i/>
          <w:snapToGrid w:val="0"/>
        </w:rPr>
        <w:t>5. Dėl paauglių svaiginimosi vaistais</w:t>
      </w:r>
      <w:r>
        <w:rPr>
          <w:b/>
          <w:i/>
          <w:snapToGrid w:val="0"/>
        </w:rPr>
        <w:t>.</w:t>
      </w:r>
    </w:p>
    <w:p w:rsidR="00626711" w:rsidRPr="00F94DD1" w:rsidRDefault="00626711" w:rsidP="00626711">
      <w:pPr>
        <w:pStyle w:val="Betarp"/>
        <w:jc w:val="both"/>
        <w:rPr>
          <w:b/>
          <w:i/>
          <w:snapToGrid w:val="0"/>
        </w:rPr>
      </w:pPr>
    </w:p>
    <w:p w:rsidR="00626711" w:rsidRPr="00F94DD1" w:rsidRDefault="00626711" w:rsidP="00626711">
      <w:pPr>
        <w:pStyle w:val="Betarp"/>
        <w:jc w:val="both"/>
      </w:pPr>
      <w:r w:rsidRPr="00F94DD1">
        <w:t>Seimo Narkomanijos ir alkoholizmo prevencijos komisija (toliau – Komisija) 2009-02-18 svarstė “Dėl paauglių svaiginimosi vaistais” klausimą.</w:t>
      </w:r>
    </w:p>
    <w:p w:rsidR="00626711" w:rsidRPr="00F94DD1" w:rsidRDefault="00626711" w:rsidP="00626711">
      <w:pPr>
        <w:pStyle w:val="Betarp"/>
        <w:jc w:val="both"/>
      </w:pPr>
      <w:r w:rsidRPr="00F94DD1">
        <w:tab/>
        <w:t>Komisija priėmė sprendimą pasiūlyti Lietuvos Respublikos Vyriausybei inicijuoti medicininį auditą dėl Sveikatos apsaugos ministerijos sistemoje narkotinių ir psichotropinių medžiagų skyrimo ir medicininių receptų išrašymo teisėtumo ir pagrįstumo bei narkotinių ir psichotropinių medžiagų skyrimo ir medicininių receptų išrašymo vaikams teisėtumo ir pagrįstumo. Minėtas Komisijos sprendimas buvo išsiųstas Lietuvos Respublikos Vyriausybei 2009-02-19 raštu Nr. S-2009-1861 “Dėl Seimo Narkomanijos ir alkoholizmo prevencijos komisijos 2009 02 18 posėdžio protokolo išrašo”.</w:t>
      </w:r>
    </w:p>
    <w:p w:rsidR="00626711" w:rsidRPr="00F94DD1" w:rsidRDefault="00626711" w:rsidP="00626711">
      <w:pPr>
        <w:pStyle w:val="Betarp"/>
        <w:jc w:val="both"/>
      </w:pPr>
      <w:r w:rsidRPr="00F94DD1">
        <w:tab/>
        <w:t xml:space="preserve">Lietuvos Respublikos Ministro Pirmininko pavedimu Lietuvos Respublikos Seimo Narkomanijos ir alkoholizmo prevencijos komisijos sprendimas 2009 m. balandžio 2 d. raštu Nr. 27 – 2096 persiųstas Lietuvos Respublikos Sveikatos apsaugos ministerijai spręsti apie medicininio audito tikslingumą ir papildomai informuoti Lietuvos Respublikos Seimo Narkomanijos ir alkoholizmo prevencijos komisijos pirmininkę V.V.Margevičiene. Prireikus Vyriausybės sprendimo paprašyta pateikti suderintus pasiūlymus. </w:t>
      </w:r>
    </w:p>
    <w:p w:rsidR="00626711" w:rsidRPr="00F94DD1" w:rsidRDefault="00626711" w:rsidP="00626711">
      <w:pPr>
        <w:pStyle w:val="Betarp"/>
        <w:jc w:val="both"/>
      </w:pPr>
      <w:r w:rsidRPr="00F94DD1">
        <w:lastRenderedPageBreak/>
        <w:tab/>
        <w:t xml:space="preserve">Lietuvos Respublikos Sveikatos apsaugos ministerija (Sveikatos apsaugos ministras R.Šukys)  2010-03-19 raštu Nr. 10-(10.1-22)- 1599 “Dėl paauglių svaiginimosi vaistais” pranešė, kad kartu su Valstybine medicinine audito inspekcija prie Sveikatos apsaugos ministerijos pagal kompetencija išnagrinėjo Lietuvos Respublikos Seimo Narkomanijos ir alkoholizmo prevencijos komisijos 2010 m. vasario 12 d. raštą dėl paauglių svaiginimosi vaistais. </w:t>
      </w:r>
    </w:p>
    <w:p w:rsidR="00626711" w:rsidRPr="00F94DD1" w:rsidRDefault="00626711" w:rsidP="00626711">
      <w:pPr>
        <w:pStyle w:val="Betarp"/>
        <w:jc w:val="both"/>
      </w:pPr>
      <w:r w:rsidRPr="00F94DD1">
        <w:t xml:space="preserve">Sveikatos apsaugos ministerija raštu paaiškino, kad receptų rašymo ir vaistų išdavimo tvarka reglamentuota Vaistų receptų rašymo ir vaistų išdavimo ( pardavimo) gyventojams taisyklėse patvirtintose Lietuvos Respublikos sveikatos apsaugos ministro 2002 m. kovo 8 d. įsakymu Nr. 112 (Žin., 2002, Nr. 28 – 1013) (toliau- Taisyklės). Gydytojai, skirdami narkotinius ir psichotropinius vaistinius preparatus, išrašo receptus vadovaudamiesi Taisyklių II skyriaus “Receptų rašymas” Bendraisiais reikalavimais ir Papildomais  narkotinių ir psichotropinių vaistų išrašymo reikalavimais. Vadovaujantis Taisyklių 70 ir 71 punktais, vaikams iki  10 metų vaistai neparduodami (neišduodami), o vaikams  iki 18 metų draudžiama išduoti (parduoti) vaistų, kuriais piktnaudžiaujant gali išsivystyti priklausomybė ar toksikomanija: narkotinių ir psichotropinių vaistų, vaistų, turinčių narkotinių ir psichotropinių medžiagų pirmtakų (prekursorių), etanolio ir jo tirpalų, klonidino, antidepresantų, antihistamininių vaistų. Vaistininkas turi teisę paprašyti, kad receptą pateikęs asmuo parodytų asmens dokumentą.    </w:t>
      </w:r>
    </w:p>
    <w:p w:rsidR="00626711" w:rsidRPr="00F94DD1" w:rsidRDefault="00626711" w:rsidP="00626711">
      <w:pPr>
        <w:pStyle w:val="Betarp"/>
        <w:jc w:val="both"/>
      </w:pPr>
      <w:r w:rsidRPr="00F94DD1">
        <w:tab/>
        <w:t xml:space="preserve">Sveikatos apsaugos ministerija, įvertinusi Lietuvos Respublikos Seimo Narkomanijos ir alkoholizmo prevencijos komisijos išreikšto prašymo atlikti medicininį auditą dėl narkotinių ir psichotropinių medžiagų skyrimo ir medicininių receptų išrašymo teisėtumo ir pagrįstumo bei narkotinių ir psichotropinių medžiagų skyrimo ir medicininių receptų išrašymo vaikams teisėtumo ir pagrįstumo, manė, kad nesant konkrečių faktų dėl tam tikroje  asmens sveikatos priežiūros įstaigoje, kitoje institucijoje neteisėtai skiriamų narkotinių ir (ar) psichotropinių medžiagų ir (ar) neteisėtai, nepagrįstai išrašomų receptų vaikams, būtų ribotos galimybės atlikti tokio pobūdžio auditą, kadangi toks tyrimas savo apimtimi būtų nepagrįstai didelis, užimtų daug laiko, o jam reikėtų skirti didelių žmogiškųjų bei finansinių resursų. </w:t>
      </w:r>
    </w:p>
    <w:p w:rsidR="00626711" w:rsidRPr="00F94DD1" w:rsidRDefault="00626711" w:rsidP="00626711">
      <w:pPr>
        <w:pStyle w:val="Betarp"/>
        <w:jc w:val="both"/>
      </w:pPr>
      <w:r w:rsidRPr="00F94DD1">
        <w:t xml:space="preserve">Sveikatos apsaugos ministerija manė, kad neturint minimalių faktų apie narkotinių, psichotropinių medžiagų receptų išdavimo neteisėtumą bei nepagrįstumą, toks tyrimas būtų netikslingas, kadangi galimai nepasiektų savo tikslų. Nurodė, kad svarbu tiksliau apibrėžti vertinamą laikotarpį dar ir todėl, kad Privalomų sveikatos statistikų apskaitos ir kitų tipinių formų, pildomų sveikatos priežiūros įstaigose sąrašas ir saugojimo terminų, patvirtintų Lietuvos Respublikos sveikatos apsaugos ministro 1999 m. lapkričio 29 d. įsakymu Nr. 515 “Dėl sveikatos priežiūros įstaigų veiklos apskaitos ir atskaitomybės tvarkos” (Žin., 1999, Nr. 103-2972, 1999, Nr. 105), priede, nustatyta, kad specialieji receptai saugomi vaistinėse 3 metus, todėl  Valstybine medicinine audito inspekcija prie Sveikatos apsaugos ministerijos, atsižvelgiant į tai, kad vaistinės neteikia asmens sveikatos priežiūros paslaugų, neturėtų įgaliojimų vienasmeniškai šių subjektų kontroliuoti. </w:t>
      </w:r>
    </w:p>
    <w:p w:rsidR="00626711" w:rsidRPr="00F94DD1" w:rsidRDefault="00626711" w:rsidP="00626711">
      <w:pPr>
        <w:pStyle w:val="Betarp"/>
        <w:jc w:val="both"/>
      </w:pPr>
      <w:r w:rsidRPr="00F94DD1">
        <w:t xml:space="preserve"> Papildomai Lietuvos Respublikos sveikatos apsaugos ministerija (viceministrė Nora Ribokienė) atsakydama į Lietuvos Respublikos  Seimo Narkomanijos ir alkoholizmo prevencijos komisijos raštą ir Lietuvos Respublikos Vyriausybės kanceliarijos 2009-08-03 raštą Nr. 10-(2.1-12)- 4503 “Dėl Seimo Narkomanijos ir alkoholizmo prevencijos komisijos 2009 m. vasario 18 d. posėdžio protokolo išrašo” pakartojo ankstesniame Lietuvos Respublikos Sveikatos apsaugos ministerijos (Sveikatos apsaugos ministras R.Šukys)  2010-03-19 rašte Nr. 10-(10.1-22) - 1599 “Dėl paauglių svaiginimosi vaistais” išdėstytus teiginius ir papildė, kad receptiniams vaistams priskiriami vaistai, kurie atitinka Farmacijos įstatymo (Žin., 2006, Nr. 78-3056) 10 straipsnyje nurodytus kriterijus, tarp jų vaistai, kurie: 1) dažnai ir labai dideliu mastu vartojami netinkamai ir todėl gali kelti tiesioginį ar netiesioginį pavojų sveikatai; 2) netinkamai vartojami gali kelti didelį piktnaudžiavimo pavojų, sukelti priklausomybę arba gali būti vartojami neteisėtais tikslais.  </w:t>
      </w:r>
    </w:p>
    <w:p w:rsidR="00626711" w:rsidRPr="00F94DD1" w:rsidRDefault="00626711" w:rsidP="00626711">
      <w:pPr>
        <w:pStyle w:val="Betarp"/>
        <w:jc w:val="both"/>
      </w:pPr>
      <w:r w:rsidRPr="00F94DD1">
        <w:t xml:space="preserve">Viceministrė nurodė, kad jeigu būtų nustatyta, kad nereceptinis vaistas dažnai ir labai dideliu mastu vartojamas netinkamai ir todėl gali kelti tiesioginį ar netiesioginį pavojų sveikatai ar netinkamai vartojamas gali kelti didelį piktnaudžiavimo pavojų, sukelti priklausomybę, arba gali būti vartojami neteisėtais tikslais, ar atitiktų kitus Farmacijos įstatymo 10 straipsnyje nurodytus kriterijus, Valstybinė vaistų kontrolės tarnyba prie Sveikatos apsaugos ministerijos, vadovaudamasi Farmacijos  įstatymo 9 straipsnio 8 dalimi, turėtų svarstyti galimybę pakeisti šio vaisto klasifikavimo grupę ir priskirti minėtą vaistą receptiniams vaistams. Vaistai, kurių sudėtyje yra narkotinių ir psichotropinių medžiagų, įrašytų į Lietuvos Respublikos sveikatos apsaugos ministro tvirtinamų Narkotinių ir psichotropinių medžiagų sąrašų II ir III sąrašą, priskiriami receptiniams vaistams. </w:t>
      </w:r>
    </w:p>
    <w:p w:rsidR="00626711" w:rsidRPr="00F94DD1" w:rsidRDefault="00626711" w:rsidP="00626711">
      <w:pPr>
        <w:pStyle w:val="Betarp"/>
        <w:jc w:val="both"/>
      </w:pPr>
      <w:r w:rsidRPr="00F94DD1">
        <w:lastRenderedPageBreak/>
        <w:t xml:space="preserve">Lietuvos Respublikos sveikatos apsaugos ministerija pažymėjo, kad Valstybinė medicininė audito inspekcija, įvertinusi siūlymą ( red. - Lietuvos Respublikos Seimo Narkomanijos ir alkoholizmo prevencijos komisijos) inicijuoti medicininį auditą dėl Sveikatos apsaugos ministerijos sistemoje narkotinių ir psichotropinių medžiagų skyrimo ir medicininių receptų išrašymo vaikams teisėtumo bei pagrįstumo, svarstys galimybę “atlikti planines kontroles  dėl narkotinių ir psichotropinių medžiagų skyrimo pagrįstumo”. </w:t>
      </w:r>
    </w:p>
    <w:p w:rsidR="00626711" w:rsidRPr="00F94DD1" w:rsidRDefault="00626711" w:rsidP="00626711">
      <w:pPr>
        <w:pStyle w:val="Betarp"/>
        <w:jc w:val="both"/>
      </w:pPr>
      <w:r w:rsidRPr="00F94DD1">
        <w:t>L.e. Valstybinė medicininė audito inspekcijos viršininkės pareigas Jolantos  Strazdienės  Komisijai pateikta informacija, kad 2009 - 2010 metais planinės kontrolės dėl Sveikatos apsaugos ministerijos sistemoje narkotinių ir psichotropinių medžiagų skyrimo ir medicininių receptų išrašymo vaikams teisėtumo bei pagrįstumo nebuvo atliekamos.</w:t>
      </w:r>
    </w:p>
    <w:p w:rsidR="00626711" w:rsidRPr="00F94DD1" w:rsidRDefault="00626711" w:rsidP="00626711">
      <w:pPr>
        <w:pStyle w:val="Betarp"/>
        <w:jc w:val="both"/>
      </w:pPr>
      <w:r w:rsidRPr="00F94DD1">
        <w:t>Pažymėtina, kad 2008 metais Lietuvos Respublikos Seimo Narkomanijos ir alkoholizmo prevencijos komisija analizavo vaikų apsinuodijimus narkotikais pagal nelaimingą atsitikimą sukėlusią medžiagą ir buvo nustatyta, kad asmenų, iki 18 m, amžiaus grupėje vyravo apsinuodijimai neįvardintu narkotiku (T40), sintetiniais narkotikais (T40.4) bei nepatikslintomis narkotinėmis medžiagomis (T40.6).</w:t>
      </w:r>
    </w:p>
    <w:p w:rsidR="00626711" w:rsidRPr="00F94DD1" w:rsidRDefault="00626711" w:rsidP="00626711">
      <w:pPr>
        <w:pStyle w:val="Betarp"/>
        <w:ind w:firstLine="720"/>
        <w:jc w:val="both"/>
      </w:pPr>
      <w:r w:rsidRPr="00F94DD1">
        <w:t xml:space="preserve"> Todėl Lietuvos Respublikos Seimo Narkomanijos ir alkoholizmo prevencijos komisija 2008 metais Lietuvos Respublikos Vyriausybei pasiūlė:</w:t>
      </w:r>
    </w:p>
    <w:p w:rsidR="00626711" w:rsidRPr="00F94DD1" w:rsidRDefault="00626711" w:rsidP="00626711">
      <w:pPr>
        <w:pStyle w:val="Betarp"/>
        <w:ind w:firstLine="720"/>
        <w:jc w:val="both"/>
      </w:pPr>
      <w:r w:rsidRPr="00F94DD1">
        <w:t>1.Sukurti Lietuvoje visoms institucijoms vieningą sistemą kaupti, identifikuoti ir sisteminti visus duomenis pagal statistinės apskaitos formas apie apsinuodijusių asmenų ir apsinuodijimų alkoholiu, narkotinėmis, psichotropinėmis ir kitomis nuodingomis medžiagomis, bei apie asmenų, priklausomų nuo alkoholio, narkotinių ir psichotropinių medžiagų, skaičių, įtraukiant į vieningą informacijos sistemą ir statistiką visose gydymo įstaigose ir anonimiškai gydomus asmenis.</w:t>
      </w:r>
    </w:p>
    <w:p w:rsidR="00626711" w:rsidRPr="00F94DD1" w:rsidRDefault="00626711" w:rsidP="00626711">
      <w:pPr>
        <w:pStyle w:val="Betarp"/>
        <w:ind w:firstLine="720"/>
        <w:jc w:val="both"/>
      </w:pPr>
      <w:r w:rsidRPr="00F94DD1">
        <w:t>2.Įpareigoti Sveikatos apsaugos ministeriją užtikrinti tinkamą aprūpinimą asmens sveikatos priežiūros ir gydymo įstaigų laboratorijas diagnostine aparatūra, kuri identifikuotų paciento kraujyje, šlapime apsinuodijimą sukeliančias medžiagas.</w:t>
      </w:r>
    </w:p>
    <w:p w:rsidR="00626711" w:rsidRPr="00F94DD1" w:rsidRDefault="00626711" w:rsidP="00626711">
      <w:pPr>
        <w:pStyle w:val="Betarp"/>
        <w:ind w:firstLine="720"/>
        <w:jc w:val="both"/>
      </w:pPr>
      <w:r w:rsidRPr="00F94DD1">
        <w:t>3. Iki 2008 m. rugsėjo 1 d. įvertinti situaciją, ar gydymo ir reabilitacijos paslaugų prieinamumas vaikams, piktnaudžiaujantiems alkoholiu, narkotinėmis ar kitomis psichotropinėmis medžiagomis atitinka šiandienos poreikius bei išanalizuoti, kiek  gydymo ir reabilitacijos vietų ar įstaigų reikės ateityje.</w:t>
      </w:r>
    </w:p>
    <w:p w:rsidR="00626711" w:rsidRPr="00F94DD1" w:rsidRDefault="00626711" w:rsidP="00626711">
      <w:pPr>
        <w:pStyle w:val="Betarp"/>
        <w:ind w:firstLine="720"/>
        <w:jc w:val="both"/>
      </w:pPr>
      <w:r w:rsidRPr="00F94DD1">
        <w:t>4. Įpareigoti Narkotikų kontrolės departamentą prie Lietuvos Respublikos Vyriausybės parengti ir įgyvendinti prevencinį projektą visuomenei ir ypač tėvams, teikiantį jiems išsamias žinias apie alkoholio, tabako, narkotinių ir psichotropinių medžiagų vartojimo riziką, pasekmes bei aktyviai įtraukiantį visuomenę ir ypač tėvus į narkomanijos prevencijos darbą.</w:t>
      </w:r>
    </w:p>
    <w:p w:rsidR="00626711" w:rsidRPr="00F94DD1" w:rsidRDefault="00626711" w:rsidP="00626711">
      <w:pPr>
        <w:pStyle w:val="Betarp"/>
        <w:jc w:val="both"/>
        <w:rPr>
          <w:color w:val="FF0000"/>
        </w:rPr>
      </w:pPr>
      <w:r w:rsidRPr="00F94DD1">
        <w:t xml:space="preserve">Lietuvos Respublikos Seimo Narkomanijos ir alkoholizmo prevencijos komisija 2009 metais tyrusi “Paauglių svaiginimosi vaistais, alkoholiu, narkotinėmis ir psichotropinėmis medžiagomis ir apsinuodijimų jais”  ir “Dėl efektyvios kompleksinės pagalbos vaikams, sergantiems priklausomybės ligomis sistemos sukūrimo” klausimus, apibendrinusi Komisijoje gautą informaciją nustatė, kad didžioji dauguma narkotinėmis ir psichotropinėmis medžiagomis apsinuodijusių asmenų buvo gydyti stacionarines paslaugas teikiančiose ASPĮ. Dalies apsinuodijimų  negalima identifikuoti, nes nenustatytos medžiagos. </w:t>
      </w:r>
      <w:r w:rsidRPr="00F94DD1">
        <w:rPr>
          <w:bCs/>
        </w:rPr>
        <w:t>91 proc. vaikų, apsinuodijusių psichiką veikiančiomis medžiagomis, buvo sulaukę 13 metų.</w:t>
      </w:r>
      <w:r w:rsidRPr="00F94DD1">
        <w:t xml:space="preserve"> Jaunesnių nei 10 metų amžiaus (4 atv.) vaikų apsinuodijimų atvejus reikėtų sieti ne su tiksliniu narkotinių medžiagų vartojimu, bet su nesaugia aplinka. T.y. psichiką veikiančios medžiagos buvo prieinamos vaikams jiems įprastoje aplinkoje, nes mažai tikėtina, jog 1- 9 m. amžiaus vaikai galėtų savarankiškai įsigyti Lietuvoje draudžiamų medžiagų. Analizuojant priklausomybę kitoms psichiką veikiančioms medžiagoms, 2007 m. padaugėjo asmenų į asmens sveikatos priežiūros įstaigas (toliau – ASPĮ) besikreipusių tik dėl priklausomybės raminančioms (F13) ir lakioms (F18) medžiagoms. Dėl žalingo kitų psichiką veikiančių medžiagų vartojimo kreipimosi atvejų sumažėjo. </w:t>
      </w:r>
      <w:r w:rsidRPr="00F94DD1">
        <w:rPr>
          <w:bCs/>
        </w:rPr>
        <w:t>Didžioji dauguma (daugiau nei 97 proc.) psichiką veikiančiomis medžiagomis piktnaudžiaujančių vaikų yra 13-18 metų amžiaus.</w:t>
      </w:r>
      <w:r w:rsidRPr="00F94DD1">
        <w:t xml:space="preserve"> Valstybinės ligonių kasos duomenimis 2007 m. dviems vaikams, </w:t>
      </w:r>
      <w:r w:rsidRPr="00F94DD1">
        <w:rPr>
          <w:b/>
          <w:bCs/>
        </w:rPr>
        <w:t>jaunesniems nei 10 m.</w:t>
      </w:r>
      <w:r w:rsidRPr="00F94DD1">
        <w:t xml:space="preserve"> amžiaus, stacionarines paslaugas teikiančiose ASPĮ buvo diagnozuota priklausomybė raminančioms medžiagoms ir alkoholiui. Atsižvelgus į psichikos ir elgesio sutrikimų diagnostikos ypatumus (šiuos sutrikimus, kaip ilgalaikio psichiką veikiančių medžiagų vartojimo pasekmę, diagnozuoja psichiatrijos specialistai) yra mažai tikėtina, jog duomenys apie vaikų, jaunesnių nei 10 m., priklausomybę nuo psichiką veikiančių medžiagų yra tikslūs.</w:t>
      </w:r>
      <w:r w:rsidRPr="00F94DD1">
        <w:rPr>
          <w:color w:val="FF0000"/>
        </w:rPr>
        <w:t xml:space="preserve"> </w:t>
      </w:r>
    </w:p>
    <w:p w:rsidR="00626711" w:rsidRPr="00F94DD1" w:rsidRDefault="00626711" w:rsidP="00626711">
      <w:pPr>
        <w:pStyle w:val="Betarp"/>
        <w:jc w:val="both"/>
      </w:pPr>
      <w:r w:rsidRPr="00F94DD1">
        <w:t>Psichikos ir elgesio sutrikimai vartojant psichiką veikiančias medžiagas pagal vaikų amžių:</w:t>
      </w:r>
    </w:p>
    <w:p w:rsidR="00626711" w:rsidRPr="00C301EA" w:rsidRDefault="00626711" w:rsidP="00626711">
      <w:pPr>
        <w:jc w:val="both"/>
        <w:rPr>
          <w:color w:val="3366FF"/>
        </w:rPr>
      </w:pPr>
    </w:p>
    <w:p w:rsidR="00626711" w:rsidRPr="00C301EA" w:rsidRDefault="00626711" w:rsidP="00626711">
      <w:pPr>
        <w:jc w:val="both"/>
      </w:pPr>
      <w:r>
        <w:rPr>
          <w:noProof/>
          <w:lang w:eastAsia="lt-LT"/>
        </w:rPr>
        <w:lastRenderedPageBreak/>
        <w:drawing>
          <wp:inline distT="0" distB="0" distL="0" distR="0">
            <wp:extent cx="5257800" cy="2447925"/>
            <wp:effectExtent l="0" t="0" r="0" b="0"/>
            <wp:docPr id="113" name="Diagrama 1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rsidR="00626711" w:rsidRPr="00C301EA" w:rsidRDefault="00626711" w:rsidP="00626711">
      <w:pPr>
        <w:jc w:val="both"/>
      </w:pPr>
      <w:r w:rsidRPr="00C301EA">
        <w:rPr>
          <w:i/>
          <w:iCs/>
        </w:rPr>
        <w:t xml:space="preserve"> </w:t>
      </w:r>
    </w:p>
    <w:p w:rsidR="00626711" w:rsidRPr="00C301EA" w:rsidRDefault="00626711" w:rsidP="00626711">
      <w:pPr>
        <w:jc w:val="both"/>
      </w:pPr>
      <w:r w:rsidRPr="00C301EA">
        <w:tab/>
      </w:r>
      <w:r w:rsidRPr="00C301EA">
        <w:rPr>
          <w:lang w:val="en-US"/>
        </w:rPr>
        <w:tab/>
      </w:r>
      <w:r w:rsidRPr="00C301EA">
        <w:t xml:space="preserve">Sveikatos apsaugos ministerija 2008 11 10 raštu Nr. 10-(01-22)-6686 “Dėl paauglių svaiginimosi vaistais” pateikė informaciją, kad Valstybinio aplinkos sveikatos centro duomenimis, pagal apsinuodijimų, ištirtų 2004 – 2007 metais, analizės duomenis, paskutiniaisiais metais stebimas apsinuodijimų skaičiaus mažėjimas. </w:t>
      </w:r>
    </w:p>
    <w:p w:rsidR="00626711" w:rsidRPr="00C301EA" w:rsidRDefault="00626711" w:rsidP="00626711">
      <w:pPr>
        <w:jc w:val="both"/>
      </w:pPr>
      <w:r w:rsidRPr="00C301EA">
        <w:t>Pateikiamas, vaikų, apsinuodijusių medikamentais, skaičius 2004 – 2007 m.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1701"/>
        <w:gridCol w:w="1701"/>
        <w:gridCol w:w="1843"/>
        <w:gridCol w:w="1417"/>
        <w:gridCol w:w="1280"/>
      </w:tblGrid>
      <w:tr w:rsidR="00626711" w:rsidRPr="00C301EA" w:rsidTr="004F7425">
        <w:tc>
          <w:tcPr>
            <w:tcW w:w="1526" w:type="dxa"/>
          </w:tcPr>
          <w:p w:rsidR="00626711" w:rsidRPr="00C301EA" w:rsidRDefault="00626711" w:rsidP="004F7425">
            <w:pPr>
              <w:jc w:val="both"/>
            </w:pPr>
            <w:r w:rsidRPr="00C301EA">
              <w:t>Vaikų grupė</w:t>
            </w:r>
          </w:p>
        </w:tc>
        <w:tc>
          <w:tcPr>
            <w:tcW w:w="1701" w:type="dxa"/>
          </w:tcPr>
          <w:p w:rsidR="00626711" w:rsidRPr="00C301EA" w:rsidRDefault="00626711" w:rsidP="004F7425">
            <w:pPr>
              <w:jc w:val="both"/>
            </w:pPr>
            <w:r w:rsidRPr="00C301EA">
              <w:t xml:space="preserve">2004 m. </w:t>
            </w:r>
          </w:p>
        </w:tc>
        <w:tc>
          <w:tcPr>
            <w:tcW w:w="1701" w:type="dxa"/>
          </w:tcPr>
          <w:p w:rsidR="00626711" w:rsidRPr="00C301EA" w:rsidRDefault="00626711" w:rsidP="004F7425">
            <w:pPr>
              <w:jc w:val="both"/>
            </w:pPr>
            <w:r w:rsidRPr="00C301EA">
              <w:t xml:space="preserve">2005 m. </w:t>
            </w:r>
          </w:p>
        </w:tc>
        <w:tc>
          <w:tcPr>
            <w:tcW w:w="1843" w:type="dxa"/>
          </w:tcPr>
          <w:p w:rsidR="00626711" w:rsidRPr="00C301EA" w:rsidRDefault="00626711" w:rsidP="004F7425">
            <w:pPr>
              <w:jc w:val="both"/>
            </w:pPr>
            <w:r w:rsidRPr="00C301EA">
              <w:t xml:space="preserve">2006 m. </w:t>
            </w:r>
          </w:p>
        </w:tc>
        <w:tc>
          <w:tcPr>
            <w:tcW w:w="1417" w:type="dxa"/>
          </w:tcPr>
          <w:p w:rsidR="00626711" w:rsidRPr="00C301EA" w:rsidRDefault="00626711" w:rsidP="004F7425">
            <w:pPr>
              <w:jc w:val="both"/>
            </w:pPr>
            <w:r w:rsidRPr="00C301EA">
              <w:t xml:space="preserve">2007 m. </w:t>
            </w:r>
          </w:p>
        </w:tc>
        <w:tc>
          <w:tcPr>
            <w:tcW w:w="1280" w:type="dxa"/>
          </w:tcPr>
          <w:p w:rsidR="00626711" w:rsidRPr="00C301EA" w:rsidRDefault="00626711" w:rsidP="004F7425">
            <w:pPr>
              <w:jc w:val="both"/>
            </w:pPr>
          </w:p>
        </w:tc>
      </w:tr>
      <w:tr w:rsidR="00626711" w:rsidRPr="00C301EA" w:rsidTr="004F7425">
        <w:tc>
          <w:tcPr>
            <w:tcW w:w="1526" w:type="dxa"/>
          </w:tcPr>
          <w:p w:rsidR="00626711" w:rsidRPr="00C301EA" w:rsidRDefault="00626711" w:rsidP="004F7425">
            <w:pPr>
              <w:jc w:val="both"/>
            </w:pPr>
            <w:r w:rsidRPr="00C301EA">
              <w:t xml:space="preserve">8–14 metų  </w:t>
            </w:r>
          </w:p>
        </w:tc>
        <w:tc>
          <w:tcPr>
            <w:tcW w:w="1701" w:type="dxa"/>
          </w:tcPr>
          <w:p w:rsidR="00626711" w:rsidRPr="00C301EA" w:rsidRDefault="00626711" w:rsidP="004F7425">
            <w:pPr>
              <w:jc w:val="both"/>
            </w:pPr>
            <w:r w:rsidRPr="00C301EA">
              <w:t>97</w:t>
            </w:r>
          </w:p>
        </w:tc>
        <w:tc>
          <w:tcPr>
            <w:tcW w:w="1701" w:type="dxa"/>
          </w:tcPr>
          <w:p w:rsidR="00626711" w:rsidRPr="00C301EA" w:rsidRDefault="00626711" w:rsidP="004F7425">
            <w:pPr>
              <w:jc w:val="both"/>
            </w:pPr>
            <w:r w:rsidRPr="00C301EA">
              <w:t>98</w:t>
            </w:r>
          </w:p>
        </w:tc>
        <w:tc>
          <w:tcPr>
            <w:tcW w:w="1843" w:type="dxa"/>
          </w:tcPr>
          <w:p w:rsidR="00626711" w:rsidRPr="00C301EA" w:rsidRDefault="00626711" w:rsidP="004F7425">
            <w:pPr>
              <w:jc w:val="both"/>
            </w:pPr>
            <w:r w:rsidRPr="00C301EA">
              <w:t>106</w:t>
            </w:r>
          </w:p>
        </w:tc>
        <w:tc>
          <w:tcPr>
            <w:tcW w:w="1417" w:type="dxa"/>
          </w:tcPr>
          <w:p w:rsidR="00626711" w:rsidRPr="00C301EA" w:rsidRDefault="00626711" w:rsidP="004F7425">
            <w:pPr>
              <w:jc w:val="both"/>
            </w:pPr>
            <w:r w:rsidRPr="00C301EA">
              <w:t>100</w:t>
            </w:r>
          </w:p>
        </w:tc>
        <w:tc>
          <w:tcPr>
            <w:tcW w:w="1280" w:type="dxa"/>
          </w:tcPr>
          <w:p w:rsidR="00626711" w:rsidRPr="00C301EA" w:rsidRDefault="00626711" w:rsidP="004F7425">
            <w:pPr>
              <w:jc w:val="both"/>
            </w:pPr>
          </w:p>
        </w:tc>
      </w:tr>
      <w:tr w:rsidR="00626711" w:rsidRPr="00C301EA" w:rsidTr="004F7425">
        <w:tc>
          <w:tcPr>
            <w:tcW w:w="1526" w:type="dxa"/>
          </w:tcPr>
          <w:p w:rsidR="00626711" w:rsidRPr="00C301EA" w:rsidRDefault="00626711" w:rsidP="004F7425">
            <w:pPr>
              <w:jc w:val="both"/>
            </w:pPr>
            <w:r w:rsidRPr="00C301EA">
              <w:t>15-17 metų</w:t>
            </w:r>
          </w:p>
        </w:tc>
        <w:tc>
          <w:tcPr>
            <w:tcW w:w="1701" w:type="dxa"/>
          </w:tcPr>
          <w:p w:rsidR="00626711" w:rsidRPr="00C301EA" w:rsidRDefault="00626711" w:rsidP="004F7425">
            <w:pPr>
              <w:jc w:val="both"/>
            </w:pPr>
            <w:r w:rsidRPr="00C301EA">
              <w:t>145</w:t>
            </w:r>
          </w:p>
        </w:tc>
        <w:tc>
          <w:tcPr>
            <w:tcW w:w="1701" w:type="dxa"/>
          </w:tcPr>
          <w:p w:rsidR="00626711" w:rsidRPr="00C301EA" w:rsidRDefault="00626711" w:rsidP="004F7425">
            <w:pPr>
              <w:jc w:val="both"/>
            </w:pPr>
            <w:r w:rsidRPr="00C301EA">
              <w:t>202</w:t>
            </w:r>
          </w:p>
        </w:tc>
        <w:tc>
          <w:tcPr>
            <w:tcW w:w="1843" w:type="dxa"/>
          </w:tcPr>
          <w:p w:rsidR="00626711" w:rsidRPr="00C301EA" w:rsidRDefault="00626711" w:rsidP="004F7425">
            <w:pPr>
              <w:jc w:val="both"/>
            </w:pPr>
            <w:r w:rsidRPr="00C301EA">
              <w:t>221</w:t>
            </w:r>
          </w:p>
        </w:tc>
        <w:tc>
          <w:tcPr>
            <w:tcW w:w="1417" w:type="dxa"/>
          </w:tcPr>
          <w:p w:rsidR="00626711" w:rsidRPr="00C301EA" w:rsidRDefault="00626711" w:rsidP="004F7425">
            <w:pPr>
              <w:jc w:val="both"/>
            </w:pPr>
            <w:r w:rsidRPr="00C301EA">
              <w:t>167</w:t>
            </w:r>
          </w:p>
        </w:tc>
        <w:tc>
          <w:tcPr>
            <w:tcW w:w="1280" w:type="dxa"/>
          </w:tcPr>
          <w:p w:rsidR="00626711" w:rsidRPr="00C301EA" w:rsidRDefault="00626711" w:rsidP="004F7425">
            <w:pPr>
              <w:jc w:val="both"/>
            </w:pPr>
          </w:p>
        </w:tc>
      </w:tr>
    </w:tbl>
    <w:p w:rsidR="00626711" w:rsidRPr="00C301EA" w:rsidRDefault="00626711" w:rsidP="00626711">
      <w:pPr>
        <w:jc w:val="both"/>
      </w:pPr>
    </w:p>
    <w:p w:rsidR="00626711" w:rsidRPr="00F94DD1" w:rsidRDefault="00626711" w:rsidP="00626711">
      <w:pPr>
        <w:pStyle w:val="Betarp"/>
        <w:jc w:val="both"/>
      </w:pPr>
      <w:r w:rsidRPr="00C301EA">
        <w:tab/>
      </w:r>
      <w:r w:rsidRPr="00F94DD1">
        <w:t xml:space="preserve">Be to, Sveikatos apsaugos ministerija nurodė, kad į vaistines yra tiekiami šie dekstrometorfano savo sudėtyje turintys vaistiniai preparatai: Actifed DM sirupas, Robitussin Antitussicum sirupas, Robitussin Junior sirupas, Theraflu FCC, Theraflu ND ir Theraflu NT milteliai, Daleron Cold tabletės, Gripex tabletės. Visi šie vaistiniai preparatai ir jų pakuotės atitinka reikalavimus nereceptiniams vaistams ir yra registruoti kaip nereceptiniai vaistiniai preparatai. Jie yra saugūs vartojant taip, kaip nurodyta pakuotės lapelyje. </w:t>
      </w:r>
    </w:p>
    <w:p w:rsidR="00626711" w:rsidRPr="00F94DD1" w:rsidRDefault="00626711" w:rsidP="00626711">
      <w:pPr>
        <w:pStyle w:val="Betarp"/>
        <w:jc w:val="both"/>
      </w:pPr>
      <w:r w:rsidRPr="00F94DD1">
        <w:tab/>
        <w:t xml:space="preserve">Vaistiniai preparatai alprazolamas, diazepamas, lorazepamas, temazepamas, triazolamas, zolpidemas yra įtraukti į Narkotinių ir pasichotropinių medžiagų sąrašų, patvirtintų Sveikatos apsaugos ministro 2000 m. sausio 6 d. įsakymu Nr. 5 ( Žin., 2000, Nr. 4-113), III sąrašą (psichotropinės medžiagos, leidžiamos naudoti medicinines tikslams). Tai yra receptiniai vaistiniai preparatai, kurių išrašymą ir pardavimą gyventojams reglamentuoja Taisyklės, pagal kurių 71 punktą “vaikams  iki 18 metų draudžiama išduoti (parduoti) vaistų, kuriais piktnaudžiaujant gali išsivystyti priklausomybė ar toksikomanija: narkotinių ir psichotropinių vaistų, narkotinių ir psichotropinių medžiagų pirmtakų (prekursorių), etanolio ir jo tirpalų, klonidino, antidepresantų, antihistamininių vaistų. Farmacijos specialistas turi teisę paprašyti, kad receptą pateikęs asmuo parodytų asmens dokumentą. </w:t>
      </w:r>
    </w:p>
    <w:p w:rsidR="00626711" w:rsidRPr="00F94DD1" w:rsidRDefault="00626711" w:rsidP="00626711">
      <w:pPr>
        <w:pStyle w:val="Betarp"/>
        <w:jc w:val="both"/>
      </w:pPr>
      <w:r w:rsidRPr="00F94DD1">
        <w:t xml:space="preserve">  </w:t>
      </w:r>
      <w:r w:rsidRPr="00F94DD1">
        <w:tab/>
        <w:t xml:space="preserve">Sveikatos apsaugos ministerija tirdama vaikų svaiginimąsi vaistais, turinčiais savo sudėtyje dekstrometorfano, įvertino vaistų pardavimo apimtis ir sergamumo gripu bei ūmiomis viršutinių kvėpavimo takų infekcijomis ryšį. </w:t>
      </w:r>
    </w:p>
    <w:p w:rsidR="00626711" w:rsidRPr="00F94DD1" w:rsidRDefault="00626711" w:rsidP="00626711">
      <w:pPr>
        <w:pStyle w:val="Betarp"/>
        <w:jc w:val="both"/>
      </w:pPr>
      <w:r w:rsidRPr="00F94DD1">
        <w:tab/>
        <w:t xml:space="preserve">Sveikatos apsaugos  ministerijos duomenimis 2006 m. ir 2007 m. buvo stebimas sergamumo rodiklių padidėjimas ūmiomis viršutinių kvėpavimo takų infekcijomis bei gripu žiemos- pavasario ir rudens laikotarpiu. Atitinkamai didėjo ir vaistinių preparatų, turinčių savo sudėtyje dekstrometorfano, pardavimų skaičius. </w:t>
      </w:r>
    </w:p>
    <w:p w:rsidR="00626711" w:rsidRPr="00F94DD1" w:rsidRDefault="00626711" w:rsidP="00626711">
      <w:pPr>
        <w:pStyle w:val="Betarp"/>
        <w:jc w:val="both"/>
      </w:pPr>
      <w:r w:rsidRPr="00F94DD1">
        <w:tab/>
        <w:t xml:space="preserve">Sveikatos apsaugos ministerija padarė išvadą, kad vaistų, turinčių savo sudėtyje   dekstrometorfano, pardavimų skaičius priklauso nuo sezoniškumo ir ligų protrūkio. </w:t>
      </w:r>
    </w:p>
    <w:p w:rsidR="00626711" w:rsidRPr="00F94DD1" w:rsidRDefault="00626711" w:rsidP="00626711">
      <w:pPr>
        <w:pStyle w:val="Betarp"/>
        <w:jc w:val="both"/>
      </w:pPr>
      <w:r w:rsidRPr="00F94DD1">
        <w:tab/>
        <w:t xml:space="preserve">Valstybinės vaistų kontrolės tarnybos prie Lietuvos Respublikos Sveikatos apsaugos ministerijos duomenimis narkotinės ir psichotropinės medžiagos klasifikuojamos pagal jų žalingą poveikį žmogaus sveikatai, kai jomis piktnaudžiaujama, ir pagal tai, ar jos gali būti vartojamos sveikatos priežiūros tikslams. </w:t>
      </w:r>
    </w:p>
    <w:p w:rsidR="00626711" w:rsidRPr="00F94DD1" w:rsidRDefault="00626711" w:rsidP="00626711">
      <w:pPr>
        <w:pStyle w:val="Betarp"/>
        <w:jc w:val="both"/>
      </w:pPr>
      <w:r w:rsidRPr="00F94DD1">
        <w:tab/>
        <w:t>Narkotinės ir psichotropinės medžiagos pagal joms taikomą kontrolės režimą, remiantis Lietuvos Respublikos tarptautinėmis sutartimis, klasifikuoja ir į sąrašus įrašo Lietuvos Respublikos Sveikatos apsaugos ministerija.</w:t>
      </w:r>
    </w:p>
    <w:p w:rsidR="00626711" w:rsidRPr="00F94DD1" w:rsidRDefault="00626711" w:rsidP="00626711">
      <w:pPr>
        <w:pStyle w:val="Betarp"/>
        <w:jc w:val="both"/>
      </w:pPr>
      <w:r w:rsidRPr="00F94DD1">
        <w:lastRenderedPageBreak/>
        <w:tab/>
        <w:t>Sudaromi trys narkotinių ir psichotropinių medžiagų sąrašai:</w:t>
      </w:r>
    </w:p>
    <w:p w:rsidR="00626711" w:rsidRPr="00F94DD1" w:rsidRDefault="00626711" w:rsidP="00626711">
      <w:pPr>
        <w:pStyle w:val="Betarp"/>
        <w:jc w:val="both"/>
      </w:pPr>
      <w:r w:rsidRPr="00F94DD1">
        <w:t xml:space="preserve">1) pirmąjį sąrašą sudaro augalai, narkotinės ir psichotropinės medžiagos, uždrausti vartoti sveikatos priežiūros tikslams dėl žalingų padarinių žmogaus sveikatai. </w:t>
      </w:r>
    </w:p>
    <w:p w:rsidR="00626711" w:rsidRPr="00F94DD1" w:rsidRDefault="00626711" w:rsidP="00626711">
      <w:pPr>
        <w:pStyle w:val="Betarp"/>
        <w:jc w:val="both"/>
      </w:pPr>
      <w:r w:rsidRPr="00F94DD1">
        <w:t xml:space="preserve">2) antrąjį sąrašą sudaro augalai,  narkotinės ir psichotropinės medžiagos, vartojami sveikatos priežiūros tikslams, žalingų padarinių, kai šiomis medžiagomis piktnaudžiaujama, labai pavojingi žmogaus sveikatai </w:t>
      </w:r>
    </w:p>
    <w:p w:rsidR="00626711" w:rsidRPr="00F94DD1" w:rsidRDefault="00626711" w:rsidP="00626711">
      <w:pPr>
        <w:pStyle w:val="Betarp"/>
        <w:jc w:val="both"/>
      </w:pPr>
      <w:r w:rsidRPr="00F94DD1">
        <w:t xml:space="preserve"> </w:t>
      </w:r>
      <w:r w:rsidRPr="00F94DD1">
        <w:tab/>
        <w:t xml:space="preserve">Pvz., 2006 metais tokių medžiagų  į Lietuvos Respubliką buvo importuota – </w:t>
      </w:r>
    </w:p>
    <w:p w:rsidR="00626711" w:rsidRPr="00F94DD1" w:rsidRDefault="00626711" w:rsidP="00626711">
      <w:pPr>
        <w:pStyle w:val="Betarp"/>
        <w:jc w:val="both"/>
      </w:pPr>
      <w:r w:rsidRPr="00F94DD1">
        <w:t xml:space="preserve">183, 066 kg.   Iš jų : Tramadol –153, 250 kg. </w:t>
      </w:r>
    </w:p>
    <w:p w:rsidR="00626711" w:rsidRPr="00F94DD1" w:rsidRDefault="00626711" w:rsidP="00626711">
      <w:pPr>
        <w:pStyle w:val="Betarp"/>
        <w:jc w:val="both"/>
      </w:pPr>
      <w:r w:rsidRPr="00F94DD1">
        <w:t>3) trečiąjį sąrašą sudaro augalai ir psichotropinės medžiagos, vartojami sveikatos priežiūros tikslams, dėl žalingų padarinių, kai  šiomis medžiagomis piktnaudžiaujama,  pavojingi žmogaus sveikatai.</w:t>
      </w:r>
    </w:p>
    <w:p w:rsidR="00626711" w:rsidRPr="00F94DD1" w:rsidRDefault="00626711" w:rsidP="00626711">
      <w:pPr>
        <w:pStyle w:val="Betarp"/>
        <w:jc w:val="both"/>
      </w:pPr>
      <w:r w:rsidRPr="00F94DD1">
        <w:tab/>
        <w:t xml:space="preserve">Pvz., Tokių medžiagų 2006 metais buvo importuota  - 807, 423 kg. Iš jų Diazepam- 107, 279 kg ir Bromazepam – 53, 665 kg, Oxazepam – 40, 339 kg.   </w:t>
      </w:r>
    </w:p>
    <w:p w:rsidR="00626711" w:rsidRPr="00F94DD1" w:rsidRDefault="00626711" w:rsidP="00626711">
      <w:pPr>
        <w:pStyle w:val="Betarp"/>
        <w:jc w:val="both"/>
      </w:pPr>
      <w:r w:rsidRPr="00F94DD1">
        <w:tab/>
        <w:t>Seimo Narkomanijos ir alkoholizmo prevencijos komisijoje nėra informacijos, ar 2007 - 2008 metais buvo atliekamas Sveikatos apsaugos ministerijos sistemoje narkotinių ir psichotropinių medžiagų vaistų skyrimo ir vartojimo vertinimas.</w:t>
      </w:r>
    </w:p>
    <w:p w:rsidR="00626711" w:rsidRPr="00F94DD1" w:rsidRDefault="00626711" w:rsidP="00626711">
      <w:pPr>
        <w:pStyle w:val="Betarp"/>
        <w:jc w:val="both"/>
        <w:rPr>
          <w:b/>
          <w:bCs/>
        </w:rPr>
      </w:pPr>
      <w:r w:rsidRPr="00F94DD1">
        <w:t xml:space="preserve"> </w:t>
      </w:r>
      <w:r w:rsidRPr="00F94DD1">
        <w:tab/>
        <w:t xml:space="preserve">Apibendrinusi informaciją, Komisija nustatė, kad </w:t>
      </w:r>
    </w:p>
    <w:p w:rsidR="00626711" w:rsidRPr="00F94DD1" w:rsidRDefault="00626711" w:rsidP="00626711">
      <w:pPr>
        <w:pStyle w:val="Betarp"/>
        <w:jc w:val="both"/>
        <w:rPr>
          <w:b/>
          <w:bCs/>
        </w:rPr>
      </w:pPr>
      <w:r w:rsidRPr="00F94DD1">
        <w:rPr>
          <w:b/>
          <w:bCs/>
        </w:rPr>
        <w:t>– vaikų apsinuodijimai  alkoholiu,  narkotinėmis ir psichotropinėmis medžiagomis ir tokie apsinuodijimai narkotikais ir haliucinogenais tarp vaikų yra dažnesni nei tarp sergančių priklausomybės ligomis;</w:t>
      </w:r>
    </w:p>
    <w:p w:rsidR="00626711" w:rsidRPr="00F94DD1" w:rsidRDefault="00626711" w:rsidP="00626711">
      <w:pPr>
        <w:pStyle w:val="Betarp"/>
        <w:jc w:val="both"/>
        <w:rPr>
          <w:b/>
          <w:bCs/>
        </w:rPr>
      </w:pPr>
      <w:r w:rsidRPr="00F94DD1">
        <w:rPr>
          <w:b/>
          <w:bCs/>
        </w:rPr>
        <w:t xml:space="preserve">– didžioji dauguma (daugiau nei 97 proc.) psichiką veikiančiomis medžiagomis piktnaudžiaujančių vaikų yra 13-18 metų amžiaus; </w:t>
      </w:r>
    </w:p>
    <w:p w:rsidR="00626711" w:rsidRPr="00F94DD1" w:rsidRDefault="00626711" w:rsidP="00626711">
      <w:pPr>
        <w:pStyle w:val="Betarp"/>
        <w:jc w:val="both"/>
        <w:rPr>
          <w:b/>
          <w:bCs/>
        </w:rPr>
      </w:pPr>
      <w:r w:rsidRPr="00F94DD1">
        <w:rPr>
          <w:b/>
          <w:bCs/>
        </w:rPr>
        <w:t>– 2007 m. dviems vaikams, jaunesniems nei 10 metų amžiaus, stacionarines paslaugas teikiančiose ASPĮ buvo diagnozuota prikalusomybė raminačioms medžiagoms ir alkoholiui.</w:t>
      </w:r>
    </w:p>
    <w:p w:rsidR="00626711" w:rsidRPr="00F94DD1" w:rsidRDefault="00626711" w:rsidP="00626711">
      <w:pPr>
        <w:pStyle w:val="Betarp"/>
        <w:jc w:val="both"/>
        <w:rPr>
          <w:lang w:val="en-US"/>
        </w:rPr>
      </w:pPr>
      <w:r w:rsidRPr="00F94DD1">
        <w:rPr>
          <w:b/>
          <w:bCs/>
        </w:rPr>
        <w:tab/>
      </w:r>
      <w:r w:rsidRPr="00F94DD1">
        <w:t xml:space="preserve">Komisija atsižvelgė į tai, kad </w:t>
      </w:r>
      <w:r w:rsidRPr="00F94DD1">
        <w:rPr>
          <w:lang w:val="en-US"/>
        </w:rPr>
        <w:t xml:space="preserve">Lietuvos Respublikos Vyriausybė patvirtino Vaikų, vartojančių psichiką veikiančias medžiagas, medicininės, psichologinės, socialinės reabilitacijos paslaugų teikimo koncepciją ir Ankstyvo vaikų (moksleivių) psichiką veikiančių medžiagų vartojimo nustatymo tvarką. Koncepcijoje pabrėžiama ankstyvoji intervencija, kurios tikslas – skatinti vaikus nevartoti psichiką veikiančių medžiagų, anksti nustatyti vaikus, vartojančius psichiką veikiančias medžiagas, ištirti jų sveikatos ir socialinę būklę, numatyti ir įgyvendinti pagalbos priemones. Ankstyvo vaikų (moksleivių) psichiką veikiančių medžiagų vartojimo nustatymo tvarkoje reglamentuojama vaikų, vartojančių narkotines, psichotropines, kitas psichiką veikiančias medžiagas, nustatymo organizavimą pradinėse pagrindinėse, vidurinėse, profesinėse mokyklose, vaikų globos įstaigose ir viešosiose vietose. </w:t>
      </w:r>
    </w:p>
    <w:p w:rsidR="00626711" w:rsidRPr="00F94DD1" w:rsidRDefault="00626711" w:rsidP="00626711">
      <w:pPr>
        <w:pStyle w:val="Betarp"/>
        <w:jc w:val="both"/>
      </w:pPr>
      <w:r w:rsidRPr="00F94DD1">
        <w:t>2009 metais Komisija priėjo išvados,  kad pasitvirtino, jog didžioji dauguma (daugiau nei 97 proc.) psichiką veikiančiomis medžiagomis piktnaudžiaujančių vaikų yra 13-18 metų amžiaus, todėl  būtinas Valstybinės medicininio audito inspekcijos  prie Sveikatos apsaugos ministerijos tyrimas ir vertinimas dėl 2007 – 2008 metais Sveikatos apsaugos ministerijos sistemoje narkotinių ir psichotropinių medžiagų skyrimo ir medicininių receptų išrašymo teisėtumo ir pagrįstumo ir sprendimu pasiūlė Lietuvos Respublikos Vyriausybei inicijuoti medicininį auditą dėl Sveikatos apsaugos ministerijos sistemoje narkotinių ir psichotropinių medžiagų skyrimo ir medicininių receptų išrašymo teisėtumo ir pagrįstumo bei narkotinių ir psichotropinių medžiagų skyrimo ir medicininių receptų išrašymo vaikams teisėtumo ir pagrįstumo.</w:t>
      </w:r>
    </w:p>
    <w:p w:rsidR="00626711" w:rsidRPr="00F94DD1" w:rsidRDefault="00626711" w:rsidP="00626711">
      <w:pPr>
        <w:pStyle w:val="Betarp"/>
        <w:jc w:val="both"/>
      </w:pPr>
      <w:r w:rsidRPr="00F94DD1">
        <w:t>Darytina išvada:</w:t>
      </w:r>
    </w:p>
    <w:p w:rsidR="00626711" w:rsidRPr="00F94DD1" w:rsidRDefault="00626711" w:rsidP="00626711">
      <w:pPr>
        <w:pStyle w:val="Betarp"/>
        <w:jc w:val="both"/>
      </w:pPr>
      <w:r w:rsidRPr="00F94DD1">
        <w:t>2009 - 2010 metais planinės kontrolės dėl Sveikatos apsaugos ministerijos sistemoje narkotinių ir psichotropinių medžiagų skyrimo ir medicininių receptų išrašymo vaikams teisėtumo bei pagrįstumo nebuvo atliekamos.</w:t>
      </w:r>
    </w:p>
    <w:p w:rsidR="00626711" w:rsidRPr="00F94DD1" w:rsidRDefault="00626711" w:rsidP="00626711">
      <w:pPr>
        <w:pStyle w:val="Betarp"/>
        <w:jc w:val="both"/>
      </w:pPr>
      <w:r w:rsidRPr="00F94DD1">
        <w:t>Lietuvos Respublikos Sveikatos apsaugos ministerija 2009 metais neinicijavo medicininio audito dėl Sveikatos apsaugos ministerijos sistemoje narkotinių ir psichotropinių medžiagų skyrimo ir medicininių receptų išrašymo teisėtumo ir pagrįstumo bei narkotinių ir psichotropinių medžiagų skyrimo ir medicininių receptų išrašymo vaikams teisėtumo ir pagrįstumo, nutaria priimti sprendimą</w:t>
      </w:r>
    </w:p>
    <w:p w:rsidR="00626711" w:rsidRPr="00F94DD1" w:rsidRDefault="00626711" w:rsidP="00626711">
      <w:pPr>
        <w:pStyle w:val="Betarp"/>
        <w:jc w:val="both"/>
        <w:rPr>
          <w:b/>
          <w:bCs/>
        </w:rPr>
      </w:pPr>
    </w:p>
    <w:p w:rsidR="00626711" w:rsidRPr="00F94DD1" w:rsidRDefault="00626711" w:rsidP="00626711">
      <w:pPr>
        <w:pStyle w:val="Betarp"/>
        <w:jc w:val="both"/>
        <w:rPr>
          <w:b/>
          <w:bCs/>
        </w:rPr>
      </w:pPr>
    </w:p>
    <w:p w:rsidR="00626711" w:rsidRPr="00F94DD1" w:rsidRDefault="00626711" w:rsidP="00626711">
      <w:pPr>
        <w:pStyle w:val="Betarp"/>
        <w:jc w:val="both"/>
        <w:rPr>
          <w:i/>
        </w:rPr>
      </w:pPr>
      <w:r w:rsidRPr="00F94DD1">
        <w:rPr>
          <w:b/>
          <w:bCs/>
          <w:i/>
        </w:rPr>
        <w:tab/>
        <w:t>6.Dėl suaugusiųjų asmenų, sergančių priklausomybės ligomis, gydymo ir šių paslaugų finansavimo 2010 metais</w:t>
      </w:r>
      <w:r>
        <w:rPr>
          <w:b/>
          <w:bCs/>
          <w:i/>
        </w:rPr>
        <w:t>.</w:t>
      </w:r>
      <w:r w:rsidRPr="00F94DD1">
        <w:rPr>
          <w:b/>
          <w:bCs/>
          <w:i/>
        </w:rPr>
        <w:t xml:space="preserve"> </w:t>
      </w:r>
    </w:p>
    <w:p w:rsidR="00626711" w:rsidRPr="00F94DD1" w:rsidRDefault="00626711" w:rsidP="00626711">
      <w:pPr>
        <w:pStyle w:val="Betarp"/>
        <w:jc w:val="both"/>
        <w:rPr>
          <w:bCs/>
        </w:rPr>
      </w:pPr>
    </w:p>
    <w:p w:rsidR="00626711" w:rsidRPr="00F94DD1" w:rsidRDefault="00626711" w:rsidP="00626711">
      <w:pPr>
        <w:pStyle w:val="Betarp"/>
        <w:jc w:val="both"/>
        <w:rPr>
          <w:bCs/>
        </w:rPr>
      </w:pPr>
      <w:r w:rsidRPr="00F94DD1">
        <w:rPr>
          <w:bCs/>
        </w:rPr>
        <w:tab/>
        <w:t xml:space="preserve"> </w:t>
      </w:r>
    </w:p>
    <w:p w:rsidR="00626711" w:rsidRPr="00F94DD1" w:rsidRDefault="00626711" w:rsidP="00626711">
      <w:pPr>
        <w:pStyle w:val="Betarp"/>
        <w:jc w:val="both"/>
      </w:pPr>
      <w:r w:rsidRPr="00F94DD1">
        <w:lastRenderedPageBreak/>
        <w:tab/>
        <w:t xml:space="preserve"> 2004 m. gruodžio mėn. Europos Vadovų Taryba vienbalsiai patvirtino 2005 – 2012 m. ES kovos su narkotikais strategiją, kurios tikslas – pasiekti didelį apsaugos, gerovės ir socialinės sanglaudos lygį vykdant narkotikų vartojimo prevenciją ir mažinant jį. </w:t>
      </w:r>
    </w:p>
    <w:p w:rsidR="00626711" w:rsidRPr="00F94DD1" w:rsidRDefault="00626711" w:rsidP="00626711">
      <w:pPr>
        <w:pStyle w:val="Betarp"/>
        <w:jc w:val="both"/>
      </w:pPr>
      <w:r w:rsidRPr="00F94DD1">
        <w:t xml:space="preserve">  </w:t>
      </w:r>
      <w:r w:rsidRPr="00F94DD1">
        <w:tab/>
        <w:t xml:space="preserve">Kovos su narkotikais strategijoje numatytas dviejų nuoseklių ketverių metų trukmės veiksmų planų pagrindas. </w:t>
      </w:r>
    </w:p>
    <w:p w:rsidR="00626711" w:rsidRPr="00F94DD1" w:rsidRDefault="00626711" w:rsidP="00626711">
      <w:pPr>
        <w:pStyle w:val="Betarp"/>
        <w:jc w:val="both"/>
      </w:pPr>
      <w:r w:rsidRPr="00F94DD1">
        <w:tab/>
      </w:r>
      <w:r w:rsidRPr="00F94DD1">
        <w:rPr>
          <w:bCs/>
        </w:rPr>
        <w:t>Pirmas</w:t>
      </w:r>
      <w:r w:rsidRPr="00F94DD1">
        <w:rPr>
          <w:b/>
          <w:bCs/>
        </w:rPr>
        <w:t xml:space="preserve"> </w:t>
      </w:r>
      <w:r w:rsidRPr="00F94DD1">
        <w:t xml:space="preserve">2005 – 2008 m. ES kovos su narkotikais veiksmų planas, numatė daugiau kaip 80 veiksmų, kuriais buvo siekiama koordinuoti pagrindines sritis, susijusias su neteisėtais narkotikais, įskaitant visuomenės sveikatą, teisėsaugą, muitinę ir kt. </w:t>
      </w:r>
    </w:p>
    <w:p w:rsidR="00626711" w:rsidRPr="00F94DD1" w:rsidRDefault="00626711" w:rsidP="00626711">
      <w:pPr>
        <w:pStyle w:val="Betarp"/>
        <w:jc w:val="both"/>
      </w:pPr>
      <w:r w:rsidRPr="00F94DD1">
        <w:tab/>
      </w:r>
      <w:r w:rsidRPr="00F94DD1">
        <w:rPr>
          <w:bCs/>
        </w:rPr>
        <w:t>Antras</w:t>
      </w:r>
      <w:r w:rsidRPr="00F94DD1">
        <w:rPr>
          <w:b/>
          <w:bCs/>
        </w:rPr>
        <w:t xml:space="preserve"> </w:t>
      </w:r>
      <w:r w:rsidRPr="00F94DD1">
        <w:t xml:space="preserve"> 2009 – 2012 m. ES kovos su narkotikais veiksmų planas numato 23 veiksmus ir 62 uždavinius, kad sumažinti gyventojų narkotikų vartojimą ir sumažinti socialinę žalą bei žalą sveikatai, kurią kelia nelegalių narkotikų vartojimas ir prekyba jais. Šio plano įžangoje konstatuojama, kad iš turimų duomenų galima spręsti, kad heroino, kanapių ir sintetinių narkotikų vartojimas stabilizavosi arba mažėja, tačiau kokaino vartojimas keliose valstybėse narėse auga. ES žmonių, vartojančių narkotikus arba vartojusių juos kurį laiką (nors kartą gyvenime bandžiusių arba vartojusių), skaičiai yra tokie: apie 70 mln. vartoja kanapes, 12 mln. vartoja kokainą, 9,5 mln. vartoja ekstazį ir 11 mln. vartoja amfetaminus, </w:t>
      </w:r>
      <w:r w:rsidRPr="00F94DD1">
        <w:rPr>
          <w:bCs/>
        </w:rPr>
        <w:t>tik 0,5 mln. gauna pakaitinį gydymą nuo heroino</w:t>
      </w:r>
      <w:r w:rsidRPr="00F94DD1">
        <w:t>.</w:t>
      </w:r>
    </w:p>
    <w:p w:rsidR="00626711" w:rsidRPr="00F94DD1" w:rsidRDefault="00626711" w:rsidP="00626711">
      <w:pPr>
        <w:pStyle w:val="Betarp"/>
        <w:jc w:val="both"/>
        <w:rPr>
          <w:bCs/>
        </w:rPr>
      </w:pPr>
      <w:r w:rsidRPr="00F94DD1">
        <w:rPr>
          <w:bCs/>
        </w:rPr>
        <w:tab/>
        <w:t xml:space="preserve"> 2009 – 2012 m. ES kovos su narkotikais veiksmų planą įgyvendinant, valstybės narės turi didinti priklausomybės nuo narkotikų gydymo ir reabilitacijos veiksmingumą, gerinant paslaugų pasiūlą, galimybę jomis naudotis ir jų kokybę; gerinti veiklos, skirtos mažinti narkotikų paklausą, kokybę ir veiksmingumą, atsižvelgiant į specifinius narkomanų poreikius pagal lytį, kultūrinius ypatumus, amžių ir kt.; suteikti galimybę naudotis sveikatos apsaugos paslaugomis kalėjimuose esantiems narkomanams, siekiant užkirsti kelią ir sumažinti narkotikų daromą žalą sveikatai; užtikrinti galimybę naudotis žalos mažinimo paslaugomis, kad sumažėtų ŽIV ir (ar) AIDS, hepatito C ir kitų su narkotikais susijusių per kraują užkrečiamų infekcinių ligų plitimas ir sumažėtų su narkotikais susijusių mirčių skaičius ES.   </w:t>
      </w:r>
    </w:p>
    <w:p w:rsidR="00626711" w:rsidRPr="00F94DD1" w:rsidRDefault="00626711" w:rsidP="00626711">
      <w:pPr>
        <w:pStyle w:val="Betarp"/>
        <w:jc w:val="both"/>
      </w:pPr>
      <w:r w:rsidRPr="00F94DD1">
        <w:tab/>
        <w:t>2009 – 2012 m. ES kovos su narkotikais veiksmų plane numatyta, kad valstybės narės turi toliau plėtoti ir įgyvendinti praktiniais duomenimis pagrįsto priklausomybės nuo  narkotikų gydymo būdus, kurie apimtų įvairius psichosocialinius ir farmakologinius metodus, atitinkančius narkomanų</w:t>
      </w:r>
      <w:r w:rsidRPr="00F94DD1">
        <w:rPr>
          <w:b/>
          <w:bCs/>
        </w:rPr>
        <w:t xml:space="preserve"> </w:t>
      </w:r>
      <w:r w:rsidRPr="00F94DD1">
        <w:t>poreikius (įskaitant atitinkamą gydymą, pritaikytą naujiems narkotikams arba vartojimo būdams). Plėtoti ir įgyvendinti reabilitacijos ir socialinės reintegracijos politiką ir paslaugas, pagrįstas geriausia patirtimi, kuri užkerta kelią recidyvams ir mažina socialinę atskirtį.  Plėtoti ir įgyvendinti kaliniams skirtas prevencijas, gydymo, žalos mažinimo ir reintegracijos paslaugas, kurios prilygtų paslaugoms, teikiamoms už kalėjimų ribų. Ypatingas dėmesys turi būti skiriamas tolesniam gydymui po išėjimo iš kalėjimo.</w:t>
      </w:r>
    </w:p>
    <w:p w:rsidR="00626711" w:rsidRPr="00F94DD1" w:rsidRDefault="00626711" w:rsidP="00626711">
      <w:pPr>
        <w:pStyle w:val="Betarp"/>
        <w:ind w:firstLine="720"/>
        <w:jc w:val="both"/>
      </w:pPr>
      <w:r w:rsidRPr="00F94DD1">
        <w:t xml:space="preserve"> Valstybės narės turės patvirtinti ir įgyvendinti metodine sistemą, kuri bus sukurta ir kurią patvirtins Europos Komisija. Šios sistemos pagrindu 2009 – 2012 m. ES kovos su narkotikais veiksmų plane yra numatyta, kad bus kontroliuojamas  narkotikų vartojimas, su narkotikais susijusios sveikatos problemos ir su narkotikais susijusių paslaugų  teikimas kalėjimuose. </w:t>
      </w:r>
    </w:p>
    <w:p w:rsidR="00626711" w:rsidRPr="00F94DD1" w:rsidRDefault="00626711" w:rsidP="00626711">
      <w:pPr>
        <w:pStyle w:val="Betarp"/>
        <w:ind w:firstLine="720"/>
        <w:jc w:val="both"/>
        <w:rPr>
          <w:bCs/>
        </w:rPr>
      </w:pPr>
      <w:r w:rsidRPr="00F94DD1">
        <w:t>2009 – 2010 metais</w:t>
      </w:r>
      <w:r w:rsidRPr="00F94DD1">
        <w:rPr>
          <w:bCs/>
        </w:rPr>
        <w:t xml:space="preserve"> Lietuvos Respublikos Seimo Narkomanijos ir alkoholizmo prevencijos komisija (toliau - Komisija) nagrinėjo: “Dėl paslaugų prieinamumo pagerinimo asmenims, esantiems laisvės atėmimo vietose, priklausomiems nuo alkoholizmo, narkotikų ir psichotropinių medžiagų vartojimo. Sprendimo būdai”,  “ Dėl UAB”Viltis” prekybos tinkle platinamų prekių ir internetiniuose puslapiuose “buzas.lt” bei “Amsterdamas” teikiamos informacijos apie galimai svaiginimuisi skirtas medžiagas”, “ Alkoholizmo situacija Lietuvoje”, “Pirminė sveikatos priežiūra asmenims, turintiems priklausomybes nuo narkotinių ir psichotropinių medžiagų bei alkoholio”, “Dėl neapdraustų suaugusiųjų asmenų, sergančių priklausomybės ligomis, gydymo ir šių paslaugų finansavimo 2010 metais”, “Dėl priklausomybės ligų reabilitacijos bendruomenių asociacijos kreipimosi “Dėl socialinės reabilitacijos paslaugų asmenims, sergantiems priklausomybės ligomis, organizavimo, teikimo bei finansavimo sistemos Lietuvoje parengimo”, “Dėl Valstybinės ŽIV/AIDS ir lytiškai plintančių infekcijų profilaktikos ir kontrolės 2009 – 2012 metų programos projekto” klausimus. </w:t>
      </w:r>
    </w:p>
    <w:p w:rsidR="00626711" w:rsidRPr="00F94DD1" w:rsidRDefault="00626711" w:rsidP="00626711">
      <w:pPr>
        <w:pStyle w:val="Betarp"/>
        <w:ind w:firstLine="720"/>
        <w:jc w:val="both"/>
      </w:pPr>
      <w:r w:rsidRPr="00F94DD1">
        <w:t xml:space="preserve">Sveikatos apsaugos ministerijos teigimu, sveikatos apsaugos politikos formavimui įtakos turi šalyje vykstantys procesai bei priimami sprendimai, taip pat Europos Sąjungos (toliau – ES) prioritetinių sričių (sveikatos, regioninės plėtros, socialinės politikos ir kt.) gairės. </w:t>
      </w:r>
    </w:p>
    <w:p w:rsidR="00626711" w:rsidRPr="00F94DD1" w:rsidRDefault="00626711" w:rsidP="00626711">
      <w:pPr>
        <w:pStyle w:val="Betarp"/>
        <w:ind w:firstLine="720"/>
        <w:jc w:val="both"/>
      </w:pPr>
      <w:r w:rsidRPr="00F94DD1">
        <w:t xml:space="preserve">Lietuva, kaip ES narė, dalyvauja rengiant ir derinant su ES reikalavimais Lietuvoje galiojančius sveikatos sistemos, farmacinės veiklos, vartotojų apsaugos bei teisių gynimo, maisto, reklamos, </w:t>
      </w:r>
      <w:r w:rsidRPr="00F94DD1">
        <w:rPr>
          <w:bCs/>
          <w:i/>
          <w:iCs/>
        </w:rPr>
        <w:t>narkotikų kontrolės,</w:t>
      </w:r>
      <w:r w:rsidRPr="00F94DD1">
        <w:t xml:space="preserve"> profesinių kvalifikacijų pripažinimo, profesinės sveikatos ir saugos </w:t>
      </w:r>
      <w:r w:rsidRPr="00F94DD1">
        <w:lastRenderedPageBreak/>
        <w:t xml:space="preserve">darbe ir kt. teisės aktus. Sveikatos politika formuojama, sveikatos priežiūros reformos tikslai ir uždaviniai nustatomi vadovaujantis sveikatos priežiūros sistemos baziniuose dokumentuose (Lietuvos nacionalinė sveikatos koncepcija, Lietuvos sveikatos programa), Pasaulio sveikatos organizacijos (toliau – PSO) Europos regiono sveikatos politikos XXI amžiui „Sveikata–21“ dokumente, ES Visuomenės sveikatos programoje 2001–2010 m., Bendrijos veiksmų visuomenės sveikatos srityje programoje (2003–2008 m.) išdėstytomis nuostatomis. Sėkmingai pritaikomos ET ir PSO rekomendacijos psichikos sveikatos, imunoprofilaktikos, </w:t>
      </w:r>
      <w:r w:rsidRPr="00F94DD1">
        <w:rPr>
          <w:b/>
          <w:bCs/>
          <w:i/>
          <w:iCs/>
        </w:rPr>
        <w:t>kovos su narkomanija</w:t>
      </w:r>
      <w:r w:rsidRPr="00F94DD1">
        <w:t>, AIDS ir kitose srityse.Lietuvos gyventojų sveikata turi tiesioginę įtaką nacionalinio ūkio plėtrai. Nuostata, kad visuomenės narių sveikatos būklė tiesiogiai lemia gyvenimo kokybę, darbo išteklių apimtį ir jų produktyvumą įtvirtinta Valstybės ilgalaikės raidos strategijoje, Lisabonos strategijos įgyvendinimo programoje ir kituose teisės aktuose.</w:t>
      </w:r>
    </w:p>
    <w:p w:rsidR="00626711" w:rsidRPr="00F94DD1" w:rsidRDefault="00626711" w:rsidP="00626711">
      <w:pPr>
        <w:pStyle w:val="Betarp"/>
        <w:ind w:firstLine="720"/>
        <w:jc w:val="both"/>
      </w:pPr>
      <w:r w:rsidRPr="00F94DD1">
        <w:rPr>
          <w:bCs/>
        </w:rPr>
        <w:t>Apibendrinus</w:t>
      </w:r>
      <w:r w:rsidRPr="00F94DD1">
        <w:t xml:space="preserve"> Komisijoje gautą informaciją dėl suaugusiųjų asmenų, sergančių priklausomybės ligomis, gydymo  nustatyta, kad </w:t>
      </w:r>
      <w:r w:rsidRPr="00F94DD1">
        <w:rPr>
          <w:rFonts w:eastAsia="Arial"/>
        </w:rPr>
        <w:t xml:space="preserve">Lietuvos Respublikos Seimas 2007 m. balandžio 3 d. nutarimu Nr. X-1070 “Dėl psichikos sveikatos strategijos patvirtinimo” patvirtino </w:t>
      </w:r>
      <w:r w:rsidRPr="00F94DD1">
        <w:rPr>
          <w:rFonts w:eastAsia="Arial"/>
          <w:bCs/>
        </w:rPr>
        <w:t>Psichikos sveikatos strategiją</w:t>
      </w:r>
      <w:r w:rsidRPr="00F94DD1">
        <w:rPr>
          <w:rFonts w:eastAsia="Arial"/>
        </w:rPr>
        <w:t xml:space="preserve"> (toliau – Psichikos strategija), kurioje pažymėtos stiprybės, silpnybės, galimybės ir grėsmės.</w:t>
      </w:r>
      <w:r w:rsidRPr="00F94DD1">
        <w:t> </w:t>
      </w:r>
    </w:p>
    <w:p w:rsidR="00626711" w:rsidRPr="004B6431" w:rsidRDefault="00626711" w:rsidP="00626711">
      <w:pPr>
        <w:pStyle w:val="Betarp"/>
        <w:ind w:firstLine="720"/>
        <w:jc w:val="both"/>
        <w:rPr>
          <w:bCs/>
        </w:rPr>
      </w:pPr>
      <w:r w:rsidRPr="00F94DD1">
        <w:t xml:space="preserve">Lietuvos Respublikos Seimas numatė tokias </w:t>
      </w:r>
      <w:r w:rsidRPr="00F94DD1">
        <w:rPr>
          <w:bCs/>
        </w:rPr>
        <w:t>stiprybes</w:t>
      </w:r>
      <w:r w:rsidRPr="00F94DD1">
        <w:t xml:space="preserve">: Lietuvoje yra įgyvendinama Lietuvos sveikatos programa, patvirtinta Lietuvos Respublikos Seimo 1998 m. liepos 2 d. nutarimu Nr. VIII-833 (Žin., 1998, Nr. </w:t>
      </w:r>
      <w:hyperlink r:id="rId159" w:history="1">
        <w:r w:rsidRPr="00F94DD1">
          <w:rPr>
            <w:rStyle w:val="Hipersaitas"/>
            <w:rFonts w:eastAsiaTheme="majorEastAsia"/>
          </w:rPr>
          <w:t>64-1842</w:t>
        </w:r>
      </w:hyperlink>
      <w:r w:rsidRPr="00F94DD1">
        <w:rPr>
          <w:color w:val="000000"/>
        </w:rPr>
        <w:t xml:space="preserve">), </w:t>
      </w:r>
      <w:r w:rsidRPr="00F94DD1">
        <w:t xml:space="preserve">bei konkrečių visuomenės sveikatos sričių strategijos ir programos; psichikos sveikatos priežiūra vykdoma pagal Lietuvos Respublikos sveikatos apsaugos ministerijos nustatytus prioritetus, o kaip sudedamoji visuomenės sveikatos dalis – ir pagal Lietuvos Respublikos Vyriausybės nustatytus prioritetus; Lietuvos aukštosiose mokyklose rengiami kvalifikuoti asmens ir visuomenės sveikatos specialistai;  sukurtas asmens ir visuomenės sveikatos priežiūros įstaigų tinklas; 2005 m. PSO Europos regiono sveikatos apsaugos ministrų konferencijoje Helsinkyje priimtoje Europos psichikos sveikatos apsaugos deklaracijoje ir Veiksmų plane 2005–2010 metams psichikos sveikatos priežiūra nurodyta kaip vienas iš svarbiausių prioritetų visose Europos valstybėse; Bendrijos veiksmų visuomenės sveikatos srityje programoje (2003–2008 m.), patvirtintoje 2002 m. rugsėjo 23 d. Europos Parlamento ir Tarybos sprendimu Nr. 1786/2002/EB, sveikata ir aukštas sveikatos apsaugos lygis nurodytas kaip Europos Sąjungos ir PSO prioritetas; Europos Komisijos 2005 m. spalio 14 d. patvirtinta Europos Sąjungos „Žalioji knyga“ (Europos Sąjungos psichikos sveikatos strategijos projektas), kurioje siūloma šiuolaikinėmis priemonėmis stiprinti visuomenės psichikos sveikatą, vykdyti savižudybių, prievartos, </w:t>
      </w:r>
      <w:r w:rsidRPr="004B6431">
        <w:rPr>
          <w:bCs/>
        </w:rPr>
        <w:t>priklausomybių</w:t>
      </w:r>
      <w:r w:rsidRPr="004B6431">
        <w:t xml:space="preserve"> ir </w:t>
      </w:r>
      <w:r w:rsidRPr="004B6431">
        <w:rPr>
          <w:bCs/>
        </w:rPr>
        <w:t>kitų visuomenės sveikatos problemų, tiesiogiai susijusių su psichikos sveikata, prevenciją, plėtoti sergančiųjų psichikos ligomis gydymo ir reabilitacijos bendruomenėse galimybes, įtraukiant į šį procesą jų šeimas.</w:t>
      </w:r>
    </w:p>
    <w:p w:rsidR="00626711" w:rsidRPr="00F94DD1" w:rsidRDefault="00626711" w:rsidP="00626711">
      <w:pPr>
        <w:pStyle w:val="Betarp"/>
        <w:ind w:firstLine="720"/>
        <w:jc w:val="both"/>
      </w:pPr>
      <w:r w:rsidRPr="00F94DD1">
        <w:rPr>
          <w:b/>
          <w:bCs/>
        </w:rPr>
        <w:t>Silpnybės</w:t>
      </w:r>
      <w:r w:rsidRPr="00F94DD1">
        <w:t xml:space="preserve"> yra tai, kad: tarp valstybės ir savivaldybių institucijų, dirbančių psichikos sveikatos priežiūros srityje, atotrūkis; nepakankamas asmens ir visuomenės sveikatos priežiūros paslaugų integravimas į pirminę sveikatos priežiūrą; nepakankamas sveikatos, socialinės apsaugos, švietimo, teisėsaugos sektorių bendradarbiavimas psichikos sveikatos priežiūros srityje; nepakankamas sveikatos programų ir moderniosios bendruomeninės psichikos sveikatos priežiūros finansavimas; nepakankamas valstybės ir savivaldybių sveikatos programų valdymas, koordinavimas, įgyvendinimo efektyvumo vertinimas; savivaldybių biudžetuose nenumatytas finansavimas psichikos sveikatos priežiūrai; nepakankamai išplėtota visuomenės informavimo psichikos sveikatos klausimais sistema; didelė psichikos sveikatos priežiūros institucionalizacija; nepakankamai išplėtotas kompleksinių bendruomeninių psichikos sveikatos priežiūros paslaugų tinklas, taip pat ir tarp sektorių; nepakankamas visuomenės pakantumas psichikos sutrikimų turintiems asmenims, didelė psichikos ligonių, jų šeimų ir psichikos sutrikimų stigmatizacija visuomenėje.</w:t>
      </w:r>
    </w:p>
    <w:p w:rsidR="00626711" w:rsidRPr="00F94DD1" w:rsidRDefault="00626711" w:rsidP="00626711">
      <w:pPr>
        <w:pStyle w:val="Betarp"/>
        <w:ind w:firstLine="720"/>
        <w:jc w:val="both"/>
      </w:pPr>
      <w:r w:rsidRPr="00F94DD1">
        <w:t xml:space="preserve">Buvo numatytos </w:t>
      </w:r>
      <w:r w:rsidRPr="00F94DD1">
        <w:rPr>
          <w:b/>
          <w:bCs/>
        </w:rPr>
        <w:t>galimybės</w:t>
      </w:r>
      <w:r w:rsidRPr="00F94DD1">
        <w:t>: aktyvus socialinės apsaugos, švietimo, teisėsaugos, kitų sektorių dalyvavimas psichikos sveikatos stiprinimo veikloje; didėjantis visuomenės pilietiškumas ir psichikos sveikatos reikšmės suvokimas; tolesnis specialistų rengimo ir profesinio tobulinimo psichikos sveikatos priežiūros srityje plėtojimas; naudojimasis Europos Sąjungos struktūrinių fondų ir kitų programų lėšomis; tarptautinio bendradarbiavimo psichikos sveikatos priežiūros srityje plėtojimas ir dalyvavimas tarptautinėse programose; naujų informacijos priemonių naudojimas informuojant visuomenę sveikos gyvensenos ir sveikatos stiprinimo klausimais; deinstitucionalizacijos ir destigmatizacijos pritaikymas.</w:t>
      </w:r>
    </w:p>
    <w:p w:rsidR="00626711" w:rsidRPr="00F94DD1" w:rsidRDefault="00626711" w:rsidP="00626711">
      <w:pPr>
        <w:pStyle w:val="Betarp"/>
        <w:ind w:firstLine="720"/>
        <w:jc w:val="both"/>
        <w:rPr>
          <w:b/>
          <w:bCs/>
        </w:rPr>
      </w:pPr>
      <w:r w:rsidRPr="00F94DD1">
        <w:t xml:space="preserve">Konstatuotos </w:t>
      </w:r>
      <w:r w:rsidRPr="00F94DD1">
        <w:rPr>
          <w:b/>
          <w:bCs/>
        </w:rPr>
        <w:t>grėsmės:</w:t>
      </w:r>
      <w:r w:rsidRPr="00F94DD1">
        <w:t xml:space="preserve"> nepakankamas Lietuvos Respublikos Vyriausybės programų finansavimas; </w:t>
      </w:r>
      <w:r w:rsidRPr="00F94DD1">
        <w:rPr>
          <w:b/>
          <w:bCs/>
        </w:rPr>
        <w:t xml:space="preserve">nepakankama socialinės apsaugos, švietimo, teisėsaugos, kitų sektorių veikla psichikos sveikatos priežiūros srityje, jų veiksmai nesuderinti tarpusavyje; kvalifikuotų </w:t>
      </w:r>
      <w:r w:rsidRPr="00F94DD1">
        <w:rPr>
          <w:b/>
          <w:bCs/>
        </w:rPr>
        <w:lastRenderedPageBreak/>
        <w:t xml:space="preserve">psichikos sveikatos priežiūros specialistų stoka, ypač rajonuose ir ypač psichologų, vaikų psichiatrų, psichoterapeutų; socialiniai ir ekonominiai skirtumai tarp regionų ir atskirų gyventojų socialinių grupių;  vaikų ir jaunimo gyvensenos blogėjimas. </w:t>
      </w:r>
    </w:p>
    <w:p w:rsidR="00626711" w:rsidRPr="00F94DD1" w:rsidRDefault="00626711" w:rsidP="00626711">
      <w:pPr>
        <w:pStyle w:val="Betarp"/>
        <w:ind w:firstLine="720"/>
        <w:jc w:val="both"/>
        <w:rPr>
          <w:b/>
        </w:rPr>
      </w:pPr>
      <w:r w:rsidRPr="00F94DD1">
        <w:rPr>
          <w:bCs/>
        </w:rPr>
        <w:t xml:space="preserve">Lietuvos Respublikos sveikatos apsaugos ministerija yra pasitvirtinusi šiuos strateginius </w:t>
      </w:r>
      <w:r w:rsidRPr="00F94DD1">
        <w:rPr>
          <w:b/>
        </w:rPr>
        <w:t xml:space="preserve">tikslus: </w:t>
      </w:r>
    </w:p>
    <w:p w:rsidR="00626711" w:rsidRPr="00F94DD1" w:rsidRDefault="00626711" w:rsidP="00626711">
      <w:pPr>
        <w:pStyle w:val="Betarp"/>
        <w:jc w:val="both"/>
      </w:pPr>
      <w:r w:rsidRPr="00F94DD1">
        <w:t>saugoti ir stiprinti  sveikatą, vykdant visuomenės sveikatos priežiūrą;</w:t>
      </w:r>
    </w:p>
    <w:p w:rsidR="00626711" w:rsidRPr="00F94DD1" w:rsidRDefault="00626711" w:rsidP="00626711">
      <w:pPr>
        <w:pStyle w:val="Betarp"/>
        <w:jc w:val="both"/>
      </w:pPr>
      <w:r w:rsidRPr="00F94DD1">
        <w:t>siekti, kad pacientams būtų laiku teikiama kokybiška, saugi ir prieinama sveikatos priežiūra;</w:t>
      </w:r>
    </w:p>
    <w:p w:rsidR="00626711" w:rsidRPr="00F94DD1" w:rsidRDefault="00626711" w:rsidP="00626711">
      <w:pPr>
        <w:pStyle w:val="Betarp"/>
        <w:jc w:val="both"/>
      </w:pPr>
      <w:r w:rsidRPr="00F94DD1">
        <w:t>tobulinti sveikatos sistemos valdymą, sveikatos santykius grįsti teisumo ir solidarumo principais.</w:t>
      </w:r>
    </w:p>
    <w:p w:rsidR="00626711" w:rsidRPr="00F94DD1" w:rsidRDefault="00626711" w:rsidP="00626711">
      <w:pPr>
        <w:pStyle w:val="Betarp"/>
        <w:jc w:val="both"/>
        <w:rPr>
          <w:bCs/>
        </w:rPr>
      </w:pPr>
      <w:r w:rsidRPr="00F94DD1">
        <w:rPr>
          <w:bCs/>
        </w:rPr>
        <w:t xml:space="preserve">Prioriteto tvarka numatoma plėtoti šeimos gydytojo, specializuotas ambulatorines, dienos, stacionaro, ambulatorinės reabilitacijos, psichosocialinės reabilitacijos ir psichologinės pagalbos  paslaugas. </w:t>
      </w:r>
    </w:p>
    <w:p w:rsidR="00626711" w:rsidRPr="00F94DD1" w:rsidRDefault="00626711" w:rsidP="00626711">
      <w:pPr>
        <w:pStyle w:val="Betarp"/>
        <w:jc w:val="both"/>
      </w:pPr>
      <w:r w:rsidRPr="00F94DD1">
        <w:t xml:space="preserve">Įgyvendinant sveikatos priežiūros įstaigų restruktūrizavimo strategiją 2008 metais buvo siekiama, kad kuo daugiau visų sveikatos problemų būtų išspręsta ambulatoriniu lygiu. </w:t>
      </w:r>
    </w:p>
    <w:p w:rsidR="00626711" w:rsidRPr="00F94DD1" w:rsidRDefault="00626711" w:rsidP="00626711">
      <w:pPr>
        <w:pStyle w:val="Betarp"/>
        <w:jc w:val="both"/>
        <w:rPr>
          <w:b/>
          <w:bCs/>
          <w:color w:val="FF6600"/>
        </w:rPr>
      </w:pPr>
      <w:r w:rsidRPr="00F94DD1">
        <w:rPr>
          <w:b/>
          <w:bCs/>
        </w:rPr>
        <w:t xml:space="preserve">           </w:t>
      </w:r>
      <w:r w:rsidRPr="00F94DD1">
        <w:t xml:space="preserve">Sveikatos apsaugos ministerijos numatytos artimiausio laikotarpio veiklos </w:t>
      </w:r>
      <w:r w:rsidRPr="00F94DD1">
        <w:rPr>
          <w:b/>
          <w:bCs/>
        </w:rPr>
        <w:t xml:space="preserve">prioritetinės kryptys: </w:t>
      </w:r>
    </w:p>
    <w:p w:rsidR="00626711" w:rsidRPr="00F94DD1" w:rsidRDefault="00626711" w:rsidP="00626711">
      <w:pPr>
        <w:pStyle w:val="Betarp"/>
        <w:jc w:val="both"/>
      </w:pPr>
      <w:r w:rsidRPr="00F94DD1">
        <w:tab/>
        <w:t>- kad sveikatos apsaugos sistema, atitinkanti modernios visuomenės sveikatos koncepciją ir Europos Sąjungos bei Pasaulio sveikatos organizacijos „Sveikata visiems XXI amžiuje principus“, taptų į gyventojus orientuota, jų teises gerbiančia ir prieinamas kokybiškas paslaugas teikiančia sistema, kurioje svarbiausi sprendimai priimami tariantis su visuomene;</w:t>
      </w:r>
    </w:p>
    <w:p w:rsidR="00626711" w:rsidRPr="00F94DD1" w:rsidRDefault="00626711" w:rsidP="00626711">
      <w:pPr>
        <w:pStyle w:val="Betarp"/>
        <w:jc w:val="both"/>
        <w:rPr>
          <w:bCs/>
        </w:rPr>
      </w:pPr>
      <w:r w:rsidRPr="00F94DD1">
        <w:rPr>
          <w:bCs/>
        </w:rPr>
        <w:tab/>
        <w:t>- kokybiškos ir prieinamos paslaugos visų pirma susijusios su finansiniais ištekliais ir jų racionaliu naudojimu;</w:t>
      </w:r>
    </w:p>
    <w:p w:rsidR="00626711" w:rsidRPr="00F94DD1" w:rsidRDefault="00626711" w:rsidP="00626711">
      <w:pPr>
        <w:pStyle w:val="Betarp"/>
        <w:jc w:val="both"/>
      </w:pPr>
      <w:r w:rsidRPr="00F94DD1">
        <w:rPr>
          <w:lang w:val="es-ES"/>
        </w:rPr>
        <w:tab/>
      </w:r>
      <w:r w:rsidRPr="00F94DD1">
        <w:t>- įgyvendinant Psichikos sveikatos strategiją, prioritetas bus skiriamas modernių visuomenės psichikos sveikatos principų įgyvendinimui, savižudybių, prievartos, psichologinių krizių prevencijai ir gyventojų sveikatos ugdymui;</w:t>
      </w:r>
    </w:p>
    <w:p w:rsidR="00626711" w:rsidRPr="00F94DD1" w:rsidRDefault="00626711" w:rsidP="00626711">
      <w:pPr>
        <w:pStyle w:val="Betarp"/>
        <w:jc w:val="both"/>
      </w:pPr>
      <w:r w:rsidRPr="00F94DD1">
        <w:t xml:space="preserve">- </w:t>
      </w:r>
      <w:r w:rsidRPr="004B6431">
        <w:rPr>
          <w:bCs/>
        </w:rPr>
        <w:t>numatoma toliau įgyvendinti tabako, alkoholio, narkotinių ir psichotropinių medžiagų vartojimo prevencijos</w:t>
      </w:r>
      <w:r w:rsidRPr="004B6431">
        <w:t>,</w:t>
      </w:r>
      <w:r w:rsidRPr="00F94DD1">
        <w:t xml:space="preserve"> mitybos ir nutukimo prevencijos, vaikų sveikatos stiprinimo, traumatizmo, užkrečiamųjų ligų profilaktikos, neužkrečiamųjų ligų pirminės profilaktikos, kitas sveikatos stiprinimo ir profilaktikos programas;</w:t>
      </w:r>
    </w:p>
    <w:p w:rsidR="00626711" w:rsidRPr="00F94DD1" w:rsidRDefault="00626711" w:rsidP="00626711">
      <w:pPr>
        <w:pStyle w:val="Betarp"/>
        <w:jc w:val="both"/>
      </w:pPr>
      <w:r w:rsidRPr="00F94DD1">
        <w:t>- plėtoti šeimos gydytojų, specializuotos ambulatorinės pagalbos, dienos chirurgijos ir dienos stacionarų paslaugos;</w:t>
      </w:r>
    </w:p>
    <w:p w:rsidR="00626711" w:rsidRDefault="00626711" w:rsidP="00626711">
      <w:pPr>
        <w:pStyle w:val="Betarp"/>
        <w:jc w:val="both"/>
        <w:rPr>
          <w:bCs/>
        </w:rPr>
      </w:pPr>
      <w:r w:rsidRPr="00F94DD1">
        <w:rPr>
          <w:bCs/>
        </w:rPr>
        <w:t>-  tęsti psichikos sveikatos s</w:t>
      </w:r>
      <w:r>
        <w:rPr>
          <w:bCs/>
        </w:rPr>
        <w:t xml:space="preserve">trategijos įgyvendinimą ir kt. </w:t>
      </w:r>
      <w:r>
        <w:rPr>
          <w:bCs/>
        </w:rPr>
        <w:tab/>
      </w:r>
    </w:p>
    <w:p w:rsidR="00626711" w:rsidRPr="00C611AA" w:rsidRDefault="00626711" w:rsidP="00626711">
      <w:pPr>
        <w:pStyle w:val="Betarp"/>
        <w:ind w:firstLine="720"/>
        <w:jc w:val="both"/>
        <w:rPr>
          <w:bCs/>
        </w:rPr>
      </w:pPr>
      <w:r w:rsidRPr="00F94DD1">
        <w:t>Lietuvos Respublikos Sveikatos sistemos įstatymo  12 straipsnis apibrėžia Lietuvos nacionalinės sveikatos sistemos  (toliau – LNSS) veiklos organizavimo ir sveikatos priežiūros paslaugų lygius bei LNSS priklausančių asmens sveikatos priežiūros įstaigų lygmenis</w:t>
      </w:r>
      <w:r w:rsidRPr="00F94DD1">
        <w:rPr>
          <w:rFonts w:eastAsia="Arial Unicode MS"/>
        </w:rPr>
        <w:t xml:space="preserve">, nustato  </w:t>
      </w:r>
      <w:r w:rsidRPr="00F94DD1">
        <w:t xml:space="preserve">LNSS  veiklos organizavimo lygius, kurie yra  </w:t>
      </w:r>
      <w:r w:rsidRPr="00C611AA">
        <w:rPr>
          <w:bCs/>
        </w:rPr>
        <w:t>savivaldybių ir  valstybės.</w:t>
      </w:r>
    </w:p>
    <w:p w:rsidR="00626711" w:rsidRPr="00C611AA" w:rsidRDefault="00626711" w:rsidP="00626711">
      <w:pPr>
        <w:pStyle w:val="Betarp"/>
        <w:ind w:firstLine="720"/>
        <w:jc w:val="both"/>
        <w:rPr>
          <w:bCs/>
        </w:rPr>
      </w:pPr>
      <w:r w:rsidRPr="00F94DD1">
        <w:t xml:space="preserve"> Sveikatos priežiūros paslaugų </w:t>
      </w:r>
      <w:r w:rsidRPr="00C611AA">
        <w:rPr>
          <w:bCs/>
        </w:rPr>
        <w:t xml:space="preserve">lygiai yra šie: pirminis (pirminė sveikatos priežiūra); antrinis (antrinė sveikatos priežiūra); tretinis (tretinė sveikatos priežiūra). </w:t>
      </w:r>
    </w:p>
    <w:p w:rsidR="00626711" w:rsidRPr="00F94DD1" w:rsidRDefault="00626711" w:rsidP="00626711">
      <w:pPr>
        <w:pStyle w:val="Betarp"/>
        <w:ind w:firstLine="720"/>
        <w:jc w:val="both"/>
        <w:rPr>
          <w:bCs/>
        </w:rPr>
      </w:pPr>
      <w:r w:rsidRPr="00F94DD1">
        <w:rPr>
          <w:bCs/>
        </w:rPr>
        <w:t>Nustatyti  LNSS priklausančių stacionarinių asmens sveikatos priežiūros įstaigų, teikiančių sveikatos priežiūros paslaugas, finansavimo iš Privalomojo sveikatos draudimo fondo biudžeto lėšų, lygmenys, kurie yra: 1) rajonų; 2) regionų; 3) respublikos.</w:t>
      </w:r>
    </w:p>
    <w:p w:rsidR="00626711" w:rsidRPr="00F94DD1" w:rsidRDefault="00626711" w:rsidP="00626711">
      <w:pPr>
        <w:pStyle w:val="Betarp"/>
        <w:jc w:val="both"/>
      </w:pPr>
      <w:r w:rsidRPr="00F94DD1">
        <w:tab/>
        <w:t xml:space="preserve"> Lietuvos Respublikos Sveikatos sistemos įstatymo  12 straipsnis  4 ir 5 dalys nustato, kad savivaldybių vykdomosios institucijos organizuoja pirminę asmens sveikatos priežiūrą.</w:t>
      </w:r>
    </w:p>
    <w:p w:rsidR="00626711" w:rsidRPr="00F94DD1" w:rsidRDefault="00626711" w:rsidP="00626711">
      <w:pPr>
        <w:pStyle w:val="Betarp"/>
        <w:jc w:val="both"/>
      </w:pPr>
      <w:r w:rsidRPr="00F94DD1">
        <w:tab/>
        <w:t>Sergančiųjų priklausomybės ligomis priminę sveikatos priežiūrą vykdo:</w:t>
      </w:r>
    </w:p>
    <w:p w:rsidR="00626711" w:rsidRPr="00F94DD1" w:rsidRDefault="00626711" w:rsidP="00626711">
      <w:pPr>
        <w:pStyle w:val="Betarp"/>
        <w:jc w:val="both"/>
      </w:pPr>
      <w:r w:rsidRPr="00F94DD1">
        <w:tab/>
        <w:t>- šeimos ( bendrosios praktikos gydytojai);</w:t>
      </w:r>
    </w:p>
    <w:p w:rsidR="00626711" w:rsidRPr="00F94DD1" w:rsidRDefault="00626711" w:rsidP="00626711">
      <w:pPr>
        <w:pStyle w:val="Betarp"/>
        <w:jc w:val="both"/>
      </w:pPr>
      <w:r w:rsidRPr="00F94DD1">
        <w:t xml:space="preserve"> </w:t>
      </w:r>
      <w:r w:rsidRPr="00F94DD1">
        <w:tab/>
        <w:t>- Psichikos sveikatos centrai (toliau – PSC).</w:t>
      </w:r>
    </w:p>
    <w:p w:rsidR="00626711" w:rsidRPr="00F94DD1" w:rsidRDefault="00626711" w:rsidP="00626711">
      <w:pPr>
        <w:pStyle w:val="Betarp"/>
        <w:jc w:val="both"/>
      </w:pPr>
      <w:r w:rsidRPr="00F94DD1">
        <w:tab/>
        <w:t xml:space="preserve">Šiuo metu yra 85 PSC. Iš jų: 17 turi juridinio asmens statusą; 22 privatūs (4 iš jų savarankiški juridiniai vienetai (UAB), likusieji privačių Psichikos sveikatos centrų sudėtyje. </w:t>
      </w:r>
    </w:p>
    <w:p w:rsidR="00626711" w:rsidRPr="00F94DD1" w:rsidRDefault="00626711" w:rsidP="00626711">
      <w:pPr>
        <w:pStyle w:val="Betarp"/>
        <w:jc w:val="both"/>
      </w:pPr>
      <w:r w:rsidRPr="00F94DD1">
        <w:t xml:space="preserve"> Pirminės asmens sveikatos priežiūros organizavimo tvarką nustato Vyriausybė ar jos įgaliota institucija. </w:t>
      </w:r>
    </w:p>
    <w:p w:rsidR="00626711" w:rsidRPr="00F94DD1" w:rsidRDefault="00626711" w:rsidP="00626711">
      <w:pPr>
        <w:pStyle w:val="Betarp"/>
        <w:ind w:firstLine="720"/>
        <w:jc w:val="both"/>
      </w:pPr>
      <w:r w:rsidRPr="00F94DD1">
        <w:t>Savivaldybės vykdomos visuomenės sveikatos priežiūros apimtį ir vykdymo tvarką nustato šis įstatymas, Visuomenės sveikatos priežiūros įstatymas ir kiti teisės aktai.</w:t>
      </w:r>
    </w:p>
    <w:p w:rsidR="00626711" w:rsidRPr="00F94DD1" w:rsidRDefault="00626711" w:rsidP="00626711">
      <w:pPr>
        <w:pStyle w:val="Betarp"/>
        <w:ind w:firstLine="720"/>
        <w:jc w:val="both"/>
        <w:rPr>
          <w:bCs/>
        </w:rPr>
      </w:pPr>
      <w:r w:rsidRPr="00F94DD1">
        <w:rPr>
          <w:bCs/>
        </w:rPr>
        <w:t xml:space="preserve"> Savivaldybių vykdomosios institucijos taip pat įgyvendina įstatymo deleguotą valstybės funkciją – organizuoja antrinę asmens sveikatos priežiūrą. Savivaldybių vykdomosioms institucijoms gali būti deleguota valstybės funkcija organizuoti tretinę asmens sveikatos priežiūrą. Sprendimą dėl tretinės asmens sveikatos priežiūros organizavimo priima Sveikatos apsaugos ministerija, įvertinusi tretinės asmens sveikatos priežiūros poreikį tame regione. Antrinės ir tretinės asmens sveikatos priežiūros mastą ir profilius nustato Sveikatos apsaugos ministerija.</w:t>
      </w:r>
    </w:p>
    <w:p w:rsidR="00626711" w:rsidRPr="00F94DD1" w:rsidRDefault="00626711" w:rsidP="00626711">
      <w:pPr>
        <w:pStyle w:val="Betarp"/>
        <w:ind w:firstLine="720"/>
        <w:jc w:val="both"/>
      </w:pPr>
      <w:r w:rsidRPr="00F94DD1">
        <w:lastRenderedPageBreak/>
        <w:t xml:space="preserve">Lietuvos Respublikos Sveikatos sistemos įstatymo  12 straipsnis  6 - 9 dalys nustato, kad Sveikatos apsaugos ministerija ir jai pavaldžios valstybės institucijos pagal kompetenciją organizuoja nustatyto masto asmens ir visuomenės sveikatos priežiūrą joms pavaldžiose LNSS įstaigose. Tretinio LNSS sveikatos priežiūros paslaugų lygio įstaigos pirmine ir antrine sveikatos priežiūra gali verstis tik mokslo ir mokymo tikslais. </w:t>
      </w:r>
      <w:r w:rsidRPr="00D76F94">
        <w:rPr>
          <w:bCs/>
        </w:rPr>
        <w:t>Pirminės ir antrinės sveikatos priežiūros mastą ir apimtį nustato Sveikatos apsaugos ministerija.</w:t>
      </w:r>
      <w:r w:rsidRPr="00F94DD1">
        <w:rPr>
          <w:b/>
          <w:bCs/>
        </w:rPr>
        <w:t xml:space="preserve"> </w:t>
      </w:r>
      <w:r w:rsidRPr="00F94DD1">
        <w:t>Kriterijus, pagal kuriuos LNSS priklausančios stacionarinės asmens sveikatos priežiūros įstaigos, teikiančios sveikatos priežiūros paslaugas, finansuojamas iš Privalomojo sveikatos draudimo fondo biudžeto lėšų, skirstomos į lygmenis, nustato Vyriausybė. Sveikatos priežiūros mastą pagal LNSS veiklos organizavimo ir sveikatos priežiūros paslaugų lygius nustato Sveikatos apsaugos ministerija.</w:t>
      </w:r>
    </w:p>
    <w:p w:rsidR="00626711" w:rsidRPr="00F94DD1" w:rsidRDefault="00626711" w:rsidP="00626711">
      <w:pPr>
        <w:pStyle w:val="Betarp"/>
        <w:ind w:firstLine="720"/>
        <w:jc w:val="both"/>
      </w:pPr>
      <w:r w:rsidRPr="00F94DD1">
        <w:t>Lietuvos Respublikos Sveikatos sistemos įstatymo 63 str. įpareigoja savivaldybę,</w:t>
      </w:r>
      <w:r w:rsidRPr="00F94DD1">
        <w:rPr>
          <w:b/>
          <w:bCs/>
        </w:rPr>
        <w:t xml:space="preserve"> </w:t>
      </w:r>
      <w:r w:rsidRPr="00F94DD1">
        <w:t>kaip instituciją atsakingą už šios sveikatos priežiūros rūšies organizavimą, planuoti ir tvirtinti savivaldybės pirminės asmens sveikatos priežiūros plėtojimo programą. Savivaldybėse steigiami visuomenės sveikatos biurai -</w:t>
      </w:r>
      <w:r w:rsidRPr="00F94DD1">
        <w:rPr>
          <w:color w:val="000000"/>
          <w:spacing w:val="1"/>
        </w:rPr>
        <w:t xml:space="preserve"> visuomenės sveikatos paslaugas </w:t>
      </w:r>
      <w:r w:rsidRPr="00F94DD1">
        <w:rPr>
          <w:color w:val="000000"/>
          <w:spacing w:val="-1"/>
        </w:rPr>
        <w:t>teikiančių įstaigų tinklas.</w:t>
      </w:r>
      <w:r w:rsidRPr="00F94DD1">
        <w:t xml:space="preserve"> </w:t>
      </w:r>
    </w:p>
    <w:p w:rsidR="00626711" w:rsidRPr="00F94DD1" w:rsidRDefault="00626711" w:rsidP="00626711">
      <w:pPr>
        <w:pStyle w:val="Betarp"/>
        <w:jc w:val="both"/>
      </w:pPr>
      <w:r w:rsidRPr="00F94DD1">
        <w:t>2008 m. įsisteigti 20 savivaldybių visuomenės sveikatos biurų, taigi iki 2009 m. įsteigti 28 savivaldybių visuomenės sveikatos biurai,</w:t>
      </w:r>
      <w:r w:rsidRPr="00F94DD1">
        <w:rPr>
          <w:b/>
          <w:bCs/>
        </w:rPr>
        <w:t xml:space="preserve"> </w:t>
      </w:r>
      <w:r w:rsidRPr="00F94DD1">
        <w:t>2008 m. 5 savivaldybės sudarė sveikatinimo veiklos sutartis su kitose savivaldybėse veikiančiais visuomenės sveikatos biurais. 2008 m. buvo pasirašytos 45 sveikatinimo veiklos sutartys su 31 savivaldybe.</w:t>
      </w:r>
    </w:p>
    <w:p w:rsidR="00626711" w:rsidRPr="00F94DD1" w:rsidRDefault="00626711" w:rsidP="00626711">
      <w:pPr>
        <w:pStyle w:val="Betarp"/>
        <w:ind w:firstLine="720"/>
        <w:jc w:val="both"/>
      </w:pPr>
      <w:r w:rsidRPr="00F94DD1">
        <w:t xml:space="preserve"> Sveikatos apsaugos sistemoje vykdoma </w:t>
      </w:r>
      <w:r w:rsidRPr="00D76F94">
        <w:rPr>
          <w:bCs/>
        </w:rPr>
        <w:t>šeimos gydytojo</w:t>
      </w:r>
      <w:r w:rsidRPr="00F94DD1">
        <w:t xml:space="preserve"> institucijos plėtra. Siekiama sudaryti vienodas konkurencines sąlygas visiems šeimos gydytojams nepriklausomai nuo nuosavybės formos: sudaryti lygias sąlygas ir vienodas galimybes valstybės ir privataus sektorių sveikatos priežiūros paslaugų teikėjams konkuruoti dėl Europos Sąjungos struktūrinių fondų, kitų finansavimo šaltinių. Teritorinė ligonių kasa (toliau – TLK), sudarydama sutartis su pirminės asmens sveikatos priežiūros paslaugų teikėjais, vadovaujasi savivaldybės patvirtintais plėtros planais, paslaugų teikėjo licencija bei Sveikatos apsaugos ministro 2005 m. gruodžio 5 d. įsakymu Nr. V-943 „Dėl Pirminės ambulatorinės asmens sveikatos priežiūros paslaugų organizavimo ir apmokėjimo tvarkos aprašo bei Pirminės ambulatorinės asmens sveikatos priežiūros paslaugų ir bazinių kainų tvirtinimo”, kuriame  patvirtinta pirminės ambulatorinės asmens sveikatos priežiūros paslaugų sąrašo, bazinių kainų, organizavimo bei apmokėjimo tvarka. 2008 metais Lietuvos Respublikos Sveikatos apsaugos ministro 2008 m. sausio 17 d. įsakymu Nr. V-48  ir Sveikatos apsaugos ministro 2008 m. balandžio 29 d. įsakymu Nr. V-343 patvirtinta nauja papildomo apmokėjimo gydymo įstaigoms už šeimos gydytojų gerus darbo rezultatus tvarka.</w:t>
      </w:r>
    </w:p>
    <w:p w:rsidR="00626711" w:rsidRPr="00F94DD1" w:rsidRDefault="00626711" w:rsidP="00626711">
      <w:pPr>
        <w:pStyle w:val="Betarp"/>
        <w:jc w:val="both"/>
        <w:rPr>
          <w:b/>
          <w:bCs/>
          <w:i/>
          <w:iCs/>
          <w:color w:val="FF0000"/>
          <w:u w:val="single"/>
        </w:rPr>
      </w:pPr>
      <w:r w:rsidRPr="00F94DD1">
        <w:t xml:space="preserve"> Siekiant įgyvendinti uždavinio „Efektyvių pirminės sveikatos priežiūros teikimo formų diegimas ir plėtra“ numatytą priemonę – užtikrinti pirminės sveikatos priežiūros prieinamumą, ir 2008 metais TLK sudarė sutartis dėl asmens sveikatos priežiūros paslaugų teikimo vienodomis sąlygomis su privačiomis ir valstybinėmis sveikatos priežiūros įstaigomis.</w:t>
      </w:r>
      <w:r w:rsidRPr="00F94DD1">
        <w:rPr>
          <w:bCs/>
        </w:rPr>
        <w:t xml:space="preserve"> </w:t>
      </w:r>
      <w:r w:rsidRPr="00F94DD1">
        <w:t xml:space="preserve">Gerėjant pirminių asmens sveikatos priežiūros paslaugų prieinamumui, daugėja pirmines ambulatorines asmens sveikatos priežiūros paslaugas teikiančių įstaigų. 2005 metais Lietuvoje tokių įstaigų buvo </w:t>
      </w:r>
      <w:r w:rsidRPr="00F94DD1">
        <w:rPr>
          <w:b/>
          <w:bCs/>
        </w:rPr>
        <w:t>383, iš jų privačių – 197, tuo tarpu 2008 metais jų skaičius atitinkamai išaugo iki 391 ir privačių pirmines ambulatorines asmens sveikatos priežiūros paslaugas teikiančių įstaigų padaugėjo iki 214 (t. y</w:t>
      </w:r>
      <w:r w:rsidRPr="00F94DD1">
        <w:rPr>
          <w:b/>
          <w:bCs/>
          <w:i/>
          <w:iCs/>
          <w:u w:val="single"/>
        </w:rPr>
        <w:t>. 54,7 proc.).</w:t>
      </w:r>
    </w:p>
    <w:p w:rsidR="00626711" w:rsidRPr="00F94DD1" w:rsidRDefault="00626711" w:rsidP="00626711">
      <w:pPr>
        <w:pStyle w:val="Betarp"/>
        <w:ind w:firstLine="720"/>
        <w:jc w:val="both"/>
        <w:rPr>
          <w:bCs/>
        </w:rPr>
      </w:pPr>
      <w:r w:rsidRPr="00F94DD1">
        <w:rPr>
          <w:bCs/>
        </w:rPr>
        <w:t>2008 metais ir toliau buvo užtikrinama paciento teisė pasirinkti paslaugų teikėją, o pastarajam – teisė sudaryti sutartis su TLK dėl pirminės asmens sveikatos priežiūros paslaugų apdraustiesiems apmokėjimo. Plėtojant ir artinant prie gyventojų pirminę asmens sveikatos priežiūrą, buvo siekiama, kad iki 2008 metų pabaigos ne mažiau kaip 60 procentų pirminės sveikatos priežiūros paslaugų teiktų privačiai dirbantys šeimos gydytojai, sudarantys su TLK teikiamų paslaugų apmokėjimo PSDF biudžeto lėšomis sutartis. Efektyviai veikiant šiai sveikatos priežiūros grandžiai, stiprinant šeimos gydytojų instituciją, remiant jos plėtrą kaimo vietovėse, skatinant šeimos gydytojų motyvaciją užsiimti profilaktikos, sveikatos mokymo ir ugdymo veikla, buvo taupomos PSDF biudžeto lėšos.</w:t>
      </w:r>
    </w:p>
    <w:p w:rsidR="00626711" w:rsidRPr="00F94DD1" w:rsidRDefault="00626711" w:rsidP="00626711">
      <w:pPr>
        <w:pStyle w:val="Betarp"/>
        <w:jc w:val="both"/>
      </w:pPr>
      <w:r w:rsidRPr="00F94DD1">
        <w:tab/>
      </w:r>
      <w:r w:rsidRPr="00F94DD1">
        <w:rPr>
          <w:b/>
          <w:bCs/>
        </w:rPr>
        <w:t xml:space="preserve">Sveikatos apsaugos ministerijos duomenimis, teritorinės ligonių kasos 2008 m. sudarė daugiau kaip 450 sutarčių su privačiomis asmens </w:t>
      </w:r>
      <w:r w:rsidRPr="00F94DD1">
        <w:t xml:space="preserve">sveikatos priežiūros įstaigomis dėl asmens sveikatos priežiūros paslaugų teikimo vienodomis sąlygomis su valstybės ir savivaldybių asmens sveikatos priežiūros viešosiomis ir biudžetinėmis įstaigomis, iš jų su 220 privačiomis pirminės asmens sveikatos priežiūros įstaigomis. </w:t>
      </w:r>
    </w:p>
    <w:p w:rsidR="00626711" w:rsidRPr="00F94DD1" w:rsidRDefault="00626711" w:rsidP="00626711">
      <w:pPr>
        <w:pStyle w:val="Betarp"/>
        <w:jc w:val="both"/>
        <w:rPr>
          <w:b/>
          <w:bCs/>
          <w:i/>
          <w:iCs/>
        </w:rPr>
      </w:pPr>
      <w:r w:rsidRPr="00F94DD1">
        <w:t xml:space="preserve">2008 m. gruodžio 22 d.priimtas  Sveikatos draudimo įstatymo 2, 6, 8, 15, 16, 17, 18 ir 19 straipsnių pakeitimo įstatymas Nr. XI-98, kuriuo įvedamas atskiras sveikatos draudimo įmokų mokėjimas, </w:t>
      </w:r>
      <w:r w:rsidRPr="00F94DD1">
        <w:lastRenderedPageBreak/>
        <w:t xml:space="preserve">atskiriant šias įmokas nuo anksčiau mokėto gyventojų pajamų mokesčio, </w:t>
      </w:r>
      <w:r w:rsidRPr="00F94DD1">
        <w:rPr>
          <w:b/>
          <w:bCs/>
        </w:rPr>
        <w:t>kai tuo tarpu nedraustųjų priklausomybės ligomis sergančių asmenų klausimas neišspręstas iki šiol.</w:t>
      </w:r>
      <w:r w:rsidRPr="00F94DD1">
        <w:rPr>
          <w:b/>
          <w:bCs/>
          <w:i/>
          <w:iCs/>
        </w:rPr>
        <w:t xml:space="preserve">  </w:t>
      </w:r>
    </w:p>
    <w:p w:rsidR="00626711" w:rsidRPr="00F94DD1" w:rsidRDefault="00626711" w:rsidP="00626711">
      <w:pPr>
        <w:pStyle w:val="Betarp"/>
        <w:jc w:val="both"/>
      </w:pPr>
      <w:r w:rsidRPr="00F94DD1">
        <w:rPr>
          <w:b/>
          <w:bCs/>
        </w:rPr>
        <w:t xml:space="preserve">         </w:t>
      </w:r>
    </w:p>
    <w:p w:rsidR="00626711" w:rsidRPr="00F94DD1" w:rsidRDefault="00626711" w:rsidP="00626711">
      <w:pPr>
        <w:pStyle w:val="Betarp"/>
        <w:jc w:val="both"/>
      </w:pPr>
      <w:r w:rsidRPr="00F94DD1">
        <w:tab/>
        <w:t xml:space="preserve"> </w:t>
      </w:r>
      <w:r w:rsidRPr="00F94DD1">
        <w:rPr>
          <w:b/>
          <w:bCs/>
        </w:rPr>
        <w:t xml:space="preserve">Sveikatos apsaugos ministerijos specialistų teigimu, </w:t>
      </w:r>
      <w:r w:rsidRPr="00F94DD1">
        <w:t>vykstanti šalies socialinė ekonominė plėtra nemažina socialinių sveikatos netolygumų tarp miesto ir kaimo bei atskirų socialinių ir ekonominių gyventojų grupių. Ekonominės socialinės problemos turi neigiamos įtakos gimstamumo lygiui, psichikos sutrikimų ir savižudybių skaičiui. Stebima priklausomybės nuo alkoholio, tabako, narkotikų augimo tendencija, ypač tarp paauglių. Šių problemų sprendimui prioriteto tvarka turėtų būti įgyvendinamos sveikatinimo programos, vienijant politikų, specialistų, valstybinių institucijų ir visuomenės pastangas.</w:t>
      </w:r>
    </w:p>
    <w:p w:rsidR="00626711" w:rsidRPr="00F94DD1" w:rsidRDefault="00626711" w:rsidP="00626711">
      <w:pPr>
        <w:pStyle w:val="Betarp"/>
        <w:jc w:val="both"/>
        <w:rPr>
          <w:b/>
          <w:bCs/>
          <w:iCs/>
        </w:rPr>
      </w:pPr>
      <w:r w:rsidRPr="00F94DD1">
        <w:rPr>
          <w:noProof/>
        </w:rPr>
        <w:t xml:space="preserve">Užtikrinant asmens sveikatos priežiūros paslaugų kokybę, tinkamumą ir saugą, Sveikatos apsaugos ministerija </w:t>
      </w:r>
      <w:r w:rsidRPr="00F94DD1">
        <w:rPr>
          <w:noProof/>
          <w:u w:val="single"/>
        </w:rPr>
        <w:t>l</w:t>
      </w:r>
      <w:r w:rsidRPr="00F94DD1">
        <w:t xml:space="preserve">icencijavo asmens sveikatos priežiūros įstaigas ir vykdė jų licencijų sąlygų laikymosi priežiūrą. </w:t>
      </w:r>
      <w:r w:rsidRPr="00F94DD1">
        <w:rPr>
          <w:noProof/>
        </w:rPr>
        <w:t xml:space="preserve">Buvo atliekamas asmens sveikatos priežiūros įstaigų licencijavimas vertinant įstaigų pateiktų dokumentų atitiktį galiojantiems teisės aktams, vertinamas vietoje asmens sveikatos priežiūros laboratorijų pasirengimas teikti laboratorinės diagnostikos paslaugą ir patologijos paslaugą. </w:t>
      </w:r>
      <w:r w:rsidRPr="00F94DD1">
        <w:t>Informacinėje duomenų bazėje užregistruotos 389 įstaigų, teikiančių asmens sveikatos priežiūros paslaugas, licencijos.</w:t>
      </w:r>
      <w:r w:rsidRPr="00F94DD1">
        <w:rPr>
          <w:b/>
          <w:bCs/>
          <w:i/>
        </w:rPr>
        <w:t xml:space="preserve"> </w:t>
      </w:r>
    </w:p>
    <w:p w:rsidR="00626711" w:rsidRPr="00F94DD1" w:rsidRDefault="00626711" w:rsidP="00626711">
      <w:pPr>
        <w:pStyle w:val="Betarp"/>
        <w:jc w:val="both"/>
      </w:pPr>
      <w:r w:rsidRPr="00F94DD1">
        <w:t xml:space="preserve">Siekiant, kad pacientai sulauktų kuo daugiau šeimos gydytojų dėmesio, geresnių pirminės ambulatorinės asmens sveikatos priežiūros paslaugų kokybės bei prieinamumo 2008 metais buvo toliau tobulinama pirminio lygio paslaugų apmokėjimo tvarka, šalia apmokėjimo už prisirašiusiųjų pacientų skaičių vis daugiau buvo mokama už realiai suteiktas paslaugas – didinamas skatinamųjų paslaugų kiekis. 2008 m. skatinamųjų paslaugų kiekis, lyginant su 2007 m. padidėjo 12,2 procento. </w:t>
      </w:r>
    </w:p>
    <w:p w:rsidR="00626711" w:rsidRPr="00F94DD1" w:rsidRDefault="00626711" w:rsidP="00626711">
      <w:pPr>
        <w:pStyle w:val="Betarp"/>
        <w:jc w:val="both"/>
      </w:pPr>
      <w:r w:rsidRPr="00F94DD1">
        <w:rPr>
          <w:b/>
          <w:bCs/>
        </w:rPr>
        <w:t>Sveikatos apsaugos ministerijos duomenimis, atsižvelgiant į pirmojo sveikatos priežiūros įstaigų restruktūrizavimo etapo rezultatus,</w:t>
      </w:r>
      <w:r w:rsidRPr="00F94DD1">
        <w:t xml:space="preserve"> bei įgyvendinant Lietuvos Respublikos Vyriausybės 2006 m. birželio 29 d. nutarimu Nr. 647 patvirtintą Antrojo sveikatos priežiūros įstaigų restruktūrizavimo etapo strategiją, toliau buvo tęsiamas </w:t>
      </w:r>
      <w:r w:rsidRPr="00F94DD1">
        <w:rPr>
          <w:b/>
          <w:bCs/>
        </w:rPr>
        <w:t>2006 m. pradėtas antrasis (2006–2008 m.)</w:t>
      </w:r>
      <w:r w:rsidRPr="00F94DD1">
        <w:t xml:space="preserve"> sveikatos priežiūros įstaigų restruktūrizavimo etapas, kurio </w:t>
      </w:r>
      <w:r w:rsidRPr="00F94DD1">
        <w:rPr>
          <w:b/>
          <w:bCs/>
        </w:rPr>
        <w:t>prioritetai yra:</w:t>
      </w:r>
      <w:r w:rsidRPr="00F94DD1">
        <w:t xml:space="preserve"> toliau plėtoti pirminę asmens sveikatos priežiūrą; plėtoti dienos stacionaro ir dienos chirurgijos paslaugas; optimizuoti stacionarines paslaugas; plėtoti ambulatorinės reabilitacijos apimtis ir formas; integruoti slaugos paslaugas į bendrojo pobūdžio ligonines, teikiant jas kartu su globos paslaugomis, plėtojant slaugą paciento namuose. Siekiant įgyvendinti antrojo sveikatos priežiūros įstaigų restruktūrizavimo etapo tikslus parengti apskričių sveikatos priežiūros įstaigų antrojo restruktūrizavimo etapo planai. Atsižvelgiant į apskričių regionų plėtros tarybų siūlymus, rengti apskričių sveikatos priežiūros įstaigų antrojo restruktūrizavimo etapo planų pakeitimai. </w:t>
      </w:r>
    </w:p>
    <w:p w:rsidR="00626711" w:rsidRPr="00F94DD1" w:rsidRDefault="00626711" w:rsidP="00626711">
      <w:pPr>
        <w:pStyle w:val="Betarp"/>
        <w:jc w:val="both"/>
        <w:rPr>
          <w:bCs/>
        </w:rPr>
      </w:pPr>
      <w:r w:rsidRPr="00F94DD1">
        <w:rPr>
          <w:bCs/>
        </w:rPr>
        <w:t>Pagrindinės PSDF biudžeto Paslaugų restruktūrizavimo programos lėšos buvo nukreiptos ligoninių priėmimo ir skubios pagalbos skyrių pertvarkymui bei aprūpinimui reikiama medicinine įranga, dienos stacionaro ir dienos chirurgijos paslaugų plėtrai, taip pat slaugos ir palaikomojo gydymo paslaugų perkėlimui į bendrojo profilio ligonines ir/ar integravimui su globa ir  gavimas ir saugojimas;  registracijos apsilankymui (konsultacijai, gydymui, tyrimui) vykdymas.</w:t>
      </w:r>
    </w:p>
    <w:p w:rsidR="00626711" w:rsidRPr="00F94DD1" w:rsidRDefault="00626711" w:rsidP="00626711">
      <w:pPr>
        <w:pStyle w:val="Betarp"/>
        <w:ind w:firstLine="720"/>
        <w:jc w:val="both"/>
      </w:pPr>
      <w:r w:rsidRPr="00F94DD1">
        <w:rPr>
          <w:b/>
          <w:bCs/>
        </w:rPr>
        <w:t xml:space="preserve">Pvz., </w:t>
      </w:r>
      <w:r w:rsidRPr="00F94DD1">
        <w:t>Pirminės psichikos sveikatos priežiūrai iš PSDF lėšų apmokėta 2006 m. – 29882468 Lt; 2007 m. – 34668088 Lt.</w:t>
      </w:r>
    </w:p>
    <w:p w:rsidR="00626711" w:rsidRPr="00F94DD1" w:rsidRDefault="00626711" w:rsidP="00626711">
      <w:pPr>
        <w:pStyle w:val="Betarp"/>
        <w:jc w:val="both"/>
      </w:pPr>
      <w:r w:rsidRPr="00F94DD1">
        <w:t>Antrinio lygio ambulatorinėms psichikos sveikatos priežiūros paslaugoms apmokėti panaudotos PSDF lėšos. 2006 m. – 410269Lt, 2007 m. – 475062 Lt.</w:t>
      </w:r>
    </w:p>
    <w:p w:rsidR="00626711" w:rsidRPr="00F94DD1" w:rsidRDefault="00626711" w:rsidP="00626711">
      <w:pPr>
        <w:pStyle w:val="Betarp"/>
        <w:jc w:val="both"/>
      </w:pPr>
      <w:r w:rsidRPr="00F94DD1">
        <w:t xml:space="preserve"> Tretinio lygio ambulatorinėms psichikos sveikatos priežiūros paslaugoms apmokėti panaudotos PSDF lėšos. 2006 m. – 156771 Lt, 2007 m. – 190614 Lt. </w:t>
      </w:r>
    </w:p>
    <w:p w:rsidR="00626711" w:rsidRPr="00F94DD1" w:rsidRDefault="00626711" w:rsidP="00626711">
      <w:pPr>
        <w:pStyle w:val="Betarp"/>
        <w:jc w:val="both"/>
      </w:pPr>
      <w:r w:rsidRPr="00F94DD1">
        <w:t>Antrinio ir tretinio lygio stacionarinių paslaugų apmokėjimas iš PSDF lėšų buvo toks:</w:t>
      </w:r>
    </w:p>
    <w:p w:rsidR="00626711" w:rsidRPr="00F94DD1" w:rsidRDefault="00626711" w:rsidP="00626711">
      <w:pPr>
        <w:pStyle w:val="Betarp"/>
        <w:jc w:val="both"/>
      </w:pPr>
      <w:r w:rsidRPr="00F94DD1">
        <w:t xml:space="preserve">Antrinio  lygio 2006 m. – 10946126 Lt, 2007 m. – 122440104 Lt. </w:t>
      </w:r>
    </w:p>
    <w:p w:rsidR="00626711" w:rsidRPr="00F94DD1" w:rsidRDefault="00626711" w:rsidP="00626711">
      <w:pPr>
        <w:pStyle w:val="Betarp"/>
        <w:jc w:val="both"/>
      </w:pPr>
      <w:r w:rsidRPr="00F94DD1">
        <w:t xml:space="preserve">Tretinio  lygio 2006 m. – 7564485 Lt, 2007 m. – 9519012 Lt. </w:t>
      </w:r>
    </w:p>
    <w:p w:rsidR="00626711" w:rsidRPr="00F94DD1" w:rsidRDefault="00626711" w:rsidP="00626711">
      <w:pPr>
        <w:pStyle w:val="Betarp"/>
        <w:jc w:val="both"/>
        <w:rPr>
          <w:b/>
          <w:bCs/>
        </w:rPr>
      </w:pPr>
      <w:r w:rsidRPr="00F94DD1">
        <w:rPr>
          <w:b/>
          <w:bCs/>
        </w:rPr>
        <w:t xml:space="preserve">2007 m. PSDF išlaidos vaistams suaugusiems sudarė : Antipsichotiniams – 48877029 Lt, Antidepresantams – 15570678 lt. </w:t>
      </w:r>
    </w:p>
    <w:p w:rsidR="00626711" w:rsidRPr="00F94DD1" w:rsidRDefault="00626711" w:rsidP="00626711">
      <w:pPr>
        <w:pStyle w:val="Betarp"/>
        <w:jc w:val="both"/>
        <w:rPr>
          <w:noProof/>
        </w:rPr>
      </w:pPr>
      <w:r w:rsidRPr="00F94DD1">
        <w:t xml:space="preserve">Sveikatos apsaugos ministerija koordinuoja daugiau kaip 50 Lietuvos Respublikos Seimo, Lietuvos Respublikos Vyriausybės, sveikatos apsaugos ministro patvirtintų programų įgyvendinimą. </w:t>
      </w:r>
      <w:r w:rsidRPr="00F94DD1">
        <w:rPr>
          <w:noProof/>
        </w:rPr>
        <w:t>Įgyvendinamos ir numatomos įgyvendinti sveikatos programos atitinka prioritetines Sveikatos priežiūros reformos tikslų ir uždavinių įgyvendinimo strategijos veiklos kryptis – motinos ir vaiko sveikatos apsaugos, sveikatos politikos, sveikatos priežiūros reformos, neinfekcinių ligų profilaktikos ir kontrolės, užkrečiamųjų ligų profilaktikos ir kontrolės, aplinkos ir sveikatos.</w:t>
      </w:r>
    </w:p>
    <w:p w:rsidR="00626711" w:rsidRPr="00F94DD1" w:rsidRDefault="00626711" w:rsidP="00626711">
      <w:pPr>
        <w:pStyle w:val="Betarp"/>
        <w:jc w:val="both"/>
        <w:rPr>
          <w:b/>
          <w:noProof/>
        </w:rPr>
      </w:pPr>
      <w:r w:rsidRPr="00F94DD1">
        <w:lastRenderedPageBreak/>
        <w:t>Sveikatos apsaugos ministerijos duomenimis, p</w:t>
      </w:r>
      <w:r w:rsidRPr="00F94DD1">
        <w:rPr>
          <w:bCs/>
          <w:noProof/>
        </w:rPr>
        <w:t>asinaudojant ES struktūrinių fondų finansine parama modernizuoti ir optimizuoti sveikatos priežiūros sektoriaus infrastruktūrą,</w:t>
      </w:r>
      <w:r w:rsidRPr="00F94DD1">
        <w:rPr>
          <w:noProof/>
        </w:rPr>
        <w:t xml:space="preserve"> Sveikatos apsaugos ministerija </w:t>
      </w:r>
      <w:r w:rsidRPr="00F94DD1">
        <w:rPr>
          <w:bCs/>
          <w:noProof/>
        </w:rPr>
        <w:t>įgyvendino BPD priemonę</w:t>
      </w:r>
      <w:r w:rsidRPr="00F94DD1">
        <w:rPr>
          <w:b/>
          <w:noProof/>
        </w:rPr>
        <w:t xml:space="preserve"> -</w:t>
      </w:r>
      <w:r w:rsidRPr="00F94DD1">
        <w:rPr>
          <w:noProof/>
          <w:snapToGrid w:val="0"/>
          <w:color w:val="000000"/>
        </w:rPr>
        <w:t xml:space="preserve">,,Sveikatos priežiūros įstaigų restruktūrizavimas ir modernizavimas“), kuriai </w:t>
      </w:r>
      <w:r w:rsidRPr="00F94DD1">
        <w:rPr>
          <w:noProof/>
        </w:rPr>
        <w:t xml:space="preserve">skyrė – 148,05 mln. litų. Šioje programoje vartojama sąvoka „Bendrosios praktikos gydytojas” (BPG) atitinka sąvoką </w:t>
      </w:r>
      <w:r w:rsidRPr="00F94DD1">
        <w:rPr>
          <w:b/>
          <w:bCs/>
          <w:noProof/>
        </w:rPr>
        <w:t>„šeimos gydytojas”.</w:t>
      </w:r>
    </w:p>
    <w:p w:rsidR="00626711" w:rsidRPr="00F94DD1" w:rsidRDefault="00626711" w:rsidP="00626711">
      <w:pPr>
        <w:pStyle w:val="Betarp"/>
        <w:jc w:val="both"/>
        <w:rPr>
          <w:noProof/>
        </w:rPr>
      </w:pPr>
      <w:r w:rsidRPr="00F94DD1">
        <w:t xml:space="preserve">Sveikatos apsaugos ministerijos duomenimis, </w:t>
      </w:r>
      <w:r w:rsidRPr="00F94DD1">
        <w:rPr>
          <w:noProof/>
        </w:rPr>
        <w:t>ES parama buvo skiriama dviem veiklos sritims:</w:t>
      </w:r>
    </w:p>
    <w:p w:rsidR="00626711" w:rsidRPr="00F94DD1" w:rsidRDefault="00626711" w:rsidP="00626711">
      <w:pPr>
        <w:pStyle w:val="Betarp"/>
        <w:jc w:val="both"/>
        <w:rPr>
          <w:bCs/>
          <w:noProof/>
        </w:rPr>
      </w:pPr>
      <w:r w:rsidRPr="00F94DD1">
        <w:rPr>
          <w:bCs/>
          <w:noProof/>
        </w:rPr>
        <w:t xml:space="preserve">1. Kardiologinės sveikatos priežiūros paslaugų stiprinimas ir plėtra modernizuojant sveikatos priežiūros įstaigas. </w:t>
      </w:r>
    </w:p>
    <w:p w:rsidR="00626711" w:rsidRPr="00F94DD1" w:rsidRDefault="00626711" w:rsidP="00626711">
      <w:pPr>
        <w:pStyle w:val="Betarp"/>
        <w:jc w:val="both"/>
        <w:rPr>
          <w:noProof/>
        </w:rPr>
      </w:pPr>
      <w:r w:rsidRPr="00F94DD1">
        <w:rPr>
          <w:noProof/>
        </w:rPr>
        <w:t xml:space="preserve">2. </w:t>
      </w:r>
      <w:r w:rsidRPr="00F94DD1">
        <w:rPr>
          <w:b/>
          <w:bCs/>
          <w:noProof/>
        </w:rPr>
        <w:t>Bendrosios praktikos gydytojų</w:t>
      </w:r>
      <w:r w:rsidRPr="00F94DD1">
        <w:rPr>
          <w:noProof/>
        </w:rPr>
        <w:t xml:space="preserve"> paslaugų infrastruktūros plėtra ir modernizavimas. </w:t>
      </w:r>
    </w:p>
    <w:p w:rsidR="00626711" w:rsidRPr="00F94DD1" w:rsidRDefault="00626711" w:rsidP="00626711">
      <w:pPr>
        <w:pStyle w:val="Betarp"/>
        <w:jc w:val="both"/>
        <w:rPr>
          <w:noProof/>
        </w:rPr>
      </w:pPr>
      <w:r w:rsidRPr="00F94DD1">
        <w:rPr>
          <w:noProof/>
        </w:rPr>
        <w:t>2008 metais Sveikatos apsaugos ministerijos vykdytos programos:</w:t>
      </w:r>
    </w:p>
    <w:p w:rsidR="00626711" w:rsidRPr="00F94DD1" w:rsidRDefault="00626711" w:rsidP="00626711">
      <w:pPr>
        <w:pStyle w:val="Betarp"/>
        <w:jc w:val="both"/>
        <w:rPr>
          <w:noProof/>
        </w:rPr>
      </w:pPr>
      <w:r w:rsidRPr="00F94DD1">
        <w:rPr>
          <w:noProof/>
        </w:rPr>
        <w:t>Visuomenės sveikatos priežiūros stiprinimas.</w:t>
      </w:r>
    </w:p>
    <w:p w:rsidR="00626711" w:rsidRPr="00F94DD1" w:rsidRDefault="00626711" w:rsidP="00626711">
      <w:pPr>
        <w:pStyle w:val="Betarp"/>
        <w:jc w:val="both"/>
        <w:rPr>
          <w:noProof/>
        </w:rPr>
      </w:pPr>
      <w:r w:rsidRPr="00F94DD1">
        <w:rPr>
          <w:noProof/>
        </w:rPr>
        <w:t>Asmens sveikatos priežiūros kokybės užtikrinimas.</w:t>
      </w:r>
    </w:p>
    <w:p w:rsidR="00626711" w:rsidRPr="00F94DD1" w:rsidRDefault="00626711" w:rsidP="00626711">
      <w:pPr>
        <w:pStyle w:val="Betarp"/>
        <w:jc w:val="both"/>
        <w:rPr>
          <w:noProof/>
        </w:rPr>
      </w:pPr>
      <w:r w:rsidRPr="00F94DD1">
        <w:rPr>
          <w:noProof/>
        </w:rPr>
        <w:t>Nacionalinė vaistų politika.</w:t>
      </w:r>
    </w:p>
    <w:p w:rsidR="00626711" w:rsidRPr="00F94DD1" w:rsidRDefault="00626711" w:rsidP="00626711">
      <w:pPr>
        <w:pStyle w:val="Betarp"/>
        <w:jc w:val="both"/>
        <w:rPr>
          <w:noProof/>
        </w:rPr>
      </w:pPr>
      <w:r w:rsidRPr="00F94DD1">
        <w:rPr>
          <w:noProof/>
        </w:rPr>
        <w:t>Sveikatos sistemos plėtra.</w:t>
      </w:r>
    </w:p>
    <w:p w:rsidR="00626711" w:rsidRPr="00F94DD1" w:rsidRDefault="00626711" w:rsidP="00626711">
      <w:pPr>
        <w:pStyle w:val="Betarp"/>
        <w:jc w:val="both"/>
        <w:rPr>
          <w:noProof/>
        </w:rPr>
      </w:pPr>
      <w:r w:rsidRPr="00F94DD1">
        <w:rPr>
          <w:noProof/>
        </w:rPr>
        <w:t>Specialioji sveikatos priežiūros stirpinimo ir modernizavimo programa.</w:t>
      </w:r>
    </w:p>
    <w:p w:rsidR="00626711" w:rsidRPr="00F94DD1" w:rsidRDefault="00626711" w:rsidP="00626711">
      <w:pPr>
        <w:pStyle w:val="Betarp"/>
        <w:jc w:val="both"/>
        <w:rPr>
          <w:noProof/>
        </w:rPr>
      </w:pPr>
      <w:r w:rsidRPr="00F94DD1">
        <w:rPr>
          <w:noProof/>
        </w:rPr>
        <w:t>Specialioji Europos regioninės plėtros fondo programa (BPD įgyvendinti).</w:t>
      </w:r>
    </w:p>
    <w:p w:rsidR="00626711" w:rsidRPr="00F94DD1" w:rsidRDefault="00626711" w:rsidP="00626711">
      <w:pPr>
        <w:pStyle w:val="Betarp"/>
        <w:jc w:val="both"/>
        <w:rPr>
          <w:noProof/>
        </w:rPr>
      </w:pPr>
      <w:r w:rsidRPr="00F94DD1">
        <w:rPr>
          <w:noProof/>
        </w:rPr>
        <w:t>2008 m. Vykdytoms programoms patvirtintų ir panaudotų asignavimų suvestinė:</w:t>
      </w:r>
    </w:p>
    <w:p w:rsidR="00626711" w:rsidRPr="00F94DD1" w:rsidRDefault="00626711" w:rsidP="00626711">
      <w:pPr>
        <w:pStyle w:val="Betarp"/>
        <w:jc w:val="both"/>
        <w:rPr>
          <w:b/>
          <w:noProof/>
          <w:color w:val="3366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977"/>
        <w:gridCol w:w="1606"/>
        <w:gridCol w:w="1606"/>
      </w:tblGrid>
      <w:tr w:rsidR="00626711" w:rsidRPr="00F94DD1" w:rsidTr="004F7425">
        <w:trPr>
          <w:trHeight w:val="961"/>
        </w:trPr>
        <w:tc>
          <w:tcPr>
            <w:tcW w:w="2977" w:type="dxa"/>
            <w:tcBorders>
              <w:bottom w:val="single" w:sz="4" w:space="0" w:color="auto"/>
            </w:tcBorders>
            <w:vAlign w:val="center"/>
          </w:tcPr>
          <w:p w:rsidR="00626711" w:rsidRPr="00F94DD1" w:rsidRDefault="00626711" w:rsidP="004F7425">
            <w:pPr>
              <w:pStyle w:val="Betarp"/>
              <w:jc w:val="both"/>
              <w:rPr>
                <w:noProof/>
              </w:rPr>
            </w:pPr>
            <w:r w:rsidRPr="00F94DD1">
              <w:rPr>
                <w:noProof/>
              </w:rPr>
              <w:t>Programa</w:t>
            </w:r>
          </w:p>
        </w:tc>
        <w:tc>
          <w:tcPr>
            <w:tcW w:w="2977" w:type="dxa"/>
            <w:tcBorders>
              <w:bottom w:val="single" w:sz="4" w:space="0" w:color="auto"/>
            </w:tcBorders>
            <w:vAlign w:val="center"/>
          </w:tcPr>
          <w:p w:rsidR="00626711" w:rsidRPr="00F94DD1" w:rsidRDefault="00626711" w:rsidP="004F7425">
            <w:pPr>
              <w:pStyle w:val="Betarp"/>
              <w:jc w:val="both"/>
              <w:rPr>
                <w:noProof/>
              </w:rPr>
            </w:pPr>
            <w:r w:rsidRPr="00F94DD1">
              <w:rPr>
                <w:noProof/>
              </w:rPr>
              <w:t>Patvirtinti (įskaitant patikslinimus) asignavimai, tūkst. litų</w:t>
            </w:r>
          </w:p>
        </w:tc>
        <w:tc>
          <w:tcPr>
            <w:tcW w:w="1606" w:type="dxa"/>
            <w:tcBorders>
              <w:bottom w:val="single" w:sz="4" w:space="0" w:color="auto"/>
            </w:tcBorders>
            <w:vAlign w:val="center"/>
          </w:tcPr>
          <w:p w:rsidR="00626711" w:rsidRPr="00F94DD1" w:rsidRDefault="00626711" w:rsidP="004F7425">
            <w:pPr>
              <w:pStyle w:val="Betarp"/>
              <w:jc w:val="both"/>
              <w:rPr>
                <w:noProof/>
              </w:rPr>
            </w:pPr>
            <w:r w:rsidRPr="00F94DD1">
              <w:rPr>
                <w:noProof/>
              </w:rPr>
              <w:t>Panaudoti asignavimai, tūkst. litų</w:t>
            </w:r>
          </w:p>
        </w:tc>
        <w:tc>
          <w:tcPr>
            <w:tcW w:w="1606" w:type="dxa"/>
            <w:tcBorders>
              <w:bottom w:val="single" w:sz="4" w:space="0" w:color="auto"/>
            </w:tcBorders>
            <w:vAlign w:val="center"/>
          </w:tcPr>
          <w:p w:rsidR="00626711" w:rsidRPr="00F94DD1" w:rsidRDefault="00626711" w:rsidP="004F7425">
            <w:pPr>
              <w:pStyle w:val="Betarp"/>
              <w:jc w:val="both"/>
              <w:rPr>
                <w:noProof/>
              </w:rPr>
            </w:pPr>
            <w:r w:rsidRPr="00F94DD1">
              <w:rPr>
                <w:noProof/>
              </w:rPr>
              <w:t>Panaudojimo procentas</w:t>
            </w:r>
          </w:p>
        </w:tc>
      </w:tr>
      <w:tr w:rsidR="00626711" w:rsidRPr="00F94DD1" w:rsidTr="004F7425">
        <w:tc>
          <w:tcPr>
            <w:tcW w:w="2977" w:type="dxa"/>
            <w:tcBorders>
              <w:top w:val="single" w:sz="4" w:space="0" w:color="auto"/>
              <w:left w:val="single" w:sz="4" w:space="0" w:color="auto"/>
              <w:bottom w:val="single" w:sz="4" w:space="0" w:color="auto"/>
            </w:tcBorders>
          </w:tcPr>
          <w:p w:rsidR="00626711" w:rsidRPr="00F94DD1" w:rsidRDefault="00626711" w:rsidP="004F7425">
            <w:pPr>
              <w:pStyle w:val="Betarp"/>
              <w:jc w:val="both"/>
              <w:rPr>
                <w:noProof/>
              </w:rPr>
            </w:pPr>
            <w:r w:rsidRPr="00F94DD1">
              <w:rPr>
                <w:noProof/>
              </w:rPr>
              <w:t xml:space="preserve">1. Visuomenės sveikatos priežiūros stiprinimas </w:t>
            </w:r>
          </w:p>
        </w:tc>
        <w:tc>
          <w:tcPr>
            <w:tcW w:w="2977" w:type="dxa"/>
            <w:tcBorders>
              <w:top w:val="single" w:sz="4" w:space="0" w:color="auto"/>
              <w:bottom w:val="single" w:sz="4" w:space="0" w:color="auto"/>
            </w:tcBorders>
            <w:vAlign w:val="center"/>
          </w:tcPr>
          <w:p w:rsidR="00626711" w:rsidRPr="00F94DD1" w:rsidRDefault="00626711" w:rsidP="004F7425">
            <w:pPr>
              <w:pStyle w:val="Betarp"/>
              <w:jc w:val="both"/>
            </w:pPr>
            <w:r w:rsidRPr="00F94DD1">
              <w:t>36733,5</w:t>
            </w:r>
          </w:p>
        </w:tc>
        <w:tc>
          <w:tcPr>
            <w:tcW w:w="1606" w:type="dxa"/>
            <w:tcBorders>
              <w:top w:val="single" w:sz="4" w:space="0" w:color="auto"/>
              <w:bottom w:val="single" w:sz="4" w:space="0" w:color="auto"/>
            </w:tcBorders>
            <w:vAlign w:val="center"/>
          </w:tcPr>
          <w:p w:rsidR="00626711" w:rsidRPr="00F94DD1" w:rsidRDefault="00626711" w:rsidP="004F7425">
            <w:pPr>
              <w:pStyle w:val="Betarp"/>
              <w:jc w:val="both"/>
            </w:pPr>
            <w:r w:rsidRPr="00F94DD1">
              <w:t>34836,8</w:t>
            </w:r>
          </w:p>
        </w:tc>
        <w:tc>
          <w:tcPr>
            <w:tcW w:w="1606" w:type="dxa"/>
            <w:tcBorders>
              <w:top w:val="single" w:sz="4" w:space="0" w:color="auto"/>
              <w:bottom w:val="single" w:sz="4" w:space="0" w:color="auto"/>
              <w:right w:val="single" w:sz="4" w:space="0" w:color="auto"/>
            </w:tcBorders>
            <w:vAlign w:val="center"/>
          </w:tcPr>
          <w:p w:rsidR="00626711" w:rsidRPr="00F94DD1" w:rsidRDefault="00626711" w:rsidP="004F7425">
            <w:pPr>
              <w:pStyle w:val="Betarp"/>
              <w:jc w:val="both"/>
            </w:pPr>
            <w:r w:rsidRPr="00F94DD1">
              <w:t>94,8</w:t>
            </w:r>
            <w:r w:rsidRPr="00F94DD1">
              <w:rPr>
                <w:noProof/>
              </w:rPr>
              <w:t>%</w:t>
            </w:r>
          </w:p>
        </w:tc>
      </w:tr>
      <w:tr w:rsidR="00626711" w:rsidRPr="00F94DD1" w:rsidTr="004F7425">
        <w:tc>
          <w:tcPr>
            <w:tcW w:w="2977" w:type="dxa"/>
            <w:tcBorders>
              <w:top w:val="single" w:sz="4" w:space="0" w:color="auto"/>
              <w:bottom w:val="nil"/>
            </w:tcBorders>
          </w:tcPr>
          <w:p w:rsidR="00626711" w:rsidRPr="00F94DD1" w:rsidRDefault="00626711" w:rsidP="004F7425">
            <w:pPr>
              <w:pStyle w:val="Betarp"/>
              <w:jc w:val="both"/>
              <w:rPr>
                <w:noProof/>
                <w:color w:val="3366FF"/>
              </w:rPr>
            </w:pPr>
            <w:r w:rsidRPr="00F94DD1">
              <w:rPr>
                <w:bCs/>
                <w:noProof/>
              </w:rPr>
              <w:t>2. Asmens sveikatos priežiūros kokybės užtikrinimas</w:t>
            </w:r>
            <w:r w:rsidRPr="00F94DD1">
              <w:rPr>
                <w:bCs/>
                <w:noProof/>
                <w:color w:val="3366FF"/>
              </w:rPr>
              <w:t xml:space="preserve"> </w:t>
            </w:r>
          </w:p>
        </w:tc>
        <w:tc>
          <w:tcPr>
            <w:tcW w:w="2977" w:type="dxa"/>
            <w:tcBorders>
              <w:top w:val="single" w:sz="4" w:space="0" w:color="auto"/>
            </w:tcBorders>
            <w:vAlign w:val="center"/>
          </w:tcPr>
          <w:p w:rsidR="00626711" w:rsidRPr="00F94DD1" w:rsidRDefault="00626711" w:rsidP="004F7425">
            <w:pPr>
              <w:pStyle w:val="Betarp"/>
              <w:jc w:val="both"/>
              <w:rPr>
                <w:noProof/>
              </w:rPr>
            </w:pPr>
            <w:r w:rsidRPr="00F94DD1">
              <w:rPr>
                <w:noProof/>
              </w:rPr>
              <w:t>16639</w:t>
            </w:r>
          </w:p>
        </w:tc>
        <w:tc>
          <w:tcPr>
            <w:tcW w:w="1606" w:type="dxa"/>
            <w:tcBorders>
              <w:top w:val="single" w:sz="4" w:space="0" w:color="auto"/>
            </w:tcBorders>
            <w:vAlign w:val="center"/>
          </w:tcPr>
          <w:p w:rsidR="00626711" w:rsidRPr="00F94DD1" w:rsidRDefault="00626711" w:rsidP="004F7425">
            <w:pPr>
              <w:pStyle w:val="Betarp"/>
              <w:jc w:val="both"/>
              <w:rPr>
                <w:noProof/>
              </w:rPr>
            </w:pPr>
            <w:r w:rsidRPr="00F94DD1">
              <w:rPr>
                <w:noProof/>
              </w:rPr>
              <w:t>16525,6</w:t>
            </w:r>
          </w:p>
        </w:tc>
        <w:tc>
          <w:tcPr>
            <w:tcW w:w="1606" w:type="dxa"/>
            <w:tcBorders>
              <w:top w:val="single" w:sz="4" w:space="0" w:color="auto"/>
            </w:tcBorders>
            <w:vAlign w:val="center"/>
          </w:tcPr>
          <w:p w:rsidR="00626711" w:rsidRPr="00F94DD1" w:rsidRDefault="00626711" w:rsidP="004F7425">
            <w:pPr>
              <w:pStyle w:val="Betarp"/>
              <w:jc w:val="both"/>
              <w:rPr>
                <w:noProof/>
              </w:rPr>
            </w:pPr>
            <w:r w:rsidRPr="00F94DD1">
              <w:rPr>
                <w:noProof/>
              </w:rPr>
              <w:t>99,3%</w:t>
            </w:r>
          </w:p>
        </w:tc>
      </w:tr>
      <w:tr w:rsidR="00626711" w:rsidRPr="00F94DD1" w:rsidTr="004F7425">
        <w:tc>
          <w:tcPr>
            <w:tcW w:w="2977" w:type="dxa"/>
            <w:tcBorders>
              <w:bottom w:val="nil"/>
            </w:tcBorders>
          </w:tcPr>
          <w:p w:rsidR="00626711" w:rsidRPr="00F94DD1" w:rsidRDefault="00626711" w:rsidP="004F7425">
            <w:pPr>
              <w:pStyle w:val="Betarp"/>
              <w:jc w:val="both"/>
              <w:rPr>
                <w:noProof/>
                <w:color w:val="3366FF"/>
              </w:rPr>
            </w:pPr>
            <w:r w:rsidRPr="00F94DD1">
              <w:rPr>
                <w:noProof/>
              </w:rPr>
              <w:t>3. Nacionalinė vaistų politika</w:t>
            </w:r>
            <w:r w:rsidRPr="00F94DD1">
              <w:rPr>
                <w:noProof/>
                <w:color w:val="3366FF"/>
              </w:rPr>
              <w:t xml:space="preserve"> </w:t>
            </w:r>
          </w:p>
        </w:tc>
        <w:tc>
          <w:tcPr>
            <w:tcW w:w="2977" w:type="dxa"/>
            <w:vAlign w:val="center"/>
          </w:tcPr>
          <w:p w:rsidR="00626711" w:rsidRPr="00F94DD1" w:rsidRDefault="00626711" w:rsidP="004F7425">
            <w:pPr>
              <w:pStyle w:val="Betarp"/>
              <w:jc w:val="both"/>
              <w:rPr>
                <w:noProof/>
              </w:rPr>
            </w:pPr>
            <w:r w:rsidRPr="00F94DD1">
              <w:rPr>
                <w:noProof/>
              </w:rPr>
              <w:t>13133</w:t>
            </w:r>
          </w:p>
        </w:tc>
        <w:tc>
          <w:tcPr>
            <w:tcW w:w="1606" w:type="dxa"/>
            <w:vAlign w:val="center"/>
          </w:tcPr>
          <w:p w:rsidR="00626711" w:rsidRPr="00F94DD1" w:rsidRDefault="00626711" w:rsidP="004F7425">
            <w:pPr>
              <w:pStyle w:val="Betarp"/>
              <w:jc w:val="both"/>
              <w:rPr>
                <w:noProof/>
              </w:rPr>
            </w:pPr>
            <w:r w:rsidRPr="00F94DD1">
              <w:rPr>
                <w:noProof/>
              </w:rPr>
              <w:t>12772,6</w:t>
            </w:r>
          </w:p>
        </w:tc>
        <w:tc>
          <w:tcPr>
            <w:tcW w:w="1606" w:type="dxa"/>
            <w:vAlign w:val="center"/>
          </w:tcPr>
          <w:p w:rsidR="00626711" w:rsidRPr="00F94DD1" w:rsidRDefault="00626711" w:rsidP="004F7425">
            <w:pPr>
              <w:pStyle w:val="Betarp"/>
              <w:jc w:val="both"/>
              <w:rPr>
                <w:noProof/>
              </w:rPr>
            </w:pPr>
            <w:r w:rsidRPr="00F94DD1">
              <w:rPr>
                <w:noProof/>
              </w:rPr>
              <w:t>97,3 %</w:t>
            </w:r>
          </w:p>
        </w:tc>
      </w:tr>
      <w:tr w:rsidR="00626711" w:rsidRPr="00F94DD1" w:rsidTr="004F7425">
        <w:tc>
          <w:tcPr>
            <w:tcW w:w="2977" w:type="dxa"/>
            <w:tcBorders>
              <w:bottom w:val="nil"/>
            </w:tcBorders>
          </w:tcPr>
          <w:p w:rsidR="00626711" w:rsidRPr="00F94DD1" w:rsidRDefault="00626711" w:rsidP="004F7425">
            <w:pPr>
              <w:pStyle w:val="Betarp"/>
              <w:jc w:val="both"/>
              <w:rPr>
                <w:noProof/>
                <w:color w:val="3366FF"/>
              </w:rPr>
            </w:pPr>
            <w:r w:rsidRPr="00F94DD1">
              <w:rPr>
                <w:noProof/>
              </w:rPr>
              <w:t>4. Sveikatos sistemos plėtra</w:t>
            </w:r>
            <w:r w:rsidRPr="00F94DD1">
              <w:rPr>
                <w:noProof/>
                <w:color w:val="3366FF"/>
              </w:rPr>
              <w:t xml:space="preserve"> </w:t>
            </w:r>
          </w:p>
        </w:tc>
        <w:tc>
          <w:tcPr>
            <w:tcW w:w="2977" w:type="dxa"/>
            <w:vAlign w:val="center"/>
          </w:tcPr>
          <w:p w:rsidR="00626711" w:rsidRPr="00F94DD1" w:rsidRDefault="00626711" w:rsidP="004F7425">
            <w:pPr>
              <w:pStyle w:val="Betarp"/>
              <w:jc w:val="both"/>
              <w:rPr>
                <w:noProof/>
              </w:rPr>
            </w:pPr>
            <w:r w:rsidRPr="00F94DD1">
              <w:rPr>
                <w:noProof/>
              </w:rPr>
              <w:t>245529,4</w:t>
            </w:r>
          </w:p>
        </w:tc>
        <w:tc>
          <w:tcPr>
            <w:tcW w:w="1606" w:type="dxa"/>
            <w:vAlign w:val="center"/>
          </w:tcPr>
          <w:p w:rsidR="00626711" w:rsidRPr="00F94DD1" w:rsidRDefault="00626711" w:rsidP="004F7425">
            <w:pPr>
              <w:pStyle w:val="Betarp"/>
              <w:jc w:val="both"/>
              <w:rPr>
                <w:noProof/>
              </w:rPr>
            </w:pPr>
            <w:r w:rsidRPr="00F94DD1">
              <w:rPr>
                <w:noProof/>
              </w:rPr>
              <w:t>198690,7</w:t>
            </w:r>
          </w:p>
        </w:tc>
        <w:tc>
          <w:tcPr>
            <w:tcW w:w="1606" w:type="dxa"/>
            <w:vAlign w:val="center"/>
          </w:tcPr>
          <w:p w:rsidR="00626711" w:rsidRPr="00F94DD1" w:rsidRDefault="00626711" w:rsidP="004F7425">
            <w:pPr>
              <w:pStyle w:val="Betarp"/>
              <w:jc w:val="both"/>
              <w:rPr>
                <w:noProof/>
              </w:rPr>
            </w:pPr>
            <w:r w:rsidRPr="00F94DD1">
              <w:rPr>
                <w:noProof/>
              </w:rPr>
              <w:t>80,9 %</w:t>
            </w:r>
          </w:p>
        </w:tc>
      </w:tr>
      <w:tr w:rsidR="00626711" w:rsidRPr="00F94DD1" w:rsidTr="004F7425">
        <w:trPr>
          <w:cantSplit/>
        </w:trPr>
        <w:tc>
          <w:tcPr>
            <w:tcW w:w="2977" w:type="dxa"/>
            <w:tcBorders>
              <w:bottom w:val="nil"/>
            </w:tcBorders>
          </w:tcPr>
          <w:p w:rsidR="00626711" w:rsidRPr="00F94DD1" w:rsidRDefault="00626711" w:rsidP="004F7425">
            <w:pPr>
              <w:pStyle w:val="Betarp"/>
              <w:jc w:val="both"/>
              <w:rPr>
                <w:noProof/>
                <w:color w:val="3366FF"/>
              </w:rPr>
            </w:pPr>
            <w:r w:rsidRPr="00F94DD1">
              <w:rPr>
                <w:bCs/>
                <w:noProof/>
              </w:rPr>
              <w:t>5. Sveikatos draudimo sistemos plėtojimas (programą įgyvendina Valstybinė ligonių kasa)</w:t>
            </w:r>
          </w:p>
        </w:tc>
        <w:tc>
          <w:tcPr>
            <w:tcW w:w="6189" w:type="dxa"/>
            <w:gridSpan w:val="3"/>
            <w:vAlign w:val="center"/>
          </w:tcPr>
          <w:p w:rsidR="00626711" w:rsidRPr="00F94DD1" w:rsidRDefault="00626711" w:rsidP="004F7425">
            <w:pPr>
              <w:pStyle w:val="Betarp"/>
              <w:jc w:val="both"/>
              <w:rPr>
                <w:noProof/>
              </w:rPr>
            </w:pPr>
            <w:r w:rsidRPr="00F94DD1">
              <w:rPr>
                <w:noProof/>
              </w:rPr>
              <w:t>Detali informacija apie skirtų asignavimų panaudojimą pateika Valstybinės ligonių kasos vykdomos programos „Sveikatos draudimo sistemos plėtojimas“ ataskaitoje.</w:t>
            </w:r>
          </w:p>
        </w:tc>
      </w:tr>
      <w:tr w:rsidR="00626711" w:rsidRPr="00F94DD1" w:rsidTr="004F7425">
        <w:trPr>
          <w:trHeight w:val="867"/>
        </w:trPr>
        <w:tc>
          <w:tcPr>
            <w:tcW w:w="2977" w:type="dxa"/>
            <w:tcBorders>
              <w:bottom w:val="nil"/>
            </w:tcBorders>
          </w:tcPr>
          <w:p w:rsidR="00626711" w:rsidRPr="00F94DD1" w:rsidRDefault="00626711" w:rsidP="004F7425">
            <w:pPr>
              <w:pStyle w:val="Betarp"/>
              <w:jc w:val="both"/>
              <w:rPr>
                <w:noProof/>
                <w:color w:val="3366FF"/>
              </w:rPr>
            </w:pPr>
            <w:r w:rsidRPr="00F94DD1">
              <w:rPr>
                <w:noProof/>
              </w:rPr>
              <w:t>6. Specialioji sveikatos priežiūros stiprinimo ir modernizavimo programa</w:t>
            </w:r>
          </w:p>
        </w:tc>
        <w:tc>
          <w:tcPr>
            <w:tcW w:w="2977" w:type="dxa"/>
            <w:vAlign w:val="center"/>
          </w:tcPr>
          <w:p w:rsidR="00626711" w:rsidRPr="00F94DD1" w:rsidRDefault="00626711" w:rsidP="004F7425">
            <w:pPr>
              <w:pStyle w:val="Betarp"/>
              <w:jc w:val="both"/>
              <w:rPr>
                <w:noProof/>
              </w:rPr>
            </w:pPr>
            <w:r w:rsidRPr="00F94DD1">
              <w:rPr>
                <w:noProof/>
              </w:rPr>
              <w:t>13625,2</w:t>
            </w:r>
          </w:p>
        </w:tc>
        <w:tc>
          <w:tcPr>
            <w:tcW w:w="1606" w:type="dxa"/>
            <w:vAlign w:val="center"/>
          </w:tcPr>
          <w:p w:rsidR="00626711" w:rsidRPr="00F94DD1" w:rsidRDefault="00626711" w:rsidP="004F7425">
            <w:pPr>
              <w:pStyle w:val="Betarp"/>
              <w:jc w:val="both"/>
              <w:rPr>
                <w:noProof/>
              </w:rPr>
            </w:pPr>
            <w:r w:rsidRPr="00F94DD1">
              <w:rPr>
                <w:noProof/>
              </w:rPr>
              <w:t>11586,6</w:t>
            </w:r>
          </w:p>
        </w:tc>
        <w:tc>
          <w:tcPr>
            <w:tcW w:w="1606" w:type="dxa"/>
            <w:vAlign w:val="center"/>
          </w:tcPr>
          <w:p w:rsidR="00626711" w:rsidRPr="00F94DD1" w:rsidRDefault="00626711" w:rsidP="004F7425">
            <w:pPr>
              <w:pStyle w:val="Betarp"/>
              <w:jc w:val="both"/>
              <w:rPr>
                <w:noProof/>
              </w:rPr>
            </w:pPr>
            <w:r w:rsidRPr="00F94DD1">
              <w:rPr>
                <w:noProof/>
              </w:rPr>
              <w:t>85,0 %</w:t>
            </w:r>
          </w:p>
        </w:tc>
      </w:tr>
      <w:tr w:rsidR="00626711" w:rsidRPr="00F94DD1" w:rsidTr="004F7425">
        <w:tc>
          <w:tcPr>
            <w:tcW w:w="2977" w:type="dxa"/>
            <w:tcBorders>
              <w:bottom w:val="single" w:sz="4" w:space="0" w:color="auto"/>
            </w:tcBorders>
          </w:tcPr>
          <w:p w:rsidR="00626711" w:rsidRPr="00F94DD1" w:rsidRDefault="00626711" w:rsidP="004F7425">
            <w:pPr>
              <w:pStyle w:val="Betarp"/>
              <w:jc w:val="both"/>
              <w:rPr>
                <w:noProof/>
                <w:color w:val="3366FF"/>
              </w:rPr>
            </w:pPr>
            <w:r w:rsidRPr="00F94DD1">
              <w:rPr>
                <w:noProof/>
              </w:rPr>
              <w:t>7. Specialioji Europos regioninės plėtros fondo programa (BPD įgyvendinti)</w:t>
            </w:r>
            <w:r w:rsidRPr="00F94DD1">
              <w:rPr>
                <w:noProof/>
                <w:color w:val="3366FF"/>
              </w:rPr>
              <w:t xml:space="preserve"> </w:t>
            </w:r>
          </w:p>
        </w:tc>
        <w:tc>
          <w:tcPr>
            <w:tcW w:w="2977" w:type="dxa"/>
            <w:tcBorders>
              <w:bottom w:val="single" w:sz="4" w:space="0" w:color="auto"/>
            </w:tcBorders>
            <w:vAlign w:val="center"/>
          </w:tcPr>
          <w:p w:rsidR="00626711" w:rsidRPr="00F94DD1" w:rsidRDefault="00626711" w:rsidP="004F7425">
            <w:pPr>
              <w:pStyle w:val="Betarp"/>
              <w:jc w:val="both"/>
              <w:rPr>
                <w:noProof/>
              </w:rPr>
            </w:pPr>
            <w:r w:rsidRPr="00F94DD1">
              <w:rPr>
                <w:noProof/>
              </w:rPr>
              <w:t>73541,7</w:t>
            </w:r>
          </w:p>
        </w:tc>
        <w:tc>
          <w:tcPr>
            <w:tcW w:w="1606" w:type="dxa"/>
            <w:tcBorders>
              <w:bottom w:val="single" w:sz="4" w:space="0" w:color="auto"/>
            </w:tcBorders>
            <w:vAlign w:val="center"/>
          </w:tcPr>
          <w:p w:rsidR="00626711" w:rsidRPr="00F94DD1" w:rsidRDefault="00626711" w:rsidP="004F7425">
            <w:pPr>
              <w:pStyle w:val="Betarp"/>
              <w:jc w:val="both"/>
              <w:rPr>
                <w:noProof/>
              </w:rPr>
            </w:pPr>
            <w:r w:rsidRPr="00F94DD1">
              <w:rPr>
                <w:noProof/>
              </w:rPr>
              <w:t>60329,7</w:t>
            </w:r>
          </w:p>
        </w:tc>
        <w:tc>
          <w:tcPr>
            <w:tcW w:w="1606" w:type="dxa"/>
            <w:tcBorders>
              <w:bottom w:val="single" w:sz="4" w:space="0" w:color="auto"/>
            </w:tcBorders>
            <w:vAlign w:val="center"/>
          </w:tcPr>
          <w:p w:rsidR="00626711" w:rsidRPr="00F94DD1" w:rsidRDefault="00626711" w:rsidP="004F7425">
            <w:pPr>
              <w:pStyle w:val="Betarp"/>
              <w:jc w:val="both"/>
              <w:rPr>
                <w:noProof/>
              </w:rPr>
            </w:pPr>
            <w:r w:rsidRPr="00F94DD1">
              <w:rPr>
                <w:noProof/>
              </w:rPr>
              <w:t>82,0 %</w:t>
            </w:r>
          </w:p>
        </w:tc>
      </w:tr>
      <w:tr w:rsidR="00626711" w:rsidRPr="00F94DD1" w:rsidTr="004F7425">
        <w:trPr>
          <w:trHeight w:val="451"/>
        </w:trPr>
        <w:tc>
          <w:tcPr>
            <w:tcW w:w="2977" w:type="dxa"/>
            <w:tcBorders>
              <w:top w:val="single" w:sz="4" w:space="0" w:color="auto"/>
            </w:tcBorders>
            <w:vAlign w:val="center"/>
          </w:tcPr>
          <w:p w:rsidR="00626711" w:rsidRPr="00F94DD1" w:rsidRDefault="00626711" w:rsidP="004F7425">
            <w:pPr>
              <w:pStyle w:val="Betarp"/>
              <w:jc w:val="both"/>
              <w:rPr>
                <w:b/>
                <w:bCs/>
                <w:noProof/>
              </w:rPr>
            </w:pPr>
            <w:r w:rsidRPr="00F94DD1">
              <w:rPr>
                <w:b/>
                <w:bCs/>
                <w:noProof/>
              </w:rPr>
              <w:t>Iš viso</w:t>
            </w:r>
          </w:p>
        </w:tc>
        <w:tc>
          <w:tcPr>
            <w:tcW w:w="2977" w:type="dxa"/>
            <w:tcBorders>
              <w:top w:val="single" w:sz="4" w:space="0" w:color="auto"/>
            </w:tcBorders>
            <w:vAlign w:val="center"/>
          </w:tcPr>
          <w:p w:rsidR="00626711" w:rsidRPr="00F94DD1" w:rsidRDefault="00626711" w:rsidP="004F7425">
            <w:pPr>
              <w:pStyle w:val="Betarp"/>
              <w:jc w:val="both"/>
              <w:rPr>
                <w:noProof/>
              </w:rPr>
            </w:pPr>
            <w:r w:rsidRPr="00F94DD1">
              <w:rPr>
                <w:noProof/>
              </w:rPr>
              <w:t>399201,8</w:t>
            </w:r>
          </w:p>
        </w:tc>
        <w:tc>
          <w:tcPr>
            <w:tcW w:w="1606" w:type="dxa"/>
            <w:tcBorders>
              <w:top w:val="single" w:sz="4" w:space="0" w:color="auto"/>
            </w:tcBorders>
            <w:vAlign w:val="center"/>
          </w:tcPr>
          <w:p w:rsidR="00626711" w:rsidRPr="00F94DD1" w:rsidRDefault="00626711" w:rsidP="004F7425">
            <w:pPr>
              <w:pStyle w:val="Betarp"/>
              <w:jc w:val="both"/>
              <w:rPr>
                <w:noProof/>
              </w:rPr>
            </w:pPr>
            <w:r w:rsidRPr="00F94DD1">
              <w:rPr>
                <w:noProof/>
              </w:rPr>
              <w:t>334742</w:t>
            </w:r>
          </w:p>
        </w:tc>
        <w:tc>
          <w:tcPr>
            <w:tcW w:w="1606" w:type="dxa"/>
            <w:tcBorders>
              <w:top w:val="single" w:sz="4" w:space="0" w:color="auto"/>
            </w:tcBorders>
            <w:vAlign w:val="center"/>
          </w:tcPr>
          <w:p w:rsidR="00626711" w:rsidRPr="00F94DD1" w:rsidRDefault="00626711" w:rsidP="004F7425">
            <w:pPr>
              <w:pStyle w:val="Betarp"/>
              <w:jc w:val="both"/>
              <w:rPr>
                <w:noProof/>
              </w:rPr>
            </w:pPr>
            <w:r w:rsidRPr="00F94DD1">
              <w:rPr>
                <w:noProof/>
              </w:rPr>
              <w:t>83,8 %</w:t>
            </w:r>
          </w:p>
        </w:tc>
      </w:tr>
    </w:tbl>
    <w:p w:rsidR="00626711" w:rsidRPr="00F94DD1" w:rsidRDefault="00626711" w:rsidP="00626711">
      <w:pPr>
        <w:pStyle w:val="Betarp"/>
        <w:jc w:val="both"/>
        <w:rPr>
          <w:noProof/>
        </w:rPr>
      </w:pPr>
    </w:p>
    <w:p w:rsidR="00626711" w:rsidRPr="00F94DD1" w:rsidRDefault="00626711" w:rsidP="00626711">
      <w:pPr>
        <w:pStyle w:val="Betarp"/>
        <w:ind w:firstLine="720"/>
        <w:jc w:val="both"/>
        <w:rPr>
          <w:noProof/>
          <w:color w:val="3366FF"/>
        </w:rPr>
      </w:pPr>
      <w:r w:rsidRPr="00F94DD1">
        <w:rPr>
          <w:noProof/>
        </w:rPr>
        <w:t>Tokiu būdu, Sveikatos apsaugos ministerijai 2008 m. buvo skirta</w:t>
      </w:r>
      <w:r w:rsidRPr="00F94DD1">
        <w:rPr>
          <w:noProof/>
          <w:color w:val="3366FF"/>
        </w:rPr>
        <w:t xml:space="preserve"> </w:t>
      </w:r>
      <w:r w:rsidRPr="00F94DD1">
        <w:rPr>
          <w:noProof/>
        </w:rPr>
        <w:t>399 201,8 tūkst. Lt LR biudžeto asignavimų, įskaitant ir ES lėšas. Iš jų 334 742,0 tūkst. Lt buvo panaudota. Skirtų asignavimų įsisavinimas yra 83,8 procentai. Visuomenės sveikatos priežiūros stirpinimo, Asmens sveikatos kokybės užtikrinimo, Nacionalinės vaistų politikos skirtos lėšos buvo įsisavintos daugiau nei 94 procentais.</w:t>
      </w:r>
    </w:p>
    <w:p w:rsidR="00626711" w:rsidRPr="00F94DD1" w:rsidRDefault="00626711" w:rsidP="00626711">
      <w:pPr>
        <w:pStyle w:val="Betarp"/>
        <w:ind w:firstLine="720"/>
        <w:jc w:val="both"/>
        <w:rPr>
          <w:noProof/>
          <w:color w:val="3366FF"/>
        </w:rPr>
      </w:pPr>
      <w:r w:rsidRPr="00F94DD1">
        <w:rPr>
          <w:noProof/>
        </w:rPr>
        <w:t xml:space="preserve">2008 m. </w:t>
      </w:r>
      <w:r w:rsidRPr="00F94DD1">
        <w:t>nepanaudota 2 038,6 tūkst. Lt</w:t>
      </w:r>
      <w:r w:rsidRPr="00F94DD1">
        <w:rPr>
          <w:noProof/>
        </w:rPr>
        <w:t xml:space="preserve"> Specialiosios sveikatos priežiūros stiprinimo ir modernizavimo programos asignavimų</w:t>
      </w:r>
      <w:r w:rsidRPr="00F94DD1">
        <w:t xml:space="preserve">. </w:t>
      </w:r>
    </w:p>
    <w:p w:rsidR="00626711" w:rsidRPr="00F94DD1" w:rsidRDefault="00626711" w:rsidP="00626711">
      <w:pPr>
        <w:pStyle w:val="Betarp"/>
        <w:ind w:firstLine="720"/>
        <w:jc w:val="both"/>
        <w:rPr>
          <w:noProof/>
        </w:rPr>
      </w:pPr>
      <w:r w:rsidRPr="00F94DD1">
        <w:rPr>
          <w:noProof/>
        </w:rPr>
        <w:t>Specialiajai Europos regioninės plėtros fondo programai (BPD įgyvendinti) vykdyti 2008 m. patvirtinta 41101 tūkst. Lt (įskaitant patikslinimus). Dėl 2007 m. nepanaudotų šios programos asignavimų, programos planas patikslintas 32440,7 tūkst. Lt ir iš viso 2008 m. sudarė 73541,7 tūkst. litų.</w:t>
      </w:r>
    </w:p>
    <w:p w:rsidR="00626711" w:rsidRPr="00F94DD1" w:rsidRDefault="00626711" w:rsidP="00626711">
      <w:pPr>
        <w:pStyle w:val="Betarp"/>
        <w:ind w:firstLine="720"/>
        <w:jc w:val="both"/>
        <w:rPr>
          <w:noProof/>
        </w:rPr>
      </w:pPr>
      <w:r w:rsidRPr="00F94DD1">
        <w:rPr>
          <w:noProof/>
        </w:rPr>
        <w:lastRenderedPageBreak/>
        <w:t xml:space="preserve">Per 2008 m. iš programai skirtų asignavimų išmokėta 60329,7 tūkst. Lt. (įskaitant lėšas, nepripažintas deklaruotinomis Europos Komisijai). Tame tarpe 49072,8 tūkst. Lt Europos Sąjungos lėšų ir 11256,9 tūkst. Lt bendrojo finansavimo lėšų. </w:t>
      </w:r>
    </w:p>
    <w:p w:rsidR="00626711" w:rsidRPr="00F94DD1" w:rsidRDefault="00626711" w:rsidP="00626711">
      <w:pPr>
        <w:pStyle w:val="Betarp"/>
        <w:ind w:firstLine="720"/>
        <w:jc w:val="both"/>
        <w:rPr>
          <w:noProof/>
        </w:rPr>
      </w:pPr>
      <w:r w:rsidRPr="00F94DD1">
        <w:rPr>
          <w:noProof/>
        </w:rPr>
        <w:t xml:space="preserve">Sveikatos sistemos plėtrai vykdyti patvirtinta 39587 tūkst. litų (įskaitant patikslinimus). Dėl 2007 m. nepanaudotų šios programos asignavimų, programos planas patikslintas 17594 tūkst. Lt ir iš viso 2008 m. sudarė 57181 tūkst. litų. </w:t>
      </w:r>
      <w:r w:rsidRPr="00F94DD1">
        <w:t>Patvirtinti asignavimai nebuvo panaudoti</w:t>
      </w:r>
      <w:r w:rsidRPr="00F94DD1">
        <w:rPr>
          <w:noProof/>
        </w:rPr>
        <w:t>, nes 2008 m. nebuvo pradėtos struktūrinės paramos išmokėjimo procedūros.</w:t>
      </w:r>
    </w:p>
    <w:p w:rsidR="00626711" w:rsidRPr="00F94DD1" w:rsidRDefault="00626711" w:rsidP="00626711">
      <w:pPr>
        <w:pStyle w:val="Betarp"/>
        <w:ind w:firstLine="720"/>
        <w:jc w:val="both"/>
        <w:rPr>
          <w:color w:val="000000"/>
        </w:rPr>
      </w:pPr>
      <w:r w:rsidRPr="00F94DD1">
        <w:rPr>
          <w:bCs/>
        </w:rPr>
        <w:t>Valstybinės ligonių kasos prie Sveikatos apsaugos ministerijos duomenimis</w:t>
      </w:r>
      <w:r w:rsidRPr="00F94DD1">
        <w:rPr>
          <w:b/>
        </w:rPr>
        <w:t xml:space="preserve">  </w:t>
      </w:r>
      <w:r w:rsidRPr="00F94DD1">
        <w:rPr>
          <w:color w:val="000000"/>
        </w:rPr>
        <w:t>2008 metais PSDF biudžetas gavo 4 241 812 tūkst.Lt  pajamų, tai  yra 125,0 mln. Lt mažiau  (be likučio metų pradžiai) nei buvo planuota (2007 metais šios pajamos siekė  3 680 871  tūkst. Lt):</w:t>
      </w:r>
    </w:p>
    <w:p w:rsidR="00626711" w:rsidRPr="00F94DD1" w:rsidRDefault="00626711" w:rsidP="00626711">
      <w:pPr>
        <w:pStyle w:val="Betarp"/>
        <w:jc w:val="both"/>
        <w:rPr>
          <w:color w:val="000000"/>
        </w:rPr>
      </w:pPr>
      <w:r w:rsidRPr="00F94DD1">
        <w:rPr>
          <w:color w:val="000000"/>
        </w:rPr>
        <w:tab/>
        <w:t>- iš „Sodros“ gautos visos planuotos surenkamos sveikatos draudimo įmokos (918,5 mln. Lt);</w:t>
      </w:r>
    </w:p>
    <w:p w:rsidR="00626711" w:rsidRPr="00F94DD1" w:rsidRDefault="00626711" w:rsidP="00626711">
      <w:pPr>
        <w:pStyle w:val="Betarp"/>
        <w:jc w:val="both"/>
        <w:rPr>
          <w:color w:val="000000"/>
        </w:rPr>
      </w:pPr>
      <w:r w:rsidRPr="00F94DD1">
        <w:rPr>
          <w:color w:val="000000"/>
        </w:rPr>
        <w:tab/>
        <w:t>- gauta 16,5 mln. Lt  daugiau kitų pajamų;</w:t>
      </w:r>
    </w:p>
    <w:p w:rsidR="00626711" w:rsidRPr="00F94DD1" w:rsidRDefault="00626711" w:rsidP="00626711">
      <w:pPr>
        <w:pStyle w:val="Betarp"/>
        <w:jc w:val="both"/>
        <w:rPr>
          <w:color w:val="000000"/>
        </w:rPr>
      </w:pPr>
      <w:r w:rsidRPr="00F94DD1">
        <w:rPr>
          <w:color w:val="000000"/>
        </w:rPr>
        <w:tab/>
        <w:t>- tačiau iš Valstybinės mokesčių inspekcijos atskaitymų iš gyventojų pajamų mokesčio negauta      120,3 mln. litų.</w:t>
      </w:r>
    </w:p>
    <w:p w:rsidR="00626711" w:rsidRPr="00F94DD1" w:rsidRDefault="00626711" w:rsidP="00626711">
      <w:pPr>
        <w:pStyle w:val="Betarp"/>
        <w:ind w:firstLine="720"/>
        <w:jc w:val="both"/>
        <w:rPr>
          <w:color w:val="000000"/>
        </w:rPr>
      </w:pPr>
      <w:r w:rsidRPr="00F94DD1">
        <w:rPr>
          <w:color w:val="000000"/>
        </w:rPr>
        <w:t>Iš Lietuvos Respublikos valstybės biudžeto negauta 21,5 mln. litų. LR valstybės biudžeto įmokos ir asignavimai sudaro 1 080 391 tūkst. litų.</w:t>
      </w:r>
    </w:p>
    <w:p w:rsidR="00626711" w:rsidRPr="00F94DD1" w:rsidRDefault="00626711" w:rsidP="00626711">
      <w:pPr>
        <w:pStyle w:val="Betarp"/>
        <w:ind w:firstLine="720"/>
        <w:jc w:val="both"/>
        <w:rPr>
          <w:color w:val="000000"/>
        </w:rPr>
      </w:pPr>
      <w:r w:rsidRPr="00F94DD1">
        <w:rPr>
          <w:color w:val="000000"/>
        </w:rPr>
        <w:t>Lietuvos Respublikos sveikatos apsaugos ministro 2008 m. gegužės  9 d. įsakymais nuo Nr. V-418 (Žin., 2008, Nr. 54-2011</w:t>
      </w:r>
      <w:r w:rsidRPr="00F94DD1">
        <w:rPr>
          <w:b/>
          <w:bCs/>
          <w:color w:val="000000"/>
        </w:rPr>
        <w:t> </w:t>
      </w:r>
      <w:r w:rsidRPr="00F94DD1">
        <w:rPr>
          <w:color w:val="000000"/>
        </w:rPr>
        <w:t>) iki Nr. V-446 (Žin., 2008, Nr. 54-2039</w:t>
      </w:r>
      <w:r w:rsidRPr="00F94DD1">
        <w:rPr>
          <w:b/>
          <w:bCs/>
          <w:color w:val="000000"/>
        </w:rPr>
        <w:t> </w:t>
      </w:r>
      <w:r w:rsidRPr="00F94DD1">
        <w:rPr>
          <w:color w:val="000000"/>
        </w:rPr>
        <w:t xml:space="preserve">) bei Lietuvos Respublikos sveikatos apsaugos ministro 2008 m. gegužės 16 d. įsakymu Nr. V-466 (Žin., 2008, Nr. 59-2244 indeksuotos asmens sveikatos priežiūros paslaugų bazinės kainos. </w:t>
      </w:r>
    </w:p>
    <w:p w:rsidR="00626711" w:rsidRPr="00F94DD1" w:rsidRDefault="00626711" w:rsidP="00626711">
      <w:pPr>
        <w:pStyle w:val="Betarp"/>
        <w:ind w:firstLine="720"/>
        <w:jc w:val="both"/>
        <w:rPr>
          <w:b/>
        </w:rPr>
      </w:pPr>
      <w:r w:rsidRPr="00F94DD1">
        <w:t>Kreditorinis įsiskolinimas asmens sveikatos priežiūros įstaigoms (toliau – ASPĮ) 2008-01-01 sudarė  94,2 mln. litų, 2009-01-01 – 236,0 mln. litų. Kreditorinis įsiskolinimas už išduotus (parduotus) kompensuojamuosius vaistus ir medicinos pagalbos priemones 2008-01-01 sudarė 87,7 mln. Lt, 2009-01-01 – 92,7 mln. litų. 2009-01-01 kreditorinis įsiskolinimas buvo apie 1,5 mėnesio. Kreditorinis įsiskolinimas sanatorijoms 2008-01-01 sudarė – 11,6 mln. Lt, 2009-01-01 – 15,2 mln. litų.</w:t>
      </w:r>
      <w:r w:rsidRPr="00F94DD1">
        <w:rPr>
          <w:b/>
        </w:rPr>
        <w:t xml:space="preserve"> </w:t>
      </w:r>
    </w:p>
    <w:p w:rsidR="00626711" w:rsidRPr="00F94DD1" w:rsidRDefault="00626711" w:rsidP="00626711">
      <w:pPr>
        <w:pStyle w:val="Betarp"/>
        <w:ind w:firstLine="720"/>
        <w:jc w:val="both"/>
      </w:pPr>
      <w:r w:rsidRPr="00F94DD1">
        <w:rPr>
          <w:bCs/>
        </w:rPr>
        <w:t>Valstybinės ligonių kasos prie Sveikatos apsaugos ministerijos duomenimis, administruojant  PSDF biudžetą buvo</w:t>
      </w:r>
      <w:r w:rsidRPr="00F94DD1">
        <w:rPr>
          <w:b/>
        </w:rPr>
        <w:t xml:space="preserve"> </w:t>
      </w:r>
      <w:r w:rsidRPr="00F94DD1">
        <w:rPr>
          <w:bCs/>
        </w:rPr>
        <w:t>p</w:t>
      </w:r>
      <w:r w:rsidRPr="00F94DD1">
        <w:t xml:space="preserve">arengtos Lietuvos Respublikos 2009-2011 metų PSDF biudžeto prognozės (nustatyta, kad 2009 m. papildomų PSDF biudžeto lėšų poreikis yra </w:t>
      </w:r>
      <w:r w:rsidRPr="00F94DD1">
        <w:rPr>
          <w:bCs/>
        </w:rPr>
        <w:t>1709,5 mln. Lt</w:t>
      </w:r>
      <w:r w:rsidRPr="00F94DD1">
        <w:t>). Parengtas 2009 m. PSDF biudžeto projektas, kuris 2008 m. gruodžio 22 d. patvirtintas Lietuvos Respublikos 2009 metų Privalomojo sveikatos draudimo fondo biudžeto rodiklių patvirtinimo įstatymu (Žin., 2008, Nr. 149-6021). Patvirtintas 2009 metų PSDF biudžetas sudaro 4 686 979 tūkst. Lt ir, palyginti su 2008 metais, didėja 300 203 tūkst. Lt arba 6,8 procentais. Atlikta analizė ir Finansų ministerijai pateikti duomenys (18 pozicijų) apie valstybės lėšomis draudžiamų asmenų skaičių pagal 2008-01-01 dienos būklę. Šių asmenų lyginant su 2007-01-01 duomenimis mažėja 45,5 tūkstančiais.</w:t>
      </w:r>
    </w:p>
    <w:p w:rsidR="00626711" w:rsidRPr="00F94DD1" w:rsidRDefault="00626711" w:rsidP="00626711">
      <w:pPr>
        <w:pStyle w:val="Betarp"/>
        <w:ind w:firstLine="720"/>
        <w:jc w:val="both"/>
        <w:rPr>
          <w:color w:val="000000"/>
        </w:rPr>
      </w:pPr>
      <w:r w:rsidRPr="00F94DD1">
        <w:rPr>
          <w:color w:val="000000"/>
        </w:rPr>
        <w:t xml:space="preserve"> Atlikta 2002–2007 m. PSDF biudžeto išlaidų gyventojams pagal amžių ir lytį duomenų analizė. Tobulinant sveikatos draudimo sistemą ir įgyvendinant sveikatos santykių teisumo principą, 2008 metais toliau atsižvelgta į skirtingų regionų ir gyventojų grupių poreikius: pirminei ambulatorinei asmens sveikatos priežiūrai (taip pat skatinamosioms paslaugoms, greitosios medicinos pagalbos, slaugos ir palaikomojo gydymo, stacionarinėms, specializuotoms ambulatorinėms paslaugoms, medicininei reabilitacijai, vaistams ir medicinos pagalbos priemonėms kompensuoti, prevencinėms programoms) skiriamos lėšos priklausė nuo teritorinių ligonių kasų aptarnaujamų regionų gyventojų skaičiaus, amžiaus ir lyties.</w:t>
      </w:r>
    </w:p>
    <w:p w:rsidR="00626711" w:rsidRPr="00F94DD1" w:rsidRDefault="00626711" w:rsidP="00626711">
      <w:pPr>
        <w:pStyle w:val="Betarp"/>
        <w:ind w:firstLine="720"/>
        <w:jc w:val="both"/>
      </w:pPr>
      <w:r w:rsidRPr="00F94DD1">
        <w:t xml:space="preserve">2008 metais buvo tobulinta informacinės sistemos </w:t>
      </w:r>
      <w:r w:rsidRPr="00F94DD1">
        <w:rPr>
          <w:b/>
          <w:bCs/>
        </w:rPr>
        <w:t>SVEIDRA</w:t>
      </w:r>
      <w:r w:rsidRPr="00F94DD1">
        <w:t xml:space="preserve"> teisinė bazė. </w:t>
      </w:r>
      <w:r w:rsidRPr="00F94DD1">
        <w:rPr>
          <w:bCs/>
        </w:rPr>
        <w:t>Valstybinės ligonių kasos prie Sveikatos apsaugos ministerijos</w:t>
      </w:r>
      <w:r w:rsidRPr="00F94DD1">
        <w:rPr>
          <w:b/>
          <w:bCs/>
        </w:rPr>
        <w:t xml:space="preserve"> </w:t>
      </w:r>
      <w:r w:rsidRPr="00F94DD1">
        <w:t>duomenimis,</w:t>
      </w:r>
      <w:r w:rsidRPr="00F94DD1">
        <w:rPr>
          <w:b/>
          <w:bCs/>
        </w:rPr>
        <w:t xml:space="preserve"> </w:t>
      </w:r>
      <w:r w:rsidRPr="00F94DD1">
        <w:t>ji</w:t>
      </w:r>
      <w:r w:rsidRPr="00F94DD1">
        <w:rPr>
          <w:b/>
          <w:bCs/>
        </w:rPr>
        <w:t xml:space="preserve"> </w:t>
      </w:r>
      <w:r w:rsidRPr="00F94DD1">
        <w:t xml:space="preserve">parengė SVEIDRA nuostatų naujos redakcijos projektą ir sukūrė SVEIDRA saugos nuostatus, parengė Sveikatos draudimo įstatymo pataisas, tikslinančias VLK ir TLK funkcijas bei suteikiančias teisę tvarkyti ypatingus asmens duomenis, susijusius su sveikata. </w:t>
      </w:r>
      <w:r w:rsidRPr="00F94DD1">
        <w:rPr>
          <w:bCs/>
        </w:rPr>
        <w:t>Valstybinė ligonių kasa prie Sveikatos apsaugos ministerijos</w:t>
      </w:r>
      <w:r w:rsidRPr="00F94DD1">
        <w:t xml:space="preserve"> pasirengė  SVEIDRA išankstinei patikrai ir leidimo tvarkyti ypatingus asmens duomenis. </w:t>
      </w:r>
      <w:r w:rsidRPr="00F94DD1">
        <w:rPr>
          <w:b/>
          <w:bCs/>
        </w:rPr>
        <w:t xml:space="preserve">Jau įvykdyti 3 etapai: analizės etapas – reikalavimai sistemai ir sistemos architektūra; projektavimo etapas – sistemos techninės specifikacijos; kūrimo etapas – sukurta programinė įranga. </w:t>
      </w:r>
      <w:r w:rsidRPr="00F94DD1">
        <w:t xml:space="preserve">(Dėl šios sistemos netobulumų ne kartą Seimo Narkomanijos prevencijos komisija atkreipė dėmesį. Valstybės kontrolė padarė išvadas). Jos tinkamas funkcionavimas sudarytų galimybes gauti išsamius duomenis apie priklausomybės ligomis sergančius asmenis.  </w:t>
      </w:r>
    </w:p>
    <w:p w:rsidR="00626711" w:rsidRPr="00F94DD1" w:rsidRDefault="00626711" w:rsidP="00626711">
      <w:pPr>
        <w:pStyle w:val="Betarp"/>
        <w:ind w:firstLine="720"/>
        <w:jc w:val="both"/>
        <w:rPr>
          <w:bCs/>
        </w:rPr>
      </w:pPr>
      <w:r w:rsidRPr="00F94DD1">
        <w:rPr>
          <w:bCs/>
        </w:rPr>
        <w:t xml:space="preserve">2008 m. medicininės reabilitacijos paslaugoms apmokėti iš PSDF biudžeto lėšų buvo skirta 143 399 000 Lt ( 2007 m. – 131 754 300 Lt). Ypatingas dėmesys skirtas ambulatorinės reabilitacijos </w:t>
      </w:r>
      <w:r w:rsidRPr="00F94DD1">
        <w:rPr>
          <w:bCs/>
        </w:rPr>
        <w:lastRenderedPageBreak/>
        <w:t xml:space="preserve">paslaugų teikimui, kuris lyginant su 2007 m. išaugo nuo 18 iki 29  proc. visų medicininės reabilitacijos atvejų. </w:t>
      </w:r>
    </w:p>
    <w:p w:rsidR="00626711" w:rsidRPr="00F94DD1" w:rsidRDefault="00626711" w:rsidP="00626711">
      <w:pPr>
        <w:pStyle w:val="Betarp"/>
        <w:ind w:firstLine="720"/>
        <w:jc w:val="both"/>
      </w:pPr>
      <w:r w:rsidRPr="00F94DD1">
        <w:t>M</w:t>
      </w:r>
      <w:r w:rsidRPr="00F94DD1">
        <w:rPr>
          <w:snapToGrid w:val="0"/>
        </w:rPr>
        <w:t xml:space="preserve">edicininei reabilitacijai ir sanatoriniam gydymui </w:t>
      </w:r>
      <w:r w:rsidRPr="00F94DD1">
        <w:t>2008 m. iš PSDF biudžeto skirta 11,6  kompensuoti poreikio didėjimą lemia tai, kad daugėja pacientų, kuriuos reikia greitai ir efektyviai išgydyti siekiant galutinio tikslo – grąžinti juos į darbą arba išvengti antrinio neįgalumo. Pagal Pasaulio sveikatos organizacijos nuostatas prioritetas turi būti teikiamas sergantiems sunkiomis ūmiomis ligomis arba patyrusiems sunkias traumas ligoniams. Tokių asmenų, kuriuos nuo mirties gelbsti naujausios medicinos technologijos, vis daugėja.</w:t>
      </w:r>
    </w:p>
    <w:p w:rsidR="00626711" w:rsidRPr="00F94DD1" w:rsidRDefault="00626711" w:rsidP="00626711">
      <w:pPr>
        <w:pStyle w:val="Betarp"/>
        <w:ind w:firstLine="720"/>
        <w:jc w:val="both"/>
        <w:rPr>
          <w:bCs/>
          <w:snapToGrid w:val="0"/>
        </w:rPr>
      </w:pPr>
      <w:r w:rsidRPr="00F94DD1">
        <w:t xml:space="preserve">2009 metams iš PSDF biudžeto </w:t>
      </w:r>
      <w:r w:rsidRPr="00F94DD1">
        <w:rPr>
          <w:bCs/>
          <w:snapToGrid w:val="0"/>
        </w:rPr>
        <w:t xml:space="preserve">medicininei reabilitacijai ir sanatoriniam gydymui </w:t>
      </w:r>
      <w:r w:rsidRPr="00F94DD1">
        <w:t xml:space="preserve">skirta 148 043 tūkst. Lt, t. y. 4644 tūkst. Lt, arba 3,2 proc., daugiau, negu buvo numatyta 2008 metų biudžete. </w:t>
      </w:r>
    </w:p>
    <w:p w:rsidR="00626711" w:rsidRPr="00F94DD1" w:rsidRDefault="00626711" w:rsidP="00626711">
      <w:pPr>
        <w:pStyle w:val="Betarp"/>
        <w:jc w:val="both"/>
        <w:rPr>
          <w:bCs/>
          <w:snapToGrid w:val="0"/>
        </w:rPr>
      </w:pPr>
      <w:r w:rsidRPr="00F94DD1">
        <w:t>Teritorinės ligonių kasoms (toliau – TLK)</w:t>
      </w:r>
      <w:r w:rsidRPr="00F94DD1">
        <w:rPr>
          <w:bCs/>
          <w:snapToGrid w:val="0"/>
        </w:rPr>
        <w:t xml:space="preserve"> lėšas medicininei reabilitacijai ir sanatoriniam gydymui paskirsto ASPĮ pagal metodikas, kuriose atsižvelgiama į aptarnaujamų gyventojų skaičių, amžiaus struktūrą, sergamumą kai kuriomis lėtinėmis ligomis. </w:t>
      </w:r>
    </w:p>
    <w:p w:rsidR="00626711" w:rsidRPr="00F94DD1" w:rsidRDefault="00626711" w:rsidP="00626711">
      <w:pPr>
        <w:pStyle w:val="Betarp"/>
        <w:jc w:val="both"/>
      </w:pPr>
      <w:r w:rsidRPr="00F94DD1">
        <w:rPr>
          <w:b/>
          <w:bCs/>
        </w:rPr>
        <w:tab/>
      </w:r>
      <w:r w:rsidRPr="00F94DD1">
        <w:rPr>
          <w:color w:val="000000"/>
          <w:spacing w:val="-1"/>
        </w:rPr>
        <w:t>Siekiant užtikrinti, kad gydymo įstaigų finansavimas tiesiogiai priklausytų nuo jų suteiktų</w:t>
      </w:r>
      <w:r w:rsidRPr="00F94DD1">
        <w:t xml:space="preserve"> </w:t>
      </w:r>
      <w:r w:rsidRPr="00F94DD1">
        <w:rPr>
          <w:color w:val="000000"/>
          <w:spacing w:val="6"/>
        </w:rPr>
        <w:t xml:space="preserve">paslaugų apimties ir kokybės ir </w:t>
      </w:r>
      <w:r w:rsidRPr="00F94DD1">
        <w:t xml:space="preserve">tobulinti asmens sveikatos priežiūros paslaugų apmokėjimo metodus bei kainodarą, rengiami DRG (paslaugų apmokėjimo metodas pagal giminingų diagnozių grupes) sistemos ir ABC kainodaros (veiklomis pagrįsta asmens sveikatos priežiūros paslaugų sąnaudų apskaita) sistemos diegimo planai. </w:t>
      </w:r>
    </w:p>
    <w:p w:rsidR="00626711" w:rsidRPr="00F94DD1" w:rsidRDefault="00626711" w:rsidP="00626711">
      <w:pPr>
        <w:pStyle w:val="Betarp"/>
        <w:jc w:val="both"/>
      </w:pPr>
      <w:r w:rsidRPr="00F94DD1">
        <w:rPr>
          <w:b/>
          <w:bCs/>
        </w:rPr>
        <w:t xml:space="preserve">           Lietuvos Respublikos Narkologinės priežiūros įstatymas</w:t>
      </w:r>
      <w:r w:rsidRPr="00F94DD1">
        <w:t xml:space="preserve"> 1997 m. kovo 25 d. Nr. VIII-156 (Žin., </w:t>
      </w:r>
      <w:r w:rsidRPr="00F94DD1">
        <w:rPr>
          <w:caps/>
        </w:rPr>
        <w:t>1997, Nr. 30-7</w:t>
      </w:r>
      <w:r w:rsidRPr="00F94DD1">
        <w:t xml:space="preserve">11; 2005, Nr. 85-3142) reguliuoja narkologinių ligonių, asmenų, piktnaudžiaujančių alkoholiu, narkotinėmis, psichotropinėmis, kitomis psichiką veikiančiomis medžiagomis, asmens sveikatos priežiūrą siekiant sustabdyti ligą ir jos socialines pasekmes, sumažinti žalą pacientams ir aplinkiniams. Šis įstatymas sudaro narkologinių susirgimų prevencijos, ankstyvo susirgimų nustatymo, pacientų sveikatos priežiūros, jų integracijos į visuomenę sąlygas. Šis įstatymas nustato narkologinių ligonių sveikatos priežiūros ypatumus. </w:t>
      </w:r>
    </w:p>
    <w:p w:rsidR="00626711" w:rsidRPr="00F94DD1" w:rsidRDefault="00626711" w:rsidP="00626711">
      <w:pPr>
        <w:pStyle w:val="Betarp"/>
        <w:jc w:val="both"/>
      </w:pPr>
      <w:bookmarkStart w:id="18" w:name="straipsnis2"/>
      <w:r w:rsidRPr="00F94DD1">
        <w:rPr>
          <w:b/>
        </w:rPr>
        <w:t xml:space="preserve"> </w:t>
      </w:r>
      <w:bookmarkEnd w:id="18"/>
      <w:r w:rsidRPr="00F94DD1">
        <w:rPr>
          <w:b/>
        </w:rPr>
        <w:tab/>
        <w:t xml:space="preserve">Alkoholizmas </w:t>
      </w:r>
      <w:r w:rsidRPr="00F94DD1">
        <w:t>- psichikos liga, kuria suserga asmenys dėl piktnaudžiavimo alkoholiu, pasireiškianti asmens psichinės ir fizinės priklausomybės nuo alkoholio sindromu bei kitomis neigiamomis medicininėmis ir socialinėmis pasekmėmis.</w:t>
      </w:r>
    </w:p>
    <w:p w:rsidR="00626711" w:rsidRPr="00F94DD1" w:rsidRDefault="00626711" w:rsidP="00626711">
      <w:pPr>
        <w:pStyle w:val="Betarp"/>
        <w:ind w:firstLine="720"/>
        <w:jc w:val="both"/>
      </w:pPr>
      <w:r w:rsidRPr="00F94DD1">
        <w:rPr>
          <w:b/>
        </w:rPr>
        <w:t xml:space="preserve">Narkomanija </w:t>
      </w:r>
      <w:r w:rsidRPr="00F94DD1">
        <w:t>- psichikos liga, kuria suserga asmenys dėl piktnaudžiavimo narkotinėmis, psichotropinėmis, kitomis psichiką veikiančiomis medžiagomis, pasireiškianti asmens psichinės ir fizinės priklausomybės nuo narkotinių, psichotropinių, kitų psichiką veikiančių medžiagų sindromu bei kitomis neigiamomis medicininėmis ir socialinėmis pasekmėmis.</w:t>
      </w:r>
    </w:p>
    <w:p w:rsidR="00626711" w:rsidRPr="00F94DD1" w:rsidRDefault="00626711" w:rsidP="00626711">
      <w:pPr>
        <w:pStyle w:val="Betarp"/>
        <w:ind w:firstLine="720"/>
        <w:jc w:val="both"/>
      </w:pPr>
      <w:r w:rsidRPr="00F94DD1">
        <w:rPr>
          <w:b/>
        </w:rPr>
        <w:t>Narkologinis ligonis</w:t>
      </w:r>
      <w:r w:rsidRPr="00F94DD1">
        <w:t xml:space="preserve"> - asmuo su išsivysčiusiu priklausomybės nuo alkoholio, narkotinių, psichotropinių, kitų psichiką veikiančių medžiagų sindromu.</w:t>
      </w:r>
    </w:p>
    <w:p w:rsidR="00626711" w:rsidRPr="00F94DD1" w:rsidRDefault="00626711" w:rsidP="00626711">
      <w:pPr>
        <w:pStyle w:val="Betarp"/>
        <w:ind w:firstLine="720"/>
        <w:jc w:val="both"/>
      </w:pPr>
      <w:r w:rsidRPr="00F94DD1">
        <w:rPr>
          <w:b/>
        </w:rPr>
        <w:t xml:space="preserve">Narkologinė priežiūra </w:t>
      </w:r>
      <w:r w:rsidRPr="00F94DD1">
        <w:t>- asmens sveikatos priežiūra, vykdoma pagal Sveikatos apsaugos ministerijos patvirtintus alkoholizmo ir narkomanijos gydymo ir reabilitacijos standartus.</w:t>
      </w:r>
    </w:p>
    <w:p w:rsidR="00626711" w:rsidRPr="00F94DD1" w:rsidRDefault="00626711" w:rsidP="00626711">
      <w:pPr>
        <w:pStyle w:val="Betarp"/>
        <w:jc w:val="both"/>
      </w:pPr>
      <w:r w:rsidRPr="00F94DD1">
        <w:rPr>
          <w:b/>
        </w:rPr>
        <w:t xml:space="preserve">Psichiką veikiančios medžiagos (alkoholis, narkotinės priemonės, psichotropinės ir kitos svaigiosios medžiagos) </w:t>
      </w:r>
      <w:r w:rsidRPr="00F94DD1">
        <w:t>- į Sveikatos apsaugos ministerijos patvirtintą sąrašą įrašytos medžiagos, kurios veikia žmogaus psichiką, sutrikdo žmogaus elgesį ir gali sukelti psichinę ir(ar) fizinę priklausomybę.</w:t>
      </w:r>
    </w:p>
    <w:p w:rsidR="00626711" w:rsidRPr="00F94DD1" w:rsidRDefault="00626711" w:rsidP="00626711">
      <w:pPr>
        <w:pStyle w:val="Betarp"/>
        <w:ind w:firstLine="720"/>
        <w:jc w:val="both"/>
      </w:pPr>
      <w:r w:rsidRPr="00F94DD1">
        <w:rPr>
          <w:b/>
        </w:rPr>
        <w:t xml:space="preserve">Narkologinio ligonio stebėjimas </w:t>
      </w:r>
      <w:r w:rsidRPr="00F94DD1">
        <w:t>- aktyvus asmens sveikatos ir socialinės būklės įvertinimas, taikant konkrečias medicinines ir socialinio poveikio priemones, šio įstatymo ir Sveikatos apsaugos ministerijos nustatyta tvarka.</w:t>
      </w:r>
    </w:p>
    <w:p w:rsidR="00626711" w:rsidRPr="00F94DD1" w:rsidRDefault="00626711" w:rsidP="00626711">
      <w:pPr>
        <w:pStyle w:val="Betarp"/>
        <w:ind w:firstLine="720"/>
        <w:jc w:val="both"/>
      </w:pPr>
      <w:r w:rsidRPr="00F94DD1">
        <w:rPr>
          <w:b/>
          <w:bCs/>
        </w:rPr>
        <w:t>Narkologinės priežiūros tikslas</w:t>
      </w:r>
      <w:r w:rsidRPr="00F94DD1">
        <w:t xml:space="preserve"> - 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ir socialinę globą</w:t>
      </w:r>
    </w:p>
    <w:p w:rsidR="00626711" w:rsidRPr="00F94DD1" w:rsidRDefault="00626711" w:rsidP="00626711">
      <w:pPr>
        <w:pStyle w:val="Betarp"/>
        <w:jc w:val="both"/>
      </w:pPr>
      <w:r w:rsidRPr="00F94DD1">
        <w:t xml:space="preserve"> </w:t>
      </w:r>
      <w:r w:rsidRPr="00F94DD1">
        <w:tab/>
        <w:t>Narkologiniams ligoniams taikoma individuali sveikatos priežiūra laikantis Sveikatos apsaugos ministerijos nustatytų narkologinių susirgimų gydymo metodų.</w:t>
      </w:r>
    </w:p>
    <w:p w:rsidR="00626711" w:rsidRPr="00F94DD1" w:rsidRDefault="00626711" w:rsidP="00626711">
      <w:pPr>
        <w:pStyle w:val="Betarp"/>
        <w:ind w:firstLine="720"/>
        <w:jc w:val="both"/>
      </w:pPr>
      <w:r w:rsidRPr="00F94DD1">
        <w:t>Narkologinių ligonių, asmenų, piktnaudžiaujančių psichiką veikiančiomis medžiagomis, teises, jų apribojimo atvejus ir tvarką nustato Psichikos sveikatos priežiūros įstatymas, kiti įstatymai.</w:t>
      </w:r>
    </w:p>
    <w:p w:rsidR="00626711" w:rsidRPr="00F94DD1" w:rsidRDefault="00626711" w:rsidP="00626711">
      <w:pPr>
        <w:pStyle w:val="Betarp"/>
        <w:ind w:firstLine="720"/>
        <w:jc w:val="both"/>
      </w:pPr>
      <w:r w:rsidRPr="00F94DD1">
        <w:t>Laisvės atėmimo vietose, kardomojo kalinimo vietose, policijos areštinėse esantys narkologiniai ligoniai, asmenys, piktnaudžiaujantys psichiką veikiančiomis medžiagomis, įstatymų nustatyta tvarka turi teisę į sveikatos priežiūrą kaip ir kiti asmenys.</w:t>
      </w:r>
    </w:p>
    <w:p w:rsidR="00626711" w:rsidRPr="00F94DD1" w:rsidRDefault="00626711" w:rsidP="00626711">
      <w:pPr>
        <w:pStyle w:val="Betarp"/>
        <w:ind w:firstLine="720"/>
        <w:jc w:val="both"/>
      </w:pPr>
      <w:r w:rsidRPr="00F94DD1">
        <w:t xml:space="preserve">Sveikatos priežiūros įstaigos palaiko ryšį su socialinės psichologinės reabilitacijos įstaigomis, pataisos darbų įstaigomis, kitais bausmių vykdymo sistemos subjektais, pasikeisdamos informacija </w:t>
      </w:r>
      <w:r w:rsidRPr="00F94DD1">
        <w:lastRenderedPageBreak/>
        <w:t>apie narkologinius ligonius, piktnaudžiaujančius psichiką veikiančiomis medžiagomis asmenis, kuriems reikalingos specialios sveikatos priežiūros priemonės.</w:t>
      </w:r>
    </w:p>
    <w:p w:rsidR="00626711" w:rsidRPr="00F94DD1" w:rsidRDefault="00626711" w:rsidP="00626711">
      <w:pPr>
        <w:pStyle w:val="Betarp"/>
        <w:ind w:firstLine="720"/>
        <w:jc w:val="both"/>
      </w:pPr>
      <w:r w:rsidRPr="00F94DD1">
        <w:t xml:space="preserve">Sveikatos priežiūros specialistai privalo pranešti savivaldybių psichikos sveikatos komisijoms, savivaldybių socialinės globos skyriams, vaikų teisių apsaugos tarnyboms, kitoms kompetentingoms valstybės ar savivaldos institucijoms apie narkologinius ligonius, asmenis, piktnaudžiaujančius psichiką veikiančiomis medžiagomis, nesirūpinančius nepilnamečiais vaikais, naudojančius prieš juos smurtą. </w:t>
      </w:r>
    </w:p>
    <w:p w:rsidR="00626711" w:rsidRPr="00F94DD1" w:rsidRDefault="00626711" w:rsidP="00626711">
      <w:pPr>
        <w:pStyle w:val="Betarp"/>
        <w:ind w:firstLine="720"/>
        <w:jc w:val="both"/>
      </w:pPr>
      <w:r w:rsidRPr="00F94DD1">
        <w:t xml:space="preserve">Narkologiniams ligoniams, esantiems psichoneurologiniuose pensionatuose ar kitose globos įstaigose, narkologinės priežiūros paslaugas turi teikti savivaldybės psichikos sveikatos centro specialistai. </w:t>
      </w:r>
    </w:p>
    <w:p w:rsidR="00626711" w:rsidRPr="00D76F94" w:rsidRDefault="00626711" w:rsidP="00626711">
      <w:pPr>
        <w:pStyle w:val="Betarp"/>
        <w:ind w:firstLine="720"/>
        <w:jc w:val="both"/>
        <w:rPr>
          <w:bCs/>
        </w:rPr>
      </w:pPr>
      <w:r w:rsidRPr="00D76F94">
        <w:rPr>
          <w:bCs/>
        </w:rPr>
        <w:t>Sveikatos priežiūros įstaigos narkologinės priežiūros srityje:</w:t>
      </w:r>
    </w:p>
    <w:p w:rsidR="00626711" w:rsidRPr="00D76F94" w:rsidRDefault="00626711" w:rsidP="00626711">
      <w:pPr>
        <w:pStyle w:val="Betarp"/>
        <w:jc w:val="both"/>
        <w:rPr>
          <w:bCs/>
        </w:rPr>
      </w:pPr>
      <w:r w:rsidRPr="00D76F94">
        <w:t>1</w:t>
      </w:r>
      <w:r w:rsidRPr="00D76F94">
        <w:rPr>
          <w:bCs/>
        </w:rPr>
        <w:t>) taiko prevencijos priemones;</w:t>
      </w:r>
    </w:p>
    <w:p w:rsidR="00626711" w:rsidRPr="00D76F94" w:rsidRDefault="00626711" w:rsidP="00626711">
      <w:pPr>
        <w:pStyle w:val="Betarp"/>
        <w:jc w:val="both"/>
        <w:rPr>
          <w:bCs/>
        </w:rPr>
      </w:pPr>
      <w:r w:rsidRPr="00D76F94">
        <w:rPr>
          <w:bCs/>
        </w:rPr>
        <w:t>2) atlieka medicininę apžiūrą neblaivumui (girtumui) arba apsvaigimui nuo psichiką veikiančių medžiagų nustatyti;</w:t>
      </w:r>
    </w:p>
    <w:p w:rsidR="00626711" w:rsidRPr="00D76F94" w:rsidRDefault="00626711" w:rsidP="00626711">
      <w:pPr>
        <w:pStyle w:val="Betarp"/>
        <w:jc w:val="both"/>
        <w:rPr>
          <w:bCs/>
        </w:rPr>
      </w:pPr>
      <w:r w:rsidRPr="00D76F94">
        <w:rPr>
          <w:bCs/>
        </w:rPr>
        <w:t>3) diagnozuoja narkologinius susirgimus;</w:t>
      </w:r>
    </w:p>
    <w:p w:rsidR="00626711" w:rsidRPr="00D76F94" w:rsidRDefault="00626711" w:rsidP="00626711">
      <w:pPr>
        <w:pStyle w:val="Betarp"/>
        <w:jc w:val="both"/>
        <w:rPr>
          <w:bCs/>
        </w:rPr>
      </w:pPr>
      <w:r w:rsidRPr="00D76F94">
        <w:rPr>
          <w:bCs/>
        </w:rPr>
        <w:t>4) atlieka detoksikaciją;</w:t>
      </w:r>
    </w:p>
    <w:p w:rsidR="00626711" w:rsidRPr="00D76F94" w:rsidRDefault="00626711" w:rsidP="00626711">
      <w:pPr>
        <w:pStyle w:val="Betarp"/>
        <w:jc w:val="both"/>
        <w:rPr>
          <w:bCs/>
        </w:rPr>
      </w:pPr>
      <w:r w:rsidRPr="00D76F94">
        <w:rPr>
          <w:bCs/>
        </w:rPr>
        <w:t>5) atlieka gydymą, medicininę reabilitaciją ir slaugą;</w:t>
      </w:r>
    </w:p>
    <w:p w:rsidR="00626711" w:rsidRPr="00F94DD1" w:rsidRDefault="00626711" w:rsidP="00626711">
      <w:pPr>
        <w:pStyle w:val="Betarp"/>
        <w:jc w:val="both"/>
      </w:pPr>
      <w:r w:rsidRPr="00F94DD1">
        <w:t>6) teikia socialines paslaugas narkologiniams ligoniams ir rūpinasi jų socialine globa;</w:t>
      </w:r>
    </w:p>
    <w:p w:rsidR="00626711" w:rsidRPr="00F94DD1" w:rsidRDefault="00626711" w:rsidP="00626711">
      <w:pPr>
        <w:pStyle w:val="Betarp"/>
        <w:jc w:val="both"/>
      </w:pPr>
      <w:r w:rsidRPr="00F94DD1">
        <w:t>7) tvarko narkologinių ligonių įskaitą;</w:t>
      </w:r>
    </w:p>
    <w:p w:rsidR="00626711" w:rsidRPr="00F94DD1" w:rsidRDefault="00626711" w:rsidP="00626711">
      <w:pPr>
        <w:pStyle w:val="Betarp"/>
        <w:jc w:val="both"/>
      </w:pPr>
      <w:r w:rsidRPr="00F94DD1">
        <w:t>8) tvarko pasekmių (smurtinių mirčių ir savižudybių, neįgalumo atvejų, traumų, apsinuodijimų, somatinių ir infekcinių susirgimų ir pan.), susijusių su piktnaudžiavimu alkoholiu ir narkotikais, apskaitą;</w:t>
      </w:r>
    </w:p>
    <w:p w:rsidR="00626711" w:rsidRPr="00F94DD1" w:rsidRDefault="00626711" w:rsidP="00626711">
      <w:pPr>
        <w:pStyle w:val="Betarp"/>
        <w:jc w:val="both"/>
      </w:pPr>
      <w:r w:rsidRPr="00F94DD1">
        <w:t xml:space="preserve">9) rūpinasi visuomenės sveikatos ugdymu. </w:t>
      </w:r>
    </w:p>
    <w:p w:rsidR="00626711" w:rsidRPr="00F94DD1" w:rsidRDefault="00626711" w:rsidP="00626711">
      <w:pPr>
        <w:pStyle w:val="Betarp"/>
        <w:ind w:firstLine="720"/>
        <w:jc w:val="both"/>
      </w:pPr>
      <w:r w:rsidRPr="00F94DD1">
        <w:t>Narkologinių susirgimų prevencijos priemonės - visuma sveikatos priežiūros priemonių, kuriomis siekiama:</w:t>
      </w:r>
    </w:p>
    <w:p w:rsidR="00626711" w:rsidRPr="00F94DD1" w:rsidRDefault="00626711" w:rsidP="00626711">
      <w:pPr>
        <w:pStyle w:val="Betarp"/>
        <w:jc w:val="both"/>
      </w:pPr>
      <w:r w:rsidRPr="00F94DD1">
        <w:t>1)užkirsti kelią piktnaudžiavimui psichiką veikiančiomis medžiagomis;</w:t>
      </w:r>
    </w:p>
    <w:p w:rsidR="00626711" w:rsidRPr="00F94DD1" w:rsidRDefault="00626711" w:rsidP="00626711">
      <w:pPr>
        <w:pStyle w:val="Betarp"/>
        <w:jc w:val="both"/>
      </w:pPr>
      <w:r w:rsidRPr="00F94DD1">
        <w:t>2) sustabdyti narkologinių susirgimų vystymąsi ir plitimą;</w:t>
      </w:r>
    </w:p>
    <w:p w:rsidR="00626711" w:rsidRPr="00F94DD1" w:rsidRDefault="00626711" w:rsidP="00626711">
      <w:pPr>
        <w:pStyle w:val="Betarp"/>
        <w:jc w:val="both"/>
      </w:pPr>
      <w:r w:rsidRPr="00F94DD1">
        <w:t>3) sušvelninti piktnaudžiavimo psichiką veikiančiomis medžiagomis, narkologinių susirgimų sukeltas pasekmes pacientui ir visuomenei.</w:t>
      </w:r>
    </w:p>
    <w:p w:rsidR="00626711" w:rsidRPr="00D76F94" w:rsidRDefault="00626711" w:rsidP="00626711">
      <w:pPr>
        <w:pStyle w:val="Betarp"/>
        <w:ind w:firstLine="720"/>
        <w:jc w:val="both"/>
        <w:rPr>
          <w:bCs/>
        </w:rPr>
      </w:pPr>
      <w:r w:rsidRPr="00D76F94">
        <w:rPr>
          <w:bCs/>
        </w:rPr>
        <w:t xml:space="preserve"> Prevencijos priemonės turi būti taikomos visose sveikatos priežiūros įstaigose.</w:t>
      </w:r>
    </w:p>
    <w:p w:rsidR="00626711" w:rsidRPr="00D76F94" w:rsidRDefault="00626711" w:rsidP="00626711">
      <w:pPr>
        <w:pStyle w:val="Betarp"/>
        <w:ind w:firstLine="720"/>
        <w:jc w:val="both"/>
        <w:rPr>
          <w:bCs/>
        </w:rPr>
      </w:pPr>
      <w:r w:rsidRPr="00D76F94">
        <w:rPr>
          <w:bCs/>
        </w:rPr>
        <w:t xml:space="preserve"> Visi sveikatos priežiūros specialistai privalo informuoti pacientus ir visuomenę apie:</w:t>
      </w:r>
    </w:p>
    <w:p w:rsidR="00626711" w:rsidRPr="00F94DD1" w:rsidRDefault="00626711" w:rsidP="00626711">
      <w:pPr>
        <w:pStyle w:val="Betarp"/>
        <w:jc w:val="both"/>
      </w:pPr>
      <w:r w:rsidRPr="00F94DD1">
        <w:t>1) psichiką veikiančių medžiagų vartojimo pasekmes žmogaus sveikatai, šeimai ir visuomenei;</w:t>
      </w:r>
    </w:p>
    <w:p w:rsidR="00626711" w:rsidRPr="00F94DD1" w:rsidRDefault="00626711" w:rsidP="00626711">
      <w:pPr>
        <w:pStyle w:val="Betarp"/>
        <w:jc w:val="both"/>
      </w:pPr>
      <w:r w:rsidRPr="00F94DD1">
        <w:t>2) efektyvias priemones, kurių galima imtis, kad sumažėtų psichiką veikiančių medžiagų daroma žala;</w:t>
      </w:r>
    </w:p>
    <w:p w:rsidR="00626711" w:rsidRPr="00F94DD1" w:rsidRDefault="00626711" w:rsidP="00626711">
      <w:pPr>
        <w:pStyle w:val="Betarp"/>
        <w:jc w:val="both"/>
        <w:rPr>
          <w:bCs/>
        </w:rPr>
      </w:pPr>
      <w:r w:rsidRPr="00F94DD1">
        <w:rPr>
          <w:bCs/>
        </w:rPr>
        <w:t>3) narkologinių ligonių, asmenų, piktnaudžiaujančių psichiką veikiančiomis medžiagomis, sveikatos priežiūros galimybes;</w:t>
      </w:r>
    </w:p>
    <w:p w:rsidR="00626711" w:rsidRPr="00F94DD1" w:rsidRDefault="00626711" w:rsidP="00626711">
      <w:pPr>
        <w:pStyle w:val="Betarp"/>
        <w:jc w:val="both"/>
      </w:pPr>
      <w:r w:rsidRPr="00F94DD1">
        <w:t>4) Lietuvos Respublikos įstatymuose numatytas poveikio priemones, apribojimus, kuriuos galima taikyti narkologiniams ligoniams, asmenims, piktnaudžiaujantiems psichiką veikiančiomis medžiagomis.</w:t>
      </w:r>
    </w:p>
    <w:p w:rsidR="00626711" w:rsidRPr="00F94DD1" w:rsidRDefault="00626711" w:rsidP="00626711">
      <w:pPr>
        <w:pStyle w:val="Betarp"/>
        <w:ind w:firstLine="720"/>
        <w:jc w:val="both"/>
      </w:pPr>
      <w:r w:rsidRPr="00F94DD1">
        <w:t xml:space="preserve"> Visi sveikatos priežiūros specialistai turi skirti dėmesio asmenų, piktnaudžiaujančių psichiką veikiančiomis medžiagomis, nustatymui.</w:t>
      </w:r>
    </w:p>
    <w:p w:rsidR="00626711" w:rsidRPr="00F94DD1" w:rsidRDefault="00626711" w:rsidP="00626711">
      <w:pPr>
        <w:pStyle w:val="Betarp"/>
        <w:jc w:val="both"/>
      </w:pPr>
      <w:r w:rsidRPr="00F94DD1">
        <w:t>Kad būtų užkirstas kelias narkologiniams susirgimams, teikiant sveikatos priežiūros paslaugas, ypatingas dėmesys turi būti skiriamas šiems asmenims, piktnaudžiaujantiems psichiką veikiančiomis medžiagomis:</w:t>
      </w:r>
    </w:p>
    <w:p w:rsidR="00626711" w:rsidRPr="00F94DD1" w:rsidRDefault="00626711" w:rsidP="00626711">
      <w:pPr>
        <w:pStyle w:val="Betarp"/>
        <w:jc w:val="both"/>
      </w:pPr>
      <w:r w:rsidRPr="00F94DD1">
        <w:t>1) vaikams;</w:t>
      </w:r>
    </w:p>
    <w:p w:rsidR="00626711" w:rsidRPr="00F94DD1" w:rsidRDefault="00626711" w:rsidP="00626711">
      <w:pPr>
        <w:pStyle w:val="Betarp"/>
        <w:jc w:val="both"/>
      </w:pPr>
      <w:r w:rsidRPr="00F94DD1">
        <w:t>2) nėščioms moterims ir moterims, turinčioms vaikų;</w:t>
      </w:r>
    </w:p>
    <w:p w:rsidR="00626711" w:rsidRPr="00F94DD1" w:rsidRDefault="00626711" w:rsidP="00626711">
      <w:pPr>
        <w:pStyle w:val="Betarp"/>
        <w:jc w:val="both"/>
      </w:pPr>
      <w:r w:rsidRPr="00F94DD1">
        <w:t>3) asmenims, kurių profesinė veikla susijusi su pavojumi kitų žmonių sveikatai ar gyvybei;</w:t>
      </w:r>
    </w:p>
    <w:p w:rsidR="00626711" w:rsidRPr="00D76F94" w:rsidRDefault="00626711" w:rsidP="00626711">
      <w:pPr>
        <w:pStyle w:val="Betarp"/>
        <w:jc w:val="both"/>
        <w:rPr>
          <w:bCs/>
        </w:rPr>
      </w:pPr>
      <w:r w:rsidRPr="00D76F94">
        <w:rPr>
          <w:bCs/>
        </w:rPr>
        <w:t>4) asmenims, sergantiems pavojingomis užkrečiamosiomis ligomis;</w:t>
      </w:r>
    </w:p>
    <w:p w:rsidR="00626711" w:rsidRPr="00F94DD1" w:rsidRDefault="00626711" w:rsidP="00626711">
      <w:pPr>
        <w:pStyle w:val="Betarp"/>
        <w:jc w:val="both"/>
      </w:pPr>
      <w:r w:rsidRPr="00F94DD1">
        <w:t xml:space="preserve">5) psichikos ligoniams. </w:t>
      </w:r>
    </w:p>
    <w:p w:rsidR="00626711" w:rsidRPr="00F94DD1" w:rsidRDefault="00626711" w:rsidP="00626711">
      <w:pPr>
        <w:pStyle w:val="Betarp"/>
        <w:jc w:val="both"/>
        <w:rPr>
          <w:spacing w:val="-3"/>
        </w:rPr>
      </w:pPr>
      <w:r w:rsidRPr="00F94DD1">
        <w:rPr>
          <w:spacing w:val="-3"/>
        </w:rPr>
        <w:tab/>
        <w:t xml:space="preserve">Lietuvos Respublikos Psichikos sveikatos priežiūros įstatymas 1995 m. birželio 6 d. Nr. I-924 (Žin., 1995, Nr. 53-1290; 1999, Nr.108- 3127; 2001, Nr. 64-2326) nustato asmenų, kurie naudojasi psichikos sveikatos priežiūra teises, psichikos sveikatos priežiūros tvarką ir kontrolę. </w:t>
      </w:r>
    </w:p>
    <w:p w:rsidR="00626711" w:rsidRPr="00F94DD1" w:rsidRDefault="00626711" w:rsidP="00626711">
      <w:pPr>
        <w:pStyle w:val="Betarp"/>
        <w:ind w:firstLine="720"/>
        <w:jc w:val="both"/>
        <w:rPr>
          <w:b/>
          <w:bCs/>
        </w:rPr>
      </w:pPr>
      <w:r w:rsidRPr="00F94DD1">
        <w:rPr>
          <w:b/>
        </w:rPr>
        <w:t xml:space="preserve">Psichikos sveikatos priežiūra </w:t>
      </w:r>
      <w:r w:rsidRPr="00F94DD1">
        <w:t>– specializuota sveikatos priežiūra, vykdoma pagal Lietuvos Respublikos sveikatos apsaugos ministerijos patvirtintus standartus. Šios priežiūros tikslas – teikti psichiatrijos pagalbą (diagnozuoti, gydyti sutrikusias žmogaus psichikos funkcijas, laiku perspėti psichikos ligų paūmėjimus), padėti žmogui prisitaikyti prie visuomenės gyvenimo ir į jį grįžti.</w:t>
      </w:r>
    </w:p>
    <w:p w:rsidR="00626711" w:rsidRPr="00F94DD1" w:rsidRDefault="00626711" w:rsidP="00626711">
      <w:pPr>
        <w:pStyle w:val="Betarp"/>
        <w:ind w:firstLine="720"/>
        <w:jc w:val="both"/>
      </w:pPr>
      <w:r w:rsidRPr="00F94DD1">
        <w:rPr>
          <w:b/>
        </w:rPr>
        <w:lastRenderedPageBreak/>
        <w:t xml:space="preserve">Psichikos sveikata </w:t>
      </w:r>
      <w:r w:rsidRPr="00F94DD1">
        <w:t>– natūrali žmogaus asmenybės būsena, kuri turi būti saugoma arba grąžinama sutrikimų bei ligų atvejais. Pagal Pasaulio Sveikatos Organizacijos apibrėžimą psichikos sveikata yra emocinis ir dvasinis atsparumas, kuris leidžia patirti džiaugsmą ir ištverti skausmą, nusivylimą, liūdesį. Tai teigiamas gėrio jausmas, kuriuo remiasi tikėjimas savo bei kitų žmonių orumu ir verte.</w:t>
      </w:r>
    </w:p>
    <w:p w:rsidR="00626711" w:rsidRPr="00F94DD1" w:rsidRDefault="00626711" w:rsidP="00626711">
      <w:pPr>
        <w:pStyle w:val="Betarp"/>
        <w:ind w:firstLine="720"/>
        <w:jc w:val="both"/>
      </w:pPr>
      <w:r w:rsidRPr="00F94DD1">
        <w:t>Psichikos sveikatos (ambulatorinė ar stacionarinė) priežiūra pagal gyvenamąją vietą yra vykdoma psichikos sveikatos centruose, taip pat kitose psichiatrijos, globos ir rūpybos įstaigose.</w:t>
      </w:r>
    </w:p>
    <w:p w:rsidR="00626711" w:rsidRPr="00F94DD1" w:rsidRDefault="00626711" w:rsidP="00626711">
      <w:pPr>
        <w:pStyle w:val="Betarp"/>
        <w:jc w:val="both"/>
      </w:pPr>
      <w:r w:rsidRPr="00F94DD1">
        <w:tab/>
        <w:t xml:space="preserve">Psichikos sveikatos centro steigėja yra savivaldybė. Jo veiklą reglamentuoja Lietuvos Respublikos Vyriausybės patvirtinti nuostatai. </w:t>
      </w:r>
    </w:p>
    <w:p w:rsidR="00626711" w:rsidRPr="00F94DD1" w:rsidRDefault="00626711" w:rsidP="00626711">
      <w:pPr>
        <w:pStyle w:val="Betarp"/>
        <w:ind w:firstLine="720"/>
        <w:jc w:val="both"/>
      </w:pPr>
      <w:r w:rsidRPr="00F94DD1">
        <w:t>Asmuo, sergąs sunkia psichikos liga ir atsisakąs hospitalizavimo, gali būti hospitalizuojamas prievarta tik jeigu yra reali grėsmė, kad jis savo veiksmais gali padaryti esminę žalą:</w:t>
      </w:r>
    </w:p>
    <w:p w:rsidR="00626711" w:rsidRPr="00F94DD1" w:rsidRDefault="00626711" w:rsidP="00626711">
      <w:pPr>
        <w:pStyle w:val="Betarp"/>
        <w:jc w:val="both"/>
        <w:rPr>
          <w:bCs/>
        </w:rPr>
      </w:pPr>
      <w:r w:rsidRPr="00F94DD1">
        <w:rPr>
          <w:bCs/>
        </w:rPr>
        <w:tab/>
        <w:t>1) savo sveikatai, gyvybei;</w:t>
      </w:r>
    </w:p>
    <w:p w:rsidR="00626711" w:rsidRPr="00F94DD1" w:rsidRDefault="00626711" w:rsidP="00626711">
      <w:pPr>
        <w:pStyle w:val="Betarp"/>
        <w:jc w:val="both"/>
        <w:rPr>
          <w:bCs/>
        </w:rPr>
      </w:pPr>
      <w:r w:rsidRPr="00F94DD1">
        <w:rPr>
          <w:bCs/>
        </w:rPr>
        <w:tab/>
        <w:t xml:space="preserve">2) aplinkinių sveikatai, gyvybei. </w:t>
      </w:r>
    </w:p>
    <w:p w:rsidR="00626711" w:rsidRPr="00F94DD1" w:rsidRDefault="00626711" w:rsidP="00626711">
      <w:pPr>
        <w:pStyle w:val="Betarp"/>
        <w:ind w:firstLine="720"/>
        <w:jc w:val="both"/>
      </w:pPr>
      <w:r w:rsidRPr="00F94DD1">
        <w:t>Esant šioms įstatymo nurodytoms aplinkybėms, pacientą priverstiniam gydymui paciento atstovo prašymu, gydytojo siuntimu ar teisėjo nutarimu pristato policija dalyvaujant gydytojui. Priverstinio hospitalizavimo tvarką nustato Vyriausybės įgaliotos institucijos.</w:t>
      </w:r>
    </w:p>
    <w:p w:rsidR="00626711" w:rsidRPr="00F94DD1" w:rsidRDefault="00626711" w:rsidP="00626711">
      <w:pPr>
        <w:pStyle w:val="Betarp"/>
        <w:jc w:val="both"/>
      </w:pPr>
      <w:bookmarkStart w:id="19" w:name="straipsnis30"/>
      <w:r w:rsidRPr="00F94DD1">
        <w:tab/>
        <w:t xml:space="preserve">Priverstinai hospitalizuojamas ligonis turi pasirašyti, jog yra psichiatrijos įstaigos administracijos informuotas apie priverstinį hospitalizavimą bei teises psichiatrijos įstaigoje. Jeigu ligonis atsisako arba nesugeba pasirašyti, tai jo informavimą apie priverstinį hospitalizavimą raštu patvirtinta du liudininkai, kurie gali būti ir psichiatrijos įstaigos darbuotojai, tačiau ne psichiatrai. </w:t>
      </w:r>
    </w:p>
    <w:bookmarkEnd w:id="19"/>
    <w:p w:rsidR="00626711" w:rsidRPr="00F94DD1" w:rsidRDefault="00626711" w:rsidP="00626711">
      <w:pPr>
        <w:pStyle w:val="Betarp"/>
        <w:ind w:firstLine="720"/>
        <w:jc w:val="both"/>
      </w:pPr>
      <w:r w:rsidRPr="00F94DD1">
        <w:t xml:space="preserve">Valstybinio psichikos sveikatos centro duomenimis 2009 metais buvo 85 Psichikos sveikatos centrai, iš jų apie 20 centrų -  privatūs, kiti savarankiški, o dar kiti, dirba bendroje institucijoje su šeimos gydytoju. Buvo pastebėta problema, kad šeimos gydytojai į šią sistemą įsijungę per mažai. Lietuvoje rezidentų programos ir mokymo  programos turėtų būti peržiūrėtos. Šeimos gydytojų grandis nėra adekvačiai parengta. Gerai vertinama situacija, jei šalia šeimos gydytojų veiks Psichikos sveikatos centrai. Tai yra  PSO rekomenduojamas modelis Vidurio ir Rytų Europai. </w:t>
      </w:r>
    </w:p>
    <w:p w:rsidR="00626711" w:rsidRPr="00F94DD1" w:rsidRDefault="00626711" w:rsidP="00626711">
      <w:pPr>
        <w:pStyle w:val="Betarp"/>
        <w:ind w:firstLine="720"/>
        <w:jc w:val="both"/>
      </w:pPr>
      <w:r w:rsidRPr="00F94DD1">
        <w:t xml:space="preserve">Komisijoje posėdžiuose buvo pastebėta, kad rajonuose trūksta specialistų, jie sensta, o parengti specialistai išvyksta į užsienį. Visas mechanizmas neveikia, teisės aktai yra, tačiau,  prieštarauja vienas kitam. Psichikos sveikatos centrams atsiradus, lygiai du kartus sumažintas  psichiatrijos lovų skaičius ligoninėse, du kartus sumažinta vidutinė gydymo trukmė psichiatrijos ligoninėse, tai reiškia, kad lygiai du kartus stacionarinę pagalbą sumažinta ir pakeista į ambulatorinę, kuri efektyvesnė. Priklausomybės ligas gydyti reikalingas kompleksiškumas. Jo nėra. Sistema veikia atskiromis dalimis. </w:t>
      </w:r>
    </w:p>
    <w:p w:rsidR="00626711" w:rsidRPr="00F94DD1" w:rsidRDefault="00626711" w:rsidP="00626711">
      <w:pPr>
        <w:pStyle w:val="Betarp"/>
        <w:ind w:firstLine="720"/>
        <w:jc w:val="both"/>
      </w:pPr>
      <w:r w:rsidRPr="00D76F94">
        <w:rPr>
          <w:bCs/>
        </w:rPr>
        <w:t>Priklausomybės ligos pagal Tarptautinę statistinę ligų ir sveikatos problemų klasifikaciją TLK-10 priskiriamos psichikos ir elgesio sutrikimams (F10–F19). Priklausomybės ligų priežiūrą vykdo sveikatos priežiūros įstaigų gydytojai psichiatrai, vaikų ir paauglių gydytojai psichiatrai, šeimos gydytojai, psichologai, socialiniai darbuotojai ir</w:t>
      </w:r>
      <w:r w:rsidRPr="00F94DD1">
        <w:rPr>
          <w:b/>
          <w:bCs/>
        </w:rPr>
        <w:t xml:space="preserve"> </w:t>
      </w:r>
      <w:r w:rsidRPr="00F94DD1">
        <w:t>slaugos specialistai.</w:t>
      </w:r>
    </w:p>
    <w:p w:rsidR="00626711" w:rsidRPr="00F94DD1" w:rsidRDefault="00626711" w:rsidP="00626711">
      <w:pPr>
        <w:pStyle w:val="Betarp"/>
        <w:ind w:firstLine="720"/>
        <w:jc w:val="both"/>
      </w:pPr>
      <w:r w:rsidRPr="00F94DD1">
        <w:t>Lietuvos Respublikos Sveikatos apsaugos ministro 2008 m. sausio 17 d. įsakymu Nr.V-50 į bendrąsias kontraindikacijas įtrauktos visos priklausomybės ligos, nustatant kodus nuo F10 iki F19.</w:t>
      </w:r>
    </w:p>
    <w:p w:rsidR="00626711" w:rsidRPr="00F94DD1" w:rsidRDefault="00626711" w:rsidP="00626711">
      <w:pPr>
        <w:pStyle w:val="Betarp"/>
        <w:jc w:val="both"/>
      </w:pPr>
      <w:r>
        <w:tab/>
      </w:r>
      <w:r w:rsidRPr="00F94DD1">
        <w:t xml:space="preserve">Įgyvendindamas Psichikos sveikatos strategijos, patvirtintos Lietuvos Respublikos Seimo 2007 m. balandžio 3 d. nutarimu Nr. X-1070 (Žin., 2007, Nr. </w:t>
      </w:r>
      <w:hyperlink r:id="rId160" w:history="1">
        <w:r w:rsidRPr="00F94DD1">
          <w:rPr>
            <w:rStyle w:val="Hipersaitas"/>
            <w:rFonts w:eastAsiaTheme="majorEastAsia"/>
          </w:rPr>
          <w:t>42-1572</w:t>
        </w:r>
      </w:hyperlink>
      <w:r w:rsidRPr="00F94DD1">
        <w:t xml:space="preserve">), nuostatas bei siekdamas užtikrinti 2005–2008 m. priklausomybės ligų programos, patvirtintos Lietuvos Respublikos sveikatos apsaugos ministro 2005 m. kovo 22 d. įsakymu Nr. V-182 (Žin., 2005, Nr. </w:t>
      </w:r>
      <w:hyperlink r:id="rId161" w:history="1">
        <w:r w:rsidRPr="00F94DD1">
          <w:rPr>
            <w:rStyle w:val="Hipersaitas"/>
            <w:rFonts w:eastAsiaTheme="majorEastAsia"/>
          </w:rPr>
          <w:t>43-1380</w:t>
        </w:r>
      </w:hyperlink>
      <w:r w:rsidRPr="00F94DD1">
        <w:t>), tęstinumą,</w:t>
      </w:r>
      <w:r w:rsidRPr="00F94DD1">
        <w:rPr>
          <w:b/>
          <w:bCs/>
        </w:rPr>
        <w:t xml:space="preserve"> </w:t>
      </w:r>
      <w:r w:rsidRPr="00F94DD1">
        <w:t xml:space="preserve">Lietuvos Respublikos Sveikatos apsaugos ministras 2008 m. gruodžio 31 d. įsakymu Nr. V-1288 </w:t>
      </w:r>
      <w:r w:rsidRPr="004B6431">
        <w:t>“</w:t>
      </w:r>
      <w:r w:rsidRPr="004B6431">
        <w:rPr>
          <w:bCs/>
        </w:rPr>
        <w:t>Dėl 2009 – 2012 metų Priklausomybės ligų gydymo programos</w:t>
      </w:r>
      <w:r w:rsidRPr="00F94DD1">
        <w:t xml:space="preserve">” (Žin.,2009, Nr. 4-108; 2009, Nr. 20- 803)  patvirtino 2009 – 2012 metų Priklausomybės ligų gydymo programą, kurioje pavedė, vadovaudamasis Lietuvos Respublikos sveikatos draudimo įstatymo (Žin., 1996, Nr. </w:t>
      </w:r>
      <w:hyperlink r:id="rId162" w:history="1">
        <w:r w:rsidRPr="00F94DD1">
          <w:t>55-1287</w:t>
        </w:r>
      </w:hyperlink>
      <w:r w:rsidRPr="00F94DD1">
        <w:t xml:space="preserve">; 2002, Nr. </w:t>
      </w:r>
      <w:hyperlink r:id="rId163" w:history="1">
        <w:r w:rsidRPr="00F94DD1">
          <w:t>123-5512</w:t>
        </w:r>
      </w:hyperlink>
      <w:r w:rsidRPr="00F94DD1">
        <w:t xml:space="preserve">) 6 straipsniu ir Lietuvos Respublikos sveikatos sistemos įstatymo (Žin., 1994, Nr. </w:t>
      </w:r>
      <w:hyperlink r:id="rId164" w:history="1">
        <w:r w:rsidRPr="00F94DD1">
          <w:t>63-1231</w:t>
        </w:r>
      </w:hyperlink>
      <w:r w:rsidRPr="00F94DD1">
        <w:t xml:space="preserve">; 1998, Nr. </w:t>
      </w:r>
      <w:hyperlink r:id="rId165" w:history="1">
        <w:r w:rsidRPr="00F94DD1">
          <w:t>112-3099</w:t>
        </w:r>
      </w:hyperlink>
      <w:r w:rsidRPr="00F94DD1">
        <w:t xml:space="preserve">) 47 straipsniu, Valstybinei ligonių kasai finansuoti programos vykdymą. </w:t>
      </w:r>
    </w:p>
    <w:p w:rsidR="00626711" w:rsidRPr="00F94DD1" w:rsidRDefault="00626711" w:rsidP="00626711">
      <w:pPr>
        <w:pStyle w:val="Betarp"/>
        <w:ind w:firstLine="720"/>
        <w:jc w:val="both"/>
      </w:pPr>
      <w:r w:rsidRPr="00F94DD1">
        <w:t>Lietuvos Respublikos Sveikatos apsaugos ministras 2009 m. vasario 12 d. įsakymu Nr. V-104 “</w:t>
      </w:r>
      <w:r w:rsidRPr="004B6431">
        <w:rPr>
          <w:bCs/>
        </w:rPr>
        <w:t>Dėl Lietuvos Respublikos Sveikatos apsaugos ministro 2008 m. gruodžio 31 d. įsakymo Nr. V-1288 “Dėl 2009 – 2012 metų priklausomybės ligų gydymo programos patvirtinimo</w:t>
      </w:r>
      <w:r w:rsidRPr="004B6431">
        <w:t>”</w:t>
      </w:r>
      <w:r w:rsidRPr="00F94DD1">
        <w:t xml:space="preserve"> pakeitimo”  pakeitė 2009 – 2012 metų Priklausomybės ligų gydymo programos 21.1 punktą, 21.2.1 punktą, 26.2.2 punktą, 27punktą, 38.3 ir 38.4 punktus. </w:t>
      </w:r>
    </w:p>
    <w:p w:rsidR="00626711" w:rsidRPr="00F94DD1" w:rsidRDefault="00626711" w:rsidP="00626711">
      <w:pPr>
        <w:pStyle w:val="Betarp"/>
        <w:ind w:firstLine="720"/>
        <w:jc w:val="both"/>
        <w:rPr>
          <w:bCs/>
        </w:rPr>
      </w:pPr>
      <w:r w:rsidRPr="00F94DD1">
        <w:rPr>
          <w:bCs/>
        </w:rPr>
        <w:t xml:space="preserve"> 2009–2012 metų priklausomybės ligų gydymo programa (toliau – Programa) siekiama įgyvendinti nuostatas, išdėstytas:</w:t>
      </w:r>
    </w:p>
    <w:p w:rsidR="00626711" w:rsidRPr="00F94DD1" w:rsidRDefault="00626711" w:rsidP="00626711">
      <w:pPr>
        <w:pStyle w:val="Betarp"/>
        <w:jc w:val="both"/>
      </w:pPr>
      <w:r w:rsidRPr="00F94DD1">
        <w:lastRenderedPageBreak/>
        <w:t>1.1. 2005 m. PSO Europos regiono sveikatos apsaugos ministrų konferencijoje Helsinkyje priimtuose Europos psichikos sveikatos apsaugos deklaracijoje ir Veiksmų plane 2005–2010 metams;</w:t>
      </w:r>
    </w:p>
    <w:p w:rsidR="00626711" w:rsidRPr="00F94DD1" w:rsidRDefault="00626711" w:rsidP="00626711">
      <w:pPr>
        <w:pStyle w:val="Betarp"/>
        <w:jc w:val="both"/>
      </w:pPr>
      <w:r w:rsidRPr="00F94DD1">
        <w:t xml:space="preserve">1.2. Psichikos sveikatos strategijoje, patvirtintoje Lietuvos Respublikos Seimo 2007 m. balandžio 3 d. nutarimu Nr. X-1070 (Žin., 2007, Nr. </w:t>
      </w:r>
      <w:hyperlink r:id="rId166" w:history="1">
        <w:r w:rsidRPr="00F94DD1">
          <w:rPr>
            <w:rStyle w:val="Hipersaitas"/>
            <w:rFonts w:eastAsiaTheme="majorEastAsia"/>
          </w:rPr>
          <w:t>42-1572</w:t>
        </w:r>
      </w:hyperlink>
      <w:r w:rsidRPr="00F94DD1">
        <w:t>);</w:t>
      </w:r>
    </w:p>
    <w:p w:rsidR="00626711" w:rsidRPr="00F94DD1" w:rsidRDefault="00626711" w:rsidP="00626711">
      <w:pPr>
        <w:pStyle w:val="Betarp"/>
        <w:jc w:val="both"/>
      </w:pPr>
      <w:r w:rsidRPr="00F94DD1">
        <w:t>1.3. kituose Lietuvos Respublikos teisės aktuose bei Europos Sąjungos ir Jungtinių Tautų rekomendacijose.</w:t>
      </w:r>
    </w:p>
    <w:p w:rsidR="00626711" w:rsidRPr="00F94DD1" w:rsidRDefault="00626711" w:rsidP="00626711">
      <w:pPr>
        <w:pStyle w:val="Betarp"/>
        <w:ind w:firstLine="720"/>
        <w:jc w:val="both"/>
      </w:pPr>
      <w:r w:rsidRPr="00F94DD1">
        <w:t xml:space="preserve">Sveikatos apsaugos ministras konstatavo, kad pastarąjį dešimtmetį alkoholizmo ir narkomanijos plitimas Lietuvoje kelia realią grėsmę valstybės saugumui, išlieka socialiai nepriimtinas reiškinys, keliantis grėsmę visuomenės ir gyventojų sveikatai, neigiamai veikiantis visas visuomeninio gyvenimo sritis, mažinantis gyventojų saugumą, didinantis savižudybių, prievartos ir kitokio destruktyvaus elgesio rodiklius, nelaimingų atsitikimų skaičių. </w:t>
      </w:r>
    </w:p>
    <w:p w:rsidR="00626711" w:rsidRPr="00F94DD1" w:rsidRDefault="00626711" w:rsidP="00626711">
      <w:pPr>
        <w:pStyle w:val="Betarp"/>
        <w:ind w:firstLine="720"/>
        <w:jc w:val="both"/>
      </w:pPr>
      <w:r w:rsidRPr="00F94DD1">
        <w:t>Ankstyvas alkoholio ir narkotikų vartojimo bei piktnaudžiavimo nustatymas padeda išvengti priklausomybės atsiradimo, o ankstyva diagnostika ir gydymas suteikia galimybę išvengti medicininių komplikacijų bei socialinių pasekmių. Medicininė ir socialinė reabilitacija padeda asmeniui grįžti į visuomenę ir gyventi visavertį gyvenimą.</w:t>
      </w:r>
    </w:p>
    <w:p w:rsidR="00626711" w:rsidRPr="00F94DD1" w:rsidRDefault="00626711" w:rsidP="00626711">
      <w:pPr>
        <w:pStyle w:val="Betarp"/>
        <w:ind w:firstLine="720"/>
        <w:jc w:val="both"/>
      </w:pPr>
      <w:r w:rsidRPr="00F94DD1">
        <w:t>Priklausomybės ligų gydymas padeda išvengti infekcinių ligų (ŽIV/AIDS, hepatito, tuberkuliozės) plitimo, mažinti asmenų, sergančių priklausomybės ligomis, socialinę atskirtį.</w:t>
      </w:r>
    </w:p>
    <w:p w:rsidR="00626711" w:rsidRPr="00F94DD1" w:rsidRDefault="00626711" w:rsidP="00626711">
      <w:pPr>
        <w:pStyle w:val="Betarp"/>
        <w:ind w:firstLine="720"/>
        <w:jc w:val="both"/>
        <w:rPr>
          <w:bCs/>
        </w:rPr>
      </w:pPr>
      <w:r w:rsidRPr="00F94DD1">
        <w:rPr>
          <w:bCs/>
        </w:rPr>
        <w:t>Sveikatos apsaugos ministro įsakyme nurodyta, kad asmenų, kurie kreipiasi į sveikatos priežiūros įstaigas dėl priklausomybės alkoholiui, narkotikams ir psichotropinėms medžiagoms, skaičius palaipsniui didėja. Valstybinio psichikos sveikatos centro (toliau – VPSC) duomenimis, 2005 m. – 68 701, o 2007 metais – 69 365 pacientai. VPSC duomenimis, dėl priklausomybės alkoholiui į asmens sveikatos priežiūros įstaigas pagalbos 2005 metais kreipėsi 63 330, o 2007 m. – 63 650 pacientai. Sergančių alkoholinėmis psichozėmis pacientų skaičius kasmet vis didėja. 2005 metais buvo užregistruoti 3077, o 2007 m. – 3747 pacientai. Alkoholinių psichozių skaičius tai pat kasmet didėja. 2005 metais alkoholinių psichozių buvo 89,8 atvejo 100000 gyventojų, o 2007 m. išaugo iki 111,0 atv. / 100 000 gyv. VPSC duomenimis, kasmet didėja asmenų, kurie kreipiasi dėl priklausomybės nuo narkotinių ir kitų psichoaktyviųjų medžiagų į gydymo įstaigas, skaičius: 2005 metais užregistruotas 5371, o 2007 m. – 5715 pacientų. Auga pacientų vartojančių opioidus skaičius: 2005 metais užregistruota 4311 pacientų, 2007 m. – 4616. Dalis pacientų vartoja kelis narkotikus ar psichoaktyviąsias medžiagas ir tokių asmenų skaičius palaipsniui didėja: 2005 m. buvo 632, 2007 m. – 688 pacientai. Vartojančių stimuliatorius ir kofeiną pacientų skaičius taip pat didėja: 2005 metais – 136, 2007 m. – 147 pacientai.</w:t>
      </w:r>
    </w:p>
    <w:p w:rsidR="00626711" w:rsidRPr="00F94DD1" w:rsidRDefault="00626711" w:rsidP="00626711">
      <w:pPr>
        <w:pStyle w:val="Betarp"/>
        <w:ind w:firstLine="720"/>
        <w:jc w:val="both"/>
      </w:pPr>
      <w:r w:rsidRPr="00F94DD1">
        <w:t>Programos tikslas - teikti priklausomybės ligų sveikatos priežiūros paslaugas vaikams ir paaugliams bei suaugusiesiems, draustiems privalomuoju sveikatos draudimu, bei gerinti šių paslaugų kokybę ir prieinamumą.</w:t>
      </w:r>
    </w:p>
    <w:p w:rsidR="00626711" w:rsidRPr="00F94DD1" w:rsidRDefault="00626711" w:rsidP="00626711">
      <w:pPr>
        <w:pStyle w:val="Betarp"/>
        <w:ind w:firstLine="720"/>
        <w:jc w:val="both"/>
      </w:pPr>
      <w:r w:rsidRPr="00F94DD1">
        <w:t>Priklausomybės ligų ambulatoriniam gydymui medikamentai iš Privalomojo sveikatos draudimo fondo (toliau – PSDF) lėšų nekompensuojami.</w:t>
      </w:r>
    </w:p>
    <w:p w:rsidR="00626711" w:rsidRPr="00F94DD1" w:rsidRDefault="00626711" w:rsidP="00626711">
      <w:pPr>
        <w:pStyle w:val="Betarp"/>
        <w:jc w:val="both"/>
      </w:pPr>
      <w:r w:rsidRPr="00F94DD1">
        <w:t>Praktika rodo, kad Priklausomybės ligų centrams biudžetinio finansavimo nepakanka. Priklausomybės ligų centrai dėl nepakankamo finansavimo negali užtikrinti visų nuostatuose numatytų ir priskirtų jų kompetencijai funkcijų vykdymo.</w:t>
      </w:r>
    </w:p>
    <w:p w:rsidR="00626711" w:rsidRPr="004B6431" w:rsidRDefault="00626711" w:rsidP="00626711">
      <w:pPr>
        <w:pStyle w:val="Betarp"/>
        <w:ind w:firstLine="720"/>
        <w:jc w:val="both"/>
        <w:rPr>
          <w:bCs/>
        </w:rPr>
      </w:pPr>
      <w:r w:rsidRPr="00F94DD1">
        <w:t xml:space="preserve"> Asmenims, priklausomiems nuo alkoholio ar narkotikų, net esant indikacijoms, ne visada yra galimybė teikti visavertes ambulatorinio gydymo paslaugas. Apdraustiesiems privalomuoju sveikatos draudimu priklausomybės ligų ambulatorinio gydymo paslaugas teikia psichikos sveikatos centrai ir priklausomybės ligų centrai, tačiau ambulatoriniam gydymui medikamentai nekompensuojami. </w:t>
      </w:r>
      <w:r w:rsidRPr="004B6431">
        <w:rPr>
          <w:bCs/>
        </w:rPr>
        <w:t>Asmenims, nedraustiems privalomuoju sveikatos draudimu, priklausomybės ligų ambulatorinio gydymo paslaugas teikia tik priklausomybės ligų centrai, tačiau šių paslaugų teikimo užtikrinimui biudžetinio finansavimo nepakanka.</w:t>
      </w:r>
    </w:p>
    <w:p w:rsidR="00626711" w:rsidRPr="004B6431" w:rsidRDefault="00626711" w:rsidP="00626711">
      <w:pPr>
        <w:pStyle w:val="Betarp"/>
        <w:ind w:firstLine="720"/>
        <w:jc w:val="both"/>
      </w:pPr>
      <w:r w:rsidRPr="004B6431">
        <w:t>Numatyti Programos uždaviniai:</w:t>
      </w:r>
    </w:p>
    <w:p w:rsidR="00626711" w:rsidRPr="00F94DD1" w:rsidRDefault="00626711" w:rsidP="00626711">
      <w:pPr>
        <w:pStyle w:val="Betarp"/>
        <w:jc w:val="both"/>
      </w:pPr>
      <w:r w:rsidRPr="00F94DD1">
        <w:t xml:space="preserve">gerinti pagal suformuotus uždavinius priklausomybės ligų sveikatos priežiūros paslaugas priklausomybės ligų ir pirminiuose psichikos sveikatos centruose, teikiant prioritetą šių kategorijų pacientams: tėvų atvežtiems, mokyklų, vaikų globos (rūpybos) įstaigų darbuotojų ar policijos pareigūnų pristatytiems ar profilaktiškai besikreipiantiems vaikams, vaikams, vadovaujantis 2002 m. balandžio 2 d. Lietuvos Respublikos nutarimu Nr. 437 “Dėl vaikų, vartojančių narkotines, psichotropines, kitas psichioką veikiančias medžiagas, nustatymo organizavimo tvarkos aprašo patvirtinimo” (Žin., 2002, Nr. 35 –1305; 2007, Nr. 107 – 4379) bei Lietuvos respublikos civilinio kodekso (Žin., 2000, Nr. 74 –2262; Žin., 2000, Nr. 80) 6.726 ir 6.729 straipsnių nuostatomis”, </w:t>
      </w:r>
      <w:r w:rsidRPr="00F94DD1">
        <w:lastRenderedPageBreak/>
        <w:t xml:space="preserve">vaikams, sergantiems priklausomybės ligomis, sergantiems priklausomybės ligomis, </w:t>
      </w:r>
      <w:r w:rsidRPr="004B6431">
        <w:rPr>
          <w:bCs/>
        </w:rPr>
        <w:t>suaugusiems asmenims,</w:t>
      </w:r>
      <w:r w:rsidRPr="004B6431">
        <w:t xml:space="preserve"> </w:t>
      </w:r>
      <w:r w:rsidRPr="004B6431">
        <w:rPr>
          <w:bCs/>
        </w:rPr>
        <w:t xml:space="preserve">sergantiems priklausomybės ligomis bei draustiems privalomuoju sveikatos draudimu </w:t>
      </w:r>
      <w:r w:rsidRPr="00F94DD1">
        <w:t>teikti gydymo paslaugas vadovaujantis sveikatos apsaugos ministro 2002 m. gegužės 3 d. įsakymu Nr. 204 “Dėl priklausomybės ligų gydymo ir reabilitacijos standartų patvirtinimo” (Žin., 2002, Nr. 47 –1824; 2007, Nr. 90-3586); atlikti ankstyvąją infekcinių ligų, žmogaus imunodeficito viruso (ŽIV), virusinių hepatitų diagnostiką tarp asmenų, vartojančių narkotines medžiagas, nukreipti juos išsitirti dėl tuberkuliozės.</w:t>
      </w:r>
    </w:p>
    <w:p w:rsidR="00626711" w:rsidRPr="00F94DD1" w:rsidRDefault="00626711" w:rsidP="00626711">
      <w:pPr>
        <w:pStyle w:val="Betarp"/>
        <w:ind w:firstLine="720"/>
        <w:jc w:val="both"/>
      </w:pPr>
      <w:r w:rsidRPr="00F94DD1">
        <w:t xml:space="preserve">Programoje numatyta, kad  medikamentai, skirti asmenų, sergančių priklausomybe nuo opioidų, gydymui (pigiausi opioidiniai vaistiniai preparatai). </w:t>
      </w:r>
    </w:p>
    <w:p w:rsidR="00626711" w:rsidRPr="00F94DD1" w:rsidRDefault="00626711" w:rsidP="00626711">
      <w:pPr>
        <w:pStyle w:val="Betarp"/>
        <w:ind w:firstLine="720"/>
        <w:jc w:val="both"/>
      </w:pPr>
      <w:r w:rsidRPr="00F94DD1">
        <w:t>Asmens sveikatos priežiūros įstaigos (pirminės asmens ambulatorinės sveikatos priežiūros įstaigos ir psichikos sveikatos centrai), sudaro su priklausomybės ligų centru sutartį, kurioje reglamentuoja medikamentų ir diagnostinių priemonių pristatymo bei jų apmokėjimo iš šios programos tvarką.</w:t>
      </w:r>
    </w:p>
    <w:p w:rsidR="00626711" w:rsidRPr="00F94DD1" w:rsidRDefault="00626711" w:rsidP="00626711">
      <w:pPr>
        <w:pStyle w:val="Betarp"/>
        <w:ind w:firstLine="720"/>
        <w:jc w:val="both"/>
      </w:pPr>
      <w:r w:rsidRPr="00F94DD1">
        <w:t>Už Programos priemonių įgyvendinimą atsakingi priklausomybių ligų centrų vadovai.</w:t>
      </w:r>
    </w:p>
    <w:p w:rsidR="00626711" w:rsidRPr="00F94DD1" w:rsidRDefault="00626711" w:rsidP="00626711">
      <w:pPr>
        <w:pStyle w:val="Betarp"/>
        <w:ind w:firstLine="720"/>
        <w:jc w:val="both"/>
      </w:pPr>
      <w:r w:rsidRPr="00F94DD1">
        <w:t>Siekiant vertinti priklausomybės ligų ir psichikos sveikatos centruose teikiamų priklausomybės sveikatos priežiūros paslaugų prieinamumą, kokybę ir efektyvų lėšų panaudojimą, besikreipiantiems ir gydytiems pacientams bus taikoma pacientų gydymo rezultatų stebėsena, kurios pagrindiniai rodikliai:</w:t>
      </w:r>
    </w:p>
    <w:p w:rsidR="00626711" w:rsidRPr="00F94DD1" w:rsidRDefault="00626711" w:rsidP="00626711">
      <w:pPr>
        <w:pStyle w:val="Betarp"/>
        <w:jc w:val="both"/>
        <w:rPr>
          <w:bCs/>
          <w:spacing w:val="-1"/>
        </w:rPr>
      </w:pPr>
      <w:r w:rsidRPr="00F94DD1">
        <w:rPr>
          <w:bCs/>
          <w:spacing w:val="-1"/>
        </w:rPr>
        <w:t>psichikos sveikatos ir priklausomybės ligų centrų, teikiančių ankstyvosios diagnostikos ir gydymo paslaugas vaikams, skaičius;</w:t>
      </w:r>
    </w:p>
    <w:p w:rsidR="00626711" w:rsidRPr="00F94DD1" w:rsidRDefault="00626711" w:rsidP="00626711">
      <w:pPr>
        <w:pStyle w:val="Betarp"/>
        <w:jc w:val="both"/>
      </w:pPr>
      <w:r w:rsidRPr="00F94DD1">
        <w:t>suteiktų ankstyvosios diagnostikos ir gydymo paslaugų vaikams, finansuojamų iš šios programos, skaičius;</w:t>
      </w:r>
    </w:p>
    <w:p w:rsidR="00626711" w:rsidRPr="004B6431" w:rsidRDefault="00626711" w:rsidP="00626711">
      <w:pPr>
        <w:pStyle w:val="Betarp"/>
        <w:jc w:val="both"/>
        <w:rPr>
          <w:bCs/>
          <w:spacing w:val="-4"/>
        </w:rPr>
      </w:pPr>
      <w:r w:rsidRPr="004B6431">
        <w:rPr>
          <w:bCs/>
          <w:spacing w:val="-4"/>
        </w:rPr>
        <w:t>psichikos sveikatos centrų, teikiančių priklausomybės nuo opioidų pakaitinio palaikomojo gydymo, skaičius;</w:t>
      </w:r>
    </w:p>
    <w:p w:rsidR="00626711" w:rsidRPr="00F94DD1" w:rsidRDefault="00626711" w:rsidP="00626711">
      <w:pPr>
        <w:pStyle w:val="Betarp"/>
        <w:jc w:val="both"/>
      </w:pPr>
      <w:r w:rsidRPr="00F94DD1">
        <w:t>asmenų, esančių pakaitinio palaikomojo gydymo ir gydymo aprėptis nuo probleminių opioidų vartotojų skaičiaus šalyje;</w:t>
      </w:r>
    </w:p>
    <w:p w:rsidR="00626711" w:rsidRPr="00F94DD1" w:rsidRDefault="00626711" w:rsidP="00626711">
      <w:pPr>
        <w:pStyle w:val="Betarp"/>
        <w:jc w:val="both"/>
      </w:pPr>
      <w:r w:rsidRPr="00F94DD1">
        <w:t xml:space="preserve"> kitų asmens sveikatos priežiūros paslaugų, suteiktų suaugusiems gyventojams, skaičius.</w:t>
      </w:r>
    </w:p>
    <w:p w:rsidR="00626711" w:rsidRPr="00F94DD1" w:rsidRDefault="00626711" w:rsidP="00626711">
      <w:pPr>
        <w:pStyle w:val="Betarp"/>
        <w:jc w:val="both"/>
      </w:pPr>
    </w:p>
    <w:p w:rsidR="00626711" w:rsidRPr="00D76F94" w:rsidRDefault="00626711" w:rsidP="00626711">
      <w:pPr>
        <w:pStyle w:val="Betarp"/>
        <w:ind w:firstLine="720"/>
        <w:jc w:val="both"/>
        <w:rPr>
          <w:bCs/>
        </w:rPr>
      </w:pPr>
      <w:r w:rsidRPr="00D76F94">
        <w:rPr>
          <w:bCs/>
        </w:rPr>
        <w:t>Tokiu būdu, galima daryti išvadą kad, minėtos Programos efektyvumo vertinimo kriterijai</w:t>
      </w:r>
      <w:r w:rsidRPr="00F94DD1">
        <w:t xml:space="preserve"> apsiriboja tik </w:t>
      </w:r>
      <w:r w:rsidRPr="00F94DD1">
        <w:rPr>
          <w:i/>
          <w:iCs/>
          <w:spacing w:val="-4"/>
        </w:rPr>
        <w:t>psichikos sveikatos centrų</w:t>
      </w:r>
      <w:r w:rsidRPr="00F94DD1">
        <w:rPr>
          <w:spacing w:val="-4"/>
        </w:rPr>
        <w:t xml:space="preserve">, teikiančių priklausomybės nuo opioidų pakaitinio palaikomojo gydymo skaičiumi ir </w:t>
      </w:r>
      <w:r w:rsidRPr="00F94DD1">
        <w:rPr>
          <w:i/>
          <w:iCs/>
        </w:rPr>
        <w:t>asmenų,</w:t>
      </w:r>
      <w:r w:rsidRPr="00F94DD1">
        <w:t xml:space="preserve"> esančių pakaitinio palaikomojo gydymo </w:t>
      </w:r>
      <w:r w:rsidRPr="00F94DD1">
        <w:rPr>
          <w:i/>
          <w:iCs/>
        </w:rPr>
        <w:t>skaičiumi</w:t>
      </w:r>
      <w:r w:rsidRPr="00F94DD1">
        <w:t xml:space="preserve"> ir </w:t>
      </w:r>
      <w:r w:rsidRPr="00F94DD1">
        <w:rPr>
          <w:i/>
          <w:iCs/>
        </w:rPr>
        <w:t>gydymo aprėptimi nuo probleminių opioidų vartotojų skaičiaus šalyje</w:t>
      </w:r>
      <w:r w:rsidRPr="00F94DD1">
        <w:t xml:space="preserve">, tačiau jie neatitinka </w:t>
      </w:r>
      <w:r w:rsidRPr="00D76F94">
        <w:rPr>
          <w:bCs/>
        </w:rPr>
        <w:t>Narkologinės priežiūros tikslo</w:t>
      </w:r>
      <w:r w:rsidRPr="00D76F94">
        <w:t xml:space="preserve"> - </w:t>
      </w:r>
      <w:r w:rsidRPr="00D76F94">
        <w:rPr>
          <w:bCs/>
        </w:rPr>
        <w:t>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ir socialinę globą</w:t>
      </w:r>
    </w:p>
    <w:p w:rsidR="00626711" w:rsidRPr="00F94DD1" w:rsidRDefault="00626711" w:rsidP="00626711">
      <w:pPr>
        <w:pStyle w:val="Betarp"/>
        <w:ind w:firstLine="720"/>
        <w:jc w:val="both"/>
      </w:pPr>
      <w:r w:rsidRPr="00F94DD1">
        <w:t xml:space="preserve">Programos įgyvendinimo vieta nurodyta : </w:t>
      </w:r>
    </w:p>
    <w:p w:rsidR="00626711" w:rsidRPr="00F94DD1" w:rsidRDefault="00626711" w:rsidP="00626711">
      <w:pPr>
        <w:pStyle w:val="Betarp"/>
        <w:jc w:val="both"/>
      </w:pPr>
      <w:r w:rsidRPr="00F94DD1">
        <w:t>Vilniaus m. priklausomybės ligų centras, vadovas E. Subata. Adresas: Gerosios Vilties g. 3, Vilnius, 213 7274.</w:t>
      </w:r>
    </w:p>
    <w:p w:rsidR="00626711" w:rsidRPr="00F94DD1" w:rsidRDefault="00626711" w:rsidP="00626711">
      <w:pPr>
        <w:pStyle w:val="Betarp"/>
        <w:jc w:val="both"/>
        <w:rPr>
          <w:bCs/>
        </w:rPr>
      </w:pPr>
      <w:r w:rsidRPr="00F94DD1">
        <w:rPr>
          <w:bCs/>
        </w:rPr>
        <w:t xml:space="preserve"> Kauno aps. priklausomybės ligų centras, vadovas T. Zikaras. Adresas: Giedraičių g. 8, Kaunas, 33 74 37.</w:t>
      </w:r>
    </w:p>
    <w:p w:rsidR="00626711" w:rsidRPr="00F94DD1" w:rsidRDefault="00626711" w:rsidP="00626711">
      <w:pPr>
        <w:pStyle w:val="Betarp"/>
        <w:jc w:val="both"/>
      </w:pPr>
      <w:r w:rsidRPr="00F94DD1">
        <w:t>Klaipėdos aps. priklausomybės ligų centras, vadovė S. Zamkovaja. Adresas: Taikos g. 46, Klaipėda.</w:t>
      </w:r>
    </w:p>
    <w:p w:rsidR="00626711" w:rsidRPr="00F94DD1" w:rsidRDefault="00626711" w:rsidP="00626711">
      <w:pPr>
        <w:pStyle w:val="Betarp"/>
        <w:jc w:val="both"/>
      </w:pPr>
      <w:r w:rsidRPr="00F94DD1">
        <w:t xml:space="preserve"> Šiaulių aps. priklausomybės ligų centras, vadovas E. Pr. Zevertas. Adresas: Pramonės g. 15</w:t>
      </w:r>
      <w:r w:rsidRPr="00F94DD1">
        <w:rPr>
          <w:caps/>
        </w:rPr>
        <w:t>a</w:t>
      </w:r>
      <w:r w:rsidRPr="00F94DD1">
        <w:t>, Šiauliai, 45 75 11.</w:t>
      </w:r>
    </w:p>
    <w:p w:rsidR="00626711" w:rsidRPr="00F94DD1" w:rsidRDefault="00626711" w:rsidP="00626711">
      <w:pPr>
        <w:pStyle w:val="Betarp"/>
        <w:jc w:val="both"/>
      </w:pPr>
      <w:r w:rsidRPr="00F94DD1">
        <w:t>Panevėžio aps. priklausomybės ligų centras, vadovė N. Šinkūnienė. Adresas: Elektronikos g. 1</w:t>
      </w:r>
      <w:r w:rsidRPr="00F94DD1">
        <w:rPr>
          <w:caps/>
        </w:rPr>
        <w:t>c</w:t>
      </w:r>
      <w:r w:rsidRPr="00F94DD1">
        <w:t>, Panevėžys, 58 26 72.</w:t>
      </w:r>
    </w:p>
    <w:p w:rsidR="00626711" w:rsidRPr="00F94DD1" w:rsidRDefault="00626711" w:rsidP="00626711">
      <w:pPr>
        <w:pStyle w:val="Betarp"/>
        <w:jc w:val="both"/>
      </w:pPr>
      <w:r w:rsidRPr="00F94DD1">
        <w:rPr>
          <w:spacing w:val="-2"/>
        </w:rPr>
        <w:t xml:space="preserve">Pirminiai psichikos sveikatos centrai ir pirminės asmens ambulatorinės sveikatos priežiūros įstaigos sudariusios sutartis su aukščiau išvardintais Priklausomybės ligų centrais. </w:t>
      </w:r>
    </w:p>
    <w:p w:rsidR="00626711" w:rsidRPr="00D76F94" w:rsidRDefault="00626711" w:rsidP="00626711">
      <w:pPr>
        <w:pStyle w:val="Betarp"/>
        <w:ind w:firstLine="720"/>
        <w:jc w:val="both"/>
      </w:pPr>
      <w:r w:rsidRPr="00D76F94">
        <w:rPr>
          <w:bCs/>
        </w:rPr>
        <w:t xml:space="preserve">Darytina išvada, </w:t>
      </w:r>
      <w:r w:rsidRPr="00D76F94">
        <w:t>kad Lietuvos Respublikos Vyriausybės 2010 metais priimti nutarimai:</w:t>
      </w:r>
    </w:p>
    <w:p w:rsidR="00626711" w:rsidRPr="00D76F94" w:rsidRDefault="00626711" w:rsidP="00626711">
      <w:pPr>
        <w:pStyle w:val="Betarp"/>
        <w:ind w:firstLine="720"/>
        <w:jc w:val="both"/>
        <w:rPr>
          <w:bCs/>
        </w:rPr>
      </w:pPr>
      <w:r w:rsidRPr="00D76F94">
        <w:rPr>
          <w:bCs/>
        </w:rPr>
        <w:t>Lietuvos Respublikos Vyriausybės 2010 m. liepos 1d. nutarimas Nr. 984 “Dėl Šiaulių apskrities priklausomybės ligų centro savininko teisių ir pareigų bei turto perdavimo Šiaulių miesto savivaldybei” (Žin., 2010, Nr. 82 – 4349) ;</w:t>
      </w:r>
    </w:p>
    <w:p w:rsidR="00626711" w:rsidRPr="00D76F94" w:rsidRDefault="00626711" w:rsidP="00626711">
      <w:pPr>
        <w:pStyle w:val="Betarp"/>
        <w:jc w:val="both"/>
        <w:rPr>
          <w:bCs/>
        </w:rPr>
      </w:pPr>
      <w:r w:rsidRPr="00D76F94">
        <w:rPr>
          <w:bCs/>
        </w:rPr>
        <w:t>Lietuvos Respublikos Vyriausybės 2010 m. birželio 21d. nutarimas Nr. 860 “Dėl Klaipėdos priklausomybės ligų centro ir Klaipėdos sutrikusio vystymosi kūdikių namų savininko teisių ir pareigų ir turto perdavimo ” (Žin., 2010, Nr. 77 – 3954) ;</w:t>
      </w:r>
    </w:p>
    <w:p w:rsidR="00626711" w:rsidRPr="00F94DD1" w:rsidRDefault="00626711" w:rsidP="00626711">
      <w:pPr>
        <w:pStyle w:val="Betarp"/>
        <w:jc w:val="both"/>
      </w:pPr>
      <w:r w:rsidRPr="00F94DD1">
        <w:lastRenderedPageBreak/>
        <w:t>Lietuvos Respublikos Vyriausybės 2010 m. birželio 16 d. nutarimas Nr. 779 “Dėl Kauno apskrities priklausomybės ligų centro savininko teisių ir pareigų bei turto perdavimo ” (Žin., 2010, Nr. 73 – 3717) ;</w:t>
      </w:r>
    </w:p>
    <w:p w:rsidR="00626711" w:rsidRPr="00F94DD1" w:rsidRDefault="00626711" w:rsidP="00626711">
      <w:pPr>
        <w:pStyle w:val="Betarp"/>
        <w:jc w:val="both"/>
        <w:rPr>
          <w:b/>
          <w:bCs/>
        </w:rPr>
      </w:pPr>
      <w:r w:rsidRPr="00D76F94">
        <w:t xml:space="preserve">Lietuvos Respublikos Vyriausybės 2010 m. birželio 29 d. nutarimas Nr. 945 “Dėl sveikatos priežiūros įstaigų savininko turtinių ir neturtinių teisių, pareigų bei turto perdavimo Panevėžio miesto savivaldybei” (Žin., 2010, Nr. 81 – 4240) </w:t>
      </w:r>
      <w:r w:rsidRPr="00D76F94">
        <w:rPr>
          <w:bCs/>
        </w:rPr>
        <w:t xml:space="preserve">prieštarauja Lietuvoje vykdomai nuo 2009 iki  2012 metų Priklausomybės ligų gydymo programai, kuri užtikrino Lietuvos Respublikos sveikatos apsaugos ministro 2005 m. kovo 22 d. įsakymu Nr. V-182 (Žin., 2005, Nr. </w:t>
      </w:r>
      <w:hyperlink r:id="rId167" w:history="1">
        <w:r w:rsidRPr="00D76F94">
          <w:rPr>
            <w:rStyle w:val="Hipersaitas"/>
            <w:rFonts w:eastAsiaTheme="majorEastAsia"/>
            <w:bCs/>
          </w:rPr>
          <w:t>43-1380</w:t>
        </w:r>
      </w:hyperlink>
      <w:r w:rsidRPr="00D76F94">
        <w:rPr>
          <w:bCs/>
        </w:rPr>
        <w:t>) patvirtintos ir nuo 2005 metų veikusios programos  tęstinumą. Pagal šią Programą</w:t>
      </w:r>
      <w:r w:rsidRPr="00F94DD1">
        <w:rPr>
          <w:b/>
          <w:bCs/>
        </w:rPr>
        <w:t xml:space="preserve"> </w:t>
      </w:r>
      <w:r w:rsidRPr="00F94DD1">
        <w:rPr>
          <w:spacing w:val="-2"/>
        </w:rPr>
        <w:t xml:space="preserve">Pirminiai psichikos sveikatos centrai ir pirminės asmens ambulatorinės sveikatos priežiūros įstaigos jau privalėjo nuo 2009 metų sudaryti sutartis su aukščiau išvardintais Priklausomybės ligų centrais ir visoje Lietuvoje įgyvendinti Programą. </w:t>
      </w:r>
    </w:p>
    <w:p w:rsidR="00626711" w:rsidRPr="00F94DD1" w:rsidRDefault="00626711" w:rsidP="00626711">
      <w:pPr>
        <w:pStyle w:val="Betarp"/>
        <w:ind w:firstLine="720"/>
        <w:jc w:val="both"/>
        <w:rPr>
          <w:bCs/>
        </w:rPr>
      </w:pPr>
      <w:r w:rsidRPr="00F94DD1">
        <w:rPr>
          <w:bCs/>
        </w:rPr>
        <w:t>Priklausomybės ligų centrų perdavimas savivaldybėms iškėlė daug neaiškumų dėl  Programos įgyvendinimo.</w:t>
      </w:r>
    </w:p>
    <w:p w:rsidR="00626711" w:rsidRPr="00F94DD1" w:rsidRDefault="00626711" w:rsidP="00626711">
      <w:pPr>
        <w:pStyle w:val="Betarp"/>
        <w:ind w:firstLine="720"/>
        <w:jc w:val="both"/>
      </w:pPr>
      <w:r w:rsidRPr="00F94DD1">
        <w:t xml:space="preserve">Pvz., Lietuvos Respublikos Vyriausybei 2010 m. birželio 16 d. nutarimu Nr. 779 “Dėl Kauno apskrities priklausomybės ligų centro savininko teisių ir pareigų bei turto perdavimo” (Žin., 2010, Nr. 73-3717) valstybei priklausančias Kauno apskrities priklausomybės ligų centro savininko teises ir pareigas perdavus Kauno miesto savivaldybei ir Kauno miesto savivaldybės nuosavybėn savarankiškosioms savivaldybių funkcijoms įgyvendinti valstybei nuosavybės teise priklausantį ir šiuo metu Kauno apskrities priklausomybės ligų centro patikėjimo teise valdomą turtą, lieka neaišku, ar Kauno priklausomybės ligų centre  pirminės asmens sveikatos priežiūros organizavimo tvarką nustatys Vyriausybė, ar jos įgaliota institucija. </w:t>
      </w:r>
    </w:p>
    <w:p w:rsidR="00626711" w:rsidRPr="00F94DD1" w:rsidRDefault="00626711" w:rsidP="00626711">
      <w:pPr>
        <w:pStyle w:val="Betarp"/>
        <w:ind w:firstLine="720"/>
        <w:jc w:val="both"/>
      </w:pPr>
      <w:r w:rsidRPr="00F94DD1">
        <w:t xml:space="preserve">Nėra aišku, kokią ir kas nustatys visuomenės sveikatos priežiūros apimtį, ar  Kauno savivaldybė, ar Sveikatos apsaugos ministerija, ir kaip bus išspręsti finansavimo bei kiti klausimai, kuriuos aiškiai apibrėžia  Lietuvos Respublikos Sveikatos sistemos įstatymo  12 straipsnis. Šiame straipsnyje nustatyti  LNSS priklausančių stacionarinių asmens sveikatos priežiūros įstaigų, teikiančių sveikatos priežiūros paslaugas, finansavimo iš Privalomojo sveikatos draudimo fondo biudžeto lėšų, lygmenys, kurie yra: 1) rajonų; 2) regionų; 3) respublikos, ir kurie turi būti aiškiai apibrėžti, teikiant priklausomybės ligų centruose paslaugas visos Lietuvos gyventojams. Komisija siūlė, kad priklausomybės ligų centrams vadovautų viena institucija, kuri moksliniais pagrindais teiktų metodines rekomendacijas, kontroliuotų finansinius srautus ir prisiimtų atsakomybę už priklausomybių situacija, kontroliuotų neapdraustų pacientų, o ypač vaikų ir jaunimo gydymo klausimus.   Dabartiniu metu nėra aišku, kaip bus užtikrintas paslaugų teikimas kitose savivaldybėse. </w:t>
      </w:r>
    </w:p>
    <w:p w:rsidR="00626711" w:rsidRPr="00F94DD1" w:rsidRDefault="00626711" w:rsidP="00626711">
      <w:pPr>
        <w:pStyle w:val="Betarp"/>
        <w:jc w:val="both"/>
      </w:pPr>
      <w:r w:rsidRPr="00F94DD1">
        <w:tab/>
        <w:t>Komisija 2010-02-11 raštu Nr. S-2010-1430 “Dėl priklausomybės ligų centrų reformos, keičiantis steigėjui ir vaikų bei jaunimo trumpalaikės ir ilgalaikės reabilitacijos paslaugų tolimesnio teikimo” atkreipė Lietuvos Respublikos Ministro Pirmininko Andriaus Kubiliaus, Lietuvos Respublikos sveikatos apsaugos ministro Algio Čapliko ir Lietuvos Respublikos socialinės apsaugos ir darbo ministro Donato Jankausko dėmesį į priklausomybės ligų centrų reformą ir į tai, kad nėra institucijos, kuri užsiimtų priklausomybių specialistų rengimu bei jų kvalifikacijos tobulinimu.</w:t>
      </w:r>
    </w:p>
    <w:p w:rsidR="00626711" w:rsidRPr="00F94DD1" w:rsidRDefault="00626711" w:rsidP="00626711">
      <w:pPr>
        <w:pStyle w:val="Betarp"/>
        <w:ind w:firstLine="720"/>
        <w:jc w:val="both"/>
      </w:pPr>
      <w:r w:rsidRPr="00F94DD1">
        <w:t xml:space="preserve">Kauno apskrities priklausomybės  ligų centre veikia vaikų poskyris, kuriame teikiama trumpalaikė reabilitacija, bei vaikų ir jaunimo ilgalaikės reabilitacijos skyrius, kuriame teikiama reabilitacija iki vienerių metų. Centras yra praktikos bazė Vytauto Didžiojo universiteto studentams, socialiniams darbuotojams bei psichologams. Vytauto Didžiojo universiteto rektorato 2009-12-23 posėdyje pritarta ir toliau bendradarbiauti su Kauno apskrities priklausomybės ligų centru, integruojant universiteto Socialinių mokslų fakulteto, Socialinės gerovės fakulteto, Katalikų teologijos fakulteto (sielovados) ekspertinę patirtį. Minėta institucija po reformos galėtų tapti metodiniu specialistų rengimo centru. </w:t>
      </w:r>
    </w:p>
    <w:p w:rsidR="00626711" w:rsidRPr="00F94DD1" w:rsidRDefault="00626711" w:rsidP="00626711">
      <w:pPr>
        <w:pStyle w:val="Betarp"/>
        <w:ind w:firstLine="720"/>
        <w:jc w:val="both"/>
      </w:pPr>
      <w:r w:rsidRPr="00F94DD1">
        <w:t xml:space="preserve">Dabartiniu metu Kauno apskrities priklausomybės  ligų centre buvo gydomi vaikai iš  visos Lietuvos, todėl Kauno savivaldybei tapus centro steigėja, tokios galimybės gali nelikti, nes savivaldybė tvirtindama savo biudžetą, vėliau finansuoja tik savo teritorijos gyventojų gydymą ir tai atitiktų  Lietuvos Respublikos Sveikatos sistemos įstatymo  12 straipsnyje nustatytą  LNSS priklausančių stacionarinių asmens sveikatos priežiūros įstaigų, teikiančių sveikatos priežiūros paslaugas, finansavimo iš Privalomojo sveikatos draudimo fondo biudžeto lėšų, rajono lygmenį, bet ne visos Lietuvos poreikį, todėl būtina išplėsti lygmenį iki respublikinio. </w:t>
      </w:r>
    </w:p>
    <w:p w:rsidR="00626711" w:rsidRPr="00F94DD1" w:rsidRDefault="00626711" w:rsidP="00626711">
      <w:pPr>
        <w:pStyle w:val="Betarp"/>
        <w:jc w:val="both"/>
      </w:pPr>
      <w:r w:rsidRPr="00F94DD1">
        <w:t> </w:t>
      </w:r>
      <w:r w:rsidRPr="00F94DD1">
        <w:tab/>
        <w:t>Komisija paprašė užtikrinti Kauno apskrities priklausomybės  ligų centro, Šiaulių apskrities priklausomybės  ligų centro, Panevėžio apskrities priklausomybės  ligų centro ir Klaipėdos apskrities priklausomybės  ligų centro finansavimą.</w:t>
      </w:r>
    </w:p>
    <w:p w:rsidR="00626711" w:rsidRPr="00F94DD1" w:rsidRDefault="00626711" w:rsidP="00626711">
      <w:pPr>
        <w:pStyle w:val="Betarp"/>
        <w:jc w:val="both"/>
      </w:pPr>
      <w:r w:rsidRPr="00F94DD1">
        <w:lastRenderedPageBreak/>
        <w:t> </w:t>
      </w:r>
      <w:r w:rsidRPr="00F94DD1">
        <w:tab/>
        <w:t>Komisija paprašė skubos tvarka išspręsti priklausomybės ligų centrų pavaldumo klausimą, atsižvelgiant į visuomenės interesą, vieningos sistemos išlaikymą, kuri užtikrintų paslaugų teikimą visos šalies gyventojams  (ir neapdraustiems).</w:t>
      </w:r>
    </w:p>
    <w:p w:rsidR="00626711" w:rsidRPr="00F94DD1" w:rsidRDefault="00626711" w:rsidP="00626711">
      <w:pPr>
        <w:pStyle w:val="Betarp"/>
        <w:jc w:val="both"/>
      </w:pPr>
      <w:r w:rsidRPr="00F94DD1">
        <w:tab/>
        <w:t>Komisija kreipėsi į Lietuvos Respublikos Vyriausybę sudaryti galimybę Kauno apskrities priklausomybės ligų centrui ir toliau teikti trumpalaikę ir ilgalaikę reabilitaciją visos Lietuvos vaikams ir jaunimui, ir bendradarbiaujant su Vytauto Didžiojo universitetu išlaikyti centre praktikos bazę Vytauto Didžiojo universiteto studentams, socialiniams darbuotojams bei psichologams.</w:t>
      </w:r>
      <w:r w:rsidRPr="00F94DD1">
        <w:tab/>
        <w:t xml:space="preserve">Dabartiniu metu šią idėją palaiko ir Kauno Medicinos universiteto vadovybė. </w:t>
      </w:r>
    </w:p>
    <w:p w:rsidR="00626711" w:rsidRPr="00F94DD1" w:rsidRDefault="00626711" w:rsidP="00626711">
      <w:pPr>
        <w:pStyle w:val="Betarp"/>
        <w:jc w:val="both"/>
      </w:pPr>
    </w:p>
    <w:p w:rsidR="00626711" w:rsidRPr="00F94DD1" w:rsidRDefault="00626711" w:rsidP="00626711">
      <w:pPr>
        <w:pStyle w:val="Betarp"/>
        <w:ind w:firstLine="720"/>
        <w:jc w:val="both"/>
      </w:pPr>
      <w:r w:rsidRPr="00F94DD1">
        <w:t>2009 metais Narkomanijos ir alkoholizmo prevencijos komisijos 2009-09-16 posėdyje Sveikatos apsaugos ministerijos atstovai teigė, kad naujai kuriami 5 Krizių centrai steigiami prie Psichiatrijos ligoninių ir skirti suaugusiems.</w:t>
      </w:r>
    </w:p>
    <w:p w:rsidR="00626711" w:rsidRPr="00F94DD1" w:rsidRDefault="00626711" w:rsidP="00626711">
      <w:pPr>
        <w:pStyle w:val="Betarp"/>
        <w:jc w:val="both"/>
      </w:pPr>
      <w:r w:rsidRPr="00F94DD1">
        <w:t xml:space="preserve"> </w:t>
      </w:r>
      <w:r>
        <w:tab/>
      </w:r>
      <w:r w:rsidRPr="00F94DD1">
        <w:t xml:space="preserve"> Valstybinio psichikos sveikatos centro direktorė Ona Davidoniene sakė, kad sistema sukurta labai logiška. Centrai veiks prie ligoninių didžiuosiuose miestuose dėl patogumų ir išsprendžiant kadrų klausimą. Izoliuotai daryti centrus nelogiška, nes centro komanda turi greitai reaguoti į įvykį ir matyti visą aplinką, kurioje atsitiko krizinė situacija. Bus panaudojamos ES  bei valstybės lėšos centrams ir mobilioms komandoms kurti.  Reikalinga, kad iškarto būtų atlikti visi tyrimai ir dėl to šie centrai kuriami prie ligoninių. Specialistų komandos aukštos kvalifikacijos. Norint, kad tie centrai veiktų operatyviai, turi būti ir gerai parengti žmogiškieji resursai. Tokie resursai yra dabar Psichiatrijos įstaigose. Centrai maksimaliai turėtų suteikti pagalbą bet kuriuo paros metu.   Valstybė planuodama šiuos centrus užtikrina, kad paslaugos bus apmokėtos iš PSDF lėšų. Bus patvirtintas paslaugos aprašas ir įkainiai</w:t>
      </w:r>
    </w:p>
    <w:p w:rsidR="00626711" w:rsidRPr="00F94DD1" w:rsidRDefault="00626711" w:rsidP="00626711">
      <w:pPr>
        <w:pStyle w:val="Betarp"/>
        <w:ind w:firstLine="720"/>
        <w:jc w:val="both"/>
      </w:pPr>
      <w:r w:rsidRPr="00F94DD1">
        <w:t xml:space="preserve">Tame pačiame posėdyje buvo teigiama, kad Priklausomybės ligų centrų ateitis turi būti sprendžiama atskirai. Jų atsiradimo ir steigimo idėja buvo dėl neapdraustų asmenų gydymo ir gydymo apmokėjimo iš valstybės biudžeto lėšų, todėl  reikėtų peržiūrėti funkcijas. Pavaldumas šių centrų  nėra svarbus, svarbu kokios funkcijos jiems bus paliekamos ir kaip jie integruosis į bendrąją sistemą. Buvo manoma, kad gal Priklausomybės ligų centrai dar kartą persiskirstys funkcijas su Psichiatrijos gydymo įstaigomis.  Buvo pastebėta, kad neapdraustų pacientų sumažėjo. </w:t>
      </w:r>
    </w:p>
    <w:p w:rsidR="00626711" w:rsidRPr="00F94DD1" w:rsidRDefault="00626711" w:rsidP="00626711">
      <w:pPr>
        <w:pStyle w:val="Betarp"/>
        <w:ind w:firstLine="720"/>
        <w:jc w:val="both"/>
      </w:pPr>
      <w:r w:rsidRPr="00F94DD1">
        <w:t>Sveikatos apsaugos ministerijos atstovai 2009-09-16 Komisijos posėdyje aiškino, kad kuriam sistema labai paprasta ir modelis numatomas toks: šalia šeimos gydytojo institucijos veiks Psichikos sveikatos centrai, nes yra daug savižudybių, vaikų problemų, psichikos problemos visuomenėje. Kiekvienoje savivaldybėje jau veikia Psichikos sveikatos centrai, į kuriuos galima kreiptis be siuntimo.  Mažinant stigmatizaciją, nėra įskaitų, paslaugos teikiamos komandiniu principu. Jei ligos atvejis yra  sudėtingas, asmuo nukreipiamas į aukštesnio lygio  įstaigą. Priklausomybės ligomis sergantys pacientai, gali būti nukreipiami į Priklausomybės ligų centrus ambulatoriniam ar stacionariam gydymui, o po to grąžinami atgal į Psichikos sveikatos centrą. Kadangi yra daug kitų psichiatrinių problemų, kuriami  Krizių centrai ir  Diferencijuotos pagalbos centrai. Skubi pagalba bus teikiama per Krizių centrus, kurie vyks net į įvykio vietą. Kieno pavaldume bus Krizių centrai spręsis vėliau, buvo planuota, kad apskrities ligoninių pavaldume, tačiau,  panaikinus apskritis nuo 2010 m. liepos 1 d., nėra aišku.</w:t>
      </w:r>
    </w:p>
    <w:p w:rsidR="00626711" w:rsidRPr="00F94DD1" w:rsidRDefault="00626711" w:rsidP="00626711">
      <w:pPr>
        <w:pStyle w:val="Betarp"/>
        <w:jc w:val="both"/>
        <w:rPr>
          <w:b/>
        </w:rPr>
      </w:pPr>
    </w:p>
    <w:p w:rsidR="00626711" w:rsidRDefault="00626711" w:rsidP="00626711">
      <w:pPr>
        <w:pStyle w:val="Betarp"/>
        <w:ind w:firstLine="720"/>
        <w:jc w:val="both"/>
        <w:rPr>
          <w:b/>
          <w:bCs/>
        </w:rPr>
      </w:pPr>
      <w:r>
        <w:rPr>
          <w:b/>
          <w:bCs/>
        </w:rPr>
        <w:t xml:space="preserve">7. </w:t>
      </w:r>
      <w:r w:rsidRPr="00F94DD1">
        <w:rPr>
          <w:b/>
          <w:bCs/>
        </w:rPr>
        <w:t xml:space="preserve">Komisijos posėdžiuose nagrinėtas neapdraustų suaugusiųjų asmenų, sergančių priklausomybės ligomis, gydymo ir šių paslaugų finansavimo 2010 metais klausimas. </w:t>
      </w:r>
    </w:p>
    <w:p w:rsidR="00626711" w:rsidRPr="00F94DD1" w:rsidRDefault="00626711" w:rsidP="00626711">
      <w:pPr>
        <w:pStyle w:val="Betarp"/>
        <w:ind w:firstLine="720"/>
        <w:jc w:val="both"/>
        <w:rPr>
          <w:b/>
          <w:bCs/>
        </w:rPr>
      </w:pPr>
    </w:p>
    <w:p w:rsidR="00626711" w:rsidRPr="00F94DD1" w:rsidRDefault="00626711" w:rsidP="00626711">
      <w:pPr>
        <w:pStyle w:val="Betarp"/>
        <w:ind w:firstLine="720"/>
        <w:jc w:val="both"/>
      </w:pPr>
      <w:r w:rsidRPr="00F94DD1">
        <w:t xml:space="preserve">Nustatyta, kad dėl neapdraustų suaugusiųjų asmenų, sergančių priklausomybės ligomis, gydymo ir šių paslaugų finansavimo 2010 metais Sveikatos apsaugos ministerija pasirašė sutartį su Finansų ministerija. </w:t>
      </w:r>
    </w:p>
    <w:p w:rsidR="00626711" w:rsidRPr="00F94DD1" w:rsidRDefault="00626711" w:rsidP="00626711">
      <w:pPr>
        <w:pStyle w:val="Betarp"/>
        <w:ind w:firstLine="720"/>
        <w:jc w:val="both"/>
      </w:pPr>
      <w:r w:rsidRPr="00F94DD1">
        <w:t xml:space="preserve">Buvo numatyta, kad už 2010 metų I pusmetį finansavimą  Priklausomybės ligų centrai gaus per apskritis, o II pusmetį per Sveikatos apsaugos ministeriją. Tačiau, po apskričių panaikinimo du mėnesius priklausomybės ligų centrai negavo jokio finansavimo už teikiamas paslaugas ir jiems teko skolintis, kad apmokėti už centrams teikiamas paslaugas.  </w:t>
      </w:r>
    </w:p>
    <w:p w:rsidR="00626711" w:rsidRPr="00F94DD1" w:rsidRDefault="00626711" w:rsidP="00626711">
      <w:pPr>
        <w:pStyle w:val="Betarp"/>
        <w:ind w:firstLine="720"/>
        <w:jc w:val="both"/>
      </w:pPr>
      <w:r w:rsidRPr="00F94DD1">
        <w:t xml:space="preserve">Komisijos posėdžiuose 2009 metais buvo aiškinta, kad 2010 metais iš PSDF planuojama skirti visoms paslaugoms 1 mln. 813 tūkst. lt. Finansavimas 2010 metais turėjo mažėti 13 proc., palyginus su 2009 metais. </w:t>
      </w:r>
    </w:p>
    <w:p w:rsidR="00626711" w:rsidRPr="00F94DD1" w:rsidRDefault="00626711" w:rsidP="00626711">
      <w:pPr>
        <w:pStyle w:val="Betarp"/>
        <w:ind w:firstLine="720"/>
        <w:jc w:val="both"/>
      </w:pPr>
      <w:r w:rsidRPr="00F94DD1">
        <w:lastRenderedPageBreak/>
        <w:t xml:space="preserve">Buvo manoma, kad tikslinga, jei savivaldybės sutinka perimti priklausomybės ligų centrus, iš karto skirti tikslinį finansavimą priklausomybės ligų centrams. Kai kuriuose Priklausomybės ligų centrų skyriuose gydoma  iki 25 proc. nedraustų asmenų, jų paslaugos finansuojamos iš biudžeto. Pakankamai didelė dalis nedraustų.    </w:t>
      </w:r>
    </w:p>
    <w:p w:rsidR="00626711" w:rsidRPr="00F94DD1" w:rsidRDefault="00626711" w:rsidP="00626711">
      <w:pPr>
        <w:pStyle w:val="Betarp"/>
        <w:jc w:val="both"/>
      </w:pPr>
      <w:r w:rsidRPr="00F94DD1">
        <w:tab/>
        <w:t xml:space="preserve">Pvz., Vilniaus miesto gyventojas ir nedraustas Priklausomybės ligų centre gauna paslaugos nemokamas. Jei visai jokių dokumentų neturi asmuo, paguldyti gydytis yra sudėtinga. Savivaldybės ne visada apmoka už nedraustus asmenis.  Penktadalis neapdraustų asmenų kreipiasi gydytis centruose ir tai yra geri rezultatai. </w:t>
      </w:r>
    </w:p>
    <w:p w:rsidR="00626711" w:rsidRPr="00F94DD1" w:rsidRDefault="00626711" w:rsidP="00626711">
      <w:pPr>
        <w:pStyle w:val="Betarp"/>
        <w:ind w:firstLine="720"/>
        <w:jc w:val="both"/>
      </w:pPr>
      <w:r w:rsidRPr="00F94DD1">
        <w:t xml:space="preserve">Didžiausia problema jaunimo ankstyva ir savalaikė diagnostika dėl ŽIV, AIDS, tuberkuliozės, hepatitai ir tikslinga  nepanaudotas lėšas skirti šioms diagnostinėms priemonėms.  </w:t>
      </w:r>
    </w:p>
    <w:p w:rsidR="00626711" w:rsidRPr="00F94DD1" w:rsidRDefault="00626711" w:rsidP="00626711">
      <w:pPr>
        <w:pStyle w:val="Betarp"/>
        <w:jc w:val="both"/>
      </w:pPr>
      <w:r w:rsidRPr="00F94DD1">
        <w:t xml:space="preserve">Komisijos posėdžiuose buvo pastebėta, kad egzistuoja mažuose miestuose problema, kaip neigiamas visuomenės požiūris į priklausomus asmenis. </w:t>
      </w:r>
    </w:p>
    <w:p w:rsidR="00626711" w:rsidRPr="00F94DD1" w:rsidRDefault="00626711" w:rsidP="00626711">
      <w:pPr>
        <w:pStyle w:val="Betarp"/>
        <w:ind w:firstLine="720"/>
        <w:jc w:val="both"/>
      </w:pPr>
      <w:r w:rsidRPr="00F94DD1">
        <w:t xml:space="preserve">Priklausomybės ligų centruose vyrauja nedrausti suaugę pacientai apie 30 proc. ir jiems paslaugos teikiamos iš biudžeto. </w:t>
      </w:r>
    </w:p>
    <w:p w:rsidR="00626711" w:rsidRPr="00F94DD1" w:rsidRDefault="00626711" w:rsidP="00626711">
      <w:pPr>
        <w:pStyle w:val="Betarp"/>
        <w:ind w:firstLine="720"/>
        <w:jc w:val="both"/>
      </w:pPr>
      <w:r w:rsidRPr="00F94DD1">
        <w:t xml:space="preserve">2009 metais buvo nuogąstaujama, kad Kauno apskrities priklausomybės ligų centras yra respublikinės reikšmės vaikų ir paauglių 15 vietų gydymo centras, yra gydomi vaikai iš visos Lietuvos. Todėl, perėmus Kauno savivaldybei  centrą, neaišku, kaip bus gydomi iš visos Lietuvos vaikai, ir neaišku,  kaip bus gydomi suaugusieji. </w:t>
      </w:r>
    </w:p>
    <w:p w:rsidR="00626711" w:rsidRPr="00F94DD1" w:rsidRDefault="00626711" w:rsidP="00626711">
      <w:pPr>
        <w:pStyle w:val="Betarp"/>
        <w:ind w:firstLine="720"/>
        <w:jc w:val="both"/>
      </w:pPr>
      <w:r w:rsidRPr="00F94DD1">
        <w:t xml:space="preserve">Kadangi po 2010 metų liepos mėn. po apskričių reformos 2 mėn. Kauno apskrities priklausomybės ligų centrui neskirtas finansavimas ir trūko lėšų dėl gydymo nedraustiems asmenims, lėšų  trūko Kedainiuose gyvenantiems asmenims, kurie yram metadono programoje.  </w:t>
      </w:r>
    </w:p>
    <w:p w:rsidR="00626711" w:rsidRPr="00F94DD1" w:rsidRDefault="00626711" w:rsidP="00626711">
      <w:pPr>
        <w:pStyle w:val="Betarp"/>
        <w:jc w:val="both"/>
        <w:rPr>
          <w:bCs/>
        </w:rPr>
      </w:pPr>
      <w:r w:rsidRPr="00F94DD1">
        <w:rPr>
          <w:bCs/>
        </w:rPr>
        <w:t xml:space="preserve">Valstybinio psichikos sveikatos centro duomenimis, dėl metadono programos vykdymo Lietuvoje PLC sutartis sudaro sutartis tik su tais Psichikos sveikatos centrais, kurie vykdo pakaitinio gydymo metadonu programą ir tai, nėra teisinga, nes  reikėtų finansuoti gydymą ir kitais vaistais (pvz., kaip buprenorfinu, subuteksu)  bei diagnostikos paslaugas. Daug pacientų kreipiasi dėl metadono naudojimo, bet yra ir kitos paslaugos ir kiti vaistai. </w:t>
      </w:r>
    </w:p>
    <w:p w:rsidR="00626711" w:rsidRPr="00F94DD1" w:rsidRDefault="00626711" w:rsidP="00626711">
      <w:pPr>
        <w:pStyle w:val="Betarp"/>
        <w:ind w:firstLine="720"/>
        <w:jc w:val="both"/>
      </w:pPr>
      <w:r w:rsidRPr="00F94DD1">
        <w:t xml:space="preserve">Narkotikų kontrolės departamento prie Lietuvos Respublikos Vyriausybės duomenimis, su priklausomais </w:t>
      </w:r>
      <w:r w:rsidRPr="004B6431">
        <w:rPr>
          <w:bCs/>
        </w:rPr>
        <w:t>asmenimis Lietuvoje dirba iš 85 tik 19 PSC</w:t>
      </w:r>
      <w:r w:rsidRPr="004B6431">
        <w:t>.</w:t>
      </w:r>
      <w:r w:rsidRPr="00F94DD1">
        <w:t xml:space="preserve"> Yra leidimas bendradarbiauti PSC su PLC ir gauti lėšas diagnostikai, bet kiti su šia problema nedirba. Mažeikiai, Kedainiai, Telšiai, Šilutė dirba teritoriniu principu ir gauna lėšas šioms paslaugoms.  Kauno apskrities priklausomybės ligų centro pavyzdys yra geras, per metus pradėjo gydytis 50 asmenų. Valstybinis užsakymas turi būti finansuojamas per SAM. Ambulatorinės pagalbos vaikams turėtų išlikti Vilniuje, Klaipėdoje, Panevėžyje ir Šiauliuose. Stacionarinė pagalba vaikams galėtų būti teikiama ir turėtų išlikti Kaune. </w:t>
      </w:r>
    </w:p>
    <w:p w:rsidR="00626711" w:rsidRPr="00F94DD1" w:rsidRDefault="00626711" w:rsidP="00626711">
      <w:pPr>
        <w:pStyle w:val="Betarp"/>
        <w:jc w:val="both"/>
      </w:pPr>
      <w:r w:rsidRPr="00F94DD1">
        <w:t xml:space="preserve">Tokiu būdu, Lietuvoje su priklausomais asmenimis dirba tik 19 PSC ir turi atitinkamas sutartys, kiti centrai dėl neaiškių priežasčių negydo priklausomybės ligomis sergančių neapdraustų asmenų. </w:t>
      </w:r>
    </w:p>
    <w:p w:rsidR="00626711" w:rsidRPr="004B6431" w:rsidRDefault="00626711" w:rsidP="00626711">
      <w:pPr>
        <w:pStyle w:val="Betarp"/>
        <w:jc w:val="both"/>
        <w:rPr>
          <w:bCs/>
        </w:rPr>
      </w:pPr>
      <w:r w:rsidRPr="004B6431">
        <w:rPr>
          <w:bCs/>
        </w:rPr>
        <w:t>2009 m. Lietuvoje veikė 87 psichikos sveikatos centrai,</w:t>
      </w:r>
      <w:r w:rsidRPr="004B6431">
        <w:t xml:space="preserve"> </w:t>
      </w:r>
      <w:r w:rsidRPr="004B6431">
        <w:rPr>
          <w:bCs/>
        </w:rPr>
        <w:t>2010 m. sausio 1 d. tokių centrų buvo 89.</w:t>
      </w:r>
    </w:p>
    <w:p w:rsidR="00626711" w:rsidRPr="00F94DD1" w:rsidRDefault="00626711" w:rsidP="00626711">
      <w:pPr>
        <w:pStyle w:val="Betarp"/>
        <w:ind w:firstLine="720"/>
        <w:jc w:val="both"/>
      </w:pPr>
      <w:r w:rsidRPr="00F94DD1">
        <w:t xml:space="preserve">Komisija  nustatė, kad situacija regionuose netolygi, nes PSC finansuojami pagal prirašytą gyventojų skaičių. Bendras centrų 85 skaičius yra  tik statistinis skaičius, realiai centrai pagal dydį yra nevienodo darbo krūvio ir ligonių skaičiaus. Nedidelio Psichikos centro komanda, jei tuo metu turi priregistruotų tik 8-11 tūkst. gyventojų, todėl gydyti, lankyti ligonius dėl skirto mažo etatų skaičiaus ir nepilnos darbo dienos, neturi jokių galimybių, nors darbo užmokestis visuose centruose vienodas, nežiūrint į darbo krūvį. Dėl tokios situacijos maži centriukai santykinai rodo sveikesnį gyventojų skaičių. Dažnai, iš tokio mažo centro ligoniai nukreipiami į didesnius centrus ir tuomet didesniuose centruose matome santykinai didesnį ligonių skaičių. Vykdyti pakaitinio gydymo programas ne visi centrai gali, nes reikia įsirengti kabinetus ir įrangą. Kai kurie kabinetai buvo įrengti už ES lėšas.  Turi būti papildomas apmokėjimas ir paskatinimai, nes priklausomybės ligomis sergantys pacientai labai sunkūs ir darbas su jais yra sudėtingesnis. Tokiems pacientams turėtų būti biudžetinis finansavimas ir gydymas aiškesnis, ne toks koks dabar. Dabartiniu metu gydytojai neskatinami gydyti kuo daugiau ligonių, nes vis vien atlyginimai mokami ne nuo ligonių skaičiaus. Reikėtų suvienodinti ir taikyti tokią praktiką kaip ir gydant kitas ligas. Kalbėti apie geresnį prieinamumą gydytis sunku, nes centras dirba tik vieną dieną per savaitę. Turi būti nustatytas minimalus, bet realus gyventojų aptarnavimo skaičius, taip pat ir realios gydymo komandos etatų skaičius.  </w:t>
      </w:r>
    </w:p>
    <w:p w:rsidR="00626711" w:rsidRPr="00F94DD1" w:rsidRDefault="00626711" w:rsidP="00626711">
      <w:pPr>
        <w:pStyle w:val="Betarp"/>
        <w:ind w:firstLine="720"/>
        <w:jc w:val="both"/>
      </w:pPr>
      <w:r w:rsidRPr="00F94DD1">
        <w:t xml:space="preserve">Valstybinės ligonių kasos Paslaugų ekspertizės kontrolės skyriaus specialistų nuomone, reikalingas vienas finansavimo šaltinis ir nesvarbu iš kokios biudžeto eilutės bus finansuojamos paslaugos ir būtina įvesti už suteiktas paslaugas tą patį finansavimo principą, kuris taikomas gydant ligonius, sergančius kitomis ligomis, nes gydant kitus ligonius, sistema veikia  puikiai.    </w:t>
      </w:r>
    </w:p>
    <w:p w:rsidR="00626711" w:rsidRPr="00F94DD1" w:rsidRDefault="00626711" w:rsidP="00626711">
      <w:pPr>
        <w:pStyle w:val="Betarp"/>
        <w:ind w:firstLine="720"/>
        <w:jc w:val="both"/>
      </w:pPr>
      <w:r w:rsidRPr="00F94DD1">
        <w:lastRenderedPageBreak/>
        <w:t xml:space="preserve">Komisijos posėdžiuose buvo konstatuota, kad yra patvirtintas standartas teikiant antrinio, tretinio lygio paslaugas. Tačiau, tokios tvarkos, kokia yra visose kitose srityse ( pvz.,  psichiatrijoje),  gydant priklausomus asmenis, nėra. Todėl buvo manoma, kad reikėtų numatyti lėšas ir mokėti už ligonio gydymo atvejį. </w:t>
      </w:r>
    </w:p>
    <w:p w:rsidR="00626711" w:rsidRPr="00F94DD1" w:rsidRDefault="00626711" w:rsidP="00626711">
      <w:pPr>
        <w:pStyle w:val="Betarp"/>
        <w:ind w:firstLine="720"/>
        <w:jc w:val="both"/>
      </w:pPr>
      <w:r w:rsidRPr="00F94DD1">
        <w:t xml:space="preserve">Pvz., Šiaulių mieste yra du  psichikos sveikatos centrai, kurie aptarnauja  60 ir 90 tūkst. gyventojų ir negalima tų centrų vadovų priversti teikti paslaugas pagal SAM patvirtintą aprašą. Jie neteikia priklausomybės sergantiems asmenims paslaugų ir jokių svertų juos nubausti nėra. Ligonių kasa moka pinigus, o steigėjas negali nubausti už neatliekamas paslaugas. Nuo 2007 metų leidžiama įstaigos vadovui dirbti be amžiaus apribojimo, vadovams netaikoma atestacija, 36 val. per 5 metus užtenka vadovui darbo patirties administracinio darbo kvalifikacijos kėlimui, nėra svertų reguliuoti kaip priversti vadovus dirbti ir teikti paslaugas.  2008 metais Šiaulių priklausomybės ligų centre lėšos buvo panaudotos 100 proc., nes  buvo perkami vaisai, testai. Centre nuo 2009 m. liko 2 gydytojai psichiatrai dirbantys po pusė etato, neturi pirminės grandies atliekamo antro lygio konsultacinės pagalbos, todėl lėšų atliks.  Pirminio lygio paslaugas turėtų teikti psichikos sveikatos centrai ir jų funkcija nukreipti pacientą į priklausomybės ligų centrą. Nedraustų yra tik vienas trečdalis, apie 40-55 proc.ligonių  gydosi iš kitų rajonų.   Draustų asmenų gydosi iki 75 proc. Šiaulių priklausomybės ligų centro atstovų nuomone, reikėtų spręsti dėl gydymo asmenų iš kitų savivaldybių klausimą.  </w:t>
      </w:r>
    </w:p>
    <w:p w:rsidR="00626711" w:rsidRPr="00F94DD1" w:rsidRDefault="00626711" w:rsidP="00626711">
      <w:pPr>
        <w:pStyle w:val="Betarp"/>
        <w:ind w:firstLine="720"/>
        <w:jc w:val="both"/>
        <w:rPr>
          <w:b/>
          <w:bCs/>
        </w:rPr>
      </w:pPr>
      <w:r w:rsidRPr="00F94DD1">
        <w:t xml:space="preserve">Valstybinės ligonių kasos Paslaugų ekspertizės kontrolės skyriaus duomenimis įsigaliojusi nauja draudimo tvarka ir draudimas įsigalioja užsiregistravus darbo biržoje tik po 3 mėn., arba draudimas įsigalioja sekančią dieną tik įmokėjus apie du tūkstančius litų. Ankščiau, nereikėjo laukti, draudimas įsigaliodavo kitą dieną užregistravus darbo biržoje. Todėl išlieka apmokėjimo už gydymą problema, nes ligonis tampa apdraustuoju po 3 mėnesių ir prognozuojama, kad nedraustų asmenų daugės. </w:t>
      </w:r>
      <w:r w:rsidRPr="004B6431">
        <w:rPr>
          <w:bCs/>
        </w:rPr>
        <w:t>Reikalingas vienas finansavimo šaltinis ir įvesti už suteiktas paslaugas tą patį apmokėjimo principą ir sistema veiktų.</w:t>
      </w:r>
      <w:r w:rsidRPr="00F94DD1">
        <w:rPr>
          <w:b/>
          <w:bCs/>
        </w:rPr>
        <w:t xml:space="preserve"> </w:t>
      </w:r>
    </w:p>
    <w:p w:rsidR="00626711" w:rsidRPr="00F94DD1" w:rsidRDefault="00626711" w:rsidP="00626711">
      <w:pPr>
        <w:pStyle w:val="Betarp"/>
        <w:ind w:firstLine="720"/>
        <w:jc w:val="both"/>
      </w:pPr>
      <w:r w:rsidRPr="004B6431">
        <w:rPr>
          <w:bCs/>
        </w:rPr>
        <w:t>Buvo pastebėta, kad Sveikatos apsaugos ministerija patvirtino standartą antrinio ir tretinio lygio paslaugose, bet už konkrečios ligos atvejį apmokėjimo nėra, nors kitoms ligoms numatoma.</w:t>
      </w:r>
      <w:r w:rsidRPr="00F94DD1">
        <w:t xml:space="preserve"> Dabartiniu metu įstaigos gauna biudžetą ir nėra suinteresuotos gydyti kuo daugiau ligonių. </w:t>
      </w:r>
    </w:p>
    <w:p w:rsidR="00626711" w:rsidRPr="00F94DD1" w:rsidRDefault="00626711" w:rsidP="00626711">
      <w:pPr>
        <w:pStyle w:val="Betarp"/>
        <w:ind w:firstLine="720"/>
        <w:jc w:val="both"/>
      </w:pPr>
      <w:r w:rsidRPr="00F94DD1">
        <w:t xml:space="preserve">Lieka neaišku kaip bus gydomas žmogus, kuris visą laiką mokėjo draudimą ir tapo narkomanu, ar jis turi krepšelį, kur jis bus gydomas, kaip ir kur jis pradės gydytis. </w:t>
      </w:r>
    </w:p>
    <w:p w:rsidR="00626711" w:rsidRPr="00F94DD1" w:rsidRDefault="00626711" w:rsidP="00626711">
      <w:pPr>
        <w:pStyle w:val="Betarp"/>
        <w:ind w:firstLine="720"/>
        <w:jc w:val="both"/>
      </w:pPr>
      <w:r w:rsidRPr="00F94DD1">
        <w:t xml:space="preserve">Išlieka problema - psichikos sveikatos centrai rajonuose,  negaus jokių paslaugų be draudimo ir nekonsultuos ir negydys.  </w:t>
      </w:r>
    </w:p>
    <w:p w:rsidR="00626711" w:rsidRPr="00F94DD1" w:rsidRDefault="00626711" w:rsidP="00626711">
      <w:pPr>
        <w:pStyle w:val="Betarp"/>
        <w:ind w:firstLine="720"/>
        <w:jc w:val="both"/>
      </w:pPr>
      <w:r w:rsidRPr="00F94DD1">
        <w:t>Valstybinės ligonių kasos Paslaugų ekspertizės kontrolės skyriaus duomenimis, 2008 m. ambulatorinė reabilitacija taikyta 11400 asmenų, stacionarinė reabilitacija taikyta 9060 asmenų, pirmą kartą diagnozuota, kurie gavo tas paslaugas 6421 stacionarines, o ambulatorines 7158 asmenys. Statistika rodo, kad per 5 metus šie skaičiai sumažėjo. Minėti  duomenys pateikti pagal Sveidros sistemos duomenis.</w:t>
      </w:r>
    </w:p>
    <w:p w:rsidR="00626711" w:rsidRPr="00F94DD1" w:rsidRDefault="00626711" w:rsidP="00626711">
      <w:pPr>
        <w:pStyle w:val="Betarp"/>
        <w:ind w:firstLine="720"/>
        <w:jc w:val="both"/>
      </w:pPr>
      <w:r w:rsidRPr="00F94DD1">
        <w:t xml:space="preserve">Valstybinio psichikos sveikatos centro duomenimis, diagnostikos ir gydymo standartai yra aiškūs, bet problema – lėšų paskirstymas, reikia mokėti už atliktą darbą. Socialiniai darbuotojai savo teritorijos gyventojus žino ir patys gydytojai su socialiniais darbuotojais turi būti suinteresuoti gydyti ligonius. </w:t>
      </w:r>
    </w:p>
    <w:p w:rsidR="00626711" w:rsidRPr="00F94DD1" w:rsidRDefault="00626711" w:rsidP="00626711">
      <w:pPr>
        <w:pStyle w:val="Betarp"/>
        <w:ind w:firstLine="720"/>
        <w:jc w:val="both"/>
      </w:pPr>
      <w:r w:rsidRPr="004B6431">
        <w:t>Valstybinio psichikos sveikatos centro pateiktoje Komisijos posėdžiuose informacijoje  matyti, kad</w:t>
      </w:r>
      <w:r w:rsidRPr="00F94DD1">
        <w:rPr>
          <w:b/>
        </w:rPr>
        <w:t xml:space="preserve"> </w:t>
      </w:r>
      <w:r w:rsidRPr="00F94DD1">
        <w:t>asmenų, kurie kreipiasi į sveikatos priežiūros įstaigas dėl priklausomybės alkoholiui, narkotikams ir psichotropinėms medžiagoms, skaičius palaipsniui didėja.</w:t>
      </w:r>
    </w:p>
    <w:p w:rsidR="00626711" w:rsidRPr="00F94DD1" w:rsidRDefault="00626711" w:rsidP="00626711">
      <w:pPr>
        <w:pStyle w:val="Betarp"/>
        <w:jc w:val="both"/>
      </w:pPr>
      <w:r w:rsidRPr="00F94DD1">
        <w:t xml:space="preserve"> Valstybinio psichikos sveikatos centro (toliau – VPSC) duomenimis, 2005 m. – 68 701, o 2007 metais – 69 365 pacientai.</w:t>
      </w:r>
    </w:p>
    <w:p w:rsidR="00626711" w:rsidRPr="00F94DD1" w:rsidRDefault="00626711" w:rsidP="00626711">
      <w:pPr>
        <w:pStyle w:val="Betarp"/>
        <w:jc w:val="both"/>
      </w:pPr>
      <w:r w:rsidRPr="00F94DD1">
        <w:t xml:space="preserve"> </w:t>
      </w:r>
      <w:r>
        <w:tab/>
      </w:r>
      <w:r w:rsidRPr="00F94DD1">
        <w:t>VPSC duomenimis, dėl priklausomybės alkoholiui į asmens sveikatos priežiūros įstaigas pagalbos 2005 metais kreipėsi 63 330, o 2007 m. – 63 650 pacientai.</w:t>
      </w:r>
    </w:p>
    <w:p w:rsidR="00626711" w:rsidRPr="00F94DD1" w:rsidRDefault="00626711" w:rsidP="00626711">
      <w:pPr>
        <w:pStyle w:val="Betarp"/>
        <w:ind w:firstLine="720"/>
        <w:jc w:val="both"/>
      </w:pPr>
      <w:r w:rsidRPr="00F94DD1">
        <w:t>Sergančių alkoholinėmis psichozėmis pacientų skaičius kasmet vis didėja. 2005 metais buvo užregistruoti 3077, o 2007 m. – 3747 pacientai. Alkoholinių psichozių skaičius tai pat kasmet didėja. 2005 metais alkoholinių psichozių buvo 89,8 atvejo 100000 gyventojų, o 2007 m. išaugo iki 111,0 atv. / 100 000 gyv.</w:t>
      </w:r>
    </w:p>
    <w:p w:rsidR="00626711" w:rsidRPr="00F94DD1" w:rsidRDefault="00626711" w:rsidP="00626711">
      <w:pPr>
        <w:pStyle w:val="Betarp"/>
        <w:ind w:firstLine="720"/>
        <w:jc w:val="both"/>
        <w:rPr>
          <w:bCs/>
        </w:rPr>
      </w:pPr>
      <w:r w:rsidRPr="00F94DD1">
        <w:rPr>
          <w:bCs/>
        </w:rPr>
        <w:t>VPSC duomenimis, kasmet didėja asmenų, kurie kreipiasi dėl priklausomybės nuo narkotinių ir kitų psichoaktyviųjų medžiagų į gydymo įstaigas, skaičius: 2005 metais užregistruotas 5371, o 2007 m. – 5715 pacientų.</w:t>
      </w:r>
    </w:p>
    <w:p w:rsidR="00626711" w:rsidRPr="00F94DD1" w:rsidRDefault="00626711" w:rsidP="00626711">
      <w:pPr>
        <w:pStyle w:val="Betarp"/>
        <w:ind w:firstLine="720"/>
        <w:jc w:val="both"/>
      </w:pPr>
      <w:r w:rsidRPr="00F94DD1">
        <w:t>Auga pacientų vartojančių opioidus skaičius: 2005 metais užregistruota 4311 pacientų, 2007 m. – 4616.</w:t>
      </w:r>
    </w:p>
    <w:p w:rsidR="00626711" w:rsidRPr="00F94DD1" w:rsidRDefault="00626711" w:rsidP="00626711">
      <w:pPr>
        <w:pStyle w:val="Betarp"/>
        <w:ind w:firstLine="720"/>
        <w:jc w:val="both"/>
      </w:pPr>
      <w:r w:rsidRPr="00F94DD1">
        <w:lastRenderedPageBreak/>
        <w:t>Dalis pacientų vartoja kelis narkotikus ar psichoaktyviąsias medžiagas ir tokių asmenų skaičius palaipsniui didėja: 2005 m. buvo 632, 2007 m. – 688 pacientai.</w:t>
      </w:r>
    </w:p>
    <w:p w:rsidR="00626711" w:rsidRPr="00F94DD1" w:rsidRDefault="00626711" w:rsidP="00626711">
      <w:pPr>
        <w:pStyle w:val="Betarp"/>
        <w:ind w:firstLine="720"/>
        <w:jc w:val="both"/>
      </w:pPr>
      <w:r w:rsidRPr="00F94DD1">
        <w:t>Vartojančių stimuliatorius ir kofeiną pacientų skaičius taip pat didėja: 2005 metais – 136, 2007 m. – 147 pacientai.</w:t>
      </w:r>
    </w:p>
    <w:p w:rsidR="00626711" w:rsidRPr="004B6431" w:rsidRDefault="00626711" w:rsidP="00626711">
      <w:pPr>
        <w:pStyle w:val="Betarp"/>
        <w:ind w:firstLine="720"/>
        <w:jc w:val="both"/>
      </w:pPr>
      <w:r w:rsidRPr="004B6431">
        <w:t xml:space="preserve">2010 m. sausio 1 d. asmens sveikatos priežiūros įstaigose dėl psichikos ir elgesio sutrikimų vartojant narkotines ir psichotropines medžiagas viso registruoti 5953 asmenys (2008 m. – 5808 asm.),  iš jų vaikų viso registruota: 2009 m. -11 asm., 2008 m. -15 asm., 2007 m. -11 asm., 2006 m. -19 asm. 2009 m. ligotumas narkomanija sudarė 178,9 atv. 100 tūkst. gyventojų (2008 m. - 172,5 atv./ 100 tūkst. gyv.) </w:t>
      </w:r>
    </w:p>
    <w:p w:rsidR="00626711" w:rsidRPr="004B6431" w:rsidRDefault="00626711" w:rsidP="00626711">
      <w:pPr>
        <w:pStyle w:val="Betarp"/>
        <w:ind w:firstLine="720"/>
        <w:jc w:val="both"/>
      </w:pPr>
      <w:r w:rsidRPr="004B6431">
        <w:t>2009 m. asmens sveikatos priežiūros įstaigose pirmą kartą dėl psichikos ir elgesio sutrikimų, vartojant narkotines ar psichotropines medžiagas, į sveikatos priežiūros įstaigas kreipėsi ir buvo registruoti 345 asmenys (2008 m. – 272, 2007 m. – 318,). Iš jų vaikų viso registruota: 2009 m. – 6 asm., 2008 m. – 10 asm., 2007 m. – 6 asm., 2006 m. – 12 asm. 2009 m. sergamumas narkomanija sudarė 10,4 atv. 100 tūkst. gyventojų (2008 m. 8,1 atv./ 100 tūkst. gyv.) ir buvo mažesnis už pastarųjų 7 metų vidurkį – 11,5 atv. 100 tūkst. gyventojų.</w:t>
      </w:r>
    </w:p>
    <w:p w:rsidR="00626711" w:rsidRPr="004B6431" w:rsidRDefault="00626711" w:rsidP="00626711">
      <w:pPr>
        <w:pStyle w:val="Betarp"/>
        <w:jc w:val="both"/>
      </w:pPr>
      <w:r w:rsidRPr="004B6431">
        <w:t>Vilniaus priklausomybės ligų centro pateiktais duomenimis 2010 metų sausio 1 d. Lietuvoje pakaitinio gydymo programose metadonu ir buprenorfinu dalyvavo 562 asmenys (2009 metų sausio 1 d. - 512 asmenų). Per 2009 metus pakaitinis gydymas buvo taikytas 815 asmenų, per 2008 metus - 872 asmenims.</w:t>
      </w:r>
    </w:p>
    <w:p w:rsidR="00626711" w:rsidRPr="00F94DD1" w:rsidRDefault="00626711" w:rsidP="00626711">
      <w:pPr>
        <w:pStyle w:val="Betarp"/>
        <w:jc w:val="both"/>
        <w:rPr>
          <w:lang w:val="en-US"/>
        </w:rPr>
      </w:pPr>
    </w:p>
    <w:p w:rsidR="00626711" w:rsidRPr="004B6431" w:rsidRDefault="00626711" w:rsidP="00626711">
      <w:pPr>
        <w:pStyle w:val="Betarp"/>
        <w:ind w:firstLine="720"/>
        <w:jc w:val="both"/>
        <w:rPr>
          <w:b/>
        </w:rPr>
      </w:pPr>
      <w:r>
        <w:rPr>
          <w:b/>
        </w:rPr>
        <w:t xml:space="preserve">8. </w:t>
      </w:r>
      <w:r w:rsidRPr="004B6431">
        <w:rPr>
          <w:b/>
        </w:rPr>
        <w:t>Dėl reabilitacijos paslaugų</w:t>
      </w:r>
      <w:r>
        <w:rPr>
          <w:b/>
        </w:rPr>
        <w:t>.</w:t>
      </w:r>
      <w:r w:rsidRPr="004B6431">
        <w:rPr>
          <w:b/>
        </w:rPr>
        <w:t xml:space="preserve"> </w:t>
      </w:r>
    </w:p>
    <w:p w:rsidR="00626711" w:rsidRPr="00F94DD1" w:rsidRDefault="00626711" w:rsidP="00626711">
      <w:pPr>
        <w:pStyle w:val="Betarp"/>
        <w:jc w:val="both"/>
        <w:rPr>
          <w:b/>
          <w:bCs/>
        </w:rPr>
      </w:pPr>
    </w:p>
    <w:p w:rsidR="00626711" w:rsidRPr="00F94DD1" w:rsidRDefault="00626711" w:rsidP="00626711">
      <w:pPr>
        <w:pStyle w:val="Betarp"/>
        <w:ind w:firstLine="720"/>
        <w:jc w:val="both"/>
      </w:pPr>
      <w:r w:rsidRPr="00F94DD1">
        <w:t xml:space="preserve">Reabilitacijos paslaugas teikia priklausomybės ligų centrai. </w:t>
      </w:r>
    </w:p>
    <w:p w:rsidR="00626711" w:rsidRPr="00F94DD1" w:rsidRDefault="00626711" w:rsidP="00626711">
      <w:pPr>
        <w:pStyle w:val="Betarp"/>
        <w:ind w:firstLine="720"/>
        <w:jc w:val="both"/>
      </w:pPr>
      <w:r w:rsidRPr="00F94DD1">
        <w:t xml:space="preserve">Asmens sveikatos priežiūros įstaigos, teikiančios reabilitacijos paslaugas turi vadovautis Lietuvos Respublikos sveikatos apsaugos ministerijos 2002 m. gegužės 3 d. įsakymo Nr. 204 “Dėl priklausomybės ligų gydymo ir reabilitacijos standartų patvirtinimo” (Žin., 2002, Nr. 47-1824; 2007, Žin., Nr. 90- 3586) reikalavimais. </w:t>
      </w:r>
    </w:p>
    <w:p w:rsidR="00626711" w:rsidRPr="00F94DD1" w:rsidRDefault="00626711" w:rsidP="00626711">
      <w:pPr>
        <w:pStyle w:val="Betarp"/>
        <w:ind w:firstLine="720"/>
        <w:jc w:val="both"/>
      </w:pPr>
      <w:r w:rsidRPr="00F94DD1">
        <w:t xml:space="preserve">Reabilitacija teikiama įvertinus paciento psichikos būklę, gretutines ligas, šeimyninę aplinką, socialinę paramą, kitus faktorius. Reabilitacija pradedama teikti pradėjus gydymą. </w:t>
      </w:r>
    </w:p>
    <w:p w:rsidR="00626711" w:rsidRPr="00F94DD1" w:rsidRDefault="00626711" w:rsidP="00626711">
      <w:pPr>
        <w:pStyle w:val="Betarp"/>
        <w:jc w:val="both"/>
        <w:rPr>
          <w:bCs/>
        </w:rPr>
      </w:pPr>
      <w:r w:rsidRPr="00F94DD1">
        <w:rPr>
          <w:bCs/>
        </w:rPr>
        <w:t>Lietuvoje veikia kelios reabilitacijos programų rūšys:</w:t>
      </w:r>
    </w:p>
    <w:p w:rsidR="00626711" w:rsidRPr="00F94DD1" w:rsidRDefault="00626711" w:rsidP="00626711">
      <w:pPr>
        <w:pStyle w:val="Betarp"/>
        <w:jc w:val="both"/>
      </w:pPr>
      <w:r w:rsidRPr="00F94DD1">
        <w:t>- Trumpa ambulatorinė psichoterapinė reabilitacijos programa (Minesotos).</w:t>
      </w:r>
    </w:p>
    <w:p w:rsidR="00626711" w:rsidRPr="00F94DD1" w:rsidRDefault="00626711" w:rsidP="00626711">
      <w:pPr>
        <w:pStyle w:val="Betarp"/>
        <w:jc w:val="both"/>
      </w:pPr>
      <w:r w:rsidRPr="00F94DD1">
        <w:t>- Trumpa stacionarinė psichoterapinė reabilitacijos programa (Minesotos).</w:t>
      </w:r>
    </w:p>
    <w:p w:rsidR="00626711" w:rsidRPr="00F94DD1" w:rsidRDefault="00626711" w:rsidP="00626711">
      <w:pPr>
        <w:pStyle w:val="Betarp"/>
        <w:jc w:val="both"/>
      </w:pPr>
      <w:r w:rsidRPr="00F94DD1">
        <w:t>- Vidutinės trukmės ambulatorinė psichoterapinė reabilitacijos programa dienos centre.</w:t>
      </w:r>
    </w:p>
    <w:p w:rsidR="00626711" w:rsidRPr="00F94DD1" w:rsidRDefault="00626711" w:rsidP="00626711">
      <w:pPr>
        <w:pStyle w:val="Betarp"/>
        <w:jc w:val="both"/>
      </w:pPr>
      <w:r w:rsidRPr="00F94DD1">
        <w:t>- Vidutinės trukmės stacionarinė psichoterapinė reabilitacijos programa dienos centre.</w:t>
      </w:r>
    </w:p>
    <w:p w:rsidR="00626711" w:rsidRPr="00F94DD1" w:rsidRDefault="00626711" w:rsidP="00626711">
      <w:pPr>
        <w:pStyle w:val="Betarp"/>
        <w:jc w:val="both"/>
      </w:pPr>
      <w:r w:rsidRPr="00F94DD1">
        <w:t>- Ilgalaikė ambulatorinė psichoterapinė reabilitacija dienos centre.</w:t>
      </w:r>
    </w:p>
    <w:p w:rsidR="00626711" w:rsidRPr="00F94DD1" w:rsidRDefault="00626711" w:rsidP="00626711">
      <w:pPr>
        <w:pStyle w:val="Betarp"/>
        <w:jc w:val="both"/>
      </w:pPr>
      <w:r w:rsidRPr="00F94DD1">
        <w:t xml:space="preserve">- Ilgalaikė stacionarinė psichoterapinė reabilitacija. </w:t>
      </w:r>
    </w:p>
    <w:p w:rsidR="00626711" w:rsidRPr="00F94DD1" w:rsidRDefault="00626711" w:rsidP="00626711">
      <w:pPr>
        <w:pStyle w:val="Betarp"/>
        <w:ind w:firstLine="720"/>
        <w:jc w:val="both"/>
      </w:pPr>
      <w:r w:rsidRPr="00F94DD1">
        <w:t xml:space="preserve">Sveikatos apsaugos ministerijos (2009 m. rugsėjo 16 d. )  pateiktais duomenimis 2008 m. pabaigoje Lietuvoje buvo 17 ilgalaikės  reabilitacijos įstaigų, jose 312 vietų, iš jų 2 įstaigos vaikams ir jaunimui – 22 vietos. Trumpalaikės reabilitacijos paslaugas vaikams teikia 4 priklausomybės ligų centrai – 22 vietos.  </w:t>
      </w:r>
    </w:p>
    <w:p w:rsidR="00626711" w:rsidRPr="00F94DD1" w:rsidRDefault="00626711" w:rsidP="00626711">
      <w:pPr>
        <w:pStyle w:val="Betarp"/>
        <w:ind w:firstLine="720"/>
        <w:jc w:val="both"/>
      </w:pPr>
      <w:r w:rsidRPr="00F94DD1">
        <w:t>Narkotikų kontrolės departamento prie LRV duomenimis, Lietuvoje veikia 17 ilgalaikės reabilitacijos įstaigų, (312 vietų suaugusiems); 2 įstaigos vaikams (22 vietos), kurioms skirtos valstybės biudžeto - 950 tūkst.Lt ir  ES struktūrinių fondų lėšos; veikia trumpalaikės reabilitacijos paslaugos vaikams Vilniaus, Kauno, Klaipėdos, Panevėžio PLC (23 vietos); 2008 m. trumpalaikės reabilitacijos ir reintegracijos paslaugos vaikams pradėtos teikti Kauno nepilnamečių tardymo izoliatoriuje-pataisos namuose, Panevėžio pataisos namuose, apmokant iš valstybės biudžeto 180 tūkst. Lt.</w:t>
      </w:r>
    </w:p>
    <w:p w:rsidR="00626711" w:rsidRPr="00F94DD1" w:rsidRDefault="00626711" w:rsidP="00626711">
      <w:pPr>
        <w:pStyle w:val="Betarp"/>
        <w:ind w:firstLine="720"/>
        <w:jc w:val="both"/>
        <w:rPr>
          <w:bCs/>
        </w:rPr>
      </w:pPr>
      <w:r w:rsidRPr="00F94DD1">
        <w:rPr>
          <w:bCs/>
        </w:rPr>
        <w:t>Reabilitacija – reikšmingų socialinių funkcijų atstatymas. Reabilitacijos tikslas- suteikti medicinines, socialines, švietimo ir kitas  reikiamas paslaugas, siekiant asmenis socialiai adaptuoti ir reintegruoti į visuomenę, atstatant socialinių funkcijų sutrikimus ir edukacinių funkcijų sutrikimus.</w:t>
      </w:r>
    </w:p>
    <w:p w:rsidR="00626711" w:rsidRPr="00F94DD1" w:rsidRDefault="00626711" w:rsidP="00626711">
      <w:pPr>
        <w:pStyle w:val="Betarp"/>
        <w:ind w:firstLine="720"/>
        <w:jc w:val="both"/>
        <w:rPr>
          <w:bCs/>
        </w:rPr>
      </w:pPr>
      <w:r w:rsidRPr="00F94DD1">
        <w:rPr>
          <w:bCs/>
        </w:rPr>
        <w:t xml:space="preserve">Socialinių funkcijų sutrikimai: gyvenimo įgūdžiai, socialinė adaptacija ir reintegravimas į visuomenę, šeimos gerovė ir darbingumas. </w:t>
      </w:r>
    </w:p>
    <w:p w:rsidR="00626711" w:rsidRPr="00F94DD1" w:rsidRDefault="00626711" w:rsidP="00626711">
      <w:pPr>
        <w:pStyle w:val="Betarp"/>
        <w:ind w:firstLine="720"/>
        <w:jc w:val="both"/>
      </w:pPr>
      <w:r w:rsidRPr="00F94DD1">
        <w:t xml:space="preserve">Socialinės apsaugos ir darbo ministerija atsakinga už socialinių funkcijų sutrikimų atstatymą, ir šią kurį reguliuoja Lietuvos Respublikos  socialinių paslaugų įstatymas, Socialinių darbuotojų ir socialinių darbuotojų padėjėjų kvalifikaciniai reikalavimai, patvirtinti Lietuvos Respublikos Socialinės apsaugos ir darbo ministro 2006-04-05 įsakymu Nr. A1-92; Socialinių paslaugų katalogas,  </w:t>
      </w:r>
      <w:r w:rsidRPr="00F94DD1">
        <w:lastRenderedPageBreak/>
        <w:t xml:space="preserve">patvirtintas Lietuvos Respublikos Socialinės apsaugos ir darbo ministro 2006-04-05 įsakymu Nr. A1-93; Asmens (šeimos) socialinių paslaugų poreikio nustatymo ir skyrimo tvarkos aprašas, patvirtintas Lietuvos Respublikos Socialinės apsaugos ir darbo ministro 2006-04-05 įsakymu Nr. A1-94; Socialinės globos normų parašas, patvirtintas Lietuvos Respublikos Socialinės apsaugos ir darbo ministro 2007-02-20 įsakymu Nr. A1-46 (socialinės globos normos priklausomų suaugusių asmenų reabilitacijos įstaigoms) ir kt. </w:t>
      </w:r>
    </w:p>
    <w:p w:rsidR="00626711" w:rsidRPr="00F94DD1" w:rsidRDefault="00626711" w:rsidP="00626711">
      <w:pPr>
        <w:pStyle w:val="Betarp"/>
        <w:ind w:firstLine="720"/>
        <w:jc w:val="both"/>
      </w:pPr>
      <w:r w:rsidRPr="00F94DD1">
        <w:t xml:space="preserve">2009 metais Narkotikų kontrolės departamentas prie Lietuvos Respublikos Vyriausybės psichologinės bei socialinės reabilitacijos programai vykdyti skyrė 850 tūkst. litų 13 – kai reabilitacinių bendruomenių ilgalaikiai reabilitacijai. </w:t>
      </w:r>
    </w:p>
    <w:p w:rsidR="00626711" w:rsidRPr="00F94DD1" w:rsidRDefault="00626711" w:rsidP="00626711">
      <w:pPr>
        <w:pStyle w:val="Betarp"/>
        <w:ind w:firstLine="720"/>
        <w:jc w:val="both"/>
        <w:rPr>
          <w:bCs/>
        </w:rPr>
      </w:pPr>
      <w:r w:rsidRPr="004B6431">
        <w:t>Nuo 2009 m. rugsėjo 1 d. Narkotikų kontrolės departamentas prie Lietuvos Respublikos Vyriausybės nutraukė finansavimą</w:t>
      </w:r>
      <w:r w:rsidRPr="00F94DD1">
        <w:rPr>
          <w:bCs/>
        </w:rPr>
        <w:t xml:space="preserve"> visoms reabilitacinėms įstaigoms, išskyrus vieną ambulatorinį centrą. Narkotikų kontrolės departamentas prie Lietuvos Respublikos Vyriausybės mano, kad reabilitacinės bendruomenės gavo puikią finansinę paramą 3-4 metams iš ES struktūrinių fondų, net geresnę negu gydymo įstaigos. </w:t>
      </w:r>
    </w:p>
    <w:p w:rsidR="00626711" w:rsidRPr="00F94DD1" w:rsidRDefault="00626711" w:rsidP="00626711">
      <w:pPr>
        <w:pStyle w:val="Betarp"/>
        <w:ind w:firstLine="720"/>
        <w:jc w:val="both"/>
        <w:rPr>
          <w:bCs/>
        </w:rPr>
      </w:pPr>
      <w:r w:rsidRPr="00F94DD1">
        <w:rPr>
          <w:bCs/>
        </w:rPr>
        <w:t xml:space="preserve">Komisijos posėdžiuose buvo pažymėta, kad nėra Socialinių paslaugų įstatymo. Socialinės paslaugos turėjo būti licencijuojamos nuo 2010 metų, bet jų licencijavimas nukeltas iki 2013 metų. Narkomanų reabilitacinės bendruomenės nebuvo iš  viso numatytos licencijuoti, nors jos pasiruošę šiam procesui. Todėl, dabartiniu metu negalima garantuoti reabilitacinėse bendruomenėse teikiamų paslaugų kokybės. Socialinės apsaugos ir darbo ministerija parengė Globos normas, socialinės rizikos vaikams, vartojantiems psichoaktyviąsias medžiagas  ir Laiko normatyvus. </w:t>
      </w:r>
    </w:p>
    <w:p w:rsidR="00626711" w:rsidRPr="00F94DD1" w:rsidRDefault="00626711" w:rsidP="00626711">
      <w:pPr>
        <w:pStyle w:val="Betarp"/>
        <w:ind w:firstLine="720"/>
        <w:jc w:val="both"/>
      </w:pPr>
      <w:r w:rsidRPr="004B6431">
        <w:rPr>
          <w:bCs/>
        </w:rPr>
        <w:t>Komisijos posėdyje Priklausomybės ligų reabilitacijos bendruomenių</w:t>
      </w:r>
      <w:r w:rsidRPr="00F94DD1">
        <w:t xml:space="preserve"> asociacija pateikė informaciją, kurios nuomone, 2008 m. 100 tūkst. Lietuvos gyventojų teko 172, 9 narkomanijos atvejai ( palyginimui 2002 m. 126,3), tačiau, sveikatos priežiūros įstaigose registruoti tik tie nuo narkotikų priklausomi asmenys, kurie kreipėsi dėl gydymo arba buvo nustatyti kitomis aplinkybėmis. Tikslus sergančiųjų narkomanijos skaičius nėra žinomas, </w:t>
      </w:r>
      <w:r w:rsidRPr="004B6431">
        <w:rPr>
          <w:bCs/>
        </w:rPr>
        <w:t>nes jų registravimo duomenys ne visada sutampa su faktiniais</w:t>
      </w:r>
      <w:r w:rsidRPr="00F94DD1">
        <w:t xml:space="preserve"> duomenimis.  Dažniausias ŽIV plitimo kelias yra intraveninių narkotikų vartojimas. Lietuvos AIDs  centro duomenimis 2009 m. balandžio mėn. Lietuvoje yra užregistruoti 1465 atvejai ŽIV ir 213 –AIDS atvejai. Iš jų 46 proc. yra nuo 15 iki 30 metų amžiaus. </w:t>
      </w:r>
    </w:p>
    <w:p w:rsidR="00626711" w:rsidRPr="00F94DD1" w:rsidRDefault="00626711" w:rsidP="00626711">
      <w:pPr>
        <w:pStyle w:val="Betarp"/>
        <w:ind w:firstLine="720"/>
        <w:jc w:val="both"/>
      </w:pPr>
      <w:r w:rsidRPr="00F94DD1">
        <w:t xml:space="preserve">Priklausomybės ligų reabilitacijos bendruomenių asociacijos nuomone, didžiausią grėsmę Lietuvos visuomenės ateičiai kelia priklausomų asmenų amžiaus jaunėjimo tendencijos. 2008 m. net 70,5 proc. nuo narkotikų priklausomų asmenų buvo iki 35 metų amžiaus, o vidutinis besikreipiančiųjų dėl priklausomybės narkotinėms medžiagoms asmenų amžius buvo 27 metai. Tarp registruotų nuo narkotikų priklausomų asmenų vieną penktadalį sudaro moterys, keturis penktadalius – vyrai. </w:t>
      </w:r>
    </w:p>
    <w:p w:rsidR="00626711" w:rsidRPr="004B6431" w:rsidRDefault="00626711" w:rsidP="00626711">
      <w:pPr>
        <w:pStyle w:val="Betarp"/>
        <w:ind w:firstLine="720"/>
        <w:jc w:val="both"/>
        <w:rPr>
          <w:bCs/>
        </w:rPr>
      </w:pPr>
      <w:r w:rsidRPr="00F94DD1">
        <w:t xml:space="preserve"> Priklausomybės ligų reabilitacijos bendruomenių asociacijos nuomone, sprendžiant priklausomybės ligų gydymo problemas, yra naudojami įvairūs metodai, Pvz., palaikomasis gydymas sintetiniu narkotiku – metadonu, kodavimas, hipnozė, smegenų operacijos ir pan.  </w:t>
      </w:r>
      <w:r w:rsidRPr="004B6431">
        <w:rPr>
          <w:bCs/>
        </w:rPr>
        <w:t xml:space="preserve">Efektyvus gydymo būdas – yra kompleksinė socialinė psichologinė reabilitacija ( be psichoaktyvių medikamentų su laikinu apgyvendinimu) pagal reabilitacinės bendruomenės modelį. </w:t>
      </w:r>
    </w:p>
    <w:p w:rsidR="00626711" w:rsidRPr="00F94DD1" w:rsidRDefault="00626711" w:rsidP="00626711">
      <w:pPr>
        <w:pStyle w:val="Betarp"/>
        <w:ind w:firstLine="720"/>
        <w:jc w:val="both"/>
        <w:rPr>
          <w:bCs/>
        </w:rPr>
      </w:pPr>
      <w:r w:rsidRPr="00F94DD1">
        <w:rPr>
          <w:bCs/>
        </w:rPr>
        <w:t xml:space="preserve">Asmenų, vartojančių psichotropines medžiagas, socialinė psichologinė reabilitacija – tai kryptingų socialinių psichologinių paslaugų kompleksas, padedantis atstatyti šiems asmenims prarastas pozityvias psichologines nuostatas, ugdytis socialinius bei sveikos gyvensenos įgūdžius, savarankiškumą, pasitikėjimą savimi bei kitus gebėjimus, reikalingus visaverčiam dalyvavimui visuomenės gyvenime. </w:t>
      </w:r>
    </w:p>
    <w:p w:rsidR="00626711" w:rsidRPr="00F94DD1" w:rsidRDefault="00626711" w:rsidP="00626711">
      <w:pPr>
        <w:pStyle w:val="Betarp"/>
        <w:ind w:firstLine="720"/>
        <w:jc w:val="both"/>
      </w:pPr>
      <w:r w:rsidRPr="00F94DD1">
        <w:t xml:space="preserve">2003 m. įsteigta Lietuvos priklausomybės ligų reabilitacijos bendruomenių asociacija. Pagrindiniai asociacijos veiklos  tikslai yra vienyti ir koordinuoti Lietuvos Respublikoje veikiančias socialinės reabilitacijos su asmenimis, sergančiais priklausomybės ligomis ir jų šeimomis srityje nevyriausybines organizacijas; atstovauti ir ginti šalies šių organizacijų bei jų klientų teises ir interesus. </w:t>
      </w:r>
    </w:p>
    <w:p w:rsidR="00626711" w:rsidRPr="00F94DD1" w:rsidRDefault="00626711" w:rsidP="00626711">
      <w:pPr>
        <w:pStyle w:val="Betarp"/>
        <w:ind w:firstLine="720"/>
        <w:jc w:val="both"/>
      </w:pPr>
      <w:r w:rsidRPr="00F94DD1">
        <w:t xml:space="preserve">Asociacija vienija 11 socialinės – psichologinės reabilitacijos centrų, veikiančių pagal socialinės psichologinės reabilitacijos bendruomenės modelį. Šie centrai gali priimti iki 230 asmenų,  sergančių priklausomybės ligomis stacionariam reabilitaciniam gydymui. </w:t>
      </w:r>
    </w:p>
    <w:p w:rsidR="00626711" w:rsidRPr="00F94DD1" w:rsidRDefault="00626711" w:rsidP="00626711">
      <w:pPr>
        <w:pStyle w:val="Betarp"/>
        <w:ind w:firstLine="720"/>
        <w:jc w:val="both"/>
      </w:pPr>
      <w:r w:rsidRPr="00F94DD1">
        <w:t xml:space="preserve">Asociacijos centruose taikomi efektyvūs, pagrįsti ilgamete teigiama praktika, atitinkantys aukštus reikalavimus, socialinės psichologinės reabilitacijos metodai, vykdomos ilgalaikės socialinės reabilitacijos programos. Todėl šie centrai gali pasigirti aukštos kokybės paslaugomis ir ilgalaikiais rezultatais, sprendžiant asmenų, sergančių priklausomybės nuo psichoaktyvių medžiagų ligomis, problemas. Didžioji dalis asmenų, sėkmingai  baigusių  centrų socialinės reabilitacijos programas, </w:t>
      </w:r>
      <w:r w:rsidRPr="00F94DD1">
        <w:lastRenderedPageBreak/>
        <w:t xml:space="preserve">nebegrįžta prie narkotikų vartojimo ir sėkmingai integruojasi į visuomenę, tampant visaverčiais, produktyviais jos nariais. Asociacijos centrai turi visą infrastruktūrą, reikalingą asmenų, sergančių priklausomybės nuo psichoaktyvių medžiagų ligomis, kompleksinių (motyvavimas gydymuisi – reabilitacija – socialinė integracija į visuomenę) paslaugų teikimui bei gali užtikrinti šalies socialinės reabilitacijos paslaugų poreikių tenkinimą, atsižvelgiant į klientų amžių, lytį, gyvenamąją vietą, psichoaktyvių medžiagų vartojimo pasekmes.  </w:t>
      </w:r>
    </w:p>
    <w:p w:rsidR="00626711" w:rsidRPr="00F94DD1" w:rsidRDefault="00626711" w:rsidP="00626711">
      <w:pPr>
        <w:pStyle w:val="Betarp"/>
        <w:ind w:firstLine="720"/>
        <w:jc w:val="both"/>
      </w:pPr>
      <w:r w:rsidRPr="00F94DD1">
        <w:t xml:space="preserve">Asociacijos centrai ženkliai prisidėjo prie Lietuvos Nacionalinės narkotikų kontrolės ir narkomanijos prevencijos 2004 – 2008 metų strategijos 7.3 uždavinio “sukurti ir įdiegti darnią, atitinkančią visuomenės poreikius, moksliškai pagrįstą sveikatos priežiūros, socialinės reabilitacijos ir reintegracijos į visuomenę  sistemą, siekiant padėti asmenims, vartojantiems narkotines ir psichotropines medžiagas”įgyvendinimo ir teigiamų šalies rezultatų pasiekimų Europos Sąjungos kontekste. </w:t>
      </w:r>
    </w:p>
    <w:p w:rsidR="00626711" w:rsidRPr="00F94DD1" w:rsidRDefault="00626711" w:rsidP="00626711">
      <w:pPr>
        <w:pStyle w:val="Betarp"/>
        <w:ind w:firstLine="720"/>
        <w:jc w:val="both"/>
      </w:pPr>
      <w:r w:rsidRPr="00F94DD1">
        <w:t xml:space="preserve">Prasidėjus ES struktūrinės paramos įsisavinimo Lietuvoje procesui, asociacija partnerio teisėmis dalyvavo sėkmingai įgyvendintame projekte “Asmenų, vartojančių narkotines ir psichotropines medžiagas, reabilitacija ir socialinė reintegracija, novatoriško socialinių paslaugų modulio kūrimas”, kurio pareiškėjas Narkotikų kontrolės departamentas prie Lietuvos Respublikos Vyriausybės. Per tris projekto vykdymo metus asociacijai pavyko paleisti šiandien sėkmingai veikiančią asmenų, besigydančių socialinės reabilitacijos centruose, informacinę duomenų bazę ir jos pagrindu sukurtą stebėsenos ir monitoringo sistemą. Informacinės sistemos diegimas yra dar vienas didelis žingsnis, ruošiantis socialinių paslaugų licencijavimo procesui, kurį Lietuvos respublikos teisės aktuose numatoma pradėti 2010 metais. Todėl labai svarbu užtikrinti tinkamas apgyvendinimo sąlygas, kvalifikuotų specialistų komandą ir kokybiškų paslaugų teikimą pagal nustatytus reikalavimus. </w:t>
      </w:r>
    </w:p>
    <w:p w:rsidR="00626711" w:rsidRPr="00F94DD1" w:rsidRDefault="00626711" w:rsidP="00626711">
      <w:pPr>
        <w:pStyle w:val="Betarp"/>
        <w:ind w:firstLine="720"/>
        <w:jc w:val="both"/>
      </w:pPr>
      <w:r w:rsidRPr="00F94DD1">
        <w:t xml:space="preserve">Lietuvos Nacionalinės narkotikų kontrolės ir narkomanijos prevencijos 2004 – 2008 metų programa pasibaigė, tęstinė programa patvirtinta 2010 metais. </w:t>
      </w:r>
    </w:p>
    <w:p w:rsidR="00626711" w:rsidRPr="00F94DD1" w:rsidRDefault="00626711" w:rsidP="00626711">
      <w:pPr>
        <w:pStyle w:val="Betarp"/>
        <w:ind w:firstLine="720"/>
        <w:jc w:val="both"/>
      </w:pPr>
      <w:r w:rsidRPr="00F94DD1">
        <w:t xml:space="preserve">Lietuvos priklausomybės ligų reabilitacijos bendruomenių asociacijos nuomone, šalyje nėra aiškios asmenų, sergančių priklausomybės nuo psichoaktyvių medžiagų ligomis socialinės psichologinės reabilitacijos paslaugų finansavimo strategijos. Socialinės reabilitacijos paslaugos buvo dalinai remiamos pagal Nacionalinę narkotikų kontrolės ir narkomanijos prevencijos 2004 – 2008 metų programos įgyvendinimo priemones, projektinio finansavimo organizuojant konkursą būdu. (Iki 2005 m. konkursus įgyvendino Socialinės apsaugos ir darbo ministerija, nuo 2006 m. – Narkotikų kontrolės departamentas prie Lietuvos Respublikos Vyriausybės). Kiekvienais metais, paskatinant socialinės reabilitacijos paslaugų plėtrą nevyriausybiniame sektoriuje, iš valstybės biudžeto buvo skiriama iki 1 mln. lt, kas sudarė apie 21 proc. visų reikalingų lėšų. Tačiau, 2009 m. birželio mėn. ši nedidelė paramos suma buvo sumažinta iki 688,5 tūkst. Lt Tai pat, Narkotikų kontrolės departamentas prie Lietuvos Respublikos Vyriausybės direktorės teigimu, iki 2009 m. pabaigos, įvyks dar vienas paramos lėšų mažinimas. </w:t>
      </w:r>
    </w:p>
    <w:p w:rsidR="00626711" w:rsidRPr="00F94DD1" w:rsidRDefault="00626711" w:rsidP="00626711">
      <w:pPr>
        <w:pStyle w:val="Betarp"/>
        <w:ind w:firstLine="720"/>
        <w:jc w:val="both"/>
      </w:pPr>
      <w:r w:rsidRPr="00F94DD1">
        <w:t xml:space="preserve">Siekiant išsaugoti esamą Kokybiškų kompleksinių socialinės reabilitacijos paslaugų asmenims, sergantiems priklausomybės nuo psichoaktyvių medžiagų ligomis, NVO infrastruktūrą Lietuvoje bei plėtoti teikiamas paslaugas, būtina patvirtinti ilgalaikę Asmenų, sergančių priklausomybės ligomis, socialinės reabilitacijos ir integracijos į visuomenę programą, kurioje būtų aiškiai įvardinta šių paslaugų finansavimo mechanizmo strategija, deleguoti Lietuvos priklausomybės ligų bendruomenių asociacijai Valstybės biudžeto lėšų, skirtų socialinės psichologinės reabilitacijos paslaugų rėmimui, paskirstymo ir įsisavinimo kontrolės socialinės reabilitacijos centrams funkciją. </w:t>
      </w:r>
    </w:p>
    <w:p w:rsidR="00626711" w:rsidRPr="00F94DD1" w:rsidRDefault="00626711" w:rsidP="00626711">
      <w:pPr>
        <w:pStyle w:val="Betarp"/>
        <w:ind w:firstLine="720"/>
        <w:jc w:val="both"/>
      </w:pPr>
      <w:r w:rsidRPr="00F94DD1">
        <w:t xml:space="preserve">Priklausomybės ligų reabilitacijos bendruomenių asociacija numatytų kontrolės mechanizmus skirstant bei įsisavinant LR biudžeto lėšas bei užtikrinant teikiamų paslaugų kokybę. </w:t>
      </w:r>
    </w:p>
    <w:p w:rsidR="00626711" w:rsidRPr="00F94DD1" w:rsidRDefault="00626711" w:rsidP="00626711">
      <w:pPr>
        <w:pStyle w:val="Betarp"/>
        <w:jc w:val="both"/>
      </w:pPr>
      <w:r w:rsidRPr="00F94DD1">
        <w:t xml:space="preserve">      </w:t>
      </w:r>
    </w:p>
    <w:p w:rsidR="00626711" w:rsidRPr="00513D5C" w:rsidRDefault="00626711" w:rsidP="00626711">
      <w:pPr>
        <w:pStyle w:val="Betarp"/>
        <w:jc w:val="both"/>
        <w:rPr>
          <w:bCs/>
        </w:rPr>
      </w:pPr>
      <w:r w:rsidRPr="00513D5C">
        <w:rPr>
          <w:bCs/>
        </w:rPr>
        <w:t>Apibendrinus Komisijoje gautą informaciją išryškėjo</w:t>
      </w:r>
      <w:r w:rsidRPr="00513D5C">
        <w:t xml:space="preserve"> n</w:t>
      </w:r>
      <w:r w:rsidRPr="00513D5C">
        <w:rPr>
          <w:bCs/>
        </w:rPr>
        <w:t>arkomanų psichologinės bei socialinės reabilitacijos problemos:</w:t>
      </w:r>
    </w:p>
    <w:p w:rsidR="00626711" w:rsidRPr="00F94DD1" w:rsidRDefault="00626711" w:rsidP="00626711">
      <w:pPr>
        <w:pStyle w:val="Betarp"/>
        <w:jc w:val="both"/>
        <w:rPr>
          <w:bCs/>
        </w:rPr>
      </w:pPr>
      <w:r w:rsidRPr="00F94DD1">
        <w:rPr>
          <w:bCs/>
        </w:rPr>
        <w:t>1. Nėra reabilitacijos paslaugų poreikio nustatymo metodikos, standartų bei įkainių, kurie reikalingi norint pereiti prie šių paslaugų finansavimo per savivaldybes, įgyvendinant Socialinių paslaugų reformos įstatymą.</w:t>
      </w:r>
    </w:p>
    <w:p w:rsidR="00626711" w:rsidRPr="00F94DD1" w:rsidRDefault="00626711" w:rsidP="00626711">
      <w:pPr>
        <w:pStyle w:val="Betarp"/>
        <w:jc w:val="both"/>
      </w:pPr>
      <w:r w:rsidRPr="00F94DD1">
        <w:t>2. Reabilitacijos centrų personalui trūksta žinių, įgūdžių. Socialiniais darbuotojais dažnai dirba specialaus išsilavinimo neturintys asmenys. Kai kurie socialiniai darbuotojai turi universitetinį išsilavinimą, kiti baigę kursus – nuo 2 mėn. iki 2 savaičių.</w:t>
      </w:r>
    </w:p>
    <w:p w:rsidR="00626711" w:rsidRPr="00F94DD1" w:rsidRDefault="00626711" w:rsidP="00626711">
      <w:pPr>
        <w:pStyle w:val="Betarp"/>
        <w:jc w:val="both"/>
      </w:pPr>
      <w:r w:rsidRPr="00F94DD1">
        <w:lastRenderedPageBreak/>
        <w:t>3. Reabilitacijos tikslas – ne vien susilaikymas nuo narkotikų, bet  narkotikus vartojančio asmens fizinio, psichologinio, emocinio, ekonominio ir socialinio statuso atstatymas. Daugumoje reabilitacinių centrų reabilitacija suprantama ir vykdoma daug  siauriau, pvz. apsiribojama tik socialine izoliacija ir darbo terapija.</w:t>
      </w:r>
    </w:p>
    <w:p w:rsidR="00626711" w:rsidRPr="00F94DD1" w:rsidRDefault="00626711" w:rsidP="00626711">
      <w:pPr>
        <w:pStyle w:val="Betarp"/>
        <w:jc w:val="both"/>
      </w:pPr>
      <w:r w:rsidRPr="00F94DD1">
        <w:t>4. Reabilitaciniams centrams trūksta specialistų paramos.</w:t>
      </w:r>
    </w:p>
    <w:p w:rsidR="00626711" w:rsidRPr="00F94DD1" w:rsidRDefault="00626711" w:rsidP="00626711">
      <w:pPr>
        <w:pStyle w:val="Betarp"/>
        <w:jc w:val="both"/>
      </w:pPr>
      <w:r w:rsidRPr="00F94DD1">
        <w:t>5. Ilgalaikiuose reabilitacijos centruose dažnai kyla sekančios problemos: mokyklinio amžiaus klientų mokslo tęsimo; santykių tarp vyrų ir moterų problemos; tolimesnės jų  reintegracijos į visuomenę problemos (po reabilitacijos centro) ir pan.</w:t>
      </w:r>
    </w:p>
    <w:p w:rsidR="00626711" w:rsidRPr="00F94DD1" w:rsidRDefault="00626711" w:rsidP="00626711">
      <w:pPr>
        <w:pStyle w:val="Betarp"/>
        <w:jc w:val="both"/>
      </w:pPr>
      <w:r w:rsidRPr="00F94DD1">
        <w:t xml:space="preserve">6. Daugelis psichoaktyvias medžiagas vartojančių žmonių dėl savo finansinės padėties neturi galimybių kreiptis į reabilitacijos centrus, kuriuose vietos dažniausiai būna mokamos. Todėl dalis reabilitacijos centruose esančių vietų yra nepanaudojamos. Todėl būtina svarstyti galimybę kompensuoti reabilitacijos centrams už negalinčių apsimokėti klientų reabilitaciją. </w:t>
      </w:r>
    </w:p>
    <w:p w:rsidR="00626711" w:rsidRPr="00F94DD1" w:rsidRDefault="00626711" w:rsidP="00626711">
      <w:pPr>
        <w:pStyle w:val="Betarp"/>
        <w:jc w:val="both"/>
      </w:pPr>
      <w:r w:rsidRPr="00F94DD1">
        <w:t>7. Lietuvoje esančios detoksikacijos programos bei psichologinės-socialinės reabilitacijos nekoordinuoja savo veiksmų tarpusavyje. Dažniausiai tai yra dvi atskirai veikiančios grandys – žmonės savarankiškai ateina į detoksikacijos programas, tačiau nėra orientuojami į vėlesnę reabilitaciją. Siūloma skatinti detoksikacijos ir reabilitacijos centrų programų integraciją. Galima daryti įvairiais būdais, pvz., apmokant detoksikacijos kursą tiems klientams, kurie po to eina į reabilitacijos programą.</w:t>
      </w:r>
    </w:p>
    <w:p w:rsidR="00626711" w:rsidRPr="00F94DD1" w:rsidRDefault="00626711" w:rsidP="00626711">
      <w:pPr>
        <w:pStyle w:val="Betarp"/>
        <w:jc w:val="both"/>
      </w:pPr>
      <w:r w:rsidRPr="00F94DD1">
        <w:t xml:space="preserve">8. Daugelis psichoaktyvias medžiagas vartojančių žmonių daro įvairius nusikaltimus bei būna teisiami. Tarp lygtinai nuteistųjų irgi gana didelei daliai reikalinga reabilitacija dėl psichoaktyvių medžiagų vartojimo. Tačiau dažnai šie žmonės neturi galimybių gydytis ir reabilituotis, o būna teisiami už savo padarytus nesunkius nusikaltimus. Siūloma įgyvendinti alternatyvios laisvės atėmimui bausmės sistemą, nustatant, kokios reabilitacijos programos gali būti taikomos padariusiems nesunkius nusikaltimus, bei skatinti lygtinai nuteistų žmonių gydymą ir reabilitaciją. </w:t>
      </w:r>
    </w:p>
    <w:p w:rsidR="00626711" w:rsidRPr="00F94DD1" w:rsidRDefault="00626711" w:rsidP="00626711">
      <w:pPr>
        <w:pStyle w:val="Betarp"/>
        <w:jc w:val="both"/>
      </w:pPr>
      <w:r w:rsidRPr="00F94DD1">
        <w:t>9. Įvairioms priklausomybių srityse dirbančioms įstaigoms – konsultacinėms tarnyboms, reabilitacijos centrams ir t.t. – trūksta specialistų, galinčių efektyviai dirbti su priklausomais nuo psichoaktyvių medžiagų klientais. Siūloma organizuoti specialistų mokymus, ruošiant darbui su priklausomais nuo psichoaktyvių medžiagų klientais. Tam sukurti priklausomybių ligų konsultantų mokymo programą.</w:t>
      </w:r>
    </w:p>
    <w:p w:rsidR="00626711" w:rsidRPr="00F94DD1" w:rsidRDefault="00626711" w:rsidP="00626711">
      <w:pPr>
        <w:pStyle w:val="Betarp"/>
        <w:jc w:val="both"/>
      </w:pPr>
      <w:r w:rsidRPr="00F94DD1">
        <w:t>10. Lietuvoje yra įsteigti keli reabilitacijos centrai, tačiau nėra jų pakankamas skaičius ir patenkinama jų visų paslaugų kokybė. Taip vyksta iš dalies dėl ribotų finansinių resursų, iš dalies dėl to, kad nėra aiškių tokių reabilitacijos centrų veiklos kriterijų. Siūloma parengti reabilitacijos centrų veiklos ir efektyvumo kriterijus.</w:t>
      </w:r>
    </w:p>
    <w:p w:rsidR="00626711" w:rsidRPr="00F94DD1" w:rsidRDefault="00626711" w:rsidP="00626711">
      <w:pPr>
        <w:pStyle w:val="Betarp"/>
        <w:jc w:val="both"/>
      </w:pPr>
      <w:r w:rsidRPr="00F94DD1">
        <w:t>11. Pastebimas menkas metadono programų efektyvumas – daug dalyvių šalia metadono vartoja ir kitus narkotikus. To priežastys gali būti nepakankama psichoaktyvių medžiagų vartojimo kontrolė tokiose programose, nenustatyti baigtinai skyrimo terminai ir nenustatyti reikalavimai (aukšto slenksčio tokie kaip Švedijoje). Siūloma nustatyti baigtinį skyrimo terminą ir įvertinti, ką būtų galima patobulinti veikiančiose metadono programose ir žalos mažinimo programose, siekiant padidinti jų efektyvumą.</w:t>
      </w:r>
    </w:p>
    <w:p w:rsidR="00626711" w:rsidRPr="00F94DD1" w:rsidRDefault="00626711" w:rsidP="00626711">
      <w:pPr>
        <w:pStyle w:val="Betarp"/>
        <w:jc w:val="both"/>
      </w:pPr>
      <w:r w:rsidRPr="00F94DD1">
        <w:t>12. Egzistuoja kai kurios įstaigos, teikiančios pagalbą priklausomų nuo psichoaktyvių medžiagų žmonių šeimos nariams, tačiau tokia pagalba nėra teikiama sistemingai ir kompleksiškai.</w:t>
      </w:r>
    </w:p>
    <w:p w:rsidR="00626711" w:rsidRPr="00F94DD1" w:rsidRDefault="00626711" w:rsidP="00626711">
      <w:pPr>
        <w:pStyle w:val="Betarp"/>
        <w:jc w:val="both"/>
      </w:pPr>
      <w:r w:rsidRPr="00F94DD1">
        <w:t>Siūloma skatinti gydymo ir reabilitacijos įstaigas į savo programas įtraukti pagalbą šeimai. Pvz., galima didesnį finansavimą skirti programoms, teikiančioms paslaugas priklausomų asmenų šeimos nariams.</w:t>
      </w:r>
    </w:p>
    <w:p w:rsidR="00626711" w:rsidRPr="00F94DD1" w:rsidRDefault="00626711" w:rsidP="00626711">
      <w:pPr>
        <w:pStyle w:val="Betarp"/>
        <w:jc w:val="both"/>
      </w:pPr>
      <w:r w:rsidRPr="00F94DD1">
        <w:t>13. Dalis reabilitacijos centrų klientų atkrenta į narkotikų vartojimą po reabilitacijos baigimo, nes nesėkmingai vyksta jų integracija į visuomenę. Viena priežasčių yra menkas jų profesinis pasiruošimas. Siūloma skatinti reabilitacijos centrus į savo programas įjungti profesinio rengimo kursus.</w:t>
      </w:r>
    </w:p>
    <w:p w:rsidR="00626711" w:rsidRPr="00F94DD1" w:rsidRDefault="00626711" w:rsidP="00626711">
      <w:pPr>
        <w:pStyle w:val="Betarp"/>
        <w:jc w:val="both"/>
      </w:pPr>
      <w:r w:rsidRPr="00F94DD1">
        <w:t>14. Trūksta bendradarbiavimo tarp valstybinių institucijų, Priklausomybės ligų ar Psichinės sveikatos centrų ir nevyriausybinių organizacijų, besirūpinančių narkomanų reabilitacija.</w:t>
      </w:r>
    </w:p>
    <w:p w:rsidR="00626711" w:rsidRPr="00F94DD1" w:rsidRDefault="00626711" w:rsidP="00626711">
      <w:pPr>
        <w:pStyle w:val="Betarp"/>
        <w:jc w:val="both"/>
        <w:rPr>
          <w:bCs/>
        </w:rPr>
      </w:pPr>
      <w:r w:rsidRPr="00F94DD1">
        <w:rPr>
          <w:bCs/>
        </w:rPr>
        <w:tab/>
        <w:t xml:space="preserve">15. Būtina atsižvelgti į Lietuvos priklausomybės ligų reabilitacijos bendruomenių asociacijos siūlymą patvirtinti ilgalaikę Asmenų, sergančių priklausomybės ligomis, socialinės reabilitacijos ir integracijos į visuomenę programą, kurioje būtų aiškiai įvardinta šių paslaugų finansavimo mechanizmo strategija, ir deleguoti Lietuvos priklausomybės ligų bendruomenių asociacijai valstybės biudžeto lėšų, skirtų socialinės psichologinės reabilitacijos paslaugų rėmimui, paskirstymo ir įsisavinimo kontrolės socialinės reabilitacijos centrams funkciją. </w:t>
      </w:r>
    </w:p>
    <w:p w:rsidR="00626711" w:rsidRPr="00F94DD1" w:rsidRDefault="00626711" w:rsidP="00626711">
      <w:pPr>
        <w:pStyle w:val="Betarp"/>
        <w:jc w:val="both"/>
        <w:rPr>
          <w:bCs/>
        </w:rPr>
      </w:pPr>
    </w:p>
    <w:p w:rsidR="00626711" w:rsidRPr="00513D5C" w:rsidRDefault="00626711" w:rsidP="00626711">
      <w:pPr>
        <w:pStyle w:val="Betarp"/>
        <w:ind w:firstLine="720"/>
        <w:jc w:val="both"/>
        <w:rPr>
          <w:b/>
        </w:rPr>
      </w:pPr>
      <w:r w:rsidRPr="00513D5C">
        <w:rPr>
          <w:b/>
        </w:rPr>
        <w:lastRenderedPageBreak/>
        <w:t xml:space="preserve">9. Dėl suaugusių priklausomų asmenų gydymo Komisija taip pat analizavo sekančią informaciją: </w:t>
      </w:r>
    </w:p>
    <w:p w:rsidR="00626711" w:rsidRPr="00513D5C" w:rsidRDefault="00626711" w:rsidP="00626711">
      <w:pPr>
        <w:pStyle w:val="Betarp"/>
        <w:ind w:firstLine="720"/>
        <w:jc w:val="both"/>
        <w:rPr>
          <w:b/>
        </w:rPr>
      </w:pPr>
      <w:r w:rsidRPr="00513D5C">
        <w:rPr>
          <w:b/>
        </w:rPr>
        <w:t xml:space="preserve">Dėl apsinuodijimų </w:t>
      </w:r>
    </w:p>
    <w:p w:rsidR="00626711" w:rsidRPr="00F94DD1" w:rsidRDefault="00626711" w:rsidP="00626711">
      <w:pPr>
        <w:pStyle w:val="Betarp"/>
        <w:jc w:val="both"/>
      </w:pPr>
      <w:r w:rsidRPr="00F94DD1">
        <w:tab/>
        <w:t xml:space="preserve">Sveikatos apsaugos ministerijos duomenimis, 2008 m. gauta, susisteminta ir išanalizuota 1865 apsinuodijimų atvejų tyrimo protokolų. Vaikų (0-18 metų) apsinuodijimai sudaro – 67,7%, suaugusiųjų – 31,6%, o nenurodyto amžius – 0,7% visų apsinuodijimo atvejų. Dominuoja suaugusiųjų asmenų apgalvoti apsinuodijimai medikamentais (31,7%), piktnaudžiavimas alkoholiu (21,9%) ir alkoholį vartojant kartu su medikamentais, narkotikais bei įkvėpus smalkių (11,9%). Tarp vaikų (0-17 m.) vyrauja apgalvoti bei atsitiktiniai apsinuodijimai medikamentais (atitinkamai 16,1% ir 27,5%) ir apgalvoti apsinuodijimai alkoholiu (33,7%). Mažamečių vaikų apsinuodijimus sąlygoja nesaugiai laikomi medikamentai, o paauglių – piktnaudžiavimas alkoholiu ar savižudybės tikslu vartojami medikamentai. Parengta „Žmonių apsinuodijimų, ištirtų 2004–2007 metais, palyginamoji analizė“. 2008 m. sukurta kompiuterinė apsinuodijimų atvejų duomenų bazė. Duomenų bazės sistema leidžia suvesti duomenis ir juos analizuoti. Apskričių visuomenės sveikatos centrai turės galimybę palyginti savo apskrities apsinuodijimų rodiklius su analogiškais kitų apskričių rodikliais.  Parengta kompiuterinės apsinuodijimų duomenų bazės naudojimo instrukcija ir specialistų kvalifikacijos tobulinimo programa. Parengta 312 informacinių – analitinių medžiagų visuomenės sveikatos priežiūros įstaigoms, valstybinėms institucijoms ir kitoms organizacijoms. </w:t>
      </w:r>
    </w:p>
    <w:p w:rsidR="00626711" w:rsidRPr="00F94DD1" w:rsidRDefault="00626711" w:rsidP="00626711">
      <w:pPr>
        <w:pStyle w:val="Betarp"/>
        <w:jc w:val="both"/>
        <w:rPr>
          <w:bCs/>
        </w:rPr>
      </w:pPr>
      <w:r w:rsidRPr="00F94DD1">
        <w:t xml:space="preserve"> </w:t>
      </w:r>
    </w:p>
    <w:p w:rsidR="00626711" w:rsidRPr="00F94DD1" w:rsidRDefault="00626711" w:rsidP="00626711">
      <w:pPr>
        <w:pStyle w:val="Betarp"/>
        <w:jc w:val="both"/>
        <w:rPr>
          <w:b/>
          <w:bCs/>
        </w:rPr>
      </w:pPr>
      <w:r w:rsidRPr="00F94DD1">
        <w:tab/>
      </w:r>
      <w:r w:rsidRPr="00F94DD1">
        <w:rPr>
          <w:b/>
          <w:bCs/>
        </w:rPr>
        <w:t>Dėl ŽIV ir kitų lytiškai plintančių infekcijų</w:t>
      </w:r>
    </w:p>
    <w:p w:rsidR="00626711" w:rsidRPr="00F94DD1" w:rsidRDefault="00626711" w:rsidP="00626711">
      <w:pPr>
        <w:pStyle w:val="Betarp"/>
        <w:jc w:val="both"/>
        <w:rPr>
          <w:b/>
          <w:bCs/>
        </w:rPr>
      </w:pPr>
    </w:p>
    <w:p w:rsidR="00626711" w:rsidRPr="00F94DD1" w:rsidRDefault="00626711" w:rsidP="00626711">
      <w:pPr>
        <w:pStyle w:val="Betarp"/>
        <w:ind w:firstLine="720"/>
        <w:jc w:val="both"/>
        <w:rPr>
          <w:bCs/>
        </w:rPr>
      </w:pPr>
      <w:r w:rsidRPr="00F94DD1">
        <w:rPr>
          <w:bCs/>
        </w:rPr>
        <w:t xml:space="preserve">Seimo Narkomanijos ir alkoholizmo prevencijos komisija 2009 06 18 raštu Nr.S-2009 –6786 ”Dėl  narkotikų, alkoholio ir tabako kontrolės sustiprinimo” kreipėsi į Lietuvos Respublikos Ministrą Pirmininką su siūlymu skubiau  priimti sprendimus dėl valstybės valdymo tobulinimo narkotikų, alkoholio ir tabako kontrolės srityse, nes vaikai auga aplinkoje, kurioje nesaikingai geriamas alkoholis; didėja psichoaktyviųjų medžiagų vartojimo mastas; padidėjo nusikalstamų veikų, susijusių su neteisėta narkotikų apyvarta ir kt.  </w:t>
      </w:r>
    </w:p>
    <w:p w:rsidR="00626711" w:rsidRPr="00F94DD1" w:rsidRDefault="00626711" w:rsidP="00626711">
      <w:pPr>
        <w:pStyle w:val="Betarp"/>
        <w:ind w:firstLine="720"/>
        <w:jc w:val="both"/>
        <w:rPr>
          <w:rFonts w:eastAsia="Arial"/>
        </w:rPr>
      </w:pPr>
      <w:r w:rsidRPr="00F94DD1">
        <w:rPr>
          <w:rFonts w:eastAsia="Arial"/>
        </w:rPr>
        <w:t>Atkreipiamas dėmesys į tai, kad nuolat diagnozuojami nauji ŽIV infekcijos atvejai</w:t>
      </w:r>
      <w:r w:rsidRPr="00F94DD1">
        <w:t xml:space="preserve"> ir didėja lytiškai plintančių infekcijų</w:t>
      </w:r>
      <w:r w:rsidRPr="00F94DD1">
        <w:rPr>
          <w:rFonts w:eastAsia="Arial"/>
        </w:rPr>
        <w:t xml:space="preserve">. </w:t>
      </w:r>
    </w:p>
    <w:p w:rsidR="00626711" w:rsidRPr="00F94DD1" w:rsidRDefault="00626711" w:rsidP="00626711">
      <w:pPr>
        <w:pStyle w:val="Betarp"/>
        <w:ind w:firstLine="720"/>
        <w:jc w:val="both"/>
        <w:rPr>
          <w:rFonts w:eastAsia="Arial"/>
        </w:rPr>
      </w:pPr>
      <w:r w:rsidRPr="00F94DD1">
        <w:rPr>
          <w:rFonts w:eastAsia="Arial"/>
        </w:rPr>
        <w:t>ŽIV užsikrėtusių asmenų diagnozuota: 2005 m. – 120 atvejų; 2008 m. – 95 atvejai. Iš viso 1401 ŽIV užsikrėtę asmenys nuo 1988m., o trejų metų laikotarpiu diagnozuotas 301 nauja atvejis. Iki 2009 m. sausio 1 d. iš viso nustatyti 197 AIDS atvejai.</w:t>
      </w:r>
    </w:p>
    <w:p w:rsidR="00626711" w:rsidRPr="00F94DD1" w:rsidRDefault="00626711" w:rsidP="00626711">
      <w:pPr>
        <w:pStyle w:val="Betarp"/>
        <w:ind w:firstLine="720"/>
        <w:jc w:val="both"/>
      </w:pPr>
      <w:r w:rsidRPr="00F94DD1">
        <w:t xml:space="preserve">Vadovaujantis Lietuvos Respublikos sveikatos apsaugos ministro 2008 m. balandžio 30 d. įsakymu Nr. V-352 „Dėl lėšų, skirtų Valstybinės lytiškai plintančių infekcijų profilaktikos ir kontrolės 2006—2009 metų programos priemonėms 2008 metais įgyvendinti, panaudojimo“ Lietuvos AIDS centras, nacionaliniu mastu taikydamas lytiškai plintančių infekcijų stebėseną pagal Pasaulio sveikatos organizacijos metodiką, atliko Vilniaus m. stoties rajone seksualines paslaugas teikiančių moterų demografinio, biologinio ir elgesio indikatorių tyrimą. Dėl žmogaus imunodeficito viruso buvo tiriama 71 (94,7 proc.) prostitutė ir nei vienai iš jų ŽIV nenustatytas. Dėl hepatito B ir C buvo ištirta 70 prostitučių, iš kurių 11,4 proc. (8) laboratoriškai nustatytas hepatito B virusas ir 24,3 proc. hepatito C virusas. Dėl žmogaus papilomos viruso ištirtos 49 prostitutės (65,4 proc.), iš kurių 40,8 proc. (20) laboratoriškai nustatytas ŽPV. Dėl sifilio ištirta 70 prostitučių (93,3 proc.), iš kurių 5,7 proc. (4) teigiamos. Dėl gonorėjos ištirtos 73 prostitutės (97,3 proc.), iš kurių 19,2 proc. (14) rasti gonokokai. Dėl chlamidijų ištirtos 73 prostitutės (97,3 proc.), iš kurių 8,2 proc. (6) diagnozuota chlamidijozė. </w:t>
      </w:r>
    </w:p>
    <w:p w:rsidR="00626711" w:rsidRPr="00F94DD1" w:rsidRDefault="00626711" w:rsidP="00626711">
      <w:pPr>
        <w:pStyle w:val="Betarp"/>
        <w:ind w:firstLine="720"/>
        <w:jc w:val="both"/>
      </w:pPr>
      <w:r w:rsidRPr="00F94DD1">
        <w:t>Vykdant ŽIV stebėjimus plitimo tendencijoms teritorijoje nustatyti, pagal apskritis 2008 metais daugiausiai – 29, naujų ŽIV infekcijos atvejų nustatyti Vilniaus apskrityje (2007 – 28). Klaipėdos apskrities gyventojams diagnozuota – 21 (2007 m. – 27), Kauno – 11 (2007 m. – 11), Alytaus apskrities -16 (išaugo 4 kartus lyginant su 2007 metais). Daugiausia ŽIV užsikrėtusiųjų žmonių yra Klaipėdos apskrities gyventojai (428), antroje vietoje Vilniaus (259), Kauno (85), Šiaulių (73), Telšių (53), Alytaus (42), Panevėžio (17), 2008 metais Lietuvoje viso diagnozuoti 95 nauji ŽIV infekcijos atvejai, 2007 m. – 106. Per 1988 – 2008 metus Lietuvoje diagnozuota 1401 ŽIV užsikrėtęs žmogus.</w:t>
      </w:r>
    </w:p>
    <w:p w:rsidR="00626711" w:rsidRPr="00F94DD1" w:rsidRDefault="00626711" w:rsidP="00626711">
      <w:pPr>
        <w:pStyle w:val="Betarp"/>
        <w:ind w:firstLine="720"/>
        <w:jc w:val="both"/>
        <w:rPr>
          <w:bCs/>
          <w:color w:val="000000"/>
        </w:rPr>
      </w:pPr>
      <w:r w:rsidRPr="00F94DD1">
        <w:t xml:space="preserve">2008 m. ŽIV infekcija diagnozuota 30 moterų, pernai – 32. Per visą ŽIV registracijos laikotarpį pagal lytį užregistruoti 1183 ŽIV užsikrėtę vyrai ir 218 moterų. Naujai ŽIV užsikrėtusių vyrų amžiaus vidurkis – 36 metai, moterų - 32 metai. </w:t>
      </w:r>
      <w:r w:rsidRPr="00F94DD1">
        <w:rPr>
          <w:bCs/>
          <w:color w:val="000000"/>
        </w:rPr>
        <w:t xml:space="preserve">2008 m.  diagnozuoti 26 asmenys užsikrėtę </w:t>
      </w:r>
      <w:r w:rsidRPr="00F94DD1">
        <w:rPr>
          <w:bCs/>
          <w:color w:val="000000"/>
        </w:rPr>
        <w:lastRenderedPageBreak/>
        <w:t>heteroseksualių (pernai - 27 ), 9 homoseksualių lytinių santykių metu (pernai - 4), 42 vartodami švirkščiamuosius narkotikus (pernai per tą patį laikotarpį - 59), kitų užsikrėtimo būdas nežinomas.</w:t>
      </w:r>
    </w:p>
    <w:p w:rsidR="00626711" w:rsidRPr="00F94DD1" w:rsidRDefault="00626711" w:rsidP="00626711">
      <w:pPr>
        <w:pStyle w:val="Betarp"/>
        <w:jc w:val="both"/>
      </w:pPr>
      <w:r w:rsidRPr="00F94DD1">
        <w:t>.      Lietuvos AIDS centre buvo ištirti visi, pareiškę norą profilaktiškai išsitirti dėl ŽIV. Buvo plečiamos didelės rizikos grupėms priklausantiems asmenims teikiamos paslaugos (ŽIV ir su juo susijusių infekcijų tyrimai, psichologinė parama), diegiami nauji lytiškai plintančių infekcijų (toliau – LPI) tyrimo metodai, tuo pačiu  gerinama ŽIV ir LPI diagnostika. 2008 m. buvo įdiegtos 8 naujos tyrimų metodikos, tarp jų pirmą kartą Lietuvoje įsisavintas ir įdiegtas aukštos rezoliucijos HLA B5701 tyrimas sekvenavimo metodu,  pradėti tyrimai dėl jautrumo Abacavir nustatymui ŽIV infekuotiems asmenims.</w:t>
      </w:r>
    </w:p>
    <w:p w:rsidR="00626711" w:rsidRPr="00F94DD1" w:rsidRDefault="00626711" w:rsidP="00626711">
      <w:pPr>
        <w:pStyle w:val="Betarp"/>
        <w:ind w:firstLine="720"/>
        <w:jc w:val="both"/>
      </w:pPr>
      <w:r w:rsidRPr="00F94DD1">
        <w:t>Užtikrinant infekuotų ŽIV ir sergančių AIDS asmenų sveikatos priežiūrą, rūpinantis infekuotų ŽIV narkomanų psichologine socialine reabilitacija, reintegracija į visuomenę,</w:t>
      </w:r>
      <w:r w:rsidRPr="00F94DD1">
        <w:rPr>
          <w:b/>
          <w:bCs/>
        </w:rPr>
        <w:t xml:space="preserve"> </w:t>
      </w:r>
      <w:r w:rsidRPr="00F94DD1">
        <w:t>asmenų konsultavimą prieš testavimą ir po testavimo dėl ŽIV, per 2008 metus ištirta ir suteikta 185 prieš ir potestinės konsultacijos švirkščiamųjų narkotikų vartotojams. Anonimiškai kreipėsi pasitikrinti dėl ŽIV 524 asmenys, dar 1747 tyrėsi konfidencialiai; išduoti 1688 sertifikatai dėl ŽIV.</w:t>
      </w:r>
    </w:p>
    <w:p w:rsidR="00626711" w:rsidRPr="00F94DD1" w:rsidRDefault="00626711" w:rsidP="00626711">
      <w:pPr>
        <w:pStyle w:val="Betarp"/>
        <w:ind w:firstLine="720"/>
        <w:jc w:val="both"/>
        <w:rPr>
          <w:bCs/>
        </w:rPr>
      </w:pPr>
      <w:r w:rsidRPr="00F94DD1">
        <w:rPr>
          <w:bCs/>
        </w:rPr>
        <w:t xml:space="preserve">Per 2008 m. buvo stebėta 401 Lietuvos AIDS centro žalos mažinimo programoje dalyvaujančių švirkščiamųjų narkotikų vartotojų (iš jų 78 pirmą kartą apsilankiusiųjų): tiriami dėl ŽIV (185), sifilio (150), HBsAg (78), antiHCV (53). ŽIV sergamumas sudarė 1,08%, HBsAg paplitimas sudarė 1,3 %, HCV paplitimas sudarė 58,5 %, sifilio sergamumas 2,7 %.  </w:t>
      </w:r>
      <w:r w:rsidRPr="00F94DD1">
        <w:t xml:space="preserve">Per 2008 metus </w:t>
      </w:r>
      <w:r w:rsidRPr="00F94DD1">
        <w:rPr>
          <w:bCs/>
        </w:rPr>
        <w:t>atliktos dvi anoniminės apklausos: vienos jų metų apklausti 56 asmenys, kitos (internetinės) apklausos metų buvo apklausta 277 homoseksualūs ir biseksualūs vyrai.</w:t>
      </w:r>
    </w:p>
    <w:p w:rsidR="00626711" w:rsidRPr="00F94DD1" w:rsidRDefault="00626711" w:rsidP="00626711">
      <w:pPr>
        <w:pStyle w:val="Betarp"/>
        <w:ind w:firstLine="720"/>
        <w:jc w:val="both"/>
      </w:pPr>
      <w:r w:rsidRPr="00F94DD1">
        <w:t>Užtikrinant infekuotųjų ŽIV ir sergančiųjų AIDS tikrinimą, ar jie neserga tuberkulioze dėl tuberkuliozės simptomų patikrinta 165 ŽIV užsikrėtusiųjų asmenų.Centralizuotai atliekant donorams atrankinius ir patvirtinamuosius ŽIV tyrimus ištirti 47 potencialūs organų donorai (atlikti 423 tyrimai) ir 2 placentos donorės dėl infekcinių ligų žymenų; atlikti 85 kraujo donorų patvirtinamieji ŽIV tyrimai.Dėl virusinio hepatito C patvirtinimui gauti 255, dėl virusinio hepatito B - 91, dėl sifilio - 18 asmenų serumai.</w:t>
      </w:r>
    </w:p>
    <w:p w:rsidR="00626711" w:rsidRPr="00F94DD1" w:rsidRDefault="00626711" w:rsidP="00626711">
      <w:pPr>
        <w:pStyle w:val="Betarp"/>
        <w:jc w:val="both"/>
      </w:pPr>
      <w:r w:rsidRPr="00F94DD1">
        <w:t xml:space="preserve">   </w:t>
      </w:r>
      <w:r>
        <w:tab/>
      </w:r>
      <w:r w:rsidRPr="00F94DD1">
        <w:t xml:space="preserve">2008 m. </w:t>
      </w:r>
      <w:r w:rsidRPr="00513D5C">
        <w:t>Valstybinei ŽIV/AIDS profilaktikos ir kontrolės 2003–2008 metų programai</w:t>
      </w:r>
      <w:r w:rsidRPr="00F94DD1">
        <w:rPr>
          <w:b/>
        </w:rPr>
        <w:t xml:space="preserve"> </w:t>
      </w:r>
      <w:r w:rsidRPr="00F94DD1">
        <w:t xml:space="preserve">įgyvendinti Vidaus reikalų ministerija organizavo Vidaus reikalų ministerijos kompetencijai priskirtą vidaus tarnybos sistemos pareigūnų sveikatinimo veiklą ir socialinių garantijų realizavimą, užtikrinti įstaigų prie Vidaus reikalų ministerijos ir Vidaus reikalų ministerijos įsteigtų sveikatos priežiūros veiklą. Per 2008 m. epidemiologiniai tyrimai atlikti 7 vidaus reikalų įstaigose; Valstybės sienos apsaugos tarnybos prie VRM (toliau – VSAT) Pasieniečių mokykloje, VSAT Vilniaus rinktinės Padvarionių užkardoje, VSAT Vilniaus rinktinės Oro uosto užkardoje, Vilniaus apskrities vyriausiame policijos komisariate, šio komisariato Vilniaus m. 1-e ir 3-e policijos komisariatuose, Policijos departamento prie VRM Kriminalinės policijos biure). Lietuvos kariuomenės Dr. Jono Basanavičiaus karo medicinos tarnyba vykdė ŽIV plitimo lytiniu būdu profilaktiką. Teikė karių sveikatos priežiūros įstaigoms informaciją apie ŽIV ir su juo susijusių infekcijų epidemiologinę būklę Lietuvoje ir kariuomenėje; išleido 2 informacinius biuletenius. Taip pat organizavo švietėjiškas ŽIV ir su juo susijusių infekcijų, narkomanijos profilaktikos priemones privalomosios karinės ir profesinės tarnybos kariams. Paskaitas išklausiusiųjų karių skaičius – 50 proc. nuo bendro karių skaičiaus. Lietuvos kariuomenės Dr. Jono Basanavičiaus karo medicinos tarnyba surengė 6 masinius ir specialius renginius narkomanijos, ŽIV ir su juo susijusių infekcijų profilaktikos klausimais. Tarnyba parengė 20 karių savanorių dirbti ŽIV/AIDS ir su jais susijusių infekcijų, narkomanijos profilaktikos darbus; parengė 20 karo medicinos darbuotojų galinčių teikti konsultacijas ir informaciją; pravedė seminarus, paskaitas karo vadams apie ŽIV, narkomanija; atliko 100 proc. nuo išvykusiųjų skaičiaus profilaktinių tyrimų dėl ŽIV, hepatito B, C ir LPI. Kalėjimų departamentas prie Lietuvos Respublikos Vyriausybės ištyrė 80 proc. nuteistųjų dėl ŽIV ir kitų užkrečiamųjų ligų laisvės atėmimo vietose, taip pat 80 proc. nuteistųjų supažindino su ŽIV perdavimo būdais ir profilaktika. Švietimo ir mokslo ministerija vykdė konkurso „Mes prieš AIDS“, skirto Pasaulinei AIDS dienai, tęstinį projektą – moksleivių piešinio, rašinio, kompiuterinio plakato ir fotografijos (vyksta nuo 1994 m.) bei socialinės reklamos ŽIV/AIDS tema konkursą „Mes prieš AIDS“ (vyksta nuo 1999 m.).     </w:t>
      </w:r>
      <w:r w:rsidRPr="00F94DD1">
        <w:rPr>
          <w:color w:val="FF0000"/>
        </w:rPr>
        <w:t xml:space="preserve"> </w:t>
      </w:r>
    </w:p>
    <w:p w:rsidR="00626711" w:rsidRPr="00F94DD1" w:rsidRDefault="00626711" w:rsidP="00626711">
      <w:pPr>
        <w:pStyle w:val="Betarp"/>
        <w:ind w:firstLine="720"/>
        <w:jc w:val="both"/>
      </w:pPr>
      <w:r w:rsidRPr="00F94DD1">
        <w:t>2009 m. vasario 25 d. Vilniuje D</w:t>
      </w:r>
      <w:r w:rsidRPr="00F94DD1">
        <w:rPr>
          <w:rStyle w:val="Grietas"/>
          <w:rFonts w:eastAsiaTheme="majorEastAsia"/>
          <w:b w:val="0"/>
        </w:rPr>
        <w:t xml:space="preserve">epartamentas </w:t>
      </w:r>
      <w:r w:rsidRPr="00F94DD1">
        <w:t>organizavo seminarą „Projekto „Asmenų, vartojančių narkotines ir psichotropines medžiagas, reabilitacija ir socialinė reintegracija, novatoriško socialinių paslaugų modulio kūrimas“ įgyvendinimas 2006–2008 m.“, kuris buvo skirtas apibendrinti projekto įgyvendinimo rezultatus, numatyti tolesnes reabilitacijos paslaugų plėtros galimybes.</w:t>
      </w:r>
    </w:p>
    <w:p w:rsidR="00626711" w:rsidRPr="00F94DD1" w:rsidRDefault="00626711" w:rsidP="00626711">
      <w:pPr>
        <w:pStyle w:val="Betarp"/>
        <w:ind w:firstLine="720"/>
        <w:jc w:val="both"/>
      </w:pPr>
      <w:r w:rsidRPr="00F94DD1">
        <w:lastRenderedPageBreak/>
        <w:t xml:space="preserve">Narkotikų kontrolės departamento prie Lietuvos Respublikos Vyriausybės duomenimis Lietuvoje veikia ES BPD 2,3 priemonės projektas ”Asmenų, vartojančių narkotines ir psichotropines medžiagas, reabilitacija ir socialinė reintegracija, novatoriško modelio kūrimas” (5 partneriai). Šios priemonės veiklos rezultatai -  Žemo slenksčio paslaugų plėtra </w:t>
      </w:r>
    </w:p>
    <w:p w:rsidR="00626711" w:rsidRPr="00F94DD1" w:rsidRDefault="00626711" w:rsidP="00626711">
      <w:pPr>
        <w:pStyle w:val="Betarp"/>
        <w:jc w:val="both"/>
      </w:pPr>
    </w:p>
    <w:tbl>
      <w:tblPr>
        <w:tblW w:w="4230" w:type="dxa"/>
        <w:tblCellSpacing w:w="0" w:type="dxa"/>
        <w:tblCellMar>
          <w:left w:w="0" w:type="dxa"/>
          <w:right w:w="0" w:type="dxa"/>
        </w:tblCellMar>
        <w:tblLook w:val="0000" w:firstRow="0" w:lastRow="0" w:firstColumn="0" w:lastColumn="0" w:noHBand="0" w:noVBand="0"/>
      </w:tblPr>
      <w:tblGrid>
        <w:gridCol w:w="2131"/>
        <w:gridCol w:w="698"/>
        <w:gridCol w:w="698"/>
        <w:gridCol w:w="703"/>
      </w:tblGrid>
      <w:tr w:rsidR="00626711" w:rsidRPr="00F94DD1" w:rsidTr="004F7425">
        <w:trPr>
          <w:trHeight w:val="330"/>
          <w:tblCellSpacing w:w="0" w:type="dxa"/>
        </w:trPr>
        <w:tc>
          <w:tcPr>
            <w:tcW w:w="2160" w:type="dxa"/>
            <w:tcBorders>
              <w:top w:val="single" w:sz="12" w:space="0" w:color="000000"/>
              <w:left w:val="single" w:sz="12" w:space="0" w:color="000000"/>
              <w:bottom w:val="single" w:sz="6" w:space="0" w:color="000000"/>
              <w:right w:val="single" w:sz="6" w:space="0" w:color="000000"/>
            </w:tcBorders>
          </w:tcPr>
          <w:p w:rsidR="00626711" w:rsidRPr="00F94DD1" w:rsidRDefault="00626711" w:rsidP="004F7425">
            <w:pPr>
              <w:pStyle w:val="Betarp"/>
              <w:jc w:val="both"/>
            </w:pPr>
            <w:r w:rsidRPr="00F94DD1">
              <w:t>Rodiklio pavadinimas</w:t>
            </w:r>
          </w:p>
        </w:tc>
        <w:tc>
          <w:tcPr>
            <w:tcW w:w="705" w:type="dxa"/>
            <w:tcBorders>
              <w:top w:val="single" w:sz="12" w:space="0" w:color="000000"/>
              <w:left w:val="single" w:sz="6" w:space="0" w:color="000000"/>
              <w:bottom w:val="single" w:sz="6" w:space="0" w:color="000000"/>
              <w:right w:val="single" w:sz="6" w:space="0" w:color="000000"/>
            </w:tcBorders>
          </w:tcPr>
          <w:p w:rsidR="00626711" w:rsidRPr="00F94DD1" w:rsidRDefault="00626711" w:rsidP="004F7425">
            <w:pPr>
              <w:pStyle w:val="Betarp"/>
              <w:jc w:val="both"/>
            </w:pPr>
            <w:r w:rsidRPr="00F94DD1">
              <w:t>2007</w:t>
            </w:r>
          </w:p>
        </w:tc>
        <w:tc>
          <w:tcPr>
            <w:tcW w:w="705" w:type="dxa"/>
            <w:tcBorders>
              <w:top w:val="single" w:sz="12" w:space="0" w:color="000000"/>
              <w:left w:val="single" w:sz="6" w:space="0" w:color="000000"/>
              <w:bottom w:val="single" w:sz="6" w:space="0" w:color="000000"/>
              <w:right w:val="single" w:sz="6" w:space="0" w:color="000000"/>
            </w:tcBorders>
          </w:tcPr>
          <w:p w:rsidR="00626711" w:rsidRPr="00F94DD1" w:rsidRDefault="00626711" w:rsidP="004F7425">
            <w:pPr>
              <w:pStyle w:val="Betarp"/>
              <w:jc w:val="both"/>
            </w:pPr>
            <w:r w:rsidRPr="00F94DD1">
              <w:t>2008</w:t>
            </w:r>
          </w:p>
        </w:tc>
        <w:tc>
          <w:tcPr>
            <w:tcW w:w="705" w:type="dxa"/>
            <w:tcBorders>
              <w:top w:val="single" w:sz="12" w:space="0" w:color="000000"/>
              <w:left w:val="single" w:sz="6" w:space="0" w:color="000000"/>
              <w:bottom w:val="single" w:sz="6" w:space="0" w:color="000000"/>
              <w:right w:val="single" w:sz="12" w:space="0" w:color="000000"/>
            </w:tcBorders>
          </w:tcPr>
          <w:p w:rsidR="00626711" w:rsidRPr="00F94DD1" w:rsidRDefault="00626711" w:rsidP="004F7425">
            <w:pPr>
              <w:pStyle w:val="Betarp"/>
              <w:jc w:val="both"/>
            </w:pPr>
            <w:r w:rsidRPr="00F94DD1">
              <w:t>2009*</w:t>
            </w:r>
          </w:p>
        </w:tc>
      </w:tr>
      <w:tr w:rsidR="00626711" w:rsidRPr="00F94DD1" w:rsidTr="004F7425">
        <w:trPr>
          <w:trHeight w:val="405"/>
          <w:tblCellSpacing w:w="0" w:type="dxa"/>
        </w:trPr>
        <w:tc>
          <w:tcPr>
            <w:tcW w:w="2160" w:type="dxa"/>
            <w:tcBorders>
              <w:top w:val="single" w:sz="6" w:space="0" w:color="000000"/>
              <w:left w:val="single" w:sz="12" w:space="0" w:color="000000"/>
              <w:bottom w:val="single" w:sz="6" w:space="0" w:color="000000"/>
              <w:right w:val="single" w:sz="6" w:space="0" w:color="000000"/>
            </w:tcBorders>
          </w:tcPr>
          <w:p w:rsidR="00626711" w:rsidRPr="00F94DD1" w:rsidRDefault="00626711" w:rsidP="004F7425">
            <w:pPr>
              <w:pStyle w:val="Betarp"/>
              <w:jc w:val="both"/>
            </w:pPr>
            <w:r w:rsidRPr="00F94DD1">
              <w:t>Žemo slenksčio paslaugų teikėjų sk.</w:t>
            </w:r>
          </w:p>
        </w:tc>
        <w:tc>
          <w:tcPr>
            <w:tcW w:w="705" w:type="dxa"/>
            <w:tcBorders>
              <w:top w:val="single" w:sz="6" w:space="0" w:color="000000"/>
              <w:left w:val="single" w:sz="6" w:space="0" w:color="000000"/>
              <w:bottom w:val="single" w:sz="6" w:space="0" w:color="000000"/>
              <w:right w:val="single" w:sz="6" w:space="0" w:color="000000"/>
            </w:tcBorders>
          </w:tcPr>
          <w:p w:rsidR="00626711" w:rsidRPr="00F94DD1" w:rsidRDefault="00626711" w:rsidP="004F7425">
            <w:pPr>
              <w:pStyle w:val="Betarp"/>
              <w:jc w:val="both"/>
            </w:pPr>
            <w:r w:rsidRPr="00F94DD1">
              <w:t>9</w:t>
            </w:r>
          </w:p>
        </w:tc>
        <w:tc>
          <w:tcPr>
            <w:tcW w:w="705" w:type="dxa"/>
            <w:tcBorders>
              <w:top w:val="single" w:sz="6" w:space="0" w:color="000000"/>
              <w:left w:val="single" w:sz="6" w:space="0" w:color="000000"/>
              <w:bottom w:val="single" w:sz="6" w:space="0" w:color="000000"/>
              <w:right w:val="single" w:sz="6" w:space="0" w:color="000000"/>
            </w:tcBorders>
          </w:tcPr>
          <w:p w:rsidR="00626711" w:rsidRPr="00F94DD1" w:rsidRDefault="00626711" w:rsidP="004F7425">
            <w:pPr>
              <w:pStyle w:val="Betarp"/>
              <w:jc w:val="both"/>
            </w:pPr>
            <w:r w:rsidRPr="00F94DD1">
              <w:t>11</w:t>
            </w:r>
          </w:p>
        </w:tc>
        <w:tc>
          <w:tcPr>
            <w:tcW w:w="705" w:type="dxa"/>
            <w:tcBorders>
              <w:top w:val="single" w:sz="6" w:space="0" w:color="000000"/>
              <w:left w:val="single" w:sz="6" w:space="0" w:color="000000"/>
              <w:bottom w:val="single" w:sz="6" w:space="0" w:color="000000"/>
              <w:right w:val="single" w:sz="12" w:space="0" w:color="000000"/>
            </w:tcBorders>
          </w:tcPr>
          <w:p w:rsidR="00626711" w:rsidRPr="00F94DD1" w:rsidRDefault="00626711" w:rsidP="004F7425">
            <w:pPr>
              <w:pStyle w:val="Betarp"/>
              <w:jc w:val="both"/>
            </w:pPr>
            <w:r w:rsidRPr="00F94DD1">
              <w:t>13</w:t>
            </w:r>
          </w:p>
        </w:tc>
      </w:tr>
      <w:tr w:rsidR="00626711" w:rsidRPr="00F94DD1" w:rsidTr="004F7425">
        <w:trPr>
          <w:trHeight w:val="315"/>
          <w:tblCellSpacing w:w="0" w:type="dxa"/>
        </w:trPr>
        <w:tc>
          <w:tcPr>
            <w:tcW w:w="2160" w:type="dxa"/>
            <w:tcBorders>
              <w:top w:val="single" w:sz="6" w:space="0" w:color="000000"/>
              <w:left w:val="single" w:sz="12" w:space="0" w:color="000000"/>
              <w:bottom w:val="single" w:sz="6" w:space="0" w:color="000000"/>
              <w:right w:val="single" w:sz="6" w:space="0" w:color="000000"/>
            </w:tcBorders>
          </w:tcPr>
          <w:p w:rsidR="00626711" w:rsidRPr="00F94DD1" w:rsidRDefault="00626711" w:rsidP="004F7425">
            <w:pPr>
              <w:pStyle w:val="Betarp"/>
              <w:jc w:val="both"/>
            </w:pPr>
            <w:r w:rsidRPr="00F94DD1">
              <w:t>Paslaugų gavėjų sk.</w:t>
            </w:r>
          </w:p>
        </w:tc>
        <w:tc>
          <w:tcPr>
            <w:tcW w:w="705" w:type="dxa"/>
            <w:tcBorders>
              <w:top w:val="single" w:sz="6" w:space="0" w:color="000000"/>
              <w:left w:val="single" w:sz="6" w:space="0" w:color="000000"/>
              <w:bottom w:val="single" w:sz="6" w:space="0" w:color="000000"/>
              <w:right w:val="single" w:sz="6" w:space="0" w:color="000000"/>
            </w:tcBorders>
          </w:tcPr>
          <w:p w:rsidR="00626711" w:rsidRPr="00F94DD1" w:rsidRDefault="00626711" w:rsidP="004F7425">
            <w:pPr>
              <w:pStyle w:val="Betarp"/>
              <w:jc w:val="both"/>
            </w:pPr>
            <w:r w:rsidRPr="00F94DD1">
              <w:t>3 400</w:t>
            </w:r>
          </w:p>
        </w:tc>
        <w:tc>
          <w:tcPr>
            <w:tcW w:w="705" w:type="dxa"/>
            <w:tcBorders>
              <w:top w:val="single" w:sz="6" w:space="0" w:color="000000"/>
              <w:left w:val="single" w:sz="6" w:space="0" w:color="000000"/>
              <w:bottom w:val="single" w:sz="6" w:space="0" w:color="000000"/>
              <w:right w:val="single" w:sz="6" w:space="0" w:color="000000"/>
            </w:tcBorders>
          </w:tcPr>
          <w:p w:rsidR="00626711" w:rsidRPr="00F94DD1" w:rsidRDefault="00626711" w:rsidP="004F7425">
            <w:pPr>
              <w:pStyle w:val="Betarp"/>
              <w:jc w:val="both"/>
            </w:pPr>
            <w:r w:rsidRPr="00F94DD1">
              <w:t>3 500</w:t>
            </w:r>
          </w:p>
        </w:tc>
        <w:tc>
          <w:tcPr>
            <w:tcW w:w="705" w:type="dxa"/>
            <w:tcBorders>
              <w:top w:val="single" w:sz="6" w:space="0" w:color="000000"/>
              <w:left w:val="single" w:sz="6" w:space="0" w:color="000000"/>
              <w:bottom w:val="single" w:sz="6" w:space="0" w:color="000000"/>
              <w:right w:val="single" w:sz="12" w:space="0" w:color="000000"/>
            </w:tcBorders>
          </w:tcPr>
          <w:p w:rsidR="00626711" w:rsidRPr="00F94DD1" w:rsidRDefault="00626711" w:rsidP="004F7425">
            <w:pPr>
              <w:pStyle w:val="Betarp"/>
              <w:jc w:val="both"/>
            </w:pPr>
            <w:r w:rsidRPr="00F94DD1">
              <w:t>~4000</w:t>
            </w:r>
          </w:p>
        </w:tc>
      </w:tr>
      <w:tr w:rsidR="00626711" w:rsidRPr="00F94DD1" w:rsidTr="004F7425">
        <w:trPr>
          <w:trHeight w:val="435"/>
          <w:tblCellSpacing w:w="0" w:type="dxa"/>
        </w:trPr>
        <w:tc>
          <w:tcPr>
            <w:tcW w:w="2160" w:type="dxa"/>
            <w:tcBorders>
              <w:top w:val="single" w:sz="6" w:space="0" w:color="000000"/>
              <w:left w:val="single" w:sz="12" w:space="0" w:color="000000"/>
              <w:bottom w:val="single" w:sz="12" w:space="0" w:color="000000"/>
              <w:right w:val="single" w:sz="6" w:space="0" w:color="000000"/>
            </w:tcBorders>
          </w:tcPr>
          <w:p w:rsidR="00626711" w:rsidRPr="00F94DD1" w:rsidRDefault="00626711" w:rsidP="004F7425">
            <w:pPr>
              <w:pStyle w:val="Betarp"/>
              <w:jc w:val="both"/>
            </w:pPr>
            <w:r w:rsidRPr="00F94DD1">
              <w:t>NKD, tūkst. Lt</w:t>
            </w:r>
          </w:p>
          <w:p w:rsidR="00626711" w:rsidRPr="00F94DD1" w:rsidRDefault="00626711" w:rsidP="004F7425">
            <w:pPr>
              <w:pStyle w:val="Betarp"/>
              <w:jc w:val="both"/>
            </w:pPr>
            <w:r w:rsidRPr="00F94DD1">
              <w:t>JT projekto lėšos</w:t>
            </w:r>
          </w:p>
        </w:tc>
        <w:tc>
          <w:tcPr>
            <w:tcW w:w="705" w:type="dxa"/>
            <w:tcBorders>
              <w:top w:val="single" w:sz="6" w:space="0" w:color="000000"/>
              <w:left w:val="single" w:sz="6" w:space="0" w:color="000000"/>
              <w:bottom w:val="single" w:sz="12" w:space="0" w:color="000000"/>
              <w:right w:val="single" w:sz="6" w:space="0" w:color="000000"/>
            </w:tcBorders>
          </w:tcPr>
          <w:p w:rsidR="00626711" w:rsidRPr="00F94DD1" w:rsidRDefault="00626711" w:rsidP="004F7425">
            <w:pPr>
              <w:pStyle w:val="Betarp"/>
              <w:jc w:val="both"/>
            </w:pPr>
            <w:r w:rsidRPr="00F94DD1">
              <w:t>270</w:t>
            </w:r>
          </w:p>
        </w:tc>
        <w:tc>
          <w:tcPr>
            <w:tcW w:w="705" w:type="dxa"/>
            <w:tcBorders>
              <w:top w:val="single" w:sz="6" w:space="0" w:color="000000"/>
              <w:left w:val="single" w:sz="6" w:space="0" w:color="000000"/>
              <w:bottom w:val="single" w:sz="12" w:space="0" w:color="000000"/>
              <w:right w:val="single" w:sz="6" w:space="0" w:color="000000"/>
            </w:tcBorders>
          </w:tcPr>
          <w:p w:rsidR="00626711" w:rsidRPr="00F94DD1" w:rsidRDefault="00626711" w:rsidP="004F7425">
            <w:pPr>
              <w:pStyle w:val="Betarp"/>
              <w:jc w:val="both"/>
            </w:pPr>
            <w:r w:rsidRPr="00F94DD1">
              <w:t>200</w:t>
            </w:r>
          </w:p>
        </w:tc>
        <w:tc>
          <w:tcPr>
            <w:tcW w:w="705" w:type="dxa"/>
            <w:tcBorders>
              <w:top w:val="single" w:sz="6" w:space="0" w:color="000000"/>
              <w:left w:val="single" w:sz="6" w:space="0" w:color="000000"/>
              <w:bottom w:val="single" w:sz="12" w:space="0" w:color="000000"/>
              <w:right w:val="single" w:sz="12" w:space="0" w:color="000000"/>
            </w:tcBorders>
          </w:tcPr>
          <w:p w:rsidR="00626711" w:rsidRPr="00F94DD1" w:rsidRDefault="00626711" w:rsidP="004F7425">
            <w:pPr>
              <w:pStyle w:val="Betarp"/>
              <w:jc w:val="both"/>
            </w:pPr>
            <w:r w:rsidRPr="00F94DD1">
              <w:t> </w:t>
            </w:r>
          </w:p>
        </w:tc>
      </w:tr>
    </w:tbl>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r w:rsidRPr="00F94DD1">
        <w:t>Narkotikų kontrolės departamento prie LRV duomenimis, ŽIV užsikrėtimo dinamika vartojant švirkščiamuosius narkotikus</w:t>
      </w:r>
    </w:p>
    <w:p w:rsidR="00626711" w:rsidRPr="00F94DD1" w:rsidRDefault="00626711" w:rsidP="00626711">
      <w:pPr>
        <w:pStyle w:val="Betarp"/>
        <w:jc w:val="both"/>
      </w:pPr>
      <w:r>
        <w:rPr>
          <w:noProof/>
          <w:lang w:eastAsia="lt-LT"/>
        </w:rPr>
        <w:drawing>
          <wp:anchor distT="0" distB="0" distL="114300" distR="114300" simplePos="0" relativeHeight="251732992" behindDoc="0" locked="0" layoutInCell="1" allowOverlap="1">
            <wp:simplePos x="0" y="0"/>
            <wp:positionH relativeFrom="column">
              <wp:posOffset>0</wp:posOffset>
            </wp:positionH>
            <wp:positionV relativeFrom="paragraph">
              <wp:posOffset>95885</wp:posOffset>
            </wp:positionV>
            <wp:extent cx="5486400" cy="1961515"/>
            <wp:effectExtent l="13335" t="10795" r="5715" b="8890"/>
            <wp:wrapNone/>
            <wp:docPr id="114" name="Diagrama 1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14:sizeRelH relativeFrom="page">
              <wp14:pctWidth>0</wp14:pctWidth>
            </wp14:sizeRelH>
            <wp14:sizeRelV relativeFrom="page">
              <wp14:pctHeight>0</wp14:pctHeight>
            </wp14:sizeRelV>
          </wp:anchor>
        </w:drawing>
      </w: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pPr>
      <w:r w:rsidRPr="00F94DD1">
        <w:t>Žemo slenksčio paslaugų (konsultavimas, informavimas, švirkštų/adatų keitimas, nukreipimai gydytis) plėtra leidžia sumažinti asmenų, užsikrėtusių ŽIV infekcija, vartojant injekcinius narkotikus, skaičių 1,6 karto per  3 metus:</w:t>
      </w:r>
    </w:p>
    <w:p w:rsidR="00626711" w:rsidRPr="00F94DD1" w:rsidRDefault="00626711" w:rsidP="00626711">
      <w:pPr>
        <w:pStyle w:val="Betarp"/>
        <w:jc w:val="both"/>
      </w:pPr>
      <w:r w:rsidRPr="00F94DD1">
        <w:t>Probleminių vartotojų sk. 6000-7000</w:t>
      </w:r>
    </w:p>
    <w:p w:rsidR="00626711" w:rsidRPr="00F94DD1" w:rsidRDefault="00626711" w:rsidP="00626711">
      <w:pPr>
        <w:pStyle w:val="Betarp"/>
        <w:jc w:val="both"/>
      </w:pPr>
      <w:r w:rsidRPr="00F94DD1">
        <w:t xml:space="preserve"> Tarp jų ŽIV infekuotų – 8 proc.</w:t>
      </w:r>
    </w:p>
    <w:p w:rsidR="00626711" w:rsidRPr="00F94DD1" w:rsidRDefault="00626711" w:rsidP="00626711">
      <w:pPr>
        <w:pStyle w:val="Betarp"/>
        <w:jc w:val="both"/>
      </w:pPr>
      <w:r w:rsidRPr="00F94DD1">
        <w:t xml:space="preserve"> Viso infekuoti ŽIV per ŠNV – 76 proc.</w:t>
      </w:r>
    </w:p>
    <w:p w:rsidR="00626711" w:rsidRPr="00F94DD1" w:rsidRDefault="00626711" w:rsidP="00626711">
      <w:pPr>
        <w:pStyle w:val="Betarp"/>
        <w:jc w:val="both"/>
      </w:pPr>
      <w:r w:rsidRPr="00F94DD1">
        <w:t xml:space="preserve"> HCV infekuoti – 70-90 proc.</w:t>
      </w:r>
    </w:p>
    <w:p w:rsidR="00626711" w:rsidRPr="00F94DD1" w:rsidRDefault="00626711" w:rsidP="00626711">
      <w:pPr>
        <w:pStyle w:val="Betarp"/>
        <w:jc w:val="both"/>
      </w:pPr>
    </w:p>
    <w:p w:rsidR="00626711" w:rsidRPr="00F94DD1" w:rsidRDefault="00626711" w:rsidP="00626711">
      <w:pPr>
        <w:pStyle w:val="Betarp"/>
        <w:jc w:val="both"/>
        <w:rPr>
          <w:bCs/>
        </w:rPr>
      </w:pPr>
    </w:p>
    <w:p w:rsidR="00626711" w:rsidRPr="00F94DD1" w:rsidRDefault="00626711" w:rsidP="00626711">
      <w:pPr>
        <w:pStyle w:val="Betarp"/>
        <w:jc w:val="both"/>
      </w:pPr>
    </w:p>
    <w:p w:rsidR="00626711" w:rsidRPr="00513D5C" w:rsidRDefault="00626711" w:rsidP="00626711">
      <w:pPr>
        <w:pStyle w:val="Betarp"/>
        <w:ind w:firstLine="720"/>
        <w:jc w:val="both"/>
        <w:rPr>
          <w:b/>
        </w:rPr>
      </w:pPr>
      <w:r w:rsidRPr="00513D5C">
        <w:rPr>
          <w:b/>
        </w:rPr>
        <w:t>Dėl ligotumo ir sergamumo narkomanija</w:t>
      </w:r>
    </w:p>
    <w:p w:rsidR="00626711" w:rsidRPr="00F94DD1" w:rsidRDefault="00626711" w:rsidP="00626711">
      <w:pPr>
        <w:pStyle w:val="Betarp"/>
        <w:jc w:val="both"/>
      </w:pPr>
    </w:p>
    <w:p w:rsidR="00626711" w:rsidRPr="00F94DD1" w:rsidRDefault="00626711" w:rsidP="00626711">
      <w:pPr>
        <w:pStyle w:val="Betarp"/>
        <w:jc w:val="both"/>
      </w:pPr>
    </w:p>
    <w:p w:rsidR="00626711" w:rsidRPr="00F94DD1" w:rsidRDefault="00626711" w:rsidP="00626711">
      <w:pPr>
        <w:pStyle w:val="Betarp"/>
        <w:jc w:val="both"/>
        <w:rPr>
          <w:b/>
          <w:bCs/>
        </w:rPr>
      </w:pPr>
      <w:r w:rsidRPr="00F94DD1">
        <w:tab/>
        <w:t xml:space="preserve">Sveikatos apsaugos ministerijos duomenimis (2009 04 07 raštas Nr. 10-(10.1-22) 2015 ) ir Valstybinis psichikos sveikatos centro duomenimis  2005 – 2008 metų laikotarpiu didėjo pasiektų ilgalaikių remisijų skaičius. Nuo 2005 m. iki 2008 m. jis išaugo 102,4 proc. (2007 m. 1606, 2008 m. – 2182). Nuo 2005 m. iki 2008 m. padaugėjo naujai išaiškintų pacientų skaičius (2007 m. –2442, 2008 m. – 2463). Daugėjo asmenų, išrašytų iš įskaitos skaičius (2007 m. –166, 2008 m. – 1469). Šiuo metu galiojantis Pacientų teisių ir žalos atlyginimo įstatymas (Žin., 1996, 102-2317; 2004, Nr. 115-4284) bei kiti įstatymai nenumato anoniminių paslaugų teikimo. Tačiau, paciento apmokamų sveikatos priežiūros paslaugų  teikimą nustatantis Sveikatos apsaugos ministro 1999 m. liepos 30 d. įsakymas Nr. 357 “Dėl mokamų asmens sveikatos priežiūros paslaugų sąrašo, kainų nustatymo ir jų </w:t>
      </w:r>
      <w:r w:rsidRPr="00F94DD1">
        <w:lastRenderedPageBreak/>
        <w:t>indeksavimo tvarkos bei šių paslaugų teikimo ir apmokėjimo tvarkos”  (Žin., 1999, Nr. 67-2175) numato ir anoniminį piktnaudžiaujančiųjų alkoholiu, narkotikais ir kitomis nuodingosiomis medžiagomis gydymą, nors galiojančiuose Pacientų teisių ir žalos atlyginimo įstatyme ((Žin., 1996, 102-2317; 2004, Nr. 115-4284)  ir kituose įstatymuose ar teisės aktuose nėra apibrėžta Anoniminė sveikatos priežiūros ar Anoniminio gydymo sąvokos. Parengtose Pacientų teisių ir žalos atlyginimo įstatymo pakeitimo įstatymo projekto 10 str. nuostatose numatyta pacientų teisė į anoniminę sveikatos priežiūrą  (įstatymo projektas registruotas Seime 2008 01 18 Nr. XP-2817). Įstatymas nepriimtas.</w:t>
      </w:r>
      <w:r w:rsidRPr="00F94DD1">
        <w:rPr>
          <w:b/>
          <w:bCs/>
        </w:rPr>
        <w:t xml:space="preserve"> </w:t>
      </w:r>
      <w:r w:rsidRPr="00F94DD1">
        <w:t xml:space="preserve">2005 – 2008 metų priklausomybės ligų programos įgyvendinimo Lietuvoje vertinimas nepadarytas. </w:t>
      </w:r>
      <w:r w:rsidRPr="00F94DD1">
        <w:rPr>
          <w:b/>
          <w:bCs/>
        </w:rPr>
        <w:t>Lietuvos Respublikos Valstybės kontrolė 2009 03 27 raštu Nr. S-(10-1.9.1)-622 “Dėl valstybinio audito rekomendacijų įgyvendinimo” nurodė, kad tikrinimo metu 82 gydymo įstaigos, teikusios priklausomybės ligų gydymo paslaugas, už kurias buvo apmokėta iš Privalomojo sveikatos draudimo fondo biudžeto lėšų, Valstybiniam psichikos sveikatos centrui nepateikė statistinės apskaitos formų. Informacija apie anonimiškai gydytus asmenis šiam centrui taip pat neteikiama. Privačios gydymo įstaigos irgi neįpareigotos Valstybiniam psichikos sveikatos centrui teikti statistinių formų.</w:t>
      </w:r>
    </w:p>
    <w:p w:rsidR="00626711" w:rsidRPr="00F94DD1" w:rsidRDefault="00626711" w:rsidP="00626711">
      <w:pPr>
        <w:pStyle w:val="Betarp"/>
        <w:ind w:firstLine="720"/>
        <w:jc w:val="both"/>
      </w:pPr>
      <w:r w:rsidRPr="00F94DD1">
        <w:t xml:space="preserve">Dabartiniu metu tokių privačių gydymo įstaigų, neteikiančių informacijos  Valstybiniam psichikos sveikatos centrui, sumažėjo, bet ir toliau asmenų, gavusių  priklausomybės ligų gydymo paslaugas Lietuvoje, skaičius nėra aiškus. </w:t>
      </w:r>
    </w:p>
    <w:p w:rsidR="00626711" w:rsidRPr="00F94DD1" w:rsidRDefault="00626711" w:rsidP="00626711">
      <w:pPr>
        <w:pStyle w:val="Betarp"/>
        <w:ind w:firstLine="720"/>
        <w:jc w:val="both"/>
        <w:rPr>
          <w:bCs/>
        </w:rPr>
      </w:pPr>
      <w:r w:rsidRPr="00F94DD1">
        <w:rPr>
          <w:bCs/>
        </w:rPr>
        <w:t xml:space="preserve">Dėl asmenų, įtariamų psichotropinių ar narkotinių medžiagų vartojimu, Policijos departamento prie Lietuvos Respublikos Vidaus reikalų ministerijos duomenimis, išanalizavus  Lietuvos Respublikos Administracinių teisės pažeidimų kodekso 44 straipsnio “Neteisėtas psichotropinių ar narkotinių medžiagų įgijimas ar laikymas nedideliais kiekiais arba psichotropinių ar narkotinių medžiagų vartojimas be gydytojo paskyrimo” taikymo praktiką, galima pažymėti keletą problemos aspektų. Per metus policijos pareigūnai sulaiko nemažai asmenų, įtariamų psichotropinių ar narkotinių medžiagų vartojimu. Lietuvos Respublikos Administracinių teisės pažeidimų kodekso 44 straipsnyje už šį pažeidimą numatyta administracinė bauda iki 500 litų. </w:t>
      </w:r>
    </w:p>
    <w:p w:rsidR="00626711" w:rsidRPr="00F94DD1" w:rsidRDefault="00626711" w:rsidP="00626711">
      <w:pPr>
        <w:pStyle w:val="Betarp"/>
        <w:jc w:val="both"/>
      </w:pPr>
      <w:r w:rsidRPr="00F94DD1">
        <w:t xml:space="preserve">Norint asmenį, įtariamą psichotropinių ar narkotinių medžiagų vartojimu, patraukti administracinėn atsakomybėn, būtina atlikti šio asmens medicininę apžiūrą bei biologinių skysčių (šlapimo arba kraujo) cheminę ekspertizę. Kol nėra patvirtinančios narkotikų vartojimą ekspertizės išvadų policijos pareigūnai negali surašyti administracinio teisės pažeidimo protokolo. Tokia ekspertizė kainuoja apie 150 litų ir atliekama apie 10 dienų. Šiuo metu dėl finansavimo problemų kai kurios policijos įstaigos yra įsiskolinusios medicinos įstaigoms už šias paslaugas, todėl medicinos įstaigose atsisakoma priimti asmenis tyrimams. </w:t>
      </w:r>
    </w:p>
    <w:p w:rsidR="00626711" w:rsidRPr="00F94DD1" w:rsidRDefault="00626711" w:rsidP="00626711">
      <w:pPr>
        <w:pStyle w:val="Betarp"/>
        <w:ind w:firstLine="720"/>
        <w:jc w:val="both"/>
      </w:pPr>
      <w:r w:rsidRPr="00F94DD1">
        <w:t>Gavus ekspertizės išvadą atsiranda kita problema – reikia vėl surasti pažeidėją, kuris dažniausiai yra priklausomas nuo narkotikų asmuo be nuolatinės gyvenamosios vietos.  Administracines bylas  pagal Lietuvos Respublikos Administracinių teisės pažeidimų kodekso 44 straipsnį nagrinėja ir sprendimus priima teismai, todėl surašius protokolą policijos pareigūnas atvesdina pažeidėją į teismą. Tačiau, dauguma nuo narkotikų priklausomų asmenų neturi nuolatinių pajamų šaltinių, todėl teismo paskirtų baudų jie nesumoka. Išieškoti iš tokių asmenų jiems paskirtą baudą nėra galimybių, kadangi dažniausiai šie asmenys neturi nei turto nei darbo.</w:t>
      </w:r>
    </w:p>
    <w:p w:rsidR="00626711" w:rsidRPr="00F94DD1" w:rsidRDefault="00626711" w:rsidP="00626711">
      <w:pPr>
        <w:pStyle w:val="Betarp"/>
        <w:ind w:firstLine="720"/>
        <w:jc w:val="both"/>
      </w:pPr>
      <w:r w:rsidRPr="00F94DD1">
        <w:t>Įstatyme numatyta galimybė pakeisti administracinę baudą į administracinį areštą, tačiau nuo narkotikų priklausomų asmenų laikymas areštinėse komplikuotas - jiems reikalinga nuolatinė medicininė priežiūra, nes būdami narkotinės abstinencijos būsenoje jie gali susižaloti arba sužaloti kitus. Po įstatyme numatytos  administracinės nuobaudos paskyrimo jie toliau vartoja narkotikus, daro teisėtvarkos pažeidimus. Vykdydami savo funkcijas, policijos pareigūnai vėl sulaikinėja tokius asmenis, teismai taiko administracinio poveikio priemones.</w:t>
      </w:r>
    </w:p>
    <w:p w:rsidR="00626711" w:rsidRPr="00F94DD1" w:rsidRDefault="00626711" w:rsidP="00626711">
      <w:pPr>
        <w:pStyle w:val="Betarp"/>
        <w:ind w:firstLine="720"/>
        <w:jc w:val="both"/>
      </w:pPr>
      <w:r w:rsidRPr="00F94DD1">
        <w:t xml:space="preserve">Tikslios pakartotinų sulaikymų statistikos nėra (oficialiai nenumatyta), tačiau ir kai kuri turima informacija leidžia daryti išvadas, kad narkotikais piktnaudžiaujantiems asmenims taikomos administracinės nuobaudos neturi tinkamo poveikio (jie ir toliau daro pažeidimus), administracinių nuobaudų skyrimo tikslai nepasiekiami nepaisant to,  kad šios įstatymo normos taikymas reikalauja nemažų finansinių bei žmogiškųjų išteklių. Todėl būtina ieškoti kitų problemos sprendimo būdų.  </w:t>
      </w:r>
    </w:p>
    <w:p w:rsidR="00626711" w:rsidRPr="00F94DD1" w:rsidRDefault="00626711" w:rsidP="00626711">
      <w:pPr>
        <w:pStyle w:val="Betarp"/>
        <w:ind w:firstLine="720"/>
        <w:jc w:val="both"/>
      </w:pPr>
      <w:r w:rsidRPr="00F94DD1">
        <w:t xml:space="preserve">Narkotikų kontrolės departamento prie Lietuvos Respublikos Vyriausybės (toliau- Departamentas) duomenimis, Lietuvos Respublikos sveikatos apsaugos ministro 2007 m. rugpjūčio 1 d. įsakymu Nr. V-636 „Dėl asmenų, kurie kreipiasi į asmens sveikatos priežiūros įstaigas dėl psichikos ir elgesio sutrikimų, vartojant narkotines ir psichotropines medžiagas, stebėsenos tvarkos aprašo </w:t>
      </w:r>
      <w:r w:rsidRPr="00F94DD1">
        <w:lastRenderedPageBreak/>
        <w:t>patvirtinimo“ (Žin., 2007, Nr. 88-3496) įteisinta nauja stebėsenos sistema Lietuvoje, kuri turėjo pradėti veikti 2008 m. spalio 1 d.</w:t>
      </w:r>
    </w:p>
    <w:p w:rsidR="00626711" w:rsidRPr="00F94DD1" w:rsidRDefault="00626711" w:rsidP="00626711">
      <w:pPr>
        <w:pStyle w:val="Betarp"/>
        <w:ind w:firstLine="720"/>
        <w:jc w:val="both"/>
      </w:pPr>
      <w:r w:rsidRPr="00F94DD1">
        <w:t>2009 metais duomenys apie asmenis, kurie kreipiasi į asmens sveikatos priežiūros įstaigas dėl psichikos ir elgesio sutrikimų, vartojant narkotines ir psichotropines medžiagas, buvo renkami dar senąja sistema, nes neįvykdytas Lietuvos Respublikos sveikatos apsaugos ministro 2007 m. rugpjūčio 1 d. įsakymas Nr. V-636 „Dėl asmenų, kurie kreipiasi į asmens sveikatos priežiūros įstaigas dėl psichikos ir elgesio sutrikimų, vartojant narkotines ir psichotropines medžiagas, stebėsenos tvarkos aprašo patvirtinimo“ (Žin., 2007, Nr. 88-3496).</w:t>
      </w:r>
    </w:p>
    <w:p w:rsidR="00626711" w:rsidRPr="00F94DD1" w:rsidRDefault="00626711" w:rsidP="00626711">
      <w:pPr>
        <w:pStyle w:val="Betarp"/>
        <w:ind w:firstLine="720"/>
        <w:jc w:val="both"/>
        <w:rPr>
          <w:bCs/>
        </w:rPr>
      </w:pPr>
      <w:r w:rsidRPr="00513D5C">
        <w:t>Lietuvos Respublikos Sveikatos apsaugos ministerija 2009 –04-07 raštu Nr. 10-(10.1-22) – 2015 “Dėl klausimo” pateikė Komisijai informaciją</w:t>
      </w:r>
      <w:r w:rsidRPr="00F94DD1">
        <w:rPr>
          <w:bCs/>
        </w:rPr>
        <w:t xml:space="preserve">, kad Lietuvos Respublikos sveikatos apsaugos ministro 2008 m. gruodžio 31 d. įsakymo Nr. V-12888 “Dėl 2009 – 2012 metų priklausomybės ligų gydymo programos patvirtinimo” (Žin., 2009, Nr. 4-108) informavo, kad Lietuvos Respublikos sveikatos apsaugos ministerija gavo Lietuvos respublikos specialiųjų tyrimų tarnybos 2009- 03-03mraštą Nr.4-01-677, kuriame nurodoma, kad buvo atliktas minėtos programos antikorupcinis vertinimas. Pastabų dėl galimos korupcijos minėta institucija nepateikė. </w:t>
      </w:r>
    </w:p>
    <w:p w:rsidR="00626711" w:rsidRPr="00F94DD1" w:rsidRDefault="00626711" w:rsidP="00626711">
      <w:pPr>
        <w:pStyle w:val="Betarp"/>
        <w:ind w:firstLine="720"/>
        <w:jc w:val="both"/>
      </w:pPr>
      <w:r w:rsidRPr="00F94DD1">
        <w:t>Rašte nurodyta, kad Valstybinio psichikos sveikatos centro duomenimis 2010 m. sausio 1 d. asmens sveikatos priežiūros įstaigose dėl psichikos ir elgesio sutrikimų, vartojant narkotines ir psichotropines medžiagas viso registruoti 5953 asmenys (2008 m. – 5808 asmenys). Iš jų: vaikų registruota : 2009 m. – 11 asmenų; 2008 m – 15 asmenų, 2007 m. – 11 asmenų, 2006 m. – 19 asmenų. 2009 metais ligotumas narkomanija sudarė 178,9 atv. 100 tūkst. gyventojų (2008 m. – 172,5 atv./ 100 tūkst. gyventojų).</w:t>
      </w:r>
    </w:p>
    <w:p w:rsidR="00626711" w:rsidRPr="00F94DD1" w:rsidRDefault="00626711" w:rsidP="00626711">
      <w:pPr>
        <w:pStyle w:val="Betarp"/>
        <w:ind w:firstLine="720"/>
        <w:jc w:val="both"/>
        <w:rPr>
          <w:bCs/>
        </w:rPr>
      </w:pPr>
      <w:r w:rsidRPr="00F94DD1">
        <w:rPr>
          <w:bCs/>
        </w:rPr>
        <w:t>2009 m. asmens sveikatos priežiūros įstaigose pirmą kartą dėl psichikos ir elgesio sutrikimų , vartojant narkotines ar psichotropines medžiagas, į sveikatos priežiūros įstaigas kreipėsi išbuvo registruoti 354 asmenys ( 2008 m. – 272, 2007 m. – 318).  Iš jų vaikų viso registruota : 2009 m. – 6 asm., 2008 m. – 10 asm., 2007 m. – 6 asm., 2006 m. – 12 asm.</w:t>
      </w:r>
    </w:p>
    <w:p w:rsidR="00626711" w:rsidRPr="00F94DD1" w:rsidRDefault="00626711" w:rsidP="00626711">
      <w:pPr>
        <w:pStyle w:val="Betarp"/>
        <w:ind w:firstLine="720"/>
        <w:jc w:val="both"/>
      </w:pPr>
      <w:r w:rsidRPr="00F94DD1">
        <w:t xml:space="preserve">2009 m. sergamumas narkomanijos sudarė 10,4 atv. 100 tūkst. gyventojų ( 2008 m. 8,1 atv./100 tūkst. gyventojų) ir buvo mažesnis už pastarųjų 7 metų vidurkį – 11,5 atv. 100 tūkst. gyventojų. </w:t>
      </w:r>
    </w:p>
    <w:p w:rsidR="00626711" w:rsidRPr="00F94DD1" w:rsidRDefault="00626711" w:rsidP="00626711">
      <w:pPr>
        <w:pStyle w:val="Betarp"/>
        <w:ind w:firstLine="720"/>
        <w:jc w:val="both"/>
      </w:pPr>
      <w:r w:rsidRPr="00F94DD1">
        <w:t xml:space="preserve">Pvz., Vilniaus priklausomybės ligų centro duomenimis 2010 sausio 1d. Lietuvoje pakaitinio gydymo programose metadonu ir buprenorfinu dalyvavo 562 asmenys (2009 metų sausio 1d. 512 asmenų). Per 2009 metus pakaitinis gydymas buvo taikytas 815  asmenų, per 2008 metus – 872 asmenims. </w:t>
      </w:r>
    </w:p>
    <w:p w:rsidR="00626711" w:rsidRPr="00F94DD1" w:rsidRDefault="00626711" w:rsidP="00626711">
      <w:pPr>
        <w:pStyle w:val="Betarp"/>
        <w:ind w:firstLine="720"/>
        <w:jc w:val="both"/>
        <w:rPr>
          <w:bCs/>
        </w:rPr>
      </w:pPr>
      <w:r w:rsidRPr="00F94DD1">
        <w:rPr>
          <w:bCs/>
        </w:rPr>
        <w:t xml:space="preserve">Sveikatos apsaugos ministerija pateikė Komisijai informaciją apie 2005 – 2008 m. priklausomybės ligų programos, patvirtintos Lietuvos Respublikos sveikatos apsaugos ministro 2005 m. kovo 22 d. įsakymu Nr. V-182 (Žin., Nr. 43-1380) įgyvendinimą. </w:t>
      </w:r>
    </w:p>
    <w:p w:rsidR="00626711" w:rsidRPr="00F94DD1" w:rsidRDefault="00626711" w:rsidP="00626711">
      <w:pPr>
        <w:pStyle w:val="Betarp"/>
        <w:ind w:firstLine="720"/>
        <w:jc w:val="both"/>
      </w:pPr>
      <w:r w:rsidRPr="00F94DD1">
        <w:t xml:space="preserve">Valstybinė ligonių kasa prie Sveikatos apsaugos ministerijos 2009- 03 –13 raštu Nr. 4K-52-1570 Sveikatos apsaugos ministerija informavo, kad 2005 m. buvo skirta – 1500 tūkst. Lt, įsisavinta – 1280 tūkst. Lt, 2006 m. skirta tiek pat, įsisavinta – 1401,1 tūkst. lt, 2007 m. skirta 1800 tūkst. lt, įsisavinta – 1738,9 tūkst. Lt, 2008 m. skirta – 2160 tūkst. Lt, įsisavinta – 2155,3 tūkst. lt.  </w:t>
      </w:r>
    </w:p>
    <w:p w:rsidR="00626711" w:rsidRPr="00F94DD1" w:rsidRDefault="00626711" w:rsidP="00626711">
      <w:pPr>
        <w:pStyle w:val="Betarp"/>
        <w:ind w:left="720"/>
        <w:jc w:val="both"/>
        <w:rPr>
          <w:bCs/>
        </w:rPr>
      </w:pPr>
      <w:r w:rsidRPr="00F94DD1">
        <w:rPr>
          <w:bCs/>
        </w:rPr>
        <w:t>Valstybinis psichikos sveikatos centras 2009 m. kovo 17 d. raštu Nr. 20V-114 informavo dėl 2005 – 2008 m. priklausomybės ligų programos vykdymo laukiamų rezultatų:</w:t>
      </w:r>
    </w:p>
    <w:p w:rsidR="00626711" w:rsidRPr="00F94DD1" w:rsidRDefault="00626711" w:rsidP="00626711">
      <w:pPr>
        <w:pStyle w:val="Betarp"/>
        <w:ind w:firstLine="720"/>
        <w:jc w:val="both"/>
      </w:pPr>
      <w:r w:rsidRPr="00F94DD1">
        <w:t xml:space="preserve"> Pasiektų ilgalaikių remisijų skaičius. Priklausomybės ligų centro duomenimis 2005 – 20008 metų laikotarpiu didėjo pasiektų ilgalaikių remisijų skaičius. Nuo 2005 m. iki 2008 m. jis išaugo 102,4 proc. </w:t>
      </w:r>
    </w:p>
    <w:p w:rsidR="00626711" w:rsidRPr="00F94DD1" w:rsidRDefault="00626711" w:rsidP="00626711">
      <w:pPr>
        <w:pStyle w:val="Betarp"/>
        <w:ind w:firstLine="720"/>
        <w:jc w:val="both"/>
      </w:pPr>
      <w:r w:rsidRPr="00F94DD1">
        <w:t>Pasiektų remisijų skaičius (F10- F19) :</w:t>
      </w:r>
    </w:p>
    <w:p w:rsidR="00626711" w:rsidRPr="00F94DD1" w:rsidRDefault="00626711" w:rsidP="00626711">
      <w:pPr>
        <w:pStyle w:val="Betarp"/>
        <w:jc w:val="both"/>
      </w:pPr>
      <w:r w:rsidRPr="00F94DD1">
        <w:t>2005 m. – 1078asmenų;</w:t>
      </w:r>
    </w:p>
    <w:p w:rsidR="00626711" w:rsidRPr="00F94DD1" w:rsidRDefault="00626711" w:rsidP="00626711">
      <w:pPr>
        <w:pStyle w:val="Betarp"/>
        <w:jc w:val="both"/>
      </w:pPr>
      <w:r w:rsidRPr="00F94DD1">
        <w:t>2006 m. – 1194 asmenys;</w:t>
      </w:r>
    </w:p>
    <w:p w:rsidR="00626711" w:rsidRPr="00F94DD1" w:rsidRDefault="00626711" w:rsidP="00626711">
      <w:pPr>
        <w:pStyle w:val="Betarp"/>
        <w:jc w:val="both"/>
      </w:pPr>
      <w:r w:rsidRPr="00F94DD1">
        <w:t>2007 m. – 1606 asmenys;</w:t>
      </w:r>
    </w:p>
    <w:p w:rsidR="00626711" w:rsidRPr="00F94DD1" w:rsidRDefault="00626711" w:rsidP="00626711">
      <w:pPr>
        <w:pStyle w:val="Betarp"/>
        <w:jc w:val="both"/>
      </w:pPr>
      <w:r w:rsidRPr="00F94DD1">
        <w:t>2008 m. – 2182 asmenys.</w:t>
      </w:r>
    </w:p>
    <w:p w:rsidR="00626711" w:rsidRPr="00F94DD1" w:rsidRDefault="00626711" w:rsidP="00626711">
      <w:pPr>
        <w:pStyle w:val="Betarp"/>
        <w:jc w:val="both"/>
      </w:pPr>
      <w:r w:rsidRPr="00F94DD1">
        <w:t xml:space="preserve">(Narkotikų kontrolės departamento prie Lietuvos Respublikos Vyriausybės už 2009 m. pateikti duomenys ) – 2050 asmenys. </w:t>
      </w:r>
    </w:p>
    <w:p w:rsidR="00626711" w:rsidRPr="00F94DD1" w:rsidRDefault="00626711" w:rsidP="00626711">
      <w:pPr>
        <w:pStyle w:val="Betarp"/>
        <w:ind w:firstLine="720"/>
        <w:jc w:val="both"/>
      </w:pPr>
      <w:r w:rsidRPr="00F94DD1">
        <w:rPr>
          <w:bCs/>
        </w:rPr>
        <w:t xml:space="preserve">Tame pačiame rašte nurodytas </w:t>
      </w:r>
      <w:r w:rsidRPr="000C0BD1">
        <w:rPr>
          <w:bCs/>
        </w:rPr>
        <w:t>naujai išaiškintų pacientų skaičius. Priklausomybės ligų centrų</w:t>
      </w:r>
      <w:r w:rsidRPr="00F94DD1">
        <w:rPr>
          <w:b/>
          <w:bCs/>
        </w:rPr>
        <w:t xml:space="preserve"> </w:t>
      </w:r>
      <w:r w:rsidRPr="00F94DD1">
        <w:t xml:space="preserve">duomenimis 2005 – 2008 m. laikotarpiu nuolat augo naujai išaiškinamų pacientų, apsidraudusiųjų privalomuoju sveikatos draudimu, skaičius. Nuo 2005 m. iki 2008 m. tokių naujų pacientų padaugėjo 34, 95 proc. </w:t>
      </w:r>
    </w:p>
    <w:p w:rsidR="00626711" w:rsidRPr="00F94DD1" w:rsidRDefault="00626711" w:rsidP="00626711">
      <w:pPr>
        <w:pStyle w:val="Betarp"/>
        <w:ind w:firstLine="720"/>
        <w:jc w:val="both"/>
        <w:rPr>
          <w:b/>
          <w:bCs/>
        </w:rPr>
      </w:pPr>
      <w:r w:rsidRPr="00F94DD1">
        <w:rPr>
          <w:b/>
          <w:bCs/>
        </w:rPr>
        <w:t xml:space="preserve"> Naujai išaiškintų pacientų skaičius (F10- F19) :</w:t>
      </w:r>
    </w:p>
    <w:p w:rsidR="00626711" w:rsidRPr="00F94DD1" w:rsidRDefault="00626711" w:rsidP="00626711">
      <w:pPr>
        <w:pStyle w:val="Betarp"/>
        <w:jc w:val="both"/>
      </w:pPr>
      <w:r w:rsidRPr="00F94DD1">
        <w:lastRenderedPageBreak/>
        <w:t>2005 m. – 1825 asmenys;</w:t>
      </w:r>
    </w:p>
    <w:p w:rsidR="00626711" w:rsidRPr="00F94DD1" w:rsidRDefault="00626711" w:rsidP="00626711">
      <w:pPr>
        <w:pStyle w:val="Betarp"/>
        <w:jc w:val="both"/>
      </w:pPr>
      <w:r w:rsidRPr="00F94DD1">
        <w:t>2006 m. – 2093 asmenys;</w:t>
      </w:r>
    </w:p>
    <w:p w:rsidR="00626711" w:rsidRPr="00F94DD1" w:rsidRDefault="00626711" w:rsidP="00626711">
      <w:pPr>
        <w:pStyle w:val="Betarp"/>
        <w:jc w:val="both"/>
      </w:pPr>
      <w:r w:rsidRPr="00F94DD1">
        <w:t>2007 m. – 2442 asmenys;</w:t>
      </w:r>
    </w:p>
    <w:p w:rsidR="00626711" w:rsidRPr="00F94DD1" w:rsidRDefault="00626711" w:rsidP="00626711">
      <w:pPr>
        <w:pStyle w:val="Betarp"/>
        <w:jc w:val="both"/>
      </w:pPr>
      <w:r w:rsidRPr="00F94DD1">
        <w:t>2008 m. – 2463 asmenys.</w:t>
      </w:r>
    </w:p>
    <w:p w:rsidR="00626711" w:rsidRPr="00F94DD1" w:rsidRDefault="00626711" w:rsidP="00626711">
      <w:pPr>
        <w:pStyle w:val="Betarp"/>
        <w:ind w:firstLine="720"/>
        <w:jc w:val="both"/>
      </w:pPr>
      <w:r w:rsidRPr="00F94DD1">
        <w:rPr>
          <w:b/>
          <w:bCs/>
        </w:rPr>
        <w:t xml:space="preserve">Išrašyti iš įskaitos asmenys. </w:t>
      </w:r>
      <w:r w:rsidRPr="00F94DD1">
        <w:t xml:space="preserve">Priklausomybės ligų centrų duomenimis 2005 m. – 20008 m. laikotarpiu daugėjo asmenų, vartojančių alkoholį ir narkotikus, išrašytų iš įskaitos, skaičius. </w:t>
      </w:r>
    </w:p>
    <w:p w:rsidR="00626711" w:rsidRPr="00F94DD1" w:rsidRDefault="00626711" w:rsidP="00626711">
      <w:pPr>
        <w:pStyle w:val="Betarp"/>
        <w:jc w:val="both"/>
        <w:rPr>
          <w:b/>
          <w:bCs/>
        </w:rPr>
      </w:pPr>
      <w:r w:rsidRPr="00F94DD1">
        <w:t xml:space="preserve"> </w:t>
      </w:r>
      <w:r>
        <w:tab/>
      </w:r>
      <w:r w:rsidRPr="00F94DD1">
        <w:rPr>
          <w:b/>
          <w:bCs/>
        </w:rPr>
        <w:t>Asmenų, vartojančių alkoholį ir narkotikus, išrašytų iš įskaitos, skaičius:</w:t>
      </w:r>
    </w:p>
    <w:p w:rsidR="00626711" w:rsidRPr="00F94DD1" w:rsidRDefault="00626711" w:rsidP="00626711">
      <w:pPr>
        <w:pStyle w:val="Betarp"/>
        <w:jc w:val="both"/>
        <w:rPr>
          <w:b/>
          <w:bCs/>
        </w:rPr>
      </w:pPr>
      <w:r w:rsidRPr="00F94DD1">
        <w:rPr>
          <w:b/>
          <w:bCs/>
        </w:rPr>
        <w:t>2005 m. – 979 asmenys;</w:t>
      </w:r>
    </w:p>
    <w:p w:rsidR="00626711" w:rsidRPr="00F94DD1" w:rsidRDefault="00626711" w:rsidP="00626711">
      <w:pPr>
        <w:pStyle w:val="Betarp"/>
        <w:jc w:val="both"/>
        <w:rPr>
          <w:b/>
          <w:bCs/>
        </w:rPr>
      </w:pPr>
      <w:r w:rsidRPr="00F94DD1">
        <w:rPr>
          <w:b/>
          <w:bCs/>
        </w:rPr>
        <w:t>2006 m. – 345 asmenys;</w:t>
      </w:r>
    </w:p>
    <w:p w:rsidR="00626711" w:rsidRPr="00F94DD1" w:rsidRDefault="00626711" w:rsidP="00626711">
      <w:pPr>
        <w:pStyle w:val="Betarp"/>
        <w:jc w:val="both"/>
        <w:rPr>
          <w:b/>
          <w:bCs/>
        </w:rPr>
      </w:pPr>
      <w:r w:rsidRPr="00F94DD1">
        <w:rPr>
          <w:b/>
          <w:bCs/>
        </w:rPr>
        <w:t xml:space="preserve"> 2007 m. – 1666 asmenys;</w:t>
      </w:r>
    </w:p>
    <w:p w:rsidR="00626711" w:rsidRPr="00F94DD1" w:rsidRDefault="00626711" w:rsidP="00626711">
      <w:pPr>
        <w:pStyle w:val="Betarp"/>
        <w:jc w:val="both"/>
        <w:rPr>
          <w:b/>
          <w:bCs/>
        </w:rPr>
      </w:pPr>
      <w:r w:rsidRPr="00F94DD1">
        <w:rPr>
          <w:b/>
          <w:bCs/>
        </w:rPr>
        <w:t xml:space="preserve"> 2008 m. – 1469 asmenys.</w:t>
      </w:r>
    </w:p>
    <w:p w:rsidR="00626711" w:rsidRPr="00F94DD1" w:rsidRDefault="00626711" w:rsidP="00626711">
      <w:pPr>
        <w:pStyle w:val="Betarp"/>
        <w:ind w:firstLine="720"/>
        <w:jc w:val="both"/>
        <w:rPr>
          <w:b/>
          <w:bCs/>
        </w:rPr>
      </w:pPr>
      <w:r w:rsidRPr="00F94DD1">
        <w:t>Asmenų, apsidraudusių privalomuoju sveikatos draudimu ir gydytų dėl abstinencijos ir priklausomybės sindromo stacionare ir ambulatoriškai,  skaičius 2005 – 2008 metų laikotarpiu išaugo 126,07 proc. Daugiau pacientų buvo gydyta tiek stacionare (daugėjo 166, 6 proc. ), tiek ambulatoriškai (daugėjo 101, 65 proc.). 2005 – 2008 m. laikotarpiu itin ženkliai , net 7 kartus. Padidėjo gydytų vaikų iki 18 metų skaičius, tiek ambulatoriškai (14 kartų), tiek ir stacionare(10,75 karto). Šiaulių priklausomybės ligų centras neišskyrė apsidraudusiųjų privalomuoju sveikatos draudimu pacientų, todėl jų duomenys bendri.</w:t>
      </w:r>
      <w:r w:rsidRPr="00F94DD1">
        <w:rPr>
          <w:b/>
          <w:bCs/>
        </w:rPr>
        <w:t xml:space="preserve"> </w:t>
      </w:r>
    </w:p>
    <w:p w:rsidR="00626711" w:rsidRPr="000C0BD1" w:rsidRDefault="00626711" w:rsidP="00626711">
      <w:pPr>
        <w:pStyle w:val="Betarp"/>
        <w:ind w:firstLine="720"/>
        <w:jc w:val="both"/>
        <w:rPr>
          <w:bCs/>
        </w:rPr>
      </w:pPr>
      <w:r w:rsidRPr="000C0BD1">
        <w:rPr>
          <w:bCs/>
        </w:rPr>
        <w:t>Nagrinėjant naujų pacientų gydymą bendradarbiaujant su psichikos sveikatos centrais, darbo biržomis, nevyriausybinėmis organizacijomis, situacija yra tokia:</w:t>
      </w:r>
    </w:p>
    <w:p w:rsidR="00626711" w:rsidRPr="00F94DD1" w:rsidRDefault="00626711" w:rsidP="00626711">
      <w:pPr>
        <w:pStyle w:val="Betarp"/>
        <w:ind w:firstLine="720"/>
        <w:jc w:val="both"/>
        <w:rPr>
          <w:bCs/>
        </w:rPr>
      </w:pPr>
      <w:r w:rsidRPr="00F94DD1">
        <w:rPr>
          <w:bCs/>
        </w:rPr>
        <w:t xml:space="preserve">Vilniaus priklausomybės ligų centras (toliau – VPLC) nurodė, kad nedraustiems privalomuoju sveikatos draudimu pacientams teikė socialinio darbuotojo konsultacijas, nukreipdavo į darbo biržą. Visiems dėl alkoholio ar narkotikų problemų konsultuotiems pacientams rekomendavo lankytis savipagalbos organizacijoje 9anoniminių alkoholikų, ar anoniminių narkomanų). Vilniaus priklausomybės ligų centras yra sudaręs bendradarbiavimo sutartis su 6 Vilniaus miesto, Vilniaus rajono bei Druskininkų pirminės sveikatos priežiūros centrais dėl asmenų, vartojančių narkotines ir psichotropines medžiagas, ankstyvosios diagnostikos priemonių bei medikamentų šiose įstaigose apmokėjimo. Į Vilniaus miesto ir rajono pirminės sveikatos priežiūros centrus nuolat siunčiami pacientai tęsti gydymo. VPLC kartu su Narkotikų kontrolės departamentu prie Lietuvos Respublikos Vyriausybės bei nevyriausybinėmis organizacijomis “Agapao”, “Vilties švyturys”, “Apsisprendimas”, Lietuvos narkomanų reabilitacijos bendruomenių asociacija 2005 – 2007 metais dalyvavo Europos Sąjungos reintegracijos projekte “Asmenų, priklausomų nuo narkotinių ir psichotropinių medžiagų vartojimo reintegracija į visuomenę ir darbo rinką: socialinės atskirties problemų sprendimas” , kurį vykdant 240 asmenų gavo papildomas socialinės reintegracijos paslaugas, mokėsi socialinių įgūdžių, darbo su kompiuteriu pradmenų bei anglų kalbos. Bendradarbiaujant su nevyriausybiniu  ekspertų koalicija “Galiu gyventi” pacientus konsultavo teisininkas. VPLC sudaręs bendradarbiavimo sutartį su Pataisos inspekcija dėl teismo įpareigotų gydytis asmenų gydymo.  </w:t>
      </w:r>
    </w:p>
    <w:p w:rsidR="00626711" w:rsidRPr="00F94DD1" w:rsidRDefault="00626711" w:rsidP="00626711">
      <w:pPr>
        <w:pStyle w:val="Betarp"/>
        <w:ind w:firstLine="720"/>
        <w:jc w:val="both"/>
        <w:rPr>
          <w:bCs/>
        </w:rPr>
      </w:pPr>
      <w:r w:rsidRPr="00F94DD1">
        <w:rPr>
          <w:bCs/>
        </w:rPr>
        <w:t xml:space="preserve">Kauno apskrities priklausomybės ligų centras 2005 – 2008 metų laikotarpiu 238 naujai išaiškintus pacientus siuntė į psichikos sveikatos centrus tolimesniam gydymui, 59 pacientus į ilgalaikės reabilitacijos įstaigas, 187 pacientus į darbo biržą. </w:t>
      </w:r>
    </w:p>
    <w:p w:rsidR="00626711" w:rsidRPr="00F94DD1" w:rsidRDefault="00626711" w:rsidP="00626711">
      <w:pPr>
        <w:pStyle w:val="Betarp"/>
        <w:ind w:firstLine="720"/>
        <w:jc w:val="both"/>
      </w:pPr>
      <w:r w:rsidRPr="00F94DD1">
        <w:t xml:space="preserve">Klaipėdos priklausomybės ligų centras 2005 – 2008 metų laikotarpiu į ilgalaikės reabilitacijos įstaigas 2005 m. siuntė 20 asmenų, 2006 m. – 26, 2007 m. – 41, 2008 m. – 35 asmenis. </w:t>
      </w:r>
    </w:p>
    <w:p w:rsidR="00626711" w:rsidRPr="00F94DD1" w:rsidRDefault="00626711" w:rsidP="00626711">
      <w:pPr>
        <w:pStyle w:val="Betarp"/>
        <w:jc w:val="both"/>
      </w:pPr>
      <w:r w:rsidRPr="00F94DD1">
        <w:tab/>
        <w:t xml:space="preserve">Panevėžio apskrities  priklausomybės ligų centro duomenimis 2005 – 2008 m. laikotarpiu bendradarbiaujant su psichikos sveikatos centrais iš viso gydytas 81 nauja pacientas: 2005 m. 20; 2006 m. – 12; 2007m. –35; 2008 m. – 14 asmenų. </w:t>
      </w:r>
    </w:p>
    <w:p w:rsidR="00626711" w:rsidRPr="00F94DD1" w:rsidRDefault="00626711" w:rsidP="00626711">
      <w:pPr>
        <w:pStyle w:val="Betarp"/>
        <w:ind w:firstLine="720"/>
        <w:jc w:val="both"/>
      </w:pPr>
      <w:r w:rsidRPr="00F94DD1">
        <w:t xml:space="preserve">Šiaulių apskrities priklausomybės ligų centro duomenimis bendradarbiaujant su psichikos sveikatos centrais ar šeimos gydytojais gydytas: 2005 m. 169; 2006 m. – 179; 2007 m. 163; 2008 m. – 171 naujas pacientas (neišskiriant draustų privalomuoju sveikatos draudimu ar nedraustų). Į psichosocialinės reabilitacijos centrus išsiųsti 2006 m. – 4; 2007 m. – 7; 2008 m. –5 pacientai. </w:t>
      </w:r>
    </w:p>
    <w:p w:rsidR="00626711" w:rsidRPr="000C0BD1" w:rsidRDefault="00626711" w:rsidP="00626711">
      <w:pPr>
        <w:pStyle w:val="Betarp"/>
        <w:jc w:val="both"/>
        <w:rPr>
          <w:bCs/>
        </w:rPr>
      </w:pPr>
      <w:r w:rsidRPr="00F94DD1">
        <w:t xml:space="preserve"> </w:t>
      </w:r>
      <w:r>
        <w:tab/>
      </w:r>
      <w:r w:rsidRPr="00F94DD1">
        <w:t xml:space="preserve"> Alkoholinių psichozių skaičius Lietuvoje vis augo. 2005 m. alkoholinių psichozių rodiklis 100 000 gyventojų siekė 89, 8 atvejo, o 2007 m. išaugo iki 111,0 atvejo /100 000 gyventojų.  </w:t>
      </w:r>
      <w:r w:rsidRPr="000C0BD1">
        <w:rPr>
          <w:bCs/>
        </w:rPr>
        <w:t xml:space="preserve">2005 m. į psichiatrijos ligonines dėl alkoholinių psichozių kreipėsi 1122 asmenys, 2007 m. – 1456; 2008 m. – 1217 asmenys. </w:t>
      </w:r>
    </w:p>
    <w:p w:rsidR="00626711" w:rsidRPr="00F94DD1" w:rsidRDefault="00626711" w:rsidP="00626711">
      <w:pPr>
        <w:pStyle w:val="Betarp"/>
        <w:ind w:firstLine="720"/>
        <w:jc w:val="both"/>
        <w:rPr>
          <w:bCs/>
        </w:rPr>
      </w:pPr>
      <w:r w:rsidRPr="00F94DD1">
        <w:rPr>
          <w:bCs/>
        </w:rPr>
        <w:t xml:space="preserve">Lietuvos sveikatos informacijos centro duomenimis palaipsniu mažėjo asmenų, gydytų dėl alkoholio toksinio poveikio ( TLK T51- T51.9), rodiklis: 2005 m. – 77,8/100 000 gyventojų  iki </w:t>
      </w:r>
      <w:r w:rsidRPr="00F94DD1">
        <w:rPr>
          <w:bCs/>
        </w:rPr>
        <w:lastRenderedPageBreak/>
        <w:t xml:space="preserve">72,3/100 000 gyventojų – 2008 m. Sumažėjo gydytų ir dėl ūmios alkoholinės intoksikacijos (TLK F10.0) rodikliai: 2005 m. –14,8/100 000 gyventojų iki 11,3 /100 000 gyventojų – 2008 m. </w:t>
      </w:r>
    </w:p>
    <w:p w:rsidR="00626711" w:rsidRPr="00F94DD1" w:rsidRDefault="00626711" w:rsidP="00626711">
      <w:pPr>
        <w:pStyle w:val="Betarp"/>
        <w:jc w:val="both"/>
      </w:pPr>
      <w:r w:rsidRPr="00F94DD1">
        <w:t xml:space="preserve">Savižudybių dažnio rodiklis 100 000 gyventojų kasmet palaipsniui mažėjo: 2005 m. – 38,6 atvejo; 2006 m. – 30,9 atvejo; 2007 m. – 30,4 atvejai. </w:t>
      </w:r>
    </w:p>
    <w:p w:rsidR="00626711" w:rsidRPr="000C0BD1" w:rsidRDefault="00626711" w:rsidP="00626711">
      <w:pPr>
        <w:pStyle w:val="Betarp"/>
        <w:jc w:val="both"/>
        <w:rPr>
          <w:bCs/>
        </w:rPr>
      </w:pPr>
      <w:r w:rsidRPr="000C0BD1">
        <w:rPr>
          <w:bCs/>
        </w:rPr>
        <w:t>Mirčių nuo narkotinių ir psichotropinių medžiagų vartojimo skaičius didėjo 2005 m. –</w:t>
      </w:r>
      <w:r>
        <w:rPr>
          <w:bCs/>
        </w:rPr>
        <w:t xml:space="preserve"> </w:t>
      </w:r>
      <w:r w:rsidRPr="000C0BD1">
        <w:rPr>
          <w:bCs/>
        </w:rPr>
        <w:t>31; 2006 m. –</w:t>
      </w:r>
      <w:r>
        <w:rPr>
          <w:bCs/>
        </w:rPr>
        <w:t xml:space="preserve"> </w:t>
      </w:r>
      <w:r w:rsidRPr="000C0BD1">
        <w:rPr>
          <w:bCs/>
        </w:rPr>
        <w:t xml:space="preserve"> 62; 2007 m. – 72 asmenys, tačiau, tai sietina ir su pagerėjusia statistine apskaita.  </w:t>
      </w:r>
    </w:p>
    <w:p w:rsidR="00626711" w:rsidRDefault="00626711" w:rsidP="00626711">
      <w:pPr>
        <w:pStyle w:val="Betarp"/>
        <w:jc w:val="both"/>
      </w:pPr>
    </w:p>
    <w:p w:rsidR="00626711" w:rsidRPr="000C0BD1" w:rsidRDefault="00626711" w:rsidP="00626711">
      <w:pPr>
        <w:pStyle w:val="Betarp"/>
        <w:jc w:val="both"/>
        <w:rPr>
          <w:b/>
          <w:bCs/>
        </w:rPr>
      </w:pPr>
      <w:r w:rsidRPr="00F94DD1">
        <w:tab/>
      </w:r>
      <w:r w:rsidRPr="000C0BD1">
        <w:rPr>
          <w:b/>
          <w:bCs/>
        </w:rPr>
        <w:t>2010 metais spalio mėn.</w:t>
      </w:r>
      <w:r w:rsidRPr="000C0BD1">
        <w:rPr>
          <w:b/>
        </w:rPr>
        <w:t xml:space="preserve"> </w:t>
      </w:r>
      <w:r w:rsidRPr="000C0BD1">
        <w:rPr>
          <w:b/>
          <w:bCs/>
        </w:rPr>
        <w:t xml:space="preserve">Komisijai pateikė apibendrintą informaciją Departamentas, kuris parengė informacija pagal Valstybinio psichikos sveikatos centro pateiktus duomenis apie Ligotumo narkomanija situacija Lietuvoje 2009 metais. </w:t>
      </w:r>
    </w:p>
    <w:p w:rsidR="00626711" w:rsidRPr="00F94DD1" w:rsidRDefault="00626711" w:rsidP="00626711">
      <w:pPr>
        <w:pStyle w:val="Betarp"/>
        <w:jc w:val="both"/>
        <w:rPr>
          <w:b/>
          <w:bCs/>
        </w:rPr>
      </w:pPr>
    </w:p>
    <w:p w:rsidR="00626711" w:rsidRPr="00F94DD1" w:rsidRDefault="00626711" w:rsidP="00626711">
      <w:pPr>
        <w:pStyle w:val="Betarp"/>
        <w:ind w:firstLine="720"/>
        <w:jc w:val="both"/>
        <w:rPr>
          <w:bCs/>
        </w:rPr>
      </w:pPr>
      <w:r w:rsidRPr="00F94DD1">
        <w:rPr>
          <w:bCs/>
        </w:rPr>
        <w:t xml:space="preserve">Departamentas analizavo Valstybinio psichikos sveikatos centro duomenis apie visus iki 2010 m. sausio 1 d. asmens sveikatos priežiūros įstaigose registruotus asmenis, kuriems buvo diagnozuoti psichikos ir elgesio sutrikimai, vartojant narkotines ir psichotropines medžiagas (Tarptautinės ligų klasifikacijos 10 redakcijoje (TLK-10) šie sveikatos sutrikimai žymimi kodais F11, F12, F13, F14, F15, F16, F18, F19). </w:t>
      </w:r>
    </w:p>
    <w:p w:rsidR="00626711" w:rsidRPr="00F94DD1" w:rsidRDefault="00626711" w:rsidP="00626711">
      <w:pPr>
        <w:pStyle w:val="Betarp"/>
        <w:ind w:firstLine="720"/>
        <w:jc w:val="both"/>
      </w:pPr>
      <w:r w:rsidRPr="00F94DD1">
        <w:t xml:space="preserve">Ligotumas narkomanija - asmens sveikatos priežiūros įstaigose registruotų visų asmenų, kuriems buvo diagnozuoti psichikos ir elgesio sutrikimai, vartojant narkotines ir psichotropines medžiagas, skaičius tenkantis 100 tūkstančių gyventojų (atv./100 tūkst. gyv.) sausio 1 d.  </w:t>
      </w:r>
    </w:p>
    <w:p w:rsidR="00626711" w:rsidRPr="00F94DD1" w:rsidRDefault="00626711" w:rsidP="00626711">
      <w:pPr>
        <w:pStyle w:val="Betarp"/>
        <w:ind w:firstLine="720"/>
        <w:jc w:val="both"/>
      </w:pPr>
      <w:r w:rsidRPr="00F94DD1">
        <w:t>Lietuvos asmens sveikatos priežiūros įstaigose 2010 m. sausio 1 d. iš viso buvo registruoti 66 872 asmenys (8 760 moterų ir 58 112 vyrų), turintys psichikos ir elgesio sutrikimų, vartojant psichoaktyviąsias medžiagas (Tarptautinės ligų klasifikacijos  (TLK) kodai F10-F19). Iš jų 60 918 asmenų (91,1 proc.) registruoti dėl psichikos ir elgesio sutrikimų, vartojant alkoholį (kodas F10) ir 5953 asmenys (8,9 proc.) – dėl psichikos ir elgesio sutrikimų, vartojant narkotines ir psichotropines medžiagas   bei 1 – dėl psichikos ir elgesio sutrikimų, vartojant tabaką (TLK kodas F17). (5.4 pav.).</w:t>
      </w:r>
    </w:p>
    <w:p w:rsidR="00626711" w:rsidRPr="00F94DD1" w:rsidRDefault="00626711" w:rsidP="00626711">
      <w:pPr>
        <w:pStyle w:val="Betarp"/>
        <w:jc w:val="both"/>
      </w:pPr>
      <w:r w:rsidRPr="00F94DD1">
        <w:t>Ligotumas narkomanija 2009 m. Lietuvoje buvo – 178,9 atv./100 tūkst. gyv. (3,4 procento daugiau nei 2008 metais). Ligotumo narkomanija augimo tempai šalyje nuo 2000 metų tolygiai mažėja. 2001 metais ligotumas narkomanija per metus, lyginant su 2000 metais, padidėjo 23 proc., 2002 m. – 7,8 proc., 2003 m. – 7,1 proc., 2004 m. – 7,3 proc., 2005 m. – 8,8 proc., 2006 m. – 3,1 proc., 2007 m. – 3,7 proc., 2008 m. – 2,2 proc., 2009 m. – 3,4 proc.</w:t>
      </w:r>
    </w:p>
    <w:p w:rsidR="00626711" w:rsidRPr="00C301EA" w:rsidRDefault="00626711" w:rsidP="00626711">
      <w:pPr>
        <w:jc w:val="both"/>
      </w:pPr>
    </w:p>
    <w:p w:rsidR="00626711" w:rsidRPr="00C301EA" w:rsidRDefault="00626711" w:rsidP="00626711">
      <w:pPr>
        <w:jc w:val="both"/>
        <w:rPr>
          <w:bCs/>
          <w:i/>
          <w:iCs/>
        </w:rPr>
      </w:pPr>
      <w:r w:rsidRPr="00C301EA">
        <w:rPr>
          <w:i/>
        </w:rPr>
        <w:t xml:space="preserve">1 pav. </w:t>
      </w:r>
      <w:r w:rsidRPr="00C301EA">
        <w:rPr>
          <w:bCs/>
          <w:i/>
          <w:iCs/>
        </w:rPr>
        <w:t>Ligotumo narkomanija bei visų asmenų, registruotų dėl psichikos ir elgesio sutrikimų, vartojant narkotines arba psichotropines medžiagas, skaičiaus dinamika 2000–2009 m. Lietuvoje</w:t>
      </w:r>
    </w:p>
    <w:p w:rsidR="00626711" w:rsidRPr="00C301EA" w:rsidRDefault="00626711" w:rsidP="00626711">
      <w:pPr>
        <w:jc w:val="both"/>
        <w:rPr>
          <w:bCs/>
          <w:i/>
          <w:iCs/>
        </w:rPr>
      </w:pPr>
      <w:r>
        <w:rPr>
          <w:bCs/>
          <w:i/>
          <w:iCs/>
          <w:noProof/>
          <w:lang w:eastAsia="lt-LT"/>
        </w:rPr>
        <w:drawing>
          <wp:inline distT="0" distB="0" distL="0" distR="0">
            <wp:extent cx="5848350" cy="3905250"/>
            <wp:effectExtent l="0" t="0" r="0" b="0"/>
            <wp:docPr id="112" name="Diagrama 1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rsidR="00626711" w:rsidRPr="00C301EA" w:rsidRDefault="00626711" w:rsidP="00626711">
      <w:pPr>
        <w:jc w:val="both"/>
        <w:rPr>
          <w:i/>
        </w:rPr>
      </w:pPr>
      <w:r w:rsidRPr="00C301EA">
        <w:rPr>
          <w:i/>
        </w:rPr>
        <w:t>Valstybinio psichikos sveikatos centro duomenys</w:t>
      </w:r>
    </w:p>
    <w:p w:rsidR="00626711" w:rsidRPr="00C301EA" w:rsidRDefault="00626711" w:rsidP="00626711">
      <w:pPr>
        <w:jc w:val="both"/>
      </w:pPr>
    </w:p>
    <w:p w:rsidR="00626711" w:rsidRPr="00C301EA" w:rsidRDefault="00626711" w:rsidP="00626711">
      <w:pPr>
        <w:jc w:val="both"/>
      </w:pPr>
      <w:r w:rsidRPr="00C301EA">
        <w:t>Pasiskirstymas pagal amžių ir lytį</w:t>
      </w:r>
    </w:p>
    <w:p w:rsidR="00626711" w:rsidRPr="00C301EA" w:rsidRDefault="00626711" w:rsidP="00626711">
      <w:pPr>
        <w:jc w:val="both"/>
      </w:pPr>
    </w:p>
    <w:p w:rsidR="00626711" w:rsidRPr="00C301EA" w:rsidRDefault="00626711" w:rsidP="00626711">
      <w:pPr>
        <w:jc w:val="both"/>
      </w:pPr>
      <w:r w:rsidRPr="00C301EA">
        <w:tab/>
        <w:t xml:space="preserve">Lietuvoje 2009 metais vyrų ligotumas narkomanija buvo 309,6 atv./100 tūkst. gyv., moterų ligotumas narkomanija buvo 62,9 atv./100 tūkst. gyv. Vyrų ligotumas narkomanija beveik penkis kartus (4,92 karto) didesnis nei moterų </w:t>
      </w:r>
    </w:p>
    <w:p w:rsidR="00626711" w:rsidRPr="00C301EA" w:rsidRDefault="00626711" w:rsidP="00626711">
      <w:pPr>
        <w:jc w:val="both"/>
        <w:rPr>
          <w:bCs/>
          <w:i/>
          <w:iCs/>
        </w:rPr>
      </w:pPr>
    </w:p>
    <w:p w:rsidR="00626711" w:rsidRPr="00C301EA" w:rsidRDefault="00626711" w:rsidP="00626711">
      <w:pPr>
        <w:jc w:val="both"/>
        <w:rPr>
          <w:bCs/>
          <w:i/>
          <w:iCs/>
        </w:rPr>
      </w:pPr>
      <w:r w:rsidRPr="00C301EA">
        <w:rPr>
          <w:bCs/>
          <w:i/>
          <w:iCs/>
        </w:rPr>
        <w:t>2  pav. Ligotumas narkomanija (atvejų sk./100 tūkst. gyv.) pagal lytį Lietuvoje 2000–2009 m.</w:t>
      </w:r>
    </w:p>
    <w:p w:rsidR="00626711" w:rsidRPr="00C301EA" w:rsidRDefault="00626711" w:rsidP="00626711">
      <w:pPr>
        <w:jc w:val="both"/>
        <w:rPr>
          <w:bCs/>
          <w:i/>
          <w:iCs/>
        </w:rPr>
      </w:pPr>
    </w:p>
    <w:p w:rsidR="00626711" w:rsidRPr="00C301EA" w:rsidRDefault="00626711" w:rsidP="00626711">
      <w:pPr>
        <w:jc w:val="both"/>
        <w:rPr>
          <w:bCs/>
          <w:i/>
          <w:iCs/>
        </w:rPr>
      </w:pPr>
      <w:r>
        <w:rPr>
          <w:bCs/>
          <w:i/>
          <w:iCs/>
          <w:noProof/>
          <w:lang w:eastAsia="lt-LT"/>
        </w:rPr>
        <w:drawing>
          <wp:inline distT="0" distB="0" distL="0" distR="0">
            <wp:extent cx="5238750" cy="2409825"/>
            <wp:effectExtent l="0" t="0" r="0" b="0"/>
            <wp:docPr id="111" name="Diagrama 1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rsidR="00626711" w:rsidRPr="00C301EA" w:rsidRDefault="00626711" w:rsidP="00626711">
      <w:pPr>
        <w:jc w:val="both"/>
        <w:rPr>
          <w:bCs/>
          <w:i/>
          <w:iCs/>
        </w:rPr>
      </w:pPr>
      <w:r w:rsidRPr="00C301EA">
        <w:rPr>
          <w:bCs/>
          <w:i/>
          <w:iCs/>
        </w:rPr>
        <w:t>Valstybinio psichikos sveikatos centro duomenys</w:t>
      </w:r>
    </w:p>
    <w:p w:rsidR="00626711" w:rsidRPr="00C301EA" w:rsidRDefault="00626711" w:rsidP="00626711">
      <w:pPr>
        <w:jc w:val="both"/>
        <w:rPr>
          <w:bCs/>
          <w:i/>
          <w:iCs/>
        </w:rPr>
      </w:pPr>
    </w:p>
    <w:p w:rsidR="00626711" w:rsidRPr="00C301EA" w:rsidRDefault="00626711" w:rsidP="00626711">
      <w:pPr>
        <w:jc w:val="both"/>
        <w:rPr>
          <w:i/>
          <w:highlight w:val="lightGray"/>
        </w:rPr>
      </w:pPr>
      <w:r w:rsidRPr="00C301EA">
        <w:rPr>
          <w:bCs/>
          <w:i/>
          <w:iCs/>
        </w:rPr>
        <w:t xml:space="preserve">3 pav. Registruotų asmenų, kuriems buvo diagnozuoti psichikos ir elgesio sutrikimai, vartojant narkotines ir psichotropines medžiagas pasiskirstymas pagal lytį 2001–2010 m. sausio 1 d. </w:t>
      </w:r>
    </w:p>
    <w:p w:rsidR="00626711" w:rsidRPr="00C301EA" w:rsidRDefault="00626711" w:rsidP="00626711">
      <w:pPr>
        <w:jc w:val="both"/>
        <w:rPr>
          <w:bCs/>
          <w:i/>
          <w:iCs/>
        </w:rPr>
      </w:pPr>
    </w:p>
    <w:p w:rsidR="00626711" w:rsidRPr="00C301EA" w:rsidRDefault="00626711" w:rsidP="00626711">
      <w:pPr>
        <w:jc w:val="both"/>
        <w:rPr>
          <w:bCs/>
          <w:i/>
          <w:iCs/>
        </w:rPr>
      </w:pPr>
      <w:r>
        <w:rPr>
          <w:bCs/>
          <w:i/>
          <w:iCs/>
          <w:noProof/>
          <w:lang w:eastAsia="lt-LT"/>
        </w:rPr>
        <w:drawing>
          <wp:inline distT="0" distB="0" distL="0" distR="0">
            <wp:extent cx="6353175" cy="2600325"/>
            <wp:effectExtent l="0" t="0" r="0" b="0"/>
            <wp:docPr id="110" name="Diagrama 1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r w:rsidRPr="00C301EA">
        <w:rPr>
          <w:bCs/>
          <w:i/>
          <w:iCs/>
        </w:rPr>
        <w:t xml:space="preserve"> Valstybinio psichikos sveikatos centro duomenys</w:t>
      </w:r>
    </w:p>
    <w:p w:rsidR="00626711" w:rsidRPr="00C301EA" w:rsidRDefault="00626711" w:rsidP="00626711">
      <w:pPr>
        <w:jc w:val="both"/>
      </w:pPr>
    </w:p>
    <w:p w:rsidR="00626711" w:rsidRPr="00C301EA" w:rsidRDefault="00626711" w:rsidP="00626711">
      <w:pPr>
        <w:ind w:firstLine="720"/>
        <w:jc w:val="both"/>
      </w:pPr>
      <w:r w:rsidRPr="00C301EA">
        <w:t xml:space="preserve">2010 m. sausio 1 d. asmens sveikatos priežiūros įstaigose visų registruotų asmenų dėl psichikos ir elgesio sutrikimų vartojant narkotines ir psichotropines medžiagas pasiskirstymas pagal amžių ir lytį pateikiamas 5.7 pav.  </w:t>
      </w:r>
    </w:p>
    <w:p w:rsidR="00626711" w:rsidRPr="00C301EA" w:rsidRDefault="00626711" w:rsidP="00626711">
      <w:pPr>
        <w:jc w:val="both"/>
        <w:rPr>
          <w:bCs/>
          <w:i/>
          <w:iCs/>
        </w:rPr>
      </w:pPr>
      <w:r w:rsidRPr="00C301EA">
        <w:rPr>
          <w:bCs/>
          <w:i/>
          <w:iCs/>
        </w:rPr>
        <w:t xml:space="preserve">4 pav. </w:t>
      </w:r>
      <w:r w:rsidRPr="00C301EA">
        <w:rPr>
          <w:i/>
        </w:rPr>
        <w:t>Visų registruotų</w:t>
      </w:r>
      <w:r w:rsidRPr="00C301EA">
        <w:rPr>
          <w:bCs/>
          <w:i/>
          <w:iCs/>
        </w:rPr>
        <w:t xml:space="preserve"> asmenų, kuriems buvo diagnozuoti psichikos ir elgesio sutrikimai, vartojant narkotines ir psichotropines medžiagas pasiskirstymas pagal lytį ir amžių 2010 m. sausio 1 d. </w:t>
      </w:r>
    </w:p>
    <w:p w:rsidR="00626711" w:rsidRPr="00C301EA" w:rsidRDefault="00626711" w:rsidP="00626711">
      <w:pPr>
        <w:jc w:val="both"/>
        <w:rPr>
          <w:highlight w:val="lightGray"/>
        </w:rPr>
      </w:pPr>
    </w:p>
    <w:p w:rsidR="00626711" w:rsidRPr="00C301EA" w:rsidRDefault="00626711" w:rsidP="00626711">
      <w:pPr>
        <w:jc w:val="both"/>
        <w:rPr>
          <w:highlight w:val="lightGray"/>
        </w:rPr>
      </w:pPr>
      <w:r>
        <w:rPr>
          <w:noProof/>
          <w:lang w:eastAsia="lt-LT"/>
        </w:rPr>
        <w:lastRenderedPageBreak/>
        <w:drawing>
          <wp:inline distT="0" distB="0" distL="0" distR="0">
            <wp:extent cx="6486525" cy="2819400"/>
            <wp:effectExtent l="0" t="0" r="0" b="0"/>
            <wp:docPr id="109" name="Diagrama 10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rsidR="00626711" w:rsidRPr="00C301EA" w:rsidRDefault="00626711" w:rsidP="00626711">
      <w:pPr>
        <w:jc w:val="both"/>
        <w:rPr>
          <w:bCs/>
          <w:i/>
          <w:iCs/>
        </w:rPr>
      </w:pPr>
      <w:r w:rsidRPr="00C301EA">
        <w:rPr>
          <w:bCs/>
          <w:i/>
          <w:iCs/>
        </w:rPr>
        <w:t>Valstybinio psichikos sveikatos centro duomenys</w:t>
      </w:r>
    </w:p>
    <w:p w:rsidR="00626711" w:rsidRPr="00C301EA" w:rsidRDefault="00626711" w:rsidP="00626711">
      <w:pPr>
        <w:jc w:val="both"/>
      </w:pPr>
    </w:p>
    <w:p w:rsidR="00626711" w:rsidRPr="00C301EA" w:rsidRDefault="00626711" w:rsidP="00626711">
      <w:pPr>
        <w:ind w:firstLine="720"/>
        <w:jc w:val="both"/>
      </w:pPr>
      <w:r w:rsidRPr="00C301EA">
        <w:t xml:space="preserve">2010 m. sausio 1 d. asmens sveikatos priežiūros įstaigose dėl psichikos ir elgesio sutrikimų, vartojant narkotines ir psichotropines medžiagas, viso registruota 11 vaikų (4 mergaitės ir 7 berniukai) iki 18 metų amžiaus (2009 m. sausio 1 d. – 14, 2008 m. – 11, 2007 m. – 19, 2006 m. – 44, 2005 m. – 54, 2004 m. – 62, 2003 m. – 77). </w:t>
      </w:r>
    </w:p>
    <w:p w:rsidR="00626711" w:rsidRPr="00C301EA" w:rsidRDefault="00626711" w:rsidP="00626711">
      <w:pPr>
        <w:jc w:val="both"/>
        <w:rPr>
          <w:bCs/>
          <w:iCs/>
        </w:rPr>
      </w:pPr>
    </w:p>
    <w:p w:rsidR="00626711" w:rsidRPr="00C301EA" w:rsidRDefault="00626711" w:rsidP="00626711">
      <w:pPr>
        <w:ind w:firstLine="720"/>
        <w:jc w:val="both"/>
      </w:pPr>
      <w:r w:rsidRPr="00C301EA">
        <w:t>Pasiskirstymas pagal gyvenamąją vietą</w:t>
      </w:r>
    </w:p>
    <w:p w:rsidR="00626711" w:rsidRPr="00C301EA" w:rsidRDefault="00626711" w:rsidP="00626711">
      <w:pPr>
        <w:jc w:val="both"/>
        <w:rPr>
          <w:bCs/>
        </w:rPr>
      </w:pPr>
      <w:r w:rsidRPr="00C301EA">
        <w:tab/>
        <w:t>2009 m. ligotumas narkomanija apskrityse buvo: Vilniaus apskrityje - 383,6 atv./100 tūkst. gyventojų (3 262 asmenys), Klaipėdos – 240,6 (906 asmenys), Utenos – 138,0 (232 asmenys), Alytaus – 115,3 (200 asmenų), Panevėžio – 106,3 (296 asmenys), Kauno – 83,7 (558 asmenys), Telšių – 75,9 (130 asmenų), Šiaulių – 68,5 (234 asmenys), Tauragės – 50,5 (63 asmenys), Marijampolės – 40,9 (73 asmenys).</w:t>
      </w:r>
    </w:p>
    <w:p w:rsidR="00626711" w:rsidRPr="00C301EA" w:rsidRDefault="00626711" w:rsidP="00626711">
      <w:pPr>
        <w:jc w:val="both"/>
        <w:rPr>
          <w:bCs/>
          <w:i/>
          <w:iCs/>
        </w:rPr>
      </w:pPr>
    </w:p>
    <w:p w:rsidR="00626711" w:rsidRPr="00C301EA" w:rsidRDefault="00626711" w:rsidP="00626711">
      <w:pPr>
        <w:jc w:val="both"/>
        <w:rPr>
          <w:bCs/>
          <w:i/>
          <w:iCs/>
        </w:rPr>
      </w:pPr>
      <w:r w:rsidRPr="00C301EA">
        <w:rPr>
          <w:bCs/>
          <w:i/>
          <w:iCs/>
        </w:rPr>
        <w:t xml:space="preserve">5  pav. Ligotumo narkomanija rodikliai Lietuvos apskrityse 2009 m. </w:t>
      </w:r>
    </w:p>
    <w:p w:rsidR="00626711" w:rsidRPr="00C301EA" w:rsidRDefault="00626711" w:rsidP="00626711">
      <w:pPr>
        <w:jc w:val="both"/>
        <w:rPr>
          <w:bCs/>
          <w:i/>
          <w:iCs/>
        </w:rPr>
      </w:pPr>
      <w:r>
        <w:rPr>
          <w:bCs/>
          <w:i/>
          <w:iCs/>
          <w:noProof/>
          <w:lang w:eastAsia="lt-LT"/>
        </w:rPr>
        <w:drawing>
          <wp:inline distT="0" distB="0" distL="0" distR="0">
            <wp:extent cx="6048375" cy="3057525"/>
            <wp:effectExtent l="0" t="0" r="0" b="0"/>
            <wp:docPr id="108" name="Diagrama 10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r w:rsidRPr="00C301EA">
        <w:rPr>
          <w:bCs/>
          <w:i/>
          <w:iCs/>
        </w:rPr>
        <w:t>Valstybinio psichikos sveikatos centro duomenys</w:t>
      </w:r>
    </w:p>
    <w:p w:rsidR="00626711" w:rsidRPr="00C301EA" w:rsidRDefault="00626711" w:rsidP="00626711">
      <w:pPr>
        <w:jc w:val="both"/>
        <w:rPr>
          <w:bCs/>
          <w:iCs/>
        </w:rPr>
      </w:pPr>
    </w:p>
    <w:p w:rsidR="00626711" w:rsidRPr="00C301EA" w:rsidRDefault="00626711" w:rsidP="00626711">
      <w:pPr>
        <w:ind w:firstLine="720"/>
        <w:jc w:val="both"/>
      </w:pPr>
      <w:r w:rsidRPr="00C301EA">
        <w:t xml:space="preserve">Didžiausias ligotumas narkomanija registruojamas Visagino savivaldybėje – 543,6 atv./100 tūkst. gyv. (154 asmenys), Vilniuje – 533,9 atv./100 tūkst. gyv. (2 991 asmuo), Klaipėdoje – 441,1 atv./100 tūkst. gyv. (806 asmenys), Biržų rajono savivaldybėje – 218,0 atv./100 tūkst. gyv. (70 asmenų), Panevėžyje – 170,6 atv./100 tūkst. gyv. (191 asmuo), Druskininkų savivaldybėje – 178,8 atv./100 tūkst. gyv. (43 asmenys). </w:t>
      </w:r>
    </w:p>
    <w:p w:rsidR="00626711" w:rsidRPr="00C301EA" w:rsidRDefault="00626711" w:rsidP="00626711">
      <w:pPr>
        <w:jc w:val="both"/>
        <w:rPr>
          <w:i/>
          <w:iCs/>
        </w:rPr>
      </w:pPr>
    </w:p>
    <w:p w:rsidR="00626711" w:rsidRPr="00C301EA" w:rsidRDefault="00626711" w:rsidP="00626711">
      <w:pPr>
        <w:jc w:val="both"/>
        <w:rPr>
          <w:iCs/>
        </w:rPr>
      </w:pPr>
      <w:r w:rsidRPr="00C301EA">
        <w:rPr>
          <w:iCs/>
        </w:rPr>
        <w:t>Pasiskirstymas pagal vartotų medžiagų grupes</w:t>
      </w:r>
    </w:p>
    <w:p w:rsidR="00626711" w:rsidRPr="00C301EA" w:rsidRDefault="00626711" w:rsidP="00626711">
      <w:pPr>
        <w:jc w:val="both"/>
        <w:rPr>
          <w:u w:val="single"/>
        </w:rPr>
      </w:pPr>
    </w:p>
    <w:p w:rsidR="00626711" w:rsidRPr="00C301EA" w:rsidRDefault="00626711" w:rsidP="00626711">
      <w:pPr>
        <w:ind w:firstLine="720"/>
        <w:jc w:val="both"/>
      </w:pPr>
      <w:r w:rsidRPr="00C301EA">
        <w:t>Lietuvoje jau daugelį metų didžioji dalis visų registruotų asmenų dėl psichikos ir elgesio sutrikimų, vartojant narkotines ir psichotropines medžiagas yra opioidų vartotojai. Valstybinio psichikos sveikatos centro duomenimis iki 2010 m. sausio 1 d. dėl psichikos ir elgesio sutrikimų, vartojant opioidus, registruoti 4 752 asmenys (79,8 proc.), kanabinoidus – 40 (0,7 proc.), raminamąsias ir migdomąsias medžiagas – 75 (1,3 proc.), kokainą – 8 (0,13 proc.), stimuliatorius ir kofeiną – 161 (2,7 proc.), haliucinogenus – 7 (0,12 proc.), lakiąsias medžiagas – 136 (2,3 proc.), kelias narkotines ir kitas psichoaktyviąsias medžiagas – 774 (13,0 proc.) asmenys .</w:t>
      </w:r>
    </w:p>
    <w:p w:rsidR="00626711" w:rsidRPr="00C301EA" w:rsidRDefault="00626711" w:rsidP="00626711">
      <w:pPr>
        <w:jc w:val="both"/>
      </w:pPr>
    </w:p>
    <w:p w:rsidR="00626711" w:rsidRPr="00C301EA" w:rsidRDefault="00626711" w:rsidP="00626711">
      <w:pPr>
        <w:jc w:val="both"/>
        <w:rPr>
          <w:i/>
        </w:rPr>
      </w:pPr>
      <w:r w:rsidRPr="00C301EA">
        <w:rPr>
          <w:i/>
        </w:rPr>
        <w:t>6  pav. Visų registruotų  asmenų, kuriems buvo diagnozuoti psichikos ir elgesio sutrikimai, vartojant narkotines ir psichotropines medžiagas, pasiskirstymas pagal vartojamų medžiagų grupes 2007 – 2010 m. sausio 1 d.</w:t>
      </w:r>
    </w:p>
    <w:p w:rsidR="00626711" w:rsidRPr="00C301EA" w:rsidRDefault="00626711" w:rsidP="00626711">
      <w:pPr>
        <w:jc w:val="both"/>
        <w:rPr>
          <w:i/>
        </w:rPr>
      </w:pPr>
      <w:r>
        <w:rPr>
          <w:noProof/>
          <w:lang w:eastAsia="lt-LT"/>
        </w:rPr>
        <w:drawing>
          <wp:inline distT="0" distB="0" distL="0" distR="0">
            <wp:extent cx="5762625" cy="3400425"/>
            <wp:effectExtent l="0" t="0" r="0" b="0"/>
            <wp:docPr id="107" name="Diagrama 10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r w:rsidRPr="00C301EA">
        <w:tab/>
      </w:r>
      <w:r w:rsidRPr="00C301EA">
        <w:tab/>
      </w:r>
      <w:r w:rsidRPr="00C301EA">
        <w:rPr>
          <w:i/>
        </w:rPr>
        <w:t>Valstybinio psichikos sveikatos centro duomenys</w:t>
      </w:r>
    </w:p>
    <w:p w:rsidR="00626711" w:rsidRPr="00C301EA" w:rsidRDefault="00626711" w:rsidP="00626711">
      <w:pPr>
        <w:jc w:val="both"/>
        <w:rPr>
          <w:i/>
        </w:rPr>
      </w:pPr>
    </w:p>
    <w:p w:rsidR="00626711" w:rsidRPr="00C301EA" w:rsidRDefault="00626711" w:rsidP="00626711">
      <w:pPr>
        <w:jc w:val="both"/>
      </w:pPr>
      <w:r w:rsidRPr="00C301EA">
        <w:t>Pasiskirstymas pagal vartojimo būdą</w:t>
      </w:r>
    </w:p>
    <w:p w:rsidR="00626711" w:rsidRPr="00C301EA" w:rsidRDefault="00626711" w:rsidP="00626711">
      <w:pPr>
        <w:jc w:val="both"/>
      </w:pPr>
    </w:p>
    <w:p w:rsidR="00626711" w:rsidRPr="00C301EA" w:rsidRDefault="00626711" w:rsidP="00626711">
      <w:pPr>
        <w:ind w:firstLine="720"/>
        <w:jc w:val="both"/>
      </w:pPr>
      <w:r w:rsidRPr="00C301EA">
        <w:t>Valstybinio psichikos sveikatos centro duomenimis, iš visų iki 2010 m. sausio 1 d. registruotų asmenų, kuriems buvo diagnozuoti psichikos ir elgesio sutrikimai, vartojant narkotines ir psichotropines medžiagas, dėl psichikos ir elgesio sutrikimų 93,5 proc. narkotines ir psichotropines medžiagas vartojo švirkščiant. Švirkščiamuoju būdu (injekcijomis) dažniausiai vartojami buvo opioidai (99,4 proc.), keli narkotikai (92,6 proc.) bei stimuliatoriai (62,7 proc.).</w:t>
      </w:r>
    </w:p>
    <w:p w:rsidR="00626711" w:rsidRPr="00C301EA" w:rsidRDefault="00626711" w:rsidP="00626711">
      <w:pPr>
        <w:jc w:val="both"/>
      </w:pPr>
    </w:p>
    <w:p w:rsidR="00626711" w:rsidRPr="00C301EA" w:rsidRDefault="00626711" w:rsidP="00626711">
      <w:pPr>
        <w:jc w:val="both"/>
        <w:rPr>
          <w:i/>
        </w:rPr>
      </w:pPr>
      <w:r w:rsidRPr="00C301EA">
        <w:rPr>
          <w:i/>
        </w:rPr>
        <w:t xml:space="preserve"> lentelė. Visų registruotų asmenų, kuriems buvo diagnozuoti psichikos ir elgesio sutrikimai, vartojant narkotines ir psichotropines medžiagas, pasiskirstymas pagal vartojimo būdą 2010 m. sausio 1 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861"/>
        <w:gridCol w:w="1510"/>
        <w:gridCol w:w="1557"/>
        <w:gridCol w:w="1375"/>
        <w:gridCol w:w="1528"/>
        <w:gridCol w:w="1295"/>
      </w:tblGrid>
      <w:tr w:rsidR="00626711" w:rsidRPr="00C301EA" w:rsidTr="004F7425">
        <w:trPr>
          <w:cantSplit/>
        </w:trPr>
        <w:tc>
          <w:tcPr>
            <w:tcW w:w="2589" w:type="dxa"/>
            <w:gridSpan w:val="2"/>
            <w:vMerge w:val="restart"/>
          </w:tcPr>
          <w:p w:rsidR="00626711" w:rsidRPr="00C301EA" w:rsidRDefault="00626711" w:rsidP="004F7425">
            <w:pPr>
              <w:jc w:val="both"/>
            </w:pPr>
            <w:r w:rsidRPr="00C301EA">
              <w:t>Medžiagų grupė</w:t>
            </w:r>
          </w:p>
        </w:tc>
        <w:tc>
          <w:tcPr>
            <w:tcW w:w="5970" w:type="dxa"/>
            <w:gridSpan w:val="4"/>
          </w:tcPr>
          <w:p w:rsidR="00626711" w:rsidRPr="00C301EA" w:rsidRDefault="00626711" w:rsidP="004F7425">
            <w:pPr>
              <w:jc w:val="both"/>
            </w:pPr>
            <w:r w:rsidRPr="00C301EA">
              <w:t>Vartojimo būdai</w:t>
            </w:r>
          </w:p>
        </w:tc>
        <w:tc>
          <w:tcPr>
            <w:tcW w:w="1295" w:type="dxa"/>
            <w:vMerge w:val="restart"/>
          </w:tcPr>
          <w:p w:rsidR="00626711" w:rsidRPr="00C301EA" w:rsidRDefault="00626711" w:rsidP="004F7425">
            <w:pPr>
              <w:jc w:val="both"/>
              <w:rPr>
                <w:i/>
              </w:rPr>
            </w:pPr>
            <w:r w:rsidRPr="00C301EA">
              <w:rPr>
                <w:i/>
              </w:rPr>
              <w:t>Iš viso</w:t>
            </w:r>
          </w:p>
        </w:tc>
      </w:tr>
      <w:tr w:rsidR="00626711" w:rsidRPr="00C301EA" w:rsidTr="004F7425">
        <w:trPr>
          <w:cantSplit/>
        </w:trPr>
        <w:tc>
          <w:tcPr>
            <w:tcW w:w="2589" w:type="dxa"/>
            <w:gridSpan w:val="2"/>
            <w:vMerge/>
          </w:tcPr>
          <w:p w:rsidR="00626711" w:rsidRPr="00C301EA" w:rsidRDefault="00626711" w:rsidP="004F7425">
            <w:pPr>
              <w:jc w:val="both"/>
              <w:rPr>
                <w:i/>
              </w:rPr>
            </w:pPr>
          </w:p>
        </w:tc>
        <w:tc>
          <w:tcPr>
            <w:tcW w:w="1510" w:type="dxa"/>
          </w:tcPr>
          <w:p w:rsidR="00626711" w:rsidRPr="00C301EA" w:rsidRDefault="00626711" w:rsidP="004F7425">
            <w:pPr>
              <w:jc w:val="both"/>
            </w:pPr>
            <w:r w:rsidRPr="00C301EA">
              <w:t>injekcija</w:t>
            </w:r>
          </w:p>
        </w:tc>
        <w:tc>
          <w:tcPr>
            <w:tcW w:w="1557" w:type="dxa"/>
          </w:tcPr>
          <w:p w:rsidR="00626711" w:rsidRPr="00C301EA" w:rsidRDefault="00626711" w:rsidP="004F7425">
            <w:pPr>
              <w:jc w:val="both"/>
            </w:pPr>
            <w:r w:rsidRPr="00C301EA">
              <w:t>inhaliacija</w:t>
            </w:r>
          </w:p>
        </w:tc>
        <w:tc>
          <w:tcPr>
            <w:tcW w:w="1375" w:type="dxa"/>
          </w:tcPr>
          <w:p w:rsidR="00626711" w:rsidRPr="00C301EA" w:rsidRDefault="00626711" w:rsidP="004F7425">
            <w:pPr>
              <w:jc w:val="both"/>
            </w:pPr>
            <w:r w:rsidRPr="00C301EA">
              <w:t>per OS</w:t>
            </w:r>
          </w:p>
        </w:tc>
        <w:tc>
          <w:tcPr>
            <w:tcW w:w="1528" w:type="dxa"/>
          </w:tcPr>
          <w:p w:rsidR="00626711" w:rsidRPr="00C301EA" w:rsidRDefault="00626711" w:rsidP="004F7425">
            <w:pPr>
              <w:jc w:val="both"/>
            </w:pPr>
            <w:r w:rsidRPr="00C301EA">
              <w:t>uostymas</w:t>
            </w:r>
          </w:p>
        </w:tc>
        <w:tc>
          <w:tcPr>
            <w:tcW w:w="1295" w:type="dxa"/>
            <w:vMerge/>
          </w:tcPr>
          <w:p w:rsidR="00626711" w:rsidRPr="00C301EA" w:rsidRDefault="00626711" w:rsidP="004F7425">
            <w:pPr>
              <w:jc w:val="both"/>
              <w:rPr>
                <w:i/>
              </w:rPr>
            </w:pPr>
          </w:p>
        </w:tc>
      </w:tr>
      <w:tr w:rsidR="00626711" w:rsidRPr="00C301EA" w:rsidTr="004F7425">
        <w:trPr>
          <w:cantSplit/>
          <w:trHeight w:val="350"/>
        </w:trPr>
        <w:tc>
          <w:tcPr>
            <w:tcW w:w="1728" w:type="dxa"/>
            <w:vMerge w:val="restart"/>
          </w:tcPr>
          <w:p w:rsidR="00626711" w:rsidRPr="00C301EA" w:rsidRDefault="00626711" w:rsidP="004F7425">
            <w:pPr>
              <w:jc w:val="both"/>
            </w:pPr>
            <w:r w:rsidRPr="00C301EA">
              <w:t>Opioidai</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4 722</w:t>
            </w:r>
          </w:p>
        </w:tc>
        <w:tc>
          <w:tcPr>
            <w:tcW w:w="1557" w:type="dxa"/>
          </w:tcPr>
          <w:p w:rsidR="00626711" w:rsidRPr="00C301EA" w:rsidRDefault="00626711" w:rsidP="004F7425">
            <w:pPr>
              <w:jc w:val="both"/>
              <w:rPr>
                <w:i/>
              </w:rPr>
            </w:pPr>
            <w:r w:rsidRPr="00C301EA">
              <w:rPr>
                <w:i/>
              </w:rPr>
              <w:t>2</w:t>
            </w:r>
          </w:p>
        </w:tc>
        <w:tc>
          <w:tcPr>
            <w:tcW w:w="1375" w:type="dxa"/>
          </w:tcPr>
          <w:p w:rsidR="00626711" w:rsidRPr="00C301EA" w:rsidRDefault="00626711" w:rsidP="004F7425">
            <w:pPr>
              <w:jc w:val="both"/>
              <w:rPr>
                <w:i/>
              </w:rPr>
            </w:pPr>
            <w:r w:rsidRPr="00C301EA">
              <w:rPr>
                <w:i/>
              </w:rPr>
              <w:t>23</w:t>
            </w:r>
          </w:p>
        </w:tc>
        <w:tc>
          <w:tcPr>
            <w:tcW w:w="1528" w:type="dxa"/>
          </w:tcPr>
          <w:p w:rsidR="00626711" w:rsidRPr="00C301EA" w:rsidRDefault="00626711" w:rsidP="004F7425">
            <w:pPr>
              <w:jc w:val="both"/>
              <w:rPr>
                <w:i/>
              </w:rPr>
            </w:pPr>
            <w:r w:rsidRPr="00C301EA">
              <w:rPr>
                <w:i/>
              </w:rPr>
              <w:t>8</w:t>
            </w:r>
          </w:p>
        </w:tc>
        <w:tc>
          <w:tcPr>
            <w:tcW w:w="1295" w:type="dxa"/>
          </w:tcPr>
          <w:p w:rsidR="00626711" w:rsidRPr="00C301EA" w:rsidRDefault="00626711" w:rsidP="004F7425">
            <w:pPr>
              <w:jc w:val="both"/>
            </w:pPr>
            <w:r w:rsidRPr="00C301EA">
              <w:t>4 752</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99,4</w:t>
            </w:r>
          </w:p>
        </w:tc>
        <w:tc>
          <w:tcPr>
            <w:tcW w:w="1557" w:type="dxa"/>
          </w:tcPr>
          <w:p w:rsidR="00626711" w:rsidRPr="00C301EA" w:rsidRDefault="00626711" w:rsidP="004F7425">
            <w:pPr>
              <w:jc w:val="both"/>
              <w:rPr>
                <w:i/>
              </w:rPr>
            </w:pPr>
            <w:r w:rsidRPr="00C301EA">
              <w:rPr>
                <w:i/>
              </w:rPr>
              <w:t>0,04</w:t>
            </w:r>
          </w:p>
        </w:tc>
        <w:tc>
          <w:tcPr>
            <w:tcW w:w="1375" w:type="dxa"/>
          </w:tcPr>
          <w:p w:rsidR="00626711" w:rsidRPr="00C301EA" w:rsidRDefault="00626711" w:rsidP="004F7425">
            <w:pPr>
              <w:jc w:val="both"/>
              <w:rPr>
                <w:i/>
              </w:rPr>
            </w:pPr>
            <w:r w:rsidRPr="00C301EA">
              <w:rPr>
                <w:i/>
              </w:rPr>
              <w:t>0,48</w:t>
            </w:r>
          </w:p>
        </w:tc>
        <w:tc>
          <w:tcPr>
            <w:tcW w:w="1528" w:type="dxa"/>
          </w:tcPr>
          <w:p w:rsidR="00626711" w:rsidRPr="00C301EA" w:rsidRDefault="00626711" w:rsidP="004F7425">
            <w:pPr>
              <w:jc w:val="both"/>
              <w:rPr>
                <w:i/>
              </w:rPr>
            </w:pPr>
            <w:r w:rsidRPr="00C301EA">
              <w:rPr>
                <w:i/>
              </w:rPr>
              <w:t>0,17</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Lakiosios</w:t>
            </w:r>
          </w:p>
          <w:p w:rsidR="00626711" w:rsidRPr="00C301EA" w:rsidRDefault="00626711" w:rsidP="004F7425">
            <w:pPr>
              <w:jc w:val="both"/>
            </w:pPr>
            <w:r w:rsidRPr="00C301EA">
              <w:t>medžiagos</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rPr>
                <w:i/>
              </w:rPr>
            </w:pPr>
            <w:r w:rsidRPr="00C301EA">
              <w:rPr>
                <w:i/>
              </w:rPr>
              <w:t>6</w:t>
            </w:r>
          </w:p>
        </w:tc>
        <w:tc>
          <w:tcPr>
            <w:tcW w:w="1557" w:type="dxa"/>
          </w:tcPr>
          <w:p w:rsidR="00626711" w:rsidRPr="00C301EA" w:rsidRDefault="00626711" w:rsidP="004F7425">
            <w:pPr>
              <w:jc w:val="both"/>
              <w:rPr>
                <w:i/>
              </w:rPr>
            </w:pPr>
            <w:r w:rsidRPr="00C301EA">
              <w:rPr>
                <w:i/>
              </w:rPr>
              <w:t>17</w:t>
            </w:r>
          </w:p>
        </w:tc>
        <w:tc>
          <w:tcPr>
            <w:tcW w:w="1375" w:type="dxa"/>
          </w:tcPr>
          <w:p w:rsidR="00626711" w:rsidRPr="00C301EA" w:rsidRDefault="00626711" w:rsidP="004F7425">
            <w:pPr>
              <w:jc w:val="both"/>
              <w:rPr>
                <w:i/>
              </w:rPr>
            </w:pPr>
            <w:r w:rsidRPr="00C301EA">
              <w:rPr>
                <w:i/>
              </w:rPr>
              <w:t>16</w:t>
            </w:r>
          </w:p>
        </w:tc>
        <w:tc>
          <w:tcPr>
            <w:tcW w:w="1528" w:type="dxa"/>
          </w:tcPr>
          <w:p w:rsidR="00626711" w:rsidRPr="00C301EA" w:rsidRDefault="00626711" w:rsidP="004F7425">
            <w:pPr>
              <w:jc w:val="both"/>
              <w:rPr>
                <w:i/>
              </w:rPr>
            </w:pPr>
            <w:r w:rsidRPr="00C301EA">
              <w:rPr>
                <w:i/>
              </w:rPr>
              <w:t>99</w:t>
            </w:r>
          </w:p>
        </w:tc>
        <w:tc>
          <w:tcPr>
            <w:tcW w:w="1295" w:type="dxa"/>
          </w:tcPr>
          <w:p w:rsidR="00626711" w:rsidRPr="00C301EA" w:rsidRDefault="00626711" w:rsidP="004F7425">
            <w:pPr>
              <w:jc w:val="both"/>
            </w:pPr>
            <w:r w:rsidRPr="00C301EA">
              <w:t>136</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4,4</w:t>
            </w:r>
          </w:p>
        </w:tc>
        <w:tc>
          <w:tcPr>
            <w:tcW w:w="1557" w:type="dxa"/>
          </w:tcPr>
          <w:p w:rsidR="00626711" w:rsidRPr="00C301EA" w:rsidRDefault="00626711" w:rsidP="004F7425">
            <w:pPr>
              <w:jc w:val="both"/>
              <w:rPr>
                <w:i/>
              </w:rPr>
            </w:pPr>
            <w:r w:rsidRPr="00C301EA">
              <w:rPr>
                <w:i/>
              </w:rPr>
              <w:t>12,5</w:t>
            </w:r>
          </w:p>
        </w:tc>
        <w:tc>
          <w:tcPr>
            <w:tcW w:w="1375" w:type="dxa"/>
          </w:tcPr>
          <w:p w:rsidR="00626711" w:rsidRPr="00C301EA" w:rsidRDefault="00626711" w:rsidP="004F7425">
            <w:pPr>
              <w:jc w:val="both"/>
              <w:rPr>
                <w:i/>
              </w:rPr>
            </w:pPr>
            <w:r w:rsidRPr="00C301EA">
              <w:rPr>
                <w:i/>
              </w:rPr>
              <w:t>11,8</w:t>
            </w:r>
          </w:p>
        </w:tc>
        <w:tc>
          <w:tcPr>
            <w:tcW w:w="1528" w:type="dxa"/>
          </w:tcPr>
          <w:p w:rsidR="00626711" w:rsidRPr="00C301EA" w:rsidRDefault="00626711" w:rsidP="004F7425">
            <w:pPr>
              <w:jc w:val="both"/>
              <w:rPr>
                <w:i/>
              </w:rPr>
            </w:pPr>
            <w:r w:rsidRPr="00C301EA">
              <w:rPr>
                <w:i/>
              </w:rPr>
              <w:t>72,8</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Stimuliatoriai</w:t>
            </w:r>
          </w:p>
          <w:p w:rsidR="00626711" w:rsidRPr="00C301EA" w:rsidRDefault="00626711" w:rsidP="004F7425">
            <w:pPr>
              <w:jc w:val="both"/>
            </w:pPr>
            <w:r w:rsidRPr="00C301EA">
              <w:t>ir kofeinas</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rPr>
                <w:i/>
              </w:rPr>
            </w:pPr>
            <w:r w:rsidRPr="00C301EA">
              <w:rPr>
                <w:i/>
              </w:rPr>
              <w:t>101</w:t>
            </w:r>
          </w:p>
        </w:tc>
        <w:tc>
          <w:tcPr>
            <w:tcW w:w="1557" w:type="dxa"/>
          </w:tcPr>
          <w:p w:rsidR="00626711" w:rsidRPr="00C301EA" w:rsidRDefault="00626711" w:rsidP="004F7425">
            <w:pPr>
              <w:jc w:val="both"/>
              <w:rPr>
                <w:i/>
              </w:rPr>
            </w:pPr>
            <w:r w:rsidRPr="00C301EA">
              <w:rPr>
                <w:i/>
              </w:rPr>
              <w:t>-</w:t>
            </w:r>
          </w:p>
        </w:tc>
        <w:tc>
          <w:tcPr>
            <w:tcW w:w="1375" w:type="dxa"/>
          </w:tcPr>
          <w:p w:rsidR="00626711" w:rsidRPr="00C301EA" w:rsidRDefault="00626711" w:rsidP="004F7425">
            <w:pPr>
              <w:jc w:val="both"/>
              <w:rPr>
                <w:i/>
              </w:rPr>
            </w:pPr>
            <w:r w:rsidRPr="00C301EA">
              <w:rPr>
                <w:i/>
              </w:rPr>
              <w:t>55</w:t>
            </w:r>
          </w:p>
        </w:tc>
        <w:tc>
          <w:tcPr>
            <w:tcW w:w="1528" w:type="dxa"/>
          </w:tcPr>
          <w:p w:rsidR="00626711" w:rsidRPr="00C301EA" w:rsidRDefault="00626711" w:rsidP="004F7425">
            <w:pPr>
              <w:jc w:val="both"/>
              <w:rPr>
                <w:i/>
              </w:rPr>
            </w:pPr>
            <w:r w:rsidRPr="00C301EA">
              <w:rPr>
                <w:i/>
              </w:rPr>
              <w:t>5</w:t>
            </w:r>
          </w:p>
        </w:tc>
        <w:tc>
          <w:tcPr>
            <w:tcW w:w="1295" w:type="dxa"/>
          </w:tcPr>
          <w:p w:rsidR="00626711" w:rsidRPr="00C301EA" w:rsidRDefault="00626711" w:rsidP="004F7425">
            <w:pPr>
              <w:jc w:val="both"/>
            </w:pPr>
            <w:r w:rsidRPr="00C301EA">
              <w:t>161</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62,7</w:t>
            </w:r>
          </w:p>
        </w:tc>
        <w:tc>
          <w:tcPr>
            <w:tcW w:w="1557" w:type="dxa"/>
          </w:tcPr>
          <w:p w:rsidR="00626711" w:rsidRPr="00C301EA" w:rsidRDefault="00626711" w:rsidP="004F7425">
            <w:pPr>
              <w:jc w:val="both"/>
              <w:rPr>
                <w:i/>
              </w:rPr>
            </w:pPr>
            <w:r w:rsidRPr="00C301EA">
              <w:rPr>
                <w:i/>
              </w:rPr>
              <w:t>-</w:t>
            </w:r>
          </w:p>
        </w:tc>
        <w:tc>
          <w:tcPr>
            <w:tcW w:w="1375" w:type="dxa"/>
          </w:tcPr>
          <w:p w:rsidR="00626711" w:rsidRPr="00C301EA" w:rsidRDefault="00626711" w:rsidP="004F7425">
            <w:pPr>
              <w:jc w:val="both"/>
              <w:rPr>
                <w:i/>
              </w:rPr>
            </w:pPr>
            <w:r w:rsidRPr="00C301EA">
              <w:rPr>
                <w:i/>
              </w:rPr>
              <w:t>34,2</w:t>
            </w:r>
          </w:p>
        </w:tc>
        <w:tc>
          <w:tcPr>
            <w:tcW w:w="1528" w:type="dxa"/>
          </w:tcPr>
          <w:p w:rsidR="00626711" w:rsidRPr="00C301EA" w:rsidRDefault="00626711" w:rsidP="004F7425">
            <w:pPr>
              <w:jc w:val="both"/>
              <w:rPr>
                <w:i/>
              </w:rPr>
            </w:pPr>
            <w:r w:rsidRPr="00C301EA">
              <w:rPr>
                <w:i/>
              </w:rPr>
              <w:t>3,1</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Raminamieji/</w:t>
            </w:r>
          </w:p>
          <w:p w:rsidR="00626711" w:rsidRPr="00C301EA" w:rsidRDefault="00626711" w:rsidP="004F7425">
            <w:pPr>
              <w:jc w:val="both"/>
            </w:pPr>
            <w:r w:rsidRPr="00C301EA">
              <w:t>migdomieji</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16</w:t>
            </w:r>
          </w:p>
        </w:tc>
        <w:tc>
          <w:tcPr>
            <w:tcW w:w="1557" w:type="dxa"/>
          </w:tcPr>
          <w:p w:rsidR="00626711" w:rsidRPr="00C301EA" w:rsidRDefault="00626711" w:rsidP="004F7425">
            <w:pPr>
              <w:jc w:val="both"/>
            </w:pPr>
            <w:r w:rsidRPr="00C301EA">
              <w:t>1</w:t>
            </w:r>
          </w:p>
        </w:tc>
        <w:tc>
          <w:tcPr>
            <w:tcW w:w="1375" w:type="dxa"/>
          </w:tcPr>
          <w:p w:rsidR="00626711" w:rsidRPr="00C301EA" w:rsidRDefault="00626711" w:rsidP="004F7425">
            <w:pPr>
              <w:jc w:val="both"/>
            </w:pPr>
            <w:r w:rsidRPr="00C301EA">
              <w:t>59</w:t>
            </w:r>
          </w:p>
        </w:tc>
        <w:tc>
          <w:tcPr>
            <w:tcW w:w="1528" w:type="dxa"/>
          </w:tcPr>
          <w:p w:rsidR="00626711" w:rsidRPr="00C301EA" w:rsidRDefault="00626711" w:rsidP="004F7425">
            <w:pPr>
              <w:jc w:val="both"/>
            </w:pPr>
            <w:r w:rsidRPr="00C301EA">
              <w:t>-</w:t>
            </w:r>
          </w:p>
        </w:tc>
        <w:tc>
          <w:tcPr>
            <w:tcW w:w="1295" w:type="dxa"/>
          </w:tcPr>
          <w:p w:rsidR="00626711" w:rsidRPr="00C301EA" w:rsidRDefault="00626711" w:rsidP="004F7425">
            <w:pPr>
              <w:jc w:val="both"/>
            </w:pPr>
            <w:r w:rsidRPr="00C301EA">
              <w:t>75</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21,3</w:t>
            </w:r>
          </w:p>
        </w:tc>
        <w:tc>
          <w:tcPr>
            <w:tcW w:w="1557" w:type="dxa"/>
          </w:tcPr>
          <w:p w:rsidR="00626711" w:rsidRPr="00C301EA" w:rsidRDefault="00626711" w:rsidP="004F7425">
            <w:pPr>
              <w:jc w:val="both"/>
              <w:rPr>
                <w:i/>
              </w:rPr>
            </w:pPr>
            <w:r w:rsidRPr="00C301EA">
              <w:rPr>
                <w:i/>
              </w:rPr>
              <w:t>1,3</w:t>
            </w:r>
          </w:p>
        </w:tc>
        <w:tc>
          <w:tcPr>
            <w:tcW w:w="1375" w:type="dxa"/>
          </w:tcPr>
          <w:p w:rsidR="00626711" w:rsidRPr="00C301EA" w:rsidRDefault="00626711" w:rsidP="004F7425">
            <w:pPr>
              <w:jc w:val="both"/>
              <w:rPr>
                <w:i/>
              </w:rPr>
            </w:pPr>
            <w:r w:rsidRPr="00C301EA">
              <w:rPr>
                <w:i/>
              </w:rPr>
              <w:t>78,7</w:t>
            </w:r>
          </w:p>
        </w:tc>
        <w:tc>
          <w:tcPr>
            <w:tcW w:w="1528" w:type="dxa"/>
          </w:tcPr>
          <w:p w:rsidR="00626711" w:rsidRPr="00C301EA" w:rsidRDefault="00626711" w:rsidP="004F7425">
            <w:pPr>
              <w:jc w:val="both"/>
              <w:rPr>
                <w:i/>
              </w:rPr>
            </w:pPr>
            <w:r w:rsidRPr="00C301EA">
              <w:rPr>
                <w:i/>
              </w:rPr>
              <w:t>-</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lastRenderedPageBreak/>
              <w:t>Kanabinoidai</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2</w:t>
            </w:r>
          </w:p>
        </w:tc>
        <w:tc>
          <w:tcPr>
            <w:tcW w:w="1557" w:type="dxa"/>
          </w:tcPr>
          <w:p w:rsidR="00626711" w:rsidRPr="00C301EA" w:rsidRDefault="00626711" w:rsidP="004F7425">
            <w:pPr>
              <w:jc w:val="both"/>
            </w:pPr>
            <w:r w:rsidRPr="00C301EA">
              <w:t>26</w:t>
            </w:r>
          </w:p>
        </w:tc>
        <w:tc>
          <w:tcPr>
            <w:tcW w:w="1375" w:type="dxa"/>
          </w:tcPr>
          <w:p w:rsidR="00626711" w:rsidRPr="00C301EA" w:rsidRDefault="00626711" w:rsidP="004F7425">
            <w:pPr>
              <w:jc w:val="both"/>
            </w:pPr>
            <w:r w:rsidRPr="00C301EA">
              <w:t>10</w:t>
            </w:r>
          </w:p>
        </w:tc>
        <w:tc>
          <w:tcPr>
            <w:tcW w:w="1528" w:type="dxa"/>
          </w:tcPr>
          <w:p w:rsidR="00626711" w:rsidRPr="00C301EA" w:rsidRDefault="00626711" w:rsidP="004F7425">
            <w:pPr>
              <w:jc w:val="both"/>
            </w:pPr>
            <w:r w:rsidRPr="00C301EA">
              <w:t>2</w:t>
            </w:r>
          </w:p>
        </w:tc>
        <w:tc>
          <w:tcPr>
            <w:tcW w:w="1295" w:type="dxa"/>
          </w:tcPr>
          <w:p w:rsidR="00626711" w:rsidRPr="00C301EA" w:rsidRDefault="00626711" w:rsidP="004F7425">
            <w:pPr>
              <w:jc w:val="both"/>
            </w:pPr>
            <w:r w:rsidRPr="00C301EA">
              <w:t>40</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5</w:t>
            </w:r>
          </w:p>
        </w:tc>
        <w:tc>
          <w:tcPr>
            <w:tcW w:w="1557" w:type="dxa"/>
          </w:tcPr>
          <w:p w:rsidR="00626711" w:rsidRPr="00C301EA" w:rsidRDefault="00626711" w:rsidP="004F7425">
            <w:pPr>
              <w:jc w:val="both"/>
              <w:rPr>
                <w:i/>
              </w:rPr>
            </w:pPr>
            <w:r w:rsidRPr="00C301EA">
              <w:rPr>
                <w:i/>
              </w:rPr>
              <w:t>65</w:t>
            </w:r>
          </w:p>
        </w:tc>
        <w:tc>
          <w:tcPr>
            <w:tcW w:w="1375" w:type="dxa"/>
          </w:tcPr>
          <w:p w:rsidR="00626711" w:rsidRPr="00C301EA" w:rsidRDefault="00626711" w:rsidP="004F7425">
            <w:pPr>
              <w:jc w:val="both"/>
              <w:rPr>
                <w:i/>
              </w:rPr>
            </w:pPr>
            <w:r w:rsidRPr="00C301EA">
              <w:rPr>
                <w:i/>
              </w:rPr>
              <w:t>25</w:t>
            </w:r>
          </w:p>
        </w:tc>
        <w:tc>
          <w:tcPr>
            <w:tcW w:w="1528" w:type="dxa"/>
          </w:tcPr>
          <w:p w:rsidR="00626711" w:rsidRPr="00C301EA" w:rsidRDefault="00626711" w:rsidP="004F7425">
            <w:pPr>
              <w:jc w:val="both"/>
              <w:rPr>
                <w:i/>
              </w:rPr>
            </w:pPr>
            <w:r w:rsidRPr="00C301EA">
              <w:rPr>
                <w:i/>
              </w:rPr>
              <w:t>5</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Haliucinogenai</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w:t>
            </w:r>
          </w:p>
        </w:tc>
        <w:tc>
          <w:tcPr>
            <w:tcW w:w="1557" w:type="dxa"/>
          </w:tcPr>
          <w:p w:rsidR="00626711" w:rsidRPr="00C301EA" w:rsidRDefault="00626711" w:rsidP="004F7425">
            <w:pPr>
              <w:jc w:val="both"/>
            </w:pPr>
            <w:r w:rsidRPr="00C301EA">
              <w:t>-</w:t>
            </w:r>
          </w:p>
        </w:tc>
        <w:tc>
          <w:tcPr>
            <w:tcW w:w="1375" w:type="dxa"/>
          </w:tcPr>
          <w:p w:rsidR="00626711" w:rsidRPr="00C301EA" w:rsidRDefault="00626711" w:rsidP="004F7425">
            <w:pPr>
              <w:jc w:val="both"/>
            </w:pPr>
            <w:r w:rsidRPr="00C301EA">
              <w:t>7</w:t>
            </w:r>
          </w:p>
        </w:tc>
        <w:tc>
          <w:tcPr>
            <w:tcW w:w="1528" w:type="dxa"/>
          </w:tcPr>
          <w:p w:rsidR="00626711" w:rsidRPr="00C301EA" w:rsidRDefault="00626711" w:rsidP="004F7425">
            <w:pPr>
              <w:jc w:val="both"/>
            </w:pPr>
            <w:r w:rsidRPr="00C301EA">
              <w:t>-</w:t>
            </w:r>
          </w:p>
        </w:tc>
        <w:tc>
          <w:tcPr>
            <w:tcW w:w="1295" w:type="dxa"/>
          </w:tcPr>
          <w:p w:rsidR="00626711" w:rsidRPr="00C301EA" w:rsidRDefault="00626711" w:rsidP="004F7425">
            <w:pPr>
              <w:jc w:val="both"/>
            </w:pPr>
            <w:r w:rsidRPr="00C301EA">
              <w:t>7</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w:t>
            </w:r>
          </w:p>
        </w:tc>
        <w:tc>
          <w:tcPr>
            <w:tcW w:w="1557" w:type="dxa"/>
          </w:tcPr>
          <w:p w:rsidR="00626711" w:rsidRPr="00C301EA" w:rsidRDefault="00626711" w:rsidP="004F7425">
            <w:pPr>
              <w:jc w:val="both"/>
              <w:rPr>
                <w:i/>
              </w:rPr>
            </w:pPr>
            <w:r w:rsidRPr="00C301EA">
              <w:rPr>
                <w:i/>
              </w:rPr>
              <w:t>-</w:t>
            </w:r>
          </w:p>
        </w:tc>
        <w:tc>
          <w:tcPr>
            <w:tcW w:w="1375" w:type="dxa"/>
          </w:tcPr>
          <w:p w:rsidR="00626711" w:rsidRPr="00C301EA" w:rsidRDefault="00626711" w:rsidP="004F7425">
            <w:pPr>
              <w:jc w:val="both"/>
              <w:rPr>
                <w:i/>
              </w:rPr>
            </w:pPr>
            <w:r w:rsidRPr="00C301EA">
              <w:rPr>
                <w:i/>
              </w:rPr>
              <w:t>100</w:t>
            </w:r>
          </w:p>
        </w:tc>
        <w:tc>
          <w:tcPr>
            <w:tcW w:w="1528" w:type="dxa"/>
          </w:tcPr>
          <w:p w:rsidR="00626711" w:rsidRPr="00C301EA" w:rsidRDefault="00626711" w:rsidP="004F7425">
            <w:pPr>
              <w:jc w:val="both"/>
              <w:rPr>
                <w:i/>
              </w:rPr>
            </w:pPr>
            <w:r w:rsidRPr="00C301EA">
              <w:rPr>
                <w:i/>
              </w:rPr>
              <w:t>-</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Kokainas</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3</w:t>
            </w:r>
          </w:p>
        </w:tc>
        <w:tc>
          <w:tcPr>
            <w:tcW w:w="1557" w:type="dxa"/>
          </w:tcPr>
          <w:p w:rsidR="00626711" w:rsidRPr="00C301EA" w:rsidRDefault="00626711" w:rsidP="004F7425">
            <w:pPr>
              <w:jc w:val="both"/>
            </w:pPr>
            <w:r w:rsidRPr="00C301EA">
              <w:t>-</w:t>
            </w:r>
          </w:p>
        </w:tc>
        <w:tc>
          <w:tcPr>
            <w:tcW w:w="1375" w:type="dxa"/>
          </w:tcPr>
          <w:p w:rsidR="00626711" w:rsidRPr="00C301EA" w:rsidRDefault="00626711" w:rsidP="004F7425">
            <w:pPr>
              <w:jc w:val="both"/>
            </w:pPr>
            <w:r w:rsidRPr="00C301EA">
              <w:t>1</w:t>
            </w:r>
          </w:p>
        </w:tc>
        <w:tc>
          <w:tcPr>
            <w:tcW w:w="1528" w:type="dxa"/>
          </w:tcPr>
          <w:p w:rsidR="00626711" w:rsidRPr="00C301EA" w:rsidRDefault="00626711" w:rsidP="004F7425">
            <w:pPr>
              <w:jc w:val="both"/>
            </w:pPr>
            <w:r w:rsidRPr="00C301EA">
              <w:t>4</w:t>
            </w:r>
          </w:p>
        </w:tc>
        <w:tc>
          <w:tcPr>
            <w:tcW w:w="1295" w:type="dxa"/>
          </w:tcPr>
          <w:p w:rsidR="00626711" w:rsidRPr="00C301EA" w:rsidRDefault="00626711" w:rsidP="004F7425">
            <w:pPr>
              <w:jc w:val="both"/>
            </w:pPr>
            <w:r w:rsidRPr="00C301EA">
              <w:t>8</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37,5</w:t>
            </w:r>
          </w:p>
        </w:tc>
        <w:tc>
          <w:tcPr>
            <w:tcW w:w="1557" w:type="dxa"/>
          </w:tcPr>
          <w:p w:rsidR="00626711" w:rsidRPr="00C301EA" w:rsidRDefault="00626711" w:rsidP="004F7425">
            <w:pPr>
              <w:jc w:val="both"/>
              <w:rPr>
                <w:i/>
              </w:rPr>
            </w:pPr>
          </w:p>
        </w:tc>
        <w:tc>
          <w:tcPr>
            <w:tcW w:w="1375" w:type="dxa"/>
          </w:tcPr>
          <w:p w:rsidR="00626711" w:rsidRPr="00C301EA" w:rsidRDefault="00626711" w:rsidP="004F7425">
            <w:pPr>
              <w:jc w:val="both"/>
              <w:rPr>
                <w:i/>
              </w:rPr>
            </w:pPr>
            <w:r w:rsidRPr="00C301EA">
              <w:rPr>
                <w:i/>
              </w:rPr>
              <w:t>12,5</w:t>
            </w:r>
          </w:p>
        </w:tc>
        <w:tc>
          <w:tcPr>
            <w:tcW w:w="1528" w:type="dxa"/>
          </w:tcPr>
          <w:p w:rsidR="00626711" w:rsidRPr="00C301EA" w:rsidRDefault="00626711" w:rsidP="004F7425">
            <w:pPr>
              <w:jc w:val="both"/>
              <w:rPr>
                <w:i/>
              </w:rPr>
            </w:pPr>
            <w:r w:rsidRPr="00C301EA">
              <w:rPr>
                <w:i/>
              </w:rPr>
              <w:t>50</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Keli</w:t>
            </w:r>
          </w:p>
          <w:p w:rsidR="00626711" w:rsidRPr="00C301EA" w:rsidRDefault="00626711" w:rsidP="004F7425">
            <w:pPr>
              <w:jc w:val="both"/>
            </w:pPr>
            <w:r w:rsidRPr="00C301EA">
              <w:t>narkotikai</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717</w:t>
            </w:r>
          </w:p>
        </w:tc>
        <w:tc>
          <w:tcPr>
            <w:tcW w:w="1557" w:type="dxa"/>
          </w:tcPr>
          <w:p w:rsidR="00626711" w:rsidRPr="00C301EA" w:rsidRDefault="00626711" w:rsidP="004F7425">
            <w:pPr>
              <w:jc w:val="both"/>
            </w:pPr>
            <w:r w:rsidRPr="00C301EA">
              <w:t>1</w:t>
            </w:r>
          </w:p>
        </w:tc>
        <w:tc>
          <w:tcPr>
            <w:tcW w:w="1375" w:type="dxa"/>
          </w:tcPr>
          <w:p w:rsidR="00626711" w:rsidRPr="00C301EA" w:rsidRDefault="00626711" w:rsidP="004F7425">
            <w:pPr>
              <w:jc w:val="both"/>
            </w:pPr>
            <w:r w:rsidRPr="00C301EA">
              <w:t>63</w:t>
            </w:r>
          </w:p>
        </w:tc>
        <w:tc>
          <w:tcPr>
            <w:tcW w:w="1528" w:type="dxa"/>
          </w:tcPr>
          <w:p w:rsidR="00626711" w:rsidRPr="00C301EA" w:rsidRDefault="00626711" w:rsidP="004F7425">
            <w:pPr>
              <w:jc w:val="both"/>
            </w:pPr>
            <w:r w:rsidRPr="00C301EA">
              <w:t>10</w:t>
            </w:r>
          </w:p>
        </w:tc>
        <w:tc>
          <w:tcPr>
            <w:tcW w:w="1295" w:type="dxa"/>
          </w:tcPr>
          <w:p w:rsidR="00626711" w:rsidRPr="00C301EA" w:rsidRDefault="00626711" w:rsidP="004F7425">
            <w:pPr>
              <w:jc w:val="both"/>
            </w:pPr>
            <w:r w:rsidRPr="00C301EA">
              <w:t>774</w:t>
            </w:r>
          </w:p>
        </w:tc>
      </w:tr>
      <w:tr w:rsidR="00626711" w:rsidRPr="00C301EA" w:rsidTr="004F7425">
        <w:trPr>
          <w:cantSplit/>
        </w:trPr>
        <w:tc>
          <w:tcPr>
            <w:tcW w:w="1728" w:type="dxa"/>
            <w:vMerge/>
          </w:tcPr>
          <w:p w:rsidR="00626711" w:rsidRPr="00C301EA" w:rsidRDefault="00626711" w:rsidP="004F7425">
            <w:pPr>
              <w:jc w:val="both"/>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92,6</w:t>
            </w:r>
          </w:p>
        </w:tc>
        <w:tc>
          <w:tcPr>
            <w:tcW w:w="1557" w:type="dxa"/>
          </w:tcPr>
          <w:p w:rsidR="00626711" w:rsidRPr="00C301EA" w:rsidRDefault="00626711" w:rsidP="004F7425">
            <w:pPr>
              <w:jc w:val="both"/>
              <w:rPr>
                <w:i/>
              </w:rPr>
            </w:pPr>
            <w:r w:rsidRPr="00C301EA">
              <w:rPr>
                <w:i/>
              </w:rPr>
              <w:t>0,13</w:t>
            </w:r>
          </w:p>
        </w:tc>
        <w:tc>
          <w:tcPr>
            <w:tcW w:w="1375" w:type="dxa"/>
          </w:tcPr>
          <w:p w:rsidR="00626711" w:rsidRPr="00C301EA" w:rsidRDefault="00626711" w:rsidP="004F7425">
            <w:pPr>
              <w:jc w:val="both"/>
              <w:rPr>
                <w:i/>
              </w:rPr>
            </w:pPr>
            <w:r w:rsidRPr="00C301EA">
              <w:rPr>
                <w:i/>
              </w:rPr>
              <w:t>8,14</w:t>
            </w:r>
          </w:p>
        </w:tc>
        <w:tc>
          <w:tcPr>
            <w:tcW w:w="1528" w:type="dxa"/>
          </w:tcPr>
          <w:p w:rsidR="00626711" w:rsidRPr="00C301EA" w:rsidRDefault="00626711" w:rsidP="004F7425">
            <w:pPr>
              <w:jc w:val="both"/>
              <w:rPr>
                <w:i/>
              </w:rPr>
            </w:pPr>
            <w:r w:rsidRPr="00C301EA">
              <w:rPr>
                <w:i/>
              </w:rPr>
              <w:t>1,3</w:t>
            </w:r>
          </w:p>
        </w:tc>
        <w:tc>
          <w:tcPr>
            <w:tcW w:w="1295" w:type="dxa"/>
          </w:tcPr>
          <w:p w:rsidR="00626711" w:rsidRPr="00C301EA" w:rsidRDefault="00626711" w:rsidP="004F7425">
            <w:pPr>
              <w:jc w:val="both"/>
            </w:pPr>
            <w:r w:rsidRPr="00C301EA">
              <w:t>100</w:t>
            </w:r>
          </w:p>
        </w:tc>
      </w:tr>
      <w:tr w:rsidR="00626711" w:rsidRPr="00C301EA" w:rsidTr="004F7425">
        <w:trPr>
          <w:cantSplit/>
        </w:trPr>
        <w:tc>
          <w:tcPr>
            <w:tcW w:w="1728" w:type="dxa"/>
            <w:vMerge w:val="restart"/>
          </w:tcPr>
          <w:p w:rsidR="00626711" w:rsidRPr="00C301EA" w:rsidRDefault="00626711" w:rsidP="004F7425">
            <w:pPr>
              <w:jc w:val="both"/>
            </w:pPr>
            <w:r w:rsidRPr="00C301EA">
              <w:t>Iš viso</w:t>
            </w:r>
          </w:p>
        </w:tc>
        <w:tc>
          <w:tcPr>
            <w:tcW w:w="861" w:type="dxa"/>
          </w:tcPr>
          <w:p w:rsidR="00626711" w:rsidRPr="00C301EA" w:rsidRDefault="00626711" w:rsidP="004F7425">
            <w:pPr>
              <w:jc w:val="both"/>
              <w:rPr>
                <w:i/>
              </w:rPr>
            </w:pPr>
            <w:r w:rsidRPr="00C301EA">
              <w:rPr>
                <w:i/>
              </w:rPr>
              <w:t>Asm.</w:t>
            </w:r>
          </w:p>
        </w:tc>
        <w:tc>
          <w:tcPr>
            <w:tcW w:w="1510" w:type="dxa"/>
          </w:tcPr>
          <w:p w:rsidR="00626711" w:rsidRPr="00C301EA" w:rsidRDefault="00626711" w:rsidP="004F7425">
            <w:pPr>
              <w:jc w:val="both"/>
            </w:pPr>
            <w:r w:rsidRPr="00C301EA">
              <w:t>5 567</w:t>
            </w:r>
          </w:p>
        </w:tc>
        <w:tc>
          <w:tcPr>
            <w:tcW w:w="1557" w:type="dxa"/>
          </w:tcPr>
          <w:p w:rsidR="00626711" w:rsidRPr="00C301EA" w:rsidRDefault="00626711" w:rsidP="004F7425">
            <w:pPr>
              <w:jc w:val="both"/>
            </w:pPr>
            <w:r w:rsidRPr="00C301EA">
              <w:t>48</w:t>
            </w:r>
          </w:p>
        </w:tc>
        <w:tc>
          <w:tcPr>
            <w:tcW w:w="1375" w:type="dxa"/>
          </w:tcPr>
          <w:p w:rsidR="00626711" w:rsidRPr="00C301EA" w:rsidRDefault="00626711" w:rsidP="004F7425">
            <w:pPr>
              <w:jc w:val="both"/>
            </w:pPr>
            <w:r w:rsidRPr="00C301EA">
              <w:t>234</w:t>
            </w:r>
          </w:p>
        </w:tc>
        <w:tc>
          <w:tcPr>
            <w:tcW w:w="1528" w:type="dxa"/>
          </w:tcPr>
          <w:p w:rsidR="00626711" w:rsidRPr="00C301EA" w:rsidRDefault="00626711" w:rsidP="004F7425">
            <w:pPr>
              <w:jc w:val="both"/>
            </w:pPr>
            <w:r w:rsidRPr="00C301EA">
              <w:t>128</w:t>
            </w:r>
          </w:p>
        </w:tc>
        <w:tc>
          <w:tcPr>
            <w:tcW w:w="1295" w:type="dxa"/>
          </w:tcPr>
          <w:p w:rsidR="00626711" w:rsidRPr="00C301EA" w:rsidRDefault="00626711" w:rsidP="004F7425">
            <w:pPr>
              <w:jc w:val="both"/>
            </w:pPr>
            <w:r w:rsidRPr="00C301EA">
              <w:t>5 953</w:t>
            </w:r>
          </w:p>
        </w:tc>
      </w:tr>
      <w:tr w:rsidR="00626711" w:rsidRPr="00C301EA" w:rsidTr="004F7425">
        <w:trPr>
          <w:cantSplit/>
        </w:trPr>
        <w:tc>
          <w:tcPr>
            <w:tcW w:w="1728" w:type="dxa"/>
            <w:vMerge/>
          </w:tcPr>
          <w:p w:rsidR="00626711" w:rsidRPr="00C301EA" w:rsidRDefault="00626711" w:rsidP="004F7425">
            <w:pPr>
              <w:jc w:val="both"/>
              <w:rPr>
                <w:i/>
              </w:rPr>
            </w:pPr>
          </w:p>
        </w:tc>
        <w:tc>
          <w:tcPr>
            <w:tcW w:w="861" w:type="dxa"/>
          </w:tcPr>
          <w:p w:rsidR="00626711" w:rsidRPr="00C301EA" w:rsidRDefault="00626711" w:rsidP="004F7425">
            <w:pPr>
              <w:jc w:val="both"/>
              <w:rPr>
                <w:i/>
              </w:rPr>
            </w:pPr>
            <w:r w:rsidRPr="00C301EA">
              <w:rPr>
                <w:i/>
              </w:rPr>
              <w:t>Proc.</w:t>
            </w:r>
          </w:p>
        </w:tc>
        <w:tc>
          <w:tcPr>
            <w:tcW w:w="1510" w:type="dxa"/>
          </w:tcPr>
          <w:p w:rsidR="00626711" w:rsidRPr="00C301EA" w:rsidRDefault="00626711" w:rsidP="004F7425">
            <w:pPr>
              <w:jc w:val="both"/>
              <w:rPr>
                <w:i/>
              </w:rPr>
            </w:pPr>
            <w:r w:rsidRPr="00C301EA">
              <w:rPr>
                <w:i/>
              </w:rPr>
              <w:t>93,5</w:t>
            </w:r>
          </w:p>
        </w:tc>
        <w:tc>
          <w:tcPr>
            <w:tcW w:w="1557" w:type="dxa"/>
          </w:tcPr>
          <w:p w:rsidR="00626711" w:rsidRPr="00C301EA" w:rsidRDefault="00626711" w:rsidP="004F7425">
            <w:pPr>
              <w:jc w:val="both"/>
              <w:rPr>
                <w:i/>
              </w:rPr>
            </w:pPr>
            <w:r w:rsidRPr="00C301EA">
              <w:rPr>
                <w:i/>
              </w:rPr>
              <w:t>0,8</w:t>
            </w:r>
          </w:p>
        </w:tc>
        <w:tc>
          <w:tcPr>
            <w:tcW w:w="1375" w:type="dxa"/>
          </w:tcPr>
          <w:p w:rsidR="00626711" w:rsidRPr="00C301EA" w:rsidRDefault="00626711" w:rsidP="004F7425">
            <w:pPr>
              <w:jc w:val="both"/>
              <w:rPr>
                <w:i/>
              </w:rPr>
            </w:pPr>
            <w:r w:rsidRPr="00C301EA">
              <w:rPr>
                <w:i/>
              </w:rPr>
              <w:t>3,9</w:t>
            </w:r>
          </w:p>
        </w:tc>
        <w:tc>
          <w:tcPr>
            <w:tcW w:w="1528" w:type="dxa"/>
          </w:tcPr>
          <w:p w:rsidR="00626711" w:rsidRPr="00C301EA" w:rsidRDefault="00626711" w:rsidP="004F7425">
            <w:pPr>
              <w:jc w:val="both"/>
              <w:rPr>
                <w:i/>
              </w:rPr>
            </w:pPr>
            <w:r w:rsidRPr="00C301EA">
              <w:rPr>
                <w:i/>
              </w:rPr>
              <w:t>2,15</w:t>
            </w:r>
          </w:p>
        </w:tc>
        <w:tc>
          <w:tcPr>
            <w:tcW w:w="1295" w:type="dxa"/>
          </w:tcPr>
          <w:p w:rsidR="00626711" w:rsidRPr="00C301EA" w:rsidRDefault="00626711" w:rsidP="004F7425">
            <w:pPr>
              <w:jc w:val="both"/>
              <w:rPr>
                <w:i/>
              </w:rPr>
            </w:pPr>
            <w:r w:rsidRPr="00C301EA">
              <w:rPr>
                <w:i/>
              </w:rPr>
              <w:t>100</w:t>
            </w:r>
          </w:p>
        </w:tc>
      </w:tr>
    </w:tbl>
    <w:p w:rsidR="00626711" w:rsidRPr="00C301EA" w:rsidRDefault="00626711" w:rsidP="00626711">
      <w:pPr>
        <w:jc w:val="both"/>
        <w:rPr>
          <w:i/>
          <w:iCs/>
        </w:rPr>
      </w:pPr>
    </w:p>
    <w:p w:rsidR="00626711" w:rsidRPr="00C301EA" w:rsidRDefault="00626711" w:rsidP="00626711">
      <w:pPr>
        <w:jc w:val="both"/>
        <w:rPr>
          <w:bCs/>
        </w:rPr>
      </w:pPr>
      <w:r w:rsidRPr="00C301EA">
        <w:rPr>
          <w:i/>
          <w:iCs/>
        </w:rPr>
        <w:t>Valstybinio psichikos sveikatos centro duomenys</w:t>
      </w:r>
    </w:p>
    <w:p w:rsidR="00626711" w:rsidRPr="00C301EA" w:rsidRDefault="00626711" w:rsidP="00626711">
      <w:pPr>
        <w:jc w:val="both"/>
        <w:rPr>
          <w:bCs/>
        </w:rPr>
      </w:pPr>
    </w:p>
    <w:p w:rsidR="00626711" w:rsidRPr="00C301EA" w:rsidRDefault="00626711" w:rsidP="00626711">
      <w:pPr>
        <w:jc w:val="both"/>
        <w:rPr>
          <w:bCs/>
        </w:rPr>
      </w:pPr>
    </w:p>
    <w:p w:rsidR="00626711" w:rsidRPr="00C301EA" w:rsidRDefault="00626711" w:rsidP="00626711">
      <w:pPr>
        <w:jc w:val="both"/>
      </w:pPr>
      <w:r w:rsidRPr="00C301EA">
        <w:t xml:space="preserve"> Sergamumo narkomanija situacija Lietuvoje 2009 metais</w:t>
      </w:r>
    </w:p>
    <w:p w:rsidR="00626711" w:rsidRPr="00C301EA" w:rsidRDefault="00626711" w:rsidP="00626711">
      <w:pPr>
        <w:jc w:val="both"/>
      </w:pPr>
    </w:p>
    <w:p w:rsidR="00626711" w:rsidRPr="00C301EA" w:rsidRDefault="00626711" w:rsidP="00626711">
      <w:pPr>
        <w:ind w:firstLine="720"/>
        <w:jc w:val="both"/>
        <w:rPr>
          <w:i/>
        </w:rPr>
      </w:pPr>
      <w:r w:rsidRPr="00C301EA">
        <w:rPr>
          <w:i/>
        </w:rPr>
        <w:t xml:space="preserve">Šioje dalyje analizuojami Valstybinio psichikos sveikatos centro duomenys apie pirmą kartą 2009 m. (nuo 2009 m. sausio 1 d. iki 2010 m. sausio 1 d.) asmens sveikatos priežiūros įstaigose registruotus asmenis, kuriems buvo diagnozuoti psichikos ir elgesio sutrikimai, vartojant narkotines ir psichotropines medžiagas. </w:t>
      </w:r>
    </w:p>
    <w:p w:rsidR="00626711" w:rsidRPr="00C301EA" w:rsidRDefault="00626711" w:rsidP="00626711">
      <w:pPr>
        <w:ind w:firstLine="720"/>
        <w:jc w:val="both"/>
      </w:pPr>
      <w:r w:rsidRPr="00C301EA">
        <w:t xml:space="preserve">Sergamumas narkomanija – asmens sveikatos priežiūros įstaigose pirmą kartą registruotų asmenų, kuriems buvo diagnozuoti psichikos ir elgesio sutrikimai, vartojant narkotines ir psichotropines medžiagas, skaičius tenkantis 100 tūkstančių gyventojų (atv./100 tūkst. gyv.) sausio 1 d. </w:t>
      </w:r>
    </w:p>
    <w:p w:rsidR="00626711" w:rsidRPr="00C301EA" w:rsidRDefault="00626711" w:rsidP="00626711">
      <w:pPr>
        <w:jc w:val="both"/>
      </w:pPr>
    </w:p>
    <w:p w:rsidR="00626711" w:rsidRPr="00C301EA" w:rsidRDefault="00626711" w:rsidP="00626711">
      <w:pPr>
        <w:ind w:firstLine="720"/>
        <w:jc w:val="both"/>
      </w:pPr>
      <w:r w:rsidRPr="00C301EA">
        <w:t>Valstybinio psichikos sveikatos centro duomenimis, Lietuvos asmens sveikatos priežiūros įstaigose 2009 metais pirmą kartą dėl psichikos ir elgesio sutrikimų, vartojant narkotines ar psichotropines medžiagas, registruoti 345 asmenys (5.10 ir 5.11 pav.), tarp jų 6 vaikai (asmenys iki 18 metų). 2009 m. sergamumas narkomanija sudarė 10,4 atv./100 tūkst. gyventojų.</w:t>
      </w:r>
    </w:p>
    <w:p w:rsidR="00626711" w:rsidRPr="00C301EA" w:rsidRDefault="00626711" w:rsidP="00626711">
      <w:pPr>
        <w:jc w:val="both"/>
      </w:pPr>
    </w:p>
    <w:p w:rsidR="00626711" w:rsidRPr="00C301EA" w:rsidRDefault="00626711" w:rsidP="00626711">
      <w:pPr>
        <w:jc w:val="both"/>
        <w:rPr>
          <w:i/>
          <w:iCs/>
        </w:rPr>
      </w:pPr>
      <w:r w:rsidRPr="00C301EA">
        <w:rPr>
          <w:i/>
          <w:iCs/>
        </w:rPr>
        <w:t>7 pav. Sergamumo narkomanija (atvejų sk./100 tūkst. gyv.) dinamika Lietuvoje 2001–2009 metais</w:t>
      </w:r>
    </w:p>
    <w:p w:rsidR="00626711" w:rsidRPr="00C301EA" w:rsidRDefault="00626711" w:rsidP="00626711">
      <w:pPr>
        <w:jc w:val="both"/>
        <w:rPr>
          <w:i/>
          <w:iCs/>
          <w:highlight w:val="lightGray"/>
        </w:rPr>
      </w:pPr>
    </w:p>
    <w:p w:rsidR="00626711" w:rsidRPr="00C301EA" w:rsidRDefault="00626711" w:rsidP="00626711">
      <w:pPr>
        <w:jc w:val="both"/>
        <w:rPr>
          <w:i/>
          <w:iCs/>
          <w:highlight w:val="lightGray"/>
        </w:rPr>
      </w:pPr>
    </w:p>
    <w:p w:rsidR="00626711" w:rsidRPr="00C301EA" w:rsidRDefault="00626711" w:rsidP="00626711">
      <w:pPr>
        <w:jc w:val="both"/>
        <w:rPr>
          <w:i/>
          <w:iCs/>
        </w:rPr>
      </w:pPr>
      <w:r>
        <w:rPr>
          <w:i/>
          <w:iCs/>
          <w:noProof/>
          <w:lang w:eastAsia="lt-LT"/>
        </w:rPr>
        <w:drawing>
          <wp:inline distT="0" distB="0" distL="0" distR="0">
            <wp:extent cx="6353175" cy="2600325"/>
            <wp:effectExtent l="0" t="0" r="0" b="0"/>
            <wp:docPr id="106" name="Diagrama 10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rsidR="00626711" w:rsidRPr="00C301EA" w:rsidRDefault="00626711" w:rsidP="00626711">
      <w:pPr>
        <w:jc w:val="both"/>
        <w:rPr>
          <w:i/>
          <w:iCs/>
        </w:rPr>
      </w:pPr>
    </w:p>
    <w:p w:rsidR="00626711" w:rsidRPr="00C301EA" w:rsidRDefault="00626711" w:rsidP="00626711">
      <w:pPr>
        <w:jc w:val="both"/>
        <w:rPr>
          <w:i/>
          <w:iCs/>
        </w:rPr>
      </w:pPr>
    </w:p>
    <w:p w:rsidR="00626711" w:rsidRPr="00C301EA" w:rsidRDefault="00626711" w:rsidP="00626711">
      <w:pPr>
        <w:jc w:val="both"/>
        <w:rPr>
          <w:i/>
          <w:iCs/>
        </w:rPr>
      </w:pPr>
    </w:p>
    <w:p w:rsidR="00626711" w:rsidRPr="00C301EA" w:rsidRDefault="00626711" w:rsidP="00626711">
      <w:pPr>
        <w:jc w:val="both"/>
        <w:rPr>
          <w:bCs/>
          <w:i/>
          <w:iCs/>
        </w:rPr>
      </w:pPr>
      <w:r w:rsidRPr="00C301EA">
        <w:rPr>
          <w:bCs/>
          <w:i/>
          <w:iCs/>
        </w:rPr>
        <w:t>8 pav. Asmenų pirmą kartą užregistruotų dėl psichikos ir elgesio sutrikimų, vartojant narkotines ir psichotropines medžiagas skaičiaus dinamika Lietuvoje 2001–2009 metais</w:t>
      </w:r>
    </w:p>
    <w:p w:rsidR="00626711" w:rsidRPr="00C301EA" w:rsidRDefault="00626711" w:rsidP="00626711">
      <w:pPr>
        <w:jc w:val="both"/>
        <w:rPr>
          <w:bCs/>
          <w:i/>
          <w:iCs/>
        </w:rPr>
      </w:pPr>
      <w:r>
        <w:rPr>
          <w:bCs/>
          <w:i/>
          <w:iCs/>
          <w:noProof/>
          <w:lang w:eastAsia="lt-LT"/>
        </w:rPr>
        <w:lastRenderedPageBreak/>
        <w:drawing>
          <wp:inline distT="0" distB="0" distL="0" distR="0">
            <wp:extent cx="6353175" cy="2600325"/>
            <wp:effectExtent l="0" t="0" r="0" b="0"/>
            <wp:docPr id="105" name="Diagrama 10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rsidR="00626711" w:rsidRPr="00C301EA" w:rsidRDefault="00626711" w:rsidP="00626711">
      <w:pPr>
        <w:jc w:val="both"/>
        <w:rPr>
          <w:i/>
          <w:iCs/>
        </w:rPr>
      </w:pPr>
      <w:r w:rsidRPr="00C301EA">
        <w:rPr>
          <w:i/>
          <w:iCs/>
        </w:rPr>
        <w:t>Valstybinio psichikos sveikatos centro duomenys</w:t>
      </w:r>
    </w:p>
    <w:p w:rsidR="00626711" w:rsidRPr="00C301EA" w:rsidRDefault="00626711" w:rsidP="00626711">
      <w:pPr>
        <w:jc w:val="both"/>
        <w:rPr>
          <w:i/>
          <w:iCs/>
        </w:rPr>
      </w:pPr>
    </w:p>
    <w:p w:rsidR="00626711" w:rsidRPr="00C301EA" w:rsidRDefault="00626711" w:rsidP="00626711">
      <w:pPr>
        <w:jc w:val="both"/>
        <w:rPr>
          <w:iCs/>
        </w:rPr>
      </w:pPr>
      <w:r w:rsidRPr="00C301EA">
        <w:rPr>
          <w:iCs/>
        </w:rPr>
        <w:t>Pasiskirstymas pagal lytį ir amžių</w:t>
      </w:r>
    </w:p>
    <w:p w:rsidR="00626711" w:rsidRPr="00C301EA" w:rsidRDefault="00626711" w:rsidP="00626711">
      <w:pPr>
        <w:jc w:val="both"/>
      </w:pPr>
    </w:p>
    <w:p w:rsidR="00626711" w:rsidRPr="00C301EA" w:rsidRDefault="00626711" w:rsidP="00626711">
      <w:pPr>
        <w:ind w:firstLine="720"/>
        <w:jc w:val="both"/>
        <w:rPr>
          <w:i/>
          <w:iCs/>
          <w:highlight w:val="lightGray"/>
        </w:rPr>
      </w:pPr>
      <w:r w:rsidRPr="00C301EA">
        <w:t xml:space="preserve">Psichikos ir elgesio sutrikimų, vartojant narkotines bei psichotropines medžiagas, diagnozė 2009 metais pirmą kartą nustatyta 286 (82,9 proc.) vyrams ir 59 (17,1 proc.) moterims. Vyrų sergamumas narkomanija buvo 13,1 atv./100 tūkst. gyv., moterų– 3,6 atv./100 tūkst. gyv. </w:t>
      </w:r>
    </w:p>
    <w:p w:rsidR="00626711" w:rsidRPr="00C301EA" w:rsidRDefault="00626711" w:rsidP="00626711">
      <w:pPr>
        <w:jc w:val="both"/>
        <w:rPr>
          <w:bCs/>
          <w:i/>
          <w:iCs/>
        </w:rPr>
      </w:pPr>
      <w:r w:rsidRPr="00C301EA">
        <w:rPr>
          <w:bCs/>
          <w:i/>
          <w:iCs/>
        </w:rPr>
        <w:t xml:space="preserve">9 pav. Asmenų pirmą kartą užregistruotų dėl psichikos ir elgesio sutrikimų, vartojant narkotines ir psichotropines medžiagas pasiskirstymas pagal amžių ir lytį 2009 m. </w:t>
      </w:r>
    </w:p>
    <w:p w:rsidR="00626711" w:rsidRPr="00C301EA" w:rsidRDefault="00626711" w:rsidP="00626711">
      <w:pPr>
        <w:jc w:val="both"/>
        <w:rPr>
          <w:bCs/>
          <w:i/>
          <w:iCs/>
        </w:rPr>
      </w:pPr>
      <w:r>
        <w:rPr>
          <w:bCs/>
          <w:i/>
          <w:iCs/>
          <w:noProof/>
          <w:lang w:eastAsia="lt-LT"/>
        </w:rPr>
        <w:drawing>
          <wp:inline distT="0" distB="0" distL="0" distR="0">
            <wp:extent cx="6172200" cy="2867025"/>
            <wp:effectExtent l="0" t="0" r="0" b="0"/>
            <wp:docPr id="104" name="Diagrama 10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rsidR="00626711" w:rsidRPr="00C301EA" w:rsidRDefault="00626711" w:rsidP="00626711">
      <w:pPr>
        <w:jc w:val="both"/>
      </w:pPr>
      <w:r w:rsidRPr="00C301EA">
        <w:rPr>
          <w:i/>
          <w:iCs/>
        </w:rPr>
        <w:t>Valstybinio psichikos sveikatos centro duomenys</w:t>
      </w:r>
    </w:p>
    <w:p w:rsidR="00626711" w:rsidRPr="00C301EA" w:rsidRDefault="00626711" w:rsidP="00626711">
      <w:pPr>
        <w:jc w:val="both"/>
      </w:pPr>
      <w:r w:rsidRPr="00C301EA">
        <w:tab/>
      </w:r>
    </w:p>
    <w:p w:rsidR="00626711" w:rsidRPr="00C301EA" w:rsidRDefault="00626711" w:rsidP="00626711">
      <w:pPr>
        <w:jc w:val="both"/>
      </w:pPr>
      <w:r w:rsidRPr="00C301EA">
        <w:tab/>
        <w:t>Psichikos ir elgesio sutrikimų, vartojant narkotines bei psichotropines medžiagas, diagnozė 2009 metais pirmą kartą dažniausiai buvo nustatyta 20–24 metų moterų amžiaus grupėje (25 moterys) ir 25–29 metų vyrų amžiaus grupėje (97 vyrai) (5.13 pav.). Amžiaus grupėje nuo 20 iki 35 metų registruoti 267 atvejai ir tai sudaro 77,4 procento nuo visų 2009 m. pirmą kartą užregistruotų asmenų dėl psichikos ir elgesio sutrikimų, vartojant narkotines ir psichotropines medžiagas.</w:t>
      </w:r>
    </w:p>
    <w:p w:rsidR="00626711" w:rsidRPr="00C301EA" w:rsidRDefault="00626711" w:rsidP="00626711">
      <w:pPr>
        <w:jc w:val="both"/>
        <w:rPr>
          <w:iCs/>
        </w:rPr>
      </w:pPr>
    </w:p>
    <w:p w:rsidR="00626711" w:rsidRPr="00C301EA" w:rsidRDefault="00626711" w:rsidP="00626711">
      <w:pPr>
        <w:jc w:val="both"/>
        <w:rPr>
          <w:iCs/>
        </w:rPr>
      </w:pPr>
      <w:r w:rsidRPr="00C301EA">
        <w:rPr>
          <w:iCs/>
        </w:rPr>
        <w:t>Pasiskirstymas pagal vartotų medžiagų grupes</w:t>
      </w:r>
    </w:p>
    <w:p w:rsidR="00626711" w:rsidRPr="00C301EA" w:rsidRDefault="00626711" w:rsidP="00626711">
      <w:pPr>
        <w:jc w:val="both"/>
        <w:rPr>
          <w:u w:val="single"/>
        </w:rPr>
      </w:pPr>
    </w:p>
    <w:p w:rsidR="00626711" w:rsidRPr="00C301EA" w:rsidRDefault="00626711" w:rsidP="00626711">
      <w:pPr>
        <w:ind w:firstLine="720"/>
        <w:jc w:val="both"/>
      </w:pPr>
      <w:r w:rsidRPr="00C301EA">
        <w:t>Valstybinio psichikos sveikatos centro duomenimis 2009 metais pirmą kartą dėl psichikos ir elgesio sutrikimų vartojant opioidus registruoti 254 asmenys (79,8 proc.), kanabinoidus – 7 (0,7 proc.), raminamąsias ir migdomąsias medžiagas – 6 (1,3 proc.), stimuliatorius ir kofeiną – 15 (2,7 proc.), kelias narkotines ir kitas psichoaktyviąsias medžiagas – 63 (13,0 proc.), vartojant kokainą, haliucinogenus ir lakiąsias medžiagas priklausomų asmenų nenustatyta .</w:t>
      </w:r>
    </w:p>
    <w:p w:rsidR="00626711" w:rsidRPr="00C301EA" w:rsidRDefault="00626711" w:rsidP="00626711">
      <w:pPr>
        <w:jc w:val="both"/>
      </w:pPr>
    </w:p>
    <w:p w:rsidR="00626711" w:rsidRDefault="00626711" w:rsidP="00626711">
      <w:pPr>
        <w:jc w:val="both"/>
        <w:rPr>
          <w:i/>
        </w:rPr>
      </w:pPr>
      <w:r w:rsidRPr="00C301EA">
        <w:rPr>
          <w:i/>
        </w:rPr>
        <w:lastRenderedPageBreak/>
        <w:t xml:space="preserve">10  pav. </w:t>
      </w:r>
      <w:r w:rsidRPr="00C301EA">
        <w:rPr>
          <w:bCs/>
          <w:i/>
          <w:iCs/>
        </w:rPr>
        <w:t>Asmenų pirmą kartą užregistruotų dėl psichikos ir elgesio sutrikimų, vartojant narkotines ir psichotropines medžiagas pasiskirstymas</w:t>
      </w:r>
      <w:r w:rsidRPr="00C301EA">
        <w:rPr>
          <w:i/>
        </w:rPr>
        <w:t xml:space="preserve"> pagal vartojamų medžiagų grupes 2006–2009 m.</w:t>
      </w:r>
    </w:p>
    <w:p w:rsidR="008A1E68" w:rsidRPr="00C301EA" w:rsidRDefault="008A1E68" w:rsidP="00626711">
      <w:pPr>
        <w:jc w:val="both"/>
      </w:pPr>
    </w:p>
    <w:p w:rsidR="00626711" w:rsidRPr="00C301EA" w:rsidRDefault="00626711" w:rsidP="00626711">
      <w:pPr>
        <w:jc w:val="both"/>
        <w:rPr>
          <w:i/>
        </w:rPr>
      </w:pPr>
    </w:p>
    <w:p w:rsidR="00626711" w:rsidRPr="00C301EA" w:rsidRDefault="00626711" w:rsidP="00626711">
      <w:pPr>
        <w:jc w:val="both"/>
      </w:pPr>
      <w:r>
        <w:rPr>
          <w:noProof/>
          <w:lang w:eastAsia="lt-LT"/>
        </w:rPr>
        <w:drawing>
          <wp:inline distT="0" distB="0" distL="0" distR="0">
            <wp:extent cx="5105400" cy="2495550"/>
            <wp:effectExtent l="0" t="0" r="0" b="0"/>
            <wp:docPr id="103" name="Diagrama 10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p w:rsidR="00626711" w:rsidRPr="00C301EA" w:rsidRDefault="00626711" w:rsidP="00626711">
      <w:pPr>
        <w:jc w:val="both"/>
      </w:pPr>
      <w:r w:rsidRPr="00C301EA">
        <w:rPr>
          <w:i/>
          <w:iCs/>
        </w:rPr>
        <w:t>Valstybinio psichikos sveikatos centro duomenys</w:t>
      </w:r>
    </w:p>
    <w:p w:rsidR="00626711" w:rsidRPr="00C301EA" w:rsidRDefault="00626711" w:rsidP="00626711">
      <w:pPr>
        <w:jc w:val="both"/>
      </w:pPr>
    </w:p>
    <w:p w:rsidR="00626711" w:rsidRPr="00C301EA" w:rsidRDefault="00626711" w:rsidP="00626711">
      <w:pPr>
        <w:jc w:val="both"/>
      </w:pPr>
      <w:r w:rsidRPr="00C301EA">
        <w:t>Pasiskirstymas pagal gyvenamąją vietą</w:t>
      </w:r>
    </w:p>
    <w:p w:rsidR="00626711" w:rsidRPr="00C301EA" w:rsidRDefault="00626711" w:rsidP="00626711">
      <w:pPr>
        <w:jc w:val="both"/>
        <w:rPr>
          <w:i/>
        </w:rPr>
      </w:pPr>
    </w:p>
    <w:p w:rsidR="00626711" w:rsidRPr="00C301EA" w:rsidRDefault="00626711" w:rsidP="00626711">
      <w:pPr>
        <w:ind w:firstLine="720"/>
        <w:jc w:val="both"/>
        <w:rPr>
          <w:bCs/>
        </w:rPr>
      </w:pPr>
      <w:r w:rsidRPr="00C301EA">
        <w:t>2009 metais sergamumas narkomanija Vilniaus apskrityje buvo 24,1 atv./100 tūkst. gyventojų (205 asmenys), Klaipėdos – 18,6 (70 asmenų), Alytaus – 12,1 (21 asmuo), Utenos – 10,7 (18 asmenų), Telšių – 3,5 (6 asmenys), Panevėžio – 3,2 (9 asmenys), Kauno – 1,4 (9 asmenys), Marijampolės – 1,7 (3 asmenys), Šiaulių – 1,2 (4 asmenys), Tauragės – 0,0 (0 asmenų) (</w:t>
      </w:r>
      <w:r w:rsidRPr="00C301EA">
        <w:rPr>
          <w:bCs/>
        </w:rPr>
        <w:t>5.14 pav.).</w:t>
      </w:r>
    </w:p>
    <w:p w:rsidR="00626711" w:rsidRPr="00C301EA" w:rsidRDefault="00626711" w:rsidP="00626711">
      <w:pPr>
        <w:jc w:val="both"/>
        <w:rPr>
          <w:bCs/>
          <w:i/>
          <w:iCs/>
        </w:rPr>
      </w:pPr>
    </w:p>
    <w:p w:rsidR="00626711" w:rsidRPr="00C301EA" w:rsidRDefault="00626711" w:rsidP="00626711">
      <w:pPr>
        <w:jc w:val="both"/>
        <w:rPr>
          <w:bCs/>
          <w:i/>
          <w:iCs/>
        </w:rPr>
      </w:pPr>
      <w:r w:rsidRPr="00C301EA">
        <w:rPr>
          <w:bCs/>
          <w:i/>
          <w:iCs/>
        </w:rPr>
        <w:t>11  pav. Sergamumas narkomanija rodikliai Lietuvos apskrityse 2009 m.</w:t>
      </w:r>
    </w:p>
    <w:p w:rsidR="00626711" w:rsidRPr="00C301EA" w:rsidRDefault="00626711" w:rsidP="00626711">
      <w:pPr>
        <w:jc w:val="both"/>
        <w:rPr>
          <w:bCs/>
          <w:i/>
          <w:iCs/>
        </w:rPr>
      </w:pPr>
      <w:r>
        <w:rPr>
          <w:bCs/>
          <w:i/>
          <w:iCs/>
          <w:noProof/>
          <w:lang w:eastAsia="lt-LT"/>
        </w:rPr>
        <w:drawing>
          <wp:inline distT="0" distB="0" distL="0" distR="0">
            <wp:extent cx="6048375" cy="2600325"/>
            <wp:effectExtent l="0" t="0" r="0" b="0"/>
            <wp:docPr id="102" name="Diagrama 10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p w:rsidR="00626711" w:rsidRPr="00C301EA" w:rsidRDefault="00626711" w:rsidP="00626711">
      <w:pPr>
        <w:jc w:val="both"/>
        <w:rPr>
          <w:i/>
        </w:rPr>
      </w:pPr>
      <w:r w:rsidRPr="00C301EA">
        <w:t>V</w:t>
      </w:r>
      <w:r w:rsidRPr="00C301EA">
        <w:rPr>
          <w:i/>
        </w:rPr>
        <w:t>alstybinio psichikos sveikatos centro duomenys</w:t>
      </w:r>
    </w:p>
    <w:p w:rsidR="00626711" w:rsidRPr="00C301EA" w:rsidRDefault="00626711" w:rsidP="00626711">
      <w:pPr>
        <w:jc w:val="both"/>
        <w:rPr>
          <w:bCs/>
        </w:rPr>
      </w:pPr>
    </w:p>
    <w:p w:rsidR="00626711" w:rsidRPr="00C301EA" w:rsidRDefault="00626711" w:rsidP="00626711">
      <w:pPr>
        <w:ind w:firstLine="720"/>
        <w:jc w:val="both"/>
      </w:pPr>
      <w:r w:rsidRPr="00C301EA">
        <w:t>Visagino savivaldybėje 2009 metais sergamumas narkomanija buvo 31,8 atvejo 100 tūkstančių gyventojų sergamumas (registruoti 9 nauji asmenys dėl psichikos ir elgesio sutrikimų vartojant narkotines ir psichotropines medžiagas), Klaipėdoje – 30,6 atv./100 tūkst. gyv. (56 asmenys), Vilniuje – 30,2 atv./100 tūkst. gyv. (169 asmenys), Vilniaus rajone – 13,7 atv./100 tūkst. gyv. (13 asmenų), Druskininkuose – 12,5 atv./100 tūkst. gyv. (3 asmenys), Panevėžyje – 8,8 atv./100 tūkst. gyv.</w:t>
      </w:r>
    </w:p>
    <w:p w:rsidR="00626711" w:rsidRPr="00C301EA" w:rsidRDefault="00626711" w:rsidP="00626711">
      <w:pPr>
        <w:jc w:val="both"/>
      </w:pPr>
    </w:p>
    <w:p w:rsidR="00626711" w:rsidRDefault="00626711" w:rsidP="00626711">
      <w:pPr>
        <w:jc w:val="both"/>
        <w:rPr>
          <w:bCs/>
        </w:rPr>
      </w:pPr>
      <w:r w:rsidRPr="00C301EA">
        <w:tab/>
      </w:r>
      <w:r w:rsidRPr="00C301EA">
        <w:rPr>
          <w:bCs/>
        </w:rPr>
        <w:t xml:space="preserve">Apibendrinus Sveikatos apsaugos ministerijos, Narkotikų kontrolės departamento prie Lietuvos Respublikos Vyriausybės ir Valstybinio psichikos sveikatos centro pateiktus Komisijai duomenis apie ligotumo narkomanija  skaičius yra neatitikimų.  </w:t>
      </w:r>
    </w:p>
    <w:p w:rsidR="00626711" w:rsidRDefault="00626711" w:rsidP="00626711">
      <w:pPr>
        <w:jc w:val="both"/>
        <w:rPr>
          <w:bCs/>
        </w:rPr>
      </w:pPr>
    </w:p>
    <w:p w:rsidR="00626711" w:rsidRPr="00A7724E" w:rsidRDefault="00626711" w:rsidP="00626711">
      <w:pPr>
        <w:jc w:val="both"/>
        <w:rPr>
          <w:b/>
          <w:bCs/>
        </w:rPr>
      </w:pPr>
      <w:r w:rsidRPr="00A7724E">
        <w:rPr>
          <w:b/>
          <w:bCs/>
        </w:rPr>
        <w:lastRenderedPageBreak/>
        <w:t xml:space="preserve">10. Dėl paslaugų prieinamumo pagerinimo asmenims, esantiems </w:t>
      </w:r>
      <w:r w:rsidRPr="00A7724E">
        <w:rPr>
          <w:b/>
        </w:rPr>
        <w:t xml:space="preserve">laisvės atėmimo vietose, </w:t>
      </w:r>
      <w:r w:rsidRPr="00A7724E">
        <w:rPr>
          <w:b/>
          <w:bCs/>
        </w:rPr>
        <w:t>priklausomiems nuo alkoholizmo, narkotikų ir psichotropinių medžiagų vartojimo</w:t>
      </w:r>
      <w:r>
        <w:rPr>
          <w:b/>
          <w:bCs/>
        </w:rPr>
        <w:t>.</w:t>
      </w:r>
    </w:p>
    <w:p w:rsidR="00626711" w:rsidRPr="00C301EA" w:rsidRDefault="00626711" w:rsidP="00626711">
      <w:pPr>
        <w:ind w:firstLine="720"/>
        <w:jc w:val="both"/>
        <w:rPr>
          <w:b/>
          <w:bCs/>
        </w:rPr>
      </w:pPr>
    </w:p>
    <w:p w:rsidR="00626711" w:rsidRPr="00C301EA" w:rsidRDefault="00626711" w:rsidP="00626711">
      <w:pPr>
        <w:ind w:firstLine="720"/>
        <w:jc w:val="both"/>
      </w:pPr>
      <w:r w:rsidRPr="00C301EA">
        <w:rPr>
          <w:bCs/>
        </w:rPr>
        <w:t>Komisijos posėdžio metu pateiktoje informacijoje matyti, kad</w:t>
      </w:r>
      <w:r w:rsidRPr="00C301EA">
        <w:rPr>
          <w:b/>
          <w:bCs/>
        </w:rPr>
        <w:t xml:space="preserve"> </w:t>
      </w:r>
      <w:r w:rsidRPr="00C301EA">
        <w:t>Lietuvoje yra 15 penitencinių įstaigų: 3 tardymo izoliatoriai, kurių vienas tardymo izoliatorius – kalėjimas, 10 pataisos namų: 1 pataisos namai- atviroji kolonija;  1 gydymo pataisos namai, kuriuose gydomi vyrai sergantys tuberkulioze; 1 pataisos namai moterims; 1 tardymo izoliatorius – pataisos namai skirti nepilnamečiams; 1 laisvės atėmimo vietų ligoninė.</w:t>
      </w:r>
    </w:p>
    <w:p w:rsidR="00626711" w:rsidRPr="00C301EA" w:rsidRDefault="00626711" w:rsidP="00626711">
      <w:pPr>
        <w:ind w:firstLine="720"/>
        <w:jc w:val="both"/>
      </w:pPr>
      <w:r w:rsidRPr="00C301EA">
        <w:t xml:space="preserve">Kalėjimų departamento prie Teisingumo ministerijos duomenimis laisvės atėmimo vietose vykdoma daugybė programų, kuriose dalyvauja sveikatos priežiūros tarnybos. Iš jų: Asmens sveikatos priežiūros paslaugų teikimas suimtiesiems ir nuteistiesiems; Nacionalinė narkotikų kontrolės ir narkomanijos prevencijos įgyvendinimo programa; Valstybinė ŽIV/AIDS profilaktikos ir kontrolės programa; Valstybinė lytiškai plintančių infekcijų profilaktikos ir kontrolės įgyvendinimo programa; Valstybinė tuberkuliozės profilaktikos ir kontrolės programa; PSO projektas sveikatos priežiūra kalėjimuose ir kt. . </w:t>
      </w:r>
    </w:p>
    <w:p w:rsidR="00626711" w:rsidRPr="00C301EA" w:rsidRDefault="00626711" w:rsidP="00626711">
      <w:pPr>
        <w:ind w:firstLine="720"/>
        <w:jc w:val="both"/>
      </w:pPr>
      <w:r w:rsidRPr="00C301EA">
        <w:t>Veikia nepilnamečių integracijos centras, kuriame 3 mėn. iki paleidimo iš įkalinimo vietos į laisvę nuteistiesiems suteikiama informacija apie įstaigas, į kurias jie turėtų kreiptis laisvėje.</w:t>
      </w:r>
    </w:p>
    <w:p w:rsidR="00626711" w:rsidRPr="00C301EA" w:rsidRDefault="00626711" w:rsidP="00626711">
      <w:pPr>
        <w:jc w:val="both"/>
      </w:pPr>
      <w:r w:rsidRPr="00C301EA">
        <w:t>Nuteistųjų skaičius Lietuvoje svyruoja apie 8000: bausmes atlieka apie 6000 nuteistųjų, apie 1000 yra suimtųjų, moterų – 37 proc.</w:t>
      </w:r>
    </w:p>
    <w:p w:rsidR="00626711" w:rsidRPr="00C301EA" w:rsidRDefault="00626711" w:rsidP="00626711">
      <w:pPr>
        <w:ind w:firstLine="720"/>
        <w:jc w:val="both"/>
      </w:pPr>
      <w:r w:rsidRPr="00C301EA">
        <w:t xml:space="preserve">Iki 1995 metų laisvės atėmimo vietose vyravo alkoholio vartojimas, o jau 1997 metais pirmą kartą narkotines medžiagas vartojančių nuteistųjų skaičius viršijo vartojančius alkoholį. 2007 01 01 narkotines medžiagas vartojančių asmenų buvo – 1488, 2008 01 01 – 1390 asmenų ir 2009 01 01 – 1604 asmenų.  </w:t>
      </w:r>
    </w:p>
    <w:p w:rsidR="00626711" w:rsidRPr="00C301EA" w:rsidRDefault="00626711" w:rsidP="00626711">
      <w:pPr>
        <w:ind w:firstLine="720"/>
        <w:jc w:val="both"/>
      </w:pPr>
      <w:r w:rsidRPr="00C301EA">
        <w:t xml:space="preserve"> Stebimas palaipsniškas asmenų, vartojančių narkotines medžiagas skaičiaus didėjimas (200 – 300 asmenų yra įskaitoje). Apie 40 proc. asmenų teigia, kad jie vartoja opioidus, nemažėja stimuliatorių vartojimas, tačiau realiai jie vartoja amfetaminą, pagrindinę vartotojų dalį sudaro intraveniniai narkotikai. Pvz., 2007 m. 41, 7 proc. nuteistųjų vartoja kelis narkotikus, stimuliatorius – 8,1 proc., raminamuosius ir migdomuosius – 1,1 proc., kanabinoidus – 3,4 proc. opioidus – 44,2 proc. Dabartiniu metu laisvės atėmimo vietose galioja ta pati apsvaigimo nustatymo tvarka, kokią atlieka ir policijos pareigūnai. </w:t>
      </w:r>
    </w:p>
    <w:p w:rsidR="00626711" w:rsidRPr="00C301EA" w:rsidRDefault="00626711" w:rsidP="00626711">
      <w:pPr>
        <w:ind w:firstLine="720"/>
        <w:jc w:val="both"/>
      </w:pPr>
      <w:r w:rsidRPr="00C301EA">
        <w:t xml:space="preserve"> Prieš du metus buvo uždrausta nuteistiesiems gauti maisto siuntinius, vėliau įsigaliojo pataisa dėl vaišinimosi uždraudimo per trumpalaikį pasimatymą.</w:t>
      </w:r>
    </w:p>
    <w:p w:rsidR="00626711" w:rsidRPr="00C301EA" w:rsidRDefault="00626711" w:rsidP="00626711">
      <w:pPr>
        <w:ind w:firstLine="720"/>
        <w:jc w:val="both"/>
      </w:pPr>
      <w:r w:rsidRPr="00C301EA">
        <w:t xml:space="preserve">Yra problemų dėl narkotinių medžiagų permetimų per tvorą, kurios pasiekia nuteistuosius. </w:t>
      </w:r>
    </w:p>
    <w:p w:rsidR="00626711" w:rsidRPr="00C301EA" w:rsidRDefault="00626711" w:rsidP="00626711">
      <w:pPr>
        <w:ind w:firstLine="720"/>
        <w:jc w:val="both"/>
      </w:pPr>
      <w:r w:rsidRPr="00C301EA">
        <w:t xml:space="preserve"> Mobiliojo ryšio aparatų išimta: 2007 m. – 3954 vnt., 2008 m. – 4580 vnt.</w:t>
      </w:r>
    </w:p>
    <w:p w:rsidR="00626711" w:rsidRPr="00C301EA" w:rsidRDefault="00626711" w:rsidP="00626711">
      <w:pPr>
        <w:ind w:firstLine="720"/>
        <w:jc w:val="both"/>
      </w:pPr>
      <w:r w:rsidRPr="00C301EA">
        <w:t>Nuteistiesiems tenka mažas skaičius prižiūrėtojų (pvz. Alytaus pataisos namuose 1500 nuteistųjų tenka tik 15 prižiūrėtojų).</w:t>
      </w:r>
    </w:p>
    <w:p w:rsidR="00626711" w:rsidRPr="00C301EA" w:rsidRDefault="00626711" w:rsidP="00626711">
      <w:pPr>
        <w:ind w:firstLine="720"/>
        <w:jc w:val="both"/>
      </w:pPr>
      <w:r w:rsidRPr="00C301EA">
        <w:t>Nepalaikoma švirkštų dalinimo laisvės atėmimo vietose idėja, nes davus švirkštus yra palengvinimas kelias nuteistiesiems vartoti narkotikus. Be to, švirkštas gali tapti ginklu. ES šalių praktika rodo, kad kai kuriose valstybėse, pvz., Vokietijoje, atsisakoma švirkštų dalinimo, metadono programų. Pravieniškių 1-iuose pataisos namuose yra įkurtas narkomanijos prevencijos vietinis centras, pilotažinis projektas buvo vykdomas visuose pataisos namuose.</w:t>
      </w:r>
    </w:p>
    <w:p w:rsidR="00626711" w:rsidRPr="00C301EA" w:rsidRDefault="00626711" w:rsidP="00626711">
      <w:pPr>
        <w:ind w:firstLine="720"/>
        <w:jc w:val="both"/>
      </w:pPr>
      <w:r w:rsidRPr="00C301EA">
        <w:t>Kalėjimų departamento prie Teisingumo ministerijos siūlymu narkotikų vartojimą mažinančios priemonės laisvės atėmimo vietose būtų: suimtųjų ir nuteistųjų skaičiaus mažinimas; laisvės atėmimo bausmės trumpinimas; suimtųjų ir nuteistųjų gyvenimo sąlygų gerinimas; dalyvavimas socialinės reabilitacijos programose; mokslas; užimtumo didinimas (2007 m. dirbo 31,7 proc. nuteistųjų; 2008 m. – 30,7 proc. nuteistųjų).</w:t>
      </w:r>
    </w:p>
    <w:p w:rsidR="00626711" w:rsidRPr="00C301EA" w:rsidRDefault="00626711" w:rsidP="00626711">
      <w:pPr>
        <w:ind w:firstLine="720"/>
        <w:jc w:val="both"/>
      </w:pPr>
      <w:r w:rsidRPr="00C301EA">
        <w:t xml:space="preserve">Siūloma laisvės atėmimo vietose mažinti priklausomybę turinčių asmenų skaičių, narkotinių medžiagų patekimui į laisvės atėmimo vietas įdiegti naujas technikos priemones, kad būtų galima įdiegti mobiliųjų telefonų blokavimo įrangą, mobiliųjų telefonų aptikimo įrangą. </w:t>
      </w:r>
    </w:p>
    <w:p w:rsidR="00626711" w:rsidRPr="00C301EA" w:rsidRDefault="00626711" w:rsidP="00626711">
      <w:pPr>
        <w:ind w:firstLine="720"/>
        <w:jc w:val="both"/>
      </w:pPr>
      <w:r w:rsidRPr="00C301EA">
        <w:t>Siūloma įsteigti Reabilitacijos centrą laisvės atėmimo vietose, kad taikyti gydymą ir reabilitaciją asmenims, priklausomiems nuo alkoholio ar narkotikų. Siūloma skirti reikalingas lėšas ŽIV programai įgyvendinti.</w:t>
      </w:r>
    </w:p>
    <w:p w:rsidR="00626711" w:rsidRPr="00C301EA" w:rsidRDefault="00626711" w:rsidP="00626711">
      <w:pPr>
        <w:ind w:firstLine="720"/>
        <w:jc w:val="both"/>
      </w:pPr>
      <w:r w:rsidRPr="00C301EA">
        <w:t xml:space="preserve">Laisvės atėmimo vietose nepakankamas medicinos darbuotojų ir gydytojų skaičius (susiduriama su medikų trūkumu, 50 proc. įstaigų neturi psichiatrų, su psichologų trūkumu, medikų atlyginimo problema). </w:t>
      </w:r>
    </w:p>
    <w:p w:rsidR="00626711" w:rsidRPr="00C301EA" w:rsidRDefault="00626711" w:rsidP="00626711">
      <w:pPr>
        <w:ind w:firstLine="720"/>
        <w:jc w:val="both"/>
      </w:pPr>
      <w:r w:rsidRPr="00C301EA">
        <w:lastRenderedPageBreak/>
        <w:t>Neišspręstas nepilnamečių vaikų tėvų atsakomybės klausimas. Vaikui, kuris vogė dėl to, kad neturėjo valgyti, norėjo gražiau apsirengti, skiriamas laisvės atėmimas, o tėvams - jokios atsakomybės. Tėvai nelanko vaikų, jiems yra siunčiami laiškai, kad jie atvažiuotų aplankyti savo vaikų, tačiau, tik 50 proc. vaikų sulaukia tėvų, artimųjų dėmesio.</w:t>
      </w:r>
    </w:p>
    <w:p w:rsidR="00626711" w:rsidRPr="00C301EA" w:rsidRDefault="00626711" w:rsidP="00626711">
      <w:pPr>
        <w:ind w:firstLine="720"/>
        <w:jc w:val="both"/>
      </w:pPr>
      <w:r w:rsidRPr="00C301EA">
        <w:t xml:space="preserve">Kartais nepilnamečiai į laisvės atėmimo vietas patenka be asmens tapatybės kortelių (tik su gimimo liudijimais), nebūna informacijos net kokioje klasėje vaikas mokėsi iki patekimo į pataisos namus, pataisos namai neturi jokio ryšio su rajonų, miestų socialiniais darbuotojais. </w:t>
      </w:r>
    </w:p>
    <w:p w:rsidR="00626711" w:rsidRPr="00C301EA" w:rsidRDefault="00626711" w:rsidP="00626711">
      <w:pPr>
        <w:ind w:firstLine="720"/>
        <w:jc w:val="both"/>
      </w:pPr>
      <w:r w:rsidRPr="00C301EA">
        <w:t xml:space="preserve">Narkotinių medžiagų paklausos mažinimas laisvės atėmimo vietose galėtų būti sprendžiamas: per narkomanijos reabilitacijos ir prevencijos centrų steigimą visuose pataisos namuose; bendradarbiavimą su valstybės institucijomis ir nevyriausybinėmis organizacijomis; švietėjiška veikla turėtų būti prieinama personalui bei visiems suimtiesiems ir nuteistiesiems; suimtųjų ir nuteistųjų individualios konsultacijos; laisvės atėmimo vietų pareigūnų atestacija ir atranka; sustiprinta laisvės atėmimo vietų personalo kontrolė; laisvės atėmimo vietų perimetro apsaugos stiprinimas ir kitos bendros su policijos departamentu priemonės; pašto ir daiktų perdavimo tikrinimo kontrolės sugriežtinimas techninėmis priemonėmis; išorės ir vidaus stebėjimo taškų įrengimas. </w:t>
      </w:r>
    </w:p>
    <w:p w:rsidR="00626711" w:rsidRPr="00C301EA" w:rsidRDefault="00626711" w:rsidP="00626711">
      <w:pPr>
        <w:ind w:firstLine="720"/>
        <w:jc w:val="both"/>
      </w:pPr>
      <w:r w:rsidRPr="00C301EA">
        <w:t xml:space="preserve">Narkotinių medžiagų išėmimas laisvės atėmimo vietose: 2007 m. išimta 1180,46 g; 2008 m. – 1378, 48 g. Dėl neteisėtos narkotinių medžiagų apyvartos pradėti ikiteisminiai tyrimai ar iškeltos baudžiamosios bylos: 2007 m. – 152 ikiteisminiai tyrimai; 2008 m. – 140 ikiteisminių tyrimų. </w:t>
      </w:r>
    </w:p>
    <w:p w:rsidR="00626711" w:rsidRDefault="00626711" w:rsidP="00626711">
      <w:pPr>
        <w:jc w:val="both"/>
      </w:pPr>
      <w:r w:rsidRPr="00C301EA">
        <w:tab/>
      </w:r>
      <w:r w:rsidRPr="00A7724E">
        <w:rPr>
          <w:bCs/>
        </w:rPr>
        <w:t>2010 m. rugsėjo 15 d.</w:t>
      </w:r>
      <w:r w:rsidRPr="00C301EA">
        <w:t xml:space="preserve"> Komisijos posėdyje nagrinėjant</w:t>
      </w:r>
      <w:r w:rsidRPr="00C301EA">
        <w:rPr>
          <w:rFonts w:eastAsia="Arial Unicode MS"/>
        </w:rPr>
        <w:t xml:space="preserve"> laisvės atėmimo vietose esančių asmenų, sergančių priklausomybės bei užkrečiamomis ligomis gydymo, klausimą, nustatyta, kad </w:t>
      </w:r>
      <w:r w:rsidRPr="00C301EA">
        <w:t xml:space="preserve">lėšų poreikis suimtųjų ir nuteistųjų gydymui nuo priklausomybės ir užkrečiamųjų ligų yra labai didelis. Šiandieną į laisvės atėmimo vietas atvykstantys asmenys  laisvėje vartojo narkotikus apie 70 proc. asmenų. Per 9 mėn. nuteistųjų laisvės atėmimo vietose padidėjo 1 tūkstančių, tai vartojančių narkotikus asmenų taip pat padidėjo irgi. Nuolat laisvės atėmimo vietose narkotikus vartojančių asmenų yra 19-20 proc., todėl sergančių užkrečiamosiomis ligomis taip pat yra. Reikia labai daug lėšų. Dažniausiai narkotikus vartojantys asmenys serga ir užkrečiamosiomis ligomis. Nuo N.Metų ŽIV infekuotų asmenų per 8 mėn. padidėjo 70 asmenų. 370 ŽIV  infekuotų asmenų ir gydymui 1 asmens per metus reikia  30 tūkst.Lt. Šiandien reikia gydyti 100 asmenų. Hepatitai B ir C ir tuberkuliozė – ligos, lydinčios intraveninius narkotikus vartojančius asmenis. 90 proc. nuteistųjų turi Hepatito C problemą.  Šiandien yra 1685 narkotikus vartojančių asmenis laisvės atėmimo vietose, iš jų 1500  asmenų turi Hepatito C problemą. Vien tokio asmens gydymas 1 metams kainuoja  60 tūkst. lt. Tuberkuliozę gydyti vienam asmeniui kainuoja 1 metams nuo 18 iki 24 tūkst. lt.  Reikia 5 mln. lt skirti gydymui, kad ŽIV neplistų įkalinimo įstaigose. Per šiuos metus iš 33 asmenų, 25 asmenys išaiškinti laisvės atėmimo vietose, likusieji žinojo, kad serga. ŽIV infekcija plinta tiek laisvėje, tiek kalėjimų sistemoje. Antra problema, priklausomybių gydymas. Taikoma Minesotos 12 – kos žingsnių programa, abstinencijos gydymas ir toliau psicholigų pagalba. Reikia reabilitacijos centro narkomanams. Yra laisvų zonų be narkotikų, bet jose nedaug yra asmenų. Laisvės atėmimo vietose mirusių nuo ŽIV, Kalėjimų departamento prie Lietuvos Respublikos Teisingumo ministerijos Sveikatos priežiūros skyriaus duomenimis, nėra. Į laisvę per metus išeina apie 200 asmenų, todėl infekuotus būtina gydyti prieš išleidžiant į laisvę. Nėra nė vieno rajono į kuri tokie asmenys neišvažiuotų, tačiau jie nuolat migruoja ir konkrečios gyvenamos jų vietos nežinomos. Gydomi tik tie asmenys, kurie kreipiasi į gydytojus. Priverstinio hospitalizavimo šioms ligoms nėra, dispanserizacijos irgi nėra net visoje Europoje. Planuojamos programos įstaigoms, lėšos planuojamos ir skiriamos medikamentams. Kitų metų biudžete numatomos lėšos kaip ir 2010 metams. </w:t>
      </w:r>
    </w:p>
    <w:p w:rsidR="00626711" w:rsidRDefault="00626711" w:rsidP="00626711">
      <w:pPr>
        <w:jc w:val="both"/>
      </w:pPr>
    </w:p>
    <w:p w:rsidR="00626711" w:rsidRDefault="00626711" w:rsidP="00626711">
      <w:pPr>
        <w:jc w:val="both"/>
      </w:pPr>
    </w:p>
    <w:p w:rsidR="00626711" w:rsidRDefault="00626711" w:rsidP="00626711">
      <w:pPr>
        <w:jc w:val="both"/>
        <w:rPr>
          <w:b/>
        </w:rPr>
      </w:pPr>
      <w:r w:rsidRPr="00A7724E">
        <w:rPr>
          <w:b/>
        </w:rPr>
        <w:t>Seimo Narkomanijos ir alkoholizmo prevencijos komisija buvo paskirta papildomu komitetu bei pateikė savo išvadas dėl šių teisės aktų projektų:</w:t>
      </w:r>
    </w:p>
    <w:p w:rsidR="00626711" w:rsidRDefault="00626711" w:rsidP="00626711">
      <w:pPr>
        <w:jc w:val="both"/>
        <w:rPr>
          <w:b/>
        </w:rPr>
      </w:pPr>
    </w:p>
    <w:p w:rsidR="00626711" w:rsidRDefault="00626711" w:rsidP="00626711">
      <w:pPr>
        <w:jc w:val="both"/>
        <w:rPr>
          <w:rFonts w:eastAsia="Arial Unicode MS"/>
        </w:rPr>
      </w:pPr>
      <w:r w:rsidRPr="00C301EA">
        <w:t xml:space="preserve">1. </w:t>
      </w:r>
      <w:r w:rsidRPr="00C301EA">
        <w:rPr>
          <w:rFonts w:eastAsia="Arial Unicode MS"/>
        </w:rPr>
        <w:t xml:space="preserve">Narkotinių ir psichotropinių medžiagų kontrolės 2, 3 ir 10 straipsnių pakeitimo ir papildymo </w:t>
      </w:r>
      <w:r>
        <w:rPr>
          <w:rFonts w:eastAsia="Arial Unicode MS"/>
        </w:rPr>
        <w:t>įstatymo projektui Nr. XIP-2067.</w:t>
      </w:r>
    </w:p>
    <w:p w:rsidR="00626711" w:rsidRDefault="00626711" w:rsidP="00626711">
      <w:pPr>
        <w:jc w:val="both"/>
        <w:rPr>
          <w:rFonts w:eastAsia="Arial Unicode MS"/>
        </w:rPr>
      </w:pPr>
      <w:r w:rsidRPr="00C301EA">
        <w:t xml:space="preserve">2. </w:t>
      </w:r>
      <w:r w:rsidRPr="00C301EA">
        <w:rPr>
          <w:rFonts w:eastAsia="Arial Unicode MS"/>
        </w:rPr>
        <w:t>Išvada Nutarimo “Dėl Nacionalinės narkotikų kontrolės ir narkomanijos prevencijos 2010-2016 metų programos patv</w:t>
      </w:r>
      <w:r>
        <w:rPr>
          <w:rFonts w:eastAsia="Arial Unicode MS"/>
        </w:rPr>
        <w:t>irtinimo” projektui Nr. XIP-980.</w:t>
      </w:r>
    </w:p>
    <w:p w:rsidR="00626711" w:rsidRDefault="00626711" w:rsidP="00626711">
      <w:pPr>
        <w:jc w:val="both"/>
      </w:pPr>
      <w:r w:rsidRPr="00C301EA">
        <w:t>3. Išvada Nutarimo “Dėl ilgalaikių valstybinių saugumo stiprinimo programų rengimo plano patvirtinimo” papildymo projekto Nr. XIP-981.</w:t>
      </w:r>
    </w:p>
    <w:p w:rsidR="00626711" w:rsidRDefault="00626711" w:rsidP="00626711">
      <w:pPr>
        <w:jc w:val="both"/>
        <w:rPr>
          <w:bCs/>
        </w:rPr>
      </w:pPr>
      <w:r w:rsidRPr="00C301EA">
        <w:lastRenderedPageBreak/>
        <w:t xml:space="preserve">4. Išvada Nutarimo “ „Dėl Lietuvos Respublikos Administracinių teisės pažeidimų kodekso </w:t>
      </w:r>
      <w:r w:rsidRPr="00C301EA">
        <w:rPr>
          <w:lang w:eastAsia="lt-LT"/>
        </w:rPr>
        <w:t>185</w:t>
      </w:r>
      <w:r w:rsidRPr="00C301EA">
        <w:rPr>
          <w:vertAlign w:val="superscript"/>
          <w:lang w:eastAsia="lt-LT"/>
        </w:rPr>
        <w:t>3</w:t>
      </w:r>
      <w:r w:rsidRPr="00C301EA">
        <w:rPr>
          <w:lang w:eastAsia="lt-LT"/>
        </w:rPr>
        <w:t>, 247</w:t>
      </w:r>
      <w:r w:rsidRPr="00C301EA">
        <w:rPr>
          <w:vertAlign w:val="superscript"/>
          <w:lang w:eastAsia="lt-LT"/>
        </w:rPr>
        <w:t>5</w:t>
      </w:r>
      <w:r w:rsidRPr="00C301EA">
        <w:rPr>
          <w:lang w:eastAsia="lt-LT"/>
        </w:rPr>
        <w:t xml:space="preserve">, </w:t>
      </w:r>
      <w:r w:rsidRPr="00C301EA">
        <w:t>259</w:t>
      </w:r>
      <w:r w:rsidRPr="00C301EA">
        <w:rPr>
          <w:vertAlign w:val="superscript"/>
        </w:rPr>
        <w:t>1</w:t>
      </w:r>
      <w:r w:rsidRPr="00C301EA">
        <w:t>,</w:t>
      </w:r>
      <w:r w:rsidRPr="00C301EA">
        <w:rPr>
          <w:b/>
          <w:bCs/>
          <w:caps/>
        </w:rPr>
        <w:t xml:space="preserve"> </w:t>
      </w:r>
      <w:r w:rsidRPr="00C301EA">
        <w:t>320</w:t>
      </w:r>
      <w:r w:rsidRPr="00C301EA">
        <w:rPr>
          <w:bCs/>
        </w:rPr>
        <w:t> straipsnių pakeitimo įstatymo projekto Nr. XIP-1290(2)”.</w:t>
      </w:r>
    </w:p>
    <w:p w:rsidR="00626711" w:rsidRDefault="00626711" w:rsidP="00626711">
      <w:pPr>
        <w:jc w:val="both"/>
        <w:rPr>
          <w:bCs/>
        </w:rPr>
      </w:pPr>
      <w:r w:rsidRPr="00C301EA">
        <w:rPr>
          <w:bCs/>
        </w:rPr>
        <w:t xml:space="preserve">5. </w:t>
      </w:r>
      <w:r w:rsidRPr="00C301EA">
        <w:t xml:space="preserve">Išvada Nutarimo </w:t>
      </w:r>
      <w:r w:rsidRPr="00C301EA">
        <w:rPr>
          <w:bCs/>
        </w:rPr>
        <w:t xml:space="preserve">“ Dėl </w:t>
      </w:r>
      <w:r w:rsidRPr="00C301EA">
        <w:t>Lietuvos Respublikos Seimo statuto „Dėl Seimo statuto 60 straipsnio pakeitimo“</w:t>
      </w:r>
      <w:r w:rsidRPr="00C301EA">
        <w:rPr>
          <w:bCs/>
        </w:rPr>
        <w:t xml:space="preserve"> projekto Nr. XIP-1902”.</w:t>
      </w:r>
    </w:p>
    <w:p w:rsidR="00626711" w:rsidRDefault="00626711" w:rsidP="00626711">
      <w:pPr>
        <w:jc w:val="both"/>
      </w:pPr>
      <w:r w:rsidRPr="00C301EA">
        <w:rPr>
          <w:bCs/>
        </w:rPr>
        <w:t xml:space="preserve">6. </w:t>
      </w:r>
      <w:r w:rsidRPr="00C301EA">
        <w:t>Išvada Nutarimo</w:t>
      </w:r>
      <w:r w:rsidRPr="00C301EA">
        <w:rPr>
          <w:bCs/>
        </w:rPr>
        <w:t xml:space="preserve"> “Dėl </w:t>
      </w:r>
      <w:r w:rsidRPr="00C301EA">
        <w:t>2010-06-03 priimto Lietuvos Respublikos Vyriausybės įstatymo 3, 6, 22, 24, 26, 29, 30, 31, 31</w:t>
      </w:r>
      <w:r w:rsidRPr="00C301EA">
        <w:rPr>
          <w:vertAlign w:val="superscript"/>
        </w:rPr>
        <w:t>1</w:t>
      </w:r>
      <w:r w:rsidRPr="00C301EA">
        <w:t>, 35, 38, 45 straipsnių, aštuntojo skirsnio pavadinimo pakeitimo, įstatymo papildymo 28</w:t>
      </w:r>
      <w:r w:rsidRPr="00C301EA">
        <w:rPr>
          <w:vertAlign w:val="superscript"/>
        </w:rPr>
        <w:t>1</w:t>
      </w:r>
      <w:r w:rsidRPr="00C301EA">
        <w:t>, 29</w:t>
      </w:r>
      <w:r w:rsidRPr="00C301EA">
        <w:rPr>
          <w:vertAlign w:val="superscript"/>
        </w:rPr>
        <w:t xml:space="preserve">1 </w:t>
      </w:r>
      <w:r w:rsidRPr="00C301EA">
        <w:t>straipsniais ir 33 straipsnio pripažinimo netekusiu galios įstatymo (sujungus projektą XIP –1842(2) su Projektu XIP-1131(2)  įgyvendinimo”.</w:t>
      </w:r>
    </w:p>
    <w:p w:rsidR="00626711" w:rsidRDefault="00626711" w:rsidP="00626711">
      <w:pPr>
        <w:jc w:val="both"/>
      </w:pPr>
      <w:r w:rsidRPr="00C301EA">
        <w:t>7. Išvada Nutarimo</w:t>
      </w:r>
      <w:r w:rsidRPr="00C301EA">
        <w:rPr>
          <w:bCs/>
        </w:rPr>
        <w:t xml:space="preserve"> </w:t>
      </w:r>
      <w:r w:rsidRPr="00C301EA">
        <w:t>„ Dėl Lietuvos Respublikos Sveikatos sistemos įstatymo papildymo 70</w:t>
      </w:r>
      <w:r w:rsidRPr="00C301EA">
        <w:rPr>
          <w:vertAlign w:val="superscript"/>
        </w:rPr>
        <w:t>1</w:t>
      </w:r>
      <w:r w:rsidRPr="00C301EA">
        <w:t xml:space="preserve"> straipsniu ir 70  straipsnio pripažinimo netekusiu galios įstatymo projekto Nr. XIP-1285(2) papildomo komiteto išvados“.</w:t>
      </w:r>
    </w:p>
    <w:p w:rsidR="00626711" w:rsidRDefault="00626711" w:rsidP="00626711">
      <w:pPr>
        <w:jc w:val="both"/>
      </w:pPr>
      <w:r w:rsidRPr="00C301EA">
        <w:t xml:space="preserve"> 8. Išvada Nutarimo „ Dėl Lietuvos Respublikos Alkoholio kontrolės įstatymo 12,16, 18</w:t>
      </w:r>
      <w:r w:rsidRPr="00C301EA">
        <w:rPr>
          <w:vertAlign w:val="superscript"/>
        </w:rPr>
        <w:t xml:space="preserve">1  </w:t>
      </w:r>
      <w:r w:rsidRPr="00C301EA">
        <w:t>, 29, 31, 32, 34 straipsnių pakeitimo įstatymo projekto Nr. XIP-1286(2) papildomo komiteto išvados”.</w:t>
      </w:r>
    </w:p>
    <w:p w:rsidR="00626711" w:rsidRDefault="00626711" w:rsidP="00626711">
      <w:pPr>
        <w:jc w:val="both"/>
      </w:pPr>
      <w:r w:rsidRPr="00C301EA">
        <w:t>9. Išvada Nutarimo “ Dėl Lietuvos Respublikos Tabako kontrolės įstatymo 11 ir 26 straipsnių pakeitimo įstatymo projekto Nr. XIP- 1287(2) papildomo komiteto išvados”.</w:t>
      </w:r>
    </w:p>
    <w:p w:rsidR="00626711" w:rsidRDefault="00626711" w:rsidP="00626711">
      <w:pPr>
        <w:jc w:val="both"/>
      </w:pPr>
      <w:r w:rsidRPr="00C301EA">
        <w:t>10. Išvada Nutarimo „Dėl Lietuvos Respublikos Cheminių medžiagų ir preparatų įstatymo 19 straipsnio pakeitimo įstatymo projekto Nr. XIP- 1288(2) papildomo komiteto išvados“.</w:t>
      </w:r>
    </w:p>
    <w:p w:rsidR="00626711" w:rsidRDefault="00626711" w:rsidP="00626711">
      <w:pPr>
        <w:jc w:val="both"/>
      </w:pPr>
      <w:r w:rsidRPr="00C301EA">
        <w:t>11. Išvada Nutarimo „Dėl Lietuvos Respublikos Narkotinių ir psichotropinių medžiagų pirmtakų (pr</w:t>
      </w:r>
      <w:r>
        <w:t>ekursorių) kontrolės įstatymo 2,</w:t>
      </w:r>
      <w:r w:rsidRPr="00C301EA">
        <w:t>3,4,5,6 ir 7 straipsnių pakeitimo įstatymo projekto Nr. XIP-1289(2) papildomo komiteto išvados“.</w:t>
      </w:r>
    </w:p>
    <w:p w:rsidR="00626711" w:rsidRDefault="00626711" w:rsidP="00626711">
      <w:pPr>
        <w:jc w:val="both"/>
        <w:rPr>
          <w:bCs/>
        </w:rPr>
      </w:pPr>
      <w:r w:rsidRPr="00C301EA">
        <w:t xml:space="preserve">12. Išvada Nutarimo „Dėl Lietuvos Respublikos Administracinių teisės pažeidimų kodekso </w:t>
      </w:r>
      <w:r w:rsidRPr="00C301EA">
        <w:rPr>
          <w:lang w:eastAsia="lt-LT"/>
        </w:rPr>
        <w:t>185</w:t>
      </w:r>
      <w:r w:rsidRPr="00C301EA">
        <w:rPr>
          <w:vertAlign w:val="superscript"/>
          <w:lang w:eastAsia="lt-LT"/>
        </w:rPr>
        <w:t>3</w:t>
      </w:r>
      <w:r w:rsidRPr="00C301EA">
        <w:rPr>
          <w:lang w:eastAsia="lt-LT"/>
        </w:rPr>
        <w:t>, 247</w:t>
      </w:r>
      <w:r w:rsidRPr="00C301EA">
        <w:rPr>
          <w:vertAlign w:val="superscript"/>
          <w:lang w:eastAsia="lt-LT"/>
        </w:rPr>
        <w:t>5</w:t>
      </w:r>
      <w:r w:rsidRPr="00C301EA">
        <w:rPr>
          <w:lang w:eastAsia="lt-LT"/>
        </w:rPr>
        <w:t xml:space="preserve">, </w:t>
      </w:r>
      <w:r w:rsidRPr="00C301EA">
        <w:t>259</w:t>
      </w:r>
      <w:r w:rsidRPr="00C301EA">
        <w:rPr>
          <w:vertAlign w:val="superscript"/>
        </w:rPr>
        <w:t>1</w:t>
      </w:r>
      <w:r w:rsidRPr="00C301EA">
        <w:t>,</w:t>
      </w:r>
      <w:r w:rsidRPr="00C301EA">
        <w:rPr>
          <w:b/>
          <w:bCs/>
          <w:caps/>
        </w:rPr>
        <w:t xml:space="preserve"> </w:t>
      </w:r>
      <w:r w:rsidRPr="00C301EA">
        <w:t>320</w:t>
      </w:r>
      <w:r w:rsidRPr="00C301EA">
        <w:rPr>
          <w:bCs/>
        </w:rPr>
        <w:t> straipsnių pakeitimo įstatymo projekto Nr. XIP-1290(2) papildomo komiteto išvados“.</w:t>
      </w:r>
    </w:p>
    <w:p w:rsidR="00626711" w:rsidRDefault="00626711" w:rsidP="00626711">
      <w:pPr>
        <w:jc w:val="both"/>
        <w:rPr>
          <w:bCs/>
        </w:rPr>
      </w:pPr>
      <w:r w:rsidRPr="00C301EA">
        <w:rPr>
          <w:bCs/>
        </w:rPr>
        <w:t xml:space="preserve">13. </w:t>
      </w:r>
      <w:r w:rsidRPr="00C301EA">
        <w:t>Išvada Nutarimo</w:t>
      </w:r>
      <w:r w:rsidRPr="00C301EA">
        <w:rPr>
          <w:bCs/>
        </w:rPr>
        <w:t xml:space="preserve">  “ Dėl </w:t>
      </w:r>
      <w:r w:rsidRPr="00C301EA">
        <w:t>Lietuvos Respublikos Seimo statuto „Dėl Seimo statuto 60 straipsnio pakeitimo“</w:t>
      </w:r>
      <w:r w:rsidRPr="00C301EA">
        <w:rPr>
          <w:bCs/>
        </w:rPr>
        <w:t xml:space="preserve"> projekto Nr. XIP-1902  papildomo komiteto išvados”.</w:t>
      </w:r>
    </w:p>
    <w:p w:rsidR="00626711" w:rsidRDefault="00626711" w:rsidP="00626711">
      <w:pPr>
        <w:jc w:val="both"/>
      </w:pPr>
      <w:r w:rsidRPr="00C301EA">
        <w:t>14. Išvada Nutarimo</w:t>
      </w:r>
      <w:r w:rsidRPr="00C301EA">
        <w:rPr>
          <w:bCs/>
        </w:rPr>
        <w:t xml:space="preserve">  </w:t>
      </w:r>
      <w:r w:rsidRPr="00C301EA">
        <w:t>“Dėl Lietuvos Respublikos Narkotinių ir psichotropinių medžiagų kontrolės įstatymo 2,3 ir 10 straipsnių pakeitimo ir papildymo įstatymo projekto Nr. XIP-2067 2 straipsnio  9 dalies sąvokos patikslinimo”.</w:t>
      </w:r>
    </w:p>
    <w:p w:rsidR="008A1E68" w:rsidRDefault="008A1E68" w:rsidP="00626711">
      <w:pPr>
        <w:jc w:val="both"/>
      </w:pPr>
    </w:p>
    <w:p w:rsidR="008A1E68" w:rsidRDefault="008A1E68" w:rsidP="00626711">
      <w:pPr>
        <w:jc w:val="both"/>
      </w:pPr>
    </w:p>
    <w:p w:rsidR="00626711" w:rsidRPr="00A7724E" w:rsidRDefault="00626711" w:rsidP="00626711">
      <w:pPr>
        <w:ind w:left="720" w:firstLine="720"/>
        <w:jc w:val="both"/>
        <w:rPr>
          <w:b/>
        </w:rPr>
      </w:pPr>
      <w:r w:rsidRPr="00A7724E">
        <w:rPr>
          <w:b/>
        </w:rPr>
        <w:t>Konferencijos, kiti renginiai</w:t>
      </w:r>
    </w:p>
    <w:p w:rsidR="00626711" w:rsidRPr="00A7724E" w:rsidRDefault="00626711" w:rsidP="00626711">
      <w:pPr>
        <w:ind w:firstLine="567"/>
        <w:jc w:val="both"/>
      </w:pPr>
      <w:r w:rsidRPr="00A7724E">
        <w:rPr>
          <w:b/>
        </w:rPr>
        <w:t xml:space="preserve"> </w:t>
      </w:r>
      <w:r w:rsidRPr="00A7724E">
        <w:t>Tarptautinės be žinios dingusių vaikų dienos minėjimas</w:t>
      </w:r>
      <w:r>
        <w:t>.</w:t>
      </w:r>
    </w:p>
    <w:p w:rsidR="00626711" w:rsidRPr="00C301EA" w:rsidRDefault="00626711" w:rsidP="00626711">
      <w:pPr>
        <w:ind w:firstLine="567"/>
        <w:jc w:val="both"/>
      </w:pPr>
      <w:r w:rsidRPr="00C301EA">
        <w:t>Minint Tarptautinę be žinios dingusių vaikų dieną, kurią prieš 4 metus įteisino LR Seimas, 2010 gegužės 26-ąją dieną LR Seime buvo organizuojama konferencija „Neparduok savęs: prevencija prieš prekybą žmonėmis“. Be žinios dingusių vaikų vis nemažėja</w:t>
      </w:r>
      <w:r w:rsidRPr="00C301EA">
        <w:rPr>
          <w:color w:val="FF0000"/>
        </w:rPr>
        <w:t>:</w:t>
      </w:r>
      <w:r w:rsidRPr="00C301EA">
        <w:t xml:space="preserve"> 2008 m. buvo ieškomi 853 vaikai, o 2009 m. – 787 vaikai. Pastebėta, kad tie vaikai neretai tampa prekybos žmonėmis aukomis. Kuriamos tarptautinės grupės, priimamos rezoliucijos, rengiami įvairaus lygio seminarai, vykdomi mokymai, tačiau jie mažai pasiekia žmogų, o juo labiau vaiką. Valstybės, LR Švietimo įstaigų, tėvų, visuomenės pastangų nepakanka, kad prekybos žmonėmis – vaikais problema mažėtų. 2007 m. Lietuvoje identifikuota 56 prekybos žmonėmis aukos, o 2008 m. jau – 86 aukos. Žinant, kad 2009 m. nebuvo vykdoma valstybinė Prekybos žmonėmis prevencijos ir kontrolės 2009 – 2012 m. programa, tikima, kad 2009 m. nukentėjusiųjų skaičius yra dar didesnis. Kiek yra neidentifikuotų aukų sunku pasakyti, tačiau NVO duomenimis pagalbos kreipiasi tik apie 10% nukentėjusiųjų. Užsienio valstybėse surastų prekybos žmonėmis aukų iš Lietuvos yra pats didžiausias procentas net lyginant su gyventojų  skaičiumi didesnėmis, Rytų bloko valstybėmis. Kaip teigiama Prekybos žmonėmis prevencijos ir kontrolės 2009 – 2012 m. valstybinėje programoje, paauglių, nukentėjusių nuo prekybos žmonėmis (14 – 18 m.) yra 37%, o 19 – 20m. – dar 15% visų prekybos žmonėmis aukų Lietuvoje. Vadovaujantis Baltijos regiono Šiaurės valstybių šalių samprata, kad žmogus subręsta tik 20 m. galima teigti kad Lietuvoje nuo prekybos žmonėmis nukenčia virš 50% dar nesubrendusių jaunuolių.Vilniaus universiteto psichologų duomenimis išaiškinta, kad Lietuvoje televizijos parodo vidutiniškai 10,8 smurto aktų per valandą ir taip žaloja paauglius. Apgailestaujame, kad žiniasklaida Lietuvoje neprisideda prie prekybos žmonėmis problemos mažinimo.</w:t>
      </w:r>
    </w:p>
    <w:p w:rsidR="00626711" w:rsidRPr="00C301EA" w:rsidRDefault="00626711" w:rsidP="00626711">
      <w:pPr>
        <w:ind w:firstLine="567"/>
        <w:jc w:val="both"/>
      </w:pPr>
      <w:r w:rsidRPr="00C301EA">
        <w:t>Žiniasklaidos funkcija ne tik pranešti aktualią informaciją, bet ir šiuolaikinės visuomenės laisvalaikio praleidimo būdas</w:t>
      </w:r>
      <w:r w:rsidRPr="00C301EA">
        <w:rPr>
          <w:b/>
        </w:rPr>
        <w:t xml:space="preserve">. </w:t>
      </w:r>
      <w:r w:rsidRPr="00A7724E">
        <w:t>Žurnalistų ir leidėjų etikos komisijos pirmininkas Linas Slušnys</w:t>
      </w:r>
      <w:r w:rsidRPr="00C301EA">
        <w:t xml:space="preserve"> pastebi, kad šiandieninėje žiniasklaidoje egzistuoja didelis informacijos “triukšmas“, kuris sudaro prielaidas prasismelkti tik neigiamai informacijai. Informacija, susijusi su neigiamais visuomenės gyvenimo įvykiais turi didesnę auditoriją, o tai turi įtakos informacijos priemonių elgsenai ir </w:t>
      </w:r>
      <w:r w:rsidRPr="00C301EA">
        <w:lastRenderedPageBreak/>
        <w:t>veiksmams – jei yra paklausa neigiamo pobūdžio informacijai, atsiranda ir atitinkama pasiūla.  Lietuvos žurnalistų sąjungos pirmininko pavaduotoja Aldona Žemaitytė savo pranešime teigia, kad pornografijos, seksualinio smurto scenos formuoja jauną žmogų ir kuria jo pasaulėjautą. Tai taip pat turi įtakos ir šeimos institucijai. Kaip pastebi A. Žemaitytė, seksomanija plintanti per žiniasklaidą iš pagrindų griauna šeimos instituciją ir išjudina jos pamatus. Tai turi įtakos vaikų psichologinei būsenai, neretai pamiršti tiesiog atsiduria gatvėje. Tokie niekam nereikalingi vaikai pakliūva į pirklių ar vagių pinkles, išvežami į užsienį. L. Slušnys taip pat mini, kad žiniasklaidoje trūksta žmogiškumo, kai kalbinamos prekybos žmonėmis aukos. Žiniasklaida, turinti atlikti tarpininko vaidmenį, neretai prisiima valdžios vaidmenį ir nuteisia prekybos žmonėmis aukas, sukurdami iliuziją, kad kiekvienas asmuo, nukentėjęs nuo prekeivių žmonėmis yra pats kaltas dėl jo pardavimo seksualiniam išnaudojimui. Žiniasklaidos atstovai, kaip ir visi piliečiai, kalbindami tiek prostitucija užsiimančius asmenis, tiek aukas, turėtų suvokti savo pilietišką poziciją ir paprasčiausią žmogiškumą. Žinių sklaida turėtų būti grindžiama objektyvumu ir nešališkumu. Taip pat, pasak Žurnalistų ir leidėjų etikos komisijos pirmininko, svarbu ne keisti žiniasklaidą, bet nuo pat mažumės formuoti vaikų vertybes ir taip formuoti naują žiniasklaidos rinką. L. Slušniui antrino ir A. Žemaitytė teigdama, kad svarbus tėvų, ugdymo įstaigų, nevyriausybinių organizacijų ir žiniasklaidos bendradarbiavimas – „pirmiausia išeitis glūdi tėvų pavyzdyje (...) Antra – ilgas ir kantrus švietimo, mokymo, ugdymo darbas (...) užblokuojant kelią negatyvumo sutemoms. Tai gali padaryti alternatyvioji žurnalistika, kurią turėtų sukurti visuomeninės organizacijos“.</w:t>
      </w:r>
    </w:p>
    <w:p w:rsidR="00626711" w:rsidRPr="00C301EA" w:rsidRDefault="00626711" w:rsidP="00626711">
      <w:pPr>
        <w:ind w:firstLine="567"/>
        <w:jc w:val="both"/>
      </w:pPr>
      <w:r w:rsidRPr="00C301EA">
        <w:t xml:space="preserve">Galimus problemos sprendimo būdus pristatė ir kiti konferencijoje dalyvavę specialistai.  </w:t>
      </w:r>
    </w:p>
    <w:p w:rsidR="00626711" w:rsidRPr="00C301EA" w:rsidRDefault="00626711" w:rsidP="00626711">
      <w:pPr>
        <w:ind w:firstLine="567"/>
        <w:jc w:val="both"/>
      </w:pPr>
      <w:r w:rsidRPr="00C301EA">
        <w:t xml:space="preserve">LR Švietimo ir mokslo ministerijos neformalaus ugdymo ir švietimo pagalbos skyriaus vyriausias specialistas A.Šimaitis aptarė prevencines priemones įgyvendinamas Lietuvos mokyklose. Prevencinės programos įgyvendinamos skirtingais būdais – integruojant mokomųjų dalykų programų turinį, integruojant į papildomąjį ugdymą ir neformaliojo švietimo programas, kt. Prekybos žmonėmis problema įtraukta į socialinio ugdymo programą, pilietinio ugdymo tematika. Pasak specialisto, svarbu ne tik žinių ir informacijos perdavimas, bet ir kompetencijų bei gyvenimo įgūdžių ugdymas. Tai įgyvendinama per tarptautines, nacionalines ir Lietuvoje adaptuotas užsienio šalių programas. Kaip sunkumus ir problemas, įgyvendinant šias programas mokyklose, A. Šimaitis įvardina – laiko ir išteklių nepakankamumą, netinkamą personalo parengimą, taip pat per didelį vienu metu įgyvendinamų ir prastai koordinuojamų programų skaičių. Ministerijos atstovas teigė, kad įgyvendinant prevencines priemones svarbi mokinių, jų tėvų ir pedagogų sąveika. </w:t>
      </w:r>
    </w:p>
    <w:p w:rsidR="00626711" w:rsidRPr="00C301EA" w:rsidRDefault="00626711" w:rsidP="00626711">
      <w:pPr>
        <w:ind w:firstLine="567"/>
        <w:jc w:val="both"/>
      </w:pPr>
      <w:r w:rsidRPr="00C301EA">
        <w:t>Vilniaus arkivyskupijos šeimos centro darbuotoja J. Stambrauskienė</w:t>
      </w:r>
      <w:r w:rsidRPr="00C301EA">
        <w:rPr>
          <w:b/>
        </w:rPr>
        <w:t xml:space="preserve"> </w:t>
      </w:r>
      <w:r w:rsidRPr="00C301EA">
        <w:t xml:space="preserve">savo pranešime akcentavo brandaus lytiškumo suvokimo svarbą, kurią specialistė laiko kaip pamatinę. „Didžiausia šių laikų problema ta, kad lytinė branda skiriama nuo psichologinės (...) keturiolikos metų paauglys jau būna lytiškai subrendęs, tačiau dar nesugeba prisiimti atsakomybės už kitą (...) Jo psichologinis brendimas vėluoja dešimčia ir daugiau metų“. Lytiškumas, apimantis asmens vertybes, įsitikinimus, savęs vertinimus ir santykius su kitais, lytinė elgseną ir sprendimus, turėtų būti įtrauktas prevencijai, nes ugdant jaunas merginas nuo mažumės šia linkme, jos gali būti apsaugotos nuo įsitraukimo į prostitucijos kelią bei nuo kitų priklausomybių. </w:t>
      </w:r>
    </w:p>
    <w:p w:rsidR="00626711" w:rsidRDefault="00626711" w:rsidP="00626711">
      <w:pPr>
        <w:ind w:firstLine="567"/>
        <w:jc w:val="both"/>
      </w:pPr>
      <w:r w:rsidRPr="00C301EA">
        <w:t>Dingusių žmonių šeimų paramos centro (Centro) projektų koordinatorė G.Blažytė pristatė naują Centro įgyvendinamą projektą, skirtą prevencijai prieš prekybą žmonėmis internete. Projektu siekiama sužinoti moksleivių interneto vartojimo ypatumus, jų sąmoningumą ir žinias apie galimas rizikas ir esančias grėsmes kibernetinėje erdvėje. Projekto tikslinė grupė – ne tik moksleiviai, bet ir jų tėvai bei mokytojai, mokyklos administracija.</w:t>
      </w:r>
    </w:p>
    <w:p w:rsidR="00626711" w:rsidRPr="00C301EA" w:rsidRDefault="00626711" w:rsidP="00626711">
      <w:pPr>
        <w:pStyle w:val="Pavadinimas"/>
        <w:ind w:left="2124" w:firstLine="708"/>
        <w:jc w:val="both"/>
        <w:rPr>
          <w:b w:val="0"/>
          <w:sz w:val="24"/>
        </w:rPr>
      </w:pPr>
      <w:r w:rsidRPr="00C301EA">
        <w:rPr>
          <w:b w:val="0"/>
          <w:sz w:val="24"/>
        </w:rPr>
        <w:t>KONFERENCIJOS</w:t>
      </w:r>
    </w:p>
    <w:p w:rsidR="00626711" w:rsidRPr="00C301EA" w:rsidRDefault="00626711" w:rsidP="00626711">
      <w:pPr>
        <w:pStyle w:val="Antrinispavadinimas"/>
        <w:jc w:val="both"/>
        <w:rPr>
          <w:b w:val="0"/>
        </w:rPr>
      </w:pPr>
      <w:r w:rsidRPr="00C301EA">
        <w:rPr>
          <w:b w:val="0"/>
        </w:rPr>
        <w:t xml:space="preserve"> „NEPARDUOK SAVĘS: PREVENCIJA PRIEŠ PREKYBĄ ŽMONĖMIS“</w:t>
      </w:r>
    </w:p>
    <w:p w:rsidR="00626711" w:rsidRPr="00C301EA" w:rsidRDefault="00626711" w:rsidP="00626711">
      <w:pPr>
        <w:pStyle w:val="Antrinispavadinimas"/>
        <w:jc w:val="both"/>
        <w:rPr>
          <w:b w:val="0"/>
        </w:rPr>
      </w:pPr>
      <w:r w:rsidRPr="00C301EA">
        <w:rPr>
          <w:b w:val="0"/>
        </w:rPr>
        <w:t xml:space="preserve">                                       R E Z O L I U C I J A</w:t>
      </w:r>
    </w:p>
    <w:p w:rsidR="00626711" w:rsidRPr="00C301EA" w:rsidRDefault="00626711" w:rsidP="00626711">
      <w:pPr>
        <w:pStyle w:val="Antrinispavadinimas"/>
        <w:jc w:val="both"/>
        <w:rPr>
          <w:b w:val="0"/>
          <w:bCs/>
        </w:rPr>
      </w:pPr>
      <w:r w:rsidRPr="00C301EA">
        <w:tab/>
      </w:r>
      <w:r w:rsidRPr="00C301EA">
        <w:tab/>
      </w:r>
      <w:r w:rsidRPr="00C301EA">
        <w:tab/>
      </w:r>
      <w:r w:rsidRPr="00C301EA">
        <w:rPr>
          <w:b w:val="0"/>
          <w:bCs/>
        </w:rPr>
        <w:t>2010 m. gegužės 26 d. , Vilnius</w:t>
      </w:r>
    </w:p>
    <w:p w:rsidR="00626711" w:rsidRPr="00C301EA" w:rsidRDefault="00626711" w:rsidP="00626711">
      <w:pPr>
        <w:pStyle w:val="Antrinispavadinimas"/>
        <w:jc w:val="both"/>
        <w:rPr>
          <w:b w:val="0"/>
          <w:bCs/>
        </w:rPr>
      </w:pPr>
      <w:r w:rsidRPr="00C301EA">
        <w:rPr>
          <w:b w:val="0"/>
          <w:bCs/>
        </w:rPr>
        <w:t>Konferencija,</w:t>
      </w:r>
    </w:p>
    <w:p w:rsidR="00626711" w:rsidRPr="00C301EA" w:rsidRDefault="00626711" w:rsidP="00626711">
      <w:pPr>
        <w:pStyle w:val="Antrinispavadinimas"/>
        <w:jc w:val="both"/>
        <w:rPr>
          <w:b w:val="0"/>
          <w:bCs/>
        </w:rPr>
      </w:pPr>
      <w:r w:rsidRPr="00C301EA">
        <w:rPr>
          <w:b w:val="0"/>
          <w:bCs/>
        </w:rPr>
        <w:t>- išklausiusi ekspertų bei kitų organizacijų, vykdančių informacinę švietėjišką veiklą prieš prekybą žmonėmis,</w:t>
      </w:r>
    </w:p>
    <w:p w:rsidR="00626711" w:rsidRPr="00C301EA" w:rsidRDefault="00626711" w:rsidP="00626711">
      <w:pPr>
        <w:ind w:firstLine="567"/>
        <w:jc w:val="both"/>
      </w:pPr>
      <w:r w:rsidRPr="00C301EA">
        <w:t>- aptarusi prevencinių priemonių įgyvendinimo problemas, metodus bei programas;</w:t>
      </w:r>
    </w:p>
    <w:p w:rsidR="00626711" w:rsidRPr="00C301EA" w:rsidRDefault="00626711" w:rsidP="00626711">
      <w:pPr>
        <w:ind w:firstLine="567"/>
        <w:jc w:val="both"/>
      </w:pPr>
      <w:r w:rsidRPr="00C301EA">
        <w:t>- atkreipdama dėmesį į tai, kad būtinas glaudus ryšys tarp valstybinių institucijų ir nevyriausybinių organizacijų,  svarbi mokinių, jų tėvų ir pedagogų sąveika;</w:t>
      </w:r>
    </w:p>
    <w:p w:rsidR="00626711" w:rsidRPr="00C301EA" w:rsidRDefault="00626711" w:rsidP="00626711">
      <w:pPr>
        <w:ind w:firstLine="567"/>
        <w:jc w:val="both"/>
      </w:pPr>
      <w:r w:rsidRPr="00C301EA">
        <w:t xml:space="preserve">- įvertinusi grėsmę, kad be žinios dingusių vaikų vis nemažėja, </w:t>
      </w:r>
    </w:p>
    <w:p w:rsidR="00626711" w:rsidRPr="00C301EA" w:rsidRDefault="00626711" w:rsidP="00626711">
      <w:pPr>
        <w:ind w:firstLine="567"/>
        <w:jc w:val="both"/>
        <w:rPr>
          <w:b/>
        </w:rPr>
      </w:pPr>
      <w:r w:rsidRPr="00C301EA">
        <w:rPr>
          <w:b/>
        </w:rPr>
        <w:t>siūlo:</w:t>
      </w:r>
    </w:p>
    <w:p w:rsidR="00626711" w:rsidRPr="00C301EA" w:rsidRDefault="00626711" w:rsidP="00626711">
      <w:pPr>
        <w:numPr>
          <w:ilvl w:val="0"/>
          <w:numId w:val="45"/>
        </w:numPr>
        <w:tabs>
          <w:tab w:val="num" w:pos="0"/>
          <w:tab w:val="left" w:pos="720"/>
        </w:tabs>
        <w:ind w:left="0" w:firstLine="360"/>
        <w:jc w:val="both"/>
      </w:pPr>
      <w:r w:rsidRPr="00C301EA">
        <w:lastRenderedPageBreak/>
        <w:t xml:space="preserve">Lietuvos Respublikos  Vyriausybei </w:t>
      </w:r>
      <w:r w:rsidRPr="00C301EA">
        <w:rPr>
          <w:bCs/>
        </w:rPr>
        <w:t>užtikrinti</w:t>
      </w:r>
      <w:r w:rsidRPr="00C301EA">
        <w:t xml:space="preserve"> Valstybinės prekybos žmonėmis ir prevencijos ir kontrolės programos 2009 – 2012 metų programos finansavimą bei pastovų prekybos žmonėmis reintegracijos procesą ir  </w:t>
      </w:r>
      <w:r w:rsidRPr="00C301EA">
        <w:rPr>
          <w:bCs/>
        </w:rPr>
        <w:t>tobulinti</w:t>
      </w:r>
      <w:r w:rsidRPr="00C301EA">
        <w:rPr>
          <w:b/>
        </w:rPr>
        <w:t xml:space="preserve"> </w:t>
      </w:r>
      <w:r w:rsidRPr="00C301EA">
        <w:t xml:space="preserve">vaikų, nelankančių mokyklą ir dingusių be žinios, apskaitos sistemą, taip pat aktyvinti jų paieškos procesą. </w:t>
      </w:r>
    </w:p>
    <w:p w:rsidR="00626711" w:rsidRPr="00C301EA" w:rsidRDefault="00626711" w:rsidP="00626711">
      <w:pPr>
        <w:numPr>
          <w:ilvl w:val="0"/>
          <w:numId w:val="45"/>
        </w:numPr>
        <w:tabs>
          <w:tab w:val="num" w:pos="0"/>
          <w:tab w:val="left" w:pos="720"/>
        </w:tabs>
        <w:ind w:left="0" w:firstLine="360"/>
        <w:jc w:val="both"/>
      </w:pPr>
      <w:r w:rsidRPr="00C301EA">
        <w:t xml:space="preserve">Lietuvos Respublikos  Švietimo ir mokslo ministerijai, </w:t>
      </w:r>
      <w:r w:rsidRPr="00C301EA">
        <w:rPr>
          <w:bCs/>
        </w:rPr>
        <w:t>įgyvendinant</w:t>
      </w:r>
      <w:r w:rsidRPr="00C301EA">
        <w:t xml:space="preserve"> prevencines programas, </w:t>
      </w:r>
      <w:r w:rsidRPr="00C301EA">
        <w:rPr>
          <w:bCs/>
        </w:rPr>
        <w:t>organizuoti</w:t>
      </w:r>
      <w:r w:rsidRPr="00C301EA">
        <w:t xml:space="preserve"> šviečiamojo pobūdžio akcijas (soc. reklama, edukacinių filmų kūryba, lankstinukų leidyba) bendrojo lavinimo ir specialaus ugdymo įstaigose; kartu su nevyriausybinėmis organizacijomis</w:t>
      </w:r>
      <w:r w:rsidRPr="00C301EA">
        <w:rPr>
          <w:b/>
        </w:rPr>
        <w:t xml:space="preserve"> </w:t>
      </w:r>
      <w:r w:rsidRPr="00C301EA">
        <w:rPr>
          <w:bCs/>
        </w:rPr>
        <w:t>inicijuoti</w:t>
      </w:r>
      <w:r w:rsidRPr="00C301EA">
        <w:t xml:space="preserve"> paskaitas brandaus lytiškumo tema. </w:t>
      </w:r>
    </w:p>
    <w:p w:rsidR="00626711" w:rsidRPr="00C301EA" w:rsidRDefault="00626711" w:rsidP="00626711">
      <w:pPr>
        <w:numPr>
          <w:ilvl w:val="0"/>
          <w:numId w:val="45"/>
        </w:numPr>
        <w:tabs>
          <w:tab w:val="num" w:pos="0"/>
          <w:tab w:val="left" w:pos="720"/>
        </w:tabs>
        <w:ind w:left="0" w:firstLine="360"/>
        <w:jc w:val="both"/>
      </w:pPr>
      <w:r w:rsidRPr="00C301EA">
        <w:t xml:space="preserve">Lietuvos žurnalistų sąjungai </w:t>
      </w:r>
      <w:r w:rsidRPr="00C301EA">
        <w:rPr>
          <w:bCs/>
        </w:rPr>
        <w:t>sugriežtinti</w:t>
      </w:r>
      <w:r w:rsidRPr="00C301EA">
        <w:rPr>
          <w:b/>
        </w:rPr>
        <w:t xml:space="preserve"> </w:t>
      </w:r>
      <w:r w:rsidRPr="00C301EA">
        <w:t>kontrolę dėl neigiamos informacijos vaikams žiniasklaidoje pateikimo, vaikų pornografinių ir erotinių nuotraukų internete ir kitose žiniasklaidos priemonėse platinimo.</w:t>
      </w:r>
    </w:p>
    <w:p w:rsidR="00626711" w:rsidRPr="00C301EA" w:rsidRDefault="00626711" w:rsidP="00626711">
      <w:pPr>
        <w:numPr>
          <w:ilvl w:val="0"/>
          <w:numId w:val="45"/>
        </w:numPr>
        <w:tabs>
          <w:tab w:val="num" w:pos="0"/>
          <w:tab w:val="left" w:pos="720"/>
        </w:tabs>
        <w:ind w:left="0" w:firstLine="360"/>
        <w:jc w:val="both"/>
      </w:pPr>
      <w:r w:rsidRPr="00C301EA">
        <w:t>Lietuvos Respublikos  Socialinės apsaugos ir darbo ministerijai kartu su nevyriausybinėms organizacijomis aktyvinti socialinę reabilitaciją ir reintegraciją asmenims, nukentėjusiems nuo prekybos žmonėmis.</w:t>
      </w:r>
    </w:p>
    <w:p w:rsidR="00626711" w:rsidRPr="00C301EA" w:rsidRDefault="00626711" w:rsidP="00626711">
      <w:pPr>
        <w:numPr>
          <w:ilvl w:val="0"/>
          <w:numId w:val="45"/>
        </w:numPr>
        <w:tabs>
          <w:tab w:val="num" w:pos="0"/>
          <w:tab w:val="left" w:pos="720"/>
        </w:tabs>
        <w:ind w:left="0" w:firstLine="360"/>
        <w:jc w:val="both"/>
      </w:pPr>
      <w:r w:rsidRPr="00C301EA">
        <w:t xml:space="preserve">Lietuvos Respublikos Vidaus reikalų ministerijai ir Dingusių žmonių šeimų paramos centrui vykdyti informacinę švietėjišką veiklą prieš prekybą žmonėmis bei </w:t>
      </w:r>
      <w:r w:rsidRPr="00C301EA">
        <w:rPr>
          <w:bCs/>
        </w:rPr>
        <w:t xml:space="preserve">organizuoti </w:t>
      </w:r>
      <w:r w:rsidRPr="00C301EA">
        <w:t>šviečiamojo pobūdžio akcijas (paskaitos, disputai, susitikimai).</w:t>
      </w:r>
    </w:p>
    <w:p w:rsidR="00626711" w:rsidRDefault="00626711" w:rsidP="00626711">
      <w:pPr>
        <w:numPr>
          <w:ilvl w:val="0"/>
          <w:numId w:val="45"/>
        </w:numPr>
        <w:tabs>
          <w:tab w:val="num" w:pos="0"/>
          <w:tab w:val="left" w:pos="720"/>
        </w:tabs>
        <w:ind w:left="0" w:firstLine="360"/>
        <w:jc w:val="both"/>
      </w:pPr>
      <w:r w:rsidRPr="00C301EA">
        <w:t xml:space="preserve">Nevyriausybinėms organizacijoms </w:t>
      </w:r>
      <w:r w:rsidRPr="00C301EA">
        <w:rPr>
          <w:bCs/>
        </w:rPr>
        <w:t xml:space="preserve">sekti </w:t>
      </w:r>
      <w:r w:rsidRPr="00C301EA">
        <w:t>neigiamą informaciją, susijusią su prekybos žmonėmis problema, dingusių vaikų tematika ir pastebėjimus pateikti Žurnalistų ir leidėjų etikos komisijai.</w:t>
      </w:r>
    </w:p>
    <w:p w:rsidR="00626711" w:rsidRPr="00C301EA" w:rsidRDefault="00626711" w:rsidP="00626711">
      <w:pPr>
        <w:ind w:left="360"/>
        <w:jc w:val="both"/>
      </w:pPr>
    </w:p>
    <w:p w:rsidR="00626711" w:rsidRPr="00C301EA" w:rsidRDefault="00626711" w:rsidP="00626711">
      <w:pPr>
        <w:tabs>
          <w:tab w:val="left" w:pos="720"/>
        </w:tabs>
        <w:jc w:val="both"/>
      </w:pPr>
      <w:r w:rsidRPr="00C301EA">
        <w:t xml:space="preserve">Konferencijos pirmininkas: </w:t>
      </w:r>
    </w:p>
    <w:p w:rsidR="00626711" w:rsidRPr="00C301EA" w:rsidRDefault="00626711" w:rsidP="00626711">
      <w:pPr>
        <w:tabs>
          <w:tab w:val="left" w:pos="720"/>
        </w:tabs>
        <w:jc w:val="both"/>
      </w:pPr>
      <w:r w:rsidRPr="00C301EA">
        <w:t xml:space="preserve">LR Seimo narkomanijos ir alkoholizmo prevencijos komisijos pirmininkė </w:t>
      </w:r>
    </w:p>
    <w:p w:rsidR="00626711" w:rsidRDefault="00626711" w:rsidP="00626711">
      <w:pPr>
        <w:tabs>
          <w:tab w:val="left" w:pos="720"/>
        </w:tabs>
        <w:jc w:val="both"/>
      </w:pPr>
      <w:r w:rsidRPr="00C301EA">
        <w:t>Vincė Vaidevutė Margevičienė</w:t>
      </w:r>
    </w:p>
    <w:p w:rsidR="00626711" w:rsidRPr="00C301EA" w:rsidRDefault="00626711" w:rsidP="00626711">
      <w:pPr>
        <w:tabs>
          <w:tab w:val="left" w:pos="720"/>
        </w:tabs>
        <w:jc w:val="both"/>
      </w:pPr>
    </w:p>
    <w:p w:rsidR="00626711" w:rsidRPr="00C301EA" w:rsidRDefault="00626711" w:rsidP="00626711">
      <w:pPr>
        <w:tabs>
          <w:tab w:val="left" w:pos="720"/>
        </w:tabs>
        <w:jc w:val="both"/>
      </w:pPr>
      <w:r w:rsidRPr="00C301EA">
        <w:t xml:space="preserve">Dingusių žmonių šeimų paramos centro direktorė </w:t>
      </w:r>
    </w:p>
    <w:p w:rsidR="00626711" w:rsidRDefault="00626711" w:rsidP="00626711">
      <w:pPr>
        <w:tabs>
          <w:tab w:val="left" w:pos="720"/>
        </w:tabs>
        <w:jc w:val="both"/>
      </w:pPr>
      <w:r w:rsidRPr="00C301EA">
        <w:t>Ona Gustienė</w:t>
      </w:r>
    </w:p>
    <w:p w:rsidR="00626711" w:rsidRDefault="00626711" w:rsidP="00626711">
      <w:pPr>
        <w:spacing w:line="360" w:lineRule="auto"/>
        <w:rPr>
          <w:b/>
        </w:rPr>
      </w:pPr>
    </w:p>
    <w:p w:rsidR="00626711" w:rsidRDefault="00626711" w:rsidP="00626711">
      <w:pPr>
        <w:spacing w:before="200"/>
        <w:ind w:right="295"/>
        <w:jc w:val="center"/>
        <w:rPr>
          <w:b/>
        </w:rPr>
      </w:pPr>
      <w:r>
        <w:rPr>
          <w:b/>
        </w:rPr>
        <w:t>LIETUVOS RESPUBLIKOS SEIMO</w:t>
      </w:r>
    </w:p>
    <w:p w:rsidR="00626711" w:rsidRDefault="00626711" w:rsidP="00626711">
      <w:pPr>
        <w:tabs>
          <w:tab w:val="left" w:pos="4111"/>
        </w:tabs>
        <w:spacing w:before="60"/>
        <w:ind w:right="11"/>
        <w:jc w:val="center"/>
        <w:rPr>
          <w:b/>
          <w:spacing w:val="4"/>
        </w:rPr>
      </w:pPr>
      <w:r>
        <w:rPr>
          <w:b/>
          <w:spacing w:val="4"/>
        </w:rPr>
        <w:t>SVEIKATOS REIKALŲ KOMITETAS</w:t>
      </w:r>
    </w:p>
    <w:p w:rsidR="00626711" w:rsidRDefault="00626711" w:rsidP="00626711">
      <w:pPr>
        <w:spacing w:line="360" w:lineRule="auto"/>
        <w:jc w:val="center"/>
      </w:pPr>
    </w:p>
    <w:p w:rsidR="00626711" w:rsidRDefault="00626711" w:rsidP="00626711">
      <w:pPr>
        <w:spacing w:before="200"/>
        <w:ind w:right="295"/>
        <w:jc w:val="center"/>
        <w:rPr>
          <w:b/>
        </w:rPr>
      </w:pPr>
      <w:r>
        <w:rPr>
          <w:b/>
        </w:rPr>
        <w:t>LIETUVOS RESPUBLIKOS SEIMO</w:t>
      </w:r>
    </w:p>
    <w:p w:rsidR="00626711" w:rsidRDefault="00626711" w:rsidP="00626711">
      <w:pPr>
        <w:spacing w:line="360" w:lineRule="auto"/>
        <w:jc w:val="center"/>
        <w:rPr>
          <w:b/>
        </w:rPr>
      </w:pPr>
      <w:r>
        <w:rPr>
          <w:b/>
        </w:rPr>
        <w:t>NARKOMANIJOS IR ALKOHOLIZMO PREVENCIJOS KOMISIJA</w:t>
      </w:r>
    </w:p>
    <w:p w:rsidR="00626711" w:rsidRDefault="00626711" w:rsidP="00626711">
      <w:pPr>
        <w:spacing w:line="360" w:lineRule="auto"/>
        <w:jc w:val="center"/>
      </w:pPr>
    </w:p>
    <w:p w:rsidR="00626711" w:rsidRDefault="00626711" w:rsidP="00626711">
      <w:pPr>
        <w:tabs>
          <w:tab w:val="left" w:pos="4111"/>
        </w:tabs>
        <w:spacing w:before="60"/>
        <w:ind w:right="11"/>
        <w:jc w:val="center"/>
        <w:rPr>
          <w:b/>
          <w:spacing w:val="4"/>
        </w:rPr>
      </w:pPr>
      <w:r>
        <w:rPr>
          <w:b/>
          <w:spacing w:val="4"/>
        </w:rPr>
        <w:t>SPRENDIMAS  Nr. 111-S-27/21</w:t>
      </w:r>
    </w:p>
    <w:p w:rsidR="00626711" w:rsidRDefault="00626711" w:rsidP="00626711">
      <w:pPr>
        <w:tabs>
          <w:tab w:val="left" w:pos="4111"/>
        </w:tabs>
        <w:spacing w:before="60"/>
        <w:ind w:right="11"/>
        <w:jc w:val="center"/>
        <w:rPr>
          <w:b/>
          <w:spacing w:val="4"/>
        </w:rPr>
      </w:pPr>
      <w:r>
        <w:rPr>
          <w:b/>
          <w:spacing w:val="4"/>
        </w:rPr>
        <w:t>DĖL METADONO NAUDOJIMO PROBLEMŲ LIETUVOJE</w:t>
      </w:r>
    </w:p>
    <w:p w:rsidR="00626711" w:rsidRDefault="00626711" w:rsidP="00626711">
      <w:pPr>
        <w:tabs>
          <w:tab w:val="left" w:pos="4111"/>
        </w:tabs>
        <w:spacing w:before="60"/>
        <w:ind w:right="11"/>
        <w:jc w:val="center"/>
        <w:rPr>
          <w:spacing w:val="4"/>
        </w:rPr>
      </w:pPr>
      <w:r>
        <w:rPr>
          <w:spacing w:val="4"/>
        </w:rPr>
        <w:t>2010 m.</w:t>
      </w:r>
      <w:r>
        <w:rPr>
          <w:b/>
          <w:spacing w:val="4"/>
        </w:rPr>
        <w:t xml:space="preserve"> </w:t>
      </w:r>
      <w:r>
        <w:rPr>
          <w:spacing w:val="4"/>
        </w:rPr>
        <w:t>gruodžio 22 d.</w:t>
      </w:r>
    </w:p>
    <w:p w:rsidR="00626711" w:rsidRDefault="00626711" w:rsidP="00626711">
      <w:pPr>
        <w:tabs>
          <w:tab w:val="left" w:pos="4111"/>
        </w:tabs>
        <w:spacing w:before="60"/>
        <w:ind w:right="11"/>
        <w:jc w:val="center"/>
        <w:rPr>
          <w:spacing w:val="4"/>
        </w:rPr>
      </w:pPr>
      <w:r>
        <w:rPr>
          <w:spacing w:val="4"/>
        </w:rPr>
        <w:t>Vilnius</w:t>
      </w:r>
    </w:p>
    <w:p w:rsidR="00626711" w:rsidRDefault="00626711" w:rsidP="00626711">
      <w:pPr>
        <w:tabs>
          <w:tab w:val="left" w:pos="4111"/>
        </w:tabs>
        <w:spacing w:before="60"/>
        <w:ind w:right="11"/>
        <w:jc w:val="center"/>
        <w:rPr>
          <w:spacing w:val="4"/>
        </w:rPr>
      </w:pPr>
    </w:p>
    <w:p w:rsidR="00626711" w:rsidRDefault="00626711" w:rsidP="00626711">
      <w:pPr>
        <w:ind w:firstLine="720"/>
        <w:jc w:val="both"/>
      </w:pPr>
      <w:r>
        <w:t>Seimo Sveikatos reikalų komitetas ir Narkomanijos ir alkoholizmo prevencijos komisija, išklausę Sveikatos apsaugos ministerijos, Narkotikų kontrolės departamento prie Lietuvos Respublikos Vyriausybės, Policijos departamento prie Vidaus reikalų ministerijos, Kalėjimų departamento prie Teisingumo ministerijos,</w:t>
      </w:r>
      <w:r>
        <w:rPr>
          <w:bCs/>
        </w:rPr>
        <w:t xml:space="preserve"> Valstybinės vaistų kontrolės tarnybos prie Sveikatos apsaugos ministerijos, Užkrečiamųjų ligų ir AIDS centro, Valstybinio psichikos sveikatos centro, Nacionalinės sveikatos tarybos, Lietuvos psichiatrų asociacijos, teritorinių psichikos sveikatos centrų, priklausomybės ligų centrų </w:t>
      </w:r>
      <w:r>
        <w:t>atstovų informaciją ir išanalizavę Narkomanijos ir alkoholizmo prevencijos komisijos ir Sveikatos reikalų komiteto susirašinėjimo su valstybės institucijomis informaciją ,</w:t>
      </w:r>
    </w:p>
    <w:p w:rsidR="008A1E68" w:rsidRDefault="008A1E68" w:rsidP="00626711">
      <w:pPr>
        <w:ind w:firstLine="720"/>
        <w:jc w:val="both"/>
      </w:pPr>
    </w:p>
    <w:p w:rsidR="00626711" w:rsidRDefault="00626711" w:rsidP="00626711">
      <w:pPr>
        <w:spacing w:line="360" w:lineRule="auto"/>
        <w:jc w:val="center"/>
        <w:rPr>
          <w:b/>
        </w:rPr>
      </w:pPr>
      <w:r>
        <w:rPr>
          <w:b/>
        </w:rPr>
        <w:t>pažymi :</w:t>
      </w:r>
    </w:p>
    <w:p w:rsidR="00626711" w:rsidRDefault="00626711" w:rsidP="00626711">
      <w:pPr>
        <w:jc w:val="both"/>
      </w:pPr>
      <w:r>
        <w:rPr>
          <w:b/>
        </w:rPr>
        <w:lastRenderedPageBreak/>
        <w:tab/>
      </w:r>
      <w:r>
        <w:t>Priklausomybės ligų sveikatos priežiūros paslaugos teikiamos vadovaujantis sveikatos apsaugos ministro 2008 m. gruodžio 31 d. įsakymu Nr. V-1288 patvirtinta 2009-2012 metų Priklausomybės ligų gydymo programa.</w:t>
      </w:r>
    </w:p>
    <w:p w:rsidR="00626711" w:rsidRDefault="00626711" w:rsidP="00626711">
      <w:pPr>
        <w:tabs>
          <w:tab w:val="left" w:pos="4111"/>
        </w:tabs>
        <w:spacing w:before="60"/>
        <w:ind w:right="11" w:firstLine="709"/>
        <w:jc w:val="both"/>
        <w:rPr>
          <w:spacing w:val="4"/>
        </w:rPr>
      </w:pPr>
      <w:r>
        <w:rPr>
          <w:spacing w:val="4"/>
        </w:rPr>
        <w:t xml:space="preserve">Valstybinio psichikos sveikatos centro duomenimis šiuo metu pakaitinio palaikomojo gydymo opioidiniais vaistiniais preparatais paslaugos teikiamos keturiuose priklausomybės ligų centruose ir 13 psichikos sveikatos centrų. Jei asmuo, esantis palaikomajame pakaitiniame gydyme patenka į areštinę, gydymą jis gauna. Nagrinėjant pakaitinio palaikomojo gydymo opioidiniais vaistiniais preparatais (metadonu) paslaugų dinamiką, nustatyta, kad išaugo pacientų, gaunančių šias paslaugas skaičius (1997 m. – 184 pacientai, 2008 m. – 395 pacientai, 2009 m. – 512 pacientų). Taip pat išaugo metadono hidrochlorido sunaudojimo pacientų gydymui kiekis (2009 m. -11157,535 litrai, o 2010 m. I pusmetyje – 7098,855 litrai). 2011 metams nustatytas ir Tarptautiniam narkotikų kontrolės komitetui pateiktas metadono poreikis yra 12000 gramų. </w:t>
      </w:r>
    </w:p>
    <w:p w:rsidR="00626711" w:rsidRDefault="00626711" w:rsidP="00626711">
      <w:pPr>
        <w:tabs>
          <w:tab w:val="left" w:pos="4111"/>
        </w:tabs>
        <w:spacing w:before="60"/>
        <w:ind w:right="11" w:firstLine="709"/>
        <w:jc w:val="both"/>
        <w:rPr>
          <w:spacing w:val="4"/>
        </w:rPr>
      </w:pPr>
      <w:r>
        <w:rPr>
          <w:spacing w:val="4"/>
        </w:rPr>
        <w:t xml:space="preserve">Išryškėjo su opioidinių vaistinių preparatų (metadono) panaudojimu, kontrole ir stebėsena susijusios problemos: </w:t>
      </w:r>
    </w:p>
    <w:p w:rsidR="00626711" w:rsidRDefault="00626711" w:rsidP="00626711">
      <w:pPr>
        <w:tabs>
          <w:tab w:val="left" w:pos="4111"/>
        </w:tabs>
        <w:spacing w:before="60"/>
        <w:ind w:right="11" w:firstLine="709"/>
        <w:jc w:val="both"/>
        <w:rPr>
          <w:spacing w:val="4"/>
        </w:rPr>
      </w:pPr>
      <w:r>
        <w:rPr>
          <w:spacing w:val="4"/>
        </w:rPr>
        <w:t>1. Iki šiol ilgalaikės priklausomybės ligų gydymo programos buvo tvirtinamos tik sveikatos apsaugos ministro įsakymais, neįtraukiant kitų ministerijų ir žinybų.</w:t>
      </w:r>
    </w:p>
    <w:p w:rsidR="00626711" w:rsidRDefault="00626711" w:rsidP="00626711">
      <w:pPr>
        <w:tabs>
          <w:tab w:val="left" w:pos="4111"/>
        </w:tabs>
        <w:spacing w:before="60"/>
        <w:ind w:right="11" w:firstLine="709"/>
        <w:jc w:val="both"/>
        <w:rPr>
          <w:spacing w:val="4"/>
        </w:rPr>
      </w:pPr>
      <w:r>
        <w:rPr>
          <w:spacing w:val="4"/>
        </w:rPr>
        <w:t>2. Nesukurta asmenų, kurie kreipiasi į sveikatos priežiūros įstaigas dėl elgesio ir psichikos sutrikimų, vartojant narkotines ir psichotropines medžiagas, stebėsenos sistema. Dėl to skiriasi įvairių institucijų pateikti statistiniai duomenys apie asmenis, sergančius priklausomybės ligomis.</w:t>
      </w:r>
    </w:p>
    <w:p w:rsidR="00626711" w:rsidRDefault="00626711" w:rsidP="00626711">
      <w:pPr>
        <w:ind w:firstLine="720"/>
        <w:jc w:val="both"/>
        <w:rPr>
          <w:bCs/>
        </w:rPr>
      </w:pPr>
      <w:r>
        <w:rPr>
          <w:bCs/>
        </w:rPr>
        <w:t>3. Nėra sistemos, siekiant narkologinės priežiūros tikslų, kad 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socialinę globą.</w:t>
      </w:r>
    </w:p>
    <w:p w:rsidR="00626711" w:rsidRDefault="00626711" w:rsidP="00626711">
      <w:pPr>
        <w:ind w:firstLine="720"/>
        <w:jc w:val="both"/>
        <w:rPr>
          <w:bCs/>
        </w:rPr>
      </w:pPr>
      <w:r>
        <w:rPr>
          <w:bCs/>
        </w:rPr>
        <w:t>4. Neužtikrintas finansavimas ir neaiškūs finansavimo šaltiniai asmenims, nedraustiems privalomuoju sveikatos draudimu ir sergantiems priklausomybės ligomis.</w:t>
      </w:r>
    </w:p>
    <w:p w:rsidR="00626711" w:rsidRDefault="00626711" w:rsidP="00626711">
      <w:pPr>
        <w:ind w:firstLine="720"/>
        <w:jc w:val="both"/>
        <w:rPr>
          <w:bCs/>
        </w:rPr>
      </w:pPr>
      <w:r>
        <w:rPr>
          <w:bCs/>
        </w:rPr>
        <w:t>5. Asmenims, sergantiems priklausomybės ligomis (draustiems ir nedraustiems privalomuoju sveikatos draudimu), gydymo programų efektyvumo vertinimo kriterijai nustatomi pagal asmenų, atvykusių į pakaitinį palaikomąjį gydymą, skaičių, o ne pagal asmenų, pasveikusių ir baigusių pakaitinį palaikomąjį gydymą, skaičių.</w:t>
      </w:r>
    </w:p>
    <w:p w:rsidR="00626711" w:rsidRDefault="00626711" w:rsidP="00626711">
      <w:pPr>
        <w:ind w:firstLine="720"/>
        <w:jc w:val="both"/>
        <w:rPr>
          <w:bCs/>
        </w:rPr>
      </w:pPr>
      <w:r>
        <w:rPr>
          <w:bCs/>
        </w:rPr>
        <w:t>6. Nuo 2009 m. vasario 12 d. įsigaliojus sveikatos apsaugos ministro įsakymu Nr. V-104, „Dėl Lietuvos Respublikos sveikatos apsaugos ministro 2008 m. gruodžio 31 d. įsakymo Nr. V-1288 „Dėl 2009-2012 metų priklausomybės ligų gydymo programos patvirtinimo“ pakeitimo“, žodis „metadonas“ išbrauktas iš 2009-2012 metų programos gydymui vartojamų medikamentų sąrašo, ir todėl nėra aišku, ar 2009-2010 metais, vykdant viešuosius pirkimus, metadonas, kaip medikamentas, skirtas asmenų, sergančių priklausomybe nuo opioidų, gydymui, buvo pigiausias opioidinis vaistinis preparatas.</w:t>
      </w:r>
    </w:p>
    <w:p w:rsidR="008A1E68" w:rsidRDefault="008A1E68" w:rsidP="00626711">
      <w:pPr>
        <w:ind w:firstLine="720"/>
        <w:jc w:val="both"/>
        <w:rPr>
          <w:bCs/>
        </w:rPr>
      </w:pPr>
    </w:p>
    <w:p w:rsidR="00626711" w:rsidRDefault="00626711" w:rsidP="00626711">
      <w:pPr>
        <w:spacing w:line="360" w:lineRule="auto"/>
        <w:jc w:val="center"/>
        <w:rPr>
          <w:b/>
        </w:rPr>
      </w:pPr>
      <w:r>
        <w:rPr>
          <w:b/>
        </w:rPr>
        <w:t>nusprendė:</w:t>
      </w:r>
    </w:p>
    <w:p w:rsidR="00626711" w:rsidRDefault="00626711" w:rsidP="00626711">
      <w:pPr>
        <w:spacing w:line="360" w:lineRule="auto"/>
        <w:jc w:val="both"/>
        <w:rPr>
          <w:b/>
        </w:rPr>
      </w:pPr>
      <w:r>
        <w:rPr>
          <w:b/>
        </w:rPr>
        <w:t>1. Lietuvos Respublikos Vyriausybei:</w:t>
      </w:r>
    </w:p>
    <w:p w:rsidR="00626711" w:rsidRDefault="00626711" w:rsidP="00626711">
      <w:pPr>
        <w:jc w:val="both"/>
      </w:pPr>
      <w:r>
        <w:rPr>
          <w:b/>
        </w:rPr>
        <w:tab/>
      </w:r>
      <w:r>
        <w:t>1.1. Tvirtinti priklausomybės ligų gydymo programas, sistemiškai derinant jas su Seimo 2009 m. spalio 22 d. rezoliucija „Dėl narkotikų kontrolės politikos tęstinumo“, Seimo 2010 m. lapkričio 18 d. rezoliucija „Dėl kovos su naujomis psichoaktyviosiomis medžiagomis (naujais narkotikais) tęstinumo“ ir Nacionaline narkotikų kontrolės ir narkomanijos prevencijos 2010-2016 metų programa.</w:t>
      </w:r>
    </w:p>
    <w:p w:rsidR="00626711" w:rsidRDefault="00626711" w:rsidP="00626711">
      <w:pPr>
        <w:jc w:val="both"/>
      </w:pPr>
      <w:r>
        <w:tab/>
        <w:t xml:space="preserve">1.2. Iki 2011 m. liepos 1 d. sukurti vieningą informacinę asmenų, turinčių psichikos ir elgesio sutrikimų, vartojant psichoaktyviąsias medžiagas, duomenų bazę, kuri sudarytų galimybę rinkti duomenis iš privačių įstaigų ir valstybės įstaigų, pavaldžių skirtingoms ministerijoms </w:t>
      </w:r>
    </w:p>
    <w:p w:rsidR="00626711" w:rsidRDefault="00626711" w:rsidP="00626711">
      <w:pPr>
        <w:jc w:val="both"/>
      </w:pPr>
      <w:r>
        <w:tab/>
        <w:t>1.3.  Užtikrinti pakankamą finansavimą už suteiktas sveikatos priežiūros paslaugas draustiems privalomuoju sveikatos draudimu asmenims ir sergantiems priklausomybės ligomis iš Privalomojo sveikatos draudimo fondo lėšų, o nedraustiems privalomuoju sveikatos draudimu asmenims užtikrinti aiškų finansavimo šaltinį iš valstybės biudžeto lėšų. Numatyti vienodą asmenų, nedraustų privalomuoju sveikatos draudimu ir  sergančių priklausomybės ligomis, finansavimo mechanizmą.</w:t>
      </w:r>
    </w:p>
    <w:p w:rsidR="00626711" w:rsidRDefault="00626711" w:rsidP="00626711">
      <w:pPr>
        <w:jc w:val="both"/>
      </w:pPr>
      <w:r>
        <w:lastRenderedPageBreak/>
        <w:tab/>
        <w:t>1.4. Patvirtinti asmenų, sergančių priklausomybės ligomis, gydymo, psichosocialinės reabilitacijos ir reintegracijos paslaugų bendrą sistemą.</w:t>
      </w:r>
    </w:p>
    <w:p w:rsidR="00626711" w:rsidRDefault="00626711" w:rsidP="00626711">
      <w:pPr>
        <w:jc w:val="both"/>
      </w:pPr>
      <w:r>
        <w:tab/>
        <w:t>1.5. Iki 2011 m sausio 31 d. nustatyti asmenų, sergančių priklausomybės ligomis (draustiems ir nedraustiems privalomuoju sveikatos draudimu) gydymo programų efektyvumo vertinimo kriterijus (pagal asmenų, pasveikusių ir baigusių palaikomąjį gydymą, skaičių).</w:t>
      </w:r>
    </w:p>
    <w:p w:rsidR="00626711" w:rsidRDefault="00626711" w:rsidP="00626711">
      <w:pPr>
        <w:ind w:firstLine="720"/>
        <w:jc w:val="both"/>
      </w:pPr>
      <w:r>
        <w:t>1.6. Iki 2011 m. kovo 15 d. atlikti tyrimą dėl sveikatos priežiūros paslaugų atitikties nustatytiems reikalavimams asmens sveikatos priežiūros įstaigose, kurioms 2009-2010 m. buvo tiektas vaistinis preparatas „Metadon“.</w:t>
      </w:r>
    </w:p>
    <w:p w:rsidR="00626711" w:rsidRDefault="00626711" w:rsidP="00626711">
      <w:pPr>
        <w:jc w:val="both"/>
        <w:rPr>
          <w:b/>
        </w:rPr>
      </w:pPr>
      <w:r>
        <w:rPr>
          <w:b/>
        </w:rPr>
        <w:t>2. Valstybės kontrolei:</w:t>
      </w:r>
    </w:p>
    <w:p w:rsidR="00626711" w:rsidRDefault="00626711" w:rsidP="00626711">
      <w:pPr>
        <w:ind w:firstLine="720"/>
        <w:jc w:val="both"/>
      </w:pPr>
      <w:r>
        <w:t>2011 m. I pusmetyje atlikti tyrimą dėl metadono panaudojimo Lietuvoje.</w:t>
      </w:r>
    </w:p>
    <w:p w:rsidR="00626711" w:rsidRDefault="00626711" w:rsidP="00626711">
      <w:pPr>
        <w:jc w:val="both"/>
      </w:pPr>
      <w:r>
        <w:rPr>
          <w:b/>
        </w:rPr>
        <w:t>3. Seimo nacionalinio saugumo ir gynybos komitetą, Valstybės saugumo departamentą ir Specialiųjų tyrimų tarnybą</w:t>
      </w:r>
      <w:r>
        <w:t xml:space="preserve"> supažindinti su šiuo priimtu sprendimu.</w:t>
      </w:r>
    </w:p>
    <w:p w:rsidR="00626711" w:rsidRDefault="00626711" w:rsidP="00626711">
      <w:pPr>
        <w:jc w:val="both"/>
      </w:pPr>
    </w:p>
    <w:p w:rsidR="00626711" w:rsidRDefault="00626711" w:rsidP="00626711">
      <w:pPr>
        <w:jc w:val="both"/>
      </w:pPr>
      <w:r>
        <w:t>Sveikatos reikalų komiteto pirmininkas</w:t>
      </w:r>
      <w:r>
        <w:tab/>
      </w:r>
      <w:r>
        <w:tab/>
      </w:r>
      <w:r>
        <w:tab/>
      </w:r>
      <w:r>
        <w:tab/>
        <w:t>Antanas Matulas</w:t>
      </w:r>
    </w:p>
    <w:p w:rsidR="00626711" w:rsidRDefault="008A1E68" w:rsidP="00626711">
      <w:pPr>
        <w:spacing w:line="360" w:lineRule="auto"/>
        <w:jc w:val="both"/>
      </w:pPr>
      <w:r>
        <w:t>N</w:t>
      </w:r>
      <w:r w:rsidR="00626711">
        <w:t>arkomanijos ir alkoholizmo prevencijos</w:t>
      </w:r>
      <w:r w:rsidR="00626711">
        <w:tab/>
      </w:r>
      <w:r w:rsidR="00626711">
        <w:tab/>
      </w:r>
      <w:r w:rsidR="00626711">
        <w:tab/>
      </w:r>
      <w:r w:rsidR="00626711">
        <w:tab/>
      </w:r>
    </w:p>
    <w:p w:rsidR="00626711" w:rsidRDefault="00626711" w:rsidP="00626711">
      <w:pPr>
        <w:spacing w:line="360" w:lineRule="auto"/>
        <w:jc w:val="both"/>
      </w:pPr>
      <w:r>
        <w:t>Komisijos pirmininkė                                                    Vincė Vaidevutė Margevičienė</w:t>
      </w:r>
    </w:p>
    <w:p w:rsidR="00626711" w:rsidRPr="00C301EA" w:rsidRDefault="00626711" w:rsidP="00626711">
      <w:pPr>
        <w:tabs>
          <w:tab w:val="left" w:pos="720"/>
        </w:tabs>
        <w:jc w:val="both"/>
      </w:pPr>
      <w:r>
        <w:tab/>
      </w:r>
      <w:r>
        <w:tab/>
      </w:r>
      <w:r>
        <w:tab/>
      </w:r>
      <w:r>
        <w:tab/>
      </w:r>
    </w:p>
    <w:p w:rsidR="006222CC" w:rsidRDefault="006222CC"/>
    <w:p w:rsidR="006222CC" w:rsidRDefault="006222CC"/>
    <w:p w:rsidR="006222CC" w:rsidRDefault="006222CC"/>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8C1510" w:rsidRDefault="008C1510"/>
    <w:p w:rsidR="00C07927" w:rsidRDefault="00C07927"/>
    <w:p w:rsidR="00C07927" w:rsidRDefault="00C07927"/>
    <w:p w:rsidR="00C07927" w:rsidRDefault="00C07927"/>
    <w:p w:rsidR="00C07927" w:rsidRDefault="00C07927"/>
    <w:p w:rsidR="00C07927" w:rsidRDefault="00C07927"/>
    <w:p w:rsidR="00C07927" w:rsidRDefault="00C07927"/>
    <w:p w:rsidR="00C07927" w:rsidRDefault="00C07927" w:rsidP="00C07927">
      <w:pPr>
        <w:ind w:left="1440" w:firstLine="720"/>
        <w:jc w:val="both"/>
        <w:rPr>
          <w:b/>
          <w:bCs/>
          <w:sz w:val="28"/>
        </w:rPr>
      </w:pPr>
      <w:r>
        <w:rPr>
          <w:b/>
          <w:bCs/>
          <w:sz w:val="28"/>
        </w:rPr>
        <w:t xml:space="preserve">   LIETUVOS RESPUBLIKOS SEIMO</w:t>
      </w:r>
    </w:p>
    <w:p w:rsidR="00C07927" w:rsidRDefault="00C07927" w:rsidP="00C07927">
      <w:pPr>
        <w:jc w:val="both"/>
        <w:rPr>
          <w:b/>
          <w:bCs/>
          <w:sz w:val="28"/>
        </w:rPr>
      </w:pPr>
    </w:p>
    <w:p w:rsidR="00C07927" w:rsidRDefault="00C07927" w:rsidP="00C07927">
      <w:pPr>
        <w:ind w:left="1440"/>
        <w:jc w:val="both"/>
        <w:rPr>
          <w:b/>
          <w:bCs/>
          <w:sz w:val="28"/>
        </w:rPr>
      </w:pPr>
      <w:r>
        <w:rPr>
          <w:b/>
          <w:bCs/>
          <w:sz w:val="28"/>
        </w:rPr>
        <w:t>NARKOMANIJOS IR ALKOHOLIZMO PREVENCIJOS</w:t>
      </w:r>
    </w:p>
    <w:p w:rsidR="00C07927" w:rsidRDefault="00C07927" w:rsidP="00C07927">
      <w:pPr>
        <w:ind w:left="1440"/>
        <w:jc w:val="both"/>
        <w:rPr>
          <w:b/>
          <w:bCs/>
          <w:sz w:val="28"/>
        </w:rPr>
      </w:pPr>
      <w:r>
        <w:rPr>
          <w:b/>
          <w:bCs/>
          <w:sz w:val="28"/>
        </w:rPr>
        <w:t xml:space="preserve">                             KOMISIJOS</w:t>
      </w:r>
    </w:p>
    <w:p w:rsidR="00C07927" w:rsidRDefault="00C07927" w:rsidP="00C07927">
      <w:pPr>
        <w:jc w:val="both"/>
        <w:rPr>
          <w:b/>
          <w:bCs/>
          <w:sz w:val="28"/>
        </w:rPr>
      </w:pPr>
    </w:p>
    <w:p w:rsidR="00C07927" w:rsidRDefault="00C07927" w:rsidP="00C07927">
      <w:pPr>
        <w:ind w:left="2160" w:firstLine="720"/>
        <w:jc w:val="both"/>
        <w:rPr>
          <w:b/>
          <w:bCs/>
          <w:sz w:val="28"/>
        </w:rPr>
      </w:pPr>
      <w:r>
        <w:rPr>
          <w:b/>
          <w:bCs/>
          <w:sz w:val="28"/>
        </w:rPr>
        <w:t>2011 METŲ VEIKLOS</w:t>
      </w:r>
    </w:p>
    <w:p w:rsidR="00C07927" w:rsidRDefault="00C07927" w:rsidP="00C07927">
      <w:pPr>
        <w:jc w:val="both"/>
        <w:rPr>
          <w:b/>
          <w:bCs/>
          <w:sz w:val="28"/>
        </w:rPr>
      </w:pPr>
    </w:p>
    <w:p w:rsidR="00C07927" w:rsidRDefault="00C07927" w:rsidP="00C07927">
      <w:pPr>
        <w:jc w:val="both"/>
        <w:rPr>
          <w:b/>
          <w:bCs/>
          <w:sz w:val="28"/>
        </w:rPr>
      </w:pPr>
    </w:p>
    <w:p w:rsidR="00C07927" w:rsidRDefault="00C07927" w:rsidP="00C07927">
      <w:pPr>
        <w:jc w:val="both"/>
        <w:rPr>
          <w:b/>
          <w:bCs/>
          <w:sz w:val="28"/>
        </w:rPr>
      </w:pPr>
    </w:p>
    <w:p w:rsidR="00C07927" w:rsidRDefault="00C07927" w:rsidP="00C07927">
      <w:pPr>
        <w:pStyle w:val="Normal1"/>
        <w:rPr>
          <w:b/>
          <w:bCs/>
          <w:sz w:val="28"/>
          <w:szCs w:val="24"/>
          <w:lang w:val="lt-LT"/>
        </w:rPr>
      </w:pPr>
      <w:r>
        <w:rPr>
          <w:b/>
          <w:bCs/>
          <w:sz w:val="28"/>
          <w:szCs w:val="24"/>
          <w:lang w:val="lt-LT"/>
        </w:rPr>
        <w:t xml:space="preserve">                                                A T A S K A I T A</w:t>
      </w:r>
    </w:p>
    <w:p w:rsidR="00C07927" w:rsidRDefault="00C07927" w:rsidP="00C07927">
      <w:pPr>
        <w:jc w:val="both"/>
        <w:rPr>
          <w:b/>
          <w:bCs/>
          <w:sz w:val="28"/>
        </w:rPr>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Default="00C07927" w:rsidP="00C07927">
      <w:pPr>
        <w:jc w:val="both"/>
      </w:pPr>
    </w:p>
    <w:p w:rsidR="00C07927" w:rsidRPr="0018612E" w:rsidRDefault="00C07927" w:rsidP="00C07927">
      <w:pPr>
        <w:pStyle w:val="Pagrindiniotekstotrauka"/>
        <w:rPr>
          <w:b/>
          <w:szCs w:val="24"/>
          <w:lang w:val="lt-LT"/>
        </w:rPr>
      </w:pPr>
      <w:r>
        <w:rPr>
          <w:szCs w:val="24"/>
          <w:lang w:val="lt-LT"/>
        </w:rPr>
        <w:lastRenderedPageBreak/>
        <w:t xml:space="preserve">Lietuvos Respublikos Seimas, vadovaudamasis Seimo statuto 71 straipsniu, 2008 m. gruodžio 2 d. nutarimu Nr. XI-37 sudarė nuolatinę Seimo Narkomanijos ir alkoholizmo prevencijos komisiją iš 11 narių, </w:t>
      </w:r>
      <w:r w:rsidRPr="00F352AF">
        <w:rPr>
          <w:szCs w:val="24"/>
          <w:lang w:val="lt-LT"/>
        </w:rPr>
        <w:t xml:space="preserve">nuo 2011 metų </w:t>
      </w:r>
      <w:r>
        <w:rPr>
          <w:szCs w:val="24"/>
          <w:lang w:val="lt-LT"/>
        </w:rPr>
        <w:t xml:space="preserve">balandžio 21 d. iš 10 narių, nuo 2011 metų gruodžio </w:t>
      </w:r>
      <w:r w:rsidRPr="00F352AF">
        <w:rPr>
          <w:szCs w:val="24"/>
          <w:lang w:val="lt-LT"/>
        </w:rPr>
        <w:t xml:space="preserve"> 1</w:t>
      </w:r>
      <w:r>
        <w:rPr>
          <w:szCs w:val="24"/>
          <w:lang w:val="lt-LT"/>
        </w:rPr>
        <w:t>5</w:t>
      </w:r>
      <w:r w:rsidRPr="00F352AF">
        <w:rPr>
          <w:szCs w:val="24"/>
          <w:lang w:val="lt-LT"/>
        </w:rPr>
        <w:t xml:space="preserve"> dienos</w:t>
      </w:r>
      <w:r>
        <w:rPr>
          <w:szCs w:val="24"/>
          <w:lang w:val="lt-LT"/>
        </w:rPr>
        <w:t xml:space="preserve"> iš 11 narių. </w:t>
      </w:r>
    </w:p>
    <w:p w:rsidR="00C07927" w:rsidRDefault="00C07927" w:rsidP="00C07927">
      <w:pPr>
        <w:ind w:firstLine="720"/>
        <w:jc w:val="both"/>
      </w:pPr>
      <w:r>
        <w:t xml:space="preserve">Nuo 2008 m. gruodžio 3 d. Lietuvos Respublikos Seimo Narkomanijos ir alkoholizmo prevencijos komisijos pirmininke išrinkta Vincė Vaidevutė Margevičienė. </w:t>
      </w:r>
    </w:p>
    <w:p w:rsidR="00C07927" w:rsidRDefault="00C07927" w:rsidP="00C07927">
      <w:pPr>
        <w:ind w:firstLine="720"/>
        <w:jc w:val="both"/>
      </w:pPr>
      <w:r>
        <w:t>2009 m. gruodžio 3 d. Seimo Narkomanijos ir alkoholizmo prevencijos komisijos posėdyje komisijos pirmininko pavaduotoja išrinkta  Seimo narė Dangutė Mikutienė.</w:t>
      </w:r>
    </w:p>
    <w:p w:rsidR="00C07927" w:rsidRDefault="00C07927" w:rsidP="00C07927">
      <w:pPr>
        <w:ind w:firstLine="720"/>
        <w:jc w:val="both"/>
      </w:pPr>
      <w:r>
        <w:t>2009 m. kovo 26 d.  Lietuvos Respublikos Seimas nutarimu Nr. XI - 210 “Dėl Lietuvos Respublikos Seimo Narkomanijos ir alkoholizmo prevencijos komisijos nuostatų patvirtinimo” patvirtino Seimo Narkomanijos ir alkoholizmo prevencijos komisijos nuostatus.</w:t>
      </w:r>
    </w:p>
    <w:p w:rsidR="00C07927" w:rsidRDefault="00C07927" w:rsidP="00C07927">
      <w:pPr>
        <w:ind w:firstLine="720"/>
        <w:jc w:val="both"/>
      </w:pPr>
      <w:r>
        <w:t xml:space="preserve">Lietuvos Respublikos Seimo Narkomanijos ir alkoholizmo prevencijos komisijos sudėtis: </w:t>
      </w:r>
    </w:p>
    <w:p w:rsidR="00C07927" w:rsidRDefault="00C07927" w:rsidP="00C07927">
      <w:pPr>
        <w:ind w:firstLine="720"/>
        <w:jc w:val="both"/>
      </w:pPr>
      <w:r>
        <w:t>1) Andrius Burba ( nuo 2011-12-15);</w:t>
      </w:r>
    </w:p>
    <w:p w:rsidR="00C07927" w:rsidRDefault="00C07927" w:rsidP="00C07927">
      <w:pPr>
        <w:ind w:firstLine="720"/>
        <w:jc w:val="both"/>
      </w:pPr>
      <w:r>
        <w:t>2)</w:t>
      </w:r>
      <w:r w:rsidRPr="00600F27">
        <w:t xml:space="preserve"> </w:t>
      </w:r>
      <w:r>
        <w:t>Algimantas Dumbrava;</w:t>
      </w:r>
    </w:p>
    <w:p w:rsidR="00C07927" w:rsidRDefault="00C07927" w:rsidP="00C07927">
      <w:pPr>
        <w:ind w:firstLine="720"/>
        <w:jc w:val="both"/>
      </w:pPr>
      <w:r>
        <w:t>3)  Egidijus Klumbys;</w:t>
      </w:r>
    </w:p>
    <w:p w:rsidR="00C07927" w:rsidRDefault="00C07927" w:rsidP="00C07927">
      <w:pPr>
        <w:ind w:firstLine="720"/>
        <w:jc w:val="both"/>
      </w:pPr>
      <w:r>
        <w:t>4)</w:t>
      </w:r>
      <w:r w:rsidRPr="00600F27">
        <w:t xml:space="preserve"> </w:t>
      </w:r>
      <w:r>
        <w:t>Vincė Vaidevutė Margevičienė;</w:t>
      </w:r>
    </w:p>
    <w:p w:rsidR="00C07927" w:rsidRDefault="00C07927" w:rsidP="00C07927">
      <w:pPr>
        <w:ind w:firstLine="720"/>
        <w:jc w:val="both"/>
      </w:pPr>
      <w:r>
        <w:t>5) Dangutė Mikutienė;</w:t>
      </w:r>
    </w:p>
    <w:p w:rsidR="00C07927" w:rsidRDefault="00C07927" w:rsidP="00C07927">
      <w:pPr>
        <w:ind w:firstLine="720"/>
        <w:jc w:val="both"/>
      </w:pPr>
      <w:r>
        <w:t>6)</w:t>
      </w:r>
      <w:r w:rsidRPr="00600F27">
        <w:t xml:space="preserve"> </w:t>
      </w:r>
      <w:r>
        <w:t>Gediminas Navaitis;</w:t>
      </w:r>
    </w:p>
    <w:p w:rsidR="00C07927" w:rsidRDefault="00C07927" w:rsidP="00C07927">
      <w:pPr>
        <w:ind w:firstLine="720"/>
        <w:jc w:val="both"/>
      </w:pPr>
      <w:r>
        <w:t>7) Marija Aušrinė Pavilionienė;</w:t>
      </w:r>
    </w:p>
    <w:p w:rsidR="00C07927" w:rsidRDefault="00C07927" w:rsidP="00C07927">
      <w:pPr>
        <w:ind w:firstLine="720"/>
        <w:jc w:val="both"/>
      </w:pPr>
      <w:r>
        <w:t>8) Naglis Puteikis (nuo 2011-09-15);</w:t>
      </w:r>
    </w:p>
    <w:p w:rsidR="00C07927" w:rsidRDefault="00C07927" w:rsidP="00C07927">
      <w:pPr>
        <w:ind w:firstLine="720"/>
        <w:jc w:val="both"/>
      </w:pPr>
      <w:r>
        <w:t>9)</w:t>
      </w:r>
      <w:r w:rsidRPr="00600F27">
        <w:t xml:space="preserve"> </w:t>
      </w:r>
      <w:r>
        <w:t xml:space="preserve"> Algirdas Sysas;</w:t>
      </w:r>
    </w:p>
    <w:p w:rsidR="00C07927" w:rsidRDefault="00C07927" w:rsidP="00C07927">
      <w:pPr>
        <w:ind w:firstLine="720"/>
        <w:jc w:val="both"/>
      </w:pPr>
      <w:r>
        <w:t>10) Gintaras Songaila;</w:t>
      </w:r>
    </w:p>
    <w:p w:rsidR="00C07927" w:rsidRDefault="00C07927" w:rsidP="00C07927">
      <w:pPr>
        <w:ind w:firstLine="720"/>
        <w:jc w:val="both"/>
      </w:pPr>
      <w:r>
        <w:t>11)</w:t>
      </w:r>
      <w:r w:rsidRPr="00600F27">
        <w:t xml:space="preserve"> </w:t>
      </w:r>
      <w:r>
        <w:t>Kazimieras Uoka.</w:t>
      </w:r>
    </w:p>
    <w:p w:rsidR="00C07927" w:rsidRDefault="00C07927" w:rsidP="00C07927">
      <w:pPr>
        <w:ind w:firstLine="720"/>
        <w:jc w:val="both"/>
      </w:pPr>
      <w:r>
        <w:t>12) Evaldas Jurkevičius ( nuo 2011-04-21 iki 2011-09-15);</w:t>
      </w:r>
    </w:p>
    <w:p w:rsidR="00C07927" w:rsidRDefault="00C07927" w:rsidP="00C07927">
      <w:pPr>
        <w:ind w:firstLine="720"/>
        <w:jc w:val="both"/>
      </w:pPr>
      <w:r>
        <w:t>13) Algis Kazulėnas (iki 2011-04-21);</w:t>
      </w:r>
    </w:p>
    <w:p w:rsidR="00C07927" w:rsidRDefault="00C07927" w:rsidP="00C07927">
      <w:pPr>
        <w:ind w:firstLine="720"/>
        <w:jc w:val="both"/>
      </w:pPr>
      <w:r>
        <w:t>14) Jonas Liesys (iki 2011-04-21).</w:t>
      </w:r>
    </w:p>
    <w:p w:rsidR="00C07927" w:rsidRDefault="00C07927" w:rsidP="00C07927">
      <w:pPr>
        <w:jc w:val="both"/>
      </w:pPr>
    </w:p>
    <w:p w:rsidR="00C07927" w:rsidRDefault="00C07927" w:rsidP="00C07927">
      <w:pPr>
        <w:jc w:val="both"/>
        <w:rPr>
          <w:b/>
        </w:rPr>
      </w:pPr>
      <w:r>
        <w:tab/>
      </w:r>
      <w:r>
        <w:tab/>
      </w:r>
      <w:r>
        <w:tab/>
      </w:r>
      <w:r>
        <w:rPr>
          <w:b/>
        </w:rPr>
        <w:t>Komisijos veikla</w:t>
      </w:r>
    </w:p>
    <w:p w:rsidR="00C07927" w:rsidRDefault="00C07927" w:rsidP="00C07927">
      <w:pPr>
        <w:jc w:val="both"/>
      </w:pPr>
    </w:p>
    <w:p w:rsidR="00C07927" w:rsidRDefault="00C07927" w:rsidP="00C07927">
      <w:pPr>
        <w:ind w:firstLine="720"/>
        <w:jc w:val="both"/>
      </w:pPr>
      <w:r>
        <w:t>Lietuvos Respublikos Seimo 2011 metų pavasario ir rudens sesijų metu Komisija surengė 25 posėdžius, 1 klausymus ir 1 pasitarimą, į kuriuos buvo kviečiami atsakingi institucijų pareigūnai, visuomeninių ir kitų organizacijų atstovai.</w:t>
      </w:r>
    </w:p>
    <w:p w:rsidR="00C07927" w:rsidRDefault="00C07927" w:rsidP="00C07927">
      <w:pPr>
        <w:ind w:firstLine="720"/>
        <w:jc w:val="both"/>
      </w:pPr>
      <w:r>
        <w:t>Ataskaitiniu laikotarpiu Komisija išsiuntė 267 ir gavo 192</w:t>
      </w:r>
      <w:r>
        <w:rPr>
          <w:bCs/>
        </w:rPr>
        <w:t xml:space="preserve"> </w:t>
      </w:r>
      <w:r>
        <w:t xml:space="preserve">raštus. Gauti skundai dėl narkomanijos ir alkoholizmo prevencijos, narkotikų ir alkoholio kontrolės bei nacionalinių programų įgyvendinimo klausimais. </w:t>
      </w:r>
    </w:p>
    <w:p w:rsidR="00C07927" w:rsidRDefault="00C07927" w:rsidP="00C07927">
      <w:pPr>
        <w:ind w:firstLine="720"/>
        <w:jc w:val="both"/>
      </w:pPr>
      <w:r>
        <w:t xml:space="preserve">Ataskaitiniu laikotarpiu Komisija surengė, padėjo organizuoti susitikimus, renginius ir </w:t>
      </w:r>
      <w:r>
        <w:rPr>
          <w:bCs/>
        </w:rPr>
        <w:t>konferencijas narkomanijos</w:t>
      </w:r>
      <w:r>
        <w:t xml:space="preserve"> ir alkoholizmo prevencijos, narkotikų ir alkoholio kontrolės ir  narkomanijos politikos temomis: </w:t>
      </w:r>
    </w:p>
    <w:p w:rsidR="00C07927" w:rsidRDefault="00C07927" w:rsidP="00C07927">
      <w:pPr>
        <w:ind w:firstLine="720"/>
        <w:jc w:val="both"/>
        <w:rPr>
          <w:bCs/>
        </w:rPr>
      </w:pPr>
      <w:r>
        <w:t xml:space="preserve">2011-01-05 susitikimą su valstybės institucijų ir kitų organizacijų atstovais, </w:t>
      </w:r>
      <w:r>
        <w:rPr>
          <w:bCs/>
        </w:rPr>
        <w:t xml:space="preserve">aptariant </w:t>
      </w:r>
      <w:r>
        <w:t>narkomanijos ir alkoholizmo prevencijos, narkotikų ir alkoholio kontrolės</w:t>
      </w:r>
      <w:r>
        <w:rPr>
          <w:bCs/>
        </w:rPr>
        <w:t xml:space="preserve"> 2010 metų rezultatus ir 2011 metais numatomus darbus;  </w:t>
      </w:r>
    </w:p>
    <w:p w:rsidR="00C07927" w:rsidRDefault="00C07927" w:rsidP="00C07927">
      <w:pPr>
        <w:ind w:firstLine="720"/>
        <w:jc w:val="both"/>
      </w:pPr>
      <w:r>
        <w:rPr>
          <w:bCs/>
        </w:rPr>
        <w:t xml:space="preserve"> </w:t>
      </w:r>
      <w:r>
        <w:t>2011-05-23 konferenciją “Psichoaktyviųjų medžiagų vartojimo prevencija ugdymo institucijose”;</w:t>
      </w:r>
    </w:p>
    <w:p w:rsidR="00C07927" w:rsidRDefault="00C07927" w:rsidP="00C07927">
      <w:pPr>
        <w:ind w:firstLine="720"/>
        <w:jc w:val="both"/>
      </w:pPr>
      <w:r>
        <w:rPr>
          <w:bCs/>
        </w:rPr>
        <w:t xml:space="preserve">2011-05-25 tarptautinės be žinios dingusių vaikų dienos minėjimą ir renginio „Nebėk iš namų“ kūrybines dirbtuves </w:t>
      </w:r>
      <w:r>
        <w:t>Nepriklausomybės aikštėje prie Lietuvos Respublikos Seimo. Renginio organizatoriai ir vykdytojai: Komisija, JAV ambasada Vilniuje, Dingusių žmonių šeimų  paramos centras, j</w:t>
      </w:r>
      <w:r>
        <w:rPr>
          <w:rStyle w:val="apple-style-span"/>
          <w:color w:val="000000"/>
        </w:rPr>
        <w:t>ungtinė jaunimo komanda iš kūrybinių grupių  "Žali ir geri" bei "Kad būtų linksmiau...".</w:t>
      </w:r>
      <w:r>
        <w:t xml:space="preserve"> </w:t>
      </w:r>
    </w:p>
    <w:p w:rsidR="00C07927" w:rsidRDefault="00C07927" w:rsidP="00C07927">
      <w:pPr>
        <w:ind w:firstLine="720"/>
        <w:jc w:val="both"/>
      </w:pPr>
      <w:r>
        <w:t>2011-05-27</w:t>
      </w:r>
      <w:r w:rsidRPr="00BF2934">
        <w:t xml:space="preserve"> </w:t>
      </w:r>
      <w:r>
        <w:t>konferenciją “Psichoaktyviųjų medžiagų vartojimo prevencija ugdymo institucijose”;</w:t>
      </w:r>
    </w:p>
    <w:p w:rsidR="00C07927" w:rsidRPr="00725BC0" w:rsidRDefault="00C07927" w:rsidP="00C07927">
      <w:pPr>
        <w:jc w:val="both"/>
      </w:pPr>
      <w:r>
        <w:rPr>
          <w:bCs/>
        </w:rPr>
        <w:tab/>
        <w:t xml:space="preserve">2011-07-23 </w:t>
      </w:r>
      <w:r>
        <w:t xml:space="preserve"> renginį Kauno Rotušės aikštėje  </w:t>
      </w:r>
      <w:r w:rsidRPr="00CD2DF9">
        <w:t xml:space="preserve">vaikams ir suaugusiems </w:t>
      </w:r>
      <w:r>
        <w:t>„</w:t>
      </w:r>
      <w:r w:rsidRPr="00CD2DF9">
        <w:t>Boružės diena"</w:t>
      </w:r>
      <w:r>
        <w:t xml:space="preserve">.  Renginio dalyviai galėjo </w:t>
      </w:r>
      <w:r w:rsidRPr="00725BC0">
        <w:t>išmokti pasigaminti buveines-inkilus boružėms bei laukinėms bitėms ir taip padėt</w:t>
      </w:r>
      <w:r>
        <w:t>i</w:t>
      </w:r>
      <w:r w:rsidRPr="00725BC0">
        <w:t xml:space="preserve"> šiems nenumaldomai nykstantiems, bet labai naudingiems vabzdžiams</w:t>
      </w:r>
      <w:r>
        <w:t xml:space="preserve">, buvo </w:t>
      </w:r>
      <w:r w:rsidRPr="00725BC0">
        <w:t xml:space="preserve"> </w:t>
      </w:r>
      <w:r>
        <w:t xml:space="preserve">siekiama </w:t>
      </w:r>
      <w:r w:rsidRPr="00725BC0">
        <w:t>unikal</w:t>
      </w:r>
      <w:r>
        <w:t>aus</w:t>
      </w:r>
      <w:r w:rsidRPr="00725BC0">
        <w:t xml:space="preserve"> Lietuvos rekord</w:t>
      </w:r>
      <w:r>
        <w:t>o -</w:t>
      </w:r>
      <w:r w:rsidRPr="00725BC0">
        <w:t xml:space="preserve"> daugiausia žmonių, gaminančių buveines-inkilus boružėms ir laukinėms bitėms.</w:t>
      </w:r>
      <w:r>
        <w:t xml:space="preserve"> Taip pat vyko jaunųjų </w:t>
      </w:r>
      <w:r w:rsidRPr="00725BC0">
        <w:t xml:space="preserve">atlikėjų koncertas, </w:t>
      </w:r>
      <w:r>
        <w:t xml:space="preserve">veikė </w:t>
      </w:r>
      <w:r w:rsidRPr="00725BC0">
        <w:t>„Boružės foto salonas“,</w:t>
      </w:r>
      <w:r>
        <w:t xml:space="preserve"> </w:t>
      </w:r>
      <w:r w:rsidRPr="00725BC0">
        <w:t xml:space="preserve">„Boružės galerija", </w:t>
      </w:r>
      <w:r>
        <w:t>buvo tapomi didelio formato paveikslai</w:t>
      </w:r>
      <w:r w:rsidRPr="00725BC0">
        <w:t xml:space="preserve"> ir miniatiūr</w:t>
      </w:r>
      <w:r>
        <w:t>os</w:t>
      </w:r>
      <w:r w:rsidRPr="00725BC0">
        <w:t xml:space="preserve"> ant jūros akmenų</w:t>
      </w:r>
      <w:r>
        <w:t>. Renginio organizatoriai K</w:t>
      </w:r>
      <w:r w:rsidRPr="00725BC0">
        <w:t xml:space="preserve">omisija, Jaunimo grupė </w:t>
      </w:r>
      <w:r>
        <w:t>„</w:t>
      </w:r>
      <w:r w:rsidRPr="00725BC0">
        <w:t xml:space="preserve">Žali ir geri", </w:t>
      </w:r>
      <w:r>
        <w:t>k</w:t>
      </w:r>
      <w:r w:rsidRPr="00725BC0">
        <w:t>lubas „Mes tik", Narkotikų, tabako ir alkoholio kontrolės departamentas, Kauno Priklausomybės ligų centras</w:t>
      </w:r>
      <w:r>
        <w:t>.</w:t>
      </w:r>
    </w:p>
    <w:p w:rsidR="00C07927" w:rsidRDefault="00C07927" w:rsidP="00C07927">
      <w:pPr>
        <w:ind w:firstLine="720"/>
        <w:jc w:val="both"/>
      </w:pPr>
      <w:r>
        <w:lastRenderedPageBreak/>
        <w:t>2011-11-16</w:t>
      </w:r>
      <w:r w:rsidRPr="00BF2934">
        <w:t xml:space="preserve"> </w:t>
      </w:r>
      <w:r>
        <w:t xml:space="preserve">tarptautinę konferenciją “Naujos tendencijos alkoholio, tabako ir narkotikų vartojimo prevencijos bei kontrolės srityje“. </w:t>
      </w:r>
      <w:r w:rsidRPr="00BF2934">
        <w:t>Konferencijoje buvo išklausytas Europos n</w:t>
      </w:r>
      <w:r>
        <w:t>arkotikų ir narkomanijos stebėse</w:t>
      </w:r>
      <w:r w:rsidRPr="00BF2934">
        <w:t>nos centro atstovės pranešimas „Metinė ataskaita 2011m.: narkotikų problema Europoje“.</w:t>
      </w:r>
      <w:r>
        <w:t xml:space="preserve"> Konferencijoje dalyvavo svečiai iš užsienio, virš 400 Lietuvos valstybės institucijų bei visuomeninių organizacijų atstovų. Konferencijoje  priimta  rezoliucija.</w:t>
      </w:r>
    </w:p>
    <w:p w:rsidR="00C07927" w:rsidRPr="00A90F56" w:rsidRDefault="00C07927" w:rsidP="00C07927">
      <w:pPr>
        <w:jc w:val="both"/>
      </w:pPr>
      <w:r>
        <w:rPr>
          <w:b/>
        </w:rPr>
        <w:tab/>
      </w:r>
      <w:r w:rsidRPr="006F6D5D">
        <w:t>2011-</w:t>
      </w:r>
      <w:r>
        <w:t>12-05 kalėdinės vaikų ir jaunimo kūrybos parodos pristatymą „Čia angelai gyvena“</w:t>
      </w:r>
      <w:r w:rsidRPr="00A90F56">
        <w:t xml:space="preserve"> </w:t>
      </w:r>
      <w:r>
        <w:t xml:space="preserve">Lietuvos Respublikos </w:t>
      </w:r>
      <w:r w:rsidRPr="00A90F56">
        <w:t>Seimo III rūm</w:t>
      </w:r>
      <w:r>
        <w:t>uose</w:t>
      </w:r>
      <w:r w:rsidRPr="00A90F56">
        <w:t>.</w:t>
      </w:r>
    </w:p>
    <w:p w:rsidR="00C07927" w:rsidRDefault="00C07927" w:rsidP="00C07927">
      <w:pPr>
        <w:jc w:val="both"/>
      </w:pPr>
      <w:r>
        <w:rPr>
          <w:bCs/>
          <w:i/>
          <w:noProof/>
          <w:szCs w:val="28"/>
        </w:rPr>
        <w:t xml:space="preserve">  </w:t>
      </w:r>
    </w:p>
    <w:p w:rsidR="00C07927" w:rsidRDefault="00C07927" w:rsidP="00C07927">
      <w:pPr>
        <w:jc w:val="both"/>
      </w:pPr>
    </w:p>
    <w:p w:rsidR="00C07927" w:rsidRDefault="00C07927" w:rsidP="00C07927">
      <w:pPr>
        <w:pStyle w:val="Antrat9"/>
        <w:ind w:left="720"/>
        <w:rPr>
          <w:rFonts w:ascii="Times New Roman" w:hAnsi="Times New Roman"/>
        </w:rPr>
      </w:pPr>
      <w:r>
        <w:rPr>
          <w:rFonts w:ascii="Times New Roman" w:hAnsi="Times New Roman"/>
        </w:rPr>
        <w:t xml:space="preserve">Komisijos posėdžiai 2011 metais </w:t>
      </w:r>
    </w:p>
    <w:p w:rsidR="00C07927" w:rsidRDefault="00C07927" w:rsidP="00C07927">
      <w:pPr>
        <w:ind w:firstLine="720"/>
        <w:jc w:val="both"/>
        <w:rPr>
          <w:b/>
          <w:bCs/>
        </w:rPr>
      </w:pPr>
      <w:r>
        <w:rPr>
          <w:b/>
          <w:bCs/>
        </w:rPr>
        <w:t xml:space="preserve">  </w:t>
      </w:r>
    </w:p>
    <w:p w:rsidR="00C07927" w:rsidRDefault="00C07927" w:rsidP="00C07927">
      <w:pPr>
        <w:ind w:firstLine="720"/>
        <w:jc w:val="both"/>
      </w:pPr>
      <w:r w:rsidRPr="007E7FF5">
        <w:rPr>
          <w:b/>
          <w:i/>
        </w:rPr>
        <w:t>1 posėdis</w:t>
      </w:r>
      <w:r>
        <w:rPr>
          <w:i/>
        </w:rPr>
        <w:t xml:space="preserve"> - 2011 01 19</w:t>
      </w:r>
      <w:r>
        <w:t xml:space="preserve">  Seimo Narkomanijos ir alkoholizmo prevencijos komisija posėdyje svarstė šiuos klausimus:</w:t>
      </w:r>
    </w:p>
    <w:p w:rsidR="00C07927" w:rsidRDefault="00C07927" w:rsidP="00C07927">
      <w:pPr>
        <w:ind w:firstLine="720"/>
        <w:jc w:val="both"/>
        <w:rPr>
          <w:sz w:val="22"/>
          <w:szCs w:val="22"/>
        </w:rPr>
      </w:pPr>
      <w:r>
        <w:t>1. Dėl  “</w:t>
      </w:r>
      <w:r>
        <w:rPr>
          <w:rFonts w:eastAsia="MS Mincho"/>
          <w:color w:val="000000"/>
        </w:rPr>
        <w:t xml:space="preserve">Prekybos žmonėmis prevencijos ir kontrolės 2005 – 2008 metų programoje “ ir </w:t>
      </w:r>
      <w:r>
        <w:t>“</w:t>
      </w:r>
      <w:r>
        <w:rPr>
          <w:rFonts w:eastAsia="MS Mincho"/>
          <w:color w:val="000000"/>
        </w:rPr>
        <w:t xml:space="preserve">Prekybos žmonėmis prevencijos bei kontrolės 2009 – 2012 metų programoje” numatytų priemonių įgyvendinimo: 1.1. </w:t>
      </w:r>
      <w:r>
        <w:rPr>
          <w:sz w:val="22"/>
          <w:szCs w:val="22"/>
        </w:rPr>
        <w:t xml:space="preserve">nacionalinio koordinatoriaus  prekybos žmonėmis prevencijos ir kovos su šiuo reiškiniu klausimais paskyrimas ir veikla; 1.2. valstybės institucijų ir įstaigų bei nevalstybinių organizacijų bendradarbiavimo kontroliuojant prekybą žmonėmis koncepcijos parengimas, patvirtinimas ir įgyvendinimas; 1.3. </w:t>
      </w:r>
      <w:r>
        <w:rPr>
          <w:color w:val="000000"/>
          <w:sz w:val="22"/>
          <w:szCs w:val="22"/>
        </w:rPr>
        <w:t xml:space="preserve">dėl specialių priemonių, skirtų nepilnamečiams įgyvendinimo:  1.3.1. parengti ir įgyvendinti </w:t>
      </w:r>
      <w:r>
        <w:rPr>
          <w:sz w:val="22"/>
          <w:szCs w:val="22"/>
        </w:rPr>
        <w:t xml:space="preserve">nepilnamečiams, nukentėjusiems nuo prekybos žmonėmis, specializuotą reabilitacijos programą; </w:t>
      </w:r>
    </w:p>
    <w:p w:rsidR="00C07927" w:rsidRDefault="00C07927" w:rsidP="00C07927">
      <w:pPr>
        <w:spacing w:before="40" w:after="40"/>
        <w:jc w:val="both"/>
        <w:rPr>
          <w:rFonts w:ascii="Arial Unicode MS" w:hAnsi="Arial Unicode MS" w:cs="Arial Unicode MS"/>
        </w:rPr>
      </w:pPr>
      <w:r>
        <w:rPr>
          <w:sz w:val="22"/>
          <w:szCs w:val="22"/>
        </w:rPr>
        <w:t xml:space="preserve">1.3.2. </w:t>
      </w:r>
      <w:r>
        <w:rPr>
          <w:color w:val="000000"/>
          <w:sz w:val="22"/>
          <w:szCs w:val="22"/>
        </w:rPr>
        <w:t>riboti neteisėtą nepilnamečių išvežimą į užsienį, siekiant juos parduoti, m</w:t>
      </w:r>
      <w:r>
        <w:rPr>
          <w:sz w:val="22"/>
          <w:szCs w:val="22"/>
        </w:rPr>
        <w:t>ažinti nepilnamečių prekybos žmonėmis aukų.</w:t>
      </w:r>
      <w:r>
        <w:rPr>
          <w:color w:val="000000"/>
          <w:sz w:val="22"/>
          <w:szCs w:val="22"/>
        </w:rPr>
        <w:t xml:space="preserve"> </w:t>
      </w:r>
      <w:r>
        <w:rPr>
          <w:rFonts w:eastAsia="MS Mincho"/>
          <w:bCs/>
          <w:color w:val="000000"/>
        </w:rPr>
        <w:t xml:space="preserve">2. Dėl </w:t>
      </w:r>
      <w:r>
        <w:rPr>
          <w:rFonts w:eastAsia="MS Mincho"/>
          <w:color w:val="000000"/>
        </w:rPr>
        <w:t>be žinios dingusių vaikų apskaitos tobulinimo</w:t>
      </w:r>
      <w:r>
        <w:t xml:space="preserve">. 3. 2010 metų </w:t>
      </w:r>
      <w:r>
        <w:rPr>
          <w:sz w:val="22"/>
          <w:szCs w:val="22"/>
        </w:rPr>
        <w:t xml:space="preserve">apibendrinta prekybos žmonėmis būklės ataskaita. </w:t>
      </w:r>
    </w:p>
    <w:p w:rsidR="00C07927" w:rsidRDefault="00C07927" w:rsidP="00C07927">
      <w:pPr>
        <w:ind w:firstLine="720"/>
        <w:jc w:val="both"/>
        <w:rPr>
          <w:rFonts w:ascii="Arial Unicode MS" w:hAnsi="Arial Unicode MS" w:cs="Arial Unicode MS"/>
        </w:rPr>
      </w:pPr>
      <w:r w:rsidRPr="007E7FF5">
        <w:rPr>
          <w:b/>
          <w:i/>
        </w:rPr>
        <w:t>2 posėdis</w:t>
      </w:r>
      <w:r>
        <w:rPr>
          <w:i/>
        </w:rPr>
        <w:t xml:space="preserve"> - 2011 01 26</w:t>
      </w:r>
      <w:r>
        <w:t xml:space="preserve">  Seimo Narkomanijos ir alkoholizmo prevencijos komisija posėdyje svarstė šiuos klausimus: 1.1. Dėl  “</w:t>
      </w:r>
      <w:r>
        <w:rPr>
          <w:rFonts w:eastAsia="MS Mincho"/>
          <w:color w:val="000000"/>
        </w:rPr>
        <w:t xml:space="preserve">Prekybos žmonėmis prevencijos ir kontrolės 2005 – 2008 metų programoje “ ir </w:t>
      </w:r>
      <w:r>
        <w:t>“</w:t>
      </w:r>
      <w:r>
        <w:rPr>
          <w:rFonts w:eastAsia="MS Mincho"/>
          <w:color w:val="000000"/>
        </w:rPr>
        <w:t xml:space="preserve">Prekybos žmonėmis prevencijos bei kontrolės 2009 – 2012 metų programoje” numatytų priemonių įgyvendinimo: 1.1.1. </w:t>
      </w:r>
      <w:r>
        <w:rPr>
          <w:sz w:val="22"/>
          <w:szCs w:val="22"/>
        </w:rPr>
        <w:t xml:space="preserve">nacionalinio koordinatoriaus  prekybos žmonėmis prevencijos ir kovos su šiuo reiškiniu klausimais paskyrimas ir veikla; 1.1.2. valstybės institucijų ir įstaigų bei nevalstybinių organizacijų bendradarbiavimo kontroliuojant prekybą žmonėmis koncepcijos parengimas, patvirtinimas ir įgyvendinimas; 1.2. </w:t>
      </w:r>
      <w:r>
        <w:rPr>
          <w:color w:val="000000"/>
          <w:sz w:val="22"/>
          <w:szCs w:val="22"/>
        </w:rPr>
        <w:t xml:space="preserve">dėl specialių priemonių, skirtų nepilnamečiams įgyvendinimo:  1.2.1. parengti ir įgyvendinti </w:t>
      </w:r>
      <w:r>
        <w:rPr>
          <w:sz w:val="22"/>
          <w:szCs w:val="22"/>
        </w:rPr>
        <w:t xml:space="preserve">nepilnamečiams, nukentėjusiems nuo prekybos žmonėmis, specializuotą reabilitacijos programą; 1.2.2. </w:t>
      </w:r>
      <w:r>
        <w:rPr>
          <w:color w:val="000000"/>
          <w:sz w:val="22"/>
          <w:szCs w:val="22"/>
        </w:rPr>
        <w:t>riboti neteisėtą nepilnamečių išvežimą į užsienį, siekiant juos parduoti, m</w:t>
      </w:r>
      <w:r>
        <w:rPr>
          <w:sz w:val="22"/>
          <w:szCs w:val="22"/>
        </w:rPr>
        <w:t>ažinti nepilnamečių prekybos žmonėmis aukų.</w:t>
      </w:r>
      <w:r>
        <w:rPr>
          <w:color w:val="000000"/>
          <w:sz w:val="22"/>
          <w:szCs w:val="22"/>
        </w:rPr>
        <w:t xml:space="preserve"> 1.</w:t>
      </w:r>
      <w:r>
        <w:rPr>
          <w:rFonts w:eastAsia="MS Mincho"/>
          <w:bCs/>
          <w:color w:val="000000"/>
        </w:rPr>
        <w:t xml:space="preserve">2. Dėl </w:t>
      </w:r>
      <w:r>
        <w:rPr>
          <w:rFonts w:eastAsia="MS Mincho"/>
          <w:color w:val="000000"/>
        </w:rPr>
        <w:t>be žinios dingusių vaikų apskaitos tobulinimo</w:t>
      </w:r>
      <w:r>
        <w:t xml:space="preserve">. 1. 3. 2010 metų </w:t>
      </w:r>
      <w:r>
        <w:rPr>
          <w:sz w:val="22"/>
          <w:szCs w:val="22"/>
        </w:rPr>
        <w:t xml:space="preserve">apibendrinta prekybos žmonėmis būklės ataskaita. 2. Dėl </w:t>
      </w:r>
      <w:r>
        <w:t>Narkomanijos ir alkoholizmo prevencijos komisijos 2011 metų veiklos plano sudarymo.</w:t>
      </w:r>
    </w:p>
    <w:p w:rsidR="00C07927" w:rsidRDefault="00C07927" w:rsidP="00C07927">
      <w:pPr>
        <w:jc w:val="both"/>
        <w:rPr>
          <w:szCs w:val="18"/>
        </w:rPr>
      </w:pPr>
      <w:r>
        <w:tab/>
      </w:r>
      <w:r w:rsidRPr="007E7FF5">
        <w:rPr>
          <w:b/>
          <w:i/>
        </w:rPr>
        <w:t>3 posėdis</w:t>
      </w:r>
      <w:r>
        <w:t xml:space="preserve"> - </w:t>
      </w:r>
      <w:r w:rsidRPr="00CF0FAB">
        <w:rPr>
          <w:i/>
        </w:rPr>
        <w:t>2011 02 02</w:t>
      </w:r>
      <w:r>
        <w:t xml:space="preserve">  Seimo Narkomanijos ir alkoholizmo prevencijos komisija posėdyje svarstė šiuos klausimus:</w:t>
      </w:r>
      <w:r w:rsidRPr="00AF4B92">
        <w:rPr>
          <w:rFonts w:eastAsia="Arial Unicode MS"/>
        </w:rPr>
        <w:t xml:space="preserve"> </w:t>
      </w:r>
      <w:r>
        <w:rPr>
          <w:rFonts w:eastAsia="Arial Unicode MS"/>
        </w:rPr>
        <w:t xml:space="preserve">1. Dėl Narkotikų kontrolės departamento prie Lietuvos Respublikos Vyriausybės ir </w:t>
      </w:r>
      <w:r>
        <w:rPr>
          <w:color w:val="000000"/>
          <w:sz w:val="22"/>
          <w:szCs w:val="18"/>
        </w:rPr>
        <w:t xml:space="preserve">Valstybinės tabako ir alkoholio kontrolės tarnybos prie Lietuvos Respublikos Vyriausybės </w:t>
      </w:r>
      <w:r>
        <w:rPr>
          <w:rFonts w:eastAsia="Arial Unicode MS"/>
        </w:rPr>
        <w:t>reorganizavimo</w:t>
      </w:r>
      <w:r>
        <w:rPr>
          <w:color w:val="000000"/>
          <w:sz w:val="22"/>
          <w:szCs w:val="18"/>
        </w:rPr>
        <w:t xml:space="preserve"> eigos sujungimo būdu į</w:t>
      </w:r>
      <w:r>
        <w:rPr>
          <w:szCs w:val="18"/>
        </w:rPr>
        <w:t xml:space="preserve"> Narkotikų, tabako ir alkoholio kontrolės departamentą – Vyriausybės įstaigą.</w:t>
      </w:r>
      <w:r w:rsidRPr="00AF4B92">
        <w:rPr>
          <w:color w:val="000000"/>
          <w:szCs w:val="18"/>
        </w:rPr>
        <w:t xml:space="preserve"> </w:t>
      </w:r>
      <w:r>
        <w:rPr>
          <w:color w:val="000000"/>
          <w:szCs w:val="18"/>
        </w:rPr>
        <w:t xml:space="preserve">2. Dėl nuteistųjų mąstymo ir elgesio korekcijos programų diegimo ir plėtros Lietuvos bausmių vykdymo sistemoje ir psichologų etatų skaičiaus. 3. Dėl pil. J. Valentinovič, A. Armonavičiaus, A. Stankevičiaus, A.Domarko, A.Pavlovo, K.Švadavičiaus, K.Krivicko, T.Račkio, M.Lukošiaus prašymų užtikrinti reabilitacijos tęstinumą. 4. </w:t>
      </w:r>
      <w:r>
        <w:t>Dėl Narkomanijos ir alkoholizmo prevencijos komisijos 2011 metų veiklos plano sudarymo.</w:t>
      </w:r>
      <w:r>
        <w:rPr>
          <w:color w:val="000000"/>
          <w:szCs w:val="18"/>
        </w:rPr>
        <w:t xml:space="preserve"> </w:t>
      </w:r>
    </w:p>
    <w:p w:rsidR="00C07927" w:rsidRDefault="00C07927" w:rsidP="00C07927">
      <w:pPr>
        <w:autoSpaceDE w:val="0"/>
        <w:autoSpaceDN w:val="0"/>
        <w:adjustRightInd w:val="0"/>
        <w:jc w:val="both"/>
        <w:rPr>
          <w:color w:val="010101"/>
          <w:szCs w:val="18"/>
        </w:rPr>
      </w:pPr>
      <w:r>
        <w:rPr>
          <w:i/>
        </w:rPr>
        <w:tab/>
      </w:r>
      <w:r w:rsidRPr="007E7FF5">
        <w:rPr>
          <w:b/>
          <w:i/>
        </w:rPr>
        <w:t>4 posėdis</w:t>
      </w:r>
      <w:r>
        <w:rPr>
          <w:i/>
        </w:rPr>
        <w:t xml:space="preserve"> - 2011 02 23</w:t>
      </w:r>
      <w:r>
        <w:t xml:space="preserve">  Seimo Narkomanijos ir alkoholizmo prevencijos komisija posėdyje svarstė šiuos klausimus:</w:t>
      </w:r>
      <w:r>
        <w:rPr>
          <w:i/>
        </w:rPr>
        <w:t xml:space="preserve"> </w:t>
      </w:r>
      <w:r>
        <w:rPr>
          <w:rFonts w:eastAsia="Arial Unicode MS"/>
        </w:rPr>
        <w:t xml:space="preserve">1. </w:t>
      </w:r>
      <w:r>
        <w:rPr>
          <w:color w:val="010101"/>
          <w:szCs w:val="18"/>
        </w:rPr>
        <w:t xml:space="preserve">Priklausomybės ligų reabilitacijos bendruomenių veiklos ir finansavimo tęstinumas. </w:t>
      </w:r>
      <w:r>
        <w:rPr>
          <w:color w:val="000000"/>
          <w:szCs w:val="18"/>
        </w:rPr>
        <w:t xml:space="preserve">2. </w:t>
      </w:r>
      <w:r>
        <w:rPr>
          <w:color w:val="010101"/>
          <w:szCs w:val="18"/>
        </w:rPr>
        <w:t xml:space="preserve">Asmenų, priklausomų nuo narkotinių ir psichotropinių medžiagų vartojimo, profesinė reabilitacija,  reintegracija į visuomenę ir į darbo rinką: socialinės atskirties problemų sprendimas. 3. Priklausomybės ligų centrų finansavimo tęstinumas ir su tuo susijusios problemos. </w:t>
      </w:r>
    </w:p>
    <w:p w:rsidR="00C07927" w:rsidRDefault="00C07927" w:rsidP="00C07927">
      <w:pPr>
        <w:autoSpaceDE w:val="0"/>
        <w:autoSpaceDN w:val="0"/>
        <w:adjustRightInd w:val="0"/>
        <w:jc w:val="both"/>
      </w:pPr>
      <w:r>
        <w:tab/>
      </w:r>
      <w:r w:rsidRPr="007E7FF5">
        <w:rPr>
          <w:b/>
          <w:i/>
        </w:rPr>
        <w:t>5 posėdis</w:t>
      </w:r>
      <w:r>
        <w:t xml:space="preserve"> - </w:t>
      </w:r>
      <w:r w:rsidRPr="004042F5">
        <w:rPr>
          <w:i/>
        </w:rPr>
        <w:t>2011 03 16</w:t>
      </w:r>
      <w:r>
        <w:t xml:space="preserve">  Seimo Narkomanijos ir alkoholizmo prevencijos komisija posėdyje svarstė</w:t>
      </w:r>
      <w:r w:rsidRPr="0041228F">
        <w:t xml:space="preserve"> </w:t>
      </w:r>
      <w:r>
        <w:t xml:space="preserve">šiuos klausimus: </w:t>
      </w:r>
      <w:r>
        <w:rPr>
          <w:rFonts w:eastAsia="Arial Unicode MS"/>
        </w:rPr>
        <w:t xml:space="preserve">1. Dėl asmenų, priklausomų nuo narkotinių, psichotropinių  ar toksinių medžiagų, psichologinės ir socialinės reabilitacijos finansavimas Europos Sąjungos struktūrinių fondų  lėšomis, vykdant  2007 –2013 m. Žmogiškųjų išteklių plėtros veiksmų programos VP1 – 1.3- SADM –02-K priemonę “Socialinės rizikos ir socialinę atskirtį patiriančių asmenų integracija į darbo rinką” ir </w:t>
      </w:r>
      <w:r>
        <w:rPr>
          <w:color w:val="010101"/>
          <w:szCs w:val="18"/>
        </w:rPr>
        <w:t xml:space="preserve">veiklos tęstinumas: </w:t>
      </w:r>
      <w:r>
        <w:rPr>
          <w:rFonts w:eastAsia="Arial Unicode MS"/>
        </w:rPr>
        <w:t xml:space="preserve">1.1. </w:t>
      </w:r>
      <w:r>
        <w:rPr>
          <w:color w:val="010101"/>
          <w:szCs w:val="18"/>
        </w:rPr>
        <w:t xml:space="preserve">Pagėgių savivaldybės socialinių paslaugų centras; </w:t>
      </w:r>
      <w:r>
        <w:rPr>
          <w:color w:val="010101"/>
          <w:szCs w:val="18"/>
        </w:rPr>
        <w:lastRenderedPageBreak/>
        <w:t xml:space="preserve">1.2. Jungtinių tautų vystymo programa (UNDP); 1.3. Viešoji įstaiga  “Socialiniai paramos projektai”; 1.4. Socialinės adaptacijos asociacija”. </w:t>
      </w:r>
      <w:r>
        <w:rPr>
          <w:rFonts w:eastAsia="Arial Unicode MS"/>
        </w:rPr>
        <w:t xml:space="preserve">2. </w:t>
      </w:r>
      <w:r>
        <w:rPr>
          <w:color w:val="010101"/>
          <w:szCs w:val="18"/>
        </w:rPr>
        <w:t xml:space="preserve">Priklausomybės ligų centrų finansavimo užtikrinimas ir veiklos tęstinumas. 3. </w:t>
      </w:r>
      <w:r>
        <w:rPr>
          <w:rFonts w:eastAsia="Arial Unicode MS"/>
        </w:rPr>
        <w:t xml:space="preserve">Dėl Narkotikų kontrolės departamento prie Lietuvos Respublikos Vyriausybės ir </w:t>
      </w:r>
      <w:r>
        <w:rPr>
          <w:color w:val="000000"/>
          <w:sz w:val="22"/>
          <w:szCs w:val="18"/>
        </w:rPr>
        <w:t xml:space="preserve">Valstybinės tabako ir alkoholio kontrolės tarnybos prie Lietuvos Respublikos Vyriausybės </w:t>
      </w:r>
      <w:r>
        <w:rPr>
          <w:rFonts w:eastAsia="Arial Unicode MS"/>
        </w:rPr>
        <w:t>reorganizavimo</w:t>
      </w:r>
      <w:r>
        <w:rPr>
          <w:color w:val="000000"/>
          <w:sz w:val="22"/>
          <w:szCs w:val="18"/>
        </w:rPr>
        <w:t xml:space="preserve"> eigos sujungimo būdu į</w:t>
      </w:r>
      <w:r>
        <w:rPr>
          <w:szCs w:val="18"/>
        </w:rPr>
        <w:t xml:space="preserve"> Narkotikų, tabako ir alkoholio kontrolės departamentą – Vyriausybės įstaigą. 4. </w:t>
      </w:r>
      <w:r>
        <w:t xml:space="preserve">Dėl Narkomanijos ir alkoholizmo prevencijos komisijos 2011 metų veiklos plano projekto. </w:t>
      </w:r>
    </w:p>
    <w:p w:rsidR="00C07927" w:rsidRDefault="00C07927" w:rsidP="00C07927">
      <w:pPr>
        <w:ind w:firstLine="720"/>
        <w:jc w:val="both"/>
      </w:pPr>
      <w:r w:rsidRPr="007E7FF5">
        <w:rPr>
          <w:b/>
          <w:i/>
        </w:rPr>
        <w:t>6 posėdis</w:t>
      </w:r>
      <w:r>
        <w:t xml:space="preserve"> - </w:t>
      </w:r>
      <w:r>
        <w:rPr>
          <w:i/>
        </w:rPr>
        <w:t>2011 03 23</w:t>
      </w:r>
      <w:r w:rsidRPr="00802AAC">
        <w:t xml:space="preserve"> </w:t>
      </w:r>
      <w:r>
        <w:t>Seimo Narkomanijos ir alkoholizmo prevencijos komisija posėdyje svarstė</w:t>
      </w:r>
      <w:r w:rsidRPr="0041228F">
        <w:t xml:space="preserve"> </w:t>
      </w:r>
      <w:r>
        <w:t>šiuos klausimus:</w:t>
      </w:r>
      <w:r w:rsidRPr="00802AAC">
        <w:rPr>
          <w:rFonts w:eastAsia="Arial Unicode MS"/>
        </w:rPr>
        <w:t xml:space="preserve"> </w:t>
      </w:r>
      <w:r>
        <w:rPr>
          <w:rFonts w:eastAsia="Arial Unicode MS"/>
        </w:rPr>
        <w:t xml:space="preserve">1. Dėl nepilnamečių buvimo viešosiose vietose ir patekimo į barus, naktinius klubus. 2. Dėl renginio projekto “Kai  mūsų širdys plaka išvien”. 3. </w:t>
      </w:r>
      <w:r>
        <w:t>Dėl Narkomanijos ir alkoholizmo prevencijos komisijos 2011 metų veiklos plano projekto.</w:t>
      </w:r>
      <w:r>
        <w:rPr>
          <w:rFonts w:eastAsia="Arial Unicode MS"/>
        </w:rPr>
        <w:t xml:space="preserve"> 4. </w:t>
      </w:r>
      <w:r w:rsidRPr="007A11C0">
        <w:rPr>
          <w:rFonts w:eastAsia="Arial Unicode MS"/>
        </w:rPr>
        <w:t xml:space="preserve">Dėl Narkotikų kontrolės departamento prie Lietuvos Respublikos Vyriausybės ir </w:t>
      </w:r>
      <w:r w:rsidRPr="007A11C0">
        <w:rPr>
          <w:color w:val="000000"/>
        </w:rPr>
        <w:t xml:space="preserve">Valstybinės tabako ir alkoholio kontrolės tarnybos prie Lietuvos Respublikos Vyriausybės </w:t>
      </w:r>
      <w:r w:rsidRPr="007A11C0">
        <w:rPr>
          <w:rFonts w:eastAsia="Arial Unicode MS"/>
        </w:rPr>
        <w:t>reorganizavimo</w:t>
      </w:r>
      <w:r w:rsidRPr="007A11C0">
        <w:rPr>
          <w:color w:val="000000"/>
        </w:rPr>
        <w:t xml:space="preserve"> eigos sujungimo būdu į</w:t>
      </w:r>
      <w:r w:rsidRPr="007A11C0">
        <w:t xml:space="preserve"> Narkotikų, tabako ir alkoholio kontrolės departamentą – Vyriausybės įstaigą.</w:t>
      </w:r>
    </w:p>
    <w:p w:rsidR="00C07927" w:rsidRDefault="00C07927" w:rsidP="00C07927">
      <w:pPr>
        <w:autoSpaceDE w:val="0"/>
        <w:autoSpaceDN w:val="0"/>
        <w:adjustRightInd w:val="0"/>
        <w:jc w:val="both"/>
      </w:pPr>
      <w:r w:rsidRPr="002618FC">
        <w:rPr>
          <w:i/>
        </w:rPr>
        <w:tab/>
      </w:r>
      <w:r w:rsidRPr="007E7FF5">
        <w:rPr>
          <w:b/>
        </w:rPr>
        <w:t>7 posėdis</w:t>
      </w:r>
      <w:r>
        <w:rPr>
          <w:i/>
        </w:rPr>
        <w:t xml:space="preserve"> - </w:t>
      </w:r>
      <w:r w:rsidRPr="002618FC">
        <w:rPr>
          <w:i/>
        </w:rPr>
        <w:t>2011 04 06</w:t>
      </w:r>
      <w:r>
        <w:rPr>
          <w:i/>
        </w:rPr>
        <w:t xml:space="preserve"> </w:t>
      </w:r>
      <w:r w:rsidRPr="002618FC">
        <w:rPr>
          <w:i/>
        </w:rPr>
        <w:t xml:space="preserve"> </w:t>
      </w:r>
      <w:r>
        <w:t>Seimo Narkomanijos ir alkoholizmo prevencijos komisija posėdyje svarstė</w:t>
      </w:r>
      <w:r w:rsidRPr="0041228F">
        <w:t xml:space="preserve"> </w:t>
      </w:r>
      <w:r>
        <w:t>šiuos klausimus:</w:t>
      </w:r>
      <w:r w:rsidRPr="00802AAC">
        <w:rPr>
          <w:rFonts w:eastAsia="Arial Unicode MS"/>
        </w:rPr>
        <w:t xml:space="preserve"> </w:t>
      </w:r>
      <w:r>
        <w:rPr>
          <w:rFonts w:eastAsia="Arial Unicode MS"/>
        </w:rPr>
        <w:t xml:space="preserve">1. Dėl Narkotikų, tabako ir alkoholio kontrolės departamento strateginio 2011 m. veiklos plano. 2. Dėl Lietuvos Respublikos Vyriausybės 2011 m. kovo 30 d. nutarimo Nr. 354 “Dėl Narkotikų, tabako ir alkoholio kontrolės departamento direktoriaus skyrimo” 2 punkto įgyvendinimo. 3. Dėl  projekto “Kai mūsų širdys plaka išvien”. 4. </w:t>
      </w:r>
      <w:r>
        <w:rPr>
          <w:szCs w:val="18"/>
        </w:rPr>
        <w:t xml:space="preserve">Dėl laisvės atėmimo vietų modernizavimo ir priklausomybės ligų reabilitacijos užtikrinimo laisvės atėmimo vietose. 5. </w:t>
      </w:r>
      <w:r>
        <w:t xml:space="preserve">Dėl narkomanijos prevencijos ir narkotikų užkardymo romų tabore Kirtimuose, Vilniuje ( Narkomanijos ir alkoholizmo prevencijos komisijos  raštas 2009 01 16 Nr. S-2009 – 472). </w:t>
      </w:r>
    </w:p>
    <w:p w:rsidR="00C07927" w:rsidRDefault="00C07927" w:rsidP="00C07927">
      <w:pPr>
        <w:jc w:val="both"/>
        <w:rPr>
          <w:rFonts w:eastAsia="Arial Unicode MS"/>
        </w:rPr>
      </w:pPr>
      <w:r>
        <w:rPr>
          <w:i/>
        </w:rPr>
        <w:tab/>
      </w:r>
      <w:r w:rsidRPr="007E7FF5">
        <w:rPr>
          <w:b/>
          <w:i/>
        </w:rPr>
        <w:t>8 posėdis</w:t>
      </w:r>
      <w:r>
        <w:rPr>
          <w:i/>
        </w:rPr>
        <w:t xml:space="preserve"> - 2011 04 13  </w:t>
      </w:r>
      <w:r>
        <w:t>Seimo Narkomanijos ir alkoholizmo prevencijos komisija posėdyje svarstė</w:t>
      </w:r>
      <w:r w:rsidRPr="0041228F">
        <w:t xml:space="preserve"> </w:t>
      </w:r>
      <w:r>
        <w:t>šiuos klausimus:</w:t>
      </w:r>
      <w:r w:rsidRPr="00802AAC">
        <w:rPr>
          <w:rFonts w:eastAsia="Arial Unicode MS"/>
        </w:rPr>
        <w:t xml:space="preserve"> </w:t>
      </w:r>
      <w:r>
        <w:rPr>
          <w:rFonts w:eastAsia="Arial Unicode MS"/>
        </w:rPr>
        <w:t>1. Dėl Lietuvos Respublikos Vaiko minimalios ir vidutinės priežiūros įstatymo nuostatų įgyvendinimo.</w:t>
      </w:r>
      <w:r w:rsidRPr="00EE53EA">
        <w:t xml:space="preserve"> </w:t>
      </w:r>
      <w:r>
        <w:t>2. Dėl atviro jaunimo centro veiklos reglamentavimo.</w:t>
      </w:r>
      <w:r w:rsidRPr="00EE53EA">
        <w:rPr>
          <w:rFonts w:eastAsia="Arial Unicode MS"/>
        </w:rPr>
        <w:t xml:space="preserve"> </w:t>
      </w:r>
      <w:r>
        <w:rPr>
          <w:rFonts w:eastAsia="Arial Unicode MS"/>
        </w:rPr>
        <w:t>3. Dėl  projekto “Kai mūsų širdys plaka išvien”.</w:t>
      </w:r>
    </w:p>
    <w:p w:rsidR="00C07927" w:rsidRDefault="00C07927" w:rsidP="00C07927">
      <w:pPr>
        <w:jc w:val="both"/>
        <w:rPr>
          <w:rFonts w:eastAsia="Arial Unicode MS"/>
        </w:rPr>
      </w:pPr>
      <w:r w:rsidRPr="007E7FF5">
        <w:rPr>
          <w:rFonts w:eastAsia="Arial Unicode MS"/>
          <w:b/>
          <w:i/>
        </w:rPr>
        <w:tab/>
        <w:t>9 posėdis</w:t>
      </w:r>
      <w:r>
        <w:rPr>
          <w:rFonts w:eastAsia="Arial Unicode MS"/>
          <w:i/>
        </w:rPr>
        <w:t xml:space="preserve"> - </w:t>
      </w:r>
      <w:r w:rsidRPr="00026D66">
        <w:rPr>
          <w:rFonts w:eastAsia="Arial Unicode MS"/>
          <w:i/>
        </w:rPr>
        <w:t xml:space="preserve">2011 04 27 </w:t>
      </w:r>
      <w:r>
        <w:t>Seimo Narkomanijos ir alkoholizmo prevencijos komisija posėdyje svarstė</w:t>
      </w:r>
      <w:r w:rsidRPr="0041228F">
        <w:t xml:space="preserve"> </w:t>
      </w:r>
      <w:r w:rsidRPr="009C49E0">
        <w:rPr>
          <w:rFonts w:eastAsia="Arial Unicode MS"/>
        </w:rPr>
        <w:t>Narkotikų, tabako ir alkoholio kontrolės departamento</w:t>
      </w:r>
      <w:r>
        <w:rPr>
          <w:rFonts w:eastAsia="Arial Unicode MS"/>
        </w:rPr>
        <w:t>,</w:t>
      </w:r>
      <w:r w:rsidRPr="009C49E0">
        <w:rPr>
          <w:rFonts w:eastAsia="Arial Unicode MS"/>
        </w:rPr>
        <w:t xml:space="preserve"> kitų valstybės institucijų ir įstaigų</w:t>
      </w:r>
      <w:r>
        <w:rPr>
          <w:rFonts w:eastAsia="Arial Unicode MS"/>
        </w:rPr>
        <w:t>,</w:t>
      </w:r>
      <w:r w:rsidRPr="009C49E0">
        <w:rPr>
          <w:rFonts w:eastAsia="Arial Unicode MS"/>
        </w:rPr>
        <w:t xml:space="preserve"> </w:t>
      </w:r>
      <w:r>
        <w:rPr>
          <w:rFonts w:eastAsia="Arial Unicode MS"/>
        </w:rPr>
        <w:t xml:space="preserve">vykdančių tabako, alkoholio bei narkotinių ir psichotropinių medžiagų ir jų pirmtakų kontrolę, </w:t>
      </w:r>
      <w:r w:rsidRPr="009C49E0">
        <w:rPr>
          <w:rFonts w:eastAsia="Arial Unicode MS"/>
        </w:rPr>
        <w:t>veiklos kontrolės</w:t>
      </w:r>
      <w:r>
        <w:rPr>
          <w:rFonts w:eastAsia="Arial Unicode MS"/>
        </w:rPr>
        <w:t xml:space="preserve"> </w:t>
      </w:r>
      <w:r w:rsidRPr="009C49E0">
        <w:rPr>
          <w:rFonts w:eastAsia="Arial Unicode MS"/>
        </w:rPr>
        <w:t>funkcijų suderinimo ir dėl te</w:t>
      </w:r>
      <w:r>
        <w:rPr>
          <w:rFonts w:eastAsia="Arial Unicode MS"/>
        </w:rPr>
        <w:t>isės aktų pakeitimo ar</w:t>
      </w:r>
      <w:r w:rsidRPr="009C49E0">
        <w:rPr>
          <w:rFonts w:eastAsia="Arial Unicode MS"/>
        </w:rPr>
        <w:t xml:space="preserve"> papildymo</w:t>
      </w:r>
      <w:r>
        <w:rPr>
          <w:rFonts w:eastAsia="Arial Unicode MS"/>
        </w:rPr>
        <w:t xml:space="preserve"> klausimus.</w:t>
      </w:r>
    </w:p>
    <w:p w:rsidR="00C07927" w:rsidRDefault="00C07927" w:rsidP="00C07927">
      <w:pPr>
        <w:jc w:val="both"/>
      </w:pPr>
      <w:r w:rsidRPr="007E7FF5">
        <w:rPr>
          <w:rFonts w:eastAsia="Arial Unicode MS"/>
          <w:b/>
          <w:i/>
        </w:rPr>
        <w:tab/>
        <w:t>10 posėdis</w:t>
      </w:r>
      <w:r>
        <w:rPr>
          <w:rFonts w:eastAsia="Arial Unicode MS"/>
          <w:i/>
        </w:rPr>
        <w:t xml:space="preserve"> - 2011 05 18 </w:t>
      </w:r>
      <w:r w:rsidRPr="00026D66">
        <w:rPr>
          <w:rFonts w:eastAsia="Arial Unicode MS"/>
          <w:i/>
        </w:rPr>
        <w:t xml:space="preserve"> </w:t>
      </w:r>
      <w:r>
        <w:t>Seimo Narkomanijos ir alkoholizmo prevencijos komisija posėdyje svarstė</w:t>
      </w:r>
      <w:r w:rsidRPr="001C44E9">
        <w:t xml:space="preserve"> </w:t>
      </w:r>
      <w:r>
        <w:t>šiuos klausimus:</w:t>
      </w:r>
      <w:r w:rsidRPr="00076D1D">
        <w:rPr>
          <w:rFonts w:eastAsia="Arial Unicode MS"/>
        </w:rPr>
        <w:t xml:space="preserve"> </w:t>
      </w:r>
      <w:r>
        <w:rPr>
          <w:rFonts w:eastAsia="Arial Unicode MS"/>
        </w:rPr>
        <w:t>1. Dėl išvadų Lietuvos Respublikos Alkoholio kontrolės įstatymo</w:t>
      </w:r>
      <w:r>
        <w:t xml:space="preserve">  18 ir 22 straipsnių pakeitimo įstatymo projektui XIP-1384.  2. </w:t>
      </w:r>
      <w:r>
        <w:rPr>
          <w:rFonts w:eastAsia="Arial Unicode MS"/>
        </w:rPr>
        <w:t>Dėl išvadų Lietuvos Respublikos Alkoholio kontrolės įstatymo</w:t>
      </w:r>
      <w:r>
        <w:t xml:space="preserve">  2,  6,  10,  12,  13,  14,  16,  17,  18,  18</w:t>
      </w:r>
      <w:r>
        <w:rPr>
          <w:vertAlign w:val="superscript"/>
        </w:rPr>
        <w:t>1</w:t>
      </w:r>
      <w:r>
        <w:t>,  18</w:t>
      </w:r>
      <w:r>
        <w:rPr>
          <w:vertAlign w:val="superscript"/>
        </w:rPr>
        <w:t>2</w:t>
      </w:r>
      <w:r>
        <w:t>,  22,  26,  28,  29,  34,  34</w:t>
      </w:r>
      <w:r>
        <w:rPr>
          <w:vertAlign w:val="superscript"/>
        </w:rPr>
        <w:t>1</w:t>
      </w:r>
      <w:r>
        <w:t xml:space="preserve">,  36,  41 straipsnių bei priedo pakeitimo ir papildymo ir 15 straipsnio pripažinimo netekusiu galios projektui XIP-1387.  3. </w:t>
      </w:r>
      <w:r>
        <w:rPr>
          <w:rFonts w:eastAsia="Arial Unicode MS"/>
        </w:rPr>
        <w:t>Dėl išvadų Lietuvos Respublikos Alkoholio kontrolės įstatymo</w:t>
      </w:r>
      <w:r>
        <w:t xml:space="preserve">  18,29 ir 34 straipsnių pakeitimo įstatymo 2 straipsnio pakeitimo įstatymo projektui XIP-1388. </w:t>
      </w:r>
      <w:r>
        <w:rPr>
          <w:rFonts w:eastAsia="Arial Unicode MS"/>
        </w:rPr>
        <w:t>4. Dėl išvadų Lietuvos Respublikos Alkoholio kontrolės įstatymo</w:t>
      </w:r>
      <w:r>
        <w:t xml:space="preserve">  11 ir 12 straipsnių pakeitimo įstatymo projektui XIP-3153. </w:t>
      </w:r>
      <w:r>
        <w:rPr>
          <w:rFonts w:eastAsia="Arial Unicode MS"/>
        </w:rPr>
        <w:t xml:space="preserve">5.Dėl išvadų Lietuvos Respublikos Tabako kontrolės įstatymo 1,2,3,6,8,10,11,12,14 ir 26 straipsnių pakeitimo ir III skyriaus pavadinimo pakeitimo įstatymo projektui XIP-1498. 6. Dėl išvadų Lietuvos Respublikos Tabako kontrolės įstatymo </w:t>
      </w:r>
      <w:r>
        <w:rPr>
          <w:b/>
          <w:bCs/>
          <w:lang w:eastAsia="lt-LT"/>
        </w:rPr>
        <w:t>9</w:t>
      </w:r>
      <w:r>
        <w:rPr>
          <w:b/>
          <w:bCs/>
          <w:vertAlign w:val="superscript"/>
          <w:lang w:eastAsia="lt-LT"/>
        </w:rPr>
        <w:t xml:space="preserve">1 </w:t>
      </w:r>
      <w:r>
        <w:t xml:space="preserve"> straipsniu ir 11 straipsnio pakeitimo įstatymo projektui XIP-1794. 7. Dėl Seimo pirmininkės Irenos Degutienės gauto pavedimo „Dėl rezoliucijos dėl metadono naudojimo teisėtumo“. 8. Dėl renginio „Kai mūsų širdys plaka išvien“. 9. Dėl 2011 05 23 ir 2011 05 27 konferencijų „Psichoaktyviųjų medžiagų vartojimo prevencija ugdymo institucijose “ ir 2011 05 25 renginio „Tarptautinė be žinios dingusių vaikų diena“. 10. Dėl </w:t>
      </w:r>
      <w:r>
        <w:rPr>
          <w:rFonts w:eastAsia="Arial Unicode MS"/>
        </w:rPr>
        <w:t>išvadų Lietuvos Respublikos Alkoholio kontrolės įstatymo</w:t>
      </w:r>
      <w:r>
        <w:t xml:space="preserve">  2 straipsnio pakeitimo ir įstatymo papildymo III skyriaus penktuoju skirsniu ir 34</w:t>
      </w:r>
      <w:r>
        <w:rPr>
          <w:bCs/>
          <w:vertAlign w:val="superscript"/>
        </w:rPr>
        <w:t xml:space="preserve">2  </w:t>
      </w:r>
      <w:r>
        <w:t>straipsniu įstatymo projekto XIP-1808. 11. Dėl Komisijos nario Algirdo Syso parengto projekto „Dėl Narkotikų, tabako ir alkoholio departamento 2011 05 05 rašto Nr. S-(4.3.1)-225 “ Dėl Lietuvos Respublikos Seimo nario A.Syso 2011 m. balandžio 26 d. pažymos“.</w:t>
      </w:r>
    </w:p>
    <w:p w:rsidR="00C07927" w:rsidRDefault="00C07927" w:rsidP="00C07927">
      <w:pPr>
        <w:jc w:val="both"/>
      </w:pPr>
      <w:r>
        <w:tab/>
      </w:r>
      <w:r w:rsidRPr="007E7FF5">
        <w:rPr>
          <w:b/>
          <w:i/>
        </w:rPr>
        <w:t>11 posėdis</w:t>
      </w:r>
      <w:r>
        <w:t xml:space="preserve"> - </w:t>
      </w:r>
      <w:r>
        <w:rPr>
          <w:rFonts w:eastAsia="Arial Unicode MS"/>
          <w:i/>
        </w:rPr>
        <w:t xml:space="preserve">2011 06 08 </w:t>
      </w:r>
      <w:r>
        <w:t>Seimo Narkomanijos ir alkoholizmo prevencijos komisija posėdyje svarstė</w:t>
      </w:r>
      <w:r w:rsidRPr="001C44E9">
        <w:t xml:space="preserve"> </w:t>
      </w:r>
      <w:r>
        <w:t>šiuos klausimus:</w:t>
      </w:r>
      <w:r w:rsidRPr="00076D1D">
        <w:rPr>
          <w:rFonts w:eastAsia="Arial Unicode MS"/>
        </w:rPr>
        <w:t xml:space="preserve"> </w:t>
      </w:r>
      <w:r>
        <w:rPr>
          <w:rFonts w:eastAsia="Arial Unicode MS"/>
        </w:rPr>
        <w:t>1.</w:t>
      </w:r>
      <w:r w:rsidRPr="00CE3A3D">
        <w:rPr>
          <w:rFonts w:eastAsia="Arial Unicode MS"/>
        </w:rPr>
        <w:t xml:space="preserve"> </w:t>
      </w:r>
      <w:r w:rsidRPr="005A7CB3">
        <w:rPr>
          <w:rFonts w:eastAsia="Arial Unicode MS"/>
        </w:rPr>
        <w:t>Dėl narkomanijos prevencijos ir narkotikų užkardymo romų tabore Kirtimuose, Vilniuje (2011 04 06 Komisijos priimtas sprendimas).</w:t>
      </w:r>
      <w:r>
        <w:rPr>
          <w:rFonts w:eastAsia="Arial Unicode MS"/>
        </w:rPr>
        <w:t xml:space="preserve"> </w:t>
      </w:r>
      <w:r>
        <w:t xml:space="preserve">2. Dėl renginio „Kai mūsų širdys plaka išvien“. 3. Dėl </w:t>
      </w:r>
      <w:r w:rsidRPr="008D5D2A">
        <w:t>Seimo pirmininkės Irenos Degutienės gauto pavedimo „Dėl rezoliucijos dėl metadono naudojimo teisėtumo“</w:t>
      </w:r>
      <w:r>
        <w:t xml:space="preserve">. 4. Dėl Komisijos nario Seimo nario Algirdo Syso 2011 m. balandžio 26 d. parengtos pažymos ir išvadų. 5.  Dėl siūlymo įtraukti Komisijos narį į darbo grupę „Dėl Psichologų praktinės veiklos įstatymo projekto tobulinimo“. </w:t>
      </w:r>
    </w:p>
    <w:p w:rsidR="00C07927" w:rsidRDefault="00C07927" w:rsidP="00C07927">
      <w:pPr>
        <w:ind w:firstLine="720"/>
        <w:jc w:val="both"/>
      </w:pPr>
      <w:r w:rsidRPr="007E7FF5">
        <w:rPr>
          <w:rFonts w:eastAsia="Arial Unicode MS"/>
          <w:b/>
          <w:i/>
        </w:rPr>
        <w:lastRenderedPageBreak/>
        <w:t>12 posėdis</w:t>
      </w:r>
      <w:r>
        <w:rPr>
          <w:rFonts w:eastAsia="Arial Unicode MS"/>
          <w:i/>
        </w:rPr>
        <w:t xml:space="preserve"> - 2011 06 15 </w:t>
      </w:r>
      <w:r>
        <w:t>Seimo Narkomanijos ir alkoholizmo prevencijos komisija posėdyje svarstė</w:t>
      </w:r>
      <w:r w:rsidRPr="001C44E9">
        <w:t xml:space="preserve"> </w:t>
      </w:r>
      <w:r>
        <w:t>šiuos klausimus:</w:t>
      </w:r>
      <w:r w:rsidRPr="00321C5D">
        <w:rPr>
          <w:rFonts w:eastAsia="Arial Unicode MS"/>
        </w:rPr>
        <w:t xml:space="preserve"> </w:t>
      </w:r>
      <w:r w:rsidRPr="00747615">
        <w:rPr>
          <w:rFonts w:eastAsia="Arial Unicode MS"/>
        </w:rPr>
        <w:t>1. Dėl Seimo valdybos 2011 06 01 nutarimo.</w:t>
      </w:r>
      <w:r>
        <w:rPr>
          <w:rFonts w:eastAsia="Arial Unicode MS"/>
        </w:rPr>
        <w:t xml:space="preserve"> </w:t>
      </w:r>
      <w:r w:rsidRPr="00747615">
        <w:rPr>
          <w:rFonts w:eastAsia="Arial Unicode MS"/>
        </w:rPr>
        <w:t xml:space="preserve"> </w:t>
      </w:r>
      <w:r>
        <w:rPr>
          <w:rFonts w:eastAsia="Arial Unicode MS"/>
        </w:rPr>
        <w:t xml:space="preserve">2. </w:t>
      </w:r>
      <w:r w:rsidRPr="006F0734">
        <w:rPr>
          <w:rFonts w:eastAsia="Arial Unicode MS"/>
        </w:rPr>
        <w:t xml:space="preserve">Nusikalstamumo prevencijos Lietuvoje centro vykdomos veiklos  pristatymas. </w:t>
      </w:r>
      <w:r>
        <w:rPr>
          <w:rFonts w:eastAsia="Arial Unicode MS"/>
        </w:rPr>
        <w:t xml:space="preserve">3. </w:t>
      </w:r>
      <w:r w:rsidRPr="006F0734">
        <w:rPr>
          <w:rFonts w:eastAsia="Arial Unicode MS"/>
        </w:rPr>
        <w:t>Dėl muitinės pareigūnų patekimo į Aviacijos saugumo kontroliuojamą teritoriją ir riboto patekimo vietas.</w:t>
      </w:r>
      <w:r>
        <w:rPr>
          <w:rFonts w:eastAsia="Arial Unicode MS"/>
        </w:rPr>
        <w:t xml:space="preserve"> 4.</w:t>
      </w:r>
      <w:r>
        <w:t>„Dėl Komisijos nario Seimo nario Algirdo Syso 2011 m. balandžio 26 d. parengtos pažymos ir išvadų“.</w:t>
      </w:r>
    </w:p>
    <w:p w:rsidR="00C07927" w:rsidRDefault="00C07927" w:rsidP="00C07927">
      <w:pPr>
        <w:ind w:firstLine="720"/>
        <w:jc w:val="both"/>
      </w:pPr>
      <w:r w:rsidRPr="007E7FF5">
        <w:rPr>
          <w:b/>
          <w:i/>
        </w:rPr>
        <w:t>13 posėdis</w:t>
      </w:r>
      <w:r>
        <w:rPr>
          <w:i/>
        </w:rPr>
        <w:t xml:space="preserve"> - </w:t>
      </w:r>
      <w:r w:rsidRPr="00030162">
        <w:rPr>
          <w:i/>
        </w:rPr>
        <w:t xml:space="preserve">2011 06 22 </w:t>
      </w:r>
      <w:r>
        <w:t>Seimo Narkomanijos ir alkoholizmo prevencijos komisija posėdyje svarstė</w:t>
      </w:r>
      <w:r w:rsidRPr="001C44E9">
        <w:t xml:space="preserve"> </w:t>
      </w:r>
      <w:r>
        <w:t>šiuos klausimus:</w:t>
      </w:r>
      <w:r w:rsidRPr="009A2A8C">
        <w:rPr>
          <w:rFonts w:eastAsia="Arial Unicode MS"/>
        </w:rPr>
        <w:t xml:space="preserve"> </w:t>
      </w:r>
      <w:r w:rsidRPr="00747615">
        <w:rPr>
          <w:rFonts w:eastAsia="Arial Unicode MS"/>
        </w:rPr>
        <w:t xml:space="preserve">1. </w:t>
      </w:r>
      <w:r>
        <w:rPr>
          <w:rFonts w:eastAsia="Arial Unicode MS"/>
        </w:rPr>
        <w:t xml:space="preserve">Dėl nesimokančių vaikų. 2. </w:t>
      </w:r>
      <w:r>
        <w:t xml:space="preserve">Dėl atlikto tyrimo dėl sveikatos priežiūros paslaugų atitikties nustatytiems reikalavimams asmens sveikatos priežiūros įstaigose, kurioms 2009-2010 m. buvo tiektas vaistinis preparatas „Metadon“. </w:t>
      </w:r>
    </w:p>
    <w:p w:rsidR="00C07927" w:rsidRDefault="00C07927" w:rsidP="00C07927">
      <w:pPr>
        <w:ind w:firstLine="720"/>
        <w:jc w:val="both"/>
      </w:pPr>
      <w:r w:rsidRPr="007E7FF5">
        <w:rPr>
          <w:b/>
          <w:i/>
        </w:rPr>
        <w:t>14 posėdis</w:t>
      </w:r>
      <w:r>
        <w:rPr>
          <w:i/>
        </w:rPr>
        <w:t xml:space="preserve"> - </w:t>
      </w:r>
      <w:r w:rsidRPr="00C83E5C">
        <w:rPr>
          <w:i/>
        </w:rPr>
        <w:t>2011 06 29</w:t>
      </w:r>
      <w:r w:rsidRPr="00233DE1">
        <w:t xml:space="preserve"> </w:t>
      </w:r>
      <w:r>
        <w:t>Seimo Narkomanijos ir alkoholizmo prevencijos komisija posėdyje svarstė</w:t>
      </w:r>
      <w:r w:rsidRPr="001C44E9">
        <w:t xml:space="preserve"> </w:t>
      </w:r>
      <w:r>
        <w:t xml:space="preserve">šiuos klausimus: 1. </w:t>
      </w:r>
      <w:r>
        <w:rPr>
          <w:rFonts w:eastAsia="Arial Unicode MS"/>
        </w:rPr>
        <w:t>Dėl nesimokančių vaikų. 2.</w:t>
      </w:r>
      <w:r>
        <w:t xml:space="preserve">„Dėl Seimo pirmininkės Irenos Degutienės gauto pavedimo „Dėl rezoliucijos dėl metadono naudojimo teisėtumo“ ir Teisės departamento išvadas „Dėl Seimo nutarimo projekto XIP-3350. </w:t>
      </w:r>
    </w:p>
    <w:p w:rsidR="00C07927" w:rsidRDefault="00C07927" w:rsidP="00C07927">
      <w:pPr>
        <w:ind w:firstLine="720"/>
        <w:jc w:val="both"/>
      </w:pPr>
      <w:r w:rsidRPr="00FA7F6E">
        <w:rPr>
          <w:b/>
          <w:i/>
        </w:rPr>
        <w:t>201-07-27 –</w:t>
      </w:r>
      <w:r>
        <w:t xml:space="preserve"> Klausymai </w:t>
      </w:r>
      <w:r w:rsidRPr="00592B8A">
        <w:rPr>
          <w:rFonts w:eastAsia="Arial Unicode MS"/>
        </w:rPr>
        <w:t xml:space="preserve">„Dėl </w:t>
      </w:r>
      <w:r w:rsidRPr="00592B8A">
        <w:t xml:space="preserve"> 2007–2013 m. Žmogiškųjų išteklių plėtros veiksmų programos 1 prioriteto „Kokybiškas užimtumas ir socialinė aprėptis“ VP1-1.3-SADM-02 priemonės „Socialinės rizikos ir socialinę atskirtį patiriančių asmenų int</w:t>
      </w:r>
      <w:r>
        <w:t xml:space="preserve">egracija į darbo rinką“ projekto, kuriam </w:t>
      </w:r>
      <w:r>
        <w:rPr>
          <w:rFonts w:eastAsia="Arial Unicode MS"/>
        </w:rPr>
        <w:t>2011 m. b</w:t>
      </w:r>
      <w:r>
        <w:t xml:space="preserve">alandžio 26 d. buvo skelbtas paraiškų priėmimas“.  </w:t>
      </w:r>
      <w:r>
        <w:tab/>
      </w:r>
    </w:p>
    <w:p w:rsidR="00C07927" w:rsidRPr="004A6595" w:rsidRDefault="00C07927" w:rsidP="00C07927">
      <w:pPr>
        <w:pStyle w:val="Antrat2"/>
        <w:rPr>
          <w:color w:val="000000"/>
        </w:rPr>
      </w:pPr>
      <w:r>
        <w:tab/>
      </w:r>
      <w:r w:rsidRPr="007E7FF5">
        <w:rPr>
          <w:b w:val="0"/>
          <w:i/>
        </w:rPr>
        <w:t>15 posėdis</w:t>
      </w:r>
      <w:r>
        <w:t xml:space="preserve"> - </w:t>
      </w:r>
      <w:r w:rsidRPr="00E65BCE">
        <w:rPr>
          <w:i/>
        </w:rPr>
        <w:t>2011 08 24</w:t>
      </w:r>
      <w:r w:rsidRPr="004A6595">
        <w:rPr>
          <w:i/>
        </w:rPr>
        <w:t xml:space="preserve"> </w:t>
      </w:r>
      <w:r w:rsidRPr="004A6595">
        <w:t>Seimo Narkomanijos ir alkoholizmo prevencijos komisija posėdyje svarstė šiuos klausimus:</w:t>
      </w:r>
      <w:r w:rsidRPr="004A6595">
        <w:rPr>
          <w:color w:val="000000"/>
        </w:rPr>
        <w:t xml:space="preserve"> 1. Seimo nutarimo "Dėl metadono naudojimo teisėtumo" įgyvendinimas.</w:t>
      </w:r>
      <w:r>
        <w:rPr>
          <w:color w:val="000000"/>
        </w:rPr>
        <w:t xml:space="preserve"> </w:t>
      </w:r>
      <w:r w:rsidRPr="004A6595">
        <w:rPr>
          <w:color w:val="000000"/>
        </w:rPr>
        <w:t>2. NTAKD 2011–2013 m. strateginio veiklos plano įgyvendinimas. 3.Alkoholio vartojimo tendencijos 2008–2010 m. ir 2011 m. I pusm. ir NTAKD strategija, mažinant alkoholio vartojimą Lietuvoje.</w:t>
      </w:r>
      <w:r>
        <w:rPr>
          <w:color w:val="000000"/>
        </w:rPr>
        <w:t xml:space="preserve"> </w:t>
      </w:r>
      <w:r w:rsidRPr="004A6595">
        <w:rPr>
          <w:color w:val="000000"/>
        </w:rPr>
        <w:t>4. Narkotikų vartojimo tendencijos 2008–2010 m. ir 2011 m. I pusm. ir NTAKD strategija, mažinant narkotikų vartojimą Lietuvoje.</w:t>
      </w:r>
      <w:r>
        <w:rPr>
          <w:color w:val="000000"/>
        </w:rPr>
        <w:t xml:space="preserve"> </w:t>
      </w:r>
      <w:r w:rsidRPr="004A6595">
        <w:rPr>
          <w:color w:val="000000"/>
        </w:rPr>
        <w:t>5. Nusikalstamų veikų ir administracinių teisės pažeidimų, susijusių su alkoholio ir narkotikų vartojimu, tendencijos Lietuvoje 2008–2010 m. ir 2011 m. I pusm.</w:t>
      </w:r>
      <w:r>
        <w:rPr>
          <w:color w:val="000000"/>
        </w:rPr>
        <w:t xml:space="preserve"> </w:t>
      </w:r>
      <w:r w:rsidRPr="004A6595">
        <w:rPr>
          <w:color w:val="000000"/>
        </w:rPr>
        <w:t>6. Papildomos nusikalstamų veikų ir administracinių teisės pažeidimų prevencijos priemonės 2011 m. Europos vyrų krepšinio čempionato metu.</w:t>
      </w:r>
    </w:p>
    <w:p w:rsidR="00C07927" w:rsidRDefault="00C07927" w:rsidP="00C07927">
      <w:pPr>
        <w:ind w:firstLine="720"/>
        <w:jc w:val="both"/>
      </w:pPr>
      <w:r w:rsidRPr="007E7FF5">
        <w:rPr>
          <w:b/>
          <w:i/>
        </w:rPr>
        <w:t>16 posėdis</w:t>
      </w:r>
      <w:r>
        <w:rPr>
          <w:i/>
        </w:rPr>
        <w:t xml:space="preserve"> - 2011 09 14 </w:t>
      </w:r>
      <w:r w:rsidRPr="004A6595">
        <w:t>Seimo Narkomanijos ir alkoholizmo prevencijos komisija posėdyje svarstė šiuos klausimus:</w:t>
      </w:r>
      <w:r>
        <w:t xml:space="preserve"> </w:t>
      </w:r>
      <w:r w:rsidRPr="00E13509">
        <w:rPr>
          <w:rFonts w:eastAsia="Arial Unicode MS"/>
        </w:rPr>
        <w:t>1. Dėl Lietuvos Respublikos Seimo 2011 m. birželio 30 d. nutarimo Nr. XI-1573 „Dėl metadono naudojimo teisėtumo“ įgyvendinimo.</w:t>
      </w:r>
      <w:r>
        <w:rPr>
          <w:rFonts w:eastAsia="Arial Unicode MS"/>
        </w:rPr>
        <w:t xml:space="preserve"> </w:t>
      </w:r>
      <w:r w:rsidRPr="00E13509">
        <w:rPr>
          <w:rFonts w:eastAsia="Arial Unicode MS"/>
        </w:rPr>
        <w:t>2. Dėl Narkotikų,  tabako ir alkoholio  kontrolės  departamento strateginio veiklos plano.</w:t>
      </w:r>
      <w:r>
        <w:rPr>
          <w:rFonts w:eastAsia="Arial Unicode MS"/>
        </w:rPr>
        <w:t xml:space="preserve"> </w:t>
      </w:r>
      <w:r w:rsidRPr="00E13509">
        <w:rPr>
          <w:rFonts w:eastAsia="Arial Unicode MS"/>
        </w:rPr>
        <w:t xml:space="preserve">3. Dėl darbo grupės sudarymo „Dėl </w:t>
      </w:r>
      <w:r w:rsidRPr="00E13509">
        <w:t xml:space="preserve">Nacionalinės narkotikų kontrolės ir narkomanijos prevencijos </w:t>
      </w:r>
      <w:r w:rsidRPr="00E13509">
        <w:rPr>
          <w:color w:val="000000"/>
        </w:rPr>
        <w:t>2010–2016 metų programos</w:t>
      </w:r>
      <w:r w:rsidRPr="00E13509">
        <w:t xml:space="preserve"> pakeitimo projekto  parengimo“.</w:t>
      </w:r>
      <w:r>
        <w:t xml:space="preserve"> 4. Informacija apie įvykusį renginį „Kai mūsų širdys plaka išvien“. </w:t>
      </w:r>
    </w:p>
    <w:p w:rsidR="00C07927" w:rsidRDefault="00C07927" w:rsidP="00C07927">
      <w:pPr>
        <w:jc w:val="both"/>
        <w:rPr>
          <w:rFonts w:eastAsia="Arial Unicode MS"/>
        </w:rPr>
      </w:pPr>
      <w:r>
        <w:rPr>
          <w:rFonts w:eastAsia="Arial Unicode MS"/>
          <w:i/>
        </w:rPr>
        <w:tab/>
      </w:r>
      <w:r w:rsidRPr="007E7FF5">
        <w:rPr>
          <w:rFonts w:eastAsia="Arial Unicode MS"/>
          <w:b/>
          <w:i/>
        </w:rPr>
        <w:t>17 posėdis</w:t>
      </w:r>
      <w:r>
        <w:rPr>
          <w:rFonts w:eastAsia="Arial Unicode MS"/>
          <w:i/>
        </w:rPr>
        <w:t xml:space="preserve"> - 2011 09 21</w:t>
      </w:r>
      <w:r>
        <w:rPr>
          <w:i/>
        </w:rPr>
        <w:t xml:space="preserve">  </w:t>
      </w:r>
      <w:r w:rsidRPr="004A6595">
        <w:t>Seimo Narkomanijos ir alkoholizmo prevencijos komisija posėdyje svarstė šiuos klausimus:</w:t>
      </w:r>
      <w:r>
        <w:t xml:space="preserve"> 1. </w:t>
      </w:r>
      <w:r w:rsidRPr="00CE622F">
        <w:rPr>
          <w:rFonts w:eastAsia="Arial Unicode MS"/>
        </w:rPr>
        <w:t>Dėl Valstybinės medicininio audito inspekcijos prie Sveikatos apsaugos ministerijos 2011 04 28 atlikto tyrimo dėl sveikatos priežiūros paslaugų atitikties nustatytiems reikalavimams asmens sveikatos priežiūros įstaigose, kuriose 2009-2010 m. buvo teikiamos pakaitinio palaikomojo gydymo metadonu paslaugos ir jo metu nustatytų pažeidimų pašalinimo bei rekomendacijų ir pasiūlymų  įgyvendinimo (2011-05-02 rašto Nr.4R-693 kopija).</w:t>
      </w:r>
      <w:r>
        <w:rPr>
          <w:rFonts w:eastAsia="Arial Unicode MS"/>
        </w:rPr>
        <w:t xml:space="preserve"> 2. </w:t>
      </w:r>
      <w:r w:rsidRPr="00CE622F">
        <w:rPr>
          <w:rFonts w:eastAsia="Arial Unicode MS"/>
        </w:rPr>
        <w:t xml:space="preserve">Dėl Seimo Narkomanijos ir alkoholizmo prevencijos komisijos 2011-06-29 sprendimo dėl nesimokančių vaikų įgyvendinimo (2011-04-06 posėdžio protokolo Nr. 293-P-15 1 kl.). </w:t>
      </w:r>
    </w:p>
    <w:p w:rsidR="00C07927" w:rsidRPr="00ED42B7" w:rsidRDefault="00C07927" w:rsidP="00C07927">
      <w:pPr>
        <w:ind w:firstLine="720"/>
        <w:jc w:val="both"/>
      </w:pPr>
      <w:r w:rsidRPr="007E7FF5">
        <w:rPr>
          <w:b/>
          <w:i/>
        </w:rPr>
        <w:t>18 posėdis</w:t>
      </w:r>
      <w:r>
        <w:rPr>
          <w:i/>
        </w:rPr>
        <w:t xml:space="preserve"> - </w:t>
      </w:r>
      <w:r w:rsidRPr="0057542A">
        <w:rPr>
          <w:i/>
        </w:rPr>
        <w:t>2011 09 28</w:t>
      </w:r>
      <w:r>
        <w:rPr>
          <w:i/>
        </w:rPr>
        <w:t xml:space="preserve">  </w:t>
      </w:r>
      <w:r w:rsidRPr="004A6595">
        <w:t>Seimo Narkomanijos ir alkoholizmo prevencijos komisija posėdyje svarstė šiuos klausimus:</w:t>
      </w:r>
      <w:r>
        <w:t xml:space="preserve"> 1.</w:t>
      </w:r>
      <w:r w:rsidRPr="00E13509">
        <w:t xml:space="preserve"> </w:t>
      </w:r>
      <w:r w:rsidRPr="00FE0904">
        <w:rPr>
          <w:rFonts w:eastAsia="Arial Unicode MS"/>
        </w:rPr>
        <w:t xml:space="preserve">„Dėl </w:t>
      </w:r>
      <w:r w:rsidRPr="00FE0904">
        <w:t xml:space="preserve"> 2007–2013 m. Žmogiškųjų išteklių plėtros veiksmų programos 1 prioriteto „Kokybiškas užimtumas ir socialinė aprėptis“ VP1-1.3-SADM-02 priemonės „Socialinės rizikos ir socialinę atskirtį patiriančių asmenų integracija į darbo rinką“ projekto, kuriam </w:t>
      </w:r>
      <w:r w:rsidRPr="00FE0904">
        <w:rPr>
          <w:rFonts w:eastAsia="Arial Unicode MS"/>
        </w:rPr>
        <w:t>2011 m. b</w:t>
      </w:r>
      <w:r w:rsidRPr="00FE0904">
        <w:t xml:space="preserve">alandžio 26 d. buvo skelbtas paraiškų priėmimas. </w:t>
      </w:r>
      <w:r w:rsidRPr="00FE0904">
        <w:rPr>
          <w:rFonts w:eastAsia="Arial Unicode MS"/>
        </w:rPr>
        <w:t>2. Dėl asmenų, priklausomų nuo narkotinių, psichotropinių  ar toksinių medžiagų, psichologinės ir socialinės reabilitacijos finansavimas Europos Sąjungos struktūrinių fondų  lėšomis, vykdant  2007 –2013 m. Žmogiškųjų išteklių plėtros veiksmų programos VP1 – 1.3- SADM –02-K priemonę “Socialinės rizikos ir socialinę atskirtį patiriančių asmenų integracija į darbo rinką</w:t>
      </w:r>
      <w:r>
        <w:rPr>
          <w:rFonts w:eastAsia="Arial Unicode MS"/>
        </w:rPr>
        <w:t xml:space="preserve"> </w:t>
      </w:r>
      <w:r w:rsidRPr="00FE0904">
        <w:rPr>
          <w:rFonts w:eastAsia="Arial Unicode MS"/>
        </w:rPr>
        <w:t xml:space="preserve">”ir </w:t>
      </w:r>
      <w:r w:rsidRPr="00FE0904">
        <w:rPr>
          <w:color w:val="010101"/>
        </w:rPr>
        <w:t xml:space="preserve">veiklos tęstinumas: </w:t>
      </w:r>
      <w:r>
        <w:rPr>
          <w:rFonts w:eastAsia="Arial Unicode MS"/>
        </w:rPr>
        <w:tab/>
      </w:r>
      <w:r w:rsidRPr="00FE0904">
        <w:rPr>
          <w:rFonts w:eastAsia="Arial Unicode MS"/>
        </w:rPr>
        <w:t xml:space="preserve"> Kauno teritorinė darbo birža</w:t>
      </w:r>
      <w:r>
        <w:rPr>
          <w:rFonts w:eastAsia="Arial Unicode MS"/>
        </w:rPr>
        <w:t>;</w:t>
      </w:r>
      <w:r>
        <w:rPr>
          <w:color w:val="010101"/>
        </w:rPr>
        <w:tab/>
        <w:t xml:space="preserve"> Viešoji įstaiga </w:t>
      </w:r>
      <w:r w:rsidRPr="00FE0904">
        <w:rPr>
          <w:color w:val="010101"/>
        </w:rPr>
        <w:t>“Socialiniai paramos projektai”.</w:t>
      </w:r>
      <w:r>
        <w:rPr>
          <w:color w:val="010101"/>
        </w:rPr>
        <w:t xml:space="preserve"> 3. S</w:t>
      </w:r>
      <w:r>
        <w:rPr>
          <w:rFonts w:eastAsia="Arial Unicode MS"/>
        </w:rPr>
        <w:t>iūlymų Seimo Audito komitetui</w:t>
      </w:r>
      <w:r w:rsidRPr="00F825CC">
        <w:rPr>
          <w:rFonts w:eastAsia="Arial Unicode MS"/>
        </w:rPr>
        <w:t xml:space="preserve"> </w:t>
      </w:r>
      <w:r>
        <w:rPr>
          <w:rFonts w:eastAsia="Arial Unicode MS"/>
        </w:rPr>
        <w:t xml:space="preserve">„Dėl </w:t>
      </w:r>
      <w:r w:rsidRPr="00ED42B7">
        <w:t>siūlymų Valstybės kontrolės valstybinio audito 2012 metų programai</w:t>
      </w:r>
      <w:r>
        <w:t>“</w:t>
      </w:r>
      <w:r w:rsidRPr="00ED42B7">
        <w:t xml:space="preserve"> </w:t>
      </w:r>
      <w:r>
        <w:t>svarstymas.</w:t>
      </w:r>
    </w:p>
    <w:p w:rsidR="00C07927" w:rsidRDefault="00C07927" w:rsidP="00C07927">
      <w:pPr>
        <w:ind w:firstLine="720"/>
        <w:jc w:val="both"/>
        <w:rPr>
          <w:rFonts w:eastAsia="Arial Unicode MS"/>
        </w:rPr>
      </w:pPr>
      <w:r w:rsidRPr="007E7FF5">
        <w:rPr>
          <w:b/>
          <w:i/>
        </w:rPr>
        <w:t>19 posėdis</w:t>
      </w:r>
      <w:r>
        <w:rPr>
          <w:i/>
        </w:rPr>
        <w:t xml:space="preserve"> - 2011 10 12  </w:t>
      </w:r>
      <w:r w:rsidRPr="004A6595">
        <w:t>Seimo Narkomanijos ir alkoholizmo prevencijos komisija posėdyje svarstė šiuos klausimus:</w:t>
      </w:r>
      <w:r>
        <w:t xml:space="preserve"> 1.</w:t>
      </w:r>
      <w:r w:rsidRPr="008767C7">
        <w:rPr>
          <w:rFonts w:eastAsia="Arial Unicode MS"/>
        </w:rPr>
        <w:t xml:space="preserve"> </w:t>
      </w:r>
      <w:r>
        <w:rPr>
          <w:rFonts w:eastAsia="Arial Unicode MS"/>
        </w:rPr>
        <w:t xml:space="preserve">Dėl 2009 – </w:t>
      </w:r>
      <w:r w:rsidRPr="00FF1379">
        <w:rPr>
          <w:rFonts w:eastAsia="Arial Unicode MS"/>
        </w:rPr>
        <w:t>2011 metais pradėtų ar atliktų tyrimų, ikiteisminių tyrimų juridiniams asmenims ir juridiniams asmenims pareikštų įtarimų pradėtuose ar atliktuose ikiteisminiuose tyrimuose remiantis Lietuvos Respublikos Tabako kontrolės įstatymo 14 str. nuostatomis.</w:t>
      </w:r>
      <w:r>
        <w:rPr>
          <w:rFonts w:eastAsia="Arial Unicode MS"/>
        </w:rPr>
        <w:t xml:space="preserve"> </w:t>
      </w:r>
      <w:r w:rsidRPr="00FF1379">
        <w:rPr>
          <w:rFonts w:eastAsia="Arial Unicode MS"/>
        </w:rPr>
        <w:t xml:space="preserve">2. Dėl 2009 – 2011 metais pradėtų ar atliktų tyrimų dėl pažeidimų, dėl ikiteisminių </w:t>
      </w:r>
      <w:r w:rsidRPr="00FF1379">
        <w:rPr>
          <w:rFonts w:eastAsia="Arial Unicode MS"/>
        </w:rPr>
        <w:lastRenderedPageBreak/>
        <w:t>tyrimų juridiniams asmenims ir juridiniams asmenims pareikštų įtarimų pradėtuose ar atliktuose ikiteisminiuose tyrimuose remiantis Lietuvos Respublikos alkoholio kontrolės įstatymo 16, 17, 18 straipsnių nuostatomis.</w:t>
      </w:r>
      <w:r>
        <w:rPr>
          <w:rFonts w:eastAsia="Arial Unicode MS"/>
        </w:rPr>
        <w:t xml:space="preserve"> </w:t>
      </w:r>
      <w:r w:rsidRPr="00FF1379">
        <w:rPr>
          <w:rFonts w:eastAsia="Arial Unicode MS"/>
        </w:rPr>
        <w:t>3. Dėl  elektroninių plombų, skirtų tranzitu gabenamų prekių per Lietuvos teritorija kontrolei, naudojimo efektyvumo</w:t>
      </w:r>
      <w:r>
        <w:rPr>
          <w:rFonts w:eastAsia="Arial Unicode MS"/>
        </w:rPr>
        <w:t xml:space="preserve">. </w:t>
      </w:r>
      <w:r w:rsidRPr="00FF1379">
        <w:rPr>
          <w:rFonts w:eastAsia="Arial Unicode MS"/>
        </w:rPr>
        <w:t>4. Dėl narkotikų užkardymo Vilniaus romų tabore, Kirtimuose</w:t>
      </w:r>
      <w:r>
        <w:rPr>
          <w:rFonts w:eastAsia="Arial Unicode MS"/>
        </w:rPr>
        <w:t>.</w:t>
      </w:r>
    </w:p>
    <w:p w:rsidR="00C07927" w:rsidRDefault="00C07927" w:rsidP="00C07927">
      <w:pPr>
        <w:spacing w:line="360" w:lineRule="auto"/>
        <w:ind w:firstLine="720"/>
        <w:jc w:val="both"/>
        <w:rPr>
          <w:rFonts w:eastAsia="Arial Unicode MS"/>
        </w:rPr>
      </w:pPr>
      <w:r w:rsidRPr="00FA7F6E">
        <w:rPr>
          <w:rFonts w:eastAsia="Arial Unicode MS"/>
          <w:b/>
          <w:i/>
        </w:rPr>
        <w:t xml:space="preserve">2011-10-18 </w:t>
      </w:r>
      <w:r>
        <w:rPr>
          <w:rFonts w:eastAsia="Arial Unicode MS"/>
          <w:b/>
          <w:i/>
        </w:rPr>
        <w:t xml:space="preserve">– </w:t>
      </w:r>
      <w:r w:rsidRPr="00FA7F6E">
        <w:rPr>
          <w:rFonts w:eastAsia="Arial Unicode MS"/>
          <w:i/>
        </w:rPr>
        <w:t>pasitarimas „</w:t>
      </w:r>
      <w:r>
        <w:rPr>
          <w:rFonts w:eastAsia="Arial Unicode MS"/>
        </w:rPr>
        <w:t>Dėl asmenų, priklausomų nuo narkotinių ir psichotropinių medžiagų, kurie nuolat lankosi romų tabore Kirtimuose, Vilniuje, palaikomojo gydymo ir socialinės slaugos namų steigimo“.</w:t>
      </w:r>
    </w:p>
    <w:p w:rsidR="00C07927" w:rsidRPr="00397522" w:rsidRDefault="00C07927" w:rsidP="00C07927">
      <w:pPr>
        <w:ind w:firstLine="720"/>
        <w:jc w:val="both"/>
        <w:rPr>
          <w:rFonts w:eastAsia="Arial Unicode MS"/>
        </w:rPr>
      </w:pPr>
      <w:r w:rsidRPr="007E7FF5">
        <w:rPr>
          <w:b/>
          <w:i/>
        </w:rPr>
        <w:t>20 posėdis</w:t>
      </w:r>
      <w:r>
        <w:rPr>
          <w:i/>
        </w:rPr>
        <w:t xml:space="preserve"> - 2011 10 19 </w:t>
      </w:r>
      <w:r w:rsidRPr="004A6595">
        <w:t>Seimo Narkomanijos ir alkoholizmo prevencijos komisija posėdyje svarstė šiuos klausimus:</w:t>
      </w:r>
      <w:r>
        <w:t xml:space="preserve"> 1.</w:t>
      </w:r>
      <w:r w:rsidRPr="004D35EC">
        <w:rPr>
          <w:rFonts w:eastAsia="Arial Unicode MS"/>
        </w:rPr>
        <w:t xml:space="preserve"> </w:t>
      </w:r>
      <w:r w:rsidRPr="00397522">
        <w:rPr>
          <w:rFonts w:eastAsia="Arial Unicode MS"/>
        </w:rPr>
        <w:t>Dėl narkotikų patekimo į įkalinimo įstaigas.</w:t>
      </w:r>
      <w:r>
        <w:rPr>
          <w:rFonts w:eastAsia="Arial Unicode MS"/>
        </w:rPr>
        <w:t xml:space="preserve"> </w:t>
      </w:r>
      <w:r w:rsidRPr="00397522">
        <w:rPr>
          <w:rFonts w:eastAsia="Arial Unicode MS"/>
        </w:rPr>
        <w:t>2. Dėl priklausomybės ligų reabilitacinių bendruomenių įkalinimo  įstaigose kūrimo ir veiklos.</w:t>
      </w:r>
      <w:r>
        <w:rPr>
          <w:rFonts w:eastAsia="Arial Unicode MS"/>
        </w:rPr>
        <w:t xml:space="preserve"> </w:t>
      </w:r>
      <w:r w:rsidRPr="00397522">
        <w:rPr>
          <w:rFonts w:eastAsia="Arial Unicode MS"/>
        </w:rPr>
        <w:t xml:space="preserve">3. Dėl tinkamo sveikatos ir socialinių paslaugų prieinamumo nuteistiesiems, sergantiems priklausomybės ligomis ir atliekantiems bausmę įkalinimo įstaigose bei  esantiems pataisos inspekcijų įskaitoje.  </w:t>
      </w:r>
    </w:p>
    <w:p w:rsidR="00C07927" w:rsidRDefault="00C07927" w:rsidP="00C07927">
      <w:pPr>
        <w:ind w:firstLine="720"/>
        <w:jc w:val="both"/>
        <w:rPr>
          <w:rFonts w:eastAsia="Arial Unicode MS"/>
        </w:rPr>
      </w:pPr>
      <w:r w:rsidRPr="007E7FF5">
        <w:rPr>
          <w:b/>
          <w:i/>
        </w:rPr>
        <w:t>21 posėdis</w:t>
      </w:r>
      <w:r>
        <w:rPr>
          <w:i/>
        </w:rPr>
        <w:t xml:space="preserve"> - 2011 11 09 </w:t>
      </w:r>
      <w:r w:rsidRPr="004A6595">
        <w:t>Seimo Narkomanijos ir alkoholizmo prevencijos komisija posėdyje svarstė</w:t>
      </w:r>
      <w:r>
        <w:t xml:space="preserve"> „N</w:t>
      </w:r>
      <w:r w:rsidRPr="00C25960">
        <w:rPr>
          <w:rFonts w:eastAsia="Arial Unicode MS"/>
        </w:rPr>
        <w:t>arkomanijos ir alkoholizmo prevencijos komisijos  2011 06 29 sprendimo „Dėl nesimokančių vaikų“ įgyvendinimo</w:t>
      </w:r>
      <w:r>
        <w:rPr>
          <w:rFonts w:eastAsia="Arial Unicode MS"/>
        </w:rPr>
        <w:t>“ klausimą</w:t>
      </w:r>
      <w:r w:rsidRPr="00C25960">
        <w:rPr>
          <w:rFonts w:eastAsia="Arial Unicode MS"/>
        </w:rPr>
        <w:t>.</w:t>
      </w:r>
    </w:p>
    <w:p w:rsidR="00C07927" w:rsidRDefault="00C07927" w:rsidP="00C07927">
      <w:pPr>
        <w:ind w:firstLine="720"/>
        <w:jc w:val="both"/>
      </w:pPr>
      <w:r w:rsidRPr="007E7FF5">
        <w:rPr>
          <w:rFonts w:eastAsia="Arial Unicode MS"/>
          <w:b/>
          <w:i/>
        </w:rPr>
        <w:t>22 posėdis</w:t>
      </w:r>
      <w:r>
        <w:rPr>
          <w:rFonts w:eastAsia="Arial Unicode MS"/>
          <w:i/>
        </w:rPr>
        <w:t xml:space="preserve"> - </w:t>
      </w:r>
      <w:r w:rsidRPr="00447D8F">
        <w:rPr>
          <w:rFonts w:eastAsia="Arial Unicode MS"/>
          <w:i/>
        </w:rPr>
        <w:t>2011 11 23</w:t>
      </w:r>
      <w:r>
        <w:rPr>
          <w:rFonts w:eastAsia="Arial Unicode MS"/>
          <w:i/>
        </w:rPr>
        <w:t xml:space="preserve"> </w:t>
      </w:r>
      <w:r w:rsidRPr="00447D8F">
        <w:rPr>
          <w:rFonts w:eastAsia="Arial Unicode MS"/>
          <w:i/>
        </w:rPr>
        <w:t xml:space="preserve"> </w:t>
      </w:r>
      <w:r w:rsidRPr="004A6595">
        <w:t>Seimo Narkomanijos ir alkoholizmo prevencijos komisija posėdyje svarstė</w:t>
      </w:r>
      <w:r>
        <w:t>:</w:t>
      </w:r>
      <w:r w:rsidRPr="00963922">
        <w:t xml:space="preserve"> </w:t>
      </w:r>
      <w:r w:rsidRPr="00963922">
        <w:rPr>
          <w:rFonts w:eastAsia="Arial Unicode MS"/>
        </w:rPr>
        <w:t>1. Dėl Lietuvos Respublikos Seimo 2011 m. birželio 30 d. nutarimo Nr. XI-1573 „Dėl metadono naudojimo teisėtumo“ įgyvendinimo.</w:t>
      </w:r>
      <w:r>
        <w:rPr>
          <w:rFonts w:eastAsia="Arial Unicode MS"/>
        </w:rPr>
        <w:t xml:space="preserve"> 2. </w:t>
      </w:r>
      <w:r>
        <w:t xml:space="preserve">2011 m. lapkričio 16 d. tarptautinėje  konferencijoje „Dėl kryptingos narkotikų, tabako ir alkoholio vartojimo prevencijos  bei kontrolės politikos“ priimtos  rezoliucijos </w:t>
      </w:r>
      <w:r w:rsidRPr="006730D9">
        <w:t>“Naujos tendencijos alkoholio, tabako ir narkotikų vartojimo prevencijos bei kontrolės srityje“</w:t>
      </w:r>
      <w:r>
        <w:t xml:space="preserve"> projektas“.</w:t>
      </w:r>
    </w:p>
    <w:p w:rsidR="00C07927" w:rsidRPr="002A22AB" w:rsidRDefault="00C07927" w:rsidP="00C07927">
      <w:pPr>
        <w:jc w:val="both"/>
        <w:rPr>
          <w:b/>
        </w:rPr>
      </w:pPr>
      <w:r>
        <w:rPr>
          <w:i/>
        </w:rPr>
        <w:tab/>
      </w:r>
      <w:r w:rsidRPr="007E7FF5">
        <w:rPr>
          <w:b/>
          <w:i/>
        </w:rPr>
        <w:t>23 posėdis</w:t>
      </w:r>
      <w:r>
        <w:rPr>
          <w:i/>
        </w:rPr>
        <w:t xml:space="preserve"> - 2011 12 07  </w:t>
      </w:r>
      <w:r w:rsidRPr="004A6595">
        <w:t>Seimo Narkomanijos ir alkoholizmo prevencijos komisija posėdyje svarstė šiuos klausimus:</w:t>
      </w:r>
      <w:r>
        <w:t xml:space="preserve"> 1.</w:t>
      </w:r>
      <w:r>
        <w:rPr>
          <w:rFonts w:eastAsia="Arial Unicode MS"/>
        </w:rPr>
        <w:t xml:space="preserve"> </w:t>
      </w:r>
      <w:r w:rsidRPr="002A22AB">
        <w:t>Psichoaktyviųjų medžiagų vartojimo prevencijos ir kontrolės pagrindinės kryptys ir numatomos pagrindinės kryptys 2011 metams.</w:t>
      </w:r>
      <w:r>
        <w:t xml:space="preserve"> </w:t>
      </w:r>
      <w:r w:rsidRPr="002A22AB">
        <w:rPr>
          <w:rFonts w:eastAsia="Arial Unicode MS"/>
        </w:rPr>
        <w:t>2</w:t>
      </w:r>
      <w:r w:rsidRPr="002A22AB">
        <w:rPr>
          <w:rFonts w:eastAsia="Arial Unicode MS"/>
          <w:b/>
        </w:rPr>
        <w:t>.</w:t>
      </w:r>
      <w:r w:rsidRPr="002A22AB">
        <w:rPr>
          <w:b/>
        </w:rPr>
        <w:t xml:space="preserve"> </w:t>
      </w:r>
      <w:r w:rsidRPr="002A22AB">
        <w:t>Europos socialinio fondo finansuojamų projektų, skirtų asmenų, priklausomų nuo psichoaktyviųjų medžiagų reabilitacijai ir integracijai į darbo rinką, įgyvendinimas ir pagrindinės kryptys 2011 metais.</w:t>
      </w:r>
      <w:r>
        <w:t xml:space="preserve"> </w:t>
      </w:r>
      <w:r w:rsidRPr="002A22AB">
        <w:rPr>
          <w:rFonts w:eastAsia="Arial Unicode MS"/>
        </w:rPr>
        <w:t xml:space="preserve">3. </w:t>
      </w:r>
      <w:r w:rsidRPr="002A22AB">
        <w:t>Priklausomybės ligomis sergančių asmenų gydymo tendencijos Lietuvoje, gydymo paslaugų prieinamumo kokybės gerinimas ir pagrindinės kryptys 2011 metais.</w:t>
      </w:r>
      <w:r>
        <w:t xml:space="preserve"> </w:t>
      </w:r>
      <w:r w:rsidRPr="002A22AB">
        <w:rPr>
          <w:bCs/>
        </w:rPr>
        <w:t xml:space="preserve">4. </w:t>
      </w:r>
      <w:r w:rsidRPr="002A22AB">
        <w:t>Nuteistųjų, priklausomų nuo psichoaktyviųjų medžiagų, gydymo, reabilitacijos ir integracijos į visuomenę galimybės Lietuvoje ir pagrindinės kryptys 2011 metais.</w:t>
      </w:r>
      <w:r>
        <w:t xml:space="preserve"> </w:t>
      </w:r>
      <w:r>
        <w:rPr>
          <w:bCs/>
        </w:rPr>
        <w:t>5</w:t>
      </w:r>
      <w:r w:rsidRPr="002A22AB">
        <w:rPr>
          <w:bCs/>
        </w:rPr>
        <w:t xml:space="preserve">. </w:t>
      </w:r>
      <w:r w:rsidRPr="002A22AB">
        <w:t>Alkoholio, tabako ir narkotikų vartojimo prevencija ugdymo įstaigose ir pagrindinės kryptys 2011 metais.</w:t>
      </w:r>
      <w:r>
        <w:t xml:space="preserve"> </w:t>
      </w:r>
      <w:r w:rsidRPr="002A22AB">
        <w:rPr>
          <w:bCs/>
        </w:rPr>
        <w:t xml:space="preserve">6. </w:t>
      </w:r>
      <w:r w:rsidRPr="002A22AB">
        <w:t>Teisėtvarkos pažeidimų, susijusių su narkotinių medžiagų ir alkoholinių gėrimų vartojimu, situacijos apžvalga. Policijos vykdomos prevencijos ir kontrolės priemonės ir pagrindinės kryptys 2011 metais.</w:t>
      </w:r>
      <w:r>
        <w:t xml:space="preserve"> </w:t>
      </w:r>
      <w:r w:rsidRPr="002A22AB">
        <w:t>7. Savivaldybių vaidmuo, įgyvendinant alkoholio, tabako ir narkotikų vartojimo prevencijos bei kontrolė priemones ir pagrindinės kryptys 2011 metais.</w:t>
      </w:r>
      <w:r>
        <w:t xml:space="preserve"> </w:t>
      </w:r>
      <w:r w:rsidRPr="002A22AB">
        <w:t>8. Nevyriausybinių organizacijų indėlis formuojant psichoaktyviųjų medžiagų kontrolės politiką Lietuvoje ir pagrindinės kryptys 2011 metais.</w:t>
      </w:r>
      <w:r>
        <w:t xml:space="preserve"> </w:t>
      </w:r>
      <w:r w:rsidRPr="002A22AB">
        <w:rPr>
          <w:rFonts w:eastAsia="Arial Unicode MS"/>
        </w:rPr>
        <w:t>9.</w:t>
      </w:r>
      <w:r w:rsidRPr="002A22AB">
        <w:rPr>
          <w:b/>
        </w:rPr>
        <w:t xml:space="preserve"> </w:t>
      </w:r>
      <w:r w:rsidRPr="002A22AB">
        <w:t>Mokinių požiūris: privalumai ir trūkumai, įgyvendinant psichoaktyviųjų medžiagų vartojimo prevencijos bei kontrolės priemones Lietuvoje ir  pagrindinės kryptys 2011 metais</w:t>
      </w:r>
      <w:r>
        <w:t xml:space="preserve">. </w:t>
      </w:r>
      <w:r w:rsidRPr="002A22AB">
        <w:t>10. Energinių gėrimų ir alkoholio mišinių poveikis žmogaus organizmui ir siūlomos priemonės  2011 metams.</w:t>
      </w:r>
    </w:p>
    <w:p w:rsidR="00C07927" w:rsidRDefault="00C07927" w:rsidP="00C07927">
      <w:pPr>
        <w:spacing w:before="40" w:after="40"/>
        <w:jc w:val="both"/>
        <w:rPr>
          <w:szCs w:val="22"/>
        </w:rPr>
      </w:pPr>
      <w:r>
        <w:rPr>
          <w:i/>
        </w:rPr>
        <w:tab/>
      </w:r>
      <w:r w:rsidRPr="007E7FF5">
        <w:rPr>
          <w:b/>
          <w:i/>
        </w:rPr>
        <w:t>24 posėdis</w:t>
      </w:r>
      <w:r>
        <w:rPr>
          <w:i/>
        </w:rPr>
        <w:t xml:space="preserve"> - 2011 12 14  </w:t>
      </w:r>
      <w:r w:rsidRPr="004A6595">
        <w:t>Seimo Narkomanijos ir alkoholizmo prevencijos komisija posėdyje svarstė šiuos klausimus:</w:t>
      </w:r>
      <w:r>
        <w:t xml:space="preserve"> 1. Dėl  “</w:t>
      </w:r>
      <w:r>
        <w:rPr>
          <w:rFonts w:eastAsia="MS Mincho"/>
          <w:color w:val="000000"/>
        </w:rPr>
        <w:t xml:space="preserve">Prekybos žmonėmis prevencijos bei kontrolės 2009 – 2012 metų programoje” numatytų priemonių įgyvendinimo 2011 metais.  2. </w:t>
      </w:r>
      <w:r>
        <w:rPr>
          <w:sz w:val="22"/>
          <w:szCs w:val="22"/>
        </w:rPr>
        <w:t xml:space="preserve">Nacionalinio koordinatoriaus  prekybos žmonėmis prevencijos ir kovos su šiuo reiškiniu klausimais paskyrimas ir veikla. 3. Valstybės institucijų ir įstaigų bei nevyriausybinių organizacijų bendradarbiavimo, kontroliuojant prekybą žmonėmis, koncepcijos parengimas, patvirtinimas ir įgyvendinimas. 4. </w:t>
      </w:r>
      <w:r>
        <w:rPr>
          <w:color w:val="000000"/>
          <w:sz w:val="22"/>
          <w:szCs w:val="22"/>
        </w:rPr>
        <w:t xml:space="preserve">Dėl specialių priemonių, skirtų nepilnamečiams įgyvendinimo:  4.1. </w:t>
      </w:r>
      <w:r>
        <w:rPr>
          <w:sz w:val="22"/>
          <w:szCs w:val="22"/>
        </w:rPr>
        <w:t xml:space="preserve">nepilnamečiams, nukentėjusiems nuo prekybos žmonėmis, specializuotų  reabilitacijos programų parengimas ir patvirtinimas;  4.2. dėl </w:t>
      </w:r>
      <w:r>
        <w:rPr>
          <w:color w:val="000000"/>
          <w:sz w:val="22"/>
          <w:szCs w:val="22"/>
        </w:rPr>
        <w:t xml:space="preserve">neteisėto nepilnamečių išvežimo į užsienį, siekiant juos parduoti, kontrolės. </w:t>
      </w:r>
      <w:r>
        <w:rPr>
          <w:rFonts w:eastAsia="MS Mincho"/>
          <w:bCs/>
          <w:color w:val="000000"/>
        </w:rPr>
        <w:t xml:space="preserve">5. Dėl </w:t>
      </w:r>
      <w:r>
        <w:rPr>
          <w:rFonts w:eastAsia="MS Mincho"/>
          <w:color w:val="000000"/>
        </w:rPr>
        <w:t>be žinios dingusių vaikų apskaitos tobulinimo</w:t>
      </w:r>
      <w:r>
        <w:t xml:space="preserve">. 6. 2011 metų </w:t>
      </w:r>
      <w:r>
        <w:rPr>
          <w:sz w:val="22"/>
          <w:szCs w:val="22"/>
        </w:rPr>
        <w:t xml:space="preserve">apibendrinta prekybos žmonėmis būklės ataskaita. </w:t>
      </w:r>
      <w:r>
        <w:rPr>
          <w:szCs w:val="22"/>
        </w:rPr>
        <w:t>7. Dėl Lietuvoje 2009 – 2010 m. vykdytų viešųjų pirkimų vaistiniam preparatui metadonui įsigyti tyrimo.</w:t>
      </w:r>
    </w:p>
    <w:p w:rsidR="00C07927" w:rsidRDefault="00C07927" w:rsidP="00C07927">
      <w:pPr>
        <w:spacing w:before="40" w:after="40"/>
        <w:jc w:val="both"/>
      </w:pPr>
      <w:r w:rsidRPr="007E7FF5">
        <w:rPr>
          <w:b/>
          <w:i/>
        </w:rPr>
        <w:tab/>
        <w:t>25 posėdis</w:t>
      </w:r>
      <w:r>
        <w:t xml:space="preserve"> - </w:t>
      </w:r>
      <w:r w:rsidRPr="003051EC">
        <w:rPr>
          <w:i/>
        </w:rPr>
        <w:t xml:space="preserve">2011 12 21 </w:t>
      </w:r>
      <w:r>
        <w:rPr>
          <w:i/>
        </w:rPr>
        <w:t xml:space="preserve"> </w:t>
      </w:r>
      <w:r w:rsidRPr="004A6595">
        <w:t>Seimo Narkomanijos ir alkoholizmo prevencijos komisija posėdyje svarstė šiuos klausimus:</w:t>
      </w:r>
      <w:r>
        <w:t xml:space="preserve"> 1.</w:t>
      </w:r>
      <w:r w:rsidRPr="00D81F38">
        <w:t xml:space="preserve"> </w:t>
      </w:r>
      <w:r>
        <w:t xml:space="preserve">Dėl Lietuvos psichiatrų asociacijos kreipimosi. 2.Dėl Nacionalinės tabako ir alkoholio kontrolės koalicijos kreipimosi. 3.Dėl Vyskupo M.Valančiaus </w:t>
      </w:r>
      <w:r>
        <w:lastRenderedPageBreak/>
        <w:t>blaivybės sąjūdžio kreipimosi. 4.Dėl visuomeninės organizacijos „Tėvai prieš narkotikus“ kreipimosi. 5.Dėl Nacionalinės žalingų įpročių prevencijos tarybos kreipimosi.</w:t>
      </w:r>
      <w:r w:rsidRPr="00D81F38">
        <w:t xml:space="preserve"> </w:t>
      </w:r>
    </w:p>
    <w:p w:rsidR="00C07927" w:rsidRPr="003051EC" w:rsidRDefault="00C07927" w:rsidP="00C07927">
      <w:pPr>
        <w:spacing w:before="40" w:after="40"/>
        <w:jc w:val="both"/>
        <w:rPr>
          <w:i/>
        </w:rPr>
      </w:pPr>
      <w:r>
        <w:tab/>
      </w:r>
      <w:r w:rsidRPr="004A6595">
        <w:t>Seimo Narkomanijos ir alkoholizmo prevencijos komisija</w:t>
      </w:r>
      <w:r>
        <w:t xml:space="preserve"> bendrame su Audito komitetu posėdyje svarstė „Dėl Valstybės kontrolės tyrimo ataskaitos „Metadono vartojimas Lietuvoje 2009-2010 metais“ klausimą.</w:t>
      </w:r>
    </w:p>
    <w:p w:rsidR="00C07927" w:rsidRDefault="00C07927" w:rsidP="00C07927">
      <w:pPr>
        <w:jc w:val="both"/>
      </w:pPr>
    </w:p>
    <w:p w:rsidR="00C07927" w:rsidRDefault="00C07927" w:rsidP="00C07927">
      <w:pPr>
        <w:ind w:firstLine="720"/>
        <w:jc w:val="both"/>
      </w:pPr>
    </w:p>
    <w:p w:rsidR="00C07927" w:rsidRDefault="00C07927" w:rsidP="00C07927">
      <w:pPr>
        <w:ind w:firstLine="720"/>
        <w:jc w:val="both"/>
        <w:rPr>
          <w:b/>
          <w:bCs/>
        </w:rPr>
      </w:pPr>
      <w:r>
        <w:rPr>
          <w:b/>
          <w:bCs/>
        </w:rPr>
        <w:t>Narkomanijos ir alkoholizmo prevencijos komisijos veikla 2011 metais</w:t>
      </w:r>
    </w:p>
    <w:p w:rsidR="00C07927" w:rsidRDefault="00C07927" w:rsidP="00C07927">
      <w:pPr>
        <w:ind w:firstLine="720"/>
        <w:jc w:val="both"/>
        <w:rPr>
          <w:b/>
          <w:bCs/>
        </w:rPr>
      </w:pPr>
    </w:p>
    <w:p w:rsidR="00C07927" w:rsidRDefault="00C07927" w:rsidP="00C07927">
      <w:pPr>
        <w:ind w:firstLine="720"/>
        <w:jc w:val="both"/>
      </w:pPr>
      <w:r>
        <w:t>Narkomanijos ir alkoholizmo prevencijos komisijos veikla 2011 metais buvo vykdoma vadovaujantis nuostatais, Komisijos patvirtintu 2011 metų veiklos planu ir pagal patvirtintas prioritetines veiklos kryptis.</w:t>
      </w:r>
    </w:p>
    <w:p w:rsidR="00C07927" w:rsidRDefault="00C07927" w:rsidP="00C07927">
      <w:pPr>
        <w:ind w:firstLine="720"/>
        <w:jc w:val="both"/>
      </w:pPr>
      <w:r>
        <w:t>Pagrindinis ilgalaikis Narkomanijos ir alkoholizmo prevencijos komisijos tikslas – užtikrinti valstybės interesus, sudarant palankias sąlygas įgyvendinti valstybės narkomanijos ir alkoholizmo prevencijos, narkotikų ir alkoholio kontrolės politiką. Šio tikslo Komisija siekia atsižvelgdama į esamą narkomanijos ir alkoholizmo Lietuvoje situaciją, išskirdama prioritetines narkomanijos ir alkoholizmo prevencijos, narkotikų bei alkoholio kontrolės kryptis ir nuosekliai įgyvendindama priemones, didinančias narkomanijos ir alkoholizmo prevencijos Lietuvoje veiksmingumą.</w:t>
      </w:r>
    </w:p>
    <w:p w:rsidR="00C07927" w:rsidRDefault="00C07927" w:rsidP="00C07927">
      <w:pPr>
        <w:jc w:val="both"/>
      </w:pPr>
      <w:r>
        <w:t xml:space="preserve"> </w:t>
      </w:r>
      <w:r>
        <w:tab/>
        <w:t>Narkomanijos ir alkoholizmo prevencijos komisija atlieka šias funkcijas:</w:t>
      </w:r>
    </w:p>
    <w:p w:rsidR="00C07927" w:rsidRDefault="00C07927" w:rsidP="00C07927">
      <w:pPr>
        <w:jc w:val="both"/>
      </w:pPr>
      <w:r>
        <w:t xml:space="preserve"> </w:t>
      </w:r>
      <w:r>
        <w:tab/>
        <w:t>formuoja</w:t>
      </w:r>
      <w:r>
        <w:rPr>
          <w:bCs/>
        </w:rPr>
        <w:t xml:space="preserve"> </w:t>
      </w:r>
      <w:r>
        <w:t>valstybės strategiją ir politiką narkotikų kontrolės ir narkomanijos prevencijos srityje;</w:t>
      </w:r>
    </w:p>
    <w:p w:rsidR="00C07927" w:rsidRDefault="00C07927" w:rsidP="00C07927">
      <w:pPr>
        <w:ind w:firstLine="720"/>
        <w:jc w:val="both"/>
      </w:pPr>
      <w:r>
        <w:t>formuoja valstybės strategiją ir politiką alkoholio kontrolės ir alkoholizmo prevencijos srityje;</w:t>
      </w:r>
    </w:p>
    <w:p w:rsidR="00C07927" w:rsidRDefault="00C07927" w:rsidP="00C07927">
      <w:pPr>
        <w:ind w:firstLine="720"/>
        <w:jc w:val="both"/>
      </w:pPr>
      <w:r>
        <w:t>prižiūri, kaip įgyvendinama valstybės strategija ir politika narkotikų ir alkoholio  kontrolės, narkomanijos ir alkoholizmo prevencijos srityse;</w:t>
      </w:r>
    </w:p>
    <w:p w:rsidR="00C07927" w:rsidRDefault="00C07927" w:rsidP="00C07927">
      <w:pPr>
        <w:ind w:firstLine="720"/>
        <w:jc w:val="both"/>
      </w:pPr>
      <w:r>
        <w:t>inicijuoja ir rengia įstatymų, Seimo nutarimų ir rezoliucijų projektus narkotikų ir alkoholio kontrolės, narkomanijos ir alkoholizmo  prevencijos klausimais;</w:t>
      </w:r>
    </w:p>
    <w:p w:rsidR="00C07927" w:rsidRDefault="00C07927" w:rsidP="00C07927">
      <w:pPr>
        <w:ind w:firstLine="720"/>
        <w:jc w:val="both"/>
      </w:pPr>
      <w:r>
        <w:t xml:space="preserve">bendradarbiauja koordinuojant Seimo komitetų ir komisijų darbą narkotikų ir alkoholio kontrolės, narkomanijos ir alkoholizmo prevencijos srityse; </w:t>
      </w:r>
    </w:p>
    <w:p w:rsidR="00C07927" w:rsidRDefault="00C07927" w:rsidP="00C07927">
      <w:pPr>
        <w:ind w:firstLine="720"/>
        <w:jc w:val="both"/>
      </w:pPr>
      <w:r>
        <w:t>atlieka Nacionalinės narkotikų kontrolės ir narkomanijos prevencijos 2009–2016 metų programos įgyvendinimo parlamentinę kontrolę;</w:t>
      </w:r>
    </w:p>
    <w:p w:rsidR="00C07927" w:rsidRDefault="00C07927" w:rsidP="00C07927">
      <w:pPr>
        <w:ind w:firstLine="720"/>
        <w:jc w:val="both"/>
      </w:pPr>
      <w:r>
        <w:t>atlieka valstybės alkoholio kontrolės  programų įgyvendinimo parlamentinę kontrolę;</w:t>
      </w:r>
    </w:p>
    <w:p w:rsidR="00C07927" w:rsidRDefault="00C07927" w:rsidP="00C07927">
      <w:pPr>
        <w:ind w:firstLine="720"/>
        <w:jc w:val="both"/>
      </w:pPr>
      <w:r>
        <w:t>atlieka Narkotinių ir psichotropinių medžiagų kontrolės įstatymo, Narkotinių ir psichotropinių medžiagų pirmtakų (prekursorių) kontrolės įstatymo, Alkoholio kontrolės įstatymo nuostatų įgyvendinimo parlamentinę kontrolę;</w:t>
      </w:r>
    </w:p>
    <w:p w:rsidR="00C07927" w:rsidRDefault="00C07927" w:rsidP="00C07927">
      <w:pPr>
        <w:ind w:firstLine="720"/>
        <w:jc w:val="both"/>
      </w:pPr>
      <w:r>
        <w:t>prisideda stiprindama visuomenės sveikatą ir užtikrina valstybės, savivaldybių institucijų bei visuomeninių organizacijų dalyvavimą sprendžiant narkomanijos ir alkoholizmo prevencijos problemas;</w:t>
      </w:r>
    </w:p>
    <w:p w:rsidR="00C07927" w:rsidRDefault="00C07927" w:rsidP="00C07927">
      <w:pPr>
        <w:ind w:firstLine="720"/>
        <w:jc w:val="both"/>
      </w:pPr>
      <w:r>
        <w:t xml:space="preserve">siekia, kad veiksmingai būtų įgyvendinamos vaikų ir jaunimo socializacijos programos ir Jaunimo politikos pagrindų įstatymas narkotikų ir alkoholio kontrolės, narkomanijos ir alkoholizmo prevencijos srityse; </w:t>
      </w:r>
    </w:p>
    <w:p w:rsidR="00C07927" w:rsidRDefault="00C07927" w:rsidP="00C07927">
      <w:pPr>
        <w:ind w:firstLine="720"/>
        <w:jc w:val="both"/>
      </w:pPr>
      <w:r>
        <w:t xml:space="preserve">siekia, kad veiksmingai būtų įgyvendinamos Nepilnamečių justicijos programoje numatytos priemonės dėl teisę pažeidusių nepilnamečių resocializacijos narkotikų ir alkoholio kontrolės, narkomanijos ir alkoholizmo prevencijos srityse; </w:t>
      </w:r>
    </w:p>
    <w:p w:rsidR="00C07927" w:rsidRDefault="00C07927" w:rsidP="00C07927">
      <w:pPr>
        <w:ind w:firstLine="720"/>
        <w:jc w:val="both"/>
      </w:pPr>
      <w:r>
        <w:t xml:space="preserve">siekia, kad veiksmingai būtų įgyvendinamos Valstybinės švietimo strategijos 2003–2012 metų nuostatos narkotikų ir alkoholio kontrolės, narkomanijos ir alkoholizmo prevencijos srityse; </w:t>
      </w:r>
    </w:p>
    <w:p w:rsidR="00C07927" w:rsidRDefault="00C07927" w:rsidP="00C07927">
      <w:pPr>
        <w:ind w:firstLine="720"/>
        <w:jc w:val="both"/>
      </w:pPr>
      <w:r>
        <w:t>skatina visų lygių tarptautinį bendradarbiavimą su kitomis Europos Sąjungos valstybėmis narėmis ir tarptautinėmis organizacijomis alkoholio vartojimo mažinimo klausimais, stiprinant narkomanijos ir alkoholizmo prevenciją, narkotikų ir alkoholio kontrolę atliekančių institucijų ir jų atstovų tarpusavio ryšius;</w:t>
      </w:r>
    </w:p>
    <w:p w:rsidR="00C07927" w:rsidRDefault="00C07927" w:rsidP="00C07927">
      <w:pPr>
        <w:ind w:firstLine="720"/>
        <w:jc w:val="both"/>
      </w:pPr>
      <w:r>
        <w:t>rūpinasi, kad visuomenė būtų išsamiai informuojama apie veiksmingus narkotikų ir alkoholio kontrolės, narkomanijos ir alkoholizmo prevencijos būdus;</w:t>
      </w:r>
    </w:p>
    <w:p w:rsidR="00C07927" w:rsidRDefault="00C07927" w:rsidP="00C07927">
      <w:pPr>
        <w:ind w:firstLine="720"/>
        <w:jc w:val="both"/>
        <w:rPr>
          <w:u w:val="single"/>
        </w:rPr>
      </w:pPr>
      <w:r>
        <w:t>plečia ir stiprina tarpparlamentinius ryšius narkomanijos ir alkoholizmo  prevencijos, narkotikų ir alkoholio kontrolės klausimais.</w:t>
      </w:r>
      <w:r>
        <w:rPr>
          <w:u w:val="single"/>
        </w:rPr>
        <w:t xml:space="preserve"> </w:t>
      </w:r>
    </w:p>
    <w:p w:rsidR="00C07927" w:rsidRDefault="00C07927" w:rsidP="00C07927">
      <w:pPr>
        <w:ind w:firstLine="720"/>
        <w:jc w:val="both"/>
      </w:pPr>
      <w:r>
        <w:t xml:space="preserve">Komisija, įgyvendindama jai pavestas funkcijas, turi teisę: svarstyti ir teikti pasiūlymus Seimui ir Vyriausybei dėl narkotikų ir alkoholio  kontrolės, narkomanijos ir alkoholizmo prevencijos prioritetų; rengti ir svarstyti Lietuvos Respublikos įstatymų ir kitų teisės aktų, susijusių su narkotikų ir </w:t>
      </w:r>
      <w:r>
        <w:lastRenderedPageBreak/>
        <w:t>alkoholio kontrole, narkomanijos ir alkoholizmo prevencija, projektus; dalyvauti svarstant Seimo komitetų ir kitų komisijų, taip pat Vyriausybės ir kitų valstybės institucijų parengtus įstatymų, programų ir kitų teisės norminių aktų, tiesiogiai ar netiesiogiai susijusių su narkotikų ir alkoholio kontrole, narkomanijos ir alkoholizmo prevencija, projektus ir teikti išvadas dėl jų; rūpintis narkotikų ir alkoholio kontrolės, narkomanijos ir alkoholizmo prevencijos programų finansavimo užtikrinimu, rengti pasiūlymus narkotikų ir alkoholio kontrolės, narkomanijos ir alkoholizmo prevencijos klausimais ilgalaikėms valstybės bei kitoms strateginėms nacionalinio saugumo, vaikų ir jaunimo socializacijos, jaunimo politikos, nepilnamečių justicijos, švietimo, šeimos politikos programoms; išklausyti ministerijų ir kitų valstybės institucijų informaciją bei pranešimus, kaip vykdomi Lietuvos Respublikos įstatymai ir kiti teisės norminiai aktai, taip pat informaciją apie Lietuvos Respublikos teikiamas ataskaitas tarptautinėms organizacijoms narkotikų ir alkoholio kontrolės, narkomanijos ir alkoholizmo prevencijos klausimais ir šiais klausimais teikti pasiūlymus; dalyvauti visuomenės informavimo narkotikų ir alkoholio kontrolės, narkomanijos ir alkoholizmo prevencijos klausimais veikloje; dalyvauti tarpparlamentinių ryšių grupių veikloje narkotikų ir alkoholio kontrolės, narkomanijos ir alkoholizmo  prevencijos srityse; reguliariai susitikti su Europos narkotikų ir narkomanijos stebėsenos centro (EMCDDA), Europolo, Interpolo, Jungtinių Tautų Tarptautinio narkotikų kontrolės komiteto (INCB) atstovais ir kitomis šioje srityje veikiančiomis organizacijomis; organizuoti seminarus, konferencijas narkotikų ir alkoholio kontrolės, narkomanijos ir alkoholizmo prevencijos klausimais, aktyviai dalyvauti kitų institucijų rengiamuose tokio pobūdžio renginiuose; svarstyti gautus pasiūlymus dėl įstatymų ir kitų teisės aktų, reglamentuojančių narkotikų ir alkoholio kontrolę, narkomanijos ir alkoholizmo prevenciją.</w:t>
      </w:r>
    </w:p>
    <w:p w:rsidR="00C07927" w:rsidRDefault="00C07927" w:rsidP="00C07927">
      <w:pPr>
        <w:jc w:val="both"/>
        <w:rPr>
          <w:bCs/>
        </w:rPr>
      </w:pPr>
      <w:r>
        <w:tab/>
        <w:t xml:space="preserve">2011 metais Narkomanijos ir alkoholizmo prevencijos komisijos veiklos </w:t>
      </w:r>
      <w:r>
        <w:rPr>
          <w:bCs/>
        </w:rPr>
        <w:t>prioritetinės kryptys:</w:t>
      </w:r>
    </w:p>
    <w:p w:rsidR="00C07927" w:rsidRDefault="00C07927" w:rsidP="00C07927">
      <w:pPr>
        <w:ind w:firstLine="720"/>
        <w:jc w:val="both"/>
      </w:pPr>
      <w:r>
        <w:rPr>
          <w:bCs/>
        </w:rPr>
        <w:t xml:space="preserve"> </w:t>
      </w:r>
      <w:r>
        <w:t>Valstybės strategijos ir politikos, orientuotos į alkoholizmo ir narkomanijos prevenciją,  narkotikų kontrolę formavimas,  prioritetų nustatymas.</w:t>
      </w:r>
    </w:p>
    <w:p w:rsidR="00C07927" w:rsidRDefault="00C07927" w:rsidP="00C07927">
      <w:pPr>
        <w:ind w:firstLine="720"/>
        <w:jc w:val="both"/>
      </w:pPr>
      <w:r>
        <w:t>Tarptautinių konvencijų ir rekomendacijų (Jungtinių Tautų Organizacijos, Europos Tarybos, Europos Sąjungos) įgyvendinimas nacionaliniuose įstatymuose narkotikų kontrolės, alkoholizmo ir narkomanijos prevencijos  klausimais.</w:t>
      </w:r>
    </w:p>
    <w:p w:rsidR="00C07927" w:rsidRDefault="00C07927" w:rsidP="00C07927">
      <w:pPr>
        <w:ind w:firstLine="720"/>
        <w:jc w:val="both"/>
      </w:pPr>
      <w:r>
        <w:t>Diskusijų ir konferencijų narkotikų kontrolės, alkoholizmo ir narkomanijos prevencijos klausimais organizavimas.</w:t>
      </w:r>
    </w:p>
    <w:p w:rsidR="00C07927" w:rsidRDefault="00C07927" w:rsidP="00C07927">
      <w:pPr>
        <w:ind w:firstLine="720"/>
        <w:jc w:val="both"/>
      </w:pPr>
      <w:r>
        <w:t>Narkomanijos ir alkoholizmo prevencijos komisija, vykdydama parlamentinę kontrolę, analizavo kaip yra vykdoma narkomanijos ir alkoholizmo prevencija, narkotikų ir alkoholio kontrolė,  nagrinėjo informaciją apie esamą situaciją. Komisija posėdžiuose padarė išvadas ir priėmė sprendimus,  pateikė siūlymus Lietuvos Respublikos Vyriausybei.</w:t>
      </w:r>
    </w:p>
    <w:p w:rsidR="00C07927" w:rsidRDefault="00C07927" w:rsidP="00C07927">
      <w:pPr>
        <w:ind w:firstLine="720"/>
        <w:jc w:val="both"/>
      </w:pPr>
    </w:p>
    <w:p w:rsidR="00C07927" w:rsidRPr="004063F9" w:rsidRDefault="00C07927" w:rsidP="00C07927">
      <w:pPr>
        <w:ind w:firstLine="720"/>
        <w:jc w:val="both"/>
        <w:rPr>
          <w:b/>
        </w:rPr>
      </w:pPr>
      <w:r w:rsidRPr="004063F9">
        <w:rPr>
          <w:b/>
        </w:rPr>
        <w:t>Informacija apie Komisijos posėdžius:</w:t>
      </w:r>
    </w:p>
    <w:p w:rsidR="00C07927" w:rsidRDefault="00C07927" w:rsidP="00C07927">
      <w:pPr>
        <w:ind w:firstLine="720"/>
        <w:jc w:val="both"/>
      </w:pPr>
    </w:p>
    <w:p w:rsidR="00C07927" w:rsidRDefault="00C07927" w:rsidP="00C07927">
      <w:pPr>
        <w:spacing w:after="200" w:line="276" w:lineRule="auto"/>
        <w:ind w:firstLine="720"/>
        <w:jc w:val="both"/>
        <w:rPr>
          <w:lang w:eastAsia="lt-LT"/>
        </w:rPr>
      </w:pPr>
      <w:r w:rsidRPr="004063F9">
        <w:rPr>
          <w:rFonts w:eastAsia="Arial Unicode MS"/>
          <w:b/>
        </w:rPr>
        <w:t>2011-03-23</w:t>
      </w:r>
      <w:r>
        <w:rPr>
          <w:rFonts w:eastAsia="Arial Unicode MS"/>
        </w:rPr>
        <w:t xml:space="preserve"> </w:t>
      </w:r>
      <w:r w:rsidRPr="00753540">
        <w:rPr>
          <w:rFonts w:eastAsia="Arial Unicode MS"/>
        </w:rPr>
        <w:t xml:space="preserve">Komisijos posėdyje </w:t>
      </w:r>
      <w:r>
        <w:rPr>
          <w:rFonts w:eastAsia="Arial Unicode MS"/>
        </w:rPr>
        <w:t xml:space="preserve">atsižvelgta į Policijos departamento prie Vidaus reikalų ministerijos pateiktą  informaciją </w:t>
      </w:r>
      <w:r w:rsidRPr="00753540">
        <w:rPr>
          <w:rFonts w:eastAsia="Arial Unicode MS"/>
        </w:rPr>
        <w:t>dėl nepilnamečių buvimo viešosiose vietose ir patekimo į barus, naktinius klubus</w:t>
      </w:r>
      <w:r>
        <w:rPr>
          <w:rFonts w:eastAsia="Arial Unicode MS"/>
        </w:rPr>
        <w:t xml:space="preserve">. Komisija pritarė siūlymui </w:t>
      </w:r>
      <w:r w:rsidRPr="00753540">
        <w:rPr>
          <w:rFonts w:eastAsia="Arial Unicode MS"/>
        </w:rPr>
        <w:t>registruoti įstatymo pataisą</w:t>
      </w:r>
      <w:r>
        <w:rPr>
          <w:rFonts w:eastAsia="Arial Unicode MS"/>
        </w:rPr>
        <w:t>,</w:t>
      </w:r>
      <w:r w:rsidRPr="00753540">
        <w:rPr>
          <w:rFonts w:eastAsia="Arial Unicode MS"/>
        </w:rPr>
        <w:t xml:space="preserve"> </w:t>
      </w:r>
      <w:r>
        <w:rPr>
          <w:rFonts w:eastAsia="Arial Unicode MS"/>
        </w:rPr>
        <w:t>papildant</w:t>
      </w:r>
      <w:r w:rsidRPr="00753540">
        <w:rPr>
          <w:rFonts w:eastAsia="Arial Unicode MS"/>
        </w:rPr>
        <w:t xml:space="preserve"> Lietuvos Respublikos  </w:t>
      </w:r>
      <w:r>
        <w:rPr>
          <w:rFonts w:eastAsia="Arial Unicode MS"/>
        </w:rPr>
        <w:t>Alkoholio kontrolės įstatymą</w:t>
      </w:r>
      <w:r w:rsidRPr="00753540">
        <w:rPr>
          <w:rFonts w:eastAsia="Arial Unicode MS"/>
        </w:rPr>
        <w:t xml:space="preserve"> nuostata, kad į</w:t>
      </w:r>
      <w:r w:rsidRPr="00753540">
        <w:rPr>
          <w:lang w:eastAsia="lt-LT"/>
        </w:rPr>
        <w:t xml:space="preserve">monės, turinčios licencijas verstis mažmenine prekyba alkoholiniais gėrimais ir vykdančios viešojo maitinimo </w:t>
      </w:r>
      <w:r>
        <w:rPr>
          <w:lang w:eastAsia="lt-LT"/>
        </w:rPr>
        <w:t>veiklą, privalo užtikrinti, kad</w:t>
      </w:r>
      <w:r w:rsidRPr="00753540">
        <w:rPr>
          <w:lang w:eastAsia="lt-LT"/>
        </w:rPr>
        <w:t xml:space="preserve"> prekybos alkoholiniais gėrimais vietose asmenys iki 18 metų nevartotų alkoholinių gėrimų</w:t>
      </w:r>
      <w:r>
        <w:rPr>
          <w:lang w:eastAsia="lt-LT"/>
        </w:rPr>
        <w:t xml:space="preserve"> ir, kad</w:t>
      </w:r>
      <w:r w:rsidRPr="00753540">
        <w:rPr>
          <w:lang w:eastAsia="lt-LT"/>
        </w:rPr>
        <w:t xml:space="preserve"> asmenys iki 18 metų nebūtų įleidžiami</w:t>
      </w:r>
      <w:r w:rsidRPr="00A85B26">
        <w:rPr>
          <w:lang w:eastAsia="lt-LT"/>
        </w:rPr>
        <w:t xml:space="preserve"> </w:t>
      </w:r>
      <w:r>
        <w:rPr>
          <w:lang w:eastAsia="lt-LT"/>
        </w:rPr>
        <w:t>nuo 22 iki 6 valandos</w:t>
      </w:r>
      <w:r w:rsidRPr="00753540">
        <w:rPr>
          <w:lang w:eastAsia="lt-LT"/>
        </w:rPr>
        <w:t xml:space="preserve"> į barus, restoranus, kavines</w:t>
      </w:r>
      <w:r>
        <w:rPr>
          <w:lang w:eastAsia="lt-LT"/>
        </w:rPr>
        <w:t xml:space="preserve"> </w:t>
      </w:r>
      <w:r w:rsidRPr="00753540">
        <w:rPr>
          <w:lang w:eastAsia="lt-LT"/>
        </w:rPr>
        <w:t>ir kitas viešojo maitinimo įmones</w:t>
      </w:r>
      <w:r>
        <w:rPr>
          <w:lang w:eastAsia="lt-LT"/>
        </w:rPr>
        <w:t>, kuriose prekiaujama alkoholiniais gėrimais</w:t>
      </w:r>
      <w:r w:rsidRPr="00753540">
        <w:rPr>
          <w:lang w:eastAsia="lt-LT"/>
        </w:rPr>
        <w:t>.</w:t>
      </w:r>
    </w:p>
    <w:p w:rsidR="00C07927" w:rsidRPr="00753540" w:rsidRDefault="00C07927" w:rsidP="00C07927">
      <w:pPr>
        <w:spacing w:after="200" w:line="276" w:lineRule="auto"/>
        <w:ind w:left="720"/>
        <w:jc w:val="both"/>
        <w:rPr>
          <w:lang w:eastAsia="lt-LT"/>
        </w:rPr>
      </w:pPr>
      <w:r>
        <w:rPr>
          <w:lang w:eastAsia="lt-LT"/>
        </w:rPr>
        <w:t xml:space="preserve">Komisija nutarė siūlyti Lietuvos Respublikos Vyriausybei sudaryti tarpžinybinę darbo grupę, kuri koordinuotų renginio projektą „Kai mūsų širdys plaka išvien“ ir jo finansavimą, reikalingą įgyvendinimui. </w:t>
      </w:r>
    </w:p>
    <w:p w:rsidR="00C07927" w:rsidRDefault="00C07927" w:rsidP="00C07927">
      <w:pPr>
        <w:ind w:firstLine="720"/>
        <w:jc w:val="both"/>
      </w:pPr>
      <w:r w:rsidRPr="00AB591A">
        <w:t xml:space="preserve"> </w:t>
      </w:r>
      <w:r w:rsidRPr="004063F9">
        <w:rPr>
          <w:b/>
        </w:rPr>
        <w:t>2011-04-06</w:t>
      </w:r>
      <w:r>
        <w:t xml:space="preserve"> Komisijos posėdyje, svarstant klausimą „Dėl narkomanijos prevencijos ir narkotikų užkardymo romų tabore Kirtimuose, Vilniuje ( Narkomanijos ir alkoholizmo prevencijos komisijos  raštas 2009 01 16 Nr. S-2009 – 472) bendru sutarimu nutarta:</w:t>
      </w:r>
    </w:p>
    <w:p w:rsidR="00C07927" w:rsidRDefault="00C07927" w:rsidP="00C07927">
      <w:pPr>
        <w:ind w:firstLine="720"/>
        <w:jc w:val="both"/>
      </w:pPr>
      <w:r>
        <w:t>I. Atkreipti Lietuvos Respublikos Vyriausybės dėmesį į tai, kad:</w:t>
      </w:r>
    </w:p>
    <w:p w:rsidR="00C07927" w:rsidRDefault="00C07927" w:rsidP="00C07927">
      <w:pPr>
        <w:ind w:firstLine="720"/>
        <w:jc w:val="both"/>
      </w:pPr>
      <w:r>
        <w:lastRenderedPageBreak/>
        <w:t xml:space="preserve">1. Neįgyvendintos Seimo Narkomanijos prevencijos komisijos 2006 12 19 sprendimo rekomendacijos. Į pakartotiną  Seimo Narkomanijos ir alkoholizmo prevencijos komisijos 2009 01 16 raštu Nr.S-2009- 472 pateiktą  informaciją dėl  Vilniaus romų Kirtimų tabore prekybos heroinu, nenutraukta prekyba heroinu. </w:t>
      </w:r>
    </w:p>
    <w:p w:rsidR="00C07927" w:rsidRDefault="00C07927" w:rsidP="00C07927">
      <w:pPr>
        <w:ind w:firstLine="720"/>
        <w:jc w:val="both"/>
      </w:pPr>
      <w:r>
        <w:t xml:space="preserve">2. Vilniaus romų Kirtimų taboras, kuriame vyksta prekyba narkotinėmis ir psichotropinėmis medžiagomis, ir toliau yra narkomanų didelės traukos centras. </w:t>
      </w:r>
    </w:p>
    <w:p w:rsidR="00C07927" w:rsidRDefault="00C07927" w:rsidP="00C07927">
      <w:pPr>
        <w:ind w:firstLine="720"/>
        <w:jc w:val="both"/>
      </w:pPr>
      <w:r>
        <w:t xml:space="preserve"> 3. Vilniaus romų Kirtimų tabore gyvenantys romai integruojasi per lėtai,  integracija neapima visų sričių, būtina gerinti vaikų ir jaunimo socializacijos sąlygas.</w:t>
      </w:r>
    </w:p>
    <w:p w:rsidR="00C07927" w:rsidRDefault="00C07927" w:rsidP="00C07927">
      <w:pPr>
        <w:ind w:firstLine="720"/>
        <w:jc w:val="both"/>
      </w:pPr>
      <w:r>
        <w:t xml:space="preserve">II. Rekomenduoti Sveikatos apsaugos ministerijai, priklausomybės ligomis sergantiems asmenims, kurie lankosi Vilniaus romų Kirtimų tabore ir pareiškia norą gydytis, skubiai  suteikti detoksikacijos paslaugas. </w:t>
      </w:r>
    </w:p>
    <w:p w:rsidR="00C07927" w:rsidRDefault="00C07927" w:rsidP="00C07927">
      <w:pPr>
        <w:ind w:firstLine="720"/>
        <w:jc w:val="both"/>
      </w:pPr>
      <w:r>
        <w:t>III. Rekomenduoti Socialinės apsaugos ir darbo ministerijai,  priklausomybės ligomis sergančius asmenis, kurie lankosi Vilniaus romų Kirtimų tabore, gavus detoksikacijos paslaugas, tolimesniam gydymui nukreipti į reabilitacines bendruomenes.</w:t>
      </w:r>
    </w:p>
    <w:p w:rsidR="00C07927" w:rsidRDefault="00C07927" w:rsidP="00C07927">
      <w:pPr>
        <w:pStyle w:val="Pagrindiniotekstotrauka"/>
      </w:pPr>
      <w:r>
        <w:t xml:space="preserve">IV. Siūlyti Vidaus reikalų ministrui  Raimundui Palaičiui skubiai užkardyti narkotinių ir psichotropinių medžiagų patekimą į Vilniaus romų Kirtimų taborą, taikant kompleksines priemones. </w:t>
      </w:r>
    </w:p>
    <w:p w:rsidR="00C07927" w:rsidRDefault="00C07927" w:rsidP="00C07927">
      <w:pPr>
        <w:ind w:firstLine="720"/>
        <w:jc w:val="both"/>
      </w:pPr>
    </w:p>
    <w:p w:rsidR="00C07927" w:rsidRPr="008252CB" w:rsidRDefault="00C07927" w:rsidP="00C07927">
      <w:pPr>
        <w:autoSpaceDE w:val="0"/>
        <w:autoSpaceDN w:val="0"/>
        <w:adjustRightInd w:val="0"/>
        <w:ind w:firstLine="720"/>
        <w:jc w:val="both"/>
        <w:rPr>
          <w:rFonts w:eastAsia="Arial Unicode MS"/>
        </w:rPr>
      </w:pPr>
      <w:r w:rsidRPr="004063F9">
        <w:rPr>
          <w:b/>
        </w:rPr>
        <w:t>201</w:t>
      </w:r>
      <w:r>
        <w:rPr>
          <w:b/>
        </w:rPr>
        <w:t>1</w:t>
      </w:r>
      <w:r w:rsidRPr="004063F9">
        <w:rPr>
          <w:b/>
        </w:rPr>
        <w:t>-04-13</w:t>
      </w:r>
      <w:r>
        <w:t xml:space="preserve"> Komisijos posėdyje, svarstant klausimą „</w:t>
      </w:r>
      <w:r w:rsidRPr="006B3C9C">
        <w:rPr>
          <w:rFonts w:eastAsia="Arial Unicode MS"/>
        </w:rPr>
        <w:t>Dėl Lietuvos Respublikos Vaiko minimalios ir vidutinės priežiūros įstatymo nuostatų įgyvendinimo</w:t>
      </w:r>
      <w:r>
        <w:rPr>
          <w:rFonts w:eastAsia="Arial Unicode MS"/>
        </w:rPr>
        <w:t xml:space="preserve">“ gauta informacija, kad įstatymui įgyvendinti Švietimo ir mokslo ministerijai reikia parengti 4 teisės aktus. Švietimo ir mokslo ministras 2011 m. kovo 9 d. pasirašė įsakymą „Dėl Vaiko vidutinės priežiūros priemonių aprašo“ ir balandžio 11 d. įsakymą „Dėl Mokyklos Vaiko gerovės komisijos sudarymo ir jos darbo tvarkos organizavimo aprašo“. Derinamas Vaiko socializacijos centro veiklos modelio aprašo projektas  ir rengiamas Vaiko socializacijos centro pasirinkimo kriterijų projektas. Socialinės apsaugos ir darbo ministerija rengia Atviro jaunimo centro veiklos reglamentavimo dokumentus. </w:t>
      </w:r>
      <w:r w:rsidRPr="008252CB">
        <w:rPr>
          <w:rFonts w:eastAsia="Arial Unicode MS"/>
        </w:rPr>
        <w:t xml:space="preserve">Lietuvos </w:t>
      </w:r>
      <w:r>
        <w:rPr>
          <w:rFonts w:eastAsia="Arial Unicode MS"/>
        </w:rPr>
        <w:t>Savivaldybių asociacijos atstovas informavo, kad v</w:t>
      </w:r>
      <w:r w:rsidRPr="008252CB">
        <w:rPr>
          <w:rFonts w:eastAsia="Arial Unicode MS"/>
        </w:rPr>
        <w:t xml:space="preserve">isose savivaldybėse veikia Vaiko gerovės komisijos.  </w:t>
      </w:r>
    </w:p>
    <w:p w:rsidR="00C07927" w:rsidRDefault="00C07927" w:rsidP="00C07927">
      <w:pPr>
        <w:ind w:left="1080"/>
        <w:jc w:val="both"/>
      </w:pPr>
    </w:p>
    <w:p w:rsidR="00C07927" w:rsidRPr="00D457AF" w:rsidRDefault="00C07927" w:rsidP="00C07927">
      <w:pPr>
        <w:autoSpaceDE w:val="0"/>
        <w:autoSpaceDN w:val="0"/>
        <w:adjustRightInd w:val="0"/>
        <w:ind w:firstLine="720"/>
        <w:jc w:val="both"/>
        <w:rPr>
          <w:rFonts w:eastAsia="Arial Unicode MS"/>
        </w:rPr>
      </w:pPr>
      <w:r w:rsidRPr="004063F9">
        <w:rPr>
          <w:b/>
        </w:rPr>
        <w:t>201</w:t>
      </w:r>
      <w:r>
        <w:rPr>
          <w:b/>
        </w:rPr>
        <w:t>1</w:t>
      </w:r>
      <w:r w:rsidRPr="004063F9">
        <w:rPr>
          <w:b/>
        </w:rPr>
        <w:t>-04-27</w:t>
      </w:r>
      <w:r>
        <w:t xml:space="preserve"> Komisijos posėdyje, svarstant klausimą „</w:t>
      </w:r>
      <w:r w:rsidRPr="00D457AF">
        <w:rPr>
          <w:rFonts w:eastAsia="Arial Unicode MS"/>
        </w:rPr>
        <w:t>Dėl Narkotikų, tabako ir alkoholio kontrolės departamento, kitų valstybės institucijų ir įstaigų, vykdančių tabako, alkoholio bei narkotinių ir psichotropinių medžiagų ir jų pirmtakų kontrolę, veiklos kontrolės funkcijų suderinimo ir dėl teisės aktų pakeitimo ar papildymo</w:t>
      </w:r>
      <w:r>
        <w:rPr>
          <w:rFonts w:eastAsia="Arial Unicode MS"/>
        </w:rPr>
        <w:t xml:space="preserve">“ nustatyta, kad </w:t>
      </w:r>
      <w:r>
        <w:rPr>
          <w:rFonts w:eastAsia="Arial Unicode MS"/>
        </w:rPr>
        <w:tab/>
        <w:t xml:space="preserve">Narkotikų, tabako ir alkoholio kontrolės departamentas parengė siūlomus Alkoholio kontrolės įstatymo ir Tabako kontrolės įstatymo pakeitimus, patikslinant ūkio subjektų veiklos kontrolės funkcijas tarp valstybės institucijų ir  įstaigų, nurodytų Alkoholio kontrolės ir Tabako kontrolės įstatymuose. Dabartiniu metu dėl pakeitimų vyksta diskusijos dėl valstybinės tabako ir alkoholio kontrolės reglamentavimo.  </w:t>
      </w:r>
    </w:p>
    <w:p w:rsidR="00C07927" w:rsidRDefault="00C07927" w:rsidP="00C07927">
      <w:pPr>
        <w:ind w:left="1080"/>
        <w:jc w:val="both"/>
      </w:pPr>
    </w:p>
    <w:p w:rsidR="00C07927" w:rsidRDefault="00C07927" w:rsidP="00C07927">
      <w:pPr>
        <w:ind w:firstLine="426"/>
        <w:jc w:val="both"/>
        <w:rPr>
          <w:iCs/>
          <w:color w:val="000000"/>
        </w:rPr>
      </w:pPr>
      <w:r>
        <w:rPr>
          <w:b/>
        </w:rPr>
        <w:t xml:space="preserve"> </w:t>
      </w:r>
      <w:r w:rsidRPr="004063F9">
        <w:rPr>
          <w:b/>
        </w:rPr>
        <w:t>2011-06-22</w:t>
      </w:r>
      <w:r>
        <w:t xml:space="preserve"> Komisijos posėdyje, svarstant klausimą dėl nesimokančių vaikų, Narkomanijos ir alkoholizmo prevencijos komisija 2 metus tyrusi Vaiko minimalios ir vidutinės priežiūros įstatymo nuostatų įgyvendinimo klausimą ir,   kiek vaikų nesimoko </w:t>
      </w:r>
      <w:r w:rsidRPr="00413F01">
        <w:t>pagal privalomojo švietimo programas</w:t>
      </w:r>
      <w:r>
        <w:t xml:space="preserve"> ir  kiek tokių vaikų gali būti  įjunkę į narkotikus bei kitas priklausomybes, nustatė, kad  p</w:t>
      </w:r>
      <w:r w:rsidRPr="006479D9">
        <w:t>agal Lietuvos Respublikos Konstituciją mokslas Lietuvoje yra privalomas vaikams iki 16 metų</w:t>
      </w:r>
      <w:r>
        <w:t>.</w:t>
      </w:r>
      <w:r w:rsidRPr="006479D9">
        <w:t xml:space="preserve"> </w:t>
      </w:r>
      <w:r>
        <w:t xml:space="preserve"> 2010/2011 metais mokyklos nelankė dėl priklausomybių ir nusikalstamumo 4 vaikai iki 16 metų amžiaus. Tačiau, nerastų 2010/2011 mokslo  metais nesimokančių vaikų skaičius siekė  6 465 vaikų iki 16 metų, kurie nė vieno karto neperžengę mokyklos slenksčio. Nustatyta, kad 7946 vaikai iki 16 metų yra išvykę kartu su tėvais į užsienį ir nedeklaravę dabartinės gyvenamosios vietos.  Iš viso 2010/2011 mokslo metais į mokyklą nė vieno karto neatėjo 7-16 metų amžiaus 14 655 vaikai. Nustatyta, kad n</w:t>
      </w:r>
      <w:r w:rsidRPr="00413F01">
        <w:rPr>
          <w:iCs/>
          <w:color w:val="000000"/>
        </w:rPr>
        <w:t>epakankamas tarpinstitucinis bendradarbiavimas, vykdant prevencinę veiklą, skirtą mažinti mokyklos nelankančių vaikų skaičių.</w:t>
      </w:r>
      <w:r>
        <w:rPr>
          <w:iCs/>
          <w:color w:val="000000"/>
        </w:rPr>
        <w:t xml:space="preserve"> Ne visos savivaldybės veda apskaitą apie mokyklos nelankančius 17 – 18 metų vaikus. </w:t>
      </w:r>
      <w:r>
        <w:t xml:space="preserve">Komisija atkreipė Lietuvos Respublikos Vyriausybės dėmesį į tai, kad būtina užtikrinti </w:t>
      </w:r>
      <w:r w:rsidRPr="006479D9">
        <w:t>L</w:t>
      </w:r>
      <w:r>
        <w:t>ietuvos Respublikos Konstitucijos</w:t>
      </w:r>
      <w:r w:rsidRPr="006479D9">
        <w:t xml:space="preserve"> </w:t>
      </w:r>
      <w:r>
        <w:t xml:space="preserve">nuostatų dėl privalomo </w:t>
      </w:r>
      <w:r w:rsidRPr="006479D9">
        <w:t>moksl</w:t>
      </w:r>
      <w:r>
        <w:t>o</w:t>
      </w:r>
      <w:r w:rsidRPr="006479D9">
        <w:t xml:space="preserve"> vaikams iki 16 metų</w:t>
      </w:r>
      <w:r>
        <w:t xml:space="preserve"> įgyvendinimą.</w:t>
      </w:r>
      <w:r w:rsidRPr="006479D9">
        <w:t xml:space="preserve"> </w:t>
      </w:r>
      <w:r>
        <w:t>P</w:t>
      </w:r>
      <w:r>
        <w:rPr>
          <w:iCs/>
          <w:color w:val="000000"/>
        </w:rPr>
        <w:t xml:space="preserve">asiūlė </w:t>
      </w:r>
      <w:r w:rsidRPr="00DB2B0E">
        <w:rPr>
          <w:iCs/>
          <w:color w:val="000000"/>
        </w:rPr>
        <w:t>Lietuvos Respublikos Vyriausybei sudaryti tarpinstitucinę darbo grupę dė</w:t>
      </w:r>
      <w:r>
        <w:rPr>
          <w:iCs/>
          <w:color w:val="000000"/>
        </w:rPr>
        <w:t xml:space="preserve">l 6465 nerastų nesimokančių vaikų paieškos. Apie nerastus 6465 nesimokančius vaikus Komisija informavo Lietuvos Respublikos Generalinį prokurorą. </w:t>
      </w:r>
    </w:p>
    <w:p w:rsidR="00C07927" w:rsidRPr="00705DB3" w:rsidRDefault="00C07927" w:rsidP="00C07927">
      <w:pPr>
        <w:ind w:left="720"/>
        <w:jc w:val="both"/>
        <w:rPr>
          <w:iCs/>
          <w:color w:val="000000"/>
        </w:rPr>
      </w:pPr>
    </w:p>
    <w:p w:rsidR="00C07927" w:rsidRDefault="00C07927" w:rsidP="00C07927">
      <w:pPr>
        <w:ind w:firstLine="720"/>
        <w:jc w:val="both"/>
      </w:pPr>
      <w:r>
        <w:t xml:space="preserve"> </w:t>
      </w:r>
      <w:r w:rsidRPr="00F14742">
        <w:rPr>
          <w:b/>
        </w:rPr>
        <w:t>2011-06-29</w:t>
      </w:r>
      <w:r>
        <w:t xml:space="preserve"> Komisijos priimtas sprendimas. </w:t>
      </w:r>
      <w:r>
        <w:tab/>
      </w:r>
      <w:r>
        <w:tab/>
      </w:r>
    </w:p>
    <w:p w:rsidR="00C07927" w:rsidRDefault="00C07927" w:rsidP="00C07927">
      <w:pPr>
        <w:ind w:firstLine="720"/>
        <w:jc w:val="both"/>
      </w:pPr>
      <w:r>
        <w:lastRenderedPageBreak/>
        <w:t>Komisija, 2009–2011 metais atlikusi tyrimą dėl Lietuvos Respublikos vaiko minimalios ir vidutinės priežiūros įstatymo nuostatų įgyvendinimo ir nustačiusi, kad nerasti 6 465 nesimokantys iki 16 metų</w:t>
      </w:r>
      <w:r w:rsidRPr="004B0CE5">
        <w:t xml:space="preserve"> </w:t>
      </w:r>
      <w:r>
        <w:t xml:space="preserve">vaikai, nusprendė: </w:t>
      </w:r>
    </w:p>
    <w:p w:rsidR="00C07927" w:rsidRDefault="00C07927" w:rsidP="00C07927">
      <w:pPr>
        <w:ind w:left="720"/>
        <w:jc w:val="both"/>
      </w:pPr>
      <w:r>
        <w:t>1</w:t>
      </w:r>
      <w:r w:rsidRPr="00212F4E">
        <w:t>.</w:t>
      </w:r>
      <w:r>
        <w:t xml:space="preserve"> </w:t>
      </w:r>
      <w:r w:rsidRPr="00212F4E">
        <w:t>Atkreipti Lietuvos Respublikos Vyriausybės dėmesį į tai, kad</w:t>
      </w:r>
      <w:r>
        <w:t xml:space="preserve"> b</w:t>
      </w:r>
      <w:r w:rsidRPr="00212F4E">
        <w:t>ūtina užtikrinti visų vaikų</w:t>
      </w:r>
      <w:r>
        <w:t>,</w:t>
      </w:r>
      <w:r w:rsidRPr="00212F4E">
        <w:t xml:space="preserve"> gyvenančių Lietuvoje</w:t>
      </w:r>
      <w:r>
        <w:t>,</w:t>
      </w:r>
      <w:r w:rsidRPr="00212F4E">
        <w:t xml:space="preserve"> mokymąsi pagal privalomojo švietimo programas, </w:t>
      </w:r>
      <w:r>
        <w:t>kadangi</w:t>
      </w:r>
      <w:r w:rsidRPr="00212F4E">
        <w:t xml:space="preserve"> pagal Lietuvos Respublikos Konstituciją mokslas Lietuvoje yra privalomas vaikams iki 16 metų</w:t>
      </w:r>
      <w:r>
        <w:t>, todėl:</w:t>
      </w:r>
    </w:p>
    <w:p w:rsidR="00C07927" w:rsidRDefault="00C07927" w:rsidP="00C07927">
      <w:pPr>
        <w:ind w:left="720"/>
        <w:jc w:val="both"/>
        <w:rPr>
          <w:iCs/>
          <w:color w:val="000000"/>
        </w:rPr>
      </w:pPr>
      <w:r>
        <w:t xml:space="preserve">1) būtina skatinti </w:t>
      </w:r>
      <w:r>
        <w:rPr>
          <w:iCs/>
          <w:color w:val="000000"/>
        </w:rPr>
        <w:t xml:space="preserve"> tarpinstitucinį bendradarbiavimą, vykdant prevencinę veiklą, skirtą mažinti mokyklos nelankančių vaikų skaičių.  Būtinas aktyvus Vidaus reikalų ministerijos tarnybų dalyvavimas ieškant vaikų, gyvenančių savivaldybių adresu įregistruotose šeimose;  </w:t>
      </w:r>
    </w:p>
    <w:p w:rsidR="00C07927" w:rsidRPr="002C0D3B" w:rsidRDefault="00C07927" w:rsidP="00C07927">
      <w:pPr>
        <w:ind w:left="720"/>
        <w:jc w:val="both"/>
        <w:rPr>
          <w:iCs/>
          <w:color w:val="000000"/>
        </w:rPr>
      </w:pPr>
      <w:r>
        <w:rPr>
          <w:iCs/>
          <w:color w:val="000000"/>
        </w:rPr>
        <w:t xml:space="preserve">2) būtina, kad visos savivaldybės tvarkytų  apskaitą apie mokyklos nelankančius 17–18 metų amžiaus vaikus; </w:t>
      </w:r>
    </w:p>
    <w:p w:rsidR="00C07927" w:rsidRDefault="00C07927" w:rsidP="00C07927">
      <w:pPr>
        <w:ind w:left="720"/>
        <w:jc w:val="both"/>
        <w:rPr>
          <w:iCs/>
          <w:color w:val="000000"/>
        </w:rPr>
      </w:pPr>
      <w:r>
        <w:rPr>
          <w:iCs/>
          <w:color w:val="000000"/>
        </w:rPr>
        <w:t xml:space="preserve">3) būtina griežčiau taikyti </w:t>
      </w:r>
      <w:r w:rsidRPr="00705DB3">
        <w:t>Lietuvos Respublikos administracinių teisės pažeidimų kodekso 181 straipsnio nuostat</w:t>
      </w:r>
      <w:r>
        <w:t xml:space="preserve">as ir </w:t>
      </w:r>
      <w:r w:rsidRPr="00705DB3">
        <w:rPr>
          <w:iCs/>
          <w:color w:val="000000"/>
        </w:rPr>
        <w:t xml:space="preserve">civilinės </w:t>
      </w:r>
      <w:r>
        <w:rPr>
          <w:iCs/>
          <w:color w:val="000000"/>
        </w:rPr>
        <w:t xml:space="preserve">bei </w:t>
      </w:r>
      <w:r w:rsidRPr="00705DB3">
        <w:rPr>
          <w:iCs/>
          <w:color w:val="000000"/>
        </w:rPr>
        <w:t xml:space="preserve">baudžiamosios </w:t>
      </w:r>
      <w:r>
        <w:rPr>
          <w:iCs/>
          <w:color w:val="000000"/>
        </w:rPr>
        <w:t>teisės poveikio priemones u</w:t>
      </w:r>
      <w:r w:rsidRPr="00705DB3">
        <w:rPr>
          <w:iCs/>
          <w:color w:val="000000"/>
        </w:rPr>
        <w:t xml:space="preserve">ž </w:t>
      </w:r>
      <w:r w:rsidRPr="00705DB3">
        <w:rPr>
          <w:iCs/>
        </w:rPr>
        <w:t>vaiko iki 16 metų mokymosi pagal privalomojo švietimo programas</w:t>
      </w:r>
      <w:r w:rsidRPr="00705DB3">
        <w:rPr>
          <w:iCs/>
          <w:color w:val="000000"/>
        </w:rPr>
        <w:t xml:space="preserve"> neužtikrinimą</w:t>
      </w:r>
      <w:r>
        <w:rPr>
          <w:iCs/>
          <w:color w:val="000000"/>
        </w:rPr>
        <w:t xml:space="preserve"> d</w:t>
      </w:r>
      <w:r w:rsidRPr="00705DB3">
        <w:t>ėl nepakankamo tėvų valdžios panaudojimo ar panaudojimo priešingai vaiko interesams</w:t>
      </w:r>
      <w:r>
        <w:t xml:space="preserve">. </w:t>
      </w:r>
    </w:p>
    <w:p w:rsidR="00C07927" w:rsidRPr="00DB2B0E" w:rsidRDefault="00C07927" w:rsidP="00C07927">
      <w:pPr>
        <w:ind w:left="720"/>
        <w:jc w:val="both"/>
        <w:rPr>
          <w:iCs/>
          <w:color w:val="000000"/>
        </w:rPr>
      </w:pPr>
      <w:r>
        <w:rPr>
          <w:iCs/>
          <w:color w:val="000000"/>
        </w:rPr>
        <w:t>2</w:t>
      </w:r>
      <w:r w:rsidRPr="00DB2B0E">
        <w:rPr>
          <w:iCs/>
          <w:color w:val="000000"/>
        </w:rPr>
        <w:t xml:space="preserve">. Siūlyti Lietuvos Respublikos Vyriausybei </w:t>
      </w:r>
      <w:r>
        <w:rPr>
          <w:iCs/>
          <w:color w:val="000000"/>
        </w:rPr>
        <w:t xml:space="preserve">ir Lietuvos savivaldybių asociacijai </w:t>
      </w:r>
      <w:r w:rsidRPr="00DB2B0E">
        <w:rPr>
          <w:iCs/>
          <w:color w:val="000000"/>
        </w:rPr>
        <w:t xml:space="preserve">sudaryti tarpinstitucinę darbo grupę dėl </w:t>
      </w:r>
      <w:r>
        <w:rPr>
          <w:iCs/>
          <w:color w:val="000000"/>
        </w:rPr>
        <w:t xml:space="preserve">nerastų </w:t>
      </w:r>
      <w:r w:rsidRPr="00DB2B0E">
        <w:rPr>
          <w:iCs/>
          <w:color w:val="000000"/>
        </w:rPr>
        <w:t>6</w:t>
      </w:r>
      <w:r>
        <w:rPr>
          <w:iCs/>
          <w:color w:val="000000"/>
        </w:rPr>
        <w:t xml:space="preserve"> </w:t>
      </w:r>
      <w:r w:rsidRPr="00DB2B0E">
        <w:rPr>
          <w:iCs/>
          <w:color w:val="000000"/>
        </w:rPr>
        <w:t xml:space="preserve">465  </w:t>
      </w:r>
      <w:r>
        <w:rPr>
          <w:iCs/>
          <w:color w:val="000000"/>
        </w:rPr>
        <w:t xml:space="preserve">nesimokančių </w:t>
      </w:r>
      <w:r w:rsidRPr="00DB2B0E">
        <w:rPr>
          <w:iCs/>
          <w:color w:val="000000"/>
        </w:rPr>
        <w:t xml:space="preserve">vaikų </w:t>
      </w:r>
      <w:r>
        <w:rPr>
          <w:iCs/>
          <w:color w:val="000000"/>
        </w:rPr>
        <w:t xml:space="preserve">iki 16 metų </w:t>
      </w:r>
      <w:r w:rsidRPr="00DB2B0E">
        <w:rPr>
          <w:iCs/>
          <w:color w:val="000000"/>
        </w:rPr>
        <w:t xml:space="preserve">paieškos. </w:t>
      </w:r>
      <w:r>
        <w:rPr>
          <w:iCs/>
          <w:color w:val="000000"/>
        </w:rPr>
        <w:t xml:space="preserve">Iki 2011 m. rugsėjo 1 d. informuoti Narkomanijos ir alkoholizmo prevencijos komisiją apie paieškos rezultatus ir Vaiko teisių apsaugos kontrolierę. </w:t>
      </w:r>
    </w:p>
    <w:p w:rsidR="00C07927" w:rsidRPr="00705DB3" w:rsidRDefault="00C07927" w:rsidP="00C07927">
      <w:pPr>
        <w:numPr>
          <w:ilvl w:val="0"/>
          <w:numId w:val="48"/>
        </w:numPr>
        <w:spacing w:after="200" w:line="276" w:lineRule="auto"/>
        <w:jc w:val="both"/>
        <w:rPr>
          <w:iCs/>
          <w:color w:val="000000"/>
        </w:rPr>
      </w:pPr>
      <w:r>
        <w:rPr>
          <w:iCs/>
          <w:color w:val="000000"/>
        </w:rPr>
        <w:t xml:space="preserve">Apie nerastus 6 465 nesimokančius iki 16 metų vaikus informuoti Lietuvos Respublikos generalinį prokurorą. </w:t>
      </w:r>
    </w:p>
    <w:p w:rsidR="00C07927" w:rsidRDefault="00C07927" w:rsidP="00C07927">
      <w:r>
        <w:tab/>
      </w:r>
      <w:r w:rsidRPr="00705DB3">
        <w:t xml:space="preserve"> </w:t>
      </w:r>
    </w:p>
    <w:p w:rsidR="00C07927" w:rsidRPr="00F22FD3" w:rsidRDefault="00C07927" w:rsidP="00C07927">
      <w:pPr>
        <w:ind w:firstLine="720"/>
        <w:jc w:val="both"/>
        <w:rPr>
          <w:color w:val="010101"/>
        </w:rPr>
      </w:pPr>
      <w:r w:rsidRPr="00F14742">
        <w:rPr>
          <w:b/>
        </w:rPr>
        <w:t>2011-09-28</w:t>
      </w:r>
      <w:r>
        <w:t xml:space="preserve"> Komisijos posėdyje</w:t>
      </w:r>
      <w:r w:rsidRPr="00F22FD3">
        <w:rPr>
          <w:rFonts w:eastAsia="Arial Unicode MS"/>
        </w:rPr>
        <w:t xml:space="preserve"> išklausyta informacija „Dėl </w:t>
      </w:r>
      <w:r w:rsidRPr="00F22FD3">
        <w:t xml:space="preserve"> 2007–2013 m. Žmogiškųjų išteklių plėtros veiksmų programos 1 prioriteto „Kokybiškas užimtumas ir socialinė aprėptis“ VP1-1.3-SADM-02 priemonės „Socialinės rizikos ir socialinę atskirtį patiriančių asmenų integracija į darbo rinką“ projekto, kuriam </w:t>
      </w:r>
      <w:r w:rsidRPr="00F22FD3">
        <w:rPr>
          <w:rFonts w:eastAsia="Arial Unicode MS"/>
        </w:rPr>
        <w:t>2011 m. b</w:t>
      </w:r>
      <w:r w:rsidRPr="00F22FD3">
        <w:t xml:space="preserve">alandžio 26 d. buvo skelbtas paraiškų priėmimas.  </w:t>
      </w:r>
      <w:r w:rsidRPr="00F22FD3">
        <w:rPr>
          <w:rFonts w:eastAsia="Arial Unicode MS"/>
        </w:rPr>
        <w:t xml:space="preserve"> Socialinės apsaugos ir darbo ministerijos ir Europos socialinio fondo agentūros atstovai informavo komisijos narius, kad galutiniai rezultatai nepatvirtinti.  2-uoju darbotvarkės klausimu išklausyta informacija „Dėl asmenų, priklausomų nuo narkotinių, psichotropinių  ar toksinių medžiagų, psichologinės ir socialinės reabilitacijos finansavimo Europos Sąjungos struktūrinių fondų  lėšomis, vykdant  2007 –2013 m. Žmogiškųjų išteklių plėtros veiksmų programos VP1 – 1.3- SADM –02-K priemonę “Socialinės rizikos ir socialinę atskirtį patiriančių asmenų integracija į darbo rinką ”ir </w:t>
      </w:r>
      <w:r w:rsidRPr="00F22FD3">
        <w:rPr>
          <w:color w:val="010101"/>
        </w:rPr>
        <w:t xml:space="preserve">veiklos tęstinumo.  Projektų vykdytojai  </w:t>
      </w:r>
      <w:r w:rsidRPr="00F22FD3">
        <w:rPr>
          <w:rFonts w:eastAsia="Arial Unicode MS"/>
        </w:rPr>
        <w:t xml:space="preserve"> Kauno teritorinė darbo birža ir  v</w:t>
      </w:r>
      <w:r w:rsidRPr="00F22FD3">
        <w:rPr>
          <w:color w:val="010101"/>
        </w:rPr>
        <w:t xml:space="preserve">iešoji įstaiga  “Socialiniai paramos projektai”. </w:t>
      </w:r>
    </w:p>
    <w:p w:rsidR="00C07927" w:rsidRDefault="00C07927" w:rsidP="00C07927">
      <w:pPr>
        <w:ind w:firstLine="720"/>
      </w:pPr>
    </w:p>
    <w:p w:rsidR="00C07927" w:rsidRPr="00C25960" w:rsidRDefault="00C07927" w:rsidP="00C07927">
      <w:pPr>
        <w:ind w:firstLine="720"/>
        <w:jc w:val="both"/>
        <w:rPr>
          <w:rFonts w:eastAsia="Arial Unicode MS"/>
        </w:rPr>
      </w:pPr>
      <w:r w:rsidRPr="00E13589">
        <w:rPr>
          <w:b/>
        </w:rPr>
        <w:t xml:space="preserve"> 2011-11-09</w:t>
      </w:r>
      <w:r>
        <w:t xml:space="preserve"> Komisija posėdyje, svarstant klausimą </w:t>
      </w:r>
      <w:r w:rsidRPr="00C25960">
        <w:rPr>
          <w:rFonts w:eastAsia="Arial Unicode MS"/>
        </w:rPr>
        <w:t xml:space="preserve">„Dėl nesimokančių vaikų“ </w:t>
      </w:r>
      <w:r>
        <w:rPr>
          <w:rFonts w:eastAsia="Arial Unicode MS"/>
        </w:rPr>
        <w:t xml:space="preserve">priimto sprendimo </w:t>
      </w:r>
      <w:r w:rsidRPr="00C25960">
        <w:rPr>
          <w:rFonts w:eastAsia="Arial Unicode MS"/>
        </w:rPr>
        <w:t>įgyvendinimo</w:t>
      </w:r>
      <w:r>
        <w:rPr>
          <w:rFonts w:eastAsia="Arial Unicode MS"/>
        </w:rPr>
        <w:t>, bendru sutarimu nutarta:</w:t>
      </w:r>
    </w:p>
    <w:p w:rsidR="00C07927" w:rsidRDefault="00C07927" w:rsidP="00C07927">
      <w:pPr>
        <w:jc w:val="both"/>
      </w:pPr>
      <w:r>
        <w:tab/>
      </w:r>
      <w:r w:rsidRPr="00237232">
        <w:t xml:space="preserve">Atsižvelgiant į tai, kad </w:t>
      </w:r>
      <w:r>
        <w:t>Seimo Narkomanijos ir alkoholizmo prevencijos komisija 2011-06-29 sprendimu atkreipė Lietuvos Respublikos Vyriausybės dėmesį į  nerastų 6465 ir nesimokančių iki 16 metų vaikų problemą ir pasiūlė šiais  klausimais sudaryti tarpinstitucinę darbo grupę bei į tai, kad Ministro Pirmininko kancleris Deividas Matulionis 2011-07-11  Komisijos siūlymus  ir sprendimą nukreipė  Švietimo ir mokslo, Socialinės apsaugos ir darbo, Vidaus reikalų ir Teisingumo ministerijoms, tačiau vaikų paieška iki šiol nevyksta:</w:t>
      </w:r>
    </w:p>
    <w:p w:rsidR="00C07927" w:rsidRDefault="00C07927" w:rsidP="00C07927">
      <w:pPr>
        <w:jc w:val="both"/>
      </w:pPr>
      <w:r>
        <w:tab/>
        <w:t>NUTARTA:</w:t>
      </w:r>
    </w:p>
    <w:p w:rsidR="00C07927" w:rsidRDefault="00C07927" w:rsidP="00C07927">
      <w:pPr>
        <w:spacing w:after="200" w:line="276" w:lineRule="auto"/>
        <w:ind w:left="360"/>
        <w:jc w:val="both"/>
      </w:pPr>
      <w:r>
        <w:t>1.Siūlyti Lietuvos Respublikos Vyriausybei sudaryti tarpžinybinę darbo grupę teisės aktams dėl savivaldybės teritorijoje gyvenančių vaikų apskaitos organizavimo parengti.</w:t>
      </w:r>
    </w:p>
    <w:p w:rsidR="00C07927" w:rsidRDefault="00C07927" w:rsidP="00C07927">
      <w:pPr>
        <w:spacing w:after="200" w:line="276" w:lineRule="auto"/>
        <w:ind w:left="360"/>
        <w:jc w:val="both"/>
      </w:pPr>
      <w:r>
        <w:t xml:space="preserve">2. Pakartotinai siūlyti Lietuvos Respublikos Vyriausybei  skubiai spręsti  6 465 vaikų, iki 16 metų nesimokančių ir nerastų, ir  jų tėvų atsakomybės klausimą. </w:t>
      </w:r>
    </w:p>
    <w:p w:rsidR="00C07927" w:rsidRDefault="00C07927" w:rsidP="00C07927">
      <w:pPr>
        <w:spacing w:after="200" w:line="276" w:lineRule="auto"/>
        <w:ind w:left="360"/>
        <w:jc w:val="both"/>
      </w:pPr>
      <w:r>
        <w:t>3. Prašyti Lietuvos Respublikos Vyriausybę skubiai pateikti Lietuvos Respublikos Seimui Lietuvos Respublikos gyvenamosios vietos deklaravimo įstatymo pataisas.</w:t>
      </w:r>
    </w:p>
    <w:p w:rsidR="00C07927" w:rsidRDefault="00C07927" w:rsidP="00C07927">
      <w:pPr>
        <w:spacing w:after="200" w:line="276" w:lineRule="auto"/>
        <w:ind w:left="720"/>
        <w:jc w:val="both"/>
      </w:pPr>
      <w:r>
        <w:lastRenderedPageBreak/>
        <w:t xml:space="preserve">4. </w:t>
      </w:r>
      <w:r w:rsidRPr="00C11397">
        <w:t>Siūlyti Lietuvos Respublikos Vyriausybei parengti teisės aktus dėl bendros informacinės sistemos sukūrimo, su</w:t>
      </w:r>
      <w:r>
        <w:t xml:space="preserve">jungiant </w:t>
      </w:r>
      <w:r w:rsidRPr="00C11397">
        <w:t>so</w:t>
      </w:r>
      <w:r>
        <w:t>cialinių  išmokų vaikams skyrimą</w:t>
      </w:r>
      <w:r w:rsidRPr="00C11397">
        <w:t xml:space="preserve"> ir </w:t>
      </w:r>
      <w:r>
        <w:t xml:space="preserve"> mokėjimą tėvams </w:t>
      </w:r>
      <w:r w:rsidRPr="00C11397">
        <w:t xml:space="preserve"> su tėvų pareiga užtikrinti vaiko teisę į mokslą</w:t>
      </w:r>
      <w:r>
        <w:t xml:space="preserve"> ir su nesimokančių vaikų ir mokyklos nelankančių mokinių informacine sistema. </w:t>
      </w:r>
      <w:r w:rsidRPr="00C11397">
        <w:t xml:space="preserve"> </w:t>
      </w:r>
    </w:p>
    <w:p w:rsidR="00C07927" w:rsidRPr="00C11397" w:rsidRDefault="00C07927" w:rsidP="00C07927">
      <w:pPr>
        <w:spacing w:after="200" w:line="276" w:lineRule="auto"/>
        <w:ind w:left="720"/>
        <w:jc w:val="both"/>
      </w:pPr>
      <w:r w:rsidRPr="00C11397">
        <w:t>Siūlyti Lietuvos Respublikos Vyriausybei įvertinti savivaldybių  Vaiko teisių apsaugos tarnybų</w:t>
      </w:r>
      <w:r w:rsidRPr="00431689">
        <w:t xml:space="preserve"> </w:t>
      </w:r>
      <w:r w:rsidRPr="00C11397">
        <w:t>darbo efektyvumą, kurios</w:t>
      </w:r>
      <w:r>
        <w:t>,</w:t>
      </w:r>
      <w:r w:rsidRPr="00C11397">
        <w:t xml:space="preserve"> tur</w:t>
      </w:r>
      <w:r>
        <w:t xml:space="preserve">ėdamos </w:t>
      </w:r>
      <w:r w:rsidRPr="00C11397">
        <w:t xml:space="preserve">pakankamai įgaliojimų, kad </w:t>
      </w:r>
      <w:r>
        <w:t xml:space="preserve">patikrintų informaciją </w:t>
      </w:r>
      <w:r w:rsidRPr="00C11397">
        <w:t>pagal nerastų vaikų tėvų ar globėjų duomenis dėl vaiko mokymo</w:t>
      </w:r>
      <w:r>
        <w:t>si i</w:t>
      </w:r>
      <w:r w:rsidRPr="00C11397">
        <w:t>r buvimo vietos,</w:t>
      </w:r>
      <w:r w:rsidRPr="00431689">
        <w:t xml:space="preserve"> </w:t>
      </w:r>
      <w:r w:rsidRPr="00C11397">
        <w:t xml:space="preserve"> </w:t>
      </w:r>
      <w:r>
        <w:t>tų įgaliojimų</w:t>
      </w:r>
      <w:r w:rsidRPr="00C11397">
        <w:t xml:space="preserve"> netaiko, </w:t>
      </w:r>
      <w:r>
        <w:t xml:space="preserve">ir </w:t>
      </w:r>
      <w:r w:rsidRPr="00C11397">
        <w:t xml:space="preserve">teikti siūlymus Saulėlydžio komisijai paspartinti reformą. </w:t>
      </w:r>
    </w:p>
    <w:p w:rsidR="00C07927" w:rsidRDefault="00C07927" w:rsidP="00C07927">
      <w:pPr>
        <w:jc w:val="both"/>
      </w:pPr>
    </w:p>
    <w:p w:rsidR="00C07927" w:rsidRPr="008F5261" w:rsidRDefault="00C07927" w:rsidP="00C07927">
      <w:pPr>
        <w:jc w:val="both"/>
        <w:rPr>
          <w:b/>
        </w:rPr>
      </w:pPr>
      <w:r>
        <w:tab/>
      </w:r>
      <w:r w:rsidRPr="00F3247D">
        <w:rPr>
          <w:b/>
        </w:rPr>
        <w:t>Narkomanijos ir alkoholizmo prevencijos k</w:t>
      </w:r>
      <w:r>
        <w:rPr>
          <w:b/>
        </w:rPr>
        <w:t>omisijos parlamentinė kontrolė:</w:t>
      </w:r>
      <w:r>
        <w:t xml:space="preserve"> </w:t>
      </w:r>
    </w:p>
    <w:p w:rsidR="00C07927" w:rsidRDefault="00C07927" w:rsidP="00C07927">
      <w:pPr>
        <w:ind w:firstLine="720"/>
        <w:jc w:val="both"/>
      </w:pPr>
    </w:p>
    <w:p w:rsidR="00C07927" w:rsidRPr="00BB5A71" w:rsidRDefault="00C07927" w:rsidP="00C07927">
      <w:pPr>
        <w:ind w:firstLine="720"/>
        <w:jc w:val="both"/>
        <w:rPr>
          <w:b/>
        </w:rPr>
      </w:pPr>
      <w:r>
        <w:tab/>
      </w:r>
      <w:r>
        <w:tab/>
      </w:r>
      <w:r w:rsidRPr="00BB5A71">
        <w:rPr>
          <w:b/>
        </w:rPr>
        <w:t xml:space="preserve">Dėl nesimokančių vaikų </w:t>
      </w:r>
    </w:p>
    <w:p w:rsidR="00C07927" w:rsidRPr="008F5261" w:rsidRDefault="00C07927" w:rsidP="00C07927">
      <w:pPr>
        <w:ind w:firstLine="720"/>
        <w:jc w:val="both"/>
        <w:rPr>
          <w:sz w:val="28"/>
        </w:rPr>
      </w:pPr>
    </w:p>
    <w:p w:rsidR="00C07927" w:rsidRDefault="00C07927" w:rsidP="00C07927">
      <w:pPr>
        <w:ind w:firstLine="720"/>
        <w:jc w:val="both"/>
      </w:pPr>
      <w:r>
        <w:t xml:space="preserve">Narkomanijos ir alkoholizmo prevencijos komisija (toliau – Komisija), nagrinėdama  Lietuvos Respublikos Vaiko minimalios ir vidutinės priežiūros įstatymo nuostatų įgyvendinimo klausimą, kuris numato taikyti vaikui  minimalios priežiūros priemone, t.y. įpareigojimą iki 16 metų mokytis pagal pradinio ir pagrindinio ugdymo programas ir nustatė, kad dalis vaikų dėl neaiškių priežasčių nesimoko. </w:t>
      </w:r>
    </w:p>
    <w:p w:rsidR="00C07927" w:rsidRDefault="00C07927" w:rsidP="00C07927">
      <w:pPr>
        <w:ind w:firstLine="720"/>
        <w:jc w:val="both"/>
      </w:pPr>
      <w:r>
        <w:t xml:space="preserve">2009 metais vykdydama parlamentinę kontrolę dėl narkotikų, alkoholio ir tabako kontrolės sustiprinimo Komisija gavo informacijos, kad yra  vaikų, esančių policijos profilaktinėje įskaitoje. </w:t>
      </w:r>
    </w:p>
    <w:p w:rsidR="00C07927" w:rsidRDefault="00C07927" w:rsidP="00C07927">
      <w:pPr>
        <w:ind w:firstLine="720"/>
        <w:jc w:val="both"/>
        <w:rPr>
          <w:b/>
          <w:bCs/>
        </w:rPr>
      </w:pPr>
      <w:r>
        <w:t xml:space="preserve">Reaguodama, Komisija  (2009 02 11 raštu Nr. S-2009 - 1571 “Dėl vaiko gerovės politikos įgyvendinimo” ir 2009 06 18 raštu Nr. S-2009 – 6786 “Dėl narkotikų, alkoholio ir tabako kontrolės sustiprinimo”) informavo Ministrą Pirmininką Andrių Kubilių apie vaikus, esančius policijos profilaktinėje įskaitoje. Tokių vaikų buvo 167 </w:t>
      </w:r>
      <w:r w:rsidRPr="00F06ACD">
        <w:t>(</w:t>
      </w:r>
      <w:r w:rsidRPr="00F06ACD">
        <w:rPr>
          <w:bCs/>
        </w:rPr>
        <w:t>iš jų nedirbo ir nesimokė 37</w:t>
      </w:r>
      <w:r w:rsidRPr="00F06ACD">
        <w:t>)</w:t>
      </w:r>
      <w:r>
        <w:t xml:space="preserve">  ir pristatytų į policijos įstaigas, kurių buvo  </w:t>
      </w:r>
      <w:r w:rsidRPr="008F5261">
        <w:t xml:space="preserve">12420 </w:t>
      </w:r>
      <w:r>
        <w:t xml:space="preserve"> </w:t>
      </w:r>
      <w:r w:rsidRPr="00F06ACD">
        <w:rPr>
          <w:bCs/>
        </w:rPr>
        <w:t>(iš jų  nedirbo ir nesimokė 1727</w:t>
      </w:r>
      <w:r w:rsidRPr="00F06ACD">
        <w:t xml:space="preserve">).  </w:t>
      </w:r>
      <w:r w:rsidRPr="00F06ACD">
        <w:rPr>
          <w:bCs/>
        </w:rPr>
        <w:t xml:space="preserve">Vaikų iki 16 metų amžiaus, padariusių  nusikalstamas veikas buvo 851 </w:t>
      </w:r>
      <w:r>
        <w:rPr>
          <w:bCs/>
        </w:rPr>
        <w:t xml:space="preserve">vaikas </w:t>
      </w:r>
      <w:r w:rsidRPr="00F06ACD">
        <w:rPr>
          <w:bCs/>
        </w:rPr>
        <w:t>( iki 13 metų – 530 vaikų, 14-15 metų amžiaus – 321, gyvenantys asocialiose šeimose –154 vaikas).</w:t>
      </w:r>
      <w:r>
        <w:rPr>
          <w:b/>
          <w:bCs/>
        </w:rPr>
        <w:t xml:space="preserve"> </w:t>
      </w:r>
    </w:p>
    <w:p w:rsidR="00C07927" w:rsidRDefault="00C07927" w:rsidP="00C07927">
      <w:pPr>
        <w:ind w:firstLine="720"/>
        <w:jc w:val="both"/>
      </w:pPr>
      <w:r>
        <w:t>Komisija atkreipė Vyriausybės dėmesį</w:t>
      </w:r>
      <w:r w:rsidRPr="009E66A6">
        <w:t xml:space="preserve"> dėl paauglių  svaiginimosi vaistais, alkoholiu, narkotinėmis </w:t>
      </w:r>
      <w:r>
        <w:t xml:space="preserve">ir psichotropinėmis medžiagomis bei </w:t>
      </w:r>
      <w:r w:rsidRPr="009E66A6">
        <w:t>kitomis me</w:t>
      </w:r>
      <w:r>
        <w:t>džiagomis ir apsinuodijimų jais ir į tai, kad</w:t>
      </w:r>
      <w:r>
        <w:rPr>
          <w:b/>
          <w:bCs/>
        </w:rPr>
        <w:t xml:space="preserve"> </w:t>
      </w:r>
      <w:r w:rsidRPr="00682102">
        <w:rPr>
          <w:bCs/>
        </w:rPr>
        <w:t>mokyklos vadovai</w:t>
      </w:r>
      <w:r>
        <w:rPr>
          <w:b/>
          <w:bCs/>
        </w:rPr>
        <w:t xml:space="preserve"> </w:t>
      </w:r>
      <w:r>
        <w:t xml:space="preserve">įpareigoti Lietuvos Respublikos Švietimo ir mokslo ministras 2004 m. rugsėjo 17 d. įsakymu Nr. ISAK- 1462 “Dėl teisės pažeidimų, mokyklos nelankymo, narkotinių ir psichotropinių medžiagų vartojimo, ŽIV/AIDS, smurto ir nusikalstamumo prevencijos “ teikti mokyklos steigėjui ataskaitą ir siūlymus dėl mokyklos nelankymo,  narkotinių ir psichotropinių medžiagų vartojimo,  ŽIV/AIDS, smurto, teisės aktų pažeidimų prevencijos, mokinių užimtumo gerinimo ir kitais klausimais, todėl  būtina reaguoti į pateikiamas ataskaitas ir  į  situaciją šalyje. </w:t>
      </w:r>
    </w:p>
    <w:p w:rsidR="00C07927" w:rsidRPr="000843E1" w:rsidRDefault="00C07927" w:rsidP="00C07927">
      <w:pPr>
        <w:pStyle w:val="Pagrindiniotekstotrauka3"/>
        <w:rPr>
          <w:b/>
        </w:rPr>
      </w:pPr>
      <w:r w:rsidRPr="000843E1">
        <w:rPr>
          <w:b/>
          <w:bCs/>
        </w:rPr>
        <w:t>2009 02 18</w:t>
      </w:r>
      <w:r w:rsidRPr="000843E1">
        <w:rPr>
          <w:b/>
        </w:rPr>
        <w:t xml:space="preserve"> Komisija nagrinėdama “Dėl paauglių  svaiginimosi vaistais, alkoholiu, narkotinėmis ir psichotropinėmis medžiagomis, kitomis medžiagomis ir apsinuodijimų jais” klausiamą  ir  2009 09 16  klausimą “Dėl efektyvios kompleksinės pagalbos vaikams, sergantiems priklausomybės ligomis, sistemos sukūrimo” nustatė paslaugų vaikams trūkumus, kuriuos konstatavo Valstybinio psichikos sveikatos centro užsakymu 2007 m. spalio-gruodžio mėn. atliktas Lietuvos sveikatos priežiūros įstaigose teikiamų paslaugų vaikams, vartojantiems psichoaktyvias medžiagas (toliau – PAM), kokybinis tyrimas. </w:t>
      </w:r>
    </w:p>
    <w:p w:rsidR="00C07927" w:rsidRPr="000843E1" w:rsidRDefault="00C07927" w:rsidP="00C07927">
      <w:pPr>
        <w:pStyle w:val="Pagrindiniotekstotrauka3"/>
        <w:rPr>
          <w:b/>
        </w:rPr>
      </w:pPr>
      <w:r w:rsidRPr="000843E1">
        <w:rPr>
          <w:b/>
        </w:rPr>
        <w:t>Šis tyrimas  parodė, kad:</w:t>
      </w:r>
    </w:p>
    <w:p w:rsidR="00C07927" w:rsidRDefault="00C07927" w:rsidP="00C07927">
      <w:pPr>
        <w:ind w:firstLine="675"/>
        <w:jc w:val="both"/>
      </w:pPr>
      <w:r>
        <w:t xml:space="preserve"> - teikiant vaikams paslaugas trūksta sistematiškumo ir aktyvumo, o gydymo prieinamumas labiausiai priklauso nuo atskirų įstaigų ar specialistų iniciatyvos bei požiūrio; </w:t>
      </w:r>
    </w:p>
    <w:p w:rsidR="00C07927" w:rsidRDefault="00C07927" w:rsidP="00C07927">
      <w:pPr>
        <w:ind w:firstLine="675"/>
        <w:jc w:val="both"/>
      </w:pPr>
      <w:r>
        <w:t xml:space="preserve">- reikia nuoseklesnio ir aktyvesnio paslaugų organizavimo modelio, adaptuojant moksliniais įrodymais pagrįstas priemones bei praktikas; </w:t>
      </w:r>
    </w:p>
    <w:p w:rsidR="00C07927" w:rsidRPr="000843E1" w:rsidRDefault="00C07927" w:rsidP="00C07927">
      <w:pPr>
        <w:pStyle w:val="Pagrindiniotekstotrauka3"/>
        <w:rPr>
          <w:b/>
        </w:rPr>
      </w:pPr>
      <w:r w:rsidRPr="000843E1">
        <w:rPr>
          <w:b/>
        </w:rPr>
        <w:t xml:space="preserve">- profesionalaus bendravimo ir aprūpinimo metodinėmis priemonėmis stoka, siūloma skatinti bendradarbiavimą ir netgi kurti specialistų konsultavimo sistemą;   </w:t>
      </w:r>
    </w:p>
    <w:p w:rsidR="00C07927" w:rsidRDefault="00C07927" w:rsidP="00C07927">
      <w:pPr>
        <w:ind w:firstLine="675"/>
        <w:rPr>
          <w:b/>
          <w:bCs/>
        </w:rPr>
      </w:pPr>
      <w:r>
        <w:t>- trūksta paslaugos – pagalbos  klientui ir/arba jo artimiesiems pastebėti problemą ir sužinoti apie galimybes gauti reikiamą pagalbą;</w:t>
      </w:r>
    </w:p>
    <w:p w:rsidR="00C07927" w:rsidRDefault="00C07927" w:rsidP="00C07927">
      <w:pPr>
        <w:ind w:firstLine="720"/>
        <w:jc w:val="both"/>
      </w:pPr>
      <w:r>
        <w:t>- sveikatos priežiūros įstaigose turi būti vykdomos narkologinių susirgimų prevencijos priemonės;</w:t>
      </w:r>
    </w:p>
    <w:p w:rsidR="00C07927" w:rsidRDefault="00C07927" w:rsidP="00C07927">
      <w:pPr>
        <w:ind w:firstLine="720"/>
        <w:jc w:val="both"/>
      </w:pPr>
      <w:r>
        <w:t xml:space="preserve">- Lietuvoje padidintos socialinės rizikos grupei priklausantys vaikai neturi juridinio pagrindo gauti standartizuotas psichikos sveikatos priežiūros paslaugas sveikatos priežiūros įstaigose (todėl, kad asmens sveikatos priežiūros įstaigų, t.y. ASPĮ klientai - jau patvirtintą priklausomybės ligos diagnozę </w:t>
      </w:r>
      <w:r>
        <w:lastRenderedPageBreak/>
        <w:t xml:space="preserve">turintys asmenys. Ši vaikų grupė Lietuvoje daugiausiai patenka į švietimo, socialinės apsaugos, teisėsaugos įstaigų akiratį); </w:t>
      </w:r>
    </w:p>
    <w:p w:rsidR="00C07927" w:rsidRDefault="00C07927" w:rsidP="00C07927">
      <w:pPr>
        <w:ind w:firstLine="720"/>
        <w:jc w:val="both"/>
      </w:pPr>
      <w:r>
        <w:t xml:space="preserve">-  Lietuvoje ASPĮ paslaugos nustatomos ir teikiamos pagal teisinį „vaiko“ statusą iki 18 metų amžiaus (vakarų šalyse paslaugos organizuojamos pagal skirtingus modelius, tačiau aiškiai įvardinamos vaikų, paauglių ir jaunimo socialinės grupės kaip tikslinės sveikatos paslaugų gavėjų kohortos ir amžiaus ribos dažniausiai siekia 25 metus, o paslaugų pobūdis ir turinys skiriasi pagal įvairias vaikų ir jaunuolių amžiaus grupes 10-12 metų, 11-16 metų amžiaus grupės ir pan.);  </w:t>
      </w:r>
    </w:p>
    <w:p w:rsidR="00C07927" w:rsidRDefault="00C07927" w:rsidP="00C07927">
      <w:pPr>
        <w:ind w:firstLine="720"/>
        <w:jc w:val="both"/>
      </w:pPr>
      <w:r>
        <w:t xml:space="preserve">- siūloma nustatyti, kokios paslaugos turi būti teikiamos ASPĮ vaikams iš padidintos PAM vartojimo rizikos grupės, paslaugos vaikams, vartojantiems psichoaktyvias medžiagas, dažniausiai teikiamos specializuotuose priklausomybės ligų gydymo centruose, kitų ASPĮ (įskaitant  šeimos gydytojus) ir (ypač veikiančių bendruomenėje, lengviausiai prieinamų vaikams ir jų artimiesiems ASPĮ) vaidmens, nukreipiant turimus pacientus, padidėjimas sąlygotų prevencijos ir gydymo veiksmingumo pažangą. (Vakarų šalyse moksliniais tyrimais įrodytas tam tikrų intervencijų veiksmingumas (įskaitant grupinę elgesio terapiją) gali būti pagrindas siekti, kad tokias intervencijas vykdytų kuo daugiau ASPĮ (įskaitant psichikos sveikatos centrus ir vaikų raidos tarnybas); </w:t>
      </w:r>
    </w:p>
    <w:p w:rsidR="00C07927" w:rsidRDefault="00C07927" w:rsidP="00C07927">
      <w:pPr>
        <w:ind w:firstLine="720"/>
        <w:jc w:val="both"/>
      </w:pPr>
      <w:r>
        <w:t>- tiksliai apibrėžti medicininės ar socialinės reabilitacijos  paslaugų turinius ir reikalavimus;</w:t>
      </w:r>
    </w:p>
    <w:p w:rsidR="00C07927" w:rsidRDefault="00C07927" w:rsidP="00C07927">
      <w:pPr>
        <w:ind w:firstLine="720"/>
        <w:jc w:val="both"/>
      </w:pPr>
      <w:r>
        <w:t>- kurti ir (arba)  pritaikyti paslaugų teikimo organizavimo moksliškai įrodytus standartus;</w:t>
      </w:r>
    </w:p>
    <w:p w:rsidR="00C07927" w:rsidRDefault="00C07927" w:rsidP="00C07927">
      <w:pPr>
        <w:ind w:firstLine="720"/>
        <w:jc w:val="both"/>
      </w:pPr>
      <w:r>
        <w:t>- palaipsniui papildyti periodinės informacijos rinkimo ir rodiklių stebėjimo sistemą, siekiant  įvertinti, kaip įgyvendinami standartai.</w:t>
      </w:r>
    </w:p>
    <w:p w:rsidR="00C07927" w:rsidRDefault="00C07927" w:rsidP="00C07927">
      <w:pPr>
        <w:ind w:firstLine="720"/>
        <w:jc w:val="both"/>
      </w:pPr>
      <w:r>
        <w:t xml:space="preserve"> </w:t>
      </w:r>
      <w:r w:rsidRPr="00A56CE2">
        <w:t xml:space="preserve">Komisija </w:t>
      </w:r>
      <w:r>
        <w:t xml:space="preserve">siekia, kad </w:t>
      </w:r>
      <w:r w:rsidRPr="000142C1">
        <w:t>Kauno apskrities priklausomybės  ligų centre veikia</w:t>
      </w:r>
      <w:r>
        <w:t>ntis V</w:t>
      </w:r>
      <w:r w:rsidRPr="000142C1">
        <w:t>aikų poskyris, kuriame teikiama trumpalaikė reabilitacija</w:t>
      </w:r>
      <w:r>
        <w:t xml:space="preserve"> vaikams bei V</w:t>
      </w:r>
      <w:r w:rsidRPr="000142C1">
        <w:t xml:space="preserve">aikų ir jaunimo ilgalaikės reabilitacijos skyrius, kuriame teikiama </w:t>
      </w:r>
      <w:r>
        <w:t xml:space="preserve">reabilitacija iki vienerių metų, taptų </w:t>
      </w:r>
      <w:r w:rsidRPr="000142C1">
        <w:t xml:space="preserve">praktikos bazė Vytauto Didžiojo universiteto studentams, socialiniams darbuotojams bei psichologams. </w:t>
      </w:r>
    </w:p>
    <w:p w:rsidR="00C07927" w:rsidRPr="000142C1" w:rsidRDefault="00C07927" w:rsidP="00C07927">
      <w:pPr>
        <w:ind w:firstLine="720"/>
        <w:jc w:val="both"/>
      </w:pPr>
      <w:r>
        <w:t xml:space="preserve">Komisija 2010 09 20 rašte Nr. S-2010- 8653 Lietuvos Respublikos Ministrui Pirmininkui Andriui Kubiliui  nurodė, kad </w:t>
      </w:r>
      <w:r w:rsidRPr="000142C1">
        <w:t xml:space="preserve">Vytauto Didžiojo universiteto rektorato 2009-12-23 posėdyje pritarta ir toliau bendradarbiauti su Kauno apskrities priklausomybės ligų centru, integruojant universiteto Socialinių mokslų fakulteto, Socialinės gerovės fakulteto, Katalikų teologijos fakulteto (sielovados) ekspertinę patirtį. Minėta institucija po reformos galėtų tapti metodiniu specialistų rengimo centru. Dabartiniu metu Kauno apskrities priklausomybės  ligų centre buvo gydomi vaikai iš  visos Lietuvos, todėl Kauno savivaldybei tapus centro steigėja, tokios galimybės gali nelikti, nes savivaldybė tvirtindama savo biudžetą, vėliau finansuoja tik savo teritorijos gyventojų gydymą ir tai atitiktų  Lietuvos Respublikos Sveikatos sistemos įstatymo  12 </w:t>
      </w:r>
      <w:r w:rsidRPr="000142C1">
        <w:rPr>
          <w:color w:val="000000"/>
        </w:rPr>
        <w:t>st</w:t>
      </w:r>
      <w:r w:rsidRPr="000142C1">
        <w:t xml:space="preserve">raipsnyje nustatytą  LNSS priklausančių stacionarinių asmens sveikatos priežiūros įstaigų, teikiančių sveikatos priežiūros paslaugas, finansavimo iš Privalomojo sveikatos draudimo fondo biudžeto lėšų, rajono lygmenį, bet ne visos Lietuvos poreikį, todėl būtina išplėsti lygmenį iki respublikinio. </w:t>
      </w:r>
      <w:r>
        <w:t xml:space="preserve">Komisija </w:t>
      </w:r>
      <w:r w:rsidRPr="000142C1">
        <w:t>praš</w:t>
      </w:r>
      <w:r>
        <w:t>ė</w:t>
      </w:r>
      <w:r w:rsidRPr="000142C1">
        <w:t xml:space="preserve"> sudaryti galimybę Kauno apskrities priklausomybės ligų centrui ir toliau teikti trumpalaikę ir ilgalaikę reabilitaciją visos Lietuvos vaikams ir jaunimui, ir bendradarbiaujant su Vytauto Didžiojo universitetu išlaikyti centre praktikos bazę Vytauto Didžiojo universiteto studentams, socialiniams darbuotojams bei psichologams.</w:t>
      </w:r>
    </w:p>
    <w:p w:rsidR="00C07927" w:rsidRDefault="00C07927" w:rsidP="00C07927">
      <w:pPr>
        <w:jc w:val="both"/>
      </w:pPr>
      <w:r w:rsidRPr="00A54C76">
        <w:tab/>
        <w:t>Dėl visų aukščiau išvardintų priežasčių</w:t>
      </w:r>
      <w:r>
        <w:t xml:space="preserve">, Komisija 2009 metais  pradėjo tyrimą dėl nesimokančių vaikų, norėdama išsiaiškinti tikslų nesimokančių vaikų skaičių ir nustatyti priežastis dėl kurių vaikai nelanko mokyklos. </w:t>
      </w:r>
    </w:p>
    <w:p w:rsidR="00C07927" w:rsidRDefault="00C07927" w:rsidP="00C07927">
      <w:pPr>
        <w:jc w:val="both"/>
      </w:pPr>
      <w:r w:rsidRPr="00A54C76">
        <w:t xml:space="preserve"> </w:t>
      </w:r>
      <w:r>
        <w:t xml:space="preserve">Komisija kreipėsi į Švietimo ir mokslo ministrą Gintarą Steponavičių 2009 01 20 raštu Nr. S-2009 – 580 “Dėl informacijos pateikimo” prašydama pateikti </w:t>
      </w:r>
      <w:r>
        <w:rPr>
          <w:szCs w:val="18"/>
        </w:rPr>
        <w:t xml:space="preserve"> informaciją, </w:t>
      </w:r>
      <w:r>
        <w:t xml:space="preserve">kiek vaikų iki 16 metų nelanko 2008/2009 mokslo metais pradinio ir pagrindinio ugdymo programos ir, kiek </w:t>
      </w:r>
      <w:r>
        <w:rPr>
          <w:szCs w:val="18"/>
        </w:rPr>
        <w:t xml:space="preserve">iki 16 metų </w:t>
      </w:r>
      <w:r>
        <w:t xml:space="preserve">vaikų 2008 /2009 metais gauna vieną arba kelias tarpusavyje suderintas minimalios priežiūros priemones bei kiek </w:t>
      </w:r>
      <w:r>
        <w:rPr>
          <w:szCs w:val="18"/>
        </w:rPr>
        <w:t xml:space="preserve">iki 16 metų </w:t>
      </w:r>
      <w:r>
        <w:t>vaikų 2008 metais  nelankė mokyklos.</w:t>
      </w:r>
    </w:p>
    <w:p w:rsidR="00C07927" w:rsidRPr="00F06ACD" w:rsidRDefault="00C07927" w:rsidP="00C07927">
      <w:pPr>
        <w:jc w:val="both"/>
      </w:pPr>
      <w:r>
        <w:tab/>
      </w:r>
      <w:r>
        <w:rPr>
          <w:bCs/>
        </w:rPr>
        <w:t xml:space="preserve">Švietimo ir mokslo ministras Gintaras Steponavičius 2009 02 17 raštu Nr. 17-05-SPAV-13 atsakydamas Komisijai paaiškino, kad  Švietimo ir mokslo ministerija, remdamasi savivaldybių 2008 m. spalio 1 d. pateikta informacija, yra atlikusi analizę dėl vaiko minimalios priežiūros priemonių įgyvendinimo savivaldybėse. Pateiktoje informacijoje  nurodyta, kokiam vaikų skaičiui ir kokios buvo taikytos minimalios priežiūros priemonės, tačiau atskirai nedetalizuojamas vaikų skaičius ir jiems paskirtos priežiūros priemonės pagal tipą. </w:t>
      </w:r>
      <w:r w:rsidRPr="00F06ACD">
        <w:t xml:space="preserve">Pagal gautus duomenis 2008 m. bendras iki 16 metų nelankančių vaikų skaičius </w:t>
      </w:r>
      <w:r w:rsidRPr="008F5261">
        <w:t>buvo 200.</w:t>
      </w:r>
      <w:r w:rsidRPr="00F06ACD">
        <w:rPr>
          <w:bCs/>
        </w:rPr>
        <w:t xml:space="preserve">   </w:t>
      </w:r>
      <w:r w:rsidRPr="00F06ACD">
        <w:t xml:space="preserve">Pagal pradinio ir pagrindinio ugdymo programas nesimokė </w:t>
      </w:r>
      <w:r w:rsidRPr="008F5261">
        <w:t>197 vaikai</w:t>
      </w:r>
      <w:r w:rsidRPr="00F06ACD">
        <w:t xml:space="preserve"> iki 16 metų. </w:t>
      </w:r>
    </w:p>
    <w:p w:rsidR="00C07927" w:rsidRDefault="00C07927" w:rsidP="00C07927">
      <w:pPr>
        <w:ind w:firstLine="720"/>
        <w:jc w:val="both"/>
        <w:rPr>
          <w:bCs/>
        </w:rPr>
      </w:pPr>
      <w:r>
        <w:rPr>
          <w:bCs/>
        </w:rPr>
        <w:lastRenderedPageBreak/>
        <w:t xml:space="preserve">Atsakydamas į Komisijos paklausimą, Švietimo ir mokslo ministras Gintaras Steponavičius dėl informacijos pateikimo pažymėjo, kad  “...Lietuvos Respublikos Vyriausybės veiklos programos, patvirtintos Lietuvos Respublikos Seimo 2008 m. gruodžio 9 d. nutarimu Nr. XI-52 (Žin., 2008, Nr. 146 – 5870), skyriuje “Švietimo ir mokslo pertvarka” yra numatyta kardinaliai sumažinti popierizmą ir biurokratizmą, bent 30 proc. sumažinti dokumentaciją, sunkinančią mokytojų ir mokyklų darbą. Manome, kad tokios detalios ir dažnai pasikartojančios informacijos surinkimas iš savivaldybių, kurios informaciją gauna iš mokyklų, sudarytų prielaidas apsunkinti mokyklų darbą ir reikalautų papildomų laiko sąnaudų...” </w:t>
      </w:r>
    </w:p>
    <w:p w:rsidR="00C07927" w:rsidRDefault="00C07927" w:rsidP="00C07927">
      <w:pPr>
        <w:ind w:firstLine="720"/>
        <w:jc w:val="both"/>
      </w:pPr>
      <w:r>
        <w:t xml:space="preserve">Komisija nustatė, kad Lietuvos Respublikos Vyriausybė 1997 m. rugpjūčio 4 d. nutarimu Nr. 889 “Dėl Mokyklinio amžiaus vaikų iki 16 metų apskaitos tvarkos patvirtinimo” reglamentavo tvarką pagal kurią </w:t>
      </w:r>
      <w:r w:rsidRPr="00E2196A">
        <w:t>Švietimo ir mokslo ministerija kasmet iki lapkričio 1 d. gauna informaciją</w:t>
      </w:r>
      <w:r>
        <w:t xml:space="preserve"> iš </w:t>
      </w:r>
      <w:r w:rsidRPr="00E2196A">
        <w:t>apskričių viršininkų</w:t>
      </w:r>
      <w:r>
        <w:t xml:space="preserve"> administracijų dėl mokyklos nelankančių vaikų savivaldybėse. </w:t>
      </w:r>
    </w:p>
    <w:p w:rsidR="00C07927" w:rsidRDefault="00C07927" w:rsidP="00C07927">
      <w:pPr>
        <w:pStyle w:val="Pagrindinistekstas2"/>
        <w:ind w:firstLine="720"/>
      </w:pPr>
      <w:r>
        <w:t xml:space="preserve">Lietuvos Respublikos Vyriausybė 2008-10-22 nutarimu Nr. 1081 patvirtinusi Savivaldybės teritorijoje gyvenančių vaikų apskaitos tvarkos aprašo naują redakciją, įpareigojo Švietimo ir mokslo ministeriją iki 2009 m. rugsėjo 1 d. įsteigti nesimokančių vaikų ir mokyklos nelankančių mokinių informacinę sistemą. Švietimo ir mokslo ministro 2008 m. vasario 8 d. įsakymu Nr. ISAK-353 buvo patvirtinti Mokinių registro nuostatai ir numatyta Mokinių registro veiklos pradžia – 2009 m. rugsėjo 1 d. </w:t>
      </w:r>
    </w:p>
    <w:p w:rsidR="00C07927" w:rsidRDefault="00C07927" w:rsidP="00C07927">
      <w:pPr>
        <w:ind w:firstLine="720"/>
        <w:jc w:val="both"/>
        <w:rPr>
          <w:bCs/>
        </w:rPr>
      </w:pPr>
      <w:r>
        <w:rPr>
          <w:bCs/>
        </w:rPr>
        <w:t xml:space="preserve">Susipažinus su informacija paaiškėjo, kad </w:t>
      </w:r>
      <w:r w:rsidRPr="00DA4CB5">
        <w:rPr>
          <w:bCs/>
        </w:rPr>
        <w:t xml:space="preserve"> </w:t>
      </w:r>
      <w:r>
        <w:rPr>
          <w:bCs/>
        </w:rPr>
        <w:t xml:space="preserve">nors Mokinių registras pradėjo veikti, bet </w:t>
      </w:r>
      <w:r w:rsidRPr="00E2196A">
        <w:t xml:space="preserve">2009 09 16 dienai </w:t>
      </w:r>
      <w:r w:rsidRPr="00E2196A">
        <w:rPr>
          <w:bCs/>
        </w:rPr>
        <w:t>nėra žinoma, kiek vaikų serga priklausomybės ligomis, kiek vaikų nelanko mokyklos,</w:t>
      </w:r>
      <w:r>
        <w:rPr>
          <w:bCs/>
        </w:rPr>
        <w:t xml:space="preserve"> kiek paliktų be priežiūros. </w:t>
      </w:r>
    </w:p>
    <w:p w:rsidR="00C07927" w:rsidRPr="000D0D56" w:rsidRDefault="00C07927" w:rsidP="00C07927">
      <w:pPr>
        <w:ind w:firstLine="720"/>
        <w:jc w:val="both"/>
        <w:rPr>
          <w:bCs/>
        </w:rPr>
      </w:pPr>
      <w:r>
        <w:t xml:space="preserve">Komisija tęsdama  tyrimą 2010 01 22 raštu Nr. S –2010-651 “Dėl informacijos pateikimo” kreipėsi į Statistikos departamentą prie Lietuvos Respublikos Vyriausybės prašydama pateikti informaciją kiek nuo  2009 09 01 – 2009 12 31 vaikų privalėjo lankyti mokyklą ir kodėl tokia statistika nėra vedama, ar buvo kada nors keliamas klausimas dėl tokios statistikos vedimo. </w:t>
      </w:r>
    </w:p>
    <w:p w:rsidR="00C07927" w:rsidRDefault="00C07927" w:rsidP="00C07927">
      <w:pPr>
        <w:ind w:firstLine="720"/>
        <w:jc w:val="both"/>
      </w:pPr>
      <w:r>
        <w:t xml:space="preserve">Statistikos departamentas prie Lietuvos Respublikos Vyriausybės 2010 02 01 raštu Nr. 3D-166 “Dėl informacijos pateikimo” atsakė Komisijai, kad pagal Valstybės švietimo strategijos 2003 – 2012 metų nuostatų įgyvendinimo programą, patvirtintą Lietuvos Respublikos Vyriausybės 2005 m. sausio 24 d. nutarimu Nr. 82 (Žin., 2005, Nr. 12-391), </w:t>
      </w:r>
      <w:r w:rsidRPr="00E2196A">
        <w:rPr>
          <w:bCs/>
        </w:rPr>
        <w:t>Lietuvos Respublikos Švietimo ir mokslo ministerija yra atsakinga už mokyklinio amžiaus vaikų apskaitą ir mokyklos nelankančių vaikų identifikavimą savivaldybėse.</w:t>
      </w:r>
      <w:r>
        <w:t xml:space="preserve"> Pagal Oficialiosios statistikos 2010 metų darbų programą, patvirtintą Statistikos departamento generalinio direktoriaus 2009 m. gruodžio 29 d. įsakymu Nr. DĮ-312 (Žin., 2010, Nr. 7 – 319), statistinę informaciją apie nesimokančius vaikus iki 16 metų už 2009 metus Švietimo informacinių technologijų centras skelbia kovo mėnesį. </w:t>
      </w:r>
    </w:p>
    <w:p w:rsidR="00C07927" w:rsidRPr="005E17A8" w:rsidRDefault="00C07927" w:rsidP="00C07927">
      <w:pPr>
        <w:ind w:firstLine="720"/>
        <w:jc w:val="both"/>
        <w:rPr>
          <w:bCs/>
        </w:rPr>
      </w:pPr>
      <w:r>
        <w:t xml:space="preserve">Į Komisijos 2010 01 22 raštą Nr. S –2010-651 “Dėl mokyklos nelankančių vaikų”,  Švietimo ir mokslo ministerija (raštas 2010 03-01Nr. 17-05-SP-15 atsakė, kad iki 2009 metų rugsėjo 1 d. duomenys apie mokyklos nelankančius mokinius buvo renkami vadovaujantis Mokyklinio amžiaus vaikų iki 16 metų apskaitos tvarka, patvirtinta Lietuvos Respublikos Vyriausybės 1997 m. rugpjūčio 4 d. nutarimu Nr. 889 (Žin., 1997, Nr. 75- 1946). Šioje apskaitos tvarkoje mokyklos </w:t>
      </w:r>
      <w:r w:rsidRPr="005E17A8">
        <w:rPr>
          <w:bCs/>
        </w:rPr>
        <w:t>nelankantys</w:t>
      </w:r>
      <w:r>
        <w:t xml:space="preserve"> mokiniai buvo apibrėžti kaip mokiniai, kurie pedagogų tarybai pasiūlius, mokyklos tarybai nusprendus ir gavus savivaldybės švietimo padalinio (steigėjo) rašytinį sutikimą išbraukti iš mokinių sąrašą, taip pat tie, kurie, mokyklos turimais duomenimis </w:t>
      </w:r>
      <w:r w:rsidRPr="005E17A8">
        <w:rPr>
          <w:bCs/>
        </w:rPr>
        <w:t xml:space="preserve">turėtų lankyti mokyklą, bet nelanko. </w:t>
      </w:r>
    </w:p>
    <w:p w:rsidR="00C07927" w:rsidRDefault="00C07927" w:rsidP="00C07927">
      <w:pPr>
        <w:ind w:firstLine="720"/>
        <w:jc w:val="both"/>
      </w:pPr>
      <w:r>
        <w:t xml:space="preserve">Švietimo ir mokslo ministerija nurodė, kad 2008 metais remiantis savivaldybių pateiktais duomenimis, iš viso šalyje buvo </w:t>
      </w:r>
      <w:r w:rsidRPr="00EC7479">
        <w:rPr>
          <w:bCs/>
        </w:rPr>
        <w:t xml:space="preserve">245 </w:t>
      </w:r>
      <w:r>
        <w:t xml:space="preserve">mokyklos nelankantys mokiniai, iš kurių  45 turėjo sunkią negalią. Apie </w:t>
      </w:r>
      <w:r w:rsidRPr="00EC7479">
        <w:rPr>
          <w:bCs/>
        </w:rPr>
        <w:t>50 proc.</w:t>
      </w:r>
      <w:r>
        <w:t xml:space="preserve">  mokyklos nelankančių mokinių yra </w:t>
      </w:r>
      <w:r w:rsidRPr="00EC7479">
        <w:rPr>
          <w:bCs/>
        </w:rPr>
        <w:t>praradę mokymosi motyvaciją</w:t>
      </w:r>
      <w:r w:rsidRPr="00EC7479">
        <w:t xml:space="preserve"> ir nebenori mokytis. </w:t>
      </w:r>
      <w:r w:rsidRPr="00EC7479">
        <w:rPr>
          <w:bCs/>
        </w:rPr>
        <w:t>25 proc. vaikų gyvena socialinės rizikos šeimose, yra neprižiūrimi, valkatauja,</w:t>
      </w:r>
      <w:r>
        <w:t xml:space="preserve"> dar apie 25 proc. vaikų mokyklos nelankė dėl kitų priežasčių. </w:t>
      </w:r>
    </w:p>
    <w:p w:rsidR="00C07927" w:rsidRDefault="00C07927" w:rsidP="00C07927">
      <w:pPr>
        <w:ind w:firstLine="720"/>
        <w:jc w:val="both"/>
      </w:pPr>
      <w:r>
        <w:t xml:space="preserve">Lietuvos Respublikos Vyriausybė </w:t>
      </w:r>
      <w:r w:rsidRPr="00EC7479">
        <w:rPr>
          <w:bCs/>
        </w:rPr>
        <w:t xml:space="preserve">2008 </w:t>
      </w:r>
      <w:r>
        <w:t xml:space="preserve">metais spalio 22 d. nutarimu Nr. 1081 “ Dėl Lietuvos Respublikos Vyriausybės 1997 m. rugpjūčio 4 d. nutarimo Nr. 889 “Mokyklinio amžiaus vaikų iki 16 metų apskaitos tvarkos patvirtinimo” pakeitimo” patvirtino Savivaldybės teritorijoje gyvenančių vaikų apskaitos tvarkos aprašą (Žin., 2008, Nr. 126 – 4809), pagal kurį </w:t>
      </w:r>
      <w:r w:rsidRPr="008F5261">
        <w:rPr>
          <w:bCs/>
        </w:rPr>
        <w:t>nuo 2009 m. rugsėjo 1 d.</w:t>
      </w:r>
      <w:r w:rsidRPr="008F5261">
        <w:t xml:space="preserve"> </w:t>
      </w:r>
      <w:r w:rsidRPr="008F5261">
        <w:rPr>
          <w:bCs/>
        </w:rPr>
        <w:t>kitaip organizuojama  nesimokančių vaikų ir mokyklos nelankančių mokinių apskaita.</w:t>
      </w:r>
      <w:r>
        <w:t xml:space="preserve"> Šiame apraše buvo apibrėžtos naujos sąvokos  “nesimokantis vaikas” ir “mokyklos nelankantis mokinys”. </w:t>
      </w:r>
    </w:p>
    <w:p w:rsidR="00C07927" w:rsidRDefault="00C07927" w:rsidP="00C07927">
      <w:pPr>
        <w:ind w:firstLine="720"/>
        <w:jc w:val="both"/>
      </w:pPr>
      <w:r w:rsidRPr="008F5261">
        <w:rPr>
          <w:bCs/>
        </w:rPr>
        <w:t>Nesimokantis vaikas</w:t>
      </w:r>
      <w:r w:rsidRPr="009D308D">
        <w:rPr>
          <w:bCs/>
        </w:rPr>
        <w:t xml:space="preserve"> apibrėžiamas</w:t>
      </w:r>
      <w:r>
        <w:t xml:space="preserve"> kaip Lietuvos Respublikos gyventojų registre įregistruotas vaikas  iki 18 metų, bet</w:t>
      </w:r>
      <w:r>
        <w:rPr>
          <w:b/>
          <w:bCs/>
        </w:rPr>
        <w:t xml:space="preserve"> </w:t>
      </w:r>
      <w:r w:rsidRPr="008F5261">
        <w:rPr>
          <w:bCs/>
        </w:rPr>
        <w:t xml:space="preserve">nėra ir nė karto nebuvo registruotas nė vienoje šalies mokykloje </w:t>
      </w:r>
      <w:r>
        <w:rPr>
          <w:b/>
          <w:bCs/>
        </w:rPr>
        <w:t>(</w:t>
      </w:r>
      <w:r>
        <w:t xml:space="preserve"> t.y. nėra įregistruotas Mokinių registre).</w:t>
      </w:r>
    </w:p>
    <w:p w:rsidR="00C07927" w:rsidRPr="009D308D" w:rsidRDefault="00C07927" w:rsidP="00C07927">
      <w:pPr>
        <w:ind w:firstLine="720"/>
        <w:jc w:val="both"/>
      </w:pPr>
      <w:r w:rsidRPr="009D308D">
        <w:rPr>
          <w:bCs/>
        </w:rPr>
        <w:lastRenderedPageBreak/>
        <w:t xml:space="preserve">Mokyklos nelankantis mokinys – vaikas, </w:t>
      </w:r>
      <w:r w:rsidRPr="009D308D">
        <w:t xml:space="preserve"> įregistruotas Mokinių registre, tačiau per mėnesį </w:t>
      </w:r>
      <w:r w:rsidRPr="009D308D">
        <w:rPr>
          <w:bCs/>
        </w:rPr>
        <w:t>be pateisinamos priežasties praleidęs daugiau kaip pusę pamokų</w:t>
      </w:r>
      <w:r w:rsidRPr="009D308D">
        <w:t xml:space="preserve"> pagal privalomojo švietimo programas. </w:t>
      </w:r>
    </w:p>
    <w:p w:rsidR="00C07927" w:rsidRDefault="00C07927" w:rsidP="00C07927">
      <w:pPr>
        <w:ind w:firstLine="720"/>
        <w:jc w:val="both"/>
        <w:rPr>
          <w:b/>
          <w:bCs/>
        </w:rPr>
      </w:pPr>
      <w:r>
        <w:t xml:space="preserve">Švietimo ir mokslo ministerijos Informacinių technologijų centras, siekdamas nustatyti preliminarų nesimokančių vaikų skaičių šalyje, 2009 metais parengęs bandomąją nesimokančių vaikų duomenų bazę, gavo rezultatus: </w:t>
      </w:r>
      <w:r w:rsidRPr="008F5261">
        <w:t xml:space="preserve">nesimokančių vaikų </w:t>
      </w:r>
      <w:r w:rsidRPr="008F5261">
        <w:rPr>
          <w:bCs/>
        </w:rPr>
        <w:t>iki 16 metų – 16 262 vaikai</w:t>
      </w:r>
      <w:r>
        <w:t xml:space="preserve">, nuo </w:t>
      </w:r>
      <w:r w:rsidRPr="008F5261">
        <w:rPr>
          <w:bCs/>
        </w:rPr>
        <w:t>16</w:t>
      </w:r>
      <w:r>
        <w:t xml:space="preserve"> iki 18 metų – </w:t>
      </w:r>
      <w:r w:rsidRPr="008F5261">
        <w:rPr>
          <w:bCs/>
        </w:rPr>
        <w:t>11 354 vaikai.</w:t>
      </w:r>
      <w:r>
        <w:rPr>
          <w:b/>
          <w:bCs/>
        </w:rPr>
        <w:t xml:space="preserve"> </w:t>
      </w:r>
    </w:p>
    <w:p w:rsidR="00C07927" w:rsidRPr="009D308D" w:rsidRDefault="00C07927" w:rsidP="00C07927">
      <w:pPr>
        <w:ind w:firstLine="720"/>
        <w:jc w:val="both"/>
      </w:pPr>
      <w:r w:rsidRPr="000D0D56">
        <w:rPr>
          <w:bCs/>
        </w:rPr>
        <w:t>Buvo manyta, kad dėl</w:t>
      </w:r>
      <w:r>
        <w:t xml:space="preserve"> įsivėlusių klaidų statistiniai duomenys gali būti netikslūs, todėl, pavedė šalies savivaldybėms išsiaiškinti informaciją apie kiekvieną,  konkrečios savivaldybės teritorijoje registruotą ir į Nesimokančių duomenų bazę patekusį vaiką. </w:t>
      </w:r>
      <w:r w:rsidRPr="009D308D">
        <w:rPr>
          <w:bCs/>
        </w:rPr>
        <w:t>Patikslinti duomenys parodė, kad 30 proc. vaikų iš šios duomenų bazės mokosi.</w:t>
      </w:r>
      <w:r w:rsidRPr="009D308D">
        <w:t xml:space="preserve"> </w:t>
      </w:r>
    </w:p>
    <w:p w:rsidR="00C07927" w:rsidRDefault="00C07927" w:rsidP="00C07927">
      <w:pPr>
        <w:ind w:firstLine="720"/>
        <w:jc w:val="both"/>
      </w:pPr>
      <w:r>
        <w:t>Tokiu būdu, pirminiais patikslintais duomenimis ir gavus iš 56 savivaldybių informaciją,  buvo gauti šie  rezultatai:</w:t>
      </w:r>
    </w:p>
    <w:p w:rsidR="00C07927" w:rsidRPr="009D308D" w:rsidRDefault="00C07927" w:rsidP="00C07927">
      <w:pPr>
        <w:ind w:firstLine="720"/>
        <w:jc w:val="both"/>
        <w:rPr>
          <w:bCs/>
        </w:rPr>
      </w:pPr>
      <w:r w:rsidRPr="009D308D">
        <w:t xml:space="preserve"> -  </w:t>
      </w:r>
      <w:r w:rsidRPr="009D308D">
        <w:rPr>
          <w:bCs/>
        </w:rPr>
        <w:t xml:space="preserve">mokyklos nelanko 294 iki 16 metų vaikai (iš jų apie 25 proc. neįgalūs). </w:t>
      </w:r>
    </w:p>
    <w:p w:rsidR="00C07927" w:rsidRPr="009D308D" w:rsidRDefault="00C07927" w:rsidP="00C07927">
      <w:pPr>
        <w:ind w:firstLine="720"/>
        <w:jc w:val="both"/>
        <w:rPr>
          <w:bCs/>
        </w:rPr>
      </w:pPr>
      <w:r w:rsidRPr="009D308D">
        <w:rPr>
          <w:bCs/>
        </w:rPr>
        <w:t xml:space="preserve"> Kiek nesimoko nuo 16 iki 18 metų vaikų, statistika nevedama, bet gali skaičius siekti iki 6500 vaikų.  Buvo manoma, kad dauguma šių vaikų  yra išvykusių užsienį, nes apie juos nėra jokios informacijos.  </w:t>
      </w:r>
    </w:p>
    <w:p w:rsidR="00C07927" w:rsidRDefault="00C07927" w:rsidP="00C07927">
      <w:pPr>
        <w:ind w:firstLine="720"/>
        <w:jc w:val="both"/>
      </w:pPr>
      <w:r>
        <w:t>Komisija t</w:t>
      </w:r>
      <w:r w:rsidRPr="00F57111">
        <w:t>ęs</w:t>
      </w:r>
      <w:r>
        <w:t>ė</w:t>
      </w:r>
      <w:r w:rsidRPr="00F57111">
        <w:t xml:space="preserve"> tyrimą</w:t>
      </w:r>
      <w:r>
        <w:t xml:space="preserve"> “Dėl vaikų, nelankančių mokyklos” ir  raštais (2010 01 22 raštu Nr. S –2010- 662;  2010 01 22 raštu Nr. S –2010- 663; 2010 01 22 raštu Nr. S –2010- 664; 2010 01 22 raštu Nr. S –2010- 665; 2010 01 22 raštu Nr. S –2010- 667; 2010 01 22 raštu Nr. S –2010- 678) kreipėsi į visas Lietuvos savivaldybes su prašymais pateikti informaciją apie 2009 09 01 – 2009 12 31 laikotarpyje nelankančius mokyklos vaikus pagal amžių nuo 6 – 7 metų iki 16 metų ir,  nuo 16 iki 18 metų, nurodant mokyklos nelankymo priežastis bei priemones, kurių imtasi tam, kad kuo daugiau vaikų lankytų mokyklą.  </w:t>
      </w:r>
    </w:p>
    <w:p w:rsidR="00C07927" w:rsidRDefault="00C07927" w:rsidP="00C07927">
      <w:pPr>
        <w:ind w:firstLine="720"/>
        <w:jc w:val="both"/>
        <w:rPr>
          <w:bCs/>
        </w:rPr>
      </w:pPr>
      <w:r>
        <w:t>Gauti atsakymai</w:t>
      </w:r>
      <w:r w:rsidRPr="000D0D56">
        <w:t xml:space="preserve"> </w:t>
      </w:r>
      <w:r>
        <w:t xml:space="preserve">buvo apibendrinti ir parengta </w:t>
      </w:r>
      <w:r>
        <w:rPr>
          <w:bCs/>
        </w:rPr>
        <w:t>tarpinė informacija “Apie vaikus nelankančius mokyklos”.</w:t>
      </w:r>
    </w:p>
    <w:p w:rsidR="00C07927" w:rsidRDefault="00C07927" w:rsidP="00C07927">
      <w:pPr>
        <w:ind w:firstLine="720"/>
        <w:jc w:val="both"/>
        <w:rPr>
          <w:bCs/>
        </w:rPr>
      </w:pPr>
      <w:r>
        <w:rPr>
          <w:bCs/>
        </w:rPr>
        <w:t xml:space="preserve"> 2010 03 17</w:t>
      </w:r>
      <w:r>
        <w:rPr>
          <w:szCs w:val="22"/>
        </w:rPr>
        <w:t xml:space="preserve"> Komisijos posėdyje svarstytas klausimas “</w:t>
      </w:r>
      <w:r>
        <w:t>Dėl vaikų nelankančių mokyklos 2009 m. rugsėjo-gruodžio mėnesiais.”</w:t>
      </w:r>
      <w:r>
        <w:rPr>
          <w:bCs/>
        </w:rPr>
        <w:t xml:space="preserve"> </w:t>
      </w:r>
    </w:p>
    <w:p w:rsidR="00C07927" w:rsidRDefault="00C07927" w:rsidP="00C07927">
      <w:pPr>
        <w:ind w:firstLine="720"/>
        <w:jc w:val="both"/>
      </w:pPr>
      <w:r>
        <w:t xml:space="preserve">Parengtoje tarpinėje informacijoje buvo pažymėta, kad “Švietimo informacinių technologijų centras (toliau – Centras) renka duomenis apie vaikus, nelankančius mokyklos. </w:t>
      </w:r>
      <w:r w:rsidRPr="000A0305">
        <w:rPr>
          <w:bCs/>
        </w:rPr>
        <w:t xml:space="preserve">Tačiau, savivaldybės teigė, jog šio Centro pateikiama informacija labai  skiriasi nuo tos, kurią turi savivaldybių Švietimo skyriai ir pačios švietimo įstaigos. Centras duomenis renka pagal Gyventojų registro duomenis, o savivaldybės teigia, jog yra nemažai vaikų, pakeitusių gyvenamąją vietą faktiškai, o deklaracijos vieta nepasikeitusi. </w:t>
      </w:r>
      <w:r>
        <w:t>Daugelis savivaldybių tikslino esamus duomenis ir manė, kad duomenys nėra tikslūs ir negalutiniai.</w:t>
      </w:r>
    </w:p>
    <w:p w:rsidR="00C07927" w:rsidRDefault="00C07927" w:rsidP="00C07927">
      <w:pPr>
        <w:pStyle w:val="Pagrindinistekstas"/>
        <w:rPr>
          <w:bCs/>
        </w:rPr>
      </w:pPr>
      <w:r>
        <w:rPr>
          <w:bCs/>
        </w:rPr>
        <w:tab/>
        <w:t xml:space="preserve">Centras į nelankančių mokyklos vaikų sąrašus įtraukė visus to amžiaus gimusius Lietuvoje vaikus, kurie mokyklos nelanko Lietuvos Respublikoje. t. y. sąraše yra ir tie vaikai, kurie išvykę į užsienį ir, galbūt, ten lanko mokyklą. </w:t>
      </w:r>
    </w:p>
    <w:p w:rsidR="00C07927" w:rsidRDefault="00C07927" w:rsidP="00C07927">
      <w:pPr>
        <w:pStyle w:val="Pagrindinistekstas"/>
        <w:rPr>
          <w:bCs/>
        </w:rPr>
      </w:pPr>
      <w:r>
        <w:rPr>
          <w:bCs/>
        </w:rPr>
        <w:tab/>
        <w:t>Paaiškėjo, kad ne visos savivaldybės turi duomenis apie tokius vaikus ir ne visos tokius duomenis renka ir juos pateikė Centrui. Yra savivaldybių, kurios nurodė tik vaikus, kurie nelanko mokyklos arba ją lanko nereguliariai dėl socialinių priežasčių. Vienos savivaldybės pateikė informaciją apie neįgalius vaikus, nelankančius mokyklos dėl sveikatos, kitos savivaldybės tokių duomenų nepateikė. Yra savivaldybių, kurios nenurodė nereguliariai lankančių vaikų. Todėl skaičiuojant nelankančius vaikus galimi neatitikimai su realiu skaičium vaikų, kurie nelanko mokyklos. Tenka pažymėti, kad tikslaus skaičiaus nelankančių mokyklos vaikų nepateikė ir Švietimo ir mokslo ministerija.</w:t>
      </w:r>
    </w:p>
    <w:p w:rsidR="00C07927" w:rsidRDefault="00C07927" w:rsidP="00C07927">
      <w:pPr>
        <w:ind w:firstLine="720"/>
        <w:jc w:val="both"/>
      </w:pPr>
      <w:r>
        <w:t xml:space="preserve">Po pirmojo duomenų gavimo iš šalies savivaldybių, vaikų grupėje nuo 6 (7) metų iki 16 metų </w:t>
      </w:r>
      <w:r w:rsidRPr="008F5261">
        <w:t>mokyklos nelankė 2826</w:t>
      </w:r>
      <w:r w:rsidRPr="005E17A8">
        <w:rPr>
          <w:b/>
        </w:rPr>
        <w:t xml:space="preserve"> </w:t>
      </w:r>
      <w:r>
        <w:t xml:space="preserve">vaikų, o tai sudarė apie 0,85 procento visų turinčių lankyti mokyklą to amžiaus vaikų. Vaikų grupėje nuo 16 iki 18 metų </w:t>
      </w:r>
      <w:r w:rsidRPr="008F5261">
        <w:t>mokyklos nelankė 1626</w:t>
      </w:r>
      <w:r w:rsidRPr="005E17A8">
        <w:rPr>
          <w:b/>
        </w:rPr>
        <w:t xml:space="preserve"> </w:t>
      </w:r>
      <w:r>
        <w:t xml:space="preserve">vaikų, o tai sudaro apie 1,3 procentus visų to amžiaus vaikų. Tačiau, ir šie skaičiai galėjo  būti netikslūs, atsižvelgiant į tai, kad kai kurios savivaldybės nepateikė duomenų, apie vaikus, sulaukusius 16 metų, kadangi mokslas Lietuvoje privalomas iki 16 metų. </w:t>
      </w:r>
    </w:p>
    <w:p w:rsidR="00C07927" w:rsidRDefault="00C07927" w:rsidP="00C07927">
      <w:pPr>
        <w:ind w:firstLine="720"/>
        <w:jc w:val="both"/>
      </w:pPr>
      <w:r>
        <w:t xml:space="preserve">Didžiausias skaičius vaikų, savivaldybių duomenimis, yra išvykęs į užsienį kartu su tėvais. Tačiau didžioji dalis savivaldybių pateikė </w:t>
      </w:r>
      <w:r w:rsidRPr="008F5261">
        <w:rPr>
          <w:bCs/>
        </w:rPr>
        <w:t>tik tikėtiną vaiko buvimo vietą, t.y. neturėdama  įrodymų, jog vaikas tikrai yra užsienyje</w:t>
      </w:r>
      <w:r w:rsidRPr="008F5261">
        <w:t>. Nerastus pagal sąrašą vaikus savivaldybės laiko išvykusiais į užsienį, persikėlusiais gyventi į kitą Lietuvos rajoną ir tik maža dalis nurodo, jog vaikas nerastas pagal sąrašą, tačiau jo paieškos tęsiamos.</w:t>
      </w:r>
    </w:p>
    <w:p w:rsidR="00C07927" w:rsidRPr="00534C44" w:rsidRDefault="00C07927" w:rsidP="00C07927">
      <w:pPr>
        <w:ind w:firstLine="720"/>
        <w:jc w:val="both"/>
        <w:rPr>
          <w:bCs/>
        </w:rPr>
      </w:pPr>
      <w:r>
        <w:rPr>
          <w:bCs/>
        </w:rPr>
        <w:lastRenderedPageBreak/>
        <w:t xml:space="preserve">Švietimo informacinių technologijų centro direktoriaus pavaduotojas Eduardas Daujotis Komisijos 2010-03-17 posėdyje teigė, jog 80 procentų savivaldybių nežino, kur yra jų vaikai ir nesiruošia jų ieškoti, domėtis.  Savivaldybės piktinasi, kad Švietimo informacinių technologijų centras renka nesimokančių vaikų statistiką. Buvo nustatyta, kad didžioji dalis vaikų vis dėlto yra išvykusi į užsienį ir nedeklaravę išvykimo. Švietimo ir mokslo ministerijos tikslas - surinkti teisingą statistiką ir pateikti oficialią statistiką Statistikos departamentui. </w:t>
      </w:r>
      <w:r w:rsidRPr="00536AB3">
        <w:t>Sulyginus gyventojų registro bei mokinių bazės duomenis centras gavosi didelius skaičius nesimokančių vaikų. Šie skaičiai</w:t>
      </w:r>
      <w:r>
        <w:rPr>
          <w:b/>
        </w:rPr>
        <w:t xml:space="preserve"> </w:t>
      </w:r>
      <w:r w:rsidRPr="005E17A8">
        <w:t>buvo pateikti savivaldybėms</w:t>
      </w:r>
      <w:r>
        <w:t xml:space="preserve"> patikslinti</w:t>
      </w:r>
      <w:r w:rsidRPr="005E17A8">
        <w:rPr>
          <w:bCs/>
        </w:rPr>
        <w:t xml:space="preserve">. </w:t>
      </w:r>
      <w:r>
        <w:rPr>
          <w:bCs/>
        </w:rPr>
        <w:t xml:space="preserve">Iš naujo buvo </w:t>
      </w:r>
      <w:r w:rsidRPr="005E17A8">
        <w:t xml:space="preserve"> renkama nesimokančių vaikų statistika</w:t>
      </w:r>
      <w:r w:rsidRPr="005E17A8">
        <w:rPr>
          <w:bCs/>
        </w:rPr>
        <w:t xml:space="preserve">. </w:t>
      </w:r>
      <w:r>
        <w:rPr>
          <w:bCs/>
        </w:rPr>
        <w:t xml:space="preserve">Paaiškėjo, kiek vaikų nelanko mokyklos, mokyklos žino, </w:t>
      </w:r>
      <w:r w:rsidRPr="00534C44">
        <w:rPr>
          <w:bCs/>
        </w:rPr>
        <w:t>tačiau oficiali statistika yra</w:t>
      </w:r>
      <w:r w:rsidRPr="005E17A8">
        <w:rPr>
          <w:b/>
          <w:bCs/>
        </w:rPr>
        <w:t xml:space="preserve"> </w:t>
      </w:r>
      <w:r w:rsidRPr="008F5261">
        <w:rPr>
          <w:bCs/>
        </w:rPr>
        <w:t>nerenkama.</w:t>
      </w:r>
      <w:r>
        <w:rPr>
          <w:bCs/>
        </w:rPr>
        <w:t xml:space="preserve"> Centras pateikė savivaldybėms visus reikalingus įrankius, tačiau nėra garantijos, kiek tinkamai pačios savivaldybės rinks tą informaciją,  ar jos bus pajėgios apvažiuoti visus kaimus ir patikrinti, ar yra vaikas, ar jo nėra. Pagal </w:t>
      </w:r>
      <w:r w:rsidRPr="00534C44">
        <w:t>skiriama</w:t>
      </w:r>
      <w:r>
        <w:t>s lėšas</w:t>
      </w:r>
      <w:r w:rsidRPr="00534C44">
        <w:t xml:space="preserve"> mokykloms mokinio krepšeliui ir</w:t>
      </w:r>
      <w:r>
        <w:t xml:space="preserve">, pagal </w:t>
      </w:r>
      <w:r w:rsidRPr="00534C44">
        <w:t xml:space="preserve">krepšelių </w:t>
      </w:r>
      <w:r>
        <w:t xml:space="preserve">skaičių,  nesimokančių vaikų statistikoje nėra, nes  šie vaikai į informaciją </w:t>
      </w:r>
      <w:r w:rsidRPr="00534C44">
        <w:t xml:space="preserve">nepatenka, </w:t>
      </w:r>
      <w:r>
        <w:t xml:space="preserve">o patenka </w:t>
      </w:r>
      <w:r w:rsidRPr="00534C44">
        <w:rPr>
          <w:bCs/>
        </w:rPr>
        <w:t xml:space="preserve">į </w:t>
      </w:r>
      <w:r>
        <w:rPr>
          <w:bCs/>
        </w:rPr>
        <w:t xml:space="preserve">kitas informacines  bazes, t.y. kurios įrašomos iš viso į </w:t>
      </w:r>
      <w:r w:rsidRPr="00534C44">
        <w:rPr>
          <w:bCs/>
        </w:rPr>
        <w:t>mokinių baz</w:t>
      </w:r>
      <w:r>
        <w:rPr>
          <w:bCs/>
        </w:rPr>
        <w:t>e</w:t>
      </w:r>
      <w:r w:rsidRPr="00534C44">
        <w:rPr>
          <w:bCs/>
        </w:rPr>
        <w:t>s neįrašytus vaikus  ir</w:t>
      </w:r>
      <w:r>
        <w:rPr>
          <w:bCs/>
        </w:rPr>
        <w:t xml:space="preserve">, </w:t>
      </w:r>
      <w:r w:rsidRPr="00534C44">
        <w:rPr>
          <w:bCs/>
        </w:rPr>
        <w:t xml:space="preserve"> jokio</w:t>
      </w:r>
      <w:r>
        <w:rPr>
          <w:bCs/>
        </w:rPr>
        <w:t>se</w:t>
      </w:r>
      <w:r w:rsidRPr="00534C44">
        <w:rPr>
          <w:bCs/>
        </w:rPr>
        <w:t xml:space="preserve"> mokyklo</w:t>
      </w:r>
      <w:r>
        <w:rPr>
          <w:bCs/>
        </w:rPr>
        <w:t>s</w:t>
      </w:r>
      <w:r w:rsidRPr="00534C44">
        <w:rPr>
          <w:bCs/>
        </w:rPr>
        <w:t xml:space="preserve"> įraš</w:t>
      </w:r>
      <w:r>
        <w:rPr>
          <w:bCs/>
        </w:rPr>
        <w:t>uose nesančius</w:t>
      </w:r>
      <w:r w:rsidRPr="00534C44">
        <w:rPr>
          <w:bCs/>
        </w:rPr>
        <w:t xml:space="preserve">  vaikus.</w:t>
      </w:r>
      <w:r>
        <w:rPr>
          <w:bCs/>
        </w:rPr>
        <w:t xml:space="preserve"> N</w:t>
      </w:r>
      <w:r>
        <w:t xml:space="preserve">uo 2010 m. kovo mėn. pakeista skaičiavimo metodika galiojusi nuo 1997 metų, kurioje iki  16 metų amžiaus mokyklos nelankančiais mokiniais buvo laikomi vaikai, kurie išbraukti iš mokinių sąrašų ir tie, kurie mokyklos nelanko. Pagal tokią statistiką 2008 metais tokių nelankančių mokyklos vaikų buvo  – </w:t>
      </w:r>
      <w:r w:rsidRPr="008F5261">
        <w:t>245 vaikai.</w:t>
      </w:r>
      <w:r>
        <w:t xml:space="preserve"> Pagal dabartinę skaičiavimo metodiką, </w:t>
      </w:r>
      <w:r w:rsidRPr="00534C44">
        <w:t>n</w:t>
      </w:r>
      <w:r w:rsidRPr="00534C44">
        <w:rPr>
          <w:bCs/>
        </w:rPr>
        <w:t xml:space="preserve">esimokantis vaikas apibrėžiamas kaip Lietuvos Respublikos registre įregistruotas vaikas, bet nė karto nebuvo įtrauktas į jokios mokymosi įstaigos sąrašus. </w:t>
      </w:r>
      <w:r w:rsidRPr="00534C44">
        <w:t xml:space="preserve"> </w:t>
      </w:r>
      <w:r w:rsidRPr="00534C44">
        <w:rPr>
          <w:bCs/>
        </w:rPr>
        <w:t>Nelankantis mokyklos vaikas yra įrašytas į mokinių registrą, bet be pateisinamos priežasties praleidęs daugiau nei 50 procentų pamokų pagal privalomąja švietimo programą.</w:t>
      </w:r>
    </w:p>
    <w:p w:rsidR="00C07927" w:rsidRDefault="00C07927" w:rsidP="00C07927">
      <w:pPr>
        <w:ind w:firstLine="720"/>
        <w:jc w:val="both"/>
      </w:pPr>
      <w:r>
        <w:t xml:space="preserve">2009 metais Švietimo informacinių technologijų centras parengė </w:t>
      </w:r>
      <w:r w:rsidRPr="008F5261">
        <w:t xml:space="preserve">bandomąją </w:t>
      </w:r>
      <w:r w:rsidRPr="008F5261">
        <w:rPr>
          <w:bCs/>
        </w:rPr>
        <w:t>nesimokančių</w:t>
      </w:r>
      <w:r>
        <w:rPr>
          <w:b/>
          <w:bCs/>
        </w:rPr>
        <w:t xml:space="preserve"> </w:t>
      </w:r>
      <w:r>
        <w:t>vaikų duomenų bazę ir sulygino su mokinių ir studentų duomenų baze iki 18 metų bei Gyventojų registro tarnybos duomenimis. Gavosi labai dideli skaičiai nesimokančių ir mokyklos nelankančių vaikų.</w:t>
      </w:r>
    </w:p>
    <w:p w:rsidR="00C07927" w:rsidRPr="00373EB1" w:rsidRDefault="00C07927" w:rsidP="00C07927">
      <w:pPr>
        <w:ind w:firstLine="720"/>
        <w:jc w:val="both"/>
        <w:rPr>
          <w:bCs/>
        </w:rPr>
      </w:pPr>
      <w:r w:rsidRPr="00373EB1">
        <w:rPr>
          <w:bCs/>
        </w:rPr>
        <w:t xml:space="preserve">Komisijos posėdyje konstatuota, kad pagal pateiktą </w:t>
      </w:r>
      <w:r w:rsidRPr="008F5261">
        <w:rPr>
          <w:bCs/>
        </w:rPr>
        <w:t>informaciją nerasta virš 2000 vaikų ir</w:t>
      </w:r>
      <w:r w:rsidRPr="00373EB1">
        <w:rPr>
          <w:bCs/>
        </w:rPr>
        <w:t xml:space="preserve"> neaišku, kas atsako už šiuos vaikus, kurie neina į mokyklą. Nuo pirminių duomenų pateikimo, minėtas skaičius neatitiko ankščiau pateikto vaikų skaičiaus. </w:t>
      </w:r>
    </w:p>
    <w:p w:rsidR="00C07927" w:rsidRPr="008F5261" w:rsidRDefault="00C07927" w:rsidP="00C07927">
      <w:pPr>
        <w:ind w:firstLine="720"/>
        <w:jc w:val="both"/>
      </w:pPr>
      <w:r>
        <w:t xml:space="preserve">Posėdyje buvo pažymėta, kad vaikai gali būti išvykę su tėvais į užsienį ir sudėtinga sustabdyti emigraciją, jau aišku, kad didžiuliai kiekiai vaikų emigravę be registracijos, tai sudarytų  80 procentų, </w:t>
      </w:r>
      <w:r w:rsidRPr="008F5261">
        <w:t>o kur yra keli tūkstančiai vaikų, niekas  nežino.</w:t>
      </w:r>
    </w:p>
    <w:p w:rsidR="00C07927" w:rsidRPr="008F5261" w:rsidRDefault="00C07927" w:rsidP="00C07927">
      <w:pPr>
        <w:ind w:firstLine="720"/>
        <w:jc w:val="both"/>
      </w:pPr>
      <w:r w:rsidRPr="008F5261">
        <w:t xml:space="preserve">Pagrindinės problemos kyla dėl gyvenamosios vietos, dėl nedeklaruojamo išvykimo ir  emigracijos. </w:t>
      </w:r>
    </w:p>
    <w:p w:rsidR="00C07927" w:rsidRPr="008F5261" w:rsidRDefault="00C07927" w:rsidP="00C07927">
      <w:pPr>
        <w:ind w:firstLine="720"/>
        <w:jc w:val="both"/>
        <w:rPr>
          <w:bCs/>
        </w:rPr>
      </w:pPr>
      <w:r w:rsidRPr="005060EC">
        <w:t xml:space="preserve">2010 metų birželio mėnesį Statistikos departamentui  perdavus Seimo Narkomanijos ir alkoholizmo prevencijos komisijai oficialią nesimokančių vaikų statistiką, pagal kurią iš viso Lietuvoje nesimoko 15924 vaikai iki 16 metų, nustatyta, kad į šį skaičių pateko visi vaikai, kurių gimimas yra registruotas Lietuvos Respublikoje. Migracijos departamento atstovai žodžiu paaiškino, kad dauguma tėvų, net gyvendami ir vaiko sulaukę užsienyje, jo gimimą registruoja Lietuvos Respublikoje. Tik paskutiniu metu padaugėjo asmenų, deklaruojančių savo išvykimą į užsienio šalis, tačiau vis dar tikslus tokių išvykusių skaičius nėra žinomas. </w:t>
      </w:r>
      <w:r w:rsidRPr="008F5261">
        <w:rPr>
          <w:bCs/>
        </w:rPr>
        <w:t xml:space="preserve">Susirūpinimą kėlė tai, jog nebuvo jokių žinių apie 8796 vaikus. </w:t>
      </w:r>
    </w:p>
    <w:p w:rsidR="00C07927" w:rsidRDefault="00C07927" w:rsidP="00C07927">
      <w:pPr>
        <w:ind w:firstLine="720"/>
        <w:jc w:val="both"/>
      </w:pPr>
      <w:r>
        <w:rPr>
          <w:bCs/>
        </w:rPr>
        <w:t>2010 03 17</w:t>
      </w:r>
      <w:r>
        <w:rPr>
          <w:szCs w:val="22"/>
        </w:rPr>
        <w:t xml:space="preserve"> Komisijos posėdyje </w:t>
      </w:r>
      <w:r>
        <w:t xml:space="preserve">nutarta bendru sutarimu  tęsti tyrimą. </w:t>
      </w:r>
    </w:p>
    <w:p w:rsidR="00C07927" w:rsidRDefault="00C07927" w:rsidP="00C07927">
      <w:pPr>
        <w:pStyle w:val="Pagrindinistekstas2"/>
        <w:ind w:firstLine="720"/>
      </w:pPr>
      <w:r>
        <w:t xml:space="preserve">Susipažinus su Vaiko teisių apsaugos kontrolierės 2009 metų veiklos ataskaita (2010-03-22Nr. 4-1) “Dėl Mokinių registro veiklos” matyti, kad Vaiko teisių apsaugos kontrolierė iš Švietimo ir mokslo ministerijos gavo informacijos, jog yra patvirtinti Mokinių registro nuostatai, duomenų saugos nuostatai ir specifikacija, bet dėl užtrukusių Registro specifikacijos tvirtinimo procedūrų ir nenumatyto finansavimo jis veikia mokinių duomenų bazės pagrindu. Šalies savivaldybėse renkami duomenys apie nesimokančius vaikus, Švietimo ir mokslo ministerijos Informacinių technologijų centras įpareigotas iki 2009 m. gruodžio 1 d. pateikti tikslų nesimokančių vaikų skaičių šalyje. </w:t>
      </w:r>
    </w:p>
    <w:p w:rsidR="00C07927" w:rsidRDefault="00C07927" w:rsidP="00C07927">
      <w:pPr>
        <w:jc w:val="both"/>
      </w:pPr>
      <w:r>
        <w:tab/>
        <w:t xml:space="preserve">Lietuvos Respublikos Vaiko teisių apsaugos kontrolierė ataskaitoje pažymėjo, kad Vaiko teisių apsaugos kontrolieriaus įstaigoje atlikta Lietuvos Respublikos vaiko minimalios ir vidutinės priežiūros įstatymo įgyvendinimo problemų analizė parodė savivaldybėse pagrindines šio įstatymo įgyvendinimo problemas: </w:t>
      </w:r>
    </w:p>
    <w:p w:rsidR="00C07927" w:rsidRDefault="00C07927" w:rsidP="00C07927">
      <w:pPr>
        <w:ind w:firstLine="720"/>
        <w:jc w:val="both"/>
      </w:pPr>
      <w:r>
        <w:t xml:space="preserve">įstatymo įgyvendinimui, minimalios priežiūros vykdymui neskirtas finansavimas; </w:t>
      </w:r>
    </w:p>
    <w:p w:rsidR="00C07927" w:rsidRDefault="00C07927" w:rsidP="00C07927">
      <w:pPr>
        <w:ind w:firstLine="720"/>
        <w:jc w:val="both"/>
      </w:pPr>
      <w:r>
        <w:lastRenderedPageBreak/>
        <w:t xml:space="preserve">nėra įsteigti specialistų, atsakingų už savivaldybės administracijos prevencinio darbo koordinavimo grupės darbą, jo organizavimą, etatai; </w:t>
      </w:r>
    </w:p>
    <w:p w:rsidR="00C07927" w:rsidRDefault="00C07927" w:rsidP="00C07927">
      <w:pPr>
        <w:ind w:firstLine="720"/>
        <w:jc w:val="both"/>
      </w:pPr>
      <w:r>
        <w:t xml:space="preserve">nevykdomos socialinio ugdymo, reabilitacijos, integracijos programos; </w:t>
      </w:r>
    </w:p>
    <w:p w:rsidR="00C07927" w:rsidRDefault="00C07927" w:rsidP="00C07927">
      <w:pPr>
        <w:ind w:firstLine="720"/>
        <w:jc w:val="both"/>
      </w:pPr>
      <w:r>
        <w:t xml:space="preserve">trūksta dienos centrų ir pan. </w:t>
      </w:r>
    </w:p>
    <w:p w:rsidR="00C07927" w:rsidRDefault="00C07927" w:rsidP="00C07927">
      <w:pPr>
        <w:ind w:firstLine="720"/>
        <w:jc w:val="both"/>
      </w:pPr>
      <w:r>
        <w:t>Vaiko teisių apsaugos kontrolierė, iš gautos informacijos padarė prielaidą, jog tam tikrą problemų dalį sąlygoja pačių savivaldybių nepakankamai atsakingas požiūris į savivaldybės vietą vaiko minimalios, vidutinės ir maksimalios priežiūros sistemoje bei savivaldybei tenkančią atsakomybę už reikiamos, kokybiškos ir savalaikės pagalbos vaikui organizavimą ir teikimą.</w:t>
      </w:r>
    </w:p>
    <w:p w:rsidR="00C07927" w:rsidRDefault="00C07927" w:rsidP="00C07927">
      <w:pPr>
        <w:ind w:firstLine="720"/>
        <w:jc w:val="both"/>
        <w:rPr>
          <w:bCs/>
        </w:rPr>
      </w:pPr>
      <w:r>
        <w:rPr>
          <w:bCs/>
        </w:rPr>
        <w:t xml:space="preserve">Tarp kitų problemų, Vaiko teisių apsaugos kontrolierė pažymėjo, kad savivaldybių vaiko teisių apsaugos skyriai bei vaiko atstovai pagal įstatymą tinkamai neatstovauja vaikų ikiteisminiuose ir teisminiuose procesuose, neišaiškina vaikui jo teisių; dažnai pasitaiko atvejų, kai vaikų socializacijos centrui pasiūlius vaiką išleisti atostogoms ar visam laikui, institucija, iš kurios atvyko vaikas, nenori jo priimti; mokytojams sudėtina ugdyti vaikus su specialiais poreikiais; vaikų globos namai nesidomi vaikų socializacijos centre esančiais vaikais (išimtis Utena), šis vaikas jaučiasi niekam nereikalingas (gimtadienis ar pan.). Vaiko teisių apsaugos skyrius gali duoti išvadą dėl vaiko išleidimo iš Centro, vaikų globos namai prieštarauja. Praktika – pradedamos sudarinėti trišalės sutartys klausimų sprendimui. </w:t>
      </w:r>
    </w:p>
    <w:p w:rsidR="00C07927" w:rsidRDefault="00C07927" w:rsidP="00C07927">
      <w:pPr>
        <w:jc w:val="both"/>
      </w:pPr>
      <w:r>
        <w:tab/>
      </w:r>
      <w:r w:rsidRPr="00E241AA">
        <w:t xml:space="preserve">Reaguodama į Statistikos departamento 2010 metų birželio mėnesį perduotą  Seimo Narkomanijos ir alkoholizmo prevencijos komisijai oficialią nesimokančių vaikų statistiką, pagal </w:t>
      </w:r>
      <w:r>
        <w:t>kurią iš viso Lietuvoje nesimokė</w:t>
      </w:r>
      <w:r w:rsidRPr="00E241AA">
        <w:t xml:space="preserve"> 15924 vaikai iki 16 metų, Komisija</w:t>
      </w:r>
      <w:r>
        <w:t xml:space="preserve"> </w:t>
      </w:r>
      <w:r w:rsidRPr="008F5261">
        <w:rPr>
          <w:bCs/>
        </w:rPr>
        <w:t>2010-07-02 raštu Nr. S-2010-6970</w:t>
      </w:r>
      <w:r w:rsidRPr="008F5261">
        <w:t xml:space="preserve"> “</w:t>
      </w:r>
      <w:r>
        <w:t>Dėl nesimokančių vaikų”</w:t>
      </w:r>
      <w:r>
        <w:rPr>
          <w:bCs/>
        </w:rPr>
        <w:t>,</w:t>
      </w:r>
      <w:r>
        <w:t xml:space="preserve"> kreipėsi į Vaiko teisių apsaugos kontrolieriaus įstaigą prašydama atlikti tyrimą bei nustatyti </w:t>
      </w:r>
      <w:r w:rsidRPr="008F5261">
        <w:rPr>
          <w:bCs/>
        </w:rPr>
        <w:t>2300</w:t>
      </w:r>
      <w:r w:rsidRPr="008F5261">
        <w:t xml:space="preserve"> </w:t>
      </w:r>
      <w:r>
        <w:t xml:space="preserve">vaikų buvimo vietą, apie kuriuos nėra jokių žinių. </w:t>
      </w:r>
    </w:p>
    <w:p w:rsidR="00C07927" w:rsidRDefault="00C07927" w:rsidP="00C07927">
      <w:pPr>
        <w:jc w:val="both"/>
      </w:pPr>
      <w:r>
        <w:tab/>
        <w:t xml:space="preserve">Komisija nurodė, kad 2010 metų birželio mėnesį buvo gauta iš Statistikos departamento ir iš Švietimo ir mokslo ministerijos informacija, pagal kurią žinių nėra apie </w:t>
      </w:r>
      <w:r w:rsidRPr="008F5261">
        <w:rPr>
          <w:bCs/>
        </w:rPr>
        <w:t>8798</w:t>
      </w:r>
      <w:r>
        <w:t xml:space="preserve"> vaikų buvimą ir mokymą, </w:t>
      </w:r>
      <w:r w:rsidRPr="00605C46">
        <w:t xml:space="preserve"> </w:t>
      </w:r>
      <w:r>
        <w:t xml:space="preserve">kur šiuo metu yra minėti vaikai yra dėl kokių priežasčių jie nesimoko šalies mokyklose.     </w:t>
      </w:r>
    </w:p>
    <w:p w:rsidR="00C07927" w:rsidRDefault="00C07927" w:rsidP="00C07927">
      <w:pPr>
        <w:jc w:val="both"/>
      </w:pPr>
      <w:r>
        <w:t xml:space="preserve"> </w:t>
      </w:r>
      <w:r>
        <w:tab/>
      </w:r>
      <w:r w:rsidRPr="00E241AA">
        <w:t xml:space="preserve">Su pakartotinu </w:t>
      </w:r>
      <w:r>
        <w:t xml:space="preserve">prašymu </w:t>
      </w:r>
      <w:r w:rsidRPr="00E241AA">
        <w:t>dėl nesimokančių vaikų,</w:t>
      </w:r>
      <w:r>
        <w:rPr>
          <w:b/>
        </w:rPr>
        <w:t xml:space="preserve"> </w:t>
      </w:r>
      <w:r>
        <w:t xml:space="preserve">Komisija 2010 12 01 raštu Nr. S-2010-11344 „Dėl nesimokančių vaikų“ vėl kreipėsi į </w:t>
      </w:r>
      <w:r>
        <w:rPr>
          <w:bCs/>
        </w:rPr>
        <w:t>Vaiko teisių apsaugos kontrolierę</w:t>
      </w:r>
      <w:r>
        <w:t xml:space="preserve"> Editą Žiobienę. </w:t>
      </w:r>
    </w:p>
    <w:p w:rsidR="00C07927" w:rsidRDefault="00C07927" w:rsidP="00C07927">
      <w:pPr>
        <w:jc w:val="both"/>
      </w:pPr>
      <w:r>
        <w:tab/>
      </w:r>
      <w:r>
        <w:rPr>
          <w:bCs/>
        </w:rPr>
        <w:t>Vaiko teisių apsaugos kontrolierė</w:t>
      </w:r>
      <w:r>
        <w:t xml:space="preserve"> Edita Žiobienė į Komisijos raštu atsakė </w:t>
      </w:r>
      <w:r w:rsidRPr="008F5261">
        <w:rPr>
          <w:bCs/>
        </w:rPr>
        <w:t>2010-12-23 raštu</w:t>
      </w:r>
      <w:r>
        <w:t xml:space="preserve"> Nr. 06-2-2409 “Dėl mokyklose nesimokančių vaikų problemų”, kad atliko tyrimą ir  pateikė atlikto tyrimo apibendrinimą, išvadas ir siūlymus.  </w:t>
      </w:r>
    </w:p>
    <w:p w:rsidR="00C07927" w:rsidRDefault="00C07927" w:rsidP="00C07927">
      <w:pPr>
        <w:jc w:val="both"/>
        <w:rPr>
          <w:b/>
          <w:bCs/>
          <w:iCs/>
        </w:rPr>
      </w:pPr>
      <w:r>
        <w:tab/>
        <w:t xml:space="preserve">Vaiko teisių apsaugos kontrolierė Edita Žiobienė padarė išvadas, kad: </w:t>
      </w:r>
    </w:p>
    <w:p w:rsidR="00C07927" w:rsidRDefault="00C07927" w:rsidP="00C07927">
      <w:pPr>
        <w:ind w:firstLine="720"/>
        <w:jc w:val="both"/>
        <w:rPr>
          <w:lang w:eastAsia="lt-LT"/>
        </w:rPr>
      </w:pPr>
      <w:r>
        <w:t>„1. Dėl Lietuvos Respublikos gyvenamosios vietos deklaravimo įstatymo nuostatų įgyvendinimo problemų nėra galimybės tiksliai apskaičiuoti iš šalies išvykusių nepilnamečių skaičių, suformuoti tikslų Mokyklose nesimokančių vaikų sąrašą bei nustatyti tikslų Lietuvos Respublikos mokymo įstaigose nesimokančių vaikų skaičių. Nors minėtas į</w:t>
      </w:r>
      <w:r>
        <w:rPr>
          <w:lang w:eastAsia="lt-LT"/>
        </w:rPr>
        <w:t>statymas sudaro prielaidas, kad gyventojai laiku deklaruotų gyvenamosios vietos pasikeitimą, įstatymo reikalavimų nežinojimas ir kitos priežastys lėmė tai, kad daugelis šeimų nėra deklaravę apie gyvenamosios vietos pasikeitimą, taip apsunkindami ir Nesimokančių vaikų duomenų bazės veikimą.</w:t>
      </w:r>
    </w:p>
    <w:p w:rsidR="00C07927" w:rsidRDefault="00C07927" w:rsidP="00C07927">
      <w:pPr>
        <w:jc w:val="both"/>
        <w:rPr>
          <w:lang w:eastAsia="lt-LT"/>
        </w:rPr>
      </w:pPr>
      <w:r>
        <w:t>Preliminariai gauti mokyklose nesimokančių mokinių skaičiai (pažymėti kaip „Nerasti“) rodo realią padėtį apie šeimas ir vaikus, kurie apie tai nedeklaravę išvyko gyventi į užsienį ir Lietuvos bendrojo lavinimo mokyklose nesimoko.</w:t>
      </w:r>
    </w:p>
    <w:p w:rsidR="00C07927" w:rsidRDefault="00C07927" w:rsidP="00C07927">
      <w:pPr>
        <w:ind w:firstLine="720"/>
        <w:jc w:val="both"/>
        <w:rPr>
          <w:lang w:eastAsia="lt-LT"/>
        </w:rPr>
      </w:pPr>
      <w:r>
        <w:rPr>
          <w:lang w:eastAsia="lt-LT"/>
        </w:rPr>
        <w:t xml:space="preserve">2. Neužtikrinama tinkama asmenų pareigų, kylančių iš </w:t>
      </w:r>
      <w:r>
        <w:t xml:space="preserve">Lietuvos Respublikos gyvenamosios vietos deklaravimo įstatymo nuostatų, </w:t>
      </w:r>
      <w:r>
        <w:rPr>
          <w:lang w:eastAsia="lt-LT"/>
        </w:rPr>
        <w:t>vykdymo kontrolė.</w:t>
      </w:r>
    </w:p>
    <w:p w:rsidR="00C07927" w:rsidRDefault="00C07927" w:rsidP="00C07927">
      <w:pPr>
        <w:ind w:firstLine="720"/>
        <w:jc w:val="both"/>
      </w:pPr>
      <w:r>
        <w:t xml:space="preserve">3. Lietuvos Respublikos švietimo ir mokslo ministro 2010 m. balandžio 13 d. įsakymu Nr. V-515 patvirtinus Nesimokančių vaikų ir mokyklos nelankančių mokinių informacinės sistemos nuostatus, </w:t>
      </w:r>
      <w:r>
        <w:rPr>
          <w:color w:val="000000"/>
        </w:rPr>
        <w:t xml:space="preserve">problemos dėl duomenų surinkimo nepakito, nes iki šios dienos nėra patvirtintas Lietuvos Respublikos Vyriausybės nutarimo projektas „Dėl Lietuvos Respublikos Vyriausybės 1997 m. rugpjūčio 4 d. nutarimo Nr. 889 „Dėl savivaldybės teritorijoje gyvenančių vaikų apskaitos tvarkos aprašo patvirtinimo“ pakeitimo“, </w:t>
      </w:r>
      <w:r>
        <w:t xml:space="preserve">aiškiai įtvirtinantis atsakingų institucijų pareigas (veiksmus), susijusias su mokyklose nesimokančių vaikų paieška bei priežasčių nustatymu – už Nesimokančių vaikų ir mokyklos nelankančių mokinių informacinės sistemos duomenų tvarkymą bei organizavimą atsakingo asmens paskyrimo ir atsakingų institucijų bendradarbiavimo klausimus, nesimokymo mokykloje sprendimo būdus, veiksmus, susijusius su poveikio priemonių taikymu ir kt. </w:t>
      </w:r>
      <w:r>
        <w:rPr>
          <w:color w:val="000000"/>
        </w:rPr>
        <w:t xml:space="preserve">Dėl šios priežasties daugelis savivaldybių, laukdamos minėtų teisės aktų pakeitimų, savivaldybės tarybos sprendimu vis dar nėra patvirtinusios </w:t>
      </w:r>
      <w:r>
        <w:t xml:space="preserve">Duomenų apie nesimokančius vaikus paieškos bei priežasčių nustatymo atitinkamoje savivaldybėje tvarkos. </w:t>
      </w:r>
    </w:p>
    <w:p w:rsidR="00C07927" w:rsidRDefault="00C07927" w:rsidP="00C07927">
      <w:pPr>
        <w:ind w:firstLine="720"/>
        <w:jc w:val="both"/>
      </w:pPr>
      <w:r>
        <w:rPr>
          <w:szCs w:val="22"/>
        </w:rPr>
        <w:lastRenderedPageBreak/>
        <w:t xml:space="preserve">4. </w:t>
      </w:r>
      <w:r>
        <w:rPr>
          <w:color w:val="000000"/>
        </w:rPr>
        <w:t xml:space="preserve">Dėl užtrukusių </w:t>
      </w:r>
      <w:r>
        <w:t xml:space="preserve">Nesimokančių vaikų ir mokyklos nelankančių mokinių informacinės sistemos nuostatų ir specifikacijos tvirtinimo procedūrų bei </w:t>
      </w:r>
      <w:r>
        <w:rPr>
          <w:color w:val="000000"/>
        </w:rPr>
        <w:t xml:space="preserve">programinės įrangos sukūrimo darbų </w:t>
      </w:r>
      <w:r>
        <w:rPr>
          <w:rStyle w:val="apple-style-span"/>
          <w:color w:val="000000"/>
        </w:rPr>
        <w:t xml:space="preserve">Nesimokančių vaikų informacinės duomenų bazė funkcionuoja netobulai. </w:t>
      </w:r>
      <w:r>
        <w:rPr>
          <w:color w:val="000000"/>
        </w:rPr>
        <w:t>Duomenų bazėj</w:t>
      </w:r>
      <w:r>
        <w:t>e „Nesimokantys“ kaupiami duomenys ne visada tikslūs, yra įtakoti korektūros, techninių ir kitokių klaidų.</w:t>
      </w:r>
    </w:p>
    <w:p w:rsidR="00C07927" w:rsidRDefault="00C07927" w:rsidP="00C07927">
      <w:pPr>
        <w:ind w:firstLine="720"/>
        <w:jc w:val="both"/>
      </w:pPr>
      <w:r>
        <w:rPr>
          <w:szCs w:val="22"/>
        </w:rPr>
        <w:t xml:space="preserve">5. </w:t>
      </w:r>
      <w:r>
        <w:rPr>
          <w:iCs/>
          <w:color w:val="000000"/>
        </w:rPr>
        <w:t xml:space="preserve">Ribota asmenų, organizuojančių mokyklose nesimokančių vaikų paiešką bei priežasčių nustatymą, galimybė </w:t>
      </w:r>
      <w:r>
        <w:t>surinkti papildomą informaciją iš kaimynų, giminaičių, suinteresuotų institucijų apie vaikus, kurių šeimos, išvykdamos iš deklaruotos gyvenamosios vietos, apie tai neinformavo seniūnijos ar atitinkamo savivaldybės administracijos padalinio.</w:t>
      </w:r>
    </w:p>
    <w:p w:rsidR="00C07927" w:rsidRDefault="00C07927" w:rsidP="00C07927">
      <w:pPr>
        <w:jc w:val="both"/>
        <w:rPr>
          <w:szCs w:val="22"/>
        </w:rPr>
      </w:pPr>
      <w:r>
        <w:t>Ne visada tinkamas savivaldybių administracijų atsakingiems specialistams nustatytos pareigos − išsiaiškinti į nesimokančių vaikų sąrašą patekusių nepilnamečių nesimokymo priežastis − vykdymas.</w:t>
      </w:r>
    </w:p>
    <w:p w:rsidR="00C07927" w:rsidRDefault="00C07927" w:rsidP="00C07927">
      <w:pPr>
        <w:ind w:firstLine="720"/>
        <w:jc w:val="both"/>
        <w:rPr>
          <w:iCs/>
          <w:color w:val="000000"/>
        </w:rPr>
      </w:pPr>
      <w:r>
        <w:rPr>
          <w:szCs w:val="22"/>
        </w:rPr>
        <w:t>6. Užtikrinant vaiko mokymąsi pagal privalomojo švietimo programas ne visada pakankamas tarpinstitucinis bendradarbiavimas ir pagalbą teikiančių institucijų įtraukimas į priežasčių nustatymo ir problemų sprendimo procesą, ribotas vaiko ir šeimos atžvilgiu taikomų poveikio priemonių spektras − paprastai apsiribojama profilaktiniais pokalbiais ar žodiniu įspėjimu dėl gresiančios administracinės atsakomybės dėl nepakankamo tėvų valdžios panaudojimo ar panaudojimo priešingai vaiko interesams, nepakankamai plačiai naudojamasi Lietuvos Respublikos vaiko minimalios ir vidutinės priežiūros įstatyme įtvirtintomis galimybėmis dėl minimalios ar vidutinės priežiūros priemonės vaikui skyrimo, retai surašomi administracinio teisės pažeidimo protokolai už Lietuvos Respublikos administracinių teisės pažeidimų kodekso 181 straipsnio nuostatų pažeidimus,</w:t>
      </w:r>
      <w:r>
        <w:rPr>
          <w:iCs/>
          <w:color w:val="000000"/>
        </w:rPr>
        <w:t xml:space="preserve"> nėra taikomos civilinės ir baudžiamosios poveikio priemonės už </w:t>
      </w:r>
      <w:r>
        <w:rPr>
          <w:iCs/>
        </w:rPr>
        <w:t>vaiko iki 16 metų mokymosi pagal privalomojo švietimo programas</w:t>
      </w:r>
      <w:r>
        <w:rPr>
          <w:iCs/>
          <w:color w:val="000000"/>
        </w:rPr>
        <w:t xml:space="preserve"> neužtikrinimą.</w:t>
      </w:r>
    </w:p>
    <w:p w:rsidR="00C07927" w:rsidRDefault="00C07927" w:rsidP="00C07927">
      <w:pPr>
        <w:ind w:firstLine="720"/>
        <w:jc w:val="both"/>
      </w:pPr>
      <w:r>
        <w:t xml:space="preserve">7. Trūksta tėvų geranoriško bendradarbiavimo  kaupiant informaciją apie jų vaiko mokyklos nelankymo priežastis, taikant prevencines priemones, organizuojant atitinkamos pagalbos vaikui ir šeimai teikimą. </w:t>
      </w:r>
    </w:p>
    <w:p w:rsidR="00C07927" w:rsidRDefault="00C07927" w:rsidP="00C07927">
      <w:pPr>
        <w:ind w:firstLine="720"/>
        <w:jc w:val="both"/>
      </w:pPr>
      <w:r>
        <w:t>8. Ne visos savivaldybės veda apskaitą apie mokyklos nelankančius 17 – 18 metų vaikus. Vaiko teisių apsaugos skyrius apie nesimokančius vyresnius nei 16 metų vaikus dažnai sužino tais atvejais, kai vaikas auga socialinės rizikos šeimoje, jam yra nustatyta rūpyba, vaikas daro nusikaltimo ar baudžiamojo nusižengimo bei administracinių teisės pažeidimų požymių turinčias veikas ar kitais atvejais, kai, pavyzdžiui, tenka atstovauti vaiko teises ir teisėtus interesus teismuose ir pan.“.</w:t>
      </w:r>
    </w:p>
    <w:p w:rsidR="00C07927" w:rsidRDefault="00C07927" w:rsidP="00C07927">
      <w:pPr>
        <w:ind w:firstLine="720"/>
        <w:jc w:val="both"/>
      </w:pPr>
      <w:r>
        <w:t>Vaiko teisių apsaugos kontrolierė Editos Žiobienė pasiūlė:</w:t>
      </w:r>
    </w:p>
    <w:p w:rsidR="00C07927" w:rsidRDefault="00C07927" w:rsidP="00C07927">
      <w:pPr>
        <w:ind w:firstLine="720"/>
        <w:jc w:val="both"/>
      </w:pPr>
      <w:r>
        <w:t>„1. Atsižvelgus į Lietuvos Respublikos gyvenamosios vietos deklaravimo įstatymo nuostatų įgyvendinimo problemas ir siekiant, kad asmenys, išvykstantys iš Lietuvos ilgesniam nei šešių mėnesių laikotarpiui  ar keičiantys gyvenamąją vietą, apie tai informuotų atitinkamas institucijas, siūlytina:</w:t>
      </w:r>
    </w:p>
    <w:p w:rsidR="00C07927" w:rsidRDefault="00C07927" w:rsidP="00C07927">
      <w:pPr>
        <w:ind w:firstLine="720"/>
        <w:jc w:val="both"/>
      </w:pPr>
      <w:r>
        <w:t xml:space="preserve">1.1. Didinti visuomenės informatyvumą apie įstatyme įtvirtintą pareigą informuoti apie gyvenamosios vietos pasikeitimus.         </w:t>
      </w:r>
    </w:p>
    <w:p w:rsidR="00C07927" w:rsidRDefault="00C07927" w:rsidP="00C07927">
      <w:pPr>
        <w:ind w:firstLine="720"/>
        <w:jc w:val="both"/>
        <w:rPr>
          <w:lang w:eastAsia="lt-LT"/>
        </w:rPr>
      </w:pPr>
      <w:r>
        <w:t xml:space="preserve">1.2. Svarstyti klausimą dėl galimybės </w:t>
      </w:r>
      <w:r>
        <w:rPr>
          <w:lang w:eastAsia="lt-LT"/>
        </w:rPr>
        <w:t>susieti asmens gyvenamąją vietą ir pragyventą joje laiką su mokesčių/išmokų sistema.</w:t>
      </w:r>
    </w:p>
    <w:p w:rsidR="00C07927" w:rsidRDefault="00C07927" w:rsidP="00C07927">
      <w:pPr>
        <w:ind w:firstLine="720"/>
        <w:jc w:val="both"/>
        <w:rPr>
          <w:color w:val="000000"/>
        </w:rPr>
      </w:pPr>
      <w:r>
        <w:rPr>
          <w:lang w:eastAsia="lt-LT"/>
        </w:rPr>
        <w:t xml:space="preserve">2. Atsižvelgus į praktinius savivaldybių pastebėjimus, tobulinti ir užtikrinti tinkamą </w:t>
      </w:r>
      <w:r>
        <w:t xml:space="preserve">Nesimokančių vaikų ir mokyklos nelankančių mokinių informacinės sistemos funkcionavimą, leidžiantį surinkti tikslesnius duomenis apie nesimokančių ir mokyklos nelankančių vaikus, </w:t>
      </w:r>
      <w:r>
        <w:rPr>
          <w:color w:val="000000"/>
        </w:rPr>
        <w:t>taip užtikrinant galimybę, juos išsiaiškinus, greičiau imtis kompleksinių priemonių, skirtų jų teisei į mokslą užtikrinti.</w:t>
      </w:r>
    </w:p>
    <w:p w:rsidR="00C07927" w:rsidRDefault="00C07927" w:rsidP="00C07927">
      <w:pPr>
        <w:ind w:firstLine="720"/>
        <w:jc w:val="both"/>
      </w:pPr>
      <w:r>
        <w:t>3. Stiprinti prevencinę veiklą, skirtą mažinti mokyklos nelankančių vaikų skaičių, užtikrinti tinkamą Lietuvos Respublikos švietimo ir mokslo ministro 2010 m. spalio 7 d. įsakymu Nr. V-1688 patvirtintos Mokyklos nelankančių vaikų sugrąžinimo į mokyklas programos įgyvendinimą, nenutrūkstamą prevencijos priemonių finansavimą.</w:t>
      </w:r>
    </w:p>
    <w:p w:rsidR="00C07927" w:rsidRDefault="00C07927" w:rsidP="00C07927">
      <w:pPr>
        <w:ind w:firstLine="720"/>
        <w:jc w:val="both"/>
        <w:rPr>
          <w:color w:val="000000"/>
        </w:rPr>
      </w:pPr>
      <w:r>
        <w:t>4.</w:t>
      </w:r>
      <w:r>
        <w:rPr>
          <w:color w:val="000000"/>
        </w:rPr>
        <w:t xml:space="preserve"> Skubos tvarka svarstyti Lietuvos Respublikos Vyriausybės nutarimo projekto „Dėl Lietuvos Respublikos Vyriausybės 1997 m. rugpjūčio 4 d. nutarimo Nr. 889 „Dėl savivaldybės teritorijoje gyvenančių vaikų apskaitos tvarkos aprašo patvirtinimo“ pakeitimo“ priėmimo klausimą.</w:t>
      </w:r>
    </w:p>
    <w:p w:rsidR="00C07927" w:rsidRDefault="00C07927" w:rsidP="00C07927">
      <w:pPr>
        <w:ind w:firstLine="720"/>
        <w:jc w:val="both"/>
        <w:rPr>
          <w:color w:val="000000"/>
        </w:rPr>
      </w:pPr>
      <w:r>
        <w:rPr>
          <w:color w:val="000000"/>
        </w:rPr>
        <w:t>5. Informuoti Lietuvos Respublikos Seimo Švietimo, mokslo ir kultūros komitetą apie vaiko teisių apsaugos kontrolieriaus atlikto tyrimo metu nustatytas mokyklose nesimokančių vaikų problemas.”</w:t>
      </w:r>
    </w:p>
    <w:p w:rsidR="00C07927" w:rsidRDefault="00C07927" w:rsidP="00C07927">
      <w:pPr>
        <w:ind w:firstLine="720"/>
        <w:jc w:val="both"/>
        <w:rPr>
          <w:color w:val="000000"/>
        </w:rPr>
      </w:pPr>
      <w:r>
        <w:t xml:space="preserve">Susipažinus su Vaiko teisių apsaugos kontrolierės Editos Žiobienės prie tyrimo medžiagos pridėta informacija  apie nesimokančius vaikus ( 7-16 m.), matyti, kad informacijos kontrolierei dėl </w:t>
      </w:r>
      <w:r>
        <w:lastRenderedPageBreak/>
        <w:t xml:space="preserve">mokyklos nelankančių vaikų ir dėl nežinia kur esančių </w:t>
      </w:r>
      <w:r w:rsidRPr="00AB5AE1">
        <w:t>vaikų</w:t>
      </w:r>
      <w:r w:rsidRPr="00AB5AE1">
        <w:rPr>
          <w:bCs/>
        </w:rPr>
        <w:t xml:space="preserve"> nepateikė šios savivaldybės</w:t>
      </w:r>
      <w:r>
        <w:rPr>
          <w:b/>
          <w:bCs/>
        </w:rPr>
        <w:t xml:space="preserve"> </w:t>
      </w:r>
      <w:r>
        <w:t xml:space="preserve">: Alytaus m.- dėl 515 vaikų, Elektrėnai -105 , Kauno r.-502, Klaipėdos m. -1138, Kretingos - 141, Lazdijų -77, Mažeikių - 308, Neringos- 16, Palangos - 130, Panevėžio r. - 162, Rietavo - 22, Šiaulių m.669 -, Švenčionių - 72, Telšių - 308, Ukmergės - 165, Utenos - 136, Vilniaus m. -2593, Vilniaus r.- 214.   </w:t>
      </w:r>
    </w:p>
    <w:p w:rsidR="00C07927" w:rsidRDefault="00C07927" w:rsidP="00C07927">
      <w:pPr>
        <w:ind w:firstLine="720"/>
        <w:jc w:val="both"/>
      </w:pPr>
      <w:r w:rsidRPr="00AB5AE1">
        <w:rPr>
          <w:bCs/>
        </w:rPr>
        <w:t xml:space="preserve">Kelios </w:t>
      </w:r>
      <w:r>
        <w:t xml:space="preserve">savivaldybės nurodė, kad nesimokančių vaikų </w:t>
      </w:r>
      <w:r w:rsidRPr="00AB5AE1">
        <w:rPr>
          <w:bCs/>
        </w:rPr>
        <w:t>nėra</w:t>
      </w:r>
      <w:r>
        <w:t xml:space="preserve">, kai tuo tarpu Švietimo informacinių technologijų centras pateikė priešingą informaciją. </w:t>
      </w:r>
    </w:p>
    <w:p w:rsidR="00C07927" w:rsidRDefault="00C07927" w:rsidP="00C07927">
      <w:pPr>
        <w:ind w:firstLine="720"/>
        <w:jc w:val="both"/>
      </w:pPr>
      <w:r>
        <w:t>Pvz., Birštono savivaldybė nurodė – nesimokančių nėra, Švietimo informacinių technologijų centras- nurodė 32; Ignalina – nėra, ŠITC nurodė  – 42; Jurbarkas – nėra, ŠITC nurodė  – 134; Klaipėdos r. – nėra, ŠITC nurodė – 256;  Pakruojis – nėra, ŠITC nurodė  – 104; Plungė – nėra, ŠITC nurodė  214;  Trakai – nėra, ŠITC nurodė – 76.</w:t>
      </w:r>
    </w:p>
    <w:p w:rsidR="00C07927" w:rsidRDefault="00C07927" w:rsidP="00C07927">
      <w:pPr>
        <w:ind w:firstLine="720"/>
        <w:jc w:val="both"/>
        <w:rPr>
          <w:b/>
          <w:bCs/>
        </w:rPr>
      </w:pPr>
      <w:r w:rsidRPr="00AB5AE1">
        <w:rPr>
          <w:bCs/>
        </w:rPr>
        <w:t xml:space="preserve">Kitų </w:t>
      </w:r>
      <w:r w:rsidRPr="00AB5AE1">
        <w:t xml:space="preserve">savivaldybių ir Švietimo informacinių technologijų centro pateikti duomenys ženkliai </w:t>
      </w:r>
      <w:r w:rsidRPr="00AB5AE1">
        <w:rPr>
          <w:bCs/>
        </w:rPr>
        <w:t>skirtingi</w:t>
      </w:r>
      <w:r>
        <w:rPr>
          <w:b/>
          <w:bCs/>
        </w:rPr>
        <w:t>:</w:t>
      </w:r>
    </w:p>
    <w:p w:rsidR="00C07927" w:rsidRDefault="00C07927" w:rsidP="00C07927">
      <w:pPr>
        <w:ind w:firstLine="720"/>
        <w:jc w:val="both"/>
      </w:pPr>
      <w:r w:rsidRPr="00AB5AE1">
        <w:rPr>
          <w:bCs/>
        </w:rPr>
        <w:t xml:space="preserve"> Pvz., nurodyti skaičiai</w:t>
      </w:r>
      <w:r>
        <w:rPr>
          <w:b/>
          <w:bCs/>
        </w:rPr>
        <w:t xml:space="preserve">  </w:t>
      </w:r>
      <w:r>
        <w:t xml:space="preserve">Akmenė – 123, ŠITC – 135; Druskininkai – 1, ŠITC – 81; Kaišiadorys – 6, ŠITC – 110;  Kalvarijos –22, ŠITC – 43;  Kauno – 218, ŠITC – 2134;  Kelmė - 12, ŠITC – 266;  Kupiškis - 50, ŠITC – 50;  Prienai –1, ŠITC – 147;  Radviliškis – 154, ŠITC – 244;  Raseiniai –63, ŠITC – 116;  Skuodas – 35, ŠITC – 102;  Šakiai – 3, ŠITC – 140;  Šilalė – 1, ŠITC – 109;  Šilutė – 72, ŠITC – 565;  Širvintos –3, ŠITC – 56;  Varėna – 4, ŠITC – 89 ir kt. </w:t>
      </w:r>
    </w:p>
    <w:p w:rsidR="00C07927" w:rsidRDefault="00C07927" w:rsidP="00C07927">
      <w:pPr>
        <w:ind w:firstLine="720"/>
        <w:jc w:val="both"/>
        <w:rPr>
          <w:rStyle w:val="apple-style-span"/>
          <w:color w:val="000000"/>
        </w:rPr>
      </w:pPr>
      <w:r w:rsidRPr="00FD57F0">
        <w:t>Vaiko teisių apsaugos kontrolierė daugiau akcent</w:t>
      </w:r>
      <w:r>
        <w:t>avo</w:t>
      </w:r>
      <w:r w:rsidRPr="00FD57F0">
        <w:t xml:space="preserve"> teisės aktų </w:t>
      </w:r>
      <w:r>
        <w:t>p</w:t>
      </w:r>
      <w:r w:rsidRPr="00FD57F0">
        <w:t>roblemas</w:t>
      </w:r>
      <w:r>
        <w:t xml:space="preserve">, </w:t>
      </w:r>
      <w:r w:rsidRPr="00551D80">
        <w:t xml:space="preserve"> </w:t>
      </w:r>
      <w:r>
        <w:rPr>
          <w:rStyle w:val="apple-style-span"/>
          <w:color w:val="000000"/>
        </w:rPr>
        <w:t xml:space="preserve">netobulumus, </w:t>
      </w:r>
      <w:r>
        <w:t xml:space="preserve">pažymėjo vaiko teisę į mokslą ir vaiko pareigą mokytis iki 16 metų. </w:t>
      </w:r>
      <w:r>
        <w:rPr>
          <w:rStyle w:val="apple-style-span"/>
          <w:color w:val="000000"/>
        </w:rPr>
        <w:t xml:space="preserve"> Tiek valstybė (jos institucijos), tiek vaiko tėvai (vaiko globėjai/rūpintojai) turi  pareigą užtikrinti, kad būtų sudarytos realios galimybės ir sąlygos įgyti privalomą išsilavinimą bei užtikrinti vaiko teisės į mokslą įgyvendinimą, bet išsamaus teisinio reglamentavimo, kokiomis priemonėmis turi būti užtikrintas visų vaikų  mokymasis pagal bendrojo lavinimo programas, nėra. Vengiant vykdyti savo pareigas, gali būti taikoma civilinė atsakomybė - tėvų valdžios apribojimas (CK 3.180 straipsnis). Išimtinė (kraštutinė) teisinės atsakomybės rūšis gali būti taikoma baudžiamoji atsakomybė ir kt.</w:t>
      </w:r>
    </w:p>
    <w:p w:rsidR="00C07927" w:rsidRPr="00551D80" w:rsidRDefault="00C07927" w:rsidP="00C07927">
      <w:pPr>
        <w:ind w:firstLine="720"/>
        <w:jc w:val="both"/>
        <w:rPr>
          <w:color w:val="000000"/>
          <w:u w:val="single"/>
        </w:rPr>
      </w:pPr>
      <w:r>
        <w:rPr>
          <w:rStyle w:val="apple-style-span"/>
          <w:color w:val="000000"/>
        </w:rPr>
        <w:t xml:space="preserve"> </w:t>
      </w:r>
      <w:r>
        <w:t xml:space="preserve">Atlikdama tyrimą, Vaiko teisių apsaugos kontrolierė Edita Žiobienė paprašė savivaldybių administracijų užpildyti anketą apie šiuos vaikus, nurodant jų vardus ir pavardes, gimimo metus, gyvenamosios vietos adresą, pateikiant duomenis apie konkrečią vaiko nesimokymo priežastį ir priemones, kurių buvo imtasi vaiko ir šeimos atžvilgiu, siekiant užtikrinti tinkamą vaiko teisės į mokslą įgyvendinimą bei institucijas, dalyvaujančias pagalbos teikimo vaikui ir šeimai procese. </w:t>
      </w:r>
      <w:r w:rsidRPr="006A0FC9">
        <w:t xml:space="preserve"> </w:t>
      </w:r>
      <w:r>
        <w:rPr>
          <w:rStyle w:val="apple-style-span"/>
          <w:color w:val="000000"/>
        </w:rPr>
        <w:t xml:space="preserve"> </w:t>
      </w:r>
    </w:p>
    <w:p w:rsidR="00C07927" w:rsidRDefault="00C07927" w:rsidP="00C07927">
      <w:pPr>
        <w:jc w:val="both"/>
      </w:pPr>
      <w:r>
        <w:tab/>
        <w:t>Toki būdu, nuo 2009 metų Komisijoje pradėto tyrimo iki Vaiko teisių apsaugos kontrolierės Editos Žiobienės  tyrimo pabaigos (</w:t>
      </w:r>
      <w:r>
        <w:rPr>
          <w:bCs/>
        </w:rPr>
        <w:t>Vaiko teisių apsaugos kontrolierė</w:t>
      </w:r>
      <w:r>
        <w:t xml:space="preserve"> Edita Žiobienė </w:t>
      </w:r>
      <w:r w:rsidRPr="00652A19">
        <w:rPr>
          <w:bCs/>
        </w:rPr>
        <w:t>2010-12-23</w:t>
      </w:r>
      <w:r>
        <w:rPr>
          <w:b/>
          <w:bCs/>
        </w:rPr>
        <w:t xml:space="preserve"> </w:t>
      </w:r>
      <w:r w:rsidRPr="00D068FE">
        <w:rPr>
          <w:bCs/>
        </w:rPr>
        <w:t>raštas</w:t>
      </w:r>
      <w:r w:rsidRPr="00D068FE">
        <w:t xml:space="preserve"> </w:t>
      </w:r>
      <w:r>
        <w:t xml:space="preserve">Nr. 06-2-2409 “Dėl mokyklose nesimokančių vaikų problemų”), statistika dėl nesimokančių mokyklose vaikų iš esmės nepasikeitė, jų padaugėjo, bet  nepaaiškėjo kur dabartiniu metu yra tie vaikai ir, ar jie iš viso kur nors mokosi. </w:t>
      </w:r>
      <w:r>
        <w:rPr>
          <w:bCs/>
        </w:rPr>
        <w:t>Vaiko teisių apsaugos kontrolierė</w:t>
      </w:r>
      <w:r>
        <w:t xml:space="preserve"> Edita Žiobienė duomenyse įrašė, kad tie vaikai  „nerasti“.  </w:t>
      </w:r>
    </w:p>
    <w:p w:rsidR="00C07927" w:rsidRDefault="00C07927" w:rsidP="00C07927">
      <w:pPr>
        <w:jc w:val="both"/>
      </w:pPr>
      <w:r>
        <w:tab/>
        <w:t xml:space="preserve">Vaiko teisių apsaugos kontrolierės Editos Žiobienės ir  Švietimo informacinių technologijų centro bei  savivaldybių pateikti duomenys  nesutapo. </w:t>
      </w:r>
    </w:p>
    <w:p w:rsidR="00C07927" w:rsidRDefault="00C07927" w:rsidP="00C07927">
      <w:pPr>
        <w:jc w:val="both"/>
      </w:pPr>
      <w:r>
        <w:t xml:space="preserve"> </w:t>
      </w:r>
      <w:r>
        <w:tab/>
        <w:t xml:space="preserve">Susipažinus su Vaiko teisių apsaugos kontrolierės tyrimo rezultatais,  Komisija 2011 01  19 raštu Nr. S-2011- 585 „Dėl informacijos pateikimo“  kreipėsi į Lietuvos Respublikos Švietimo ir mokslo ministeriją su prašymu dėl nesimokančių vaikų  pateikti papildomą informaciją.   </w:t>
      </w:r>
    </w:p>
    <w:p w:rsidR="00C07927" w:rsidRPr="007D506D" w:rsidRDefault="00C07927" w:rsidP="00C07927">
      <w:pPr>
        <w:ind w:firstLine="720"/>
        <w:jc w:val="both"/>
      </w:pPr>
      <w:r>
        <w:t>Komisija nurodė</w:t>
      </w:r>
      <w:r w:rsidRPr="007D506D">
        <w:t>, kad Lietuvos Respublikos Vyriausybė 2008</w:t>
      </w:r>
      <w:r w:rsidRPr="007D506D">
        <w:rPr>
          <w:b/>
          <w:bCs/>
        </w:rPr>
        <w:t xml:space="preserve"> </w:t>
      </w:r>
      <w:r w:rsidRPr="007D506D">
        <w:t>metais spalio 22 d. nutarimu Nr. 1081 “ Dėl Lietuvos Respublikos Vyriausybės 1997 m. rugpjūčio 4 d. nutarimo Nr. 889 “Mokyklinio amžiaus vaikų iki 16 metų apskaitos tvarkos patvirtinimo” pakeitimo” patvirtino Savivaldybės teritorijoje gyvenančių vaikų apskaitos tvarkos aprašą (</w:t>
      </w:r>
      <w:r>
        <w:t xml:space="preserve"> </w:t>
      </w:r>
      <w:r w:rsidRPr="007D506D">
        <w:t xml:space="preserve">Žin., 2008, Nr. 126 – 4809), pagal kurį </w:t>
      </w:r>
      <w:r w:rsidRPr="00652A19">
        <w:t>nuo 2009 m. rugsėjo 1 d.</w:t>
      </w:r>
      <w:r w:rsidRPr="007D506D">
        <w:t xml:space="preserve"> kitaip organizuojama  nesimokančių vaikų ir mokyklos nelankančių mokinių apskaita. Šiame apraše buvo apibrėžtos naujos sąvokos  “nesimokantis vaikas” ir “mokyklos nelankantis mokinys”. Nesimokantis vaikas apibrėžiamas kaip Lietuvos Respublikos gyventojų registre įregistruotas vaikas  iki 18 metų, bet</w:t>
      </w:r>
      <w:r w:rsidRPr="007D506D">
        <w:rPr>
          <w:b/>
          <w:bCs/>
        </w:rPr>
        <w:t xml:space="preserve"> </w:t>
      </w:r>
      <w:r w:rsidRPr="007D506D">
        <w:t>nėra ir nė karto nebuvo registruotas nė vienoje šalies mokykloje ( t.y. nėra įregistruotas Mokinių registre).</w:t>
      </w:r>
      <w:r>
        <w:t xml:space="preserve"> </w:t>
      </w:r>
      <w:r w:rsidRPr="007D506D">
        <w:t>Mokyklos nelankantis mokinys – vaikas,</w:t>
      </w:r>
      <w:r w:rsidRPr="007D506D">
        <w:rPr>
          <w:b/>
          <w:bCs/>
        </w:rPr>
        <w:t xml:space="preserve"> </w:t>
      </w:r>
      <w:r w:rsidRPr="007D506D">
        <w:t xml:space="preserve"> įregistruotas Mokinių registre, tačiau per mėnesį be pateisinamos priežasties praleidęs daugiau kaip pusę pamokų pagal privalomojo švietimo programas. </w:t>
      </w:r>
    </w:p>
    <w:p w:rsidR="00C07927" w:rsidRPr="007D506D" w:rsidRDefault="00C07927" w:rsidP="00C07927">
      <w:pPr>
        <w:ind w:firstLine="720"/>
        <w:jc w:val="both"/>
      </w:pPr>
      <w:r>
        <w:t>K</w:t>
      </w:r>
      <w:r w:rsidRPr="007D506D">
        <w:t xml:space="preserve">omisija </w:t>
      </w:r>
      <w:r>
        <w:t>paprašė pateikti papildomą medžiagą:</w:t>
      </w:r>
      <w:r w:rsidRPr="007D506D">
        <w:t xml:space="preserve"> </w:t>
      </w:r>
    </w:p>
    <w:p w:rsidR="00C07927" w:rsidRPr="007D506D" w:rsidRDefault="00C07927" w:rsidP="00C07927">
      <w:pPr>
        <w:ind w:firstLine="720"/>
        <w:jc w:val="both"/>
        <w:rPr>
          <w:bCs/>
        </w:rPr>
      </w:pPr>
      <w:r w:rsidRPr="007D506D">
        <w:rPr>
          <w:bCs/>
        </w:rPr>
        <w:t xml:space="preserve">1) ar yra nustatytas galutinis nesimokančių 2009 - 2010 metais vaikų skaičius ir kokių priemonių ėmėsi mokyklų vadovai kartu su švietimo skyriais, kad šie vaikai peržengtų mokyklos slenkstį ir  į kokias institucijas buvo kreiptasi; </w:t>
      </w:r>
    </w:p>
    <w:p w:rsidR="00C07927" w:rsidRPr="007D506D" w:rsidRDefault="00C07927" w:rsidP="00C07927">
      <w:pPr>
        <w:ind w:firstLine="720"/>
        <w:jc w:val="both"/>
        <w:rPr>
          <w:bCs/>
        </w:rPr>
      </w:pPr>
      <w:r w:rsidRPr="007D506D">
        <w:rPr>
          <w:bCs/>
        </w:rPr>
        <w:lastRenderedPageBreak/>
        <w:t>2) koks skaičius vaikų 2009 - 2010 mokslo metais  ir 2010 – 2011 meto mokslo metais nelankė mokyklos ir kokių priemonių ėmėsi mokyklų vadovai kartu su savivaldybių švietimo skyriais, kad šie vaikai pastoviai lankytų mokyklą;</w:t>
      </w:r>
    </w:p>
    <w:p w:rsidR="00C07927" w:rsidRPr="007D506D" w:rsidRDefault="00C07927" w:rsidP="00C07927">
      <w:pPr>
        <w:ind w:firstLine="720"/>
        <w:jc w:val="both"/>
        <w:rPr>
          <w:bCs/>
        </w:rPr>
      </w:pPr>
      <w:r w:rsidRPr="007D506D">
        <w:rPr>
          <w:bCs/>
        </w:rPr>
        <w:t>3) kokios 2011 metais sudarytos galimybės mokytis  neįgaliems vaikams.</w:t>
      </w:r>
    </w:p>
    <w:p w:rsidR="00C07927" w:rsidRDefault="00C07927" w:rsidP="00C07927">
      <w:pPr>
        <w:jc w:val="both"/>
      </w:pPr>
      <w:r>
        <w:tab/>
        <w:t xml:space="preserve">Švietimo ir mokslo ministerija 2011 02 14 raštu SR-569 „Dėl informacijos pateikimo“ atsakė, kad mokyklos nelankančių mokyklinio amžiaus vaikų iki 16 metų apskaita Lietuvoje iki 2009 m. buvo renkama ir tvarkoma neautomatizuotai, pagal savivaldybių turimą informaciją. Lietuvos Respublikos Vyriausybei patvirtinus 2008 m. spalio 22 d. Savivaldybės teritorijoje gyvenančių vaikų apskaitos tvarkos aprašą, nuo 2009 m. rugsėjo 1 d. pradėta kitaip organizuoti nesimokančių vaikų ir mokyklos nelankančių mokinių apskaita. Vadovaudamasi minėtu nutarimu Švietimo ir mokslo ministerija įsteigė Nesimokančių vaikų ir mokyklos nelankančių mokinių informacinę sistemą. 2009 metais </w:t>
      </w:r>
      <w:r w:rsidRPr="00652A19">
        <w:t>užfiksuoti 15924 šalies mokyklose nesimokantys</w:t>
      </w:r>
      <w:r>
        <w:t xml:space="preserve"> 7-16 metų amžiaus vaikai. Iš jų 6889 vaikai buvo emigravę iš šalies, tačiau išvykimo nedeklaravę, </w:t>
      </w:r>
      <w:r w:rsidRPr="00652A19">
        <w:t xml:space="preserve">239 </w:t>
      </w:r>
      <w:r>
        <w:t xml:space="preserve">mokyklos nelankė dėl socialinių, psichologinių ar kitų priežasčių. 8796 vaikai į nesimokančių ir mokyklos nelankančių vaikų sąrašus pakliuvo dėl techninių klaidų. Apie 2010-2011 mokslo metais mokyklos nelankančius mokinius informacija buvo tikslinama. 2009 – 2010 mokslo metais bendrojo lavinimo mokyklose dirbo 988 socialiniai pedagogai. Veikia 19 jaunimo mokyklų. Specialiųjų ugdymosi poreikių mokiniai yra ugdomi bendrojo lavinimo mokyklose pilnos arba dalinės integracijos forma arba specialiosiose ugdymo įstaigose, o negalintys lankyti mokyklos, ugdomi namuose vadovaujantis Moksleivių mokymo namuose organizavimo tvarkos aprašu. </w:t>
      </w:r>
    </w:p>
    <w:p w:rsidR="00C07927" w:rsidRDefault="00C07927" w:rsidP="00C07927">
      <w:pPr>
        <w:ind w:firstLine="720"/>
        <w:jc w:val="both"/>
      </w:pPr>
      <w:r>
        <w:t>Komisija 2011 01 19 raštu Nr. S-2011-587 „Dėl informacijos pateikimo“ taip pat  kreipėsi į Policijos generalinį komisarą V. Telyčėną dėl informacijos</w:t>
      </w:r>
      <w:r w:rsidRPr="00A27560">
        <w:t xml:space="preserve"> apie vaikus (iki 18 metų), kurie yra įregistruoti  Lietuvos Respublikos gyventojų registre ir nė karto nebuvo registruoti nė vienoje šalies mokykloje</w:t>
      </w:r>
      <w:r>
        <w:t xml:space="preserve">. Komisija nurodė, kad ši informacija </w:t>
      </w:r>
      <w:r w:rsidRPr="00A27560">
        <w:t>pateikiama netiksli ir</w:t>
      </w:r>
      <w:r>
        <w:t xml:space="preserve">, kad </w:t>
      </w:r>
      <w:r w:rsidRPr="00A27560">
        <w:t xml:space="preserve"> galutinis skaičius nėra aiškus net ir po Vaiko teisių apsaugos kontrolierės atlikto tyrimo. </w:t>
      </w:r>
    </w:p>
    <w:p w:rsidR="00C07927" w:rsidRPr="00A27560" w:rsidRDefault="00C07927" w:rsidP="00C07927">
      <w:pPr>
        <w:ind w:firstLine="720"/>
        <w:jc w:val="both"/>
        <w:rPr>
          <w:bCs/>
        </w:rPr>
      </w:pPr>
      <w:r>
        <w:t xml:space="preserve"> </w:t>
      </w:r>
      <w:r>
        <w:rPr>
          <w:bCs/>
        </w:rPr>
        <w:t xml:space="preserve">Komisija paprašė  policijos generalinio komisaro </w:t>
      </w:r>
      <w:r w:rsidRPr="00A27560">
        <w:rPr>
          <w:bCs/>
        </w:rPr>
        <w:t>pateikti informaciją:</w:t>
      </w:r>
    </w:p>
    <w:p w:rsidR="00C07927" w:rsidRPr="00A27560" w:rsidRDefault="00C07927" w:rsidP="00C07927">
      <w:pPr>
        <w:ind w:firstLine="720"/>
        <w:jc w:val="both"/>
      </w:pPr>
      <w:r w:rsidRPr="00A27560">
        <w:rPr>
          <w:bCs/>
        </w:rPr>
        <w:t xml:space="preserve">1) kiek </w:t>
      </w:r>
      <w:r w:rsidRPr="00652A19">
        <w:t>iš viso yra dingusių vaikų</w:t>
      </w:r>
      <w:r w:rsidRPr="00A27560">
        <w:rPr>
          <w:bCs/>
        </w:rPr>
        <w:t xml:space="preserve"> nuo 7 metų amžiaus iki 16 metų amžiaus</w:t>
      </w:r>
      <w:r>
        <w:rPr>
          <w:bCs/>
        </w:rPr>
        <w:t xml:space="preserve">, kurie </w:t>
      </w:r>
      <w:r w:rsidRPr="00A27560">
        <w:rPr>
          <w:bCs/>
        </w:rPr>
        <w:t>užregistruot</w:t>
      </w:r>
      <w:r>
        <w:rPr>
          <w:bCs/>
        </w:rPr>
        <w:t>i</w:t>
      </w:r>
      <w:r w:rsidRPr="00A27560">
        <w:rPr>
          <w:bCs/>
        </w:rPr>
        <w:t xml:space="preserve"> </w:t>
      </w:r>
      <w:r w:rsidRPr="00A27560">
        <w:t xml:space="preserve">Policijos departamento prie Vidaus reikalų ministerijos informacijos laikmenose; </w:t>
      </w:r>
    </w:p>
    <w:p w:rsidR="00C07927" w:rsidRPr="00A27560" w:rsidRDefault="00C07927" w:rsidP="00C07927">
      <w:pPr>
        <w:ind w:firstLine="720"/>
        <w:jc w:val="both"/>
        <w:rPr>
          <w:bCs/>
        </w:rPr>
      </w:pPr>
      <w:r w:rsidRPr="00A27560">
        <w:t>2) ar Policijos departamentas prie Vidaus reikalų ministerijos turi informacijos</w:t>
      </w:r>
      <w:r>
        <w:t>,</w:t>
      </w:r>
      <w:r w:rsidRPr="00A27560">
        <w:t xml:space="preserve"> kiek Lietuvos Respublikos gyventojų registre įregistruotų vaikų nuo 7 metų  iki 16 metų amžiaus 2009 – 2010 </w:t>
      </w:r>
      <w:r w:rsidRPr="00652A19">
        <w:t xml:space="preserve">metais </w:t>
      </w:r>
      <w:r w:rsidRPr="00652A19">
        <w:rPr>
          <w:bCs/>
        </w:rPr>
        <w:t>nesimokė</w:t>
      </w:r>
      <w:r w:rsidRPr="00A27560">
        <w:t xml:space="preserve"> ir  nė karto nebuvo registruoti nė vienoje šalies mokykloje;</w:t>
      </w:r>
    </w:p>
    <w:p w:rsidR="00C07927" w:rsidRPr="00A27560" w:rsidRDefault="00C07927" w:rsidP="00C07927">
      <w:pPr>
        <w:ind w:firstLine="720"/>
        <w:jc w:val="both"/>
        <w:rPr>
          <w:bCs/>
        </w:rPr>
      </w:pPr>
      <w:r w:rsidRPr="00A27560">
        <w:rPr>
          <w:bCs/>
        </w:rPr>
        <w:t xml:space="preserve">3) ar 2009 - 2010 metais kas nors kreipėsi į </w:t>
      </w:r>
      <w:r w:rsidRPr="00A27560">
        <w:t xml:space="preserve">Policijos departamentą prie Vidaus reikalų ministerijos </w:t>
      </w:r>
      <w:r w:rsidRPr="00652A19">
        <w:rPr>
          <w:bCs/>
        </w:rPr>
        <w:t>dėl  nesimokančių</w:t>
      </w:r>
      <w:r w:rsidRPr="00A27560">
        <w:rPr>
          <w:bCs/>
        </w:rPr>
        <w:t xml:space="preserve"> ir nežinia kur esančių vaikų ir</w:t>
      </w:r>
      <w:r>
        <w:rPr>
          <w:bCs/>
        </w:rPr>
        <w:t>,</w:t>
      </w:r>
      <w:r w:rsidRPr="00A27560">
        <w:rPr>
          <w:bCs/>
        </w:rPr>
        <w:t xml:space="preserve"> kokių priemonių ėmėsi Policijos departamentas kartu su mokyklų vadovais ar savivaldybių švietimo skyriais, kad šie vaikai peržengtų mokyklos slenkstį, ar buvo nubausti tų vaikų tėvai; </w:t>
      </w:r>
    </w:p>
    <w:p w:rsidR="00C07927" w:rsidRPr="00A27560" w:rsidRDefault="00C07927" w:rsidP="00C07927">
      <w:pPr>
        <w:ind w:firstLine="720"/>
        <w:jc w:val="both"/>
        <w:rPr>
          <w:bCs/>
        </w:rPr>
      </w:pPr>
      <w:r w:rsidRPr="00A27560">
        <w:rPr>
          <w:bCs/>
        </w:rPr>
        <w:t xml:space="preserve">3) ar </w:t>
      </w:r>
      <w:r w:rsidRPr="00A27560">
        <w:t xml:space="preserve">Policijos departamentas prie Vidaus reikalų ministerijos turi informacijos apie mokyklos 2009 – 2010 metais </w:t>
      </w:r>
      <w:r w:rsidRPr="00652A19">
        <w:rPr>
          <w:bCs/>
        </w:rPr>
        <w:t>nelankančius</w:t>
      </w:r>
      <w:r w:rsidRPr="00A27560">
        <w:t xml:space="preserve"> vaikus ir</w:t>
      </w:r>
      <w:r>
        <w:t>,</w:t>
      </w:r>
      <w:r w:rsidRPr="00A27560">
        <w:t xml:space="preserve"> ar </w:t>
      </w:r>
      <w:r w:rsidRPr="00A27560">
        <w:rPr>
          <w:bCs/>
        </w:rPr>
        <w:t>mokyklų vadovai</w:t>
      </w:r>
      <w:r>
        <w:rPr>
          <w:bCs/>
        </w:rPr>
        <w:t>,</w:t>
      </w:r>
      <w:r w:rsidRPr="00A27560">
        <w:rPr>
          <w:bCs/>
        </w:rPr>
        <w:t xml:space="preserve"> savivaldybių švietimo skyriai kreipėsi į policiją dėl priemonių prieš tėvus ir vaikus, kad šie vaikai pastoviai lankytų mokyklą.</w:t>
      </w:r>
    </w:p>
    <w:p w:rsidR="00C07927" w:rsidRDefault="00C07927" w:rsidP="00C07927">
      <w:pPr>
        <w:ind w:firstLine="720"/>
        <w:jc w:val="both"/>
        <w:rPr>
          <w:bCs/>
        </w:rPr>
      </w:pPr>
      <w:r>
        <w:rPr>
          <w:bCs/>
        </w:rPr>
        <w:t>Tame pačiame rašte pa</w:t>
      </w:r>
      <w:r w:rsidRPr="00A27560">
        <w:rPr>
          <w:bCs/>
        </w:rPr>
        <w:t>praš</w:t>
      </w:r>
      <w:r>
        <w:rPr>
          <w:bCs/>
        </w:rPr>
        <w:t>yta</w:t>
      </w:r>
      <w:r w:rsidRPr="00A27560">
        <w:rPr>
          <w:bCs/>
        </w:rPr>
        <w:t xml:space="preserve"> pateikti siūlymus dėl teisės aktų tobulinimo. </w:t>
      </w:r>
    </w:p>
    <w:p w:rsidR="00C07927" w:rsidRDefault="00C07927" w:rsidP="00C07927">
      <w:pPr>
        <w:ind w:firstLine="720"/>
        <w:jc w:val="both"/>
      </w:pPr>
      <w:r>
        <w:t xml:space="preserve"> Policijos generalinis komisaro pavaduotojas Saulius Skvernelis 2011 02 18 raštu Nr. 5-S-875 „Dėl informacijos pateikimo“ atsakė, kad Policijos departamentas prie Vidaus reikalų ministerijos negauna (nekaupia) informacijos apie nesimokančius ir mokyklos nelankančius vaikus. Tokią informaciją teritorinėms policijos įstaigoms teikia mokyklų administracijos (raštu, arba informacija pranešama nepilnamečių reikalų policijos pareigūnui prevencinių darbo grupių, veikiančių mokyklose, posėdžio metu) arba savivaldybių vaikų teisių apsaugos skyriai. Taip pat policijos pareigūnai išaiškina nesimokančius ar mokyklos nelankančius vaikus, organizuodami tikslines priemones, dirbdami prevencinį darbą prižiūrimoje teritorijoje, padeda spręsti vaikų gražinimo į mokyklą klausimus (aiškinasi priežastis, esant pagrindui patraukia atsakomybėn vaikų tėvus, globėjus, pataria jiems imtis konkrečių veiksmų situacijai gerinti, pagal galimybes įtraukia tokius vaikus į prevencinius projektus, renginius). </w:t>
      </w:r>
    </w:p>
    <w:p w:rsidR="00C07927" w:rsidRDefault="00C07927" w:rsidP="00C07927">
      <w:pPr>
        <w:ind w:firstLine="720"/>
        <w:jc w:val="both"/>
      </w:pPr>
      <w:r>
        <w:t xml:space="preserve">Vadovaudamiesi Viešosios policijos prevencijos padalinio specialisto (nepilnamečių reikalų policijos pareigūno) tarnybinės veiklos aprašo, patvirtinto Lietuvos policijos generalinio komisaro 2009 12 01 įsakymu Nr. 5-V-893, nuostatomis, policijos  pareigūnai informuoja vaiko teisių apsaugos instituciją apie nustatytus vaikus, kurie nelanko mokyklos  ir kt. Pareigūnai rengia administracinių teisės pažeidimų bylas asmenims, kurie piktnaudžiauja tėvų valdžia, nevykdo globėjų (rūpintojų) pareigų arba pažeidžia vaiko interesus, taip pat bylas dėl vaiko teisių pažeidimo. </w:t>
      </w:r>
    </w:p>
    <w:p w:rsidR="00C07927" w:rsidRDefault="00C07927" w:rsidP="00C07927">
      <w:pPr>
        <w:ind w:firstLine="720"/>
        <w:jc w:val="both"/>
      </w:pPr>
      <w:r w:rsidRPr="00652A19">
        <w:lastRenderedPageBreak/>
        <w:t>2010 m. surašyti 7 352 protokolai už pažeidimus, numatytus Administracinių teisės pažeidimų kodekso 181 straipsnyje „Tėvų valdžios nepanaudojimas arba panaudojimas priešingai vaiko interesams“. 2009 m. surašyti 6 499 protokolai</w:t>
      </w:r>
      <w:r>
        <w:t xml:space="preserve">. Tarp šių protokolų yra surašytų vaikų įstatyminiams atstovams už tai, kad jie tinkamai nesirūpina savo vaikais, jų nekontroliuoja, dėl to pastarieji nesimoko ar nelanko mokyklos. </w:t>
      </w:r>
    </w:p>
    <w:p w:rsidR="00C07927" w:rsidRDefault="00C07927" w:rsidP="00C07927">
      <w:pPr>
        <w:ind w:firstLine="720"/>
        <w:jc w:val="both"/>
      </w:pPr>
      <w:r>
        <w:t xml:space="preserve"> Policijos generalinis komisaro pavaduotojas Saulius Skvernelis nurodė, kad </w:t>
      </w:r>
      <w:r w:rsidRPr="00652A19">
        <w:t>2010 m. šalies teritorinės policijos įstaigos ieškojo 929 dingusių vaikų (2009 m. – 799 vaikų), iš jų 421 berniuko ir 508 mergaičių. 849 vaikų buvimo vieta buvo nustatyta.</w:t>
      </w:r>
      <w:r w:rsidRPr="00F718AC">
        <w:rPr>
          <w:b/>
        </w:rPr>
        <w:t xml:space="preserve"> </w:t>
      </w:r>
      <w:r>
        <w:t xml:space="preserve">Dažniausiai dingsta (pabėga iš savo gyvenamosios vietos) vaikai, kurie gyvena socialinės rizikos šeimose ar ugdomi globos namuose. </w:t>
      </w:r>
    </w:p>
    <w:p w:rsidR="00C07927" w:rsidRDefault="00C07927" w:rsidP="00C07927">
      <w:pPr>
        <w:ind w:firstLine="720"/>
        <w:jc w:val="both"/>
      </w:pPr>
      <w:r>
        <w:t xml:space="preserve">Policijos generalinis komisaro pavaduotojas pritarė vaiko teisių apsaugos kontrolierės E.Žiobienės siūlymams dėl susijusių teisės aktų ir siūlymų. </w:t>
      </w:r>
    </w:p>
    <w:p w:rsidR="00C07927" w:rsidRDefault="00C07927" w:rsidP="00C07927">
      <w:pPr>
        <w:ind w:firstLine="720"/>
        <w:jc w:val="both"/>
      </w:pPr>
      <w:r>
        <w:t>Kadangi, nuo 2009 metų  tyrimo Komisijoje pradžios iki Š. m. Švietimo informacinių technologijų centro (2011 02 07 raštu Nr. 90-(1.6)-D3-74) Statistikos departamentui pateiktos informacijos apie 2010/2011 mokslo metais nesimokančius vaikus ženkliai pakito nesimokančių vaikų skaičius, Komisija dar kartą kreipėsi 2011 04 19 raštu Nr. S-2011-3473 „Dėl informacijos pateikimo“ į  Savivaldybių administracijos direktorius prašydama patikslinti ir  pateikti informaciją:</w:t>
      </w:r>
    </w:p>
    <w:p w:rsidR="00C07927" w:rsidRPr="00DE0CE8" w:rsidRDefault="00C07927" w:rsidP="00C07927">
      <w:pPr>
        <w:numPr>
          <w:ilvl w:val="0"/>
          <w:numId w:val="47"/>
        </w:numPr>
      </w:pPr>
      <w:r w:rsidRPr="00DE0CE8">
        <w:t>Kiek asmenų, neturinčių nuolatinės gyvenamosios vietos, priregistruota  prie savivaldybės.</w:t>
      </w:r>
    </w:p>
    <w:p w:rsidR="00C07927" w:rsidRPr="00DE0CE8" w:rsidRDefault="00C07927" w:rsidP="00C07927">
      <w:pPr>
        <w:numPr>
          <w:ilvl w:val="0"/>
          <w:numId w:val="47"/>
        </w:numPr>
      </w:pPr>
      <w:r w:rsidRPr="00DE0CE8">
        <w:t>Kiek asmenų ir / ar šeimų,  neturinčių nuolatinės gyvenamosios vietos ir  priregistruotų  prie savivaldybės,  turi vaikų iki 18 metų.</w:t>
      </w:r>
    </w:p>
    <w:p w:rsidR="00C07927" w:rsidRPr="00DE0CE8" w:rsidRDefault="00C07927" w:rsidP="00C07927">
      <w:pPr>
        <w:numPr>
          <w:ilvl w:val="0"/>
          <w:numId w:val="47"/>
        </w:numPr>
      </w:pPr>
      <w:r w:rsidRPr="00DE0CE8">
        <w:t>Kiek asmenų ir / ar šeimų,  neturinčių nuolatinės gyvenamosios vietos ir  priregistruotų  prie savivaldybės,  turi vaikų iki 18 metų ir gavo socialines pašalpas bei išmokas.</w:t>
      </w:r>
    </w:p>
    <w:p w:rsidR="00C07927" w:rsidRPr="00DE0CE8" w:rsidRDefault="00C07927" w:rsidP="00C07927">
      <w:pPr>
        <w:numPr>
          <w:ilvl w:val="0"/>
          <w:numId w:val="47"/>
        </w:numPr>
      </w:pPr>
      <w:r w:rsidRPr="00DE0CE8">
        <w:t xml:space="preserve">Kiek asmenų ir / ar šeimų,  neturinčių nuolatinės gyvenamosios vietos ir  priregistruotų  prie savivaldybės  turi vaikų iki 16 metų, kurie nesimoko mokykloje,  gauna socialines pašalpas ir  išmokas. </w:t>
      </w:r>
    </w:p>
    <w:p w:rsidR="00C07927" w:rsidRPr="00DE0CE8" w:rsidRDefault="00C07927" w:rsidP="00C07927">
      <w:pPr>
        <w:numPr>
          <w:ilvl w:val="0"/>
          <w:numId w:val="47"/>
        </w:numPr>
      </w:pPr>
      <w:r w:rsidRPr="00DE0CE8">
        <w:t xml:space="preserve">Kiek asmenų ir / ar šeimų,  neturinčių nuolatinės gyvenamosios vietos ir  priregistruotų  prie savivaldybės  turi vaikų iki 16 metų, kurie nesimoko mokykloje, ir   negauna socialinių pašalpų ir  išmokų. </w:t>
      </w:r>
    </w:p>
    <w:p w:rsidR="00C07927" w:rsidRPr="00DE0CE8" w:rsidRDefault="00C07927" w:rsidP="00C07927">
      <w:pPr>
        <w:numPr>
          <w:ilvl w:val="0"/>
          <w:numId w:val="47"/>
        </w:numPr>
      </w:pPr>
      <w:r w:rsidRPr="00DE0CE8">
        <w:t>Kiek nesimokančių vaikų nuo 2011 metų sausio 1 dienos sugrįžo į ugdymo procesą.</w:t>
      </w:r>
    </w:p>
    <w:p w:rsidR="00C07927" w:rsidRDefault="00C07927" w:rsidP="00C07927">
      <w:pPr>
        <w:numPr>
          <w:ilvl w:val="0"/>
          <w:numId w:val="47"/>
        </w:numPr>
      </w:pPr>
      <w:r w:rsidRPr="00DE0CE8">
        <w:t xml:space="preserve">Pateikti Savivaldybės tarybos patvirtintą savivaldybės teritorijoje gyvenančių nesimokančių vaikų ir mokyklos nelankančių mokinių apskaitos tvarkos aprašą. </w:t>
      </w:r>
    </w:p>
    <w:p w:rsidR="00C07927" w:rsidRPr="00DE0CE8" w:rsidRDefault="00C07927" w:rsidP="00C07927">
      <w:pPr>
        <w:ind w:left="1080"/>
      </w:pPr>
    </w:p>
    <w:p w:rsidR="00C07927" w:rsidRDefault="00C07927" w:rsidP="00C07927">
      <w:pPr>
        <w:jc w:val="both"/>
      </w:pPr>
      <w:r>
        <w:tab/>
        <w:t>Savivaldybių  pateikta informaciją:</w:t>
      </w:r>
      <w:r>
        <w:tab/>
      </w:r>
    </w:p>
    <w:tbl>
      <w:tblPr>
        <w:tblW w:w="14089" w:type="dxa"/>
        <w:tblCellSpacing w:w="0" w:type="dxa"/>
        <w:tblCellMar>
          <w:left w:w="0" w:type="dxa"/>
          <w:right w:w="0" w:type="dxa"/>
        </w:tblCellMar>
        <w:tblLook w:val="04A0" w:firstRow="1" w:lastRow="0" w:firstColumn="1" w:lastColumn="0" w:noHBand="0" w:noVBand="1"/>
      </w:tblPr>
      <w:tblGrid>
        <w:gridCol w:w="14099"/>
      </w:tblGrid>
      <w:tr w:rsidR="00C07927" w:rsidRPr="000471BC" w:rsidTr="004F7425">
        <w:trPr>
          <w:tblCellSpacing w:w="0" w:type="dxa"/>
        </w:trPr>
        <w:tc>
          <w:tcPr>
            <w:tcW w:w="0" w:type="auto"/>
            <w:vAlign w:val="center"/>
            <w:hideMark/>
          </w:tcPr>
          <w:p w:rsidR="00C07927" w:rsidRDefault="00C07927" w:rsidP="004F7425">
            <w:r>
              <w:t xml:space="preserve">                                          </w:t>
            </w:r>
            <w:r w:rsidRPr="009B46C7">
              <w:t>Akmenės rajono savivaldybė</w:t>
            </w:r>
          </w:p>
          <w:p w:rsidR="00C07927" w:rsidRPr="009B46C7" w:rsidRDefault="00C07927" w:rsidP="004F7425"/>
          <w:tbl>
            <w:tblPr>
              <w:tblW w:w="5000" w:type="pct"/>
              <w:tblCellSpacing w:w="0" w:type="dxa"/>
              <w:tblCellMar>
                <w:left w:w="0" w:type="dxa"/>
                <w:right w:w="0" w:type="dxa"/>
              </w:tblCellMar>
              <w:tblLook w:val="04A0" w:firstRow="1" w:lastRow="0" w:firstColumn="1" w:lastColumn="0" w:noHBand="0" w:noVBand="1"/>
            </w:tblPr>
            <w:tblGrid>
              <w:gridCol w:w="14099"/>
            </w:tblGrid>
            <w:tr w:rsidR="00C07927" w:rsidRPr="000471BC" w:rsidTr="004F7425">
              <w:trPr>
                <w:tblCellSpacing w:w="0" w:type="dxa"/>
              </w:trPr>
              <w:tc>
                <w:tcPr>
                  <w:tcW w:w="0" w:type="auto"/>
                  <w:tcBorders>
                    <w:bottom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1417"/>
                    <w:gridCol w:w="1418"/>
                    <w:gridCol w:w="5947"/>
                    <w:gridCol w:w="2193"/>
                  </w:tblGrid>
                  <w:tr w:rsidR="00C07927" w:rsidTr="004F7425">
                    <w:tc>
                      <w:tcPr>
                        <w:tcW w:w="1696" w:type="dxa"/>
                        <w:shd w:val="clear" w:color="auto" w:fill="auto"/>
                      </w:tcPr>
                      <w:p w:rsidR="00C07927" w:rsidRDefault="00C07927" w:rsidP="004F7425">
                        <w:r>
                          <w:t>1 klausimas</w:t>
                        </w:r>
                      </w:p>
                    </w:tc>
                    <w:tc>
                      <w:tcPr>
                        <w:tcW w:w="1418" w:type="dxa"/>
                        <w:shd w:val="clear" w:color="auto" w:fill="auto"/>
                      </w:tcPr>
                      <w:p w:rsidR="00C07927" w:rsidRDefault="00C07927" w:rsidP="004F7425">
                        <w:r>
                          <w:t>2 klausimas</w:t>
                        </w:r>
                      </w:p>
                    </w:tc>
                    <w:tc>
                      <w:tcPr>
                        <w:tcW w:w="1417" w:type="dxa"/>
                        <w:shd w:val="clear" w:color="auto" w:fill="auto"/>
                      </w:tcPr>
                      <w:p w:rsidR="00C07927" w:rsidRDefault="00C07927" w:rsidP="004F7425">
                        <w:r>
                          <w:t>3 klausimas</w:t>
                        </w:r>
                      </w:p>
                    </w:tc>
                    <w:tc>
                      <w:tcPr>
                        <w:tcW w:w="1418" w:type="dxa"/>
                        <w:shd w:val="clear" w:color="auto" w:fill="auto"/>
                      </w:tcPr>
                      <w:p w:rsidR="00C07927" w:rsidRDefault="00C07927" w:rsidP="004F7425">
                        <w:r>
                          <w:t>4 klausimas</w:t>
                        </w:r>
                      </w:p>
                    </w:tc>
                    <w:tc>
                      <w:tcPr>
                        <w:tcW w:w="5947" w:type="dxa"/>
                        <w:shd w:val="clear" w:color="auto" w:fill="auto"/>
                      </w:tcPr>
                      <w:p w:rsidR="00C07927" w:rsidRDefault="00C07927" w:rsidP="004F7425">
                        <w:r>
                          <w:t>5 klausimas    6 klausimas</w:t>
                        </w:r>
                      </w:p>
                    </w:tc>
                    <w:tc>
                      <w:tcPr>
                        <w:tcW w:w="2193" w:type="dxa"/>
                        <w:shd w:val="clear" w:color="auto" w:fill="auto"/>
                      </w:tcPr>
                      <w:p w:rsidR="00C07927" w:rsidRDefault="00C07927" w:rsidP="004F7425">
                        <w:r>
                          <w:t>0</w:t>
                        </w:r>
                      </w:p>
                    </w:tc>
                  </w:tr>
                  <w:tr w:rsidR="00C07927" w:rsidRPr="000471BC" w:rsidTr="004F7425">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blCellSpacing w:w="0" w:type="dxa"/>
                    </w:trPr>
                    <w:tc>
                      <w:tcPr>
                        <w:tcW w:w="0" w:type="auto"/>
                        <w:gridSpan w:val="6"/>
                        <w:tcMar>
                          <w:top w:w="150" w:type="dxa"/>
                          <w:left w:w="150" w:type="dxa"/>
                          <w:bottom w:w="150" w:type="dxa"/>
                          <w:right w:w="150" w:type="dxa"/>
                        </w:tcMar>
                        <w:vAlign w:val="center"/>
                        <w:hideMark/>
                      </w:tcPr>
                      <w:tbl>
                        <w:tblPr>
                          <w:tblW w:w="13789" w:type="dxa"/>
                          <w:tblCellSpacing w:w="0" w:type="dxa"/>
                          <w:tblCellMar>
                            <w:top w:w="45" w:type="dxa"/>
                            <w:left w:w="45" w:type="dxa"/>
                            <w:bottom w:w="45" w:type="dxa"/>
                            <w:right w:w="45" w:type="dxa"/>
                          </w:tblCellMar>
                          <w:tblLook w:val="04A0" w:firstRow="1" w:lastRow="0" w:firstColumn="1" w:lastColumn="0" w:noHBand="0" w:noVBand="1"/>
                        </w:tblPr>
                        <w:tblGrid>
                          <w:gridCol w:w="8781"/>
                          <w:gridCol w:w="5008"/>
                        </w:tblGrid>
                        <w:tr w:rsidR="00C07927" w:rsidRPr="000471BC" w:rsidTr="004F7425">
                          <w:trPr>
                            <w:tblCellSpacing w:w="0" w:type="dxa"/>
                          </w:trPr>
                          <w:tc>
                            <w:tcPr>
                              <w:tcW w:w="3184" w:type="pct"/>
                              <w:vAlign w:val="cente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51"/>
                                <w:gridCol w:w="1451"/>
                                <w:gridCol w:w="1442"/>
                                <w:gridCol w:w="1443"/>
                                <w:gridCol w:w="1443"/>
                              </w:tblGrid>
                              <w:tr w:rsidR="00C07927" w:rsidTr="004F7425">
                                <w:tc>
                                  <w:tcPr>
                                    <w:tcW w:w="1540" w:type="dxa"/>
                                    <w:shd w:val="clear" w:color="auto" w:fill="auto"/>
                                  </w:tcPr>
                                  <w:p w:rsidR="00C07927" w:rsidRDefault="00C07927" w:rsidP="004F7425">
                                    <w:pPr>
                                      <w:jc w:val="center"/>
                                    </w:pPr>
                                    <w:r>
                                      <w:t>30</w:t>
                                    </w:r>
                                  </w:p>
                                </w:tc>
                                <w:tc>
                                  <w:tcPr>
                                    <w:tcW w:w="1540" w:type="dxa"/>
                                    <w:shd w:val="clear" w:color="auto" w:fill="auto"/>
                                  </w:tcPr>
                                  <w:p w:rsidR="00C07927" w:rsidRDefault="00C07927" w:rsidP="004F7425">
                                    <w:pPr>
                                      <w:jc w:val="center"/>
                                    </w:pPr>
                                    <w:r>
                                      <w:t>33</w:t>
                                    </w:r>
                                  </w:p>
                                </w:tc>
                                <w:tc>
                                  <w:tcPr>
                                    <w:tcW w:w="1540" w:type="dxa"/>
                                    <w:shd w:val="clear" w:color="auto" w:fill="auto"/>
                                  </w:tcPr>
                                  <w:p w:rsidR="00C07927" w:rsidRDefault="00C07927" w:rsidP="004F7425">
                                    <w:pPr>
                                      <w:jc w:val="center"/>
                                    </w:pPr>
                                    <w:r>
                                      <w:t>23</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 xml:space="preserve">0 </w:t>
                                    </w:r>
                                  </w:p>
                                </w:tc>
                              </w:tr>
                            </w:tbl>
                            <w:p w:rsidR="00C07927" w:rsidRPr="000471BC" w:rsidRDefault="00C07927" w:rsidP="004F7425">
                              <w:pPr>
                                <w:jc w:val="center"/>
                                <w:rPr>
                                  <w:color w:val="000000"/>
                                  <w:lang w:eastAsia="lt-LT"/>
                                </w:rPr>
                              </w:pPr>
                            </w:p>
                          </w:tc>
                          <w:tc>
                            <w:tcPr>
                              <w:tcW w:w="1816" w:type="pct"/>
                              <w:vAlign w:val="center"/>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967589" w:rsidRDefault="00344E26" w:rsidP="004F7425">
                              <w:pPr>
                                <w:jc w:val="center"/>
                                <w:rPr>
                                  <w:color w:val="000000"/>
                                  <w:lang w:eastAsia="lt-LT"/>
                                </w:rPr>
                              </w:pPr>
                              <w:hyperlink r:id="rId180" w:tgtFrame="_blank" w:history="1">
                                <w:r w:rsidR="00C07927" w:rsidRPr="00967589">
                                  <w:rPr>
                                    <w:color w:val="000300"/>
                                    <w:lang w:eastAsia="lt-LT"/>
                                  </w:rPr>
                                  <w:t>Alytaus m</w:t>
                                </w:r>
                                <w:r w:rsidR="00C07927">
                                  <w:rPr>
                                    <w:color w:val="000300"/>
                                    <w:lang w:eastAsia="lt-LT"/>
                                  </w:rPr>
                                  <w:t xml:space="preserve">iesto </w:t>
                                </w:r>
                              </w:hyperlink>
                              <w:r w:rsidR="00C07927">
                                <w:rPr>
                                  <w:color w:val="000000"/>
                                  <w:lang w:eastAsia="lt-LT"/>
                                </w:rPr>
                                <w:t xml:space="preserve">savivaldybė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448"/>
                                <w:gridCol w:w="1495"/>
                                <w:gridCol w:w="1425"/>
                                <w:gridCol w:w="1426"/>
                                <w:gridCol w:w="1426"/>
                              </w:tblGrid>
                              <w:tr w:rsidR="00C07927" w:rsidTr="004F7425">
                                <w:tc>
                                  <w:tcPr>
                                    <w:tcW w:w="1540" w:type="dxa"/>
                                    <w:shd w:val="clear" w:color="auto" w:fill="auto"/>
                                  </w:tcPr>
                                  <w:p w:rsidR="00C07927" w:rsidRDefault="00C07927" w:rsidP="004F7425">
                                    <w:pPr>
                                      <w:jc w:val="center"/>
                                    </w:pPr>
                                    <w:r>
                                      <w:t>1175</w:t>
                                    </w:r>
                                  </w:p>
                                </w:tc>
                                <w:tc>
                                  <w:tcPr>
                                    <w:tcW w:w="1540" w:type="dxa"/>
                                    <w:shd w:val="clear" w:color="auto" w:fill="auto"/>
                                  </w:tcPr>
                                  <w:p w:rsidR="00C07927" w:rsidRDefault="00C07927" w:rsidP="004F7425">
                                    <w:pPr>
                                      <w:jc w:val="center"/>
                                    </w:pPr>
                                    <w:r>
                                      <w:t>122</w:t>
                                    </w:r>
                                  </w:p>
                                </w:tc>
                                <w:tc>
                                  <w:tcPr>
                                    <w:tcW w:w="1540" w:type="dxa"/>
                                    <w:shd w:val="clear" w:color="auto" w:fill="auto"/>
                                  </w:tcPr>
                                  <w:p w:rsidR="00C07927" w:rsidRDefault="00C07927" w:rsidP="004F7425">
                                    <w:pPr>
                                      <w:jc w:val="center"/>
                                    </w:pPr>
                                    <w:r>
                                      <w:t>150+135</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C07927" w:rsidP="004F7425">
                              <w:pPr>
                                <w:jc w:val="center"/>
                                <w:rPr>
                                  <w:color w:val="000000"/>
                                  <w:lang w:eastAsia="lt-LT"/>
                                </w:rPr>
                              </w:pPr>
                              <w:r>
                                <w:rPr>
                                  <w:color w:val="000000"/>
                                  <w:lang w:eastAsia="lt-LT"/>
                                </w:rPr>
                                <w:t xml:space="preserve">Alytaus rajono </w:t>
                              </w:r>
                              <w:r w:rsidRPr="000471BC">
                                <w:t>savivaldybė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451"/>
                                <w:gridCol w:w="1451"/>
                                <w:gridCol w:w="1442"/>
                                <w:gridCol w:w="1433"/>
                                <w:gridCol w:w="1442"/>
                              </w:tblGrid>
                              <w:tr w:rsidR="00C07927" w:rsidTr="004F7425">
                                <w:tc>
                                  <w:tcPr>
                                    <w:tcW w:w="1540" w:type="dxa"/>
                                    <w:shd w:val="clear" w:color="auto" w:fill="auto"/>
                                  </w:tcPr>
                                  <w:p w:rsidR="00C07927" w:rsidRDefault="00C07927" w:rsidP="004F7425">
                                    <w:pPr>
                                      <w:jc w:val="center"/>
                                    </w:pPr>
                                    <w:r>
                                      <w:t>202</w:t>
                                    </w:r>
                                  </w:p>
                                </w:tc>
                                <w:tc>
                                  <w:tcPr>
                                    <w:tcW w:w="1540" w:type="dxa"/>
                                    <w:shd w:val="clear" w:color="auto" w:fill="auto"/>
                                  </w:tcPr>
                                  <w:p w:rsidR="00C07927" w:rsidRDefault="00C07927" w:rsidP="004F7425">
                                    <w:pPr>
                                      <w:jc w:val="center"/>
                                    </w:pPr>
                                    <w:r>
                                      <w:t>26</w:t>
                                    </w:r>
                                  </w:p>
                                </w:tc>
                                <w:tc>
                                  <w:tcPr>
                                    <w:tcW w:w="1540" w:type="dxa"/>
                                    <w:shd w:val="clear" w:color="auto" w:fill="auto"/>
                                  </w:tcPr>
                                  <w:p w:rsidR="00C07927" w:rsidRDefault="00C07927" w:rsidP="004F7425">
                                    <w:pPr>
                                      <w:jc w:val="center"/>
                                    </w:pPr>
                                    <w:r>
                                      <w:t>21</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Default="00344E26" w:rsidP="004F7425">
                              <w:pPr>
                                <w:jc w:val="center"/>
                                <w:rPr>
                                  <w:color w:val="000000"/>
                                  <w:lang w:eastAsia="lt-LT"/>
                                </w:rPr>
                              </w:pPr>
                              <w:hyperlink r:id="rId181" w:tgtFrame="_blank" w:history="1">
                                <w:r w:rsidR="00C07927" w:rsidRPr="000471BC">
                                  <w:rPr>
                                    <w:color w:val="000300"/>
                                    <w:lang w:eastAsia="lt-LT"/>
                                  </w:rPr>
                                  <w:t>Anykščių raj</w:t>
                                </w:r>
                                <w:r w:rsidR="00C07927">
                                  <w:rPr>
                                    <w:color w:val="000300"/>
                                    <w:lang w:eastAsia="lt-LT"/>
                                  </w:rPr>
                                  <w:t xml:space="preserve">ono </w:t>
                                </w:r>
                                <w:r w:rsidR="00C07927" w:rsidRPr="000471BC">
                                  <w:t>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1450"/>
                                <w:gridCol w:w="1450"/>
                                <w:gridCol w:w="1440"/>
                                <w:gridCol w:w="1441"/>
                                <w:gridCol w:w="1441"/>
                              </w:tblGrid>
                              <w:tr w:rsidR="00C07927" w:rsidTr="004F7425">
                                <w:tc>
                                  <w:tcPr>
                                    <w:tcW w:w="1540" w:type="dxa"/>
                                    <w:shd w:val="clear" w:color="auto" w:fill="auto"/>
                                  </w:tcPr>
                                  <w:p w:rsidR="00C07927" w:rsidRDefault="00C07927" w:rsidP="004F7425">
                                    <w:pPr>
                                      <w:jc w:val="center"/>
                                    </w:pPr>
                                    <w:r>
                                      <w:t>412</w:t>
                                    </w:r>
                                  </w:p>
                                </w:tc>
                                <w:tc>
                                  <w:tcPr>
                                    <w:tcW w:w="1540" w:type="dxa"/>
                                    <w:shd w:val="clear" w:color="auto" w:fill="auto"/>
                                  </w:tcPr>
                                  <w:p w:rsidR="00C07927" w:rsidRDefault="00C07927" w:rsidP="004F7425">
                                    <w:pPr>
                                      <w:jc w:val="center"/>
                                    </w:pPr>
                                    <w:r>
                                      <w:t>72</w:t>
                                    </w:r>
                                  </w:p>
                                </w:tc>
                                <w:tc>
                                  <w:tcPr>
                                    <w:tcW w:w="1540" w:type="dxa"/>
                                    <w:shd w:val="clear" w:color="auto" w:fill="auto"/>
                                  </w:tcPr>
                                  <w:p w:rsidR="00C07927" w:rsidRDefault="00C07927" w:rsidP="004F7425">
                                    <w:pPr>
                                      <w:jc w:val="center"/>
                                    </w:pPr>
                                    <w:r>
                                      <w:t>55</w:t>
                                    </w:r>
                                  </w:p>
                                </w:tc>
                                <w:tc>
                                  <w:tcPr>
                                    <w:tcW w:w="1540" w:type="dxa"/>
                                    <w:shd w:val="clear" w:color="auto" w:fill="auto"/>
                                  </w:tcPr>
                                  <w:p w:rsidR="00C07927" w:rsidRDefault="00C07927" w:rsidP="004F7425">
                                    <w:pPr>
                                      <w:jc w:val="center"/>
                                    </w:pPr>
                                    <w:r>
                                      <w:t>3</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2" w:tgtFrame="_blank" w:history="1">
                                <w:r w:rsidR="00C07927" w:rsidRPr="000471BC">
                                  <w:rPr>
                                    <w:color w:val="000300"/>
                                    <w:lang w:eastAsia="lt-LT"/>
                                  </w:rPr>
                                  <w:t>Birštono</w:t>
                                </w:r>
                              </w:hyperlink>
                              <w:r w:rsidR="00C07927" w:rsidRPr="00512538">
                                <w:rPr>
                                  <w:color w:val="000000"/>
                                  <w:lang w:eastAsia="lt-LT"/>
                                </w:rPr>
                                <w:t xml:space="preserve"> savivaldybė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451"/>
                                <w:gridCol w:w="1442"/>
                                <w:gridCol w:w="1442"/>
                                <w:gridCol w:w="1443"/>
                                <w:gridCol w:w="1443"/>
                              </w:tblGrid>
                              <w:tr w:rsidR="00C07927" w:rsidTr="004F7425">
                                <w:tc>
                                  <w:tcPr>
                                    <w:tcW w:w="1540" w:type="dxa"/>
                                    <w:shd w:val="clear" w:color="auto" w:fill="auto"/>
                                  </w:tcPr>
                                  <w:p w:rsidR="00C07927" w:rsidRDefault="00C07927" w:rsidP="004F7425">
                                    <w:pPr>
                                      <w:jc w:val="center"/>
                                    </w:pPr>
                                    <w:r>
                                      <w:t>131</w:t>
                                    </w:r>
                                  </w:p>
                                </w:tc>
                                <w:tc>
                                  <w:tcPr>
                                    <w:tcW w:w="1540" w:type="dxa"/>
                                    <w:shd w:val="clear" w:color="auto" w:fill="auto"/>
                                  </w:tcPr>
                                  <w:p w:rsidR="00C07927" w:rsidRDefault="00C07927" w:rsidP="004F7425">
                                    <w:pPr>
                                      <w:jc w:val="center"/>
                                    </w:pPr>
                                    <w:r>
                                      <w:t>17</w:t>
                                    </w:r>
                                  </w:p>
                                </w:tc>
                                <w:tc>
                                  <w:tcPr>
                                    <w:tcW w:w="1540" w:type="dxa"/>
                                    <w:shd w:val="clear" w:color="auto" w:fill="auto"/>
                                  </w:tcPr>
                                  <w:p w:rsidR="00C07927" w:rsidRDefault="00C07927" w:rsidP="004F7425">
                                    <w:pPr>
                                      <w:jc w:val="center"/>
                                    </w:pPr>
                                    <w:r>
                                      <w:t>6</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3" w:tgtFrame="_blank" w:history="1">
                                <w:r w:rsidR="00C07927" w:rsidRPr="000471BC">
                                  <w:rPr>
                                    <w:color w:val="000300"/>
                                    <w:lang w:eastAsia="lt-LT"/>
                                  </w:rPr>
                                  <w:t>Biržų</w:t>
                                </w:r>
                                <w:r w:rsidR="00C07927" w:rsidRPr="009F36CB">
                                  <w:t xml:space="preserve"> </w:t>
                                </w:r>
                                <w:r w:rsidR="00C07927" w:rsidRPr="00512538">
                                  <w:rPr>
                                    <w:color w:val="000300"/>
                                    <w:lang w:eastAsia="lt-LT"/>
                                  </w:rPr>
                                  <w:t>rajono savivaldybė</w:t>
                                </w:r>
                                <w:r w:rsidR="00C07927" w:rsidRPr="000471BC">
                                  <w:rPr>
                                    <w:color w:val="000300"/>
                                    <w:lang w:eastAsia="lt-LT"/>
                                  </w:rPr>
                                  <w:t xml:space="preserve">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1450"/>
                                <w:gridCol w:w="1439"/>
                                <w:gridCol w:w="1480"/>
                                <w:gridCol w:w="1428"/>
                                <w:gridCol w:w="1428"/>
                              </w:tblGrid>
                              <w:tr w:rsidR="00C07927" w:rsidTr="004F7425">
                                <w:tc>
                                  <w:tcPr>
                                    <w:tcW w:w="1540" w:type="dxa"/>
                                    <w:shd w:val="clear" w:color="auto" w:fill="auto"/>
                                  </w:tcPr>
                                  <w:p w:rsidR="00C07927" w:rsidRDefault="00C07927" w:rsidP="004F7425">
                                    <w:pPr>
                                      <w:jc w:val="center"/>
                                    </w:pPr>
                                    <w:r>
                                      <w:t>5</w:t>
                                    </w:r>
                                    <w:r>
                                      <w:cr/>
                                      <w:t>1</w:t>
                                    </w:r>
                                  </w:p>
                                </w:tc>
                                <w:tc>
                                  <w:tcPr>
                                    <w:tcW w:w="1540" w:type="dxa"/>
                                    <w:shd w:val="clear" w:color="auto" w:fill="auto"/>
                                  </w:tcPr>
                                  <w:p w:rsidR="00C07927" w:rsidRDefault="00C07927" w:rsidP="004F7425">
                                    <w:pPr>
                                      <w:jc w:val="center"/>
                                    </w:pPr>
                                    <w:r>
                                      <w:t>105</w:t>
                                    </w:r>
                                  </w:p>
                                </w:tc>
                                <w:tc>
                                  <w:tcPr>
                                    <w:tcW w:w="1540" w:type="dxa"/>
                                    <w:shd w:val="clear" w:color="auto" w:fill="auto"/>
                                  </w:tcPr>
                                  <w:p w:rsidR="00C07927" w:rsidRDefault="00C07927" w:rsidP="004F7425">
                                    <w:pPr>
                                      <w:jc w:val="center"/>
                                    </w:pPr>
                                    <w:r>
                                      <w:t>56</w:t>
                                    </w:r>
                                  </w:p>
                                </w:tc>
                                <w:tc>
                                  <w:tcPr>
                                    <w:tcW w:w="1540" w:type="dxa"/>
                                    <w:shd w:val="clear" w:color="auto" w:fill="auto"/>
                                  </w:tcPr>
                                  <w:p w:rsidR="00C07927" w:rsidRDefault="00C07927" w:rsidP="004F7425">
                                    <w:pPr>
                                      <w:jc w:val="center"/>
                                    </w:pPr>
                                    <w:r>
                                      <w:t>18 išvykę į užsienį</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4" w:tgtFrame="_blank" w:history="1">
                                <w:r w:rsidR="00C07927" w:rsidRPr="000471BC">
                                  <w:rPr>
                                    <w:color w:val="000300"/>
                                    <w:lang w:eastAsia="lt-LT"/>
                                  </w:rPr>
                                  <w:t>Druskininkų</w:t>
                                </w:r>
                              </w:hyperlink>
                              <w:r w:rsidR="00C07927" w:rsidRPr="009F36CB">
                                <w:rPr>
                                  <w:lang w:eastAsia="lt-LT"/>
                                </w:rPr>
                                <w:t xml:space="preserve"> </w:t>
                              </w:r>
                              <w:r w:rsidR="00C07927" w:rsidRPr="00D93DAE">
                                <w:rPr>
                                  <w:color w:val="000000"/>
                                  <w:lang w:eastAsia="lt-LT"/>
                                </w:rPr>
                                <w:t>savivaldybė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449"/>
                                <w:gridCol w:w="1438"/>
                                <w:gridCol w:w="1426"/>
                                <w:gridCol w:w="1427"/>
                                <w:gridCol w:w="1491"/>
                              </w:tblGrid>
                              <w:tr w:rsidR="00C07927" w:rsidTr="004F7425">
                                <w:tc>
                                  <w:tcPr>
                                    <w:tcW w:w="1540" w:type="dxa"/>
                                    <w:shd w:val="clear" w:color="auto" w:fill="auto"/>
                                  </w:tcPr>
                                  <w:p w:rsidR="00C07927" w:rsidRDefault="00C07927" w:rsidP="004F7425">
                                    <w:pPr>
                                      <w:jc w:val="center"/>
                                    </w:pPr>
                                    <w:r>
                                      <w:t>947</w:t>
                                    </w:r>
                                  </w:p>
                                </w:tc>
                                <w:tc>
                                  <w:tcPr>
                                    <w:tcW w:w="1540" w:type="dxa"/>
                                    <w:shd w:val="clear" w:color="auto" w:fill="auto"/>
                                  </w:tcPr>
                                  <w:p w:rsidR="00C07927" w:rsidRDefault="00C07927" w:rsidP="004F7425">
                                    <w:pPr>
                                      <w:jc w:val="center"/>
                                    </w:pPr>
                                    <w:r>
                                      <w:t>183</w:t>
                                    </w:r>
                                  </w:p>
                                </w:tc>
                                <w:tc>
                                  <w:tcPr>
                                    <w:tcW w:w="1540" w:type="dxa"/>
                                    <w:shd w:val="clear" w:color="auto" w:fill="auto"/>
                                  </w:tcPr>
                                  <w:p w:rsidR="00C07927" w:rsidRDefault="00C07927" w:rsidP="004F7425">
                                    <w:pPr>
                                      <w:jc w:val="center"/>
                                    </w:pPr>
                                    <w:r>
                                      <w:t>57</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2 neįgalūs nelanko</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Default="00C07927" w:rsidP="004F7425">
                              <w:pPr>
                                <w:ind w:right="-5789"/>
                                <w:rPr>
                                  <w:color w:val="000000"/>
                                  <w:lang w:eastAsia="lt-LT"/>
                                </w:rPr>
                              </w:pPr>
                              <w:r>
                                <w:rPr>
                                  <w:color w:val="000000"/>
                                  <w:lang w:eastAsia="lt-LT"/>
                                </w:rPr>
                                <w:t xml:space="preserve">                                                  </w:t>
                              </w:r>
                              <w:hyperlink r:id="rId185" w:tgtFrame="_blank" w:history="1">
                                <w:r w:rsidRPr="000471BC">
                                  <w:rPr>
                                    <w:color w:val="000300"/>
                                    <w:lang w:eastAsia="lt-LT"/>
                                  </w:rPr>
                                  <w:t>Elektrėnų</w:t>
                                </w:r>
                              </w:hyperlink>
                              <w:r w:rsidRPr="000471BC">
                                <w:rPr>
                                  <w:color w:val="000000"/>
                                  <w:lang w:eastAsia="lt-LT"/>
                                </w:rPr>
                                <w:t xml:space="preserve">  </w:t>
                              </w:r>
                              <w:r>
                                <w:rPr>
                                  <w:color w:val="000000"/>
                                  <w:lang w:eastAsia="lt-LT"/>
                                </w:rPr>
                                <w:t>savivaldybė</w:t>
                              </w:r>
                            </w:p>
                            <w:p w:rsidR="00C07927" w:rsidRPr="000471BC" w:rsidRDefault="00C07927" w:rsidP="004F7425">
                              <w:pPr>
                                <w:ind w:right="-5789"/>
                                <w:jc w:val="center"/>
                                <w:rPr>
                                  <w:color w:val="00000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1450"/>
                                <w:gridCol w:w="1450"/>
                                <w:gridCol w:w="1440"/>
                                <w:gridCol w:w="1441"/>
                                <w:gridCol w:w="1441"/>
                              </w:tblGrid>
                              <w:tr w:rsidR="00C07927" w:rsidTr="004F7425">
                                <w:tc>
                                  <w:tcPr>
                                    <w:tcW w:w="1540" w:type="dxa"/>
                                    <w:shd w:val="clear" w:color="auto" w:fill="auto"/>
                                  </w:tcPr>
                                  <w:p w:rsidR="00C07927" w:rsidRDefault="00C07927" w:rsidP="004F7425">
                                    <w:pPr>
                                      <w:jc w:val="center"/>
                                    </w:pPr>
                                    <w:r>
                                      <w:lastRenderedPageBreak/>
                                      <w:t>154</w:t>
                                    </w:r>
                                  </w:p>
                                </w:tc>
                                <w:tc>
                                  <w:tcPr>
                                    <w:tcW w:w="1540" w:type="dxa"/>
                                    <w:shd w:val="clear" w:color="auto" w:fill="auto"/>
                                  </w:tcPr>
                                  <w:p w:rsidR="00C07927" w:rsidRDefault="00C07927" w:rsidP="004F7425">
                                    <w:pPr>
                                      <w:jc w:val="center"/>
                                    </w:pPr>
                                    <w:r>
                                      <w:t>31</w:t>
                                    </w:r>
                                  </w:p>
                                </w:tc>
                                <w:tc>
                                  <w:tcPr>
                                    <w:tcW w:w="1540" w:type="dxa"/>
                                    <w:shd w:val="clear" w:color="auto" w:fill="auto"/>
                                  </w:tcPr>
                                  <w:p w:rsidR="00C07927" w:rsidRDefault="00C07927" w:rsidP="004F7425">
                                    <w:pPr>
                                      <w:jc w:val="center"/>
                                    </w:pPr>
                                    <w:r>
                                      <w:t>50</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1</w:t>
                                    </w:r>
                                  </w:p>
                                </w:tc>
                              </w:tr>
                            </w:tbl>
                            <w:p w:rsidR="00C07927" w:rsidRDefault="00C07927" w:rsidP="004F7425">
                              <w:pPr>
                                <w:jc w:val="center"/>
                              </w:pPr>
                            </w:p>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6" w:tgtFrame="_blank" w:history="1">
                                <w:r w:rsidR="00C07927" w:rsidRPr="000471BC">
                                  <w:rPr>
                                    <w:color w:val="000300"/>
                                    <w:lang w:eastAsia="lt-LT"/>
                                  </w:rPr>
                                  <w:t>Ignalinos</w:t>
                                </w:r>
                                <w:r w:rsidR="00C07927" w:rsidRPr="009F36CB">
                                  <w:t xml:space="preserve"> </w:t>
                                </w:r>
                                <w:r w:rsidR="00C07927" w:rsidRPr="00512538">
                                  <w:rPr>
                                    <w:color w:val="000300"/>
                                    <w:lang w:eastAsia="lt-LT"/>
                                  </w:rPr>
                                  <w:t>rajono savivaldybė</w:t>
                                </w:r>
                                <w:r w:rsidR="00C07927" w:rsidRPr="000471BC">
                                  <w:rPr>
                                    <w:color w:val="000300"/>
                                    <w:lang w:eastAsia="lt-LT"/>
                                  </w:rPr>
                                  <w:t xml:space="preserve">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1420"/>
                                <w:gridCol w:w="1520"/>
                                <w:gridCol w:w="1520"/>
                                <w:gridCol w:w="1524"/>
                                <w:gridCol w:w="1327"/>
                              </w:tblGrid>
                              <w:tr w:rsidR="00C07927" w:rsidTr="004F7425">
                                <w:tc>
                                  <w:tcPr>
                                    <w:tcW w:w="1540" w:type="dxa"/>
                                    <w:shd w:val="clear" w:color="auto" w:fill="auto"/>
                                  </w:tcPr>
                                  <w:p w:rsidR="00C07927" w:rsidRDefault="00C07927" w:rsidP="004F7425">
                                    <w:pPr>
                                      <w:jc w:val="center"/>
                                    </w:pPr>
                                    <w:r>
                                      <w:t>276</w:t>
                                    </w:r>
                                  </w:p>
                                </w:tc>
                                <w:tc>
                                  <w:tcPr>
                                    <w:tcW w:w="1540" w:type="dxa"/>
                                    <w:shd w:val="clear" w:color="auto" w:fill="auto"/>
                                  </w:tcPr>
                                  <w:p w:rsidR="00C07927" w:rsidRDefault="00C07927" w:rsidP="004F7425">
                                    <w:pPr>
                                      <w:jc w:val="center"/>
                                    </w:pPr>
                                    <w:r>
                                      <w:t>126 vaikai, 73 turi vaikų iki 18m.</w:t>
                                    </w:r>
                                  </w:p>
                                </w:tc>
                                <w:tc>
                                  <w:tcPr>
                                    <w:tcW w:w="1540" w:type="dxa"/>
                                    <w:shd w:val="clear" w:color="auto" w:fill="auto"/>
                                  </w:tcPr>
                                  <w:p w:rsidR="00C07927" w:rsidRDefault="00C07927" w:rsidP="004F7425">
                                    <w:pPr>
                                      <w:jc w:val="center"/>
                                    </w:pPr>
                                    <w:r>
                                      <w:t>Nėra informacijos</w:t>
                                    </w:r>
                                  </w:p>
                                </w:tc>
                                <w:tc>
                                  <w:tcPr>
                                    <w:tcW w:w="1540" w:type="dxa"/>
                                    <w:shd w:val="clear" w:color="auto" w:fill="auto"/>
                                  </w:tcPr>
                                  <w:p w:rsidR="00C07927" w:rsidRDefault="00C07927" w:rsidP="004F7425">
                                    <w:pPr>
                                      <w:jc w:val="center"/>
                                    </w:pPr>
                                    <w:r>
                                      <w:t>Nėra informacijos</w:t>
                                    </w:r>
                                  </w:p>
                                </w:tc>
                                <w:tc>
                                  <w:tcPr>
                                    <w:tcW w:w="1541" w:type="dxa"/>
                                    <w:shd w:val="clear" w:color="auto" w:fill="auto"/>
                                  </w:tcPr>
                                  <w:p w:rsidR="00C07927" w:rsidRDefault="00C07927" w:rsidP="004F7425">
                                    <w:pPr>
                                      <w:jc w:val="center"/>
                                    </w:pPr>
                                    <w:r>
                                      <w:t>Informacijos</w:t>
                                    </w:r>
                                  </w:p>
                                  <w:p w:rsidR="00C07927" w:rsidRDefault="00C07927" w:rsidP="004F7425">
                                    <w:pPr>
                                      <w:jc w:val="center"/>
                                    </w:pPr>
                                    <w:r>
                                      <w:t>neturi</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7" w:tgtFrame="_blank" w:history="1">
                                <w:r w:rsidR="00C07927" w:rsidRPr="000471BC">
                                  <w:rPr>
                                    <w:color w:val="000300"/>
                                    <w:lang w:eastAsia="lt-LT"/>
                                  </w:rPr>
                                  <w:t>Jonavos raj</w:t>
                                </w:r>
                                <w:r w:rsidR="00C07927">
                                  <w:rPr>
                                    <w:color w:val="000300"/>
                                    <w:lang w:eastAsia="lt-LT"/>
                                  </w:rPr>
                                  <w:t xml:space="preserve">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477"/>
                                <w:gridCol w:w="1428"/>
                                <w:gridCol w:w="1428"/>
                                <w:gridCol w:w="1478"/>
                                <w:gridCol w:w="1417"/>
                              </w:tblGrid>
                              <w:tr w:rsidR="00C07927" w:rsidTr="004F7425">
                                <w:tc>
                                  <w:tcPr>
                                    <w:tcW w:w="1540" w:type="dxa"/>
                                    <w:shd w:val="clear" w:color="auto" w:fill="auto"/>
                                  </w:tcPr>
                                  <w:p w:rsidR="00C07927" w:rsidRDefault="00C07927" w:rsidP="004F7425">
                                    <w:pPr>
                                      <w:jc w:val="center"/>
                                    </w:pPr>
                                    <w:r>
                                      <w:t>1001</w:t>
                                    </w:r>
                                  </w:p>
                                </w:tc>
                                <w:tc>
                                  <w:tcPr>
                                    <w:tcW w:w="1540" w:type="dxa"/>
                                    <w:shd w:val="clear" w:color="auto" w:fill="auto"/>
                                  </w:tcPr>
                                  <w:p w:rsidR="00C07927" w:rsidRDefault="00C07927" w:rsidP="004F7425">
                                    <w:pPr>
                                      <w:jc w:val="center"/>
                                    </w:pPr>
                                    <w:r>
                                      <w:t>inform. nėra</w:t>
                                    </w:r>
                                  </w:p>
                                </w:tc>
                                <w:tc>
                                  <w:tcPr>
                                    <w:tcW w:w="1540" w:type="dxa"/>
                                    <w:shd w:val="clear" w:color="auto" w:fill="auto"/>
                                  </w:tcPr>
                                  <w:p w:rsidR="00C07927" w:rsidRDefault="00C07927" w:rsidP="004F7425">
                                    <w:pPr>
                                      <w:jc w:val="center"/>
                                    </w:pPr>
                                    <w:r>
                                      <w:t>30</w:t>
                                    </w:r>
                                  </w:p>
                                </w:tc>
                                <w:tc>
                                  <w:tcPr>
                                    <w:tcW w:w="1540" w:type="dxa"/>
                                    <w:shd w:val="clear" w:color="auto" w:fill="auto"/>
                                  </w:tcPr>
                                  <w:p w:rsidR="00C07927" w:rsidRDefault="00C07927" w:rsidP="004F7425">
                                    <w:pPr>
                                      <w:jc w:val="center"/>
                                    </w:pPr>
                                    <w:r>
                                      <w:t>22</w:t>
                                    </w:r>
                                  </w:p>
                                </w:tc>
                                <w:tc>
                                  <w:tcPr>
                                    <w:tcW w:w="1541" w:type="dxa"/>
                                    <w:shd w:val="clear" w:color="auto" w:fill="auto"/>
                                  </w:tcPr>
                                  <w:p w:rsidR="00C07927" w:rsidRDefault="00C07927" w:rsidP="004F7425">
                                    <w:pPr>
                                      <w:jc w:val="center"/>
                                    </w:pPr>
                                    <w:r>
                                      <w:t>inform. nėra</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8" w:tgtFrame="_blank" w:history="1">
                                <w:r w:rsidR="00C07927" w:rsidRPr="000471BC">
                                  <w:rPr>
                                    <w:color w:val="000300"/>
                                    <w:lang w:eastAsia="lt-LT"/>
                                  </w:rPr>
                                  <w:t>Joniškio raj</w:t>
                                </w:r>
                                <w:r w:rsidR="00C07927">
                                  <w:rPr>
                                    <w:color w:val="000300"/>
                                    <w:lang w:eastAsia="lt-LT"/>
                                  </w:rPr>
                                  <w:t xml:space="preserve">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1436"/>
                                <w:gridCol w:w="1436"/>
                                <w:gridCol w:w="1425"/>
                                <w:gridCol w:w="1426"/>
                                <w:gridCol w:w="1509"/>
                              </w:tblGrid>
                              <w:tr w:rsidR="00C07927" w:rsidTr="004F7425">
                                <w:tc>
                                  <w:tcPr>
                                    <w:tcW w:w="1540" w:type="dxa"/>
                                    <w:shd w:val="clear" w:color="auto" w:fill="auto"/>
                                  </w:tcPr>
                                  <w:p w:rsidR="00C07927" w:rsidRDefault="00C07927" w:rsidP="004F7425">
                                    <w:pPr>
                                      <w:jc w:val="center"/>
                                    </w:pPr>
                                    <w:r>
                                      <w:t>275</w:t>
                                    </w:r>
                                  </w:p>
                                </w:tc>
                                <w:tc>
                                  <w:tcPr>
                                    <w:tcW w:w="1540" w:type="dxa"/>
                                    <w:shd w:val="clear" w:color="auto" w:fill="auto"/>
                                  </w:tcPr>
                                  <w:p w:rsidR="00C07927" w:rsidRDefault="00C07927" w:rsidP="004F7425">
                                    <w:pPr>
                                      <w:jc w:val="center"/>
                                    </w:pPr>
                                    <w:r>
                                      <w:t>39</w:t>
                                    </w:r>
                                  </w:p>
                                </w:tc>
                                <w:tc>
                                  <w:tcPr>
                                    <w:tcW w:w="1540" w:type="dxa"/>
                                    <w:shd w:val="clear" w:color="auto" w:fill="auto"/>
                                  </w:tcPr>
                                  <w:p w:rsidR="00C07927" w:rsidRDefault="00C07927" w:rsidP="004F7425">
                                    <w:pPr>
                                      <w:jc w:val="center"/>
                                    </w:pPr>
                                    <w:r>
                                      <w:t>30</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 (97 nesimoko, 90 užsienyje)</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89" w:tgtFrame="_blank" w:history="1">
                                <w:r w:rsidR="00C07927" w:rsidRPr="000471BC">
                                  <w:rPr>
                                    <w:color w:val="000300"/>
                                    <w:lang w:eastAsia="lt-LT"/>
                                  </w:rPr>
                                  <w:t>Jurbarko raj</w:t>
                                </w:r>
                                <w:r w:rsidR="00C07927">
                                  <w:rPr>
                                    <w:color w:val="000300"/>
                                    <w:lang w:eastAsia="lt-LT"/>
                                  </w:rPr>
                                  <w:t xml:space="preserve">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432"/>
                                <w:gridCol w:w="1472"/>
                                <w:gridCol w:w="1465"/>
                                <w:gridCol w:w="1473"/>
                                <w:gridCol w:w="1407"/>
                              </w:tblGrid>
                              <w:tr w:rsidR="00C07927" w:rsidTr="004F7425">
                                <w:tc>
                                  <w:tcPr>
                                    <w:tcW w:w="1540" w:type="dxa"/>
                                    <w:shd w:val="clear" w:color="auto" w:fill="auto"/>
                                  </w:tcPr>
                                  <w:p w:rsidR="00C07927" w:rsidRDefault="00C07927" w:rsidP="004F7425">
                                    <w:pPr>
                                      <w:jc w:val="center"/>
                                    </w:pPr>
                                    <w:r>
                                      <w:t>681</w:t>
                                    </w:r>
                                  </w:p>
                                </w:tc>
                                <w:tc>
                                  <w:tcPr>
                                    <w:tcW w:w="1540" w:type="dxa"/>
                                    <w:shd w:val="clear" w:color="auto" w:fill="auto"/>
                                  </w:tcPr>
                                  <w:p w:rsidR="00C07927" w:rsidRDefault="00C07927" w:rsidP="004F7425">
                                    <w:pPr>
                                      <w:jc w:val="center"/>
                                    </w:pPr>
                                    <w:r>
                                      <w:t>141</w:t>
                                    </w:r>
                                  </w:p>
                                </w:tc>
                                <w:tc>
                                  <w:tcPr>
                                    <w:tcW w:w="1540" w:type="dxa"/>
                                    <w:shd w:val="clear" w:color="auto" w:fill="auto"/>
                                  </w:tcPr>
                                  <w:p w:rsidR="00C07927" w:rsidRDefault="00C07927" w:rsidP="004F7425">
                                    <w:pPr>
                                      <w:jc w:val="center"/>
                                    </w:pPr>
                                    <w:r>
                                      <w:t>inform. nėra</w:t>
                                    </w:r>
                                  </w:p>
                                </w:tc>
                                <w:tc>
                                  <w:tcPr>
                                    <w:tcW w:w="1540" w:type="dxa"/>
                                    <w:shd w:val="clear" w:color="auto" w:fill="auto"/>
                                  </w:tcPr>
                                  <w:p w:rsidR="00C07927" w:rsidRDefault="00C07927" w:rsidP="004F7425">
                                    <w:pPr>
                                      <w:jc w:val="center"/>
                                    </w:pPr>
                                    <w:r>
                                      <w:t>nform. nėra</w:t>
                                    </w:r>
                                  </w:p>
                                </w:tc>
                                <w:tc>
                                  <w:tcPr>
                                    <w:tcW w:w="1541" w:type="dxa"/>
                                    <w:shd w:val="clear" w:color="auto" w:fill="auto"/>
                                  </w:tcPr>
                                  <w:p w:rsidR="00C07927" w:rsidRDefault="00C07927" w:rsidP="004F7425">
                                    <w:pPr>
                                      <w:jc w:val="center"/>
                                    </w:pPr>
                                    <w:r>
                                      <w:t>inform. nėra</w:t>
                                    </w:r>
                                  </w:p>
                                </w:tc>
                                <w:tc>
                                  <w:tcPr>
                                    <w:tcW w:w="1541" w:type="dxa"/>
                                    <w:shd w:val="clear" w:color="auto" w:fill="auto"/>
                                  </w:tcPr>
                                  <w:p w:rsidR="00C07927" w:rsidRPr="00FE6B35" w:rsidRDefault="00C07927" w:rsidP="004F7425">
                                    <w:pPr>
                                      <w:jc w:val="center"/>
                                    </w:pPr>
                                    <w:r w:rsidRPr="00FE6B35">
                                      <w:t>1</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90" w:tgtFrame="_blank" w:history="1">
                                <w:r w:rsidR="00C07927" w:rsidRPr="000471BC">
                                  <w:rPr>
                                    <w:color w:val="000300"/>
                                    <w:lang w:eastAsia="lt-LT"/>
                                  </w:rPr>
                                  <w:t>Kaišiadorių raj</w:t>
                                </w:r>
                                <w:r w:rsidR="00C07927">
                                  <w:rPr>
                                    <w:color w:val="000300"/>
                                    <w:lang w:eastAsia="lt-LT"/>
                                  </w:rPr>
                                  <w:t>ono 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9"/>
                                <w:gridCol w:w="1450"/>
                                <w:gridCol w:w="1450"/>
                                <w:gridCol w:w="1440"/>
                                <w:gridCol w:w="1441"/>
                                <w:gridCol w:w="1441"/>
                              </w:tblGrid>
                              <w:tr w:rsidR="00C07927" w:rsidTr="004F7425">
                                <w:tc>
                                  <w:tcPr>
                                    <w:tcW w:w="1540" w:type="dxa"/>
                                    <w:shd w:val="clear" w:color="auto" w:fill="auto"/>
                                  </w:tcPr>
                                  <w:p w:rsidR="00C07927" w:rsidRDefault="00C07927" w:rsidP="004F7425">
                                    <w:pPr>
                                      <w:jc w:val="center"/>
                                    </w:pPr>
                                    <w:r>
                                      <w:t>686</w:t>
                                    </w:r>
                                  </w:p>
                                </w:tc>
                                <w:tc>
                                  <w:tcPr>
                                    <w:tcW w:w="1540" w:type="dxa"/>
                                    <w:shd w:val="clear" w:color="auto" w:fill="auto"/>
                                  </w:tcPr>
                                  <w:p w:rsidR="00C07927" w:rsidRDefault="00C07927" w:rsidP="004F7425">
                                    <w:pPr>
                                      <w:jc w:val="center"/>
                                    </w:pPr>
                                    <w:r>
                                      <w:t>43</w:t>
                                    </w:r>
                                  </w:p>
                                </w:tc>
                                <w:tc>
                                  <w:tcPr>
                                    <w:tcW w:w="1540" w:type="dxa"/>
                                    <w:shd w:val="clear" w:color="auto" w:fill="auto"/>
                                  </w:tcPr>
                                  <w:p w:rsidR="00C07927" w:rsidRDefault="00C07927" w:rsidP="004F7425">
                                    <w:pPr>
                                      <w:jc w:val="center"/>
                                    </w:pPr>
                                    <w:r>
                                      <w:t>30</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576F5D" w:rsidRDefault="00344E26" w:rsidP="004F7425">
                              <w:pPr>
                                <w:jc w:val="center"/>
                                <w:rPr>
                                  <w:color w:val="000000"/>
                                  <w:lang w:eastAsia="lt-LT"/>
                                </w:rPr>
                              </w:pPr>
                              <w:hyperlink r:id="rId191" w:tgtFrame="_blank" w:history="1">
                                <w:r w:rsidR="00C07927" w:rsidRPr="00576F5D">
                                  <w:rPr>
                                    <w:color w:val="000300"/>
                                    <w:lang w:eastAsia="lt-LT"/>
                                  </w:rPr>
                                  <w:t>Kalvarijos</w:t>
                                </w:r>
                              </w:hyperlink>
                              <w:r w:rsidR="00C07927">
                                <w:rPr>
                                  <w:color w:val="000000"/>
                                  <w:lang w:eastAsia="lt-LT"/>
                                </w:rPr>
                                <w:t xml:space="preserve"> savivaldybė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451"/>
                                <w:gridCol w:w="1451"/>
                                <w:gridCol w:w="1442"/>
                                <w:gridCol w:w="1442"/>
                                <w:gridCol w:w="1433"/>
                              </w:tblGrid>
                              <w:tr w:rsidR="00C07927" w:rsidTr="004F7425">
                                <w:tc>
                                  <w:tcPr>
                                    <w:tcW w:w="1540" w:type="dxa"/>
                                    <w:shd w:val="clear" w:color="auto" w:fill="auto"/>
                                  </w:tcPr>
                                  <w:p w:rsidR="00C07927" w:rsidRDefault="00C07927" w:rsidP="004F7425">
                                    <w:pPr>
                                      <w:jc w:val="center"/>
                                    </w:pPr>
                                    <w:r>
                                      <w:t>252</w:t>
                                    </w:r>
                                  </w:p>
                                </w:tc>
                                <w:tc>
                                  <w:tcPr>
                                    <w:tcW w:w="1540" w:type="dxa"/>
                                    <w:shd w:val="clear" w:color="auto" w:fill="auto"/>
                                  </w:tcPr>
                                  <w:p w:rsidR="00C07927" w:rsidRDefault="00C07927" w:rsidP="004F7425">
                                    <w:pPr>
                                      <w:jc w:val="center"/>
                                    </w:pPr>
                                    <w:r>
                                      <w:t>34</w:t>
                                    </w:r>
                                  </w:p>
                                </w:tc>
                                <w:tc>
                                  <w:tcPr>
                                    <w:tcW w:w="1540" w:type="dxa"/>
                                    <w:shd w:val="clear" w:color="auto" w:fill="auto"/>
                                  </w:tcPr>
                                  <w:p w:rsidR="00C07927" w:rsidRDefault="00C07927" w:rsidP="004F7425">
                                    <w:pPr>
                                      <w:jc w:val="center"/>
                                    </w:pPr>
                                    <w:r>
                                      <w:t>24</w:t>
                                    </w:r>
                                  </w:p>
                                </w:tc>
                                <w:tc>
                                  <w:tcPr>
                                    <w:tcW w:w="1540"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r>
                                      <w:t>0</w:t>
                                    </w:r>
                                  </w:p>
                                </w:tc>
                                <w:tc>
                                  <w:tcPr>
                                    <w:tcW w:w="1541" w:type="dxa"/>
                                    <w:shd w:val="clear" w:color="auto" w:fill="auto"/>
                                  </w:tcPr>
                                  <w:p w:rsidR="00C07927" w:rsidRDefault="00C07927" w:rsidP="004F7425">
                                    <w:pPr>
                                      <w:jc w:val="center"/>
                                    </w:pPr>
                                  </w:p>
                                </w:tc>
                              </w:tr>
                            </w:tbl>
                            <w:p w:rsidR="00C07927" w:rsidRPr="000471BC" w:rsidRDefault="00C07927" w:rsidP="004F7425">
                              <w:pPr>
                                <w:jc w:val="center"/>
                                <w:rPr>
                                  <w:color w:val="000000"/>
                                  <w:lang w:eastAsia="lt-LT"/>
                                </w:rPr>
                              </w:pPr>
                            </w:p>
                          </w:tc>
                          <w:tc>
                            <w:tcPr>
                              <w:tcW w:w="1816" w:type="pct"/>
                              <w:vAlign w:val="center"/>
                              <w:hideMark/>
                            </w:tcPr>
                            <w:p w:rsidR="00C07927" w:rsidRPr="000471BC" w:rsidRDefault="00C07927" w:rsidP="004F7425">
                              <w:pPr>
                                <w:rPr>
                                  <w:color w:val="000000"/>
                                  <w:lang w:eastAsia="lt-LT"/>
                                </w:rPr>
                              </w:pPr>
                            </w:p>
                          </w:tc>
                        </w:tr>
                        <w:tr w:rsidR="00C07927" w:rsidRPr="000471BC" w:rsidTr="004F7425">
                          <w:trPr>
                            <w:tblCellSpacing w:w="0" w:type="dxa"/>
                          </w:trPr>
                          <w:tc>
                            <w:tcPr>
                              <w:tcW w:w="3184" w:type="pct"/>
                              <w:vAlign w:val="center"/>
                              <w:hideMark/>
                            </w:tcPr>
                            <w:p w:rsidR="00C07927" w:rsidRPr="000471BC" w:rsidRDefault="00344E26" w:rsidP="004F7425">
                              <w:pPr>
                                <w:jc w:val="center"/>
                                <w:rPr>
                                  <w:color w:val="000000"/>
                                  <w:lang w:eastAsia="lt-LT"/>
                                </w:rPr>
                              </w:pPr>
                              <w:hyperlink r:id="rId192" w:tgtFrame="_blank" w:history="1">
                                <w:r w:rsidR="00C07927" w:rsidRPr="000471BC">
                                  <w:rPr>
                                    <w:color w:val="000300"/>
                                    <w:lang w:eastAsia="lt-LT"/>
                                  </w:rPr>
                                  <w:t>Kauno m</w:t>
                                </w:r>
                                <w:r w:rsidR="00C07927">
                                  <w:rPr>
                                    <w:color w:val="000300"/>
                                    <w:lang w:eastAsia="lt-LT"/>
                                  </w:rPr>
                                  <w:t xml:space="preserve">iesto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366"/>
                                <w:gridCol w:w="1506"/>
                                <w:gridCol w:w="1506"/>
                                <w:gridCol w:w="1643"/>
                                <w:gridCol w:w="1293"/>
                              </w:tblGrid>
                              <w:tr w:rsidR="00C07927" w:rsidTr="004F7425">
                                <w:tc>
                                  <w:tcPr>
                                    <w:tcW w:w="1540" w:type="dxa"/>
                                    <w:shd w:val="clear" w:color="auto" w:fill="auto"/>
                                  </w:tcPr>
                                  <w:p w:rsidR="00C07927" w:rsidRDefault="00C07927" w:rsidP="004F7425">
                                    <w:pPr>
                                      <w:jc w:val="center"/>
                                    </w:pPr>
                                    <w:r>
                                      <w:t>8292</w:t>
                                    </w:r>
                                  </w:p>
                                </w:tc>
                                <w:tc>
                                  <w:tcPr>
                                    <w:tcW w:w="1540" w:type="dxa"/>
                                    <w:shd w:val="clear" w:color="auto" w:fill="auto"/>
                                  </w:tcPr>
                                  <w:p w:rsidR="00C07927" w:rsidRDefault="00C07927" w:rsidP="004F7425">
                                    <w:pPr>
                                      <w:jc w:val="center"/>
                                    </w:pPr>
                                    <w:r>
                                      <w:t>2356</w:t>
                                    </w:r>
                                  </w:p>
                                </w:tc>
                                <w:tc>
                                  <w:tcPr>
                                    <w:tcW w:w="1540" w:type="dxa"/>
                                    <w:shd w:val="clear" w:color="auto" w:fill="auto"/>
                                  </w:tcPr>
                                  <w:p w:rsidR="00C07927" w:rsidRDefault="00C07927" w:rsidP="004F7425">
                                    <w:pPr>
                                      <w:jc w:val="center"/>
                                    </w:pPr>
                                    <w:r>
                                      <w:t>225 šeimos turi 580 vaikų iki 18 m.  Apie pašalpas inform. nekaupiama</w:t>
                                    </w:r>
                                  </w:p>
                                </w:tc>
                                <w:tc>
                                  <w:tcPr>
                                    <w:tcW w:w="1540" w:type="dxa"/>
                                    <w:shd w:val="clear" w:color="auto" w:fill="auto"/>
                                  </w:tcPr>
                                  <w:p w:rsidR="00C07927" w:rsidRDefault="00C07927" w:rsidP="004F7425">
                                    <w:pPr>
                                      <w:jc w:val="center"/>
                                    </w:pPr>
                                    <w:r>
                                      <w:t>189 turi 521 vaikų iki 16 m. Apie pašalpas inform. nekaupiama</w:t>
                                    </w:r>
                                  </w:p>
                                </w:tc>
                                <w:tc>
                                  <w:tcPr>
                                    <w:tcW w:w="1541" w:type="dxa"/>
                                    <w:shd w:val="clear" w:color="auto" w:fill="auto"/>
                                  </w:tcPr>
                                  <w:p w:rsidR="00C07927" w:rsidRDefault="00C07927" w:rsidP="004F7425">
                                    <w:pPr>
                                      <w:jc w:val="center"/>
                                    </w:pPr>
                                    <w:r>
                                      <w:t>inform. nėra  apie 810 nesimokančius</w:t>
                                    </w:r>
                                  </w:p>
                                </w:tc>
                                <w:tc>
                                  <w:tcPr>
                                    <w:tcW w:w="1541" w:type="dxa"/>
                                    <w:shd w:val="clear" w:color="auto" w:fill="auto"/>
                                  </w:tcPr>
                                  <w:p w:rsidR="00C07927" w:rsidRDefault="00C07927" w:rsidP="004F7425">
                                    <w:pPr>
                                      <w:jc w:val="center"/>
                                    </w:pPr>
                                    <w:r>
                                      <w:t>0</w:t>
                                    </w:r>
                                  </w:p>
                                </w:tc>
                              </w:tr>
                            </w:tbl>
                            <w:p w:rsidR="00C07927" w:rsidRPr="000471BC" w:rsidRDefault="00C07927" w:rsidP="004F7425">
                              <w:pPr>
                                <w:jc w:val="center"/>
                                <w:rPr>
                                  <w:color w:val="000000"/>
                                  <w:lang w:eastAsia="lt-LT"/>
                                </w:rPr>
                              </w:pPr>
                            </w:p>
                          </w:tc>
                          <w:tc>
                            <w:tcPr>
                              <w:tcW w:w="1816" w:type="pct"/>
                              <w:vAlign w:val="center"/>
                            </w:tcPr>
                            <w:p w:rsidR="00C07927" w:rsidRPr="000471BC" w:rsidRDefault="00C07927" w:rsidP="004F7425">
                              <w:pPr>
                                <w:rPr>
                                  <w:color w:val="000000"/>
                                  <w:lang w:eastAsia="lt-LT"/>
                                </w:rPr>
                              </w:pPr>
                            </w:p>
                          </w:tc>
                        </w:tr>
                      </w:tbl>
                      <w:p w:rsidR="00C07927" w:rsidRPr="000471BC" w:rsidRDefault="00C07927" w:rsidP="004F7425">
                        <w:pPr>
                          <w:rPr>
                            <w:color w:val="000000"/>
                            <w:lang w:eastAsia="lt-LT"/>
                          </w:rPr>
                        </w:pPr>
                      </w:p>
                    </w:tc>
                  </w:tr>
                </w:tbl>
                <w:p w:rsidR="00C07927" w:rsidRPr="000471BC" w:rsidRDefault="00C07927" w:rsidP="004F7425">
                  <w:pPr>
                    <w:rPr>
                      <w:color w:val="000000"/>
                      <w:lang w:eastAsia="lt-LT"/>
                    </w:rPr>
                  </w:pPr>
                </w:p>
              </w:tc>
            </w:tr>
          </w:tbl>
          <w:p w:rsidR="00C07927" w:rsidRPr="000471BC" w:rsidRDefault="00C07927" w:rsidP="004F7425">
            <w:pPr>
              <w:rPr>
                <w:color w:val="000000"/>
                <w:lang w:eastAsia="lt-LT"/>
              </w:rPr>
            </w:pPr>
          </w:p>
        </w:tc>
      </w:tr>
      <w:tr w:rsidR="00C07927" w:rsidRPr="00743044" w:rsidTr="004F7425">
        <w:trPr>
          <w:tblCellSpacing w:w="0" w:type="dxa"/>
        </w:trPr>
        <w:tc>
          <w:tcPr>
            <w:tcW w:w="0" w:type="auto"/>
            <w:vAlign w:val="center"/>
            <w:hideMark/>
          </w:tcPr>
          <w:p w:rsidR="00C07927" w:rsidRPr="00FE6B35" w:rsidRDefault="00C07927" w:rsidP="004F7425">
            <w:pPr>
              <w:rPr>
                <w:color w:val="000000"/>
                <w:lang w:eastAsia="lt-LT"/>
              </w:rPr>
            </w:pPr>
            <w:r>
              <w:rPr>
                <w:color w:val="000000"/>
                <w:lang w:eastAsia="lt-LT"/>
              </w:rPr>
              <w:lastRenderedPageBreak/>
              <w:t xml:space="preserve">                                                      </w:t>
            </w:r>
            <w:hyperlink r:id="rId193" w:tgtFrame="_blank" w:history="1">
              <w:r w:rsidRPr="00FE6B35">
                <w:rPr>
                  <w:rStyle w:val="Hipersaitas"/>
                  <w:rFonts w:eastAsia="Courier New"/>
                  <w:lang w:eastAsia="lt-LT"/>
                </w:rPr>
                <w:t>Kauno rajono savivaldybė</w:t>
              </w:r>
            </w:hyperlink>
            <w:r w:rsidRPr="00FE6B35">
              <w:rPr>
                <w:color w:val="000000"/>
                <w:lang w:eastAsia="lt-LT"/>
              </w:rPr>
              <w:t xml:space="preserve"> </w:t>
            </w:r>
          </w:p>
          <w:p w:rsidR="00C07927" w:rsidRPr="003F59D7" w:rsidRDefault="00C07927" w:rsidP="004F7425">
            <w:pPr>
              <w:rPr>
                <w:color w:val="000000"/>
                <w:lang w:eastAsia="lt-LT"/>
              </w:rPr>
            </w:pPr>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1181</w:t>
                  </w:r>
                </w:p>
              </w:tc>
              <w:tc>
                <w:tcPr>
                  <w:tcW w:w="1540" w:type="dxa"/>
                  <w:shd w:val="clear" w:color="auto" w:fill="auto"/>
                </w:tcPr>
                <w:p w:rsidR="00C07927" w:rsidRDefault="00C07927" w:rsidP="004F7425">
                  <w:r>
                    <w:t>192</w:t>
                  </w:r>
                </w:p>
              </w:tc>
              <w:tc>
                <w:tcPr>
                  <w:tcW w:w="1540" w:type="dxa"/>
                  <w:shd w:val="clear" w:color="auto" w:fill="auto"/>
                </w:tcPr>
                <w:p w:rsidR="00C07927" w:rsidRDefault="00C07927" w:rsidP="004F7425">
                  <w:r>
                    <w:t>88</w:t>
                  </w:r>
                </w:p>
              </w:tc>
              <w:tc>
                <w:tcPr>
                  <w:tcW w:w="1540" w:type="dxa"/>
                  <w:shd w:val="clear" w:color="auto" w:fill="auto"/>
                </w:tcPr>
                <w:p w:rsidR="00C07927" w:rsidRDefault="00C07927" w:rsidP="004F7425">
                  <w:r>
                    <w:t>5</w:t>
                  </w:r>
                </w:p>
              </w:tc>
              <w:tc>
                <w:tcPr>
                  <w:tcW w:w="1541" w:type="dxa"/>
                  <w:shd w:val="clear" w:color="auto" w:fill="auto"/>
                </w:tcPr>
                <w:p w:rsidR="00C07927" w:rsidRDefault="00C07927" w:rsidP="004F7425">
                  <w:r>
                    <w:t>3</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bl>
    <w:p w:rsidR="00C07927" w:rsidRPr="003D28D2" w:rsidRDefault="00C07927" w:rsidP="00C07927">
      <w:pPr>
        <w:rPr>
          <w:color w:val="000000"/>
          <w:lang w:eastAsia="lt-LT"/>
        </w:rPr>
      </w:pPr>
      <w:r>
        <w:rPr>
          <w:color w:val="000000"/>
          <w:lang w:eastAsia="lt-LT"/>
        </w:rPr>
        <w:t xml:space="preserve">                                                       </w:t>
      </w:r>
      <w:hyperlink r:id="rId194" w:tgtFrame="_blank" w:history="1">
        <w:r w:rsidRPr="003D28D2">
          <w:rPr>
            <w:color w:val="000300"/>
            <w:lang w:eastAsia="lt-LT"/>
          </w:rPr>
          <w:t>Kazlų Rūdos</w:t>
        </w:r>
      </w:hyperlink>
      <w:r>
        <w:rPr>
          <w:color w:val="000000"/>
          <w:lang w:eastAsia="lt-LT"/>
        </w:rPr>
        <w:t xml:space="preserve"> savivaldybė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304</w:t>
            </w:r>
          </w:p>
        </w:tc>
        <w:tc>
          <w:tcPr>
            <w:tcW w:w="1540" w:type="dxa"/>
            <w:shd w:val="clear" w:color="auto" w:fill="auto"/>
          </w:tcPr>
          <w:p w:rsidR="00C07927" w:rsidRDefault="00C07927" w:rsidP="004F7425">
            <w:r>
              <w:t>95</w:t>
            </w:r>
          </w:p>
        </w:tc>
        <w:tc>
          <w:tcPr>
            <w:tcW w:w="1540" w:type="dxa"/>
            <w:shd w:val="clear" w:color="auto" w:fill="auto"/>
          </w:tcPr>
          <w:p w:rsidR="00C07927" w:rsidRDefault="00C07927" w:rsidP="004F7425">
            <w:r>
              <w:t>29</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Iš 54, 53 išvykę</w:t>
            </w:r>
            <w:r w:rsidRPr="003D28D2">
              <w:rPr>
                <w:b/>
              </w:rPr>
              <w:t xml:space="preserve">, </w:t>
            </w:r>
            <w:r w:rsidRPr="00FE6B35">
              <w:t>1 nerastas</w:t>
            </w:r>
          </w:p>
        </w:tc>
      </w:tr>
    </w:tbl>
    <w:p w:rsidR="00C07927" w:rsidRDefault="00C07927" w:rsidP="00C07927">
      <w:pPr>
        <w:rPr>
          <w:color w:val="000000"/>
          <w:lang w:eastAsia="lt-LT"/>
        </w:rPr>
      </w:pPr>
      <w:r>
        <w:rPr>
          <w:color w:val="000000"/>
          <w:lang w:eastAsia="lt-LT"/>
        </w:rPr>
        <w:t xml:space="preserve">                                                      </w:t>
      </w:r>
      <w:hyperlink r:id="rId195" w:tgtFrame="_blank" w:history="1">
        <w:r w:rsidRPr="00743044">
          <w:rPr>
            <w:color w:val="000300"/>
            <w:lang w:eastAsia="lt-LT"/>
          </w:rPr>
          <w:t>Kelmės raj</w:t>
        </w:r>
        <w:r>
          <w:rPr>
            <w:color w:val="000300"/>
            <w:lang w:eastAsia="lt-LT"/>
          </w:rPr>
          <w:t>ono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177</w:t>
            </w:r>
          </w:p>
        </w:tc>
        <w:tc>
          <w:tcPr>
            <w:tcW w:w="1540" w:type="dxa"/>
            <w:shd w:val="clear" w:color="auto" w:fill="auto"/>
          </w:tcPr>
          <w:p w:rsidR="00C07927" w:rsidRDefault="00C07927" w:rsidP="004F7425">
            <w:r>
              <w:t>38</w:t>
            </w:r>
          </w:p>
        </w:tc>
        <w:tc>
          <w:tcPr>
            <w:tcW w:w="1540" w:type="dxa"/>
            <w:shd w:val="clear" w:color="auto" w:fill="auto"/>
          </w:tcPr>
          <w:p w:rsidR="00C07927" w:rsidRDefault="00C07927" w:rsidP="004F7425">
            <w:r>
              <w:t>32</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1</w:t>
            </w:r>
          </w:p>
        </w:tc>
        <w:tc>
          <w:tcPr>
            <w:tcW w:w="1541" w:type="dxa"/>
            <w:shd w:val="clear" w:color="auto" w:fill="auto"/>
          </w:tcPr>
          <w:p w:rsidR="00C07927" w:rsidRDefault="00C07927" w:rsidP="004F7425">
            <w:r>
              <w:t>0</w:t>
            </w:r>
          </w:p>
        </w:tc>
      </w:tr>
    </w:tbl>
    <w:p w:rsidR="00C07927" w:rsidRDefault="00C07927" w:rsidP="00C07927">
      <w:pPr>
        <w:rPr>
          <w:color w:val="000000"/>
          <w:lang w:eastAsia="lt-LT"/>
        </w:rPr>
      </w:pPr>
    </w:p>
    <w:p w:rsidR="00C07927" w:rsidRDefault="00C07927" w:rsidP="00C07927">
      <w:pPr>
        <w:rPr>
          <w:color w:val="000000"/>
          <w:lang w:eastAsia="lt-LT"/>
        </w:rPr>
      </w:pPr>
    </w:p>
    <w:p w:rsidR="00C07927" w:rsidRDefault="00C07927" w:rsidP="00C07927">
      <w:pPr>
        <w:rPr>
          <w:color w:val="000000"/>
          <w:lang w:eastAsia="lt-LT"/>
        </w:rPr>
      </w:pPr>
      <w:r>
        <w:rPr>
          <w:color w:val="000000"/>
          <w:lang w:eastAsia="lt-LT"/>
        </w:rPr>
        <w:t xml:space="preserve">                                                      </w:t>
      </w:r>
      <w:hyperlink r:id="rId196" w:tgtFrame="_blank" w:history="1">
        <w:r w:rsidRPr="00743044">
          <w:rPr>
            <w:color w:val="000300"/>
            <w:lang w:eastAsia="lt-LT"/>
          </w:rPr>
          <w:t>Kėdainių raj</w:t>
        </w:r>
        <w:r>
          <w:rPr>
            <w:color w:val="000300"/>
            <w:lang w:eastAsia="lt-LT"/>
          </w:rPr>
          <w:t>ono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1652</w:t>
            </w:r>
          </w:p>
        </w:tc>
        <w:tc>
          <w:tcPr>
            <w:tcW w:w="1540" w:type="dxa"/>
            <w:shd w:val="clear" w:color="auto" w:fill="auto"/>
          </w:tcPr>
          <w:p w:rsidR="00C07927" w:rsidRDefault="00C07927" w:rsidP="004F7425">
            <w:r>
              <w:t>500</w:t>
            </w:r>
          </w:p>
        </w:tc>
        <w:tc>
          <w:tcPr>
            <w:tcW w:w="1540" w:type="dxa"/>
            <w:shd w:val="clear" w:color="auto" w:fill="auto"/>
          </w:tcPr>
          <w:p w:rsidR="00C07927" w:rsidRDefault="00C07927" w:rsidP="004F7425">
            <w:r>
              <w:t>159</w:t>
            </w:r>
          </w:p>
        </w:tc>
        <w:tc>
          <w:tcPr>
            <w:tcW w:w="1540" w:type="dxa"/>
            <w:shd w:val="clear" w:color="auto" w:fill="auto"/>
          </w:tcPr>
          <w:p w:rsidR="00C07927" w:rsidRDefault="00C07927" w:rsidP="004F7425">
            <w:r>
              <w:t>3</w:t>
            </w:r>
          </w:p>
        </w:tc>
        <w:tc>
          <w:tcPr>
            <w:tcW w:w="1541" w:type="dxa"/>
            <w:shd w:val="clear" w:color="auto" w:fill="auto"/>
          </w:tcPr>
          <w:p w:rsidR="00C07927" w:rsidRDefault="00C07927" w:rsidP="004F7425">
            <w:r>
              <w:t>18</w:t>
            </w:r>
          </w:p>
        </w:tc>
        <w:tc>
          <w:tcPr>
            <w:tcW w:w="1541" w:type="dxa"/>
            <w:shd w:val="clear" w:color="auto" w:fill="auto"/>
          </w:tcPr>
          <w:p w:rsidR="00C07927" w:rsidRDefault="00C07927" w:rsidP="004F7425">
            <w:r>
              <w:t>0</w:t>
            </w:r>
          </w:p>
        </w:tc>
      </w:tr>
    </w:tbl>
    <w:p w:rsidR="00C07927" w:rsidRDefault="00C07927" w:rsidP="00C07927">
      <w:pPr>
        <w:rPr>
          <w:color w:val="000000"/>
          <w:lang w:eastAsia="lt-LT"/>
        </w:rPr>
      </w:pPr>
      <w:r>
        <w:rPr>
          <w:color w:val="000000"/>
          <w:lang w:eastAsia="lt-LT"/>
        </w:rPr>
        <w:t xml:space="preserve">                                                     </w:t>
      </w:r>
      <w:hyperlink r:id="rId197" w:tgtFrame="_blank" w:history="1">
        <w:r w:rsidRPr="00743044">
          <w:rPr>
            <w:color w:val="000300"/>
            <w:lang w:eastAsia="lt-LT"/>
          </w:rPr>
          <w:t>Klaipėdos m</w:t>
        </w:r>
        <w:r>
          <w:rPr>
            <w:color w:val="000300"/>
            <w:lang w:eastAsia="lt-LT"/>
          </w:rPr>
          <w:t>iesto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8935</w:t>
            </w:r>
          </w:p>
        </w:tc>
        <w:tc>
          <w:tcPr>
            <w:tcW w:w="1540" w:type="dxa"/>
            <w:shd w:val="clear" w:color="auto" w:fill="auto"/>
          </w:tcPr>
          <w:p w:rsidR="00C07927" w:rsidRDefault="00C07927" w:rsidP="004F7425">
            <w:r>
              <w:t>1798</w:t>
            </w:r>
          </w:p>
        </w:tc>
        <w:tc>
          <w:tcPr>
            <w:tcW w:w="1540" w:type="dxa"/>
            <w:shd w:val="clear" w:color="auto" w:fill="auto"/>
          </w:tcPr>
          <w:p w:rsidR="00C07927" w:rsidRDefault="00C07927" w:rsidP="004F7425">
            <w:r>
              <w:t>197</w:t>
            </w:r>
          </w:p>
        </w:tc>
        <w:tc>
          <w:tcPr>
            <w:tcW w:w="1540" w:type="dxa"/>
            <w:shd w:val="clear" w:color="auto" w:fill="auto"/>
          </w:tcPr>
          <w:p w:rsidR="00C07927" w:rsidRDefault="00C07927" w:rsidP="004F7425">
            <w:r>
              <w:t>60</w:t>
            </w:r>
          </w:p>
        </w:tc>
        <w:tc>
          <w:tcPr>
            <w:tcW w:w="1541" w:type="dxa"/>
            <w:shd w:val="clear" w:color="auto" w:fill="auto"/>
          </w:tcPr>
          <w:p w:rsidR="00C07927" w:rsidRDefault="00C07927" w:rsidP="004F7425">
            <w:r>
              <w:t>1</w:t>
            </w:r>
          </w:p>
        </w:tc>
        <w:tc>
          <w:tcPr>
            <w:tcW w:w="1541" w:type="dxa"/>
            <w:shd w:val="clear" w:color="auto" w:fill="auto"/>
          </w:tcPr>
          <w:p w:rsidR="00C07927" w:rsidRDefault="00C07927" w:rsidP="004F7425">
            <w:r>
              <w:t>6</w:t>
            </w:r>
          </w:p>
        </w:tc>
      </w:tr>
    </w:tbl>
    <w:p w:rsidR="00C07927" w:rsidRPr="00DC318B" w:rsidRDefault="00C07927" w:rsidP="00C07927">
      <w:pPr>
        <w:rPr>
          <w:color w:val="000000"/>
          <w:lang w:eastAsia="lt-LT"/>
        </w:rPr>
      </w:pPr>
      <w:r>
        <w:rPr>
          <w:color w:val="000000"/>
          <w:lang w:eastAsia="lt-LT"/>
        </w:rPr>
        <w:t xml:space="preserve">                                                       </w:t>
      </w:r>
      <w:hyperlink r:id="rId198" w:tgtFrame="_blank" w:history="1">
        <w:r w:rsidRPr="00DC318B">
          <w:rPr>
            <w:color w:val="000300"/>
            <w:lang w:eastAsia="lt-LT"/>
          </w:rPr>
          <w:t>Klaipėdos rajono savivaldybė</w:t>
        </w:r>
      </w:hyperlink>
      <w:r w:rsidRPr="00DC318B">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475</w:t>
            </w:r>
          </w:p>
        </w:tc>
        <w:tc>
          <w:tcPr>
            <w:tcW w:w="1540" w:type="dxa"/>
            <w:shd w:val="clear" w:color="auto" w:fill="auto"/>
          </w:tcPr>
          <w:p w:rsidR="00C07927" w:rsidRDefault="00C07927" w:rsidP="004F7425">
            <w:r>
              <w:t>80</w:t>
            </w:r>
          </w:p>
        </w:tc>
        <w:tc>
          <w:tcPr>
            <w:tcW w:w="1540" w:type="dxa"/>
            <w:shd w:val="clear" w:color="auto" w:fill="auto"/>
          </w:tcPr>
          <w:p w:rsidR="00C07927" w:rsidRDefault="00C07927" w:rsidP="004F7425">
            <w:r>
              <w:t>13</w:t>
            </w:r>
          </w:p>
        </w:tc>
        <w:tc>
          <w:tcPr>
            <w:tcW w:w="1540" w:type="dxa"/>
            <w:shd w:val="clear" w:color="auto" w:fill="auto"/>
          </w:tcPr>
          <w:p w:rsidR="00C07927" w:rsidRDefault="00C07927" w:rsidP="004F7425">
            <w:r>
              <w:t>infrom. nepateikė</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Default="00C07927" w:rsidP="00C07927">
      <w:pPr>
        <w:rPr>
          <w:color w:val="000000"/>
          <w:lang w:eastAsia="lt-LT"/>
        </w:rPr>
      </w:pPr>
      <w:r>
        <w:rPr>
          <w:color w:val="000000"/>
          <w:lang w:eastAsia="lt-LT"/>
        </w:rPr>
        <w:t xml:space="preserve">                                                        </w:t>
      </w:r>
      <w:hyperlink r:id="rId199" w:tgtFrame="_blank" w:history="1">
        <w:r w:rsidRPr="00743044">
          <w:rPr>
            <w:color w:val="000300"/>
            <w:lang w:eastAsia="lt-LT"/>
          </w:rPr>
          <w:t>Kretingos raj</w:t>
        </w:r>
        <w:r>
          <w:rPr>
            <w:color w:val="000300"/>
            <w:lang w:eastAsia="lt-LT"/>
          </w:rPr>
          <w:t>ono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1504</w:t>
            </w:r>
          </w:p>
        </w:tc>
        <w:tc>
          <w:tcPr>
            <w:tcW w:w="1540" w:type="dxa"/>
            <w:shd w:val="clear" w:color="auto" w:fill="auto"/>
          </w:tcPr>
          <w:p w:rsidR="00C07927" w:rsidRDefault="00C07927" w:rsidP="004F7425">
            <w:r>
              <w:t>167- iki 7 m.,</w:t>
            </w:r>
          </w:p>
          <w:p w:rsidR="00C07927" w:rsidRDefault="00C07927" w:rsidP="004F7425">
            <w:r>
              <w:t>176- iki 16 m., 16-18- 31</w:t>
            </w:r>
          </w:p>
        </w:tc>
        <w:tc>
          <w:tcPr>
            <w:tcW w:w="1540" w:type="dxa"/>
            <w:shd w:val="clear" w:color="auto" w:fill="auto"/>
          </w:tcPr>
          <w:p w:rsidR="00C07927" w:rsidRDefault="00C07927" w:rsidP="004F7425">
            <w:r>
              <w:t>180</w:t>
            </w:r>
          </w:p>
        </w:tc>
        <w:tc>
          <w:tcPr>
            <w:tcW w:w="1540" w:type="dxa"/>
            <w:shd w:val="clear" w:color="auto" w:fill="auto"/>
          </w:tcPr>
          <w:p w:rsidR="00C07927" w:rsidRDefault="00C07927" w:rsidP="004F7425">
            <w:r>
              <w:t>1</w:t>
            </w:r>
          </w:p>
        </w:tc>
        <w:tc>
          <w:tcPr>
            <w:tcW w:w="1541" w:type="dxa"/>
            <w:shd w:val="clear" w:color="auto" w:fill="auto"/>
          </w:tcPr>
          <w:p w:rsidR="00C07927" w:rsidRDefault="00C07927" w:rsidP="004F7425">
            <w:r>
              <w:t>18 (visi išvykę į užsienį)</w:t>
            </w:r>
          </w:p>
        </w:tc>
        <w:tc>
          <w:tcPr>
            <w:tcW w:w="1541" w:type="dxa"/>
            <w:shd w:val="clear" w:color="auto" w:fill="auto"/>
          </w:tcPr>
          <w:p w:rsidR="00C07927" w:rsidRDefault="00C07927" w:rsidP="004F7425">
            <w:r>
              <w:t>Duomenų neturi</w:t>
            </w:r>
          </w:p>
        </w:tc>
      </w:tr>
    </w:tbl>
    <w:p w:rsidR="00C07927" w:rsidRPr="00072322" w:rsidRDefault="00C07927" w:rsidP="00C07927">
      <w:pPr>
        <w:rPr>
          <w:color w:val="000000"/>
          <w:lang w:eastAsia="lt-LT"/>
        </w:rPr>
      </w:pPr>
      <w:r>
        <w:rPr>
          <w:color w:val="000000"/>
          <w:lang w:eastAsia="lt-LT"/>
        </w:rPr>
        <w:t xml:space="preserve">                                                    </w:t>
      </w:r>
      <w:hyperlink r:id="rId200" w:tgtFrame="_blank" w:history="1">
        <w:r w:rsidRPr="00072322">
          <w:rPr>
            <w:color w:val="000300"/>
            <w:lang w:eastAsia="lt-LT"/>
          </w:rPr>
          <w:t>Kupiškio raj</w:t>
        </w:r>
        <w:r>
          <w:rPr>
            <w:color w:val="000300"/>
            <w:lang w:eastAsia="lt-LT"/>
          </w:rPr>
          <w:t>ono savivaldybė</w:t>
        </w:r>
      </w:hyperlink>
      <w:r w:rsidRPr="00072322">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lastRenderedPageBreak/>
              <w:t>458</w:t>
            </w:r>
          </w:p>
        </w:tc>
        <w:tc>
          <w:tcPr>
            <w:tcW w:w="1540" w:type="dxa"/>
            <w:shd w:val="clear" w:color="auto" w:fill="auto"/>
          </w:tcPr>
          <w:p w:rsidR="00C07927" w:rsidRDefault="00C07927" w:rsidP="004F7425">
            <w:r>
              <w:t>103</w:t>
            </w:r>
          </w:p>
        </w:tc>
        <w:tc>
          <w:tcPr>
            <w:tcW w:w="1540" w:type="dxa"/>
            <w:shd w:val="clear" w:color="auto" w:fill="auto"/>
          </w:tcPr>
          <w:p w:rsidR="00C07927" w:rsidRDefault="00C07927" w:rsidP="004F7425">
            <w:r>
              <w:t>24 šeimos, 46 vaikai</w:t>
            </w:r>
          </w:p>
        </w:tc>
        <w:tc>
          <w:tcPr>
            <w:tcW w:w="1540" w:type="dxa"/>
            <w:shd w:val="clear" w:color="auto" w:fill="auto"/>
          </w:tcPr>
          <w:p w:rsidR="00C07927" w:rsidRDefault="00C07927" w:rsidP="004F7425">
            <w:r>
              <w:t>11 šeimų, 18 vaikų</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Default="00C07927" w:rsidP="00C07927">
      <w:pPr>
        <w:rPr>
          <w:color w:val="000000"/>
          <w:lang w:eastAsia="lt-LT"/>
        </w:rPr>
      </w:pPr>
      <w:r>
        <w:rPr>
          <w:color w:val="000000"/>
          <w:lang w:eastAsia="lt-LT"/>
        </w:rPr>
        <w:t xml:space="preserve">                                                    </w:t>
      </w:r>
      <w:hyperlink r:id="rId201" w:tgtFrame="_blank" w:history="1">
        <w:r w:rsidRPr="00743044">
          <w:rPr>
            <w:color w:val="000300"/>
            <w:lang w:eastAsia="lt-LT"/>
          </w:rPr>
          <w:t>Lazdijų raj</w:t>
        </w:r>
        <w:r>
          <w:rPr>
            <w:color w:val="000300"/>
            <w:lang w:eastAsia="lt-LT"/>
          </w:rPr>
          <w:t xml:space="preserve">ono savivaldybė </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46</w:t>
            </w:r>
          </w:p>
        </w:tc>
        <w:tc>
          <w:tcPr>
            <w:tcW w:w="1540" w:type="dxa"/>
            <w:shd w:val="clear" w:color="auto" w:fill="auto"/>
          </w:tcPr>
          <w:p w:rsidR="00C07927" w:rsidRDefault="00C07927" w:rsidP="004F7425">
            <w:r>
              <w:t>11</w:t>
            </w:r>
          </w:p>
        </w:tc>
        <w:tc>
          <w:tcPr>
            <w:tcW w:w="1540" w:type="dxa"/>
            <w:shd w:val="clear" w:color="auto" w:fill="auto"/>
          </w:tcPr>
          <w:p w:rsidR="00C07927" w:rsidRDefault="00C07927" w:rsidP="004F7425">
            <w:r>
              <w:t>11</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FE6B35" w:rsidRDefault="00C07927" w:rsidP="00C07927">
      <w:pPr>
        <w:rPr>
          <w:color w:val="000000"/>
          <w:lang w:eastAsia="lt-LT"/>
        </w:rPr>
      </w:pPr>
      <w:r>
        <w:rPr>
          <w:color w:val="000000"/>
          <w:lang w:eastAsia="lt-LT"/>
        </w:rPr>
        <w:t xml:space="preserve">                                                     Marijampolės savivaldybė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inform. neturi</w:t>
            </w:r>
          </w:p>
        </w:tc>
        <w:tc>
          <w:tcPr>
            <w:tcW w:w="1540" w:type="dxa"/>
            <w:shd w:val="clear" w:color="auto" w:fill="auto"/>
          </w:tcPr>
          <w:p w:rsidR="00C07927" w:rsidRDefault="00C07927" w:rsidP="004F7425">
            <w:r>
              <w:t>inform. neturi</w:t>
            </w:r>
          </w:p>
        </w:tc>
        <w:tc>
          <w:tcPr>
            <w:tcW w:w="1540" w:type="dxa"/>
            <w:shd w:val="clear" w:color="auto" w:fill="auto"/>
          </w:tcPr>
          <w:p w:rsidR="00C07927" w:rsidRDefault="00C07927" w:rsidP="004F7425">
            <w:r>
              <w:t>inform. neturi</w:t>
            </w:r>
          </w:p>
        </w:tc>
        <w:tc>
          <w:tcPr>
            <w:tcW w:w="1540" w:type="dxa"/>
            <w:shd w:val="clear" w:color="auto" w:fill="auto"/>
          </w:tcPr>
          <w:p w:rsidR="00C07927" w:rsidRDefault="00C07927" w:rsidP="004F7425">
            <w:r>
              <w:t xml:space="preserve"> inform. neturi</w:t>
            </w:r>
          </w:p>
        </w:tc>
        <w:tc>
          <w:tcPr>
            <w:tcW w:w="1541" w:type="dxa"/>
            <w:shd w:val="clear" w:color="auto" w:fill="auto"/>
          </w:tcPr>
          <w:p w:rsidR="00C07927" w:rsidRDefault="00C07927" w:rsidP="004F7425">
            <w:r>
              <w:t>inform. neturi</w:t>
            </w:r>
          </w:p>
        </w:tc>
        <w:tc>
          <w:tcPr>
            <w:tcW w:w="1541" w:type="dxa"/>
            <w:shd w:val="clear" w:color="auto" w:fill="auto"/>
          </w:tcPr>
          <w:p w:rsidR="00C07927" w:rsidRDefault="00C07927" w:rsidP="004F7425">
            <w:r>
              <w:t>Nesimoko 481</w:t>
            </w:r>
          </w:p>
          <w:p w:rsidR="00C07927" w:rsidRDefault="00C07927" w:rsidP="004F7425">
            <w:r>
              <w:t xml:space="preserve">(rasta 16 mokosi, 14 nesimoko, 350 išvykę,  121 nerasta) </w:t>
            </w:r>
          </w:p>
        </w:tc>
      </w:tr>
    </w:tbl>
    <w:p w:rsidR="00C07927" w:rsidRPr="004F0845" w:rsidRDefault="00C07927" w:rsidP="00C07927">
      <w:pPr>
        <w:rPr>
          <w:color w:val="000000"/>
          <w:lang w:eastAsia="lt-LT"/>
        </w:rPr>
      </w:pPr>
      <w:r>
        <w:rPr>
          <w:color w:val="000000"/>
          <w:lang w:eastAsia="lt-LT"/>
        </w:rPr>
        <w:t xml:space="preserve">                                                     </w:t>
      </w:r>
      <w:hyperlink r:id="rId202" w:tgtFrame="_blank" w:history="1">
        <w:r w:rsidRPr="004F0845">
          <w:rPr>
            <w:color w:val="000300"/>
            <w:lang w:eastAsia="lt-LT"/>
          </w:rPr>
          <w:t>Mažeikių rajono savivaldybė</w:t>
        </w:r>
      </w:hyperlink>
      <w:r w:rsidRPr="004F0845">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 xml:space="preserve">Inform. neturi </w:t>
            </w:r>
          </w:p>
        </w:tc>
        <w:tc>
          <w:tcPr>
            <w:tcW w:w="1540" w:type="dxa"/>
            <w:shd w:val="clear" w:color="auto" w:fill="auto"/>
          </w:tcPr>
          <w:p w:rsidR="00C07927" w:rsidRDefault="00C07927" w:rsidP="004F7425">
            <w:r>
              <w:t>Inform.</w:t>
            </w:r>
          </w:p>
          <w:p w:rsidR="00C07927" w:rsidRDefault="00C07927" w:rsidP="004F7425">
            <w:r>
              <w:t xml:space="preserve">neturi </w:t>
            </w:r>
          </w:p>
        </w:tc>
        <w:tc>
          <w:tcPr>
            <w:tcW w:w="1540" w:type="dxa"/>
            <w:shd w:val="clear" w:color="auto" w:fill="auto"/>
          </w:tcPr>
          <w:p w:rsidR="00C07927" w:rsidRDefault="00C07927" w:rsidP="004F7425">
            <w:r>
              <w:t xml:space="preserve">Inform. neturi </w:t>
            </w:r>
          </w:p>
        </w:tc>
        <w:tc>
          <w:tcPr>
            <w:tcW w:w="1540" w:type="dxa"/>
            <w:shd w:val="clear" w:color="auto" w:fill="auto"/>
          </w:tcPr>
          <w:p w:rsidR="00C07927" w:rsidRDefault="00C07927" w:rsidP="004F7425">
            <w:r>
              <w:t xml:space="preserve">Inform. neturi </w:t>
            </w:r>
          </w:p>
        </w:tc>
        <w:tc>
          <w:tcPr>
            <w:tcW w:w="1541" w:type="dxa"/>
            <w:shd w:val="clear" w:color="auto" w:fill="auto"/>
          </w:tcPr>
          <w:p w:rsidR="00C07927" w:rsidRDefault="00C07927" w:rsidP="004F7425">
            <w:r>
              <w:t xml:space="preserve">Inform. neturi </w:t>
            </w:r>
          </w:p>
        </w:tc>
        <w:tc>
          <w:tcPr>
            <w:tcW w:w="1541" w:type="dxa"/>
            <w:shd w:val="clear" w:color="auto" w:fill="auto"/>
          </w:tcPr>
          <w:p w:rsidR="00C07927" w:rsidRPr="001E7D72" w:rsidRDefault="00C07927" w:rsidP="004F7425">
            <w:pPr>
              <w:rPr>
                <w:b/>
              </w:rPr>
            </w:pPr>
            <w:r w:rsidRPr="001E7D72">
              <w:rPr>
                <w:b/>
              </w:rPr>
              <w:t>4</w:t>
            </w:r>
          </w:p>
        </w:tc>
      </w:tr>
    </w:tbl>
    <w:p w:rsidR="00C07927" w:rsidRPr="00503C53" w:rsidRDefault="00C07927" w:rsidP="00C07927">
      <w:pPr>
        <w:rPr>
          <w:color w:val="000000"/>
          <w:lang w:eastAsia="lt-LT"/>
        </w:rPr>
      </w:pPr>
      <w:r>
        <w:rPr>
          <w:b/>
          <w:color w:val="000000"/>
          <w:lang w:eastAsia="lt-LT"/>
        </w:rPr>
        <w:t xml:space="preserve">                                           </w:t>
      </w:r>
      <w:hyperlink r:id="rId203" w:tgtFrame="_blank" w:history="1">
        <w:r w:rsidRPr="00503C53">
          <w:rPr>
            <w:color w:val="000300"/>
            <w:lang w:eastAsia="lt-LT"/>
          </w:rPr>
          <w:t xml:space="preserve">Molėtų rajono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 xml:space="preserve">Nepateikė </w:t>
            </w:r>
          </w:p>
        </w:tc>
        <w:tc>
          <w:tcPr>
            <w:tcW w:w="1540" w:type="dxa"/>
            <w:shd w:val="clear" w:color="auto" w:fill="auto"/>
          </w:tcPr>
          <w:p w:rsidR="00C07927" w:rsidRDefault="00C07927" w:rsidP="004F7425">
            <w:r>
              <w:t xml:space="preserve">Nepateikė </w:t>
            </w:r>
          </w:p>
        </w:tc>
        <w:tc>
          <w:tcPr>
            <w:tcW w:w="1540" w:type="dxa"/>
            <w:shd w:val="clear" w:color="auto" w:fill="auto"/>
          </w:tcPr>
          <w:p w:rsidR="00C07927" w:rsidRDefault="00C07927" w:rsidP="004F7425">
            <w:r>
              <w:t xml:space="preserve">Nepateikė </w:t>
            </w:r>
          </w:p>
        </w:tc>
        <w:tc>
          <w:tcPr>
            <w:tcW w:w="1540" w:type="dxa"/>
            <w:shd w:val="clear" w:color="auto" w:fill="auto"/>
          </w:tcPr>
          <w:p w:rsidR="00C07927" w:rsidRDefault="00C07927" w:rsidP="004F7425">
            <w:r>
              <w:t xml:space="preserve">Nepateikė </w:t>
            </w:r>
          </w:p>
        </w:tc>
        <w:tc>
          <w:tcPr>
            <w:tcW w:w="1541" w:type="dxa"/>
            <w:shd w:val="clear" w:color="auto" w:fill="auto"/>
          </w:tcPr>
          <w:p w:rsidR="00C07927" w:rsidRDefault="00C07927" w:rsidP="004F7425">
            <w:r>
              <w:t xml:space="preserve">nepateikė </w:t>
            </w:r>
          </w:p>
        </w:tc>
        <w:tc>
          <w:tcPr>
            <w:tcW w:w="1541" w:type="dxa"/>
            <w:shd w:val="clear" w:color="auto" w:fill="auto"/>
          </w:tcPr>
          <w:p w:rsidR="00C07927" w:rsidRDefault="00C07927" w:rsidP="004F7425">
            <w:r>
              <w:t>negrįžo</w:t>
            </w:r>
          </w:p>
        </w:tc>
      </w:tr>
    </w:tbl>
    <w:p w:rsidR="00C07927" w:rsidRDefault="00C07927" w:rsidP="00C07927">
      <w:pPr>
        <w:rPr>
          <w:color w:val="000000"/>
          <w:lang w:eastAsia="lt-LT"/>
        </w:rPr>
      </w:pPr>
      <w:r>
        <w:rPr>
          <w:color w:val="000000"/>
          <w:lang w:eastAsia="lt-LT"/>
        </w:rPr>
        <w:t xml:space="preserve">                                                       </w:t>
      </w:r>
      <w:hyperlink r:id="rId204" w:tgtFrame="_blank" w:history="1">
        <w:r w:rsidRPr="00743044">
          <w:rPr>
            <w:color w:val="000300"/>
            <w:lang w:eastAsia="lt-LT"/>
          </w:rPr>
          <w:t>Neringos</w:t>
        </w:r>
      </w:hyperlink>
      <w:r>
        <w:rPr>
          <w:color w:val="000000"/>
          <w:lang w:eastAsia="lt-LT"/>
        </w:rPr>
        <w:t xml:space="preserve"> savivaldybė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22</w:t>
            </w:r>
          </w:p>
        </w:tc>
        <w:tc>
          <w:tcPr>
            <w:tcW w:w="1540" w:type="dxa"/>
            <w:shd w:val="clear" w:color="auto" w:fill="auto"/>
          </w:tcPr>
          <w:p w:rsidR="00C07927" w:rsidRDefault="00C07927" w:rsidP="004F7425">
            <w:r>
              <w:t>1</w:t>
            </w:r>
          </w:p>
        </w:tc>
        <w:tc>
          <w:tcPr>
            <w:tcW w:w="1540" w:type="dxa"/>
            <w:shd w:val="clear" w:color="auto" w:fill="auto"/>
          </w:tcPr>
          <w:p w:rsidR="00C07927" w:rsidRDefault="00C07927" w:rsidP="004F7425">
            <w:r>
              <w:t>inform. neturi</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Default="00C07927" w:rsidP="00C07927">
      <w:pPr>
        <w:rPr>
          <w:b/>
          <w:color w:val="000000"/>
          <w:u w:val="single"/>
          <w:lang w:eastAsia="lt-LT"/>
        </w:rPr>
      </w:pPr>
      <w:r>
        <w:rPr>
          <w:color w:val="000000"/>
          <w:lang w:eastAsia="lt-LT"/>
        </w:rPr>
        <w:t xml:space="preserve">                                                  </w:t>
      </w:r>
      <w:hyperlink r:id="rId205" w:tgtFrame="_blank" w:history="1">
        <w:r w:rsidRPr="00743044">
          <w:rPr>
            <w:color w:val="000300"/>
            <w:lang w:eastAsia="lt-LT"/>
          </w:rPr>
          <w:t>Pagėgių</w:t>
        </w:r>
      </w:hyperlink>
      <w:r>
        <w:rPr>
          <w:color w:val="000000"/>
          <w:lang w:eastAsia="lt-LT"/>
        </w:rPr>
        <w:t xml:space="preserve"> savivaldybė pateikė dalinai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negrįžo</w:t>
            </w:r>
          </w:p>
        </w:tc>
      </w:tr>
    </w:tbl>
    <w:p w:rsidR="00C07927" w:rsidRDefault="00C07927" w:rsidP="00C07927">
      <w:pPr>
        <w:rPr>
          <w:color w:val="000000"/>
          <w:lang w:eastAsia="lt-LT"/>
        </w:rPr>
      </w:pPr>
      <w:r>
        <w:rPr>
          <w:color w:val="000000"/>
          <w:lang w:eastAsia="lt-LT"/>
        </w:rPr>
        <w:t xml:space="preserve">                                                     </w:t>
      </w:r>
      <w:hyperlink r:id="rId206" w:tgtFrame="_blank" w:history="1">
        <w:r w:rsidRPr="00743044">
          <w:rPr>
            <w:color w:val="000300"/>
            <w:lang w:eastAsia="lt-LT"/>
          </w:rPr>
          <w:t>Pakruojo raj</w:t>
        </w:r>
        <w:r>
          <w:rPr>
            <w:color w:val="000300"/>
            <w:lang w:eastAsia="lt-LT"/>
          </w:rPr>
          <w:t xml:space="preserve">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221</w:t>
            </w:r>
          </w:p>
        </w:tc>
        <w:tc>
          <w:tcPr>
            <w:tcW w:w="1540" w:type="dxa"/>
            <w:shd w:val="clear" w:color="auto" w:fill="auto"/>
          </w:tcPr>
          <w:p w:rsidR="00C07927" w:rsidRDefault="00C07927" w:rsidP="004F7425">
            <w:r>
              <w:t>97</w:t>
            </w:r>
          </w:p>
        </w:tc>
        <w:tc>
          <w:tcPr>
            <w:tcW w:w="1540" w:type="dxa"/>
            <w:shd w:val="clear" w:color="auto" w:fill="auto"/>
          </w:tcPr>
          <w:p w:rsidR="00C07927" w:rsidRDefault="00C07927" w:rsidP="004F7425">
            <w:r>
              <w:t>66</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1</w:t>
            </w:r>
          </w:p>
        </w:tc>
        <w:tc>
          <w:tcPr>
            <w:tcW w:w="1541" w:type="dxa"/>
            <w:shd w:val="clear" w:color="auto" w:fill="auto"/>
          </w:tcPr>
          <w:p w:rsidR="00C07927" w:rsidRDefault="00C07927" w:rsidP="004F7425">
            <w:r>
              <w:t>0</w:t>
            </w:r>
          </w:p>
        </w:tc>
      </w:tr>
    </w:tbl>
    <w:p w:rsidR="00C07927" w:rsidRPr="001E7D72" w:rsidRDefault="00C07927" w:rsidP="00C07927">
      <w:pPr>
        <w:rPr>
          <w:vanish/>
        </w:rPr>
      </w:pPr>
    </w:p>
    <w:tbl>
      <w:tblPr>
        <w:tblW w:w="5389" w:type="pct"/>
        <w:tblCellSpacing w:w="0" w:type="dxa"/>
        <w:tblCellMar>
          <w:top w:w="45" w:type="dxa"/>
          <w:left w:w="45" w:type="dxa"/>
          <w:bottom w:w="45" w:type="dxa"/>
          <w:right w:w="45" w:type="dxa"/>
        </w:tblCellMar>
        <w:tblLook w:val="04A0" w:firstRow="1" w:lastRow="0" w:firstColumn="1" w:lastColumn="0" w:noHBand="0" w:noVBand="1"/>
      </w:tblPr>
      <w:tblGrid>
        <w:gridCol w:w="10746"/>
      </w:tblGrid>
      <w:tr w:rsidR="00C07927" w:rsidRPr="00743044" w:rsidTr="004F7425">
        <w:trPr>
          <w:tblCellSpacing w:w="0" w:type="dxa"/>
        </w:trPr>
        <w:tc>
          <w:tcPr>
            <w:tcW w:w="5000" w:type="pct"/>
            <w:vAlign w:val="center"/>
            <w:hideMark/>
          </w:tcPr>
          <w:p w:rsidR="00C07927" w:rsidRDefault="00C07927" w:rsidP="004F7425">
            <w:pPr>
              <w:rPr>
                <w:color w:val="000000"/>
                <w:lang w:eastAsia="lt-LT"/>
              </w:rPr>
            </w:pPr>
          </w:p>
          <w:p w:rsidR="00C07927" w:rsidRDefault="00C07927" w:rsidP="004F7425">
            <w:pPr>
              <w:rPr>
                <w:color w:val="000000"/>
                <w:lang w:eastAsia="lt-LT"/>
              </w:rPr>
            </w:pPr>
            <w:r>
              <w:rPr>
                <w:color w:val="000000"/>
                <w:lang w:eastAsia="lt-LT"/>
              </w:rPr>
              <w:t xml:space="preserve">                                                    </w:t>
            </w:r>
            <w:hyperlink r:id="rId207" w:tgtFrame="_blank" w:history="1">
              <w:r w:rsidRPr="00743044">
                <w:rPr>
                  <w:color w:val="000300"/>
                  <w:lang w:eastAsia="lt-LT"/>
                </w:rPr>
                <w:t>Palangos m</w:t>
              </w:r>
              <w:r>
                <w:rPr>
                  <w:color w:val="000300"/>
                  <w:lang w:eastAsia="lt-LT"/>
                </w:rPr>
                <w:t xml:space="preserve">iesto savivaldybė </w:t>
              </w:r>
            </w:hyperlink>
            <w:r w:rsidRPr="003F59D7">
              <w:rPr>
                <w:color w:val="000000"/>
                <w:lang w:eastAsia="lt-LT"/>
              </w:rPr>
              <w:t xml:space="preserve"> </w:t>
            </w:r>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cr/>
                    <w:t>37</w:t>
                  </w:r>
                </w:p>
              </w:tc>
              <w:tc>
                <w:tcPr>
                  <w:tcW w:w="1540" w:type="dxa"/>
                  <w:shd w:val="clear" w:color="auto" w:fill="auto"/>
                </w:tcPr>
                <w:p w:rsidR="00C07927" w:rsidRDefault="00C07927" w:rsidP="004F7425">
                  <w:r>
                    <w:t>26</w:t>
                  </w:r>
                </w:p>
              </w:tc>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 xml:space="preserve">info neturi </w:t>
                  </w:r>
                </w:p>
              </w:tc>
              <w:tc>
                <w:tcPr>
                  <w:tcW w:w="1541" w:type="dxa"/>
                  <w:shd w:val="clear" w:color="auto" w:fill="auto"/>
                </w:tcPr>
                <w:p w:rsidR="00C07927" w:rsidRDefault="00C07927" w:rsidP="004F7425"/>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08" w:tgtFrame="_blank" w:history="1">
              <w:r w:rsidRPr="00743044">
                <w:rPr>
                  <w:color w:val="000300"/>
                  <w:lang w:eastAsia="lt-LT"/>
                </w:rPr>
                <w:t>Panevėžio m</w:t>
              </w:r>
              <w:r>
                <w:rPr>
                  <w:color w:val="000300"/>
                  <w:lang w:eastAsia="lt-LT"/>
                </w:rPr>
                <w:t>iesto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2962</w:t>
                  </w:r>
                </w:p>
              </w:tc>
              <w:tc>
                <w:tcPr>
                  <w:tcW w:w="1540" w:type="dxa"/>
                  <w:shd w:val="clear" w:color="auto" w:fill="auto"/>
                </w:tcPr>
                <w:p w:rsidR="00C07927" w:rsidRDefault="00C07927" w:rsidP="004F7425">
                  <w:r>
                    <w:t>885</w:t>
                  </w:r>
                </w:p>
              </w:tc>
              <w:tc>
                <w:tcPr>
                  <w:tcW w:w="1540" w:type="dxa"/>
                  <w:shd w:val="clear" w:color="auto" w:fill="auto"/>
                </w:tcPr>
                <w:p w:rsidR="00C07927" w:rsidRDefault="00C07927" w:rsidP="004F7425">
                  <w:r>
                    <w:t>169</w:t>
                  </w:r>
                </w:p>
              </w:tc>
              <w:tc>
                <w:tcPr>
                  <w:tcW w:w="1540" w:type="dxa"/>
                  <w:shd w:val="clear" w:color="auto" w:fill="auto"/>
                </w:tcPr>
                <w:p w:rsidR="00C07927" w:rsidRDefault="00C07927" w:rsidP="004F7425">
                  <w:r>
                    <w:t>1</w:t>
                  </w:r>
                </w:p>
              </w:tc>
              <w:tc>
                <w:tcPr>
                  <w:tcW w:w="1541" w:type="dxa"/>
                  <w:shd w:val="clear" w:color="auto" w:fill="auto"/>
                </w:tcPr>
                <w:p w:rsidR="00C07927" w:rsidRDefault="00C07927" w:rsidP="004F7425">
                  <w:r>
                    <w:t>2</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09" w:tgtFrame="_blank" w:history="1">
              <w:r w:rsidRPr="00743044">
                <w:rPr>
                  <w:color w:val="000300"/>
                  <w:lang w:eastAsia="lt-LT"/>
                </w:rPr>
                <w:t>Panevėžio raj</w:t>
              </w:r>
              <w:r>
                <w:rPr>
                  <w:color w:val="000300"/>
                  <w:lang w:eastAsia="lt-LT"/>
                </w:rPr>
                <w:t xml:space="preserve">ono savivaldybė </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257</w:t>
                  </w:r>
                </w:p>
              </w:tc>
              <w:tc>
                <w:tcPr>
                  <w:tcW w:w="1540" w:type="dxa"/>
                  <w:shd w:val="clear" w:color="auto" w:fill="auto"/>
                </w:tcPr>
                <w:p w:rsidR="00C07927" w:rsidRDefault="00C07927" w:rsidP="004F7425">
                  <w:r>
                    <w:t>31</w:t>
                  </w:r>
                </w:p>
              </w:tc>
              <w:tc>
                <w:tcPr>
                  <w:tcW w:w="1540" w:type="dxa"/>
                  <w:shd w:val="clear" w:color="auto" w:fill="auto"/>
                </w:tcPr>
                <w:p w:rsidR="00C07927" w:rsidRDefault="00C07927" w:rsidP="004F7425">
                  <w:r>
                    <w:t>16</w:t>
                  </w:r>
                </w:p>
              </w:tc>
              <w:tc>
                <w:tcPr>
                  <w:tcW w:w="1540" w:type="dxa"/>
                  <w:shd w:val="clear" w:color="auto" w:fill="auto"/>
                </w:tcPr>
                <w:p w:rsidR="00C07927" w:rsidRDefault="00C07927" w:rsidP="004F7425">
                  <w:r>
                    <w:t>6</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10" w:tgtFrame="_blank" w:history="1">
              <w:r w:rsidRPr="00743044">
                <w:rPr>
                  <w:color w:val="000300"/>
                  <w:lang w:eastAsia="lt-LT"/>
                </w:rPr>
                <w:t>Pasvalio raj</w:t>
              </w:r>
              <w:r>
                <w:rPr>
                  <w:color w:val="000300"/>
                  <w:lang w:eastAsia="lt-LT"/>
                </w:rPr>
                <w:t>ono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189</w:t>
                  </w:r>
                </w:p>
              </w:tc>
              <w:tc>
                <w:tcPr>
                  <w:tcW w:w="1540" w:type="dxa"/>
                  <w:shd w:val="clear" w:color="auto" w:fill="auto"/>
                </w:tcPr>
                <w:p w:rsidR="00C07927" w:rsidRDefault="00C07927" w:rsidP="004F7425">
                  <w:r>
                    <w:t>37</w:t>
                  </w:r>
                </w:p>
              </w:tc>
              <w:tc>
                <w:tcPr>
                  <w:tcW w:w="1540" w:type="dxa"/>
                  <w:shd w:val="clear" w:color="auto" w:fill="auto"/>
                </w:tcPr>
                <w:p w:rsidR="00C07927" w:rsidRDefault="00C07927" w:rsidP="004F7425">
                  <w:r>
                    <w:t>13</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16702E" w:rsidRDefault="00C07927" w:rsidP="004F7425">
            <w:pPr>
              <w:rPr>
                <w:b/>
                <w:color w:val="000000"/>
                <w:lang w:eastAsia="lt-LT"/>
              </w:rPr>
            </w:pPr>
            <w:r>
              <w:rPr>
                <w:b/>
                <w:color w:val="000000"/>
                <w:lang w:eastAsia="lt-LT"/>
              </w:rPr>
              <w:t xml:space="preserve">                                               </w:t>
            </w:r>
            <w:hyperlink r:id="rId211" w:tgtFrame="_blank" w:history="1">
              <w:r w:rsidRPr="0016702E">
                <w:rPr>
                  <w:b/>
                  <w:color w:val="000300"/>
                  <w:lang w:eastAsia="lt-LT"/>
                </w:rPr>
                <w:t>Plungės raj.</w:t>
              </w:r>
            </w:hyperlink>
            <w:r w:rsidRPr="0016702E">
              <w:rPr>
                <w:b/>
                <w:color w:val="000000"/>
                <w:lang w:eastAsia="lt-LT"/>
              </w:rPr>
              <w:t xml:space="preserve"> Informacijos nepateikė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tc>
              <w:tc>
                <w:tcPr>
                  <w:tcW w:w="1540" w:type="dxa"/>
                  <w:shd w:val="clear" w:color="auto" w:fill="auto"/>
                </w:tcPr>
                <w:p w:rsidR="00C07927" w:rsidRDefault="00C07927" w:rsidP="004F7425"/>
              </w:tc>
              <w:tc>
                <w:tcPr>
                  <w:tcW w:w="1540" w:type="dxa"/>
                  <w:shd w:val="clear" w:color="auto" w:fill="auto"/>
                </w:tcPr>
                <w:p w:rsidR="00C07927" w:rsidRDefault="00C07927" w:rsidP="004F7425"/>
              </w:tc>
              <w:tc>
                <w:tcPr>
                  <w:tcW w:w="1540" w:type="dxa"/>
                  <w:shd w:val="clear" w:color="auto" w:fill="auto"/>
                </w:tcPr>
                <w:p w:rsidR="00C07927" w:rsidRDefault="00C07927" w:rsidP="004F7425"/>
              </w:tc>
              <w:tc>
                <w:tcPr>
                  <w:tcW w:w="1541" w:type="dxa"/>
                  <w:shd w:val="clear" w:color="auto" w:fill="auto"/>
                </w:tcPr>
                <w:p w:rsidR="00C07927" w:rsidRDefault="00C07927" w:rsidP="004F7425"/>
              </w:tc>
              <w:tc>
                <w:tcPr>
                  <w:tcW w:w="1541" w:type="dxa"/>
                  <w:shd w:val="clear" w:color="auto" w:fill="auto"/>
                </w:tcPr>
                <w:p w:rsidR="00C07927" w:rsidRDefault="00C07927" w:rsidP="004F7425"/>
              </w:tc>
            </w:tr>
          </w:tbl>
          <w:p w:rsidR="00C07927" w:rsidRPr="006A503B" w:rsidRDefault="00C07927" w:rsidP="004F7425">
            <w:pPr>
              <w:rPr>
                <w:b/>
                <w:color w:val="000000"/>
                <w:lang w:eastAsia="lt-LT"/>
              </w:rPr>
            </w:pPr>
          </w:p>
        </w:tc>
      </w:tr>
      <w:tr w:rsidR="00C07927" w:rsidRPr="00743044" w:rsidTr="004F7425">
        <w:trPr>
          <w:tblCellSpacing w:w="0" w:type="dxa"/>
        </w:trPr>
        <w:tc>
          <w:tcPr>
            <w:tcW w:w="5000" w:type="pct"/>
            <w:vAlign w:val="center"/>
            <w:hideMark/>
          </w:tcPr>
          <w:p w:rsidR="00C07927" w:rsidRPr="00D67F5E" w:rsidRDefault="00C07927" w:rsidP="004F7425">
            <w:pPr>
              <w:rPr>
                <w:color w:val="000000"/>
                <w:lang w:eastAsia="lt-LT"/>
              </w:rPr>
            </w:pPr>
            <w:r>
              <w:rPr>
                <w:color w:val="000000"/>
                <w:lang w:eastAsia="lt-LT"/>
              </w:rPr>
              <w:t xml:space="preserve">                                                 </w:t>
            </w:r>
            <w:hyperlink r:id="rId212" w:tgtFrame="_blank" w:history="1">
              <w:r w:rsidRPr="00D67F5E">
                <w:rPr>
                  <w:color w:val="000300"/>
                  <w:lang w:eastAsia="lt-LT"/>
                </w:rPr>
                <w:t>Prienų raj</w:t>
              </w:r>
              <w:r>
                <w:rPr>
                  <w:color w:val="000300"/>
                  <w:lang w:eastAsia="lt-LT"/>
                </w:rPr>
                <w:t>ono savivaldybė</w:t>
              </w:r>
            </w:hyperlink>
            <w:r w:rsidRPr="00D67F5E">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223</w:t>
                  </w:r>
                </w:p>
              </w:tc>
              <w:tc>
                <w:tcPr>
                  <w:tcW w:w="1540" w:type="dxa"/>
                  <w:shd w:val="clear" w:color="auto" w:fill="auto"/>
                </w:tcPr>
                <w:p w:rsidR="00C07927" w:rsidRDefault="00C07927" w:rsidP="004F7425">
                  <w:r>
                    <w:t>19</w:t>
                  </w:r>
                </w:p>
              </w:tc>
              <w:tc>
                <w:tcPr>
                  <w:tcW w:w="1540" w:type="dxa"/>
                  <w:shd w:val="clear" w:color="auto" w:fill="auto"/>
                </w:tcPr>
                <w:p w:rsidR="00C07927" w:rsidRDefault="00C07927" w:rsidP="004F7425">
                  <w:r>
                    <w:t>13</w:t>
                  </w:r>
                </w:p>
              </w:tc>
              <w:tc>
                <w:tcPr>
                  <w:tcW w:w="1540" w:type="dxa"/>
                  <w:shd w:val="clear" w:color="auto" w:fill="auto"/>
                </w:tcPr>
                <w:p w:rsidR="00C07927" w:rsidRDefault="00C07927" w:rsidP="004F7425">
                  <w:r>
                    <w:t>3</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1</w:t>
                  </w:r>
                </w:p>
              </w:tc>
            </w:tr>
          </w:tbl>
          <w:p w:rsidR="00C07927" w:rsidRPr="006A503B" w:rsidRDefault="00C07927" w:rsidP="004F7425">
            <w:pPr>
              <w:rPr>
                <w:b/>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13" w:tgtFrame="_blank" w:history="1">
              <w:r w:rsidRPr="00743044">
                <w:rPr>
                  <w:color w:val="000300"/>
                  <w:lang w:eastAsia="lt-LT"/>
                </w:rPr>
                <w:t>Radviliškio raj</w:t>
              </w:r>
              <w:r>
                <w:rPr>
                  <w:color w:val="000300"/>
                  <w:lang w:eastAsia="lt-LT"/>
                </w:rPr>
                <w:t>ono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228</w:t>
                  </w:r>
                </w:p>
              </w:tc>
              <w:tc>
                <w:tcPr>
                  <w:tcW w:w="1540" w:type="dxa"/>
                  <w:shd w:val="clear" w:color="auto" w:fill="auto"/>
                </w:tcPr>
                <w:p w:rsidR="00C07927" w:rsidRDefault="00C07927" w:rsidP="004F7425">
                  <w:r>
                    <w:t xml:space="preserve">Neturi  ir pateikė </w:t>
                  </w:r>
                </w:p>
              </w:tc>
              <w:tc>
                <w:tcPr>
                  <w:tcW w:w="1540" w:type="dxa"/>
                  <w:shd w:val="clear" w:color="auto" w:fill="auto"/>
                </w:tcPr>
                <w:p w:rsidR="00C07927" w:rsidRDefault="00C07927" w:rsidP="004F7425">
                  <w:r>
                    <w:t>10</w:t>
                  </w:r>
                </w:p>
              </w:tc>
              <w:tc>
                <w:tcPr>
                  <w:tcW w:w="1540" w:type="dxa"/>
                  <w:shd w:val="clear" w:color="auto" w:fill="auto"/>
                </w:tcPr>
                <w:p w:rsidR="00C07927" w:rsidRDefault="00C07927" w:rsidP="004F7425">
                  <w:r>
                    <w:t>1</w:t>
                  </w:r>
                </w:p>
              </w:tc>
              <w:tc>
                <w:tcPr>
                  <w:tcW w:w="1541" w:type="dxa"/>
                  <w:shd w:val="clear" w:color="auto" w:fill="auto"/>
                </w:tcPr>
                <w:p w:rsidR="00C07927" w:rsidRDefault="00C07927" w:rsidP="004F7425">
                  <w:r>
                    <w:t>4</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ind w:right="-4070"/>
              <w:rPr>
                <w:color w:val="000000"/>
                <w:lang w:eastAsia="lt-LT"/>
              </w:rPr>
            </w:pPr>
            <w:r>
              <w:rPr>
                <w:color w:val="000000"/>
                <w:lang w:eastAsia="lt-LT"/>
              </w:rPr>
              <w:t xml:space="preserve">                                                    </w:t>
            </w:r>
            <w:hyperlink r:id="rId214" w:tgtFrame="_blank" w:history="1">
              <w:r w:rsidRPr="00743044">
                <w:rPr>
                  <w:color w:val="000300"/>
                  <w:lang w:eastAsia="lt-LT"/>
                </w:rPr>
                <w:t>Raseinių raj</w:t>
              </w:r>
              <w:r>
                <w:rPr>
                  <w:color w:val="000300"/>
                  <w:lang w:eastAsia="lt-LT"/>
                </w:rPr>
                <w:t xml:space="preserve">ono savivaldybė </w:t>
              </w:r>
            </w:hyperlink>
            <w:r>
              <w:rPr>
                <w:color w:val="000000"/>
                <w:lang w:eastAsia="lt-LT"/>
              </w:rPr>
              <w:t xml:space="preserve"> </w:t>
            </w:r>
          </w:p>
          <w:p w:rsidR="00C07927" w:rsidRPr="003F59D7" w:rsidRDefault="00C07927" w:rsidP="004F7425">
            <w:pPr>
              <w:ind w:right="-4070"/>
              <w:rPr>
                <w:color w:val="000000"/>
                <w:lang w:eastAsia="lt-LT"/>
              </w:rPr>
            </w:pPr>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681</w:t>
                  </w:r>
                </w:p>
              </w:tc>
              <w:tc>
                <w:tcPr>
                  <w:tcW w:w="1540" w:type="dxa"/>
                  <w:shd w:val="clear" w:color="auto" w:fill="auto"/>
                </w:tcPr>
                <w:p w:rsidR="00C07927" w:rsidRDefault="00C07927" w:rsidP="004F7425">
                  <w:r>
                    <w:t>143 iki 16m.,</w:t>
                  </w:r>
                </w:p>
                <w:p w:rsidR="00C07927" w:rsidRDefault="00C07927" w:rsidP="004F7425">
                  <w:r>
                    <w:t xml:space="preserve">161 iki 18 m. </w:t>
                  </w:r>
                </w:p>
              </w:tc>
              <w:tc>
                <w:tcPr>
                  <w:tcW w:w="1540" w:type="dxa"/>
                  <w:shd w:val="clear" w:color="auto" w:fill="auto"/>
                </w:tcPr>
                <w:p w:rsidR="00C07927" w:rsidRDefault="00C07927" w:rsidP="004F7425">
                  <w:r>
                    <w:t>59</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ind w:right="-4070"/>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ind w:right="-1462"/>
              <w:rPr>
                <w:color w:val="000000"/>
                <w:lang w:eastAsia="lt-LT"/>
              </w:rPr>
            </w:pPr>
            <w:r>
              <w:rPr>
                <w:color w:val="000000"/>
                <w:lang w:eastAsia="lt-LT"/>
              </w:rPr>
              <w:t xml:space="preserve">                                                  </w:t>
            </w:r>
            <w:hyperlink r:id="rId215" w:tgtFrame="_blank" w:history="1">
              <w:r w:rsidRPr="00743044">
                <w:rPr>
                  <w:color w:val="000300"/>
                  <w:lang w:eastAsia="lt-LT"/>
                </w:rPr>
                <w:t>Rietavo</w:t>
              </w:r>
            </w:hyperlink>
            <w:r w:rsidRPr="003F59D7">
              <w:rPr>
                <w:color w:val="000000"/>
                <w:lang w:eastAsia="lt-LT"/>
              </w:rPr>
              <w:t xml:space="preserve"> </w:t>
            </w:r>
            <w:r>
              <w:rPr>
                <w:color w:val="000000"/>
                <w:lang w:eastAsia="lt-LT"/>
              </w:rPr>
              <w:t xml:space="preserve">savivaldybė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130</w:t>
                  </w:r>
                </w:p>
              </w:tc>
              <w:tc>
                <w:tcPr>
                  <w:tcW w:w="1540" w:type="dxa"/>
                  <w:shd w:val="clear" w:color="auto" w:fill="auto"/>
                </w:tcPr>
                <w:p w:rsidR="00C07927" w:rsidRDefault="00C07927" w:rsidP="004F7425">
                  <w:r>
                    <w:t>27</w:t>
                  </w:r>
                </w:p>
              </w:tc>
              <w:tc>
                <w:tcPr>
                  <w:tcW w:w="1540" w:type="dxa"/>
                  <w:shd w:val="clear" w:color="auto" w:fill="auto"/>
                </w:tcPr>
                <w:p w:rsidR="00C07927" w:rsidRDefault="00C07927" w:rsidP="004F7425">
                  <w:r>
                    <w:t>21</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ind w:right="-1462"/>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16" w:tgtFrame="_blank" w:history="1">
              <w:r w:rsidRPr="00743044">
                <w:rPr>
                  <w:color w:val="000300"/>
                  <w:lang w:eastAsia="lt-LT"/>
                </w:rPr>
                <w:t>Rokiškio ra</w:t>
              </w:r>
              <w:r>
                <w:rPr>
                  <w:color w:val="000300"/>
                  <w:lang w:eastAsia="lt-LT"/>
                </w:rPr>
                <w:t>jono savivaldybė</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cr/>
                    <w:t>47</w:t>
                  </w:r>
                </w:p>
              </w:tc>
              <w:tc>
                <w:tcPr>
                  <w:tcW w:w="1540" w:type="dxa"/>
                  <w:shd w:val="clear" w:color="auto" w:fill="auto"/>
                </w:tcPr>
                <w:p w:rsidR="00C07927" w:rsidRDefault="00C07927" w:rsidP="004F7425">
                  <w:r>
                    <w:t>132</w:t>
                  </w:r>
                </w:p>
              </w:tc>
              <w:tc>
                <w:tcPr>
                  <w:tcW w:w="1540" w:type="dxa"/>
                  <w:shd w:val="clear" w:color="auto" w:fill="auto"/>
                </w:tcPr>
                <w:p w:rsidR="00C07927" w:rsidRDefault="00C07927" w:rsidP="004F7425">
                  <w:r>
                    <w:t>35</w:t>
                  </w:r>
                </w:p>
              </w:tc>
              <w:tc>
                <w:tcPr>
                  <w:tcW w:w="1540" w:type="dxa"/>
                  <w:shd w:val="clear" w:color="auto" w:fill="auto"/>
                </w:tcPr>
                <w:p w:rsidR="00C07927" w:rsidRDefault="00C07927" w:rsidP="004F7425">
                  <w:r>
                    <w:cr/>
                    <w:t>5</w:t>
                  </w:r>
                </w:p>
              </w:tc>
              <w:tc>
                <w:tcPr>
                  <w:tcW w:w="1541" w:type="dxa"/>
                  <w:shd w:val="clear" w:color="auto" w:fill="auto"/>
                </w:tcPr>
                <w:p w:rsidR="00C07927" w:rsidRDefault="00C07927" w:rsidP="004F7425">
                  <w:r>
                    <w:t>81</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9E1BBF" w:rsidRDefault="00C07927" w:rsidP="004F7425">
            <w:pPr>
              <w:rPr>
                <w:color w:val="000000"/>
                <w:lang w:eastAsia="lt-LT"/>
              </w:rPr>
            </w:pPr>
            <w:r>
              <w:rPr>
                <w:color w:val="000000"/>
                <w:lang w:eastAsia="lt-LT"/>
              </w:rPr>
              <w:t xml:space="preserve">                                                       </w:t>
            </w:r>
            <w:hyperlink r:id="rId217" w:tgtFrame="_blank" w:history="1">
              <w:r w:rsidRPr="009E1BBF">
                <w:rPr>
                  <w:color w:val="000300"/>
                  <w:lang w:eastAsia="lt-LT"/>
                </w:rPr>
                <w:t>Skuodo rajono savivaldybė</w:t>
              </w:r>
            </w:hyperlink>
            <w:r w:rsidRPr="009E1BBF">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36</w:t>
                  </w:r>
                </w:p>
              </w:tc>
              <w:tc>
                <w:tcPr>
                  <w:tcW w:w="1540" w:type="dxa"/>
                  <w:shd w:val="clear" w:color="auto" w:fill="auto"/>
                </w:tcPr>
                <w:p w:rsidR="00C07927" w:rsidRDefault="00C07927" w:rsidP="004F7425">
                  <w:r>
                    <w:t>74 vaikai</w:t>
                  </w:r>
                </w:p>
              </w:tc>
              <w:tc>
                <w:tcPr>
                  <w:tcW w:w="1540" w:type="dxa"/>
                  <w:shd w:val="clear" w:color="auto" w:fill="auto"/>
                </w:tcPr>
                <w:p w:rsidR="00C07927" w:rsidRDefault="00C07927" w:rsidP="004F7425">
                  <w:r>
                    <w:t>18</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6A503B" w:rsidRDefault="00C07927" w:rsidP="004F7425">
            <w:pPr>
              <w:rPr>
                <w:b/>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18" w:tgtFrame="_blank" w:history="1">
              <w:r w:rsidRPr="00743044">
                <w:rPr>
                  <w:color w:val="000300"/>
                  <w:lang w:eastAsia="lt-LT"/>
                </w:rPr>
                <w:t>Šakių raj</w:t>
              </w:r>
              <w:r>
                <w:rPr>
                  <w:color w:val="000300"/>
                  <w:lang w:eastAsia="lt-LT"/>
                </w:rPr>
                <w:t xml:space="preserve">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603"/>
            </w:tblGrid>
            <w:tr w:rsidR="00C07927" w:rsidTr="004F7425">
              <w:tc>
                <w:tcPr>
                  <w:tcW w:w="1540" w:type="dxa"/>
                  <w:shd w:val="clear" w:color="auto" w:fill="auto"/>
                </w:tcPr>
                <w:p w:rsidR="00C07927" w:rsidRDefault="00C07927" w:rsidP="004F7425">
                  <w:r>
                    <w:lastRenderedPageBreak/>
                    <w:t>257</w:t>
                  </w:r>
                </w:p>
              </w:tc>
              <w:tc>
                <w:tcPr>
                  <w:tcW w:w="1540" w:type="dxa"/>
                  <w:shd w:val="clear" w:color="auto" w:fill="auto"/>
                </w:tcPr>
                <w:p w:rsidR="00C07927" w:rsidRDefault="00C07927" w:rsidP="004F7425">
                  <w:r>
                    <w:t xml:space="preserve">53 vaikai iki 18 m. </w:t>
                  </w:r>
                </w:p>
              </w:tc>
              <w:tc>
                <w:tcPr>
                  <w:tcW w:w="1540" w:type="dxa"/>
                  <w:shd w:val="clear" w:color="auto" w:fill="auto"/>
                </w:tcPr>
                <w:p w:rsidR="00C07927" w:rsidRDefault="00C07927" w:rsidP="004F7425">
                  <w:r>
                    <w:t>32</w:t>
                  </w:r>
                </w:p>
              </w:tc>
              <w:tc>
                <w:tcPr>
                  <w:tcW w:w="1540" w:type="dxa"/>
                  <w:shd w:val="clear" w:color="auto" w:fill="auto"/>
                </w:tcPr>
                <w:p w:rsidR="00C07927" w:rsidRDefault="00C07927" w:rsidP="004F7425">
                  <w:r>
                    <w:t xml:space="preserve">Visi gauna </w:t>
                  </w:r>
                </w:p>
              </w:tc>
              <w:tc>
                <w:tcPr>
                  <w:tcW w:w="1541" w:type="dxa"/>
                  <w:shd w:val="clear" w:color="auto" w:fill="auto"/>
                </w:tcPr>
                <w:p w:rsidR="00C07927" w:rsidRDefault="00C07927" w:rsidP="004F7425">
                  <w:r>
                    <w:t xml:space="preserve">Visi gauna </w:t>
                  </w:r>
                </w:p>
              </w:tc>
              <w:tc>
                <w:tcPr>
                  <w:tcW w:w="1541" w:type="dxa"/>
                  <w:shd w:val="clear" w:color="auto" w:fill="auto"/>
                </w:tcPr>
                <w:p w:rsidR="00C07927" w:rsidRDefault="00C07927" w:rsidP="004F7425">
                  <w:r>
                    <w:t xml:space="preserve">Nesimokančių nėra </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lastRenderedPageBreak/>
              <w:t xml:space="preserve">                          </w:t>
            </w:r>
            <w:hyperlink r:id="rId219" w:tgtFrame="_blank" w:history="1">
              <w:r w:rsidRPr="00743044">
                <w:rPr>
                  <w:color w:val="000300"/>
                  <w:lang w:eastAsia="lt-LT"/>
                </w:rPr>
                <w:t>Šalčininkų raj</w:t>
              </w:r>
              <w:r>
                <w:rPr>
                  <w:color w:val="000300"/>
                  <w:lang w:eastAsia="lt-LT"/>
                </w:rPr>
                <w:t xml:space="preserve">ono savivaldybė </w:t>
              </w:r>
            </w:hyperlink>
            <w:r>
              <w:rPr>
                <w:color w:val="000000"/>
                <w:lang w:eastAsia="lt-LT"/>
              </w:rPr>
              <w:t xml:space="preserve">- </w:t>
            </w:r>
            <w:r w:rsidRPr="003F59D7">
              <w:rPr>
                <w:color w:val="000000"/>
                <w:lang w:eastAsia="lt-LT"/>
              </w:rPr>
              <w:t xml:space="preserve"> </w:t>
            </w:r>
            <w:r w:rsidRPr="005006B1">
              <w:rPr>
                <w:color w:val="000000"/>
                <w:lang w:eastAsia="lt-LT"/>
              </w:rPr>
              <w:t>Statistiniai duomenys nevedami</w:t>
            </w:r>
            <w:r>
              <w:rPr>
                <w:b/>
                <w:color w:val="000000"/>
                <w:lang w:eastAsia="lt-LT"/>
              </w:rPr>
              <w:t xml:space="preserve"> </w:t>
            </w:r>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0</w:t>
                  </w:r>
                </w:p>
              </w:tc>
              <w:tc>
                <w:tcPr>
                  <w:tcW w:w="1540" w:type="dxa"/>
                  <w:shd w:val="clear" w:color="auto" w:fill="auto"/>
                </w:tcPr>
                <w:p w:rsidR="00C07927" w:rsidRDefault="00C07927" w:rsidP="004F7425"/>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rPr>
                      <w:color w:val="000000"/>
                      <w:lang w:eastAsia="lt-LT"/>
                    </w:rPr>
                    <w:t>nesimok: 13 – 7m., 12- 9m, 16 -10m., 15- 11m. , 7-12m, 5-13m, 11- 14m., 12 – 15 m., 21 – 16m.</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p>
          <w:p w:rsidR="00C07927" w:rsidRDefault="00C07927" w:rsidP="004F7425">
            <w:pPr>
              <w:rPr>
                <w:color w:val="000000"/>
                <w:lang w:eastAsia="lt-LT"/>
              </w:rPr>
            </w:pPr>
          </w:p>
          <w:p w:rsidR="00C07927" w:rsidRDefault="00C07927" w:rsidP="004F7425">
            <w:pPr>
              <w:rPr>
                <w:color w:val="000000"/>
                <w:lang w:eastAsia="lt-LT"/>
              </w:rPr>
            </w:pPr>
            <w:r>
              <w:rPr>
                <w:color w:val="000000"/>
                <w:lang w:eastAsia="lt-LT"/>
              </w:rPr>
              <w:t xml:space="preserve">                                                  </w:t>
            </w:r>
            <w:hyperlink r:id="rId220" w:tgtFrame="_blank" w:history="1">
              <w:r w:rsidRPr="00743044">
                <w:rPr>
                  <w:color w:val="000300"/>
                  <w:lang w:eastAsia="lt-LT"/>
                </w:rPr>
                <w:t>Šiaulių m</w:t>
              </w:r>
              <w:r>
                <w:rPr>
                  <w:color w:val="000300"/>
                  <w:lang w:eastAsia="lt-LT"/>
                </w:rPr>
                <w:t>iesto 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 xml:space="preserve">5944 </w:t>
                  </w:r>
                </w:p>
              </w:tc>
              <w:tc>
                <w:tcPr>
                  <w:tcW w:w="1540" w:type="dxa"/>
                  <w:shd w:val="clear" w:color="auto" w:fill="auto"/>
                </w:tcPr>
                <w:p w:rsidR="00C07927" w:rsidRDefault="00C07927" w:rsidP="004F7425">
                  <w:r>
                    <w:t>1</w:t>
                  </w:r>
                  <w:r>
                    <w:cr/>
                    <w:t>05 vaikai</w:t>
                  </w:r>
                </w:p>
              </w:tc>
              <w:tc>
                <w:tcPr>
                  <w:tcW w:w="1540" w:type="dxa"/>
                  <w:shd w:val="clear" w:color="auto" w:fill="auto"/>
                </w:tcPr>
                <w:p w:rsidR="00C07927" w:rsidRDefault="00C07927" w:rsidP="004F7425">
                  <w:r>
                    <w:t>157šeimos</w:t>
                  </w:r>
                </w:p>
              </w:tc>
              <w:tc>
                <w:tcPr>
                  <w:tcW w:w="1540" w:type="dxa"/>
                  <w:shd w:val="clear" w:color="auto" w:fill="auto"/>
                </w:tcPr>
                <w:p w:rsidR="00C07927" w:rsidRDefault="00C07927" w:rsidP="004F7425">
                  <w:r>
                    <w:t>5</w:t>
                  </w:r>
                </w:p>
              </w:tc>
              <w:tc>
                <w:tcPr>
                  <w:tcW w:w="1541" w:type="dxa"/>
                  <w:shd w:val="clear" w:color="auto" w:fill="auto"/>
                </w:tcPr>
                <w:p w:rsidR="00C07927" w:rsidRDefault="00C07927" w:rsidP="004F7425">
                  <w:r>
                    <w:t>90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Pr>
                <w:color w:val="000000"/>
                <w:lang w:eastAsia="lt-LT"/>
              </w:rPr>
              <w:t xml:space="preserve">                                                </w:t>
            </w:r>
            <w:hyperlink r:id="rId221" w:tgtFrame="_blank" w:history="1">
              <w:r w:rsidRPr="00743044">
                <w:rPr>
                  <w:color w:val="000300"/>
                  <w:lang w:eastAsia="lt-LT"/>
                </w:rPr>
                <w:t>Šiaulių raj</w:t>
              </w:r>
              <w:r>
                <w:rPr>
                  <w:color w:val="000300"/>
                  <w:lang w:eastAsia="lt-LT"/>
                </w:rPr>
                <w:t xml:space="preserve">ono savivaldybė </w:t>
              </w:r>
            </w:hyperlink>
            <w:r>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1401</w:t>
                  </w:r>
                </w:p>
              </w:tc>
              <w:tc>
                <w:tcPr>
                  <w:tcW w:w="1540" w:type="dxa"/>
                  <w:shd w:val="clear" w:color="auto" w:fill="auto"/>
                </w:tcPr>
                <w:p w:rsidR="00C07927" w:rsidRDefault="00C07927" w:rsidP="004F7425">
                  <w:r>
                    <w:cr/>
                    <w:t>1</w:t>
                  </w:r>
                </w:p>
              </w:tc>
              <w:tc>
                <w:tcPr>
                  <w:tcW w:w="1540" w:type="dxa"/>
                  <w:shd w:val="clear" w:color="auto" w:fill="auto"/>
                </w:tcPr>
                <w:p w:rsidR="00C07927" w:rsidRDefault="00C07927" w:rsidP="004F7425">
                  <w:r>
                    <w:t>1</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cr/>
                    <w:t>4</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22" w:tgtFrame="_blank" w:history="1">
              <w:r w:rsidRPr="005006B1">
                <w:rPr>
                  <w:rStyle w:val="Hipersaitas"/>
                  <w:rFonts w:eastAsia="Courier New"/>
                  <w:lang w:eastAsia="lt-LT"/>
                </w:rPr>
                <w:t>Šilalės rajono savivaldybė</w:t>
              </w:r>
            </w:hyperlink>
            <w:r w:rsidRPr="005006B1">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337</w:t>
                  </w:r>
                </w:p>
              </w:tc>
              <w:tc>
                <w:tcPr>
                  <w:tcW w:w="1540" w:type="dxa"/>
                  <w:shd w:val="clear" w:color="auto" w:fill="auto"/>
                </w:tcPr>
                <w:p w:rsidR="00C07927" w:rsidRDefault="00C07927" w:rsidP="004F7425">
                  <w:r>
                    <w:t>97</w:t>
                  </w:r>
                </w:p>
              </w:tc>
              <w:tc>
                <w:tcPr>
                  <w:tcW w:w="1540" w:type="dxa"/>
                  <w:shd w:val="clear" w:color="auto" w:fill="auto"/>
                </w:tcPr>
                <w:p w:rsidR="00C07927" w:rsidRDefault="00C07927" w:rsidP="004F7425">
                  <w:r>
                    <w:t>1</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6A503B" w:rsidRDefault="00C07927" w:rsidP="004F7425">
            <w:pPr>
              <w:rPr>
                <w:b/>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23" w:tgtFrame="_blank" w:history="1">
              <w:r w:rsidRPr="005006B1">
                <w:rPr>
                  <w:rStyle w:val="Hipersaitas"/>
                  <w:rFonts w:eastAsia="Courier New"/>
                  <w:lang w:eastAsia="lt-LT"/>
                </w:rPr>
                <w:t xml:space="preserve">Šilutės rajono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56</w:t>
                  </w:r>
                </w:p>
              </w:tc>
              <w:tc>
                <w:tcPr>
                  <w:tcW w:w="1540" w:type="dxa"/>
                  <w:shd w:val="clear" w:color="auto" w:fill="auto"/>
                </w:tcPr>
                <w:p w:rsidR="00C07927" w:rsidRDefault="00C07927" w:rsidP="004F7425">
                  <w:r>
                    <w:t>19</w:t>
                  </w:r>
                </w:p>
              </w:tc>
              <w:tc>
                <w:tcPr>
                  <w:tcW w:w="1540" w:type="dxa"/>
                  <w:shd w:val="clear" w:color="auto" w:fill="auto"/>
                </w:tcPr>
                <w:p w:rsidR="00C07927" w:rsidRDefault="00C07927" w:rsidP="004F7425">
                  <w:r>
                    <w:t>0</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1 išvežtas į Gruzdžius</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sidRPr="005006B1">
              <w:rPr>
                <w:color w:val="000000"/>
                <w:lang w:eastAsia="lt-LT"/>
              </w:rPr>
              <w:t xml:space="preserve">                                                    </w:t>
            </w:r>
            <w:hyperlink r:id="rId224" w:history="1">
              <w:r w:rsidRPr="005006B1">
                <w:rPr>
                  <w:rStyle w:val="Hipersaitas"/>
                  <w:rFonts w:eastAsia="Courier New"/>
                  <w:lang w:eastAsia="lt-LT"/>
                </w:rPr>
                <w:t xml:space="preserve">Širvintų rajono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276</w:t>
                  </w:r>
                </w:p>
              </w:tc>
              <w:tc>
                <w:tcPr>
                  <w:tcW w:w="1540" w:type="dxa"/>
                  <w:shd w:val="clear" w:color="auto" w:fill="auto"/>
                </w:tcPr>
                <w:p w:rsidR="00C07927" w:rsidRDefault="00C07927" w:rsidP="004F7425">
                  <w:r>
                    <w:cr/>
                    <w:t>4</w:t>
                  </w:r>
                </w:p>
              </w:tc>
              <w:tc>
                <w:tcPr>
                  <w:tcW w:w="1540" w:type="dxa"/>
                  <w:shd w:val="clear" w:color="auto" w:fill="auto"/>
                </w:tcPr>
                <w:p w:rsidR="00C07927" w:rsidRDefault="00C07927" w:rsidP="004F7425">
                  <w:r>
                    <w:t>9</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25" w:tgtFrame="_blank" w:history="1">
              <w:r w:rsidRPr="005006B1">
                <w:rPr>
                  <w:rStyle w:val="Hipersaitas"/>
                  <w:rFonts w:eastAsia="Courier New"/>
                  <w:lang w:eastAsia="lt-LT"/>
                </w:rPr>
                <w:t xml:space="preserve">Švenčionių rajono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392</w:t>
                  </w:r>
                </w:p>
              </w:tc>
              <w:tc>
                <w:tcPr>
                  <w:tcW w:w="1540" w:type="dxa"/>
                  <w:shd w:val="clear" w:color="auto" w:fill="auto"/>
                </w:tcPr>
                <w:p w:rsidR="00C07927" w:rsidRDefault="00C07927" w:rsidP="004F7425">
                  <w:r>
                    <w:t>62</w:t>
                  </w:r>
                </w:p>
              </w:tc>
              <w:tc>
                <w:tcPr>
                  <w:tcW w:w="1540" w:type="dxa"/>
                  <w:shd w:val="clear" w:color="auto" w:fill="auto"/>
                </w:tcPr>
                <w:p w:rsidR="00C07927" w:rsidRDefault="00C07927" w:rsidP="004F7425">
                  <w:r>
                    <w:t>41</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sidRPr="005006B1">
              <w:rPr>
                <w:color w:val="000000"/>
                <w:lang w:eastAsia="lt-LT"/>
              </w:rPr>
              <w:t xml:space="preserve">                                                       </w:t>
            </w:r>
            <w:hyperlink r:id="rId226" w:tgtFrame="_blank" w:history="1">
              <w:r w:rsidRPr="005006B1">
                <w:rPr>
                  <w:rStyle w:val="Hipersaitas"/>
                  <w:rFonts w:eastAsia="Courier New"/>
                  <w:lang w:eastAsia="lt-LT"/>
                </w:rPr>
                <w:t>Tauragės rajono 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 xml:space="preserve"> inform. nėra</w:t>
                  </w:r>
                </w:p>
              </w:tc>
              <w:tc>
                <w:tcPr>
                  <w:tcW w:w="1540" w:type="dxa"/>
                  <w:shd w:val="clear" w:color="auto" w:fill="auto"/>
                </w:tcPr>
                <w:p w:rsidR="00C07927" w:rsidRDefault="00C07927" w:rsidP="004F7425">
                  <w:r>
                    <w:t xml:space="preserve"> inform. nėra</w:t>
                  </w:r>
                </w:p>
              </w:tc>
              <w:tc>
                <w:tcPr>
                  <w:tcW w:w="1540" w:type="dxa"/>
                  <w:shd w:val="clear" w:color="auto" w:fill="auto"/>
                </w:tcPr>
                <w:p w:rsidR="00C07927" w:rsidRDefault="00C07927" w:rsidP="004F7425">
                  <w:r>
                    <w:t>58</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sidRPr="005006B1">
              <w:rPr>
                <w:color w:val="000000"/>
                <w:lang w:eastAsia="lt-LT"/>
              </w:rPr>
              <w:t xml:space="preserve">                                                    </w:t>
            </w:r>
            <w:hyperlink r:id="rId227" w:tgtFrame="_blank" w:history="1">
              <w:r w:rsidRPr="005006B1">
                <w:rPr>
                  <w:rStyle w:val="Hipersaitas"/>
                  <w:rFonts w:eastAsia="Courier New"/>
                  <w:lang w:eastAsia="lt-LT"/>
                </w:rPr>
                <w:t xml:space="preserve">Telšių rajono savivaldybė </w:t>
              </w:r>
            </w:hyperlink>
            <w:r w:rsidRPr="005006B1">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20</w:t>
                  </w:r>
                  <w:r>
                    <w:cr/>
                    <w:t>0</w:t>
                  </w:r>
                </w:p>
              </w:tc>
              <w:tc>
                <w:tcPr>
                  <w:tcW w:w="1540" w:type="dxa"/>
                  <w:shd w:val="clear" w:color="auto" w:fill="auto"/>
                </w:tcPr>
                <w:p w:rsidR="00C07927" w:rsidRDefault="00C07927" w:rsidP="004F7425">
                  <w:r>
                    <w:t xml:space="preserve"> inform. nėra</w:t>
                  </w:r>
                </w:p>
              </w:tc>
              <w:tc>
                <w:tcPr>
                  <w:tcW w:w="1540" w:type="dxa"/>
                  <w:shd w:val="clear" w:color="auto" w:fill="auto"/>
                </w:tcPr>
                <w:p w:rsidR="00C07927" w:rsidRDefault="00C07927" w:rsidP="004F7425">
                  <w:r>
                    <w:t xml:space="preserve"> inform. nėra</w:t>
                  </w:r>
                </w:p>
              </w:tc>
              <w:tc>
                <w:tcPr>
                  <w:tcW w:w="1540" w:type="dxa"/>
                  <w:shd w:val="clear" w:color="auto" w:fill="auto"/>
                </w:tcPr>
                <w:p w:rsidR="00C07927" w:rsidRDefault="00C07927" w:rsidP="004F7425">
                  <w:r>
                    <w:t>8</w:t>
                  </w:r>
                </w:p>
              </w:tc>
              <w:tc>
                <w:tcPr>
                  <w:tcW w:w="1541" w:type="dxa"/>
                  <w:shd w:val="clear" w:color="auto" w:fill="auto"/>
                </w:tcPr>
                <w:p w:rsidR="00C07927" w:rsidRDefault="00C07927" w:rsidP="004F7425">
                  <w:r>
                    <w:t>330 (282 gyvena užsienyje, 48 nesikreipė)</w:t>
                  </w:r>
                </w:p>
              </w:tc>
              <w:tc>
                <w:tcPr>
                  <w:tcW w:w="1541" w:type="dxa"/>
                  <w:shd w:val="clear" w:color="auto" w:fill="auto"/>
                </w:tcPr>
                <w:p w:rsidR="00C07927" w:rsidRDefault="00C07927" w:rsidP="004F7425"/>
              </w:tc>
            </w:tr>
          </w:tbl>
          <w:p w:rsidR="00C07927" w:rsidRPr="006A503B" w:rsidRDefault="00C07927" w:rsidP="004F7425">
            <w:pPr>
              <w:rPr>
                <w:b/>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28" w:tgtFrame="_blank" w:history="1">
              <w:r w:rsidRPr="005006B1">
                <w:rPr>
                  <w:rStyle w:val="Hipersaitas"/>
                  <w:rFonts w:eastAsia="Courier New"/>
                  <w:lang w:eastAsia="lt-LT"/>
                </w:rPr>
                <w:t xml:space="preserve">Trakų rajono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627</w:t>
                  </w:r>
                </w:p>
              </w:tc>
              <w:tc>
                <w:tcPr>
                  <w:tcW w:w="1540" w:type="dxa"/>
                  <w:shd w:val="clear" w:color="auto" w:fill="auto"/>
                </w:tcPr>
                <w:p w:rsidR="00C07927" w:rsidRDefault="00C07927" w:rsidP="004F7425">
                  <w:r>
                    <w:t>316</w:t>
                  </w:r>
                </w:p>
              </w:tc>
              <w:tc>
                <w:tcPr>
                  <w:tcW w:w="1540" w:type="dxa"/>
                  <w:shd w:val="clear" w:color="auto" w:fill="auto"/>
                </w:tcPr>
                <w:p w:rsidR="00C07927" w:rsidRDefault="00C07927" w:rsidP="004F7425">
                  <w:r>
                    <w:t>316</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29" w:tgtFrame="_blank" w:history="1">
              <w:r w:rsidRPr="005006B1">
                <w:rPr>
                  <w:rStyle w:val="Hipersaitas"/>
                  <w:rFonts w:eastAsia="Courier New"/>
                  <w:lang w:eastAsia="lt-LT"/>
                </w:rPr>
                <w:t>Ukmergės rajono 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55</w:t>
                  </w:r>
                </w:p>
              </w:tc>
              <w:tc>
                <w:tcPr>
                  <w:tcW w:w="1540" w:type="dxa"/>
                  <w:shd w:val="clear" w:color="auto" w:fill="auto"/>
                </w:tcPr>
                <w:p w:rsidR="00C07927" w:rsidRDefault="00C07927" w:rsidP="004F7425">
                  <w:r>
                    <w:t>88</w:t>
                  </w:r>
                </w:p>
              </w:tc>
              <w:tc>
                <w:tcPr>
                  <w:tcW w:w="1540" w:type="dxa"/>
                  <w:shd w:val="clear" w:color="auto" w:fill="auto"/>
                </w:tcPr>
                <w:p w:rsidR="00C07927" w:rsidRDefault="00C07927" w:rsidP="004F7425">
                  <w:r>
                    <w:t>54</w:t>
                  </w:r>
                </w:p>
              </w:tc>
              <w:tc>
                <w:tcPr>
                  <w:tcW w:w="1540" w:type="dxa"/>
                  <w:shd w:val="clear" w:color="auto" w:fill="auto"/>
                </w:tcPr>
                <w:p w:rsidR="00C07927" w:rsidRDefault="00C07927" w:rsidP="004F7425">
                  <w:r>
                    <w:t>29</w:t>
                  </w:r>
                </w:p>
              </w:tc>
              <w:tc>
                <w:tcPr>
                  <w:tcW w:w="1541" w:type="dxa"/>
                  <w:shd w:val="clear" w:color="auto" w:fill="auto"/>
                </w:tcPr>
                <w:p w:rsidR="00C07927" w:rsidRDefault="00C07927" w:rsidP="004F7425">
                  <w:r>
                    <w:t>14</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30" w:tgtFrame="_blank" w:history="1">
              <w:r w:rsidRPr="005006B1">
                <w:rPr>
                  <w:rStyle w:val="Hipersaitas"/>
                  <w:rFonts w:eastAsia="Courier New"/>
                  <w:lang w:eastAsia="lt-LT"/>
                </w:rPr>
                <w:t xml:space="preserve">Utenos rajono savivaldybė </w:t>
              </w:r>
            </w:hyperlink>
            <w:r w:rsidRPr="005006B1">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201</w:t>
                  </w:r>
                </w:p>
              </w:tc>
              <w:tc>
                <w:tcPr>
                  <w:tcW w:w="1540" w:type="dxa"/>
                  <w:shd w:val="clear" w:color="auto" w:fill="auto"/>
                </w:tcPr>
                <w:p w:rsidR="00C07927" w:rsidRDefault="00C07927" w:rsidP="004F7425">
                  <w:r>
                    <w:t>52</w:t>
                  </w:r>
                </w:p>
              </w:tc>
              <w:tc>
                <w:tcPr>
                  <w:tcW w:w="1540" w:type="dxa"/>
                  <w:shd w:val="clear" w:color="auto" w:fill="auto"/>
                </w:tcPr>
                <w:p w:rsidR="00C07927" w:rsidRDefault="00C07927" w:rsidP="004F7425">
                  <w:r>
                    <w:t>7</w:t>
                  </w:r>
                </w:p>
              </w:tc>
              <w:tc>
                <w:tcPr>
                  <w:tcW w:w="1540" w:type="dxa"/>
                  <w:shd w:val="clear" w:color="auto" w:fill="auto"/>
                </w:tcPr>
                <w:p w:rsidR="00C07927" w:rsidRDefault="00C07927" w:rsidP="004F7425"/>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t xml:space="preserve">                                                   </w:t>
            </w:r>
            <w:hyperlink r:id="rId231" w:tgtFrame="_blank" w:history="1">
              <w:r w:rsidRPr="005006B1">
                <w:rPr>
                  <w:rStyle w:val="Hipersaitas"/>
                  <w:rFonts w:eastAsia="Courier New"/>
                  <w:lang w:eastAsia="lt-LT"/>
                </w:rPr>
                <w:t xml:space="preserve">Varėnos rajono savivaldybė </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553</w:t>
                  </w:r>
                </w:p>
              </w:tc>
              <w:tc>
                <w:tcPr>
                  <w:tcW w:w="1540" w:type="dxa"/>
                  <w:shd w:val="clear" w:color="auto" w:fill="auto"/>
                </w:tcPr>
                <w:p w:rsidR="00C07927" w:rsidRDefault="00C07927" w:rsidP="004F7425">
                  <w:r>
                    <w:t>50</w:t>
                  </w:r>
                </w:p>
              </w:tc>
              <w:tc>
                <w:tcPr>
                  <w:tcW w:w="1540" w:type="dxa"/>
                  <w:shd w:val="clear" w:color="auto" w:fill="auto"/>
                </w:tcPr>
                <w:p w:rsidR="00C07927" w:rsidRDefault="00C07927" w:rsidP="004F7425">
                  <w:r>
                    <w:t>2</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sidRPr="005006B1">
              <w:rPr>
                <w:color w:val="000000"/>
                <w:lang w:eastAsia="lt-LT"/>
              </w:rPr>
              <w:t xml:space="preserve">                                                     </w:t>
            </w:r>
            <w:hyperlink r:id="rId232" w:tgtFrame="_blank" w:history="1">
              <w:r w:rsidRPr="005006B1">
                <w:rPr>
                  <w:rStyle w:val="Hipersaitas"/>
                  <w:rFonts w:eastAsia="Courier New"/>
                  <w:lang w:eastAsia="lt-LT"/>
                </w:rPr>
                <w:t>Vilkaviškio rajono 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888</w:t>
                  </w:r>
                </w:p>
              </w:tc>
              <w:tc>
                <w:tcPr>
                  <w:tcW w:w="1540" w:type="dxa"/>
                  <w:shd w:val="clear" w:color="auto" w:fill="auto"/>
                </w:tcPr>
                <w:p w:rsidR="00C07927" w:rsidRDefault="00C07927" w:rsidP="004F7425">
                  <w:r>
                    <w:t>256</w:t>
                  </w:r>
                </w:p>
              </w:tc>
              <w:tc>
                <w:tcPr>
                  <w:tcW w:w="1540" w:type="dxa"/>
                  <w:shd w:val="clear" w:color="auto" w:fill="auto"/>
                </w:tcPr>
                <w:p w:rsidR="00C07927" w:rsidRDefault="00C07927" w:rsidP="004F7425">
                  <w:r>
                    <w:t>122</w:t>
                  </w:r>
                </w:p>
              </w:tc>
              <w:tc>
                <w:tcPr>
                  <w:tcW w:w="1540" w:type="dxa"/>
                  <w:shd w:val="clear" w:color="auto" w:fill="auto"/>
                </w:tcPr>
                <w:p w:rsidR="00C07927" w:rsidRDefault="00C07927" w:rsidP="004F7425">
                  <w:r>
                    <w:t>3</w:t>
                  </w:r>
                </w:p>
              </w:tc>
              <w:tc>
                <w:tcPr>
                  <w:tcW w:w="1541" w:type="dxa"/>
                  <w:shd w:val="clear" w:color="auto" w:fill="auto"/>
                </w:tcPr>
                <w:p w:rsidR="00C07927" w:rsidRDefault="00C07927" w:rsidP="004F7425">
                  <w:r>
                    <w:t>10</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b/>
                <w:color w:val="000000"/>
                <w:lang w:eastAsia="lt-LT"/>
              </w:rPr>
            </w:pPr>
          </w:p>
          <w:p w:rsidR="00C07927" w:rsidRPr="00967589" w:rsidRDefault="00C07927" w:rsidP="004F7425">
            <w:pPr>
              <w:rPr>
                <w:color w:val="000000"/>
                <w:lang w:eastAsia="lt-LT"/>
              </w:rPr>
            </w:pPr>
          </w:p>
          <w:p w:rsidR="00C07927" w:rsidRPr="005006B1" w:rsidRDefault="00C07927" w:rsidP="004F7425">
            <w:pPr>
              <w:rPr>
                <w:color w:val="000000"/>
                <w:lang w:eastAsia="lt-LT"/>
              </w:rPr>
            </w:pPr>
            <w:r>
              <w:rPr>
                <w:color w:val="000000"/>
                <w:lang w:eastAsia="lt-LT"/>
              </w:rPr>
              <w:t xml:space="preserve">                                                </w:t>
            </w:r>
            <w:hyperlink r:id="rId233" w:tgtFrame="_blank" w:history="1">
              <w:r w:rsidRPr="005006B1">
                <w:rPr>
                  <w:rStyle w:val="Hipersaitas"/>
                  <w:rFonts w:eastAsia="Courier New"/>
                  <w:lang w:eastAsia="lt-LT"/>
                </w:rPr>
                <w:t>Vilniaus m</w:t>
              </w:r>
              <w:r>
                <w:rPr>
                  <w:rStyle w:val="Hipersaitas"/>
                  <w:rFonts w:eastAsia="Courier New"/>
                  <w:lang w:eastAsia="lt-LT"/>
                </w:rPr>
                <w:t xml:space="preserve">iesto savivaldybė </w:t>
              </w:r>
            </w:hyperlink>
            <w:r w:rsidRPr="005006B1">
              <w:rPr>
                <w:color w:val="000000"/>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lastRenderedPageBreak/>
                    <w:t>17255</w:t>
                  </w:r>
                </w:p>
              </w:tc>
              <w:tc>
                <w:tcPr>
                  <w:tcW w:w="1540" w:type="dxa"/>
                  <w:shd w:val="clear" w:color="auto" w:fill="auto"/>
                </w:tcPr>
                <w:p w:rsidR="00C07927" w:rsidRDefault="00C07927" w:rsidP="004F7425"/>
              </w:tc>
              <w:tc>
                <w:tcPr>
                  <w:tcW w:w="1540" w:type="dxa"/>
                  <w:shd w:val="clear" w:color="auto" w:fill="auto"/>
                </w:tcPr>
                <w:p w:rsidR="00C07927" w:rsidRDefault="00C07927" w:rsidP="004F7425">
                  <w:r>
                    <w:t>637 ir socialinę pašalpą 627</w:t>
                  </w:r>
                </w:p>
              </w:tc>
              <w:tc>
                <w:tcPr>
                  <w:tcW w:w="1540" w:type="dxa"/>
                  <w:shd w:val="clear" w:color="auto" w:fill="auto"/>
                </w:tcPr>
                <w:p w:rsidR="00C07927" w:rsidRDefault="00C07927" w:rsidP="004F7425">
                  <w:r>
                    <w:t>Apskaita nevedama</w:t>
                  </w:r>
                </w:p>
              </w:tc>
              <w:tc>
                <w:tcPr>
                  <w:tcW w:w="1541" w:type="dxa"/>
                  <w:shd w:val="clear" w:color="auto" w:fill="auto"/>
                </w:tcPr>
                <w:p w:rsidR="00C07927" w:rsidRDefault="00C07927" w:rsidP="004F7425"/>
              </w:tc>
              <w:tc>
                <w:tcPr>
                  <w:tcW w:w="1541" w:type="dxa"/>
                  <w:shd w:val="clear" w:color="auto" w:fill="auto"/>
                </w:tcPr>
                <w:p w:rsidR="00C07927" w:rsidRDefault="00C07927" w:rsidP="004F7425">
                  <w:r>
                    <w:t>0</w:t>
                  </w:r>
                </w:p>
              </w:tc>
            </w:tr>
          </w:tbl>
          <w:p w:rsidR="00C07927" w:rsidRPr="006A503B" w:rsidRDefault="00C07927" w:rsidP="004F7425">
            <w:pPr>
              <w:rPr>
                <w:b/>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Pr>
                <w:color w:val="000000"/>
                <w:lang w:eastAsia="lt-LT"/>
              </w:rPr>
              <w:lastRenderedPageBreak/>
              <w:t xml:space="preserve">                                                 </w:t>
            </w:r>
            <w:hyperlink r:id="rId234" w:tgtFrame="_blank" w:history="1">
              <w:r w:rsidRPr="005006B1">
                <w:rPr>
                  <w:rStyle w:val="Hipersaitas"/>
                  <w:rFonts w:eastAsia="Courier New"/>
                  <w:lang w:eastAsia="lt-LT"/>
                </w:rPr>
                <w:t>Vilniaus rajono savivaldybė</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w:t>
                  </w:r>
                  <w:r>
                    <w:cr/>
                    <w:t>18</w:t>
                  </w:r>
                </w:p>
              </w:tc>
              <w:tc>
                <w:tcPr>
                  <w:tcW w:w="1540" w:type="dxa"/>
                  <w:shd w:val="clear" w:color="auto" w:fill="auto"/>
                </w:tcPr>
                <w:p w:rsidR="00C07927" w:rsidRDefault="00C07927" w:rsidP="004F7425">
                  <w:r>
                    <w:t>inform. nėra</w:t>
                  </w:r>
                </w:p>
              </w:tc>
              <w:tc>
                <w:tcPr>
                  <w:tcW w:w="1540" w:type="dxa"/>
                  <w:shd w:val="clear" w:color="auto" w:fill="auto"/>
                </w:tcPr>
                <w:p w:rsidR="00C07927" w:rsidRDefault="00C07927" w:rsidP="004F7425">
                  <w:r>
                    <w:t>18 šeimų (24 vaikai)</w:t>
                  </w:r>
                  <w:r>
                    <w:cr/>
                    <w:t xml:space="preserve"> 3 išmokas</w:t>
                  </w:r>
                </w:p>
              </w:tc>
              <w:tc>
                <w:tcPr>
                  <w:tcW w:w="1540" w:type="dxa"/>
                  <w:shd w:val="clear" w:color="auto" w:fill="auto"/>
                </w:tcPr>
                <w:p w:rsidR="00C07927" w:rsidRDefault="00C07927" w:rsidP="004F7425">
                  <w:r>
                    <w:t xml:space="preserve"> inform. nėra</w:t>
                  </w:r>
                </w:p>
              </w:tc>
              <w:tc>
                <w:tcPr>
                  <w:tcW w:w="1541" w:type="dxa"/>
                  <w:shd w:val="clear" w:color="auto" w:fill="auto"/>
                </w:tcPr>
                <w:p w:rsidR="00C07927" w:rsidRDefault="00C07927" w:rsidP="004F7425">
                  <w:r>
                    <w:t>Inform. nėra</w:t>
                  </w:r>
                </w:p>
              </w:tc>
              <w:tc>
                <w:tcPr>
                  <w:tcW w:w="1541" w:type="dxa"/>
                  <w:shd w:val="clear" w:color="auto" w:fill="auto"/>
                </w:tcPr>
                <w:p w:rsidR="00C07927" w:rsidRDefault="00C07927" w:rsidP="004F7425">
                  <w:r>
                    <w:t xml:space="preserve"> Inform. nėra</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Default="00C07927" w:rsidP="004F7425">
            <w:pPr>
              <w:rPr>
                <w:color w:val="000000"/>
                <w:lang w:eastAsia="lt-LT"/>
              </w:rPr>
            </w:pPr>
            <w:r w:rsidRPr="005006B1">
              <w:rPr>
                <w:color w:val="000000"/>
                <w:lang w:eastAsia="lt-LT"/>
              </w:rPr>
              <w:t xml:space="preserve">                                                      </w:t>
            </w:r>
            <w:hyperlink r:id="rId235" w:tgtFrame="_blank" w:history="1">
              <w:r w:rsidRPr="005006B1">
                <w:rPr>
                  <w:rStyle w:val="Hipersaitas"/>
                  <w:rFonts w:eastAsia="Courier New"/>
                  <w:lang w:eastAsia="lt-LT"/>
                </w:rPr>
                <w:t>Visagino</w:t>
              </w:r>
            </w:hyperlink>
            <w:r w:rsidRPr="003F59D7">
              <w:rPr>
                <w:color w:val="000000"/>
                <w:lang w:eastAsia="lt-LT"/>
              </w:rPr>
              <w:t xml:space="preserve"> </w:t>
            </w:r>
            <w:r>
              <w:rPr>
                <w:color w:val="000000"/>
                <w:lang w:eastAsia="lt-LT"/>
              </w:rPr>
              <w:t xml:space="preserve">savivaldybė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cr/>
                    <w:t>03</w:t>
                  </w:r>
                </w:p>
              </w:tc>
              <w:tc>
                <w:tcPr>
                  <w:tcW w:w="1540" w:type="dxa"/>
                  <w:shd w:val="clear" w:color="auto" w:fill="auto"/>
                </w:tcPr>
                <w:p w:rsidR="00C07927" w:rsidRDefault="00C07927" w:rsidP="004F7425">
                  <w:r>
                    <w:t>246</w:t>
                  </w:r>
                </w:p>
              </w:tc>
              <w:tc>
                <w:tcPr>
                  <w:tcW w:w="1540" w:type="dxa"/>
                  <w:shd w:val="clear" w:color="auto" w:fill="auto"/>
                </w:tcPr>
                <w:p w:rsidR="00C07927" w:rsidRDefault="00C07927" w:rsidP="004F7425">
                  <w:r>
                    <w:t>3</w:t>
                  </w:r>
                </w:p>
              </w:tc>
              <w:tc>
                <w:tcPr>
                  <w:tcW w:w="1540" w:type="dxa"/>
                  <w:shd w:val="clear" w:color="auto" w:fill="auto"/>
                </w:tcPr>
                <w:p w:rsidR="00C07927" w:rsidRDefault="00C07927" w:rsidP="004F7425"/>
              </w:tc>
              <w:tc>
                <w:tcPr>
                  <w:tcW w:w="1541" w:type="dxa"/>
                  <w:shd w:val="clear" w:color="auto" w:fill="auto"/>
                </w:tcPr>
                <w:p w:rsidR="00C07927" w:rsidRDefault="00C07927" w:rsidP="004F7425">
                  <w:r>
                    <w:t>14</w:t>
                  </w:r>
                </w:p>
              </w:tc>
              <w:tc>
                <w:tcPr>
                  <w:tcW w:w="1541" w:type="dxa"/>
                  <w:shd w:val="clear" w:color="auto" w:fill="auto"/>
                </w:tcPr>
                <w:p w:rsidR="00C07927" w:rsidRDefault="00C07927" w:rsidP="004F7425">
                  <w:r>
                    <w:t>0</w:t>
                  </w:r>
                </w:p>
              </w:tc>
            </w:tr>
          </w:tbl>
          <w:p w:rsidR="00C07927" w:rsidRPr="003F59D7" w:rsidRDefault="00C07927" w:rsidP="004F7425">
            <w:pPr>
              <w:rPr>
                <w:color w:val="000000"/>
                <w:lang w:eastAsia="lt-LT"/>
              </w:rPr>
            </w:pPr>
          </w:p>
        </w:tc>
      </w:tr>
      <w:tr w:rsidR="00C07927" w:rsidRPr="00743044" w:rsidTr="004F7425">
        <w:trPr>
          <w:tblCellSpacing w:w="0" w:type="dxa"/>
        </w:trPr>
        <w:tc>
          <w:tcPr>
            <w:tcW w:w="5000" w:type="pct"/>
            <w:vAlign w:val="center"/>
            <w:hideMark/>
          </w:tcPr>
          <w:p w:rsidR="00C07927" w:rsidRPr="005006B1" w:rsidRDefault="00C07927" w:rsidP="004F7425">
            <w:pPr>
              <w:rPr>
                <w:color w:val="000000"/>
                <w:lang w:eastAsia="lt-LT"/>
              </w:rPr>
            </w:pPr>
            <w:r w:rsidRPr="005006B1">
              <w:rPr>
                <w:color w:val="000000"/>
                <w:lang w:eastAsia="lt-LT"/>
              </w:rPr>
              <w:t xml:space="preserve">                                                  </w:t>
            </w:r>
            <w:hyperlink r:id="rId236" w:tgtFrame="_blank" w:history="1">
              <w:r w:rsidRPr="005006B1">
                <w:rPr>
                  <w:rStyle w:val="Hipersaitas"/>
                  <w:rFonts w:eastAsia="Courier New"/>
                  <w:lang w:eastAsia="lt-LT"/>
                </w:rPr>
                <w:t>Zarasų rajono savivaldybė</w:t>
              </w:r>
            </w:hyperlink>
            <w:r w:rsidRPr="005006B1">
              <w:rPr>
                <w:color w:val="000000"/>
                <w:lang w:eastAsia="lt-LT"/>
              </w:rPr>
              <w:t xml:space="preserve">  </w:t>
            </w:r>
          </w:p>
        </w:tc>
      </w:tr>
    </w:tbl>
    <w:p w:rsidR="00C07927" w:rsidRPr="001E7D72" w:rsidRDefault="00C07927" w:rsidP="00C0792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1540"/>
        <w:gridCol w:w="1540"/>
        <w:gridCol w:w="1540"/>
        <w:gridCol w:w="1541"/>
        <w:gridCol w:w="1541"/>
      </w:tblGrid>
      <w:tr w:rsidR="00C07927" w:rsidTr="004F7425">
        <w:tc>
          <w:tcPr>
            <w:tcW w:w="1540" w:type="dxa"/>
            <w:shd w:val="clear" w:color="auto" w:fill="auto"/>
          </w:tcPr>
          <w:p w:rsidR="00C07927" w:rsidRDefault="00C07927" w:rsidP="004F7425">
            <w:r>
              <w:t>180 (122 bendrai gauna soc. Pašalpas)</w:t>
            </w:r>
          </w:p>
        </w:tc>
        <w:tc>
          <w:tcPr>
            <w:tcW w:w="1540" w:type="dxa"/>
            <w:shd w:val="clear" w:color="auto" w:fill="auto"/>
          </w:tcPr>
          <w:p w:rsidR="00C07927" w:rsidRDefault="00C07927" w:rsidP="004F7425">
            <w:r>
              <w:t xml:space="preserve">28 šeimos turi vaikų iki 18m. </w:t>
            </w:r>
          </w:p>
        </w:tc>
        <w:tc>
          <w:tcPr>
            <w:tcW w:w="1540" w:type="dxa"/>
            <w:shd w:val="clear" w:color="auto" w:fill="auto"/>
          </w:tcPr>
          <w:p w:rsidR="00C07927" w:rsidRDefault="00C07927" w:rsidP="004F7425">
            <w:r>
              <w:t xml:space="preserve">21 asmuo </w:t>
            </w:r>
          </w:p>
        </w:tc>
        <w:tc>
          <w:tcPr>
            <w:tcW w:w="1540" w:type="dxa"/>
            <w:shd w:val="clear" w:color="auto" w:fill="auto"/>
          </w:tcPr>
          <w:p w:rsidR="00C07927" w:rsidRDefault="00C07927" w:rsidP="004F7425">
            <w:r>
              <w:t>0</w:t>
            </w:r>
          </w:p>
        </w:tc>
        <w:tc>
          <w:tcPr>
            <w:tcW w:w="1541" w:type="dxa"/>
            <w:shd w:val="clear" w:color="auto" w:fill="auto"/>
          </w:tcPr>
          <w:p w:rsidR="00C07927" w:rsidRDefault="00C07927" w:rsidP="004F7425">
            <w:r>
              <w:t>0</w:t>
            </w:r>
          </w:p>
        </w:tc>
        <w:tc>
          <w:tcPr>
            <w:tcW w:w="1541" w:type="dxa"/>
            <w:shd w:val="clear" w:color="auto" w:fill="auto"/>
          </w:tcPr>
          <w:p w:rsidR="00C07927" w:rsidRDefault="00C07927" w:rsidP="004F7425">
            <w:r>
              <w:t>0</w:t>
            </w:r>
          </w:p>
        </w:tc>
      </w:tr>
    </w:tbl>
    <w:p w:rsidR="00C07927" w:rsidRDefault="00C07927" w:rsidP="00C07927"/>
    <w:p w:rsidR="00C07927" w:rsidRDefault="00C07927" w:rsidP="00C07927">
      <w:pPr>
        <w:jc w:val="both"/>
      </w:pPr>
      <w:r>
        <w:t xml:space="preserve"> </w:t>
      </w:r>
      <w:r>
        <w:tab/>
        <w:t xml:space="preserve">Nustatyta, kad dauguma Savivaldybių tarybų yra pasitvirtinę arba artimiausiu metu patvirtins savivaldybės teritorijoje gyvenančių vaikų apskaitos tvarkos aprašą. </w:t>
      </w:r>
    </w:p>
    <w:p w:rsidR="00C07927" w:rsidRPr="00B65760" w:rsidRDefault="00C07927" w:rsidP="00C07927">
      <w:pPr>
        <w:jc w:val="both"/>
        <w:rPr>
          <w:b/>
        </w:rPr>
      </w:pPr>
      <w:r>
        <w:tab/>
        <w:t xml:space="preserve">Bendra apskaita, kiek yra </w:t>
      </w:r>
      <w:r w:rsidRPr="00DE0CE8">
        <w:t xml:space="preserve"> asmenų, neturinčių nuolatinės gyvenamosios vietos</w:t>
      </w:r>
      <w:r>
        <w:t>,</w:t>
      </w:r>
      <w:r w:rsidRPr="00DE0CE8">
        <w:t xml:space="preserve"> pr</w:t>
      </w:r>
      <w:r>
        <w:t>iregistruotų  prie savivaldybės ir turi  vaikų iki 18 metų, k</w:t>
      </w:r>
      <w:r w:rsidRPr="00DE0CE8">
        <w:t>iek asmenų ir / ar šeimų,  neturinčių nuolatinės gyvenamosios vietos ir  priregistruotų  prie savivaldybės,  turi vaikų iki 18 metų ir gavo socialines pašalpas</w:t>
      </w:r>
      <w:r>
        <w:t xml:space="preserve"> bei išmokas, taip pat, k</w:t>
      </w:r>
      <w:r w:rsidRPr="00DE0CE8">
        <w:t xml:space="preserve">iek asmenų ir / ar šeimų,  neturinčių nuolatinės gyvenamosios vietos ir  priregistruotų  prie savivaldybės  turi vaikų iki 16 metų, kurie nesimoko mokykloje, </w:t>
      </w:r>
      <w:r>
        <w:t xml:space="preserve">bet </w:t>
      </w:r>
      <w:r w:rsidRPr="00DE0CE8">
        <w:t xml:space="preserve">gauna </w:t>
      </w:r>
      <w:r>
        <w:t>socialines pašalpas ir  išmokas, taip pat, k</w:t>
      </w:r>
      <w:r w:rsidRPr="00DE0CE8">
        <w:t>iek asmenų ir / ar šeimų,  neturinčių nuolatinės gyvenamosios vietos ir  priregistruotų  prie savivaldybės  turi vaikų iki 16 metų, kurie nesimoko mokykloje, ir   negaun</w:t>
      </w:r>
      <w:r>
        <w:t xml:space="preserve">a socialinių pašalpų ir  išmokų, </w:t>
      </w:r>
      <w:r w:rsidRPr="007E6049">
        <w:t>nevedama.</w:t>
      </w:r>
      <w:r w:rsidRPr="00B65760">
        <w:rPr>
          <w:b/>
        </w:rPr>
        <w:t xml:space="preserve"> </w:t>
      </w:r>
    </w:p>
    <w:p w:rsidR="00C07927" w:rsidRDefault="00C07927" w:rsidP="00C07927">
      <w:pPr>
        <w:jc w:val="both"/>
      </w:pPr>
      <w:r>
        <w:tab/>
      </w:r>
      <w:r w:rsidRPr="00DE0CE8">
        <w:t xml:space="preserve"> </w:t>
      </w:r>
      <w:r>
        <w:t>Todėl, savivaldybės, atsakydamos į Komisijos raštą, informaciją rinko iš naujo ir kartu su Pašalpų mokėjimo skyriais apibendrino informaciją.</w:t>
      </w:r>
    </w:p>
    <w:p w:rsidR="00C07927" w:rsidRPr="00B65760" w:rsidRDefault="00C07927" w:rsidP="00C07927">
      <w:pPr>
        <w:jc w:val="both"/>
      </w:pPr>
      <w:r>
        <w:tab/>
        <w:t xml:space="preserve"> Per šį laikotarpį  </w:t>
      </w:r>
      <w:r w:rsidRPr="00AC63F7">
        <w:t xml:space="preserve">16 vaikų surasti ir sugražinti į mokyklas. </w:t>
      </w:r>
      <w:r w:rsidRPr="00B65760">
        <w:t xml:space="preserve">Likusi dalis nesimokančių vaikų patikslinta ir papildomai išsiaiškinta, kad kartu su tėvais nedeklaravę yra išvykę iš šalies. Virš 6 tūkstančių vaikų nerasti. </w:t>
      </w:r>
    </w:p>
    <w:p w:rsidR="00C07927" w:rsidRDefault="00C07927" w:rsidP="00C07927">
      <w:pPr>
        <w:jc w:val="both"/>
      </w:pPr>
      <w:r>
        <w:tab/>
        <w:t xml:space="preserve">Pagal Lietuvos Respublikos Konstituciją mokslas Lietuvoje yra privalomas vaikams iki 16 metų, todėl keletas savivaldybių neveda vaikų, vyresnių nei 16 metų, mokyklos nelankymo statistikos. </w:t>
      </w:r>
    </w:p>
    <w:p w:rsidR="00C07927" w:rsidRDefault="00C07927" w:rsidP="00C07927">
      <w:pPr>
        <w:jc w:val="both"/>
      </w:pPr>
      <w:r>
        <w:tab/>
        <w:t>Vaikų mokymąsi reglamentuoja Švietimo įstatymas, Mokslo ir studijų įstatymas, Vaiko minimalios ir vidutinės priežiūros įstatymas, kiti įstatymai bei poįstatyminiai teisės aktai.</w:t>
      </w:r>
    </w:p>
    <w:p w:rsidR="00C07927" w:rsidRDefault="00C07927" w:rsidP="00C07927">
      <w:pPr>
        <w:jc w:val="both"/>
      </w:pPr>
      <w:r>
        <w:tab/>
        <w:t xml:space="preserve">Švietimo informacinių technologijų centro duomenimis ( raštas adresuotas  Statistikos departamentui 2011 02 07 Nr. 90-(1.6)-D3-74 „Dėl statistinių duomenų, nesimokančių vaikų  2010-2011 mokslo </w:t>
      </w:r>
      <w:r w:rsidRPr="00AC63F7">
        <w:t>metais   buvo 14655 vaikų. Iš jų: išvykę nedeklaravę 7946 vaikai, nerasti 6465 vaikai.</w:t>
      </w:r>
      <w:r>
        <w:t xml:space="preserve"> Vaiko teisių apsaugos kontrolierės pažymoje to paties centro duomenimis nurodyta, kad nesimoko  15897 vaikų. Abiejų institucijų duomenys skiriasi 1242 vaikais.</w:t>
      </w:r>
    </w:p>
    <w:p w:rsidR="00C07927" w:rsidRDefault="00C07927" w:rsidP="00C07927">
      <w:pPr>
        <w:jc w:val="both"/>
      </w:pPr>
      <w:r>
        <w:tab/>
        <w:t xml:space="preserve">Savivaldybių paaiškinimais, iš Centro pateikiama informacija ženkliai skiriasi nuo tos, kurią turi savivaldybių švietimo skyriai ir pačios švietimo įstaigos, nes Centras duomenis renka pagal Gyventojų registro duomenis, o savivaldybės teigia, jog yra nemažai vaikų, pakeitusių gyvenamąją vietą faktiškai, o deklaracijos vieta nepasikeitusi. Centras į nelankančių mokyklos vaikų sąrašus įtraukė visus, kurie mokyklos nelanko Lietuvos Respublikoje, t . y. sąraše yra ir tie vaikai, kurie išvykę į užsienį ir galbūt ten lanko mokyklą, o savivaldybės teritorija ribota ir ribota informacija.  </w:t>
      </w:r>
    </w:p>
    <w:p w:rsidR="00C07927" w:rsidRDefault="00C07927" w:rsidP="00C07927">
      <w:pPr>
        <w:jc w:val="both"/>
      </w:pPr>
      <w:r>
        <w:tab/>
        <w:t>Ne visos savivaldybės turi duomenis apie išvykusius vaikus, ne visos tokius duomenis pateikė. Yra savivaldybių, kurios nurodė tik vaikus, kurie nelanko mokyklos arba ją lanko nereguliariai dėl socialinių priežasčių. Vienos savivaldybės pateikė informaciją apie neįgalius vaikus, nelankančius mokyklos dėl sveikatos, kitos savivaldybės tokių duomenų nepateikė. Yra savivaldybių, kurios nenurodė nereguliariai lankančių vaikų. Todėl skaičiuojant nelankančius vaikus galima neatitikimai su realiu skaičium vaikų, kurie nelanko mokyklos ir, kurie nesimoko buvo daug painiavos.</w:t>
      </w:r>
    </w:p>
    <w:p w:rsidR="00C07927" w:rsidRDefault="00C07927" w:rsidP="00C07927">
      <w:pPr>
        <w:jc w:val="both"/>
      </w:pPr>
      <w:r>
        <w:lastRenderedPageBreak/>
        <w:tab/>
        <w:t>Didžiausias skaičius vaikų, savivaldybių duomenimis, yra išvykęs į užsienį kartu su tėvais. Tačiau didžioji dalis savivaldybių pateikia tik tikėtiną vaiko buvimo vietą, t.y. neturi įrodymų, jog vaikas tikrai yra užsienyje. Nerastus pagal sąrašą vaikus savivaldybės laiko išvykusiais į užsienį, persikėlusiais gyventi į kitą Lietuvos rajoną ir tik maža dalis nurodo, jog vaikas nerastas pagal sąrašą, tačiau jo paieškos tęsiamos.</w:t>
      </w:r>
    </w:p>
    <w:p w:rsidR="00C07927" w:rsidRDefault="00C07927" w:rsidP="00C07927">
      <w:pPr>
        <w:jc w:val="both"/>
      </w:pPr>
      <w:r>
        <w:tab/>
        <w:t>Savivaldybės nurodė, kad su vaikais, kurie mokyklos nelanko dėl motyvacijos stokos, dėl tėvų nepriežiūros, dirba socialiniai darbuotojai, psichologai. Tačiau problema dažnai būna ne vien vaiko motyvacijos stoka, tokios motyvacijos neturi ir vaiko tėvai, kadangi girtauja, gyvena asocialiai, neturi vaikui įtakos. Tokie vaikai sudaro apie 13,5 procentų visų nelankančių mokyklos vaikų.</w:t>
      </w:r>
    </w:p>
    <w:p w:rsidR="00C07927" w:rsidRDefault="00C07927" w:rsidP="00C07927">
      <w:pPr>
        <w:jc w:val="both"/>
      </w:pPr>
      <w:r>
        <w:tab/>
        <w:t>Tokiu būdu, savivaldybės pateikė informaciją, iš kurios matyti, kad jos neturi informacijos apie daugiau nei pusę vaikų. Pateikta tik tikėtiną informaciją, jog vaikai gali būti pakeitę gyvenamąją vietą, persikėlę į kitą Lietuvos rajoną ar išvykę į užsienį. Tačiau apie ten lankomas švietimo įstaigas informaciją nepateikiama. Teigiama, jog rasti vaikus trukdo dažnai keičiama gyvenamoji vieta ar tai, jog išvykimas į užsienį ne visada yra fiksuojamas. Remiamasi giminaičių, kaimynų liudijimais.</w:t>
      </w:r>
    </w:p>
    <w:p w:rsidR="00C07927" w:rsidRDefault="00C07927" w:rsidP="00C07927">
      <w:pPr>
        <w:jc w:val="both"/>
        <w:rPr>
          <w:szCs w:val="22"/>
        </w:rPr>
      </w:pPr>
      <w:r>
        <w:tab/>
        <w:t xml:space="preserve">Pagal Švietimo įstatymo 59 straipsnis suteikia savivaldybės vykdomosioms institucijoms pareigą </w:t>
      </w:r>
      <w:r>
        <w:rPr>
          <w:szCs w:val="22"/>
        </w:rPr>
        <w:t>organizuoti ir tvarkyti savivaldybės teritorijoje gyvenančių vaikų apskaitą ir užtikrinti, kad visi vaikai mokytųsi pagal privalomojo švietimo programas. Deja, kaip paaiškėjo įvertinus gautus duomenis ne visos savivaldybės tiksliai žino, ar konkretus vaikas gyvena savivaldybės teritorijoje ar yra išvykęs į kitą savivaldybės teritoriją ir ten lanko mokyklą. Sudėtinga nustatyti tikslų skaičių vyresnių nei 16 metų vaikų, kadangi mokslas privalomas tik iki 16 metų.</w:t>
      </w:r>
      <w:r>
        <w:rPr>
          <w:szCs w:val="22"/>
        </w:rPr>
        <w:tab/>
        <w:t xml:space="preserve">Patikrinus savivaldybių bei Ministerijos pateiktus duomenis vaikų, apie kuriuos nėra žinių, skaičius sudaro pusę visų vaikų, kurie nurodyti kaip nelankantys mokyklos. </w:t>
      </w:r>
    </w:p>
    <w:p w:rsidR="00C07927" w:rsidRDefault="00C07927" w:rsidP="00C07927">
      <w:pPr>
        <w:jc w:val="both"/>
      </w:pPr>
    </w:p>
    <w:p w:rsidR="00C07927" w:rsidRDefault="00C07927" w:rsidP="00C07927">
      <w:pPr>
        <w:jc w:val="both"/>
      </w:pPr>
      <w:r>
        <w:tab/>
        <w:t>Nustatyta, kad savivaldybių administracijose vaiko minimali priežiūra taikyta2010/2011 mokslo metais :</w:t>
      </w:r>
    </w:p>
    <w:p w:rsidR="00C07927" w:rsidRPr="00E35649" w:rsidRDefault="00C07927" w:rsidP="00C0792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5"/>
        <w:gridCol w:w="7501"/>
      </w:tblGrid>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Akmenės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Alytaus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Alytaus m.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Anykščių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w:t>
                  </w:r>
                  <w:r w:rsidRPr="00E35649">
                    <w:rPr>
                      <w:sz w:val="21"/>
                      <w:szCs w:val="21"/>
                    </w:rPr>
                    <w:cr/>
                    <w:t xml:space="preserve">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cr/>
                    <w:t>6</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bCs/>
                <w:sz w:val="21"/>
                <w:szCs w:val="21"/>
              </w:rPr>
              <w:t>Birštono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lastRenderedPageBreak/>
              <w:t>Biržų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2"/>
              <w:gridCol w:w="4545"/>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w:t>
                  </w:r>
                  <w:r w:rsidRPr="00E35649">
                    <w:rPr>
                      <w:b/>
                      <w:bCs/>
                      <w:sz w:val="21"/>
                      <w:szCs w:val="21"/>
                    </w:rPr>
                    <w:cr/>
                    <w:t>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cr/>
                    <w:t>5</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Druskininkų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Elektrėnų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tabs>
                <w:tab w:val="left" w:pos="0"/>
              </w:tabs>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Ignalinos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0"/>
              <w:gridCol w:w="4500"/>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w:t>
                  </w:r>
                  <w:r w:rsidRPr="00E35649">
                    <w:rPr>
                      <w:b/>
                      <w:bCs/>
                      <w:sz w:val="21"/>
                      <w:szCs w:val="21"/>
                    </w:rPr>
                    <w:cr/>
                    <w:t>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Jonavos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Joniškio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bCs/>
                <w:sz w:val="21"/>
                <w:szCs w:val="21"/>
              </w:rPr>
              <w:t>Jurbarko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Kaišiadorių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2"/>
              <w:gridCol w:w="4550"/>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w:t>
                  </w:r>
                  <w:r w:rsidRPr="00E35649">
                    <w:rPr>
                      <w:b/>
                      <w:bCs/>
                      <w:sz w:val="21"/>
                      <w:szCs w:val="21"/>
                    </w:rPr>
                    <w:cr/>
                    <w:t>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Kalvarijos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Kazlų Rūdos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266"/>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bl>
          <w:p w:rsidR="00C07927" w:rsidRPr="00E35649" w:rsidRDefault="00C07927" w:rsidP="004F7425">
            <w:pPr>
              <w:tabs>
                <w:tab w:val="left" w:pos="0"/>
              </w:tabs>
              <w:rPr>
                <w:bCs/>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Kauno m.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43</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lastRenderedPageBreak/>
              <w:t xml:space="preserve">Kauno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0"/>
              <w:gridCol w:w="4488"/>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w:t>
                  </w:r>
                  <w:r w:rsidRPr="00E35649">
                    <w:rPr>
                      <w:b/>
                      <w:bCs/>
                      <w:sz w:val="21"/>
                      <w:szCs w:val="21"/>
                    </w:rPr>
                    <w:cr/>
                    <w:t>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sz w:val="21"/>
                <w:szCs w:val="21"/>
              </w:rPr>
              <w:t xml:space="preserve">Kelmės raj. </w:t>
            </w:r>
            <w:r w:rsidRPr="00E35649">
              <w:rPr>
                <w:b/>
                <w:bCs/>
                <w:sz w:val="21"/>
                <w:szCs w:val="21"/>
              </w:rPr>
              <w:t>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vAlign w:val="center"/>
                </w:tcPr>
                <w:p w:rsidR="00C07927" w:rsidRPr="00E35649" w:rsidRDefault="00C07927" w:rsidP="004F7425">
                  <w:pPr>
                    <w:rPr>
                      <w:sz w:val="21"/>
                      <w:szCs w:val="21"/>
                    </w:rPr>
                  </w:pPr>
                </w:p>
              </w:tc>
            </w:tr>
          </w:tbl>
          <w:p w:rsidR="00C07927" w:rsidRPr="00E35649" w:rsidRDefault="00C07927" w:rsidP="004F7425">
            <w:pPr>
              <w:rPr>
                <w:sz w:val="21"/>
                <w:szCs w:val="21"/>
                <w:lang w:eastAsia="lt-LT"/>
              </w:rPr>
            </w:pPr>
          </w:p>
        </w:tc>
      </w:tr>
      <w:tr w:rsidR="00C07927" w:rsidRPr="00E35649" w:rsidTr="004F7425">
        <w:trPr>
          <w:cantSplit/>
        </w:trPr>
        <w:tc>
          <w:tcPr>
            <w:tcW w:w="2628" w:type="dxa"/>
          </w:tcPr>
          <w:p w:rsidR="00C07927" w:rsidRPr="00E35649" w:rsidRDefault="00C07927" w:rsidP="004F7425">
            <w:pPr>
              <w:rPr>
                <w:b/>
                <w:sz w:val="21"/>
                <w:szCs w:val="21"/>
              </w:rPr>
            </w:pPr>
            <w:r w:rsidRPr="00E35649">
              <w:rPr>
                <w:b/>
                <w:bCs/>
                <w:sz w:val="21"/>
                <w:szCs w:val="21"/>
              </w:rPr>
              <w:t>Kėdainių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sz w:val="21"/>
                <w:szCs w:val="21"/>
              </w:rPr>
            </w:pPr>
            <w:r w:rsidRPr="00E35649">
              <w:rPr>
                <w:b/>
                <w:bCs/>
                <w:sz w:val="21"/>
                <w:szCs w:val="21"/>
              </w:rPr>
              <w:t>Klaipėdos m.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 xml:space="preserve">Iš </w:t>
                  </w:r>
                  <w:r w:rsidRPr="00E35649">
                    <w:rPr>
                      <w:sz w:val="21"/>
                      <w:szCs w:val="21"/>
                    </w:rPr>
                    <w:cr/>
                    <w:t>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35</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Klaipėdos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bl>
          <w:p w:rsidR="00C07927" w:rsidRPr="00E35649" w:rsidRDefault="00C07927" w:rsidP="004F7425">
            <w:pPr>
              <w:rPr>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Kretingos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Kupiškio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9</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16</w:t>
                  </w:r>
                </w:p>
              </w:tc>
            </w:tr>
          </w:tbl>
          <w:p w:rsidR="00C07927" w:rsidRPr="00E35649" w:rsidRDefault="00C07927" w:rsidP="004F7425">
            <w:pPr>
              <w:pStyle w:val="prastasistinklapis"/>
              <w:spacing w:before="0" w:beforeAutospacing="0" w:after="0" w:afterAutospacing="0"/>
              <w:rPr>
                <w:bCs/>
                <w:i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Lazdijų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bl>
          <w:p w:rsidR="00C07927" w:rsidRPr="00E35649" w:rsidRDefault="00C07927" w:rsidP="004F7425">
            <w:pPr>
              <w:pStyle w:val="prastasistinklapis"/>
              <w:spacing w:before="0" w:beforeAutospacing="0" w:after="0" w:afterAutospacing="0"/>
              <w:rPr>
                <w:bCs/>
                <w:i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Marijampolės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c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w:t>
                  </w:r>
                  <w:r w:rsidRPr="00E35649">
                    <w:rPr>
                      <w:sz w:val="21"/>
                      <w:szCs w:val="21"/>
                    </w:rPr>
                    <w:cr/>
                    <w:t>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49</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Mažeikių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20</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 xml:space="preserve">Iš </w:t>
                  </w:r>
                  <w:r w:rsidRPr="00E35649">
                    <w:rPr>
                      <w:sz w:val="21"/>
                      <w:szCs w:val="21"/>
                    </w:rPr>
                    <w:cr/>
                    <w:t>i</w:t>
                  </w:r>
                  <w:r w:rsidRPr="00E35649">
                    <w:rPr>
                      <w:sz w:val="21"/>
                      <w:szCs w:val="21"/>
                    </w:rPr>
                    <w:cr/>
                    <w:t>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20</w:t>
                  </w:r>
                </w:p>
              </w:tc>
            </w:tr>
          </w:tbl>
          <w:p w:rsidR="00C07927" w:rsidRPr="00E35649" w:rsidRDefault="00C07927" w:rsidP="004F7425">
            <w:pPr>
              <w:pStyle w:val="Pagrindinistekstas"/>
              <w:rPr>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Molėtų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lastRenderedPageBreak/>
              <w:t>Neringos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 xml:space="preserve">Iš </w:t>
                  </w:r>
                  <w:r w:rsidRPr="00E35649">
                    <w:rPr>
                      <w:sz w:val="21"/>
                      <w:szCs w:val="21"/>
                    </w:rPr>
                    <w:cr/>
                    <w:t>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bl>
          <w:p w:rsidR="00C07927" w:rsidRPr="00E35649" w:rsidRDefault="00C07927" w:rsidP="004F7425">
            <w:pPr>
              <w:pStyle w:val="Pagrindinistekstas"/>
              <w:rPr>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Pagėgių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Pakruojo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9</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11</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Palangos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5"/>
              <w:gridCol w:w="4365"/>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cr/>
                    <w:t>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Panevėžio m.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10</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25</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Panevėžio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9</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Pasvalio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Plungės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0"/>
              <w:gridCol w:w="4488"/>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w:t>
                  </w:r>
                  <w:r w:rsidRPr="00E35649">
                    <w:rPr>
                      <w:b/>
                      <w:bCs/>
                      <w:sz w:val="21"/>
                      <w:szCs w:val="21"/>
                    </w:rPr>
                    <w:cr/>
                    <w:t>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bl>
          <w:p w:rsidR="00C07927" w:rsidRPr="00E35649" w:rsidRDefault="00C07927" w:rsidP="004F7425">
            <w:pPr>
              <w:ind w:firstLine="360"/>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Prienų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Radviliškio raj.</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bl>
          <w:p w:rsidR="00C07927" w:rsidRPr="00E35649" w:rsidRDefault="00C07927" w:rsidP="004F7425">
            <w:pPr>
              <w:pStyle w:val="prastasistinklapis"/>
              <w:spacing w:before="0" w:beforeAutospacing="0" w:after="0" w:afterAutospacing="0"/>
              <w:rPr>
                <w:i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Rokiškio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5"/>
              <w:gridCol w:w="4365"/>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12</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lastRenderedPageBreak/>
              <w:t>Raseinių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0"/>
              <w:gridCol w:w="4488"/>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w:t>
                  </w:r>
                  <w:r w:rsidRPr="00E35649">
                    <w:rPr>
                      <w:b/>
                      <w:bCs/>
                      <w:sz w:val="21"/>
                      <w:szCs w:val="21"/>
                    </w:rPr>
                    <w:cr/>
                    <w:t>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bl>
          <w:p w:rsidR="00C07927" w:rsidRPr="00E35649" w:rsidRDefault="00C07927" w:rsidP="004F7425">
            <w:pPr>
              <w:tabs>
                <w:tab w:val="left" w:pos="0"/>
              </w:tabs>
              <w:ind w:left="117"/>
              <w:rPr>
                <w:b/>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Rietavo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Skuodo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Šakių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w:t>
                  </w:r>
                  <w:r w:rsidRPr="00E35649">
                    <w:rPr>
                      <w:sz w:val="21"/>
                      <w:szCs w:val="21"/>
                    </w:rPr>
                    <w:cr/>
                    <w:t>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Šalčininkų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Šiaulių miesto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11</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Šiaulių rajono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266"/>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Šilalės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Šilutės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Širvintų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453"/>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w:t>
                  </w:r>
                  <w:r w:rsidRPr="00E35649">
                    <w:rPr>
                      <w:sz w:val="21"/>
                      <w:szCs w:val="21"/>
                    </w:rPr>
                    <w:cr/>
                    <w:t>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w:t>
                  </w:r>
                  <w:r w:rsidRPr="00E35649">
                    <w:rPr>
                      <w:sz w:val="21"/>
                      <w:szCs w:val="21"/>
                    </w:rPr>
                    <w:cr/>
                  </w:r>
                  <w:r w:rsidRPr="00E35649">
                    <w:rPr>
                      <w:sz w:val="21"/>
                      <w:szCs w:val="21"/>
                    </w:rPr>
                    <w:cr/>
                    <w:t>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Švenčionių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5</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9</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lastRenderedPageBreak/>
              <w:t>Tauragės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0"/>
              <w:gridCol w:w="4488"/>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w:t>
                  </w:r>
                  <w:r w:rsidRPr="00E35649">
                    <w:rPr>
                      <w:b/>
                      <w:bCs/>
                      <w:sz w:val="21"/>
                      <w:szCs w:val="21"/>
                    </w:rPr>
                    <w:cr/>
                    <w:t>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9</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16</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Telšių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Trakų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Ukmergės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w:t>
                  </w:r>
                  <w:r w:rsidRPr="00E35649">
                    <w:rPr>
                      <w:sz w:val="21"/>
                      <w:szCs w:val="21"/>
                    </w:rPr>
                    <w:cr/>
                    <w:t xml:space="preserve">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rPr>
                <w:b/>
                <w:bCs/>
                <w:sz w:val="21"/>
                <w:szCs w:val="21"/>
              </w:rPr>
            </w:pPr>
            <w:r w:rsidRPr="00E35649">
              <w:rPr>
                <w:b/>
                <w:bCs/>
                <w:sz w:val="21"/>
                <w:szCs w:val="21"/>
              </w:rPr>
              <w:t>Utenos raj. savivaldybė</w:t>
            </w: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266"/>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15</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Varėnos raj.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w:t>
                  </w:r>
                  <w:r w:rsidRPr="00E35649">
                    <w:rPr>
                      <w:sz w:val="21"/>
                      <w:szCs w:val="21"/>
                    </w:rPr>
                    <w:cr/>
                    <w:t>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Vilkaviškio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2</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8</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Vilniaus miesto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22"/>
              <w:gridCol w:w="4545"/>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w:t>
                  </w:r>
                  <w:r w:rsidRPr="00E35649">
                    <w:rPr>
                      <w:b/>
                      <w:bCs/>
                      <w:sz w:val="21"/>
                      <w:szCs w:val="21"/>
                    </w:rPr>
                    <w:cr/>
                    <w:t>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44</w:t>
                  </w:r>
                </w:p>
              </w:tc>
            </w:tr>
          </w:tbl>
          <w:p w:rsidR="00C07927" w:rsidRPr="00E35649" w:rsidRDefault="00C07927" w:rsidP="004F7425">
            <w:pPr>
              <w:rPr>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Vilniaus rajono savivaldybė</w:t>
            </w:r>
          </w:p>
          <w:p w:rsidR="00C07927" w:rsidRPr="00E35649" w:rsidRDefault="00C07927" w:rsidP="004F7425">
            <w:pPr>
              <w:spacing w:after="240"/>
              <w:jc w:val="cente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3</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6</w:t>
                  </w:r>
                </w:p>
              </w:tc>
            </w:tr>
          </w:tbl>
          <w:p w:rsidR="00C07927" w:rsidRPr="00E35649" w:rsidRDefault="00C07927" w:rsidP="004F7425">
            <w:pPr>
              <w:jc w:val="center"/>
              <w:rPr>
                <w:b/>
                <w:bCs/>
                <w:sz w:val="21"/>
                <w:szCs w:val="21"/>
              </w:rPr>
            </w:pPr>
          </w:p>
        </w:tc>
      </w:tr>
      <w:tr w:rsidR="00C07927" w:rsidRPr="00E35649" w:rsidTr="004F7425">
        <w:trPr>
          <w:cantSplit/>
        </w:trPr>
        <w:tc>
          <w:tcPr>
            <w:tcW w:w="2628" w:type="dxa"/>
          </w:tcPr>
          <w:p w:rsidR="00C07927" w:rsidRPr="00E35649" w:rsidRDefault="00C07927" w:rsidP="004F7425">
            <w:pPr>
              <w:spacing w:after="240"/>
              <w:jc w:val="center"/>
              <w:rPr>
                <w:sz w:val="21"/>
                <w:szCs w:val="21"/>
              </w:rPr>
            </w:pPr>
            <w:r w:rsidRPr="00E35649">
              <w:rPr>
                <w:b/>
                <w:bCs/>
                <w:sz w:val="21"/>
                <w:szCs w:val="21"/>
              </w:rPr>
              <w:t>Visagino savivaldybė</w:t>
            </w:r>
          </w:p>
          <w:p w:rsidR="00C07927" w:rsidRPr="00E35649" w:rsidRDefault="00C07927" w:rsidP="004F7425">
            <w:pPr>
              <w:rPr>
                <w:b/>
                <w:bCs/>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8"/>
              <w:gridCol w:w="4444"/>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w:t>
                  </w:r>
                  <w:r w:rsidRPr="00E35649">
                    <w:rPr>
                      <w:sz w:val="21"/>
                      <w:szCs w:val="21"/>
                    </w:rPr>
                    <w:cr/>
                  </w:r>
                  <w:r w:rsidRPr="00E35649">
                    <w:rPr>
                      <w:sz w:val="21"/>
                      <w:szCs w:val="21"/>
                    </w:rPr>
                    <w:cr/>
                    <w:t>is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bl>
          <w:p w:rsidR="00C07927" w:rsidRPr="00E35649" w:rsidRDefault="00C07927" w:rsidP="004F7425">
            <w:pPr>
              <w:rPr>
                <w:sz w:val="21"/>
                <w:szCs w:val="21"/>
              </w:rPr>
            </w:pPr>
          </w:p>
        </w:tc>
      </w:tr>
      <w:tr w:rsidR="00C07927" w:rsidRPr="00E35649" w:rsidTr="004F7425">
        <w:tc>
          <w:tcPr>
            <w:tcW w:w="2628" w:type="dxa"/>
          </w:tcPr>
          <w:p w:rsidR="00C07927" w:rsidRPr="00E35649" w:rsidRDefault="00C07927" w:rsidP="004F7425">
            <w:pPr>
              <w:spacing w:after="240"/>
              <w:jc w:val="center"/>
              <w:rPr>
                <w:sz w:val="21"/>
                <w:szCs w:val="21"/>
              </w:rPr>
            </w:pPr>
            <w:r w:rsidRPr="00E35649">
              <w:rPr>
                <w:b/>
                <w:bCs/>
                <w:sz w:val="21"/>
                <w:szCs w:val="21"/>
              </w:rPr>
              <w:t>Zarasų savivaldybė</w:t>
            </w:r>
          </w:p>
          <w:p w:rsidR="00C07927" w:rsidRPr="00E35649" w:rsidRDefault="00C07927" w:rsidP="004F7425">
            <w:pPr>
              <w:rPr>
                <w:sz w:val="21"/>
                <w:szCs w:val="21"/>
              </w:rPr>
            </w:pPr>
          </w:p>
        </w:tc>
        <w:tc>
          <w:tcPr>
            <w:tcW w:w="7631" w:type="dxa"/>
          </w:tcPr>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15"/>
              <w:gridCol w:w="4365"/>
              <w:gridCol w:w="1348"/>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sz w:val="21"/>
                      <w:szCs w:val="21"/>
                    </w:rPr>
                  </w:pPr>
                  <w:r w:rsidRPr="00E35649">
                    <w:rPr>
                      <w:b/>
                      <w:bCs/>
                      <w:sz w:val="21"/>
                      <w:szCs w:val="21"/>
                    </w:rPr>
                    <w:t>1.Vaiko minimalios priežiūros priemonių taikyma</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r w:rsidRPr="00E35649">
                    <w:rPr>
                      <w:sz w:val="21"/>
                      <w:szCs w:val="21"/>
                    </w:rPr>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17</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rPr>
                      <w:sz w:val="21"/>
                      <w:szCs w:val="21"/>
                    </w:rPr>
                  </w:pP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rPr>
                      <w:sz w:val="21"/>
                      <w:szCs w:val="21"/>
                    </w:rPr>
                  </w:pPr>
                  <w:r w:rsidRPr="00E35649">
                    <w:rPr>
                      <w:sz w:val="21"/>
                      <w:szCs w:val="21"/>
                    </w:rPr>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sz w:val="21"/>
                      <w:szCs w:val="21"/>
                    </w:rPr>
                  </w:pPr>
                  <w:r w:rsidRPr="00E35649">
                    <w:rPr>
                      <w:sz w:val="21"/>
                      <w:szCs w:val="21"/>
                    </w:rPr>
                    <w:t> 17</w:t>
                  </w:r>
                </w:p>
              </w:tc>
            </w:tr>
          </w:tbl>
          <w:p w:rsidR="00C07927" w:rsidRPr="00E35649" w:rsidRDefault="00C07927" w:rsidP="004F7425">
            <w:pPr>
              <w:tabs>
                <w:tab w:val="left" w:pos="0"/>
              </w:tabs>
              <w:rPr>
                <w:bCs/>
                <w:sz w:val="21"/>
                <w:szCs w:val="21"/>
              </w:rPr>
            </w:pPr>
          </w:p>
        </w:tc>
      </w:tr>
    </w:tbl>
    <w:p w:rsidR="00C07927" w:rsidRDefault="00C07927" w:rsidP="00C07927">
      <w:pPr>
        <w:spacing w:after="240"/>
        <w:jc w:val="center"/>
      </w:pPr>
      <w:r w:rsidRPr="00E35649">
        <w:lastRenderedPageBreak/>
        <w:t xml:space="preserve"> </w:t>
      </w:r>
      <w:r w:rsidRPr="00E35649">
        <w:tab/>
      </w:r>
    </w:p>
    <w:p w:rsidR="00C07927" w:rsidRDefault="00C07927" w:rsidP="00C07927">
      <w:pPr>
        <w:spacing w:after="240"/>
        <w:jc w:val="center"/>
      </w:pPr>
    </w:p>
    <w:p w:rsidR="00C07927" w:rsidRPr="00FC0D38" w:rsidRDefault="00C07927" w:rsidP="00C07927">
      <w:pPr>
        <w:spacing w:after="240"/>
        <w:jc w:val="center"/>
      </w:pPr>
      <w:r w:rsidRPr="00FC0D38">
        <w:rPr>
          <w:bCs/>
        </w:rPr>
        <w:t>Iš viso Lietuvoje Vaiko minimali priežiūra 2010/2011 mokslo metais taikyta 518 mokinių:</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34"/>
        <w:gridCol w:w="5078"/>
        <w:gridCol w:w="1525"/>
      </w:tblGrid>
      <w:tr w:rsidR="00C07927" w:rsidRPr="00E35649" w:rsidTr="004F7425">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rPr>
                <w:b/>
                <w:bCs/>
              </w:rPr>
            </w:pPr>
            <w:r w:rsidRPr="00E35649">
              <w:rPr>
                <w:b/>
                <w:bCs/>
              </w:rPr>
              <w:t>1.Vaiko minimalios priežiūros priemonių taikymas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pPr>
            <w:r w:rsidRPr="00E35649">
              <w:t>Vaikų skaičius</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pPr>
            <w:r w:rsidRPr="00E35649">
              <w:t>1</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r w:rsidRPr="00E35649">
              <w:t>Taikyta viena priemonė</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pPr>
            <w:r w:rsidRPr="00E35649">
              <w:t>136</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pPr>
            <w:r w:rsidRPr="00E35649">
              <w:t>2</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r w:rsidRPr="00E35649">
              <w:t>Taikytos kelios tarpusavyje suderintos priemonės</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pPr>
            <w:r w:rsidRPr="00E35649">
              <w:t>400</w:t>
            </w:r>
          </w:p>
        </w:tc>
      </w:tr>
      <w:tr w:rsidR="00C07927" w:rsidRPr="00E35649" w:rsidTr="004F7425">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AAAAA"/>
            <w:vAlign w:val="center"/>
          </w:tcPr>
          <w:p w:rsidR="00C07927" w:rsidRPr="00E35649" w:rsidRDefault="00C07927" w:rsidP="004F7425">
            <w:pPr>
              <w:jc w:val="right"/>
            </w:pPr>
            <w:r w:rsidRPr="00E35649">
              <w:t>3</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r w:rsidRPr="00E35649">
              <w:t>Iš viso</w:t>
            </w:r>
          </w:p>
        </w:tc>
        <w:tc>
          <w:tcPr>
            <w:tcW w:w="0" w:type="auto"/>
            <w:tcBorders>
              <w:top w:val="outset" w:sz="6" w:space="0" w:color="auto"/>
              <w:left w:val="outset" w:sz="6" w:space="0" w:color="auto"/>
              <w:bottom w:val="outset" w:sz="6" w:space="0" w:color="auto"/>
              <w:right w:val="outset" w:sz="6" w:space="0" w:color="auto"/>
            </w:tcBorders>
            <w:vAlign w:val="center"/>
          </w:tcPr>
          <w:p w:rsidR="00C07927" w:rsidRPr="00E35649" w:rsidRDefault="00C07927" w:rsidP="004F7425">
            <w:pPr>
              <w:jc w:val="center"/>
            </w:pPr>
            <w:r w:rsidRPr="00E35649">
              <w:t>518</w:t>
            </w:r>
          </w:p>
        </w:tc>
      </w:tr>
    </w:tbl>
    <w:p w:rsidR="00C07927" w:rsidRPr="00E35649" w:rsidRDefault="00C07927" w:rsidP="00C07927"/>
    <w:p w:rsidR="00C07927" w:rsidRDefault="00C07927" w:rsidP="00C07927">
      <w:pPr>
        <w:jc w:val="both"/>
      </w:pPr>
    </w:p>
    <w:p w:rsidR="00C07927" w:rsidRDefault="00C07927" w:rsidP="00C07927">
      <w:pPr>
        <w:jc w:val="both"/>
        <w:rPr>
          <w:szCs w:val="22"/>
        </w:rPr>
      </w:pPr>
      <w:r>
        <w:tab/>
      </w:r>
      <w:r>
        <w:rPr>
          <w:szCs w:val="22"/>
        </w:rPr>
        <w:t xml:space="preserve"> </w:t>
      </w:r>
    </w:p>
    <w:p w:rsidR="00C07927" w:rsidRPr="00FC0D38" w:rsidRDefault="00C07927" w:rsidP="00C07927">
      <w:pPr>
        <w:jc w:val="both"/>
        <w:rPr>
          <w:bCs/>
          <w:spacing w:val="4"/>
        </w:rPr>
      </w:pPr>
      <w:r>
        <w:rPr>
          <w:szCs w:val="22"/>
        </w:rPr>
        <w:tab/>
      </w:r>
      <w:r w:rsidRPr="00FC0D38">
        <w:t xml:space="preserve">Nustatyta, kad 2011 m. vasario mėn. </w:t>
      </w:r>
      <w:r w:rsidRPr="00FC0D38">
        <w:rPr>
          <w:bCs/>
          <w:spacing w:val="4"/>
        </w:rPr>
        <w:t xml:space="preserve">Švietimo informacinių technologijų centro duomenimis mokyklose nesimokė 2009/2010 mokslo metais 15924 vaikai, 2010/2011 metais 14655 vaikai. </w:t>
      </w:r>
    </w:p>
    <w:tbl>
      <w:tblPr>
        <w:tblW w:w="0" w:type="auto"/>
        <w:jc w:val="center"/>
        <w:tblCellSpacing w:w="15"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809"/>
        <w:gridCol w:w="1424"/>
        <w:gridCol w:w="2418"/>
        <w:gridCol w:w="2423"/>
      </w:tblGrid>
      <w:tr w:rsidR="00C07927" w:rsidRPr="00766C72" w:rsidTr="004F7425">
        <w:trPr>
          <w:tblCellSpacing w:w="15" w:type="dxa"/>
          <w:jc w:val="center"/>
        </w:trPr>
        <w:tc>
          <w:tcPr>
            <w:tcW w:w="0" w:type="auto"/>
            <w:vAlign w:val="center"/>
            <w:hideMark/>
          </w:tcPr>
          <w:p w:rsidR="00C07927" w:rsidRPr="00883A36" w:rsidRDefault="00C07927" w:rsidP="004F7425">
            <w:pPr>
              <w:jc w:val="center"/>
              <w:rPr>
                <w:b/>
                <w:bCs/>
                <w:lang w:eastAsia="lt-LT"/>
              </w:rPr>
            </w:pPr>
            <w:r w:rsidRPr="00883A36">
              <w:rPr>
                <w:b/>
                <w:bCs/>
                <w:lang w:eastAsia="lt-LT"/>
              </w:rPr>
              <w:t>Eil. nr.</w:t>
            </w:r>
          </w:p>
        </w:tc>
        <w:tc>
          <w:tcPr>
            <w:tcW w:w="0" w:type="auto"/>
            <w:vAlign w:val="center"/>
            <w:hideMark/>
          </w:tcPr>
          <w:p w:rsidR="00C07927" w:rsidRPr="00883A36" w:rsidRDefault="00C07927" w:rsidP="004F7425">
            <w:pPr>
              <w:jc w:val="center"/>
              <w:rPr>
                <w:b/>
                <w:bCs/>
                <w:lang w:eastAsia="lt-LT"/>
              </w:rPr>
            </w:pPr>
            <w:r w:rsidRPr="00883A36">
              <w:rPr>
                <w:b/>
                <w:bCs/>
                <w:lang w:eastAsia="lt-LT"/>
              </w:rPr>
              <w:t>Savivaldybė</w:t>
            </w:r>
          </w:p>
        </w:tc>
        <w:tc>
          <w:tcPr>
            <w:tcW w:w="0" w:type="auto"/>
            <w:vAlign w:val="center"/>
            <w:hideMark/>
          </w:tcPr>
          <w:p w:rsidR="00C07927" w:rsidRDefault="00C07927" w:rsidP="004F7425">
            <w:pPr>
              <w:jc w:val="center"/>
              <w:rPr>
                <w:b/>
                <w:bCs/>
                <w:lang w:eastAsia="lt-LT"/>
              </w:rPr>
            </w:pPr>
            <w:r w:rsidRPr="00883A36">
              <w:rPr>
                <w:b/>
                <w:bCs/>
                <w:lang w:eastAsia="lt-LT"/>
              </w:rPr>
              <w:t>Bendras nesimokančių</w:t>
            </w:r>
          </w:p>
          <w:p w:rsidR="00C07927" w:rsidRPr="00883A36" w:rsidRDefault="00C07927" w:rsidP="004F7425">
            <w:pPr>
              <w:jc w:val="center"/>
              <w:rPr>
                <w:b/>
                <w:bCs/>
                <w:lang w:eastAsia="lt-LT"/>
              </w:rPr>
            </w:pPr>
            <w:r w:rsidRPr="00883A36">
              <w:rPr>
                <w:b/>
                <w:bCs/>
                <w:lang w:eastAsia="lt-LT"/>
              </w:rPr>
              <w:t xml:space="preserve"> skaičius</w:t>
            </w:r>
            <w:r>
              <w:rPr>
                <w:b/>
                <w:bCs/>
                <w:lang w:eastAsia="lt-LT"/>
              </w:rPr>
              <w:t xml:space="preserve"> 2009/2010 m.</w:t>
            </w:r>
          </w:p>
        </w:tc>
        <w:tc>
          <w:tcPr>
            <w:tcW w:w="0" w:type="auto"/>
          </w:tcPr>
          <w:p w:rsidR="00C07927" w:rsidRDefault="00C07927" w:rsidP="004F7425">
            <w:pPr>
              <w:jc w:val="center"/>
              <w:rPr>
                <w:b/>
                <w:bCs/>
                <w:lang w:eastAsia="lt-LT"/>
              </w:rPr>
            </w:pPr>
            <w:r w:rsidRPr="00883A36">
              <w:rPr>
                <w:b/>
                <w:bCs/>
                <w:lang w:eastAsia="lt-LT"/>
              </w:rPr>
              <w:t>Bendras nesimokančių</w:t>
            </w:r>
          </w:p>
          <w:p w:rsidR="00C07927" w:rsidRPr="00883A36" w:rsidRDefault="00C07927" w:rsidP="004F7425">
            <w:pPr>
              <w:jc w:val="center"/>
              <w:rPr>
                <w:b/>
                <w:bCs/>
                <w:lang w:eastAsia="lt-LT"/>
              </w:rPr>
            </w:pPr>
            <w:r w:rsidRPr="00883A36">
              <w:rPr>
                <w:b/>
                <w:bCs/>
                <w:lang w:eastAsia="lt-LT"/>
              </w:rPr>
              <w:t xml:space="preserve"> skaičius</w:t>
            </w:r>
            <w:r>
              <w:rPr>
                <w:b/>
                <w:bCs/>
                <w:lang w:eastAsia="lt-LT"/>
              </w:rPr>
              <w:t xml:space="preserve"> 2010/2011 m.</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w:t>
            </w:r>
          </w:p>
        </w:tc>
        <w:tc>
          <w:tcPr>
            <w:tcW w:w="0" w:type="auto"/>
            <w:vAlign w:val="center"/>
            <w:hideMark/>
          </w:tcPr>
          <w:p w:rsidR="00C07927" w:rsidRPr="00883A36" w:rsidRDefault="00C07927" w:rsidP="004F7425">
            <w:pPr>
              <w:rPr>
                <w:lang w:eastAsia="lt-LT"/>
              </w:rPr>
            </w:pPr>
            <w:r w:rsidRPr="00883A36">
              <w:rPr>
                <w:lang w:eastAsia="lt-LT"/>
              </w:rPr>
              <w:t>Akmenės</w:t>
            </w:r>
          </w:p>
        </w:tc>
        <w:tc>
          <w:tcPr>
            <w:tcW w:w="0" w:type="auto"/>
            <w:vAlign w:val="center"/>
            <w:hideMark/>
          </w:tcPr>
          <w:p w:rsidR="00C07927" w:rsidRPr="00883A36" w:rsidRDefault="00C07927" w:rsidP="004F7425">
            <w:pPr>
              <w:jc w:val="center"/>
              <w:rPr>
                <w:lang w:eastAsia="lt-LT"/>
              </w:rPr>
            </w:pPr>
            <w:r w:rsidRPr="00883A36">
              <w:rPr>
                <w:lang w:eastAsia="lt-LT"/>
              </w:rPr>
              <w:t>135</w:t>
            </w:r>
          </w:p>
        </w:tc>
        <w:tc>
          <w:tcPr>
            <w:tcW w:w="0" w:type="auto"/>
            <w:vAlign w:val="center"/>
          </w:tcPr>
          <w:p w:rsidR="00C07927" w:rsidRPr="00766C72" w:rsidRDefault="00C07927" w:rsidP="004F7425">
            <w:pPr>
              <w:jc w:val="center"/>
              <w:rPr>
                <w:lang w:eastAsia="lt-LT"/>
              </w:rPr>
            </w:pPr>
            <w:r w:rsidRPr="00766C72">
              <w:rPr>
                <w:lang w:eastAsia="lt-LT"/>
              </w:rPr>
              <w:t>106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w:t>
            </w:r>
          </w:p>
        </w:tc>
        <w:tc>
          <w:tcPr>
            <w:tcW w:w="0" w:type="auto"/>
            <w:vAlign w:val="center"/>
            <w:hideMark/>
          </w:tcPr>
          <w:p w:rsidR="00C07927" w:rsidRPr="00883A36" w:rsidRDefault="00C07927" w:rsidP="004F7425">
            <w:pPr>
              <w:rPr>
                <w:lang w:eastAsia="lt-LT"/>
              </w:rPr>
            </w:pPr>
            <w:r w:rsidRPr="00883A36">
              <w:rPr>
                <w:lang w:eastAsia="lt-LT"/>
              </w:rPr>
              <w:t>Alytaus m.</w:t>
            </w:r>
          </w:p>
        </w:tc>
        <w:tc>
          <w:tcPr>
            <w:tcW w:w="0" w:type="auto"/>
            <w:vAlign w:val="center"/>
            <w:hideMark/>
          </w:tcPr>
          <w:p w:rsidR="00C07927" w:rsidRPr="00883A36" w:rsidRDefault="00C07927" w:rsidP="004F7425">
            <w:pPr>
              <w:jc w:val="center"/>
              <w:rPr>
                <w:lang w:eastAsia="lt-LT"/>
              </w:rPr>
            </w:pPr>
            <w:r w:rsidRPr="00883A36">
              <w:rPr>
                <w:lang w:eastAsia="lt-LT"/>
              </w:rPr>
              <w:t>515</w:t>
            </w:r>
          </w:p>
        </w:tc>
        <w:tc>
          <w:tcPr>
            <w:tcW w:w="0" w:type="auto"/>
            <w:vAlign w:val="center"/>
          </w:tcPr>
          <w:p w:rsidR="00C07927" w:rsidRPr="00766C72" w:rsidRDefault="00C07927" w:rsidP="004F7425">
            <w:pPr>
              <w:jc w:val="center"/>
              <w:rPr>
                <w:lang w:eastAsia="lt-LT"/>
              </w:rPr>
            </w:pPr>
            <w:r w:rsidRPr="00766C72">
              <w:rPr>
                <w:lang w:eastAsia="lt-LT"/>
              </w:rPr>
              <w:t>421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w:t>
            </w:r>
          </w:p>
        </w:tc>
        <w:tc>
          <w:tcPr>
            <w:tcW w:w="0" w:type="auto"/>
            <w:vAlign w:val="center"/>
            <w:hideMark/>
          </w:tcPr>
          <w:p w:rsidR="00C07927" w:rsidRPr="00883A36" w:rsidRDefault="00C07927" w:rsidP="004F7425">
            <w:pPr>
              <w:rPr>
                <w:lang w:eastAsia="lt-LT"/>
              </w:rPr>
            </w:pPr>
            <w:r w:rsidRPr="00883A36">
              <w:rPr>
                <w:lang w:eastAsia="lt-LT"/>
              </w:rPr>
              <w:t>Alytaus r.</w:t>
            </w:r>
          </w:p>
        </w:tc>
        <w:tc>
          <w:tcPr>
            <w:tcW w:w="0" w:type="auto"/>
            <w:vAlign w:val="center"/>
            <w:hideMark/>
          </w:tcPr>
          <w:p w:rsidR="00C07927" w:rsidRPr="00883A36" w:rsidRDefault="00C07927" w:rsidP="004F7425">
            <w:pPr>
              <w:jc w:val="center"/>
              <w:rPr>
                <w:lang w:eastAsia="lt-LT"/>
              </w:rPr>
            </w:pPr>
            <w:r w:rsidRPr="00883A36">
              <w:rPr>
                <w:lang w:eastAsia="lt-LT"/>
              </w:rPr>
              <w:t>195</w:t>
            </w:r>
          </w:p>
        </w:tc>
        <w:tc>
          <w:tcPr>
            <w:tcW w:w="0" w:type="auto"/>
            <w:vAlign w:val="center"/>
          </w:tcPr>
          <w:p w:rsidR="00C07927" w:rsidRPr="00766C72" w:rsidRDefault="00C07927" w:rsidP="004F7425">
            <w:pPr>
              <w:jc w:val="center"/>
              <w:rPr>
                <w:lang w:eastAsia="lt-LT"/>
              </w:rPr>
            </w:pPr>
            <w:r w:rsidRPr="00766C72">
              <w:rPr>
                <w:lang w:eastAsia="lt-LT"/>
              </w:rPr>
              <w:t>150</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w:t>
            </w:r>
          </w:p>
        </w:tc>
        <w:tc>
          <w:tcPr>
            <w:tcW w:w="0" w:type="auto"/>
            <w:vAlign w:val="center"/>
            <w:hideMark/>
          </w:tcPr>
          <w:p w:rsidR="00C07927" w:rsidRPr="00883A36" w:rsidRDefault="00C07927" w:rsidP="004F7425">
            <w:pPr>
              <w:rPr>
                <w:lang w:eastAsia="lt-LT"/>
              </w:rPr>
            </w:pPr>
            <w:r w:rsidRPr="00883A36">
              <w:rPr>
                <w:lang w:eastAsia="lt-LT"/>
              </w:rPr>
              <w:t>Anykščių</w:t>
            </w:r>
          </w:p>
        </w:tc>
        <w:tc>
          <w:tcPr>
            <w:tcW w:w="0" w:type="auto"/>
            <w:vAlign w:val="center"/>
            <w:hideMark/>
          </w:tcPr>
          <w:p w:rsidR="00C07927" w:rsidRPr="00883A36" w:rsidRDefault="00C07927" w:rsidP="004F7425">
            <w:pPr>
              <w:jc w:val="center"/>
              <w:rPr>
                <w:lang w:eastAsia="lt-LT"/>
              </w:rPr>
            </w:pPr>
            <w:r w:rsidRPr="00883A36">
              <w:rPr>
                <w:lang w:eastAsia="lt-LT"/>
              </w:rPr>
              <w:t>80</w:t>
            </w:r>
          </w:p>
        </w:tc>
        <w:tc>
          <w:tcPr>
            <w:tcW w:w="0" w:type="auto"/>
            <w:vAlign w:val="center"/>
          </w:tcPr>
          <w:p w:rsidR="00C07927" w:rsidRPr="00766C72" w:rsidRDefault="00C07927" w:rsidP="004F7425">
            <w:pPr>
              <w:jc w:val="center"/>
              <w:rPr>
                <w:lang w:eastAsia="lt-LT"/>
              </w:rPr>
            </w:pPr>
            <w:r w:rsidRPr="00766C72">
              <w:rPr>
                <w:lang w:eastAsia="lt-LT"/>
              </w:rPr>
              <w:t>68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w:t>
            </w:r>
          </w:p>
        </w:tc>
        <w:tc>
          <w:tcPr>
            <w:tcW w:w="0" w:type="auto"/>
            <w:vAlign w:val="center"/>
            <w:hideMark/>
          </w:tcPr>
          <w:p w:rsidR="00C07927" w:rsidRPr="00883A36" w:rsidRDefault="00C07927" w:rsidP="004F7425">
            <w:pPr>
              <w:rPr>
                <w:lang w:eastAsia="lt-LT"/>
              </w:rPr>
            </w:pPr>
            <w:r w:rsidRPr="00883A36">
              <w:rPr>
                <w:lang w:eastAsia="lt-LT"/>
              </w:rPr>
              <w:t>Birštono</w:t>
            </w:r>
          </w:p>
        </w:tc>
        <w:tc>
          <w:tcPr>
            <w:tcW w:w="0" w:type="auto"/>
            <w:vAlign w:val="center"/>
            <w:hideMark/>
          </w:tcPr>
          <w:p w:rsidR="00C07927" w:rsidRPr="00883A36" w:rsidRDefault="00C07927" w:rsidP="004F7425">
            <w:pPr>
              <w:jc w:val="center"/>
              <w:rPr>
                <w:lang w:eastAsia="lt-LT"/>
              </w:rPr>
            </w:pPr>
            <w:r w:rsidRPr="00883A36">
              <w:rPr>
                <w:lang w:eastAsia="lt-LT"/>
              </w:rPr>
              <w:t>32</w:t>
            </w:r>
          </w:p>
        </w:tc>
        <w:tc>
          <w:tcPr>
            <w:tcW w:w="0" w:type="auto"/>
            <w:vAlign w:val="center"/>
          </w:tcPr>
          <w:p w:rsidR="00C07927" w:rsidRPr="00766C72" w:rsidRDefault="00C07927" w:rsidP="004F7425">
            <w:pPr>
              <w:jc w:val="center"/>
              <w:rPr>
                <w:lang w:eastAsia="lt-LT"/>
              </w:rPr>
            </w:pPr>
            <w:r w:rsidRPr="00766C72">
              <w:rPr>
                <w:lang w:eastAsia="lt-LT"/>
              </w:rPr>
              <w:t>29</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6</w:t>
            </w:r>
          </w:p>
        </w:tc>
        <w:tc>
          <w:tcPr>
            <w:tcW w:w="0" w:type="auto"/>
            <w:vAlign w:val="center"/>
            <w:hideMark/>
          </w:tcPr>
          <w:p w:rsidR="00C07927" w:rsidRPr="00883A36" w:rsidRDefault="00C07927" w:rsidP="004F7425">
            <w:pPr>
              <w:rPr>
                <w:lang w:eastAsia="lt-LT"/>
              </w:rPr>
            </w:pPr>
            <w:r w:rsidRPr="00883A36">
              <w:rPr>
                <w:lang w:eastAsia="lt-LT"/>
              </w:rPr>
              <w:t>Biržų</w:t>
            </w:r>
          </w:p>
        </w:tc>
        <w:tc>
          <w:tcPr>
            <w:tcW w:w="0" w:type="auto"/>
            <w:vAlign w:val="center"/>
            <w:hideMark/>
          </w:tcPr>
          <w:p w:rsidR="00C07927" w:rsidRPr="00883A36" w:rsidRDefault="00C07927" w:rsidP="004F7425">
            <w:pPr>
              <w:jc w:val="center"/>
              <w:rPr>
                <w:lang w:eastAsia="lt-LT"/>
              </w:rPr>
            </w:pPr>
            <w:r w:rsidRPr="00883A36">
              <w:rPr>
                <w:lang w:eastAsia="lt-LT"/>
              </w:rPr>
              <w:t>200</w:t>
            </w:r>
          </w:p>
        </w:tc>
        <w:tc>
          <w:tcPr>
            <w:tcW w:w="0" w:type="auto"/>
            <w:vAlign w:val="center"/>
          </w:tcPr>
          <w:p w:rsidR="00C07927" w:rsidRPr="00766C72" w:rsidRDefault="00C07927" w:rsidP="004F7425">
            <w:pPr>
              <w:jc w:val="center"/>
              <w:rPr>
                <w:lang w:eastAsia="lt-LT"/>
              </w:rPr>
            </w:pPr>
            <w:r w:rsidRPr="00766C72">
              <w:rPr>
                <w:lang w:eastAsia="lt-LT"/>
              </w:rPr>
              <w:t>196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7</w:t>
            </w:r>
          </w:p>
        </w:tc>
        <w:tc>
          <w:tcPr>
            <w:tcW w:w="0" w:type="auto"/>
            <w:vAlign w:val="center"/>
            <w:hideMark/>
          </w:tcPr>
          <w:p w:rsidR="00C07927" w:rsidRPr="00883A36" w:rsidRDefault="00C07927" w:rsidP="004F7425">
            <w:pPr>
              <w:rPr>
                <w:lang w:eastAsia="lt-LT"/>
              </w:rPr>
            </w:pPr>
            <w:r w:rsidRPr="00883A36">
              <w:rPr>
                <w:lang w:eastAsia="lt-LT"/>
              </w:rPr>
              <w:t>Druskininkų</w:t>
            </w:r>
          </w:p>
        </w:tc>
        <w:tc>
          <w:tcPr>
            <w:tcW w:w="0" w:type="auto"/>
            <w:vAlign w:val="center"/>
            <w:hideMark/>
          </w:tcPr>
          <w:p w:rsidR="00C07927" w:rsidRPr="00883A36" w:rsidRDefault="00C07927" w:rsidP="004F7425">
            <w:pPr>
              <w:jc w:val="center"/>
              <w:rPr>
                <w:lang w:eastAsia="lt-LT"/>
              </w:rPr>
            </w:pPr>
            <w:r w:rsidRPr="00883A36">
              <w:rPr>
                <w:lang w:eastAsia="lt-LT"/>
              </w:rPr>
              <w:t>81</w:t>
            </w:r>
          </w:p>
        </w:tc>
        <w:tc>
          <w:tcPr>
            <w:tcW w:w="0" w:type="auto"/>
            <w:vAlign w:val="center"/>
          </w:tcPr>
          <w:p w:rsidR="00C07927" w:rsidRPr="00766C72" w:rsidRDefault="00C07927" w:rsidP="004F7425">
            <w:pPr>
              <w:jc w:val="center"/>
              <w:rPr>
                <w:lang w:eastAsia="lt-LT"/>
              </w:rPr>
            </w:pPr>
            <w:r w:rsidRPr="00766C72">
              <w:rPr>
                <w:lang w:eastAsia="lt-LT"/>
              </w:rPr>
              <w:t>61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8</w:t>
            </w:r>
          </w:p>
        </w:tc>
        <w:tc>
          <w:tcPr>
            <w:tcW w:w="0" w:type="auto"/>
            <w:vAlign w:val="center"/>
            <w:hideMark/>
          </w:tcPr>
          <w:p w:rsidR="00C07927" w:rsidRPr="00883A36" w:rsidRDefault="00C07927" w:rsidP="004F7425">
            <w:pPr>
              <w:rPr>
                <w:lang w:eastAsia="lt-LT"/>
              </w:rPr>
            </w:pPr>
            <w:r w:rsidRPr="00883A36">
              <w:rPr>
                <w:lang w:eastAsia="lt-LT"/>
              </w:rPr>
              <w:t>Elektrėnų</w:t>
            </w:r>
          </w:p>
        </w:tc>
        <w:tc>
          <w:tcPr>
            <w:tcW w:w="0" w:type="auto"/>
            <w:vAlign w:val="center"/>
            <w:hideMark/>
          </w:tcPr>
          <w:p w:rsidR="00C07927" w:rsidRPr="00883A36" w:rsidRDefault="00C07927" w:rsidP="004F7425">
            <w:pPr>
              <w:jc w:val="center"/>
              <w:rPr>
                <w:lang w:eastAsia="lt-LT"/>
              </w:rPr>
            </w:pPr>
            <w:r w:rsidRPr="00883A36">
              <w:rPr>
                <w:lang w:eastAsia="lt-LT"/>
              </w:rPr>
              <w:t>105</w:t>
            </w:r>
          </w:p>
        </w:tc>
        <w:tc>
          <w:tcPr>
            <w:tcW w:w="0" w:type="auto"/>
            <w:vAlign w:val="center"/>
          </w:tcPr>
          <w:p w:rsidR="00C07927" w:rsidRPr="00766C72" w:rsidRDefault="00C07927" w:rsidP="004F7425">
            <w:pPr>
              <w:jc w:val="center"/>
              <w:rPr>
                <w:lang w:eastAsia="lt-LT"/>
              </w:rPr>
            </w:pPr>
            <w:r w:rsidRPr="00766C72">
              <w:rPr>
                <w:lang w:eastAsia="lt-LT"/>
              </w:rPr>
              <w:t>117</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9</w:t>
            </w:r>
          </w:p>
        </w:tc>
        <w:tc>
          <w:tcPr>
            <w:tcW w:w="0" w:type="auto"/>
            <w:vAlign w:val="center"/>
            <w:hideMark/>
          </w:tcPr>
          <w:p w:rsidR="00C07927" w:rsidRPr="00883A36" w:rsidRDefault="00C07927" w:rsidP="004F7425">
            <w:pPr>
              <w:rPr>
                <w:lang w:eastAsia="lt-LT"/>
              </w:rPr>
            </w:pPr>
            <w:r w:rsidRPr="00883A36">
              <w:rPr>
                <w:lang w:eastAsia="lt-LT"/>
              </w:rPr>
              <w:t>Ignalinos</w:t>
            </w:r>
          </w:p>
        </w:tc>
        <w:tc>
          <w:tcPr>
            <w:tcW w:w="0" w:type="auto"/>
            <w:vAlign w:val="center"/>
            <w:hideMark/>
          </w:tcPr>
          <w:p w:rsidR="00C07927" w:rsidRPr="00883A36" w:rsidRDefault="00C07927" w:rsidP="004F7425">
            <w:pPr>
              <w:jc w:val="center"/>
              <w:rPr>
                <w:lang w:eastAsia="lt-LT"/>
              </w:rPr>
            </w:pPr>
            <w:r w:rsidRPr="00883A36">
              <w:rPr>
                <w:lang w:eastAsia="lt-LT"/>
              </w:rPr>
              <w:t>42</w:t>
            </w:r>
          </w:p>
        </w:tc>
        <w:tc>
          <w:tcPr>
            <w:tcW w:w="0" w:type="auto"/>
            <w:vAlign w:val="center"/>
          </w:tcPr>
          <w:p w:rsidR="00C07927" w:rsidRPr="00766C72" w:rsidRDefault="00C07927" w:rsidP="004F7425">
            <w:pPr>
              <w:jc w:val="center"/>
              <w:rPr>
                <w:lang w:eastAsia="lt-LT"/>
              </w:rPr>
            </w:pPr>
            <w:r w:rsidRPr="00766C72">
              <w:rPr>
                <w:lang w:eastAsia="lt-LT"/>
              </w:rPr>
              <w:t>43</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10</w:t>
            </w:r>
          </w:p>
        </w:tc>
        <w:tc>
          <w:tcPr>
            <w:tcW w:w="0" w:type="auto"/>
            <w:vAlign w:val="center"/>
            <w:hideMark/>
          </w:tcPr>
          <w:p w:rsidR="00C07927" w:rsidRPr="00883A36" w:rsidRDefault="00C07927" w:rsidP="004F7425">
            <w:pPr>
              <w:rPr>
                <w:lang w:eastAsia="lt-LT"/>
              </w:rPr>
            </w:pPr>
            <w:r w:rsidRPr="00883A36">
              <w:rPr>
                <w:lang w:eastAsia="lt-LT"/>
              </w:rPr>
              <w:t>Jonavos</w:t>
            </w:r>
          </w:p>
        </w:tc>
        <w:tc>
          <w:tcPr>
            <w:tcW w:w="0" w:type="auto"/>
            <w:vAlign w:val="center"/>
            <w:hideMark/>
          </w:tcPr>
          <w:p w:rsidR="00C07927" w:rsidRPr="00883A36" w:rsidRDefault="00C07927" w:rsidP="004F7425">
            <w:pPr>
              <w:jc w:val="center"/>
              <w:rPr>
                <w:lang w:eastAsia="lt-LT"/>
              </w:rPr>
            </w:pPr>
            <w:r w:rsidRPr="00883A36">
              <w:rPr>
                <w:lang w:eastAsia="lt-LT"/>
              </w:rPr>
              <w:t>307</w:t>
            </w:r>
          </w:p>
        </w:tc>
        <w:tc>
          <w:tcPr>
            <w:tcW w:w="0" w:type="auto"/>
            <w:vAlign w:val="center"/>
          </w:tcPr>
          <w:p w:rsidR="00C07927" w:rsidRPr="00766C72" w:rsidRDefault="00C07927" w:rsidP="004F7425">
            <w:pPr>
              <w:jc w:val="center"/>
              <w:rPr>
                <w:lang w:eastAsia="lt-LT"/>
              </w:rPr>
            </w:pPr>
            <w:r w:rsidRPr="00766C72">
              <w:rPr>
                <w:lang w:eastAsia="lt-LT"/>
              </w:rPr>
              <w:t>314</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11</w:t>
            </w:r>
          </w:p>
        </w:tc>
        <w:tc>
          <w:tcPr>
            <w:tcW w:w="0" w:type="auto"/>
            <w:vAlign w:val="center"/>
            <w:hideMark/>
          </w:tcPr>
          <w:p w:rsidR="00C07927" w:rsidRPr="00883A36" w:rsidRDefault="00C07927" w:rsidP="004F7425">
            <w:pPr>
              <w:rPr>
                <w:lang w:eastAsia="lt-LT"/>
              </w:rPr>
            </w:pPr>
            <w:r w:rsidRPr="00883A36">
              <w:rPr>
                <w:lang w:eastAsia="lt-LT"/>
              </w:rPr>
              <w:t>Joniškio</w:t>
            </w:r>
          </w:p>
        </w:tc>
        <w:tc>
          <w:tcPr>
            <w:tcW w:w="0" w:type="auto"/>
            <w:vAlign w:val="center"/>
            <w:hideMark/>
          </w:tcPr>
          <w:p w:rsidR="00C07927" w:rsidRPr="00883A36" w:rsidRDefault="00C07927" w:rsidP="004F7425">
            <w:pPr>
              <w:jc w:val="center"/>
              <w:rPr>
                <w:lang w:eastAsia="lt-LT"/>
              </w:rPr>
            </w:pPr>
            <w:r w:rsidRPr="00883A36">
              <w:rPr>
                <w:lang w:eastAsia="lt-LT"/>
              </w:rPr>
              <w:t>95</w:t>
            </w:r>
          </w:p>
        </w:tc>
        <w:tc>
          <w:tcPr>
            <w:tcW w:w="0" w:type="auto"/>
            <w:vAlign w:val="center"/>
          </w:tcPr>
          <w:p w:rsidR="00C07927" w:rsidRPr="00766C72" w:rsidRDefault="00C07927" w:rsidP="004F7425">
            <w:pPr>
              <w:jc w:val="center"/>
              <w:rPr>
                <w:lang w:eastAsia="lt-LT"/>
              </w:rPr>
            </w:pPr>
            <w:r w:rsidRPr="00766C72">
              <w:rPr>
                <w:lang w:eastAsia="lt-LT"/>
              </w:rPr>
              <w:t>91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12</w:t>
            </w:r>
          </w:p>
        </w:tc>
        <w:tc>
          <w:tcPr>
            <w:tcW w:w="0" w:type="auto"/>
            <w:vAlign w:val="center"/>
            <w:hideMark/>
          </w:tcPr>
          <w:p w:rsidR="00C07927" w:rsidRPr="00883A36" w:rsidRDefault="00C07927" w:rsidP="004F7425">
            <w:pPr>
              <w:rPr>
                <w:lang w:eastAsia="lt-LT"/>
              </w:rPr>
            </w:pPr>
            <w:r w:rsidRPr="00883A36">
              <w:rPr>
                <w:lang w:eastAsia="lt-LT"/>
              </w:rPr>
              <w:t>Jurbarko</w:t>
            </w:r>
          </w:p>
        </w:tc>
        <w:tc>
          <w:tcPr>
            <w:tcW w:w="0" w:type="auto"/>
            <w:vAlign w:val="center"/>
            <w:hideMark/>
          </w:tcPr>
          <w:p w:rsidR="00C07927" w:rsidRPr="00883A36" w:rsidRDefault="00C07927" w:rsidP="004F7425">
            <w:pPr>
              <w:jc w:val="center"/>
              <w:rPr>
                <w:lang w:eastAsia="lt-LT"/>
              </w:rPr>
            </w:pPr>
            <w:r w:rsidRPr="00883A36">
              <w:rPr>
                <w:lang w:eastAsia="lt-LT"/>
              </w:rPr>
              <w:t>134</w:t>
            </w:r>
          </w:p>
        </w:tc>
        <w:tc>
          <w:tcPr>
            <w:tcW w:w="0" w:type="auto"/>
            <w:vAlign w:val="center"/>
          </w:tcPr>
          <w:p w:rsidR="00C07927" w:rsidRPr="00766C72" w:rsidRDefault="00C07927" w:rsidP="004F7425">
            <w:pPr>
              <w:jc w:val="center"/>
              <w:rPr>
                <w:lang w:eastAsia="lt-LT"/>
              </w:rPr>
            </w:pPr>
            <w:r w:rsidRPr="00766C72">
              <w:rPr>
                <w:lang w:eastAsia="lt-LT"/>
              </w:rPr>
              <w:t>115</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13</w:t>
            </w:r>
          </w:p>
        </w:tc>
        <w:tc>
          <w:tcPr>
            <w:tcW w:w="0" w:type="auto"/>
            <w:vAlign w:val="center"/>
            <w:hideMark/>
          </w:tcPr>
          <w:p w:rsidR="00C07927" w:rsidRPr="00883A36" w:rsidRDefault="00C07927" w:rsidP="004F7425">
            <w:pPr>
              <w:rPr>
                <w:lang w:eastAsia="lt-LT"/>
              </w:rPr>
            </w:pPr>
            <w:r w:rsidRPr="00883A36">
              <w:rPr>
                <w:lang w:eastAsia="lt-LT"/>
              </w:rPr>
              <w:t>Kaišiadorių</w:t>
            </w:r>
          </w:p>
        </w:tc>
        <w:tc>
          <w:tcPr>
            <w:tcW w:w="0" w:type="auto"/>
            <w:vAlign w:val="center"/>
            <w:hideMark/>
          </w:tcPr>
          <w:p w:rsidR="00C07927" w:rsidRPr="00883A36" w:rsidRDefault="00C07927" w:rsidP="004F7425">
            <w:pPr>
              <w:jc w:val="center"/>
              <w:rPr>
                <w:lang w:eastAsia="lt-LT"/>
              </w:rPr>
            </w:pPr>
            <w:r w:rsidRPr="00883A36">
              <w:rPr>
                <w:lang w:eastAsia="lt-LT"/>
              </w:rPr>
              <w:t>110</w:t>
            </w:r>
          </w:p>
        </w:tc>
        <w:tc>
          <w:tcPr>
            <w:tcW w:w="0" w:type="auto"/>
            <w:vAlign w:val="center"/>
          </w:tcPr>
          <w:p w:rsidR="00C07927" w:rsidRPr="00766C72" w:rsidRDefault="00C07927" w:rsidP="004F7425">
            <w:pPr>
              <w:jc w:val="center"/>
              <w:rPr>
                <w:lang w:eastAsia="lt-LT"/>
              </w:rPr>
            </w:pPr>
            <w:r w:rsidRPr="00766C72">
              <w:rPr>
                <w:lang w:eastAsia="lt-LT"/>
              </w:rPr>
              <w:t>102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14</w:t>
            </w:r>
          </w:p>
        </w:tc>
        <w:tc>
          <w:tcPr>
            <w:tcW w:w="0" w:type="auto"/>
            <w:vAlign w:val="center"/>
            <w:hideMark/>
          </w:tcPr>
          <w:p w:rsidR="00C07927" w:rsidRPr="00883A36" w:rsidRDefault="00C07927" w:rsidP="004F7425">
            <w:pPr>
              <w:rPr>
                <w:lang w:eastAsia="lt-LT"/>
              </w:rPr>
            </w:pPr>
            <w:r w:rsidRPr="00883A36">
              <w:rPr>
                <w:lang w:eastAsia="lt-LT"/>
              </w:rPr>
              <w:t>Kalvarijos</w:t>
            </w:r>
          </w:p>
        </w:tc>
        <w:tc>
          <w:tcPr>
            <w:tcW w:w="0" w:type="auto"/>
            <w:vAlign w:val="center"/>
            <w:hideMark/>
          </w:tcPr>
          <w:p w:rsidR="00C07927" w:rsidRPr="00883A36" w:rsidRDefault="00C07927" w:rsidP="004F7425">
            <w:pPr>
              <w:jc w:val="center"/>
              <w:rPr>
                <w:lang w:eastAsia="lt-LT"/>
              </w:rPr>
            </w:pPr>
            <w:r w:rsidRPr="00883A36">
              <w:rPr>
                <w:lang w:eastAsia="lt-LT"/>
              </w:rPr>
              <w:t>43</w:t>
            </w:r>
          </w:p>
        </w:tc>
        <w:tc>
          <w:tcPr>
            <w:tcW w:w="0" w:type="auto"/>
            <w:vAlign w:val="center"/>
          </w:tcPr>
          <w:p w:rsidR="00C07927" w:rsidRPr="00766C72" w:rsidRDefault="00C07927" w:rsidP="004F7425">
            <w:pPr>
              <w:jc w:val="center"/>
              <w:rPr>
                <w:lang w:eastAsia="lt-LT"/>
              </w:rPr>
            </w:pPr>
            <w:r w:rsidRPr="00766C72">
              <w:rPr>
                <w:lang w:eastAsia="lt-LT"/>
              </w:rPr>
              <w:t>52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15</w:t>
            </w:r>
          </w:p>
        </w:tc>
        <w:tc>
          <w:tcPr>
            <w:tcW w:w="0" w:type="auto"/>
            <w:vAlign w:val="center"/>
            <w:hideMark/>
          </w:tcPr>
          <w:p w:rsidR="00C07927" w:rsidRPr="00883A36" w:rsidRDefault="00C07927" w:rsidP="004F7425">
            <w:pPr>
              <w:rPr>
                <w:lang w:eastAsia="lt-LT"/>
              </w:rPr>
            </w:pPr>
            <w:r w:rsidRPr="00883A36">
              <w:rPr>
                <w:lang w:eastAsia="lt-LT"/>
              </w:rPr>
              <w:t>Kauno m.</w:t>
            </w:r>
          </w:p>
        </w:tc>
        <w:tc>
          <w:tcPr>
            <w:tcW w:w="0" w:type="auto"/>
            <w:vAlign w:val="center"/>
            <w:hideMark/>
          </w:tcPr>
          <w:p w:rsidR="00C07927" w:rsidRPr="00883A36" w:rsidRDefault="00C07927" w:rsidP="004F7425">
            <w:pPr>
              <w:jc w:val="center"/>
              <w:rPr>
                <w:lang w:eastAsia="lt-LT"/>
              </w:rPr>
            </w:pPr>
            <w:r w:rsidRPr="00883A36">
              <w:rPr>
                <w:lang w:eastAsia="lt-LT"/>
              </w:rPr>
              <w:t>2134</w:t>
            </w:r>
          </w:p>
        </w:tc>
        <w:tc>
          <w:tcPr>
            <w:tcW w:w="0" w:type="auto"/>
            <w:vAlign w:val="center"/>
          </w:tcPr>
          <w:p w:rsidR="00C07927" w:rsidRPr="00766C72" w:rsidRDefault="00C07927" w:rsidP="004F7425">
            <w:pPr>
              <w:jc w:val="center"/>
              <w:rPr>
                <w:lang w:eastAsia="lt-LT"/>
              </w:rPr>
            </w:pPr>
            <w:r w:rsidRPr="00766C72">
              <w:rPr>
                <w:lang w:eastAsia="lt-LT"/>
              </w:rPr>
              <w:t>1778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16</w:t>
            </w:r>
          </w:p>
        </w:tc>
        <w:tc>
          <w:tcPr>
            <w:tcW w:w="0" w:type="auto"/>
            <w:vAlign w:val="center"/>
            <w:hideMark/>
          </w:tcPr>
          <w:p w:rsidR="00C07927" w:rsidRPr="00883A36" w:rsidRDefault="00C07927" w:rsidP="004F7425">
            <w:pPr>
              <w:rPr>
                <w:lang w:eastAsia="lt-LT"/>
              </w:rPr>
            </w:pPr>
            <w:r w:rsidRPr="00883A36">
              <w:rPr>
                <w:lang w:eastAsia="lt-LT"/>
              </w:rPr>
              <w:t>Kauno r.</w:t>
            </w:r>
          </w:p>
        </w:tc>
        <w:tc>
          <w:tcPr>
            <w:tcW w:w="0" w:type="auto"/>
            <w:vAlign w:val="center"/>
            <w:hideMark/>
          </w:tcPr>
          <w:p w:rsidR="00C07927" w:rsidRPr="00883A36" w:rsidRDefault="00C07927" w:rsidP="004F7425">
            <w:pPr>
              <w:jc w:val="center"/>
              <w:rPr>
                <w:lang w:eastAsia="lt-LT"/>
              </w:rPr>
            </w:pPr>
            <w:r w:rsidRPr="00883A36">
              <w:rPr>
                <w:lang w:eastAsia="lt-LT"/>
              </w:rPr>
              <w:t>502</w:t>
            </w:r>
          </w:p>
        </w:tc>
        <w:tc>
          <w:tcPr>
            <w:tcW w:w="0" w:type="auto"/>
            <w:vAlign w:val="center"/>
          </w:tcPr>
          <w:p w:rsidR="00C07927" w:rsidRPr="00766C72" w:rsidRDefault="00C07927" w:rsidP="004F7425">
            <w:pPr>
              <w:jc w:val="center"/>
              <w:rPr>
                <w:lang w:eastAsia="lt-LT"/>
              </w:rPr>
            </w:pPr>
            <w:r w:rsidRPr="00766C72">
              <w:rPr>
                <w:lang w:eastAsia="lt-LT"/>
              </w:rPr>
              <w:t>419</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17</w:t>
            </w:r>
          </w:p>
        </w:tc>
        <w:tc>
          <w:tcPr>
            <w:tcW w:w="0" w:type="auto"/>
            <w:vAlign w:val="center"/>
            <w:hideMark/>
          </w:tcPr>
          <w:p w:rsidR="00C07927" w:rsidRPr="00883A36" w:rsidRDefault="00C07927" w:rsidP="004F7425">
            <w:pPr>
              <w:rPr>
                <w:lang w:eastAsia="lt-LT"/>
              </w:rPr>
            </w:pPr>
            <w:r w:rsidRPr="00883A36">
              <w:rPr>
                <w:lang w:eastAsia="lt-LT"/>
              </w:rPr>
              <w:t>Kazlų Rūdos</w:t>
            </w:r>
          </w:p>
        </w:tc>
        <w:tc>
          <w:tcPr>
            <w:tcW w:w="0" w:type="auto"/>
            <w:vAlign w:val="center"/>
            <w:hideMark/>
          </w:tcPr>
          <w:p w:rsidR="00C07927" w:rsidRPr="00883A36" w:rsidRDefault="00C07927" w:rsidP="004F7425">
            <w:pPr>
              <w:jc w:val="center"/>
              <w:rPr>
                <w:lang w:eastAsia="lt-LT"/>
              </w:rPr>
            </w:pPr>
            <w:r w:rsidRPr="00883A36">
              <w:rPr>
                <w:lang w:eastAsia="lt-LT"/>
              </w:rPr>
              <w:t>59</w:t>
            </w:r>
          </w:p>
        </w:tc>
        <w:tc>
          <w:tcPr>
            <w:tcW w:w="0" w:type="auto"/>
            <w:vAlign w:val="center"/>
          </w:tcPr>
          <w:p w:rsidR="00C07927" w:rsidRPr="00766C72" w:rsidRDefault="00C07927" w:rsidP="004F7425">
            <w:pPr>
              <w:jc w:val="center"/>
              <w:rPr>
                <w:lang w:eastAsia="lt-LT"/>
              </w:rPr>
            </w:pPr>
            <w:r w:rsidRPr="00766C72">
              <w:rPr>
                <w:lang w:eastAsia="lt-LT"/>
              </w:rPr>
              <w:t>54</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18</w:t>
            </w:r>
          </w:p>
        </w:tc>
        <w:tc>
          <w:tcPr>
            <w:tcW w:w="0" w:type="auto"/>
            <w:vAlign w:val="center"/>
            <w:hideMark/>
          </w:tcPr>
          <w:p w:rsidR="00C07927" w:rsidRPr="00883A36" w:rsidRDefault="00C07927" w:rsidP="004F7425">
            <w:pPr>
              <w:rPr>
                <w:lang w:eastAsia="lt-LT"/>
              </w:rPr>
            </w:pPr>
            <w:r w:rsidRPr="00883A36">
              <w:rPr>
                <w:lang w:eastAsia="lt-LT"/>
              </w:rPr>
              <w:t>Kelmės</w:t>
            </w:r>
          </w:p>
        </w:tc>
        <w:tc>
          <w:tcPr>
            <w:tcW w:w="0" w:type="auto"/>
            <w:vAlign w:val="center"/>
            <w:hideMark/>
          </w:tcPr>
          <w:p w:rsidR="00C07927" w:rsidRPr="00883A36" w:rsidRDefault="00C07927" w:rsidP="004F7425">
            <w:pPr>
              <w:jc w:val="center"/>
              <w:rPr>
                <w:lang w:eastAsia="lt-LT"/>
              </w:rPr>
            </w:pPr>
            <w:r w:rsidRPr="00883A36">
              <w:rPr>
                <w:lang w:eastAsia="lt-LT"/>
              </w:rPr>
              <w:t>165</w:t>
            </w:r>
          </w:p>
        </w:tc>
        <w:tc>
          <w:tcPr>
            <w:tcW w:w="0" w:type="auto"/>
            <w:vAlign w:val="center"/>
          </w:tcPr>
          <w:p w:rsidR="00C07927" w:rsidRPr="00766C72" w:rsidRDefault="00C07927" w:rsidP="004F7425">
            <w:pPr>
              <w:jc w:val="center"/>
              <w:rPr>
                <w:lang w:eastAsia="lt-LT"/>
              </w:rPr>
            </w:pPr>
            <w:r w:rsidRPr="00766C72">
              <w:rPr>
                <w:lang w:eastAsia="lt-LT"/>
              </w:rPr>
              <w:t>115</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19</w:t>
            </w:r>
          </w:p>
        </w:tc>
        <w:tc>
          <w:tcPr>
            <w:tcW w:w="0" w:type="auto"/>
            <w:vAlign w:val="center"/>
            <w:hideMark/>
          </w:tcPr>
          <w:p w:rsidR="00C07927" w:rsidRPr="00883A36" w:rsidRDefault="00C07927" w:rsidP="004F7425">
            <w:pPr>
              <w:rPr>
                <w:lang w:eastAsia="lt-LT"/>
              </w:rPr>
            </w:pPr>
            <w:r w:rsidRPr="00883A36">
              <w:rPr>
                <w:lang w:eastAsia="lt-LT"/>
              </w:rPr>
              <w:t>Kėdainių</w:t>
            </w:r>
          </w:p>
        </w:tc>
        <w:tc>
          <w:tcPr>
            <w:tcW w:w="0" w:type="auto"/>
            <w:vAlign w:val="center"/>
            <w:hideMark/>
          </w:tcPr>
          <w:p w:rsidR="00C07927" w:rsidRPr="00883A36" w:rsidRDefault="00C07927" w:rsidP="004F7425">
            <w:pPr>
              <w:jc w:val="center"/>
              <w:rPr>
                <w:lang w:eastAsia="lt-LT"/>
              </w:rPr>
            </w:pPr>
            <w:r w:rsidRPr="00883A36">
              <w:rPr>
                <w:lang w:eastAsia="lt-LT"/>
              </w:rPr>
              <w:t>266</w:t>
            </w:r>
          </w:p>
        </w:tc>
        <w:tc>
          <w:tcPr>
            <w:tcW w:w="0" w:type="auto"/>
            <w:vAlign w:val="center"/>
          </w:tcPr>
          <w:p w:rsidR="00C07927" w:rsidRPr="00766C72" w:rsidRDefault="00C07927" w:rsidP="004F7425">
            <w:pPr>
              <w:jc w:val="center"/>
              <w:rPr>
                <w:lang w:eastAsia="lt-LT"/>
              </w:rPr>
            </w:pPr>
            <w:r w:rsidRPr="00766C72">
              <w:rPr>
                <w:lang w:eastAsia="lt-LT"/>
              </w:rPr>
              <w:t>265</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20</w:t>
            </w:r>
          </w:p>
        </w:tc>
        <w:tc>
          <w:tcPr>
            <w:tcW w:w="0" w:type="auto"/>
            <w:vAlign w:val="center"/>
            <w:hideMark/>
          </w:tcPr>
          <w:p w:rsidR="00C07927" w:rsidRPr="00883A36" w:rsidRDefault="00C07927" w:rsidP="004F7425">
            <w:pPr>
              <w:rPr>
                <w:lang w:eastAsia="lt-LT"/>
              </w:rPr>
            </w:pPr>
            <w:r w:rsidRPr="00883A36">
              <w:rPr>
                <w:lang w:eastAsia="lt-LT"/>
              </w:rPr>
              <w:t>Klaipėdos m.</w:t>
            </w:r>
          </w:p>
        </w:tc>
        <w:tc>
          <w:tcPr>
            <w:tcW w:w="0" w:type="auto"/>
            <w:vAlign w:val="center"/>
            <w:hideMark/>
          </w:tcPr>
          <w:p w:rsidR="00C07927" w:rsidRPr="00883A36" w:rsidRDefault="00C07927" w:rsidP="004F7425">
            <w:pPr>
              <w:jc w:val="center"/>
              <w:rPr>
                <w:lang w:eastAsia="lt-LT"/>
              </w:rPr>
            </w:pPr>
            <w:r w:rsidRPr="00883A36">
              <w:rPr>
                <w:lang w:eastAsia="lt-LT"/>
              </w:rPr>
              <w:t>1138</w:t>
            </w:r>
          </w:p>
        </w:tc>
        <w:tc>
          <w:tcPr>
            <w:tcW w:w="0" w:type="auto"/>
            <w:vAlign w:val="center"/>
          </w:tcPr>
          <w:p w:rsidR="00C07927" w:rsidRPr="00766C72" w:rsidRDefault="00C07927" w:rsidP="004F7425">
            <w:pPr>
              <w:jc w:val="center"/>
              <w:rPr>
                <w:lang w:eastAsia="lt-LT"/>
              </w:rPr>
            </w:pPr>
            <w:r w:rsidRPr="00766C72">
              <w:rPr>
                <w:lang w:eastAsia="lt-LT"/>
              </w:rPr>
              <w:t>985</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21</w:t>
            </w:r>
          </w:p>
        </w:tc>
        <w:tc>
          <w:tcPr>
            <w:tcW w:w="0" w:type="auto"/>
            <w:vAlign w:val="center"/>
            <w:hideMark/>
          </w:tcPr>
          <w:p w:rsidR="00C07927" w:rsidRPr="00883A36" w:rsidRDefault="00C07927" w:rsidP="004F7425">
            <w:pPr>
              <w:rPr>
                <w:lang w:eastAsia="lt-LT"/>
              </w:rPr>
            </w:pPr>
            <w:r w:rsidRPr="00883A36">
              <w:rPr>
                <w:lang w:eastAsia="lt-LT"/>
              </w:rPr>
              <w:t>Klaipėdos r.</w:t>
            </w:r>
          </w:p>
        </w:tc>
        <w:tc>
          <w:tcPr>
            <w:tcW w:w="0" w:type="auto"/>
            <w:vAlign w:val="center"/>
            <w:hideMark/>
          </w:tcPr>
          <w:p w:rsidR="00C07927" w:rsidRPr="00883A36" w:rsidRDefault="00C07927" w:rsidP="004F7425">
            <w:pPr>
              <w:jc w:val="center"/>
              <w:rPr>
                <w:lang w:eastAsia="lt-LT"/>
              </w:rPr>
            </w:pPr>
            <w:r w:rsidRPr="00883A36">
              <w:rPr>
                <w:lang w:eastAsia="lt-LT"/>
              </w:rPr>
              <w:t>256</w:t>
            </w:r>
          </w:p>
        </w:tc>
        <w:tc>
          <w:tcPr>
            <w:tcW w:w="0" w:type="auto"/>
            <w:vAlign w:val="center"/>
          </w:tcPr>
          <w:p w:rsidR="00C07927" w:rsidRPr="00766C72" w:rsidRDefault="00C07927" w:rsidP="004F7425">
            <w:pPr>
              <w:jc w:val="center"/>
              <w:rPr>
                <w:lang w:eastAsia="lt-LT"/>
              </w:rPr>
            </w:pPr>
            <w:r w:rsidRPr="00766C72">
              <w:rPr>
                <w:lang w:eastAsia="lt-LT"/>
              </w:rPr>
              <w:t>283</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22</w:t>
            </w:r>
          </w:p>
        </w:tc>
        <w:tc>
          <w:tcPr>
            <w:tcW w:w="0" w:type="auto"/>
            <w:vAlign w:val="center"/>
            <w:hideMark/>
          </w:tcPr>
          <w:p w:rsidR="00C07927" w:rsidRPr="00883A36" w:rsidRDefault="00C07927" w:rsidP="004F7425">
            <w:pPr>
              <w:rPr>
                <w:lang w:eastAsia="lt-LT"/>
              </w:rPr>
            </w:pPr>
            <w:r w:rsidRPr="00883A36">
              <w:rPr>
                <w:lang w:eastAsia="lt-LT"/>
              </w:rPr>
              <w:t>Kretingos</w:t>
            </w:r>
          </w:p>
        </w:tc>
        <w:tc>
          <w:tcPr>
            <w:tcW w:w="0" w:type="auto"/>
            <w:vAlign w:val="center"/>
            <w:hideMark/>
          </w:tcPr>
          <w:p w:rsidR="00C07927" w:rsidRPr="00883A36" w:rsidRDefault="00C07927" w:rsidP="004F7425">
            <w:pPr>
              <w:jc w:val="center"/>
              <w:rPr>
                <w:lang w:eastAsia="lt-LT"/>
              </w:rPr>
            </w:pPr>
            <w:r w:rsidRPr="00883A36">
              <w:rPr>
                <w:lang w:eastAsia="lt-LT"/>
              </w:rPr>
              <w:t>141</w:t>
            </w:r>
          </w:p>
        </w:tc>
        <w:tc>
          <w:tcPr>
            <w:tcW w:w="0" w:type="auto"/>
            <w:vAlign w:val="center"/>
          </w:tcPr>
          <w:p w:rsidR="00C07927" w:rsidRPr="00766C72" w:rsidRDefault="00C07927" w:rsidP="004F7425">
            <w:pPr>
              <w:jc w:val="center"/>
              <w:rPr>
                <w:lang w:eastAsia="lt-LT"/>
              </w:rPr>
            </w:pPr>
            <w:r w:rsidRPr="00766C72">
              <w:rPr>
                <w:lang w:eastAsia="lt-LT"/>
              </w:rPr>
              <w:t>146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23</w:t>
            </w:r>
          </w:p>
        </w:tc>
        <w:tc>
          <w:tcPr>
            <w:tcW w:w="0" w:type="auto"/>
            <w:vAlign w:val="center"/>
            <w:hideMark/>
          </w:tcPr>
          <w:p w:rsidR="00C07927" w:rsidRPr="00883A36" w:rsidRDefault="00C07927" w:rsidP="004F7425">
            <w:pPr>
              <w:rPr>
                <w:lang w:eastAsia="lt-LT"/>
              </w:rPr>
            </w:pPr>
            <w:r w:rsidRPr="00883A36">
              <w:rPr>
                <w:lang w:eastAsia="lt-LT"/>
              </w:rPr>
              <w:t>Kupiškio</w:t>
            </w:r>
          </w:p>
        </w:tc>
        <w:tc>
          <w:tcPr>
            <w:tcW w:w="0" w:type="auto"/>
            <w:vAlign w:val="center"/>
            <w:hideMark/>
          </w:tcPr>
          <w:p w:rsidR="00C07927" w:rsidRPr="00883A36" w:rsidRDefault="00C07927" w:rsidP="004F7425">
            <w:pPr>
              <w:jc w:val="center"/>
              <w:rPr>
                <w:lang w:eastAsia="lt-LT"/>
              </w:rPr>
            </w:pPr>
            <w:r w:rsidRPr="00883A36">
              <w:rPr>
                <w:lang w:eastAsia="lt-LT"/>
              </w:rPr>
              <w:t>50</w:t>
            </w:r>
          </w:p>
        </w:tc>
        <w:tc>
          <w:tcPr>
            <w:tcW w:w="0" w:type="auto"/>
            <w:vAlign w:val="center"/>
          </w:tcPr>
          <w:p w:rsidR="00C07927" w:rsidRPr="00766C72" w:rsidRDefault="00C07927" w:rsidP="004F7425">
            <w:pPr>
              <w:jc w:val="center"/>
              <w:rPr>
                <w:lang w:eastAsia="lt-LT"/>
              </w:rPr>
            </w:pPr>
            <w:r w:rsidRPr="00766C72">
              <w:rPr>
                <w:lang w:eastAsia="lt-LT"/>
              </w:rPr>
              <w:t>51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24</w:t>
            </w:r>
          </w:p>
        </w:tc>
        <w:tc>
          <w:tcPr>
            <w:tcW w:w="0" w:type="auto"/>
            <w:vAlign w:val="center"/>
            <w:hideMark/>
          </w:tcPr>
          <w:p w:rsidR="00C07927" w:rsidRPr="00883A36" w:rsidRDefault="00C07927" w:rsidP="004F7425">
            <w:pPr>
              <w:rPr>
                <w:lang w:eastAsia="lt-LT"/>
              </w:rPr>
            </w:pPr>
            <w:r w:rsidRPr="00883A36">
              <w:rPr>
                <w:lang w:eastAsia="lt-LT"/>
              </w:rPr>
              <w:t>Lazdijų</w:t>
            </w:r>
          </w:p>
        </w:tc>
        <w:tc>
          <w:tcPr>
            <w:tcW w:w="0" w:type="auto"/>
            <w:vAlign w:val="center"/>
            <w:hideMark/>
          </w:tcPr>
          <w:p w:rsidR="00C07927" w:rsidRPr="00883A36" w:rsidRDefault="00C07927" w:rsidP="004F7425">
            <w:pPr>
              <w:jc w:val="center"/>
              <w:rPr>
                <w:lang w:eastAsia="lt-LT"/>
              </w:rPr>
            </w:pPr>
            <w:r w:rsidRPr="00883A36">
              <w:rPr>
                <w:lang w:eastAsia="lt-LT"/>
              </w:rPr>
              <w:t>77</w:t>
            </w:r>
          </w:p>
        </w:tc>
        <w:tc>
          <w:tcPr>
            <w:tcW w:w="0" w:type="auto"/>
            <w:vAlign w:val="center"/>
          </w:tcPr>
          <w:p w:rsidR="00C07927" w:rsidRPr="00766C72" w:rsidRDefault="00C07927" w:rsidP="004F7425">
            <w:pPr>
              <w:jc w:val="center"/>
              <w:rPr>
                <w:lang w:eastAsia="lt-LT"/>
              </w:rPr>
            </w:pPr>
            <w:r w:rsidRPr="00766C72">
              <w:rPr>
                <w:lang w:eastAsia="lt-LT"/>
              </w:rPr>
              <w:t>83 </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25</w:t>
            </w:r>
          </w:p>
        </w:tc>
        <w:tc>
          <w:tcPr>
            <w:tcW w:w="0" w:type="auto"/>
            <w:vAlign w:val="center"/>
            <w:hideMark/>
          </w:tcPr>
          <w:p w:rsidR="00C07927" w:rsidRPr="00883A36" w:rsidRDefault="00C07927" w:rsidP="004F7425">
            <w:pPr>
              <w:rPr>
                <w:lang w:eastAsia="lt-LT"/>
              </w:rPr>
            </w:pPr>
            <w:r w:rsidRPr="00883A36">
              <w:rPr>
                <w:lang w:eastAsia="lt-LT"/>
              </w:rPr>
              <w:t>Marijampolės</w:t>
            </w:r>
          </w:p>
        </w:tc>
        <w:tc>
          <w:tcPr>
            <w:tcW w:w="0" w:type="auto"/>
            <w:vAlign w:val="center"/>
            <w:hideMark/>
          </w:tcPr>
          <w:p w:rsidR="00C07927" w:rsidRPr="00883A36" w:rsidRDefault="00C07927" w:rsidP="004F7425">
            <w:pPr>
              <w:jc w:val="center"/>
              <w:rPr>
                <w:lang w:eastAsia="lt-LT"/>
              </w:rPr>
            </w:pPr>
            <w:r w:rsidRPr="00883A36">
              <w:rPr>
                <w:lang w:eastAsia="lt-LT"/>
              </w:rPr>
              <w:t>367</w:t>
            </w:r>
          </w:p>
        </w:tc>
        <w:tc>
          <w:tcPr>
            <w:tcW w:w="0" w:type="auto"/>
            <w:vAlign w:val="center"/>
          </w:tcPr>
          <w:p w:rsidR="00C07927" w:rsidRPr="00766C72" w:rsidRDefault="00C07927" w:rsidP="004F7425">
            <w:pPr>
              <w:jc w:val="center"/>
              <w:rPr>
                <w:lang w:eastAsia="lt-LT"/>
              </w:rPr>
            </w:pPr>
            <w:r w:rsidRPr="00766C72">
              <w:rPr>
                <w:lang w:eastAsia="lt-LT"/>
              </w:rPr>
              <w:t>422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26</w:t>
            </w:r>
          </w:p>
        </w:tc>
        <w:tc>
          <w:tcPr>
            <w:tcW w:w="0" w:type="auto"/>
            <w:vAlign w:val="center"/>
            <w:hideMark/>
          </w:tcPr>
          <w:p w:rsidR="00C07927" w:rsidRPr="00883A36" w:rsidRDefault="00C07927" w:rsidP="004F7425">
            <w:pPr>
              <w:rPr>
                <w:lang w:eastAsia="lt-LT"/>
              </w:rPr>
            </w:pPr>
            <w:r w:rsidRPr="00883A36">
              <w:rPr>
                <w:lang w:eastAsia="lt-LT"/>
              </w:rPr>
              <w:t>Mažeikių</w:t>
            </w:r>
          </w:p>
        </w:tc>
        <w:tc>
          <w:tcPr>
            <w:tcW w:w="0" w:type="auto"/>
            <w:vAlign w:val="center"/>
            <w:hideMark/>
          </w:tcPr>
          <w:p w:rsidR="00C07927" w:rsidRPr="00883A36" w:rsidRDefault="00C07927" w:rsidP="004F7425">
            <w:pPr>
              <w:jc w:val="center"/>
              <w:rPr>
                <w:lang w:eastAsia="lt-LT"/>
              </w:rPr>
            </w:pPr>
            <w:r w:rsidRPr="00883A36">
              <w:rPr>
                <w:lang w:eastAsia="lt-LT"/>
              </w:rPr>
              <w:t>308</w:t>
            </w:r>
          </w:p>
        </w:tc>
        <w:tc>
          <w:tcPr>
            <w:tcW w:w="0" w:type="auto"/>
            <w:vAlign w:val="center"/>
          </w:tcPr>
          <w:p w:rsidR="00C07927" w:rsidRPr="00766C72" w:rsidRDefault="00C07927" w:rsidP="004F7425">
            <w:pPr>
              <w:jc w:val="center"/>
              <w:rPr>
                <w:lang w:eastAsia="lt-LT"/>
              </w:rPr>
            </w:pPr>
            <w:r w:rsidRPr="00766C72">
              <w:rPr>
                <w:lang w:eastAsia="lt-LT"/>
              </w:rPr>
              <w:t>279</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27</w:t>
            </w:r>
          </w:p>
        </w:tc>
        <w:tc>
          <w:tcPr>
            <w:tcW w:w="0" w:type="auto"/>
            <w:vAlign w:val="center"/>
            <w:hideMark/>
          </w:tcPr>
          <w:p w:rsidR="00C07927" w:rsidRPr="00883A36" w:rsidRDefault="00C07927" w:rsidP="004F7425">
            <w:pPr>
              <w:rPr>
                <w:lang w:eastAsia="lt-LT"/>
              </w:rPr>
            </w:pPr>
            <w:r w:rsidRPr="00883A36">
              <w:rPr>
                <w:lang w:eastAsia="lt-LT"/>
              </w:rPr>
              <w:t>Molėtų</w:t>
            </w:r>
          </w:p>
        </w:tc>
        <w:tc>
          <w:tcPr>
            <w:tcW w:w="0" w:type="auto"/>
            <w:vAlign w:val="center"/>
            <w:hideMark/>
          </w:tcPr>
          <w:p w:rsidR="00C07927" w:rsidRPr="00883A36" w:rsidRDefault="00C07927" w:rsidP="004F7425">
            <w:pPr>
              <w:jc w:val="center"/>
              <w:rPr>
                <w:lang w:eastAsia="lt-LT"/>
              </w:rPr>
            </w:pPr>
            <w:r w:rsidRPr="00883A36">
              <w:rPr>
                <w:lang w:eastAsia="lt-LT"/>
              </w:rPr>
              <w:t>22</w:t>
            </w:r>
          </w:p>
        </w:tc>
        <w:tc>
          <w:tcPr>
            <w:tcW w:w="0" w:type="auto"/>
            <w:vAlign w:val="center"/>
          </w:tcPr>
          <w:p w:rsidR="00C07927" w:rsidRPr="00766C72" w:rsidRDefault="00C07927" w:rsidP="004F7425">
            <w:pPr>
              <w:jc w:val="center"/>
              <w:rPr>
                <w:lang w:eastAsia="lt-LT"/>
              </w:rPr>
            </w:pPr>
            <w:r w:rsidRPr="00766C72">
              <w:rPr>
                <w:lang w:eastAsia="lt-LT"/>
              </w:rPr>
              <w:t>36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lastRenderedPageBreak/>
              <w:t>28</w:t>
            </w:r>
          </w:p>
        </w:tc>
        <w:tc>
          <w:tcPr>
            <w:tcW w:w="0" w:type="auto"/>
            <w:vAlign w:val="center"/>
            <w:hideMark/>
          </w:tcPr>
          <w:p w:rsidR="00C07927" w:rsidRPr="00883A36" w:rsidRDefault="00C07927" w:rsidP="004F7425">
            <w:pPr>
              <w:rPr>
                <w:lang w:eastAsia="lt-LT"/>
              </w:rPr>
            </w:pPr>
            <w:r w:rsidRPr="00883A36">
              <w:rPr>
                <w:lang w:eastAsia="lt-LT"/>
              </w:rPr>
              <w:t>Neringos</w:t>
            </w:r>
          </w:p>
        </w:tc>
        <w:tc>
          <w:tcPr>
            <w:tcW w:w="0" w:type="auto"/>
            <w:vAlign w:val="center"/>
            <w:hideMark/>
          </w:tcPr>
          <w:p w:rsidR="00C07927" w:rsidRPr="00883A36" w:rsidRDefault="00C07927" w:rsidP="004F7425">
            <w:pPr>
              <w:jc w:val="center"/>
              <w:rPr>
                <w:lang w:eastAsia="lt-LT"/>
              </w:rPr>
            </w:pPr>
            <w:r w:rsidRPr="00883A36">
              <w:rPr>
                <w:lang w:eastAsia="lt-LT"/>
              </w:rPr>
              <w:t>16</w:t>
            </w:r>
          </w:p>
        </w:tc>
        <w:tc>
          <w:tcPr>
            <w:tcW w:w="0" w:type="auto"/>
            <w:vAlign w:val="center"/>
          </w:tcPr>
          <w:p w:rsidR="00C07927" w:rsidRPr="00766C72" w:rsidRDefault="00C07927" w:rsidP="004F7425">
            <w:pPr>
              <w:jc w:val="center"/>
              <w:rPr>
                <w:lang w:eastAsia="lt-LT"/>
              </w:rPr>
            </w:pPr>
            <w:r w:rsidRPr="00766C72">
              <w:rPr>
                <w:lang w:eastAsia="lt-LT"/>
              </w:rPr>
              <w:t>16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29</w:t>
            </w:r>
          </w:p>
        </w:tc>
        <w:tc>
          <w:tcPr>
            <w:tcW w:w="0" w:type="auto"/>
            <w:vAlign w:val="center"/>
            <w:hideMark/>
          </w:tcPr>
          <w:p w:rsidR="00C07927" w:rsidRPr="00883A36" w:rsidRDefault="00C07927" w:rsidP="004F7425">
            <w:pPr>
              <w:rPr>
                <w:lang w:eastAsia="lt-LT"/>
              </w:rPr>
            </w:pPr>
            <w:r w:rsidRPr="00883A36">
              <w:rPr>
                <w:lang w:eastAsia="lt-LT"/>
              </w:rPr>
              <w:t>Pagėgių</w:t>
            </w:r>
          </w:p>
        </w:tc>
        <w:tc>
          <w:tcPr>
            <w:tcW w:w="0" w:type="auto"/>
            <w:vAlign w:val="center"/>
            <w:hideMark/>
          </w:tcPr>
          <w:p w:rsidR="00C07927" w:rsidRPr="00883A36" w:rsidRDefault="00C07927" w:rsidP="004F7425">
            <w:pPr>
              <w:jc w:val="center"/>
              <w:rPr>
                <w:lang w:eastAsia="lt-LT"/>
              </w:rPr>
            </w:pPr>
            <w:r w:rsidRPr="00883A36">
              <w:rPr>
                <w:lang w:eastAsia="lt-LT"/>
              </w:rPr>
              <w:t>103</w:t>
            </w:r>
          </w:p>
        </w:tc>
        <w:tc>
          <w:tcPr>
            <w:tcW w:w="0" w:type="auto"/>
            <w:vAlign w:val="center"/>
          </w:tcPr>
          <w:p w:rsidR="00C07927" w:rsidRPr="00766C72" w:rsidRDefault="00C07927" w:rsidP="004F7425">
            <w:pPr>
              <w:jc w:val="center"/>
              <w:rPr>
                <w:lang w:eastAsia="lt-LT"/>
              </w:rPr>
            </w:pPr>
            <w:r w:rsidRPr="00766C72">
              <w:rPr>
                <w:lang w:eastAsia="lt-LT"/>
              </w:rPr>
              <w:t>102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30</w:t>
            </w:r>
          </w:p>
        </w:tc>
        <w:tc>
          <w:tcPr>
            <w:tcW w:w="0" w:type="auto"/>
            <w:vAlign w:val="center"/>
            <w:hideMark/>
          </w:tcPr>
          <w:p w:rsidR="00C07927" w:rsidRPr="00883A36" w:rsidRDefault="00C07927" w:rsidP="004F7425">
            <w:pPr>
              <w:rPr>
                <w:lang w:eastAsia="lt-LT"/>
              </w:rPr>
            </w:pPr>
            <w:r w:rsidRPr="00883A36">
              <w:rPr>
                <w:lang w:eastAsia="lt-LT"/>
              </w:rPr>
              <w:t>Pakruojo</w:t>
            </w:r>
          </w:p>
        </w:tc>
        <w:tc>
          <w:tcPr>
            <w:tcW w:w="0" w:type="auto"/>
            <w:vAlign w:val="center"/>
            <w:hideMark/>
          </w:tcPr>
          <w:p w:rsidR="00C07927" w:rsidRPr="00883A36" w:rsidRDefault="00C07927" w:rsidP="004F7425">
            <w:pPr>
              <w:jc w:val="center"/>
              <w:rPr>
                <w:lang w:eastAsia="lt-LT"/>
              </w:rPr>
            </w:pPr>
            <w:r w:rsidRPr="00883A36">
              <w:rPr>
                <w:lang w:eastAsia="lt-LT"/>
              </w:rPr>
              <w:t>104</w:t>
            </w:r>
          </w:p>
        </w:tc>
        <w:tc>
          <w:tcPr>
            <w:tcW w:w="0" w:type="auto"/>
            <w:vAlign w:val="center"/>
          </w:tcPr>
          <w:p w:rsidR="00C07927" w:rsidRPr="00766C72" w:rsidRDefault="00C07927" w:rsidP="004F7425">
            <w:pPr>
              <w:jc w:val="center"/>
              <w:rPr>
                <w:lang w:eastAsia="lt-LT"/>
              </w:rPr>
            </w:pPr>
            <w:r w:rsidRPr="00766C72">
              <w:rPr>
                <w:lang w:eastAsia="lt-LT"/>
              </w:rPr>
              <w:t>83</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31</w:t>
            </w:r>
          </w:p>
        </w:tc>
        <w:tc>
          <w:tcPr>
            <w:tcW w:w="0" w:type="auto"/>
            <w:vAlign w:val="center"/>
            <w:hideMark/>
          </w:tcPr>
          <w:p w:rsidR="00C07927" w:rsidRPr="00883A36" w:rsidRDefault="00C07927" w:rsidP="004F7425">
            <w:pPr>
              <w:rPr>
                <w:lang w:eastAsia="lt-LT"/>
              </w:rPr>
            </w:pPr>
            <w:r w:rsidRPr="00883A36">
              <w:rPr>
                <w:lang w:eastAsia="lt-LT"/>
              </w:rPr>
              <w:t>Palangos</w:t>
            </w:r>
          </w:p>
        </w:tc>
        <w:tc>
          <w:tcPr>
            <w:tcW w:w="0" w:type="auto"/>
            <w:vAlign w:val="center"/>
            <w:hideMark/>
          </w:tcPr>
          <w:p w:rsidR="00C07927" w:rsidRPr="00883A36" w:rsidRDefault="00C07927" w:rsidP="004F7425">
            <w:pPr>
              <w:jc w:val="center"/>
              <w:rPr>
                <w:lang w:eastAsia="lt-LT"/>
              </w:rPr>
            </w:pPr>
            <w:r w:rsidRPr="00883A36">
              <w:rPr>
                <w:lang w:eastAsia="lt-LT"/>
              </w:rPr>
              <w:t>130</w:t>
            </w:r>
          </w:p>
        </w:tc>
        <w:tc>
          <w:tcPr>
            <w:tcW w:w="0" w:type="auto"/>
            <w:vAlign w:val="center"/>
          </w:tcPr>
          <w:p w:rsidR="00C07927" w:rsidRPr="00766C72" w:rsidRDefault="00C07927" w:rsidP="004F7425">
            <w:pPr>
              <w:jc w:val="center"/>
              <w:rPr>
                <w:lang w:eastAsia="lt-LT"/>
              </w:rPr>
            </w:pPr>
            <w:r w:rsidRPr="00766C72">
              <w:rPr>
                <w:lang w:eastAsia="lt-LT"/>
              </w:rPr>
              <w:t>127</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32</w:t>
            </w:r>
          </w:p>
        </w:tc>
        <w:tc>
          <w:tcPr>
            <w:tcW w:w="0" w:type="auto"/>
            <w:vAlign w:val="center"/>
            <w:hideMark/>
          </w:tcPr>
          <w:p w:rsidR="00C07927" w:rsidRPr="00883A36" w:rsidRDefault="00C07927" w:rsidP="004F7425">
            <w:pPr>
              <w:rPr>
                <w:lang w:eastAsia="lt-LT"/>
              </w:rPr>
            </w:pPr>
            <w:r w:rsidRPr="00883A36">
              <w:rPr>
                <w:lang w:eastAsia="lt-LT"/>
              </w:rPr>
              <w:t>Panevėžio m.</w:t>
            </w:r>
          </w:p>
        </w:tc>
        <w:tc>
          <w:tcPr>
            <w:tcW w:w="0" w:type="auto"/>
            <w:vAlign w:val="center"/>
            <w:hideMark/>
          </w:tcPr>
          <w:p w:rsidR="00C07927" w:rsidRPr="00883A36" w:rsidRDefault="00C07927" w:rsidP="004F7425">
            <w:pPr>
              <w:jc w:val="center"/>
              <w:rPr>
                <w:lang w:eastAsia="lt-LT"/>
              </w:rPr>
            </w:pPr>
            <w:r w:rsidRPr="00883A36">
              <w:rPr>
                <w:lang w:eastAsia="lt-LT"/>
              </w:rPr>
              <w:t>464</w:t>
            </w:r>
          </w:p>
        </w:tc>
        <w:tc>
          <w:tcPr>
            <w:tcW w:w="0" w:type="auto"/>
            <w:vAlign w:val="center"/>
          </w:tcPr>
          <w:p w:rsidR="00C07927" w:rsidRPr="00766C72" w:rsidRDefault="00C07927" w:rsidP="004F7425">
            <w:pPr>
              <w:jc w:val="center"/>
              <w:rPr>
                <w:lang w:eastAsia="lt-LT"/>
              </w:rPr>
            </w:pPr>
            <w:r w:rsidRPr="00766C72">
              <w:rPr>
                <w:lang w:eastAsia="lt-LT"/>
              </w:rPr>
              <w:t>403</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33</w:t>
            </w:r>
          </w:p>
        </w:tc>
        <w:tc>
          <w:tcPr>
            <w:tcW w:w="0" w:type="auto"/>
            <w:vAlign w:val="center"/>
            <w:hideMark/>
          </w:tcPr>
          <w:p w:rsidR="00C07927" w:rsidRPr="00883A36" w:rsidRDefault="00C07927" w:rsidP="004F7425">
            <w:pPr>
              <w:rPr>
                <w:lang w:eastAsia="lt-LT"/>
              </w:rPr>
            </w:pPr>
            <w:r w:rsidRPr="00883A36">
              <w:rPr>
                <w:lang w:eastAsia="lt-LT"/>
              </w:rPr>
              <w:t>Panevėžio r.</w:t>
            </w:r>
          </w:p>
        </w:tc>
        <w:tc>
          <w:tcPr>
            <w:tcW w:w="0" w:type="auto"/>
            <w:vAlign w:val="center"/>
            <w:hideMark/>
          </w:tcPr>
          <w:p w:rsidR="00C07927" w:rsidRPr="00883A36" w:rsidRDefault="00C07927" w:rsidP="004F7425">
            <w:pPr>
              <w:jc w:val="center"/>
              <w:rPr>
                <w:lang w:eastAsia="lt-LT"/>
              </w:rPr>
            </w:pPr>
            <w:r w:rsidRPr="00883A36">
              <w:rPr>
                <w:lang w:eastAsia="lt-LT"/>
              </w:rPr>
              <w:t>162</w:t>
            </w:r>
          </w:p>
        </w:tc>
        <w:tc>
          <w:tcPr>
            <w:tcW w:w="0" w:type="auto"/>
            <w:vAlign w:val="center"/>
          </w:tcPr>
          <w:p w:rsidR="00C07927" w:rsidRPr="00766C72" w:rsidRDefault="00C07927" w:rsidP="004F7425">
            <w:pPr>
              <w:jc w:val="center"/>
              <w:rPr>
                <w:lang w:eastAsia="lt-LT"/>
              </w:rPr>
            </w:pPr>
            <w:r w:rsidRPr="00766C72">
              <w:rPr>
                <w:lang w:eastAsia="lt-LT"/>
              </w:rPr>
              <w:t>150</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34</w:t>
            </w:r>
          </w:p>
        </w:tc>
        <w:tc>
          <w:tcPr>
            <w:tcW w:w="0" w:type="auto"/>
            <w:vAlign w:val="center"/>
            <w:hideMark/>
          </w:tcPr>
          <w:p w:rsidR="00C07927" w:rsidRPr="00883A36" w:rsidRDefault="00C07927" w:rsidP="004F7425">
            <w:pPr>
              <w:rPr>
                <w:lang w:eastAsia="lt-LT"/>
              </w:rPr>
            </w:pPr>
            <w:r w:rsidRPr="00883A36">
              <w:rPr>
                <w:lang w:eastAsia="lt-LT"/>
              </w:rPr>
              <w:t>Pasvalio</w:t>
            </w:r>
          </w:p>
        </w:tc>
        <w:tc>
          <w:tcPr>
            <w:tcW w:w="0" w:type="auto"/>
            <w:vAlign w:val="center"/>
            <w:hideMark/>
          </w:tcPr>
          <w:p w:rsidR="00C07927" w:rsidRPr="00883A36" w:rsidRDefault="00C07927" w:rsidP="004F7425">
            <w:pPr>
              <w:jc w:val="center"/>
              <w:rPr>
                <w:lang w:eastAsia="lt-LT"/>
              </w:rPr>
            </w:pPr>
            <w:r w:rsidRPr="00883A36">
              <w:rPr>
                <w:lang w:eastAsia="lt-LT"/>
              </w:rPr>
              <w:t>125</w:t>
            </w:r>
          </w:p>
        </w:tc>
        <w:tc>
          <w:tcPr>
            <w:tcW w:w="0" w:type="auto"/>
            <w:vAlign w:val="center"/>
          </w:tcPr>
          <w:p w:rsidR="00C07927" w:rsidRPr="00766C72" w:rsidRDefault="00C07927" w:rsidP="004F7425">
            <w:pPr>
              <w:jc w:val="center"/>
              <w:rPr>
                <w:lang w:eastAsia="lt-LT"/>
              </w:rPr>
            </w:pPr>
            <w:r w:rsidRPr="00766C72">
              <w:rPr>
                <w:lang w:eastAsia="lt-LT"/>
              </w:rPr>
              <w:t>108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35</w:t>
            </w:r>
          </w:p>
        </w:tc>
        <w:tc>
          <w:tcPr>
            <w:tcW w:w="0" w:type="auto"/>
            <w:vAlign w:val="center"/>
            <w:hideMark/>
          </w:tcPr>
          <w:p w:rsidR="00C07927" w:rsidRPr="00883A36" w:rsidRDefault="00C07927" w:rsidP="004F7425">
            <w:pPr>
              <w:rPr>
                <w:lang w:eastAsia="lt-LT"/>
              </w:rPr>
            </w:pPr>
            <w:r w:rsidRPr="00883A36">
              <w:rPr>
                <w:lang w:eastAsia="lt-LT"/>
              </w:rPr>
              <w:t>Plungės</w:t>
            </w:r>
          </w:p>
        </w:tc>
        <w:tc>
          <w:tcPr>
            <w:tcW w:w="0" w:type="auto"/>
            <w:vAlign w:val="center"/>
            <w:hideMark/>
          </w:tcPr>
          <w:p w:rsidR="00C07927" w:rsidRPr="00883A36" w:rsidRDefault="00C07927" w:rsidP="004F7425">
            <w:pPr>
              <w:jc w:val="center"/>
              <w:rPr>
                <w:lang w:eastAsia="lt-LT"/>
              </w:rPr>
            </w:pPr>
            <w:r w:rsidRPr="00883A36">
              <w:rPr>
                <w:lang w:eastAsia="lt-LT"/>
              </w:rPr>
              <w:t>214</w:t>
            </w:r>
          </w:p>
        </w:tc>
        <w:tc>
          <w:tcPr>
            <w:tcW w:w="0" w:type="auto"/>
            <w:vAlign w:val="center"/>
          </w:tcPr>
          <w:p w:rsidR="00C07927" w:rsidRPr="00766C72" w:rsidRDefault="00C07927" w:rsidP="004F7425">
            <w:pPr>
              <w:jc w:val="center"/>
              <w:rPr>
                <w:lang w:eastAsia="lt-LT"/>
              </w:rPr>
            </w:pPr>
            <w:r w:rsidRPr="00766C72">
              <w:rPr>
                <w:lang w:eastAsia="lt-LT"/>
              </w:rPr>
              <w:t>225</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36</w:t>
            </w:r>
          </w:p>
        </w:tc>
        <w:tc>
          <w:tcPr>
            <w:tcW w:w="0" w:type="auto"/>
            <w:vAlign w:val="center"/>
            <w:hideMark/>
          </w:tcPr>
          <w:p w:rsidR="00C07927" w:rsidRPr="00883A36" w:rsidRDefault="00C07927" w:rsidP="004F7425">
            <w:pPr>
              <w:rPr>
                <w:lang w:eastAsia="lt-LT"/>
              </w:rPr>
            </w:pPr>
            <w:r w:rsidRPr="00883A36">
              <w:rPr>
                <w:lang w:eastAsia="lt-LT"/>
              </w:rPr>
              <w:t>Prienų</w:t>
            </w:r>
          </w:p>
        </w:tc>
        <w:tc>
          <w:tcPr>
            <w:tcW w:w="0" w:type="auto"/>
            <w:vAlign w:val="center"/>
            <w:hideMark/>
          </w:tcPr>
          <w:p w:rsidR="00C07927" w:rsidRPr="00883A36" w:rsidRDefault="00C07927" w:rsidP="004F7425">
            <w:pPr>
              <w:jc w:val="center"/>
              <w:rPr>
                <w:lang w:eastAsia="lt-LT"/>
              </w:rPr>
            </w:pPr>
            <w:r w:rsidRPr="00883A36">
              <w:rPr>
                <w:lang w:eastAsia="lt-LT"/>
              </w:rPr>
              <w:t>147</w:t>
            </w:r>
          </w:p>
        </w:tc>
        <w:tc>
          <w:tcPr>
            <w:tcW w:w="0" w:type="auto"/>
            <w:vAlign w:val="center"/>
          </w:tcPr>
          <w:p w:rsidR="00C07927" w:rsidRPr="00766C72" w:rsidRDefault="00C07927" w:rsidP="004F7425">
            <w:pPr>
              <w:jc w:val="center"/>
              <w:rPr>
                <w:lang w:eastAsia="lt-LT"/>
              </w:rPr>
            </w:pPr>
            <w:r w:rsidRPr="00766C72">
              <w:rPr>
                <w:lang w:eastAsia="lt-LT"/>
              </w:rPr>
              <w:t>146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37</w:t>
            </w:r>
          </w:p>
        </w:tc>
        <w:tc>
          <w:tcPr>
            <w:tcW w:w="0" w:type="auto"/>
            <w:vAlign w:val="center"/>
            <w:hideMark/>
          </w:tcPr>
          <w:p w:rsidR="00C07927" w:rsidRPr="00883A36" w:rsidRDefault="00C07927" w:rsidP="004F7425">
            <w:pPr>
              <w:rPr>
                <w:lang w:eastAsia="lt-LT"/>
              </w:rPr>
            </w:pPr>
            <w:r w:rsidRPr="00883A36">
              <w:rPr>
                <w:lang w:eastAsia="lt-LT"/>
              </w:rPr>
              <w:t>Radviliškio</w:t>
            </w:r>
          </w:p>
        </w:tc>
        <w:tc>
          <w:tcPr>
            <w:tcW w:w="0" w:type="auto"/>
            <w:vAlign w:val="center"/>
            <w:hideMark/>
          </w:tcPr>
          <w:p w:rsidR="00C07927" w:rsidRPr="00883A36" w:rsidRDefault="00C07927" w:rsidP="004F7425">
            <w:pPr>
              <w:jc w:val="center"/>
              <w:rPr>
                <w:lang w:eastAsia="lt-LT"/>
              </w:rPr>
            </w:pPr>
            <w:r w:rsidRPr="00883A36">
              <w:rPr>
                <w:lang w:eastAsia="lt-LT"/>
              </w:rPr>
              <w:t>244</w:t>
            </w:r>
          </w:p>
        </w:tc>
        <w:tc>
          <w:tcPr>
            <w:tcW w:w="0" w:type="auto"/>
            <w:vAlign w:val="center"/>
          </w:tcPr>
          <w:p w:rsidR="00C07927" w:rsidRPr="00766C72" w:rsidRDefault="00C07927" w:rsidP="004F7425">
            <w:pPr>
              <w:jc w:val="center"/>
              <w:rPr>
                <w:lang w:eastAsia="lt-LT"/>
              </w:rPr>
            </w:pPr>
            <w:r w:rsidRPr="00766C72">
              <w:rPr>
                <w:lang w:eastAsia="lt-LT"/>
              </w:rPr>
              <w:t>202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38</w:t>
            </w:r>
          </w:p>
        </w:tc>
        <w:tc>
          <w:tcPr>
            <w:tcW w:w="0" w:type="auto"/>
            <w:vAlign w:val="center"/>
            <w:hideMark/>
          </w:tcPr>
          <w:p w:rsidR="00C07927" w:rsidRPr="00883A36" w:rsidRDefault="00C07927" w:rsidP="004F7425">
            <w:pPr>
              <w:rPr>
                <w:lang w:eastAsia="lt-LT"/>
              </w:rPr>
            </w:pPr>
            <w:r w:rsidRPr="00883A36">
              <w:rPr>
                <w:lang w:eastAsia="lt-LT"/>
              </w:rPr>
              <w:t>Raseinių</w:t>
            </w:r>
          </w:p>
        </w:tc>
        <w:tc>
          <w:tcPr>
            <w:tcW w:w="0" w:type="auto"/>
            <w:vAlign w:val="center"/>
            <w:hideMark/>
          </w:tcPr>
          <w:p w:rsidR="00C07927" w:rsidRPr="00883A36" w:rsidRDefault="00C07927" w:rsidP="004F7425">
            <w:pPr>
              <w:jc w:val="center"/>
              <w:rPr>
                <w:lang w:eastAsia="lt-LT"/>
              </w:rPr>
            </w:pPr>
            <w:r w:rsidRPr="00883A36">
              <w:rPr>
                <w:lang w:eastAsia="lt-LT"/>
              </w:rPr>
              <w:t>116</w:t>
            </w:r>
          </w:p>
        </w:tc>
        <w:tc>
          <w:tcPr>
            <w:tcW w:w="0" w:type="auto"/>
            <w:vAlign w:val="center"/>
          </w:tcPr>
          <w:p w:rsidR="00C07927" w:rsidRPr="00766C72" w:rsidRDefault="00C07927" w:rsidP="004F7425">
            <w:pPr>
              <w:jc w:val="center"/>
              <w:rPr>
                <w:lang w:eastAsia="lt-LT"/>
              </w:rPr>
            </w:pPr>
            <w:r w:rsidRPr="00766C72">
              <w:rPr>
                <w:lang w:eastAsia="lt-LT"/>
              </w:rPr>
              <w:t>98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39</w:t>
            </w:r>
          </w:p>
        </w:tc>
        <w:tc>
          <w:tcPr>
            <w:tcW w:w="0" w:type="auto"/>
            <w:vAlign w:val="center"/>
            <w:hideMark/>
          </w:tcPr>
          <w:p w:rsidR="00C07927" w:rsidRPr="00883A36" w:rsidRDefault="00C07927" w:rsidP="004F7425">
            <w:pPr>
              <w:rPr>
                <w:lang w:eastAsia="lt-LT"/>
              </w:rPr>
            </w:pPr>
            <w:r w:rsidRPr="00883A36">
              <w:rPr>
                <w:lang w:eastAsia="lt-LT"/>
              </w:rPr>
              <w:t>Rietavo</w:t>
            </w:r>
          </w:p>
        </w:tc>
        <w:tc>
          <w:tcPr>
            <w:tcW w:w="0" w:type="auto"/>
            <w:vAlign w:val="center"/>
            <w:hideMark/>
          </w:tcPr>
          <w:p w:rsidR="00C07927" w:rsidRPr="00883A36" w:rsidRDefault="00C07927" w:rsidP="004F7425">
            <w:pPr>
              <w:jc w:val="center"/>
              <w:rPr>
                <w:lang w:eastAsia="lt-LT"/>
              </w:rPr>
            </w:pPr>
            <w:r w:rsidRPr="00883A36">
              <w:rPr>
                <w:lang w:eastAsia="lt-LT"/>
              </w:rPr>
              <w:t>22</w:t>
            </w:r>
          </w:p>
        </w:tc>
        <w:tc>
          <w:tcPr>
            <w:tcW w:w="0" w:type="auto"/>
            <w:vAlign w:val="center"/>
          </w:tcPr>
          <w:p w:rsidR="00C07927" w:rsidRPr="00766C72" w:rsidRDefault="00C07927" w:rsidP="004F7425">
            <w:pPr>
              <w:jc w:val="center"/>
              <w:rPr>
                <w:lang w:eastAsia="lt-LT"/>
              </w:rPr>
            </w:pPr>
            <w:r w:rsidRPr="00766C72">
              <w:rPr>
                <w:lang w:eastAsia="lt-LT"/>
              </w:rPr>
              <w:t>41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40</w:t>
            </w:r>
          </w:p>
        </w:tc>
        <w:tc>
          <w:tcPr>
            <w:tcW w:w="0" w:type="auto"/>
            <w:vAlign w:val="center"/>
            <w:hideMark/>
          </w:tcPr>
          <w:p w:rsidR="00C07927" w:rsidRPr="00883A36" w:rsidRDefault="00C07927" w:rsidP="004F7425">
            <w:pPr>
              <w:rPr>
                <w:lang w:eastAsia="lt-LT"/>
              </w:rPr>
            </w:pPr>
            <w:r w:rsidRPr="00883A36">
              <w:rPr>
                <w:lang w:eastAsia="lt-LT"/>
              </w:rPr>
              <w:t>Rokiškio</w:t>
            </w:r>
          </w:p>
        </w:tc>
        <w:tc>
          <w:tcPr>
            <w:tcW w:w="0" w:type="auto"/>
            <w:vAlign w:val="center"/>
            <w:hideMark/>
          </w:tcPr>
          <w:p w:rsidR="00C07927" w:rsidRPr="00883A36" w:rsidRDefault="00C07927" w:rsidP="004F7425">
            <w:pPr>
              <w:jc w:val="center"/>
              <w:rPr>
                <w:lang w:eastAsia="lt-LT"/>
              </w:rPr>
            </w:pPr>
            <w:r w:rsidRPr="00883A36">
              <w:rPr>
                <w:lang w:eastAsia="lt-LT"/>
              </w:rPr>
              <w:t>116</w:t>
            </w:r>
          </w:p>
        </w:tc>
        <w:tc>
          <w:tcPr>
            <w:tcW w:w="0" w:type="auto"/>
            <w:vAlign w:val="center"/>
          </w:tcPr>
          <w:p w:rsidR="00C07927" w:rsidRPr="00766C72" w:rsidRDefault="00C07927" w:rsidP="004F7425">
            <w:pPr>
              <w:jc w:val="center"/>
              <w:rPr>
                <w:lang w:eastAsia="lt-LT"/>
              </w:rPr>
            </w:pPr>
            <w:r w:rsidRPr="00766C72">
              <w:rPr>
                <w:lang w:eastAsia="lt-LT"/>
              </w:rPr>
              <w:t>103</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41</w:t>
            </w:r>
          </w:p>
        </w:tc>
        <w:tc>
          <w:tcPr>
            <w:tcW w:w="0" w:type="auto"/>
            <w:vAlign w:val="center"/>
            <w:hideMark/>
          </w:tcPr>
          <w:p w:rsidR="00C07927" w:rsidRPr="00883A36" w:rsidRDefault="00C07927" w:rsidP="004F7425">
            <w:pPr>
              <w:rPr>
                <w:lang w:eastAsia="lt-LT"/>
              </w:rPr>
            </w:pPr>
            <w:r w:rsidRPr="00883A36">
              <w:rPr>
                <w:lang w:eastAsia="lt-LT"/>
              </w:rPr>
              <w:t>Skuodo</w:t>
            </w:r>
          </w:p>
        </w:tc>
        <w:tc>
          <w:tcPr>
            <w:tcW w:w="0" w:type="auto"/>
            <w:vAlign w:val="center"/>
            <w:hideMark/>
          </w:tcPr>
          <w:p w:rsidR="00C07927" w:rsidRPr="00883A36" w:rsidRDefault="00C07927" w:rsidP="004F7425">
            <w:pPr>
              <w:jc w:val="center"/>
              <w:rPr>
                <w:lang w:eastAsia="lt-LT"/>
              </w:rPr>
            </w:pPr>
            <w:r w:rsidRPr="00883A36">
              <w:rPr>
                <w:lang w:eastAsia="lt-LT"/>
              </w:rPr>
              <w:t>102</w:t>
            </w:r>
          </w:p>
        </w:tc>
        <w:tc>
          <w:tcPr>
            <w:tcW w:w="0" w:type="auto"/>
            <w:vAlign w:val="center"/>
          </w:tcPr>
          <w:p w:rsidR="00C07927" w:rsidRPr="00766C72" w:rsidRDefault="00C07927" w:rsidP="004F7425">
            <w:pPr>
              <w:jc w:val="center"/>
              <w:rPr>
                <w:lang w:eastAsia="lt-LT"/>
              </w:rPr>
            </w:pPr>
            <w:r w:rsidRPr="00766C72">
              <w:rPr>
                <w:lang w:eastAsia="lt-LT"/>
              </w:rPr>
              <w:t>98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42</w:t>
            </w:r>
          </w:p>
        </w:tc>
        <w:tc>
          <w:tcPr>
            <w:tcW w:w="0" w:type="auto"/>
            <w:vAlign w:val="center"/>
            <w:hideMark/>
          </w:tcPr>
          <w:p w:rsidR="00C07927" w:rsidRPr="00883A36" w:rsidRDefault="00C07927" w:rsidP="004F7425">
            <w:pPr>
              <w:rPr>
                <w:lang w:eastAsia="lt-LT"/>
              </w:rPr>
            </w:pPr>
            <w:r w:rsidRPr="00883A36">
              <w:rPr>
                <w:lang w:eastAsia="lt-LT"/>
              </w:rPr>
              <w:t>Šakių</w:t>
            </w:r>
          </w:p>
        </w:tc>
        <w:tc>
          <w:tcPr>
            <w:tcW w:w="0" w:type="auto"/>
            <w:vAlign w:val="center"/>
            <w:hideMark/>
          </w:tcPr>
          <w:p w:rsidR="00C07927" w:rsidRPr="00883A36" w:rsidRDefault="00C07927" w:rsidP="004F7425">
            <w:pPr>
              <w:jc w:val="center"/>
              <w:rPr>
                <w:lang w:eastAsia="lt-LT"/>
              </w:rPr>
            </w:pPr>
            <w:r w:rsidRPr="00883A36">
              <w:rPr>
                <w:lang w:eastAsia="lt-LT"/>
              </w:rPr>
              <w:t>140</w:t>
            </w:r>
          </w:p>
        </w:tc>
        <w:tc>
          <w:tcPr>
            <w:tcW w:w="0" w:type="auto"/>
            <w:vAlign w:val="center"/>
          </w:tcPr>
          <w:p w:rsidR="00C07927" w:rsidRPr="00766C72" w:rsidRDefault="00C07927" w:rsidP="004F7425">
            <w:pPr>
              <w:jc w:val="center"/>
              <w:rPr>
                <w:lang w:eastAsia="lt-LT"/>
              </w:rPr>
            </w:pPr>
            <w:r w:rsidRPr="00766C72">
              <w:rPr>
                <w:lang w:eastAsia="lt-LT"/>
              </w:rPr>
              <w:t>131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43</w:t>
            </w:r>
          </w:p>
        </w:tc>
        <w:tc>
          <w:tcPr>
            <w:tcW w:w="0" w:type="auto"/>
            <w:vAlign w:val="center"/>
            <w:hideMark/>
          </w:tcPr>
          <w:p w:rsidR="00C07927" w:rsidRPr="00883A36" w:rsidRDefault="00C07927" w:rsidP="004F7425">
            <w:pPr>
              <w:rPr>
                <w:lang w:eastAsia="lt-LT"/>
              </w:rPr>
            </w:pPr>
            <w:r w:rsidRPr="00883A36">
              <w:rPr>
                <w:lang w:eastAsia="lt-LT"/>
              </w:rPr>
              <w:t>Šalčininkų</w:t>
            </w:r>
          </w:p>
        </w:tc>
        <w:tc>
          <w:tcPr>
            <w:tcW w:w="0" w:type="auto"/>
            <w:vAlign w:val="center"/>
            <w:hideMark/>
          </w:tcPr>
          <w:p w:rsidR="00C07927" w:rsidRPr="00883A36" w:rsidRDefault="00C07927" w:rsidP="004F7425">
            <w:pPr>
              <w:jc w:val="center"/>
              <w:rPr>
                <w:lang w:eastAsia="lt-LT"/>
              </w:rPr>
            </w:pPr>
            <w:r w:rsidRPr="00883A36">
              <w:rPr>
                <w:lang w:eastAsia="lt-LT"/>
              </w:rPr>
              <w:t>122</w:t>
            </w:r>
          </w:p>
        </w:tc>
        <w:tc>
          <w:tcPr>
            <w:tcW w:w="0" w:type="auto"/>
            <w:vAlign w:val="center"/>
          </w:tcPr>
          <w:p w:rsidR="00C07927" w:rsidRPr="00766C72" w:rsidRDefault="00C07927" w:rsidP="004F7425">
            <w:pPr>
              <w:jc w:val="center"/>
              <w:rPr>
                <w:lang w:eastAsia="lt-LT"/>
              </w:rPr>
            </w:pPr>
            <w:r w:rsidRPr="00766C72">
              <w:rPr>
                <w:lang w:eastAsia="lt-LT"/>
              </w:rPr>
              <w:t>121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44</w:t>
            </w:r>
          </w:p>
        </w:tc>
        <w:tc>
          <w:tcPr>
            <w:tcW w:w="0" w:type="auto"/>
            <w:vAlign w:val="center"/>
            <w:hideMark/>
          </w:tcPr>
          <w:p w:rsidR="00C07927" w:rsidRPr="00883A36" w:rsidRDefault="00C07927" w:rsidP="004F7425">
            <w:pPr>
              <w:rPr>
                <w:lang w:eastAsia="lt-LT"/>
              </w:rPr>
            </w:pPr>
            <w:r w:rsidRPr="00883A36">
              <w:rPr>
                <w:lang w:eastAsia="lt-LT"/>
              </w:rPr>
              <w:t>Šiaulių m.</w:t>
            </w:r>
          </w:p>
        </w:tc>
        <w:tc>
          <w:tcPr>
            <w:tcW w:w="0" w:type="auto"/>
            <w:vAlign w:val="center"/>
            <w:hideMark/>
          </w:tcPr>
          <w:p w:rsidR="00C07927" w:rsidRPr="00883A36" w:rsidRDefault="00C07927" w:rsidP="004F7425">
            <w:pPr>
              <w:jc w:val="center"/>
              <w:rPr>
                <w:lang w:eastAsia="lt-LT"/>
              </w:rPr>
            </w:pPr>
            <w:r w:rsidRPr="00883A36">
              <w:rPr>
                <w:lang w:eastAsia="lt-LT"/>
              </w:rPr>
              <w:t>669</w:t>
            </w:r>
          </w:p>
        </w:tc>
        <w:tc>
          <w:tcPr>
            <w:tcW w:w="0" w:type="auto"/>
            <w:vAlign w:val="center"/>
          </w:tcPr>
          <w:p w:rsidR="00C07927" w:rsidRPr="00766C72" w:rsidRDefault="00C07927" w:rsidP="004F7425">
            <w:pPr>
              <w:jc w:val="center"/>
              <w:rPr>
                <w:lang w:eastAsia="lt-LT"/>
              </w:rPr>
            </w:pPr>
            <w:r w:rsidRPr="00766C72">
              <w:rPr>
                <w:lang w:eastAsia="lt-LT"/>
              </w:rPr>
              <w:t>598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45</w:t>
            </w:r>
          </w:p>
        </w:tc>
        <w:tc>
          <w:tcPr>
            <w:tcW w:w="0" w:type="auto"/>
            <w:vAlign w:val="center"/>
            <w:hideMark/>
          </w:tcPr>
          <w:p w:rsidR="00C07927" w:rsidRPr="00883A36" w:rsidRDefault="00C07927" w:rsidP="004F7425">
            <w:pPr>
              <w:rPr>
                <w:lang w:eastAsia="lt-LT"/>
              </w:rPr>
            </w:pPr>
            <w:r w:rsidRPr="00883A36">
              <w:rPr>
                <w:lang w:eastAsia="lt-LT"/>
              </w:rPr>
              <w:t>Šiaulių r.</w:t>
            </w:r>
          </w:p>
        </w:tc>
        <w:tc>
          <w:tcPr>
            <w:tcW w:w="0" w:type="auto"/>
            <w:vAlign w:val="center"/>
            <w:hideMark/>
          </w:tcPr>
          <w:p w:rsidR="00C07927" w:rsidRPr="00883A36" w:rsidRDefault="00C07927" w:rsidP="004F7425">
            <w:pPr>
              <w:jc w:val="center"/>
              <w:rPr>
                <w:lang w:eastAsia="lt-LT"/>
              </w:rPr>
            </w:pPr>
            <w:r w:rsidRPr="00883A36">
              <w:rPr>
                <w:lang w:eastAsia="lt-LT"/>
              </w:rPr>
              <w:t>215</w:t>
            </w:r>
          </w:p>
        </w:tc>
        <w:tc>
          <w:tcPr>
            <w:tcW w:w="0" w:type="auto"/>
            <w:vAlign w:val="center"/>
          </w:tcPr>
          <w:p w:rsidR="00C07927" w:rsidRPr="00766C72" w:rsidRDefault="00C07927" w:rsidP="004F7425">
            <w:pPr>
              <w:jc w:val="center"/>
              <w:rPr>
                <w:lang w:eastAsia="lt-LT"/>
              </w:rPr>
            </w:pPr>
            <w:r w:rsidRPr="00766C72">
              <w:rPr>
                <w:lang w:eastAsia="lt-LT"/>
              </w:rPr>
              <w:t>204</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46</w:t>
            </w:r>
          </w:p>
        </w:tc>
        <w:tc>
          <w:tcPr>
            <w:tcW w:w="0" w:type="auto"/>
            <w:vAlign w:val="center"/>
            <w:hideMark/>
          </w:tcPr>
          <w:p w:rsidR="00C07927" w:rsidRPr="00883A36" w:rsidRDefault="00C07927" w:rsidP="004F7425">
            <w:pPr>
              <w:rPr>
                <w:lang w:eastAsia="lt-LT"/>
              </w:rPr>
            </w:pPr>
            <w:r w:rsidRPr="00883A36">
              <w:rPr>
                <w:lang w:eastAsia="lt-LT"/>
              </w:rPr>
              <w:t>Šilalės</w:t>
            </w:r>
          </w:p>
        </w:tc>
        <w:tc>
          <w:tcPr>
            <w:tcW w:w="0" w:type="auto"/>
            <w:vAlign w:val="center"/>
            <w:hideMark/>
          </w:tcPr>
          <w:p w:rsidR="00C07927" w:rsidRPr="00883A36" w:rsidRDefault="00C07927" w:rsidP="004F7425">
            <w:pPr>
              <w:jc w:val="center"/>
              <w:rPr>
                <w:lang w:eastAsia="lt-LT"/>
              </w:rPr>
            </w:pPr>
            <w:r w:rsidRPr="00883A36">
              <w:rPr>
                <w:lang w:eastAsia="lt-LT"/>
              </w:rPr>
              <w:t>109</w:t>
            </w:r>
          </w:p>
        </w:tc>
        <w:tc>
          <w:tcPr>
            <w:tcW w:w="0" w:type="auto"/>
            <w:vAlign w:val="center"/>
          </w:tcPr>
          <w:p w:rsidR="00C07927" w:rsidRPr="00766C72" w:rsidRDefault="00C07927" w:rsidP="004F7425">
            <w:pPr>
              <w:jc w:val="center"/>
              <w:rPr>
                <w:lang w:eastAsia="lt-LT"/>
              </w:rPr>
            </w:pPr>
            <w:r w:rsidRPr="00766C72">
              <w:rPr>
                <w:lang w:eastAsia="lt-LT"/>
              </w:rPr>
              <w:t>128</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47</w:t>
            </w:r>
          </w:p>
        </w:tc>
        <w:tc>
          <w:tcPr>
            <w:tcW w:w="0" w:type="auto"/>
            <w:vAlign w:val="center"/>
            <w:hideMark/>
          </w:tcPr>
          <w:p w:rsidR="00C07927" w:rsidRPr="00883A36" w:rsidRDefault="00C07927" w:rsidP="004F7425">
            <w:pPr>
              <w:rPr>
                <w:lang w:eastAsia="lt-LT"/>
              </w:rPr>
            </w:pPr>
            <w:r w:rsidRPr="00883A36">
              <w:rPr>
                <w:lang w:eastAsia="lt-LT"/>
              </w:rPr>
              <w:t>Šilutės</w:t>
            </w:r>
          </w:p>
        </w:tc>
        <w:tc>
          <w:tcPr>
            <w:tcW w:w="0" w:type="auto"/>
            <w:vAlign w:val="center"/>
            <w:hideMark/>
          </w:tcPr>
          <w:p w:rsidR="00C07927" w:rsidRPr="00883A36" w:rsidRDefault="00C07927" w:rsidP="004F7425">
            <w:pPr>
              <w:jc w:val="center"/>
              <w:rPr>
                <w:lang w:eastAsia="lt-LT"/>
              </w:rPr>
            </w:pPr>
            <w:r w:rsidRPr="00883A36">
              <w:rPr>
                <w:lang w:eastAsia="lt-LT"/>
              </w:rPr>
              <w:t>565</w:t>
            </w:r>
          </w:p>
        </w:tc>
        <w:tc>
          <w:tcPr>
            <w:tcW w:w="0" w:type="auto"/>
            <w:vAlign w:val="center"/>
          </w:tcPr>
          <w:p w:rsidR="00C07927" w:rsidRPr="00766C72" w:rsidRDefault="00C07927" w:rsidP="004F7425">
            <w:pPr>
              <w:jc w:val="center"/>
              <w:rPr>
                <w:lang w:eastAsia="lt-LT"/>
              </w:rPr>
            </w:pPr>
            <w:r w:rsidRPr="00766C72">
              <w:rPr>
                <w:lang w:eastAsia="lt-LT"/>
              </w:rPr>
              <w:t>509</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48</w:t>
            </w:r>
          </w:p>
        </w:tc>
        <w:tc>
          <w:tcPr>
            <w:tcW w:w="0" w:type="auto"/>
            <w:vAlign w:val="center"/>
            <w:hideMark/>
          </w:tcPr>
          <w:p w:rsidR="00C07927" w:rsidRPr="00883A36" w:rsidRDefault="00C07927" w:rsidP="004F7425">
            <w:pPr>
              <w:rPr>
                <w:lang w:eastAsia="lt-LT"/>
              </w:rPr>
            </w:pPr>
            <w:r w:rsidRPr="00883A36">
              <w:rPr>
                <w:lang w:eastAsia="lt-LT"/>
              </w:rPr>
              <w:t>Širvintų</w:t>
            </w:r>
          </w:p>
        </w:tc>
        <w:tc>
          <w:tcPr>
            <w:tcW w:w="0" w:type="auto"/>
            <w:vAlign w:val="center"/>
            <w:hideMark/>
          </w:tcPr>
          <w:p w:rsidR="00C07927" w:rsidRPr="00883A36" w:rsidRDefault="00C07927" w:rsidP="004F7425">
            <w:pPr>
              <w:jc w:val="center"/>
              <w:rPr>
                <w:lang w:eastAsia="lt-LT"/>
              </w:rPr>
            </w:pPr>
            <w:r w:rsidRPr="00883A36">
              <w:rPr>
                <w:lang w:eastAsia="lt-LT"/>
              </w:rPr>
              <w:t>56</w:t>
            </w:r>
          </w:p>
        </w:tc>
        <w:tc>
          <w:tcPr>
            <w:tcW w:w="0" w:type="auto"/>
            <w:vAlign w:val="center"/>
          </w:tcPr>
          <w:p w:rsidR="00C07927" w:rsidRPr="00766C72" w:rsidRDefault="00C07927" w:rsidP="004F7425">
            <w:pPr>
              <w:jc w:val="center"/>
              <w:rPr>
                <w:lang w:eastAsia="lt-LT"/>
              </w:rPr>
            </w:pPr>
            <w:r w:rsidRPr="00766C72">
              <w:rPr>
                <w:lang w:eastAsia="lt-LT"/>
              </w:rPr>
              <w:t>41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49</w:t>
            </w:r>
          </w:p>
        </w:tc>
        <w:tc>
          <w:tcPr>
            <w:tcW w:w="0" w:type="auto"/>
            <w:vAlign w:val="center"/>
            <w:hideMark/>
          </w:tcPr>
          <w:p w:rsidR="00C07927" w:rsidRPr="00883A36" w:rsidRDefault="00C07927" w:rsidP="004F7425">
            <w:pPr>
              <w:rPr>
                <w:lang w:eastAsia="lt-LT"/>
              </w:rPr>
            </w:pPr>
            <w:r w:rsidRPr="00883A36">
              <w:rPr>
                <w:lang w:eastAsia="lt-LT"/>
              </w:rPr>
              <w:t>Švenčionių</w:t>
            </w:r>
          </w:p>
        </w:tc>
        <w:tc>
          <w:tcPr>
            <w:tcW w:w="0" w:type="auto"/>
            <w:vAlign w:val="center"/>
            <w:hideMark/>
          </w:tcPr>
          <w:p w:rsidR="00C07927" w:rsidRPr="00883A36" w:rsidRDefault="00C07927" w:rsidP="004F7425">
            <w:pPr>
              <w:jc w:val="center"/>
              <w:rPr>
                <w:lang w:eastAsia="lt-LT"/>
              </w:rPr>
            </w:pPr>
            <w:r w:rsidRPr="00883A36">
              <w:rPr>
                <w:lang w:eastAsia="lt-LT"/>
              </w:rPr>
              <w:t>72</w:t>
            </w:r>
          </w:p>
        </w:tc>
        <w:tc>
          <w:tcPr>
            <w:tcW w:w="0" w:type="auto"/>
            <w:vAlign w:val="center"/>
          </w:tcPr>
          <w:p w:rsidR="00C07927" w:rsidRPr="00766C72" w:rsidRDefault="00C07927" w:rsidP="004F7425">
            <w:pPr>
              <w:jc w:val="center"/>
              <w:rPr>
                <w:lang w:eastAsia="lt-LT"/>
              </w:rPr>
            </w:pPr>
            <w:r w:rsidRPr="00766C72">
              <w:rPr>
                <w:lang w:eastAsia="lt-LT"/>
              </w:rPr>
              <w:t>81</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50</w:t>
            </w:r>
          </w:p>
        </w:tc>
        <w:tc>
          <w:tcPr>
            <w:tcW w:w="0" w:type="auto"/>
            <w:vAlign w:val="center"/>
            <w:hideMark/>
          </w:tcPr>
          <w:p w:rsidR="00C07927" w:rsidRPr="00883A36" w:rsidRDefault="00C07927" w:rsidP="004F7425">
            <w:pPr>
              <w:rPr>
                <w:lang w:eastAsia="lt-LT"/>
              </w:rPr>
            </w:pPr>
            <w:r w:rsidRPr="00883A36">
              <w:rPr>
                <w:lang w:eastAsia="lt-LT"/>
              </w:rPr>
              <w:t>Tauragės</w:t>
            </w:r>
          </w:p>
        </w:tc>
        <w:tc>
          <w:tcPr>
            <w:tcW w:w="0" w:type="auto"/>
            <w:vAlign w:val="center"/>
            <w:hideMark/>
          </w:tcPr>
          <w:p w:rsidR="00C07927" w:rsidRPr="00883A36" w:rsidRDefault="00C07927" w:rsidP="004F7425">
            <w:pPr>
              <w:jc w:val="center"/>
              <w:rPr>
                <w:lang w:eastAsia="lt-LT"/>
              </w:rPr>
            </w:pPr>
            <w:r w:rsidRPr="00883A36">
              <w:rPr>
                <w:lang w:eastAsia="lt-LT"/>
              </w:rPr>
              <w:t>264</w:t>
            </w:r>
          </w:p>
        </w:tc>
        <w:tc>
          <w:tcPr>
            <w:tcW w:w="0" w:type="auto"/>
            <w:vAlign w:val="center"/>
          </w:tcPr>
          <w:p w:rsidR="00C07927" w:rsidRPr="00766C72" w:rsidRDefault="00C07927" w:rsidP="004F7425">
            <w:pPr>
              <w:jc w:val="center"/>
              <w:rPr>
                <w:lang w:eastAsia="lt-LT"/>
              </w:rPr>
            </w:pPr>
            <w:r w:rsidRPr="00766C72">
              <w:rPr>
                <w:lang w:eastAsia="lt-LT"/>
              </w:rPr>
              <w:t>280</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51</w:t>
            </w:r>
          </w:p>
        </w:tc>
        <w:tc>
          <w:tcPr>
            <w:tcW w:w="0" w:type="auto"/>
            <w:vAlign w:val="center"/>
            <w:hideMark/>
          </w:tcPr>
          <w:p w:rsidR="00C07927" w:rsidRPr="00883A36" w:rsidRDefault="00C07927" w:rsidP="004F7425">
            <w:pPr>
              <w:rPr>
                <w:lang w:eastAsia="lt-LT"/>
              </w:rPr>
            </w:pPr>
            <w:r w:rsidRPr="00883A36">
              <w:rPr>
                <w:lang w:eastAsia="lt-LT"/>
              </w:rPr>
              <w:t>Telšių</w:t>
            </w:r>
          </w:p>
        </w:tc>
        <w:tc>
          <w:tcPr>
            <w:tcW w:w="0" w:type="auto"/>
            <w:vAlign w:val="center"/>
            <w:hideMark/>
          </w:tcPr>
          <w:p w:rsidR="00C07927" w:rsidRPr="00883A36" w:rsidRDefault="00C07927" w:rsidP="004F7425">
            <w:pPr>
              <w:jc w:val="center"/>
              <w:rPr>
                <w:lang w:eastAsia="lt-LT"/>
              </w:rPr>
            </w:pPr>
            <w:r w:rsidRPr="00883A36">
              <w:rPr>
                <w:lang w:eastAsia="lt-LT"/>
              </w:rPr>
              <w:t>308</w:t>
            </w:r>
          </w:p>
        </w:tc>
        <w:tc>
          <w:tcPr>
            <w:tcW w:w="0" w:type="auto"/>
            <w:vAlign w:val="center"/>
          </w:tcPr>
          <w:p w:rsidR="00C07927" w:rsidRPr="00766C72" w:rsidRDefault="00C07927" w:rsidP="004F7425">
            <w:pPr>
              <w:jc w:val="center"/>
              <w:rPr>
                <w:lang w:eastAsia="lt-LT"/>
              </w:rPr>
            </w:pPr>
            <w:r w:rsidRPr="00766C72">
              <w:rPr>
                <w:lang w:eastAsia="lt-LT"/>
              </w:rPr>
              <w:t>313</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52</w:t>
            </w:r>
          </w:p>
        </w:tc>
        <w:tc>
          <w:tcPr>
            <w:tcW w:w="0" w:type="auto"/>
            <w:vAlign w:val="center"/>
            <w:hideMark/>
          </w:tcPr>
          <w:p w:rsidR="00C07927" w:rsidRPr="00883A36" w:rsidRDefault="00C07927" w:rsidP="004F7425">
            <w:pPr>
              <w:rPr>
                <w:lang w:eastAsia="lt-LT"/>
              </w:rPr>
            </w:pPr>
            <w:r w:rsidRPr="00883A36">
              <w:rPr>
                <w:lang w:eastAsia="lt-LT"/>
              </w:rPr>
              <w:t>Trakų</w:t>
            </w:r>
          </w:p>
        </w:tc>
        <w:tc>
          <w:tcPr>
            <w:tcW w:w="0" w:type="auto"/>
            <w:vAlign w:val="center"/>
            <w:hideMark/>
          </w:tcPr>
          <w:p w:rsidR="00C07927" w:rsidRPr="00883A36" w:rsidRDefault="00C07927" w:rsidP="004F7425">
            <w:pPr>
              <w:jc w:val="center"/>
              <w:rPr>
                <w:lang w:eastAsia="lt-LT"/>
              </w:rPr>
            </w:pPr>
            <w:r w:rsidRPr="00883A36">
              <w:rPr>
                <w:lang w:eastAsia="lt-LT"/>
              </w:rPr>
              <w:t>76</w:t>
            </w:r>
          </w:p>
        </w:tc>
        <w:tc>
          <w:tcPr>
            <w:tcW w:w="0" w:type="auto"/>
            <w:vAlign w:val="center"/>
          </w:tcPr>
          <w:p w:rsidR="00C07927" w:rsidRPr="00766C72" w:rsidRDefault="00C07927" w:rsidP="004F7425">
            <w:pPr>
              <w:jc w:val="center"/>
              <w:rPr>
                <w:lang w:eastAsia="lt-LT"/>
              </w:rPr>
            </w:pPr>
            <w:r w:rsidRPr="00766C72">
              <w:rPr>
                <w:lang w:eastAsia="lt-LT"/>
              </w:rPr>
              <w:t>90</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53</w:t>
            </w:r>
          </w:p>
        </w:tc>
        <w:tc>
          <w:tcPr>
            <w:tcW w:w="0" w:type="auto"/>
            <w:vAlign w:val="center"/>
            <w:hideMark/>
          </w:tcPr>
          <w:p w:rsidR="00C07927" w:rsidRPr="00883A36" w:rsidRDefault="00C07927" w:rsidP="004F7425">
            <w:pPr>
              <w:rPr>
                <w:lang w:eastAsia="lt-LT"/>
              </w:rPr>
            </w:pPr>
            <w:r w:rsidRPr="00883A36">
              <w:rPr>
                <w:lang w:eastAsia="lt-LT"/>
              </w:rPr>
              <w:t>Ukmergės</w:t>
            </w:r>
          </w:p>
        </w:tc>
        <w:tc>
          <w:tcPr>
            <w:tcW w:w="0" w:type="auto"/>
            <w:vAlign w:val="center"/>
            <w:hideMark/>
          </w:tcPr>
          <w:p w:rsidR="00C07927" w:rsidRPr="00883A36" w:rsidRDefault="00C07927" w:rsidP="004F7425">
            <w:pPr>
              <w:jc w:val="center"/>
              <w:rPr>
                <w:lang w:eastAsia="lt-LT"/>
              </w:rPr>
            </w:pPr>
            <w:r w:rsidRPr="00883A36">
              <w:rPr>
                <w:lang w:eastAsia="lt-LT"/>
              </w:rPr>
              <w:t>165</w:t>
            </w:r>
          </w:p>
        </w:tc>
        <w:tc>
          <w:tcPr>
            <w:tcW w:w="0" w:type="auto"/>
            <w:vAlign w:val="center"/>
          </w:tcPr>
          <w:p w:rsidR="00C07927" w:rsidRPr="00766C72" w:rsidRDefault="00C07927" w:rsidP="004F7425">
            <w:pPr>
              <w:jc w:val="center"/>
              <w:rPr>
                <w:lang w:eastAsia="lt-LT"/>
              </w:rPr>
            </w:pPr>
            <w:r w:rsidRPr="00766C72">
              <w:rPr>
                <w:lang w:eastAsia="lt-LT"/>
              </w:rPr>
              <w:t>156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54</w:t>
            </w:r>
          </w:p>
        </w:tc>
        <w:tc>
          <w:tcPr>
            <w:tcW w:w="0" w:type="auto"/>
            <w:vAlign w:val="center"/>
            <w:hideMark/>
          </w:tcPr>
          <w:p w:rsidR="00C07927" w:rsidRPr="00883A36" w:rsidRDefault="00C07927" w:rsidP="004F7425">
            <w:pPr>
              <w:rPr>
                <w:lang w:eastAsia="lt-LT"/>
              </w:rPr>
            </w:pPr>
            <w:r w:rsidRPr="00883A36">
              <w:rPr>
                <w:lang w:eastAsia="lt-LT"/>
              </w:rPr>
              <w:t>Utenos</w:t>
            </w:r>
          </w:p>
        </w:tc>
        <w:tc>
          <w:tcPr>
            <w:tcW w:w="0" w:type="auto"/>
            <w:vAlign w:val="center"/>
            <w:hideMark/>
          </w:tcPr>
          <w:p w:rsidR="00C07927" w:rsidRPr="00883A36" w:rsidRDefault="00C07927" w:rsidP="004F7425">
            <w:pPr>
              <w:jc w:val="center"/>
              <w:rPr>
                <w:lang w:eastAsia="lt-LT"/>
              </w:rPr>
            </w:pPr>
            <w:r w:rsidRPr="00883A36">
              <w:rPr>
                <w:lang w:eastAsia="lt-LT"/>
              </w:rPr>
              <w:t>136</w:t>
            </w:r>
          </w:p>
        </w:tc>
        <w:tc>
          <w:tcPr>
            <w:tcW w:w="0" w:type="auto"/>
            <w:vAlign w:val="center"/>
          </w:tcPr>
          <w:p w:rsidR="00C07927" w:rsidRPr="00766C72" w:rsidRDefault="00C07927" w:rsidP="004F7425">
            <w:pPr>
              <w:jc w:val="center"/>
              <w:rPr>
                <w:lang w:eastAsia="lt-LT"/>
              </w:rPr>
            </w:pPr>
            <w:r w:rsidRPr="00766C72">
              <w:rPr>
                <w:lang w:eastAsia="lt-LT"/>
              </w:rPr>
              <w:t>115</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55</w:t>
            </w:r>
          </w:p>
        </w:tc>
        <w:tc>
          <w:tcPr>
            <w:tcW w:w="0" w:type="auto"/>
            <w:vAlign w:val="center"/>
            <w:hideMark/>
          </w:tcPr>
          <w:p w:rsidR="00C07927" w:rsidRPr="00883A36" w:rsidRDefault="00C07927" w:rsidP="004F7425">
            <w:pPr>
              <w:rPr>
                <w:lang w:eastAsia="lt-LT"/>
              </w:rPr>
            </w:pPr>
            <w:r w:rsidRPr="00883A36">
              <w:rPr>
                <w:lang w:eastAsia="lt-LT"/>
              </w:rPr>
              <w:t>Varėnos</w:t>
            </w:r>
          </w:p>
        </w:tc>
        <w:tc>
          <w:tcPr>
            <w:tcW w:w="0" w:type="auto"/>
            <w:vAlign w:val="center"/>
            <w:hideMark/>
          </w:tcPr>
          <w:p w:rsidR="00C07927" w:rsidRPr="00883A36" w:rsidRDefault="00C07927" w:rsidP="004F7425">
            <w:pPr>
              <w:jc w:val="center"/>
              <w:rPr>
                <w:lang w:eastAsia="lt-LT"/>
              </w:rPr>
            </w:pPr>
            <w:r w:rsidRPr="00883A36">
              <w:rPr>
                <w:lang w:eastAsia="lt-LT"/>
              </w:rPr>
              <w:t>89</w:t>
            </w:r>
          </w:p>
        </w:tc>
        <w:tc>
          <w:tcPr>
            <w:tcW w:w="0" w:type="auto"/>
            <w:vAlign w:val="center"/>
          </w:tcPr>
          <w:p w:rsidR="00C07927" w:rsidRPr="00766C72" w:rsidRDefault="00C07927" w:rsidP="004F7425">
            <w:pPr>
              <w:jc w:val="center"/>
              <w:rPr>
                <w:lang w:eastAsia="lt-LT"/>
              </w:rPr>
            </w:pPr>
            <w:r w:rsidRPr="00766C72">
              <w:rPr>
                <w:lang w:eastAsia="lt-LT"/>
              </w:rPr>
              <w:t>86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56</w:t>
            </w:r>
          </w:p>
        </w:tc>
        <w:tc>
          <w:tcPr>
            <w:tcW w:w="0" w:type="auto"/>
            <w:vAlign w:val="center"/>
            <w:hideMark/>
          </w:tcPr>
          <w:p w:rsidR="00C07927" w:rsidRPr="00883A36" w:rsidRDefault="00C07927" w:rsidP="004F7425">
            <w:pPr>
              <w:rPr>
                <w:lang w:eastAsia="lt-LT"/>
              </w:rPr>
            </w:pPr>
            <w:r w:rsidRPr="00883A36">
              <w:rPr>
                <w:lang w:eastAsia="lt-LT"/>
              </w:rPr>
              <w:t>Vilkaviškio</w:t>
            </w:r>
          </w:p>
        </w:tc>
        <w:tc>
          <w:tcPr>
            <w:tcW w:w="0" w:type="auto"/>
            <w:vAlign w:val="center"/>
            <w:hideMark/>
          </w:tcPr>
          <w:p w:rsidR="00C07927" w:rsidRPr="00883A36" w:rsidRDefault="00C07927" w:rsidP="004F7425">
            <w:pPr>
              <w:jc w:val="center"/>
              <w:rPr>
                <w:lang w:eastAsia="lt-LT"/>
              </w:rPr>
            </w:pPr>
            <w:r w:rsidRPr="00883A36">
              <w:rPr>
                <w:lang w:eastAsia="lt-LT"/>
              </w:rPr>
              <w:t>212</w:t>
            </w:r>
          </w:p>
        </w:tc>
        <w:tc>
          <w:tcPr>
            <w:tcW w:w="0" w:type="auto"/>
            <w:vAlign w:val="center"/>
          </w:tcPr>
          <w:p w:rsidR="00C07927" w:rsidRPr="00766C72" w:rsidRDefault="00C07927" w:rsidP="004F7425">
            <w:pPr>
              <w:jc w:val="center"/>
              <w:rPr>
                <w:lang w:eastAsia="lt-LT"/>
              </w:rPr>
            </w:pPr>
            <w:r w:rsidRPr="00766C72">
              <w:rPr>
                <w:lang w:eastAsia="lt-LT"/>
              </w:rPr>
              <w:t>212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57</w:t>
            </w:r>
          </w:p>
        </w:tc>
        <w:tc>
          <w:tcPr>
            <w:tcW w:w="0" w:type="auto"/>
            <w:vAlign w:val="center"/>
            <w:hideMark/>
          </w:tcPr>
          <w:p w:rsidR="00C07927" w:rsidRPr="00883A36" w:rsidRDefault="00C07927" w:rsidP="004F7425">
            <w:pPr>
              <w:rPr>
                <w:lang w:eastAsia="lt-LT"/>
              </w:rPr>
            </w:pPr>
            <w:r w:rsidRPr="00883A36">
              <w:rPr>
                <w:lang w:eastAsia="lt-LT"/>
              </w:rPr>
              <w:t>Vilniaus m.</w:t>
            </w:r>
          </w:p>
        </w:tc>
        <w:tc>
          <w:tcPr>
            <w:tcW w:w="0" w:type="auto"/>
            <w:vAlign w:val="center"/>
            <w:hideMark/>
          </w:tcPr>
          <w:p w:rsidR="00C07927" w:rsidRPr="00883A36" w:rsidRDefault="00C07927" w:rsidP="004F7425">
            <w:pPr>
              <w:jc w:val="center"/>
              <w:rPr>
                <w:lang w:eastAsia="lt-LT"/>
              </w:rPr>
            </w:pPr>
            <w:r w:rsidRPr="00883A36">
              <w:rPr>
                <w:lang w:eastAsia="lt-LT"/>
              </w:rPr>
              <w:t>2593</w:t>
            </w:r>
          </w:p>
        </w:tc>
        <w:tc>
          <w:tcPr>
            <w:tcW w:w="0" w:type="auto"/>
            <w:vAlign w:val="center"/>
          </w:tcPr>
          <w:p w:rsidR="00C07927" w:rsidRPr="00766C72" w:rsidRDefault="00C07927" w:rsidP="004F7425">
            <w:pPr>
              <w:jc w:val="center"/>
              <w:rPr>
                <w:lang w:eastAsia="lt-LT"/>
              </w:rPr>
            </w:pPr>
            <w:r w:rsidRPr="00766C72">
              <w:rPr>
                <w:lang w:eastAsia="lt-LT"/>
              </w:rPr>
              <w:t>2396</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58</w:t>
            </w:r>
          </w:p>
        </w:tc>
        <w:tc>
          <w:tcPr>
            <w:tcW w:w="0" w:type="auto"/>
            <w:vAlign w:val="center"/>
            <w:hideMark/>
          </w:tcPr>
          <w:p w:rsidR="00C07927" w:rsidRPr="00883A36" w:rsidRDefault="00C07927" w:rsidP="004F7425">
            <w:pPr>
              <w:rPr>
                <w:lang w:eastAsia="lt-LT"/>
              </w:rPr>
            </w:pPr>
            <w:r w:rsidRPr="00883A36">
              <w:rPr>
                <w:lang w:eastAsia="lt-LT"/>
              </w:rPr>
              <w:t>Vilniaus r.</w:t>
            </w:r>
          </w:p>
        </w:tc>
        <w:tc>
          <w:tcPr>
            <w:tcW w:w="0" w:type="auto"/>
            <w:vAlign w:val="center"/>
            <w:hideMark/>
          </w:tcPr>
          <w:p w:rsidR="00C07927" w:rsidRPr="00883A36" w:rsidRDefault="00C07927" w:rsidP="004F7425">
            <w:pPr>
              <w:jc w:val="center"/>
              <w:rPr>
                <w:lang w:eastAsia="lt-LT"/>
              </w:rPr>
            </w:pPr>
            <w:r w:rsidRPr="00883A36">
              <w:rPr>
                <w:lang w:eastAsia="lt-LT"/>
              </w:rPr>
              <w:t>241</w:t>
            </w:r>
          </w:p>
        </w:tc>
        <w:tc>
          <w:tcPr>
            <w:tcW w:w="0" w:type="auto"/>
            <w:vAlign w:val="center"/>
          </w:tcPr>
          <w:p w:rsidR="00C07927" w:rsidRPr="00766C72" w:rsidRDefault="00C07927" w:rsidP="004F7425">
            <w:pPr>
              <w:jc w:val="center"/>
              <w:rPr>
                <w:lang w:eastAsia="lt-LT"/>
              </w:rPr>
            </w:pPr>
            <w:r w:rsidRPr="00766C72">
              <w:rPr>
                <w:lang w:eastAsia="lt-LT"/>
              </w:rPr>
              <w:t>250</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59</w:t>
            </w:r>
          </w:p>
        </w:tc>
        <w:tc>
          <w:tcPr>
            <w:tcW w:w="0" w:type="auto"/>
            <w:vAlign w:val="center"/>
            <w:hideMark/>
          </w:tcPr>
          <w:p w:rsidR="00C07927" w:rsidRPr="00883A36" w:rsidRDefault="00C07927" w:rsidP="004F7425">
            <w:pPr>
              <w:rPr>
                <w:lang w:eastAsia="lt-LT"/>
              </w:rPr>
            </w:pPr>
            <w:r w:rsidRPr="00883A36">
              <w:rPr>
                <w:lang w:eastAsia="lt-LT"/>
              </w:rPr>
              <w:t>Visagino</w:t>
            </w:r>
          </w:p>
        </w:tc>
        <w:tc>
          <w:tcPr>
            <w:tcW w:w="0" w:type="auto"/>
            <w:vAlign w:val="center"/>
            <w:hideMark/>
          </w:tcPr>
          <w:p w:rsidR="00C07927" w:rsidRPr="00883A36" w:rsidRDefault="00C07927" w:rsidP="004F7425">
            <w:pPr>
              <w:jc w:val="center"/>
              <w:rPr>
                <w:lang w:eastAsia="lt-LT"/>
              </w:rPr>
            </w:pPr>
            <w:r w:rsidRPr="00883A36">
              <w:rPr>
                <w:lang w:eastAsia="lt-LT"/>
              </w:rPr>
              <w:t>223</w:t>
            </w:r>
          </w:p>
        </w:tc>
        <w:tc>
          <w:tcPr>
            <w:tcW w:w="0" w:type="auto"/>
            <w:vAlign w:val="center"/>
          </w:tcPr>
          <w:p w:rsidR="00C07927" w:rsidRPr="00766C72" w:rsidRDefault="00C07927" w:rsidP="004F7425">
            <w:pPr>
              <w:jc w:val="center"/>
              <w:rPr>
                <w:lang w:eastAsia="lt-LT"/>
              </w:rPr>
            </w:pPr>
            <w:r w:rsidRPr="00766C72">
              <w:rPr>
                <w:lang w:eastAsia="lt-LT"/>
              </w:rPr>
              <w:t>202</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r w:rsidRPr="00883A36">
              <w:rPr>
                <w:lang w:eastAsia="lt-LT"/>
              </w:rPr>
              <w:t>60</w:t>
            </w:r>
          </w:p>
        </w:tc>
        <w:tc>
          <w:tcPr>
            <w:tcW w:w="0" w:type="auto"/>
            <w:vAlign w:val="center"/>
            <w:hideMark/>
          </w:tcPr>
          <w:p w:rsidR="00C07927" w:rsidRPr="00883A36" w:rsidRDefault="00C07927" w:rsidP="004F7425">
            <w:pPr>
              <w:rPr>
                <w:lang w:eastAsia="lt-LT"/>
              </w:rPr>
            </w:pPr>
            <w:r w:rsidRPr="00883A36">
              <w:rPr>
                <w:lang w:eastAsia="lt-LT"/>
              </w:rPr>
              <w:t>Zarasų</w:t>
            </w:r>
          </w:p>
        </w:tc>
        <w:tc>
          <w:tcPr>
            <w:tcW w:w="0" w:type="auto"/>
            <w:vAlign w:val="center"/>
            <w:hideMark/>
          </w:tcPr>
          <w:p w:rsidR="00C07927" w:rsidRPr="00883A36" w:rsidRDefault="00C07927" w:rsidP="004F7425">
            <w:pPr>
              <w:jc w:val="center"/>
              <w:rPr>
                <w:lang w:eastAsia="lt-LT"/>
              </w:rPr>
            </w:pPr>
            <w:r w:rsidRPr="00883A36">
              <w:rPr>
                <w:lang w:eastAsia="lt-LT"/>
              </w:rPr>
              <w:t>45</w:t>
            </w:r>
          </w:p>
        </w:tc>
        <w:tc>
          <w:tcPr>
            <w:tcW w:w="0" w:type="auto"/>
            <w:vAlign w:val="center"/>
          </w:tcPr>
          <w:p w:rsidR="00C07927" w:rsidRPr="00766C72" w:rsidRDefault="00C07927" w:rsidP="004F7425">
            <w:pPr>
              <w:jc w:val="center"/>
              <w:rPr>
                <w:lang w:eastAsia="lt-LT"/>
              </w:rPr>
            </w:pPr>
            <w:r w:rsidRPr="00766C72">
              <w:rPr>
                <w:lang w:eastAsia="lt-LT"/>
              </w:rPr>
              <w:t>59</w:t>
            </w:r>
          </w:p>
        </w:tc>
      </w:tr>
      <w:tr w:rsidR="00C07927" w:rsidRPr="00766C72" w:rsidTr="004F7425">
        <w:trPr>
          <w:tblCellSpacing w:w="15" w:type="dxa"/>
          <w:jc w:val="center"/>
        </w:trPr>
        <w:tc>
          <w:tcPr>
            <w:tcW w:w="0" w:type="auto"/>
            <w:vAlign w:val="center"/>
            <w:hideMark/>
          </w:tcPr>
          <w:p w:rsidR="00C07927" w:rsidRPr="00883A36" w:rsidRDefault="00C07927" w:rsidP="004F7425">
            <w:pPr>
              <w:jc w:val="right"/>
              <w:rPr>
                <w:lang w:eastAsia="lt-LT"/>
              </w:rPr>
            </w:pPr>
          </w:p>
        </w:tc>
        <w:tc>
          <w:tcPr>
            <w:tcW w:w="0" w:type="auto"/>
            <w:vAlign w:val="center"/>
            <w:hideMark/>
          </w:tcPr>
          <w:p w:rsidR="00C07927" w:rsidRPr="00EF4ECF" w:rsidRDefault="00C07927" w:rsidP="004F7425">
            <w:pPr>
              <w:rPr>
                <w:b/>
                <w:lang w:eastAsia="lt-LT"/>
              </w:rPr>
            </w:pPr>
            <w:r w:rsidRPr="00EF4ECF">
              <w:rPr>
                <w:b/>
                <w:lang w:eastAsia="lt-LT"/>
              </w:rPr>
              <w:t>Viso:</w:t>
            </w:r>
          </w:p>
        </w:tc>
        <w:tc>
          <w:tcPr>
            <w:tcW w:w="0" w:type="auto"/>
            <w:vAlign w:val="center"/>
            <w:hideMark/>
          </w:tcPr>
          <w:p w:rsidR="00C07927" w:rsidRPr="00EF4ECF" w:rsidRDefault="00C07927" w:rsidP="004F7425">
            <w:pPr>
              <w:jc w:val="center"/>
              <w:rPr>
                <w:b/>
                <w:lang w:eastAsia="lt-LT"/>
              </w:rPr>
            </w:pPr>
            <w:r w:rsidRPr="00EF4ECF">
              <w:rPr>
                <w:b/>
                <w:lang w:eastAsia="lt-LT"/>
              </w:rPr>
              <w:t>15924</w:t>
            </w:r>
          </w:p>
        </w:tc>
        <w:tc>
          <w:tcPr>
            <w:tcW w:w="0" w:type="auto"/>
            <w:vAlign w:val="center"/>
          </w:tcPr>
          <w:p w:rsidR="00C07927" w:rsidRPr="00766C72" w:rsidRDefault="00C07927" w:rsidP="004F7425">
            <w:pPr>
              <w:jc w:val="center"/>
              <w:rPr>
                <w:b/>
                <w:lang w:eastAsia="lt-LT"/>
              </w:rPr>
            </w:pPr>
            <w:r w:rsidRPr="00766C72">
              <w:rPr>
                <w:b/>
                <w:lang w:eastAsia="lt-LT"/>
              </w:rPr>
              <w:t>14655</w:t>
            </w:r>
          </w:p>
        </w:tc>
      </w:tr>
    </w:tbl>
    <w:p w:rsidR="00C07927" w:rsidRDefault="00C07927" w:rsidP="00C07927"/>
    <w:p w:rsidR="00C07927" w:rsidRDefault="00C07927" w:rsidP="00C07927">
      <w:pPr>
        <w:jc w:val="both"/>
        <w:rPr>
          <w:b/>
          <w:bCs/>
          <w:spacing w:val="4"/>
        </w:rPr>
      </w:pPr>
    </w:p>
    <w:p w:rsidR="00C07927" w:rsidRPr="00775505" w:rsidRDefault="00C07927" w:rsidP="00C07927">
      <w:pPr>
        <w:jc w:val="both"/>
        <w:rPr>
          <w:bCs/>
          <w:spacing w:val="4"/>
        </w:rPr>
      </w:pPr>
      <w:r>
        <w:rPr>
          <w:bCs/>
          <w:spacing w:val="4"/>
        </w:rPr>
        <w:tab/>
      </w:r>
      <w:r w:rsidRPr="00775505">
        <w:rPr>
          <w:bCs/>
          <w:spacing w:val="4"/>
        </w:rPr>
        <w:t>Dėl socialinių priežasčių nesimokė 2009/2010 metais 155 vaikai; 2010/2011 metais 138 vaikai.</w:t>
      </w:r>
    </w:p>
    <w:p w:rsidR="00C07927" w:rsidRPr="00775505" w:rsidRDefault="00C07927" w:rsidP="00C07927">
      <w:pPr>
        <w:jc w:val="both"/>
        <w:rPr>
          <w:bCs/>
          <w:spacing w:val="4"/>
        </w:rPr>
      </w:pPr>
      <w:r>
        <w:rPr>
          <w:bCs/>
          <w:spacing w:val="4"/>
        </w:rPr>
        <w:tab/>
      </w:r>
      <w:r w:rsidRPr="00775505">
        <w:rPr>
          <w:bCs/>
          <w:spacing w:val="4"/>
        </w:rPr>
        <w:t xml:space="preserve">Dėl </w:t>
      </w:r>
      <w:r>
        <w:rPr>
          <w:bCs/>
          <w:spacing w:val="4"/>
        </w:rPr>
        <w:t xml:space="preserve">psichologinių priežasčių mokyklose nesimokė </w:t>
      </w:r>
      <w:r w:rsidRPr="00775505">
        <w:rPr>
          <w:bCs/>
          <w:spacing w:val="4"/>
        </w:rPr>
        <w:t>2009/2010 metais</w:t>
      </w:r>
      <w:r>
        <w:rPr>
          <w:bCs/>
          <w:spacing w:val="4"/>
        </w:rPr>
        <w:t xml:space="preserve"> 23</w:t>
      </w:r>
      <w:r w:rsidRPr="00775505">
        <w:rPr>
          <w:bCs/>
          <w:spacing w:val="4"/>
        </w:rPr>
        <w:t xml:space="preserve"> vaikai;</w:t>
      </w:r>
      <w:r>
        <w:rPr>
          <w:bCs/>
          <w:spacing w:val="4"/>
        </w:rPr>
        <w:t xml:space="preserve"> 2010/2011 metais </w:t>
      </w:r>
      <w:r w:rsidRPr="00775505">
        <w:rPr>
          <w:bCs/>
          <w:spacing w:val="4"/>
        </w:rPr>
        <w:t>38 vaikai.</w:t>
      </w:r>
    </w:p>
    <w:p w:rsidR="00C07927" w:rsidRPr="00775505" w:rsidRDefault="00C07927" w:rsidP="00C07927">
      <w:pPr>
        <w:jc w:val="both"/>
        <w:rPr>
          <w:bCs/>
          <w:spacing w:val="4"/>
        </w:rPr>
      </w:pPr>
      <w:r>
        <w:rPr>
          <w:bCs/>
          <w:spacing w:val="4"/>
        </w:rPr>
        <w:tab/>
        <w:t xml:space="preserve">Dėl mokymosi nesėkmių mokyklose nesimokė </w:t>
      </w:r>
      <w:r w:rsidRPr="00775505">
        <w:rPr>
          <w:bCs/>
          <w:spacing w:val="4"/>
        </w:rPr>
        <w:t>2009/2010 metais</w:t>
      </w:r>
      <w:r>
        <w:rPr>
          <w:bCs/>
          <w:spacing w:val="4"/>
        </w:rPr>
        <w:t xml:space="preserve"> 51 vaikas</w:t>
      </w:r>
      <w:r w:rsidRPr="00775505">
        <w:rPr>
          <w:bCs/>
          <w:spacing w:val="4"/>
        </w:rPr>
        <w:t>;</w:t>
      </w:r>
      <w:r>
        <w:rPr>
          <w:bCs/>
          <w:spacing w:val="4"/>
        </w:rPr>
        <w:t xml:space="preserve"> 2010/2011 metais 64</w:t>
      </w:r>
      <w:r w:rsidRPr="00775505">
        <w:rPr>
          <w:bCs/>
          <w:spacing w:val="4"/>
        </w:rPr>
        <w:t xml:space="preserve"> vaikai.</w:t>
      </w:r>
    </w:p>
    <w:p w:rsidR="00C07927" w:rsidRDefault="00C07927" w:rsidP="00C07927">
      <w:pPr>
        <w:jc w:val="both"/>
        <w:rPr>
          <w:bCs/>
          <w:spacing w:val="4"/>
        </w:rPr>
      </w:pPr>
      <w:r>
        <w:rPr>
          <w:bCs/>
          <w:spacing w:val="4"/>
        </w:rPr>
        <w:tab/>
        <w:t xml:space="preserve">Dėl priklausomybių ir nusikalstamumo mokyklose nesimokė </w:t>
      </w:r>
      <w:r w:rsidRPr="00775505">
        <w:rPr>
          <w:bCs/>
          <w:spacing w:val="4"/>
        </w:rPr>
        <w:t>2009/2010 metais</w:t>
      </w:r>
      <w:r>
        <w:rPr>
          <w:bCs/>
          <w:spacing w:val="4"/>
        </w:rPr>
        <w:t xml:space="preserve"> 10 vaikų</w:t>
      </w:r>
      <w:r w:rsidRPr="00775505">
        <w:rPr>
          <w:bCs/>
          <w:spacing w:val="4"/>
        </w:rPr>
        <w:t>;</w:t>
      </w:r>
      <w:r>
        <w:rPr>
          <w:bCs/>
          <w:spacing w:val="4"/>
        </w:rPr>
        <w:t xml:space="preserve"> 2010/2011 metais 4</w:t>
      </w:r>
      <w:r w:rsidRPr="00775505">
        <w:rPr>
          <w:bCs/>
          <w:spacing w:val="4"/>
        </w:rPr>
        <w:t xml:space="preserve"> vaikai.</w:t>
      </w:r>
    </w:p>
    <w:p w:rsidR="00C07927" w:rsidRDefault="00C07927" w:rsidP="00C07927">
      <w:pPr>
        <w:jc w:val="both"/>
        <w:rPr>
          <w:bCs/>
          <w:spacing w:val="4"/>
        </w:rPr>
      </w:pPr>
      <w:r>
        <w:rPr>
          <w:bCs/>
          <w:spacing w:val="4"/>
        </w:rPr>
        <w:lastRenderedPageBreak/>
        <w:tab/>
        <w:t xml:space="preserve">Išvykę iš šalies (oficialiai nedeklaruota) </w:t>
      </w:r>
      <w:r w:rsidRPr="00775505">
        <w:rPr>
          <w:bCs/>
          <w:spacing w:val="4"/>
        </w:rPr>
        <w:t>2009/2010 metais</w:t>
      </w:r>
      <w:r>
        <w:rPr>
          <w:bCs/>
          <w:spacing w:val="4"/>
        </w:rPr>
        <w:t xml:space="preserve"> 6889 vaikų</w:t>
      </w:r>
      <w:r w:rsidRPr="00775505">
        <w:rPr>
          <w:bCs/>
          <w:spacing w:val="4"/>
        </w:rPr>
        <w:t>;</w:t>
      </w:r>
      <w:r>
        <w:rPr>
          <w:bCs/>
          <w:spacing w:val="4"/>
        </w:rPr>
        <w:t xml:space="preserve"> 2010/2011 metais 7496</w:t>
      </w:r>
      <w:r w:rsidRPr="00775505">
        <w:rPr>
          <w:bCs/>
          <w:spacing w:val="4"/>
        </w:rPr>
        <w:t xml:space="preserve"> vaikai.</w:t>
      </w:r>
    </w:p>
    <w:p w:rsidR="00C07927" w:rsidRPr="00D42C6B" w:rsidRDefault="00C07927" w:rsidP="00C07927">
      <w:pPr>
        <w:jc w:val="both"/>
        <w:rPr>
          <w:bCs/>
          <w:spacing w:val="4"/>
        </w:rPr>
      </w:pPr>
      <w:r>
        <w:rPr>
          <w:b/>
          <w:bCs/>
          <w:spacing w:val="4"/>
        </w:rPr>
        <w:tab/>
      </w:r>
      <w:r w:rsidRPr="00D42C6B">
        <w:rPr>
          <w:bCs/>
          <w:spacing w:val="4"/>
        </w:rPr>
        <w:t>Nerasti 2009/2010 mokslo metais 8796 vaikai; 2010/2011 mokslo metais 6465 vaikai.</w:t>
      </w:r>
    </w:p>
    <w:p w:rsidR="00C07927" w:rsidRPr="00775505" w:rsidRDefault="00C07927" w:rsidP="00C07927">
      <w:pPr>
        <w:jc w:val="both"/>
        <w:rPr>
          <w:bCs/>
          <w:spacing w:val="4"/>
        </w:rPr>
      </w:pPr>
      <w:r>
        <w:rPr>
          <w:bCs/>
          <w:spacing w:val="4"/>
        </w:rPr>
        <w:t xml:space="preserve">Darytina išvada, kad būtinas atskiras dėl kiekvieno 6465 nesimokančio ir nerasto vaiko tyrimas, įtraukiant į jų paieškas teisėsaugos institucijas. </w:t>
      </w:r>
    </w:p>
    <w:p w:rsidR="00C07927" w:rsidRDefault="00C07927" w:rsidP="00C07927">
      <w:pPr>
        <w:jc w:val="both"/>
      </w:pPr>
      <w:r>
        <w:rPr>
          <w:bCs/>
          <w:spacing w:val="4"/>
        </w:rPr>
        <w:tab/>
        <w:t>2011-06-29 Komisija p</w:t>
      </w:r>
      <w:r>
        <w:t>riėmė sprendimą, pažymėdama, kad Komisija, 2009–2011 metais atlikusi tyrimą dėl Lietuvos Respublikos vaiko minimalios ir vidutinės priežiūros įstatymo nuostatų įgyvendinimo ir nustačiusi, kad nerasti 6 465 nesimokantys iki 16 metų</w:t>
      </w:r>
      <w:r w:rsidRPr="004B0CE5">
        <w:t xml:space="preserve"> </w:t>
      </w:r>
      <w:r>
        <w:t xml:space="preserve">vaikai, nusprendė: </w:t>
      </w:r>
    </w:p>
    <w:p w:rsidR="00C07927" w:rsidRDefault="00C07927" w:rsidP="00C07927">
      <w:pPr>
        <w:ind w:left="720"/>
        <w:jc w:val="both"/>
      </w:pPr>
      <w:r>
        <w:t>1</w:t>
      </w:r>
      <w:r w:rsidRPr="00212F4E">
        <w:t>.</w:t>
      </w:r>
      <w:r>
        <w:t xml:space="preserve"> </w:t>
      </w:r>
      <w:r w:rsidRPr="00212F4E">
        <w:t>Atkreipti Lietuvos Respublikos Vyriausybės dėmesį į tai, kad</w:t>
      </w:r>
      <w:r>
        <w:t xml:space="preserve"> b</w:t>
      </w:r>
      <w:r w:rsidRPr="00212F4E">
        <w:t>ūtina užtikrinti visų vaikų</w:t>
      </w:r>
      <w:r>
        <w:t>,</w:t>
      </w:r>
      <w:r w:rsidRPr="00212F4E">
        <w:t xml:space="preserve"> gyvenančių Lietuvoje</w:t>
      </w:r>
      <w:r>
        <w:t>,</w:t>
      </w:r>
      <w:r w:rsidRPr="00212F4E">
        <w:t xml:space="preserve"> mokymąsi pagal privalomojo švietimo programas, </w:t>
      </w:r>
      <w:r>
        <w:t>kadangi</w:t>
      </w:r>
      <w:r w:rsidRPr="00212F4E">
        <w:t xml:space="preserve"> pagal Lietuvos Respublikos Konstituciją mokslas Lietuvoje yra privalomas vaikams iki 16 metų</w:t>
      </w:r>
      <w:r>
        <w:t>, todėl:</w:t>
      </w:r>
    </w:p>
    <w:p w:rsidR="00C07927" w:rsidRDefault="00C07927" w:rsidP="00C07927">
      <w:pPr>
        <w:ind w:left="720"/>
        <w:jc w:val="both"/>
        <w:rPr>
          <w:iCs/>
          <w:color w:val="000000"/>
        </w:rPr>
      </w:pPr>
      <w:r>
        <w:t xml:space="preserve">1) būtina skatinti </w:t>
      </w:r>
      <w:r>
        <w:rPr>
          <w:iCs/>
          <w:color w:val="000000"/>
        </w:rPr>
        <w:t xml:space="preserve"> tarpinstitucinį bendradarbiavimą, vykdant prevencinę veiklą, skirtą mažinti mokyklos nelankančių vaikų skaičių.  Būtinas aktyvus Vidaus reikalų ministerijos tarnybų dalyvavimas ieškant vaikų, gyvenančių savivaldybių adresu įregistruotose šeimose;  </w:t>
      </w:r>
    </w:p>
    <w:p w:rsidR="00C07927" w:rsidRPr="002C0D3B" w:rsidRDefault="00C07927" w:rsidP="00C07927">
      <w:pPr>
        <w:ind w:left="720"/>
        <w:jc w:val="both"/>
        <w:rPr>
          <w:iCs/>
          <w:color w:val="000000"/>
        </w:rPr>
      </w:pPr>
      <w:r>
        <w:rPr>
          <w:iCs/>
          <w:color w:val="000000"/>
        </w:rPr>
        <w:t xml:space="preserve">2) būtina, kad visos savivaldybės tvarkytų  apskaitą apie mokyklos nelankančius 17–18 metų amžiaus vaikus; </w:t>
      </w:r>
    </w:p>
    <w:p w:rsidR="00C07927" w:rsidRDefault="00C07927" w:rsidP="00C07927">
      <w:pPr>
        <w:ind w:left="720"/>
        <w:jc w:val="both"/>
        <w:rPr>
          <w:iCs/>
          <w:color w:val="000000"/>
        </w:rPr>
      </w:pPr>
      <w:r>
        <w:rPr>
          <w:iCs/>
          <w:color w:val="000000"/>
        </w:rPr>
        <w:t xml:space="preserve">3) būtina griežčiau taikyti </w:t>
      </w:r>
      <w:r w:rsidRPr="00705DB3">
        <w:t>Lietuvos Respublikos administracinių teisės pažeidimų kodekso 181 straipsnio nuostat</w:t>
      </w:r>
      <w:r>
        <w:t xml:space="preserve">as ir </w:t>
      </w:r>
      <w:r w:rsidRPr="00705DB3">
        <w:rPr>
          <w:iCs/>
          <w:color w:val="000000"/>
        </w:rPr>
        <w:t xml:space="preserve">civilinės </w:t>
      </w:r>
      <w:r>
        <w:rPr>
          <w:iCs/>
          <w:color w:val="000000"/>
        </w:rPr>
        <w:t xml:space="preserve">bei </w:t>
      </w:r>
      <w:r w:rsidRPr="00705DB3">
        <w:rPr>
          <w:iCs/>
          <w:color w:val="000000"/>
        </w:rPr>
        <w:t xml:space="preserve">baudžiamosios </w:t>
      </w:r>
      <w:r>
        <w:rPr>
          <w:iCs/>
          <w:color w:val="000000"/>
        </w:rPr>
        <w:t>teisės poveikio priemones u</w:t>
      </w:r>
      <w:r w:rsidRPr="00705DB3">
        <w:rPr>
          <w:iCs/>
          <w:color w:val="000000"/>
        </w:rPr>
        <w:t xml:space="preserve">ž </w:t>
      </w:r>
      <w:r w:rsidRPr="00705DB3">
        <w:rPr>
          <w:iCs/>
        </w:rPr>
        <w:t>vaiko iki 16 metų mokymosi pagal privalomojo švietimo programas</w:t>
      </w:r>
      <w:r w:rsidRPr="00705DB3">
        <w:rPr>
          <w:iCs/>
          <w:color w:val="000000"/>
        </w:rPr>
        <w:t xml:space="preserve"> neužtikrinimą</w:t>
      </w:r>
      <w:r>
        <w:rPr>
          <w:iCs/>
          <w:color w:val="000000"/>
        </w:rPr>
        <w:t xml:space="preserve"> d</w:t>
      </w:r>
      <w:r w:rsidRPr="00705DB3">
        <w:t>ėl nepakankamo tėvų valdžios panaudojimo ar panaudojimo priešingai vaiko interesams</w:t>
      </w:r>
      <w:r>
        <w:t xml:space="preserve">. </w:t>
      </w:r>
    </w:p>
    <w:p w:rsidR="00C07927" w:rsidRPr="00DB2B0E" w:rsidRDefault="00C07927" w:rsidP="00C07927">
      <w:pPr>
        <w:ind w:left="720"/>
        <w:jc w:val="both"/>
        <w:rPr>
          <w:iCs/>
          <w:color w:val="000000"/>
        </w:rPr>
      </w:pPr>
      <w:r>
        <w:rPr>
          <w:iCs/>
          <w:color w:val="000000"/>
        </w:rPr>
        <w:t>2</w:t>
      </w:r>
      <w:r w:rsidRPr="00DB2B0E">
        <w:rPr>
          <w:iCs/>
          <w:color w:val="000000"/>
        </w:rPr>
        <w:t xml:space="preserve">. Siūlyti Lietuvos Respublikos Vyriausybei </w:t>
      </w:r>
      <w:r>
        <w:rPr>
          <w:iCs/>
          <w:color w:val="000000"/>
        </w:rPr>
        <w:t xml:space="preserve">ir Lietuvos savivaldybių asociacijai </w:t>
      </w:r>
      <w:r w:rsidRPr="00DB2B0E">
        <w:rPr>
          <w:iCs/>
          <w:color w:val="000000"/>
        </w:rPr>
        <w:t xml:space="preserve">sudaryti tarpinstitucinę darbo grupę dėl </w:t>
      </w:r>
      <w:r>
        <w:rPr>
          <w:iCs/>
          <w:color w:val="000000"/>
        </w:rPr>
        <w:t xml:space="preserve">nerastų </w:t>
      </w:r>
      <w:r w:rsidRPr="00DB2B0E">
        <w:rPr>
          <w:iCs/>
          <w:color w:val="000000"/>
        </w:rPr>
        <w:t>6</w:t>
      </w:r>
      <w:r>
        <w:rPr>
          <w:iCs/>
          <w:color w:val="000000"/>
        </w:rPr>
        <w:t xml:space="preserve"> </w:t>
      </w:r>
      <w:r w:rsidRPr="00DB2B0E">
        <w:rPr>
          <w:iCs/>
          <w:color w:val="000000"/>
        </w:rPr>
        <w:t xml:space="preserve">465  </w:t>
      </w:r>
      <w:r>
        <w:rPr>
          <w:iCs/>
          <w:color w:val="000000"/>
        </w:rPr>
        <w:t xml:space="preserve">nesimokančių </w:t>
      </w:r>
      <w:r w:rsidRPr="00DB2B0E">
        <w:rPr>
          <w:iCs/>
          <w:color w:val="000000"/>
        </w:rPr>
        <w:t xml:space="preserve">vaikų </w:t>
      </w:r>
      <w:r>
        <w:rPr>
          <w:iCs/>
          <w:color w:val="000000"/>
        </w:rPr>
        <w:t xml:space="preserve">iki 16 metų </w:t>
      </w:r>
      <w:r w:rsidRPr="00DB2B0E">
        <w:rPr>
          <w:iCs/>
          <w:color w:val="000000"/>
        </w:rPr>
        <w:t xml:space="preserve">paieškos. </w:t>
      </w:r>
      <w:r>
        <w:rPr>
          <w:iCs/>
          <w:color w:val="000000"/>
        </w:rPr>
        <w:t xml:space="preserve">Iki 2011 m. rugsėjo 1 d. informuoti Narkomanijos ir alkoholizmo prevencijos komisiją apie paieškos rezultatus ir Vaiko teisių apsaugos kontrolierę. </w:t>
      </w:r>
    </w:p>
    <w:p w:rsidR="00C07927" w:rsidRPr="00705DB3" w:rsidRDefault="00C07927" w:rsidP="00C07927">
      <w:pPr>
        <w:numPr>
          <w:ilvl w:val="0"/>
          <w:numId w:val="48"/>
        </w:numPr>
        <w:spacing w:after="200" w:line="276" w:lineRule="auto"/>
        <w:jc w:val="both"/>
        <w:rPr>
          <w:iCs/>
          <w:color w:val="000000"/>
        </w:rPr>
      </w:pPr>
      <w:r>
        <w:rPr>
          <w:iCs/>
          <w:color w:val="000000"/>
        </w:rPr>
        <w:t xml:space="preserve">Apie nerastus 6 465 nesimokančius iki 16 metų vaikus informuoti Lietuvos Respublikos generalinį prokurorą. </w:t>
      </w:r>
    </w:p>
    <w:p w:rsidR="00C07927" w:rsidRDefault="00C07927" w:rsidP="00C07927">
      <w:pPr>
        <w:jc w:val="both"/>
        <w:rPr>
          <w:bCs/>
          <w:spacing w:val="4"/>
        </w:rPr>
      </w:pPr>
      <w:r>
        <w:rPr>
          <w:bCs/>
          <w:spacing w:val="4"/>
        </w:rPr>
        <w:t>Ministras Pirmininkas 2011 m. gruodžio 23 d. potvarkiu Nr. 323 sudarė darbo grupę pasiūlymams dėl nesimokančių vaikų nustatymo ir paieškos parengti.</w:t>
      </w:r>
    </w:p>
    <w:p w:rsidR="00C07927" w:rsidRDefault="00C07927" w:rsidP="00C07927">
      <w:pPr>
        <w:jc w:val="both"/>
        <w:rPr>
          <w:bCs/>
          <w:szCs w:val="20"/>
        </w:rPr>
      </w:pPr>
      <w:r>
        <w:rPr>
          <w:bCs/>
          <w:spacing w:val="4"/>
        </w:rPr>
        <w:tab/>
        <w:t xml:space="preserve">Komisija </w:t>
      </w:r>
      <w:r>
        <w:rPr>
          <w:bCs/>
          <w:szCs w:val="20"/>
        </w:rPr>
        <w:t xml:space="preserve">2011-12-20 raštu Nr. S-2011-11284 „Dėl nesimokančių ir nerastų vaikų“                                                      kreipėsi į Lietuvos Respublikos Generalinį prokurorą  Darių Valį. </w:t>
      </w:r>
    </w:p>
    <w:p w:rsidR="00C07927" w:rsidRPr="00705DB3" w:rsidRDefault="00C07927" w:rsidP="00C07927">
      <w:pPr>
        <w:jc w:val="both"/>
        <w:rPr>
          <w:iCs/>
          <w:color w:val="000000"/>
        </w:rPr>
      </w:pPr>
      <w:r>
        <w:tab/>
        <w:t>Komisija nurodė, kad nagrinėja mokyklose nesimokančių vaikų problemas ir nustatė, kad 2009-2010 mokslo metais iki 16 metų nesimokančių ir nerastų vaikų Lietuvoje buvo 6465. Komisija 2011-06-29 priėmė sprendimą atkreipdama</w:t>
      </w:r>
      <w:r w:rsidRPr="00212F4E">
        <w:t xml:space="preserve"> Lietuvos Respublikos Vyriausybės dėmesį į tai, kad</w:t>
      </w:r>
      <w:r>
        <w:t xml:space="preserve"> b</w:t>
      </w:r>
      <w:r w:rsidRPr="00212F4E">
        <w:t>ūtina užtikrinti visų vaikų</w:t>
      </w:r>
      <w:r>
        <w:t>,</w:t>
      </w:r>
      <w:r w:rsidRPr="00212F4E">
        <w:t xml:space="preserve"> gyvenančių Lietuvoje</w:t>
      </w:r>
      <w:r>
        <w:t>,</w:t>
      </w:r>
      <w:r w:rsidRPr="00212F4E">
        <w:t xml:space="preserve"> mokymąsi pagal privalomojo švietimo programas, </w:t>
      </w:r>
      <w:r>
        <w:t>kadangi</w:t>
      </w:r>
      <w:r w:rsidRPr="00212F4E">
        <w:t xml:space="preserve"> pagal Lietuvos Respublikos Konstituciją mokslas Lietuvoje yra privalomas vaikams iki 16 metų</w:t>
      </w:r>
      <w:r>
        <w:t xml:space="preserve"> ir pasiūlė skatinti </w:t>
      </w:r>
      <w:r>
        <w:rPr>
          <w:iCs/>
          <w:color w:val="000000"/>
        </w:rPr>
        <w:t xml:space="preserve"> tarpinstitucinį bendradarbiavimą, vykdant prevencinę veiklą, skirtą mažinti mokyklos nelankančių vaikų skaičių, aktyviai įtraukiant Vidaus reikalų ministerijos tarnybas ieškoti vaikų, gyvenančių savivaldybių adresu įregistruotose šeimose. Komisija pasiūlė, kad visos savivaldybės tvarkytų  apskaitą apie mokyklos nelankančius 17–18 metų amžiaus vaikus; griežčiau taikyti </w:t>
      </w:r>
      <w:r w:rsidRPr="00705DB3">
        <w:t>Lietuvos Respublikos administracinių teisės pažeidimų kodekso 181 straipsnio nuostat</w:t>
      </w:r>
      <w:r>
        <w:t xml:space="preserve">as ir </w:t>
      </w:r>
      <w:r w:rsidRPr="00705DB3">
        <w:rPr>
          <w:iCs/>
          <w:color w:val="000000"/>
        </w:rPr>
        <w:t xml:space="preserve">civilinės </w:t>
      </w:r>
      <w:r>
        <w:rPr>
          <w:iCs/>
          <w:color w:val="000000"/>
        </w:rPr>
        <w:t xml:space="preserve">bei </w:t>
      </w:r>
      <w:r w:rsidRPr="00705DB3">
        <w:rPr>
          <w:iCs/>
          <w:color w:val="000000"/>
        </w:rPr>
        <w:t xml:space="preserve">baudžiamosios </w:t>
      </w:r>
      <w:r>
        <w:rPr>
          <w:iCs/>
          <w:color w:val="000000"/>
        </w:rPr>
        <w:t>teisės poveikio priemones u</w:t>
      </w:r>
      <w:r w:rsidRPr="00705DB3">
        <w:rPr>
          <w:iCs/>
          <w:color w:val="000000"/>
        </w:rPr>
        <w:t xml:space="preserve">ž </w:t>
      </w:r>
      <w:r w:rsidRPr="00705DB3">
        <w:rPr>
          <w:iCs/>
        </w:rPr>
        <w:t>vaiko iki 16 metų mokymosi pagal privalomojo švietimo programas</w:t>
      </w:r>
      <w:r w:rsidRPr="00705DB3">
        <w:rPr>
          <w:iCs/>
          <w:color w:val="000000"/>
        </w:rPr>
        <w:t xml:space="preserve"> neužtikrinimą</w:t>
      </w:r>
      <w:r>
        <w:rPr>
          <w:iCs/>
          <w:color w:val="000000"/>
        </w:rPr>
        <w:t xml:space="preserve"> d</w:t>
      </w:r>
      <w:r w:rsidRPr="00705DB3">
        <w:t>ėl nepakankamo tėvų valdžios panaudojimo ar panaudojimo priešingai vaiko interesams</w:t>
      </w:r>
      <w:r>
        <w:t>;</w:t>
      </w:r>
      <w:r w:rsidRPr="00DB2B0E">
        <w:rPr>
          <w:iCs/>
          <w:color w:val="000000"/>
        </w:rPr>
        <w:t xml:space="preserve"> Lietuvos Respublikos Vyriausybei </w:t>
      </w:r>
      <w:r>
        <w:rPr>
          <w:iCs/>
          <w:color w:val="000000"/>
        </w:rPr>
        <w:t xml:space="preserve">ir Lietuvos savivaldybių asociacijai </w:t>
      </w:r>
      <w:r w:rsidRPr="00DB2B0E">
        <w:rPr>
          <w:iCs/>
          <w:color w:val="000000"/>
        </w:rPr>
        <w:t xml:space="preserve">sudaryti tarpinstitucinę darbo grupę dėl </w:t>
      </w:r>
      <w:r>
        <w:rPr>
          <w:iCs/>
          <w:color w:val="000000"/>
        </w:rPr>
        <w:t xml:space="preserve">nerastų </w:t>
      </w:r>
      <w:r w:rsidRPr="00DB2B0E">
        <w:rPr>
          <w:iCs/>
          <w:color w:val="000000"/>
        </w:rPr>
        <w:t>6</w:t>
      </w:r>
      <w:r>
        <w:rPr>
          <w:iCs/>
          <w:color w:val="000000"/>
        </w:rPr>
        <w:t xml:space="preserve"> </w:t>
      </w:r>
      <w:r w:rsidRPr="00DB2B0E">
        <w:rPr>
          <w:iCs/>
          <w:color w:val="000000"/>
        </w:rPr>
        <w:t xml:space="preserve">465  </w:t>
      </w:r>
      <w:r>
        <w:rPr>
          <w:iCs/>
          <w:color w:val="000000"/>
        </w:rPr>
        <w:t xml:space="preserve">nesimokančių </w:t>
      </w:r>
      <w:r w:rsidRPr="00DB2B0E">
        <w:rPr>
          <w:iCs/>
          <w:color w:val="000000"/>
        </w:rPr>
        <w:t xml:space="preserve">vaikų </w:t>
      </w:r>
      <w:r>
        <w:rPr>
          <w:iCs/>
          <w:color w:val="000000"/>
        </w:rPr>
        <w:t xml:space="preserve">iki 16 metų </w:t>
      </w:r>
      <w:r w:rsidRPr="00DB2B0E">
        <w:rPr>
          <w:iCs/>
          <w:color w:val="000000"/>
        </w:rPr>
        <w:t xml:space="preserve">paieškos. </w:t>
      </w:r>
      <w:r>
        <w:rPr>
          <w:iCs/>
          <w:color w:val="000000"/>
        </w:rPr>
        <w:t xml:space="preserve">Iki 2011 m. rugsėjo 1 d. informuoti Narkomanijos ir alkoholizmo prevencijos komisiją apie paieškos rezultatus ir Vaiko teisių apsaugos kontrolierę. Apie nerastus 6 465 nesimokančius iki 16 metų vaikus informuoti Lietuvos Respublikos generalinį prokurorą. </w:t>
      </w:r>
    </w:p>
    <w:p w:rsidR="00C07927" w:rsidRPr="00C11397" w:rsidRDefault="00C07927" w:rsidP="00C07927">
      <w:pPr>
        <w:jc w:val="both"/>
      </w:pPr>
      <w:r>
        <w:tab/>
        <w:t>Pakartotinai nesimokančių vaikų klausimą komisija nagrinėjo 2011 11 09 ir a</w:t>
      </w:r>
      <w:r w:rsidRPr="00237232">
        <w:t>tsižvelg</w:t>
      </w:r>
      <w:r>
        <w:t>dama</w:t>
      </w:r>
      <w:r w:rsidRPr="00237232">
        <w:t xml:space="preserve"> į tai, kad </w:t>
      </w:r>
      <w:r>
        <w:t xml:space="preserve">Seimo Narkomanijos ir alkoholizmo prevencijos komisija 2011-06-29 sprendimu atkreipė Lietuvos Respublikos Vyriausybės dėmesį į  nerastų 6465 ir nesimokančių iki 16 metų vaikų problemą ir pasiūlė šiais  klausimais sudaryti tarpinstitucinę darbo grupę bei į tai, kad Ministro Pirmininko kancleris Deividas Matulionis 2011-07-11  Komisijos siūlymus  ir sprendimą nukreipė  Švietimo ir mokslo, Socialinės apsaugos ir darbo, Vidaus reikalų ir Teisingumo </w:t>
      </w:r>
      <w:r>
        <w:lastRenderedPageBreak/>
        <w:t xml:space="preserve">ministerijoms, tačiau, vaikų paieška iki šiol nevyksta, priėmė sprendimą siūlyti Lietuvos Respublikos Vyriausybei sudaryti tarpžinybinę darbo grupę teisės aktams dėl savivaldybės teritorijoje gyvenančių vaikų apskaitos organizavimo parengti. Pakartotinai pasiūlė Lietuvos Respublikos Vyriausybei  skubiai spręsti  6 465 vaikų, iki 16 metų nesimokančių ir nerastų, ir  jų tėvų atsakomybės klausimą. Paprašė Lietuvos Respublikos Vyriausybę skubiai pateikti Lietuvos Respublikos Seimui Lietuvos Respublikos gyvenamosios vietos deklaravimo įstatymo pataisas. Pasiūlė </w:t>
      </w:r>
      <w:r w:rsidRPr="00C11397">
        <w:t>Lietuvos Respublikos Vyriausybei parengti teisės aktus dėl bendros informacinės sistemos sukūrimo, su</w:t>
      </w:r>
      <w:r>
        <w:t xml:space="preserve">jungiant </w:t>
      </w:r>
      <w:r w:rsidRPr="00C11397">
        <w:t>so</w:t>
      </w:r>
      <w:r>
        <w:t>cialinių  išmokų vaikams skyrimą</w:t>
      </w:r>
      <w:r w:rsidRPr="00C11397">
        <w:t xml:space="preserve"> ir </w:t>
      </w:r>
      <w:r>
        <w:t xml:space="preserve"> mokėjimą tėvams </w:t>
      </w:r>
      <w:r w:rsidRPr="00C11397">
        <w:t xml:space="preserve"> su tėvų pareiga užtikrinti vaiko teisę į mokslą</w:t>
      </w:r>
      <w:r>
        <w:t xml:space="preserve"> ir su nesimokančių vaikų ir mokyklos nelankančių mokinių informacine sistema.</w:t>
      </w:r>
      <w:r w:rsidRPr="00C11397">
        <w:t xml:space="preserve"> </w:t>
      </w:r>
      <w:r>
        <w:t xml:space="preserve">Pasiūlė </w:t>
      </w:r>
      <w:r w:rsidRPr="00C11397">
        <w:t>Lietuvos Respublikos Vyriausybei įvertinti savivaldybių  Vaiko teisių apsaugos tarnybų</w:t>
      </w:r>
      <w:r w:rsidRPr="00431689">
        <w:t xml:space="preserve"> </w:t>
      </w:r>
      <w:r w:rsidRPr="00C11397">
        <w:t>darbo efektyvumą, kurios</w:t>
      </w:r>
      <w:r>
        <w:t>,</w:t>
      </w:r>
      <w:r w:rsidRPr="00C11397">
        <w:t xml:space="preserve"> tur</w:t>
      </w:r>
      <w:r>
        <w:t xml:space="preserve">ėdamos </w:t>
      </w:r>
      <w:r w:rsidRPr="00C11397">
        <w:t xml:space="preserve">pakankamai įgaliojimų, kad </w:t>
      </w:r>
      <w:r>
        <w:t xml:space="preserve">patikrintų informaciją </w:t>
      </w:r>
      <w:r w:rsidRPr="00C11397">
        <w:t>pagal nerastų vaikų tėvų ar globėjų duomenis dėl vaiko mokymo</w:t>
      </w:r>
      <w:r>
        <w:t>si i</w:t>
      </w:r>
      <w:r w:rsidRPr="00C11397">
        <w:t>r buvimo vietos,</w:t>
      </w:r>
      <w:r w:rsidRPr="00431689">
        <w:t xml:space="preserve"> </w:t>
      </w:r>
      <w:r w:rsidRPr="00C11397">
        <w:t xml:space="preserve"> </w:t>
      </w:r>
      <w:r>
        <w:t>tų įgaliojimų</w:t>
      </w:r>
      <w:r w:rsidRPr="00C11397">
        <w:t xml:space="preserve"> netaiko, </w:t>
      </w:r>
      <w:r>
        <w:t xml:space="preserve">ir </w:t>
      </w:r>
      <w:r w:rsidRPr="00C11397">
        <w:t xml:space="preserve">teikti siūlymus Saulėlydžio komisijai paspartinti reformą. </w:t>
      </w:r>
    </w:p>
    <w:p w:rsidR="00C07927" w:rsidRDefault="00C07927" w:rsidP="00C07927">
      <w:pPr>
        <w:jc w:val="both"/>
      </w:pPr>
      <w:r>
        <w:tab/>
        <w:t xml:space="preserve">Atsižvelgiant į tai, kad Lietuvos Respublikos generalinė prokuratūra, Socialinės apsaugos ir darbo ministerija ir Vaiko teisių apsaugos kontrolieriaus įstaiga 2011-01-27 pasirašė bendradarbiavimo susitarimą Nr. 17.3-40/D4-45/11-1. </w:t>
      </w:r>
    </w:p>
    <w:p w:rsidR="00C07927" w:rsidRDefault="00C07927" w:rsidP="00C07927">
      <w:pPr>
        <w:jc w:val="both"/>
      </w:pPr>
      <w:r>
        <w:t>Komisija prašo skubiai padėti spręsti nerastų iki 16 metų nesimokančių 6 465  vaikų klausimą.</w:t>
      </w:r>
    </w:p>
    <w:p w:rsidR="00C07927" w:rsidRPr="00530AE7" w:rsidRDefault="00C07927" w:rsidP="00C07927">
      <w:pPr>
        <w:jc w:val="both"/>
      </w:pPr>
      <w:r>
        <w:tab/>
      </w:r>
    </w:p>
    <w:p w:rsidR="00C07927" w:rsidRPr="00222FE2" w:rsidRDefault="00C07927" w:rsidP="00C07927">
      <w:pPr>
        <w:jc w:val="both"/>
        <w:rPr>
          <w:b/>
          <w:bCs/>
          <w:spacing w:val="4"/>
        </w:rPr>
      </w:pPr>
    </w:p>
    <w:p w:rsidR="00C07927" w:rsidRDefault="00C07927" w:rsidP="00C07927">
      <w:pPr>
        <w:jc w:val="both"/>
      </w:pPr>
    </w:p>
    <w:p w:rsidR="00C07927" w:rsidRDefault="00C07927" w:rsidP="00C07927">
      <w:pPr>
        <w:jc w:val="both"/>
        <w:rPr>
          <w:b/>
        </w:rPr>
      </w:pPr>
      <w:r w:rsidRPr="00462DCF">
        <w:rPr>
          <w:rFonts w:eastAsia="Arial Unicode MS"/>
          <w:b/>
        </w:rPr>
        <w:t xml:space="preserve">Dėl siūlymų Seimo Audito komitetui „Dėl </w:t>
      </w:r>
      <w:r w:rsidRPr="00462DCF">
        <w:rPr>
          <w:b/>
        </w:rPr>
        <w:t xml:space="preserve">siūlymų Valstybės kontrolės valstybinio audito 2012 metų programai“. </w:t>
      </w:r>
    </w:p>
    <w:p w:rsidR="00C07927" w:rsidRPr="00462DCF" w:rsidRDefault="00C07927" w:rsidP="00C07927">
      <w:pPr>
        <w:jc w:val="both"/>
        <w:rPr>
          <w:b/>
        </w:rPr>
      </w:pPr>
    </w:p>
    <w:p w:rsidR="00C07927" w:rsidRDefault="00C07927" w:rsidP="00C07927">
      <w:pPr>
        <w:jc w:val="both"/>
      </w:pPr>
      <w:r>
        <w:tab/>
        <w:t xml:space="preserve">2011-09-28 Komisija bendru sutarimu priėmė sprendimą siūlyti </w:t>
      </w:r>
      <w:r>
        <w:rPr>
          <w:rFonts w:eastAsia="Arial Unicode MS"/>
        </w:rPr>
        <w:t xml:space="preserve">Seimo Audito komitetui „Dėl </w:t>
      </w:r>
      <w:r w:rsidRPr="00ED42B7">
        <w:t>siūlymų Valstybės kontrolės valstybinio audito 2012 metų programai</w:t>
      </w:r>
      <w:r>
        <w:t>“</w:t>
      </w:r>
      <w:r w:rsidRPr="00ED42B7">
        <w:t xml:space="preserve"> </w:t>
      </w:r>
      <w:r>
        <w:t xml:space="preserve"> įtraukti į</w:t>
      </w:r>
      <w:r w:rsidRPr="00381F7C">
        <w:t xml:space="preserve"> Valstybės kontrolės valsty</w:t>
      </w:r>
      <w:r>
        <w:t xml:space="preserve">binio audito 2012 metų programą </w:t>
      </w:r>
      <w:r w:rsidRPr="00381F7C">
        <w:t xml:space="preserve"> </w:t>
      </w:r>
      <w:r>
        <w:t>atlikti valstybinį veiklos auditą:</w:t>
      </w:r>
    </w:p>
    <w:p w:rsidR="00C07927" w:rsidRDefault="00C07927" w:rsidP="00C07927">
      <w:pPr>
        <w:jc w:val="both"/>
      </w:pPr>
      <w:r w:rsidRPr="00C36F28">
        <w:tab/>
        <w:t>1</w:t>
      </w:r>
      <w:r>
        <w:t>. Dėl Nacionalinės</w:t>
      </w:r>
      <w:r w:rsidRPr="00806C08">
        <w:t xml:space="preserve"> narkomanijos prevencijos ir nark</w:t>
      </w:r>
      <w:r>
        <w:t xml:space="preserve">otikų kontrolės 2004–2008 metų  programos 2008 metų įgyvendinimo priemonių vykdymo, jų </w:t>
      </w:r>
      <w:r w:rsidRPr="009E3E20">
        <w:t>rezultatų</w:t>
      </w:r>
      <w:r>
        <w:t xml:space="preserve"> ir  </w:t>
      </w:r>
      <w:r w:rsidRPr="009E3E20">
        <w:t>Lietuvos Respublikos valstybės bi</w:t>
      </w:r>
      <w:r>
        <w:t xml:space="preserve">udžeto lėšų naudojimo;  teisėtos narkotinių ir psichotropinių medžiagų 2004 - 2010 metų apyvartos ir panaudojimo kontrolės, </w:t>
      </w:r>
      <w:r w:rsidRPr="009E3E20">
        <w:t>Lietuvos Respublikos valstybės bi</w:t>
      </w:r>
      <w:r>
        <w:t>udžeto lėšų naudojimo</w:t>
      </w:r>
      <w:r w:rsidRPr="009E3E20">
        <w:t>.</w:t>
      </w:r>
      <w:r>
        <w:t> </w:t>
      </w:r>
    </w:p>
    <w:p w:rsidR="00C07927" w:rsidRDefault="00C07927" w:rsidP="00C07927">
      <w:pPr>
        <w:jc w:val="both"/>
      </w:pPr>
      <w:r>
        <w:tab/>
        <w:t xml:space="preserve">2. </w:t>
      </w:r>
      <w:r w:rsidRPr="00552490">
        <w:t xml:space="preserve">Dėl </w:t>
      </w:r>
      <w:r>
        <w:t xml:space="preserve">Lietuvos Respublikos Vyriausybės 2004 m. gegužės 19 d. nutarimo Nr. 600 „Dėl </w:t>
      </w:r>
      <w:r w:rsidRPr="00552490">
        <w:t>Nepilnamečių just</w:t>
      </w:r>
      <w:r>
        <w:t>icijos 2004–2008 metų programos</w:t>
      </w:r>
      <w:r w:rsidRPr="00552490">
        <w:t xml:space="preserve"> patvirtin</w:t>
      </w:r>
      <w:r>
        <w:t xml:space="preserve">imo“ įgyvendinimo,  įgyvendinimo priemonių vykdymo, jų rezultatų ir </w:t>
      </w:r>
      <w:r w:rsidRPr="009E3E20">
        <w:t>Lietuvos Respublikos valstybės bi</w:t>
      </w:r>
      <w:r>
        <w:t>udžeto lėšų naudojimo</w:t>
      </w:r>
      <w:r w:rsidRPr="009E3E20">
        <w:t>.</w:t>
      </w:r>
    </w:p>
    <w:p w:rsidR="00C07927" w:rsidRDefault="00C07927" w:rsidP="00C07927">
      <w:pPr>
        <w:jc w:val="both"/>
      </w:pPr>
    </w:p>
    <w:p w:rsidR="00C07927" w:rsidRDefault="00C07927" w:rsidP="00C07927">
      <w:pPr>
        <w:jc w:val="both"/>
      </w:pPr>
    </w:p>
    <w:p w:rsidR="00C07927" w:rsidRPr="00AC68B1" w:rsidRDefault="00C07927" w:rsidP="00C07927">
      <w:pPr>
        <w:jc w:val="both"/>
        <w:rPr>
          <w:rFonts w:eastAsia="MS Mincho"/>
          <w:b/>
          <w:color w:val="000000"/>
        </w:rPr>
      </w:pPr>
      <w:r w:rsidRPr="00AC68B1">
        <w:rPr>
          <w:b/>
          <w:sz w:val="32"/>
          <w:szCs w:val="32"/>
        </w:rPr>
        <w:tab/>
      </w:r>
      <w:r w:rsidRPr="00AC68B1">
        <w:rPr>
          <w:b/>
        </w:rPr>
        <w:t xml:space="preserve">Dėl  </w:t>
      </w:r>
      <w:r w:rsidRPr="00AC68B1">
        <w:rPr>
          <w:rFonts w:eastAsia="MS Mincho"/>
          <w:b/>
          <w:color w:val="000000"/>
        </w:rPr>
        <w:t>Prekybos žmonėmis prevencijos ir kontrolės 2005 – 2008 metų ir 2009 – 2012 metų programose numatytų priemonių įgyvendinimo</w:t>
      </w:r>
    </w:p>
    <w:p w:rsidR="00C07927" w:rsidRPr="00F3247D" w:rsidRDefault="00C07927" w:rsidP="00C07927">
      <w:pPr>
        <w:jc w:val="both"/>
        <w:rPr>
          <w:b/>
          <w:sz w:val="32"/>
          <w:szCs w:val="32"/>
        </w:rPr>
      </w:pPr>
    </w:p>
    <w:p w:rsidR="00C07927" w:rsidRDefault="00C07927" w:rsidP="00C07927">
      <w:pPr>
        <w:spacing w:before="40" w:after="40"/>
        <w:ind w:firstLine="720"/>
        <w:jc w:val="both"/>
      </w:pPr>
      <w:r>
        <w:t>Apibendrinus Komisijos posėdžiuose pateiktą informaciją matyti, kad paauglių nukentėjusių nuo prekybos žmonėmis 14-18 metų amžiaus yra 37 %, o 19-20 metų amžiaus yra 15%. Vadovaujantis Baltijos regiono Šiaurės valstybių šalių samprata, žmogus subręsta tik 20 metų amžiaus, tad galima teigti, kad Lietuvoje  nuo prekybos žmonėmis nukenčia virš 50% (dar nesubrendusių) jaunuolių. JAV Valstybės Departamentas kovos su prekyba žmonėmis ataskaitoje pažymi: „Lietuvos Vyriausybė 2009 m nefinansavo NVO dirbančių aukų pagalbos ir reabilitacijos srityje“. Taip pat ankstesnėse ataskaitose nurodoma, kad: „Lietuva yra moterų ir nepilnamečių merginų, parduodamų seksualinio išnaudojimo tikslais, importo, eksporto ir tranzito šaltinis“. Lietuvos kriminalinės policijos biuro Nusikaltimų tyrimo 1-osios valdybos Prekybos žmonėmis tyrimo skyriaus teikiamais duomenimis, prekybos žmonėmis požiūriu Lietuva pirmauja Europoje. Iš 55 sulaikytų Londone prekybos žmonėmis aukų net 10 aukų buvo iš Lietuvos. Tarptautinės Migracijos organizacijos duomenimis tik 10% nukentėjusių nuo prekybos žmonėmis moterų kreipiasi pagalbos. Todėl, Lietuvoje nėra bent apytikslės prekybos žmonėmis aukų statistikos. Valstybinių institucijų atstovai, tiek NVO vieningai sutaria: Prekybos žmonėmis aukų (tame tarpe ir nepilnamečių)  ekonominio sunkmečio metu tikrai  nesumažėjo, o žymiai išaugo ir šiuo metu valstybinių institucijų veiksmai visai neadekvatūs susidariusiai situacijai. „</w:t>
      </w:r>
      <w:r>
        <w:rPr>
          <w:rFonts w:eastAsia="MS Mincho"/>
        </w:rPr>
        <w:t xml:space="preserve">Prekybos žmonėmis prevencijos ir kontrolės 2009 – 2012 m. programoje” rašoma: „ypač turėtų būti atkreipiamas dėmesys į viktimizacijos procesus bei </w:t>
      </w:r>
      <w:r>
        <w:rPr>
          <w:rFonts w:eastAsia="MS Mincho"/>
        </w:rPr>
        <w:lastRenderedPageBreak/>
        <w:t xml:space="preserve">vaikų resocializaciją, įvairiapusę pagalbą jiems, nes iki šiol dėmesio tam skiriama nepakankamai“. </w:t>
      </w:r>
      <w:r>
        <w:t>Lietuvoje prekybos žmonėmis aukų integracijos funkcija yra deleguota NVO, jas finansuojant iš valstybinės programos. Dingusių žmonių šeimų paramos centras 15 metų dirba šioje srityje, 9 metai veikia Valstybinės prekybos žmonėmis prevencijos ir kontrolės programos, 10 metų šioje srityje veikia „Caritas“, tačiau, dalinis finansavimas aukų integracijai gaunamas apie balandžio ar liepos mėnesius</w:t>
      </w:r>
      <w:r>
        <w:rPr>
          <w:i/>
          <w:iCs/>
        </w:rPr>
        <w:t>.</w:t>
      </w:r>
      <w:r w:rsidRPr="00204B09">
        <w:t xml:space="preserve"> </w:t>
      </w:r>
      <w:r>
        <w:t xml:space="preserve">2010 m. Dingusių žmonių šeimų paramos centras aukų integracijai iš Lietuvos Respublikos Vyriausybės gavo vos 41% reikiamų lėšų, o lėšos skirtos prevencijai tesudarė </w:t>
      </w:r>
      <w:r w:rsidRPr="001D17A9">
        <w:t>1</w:t>
      </w:r>
      <w:r>
        <w:t xml:space="preserve">%. </w:t>
      </w:r>
      <w:r>
        <w:tab/>
        <w:t>P</w:t>
      </w:r>
      <w:r>
        <w:rPr>
          <w:rFonts w:eastAsia="MS Mincho"/>
        </w:rPr>
        <w:t xml:space="preserve">opuliarėja prekybos nepilnamečiais formos,  kaip </w:t>
      </w:r>
      <w:r>
        <w:rPr>
          <w:rFonts w:eastAsia="MS Mincho"/>
          <w:bCs/>
        </w:rPr>
        <w:t>priverstinis vagiliavimas, elgetavimas ar vertimas daryti kitus smulkius nusikaltimus. Tačiau mūsų šalies įstatymuose šie nusikaltimai nereglamentuojami,</w:t>
      </w:r>
      <w:r>
        <w:rPr>
          <w:rFonts w:eastAsia="MS Mincho"/>
        </w:rPr>
        <w:t xml:space="preserve"> tad nuo šių nusikalstamų veikų nukentėję nepilnamečiai nėra identifikuojami kaip prekybos žmonėmis aukos, o jų išnaudotojai nėra baudžiami. </w:t>
      </w:r>
      <w:r>
        <w:rPr>
          <w:rFonts w:eastAsia="MS Mincho"/>
          <w:iCs/>
        </w:rPr>
        <w:t>S</w:t>
      </w:r>
      <w:r>
        <w:t>iekiant mažinti nepilnamečių įtraukimą į prekybos žmonėmis tinklą, būtina vykdyti platų prevencinį darbą, kuris turėtų būti kompleksiškas, ilgalaikis, sistemingas, koordinuotas ir pritaikytas konkrečioms socialinėms grupėms, įtrauktas į mokymo programas. Mokyklose ir kitose jaunimo ugdymo įstaigose labai trūksta informacijos šia tema: paskaitų, disputų, edukacinių filmų, informacinių leidinių, įdomių ir patrauklių akcijų irk t. Ypač tokios informacijos trūksta vaikų globos įstaigose. Būtina, kad ugdymo įstaigose būtų daugiau ir įdomiau kalbama apie moralę, vidinį žmogaus grožį, diskutuojama apie vertybes ir vertę, kad pedagogai daugiau bendrautų su šeimomis, rodytų asmeninį pavyzdį, kad tai būtų atsvara žiniasklaidos propaguojamoms negatyvioms nuostatoms. Tyrimų duomenimis Lietuvos vaikai nelaimingiausi Europoje. 11 tūkstančių šeimų per metus išsiskiria, iš jų  pusė šeimų turi vaikų. Tai reiškia, kad tie vaikai jaučia diskomfortą, bėga iš namų. Vis dar nevykdomas prevencinis darbas dėl vaikų bėgimo iš namų ar iš globos įstaigų. Jiems tiesiog prisegama „blogiukų“ etiketė ir tuo viskas baigiasi. Nekreipiamas reikiamas dėmesys vaikų paieškai, dingusiųjų apskaitai. Netgi be žinios dingusių vaikų skaičius atskirose Vidaus reikalų ministerijos ataskaitose skiriasi. VRM viceministras S. Liutkevičius rašte „Dėl statistinės informacijos apie vaikus“ Socialinės apsaugos ir darbo ministerijai ir Statistikos Departamentui nurodo, kad 2009 m. be žinios buvo dingę 787 vaikai, tuo tarpu kitas VRM šaltinis mini 866 vaikus. Statistikos departamentas pateikia duomenis, kad 2009–2010 m. iš 15 924 nelankiusių mokyklos nepilnamečių, 8769 įvardinti kaip dingę be žinios.</w:t>
      </w:r>
    </w:p>
    <w:p w:rsidR="00C07927" w:rsidRDefault="00C07927" w:rsidP="00C07927">
      <w:pPr>
        <w:ind w:right="72" w:firstLine="720"/>
        <w:jc w:val="both"/>
      </w:pPr>
      <w:r>
        <w:t xml:space="preserve">Dingusių žmonių šeimų paramos centras pažymi, kad buvo numatyta Lietuvoje įsteigti koordinacinį centrą už kurio įsteigimą buvo atsakinga Vidaus reikalų ministerija ir vietos savivaldybės, tačiau, Koordinacinis centras neįsteigtas.  </w:t>
      </w:r>
    </w:p>
    <w:p w:rsidR="00C07927" w:rsidRDefault="00C07927" w:rsidP="00C07927">
      <w:pPr>
        <w:ind w:right="72" w:firstLine="720"/>
        <w:jc w:val="both"/>
      </w:pPr>
      <w:r>
        <w:t xml:space="preserve">Paminėta dar vieną problemą – dėl nepilnamečių seksualinis išnaudojimas. </w:t>
      </w:r>
    </w:p>
    <w:p w:rsidR="00C07927" w:rsidRDefault="00C07927" w:rsidP="00C07927">
      <w:pPr>
        <w:ind w:right="72" w:firstLine="720"/>
        <w:jc w:val="both"/>
      </w:pPr>
      <w:r>
        <w:t xml:space="preserve">2007 m. ESBO tarptautinėje konferencijoje “Prekybos žmonėmis prevencija, problemos ir sprendimai” buvo pasakyta, kad Lietuvoje 1200 moterų per metus  nukenčia nuo prekybos žmonėmis. Organizacijos dirbančios su vaikais pažymi, kad Lietuvoje daugėja  jaunų mergaičių įtraukiamų į prostituciją. Daugėja vaikų nukentėjusių nuo seksualinės prievartos. Policijos departamento  duomenimis per 2010 metų 9 mėnesius nuo seksualinės prievartos nukentėjo 111 nepilnamečių. Šis reiškinys yra latentinis, vaikai vengia apie tai kalbėti Dėl nepilnamečių reabilitacijos reikėtų pasiremti Europos Parlamento rekomendacijomis dėl kovos su prekybos žmonėmis. Jose siūloma vertinti prekybą nepilnamečiais vaikais ir moterimis skirtingais kriterijais. Vaikų ir paauglių ir suaugusių asmenų poreikiai yra skirtingi ir turi būti tenkinami skirtingai. 2005 – 2008 metų Programoje buvo numatyta priemonė  - parengti nepilnamečiams nukentėjusiems nuo prekybos žmonėmis specializuotą reabilitacijos programą, kuri iki šiol programa neparengta. Lietuvoje nesukurtas kvalifikuotas efektyvios pagalbos tinklas apimantis prevencines, intervencines ir postvencines priemones prieš nepilnamečių seksualinį išnaudojimą . Nėra institucijos, kuri teiktų kvalifikuotą pagalbą. Suteikę pagalbą daugiau nei 40 mergaičių žino jų problemas. Būtina teikti visą kompleksinę pagalbą, kurios rezultatai priklauso nuo santykių šeimoje. Su šeima turi dirbti psichologas, reikia savalaikio finansavimo. Tėvai nori viską užmiršti. Reikia liudytojų apsaugos. </w:t>
      </w:r>
    </w:p>
    <w:p w:rsidR="00C07927" w:rsidRDefault="00C07927" w:rsidP="00C07927">
      <w:pPr>
        <w:ind w:right="72" w:firstLine="720"/>
        <w:jc w:val="both"/>
      </w:pPr>
      <w:r>
        <w:t xml:space="preserve">Ekonominio sunkmečio metu išryškėjo naujos prekybos žmonėmis  formos, kurios teisės aktais nereglamentuojamos: elgetavimas,  priverstinis vagiliavimas ar vertimas daryti smulkius nusikaltimus užsienyje. Nuo šių nusikaltimų nukentėję nepilnamečiai nereglamentuojami kaip aukos, o jų išnaudotojai nebaudžiami ir toliau tęsia savo nusikalstamą veiką.  </w:t>
      </w:r>
    </w:p>
    <w:p w:rsidR="00C07927" w:rsidRDefault="00C07927" w:rsidP="00C07927">
      <w:pPr>
        <w:ind w:right="72" w:firstLine="720"/>
        <w:jc w:val="both"/>
      </w:pPr>
      <w:r>
        <w:t xml:space="preserve">Dingusių žmonių šeimų paramos centras 2011 metais buvo vykdė “Pasiklydę internete” projektą, kuri finansavo užsienio valstybių fondai. Apie pavojus internete būtina kalbėti daugiau. Informacija nepasiekia jaunimo iš tolimesnių rajonų. Nepakankamas dėmesys paauglių švietimui ir popamokiniam užimtumui. Prevencinis darbas turi būti kompleksiškas ir pritaikytas konkrečioms </w:t>
      </w:r>
      <w:r>
        <w:lastRenderedPageBreak/>
        <w:t xml:space="preserve">grupėms. Vaikų globos įstaigų vaikai nežino kas tai yra prekyba žmonėmis. Reikia švietėjiško prevencinio darbo prieš prekybą žmonėmis. 2008 metais pieštas piešinys “Neparduok savęs” Rotušės a. Vilniuje, dalyvavo 100 vaikų. 2009 m. 40 vaikų dalyvavo projekte – kuriant socialinį klipą prieš prekybą žmonėmis. 2010 metais Seime buvo surengta foto paroda, 70 moksleivių iš 70 mokyklų. Išleistas albumas. </w:t>
      </w:r>
    </w:p>
    <w:p w:rsidR="00C07927" w:rsidRDefault="00C07927" w:rsidP="00C07927">
      <w:pPr>
        <w:ind w:right="72" w:firstLine="720"/>
        <w:jc w:val="both"/>
        <w:rPr>
          <w:rFonts w:eastAsia="MS Mincho"/>
        </w:rPr>
      </w:pPr>
      <w:r>
        <w:t>Nevyriausybinės organizacijos siūlymai: užtikrinti,</w:t>
      </w:r>
      <w:r>
        <w:rPr>
          <w:rStyle w:val="apple-converted-space"/>
        </w:rPr>
        <w:t xml:space="preserve"> kad NVO, vykdančios prekybos žmonėmis aukų reabilitaciją, lėšas iš Valstybinės </w:t>
      </w:r>
      <w:r>
        <w:t xml:space="preserve"> Prekybos žmonėmis prevencijos ir kontrolės 2009-2012 metų programos gautų einamųjų metų sausio 1 d.; užtikrinti specializuotą  pagalbą ir reabilitaciją seksualinę prievartą patyrusiems vaikams, svarstyti galimybę įkurti nacionalinį pagalbos ir reabilitacijos seksualinę prievartą patyrusiems nepilnamečiams centrą; įsteigti specializuotą nukentėjusiųjų nuo prekybos žmonėmis informacinį koordinacinį centrą; tobulinti dingusių be žinios vaikų, taip pat nelankančių mokyklą nepilnamečių apskaitos sistemą, aktyvinti jų paieškos procesą; vykdyti plačią  </w:t>
      </w:r>
      <w:r>
        <w:rPr>
          <w:bCs/>
        </w:rPr>
        <w:t>prevencinę veiklą</w:t>
      </w:r>
      <w:r>
        <w:t xml:space="preserve"> šioje srityje</w:t>
      </w:r>
      <w:r>
        <w:rPr>
          <w:b/>
        </w:rPr>
        <w:t xml:space="preserve">, </w:t>
      </w:r>
      <w:r>
        <w:t>siekti didesnio įvairių</w:t>
      </w:r>
      <w:r>
        <w:rPr>
          <w:rStyle w:val="apple-converted-space"/>
        </w:rPr>
        <w:t> </w:t>
      </w:r>
      <w:r>
        <w:t>prevencinių programų, projektų, atskirų priemonių efektyvumo, vengti formalios, tik ataskaitoms skirtos veiklos</w:t>
      </w:r>
      <w:r>
        <w:rPr>
          <w:b/>
        </w:rPr>
        <w:t>,</w:t>
      </w:r>
      <w:r>
        <w:t xml:space="preserve"> plėsti informacinę švietėjišką veiklą prieš prekybą žmonėmis; </w:t>
      </w:r>
      <w:r>
        <w:rPr>
          <w:rFonts w:eastAsia="MS Mincho"/>
        </w:rPr>
        <w:t>teisiškai reglamentuoti tokius nusikaltimus, kada vaikai išvežami į užsienį ir verčiami  vagiliauti, elgetauti ar vykdyti kitus nusikaltimus. Šiuo metu tokie nepilnamečiai nukentėję nuo nusikalstamų veikų  nėra identifikuojami kaip prekybos žmonėmis aukos, o jų išnaudotojai nėra baudžiami.</w:t>
      </w:r>
    </w:p>
    <w:p w:rsidR="00C07927" w:rsidRDefault="00C07927" w:rsidP="00C07927">
      <w:pPr>
        <w:spacing w:before="40" w:after="40"/>
        <w:ind w:firstLine="720"/>
        <w:jc w:val="both"/>
      </w:pPr>
      <w:r>
        <w:t>Nuo 2004 metų vykdomas projektas “Merginų gebėjimų stiprinimas Lietuvoje” ir tai pirmas tokio pobūdžio projektas 11-17 metų amžiaus merginoms. 2010 metais veikė 43 grupės ir viena berniukų grupė. Apie 350 vaikų veikė tose grupėse. Antras projektas “Pasiklydę virtualiame pasaulyje” vykdomas nuo praeitų metų keliose ES valstybėse ir truks 2 metus. 2010 metais tirta situaciją šalyje. Apklausoje dalyvavo 792 moksleiviai, 263 tėvai ir globėjai, 191 mokytojas, mokyklos socialiniai darbuotojai ir mokyklos administracijos atstovai. Projekto tikslas – informacijos vystymasis ir edukacinė medžiaga smurtui mažinti per šiuolaikines informacines ir komunikacines technologijas. Išsiaiškinta, kiek laiko moksleiviai naudojasi internetu ir ką jie veikia internete, ar žino apie pavojus internete. Išvežtos merginos, dažniausiai 17-18 metų amžiaus, nemoka kalbos, neturi pinigų, būna prigąsdintos ir  tampa  priklausomos  nuo to, kuris jas  išvežė. Užsienyje aukų integraciją prisiima valstybė ir yra valstybinės institucijos, kurios gauna finansavimą iš valstybės. Lietuvoje aukų integraciją valstybė delegavo nevyriausybinėms organizacijoms. Metodines medžiagas turi perteikti specialistai, kalbėtis su aukomis, aiškinti mokyklose, rengti įvairias akcijas.</w:t>
      </w:r>
    </w:p>
    <w:p w:rsidR="00C07927" w:rsidRDefault="00C07927" w:rsidP="00C07927">
      <w:pPr>
        <w:spacing w:before="40" w:after="40"/>
        <w:ind w:firstLine="720"/>
        <w:jc w:val="both"/>
      </w:pPr>
      <w:r>
        <w:t xml:space="preserve">Centrui skirtos lėšos panaudotos 95 proc.  integracijai. Jos gaunamos nuo liepos 1 d.. o iki to pusė metų neaišku kaip aukas maitinti ir kaip apmokėti už komunalines paslaugas. Prašo skirti lėšas nuo sausio 1 d., nes pusė metų nėra už ką aukas maitinti. Iš skirtų lėšų, 1 proc. nueina prevencijai, visos kitos integracijai. Gelbėja situaciją - užsienio valstybių fondai. </w:t>
      </w:r>
    </w:p>
    <w:p w:rsidR="00C07927" w:rsidRDefault="00C07927" w:rsidP="00C07927">
      <w:pPr>
        <w:spacing w:before="40" w:after="40"/>
        <w:ind w:firstLine="720"/>
        <w:jc w:val="both"/>
        <w:rPr>
          <w:color w:val="000000"/>
          <w:szCs w:val="22"/>
        </w:rPr>
      </w:pPr>
      <w:r>
        <w:t>Vidaus reikalų ministerijos Viešojo saugumo politikos departamentas koordinuoja “</w:t>
      </w:r>
      <w:r>
        <w:rPr>
          <w:rFonts w:eastAsia="MS Mincho"/>
          <w:color w:val="000000"/>
        </w:rPr>
        <w:t xml:space="preserve">Prekybos žmonėmis prevencijos ir kontrolės 2005 – 2008 metų programoje “ ir </w:t>
      </w:r>
      <w:r>
        <w:t>“</w:t>
      </w:r>
      <w:r>
        <w:rPr>
          <w:rFonts w:eastAsia="MS Mincho"/>
          <w:color w:val="000000"/>
        </w:rPr>
        <w:t>Prekybos žmonėmis prevencijos bei kontrolės 2009 – 2012 metų programoje” numatytų priemonių įgyvendinimą. D</w:t>
      </w:r>
      <w:r>
        <w:t>abartiniu metu šalyje šiais klausimais  vykdoma trečioji programa. Programos įgyvendinime dalyvauja virš 20 subjektų. Lietuvoje sukurta 3 pakopų koordinavimo kovos su prekyba žmonėmis</w:t>
      </w:r>
      <w:r w:rsidRPr="00BC779C">
        <w:t xml:space="preserve"> </w:t>
      </w:r>
      <w:r>
        <w:t xml:space="preserve">sistema. 6 metus JAV departamentas teigiamai vertina Lietuvos pastangas kovoje su prekyba žmonėmis. </w:t>
      </w:r>
    </w:p>
    <w:p w:rsidR="00C07927" w:rsidRDefault="00C07927" w:rsidP="00C07927">
      <w:pPr>
        <w:spacing w:before="40" w:after="40"/>
        <w:ind w:firstLine="720"/>
        <w:jc w:val="both"/>
        <w:rPr>
          <w:color w:val="000000"/>
          <w:szCs w:val="22"/>
        </w:rPr>
      </w:pPr>
      <w:r>
        <w:t xml:space="preserve">Vidaus reikalų ministerijos Viešojo saugumo politikos departamento atstovų teigimu </w:t>
      </w:r>
      <w:r>
        <w:rPr>
          <w:color w:val="000000"/>
          <w:szCs w:val="22"/>
        </w:rPr>
        <w:t xml:space="preserve">nepaskirtas nepriklausomas koordinatorius, nes rengiama ET direktyva privalomai sukurti nepriklausomą instituciją. Pirmoje pakopoje dabartiniu metu Vidaus reikalų ministerija koordinuoja ir dalyvauja ES komisijose ir nacionalinių koordinatorių pasitarimuose kas ketvirtį. Antroje pakopoje - tarpinstitucinis programos koordinavimas ir bus apibendrinta medžiaga už 2010 metus. Iš atskirų institucijų ataskaitų matosi, kad yra priemonių  finansavimo problema. 2010-2011 metais finansavimas programai  iš viso neskirtas. 2010 m. gegužės mėn. VRM savo vidinėmis lėšomis organizavo tarptautinę konferenciją darbo migracijos ir seksualinio išnaudojimo klausimais. Lietuvos Respublikos Vyriausybė 2010 metais rugpjūčio mėn. dėl  tarpinstitucinių programų (tame tarpe ir dėl prekybos žmonėmis) patvirtino nauja strateginio  planavimo metodiką. Atsiras tarpinstitucinės veiklos planai.  Institucijos turėjo iki 2011 m. balandžio mėn. patikslinti  savo strateginius planus ir išskirti prioritetus. </w:t>
      </w:r>
    </w:p>
    <w:p w:rsidR="00C07927" w:rsidRDefault="00C07927" w:rsidP="00C07927">
      <w:pPr>
        <w:spacing w:before="40" w:after="40"/>
        <w:ind w:firstLine="720"/>
        <w:jc w:val="both"/>
        <w:rPr>
          <w:color w:val="000000"/>
          <w:szCs w:val="22"/>
        </w:rPr>
      </w:pPr>
      <w:r>
        <w:lastRenderedPageBreak/>
        <w:t xml:space="preserve">Vidaus reikalų ministerijos Viešojo saugumo politikos departamentas nurodė, kad </w:t>
      </w:r>
      <w:r>
        <w:rPr>
          <w:color w:val="000000"/>
          <w:szCs w:val="22"/>
        </w:rPr>
        <w:t xml:space="preserve">trūksta švietimo kompanijų  apie prekybą žmonių grėsmėmis, galimas vaikų išnaudojimo formas ir nepakankamas savivaldybių dėmesys šiuo klausimu.  VRM koordinuoja ir kas ketvirtį aptaria programos eigą. </w:t>
      </w:r>
    </w:p>
    <w:p w:rsidR="00C07927" w:rsidRDefault="00C07927" w:rsidP="00C07927">
      <w:pPr>
        <w:spacing w:before="40" w:after="40"/>
        <w:ind w:firstLine="720"/>
        <w:jc w:val="both"/>
      </w:pPr>
      <w:r>
        <w:t xml:space="preserve">Lietuvos Kriminalinės policijos biuro Prekybos žmonėmis tyrimo skyriaus atstovai nurodė, kad nukentėjusiųjų centro įkūrimas ir programos finansavimas - pagrindinės problemos. Paminėti 37 proc. Tarptautinio Migracijos departamento duomenų bazėje, asmenų nukentėjusių nuo prekybos žmonėmis ir ten registruojami visi įvykiai sudaro visus atvejus, kuomet Migracijos departamentas suteikė pagalbą, registruojami patys atvejai, o  ne asmuo. Statistika depersonalizuota ir jos negalima patikrinti. Ir tai nebūtinai prekybos žmonėmis auka. Pvz., Anglijoje prekybos žmonėmis nurodyti skaičiai ir pas mus Lietuvoje,  skiriasi. Pagal Lietuvos Respublikos Baudžiamąjį kodeksą 307 str. – seksualinis išnaudojimas arba nauda iš kito asmens prostitucijos bus ne prekyba žmonėmis. Anglijoje šie atvejai įtvirtinti kaip prekybos žmonėmis įstatymo atvejai ir įtraukiama kaip informaciją apie prekybą žmonėmis. Todėl, jei bus pradėtas tyrimas Anglijoje, jis bus įvardintas kaip prekyba žmonėmis, o jei toks tyrimas bus pradėtas Lietuvoje, jis  bus įvardintas kaip  seksualinis išnaudojimas arba pelnas iš kito asmens prostitucijos. Mūsų statistikoje bus pažymėtas kaip LR BK 307 str.  2010 metais  pagal LR BK 307 str. yra užregistruoti  29 įvykiai – pelnas iš kito asmens prostitucijos; pagal LR BK 308 str. – įtraukimas į prostituciją – 14 įvykių.   Nepilnamečių įtraukimas į nusikalstamą veiką  pagal LR BK 159 str. – 48 įvykiai. Dėl prekybos  vaikais pradėti ikiteisminiai tyrimai : 2010 metais – 3; 2009 metais – 2; 2008 metais –2; 2007 metais – 4;  2006 metais – 2;  2005 metais – 1. Tai patvirtinti pagal Lietuvos BK prekybos žmonėmis atvejai. Kitos valstybės skaičiai dėl prekybos žmonėmis Lietuvoje gali skirtis dėl skirtingų su mūsų valstybe teisės aktų. Dėl teisės aktų netobulumų ( LR BK 147 str.- prekyba žmonėmis arba  LR BK 157 str.-  vaiko pirkimas arba pardavimas) jie pasireiškia, tuo, kad mūsų kodekse ribojamos išnaudojimo  formos. Jos mūsų kodekse tik 4. Vaiko išvežimas į kitą valstybę vagiliauti, elgetauti, daryti kitų nusikalstamų veikų, tokie nusikaltimai nėra numatyti Baudžiamajame kodekse. Ikiteisminiai tyrimai pradedami pagal LR BK 159 str. ir  tokių tyrimų yra 48 atvejai  2010 metais. Ruošdamiesi ratifikuoti ET Konvenciją “Prieš prekybą žmonėmis”, kuri buvo pasirašyta 2005 metais Varšuvoje,  Teisingumo ministerija kartu su kitomis institucijomis rengia pataisas ir Kriminalinės policijos biurui yra svarbu turėti galimybę pateikti savo pastabas ir komentarus. Neturėdami galimybės atlikti tyrimus Lietuvoje,  Kriminalinės policijos biuras remia tokius tyrimus kitose ES šalyse ir tokie tyrimai buvo atlikti Norvegijoje, Prancūzijoje, Italijoje ir Olandijoje, vien dėl to, kad mūsų kodeksas neleido tirti dėl prekybos vaikais ir  atlikti tokio tyrimo. Tos valstybės statistikoje buvo nurodyti tie tyrimai. Sumažėjo nepilnamečių seksualinio išnaudojimo atvejų. Pagal  Administracinių pažeidimų kodekso 182 </w:t>
      </w:r>
      <w:r>
        <w:rPr>
          <w:vertAlign w:val="superscript"/>
        </w:rPr>
        <w:t>1</w:t>
      </w:r>
      <w:r>
        <w:t xml:space="preserve"> str. – dėl seksualinių paslaugų teikimo ir pirkimo – iš 326 protokolų, 6 surašyti nepilnamečiams. 8 asmenys bausti už pirkimą seksualinių paslaugų. Dėl nepilnamečių prostitučių, manoma, kad tai - ekologinės policijos darbas, ir kad jų skaičius sumažėjęs, nukentėjusiųjų nuo prekybos žmonėmis yra mažas, ne tik Lietuvoje, bet ir iš užsienio, skaičius. 2010 metais „Demetra“  tapo  nevyriausybine organizacija ir 2010 metais gavo 14 tūkst. litų veiklai vystyti iš Programos bei iš JAV. „Demetros“ kontingentas yra iš Vilniaus rajono, Šalčininkų, Pabradės ir iš kitų rajonų.  Yra nepilnamečių. Nevyriausybinėms organizacijoms reikia skirti lėšas išlaikyti nukentėjusius asmenis ir potencialiems asmenims bėgantiems iš globos namų  prevencinei veiklai vykdyti.  2010 metais 41,1 proc. pradėtų dingusių asmenų paieškos bylų yra dėl nepilnamečių. Daugiausiai tie vaikai buvo bėgantys trumpam laikotarpiui iš globos namų, internatų  arba dėl išvykusių tėvų  į užsienį ir palikti kitų globai, besiskiriančiųjų šeimų.  Problema yra ta, kad dažniausiai, visi šie atsakingi asmenys laiku nepraneša apie pabėgusį vaiką. Pateiktas pavyzdys dėl 3 nepilnamečių pabėgusių iš Ruklos gruodžio mėn., o policijai pranešta tik sausio 17.  Neturėjo net nuotraukų ir vaikų aprašymo duomenų. Vaikų teisių apsaugos tarnybos, mokytojai  turėtų tikrinti kur tie vaikai yra,  praneši atitinkamoms įstaigoms. Moterims, kurios parduoda seksualines paslaugas, surašyta nemažai</w:t>
      </w:r>
      <w:r w:rsidRPr="00C128AD">
        <w:t xml:space="preserve"> </w:t>
      </w:r>
      <w:r>
        <w:t xml:space="preserve">protokolų, o vyrams, kurie šias paslaugas perka protokolų surašyta labai nedaug. Moterys taip pat perka šias paslaugas. Siūlo daugiau visuomenei aiškinti, kad negalima pirkti seksualinių paslaugų, kaip ir parduoti seksualines paslaugas.  Apskričių policijos komisariatuose yra po vieną atskirą prekybos žmonėmis tyrėją , kuris renka informaciją, bendrauja su žmonėmis, atlieka tyrimus ir pan. Tik trys savivaldybės yra sukūrusios darbo grupes koordinuoti prekybos žmonėmis klausimais. Savivaldybių asociacija galėtų padėti sukurti ir kitose savivaldybėse darbo grupes į kurias įtrauktų pedagogus, vaiko teisių apsaugos tarnybas ir kitus specialistus. </w:t>
      </w:r>
      <w:r>
        <w:rPr>
          <w:bCs/>
          <w:szCs w:val="20"/>
        </w:rPr>
        <w:t xml:space="preserve">5 apygardos prokuratūrose turėjo būti įsteigti psichologų etatai. </w:t>
      </w:r>
      <w:r>
        <w:rPr>
          <w:bCs/>
        </w:rPr>
        <w:t xml:space="preserve">Teisingumo ministerija numato vienu metu keisti visą teisės aktų </w:t>
      </w:r>
      <w:r>
        <w:rPr>
          <w:bCs/>
        </w:rPr>
        <w:lastRenderedPageBreak/>
        <w:t xml:space="preserve">paketą, kai bus priimta ET Konvencija ir ES Direktyva dėl prekybos žmonėmis. Reikės tobulinti Baudžiamąjį kodeksą. Apie tai žinojo ir Generalinė prokuratūra. Policija sukūrė savo duomenų statistiką, kuri yra labai tiksli dėl prekybos žmonėmis ir dėl seksualinio išnaudojimo. Dėl dingusių vaikų sukurta policijos duomenų statistika tiksli. Šioje statistikoje visi nukentėjusieji yra pripažinti nukentėjusiaisiais ir baudžiamajame procese. Yra ir kitos įstaigos, kurios teikia vaikams pagalbą ir turi savo statistiką. Policijos statistika yra tiksliausia. Ne visos Vaiko teisių apsaugos tarnybos teikia informaciją. Būtina prevencinė sistema. </w:t>
      </w:r>
      <w:r>
        <w:t xml:space="preserve">Teismai, dažniausiai, perkvalifikuoja vaiko pirkimo ar pardavimo  bylose nusikalstamas veikas, kad prekeivis žmonėmis gautų mažesnę bausmę. Tokia tendencija Lietuvoje vis dar yra. Maksimali bausmė 12 metų. Per metus nustatomi ne daugiau 7 prekeiviai žmonėmis. 2-3 metus tęsiasi baudžiamasis procesas. Nuo 2004 metų veikė pavienės grupelės, po to vyras ir žmona arba  dvi draugės, o paskutiniu metu pradėjo veikti organizuotos grupės. Viskas grįžta į įstojimo į ES situaciją. Pastebima, kad  šiose bylose vėl daugėja smurtą, kuris naudojamas, kad auka paklustų. Vyrai bijo smurto, nekalba, o moterys smurto nebijo ir duoda parodymus. </w:t>
      </w:r>
      <w:r>
        <w:rPr>
          <w:color w:val="000000"/>
          <w:szCs w:val="22"/>
        </w:rPr>
        <w:t>Ne visos savivaldybės, sudaro prekybos žmonėmis ir prevencinės kontrolės koordinacinių darbo grupių. Sudarytos darbo grupės: Alytaus, Kauno, Klaipėdos, Panevėžio, Šiaulių,  Utenos, Marijampolės, Tauragės, Telšių savivaldybėse. D</w:t>
      </w:r>
      <w:r>
        <w:t>arbo grupės turi būti sudarytos dėl prekybos žmonėmis ir tai nesusiję su vaiko gerovės komisijomis. Savivaldybės vaiko gerovės klausimais dirba, o prekybos žmonėmis yra tik Klaipėdoj, Šiauliuose ir Tauragėj. Valstybė savivaldybių nėra įpareigojusi sudaryti tokias prekybos žmonėmis darbo grupės ir jos gali būti sudaromos tik geranoriškumo principu.</w:t>
      </w:r>
    </w:p>
    <w:p w:rsidR="00C07927" w:rsidRDefault="00C07927" w:rsidP="00C07927">
      <w:pPr>
        <w:spacing w:before="40" w:after="40"/>
        <w:ind w:firstLine="720"/>
        <w:jc w:val="both"/>
      </w:pPr>
      <w:r>
        <w:t xml:space="preserve"> Socialinės apsaugos ir darbo ministerijos   Socialinės aprėpties ir bendruomenių departamento Socialinių paslaugų skyriaus duomenimis, ministerija atsakinga už socialinę pagalbą ir tik pernai perėmė koordinuoti šios programos dalį. Kompleksinės pagalbos stinga dėl finansavimo problemų, sumažėjo parama iš tarptautinių fondų. Liko valstybės biudžetas ir struktūriniai fondai. Laukiama, kada įsigalios direktyvos. 2011 metais ketinama remti  priemones: socialinę pagalbą nukentėjusiems nuo prekybos žmonėmis aukoms. Bus skirta 150 tūkst. lt. Skelbs konkursą. 2010 metais rėmė 5 projektus, skirta 87 tūkst. lt. Mokymams socialiniams darbuotojams ir jų padėjėjams skirta 4,5 mln. lt. Mokymai apims dirbančius su prekybos žmonėmis aukomis. Socialinio konsultavimo klausimais  bus tęsiamas mokymas. Parengtas projektas integracijai į darbo rinką – prekybos žmonėmis aukoms. Numatyta parengti ir išleisti metodines rekomendacijas vaiko teisių apsaugos tarnyboms.  Socialinės apsaugos ir darbo ministerija bendradarbiavo su kitomis ministerijomis dėl nacionalinio smurto prieš vaikus prevencijos ir pagalbos programos įgyvendinimo ir dėl šios jau 3 programos vykdymo. Organizuotas kompleksinių paslaugų nuo smurto nukentėjusiems vaikams teikimas. 1986 vaikams 2010 metais suteikta kompleksinė pagalba. Parengtas aprašas, kuris apima aukų problematiką ir mokymus kaip dirbti su aukomis. Statistinė informaciją gaunama ir VRM, Sveikatos apsaugos ministerijos ir Socialinės apsaugos ir darbo ministerijos Vaiko teisių  apsaugos tarnybų. Duomenų rinkimo problematika skiriasi nuo tyčinių ir netyčinių sužalojimų, mokslininkai mato per kitokią problematiką. 2010 metais  paremti 5 projektai už 87 tūkst. Lt. Paraiškų  gauta iš 13 organizacijų dėl 14 projektų. Apibendrintos ataskaitos. Visos užplanuotos veiklos įgyvendintos. Paremtas Kauno apskrities moterų krizių centras, Dingusių žmonių šeimų paramos centras, ŽIV/AIDS paveiktų moterų bei jų artimųjų asociacija, Klaipėdos socialinės ir psichologinės pagalbos namai ir Lietuvos Caritas. 118 asmenų tikslinės grupės moterims, 64 esamoms prekybos žmonėmis aukos ir 54 potencialioms. Pagalba teikiama informuojant ir konsultuojant ir socialinės paslaugos. Iškilo  poreikis aprūpinti materialiniais daiktais. 24 proc. atvyko patys, 19 proc. perduoti teisėsaugos institucijų. Organizuoti renginiai, konferencijos, pravesta eilė apmokymų. 2010 metais per 9 mėn. nuo seksualinės prievartos nukentėjo 111 nepilnamečių. Ne visos aukos identifikuojamos, nes ne visi sutinka kalbėti ir papasakoti. Sutinka kalbėti tik  10 proc. asmenų. Finansavimo ne nuo metų pradžios problema egzistuoja visose programose. Pirmiausiai, lėšų paskirstymas vyksta Vyriausybėje pagal programas, o po to skirstomos lėšos jau  ministerijoje. Ministerija vykdo daug projektų ir 15 konkursų. Per konkursus organizacijos gauna dalinį finansavimą, turi kitų finansavimo šaltinių.  </w:t>
      </w:r>
    </w:p>
    <w:p w:rsidR="00C07927" w:rsidRDefault="00C07927" w:rsidP="00C07927">
      <w:pPr>
        <w:spacing w:before="40" w:after="40"/>
        <w:ind w:firstLine="720"/>
        <w:jc w:val="both"/>
        <w:rPr>
          <w:color w:val="000000"/>
          <w:szCs w:val="22"/>
        </w:rPr>
      </w:pPr>
      <w:r>
        <w:t>Sveikatos apsaugos ministerijos Visuomenės sveikatos departamento Visuomenės sveikatos priežiūros skyriaus duomenimis, Sveikatos apsaugos ministerijai nenumatytas “</w:t>
      </w:r>
      <w:r>
        <w:rPr>
          <w:rFonts w:eastAsia="MS Mincho"/>
          <w:color w:val="000000"/>
        </w:rPr>
        <w:t xml:space="preserve">Prekybos žmonėmis prevencijos bei kontrolės 2009 – 2012 metų programos”  priemonių įgyvendinimas. Ministerija vykdė  </w:t>
      </w:r>
      <w:r>
        <w:t>“</w:t>
      </w:r>
      <w:r>
        <w:rPr>
          <w:rFonts w:eastAsia="MS Mincho"/>
          <w:color w:val="000000"/>
        </w:rPr>
        <w:t xml:space="preserve">Prekybos žmonėmis prevencijos ir kontrolės 2005 – 2008 metų programą “. Sveikatos apsaugos ministerija tobulino darbuotojų kvalifikaciją, organizavo tarptautinius seminarus,  konferencijas ir mokymus asmenims, dirbantiems su vaikais. Finansavimo problemų yra, net vyksta </w:t>
      </w:r>
      <w:r>
        <w:rPr>
          <w:rFonts w:eastAsia="MS Mincho"/>
          <w:color w:val="000000"/>
        </w:rPr>
        <w:lastRenderedPageBreak/>
        <w:t xml:space="preserve">bendradarbiavimas. Įkurta </w:t>
      </w:r>
      <w:r>
        <w:t xml:space="preserve">nevyriausybinė organizacija </w:t>
      </w:r>
      <w:r>
        <w:rPr>
          <w:rFonts w:eastAsia="MS Mincho"/>
          <w:color w:val="000000"/>
        </w:rPr>
        <w:t xml:space="preserve">“Demetra”, kuri tapo visuomeninių organizacijų finansuojamu kabinetu. </w:t>
      </w:r>
      <w:r>
        <w:t xml:space="preserve">Asmens sveikatos departamento specialistai dalyvauja kompleksinėse programose su kitomis institucijomis. Dėl finansavimo problemų sumažinta pagalba ir medicininės reabilitacijos problema neišspręsta, bet praplėstas paslaugų vaikams sąrašas. Vaikams teikiamos paslaugos nemokamai dėl medicininės reabilitacijos su diagnozėmis: judrumu,  emociniu nestabilumu, ūminiu stresu. Jos įrašytos į šių ligų sąrašą ir vaikai gali gauti medicininę reabilitaciją. Prekybos žmonėmis aukoms neskiriamos šios paslaugos, nes tai ne liga. Vaikų sveikatos priežiūrai skiriamų lėšų  pakanka. Nedraustiems suaugusiems asmenims lėšos nenumatytos, užtikrinama tik būtinoji sveikatos priežiūra. Didelė problema su šių asmenų lėtinės ligos, nes nedirbantis asmuo privalo pats susimokėti už paslaugas.  </w:t>
      </w:r>
    </w:p>
    <w:p w:rsidR="00C07927" w:rsidRDefault="00C07927" w:rsidP="00C07927">
      <w:pPr>
        <w:spacing w:before="40" w:after="40"/>
        <w:ind w:firstLine="720"/>
        <w:jc w:val="both"/>
      </w:pPr>
      <w:r>
        <w:t xml:space="preserve">Valstybės sienos apsaugos tarnybos prie Vidaus reikalų ministerijos Operatyvinės veiklos valdybos duomenimis, įstojus į Šengeno erdvę, vaikus tenka gaudyti Europoje. Jokių dokumentų išvykti nepilnamečiams nereikia. Mobilios grupės gali tikrinti transportą. Padaugėjo nepilnamečių prostitučių. Labai daug jaunų prostitučių- narkomanių. Apie 300 ateinančių tikrintis į “Demetrą” nepilnamečių, apie 80 proc. yra narkomanės. </w:t>
      </w:r>
      <w:r>
        <w:rPr>
          <w:rFonts w:eastAsia="MS Mincho"/>
          <w:color w:val="000000"/>
        </w:rPr>
        <w:t xml:space="preserve">Būtina įgyvendinti  Prekybos žmonėmis prevencijos ir kontrolės programose numatytas priemones: </w:t>
      </w:r>
      <w:r>
        <w:rPr>
          <w:szCs w:val="22"/>
        </w:rPr>
        <w:t xml:space="preserve">nacionalinio koordinatoriaus  prekybos žmonėmis prevencijos ir kovos su šiuo reiškiniu klausimais paskyrimas ir veikla; valstybės institucijų ir įstaigų bei nevalstybinių organizacijų bendradarbiavimo kontroliuojant prekybą žmonėmis koncepcijos parengimas, patvirtinimas ir įgyvendinimas; </w:t>
      </w:r>
      <w:r>
        <w:rPr>
          <w:color w:val="000000"/>
          <w:szCs w:val="22"/>
        </w:rPr>
        <w:t xml:space="preserve">dėl specialių priemonių, skirtų nepilnamečiams įgyvendinimo:  parengti ir įgyvendinti </w:t>
      </w:r>
      <w:r>
        <w:rPr>
          <w:szCs w:val="22"/>
        </w:rPr>
        <w:t xml:space="preserve">nepilnamečiams, nukentėjusiems nuo prekybos žmonėmis, specializuotą reabilitacijos programą; </w:t>
      </w:r>
      <w:r>
        <w:rPr>
          <w:color w:val="000000"/>
          <w:szCs w:val="22"/>
        </w:rPr>
        <w:t>riboti neteisėtą nepilnamečių išvežimą į užsienį, siekiant juos parduoti, m</w:t>
      </w:r>
      <w:r>
        <w:rPr>
          <w:szCs w:val="22"/>
        </w:rPr>
        <w:t>ažinti nepilnamečių prekybos žmonėmis aukų.</w:t>
      </w:r>
      <w:r>
        <w:rPr>
          <w:color w:val="000000"/>
          <w:szCs w:val="22"/>
        </w:rPr>
        <w:t xml:space="preserve"> Tobulinti </w:t>
      </w:r>
      <w:r>
        <w:rPr>
          <w:rFonts w:eastAsia="MS Mincho"/>
          <w:color w:val="000000"/>
        </w:rPr>
        <w:t>be žinios dingusių vaikų apskaitą.</w:t>
      </w:r>
      <w:r w:rsidRPr="00C23C2B">
        <w:t xml:space="preserve"> </w:t>
      </w:r>
      <w:r>
        <w:t>Finansavimas vėluoja, nes konkursai skalbiami gruodžio mėn. pinigai gaunami vasario – kovo mėn. 2009 m. neskirta programai nė vieno cento ir nevyriausybinių organizacijų reakcija būtų sudėtinga.  10 metų šiuose projektuose dirba nevyriausybinės organizacijos ir jos žino apie konkursus. Potencialioms aukoms - nukentėjusioms suteikiamos paslaugos per metus 400 asmenų.  2005 –2006 metais atlikti Šiaulių universiteto tyrimai parodė, kad paslauga kainuoja vienam asmeniui – 1200-1500 per vieną mėnesį.  2005 –2008 metais per Socialinės apsaugos ir darbo ministerija buvo finansuota 60 projektų kuriuos vykdė už 400 tūkst. lt.   Ypatingai gerai dirba Caritas su daug didesniu aukų skaičiumi, negu Dingusių žmonių šeimos paramos centras, nes turi ryšius užsienyje, turi būtus ir kt. Kas mėnesį Socialinės apsaugos ir darbo ministerija  atlieka monitoringą. Mokyklose skaitomos paskaitos  būtų gerai, jog 1 val. per metus mokyklose tokios paskaitos būtų, kad mokiniai sužinotų apie šią problemą. Yra daug metodinės medžiagos, ypač kaimų bibliotekose. Parengtos metodinės rekomendacijos Užsienio reikalų ministerijos darbuotojams, dirbantiems  užsienyje,  ką reikėtų  daryti,  kai</w:t>
      </w:r>
      <w:r w:rsidRPr="00C23C2B">
        <w:t xml:space="preserve"> </w:t>
      </w:r>
      <w:r>
        <w:t>praradus pasą į juos kreipiasi asmenys. Konsulinėms įstaigoms išskiriami pinigai. Londone nevyriausybinės organizacijos padeda. Parengtos metodinės rekomendacijos dėl užkardymo neteisėtai išvežant vaikus. Rekomendacijos skirtos pasieniečiams ir muitininkams. Svarbiausia psichologinės būsenos įvertinimas to nepilnamečio kai kerta sieną pagal 3 amžiaus grupes, naudojama Kosovo metodika –UNICEF.   Dėl  vaikų išvežimo</w:t>
      </w:r>
      <w:r w:rsidRPr="00C23C2B">
        <w:t xml:space="preserve"> </w:t>
      </w:r>
      <w:r>
        <w:t>užkardymo, kertant sieną, oro uostuose 2010 metais buvo vienas tėvų skambutis. Į Kauno oro uostą</w:t>
      </w:r>
      <w:r w:rsidRPr="00C23C2B">
        <w:t xml:space="preserve"> </w:t>
      </w:r>
      <w:r>
        <w:t>atskrenda iš Londono per metus 0,5 mln. žmonių. 2010 metais Kauno oro uoste buvo 38 atvejai, kai neleista vaikams išskristi į Londoną dėl įvairių priežasčių,  nesutvarkytų dokumentų ir kt. Iš Vilniaus oro uosto</w:t>
      </w:r>
      <w:r w:rsidRPr="00C23C2B">
        <w:t xml:space="preserve"> </w:t>
      </w:r>
      <w:r>
        <w:t xml:space="preserve">vaikams neleista išvykti 12 atvejų. Užsienio valstybėse nevyriausybinės organizacijos finansuojamos 5 metus, ne vienerius metus. Iš 12-15 organizacijų Lietuvoje reikėtų sukurti 5-6 visuomenines organizacijas, kaip JAV,  ir jas atitinkamai visus metus  finansuoti.  2010 metais  1 mergaitę bandyta išvežti iš Lietuvos autotransportu, pradėtas ikiteisminis tyrimas. Dar yra įtarimų dėl 3 vaikų 14-18 metų amžiaus pardavimo. Vienas jau patvirtintas atvejis ir jis pripažintas nukentėjusiuoju. Lietuvos Respublikos Baudžiamojo kodekso 147 str., 157 str. riboja pradėti ikiteisminius tyrimus dėl prekybos žmonėmis arba vaikais, vagiliavimui, elgetavimui, fiktyvioms vedyboms kitose valstybėse, nes mūsų valstybėje numatytos tik keturios išnaudojimo formos ir Teisingumo ministerija rengia naują įstatymo pataisą. Ankstesnis variantas buvo netikslus kopijos vertimas  Palermo protokolo. Prašo kontroliuoti įstatymo projekto pateikimo dėl išnaudojimo formų papildymo. Dabartiniu metu yra keturios išnaudojimo formos. Prašo išplėsti plačiai. Dėl pagalbos nukentėjusiems dėl prekybos žmonėmis, ji mano, kad esant sunkiai ekonominei situacijai, reikėtų finansavimą skirti tiems, kurie tikrai nukentėjo, kurie teisėsaugos organų pareigūnų parašu pripažinti nukentėjusiais nuo prekybos žmonėmis. Pagalba būtina sutekti visą ir su reintegracija, psichologo pagalba ir kt. Kartais tokiems asmenims pripažįstamas Stokholmo sindromas ir žmogus </w:t>
      </w:r>
      <w:r>
        <w:lastRenderedPageBreak/>
        <w:t xml:space="preserve">prekeivį traktuoja kaip gelbėtoją, todėl nukentėjusiajam reikalinga ir psichologo ir psichiatro pagalbos bei riboti asmenį iš tos aplinkos. Tokių žmonių nėra daug. Pernai metais pripažinti 3 asmenys baudžiamosiose bylose, o be bylų tokių asmenų buvo 20. tokių asmenų pagalbai reikėtų skirti per 1 mėn. 3 tūkstančių litų ( ir socialinio darbuotojo išlaikymui ir buto nuoma). Šiuo metu didžiausią pagalbą nukentėjusiems asmenims teikia Lietuvos Caritas, iš atliekamų tyrimų tai sudaro 90 proc. visų nukentėjusiųjų. Jie gauna iš valstybės nedaug pinigų ir juos finansuoja tarptautinis fondas, kuris uždaromas šiais metais. Jei Caritas neteks šių lėšų. Nukentėjusieji padeda policijai atskleisti šiuos nusikaltimus ir bendradarbiauja su ikiteisminio tyrimo tyrėjai. Kita dali – potencialios aukos, kurių yra daug daugiau, kasmet apie 50 ir jie nebūtinai tampa prekybos žmonėmis aukos, gal tik teikiančiomis seksualines paslaugas ir gali būti parduotos. Reikia skirti atskirą fondą tokiems žmonėms, tokių Dingusių žmonių šeimų paramos centre yra dauguma, jiems turi būti atskira lėšų eilute iš kitokiu fondu. Reikėtų atskirti tuos asmenis, kurie nukentėjo nuo prekybos žmonėmis ir nuo kitų nusikalstamų veikų, nes manipuliuojama skaičiai, kad daug aukų, o skaičiai mažėjantys ir tyrimų sumažėjo. 2009 metais turėjom 11 tyrimų, o 2010 metais 7 tyrimus. Vidutinė bausmė skiriama 11 metų ir dėl to daugelis nusikaltėlių nuteisti ilgam laikui. Prekeiviai keičia savo taktiką ir  pelnosi iš kito asmens, priversdami atiduoti dalį uždarbio iš prostitucijos. Ji atiduoda pinigus. Todėl reikalinga pagalba ir nukentėjusiems nuo kitų nusikalstamų veikų. Apie besilankančius “Demetroje” ji negali pranešti į policiją, bet  “Demetra” organizuoja reidus kartu su policija, vykdo švietėjišką veiklą. </w:t>
      </w:r>
      <w:r>
        <w:tab/>
        <w:t>Lietuvos Respublikos Generalinės prokuratūros ikiteisminio skyriaus duomenimis prokuratūra turi šitos nusikalstamos veikos ikiteisminio tyrimo duomenis ir tendencijos duomenis. 2010 metais</w:t>
      </w:r>
      <w:r w:rsidRPr="00C5269C">
        <w:t xml:space="preserve"> </w:t>
      </w:r>
      <w:r>
        <w:t xml:space="preserve">tendencija išlieka kaip ir 2009 metais. Generalinėje prokuratūroje vyksta esminės reformos ir apjungiami ikiteisminio, valstybės kaltinimų, organizuoto nusikalstamumo ir kiti skyriai, todėl psichologų klausimai atidėti vėlesniam laikui. </w:t>
      </w:r>
    </w:p>
    <w:p w:rsidR="00C07927" w:rsidRDefault="00C07927" w:rsidP="00C07927">
      <w:pPr>
        <w:spacing w:before="40" w:after="40"/>
        <w:ind w:firstLine="720"/>
        <w:jc w:val="both"/>
      </w:pPr>
      <w:r>
        <w:t xml:space="preserve"> Vaiko teisių apsaugos kontrolierė finansavimo klausimus siūlo spręsti pasinaudojant Spaudos, radijo ir televizijos rėmimo fondo patirtimi. Konkursus dėl priemonių finansavimo ateinantiems metams</w:t>
      </w:r>
      <w:r w:rsidRPr="008A1D6B">
        <w:t xml:space="preserve"> </w:t>
      </w:r>
      <w:r>
        <w:t xml:space="preserve">skelbti rugsėjo mėn. Vaiko teisių apsaugos kontrolierė Edita Žiobienė sakė, kad iš tikrųjų reforma generalinėje prokuratūroje vyksta, bet problema yra tokia: Nukentėjusiems nuo seksualinio išnaudojimo vaikams paramos centras teikė šią paslaugą, bet nuo š.m. sausio 1 d. neteiks. Baudžiamųjų bylų yra, tyrimai vyksta, bet psichologų nėra ir 300 tūkst. lt neskirti ir vaikai psichologų neapklausiami.  </w:t>
      </w:r>
    </w:p>
    <w:p w:rsidR="00C07927" w:rsidRDefault="00C07927" w:rsidP="00C07927">
      <w:pPr>
        <w:ind w:firstLine="720"/>
        <w:jc w:val="both"/>
        <w:rPr>
          <w:color w:val="000000"/>
          <w:szCs w:val="22"/>
        </w:rPr>
      </w:pPr>
      <w:r>
        <w:t xml:space="preserve">Lietuvos savivaldybių asociacijos duomenimis prekyba žmonėmis labai specifinė tema ir savivaldybių vaidmuo šalutinis. Dėl  prekybos žmonėmis numatyta stiprinti tarpinstitucinį  bendradarbiavimą ir kurti 10-yje savivaldybių darbo grupes. Informacija pateikiama Vidaus reikalų ministerijai ir ji šią informacija turi apibendrinti. </w:t>
      </w:r>
    </w:p>
    <w:p w:rsidR="00C07927" w:rsidRDefault="00C07927" w:rsidP="00C07927">
      <w:pPr>
        <w:spacing w:before="40" w:after="40"/>
        <w:ind w:firstLine="720"/>
        <w:jc w:val="both"/>
      </w:pPr>
    </w:p>
    <w:p w:rsidR="00C07927" w:rsidRPr="00AC68B1" w:rsidRDefault="00C07927" w:rsidP="00C07927">
      <w:pPr>
        <w:autoSpaceDE w:val="0"/>
        <w:autoSpaceDN w:val="0"/>
        <w:adjustRightInd w:val="0"/>
        <w:ind w:firstLine="720"/>
        <w:jc w:val="both"/>
        <w:rPr>
          <w:b/>
          <w:color w:val="010101"/>
          <w:szCs w:val="18"/>
        </w:rPr>
      </w:pPr>
      <w:r w:rsidRPr="00AC68B1">
        <w:rPr>
          <w:b/>
          <w:color w:val="010101"/>
          <w:szCs w:val="18"/>
        </w:rPr>
        <w:t xml:space="preserve">Priklausomybės ligų reabilitacijos bendruomenių veiklos ir finansavimo tęstinumas. </w:t>
      </w:r>
    </w:p>
    <w:p w:rsidR="00C07927" w:rsidRPr="00AC68B1" w:rsidRDefault="00C07927" w:rsidP="00C07927">
      <w:pPr>
        <w:jc w:val="both"/>
        <w:rPr>
          <w:b/>
          <w:color w:val="010101"/>
          <w:szCs w:val="18"/>
        </w:rPr>
      </w:pPr>
      <w:r w:rsidRPr="00AC68B1">
        <w:rPr>
          <w:b/>
        </w:rPr>
        <w:tab/>
      </w:r>
      <w:r w:rsidRPr="00AC68B1">
        <w:rPr>
          <w:b/>
          <w:color w:val="010101"/>
          <w:szCs w:val="18"/>
        </w:rPr>
        <w:t>Asmenų, priklausomų nuo narkotinių ir psichotropinių medžiagų vartojimo, profesinė reabilitacija,  reintegracija į visuomenę ir į darbo rinką: socialinės</w:t>
      </w:r>
      <w:r>
        <w:rPr>
          <w:b/>
          <w:color w:val="010101"/>
          <w:szCs w:val="18"/>
        </w:rPr>
        <w:t xml:space="preserve"> atskirties problemų sprendimas</w:t>
      </w:r>
    </w:p>
    <w:p w:rsidR="00C07927" w:rsidRDefault="00C07927" w:rsidP="00C07927">
      <w:pPr>
        <w:jc w:val="both"/>
      </w:pPr>
      <w:r>
        <w:tab/>
      </w:r>
    </w:p>
    <w:p w:rsidR="00C07927" w:rsidRDefault="00C07927" w:rsidP="00C07927">
      <w:pPr>
        <w:jc w:val="both"/>
        <w:rPr>
          <w:color w:val="010101"/>
          <w:szCs w:val="18"/>
        </w:rPr>
      </w:pPr>
      <w:r>
        <w:tab/>
      </w:r>
      <w:r>
        <w:rPr>
          <w:color w:val="010101"/>
          <w:szCs w:val="18"/>
        </w:rPr>
        <w:t>Komisija lankėsi Priklausomybės ligų centruose, domėjosi centrų ateities, finansavimo ir įsidarbinimo po reabilitacijos klausimais, susipažino su problemomis,  asmenų, priklausomų nuo narkotinių ir psichotropinių medžiagų vartojimo, profesine reabilitacija,  reintegracija į visuomenę ir į darbo rinką bei  socialinės atskirties problemų sprendimu.</w:t>
      </w:r>
    </w:p>
    <w:p w:rsidR="00C07927" w:rsidRDefault="00C07927" w:rsidP="00C07927">
      <w:pPr>
        <w:jc w:val="both"/>
        <w:rPr>
          <w:color w:val="010101"/>
          <w:szCs w:val="18"/>
        </w:rPr>
      </w:pPr>
      <w:r>
        <w:rPr>
          <w:color w:val="010101"/>
          <w:szCs w:val="18"/>
        </w:rPr>
        <w:tab/>
        <w:t xml:space="preserve">Dabartiniu metu </w:t>
      </w:r>
      <w:r>
        <w:t xml:space="preserve">pagrindinis finansavimo šaltinis yra ES struktūrinės paramos lėšos. Pasirašyta 13 sutarčių  su tomis organizacijomis, kurios dirba su priklausomais asmenimis. Projekto vertė 31 mln. Lt, kurie  skirti reabilitacijai beveik 1 tūkstančiui asmenų.  Buvo du kvietimai.  Antras kvietimas teikti paraiškas vyko 2009 m. rugsėjo mėn. Labai geras projektas vykdytas Pagėgių savivaldybėje. Antrame  etape dalyvavo labdaros – paramos fondai. skelbiant pirmą konkursą I priemonei, laimėjo projektai, o II kvietimo aprašas jau orientavosi į bendruomenių veiklos išlaikymą, veiklos tobulinimą. </w:t>
      </w:r>
      <w:r>
        <w:rPr>
          <w:color w:val="010101"/>
          <w:szCs w:val="18"/>
        </w:rPr>
        <w:t xml:space="preserve">kad Pirmas kvietimas buvo nespecializuotas. </w:t>
      </w:r>
      <w:r>
        <w:t xml:space="preserve"> Išryškėjo problema -  mažai patirties vykdant tokius projektus, netinkamai panaudotos lėšos skirtos išlaidoms. </w:t>
      </w:r>
      <w:r>
        <w:rPr>
          <w:color w:val="010101"/>
          <w:szCs w:val="18"/>
        </w:rPr>
        <w:t xml:space="preserve">Problema - tarpinstitucinis susikalbėjimas, kvalifikacijos kėlimas. Sveikatos draudimas yra vienas iš aktualiausių klausimų. </w:t>
      </w:r>
      <w:r>
        <w:t xml:space="preserve">Vienu atveju pradėtas ikiteisminis tyrimas bendruomenėje, kuri netinkamai naudojo stipendijoms skiriamas lėšas. Minėtoje bendruomenėje gyvena apie 40 asmenų, projektas bus įgyvendintas, nors </w:t>
      </w:r>
      <w:r>
        <w:lastRenderedPageBreak/>
        <w:t>projekto apimtys buvo sumažintos. Pareiškėjai aktyvesni Kauno ir Vilniaus  apskrityse. Tikslinės grupės šiose apskrityse taip pat dominuoja. Kaimo gyvenamosiose apimta daugiau asmenų, daugiau vyrų. 48 mėn. sudaryta galimybė finansuoti šias bendruomenes. Ateityje būtų tikslinga ES lėšas naudoti ir tęsti pradėtus  darbus. Rengiami dokumentai naujai ES paramai gauti. Projekte vienam žmogui skiriama nuo 15 iki 60 tūkst. Lt, ir tai apsprendžia projekto dydis ir pateikti rengėjų planai.  Nevienodai apmokama už m</w:t>
      </w:r>
      <w:r>
        <w:rPr>
          <w:color w:val="010101"/>
          <w:szCs w:val="18"/>
        </w:rPr>
        <w:t>okymus ir specialistų rengimą.</w:t>
      </w:r>
      <w:r w:rsidRPr="007306D9">
        <w:t xml:space="preserve"> </w:t>
      </w:r>
      <w:r>
        <w:t xml:space="preserve">Všį „Meikštų dvaras“  gavo 3 mln. Lt, kuriame reabilitaciją atlieka  120 asmenų. Kitoms bendruomenėms  reikia gerinti infrastruktūrą, todėl joms skirta daugiau lėšų. Būtina nustatyti paslaugos teikėjams kaip įvertinti efektyvumą, nes  šių abiejų šaukimų procese liko daug neatsakytų klausimų. Regiono principas -  svarbu. </w:t>
      </w:r>
      <w:r>
        <w:rPr>
          <w:color w:val="010101"/>
          <w:szCs w:val="18"/>
        </w:rPr>
        <w:t>Iš ES struktūrinės paramos daugiau šie projektai finansuojami nebus, nauji šiems grupėms projektai ir kvietimai nenumatomi.</w:t>
      </w:r>
      <w:r w:rsidRPr="007F0A0E">
        <w:rPr>
          <w:color w:val="010101"/>
          <w:szCs w:val="18"/>
        </w:rPr>
        <w:t xml:space="preserve"> </w:t>
      </w:r>
      <w:r>
        <w:rPr>
          <w:color w:val="010101"/>
          <w:szCs w:val="18"/>
        </w:rPr>
        <w:t xml:space="preserve">Tie, kurie dalyvavo praėjusiame projekte, negalės ateity teikti paraiškų. ES parama skirta bendruomenėms sustiprinti jų veiklą ir tokia parama bus nenuolatinė, todėl bendruomenės neturėtų vystyti veiklą tik iš ES paramos, reikia galvoti apie kitus finansavimo etapus. Tęstinumo užtikrinimui, svarbu sutvarkyti įstaigų licencijavimo klausimus  arba įstaigų atestacijos, kurie dirba šioje srityje.  </w:t>
      </w:r>
    </w:p>
    <w:p w:rsidR="00C07927" w:rsidRDefault="00C07927" w:rsidP="00C07927">
      <w:pPr>
        <w:ind w:firstLine="720"/>
        <w:jc w:val="both"/>
        <w:rPr>
          <w:color w:val="010101"/>
          <w:szCs w:val="18"/>
        </w:rPr>
      </w:pPr>
      <w:r>
        <w:rPr>
          <w:bCs/>
        </w:rPr>
        <w:t xml:space="preserve">2010 m. gruodžio 14 d. Socialinių įmonių įstatymo 4 str. papildytas nuostata, kad asmenys priklausomi nuo narkotinių ir psichotropinių medžiagų ir baigę socialinės, psichologinės ar profesinės reabilitacijos programas gali sudaryti tikslines grupes socialinėse įmonėse. Iki įstatymo papildymo galiojo Socialinės apsaugos ir darbo ministerijos 2011 m. spalio 4 d. įsakymas, kuriame šių asmenų grupė galėjo būti siunčiama į  profesinę reabilitaciją. Tačiau, nei įsakymas, nei įstatymo nuostatos dar neveikia. 13 profesinės reabilitacijos centrų gali įgyvendinti šias nuostatas, turi bazę, galimybes ir specialistus ir rodiklius, kurie galėtų įdarbinti šiuos žmones. Už neįgalius žmones kompensacijos yra, o šiems asmenims nėra. Po reabilitacijos dėl stigmatizacijos asmenys nenori nurodyta tvarka darbintis. </w:t>
      </w:r>
      <w:r>
        <w:t xml:space="preserve">Įdarbinimas ir socialinių įstaigų kūrimas yra nauji dalykai. Pateikia Italijos San Patringnano  reabilitacijos centro pavyzdį  - struktūrą su verslu arba komunos. Iki šiol bendruomenės neturėjo finansavimo, kad galėtų  kurti prie centrų socialines įmones.  </w:t>
      </w:r>
      <w:r>
        <w:rPr>
          <w:color w:val="010101"/>
          <w:szCs w:val="18"/>
        </w:rPr>
        <w:t xml:space="preserve">Integracija į darbo rinką nuo 2004 m. veikia ir socialinės įmonės turi perspektyvą. Kad projekte dalyvautų šios grupės asmenis reikia su jais dirbti ne mažiau 5 metų.  Tokia užsienio šalių patirtis. Pvz., Graikijos patirtis. Per tas socialines įmones prie reabilitacijos centrų yra galimybė 5 metus integruoti asmenį į visuomenę. Turi būti kompleksiškumas – gydymas, reabilitacija ir reintegracija. Būtina, kad asmenis  būtų globojami po reabilitacijos ir todėl, būtina skatinti socialinių įmonių kūrimą.  Lietuvoje veikia apie 200 socialinių įmonių. Veikia Socialinių įmonių asociacija. </w:t>
      </w:r>
      <w:r w:rsidRPr="00E17F6F">
        <w:rPr>
          <w:color w:val="010101"/>
          <w:szCs w:val="18"/>
        </w:rPr>
        <w:t xml:space="preserve"> </w:t>
      </w:r>
      <w:r>
        <w:rPr>
          <w:color w:val="010101"/>
          <w:szCs w:val="18"/>
        </w:rPr>
        <w:t xml:space="preserve">Profesinės reabilitacijos vienas iš tikslų – pagalba įsidarbinant.  </w:t>
      </w:r>
      <w:r>
        <w:t>Bendruomenėse vyksta tos pačios veiklos: darbo terapija, motyvacija, profesinis reabilitavimas. 6 tikslinės grupėms subsidijos skiriamos vienodai. Socialinėse įmonėse, nėra registruota asmenų</w:t>
      </w:r>
      <w:r w:rsidRPr="00673342">
        <w:rPr>
          <w:color w:val="010101"/>
          <w:szCs w:val="18"/>
        </w:rPr>
        <w:t xml:space="preserve"> </w:t>
      </w:r>
      <w:r>
        <w:rPr>
          <w:color w:val="010101"/>
          <w:szCs w:val="18"/>
        </w:rPr>
        <w:t>po reabilitacijos</w:t>
      </w:r>
      <w:r>
        <w:t>. Pagal Užimtumo įstatyme nurodytas nuostatas, tokių asmenų yra užsiregistravęs nedidelis skaičius. Socialinių įmonių įstatyme yra specialios sąlygos tai tikslinei grupei. B</w:t>
      </w:r>
      <w:r>
        <w:rPr>
          <w:color w:val="010101"/>
          <w:szCs w:val="18"/>
        </w:rPr>
        <w:t xml:space="preserve">endruomenės sudaro sutartis dėl profesinės reabilitacijos.  </w:t>
      </w:r>
    </w:p>
    <w:p w:rsidR="00C07927" w:rsidRDefault="00C07927" w:rsidP="00C07927">
      <w:pPr>
        <w:ind w:firstLine="720"/>
        <w:jc w:val="both"/>
      </w:pPr>
      <w:r>
        <w:t xml:space="preserve">Yra patvirtintas reabilitacinių centrų sąrašas, kuriame asmenys, baigę reabilitacijos kursą, gauna sertifikatą ir darbo biržoje asmeniui taikomas įmonės pagal Užimtumo įstatymą kompensavimas. </w:t>
      </w:r>
    </w:p>
    <w:p w:rsidR="00C07927" w:rsidRDefault="00C07927" w:rsidP="00C07927">
      <w:pPr>
        <w:ind w:firstLine="720"/>
        <w:jc w:val="both"/>
        <w:rPr>
          <w:rFonts w:eastAsia="Arial Unicode MS"/>
        </w:rPr>
      </w:pPr>
    </w:p>
    <w:p w:rsidR="00C07927" w:rsidRPr="00376FA1" w:rsidRDefault="00C07927" w:rsidP="00C07927">
      <w:pPr>
        <w:ind w:firstLine="720"/>
        <w:jc w:val="both"/>
        <w:rPr>
          <w:b/>
        </w:rPr>
      </w:pPr>
      <w:r>
        <w:tab/>
      </w:r>
      <w:r w:rsidRPr="00376FA1">
        <w:rPr>
          <w:b/>
        </w:rPr>
        <w:t xml:space="preserve">Dėl metadono </w:t>
      </w:r>
    </w:p>
    <w:p w:rsidR="00C07927" w:rsidRDefault="00C07927" w:rsidP="00C07927">
      <w:pPr>
        <w:ind w:firstLine="720"/>
        <w:jc w:val="both"/>
      </w:pPr>
    </w:p>
    <w:p w:rsidR="00C07927" w:rsidRDefault="00C07927" w:rsidP="00C07927">
      <w:pPr>
        <w:jc w:val="both"/>
      </w:pPr>
      <w:r>
        <w:rPr>
          <w:bCs/>
          <w:szCs w:val="20"/>
        </w:rPr>
        <w:t xml:space="preserve">       </w:t>
      </w:r>
      <w:r>
        <w:rPr>
          <w:bCs/>
          <w:szCs w:val="20"/>
        </w:rPr>
        <w:tab/>
      </w:r>
      <w:r>
        <w:t xml:space="preserve">Seimo Narkomanijos ir alkoholizmo prevencijos komisija (toliau- Komisija)  susipažinusi su </w:t>
      </w:r>
      <w:r>
        <w:rPr>
          <w:bCs/>
          <w:szCs w:val="20"/>
        </w:rPr>
        <w:t>Valstybinės vaistų kontrolės tarnybos</w:t>
      </w:r>
      <w:r w:rsidRPr="001D28CA">
        <w:rPr>
          <w:bCs/>
          <w:szCs w:val="20"/>
        </w:rPr>
        <w:t xml:space="preserve"> </w:t>
      </w:r>
      <w:r>
        <w:rPr>
          <w:bCs/>
          <w:szCs w:val="20"/>
        </w:rPr>
        <w:t xml:space="preserve">prie Sveikatos apsaugos ministerijos </w:t>
      </w:r>
      <w:r>
        <w:t xml:space="preserve">2010 11 30 raštu Nr. 2R-117-14 “Dėl metadono”  pateikta informacija dėl narkotinės medžiagos “Methadone”  2009 m.  skiltyje “Narcotic drug” nurodyto kvotos (g) skaičius “12”  ir Narkotikų kontrolės departamento prie Lietuvos Respublikos Vyriausybės “Metiniame pranešime 2010” 10.1 lentelėje “Narkotinių ir psichotropinių medžiagų importo/ įvežimo į Lietuvos Respublika ir eksporto/išvežimo iš Lietuvos Respublikos kiekiai 2009 m.” nurodyto kvotos (g) 13 000  kiekio bei skiltyje-  importas/įvežimas nurodyto kiekio (g) iš viso 11 631,6, kreipėsi į </w:t>
      </w:r>
      <w:r>
        <w:rPr>
          <w:bCs/>
          <w:szCs w:val="20"/>
        </w:rPr>
        <w:t>Valstybinę vaistų kontrolės tarnybą</w:t>
      </w:r>
      <w:r w:rsidRPr="001D28CA">
        <w:rPr>
          <w:bCs/>
          <w:szCs w:val="20"/>
        </w:rPr>
        <w:t xml:space="preserve"> </w:t>
      </w:r>
      <w:r>
        <w:rPr>
          <w:bCs/>
          <w:szCs w:val="20"/>
        </w:rPr>
        <w:t xml:space="preserve">prie Sveikatos apsaugos ministerijos </w:t>
      </w:r>
      <w:r>
        <w:t xml:space="preserve">2011-02-17 raštu Nr. S-2011-1399 prašydama patikslinti informaciją: 1) ar Jungtinių Tautų Tarptautinio narkotikų kontrolės komitetui teikiamoje suvartojimo  (Forma C) ataskaitoje Methadone leidžiamas 11 kg suvartojimo kiekis yra tikslus svorio kiekis už kuri Lietuva turi atsiskaityti ir atsiskaito;  ar tokia pat praktika taikoma ir Morphine, Pethidinė ir kt. II sąrašo medžiagoms, ar yra taikomos išimtys; 2) ar Jungtinių Tautų Tarptautinio narkotikų kontrolės komitetui teikiamoje poreikio mokslo, veterinarijos ir medicinos tikslams (Forma B) ataskaitoje yra  </w:t>
      </w:r>
      <w:r>
        <w:lastRenderedPageBreak/>
        <w:t xml:space="preserve">pateikiamas tas pats suvartotas nurodytas 1 skiltyje (g) Methadone  12 ir (Forma C) nurodytas kiekis; ar tokia pat praktika taikoma ir Morphine, Pethidinė ir kt. II sąrašo medžiagoms, ar yra taikomos išimtys; 3) kuo vadovaujantis </w:t>
      </w:r>
      <w:r>
        <w:rPr>
          <w:bCs/>
          <w:szCs w:val="20"/>
        </w:rPr>
        <w:t xml:space="preserve">Valstybinės vaistų kontrolės tarnyba prie Sveikatos apsaugos ministerijos pateikė Narkotikų kontrolės departamentui prie Lietuvos Respublikos Vyriausybės </w:t>
      </w:r>
      <w:r>
        <w:t xml:space="preserve"> 2009 m. 13 000 g kvotos kiekį, o ne tokius skaičius, kurie gauti iš Jungtinių Tautų Tarptautinio narkotikų kontrolės komiteto suvartojimo ir poreikio kiekio; 4) kokia patvirtinta metodika ir kuo vadovaujantis </w:t>
      </w:r>
      <w:r>
        <w:rPr>
          <w:bCs/>
          <w:szCs w:val="20"/>
        </w:rPr>
        <w:t xml:space="preserve">Valstybinės vaistų kontrolės tarnyba prie Sveikatos apsaugos ministerijos ir kaip </w:t>
      </w:r>
      <w:r>
        <w:t xml:space="preserve">grynosios narkotinės medžiagos kiekį perskaičiuoja į veikliąją medžiagą,  o veikliąją medžiagą, Methadono atveju – metadoną hidrochloridą – perskaičiuoja  į grynąją medžiagą – metadoną, o po to Lietuvos Respublikos  įmonės, turinčios licenciją užsiimti narkotinių ir psichotropinių vaistų bei vaistinių medžiagų mažmenine prekyba, teikiamose ataskaitose apie vaistinių preparatų, kurių sudėtyje yra į II sąrašą įtrauktų narkotinių ir psichotropinių medžiagų, apyvartą ir sveikatos priežiūros įstaigos vaistinės  ar sveikatos priežiūros įstaigos, teikiamose priklausomybės ligų pakaitinio gydymo paslaugų ataskaitose apie vaistinių preparatų, kurių sudėtyje yra į II sąrašą įtrauktų narkotinių ir psichotropinių medžiagų, apyvartą nurodo vaistą “Methadon”  mililitrais; 5) ar pakuotė Methadon 1mg/ml 1000 ml yra laikoma į II sąrašą įtraukta narkotine ir psichotropine medžiaga; 6) kaip importo/įvežimo atveju  Methadon krovinys tikrinamas, ar sulyginamas su leidžiamu kvotos svoriu, tūriu,  ar atliekant krovinio patikrinimą daromos svorio, tūrio atžymos pagal </w:t>
      </w:r>
      <w:r>
        <w:rPr>
          <w:bCs/>
          <w:szCs w:val="20"/>
        </w:rPr>
        <w:t>Valstybinės vaistų kontrolės tarnybos prie Sveikatos apsaugos ministerijos svorio ir tūrio perskaičiavimus</w:t>
      </w:r>
      <w:r>
        <w:t xml:space="preserve">; 7)  pateikti informaciją ( nurodant kaip ir metadono atveju) kiek kvotos grynosios narkotinės medžiagos, perskaičiuotos į veikliąją medžiagą, o po to perskaičiuotos į grynąją medžiagą, po to vėl perskaičiuotos į  mililitrus yra: Sol. Morphini, Sol. Tramadol. </w:t>
      </w:r>
    </w:p>
    <w:p w:rsidR="00C07927" w:rsidRDefault="00C07927" w:rsidP="00C07927">
      <w:pPr>
        <w:jc w:val="both"/>
      </w:pPr>
      <w:r>
        <w:rPr>
          <w:bCs/>
          <w:szCs w:val="20"/>
        </w:rPr>
        <w:tab/>
        <w:t>Valstybinės vaistų kontrolės tarnyba</w:t>
      </w:r>
      <w:r w:rsidRPr="001D28CA">
        <w:rPr>
          <w:bCs/>
          <w:szCs w:val="20"/>
        </w:rPr>
        <w:t xml:space="preserve"> </w:t>
      </w:r>
      <w:r>
        <w:rPr>
          <w:bCs/>
          <w:szCs w:val="20"/>
        </w:rPr>
        <w:t>prie Sveikatos apsaugos ministerijos 2011-03-14 raštu Nr.2R-1.17-4 „Dėl informacijos“</w:t>
      </w:r>
      <w:r>
        <w:t xml:space="preserve"> atsakė, kad s</w:t>
      </w:r>
      <w:r>
        <w:rPr>
          <w:spacing w:val="-1"/>
        </w:rPr>
        <w:t xml:space="preserve">utinkamai su Konvencijos 1 straipsnio 2 punktu „ narkotinė medžiaga laikoma „suvartota", </w:t>
      </w:r>
      <w:r>
        <w:t xml:space="preserve">jeigu ji buvo pristatyta bet kokiam asmeniui arba įmonei mažmeniniam paskirstymui, vartojimui medicinoje arba mokslo tiriamiesiems darbams'. „Narkotine medžiaga" laikoma kiekviena gamtinė ar sintetinė medžiaga, įtraukta į I ar </w:t>
      </w:r>
      <w:r w:rsidRPr="006669F0">
        <w:t xml:space="preserve">II </w:t>
      </w:r>
      <w:r>
        <w:t>sąrašą. „Preparatas" - kietas arba skystas mišinys, kuriame yra kokios nors narkotinės medžiagos ir kuriam taikomas toks pat kontrolės rėžimas, kaip ir jo sudėtyje esančiai narkotinei medžiagai. Vadovaujantis Tarptautinio narkotikų kontrolės komiteto (toliau - TNKK) suvartojimo ataskaitos (Forma C) užpildymo nurodymų 4 punktu, šios ataskaitos duomenys turi būti pateikiami perskaičiavus į grynąją medžiagą iš druskų ar preparatų, kurie neįtraukti į Konvencijos III sąrašą. Be to, visi duomenys turi būti pateikiami grynosios medžiagos kiekiu, t.y. neįskaitant pakuotės (dėžutės, flakono, mėgintuvėlio, ampulės) svorio. Visi duomenys turi būti pateikti kilogramais ir gramais arba gramais ir miligramais, be dešimtainių reikšmių ar kablelių.</w:t>
      </w:r>
    </w:p>
    <w:p w:rsidR="00C07927" w:rsidRDefault="00C07927" w:rsidP="00C07927">
      <w:pPr>
        <w:shd w:val="clear" w:color="auto" w:fill="FFFFFF"/>
        <w:spacing w:line="274" w:lineRule="exact"/>
        <w:ind w:left="7" w:right="7" w:firstLine="727"/>
        <w:jc w:val="both"/>
      </w:pPr>
      <w:r>
        <w:t>Sutinkamai su šiais nurodymais 2009 metų Formoje C nurodytas 11000 g Metadono kiekis yra išskaičiuotas iš vaistinio preparato Metadon DAK, kuris iš didmeninių įmonių buvo tiektas į asmens sveikatos priežiūros įstaigas ir į mažmeninę prekybą (vaistines):</w:t>
      </w:r>
    </w:p>
    <w:p w:rsidR="00C07927" w:rsidRPr="00CD0748" w:rsidRDefault="00C07927" w:rsidP="00C07927">
      <w:pPr>
        <w:shd w:val="clear" w:color="auto" w:fill="FFFFFF"/>
        <w:tabs>
          <w:tab w:val="left" w:leader="underscore" w:pos="4594"/>
          <w:tab w:val="left" w:leader="underscore" w:pos="8482"/>
        </w:tabs>
        <w:spacing w:line="274" w:lineRule="exact"/>
        <w:ind w:left="7"/>
        <w:rPr>
          <w:sz w:val="18"/>
          <w:szCs w:val="18"/>
        </w:rPr>
      </w:pPr>
      <w:r>
        <w:t>Metadon DAK susp. lmg/ml lOOOml vaistinio preparato sudėtyje yra 1 g metadono hidrochlorido</w:t>
      </w:r>
      <w:r>
        <w:br/>
        <w:t>(metadono hidrochloride yra 90 % metadono). 2009 m. asmens sveikatos priežiūros</w:t>
      </w:r>
      <w:r>
        <w:br/>
        <w:t xml:space="preserve">įstaigoms ir vaistinėms iš didmeninių įmonių buvo tiektos 12222 pakuotės vaistinio   preparato Metadon DAK (šie duomenys pateikti 2010 m. lapkričio 15 d. Tarnybos  </w:t>
      </w:r>
      <w:r w:rsidRPr="00400E0C">
        <w:rPr>
          <w:spacing w:val="-2"/>
        </w:rPr>
        <w:t>rašte Nr. 2R-1.17-12).</w:t>
      </w:r>
      <w:r>
        <w:rPr>
          <w:sz w:val="18"/>
          <w:szCs w:val="18"/>
        </w:rPr>
        <w:t xml:space="preserve">  </w:t>
      </w:r>
      <w:r>
        <w:t>2. Skaičiuojama sekančia tvarka: 12222 pakuočių x 1 g = 12222 g metadono hidrochlorido x 0,9 -10999,8 (g) metadono. Kadangi Formoje C duomenys turi būti pateikiami kilogramais ir gramais, nerašant skaičių po kablelio, suapvalinus grynosios medžiagos kiekis yra 11000 (g).</w:t>
      </w:r>
    </w:p>
    <w:p w:rsidR="00C07927" w:rsidRDefault="00C07927" w:rsidP="00C07927">
      <w:pPr>
        <w:shd w:val="clear" w:color="auto" w:fill="FFFFFF"/>
        <w:spacing w:line="274" w:lineRule="exact"/>
        <w:ind w:left="36" w:firstLine="893"/>
        <w:jc w:val="both"/>
      </w:pPr>
      <w:r>
        <w:t xml:space="preserve">Tokia pati praktika taikoma ir kitoms </w:t>
      </w:r>
      <w:r w:rsidRPr="006669F0">
        <w:t xml:space="preserve">II </w:t>
      </w:r>
      <w:r>
        <w:t xml:space="preserve">sąrašo medžiagoms, už kurias reikia atsiskaityti </w:t>
      </w:r>
      <w:r>
        <w:rPr>
          <w:spacing w:val="-1"/>
        </w:rPr>
        <w:t xml:space="preserve">TNKK. Iš 2009 m. narkotinės medžiagos </w:t>
      </w:r>
      <w:r>
        <w:rPr>
          <w:i/>
          <w:iCs/>
          <w:spacing w:val="-1"/>
        </w:rPr>
        <w:t xml:space="preserve">morphine </w:t>
      </w:r>
      <w:r>
        <w:rPr>
          <w:spacing w:val="-1"/>
        </w:rPr>
        <w:t xml:space="preserve">turinčių vaistinių preparatų Morphin Biotika inj. </w:t>
      </w:r>
      <w:r>
        <w:t xml:space="preserve">lOmg/ml lml N 10 (veiklioji medžiaga - morfino hidrochloridas), Vendai retard tab. 10 mg N 30, Vendai retard tab. 30 mg N 30, Vendai retard tab. 60 mg N 30, Vendai retard tab. 100 mg N 30, Vendai retard tab. 200 mg N 30 (veiklioji medžiaga - morfino trihidrochloridas), Doltard retard tab. 30mg N 20, Doltard retard tab. 60mg N 20 (veiklioji medžiaga - morfino sulfatas), vardinio vaistinio preparato Morphini sulfas spin. inj. lmg/ml 2ml N 10 (veiklioji medžiaga - morfino sulfatas), tiektų į vaistines bei asmens sveikatos priežiūros įstaigas, išskaičiuojamas grynosios narkotinės medžiagos </w:t>
      </w:r>
      <w:r>
        <w:rPr>
          <w:i/>
          <w:iCs/>
        </w:rPr>
        <w:t xml:space="preserve">morphine </w:t>
      </w:r>
      <w:r>
        <w:t xml:space="preserve">kiekis ir šie duomenys (8810 g) buvo pateikti TNKK ataskaitoje (Forma C). Iš narkotinės medžiagos </w:t>
      </w:r>
      <w:r>
        <w:rPr>
          <w:i/>
          <w:iCs/>
        </w:rPr>
        <w:t xml:space="preserve">pethidine </w:t>
      </w:r>
      <w:r>
        <w:t xml:space="preserve">turinčio vaistinio preparato Doloblok inj. 50mg/ml lml N 10 (veiklioji medžiaga petidino hidrochloridas), tiekto į vaistines bei asmens sveikatos priežiūros įstaigas, išskaičiuojamas </w:t>
      </w:r>
      <w:r>
        <w:lastRenderedPageBreak/>
        <w:t xml:space="preserve">grynosios narkotinės medžiagos </w:t>
      </w:r>
      <w:r>
        <w:rPr>
          <w:i/>
          <w:iCs/>
        </w:rPr>
        <w:t xml:space="preserve">pethidine </w:t>
      </w:r>
      <w:r>
        <w:t>kiekis ir šie duomenys (9302 g) buvo pateikti TNKK ataskaitoje (Forma C).</w:t>
      </w:r>
    </w:p>
    <w:p w:rsidR="00C07927" w:rsidRDefault="00C07927" w:rsidP="00C07927">
      <w:pPr>
        <w:shd w:val="clear" w:color="auto" w:fill="FFFFFF"/>
        <w:spacing w:line="274" w:lineRule="exact"/>
        <w:ind w:left="22" w:right="43" w:firstLine="713"/>
        <w:jc w:val="both"/>
      </w:pPr>
      <w:r>
        <w:rPr>
          <w:spacing w:val="-1"/>
        </w:rPr>
        <w:t xml:space="preserve">Formoje B yra pateikiami narkotinių medžiagų poreikio paskaičiavimai sveikatos priežiūros, </w:t>
      </w:r>
      <w:r>
        <w:t xml:space="preserve">mokslo bei veterinarijos tikslams </w:t>
      </w:r>
      <w:r w:rsidRPr="00CD0748">
        <w:rPr>
          <w:bCs/>
        </w:rPr>
        <w:t>2011 metams.</w:t>
      </w:r>
      <w:r>
        <w:rPr>
          <w:b/>
          <w:bCs/>
        </w:rPr>
        <w:t xml:space="preserve"> </w:t>
      </w:r>
      <w:r>
        <w:t xml:space="preserve">Informuojame, kad pagal 2011 metų poreikio skaičiavimus </w:t>
      </w:r>
      <w:r>
        <w:rPr>
          <w:i/>
          <w:iCs/>
        </w:rPr>
        <w:t xml:space="preserve">{.yAnnual estimates of reauirements of narcotic drugs, manufacture ofsyntetic drugs, opium production and cultivation of the opium poppy for purposes other than opium production " (Form B) </w:t>
      </w:r>
      <w:r>
        <w:t xml:space="preserve">Lietuvai buvo suteikta 12000 g metadono ir 12000 g morfino kvotos, kurios reguliariai skelbiamos Tarptautinio narkotikų kontrolės komiteto leidinyje „Narcotic Drugs:Estimated World Reauirements for 2011, 11 puslapis (1 priedas), bei internetiniame puslapyje </w:t>
      </w:r>
      <w:r>
        <w:rPr>
          <w:lang w:val="en-US"/>
        </w:rPr>
        <w:t>(</w:t>
      </w:r>
      <w:hyperlink r:id="rId237" w:history="1">
        <w:r>
          <w:rPr>
            <w:u w:val="single"/>
            <w:lang w:val="en-US"/>
          </w:rPr>
          <w:t>www.incb.org</w:t>
        </w:r>
      </w:hyperlink>
      <w:r>
        <w:rPr>
          <w:lang w:val="en-US"/>
        </w:rPr>
        <w:t xml:space="preserve">) </w:t>
      </w:r>
      <w:r>
        <w:t>„Narcotic Drugs/Status of estimates".</w:t>
      </w:r>
    </w:p>
    <w:p w:rsidR="00C07927" w:rsidRDefault="00C07927" w:rsidP="00C07927">
      <w:pPr>
        <w:shd w:val="clear" w:color="auto" w:fill="FFFFFF"/>
        <w:spacing w:line="274" w:lineRule="exact"/>
        <w:ind w:left="7" w:right="29" w:firstLine="706"/>
        <w:jc w:val="both"/>
      </w:pPr>
      <w:r>
        <w:t xml:space="preserve">Formoje C yra pateikiamas </w:t>
      </w:r>
      <w:r w:rsidRPr="00CD0748">
        <w:rPr>
          <w:bCs/>
        </w:rPr>
        <w:t>faktinis 2009 metais suvartotų narkotinių medžiagų kiekis.</w:t>
      </w:r>
      <w:r>
        <w:rPr>
          <w:b/>
          <w:bCs/>
        </w:rPr>
        <w:t xml:space="preserve"> </w:t>
      </w:r>
      <w:r>
        <w:t xml:space="preserve">Suvartotu kiekiu tiek </w:t>
      </w:r>
      <w:r>
        <w:rPr>
          <w:i/>
          <w:iCs/>
        </w:rPr>
        <w:t xml:space="preserve">metadono, </w:t>
      </w:r>
      <w:r>
        <w:t xml:space="preserve">tiek </w:t>
      </w:r>
      <w:r>
        <w:rPr>
          <w:i/>
          <w:iCs/>
        </w:rPr>
        <w:t xml:space="preserve">morfino, </w:t>
      </w:r>
      <w:r>
        <w:t xml:space="preserve">tiek </w:t>
      </w:r>
      <w:r>
        <w:rPr>
          <w:i/>
          <w:iCs/>
        </w:rPr>
        <w:t xml:space="preserve">petidino </w:t>
      </w:r>
      <w:r>
        <w:t>atveju laikomas iš didmenos į mažmeną tiektas narkotinės medžiagos kiekis.</w:t>
      </w:r>
    </w:p>
    <w:p w:rsidR="00C07927" w:rsidRDefault="00C07927" w:rsidP="00C07927">
      <w:pPr>
        <w:shd w:val="clear" w:color="auto" w:fill="FFFFFF"/>
        <w:spacing w:before="7" w:line="274" w:lineRule="exact"/>
        <w:ind w:left="7" w:right="58" w:firstLine="713"/>
        <w:jc w:val="both"/>
      </w:pPr>
      <w:r>
        <w:t xml:space="preserve">Poreikis su suvartojimu nėra vienodi ir negali būti vienodi, nes jeigu šalyje bus suvartotas </w:t>
      </w:r>
      <w:r>
        <w:rPr>
          <w:spacing w:val="-1"/>
        </w:rPr>
        <w:t xml:space="preserve">visas narkotinių medžiagų kiekis, kurio poreikį užsakėme, tai reiškia, kad sandėliuose metų pradžiai </w:t>
      </w:r>
      <w:r>
        <w:t>neliks narkotinių vaistinių preparatų ir nebus kuo gydyti ligonių.</w:t>
      </w:r>
    </w:p>
    <w:p w:rsidR="00C07927" w:rsidRDefault="00C07927" w:rsidP="00C07927">
      <w:pPr>
        <w:shd w:val="clear" w:color="auto" w:fill="FFFFFF"/>
        <w:spacing w:line="274" w:lineRule="exact"/>
        <w:ind w:right="43" w:firstLine="713"/>
        <w:jc w:val="both"/>
      </w:pPr>
      <w:r>
        <w:t xml:space="preserve">Vadovaujantis 1961 metų Jungtinių Tautų Organizacijos Bendrosios narkotinių medžiagų konvencijos (toliau - Konvencija) nuostatomis, Tarptautinis narkotikų kontrolės komitetas metų bėgyje šalių pateiktus metinio poreikio skaičiavimus (taip vadinamas kvotas) koreguoja ir atnaujina kas mėnesį, perskaičiuoja ir tikslina gavęs statistinius duomenis už praeitus metus. Tokiu būdu, </w:t>
      </w:r>
      <w:r>
        <w:rPr>
          <w:spacing w:val="-1"/>
        </w:rPr>
        <w:t xml:space="preserve">vadovaujantis Konvencijos 19 straipsnio 2 punktu, kvota gali būti padidinama, kaip atsitiko ir 2009 </w:t>
      </w:r>
      <w:r>
        <w:t xml:space="preserve">metų Lietuvos metadono bei kitų narkotinių medžiagų kvotoms. Metadono kvota buvo padidinta (gruodžio mėnesio duomenys) iki 13816 gramų (pridedamas puslapis iš leidinio Estimated World Reauirements of Narcotic Drugs in grams for 2009 (December update)). Detalus aukščiau minėtų skaičiavimų aprašymas ir paaiškinimas yra išdėstytas Tarptautinio narkotikų kontrolės komiteto rekomendacijose </w:t>
      </w:r>
      <w:r>
        <w:rPr>
          <w:i/>
          <w:iCs/>
        </w:rPr>
        <w:t xml:space="preserve">(Training material 1961 Single Convention on Narcotic Drugs. Part 2: The Estimates System for Narcotic Drugs, </w:t>
      </w:r>
      <w:r>
        <w:rPr>
          <w:lang w:val="en-US"/>
        </w:rPr>
        <w:t xml:space="preserve">IV </w:t>
      </w:r>
      <w:r>
        <w:t xml:space="preserve">skyriuje; skelbiama Tarptautinio narkotikų kontrolės komiteto internetiniame puslapyje adresu </w:t>
      </w:r>
      <w:hyperlink r:id="rId238" w:history="1">
        <w:r>
          <w:rPr>
            <w:u w:val="single"/>
            <w:lang w:val="en-US"/>
          </w:rPr>
          <w:t>http://www.incb.org/</w:t>
        </w:r>
      </w:hyperlink>
      <w:r>
        <w:rPr>
          <w:lang w:val="en-US"/>
        </w:rPr>
        <w:t>).</w:t>
      </w:r>
    </w:p>
    <w:p w:rsidR="00C07927" w:rsidRDefault="00C07927" w:rsidP="00C07927">
      <w:pPr>
        <w:shd w:val="clear" w:color="auto" w:fill="FFFFFF"/>
        <w:spacing w:line="274" w:lineRule="exact"/>
        <w:ind w:left="58" w:firstLine="713"/>
      </w:pPr>
      <w:r>
        <w:t>Lietuvoje registruoto vaistinio preparato Metadon DAK lmg/ml 1000 ml sudėtis: -Veiklioji medžiaga yra metadono hidrochloridas,  1 ml geriamojo tirpalo yra 1 mg metadono hidrochlorido.</w:t>
      </w:r>
    </w:p>
    <w:p w:rsidR="00C07927" w:rsidRDefault="00C07927" w:rsidP="00C07927">
      <w:pPr>
        <w:shd w:val="clear" w:color="auto" w:fill="FFFFFF"/>
        <w:spacing w:line="274" w:lineRule="exact"/>
        <w:ind w:left="58" w:right="22"/>
        <w:jc w:val="both"/>
      </w:pPr>
      <w:r>
        <w:t>-Pagalbinės medžiagos yra propilo parahidroksibenzoatas (E 216), metilo parahidroksibenzoatas (E 218), citrinų rūgšties monohidratas (E330), apelsinų skonio medžiaga, etanolis (96 %), sacharozė, išgrynintas vanduo.</w:t>
      </w:r>
    </w:p>
    <w:p w:rsidR="00C07927" w:rsidRDefault="00C07927" w:rsidP="00C07927">
      <w:pPr>
        <w:shd w:val="clear" w:color="auto" w:fill="FFFFFF"/>
        <w:spacing w:line="274" w:lineRule="exact"/>
        <w:ind w:left="36" w:right="36" w:firstLine="713"/>
        <w:jc w:val="both"/>
      </w:pPr>
      <w:r>
        <w:t xml:space="preserve">Kadangi kontroliuojama yra tik narkotinė medžiaga metadono hidrochloridas, o jo vaistinio preparato Metadon DAK lml yra 1 miligramas, pakuotė - lOOOml butelis, t.y. vienoje pakuotėje yra </w:t>
      </w:r>
      <w:r>
        <w:rPr>
          <w:spacing w:val="-1"/>
        </w:rPr>
        <w:t xml:space="preserve">1 g metadono hidrochlorido. Grynąsias medžiagas iš druskų išskaičiuojame vadovaudamiesi TNKK </w:t>
      </w:r>
      <w:r>
        <w:t xml:space="preserve">pateikiama procentinės kontroliuojamų medžiagų sudėties duomenų lentele: Yellow List, 4 Tables shovving the pure anhydrous drug content of listed in the schedules of the 1961 Convention (3 </w:t>
      </w:r>
      <w:r>
        <w:rPr>
          <w:spacing w:val="-1"/>
        </w:rPr>
        <w:t xml:space="preserve">priedas). Iš šios lentelės matome, kad metadono hidrochloride yra 90 procentų metadono, todėl šiais </w:t>
      </w:r>
      <w:r>
        <w:t>duomenimis vadovaujantis išskaičiuojame grynosios medžiagos kiekį kurį pateikiame ataskaitose TNKK (Forma C).</w:t>
      </w:r>
    </w:p>
    <w:p w:rsidR="00C07927" w:rsidRDefault="00C07927" w:rsidP="00C07927">
      <w:pPr>
        <w:shd w:val="clear" w:color="auto" w:fill="FFFFFF"/>
        <w:spacing w:line="274" w:lineRule="exact"/>
        <w:ind w:left="29" w:right="36" w:firstLine="648"/>
        <w:jc w:val="both"/>
      </w:pPr>
      <w:r>
        <w:t xml:space="preserve">Vadovaujantis Valstybinės vaistų kontrolės tarnybos prie Lietuvos Respublikos sveikatos apsaugos ministerijos viršininko 2006 m. birželio 27 d. įsakymu Nr. 1A-349 „Dėl vaistinių preparatų, kurių sudėtyje yra narkotinių ir psichotropinių medžiagų, leidžiamų vartoti medicinos tikslams, apskaitos" (Zin., 2006, Nr. 74-2842), įmonės turinčios licenciją užsiimti narkotinių ir psichotropinių vaistų bei vaistinių medžiagų mažmenine prekyba, asmens sveikatos priežiūros įstaigos, vartojančių narkotinius vaistus, vaistinės bei asmens sveikatos priežiūros įstaigos, vaitojančios narkotinius vaistus vaistinių preparatų kiekius </w:t>
      </w:r>
      <w:r w:rsidRPr="00376FA1">
        <w:rPr>
          <w:bCs/>
        </w:rPr>
        <w:t>turi nurodyti pakuotėmis.</w:t>
      </w:r>
    </w:p>
    <w:p w:rsidR="00C07927" w:rsidRDefault="00C07927" w:rsidP="00C07927">
      <w:pPr>
        <w:shd w:val="clear" w:color="auto" w:fill="FFFFFF"/>
        <w:spacing w:line="274" w:lineRule="exact"/>
        <w:ind w:left="22" w:right="50" w:firstLine="713"/>
        <w:jc w:val="both"/>
      </w:pPr>
      <w:r>
        <w:t xml:space="preserve">Vaistinių ir gydymo įstaigų ataskaitose pateiktais duomenimis vykdoma mažmeninės prekybos narkotiniais vaistais kontrolė, iš gamintojo ir didmeninių įmonių nupirktą narkotinių medžiagų kiekį sutikrinant su parduotais (išduotais) pagal receptus ir gydymo įstaigose suvartoto </w:t>
      </w:r>
      <w:r>
        <w:rPr>
          <w:spacing w:val="-1"/>
        </w:rPr>
        <w:t xml:space="preserve">narkotinio vaistinio preparato kiekiais. (Jei ataskaitose nurodomas kiekis mililitrais, pvz. 450 ml, tai </w:t>
      </w:r>
      <w:r>
        <w:t>mes nesunkiai galime nustatyti, kad tai yra 0,45 pakuotės).</w:t>
      </w:r>
    </w:p>
    <w:p w:rsidR="00C07927" w:rsidRDefault="00C07927" w:rsidP="00C07927">
      <w:pPr>
        <w:shd w:val="clear" w:color="auto" w:fill="FFFFFF"/>
        <w:spacing w:line="274" w:lineRule="exact"/>
        <w:ind w:left="22" w:right="50" w:firstLine="713"/>
        <w:jc w:val="both"/>
      </w:pPr>
      <w:r>
        <w:rPr>
          <w:spacing w:val="-2"/>
        </w:rPr>
        <w:t xml:space="preserve">Vaistinis preparatas Metadon DAK lmg/ml lOOOml yra kontroliuojamas, nes jo sudėtyje yra </w:t>
      </w:r>
      <w:r>
        <w:t xml:space="preserve">narkotinės medžiagos </w:t>
      </w:r>
      <w:r>
        <w:rPr>
          <w:i/>
          <w:iCs/>
        </w:rPr>
        <w:t xml:space="preserve">methadone </w:t>
      </w:r>
      <w:r>
        <w:t xml:space="preserve">ir jam taikomas toks pat kontrolės rėžimas, kaip ir jo sudėtyje </w:t>
      </w:r>
      <w:r>
        <w:lastRenderedPageBreak/>
        <w:t>esančiai narkotinei medžiagai („preparato" sąvokos Konvencijoje ir Narkotinių ir psichotropinių medžiagų kontrolės įstatyme (Zin., 1998, Nr. 8-161).</w:t>
      </w:r>
    </w:p>
    <w:p w:rsidR="00C07927" w:rsidRDefault="00C07927" w:rsidP="00C07927">
      <w:pPr>
        <w:shd w:val="clear" w:color="auto" w:fill="FFFFFF"/>
        <w:spacing w:line="288" w:lineRule="exact"/>
        <w:ind w:left="29" w:right="65" w:firstLine="706"/>
        <w:jc w:val="both"/>
      </w:pPr>
      <w:r>
        <w:rPr>
          <w:spacing w:val="-1"/>
        </w:rPr>
        <w:t xml:space="preserve">Už bendrijos prekių statuso neturinčių prekių judėjimą, kai pastarosios gabenamos į Europos </w:t>
      </w:r>
      <w:r>
        <w:t>bendrijos teritoriją, pagal savo kompetencija yra atsakinga Lietuvos muitinė.</w:t>
      </w:r>
    </w:p>
    <w:p w:rsidR="00C07927" w:rsidRDefault="00C07927" w:rsidP="00C07927">
      <w:pPr>
        <w:shd w:val="clear" w:color="auto" w:fill="FFFFFF"/>
        <w:spacing w:line="288" w:lineRule="exact"/>
        <w:ind w:left="29" w:right="50" w:firstLine="698"/>
        <w:jc w:val="both"/>
      </w:pPr>
      <w:r>
        <w:t>Norime pastebėti, kad importuojama/įvežamą narkotinių medžiagų kiekį Tarnyba reguliuoja ir  seka,  kad  nebūtų viršytos  nustatytos  kvotos  bei  nesusikauptų per  dideli  narkotinių  ir 4 psichotropinių  medžiagų  kiekiai   didmeninėse įmonėse,     išduodama    kiekvienam    atskiram narkotinių vaistinių preparatų importo/įvežimo atvejui leidimą.</w:t>
      </w:r>
    </w:p>
    <w:p w:rsidR="00C07927" w:rsidRDefault="00C07927" w:rsidP="00C07927">
      <w:pPr>
        <w:shd w:val="clear" w:color="auto" w:fill="FFFFFF"/>
        <w:spacing w:line="274" w:lineRule="exact"/>
        <w:ind w:left="36" w:firstLine="713"/>
        <w:jc w:val="both"/>
      </w:pPr>
      <w:r>
        <w:t xml:space="preserve">Leidimai importuoti/įvežti ar eksportuoti/išvežti narkotines ir (ar) psichotropines medžiagas (narkotinius, psichotropinius vaistus bei vaistines medžiagas) išduodami įmonėms, turinčioms licenciją narkotinių ir (ar) psichotropinių medžiagų didmeninei prekybai, jų importui, eksportui. Prašymuose importuoti nurodyti narkotinių ir psichotropinių vaistų kiekiai perskaičiuojami į veikliąją medžiagą, sutikrinami su TNKK Lietuvos Respublikai patvirtintomis narkotinių ar psichotropinių medžiagų kvotomis. Jei prašyme nurodyti kiekiai neviršija bendro kvotos likučio (kuris matomas TNKK kas mėnesį atnaujinamoje duomenų bazėje </w:t>
      </w:r>
      <w:hyperlink r:id="rId239" w:history="1">
        <w:r w:rsidRPr="006669F0">
          <w:rPr>
            <w:u w:val="single"/>
          </w:rPr>
          <w:t>www.incb.org</w:t>
        </w:r>
      </w:hyperlink>
      <w:r w:rsidRPr="006669F0">
        <w:t xml:space="preserve"> </w:t>
      </w:r>
      <w:r>
        <w:t>„Narcotic Drugs/Status of estimates"), išrašomas leidimas. Jei prašyme nurodytam kiekiui neužtenka esančios kvotos, atliekami skaičiavimai dėl tikslingumo prašyti TNKK papildyti kvotą. Nepapildžius kvotos, gali atsirasti šio vaisto trūkumas Lietuvos Respublikoje, todėl pildomas TNKK nustatytos formos prašymas kvotos papildymui (narkotinėms medžiagoms - formos B priedas, psichotropinėms medžiagoms - formos B/P priedas), bei siunčiamas TNKK patvirtinti. Gavus papildomos kvotos patvirtinimą iš TNKK, išrašomas leidimas importuoti narkotinius vaistus ar vaistines medžiagas.</w:t>
      </w:r>
    </w:p>
    <w:p w:rsidR="00C07927" w:rsidRDefault="00C07927" w:rsidP="00C07927">
      <w:pPr>
        <w:shd w:val="clear" w:color="auto" w:fill="FFFFFF"/>
        <w:spacing w:before="14" w:line="274" w:lineRule="exact"/>
        <w:ind w:left="36" w:right="43" w:firstLine="713"/>
        <w:jc w:val="both"/>
      </w:pPr>
      <w:r>
        <w:t>Didmeninė įmonė, turėdama leidimą importuoti narkotinį vaistą ar vaistinę medžiagą, iš eksportuojančios šalies kompetentingos institucijos dar turi gauti eksporto leidimą, kuris išrašomas Lietuvos išduoto importo leidimo pagrindu. Eksportuojančios šalies pareiga yra neišduoti eksporto leidimo didesniam narkotinės medžiagos kiekiui, nei TNKK tai šaliai suteikta kvota.</w:t>
      </w:r>
    </w:p>
    <w:p w:rsidR="00C07927" w:rsidRDefault="00C07927" w:rsidP="00C07927">
      <w:pPr>
        <w:shd w:val="clear" w:color="auto" w:fill="FFFFFF"/>
        <w:spacing w:line="274" w:lineRule="exact"/>
        <w:ind w:left="22" w:right="43" w:firstLine="706"/>
        <w:jc w:val="both"/>
      </w:pPr>
      <w:r>
        <w:t xml:space="preserve">Leidimuose išduotam vaistiniam preparatui atvykus į Lietuvą, importuojanti didmeninė </w:t>
      </w:r>
      <w:r>
        <w:rPr>
          <w:spacing w:val="-1"/>
        </w:rPr>
        <w:t xml:space="preserve">įmonė siunčia Tarnybai pranešimą apie faktinį importuotą/įvežtą kontroliuojamo vaistinio preparato </w:t>
      </w:r>
      <w:r>
        <w:t>kiekį, pridėdama krovinio važtaraščius, iš kurių matyti, koks kiekis vaistinio preparato pakuočių buvo atgabentas.</w:t>
      </w:r>
    </w:p>
    <w:p w:rsidR="00C07927" w:rsidRDefault="00C07927" w:rsidP="00C07927">
      <w:pPr>
        <w:shd w:val="clear" w:color="auto" w:fill="FFFFFF"/>
        <w:spacing w:line="274" w:lineRule="exact"/>
        <w:ind w:left="22" w:right="50" w:firstLine="698"/>
        <w:jc w:val="both"/>
      </w:pPr>
      <w:r>
        <w:t xml:space="preserve">Eksportuojanti šalis atsiunčia vieną leidimo egzempliorių Tarnybai, kuri sutikrina išduotus importuoti/įvežti kontroliuojamo vaistinio preparato kiekius su leistais eksportuoti/išvežti vaistinio </w:t>
      </w:r>
      <w:r>
        <w:rPr>
          <w:spacing w:val="-1"/>
        </w:rPr>
        <w:t xml:space="preserve">preparato kiekiais ir su faktiškai importuotais/įvežtais kiekiais, atžymi faktinius importuotus kiekius eksportuojančios šalies eksporto leidime ir jį išsiunčia eksportuojančios šalies atsakingai institucijai. Tokiu būdu atliekamas dvigubas narkotinių vaistų bei vaistinių medžiagų importo/įvežimo ir </w:t>
      </w:r>
      <w:r>
        <w:t>eksporto/išvežimo tarp šalių patikrinimas.</w:t>
      </w:r>
    </w:p>
    <w:p w:rsidR="00C07927" w:rsidRDefault="00C07927" w:rsidP="00C07927">
      <w:pPr>
        <w:shd w:val="clear" w:color="auto" w:fill="FFFFFF"/>
        <w:spacing w:line="274" w:lineRule="exact"/>
        <w:ind w:left="7" w:right="72" w:firstLine="720"/>
        <w:jc w:val="both"/>
      </w:pPr>
      <w:r>
        <w:t>Lietuvoje yra registruotas vaistinis preparatas Morphin SANITAS 10 mg/ml injekcinis tirpalas, kurio 1 ml tirpalo yra 10 mg morfino hidrochlorido.</w:t>
      </w:r>
    </w:p>
    <w:p w:rsidR="00C07927" w:rsidRDefault="00C07927" w:rsidP="00C07927">
      <w:pPr>
        <w:shd w:val="clear" w:color="auto" w:fill="FFFFFF"/>
        <w:spacing w:before="7" w:line="274" w:lineRule="exact"/>
        <w:ind w:left="7" w:right="58" w:firstLine="720"/>
        <w:jc w:val="both"/>
      </w:pPr>
      <w:r>
        <w:t xml:space="preserve">Sekant kvotos skaičiavimus jie atliekami tokia tvarka: Morphin SANITAS vienoje pakuotėje yra 10 ampulių vaistinio preparato, vienos ampulės tūris - lml. Vienoje ampulėje yra </w:t>
      </w:r>
      <w:r>
        <w:rPr>
          <w:spacing w:val="-2"/>
        </w:rPr>
        <w:t xml:space="preserve">lOmg kontroliuojamos narkotinės medžiagos morfino hidrochlorido: lOmg x 10 ampulių = lOOmg </w:t>
      </w:r>
      <w:r>
        <w:t xml:space="preserve">:1000 = </w:t>
      </w:r>
      <w:r w:rsidRPr="00376FA1">
        <w:rPr>
          <w:bCs/>
        </w:rPr>
        <w:t>0,1</w:t>
      </w:r>
      <w:r>
        <w:rPr>
          <w:b/>
          <w:bCs/>
        </w:rPr>
        <w:t xml:space="preserve"> </w:t>
      </w:r>
      <w:r>
        <w:t xml:space="preserve">g </w:t>
      </w:r>
      <w:r w:rsidRPr="00376FA1">
        <w:rPr>
          <w:bCs/>
        </w:rPr>
        <w:t xml:space="preserve">morfino hidrochlorido yra vienoje vaistinio preparato Morphin SANITAS pakuotėje. </w:t>
      </w:r>
      <w:r>
        <w:t xml:space="preserve">Morfino hidrochloride grynojo morfino yra 76 procentai, vadinasi vienoje vaistinio </w:t>
      </w:r>
      <w:r>
        <w:rPr>
          <w:spacing w:val="-1"/>
        </w:rPr>
        <w:t xml:space="preserve">preparato Morphin SANITAS pakuotėje yra 0,076 g grynosios medžiagos </w:t>
      </w:r>
      <w:r>
        <w:rPr>
          <w:i/>
          <w:iCs/>
          <w:spacing w:val="-1"/>
        </w:rPr>
        <w:t>morphine.</w:t>
      </w:r>
    </w:p>
    <w:p w:rsidR="00C07927" w:rsidRDefault="00C07927" w:rsidP="00C07927">
      <w:pPr>
        <w:shd w:val="clear" w:color="auto" w:fill="FFFFFF"/>
        <w:spacing w:line="274" w:lineRule="exact"/>
        <w:ind w:right="43" w:firstLine="706"/>
        <w:jc w:val="both"/>
        <w:rPr>
          <w:bCs/>
          <w:szCs w:val="20"/>
        </w:rPr>
      </w:pPr>
      <w:r>
        <w:t xml:space="preserve">Tramadolis tarptautiniu mastu nekontroliuojamas, todėl kvota šiai medžiagai nėra suteikiama. Tačiau kadangi Ši medžiaga įtraukta į Lietuvos Respublikos sveikatos apsaugos ministro 2000 m. sausio 6 d. įsakymu Nr.5 "Dėl narkotinių ir psichotropinių medžiagų sąrašų patvirtinimo" (Žin., 2000, Nr. 4-113) patvirtinto kontroliuojamų medžiagų sąrašo </w:t>
      </w:r>
      <w:r w:rsidRPr="006669F0">
        <w:t xml:space="preserve">II </w:t>
      </w:r>
      <w:r>
        <w:t xml:space="preserve">sąrašą „Narkortinės medžiagos, leidžiamos vartoti medicinos tikslams", jai taikomos visos </w:t>
      </w:r>
      <w:r w:rsidRPr="006669F0">
        <w:t xml:space="preserve">II </w:t>
      </w:r>
      <w:r>
        <w:t>sąrašo medžiagoms privalomos kontrolės priemonės: šios medžiagos turintys vaistiniai preparati ir vaistinės medžiagos į Lietuvos Respubliką gali būti importuojami/įvežami tik su Tarnybos išduodamais leidimais, bei visa veikla su šios medžiagos turinčiais preparatais vykdoma vadovaujantis Narkotinių ir psichotropinių medžiagų  kontrolės įstatymo (Žin., 1998, Nr. 8-161) bei poįstatyminių teisės aktų, reglamentuojančių veiklą su  narkotinėmis medžiagomis, nustatyta tvarka.</w:t>
      </w:r>
      <w:r>
        <w:rPr>
          <w:bCs/>
          <w:szCs w:val="20"/>
        </w:rPr>
        <w:t xml:space="preserve">      </w:t>
      </w:r>
    </w:p>
    <w:p w:rsidR="00C07927" w:rsidRDefault="00C07927" w:rsidP="00C07927">
      <w:pPr>
        <w:shd w:val="clear" w:color="auto" w:fill="FFFFFF"/>
        <w:spacing w:line="274" w:lineRule="exact"/>
        <w:ind w:left="43"/>
        <w:jc w:val="both"/>
      </w:pPr>
      <w:r>
        <w:rPr>
          <w:bCs/>
          <w:szCs w:val="20"/>
        </w:rPr>
        <w:t xml:space="preserve">    </w:t>
      </w:r>
      <w:r>
        <w:tab/>
        <w:t xml:space="preserve"> Komisija,</w:t>
      </w:r>
      <w:r w:rsidRPr="001D28CA">
        <w:t xml:space="preserve">  susipažinusi su Valstybinės vaistų kontrolės tarnybos 2010 11 30 raštu Nr. 2R-117-14 “Dėl met</w:t>
      </w:r>
      <w:r>
        <w:t xml:space="preserve">adono” ” pateiktais dokumentais ir </w:t>
      </w:r>
      <w:r w:rsidRPr="001D28CA">
        <w:t>informacija dėl nar</w:t>
      </w:r>
      <w:r>
        <w:t xml:space="preserve">kotinės medžiagos “Methadone” bei </w:t>
      </w:r>
      <w:r w:rsidRPr="001D28CA">
        <w:t xml:space="preserve">Narkotikų kontrolės departamento prie Lietuvos Respublikos Vyriausybės </w:t>
      </w:r>
      <w:r w:rsidRPr="001D28CA">
        <w:lastRenderedPageBreak/>
        <w:t>“Metiniame pranešime 2010” 10.1 lentelėje “Narkotinių ir psichotropinių medžiagų importo/ įvežimo į Lietuvos Respublika ir eksporto/išvežimo iš Lietuvos Respublikos kiekiai</w:t>
      </w:r>
      <w:r>
        <w:t>s</w:t>
      </w:r>
      <w:r w:rsidRPr="001D28CA">
        <w:t xml:space="preserve"> 2009 m.”, kreipėsi į Muitinės departamentą prie Finansų ministerijos </w:t>
      </w:r>
      <w:r w:rsidRPr="001D28CA">
        <w:rPr>
          <w:bCs/>
        </w:rPr>
        <w:t xml:space="preserve">2011 02 23 raštu Nr. S-2011- 1551 su prašymu </w:t>
      </w:r>
      <w:r w:rsidRPr="001D28CA">
        <w:t xml:space="preserve">patikslinti įvežamą “Methadone” kiekį į Lietuvos teritoriją. Komisija pažymėjo, kad  </w:t>
      </w:r>
      <w:r w:rsidRPr="001D28CA">
        <w:rPr>
          <w:bCs/>
        </w:rPr>
        <w:t xml:space="preserve">Valstybinės vaistų kontrolės tarnyba prie Sveikatos apsaugos ministerijos </w:t>
      </w:r>
      <w:r w:rsidRPr="001D28CA">
        <w:t xml:space="preserve">Jungtinių Tautų Tarptautinio narkotikų kontrolės komitetui teikiamoje suvartojimo  (Forma C) ataskaitoje “Methadone” leidžiamas suvartojimo kiekis  11 kilogramų yra tikslus svorio kiekis už kuri Lietuva ir atsiskaito. </w:t>
      </w:r>
      <w:r w:rsidRPr="001D28CA">
        <w:rPr>
          <w:bCs/>
        </w:rPr>
        <w:t xml:space="preserve">Valstybinės vaistų kontrolės tarnyba prie Sveikatos apsaugos ministerijos </w:t>
      </w:r>
      <w:r w:rsidRPr="001D28CA">
        <w:t xml:space="preserve">Jungtinių Tautų Tarptautinio narkotikų kontrolės komitetui teikiamoje poreikio mokslo, veterinarijos ir medicinos tikslams (Forma B) ataskaitoje Lietuva pateikia  suvartotą “Methadone” kiekį gramais ir kilogramais. </w:t>
      </w:r>
      <w:r w:rsidRPr="001D28CA">
        <w:rPr>
          <w:bCs/>
        </w:rPr>
        <w:t xml:space="preserve">Valstybinės vaistų kontrolės tarnyba prie Sveikatos apsaugos ministerijos duomenimis </w:t>
      </w:r>
      <w:r w:rsidRPr="001D28CA">
        <w:t>2011 metams nustatytas ir Jungtinių Tautų Tarptautinio narkotikų kontrolės komitetui pateiktas “Methadone” poreikis yra 12 000 gramų (12 kg). Lietuvos Respublikos  įmonės, turinčios licenciją užsiimti narkotinių ir psichotropinių vaistų bei vaistinių medžiagų mažmenine prekyba,</w:t>
      </w:r>
      <w:r w:rsidRPr="001D28CA">
        <w:rPr>
          <w:bCs/>
        </w:rPr>
        <w:t xml:space="preserve"> Valstybinės vaistų kontrolės tarnybai prie Sveikatos apsaugos ministerijos teikiamose  ataskaitose </w:t>
      </w:r>
      <w:r w:rsidRPr="001D28CA">
        <w:t>apie vaistinių preparatų, kurių sudėtyje yra į II sąrašą įtrauktų narkotinių ir psichotropinių medžiagų, apyvartą ir sveikatos priežiūros įstaigos vaistinės  bei sveikatos priežiūros įstaigos, teikdamos priklausomybės ligų pakaitinio gydymo paslaugų ataskaitas apie vaistinių preparatų, kurių sudėtyje yra į II sąrašą įtrauktų narkotinių ir psichotropinių medžiagų, apyvartą nurodo vaistą “Methadon”  mililitrais, kurio bendras kiekis 2009 m. siekė apie 11 tonų 157,5  litrus; o 2010 m. I pusmetyje – 7098, 835 litrus. Komisija atkreip</w:t>
      </w:r>
      <w:r>
        <w:t>ė dėme</w:t>
      </w:r>
      <w:r w:rsidRPr="001D28CA">
        <w:t xml:space="preserve">sį į tai, kad Lietuvos Respublikos Sveikatos apsaugos ministro 2003 m. balandžio 23 d. Nr.V-239 įsakymu “ Dėl narkotinių ir psichotropinių medžiagų nedidelio, didelio ir labai didelio kiekio nustatymo rekomendacijų” patvirtintas II sąrašas narkotinių ir psichotropinių medžiagų leidžiamų vartoti medicinos tikslams (pagal 1961 m. Bendrosios konvencijos I sąrašą), kurio rekomendacijose Metadono (Methadone ) nedidelis kiekis nustatytas 0,2 g,  didelis kiekis 1g ir  labai didelis kiekis 6g. Prie įsakymo teikiamose pastabose dėl medžiagų grynumo ar svorio pakeitimo Metadonui (Methadone ) išimčių nenumatyta ir svoris nustatomas gramais. Pateikiant pavyzdį dėl įvežamo aguonų ir jų dalių (išskyrus sėklas) ekstrakto,  pastabose su dviem žvaigždutėmis nurodyta, kad nustatant kiekį “aguonų ir jų dalių organinių tirpalų ekstraktas, netinkamas tiesiogiai vartoti. Matuojamas bendras medžiagos kiekis (ml)”. Dėl aguonų ir jų dalių (išskyrus sėklas) koncentrato, pastabose su 3 žvaigždutėmis nurodyta, kad “medžiaga, pagaminta iš aguonų ir jų dalių, tinkama tiesiogiai vartoti (vandeniniai tirpalai, kietos medžiagos ir pan.). Nustatomas sausos medžiagos kiekis (g).” Metadonas nurodomas tik gramais ir jam pastabų nėra, o  Metadono tarpinis produktas (Methadone intermediate)* Lietuvoje neregistruotas. </w:t>
      </w:r>
    </w:p>
    <w:p w:rsidR="00C07927" w:rsidRDefault="00C07927" w:rsidP="00C07927">
      <w:pPr>
        <w:jc w:val="both"/>
        <w:rPr>
          <w:bCs/>
          <w:szCs w:val="20"/>
        </w:rPr>
      </w:pPr>
      <w:r>
        <w:tab/>
      </w:r>
      <w:r w:rsidRPr="001D28CA">
        <w:t>Komisija paprašė pateikti informaciją: - kokiais teisės aktais vadovaujantis Muitinės departamentas prie Finansų ministerijos, leidžia įvežti kontroliuojama II sąraše narkotinių ir psichotropinių medžiagų leidžiamų vartoti medicinos tikslams narkotinę medžiagą “Methadone” (gramais) į Lietuvą ir įvežamą narkotinę medžiagą  “Methadone” mililitrais, ypatingai dideliais kiekiais, kurio bendras skysčio svoris kasmet siekia virš 9-10 tonų ir, kuris viršija Jungtinių Tautų Tarptautinio narkotikų kontrolės komitetui pateiktą “Methadone” poreikio gramais kiekį;</w:t>
      </w:r>
      <w:r>
        <w:t xml:space="preserve"> ar įvežama narkotinė medžiaga mililitrais  yra kontroliuojama narkotinė medžiaga ir į kokį sąrašą įtraukiama; kaip muitinės pareigūnai sužino koks yra įvežamas “Methadone” grynosios medžiagos kiekis mililitrais ir nustatytas kvotos “Methadone” svorio kiekis gramuose ir  kurį leidžia įvežti į Lietuvą, kaip kontroliuojama II sąraše narkotinių ir psichotropinių medžiagų leidžiamų vartoti medicinos tikslams narkotinę medžiagą “Methadone” (gramais); ar  Muitinės departamentas prie Finansų ministerijos atlieka vertinimus ar ekspertizes dėl leidžiamo į Lietuvos Respubliką įvežti “Methadone” svorio gramais, ir įvežamo mililitrais “Methadone” pakuotėmis (1mg/ml 1000 ml), kaip tai patikrinama; kaip muitinės pareigūnai atlieka įvežamo į Lietuvą “Methadone” mililitrais ir leidžiamo įvežti “Methadone” svorio gramais narkotinės medžiagos skaičiavimus, kur ir kaip vyksta narkotinės medžiagos išgryninimas; ar Muitinės departamentas prie Finansų ministerijos turi informacijos, kokios kitos narkotinės medžiagos įvežamos  mililitrais, kurioms nustatyta kvota gramais; ar Morphine įvežamas svoris į Lietuvos Respubliką atitinka nustatyta kvotą, kaip tai patikrinama; ar Tramadol įvežamas svoris į Lietuvos Respubliką atitinka nustatyta kvotą, kaip tai patikrinama;</w:t>
      </w:r>
      <w:r>
        <w:rPr>
          <w:bCs/>
          <w:szCs w:val="20"/>
        </w:rPr>
        <w:t xml:space="preserve"> ar Muitinės kriminalinė tarnyba atliko 2009- 2011 metais kontrolinius patikrinimus dėl įvežamo Metadono (</w:t>
      </w:r>
      <w:r>
        <w:t xml:space="preserve">Methadone), Morphine ir Tramadol  kiekio ir jo atitikimo nustatytoms kvotoms ir kokie patikrinimo rezultatai. </w:t>
      </w:r>
    </w:p>
    <w:p w:rsidR="00C07927" w:rsidRDefault="00C07927" w:rsidP="00C07927">
      <w:pPr>
        <w:ind w:firstLine="720"/>
        <w:jc w:val="both"/>
      </w:pPr>
      <w:r>
        <w:lastRenderedPageBreak/>
        <w:t xml:space="preserve">Muitinės departamentas </w:t>
      </w:r>
      <w:r w:rsidRPr="001D28CA">
        <w:t xml:space="preserve"> prie Finansų ministerijos</w:t>
      </w:r>
      <w:r>
        <w:t xml:space="preserve"> 2011-03-14 raštu Nr. (1.4)3B-1876 „ Dėl informacijos pateikimo“ p</w:t>
      </w:r>
      <w:r>
        <w:rPr>
          <w:sz w:val="22"/>
          <w:szCs w:val="22"/>
        </w:rPr>
        <w:t>ateikė atsakymus į dominančius klausimus:</w:t>
      </w:r>
    </w:p>
    <w:p w:rsidR="00C07927" w:rsidRPr="005E11B1" w:rsidRDefault="00C07927" w:rsidP="00C07927">
      <w:pPr>
        <w:ind w:firstLine="720"/>
        <w:jc w:val="both"/>
      </w:pPr>
      <w:r w:rsidRPr="005E11B1">
        <w:t>1. Lietuvos muitinė narkotinę medžiagą metadoną (Methadone) į Lietuvą leidžia įvežti vadovaudamasi Lietuvos Respublikos narkotinių ir psichotropinių medžiagų kontrolės įstatymu", Lietuvos Respublikos sveikatos apsaugos ministro 2000 m. sausio 6 d. įsakymu Nr. 5 patvirtintais narkotinių ir psichotropinių medžiagų sąrašais ir kitais šio įstatymo lydimaisiais teisės aktais. Metadono teisėtą apyvartą Lietuvoje reglamentuoja minėto Lietuvos Respublikos narkotinių ir psichotropinių medžiagų kontrolės įstatymo 3 skirsnis, kurio 10 str. 1 d. nurodyta, kad į II ir III sąrašus įtrauktas medžiagas (tarp jų ir metadoną) gaminti, importuoti į Lietuvos Respubliką, eksportuoti iš Lietuvos Respublikos, verstis jų didmenine ir mažmenine prekyba Lietuvos Respublikoje gali Lietuvos Respublikos Vyriausybės nustatyta tvarka tik tam pasirengę juridiniai asmenys ir užsienio juridinių asmenų filialai, turintys šiai veiklai licenciją (leidimą). Narkotinių ir psichotropinių vaistų bei vaistinių medžiagų importo ir eksporto leidimus ir jų registrą tvarko Sveikatos apsaugos ministerijos įgaliota institucija - Valstybinė vaistų kontrolės tarnyba prie Sveikatos apsaugos ministerijos. Būtent ši tarnyba kasmet nustato į II ir III sąrašus įtrauktų medžiagų kvotas bei tvarko šių medžiagų gamybos, importo, eksporto, didmeninės ir mažmeninės prekybos apskaitą. Lietuvos muitinė, tikrindama importuojamas prekes, pagal kompetenciją kontroliuoja, ar nėra pažeidžiami prieš tai nurodyti teisės aktai, ar prekių gavėjai, gaudami atitinkamas prekes, turi reikalingas licencijas (leidimus), tikrina, ar įvežamas kiekis atitinka leidime nurodytą.</w:t>
      </w:r>
    </w:p>
    <w:p w:rsidR="00C07927" w:rsidRDefault="00C07927" w:rsidP="00C07927">
      <w:pPr>
        <w:shd w:val="clear" w:color="auto" w:fill="FFFFFF"/>
        <w:tabs>
          <w:tab w:val="left" w:pos="799"/>
        </w:tabs>
        <w:ind w:firstLine="720"/>
        <w:jc w:val="both"/>
      </w:pPr>
      <w:r w:rsidRPr="005E11B1">
        <w:rPr>
          <w:spacing w:val="-8"/>
        </w:rPr>
        <w:t>2.</w:t>
      </w:r>
      <w:r>
        <w:t xml:space="preserve"> </w:t>
      </w:r>
      <w:r w:rsidRPr="005E11B1">
        <w:t xml:space="preserve">Jeigu įvežama narkotinė ar psichotropinė medžiaga yra </w:t>
      </w:r>
      <w:r>
        <w:t xml:space="preserve">įtraukta į Lietuvos Respublikos </w:t>
      </w:r>
      <w:r w:rsidRPr="005E11B1">
        <w:t>sveikatos apsaugos ministro 2000 m. sausio 6 d. įsakymu Nr. 5 patvirtintus nark</w:t>
      </w:r>
      <w:r>
        <w:t xml:space="preserve">otinių ir </w:t>
      </w:r>
      <w:r w:rsidRPr="005E11B1">
        <w:t>psichotropinių medžiagų sąrašus, tai ji yra kontrol</w:t>
      </w:r>
      <w:r>
        <w:t>iuojama, nepriklausomai nuo to, kokios būklės skystos ar kietos ji yra gabenama, bei nepriklausomai nuo to, kaip nurodytas jos kiekis gramais ar mililitrais.</w:t>
      </w:r>
    </w:p>
    <w:p w:rsidR="00C07927" w:rsidRPr="007C6788" w:rsidRDefault="00C07927" w:rsidP="00C07927">
      <w:pPr>
        <w:shd w:val="clear" w:color="auto" w:fill="FFFFFF"/>
        <w:tabs>
          <w:tab w:val="left" w:pos="799"/>
        </w:tabs>
        <w:ind w:firstLine="720"/>
        <w:jc w:val="both"/>
      </w:pPr>
      <w:r w:rsidRPr="007C6788">
        <w:rPr>
          <w:spacing w:val="-11"/>
          <w:sz w:val="22"/>
          <w:szCs w:val="22"/>
        </w:rPr>
        <w:t>3.</w:t>
      </w:r>
      <w:r>
        <w:rPr>
          <w:spacing w:val="-11"/>
          <w:sz w:val="22"/>
          <w:szCs w:val="22"/>
        </w:rPr>
        <w:t xml:space="preserve"> </w:t>
      </w:r>
      <w:r w:rsidRPr="007C6788">
        <w:rPr>
          <w:sz w:val="22"/>
          <w:szCs w:val="22"/>
        </w:rPr>
        <w:t>Muitinės pareigūnai, tikrindami importuojamas kontroliuojamas medžiagas, tarp jų ir</w:t>
      </w:r>
      <w:r w:rsidRPr="007C6788">
        <w:rPr>
          <w:sz w:val="22"/>
          <w:szCs w:val="22"/>
        </w:rPr>
        <w:br/>
        <w:t>tokias kaip „Metadone", leidžiamą importuoti jų kiekį sužino iš pateikiamų muitinei dokumentų,</w:t>
      </w:r>
      <w:r w:rsidRPr="007C6788">
        <w:rPr>
          <w:sz w:val="22"/>
          <w:szCs w:val="22"/>
        </w:rPr>
        <w:br/>
        <w:t>kuriuose būna nurodytas Valstybinės vaistų kontrolės tarnybos leistinas importuoti kiekis:</w:t>
      </w:r>
      <w:r w:rsidRPr="007C6788">
        <w:rPr>
          <w:sz w:val="22"/>
          <w:szCs w:val="22"/>
        </w:rPr>
        <w:br/>
        <w:t>leidimuose įvežti vaistinį preparatą „Metadon" būna nurodytas šio preparato pavadinimas, pakuočių</w:t>
      </w:r>
      <w:r w:rsidRPr="007C6788">
        <w:rPr>
          <w:sz w:val="22"/>
          <w:szCs w:val="22"/>
        </w:rPr>
        <w:br/>
        <w:t>skaičius ir kontroliuojamos medžiagos methadone kiekis gramais. Vadovaujantis Bendrojo</w:t>
      </w:r>
      <w:r w:rsidRPr="007C6788">
        <w:rPr>
          <w:sz w:val="22"/>
          <w:szCs w:val="22"/>
        </w:rPr>
        <w:br/>
        <w:t>administracinio dokumento pildymo instrukcijos, patvirtintos Muitinės departamento prie Lietuvos</w:t>
      </w:r>
      <w:r w:rsidRPr="007C6788">
        <w:rPr>
          <w:sz w:val="22"/>
          <w:szCs w:val="22"/>
        </w:rPr>
        <w:br/>
        <w:t>Respublikos finansų ministerijos direktoriaus 2004 m. balandžio 13 d. įsakymu Nr. 1B-329, 27.35 ir</w:t>
      </w:r>
      <w:r w:rsidRPr="007C6788">
        <w:rPr>
          <w:sz w:val="22"/>
          <w:szCs w:val="22"/>
        </w:rPr>
        <w:br/>
        <w:t>27.43 punktais, bendrojo administracinio dokumento importo rinkinio 31 langelyje „Krovinio vietos</w:t>
      </w:r>
      <w:r w:rsidRPr="007C6788">
        <w:rPr>
          <w:sz w:val="22"/>
          <w:szCs w:val="22"/>
        </w:rPr>
        <w:br/>
        <w:t>ir prekės aprašymas" viršutinėje dalyje, kairėje pusėje įrašomas prekių pakuočių rūšies kodas iš</w:t>
      </w:r>
      <w:r w:rsidRPr="007C6788">
        <w:rPr>
          <w:sz w:val="22"/>
          <w:szCs w:val="22"/>
        </w:rPr>
        <w:br/>
        <w:t>1993 m. liepos 2 d. Komisijos reglamento (EEB) Nr. 2454/93, išdėstančio Tarybos reglamento</w:t>
      </w:r>
      <w:r w:rsidRPr="007C6788">
        <w:rPr>
          <w:sz w:val="22"/>
          <w:szCs w:val="22"/>
        </w:rPr>
        <w:br/>
        <w:t>(EEB) Nr. 2913/92, nustatančio Bendrijos muitinės kodeksą, įgyvendinimo nuostatas, 38 priedo</w:t>
      </w:r>
      <w:r w:rsidRPr="005E11B1">
        <w:rPr>
          <w:sz w:val="22"/>
          <w:szCs w:val="22"/>
        </w:rPr>
        <w:t xml:space="preserve"> </w:t>
      </w:r>
      <w:r w:rsidRPr="007C6788">
        <w:t>(kodai, naudojami pildant 31 langelį) ir šios rūšies pakuočių tikslus skaičius, duomenys apie pakuočių ženklinimą, 38 langelyje „Neto masė (kg)" įrašoma 31 langelyje „Krovinio vietos ir prekės aprašymas" aprašytų prekių masė neto kilogramais, vienos tūkstantosios kilogramo dalies (vieno gramo) tikslumu; deklaruojant nesupakuotas, birias, neišpilstytas skystas prekes, masė neto turi sutapti su 35 langelyje „Bruto masė (kg)" nurodyta mase bruto. Muitinės pareigūnai, vadovaudamiesi muitų teisės aktais ir rizikos valdymo rezultatais ar atsitiktine atranka, atlieka muitinį tikrinimą (tikrina pakuočių tikslų skaičių, duomenis apie pakuočių ženklinimą, tikslų prekių kiekį, prekių atitikimą nurodytoms muitinei pateiktuose dokumentuose, kt.).</w:t>
      </w:r>
    </w:p>
    <w:p w:rsidR="00C07927" w:rsidRPr="007C6788" w:rsidRDefault="00C07927" w:rsidP="00C07927">
      <w:pPr>
        <w:shd w:val="clear" w:color="auto" w:fill="FFFFFF"/>
        <w:spacing w:line="259" w:lineRule="exact"/>
        <w:ind w:left="36" w:firstLine="446"/>
        <w:jc w:val="both"/>
      </w:pPr>
      <w:r w:rsidRPr="007C6788">
        <w:t>Muitinė pagal savo kompetenciją yra atsakinga už muitinės priežiūros priemonių taikymą muitinės prižiūrimoms prekėms, t. y. aptariamų prekių importo atveju - už Bendrijos prekių statuso neturinčių prekių judėjimą.</w:t>
      </w:r>
    </w:p>
    <w:p w:rsidR="00C07927" w:rsidRPr="007C6788" w:rsidRDefault="00C07927" w:rsidP="00C07927">
      <w:pPr>
        <w:shd w:val="clear" w:color="auto" w:fill="FFFFFF"/>
        <w:spacing w:line="259" w:lineRule="exact"/>
        <w:ind w:left="22" w:right="29" w:firstLine="446"/>
        <w:jc w:val="both"/>
      </w:pPr>
      <w:r w:rsidRPr="007C6788">
        <w:t>Lietuvos muitinė, remdamasi 1992 m. spalio 12 d. Tarybos reglamentu (EEB) Nr. 2913/92, nustatančiu Bendrijos muitinės kodeksą,, ir 1993 m. liepos 2 d. Komisijos reglamentu (EEB) Nr. 2454/93, išdėstančiu Tarybos reglamento (EEB) Nr. 2913/92, nustatančio Bendrijos muitinės kodeksą, įgyvendinimo nuostatas, organizuoja ir atlieka rizikos valdymą, pirmiausia saugos ir saugumo tikslais, o būtent - vykdo narkotikų medžiagų ir jų pirmtakų (prekursorių) bei medikamentų kontrolę, remdamasi ES bendraisiais saugumo ir saugos rizikos kriterijais. Tokiu būdu atrinktoms prekėms atliekamas rizikos požymius atitinkantis dokumentinis ir (arba) fizinis tikrinimas. Taip pat prekės tikrinimui atrenkamos</w:t>
      </w:r>
      <w:r>
        <w:t xml:space="preserve"> ir atsitiktinės atrankos būdu.</w:t>
      </w:r>
    </w:p>
    <w:p w:rsidR="00C07927" w:rsidRPr="005E11B1" w:rsidRDefault="00C07927" w:rsidP="00C07927">
      <w:pPr>
        <w:shd w:val="clear" w:color="auto" w:fill="FFFFFF"/>
        <w:tabs>
          <w:tab w:val="left" w:pos="857"/>
        </w:tabs>
        <w:spacing w:line="259" w:lineRule="exact"/>
        <w:ind w:left="7" w:right="36" w:firstLine="554"/>
        <w:jc w:val="both"/>
      </w:pPr>
      <w:r w:rsidRPr="005E11B1">
        <w:rPr>
          <w:spacing w:val="-8"/>
          <w:sz w:val="22"/>
          <w:szCs w:val="22"/>
        </w:rPr>
        <w:t>4.</w:t>
      </w:r>
      <w:r w:rsidRPr="005E11B1">
        <w:rPr>
          <w:sz w:val="22"/>
          <w:szCs w:val="22"/>
        </w:rPr>
        <w:tab/>
        <w:t>Kontroliuojamos medžiagos gabenamos su eksportuojančios ir importuojančios šalies</w:t>
      </w:r>
      <w:r w:rsidRPr="005E11B1">
        <w:rPr>
          <w:sz w:val="22"/>
          <w:szCs w:val="22"/>
        </w:rPr>
        <w:br/>
        <w:t>leidimais. VVKT leidime yra nurodomas tikslus medžiagos (vaisto) pavadinimas, dozė, pakuotė ir</w:t>
      </w:r>
      <w:r w:rsidRPr="005E11B1">
        <w:rPr>
          <w:sz w:val="22"/>
          <w:szCs w:val="22"/>
        </w:rPr>
        <w:br/>
        <w:t>kiekis. Medžiagų kiekiai yra nurodomi gramais, taip pat ir tais atvejais, kai pastarosios gabenamos</w:t>
      </w:r>
      <w:r w:rsidRPr="005E11B1">
        <w:rPr>
          <w:sz w:val="22"/>
          <w:szCs w:val="22"/>
        </w:rPr>
        <w:br/>
        <w:t>skystu pavidalu. Deklaruojant minėtas medžiagas muitinėje, nurodomas tikslus medžiagos (vaisto)</w:t>
      </w:r>
      <w:r w:rsidRPr="005E11B1">
        <w:rPr>
          <w:sz w:val="22"/>
          <w:szCs w:val="22"/>
        </w:rPr>
        <w:br/>
      </w:r>
      <w:r w:rsidRPr="005E11B1">
        <w:rPr>
          <w:sz w:val="22"/>
          <w:szCs w:val="22"/>
        </w:rPr>
        <w:lastRenderedPageBreak/>
        <w:t>pavadinimas, dozė, pakuotė ir kiekis, bei leidimo įvežti minėtas medžiagas numeris. Kadangi</w:t>
      </w:r>
      <w:r w:rsidRPr="005E11B1">
        <w:rPr>
          <w:sz w:val="22"/>
          <w:szCs w:val="22"/>
        </w:rPr>
        <w:br/>
        <w:t>medžiagų kiekiai leidimuose joms gabenti yra nurodomi gramais, tai analogiški mato vienetai</w:t>
      </w:r>
      <w:r w:rsidRPr="005E11B1">
        <w:rPr>
          <w:sz w:val="22"/>
          <w:szCs w:val="22"/>
        </w:rPr>
        <w:br/>
        <w:t>taikomi ir jas deklaruojant muitinėje. Visais atvejais Bendrojo administracinio dokumento langelyje</w:t>
      </w:r>
      <w:r w:rsidRPr="005E11B1">
        <w:rPr>
          <w:sz w:val="22"/>
          <w:szCs w:val="22"/>
        </w:rPr>
        <w:br/>
        <w:t>dėl kiekybinių parametrų yra nurodoma masė kilogramais, papildomas mato vienetas yra</w:t>
      </w:r>
      <w:r w:rsidRPr="005E11B1">
        <w:rPr>
          <w:sz w:val="22"/>
          <w:szCs w:val="22"/>
        </w:rPr>
        <w:br/>
        <w:t>privalomas tik tam tikroms prekėms: pavyzdžiui, alkoholiui yra nurodomas litrais, medikamentams</w:t>
      </w:r>
      <w:r w:rsidRPr="005E11B1">
        <w:rPr>
          <w:sz w:val="22"/>
          <w:szCs w:val="22"/>
        </w:rPr>
        <w:br/>
        <w:t>papildomas mato vienetas neprivalomas. Tačiau vadovaujantis Bendrojo administracinio</w:t>
      </w:r>
      <w:r w:rsidRPr="005E11B1">
        <w:rPr>
          <w:sz w:val="22"/>
          <w:szCs w:val="22"/>
        </w:rPr>
        <w:br/>
        <w:t>dokumento pildymo instrukcijos, patvirtintos Muitinės departamento prie Lietuvos Respublikos</w:t>
      </w:r>
      <w:r w:rsidRPr="005E11B1">
        <w:rPr>
          <w:sz w:val="22"/>
          <w:szCs w:val="22"/>
        </w:rPr>
        <w:br/>
        <w:t>finansų ministerijos direktoriaus 2004 m. balandžio 13 d. įsakymu Nr. 1B-329, 27.35.3 punktu,</w:t>
      </w:r>
      <w:r w:rsidRPr="005E11B1">
        <w:rPr>
          <w:sz w:val="22"/>
          <w:szCs w:val="22"/>
        </w:rPr>
        <w:br/>
        <w:t>papildomo matavimo vieneto kodas iš Matavimo vienetų, naudojamų deklaruojant prekes</w:t>
      </w:r>
      <w:r w:rsidRPr="005E11B1">
        <w:rPr>
          <w:sz w:val="22"/>
          <w:szCs w:val="22"/>
        </w:rPr>
        <w:br/>
        <w:t>Lietuvos muitinei, sąrašo bei tikslus prekių kiekis, išreikštas šiuo matavimo vienetu, jeigu prekėms</w:t>
      </w:r>
      <w:r w:rsidRPr="005E11B1">
        <w:rPr>
          <w:sz w:val="22"/>
          <w:szCs w:val="22"/>
        </w:rPr>
        <w:br/>
        <w:t>aprašyti, jų kiekiui nurodyti, importo muitams bei mokesčiams skaičiuoti arba kitam tikslui</w:t>
      </w:r>
      <w:r w:rsidRPr="005E11B1">
        <w:rPr>
          <w:sz w:val="22"/>
          <w:szCs w:val="22"/>
        </w:rPr>
        <w:br/>
        <w:t>reikalingas jų kiekis, išreikštas   papildomu matavimo vienetu.</w:t>
      </w:r>
    </w:p>
    <w:p w:rsidR="00C07927" w:rsidRPr="005F71E7" w:rsidRDefault="00C07927" w:rsidP="00C07927">
      <w:pPr>
        <w:shd w:val="clear" w:color="auto" w:fill="FFFFFF"/>
        <w:spacing w:line="259" w:lineRule="exact"/>
        <w:ind w:right="50"/>
        <w:jc w:val="both"/>
      </w:pPr>
      <w:r>
        <w:rPr>
          <w:sz w:val="22"/>
          <w:szCs w:val="22"/>
        </w:rPr>
        <w:tab/>
      </w:r>
      <w:r w:rsidRPr="005F71E7">
        <w:t>Kilus įtarimui dėl prekėje esančios veikliosios medžiagos kiekio neatitikimo, muitinė turi galimybę kreiptis į Valstybinę vaistų kontrolės tarnybą prie Sveikatos apsaugos ministerijos, o esant būtinybei patvirtinti medžiagų sudėtį yra kreipiamasi į Muitinės laboratoriją, Lietuvos policijos kriminalistinių tyrimų centrą arba į Lietuvos teismo ekspertizės centrą.</w:t>
      </w:r>
    </w:p>
    <w:p w:rsidR="00C07927" w:rsidRPr="005F71E7" w:rsidRDefault="00C07927" w:rsidP="00C07927">
      <w:pPr>
        <w:shd w:val="clear" w:color="auto" w:fill="FFFFFF"/>
        <w:spacing w:line="259" w:lineRule="exact"/>
        <w:ind w:left="7" w:right="50" w:firstLine="526"/>
        <w:jc w:val="both"/>
      </w:pPr>
      <w:r w:rsidRPr="005F71E7">
        <w:t>2009-2010 m. Lietuvos muitinėje nebuvo užfiksuota atvejų, kai importuojama ar eksportuojama medžiaga methadone dokumentuose nurodoma mililitrais.</w:t>
      </w:r>
    </w:p>
    <w:p w:rsidR="00C07927" w:rsidRPr="005F71E7" w:rsidRDefault="00C07927" w:rsidP="00C07927">
      <w:pPr>
        <w:widowControl w:val="0"/>
        <w:numPr>
          <w:ilvl w:val="0"/>
          <w:numId w:val="49"/>
        </w:numPr>
        <w:shd w:val="clear" w:color="auto" w:fill="FFFFFF"/>
        <w:tabs>
          <w:tab w:val="left" w:pos="763"/>
        </w:tabs>
        <w:autoSpaceDE w:val="0"/>
        <w:autoSpaceDN w:val="0"/>
        <w:adjustRightInd w:val="0"/>
        <w:spacing w:line="259" w:lineRule="exact"/>
        <w:ind w:left="720" w:right="50" w:hanging="360"/>
        <w:jc w:val="both"/>
        <w:rPr>
          <w:spacing w:val="-15"/>
        </w:rPr>
      </w:pPr>
      <w:r w:rsidRPr="005F71E7">
        <w:t>Lietuvos muitinė pagal savo kompetenciją nevykdo narkotinių ar psichotropinių medžiagų ar jų pirmtakų (prekursorių) išgryninimo. Esant būtinybei, kiekybinė ir kokybinė medžiagų analizė yra atliekama specializuotose įstaigose. Norime pažymėti, kad tuo atveju, kai medžiagos yra gabenamos skysčio pavidalu, skystyje esanti veiklioji medžiaga prekės įsigijimo ir gabenimo dokumentuose bei ant pakuotės visą laiką nurodoma gramais.</w:t>
      </w:r>
    </w:p>
    <w:p w:rsidR="00C07927" w:rsidRPr="005F71E7" w:rsidRDefault="00C07927" w:rsidP="00C07927">
      <w:pPr>
        <w:widowControl w:val="0"/>
        <w:numPr>
          <w:ilvl w:val="0"/>
          <w:numId w:val="49"/>
        </w:numPr>
        <w:shd w:val="clear" w:color="auto" w:fill="FFFFFF"/>
        <w:tabs>
          <w:tab w:val="left" w:pos="763"/>
        </w:tabs>
        <w:autoSpaceDE w:val="0"/>
        <w:autoSpaceDN w:val="0"/>
        <w:adjustRightInd w:val="0"/>
        <w:spacing w:line="259" w:lineRule="exact"/>
        <w:ind w:left="720" w:right="58" w:hanging="360"/>
        <w:jc w:val="both"/>
        <w:rPr>
          <w:spacing w:val="-11"/>
        </w:rPr>
      </w:pPr>
      <w:r w:rsidRPr="005F71E7">
        <w:t>Visi vaistiniai injekciniai preparatai, lašai, geriamieji tirpalai yra gabenami skystu pavidalu, tačiau veikliosios medžiagos kiekis ir kvota nustatomi gramais.</w:t>
      </w:r>
    </w:p>
    <w:p w:rsidR="00C07927" w:rsidRPr="005F71E7" w:rsidRDefault="00C07927" w:rsidP="00C07927">
      <w:pPr>
        <w:shd w:val="clear" w:color="auto" w:fill="FFFFFF"/>
        <w:spacing w:line="259" w:lineRule="exact"/>
        <w:ind w:left="7" w:right="58" w:firstLine="526"/>
        <w:jc w:val="both"/>
      </w:pPr>
      <w:r w:rsidRPr="005F71E7">
        <w:t>7-8. Kaip jau buvo nurodyta pirmiau, leistiną įvežti narkotinės ar psichotropinės medžiagos svorį bei jų kvotas nustato Valstybinė vaistų kontrolės tarnyba prie Sveikatos apsaugos ministerijos. Lietuvos muitinė, tikrindama gabenamas prekes, kontroliuoja, ar nėra pažeidžiama prekių gabenimo tvarka, tikrina, ar gabenami preparatai, medžiagų ir jų veikliosios dalies kiekiai atitinka nurodytiems Valstybinės vaistų kontrolės tarnybos išduotuose leidimuose.</w:t>
      </w:r>
    </w:p>
    <w:p w:rsidR="00C07927" w:rsidRPr="005F71E7" w:rsidRDefault="00C07927" w:rsidP="00C07927">
      <w:pPr>
        <w:shd w:val="clear" w:color="auto" w:fill="FFFFFF"/>
        <w:spacing w:line="259" w:lineRule="exact"/>
        <w:ind w:left="7" w:right="58" w:firstLine="526"/>
        <w:jc w:val="both"/>
      </w:pPr>
      <w:r w:rsidRPr="005F71E7">
        <w:rPr>
          <w:spacing w:val="-3"/>
        </w:rPr>
        <w:t xml:space="preserve">9. 2009-2010 m. buvo užfiksuoti 2 medžiaga turinčių metadono, ir 3 medžiagų, turinčių morfino (pamatinės medžiagos, skirtos cheminių tyrimų atlikimui), importo iš trečiųjų šalių į </w:t>
      </w:r>
      <w:r w:rsidRPr="005F71E7">
        <w:rPr>
          <w:spacing w:val="-5"/>
        </w:rPr>
        <w:t>Lietuvą atvejai. Iš viso per nurodytą laikotarpį į Lietuvą buvo importuota 1 g aminoaldehidų-d, 1-</w:t>
      </w:r>
      <w:r w:rsidRPr="005F71E7">
        <w:rPr>
          <w:spacing w:val="-4"/>
        </w:rPr>
        <w:t xml:space="preserve">methadone HCI MET-637-hc-50, 1 g aminojunginių, kurių molekulėse yra deguoninė funkcinė grupė "Metadone", 4 000 g Morphine hidrochloride substancijos vaistų gamybai, 1 g augalinio </w:t>
      </w:r>
      <w:r w:rsidRPr="005F71E7">
        <w:rPr>
          <w:spacing w:val="-7"/>
        </w:rPr>
        <w:t>opijaus alkoloido- 6-acetylmorphine. Tramadolio gabenimo atvejų į Lietuvą neužfiksuota.</w:t>
      </w:r>
    </w:p>
    <w:p w:rsidR="00C07927" w:rsidRPr="005F71E7" w:rsidRDefault="00C07927" w:rsidP="00C07927">
      <w:pPr>
        <w:shd w:val="clear" w:color="auto" w:fill="FFFFFF"/>
        <w:spacing w:line="259" w:lineRule="exact"/>
        <w:ind w:left="7" w:right="14" w:firstLine="670"/>
        <w:jc w:val="both"/>
      </w:pPr>
      <w:r w:rsidRPr="005F71E7">
        <w:rPr>
          <w:spacing w:val="-3"/>
        </w:rPr>
        <w:t xml:space="preserve">Informacija apie prekių apyvartą tarp Europos Sąjungos valstybių teisės aktų nustatyta </w:t>
      </w:r>
      <w:r w:rsidRPr="005F71E7">
        <w:rPr>
          <w:spacing w:val="-6"/>
        </w:rPr>
        <w:t xml:space="preserve">tvarka yra teikiama Intrastato sistemoje, statistinių duomenų valdytojas yra Lietuvos statistikos departamentas. Nustatyti tikslią informaciją apie metadono (methadone), morphine ir tramadol </w:t>
      </w:r>
      <w:r w:rsidRPr="005F71E7">
        <w:rPr>
          <w:spacing w:val="-3"/>
        </w:rPr>
        <w:t xml:space="preserve">medžiagų gabenimą tarp Europos Sąjungos valstybių nėra galimybės dėl Intrastato sistemoje </w:t>
      </w:r>
      <w:r w:rsidRPr="005F71E7">
        <w:rPr>
          <w:spacing w:val="-7"/>
        </w:rPr>
        <w:t xml:space="preserve">teikiamų duomenų struktūros, nes sistemoje dažnu atveju teikiamas tiktai prekės rūšies pavadinimas </w:t>
      </w:r>
      <w:r w:rsidRPr="005F71E7">
        <w:rPr>
          <w:spacing w:val="-8"/>
        </w:rPr>
        <w:t xml:space="preserve">t.y. medikamentai ir pan., bet neteikiamas medikamento pavadinimas. Informuojame, kad remiantis </w:t>
      </w:r>
      <w:r w:rsidRPr="005F71E7">
        <w:rPr>
          <w:spacing w:val="-5"/>
        </w:rPr>
        <w:t xml:space="preserve">Statistikos departamento generalinio direktoriaus nustatyta tvarka, Lietuvoje PVM mokėtojais registruoti asmenys, neviršiję nustatytų įvežimo ir (arba) išvežimo statistinės vertės teikimo ribų, </w:t>
      </w:r>
      <w:r w:rsidRPr="005F71E7">
        <w:rPr>
          <w:spacing w:val="-6"/>
        </w:rPr>
        <w:t xml:space="preserve">gali neteikti nurodytų ataskaitos formų. Intrastato sistemos duomenys gali būti naudojami tiktai </w:t>
      </w:r>
      <w:r w:rsidRPr="005F71E7">
        <w:t>statistiniams, bet ne administraciniams tikslams.</w:t>
      </w:r>
    </w:p>
    <w:p w:rsidR="00C07927" w:rsidRDefault="00C07927" w:rsidP="00C07927">
      <w:pPr>
        <w:jc w:val="both"/>
      </w:pPr>
      <w:r w:rsidRPr="005F71E7">
        <w:tab/>
        <w:t>Komisija atsižvelgė į Seimo Narkomanijos ir alkoholizmo prevencijos komisijos ir Seimo Sveikatos reikalų komiteto  2010-12-22 bendrame posėdyje priimta sprendimą Nr. 111-S-27/21.</w:t>
      </w:r>
      <w:r>
        <w:t xml:space="preserve">    </w:t>
      </w:r>
      <w:r>
        <w:tab/>
        <w:t>Komisija ir Seimo Sveikatos reikalų komitetas, išklausę Sveikatos apsaugos ministerijos, Narkotikų kontrolės departamento prie Lietuvos Respublikos Vyriausybės, Policijos departamento prie Vidaus reikalų ministerijos, Kalėjimų departamento prie Teisingumo ministerijos,</w:t>
      </w:r>
      <w:r>
        <w:rPr>
          <w:bCs/>
        </w:rPr>
        <w:t xml:space="preserve"> Valstybinės vaistų kontrolės tarnybos prie Sveikatos apsaugos ministerijos, Užkrečiamųjų ligų ir AIDS centro, Valstybinio psichikos sveikatos centro, Nacionalinės sveikatos tarybos, Lietuvos psichiatrų asociacijos, teritorinių psichikos sveikatos centrų, priklausomybės ligų centrų </w:t>
      </w:r>
      <w:r>
        <w:t xml:space="preserve">atstovų informaciją ir išanalizavę Narkomanijos ir alkoholizmo prevencijos komisijos ir Sveikatos reikalų komiteto susirašinėjimo su valstybės institucijomis informaciją, priėmė sprendimą pažymėdami, kad </w:t>
      </w:r>
      <w:r>
        <w:rPr>
          <w:b/>
        </w:rPr>
        <w:tab/>
      </w:r>
      <w:r>
        <w:t>Priklausomybės ligų sveikatos priežiūros paslaugos teikiamos vadovaujantis sveikatos apsaugos ministro 2008 m. gruodžio 31 d. įsakymu Nr. V-1288 patvirtinta 2009-2012 metų Priklausomybės ligų gydymo programa.</w:t>
      </w:r>
    </w:p>
    <w:p w:rsidR="00C07927" w:rsidRDefault="00C07927" w:rsidP="00C07927">
      <w:pPr>
        <w:tabs>
          <w:tab w:val="left" w:pos="4111"/>
        </w:tabs>
        <w:spacing w:before="60"/>
        <w:ind w:right="11" w:firstLine="709"/>
        <w:jc w:val="both"/>
        <w:rPr>
          <w:spacing w:val="4"/>
        </w:rPr>
      </w:pPr>
      <w:r>
        <w:rPr>
          <w:spacing w:val="4"/>
        </w:rPr>
        <w:lastRenderedPageBreak/>
        <w:t xml:space="preserve">Valstybinio psichikos sveikatos centro duomenimis šiuo metu pakaitinio palaikomojo gydymo opioidiniais vaistiniais preparatais paslaugos teikiamos keturiuose priklausomybės ligų centruose ir 13 psichikos sveikatos centrų. Jei asmuo, esantis palaikomajame pakaitiniame gydyme patenka į areštinę, gydymą jis gauna. Nagrinėjant pakaitinio palaikomojo gydymo opioidiniais vaistiniais preparatais (metadonu) paslaugų dinamiką, nustatyta, kad išaugo pacientų, gaunančių šias paslaugas skaičius (1997 m. – 184 pacientai, 2008 m. – 395 pacientai, 2009 m. – 512 pacientų). Taip pat išaugo metadono hidrochlorido sunaudojimo pacientų gydymui kiekis (2009 m. -11157,535 litrai, o 2010 m. I pusmetyje – 7098,855 litrai). 2011 metams nustatytas ir Tarptautiniam narkotikų kontrolės komitetui pateiktas metadono poreikis yra 12000 gramų. </w:t>
      </w:r>
    </w:p>
    <w:p w:rsidR="00C07927" w:rsidRDefault="00C07927" w:rsidP="00C07927">
      <w:pPr>
        <w:tabs>
          <w:tab w:val="left" w:pos="4111"/>
        </w:tabs>
        <w:spacing w:before="60"/>
        <w:ind w:right="11" w:firstLine="709"/>
        <w:jc w:val="both"/>
        <w:rPr>
          <w:spacing w:val="4"/>
        </w:rPr>
      </w:pPr>
      <w:r>
        <w:rPr>
          <w:spacing w:val="4"/>
        </w:rPr>
        <w:t xml:space="preserve">Išryškėjo su opioidinių vaistinių preparatų (metadono) panaudojimu, kontrole ir stebėsena susijusios problemos: </w:t>
      </w:r>
    </w:p>
    <w:p w:rsidR="00C07927" w:rsidRDefault="00C07927" w:rsidP="00C07927">
      <w:pPr>
        <w:tabs>
          <w:tab w:val="left" w:pos="4111"/>
        </w:tabs>
        <w:spacing w:before="60"/>
        <w:ind w:right="11" w:firstLine="709"/>
        <w:jc w:val="both"/>
        <w:rPr>
          <w:spacing w:val="4"/>
        </w:rPr>
      </w:pPr>
      <w:r>
        <w:rPr>
          <w:spacing w:val="4"/>
        </w:rPr>
        <w:t>1. Iki šiol ilgalaikės priklausomybės ligų gydymo programos buvo tvirtinamos tik sveikatos apsaugos ministro įsakymais, neįtraukiant kitų ministerijų ir žinybų.</w:t>
      </w:r>
    </w:p>
    <w:p w:rsidR="00C07927" w:rsidRDefault="00C07927" w:rsidP="00C07927">
      <w:pPr>
        <w:tabs>
          <w:tab w:val="left" w:pos="4111"/>
        </w:tabs>
        <w:spacing w:before="60"/>
        <w:ind w:right="11" w:firstLine="709"/>
        <w:jc w:val="both"/>
        <w:rPr>
          <w:spacing w:val="4"/>
        </w:rPr>
      </w:pPr>
      <w:r>
        <w:rPr>
          <w:spacing w:val="4"/>
        </w:rPr>
        <w:t>2. Nesukurta asmenų, kurie kreipiasi į sveikatos priežiūros įstaigas dėl elgesio ir psichikos sutrikimų, vartojant narkotines ir psichotropines medžiagas, stebėsenos sistema. Dėl to skiriasi įvairių institucijų pateikti statistiniai duomenys apie asmenis, sergančius priklausomybės ligomis.</w:t>
      </w:r>
    </w:p>
    <w:p w:rsidR="00C07927" w:rsidRDefault="00C07927" w:rsidP="00C07927">
      <w:pPr>
        <w:ind w:firstLine="720"/>
        <w:jc w:val="both"/>
        <w:rPr>
          <w:bCs/>
        </w:rPr>
      </w:pPr>
      <w:r>
        <w:rPr>
          <w:bCs/>
        </w:rPr>
        <w:t>3. Nėra sistemos, siekiant narkologinės priežiūros tikslų, kad 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socialinę globą.</w:t>
      </w:r>
    </w:p>
    <w:p w:rsidR="00C07927" w:rsidRDefault="00C07927" w:rsidP="00C07927">
      <w:pPr>
        <w:ind w:firstLine="720"/>
        <w:jc w:val="both"/>
        <w:rPr>
          <w:bCs/>
        </w:rPr>
      </w:pPr>
      <w:r>
        <w:rPr>
          <w:bCs/>
        </w:rPr>
        <w:t>4. Neužtikrintas finansavimas ir neaiškūs finansavimo šaltiniai asmenims, nedraustiems privalomuoju sveikatos draudimu ir sergantiems priklausomybės ligomis.</w:t>
      </w:r>
    </w:p>
    <w:p w:rsidR="00C07927" w:rsidRDefault="00C07927" w:rsidP="00C07927">
      <w:pPr>
        <w:ind w:firstLine="720"/>
        <w:jc w:val="both"/>
        <w:rPr>
          <w:bCs/>
        </w:rPr>
      </w:pPr>
      <w:r>
        <w:rPr>
          <w:bCs/>
        </w:rPr>
        <w:t>5. Asmenims, sergantiems priklausomybės ligomis (draustiems ir nedraustiems privalomuoju sveikatos draudimu), gydymo programų efektyvumo vertinimo kriterijai nustatomi pagal asmenų, atvykusių į pakaitinį palaikomąjį gydymą, skaičių, o ne pagal asmenų, pasveikusių ir baigusių pakaitinį palaikomąjį gydymą, skaičių.</w:t>
      </w:r>
    </w:p>
    <w:p w:rsidR="00C07927" w:rsidRDefault="00C07927" w:rsidP="00C07927">
      <w:pPr>
        <w:ind w:firstLine="720"/>
        <w:jc w:val="both"/>
        <w:rPr>
          <w:bCs/>
        </w:rPr>
      </w:pPr>
      <w:r>
        <w:rPr>
          <w:bCs/>
        </w:rPr>
        <w:t>6. Nuo 2009 m. vasario 12 d. įsigaliojus sveikatos apsaugos ministro įsakymu Nr. V-104, „Dėl Lietuvos Respublikos sveikatos apsaugos ministro 2008 m. gruodžio 31 d. įsakymo Nr. V-1288 „Dėl 2009-2012 metų priklausomybės ligų gydymo programos patvirtinimo“ pakeitimo“, žodis „metadonas“ išbrauktas iš 2009-2012 metų programos gydymui vartojamų medikamentų sąrašo, ir todėl nėra aišku, ar 2009-2010 metais, vykdant viešuosius pirkimus, metadonas, kaip medikamentas, skirtas asmenų, sergančių priklausomybe nuo opioidų, gydymui, buvo pigiausias opioidinis vaistinis preparatas.</w:t>
      </w:r>
    </w:p>
    <w:p w:rsidR="00C07927" w:rsidRDefault="00C07927" w:rsidP="00C07927">
      <w:pPr>
        <w:ind w:firstLine="720"/>
        <w:jc w:val="both"/>
      </w:pPr>
      <w:r>
        <w:t xml:space="preserve">Komisija ir Seimo Sveikatos reikalų komitetas nusprendė: </w:t>
      </w:r>
    </w:p>
    <w:p w:rsidR="00C07927" w:rsidRDefault="00C07927" w:rsidP="00C07927">
      <w:pPr>
        <w:ind w:firstLine="720"/>
        <w:jc w:val="both"/>
      </w:pPr>
      <w:r w:rsidRPr="0081649C">
        <w:t>1. Lietuvos Respublikos Vyriausybei:</w:t>
      </w:r>
    </w:p>
    <w:p w:rsidR="00C07927" w:rsidRDefault="00C07927" w:rsidP="00C07927">
      <w:pPr>
        <w:ind w:firstLine="720"/>
        <w:jc w:val="both"/>
      </w:pPr>
      <w:r>
        <w:t>1.1. Tvirtinti priklausomybės ligų gydymo programas, sistemiškai derinant jas su Seimo 2009 m. spalio 22 d. rezoliucija „Dėl narkotikų kontrolės politikos tęstinumo“, Seimo 2010 m. lapkričio 18 d. rezoliucija „Dėl kovos su naujomis psichoaktyviosiomis medžiagomis (naujais narkotikais) tęstinumo“ ir Nacionaline narkotikų kontrolės ir narkomanijos prevencijos 2010-2016 metų programa.</w:t>
      </w:r>
    </w:p>
    <w:p w:rsidR="00C07927" w:rsidRDefault="00C07927" w:rsidP="00C07927">
      <w:pPr>
        <w:jc w:val="both"/>
      </w:pPr>
      <w:r>
        <w:tab/>
        <w:t xml:space="preserve">1.2. Iki 2011 m. liepos 1 d. sukurti vieningą informacinę asmenų, turinčių psichikos ir elgesio sutrikimų, vartojant psichoaktyviąsias medžiagas, duomenų bazę, kuri sudarytų galimybę rinkti duomenis iš privačių įstaigų ir valstybės įstaigų, pavaldžių skirtingoms ministerijoms </w:t>
      </w:r>
    </w:p>
    <w:p w:rsidR="00C07927" w:rsidRDefault="00C07927" w:rsidP="00C07927">
      <w:pPr>
        <w:jc w:val="both"/>
      </w:pPr>
      <w:r>
        <w:tab/>
        <w:t>1.3.  Užtikrinti pakankamą finansavimą už suteiktas sveikatos priežiūros paslaugas draustiems privalomuoju sveikatos draudimu asmenims ir sergantiems priklausomybės ligomis iš Privalomojo sveikatos draudimo fondo lėšų, o nedraustiems privalomuoju sveikatos draudimu asmenims užtikrinti aiškų finansavimo šaltinį iš valstybės biudžeto lėšų. Numatyti vienodą asmenų, nedraustų privalomuoju sveikatos draudimu ir  sergančių priklausomybės ligomis, finansavimo mechanizmą.</w:t>
      </w:r>
    </w:p>
    <w:p w:rsidR="00C07927" w:rsidRDefault="00C07927" w:rsidP="00C07927">
      <w:pPr>
        <w:jc w:val="both"/>
      </w:pPr>
      <w:r>
        <w:tab/>
        <w:t>1.4. Patvirtinti asmenų, sergančių priklausomybės ligomis, gydymo, psichosocialinės reabilitacijos ir reintegracijos paslaugų bendrą sistemą.</w:t>
      </w:r>
    </w:p>
    <w:p w:rsidR="00C07927" w:rsidRDefault="00C07927" w:rsidP="00C07927">
      <w:pPr>
        <w:jc w:val="both"/>
      </w:pPr>
      <w:r>
        <w:tab/>
        <w:t>1.5. Iki 2011 m sausio 31 d. nustatyti asmenų, sergančių priklausomybės ligomis (draustiems ir nedraustiems privalomuoju sveikatos draudimu) gydymo programų efektyvumo vertinimo kriterijus (pagal asmenų, pasveikusių ir baigusių palaikomąjį gydymą, skaičių).</w:t>
      </w:r>
    </w:p>
    <w:p w:rsidR="00C07927" w:rsidRDefault="00C07927" w:rsidP="00C07927">
      <w:pPr>
        <w:ind w:firstLine="720"/>
        <w:jc w:val="both"/>
      </w:pPr>
      <w:r>
        <w:lastRenderedPageBreak/>
        <w:t>1.6. Iki 2011 m. kovo 15 d. atlikti tyrimą dėl sveikatos priežiūros paslaugų atitikties nustatytiems reikalavimams asmens sveikatos priežiūros įstaigose, kurioms 2009-2010 m. buvo tiektas vaistinis preparatas „Metadon“.</w:t>
      </w:r>
    </w:p>
    <w:p w:rsidR="00C07927" w:rsidRPr="0081649C" w:rsidRDefault="00C07927" w:rsidP="00C07927">
      <w:pPr>
        <w:jc w:val="both"/>
      </w:pPr>
      <w:r>
        <w:tab/>
      </w:r>
      <w:r w:rsidRPr="0081649C">
        <w:t>2. Valstybės kontrolei:</w:t>
      </w:r>
    </w:p>
    <w:p w:rsidR="00C07927" w:rsidRDefault="00C07927" w:rsidP="00C07927">
      <w:pPr>
        <w:ind w:firstLine="720"/>
        <w:jc w:val="both"/>
      </w:pPr>
      <w:r>
        <w:t>2011 m. I pusmetyje atlikti tyrimą dėl metadono panaudojimo Lietuvoje.</w:t>
      </w:r>
    </w:p>
    <w:p w:rsidR="00C07927" w:rsidRDefault="00C07927" w:rsidP="00C07927">
      <w:pPr>
        <w:jc w:val="both"/>
      </w:pPr>
      <w:r>
        <w:tab/>
      </w:r>
      <w:r w:rsidRPr="00105653">
        <w:t>3. Seimo nacionalinio saugumo ir gynybos komitetą, Valstybės saugumo departamentą ir Specialiųjų tyrimų tarnybą</w:t>
      </w:r>
      <w:r>
        <w:t xml:space="preserve"> supažindinti su šiuo priimtu sprendimu.</w:t>
      </w:r>
    </w:p>
    <w:p w:rsidR="00C07927" w:rsidRDefault="00C07927" w:rsidP="00C07927">
      <w:pPr>
        <w:ind w:firstLine="720"/>
        <w:jc w:val="both"/>
      </w:pPr>
      <w:r>
        <w:t xml:space="preserve">Komisija vykdydama </w:t>
      </w:r>
      <w:r w:rsidRPr="00747615">
        <w:rPr>
          <w:rFonts w:eastAsia="Arial Unicode MS"/>
        </w:rPr>
        <w:t xml:space="preserve"> Se</w:t>
      </w:r>
      <w:r>
        <w:rPr>
          <w:rFonts w:eastAsia="Arial Unicode MS"/>
        </w:rPr>
        <w:t>imo valdybos 2011 06 01 nutarimą, 2011-06-15 posėdyje bendru sutarimu p</w:t>
      </w:r>
      <w:r>
        <w:t>ritarė patobulintam Seimo nutarimo projektui, kurio teksto antras variantas būtų toks:</w:t>
      </w:r>
    </w:p>
    <w:p w:rsidR="00C07927" w:rsidRDefault="00C07927" w:rsidP="00C07927">
      <w:pPr>
        <w:jc w:val="both"/>
        <w:rPr>
          <w:bCs/>
        </w:rPr>
      </w:pPr>
      <w:r>
        <w:t xml:space="preserve">  „</w:t>
      </w:r>
      <w:r w:rsidRPr="00086D88">
        <w:t>Lietuvos Respublikos Seimas, atsižvelgdamas į Nepriklausomybės Akto signatarų</w:t>
      </w:r>
      <w:r w:rsidRPr="00086D88">
        <w:rPr>
          <w:bCs/>
        </w:rPr>
        <w:t xml:space="preserve">, Atkuriamojo Seimo deputatų, Seimo narių ir visuomeninių organizacijų Rezoliuciją „Dėl metadono naudojimo teisėtumo“, </w:t>
      </w:r>
    </w:p>
    <w:p w:rsidR="00C07927" w:rsidRDefault="00C07927" w:rsidP="00C07927">
      <w:pPr>
        <w:jc w:val="both"/>
      </w:pPr>
      <w:r>
        <w:rPr>
          <w:bCs/>
        </w:rPr>
        <w:tab/>
      </w:r>
      <w:r w:rsidRPr="00086D88">
        <w:t xml:space="preserve"> n u t a r i a :</w:t>
      </w:r>
    </w:p>
    <w:p w:rsidR="00C07927" w:rsidRPr="00086D88" w:rsidRDefault="00C07927" w:rsidP="00C07927">
      <w:pPr>
        <w:jc w:val="both"/>
      </w:pPr>
      <w:r>
        <w:t xml:space="preserve"> </w:t>
      </w:r>
      <w:r w:rsidRPr="00086D88">
        <w:rPr>
          <w:b/>
        </w:rPr>
        <w:t>1 straipsnis.</w:t>
      </w:r>
      <w:r>
        <w:rPr>
          <w:b/>
        </w:rPr>
        <w:t xml:space="preserve"> </w:t>
      </w:r>
      <w:r w:rsidRPr="00086D88">
        <w:t xml:space="preserve">Įpareigoti </w:t>
      </w:r>
      <w:r w:rsidRPr="00086D88">
        <w:rPr>
          <w:bCs/>
        </w:rPr>
        <w:t>Lietuvos Respublikos Vyriausybę</w:t>
      </w:r>
      <w:r w:rsidRPr="00086D88">
        <w:t xml:space="preserve"> tvirtinti priklausomybės ligų gydymo programas, sistem</w:t>
      </w:r>
      <w:r>
        <w:t>iš</w:t>
      </w:r>
      <w:r w:rsidRPr="00086D88">
        <w:t>kai derinant jas su Lietuvos Respublikos Seimo 2009 m. spalio 22 d. rezoliucija „Dėl narkotikų kontrolės politikos tęstinumo“, Lietuvos Respublikos Seimo 2010 m. lapkričio 18 d. rezoliucija „Dėl kovos su naujomis psichoaktyviosiomis medžiagomis (naujais narkotikais) tęstinumo“ ir Nacionaline narkotikų kontrolės ir narkomanijos prevencijos 2010-2016 metų programa.</w:t>
      </w:r>
    </w:p>
    <w:p w:rsidR="00C07927" w:rsidRPr="00086D88" w:rsidRDefault="00C07927" w:rsidP="00C07927">
      <w:pPr>
        <w:jc w:val="both"/>
      </w:pPr>
      <w:r w:rsidRPr="00086D88">
        <w:tab/>
        <w:t xml:space="preserve">Iki 2011 m. gruodžio 31 d. sukurti vieningą informacinę asmenų, turinčių psichikos ir elgesio sutrikimų, vartojant psichoaktyviąsias medžiagas, duomenų bazę, kuri sudarytų galimybę rinkti duomenis iš privačių įstaigų ir valstybės įstaigų, pavaldžių skirtingoms ministerijoms. </w:t>
      </w:r>
    </w:p>
    <w:p w:rsidR="00C07927" w:rsidRPr="00086D88" w:rsidRDefault="00C07927" w:rsidP="00C07927">
      <w:pPr>
        <w:ind w:firstLine="720"/>
        <w:jc w:val="both"/>
      </w:pPr>
      <w:r w:rsidRPr="00086D88">
        <w:t xml:space="preserve">Užtikrinti pakankamą finansavimą už suteiktas sveikatos priežiūros paslaugas draustiems privalomuoju sveikatos draudimu asmenims ir sergantiems priklausomybės ligomis iš Privalomojo sveikatos draudimo fondo lėšų, o nedraustiems privalomuoju sveikatos draudimu asmenims užtikrinti aiškų finansavimo šaltinį iš valstybės biudžeto lėšų. Numatyti vienodą asmenų, sergančiųjų priklausomybės ligomis, tačiau nedraustų privalomuoju sveikatos draudimu, gydymo finansavimo mechanizmą. Plėtoti asmenų, sergančių priklausomybės ligomis, gydymą, netaikant pakaitinio gydymo opioidiniais preparatais.  </w:t>
      </w:r>
    </w:p>
    <w:p w:rsidR="00C07927" w:rsidRPr="00086D88" w:rsidRDefault="00C07927" w:rsidP="00C07927">
      <w:pPr>
        <w:jc w:val="both"/>
      </w:pPr>
      <w:r w:rsidRPr="00086D88">
        <w:tab/>
        <w:t xml:space="preserve">Iki 2011 m. rugsėjo 1 d. priimti teisės aktus, nustatančius vieningą gydymo, psichosocialinės reabilitacijos ir reintegracijos paslaugų sistemą asmenims, sergantiems priklausomybės ligomis. </w:t>
      </w:r>
    </w:p>
    <w:p w:rsidR="00C07927" w:rsidRPr="00086D88" w:rsidRDefault="00C07927" w:rsidP="00C07927">
      <w:pPr>
        <w:jc w:val="both"/>
      </w:pPr>
      <w:r w:rsidRPr="00086D88">
        <w:tab/>
        <w:t xml:space="preserve">Iki 2011 m. spalio  1 d. pateikti Lietuvos Respublikos Seimui įstatymo, nustatančio tarpinstitucinio bendradarbiavimo sistemą, skirtą vaikų ir jaunimo, sergančiųjų priklausomybės ligomis, ankstyvajai intervencijai,  gydymui, reabilitacijai ir reintegracijai, projektą ir  įsteigti respublikinį mokslinį  metodinį specialistų rengimo centrą. </w:t>
      </w:r>
    </w:p>
    <w:p w:rsidR="00C07927" w:rsidRPr="00086D88" w:rsidRDefault="00C07927" w:rsidP="00C07927">
      <w:pPr>
        <w:jc w:val="both"/>
      </w:pPr>
      <w:r w:rsidRPr="00086D88">
        <w:tab/>
        <w:t xml:space="preserve"> Iki 2011 m spalio  31 d. nustatyti asmenų, sergančių priklausomybės ligomis (draustiems ir nedraustiems privalomuoju sveikatos draudimu) gydymo programų efektyvumo vertinimo kriterijus (pagal asmenų, pasveikusių ir baigusių palaikomąjį gydymą, skaičių) ir patvirtinti įkainius. </w:t>
      </w:r>
    </w:p>
    <w:p w:rsidR="00C07927" w:rsidRPr="00086D88" w:rsidRDefault="00C07927" w:rsidP="00C07927">
      <w:pPr>
        <w:ind w:firstLine="720"/>
        <w:jc w:val="both"/>
      </w:pPr>
      <w:r w:rsidRPr="00086D88">
        <w:t xml:space="preserve"> Iki 2011 m. spalio 31 d. atlikti tyrimą dėl sveikatos priežiūros paslaugų atitikties nustatytiems reikalavimams asmens sveikatos priežiūros įstaigose  visiems asmenims, kuriems 2009-2010 m. buvo tiektas vaistinis preparatas „Metadon“ ir pateikti šio tyrimo rezultatus Lietuvos Respublikos Seimo Sveikatos reikalų komitetui ir Narkomanijos ir alkoholizmo prevencijos komisijai.</w:t>
      </w:r>
    </w:p>
    <w:p w:rsidR="00C07927" w:rsidRPr="00086D88" w:rsidRDefault="00C07927" w:rsidP="00C07927">
      <w:pPr>
        <w:ind w:firstLine="720"/>
        <w:jc w:val="both"/>
        <w:rPr>
          <w:b/>
        </w:rPr>
      </w:pPr>
      <w:r w:rsidRPr="00086D88">
        <w:rPr>
          <w:b/>
        </w:rPr>
        <w:t>2 straipsnis.</w:t>
      </w:r>
    </w:p>
    <w:p w:rsidR="00C07927" w:rsidRPr="00086D88" w:rsidRDefault="00C07927" w:rsidP="00C07927">
      <w:pPr>
        <w:ind w:firstLine="720"/>
        <w:jc w:val="both"/>
      </w:pPr>
      <w:r w:rsidRPr="00086D88">
        <w:rPr>
          <w:bCs/>
        </w:rPr>
        <w:t xml:space="preserve">Įpareigoti  Lietuvos Respublikos Valstybės kontrolę </w:t>
      </w:r>
      <w:r w:rsidRPr="00086D88">
        <w:t>iki 2010 m. gruodžio 1 d.</w:t>
      </w:r>
      <w:r w:rsidRPr="00086D88">
        <w:rPr>
          <w:bCs/>
        </w:rPr>
        <w:t xml:space="preserve"> </w:t>
      </w:r>
      <w:r w:rsidRPr="00086D88">
        <w:t>atlikti tyrimą dėl teisinių ir ekonominių-finansinių pagrindų, kurie leido  valstybinėms institucijoms ar kitoms įstaigoms taikyti viešuosius pirkimus vaistiniam preparatui “Metadon” įsigyti ir jį naudoti  Lietuvoje.</w:t>
      </w:r>
    </w:p>
    <w:p w:rsidR="00C07927" w:rsidRPr="00086D88" w:rsidRDefault="00C07927" w:rsidP="00C07927">
      <w:pPr>
        <w:ind w:firstLine="720"/>
        <w:jc w:val="both"/>
      </w:pPr>
      <w:r w:rsidRPr="00086D88">
        <w:t>Ištirti, kokiais teisės aktais vadovaujantis į Lietuvą įvežamas metadonas ir kokiais teisės aktais vadovaujantis nustatomas jo poreikis ir naudojimas gydymo tikslais  ir kokiu pagrindu naudojamas ne gydymo tikslais, kas buvo organizatoriai, iniciatoriai ir dalyviai.</w:t>
      </w:r>
    </w:p>
    <w:p w:rsidR="00C07927" w:rsidRPr="00086D88" w:rsidRDefault="00C07927" w:rsidP="00C07927">
      <w:pPr>
        <w:ind w:firstLine="720"/>
        <w:jc w:val="both"/>
      </w:pPr>
      <w:r w:rsidRPr="00086D88">
        <w:t xml:space="preserve"> Ištirti, kas ir  kokiu pagrindu bei tikslu įteisino metadono naudojimą areštinėse.</w:t>
      </w:r>
    </w:p>
    <w:p w:rsidR="00C07927" w:rsidRPr="00086D88" w:rsidRDefault="00C07927" w:rsidP="00C07927">
      <w:pPr>
        <w:ind w:firstLine="720"/>
        <w:jc w:val="both"/>
      </w:pPr>
      <w:r w:rsidRPr="00086D88">
        <w:t xml:space="preserve"> Ištirti, ar buvo siekiama pridengti narkotikų disponavimą ne gydymo tikslais, kodėl nėra ir neįvykdyti visi būtini veiksmai, siekiant jų išvengti. </w:t>
      </w:r>
    </w:p>
    <w:p w:rsidR="00C07927" w:rsidRPr="00086D88" w:rsidRDefault="00C07927" w:rsidP="00C07927">
      <w:pPr>
        <w:ind w:firstLine="720"/>
        <w:jc w:val="both"/>
      </w:pPr>
      <w:r w:rsidRPr="00086D88">
        <w:t xml:space="preserve">Nustatyti pareigūnų bei institucijų, atsakingų už metadono poreikio nustatymą, viešuosius pirkimus, gydymo skyrimą, receptų išrašymą, metadono apskaitą ir kontrolę,  veiksmų teisėtumą, ar jų veikla buvo adekvati esamai situacijai, ar koordinacija ir kontrolė dėl veiksmų tarp visų struktūrų buvo </w:t>
      </w:r>
      <w:r w:rsidRPr="00086D88">
        <w:lastRenderedPageBreak/>
        <w:t xml:space="preserve">pakankama. Nustatyti  kas,  kokia teisėta  metodika, kokiais tikslais skirtingais matais Lietuvoje veda metadono apskaitą ir teikia Jungtinėms Tautoms. </w:t>
      </w:r>
    </w:p>
    <w:p w:rsidR="00C07927" w:rsidRPr="00086D88" w:rsidRDefault="00C07927" w:rsidP="00C07927">
      <w:pPr>
        <w:ind w:firstLine="720"/>
        <w:jc w:val="both"/>
      </w:pPr>
      <w:r w:rsidRPr="00086D88">
        <w:t xml:space="preserve"> Kitus klausimus susijusius su metadono naudojimo teisėtumu, tikslingumu ir gydymo efektyvumu. </w:t>
      </w:r>
    </w:p>
    <w:p w:rsidR="00C07927" w:rsidRPr="00086D88" w:rsidRDefault="00C07927" w:rsidP="00C07927">
      <w:pPr>
        <w:spacing w:line="360" w:lineRule="auto"/>
        <w:ind w:firstLine="720"/>
        <w:jc w:val="both"/>
        <w:rPr>
          <w:b/>
        </w:rPr>
      </w:pPr>
      <w:r w:rsidRPr="00086D88">
        <w:rPr>
          <w:b/>
        </w:rPr>
        <w:t>3 straipsnis.</w:t>
      </w:r>
    </w:p>
    <w:p w:rsidR="00C07927" w:rsidRDefault="00C07927" w:rsidP="00C07927">
      <w:pPr>
        <w:ind w:firstLine="720"/>
        <w:jc w:val="both"/>
      </w:pPr>
      <w:r w:rsidRPr="00086D88">
        <w:t>Nutarimas įsigalioja nuo priėmimo</w:t>
      </w:r>
      <w:r>
        <w:t>.“</w:t>
      </w:r>
      <w:r w:rsidRPr="00086D88">
        <w:tab/>
      </w:r>
    </w:p>
    <w:p w:rsidR="00C07927" w:rsidRDefault="00C07927" w:rsidP="00C07927">
      <w:pPr>
        <w:jc w:val="both"/>
      </w:pPr>
      <w:r>
        <w:tab/>
        <w:t xml:space="preserve">2011-06-22 </w:t>
      </w:r>
      <w:r>
        <w:tab/>
        <w:t xml:space="preserve">Komisija posėdyje nagrinėjo </w:t>
      </w:r>
      <w:r w:rsidRPr="00115734">
        <w:t>„Dėl atlikto tyrimo dėl sveikatos priežiūros paslaugų atitikties nustatytiems reikalavimams asmens sveikatos priežiūros įstaigose, kurioms 2009-2010 m. buvo tiektas vaistinis preparatas „Metadon“</w:t>
      </w:r>
      <w:r>
        <w:t xml:space="preserve"> klausimą</w:t>
      </w:r>
      <w:r w:rsidRPr="00115734">
        <w:t>.</w:t>
      </w:r>
    </w:p>
    <w:p w:rsidR="00C07927" w:rsidRDefault="00C07927" w:rsidP="00C07927">
      <w:pPr>
        <w:jc w:val="both"/>
        <w:rPr>
          <w:bCs/>
        </w:rPr>
      </w:pPr>
      <w:r>
        <w:tab/>
        <w:t xml:space="preserve"> Komisija nustatė, kad </w:t>
      </w:r>
      <w:r w:rsidRPr="00713B8F">
        <w:rPr>
          <w:bCs/>
        </w:rPr>
        <w:t>Valstybinė</w:t>
      </w:r>
      <w:r>
        <w:rPr>
          <w:bCs/>
        </w:rPr>
        <w:t xml:space="preserve"> medicininio audito inspekcija</w:t>
      </w:r>
      <w:r w:rsidRPr="00713B8F">
        <w:rPr>
          <w:bCs/>
        </w:rPr>
        <w:t xml:space="preserve"> prie SAM</w:t>
      </w:r>
      <w:r>
        <w:rPr>
          <w:bCs/>
        </w:rPr>
        <w:t xml:space="preserve"> pirmą kartą atliko tyrimą </w:t>
      </w:r>
      <w:r>
        <w:t xml:space="preserve">dėl sveikatos priežiūros paslaugų atitikties nustatytiems reikalavimams asmens sveikatos priežiūros įstaigose, kurioms 2009-2010 m. buvo tiektas vaistinis preparatas „Metadon“. </w:t>
      </w:r>
      <w:r>
        <w:rPr>
          <w:bCs/>
        </w:rPr>
        <w:t xml:space="preserve">Auditas  atliktas tema: “Pakaitinio palaikomojo gydymo vaistiniu preparatu metadonu teiktų paslaugų planinių kokybės kontrolių analizė‘ ir 2011 04 28 Nr. 7V-13 surašė išvadas. </w:t>
      </w:r>
    </w:p>
    <w:p w:rsidR="00C07927" w:rsidRDefault="00C07927" w:rsidP="00C07927">
      <w:pPr>
        <w:jc w:val="both"/>
        <w:rPr>
          <w:bCs/>
        </w:rPr>
      </w:pPr>
      <w:r>
        <w:rPr>
          <w:bCs/>
        </w:rPr>
        <w:tab/>
        <w:t xml:space="preserve">Minėtos medicininio audito išvados pateiktos Sveikatos apsaugos ministerijai. </w:t>
      </w:r>
    </w:p>
    <w:p w:rsidR="00C07927" w:rsidRDefault="00C07927" w:rsidP="00C07927">
      <w:pPr>
        <w:jc w:val="both"/>
        <w:rPr>
          <w:bCs/>
        </w:rPr>
      </w:pPr>
      <w:r>
        <w:rPr>
          <w:bCs/>
        </w:rPr>
        <w:t xml:space="preserve">Išvadose nurodyta, kad Metadono programa buvo vykdoma 19-oje įstaigų. Visos įstaigos turėjo licencijas, apsidraudę civiline atsakomybe. 2009 m. pasveiko 4,5 proc. besigydančių metadonu asmenų. 2010 metais gydėsi 901asmuo, 663 asmenys 2011 metais tęsė gydymą. Pasveiko 4 proc., 2 proc. mirė. 2010 metais suvartota 13 296, 563 litrų 0,1 proc. metadono tirpalo. Vidutinė metadono kiekis vienam pacientui per parą sudarė 40,4 ml. (40,4 mg). 90 proc. gydėsi miesto gyventojai, 50 proc. vilniečiai. </w:t>
      </w:r>
    </w:p>
    <w:p w:rsidR="00C07927" w:rsidRDefault="00C07927" w:rsidP="00C07927">
      <w:pPr>
        <w:jc w:val="both"/>
        <w:rPr>
          <w:rFonts w:eastAsia="Arial Unicode MS"/>
        </w:rPr>
      </w:pPr>
      <w:r>
        <w:rPr>
          <w:bCs/>
        </w:rPr>
        <w:tab/>
      </w:r>
      <w:r w:rsidRPr="00713B8F">
        <w:rPr>
          <w:bCs/>
        </w:rPr>
        <w:t>Valstybinė</w:t>
      </w:r>
      <w:r>
        <w:rPr>
          <w:bCs/>
        </w:rPr>
        <w:t xml:space="preserve"> medicininio audito</w:t>
      </w:r>
      <w:r w:rsidRPr="00CC70AE">
        <w:rPr>
          <w:bCs/>
        </w:rPr>
        <w:t xml:space="preserve"> </w:t>
      </w:r>
      <w:r>
        <w:rPr>
          <w:bCs/>
        </w:rPr>
        <w:t>inspekcija</w:t>
      </w:r>
      <w:r w:rsidRPr="00713B8F">
        <w:rPr>
          <w:bCs/>
        </w:rPr>
        <w:t xml:space="preserve"> prie SAM</w:t>
      </w:r>
      <w:r>
        <w:rPr>
          <w:bCs/>
        </w:rPr>
        <w:t xml:space="preserve"> atlikusi auditą nustatė 120 pažeidimų. Esminiai pažeidimai:  Priklausomybės ligų gydymo ir reabilitacijos standartų pažeidimai nustatyti visose tikrintose 19 ASDPĮ (100 proc.);  psichosocialinio darbo stoka (nebuvo psichiatro, psichologo konsultacijų, socialinio darbuotojo konsultacijų); nesilaikyta privalomų 2 kartus per metus tyrimų dėl infekcinių susirgimų ŽIV, AIDS, TBC, testavimo; nebuvo nemokamų paslaugų nomenklatūros  ir asortimento, nevykdytas įstaigos vidaus medicininis auditas ir kt. 5 įstaigose nebuvo nustatyta Metadon išdavimo tvarka. Nebuvo Metadon pakaitinio gydymo efektyvumo vertinimo kriterijų. Nurodyta ištaisyti nustatytus pažeidimus ir trūkumus. </w:t>
      </w:r>
      <w:r>
        <w:rPr>
          <w:rFonts w:eastAsia="Arial Unicode MS"/>
        </w:rPr>
        <w:t xml:space="preserve">2009 m. 4,5 proc pasveiko, 2010 m. - 4 proc. pasveiko, o kaip pasveiko, netirta,  tiksliau būtų sakyti, kad po Metadon programos asmenys toliau nevartojo kitų narkotikų. Efektyvumo vertinimo kriterijų nėra, todėl tyrimo išvadose nurodyta juos parengti ir patvirtinti. </w:t>
      </w:r>
      <w:r>
        <w:rPr>
          <w:bCs/>
        </w:rPr>
        <w:t xml:space="preserve">  P</w:t>
      </w:r>
      <w:r>
        <w:t xml:space="preserve">agrindo atimti licencijas nėra. </w:t>
      </w:r>
      <w:r>
        <w:rPr>
          <w:bCs/>
        </w:rPr>
        <w:t>Vienos paros metadono dozė leidžiama iki 60 ml. Buvo paskaičiuotas bendras Metadon įvežtas kiekis ir padalintas iš pacientų skaičiaus, todėl gauta 40,4ml, 44,4 ml. 50 proc. pacientų perėjo gydytis į ateinančius metus. P</w:t>
      </w:r>
      <w:r>
        <w:t xml:space="preserve">astebėta, jog daugelis asmenų nesilaiko gydymo režimo, nutraukia  gydymą. </w:t>
      </w:r>
      <w:r>
        <w:rPr>
          <w:rFonts w:eastAsia="Arial Unicode MS"/>
        </w:rPr>
        <w:t xml:space="preserve">Turi būti vykdomi gydymo standartai. Ligonių kasa turi patvirtinti įkainius. Kai kuriuose regionuose problema – paslaugų prieinamumas (Šiaurės rytų Lietuva, Visaginas).  </w:t>
      </w:r>
      <w:r>
        <w:rPr>
          <w:bCs/>
        </w:rPr>
        <w:t xml:space="preserve">Asmuo pasveikusiu laikomas po Metadon programos, jei nevartoja narkotikų. Vienos paros dozė iki 60 ml. Maksimali doze leidžiama iki 120 ml per parą. </w:t>
      </w:r>
      <w:r>
        <w:rPr>
          <w:rFonts w:eastAsia="Arial Unicode MS"/>
        </w:rPr>
        <w:t xml:space="preserve">Būtina kurti visą gydymo sistemą kartu su reabilitacija, reintegracija. Tęstinis gydymas būtinas. Reikalinga prie Respublikinės ligoninės įkurti priklausomų vaikų ir paauglių metodinį konsultacinį centrą ir kt. </w:t>
      </w:r>
    </w:p>
    <w:p w:rsidR="00C07927" w:rsidRDefault="00C07927" w:rsidP="00C07927">
      <w:pPr>
        <w:pStyle w:val="Pagrindinistekstas"/>
      </w:pPr>
      <w:r>
        <w:rPr>
          <w:rFonts w:eastAsia="Arial Unicode MS"/>
        </w:rPr>
        <w:tab/>
        <w:t xml:space="preserve">Komisija nusprendė tęsti parlamentinę kontrolę dėl trūkumų pašalinimo po </w:t>
      </w:r>
      <w:r>
        <w:t xml:space="preserve">atlikto tyrimo dėl sveikatos priežiūros paslaugų atitikties nustatytiems reikalavimams asmens sveikatos priežiūros įstaigose, kurioms 2009-2010 m. buvo tiektas vaistinis preparatas „Metadon“. </w:t>
      </w:r>
    </w:p>
    <w:p w:rsidR="00C07927" w:rsidRDefault="00C07927" w:rsidP="00C07927">
      <w:pPr>
        <w:pStyle w:val="Pagrindinistekstas"/>
        <w:rPr>
          <w:bCs/>
        </w:rPr>
      </w:pPr>
      <w:r>
        <w:tab/>
        <w:t xml:space="preserve">Lietuvos Respublikos Seimas 2011 m. birželio 30 d. priėmė nutarimą Nr. XI-1573 „Dėl metadono naudojimo teisėtumo“ (Žin.,201, Nr.83-4027), kuriame pasiūlė </w:t>
      </w:r>
      <w:r>
        <w:rPr>
          <w:bCs/>
        </w:rPr>
        <w:t>Lietuvos Respublikos Vyriausybei: 1)</w:t>
      </w:r>
      <w:r>
        <w:t xml:space="preserve"> atsižvelgiant į Seimo 2009 m. spalio 22 d. rezoliuciją „Dėl narkotikų kontrolės politikos tęstinumo“, Seimo 2010 m. lapkričio 18 d. rezoliuciją „Dėl kovos su naujomis psichoaktyviosiomis medžiagomis (naujais narkotikais) tęstinumo“ ir Seimo 2010 m. lapkričio 4 d. nutarimu Nr. XI-1078 patvirtintą Nacionalinę narkotikų kontrolės ir narkomanijos prevencijos 2010–2016 metų programą, iki 2011 m. rugsėjo 1 d. sudaryti tarpžinybinę darbo grupę ir pavesti jai išnagrinėti teisės aktus, reglamentuojančius priklausomybės ligų prevenciją, gydymą, šiomis ligomis sergančių asmenų reabilitaciją, socialinę reintegraciją, ir parengti bendros priklausomybės ligų prevencijos, gydymo, reabilitacijos ir reintegracijos paslaugų sistemos sukūrimo koncepciją, ypač daug dėmesio skiriant tarpinstitucinio bendradarbiavimo sistemai, skirtai priklausomybės ligomis sergantiems vaikams ir jaunimui taikomai ankstyvajai intervencijai, jų gydymui, reabilitacijai ir </w:t>
      </w:r>
      <w:r>
        <w:lastRenderedPageBreak/>
        <w:t>reintegracijai; 2) iki 2012 m. liepos 1 d. sukurti asmenų, turinčių psichikos ir elgesio sveikatos sutrikimų dėl psichoaktyviųjų medžiagų vartojimo, valstybės informacinę sistemą, kuri sudarytų galimybę rinkti duomenis iš privačių ir valstybės įstaigų ir užtikrinti, kad iki 2016 metų diegiamoje elektroninėje sveikatos sistemoje būtų sudarytos sąlygos paskirtiems atsakingiems asmenims tikrinti psichikos, narkologinėmis ligomis sergančių asmenų duomenis, juos fiksuoti, rinkti, sisteminti, kaupti ir prireikus turėti galimybę gauti informaciją įvairiais šių duomenų statistinės analizės aspektais; 3) užtikrinti pakankamą finansavimą už suteiktas sveikatos priežiūros paslaugas priklausomybės ligomis sergantiems asmenims, apdraustiems privalomuoju sveikatos draudimu, iš Privalomojo sveikatos draudimo fondo lėšų, o neapdraustiems privalomuoju sveikatos draudimu asmenims užtikrinti aiškų finansavimo šaltinį iš valstybės biudžeto lėšų. Numatyti vienodą priklausomybės ligomis sergančių asmenų, neapdraustų privalomuoju sveikatos draudimu, gydymo finansavimo mechanizmą</w:t>
      </w:r>
      <w:r>
        <w:rPr>
          <w:bCs/>
        </w:rPr>
        <w:t>.</w:t>
      </w:r>
      <w:r>
        <w:rPr>
          <w:b/>
          <w:bCs/>
        </w:rPr>
        <w:t xml:space="preserve"> </w:t>
      </w:r>
      <w:r>
        <w:rPr>
          <w:bCs/>
        </w:rPr>
        <w:t xml:space="preserve">Užtikrinti asmenų, sergančių priklausomybės ligomis, narkomanijos prevencijos, ankstyvosios diagnostikos, gydymo, medicininės reabilitacijos ir socialinės reintegracijos veiklą; 4) svarstyti galimybę įsteigti respublikinį mokslinį metodinį specialistų, teikiančių priklausomybės ligomis sergantiems vaikams ir jaunimui ankstyvosios diagnostikos, gydymo, reabilitacijos ir socialinės reintegracijos paslaugas, rengimo centrą. </w:t>
      </w:r>
    </w:p>
    <w:p w:rsidR="00C07927" w:rsidRDefault="00C07927" w:rsidP="00C07927">
      <w:pPr>
        <w:pStyle w:val="Pagrindinistekstas"/>
      </w:pPr>
      <w:r>
        <w:rPr>
          <w:bCs/>
        </w:rPr>
        <w:tab/>
      </w:r>
      <w:r>
        <w:t xml:space="preserve">Pasiūlė Lietuvos Respublikos sveikatos apsaugos ministerijai iki 2011 m. spalio 31 d. nustatyti asmenų, sergančių priklausomybės ligomis (apdraustų ir neapdraustų privalomuoju sveikatos draudimu), gydymo programų efektyvumo vertinimo kriterijus ir patvirtinti programų įkainius. </w:t>
      </w:r>
    </w:p>
    <w:p w:rsidR="00C07927" w:rsidRDefault="00C07927" w:rsidP="00C07927">
      <w:pPr>
        <w:pStyle w:val="Pagrindinistekstas"/>
      </w:pPr>
      <w:r>
        <w:tab/>
        <w:t xml:space="preserve"> Įpareigojo Lietuvos Respublikos valstybės kontrolę iki 2011 m. gruodžio 1 d. atlikti tyrimą dėl metadono naudojimo Lietuvoje 2009–2010 metais, ypač atkreipiant dėmesį į metadono poreikio nustatymą, apskaitą ir kontrolę, įvežimą į Lietuvos Respubliką, išvežimą iš jos, metadono naudojimą areštinėse, gydymo ir ne gydymo tikslais.</w:t>
      </w:r>
    </w:p>
    <w:p w:rsidR="00C07927" w:rsidRDefault="00C07927" w:rsidP="00C07927">
      <w:pPr>
        <w:pStyle w:val="Pagrindinistekstas"/>
      </w:pPr>
      <w:r>
        <w:tab/>
        <w:t>Įpareigojo Viešųjų pirkimų tarnybą iki 2011 m. gruodžio 1 d. atlikti tyrimą, kaip 2009–2010 metais buvo atliekami viešieji pirkimai vaistiniam preparatui metadonui įsigyti ir jį naudoti Lietuvoje.</w:t>
      </w:r>
    </w:p>
    <w:p w:rsidR="00C07927" w:rsidRDefault="00C07927" w:rsidP="00C07927">
      <w:pPr>
        <w:pStyle w:val="Pagrindinistekstas"/>
      </w:pPr>
      <w:r>
        <w:tab/>
        <w:t xml:space="preserve">Pasiūlė Lietuvos Respublikos teisėsaugos institucijoms ištirti, ar </w:t>
      </w:r>
      <w:r>
        <w:br/>
        <w:t>2009–2010 metais buvo siekiama nuslėpti disponavimą narkotinėmis ir psichotropinėmis medžiagomis ne gydymo tikslais.</w:t>
      </w:r>
    </w:p>
    <w:p w:rsidR="00C07927" w:rsidRDefault="00C07927" w:rsidP="00C07927">
      <w:pPr>
        <w:pStyle w:val="Pagrindinistekstas"/>
      </w:pPr>
    </w:p>
    <w:p w:rsidR="00C07927" w:rsidRPr="00763B3A" w:rsidRDefault="00C07927" w:rsidP="00C07927">
      <w:pPr>
        <w:ind w:firstLine="720"/>
        <w:jc w:val="both"/>
        <w:rPr>
          <w:b/>
        </w:rPr>
      </w:pPr>
      <w:r w:rsidRPr="00763B3A">
        <w:rPr>
          <w:b/>
        </w:rPr>
        <w:t xml:space="preserve">Dėl koeficientų </w:t>
      </w:r>
    </w:p>
    <w:p w:rsidR="00C07927" w:rsidRPr="00763B3A" w:rsidRDefault="00C07927" w:rsidP="00C07927">
      <w:pPr>
        <w:ind w:firstLine="720"/>
        <w:jc w:val="both"/>
        <w:rPr>
          <w:b/>
        </w:rPr>
      </w:pPr>
    </w:p>
    <w:p w:rsidR="00C07927" w:rsidRDefault="00C07927" w:rsidP="00C07927">
      <w:pPr>
        <w:ind w:firstLine="720"/>
      </w:pPr>
      <w:r>
        <w:t>Komisija 2011 01 26 raštu Nr. S-2011-791 kreipėsi į Finansų ministerija dėl pridėtinės vertės mokesčio vaistams suvienodinimo.</w:t>
      </w:r>
    </w:p>
    <w:p w:rsidR="00C07927" w:rsidRDefault="00C07927" w:rsidP="00C07927">
      <w:pPr>
        <w:pStyle w:val="Pagrindinistekstas"/>
      </w:pPr>
      <w:r>
        <w:tab/>
        <w:t>Seimo Narkomanijos ir alkoholizmo prevencijos komisijoje (toliau- Komisija) gauta informacija, kad Kalėjimų departamentui pavaldžioms laisvės  atėmimo vietų įstaigoms yra nustatytas skirtingas pridėtinės vertės mokestis (PVM) perkant vaistus, negu Lietuvos Respublikos sveikatos apsaugos ministerijos žinioje esančioms asmens sveikatos priežiūros įstaigoms.</w:t>
      </w:r>
    </w:p>
    <w:p w:rsidR="00C07927" w:rsidRDefault="00C07927" w:rsidP="00C07927">
      <w:pPr>
        <w:pStyle w:val="Pagrindinistekstas"/>
        <w:ind w:firstLine="720"/>
      </w:pPr>
      <w:r>
        <w:t xml:space="preserve"> Laisvės atėmimo vietų įstaigoms taikomas 21 proc. PVM, o vaistams perkamiems iš Privalomojo sveikatos draudimo fondo biudžeto Lietuvos Respublikos sveikatos apsaugos ministerijos žinioje esančioms asmens sveikatos priežiūros įstaigoms taikomas  5 proc. PVM. Laisvės atėmimo vietų įstaigos netenka kasmet nuo 300 iki 500 tūkst. litų, reikalingų vaistams įsigyti.  Lietuvos Respublikos Sveikatos apsaugos ministro 2010m. vasario 22 d. įsakymu Nr. V-157 “Dėl tarpžinybinės darbo grupės sudarymo” sudaryta darbo grupė siūlė Lietuvos Respublikos Teisingumo ministerijai kartu su Lietuvos Respublikos Sveikatos apsaugos ministerija ir suinteresuotomis institucijomis apsvarstyti ir parengti Lietuvos Respublikos Pridėtinės vertės įstatymo pakeitimo projektą, kuriame būtų įtvirtinta galimybė vaistų ir medicinos pagalbos priemonių įsigijimui iš valstybės biudžeto lėšų  taikyti 5 proc. PVM tarifą. </w:t>
      </w:r>
    </w:p>
    <w:p w:rsidR="00C07927" w:rsidRDefault="00C07927" w:rsidP="00C07927">
      <w:pPr>
        <w:pStyle w:val="Pagrindinistekstas"/>
      </w:pPr>
      <w:r>
        <w:tab/>
        <w:t xml:space="preserve">Komisija 2010-12-28 raštu Nr. S-2010-12347 “Dėl koeficientų” atkreipė dėmesį Sveikatos apsaugos ministro į tai, kad  būtina suvienodinti Pridėtinės vertės mokestį vaistams, perkamiems laisvės atėmimo vietų įstaigose, su pridėtinės vertės mokesčiu vaistams, perkamiems iš Privalomojo sveikatos draudimo fondo biudžeto, nes laisvės atėmimo vietų įstaigos kasmet netenka nuo 300 iki 500 tūkst. litų, reikalingų vaistams įsigyti.  </w:t>
      </w:r>
    </w:p>
    <w:p w:rsidR="00C07927" w:rsidRDefault="00C07927" w:rsidP="00C07927">
      <w:pPr>
        <w:pStyle w:val="Pagrindinistekstas"/>
      </w:pPr>
      <w:r>
        <w:tab/>
        <w:t xml:space="preserve">Lietuvos Respublikos Sveikatos apsaugos ministras 2011-01-21 raštu Nr. 10-(4.1-141)-458 “Dėl informacijos pateikimo” pritarė nuostatai dėl Pridėtinės vertės mokesčio lengvatos vaistams suvienodinimo, tačiau atkreipė dėmesį, kad Lietuvos Respublikos  Pridėtinės vertės mokesčio </w:t>
      </w:r>
      <w:r>
        <w:lastRenderedPageBreak/>
        <w:t xml:space="preserve">įstatymo 19 straipsnio papildymas nuostata dėl Pridėtinės vertės mokesčio lengvatos vaistų įsigijimui iš biudžeto priskirtinas Lietuvos Respublikos Finansų ministerijos kompetencijai. </w:t>
      </w:r>
    </w:p>
    <w:p w:rsidR="00C07927" w:rsidRDefault="00C07927" w:rsidP="00C07927">
      <w:pPr>
        <w:pStyle w:val="Pagrindinistekstas"/>
      </w:pPr>
      <w:r>
        <w:tab/>
        <w:t>Atsižvelgiant į tai, kad laisvės atėmimo vietų įstaigos yra išlaikomos iš valstybės biudžeto lėšų, manoma, kad būtina suvienodinti Pridėtinės vertės mokestį vaistams, perkamiems laisvės atėmimo vietų įstaigose, su pridėtinės vertės mokesčiu vaistams, perkamiems iš Privalomojo sveikatos draudimo fondo biudžeto, prašome inicijuoti  Pridėtinės vertės mokesčio vaistams, perkamiems laisvės atėmimo vietų įstaigose, su pridėtinės vertės mokesčiu vaistams, perkamiems iš Privalomojo sveikatos draudimo fondo biudžeto, suvienodinimą.</w:t>
      </w:r>
    </w:p>
    <w:p w:rsidR="00C07927" w:rsidRDefault="00C07927" w:rsidP="00C07927">
      <w:pPr>
        <w:spacing w:before="100" w:beforeAutospacing="1" w:after="100" w:afterAutospacing="1"/>
        <w:ind w:firstLine="720"/>
        <w:jc w:val="both"/>
      </w:pPr>
      <w:r>
        <w:rPr>
          <w:bCs/>
          <w:szCs w:val="20"/>
        </w:rPr>
        <w:t xml:space="preserve"> Komisija 2011 10 22 raštu Nr. S-2011-8762 kreipėsi į Ministrą Pirmininką Andrių Kubilių ir Saulėlydžio komisiją dėl koeficientų nurodydama, kad yra </w:t>
      </w:r>
      <w:r>
        <w:t xml:space="preserve"> gavusi informaciją, kad Kalėjimų departamentui pavaldžiose įstaigose dirbantys sveikatos priežiūros specialistų koeficientai, neprilyginti  laisvėje dirbančių sveikatos priežiūros specialistų koeficientams ir dėl to būtinas Lietuvos Respublikos Vyriausybės 1993 m. liepos 8 d. nutarimo Nr. 511 “Dėl biudžetinių įstaigų ir organizacijų darbuotojų darbo apmokėjimo tvarkos” pakeitimas, 2011 02 02 raštu Nr.</w:t>
      </w:r>
      <w:r w:rsidRPr="000A302A">
        <w:rPr>
          <w:bCs/>
          <w:szCs w:val="20"/>
        </w:rPr>
        <w:t xml:space="preserve"> </w:t>
      </w:r>
      <w:r>
        <w:rPr>
          <w:bCs/>
          <w:szCs w:val="20"/>
        </w:rPr>
        <w:t xml:space="preserve">. S-2011-1006 kreipėsi į Jus prašydama suvienodinti </w:t>
      </w:r>
      <w:r>
        <w:t xml:space="preserve">laisvės atėmimo vietose dirbančių medicinos darbuotojų koeficientus su viešosiose asmens sveikatos priežiūros įstaigose dirbančių medicinos darbuotojų koeficientais, juos padidinant 1,5 karto arba 50 proc. Europos Tarybos Ministrų Komiteto rekomendacijoje Nr. R(98)7 “Dėl etinių ir organizacinių sveikatos apsaugos aspektų įkalinimo įstaigose”, pažymima, kad sveikatos priežiūra laisvės atėmimo vietose turi būti integruota ir suderinta su nacionaline sveikatos politika. Laisvės atėmimo vietų sveikatos priežiūros tarnybos turi turėti pakankamai kvalifikuoto medicinos, slaugos ir techninio personalo, tinkamas  patalpas ir įrenginius, identiškus kaip ir visuomenėje. </w:t>
      </w:r>
      <w:r>
        <w:tab/>
        <w:t xml:space="preserve">Europos Tarybos Ministrų Komiteto rekomendacijoje Nr. R(2006)2 “Dėl Europos kalėjimų taisyklių “ įtvirtinta nuostata, kad kiekviena penitencinė įstaiga turi turėti nors vieną bendrosios praktikos (šeimos) gydytoją, asmenims suteikta galimybė gauti gydymą psichinių sutrikimų atveju, profesionalaus gydytojo odontologo ir okulisto paslaugas. </w:t>
      </w:r>
      <w:r>
        <w:tab/>
        <w:t>Komisija raštu 2011 02 02 yra informavusi, kad beveik pusėje laisvės atėmimo įstaigų trūksta gydytojų psichiatrų, atskirose įstaigose šeimos gydytojų. Iš 107 dirbančių gydytojų,  pirmaeilėse pareigose dirba 60 (56,1 proc.), antraeilėse pareigose 47 (43,9 proc.). Laisvės atėmimo vietų ligoninėje dirba 33 gydytojai, iš jų:  pirmaeilėse pareigose dirba 17 (51,5 proc.), antraeilėse pareigose 16 (48,5 proc.) gydytojų. Pataisos namų ir tardymo izoliatorių sveikatos priežiūros tarnybose  dirba 74 gydytojai (69,2 proc. nuo visų gydytojų skaičiaus). Kitų sveikatos priežiūros specialistų laisvės atėmimo vietose yra 181. Iš jų:  pirmaeilėse pareigose dirba 151 (83,4 proc.), antraeilėse pareigose 30 (16,6 proc.) gydytojų.</w:t>
      </w:r>
      <w:r w:rsidRPr="0050702B">
        <w:t xml:space="preserve"> </w:t>
      </w:r>
      <w:r>
        <w:t xml:space="preserve">Medicinos personalo trūkumą lemia ir nepakankamas darbo užmokestis. Pagal Valstybinės ligonių kasos duomenis vidutinis darbo užmokestis viešosiose asmens sveikatos priežiūros įstaigose siekia 3700 Lt , laisvės atėmimo vietose dirbančių medicinos specialistų (gydytojų) planuojamas atlyginimų vidurkis 2010 m. apie 2051 Lt, o pagalbinio medicinos ir individualios priežiūros personalo apie 1229 Lt.  2011 10 19 Komisijoje gauta informacija, nagrinėjant laisvės atėmimo vietose dirbančių medicinos darbuotojų koeficientų klausimą, kad tik 6 (iš 10)  pataisos namai turi psichiatrus, o tai reiškia, kad kitose pataisos įstaigose be psichiatro negalima diagnozuoti psichinių susirgimų ir, ar asmuo patekdamas į laisvės atėmimo įstaigą turi priklausomybę narkotinėms ir psichotropinėms medžiagoms. </w:t>
      </w:r>
    </w:p>
    <w:p w:rsidR="00C07927" w:rsidRDefault="00C07927" w:rsidP="00C07927">
      <w:pPr>
        <w:spacing w:before="100" w:beforeAutospacing="1" w:after="100" w:afterAutospacing="1"/>
        <w:ind w:firstLine="720"/>
        <w:jc w:val="both"/>
      </w:pPr>
      <w:r>
        <w:t xml:space="preserve">Komisija atkreipė dėmesį į tai, kad Komisija </w:t>
      </w:r>
      <w:r>
        <w:rPr>
          <w:bCs/>
          <w:szCs w:val="20"/>
        </w:rPr>
        <w:t>2010 12 28 raštu Nr. S-2010- 12347 “Dėl koeficientų”</w:t>
      </w:r>
      <w:r>
        <w:t xml:space="preserve"> paprašė Sveikatos apsaugos ministro padaryti Lietuvos Respublikos Vyriausybės 1993 m. liepos 8 d.  nutarime Nr. 511 “ Dėl biudžetinių įstaigų ir organizacijų darbuotojų darbo apmokėjimo tvarkos tobulinimo” ir vėlesniuose jo pakeitimuose pataisą ir laisvės atėmimo vietose dirbančių medicinos darbuotojų koeficientus suvienodinti su viešosiose asmens sveikatos priežiūros įstaigose dirbančių medicinos darbuotojų koeficientais, juos padidinant 1,5 karto arba 50 proc. </w:t>
      </w:r>
    </w:p>
    <w:p w:rsidR="00C07927" w:rsidRDefault="00C07927" w:rsidP="00C07927">
      <w:pPr>
        <w:pStyle w:val="Pagrindinistekstas"/>
      </w:pPr>
      <w:r>
        <w:tab/>
        <w:t xml:space="preserve">Sveikatos apsaugos ministerija 2011 01 28 raštu Nr. 10 – (4.1-141)- 458 “Dėl informacijos pateikimo” atsakė, kad Sveikatos apsaugos ministerija, susipažinusi su Komisijos raštu ir vykdydama Ministro Pirmininko kanclerio pirmojo pavaduotojo 2011 m. sausio 3 d. pavedimą Nr. 62-11, yra parengusi Lietuvos Respublikos Vyriausybės nutarimo “Dėl Lietuvos Respublikos Vyriausybės 1993 m. liepos 8 d. nutarimo Nr. 511 “Dėl biudžetinių įstaigų ir organizacijų darbuotojų darbo apmokėjimo”  pakeitimo” projektą. Projekto tikslas – padidinti sveikatos priežiūros biudžetinių </w:t>
      </w:r>
      <w:r>
        <w:lastRenderedPageBreak/>
        <w:t xml:space="preserve">įstaigų darbuotojų darbo užmokestį. Svarstymo metu buvo siūlymų padidinti 25 proc. visiems sveikatos priežiūros biudžetinių įstaigų darbuotojų darbo užmokestį nuo 2012 metų ir tokiu būdu laisvės atėmimo vietose dirbančių medicinos specialistų (gydytojų) atlyginimai vėl būtų mažesni negu dirbančių specialistų (gydytojų) vidutinis darbo užmokestis viešosiose asmens sveikatos priežiūros įstaigose. Tačiau, net ir toks dalinis atlyginimų padidinimas neįvyko, nors buvo gauti atsakymai iš Finansų, Teisingumo ir Sveikatos apsaugos ministerijų bei Ministro Pirmininko kanclerio. </w:t>
      </w:r>
    </w:p>
    <w:p w:rsidR="00C07927" w:rsidRDefault="00C07927" w:rsidP="00C07927">
      <w:pPr>
        <w:pStyle w:val="Pagrindinistekstas"/>
      </w:pPr>
      <w:r>
        <w:tab/>
        <w:t xml:space="preserve">Atsižvelgiant į tai, kad situacija dėl psichiatrų trūkumo laisvės atėmimo vietose gali turėti rimtų padarinių, pakartotinai  prašoma laisvės atėmimo vietose dirbančių medicinos darbuotojų koeficientus skubiai suvienodinti su viešosiose asmens sveikatos priežiūros įstaigose dirbančių medicinos darbuotojų koeficientais, juos padidinant 1,5 karto arba 50 proc. ir,  2012 metų valstybės biudžete numatyti vienodus visiems medicinos specialistams (gydytojams) atlyginimus. </w:t>
      </w:r>
    </w:p>
    <w:p w:rsidR="00C07927" w:rsidRDefault="00C07927" w:rsidP="00C07927"/>
    <w:p w:rsidR="00C07927" w:rsidRDefault="00C07927" w:rsidP="00C07927"/>
    <w:p w:rsidR="00C07927" w:rsidRPr="00147BAF" w:rsidRDefault="00C07927" w:rsidP="00C07927">
      <w:pPr>
        <w:ind w:firstLine="720"/>
        <w:jc w:val="both"/>
        <w:rPr>
          <w:rFonts w:eastAsia="Arial Unicode MS"/>
          <w:b/>
        </w:rPr>
      </w:pPr>
      <w:r w:rsidRPr="00147BAF">
        <w:rPr>
          <w:rFonts w:eastAsia="Arial Unicode MS"/>
          <w:b/>
        </w:rPr>
        <w:t xml:space="preserve">Dėl Nusikalstamumo prevencijos Lietuvoje centro vykdomos veiklos. </w:t>
      </w:r>
    </w:p>
    <w:p w:rsidR="00C07927" w:rsidRDefault="00C07927" w:rsidP="00C07927">
      <w:pPr>
        <w:jc w:val="both"/>
      </w:pPr>
      <w:r w:rsidRPr="00086D88">
        <w:tab/>
      </w:r>
    </w:p>
    <w:p w:rsidR="00C07927" w:rsidRDefault="00C07927" w:rsidP="00C07927">
      <w:pPr>
        <w:ind w:firstLine="720"/>
        <w:jc w:val="both"/>
      </w:pPr>
      <w:r>
        <w:t xml:space="preserve">Komisijos posėdyje gauta informacija, kad </w:t>
      </w:r>
      <w:r w:rsidRPr="00086D88">
        <w:t>Nusikalstamumo prevencijos centras yra viešoji įstaiga įkurta 1997 m., pa</w:t>
      </w:r>
      <w:r>
        <w:t>sirašius sutartį tarp Lietuvos R</w:t>
      </w:r>
      <w:r w:rsidRPr="00086D88">
        <w:t xml:space="preserve">espublikos Vyriausybės ir Jungtinių Tautų vystymo programos atstovybės Lietuvoje. Centro steigėjai: Lietuvos Respublikos Prezidentas, Lietuvos Respublikos Seimas, Lietuvos Respublikos Vyriausybė, Lietuvos Respublikos Aukščiausiasis Teismas, Vilniaus miesto savivaldybė ir Lietuvos savivaldybių asociacija. </w:t>
      </w:r>
      <w:r>
        <w:t xml:space="preserve">Centras savo veiklą nukreipia į nusikalstamumo prevencijos politiką ir bendradarbiauja su teisėsauga bei įstatymų leidybos institucijomis viešojo saugumo srityje. </w:t>
      </w:r>
    </w:p>
    <w:p w:rsidR="00C07927" w:rsidRDefault="00C07927" w:rsidP="00C07927">
      <w:pPr>
        <w:jc w:val="both"/>
      </w:pPr>
      <w:r>
        <w:tab/>
        <w:t xml:space="preserve">Saulėlydžio komisija pasiūlė Centrą pašalinti iš valstybinių programų, nes tai ne mokslo įstaiga, todėl centras negauna finansavimo iš valstybės biudžeto. Be to negavo teisės dėl patalpų panaudos, nes nevykdo vyriausybinių programų. Teisingumo ministerija neįtraukė Centro į Nepilnamečių justicijos programos įgyvendinimo priemones, nes neturi centras viešojo administravimo funkcijų. Policijos departamento veikloje neliko žodžio „prevencija“. Nuo 2006 metų pasikeitė teisinė bazė. Atlikti tyrimai rodo, kad Nacionalinei nusikaltimų prevencijos ir kontrolės programai 2010 metais  lėšų skirta 100 kartų mažiau negu 2008 metais. Nusikaltimo prevencija liko tik valstybės institucijų reikalu, ne valstybinės įstaigos ir visuomenė ten negali dalyvauti, nes neturi viešojo administravimo funkcijų. Nevyriausybinių organizacijų veikla nefinansuojama Nacionalinėje  nusikaltimų prevencijos ir kontrolės programoje. Per šią programą mokslo institucijoms nuo 2009 metų neskiriamas finansavimas jokiems kriminologiniams tyrimams atlikti. Policijos departamente neliko nei vienos pareigybės , kurioje būtų žodis „Prevencija“. </w:t>
      </w:r>
    </w:p>
    <w:p w:rsidR="00C07927" w:rsidRDefault="00C07927" w:rsidP="00C07927">
      <w:pPr>
        <w:jc w:val="both"/>
      </w:pPr>
      <w:r>
        <w:tab/>
        <w:t>Komisija bendru sutarimu priėmė sprendimą kreiptis raštu dėl informacijos pateikimo apie nusikalstamumo prevenciją į Policijos departamentą prie Vidaus reikalų ministerijos,  Teisingumo ministeriją ir Vidaus reikalų ministeriją. Dėl neįtraukimo VŠĮ</w:t>
      </w:r>
      <w:r w:rsidRPr="00541F1F">
        <w:t xml:space="preserve"> Nusikalstamumo prevencijos centro</w:t>
      </w:r>
      <w:r>
        <w:t xml:space="preserve"> į Nepilnamečių justicijos programą, nutarta  kreiptis į Teisingumo ministeriją. </w:t>
      </w:r>
    </w:p>
    <w:p w:rsidR="00C07927" w:rsidRDefault="00C07927" w:rsidP="00C07927">
      <w:pPr>
        <w:jc w:val="both"/>
      </w:pPr>
      <w:r>
        <w:tab/>
        <w:t xml:space="preserve"> </w:t>
      </w:r>
    </w:p>
    <w:p w:rsidR="00C07927" w:rsidRDefault="00C07927" w:rsidP="00C07927">
      <w:pPr>
        <w:ind w:firstLine="720"/>
        <w:jc w:val="both"/>
        <w:rPr>
          <w:rFonts w:eastAsia="Arial Unicode MS"/>
          <w:b/>
        </w:rPr>
      </w:pPr>
      <w:r w:rsidRPr="00147BAF">
        <w:rPr>
          <w:rFonts w:eastAsia="Arial Unicode MS"/>
          <w:b/>
        </w:rPr>
        <w:t>Dėl muitinės pareigūnų patekimo į Aviacijos saugumo kontroliuojamą teritoriją ir riboto patekimo vietas.</w:t>
      </w:r>
    </w:p>
    <w:p w:rsidR="00C07927" w:rsidRPr="00147BAF" w:rsidRDefault="00C07927" w:rsidP="00C07927">
      <w:pPr>
        <w:ind w:firstLine="720"/>
        <w:jc w:val="both"/>
        <w:rPr>
          <w:rFonts w:eastAsia="Arial Unicode MS"/>
          <w:b/>
        </w:rPr>
      </w:pPr>
    </w:p>
    <w:p w:rsidR="00C07927" w:rsidRDefault="00C07927" w:rsidP="00C07927">
      <w:pPr>
        <w:jc w:val="both"/>
      </w:pPr>
      <w:r>
        <w:t xml:space="preserve"> </w:t>
      </w:r>
      <w:r>
        <w:tab/>
        <w:t xml:space="preserve"> Komisijoje gauta informacija, kad Vilniaus oro uoste muitinės pareigūnai, norėdami eiti į riboto patekimo vietas, turi praeiti pro metalo detektorių. Kadangi pareigūnai dėvi nustatyto pavyzdžio uniformas, turi identifikavimo ženklus, pastoviai suveikia garsinis signalas ir pareigūnai turi nusivilkti švarkus, nusijuosti diržus. Tokią procedūrą pareigūnai atlieka daug kartų per parą ir daug kartų 3-5 minutes juos tikrina Aviacijos saugumo tarnyba. Tai trukdo operatyviai atlikti pavestas funkcijas sutrinka keleivių tikrinimas,  pailgėja muitinės formalumų tikrinimas, pareigūnai tikrinami keleivių akivaizdoje. Buvo kreiptasi į susisiekimo ministerija ištaisyti minėtą padėtį.     </w:t>
      </w:r>
    </w:p>
    <w:p w:rsidR="00C07927" w:rsidRPr="00695066" w:rsidRDefault="00C07927" w:rsidP="00C07927">
      <w:pPr>
        <w:jc w:val="both"/>
      </w:pPr>
      <w:r>
        <w:tab/>
      </w:r>
      <w:r w:rsidRPr="00695066">
        <w:t>Muitinės departamento p</w:t>
      </w:r>
      <w:r>
        <w:t xml:space="preserve">rie Finansų ministerijos atstovai paaiškino, kad vadovaujantis Lietuvos Respublikos Muitinės įstatymo 20 straipsnio 3 dalies 9 punktu, muitinės pareigūnai turi teisę netrukdomai įeiti į tikrinamų arba prekes laikančių asmenų administracines, gamybines ir kitas patalpas bei teritorijas, naudojamas ūkinei komercinei  veiklai. Muitinės pareigūnai neturi būti tikrinami taip kaip dabartiniu metu tai daroma ir Civilinės aviacijos saugumo teisinis reglamentavimas turi būti suderintas su Bendrijos teisės aktais ir Europos Parlamento ir Tarybos reglamento Nr. </w:t>
      </w:r>
      <w:r>
        <w:lastRenderedPageBreak/>
        <w:t xml:space="preserve">300/2008 priedo 1.3 punktu.  Numatoma, kad nuo 2011 metų rugpjūčio mėnesio bus pakeista tvarka ir problema bus išspręsta. </w:t>
      </w:r>
    </w:p>
    <w:p w:rsidR="00C07927" w:rsidRDefault="00C07927" w:rsidP="00C07927">
      <w:pPr>
        <w:jc w:val="both"/>
      </w:pPr>
      <w:r>
        <w:tab/>
      </w:r>
      <w:r w:rsidRPr="008B27A1">
        <w:t xml:space="preserve">Civilinės aviacijos administracijos atstovas </w:t>
      </w:r>
      <w:r>
        <w:t xml:space="preserve">patvirtino, kad rengiama nauja tvarka, kuri įsigalios nuo 2011 metų rugpjūčio mėn. ir tikrinimo problema bus išspręsta pagal Europos Sąjungos teisės reikalavimus.  </w:t>
      </w:r>
    </w:p>
    <w:p w:rsidR="00C07927" w:rsidRPr="00823E54" w:rsidRDefault="00C07927" w:rsidP="00C07927">
      <w:pPr>
        <w:jc w:val="both"/>
      </w:pPr>
      <w:r>
        <w:tab/>
        <w:t>Komisija bendru sutarimu nutarė t</w:t>
      </w:r>
      <w:r>
        <w:rPr>
          <w:bCs/>
        </w:rPr>
        <w:t>ęsti šio  klausimo parlamentinę kontrolę.</w:t>
      </w:r>
    </w:p>
    <w:p w:rsidR="00C07927" w:rsidRDefault="00C07927" w:rsidP="00C07927">
      <w:pPr>
        <w:ind w:firstLine="720"/>
        <w:jc w:val="both"/>
      </w:pPr>
    </w:p>
    <w:p w:rsidR="00C07927" w:rsidRDefault="00C07927" w:rsidP="00C07927">
      <w:pPr>
        <w:ind w:firstLine="720"/>
        <w:jc w:val="both"/>
      </w:pPr>
    </w:p>
    <w:p w:rsidR="00C07927" w:rsidRDefault="00C07927" w:rsidP="00C07927">
      <w:pPr>
        <w:ind w:firstLine="720"/>
        <w:jc w:val="both"/>
        <w:rPr>
          <w:b/>
          <w:bCs/>
          <w:i/>
          <w:iCs/>
        </w:rPr>
      </w:pPr>
      <w:r>
        <w:rPr>
          <w:b/>
          <w:bCs/>
          <w:i/>
          <w:iCs/>
        </w:rPr>
        <w:t>Dėl vaiko gerovės politikos</w:t>
      </w:r>
    </w:p>
    <w:p w:rsidR="00C07927" w:rsidRDefault="00C07927" w:rsidP="00C07927">
      <w:pPr>
        <w:ind w:firstLine="720"/>
        <w:jc w:val="both"/>
        <w:rPr>
          <w:b/>
          <w:bCs/>
        </w:rPr>
      </w:pPr>
    </w:p>
    <w:p w:rsidR="00C07927" w:rsidRDefault="00C07927" w:rsidP="00C07927">
      <w:pPr>
        <w:pStyle w:val="Pagrindiniotekstotrauka3"/>
        <w:rPr>
          <w:b/>
          <w:bCs/>
        </w:rPr>
      </w:pPr>
      <w:r>
        <w:rPr>
          <w:b/>
          <w:bCs/>
        </w:rPr>
        <w:t xml:space="preserve">Tiriant vaiko gerovės politikos klausimus, nustatyta, kad Jungtinių Tautų vaiko teisių komitetas, 2006 metais išnagrinėjęs Lietuvos antrąją periodinę ataskaitą (CRC/C/83/Add.14), savo išvadose (CRC/CLTU/CO/2) atkreipė dėmesį į duomenų apie vaikus, priklausančius pažeidžiamiausioms grupėms, stoką, kūdikių ir mokyklinio amžiaus vaikų apsaugos priemonių per mažą finansavimą, ribotą švaraus ir nekenksmingo geriamojo vandens prieinamumą, sveikatos mokymo programų ir sveikatos paslaugų stoką mokyklose, tuberkuliozės paplitimą, vaikų savižudžių, narkotikus ir alkoholį vartojančių vaikų gausą.  </w:t>
      </w:r>
    </w:p>
    <w:p w:rsidR="00C07927" w:rsidRDefault="00C07927" w:rsidP="00C07927">
      <w:pPr>
        <w:pStyle w:val="Pagrindiniotekstotrauka"/>
        <w:rPr>
          <w:szCs w:val="24"/>
          <w:lang w:val="lt-LT"/>
        </w:rPr>
      </w:pPr>
      <w:r>
        <w:rPr>
          <w:szCs w:val="24"/>
          <w:lang w:val="lt-LT"/>
        </w:rPr>
        <w:t>Lietuvos Respublikos Sveikatos apsaugos ministerijos 2008 metais pateiktais atlikto tyrimo duomenimis, Lietuvos vaikai patys nelaimingiausi Europoje (iki 50 proc. 12 – 17 metų vaikai jaučia depresijos požymių), net 41,7 proc. mokyklinio amžiaus vaikų turi su psichikos sveikata susijusių problemų. Tarp mokyklinio amžiaus vaikų labai paplitusios patyčios – apie 70 proc. vaikų pažymi, kad yra patyrę šį reiškinį ir kaip aukos, ir kaip skriaudėjai. Kasmet Lietuvoje nusižudo apie 20 vaikų (2002 – 2005 metais Lietuvoje nusižudė 100 vaikų iki 18 metų), plinta narkomanija ir alkoholizmas, polinkis į nusikaltimus, kurie darosi vis žiauresni. Vis aktualesnės tampa ir kitos priklausomybės rūšys – priklausomybė nuo azartinių lošimų ar kompiuterinių žaidimų, interneto.</w:t>
      </w:r>
    </w:p>
    <w:p w:rsidR="00C07927" w:rsidRDefault="00C07927" w:rsidP="00C07927">
      <w:pPr>
        <w:pStyle w:val="Pagrindiniotekstotrauka3"/>
      </w:pPr>
      <w:r>
        <w:t>Tesės aktai:</w:t>
      </w:r>
    </w:p>
    <w:p w:rsidR="00C07927" w:rsidRDefault="00C07927" w:rsidP="00C07927">
      <w:pPr>
        <w:ind w:firstLine="720"/>
        <w:jc w:val="both"/>
        <w:rPr>
          <w:szCs w:val="14"/>
        </w:rPr>
      </w:pPr>
      <w:r>
        <w:rPr>
          <w:szCs w:val="14"/>
        </w:rPr>
        <w:t xml:space="preserve">1. Lietuvos Respublikos Vyriausybė 2001 m. liepos 27 d. nutarimu Nr. </w:t>
      </w:r>
      <w:r>
        <w:rPr>
          <w:bCs/>
          <w:szCs w:val="14"/>
        </w:rPr>
        <w:t>941</w:t>
      </w:r>
      <w:r>
        <w:rPr>
          <w:szCs w:val="14"/>
        </w:rPr>
        <w:t xml:space="preserve"> “Dėl Lietuvos nacionalinės visuomenės sveikatos priežiūros 2006 – 2013 metų strategijos ir jos įgyvendinimo priemonių 2006 – 2008 metų plano patvirtinimo” (nauja redakcija: Žin., 2006, Nr. 70 –2574), patvirtino Lietuvos nacionalinės visuomenės sveikatos priežiūros  2006 – 2013 metų strategiją ir jos įgyvendinimo priemonių 2006 – 2008 metų planą, kuriuose išdėstytos pagrindinės valstybės nuostatos, susijusios su visuomenės sveikatos priežiūros sistemos modernizavimu, kad ji visiškai atitiktų valstybės poreikius ir naujausius tarptautinius reikalavimus, taip pat priemones šiam tikslui pasiekti. Šios Strategijos uždaviniai – rūpintis vaikų ir jaunimo sveikatos išsaugojimu ir gerinimu, mažinti sergamumą užkrečiamosiomis ir neinfekcinėmis ligomis bei šalinti jų priežastis, įtvirtinti visuomenės sveikatos svarbą valstybės ir savivaldybių politikoje; užtikrinti pasirengimą greitai reaguoti į sveikatai kylančias grėsmes ir kt.  Kas dveji metai Sveikatos apsaugos ministerija vertina, kaip vykdomas šios Strategijos įgyvendinimo priemonių planas. </w:t>
      </w:r>
    </w:p>
    <w:p w:rsidR="00C07927" w:rsidRDefault="00C07927" w:rsidP="00C07927">
      <w:pPr>
        <w:ind w:firstLine="720"/>
        <w:jc w:val="both"/>
        <w:rPr>
          <w:szCs w:val="14"/>
        </w:rPr>
      </w:pPr>
      <w:r>
        <w:rPr>
          <w:szCs w:val="14"/>
        </w:rPr>
        <w:t>Vienas iš šios Strategijos vertinimo kriterijų – vaikų sveikatos būklės pokyčiai.</w:t>
      </w:r>
    </w:p>
    <w:p w:rsidR="00C07927" w:rsidRDefault="00C07927" w:rsidP="00C07927">
      <w:pPr>
        <w:ind w:firstLine="720"/>
        <w:jc w:val="both"/>
        <w:rPr>
          <w:szCs w:val="14"/>
        </w:rPr>
      </w:pPr>
      <w:r>
        <w:rPr>
          <w:szCs w:val="14"/>
        </w:rPr>
        <w:t>Lietuvos Respublikos Seimas 2003 m. gegužės 20 d. nutarimu Nr. IX-</w:t>
      </w:r>
      <w:r>
        <w:rPr>
          <w:bCs/>
          <w:szCs w:val="14"/>
        </w:rPr>
        <w:t xml:space="preserve">1569 </w:t>
      </w:r>
      <w:r>
        <w:rPr>
          <w:szCs w:val="14"/>
        </w:rPr>
        <w:t>“Dėl Vaiko gerovės politikos koncepcijos patvirtinimo” (Žin., 2003, NR. 52-2316), patvirtinęs Vaiko gerovės valstybės politikos koncepciją (toliau – Koncepcija) siekė tikslo – pasiekti politinį susitarimą dėl vaiko gerovę lemiančių vertybių, nuostatų ir numatyti vaiko gerovės įgyvendinimo gaires. Koncepcijoje pateikiami pagrindiniai vaiko gerovės politikos principai ir vertybės. Vadovaujantis šiais principais ir vertybėmis, konstatuojamos pagrindinės vaiko gerovės problemos Lietuvoje, numatomi pagrindiniai vaiko gerovės politikos siekiai artimiausiam dešimtmečiui pagrindinėse vaiko aprūpinimo, vaiko dalyvavimo ir vaiko apsaugos srityse, ir nurodomos vaiko gerovės politikos įgyvendinimo strateginės gairės.</w:t>
      </w:r>
    </w:p>
    <w:p w:rsidR="00C07927" w:rsidRDefault="00C07927" w:rsidP="00C07927">
      <w:pPr>
        <w:ind w:firstLine="720"/>
        <w:jc w:val="both"/>
        <w:rPr>
          <w:szCs w:val="14"/>
        </w:rPr>
      </w:pPr>
      <w:r>
        <w:rPr>
          <w:szCs w:val="14"/>
          <w:u w:val="single"/>
        </w:rPr>
        <w:t>Vaiko gerovės politika</w:t>
      </w:r>
      <w:r>
        <w:rPr>
          <w:szCs w:val="14"/>
        </w:rPr>
        <w:t xml:space="preserve"> – socialinės politikos dalis, kuri remiantis tarptautiniais dokumentais yra nusakyta trimis principais: vaiko teisė į apsaugą, aprūpinimą ir dalyvavimą:</w:t>
      </w:r>
    </w:p>
    <w:p w:rsidR="00C07927" w:rsidRDefault="00C07927" w:rsidP="00C07927">
      <w:pPr>
        <w:ind w:firstLine="720"/>
        <w:jc w:val="both"/>
        <w:rPr>
          <w:szCs w:val="14"/>
        </w:rPr>
      </w:pPr>
      <w:r>
        <w:rPr>
          <w:szCs w:val="14"/>
          <w:u w:val="single"/>
        </w:rPr>
        <w:t>Vaiko apsauga</w:t>
      </w:r>
      <w:r>
        <w:rPr>
          <w:szCs w:val="14"/>
        </w:rPr>
        <w:t xml:space="preserve"> – teisė augti savo šeimoje ir gauti profesionalią pagalbą, taip pat teisė būti apsaugotam nuo socialinio ir individualaus smurto;</w:t>
      </w:r>
    </w:p>
    <w:p w:rsidR="00C07927" w:rsidRDefault="00C07927" w:rsidP="00C07927">
      <w:pPr>
        <w:ind w:firstLine="720"/>
        <w:jc w:val="both"/>
        <w:rPr>
          <w:szCs w:val="14"/>
        </w:rPr>
      </w:pPr>
      <w:r>
        <w:rPr>
          <w:szCs w:val="14"/>
          <w:u w:val="single"/>
        </w:rPr>
        <w:t xml:space="preserve">Vaiko aprūpinimas </w:t>
      </w:r>
      <w:r>
        <w:rPr>
          <w:szCs w:val="14"/>
        </w:rPr>
        <w:t>– teisė į išteklius ir paslaugas, juos paskirstant tarp vaiko ir suaugusiųjų, ypač skiriant dėmesį neįgaliam vaikui, vaikui, turinčiam specialiųjų poreikių, ir vaikui, kuriam pavojus patirti skurdą, tėvų smurtą bei nepriežiūrą ar įsitraukti į nusikalstamą veiklą;</w:t>
      </w:r>
    </w:p>
    <w:p w:rsidR="00C07927" w:rsidRDefault="00C07927" w:rsidP="00C07927">
      <w:pPr>
        <w:ind w:firstLine="720"/>
        <w:jc w:val="both"/>
        <w:rPr>
          <w:szCs w:val="14"/>
        </w:rPr>
      </w:pPr>
      <w:r>
        <w:rPr>
          <w:szCs w:val="14"/>
          <w:u w:val="single"/>
        </w:rPr>
        <w:t>Vaiko dalyvavimas</w:t>
      </w:r>
      <w:r>
        <w:rPr>
          <w:szCs w:val="14"/>
        </w:rPr>
        <w:t xml:space="preserve"> – teisė veikti, išreikšti savo nuomonę ir daryti įtaką sprendimams šeimoje ir visuomenėje individualiai ir kolektyviai, sukuriant vaikui socialinę erdvę jo aktyviam dalyvavimui.</w:t>
      </w:r>
    </w:p>
    <w:p w:rsidR="00C07927" w:rsidRDefault="00C07927" w:rsidP="00C07927">
      <w:pPr>
        <w:ind w:firstLine="720"/>
        <w:jc w:val="both"/>
        <w:rPr>
          <w:szCs w:val="14"/>
        </w:rPr>
      </w:pPr>
      <w:r>
        <w:rPr>
          <w:szCs w:val="14"/>
          <w:u w:val="single"/>
        </w:rPr>
        <w:t>Gerovė</w:t>
      </w:r>
      <w:r>
        <w:rPr>
          <w:szCs w:val="14"/>
        </w:rPr>
        <w:t xml:space="preserve"> – organizuota socialinių paslaugų  ir institucijų sistema, sukurta padėti individams ir grupėms pasiekti patenkinamus gyvenimo, sveikatos ir asmeninių bei socialinių ryšių standartus, kurie </w:t>
      </w:r>
      <w:r>
        <w:rPr>
          <w:szCs w:val="14"/>
        </w:rPr>
        <w:lastRenderedPageBreak/>
        <w:t xml:space="preserve">leistų jiems išplėtoti visus gebėjimus ir pagerintų jų gyvenimo kokybę atsižvelgiant į jų šeimų ir bendruomenės poreikius. </w:t>
      </w:r>
    </w:p>
    <w:p w:rsidR="00C07927" w:rsidRDefault="00C07927" w:rsidP="00C07927">
      <w:pPr>
        <w:ind w:firstLine="720"/>
        <w:jc w:val="both"/>
        <w:rPr>
          <w:color w:val="000000"/>
          <w:szCs w:val="18"/>
        </w:rPr>
      </w:pPr>
      <w:r>
        <w:t>2. Lietuvos Respublikos Seimo 2007 m. balandžio 3 d. nutarimu Nr. X-</w:t>
      </w:r>
      <w:r>
        <w:rPr>
          <w:bCs/>
        </w:rPr>
        <w:t xml:space="preserve">1070 </w:t>
      </w:r>
      <w:r>
        <w:t xml:space="preserve">“Dėl Psichikos sveikatos strategijos patvirtinimo”, patvirtintoje Psichikos sveikatos strategijoje (toliau – Strategija)  (Žin., 2007, Nr. 42-1572) konstatuojama, kad  </w:t>
      </w:r>
      <w:r>
        <w:rPr>
          <w:color w:val="000000"/>
          <w:szCs w:val="18"/>
        </w:rPr>
        <w:t>1990–2000 metais vykusios didelės socialinės, politinės, ekonominės permainos, kurios atskleidė individų ir jų grupių prastą psichologinį atsparumą ir nepakankamus įgūdžius aktyviai dalyvauti įveikiant naujas kasdienio gyvenimo</w:t>
      </w:r>
      <w:r>
        <w:rPr>
          <w:color w:val="FF0000"/>
          <w:szCs w:val="18"/>
        </w:rPr>
        <w:t xml:space="preserve"> </w:t>
      </w:r>
      <w:r>
        <w:rPr>
          <w:color w:val="000000"/>
          <w:szCs w:val="18"/>
        </w:rPr>
        <w:t xml:space="preserve">problemas. Todėl didelė dalis žmonių – tiek brandaus amžiaus, tiek vaikų ir jaunimo nepajėgė tinkamai prisitaikyti naujoje, socialinio aktyvumo reikalaujančioje aplinkoje, ir atsidūrė destruktyvaus elgesio (nukreipto arba į save, arba į kitus asmenis) rizikos grupėje – taip sukurdami terpę itin blogiems savižudybių, prievartos, priklausomybių ir kitų liguistų visuomenės sveikatos reiškinių rodikliams. </w:t>
      </w:r>
    </w:p>
    <w:p w:rsidR="00C07927" w:rsidRDefault="00C07927" w:rsidP="00C07927">
      <w:pPr>
        <w:jc w:val="both"/>
      </w:pPr>
      <w:r>
        <w:rPr>
          <w:color w:val="000000"/>
          <w:szCs w:val="18"/>
        </w:rPr>
        <w:tab/>
        <w:t xml:space="preserve">Grėsmių analizė rodo, kad stokojama </w:t>
      </w:r>
      <w:r>
        <w:t xml:space="preserve">kvalifikuotų psichikos sveikatos priežiūros specialistų, ypač rajonuose ir ypač psichologų, vaikų psichiatrų, psichoterapeutų. </w:t>
      </w:r>
    </w:p>
    <w:p w:rsidR="00C07927" w:rsidRDefault="00C07927" w:rsidP="00C07927">
      <w:pPr>
        <w:ind w:firstLine="720"/>
        <w:jc w:val="both"/>
      </w:pPr>
      <w:r>
        <w:t xml:space="preserve">Konstatuojamas </w:t>
      </w:r>
      <w:r>
        <w:rPr>
          <w:rFonts w:eastAsia="Arial Unicode MS"/>
        </w:rPr>
        <w:t xml:space="preserve"> </w:t>
      </w:r>
      <w:r>
        <w:t>vaikų ir jaunimo gyvensenos blogėjimas. Todėl, būtina užtikrinti ypač geros kokybės paslaugas, atsižvelgiant į paauglių ir jaunuolių poreikius ir ypatumus. Plėtoti vaikų raidos sutrikimų ankstyvosios reabilitacijos paslaugas, didinant jų apimtį, gerinant kokybę ir sukuriant alternatyvą kūdikių namų ir kitų valstybinių vaikų globos institucijų tinklui. Plėtoti ir integruoti į pediatrijos paslaugų infrastruktūrą vaikų psichikos sveikatos priežiūros ir socialinės (raidos) pediatrijos paslaugas. Įtraukti į šeimos gydytojų rengimo programą vaikų psichikos sveikatos priežiūros, tėvų ir vaikų santykių ir krizių kursus. Kuo daugiau su psichikos sveikata susijusių paslaugų teikti bendruose vaikams ir jaunimui skirtuose sveikatos centruose, pritaikytuose šių amžiaus grupių poreikiams.</w:t>
      </w:r>
    </w:p>
    <w:p w:rsidR="00C07927" w:rsidRDefault="00C07927" w:rsidP="00C07927">
      <w:pPr>
        <w:ind w:firstLine="720"/>
        <w:jc w:val="both"/>
      </w:pPr>
      <w:r>
        <w:t>Atsižvelgiant į Strategijos uždavinius, numatyta gerinti vaikų ir jaunimo psichikos sveikatos apsaugą ir priežiūrą, vykdant tikslines prevencines, gydymo ir reabilitacijos programas, skirtas vaikų, šeimų ir bendruomenių atsparumui stiprinti bei neigiamų socializacijos pasekmių prevencijai.</w:t>
      </w:r>
    </w:p>
    <w:p w:rsidR="00C07927" w:rsidRDefault="00C07927" w:rsidP="00C07927">
      <w:pPr>
        <w:jc w:val="both"/>
      </w:pPr>
      <w:r>
        <w:t xml:space="preserve"> </w:t>
      </w:r>
      <w:r>
        <w:tab/>
        <w:t>Siūloma valstybinėse sveikatos programose didžiausią dėmesį skirti šiuo metu aktualiausioms problemoms spręsti – vaikų dvasinės sveikatos, emocinės ir socialinės raidos sutrikimų prevencijai, tėvų mokymui tinkamai auginti vaikus, savižudybių, priklausomybių ir prievartos prevencijai, jaunimo sveikatos problemų sprendimui; rizikos grupėms priskiriamų tėvų mokymui kompetentingai auginti vaikus, ypač kūdikystės ir ankstyvosios vaikystės laikotarpiu; vaikų ir paauglių psichikos sveikatos stiprinimui mokyklose ir bendruomenėje; vaikų ir jaunimo smurto prevencijai;  alkoholizmo, narkomanijos ir rūkymo prevencijai ir kt.</w:t>
      </w:r>
    </w:p>
    <w:p w:rsidR="00C07927" w:rsidRDefault="00C07927" w:rsidP="00C07927">
      <w:pPr>
        <w:jc w:val="both"/>
      </w:pPr>
      <w:r>
        <w:rPr>
          <w:szCs w:val="14"/>
        </w:rPr>
        <w:t xml:space="preserve">          3.  Lietuvos Respublikos Vyriausybė 2005 m. vasario 17 d. nutarimu Nr. </w:t>
      </w:r>
      <w:r>
        <w:rPr>
          <w:bCs/>
          <w:szCs w:val="14"/>
        </w:rPr>
        <w:t xml:space="preserve">184 </w:t>
      </w:r>
      <w:r>
        <w:rPr>
          <w:szCs w:val="14"/>
        </w:rPr>
        <w:t xml:space="preserve">“Dėl Vaiko gerovės valstybės politikos </w:t>
      </w:r>
      <w:r>
        <w:t xml:space="preserve">strategijos ir jos įgyvendinimo priemonių 2005 – 2012 metų plano </w:t>
      </w:r>
      <w:r>
        <w:rPr>
          <w:szCs w:val="14"/>
        </w:rPr>
        <w:t xml:space="preserve">patvirtinimo” (Žin., 2005, Nr.25 - 802 ), patvirtino Vaiko gerovės valstybės politikos </w:t>
      </w:r>
      <w:r>
        <w:t xml:space="preserve">strategiją ir </w:t>
      </w:r>
      <w:r>
        <w:rPr>
          <w:szCs w:val="14"/>
        </w:rPr>
        <w:t xml:space="preserve"> Vaiko gerovės valstybės politikos </w:t>
      </w:r>
      <w:r>
        <w:t>strategijos įgyvendinimo priemonių 2005 – 2012 metų planą.</w:t>
      </w:r>
    </w:p>
    <w:p w:rsidR="00C07927" w:rsidRDefault="00C07927" w:rsidP="00C07927">
      <w:pPr>
        <w:ind w:firstLine="720"/>
        <w:jc w:val="both"/>
      </w:pPr>
      <w:r>
        <w:t xml:space="preserve"> Vaiko gerovės valstybės politikos  strategijos ir jos įgyvendinimo priemonių 2005 – 2012 metų plane pateikiamos konkrečios priemonės vaiko gerovei užtikrinti, gerinant vaikų sveikatos apsaugą, didinant vaikų sveikatos priežiūros paslaugų įvairovę ir prieinamumą, ypač daug dėmesio skiriant vaiko ir šeimos apsaugai nuo žmogaus imunodeficito viruso (ŽIV/AIDS) poveikio. </w:t>
      </w:r>
    </w:p>
    <w:p w:rsidR="00C07927" w:rsidRDefault="00C07927" w:rsidP="00C07927">
      <w:pPr>
        <w:ind w:firstLine="720"/>
        <w:jc w:val="both"/>
        <w:rPr>
          <w:szCs w:val="14"/>
        </w:rPr>
      </w:pPr>
      <w:r>
        <w:rPr>
          <w:szCs w:val="14"/>
          <w:u w:val="single"/>
        </w:rPr>
        <w:t>Valstybės misija</w:t>
      </w:r>
      <w:r>
        <w:rPr>
          <w:szCs w:val="14"/>
        </w:rPr>
        <w:t xml:space="preserve"> – formuoti ir įgyvendinti racionalią vaiko gerovės valstybės politiką, kuri užtikrintų galimybę vaikui gyventi visavertį gyvenimą šeimoje.</w:t>
      </w:r>
    </w:p>
    <w:p w:rsidR="00C07927" w:rsidRDefault="00C07927" w:rsidP="00C07927">
      <w:pPr>
        <w:ind w:firstLine="720"/>
        <w:jc w:val="both"/>
        <w:rPr>
          <w:szCs w:val="18"/>
        </w:rPr>
      </w:pPr>
      <w:r>
        <w:rPr>
          <w:szCs w:val="14"/>
        </w:rPr>
        <w:t xml:space="preserve">Valstybės politikos </w:t>
      </w:r>
      <w:r>
        <w:t xml:space="preserve">strategijoje yra nustatyti vaiko gerovės valstybės politikos prioritetai, pavojaus vaikų sveikatai mažinimas, būtinų paslaugų šeimai ir vaikui tinklo sukūrimas, šių paslaugų kokybės užtikrinimas bei gerinimas ir kt. </w:t>
      </w:r>
      <w:r>
        <w:rPr>
          <w:szCs w:val="14"/>
        </w:rPr>
        <w:t>Laikomasi šių principų: šeima ir valstybė dalijasi vaiko gerovės užtikrinimo atsakomybe; priimant sprendimus ar imantis bet kokių veiksmų, vadovaujamasi vaiko interesais; vaikui garantuojamos teisės ir galimybės augti, kiek įmanoma, sveikam ir gauti gerą išsilavinimą, priežiūrą ir gydymą; plėtojamos paslaugos vaikams, turintiems raidos problemų, skatinant, kad šios paslaugos ypač būtų plėtojamos bendruomenėje; perkant paslaugas</w:t>
      </w:r>
      <w:r>
        <w:rPr>
          <w:szCs w:val="18"/>
        </w:rPr>
        <w:t>, visuose vaiko priežiūros sektoriuose vadovaujamasi vaiko interesų atstovavimo principu, tai reiškia, kad paslaugos privalo būti įvairiapusės, orientuotos į vaikų ir paauglių poreikius, nuomones, kultūrą; specialistai kiekvienam asmeniui individualiai parenka tinkamus sprendimus.</w:t>
      </w:r>
    </w:p>
    <w:p w:rsidR="00C07927" w:rsidRDefault="00C07927" w:rsidP="00C07927">
      <w:pPr>
        <w:ind w:firstLine="720"/>
        <w:jc w:val="both"/>
      </w:pPr>
      <w:r>
        <w:t xml:space="preserve">4. Lietuvos Respublikos Seimas 2008 m. birželio 3 d. nutarimu Nr. X-1569 “Dėl Valstybinės šeimos politikos koncepcijos patvirtinimo” (Žin., 2008, Nr. 69-2624), patvirtino Valstybinę šeimos politikos koncepciją, kuri grindžiama istoriškai susiklosčiusiomis šeimos vertybėmis ir šeimos gerovę nusakančiomis sampratomis, kurios atitinka Konstituciją ir kitus teisės aktus. Šeima </w:t>
      </w:r>
      <w:r>
        <w:rPr>
          <w:bCs/>
        </w:rPr>
        <w:t xml:space="preserve">– </w:t>
      </w:r>
      <w:r>
        <w:t xml:space="preserve">esminis </w:t>
      </w:r>
      <w:r>
        <w:lastRenderedPageBreak/>
        <w:t xml:space="preserve">visuomenės gėris, kylantis iš žmogaus prigimties ir grindžiamas savanorišku vyro ir moters santuokiniu pasižadėjimu skirti savo gyvenimą šeiminiams santykiams kurti, užtikrinantis šeimos narių </w:t>
      </w:r>
      <w:r>
        <w:rPr>
          <w:bCs/>
        </w:rPr>
        <w:t xml:space="preserve">– </w:t>
      </w:r>
      <w:r>
        <w:t>vyro ir moters, vaikų bei visų kartų gerovę ir sveikos visuomenės raidą, tautos bei valstybės gyvybingumą ir kūrybingumą. Todėl valstybės ir nevyriausybinės institucijos privalo užtikrinti šeimos integralumui palankią aplinką, plėtodamos ir tobulindamos jos teisinę ir socialinę bazę.</w:t>
      </w:r>
    </w:p>
    <w:p w:rsidR="00C07927" w:rsidRDefault="00C07927" w:rsidP="00C07927">
      <w:pPr>
        <w:ind w:firstLine="720"/>
        <w:jc w:val="both"/>
      </w:pPr>
      <w:r>
        <w:rPr>
          <w:bCs/>
          <w:szCs w:val="22"/>
        </w:rPr>
        <w:t>Socialinės rizikos šeima</w:t>
      </w:r>
      <w:r>
        <w:rPr>
          <w:szCs w:val="22"/>
        </w:rPr>
        <w:t xml:space="preserve"> </w:t>
      </w:r>
      <w:r>
        <w:t>–</w:t>
      </w:r>
      <w:r>
        <w:rPr>
          <w:szCs w:val="22"/>
        </w:rPr>
        <w:t xml:space="preserve"> </w:t>
      </w:r>
      <w:r>
        <w:t>šeima, kurioje auga vaikų iki 18 metų ir kurioje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naudoja ne šeimos interesams ir todėl iškyla pavojus vaikų fiziniam, protiniam, dvasiniam, doroviniam vystymuisi ir saugumui.</w:t>
      </w:r>
    </w:p>
    <w:p w:rsidR="00C07927" w:rsidRDefault="00C07927" w:rsidP="00C07927">
      <w:pPr>
        <w:ind w:firstLine="720"/>
        <w:jc w:val="both"/>
      </w:pPr>
      <w:r>
        <w:t>Šeimos politikos koncepcijoje pažymėta, kad nepakankama socialinės pagalbos ir paramos šeimai sistema. Nėra ekonominio stabilumo,</w:t>
      </w:r>
      <w:r>
        <w:rPr>
          <w:bCs/>
        </w:rPr>
        <w:t xml:space="preserve"> </w:t>
      </w:r>
      <w:r>
        <w:t>neužtikrinta paramos šeimai plėtra ir kokybė. Esama socialinės paramos infrastruktūra silpnai išplėtota, trūksta veiksmų koordinavimo, jaučiamas kvalifikuotų specialistų, dirbančių su šeima, stygius. Socialinės pagalbos ir paramos sistema daugiau orientuota ne į prevencinį darbą ar paslaugų šeimai teikimą, bet į padarinius, socialinių išmokų mokėjimą. Išmokų mokėjimas netiesiogiai pratina nedarnių šeimų tėvus gyventi vaikų sąskaita ir vengti socialiai naudingo darbo. Nepakankamai užtikrinama jaunimo integracija į darbo rinką. Nepakankama valstybės pagalba ir parama šeimai krizių atvejais. Stokojama įvairiapusės pagalbos ir paramos šeimos socialinių, psichologinių ir kitų krizių atvejais. Stinga institucijų, vykdančių ir koordinuojančių socialinės, pedagoginės ir psichologinės paramos šeimai veiklą.</w:t>
      </w:r>
    </w:p>
    <w:p w:rsidR="00C07927" w:rsidRDefault="00C07927" w:rsidP="00C07927">
      <w:pPr>
        <w:jc w:val="both"/>
      </w:pPr>
      <w:r>
        <w:t xml:space="preserve"> </w:t>
      </w:r>
      <w:r>
        <w:tab/>
        <w:t>Nustatytos vaikų ugdymo ir visokeriopo saugumo užtikrinimo problemos:</w:t>
      </w:r>
    </w:p>
    <w:p w:rsidR="00C07927" w:rsidRDefault="00C07927" w:rsidP="00C07927">
      <w:pPr>
        <w:ind w:firstLine="720"/>
        <w:jc w:val="both"/>
        <w:rPr>
          <w:szCs w:val="16"/>
        </w:rPr>
      </w:pPr>
      <w:r>
        <w:t xml:space="preserve">– Daug dėl tėvų emigracijos be tėvų priežiūros paliktų vaikų. Emigracijos problemos yra kompleksinės, susijusios su vaiko juridinio atstovavimo aspektais, jo emocine, moraline būkle, jo ugdymo ir ugdymosi procesu, tinkamomis gyvenimo sąlygomis. </w:t>
      </w:r>
      <w:r>
        <w:rPr>
          <w:szCs w:val="16"/>
        </w:rPr>
        <w:t>Maždaug pusė emigrantų turėjo vaikų, bet tik kas antras iš jų išvyko kartu su vaikais. Emigracijos tyrimo rezultatai rodo, kad kas antro emigranto vaikai liko Lietuvoje su vienu iš tėvų, seneliais ar kitais giminaičiais.</w:t>
      </w:r>
    </w:p>
    <w:p w:rsidR="00C07927" w:rsidRDefault="00C07927" w:rsidP="00C07927">
      <w:pPr>
        <w:ind w:firstLine="720"/>
        <w:jc w:val="both"/>
      </w:pPr>
      <w:r>
        <w:rPr>
          <w:lang w:eastAsia="lt-LT"/>
        </w:rPr>
        <w:t xml:space="preserve">– </w:t>
      </w:r>
      <w:r>
        <w:t>Nemažėja globos namuose augančių vaikų skaičius.</w:t>
      </w:r>
      <w:r>
        <w:rPr>
          <w:bCs/>
        </w:rPr>
        <w:t xml:space="preserve"> </w:t>
      </w:r>
      <w:r>
        <w:t>2007 m. pradžioje buvo 13,3 tūkst. be tėvų globos likusių vaikų. 2006 m. pabaigoje, kaip ir 2005 m., globos namuose gyveno 6,1 tūkst. vaikų.</w:t>
      </w:r>
    </w:p>
    <w:p w:rsidR="00C07927" w:rsidRDefault="00C07927" w:rsidP="00C07927">
      <w:pPr>
        <w:ind w:firstLine="720"/>
        <w:jc w:val="both"/>
        <w:rPr>
          <w:color w:val="000000"/>
          <w:lang w:eastAsia="lt-LT"/>
        </w:rPr>
      </w:pPr>
      <w:r>
        <w:rPr>
          <w:lang w:eastAsia="lt-LT"/>
        </w:rPr>
        <w:t>–</w:t>
      </w:r>
      <w:r>
        <w:t xml:space="preserve"> Daug socialinės rizikos šeimų ir jose augančių vaikų.</w:t>
      </w:r>
      <w:r>
        <w:rPr>
          <w:i/>
          <w:iCs/>
          <w:color w:val="FF0000"/>
        </w:rPr>
        <w:t xml:space="preserve"> </w:t>
      </w:r>
      <w:r>
        <w:t>2007 m. pradžioje vaiko teisių apsaugos tarnybų įskaitose buvo įrašyta 13,5 tūkst. socialinės rizikos šeimų, jose augo 31,4 tūkst. vaikų. Apie du trečdaliai šeimų įrašyta į įskaitą dėl girtavimo.</w:t>
      </w:r>
      <w:r>
        <w:rPr>
          <w:i/>
          <w:iCs/>
        </w:rPr>
        <w:t xml:space="preserve"> </w:t>
      </w:r>
      <w:r>
        <w:t xml:space="preserve">Šios šeimos dažnai neturi pakankamai socialinių gebėjimų ir motyvacijos savarankiškai tvarkyti savo gyvenimą, todėl nesugeba auklėti savo vaikų, naudoja prieš juos psichologinę, fizinę prievartą, gaunamą valstybės paramą naudoja ne šeimos interesams. Manytina, kad </w:t>
      </w:r>
      <w:r>
        <w:rPr>
          <w:color w:val="000000"/>
        </w:rPr>
        <w:t>savo gyvenimo būdo įpročius jos perduos kitoms kartoms.</w:t>
      </w:r>
    </w:p>
    <w:p w:rsidR="00C07927" w:rsidRDefault="00C07927" w:rsidP="00C07927">
      <w:pPr>
        <w:ind w:firstLine="720"/>
        <w:jc w:val="both"/>
      </w:pPr>
      <w:r>
        <w:rPr>
          <w:color w:val="000000"/>
          <w:lang w:eastAsia="lt-LT"/>
        </w:rPr>
        <w:t xml:space="preserve">– </w:t>
      </w:r>
      <w:r>
        <w:t>Smurtas prieš vaikus. 2006 m. nuo nuskalstamų veikų nukentėjo 5,1 tūkst. vaikų (186 vaikais daugiau nei 2005 m.). Dažniausiai nukenčia 14–17 metų paaugliai, du trečdaliai nukentėjusiųjų – berniukai. Užregistruojama vis daugiau vaikų seksualinės prievartos atvejų. Vaikai sudaro daugiau nei pusę visų užregistruotų nukentėjusiųjų nuo šių nusikalstamų veikų. 2006 m. nuo seksualinio pobūdžio nusikalstamų veikų nukentėjo 272 vaikai (2005 m. – 239).</w:t>
      </w:r>
    </w:p>
    <w:p w:rsidR="00C07927" w:rsidRDefault="00C07927" w:rsidP="00C07927">
      <w:pPr>
        <w:ind w:firstLine="720"/>
        <w:jc w:val="both"/>
        <w:rPr>
          <w:color w:val="000000"/>
        </w:rPr>
      </w:pPr>
      <w:r>
        <w:rPr>
          <w:bCs/>
        </w:rPr>
        <w:t xml:space="preserve">– </w:t>
      </w:r>
      <w:r>
        <w:t xml:space="preserve">Gausėja vaikų, turinčių įvairių sveikatos sutrikimų. Statistikos departamento prie Lietuvos Respublikos Vyriausybės duomenimis, 2005 m. bent viena liga sirgo trys ketvirtadaliai vaikų. 2005 m. iš visų patikrintų vaikų iki 16 metų visai sveikų buvo tik 43 proc., o 2000 m. šis skaičius siekė 46 proc. 2006 m. Lietuvoje buvo </w:t>
      </w:r>
      <w:r>
        <w:rPr>
          <w:color w:val="000000"/>
        </w:rPr>
        <w:t>15 667 neįgalūs vaikai, tai sudarė 2,7 proc. visų Lietuvos vaikų.</w:t>
      </w:r>
    </w:p>
    <w:p w:rsidR="00C07927" w:rsidRDefault="00C07927" w:rsidP="00C07927">
      <w:pPr>
        <w:ind w:firstLine="720"/>
        <w:jc w:val="both"/>
      </w:pPr>
      <w:r>
        <w:t>– Nepakankamas jaunimo rengimas šeimai. Mokyklose vangiai diegiamos pedagogiškai pagrįstos jaunimo rengimo šeimai programos. Dažniausiai orientuojamasi tik į šeimos prokreacinę funkciją, nepakankamai atskleidžiami atsakingos tėvystės bei motinystės principai, neugdomas mergaičių ir berniukų gebėjimas kartu svarstyti tarpusavio santykių problemas, atpažinti ir priimti jų požiūrių ir psichologinių reakcijų skirtumus.</w:t>
      </w:r>
    </w:p>
    <w:p w:rsidR="00C07927" w:rsidRDefault="00C07927" w:rsidP="00C07927">
      <w:pPr>
        <w:ind w:firstLine="720"/>
        <w:jc w:val="both"/>
      </w:pPr>
      <w:r>
        <w:t>–  Dalis paauglių per anksti pradeda lytinį gyvenimą.</w:t>
      </w:r>
      <w:r>
        <w:rPr>
          <w:iCs/>
        </w:rPr>
        <w:t xml:space="preserve"> Tai neigiamai veikia skirtingos lyties asmenų gebėjimus </w:t>
      </w:r>
      <w:r>
        <w:t>ateityje užmegzti ilgalaikius atsakomybe, pagarba ir meile grįstus tarpusavio santykius ir ryšius, būtinus visavertei šeimai sukurti ir plėtoti. Lietuvos sveikatos informacijos centro duomenimis, 2006 m. gimdymų skaičius moterų iki 18 m. amžiaus grupėje – 443 (1,5 proc. visų gimdymų), dirbtinių abortų skaičius moterų nuo 15 iki 17 m. amžiaus grupėje – 213 (2,2 proc. visų abortų skaičiaus).</w:t>
      </w:r>
    </w:p>
    <w:p w:rsidR="00C07927" w:rsidRDefault="00C07927" w:rsidP="00C07927">
      <w:pPr>
        <w:ind w:firstLine="720"/>
        <w:jc w:val="both"/>
      </w:pPr>
      <w:r>
        <w:lastRenderedPageBreak/>
        <w:t>– Tarp jaunimo sparčiai plinta žalingi įpročiai.</w:t>
      </w:r>
      <w:r>
        <w:rPr>
          <w:bCs/>
        </w:rPr>
        <w:t xml:space="preserve"> </w:t>
      </w:r>
      <w:r>
        <w:t>Atliktų tyrimų duomenimis,</w:t>
      </w:r>
      <w:r>
        <w:rPr>
          <w:bCs/>
        </w:rPr>
        <w:t xml:space="preserve"> </w:t>
      </w:r>
      <w:r>
        <w:t>19 proc. 15–17 metų vaikų globos namų auklėtinių yra bandę bent vieną iš narkotikų nors kartą gyvenime, 12 proc. – nors kartą per paskutinius 12 mėnesių, 8 proc. – per paskutines 30 dienų. 2006 m. užregistruoti 1 042 asmenys, padarę nusikalstamas veikas, susijusias su disponavimu narkotinėmis ar psichotropinėmis medžiagomis (2005 m. – 1010, 2004 m. – 869). 2006 m. užregistruota 47 nepilnamečiai asmenys, padarę nusikalstamas veikas, susijusias su neteisėta narkotikų apyvarta, (2005 m. – 46, 2004 m. – 49, 2003 m. – 37, 2002 m. – 15 asmenų).</w:t>
      </w:r>
    </w:p>
    <w:p w:rsidR="00C07927" w:rsidRDefault="00C07927" w:rsidP="00C07927">
      <w:pPr>
        <w:ind w:firstLine="720"/>
        <w:jc w:val="both"/>
      </w:pPr>
      <w:r>
        <w:t>– Nepakankamas vaikų ir jaunimo užimtumas.</w:t>
      </w:r>
      <w:r>
        <w:rPr>
          <w:bCs/>
        </w:rPr>
        <w:t xml:space="preserve"> </w:t>
      </w:r>
      <w:r>
        <w:t>Trūksta vaikų ir jaunimo užimtumo programų ir konkrečių paslaugų, dienos centrų, kitų vaikų papildomo ugdymo įstaigų; neišspręstos vaikų ir jaunimo vasaros poilsio ir užimtumo problemos.</w:t>
      </w:r>
      <w:r>
        <w:rPr>
          <w:i/>
          <w:iCs/>
        </w:rPr>
        <w:t xml:space="preserve"> </w:t>
      </w:r>
      <w:r>
        <w:t xml:space="preserve">Mokesčiai už papildomo ugdymo paslaugas mokyklose ar kitose institucijose daliai šeimų yra per sunki našta. </w:t>
      </w:r>
    </w:p>
    <w:p w:rsidR="00C07927" w:rsidRDefault="00C07927" w:rsidP="00C07927">
      <w:pPr>
        <w:ind w:firstLine="720"/>
        <w:jc w:val="both"/>
      </w:pPr>
      <w:r>
        <w:rPr>
          <w:bCs/>
        </w:rPr>
        <w:t xml:space="preserve">– </w:t>
      </w:r>
      <w:r>
        <w:t>Neigiamas viešosios informacijos poveikis nepilnamečiams.</w:t>
      </w:r>
      <w:r>
        <w:rPr>
          <w:caps/>
        </w:rPr>
        <w:t xml:space="preserve"> V</w:t>
      </w:r>
      <w:r>
        <w:t>ienas didžiausių sunkumų, su kuriais susiduria tėvai, augindami vaikus, – žemos kultūros, seksualizuotos ir smurtinės informacijos plitimas televizijoje, internete ir kitose visuomenės informavimo priemonėse. Tai daro didžiulį neigiamą poveikį vaiko asmenybės vystymuisi, jo vertybinių nuostatų formavimuisi. 2006 m. duomenimis, kriminalai, erotika ir seksas – populiariausios žiniasklaidos temos. Čia pateikiama informacija nepilnamečiams formuoja iškreiptą vertybių sistemą, nepagarbą žmogui, yra skatinama neapykanta ir agresija.</w:t>
      </w:r>
    </w:p>
    <w:p w:rsidR="00C07927" w:rsidRDefault="00C07927" w:rsidP="00C07927">
      <w:pPr>
        <w:ind w:firstLine="720"/>
        <w:jc w:val="both"/>
      </w:pPr>
      <w:r>
        <w:t>– Nepakankamas dėmesys prevenciniam, intervenciniam, postvenciniam darbui su šeima</w:t>
      </w:r>
      <w:r>
        <w:rPr>
          <w:bCs/>
        </w:rPr>
        <w:t xml:space="preserve"> </w:t>
      </w:r>
      <w:r>
        <w:t xml:space="preserve">– stinga šeimų pedagoginio, psichologinio, medicininio ir ekonominio švietimo bei konsultavimo, šeimos narių fizinės, psichinės bei dvasinės reabilitacijos paslaugų. </w:t>
      </w:r>
    </w:p>
    <w:p w:rsidR="00C07927" w:rsidRDefault="00C07927" w:rsidP="00C07927">
      <w:pPr>
        <w:ind w:firstLine="720"/>
        <w:jc w:val="both"/>
        <w:rPr>
          <w:lang w:eastAsia="lt-LT"/>
        </w:rPr>
      </w:pPr>
      <w:r>
        <w:t>– Nėra bendros koordinavimo sistemos šeimos politikos srityje.</w:t>
      </w:r>
      <w:r>
        <w:rPr>
          <w:bCs/>
        </w:rPr>
        <w:t xml:space="preserve"> </w:t>
      </w:r>
      <w:r>
        <w:t>Neatliekamas sistemingas ir išsamus šeimų padėties ir poreikių tyrimas, ne visada vadovaujamasi jau priimtomis strateginėmis nuostatomis. Nėra bendros šeimos politikos sistemos, o esančios politikos priemonės įgyvendinamos nenuosekliai ir fragmentiškai.  Išvardintos problemos daro neigiamą įtaką šeimos institutui, ir tik stipri, atsakinga šeima yra pajėgi įveikti šias problemas.</w:t>
      </w:r>
    </w:p>
    <w:p w:rsidR="00C07927" w:rsidRDefault="00C07927" w:rsidP="00C07927">
      <w:pPr>
        <w:ind w:firstLine="720"/>
        <w:jc w:val="both"/>
      </w:pPr>
      <w:r>
        <w:t xml:space="preserve">5. Lietuvos Respublikos Vyriausybė 2008 m. birželio 18 d. nutarimu Nr. </w:t>
      </w:r>
      <w:r>
        <w:rPr>
          <w:bCs/>
        </w:rPr>
        <w:t>645</w:t>
      </w:r>
      <w:r>
        <w:t xml:space="preserve"> “Dėl Valstybinės psichikos sveikatos strategijos įgyvendinimo 2008 – 2010 metų programos patvirtinimo” (Žin., 2008, Nr. 76-3014), patvirtino Valstybinę psichikos sveikatos strategijos įgyvendinimo 2008 – 2010 metų programą ir pasiūlė savivaldybėms dalyvauti įgyvendinant šią patvirtintą programą. Vyriausybė pažymėjo, kad 2004 metais Vilniaus universitete atlikti tyrimai parodė, kad psichikos sveikatos problemų turi 41,7 procento mokyklinio amžiaus vaikų; 13 procentų sutrikimų galima kliniškai diagnozuoti. Lietuvoje psichikos sveikatos priežiūros paslaugų infrastruktūra tebėra nulemta socialinės atskirties. Tai patvirtina vaikų ir suaugusiųjų, turinčių psichikos sutrikimų, gausa ilgalaikės socialinės globos įstaigose. Šios programos tikslas – Lietuvos Respublikoje sukurti tokią psichikos sveikatos priežiūros sistemą, kuri padėtų veiksmingai ir racionaliai, vadovaujantis šiuolaikinėmis mokslo žiniomis ir vertybėmis, stiprinti visuomenės psichikos sveikatą, teikti visapusišką pagalbą psichikos ir elgesio sutrikimų turintiems asmenims bei jų šeimoms. </w:t>
      </w:r>
    </w:p>
    <w:p w:rsidR="00C07927" w:rsidRDefault="00C07927" w:rsidP="00C07927">
      <w:pPr>
        <w:ind w:firstLine="720"/>
        <w:jc w:val="both"/>
      </w:pPr>
      <w:r>
        <w:rPr>
          <w:szCs w:val="14"/>
        </w:rPr>
        <w:t xml:space="preserve">6. Lietuvos Respublikos Vyriausybės 2008 m. rugpjūčio 27 d. nutarimu Nr. </w:t>
      </w:r>
      <w:r>
        <w:rPr>
          <w:bCs/>
          <w:szCs w:val="14"/>
        </w:rPr>
        <w:t>836</w:t>
      </w:r>
      <w:r>
        <w:rPr>
          <w:szCs w:val="14"/>
        </w:rPr>
        <w:t xml:space="preserve"> “Dėl Vaikų sveikatos stiprinimo 2008 – 2012 metų programos patvirtinimo” (Žin., 2008, Nr. 104-3979), patvirtintoje Programoje siekiama ugdyti vaikams sveikos gyvensenos įpročius, užtikrinti vaikų sveikatos stiprinimo prieinamumą visoje šalyje, gerinti jo kokybę, tam vienyti valstybės ir savivaldybių institucijų, mokslo ir visuomenės pastangas. N</w:t>
      </w:r>
      <w:r>
        <w:t xml:space="preserve">umatoma plėtoti vaikų psichikos sveikatos priežiūros paslaugas (ambulatorines, stacionaro, dienos stacionaro, krizių intervencijos, individualios, grupinės ir šeimos psichoterapijos), didinant šių paslaugų mastą, specializuojant stacionaro ir dienos stacionaro skyrius pagal vaikų amžių, gerinant šių paslaugų kokybę ir kuo daugiau jų perduodant bendrojo profilio medicinos (pediatrijos) įstaigoms. Siekiama sukurti specializuotas paslaugas paaugliams ir jaunuoliams: paauglių stacionaro skyrius, ilgalaikės psichosocialinės reabilitacijos (resocializacijos) paslaugas paaugliams su sunkiais elgesio ir socializacijos sutrikimais, specialias reabilitacijos paslaugas paaugliams, priklausomiems nuo alkoholio ir narkotikų. Programoje vaiko sąvoka apibrėžta taip: “vaikas – asmuo, neturintis 18 metų”. </w:t>
      </w:r>
    </w:p>
    <w:p w:rsidR="00C07927" w:rsidRDefault="00C07927" w:rsidP="00C07927">
      <w:pPr>
        <w:ind w:firstLine="720"/>
        <w:jc w:val="both"/>
      </w:pPr>
      <w:r>
        <w:t>Vaikų sveikatos stiprinimo 2008 – 2012 metų programos uždaviniai: kurti vaikų sveikatą palaikančią aplinką, pasitelkus valstybės institucijas, savivaldybes, mokyklų bendruomenes; didinti specialistų, dirbančių su vaikais, kompetenciją sveikatos stiprinimo klausimais; ugdyti vaikų sveikos gyvensenos nuostatas ir gebėjimus; tobulinti vaikų ligų ir traumų pirminės profilaktikos organizavimo kokybę; tobulinti vaikų sveikatos stiprinimo stebėseną.</w:t>
      </w:r>
    </w:p>
    <w:p w:rsidR="00C07927" w:rsidRDefault="00C07927" w:rsidP="00C07927">
      <w:pPr>
        <w:ind w:firstLine="720"/>
        <w:jc w:val="both"/>
      </w:pPr>
      <w:r>
        <w:lastRenderedPageBreak/>
        <w:t xml:space="preserve">Vaikų sveikatos stiprinimo stebėsenoje Lietuva dalyvauja įgyvendinant Pasaulio sveikatos organizacijos projektą </w:t>
      </w:r>
      <w:r>
        <w:rPr>
          <w:spacing w:val="-2"/>
        </w:rPr>
        <w:t>„Aplinkos ir sveikatos informacinės sistemos, skirtos politikai formuoti, įsteigimas“ (ENHIS2 –</w:t>
      </w:r>
      <w:r>
        <w:t xml:space="preserve"> </w:t>
      </w:r>
      <w:r>
        <w:rPr>
          <w:rStyle w:val="texttopiclead"/>
          <w:i/>
        </w:rPr>
        <w:t>European Environment and Health Information System</w:t>
      </w:r>
      <w:r>
        <w:rPr>
          <w:rStyle w:val="texttopiclead"/>
        </w:rPr>
        <w:t>)</w:t>
      </w:r>
      <w:r>
        <w:t xml:space="preserve">. Pagal šį projektą surinkti vaikų aplinkos ir sveikatos rodikliai, tačiau tolesnė jų stebėsena nacionaliniu lygmeniu nenumatyta. Lietuvoje nėra tikslios vaikų traumų ir smurto atvejų apskaitos nuo jų gimimo iki 18 metų. Stokojama vaikų ikimokyklinio ugdymo įstaigose ir mokinių lengvų nelaimingų atsitikimų, mokinių smurto atvejų apskaitos ir atskaitomybės. Mokinių traumatizmo ir smurto rodiklių sistema neįtraukta į švietimo stebėsenos rodiklių sistemą. Lietuva nuo 1994 metų dalyvauja tarptautiniame moksleivių elgsenos tyrime, kuris kartojamas kas 4 metai ir rodo moksleivių elgsenos pokyčių tendencijas. Tačiau, dėl lėšų stokos rezultatų sklaida Lietuvoje netęsiama. Iki šiol Lietuvoje neatliktas išsamesnis ikimokyklinio amžiaus vaikų mitybos tyrimas. Mokyklinio amžiaus vaikų faktiškos mitybos tyrimai Lietuvoje atlikti daugiau kaip prieš 10 metų (Respublikinis mitybos centras, 1994–1996 metai), jie rodo, kad ir miestų, ir kaimo vietovių mokyklinio amžiaus vaikų dienos maisto davinio energinė vertė atitiko nustatytuosius reikalavimus, tačiau mityba nebuvo tinkama, daugelis mokinių nesilaikė mitybos režimo. </w:t>
      </w:r>
    </w:p>
    <w:p w:rsidR="00C07927" w:rsidRDefault="00C07927" w:rsidP="00C07927">
      <w:pPr>
        <w:ind w:firstLine="720"/>
        <w:jc w:val="both"/>
      </w:pPr>
      <w:r>
        <w:t>Įgyvendinus šią programą, siekiama, kad kasmet ne mažiau kaip 10 valstybės, savivaldybių institucijų, kitų socialinių partnerių į savo veiklą įtrauktų priemones, skirtas vaikų sveikatą palaikančiai aplinkai kurti, kasmet ne mažiau kaip 10 bendrojo lavinimo mokyklų būtų pripažintos sveikatą stiprinančiomis mokyklomis.</w:t>
      </w:r>
    </w:p>
    <w:p w:rsidR="00C07927" w:rsidRDefault="00C07927" w:rsidP="00C07927">
      <w:pPr>
        <w:ind w:firstLine="720"/>
        <w:jc w:val="both"/>
      </w:pPr>
      <w:r>
        <w:t xml:space="preserve">Rengiamos mokytojų kvalifikacijos tobulinimo programos, kurių paskirtis padėti parengti specialistus, ugdyti vaikų sveikos gyvensenos įgūdžius. </w:t>
      </w:r>
    </w:p>
    <w:p w:rsidR="00C07927" w:rsidRDefault="00C07927" w:rsidP="00C07927">
      <w:pPr>
        <w:ind w:firstLine="720"/>
        <w:jc w:val="both"/>
      </w:pPr>
      <w:r>
        <w:t>Už šios programos įgyvendinimo koordinavimą atsakinga Sveikatos apsaugos ministerija.</w:t>
      </w:r>
    </w:p>
    <w:p w:rsidR="00C07927" w:rsidRDefault="00C07927" w:rsidP="00C07927">
      <w:pPr>
        <w:ind w:firstLine="720"/>
        <w:jc w:val="both"/>
        <w:rPr>
          <w:szCs w:val="14"/>
        </w:rPr>
      </w:pPr>
      <w:r>
        <w:t xml:space="preserve"> Šios programos įgyvendinimo priemones vykdančios institucijos atsiskaito Sveikatos apsaugos ministerijai – ne vėliau kaip iki kitų metų vasario 1 dienos pateikia praėjusiųjų metų priemonių vykdymo ataskaitą. Sveikatos apsaugos ministerija iki 2010 m. kovo 1 d. pateikia Lietuvos Respublikos Vyriausybei tarpinę šios programos įgyvendinimo ataskaitą, o iki 2013 m. kovo 1 d. – galutinę ataskaitą.          </w:t>
      </w:r>
    </w:p>
    <w:p w:rsidR="00C07927" w:rsidRDefault="00C07927" w:rsidP="00C07927">
      <w:pPr>
        <w:jc w:val="both"/>
      </w:pPr>
      <w:r>
        <w:tab/>
        <w:t>7. Sveikatos apsaugos ministras 2008 m. gegužės 29 d. įsakymu Nr. V-</w:t>
      </w:r>
      <w:r>
        <w:rPr>
          <w:bCs/>
        </w:rPr>
        <w:t>513</w:t>
      </w:r>
      <w:r>
        <w:t xml:space="preserve"> “Dėl Valstybinės šeimos sveikatos 2008 – 2010 metų programos patvirtinimo” (Žin., 2008, Nr. 65-2475), patvirtino Valstybinę šeimos sveikatos 2008 – 2010 metų programą, kurioje apibendrinęs situacijos analizę, nurodė, kad 2006 metais pirminės sveikatos priežiūros paslaugas teikė 370 asmens sveikatos priežiūros įstaigų, iš jų – 173 privačios.</w:t>
      </w:r>
    </w:p>
    <w:p w:rsidR="00C07927" w:rsidRDefault="00C07927" w:rsidP="00C07927">
      <w:pPr>
        <w:ind w:firstLine="720"/>
        <w:jc w:val="both"/>
      </w:pPr>
      <w:r>
        <w:t xml:space="preserve"> Valstybine šeimos sveikatos 2008 – 2010 metų programa siekiama gerinti šeimos narių sveikatą, ligų profilaktiką ir ankstyvą diagnostiką, kokybišką ir prieinamą sveikatos priežiūrą laiku visiems šeimos nariams. </w:t>
      </w:r>
    </w:p>
    <w:p w:rsidR="00C07927" w:rsidRDefault="00C07927" w:rsidP="00C07927">
      <w:pPr>
        <w:jc w:val="both"/>
      </w:pPr>
      <w:r>
        <w:t xml:space="preserve"> </w:t>
      </w:r>
      <w:r>
        <w:tab/>
        <w:t>Programos nuostatose teigiama, kad sveikatos priežiūros paslaugų teikimo šeimos nariams uždavinys – užtikrinti sveikatos priežiūros paslaugų kokybę ir prieinamumą visiems šeimos nariams ir gyvenimo kokybės gerinimą visais žmogaus amžiaus tarpsniais – nuo gimimo iki mirties, o remiantis Jungtinių Tautų Vaiko teisių konvencija – ir iki gimimo.</w:t>
      </w:r>
    </w:p>
    <w:p w:rsidR="00C07927" w:rsidRDefault="00C07927" w:rsidP="00C07927">
      <w:pPr>
        <w:ind w:firstLine="720"/>
        <w:jc w:val="both"/>
      </w:pPr>
      <w:r>
        <w:t>Įsakyme teigiama, kad šeimos gydytojai nėra tinkamai įtraukti į psichikos sveikatos priežiūrą, trūksta bendradarbiavimo tarp šeimos gydytojų ir psichikos sveikatos specialistų. Gyventojų prisirašymo prie pirminės asmens sveikatos priežiūros įstaigų tvarkoje, patvirtintoje Sveikatos apsaugos ministro 2001 m. lapkričio 9 d. įsakymu Nr. 583 (Žin., 2001, Nr. 96-3400), numatoma, kad kiekvienas asmuo gali laisvai pasirinkti arčiausiai jo gyvenamosios vietos esančią arba jam patogiau pasiekiamą pirminės asmens sveikatos priežiūros įstaigą.</w:t>
      </w:r>
    </w:p>
    <w:p w:rsidR="00C07927" w:rsidRDefault="00C07927" w:rsidP="00C07927">
      <w:pPr>
        <w:ind w:firstLine="720"/>
        <w:jc w:val="both"/>
        <w:rPr>
          <w:rFonts w:eastAsia="Arial Unicode MS"/>
          <w:szCs w:val="18"/>
        </w:rPr>
      </w:pPr>
      <w:r>
        <w:t xml:space="preserve"> Tai reiškia, kad:</w:t>
      </w:r>
    </w:p>
    <w:p w:rsidR="00C07927" w:rsidRDefault="00C07927" w:rsidP="00C07927">
      <w:pPr>
        <w:ind w:firstLine="720"/>
        <w:jc w:val="both"/>
        <w:rPr>
          <w:szCs w:val="18"/>
        </w:rPr>
      </w:pPr>
      <w:r>
        <w:t>– pas šeimos gydytoją (ar prie Pirminės sveikatos priežiūros centro) prisirašė gyventojai, nebūtinai gyvenantys šalia Pirminės sveikatos priežiūros centro įstaigos (toliau - PSP) ar toje bendruomenėje, bet ir iš atokių vietovių. Dėl to, PSP komandos aptarnaujamų gyventojų teritorinės ribos labai išsiplėtė ar tapo neaiškios, kai kada iki 50 proc. tos teritorijos gyventojų yra prisirašę prie kitų PSP komandų arba įstaigų. Neretas atvejis, kai vienos šeimos kartu gyvenantys nariai prisirašo prie skirtingų šeimos gydytojų ar PSP centrų;</w:t>
      </w:r>
    </w:p>
    <w:p w:rsidR="00C07927" w:rsidRDefault="00C07927" w:rsidP="00C07927">
      <w:pPr>
        <w:ind w:firstLine="720"/>
        <w:jc w:val="both"/>
        <w:rPr>
          <w:szCs w:val="18"/>
        </w:rPr>
      </w:pPr>
      <w:r>
        <w:t>– galima teigti, jog neliko bendruomenės aptarnavimo principo miestuose ir rajonų centruose;</w:t>
      </w:r>
    </w:p>
    <w:p w:rsidR="00C07927" w:rsidRDefault="00C07927" w:rsidP="00C07927">
      <w:pPr>
        <w:ind w:firstLine="720"/>
        <w:jc w:val="both"/>
        <w:rPr>
          <w:szCs w:val="18"/>
        </w:rPr>
      </w:pPr>
      <w:r>
        <w:t>– PSP paslaugų orientacijos į šeimos poreikius principas negali būti įgyvendinamas visavertiškai;</w:t>
      </w:r>
    </w:p>
    <w:p w:rsidR="00C07927" w:rsidRDefault="00C07927" w:rsidP="00C07927">
      <w:pPr>
        <w:ind w:firstLine="720"/>
        <w:jc w:val="both"/>
        <w:rPr>
          <w:szCs w:val="18"/>
        </w:rPr>
      </w:pPr>
      <w:r>
        <w:t>–  negalima įgyvendinti į bendruomenę orientuotų slaugos paslaugų;</w:t>
      </w:r>
    </w:p>
    <w:p w:rsidR="00C07927" w:rsidRDefault="00C07927" w:rsidP="00C07927">
      <w:pPr>
        <w:ind w:firstLine="720"/>
        <w:jc w:val="both"/>
        <w:rPr>
          <w:szCs w:val="18"/>
        </w:rPr>
      </w:pPr>
      <w:r>
        <w:lastRenderedPageBreak/>
        <w:t>– sudėtinga atlikti profilaktinę ir sveikatos mokymo veiklą bendruomenėje arba, atsižvelgiant į bendruomenės poreikius.</w:t>
      </w:r>
    </w:p>
    <w:p w:rsidR="00C07927" w:rsidRDefault="00C07927" w:rsidP="00C07927">
      <w:pPr>
        <w:ind w:firstLine="720"/>
        <w:jc w:val="both"/>
        <w:rPr>
          <w:szCs w:val="18"/>
        </w:rPr>
      </w:pPr>
      <w:r>
        <w:t>8. Pirminės sveikatos priežiūros plėtros koncepcijoje, patvirtintoje Sveikatos apsaugos ministro 2007 m. rugsėjo 5 d. įsakymu Nr. V-</w:t>
      </w:r>
      <w:r>
        <w:rPr>
          <w:bCs/>
        </w:rPr>
        <w:t>717</w:t>
      </w:r>
      <w:r>
        <w:t xml:space="preserve"> (Žin., 2007, Nr. 96- 3897), vienas iš uždavinių numato plėtoti privačią pirminės asmens sveikatos priežiūros veiklą, siekti, kad šeimos gydytojai patys steigtų kabinetus ir centrus, tam numatyti patalpų bei įrangos įsigijimo lengvatų, t. y. siekti, kad šeimos gydytojams, užsiimantiems privačia pirminės asmens sveikatos priežiūros veikla, savivaldybės leistų naudotis patalpomis panaudos principu. 2006 metų duomenimis, buvo 197 privačios asmens sveikatos priežiūros įstaigos, sudariusios sutartis su teritorinėmis ligonių kasomis.</w:t>
      </w:r>
    </w:p>
    <w:p w:rsidR="00C07927" w:rsidRDefault="00C07927" w:rsidP="00C07927">
      <w:pPr>
        <w:jc w:val="both"/>
      </w:pPr>
      <w:r>
        <w:t>Lietuvos Respublikos Švietimo ir mokslo ministras 2004 m. rugsėjo 17 d. įsakymu Nr. ISAK–1462 “Dėl teisės pažeidimų, mokyklos nelankymo, narkotinių ir psichotropinių medžiagų vartojimo, ŽIV/AIDS, smurto ir nusikalstamumo prevencijos” (Žin.,2004, Nr.145–5281; 2007, Nr. 138-5677), patvirtino įsakymą, kuris taikomas visų grupių ir tipų mokykloms neatsižvelgiant į jų pavaldumą ir nuosavybės formas.</w:t>
      </w:r>
    </w:p>
    <w:p w:rsidR="00C07927" w:rsidRDefault="00C07927" w:rsidP="00C07927">
      <w:pPr>
        <w:ind w:firstLine="720"/>
        <w:jc w:val="both"/>
      </w:pPr>
      <w:r>
        <w:t>Minėtame įsakyme nustatyta, kad:</w:t>
      </w:r>
    </w:p>
    <w:p w:rsidR="00C07927" w:rsidRDefault="00C07927" w:rsidP="00C07927">
      <w:pPr>
        <w:ind w:firstLine="720"/>
        <w:jc w:val="both"/>
        <w:rPr>
          <w:szCs w:val="22"/>
        </w:rPr>
      </w:pPr>
      <w:r>
        <w:t xml:space="preserve">– mokyklų vadovai </w:t>
      </w:r>
      <w:r>
        <w:rPr>
          <w:szCs w:val="22"/>
        </w:rPr>
        <w:t>teikia mokyklos steigėjui ataskaitą ir siūlymus dėl mokyklos nelankymo, alkoholio, tabako ir kitų psichiką veikiančių medžiagų vartojimo, ŽIV/AIDS, smurto, teisės pažeidimų prevencijos, mokinių užimtumo gerinimo;</w:t>
      </w:r>
    </w:p>
    <w:p w:rsidR="00C07927" w:rsidRDefault="00C07927" w:rsidP="00C07927">
      <w:pPr>
        <w:ind w:firstLine="720"/>
        <w:jc w:val="both"/>
      </w:pPr>
      <w:r>
        <w:t>– informuoja mokyklos bendruomenę apie pagalbos mokiniui, mokytojui ir mokyklai teikiančių institucijų, policijos, Vaiko teisių apsaugos tarnybos, Pedagoginės psichologinės tarnybos, Psichikos sveikatos centro, Priklausomybės ligų centro, Lietuvos AIDS centro bei organizacijų, dirbančių teisės pažeidimų, mokyklos nelankymo, smurto, prievartos, savižudybių, ŽIV/AIDS prevencijos srityse, adresus ir telefonus;</w:t>
      </w:r>
    </w:p>
    <w:p w:rsidR="00C07927" w:rsidRDefault="00C07927" w:rsidP="00C07927">
      <w:pPr>
        <w:ind w:firstLine="720"/>
        <w:jc w:val="both"/>
      </w:pPr>
      <w:r>
        <w:t>– integruoja į mokyklos ugdymo turinį mokytojų, socialinių pedagogų, psichologų, visuomenės sveikatos specialistų, klasės auklėtojų organizuojamą Narkotinių medžiagų, alkoholio bei tabako vartojimo prevencijos kursą apie narkotinių medžiagų, alkoholio bei tabako žalą žmogaus sveikatai bei visuomenei, siekdami ugdyti mokinių gyvenimo įgūdžius, atsparumą žalingiems įpročiams, plėtodami darbą su šeima;</w:t>
      </w:r>
    </w:p>
    <w:p w:rsidR="00C07927" w:rsidRDefault="00C07927" w:rsidP="00C07927">
      <w:pPr>
        <w:ind w:firstLine="720"/>
        <w:jc w:val="both"/>
      </w:pPr>
      <w:r>
        <w:t>– sudaro sąlygas tobulinti administracijos, mokytojų, psichologų, socialinių pedagogų, klasių auklėtojų ir kitų asmenų, dirbančių su vaikais, kvalifikaciją narkotinių medžiagų vartojimo, ŽIV/AIDS, smurto, prievartos, savižudybių, nuskalstamumo ir kitais prevencinio darbo klausimais;</w:t>
      </w:r>
    </w:p>
    <w:p w:rsidR="00C07927" w:rsidRDefault="00C07927" w:rsidP="00C07927">
      <w:pPr>
        <w:ind w:firstLine="720"/>
        <w:jc w:val="both"/>
        <w:rPr>
          <w:szCs w:val="18"/>
        </w:rPr>
      </w:pPr>
      <w:r>
        <w:t xml:space="preserve">– </w:t>
      </w:r>
      <w:r>
        <w:rPr>
          <w:szCs w:val="18"/>
        </w:rPr>
        <w:t>užtikrina, kad narkomanijos, ŽIV/AIDS, prievartos, smurto, nusikalstamumo ir kitoms prevencinėms programoms įgyvendinti būtų naudojama Švietimo ir mokslo ministerijos rekomenduota literatūra ir vaizdinės priemonės;</w:t>
      </w:r>
    </w:p>
    <w:p w:rsidR="00C07927" w:rsidRDefault="00C07927" w:rsidP="00C07927">
      <w:pPr>
        <w:ind w:firstLine="720"/>
        <w:jc w:val="both"/>
      </w:pPr>
      <w:r>
        <w:t>– sustiprina Tabako kontrolės įstatymo (Žin., 1996, Nr.11-281; 2003, Nr.117-5317), Alkoholio kontrolės įstatymo (Žin., 1995, Nr.44-1073; 2004, Nr.47-1548), Narkotinių ir psichotropinių medžiagų kontrolės įstatymo (Žin., 1998, Nr.8-161) laikymąsi mokyklose, kad mokiniai, pedagogai ir kiti asmenys nevartotų ir neplatintų tabako, alkoholio, narkotinių bei psichotropinių medžiagų;</w:t>
      </w:r>
    </w:p>
    <w:p w:rsidR="00C07927" w:rsidRDefault="00C07927" w:rsidP="00C07927">
      <w:pPr>
        <w:ind w:firstLine="720"/>
        <w:jc w:val="both"/>
      </w:pPr>
      <w:r>
        <w:t>– sudaro sąlygas mokinių atostogų metu naudotis mokyklų baze vietos bendruomenės vaikams, ypatingą dėmesį skiria probleminių ir socialiai remtinų šeimų vaikams.</w:t>
      </w:r>
    </w:p>
    <w:p w:rsidR="00C07927" w:rsidRDefault="00C07927" w:rsidP="00C07927">
      <w:pPr>
        <w:jc w:val="both"/>
      </w:pPr>
      <w:r>
        <w:t>Savivaldybių administracijos:</w:t>
      </w:r>
    </w:p>
    <w:p w:rsidR="00C07927" w:rsidRDefault="00C07927" w:rsidP="00C07927">
      <w:pPr>
        <w:ind w:firstLine="720"/>
        <w:jc w:val="both"/>
      </w:pPr>
      <w:r>
        <w:t>–  įgyvendina priemones, kurios padėtų užtikrinti vaiko teisę į mokslą ir sugrąžintų į mokyklą jos nelankančius vaikus;</w:t>
      </w:r>
    </w:p>
    <w:p w:rsidR="00C07927" w:rsidRDefault="00C07927" w:rsidP="00C07927">
      <w:pPr>
        <w:ind w:firstLine="720"/>
        <w:jc w:val="both"/>
      </w:pPr>
      <w:r>
        <w:t xml:space="preserve"> –  kasmet iki spalio 25 d. teikia Švietimo ir mokslo ministerijai ataskaitas apie mokyklų vykdomas priemones narkotinių medžiagų vartojimo, ŽIV/AIDS, prievartos, smurto, nusikalstamumo prevencijos klausimais bei siūlymus prevenciniam darbui gerinti pagal Švietimo ir mokslo ministerijos parengtas rekomendacijas; organizuoja mokytojams, socialiniams pedagogams, psichologams, visuomenės sveikatos specialistams, klasės auklėtojams kvalifikacijos kėlimą narkotinių medžiagų, alkoholio bei tabako vartojimo, smurto, savižudybių ir kitais prevencinio darbo klausimais.</w:t>
      </w:r>
    </w:p>
    <w:p w:rsidR="00C07927" w:rsidRDefault="00C07927" w:rsidP="00C07927">
      <w:pPr>
        <w:ind w:firstLine="720"/>
        <w:jc w:val="both"/>
      </w:pPr>
      <w:r>
        <w:t xml:space="preserve">9. Lietuvos Respublikos Vyriausybė 2005 m. gegužės 17 d. nutarimu Nr. </w:t>
      </w:r>
      <w:r>
        <w:rPr>
          <w:bCs/>
        </w:rPr>
        <w:t xml:space="preserve">537 </w:t>
      </w:r>
      <w:r>
        <w:t xml:space="preserve">“Dėl Vaikų, vartojančių psichiką veikiančias medžiagas, medicininės, psichologinės, socialinės reabilitacijos paslaugų teikimo koncepcijos patvirtinimo” (Žin., 2005, Nr. 64-2285), patvirtino Vaikų, vartojančių psichiką veikiančias medžiagas, medicininės, psichologinės, socialinės reabilitacijos paslaugų teikimo koncepciją, kurios tikslas – padėti vaikams atgauti sveikatą, įveikti psichologinę, fizinę priklausomybę nuo psichiką veikiančių medžiagų ir integruotis į visuomenę; siekti teikiamų medicininių, psichologinių, socialinių reabilitacijos paslaugų kokybės, prieinamumo, tęstinumo visiems vaikams, </w:t>
      </w:r>
      <w:r>
        <w:lastRenderedPageBreak/>
        <w:t>racionaliai naudojant finansinius ir žmogiškuosius išteklius. Šioje koncepcijoje pabrėžiama ankstyvoji intervencija, kurios tikslas – skatinti vaikus nevartoti psichiką veikiančių medžiagų. Siekiama anksti nustatyti vaikus, vartojančius psichiką veikiančias medžiagas, ištirti jų sveikatos ir socialinę būklę, numatyti ir įgyvendinti pagalbos priemones.</w:t>
      </w:r>
    </w:p>
    <w:p w:rsidR="00C07927" w:rsidRDefault="00C07927" w:rsidP="00C07927">
      <w:pPr>
        <w:ind w:firstLine="720"/>
        <w:jc w:val="both"/>
      </w:pPr>
      <w:r>
        <w:t xml:space="preserve">10. Lietuvos Respublikos Vyriausybė 2002 m. balandžio 2 d. nutarimu Nr. </w:t>
      </w:r>
      <w:r>
        <w:rPr>
          <w:bCs/>
        </w:rPr>
        <w:t>437</w:t>
      </w:r>
      <w:r>
        <w:t xml:space="preserve"> “Dėl Ankstyvo vaikų (moksleivių) psichiką veikiančių medžiagų vartojimo nustatymo tvarkos patvirtinimo” (Žin., 2002, Nr. 35-1305; 2007, Nr. 107-4379), patvirtino  Ankstyvo vaikų (moksleivių) psichiką veikiančių medžiagų vartojimo nustatymo tvarką, kuri reglamentuoja vaikų, vartojančių narkotines, psichotropines, kitas psichiką veikiančias medžiagas, nustatymo organizavimą pradinėse pagrindinėse, vidurinėse, profesinėse mokyklose, vaikų globos įstaigose ir viešosiose vietose. </w:t>
      </w:r>
    </w:p>
    <w:p w:rsidR="00C07927" w:rsidRDefault="00C07927" w:rsidP="00C07927">
      <w:pPr>
        <w:ind w:firstLine="720"/>
        <w:jc w:val="both"/>
      </w:pPr>
      <w:r>
        <w:t xml:space="preserve">11. Lietuvos Respublikos Sveikatos apsaugos ministras 2005 m. kovo 22 d. įsakymu Nr. </w:t>
      </w:r>
      <w:r>
        <w:rPr>
          <w:bCs/>
        </w:rPr>
        <w:t>V-182</w:t>
      </w:r>
      <w:r>
        <w:t xml:space="preserve"> “Dėl 2005-2008 metų priklausomybės ligų gydymo programos patvirtinimo” (Žin., 2005, Nr. 43-1380), patvirtino 2005-2008 metų priklausomybės ligų gydymo programą, kurioje apibendrino bendrą esamą situaciją ir nurodė,  kad, priklausomybės ligos pagal Tarptautinę statistinę ligų ir sveikatos problemų klasifikaciją priskiriamos psichikos ir elgesio sutrikimams (TLK-10, F10–F19). Priklausomybės ligų gydymą ir priežiūrą atlieka gydytojai psichiatrai, šeimos gydytojai, sveikatos priežiūros įstaigų psichologai, socialiniai darbuotojai ir slaugos specialistai. Priklausomybės ligomis sergantiems pacientams ambulatorinė ir stacionarinė pagalba pagal jiems sudarytą individualią gydymo ir reabilitacijos programą teikiama priklausomybės ligų centruose (5 specializuoti priklausomybės ligų centrai: Vilniaus, Klaipėdos, Šiaulių, Panevėžio, Kauno), psichiatrijos ligoninėse ir specializuotose medicininės reabilitacijos įstaigose (šiuo metu yra tik du medicininės ir socialinės reabilitacijos padaliniai, finansuojami biudžeto lėšomis ir turintys licenciją teikti sveikatos priežiūros paslaugas: Vilniaus priklausomybės ligų centro Reabilitacijos skyrius (12 vietų) ir Lietuvos AIDS centro narkomanų socialinės psichologijos bendruomenė (13 vietų). Priklausomybės ligomis sergantiems pacientams ambulatorinė pagalba teikiama ir psichikos sveikatos centruose (Lietuvoje veikia 64 psichikos sveikatos centrai). Būtinoji (skubi) pagalba teikiama pacientams, kai juos ištinka koma ar apsinuodijus narkotinėmis, kitomis psichotropinėmis medžiagomis, taip pat esant abstinencijos būklei, psichozinei simptomatikai. Tokie asmenys guldomi į asmens sveikatos priežiūros įstaigose esančius reanimacijos skyrius ir/ar toksikologijos skyrius. Greita detoksikacija asmenims, vartojantiems narkotikus, taikoma ligoninių toksikologijos skyriuose, priklausomybės ligų centruose bei privačiose toksikologijos klinikose. Ambulatoriniam gydymui medikamentai iš Privalomojo sveikatos draudimo fondo (toliau – PSDF) lėšų nekompensuojami. Priklausomybės ligų centrams biudžetinio finansavimo nepakanka visoms numatytoms funkcijoms vykdyti. Ne visi asmenys, priklausomi nuo alkoholio ar narkotikų, net esant indikacijoms gali gauti ambulatorinio gydymo paslaugas. Priklausomybės ligų centrai dėl nepakankamo finansavimo ir prastos materialinės bazės negali atlikti pagal nuostatus priskirtų funkcijų. Apskričių priklausomybės ligų centrai rajonų pirminės sveikatos priežiūros, psichikos sveikatos centrams teikia tik minimalią metodinę pagalbą dėl priklausomybės ligų diagnostikos ir gydymo. Dėl finansų stokos negali užtikrinti visavertės profilaktikos, gydymo ir medicininės reabilitacijos. Siekiant pagerinti medicinos paslaugų prieinamumą sergantiesiems priklausomybės ligomis ir priklausomybės ligų centrų infrastruktūrą, 2003 m. buvo parengta ir 2003 m. rugsėjo 23 d. Privalomojo sveikatos draudimo tarybos nutarimu Nr. 6/7 patvirtinta Lietuvos Respublikos sveikatos apsaugos ministro 2003 m. spalio 20 d. įsakymu Nr. V-614 Medicininių paslaugų sergantiesiems priklausomybės ligomis prieinamumo bei gerinimo 2003–2004 m. programa. Siekiant įgyvendinti priklausomybės ligų profilaktiką, Lietuvos Respublikos Seimo 2004 m. balandžio 8 d. nutarimu Nr. IX -2110 patvirtinta ir vykdoma Nacionalinė narkotikų kontrolės ir narkomanijos prevencijos 2004–2008 metų programa (Žin., 2004, Nr.140-5114). Lietuvos Respublikos Vyriausybės 2003 m. spalio 14 d. nutarimu Nr.1273 patvirtinta ŽIV/AIDS profilaktikos ir kontrolės programa, kurioje numatytos ŽIV/AIDS prevencijos priemonės asmenims, vartojantiems narkotines medžiagas.</w:t>
      </w:r>
    </w:p>
    <w:p w:rsidR="00C07927" w:rsidRDefault="00C07927" w:rsidP="00C07927">
      <w:pPr>
        <w:jc w:val="both"/>
      </w:pPr>
      <w:r>
        <w:t xml:space="preserve"> </w:t>
      </w:r>
      <w:r>
        <w:tab/>
        <w:t xml:space="preserve">Programos tikslas - įgyvendinant Lietuvos Respublikos Vyriausybės programoje numatytus tikslus sveikatos apsaugos srityje, stiprinti psichikos sveikatą, vykdant priklausomybės ligų sveikatos priežiūrą, gerinti specializuotų paslaugų prieinamumą, organizuoti ir plėtoti ankstyvą priklausomybės ligų diagnostiką, teikti kokybiškas medicinines, psichologines paslaugas tiek vaikams ir paaugliams, sergantiems priklausomybės ligomis, tiek suaugusiesiems, sergantiems žmogaus imunodeficito virusu (ŽIV) ir sukėlėjo nešiotojams bei tuberkulioze, nėščioms moterims, moterims, </w:t>
      </w:r>
      <w:r>
        <w:lastRenderedPageBreak/>
        <w:t>turinčioms mažamečių vaikų, socialinės atskirties grupių atstovams, ir mažinti jų socialinę atskirtį, gerinti šių pacientų reabilitaciją ir integraciją į bendruomenę.</w:t>
      </w:r>
    </w:p>
    <w:p w:rsidR="00C07927" w:rsidRDefault="00C07927" w:rsidP="00C07927">
      <w:pPr>
        <w:ind w:firstLine="720"/>
        <w:jc w:val="both"/>
      </w:pPr>
      <w:r>
        <w:t>Buvo numatyti šios Programos 2005 – 2008 metais laukiami rezultatai:</w:t>
      </w:r>
    </w:p>
    <w:p w:rsidR="00C07927" w:rsidRDefault="00C07927" w:rsidP="00C07927">
      <w:pPr>
        <w:ind w:firstLine="720"/>
        <w:jc w:val="both"/>
      </w:pPr>
      <w:r>
        <w:t>– Asmenims, kurie kreipiasi į priklausomybės ligų centrus, sergantiems priklausomybės ligomis ir apdraustiems PSDF lėšomis, iš šios Programos lėšų bus pagerintas reikiamų medicininių paslaugų prieinamumas ir kokybė.</w:t>
      </w:r>
    </w:p>
    <w:p w:rsidR="00C07927" w:rsidRDefault="00C07927" w:rsidP="00C07927">
      <w:pPr>
        <w:ind w:firstLine="720"/>
        <w:jc w:val="both"/>
      </w:pPr>
      <w:r>
        <w:t>– Siekiant užtikrinti priklausomybės ligų centruose teikiamų medicininių paslaugų kokybę ir efektyvų lėšų panaudojimą, besikreipiantiems ir gydytiems pacientams bus taikoma pacientų gydymo rezultatų stebėsena, kurios pagrindiniai rodikliai – pasiektų ilgalaikių remisijų skaičius, naujai išaiškintų pacientų skaičius, kiek asmenų, vartojančių alkoholį ir narkotikus, išrašyti iš įskaitos.</w:t>
      </w:r>
    </w:p>
    <w:p w:rsidR="00C07927" w:rsidRDefault="00C07927" w:rsidP="00C07927">
      <w:pPr>
        <w:ind w:firstLine="720"/>
        <w:jc w:val="both"/>
      </w:pPr>
      <w:r>
        <w:t>– Pagerinus paslaugų prieinamumą, priklausomybės ligų centruose nuolat didės asmenų, gydytų dėl abstinencijos ir priklausomybės sindromo stacionare ir ambulatoriškai, skaičius.</w:t>
      </w:r>
    </w:p>
    <w:p w:rsidR="00C07927" w:rsidRDefault="00C07927" w:rsidP="00C07927">
      <w:pPr>
        <w:ind w:firstLine="720"/>
        <w:jc w:val="both"/>
      </w:pPr>
      <w:r>
        <w:t>– Siekiant išaiškinti naujus atvejus, užtikrinti gydymo tęstinumą, priklausomybės ligų centrai: daugiau pacientų gydys bendradarbiaudami su psichikos sveikatos centrais, darbo biržomis, nevyriausybinėmis organizacijomis; bus suteikta daugiau informacijos bendruomenėms apie priklausomybės ligų gydymo galimybes, mažės sergančiųjų priklausomybės ligomis stigmatizacija, daugės besikreipiančiųjų medicinos pagalbos.</w:t>
      </w:r>
    </w:p>
    <w:p w:rsidR="00C07927" w:rsidRDefault="00C07927" w:rsidP="00C07927">
      <w:pPr>
        <w:ind w:firstLine="720"/>
        <w:jc w:val="both"/>
      </w:pPr>
      <w:r>
        <w:t>–  Programa sudarys prielaidas palaipsniui gerinti kitus šalies sveikatos rodiklius: plečiant asmenų, priklausomų nuo alkoholio, gydymą ir reabilitaciją, bus sudarytos prielaidos mažėti alkoholinių psichozių, apsinuodijimų alkoholiu, nelaimingų atsitikimų ir savižudybių skaičiui; pagerinus gydymo prieinamumą asmenims, priklausomiems nuo narkotinių medžiagų, bus sudarytos prielaidos plėtoti infekcinių ligų (ŽIV/AIDS, hepatitų B ir C) bei mirčių nuo narkotikų perdozavimo profilaktiką, gerinti šių asmenų integraciją į visuomenę, mažinti socialinę atskirtį.</w:t>
      </w:r>
    </w:p>
    <w:p w:rsidR="00C07927" w:rsidRDefault="00C07927" w:rsidP="00C07927">
      <w:pPr>
        <w:ind w:firstLine="720"/>
        <w:jc w:val="both"/>
      </w:pPr>
      <w:r>
        <w:t xml:space="preserve">Už programos priemonių įgyvendinimą atsakingi priklausomybių ligų centrų vadovai, 2005-2008 metais šios Programos įgyvendinimo vieta - Vilniaus m. priklausomybės ligų centras, vadovas E. Subata, Kauno aps. priklausomybės ligų centras, vadovas T. Zikaras, Klaipėdos aps. priklausomybės ligų centras, vadovas A. Slatvickis, Šiaulių aps. priklausomybės ligų centras, vadovas E. Pr. Zevertas, Panevėžio aps. priklausomybės ligų centras, vadovė V. Kuzminskienė. </w:t>
      </w:r>
    </w:p>
    <w:p w:rsidR="00C07927" w:rsidRDefault="00C07927" w:rsidP="00C07927">
      <w:pPr>
        <w:ind w:firstLine="720"/>
        <w:jc w:val="both"/>
      </w:pPr>
      <w:r>
        <w:t xml:space="preserve">12. Sveikatos apsaugos ministras 2007 m. rugpjūčio 6 d. įsakymu Nr. </w:t>
      </w:r>
      <w:r>
        <w:rPr>
          <w:bCs/>
        </w:rPr>
        <w:t>V-652</w:t>
      </w:r>
      <w:r>
        <w:t xml:space="preserve"> “Dėl Lietuvos Respublikos sveikatos apsaugos ministro 2002 m. gegužės 3 d. įsakymo Nr. 204 “Dėl priklausomybės ligų gydymo ir reabilitacijos standartų patvirtinimo” pakeitimo” (Žin., 2007, Nr. 90-3586), trumpalaikės ar ilgalaikės opioidinės abstinencijos detoksikacijos paslaugą  metadonu,  papildė “ar buprenorfinu”,  nurodydamas, kad asmenų iki 18 metų, vyresnių nei 15 metų, abstinencijos būklei gydyti skiriamas tik buprenorfinas.</w:t>
      </w:r>
    </w:p>
    <w:p w:rsidR="00C07927" w:rsidRDefault="00C07927" w:rsidP="00C07927">
      <w:pPr>
        <w:ind w:firstLine="720"/>
        <w:jc w:val="both"/>
      </w:pPr>
      <w:r>
        <w:t xml:space="preserve">13. Lietuvos Respublikos Sveikatos apsaugos ministras 2008 m. gruodžio 31 d. įsakymu Nr. </w:t>
      </w:r>
      <w:r>
        <w:rPr>
          <w:bCs/>
        </w:rPr>
        <w:t>V-1288</w:t>
      </w:r>
      <w:r>
        <w:t xml:space="preserve"> “Dėl 2009-2012 metų priklausomybės ligų gydymo programos patvirtinimo”, patvirtino 2009 - 2012 metų priklausomybės ligų gydymo programą, kurioje numatė vaikams, sergantiems priklausomybės ligomis, užtikrinti gydymo paslaugų teikimą, vadovaujantis Sveikatos apsaugos ministro 2002 m. gegužės 3 d. įsakymu Nr. 204 “Dėl priklausomybės ligų gydymo ir reabilitacijos standartų patvirtinimo”, ir jį papildžiusiu Sveikatos apsaugos ministro 2007 m. rugpjūčio 6 d. įsakymu Nr. V-652 “Dėl Lietuvos Respublikos sveikatos apsaugos ministro 2002 m. gegužės 3 d. įsakymo Nr. 204 “Dėl priklausomybės ligų gydymo ir reabilitacijos standartų patvirtinimo” pakeitimo” (Žin., 2007, Nr. 90-3586), pagal patvirtintus Priklausomybės ligų gydymo ir reabilitacijos standartus bei  pirminio ir antrinio lygio paslaugas.</w:t>
      </w:r>
    </w:p>
    <w:p w:rsidR="00C07927" w:rsidRDefault="00C07927" w:rsidP="00C07927">
      <w:pPr>
        <w:ind w:firstLine="720"/>
        <w:jc w:val="both"/>
      </w:pPr>
      <w:r>
        <w:t>Sveikatos apsaugos ministro 2002 m. gegužės 3 d. įsakyme Nr</w:t>
      </w:r>
      <w:r>
        <w:rPr>
          <w:bCs/>
        </w:rPr>
        <w:t>. 204 “</w:t>
      </w:r>
      <w:r>
        <w:t xml:space="preserve">Dėl priklausomybės ligų gydymo ir reabilitacijos standartų patvirtinimo” patvirtintoje “Priklausomybės ligų gydymo ir reabilitacijos standartai. Pirminio lygio paslaugos” 10 paslaugų punkte “Trumpalaikė opioidinės abstinencijos detoksikacija metadonu ar buprenorfinu” patvirtinta priemonė: Asmenų iki 18 metų, vyresnių nei 15 metų, abstinencijos būklei gydyti skiriamas tik buprenorfinas. Paciento būklės stabilizavimas adekvačiomis metadono hidrochlorido ar buprenorfino dozėmis ir laipsniškas jų mažinimas (iki nulio) pagal individualią schemą. Gydymas analgetikais (pvz., tramadoliu  ir kt.). Minėta priemonė taikoma iki 3 mėn. </w:t>
      </w:r>
    </w:p>
    <w:p w:rsidR="00C07927" w:rsidRDefault="00C07927" w:rsidP="00C07927">
      <w:pPr>
        <w:ind w:firstLine="720"/>
        <w:jc w:val="both"/>
      </w:pPr>
      <w:r>
        <w:t xml:space="preserve">Paslaugų punkte Nr. 11 “Ilgalaikė opioidinės abstinencijos detoksikacija metadonu ar buprenorfinu” patvirtinta priemonė: Asmenų iki 18 metų, vyresnių nei 15 metų, abstinencijos būklei gydyti skiriamas tik buprenorfinas. Paciento būklės stabilizavimas adekvačiomis metadono </w:t>
      </w:r>
      <w:r>
        <w:lastRenderedPageBreak/>
        <w:t xml:space="preserve">hidrochlorido ar buprenorfino dozėmis ir laipsniškas jų mažinimas (iki nulio) pagal individualią schemą. Gydymas analgetikais (pvz., tramadoliu  ir kt.). Minėta priemonė taikoma iki 6 mėn. </w:t>
      </w:r>
    </w:p>
    <w:p w:rsidR="00C07927" w:rsidRDefault="00C07927" w:rsidP="00C07927">
      <w:pPr>
        <w:jc w:val="both"/>
      </w:pPr>
      <w:r>
        <w:t xml:space="preserve"> </w:t>
      </w:r>
      <w:r>
        <w:tab/>
        <w:t>Paslaugų punkte Nr. 12 “Benzodiazepinų abstinencijos detoksikacija” patvirtinta priemonė: Paciento būklės stabilizavimas adekvačiomis benzodiazepinų grupės vaistų dozėmis ir laipsniškas mažinimas (iki nulio) pagal individualią schemą. Gydymas kitais neuroleptikais  ir kt. Priemonė taikoma visiems vaikams,  priemonės trukmė 12-18 mėn.</w:t>
      </w:r>
    </w:p>
    <w:p w:rsidR="00C07927" w:rsidRDefault="00C07927" w:rsidP="00C07927">
      <w:pPr>
        <w:ind w:firstLine="720"/>
        <w:jc w:val="both"/>
      </w:pPr>
      <w:r>
        <w:t xml:space="preserve">Paslaugų punkte Nr. 17 “Priklausomybės nuo opioidų palaikomasis gydymas metadonu ar buprenorfinu (substitucinė terapija)” patvirtinta priemonė: Asmenų iki 18 metų, vyresnių nei 15 metų, pakaitiniam palaikomajam gydymui naudojamas tik buprenorfinas, kuris skiriamas tik ypatingais atvejais (ŽIV, tuberkuliozės, kitų sunkių infekcinių, psichikos ir somatinių susirgimų, nėštumo), kai neefektyvūs kiti gydymo metodai, priemonė taikoma ne mažiau kaip 1 metus. </w:t>
      </w:r>
    </w:p>
    <w:p w:rsidR="00C07927" w:rsidRDefault="00C07927" w:rsidP="00C07927">
      <w:pPr>
        <w:ind w:firstLine="720"/>
        <w:jc w:val="both"/>
      </w:pPr>
      <w:r>
        <w:t xml:space="preserve">Kituose paslaugų punktuose, Priklausomybės nuo alkoholio palaikomasis gydymas, numatytas neišskiriant vaikų  amžiaus.   </w:t>
      </w:r>
    </w:p>
    <w:p w:rsidR="00C07927" w:rsidRDefault="00C07927" w:rsidP="00C07927">
      <w:pPr>
        <w:ind w:firstLine="720"/>
        <w:jc w:val="both"/>
      </w:pPr>
      <w:r>
        <w:t>Be to, šiose pirminio lygio paslaugose numatyta disulfiramo implantacija į raumenis arba poodį, neišskiriant amžiaus.</w:t>
      </w:r>
    </w:p>
    <w:p w:rsidR="00C07927" w:rsidRDefault="00C07927" w:rsidP="00C07927">
      <w:pPr>
        <w:ind w:firstLine="720"/>
        <w:jc w:val="both"/>
      </w:pPr>
      <w:r>
        <w:t>Analogiškos priemonės metadonu ar buprenorfinu taikomos Antrinio lygio paslaugų 9, 10, 11, 18 punktuose.</w:t>
      </w:r>
    </w:p>
    <w:p w:rsidR="00C07927" w:rsidRDefault="00C07927" w:rsidP="00C07927">
      <w:pPr>
        <w:ind w:firstLine="720"/>
        <w:jc w:val="both"/>
      </w:pPr>
      <w:r>
        <w:t xml:space="preserve">Seimo Narkomanijos ir alkoholizmo prevencijos komisija, atkreipdama Sveikatos apsaugos ministro dėmesį 2009 m. sausio 28 d. raštu Nr.S-2009-1004 “Dėl Lietuvos Respublikos Sveikatos apsaugos ministro 2008 m. gruodžio 31 d. įsakymo Nr. V-1288 pakeitimo”,  kreipėsi į Sveikatos apsaugos ministrą (kopija išsiųsta Socialinės apsaugos ir darbo ministrui Rimantui Dagiui), prašydama panaikinti Sveikatos apsaugos ministro 2008 m. gruodžio 31 d. įsakymo Nr. V-1288 “Dėl 2009-2012 metų priklausomybės ligų gydymo programos patvirtinimo”  21 punkto 2 papunkčio 21.2.1. punktą, 21 punkto 4 papunktį, 26 punkto 26.1. papunktį, 27 punktą, 38 punkto 1 papunktį,  38 punkto 3 papunktį, 45 punktą, kad nebūtų padaryta esminė žala vaiko gerovei, ir išbraukti 26 punkto 2 papunkčio 26.2.2. punkte žodžius „metadono hidrochloridas“, 38 punkto 3 papunktyje – žodžius „metadono hidrochloridu“,  38 punkto 4 papunktyje – žodžius „metadono hidrochloridu“, kaip galimai proteguojančius vieną medikamentą.   </w:t>
      </w:r>
    </w:p>
    <w:p w:rsidR="00C07927" w:rsidRDefault="00C07927" w:rsidP="00C07927">
      <w:pPr>
        <w:jc w:val="both"/>
      </w:pPr>
      <w:r>
        <w:tab/>
        <w:t>Seimo Narkomanijos ir alkoholizmo prevencijos komisija, atkreipdama Sveikatos apsaugos ministro dėmesį, kad tvirtinant 2009 – 2012 metų priklausomybės ligų gydymo programą, nepaskelbti 2005 – 2008 metų priklausomybės ligų programos pasiekti rodikliai:</w:t>
      </w:r>
    </w:p>
    <w:p w:rsidR="00C07927" w:rsidRDefault="00C07927" w:rsidP="00C07927">
      <w:pPr>
        <w:ind w:firstLine="720"/>
        <w:jc w:val="both"/>
        <w:rPr>
          <w:szCs w:val="22"/>
        </w:rPr>
      </w:pPr>
      <w:r>
        <w:t xml:space="preserve"> – dėl </w:t>
      </w:r>
      <w:r>
        <w:rPr>
          <w:szCs w:val="22"/>
        </w:rPr>
        <w:t xml:space="preserve">naujai išaiškintų pacientų (tame tarpe vaikų) skaičiaus, pasiektų ilgalaikių remisijų (tame tarpe vaikų) skaičiaus, kiek asmenų (vaikų), vartojančių alkoholį ir narkotikus, išrašyti iš įskaitos, kiek vaikų gavo šias paslaugas; </w:t>
      </w:r>
    </w:p>
    <w:p w:rsidR="00C07927" w:rsidRDefault="00C07927" w:rsidP="00C07927">
      <w:pPr>
        <w:ind w:firstLine="720"/>
        <w:jc w:val="both"/>
        <w:rPr>
          <w:szCs w:val="22"/>
        </w:rPr>
      </w:pPr>
      <w:r>
        <w:rPr>
          <w:szCs w:val="22"/>
        </w:rPr>
        <w:t>– kiek pagerinus paslaugų prieinamumą, priklausomybės ligų centruose nuolat padidėjo asmenų (tame tarpe vaikų), gydytų dėl abstinencijos ir priklausomybės sindromo stacionare ir ambulatoriškai, skaičius;</w:t>
      </w:r>
    </w:p>
    <w:p w:rsidR="00C07927" w:rsidRDefault="00C07927" w:rsidP="00C07927">
      <w:pPr>
        <w:ind w:firstLine="720"/>
        <w:jc w:val="both"/>
        <w:rPr>
          <w:szCs w:val="22"/>
        </w:rPr>
      </w:pPr>
      <w:r>
        <w:rPr>
          <w:szCs w:val="22"/>
        </w:rPr>
        <w:t>– kiek daugiau pacientų (tame tarpe vaikų) gydytų bendradarbiaujant su psichikos sveikatos centrais, darbo biržomis, nevyriausybinėmis organizacijomis;</w:t>
      </w:r>
    </w:p>
    <w:p w:rsidR="00C07927" w:rsidRDefault="00C07927" w:rsidP="00C07927">
      <w:pPr>
        <w:ind w:firstLine="720"/>
        <w:jc w:val="both"/>
        <w:rPr>
          <w:szCs w:val="22"/>
        </w:rPr>
      </w:pPr>
      <w:r>
        <w:rPr>
          <w:szCs w:val="22"/>
        </w:rPr>
        <w:t>– ar sumažėjo sergančiųjų (tame tarpe vaikų) priklausomybės ligomis stigmatizacija, ar padaugėjo besikreipiančiųjų medicinos pagalbos;</w:t>
      </w:r>
    </w:p>
    <w:p w:rsidR="00C07927" w:rsidRDefault="00C07927" w:rsidP="00C07927">
      <w:pPr>
        <w:ind w:firstLine="720"/>
        <w:jc w:val="both"/>
        <w:rPr>
          <w:szCs w:val="22"/>
        </w:rPr>
      </w:pPr>
      <w:r>
        <w:rPr>
          <w:szCs w:val="22"/>
        </w:rPr>
        <w:t>– ar pagerinti kiti šalies sveikatos rodikliai (buvo siekta, kad plečiant asmenų, priklausomų nuo alkoholio, gydymą ir reabilitaciją, bus sudarytos prielaidos mažėti alkoholinių psichozių, apsinuodijimų alkoholiu, nelaimingų atsitikimų ir savižudybių skaičiai (tame tarpe vaikų);</w:t>
      </w:r>
    </w:p>
    <w:p w:rsidR="00C07927" w:rsidRDefault="00C07927" w:rsidP="00C07927">
      <w:pPr>
        <w:ind w:firstLine="720"/>
        <w:jc w:val="both"/>
        <w:rPr>
          <w:szCs w:val="22"/>
        </w:rPr>
      </w:pPr>
      <w:r>
        <w:rPr>
          <w:szCs w:val="22"/>
        </w:rPr>
        <w:t>– ar pasiekta, kad pagerinus gydymo prieinamumą asmenims, priklausomiems nuo narkotinių medžiagų, sudarytos prielaidos plėtoti infekcinių ligų (ŽIV/AIDS, hepatitų B ir C) bei mirčių nuo narkotikų perdozavimo profilaktiką, ar pagerinta šių asmenų integraciją į visuomenę, sumažinta socialinė atskirtis (tame tarpe vaikų).</w:t>
      </w:r>
    </w:p>
    <w:p w:rsidR="00C07927" w:rsidRDefault="00C07927" w:rsidP="00C07927">
      <w:pPr>
        <w:ind w:firstLine="720"/>
        <w:jc w:val="both"/>
        <w:rPr>
          <w:szCs w:val="14"/>
        </w:rPr>
      </w:pPr>
      <w:r>
        <w:t>Seimo Narkomanijos ir alkoholizmo prevencijos komisija</w:t>
      </w:r>
      <w:r>
        <w:rPr>
          <w:szCs w:val="22"/>
        </w:rPr>
        <w:t xml:space="preserve">  siūlė, kad įvertinus </w:t>
      </w:r>
      <w:r>
        <w:t>2005 – 2008 metų</w:t>
      </w:r>
      <w:r>
        <w:rPr>
          <w:szCs w:val="22"/>
        </w:rPr>
        <w:t xml:space="preserve"> vykdytos</w:t>
      </w:r>
      <w:r>
        <w:t xml:space="preserve"> priklausomybės ligų programos rezultatus, tvirtinti naują 2009 – 2012 metų priklausomybės ligų programą, kuri turėtų atitikti politines gaires, strategijas, programas ir jų įgyvendinimo priemones (kai kurios veiks net iki 2013 metų). Tai liūdytų, kad valstybėje yra </w:t>
      </w:r>
      <w:r>
        <w:rPr>
          <w:szCs w:val="14"/>
        </w:rPr>
        <w:t>daromos nuoseklios reformos, įgyvendinant Jungtinių Tautų vaiko teisių konvenciją ir vaiko gerovės politiką Lietuvoje. Be to, visi įstatymus lydintieji teisės aktai turėtų neprieštarauti jų nuostatoms.</w:t>
      </w:r>
    </w:p>
    <w:p w:rsidR="00C07927" w:rsidRDefault="00C07927" w:rsidP="00C07927">
      <w:pPr>
        <w:jc w:val="both"/>
      </w:pPr>
      <w:r>
        <w:t xml:space="preserve"> </w:t>
      </w:r>
      <w:r>
        <w:tab/>
        <w:t xml:space="preserve">Taikant vaikams pirminio ir antrinio lygio paslaugas pagal suaugusiųjų priklausomybės ligų gydymo ir reabilitacijos standartus visose asmens sveikatos priežiūros įstaigose (pirminės asmens </w:t>
      </w:r>
      <w:r>
        <w:lastRenderedPageBreak/>
        <w:t>ambulatorinės sveikatos priežiūros įstaigose ir psichikos sveikatos centruose) bei s</w:t>
      </w:r>
      <w:r>
        <w:rPr>
          <w:color w:val="000000"/>
          <w:szCs w:val="18"/>
        </w:rPr>
        <w:t xml:space="preserve">tokojant </w:t>
      </w:r>
      <w:r>
        <w:t>kvalifikuotų psichikos sveikatos priežiūros specialistų, ypač rajonuose ir ypač psichologų, vaikų psichiatrų, psichoterapeutų pagalbos, vaikus nuo 15 metų nukreipiant į pakaitinio gydymo (abstinencijos gydymas ir pakaitinis palaikomasis gydymas) pakaitiniais opioidiniais vaistiniais preparatais (metadonu ar buprenorfinu) paslaugas, būtų padaryta esminė žala vaiko sveikatai ir prieštarautų vykdomai vaiko gerovės politikai Lietuvoje, kartu išplėstų narkotikų vartotojų ratą.</w:t>
      </w:r>
    </w:p>
    <w:p w:rsidR="00C07927" w:rsidRPr="0018612E" w:rsidRDefault="00C07927" w:rsidP="00C07927">
      <w:pPr>
        <w:jc w:val="both"/>
      </w:pPr>
      <w:r>
        <w:t xml:space="preserve"> </w:t>
      </w:r>
      <w:r>
        <w:tab/>
        <w:t xml:space="preserve"> Seimo Narkomanijos ir alkoholizmo prevencijos komisija pažymėjo, kad i</w:t>
      </w:r>
      <w:r w:rsidRPr="0018612E">
        <w:t xml:space="preserve">ki šiol nėra patvirtintos vaikų, vartojančių psichiką veikiančias medžiagas, gydymo metodikos ir šiuo metu vaikams taikomi Priklausomybės ligų gydymo ir reabilitacijos standartai bei pirminio ir antrinio lygio paslaugos (net buprenorfinu) yra neteisėtos. </w:t>
      </w:r>
      <w:r>
        <w:t xml:space="preserve">Narkotikų kontrolės departamentas prie Lietuvos Respublikos Vyriausybės yra Lietuvos Respublikos Vyriausybės įstaiga, kurios uždavinys įgyvendinti valstybės politiką narkotikų kontrolės ir narkomanijos prevencijos srityse – užtikrinti narkotinių ir psichotropinių medžiagų paklausos ir pasiūlos mažinimo priemonių įgyvendinimą ir pagal kompetenciją spręsti klausimus, susijusius su Lietuvos Respublikos valstybės formuojama narkotikų kontrolės ir narkomanijos prevencijos politika, siūlyti jos tobulinimo kryptis. </w:t>
      </w:r>
      <w:r w:rsidRPr="0018612E">
        <w:t>Narkotikų kontrolės departamentas prie Lietuvos Respublikos Vyriausybės neužtikrino, kad Vaikų, vartojančių psichiką veikiančias medžiagas, gydymo metodika būtų patvirtinta.</w:t>
      </w:r>
    </w:p>
    <w:p w:rsidR="00C07927" w:rsidRDefault="00C07927" w:rsidP="00C07927">
      <w:pPr>
        <w:ind w:firstLine="720"/>
        <w:jc w:val="both"/>
      </w:pPr>
      <w:r>
        <w:t xml:space="preserve">14. Lietuvos Respublikos Vyriausybės  2007 m. spalio 2 d. nutarimu Nr. </w:t>
      </w:r>
      <w:r>
        <w:rPr>
          <w:bCs/>
        </w:rPr>
        <w:t xml:space="preserve">1071 </w:t>
      </w:r>
      <w:r>
        <w:t xml:space="preserve">“Dėl Lietuvos Respublikos Vyriausybės 2002 m. balandžio 2 d. nutarimo Nr. 437 “Dėl ankstyvo vaikų (moksleivių) psichiką veikiančių medžiagų vartojimo nustatymo tvarkos patvirtinimo” pakeitimo” (Žin., 2002, Nr. 35 – 1305; 2007, Nr. 107 – 4379), patvirtintas Vaikų, vartojančių narkotines, psichotropines, kitas psichiką veikiančias medžiagas, nustatymo organizavimo tvarkos aprašas pradinėse pagrindinėse, vidurinėse, profesinėse mokyklose, vaikų globos įstaigose ir viešosiose vietose.  </w:t>
      </w:r>
    </w:p>
    <w:p w:rsidR="00C07927" w:rsidRDefault="00C07927" w:rsidP="00C07927">
      <w:pPr>
        <w:ind w:firstLine="720"/>
        <w:jc w:val="both"/>
        <w:rPr>
          <w:szCs w:val="22"/>
        </w:rPr>
      </w:pPr>
      <w:r>
        <w:rPr>
          <w:szCs w:val="22"/>
        </w:rPr>
        <w:t xml:space="preserve">Dėl vaikų, vartojančių narkotines, psichotropines, kitas psichiką veikiančias medžiagas, mokyklose numatyta, kad   mokyklos pedagoginiai darbuotojai, įtarę, kad jų mokyklą lankantis vaikas mokyklos teritorijoje vartoja narkotines, psichotropines, kitas psichiką veikiančias medžiagas, yra apsvaigęs nuo šių medžiagų, nedelsdami informuoja apie tai mokyklos vadovą ar jo įgaliotus asmenis, taip pat visuomenės sveikatos priežiūros specialistą, vykdantį sveikatos priežiūrą mokykloje. </w:t>
      </w:r>
    </w:p>
    <w:p w:rsidR="00C07927" w:rsidRDefault="00C07927" w:rsidP="00C07927">
      <w:pPr>
        <w:ind w:firstLine="720"/>
        <w:jc w:val="both"/>
        <w:rPr>
          <w:szCs w:val="22"/>
        </w:rPr>
      </w:pPr>
      <w:r>
        <w:rPr>
          <w:szCs w:val="14"/>
        </w:rPr>
        <w:t> </w:t>
      </w:r>
      <w:r>
        <w:rPr>
          <w:szCs w:val="22"/>
        </w:rPr>
        <w:t xml:space="preserve">Mokyklos vadovas ar jo įgalioti asmenys, nedelsdami informuoja vaiko atstovus pagal įstatymą apie įtarimą, kad jis vartoja narkotines, psichotropines, kitas psichiką veikiančias medžiagas, yra apsvaigęs nuo šių medžiagų ir kad jam reikėtų atlikti medicininę apžiūrą; informuoja vaiką, vaiko atstovus pagal įstatymą apie asmens sveikatos priežiūros įstaigas, teikiančias sveikatos priežiūros paslaugas; </w:t>
      </w:r>
      <w:r>
        <w:rPr>
          <w:szCs w:val="14"/>
        </w:rPr>
        <w:t xml:space="preserve"> </w:t>
      </w:r>
      <w:r>
        <w:rPr>
          <w:szCs w:val="22"/>
        </w:rPr>
        <w:t xml:space="preserve">informuoja vaiką, vaiko atstovus pagal įstatymą apie institucijas, įstaigas, organizacijas, teikiančias psichologinę, socialinę, teisinę ar kitą pagalbą. </w:t>
      </w:r>
    </w:p>
    <w:p w:rsidR="00C07927" w:rsidRDefault="00C07927" w:rsidP="00C07927">
      <w:pPr>
        <w:ind w:firstLine="720"/>
        <w:jc w:val="both"/>
        <w:rPr>
          <w:szCs w:val="14"/>
        </w:rPr>
      </w:pPr>
      <w:r>
        <w:rPr>
          <w:szCs w:val="22"/>
        </w:rPr>
        <w:t>Mokyklos pedagoginiai darbuotojai, įtarę, kad jų mokyklą lankantis vaikas mokyklos teritorijoje yra apsinuodijęs narkotinėmis, psichotropinėmis, kitomis psichiką veikiančiomis medžiagomis ir jo sveikatai ar gyvybei gresia pavojus:</w:t>
      </w:r>
      <w:r>
        <w:rPr>
          <w:szCs w:val="14"/>
        </w:rPr>
        <w:t xml:space="preserve"> </w:t>
      </w:r>
    </w:p>
    <w:p w:rsidR="00C07927" w:rsidRDefault="00C07927" w:rsidP="00C07927">
      <w:pPr>
        <w:ind w:firstLine="720"/>
        <w:jc w:val="both"/>
        <w:rPr>
          <w:szCs w:val="22"/>
        </w:rPr>
      </w:pPr>
      <w:r>
        <w:rPr>
          <w:szCs w:val="22"/>
        </w:rPr>
        <w:t>– suteikia vaikui pirmąją pagalbą;</w:t>
      </w:r>
    </w:p>
    <w:p w:rsidR="00C07927" w:rsidRDefault="00C07927" w:rsidP="00C07927">
      <w:pPr>
        <w:ind w:firstLine="720"/>
        <w:jc w:val="both"/>
        <w:rPr>
          <w:szCs w:val="22"/>
        </w:rPr>
      </w:pPr>
      <w:r>
        <w:rPr>
          <w:szCs w:val="22"/>
        </w:rPr>
        <w:t>– nedelsdami organizuoja vaiko pristatymą į asmens sveikatos priežiūros įstaigą, o kai reikia skubios medicinos pagalbos, kviečia greitąją medicinos pagalbą;</w:t>
      </w:r>
    </w:p>
    <w:p w:rsidR="00C07927" w:rsidRDefault="00C07927" w:rsidP="00C07927">
      <w:pPr>
        <w:ind w:firstLine="720"/>
        <w:jc w:val="both"/>
        <w:rPr>
          <w:szCs w:val="22"/>
        </w:rPr>
      </w:pPr>
      <w:r>
        <w:rPr>
          <w:szCs w:val="22"/>
        </w:rPr>
        <w:t>– nedelsdami informuoja apie tai mokyklos vadovą ar jo įgaliotus asmenis, taip pat visuomenės sveikatos priežiūros specialistą, vykdantį sveikatos priežiūrą mokykloje.</w:t>
      </w:r>
    </w:p>
    <w:p w:rsidR="00C07927" w:rsidRDefault="00C07927" w:rsidP="00C07927">
      <w:pPr>
        <w:ind w:firstLine="720"/>
        <w:jc w:val="both"/>
      </w:pPr>
      <w:r>
        <w:rPr>
          <w:szCs w:val="14"/>
        </w:rPr>
        <w:t xml:space="preserve"> </w:t>
      </w:r>
      <w:r>
        <w:rPr>
          <w:szCs w:val="22"/>
        </w:rPr>
        <w:t>Mokyklos vadovas ar jo įgalioti asmenys apie įtarimą, kad vaikas yra apsinuodijęs narkotinėmis, psichotropinėmis, kitomis psichiką veikiančiomis medžiagomis ir jo sveikatai ir gyvybei gresia pavojus, skubiai informuoja apie tai vaiko atstovus pagal įstatymą.</w:t>
      </w:r>
    </w:p>
    <w:p w:rsidR="00C07927" w:rsidRDefault="00C07927" w:rsidP="00C07927">
      <w:pPr>
        <w:ind w:firstLine="720"/>
        <w:jc w:val="both"/>
        <w:rPr>
          <w:szCs w:val="22"/>
        </w:rPr>
      </w:pPr>
      <w:r>
        <w:rPr>
          <w:szCs w:val="22"/>
        </w:rPr>
        <w:t>Mokyklų vadovai jų vadovaujamose įstaigose:</w:t>
      </w:r>
    </w:p>
    <w:p w:rsidR="00C07927" w:rsidRDefault="00C07927" w:rsidP="00C07927">
      <w:pPr>
        <w:jc w:val="both"/>
        <w:rPr>
          <w:szCs w:val="22"/>
        </w:rPr>
      </w:pPr>
      <w:r>
        <w:rPr>
          <w:szCs w:val="14"/>
        </w:rPr>
        <w:t> </w:t>
      </w:r>
      <w:r>
        <w:rPr>
          <w:szCs w:val="14"/>
        </w:rPr>
        <w:tab/>
        <w:t xml:space="preserve">– </w:t>
      </w:r>
      <w:r>
        <w:rPr>
          <w:szCs w:val="22"/>
        </w:rPr>
        <w:t xml:space="preserve">užtikrina, kad būtų įgyvendinama narkotinių, psichotropinių, kitų psichiką veikiančių medžiagų vartojimo prevencija, ankstyvoji intervencija, skirta vaikams, vartojantiems narkotines, psichotropines, kitas psichiką veikiančias medžiagas, teikiama pagalba vaikams, vartojantiems šias medžiagas, plėtojamas įstaigų tarpusavio bendradarbiavimas su vaiko teisių apsaugos tarnybomis, teisėsaugos, sveikatos priežiūros ir reabilitacijos įstaigomis ir  supažindina darbuotojus ir vaikus su šio Aprašo nuostatomis. </w:t>
      </w:r>
    </w:p>
    <w:p w:rsidR="00C07927" w:rsidRDefault="00C07927" w:rsidP="00C07927">
      <w:pPr>
        <w:ind w:firstLine="720"/>
        <w:jc w:val="both"/>
      </w:pPr>
      <w:r>
        <w:rPr>
          <w:szCs w:val="22"/>
        </w:rPr>
        <w:t xml:space="preserve">Visuomenės sveikatos priežiūros specialistas, vykdantis sveikatos priežiūrą mokykloje, savo darbe vadovaujasi Lietuvos Respublikos įstatymais, Sveikatos priežiūros mokykloje tvarkos aprašu, patvirtintu sveikatos apsaugos ministro ir švietimo ir mokslo ministro 2005 m. gruodžio 30 d. įsakymu </w:t>
      </w:r>
      <w:r>
        <w:rPr>
          <w:szCs w:val="22"/>
        </w:rPr>
        <w:lastRenderedPageBreak/>
        <w:t>Nr. V-1035/ISAK-2680 (Žin., 2005, Nr. 153 - 5657), kitais šio specialisto teises ir pareigas nustatančiais teisės aktais.</w:t>
      </w:r>
    </w:p>
    <w:p w:rsidR="00C07927" w:rsidRDefault="00C07927" w:rsidP="00C07927">
      <w:pPr>
        <w:ind w:firstLine="720"/>
        <w:jc w:val="both"/>
      </w:pPr>
      <w:r>
        <w:rPr>
          <w:szCs w:val="22"/>
        </w:rPr>
        <w:t>Dėl vaikų, vartojančių narkotines, psichotropines, kitas psichiką veikiančias medžiagas, vaikų globos (rūpybos) įstaigose, vaikų globos (rūpybos) įstaigos darbuotojai, įtarę, kad jų globojamas (rūpinamas) vaikas vartoja narkotines, psichotropines, kitas psichiką veikiančias medžiagas, yra apsvaigęs nuo šių medžiagų, nedelsdami informuoja apie tai globos įstaigos vadovą ar jo įgaliotus asmenis, taip pat sveikatos priežiūros specialistą (jeigu globos įstaigoje teikiamos sveikatos priežiūros paslaugos).</w:t>
      </w:r>
    </w:p>
    <w:p w:rsidR="00C07927" w:rsidRDefault="00C07927" w:rsidP="00C07927">
      <w:pPr>
        <w:ind w:firstLine="720"/>
        <w:jc w:val="both"/>
      </w:pPr>
      <w:r>
        <w:rPr>
          <w:szCs w:val="22"/>
        </w:rPr>
        <w:t>Globos įstaigos vadovas ar jo įgalioti asmenys, esant šio Aprašo 10 punkte nurodytoms aplinkybėms, organizuoja, kad vaikui būtų atlikta medicininė apžiūra, suteiktos kitos sveikatos priežiūros paslaugos ir suteikta psichologinė, socialinė, kita reikiama pagalba.</w:t>
      </w:r>
    </w:p>
    <w:p w:rsidR="00C07927" w:rsidRDefault="00C07927" w:rsidP="00C07927">
      <w:pPr>
        <w:jc w:val="both"/>
      </w:pPr>
      <w:r>
        <w:rPr>
          <w:szCs w:val="14"/>
        </w:rPr>
        <w:t xml:space="preserve"> </w:t>
      </w:r>
      <w:r>
        <w:rPr>
          <w:szCs w:val="14"/>
        </w:rPr>
        <w:tab/>
      </w:r>
      <w:r>
        <w:rPr>
          <w:szCs w:val="22"/>
        </w:rPr>
        <w:t>Globos įstaigos darbuotojai, įtarę, kad jų globojamas (rūpinamas) vaikas apsinuodijęs narkotinėmis, psichotropinėmis, kitomis psichiką veikiančiomis medžiagomis ir jo sveikatai ar gyvybei gresia pavojus:</w:t>
      </w:r>
    </w:p>
    <w:p w:rsidR="00C07927" w:rsidRDefault="00C07927" w:rsidP="00C07927">
      <w:pPr>
        <w:jc w:val="both"/>
      </w:pPr>
      <w:r>
        <w:rPr>
          <w:szCs w:val="14"/>
        </w:rPr>
        <w:t xml:space="preserve"> </w:t>
      </w:r>
      <w:r>
        <w:rPr>
          <w:szCs w:val="14"/>
        </w:rPr>
        <w:tab/>
        <w:t xml:space="preserve">– </w:t>
      </w:r>
      <w:r>
        <w:rPr>
          <w:szCs w:val="22"/>
        </w:rPr>
        <w:t>suteikia vaikui pirmąją pagalbą;</w:t>
      </w:r>
    </w:p>
    <w:p w:rsidR="00C07927" w:rsidRDefault="00C07927" w:rsidP="00C07927">
      <w:pPr>
        <w:ind w:firstLine="720"/>
        <w:jc w:val="both"/>
      </w:pPr>
      <w:r>
        <w:rPr>
          <w:szCs w:val="22"/>
        </w:rPr>
        <w:t>– nedelsdami organizuoja vaiko pristatymą į asmens sveikatos priežiūros įstaigą, o kai reikia skubios medicinos pagalbos, kviečia greitąją medicinos pagalbą;</w:t>
      </w:r>
    </w:p>
    <w:p w:rsidR="00C07927" w:rsidRDefault="00C07927" w:rsidP="00C07927">
      <w:pPr>
        <w:ind w:firstLine="720"/>
        <w:jc w:val="both"/>
      </w:pPr>
      <w:r>
        <w:rPr>
          <w:szCs w:val="22"/>
        </w:rPr>
        <w:t>– nedelsdami informuoja apie tai globos įstaigos vadovą ar jo įgaliotus asmenis, taip pat sveikatos priežiūros specialistą (jeigu globos įstaigoje teikiamos sveikatos priežiūros paslaugos).</w:t>
      </w:r>
    </w:p>
    <w:p w:rsidR="00C07927" w:rsidRDefault="00C07927" w:rsidP="00C07927">
      <w:pPr>
        <w:ind w:firstLine="720"/>
        <w:jc w:val="both"/>
      </w:pPr>
      <w:r>
        <w:rPr>
          <w:szCs w:val="22"/>
        </w:rPr>
        <w:t>Globos įstaigų vadovai jų vadovaujamose įstaigose užtikrina, kad būtų įgyvendinama narkotinių, psichotropinių, kitų psichiką veikiančių medžiagų vartojimo prevencija, ankstyvoji intervencija, skirta vaikams, vartojantiems narkotines, psichotropines, kitas psichiką veikiančias medžiagas, teikiama pagalba vaikams, vartojantiems šias medžiagas, plėtojamas įstaigų tarpusavio bendradarbiavimas su vaiko teisių apsaugos tarnybomis, teisėsaugos, sveikatos priežiūros ir reabilitacijos įstaigomis ir supažindina darbuotojus ir vaikus su šio Aprašo nuostatomis.</w:t>
      </w:r>
    </w:p>
    <w:p w:rsidR="00C07927" w:rsidRDefault="00C07927" w:rsidP="00C07927">
      <w:pPr>
        <w:ind w:firstLine="720"/>
        <w:jc w:val="both"/>
      </w:pPr>
      <w:r>
        <w:rPr>
          <w:szCs w:val="22"/>
        </w:rPr>
        <w:t> Dėl vartojančių narkotines, psichotropines, kitas psichiką veikiančias medžiagas, viešosiose vietose nustatyta, kad  v</w:t>
      </w:r>
      <w:r>
        <w:rPr>
          <w:spacing w:val="-2"/>
          <w:szCs w:val="22"/>
        </w:rPr>
        <w:t>aikų, vartojančių narkotines, psichotropines, kitas psichiką veikiančias medžiagas,</w:t>
      </w:r>
      <w:r>
        <w:rPr>
          <w:szCs w:val="22"/>
        </w:rPr>
        <w:t xml:space="preserve"> nustatymą viešosiose vietose organizuoja ir vykdo policijos pareigūnai, vadovaudamiesi Lietuvos Respublikos policijos veiklos įstatymu (Žin., 2000, Nr.90-2777), Transporto priemones vairuojančių ir kitų asmenų neblaivumo (girtumo) ar apsvaigimo nustatymo taisyklėmis, patvirtintomis Lietuvos Respublikos Vyriausybės 2006 m. gegužės 12 d. nutarimu Nr. 452 (Žin., 2006, Nr.56-2000), </w:t>
      </w:r>
      <w:r>
        <w:rPr>
          <w:caps/>
          <w:szCs w:val="22"/>
        </w:rPr>
        <w:t>m</w:t>
      </w:r>
      <w:r>
        <w:rPr>
          <w:szCs w:val="22"/>
        </w:rPr>
        <w:t xml:space="preserve">edicininės apžiūros neblaivumui (girtumui) ar apsvaigimui nuo psichiką veikiančių medžiagų nustatyti atlikimo ir </w:t>
      </w:r>
      <w:r>
        <w:rPr>
          <w:caps/>
          <w:szCs w:val="22"/>
        </w:rPr>
        <w:t>b</w:t>
      </w:r>
      <w:r>
        <w:rPr>
          <w:szCs w:val="22"/>
        </w:rPr>
        <w:t>endros asmens būklės įvertinimo metodikomis, patvirtintomis sveikatos apsaugos ministro 2006 m. birželio 20 d. įsakymu Nr. V-505 (Žin., 2006, Nr.71-2641</w:t>
      </w:r>
      <w:r>
        <w:rPr>
          <w:color w:val="000000"/>
          <w:szCs w:val="22"/>
        </w:rPr>
        <w:t xml:space="preserve">), </w:t>
      </w:r>
      <w:r>
        <w:rPr>
          <w:szCs w:val="22"/>
        </w:rPr>
        <w:t>kitais policijos pareigūnų veiklą reglamentuojančiais teisės aktais.</w:t>
      </w:r>
    </w:p>
    <w:p w:rsidR="00C07927" w:rsidRDefault="00C07927" w:rsidP="00C07927">
      <w:pPr>
        <w:ind w:firstLine="720"/>
        <w:jc w:val="both"/>
      </w:pPr>
      <w:r>
        <w:rPr>
          <w:szCs w:val="22"/>
        </w:rPr>
        <w:t>Policijos pareigūnai, įtarę, kad viešojoje vietoje vaikas vartoja narkotines, psichotropines, kitas psichiką veikiančias medžiagas ar (ir) yra apsvaigęs nuo šių medžiagų:</w:t>
      </w:r>
    </w:p>
    <w:p w:rsidR="00C07927" w:rsidRDefault="00C07927" w:rsidP="00C07927">
      <w:pPr>
        <w:ind w:firstLine="720"/>
        <w:jc w:val="both"/>
      </w:pPr>
      <w:r>
        <w:rPr>
          <w:szCs w:val="14"/>
        </w:rPr>
        <w:t xml:space="preserve">–  </w:t>
      </w:r>
      <w:r>
        <w:rPr>
          <w:szCs w:val="22"/>
        </w:rPr>
        <w:t>nedelsdami informuoja apie tai vaiko atstovus pagal įstatymą;</w:t>
      </w:r>
    </w:p>
    <w:p w:rsidR="00C07927" w:rsidRDefault="00C07927" w:rsidP="00C07927">
      <w:pPr>
        <w:ind w:firstLine="720"/>
        <w:jc w:val="both"/>
      </w:pPr>
      <w:r>
        <w:rPr>
          <w:szCs w:val="22"/>
        </w:rPr>
        <w:t>-  organizuoja, kad vaikui būtų atlikta medicininė apžiūra ir suteiktos sveikatos priežiūros paslaugos.</w:t>
      </w:r>
    </w:p>
    <w:p w:rsidR="00C07927" w:rsidRDefault="00C07927" w:rsidP="00C07927">
      <w:pPr>
        <w:ind w:firstLine="720"/>
        <w:jc w:val="both"/>
      </w:pPr>
      <w:r>
        <w:rPr>
          <w:spacing w:val="-2"/>
          <w:szCs w:val="22"/>
        </w:rPr>
        <w:t>Policijos pareigūnai, įtarę, kad vaikas apsinuodijęs narkotinėmis, psichotropinėmis</w:t>
      </w:r>
      <w:r>
        <w:rPr>
          <w:szCs w:val="22"/>
        </w:rPr>
        <w:t>, kitomis psichiką veikiančiomis medžiagomis ir jo sveikatai ar gyvybei gresia pavojus:</w:t>
      </w:r>
    </w:p>
    <w:p w:rsidR="00C07927" w:rsidRDefault="00C07927" w:rsidP="00C07927">
      <w:pPr>
        <w:ind w:firstLine="720"/>
        <w:jc w:val="both"/>
      </w:pPr>
      <w:r>
        <w:rPr>
          <w:szCs w:val="22"/>
        </w:rPr>
        <w:t>–</w:t>
      </w:r>
      <w:r>
        <w:rPr>
          <w:szCs w:val="14"/>
        </w:rPr>
        <w:t xml:space="preserve"> </w:t>
      </w:r>
      <w:r>
        <w:rPr>
          <w:szCs w:val="22"/>
        </w:rPr>
        <w:t>suteikia vaikui pirmąją pagalbą;</w:t>
      </w:r>
    </w:p>
    <w:p w:rsidR="00C07927" w:rsidRDefault="00C07927" w:rsidP="00C07927">
      <w:pPr>
        <w:ind w:firstLine="720"/>
        <w:jc w:val="both"/>
      </w:pPr>
      <w:r>
        <w:rPr>
          <w:szCs w:val="22"/>
        </w:rPr>
        <w:t>– organizuoja vaiko pristatymą į asmens sveikatos priežiūros įstaigą, o kai reikia skubios medicinos pagalbos, kviečia greitąją medicinos pagalbą arba nedelsdami patys pristato vaiką į asmens sveikatos priežiūros įstaigą;</w:t>
      </w:r>
    </w:p>
    <w:p w:rsidR="00C07927" w:rsidRDefault="00C07927" w:rsidP="00C07927">
      <w:pPr>
        <w:ind w:firstLine="720"/>
        <w:jc w:val="both"/>
      </w:pPr>
      <w:r>
        <w:rPr>
          <w:szCs w:val="22"/>
        </w:rPr>
        <w:t>– nedelsdami informuoja vaiko atstovus pagal įstatymą, kad vaikas apsinuodijęs ar įtariamas apsinuodijęs narkotinėmis, psichotropinėmis, kitomis psichiką veikiančiomis medžiagomis ir jo sveikatai ar gyvybei gresia pavojus.</w:t>
      </w:r>
    </w:p>
    <w:p w:rsidR="00C07927" w:rsidRDefault="00C07927" w:rsidP="00C07927">
      <w:pPr>
        <w:ind w:firstLine="720"/>
        <w:jc w:val="both"/>
      </w:pPr>
      <w:r>
        <w:t>Asmens sveikatos priežiūros specialistai, nustatę, kad vaikas vartoja narkotines, psichotropines, kitas psichiką veikiančias medžiagas, yra apsvaigęs nuo šių medžiagų, informuoja vaiką ir jo atstovus pagal įstatymą apie tai ir apie institucijas, įstaigas, organizacijas, teikiančias atitinkamą medicininę, psichologinę, socialinę, teisinę pagalbą.</w:t>
      </w:r>
    </w:p>
    <w:p w:rsidR="00C07927" w:rsidRDefault="00C07927" w:rsidP="00C07927">
      <w:pPr>
        <w:ind w:firstLine="720"/>
        <w:jc w:val="both"/>
      </w:pPr>
      <w:r>
        <w:t>Vykdydama parlamentinę kontrolę, Seimo Narkomanijos prevencijos komisija</w:t>
      </w:r>
      <w:r>
        <w:rPr>
          <w:szCs w:val="22"/>
        </w:rPr>
        <w:t xml:space="preserve">  </w:t>
      </w:r>
      <w:r>
        <w:t>2008 metais Lietuvos Respublikos Vyriausybei siūlė:</w:t>
      </w:r>
    </w:p>
    <w:p w:rsidR="00C07927" w:rsidRDefault="00C07927" w:rsidP="00C07927">
      <w:pPr>
        <w:ind w:firstLine="720"/>
        <w:jc w:val="both"/>
      </w:pPr>
      <w:r>
        <w:lastRenderedPageBreak/>
        <w:t>1.Sukurti Lietuvoje visoms institucijoms vieningą sistemą kaupti, identifikuoti ir sisteminti visus duomenis pagal statistinės apskaitos formas apie apsinuodijusių asmenų ir apsinuodijimų alkoholiu, narkotinėmis, psichotropinėmis ir kitomis nuodingomis medžiagomis, bei apie asmenų, priklausomų nuo alkoholio, narkotinių ir psichotropinių medžiagų, skaičių, įtraukiant į vieningą informacijos sistemą ir statistiką visose gydymo įstaigose ir anonimiškai gydomus asmenis.</w:t>
      </w:r>
    </w:p>
    <w:p w:rsidR="00C07927" w:rsidRDefault="00C07927" w:rsidP="00C07927">
      <w:pPr>
        <w:ind w:firstLine="720"/>
        <w:jc w:val="both"/>
      </w:pPr>
      <w:r>
        <w:t>2.Įpareigoti Sveikatos apsaugos ministeriją užtikrinti tinkamą aprūpinimą asmens sveikatos priežiūros ir gydymo įstaigų laboratorijas diagnostine aparatūra, kuri identifikuotų paciento kraujyje, šlapime apsinuodijimą sukeliančias medžiagas.</w:t>
      </w:r>
    </w:p>
    <w:p w:rsidR="00C07927" w:rsidRDefault="00C07927" w:rsidP="00C07927">
      <w:pPr>
        <w:ind w:firstLine="720"/>
        <w:jc w:val="both"/>
      </w:pPr>
      <w:r>
        <w:t>3. Iki 2008 m. rugsėjo 1 d. įvertinti situaciją, ar gydymo ir reabilitacijos paslaugų prieinamumas vaikams, piktnaudžiaujantiems alkoholiu, narkotinėmis ar kitomis psichotropinėmis medžiagomis atitinka šiandienos poreikius bei išanalizuoti, kiek  gydymo ir reabilitacijos vietų ar įstaigų reikės ateityje.</w:t>
      </w:r>
    </w:p>
    <w:p w:rsidR="00C07927" w:rsidRDefault="00C07927" w:rsidP="00C07927">
      <w:pPr>
        <w:ind w:firstLine="720"/>
        <w:jc w:val="both"/>
      </w:pPr>
      <w:r>
        <w:t>4. Įpareigoti Narkotikų kontrolės departamentą prie Lietuvos Respublikos Vyriausybės parengti ir įgyvendinti prevencinį projektą visuomenei ir ypač tėvams, teikiantį jiems išsamias žinias apie alkoholio, tabako, narkotinių ir psichotropinių medžiagų vartojimo riziką, pasekmes bei aktyviai įtraukiantį visuomenę ir ypač tėvus į narkomanijos prevencijos darbą.</w:t>
      </w:r>
    </w:p>
    <w:p w:rsidR="00C07927" w:rsidRDefault="00C07927" w:rsidP="00C07927">
      <w:pPr>
        <w:ind w:left="720" w:firstLine="720"/>
        <w:jc w:val="both"/>
        <w:rPr>
          <w:b/>
          <w:bCs/>
        </w:rPr>
      </w:pPr>
      <w:r>
        <w:rPr>
          <w:b/>
          <w:bCs/>
        </w:rPr>
        <w:t xml:space="preserve">II. Lietuvos Respublikos vaiko minimalios ir vidutinės priežiūros įstatymo įgyvendinimas </w:t>
      </w:r>
    </w:p>
    <w:p w:rsidR="00C07927" w:rsidRDefault="00C07927" w:rsidP="00C07927">
      <w:pPr>
        <w:ind w:firstLine="720"/>
        <w:jc w:val="both"/>
      </w:pPr>
    </w:p>
    <w:p w:rsidR="00C07927" w:rsidRDefault="00C07927" w:rsidP="00C07927">
      <w:pPr>
        <w:ind w:firstLine="720"/>
        <w:jc w:val="both"/>
      </w:pPr>
      <w:r>
        <w:t>Nuo 2008 metų sausio 1 dienos Lietuvoje veikia Lietuvos Respublikos Vaiko minimalios ir vidutinės priežiūros įstatymas, kurio  tikslas – sukurti vaiko teises ir teisėtus interesus bei visuomenės saugumo poreikius atitinkančią sistemą, kuri padėtų vaikui įveikti susiformavusį ydingą elgesį, išsiugdyti prasmingo individualaus ir visuomeninio gyvenimo sampratas.</w:t>
      </w:r>
    </w:p>
    <w:p w:rsidR="00C07927" w:rsidRDefault="00C07927" w:rsidP="00C07927">
      <w:pPr>
        <w:ind w:firstLine="720"/>
        <w:jc w:val="both"/>
        <w:rPr>
          <w:bCs/>
          <w:iCs/>
        </w:rPr>
      </w:pPr>
      <w:r>
        <w:rPr>
          <w:bCs/>
          <w:u w:val="single"/>
        </w:rPr>
        <w:t>Vaiko minimali priežiūra</w:t>
      </w:r>
      <w:r>
        <w:t xml:space="preserve"> – vaiko priežiūra, vykdoma pagal vaiko nuolatinę gyvenamąją vietą, </w:t>
      </w:r>
      <w:r>
        <w:rPr>
          <w:bCs/>
        </w:rPr>
        <w:t>o jeigu vaikas neturi nuolatinės gyvenamosios vietos, – pagal jo gyvenamąją vietą.</w:t>
      </w:r>
      <w:r>
        <w:rPr>
          <w:bCs/>
          <w:iCs/>
        </w:rPr>
        <w:t xml:space="preserve"> </w:t>
      </w:r>
    </w:p>
    <w:p w:rsidR="00C07927" w:rsidRDefault="00C07927" w:rsidP="00C07927">
      <w:pPr>
        <w:ind w:firstLine="720"/>
        <w:jc w:val="both"/>
      </w:pPr>
      <w:r>
        <w:rPr>
          <w:bCs/>
          <w:u w:val="single"/>
        </w:rPr>
        <w:t>Vaiko vidutinė priežiūra</w:t>
      </w:r>
      <w:r>
        <w:t xml:space="preserve"> – vaiko priežiūra vaikų socializacijos centre.</w:t>
      </w:r>
    </w:p>
    <w:p w:rsidR="00C07927" w:rsidRDefault="00C07927" w:rsidP="00C07927">
      <w:pPr>
        <w:ind w:firstLine="720"/>
        <w:jc w:val="both"/>
      </w:pPr>
      <w:r>
        <w:t>Specialiosios pedagogikos ir psichologijos centro prie Švietimo ir mokslo ministerijos duomenimis 2008 01 01 – 2009 01 30  minimali priežiūra savivaldybėse taikyta  290 vaikams, iš jų: 80 vaikų taikyta viena minimali priežiūros priemonė, 210 vaikų taikytos kelios tarpusavyje suderintos minimalios priežiūros priemonės.</w:t>
      </w:r>
    </w:p>
    <w:p w:rsidR="00C07927" w:rsidRDefault="00C07927" w:rsidP="00C07927">
      <w:pPr>
        <w:pStyle w:val="Pagrindiniotekstotrauka"/>
        <w:rPr>
          <w:szCs w:val="24"/>
          <w:lang w:val="lt-LT"/>
        </w:rPr>
      </w:pPr>
      <w:r>
        <w:rPr>
          <w:szCs w:val="24"/>
          <w:lang w:val="lt-LT"/>
        </w:rPr>
        <w:t>Pagrindinės minimalios priežiūros priemonių skyrimo priežastys:</w:t>
      </w:r>
    </w:p>
    <w:p w:rsidR="00C07927" w:rsidRDefault="00C07927" w:rsidP="00C07927">
      <w:pPr>
        <w:ind w:firstLine="720"/>
        <w:jc w:val="both"/>
      </w:pPr>
      <w:r>
        <w:t xml:space="preserve"> mokyklos nelankymas;</w:t>
      </w:r>
    </w:p>
    <w:p w:rsidR="00C07927" w:rsidRDefault="00C07927" w:rsidP="00C07927">
      <w:pPr>
        <w:ind w:firstLine="720"/>
        <w:jc w:val="both"/>
      </w:pPr>
      <w:r>
        <w:t xml:space="preserve"> elgesys, darantys žalą ir keliantis pavojų aplinkiniams.</w:t>
      </w:r>
    </w:p>
    <w:p w:rsidR="00C07927" w:rsidRDefault="00C07927" w:rsidP="00C07927">
      <w:pPr>
        <w:ind w:firstLine="720"/>
        <w:jc w:val="both"/>
      </w:pPr>
      <w:r>
        <w:t xml:space="preserve"> Minimalios priežiūros priemonių taikymas apskrityse 2008 01 01 – 2009 01 30 taikytas sekančiai:</w:t>
      </w:r>
    </w:p>
    <w:p w:rsidR="00C07927" w:rsidRDefault="00C07927" w:rsidP="00C07927">
      <w:pPr>
        <w:ind w:firstLine="720"/>
        <w:jc w:val="both"/>
      </w:pPr>
      <w:r>
        <w:t xml:space="preserve">Alytaus apskrityje – 10 vaikų; Kauno apskrityje - 44 vaikams; Klaipėdos apskrityje – 37 vaikams; Marijampolės apskrityje – 21 vaikui; Panevėžio apskrityje – 45 vaikams; Šiaulių apskrityje – 38 vaikams; Tauragės apskrityje – 15 vaikų; Telšių apskrityje - 19 vaikų; Utenos apskrityje - 18 vaikų; Vilniaus apskrityje – 43 vaikams. </w:t>
      </w:r>
    </w:p>
    <w:p w:rsidR="00C07927" w:rsidRDefault="00C07927" w:rsidP="00C07927">
      <w:pPr>
        <w:ind w:firstLine="720"/>
        <w:jc w:val="both"/>
      </w:pPr>
      <w:r>
        <w:t xml:space="preserve">49 vaikai įpareigoti lankyti vaikų dienos centrus. 90 vaikų įpareigoti dalyvauti socialinio ugdymo, reabilitacijos, integracijos, prevencijos ir kitose programose. 175 vaikai įpareigoti mokytis pagal pradinio ir pagrindinio ugdymo programas. 191 vaikų teiktos specialistų konsultacijos. </w:t>
      </w:r>
    </w:p>
    <w:p w:rsidR="00C07927" w:rsidRDefault="00C07927" w:rsidP="00C07927">
      <w:pPr>
        <w:ind w:firstLine="720"/>
        <w:jc w:val="both"/>
      </w:pPr>
      <w:r>
        <w:t xml:space="preserve">Minimalios priežiūros priemonių įgyvendinimo išvados: </w:t>
      </w:r>
    </w:p>
    <w:p w:rsidR="00C07927" w:rsidRDefault="00C07927" w:rsidP="00C07927">
      <w:pPr>
        <w:ind w:firstLine="720"/>
        <w:jc w:val="both"/>
      </w:pPr>
      <w:r>
        <w:t>- 12 savivaldybių netaikė minimalios priežiūros priemonių vaikams (nebuvo teikti prašymai).</w:t>
      </w:r>
    </w:p>
    <w:p w:rsidR="00C07927" w:rsidRDefault="00C07927" w:rsidP="00C07927">
      <w:pPr>
        <w:ind w:firstLine="720"/>
        <w:jc w:val="both"/>
      </w:pPr>
      <w:r>
        <w:t>- Daugumai vaikų buvo derinamos kelios minimalios priežiūros priemonės (įpareigojimas mokytis ir specialisto konsultacijos).</w:t>
      </w:r>
    </w:p>
    <w:p w:rsidR="00C07927" w:rsidRDefault="00C07927" w:rsidP="00C07927">
      <w:pPr>
        <w:ind w:firstLine="720"/>
        <w:jc w:val="both"/>
      </w:pPr>
      <w:r>
        <w:t>- Dažniausiai minimalios priežiūros priemonę (-es) vykdantys asmenys buvo mokyklų vadovai, socialiniai pedagogai ir psichologai.</w:t>
      </w:r>
    </w:p>
    <w:p w:rsidR="00C07927" w:rsidRDefault="00C07927" w:rsidP="00C07927">
      <w:pPr>
        <w:ind w:firstLine="720"/>
        <w:jc w:val="both"/>
      </w:pPr>
      <w:r>
        <w:t xml:space="preserve">- Trūksta tėvų (globėjų) iniciatyvos dėl minimalios  priežiūros priemonėms skirti ir reikiamai pagalbai organizuoti bei teikti. </w:t>
      </w:r>
    </w:p>
    <w:p w:rsidR="00C07927" w:rsidRDefault="00C07927" w:rsidP="00C07927">
      <w:pPr>
        <w:ind w:firstLine="720"/>
        <w:jc w:val="both"/>
      </w:pPr>
      <w:r>
        <w:t xml:space="preserve">- Nors ir numatyta nuostatuose, išsami informacija apie minimalios priežiūros priemonių taikymą ne visada perduodama  vidutinės priežiūros priemonę vykdantiems asmenims. </w:t>
      </w:r>
    </w:p>
    <w:p w:rsidR="00C07927" w:rsidRDefault="00C07927" w:rsidP="00C07927">
      <w:pPr>
        <w:ind w:firstLine="720"/>
        <w:jc w:val="both"/>
      </w:pPr>
      <w:r>
        <w:t xml:space="preserve">Vidutinės priežiūros priemonių taikymas Vaikų socializacijos centruose 2008 01 01 – 2008 12 01 laikotarpiu :  </w:t>
      </w:r>
    </w:p>
    <w:p w:rsidR="00C07927" w:rsidRDefault="00C07927" w:rsidP="00C07927">
      <w:pPr>
        <w:ind w:firstLine="720"/>
        <w:jc w:val="both"/>
      </w:pPr>
      <w:r>
        <w:t xml:space="preserve">      33 savivaldybių administracijos direktorius ar jo įgaliotas asmuo neteikė prašymo teismui dėl vidutinės priežiūros priemonės taikymo.</w:t>
      </w:r>
    </w:p>
    <w:p w:rsidR="00C07927" w:rsidRDefault="00C07927" w:rsidP="00C07927">
      <w:pPr>
        <w:ind w:firstLine="720"/>
        <w:jc w:val="both"/>
      </w:pPr>
      <w:r>
        <w:lastRenderedPageBreak/>
        <w:t xml:space="preserve"> Vidutinės priežiūros priemonės taikytos 49 mergaitėms, iš jų 48 teismo leidimu, 1 – pagal LR Baudžiamąjį kodeksą.</w:t>
      </w:r>
    </w:p>
    <w:p w:rsidR="00C07927" w:rsidRDefault="00C07927" w:rsidP="00C07927">
      <w:pPr>
        <w:ind w:firstLine="720"/>
        <w:jc w:val="both"/>
      </w:pPr>
      <w:r>
        <w:t xml:space="preserve">  Vidutinės priežiūros priemonės taikytos 50 berniukų, iš jų 34 teismo leidimu, 16 – pagal LR Baudžiamąjį kodeksą. </w:t>
      </w:r>
    </w:p>
    <w:p w:rsidR="00C07927" w:rsidRDefault="00C07927" w:rsidP="00C07927">
      <w:pPr>
        <w:ind w:firstLine="720"/>
        <w:jc w:val="both"/>
      </w:pPr>
      <w:r>
        <w:t xml:space="preserve">2009 metais vidutinės priežiūros priemonę taikė šeši socializacijos centrai (Vilniaus, Kauno ir Šiaulių apskrityse). Nuo 2009 09 01 Panevėžio apskrities vaikų socializacijos centre priimami berniukai, kuriems paskirta vidutinės priežiūros priemonė. </w:t>
      </w:r>
    </w:p>
    <w:p w:rsidR="00C07927" w:rsidRDefault="00C07927" w:rsidP="00C07927">
      <w:pPr>
        <w:ind w:firstLine="720"/>
        <w:jc w:val="both"/>
      </w:pPr>
      <w:r>
        <w:t>2009 03 18 vaikų skaičius Vaikų socializacijos centruose buvo toks: Veliučionių – 24, Čiobiškio – 20, Kauno apskr. – 28, Vilniaus apskr. – 33, Gruzdžių – 16, “Saulutė” – 5.</w:t>
      </w:r>
    </w:p>
    <w:p w:rsidR="00C07927" w:rsidRDefault="00C07927" w:rsidP="00C07927">
      <w:pPr>
        <w:ind w:firstLine="720"/>
        <w:jc w:val="both"/>
      </w:pPr>
      <w:r>
        <w:t xml:space="preserve">Taikant vidutinės priežiūros priemonės Vaikų socializacijos centruose buvo jaučiama tarpinstitucinio bendradarbiavimo stoka, vaikai į socializacijos centrus pristatomi be reikiamų dokumentų, neperduodama visa ugdymui reikalinga informacija. </w:t>
      </w:r>
    </w:p>
    <w:p w:rsidR="00C07927" w:rsidRDefault="00C07927" w:rsidP="00C07927">
      <w:pPr>
        <w:ind w:firstLine="720"/>
        <w:jc w:val="both"/>
      </w:pPr>
      <w:r>
        <w:t xml:space="preserve">Nustatyta, kad Vaikų socializacijos centrai retai teikia informaciją apie vidutinės priežiūros priemonės vykdymo eigą vaiko atstovams pagal įstatymą. </w:t>
      </w:r>
    </w:p>
    <w:p w:rsidR="00C07927" w:rsidRDefault="00C07927" w:rsidP="00C07927">
      <w:pPr>
        <w:ind w:firstLine="720"/>
        <w:jc w:val="both"/>
      </w:pPr>
      <w:r>
        <w:t xml:space="preserve">Aktyviai organizuojamas užimtumas po pamokų, tačiau, nepakankamai ugdomi vaikų socialiniai įgūdžiai, siekiant padėti vaikams išmokti kontroliuoti veiksmus, priimti pagrįstus sprendimus, lemiančius pozityvų ir apgalvotą elgėsį. </w:t>
      </w:r>
    </w:p>
    <w:p w:rsidR="00C07927" w:rsidRDefault="00C07927" w:rsidP="00C07927">
      <w:pPr>
        <w:ind w:firstLine="720"/>
        <w:jc w:val="both"/>
      </w:pPr>
      <w:r>
        <w:t xml:space="preserve">Veikia Specializuota kvalifikacijos tobulinimo programa specialistams, vykdantiems vaiko minimalios priežiūros priemones ir koordinuojantiems jų veiklą, kurios tikslas  - tobulinti specialistų, vykdančių vaiko minimalios priežiūros priemones bei koordinuojančių jų vykdmą, kompetencijas, padedančias užtikrinanti kokybiškos švietimo pagalbo teikimą. </w:t>
      </w:r>
    </w:p>
    <w:p w:rsidR="00C07927" w:rsidRDefault="00C07927" w:rsidP="00C07927">
      <w:pPr>
        <w:ind w:firstLine="720"/>
        <w:jc w:val="both"/>
      </w:pPr>
      <w:r>
        <w:t>Šios programos pagrindiniai uždaviniai yra:</w:t>
      </w:r>
    </w:p>
    <w:p w:rsidR="00C07927" w:rsidRDefault="00C07927" w:rsidP="00C07927">
      <w:pPr>
        <w:ind w:firstLine="720"/>
        <w:jc w:val="both"/>
      </w:pPr>
      <w:r>
        <w:t>- supažindinti specialistus su norminiais dokumentais, reglamentuojančiais vaiko minimalios ir vidutinės priežiūros įstatymo nuostatų įgyvendinimą;</w:t>
      </w:r>
    </w:p>
    <w:p w:rsidR="00C07927" w:rsidRDefault="00C07927" w:rsidP="00C07927">
      <w:pPr>
        <w:ind w:firstLine="720"/>
        <w:jc w:val="both"/>
      </w:pPr>
      <w:r>
        <w:t>- analizuoti ir specialistams perteikti ES šalių ir Lietuvos darbo su delinkventinio elgesio vaikais gerąją patirtį bei jiems taikomas korekcijos priemones;</w:t>
      </w:r>
    </w:p>
    <w:p w:rsidR="00C07927" w:rsidRDefault="00C07927" w:rsidP="00C07927">
      <w:pPr>
        <w:ind w:firstLine="720"/>
        <w:jc w:val="both"/>
      </w:pPr>
      <w:r>
        <w:t>- suteikti specialistams teorinių žinių apie psichosocialinius delinkventinio elgesio vaikų ypatumus bei tobulinti praktinius gebėjimus taikyti socialinės pagalbos technikas ir korekcijos priemones;</w:t>
      </w:r>
    </w:p>
    <w:p w:rsidR="00C07927" w:rsidRDefault="00C07927" w:rsidP="00C07927">
      <w:pPr>
        <w:ind w:firstLine="720"/>
        <w:jc w:val="both"/>
      </w:pPr>
      <w:r>
        <w:t xml:space="preserve">- tobulinti specialistų vadybinius gebėjimus; gebėjimą planuoti, koordinuoti kitų specialistų veiklą, kurti informacinius komunikavimo tinklus su kitomis institucijomis bei valdyti projektus. </w:t>
      </w:r>
    </w:p>
    <w:p w:rsidR="00C07927" w:rsidRDefault="00C07927" w:rsidP="00C07927">
      <w:pPr>
        <w:ind w:firstLine="720"/>
        <w:jc w:val="both"/>
      </w:pPr>
      <w:r>
        <w:t xml:space="preserve">  Specialiosios pedagogikos ir psichologijos centras prie Švietimo ir mokslo ministerijos turi parengti Lietuvos Respublikos vaiko minimalios ir vidutinės priežiūros įstatyme numatytų priežiūros formų skyrimo ir įgyvendinimo rekomendacijas. Taip pat numatomas specialistų, dirbančių Vaikų specializacijos centruose, kvalifikacijos tobulinimas iš Europos Sąjungos struktūrinių fondų lėšų pagal MPT plius programą.</w:t>
      </w:r>
    </w:p>
    <w:p w:rsidR="00C07927" w:rsidRDefault="00C07927" w:rsidP="00C07927">
      <w:pPr>
        <w:ind w:firstLine="720"/>
        <w:jc w:val="both"/>
      </w:pPr>
      <w:r>
        <w:t xml:space="preserve"> Specialiosios pedagogikos ir psichologijos centro prie Švietimo ir mokslo ministerijos duomenimis, Lietuvos Respublikos vaiko minimalios ir vidutinės priežiūros įstatymo nuostatoms įgyvendinti, formuojamas “vieno langelio” principas, siekiant informacijos apie minimalios ir vidutinės priežiūros taikymą prieinamumo ir sklaidos visuomenėje, nuolatinio monitoringo, adekvataus vaikų socializacijos centrų užimtumo bei reikiamos pagalbos organizavimo teikimo.  </w:t>
      </w:r>
    </w:p>
    <w:p w:rsidR="00C07927" w:rsidRDefault="00C07927" w:rsidP="00C07927">
      <w:pPr>
        <w:ind w:firstLine="720"/>
        <w:jc w:val="both"/>
      </w:pPr>
      <w:r>
        <w:t>2009 03 18 Seimo Narkomanijos ir alkoholizmo prevencijos komisija   pritarė darbo grupės sudarymui “Dėl Lietuvos Respublikos vaiko minimalios ir vidutinės priežiūros įstatymo pakeitimo ir papildymo” projektui parengti. Lietuvos Respublikos Seimo valdyba 2009 m. patvirtino darbo grupę sudėtį “Dėl Lietuvos Respublikos Vaiko minimalios ir vidutinės priežiūros įstatymo pakeitimo ir papildymo” projektui parengti.</w:t>
      </w:r>
    </w:p>
    <w:p w:rsidR="00C07927" w:rsidRDefault="00C07927" w:rsidP="00C07927">
      <w:pPr>
        <w:jc w:val="both"/>
        <w:rPr>
          <w:i/>
          <w:iCs/>
        </w:rPr>
      </w:pPr>
    </w:p>
    <w:p w:rsidR="00C07927" w:rsidRPr="00823E54" w:rsidRDefault="00C07927" w:rsidP="00C07927">
      <w:pPr>
        <w:jc w:val="both"/>
      </w:pPr>
    </w:p>
    <w:p w:rsidR="008C1510" w:rsidRDefault="008C1510"/>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522C32" w:rsidRDefault="00522C32"/>
    <w:p w:rsidR="00A2543C" w:rsidRDefault="00A2543C" w:rsidP="00A2543C">
      <w:pPr>
        <w:jc w:val="both"/>
        <w:rPr>
          <w:b/>
          <w:bCs/>
          <w:sz w:val="28"/>
        </w:rPr>
      </w:pPr>
    </w:p>
    <w:p w:rsidR="00A2543C" w:rsidRDefault="00A2543C" w:rsidP="00A2543C">
      <w:pPr>
        <w:jc w:val="both"/>
        <w:rPr>
          <w:b/>
          <w:bCs/>
          <w:sz w:val="28"/>
        </w:rPr>
      </w:pPr>
    </w:p>
    <w:p w:rsidR="00A2543C" w:rsidRDefault="00A2543C" w:rsidP="00A2543C">
      <w:pPr>
        <w:ind w:left="1440" w:firstLine="720"/>
        <w:jc w:val="both"/>
        <w:rPr>
          <w:b/>
          <w:bCs/>
          <w:sz w:val="28"/>
        </w:rPr>
      </w:pPr>
      <w:r>
        <w:rPr>
          <w:b/>
          <w:bCs/>
          <w:sz w:val="28"/>
        </w:rPr>
        <w:t xml:space="preserve">   LIETUVOS RESPUBLIKOS SEIMO</w:t>
      </w:r>
    </w:p>
    <w:p w:rsidR="00A2543C" w:rsidRDefault="00A2543C" w:rsidP="00A2543C">
      <w:pPr>
        <w:jc w:val="both"/>
        <w:rPr>
          <w:b/>
          <w:bCs/>
          <w:sz w:val="28"/>
        </w:rPr>
      </w:pPr>
    </w:p>
    <w:p w:rsidR="00A2543C" w:rsidRDefault="00A2543C" w:rsidP="00A2543C">
      <w:pPr>
        <w:ind w:left="1440"/>
        <w:jc w:val="both"/>
        <w:rPr>
          <w:b/>
          <w:bCs/>
          <w:sz w:val="28"/>
        </w:rPr>
      </w:pPr>
      <w:r>
        <w:rPr>
          <w:b/>
          <w:bCs/>
          <w:sz w:val="28"/>
        </w:rPr>
        <w:t>NARKOMANIJOS IR ALKOHOLIZMO PREVENCIJOS</w:t>
      </w:r>
    </w:p>
    <w:p w:rsidR="00A2543C" w:rsidRDefault="00A2543C" w:rsidP="00A2543C">
      <w:pPr>
        <w:ind w:left="1440"/>
        <w:jc w:val="both"/>
        <w:rPr>
          <w:b/>
          <w:bCs/>
          <w:sz w:val="28"/>
        </w:rPr>
      </w:pPr>
      <w:r>
        <w:rPr>
          <w:b/>
          <w:bCs/>
          <w:sz w:val="28"/>
        </w:rPr>
        <w:t xml:space="preserve">                             KOMISIJOS</w:t>
      </w:r>
    </w:p>
    <w:p w:rsidR="00A2543C" w:rsidRDefault="00A2543C" w:rsidP="00A2543C">
      <w:pPr>
        <w:jc w:val="both"/>
        <w:rPr>
          <w:b/>
          <w:bCs/>
          <w:sz w:val="28"/>
        </w:rPr>
      </w:pPr>
    </w:p>
    <w:p w:rsidR="00A2543C" w:rsidRDefault="00A2543C" w:rsidP="00A2543C">
      <w:pPr>
        <w:ind w:left="2160" w:firstLine="720"/>
        <w:jc w:val="both"/>
        <w:rPr>
          <w:b/>
          <w:bCs/>
          <w:sz w:val="28"/>
        </w:rPr>
      </w:pPr>
      <w:r>
        <w:rPr>
          <w:b/>
          <w:bCs/>
          <w:sz w:val="28"/>
        </w:rPr>
        <w:t>2012  METŲ VEIKLOS</w:t>
      </w:r>
    </w:p>
    <w:p w:rsidR="00A2543C" w:rsidRDefault="00A2543C" w:rsidP="00A2543C">
      <w:pPr>
        <w:jc w:val="both"/>
        <w:rPr>
          <w:b/>
          <w:bCs/>
          <w:sz w:val="28"/>
        </w:rPr>
      </w:pPr>
    </w:p>
    <w:p w:rsidR="00A2543C" w:rsidRDefault="00A2543C" w:rsidP="00A2543C">
      <w:pPr>
        <w:jc w:val="both"/>
        <w:rPr>
          <w:b/>
          <w:bCs/>
          <w:sz w:val="28"/>
        </w:rPr>
      </w:pPr>
    </w:p>
    <w:p w:rsidR="00A2543C" w:rsidRDefault="00A2543C" w:rsidP="00A2543C">
      <w:pPr>
        <w:jc w:val="both"/>
        <w:rPr>
          <w:b/>
          <w:bCs/>
          <w:sz w:val="28"/>
        </w:rPr>
      </w:pPr>
    </w:p>
    <w:p w:rsidR="00A2543C" w:rsidRDefault="00A2543C" w:rsidP="00A2543C">
      <w:pPr>
        <w:pStyle w:val="Normal1"/>
        <w:rPr>
          <w:b/>
          <w:bCs/>
          <w:sz w:val="28"/>
          <w:szCs w:val="24"/>
          <w:lang w:val="lt-LT"/>
        </w:rPr>
      </w:pPr>
      <w:r>
        <w:rPr>
          <w:b/>
          <w:bCs/>
          <w:sz w:val="28"/>
          <w:szCs w:val="24"/>
          <w:lang w:val="lt-LT"/>
        </w:rPr>
        <w:t xml:space="preserve">                                                A T A S K A I T A</w:t>
      </w:r>
    </w:p>
    <w:p w:rsidR="00A2543C" w:rsidRDefault="00A2543C" w:rsidP="00A2543C">
      <w:pPr>
        <w:jc w:val="both"/>
        <w:rPr>
          <w:b/>
          <w:bCs/>
          <w:sz w:val="28"/>
        </w:rPr>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jc w:val="both"/>
      </w:pPr>
    </w:p>
    <w:p w:rsidR="00A2543C" w:rsidRDefault="00A2543C" w:rsidP="00A2543C">
      <w:pPr>
        <w:pStyle w:val="Pagrindiniotekstotrauka"/>
        <w:rPr>
          <w:b/>
          <w:szCs w:val="24"/>
          <w:lang w:val="lt-LT"/>
        </w:rPr>
      </w:pPr>
      <w:r>
        <w:rPr>
          <w:szCs w:val="24"/>
          <w:lang w:val="lt-LT"/>
        </w:rPr>
        <w:t xml:space="preserve">Lietuvos Respublikos Seimas, vadovaudamasis Seimo statuto 71 straipsniu, 2008 m. gruodžio 2 d. nutarimu Nr. XI-37 sudarė nuolatinę Seimo Narkomanijos ir alkoholizmo prevencijos komisiją iš 11 narių, nuo 2012 metų birželio 5 dienos iš 10 narių. </w:t>
      </w:r>
    </w:p>
    <w:p w:rsidR="00A2543C" w:rsidRDefault="00A2543C" w:rsidP="00A2543C">
      <w:pPr>
        <w:ind w:firstLine="720"/>
        <w:jc w:val="both"/>
      </w:pPr>
      <w:r>
        <w:t xml:space="preserve">Nuo 2008 m. gruodžio 3 d. Lietuvos Respublikos Seimo Narkomanijos ir alkoholizmo prevencijos komisijos pirmininke išrinkta Vincė Vaidevutė Margevičienė. </w:t>
      </w:r>
    </w:p>
    <w:p w:rsidR="00A2543C" w:rsidRDefault="00A2543C" w:rsidP="00A2543C">
      <w:pPr>
        <w:ind w:firstLine="720"/>
        <w:jc w:val="both"/>
      </w:pPr>
      <w:r>
        <w:t>2009 m. gruodžio 3 d. Seimo Narkomanijos ir alkoholizmo prevencijos komisijos posėdyje komisijos pirmininko pavaduotoja išrinkta  Seimo narė Dangutė Mikutienė.</w:t>
      </w:r>
    </w:p>
    <w:p w:rsidR="00A2543C" w:rsidRDefault="00A2543C" w:rsidP="00A2543C">
      <w:pPr>
        <w:ind w:firstLine="720"/>
        <w:jc w:val="both"/>
      </w:pPr>
      <w:r>
        <w:t>2009 m. kovo 26 d.  Lietuvos Respublikos Seimas nutarimu Nr. XI - 210 “Dėl Lietuvos Respublikos Seimo Narkomanijos ir alkoholizmo prevencijos komisijos nuostatų patvirtinimo” patvirtino Seimo Narkomanijos ir alkoholizmo prevencijos komisijos nuostatus.</w:t>
      </w:r>
    </w:p>
    <w:p w:rsidR="00A2543C" w:rsidRDefault="00A2543C" w:rsidP="00A2543C">
      <w:pPr>
        <w:ind w:firstLine="720"/>
        <w:jc w:val="both"/>
      </w:pPr>
      <w:r>
        <w:t xml:space="preserve">Lietuvos Respublikos Seimo Narkomanijos ir alkoholizmo prevencijos komisijos sudėtis: </w:t>
      </w:r>
    </w:p>
    <w:p w:rsidR="00A2543C" w:rsidRDefault="00A2543C" w:rsidP="00A2543C">
      <w:pPr>
        <w:ind w:firstLine="720"/>
        <w:jc w:val="both"/>
      </w:pPr>
      <w:r>
        <w:t>1) Andrius Burba;</w:t>
      </w:r>
    </w:p>
    <w:p w:rsidR="00A2543C" w:rsidRDefault="00A2543C" w:rsidP="00A2543C">
      <w:pPr>
        <w:ind w:firstLine="720"/>
        <w:jc w:val="both"/>
      </w:pPr>
      <w:r>
        <w:t>2) Algimantas Dumbrava;</w:t>
      </w:r>
    </w:p>
    <w:p w:rsidR="00A2543C" w:rsidRDefault="00A2543C" w:rsidP="00A2543C">
      <w:pPr>
        <w:ind w:firstLine="720"/>
        <w:jc w:val="both"/>
      </w:pPr>
      <w:r>
        <w:t>3)  Egidijus Klumbys;</w:t>
      </w:r>
    </w:p>
    <w:p w:rsidR="00A2543C" w:rsidRDefault="00A2543C" w:rsidP="00A2543C">
      <w:pPr>
        <w:ind w:firstLine="720"/>
        <w:jc w:val="both"/>
      </w:pPr>
      <w:r>
        <w:t>4) Vincė Vaidevutė Margevičienė;</w:t>
      </w:r>
    </w:p>
    <w:p w:rsidR="00A2543C" w:rsidRDefault="00A2543C" w:rsidP="00A2543C">
      <w:pPr>
        <w:ind w:firstLine="720"/>
        <w:jc w:val="both"/>
      </w:pPr>
      <w:r>
        <w:t>5) Dangutė Mikutienė;</w:t>
      </w:r>
    </w:p>
    <w:p w:rsidR="00A2543C" w:rsidRDefault="00A2543C" w:rsidP="00A2543C">
      <w:pPr>
        <w:ind w:firstLine="720"/>
        <w:jc w:val="both"/>
      </w:pPr>
      <w:r>
        <w:t>6) Gediminas Navaitis;</w:t>
      </w:r>
    </w:p>
    <w:p w:rsidR="00A2543C" w:rsidRDefault="00A2543C" w:rsidP="00A2543C">
      <w:pPr>
        <w:ind w:firstLine="720"/>
        <w:jc w:val="both"/>
      </w:pPr>
      <w:r>
        <w:t>7) Marija Aušrinė Pavilionienė;</w:t>
      </w:r>
    </w:p>
    <w:p w:rsidR="00A2543C" w:rsidRDefault="00A2543C" w:rsidP="00A2543C">
      <w:pPr>
        <w:ind w:firstLine="720"/>
        <w:jc w:val="both"/>
      </w:pPr>
      <w:r>
        <w:t>8) Naglis Puteikis ( iki 2012-06-05);</w:t>
      </w:r>
    </w:p>
    <w:p w:rsidR="00A2543C" w:rsidRDefault="00A2543C" w:rsidP="00A2543C">
      <w:pPr>
        <w:ind w:firstLine="720"/>
        <w:jc w:val="both"/>
      </w:pPr>
      <w:r>
        <w:t>9)  Algirdas Sysas;</w:t>
      </w:r>
    </w:p>
    <w:p w:rsidR="00A2543C" w:rsidRDefault="00A2543C" w:rsidP="00A2543C">
      <w:pPr>
        <w:ind w:firstLine="720"/>
        <w:jc w:val="both"/>
      </w:pPr>
      <w:r>
        <w:t>10) Gintaras Songaila;</w:t>
      </w:r>
    </w:p>
    <w:p w:rsidR="00A2543C" w:rsidRDefault="00A2543C" w:rsidP="00A2543C">
      <w:pPr>
        <w:ind w:firstLine="720"/>
        <w:jc w:val="both"/>
      </w:pPr>
      <w:r>
        <w:t>11) Kazimieras Uoka.</w:t>
      </w:r>
    </w:p>
    <w:p w:rsidR="00A2543C" w:rsidRDefault="00A2543C" w:rsidP="00A2543C">
      <w:pPr>
        <w:jc w:val="both"/>
      </w:pPr>
    </w:p>
    <w:p w:rsidR="00A2543C" w:rsidRDefault="00A2543C" w:rsidP="00A2543C">
      <w:pPr>
        <w:jc w:val="both"/>
        <w:rPr>
          <w:b/>
        </w:rPr>
      </w:pPr>
      <w:r>
        <w:tab/>
      </w:r>
      <w:r>
        <w:tab/>
      </w:r>
      <w:r>
        <w:tab/>
      </w:r>
      <w:r>
        <w:rPr>
          <w:b/>
        </w:rPr>
        <w:t>Komisijos veikla</w:t>
      </w:r>
    </w:p>
    <w:p w:rsidR="00A2543C" w:rsidRDefault="00A2543C" w:rsidP="00A2543C">
      <w:pPr>
        <w:jc w:val="both"/>
      </w:pPr>
    </w:p>
    <w:p w:rsidR="00A2543C" w:rsidRPr="00396194" w:rsidRDefault="00A2543C" w:rsidP="00A2543C">
      <w:pPr>
        <w:ind w:firstLine="720"/>
        <w:jc w:val="both"/>
      </w:pPr>
      <w:r>
        <w:t xml:space="preserve">Lietuvos Respublikos Seimo </w:t>
      </w:r>
      <w:r w:rsidRPr="00396194">
        <w:t xml:space="preserve">2012 metų pavasario ir rudens sesijų metu Komisija surengė 19 posėdžių, </w:t>
      </w:r>
      <w:r>
        <w:t>1 renginį, 4 diskusija</w:t>
      </w:r>
      <w:r w:rsidRPr="00396194">
        <w:t>s</w:t>
      </w:r>
      <w:r>
        <w:t xml:space="preserve"> ir 4 konferencijas, į kuria</w:t>
      </w:r>
      <w:r w:rsidRPr="00396194">
        <w:t>s buvo kviečiami atsakingi institucijų pareigūnai, visuomeninių ir kitų organizacijų atstovai.</w:t>
      </w:r>
    </w:p>
    <w:p w:rsidR="00A2543C" w:rsidRDefault="00A2543C" w:rsidP="00A2543C">
      <w:pPr>
        <w:ind w:firstLine="720"/>
        <w:jc w:val="both"/>
      </w:pPr>
      <w:r>
        <w:t xml:space="preserve">Ataskaitiniu laikotarpiu Komisijoje gauti skundai dėl narkomanijos ir alkoholizmo prevencijos, narkotikų ir alkoholio kontrolės bei nacionalinių programų įgyvendinimo klausimais. </w:t>
      </w:r>
    </w:p>
    <w:p w:rsidR="00A2543C" w:rsidRDefault="00A2543C" w:rsidP="00A2543C">
      <w:pPr>
        <w:ind w:firstLine="720"/>
        <w:jc w:val="both"/>
      </w:pPr>
      <w:r>
        <w:t xml:space="preserve">Ataskaitiniu laikotarpiu Komisija surengė, padėjo organizuoti susitikimus, renginius ir </w:t>
      </w:r>
      <w:r>
        <w:rPr>
          <w:bCs/>
        </w:rPr>
        <w:t>konferencijas narkomanijos</w:t>
      </w:r>
      <w:r>
        <w:t xml:space="preserve"> ir alkoholizmo prevencijos, narkotikų ir alkoholio kontrolės ir  narkomanijos politikos temomis: </w:t>
      </w:r>
    </w:p>
    <w:p w:rsidR="00A2543C" w:rsidRDefault="00A2543C" w:rsidP="00A2543C">
      <w:pPr>
        <w:ind w:firstLine="720"/>
        <w:jc w:val="both"/>
      </w:pPr>
      <w:r>
        <w:rPr>
          <w:bCs/>
        </w:rPr>
        <w:t xml:space="preserve">2012-03-07 diskusija  </w:t>
      </w:r>
      <w:r>
        <w:t xml:space="preserve">Savivaldybių administracijų vaiko gerovės komisijų darbo klausimais, įgyvendinant Lietuvos Respublikos vaiko minimalios ir vidutinės priežiūros įstatymo nuostatas dėl vaiko minimalios ir vidutinės priežiūros priemonių vykdymo. Dalyvavo savivaldybių administracijų </w:t>
      </w:r>
      <w:r>
        <w:lastRenderedPageBreak/>
        <w:t>vaiko gerovės komisijų pirmininkai, savivaldybių vaiko teisių apsaugos tarnybų atstovai,  Lietuvos Respublikos socialinės apsaugos ir darbo ministerijos, Lietuvos Respublikos švietimo ir mokslo ministerijos atstovai, Lietuvos savivaldybių asociacijos atstovas, Nacionalinės teismų administracijos atstovas, Vaikų socializacijos centrų direktoriai.</w:t>
      </w:r>
    </w:p>
    <w:p w:rsidR="00A2543C" w:rsidRDefault="00A2543C" w:rsidP="00A2543C">
      <w:pPr>
        <w:ind w:firstLine="720"/>
        <w:jc w:val="both"/>
      </w:pPr>
      <w:r>
        <w:t xml:space="preserve">2012-04-25 diskusija „Psichoaktyvių medžiagų ir alkoholio vartojimo prevencija vaikų globos namuose“. </w:t>
      </w:r>
    </w:p>
    <w:p w:rsidR="00A2543C" w:rsidRDefault="00A2543C" w:rsidP="00A2543C">
      <w:pPr>
        <w:ind w:firstLine="720"/>
        <w:jc w:val="both"/>
      </w:pPr>
      <w:r>
        <w:t>2012-05-24 diskusija su Lietuvos mokinių parlamentu.</w:t>
      </w:r>
    </w:p>
    <w:p w:rsidR="00A2543C" w:rsidRDefault="00A2543C" w:rsidP="00A2543C">
      <w:pPr>
        <w:ind w:firstLine="720"/>
        <w:jc w:val="both"/>
      </w:pPr>
      <w:r>
        <w:t>2012-05-24 diskusija „Psichika veikiančių medžiagų vartojimo prevencija jaunimo tarpe‘.</w:t>
      </w:r>
    </w:p>
    <w:p w:rsidR="00A2543C" w:rsidRDefault="00A2543C" w:rsidP="00A2543C">
      <w:pPr>
        <w:ind w:firstLine="720"/>
        <w:jc w:val="both"/>
      </w:pPr>
      <w:r>
        <w:t xml:space="preserve">2012-05-23-25 vyko Tarptautinei  be žinios dingusių vaikų atmintinai dienai paminėti renginiai „Mes jūsų neužmiršome‘ Vilniuje. </w:t>
      </w:r>
    </w:p>
    <w:p w:rsidR="00A2543C" w:rsidRDefault="00A2543C" w:rsidP="00A2543C">
      <w:pPr>
        <w:ind w:firstLine="720"/>
        <w:jc w:val="both"/>
      </w:pPr>
      <w:r>
        <w:t>2012-06-01 vyko konferencija „ Ko reikia vaiko teisėms apginti, kad vaikai turėtų prideramas asmenybės vystymosi galimybes?.</w:t>
      </w:r>
    </w:p>
    <w:p w:rsidR="00A2543C" w:rsidRDefault="00A2543C" w:rsidP="00A2543C">
      <w:pPr>
        <w:ind w:firstLine="720"/>
        <w:jc w:val="both"/>
      </w:pPr>
      <w:r>
        <w:t xml:space="preserve">2012-09-12 vyko konferencija „Mokslo pažanga – efektyviai narkotikų vartojimo prevencijai‘. </w:t>
      </w:r>
    </w:p>
    <w:p w:rsidR="00A2543C" w:rsidRDefault="00A2543C" w:rsidP="00A2543C">
      <w:pPr>
        <w:ind w:firstLine="720"/>
        <w:jc w:val="both"/>
      </w:pPr>
      <w:r w:rsidRPr="00DB0C6D">
        <w:rPr>
          <w:bCs/>
          <w:color w:val="3D3D3D"/>
          <w:lang w:eastAsia="lt-LT"/>
        </w:rPr>
        <w:t>2012-10-25</w:t>
      </w:r>
      <w:r>
        <w:rPr>
          <w:bCs/>
          <w:color w:val="3D3D3D"/>
          <w:lang w:eastAsia="lt-LT"/>
        </w:rPr>
        <w:t xml:space="preserve"> vyko</w:t>
      </w:r>
      <w:r w:rsidRPr="00DB0C6D">
        <w:rPr>
          <w:bCs/>
          <w:color w:val="3D3D3D"/>
          <w:lang w:eastAsia="lt-LT"/>
        </w:rPr>
        <w:t xml:space="preserve"> </w:t>
      </w:r>
      <w:r>
        <w:rPr>
          <w:bCs/>
          <w:color w:val="3D3D3D"/>
          <w:lang w:eastAsia="lt-LT"/>
        </w:rPr>
        <w:t xml:space="preserve">konferencija </w:t>
      </w:r>
      <w:r>
        <w:t>“Psichoaktyviųjų medžiagų vartojimo prevencija bendrojo ugdymo mokyklose“.</w:t>
      </w:r>
    </w:p>
    <w:p w:rsidR="00A2543C" w:rsidRPr="00DB0C6D" w:rsidRDefault="00A2543C" w:rsidP="00A2543C">
      <w:pPr>
        <w:ind w:firstLine="720"/>
        <w:jc w:val="both"/>
        <w:rPr>
          <w:bCs/>
          <w:color w:val="3D3D3D"/>
          <w:lang w:eastAsia="lt-LT"/>
        </w:rPr>
      </w:pPr>
      <w:r>
        <w:rPr>
          <w:bCs/>
          <w:color w:val="3D3D3D"/>
          <w:lang w:eastAsia="lt-LT"/>
        </w:rPr>
        <w:t xml:space="preserve"> </w:t>
      </w:r>
    </w:p>
    <w:p w:rsidR="00A2543C" w:rsidRDefault="00A2543C" w:rsidP="00A2543C">
      <w:pPr>
        <w:ind w:firstLine="720"/>
        <w:jc w:val="both"/>
        <w:rPr>
          <w:rFonts w:ascii="Verdana" w:hAnsi="Verdana" w:cs="Tahoma"/>
          <w:color w:val="870008"/>
          <w:sz w:val="23"/>
          <w:szCs w:val="23"/>
        </w:rPr>
      </w:pPr>
    </w:p>
    <w:p w:rsidR="00A2543C" w:rsidRDefault="00A2543C" w:rsidP="00A2543C">
      <w:pPr>
        <w:pStyle w:val="Antrat9"/>
        <w:ind w:left="720"/>
        <w:rPr>
          <w:rFonts w:ascii="Times New Roman" w:hAnsi="Times New Roman"/>
        </w:rPr>
      </w:pPr>
      <w:r>
        <w:rPr>
          <w:rFonts w:ascii="Times New Roman" w:hAnsi="Times New Roman"/>
        </w:rPr>
        <w:t xml:space="preserve">Komisijos posėdžiai 2012 metais </w:t>
      </w:r>
    </w:p>
    <w:p w:rsidR="00A2543C" w:rsidRDefault="00A2543C" w:rsidP="00A2543C">
      <w:pPr>
        <w:ind w:firstLine="720"/>
        <w:jc w:val="both"/>
        <w:rPr>
          <w:b/>
          <w:bCs/>
        </w:rPr>
      </w:pPr>
      <w:r>
        <w:rPr>
          <w:b/>
          <w:bCs/>
        </w:rPr>
        <w:t xml:space="preserve">  </w:t>
      </w:r>
    </w:p>
    <w:p w:rsidR="00A2543C" w:rsidRDefault="00A2543C" w:rsidP="00A2543C">
      <w:pPr>
        <w:ind w:firstLine="720"/>
        <w:jc w:val="both"/>
      </w:pPr>
      <w:r>
        <w:rPr>
          <w:b/>
          <w:i/>
        </w:rPr>
        <w:t>1 posėdis</w:t>
      </w:r>
      <w:r>
        <w:rPr>
          <w:i/>
        </w:rPr>
        <w:t xml:space="preserve"> - </w:t>
      </w:r>
      <w:r>
        <w:t>2012-03-14  Seimo Narkomanijos ir alkoholizmo prevencijos komisija posėdyje svarstė šiuos klausimus:</w:t>
      </w:r>
    </w:p>
    <w:p w:rsidR="00A2543C" w:rsidRDefault="00A2543C" w:rsidP="00A2543C">
      <w:pPr>
        <w:ind w:firstLine="720"/>
        <w:jc w:val="both"/>
        <w:rPr>
          <w:snapToGrid w:val="0"/>
          <w:color w:val="000000"/>
        </w:rPr>
      </w:pPr>
      <w:r w:rsidRPr="00DA68BA">
        <w:t>1.</w:t>
      </w:r>
      <w:r w:rsidRPr="00DA68BA">
        <w:rPr>
          <w:snapToGrid w:val="0"/>
          <w:color w:val="000000"/>
        </w:rPr>
        <w:t xml:space="preserve"> Dėl 2011 m. balandžio 6 d. Narkomanijos ir alkoholizmo prevencijos komisijos sprendimo dėl narkomanijos prevencijos ir narkotikų užkardymo romų tabore Kirtimuose, Vilniuje, įgyvendinimo</w:t>
      </w:r>
      <w:r>
        <w:rPr>
          <w:snapToGrid w:val="0"/>
          <w:color w:val="000000"/>
        </w:rPr>
        <w:t>.</w:t>
      </w:r>
    </w:p>
    <w:p w:rsidR="00A2543C" w:rsidRPr="00DA68BA" w:rsidRDefault="00A2543C" w:rsidP="00A2543C">
      <w:pPr>
        <w:ind w:firstLine="720"/>
        <w:jc w:val="both"/>
        <w:rPr>
          <w:snapToGrid w:val="0"/>
          <w:color w:val="000000"/>
        </w:rPr>
      </w:pPr>
      <w:r w:rsidRPr="00DA68BA">
        <w:t>2.</w:t>
      </w:r>
      <w:r w:rsidRPr="00DA68BA">
        <w:rPr>
          <w:snapToGrid w:val="0"/>
          <w:color w:val="000000"/>
        </w:rPr>
        <w:t xml:space="preserve"> Dėl Nacionalinės narkotikų kontrolės ir narkomanijos prevencijos 2010-2016 metų programos priemonių įgyvendinimo ir finansavimo 2012 metais</w:t>
      </w:r>
      <w:r>
        <w:rPr>
          <w:snapToGrid w:val="0"/>
          <w:color w:val="000000"/>
        </w:rPr>
        <w:t>.</w:t>
      </w:r>
    </w:p>
    <w:p w:rsidR="00A2543C" w:rsidRPr="00DA68BA" w:rsidRDefault="00A2543C" w:rsidP="00A2543C">
      <w:pPr>
        <w:ind w:firstLine="720"/>
        <w:jc w:val="both"/>
      </w:pPr>
      <w:r>
        <w:t>3.</w:t>
      </w:r>
      <w:r w:rsidRPr="00DA68BA">
        <w:rPr>
          <w:snapToGrid w:val="0"/>
          <w:color w:val="000000"/>
        </w:rPr>
        <w:t xml:space="preserve"> Dėl Seimo Narkomanijos ir alkoholizmo prevencijos komisijos 2012 metų veiklos plano projekto</w:t>
      </w:r>
      <w:r>
        <w:rPr>
          <w:snapToGrid w:val="0"/>
          <w:color w:val="000000"/>
        </w:rPr>
        <w:t>.</w:t>
      </w:r>
    </w:p>
    <w:p w:rsidR="00A2543C" w:rsidRDefault="00A2543C" w:rsidP="00A2543C">
      <w:pPr>
        <w:ind w:firstLine="720"/>
        <w:jc w:val="both"/>
      </w:pPr>
      <w:r>
        <w:rPr>
          <w:b/>
          <w:i/>
        </w:rPr>
        <w:t>2  posėdis</w:t>
      </w:r>
      <w:r>
        <w:rPr>
          <w:i/>
        </w:rPr>
        <w:t xml:space="preserve"> - </w:t>
      </w:r>
      <w:r>
        <w:t>2012-03-21 Seimo Narkomanijos ir alkoholizmo prevencijos komisija posėdyje svarstė šiuos klausimus:</w:t>
      </w:r>
    </w:p>
    <w:p w:rsidR="00A2543C" w:rsidRDefault="00A2543C" w:rsidP="00A2543C">
      <w:pPr>
        <w:ind w:firstLine="720"/>
        <w:jc w:val="both"/>
        <w:rPr>
          <w:snapToGrid w:val="0"/>
          <w:color w:val="000000"/>
        </w:rPr>
      </w:pPr>
      <w:r w:rsidRPr="00DA68BA">
        <w:t>1.</w:t>
      </w:r>
      <w:r w:rsidRPr="00DA68BA">
        <w:rPr>
          <w:snapToGrid w:val="0"/>
          <w:color w:val="000000"/>
        </w:rPr>
        <w:t xml:space="preserve"> Dėl </w:t>
      </w:r>
      <w:r>
        <w:rPr>
          <w:snapToGrid w:val="0"/>
          <w:color w:val="000000"/>
        </w:rPr>
        <w:t xml:space="preserve">Lietuvos Respublikos Seimo </w:t>
      </w:r>
      <w:r w:rsidRPr="00DA68BA">
        <w:rPr>
          <w:snapToGrid w:val="0"/>
          <w:color w:val="000000"/>
        </w:rPr>
        <w:t>2011 m. b</w:t>
      </w:r>
      <w:r>
        <w:rPr>
          <w:snapToGrid w:val="0"/>
          <w:color w:val="000000"/>
        </w:rPr>
        <w:t>irželio 30</w:t>
      </w:r>
      <w:r w:rsidRPr="00DA68BA">
        <w:rPr>
          <w:snapToGrid w:val="0"/>
          <w:color w:val="000000"/>
        </w:rPr>
        <w:t xml:space="preserve"> d. </w:t>
      </w:r>
      <w:r>
        <w:rPr>
          <w:snapToGrid w:val="0"/>
          <w:color w:val="000000"/>
        </w:rPr>
        <w:t>nutarimo Nr. XI- 1573 „ Dėl metadono naudojimo teisėtumo“ įgyvendinimo.</w:t>
      </w:r>
    </w:p>
    <w:p w:rsidR="00A2543C" w:rsidRDefault="00A2543C" w:rsidP="00A2543C">
      <w:pPr>
        <w:spacing w:before="40" w:after="40"/>
        <w:ind w:firstLine="720"/>
        <w:jc w:val="both"/>
        <w:rPr>
          <w:snapToGrid w:val="0"/>
          <w:color w:val="000000"/>
        </w:rPr>
      </w:pPr>
      <w:r>
        <w:t>2.</w:t>
      </w:r>
      <w:r w:rsidRPr="00DA68BA">
        <w:rPr>
          <w:snapToGrid w:val="0"/>
          <w:color w:val="000000"/>
        </w:rPr>
        <w:t xml:space="preserve"> Dėl Seimo Narkomanijos ir alkoholizmo prevencijos komisijos 2012 metų veiklos plano projekto</w:t>
      </w:r>
      <w:r>
        <w:rPr>
          <w:snapToGrid w:val="0"/>
          <w:color w:val="000000"/>
        </w:rPr>
        <w:t>.</w:t>
      </w:r>
    </w:p>
    <w:p w:rsidR="00A2543C" w:rsidRDefault="00A2543C" w:rsidP="00A2543C">
      <w:pPr>
        <w:spacing w:before="40" w:after="40"/>
        <w:ind w:firstLine="720"/>
        <w:jc w:val="both"/>
        <w:rPr>
          <w:snapToGrid w:val="0"/>
          <w:color w:val="000000"/>
        </w:rPr>
      </w:pPr>
      <w:r>
        <w:rPr>
          <w:snapToGrid w:val="0"/>
          <w:color w:val="000000"/>
        </w:rPr>
        <w:t>3. Kiti klausimai.</w:t>
      </w:r>
    </w:p>
    <w:p w:rsidR="00A2543C" w:rsidRPr="00AA6993" w:rsidRDefault="00A2543C" w:rsidP="00A2543C">
      <w:pPr>
        <w:ind w:firstLine="720"/>
        <w:jc w:val="both"/>
      </w:pPr>
      <w:r w:rsidRPr="00AA6993">
        <w:rPr>
          <w:b/>
          <w:i/>
        </w:rPr>
        <w:t>3 posėdis</w:t>
      </w:r>
      <w:r w:rsidRPr="00AA6993">
        <w:t xml:space="preserve"> – 2012-03-28 Seimo Narkomanijos ir alkoholizmo prevencijos komisija posėdyje svarstė šiuos klausimus:</w:t>
      </w:r>
    </w:p>
    <w:p w:rsidR="00A2543C" w:rsidRPr="00AA6993" w:rsidRDefault="00A2543C" w:rsidP="00A2543C">
      <w:pPr>
        <w:spacing w:before="40" w:after="40"/>
        <w:jc w:val="both"/>
      </w:pPr>
      <w:r w:rsidRPr="00AA6993">
        <w:rPr>
          <w:rFonts w:eastAsia="Arial Unicode MS"/>
        </w:rPr>
        <w:t xml:space="preserve">Dėl Tarpžinybinės vaiko gerovės tarybos vykdomų  funkcijų </w:t>
      </w:r>
      <w:r w:rsidRPr="00AA6993">
        <w:t>dėl ministerijų ir kitų valstybės bei savivaldybių institucijų ir įstaigų tarpžinybinės veiklos ir priimamų sprendimų derinimo:</w:t>
      </w:r>
    </w:p>
    <w:p w:rsidR="00A2543C" w:rsidRPr="00AA6993" w:rsidRDefault="00A2543C" w:rsidP="00A2543C">
      <w:pPr>
        <w:pStyle w:val="Pagrindinistekstas1"/>
        <w:numPr>
          <w:ilvl w:val="0"/>
          <w:numId w:val="50"/>
        </w:numPr>
        <w:rPr>
          <w:rFonts w:ascii="Times New Roman" w:hAnsi="Times New Roman"/>
          <w:sz w:val="24"/>
          <w:szCs w:val="24"/>
          <w:lang w:val="lt-LT"/>
        </w:rPr>
      </w:pPr>
      <w:r w:rsidRPr="00AA6993">
        <w:rPr>
          <w:rFonts w:ascii="Times New Roman" w:hAnsi="Times New Roman"/>
          <w:sz w:val="24"/>
          <w:szCs w:val="24"/>
          <w:lang w:val="lt-LT"/>
        </w:rPr>
        <w:t>Dėl  vaikų socialinės gerovės.</w:t>
      </w:r>
    </w:p>
    <w:p w:rsidR="00A2543C" w:rsidRPr="00AA6993" w:rsidRDefault="00A2543C" w:rsidP="00A2543C">
      <w:pPr>
        <w:pStyle w:val="Pagrindinistekstas1"/>
        <w:numPr>
          <w:ilvl w:val="0"/>
          <w:numId w:val="50"/>
        </w:numPr>
        <w:rPr>
          <w:rFonts w:ascii="Times New Roman" w:hAnsi="Times New Roman"/>
          <w:sz w:val="24"/>
          <w:szCs w:val="24"/>
          <w:lang w:val="lt-LT"/>
        </w:rPr>
      </w:pPr>
      <w:r w:rsidRPr="00AA6993">
        <w:rPr>
          <w:rFonts w:ascii="Times New Roman" w:hAnsi="Times New Roman"/>
          <w:sz w:val="24"/>
          <w:szCs w:val="24"/>
          <w:lang w:val="lt-LT"/>
        </w:rPr>
        <w:t>Dėl vaikų sveikatos gerinimo ir sveikatos paslaugų prieinamumo.</w:t>
      </w:r>
    </w:p>
    <w:p w:rsidR="00A2543C" w:rsidRPr="00AA6993" w:rsidRDefault="00A2543C" w:rsidP="00A2543C">
      <w:pPr>
        <w:pStyle w:val="Pagrindinistekstas1"/>
        <w:rPr>
          <w:rFonts w:ascii="Times New Roman" w:hAnsi="Times New Roman"/>
          <w:sz w:val="24"/>
          <w:szCs w:val="24"/>
          <w:lang w:val="lt-LT"/>
        </w:rPr>
      </w:pPr>
      <w:r w:rsidRPr="00AA6993">
        <w:rPr>
          <w:rFonts w:ascii="Times New Roman" w:hAnsi="Times New Roman"/>
          <w:sz w:val="24"/>
          <w:szCs w:val="24"/>
          <w:lang w:val="lt-LT"/>
        </w:rPr>
        <w:t>3. Dėl  vaikų ugdymo ir užimtumo.</w:t>
      </w:r>
    </w:p>
    <w:p w:rsidR="00A2543C" w:rsidRPr="00AA6993" w:rsidRDefault="00A2543C" w:rsidP="00A2543C">
      <w:pPr>
        <w:pStyle w:val="Pagrindinistekstas1"/>
        <w:rPr>
          <w:rFonts w:ascii="Times New Roman" w:hAnsi="Times New Roman"/>
          <w:sz w:val="24"/>
          <w:szCs w:val="24"/>
          <w:lang w:val="lt-LT"/>
        </w:rPr>
      </w:pPr>
      <w:r w:rsidRPr="00AA6993">
        <w:rPr>
          <w:rFonts w:ascii="Times New Roman" w:hAnsi="Times New Roman"/>
          <w:sz w:val="24"/>
          <w:szCs w:val="24"/>
          <w:lang w:val="lt-LT"/>
        </w:rPr>
        <w:t>4.  Dėl  vaikų teisinio švietimo ir valstybės garantuojamos teisinės pagalbos teikimo.</w:t>
      </w:r>
    </w:p>
    <w:p w:rsidR="00A2543C" w:rsidRPr="00AA6993" w:rsidRDefault="00A2543C" w:rsidP="00A2543C">
      <w:pPr>
        <w:pStyle w:val="Pagrindinistekstas1"/>
        <w:rPr>
          <w:rFonts w:ascii="Times New Roman" w:hAnsi="Times New Roman"/>
          <w:sz w:val="24"/>
          <w:szCs w:val="24"/>
          <w:lang w:val="lt-LT"/>
        </w:rPr>
      </w:pPr>
      <w:r w:rsidRPr="00AA6993">
        <w:rPr>
          <w:rFonts w:ascii="Times New Roman" w:hAnsi="Times New Roman"/>
          <w:sz w:val="24"/>
          <w:szCs w:val="24"/>
          <w:lang w:val="lt-LT"/>
        </w:rPr>
        <w:t>5. Dėl vaikų nusikalstamumo, smurto prieš vaikus, prekybos vaikais ir kitų vaiko teisių pažeidimo prevencijos.</w:t>
      </w:r>
    </w:p>
    <w:p w:rsidR="00A2543C" w:rsidRPr="00AA6993" w:rsidRDefault="00A2543C" w:rsidP="00A2543C">
      <w:pPr>
        <w:pStyle w:val="Pagrindinistekstas1"/>
        <w:rPr>
          <w:rFonts w:ascii="Times New Roman" w:hAnsi="Times New Roman"/>
          <w:sz w:val="24"/>
          <w:szCs w:val="24"/>
          <w:lang w:val="lt-LT"/>
        </w:rPr>
      </w:pPr>
      <w:r w:rsidRPr="00AA6993">
        <w:rPr>
          <w:rFonts w:ascii="Times New Roman" w:hAnsi="Times New Roman"/>
          <w:sz w:val="24"/>
          <w:szCs w:val="24"/>
          <w:lang w:val="lt-LT"/>
        </w:rPr>
        <w:t>6. Dėl tarpusavio  priemonių, užtikrinančių vaiko teises ir jo teisėtus interesus, planavimo.</w:t>
      </w:r>
    </w:p>
    <w:p w:rsidR="00A2543C" w:rsidRPr="00AA6993" w:rsidRDefault="00A2543C" w:rsidP="00A2543C">
      <w:pPr>
        <w:pStyle w:val="Pagrindinistekstas1"/>
        <w:rPr>
          <w:rFonts w:ascii="Times New Roman" w:hAnsi="Times New Roman"/>
          <w:sz w:val="24"/>
          <w:szCs w:val="24"/>
          <w:lang w:val="lt-LT"/>
        </w:rPr>
      </w:pPr>
      <w:r w:rsidRPr="00AA6993">
        <w:rPr>
          <w:rFonts w:ascii="Times New Roman" w:hAnsi="Times New Roman"/>
          <w:sz w:val="24"/>
          <w:szCs w:val="24"/>
          <w:lang w:val="lt-LT"/>
        </w:rPr>
        <w:t>7. Dėl esamos vaiko gerovės padėties ir pasiūlymų dėl vaiko gerovės valstybės politikos tobulinimo, Lietuvos Respublikos įstatymų ir kitų teisės aktų, reglamentuojančių vaiko teisių bei teisėtų interesų apsaugos ir gynimo klausimais.</w:t>
      </w:r>
    </w:p>
    <w:p w:rsidR="00A2543C" w:rsidRPr="00AA6993" w:rsidRDefault="00A2543C" w:rsidP="00A2543C">
      <w:pPr>
        <w:ind w:firstLine="312"/>
      </w:pPr>
      <w:r w:rsidRPr="00AA6993">
        <w:t>8. Dėl Seimo Narkomanijos ir alkoholizmo prevencijos komisijos 2012 metų veiklos plano patvirtinimo.</w:t>
      </w:r>
    </w:p>
    <w:p w:rsidR="00A2543C" w:rsidRPr="00AA6993" w:rsidRDefault="00A2543C" w:rsidP="00A2543C">
      <w:pPr>
        <w:ind w:firstLine="312"/>
      </w:pPr>
      <w:r w:rsidRPr="00AA6993">
        <w:t>9. Kiti klausimai.</w:t>
      </w:r>
    </w:p>
    <w:p w:rsidR="00A2543C" w:rsidRPr="00AA6993" w:rsidRDefault="00A2543C" w:rsidP="00A2543C">
      <w:pPr>
        <w:ind w:firstLine="720"/>
        <w:jc w:val="both"/>
      </w:pPr>
      <w:r w:rsidRPr="00AA6993">
        <w:rPr>
          <w:b/>
          <w:i/>
        </w:rPr>
        <w:t>4 posėdis</w:t>
      </w:r>
      <w:r w:rsidRPr="00AA6993">
        <w:t xml:space="preserve"> - 2012-04-11 Seimo Narkomanijos ir alkoholizmo prevencijos komisija posėdyje svarstė:</w:t>
      </w:r>
    </w:p>
    <w:p w:rsidR="00A2543C" w:rsidRPr="00AA6993" w:rsidRDefault="00A2543C" w:rsidP="00A2543C">
      <w:pPr>
        <w:spacing w:line="360" w:lineRule="auto"/>
        <w:ind w:firstLine="720"/>
        <w:jc w:val="both"/>
      </w:pPr>
      <w:r w:rsidRPr="00AA6993">
        <w:t>1.Dėl padėties romų tabore Kirtimuose, Vilniuje.</w:t>
      </w:r>
    </w:p>
    <w:p w:rsidR="00A2543C" w:rsidRDefault="00A2543C" w:rsidP="00A2543C">
      <w:pPr>
        <w:spacing w:line="360" w:lineRule="auto"/>
        <w:ind w:firstLine="720"/>
        <w:jc w:val="both"/>
      </w:pPr>
      <w:r>
        <w:lastRenderedPageBreak/>
        <w:t>2. Kiti klausimai.</w:t>
      </w:r>
    </w:p>
    <w:p w:rsidR="00A2543C" w:rsidRDefault="00A2543C" w:rsidP="00A2543C">
      <w:pPr>
        <w:ind w:firstLine="720"/>
        <w:jc w:val="both"/>
      </w:pPr>
      <w:r w:rsidRPr="002D51D3">
        <w:rPr>
          <w:b/>
        </w:rPr>
        <w:t>5 posėdis</w:t>
      </w:r>
      <w:r>
        <w:t xml:space="preserve"> – 2012-04-18 Seimo Narkomanijos ir alkoholizmo prevencijos komisija posėdyje svarstė šiuos klausimus: </w:t>
      </w:r>
    </w:p>
    <w:p w:rsidR="00A2543C" w:rsidRDefault="00A2543C" w:rsidP="00A2543C">
      <w:pPr>
        <w:ind w:firstLine="720"/>
        <w:jc w:val="both"/>
        <w:rPr>
          <w:rFonts w:eastAsia="Arial Unicode MS"/>
        </w:rPr>
      </w:pPr>
      <w:r>
        <w:t xml:space="preserve">1. </w:t>
      </w:r>
      <w:r w:rsidRPr="002D51D3">
        <w:rPr>
          <w:rFonts w:eastAsia="Arial Unicode MS"/>
        </w:rPr>
        <w:t>Dėl specialių leidimų išdavimo vaistinio preparato „Metadon“ importui ir eksportui ir šio vaistinio preparato įpakavimo</w:t>
      </w:r>
      <w:r>
        <w:rPr>
          <w:rFonts w:eastAsia="Arial Unicode MS"/>
        </w:rPr>
        <w:t>.</w:t>
      </w:r>
    </w:p>
    <w:p w:rsidR="00A2543C" w:rsidRPr="002D51D3" w:rsidRDefault="00A2543C" w:rsidP="00A2543C">
      <w:pPr>
        <w:ind w:firstLine="720"/>
        <w:jc w:val="both"/>
      </w:pPr>
      <w:r>
        <w:rPr>
          <w:rFonts w:eastAsia="Arial Unicode MS"/>
        </w:rPr>
        <w:t xml:space="preserve"> 2.</w:t>
      </w:r>
      <w:r w:rsidRPr="002D51D3">
        <w:rPr>
          <w:b/>
        </w:rPr>
        <w:t xml:space="preserve"> </w:t>
      </w:r>
      <w:r w:rsidRPr="002D51D3">
        <w:t>Dėl ratifikuotos Pasaulio sveikatos organizacijos Tabako kontrolės pagrindų konvencijos  įgyvendinimo</w:t>
      </w:r>
      <w:r>
        <w:t>.</w:t>
      </w:r>
    </w:p>
    <w:p w:rsidR="00A2543C" w:rsidRPr="002D51D3" w:rsidRDefault="00A2543C" w:rsidP="00A2543C">
      <w:pPr>
        <w:ind w:firstLine="720"/>
      </w:pPr>
      <w:r>
        <w:t xml:space="preserve">3. </w:t>
      </w:r>
      <w:r w:rsidRPr="002D51D3">
        <w:t>Dėl teisėtos narkotinių ir psichotropinių medžiagų pirmtakų (prekursorių) apyvartos kontrolės</w:t>
      </w:r>
      <w:r>
        <w:t>.</w:t>
      </w:r>
    </w:p>
    <w:p w:rsidR="00A2543C" w:rsidRDefault="00A2543C" w:rsidP="00A2543C">
      <w:pPr>
        <w:ind w:firstLine="720"/>
        <w:jc w:val="both"/>
        <w:rPr>
          <w:rFonts w:eastAsia="Arial Unicode MS"/>
        </w:rPr>
      </w:pPr>
      <w:r>
        <w:rPr>
          <w:rFonts w:eastAsia="Arial Unicode MS"/>
        </w:rPr>
        <w:t>4. Kiti klausimai.</w:t>
      </w:r>
    </w:p>
    <w:p w:rsidR="00A2543C" w:rsidRDefault="00A2543C" w:rsidP="00A2543C">
      <w:pPr>
        <w:ind w:firstLine="720"/>
        <w:jc w:val="both"/>
      </w:pPr>
      <w:r w:rsidRPr="00CF6049">
        <w:rPr>
          <w:rFonts w:eastAsia="Arial Unicode MS"/>
          <w:b/>
        </w:rPr>
        <w:t>6 posėdis</w:t>
      </w:r>
      <w:r>
        <w:rPr>
          <w:rFonts w:eastAsia="Arial Unicode MS"/>
        </w:rPr>
        <w:t xml:space="preserve"> – 2012-04-25</w:t>
      </w:r>
      <w:r w:rsidRPr="001B419A">
        <w:t xml:space="preserve"> </w:t>
      </w:r>
      <w:r>
        <w:t xml:space="preserve">Seimo Narkomanijos ir alkoholizmo prevencijos komisija posėdyje svarstė šiuos klausimus: </w:t>
      </w:r>
    </w:p>
    <w:p w:rsidR="00A2543C" w:rsidRDefault="00A2543C" w:rsidP="00A2543C">
      <w:pPr>
        <w:spacing w:before="40" w:after="40"/>
        <w:ind w:firstLine="720"/>
        <w:jc w:val="both"/>
        <w:rPr>
          <w:rFonts w:eastAsia="Arial Unicode MS"/>
        </w:rPr>
      </w:pPr>
      <w:r>
        <w:rPr>
          <w:rFonts w:eastAsia="Arial Unicode MS"/>
        </w:rPr>
        <w:t xml:space="preserve">1. Dėl finansinės paramos jaunimo ir su jaunimu dirbančioms organizacijoms 2010-2012 metais. </w:t>
      </w:r>
    </w:p>
    <w:p w:rsidR="00A2543C" w:rsidRDefault="00A2543C" w:rsidP="00A2543C">
      <w:pPr>
        <w:spacing w:before="40" w:after="40"/>
        <w:ind w:firstLine="720"/>
        <w:jc w:val="both"/>
        <w:rPr>
          <w:rFonts w:eastAsia="Arial Unicode MS"/>
        </w:rPr>
      </w:pPr>
      <w:r>
        <w:rPr>
          <w:rFonts w:eastAsia="Arial Unicode MS"/>
        </w:rPr>
        <w:t xml:space="preserve">2. Dėl jaunimo koordinacinės veiklos ir jaunimo politikos plėtojimo bei jaunimo organizacijų potencialo plėtojimo. </w:t>
      </w:r>
    </w:p>
    <w:p w:rsidR="00A2543C" w:rsidRDefault="00A2543C" w:rsidP="00A2543C">
      <w:pPr>
        <w:spacing w:before="40" w:after="40"/>
        <w:ind w:firstLine="720"/>
        <w:jc w:val="both"/>
        <w:rPr>
          <w:rFonts w:eastAsia="Arial Unicode MS"/>
        </w:rPr>
      </w:pPr>
      <w:r>
        <w:rPr>
          <w:rFonts w:eastAsia="Arial Unicode MS"/>
        </w:rPr>
        <w:t>3. Dėl Jaunimo veiklos regionuose plėtojimo ir regioninių jaunimo organizacijų  tarybų potencialo stiprinimo.</w:t>
      </w:r>
    </w:p>
    <w:p w:rsidR="00A2543C" w:rsidRDefault="00A2543C" w:rsidP="00A2543C">
      <w:pPr>
        <w:spacing w:before="40" w:after="40"/>
        <w:ind w:firstLine="720"/>
        <w:jc w:val="both"/>
        <w:rPr>
          <w:rFonts w:eastAsia="Arial Unicode MS"/>
        </w:rPr>
      </w:pPr>
      <w:r>
        <w:rPr>
          <w:rFonts w:eastAsia="Arial Unicode MS"/>
        </w:rPr>
        <w:t>4. Dėl Atvirų jaunimo centrų veiklos 2010-2012 metais.</w:t>
      </w:r>
    </w:p>
    <w:p w:rsidR="00A2543C" w:rsidRDefault="00A2543C" w:rsidP="00A2543C">
      <w:pPr>
        <w:spacing w:before="40" w:after="40"/>
        <w:ind w:firstLine="720"/>
        <w:jc w:val="both"/>
        <w:rPr>
          <w:rFonts w:eastAsia="Arial Unicode MS"/>
        </w:rPr>
      </w:pPr>
      <w:r>
        <w:rPr>
          <w:rFonts w:eastAsia="Arial Unicode MS"/>
        </w:rPr>
        <w:t>5. Dėl Atvirų jaunimo erdvių veiklos 2010-2012 metais.</w:t>
      </w:r>
    </w:p>
    <w:p w:rsidR="00A2543C" w:rsidRDefault="00A2543C" w:rsidP="00A2543C">
      <w:pPr>
        <w:spacing w:before="40" w:after="40"/>
        <w:ind w:firstLine="720"/>
        <w:jc w:val="both"/>
        <w:rPr>
          <w:rFonts w:eastAsia="Arial Unicode MS"/>
        </w:rPr>
      </w:pPr>
      <w:r>
        <w:rPr>
          <w:rFonts w:eastAsia="Arial Unicode MS"/>
        </w:rPr>
        <w:t>6. Dėl partnerystės tarp valstybinio ir nevyriausybinių sektorių skatinimo, įgyvendinant integruotą jaunimo politiką.</w:t>
      </w:r>
    </w:p>
    <w:p w:rsidR="00A2543C" w:rsidRDefault="00A2543C" w:rsidP="00A2543C">
      <w:pPr>
        <w:spacing w:before="40" w:after="40"/>
        <w:ind w:firstLine="720"/>
        <w:jc w:val="both"/>
        <w:rPr>
          <w:rFonts w:eastAsia="Arial Unicode MS"/>
        </w:rPr>
      </w:pPr>
      <w:r>
        <w:rPr>
          <w:rFonts w:eastAsia="Arial Unicode MS"/>
        </w:rPr>
        <w:t>7. Dėl nevyriausybinio sektoriaus, dirbančio su jaunimu, stiprinimo.</w:t>
      </w:r>
    </w:p>
    <w:p w:rsidR="00A2543C" w:rsidRDefault="00A2543C" w:rsidP="00A2543C">
      <w:pPr>
        <w:ind w:firstLine="720"/>
        <w:jc w:val="both"/>
        <w:rPr>
          <w:rFonts w:eastAsia="Arial Unicode MS"/>
        </w:rPr>
      </w:pPr>
      <w:r>
        <w:rPr>
          <w:rFonts w:eastAsia="Arial Unicode MS"/>
        </w:rPr>
        <w:t xml:space="preserve">8. Kiti klausimai. </w:t>
      </w:r>
    </w:p>
    <w:p w:rsidR="00A2543C" w:rsidRDefault="00A2543C" w:rsidP="00A2543C">
      <w:pPr>
        <w:ind w:firstLine="720"/>
        <w:jc w:val="both"/>
      </w:pPr>
      <w:r w:rsidRPr="009C5B51">
        <w:rPr>
          <w:rFonts w:eastAsia="Arial Unicode MS"/>
          <w:b/>
        </w:rPr>
        <w:t>7 posėdis</w:t>
      </w:r>
      <w:r>
        <w:rPr>
          <w:rFonts w:eastAsia="Arial Unicode MS"/>
        </w:rPr>
        <w:t xml:space="preserve"> – 2012-05-09 </w:t>
      </w:r>
      <w:r>
        <w:t>Seimo Narkomanijos ir alkoholizmo prevencijos komisija posėdyje svarstė:</w:t>
      </w:r>
    </w:p>
    <w:p w:rsidR="00A2543C" w:rsidRDefault="00A2543C" w:rsidP="00A2543C">
      <w:pPr>
        <w:spacing w:line="360" w:lineRule="auto"/>
        <w:ind w:firstLine="720"/>
        <w:jc w:val="both"/>
      </w:pPr>
      <w:r>
        <w:t>1.</w:t>
      </w:r>
      <w:r w:rsidRPr="00345F4A">
        <w:t>Dėl padėties romų tabore Kirtimuose, Vilniuje</w:t>
      </w:r>
      <w:r>
        <w:t>.</w:t>
      </w:r>
    </w:p>
    <w:p w:rsidR="00A2543C" w:rsidRDefault="00A2543C" w:rsidP="00A2543C">
      <w:pPr>
        <w:ind w:firstLine="720"/>
        <w:jc w:val="both"/>
        <w:rPr>
          <w:rFonts w:eastAsia="Arial Unicode MS"/>
        </w:rPr>
      </w:pPr>
      <w:r>
        <w:rPr>
          <w:rFonts w:eastAsia="Arial Unicode MS"/>
        </w:rPr>
        <w:t xml:space="preserve">2. Kiti klausimai. </w:t>
      </w:r>
    </w:p>
    <w:p w:rsidR="00A2543C" w:rsidRDefault="00A2543C" w:rsidP="00A2543C">
      <w:pPr>
        <w:ind w:firstLine="720"/>
        <w:jc w:val="both"/>
      </w:pPr>
      <w:r w:rsidRPr="009C5B51">
        <w:rPr>
          <w:rFonts w:eastAsia="Arial Unicode MS"/>
          <w:b/>
        </w:rPr>
        <w:t>8 posėdis</w:t>
      </w:r>
      <w:r>
        <w:rPr>
          <w:rFonts w:eastAsia="Arial Unicode MS"/>
        </w:rPr>
        <w:t xml:space="preserve"> – 2012-05-16 </w:t>
      </w:r>
      <w:r>
        <w:t>Seimo Narkomanijos ir alkoholizmo prevencijos komisija posėdyje svarstė:</w:t>
      </w:r>
    </w:p>
    <w:p w:rsidR="00A2543C" w:rsidRPr="009C5B51" w:rsidRDefault="00A2543C" w:rsidP="00A2543C">
      <w:pPr>
        <w:ind w:firstLine="720"/>
      </w:pPr>
      <w:r w:rsidRPr="009C5B51">
        <w:t>Dėl papildomo komiteto išvadų:</w:t>
      </w:r>
    </w:p>
    <w:p w:rsidR="00A2543C" w:rsidRDefault="00A2543C" w:rsidP="00A2543C">
      <w:pPr>
        <w:pStyle w:val="Sraopastraipa"/>
        <w:numPr>
          <w:ilvl w:val="0"/>
          <w:numId w:val="51"/>
        </w:numPr>
      </w:pPr>
      <w:r>
        <w:t xml:space="preserve">Lietuvos Respublikos  Tabako kontrolės įstatymo 19 straipsnio papildymo įstatymo projektui Nr. XIP- 1376(2). </w:t>
      </w:r>
    </w:p>
    <w:p w:rsidR="00A2543C" w:rsidRDefault="00A2543C" w:rsidP="00A2543C">
      <w:pPr>
        <w:pStyle w:val="Sraopastraipa"/>
        <w:numPr>
          <w:ilvl w:val="0"/>
          <w:numId w:val="51"/>
        </w:numPr>
      </w:pPr>
      <w:r>
        <w:t>Lietuvos Respublikos  Administracinių teisės pažeidimų kodekso 13,178, 178</w:t>
      </w:r>
      <w:r w:rsidRPr="009C5B51">
        <w:rPr>
          <w:vertAlign w:val="superscript"/>
        </w:rPr>
        <w:t>1</w:t>
      </w:r>
      <w:r>
        <w:t>, 180,185</w:t>
      </w:r>
      <w:r w:rsidRPr="009C5B51">
        <w:rPr>
          <w:vertAlign w:val="superscript"/>
        </w:rPr>
        <w:t>1</w:t>
      </w:r>
      <w:r>
        <w:t>, 224, 259</w:t>
      </w:r>
      <w:r w:rsidRPr="009C5B51">
        <w:rPr>
          <w:vertAlign w:val="superscript"/>
        </w:rPr>
        <w:t>1</w:t>
      </w:r>
      <w:r>
        <w:t>, 266 straipsnių pakeitimo ir papildymo, kodekso papildymo 185</w:t>
      </w:r>
      <w:r w:rsidRPr="009C5B51">
        <w:rPr>
          <w:vertAlign w:val="superscript"/>
        </w:rPr>
        <w:t xml:space="preserve">6 </w:t>
      </w:r>
      <w:r>
        <w:t>straipsniu bei kodekso185</w:t>
      </w:r>
      <w:r w:rsidRPr="009C5B51">
        <w:rPr>
          <w:vertAlign w:val="superscript"/>
        </w:rPr>
        <w:t xml:space="preserve">4 </w:t>
      </w:r>
      <w:r>
        <w:t>straipsnio pripažinimo netekusiu galios įstatymo projektui Nr. XIP-745.</w:t>
      </w:r>
    </w:p>
    <w:p w:rsidR="00A2543C" w:rsidRDefault="00A2543C" w:rsidP="00A2543C">
      <w:pPr>
        <w:pStyle w:val="Sraopastraipa"/>
        <w:numPr>
          <w:ilvl w:val="0"/>
          <w:numId w:val="51"/>
        </w:numPr>
      </w:pPr>
      <w:r>
        <w:t>Lietuvos Respublikos Baudžiamojo kodekso 161 straipsnio pakeitimo įstatymo projektui Nr. XIP-746.</w:t>
      </w:r>
    </w:p>
    <w:p w:rsidR="00A2543C" w:rsidRPr="009C5B51" w:rsidRDefault="00A2543C" w:rsidP="00A2543C">
      <w:pPr>
        <w:pStyle w:val="Sraopastraipa"/>
        <w:numPr>
          <w:ilvl w:val="0"/>
          <w:numId w:val="51"/>
        </w:numPr>
        <w:rPr>
          <w:b/>
          <w:bCs/>
          <w:sz w:val="20"/>
        </w:rPr>
      </w:pPr>
      <w:r>
        <w:t>Lietuvos Respublikos Tabako kontrolės įstatymo 8,15,19 ir 26 straipsnių pakeitimo ir papildymo 27</w:t>
      </w:r>
      <w:r w:rsidRPr="009C5B51">
        <w:rPr>
          <w:vertAlign w:val="superscript"/>
        </w:rPr>
        <w:t>1</w:t>
      </w:r>
      <w:r>
        <w:t xml:space="preserve"> straipsniu įstatymo projektui Nr. XIP-743.</w:t>
      </w:r>
    </w:p>
    <w:p w:rsidR="00A2543C" w:rsidRDefault="00A2543C" w:rsidP="00A2543C">
      <w:pPr>
        <w:pStyle w:val="Sraopastraipa"/>
        <w:numPr>
          <w:ilvl w:val="0"/>
          <w:numId w:val="51"/>
        </w:numPr>
      </w:pPr>
      <w:r>
        <w:t>Lietuvos Respublikos Tabako kontrolės įstatymo 2 ir 26 straipsnių pakeitimo ir papildymo 16</w:t>
      </w:r>
      <w:r w:rsidRPr="009C5B51">
        <w:rPr>
          <w:vertAlign w:val="superscript"/>
        </w:rPr>
        <w:t>1</w:t>
      </w:r>
      <w:r>
        <w:t xml:space="preserve"> straipsniu įstatymo projektui Nr. XIP-1822. </w:t>
      </w:r>
    </w:p>
    <w:p w:rsidR="00A2543C" w:rsidRDefault="00A2543C" w:rsidP="00A2543C">
      <w:pPr>
        <w:pStyle w:val="Sraopastraipa"/>
        <w:numPr>
          <w:ilvl w:val="0"/>
          <w:numId w:val="51"/>
        </w:numPr>
      </w:pPr>
      <w:r>
        <w:t xml:space="preserve">Lietuvos Respublikos Tabako kontrolės įstatymo 8 straipsnio pakeitimo įstatymo projektui Nr. XIP-2356. </w:t>
      </w:r>
    </w:p>
    <w:p w:rsidR="00A2543C" w:rsidRDefault="00A2543C" w:rsidP="00A2543C">
      <w:pPr>
        <w:pStyle w:val="Sraopastraipa"/>
        <w:numPr>
          <w:ilvl w:val="0"/>
          <w:numId w:val="51"/>
        </w:numPr>
        <w:jc w:val="both"/>
      </w:pPr>
      <w:r>
        <w:t>Lietuvos Respublikos Viešojo administravimo įstatymo 36</w:t>
      </w:r>
      <w:r w:rsidRPr="00AA6993">
        <w:rPr>
          <w:vertAlign w:val="superscript"/>
        </w:rPr>
        <w:t>4</w:t>
      </w:r>
      <w:r>
        <w:t xml:space="preserve"> straipsnio pakeitimo ir papildymo  įstatymo projektui Nr. XP-2786. </w:t>
      </w:r>
    </w:p>
    <w:p w:rsidR="00A2543C" w:rsidRDefault="00A2543C" w:rsidP="00A2543C">
      <w:pPr>
        <w:pStyle w:val="Sraopastraipa"/>
        <w:numPr>
          <w:ilvl w:val="0"/>
          <w:numId w:val="51"/>
        </w:numPr>
      </w:pPr>
      <w:r w:rsidRPr="00691977">
        <w:t>Lietuv</w:t>
      </w:r>
      <w:r>
        <w:t>os Respublikos tabako kontrolės</w:t>
      </w:r>
      <w:r w:rsidRPr="00691977">
        <w:t> įstatymo 22 straipsnio pakeitimo įstat</w:t>
      </w:r>
      <w:r>
        <w:t>ymo projektui</w:t>
      </w:r>
      <w:r w:rsidRPr="00691977">
        <w:t xml:space="preserve"> Nr. XIP-3676</w:t>
      </w:r>
      <w:r>
        <w:t xml:space="preserve">. </w:t>
      </w:r>
    </w:p>
    <w:p w:rsidR="00A2543C" w:rsidRDefault="00A2543C" w:rsidP="00A2543C">
      <w:pPr>
        <w:ind w:firstLine="720"/>
        <w:jc w:val="both"/>
      </w:pPr>
      <w:r w:rsidRPr="0010741F">
        <w:rPr>
          <w:rFonts w:eastAsia="Arial Unicode MS"/>
          <w:b/>
        </w:rPr>
        <w:t>9 posėdis</w:t>
      </w:r>
      <w:r>
        <w:rPr>
          <w:rFonts w:eastAsia="Arial Unicode MS"/>
        </w:rPr>
        <w:t xml:space="preserve"> – 2012-05-23 </w:t>
      </w:r>
      <w:r>
        <w:t>Seimo Narkomanijos ir alkoholizmo prevencijos komisija posėdyje svarstė:</w:t>
      </w:r>
    </w:p>
    <w:p w:rsidR="00A2543C" w:rsidRDefault="00A2543C" w:rsidP="00A2543C">
      <w:pPr>
        <w:spacing w:before="40" w:after="40"/>
        <w:ind w:firstLine="720"/>
        <w:jc w:val="both"/>
      </w:pPr>
      <w:r w:rsidRPr="003169C5">
        <w:t>1.„Dėl Lietuvos Respublikos Seimo 2011 m. birželio 30 d. nutarimo Nr. XI-1573 „Dėl metadono naudojimo teisėtumo“ įgyvendinimo:</w:t>
      </w:r>
      <w:r>
        <w:t xml:space="preserve"> </w:t>
      </w:r>
      <w:r w:rsidRPr="003169C5">
        <w:t>1 straipsnio įgyvendinimas.</w:t>
      </w:r>
      <w:r>
        <w:t xml:space="preserve"> 2 straipsnio įgyvendinimas. 3 straipsnio  įgyvendinimas“.</w:t>
      </w:r>
    </w:p>
    <w:p w:rsidR="00A2543C" w:rsidRDefault="00A2543C" w:rsidP="00A2543C">
      <w:pPr>
        <w:ind w:firstLine="720"/>
        <w:rPr>
          <w:lang w:eastAsia="lt-LT"/>
        </w:rPr>
      </w:pPr>
      <w:r>
        <w:rPr>
          <w:rFonts w:eastAsia="Arial Unicode MS"/>
        </w:rPr>
        <w:lastRenderedPageBreak/>
        <w:t>2.</w:t>
      </w:r>
      <w:r w:rsidRPr="003169C5">
        <w:rPr>
          <w:b/>
          <w:lang w:eastAsia="lt-LT"/>
        </w:rPr>
        <w:t xml:space="preserve"> </w:t>
      </w:r>
      <w:r w:rsidRPr="003169C5">
        <w:rPr>
          <w:lang w:eastAsia="lt-LT"/>
        </w:rPr>
        <w:t>Dėl balsavimo papildomo komiteto išvadoms:</w:t>
      </w:r>
    </w:p>
    <w:p w:rsidR="00A2543C" w:rsidRDefault="00A2543C" w:rsidP="00A2543C">
      <w:pPr>
        <w:ind w:firstLine="720"/>
      </w:pPr>
      <w:r>
        <w:t>2.1.Lietuvos Respublikos Tabako kontrolės įstatymo 2 ir 26 straipsnių pakeitimo ir papildymo 16</w:t>
      </w:r>
      <w:r>
        <w:rPr>
          <w:vertAlign w:val="superscript"/>
        </w:rPr>
        <w:t>1</w:t>
      </w:r>
      <w:r>
        <w:t xml:space="preserve"> straipsniu įstatymo projektui Nr. XIP-1822.</w:t>
      </w:r>
    </w:p>
    <w:p w:rsidR="00A2543C" w:rsidRDefault="00A2543C" w:rsidP="00A2543C">
      <w:pPr>
        <w:ind w:firstLine="720"/>
      </w:pPr>
      <w:r>
        <w:t xml:space="preserve">2.2.Lietuvos Respublikos Tabako kontrolės įstatymo 8 straipsnio pakeitimo įstatymo projektui Nr. XIP-2356. </w:t>
      </w:r>
    </w:p>
    <w:p w:rsidR="00A2543C" w:rsidRDefault="00A2543C" w:rsidP="00A2543C">
      <w:pPr>
        <w:ind w:firstLine="720"/>
      </w:pPr>
      <w:r>
        <w:t>2.3. Lietuvos Respublikos Tabako kontrolės įstatymo 22 straipsnio pakeitimo įstatymo projektui Nr. XIP-3676.</w:t>
      </w:r>
    </w:p>
    <w:p w:rsidR="00A2543C" w:rsidRDefault="00A2543C" w:rsidP="00A2543C">
      <w:pPr>
        <w:ind w:firstLine="720"/>
      </w:pPr>
      <w:r>
        <w:rPr>
          <w:lang w:eastAsia="lt-LT"/>
        </w:rPr>
        <w:t xml:space="preserve">3. </w:t>
      </w:r>
      <w:r w:rsidRPr="003169C5">
        <w:rPr>
          <w:lang w:eastAsia="lt-LT"/>
        </w:rPr>
        <w:t>Dėl papildomo komiteto išvadų:</w:t>
      </w:r>
    </w:p>
    <w:p w:rsidR="00A2543C" w:rsidRDefault="00A2543C" w:rsidP="00A2543C">
      <w:pPr>
        <w:ind w:firstLine="720"/>
        <w:rPr>
          <w:lang w:eastAsia="lt-LT"/>
        </w:rPr>
      </w:pPr>
      <w:r>
        <w:rPr>
          <w:lang w:eastAsia="lt-LT"/>
        </w:rPr>
        <w:t>Lietuvos Respublikos Alkoholio kontrolės įstatymo 17 straipsnio 7 dalies pakeitimo ir 18 straipsnio 3 dalies papildymo įstatymo projektui Nr. XIP-4189.</w:t>
      </w:r>
    </w:p>
    <w:p w:rsidR="00A2543C" w:rsidRDefault="00A2543C" w:rsidP="00A2543C">
      <w:pPr>
        <w:pStyle w:val="Sraopastraipa"/>
        <w:numPr>
          <w:ilvl w:val="0"/>
          <w:numId w:val="54"/>
        </w:numPr>
        <w:jc w:val="both"/>
        <w:rPr>
          <w:rFonts w:eastAsia="Arial Unicode MS"/>
        </w:rPr>
      </w:pPr>
      <w:r>
        <w:rPr>
          <w:rFonts w:eastAsia="Arial Unicode MS"/>
        </w:rPr>
        <w:t>Kiti klausimai.</w:t>
      </w:r>
    </w:p>
    <w:p w:rsidR="00A2543C" w:rsidRDefault="00A2543C" w:rsidP="00A2543C">
      <w:pPr>
        <w:ind w:firstLine="720"/>
        <w:jc w:val="both"/>
      </w:pPr>
      <w:r w:rsidRPr="006763EE">
        <w:rPr>
          <w:rFonts w:eastAsia="Arial Unicode MS"/>
          <w:b/>
        </w:rPr>
        <w:t xml:space="preserve">10 posėdis </w:t>
      </w:r>
      <w:r w:rsidRPr="006763EE">
        <w:rPr>
          <w:rFonts w:eastAsia="Arial Unicode MS"/>
        </w:rPr>
        <w:t>– 2012-06-06</w:t>
      </w:r>
      <w:r w:rsidRPr="006763EE">
        <w:t xml:space="preserve"> </w:t>
      </w:r>
      <w:r>
        <w:t>Seimo Narkomanijos ir alkoholizmo prevencijos komisija posėdyje svarstė šiuos klausimus:</w:t>
      </w:r>
    </w:p>
    <w:p w:rsidR="00A2543C" w:rsidRPr="006763EE" w:rsidRDefault="00A2543C" w:rsidP="00A2543C">
      <w:pPr>
        <w:ind w:firstLine="720"/>
        <w:jc w:val="both"/>
      </w:pPr>
      <w:r>
        <w:rPr>
          <w:rFonts w:eastAsia="Arial Unicode MS"/>
        </w:rPr>
        <w:t xml:space="preserve">        1.</w:t>
      </w:r>
      <w:r w:rsidRPr="006763EE">
        <w:rPr>
          <w:rFonts w:eastAsia="Arial Unicode MS"/>
        </w:rPr>
        <w:t xml:space="preserve"> </w:t>
      </w:r>
      <w:r w:rsidRPr="006763EE">
        <w:t>„Dėl Lietuvos Respublikos Seimo 2011 m. birželio 30 d. nutarimo Nr. XI-1573 „Dėl metadono naudojimo teisėtumo“ įgyvendinimo:</w:t>
      </w:r>
    </w:p>
    <w:p w:rsidR="00A2543C" w:rsidRDefault="00A2543C" w:rsidP="00A2543C">
      <w:pPr>
        <w:spacing w:before="40" w:after="40"/>
        <w:jc w:val="both"/>
      </w:pPr>
      <w:r>
        <w:t>2 straipsnio įgyvendinimas.</w:t>
      </w:r>
    </w:p>
    <w:p w:rsidR="00A2543C" w:rsidRDefault="00A2543C" w:rsidP="00A2543C">
      <w:pPr>
        <w:spacing w:before="40" w:after="40"/>
        <w:ind w:firstLine="1296"/>
        <w:jc w:val="both"/>
      </w:pPr>
      <w:r>
        <w:rPr>
          <w:lang w:eastAsia="lt-LT"/>
        </w:rPr>
        <w:t xml:space="preserve"> 2.</w:t>
      </w:r>
      <w:r w:rsidRPr="006763EE">
        <w:rPr>
          <w:lang w:eastAsia="lt-LT"/>
        </w:rPr>
        <w:t>Dėl neformaliojo vaikų ir jaunimo ugdymo krepšelio, kurį sudarytų savivaldybių, 2013 metų valstybės biudžeto, programinės lėšos, efektyvaus panaudojimo ir vaikų popamokinio užimtumo</w:t>
      </w:r>
      <w:r>
        <w:rPr>
          <w:lang w:eastAsia="lt-LT"/>
        </w:rPr>
        <w:t>.</w:t>
      </w:r>
    </w:p>
    <w:p w:rsidR="00A2543C" w:rsidRDefault="00A2543C" w:rsidP="00A2543C">
      <w:pPr>
        <w:ind w:firstLine="1296"/>
        <w:jc w:val="both"/>
        <w:rPr>
          <w:bCs/>
        </w:rPr>
      </w:pPr>
      <w:r>
        <w:rPr>
          <w:lang w:eastAsia="lt-LT"/>
        </w:rPr>
        <w:t>3</w:t>
      </w:r>
      <w:r w:rsidRPr="006C63E8">
        <w:rPr>
          <w:lang w:eastAsia="lt-LT"/>
        </w:rPr>
        <w:t xml:space="preserve">. </w:t>
      </w:r>
      <w:r w:rsidRPr="006C63E8">
        <w:t xml:space="preserve">Dėl išorės sienos stebėjimo ir vidaus sienos kontrolės stiprinimo, veiksmingo pasienio kontrolės punktuose patikrinimus atliekančių valstybės institucijų bendradarbiavimo užtikrinimo, </w:t>
      </w:r>
      <w:r w:rsidRPr="006C63E8">
        <w:rPr>
          <w:bCs/>
        </w:rPr>
        <w:t xml:space="preserve">stabdant alkoholio ir  tabako  kontrabandą,  </w:t>
      </w:r>
      <w:r w:rsidRPr="006C63E8">
        <w:t>narkotinių ir psichotropinių medžiagų</w:t>
      </w:r>
      <w:r w:rsidRPr="006C63E8">
        <w:rPr>
          <w:bCs/>
        </w:rPr>
        <w:t xml:space="preserve">  patekimą</w:t>
      </w:r>
      <w:r>
        <w:rPr>
          <w:bCs/>
        </w:rPr>
        <w:t>.</w:t>
      </w:r>
    </w:p>
    <w:p w:rsidR="00A2543C" w:rsidRDefault="00A2543C" w:rsidP="00A2543C">
      <w:pPr>
        <w:ind w:firstLine="1296"/>
        <w:jc w:val="both"/>
      </w:pPr>
      <w:r>
        <w:rPr>
          <w:bCs/>
        </w:rPr>
        <w:t>4.</w:t>
      </w:r>
      <w:r w:rsidRPr="006C63E8">
        <w:rPr>
          <w:b/>
        </w:rPr>
        <w:t xml:space="preserve"> </w:t>
      </w:r>
      <w:r w:rsidRPr="006C63E8">
        <w:t>Dėl visų įmanomų narkotinių ir psichotropinių medžiagų, narkotinių ir psichotropinių medžiagų pirmtakų (prekursorių), tabako ir alkoholio pasiūlos mažinimo priemonių laisvės atėmimo vietose taikymo</w:t>
      </w:r>
      <w:r>
        <w:t>.</w:t>
      </w:r>
    </w:p>
    <w:p w:rsidR="00A2543C" w:rsidRDefault="00A2543C" w:rsidP="00A2543C">
      <w:pPr>
        <w:ind w:firstLine="1296"/>
        <w:jc w:val="both"/>
      </w:pPr>
      <w:r w:rsidRPr="006C63E8">
        <w:t>5. Dėl aiškios ir veiksmingos nusikaltusių nepilnamečių resocializacijos sistemos sukūrimo</w:t>
      </w:r>
      <w:r>
        <w:t>.</w:t>
      </w:r>
    </w:p>
    <w:p w:rsidR="00A2543C" w:rsidRDefault="00A2543C" w:rsidP="00A2543C">
      <w:pPr>
        <w:ind w:firstLine="1296"/>
        <w:jc w:val="both"/>
      </w:pPr>
      <w:r w:rsidRPr="006C63E8">
        <w:t>6. Tvarkos, dėl alkoholinių gėrimų vartojimo masiniuose renginiuose, kuriuose dalyvauja nepilnamečiai,  patvirtinimas</w:t>
      </w:r>
      <w:r>
        <w:t>.</w:t>
      </w:r>
      <w:r w:rsidRPr="006C63E8">
        <w:t xml:space="preserve">  </w:t>
      </w:r>
    </w:p>
    <w:p w:rsidR="00A2543C" w:rsidRDefault="00A2543C" w:rsidP="00A2543C">
      <w:pPr>
        <w:ind w:firstLine="720"/>
        <w:jc w:val="both"/>
      </w:pPr>
      <w:r w:rsidRPr="00403533">
        <w:rPr>
          <w:b/>
        </w:rPr>
        <w:t>11 posėdis</w:t>
      </w:r>
      <w:r>
        <w:t xml:space="preserve"> – 2012-06-13</w:t>
      </w:r>
      <w:r w:rsidRPr="00403533">
        <w:t xml:space="preserve"> </w:t>
      </w:r>
      <w:r>
        <w:t>Seimo Narkomanijos ir alkoholizmo prevencijos komisija posėdyje svarstė šiuos klausimus:</w:t>
      </w:r>
    </w:p>
    <w:p w:rsidR="00A2543C" w:rsidRDefault="00A2543C" w:rsidP="00A2543C">
      <w:pPr>
        <w:spacing w:before="40" w:after="40"/>
        <w:ind w:firstLine="720"/>
        <w:jc w:val="both"/>
      </w:pPr>
      <w:r>
        <w:t xml:space="preserve">1. </w:t>
      </w:r>
      <w:r w:rsidRPr="000B329B">
        <w:t>Dėl Tarpžinybinės vaiko gerovės tarybos darbo, išklausant ministerijų ir kitų valstybės bei savivaldybių institucijų ir įstaigų ataskaitas dėl Jungtinių Tautų vaiko teisių konvencijos įgyvendinimo (tarpinės informacijos pateikimas)</w:t>
      </w:r>
      <w:r>
        <w:t>.</w:t>
      </w:r>
    </w:p>
    <w:p w:rsidR="00A2543C" w:rsidRPr="00F60643" w:rsidRDefault="00A2543C" w:rsidP="00A2543C">
      <w:pPr>
        <w:ind w:firstLine="360"/>
        <w:jc w:val="both"/>
      </w:pPr>
      <w:r>
        <w:rPr>
          <w:lang w:eastAsia="lt-LT"/>
        </w:rPr>
        <w:t xml:space="preserve">2. </w:t>
      </w:r>
      <w:r w:rsidRPr="00F60643">
        <w:rPr>
          <w:lang w:eastAsia="lt-LT"/>
        </w:rPr>
        <w:t xml:space="preserve">Dėl </w:t>
      </w:r>
      <w:r w:rsidRPr="00F60643">
        <w:t>Tarpžinybinės vaiko gerovės tarybos veiklos, svarstant neįgyvendintas Jungtinių Tautų vaiko teisių komiteto rekomendacijas dėl Jungtinių Tautų vaiko teisių konvencijos įgyvendinimo Lietuvoje:</w:t>
      </w:r>
    </w:p>
    <w:p w:rsidR="00A2543C" w:rsidRPr="00F60643" w:rsidRDefault="00A2543C" w:rsidP="00A2543C">
      <w:pPr>
        <w:ind w:left="360"/>
        <w:jc w:val="both"/>
        <w:rPr>
          <w:b/>
        </w:rPr>
      </w:pPr>
      <w:r>
        <w:t xml:space="preserve">2.1. </w:t>
      </w:r>
      <w:r w:rsidRPr="00F60643">
        <w:t>Centrinės koordinuojančios institucijos sukūrimo klausimas;</w:t>
      </w:r>
    </w:p>
    <w:p w:rsidR="00A2543C" w:rsidRPr="00F60643" w:rsidRDefault="00A2543C" w:rsidP="00A2543C">
      <w:pPr>
        <w:ind w:left="360"/>
        <w:jc w:val="both"/>
        <w:rPr>
          <w:b/>
        </w:rPr>
      </w:pPr>
      <w:r w:rsidRPr="00F60643">
        <w:t>Vaikų gerovės politikai skiriamų lėšų išskirimas atskiromis eilutėmis nacionaliniame ir savivaldybių biudžetuose klausimas;</w:t>
      </w:r>
    </w:p>
    <w:p w:rsidR="00A2543C" w:rsidRDefault="00A2543C" w:rsidP="00A2543C">
      <w:pPr>
        <w:ind w:left="360"/>
        <w:jc w:val="both"/>
      </w:pPr>
      <w:r w:rsidRPr="00F60643">
        <w:t>Nepakankamos ir neturinčios reikiamų infrastruktūrų, vaikų, patyrusių smurtą ir prievartą, reabilitavimo sistemos klausimas;</w:t>
      </w:r>
    </w:p>
    <w:p w:rsidR="00A2543C" w:rsidRDefault="00A2543C" w:rsidP="00A2543C">
      <w:pPr>
        <w:ind w:left="360"/>
        <w:jc w:val="both"/>
      </w:pPr>
      <w:r>
        <w:t xml:space="preserve">Be tėvų globos likusių vaikų padėties globos namuose ir šeimynose klausimas, nesant pakankamam darbui su vaikų biologiniais tėvais. </w:t>
      </w:r>
    </w:p>
    <w:p w:rsidR="00A2543C" w:rsidRDefault="00A2543C" w:rsidP="00A2543C">
      <w:pPr>
        <w:ind w:left="360" w:firstLine="936"/>
        <w:jc w:val="both"/>
      </w:pPr>
      <w:r>
        <w:t xml:space="preserve">3. Dėl nesimokančių vaikų ir jų tėvų paieškos. </w:t>
      </w:r>
    </w:p>
    <w:p w:rsidR="00A2543C" w:rsidRPr="00F60643" w:rsidRDefault="00A2543C" w:rsidP="00A2543C">
      <w:pPr>
        <w:ind w:firstLine="1296"/>
        <w:jc w:val="both"/>
      </w:pPr>
      <w:r>
        <w:t xml:space="preserve">4. </w:t>
      </w:r>
      <w:r w:rsidRPr="00F60643">
        <w:t>Dėl ikiteisminio tyrimo įstaigų veiksmų koordinavimo, tiriant nepilnamečių nusikalstamas veikas</w:t>
      </w:r>
      <w:r>
        <w:t>.</w:t>
      </w:r>
      <w:r w:rsidRPr="00F60643">
        <w:t xml:space="preserve"> </w:t>
      </w:r>
    </w:p>
    <w:p w:rsidR="00A2543C" w:rsidRPr="00F60643" w:rsidRDefault="00A2543C" w:rsidP="00A2543C">
      <w:pPr>
        <w:ind w:firstLine="1296"/>
        <w:jc w:val="both"/>
      </w:pPr>
      <w:r>
        <w:t>5</w:t>
      </w:r>
      <w:r w:rsidRPr="00F60643">
        <w:t>. Dėl prokurorų ir policijos atstovų dalyvavimo vaiko gerovės komisijose</w:t>
      </w:r>
      <w:r>
        <w:t>.</w:t>
      </w:r>
    </w:p>
    <w:p w:rsidR="00A2543C" w:rsidRPr="00F05D6E" w:rsidRDefault="00A2543C" w:rsidP="00A2543C">
      <w:pPr>
        <w:ind w:firstLine="1296"/>
        <w:jc w:val="both"/>
      </w:pPr>
      <w:r>
        <w:t>6</w:t>
      </w:r>
      <w:r w:rsidRPr="00F05D6E">
        <w:t>. Kompleksinių priemonių įgyvendinimas, kovai su organizuotu nusikalstamumu, ypač su naujomis jo formomis, išskirtinį dėmesį skiriant prekybos žmonėmis,  neteisėtos narkotikų apyvartos,  pinigų plovimo, kontrabandos kontrolei, nusikalstamų grupuočių ekonominio pagrindo sunaikinimui</w:t>
      </w:r>
      <w:r>
        <w:t>.</w:t>
      </w:r>
    </w:p>
    <w:p w:rsidR="00A2543C" w:rsidRDefault="00A2543C" w:rsidP="00A2543C">
      <w:pPr>
        <w:ind w:firstLine="720"/>
        <w:jc w:val="both"/>
      </w:pPr>
      <w:r>
        <w:t>7</w:t>
      </w:r>
      <w:r w:rsidRPr="00F05D6E">
        <w:t>. Dėl veiksmų užkertančių kelią nusikaltimams, padaromiems naudojant aukštąsias technologijas ir internetą narkomanijos ir alkoholizmo srityje</w:t>
      </w:r>
      <w:r>
        <w:t>.</w:t>
      </w:r>
    </w:p>
    <w:p w:rsidR="00A2543C" w:rsidRDefault="00A2543C" w:rsidP="00A2543C">
      <w:pPr>
        <w:ind w:firstLine="720"/>
        <w:jc w:val="both"/>
      </w:pPr>
      <w:r w:rsidRPr="00301DA4">
        <w:rPr>
          <w:b/>
        </w:rPr>
        <w:lastRenderedPageBreak/>
        <w:t xml:space="preserve"> 12 posėdis</w:t>
      </w:r>
      <w:r>
        <w:t xml:space="preserve"> – 2012-06-20</w:t>
      </w:r>
      <w:r w:rsidRPr="00403533">
        <w:t xml:space="preserve"> </w:t>
      </w:r>
      <w:r>
        <w:t>Seimo Narkomanijos ir alkoholizmo prevencijos komisija posėdyje svarstė šiuos klausimus:</w:t>
      </w:r>
    </w:p>
    <w:p w:rsidR="00A2543C" w:rsidRDefault="00A2543C" w:rsidP="00A2543C">
      <w:pPr>
        <w:ind w:firstLine="720"/>
        <w:rPr>
          <w:bCs/>
          <w:color w:val="000000"/>
          <w:sz w:val="22"/>
          <w:szCs w:val="22"/>
          <w:lang w:eastAsia="lt-LT"/>
        </w:rPr>
      </w:pPr>
      <w:r>
        <w:t>1.</w:t>
      </w:r>
      <w:r w:rsidRPr="00301DA4">
        <w:rPr>
          <w:rFonts w:eastAsia="Arial Unicode MS"/>
        </w:rPr>
        <w:t xml:space="preserve"> </w:t>
      </w:r>
      <w:r w:rsidRPr="00ED3566">
        <w:rPr>
          <w:bCs/>
          <w:color w:val="000000"/>
          <w:sz w:val="22"/>
          <w:szCs w:val="22"/>
          <w:lang w:eastAsia="lt-LT"/>
        </w:rPr>
        <w:t xml:space="preserve"> Dėl Lietuvos Respublikos Baudžiamojo kodekso 266 str</w:t>
      </w:r>
      <w:r>
        <w:rPr>
          <w:bCs/>
          <w:color w:val="000000"/>
          <w:sz w:val="22"/>
          <w:szCs w:val="22"/>
          <w:lang w:eastAsia="lt-LT"/>
        </w:rPr>
        <w:t>. (</w:t>
      </w:r>
      <w:r w:rsidRPr="00ED3566">
        <w:rPr>
          <w:bCs/>
          <w:color w:val="000000"/>
          <w:sz w:val="22"/>
          <w:szCs w:val="22"/>
          <w:lang w:eastAsia="lt-LT"/>
        </w:rPr>
        <w:t>Neteisėtas disponavimas pirmos kategorijos narkotinių ar psichotropinių medžiagų pirmtakais (prekursoriais</w:t>
      </w:r>
      <w:r>
        <w:rPr>
          <w:bCs/>
          <w:color w:val="000000"/>
          <w:sz w:val="22"/>
          <w:szCs w:val="22"/>
          <w:lang w:eastAsia="lt-LT"/>
        </w:rPr>
        <w:t>)  taikymas</w:t>
      </w:r>
      <w:r w:rsidRPr="00ED3566">
        <w:rPr>
          <w:bCs/>
          <w:color w:val="000000"/>
          <w:sz w:val="22"/>
          <w:szCs w:val="22"/>
          <w:lang w:eastAsia="lt-LT"/>
        </w:rPr>
        <w:t xml:space="preserve"> 2010</w:t>
      </w:r>
      <w:r>
        <w:rPr>
          <w:bCs/>
          <w:color w:val="000000"/>
          <w:sz w:val="22"/>
          <w:szCs w:val="22"/>
          <w:lang w:eastAsia="lt-LT"/>
        </w:rPr>
        <w:t xml:space="preserve"> – 2012  metais</w:t>
      </w:r>
      <w:r w:rsidRPr="00ED3566">
        <w:rPr>
          <w:bCs/>
          <w:color w:val="000000"/>
          <w:sz w:val="22"/>
          <w:szCs w:val="22"/>
          <w:lang w:eastAsia="lt-LT"/>
        </w:rPr>
        <w:t xml:space="preserve">. </w:t>
      </w:r>
    </w:p>
    <w:p w:rsidR="00A2543C" w:rsidRDefault="00A2543C" w:rsidP="00A2543C">
      <w:pPr>
        <w:ind w:firstLine="720"/>
        <w:jc w:val="both"/>
      </w:pPr>
      <w:r>
        <w:t>2. Dėl nusikalstamu būdu iš neteisėto narkotikų verslo ir alkoholio kontrabandos įgytų pinigų ir turto paieškos, nustatymo ir konfiskavimo 2010-2012 metais.</w:t>
      </w:r>
    </w:p>
    <w:p w:rsidR="00A2543C" w:rsidRDefault="00A2543C" w:rsidP="00A2543C">
      <w:pPr>
        <w:ind w:firstLine="720"/>
        <w:jc w:val="both"/>
      </w:pPr>
      <w:r>
        <w:t xml:space="preserve">3. </w:t>
      </w:r>
      <w:r>
        <w:rPr>
          <w:rFonts w:ascii="Times-Roman" w:hAnsi="Times-Roman" w:cs="Times-Roman"/>
          <w:sz w:val="23"/>
          <w:szCs w:val="23"/>
          <w:lang w:eastAsia="lt-LT"/>
        </w:rPr>
        <w:t>Alkoholio ir kit</w:t>
      </w:r>
      <w:r>
        <w:rPr>
          <w:rFonts w:ascii="TTE1A8C2C0t00" w:hAnsi="TTE1A8C2C0t00" w:cs="TTE1A8C2C0t00"/>
          <w:sz w:val="23"/>
          <w:szCs w:val="23"/>
          <w:lang w:eastAsia="lt-LT"/>
        </w:rPr>
        <w:t xml:space="preserve">ų </w:t>
      </w:r>
      <w:r>
        <w:rPr>
          <w:rFonts w:ascii="Times-Roman" w:hAnsi="Times-Roman" w:cs="Times-Roman"/>
          <w:sz w:val="23"/>
          <w:szCs w:val="23"/>
          <w:lang w:eastAsia="lt-LT"/>
        </w:rPr>
        <w:t>narkotik</w:t>
      </w:r>
      <w:r>
        <w:rPr>
          <w:rFonts w:ascii="TTE1A8C2C0t00" w:hAnsi="TTE1A8C2C0t00" w:cs="TTE1A8C2C0t00"/>
          <w:sz w:val="23"/>
          <w:szCs w:val="23"/>
          <w:lang w:eastAsia="lt-LT"/>
        </w:rPr>
        <w:t xml:space="preserve">ų </w:t>
      </w:r>
      <w:r>
        <w:rPr>
          <w:rFonts w:ascii="Times-Roman" w:hAnsi="Times-Roman" w:cs="Times-Roman"/>
          <w:sz w:val="23"/>
          <w:szCs w:val="23"/>
          <w:lang w:eastAsia="lt-LT"/>
        </w:rPr>
        <w:t>tyrimo Europos mokyklose (ESPAD)</w:t>
      </w:r>
      <w:r>
        <w:t xml:space="preserve"> paskutinių rezultatų pateikimas.</w:t>
      </w:r>
    </w:p>
    <w:p w:rsidR="00A2543C" w:rsidRDefault="00A2543C" w:rsidP="00A2543C">
      <w:pPr>
        <w:ind w:firstLine="720"/>
        <w:jc w:val="both"/>
      </w:pPr>
      <w:r w:rsidRPr="00A607C2">
        <w:rPr>
          <w:b/>
        </w:rPr>
        <w:t xml:space="preserve">13 posėdis </w:t>
      </w:r>
      <w:r>
        <w:t>- 2012-06-27 Seimo Narkomanijos ir alkoholizmo prevencijos komisija posėdyje svarstė šiuos klausimus:</w:t>
      </w:r>
    </w:p>
    <w:p w:rsidR="00A2543C" w:rsidRPr="00A607C2" w:rsidRDefault="00A2543C" w:rsidP="00A2543C">
      <w:pPr>
        <w:ind w:firstLine="720"/>
        <w:jc w:val="both"/>
        <w:rPr>
          <w:color w:val="010101"/>
          <w:szCs w:val="18"/>
        </w:rPr>
      </w:pPr>
      <w:r>
        <w:rPr>
          <w:rFonts w:eastAsia="Arial Unicode MS"/>
        </w:rPr>
        <w:t>1.</w:t>
      </w:r>
      <w:r w:rsidRPr="00A607C2">
        <w:rPr>
          <w:rFonts w:eastAsia="Arial Unicode MS"/>
        </w:rPr>
        <w:t xml:space="preserve">Dėl asmenų, priklausomų nuo narkotinių, psichotropinių  ar toksinių medžiagų, psichologinės ir socialinės reabilitacijos finansavimas Europos Sąjungos struktūrinių fondų  lėšomis, vykdant  2007 –2013 m. Žmogiškųjų išteklių plėtros veiksmų programos VP1 – 1.3- SADM –02-K priemonę “Socialinės rizikos ir socialinę atskirtį patiriančių asmenų integracija į darbo rinką” ir </w:t>
      </w:r>
      <w:r w:rsidRPr="00A607C2">
        <w:rPr>
          <w:color w:val="010101"/>
          <w:szCs w:val="18"/>
        </w:rPr>
        <w:t>veiklos tęstinumas.</w:t>
      </w:r>
    </w:p>
    <w:p w:rsidR="00A2543C" w:rsidRDefault="00A2543C" w:rsidP="00A2543C">
      <w:pPr>
        <w:autoSpaceDE w:val="0"/>
        <w:autoSpaceDN w:val="0"/>
        <w:adjustRightInd w:val="0"/>
        <w:ind w:firstLine="720"/>
        <w:jc w:val="both"/>
        <w:rPr>
          <w:color w:val="010101"/>
          <w:szCs w:val="18"/>
        </w:rPr>
      </w:pPr>
      <w:r>
        <w:t>2.</w:t>
      </w:r>
      <w:r w:rsidRPr="00A607C2">
        <w:rPr>
          <w:color w:val="010101"/>
          <w:szCs w:val="18"/>
        </w:rPr>
        <w:t xml:space="preserve"> </w:t>
      </w:r>
      <w:r>
        <w:rPr>
          <w:color w:val="010101"/>
          <w:szCs w:val="18"/>
        </w:rPr>
        <w:t>Priklausomybės ligų reabilitacijos bendruomenių veiklos ir finansavimo tęstinumas.</w:t>
      </w:r>
    </w:p>
    <w:p w:rsidR="00A2543C" w:rsidRDefault="00A2543C" w:rsidP="00A2543C">
      <w:pPr>
        <w:ind w:firstLine="720"/>
        <w:jc w:val="both"/>
        <w:rPr>
          <w:color w:val="010101"/>
          <w:szCs w:val="18"/>
        </w:rPr>
      </w:pPr>
      <w:r>
        <w:t>3.</w:t>
      </w:r>
      <w:r w:rsidRPr="00A607C2">
        <w:rPr>
          <w:color w:val="010101"/>
          <w:szCs w:val="18"/>
        </w:rPr>
        <w:t xml:space="preserve"> </w:t>
      </w:r>
      <w:r>
        <w:rPr>
          <w:color w:val="010101"/>
          <w:szCs w:val="18"/>
        </w:rPr>
        <w:t>Asmenų, priklausomų nuo narkotinių ir psichotropinių medžiagų vartojimo, profesinė reabilitacija,  reintegracija į visuomenę ir į darbo rinką: socialinės atskirties problemų sprendimas.</w:t>
      </w:r>
    </w:p>
    <w:p w:rsidR="00A2543C" w:rsidRDefault="00A2543C" w:rsidP="00A2543C">
      <w:pPr>
        <w:ind w:firstLine="720"/>
        <w:jc w:val="both"/>
        <w:rPr>
          <w:color w:val="010101"/>
          <w:szCs w:val="18"/>
        </w:rPr>
      </w:pPr>
      <w:r>
        <w:rPr>
          <w:color w:val="010101"/>
          <w:szCs w:val="18"/>
        </w:rPr>
        <w:t>4.</w:t>
      </w:r>
      <w:r w:rsidRPr="00A607C2">
        <w:rPr>
          <w:color w:val="010101"/>
          <w:szCs w:val="18"/>
        </w:rPr>
        <w:t xml:space="preserve"> </w:t>
      </w:r>
      <w:r>
        <w:rPr>
          <w:color w:val="010101"/>
          <w:szCs w:val="18"/>
        </w:rPr>
        <w:t>Priklausomybės ligų reabilitacijos bendruomenių veiklos licencijavimas.</w:t>
      </w:r>
    </w:p>
    <w:p w:rsidR="00A2543C" w:rsidRDefault="00A2543C" w:rsidP="00A2543C">
      <w:pPr>
        <w:ind w:firstLine="720"/>
        <w:jc w:val="both"/>
        <w:rPr>
          <w:color w:val="010101"/>
          <w:szCs w:val="18"/>
        </w:rPr>
      </w:pPr>
      <w:r>
        <w:rPr>
          <w:color w:val="010101"/>
          <w:szCs w:val="18"/>
        </w:rPr>
        <w:t>5.</w:t>
      </w:r>
      <w:r w:rsidRPr="00A607C2">
        <w:rPr>
          <w:color w:val="010101"/>
          <w:szCs w:val="18"/>
        </w:rPr>
        <w:t xml:space="preserve"> </w:t>
      </w:r>
      <w:r>
        <w:rPr>
          <w:color w:val="010101"/>
          <w:szCs w:val="18"/>
        </w:rPr>
        <w:t>Knygos „Sutemos tirščiausios prieš aušrą“, VšĮ Bernardinai. Lt (knygos apie priklausomybę ir sveikimo kelią) pristatymas.</w:t>
      </w:r>
    </w:p>
    <w:p w:rsidR="00A2543C" w:rsidRDefault="00A2543C" w:rsidP="00A2543C">
      <w:pPr>
        <w:ind w:firstLine="720"/>
        <w:jc w:val="both"/>
      </w:pPr>
      <w:r w:rsidRPr="00566FC4">
        <w:rPr>
          <w:b/>
          <w:color w:val="010101"/>
          <w:szCs w:val="18"/>
        </w:rPr>
        <w:t>14 posėdis</w:t>
      </w:r>
      <w:r>
        <w:rPr>
          <w:color w:val="010101"/>
          <w:szCs w:val="18"/>
        </w:rPr>
        <w:t xml:space="preserve"> – 2012-07-11 </w:t>
      </w:r>
      <w:r>
        <w:t>Seimo Narkomanijos ir alkoholizmo prevencijos komisija posėdyje svarstė šiuos klausimus:</w:t>
      </w:r>
    </w:p>
    <w:p w:rsidR="00A2543C" w:rsidRPr="007C32DC" w:rsidRDefault="00A2543C" w:rsidP="00A2543C">
      <w:pPr>
        <w:spacing w:before="40" w:after="40"/>
        <w:ind w:firstLine="720"/>
        <w:jc w:val="both"/>
        <w:rPr>
          <w:rFonts w:eastAsia="Arial Unicode MS"/>
          <w:b/>
        </w:rPr>
      </w:pPr>
      <w:r>
        <w:rPr>
          <w:color w:val="010101"/>
          <w:szCs w:val="18"/>
        </w:rPr>
        <w:t>1.</w:t>
      </w:r>
      <w:r w:rsidRPr="00566FC4">
        <w:rPr>
          <w:rFonts w:eastAsia="Arial Unicode MS"/>
          <w:b/>
        </w:rPr>
        <w:t xml:space="preserve"> </w:t>
      </w:r>
      <w:r w:rsidRPr="00566FC4">
        <w:rPr>
          <w:rFonts w:eastAsia="Arial Unicode MS"/>
        </w:rPr>
        <w:t>Dėl 2667 vaikų paieškos.</w:t>
      </w:r>
    </w:p>
    <w:p w:rsidR="00A2543C" w:rsidRDefault="00A2543C" w:rsidP="00A2543C">
      <w:pPr>
        <w:ind w:firstLine="720"/>
        <w:jc w:val="both"/>
      </w:pPr>
      <w:r>
        <w:rPr>
          <w:color w:val="010101"/>
          <w:szCs w:val="18"/>
        </w:rPr>
        <w:t>2.</w:t>
      </w:r>
      <w:r w:rsidRPr="00566FC4">
        <w:rPr>
          <w:rFonts w:ascii="Times-Roman" w:hAnsi="Times-Roman" w:cs="Times-Roman"/>
          <w:b/>
          <w:sz w:val="23"/>
          <w:szCs w:val="23"/>
          <w:lang w:eastAsia="lt-LT"/>
        </w:rPr>
        <w:t xml:space="preserve"> </w:t>
      </w:r>
      <w:r w:rsidRPr="00566FC4">
        <w:rPr>
          <w:rFonts w:ascii="Times-Roman" w:hAnsi="Times-Roman" w:cs="Times-Roman"/>
          <w:sz w:val="23"/>
          <w:szCs w:val="23"/>
          <w:lang w:eastAsia="lt-LT"/>
        </w:rPr>
        <w:t>Alkoholio ir kit</w:t>
      </w:r>
      <w:r w:rsidRPr="00566FC4">
        <w:rPr>
          <w:rFonts w:ascii="TTE1A8C2C0t00" w:hAnsi="TTE1A8C2C0t00" w:cs="TTE1A8C2C0t00"/>
          <w:sz w:val="23"/>
          <w:szCs w:val="23"/>
          <w:lang w:eastAsia="lt-LT"/>
        </w:rPr>
        <w:t xml:space="preserve">ų </w:t>
      </w:r>
      <w:r w:rsidRPr="00566FC4">
        <w:rPr>
          <w:rFonts w:ascii="Times-Roman" w:hAnsi="Times-Roman" w:cs="Times-Roman"/>
          <w:sz w:val="23"/>
          <w:szCs w:val="23"/>
          <w:lang w:eastAsia="lt-LT"/>
        </w:rPr>
        <w:t>narkotik</w:t>
      </w:r>
      <w:r w:rsidRPr="00566FC4">
        <w:rPr>
          <w:rFonts w:ascii="TTE1A8C2C0t00" w:hAnsi="TTE1A8C2C0t00" w:cs="TTE1A8C2C0t00"/>
          <w:sz w:val="23"/>
          <w:szCs w:val="23"/>
          <w:lang w:eastAsia="lt-LT"/>
        </w:rPr>
        <w:t xml:space="preserve">ų </w:t>
      </w:r>
      <w:r w:rsidRPr="00566FC4">
        <w:rPr>
          <w:rFonts w:ascii="Times-Roman" w:hAnsi="Times-Roman" w:cs="Times-Roman"/>
          <w:sz w:val="23"/>
          <w:szCs w:val="23"/>
          <w:lang w:eastAsia="lt-LT"/>
        </w:rPr>
        <w:t>tyrimo Europos mokyklose (ESPAD)</w:t>
      </w:r>
      <w:r w:rsidRPr="00566FC4">
        <w:t xml:space="preserve"> paskutinių rezultatų pateikimas.</w:t>
      </w:r>
    </w:p>
    <w:p w:rsidR="00A2543C" w:rsidRDefault="00A2543C" w:rsidP="00A2543C">
      <w:pPr>
        <w:ind w:firstLine="720"/>
        <w:jc w:val="both"/>
      </w:pPr>
      <w:r>
        <w:t>3.</w:t>
      </w:r>
      <w:r w:rsidRPr="00566FC4">
        <w:rPr>
          <w:b/>
        </w:rPr>
        <w:t xml:space="preserve"> </w:t>
      </w:r>
      <w:r w:rsidRPr="00566FC4">
        <w:t>ECAD paskutinių tyrimų rezultatų pateikimas.</w:t>
      </w:r>
    </w:p>
    <w:p w:rsidR="00A2543C" w:rsidRPr="00566FC4" w:rsidRDefault="00A2543C" w:rsidP="00A2543C">
      <w:pPr>
        <w:ind w:firstLine="720"/>
        <w:jc w:val="both"/>
        <w:rPr>
          <w:color w:val="010101"/>
          <w:szCs w:val="18"/>
        </w:rPr>
      </w:pPr>
      <w:r>
        <w:t>4.</w:t>
      </w:r>
      <w:r w:rsidRPr="00566FC4">
        <w:rPr>
          <w:b/>
        </w:rPr>
        <w:t xml:space="preserve"> </w:t>
      </w:r>
      <w:r w:rsidRPr="00566FC4">
        <w:t xml:space="preserve">Dėl Lietuvos Respublikos Seimo 2011 m. birželio 30 d. nutarimo </w:t>
      </w:r>
      <w:r w:rsidRPr="00566FC4">
        <w:rPr>
          <w:sz w:val="22"/>
          <w:szCs w:val="22"/>
        </w:rPr>
        <w:t xml:space="preserve">Nr. </w:t>
      </w:r>
      <w:bookmarkStart w:id="20" w:name="dok_nr"/>
      <w:bookmarkEnd w:id="20"/>
      <w:r w:rsidRPr="00566FC4">
        <w:rPr>
          <w:rStyle w:val="statymonr"/>
          <w:sz w:val="22"/>
          <w:szCs w:val="22"/>
        </w:rPr>
        <w:t>XI-1573</w:t>
      </w:r>
      <w:r w:rsidRPr="00566FC4">
        <w:t xml:space="preserve"> „Dėl metadono naudojimo teisėtumo“ įgyvendinimo dėl bendros priklausomybės ligų prevencijos, gydymo, reabilitacijos ir reintegracijos paslaugų sistemos sukūrimo koncepcijos.</w:t>
      </w:r>
    </w:p>
    <w:p w:rsidR="00A2543C" w:rsidRDefault="00A2543C" w:rsidP="00A2543C">
      <w:pPr>
        <w:ind w:firstLine="720"/>
        <w:jc w:val="both"/>
        <w:rPr>
          <w:color w:val="010101"/>
          <w:szCs w:val="18"/>
        </w:rPr>
      </w:pPr>
      <w:r>
        <w:rPr>
          <w:color w:val="010101"/>
          <w:szCs w:val="18"/>
        </w:rPr>
        <w:t>5.</w:t>
      </w:r>
      <w:r w:rsidRPr="00566FC4">
        <w:rPr>
          <w:b/>
        </w:rPr>
        <w:t xml:space="preserve"> </w:t>
      </w:r>
      <w:r w:rsidRPr="00566FC4">
        <w:t>Vaikų sveikata – valstybės ateities ir jos gerovės pagrindas – aktualijos ir sprendimai Vilniaus mieste.</w:t>
      </w:r>
    </w:p>
    <w:p w:rsidR="00A2543C" w:rsidRDefault="00A2543C" w:rsidP="00A2543C">
      <w:pPr>
        <w:ind w:firstLine="720"/>
        <w:jc w:val="both"/>
        <w:rPr>
          <w:color w:val="010101"/>
          <w:szCs w:val="18"/>
        </w:rPr>
      </w:pPr>
      <w:r>
        <w:rPr>
          <w:color w:val="010101"/>
          <w:szCs w:val="18"/>
        </w:rPr>
        <w:t xml:space="preserve">6. </w:t>
      </w:r>
      <w:r w:rsidRPr="00566FC4">
        <w:t>Kokiais keliais einame link vaiko gerovės? Europos miestų tinklas „Miestai vaikams“.</w:t>
      </w:r>
    </w:p>
    <w:p w:rsidR="00A2543C" w:rsidRDefault="00A2543C" w:rsidP="00A2543C">
      <w:pPr>
        <w:ind w:firstLine="720"/>
        <w:jc w:val="both"/>
        <w:rPr>
          <w:color w:val="010101"/>
          <w:szCs w:val="18"/>
        </w:rPr>
      </w:pPr>
      <w:r>
        <w:rPr>
          <w:color w:val="010101"/>
          <w:szCs w:val="18"/>
        </w:rPr>
        <w:t xml:space="preserve">7. </w:t>
      </w:r>
      <w:r w:rsidRPr="00566FC4">
        <w:t>Geroji patirtis kuriant ir įgyvendinant vaiko gerovės strategiją.</w:t>
      </w:r>
    </w:p>
    <w:p w:rsidR="00A2543C" w:rsidRPr="00566FC4" w:rsidRDefault="00A2543C" w:rsidP="00A2543C">
      <w:pPr>
        <w:ind w:firstLine="720"/>
        <w:jc w:val="both"/>
        <w:rPr>
          <w:color w:val="010101"/>
          <w:szCs w:val="18"/>
        </w:rPr>
      </w:pPr>
      <w:r>
        <w:rPr>
          <w:color w:val="010101"/>
          <w:szCs w:val="18"/>
        </w:rPr>
        <w:t xml:space="preserve">8. </w:t>
      </w:r>
      <w:r w:rsidRPr="00566FC4">
        <w:t>Dėl alkoholio ir tabako prieinamumo nepilnamečiams prekybos centrų teritorijoje Vilniaus mieste.</w:t>
      </w:r>
    </w:p>
    <w:p w:rsidR="00A2543C" w:rsidRDefault="00A2543C" w:rsidP="00A2543C">
      <w:pPr>
        <w:ind w:firstLine="720"/>
        <w:jc w:val="both"/>
      </w:pPr>
      <w:r w:rsidRPr="00A42091">
        <w:rPr>
          <w:b/>
          <w:color w:val="010101"/>
          <w:szCs w:val="18"/>
        </w:rPr>
        <w:t>15 posėdis</w:t>
      </w:r>
      <w:r>
        <w:rPr>
          <w:color w:val="010101"/>
          <w:szCs w:val="18"/>
        </w:rPr>
        <w:t xml:space="preserve"> – 2012-07-31 </w:t>
      </w:r>
      <w:r>
        <w:t>Seimo Narkomanijos ir alkoholizmo prevencijos komisija posėdyje svarstė šiuos klausimus:</w:t>
      </w:r>
    </w:p>
    <w:p w:rsidR="00A2543C" w:rsidRDefault="00A2543C" w:rsidP="00A2543C">
      <w:pPr>
        <w:ind w:firstLine="720"/>
        <w:jc w:val="both"/>
      </w:pPr>
      <w:r>
        <w:rPr>
          <w:rFonts w:eastAsia="Arial Unicode MS"/>
        </w:rPr>
        <w:t xml:space="preserve">1. Dėl </w:t>
      </w:r>
      <w:r>
        <w:t>ESPAD 2011 (Alkoholio ir kitų narkotikų vartojimo tyrimas Europos mokyklose) tyrimo:</w:t>
      </w:r>
    </w:p>
    <w:p w:rsidR="00A2543C" w:rsidRDefault="00A2543C" w:rsidP="00A2543C">
      <w:pPr>
        <w:ind w:firstLine="720"/>
        <w:jc w:val="both"/>
      </w:pPr>
      <w:r>
        <w:t>1.1. Dėl Lietuvos paauglių (13 proc.)  vartojusių bent kartą per gyvenimą legalias psichoaktyviąsias medžiagas raminamuosius ar migdomuosius vaistus, gydytojui nepaskyrus ir dvigubai viršijus ESPAD vidurkį (6 proc.).</w:t>
      </w:r>
    </w:p>
    <w:p w:rsidR="00A2543C" w:rsidRPr="00453166" w:rsidRDefault="00A2543C" w:rsidP="00A2543C">
      <w:pPr>
        <w:ind w:firstLine="720"/>
        <w:jc w:val="both"/>
      </w:pPr>
      <w:r>
        <w:t xml:space="preserve"> 1.2. Dėl raminamųjų ir migdomųjų vaistų vartojimo tarp paauglių, gydytojui nepaskyrus, aukšto  jų prieinamumo vertinimo rodiklių (kad panorėję lengvai ar labai lengvai įsigytų gydytojo nepaskirtų šių vaistų, nurodė 34 proc. Lietuvos paauglių (ESPAD vidurkis – 23 proc.), tarp jų net 41 proc. mergaičių ir 26 proc. berniukų). </w:t>
      </w:r>
    </w:p>
    <w:p w:rsidR="00A2543C" w:rsidRDefault="00A2543C" w:rsidP="00A2543C">
      <w:pPr>
        <w:ind w:firstLine="720"/>
        <w:jc w:val="both"/>
        <w:rPr>
          <w:rFonts w:eastAsia="Arial Unicode MS"/>
        </w:rPr>
      </w:pPr>
      <w:r>
        <w:rPr>
          <w:color w:val="010101"/>
          <w:szCs w:val="18"/>
        </w:rPr>
        <w:t>2.</w:t>
      </w:r>
      <w:r w:rsidRPr="00A42091">
        <w:rPr>
          <w:rFonts w:eastAsia="Arial Unicode MS"/>
        </w:rPr>
        <w:t xml:space="preserve"> </w:t>
      </w:r>
      <w:r>
        <w:rPr>
          <w:rFonts w:eastAsia="Arial Unicode MS"/>
        </w:rPr>
        <w:t>Piktnaudžiavimas vaistiniais preparatais.</w:t>
      </w:r>
    </w:p>
    <w:p w:rsidR="00A2543C" w:rsidRDefault="00A2543C" w:rsidP="00A2543C">
      <w:pPr>
        <w:ind w:firstLine="720"/>
        <w:jc w:val="both"/>
        <w:rPr>
          <w:color w:val="010101"/>
          <w:szCs w:val="18"/>
        </w:rPr>
      </w:pPr>
      <w:r>
        <w:rPr>
          <w:rFonts w:eastAsia="Arial Unicode MS"/>
        </w:rPr>
        <w:t>3.</w:t>
      </w:r>
      <w:r w:rsidRPr="00A42091">
        <w:rPr>
          <w:b/>
        </w:rPr>
        <w:t xml:space="preserve"> </w:t>
      </w:r>
      <w:r w:rsidRPr="00A42091">
        <w:t>Apsinuodijimai alkoholiu ir alkoholio surogatais 2002-2011 metais.</w:t>
      </w:r>
    </w:p>
    <w:p w:rsidR="00A2543C" w:rsidRDefault="00A2543C" w:rsidP="00A2543C">
      <w:pPr>
        <w:ind w:firstLine="720"/>
        <w:jc w:val="both"/>
      </w:pPr>
      <w:r>
        <w:rPr>
          <w:b/>
        </w:rPr>
        <w:t xml:space="preserve">    </w:t>
      </w:r>
      <w:r w:rsidRPr="00A42091">
        <w:rPr>
          <w:b/>
        </w:rPr>
        <w:t xml:space="preserve">16 posėdis </w:t>
      </w:r>
      <w:r>
        <w:rPr>
          <w:b/>
        </w:rPr>
        <w:t>–</w:t>
      </w:r>
      <w:r w:rsidRPr="00A42091">
        <w:rPr>
          <w:b/>
        </w:rPr>
        <w:t xml:space="preserve"> </w:t>
      </w:r>
      <w:r w:rsidRPr="00A42091">
        <w:t>2012-09-19</w:t>
      </w:r>
      <w:r>
        <w:rPr>
          <w:b/>
        </w:rPr>
        <w:t xml:space="preserve"> </w:t>
      </w:r>
      <w:r>
        <w:t>Seimo Narkomanijos ir alkoholizmo prevencijos komisija posėdyje svarstė šiuos klausimus:</w:t>
      </w:r>
    </w:p>
    <w:p w:rsidR="00A2543C" w:rsidRDefault="00A2543C" w:rsidP="00A2543C">
      <w:pPr>
        <w:jc w:val="both"/>
        <w:rPr>
          <w:bCs/>
          <w:color w:val="000000"/>
          <w:lang w:eastAsia="lt-LT"/>
        </w:rPr>
      </w:pPr>
      <w:r>
        <w:rPr>
          <w:b/>
        </w:rPr>
        <w:tab/>
      </w:r>
      <w:r w:rsidRPr="00A42091">
        <w:t>1.</w:t>
      </w:r>
      <w:r w:rsidRPr="00A42091">
        <w:rPr>
          <w:bCs/>
          <w:color w:val="000000"/>
          <w:lang w:eastAsia="lt-LT"/>
        </w:rPr>
        <w:t xml:space="preserve"> </w:t>
      </w:r>
      <w:r w:rsidRPr="00470B13">
        <w:rPr>
          <w:bCs/>
          <w:color w:val="000000"/>
          <w:lang w:eastAsia="lt-LT"/>
        </w:rPr>
        <w:t>Dėl reabilitacinių bendruomenių veiklos,  priklausomybės ligomis sergantiems asmenims,   laisvės atėmimo vietose</w:t>
      </w:r>
      <w:r>
        <w:rPr>
          <w:bCs/>
          <w:color w:val="000000"/>
          <w:lang w:eastAsia="lt-LT"/>
        </w:rPr>
        <w:t>.</w:t>
      </w:r>
    </w:p>
    <w:p w:rsidR="00A2543C" w:rsidRDefault="00A2543C" w:rsidP="00A2543C">
      <w:pPr>
        <w:jc w:val="both"/>
        <w:rPr>
          <w:color w:val="000000"/>
        </w:rPr>
      </w:pPr>
      <w:r>
        <w:rPr>
          <w:bCs/>
          <w:color w:val="000000"/>
          <w:lang w:eastAsia="lt-LT"/>
        </w:rPr>
        <w:tab/>
        <w:t>2.</w:t>
      </w:r>
      <w:r w:rsidRPr="00A42091">
        <w:rPr>
          <w:color w:val="000000"/>
        </w:rPr>
        <w:t xml:space="preserve"> </w:t>
      </w:r>
      <w:r w:rsidRPr="00F25D86">
        <w:rPr>
          <w:color w:val="000000"/>
        </w:rPr>
        <w:t xml:space="preserve">Dėl </w:t>
      </w:r>
      <w:r>
        <w:rPr>
          <w:color w:val="000000"/>
        </w:rPr>
        <w:t>lygtinio paleidimo iš laisvės atėmimo vietų 2012 metais; specialiųjų komisijų įpareigojimų ankščiau laiko lygtinai išleidžiamiems asmenims skyrimo ir šių įpareigojimų laikymosi kontrolės.</w:t>
      </w:r>
    </w:p>
    <w:p w:rsidR="00A2543C" w:rsidRDefault="00A2543C" w:rsidP="00A2543C">
      <w:pPr>
        <w:jc w:val="both"/>
      </w:pPr>
      <w:r>
        <w:rPr>
          <w:color w:val="000000"/>
        </w:rPr>
        <w:lastRenderedPageBreak/>
        <w:tab/>
        <w:t>3.</w:t>
      </w:r>
      <w:r w:rsidRPr="00A42091">
        <w:t xml:space="preserve"> </w:t>
      </w:r>
      <w:r>
        <w:t>Dėl vaikų padėties romų tabore, Kirtimuose, Vilniuje.</w:t>
      </w:r>
    </w:p>
    <w:p w:rsidR="00A2543C" w:rsidRDefault="00A2543C" w:rsidP="00A2543C">
      <w:pPr>
        <w:jc w:val="both"/>
        <w:rPr>
          <w:color w:val="000000"/>
        </w:rPr>
      </w:pPr>
    </w:p>
    <w:p w:rsidR="00A2543C" w:rsidRDefault="00A2543C" w:rsidP="00A2543C">
      <w:pPr>
        <w:ind w:firstLine="720"/>
        <w:jc w:val="both"/>
      </w:pPr>
      <w:r w:rsidRPr="00E169ED">
        <w:rPr>
          <w:b/>
          <w:bCs/>
          <w:color w:val="000000"/>
          <w:lang w:eastAsia="lt-LT"/>
        </w:rPr>
        <w:t>17 posėdis</w:t>
      </w:r>
      <w:r>
        <w:rPr>
          <w:bCs/>
          <w:color w:val="000000"/>
          <w:lang w:eastAsia="lt-LT"/>
        </w:rPr>
        <w:t xml:space="preserve"> – 2012-10-03 </w:t>
      </w:r>
      <w:r>
        <w:t>Seimo Narkomanijos ir alkoholizmo prevencijos komisija posėdyje svarstė šiuos klausimus:</w:t>
      </w:r>
    </w:p>
    <w:p w:rsidR="00A2543C" w:rsidRDefault="00A2543C" w:rsidP="00A2543C">
      <w:pPr>
        <w:ind w:firstLine="1296"/>
        <w:jc w:val="both"/>
      </w:pPr>
      <w:r>
        <w:rPr>
          <w:rFonts w:eastAsia="Arial Unicode MS"/>
        </w:rPr>
        <w:t>1.</w:t>
      </w:r>
      <w:r w:rsidRPr="00E169ED">
        <w:rPr>
          <w:rFonts w:eastAsia="Arial Unicode MS"/>
        </w:rPr>
        <w:t xml:space="preserve">Dėl </w:t>
      </w:r>
      <w:r w:rsidRPr="003A0CEA">
        <w:t xml:space="preserve"> 2007–2013 m. Žmogiškųjų išteklių plėtros veiksmų programos 1 prioriteto „Kokybiškas užimtumas ir socialinė aprėptis“ VP1-1.3-SADM-02 priemonės „Socialinės rizikos ir socialinę atskirtį patiriančių asmenų integracija į dar</w:t>
      </w:r>
      <w:r>
        <w:t>bo rinką“ projekto įgyvendinimo.</w:t>
      </w:r>
    </w:p>
    <w:p w:rsidR="00A2543C" w:rsidRDefault="00A2543C" w:rsidP="00A2543C">
      <w:pPr>
        <w:jc w:val="both"/>
      </w:pPr>
      <w:r>
        <w:tab/>
        <w:t>2.</w:t>
      </w:r>
      <w:r w:rsidRPr="00E169ED">
        <w:t xml:space="preserve"> </w:t>
      </w:r>
      <w:r w:rsidRPr="003A0CEA">
        <w:t>„Dėl Lietuvos Respublikos Seimo 2011 m. birželio 30 d. nutarimo Nr. XI-1573 „Dėl metadono naudojimo teisėtumo“ įgyvendinimo</w:t>
      </w:r>
      <w:r>
        <w:t>.</w:t>
      </w:r>
    </w:p>
    <w:p w:rsidR="00A2543C" w:rsidRDefault="00A2543C" w:rsidP="00A2543C">
      <w:pPr>
        <w:jc w:val="both"/>
        <w:rPr>
          <w:lang w:eastAsia="lt-LT"/>
        </w:rPr>
      </w:pPr>
      <w:r>
        <w:tab/>
        <w:t>3.</w:t>
      </w:r>
      <w:r w:rsidRPr="00E169ED">
        <w:t xml:space="preserve"> </w:t>
      </w:r>
      <w:r>
        <w:t xml:space="preserve">Dėl </w:t>
      </w:r>
      <w:r w:rsidRPr="003A0CEA">
        <w:t xml:space="preserve"> </w:t>
      </w:r>
      <w:r>
        <w:t>Lietuvos Respublikos Vyriausybės 2011m. lapkričio 23 d. patvirtintos Lietuvos pažangos strategijos</w:t>
      </w:r>
      <w:r w:rsidRPr="003A0CEA">
        <w:t xml:space="preserve"> „Lietuva 2</w:t>
      </w:r>
      <w:r>
        <w:t xml:space="preserve">030“ nuostatų ir dėl </w:t>
      </w:r>
      <w:r w:rsidRPr="003A0CEA">
        <w:t xml:space="preserve">Lietuvos Respublikos Seimo </w:t>
      </w:r>
      <w:bookmarkStart w:id="21" w:name="data_metai"/>
      <w:bookmarkEnd w:id="21"/>
      <w:r w:rsidRPr="003A0CEA">
        <w:rPr>
          <w:rStyle w:val="datametai"/>
        </w:rPr>
        <w:t>2012</w:t>
      </w:r>
      <w:r w:rsidRPr="003A0CEA">
        <w:t xml:space="preserve"> m. </w:t>
      </w:r>
      <w:bookmarkStart w:id="22" w:name="data_menuo"/>
      <w:bookmarkEnd w:id="22"/>
      <w:r w:rsidRPr="003A0CEA">
        <w:rPr>
          <w:rStyle w:val="datamnuo"/>
        </w:rPr>
        <w:t>gegužės</w:t>
      </w:r>
      <w:r w:rsidRPr="003A0CEA">
        <w:t xml:space="preserve"> </w:t>
      </w:r>
      <w:bookmarkStart w:id="23" w:name="data_diena"/>
      <w:bookmarkEnd w:id="23"/>
      <w:r w:rsidRPr="003A0CEA">
        <w:rPr>
          <w:rStyle w:val="datadiena"/>
          <w:rFonts w:eastAsia="Courier New"/>
        </w:rPr>
        <w:t>15</w:t>
      </w:r>
      <w:r>
        <w:t xml:space="preserve"> d. nutarimu</w:t>
      </w:r>
      <w:r w:rsidRPr="003A0CEA">
        <w:t xml:space="preserve"> Nr. </w:t>
      </w:r>
      <w:r w:rsidRPr="003A0CEA">
        <w:rPr>
          <w:rStyle w:val="statymonr"/>
        </w:rPr>
        <w:t xml:space="preserve">XI-2015 „Dėl </w:t>
      </w:r>
      <w:r w:rsidRPr="003A0CEA">
        <w:t>Valstybės pažangos strategijos „Lietuvos pažangos strategija „Lietuva 2</w:t>
      </w:r>
      <w:r>
        <w:t>030“ patvirtinimo“  patvirtintų</w:t>
      </w:r>
      <w:r w:rsidRPr="003A0CEA">
        <w:t xml:space="preserve"> </w:t>
      </w:r>
      <w:r>
        <w:t xml:space="preserve"> nuostatų dalies </w:t>
      </w:r>
      <w:r w:rsidRPr="003A0CEA">
        <w:t xml:space="preserve">„ </w:t>
      </w:r>
      <w:r w:rsidRPr="003A0CEA">
        <w:rPr>
          <w:lang w:eastAsia="lt-LT"/>
        </w:rPr>
        <w:t>5.9.1.</w:t>
      </w:r>
      <w:r w:rsidRPr="003A0CEA">
        <w:rPr>
          <w:b/>
          <w:bCs/>
          <w:lang w:eastAsia="lt-LT"/>
        </w:rPr>
        <w:t xml:space="preserve"> </w:t>
      </w:r>
      <w:r w:rsidRPr="00AA1CA3">
        <w:rPr>
          <w:bCs/>
          <w:lang w:eastAsia="lt-LT"/>
        </w:rPr>
        <w:t>Veikli visuomenė“</w:t>
      </w:r>
      <w:r>
        <w:rPr>
          <w:bCs/>
          <w:lang w:eastAsia="lt-LT"/>
        </w:rPr>
        <w:t xml:space="preserve"> </w:t>
      </w:r>
      <w:r>
        <w:rPr>
          <w:lang w:eastAsia="lt-LT"/>
        </w:rPr>
        <w:t>(</w:t>
      </w:r>
      <w:r w:rsidRPr="003A0CEA">
        <w:rPr>
          <w:lang w:eastAsia="lt-LT"/>
        </w:rPr>
        <w:t>Ugdyti sveiką gyvenseną kaip svarbią veiklios visuomenės prielaidą. Telkti visuomenės ir valdžios institucijų pastangas stiprinti visuomenės sveikatą: įgyvendinti alkoholio, tabako ir narkotikų vartojimo prevencijos priemones, didinti visuomenės supratim</w:t>
      </w:r>
      <w:r>
        <w:rPr>
          <w:lang w:eastAsia="lt-LT"/>
        </w:rPr>
        <w:t>ą apie sveikos gyvensenos naudą)</w:t>
      </w:r>
      <w:r w:rsidRPr="003A0CEA">
        <w:rPr>
          <w:lang w:eastAsia="lt-LT"/>
        </w:rPr>
        <w:t xml:space="preserve"> </w:t>
      </w:r>
      <w:r>
        <w:rPr>
          <w:lang w:eastAsia="lt-LT"/>
        </w:rPr>
        <w:t>įtraukimo į 2013 metų strateginio planavimo dokumentus.</w:t>
      </w:r>
    </w:p>
    <w:p w:rsidR="00A2543C" w:rsidRDefault="00A2543C" w:rsidP="00A2543C">
      <w:pPr>
        <w:jc w:val="both"/>
      </w:pPr>
      <w:r>
        <w:rPr>
          <w:lang w:eastAsia="lt-LT"/>
        </w:rPr>
        <w:tab/>
        <w:t>4.</w:t>
      </w:r>
      <w:r w:rsidRPr="00E169ED">
        <w:t xml:space="preserve"> </w:t>
      </w:r>
      <w:r>
        <w:t>Dėl Lietuvos Respublikos Ministro pirmininko Lietuvos Respublikos Seimui 2012-07-18 raštu Nr. 71-2915 „Dėl Lietuvos pirmininkavimo Europos Sąjungos Tarybai 2013 metais aktualiausių  klausimų sąvado projekto“ pateiktų Lietuvos pirmininkavimo ES tarybai programos klausimų: narkotikų pasiūla ir paklausa.</w:t>
      </w:r>
    </w:p>
    <w:p w:rsidR="00A2543C" w:rsidRDefault="00A2543C" w:rsidP="00A2543C">
      <w:pPr>
        <w:jc w:val="both"/>
      </w:pPr>
      <w:r>
        <w:tab/>
        <w:t xml:space="preserve">5. Kiti klausimai. </w:t>
      </w:r>
    </w:p>
    <w:p w:rsidR="00A2543C" w:rsidRDefault="00A2543C" w:rsidP="00A2543C">
      <w:pPr>
        <w:ind w:firstLine="720"/>
        <w:jc w:val="both"/>
      </w:pPr>
      <w:r>
        <w:rPr>
          <w:color w:val="000000"/>
        </w:rPr>
        <w:tab/>
      </w:r>
      <w:r w:rsidRPr="004F5FF8">
        <w:rPr>
          <w:b/>
          <w:color w:val="000000"/>
        </w:rPr>
        <w:t>18 posėdis</w:t>
      </w:r>
      <w:r>
        <w:rPr>
          <w:color w:val="000000"/>
        </w:rPr>
        <w:t xml:space="preserve"> – 2012-10-17 </w:t>
      </w:r>
      <w:r>
        <w:t>Seimo Narkomanijos ir alkoholizmo prevencijos komisija posėdyje svarstė šiuos klausimus:</w:t>
      </w:r>
    </w:p>
    <w:p w:rsidR="00A2543C" w:rsidRDefault="00A2543C" w:rsidP="00A2543C">
      <w:pPr>
        <w:ind w:firstLine="720"/>
        <w:jc w:val="both"/>
      </w:pPr>
      <w:r>
        <w:t>1.Dėl eksporto, importo ir tranzito sąvokų suvienodinimo su  Bendrijos muitinės kodeksu dėl narkotinių ir psichotropinių medžiagų išvežimo iš Bendrijos muitų teritorijos, išvežimo į Bendrijos muitų teritoriją ir gabenimo per Bendrijos muitų teritoriją muitinei prižiūrint.</w:t>
      </w:r>
    </w:p>
    <w:p w:rsidR="00A2543C" w:rsidRDefault="00A2543C" w:rsidP="00A2543C">
      <w:pPr>
        <w:autoSpaceDE w:val="0"/>
        <w:autoSpaceDN w:val="0"/>
        <w:adjustRightInd w:val="0"/>
        <w:ind w:firstLine="720"/>
        <w:jc w:val="both"/>
        <w:rPr>
          <w:lang w:eastAsia="lt-LT"/>
        </w:rPr>
      </w:pPr>
      <w:r>
        <w:rPr>
          <w:lang w:eastAsia="lt-LT"/>
        </w:rPr>
        <w:t>2.</w:t>
      </w:r>
      <w:r w:rsidRPr="00A20E83">
        <w:rPr>
          <w:lang w:eastAsia="lt-LT"/>
        </w:rPr>
        <w:t xml:space="preserve">Projekto </w:t>
      </w:r>
      <w:r w:rsidRPr="005111FA">
        <w:rPr>
          <w:bCs/>
          <w:lang w:eastAsia="lt-LT"/>
        </w:rPr>
        <w:t>„Darbo su delinkventinio elgesio vaikais, taikant vaiko vidutinės priežiūros priemonę, tobulinimas ir specialistų kompetencijų ugdymas pasitelkiant Norvegijos patirtį“</w:t>
      </w:r>
      <w:r w:rsidRPr="005111FA">
        <w:rPr>
          <w:rFonts w:ascii="MyriadPro-Bold" w:hAnsi="MyriadPro-Bold" w:cs="MyriadPro-Bold"/>
          <w:bCs/>
          <w:sz w:val="22"/>
          <w:szCs w:val="22"/>
          <w:lang w:eastAsia="lt-LT"/>
        </w:rPr>
        <w:t xml:space="preserve"> </w:t>
      </w:r>
      <w:r w:rsidRPr="005111FA">
        <w:rPr>
          <w:bCs/>
          <w:lang w:eastAsia="lt-LT"/>
        </w:rPr>
        <w:t>modelio</w:t>
      </w:r>
      <w:r w:rsidRPr="00921673">
        <w:rPr>
          <w:lang w:eastAsia="lt-LT"/>
        </w:rPr>
        <w:t xml:space="preserve"> pristatymas</w:t>
      </w:r>
      <w:r w:rsidRPr="005111FA">
        <w:rPr>
          <w:rFonts w:ascii="MyriadPro-Bold" w:hAnsi="MyriadPro-Bold" w:cs="MyriadPro-Bold"/>
          <w:bCs/>
          <w:sz w:val="22"/>
          <w:szCs w:val="22"/>
          <w:lang w:eastAsia="lt-LT"/>
        </w:rPr>
        <w:t xml:space="preserve"> </w:t>
      </w:r>
      <w:r w:rsidRPr="005111FA">
        <w:rPr>
          <w:bCs/>
          <w:lang w:eastAsia="lt-LT"/>
        </w:rPr>
        <w:t>„Darbas su prasižengusiais nepilnamečiais vaikų socializacijos centruose Norvegijos patirties pritaikymas Lietuvai</w:t>
      </w:r>
      <w:r w:rsidRPr="00A20E83">
        <w:rPr>
          <w:lang w:eastAsia="lt-LT"/>
        </w:rPr>
        <w:t>“</w:t>
      </w:r>
      <w:r>
        <w:rPr>
          <w:lang w:eastAsia="lt-LT"/>
        </w:rPr>
        <w:t>.</w:t>
      </w:r>
    </w:p>
    <w:p w:rsidR="00A2543C" w:rsidRDefault="00A2543C" w:rsidP="00A2543C">
      <w:pPr>
        <w:autoSpaceDE w:val="0"/>
        <w:autoSpaceDN w:val="0"/>
        <w:adjustRightInd w:val="0"/>
        <w:ind w:firstLine="720"/>
        <w:jc w:val="both"/>
      </w:pPr>
      <w:r>
        <w:t>3.Dėl socializacijos centrų pertvarkos, atsižvelgiant į atliktus tyrimus ir pasiūlytą modelį</w:t>
      </w:r>
    </w:p>
    <w:p w:rsidR="00A2543C" w:rsidRDefault="00A2543C" w:rsidP="00A2543C">
      <w:pPr>
        <w:ind w:firstLine="720"/>
        <w:jc w:val="both"/>
      </w:pPr>
      <w:r>
        <w:t>4.Kiti klausimai.</w:t>
      </w:r>
    </w:p>
    <w:p w:rsidR="00A2543C" w:rsidRPr="003A0CEA" w:rsidRDefault="00A2543C" w:rsidP="00A2543C">
      <w:pPr>
        <w:jc w:val="both"/>
        <w:rPr>
          <w:color w:val="000000"/>
        </w:rPr>
      </w:pPr>
    </w:p>
    <w:p w:rsidR="00A2543C" w:rsidRDefault="00A2543C" w:rsidP="00A2543C">
      <w:pPr>
        <w:ind w:firstLine="720"/>
        <w:jc w:val="both"/>
      </w:pPr>
      <w:r w:rsidRPr="00261FF8">
        <w:rPr>
          <w:b/>
        </w:rPr>
        <w:t>19 posėdis</w:t>
      </w:r>
      <w:r>
        <w:t xml:space="preserve"> - 2012-11-07</w:t>
      </w:r>
      <w:r w:rsidRPr="00B876C7">
        <w:t xml:space="preserve"> </w:t>
      </w:r>
      <w:r>
        <w:t>Seimo Narkomanijos ir alkoholizmo prevencijos komisija posėdyje svarstė šiuos klausimus:</w:t>
      </w:r>
    </w:p>
    <w:p w:rsidR="00A2543C" w:rsidRPr="00BD5E04" w:rsidRDefault="00A2543C" w:rsidP="00A2543C">
      <w:pPr>
        <w:ind w:firstLine="720"/>
        <w:jc w:val="both"/>
        <w:rPr>
          <w:rFonts w:eastAsia="Arial Unicode MS"/>
        </w:rPr>
      </w:pPr>
      <w:r>
        <w:t>1.</w:t>
      </w:r>
      <w:r w:rsidRPr="00B876C7">
        <w:rPr>
          <w:bCs/>
          <w:iCs/>
        </w:rPr>
        <w:t xml:space="preserve"> </w:t>
      </w:r>
      <w:r w:rsidRPr="001E1E8D">
        <w:rPr>
          <w:bCs/>
          <w:iCs/>
        </w:rPr>
        <w:t>2013 metų valstybės biudžeto ir savivaldybių biudžetų finansinių rodiklių patvirtinimo įstatymo projektas</w:t>
      </w:r>
    </w:p>
    <w:p w:rsidR="00A2543C" w:rsidRDefault="00A2543C" w:rsidP="00A2543C">
      <w:pPr>
        <w:jc w:val="both"/>
        <w:rPr>
          <w:rFonts w:eastAsia="Arial Unicode MS"/>
        </w:rPr>
      </w:pPr>
      <w:r>
        <w:rPr>
          <w:rFonts w:eastAsia="Arial Unicode MS"/>
        </w:rPr>
        <w:t xml:space="preserve">(Dėl narkomanijos ir alkoholizmo prevencijos bei narkotikų kontrolės  </w:t>
      </w:r>
      <w:r>
        <w:rPr>
          <w:bCs/>
          <w:iCs/>
        </w:rPr>
        <w:t>biudžetinių asignavimų).</w:t>
      </w:r>
    </w:p>
    <w:p w:rsidR="00A2543C" w:rsidRDefault="00A2543C" w:rsidP="00A2543C">
      <w:pPr>
        <w:ind w:firstLine="1296"/>
        <w:jc w:val="both"/>
      </w:pPr>
      <w:r>
        <w:t xml:space="preserve">2. Kiti klausimai. </w:t>
      </w:r>
    </w:p>
    <w:p w:rsidR="00A2543C" w:rsidRDefault="00A2543C" w:rsidP="00A2543C">
      <w:pPr>
        <w:ind w:firstLine="360"/>
        <w:jc w:val="both"/>
        <w:rPr>
          <w:b/>
        </w:rPr>
      </w:pPr>
    </w:p>
    <w:p w:rsidR="00A2543C" w:rsidRDefault="00A2543C" w:rsidP="00A2543C">
      <w:pPr>
        <w:ind w:firstLine="360"/>
        <w:jc w:val="both"/>
        <w:rPr>
          <w:b/>
        </w:rPr>
      </w:pPr>
    </w:p>
    <w:p w:rsidR="00A2543C" w:rsidRDefault="00A2543C" w:rsidP="00A2543C">
      <w:pPr>
        <w:ind w:firstLine="360"/>
        <w:jc w:val="both"/>
        <w:rPr>
          <w:b/>
        </w:rPr>
      </w:pPr>
      <w:r>
        <w:rPr>
          <w:b/>
        </w:rPr>
        <w:t xml:space="preserve">Parlamentinė kontrolė </w:t>
      </w:r>
    </w:p>
    <w:p w:rsidR="00A2543C" w:rsidRDefault="00A2543C" w:rsidP="00A2543C">
      <w:pPr>
        <w:ind w:firstLine="360"/>
        <w:jc w:val="both"/>
        <w:rPr>
          <w:b/>
        </w:rPr>
      </w:pPr>
    </w:p>
    <w:p w:rsidR="00A2543C" w:rsidRPr="00A837A2" w:rsidRDefault="00A2543C" w:rsidP="00A2543C">
      <w:pPr>
        <w:pStyle w:val="Sraopastraipa"/>
        <w:numPr>
          <w:ilvl w:val="0"/>
          <w:numId w:val="55"/>
        </w:numPr>
        <w:jc w:val="both"/>
        <w:rPr>
          <w:b/>
        </w:rPr>
      </w:pPr>
      <w:r w:rsidRPr="00A837A2">
        <w:rPr>
          <w:b/>
        </w:rPr>
        <w:t>Dėl padėties romų tabore, Kirtimuose, Vilniuje</w:t>
      </w:r>
    </w:p>
    <w:p w:rsidR="00A2543C" w:rsidRPr="006508B0" w:rsidRDefault="00A2543C" w:rsidP="00A2543C">
      <w:pPr>
        <w:jc w:val="both"/>
      </w:pPr>
    </w:p>
    <w:p w:rsidR="00A2543C" w:rsidRDefault="00A2543C" w:rsidP="00A2543C">
      <w:pPr>
        <w:jc w:val="both"/>
        <w:rPr>
          <w:b/>
        </w:rPr>
      </w:pPr>
      <w:r>
        <w:tab/>
      </w:r>
      <w:r>
        <w:tab/>
      </w:r>
      <w:r>
        <w:tab/>
      </w:r>
      <w:r>
        <w:tab/>
      </w:r>
      <w:r w:rsidRPr="00E515AB">
        <w:rPr>
          <w:b/>
        </w:rPr>
        <w:t xml:space="preserve"> </w:t>
      </w:r>
    </w:p>
    <w:p w:rsidR="00A2543C" w:rsidRDefault="00A2543C" w:rsidP="00A2543C">
      <w:pPr>
        <w:jc w:val="both"/>
      </w:pPr>
      <w:r>
        <w:tab/>
        <w:t xml:space="preserve">Apibendrinta informacija 2009-2012 metais. </w:t>
      </w:r>
    </w:p>
    <w:p w:rsidR="00A2543C" w:rsidRDefault="00A2543C" w:rsidP="00A2543C">
      <w:pPr>
        <w:ind w:firstLine="1296"/>
        <w:jc w:val="both"/>
      </w:pPr>
      <w:r w:rsidRPr="00A837A2">
        <w:rPr>
          <w:b/>
        </w:rPr>
        <w:t>2009 metai.</w:t>
      </w:r>
      <w:r w:rsidRPr="00E515AB">
        <w:rPr>
          <w:b/>
        </w:rPr>
        <w:t xml:space="preserve"> </w:t>
      </w:r>
      <w:r>
        <w:t xml:space="preserve">Narkomanijos ir alkoholizmo prevencijos komisija (toliau- Komisija)  </w:t>
      </w:r>
      <w:r w:rsidRPr="00A837A2">
        <w:t>2009-01-16</w:t>
      </w:r>
      <w:r>
        <w:t xml:space="preserve"> raštu Nr. S-2009-472 kreipėsi į Lietuvos Respublikos Vyriausybę informuodama, kad Komisijos 2008 12 17  posėdyje gauta informacija, jog romų tabore, Kirtimuose, Vilniuje (toliau –Taboras) nuolat vyksta nelegali prekyba heroinu, nors Vilniaus miesto policijos komisariato pareigūnai 2008 metais nuolat vykdo reidus, per kuriuos išimamas ne mažas heroino kiekis. Komisija atkreipė Vyriausybės dėmesį į tai, kad Taboro problemos jau buvo nagrinėtos  2006 12 19  Seimo Narkomanijos prevencijos komisijoje, svarstant narkomanijos prevencijos ir narkotikų užkardymo klausimus, priimtas sprendimas, kuris 2007 01 03 buvo  išsiųstas Lietuvos Respublikos Vyriausybei ir </w:t>
      </w:r>
      <w:r>
        <w:lastRenderedPageBreak/>
        <w:t xml:space="preserve">Vaiko teisių apsaugos kontrolierei Rimantei Šalaševičiūtei. Komisija raštu prašė Lietuvos Respublikos Vyriausybės imtis priemonių, kad Tabore būtų nutraukta prekyba heroinu. </w:t>
      </w:r>
    </w:p>
    <w:p w:rsidR="00A2543C" w:rsidRPr="006508B0" w:rsidRDefault="00A2543C" w:rsidP="00A2543C">
      <w:pPr>
        <w:jc w:val="both"/>
      </w:pPr>
      <w:r>
        <w:tab/>
        <w:t xml:space="preserve">Dėl taboro problemų, Komisija </w:t>
      </w:r>
      <w:r w:rsidRPr="00A837A2">
        <w:t>2006-12-19</w:t>
      </w:r>
      <w:r w:rsidRPr="006508B0">
        <w:t xml:space="preserve"> </w:t>
      </w:r>
      <w:r>
        <w:t>sprendimu</w:t>
      </w:r>
      <w:r w:rsidRPr="006508B0">
        <w:t xml:space="preserve"> atkreip</w:t>
      </w:r>
      <w:r>
        <w:t xml:space="preserve">ė </w:t>
      </w:r>
      <w:r w:rsidRPr="006508B0">
        <w:t xml:space="preserve">Lietuvos Respublikos Vyriausybės dėmesį į tai, kad: Vilniaus romų Kirtimų taboras, kuriame vyksta prekyba narkotinėmis ir psichotropinėmis medžiagomis, yra narkomanų didelės traukos centras; Vilniaus romų Kirtimų tabore iš apie 500 gyvenančių  asmenų,  dauguma teisti už neteisėtą narkotinių ir psichotropinių medžiagų disponavimą, dalis asmenų teisti pakartotinai;  </w:t>
      </w:r>
      <w:r>
        <w:t>p</w:t>
      </w:r>
      <w:r w:rsidRPr="006508B0">
        <w:t>rekybą narkotinėmis ir psichotropinėmis medžiagomis Vilniaus romų Kirtimų tabore  mato vaikai ir tai turi neigiamą poveikį romų tautinei grupei. Dauguma tabore gyvenančių vaikų nuolat nelanko mokyklų ir, matydami narkotinių medžiagų gaminimo, realizavimo ir vartojimo procesą, patys pradeda vartoti narkotikus ir per</w:t>
      </w:r>
      <w:r>
        <w:t xml:space="preserve"> trumpą laiką tampa narkomanais; š</w:t>
      </w:r>
      <w:r w:rsidRPr="006508B0">
        <w:t>alia Vilniaus romų Kirtimų taboro gyvenantys asmenys yra nesaugūs,  patiria nuolatinį stresą ir baimę dėl tabore pardavinėjamų narkotikų ir ne kartą dėl to yra kreipęsi į įv</w:t>
      </w:r>
      <w:r>
        <w:t>airias valstybines institucijas; t</w:t>
      </w:r>
      <w:r w:rsidRPr="006508B0">
        <w:t>aikomos priemonės romų tabore, kuriame nuolat vyksta prekyba narkotinėmis ir psichotropinėmis medžiagomis, kaip mobilus švirkštų adatų keitimo punktas ir kt. dar daugiau pritraukdavo iš Vilniaus miesto ir kitų regionų narkomanus ir policijos užkardymo priemonės bei sąn</w:t>
      </w:r>
      <w:r>
        <w:t xml:space="preserve">audos tinkamo poveikio neturėjo; </w:t>
      </w:r>
      <w:r w:rsidRPr="006508B0">
        <w:t xml:space="preserve">Narkotikų kontrolės departamento prie Lietuvos Respublikos Vyriausybės siūlomos priemonės </w:t>
      </w:r>
      <w:r w:rsidRPr="002C551D">
        <w:t xml:space="preserve">- </w:t>
      </w:r>
      <w:r w:rsidRPr="002C551D">
        <w:rPr>
          <w:iCs/>
        </w:rPr>
        <w:t>didinti žalos mažinimo programų prieinamumą asmenims, sergantiems priklausomybe nuo narkotikų – siekiant išvengti sambūrių vienoje vietoje, svarstyti galimybę steigti mobilius punktus, teikiančius gydymo metadonu paslaugas, plėsti finansines ir personalo galimybes, didinti žalos mažinimo programų prieinamumą asmenims priklausomiems nuo narkotikų Vilniaus romų bendruomenėje ir jos prieigose, nes tikėtina, kad tai padėtų sumažinti narkotikų vartotojų srautą į Kirtimus ir infekcinių ligų plitimą tarp narkotikų vartotojų</w:t>
      </w:r>
      <w:r w:rsidRPr="002C551D">
        <w:t xml:space="preserve">, </w:t>
      </w:r>
      <w:r w:rsidRPr="006508B0">
        <w:t>jau yra pavėluotos,</w:t>
      </w:r>
      <w:r>
        <w:t xml:space="preserve"> nenuoseklios ir nekompleksinės;  </w:t>
      </w:r>
      <w:r w:rsidRPr="006508B0">
        <w:t>pirmieji  pasitarimai dėl romų taboro problemų N</w:t>
      </w:r>
      <w:r>
        <w:t>arkotikų kontrolės departamente</w:t>
      </w:r>
      <w:r w:rsidRPr="006508B0">
        <w:t xml:space="preserve"> prie Lietuvos Respublikos Vyriausybės įvyko  tik  2006 m. rusėjo – lapkričio mėn.</w:t>
      </w:r>
      <w:r>
        <w:t xml:space="preserve">, nors </w:t>
      </w:r>
      <w:r w:rsidRPr="006508B0">
        <w:t>Lietuvos Respublikos Vyriausybė dar 2000 metais pažymėjo, kad Romų būklės analizė rodo, jog visos problemos – socialinės, ekonominės, švietimo, sveikatos apsaugos, teisinės – labai glaudžiai viena su kita susijusios. Romai integruojasi per lėtai, integracija neapima visų gyvenimo sričių, nekoordinuojama įvairių institucijų veikla. Vilniaus miesto savivaldybės taryba</w:t>
      </w:r>
      <w:r>
        <w:t>,</w:t>
      </w:r>
      <w:r w:rsidRPr="006508B0">
        <w:t xml:space="preserve"> patvirtindama </w:t>
      </w:r>
      <w:r w:rsidRPr="0003264E">
        <w:rPr>
          <w:iCs/>
        </w:rPr>
        <w:t>Vilniaus romų bendruomenės ir šalia taboro esančių teritorijų priežiūros ir saugumo užtikrinimo bei romų segregacijos mažinimo 2005 – 2010 metų programą</w:t>
      </w:r>
      <w:r>
        <w:rPr>
          <w:iCs/>
        </w:rPr>
        <w:t>,</w:t>
      </w:r>
      <w:r w:rsidRPr="0003264E">
        <w:t xml:space="preserve"> </w:t>
      </w:r>
      <w:r w:rsidRPr="006508B0">
        <w:t>siekia tikslo – vietiniu lygiu kompleksiškai, nuosekliai ir sistemingai spręsti romų problemas, mažinti romų socialinę atskirti bei gerinti vaikų ir jaunimo socializacijos sąlygas.</w:t>
      </w:r>
    </w:p>
    <w:p w:rsidR="00A2543C" w:rsidRPr="006508B0" w:rsidRDefault="00A2543C" w:rsidP="00A2543C">
      <w:pPr>
        <w:jc w:val="both"/>
      </w:pPr>
      <w:r>
        <w:tab/>
        <w:t>Komisija</w:t>
      </w:r>
      <w:r w:rsidRPr="00BE4CB1">
        <w:rPr>
          <w:b/>
        </w:rPr>
        <w:t xml:space="preserve"> </w:t>
      </w:r>
      <w:r w:rsidRPr="00A837A2">
        <w:t>2006-12-19</w:t>
      </w:r>
      <w:r w:rsidRPr="006508B0">
        <w:t xml:space="preserve"> </w:t>
      </w:r>
      <w:r>
        <w:t xml:space="preserve">sprendime pasiūlė </w:t>
      </w:r>
      <w:r w:rsidRPr="006508B0">
        <w:t>Lietuvos Respublikos Vyriausybei:</w:t>
      </w:r>
    </w:p>
    <w:p w:rsidR="00A2543C" w:rsidRPr="006508B0" w:rsidRDefault="00A2543C" w:rsidP="00A2543C">
      <w:pPr>
        <w:ind w:firstLine="720"/>
        <w:jc w:val="both"/>
      </w:pPr>
      <w:r w:rsidRPr="006508B0">
        <w:t>1. Užtikrinti Vilniaus romų Kirtimų tabore Jungtinių Tautų Vaiko teisių konvencijos 33 straipsnio (“Valstybės dalyvės  imasi visų  reikiamų priemonių, įskaitant</w:t>
      </w:r>
      <w:r w:rsidRPr="006508B0">
        <w:rPr>
          <w:rFonts w:eastAsia="Arial Unicode MS"/>
        </w:rPr>
        <w:t xml:space="preserve"> </w:t>
      </w:r>
      <w:r w:rsidRPr="006508B0">
        <w:t>teisines,  administracines,   socialines  ir  šviečiamąsias,  kad apsaugotų  vaikus   nuo   neteisėto   narkotinių   priemonių   ir psichotropinių  medžiagų,   kaip  jos   apibrėžtos   atitinkamose tarptautinėse sutartyse,  vartojimo ir  neleistų panaudoti  vaikų tokias medžiagas neteisėtai gaminant ir pardavinėjant.”) nuostatų įgyvendinimą,  vienodą atsakomybę už vaikų auklėjimą ir vystymą,  kad tėvų valdžia negali būti naudojamasi priešingai vaiko interesams.</w:t>
      </w:r>
    </w:p>
    <w:p w:rsidR="00A2543C" w:rsidRPr="006508B0" w:rsidRDefault="00A2543C" w:rsidP="00A2543C">
      <w:pPr>
        <w:ind w:firstLine="720"/>
        <w:jc w:val="both"/>
      </w:pPr>
      <w:r w:rsidRPr="006508B0">
        <w:t>2. Skubiai spręsti paplitusią narkomanijos ir narkotikų verslo Vilniaus romų Kirtimų tabore problemą, užtikrinant aktyvų ir efektyvų</w:t>
      </w:r>
      <w:r w:rsidRPr="006508B0">
        <w:rPr>
          <w:b/>
          <w:bCs/>
        </w:rPr>
        <w:t xml:space="preserve"> </w:t>
      </w:r>
      <w:r w:rsidRPr="006508B0">
        <w:t xml:space="preserve">policijos pareigūnų prevencinį ir intervencinį darbą romų bendrijoje bei taikant kompleksines priemones. </w:t>
      </w:r>
    </w:p>
    <w:p w:rsidR="00A2543C" w:rsidRPr="006508B0" w:rsidRDefault="00A2543C" w:rsidP="00A2543C">
      <w:pPr>
        <w:ind w:firstLine="720"/>
        <w:jc w:val="both"/>
      </w:pPr>
      <w:r w:rsidRPr="006508B0">
        <w:t xml:space="preserve">3. Skirti iš valstybės biudžeto lėšas Vilniaus miesto savivaldybės tarybos 2005 m. birželio 22 d. sprendimu Nr.1-838 patvirtintos </w:t>
      </w:r>
      <w:r w:rsidRPr="0003264E">
        <w:rPr>
          <w:iCs/>
        </w:rPr>
        <w:t>Vilniaus romų bendruomenės ir šalia taboro esančių teritorijų priežiūros ir saugumo užtikrinimo bei romų segregacijos mažinimo 2005 – 2010 metų programos</w:t>
      </w:r>
      <w:r w:rsidRPr="0003264E">
        <w:t xml:space="preserve"> </w:t>
      </w:r>
      <w:r w:rsidRPr="006508B0">
        <w:t xml:space="preserve">įgyvendinimui ir Vilniaus romų Kirtimų tabore gyvenantiems asmenims  būsto klausimų sprendimui. </w:t>
      </w:r>
    </w:p>
    <w:p w:rsidR="00A2543C" w:rsidRPr="006508B0" w:rsidRDefault="00A2543C" w:rsidP="00A2543C">
      <w:pPr>
        <w:ind w:firstLine="720"/>
        <w:jc w:val="both"/>
      </w:pPr>
      <w:r w:rsidRPr="006508B0">
        <w:t xml:space="preserve">4. Pavesti Lietuvos Respublikos Aplinkos ministerijai Kirtimų romų tabore kontroliuoti  savavališkų statinių, kuriuose gyvenusioms šeimoms buvo suteiktas socialinis būstas, nugriovimą, nes išnuomojus romų šeimoms socialinį būstą, atlaisvintuose būstuose savavališkai apsigyvena kitos romų šeimos ir Kirtimų romų taboro problema tampa neišsprendžiama iš esmės. </w:t>
      </w:r>
    </w:p>
    <w:p w:rsidR="00A2543C" w:rsidRPr="006508B0" w:rsidRDefault="00A2543C" w:rsidP="00A2543C">
      <w:pPr>
        <w:ind w:firstLine="720"/>
        <w:jc w:val="both"/>
        <w:rPr>
          <w:bCs/>
        </w:rPr>
      </w:pPr>
      <w:r w:rsidRPr="006508B0">
        <w:t xml:space="preserve">5. Parengti teisės aktų projektus dėl </w:t>
      </w:r>
      <w:r w:rsidRPr="006508B0">
        <w:rPr>
          <w:bCs/>
        </w:rPr>
        <w:t xml:space="preserve">gydymo įstaigų įsteigimo asmenų specializuotam gydymui nuo priklausomybės narkotinėms ir psichotropinėms medžiagoms ir alternatyvių bausmių atlikimui, įgyvendinant </w:t>
      </w:r>
      <w:r w:rsidRPr="000C5F19">
        <w:rPr>
          <w:bCs/>
          <w:iCs/>
        </w:rPr>
        <w:t>2005 – 2008 m. Europos Sąjungos kovos su narkotikais veiksmų plane</w:t>
      </w:r>
      <w:r w:rsidRPr="006508B0">
        <w:rPr>
          <w:bCs/>
        </w:rPr>
        <w:t xml:space="preserve"> numatytus tikslus toliau ieškoti alternatyvų narkomanų įkalinimui ir paslaugoms, susijusioms su narkotikais, įkalintiems </w:t>
      </w:r>
      <w:r w:rsidRPr="006508B0">
        <w:rPr>
          <w:bCs/>
        </w:rPr>
        <w:lastRenderedPageBreak/>
        <w:t xml:space="preserve">asmenims bei veiksmingai naudoti alternatyvas narkomanų įkalinimui,  atsižvelgiant į nacionalinės teisės aktus, nes iki 2008 metų valstybės narės  turi  pateikti ataskaitą Horizontaliajai kovos su narkotikais grupei. </w:t>
      </w:r>
    </w:p>
    <w:p w:rsidR="00A2543C" w:rsidRPr="006508B0" w:rsidRDefault="00A2543C" w:rsidP="00A2543C">
      <w:pPr>
        <w:ind w:firstLine="720"/>
        <w:jc w:val="both"/>
      </w:pPr>
      <w:r w:rsidRPr="006508B0">
        <w:t>6. Skubiai spręsti Vilniaus romų bendruomenės nariams asmens tapatybę ir pilietybę patvirtinančių dokumentų išdavimo klausimus.</w:t>
      </w:r>
    </w:p>
    <w:p w:rsidR="00A2543C" w:rsidRDefault="00A2543C" w:rsidP="00A2543C">
      <w:pPr>
        <w:jc w:val="both"/>
      </w:pPr>
      <w:r>
        <w:tab/>
        <w:t>Komisija r</w:t>
      </w:r>
      <w:r w:rsidRPr="006508B0">
        <w:t>ekomend</w:t>
      </w:r>
      <w:r>
        <w:t>avo</w:t>
      </w:r>
      <w:r w:rsidRPr="006508B0">
        <w:t xml:space="preserve">  Vaiko teisių apsaugos kontrolierei  Rimantei Šalaševičiūtei, vadovaujantis Lietuvos Respublikos Vaiko teisių apsaugos kontrolieriaus įstatymo 31 straipsniu,  kontroliuoti, kad valstybės ir savivaldybių institucijos ir įstaigos, nevalstybinės institucijos bei kiti fiziniai ir juridiniai asmenys vykdytų Vaiko teisių apsaugos kontrolierės 2005 m. spalio 28 d. Nr. 2-1359  priimtą sprendimą.</w:t>
      </w:r>
    </w:p>
    <w:p w:rsidR="00A2543C" w:rsidRDefault="00A2543C" w:rsidP="00A2543C">
      <w:pPr>
        <w:jc w:val="both"/>
      </w:pPr>
      <w:r>
        <w:tab/>
        <w:t xml:space="preserve">Reaguojant į Komisijos </w:t>
      </w:r>
      <w:r w:rsidRPr="00A837A2">
        <w:t>2009-01-16</w:t>
      </w:r>
      <w:r>
        <w:t xml:space="preserve"> raštą Nr. S-2009-472,  Lietuvos Respublikos Ministro Pirmininko </w:t>
      </w:r>
      <w:r w:rsidRPr="00A837A2">
        <w:t>2009-01-21</w:t>
      </w:r>
      <w:r>
        <w:t xml:space="preserve"> (pavedimu Nr.27-373) pavesta  Vidaus reikalų ministerijai ir Narkotikų kontrolės departamentui išnagrinėti Komisijos pateiktą informaciją, apie sprendimo rezultatus informuoti Komisiją, o kitais klausimais, </w:t>
      </w:r>
      <w:r w:rsidRPr="00D749A4">
        <w:t>reikalingais Vyriausybės sprendimo, pateikti suderintus pasiūlymus.</w:t>
      </w:r>
      <w:r>
        <w:t xml:space="preserve"> Apie Lietuvos Respublikos Ministro Pirmininko pavedimą informuotas Policijos departamentas prie VRM, Vaiko teisių apsaugos kontrolieriaus įstaiga, Tautinių mažumų ir išeivijos departamentas, Vilniaus apskrities viršininko administracija, Vilniaus miesto savivaldybė. </w:t>
      </w:r>
    </w:p>
    <w:p w:rsidR="00A2543C" w:rsidRDefault="00A2543C" w:rsidP="00A2543C">
      <w:pPr>
        <w:jc w:val="both"/>
        <w:rPr>
          <w:rFonts w:eastAsia="Arial Unicode MS"/>
        </w:rPr>
      </w:pPr>
      <w:r>
        <w:rPr>
          <w:rFonts w:eastAsia="Arial Unicode MS"/>
        </w:rPr>
        <w:tab/>
      </w:r>
      <w:r w:rsidRPr="00E515AB">
        <w:rPr>
          <w:b/>
        </w:rPr>
        <w:t>2010 metai</w:t>
      </w:r>
      <w:r>
        <w:rPr>
          <w:b/>
        </w:rPr>
        <w:t>.</w:t>
      </w:r>
      <w:r w:rsidRPr="00E515AB">
        <w:rPr>
          <w:b/>
        </w:rPr>
        <w:t xml:space="preserve"> </w:t>
      </w:r>
      <w:r w:rsidRPr="00A837A2">
        <w:rPr>
          <w:rFonts w:eastAsia="Arial Unicode MS"/>
        </w:rPr>
        <w:t>2010-03-24</w:t>
      </w:r>
      <w:r>
        <w:rPr>
          <w:rFonts w:eastAsia="Arial Unicode MS"/>
        </w:rPr>
        <w:t xml:space="preserve"> Komisija posėdyje svarstė su Narkomanijos prevencijos komisijos 2006-12-19 sprendimo “Dėl narkomanijos prevencijos ir narkotikų užkardymo romų tabore Kirtimuose, Vilniuje” įgyvendinimu susijusius klausimus.</w:t>
      </w:r>
      <w:r w:rsidRPr="0099099F">
        <w:rPr>
          <w:rFonts w:eastAsia="Arial Unicode MS"/>
        </w:rPr>
        <w:t xml:space="preserve"> </w:t>
      </w:r>
    </w:p>
    <w:p w:rsidR="00A2543C" w:rsidRDefault="00A2543C" w:rsidP="00A2543C">
      <w:pPr>
        <w:jc w:val="both"/>
      </w:pPr>
      <w:r>
        <w:rPr>
          <w:rFonts w:eastAsia="Arial Unicode MS"/>
        </w:rPr>
        <w:tab/>
        <w:t>Posėdžio metu peržiūrėta LNK 2010-03-09 laida “Paskutinė instancija”, kurioje  a</w:t>
      </w:r>
      <w:r>
        <w:t xml:space="preserve">pkaltinti visi – policija, savivaldybė, politikai, teismai ir parodyta, kad institucijos dirba neefektyviai. </w:t>
      </w:r>
    </w:p>
    <w:p w:rsidR="00A2543C" w:rsidRDefault="00A2543C" w:rsidP="00A2543C">
      <w:pPr>
        <w:jc w:val="both"/>
      </w:pPr>
      <w:r>
        <w:tab/>
      </w:r>
      <w:r>
        <w:rPr>
          <w:rFonts w:eastAsia="Arial Unicode MS"/>
        </w:rPr>
        <w:t xml:space="preserve">Komisijos posėdžio metu pabrėžta, jog </w:t>
      </w:r>
      <w:r>
        <w:t>Vyriausybei</w:t>
      </w:r>
      <w:r>
        <w:rPr>
          <w:rFonts w:eastAsia="Arial Unicode MS"/>
        </w:rPr>
        <w:t xml:space="preserve"> jau buvo </w:t>
      </w:r>
      <w:r>
        <w:t xml:space="preserve">siūloma užtikrinti Tabore Jungtinių Tautų Vaiko teisių konvencijos 33 straipsnio nuostatų įgyvendinimą, vienodą atsakomybę už vaikų auklėjimą ir vystymą, kad tėvų valdžia negali būti naudojamąsi priešingai vaiko interesams. Taip pat siūlyta, skubiai spręsti paplitusią narkomanijos ir narkotikų verslo Vilniaus romų tabore, Kirtimuose, problemą bei romų bendruomenės nariams asmens tapatybę ir pilietybę patvirtinančių dokumentų išdavimo klausimus. </w:t>
      </w:r>
    </w:p>
    <w:p w:rsidR="00A2543C" w:rsidRDefault="00A2543C" w:rsidP="00A2543C">
      <w:pPr>
        <w:jc w:val="both"/>
      </w:pPr>
      <w:r>
        <w:tab/>
        <w:t>Komisijos posėdyje išklausyta Policijos departamento prie VRM informacija. Komisijos nariai informuoti, kad policijos atstovai, kartu su Vilniaus m. savivaldybe, dalyvauja sudarytoje darbo grupėje ir tariamasi, kokios gali būti taikomos tolimesnės priemonės. Pabrėžta, jog problemos kyla dėl to, kad romų tautybės asmenys nesikeičia pabaigusių galioti asmens dokumentų, nors Migracijos tarnybos juos ragina ir Migracijos departamentas teikia šiuo klausimu nuolatinę pagalbą.</w:t>
      </w:r>
    </w:p>
    <w:p w:rsidR="00A2543C" w:rsidRDefault="00A2543C" w:rsidP="00A2543C">
      <w:pPr>
        <w:jc w:val="both"/>
      </w:pPr>
      <w:r>
        <w:tab/>
        <w:t xml:space="preserve">Posėdyje pabrėžta, kad Tabore narkotikais daugiausia prekiauja moterys, auginančios mažamečius vaikus, todėl joms bausmės skiriamos švelnesnės, arba laisvės atėmimo bausmės neskiriamos. </w:t>
      </w:r>
      <w:r w:rsidRPr="00D32763">
        <w:t>Tabore gyvena daugiau nei 60 procentų asmenų, teistų už narkotinių medžiagų platinimą. Virš 80 procentų asmenų teistų už kitus nusikaltimus.</w:t>
      </w:r>
      <w:r>
        <w:t xml:space="preserve"> Dėl romų tabore, manomos milijoninės lėšų apyvartos, policija neturi duomenų, bet nepaneigė, kad sumos gali siekti tūkstančius litų. Nuspręsta, nustatyti kontrolės prioritetus. Atkreiptas dėmesys į policijos kovai su Tabore klestinčia narkotikų prekyba skirtą nepakankamą finansavimą. Pabrėžta, kad policijos pajėgos  veikia gerai ir  sulaikytų asmenų daugėja. </w:t>
      </w:r>
    </w:p>
    <w:p w:rsidR="00A2543C" w:rsidRDefault="00A2543C" w:rsidP="00A2543C">
      <w:pPr>
        <w:jc w:val="both"/>
      </w:pPr>
      <w:r>
        <w:tab/>
        <w:t xml:space="preserve">Komisijos posėdyje Vilniaus miesto savivaldybės atstovas  S. Šriūbėnas teigė, jog Vilniaus miesto savivaldybė daro viską, kas jos kompetencijai priskirta ir rūpinasi Tabore gyvenančių asmenų problemomis, neišskiriant jų iš kitų bendruomenių. Jo teigimu, nėra apsispręsta dėl policijos budėjimo posto reikalingumo. Mano, kad būtina bendrai spręsti reikalus ir neieškoti kaltų. </w:t>
      </w:r>
    </w:p>
    <w:p w:rsidR="00A2543C" w:rsidRDefault="00A2543C" w:rsidP="00A2543C">
      <w:pPr>
        <w:jc w:val="both"/>
      </w:pPr>
      <w:r>
        <w:tab/>
        <w:t xml:space="preserve">Komisija  nutarė posėdyje išklausyti Vilniaus miesto vaiko teisių apsaugos tarnybos atstovus ir išsiaiškinti, ar romų taboro vaikai auga saugioj aplinkoj, ar įvykdytas  2005 m. Vaiko teisų apsaugos kontrolierės priimtas sprendimas. </w:t>
      </w:r>
    </w:p>
    <w:p w:rsidR="00A2543C" w:rsidRPr="00823E54" w:rsidRDefault="00A2543C" w:rsidP="00A2543C">
      <w:pPr>
        <w:ind w:firstLine="720"/>
        <w:jc w:val="both"/>
      </w:pPr>
      <w:r w:rsidRPr="00A837A2">
        <w:rPr>
          <w:b/>
        </w:rPr>
        <w:t xml:space="preserve">2011 </w:t>
      </w:r>
      <w:r w:rsidRPr="00E515AB">
        <w:rPr>
          <w:b/>
        </w:rPr>
        <w:t>metai</w:t>
      </w:r>
      <w:r>
        <w:rPr>
          <w:b/>
        </w:rPr>
        <w:t xml:space="preserve">. </w:t>
      </w:r>
      <w:r w:rsidRPr="00927F13">
        <w:t>2011-04-06</w:t>
      </w:r>
      <w:r w:rsidRPr="00823E54">
        <w:t xml:space="preserve"> </w:t>
      </w:r>
      <w:r>
        <w:t>Komisija nagrinėjo „D</w:t>
      </w:r>
      <w:r w:rsidRPr="00823E54">
        <w:t>ėl narkomanijos prevencijos ir narkotikų užkardymo romų tabore Kirtimuose, Vilniuje ( Narkomanijos ir alkoholizmo prevencijos komisijos  raštas 2009 01 16 Nr. S-2009 – 472)</w:t>
      </w:r>
      <w:r>
        <w:t>“  klausimą</w:t>
      </w:r>
      <w:r w:rsidRPr="00823E54">
        <w:t>.</w:t>
      </w:r>
    </w:p>
    <w:p w:rsidR="00A2543C" w:rsidRPr="00823E54" w:rsidRDefault="00A2543C" w:rsidP="00A2543C">
      <w:pPr>
        <w:ind w:firstLine="720"/>
        <w:jc w:val="both"/>
      </w:pPr>
      <w:r w:rsidRPr="00823E54">
        <w:t>Policijos departamento prie VRM g</w:t>
      </w:r>
      <w:r>
        <w:t>eneralinio komisaro pavaduotojas Visvaldas Račkauskas</w:t>
      </w:r>
      <w:r w:rsidRPr="00823E54">
        <w:t xml:space="preserve"> </w:t>
      </w:r>
      <w:r>
        <w:t>posėdyje pateikė informaciją</w:t>
      </w:r>
      <w:r w:rsidRPr="00823E54">
        <w:t xml:space="preserve">, </w:t>
      </w:r>
      <w:r>
        <w:t xml:space="preserve">jog </w:t>
      </w:r>
      <w:r w:rsidRPr="00823E54">
        <w:t>policija savo kompetencij</w:t>
      </w:r>
      <w:r>
        <w:t xml:space="preserve">os ribose kontroliuoja situaciją, vertina  ir </w:t>
      </w:r>
      <w:r w:rsidRPr="00823E54">
        <w:t>analizuoja, įtakoja, imasi priemonių</w:t>
      </w:r>
      <w:r>
        <w:t xml:space="preserve">. Pripažino, kad </w:t>
      </w:r>
      <w:r w:rsidRPr="00823E54">
        <w:t>siekiant apriboti narkotikų apyvartą romų tab</w:t>
      </w:r>
      <w:r>
        <w:t>ore,</w:t>
      </w:r>
      <w:r w:rsidRPr="00823E54">
        <w:t xml:space="preserve"> Vilniaus miesto policijos parei</w:t>
      </w:r>
      <w:r>
        <w:t>gūnams tenka pagrindinis krūvis.  Nuo 2</w:t>
      </w:r>
      <w:r w:rsidRPr="00823E54">
        <w:t xml:space="preserve">010 m. spalio mėn.  </w:t>
      </w:r>
      <w:r>
        <w:t xml:space="preserve">iki </w:t>
      </w:r>
      <w:r w:rsidRPr="00823E54">
        <w:t>2011 met</w:t>
      </w:r>
      <w:r>
        <w:t>ų pabaigos yra p</w:t>
      </w:r>
      <w:r w:rsidRPr="00823E54">
        <w:t xml:space="preserve">atvirtintos </w:t>
      </w:r>
      <w:r>
        <w:t>priemonės</w:t>
      </w:r>
      <w:r w:rsidRPr="00823E54">
        <w:t xml:space="preserve">. Numatytos užduotys: sumažinti prekybą, sumažinti </w:t>
      </w:r>
      <w:r w:rsidRPr="00823E54">
        <w:lastRenderedPageBreak/>
        <w:t>narkotinių medžiagų patekimą į romų taborą</w:t>
      </w:r>
      <w:r>
        <w:t>,</w:t>
      </w:r>
      <w:r w:rsidRPr="00823E54">
        <w:t xml:space="preserve"> sumažinti </w:t>
      </w:r>
      <w:r>
        <w:t xml:space="preserve">narkotinių ir psichotropinių medžiagų, susijusių su taboru, </w:t>
      </w:r>
      <w:r w:rsidRPr="00823E54">
        <w:t>pasiūlą bei paklausą</w:t>
      </w:r>
      <w:r>
        <w:t>,</w:t>
      </w:r>
      <w:r w:rsidRPr="00823E54">
        <w:t xml:space="preserve"> taip pat  į taborą atvykstančių </w:t>
      </w:r>
      <w:r>
        <w:t>asmenų įsigyti narkotikų skaičių</w:t>
      </w:r>
      <w:r w:rsidRPr="00823E54">
        <w:t xml:space="preserve">. </w:t>
      </w:r>
      <w:r>
        <w:t>Policijos taikomų p</w:t>
      </w:r>
      <w:r w:rsidRPr="00823E54">
        <w:t>riemonių dėka</w:t>
      </w:r>
      <w:r>
        <w:t>,</w:t>
      </w:r>
      <w:r w:rsidRPr="00823E54">
        <w:t xml:space="preserve"> skaičiai keičiasi. 2009 metais 24 romų taboro gyventojai pateko į įkalinimo įstaigas, 2010 metais </w:t>
      </w:r>
      <w:r>
        <w:t>nuteisti 13 asmenų</w:t>
      </w:r>
      <w:r w:rsidRPr="00823E54">
        <w:t>. Tai rodo</w:t>
      </w:r>
      <w:r>
        <w:t xml:space="preserve">, kad </w:t>
      </w:r>
      <w:r w:rsidRPr="00823E54">
        <w:t xml:space="preserve"> narko</w:t>
      </w:r>
      <w:r>
        <w:t xml:space="preserve">tikų </w:t>
      </w:r>
      <w:r w:rsidRPr="00823E54">
        <w:t>apyvarta romų tabore mažėja. Bendrų kompleksinių priemonių dėka sumažinta narkotikų apyvarta</w:t>
      </w:r>
      <w:r>
        <w:t>. K</w:t>
      </w:r>
      <w:r w:rsidRPr="00823E54">
        <w:t xml:space="preserve">itoje Lietuvos teritorijoje </w:t>
      </w:r>
      <w:r>
        <w:t xml:space="preserve">sulaikomi romų tautybės asmenys, </w:t>
      </w:r>
      <w:r w:rsidRPr="00823E54">
        <w:t>rodo, kad narkotikai nepate</w:t>
      </w:r>
      <w:r>
        <w:t>n</w:t>
      </w:r>
      <w:r w:rsidRPr="00823E54">
        <w:t>k</w:t>
      </w:r>
      <w:r>
        <w:t>a į T</w:t>
      </w:r>
      <w:r w:rsidRPr="00823E54">
        <w:t>aborą</w:t>
      </w:r>
      <w:r>
        <w:t>,</w:t>
      </w:r>
      <w:r w:rsidRPr="00823E54">
        <w:t xml:space="preserve"> kaip į prekyvietę. </w:t>
      </w:r>
      <w:r>
        <w:t xml:space="preserve">2011 m. balandžio 3 d. </w:t>
      </w:r>
      <w:r w:rsidRPr="00823E54">
        <w:t xml:space="preserve"> sulaikyti </w:t>
      </w:r>
      <w:r>
        <w:t xml:space="preserve">ir išimti </w:t>
      </w:r>
      <w:r w:rsidRPr="00823E54">
        <w:t>net 4 kg heroino. Sustabdyta kelių mėn. prekinė</w:t>
      </w:r>
      <w:r>
        <w:t xml:space="preserve"> apyvarta. 474 asmenys deklaravę Tabor</w:t>
      </w:r>
      <w:r w:rsidRPr="00823E54">
        <w:t xml:space="preserve">ą </w:t>
      </w:r>
      <w:r>
        <w:t>kaip savo gyvenamą</w:t>
      </w:r>
      <w:r w:rsidRPr="00823E54">
        <w:t>ja vieta</w:t>
      </w:r>
      <w:r>
        <w:t xml:space="preserve">, </w:t>
      </w:r>
      <w:r w:rsidRPr="00823E54">
        <w:t>nedeklarav</w:t>
      </w:r>
      <w:r>
        <w:t>ę</w:t>
      </w:r>
      <w:r w:rsidRPr="00823E54">
        <w:t xml:space="preserve"> </w:t>
      </w:r>
      <w:r>
        <w:t>tik keletas. S</w:t>
      </w:r>
      <w:r w:rsidRPr="00823E54">
        <w:t xml:space="preserve">uaugusiųjų </w:t>
      </w:r>
      <w:r>
        <w:t xml:space="preserve">asmenų tabore </w:t>
      </w:r>
      <w:r w:rsidRPr="00823E54">
        <w:t xml:space="preserve"> </w:t>
      </w:r>
      <w:r>
        <w:t xml:space="preserve">yra </w:t>
      </w:r>
      <w:r w:rsidRPr="00823E54">
        <w:t>500</w:t>
      </w:r>
      <w:r>
        <w:t xml:space="preserve">, iš jų </w:t>
      </w:r>
      <w:r w:rsidRPr="00823E54">
        <w:t xml:space="preserve">275 asmenys </w:t>
      </w:r>
      <w:r>
        <w:t xml:space="preserve">yra </w:t>
      </w:r>
      <w:r w:rsidRPr="00823E54">
        <w:t>teisti</w:t>
      </w:r>
      <w:r>
        <w:t>, tai sudaro</w:t>
      </w:r>
      <w:r w:rsidRPr="00823E54">
        <w:t xml:space="preserve"> 58 proc., daugiau </w:t>
      </w:r>
      <w:r>
        <w:t xml:space="preserve">yra </w:t>
      </w:r>
      <w:r w:rsidRPr="00823E54">
        <w:t>teistų moterų</w:t>
      </w:r>
      <w:r>
        <w:t xml:space="preserve"> negu vyrų</w:t>
      </w:r>
      <w:r w:rsidRPr="00823E54">
        <w:t>. Iš teistų asmenų:  92 asmenys teisti po vieną kartą, 183 kelis kartus, 12 asmenų teisti 10 ir daigiau kartų. 50 proc. teisti už nusikaltimus susijusius su narkotikais, kiti ir</w:t>
      </w:r>
      <w:r>
        <w:t>,</w:t>
      </w:r>
      <w:r w:rsidRPr="00823E54">
        <w:t xml:space="preserve"> už narkotikus ir</w:t>
      </w:r>
      <w:r>
        <w:t xml:space="preserve"> už</w:t>
      </w:r>
      <w:r w:rsidRPr="00823E54">
        <w:t xml:space="preserve"> vagystes ir kt. </w:t>
      </w:r>
      <w:r>
        <w:t>Policija daro išvadą</w:t>
      </w:r>
      <w:r w:rsidRPr="00823E54">
        <w:t>, kad pavyko sustabdyti ir sumažinti narkotikų prekyba ir ją išskaidyti, bet Lietuvoje narkotikų paklausa išlieka ir sulaiky</w:t>
      </w:r>
      <w:r>
        <w:t>ti</w:t>
      </w:r>
      <w:r w:rsidRPr="00823E54">
        <w:t xml:space="preserve"> didel</w:t>
      </w:r>
      <w:r>
        <w:t xml:space="preserve">i kiekiai narkotikų </w:t>
      </w:r>
      <w:r w:rsidRPr="00823E54">
        <w:t xml:space="preserve">rodo, kad pasiūla sumažės, o </w:t>
      </w:r>
      <w:r>
        <w:t xml:space="preserve">kaip sumažinti </w:t>
      </w:r>
      <w:r w:rsidRPr="00823E54">
        <w:t>paklaus</w:t>
      </w:r>
      <w:r>
        <w:t>ą, reikia galvoti ir spręsti.</w:t>
      </w:r>
      <w:r w:rsidRPr="00823E54">
        <w:t xml:space="preserve"> Išimti narkotikai naikinami pagal patvirtintą tvarką</w:t>
      </w:r>
      <w:r>
        <w:t>,</w:t>
      </w:r>
      <w:r w:rsidRPr="00823E54">
        <w:t xml:space="preserve"> dalyvaujant </w:t>
      </w:r>
      <w:r>
        <w:t xml:space="preserve">komisaro patvirtintos </w:t>
      </w:r>
      <w:r w:rsidRPr="00823E54">
        <w:t>komisijos nariams</w:t>
      </w:r>
      <w:r>
        <w:t>,</w:t>
      </w:r>
      <w:r w:rsidRPr="00823E54">
        <w:t xml:space="preserve"> jų akivaizdoje</w:t>
      </w:r>
      <w:r>
        <w:t xml:space="preserve"> ir viskas</w:t>
      </w:r>
      <w:r w:rsidRPr="00823E54">
        <w:t xml:space="preserve"> filmuoja</w:t>
      </w:r>
      <w:r>
        <w:t>ma</w:t>
      </w:r>
      <w:r w:rsidRPr="00823E54">
        <w:t xml:space="preserve">. </w:t>
      </w:r>
      <w:r>
        <w:t>Tęsiamos p</w:t>
      </w:r>
      <w:r w:rsidRPr="00823E54">
        <w:t xml:space="preserve">revencines </w:t>
      </w:r>
      <w:r>
        <w:t>ir kitokios priemonė</w:t>
      </w:r>
      <w:r w:rsidRPr="00823E54">
        <w:t>s</w:t>
      </w:r>
      <w:r>
        <w:t>. Problema,</w:t>
      </w:r>
      <w:r w:rsidRPr="00823E54">
        <w:t xml:space="preserve"> kai abu </w:t>
      </w:r>
      <w:r>
        <w:t xml:space="preserve">vaiko </w:t>
      </w:r>
      <w:r w:rsidRPr="00823E54">
        <w:t>tėvai sulaikyti</w:t>
      </w:r>
      <w:r>
        <w:t xml:space="preserve"> ir </w:t>
      </w:r>
      <w:r w:rsidRPr="00823E54">
        <w:t xml:space="preserve">vaikas lieka vienas. </w:t>
      </w:r>
      <w:r>
        <w:t>Pažymi, kad Tabore d</w:t>
      </w:r>
      <w:r w:rsidRPr="00823E54">
        <w:t>augiau teistų moterų</w:t>
      </w:r>
      <w:r>
        <w:t>.</w:t>
      </w:r>
      <w:r w:rsidRPr="00823E54">
        <w:t xml:space="preserve">  </w:t>
      </w:r>
    </w:p>
    <w:p w:rsidR="00A2543C" w:rsidRDefault="00A2543C" w:rsidP="00A2543C">
      <w:pPr>
        <w:ind w:firstLine="720"/>
        <w:jc w:val="both"/>
      </w:pPr>
      <w:r w:rsidRPr="00823E54">
        <w:t xml:space="preserve">Vilniaus Priklausomybės ligų centro direktorius Emilis Subata, </w:t>
      </w:r>
      <w:r>
        <w:t xml:space="preserve">paaiškino, kad buvo sudaryta </w:t>
      </w:r>
      <w:r w:rsidRPr="00823E54">
        <w:t>trišalė sutartis tarp Vilniaus komisariato, Vilniaus priklausomybės ligų centro ir Narkotik</w:t>
      </w:r>
      <w:r>
        <w:t xml:space="preserve">ų kontrolės departamento, kuri galiojo iki 2010 metų pabaigos. Sutartis </w:t>
      </w:r>
      <w:r w:rsidRPr="00823E54">
        <w:t>pasiteisino, 2</w:t>
      </w:r>
      <w:r>
        <w:t>-as</w:t>
      </w:r>
      <w:r w:rsidRPr="00823E54">
        <w:t xml:space="preserve"> </w:t>
      </w:r>
      <w:r>
        <w:t xml:space="preserve"> policijos komisariatas nu</w:t>
      </w:r>
      <w:r w:rsidRPr="00823E54">
        <w:t xml:space="preserve">siuntė </w:t>
      </w:r>
      <w:r>
        <w:t xml:space="preserve">gydytis </w:t>
      </w:r>
      <w:r w:rsidRPr="00823E54">
        <w:t>124 asmenys,</w:t>
      </w:r>
      <w:r>
        <w:t xml:space="preserve"> su siuntimu gydytis </w:t>
      </w:r>
      <w:r w:rsidRPr="00823E54">
        <w:t>atvyko 121 asmuo</w:t>
      </w:r>
      <w:r>
        <w:t>.</w:t>
      </w:r>
      <w:r w:rsidRPr="00823E54">
        <w:t xml:space="preserve"> </w:t>
      </w:r>
      <w:r>
        <w:t>Dabar s</w:t>
      </w:r>
      <w:r w:rsidRPr="00823E54">
        <w:t xml:space="preserve">utartis pasibaigusi, </w:t>
      </w:r>
      <w:r>
        <w:t xml:space="preserve">2011 m. </w:t>
      </w:r>
      <w:r w:rsidRPr="00823E54">
        <w:t>biudžete nenu</w:t>
      </w:r>
      <w:r>
        <w:t>matytos lėšos.</w:t>
      </w:r>
    </w:p>
    <w:p w:rsidR="00A2543C" w:rsidRPr="00823E54" w:rsidRDefault="00A2543C" w:rsidP="00A2543C">
      <w:pPr>
        <w:ind w:firstLine="720"/>
        <w:jc w:val="both"/>
      </w:pPr>
      <w:r>
        <w:t xml:space="preserve"> </w:t>
      </w:r>
      <w:r w:rsidRPr="00823E54">
        <w:t>Vilniaus miesto savivaldybės Viešosios t</w:t>
      </w:r>
      <w:r>
        <w:t xml:space="preserve">varkos departamento specialisto Gintaro Tamošiūno teigimu, </w:t>
      </w:r>
      <w:r w:rsidRPr="00823E54">
        <w:t xml:space="preserve">Vilniaus savivaldybė yra paruošusi 2011 – 2012 metų narkotikų prevencijos ir romų segregacijos programą, numatytas finansavimas ir naujo rinkimo tarybai </w:t>
      </w:r>
      <w:r>
        <w:t xml:space="preserve">programa bus </w:t>
      </w:r>
      <w:r w:rsidRPr="00823E54">
        <w:t>teik</w:t>
      </w:r>
      <w:r>
        <w:t>iama</w:t>
      </w:r>
      <w:r w:rsidRPr="00823E54">
        <w:t xml:space="preserve"> </w:t>
      </w:r>
      <w:r>
        <w:t>pa</w:t>
      </w:r>
      <w:r w:rsidRPr="00823E54">
        <w:t xml:space="preserve">tvirtinti. </w:t>
      </w:r>
      <w:r>
        <w:t>Žada, kad p</w:t>
      </w:r>
      <w:r w:rsidRPr="00823E54">
        <w:t xml:space="preserve">o 2-3 mėn. </w:t>
      </w:r>
      <w:r>
        <w:t>programa bus patvirtinta</w:t>
      </w:r>
      <w:r w:rsidRPr="00823E54">
        <w:t xml:space="preserve">.  </w:t>
      </w:r>
    </w:p>
    <w:p w:rsidR="00A2543C" w:rsidRPr="00823E54" w:rsidRDefault="00A2543C" w:rsidP="00A2543C">
      <w:pPr>
        <w:ind w:firstLine="720"/>
        <w:jc w:val="both"/>
      </w:pPr>
      <w:r w:rsidRPr="00823E54">
        <w:t xml:space="preserve">Vilniaus miesto savivaldybės Socialinių reikalų ir sveikatos departamento Socialinės paramos skyriaus Socialinės paramos centro </w:t>
      </w:r>
      <w:r>
        <w:t xml:space="preserve">duomenimis </w:t>
      </w:r>
      <w:r w:rsidRPr="00823E54">
        <w:t xml:space="preserve">vienas socialinis darbuotojas dirba su romų tabore gyvenančiais asmenimis, </w:t>
      </w:r>
      <w:r>
        <w:t xml:space="preserve">padeda </w:t>
      </w:r>
      <w:r w:rsidRPr="00823E54">
        <w:t>spr</w:t>
      </w:r>
      <w:r>
        <w:t xml:space="preserve">ęsti </w:t>
      </w:r>
      <w:r w:rsidRPr="00823E54">
        <w:t xml:space="preserve">visas </w:t>
      </w:r>
      <w:r>
        <w:t xml:space="preserve">jų </w:t>
      </w:r>
      <w:r w:rsidRPr="00823E54">
        <w:t>socialines problemas.</w:t>
      </w:r>
      <w:r>
        <w:t xml:space="preserve"> Teikiamos i</w:t>
      </w:r>
      <w:r w:rsidRPr="00823E54">
        <w:t xml:space="preserve">nformavimo, konsultavimo ir tarpininkavimo paslaugos.  Daug </w:t>
      </w:r>
      <w:r>
        <w:t xml:space="preserve">romų </w:t>
      </w:r>
      <w:r w:rsidRPr="00823E54">
        <w:t>nedirba. Daugiausia gyvena iš socialinių pašalpų. Tai pagrindinės jų pajamos. 7 šeimos įtrauktos į socialinės rizikos šeimų sąrašą</w:t>
      </w:r>
      <w:r>
        <w:t xml:space="preserve">, </w:t>
      </w:r>
      <w:r w:rsidRPr="00823E54">
        <w:t>su jomi</w:t>
      </w:r>
      <w:r>
        <w:t>s dirba socialiniai darbuotojai, kurie l</w:t>
      </w:r>
      <w:r w:rsidRPr="00823E54">
        <w:t>ankosi namuose. Romai vaikais rūpinasi. Problema –</w:t>
      </w:r>
      <w:r>
        <w:t xml:space="preserve"> vaikų </w:t>
      </w:r>
      <w:r w:rsidRPr="00823E54">
        <w:t>mokyklos nelankymas. Socialiniai darbuotojai motyvuoja vaikus moky</w:t>
      </w:r>
      <w:r>
        <w:t>tis</w:t>
      </w:r>
      <w:r w:rsidRPr="00823E54">
        <w:t xml:space="preserve">, padeda </w:t>
      </w:r>
      <w:r>
        <w:t xml:space="preserve">jų </w:t>
      </w:r>
      <w:r w:rsidRPr="00823E54">
        <w:t>tėvams iešk</w:t>
      </w:r>
      <w:r>
        <w:t xml:space="preserve">otis </w:t>
      </w:r>
      <w:r w:rsidRPr="00823E54">
        <w:t xml:space="preserve">darbo. </w:t>
      </w:r>
    </w:p>
    <w:p w:rsidR="00A2543C" w:rsidRPr="00823E54" w:rsidRDefault="00A2543C" w:rsidP="00A2543C">
      <w:pPr>
        <w:ind w:firstLine="720"/>
        <w:jc w:val="both"/>
      </w:pPr>
      <w:r w:rsidRPr="00A837A2">
        <w:t>2011-04-06</w:t>
      </w:r>
      <w:r w:rsidRPr="00823E54">
        <w:t xml:space="preserve"> </w:t>
      </w:r>
      <w:r>
        <w:t>Komisija nutarė a</w:t>
      </w:r>
      <w:r w:rsidRPr="00823E54">
        <w:t>tkreipti Lietuvos Respublikos Vyriausybės dėmesį į tai, kad:</w:t>
      </w:r>
    </w:p>
    <w:p w:rsidR="00A2543C" w:rsidRPr="00823E54" w:rsidRDefault="00A2543C" w:rsidP="00A2543C">
      <w:pPr>
        <w:ind w:firstLine="720"/>
        <w:jc w:val="both"/>
      </w:pPr>
      <w:r w:rsidRPr="00823E54">
        <w:t>1. Neįgyvendintos Seimo Narkomanijos prevencijos komisijos 2006 12 19 sprendimo rekomendacijos. Į pakartotiną  Seimo Narkomanijos ir alkoholizmo prevencijos komisijos 2009 01 16 raštu Nr.</w:t>
      </w:r>
      <w:r>
        <w:t xml:space="preserve"> </w:t>
      </w:r>
      <w:r w:rsidRPr="00823E54">
        <w:t xml:space="preserve">S-2009- 472 pateiktą  informaciją dėl  Vilniaus romų Kirtimų tabore prekybos heroinu, nenutraukta prekyba heroinu. </w:t>
      </w:r>
    </w:p>
    <w:p w:rsidR="00A2543C" w:rsidRPr="00823E54" w:rsidRDefault="00A2543C" w:rsidP="00A2543C">
      <w:pPr>
        <w:ind w:firstLine="720"/>
        <w:jc w:val="both"/>
      </w:pPr>
      <w:r w:rsidRPr="00823E54">
        <w:t xml:space="preserve">2. Vilniaus romų Kirtimų taboras, kuriame vyksta prekyba narkotinėmis ir psichotropinėmis medžiagomis, ir toliau yra narkomanų didelės traukos centras. </w:t>
      </w:r>
    </w:p>
    <w:p w:rsidR="00A2543C" w:rsidRPr="00823E54" w:rsidRDefault="00A2543C" w:rsidP="00A2543C">
      <w:pPr>
        <w:ind w:firstLine="720"/>
        <w:jc w:val="both"/>
      </w:pPr>
      <w:r w:rsidRPr="00823E54">
        <w:t xml:space="preserve"> 3. Vilniaus romų Kirtimų tabore gyvenantys romai integruojasi per lėtai,  integracija neapima visų sričių, būtina gerinti vaikų ir jaunimo socializacijos sąlygas.</w:t>
      </w:r>
    </w:p>
    <w:p w:rsidR="00A2543C" w:rsidRPr="00823E54" w:rsidRDefault="00A2543C" w:rsidP="00A2543C">
      <w:pPr>
        <w:ind w:firstLine="720"/>
        <w:jc w:val="both"/>
      </w:pPr>
      <w:r w:rsidRPr="00823E54">
        <w:t xml:space="preserve">II. Rekomenduoti Sveikatos apsaugos ministerijai, priklausomybės ligomis sergantiems asmenims, kurie lankosi Vilniaus romų Kirtimų tabore ir pareiškia norą gydytis, skubiai  suteikti detoksikacijos paslaugas. </w:t>
      </w:r>
    </w:p>
    <w:p w:rsidR="00A2543C" w:rsidRDefault="00A2543C" w:rsidP="00A2543C">
      <w:pPr>
        <w:ind w:firstLine="720"/>
        <w:jc w:val="both"/>
      </w:pPr>
      <w:r w:rsidRPr="00823E54">
        <w:t>III. Rekomenduoti Socialinės apsaugos ir darbo ministerijai,  priklausomybės ligomis sergančius asmenis, kurie lankosi Vilniaus romų Kirtimų tabore, gavus detoksikacijos paslaugas, tolimesniam gydymui nukreipti į reabilitacines bendruomenes.</w:t>
      </w:r>
    </w:p>
    <w:p w:rsidR="00A2543C" w:rsidRDefault="00A2543C" w:rsidP="00A2543C">
      <w:pPr>
        <w:ind w:firstLine="720"/>
        <w:jc w:val="both"/>
      </w:pPr>
      <w:r w:rsidRPr="00823E54">
        <w:t xml:space="preserve">IV. Siūlyti Vidaus reikalų ministrui  Raimundui Palaičiui skubiai užkardyti narkotinių ir psichotropinių medžiagų patekimą į Vilniaus romų Kirtimų taborą, taikant kompleksines priemones. </w:t>
      </w:r>
    </w:p>
    <w:p w:rsidR="00A2543C" w:rsidRDefault="00A2543C" w:rsidP="00A2543C">
      <w:pPr>
        <w:ind w:firstLine="720"/>
        <w:jc w:val="both"/>
      </w:pPr>
      <w:r>
        <w:t xml:space="preserve">Vilniaus miesto savivaldybės meras </w:t>
      </w:r>
      <w:r w:rsidRPr="00A837A2">
        <w:t>2011-05-30</w:t>
      </w:r>
      <w:r>
        <w:t xml:space="preserve"> raštu Nr.A51-17769 (33.2-1-BR4) Ministro Pirmininko tarnybai (Kopija pateikta Komisijai) atsakė, kad savivaldybė finansuoja Vilniaus priklausomybės ligų centrą, kuriame asmenims, sergantiems priklausomybės ligomis nuo alkoholio, narkotinių ir psichotropinių medžiagų ligomis, teikiamos konsultavimo ir gydymo, trumpalaikės ir ilgalaikės detoksikacijos paslaugos. Asmenys, jų pageidavimu, tolesnei reabilitacijai yra siunčiami į </w:t>
      </w:r>
      <w:r>
        <w:lastRenderedPageBreak/>
        <w:t xml:space="preserve">Vilniaus priklausomybės ligų centro Ankstyvosios diagnostikos ir reabilitacijos centrą (vyrų bendruomenę). Vienu metu reabilitacijos paslaugas, trunkančias apie 7 mėnesius, galima teikti 12 asmenų.  Nesant laisvų vietų, asmenys, pageidaujantys atlikti reabilitaciją, įrašomi į eilę arba turi galimybę kreiptis į kitas reabilitacijos bendruomenes, esančias Vilniaus miesto savivaldybės ar kitų savivaldybių teritorijoje. Vilniaus mieste reabilitacijos paslaugas teikia ‚Lietuvos pagalbos narkomanams fondas“ (mišri bendruomenė), ir priklausomybės ligų reabilitacijos bendruomenė „Veržuva“. </w:t>
      </w:r>
    </w:p>
    <w:p w:rsidR="00A2543C" w:rsidRDefault="00A2543C" w:rsidP="00A2543C">
      <w:pPr>
        <w:ind w:firstLine="720"/>
        <w:jc w:val="both"/>
      </w:pPr>
      <w:r>
        <w:t xml:space="preserve">Savivaldybės administracijos  Socialinių reikalų ir sveikatos departamento Vaiko teisių apsaugos skyriui yra gerai žinomos Vilniaus miesto romų bendruomenės problemos. Nepilnamečių romų vaikų, kaip ir kitų Naujininkų seniūnijoje gyvenančių vaikų teisių įgyvendinimą ir teisių pažeidimo prevencijos kontrolę, nuo 1995 metų vykdo Skyriaus,  Seniūnijų ir mobiliosios pagalbos poskyrio darbuotojai. Naujininkų seniūnijos inspektoriai glaudžius ryšius palaiko su viešosios įstaigos romų visuomenės centro socialiniais darbuotojais, kurie įgyvendina romų integracijos į Lietuvos visuomenę programos, bendrauja su romų tautybės šeimomis, auginančiomis nepilnamečius vaikus, lankosi jų namuose, konsultuoja įvairiais vaiko teisių apsaugos klausimais. </w:t>
      </w:r>
    </w:p>
    <w:p w:rsidR="00A2543C" w:rsidRDefault="00A2543C" w:rsidP="00A2543C">
      <w:pPr>
        <w:ind w:firstLine="720"/>
        <w:jc w:val="both"/>
      </w:pPr>
      <w:r>
        <w:t xml:space="preserve">Į Vilniaus miesto socialinės rizikos šeimų, auginančių vaikus, ir socialinių įgūdžių stokojančių šeimų sąrašus yra įrašyta 16 romų šeimų, gyvenančių Tabore, kurioms teikiamos socialinių įgūdžių ugdymo ir palaikymo paslaugos. Šiose šeimose auga 51 vaikas. 10-čiai romų tautybės vaikų, kurie gyvena Tabore ir yra netekę tėvų globos, savivaldybės administracijos direktoriaus įsakymu nustatyta laikinoji globa (rūpyba) artimųjų giminaičių šeimoje, o 9 vaikams – socialinės globos įstaigoje. </w:t>
      </w:r>
    </w:p>
    <w:p w:rsidR="00A2543C" w:rsidRDefault="00A2543C" w:rsidP="00A2543C">
      <w:pPr>
        <w:ind w:firstLine="720"/>
        <w:jc w:val="both"/>
      </w:pPr>
      <w:r>
        <w:t xml:space="preserve">Romų bendruomenės vaikai mokosi VšĮ Romų visuomenės centre, Vilniaus „Saulėtekio“, Naujininkų, Senamiesčio vidurinėse mokyklose, daugelis jų gauna nemokamą maitinimą. Vilniaus miesto socialinės paramos centras skyrė lėšų mokinio reikmėms įsigyti. 2010 metais nuo mokslo metų pradžios, kas mėnesį renkama informacija apie romų tautybės moksleivių lankomumą. Skyriaus duomenimis: priešmokyklinę grupę lanko 27 vaikai; Vilniaus „Saulėtekio“ vidurinėje mokykloje mokosi 70 romų moksleivių, iš jų 57 moksleiviai 1 – 5 klasėse, 13 moksleivių 6 – 10 klasėse; Naujininkų vid. m-loje 1 – 6 klasėse mokosi 31 romų moksleivis; Senamiesčio vid. m-loje  mokosi 6 moksleiviai, iš jų 5 moksleiviai 2 – 5 klasėse, 1 moksleivis 9-oje klasėje. Vaikų dienos centrą pagal projektą „Laipteliai į viršų“ lanko 80 romų tautybės vaikų. Skyrius bendrauja su Panevėžio pataisos namų administracija, teikia informaciją apie nuteistųjų moterų nepilnamečius vaikus. Kartu su Nepilnamečių reikalų pareigūnais ir mokyklų socialiniais pedagogais dalyvauja reiduose, tikrina vaikų gyvenimo sąlygas, mokyklos lankomumą. 2010 m. birželio – rugpjūčio mėn. Vilniaus apskrities VPK vykdė policijos priemonę „Taboras – nepilnamečiai 2010“. Vilniaus apskrities VPK  2010-04-27 įsakymu Nr. 10-V-259 sudaryta tarpinstitucinė darbo grupė, patvirtintas 2010-2011 metų priemonių planas, pagal kurį vykdoma 19 priemonių.  </w:t>
      </w:r>
    </w:p>
    <w:p w:rsidR="00A2543C" w:rsidRDefault="00A2543C" w:rsidP="00A2543C">
      <w:pPr>
        <w:jc w:val="both"/>
        <w:rPr>
          <w:rFonts w:eastAsia="Arial Unicode MS"/>
        </w:rPr>
      </w:pPr>
      <w:r>
        <w:rPr>
          <w:rFonts w:eastAsia="Arial Unicode MS"/>
        </w:rPr>
        <w:tab/>
        <w:t xml:space="preserve">Komisija </w:t>
      </w:r>
      <w:r w:rsidRPr="00A837A2">
        <w:rPr>
          <w:rFonts w:eastAsia="Arial Unicode MS"/>
        </w:rPr>
        <w:t>2011-06-08</w:t>
      </w:r>
      <w:r>
        <w:rPr>
          <w:rFonts w:eastAsia="Arial Unicode MS"/>
        </w:rPr>
        <w:t xml:space="preserve"> nagrinėjo „Dėl narkomanijos prevencijos ir narkotikų užkardymo romų tabore Kirtimuose, Vilniuje (2011 04 06 Komisijos priimtas sprendimas)“ klausimą.</w:t>
      </w:r>
    </w:p>
    <w:p w:rsidR="00A2543C" w:rsidRDefault="00A2543C" w:rsidP="00A2543C">
      <w:pPr>
        <w:jc w:val="both"/>
        <w:rPr>
          <w:bCs/>
        </w:rPr>
      </w:pPr>
      <w:r>
        <w:tab/>
        <w:t xml:space="preserve">Posėdyje informaciją pateikė </w:t>
      </w:r>
      <w:r w:rsidRPr="00B962B8">
        <w:rPr>
          <w:bCs/>
        </w:rPr>
        <w:t>Vidaus reikalų ministerijos Viešojo saugumo po</w:t>
      </w:r>
      <w:r>
        <w:rPr>
          <w:bCs/>
        </w:rPr>
        <w:t xml:space="preserve">litikos departamentas. Departamento duomenimis, ministerija vienerius metus koordinuoja tabore taikomas prevencines priemones. Pagrindinis vaidmuo, užkardant narkotikus tabore, tenka policijai. Sumažintas narkotikų prieinamumas. Taikomos priemonės 3 kartus sumažino nusikalstamumą  ir davė kitų gerų rezultatų, sumažėjo sulaikytų taboro teritorijoje narkomanų skaičius. Sumažėjo pagal Administracinio teisės pažeidimo kodeksą 44 str. 2 d. surašomų protokolų.  Per  4 mėnesius - surašyta  460 protokolų, o 2010 metais šis skaičius siekė 1400 protokolų. Sulaikoma mažiau naujų narkomanų, sumažėjo automobilių, taksi ir privačių automobilių,  vežančių narkomanus į taborą. Yra parengtas priemonių planas. Dėl narkotikų apyvartos romų tabore stebėsėnos, rengiamas policijos generalinio komisaro įsakymas.  Vilniaus VPK komisaro įsakymu sudaryta tarpinstitucinio darbo grupė, į kurią įtrauktos  įvairios institucijos. </w:t>
      </w:r>
      <w:r w:rsidRPr="00B962B8">
        <w:rPr>
          <w:bCs/>
        </w:rPr>
        <w:t>Viešojo saugumo po</w:t>
      </w:r>
      <w:r>
        <w:rPr>
          <w:bCs/>
        </w:rPr>
        <w:t>litikos departamento atstovo teigimu, policija veikia per represines priemones. Ministerija narkotikų užkardymą Tabore laiko prioritetu, bet tai turi būti ne tik policijos reikalas. Teisės aktų pakanka, tik reikia kitų institucijų bendro darbo, labai svarbus savivaldybės dalyvavimas. Dėl pilietybės suteikimo lengvatinėmis  sąlygomis, informacijos neturi.</w:t>
      </w:r>
    </w:p>
    <w:p w:rsidR="00A2543C" w:rsidRPr="00071F90" w:rsidRDefault="00A2543C" w:rsidP="00A2543C">
      <w:pPr>
        <w:jc w:val="both"/>
      </w:pPr>
      <w:r>
        <w:rPr>
          <w:bCs/>
        </w:rPr>
        <w:tab/>
      </w:r>
      <w:r w:rsidRPr="00071F90">
        <w:rPr>
          <w:bCs/>
        </w:rPr>
        <w:t xml:space="preserve">Policijos departamento prie VRM </w:t>
      </w:r>
      <w:r>
        <w:rPr>
          <w:bCs/>
        </w:rPr>
        <w:t xml:space="preserve">PD </w:t>
      </w:r>
      <w:r w:rsidRPr="00071F90">
        <w:rPr>
          <w:bCs/>
        </w:rPr>
        <w:t xml:space="preserve">Kriminalinės policijos valdybos </w:t>
      </w:r>
      <w:r>
        <w:rPr>
          <w:bCs/>
        </w:rPr>
        <w:t xml:space="preserve">duomenimis, organizuojant ir kontroliuojant padalinių veiklą, 2011 m. gegužės mėn. vyko padalinių atstovų pasitarimas, numatyti policijos tolimesni veiksmai. </w:t>
      </w:r>
    </w:p>
    <w:p w:rsidR="00A2543C" w:rsidRPr="008841C7" w:rsidRDefault="00A2543C" w:rsidP="00A2543C">
      <w:pPr>
        <w:jc w:val="both"/>
      </w:pPr>
      <w:r w:rsidRPr="00071F90">
        <w:tab/>
      </w:r>
      <w:r w:rsidRPr="008841C7">
        <w:rPr>
          <w:bCs/>
        </w:rPr>
        <w:t xml:space="preserve">Policijos departamento prie VRM Kriminalinės policijos biuro </w:t>
      </w:r>
      <w:r>
        <w:rPr>
          <w:bCs/>
        </w:rPr>
        <w:t xml:space="preserve">ONTT 3- os valdybos komisaro Edvardo Šilerio teigimu Tabore nuo 2010 metų sugriežtinta policijos veiklos kontrolė. </w:t>
      </w:r>
      <w:r>
        <w:rPr>
          <w:bCs/>
        </w:rPr>
        <w:lastRenderedPageBreak/>
        <w:t xml:space="preserve">Daugiau patruliuoja viešosios policijos pareigūnų. Vilniaus viešosios policijos padaliniai užtikrina, kad narkomanai nepatektų į taborą, tabore vyksta operatyvinis darbas, o departamento padaliniai užtikrina, kad heroinas iš užsienio valstybių nepatektų  į taborą.  Problema - Vilniaus narkotikų skyrius pusė savo resursų skiria taborui, todėl nukenčia kiti miesto  rajonai ir sritys. Nauja Operatyvinės veiklos įstatymo redakcija palengvino sankcionavimą ir šiais metais iš apyvartos  išimti 4 kg. heroino. Romų tabore gyvenantys </w:t>
      </w:r>
      <w:r>
        <w:t xml:space="preserve">465 asmenys turi Lietuvos Respublikos pilietybę. Problema, kai romų tautybės asmenys į Taborą atvažiuoja iš Rumunijos, Anglijos, Kaliningrado ir kt. Visi jie su dokumentais keliauja, bet vieni į kitus panašūs ir juos sunku atskirti. Pasitaiko, kai dėl didesnių išmokų, romų tautybės moterys  vyksta gimdyti į Angliją. </w:t>
      </w:r>
      <w:r>
        <w:rPr>
          <w:bCs/>
        </w:rPr>
        <w:t xml:space="preserve"> </w:t>
      </w:r>
    </w:p>
    <w:p w:rsidR="00A2543C" w:rsidRDefault="00A2543C" w:rsidP="00A2543C">
      <w:pPr>
        <w:jc w:val="both"/>
        <w:rPr>
          <w:rFonts w:eastAsia="Arial Unicode MS"/>
        </w:rPr>
      </w:pPr>
      <w:r>
        <w:rPr>
          <w:bCs/>
        </w:rPr>
        <w:tab/>
      </w:r>
      <w:r w:rsidRPr="00F6404E">
        <w:rPr>
          <w:bCs/>
        </w:rPr>
        <w:t>Vilniaus apskrities vyriausiojo policijos komisariato komisaro pavaduotojas Antoni Mikulskis</w:t>
      </w:r>
      <w:r>
        <w:rPr>
          <w:bCs/>
        </w:rPr>
        <w:t xml:space="preserve"> nuo 2010 m. dėl Taboro problemų</w:t>
      </w:r>
      <w:r w:rsidRPr="000266F9">
        <w:rPr>
          <w:bCs/>
        </w:rPr>
        <w:t xml:space="preserve"> </w:t>
      </w:r>
      <w:r>
        <w:rPr>
          <w:bCs/>
        </w:rPr>
        <w:t>yra paskirtas tarpžinybinės darbo grupės pirmininku</w:t>
      </w:r>
      <w:r w:rsidRPr="00756951">
        <w:rPr>
          <w:bCs/>
        </w:rPr>
        <w:t xml:space="preserve">. </w:t>
      </w:r>
      <w:r>
        <w:rPr>
          <w:bCs/>
        </w:rPr>
        <w:t xml:space="preserve">Jis patikslina, kad </w:t>
      </w:r>
      <w:r w:rsidRPr="00756951">
        <w:rPr>
          <w:bCs/>
        </w:rPr>
        <w:t xml:space="preserve">Tabore gyvena 495 asmenys, iš jų  205 iki 18 metų </w:t>
      </w:r>
      <w:r>
        <w:rPr>
          <w:bCs/>
        </w:rPr>
        <w:t xml:space="preserve">amžiaus </w:t>
      </w:r>
      <w:r w:rsidRPr="00756951">
        <w:rPr>
          <w:bCs/>
        </w:rPr>
        <w:t>vaikai.</w:t>
      </w:r>
      <w:r>
        <w:rPr>
          <w:bCs/>
        </w:rPr>
        <w:t xml:space="preserve">  Dauguma suaugusių asmenų teisti už narkotikų platinimą arba už jų laikymą. Romai narkotikų prekybos būdus tobulina, taiko naujas metodikas. Tabore yra 88 namukai, aplink kuriuos dabar intensyviai statomos tvoros, kad policija į juos greitai nepatektų. Dažniausiai prekyba vyksta per specialų langelį, kad pardavėjo niekas nematytų. Prekyba vyksta tokiu būdu: pinigai – narkotikai, parduodančio asmens nesimato. </w:t>
      </w:r>
      <w:r w:rsidRPr="00756951">
        <w:rPr>
          <w:bCs/>
        </w:rPr>
        <w:t>2010 metai</w:t>
      </w:r>
      <w:r>
        <w:rPr>
          <w:bCs/>
        </w:rPr>
        <w:t>s buvo pradėtos 320 bylos</w:t>
      </w:r>
      <w:r w:rsidRPr="00756951">
        <w:rPr>
          <w:bCs/>
        </w:rPr>
        <w:t>, per 2011 metų</w:t>
      </w:r>
      <w:r>
        <w:rPr>
          <w:bCs/>
        </w:rPr>
        <w:t xml:space="preserve"> per </w:t>
      </w:r>
      <w:r w:rsidRPr="00756951">
        <w:rPr>
          <w:bCs/>
        </w:rPr>
        <w:t xml:space="preserve">kelis mėnesius dėl narkotikų platinimo ir laikymo </w:t>
      </w:r>
      <w:r>
        <w:rPr>
          <w:bCs/>
        </w:rPr>
        <w:t xml:space="preserve">iškelta </w:t>
      </w:r>
      <w:r w:rsidRPr="00756951">
        <w:rPr>
          <w:bCs/>
        </w:rPr>
        <w:t>100 bylų. Iš 100 bylų</w:t>
      </w:r>
      <w:r>
        <w:rPr>
          <w:bCs/>
        </w:rPr>
        <w:t>,</w:t>
      </w:r>
      <w:r w:rsidRPr="00756951">
        <w:rPr>
          <w:bCs/>
        </w:rPr>
        <w:t xml:space="preserve">  21 byla liečia narkotikų platinimą.</w:t>
      </w:r>
      <w:r w:rsidRPr="00BE1AA3">
        <w:rPr>
          <w:b/>
          <w:bCs/>
        </w:rPr>
        <w:t xml:space="preserve"> </w:t>
      </w:r>
      <w:r>
        <w:rPr>
          <w:bCs/>
        </w:rPr>
        <w:t>K</w:t>
      </w:r>
      <w:r w:rsidRPr="00F6404E">
        <w:rPr>
          <w:bCs/>
        </w:rPr>
        <w:t xml:space="preserve">omisaro pavaduotojas </w:t>
      </w:r>
      <w:r>
        <w:rPr>
          <w:bCs/>
        </w:rPr>
        <w:t xml:space="preserve"> pastebėjo, jog romų tabore pajamos dėl prekybos narkotikais sumažėjo, nes ankščiau romai nevykdė plėšimų, prekybos kontrabandinėmis prekėmis, dabar tokie nusikaltimai fiksuojami.  Jis teigia, kad policijos taikomos priemonės Tabore policijai kainuoja labai brangiai ir išnaudojama daug vidinių resursų, tačiau, situacija Naujininkų rajone, Vilniuje pagerėjo ir, teigiamai atsiliepia kitų rajonų gyventojų saugumui. </w:t>
      </w:r>
      <w:r>
        <w:t xml:space="preserve">Nuo 2003 metų 60 proc. romų Tabore yra nuteisti, iš jų 30 proc. už narkotikų platinimą, bet dažnai realiai teismai jiems bausmės neskiria. Tai - baudžiamosios politikos trūkumai. Tabore, dažniausiai narkotikais prekiauja moterys, ir joms teismai, skirdami bausmes, taiko lengvatas. </w:t>
      </w:r>
    </w:p>
    <w:p w:rsidR="00A2543C" w:rsidRDefault="00A2543C" w:rsidP="00A2543C">
      <w:pPr>
        <w:jc w:val="both"/>
        <w:rPr>
          <w:bCs/>
        </w:rPr>
      </w:pPr>
      <w:r w:rsidRPr="005F0ACA">
        <w:rPr>
          <w:rFonts w:eastAsia="Arial Unicode MS"/>
        </w:rPr>
        <w:t xml:space="preserve"> </w:t>
      </w:r>
      <w:r>
        <w:rPr>
          <w:rFonts w:eastAsia="Arial Unicode MS"/>
        </w:rPr>
        <w:tab/>
        <w:t xml:space="preserve">Posėdyje, </w:t>
      </w:r>
      <w:r>
        <w:rPr>
          <w:bCs/>
        </w:rPr>
        <w:t>Valstybės  saugumo departamento atstovas teigė, kad tiesioginės kovos su nelegalia narkotikų veikla Valstybės  saugumo departamentas nevykdo.</w:t>
      </w:r>
    </w:p>
    <w:p w:rsidR="00A2543C" w:rsidRDefault="00A2543C" w:rsidP="00A2543C">
      <w:pPr>
        <w:jc w:val="both"/>
        <w:rPr>
          <w:bCs/>
        </w:rPr>
      </w:pPr>
      <w:r>
        <w:rPr>
          <w:bCs/>
        </w:rPr>
        <w:tab/>
      </w:r>
      <w:r w:rsidRPr="00C05AC4">
        <w:rPr>
          <w:bCs/>
        </w:rPr>
        <w:t xml:space="preserve">Sveikatos apsaugos ministerijos Visuomenės sveikatos departamento </w:t>
      </w:r>
      <w:r>
        <w:rPr>
          <w:bCs/>
        </w:rPr>
        <w:t>duomenimis, Sveikatos apsaugos ministerija, gavusi Komisijos sprendimą ir Vyriausybės pavedimą, 2011 m.  balandžio mėn. surengė pasitarimą, kuriame dalyvavo iš įvairių institucijų atstovai. Dėl minimalios ir vidutinės priežiūros įstatymo taikymo Taboro vaikams, pasiūlyta Socialinės apsaugos ir darbo ministerijai taikyti tam tikrus apribojimus. Dėl gydymo pasiūlyta pasirašyti trišalę sutartį tarp Vilniaus savivaldybės, Priklausomybės ligų centro ir Narkotikų, tabako ir alkoholio kontrolės departamento. Dėl narkomanų gydymo, pasitarimas įvyko ir pas Vilniaus vicemerą, kuriame  pasiūlyta įsijungti į šį procesą ir</w:t>
      </w:r>
      <w:r w:rsidRPr="000F0E8F">
        <w:rPr>
          <w:bCs/>
        </w:rPr>
        <w:t xml:space="preserve"> </w:t>
      </w:r>
      <w:r>
        <w:rPr>
          <w:bCs/>
        </w:rPr>
        <w:t xml:space="preserve">Vilniaus miesto savivaldybei.  Buvo sudarytos darbo grupės: dėl neteisėtų statybų, elektros, vandens tiekimo. Dėl operatyvaus darbo, pasiūlyta į darbo grupę įtraukti Sveikatos apsaugos ministerijos ir Vilniaus savivaldybės atstovus.   </w:t>
      </w:r>
    </w:p>
    <w:p w:rsidR="00A2543C" w:rsidRPr="00142885" w:rsidRDefault="00A2543C" w:rsidP="00A2543C">
      <w:pPr>
        <w:jc w:val="both"/>
        <w:rPr>
          <w:bCs/>
        </w:rPr>
      </w:pPr>
      <w:r>
        <w:rPr>
          <w:bCs/>
        </w:rPr>
        <w:tab/>
      </w:r>
      <w:r w:rsidRPr="00142885">
        <w:rPr>
          <w:bCs/>
        </w:rPr>
        <w:t xml:space="preserve">Socialinės apsaugos </w:t>
      </w:r>
      <w:r>
        <w:rPr>
          <w:bCs/>
        </w:rPr>
        <w:t>ir darbo ministerijos Socialinių paslaugų skyriaus duomenimis, ministerija pagal kompetencija pritaria priklausomybės ligomis sergančių  asmenų nukreipimo  į psichologinės ir socialines reabilitacijos įstaigas</w:t>
      </w:r>
      <w:r w:rsidRPr="00643160">
        <w:rPr>
          <w:bCs/>
        </w:rPr>
        <w:t xml:space="preserve"> </w:t>
      </w:r>
      <w:r>
        <w:rPr>
          <w:bCs/>
        </w:rPr>
        <w:t xml:space="preserve">reglamentavimui,  ne tik besilankantiems romų tabore, bet ir kitiems asmenims. Teigiama, kad vykdoma apklausa, analizuojama šių asmenų priėmimo į reabilitacines bendruomenes tvarka. Egzistuojanti tvarka kitiems asmenims netinkama, nes savivaldybės vienos kompetencijos neužtenka, reikia reglamentuoti bendradarbiavimą su kitomis institucijomis. Reikia įvertinti jau bendruomenėse nusistovėjusią priėmimo tvarką bei aplinkybes. </w:t>
      </w:r>
      <w:r w:rsidRPr="00142885">
        <w:rPr>
          <w:bCs/>
        </w:rPr>
        <w:t xml:space="preserve">Socialinės apsaugos </w:t>
      </w:r>
      <w:r>
        <w:rPr>
          <w:bCs/>
        </w:rPr>
        <w:t xml:space="preserve">ir darbo ministerijos Socialinių paslaugų skyriaus specialistai negali atsakyti konkrečios tvarkos parengimo datos. Ministerijos nuomone,  reikia siuntimo tvarkos patvirtinimo ir numatyti, ką tokiais atvejais turėtų daryti savivaldybės. </w:t>
      </w:r>
      <w:r w:rsidRPr="00142885">
        <w:rPr>
          <w:bCs/>
        </w:rPr>
        <w:t xml:space="preserve">Socialinės apsaugos </w:t>
      </w:r>
      <w:r>
        <w:rPr>
          <w:bCs/>
        </w:rPr>
        <w:t xml:space="preserve">ir darbo ministerijos atstovai numato dalyvauti Vilniaus miesto savivaldybės sudaromoje darbo grupės veikloje. </w:t>
      </w:r>
    </w:p>
    <w:p w:rsidR="00A2543C" w:rsidRPr="004B5AEA" w:rsidRDefault="00A2543C" w:rsidP="00A2543C">
      <w:pPr>
        <w:jc w:val="both"/>
        <w:rPr>
          <w:bCs/>
        </w:rPr>
      </w:pPr>
      <w:r>
        <w:rPr>
          <w:bCs/>
        </w:rPr>
        <w:tab/>
      </w:r>
      <w:r w:rsidRPr="004B5AEA">
        <w:rPr>
          <w:bCs/>
        </w:rPr>
        <w:t>Vaiko teisių apsaugos kontrolierė</w:t>
      </w:r>
      <w:r>
        <w:rPr>
          <w:bCs/>
        </w:rPr>
        <w:t>s</w:t>
      </w:r>
      <w:r w:rsidRPr="004B5AEA">
        <w:rPr>
          <w:bCs/>
        </w:rPr>
        <w:t xml:space="preserve"> </w:t>
      </w:r>
      <w:r>
        <w:rPr>
          <w:bCs/>
        </w:rPr>
        <w:t xml:space="preserve">teigimu, dėl Taboro vaikų susiklosčiusios situacijos, atsakinga Vilniaus miesto savivaldybė, o Socialinės apsaugos ir darbo ministerija dalyvauja tik metodiškai, todėl, jos nuomonė visi svarbiausi sprendimai turi būti priimami Vilniaus miesto savivaldybėje. Ji sako, kad Vilniaus miesto savivaldybėje Vaiko teisių apsaugos skyrius turi taikyti vienodus reikalavimus. Pastebi, kad, kuomet yra nuteisiami romų tabore gyvenantys vaikų  tėvai, globa skiriama kitiems romų tabore gyvenantiems giminaičiams, todėl ne visada naujos gyvenimo sąlygos atitinka nustatytus reikalavimus, o kartais, romų tabore vaiko gyvenimo sąlygos yra </w:t>
      </w:r>
      <w:r>
        <w:rPr>
          <w:bCs/>
        </w:rPr>
        <w:lastRenderedPageBreak/>
        <w:t>pabloginamos, nes  vaikai lieka gyventi toje pačioje erdvėje ir formalių reikalavimų neatitinka. Pastebi, kad Lygių galimybių kontrolierė Naujininkų mokykloje nustatė dėl klasių formavimo pagal tautybę</w:t>
      </w:r>
      <w:r w:rsidRPr="009E3A55">
        <w:rPr>
          <w:bCs/>
        </w:rPr>
        <w:t xml:space="preserve"> </w:t>
      </w:r>
      <w:r>
        <w:rPr>
          <w:bCs/>
        </w:rPr>
        <w:t xml:space="preserve">pažeidimus. Didžiausia problema, kai savivaldybės administracijos direktorius skirdamas vaikui globą, ji palieka netinkamam asmeniui. Pastebi, kad 3-oje klasėje vaikai dar nemoka skaityti, skaičiuoti iki 20  ir, realiai, mokyklos nelanko. Globėjų atsakomybė minimali. </w:t>
      </w:r>
    </w:p>
    <w:p w:rsidR="00A2543C" w:rsidRDefault="00A2543C" w:rsidP="00A2543C">
      <w:pPr>
        <w:jc w:val="both"/>
        <w:rPr>
          <w:bCs/>
        </w:rPr>
      </w:pPr>
      <w:r>
        <w:tab/>
        <w:t xml:space="preserve">Posėdyje </w:t>
      </w:r>
      <w:r w:rsidRPr="00303BC1">
        <w:rPr>
          <w:bCs/>
        </w:rPr>
        <w:t xml:space="preserve">Energetikos ministerijos atstovai </w:t>
      </w:r>
      <w:r>
        <w:rPr>
          <w:bCs/>
        </w:rPr>
        <w:t>teigia, kad į taborą tiekiama elektra, tai AB „Lesto“ problema, nes jiems už suvartotą elektrą</w:t>
      </w:r>
      <w:r w:rsidRPr="00E007CA">
        <w:rPr>
          <w:bCs/>
        </w:rPr>
        <w:t xml:space="preserve"> </w:t>
      </w:r>
      <w:r>
        <w:rPr>
          <w:bCs/>
        </w:rPr>
        <w:t>neatsiskaitoma, yra skolos.</w:t>
      </w:r>
    </w:p>
    <w:p w:rsidR="00A2543C" w:rsidRPr="00962307" w:rsidRDefault="00A2543C" w:rsidP="00A2543C">
      <w:pPr>
        <w:jc w:val="both"/>
        <w:rPr>
          <w:bCs/>
        </w:rPr>
      </w:pPr>
      <w:r>
        <w:rPr>
          <w:bCs/>
        </w:rPr>
        <w:tab/>
      </w:r>
      <w:r w:rsidRPr="00962307">
        <w:rPr>
          <w:bCs/>
        </w:rPr>
        <w:t xml:space="preserve">AB „Lesto“ </w:t>
      </w:r>
      <w:r>
        <w:rPr>
          <w:bCs/>
        </w:rPr>
        <w:t xml:space="preserve">Prevencijos kontrolės departamento duomenimis, už suvartotą elektrą neatsiskaito Taboro dali gyventojų, policija padeda užkardyti neteisėtą elektros naudojimą, bet tai bergždžias darbas. Surašomi aktai, protokolai, bet, kai tik atstovai iš taboro teritorijos išvyksta, elektra vėl pajungiama. Dabartiniu metu sudaryta darbo grupė šioms problemoms spręsti, dėl techninių sprendimų laukiama pasiūlymų. </w:t>
      </w:r>
    </w:p>
    <w:p w:rsidR="00A2543C" w:rsidRDefault="00A2543C" w:rsidP="00A2543C">
      <w:pPr>
        <w:jc w:val="both"/>
        <w:rPr>
          <w:bCs/>
        </w:rPr>
      </w:pPr>
      <w:r>
        <w:rPr>
          <w:rFonts w:eastAsia="Arial Unicode MS"/>
        </w:rPr>
        <w:tab/>
      </w:r>
      <w:r w:rsidRPr="00962307">
        <w:rPr>
          <w:bCs/>
        </w:rPr>
        <w:t>Švietimo ir mokslo ministerijos atstov</w:t>
      </w:r>
      <w:r>
        <w:rPr>
          <w:bCs/>
        </w:rPr>
        <w:t>o duomenimis, Tabore veikia vaikų dienos centras ir situacija</w:t>
      </w:r>
      <w:r w:rsidRPr="00773A3B">
        <w:rPr>
          <w:bCs/>
        </w:rPr>
        <w:t xml:space="preserve"> </w:t>
      </w:r>
      <w:r>
        <w:rPr>
          <w:bCs/>
        </w:rPr>
        <w:t>kontroliuojama. Romų visuomenės centre veikla vyksta. Problemos yra romų šeimose. Taboras tapęs traukos centru  jaunimui iš kitur. Manoma, kad dabartiniu metu taikomos  priemonės, duos teigiamų  rezultatų.</w:t>
      </w:r>
    </w:p>
    <w:p w:rsidR="00A2543C" w:rsidRDefault="00A2543C" w:rsidP="00A2543C">
      <w:pPr>
        <w:jc w:val="both"/>
        <w:rPr>
          <w:rFonts w:eastAsia="Arial Unicode MS"/>
        </w:rPr>
      </w:pPr>
      <w:r>
        <w:rPr>
          <w:bCs/>
        </w:rPr>
        <w:tab/>
      </w:r>
      <w:r>
        <w:t xml:space="preserve"> Komisija bendru sutarimu nutarė i</w:t>
      </w:r>
      <w:r>
        <w:rPr>
          <w:rFonts w:eastAsia="Arial Unicode MS"/>
        </w:rPr>
        <w:t>šklausyti Vilniaus miesto savivaldybės atstovus, Kultūros ministerijos atstovus  ir priimti  sprendimą.</w:t>
      </w:r>
    </w:p>
    <w:p w:rsidR="00A2543C" w:rsidRDefault="00A2543C" w:rsidP="00A2543C">
      <w:pPr>
        <w:jc w:val="both"/>
        <w:rPr>
          <w:rFonts w:eastAsia="Arial Unicode MS"/>
        </w:rPr>
      </w:pPr>
      <w:r>
        <w:rPr>
          <w:rFonts w:eastAsia="Arial Unicode MS"/>
        </w:rPr>
        <w:t xml:space="preserve"> </w:t>
      </w:r>
      <w:r>
        <w:rPr>
          <w:rFonts w:eastAsia="Arial Unicode MS"/>
        </w:rPr>
        <w:tab/>
      </w:r>
      <w:r>
        <w:t xml:space="preserve">Komisija </w:t>
      </w:r>
      <w:r w:rsidRPr="00A837A2">
        <w:t>2011-10-12</w:t>
      </w:r>
      <w:r>
        <w:t xml:space="preserve"> d</w:t>
      </w:r>
      <w:r w:rsidRPr="00FF1379">
        <w:rPr>
          <w:rFonts w:eastAsia="Arial Unicode MS"/>
        </w:rPr>
        <w:t>ėl narkotikų užkardymo Vilniaus romų tabore, Kirtimuose</w:t>
      </w:r>
      <w:r>
        <w:rPr>
          <w:rFonts w:eastAsia="Arial Unicode MS"/>
        </w:rPr>
        <w:t xml:space="preserve"> </w:t>
      </w:r>
      <w:r>
        <w:t xml:space="preserve">tęsė </w:t>
      </w:r>
      <w:r>
        <w:rPr>
          <w:rFonts w:eastAsia="Arial Unicode MS"/>
        </w:rPr>
        <w:t xml:space="preserve">klausimo nagrinėjimą. </w:t>
      </w:r>
    </w:p>
    <w:p w:rsidR="00A2543C" w:rsidRDefault="00A2543C" w:rsidP="00A2543C">
      <w:pPr>
        <w:ind w:firstLine="720"/>
        <w:jc w:val="both"/>
        <w:rPr>
          <w:rFonts w:eastAsia="Arial Unicode MS"/>
        </w:rPr>
      </w:pPr>
      <w:r>
        <w:rPr>
          <w:rFonts w:eastAsia="Arial Unicode MS"/>
        </w:rPr>
        <w:t>Vilniaus apskrities vyriausiojo policijos komisariatas pateikė Komisijai informaciją (2011-10-10 pažyma „Dėl vykdomų priemonių Vilniaus romų bendrijoje“) ir  pažymėjo, kad 2011 metais vykdant procesams, susijusiems su neteisėtos narkotikų apyvartos romų tabore kontrole, aktyvia policijos veikla, yra įtakojamos visos sritys: pradedant narkotikų vartojimu, baigiant narkotikų tiekimo kanalų į taborą užkardymu. Vykdant šią veiklą 2011 m. sausio – rugsėjo  mėnesiais buvo atlikta  daugiau nei</w:t>
      </w:r>
      <w:r w:rsidRPr="00A837A2">
        <w:rPr>
          <w:rFonts w:eastAsia="Arial Unicode MS"/>
        </w:rPr>
        <w:t xml:space="preserve"> 80</w:t>
      </w:r>
      <w:r>
        <w:rPr>
          <w:rFonts w:eastAsia="Arial Unicode MS"/>
        </w:rPr>
        <w:t xml:space="preserve"> policijos prevencinių ir tikslinių  priemonių, siekiant išaiškinti neteisėtos narkotikų apyvartos ir vartojimo faktus. Priemonių metu buvo sulaikyta virš </w:t>
      </w:r>
      <w:r w:rsidRPr="00A837A2">
        <w:rPr>
          <w:rFonts w:eastAsia="Arial Unicode MS"/>
        </w:rPr>
        <w:t>1230</w:t>
      </w:r>
      <w:r w:rsidRPr="00F518A1">
        <w:rPr>
          <w:rFonts w:eastAsia="Arial Unicode MS"/>
          <w:b/>
        </w:rPr>
        <w:t xml:space="preserve"> </w:t>
      </w:r>
      <w:r>
        <w:rPr>
          <w:rFonts w:eastAsia="Arial Unicode MS"/>
        </w:rPr>
        <w:t xml:space="preserve">asmenų, iš jų virš </w:t>
      </w:r>
      <w:r w:rsidRPr="00A837A2">
        <w:rPr>
          <w:rFonts w:eastAsia="Arial Unicode MS"/>
        </w:rPr>
        <w:t>1000</w:t>
      </w:r>
      <w:r>
        <w:rPr>
          <w:rFonts w:eastAsia="Arial Unicode MS"/>
        </w:rPr>
        <w:t xml:space="preserve"> pagal LR ATPK 44 str. 2 d., virš 130 asmenų pagal LR BK 259 str., kuriems taikytos atitinkamos įstatymuose numatytos nuobaudos. Taip pat vykdytų priemonių metu pradėti </w:t>
      </w:r>
      <w:r w:rsidRPr="00A837A2">
        <w:rPr>
          <w:rFonts w:eastAsia="Arial Unicode MS"/>
        </w:rPr>
        <w:t>25</w:t>
      </w:r>
      <w:r>
        <w:rPr>
          <w:rFonts w:eastAsia="Arial Unicode MS"/>
        </w:rPr>
        <w:t xml:space="preserve"> ikiteisminiais tyrimai dėl sunkių nusikaltimų, iš kurių 21 tyrimas pradėtas pagal LR BK 260 str. 1 d. dėl netesėto narkotinių ir psichotropinių medžiagų platinimo, 2 tyrimai pradėti pagal LR BK 260 str. 3 d. ir 199 str. 2 d. dėl neteisėto labai didelio narkotinių ir psichotropinių medžiagų kiekio disponavimo ir kontrabandos. Siekiant surinkti ir uždokumentuoti nusikalstamų asmenų veiką,   tabore 8 kartus naudota išimtinė operatyvinė priemonė- nusikalstamą veiką imituojantys veiksmai. Vykdant bendrąsias prevencines priemones taip pat su Rytų skirstomųjų tinklų darbuotojais buvo atliktos </w:t>
      </w:r>
      <w:r w:rsidRPr="00A837A2">
        <w:rPr>
          <w:rFonts w:eastAsia="Arial Unicode MS"/>
        </w:rPr>
        <w:t xml:space="preserve">5 </w:t>
      </w:r>
      <w:r>
        <w:rPr>
          <w:rFonts w:eastAsia="Arial Unicode MS"/>
        </w:rPr>
        <w:t xml:space="preserve"> prevencinės priemonės, kurių metu nustatyti 26 pažeidimai, susiję su neteisėtu elektros energijos vartojimu, surašyti patikrinimo aktai. Valstybinė energetikos inspekcija priėmė 9 nutarimus administracinio teisės pažeidimo bylose, paskirta bendrai 900 litų baudos. Valstybinė teritorijų planavimo ir statybos inspekcija parengė teismui 6 bylas dėl nelegaliai pastatytų namų, iš jų 4-ose bylose yra jau įsiteisėjęs teismo sprendimai nugriauti namus, 2 bylos dar yra nagrinėjamos teisme. Kartu su gyvūnų tarnyba „grinda“ buvo organizuotos 5 prevencinės priemonės, kurių metu 10 šunų išvežta į gyvūnų prieglaudą, šunų savininkams surašyti 10 administracinių teisės pažeidimo protokolų pagal LR ATPK 110 str. Organizuotos 2 prevencinės priemonės, siekiant  nustatyti Švaros ir tvarkymo taisyklių pažeidimus. Nustatyti 4 pažeidimai ir paskirtos po 400 litų administracinės nuobaudos. Dalyvaujant VTAS inspektoriams buvo paimta 17 romų tautybės vaikų, dėl nepriežiūros ir likus be įstatyminių atstovų bei apgyvendinti laikinosios globos namuose iš minėtų vaikų 6 vaikai grįžo atgal pas savo tėvus. Už mokyklos nelankymą surašyta 20 administracinės teisės pažeidimų  protokolų romų vaikų tėvams. Romai stato aukštas tvoras, viršuje prikala spygliuota viela, įrenginėja specialias narkotikų platinimui skirtas prekybos nišas su stalčiais ir kt.   </w:t>
      </w:r>
    </w:p>
    <w:p w:rsidR="00A2543C" w:rsidRDefault="00A2543C" w:rsidP="00A2543C">
      <w:pPr>
        <w:ind w:firstLine="720"/>
        <w:jc w:val="both"/>
        <w:rPr>
          <w:snapToGrid w:val="0"/>
          <w:color w:val="000000"/>
        </w:rPr>
      </w:pPr>
      <w:r>
        <w:rPr>
          <w:rFonts w:eastAsia="Arial Unicode MS"/>
        </w:rPr>
        <w:t xml:space="preserve">   </w:t>
      </w:r>
      <w:r w:rsidRPr="00E515AB">
        <w:rPr>
          <w:b/>
        </w:rPr>
        <w:t>2012 metai</w:t>
      </w:r>
      <w:r>
        <w:rPr>
          <w:b/>
        </w:rPr>
        <w:t>.</w:t>
      </w:r>
      <w:r w:rsidRPr="005064E1">
        <w:rPr>
          <w:b/>
        </w:rPr>
        <w:t xml:space="preserve"> </w:t>
      </w:r>
      <w:r w:rsidRPr="00A03B5A">
        <w:t>2012-03-14</w:t>
      </w:r>
      <w:r>
        <w:t xml:space="preserve"> Komisija nagrinėjo </w:t>
      </w:r>
      <w:r w:rsidRPr="00DA68BA">
        <w:rPr>
          <w:snapToGrid w:val="0"/>
          <w:color w:val="000000"/>
        </w:rPr>
        <w:t>2011 m. balandžio 6 d. Narkomanijos ir alkoholizmo prevencijos komisijos sprendimo dėl narkomanijos prevencijos ir narkotikų užkardymo romų tabore Kirtimuose, Vilniuje, įgyvendinimo</w:t>
      </w:r>
      <w:r>
        <w:rPr>
          <w:snapToGrid w:val="0"/>
          <w:color w:val="000000"/>
        </w:rPr>
        <w:t xml:space="preserve"> klausimą.</w:t>
      </w:r>
    </w:p>
    <w:p w:rsidR="00A2543C" w:rsidRDefault="00A2543C" w:rsidP="00A2543C">
      <w:pPr>
        <w:jc w:val="both"/>
      </w:pPr>
      <w:r w:rsidRPr="00A87E1D">
        <w:t xml:space="preserve"> </w:t>
      </w:r>
      <w:r>
        <w:tab/>
        <w:t xml:space="preserve">Vidaus reikalų ministerijos </w:t>
      </w:r>
      <w:r w:rsidRPr="00BF16E6">
        <w:rPr>
          <w:bCs/>
        </w:rPr>
        <w:t>Viešojo saugumo po</w:t>
      </w:r>
      <w:r>
        <w:rPr>
          <w:bCs/>
        </w:rPr>
        <w:t xml:space="preserve">litikos departamento direktorius Tomas Žilinskas komisijos posėdyje supažindino su įgyvendintomis priemonėmis. Teigia, kad kova su narkotinių medžiagų patekimu į Taborą ir jų platinimu yra prioritetas, kas keturias dienas, vykdoma po 1 priemonę. Padidintas prevencinių priemonių skaičius. Pasitelkiamos viešojo saugumo pajėgos. </w:t>
      </w:r>
      <w:r>
        <w:rPr>
          <w:bCs/>
        </w:rPr>
        <w:lastRenderedPageBreak/>
        <w:t xml:space="preserve">Platinimo būdas keičiasi, romai pasitelkia vaikus, kuriems netaikomas baudžiamosios ir administracinės atsakomybės klausimai.  Pasiūlos mažinimo klausimas, susijęs su paklausos mažinimo klausimu. Priemones vykdo </w:t>
      </w:r>
      <w:r w:rsidRPr="00C41D58">
        <w:rPr>
          <w:bCs/>
        </w:rPr>
        <w:t>Vilniaus apskrities vyriausiojo policijos komisariato</w:t>
      </w:r>
      <w:r>
        <w:rPr>
          <w:bCs/>
        </w:rPr>
        <w:t xml:space="preserve"> pareigūnai, jiems talkina Policijos departamentas. Taboras neturi poveikio nusikalstamumui respublikiniu mastu. Padidintas dėmesys ir prevencinių priemonių skaičius, rodo daugiau fiksuotų pažeidimų.  </w:t>
      </w:r>
    </w:p>
    <w:p w:rsidR="00A2543C" w:rsidRDefault="00A2543C" w:rsidP="00A2543C">
      <w:pPr>
        <w:jc w:val="both"/>
        <w:rPr>
          <w:bCs/>
        </w:rPr>
      </w:pPr>
      <w:r>
        <w:rPr>
          <w:bCs/>
        </w:rPr>
        <w:tab/>
      </w:r>
      <w:r w:rsidRPr="00C41D58">
        <w:rPr>
          <w:bCs/>
        </w:rPr>
        <w:t>Vilniaus apskrities vyriausiojo policijos komisariato komisar</w:t>
      </w:r>
      <w:r>
        <w:rPr>
          <w:bCs/>
        </w:rPr>
        <w:t xml:space="preserve">o pavaduotojas Antoni Mikulskis informavo, kad tabore yra 88 gyvenamieji namai, gyvena 495 asmenys, iš jų 205 vaikai. 2011 metais policijos buvo taikytos 79 prevencinės priemonės. 2011 metais  sulaikyta beveik </w:t>
      </w:r>
      <w:r w:rsidRPr="00A03B5A">
        <w:rPr>
          <w:bCs/>
        </w:rPr>
        <w:t>1700</w:t>
      </w:r>
      <w:r w:rsidRPr="007B7498">
        <w:rPr>
          <w:b/>
          <w:bCs/>
        </w:rPr>
        <w:t xml:space="preserve"> </w:t>
      </w:r>
      <w:r>
        <w:rPr>
          <w:bCs/>
        </w:rPr>
        <w:t>asmenų, iš jų 1427 asmenims surašyti administraciniai protokolai, pradėti 159 asmenims  ikiteisminiai tyrimai pagal LR BK 259 str.  ir 40 asmenims ikiteisminiai tyrimai pagal LR BK 260 str. Su Rytų skirstomaisiais tinklais atliktos 8 bendros prevencinės priemonės ir nustatyti 39 pažeidimai. Energetikos inspekcija surašė 9 nutarimus administracinėse bylose. Su „Grinda“ išvežta 12 beglobių šunų ir nubausti 10 šunų savininkų. Kartu su vaikų teisių apsaugos darbuotojais dėl nepriežiūros paimta 17 vaikų, kurie apgyvendinti globos namuose „Gilė“. 21 protokolas surašytas tėvams, kad vaikai nelanko mokyklos. Šalia taboro gyvenantys gyventojai policijai teigia, kad srautas į romų taborą sumažėjo. Policija atliko analizę ir nustatė, kad  2011 metų iš 17 planuojamų paleisti iš laisvės atėmimo vietų  asmenų, kurie atlieka bausmę už neteisėta narkotikų apyvartą Tabore, iš jų 80 proc. yra moterys ir 20 proc. sudaro vyrai. Tik 3 asmenys yra ankščiau neteisti, kiti teisti nuo 1 iki 6 kartų už įvairius nusikaltimus, tame tarpe ir už narkotikus. Minėti asmenys   nepasitaisė, bet bus paleidžiami į laisvę ir policijai sudarys papildomas problemas.  Tabore prekyba vyksta, tik keičiasi būdai. Statomos aukštos tvoros, prekiaujama pro langelį. Kai kada leidžia asmeniui leistis narkotikus patalpoje, kartais pinigus perkantysis sumoka kitoje vietoje. Romai tapo uždara bendruomene, įgaunančią kriminalinio klano atspalvį. Pinigai eina nusikalstamoms struktūroms.  Neformali darbo grupė, kuriai jis vadovauja, situaciją pakeitė į palankesnę pusę. Dėl darbo grupės veiklos nusiskundimų nėra, nes laikomasi įstatymų. Trūksta paramos iš Vilniaus miesto savivaldybės. Dėl finansavimo sumažinimo, Tabore sumažintos policijos taikomos priemonės. Vaiko teisių apsaugos darbuotojai policijai padeda, bet tikimasi  daugiau dėmesio iš Vilniaus miesto savivaldybės, nes vien policijos veiksmais nieko nepadarysi. Pabrėžė, kad yra problemos d</w:t>
      </w:r>
      <w:r>
        <w:t xml:space="preserve">ėl teistų asmenų, kurie platino narkotikus Tabore ir, dėl jų išankstinio paleidimo iš laisvės atėmimo vietų. </w:t>
      </w:r>
      <w:r>
        <w:rPr>
          <w:bCs/>
        </w:rPr>
        <w:t>Dėl</w:t>
      </w:r>
      <w:r w:rsidRPr="003E4BB1">
        <w:t xml:space="preserve"> </w:t>
      </w:r>
      <w:r>
        <w:t>teistų asmenų, kurie platino narkotikus tabore, išankstinio paleidimo iš laisvės atėmimo vietų, yra apibendrinta informacija ir tokios tendencijos pastebimos. G</w:t>
      </w:r>
      <w:r>
        <w:rPr>
          <w:bCs/>
        </w:rPr>
        <w:t>irininkija rengia aplinkos tvarkymo projektą. Aplinkos tvarkymo projektai rengiami ir jie bus  įgyvendinami.</w:t>
      </w:r>
    </w:p>
    <w:p w:rsidR="00A2543C" w:rsidRDefault="00A2543C" w:rsidP="00A2543C">
      <w:pPr>
        <w:jc w:val="both"/>
      </w:pPr>
      <w:r>
        <w:rPr>
          <w:bCs/>
        </w:rPr>
        <w:tab/>
      </w:r>
      <w:r w:rsidRPr="00E50AFD">
        <w:rPr>
          <w:bCs/>
        </w:rPr>
        <w:t>Policijos departamento prie VRM Kriminal</w:t>
      </w:r>
      <w:r>
        <w:rPr>
          <w:bCs/>
        </w:rPr>
        <w:t xml:space="preserve">inės policijos valdybos veiklos organizavimo skyriaus viršininkas Darius Žvironas informavo, kad 2011 metais buvo sulaikytos dvi grupės virš 80 asmenų, kurie veikė Vilniuje ir Utenos apskrityse, kartu su Baltarusijos pareigūnais  sulaikytas virš 1 mln. Lt narkotikų  krovinys, sulaikyti 8 žmonės ir atlikta virš 20 kratų, paimta virš 60 tūkst. Lt. Dėl laikino heroino stygiaus jų veiklos pelnas sumažėjo. Kartu su romų bendruomene „Sofa“ buvo vykdomas vienas projektas. </w:t>
      </w:r>
      <w:r>
        <w:t xml:space="preserve">Iš Tabore sulaikytų 1700 asmenų, gyvenamoji vieta nustatyta </w:t>
      </w:r>
      <w:r>
        <w:rPr>
          <w:bCs/>
        </w:rPr>
        <w:t>Vilniaus miestas.</w:t>
      </w:r>
      <w:r>
        <w:t xml:space="preserve">  </w:t>
      </w:r>
    </w:p>
    <w:p w:rsidR="00A2543C" w:rsidRDefault="00A2543C" w:rsidP="00A2543C">
      <w:pPr>
        <w:jc w:val="both"/>
      </w:pPr>
      <w:r>
        <w:tab/>
        <w:t>Socialinės apsaugos ir darbo ministerijos Socialinės aprėpties ir bendruomenių departamento duomenimis, tęsiamas</w:t>
      </w:r>
      <w:r w:rsidRPr="00107A40">
        <w:t xml:space="preserve"> </w:t>
      </w:r>
      <w:r>
        <w:t xml:space="preserve">romų dienos centrų finansavimas. Centro veikloje dalyvaus 95 vaikai. Dėl „ES paramos kokybiškam užimtumui ir socialinei atskirčiai“, vienas konkretus projektas skirtas „Čigonų laužui“, su virš 2 mln. Lt finansavimu 2 metams. Prieš tai buvo vykdomas dar vienas projektas. Nėra daug visuomeninių organizacijų, kurios norėtų integruoti romų tautybės asmenis, tuos, kurie gyvena  Tabore. Nėra atskiros tvarkos dėl priklausomybės ligomis sergančių asmenų, kurie gavo detoksikacijos paslaugas ir, kurie lankosi romų tabore Kirtimuose, jų tolimesnio gydymo. Svarstoma kaip  finansuoti šių asmenų reabilitaciją. Reabilitacinės bendruomenės gavo finansavimą ir pagerino gyvenimo sąlygas, infrastruktūrą. Dėl  numatomų 10mln. Lt panaudojimo, reikėtų politinių sprendimų, per kurią organizaciją finansuoti reabilitacines paslaugas. Siūloma nukreipti šias lėšas per Narkotikų, alkoholio ir tabako kontrolės departamentą su konkrečiai patvirtinta tvarka. Ankščiau reabilitacijai asmenys nebuvo  nukreipiami, bet paslaugas gaudavo. </w:t>
      </w:r>
      <w:r>
        <w:rPr>
          <w:bCs/>
        </w:rPr>
        <w:t>P</w:t>
      </w:r>
      <w:r>
        <w:t>rojektas numato romus  iškelti iš esančios aplinkos į kitą aplinką, 240 asmenų bus motyvuojami ir apmokyti įvairių specialybių.</w:t>
      </w:r>
      <w:r w:rsidRPr="002F6F8E">
        <w:t xml:space="preserve"> </w:t>
      </w:r>
      <w:r>
        <w:t xml:space="preserve">Všį „Sofa“ vykdo projektą, kuris 2012 m. kovo mėn. bus  baigtas. Projekto tarpinės ataskaitos parengtos, apie 80 asmenų  dalyvauja projekte. </w:t>
      </w:r>
    </w:p>
    <w:p w:rsidR="00A2543C" w:rsidRDefault="00A2543C" w:rsidP="00A2543C">
      <w:pPr>
        <w:jc w:val="both"/>
      </w:pPr>
      <w:r>
        <w:t xml:space="preserve"> </w:t>
      </w:r>
      <w:r>
        <w:tab/>
        <w:t xml:space="preserve">Sveikatos apsaugos viceministras Audrius Klišonis informavo Komisija, kad Sveikatos apsaugos ministerijoje sudaryta darbo grupė nagrinėja asmenų nukreipimo po detoksikacijos į </w:t>
      </w:r>
      <w:r>
        <w:lastRenderedPageBreak/>
        <w:t xml:space="preserve">reabilitaciją klausimus. Bus parengta tvarka, nes dėl asmenų nukreipimo tvarkos, susitarimas yra pasiektas. </w:t>
      </w:r>
    </w:p>
    <w:p w:rsidR="00A2543C" w:rsidRDefault="00A2543C" w:rsidP="00A2543C">
      <w:pPr>
        <w:jc w:val="both"/>
      </w:pPr>
      <w:r>
        <w:rPr>
          <w:bCs/>
        </w:rPr>
        <w:tab/>
      </w:r>
      <w:r>
        <w:t xml:space="preserve">Vilniaus savivaldybės Socialinės paramos centro vedėja Jurgita Gajauskienė informavo Komisiją,  kad Vilniaus savivaldybė yra partneris vykdomo projekto JT vystymo programai, padeda ne tik apmokyti 56 romus, iš kurių 12 įsidarbino, bet jiems padeda išsilaikyti darbo vietose ir išsaugoti šias  darbo vietas. Centras teikia socialines paslaugas, padeda ieškant darbo. </w:t>
      </w:r>
    </w:p>
    <w:p w:rsidR="00A2543C" w:rsidRDefault="00A2543C" w:rsidP="00A2543C">
      <w:pPr>
        <w:jc w:val="both"/>
        <w:rPr>
          <w:bCs/>
        </w:rPr>
      </w:pPr>
      <w:r>
        <w:rPr>
          <w:bCs/>
        </w:rPr>
        <w:tab/>
        <w:t xml:space="preserve"> </w:t>
      </w:r>
      <w:r w:rsidRPr="00C41D58">
        <w:rPr>
          <w:bCs/>
        </w:rPr>
        <w:t>Energetikos ministerijos atstova</w:t>
      </w:r>
      <w:r>
        <w:rPr>
          <w:bCs/>
        </w:rPr>
        <w:t>s praneša, kad Energetikos inspekcijos atstovai bendradarbiauja su policija ir AB ‚Lesto“. Už nustatytus pažeidimus,  romams surašyti administraciniai teisės pažeidimų protokolai.</w:t>
      </w:r>
    </w:p>
    <w:p w:rsidR="00A2543C" w:rsidRDefault="00A2543C" w:rsidP="00A2543C">
      <w:pPr>
        <w:jc w:val="both"/>
      </w:pPr>
      <w:r>
        <w:rPr>
          <w:bCs/>
        </w:rPr>
        <w:tab/>
      </w:r>
      <w:r w:rsidRPr="00C41D58">
        <w:rPr>
          <w:bCs/>
        </w:rPr>
        <w:t xml:space="preserve">AB „Lesto“ </w:t>
      </w:r>
      <w:r>
        <w:rPr>
          <w:bCs/>
        </w:rPr>
        <w:t xml:space="preserve">prevencijos ir kontrolės departamento  direktorius  </w:t>
      </w:r>
      <w:r w:rsidRPr="00C41D58">
        <w:rPr>
          <w:bCs/>
        </w:rPr>
        <w:t>Juozas Šak</w:t>
      </w:r>
      <w:r>
        <w:rPr>
          <w:bCs/>
        </w:rPr>
        <w:t>ė</w:t>
      </w:r>
      <w:r w:rsidRPr="00C41D58">
        <w:rPr>
          <w:bCs/>
        </w:rPr>
        <w:t>la,</w:t>
      </w:r>
      <w:r>
        <w:rPr>
          <w:bCs/>
        </w:rPr>
        <w:t xml:space="preserve"> sako, kad bendradarbiaujant su policija pasiekta rezultatų. Per 2011 metus sumažintas grobiamos elektros kiekis nuo 50 tūkst. KW iki 35 tūkst. KW. Mažiau suvartota elektros. Bendri veiksmai ir reidai sumažino neapmokėtos elektros kiekį, buvo 3 tūkst. KW, 2012 m. iki 8 tūkst. KW apmokėta. Keičiami technologiniai kontrolės procesai. Iš 90 turimų apskaitų prietaisų, liko 20 apskaitų prietaisų  ir 2 artimiausiu metu bus panaikinti.  </w:t>
      </w:r>
      <w:r>
        <w:t xml:space="preserve">88 namai  turi elektros įvadus, 2 namams pradėtos nutraukimo procedūros. Surašomi aktai. Neteisėtų pasijungimų yra, nutraukus juos, po 1 val. vėl elektra pajungiama. </w:t>
      </w:r>
    </w:p>
    <w:p w:rsidR="00A2543C" w:rsidRDefault="00A2543C" w:rsidP="00A2543C">
      <w:pPr>
        <w:jc w:val="both"/>
      </w:pPr>
      <w:r>
        <w:tab/>
        <w:t xml:space="preserve">Vilniaus Priklausomybės ligų centro direktorius Emilis Subata informavo Komisiją apie centre teikiamas paslaugas. Centro veiklos apimtis: 2 detoksikacijos skyriai - 15 ir 9 lovos, centre detoksikavosi apie 430 asmenų, iš kurių  80 proc. buvo miesto gyventojai, du reabilitaciniai skyriai, kuriuose gali gydytis 20 ir 50 asmenų. Viso stacionare gydyta virš 500 asmenų. Iš viso  gydėsi  virš 3200 asmenų. 450 asmenims teiktos ambulatorinės paslaugos. Per metus savivaldybė skiria centrui 5,5  mln. Lt . 90 stacionarinių lovų. Gauti paslaugas sudaromos eilės. Mobilioje žemo slenksčio klinikoje per metus  lankosi virš 2 tūkst. asmenų. Pernai centre diagnozuoti  7 ŽIV atvejai. Sudaryta sutartis su Vilniaus m. savivaldybės vaikų teisių apsaugos skyriumi, kuris siunčia gydytis iki 6 mėn. mamas bei tėvus, kurie turi vaikus ir yra priklausomi nuo alkoholio arba narkotinių medžiagų. Sudaryta sutartis su Vilniaus miesto pataisos inspekcija, kurios įskaitoje yra  80 asmenų įpareigotų gydytis nuo narkotinių ir psichotropinių medžiagų priklausomybės. Priklausomybės ligų centro galimybės teikti paslaugas -  ribotos.   </w:t>
      </w:r>
    </w:p>
    <w:p w:rsidR="00A2543C" w:rsidRDefault="00A2543C" w:rsidP="00A2543C">
      <w:pPr>
        <w:jc w:val="both"/>
      </w:pPr>
      <w:r>
        <w:tab/>
        <w:t xml:space="preserve">Vaiko teisių apsaugos kontrolierės Editos Žiobienės nuomone, visi vaikai turėtų gauti visas gydytojų paslaugas nemokamai ir, tai turi užtikrinti globėjai. Paslaugų neteikimas vaikams traktuojamas kaip vaikų nepriežiūra. SAM pakeitė įsakymą, kuriame numatė rugsėjo 1 d. pažymą su visų gydytojų priežiūra ir suteiktomis paslaugomis. Romų tabore yra 205 vaikai, kuriems reikalingos paslaugos. Vasario mėn. lankėsi tabore ir vaikai nėjo į mokyklą. Panaikinus tautinių mažumų departamentą, Kultūros ministerija rengia romų integracijos programas. Dėl dienos centrų nėra valstybinio požiūrio. Apsilankymo metu romų centre veiklos nebuvo. Tarpusavyje romai bendrauja sava kalba, romų centre bendraujama lietuvių kalba, o mokytis leidžiama  į rusų  kalbos mokyklas, todėl dėl kalbos barjero vaikams integruotis į visuomenę labai sunku. Namai yra be elektros, be tinkamų gyvenimui sąlygų. Reikia galvoti apie efektyvesnes romų integracines programas. Vaikai gyvena baisiose sąlygose.   Yra parengtas romų integracijos į visuomenę planas iki 2016 metų. 68 namai priklausantys tabore romams - be elektros ir vandentiekio, bet vaikai iš tokių blogų sąlygų  nepaimami, o globa steigiama artimiausiems giminaičiams, kurių gyvenimo sąlygos irgi neatitinka nustatytų sanitarijos reikalavimų. Globą steigia savivaldybės administracijos direktorius. Jos manymu, romų vaikams netaikomas vienodas standartas kaip ir kitiems Lietuvos vaikams. Romų vaikams daromos išimtys. Romų lyderiai ir organizacijos pritarė  vaikų dienos centrų būtinumui, nes tokių paslaugų trūksta. </w:t>
      </w:r>
    </w:p>
    <w:p w:rsidR="00A2543C" w:rsidRDefault="00A2543C" w:rsidP="00A2543C">
      <w:pPr>
        <w:ind w:firstLine="720"/>
        <w:jc w:val="both"/>
        <w:rPr>
          <w:rFonts w:eastAsia="Arial Unicode MS"/>
        </w:rPr>
      </w:pPr>
      <w:r>
        <w:rPr>
          <w:rFonts w:eastAsia="Arial Unicode MS"/>
        </w:rPr>
        <w:t xml:space="preserve">Socialinės apsaugos ir darbo ministerija </w:t>
      </w:r>
      <w:r w:rsidRPr="00A03B5A">
        <w:rPr>
          <w:rFonts w:eastAsia="Arial Unicode MS"/>
        </w:rPr>
        <w:t>2012-03-30</w:t>
      </w:r>
      <w:r>
        <w:rPr>
          <w:rFonts w:eastAsia="Arial Unicode MS"/>
        </w:rPr>
        <w:t xml:space="preserve"> raštu Nr. (19.03-32)-2144 „Dėl informacijos apie vykdomus projektus, skirtus Lietuvos romams“ pateikė Komisijai  informaciją, kad Europos socialinio fondo agentūroje koordinuojamas projektas, skirtas romams Jungtinių tautų vystymo programos vykdomam projektui „Atsigręžk į romus: Inovatyvios romų dalyvavimo darbo rinkoje priemonės“ ir Lietuvos čigonų bendrijos „Čigonų laužas“ projektą“ Europos romų kultūros ir verslo parkas „Bahtalo Drom“. Projekto tikslinė grupė apims 240 asmenų. Projekto vykdytojas planuoja įtraukti į projektą romus, kurie atlieka bausmę pataisos namuose, esančiuose Pravieniškėse ir Panevėžyje. Šiuo metu  projektui vykdyti  priimami darbuotojai, vykdomas administravimo darbas, bet  veikla dar nevykdoma. </w:t>
      </w:r>
    </w:p>
    <w:p w:rsidR="00A2543C" w:rsidRDefault="00A2543C" w:rsidP="00A2543C">
      <w:pPr>
        <w:ind w:firstLine="720"/>
        <w:jc w:val="both"/>
        <w:rPr>
          <w:rFonts w:eastAsia="Arial Unicode MS"/>
        </w:rPr>
      </w:pPr>
      <w:r>
        <w:lastRenderedPageBreak/>
        <w:t xml:space="preserve">Komisija tęsė </w:t>
      </w:r>
      <w:r w:rsidRPr="00A03B5A">
        <w:t>2012-04-11</w:t>
      </w:r>
      <w:r w:rsidRPr="005064E1">
        <w:t xml:space="preserve"> </w:t>
      </w:r>
      <w:r>
        <w:t>klausimo d</w:t>
      </w:r>
      <w:r w:rsidRPr="00FF1379">
        <w:rPr>
          <w:rFonts w:eastAsia="Arial Unicode MS"/>
        </w:rPr>
        <w:t xml:space="preserve">ėl </w:t>
      </w:r>
      <w:r>
        <w:rPr>
          <w:rFonts w:eastAsia="Arial Unicode MS"/>
        </w:rPr>
        <w:t xml:space="preserve">padėties </w:t>
      </w:r>
      <w:r w:rsidRPr="00FF1379">
        <w:rPr>
          <w:rFonts w:eastAsia="Arial Unicode MS"/>
        </w:rPr>
        <w:t>romų tabore, Kirtimuose</w:t>
      </w:r>
      <w:r>
        <w:rPr>
          <w:rFonts w:eastAsia="Arial Unicode MS"/>
        </w:rPr>
        <w:t xml:space="preserve">, Vilniuje  nagrinėjimą. </w:t>
      </w:r>
    </w:p>
    <w:p w:rsidR="00A2543C" w:rsidRDefault="00A2543C" w:rsidP="00A2543C">
      <w:pPr>
        <w:ind w:firstLine="720"/>
        <w:jc w:val="both"/>
      </w:pPr>
      <w:r>
        <w:t xml:space="preserve">Vilniaus miesto savivaldybės Sveikatos komiteto pirmininkė Vitalija Kliukienė pateikė informaciją apie asmenų, vartojančių psichotropines medžiagas, problemas. Vilniaus miesto savivaldybės tarybos Sveikatos komitetas, spręsdamas narkotikų vartojimo prevencijos ir asmenų, vartojančių psichotropines medžiagas, gydymo problemas, bendradarbiauja su Vilniaus priklausomybės ligų centro ir Narkotikų, tabako ir alkoholio kontrolės departamento specialistais. Vilniaus miesto savivaldybės tarybos Sveikatos komitetas turėjo keletą išvažiuojamųjų posėdžių į romų taborą, kurių metu ne tik susipažino su esamomis problemomis, bet ir atkreipė dėmesį, kaip vykdomos patvirtintos prevencinės ir asmens sveikatos priežiūros priemonės. Sveikatos komiteto pirmininkė V.Kliukienė kartu su mobiliąja klinika aplankė problemines miesto teritorijas, kurias aptarnauja šios klinikos specialistai. Vilniaus priklausomybės ligų centro abstinencijos sindromo gydymui (detoksikacijai) stacionare skirtos 15 lovų. Dar 9 vietos skirtos vaikams ir jaunuoliams iki 21 metų, siekiant juos atskirti nuo negatyvios pacientų su dideliu narkotikų vartojimo stažu, ne kartą buvusių laisvės atėmimo vietose, įtakos. Vilniaus miesto savivaldybė šios įstaigos išlaikymui 2012 m. biudžete skyrė 5,5 mln. litų. Suaugusiųjų narkotinės abstinencijos gydymas, kartu su psichologo ir socialinio darbuotojo konsultacijomis ir motyvavimu tęsti gydymą reabilitacijos programose, trunka 14-28 dienas, priklausomai nuo priklausomybės sunkumo, vartotų narkotinių medžiagų dozių, somatinės būklės ir paciento motyvacijos. Vidutiniškai skyriuje per metus gydoma apie 300 pacientų. </w:t>
      </w:r>
      <w:r w:rsidRPr="00BE4CB1">
        <w:t xml:space="preserve">Deja, atsižvelgiant į romų tabore vis didėjantį besilankančių pacientų skaičių, ribotą lovų skaičių stacionare ir neišvengiamas pacientų eiles, Vilniaus priklausomybės ligų centras neturi tinkamų pajėgumų užtikrinti skubaus narkotinės abstinencijos sindromo gydymo stacionare. Norint </w:t>
      </w:r>
      <w:r w:rsidRPr="00BE4CB1">
        <w:rPr>
          <w:spacing w:val="-1"/>
        </w:rPr>
        <w:t xml:space="preserve">užtikrinti skubų narkotinės abstinencijos sindromo gydymą stacionare visiems besikreipiantiems dėl </w:t>
      </w:r>
      <w:r w:rsidRPr="00BE4CB1">
        <w:t xml:space="preserve">narkotikų vartojimo, reikėtų žymiai padidinti stacionarinių vietų skaičių. </w:t>
      </w:r>
      <w:r>
        <w:rPr>
          <w:spacing w:val="-1"/>
        </w:rPr>
        <w:t xml:space="preserve">Tačiau specialistų visuotinai pripažinta, kad priklausomybė nuo narkotikų yra lėtinė ir </w:t>
      </w:r>
      <w:r>
        <w:t xml:space="preserve">dažnai recidyvuojanti liga. </w:t>
      </w:r>
      <w:r w:rsidRPr="00BE4CB1">
        <w:t>Todėl tikslingas ilgalaikis tęstinis gydymas, ŽIV ir kitų infekcinių ligų bei recidyvų prevencija. Vien abstinencijos gydymas be tolimesnio gydymo nėra efektyvus.</w:t>
      </w:r>
      <w:r>
        <w:t xml:space="preserve"> Daugelyje Europos Sąjungos šalių iki 60 procentų švirkščiamųjų narkotikų vartotojų gydomi ambulatoriškai, kadangi gydymas užtrunka kelerius metus, o ambulatorinio gydymo kaštai yra mažesni.</w:t>
      </w:r>
    </w:p>
    <w:p w:rsidR="00A2543C" w:rsidRDefault="00A2543C" w:rsidP="00A2543C">
      <w:pPr>
        <w:shd w:val="clear" w:color="auto" w:fill="FFFFFF"/>
        <w:spacing w:line="274" w:lineRule="exact"/>
        <w:ind w:left="14" w:right="7" w:firstLine="1289"/>
        <w:jc w:val="both"/>
      </w:pPr>
      <w:r>
        <w:t xml:space="preserve">Priklausomybė nuo narkotinių medžiagų galėtų būti sėkmingai gydoma ambulatoriškai ne tik Vilniaus priklausomybės ligų centre, bet ir Vilniaus psichikos sveikatos centruose, </w:t>
      </w:r>
      <w:r w:rsidRPr="00BE4CB1">
        <w:t>jei būtų nustatytas Valstybinės ligonių kasos paslaugos įkainis, skatinantis įstaigas teikti šias paslaugas</w:t>
      </w:r>
      <w:r w:rsidRPr="00332224">
        <w:rPr>
          <w:b/>
        </w:rPr>
        <w:t>.</w:t>
      </w:r>
      <w:r>
        <w:rPr>
          <w:b/>
        </w:rPr>
        <w:t xml:space="preserve"> </w:t>
      </w:r>
      <w:r>
        <w:t xml:space="preserve">Siekdamas spręsti susidariusias problemas, Vilniaus priklausomybės ligų centras vykdė farmokoterapiją opioidioniais vaistiniais preparatais. Atlikto tyrimo duomenys rodo, kad pradėjus dalyvauti farmokoterapijoje opiodioniais vaistiniais preparatais padaugėjo asmenų, kurie </w:t>
      </w:r>
      <w:r>
        <w:rPr>
          <w:spacing w:val="-1"/>
        </w:rPr>
        <w:t xml:space="preserve">susirado darbą ir pradėjo dirbti. Tai liudija, kad farmokoterapiją opioidioniais vaistiniais preparatais </w:t>
      </w:r>
      <w:r>
        <w:t>padeda asmenų integracijai į darbo rinką ir visuomenę. Taip pat būtina atkreipti dėmesį kad asmenys po detoksikacijos Vilniaus priklausomybės ligų centre gali būti nukreipti socialinei - psichologinei reabilitacijai į bendruomenes, kurios finansuojamos iš ES lėšų.</w:t>
      </w:r>
    </w:p>
    <w:p w:rsidR="00A2543C" w:rsidRPr="00BE4CB1" w:rsidRDefault="00A2543C" w:rsidP="00A2543C">
      <w:pPr>
        <w:shd w:val="clear" w:color="auto" w:fill="FFFFFF"/>
        <w:spacing w:line="274" w:lineRule="exact"/>
        <w:ind w:left="7" w:firstLine="1282"/>
        <w:jc w:val="both"/>
      </w:pPr>
      <w:r>
        <w:t xml:space="preserve">Vilniaus priklausomybės ligų centras atliko tyrimą, kuriame domėtasi teisėsaugos ir sveikatos priežiūros įstaigų bendradarbiavimu ir jo veiksmingumu, sprendžiant opioidų vartotojų </w:t>
      </w:r>
      <w:r>
        <w:rPr>
          <w:spacing w:val="-1"/>
        </w:rPr>
        <w:t xml:space="preserve">problemas. Atliktame tyrime buvo nagrinėjama ir nusikalstamumo padėtis. </w:t>
      </w:r>
      <w:r w:rsidRPr="00BE4CB1">
        <w:rPr>
          <w:spacing w:val="-1"/>
        </w:rPr>
        <w:t xml:space="preserve">Tyrimų duomenys rodo, </w:t>
      </w:r>
      <w:r w:rsidRPr="00BE4CB1">
        <w:t>kad po gydymo nusikalstamumas labai sumažėjo.</w:t>
      </w:r>
    </w:p>
    <w:p w:rsidR="00A2543C" w:rsidRPr="00BE4CB1" w:rsidRDefault="00A2543C" w:rsidP="00A2543C">
      <w:pPr>
        <w:shd w:val="clear" w:color="auto" w:fill="FFFFFF"/>
        <w:spacing w:line="274" w:lineRule="exact"/>
        <w:ind w:left="7" w:right="14" w:firstLine="1289"/>
        <w:jc w:val="both"/>
      </w:pPr>
      <w:r w:rsidRPr="00BE4CB1">
        <w:t>Vilniaus romų taboro problemą galima spręsti iš esmės tik gerai koordinuojant priemones su teisėsaugos ir kitomis institucijomis, derinant visus prieinamus pagalbos ir gydymo būdus (ambulatorinį, stacionarinį, reabilitaciją) ir reikiamą socialinę - psichologinę pagalbą.</w:t>
      </w:r>
    </w:p>
    <w:p w:rsidR="00A2543C" w:rsidRDefault="00A2543C" w:rsidP="00A2543C">
      <w:pPr>
        <w:shd w:val="clear" w:color="auto" w:fill="FFFFFF"/>
        <w:spacing w:line="274" w:lineRule="exact"/>
        <w:ind w:right="14" w:firstLine="1296"/>
        <w:jc w:val="both"/>
      </w:pPr>
      <w:r>
        <w:t xml:space="preserve">2010 m. buvo pasirašyta ir vykdoma trišalė sutartis tarp Vilniaus miesto vyriausiojo </w:t>
      </w:r>
      <w:r>
        <w:rPr>
          <w:spacing w:val="-1"/>
        </w:rPr>
        <w:t xml:space="preserve">policijos komisariato ir Narkotikų kontrolės departamento prie Lietuvos Respublikos Vyriausybės ir </w:t>
      </w:r>
      <w:r>
        <w:t xml:space="preserve">Vilniaus priklausomybės ligų centro parodė, kad tik koordinuotos priemonės gali būti efektyvios. Sutarties tikslas - pagal kompetenciją stiprinti ir plėsti tarpusavio bendradarbiavimą įgyvendinant su romu taboru susijusias narkomanijos problemas. Įgyvendinant sutartį Vilniaus </w:t>
      </w:r>
      <w:r w:rsidRPr="00260CCA">
        <w:t xml:space="preserve">II </w:t>
      </w:r>
      <w:r>
        <w:t xml:space="preserve">policijos komisariato pareigūnai, intensyviai patruliuodami Vilniaus romų tabore ir jo apylinkėse, informuodavo asmenis, vartojančius narkotines ir psichotropines medžiagas, apie galimybę gydytis Vilniaus priklausomybės ligų centre. </w:t>
      </w:r>
      <w:r>
        <w:rPr>
          <w:spacing w:val="-1"/>
        </w:rPr>
        <w:t xml:space="preserve">Taigi konkretūs ir gerai koordinuojami bendradarbiavimo veiksmai tarp teisėsaugos ir </w:t>
      </w:r>
      <w:r>
        <w:t xml:space="preserve">sveikatos priežiūros institucijų gali būti itin reikšmingi, sprendžiant sudėtingas situacijas, kur </w:t>
      </w:r>
      <w:r>
        <w:lastRenderedPageBreak/>
        <w:t>narkotikų vartojimas paplitęs ir persipynęs su rimtomis teisinėmis, socialinėmis, visuomenės ir asmens sveikatos problemomis.</w:t>
      </w:r>
    </w:p>
    <w:p w:rsidR="00A2543C" w:rsidRDefault="00A2543C" w:rsidP="00A2543C">
      <w:pPr>
        <w:framePr w:h="986" w:hSpace="36" w:wrap="auto" w:vAnchor="text" w:hAnchor="text" w:x="4443" w:y="109"/>
      </w:pPr>
    </w:p>
    <w:p w:rsidR="00A2543C" w:rsidRDefault="00A2543C" w:rsidP="00A2543C">
      <w:pPr>
        <w:ind w:firstLine="720"/>
        <w:jc w:val="both"/>
      </w:pPr>
      <w:r>
        <w:t>Šiai dienai nėra lengva įdarbinti žmones ir neturinčius priklausomybės nuo narkotikų, o tuo labiau sunku įdarbinti yra priklausomybės ligomis sergančiuosius. Vilniaus m. salotų bare „Mano Guru“ įdarbinami žmonės po gydymosi priklausomybės ligomis, taip pat yra privačių iniciatyvų įdarbinti tokius žmones, procesas vyksta pamažu.</w:t>
      </w:r>
    </w:p>
    <w:p w:rsidR="00A2543C" w:rsidRDefault="00A2543C" w:rsidP="00A2543C">
      <w:pPr>
        <w:ind w:firstLine="720"/>
        <w:jc w:val="both"/>
      </w:pPr>
      <w:r>
        <w:t xml:space="preserve">Komisijos pirmininkė V. V. Margevičienė Komisijos posėdyje priminė, kad 2010 m. balandžio 27 d. Vilniaus apskrities vyriausiojo policijos komisariato viršininko Kęstučio Lančinsko įsakymu Nr. 10-V-259 buvo sudaryta tarpinstitucinė darbo grupė, siekiant efektyviau organizuoti Vilniaus apskrities vyriausiojo policijos komisariato veiklą, sprendžiant narkomanijos problemas ir gerinti bendradarbiavimą su kitomis valstybės institucijomis šioje srityje. Pažymėjo, jog šios darbo grupės sudėtyje yra Virginijus Dastikas, Vilniaus miesto savivaldybės administracijos direktoriaus pavaduotojas, teiravosi ar savivaldybės tarybos nariai žino apie šios darbo grupės veiklą, ar administracijos direktoriaus pavaduotojas informuoja apie darbo grupės veiksmus. Priminė apie jau įvykusį Narkomanijos ir alkoholizmo prevencijos komisijos (toliau – Komisija) išvažiuojamąjį posėdį į romų taborą Kirtimuose, Vilniuje, pasakojo, jog vaikai, pamokų metu, buvo rasti miegantys lovose, kad VšĮ Romų visuomenės centras buvo uždarytas ir tuščias. Akcentavo, kad Komisijos posėdžio metu buvo ir policijos atstovai, buvo žadėta sutvarkyti aplinką, elektros kabelius, bet praėjus metams laiko niekas nebuvo padaryta. Todėl kyla klausimas, ką veikia minėta darbo grupė, nes praėjus dviem metams, niekas nesutvarkyta. Teiravosi, ką galima būtų bendromis jėgomis padaryti. Paminėjo, jog yra gautas Socialinės apsaugos ir darbo viceministro pasirašytas raštas dėl informacijos apie vykdomus projektus, skirtus Lietuvos romams, pagal kuriuos bus skiriama 2 milijonų litų suma, tačiau aplinka vis tiek liks nesutvarkyta. </w:t>
      </w:r>
    </w:p>
    <w:p w:rsidR="00A2543C" w:rsidRDefault="00A2543C" w:rsidP="00A2543C">
      <w:pPr>
        <w:spacing w:before="40" w:after="40"/>
        <w:ind w:firstLine="567"/>
        <w:jc w:val="both"/>
      </w:pPr>
      <w:r>
        <w:t>Komisijos narys G. Songaila minėjo faktą, jog VšĮ Romų visuomenės centro mokytojai dar nėra gavę atlyginimo už  3 šių metų mėnesius.</w:t>
      </w:r>
      <w:r w:rsidRPr="006B414B">
        <w:t xml:space="preserve"> </w:t>
      </w:r>
      <w:r>
        <w:t>Patikslino, kad niekas iš VšĮ Romų visuomenės centro darbuotojų iki šiol nėra gavę atlyginimo ir taip vyksta kasmet, jau tris metus.</w:t>
      </w:r>
    </w:p>
    <w:p w:rsidR="00A2543C" w:rsidRDefault="00A2543C" w:rsidP="00A2543C">
      <w:pPr>
        <w:spacing w:before="40" w:after="40"/>
        <w:ind w:firstLine="567"/>
        <w:jc w:val="both"/>
      </w:pPr>
      <w:r>
        <w:t>Vilniaus miesto savivaldybės Socialinių reikalų ir sveikatos departamento direktoriaus pavaduotoja Rasa Laiconienė posėdyje pasakojo, kad dar vis yra ieškoma būdų, kurie būtų veiksmingi ir naudingi romų šeimoms ir padėtų jiems išgyventi ar ugdytis darbinius įgūdžius. Minėjo, kad romų taboro žmonės bei Kalvarijos gatvėje gyvenantys romai jau yra dalyvavę dvejuose projektuose, kurių tikslas ir buvo suteikti darbinių įgūdžių, išmokyti tam tikrų specialybių, o galutinis rezultatas yra įdarbinimas. Galima konstatuoti, kad šie projektai nebuvo labai sėkmingi, nes užsibrėžtų rezultatų nebuvo pasiekta.</w:t>
      </w:r>
      <w:r w:rsidRPr="00EC69B2">
        <w:t xml:space="preserve"> </w:t>
      </w:r>
      <w:r>
        <w:t>Koordinuotas ir kryptingas socialinis darbas su šeimomis romų tabore vyksta nuo 2010 m., kuomet buvo paskirtas vienas socialinis darbuotojas, jų patikėtinis, o kitas socialinis darbuotojas yra Naujininkų seniūnijoje, kuris teikia bendrąsias informavimo, konsultavimo paslaugas. Visos romų šeimos, kurios turi gauti socialinę paramą, ją gauna. Socialinė parama romams sudaro beveik 1 mln. litų: 2011 m. duomenimis romų šeimoms yra išmokėta daugiau negu 624 tūkstančiai litų</w:t>
      </w:r>
      <w:r w:rsidRPr="001247DB">
        <w:t xml:space="preserve"> </w:t>
      </w:r>
      <w:r>
        <w:t>socialinių pašalpų, t.y. jas gauna daugiau kaip 100 romų šeimų, daugiau kaip 300 žmonių. Daugiau negu 98 tūkstančiai litų per metus sudaro išmokos vaikui, neįgalieji romų tautybės žmonės taip pat nėra diskriminuojami, jiems išmokama apie 170 tūkstančių litų per metus. Minėjo, jog buvo susitikę su J. Tyčina, aptarti, kaip miestas toliau bendradarbiaus su Lietuvos čigonų bendrija „Čigonų laužas“, kuri gauna paramą naujam projektui įgyvendinti, J. Tyčinos buvo išsakytas pastebėjimas, kad ugdymas VšĮ Romų visuomenės centre jiems nėra tinkamas, pageidaujama, kad tai būtų integruota į miesto pradinio ugdymo mokyklas, romai taip pat konstatuoja vaikų diskriminaciją mokyklose ir tai nurodo kaip vaikų mokyklos nelankymo priežastį. Pasakojo, kad 28 vaikams per praėjusius metus suteikta laikina globa, kaip likusiems be įstatyminio globėjo, tačiau tie vaikai lanko mokyklas.</w:t>
      </w:r>
    </w:p>
    <w:p w:rsidR="00A2543C" w:rsidRDefault="00A2543C" w:rsidP="00A2543C">
      <w:pPr>
        <w:spacing w:before="40" w:after="40"/>
        <w:ind w:firstLine="567"/>
        <w:jc w:val="both"/>
      </w:pPr>
      <w:r>
        <w:t>Lietuvos čigonų bendrija „Čigonų laužas“ prezidentas Josif Tyčina Komisijos posėdyje teigė,  kad dėl nemokamų atlyginimų VšĮ Romų visuomenės centro darbuotojams, su savivaldybe nebendravo. Akcentavo, kad jau 5 metus nei viena institucija nebendrauja su romų tautybės žmones atstovaujančiais lyderiais, o siekia pačios įvesti tvarką. Jie, kaip bendruomenė, nėra gavę jokio finansavimo ir nežino, kur buvo panaudoti gauti pinigai. Romai nemato ateities, nes gyvena šia diena. Pasakojo, kad iš 115 šeimų, gyvenančių tabore, 67 šeimos nori likti gyventi tabore, kitos šeimos nori išsikelti. Sutvarkytas elektros kabelis neišspręs problemos.</w:t>
      </w:r>
      <w:r w:rsidRPr="0090423E">
        <w:t xml:space="preserve"> </w:t>
      </w:r>
      <w:r>
        <w:t>Romų taboro egzistavimas yra kažkam naudingas.</w:t>
      </w:r>
      <w:r w:rsidRPr="00E041C5">
        <w:t xml:space="preserve"> </w:t>
      </w:r>
      <w:r>
        <w:t>Norėjo sužinoti, kokie projektai jau buvo įgyvendinti.</w:t>
      </w:r>
      <w:r w:rsidRPr="0090423E">
        <w:t xml:space="preserve"> </w:t>
      </w:r>
      <w:r>
        <w:t xml:space="preserve">Naujas projektas apims mokymus, </w:t>
      </w:r>
      <w:r>
        <w:lastRenderedPageBreak/>
        <w:t>darbinę praktiką, kas padėtų įsijungti į darbo rinką. Komentavo, kad darbdaviai romų nenori priimti į darbą.</w:t>
      </w:r>
    </w:p>
    <w:p w:rsidR="00A2543C" w:rsidRDefault="00A2543C" w:rsidP="00A2543C">
      <w:pPr>
        <w:spacing w:before="40" w:after="40"/>
        <w:ind w:firstLine="567"/>
        <w:jc w:val="both"/>
      </w:pPr>
      <w:r>
        <w:t xml:space="preserve">Vilniaus miesto savivaldybės Socialinių reikalų ir sveikatos departamento vyriausioji specialistė Aušra Švilpienė pasakojo, kad romų taboro gyventojams ne vieną kartą jau buvo siūlomi socialiniai būstai, atlikus realią apklausą dėl norinčių išsikelti, tokių buvo likę tik 5 procentai. Pasakojo, kad ne kartą buvo kreiptasi į elektros tinklus, dėl nemokumo, tačiau savivaldybė negali bendrovės įtakoti, Vilniaus vandenys prižiūri vandens tikimą tabore, o jeigu nutraukia vandens tiekimą, visi įrenginiai yra išardomi, šių metų biudžete yra numatyti 57 tūkstančiai litų šiukšlių išvežimui iš romų taboro. </w:t>
      </w:r>
    </w:p>
    <w:p w:rsidR="00A2543C" w:rsidRDefault="00A2543C" w:rsidP="00A2543C">
      <w:pPr>
        <w:spacing w:before="40" w:after="40"/>
        <w:ind w:firstLine="567"/>
        <w:jc w:val="both"/>
      </w:pPr>
      <w:r>
        <w:t>Komisijos narys K. Uoka siūlė iš teisėsaugos institucijų reikalauti pinigų srauto tyrimo, nes yra aišku, kad didžioji pinigų dalis nepasilieka romų tabore, jo manymu pinigai nukeliauja į partijas, kurios yra  Vilniaus valdžioje.</w:t>
      </w:r>
    </w:p>
    <w:p w:rsidR="00A2543C" w:rsidRDefault="00A2543C" w:rsidP="00A2543C">
      <w:pPr>
        <w:spacing w:before="40" w:after="40"/>
        <w:ind w:firstLine="567"/>
        <w:jc w:val="both"/>
      </w:pPr>
      <w:r>
        <w:t xml:space="preserve">Vilniaus miesto savivaldybės Sveikatos komiteto pirmininkė Vitalija Kliukienė papildomai pateikė informaciją dėl nemokamų atlyginimų VšĮ Romų visuomenės centro darbuotojams, minėjo, kad balandžio 4 d. buvo pervesti pinigai, o pinigų nemokėjimo laiku priežastis buvo iš VšĮ Romų visuomenės centro pusės, nes nebuvo laiku pateikti dokumentai, pasirašyta sutartis. </w:t>
      </w:r>
    </w:p>
    <w:p w:rsidR="00A2543C" w:rsidRPr="00BE4CB1" w:rsidRDefault="00A2543C" w:rsidP="00A2543C">
      <w:pPr>
        <w:spacing w:before="40" w:after="40"/>
        <w:ind w:firstLine="567"/>
        <w:jc w:val="both"/>
      </w:pPr>
      <w:r w:rsidRPr="00BE4CB1">
        <w:t>Komisija bendru sutarimu nutarė surengti išvažiuojamąjį Komisijos posėdį į Vilniaus miesto savivaldybę, kurio metu būtų svarstomas klausimas dėl padėties romų tabore, Kirtimuose, Vilniuje.</w:t>
      </w:r>
    </w:p>
    <w:p w:rsidR="00A2543C" w:rsidRPr="004D159D" w:rsidRDefault="00A2543C" w:rsidP="00A2543C">
      <w:pPr>
        <w:ind w:firstLine="567"/>
        <w:jc w:val="both"/>
      </w:pPr>
      <w:r>
        <w:rPr>
          <w:bCs/>
          <w:szCs w:val="20"/>
        </w:rPr>
        <w:t xml:space="preserve">Komisija </w:t>
      </w:r>
      <w:r w:rsidRPr="00A03B5A">
        <w:rPr>
          <w:bCs/>
          <w:szCs w:val="20"/>
        </w:rPr>
        <w:t>2012-04-04</w:t>
      </w:r>
      <w:r>
        <w:rPr>
          <w:bCs/>
          <w:szCs w:val="20"/>
        </w:rPr>
        <w:t xml:space="preserve"> raštu Nr. S-2012- 2637 kreipėsi į Nacionalinės teismų administracija su prašymu pateikti apibendrintą informaciją, </w:t>
      </w:r>
      <w:r>
        <w:t xml:space="preserve">kiek 2011 metais ir 2012 metais asmenų (vyrų ir moterų), registruotų romų tabore Kirtimuose, Vilniuje ir lygtinai paleistų iš pataisos įstaigų darbingų nuteistųjų, </w:t>
      </w:r>
      <w:r>
        <w:rPr>
          <w:sz w:val="22"/>
          <w:szCs w:val="22"/>
        </w:rPr>
        <w:t xml:space="preserve">kurie vengė dirbti arba sistemingai pažeidinėjo ar itin piktybiškai pažeidė darbo drausmę, taip pat pažeidinėjo viešąją tvarką arba jam nustatytas pareigas, teismo nutartimi buvo siunčiami į pataisos įstaigą atlikti likusią laisvės atėmimo bausmės dalį. </w:t>
      </w:r>
    </w:p>
    <w:p w:rsidR="00A2543C" w:rsidRDefault="00A2543C" w:rsidP="00A2543C">
      <w:pPr>
        <w:jc w:val="both"/>
        <w:rPr>
          <w:bCs/>
        </w:rPr>
      </w:pPr>
      <w:r>
        <w:rPr>
          <w:bCs/>
          <w:szCs w:val="20"/>
        </w:rPr>
        <w:t xml:space="preserve"> </w:t>
      </w:r>
      <w:r>
        <w:rPr>
          <w:bCs/>
          <w:szCs w:val="20"/>
        </w:rPr>
        <w:tab/>
        <w:t xml:space="preserve">Komisija nurodė, kad </w:t>
      </w:r>
      <w:r>
        <w:t xml:space="preserve">nagrinėja narkomanijos prevencijos ir narkotikų užkardymo romų tabore Kirtimuose, Vilniuje klausimus ir nustatė, kad tabore </w:t>
      </w:r>
      <w:r>
        <w:rPr>
          <w:bCs/>
        </w:rPr>
        <w:t xml:space="preserve">gyvena 495 asmenys, iš jų 205 vaikai. Dauguma tabore gyvenančių asmenų yra teisti. 2011 metais policija vykdė tabore 79 prevencines priemones. 2011 metais  tabore buvo sulaikyti 1700 asmenų, iš jų, 1427 asmenims surašyti administraciniai protokolai, 159 asmenims pradėti ikiteisminiai tyrimai pagal LR BK 259 str.  ir 40 asmenims pradėti ikiteisminiai tyrimai pagal LR BK 260 str. </w:t>
      </w:r>
    </w:p>
    <w:p w:rsidR="00A2543C" w:rsidRDefault="00A2543C" w:rsidP="00A2543C">
      <w:pPr>
        <w:jc w:val="both"/>
        <w:rPr>
          <w:bCs/>
        </w:rPr>
      </w:pPr>
      <w:r>
        <w:rPr>
          <w:bCs/>
        </w:rPr>
        <w:tab/>
        <w:t>Policijai atlikusi analizę nustatė, kad 2011 metais  iš  planuojamų paleisti iš laisvės atėmimo vietų  17 asmenų (iš jų 80 proc. sudaro moterys ir 20 proc. vyrai), kurie atlieka bausmę už neteisėtą narkotinių ir psichotropinių medžiagų apyvartą romų tabore Kirtimuose, tik 3 asmenys buvo ankščiau neteisti, kiti asmenys teisti nuo 1 iki 6 kartų už įvairius nusikaltimus, tame tarpe ir už neteisėtą narkotinių ir psichotropinių medžiagų apyvartą.</w:t>
      </w:r>
    </w:p>
    <w:p w:rsidR="00A2543C" w:rsidRPr="00A03B5A" w:rsidRDefault="00A2543C" w:rsidP="00A2543C">
      <w:pPr>
        <w:ind w:firstLine="720"/>
        <w:jc w:val="both"/>
      </w:pPr>
      <w:r w:rsidRPr="00A03B5A">
        <w:t>Komisija nurodė, kad teismas, lygtinai paleisdamas nuteistąjį iš pataisos įstaigos, nustato vieną arba kelias iš šių pareigų:</w:t>
      </w:r>
    </w:p>
    <w:p w:rsidR="00A2543C" w:rsidRPr="00A03B5A" w:rsidRDefault="00A2543C" w:rsidP="00A2543C">
      <w:pPr>
        <w:ind w:firstLine="720"/>
        <w:jc w:val="both"/>
      </w:pPr>
      <w:r w:rsidRPr="00A03B5A">
        <w:t>1) draudimą išeiti iš namų tam tikru laiku, jei tai nesusiję su darbu;</w:t>
      </w:r>
    </w:p>
    <w:p w:rsidR="00A2543C" w:rsidRPr="00A03B5A" w:rsidRDefault="00A2543C" w:rsidP="00A2543C">
      <w:pPr>
        <w:ind w:firstLine="720"/>
        <w:jc w:val="both"/>
        <w:rPr>
          <w:lang w:val="en-US"/>
        </w:rPr>
      </w:pPr>
      <w:r w:rsidRPr="00A03B5A">
        <w:t>2) draudimą lankytis tam tikrose vietose, jei tai nesusiję su darbu;</w:t>
      </w:r>
    </w:p>
    <w:p w:rsidR="00A2543C" w:rsidRPr="00A03B5A" w:rsidRDefault="00A2543C" w:rsidP="00A2543C">
      <w:pPr>
        <w:ind w:firstLine="720"/>
        <w:jc w:val="both"/>
        <w:rPr>
          <w:lang w:val="en-US"/>
        </w:rPr>
      </w:pPr>
      <w:r w:rsidRPr="00A03B5A">
        <w:t>3) draudimą išvykti ilgiau kaip septynioms paroms už gyvenamosios vietos rajono ribų be leidimo;</w:t>
      </w:r>
    </w:p>
    <w:p w:rsidR="00A2543C" w:rsidRPr="00A03B5A" w:rsidRDefault="00A2543C" w:rsidP="00A2543C">
      <w:pPr>
        <w:ind w:firstLine="720"/>
        <w:jc w:val="both"/>
        <w:rPr>
          <w:lang w:val="en-US"/>
        </w:rPr>
      </w:pPr>
      <w:r w:rsidRPr="00A03B5A">
        <w:t>4) pareigą registruotis pataisos inspekcijoje nuo vieno iki keturių kartų per mėnesį;</w:t>
      </w:r>
    </w:p>
    <w:p w:rsidR="00A2543C" w:rsidRPr="00A03B5A" w:rsidRDefault="00A2543C" w:rsidP="00A2543C">
      <w:pPr>
        <w:ind w:firstLine="720"/>
        <w:jc w:val="both"/>
        <w:rPr>
          <w:lang w:val="en-US"/>
        </w:rPr>
      </w:pPr>
      <w:r w:rsidRPr="00A03B5A">
        <w:t>5) pareigą gydytis nuo alkoholizmo, narkomanijos, toksikomanijos ar venerinės ligos, jei lygtinai paleidžiamas asmuo sutinka.</w:t>
      </w:r>
    </w:p>
    <w:p w:rsidR="00A2543C" w:rsidRPr="00A03B5A" w:rsidRDefault="00A2543C" w:rsidP="00A2543C">
      <w:pPr>
        <w:jc w:val="both"/>
      </w:pPr>
      <w:r w:rsidRPr="00A03B5A">
        <w:tab/>
        <w:t xml:space="preserve">Komisija paprašė savo kompetencijos ribose apibendrinti informaciją, kiek 2011 metais ir 2012 metais asmenų (vyrų ir moterų), registruotų romų tabore Kirtimuose, Vilniuje ir nuteistų laisvės atėmimu, pagal bausmę vykdančios institucijos teikimą, apylinkės teismų  buvo lygtinai paleisti iš pataisos įstaigų; kiek kartų šie asmenys ankščiau buvo teisti.  </w:t>
      </w:r>
    </w:p>
    <w:p w:rsidR="00A2543C" w:rsidRPr="00A03B5A" w:rsidRDefault="00A2543C" w:rsidP="00A2543C">
      <w:r w:rsidRPr="00A03B5A">
        <w:tab/>
        <w:t>Kartu Komisija paprašė pateikti savo kompetencijos ribose apibendrintą informaciją, kiek 2011 metais ir 2012 metais asmenų (vyrų ir moterų), registruotų romų tabore Kirtimuose, Vilniuje ir lygtinai paleistų iš pataisos įstaigų gavo teismo įpareigojimus:</w:t>
      </w:r>
    </w:p>
    <w:p w:rsidR="00A2543C" w:rsidRPr="00A03B5A" w:rsidRDefault="00A2543C" w:rsidP="00A2543C">
      <w:pPr>
        <w:ind w:firstLine="720"/>
        <w:jc w:val="both"/>
      </w:pPr>
      <w:r w:rsidRPr="00A03B5A">
        <w:t>draudimą išeiti iš namų tam tikru laiku, jei tai nesusiję su darbu;</w:t>
      </w:r>
    </w:p>
    <w:p w:rsidR="00A2543C" w:rsidRPr="00A03B5A" w:rsidRDefault="00A2543C" w:rsidP="00A2543C">
      <w:pPr>
        <w:ind w:firstLine="720"/>
        <w:jc w:val="both"/>
        <w:rPr>
          <w:lang w:val="en-US"/>
        </w:rPr>
      </w:pPr>
      <w:r w:rsidRPr="00A03B5A">
        <w:t xml:space="preserve"> draudimą lankytis tam tikrose vietose, jei tai nesusiję su darbu;</w:t>
      </w:r>
    </w:p>
    <w:p w:rsidR="00A2543C" w:rsidRPr="00A03B5A" w:rsidRDefault="00A2543C" w:rsidP="00A2543C">
      <w:pPr>
        <w:ind w:firstLine="720"/>
        <w:jc w:val="both"/>
        <w:rPr>
          <w:lang w:val="en-US"/>
        </w:rPr>
      </w:pPr>
      <w:r w:rsidRPr="00A03B5A">
        <w:t xml:space="preserve"> draudimą išvykti ilgiau kaip septynioms paroms už gyvenamosios vietos rajono ribų be leidimo;</w:t>
      </w:r>
    </w:p>
    <w:p w:rsidR="00A2543C" w:rsidRPr="00A03B5A" w:rsidRDefault="00A2543C" w:rsidP="00A2543C">
      <w:pPr>
        <w:ind w:firstLine="720"/>
        <w:jc w:val="both"/>
        <w:rPr>
          <w:lang w:val="en-US"/>
        </w:rPr>
      </w:pPr>
      <w:r w:rsidRPr="00A03B5A">
        <w:t>pareigą registruotis pataisos inspekcijoje nuo vieno iki keturių kartų per mėnesį;</w:t>
      </w:r>
    </w:p>
    <w:p w:rsidR="00A2543C" w:rsidRPr="00A03B5A" w:rsidRDefault="00A2543C" w:rsidP="00A2543C">
      <w:pPr>
        <w:ind w:firstLine="720"/>
        <w:jc w:val="both"/>
      </w:pPr>
      <w:r w:rsidRPr="00A03B5A">
        <w:lastRenderedPageBreak/>
        <w:t xml:space="preserve"> pareigą gydytis nuo alkoholizmo, narkomanijos, toksikomanijos ar venerinės ligos, jei lygtinai paleidžiamas asmuo sutinka.</w:t>
      </w:r>
    </w:p>
    <w:p w:rsidR="00A2543C" w:rsidRPr="00A03B5A" w:rsidRDefault="00A2543C" w:rsidP="00A2543C">
      <w:pPr>
        <w:ind w:firstLine="720"/>
        <w:jc w:val="both"/>
      </w:pPr>
      <w:r w:rsidRPr="00A03B5A">
        <w:t xml:space="preserve">Lygtinai paleistas iš pataisos įstaigos darbingas nuteistasis, kuris vengia dirbti arba sistemingai pažeidinėja ar itin piktybiškai pažeidžia darbo drausmę, taip pat pažeidinėja viešąją tvarką arba jam nustatytas pareigas, teismo nutartimi siunčiamas į pataisos įstaigą atlikti likusią laisvės atėmimo bausmės dalį. </w:t>
      </w:r>
    </w:p>
    <w:p w:rsidR="00A2543C" w:rsidRDefault="00A2543C" w:rsidP="00A2543C">
      <w:pPr>
        <w:spacing w:before="40" w:after="40"/>
        <w:jc w:val="both"/>
        <w:rPr>
          <w:bCs/>
        </w:rPr>
      </w:pPr>
      <w:r>
        <w:tab/>
        <w:t xml:space="preserve">Komisija </w:t>
      </w:r>
      <w:r w:rsidRPr="00A03B5A">
        <w:t>2012-04-17</w:t>
      </w:r>
      <w:r>
        <w:t xml:space="preserve"> raštu Nr. S-2012-2979 „Dėl informacijos pateikimo“ kreipėsi į Finansinių nusikaltimų tyrimo tarnybą prie VRM nurodydama, jog Komisijoje gauta informacija, kad </w:t>
      </w:r>
      <w:r>
        <w:rPr>
          <w:bCs/>
        </w:rPr>
        <w:t xml:space="preserve">Vilniaus apskrities vyriausiojo policijos komisariato pareigūnai  2011 metais  </w:t>
      </w:r>
      <w:r>
        <w:t>romų tabore, Kirtimuose, Vilniuje</w:t>
      </w:r>
      <w:r>
        <w:rPr>
          <w:bCs/>
        </w:rPr>
        <w:t xml:space="preserve"> sulaikę apie 1700 asmenų ir, kad 1427 asmenims surašyti administraciniai pažeidimų protokolai, 159 asmenims pradėti ikiteisminiai tyrimai pagal LR BK 259 str.  ir 40 asmenims pradėti ikiteisminiai tyrimai pagal LR BK 260 str.  Policija atliko analizę ir nustatė, kad  2011 metais iš 17 planuojamų paleisti iš laisvės atėmimo vietų  asmenų, kurie atlieka bausmę už neteisėtą narkotikų apyvartą romų tabore, Kirtimuose, tik 3 asmenys ankščiau neteisti, kiti teisti nuo 1 iki 6 kartų už įvairius nusikaltimus, tame tarpe ir už narkotikus. </w:t>
      </w:r>
      <w:r>
        <w:rPr>
          <w:bCs/>
        </w:rPr>
        <w:tab/>
        <w:t xml:space="preserve">Iš to daroma išvada, kad tabore neteisėta prekyba narkotinėmis medžiagomis vyksta nuolat, tačiau, daugelis vaikų gyvena antisanitarinėmis sąlygomis, daug namų neturi elektros arba  už elektrą neatsiskaito. Padaugėjo romų tautybės asmenų, gyvenančių romų tabore, Kirtimuose,  vagiliavimo atvejų.  </w:t>
      </w:r>
    </w:p>
    <w:p w:rsidR="00A2543C" w:rsidRDefault="00A2543C" w:rsidP="00A2543C">
      <w:pPr>
        <w:jc w:val="both"/>
        <w:rPr>
          <w:bCs/>
        </w:rPr>
      </w:pPr>
      <w:r>
        <w:rPr>
          <w:bCs/>
        </w:rPr>
        <w:tab/>
        <w:t xml:space="preserve">Komisijoje gauta informacija, kad 2011 metais Vilniaus miesto gyventojams – romams suteikta beveik 1 mln. lt socialinė parama, iš jų: išmokėta  624 tūkst. Lt socialinių pašalpų, 98 tūkst. Lt sudarė išmokos vaikams ir 170 tūkst. Lt išmokėtos pašalpos dėl negalios.  </w:t>
      </w:r>
    </w:p>
    <w:p w:rsidR="00A2543C" w:rsidRDefault="00A2543C" w:rsidP="00A2543C">
      <w:pPr>
        <w:jc w:val="both"/>
        <w:rPr>
          <w:bCs/>
          <w:szCs w:val="20"/>
        </w:rPr>
      </w:pPr>
      <w:r>
        <w:rPr>
          <w:bCs/>
        </w:rPr>
        <w:t xml:space="preserve"> </w:t>
      </w:r>
      <w:r>
        <w:tab/>
        <w:t xml:space="preserve">Komisija paprašė pateikti informaciją, ar </w:t>
      </w:r>
      <w:r>
        <w:rPr>
          <w:bCs/>
          <w:szCs w:val="20"/>
        </w:rPr>
        <w:t>Finansinių nusikaltimų tyrimų tarnyba</w:t>
      </w:r>
      <w:r w:rsidRPr="00E55DA0">
        <w:rPr>
          <w:bCs/>
          <w:szCs w:val="20"/>
        </w:rPr>
        <w:t xml:space="preserve"> </w:t>
      </w:r>
      <w:r>
        <w:rPr>
          <w:bCs/>
          <w:szCs w:val="20"/>
        </w:rPr>
        <w:t xml:space="preserve">prie Vidaus reikalų ministerijos tyrė finansinius srautus gautus už neteisėtą narkotinių medžiagų prekybą </w:t>
      </w:r>
      <w:r>
        <w:t xml:space="preserve">romų tabore, Kirtimuose, Vilniuje ir kokie buvo  priimti sprendimai. </w:t>
      </w:r>
    </w:p>
    <w:p w:rsidR="00A2543C" w:rsidRDefault="00A2543C" w:rsidP="00A2543C">
      <w:pPr>
        <w:jc w:val="both"/>
      </w:pPr>
      <w:r>
        <w:tab/>
        <w:t xml:space="preserve">Finansinių nusikaltimų tyrimo tarnyba prie VRM </w:t>
      </w:r>
      <w:r w:rsidRPr="00A03B5A">
        <w:t xml:space="preserve">2012-04-24 </w:t>
      </w:r>
      <w:r>
        <w:t xml:space="preserve">raštu Nr.25/3-1-1-9418 atsakė, kad pagal Lietuvos Respublikos generalinio prokuroro rekomendacija, kurios yra privalomos ikiteisminio tyrimo institucijoms, tarnybai nepriskirta atlikti ikiteisminius tyrimus pagal požymius nusikalstamų veikų, nustatytų LR BK 259 str. („Neteisėtas disponavimas narkotinėmis ar psichotropinėmis medžiagomis be tikslo jas platinti“) ir 260 str. („Neteisėtas disponavimas narkotinėmis ar psichotropinėmis medžiagomis turint tikslą jas platinti arba neteisėtas disponavimas dideliu narkotinių ar psichotropinių medžiagų kiekiu“). Šių nusikalstamų veikų tyrimą atlieka policija, kaip universali ikiteisminio tyrimo institucija. </w:t>
      </w:r>
    </w:p>
    <w:p w:rsidR="00A2543C" w:rsidRPr="00EA7C38" w:rsidRDefault="00A2543C" w:rsidP="00A2543C">
      <w:pPr>
        <w:jc w:val="both"/>
      </w:pPr>
      <w:r>
        <w:tab/>
        <w:t xml:space="preserve">2011 m. Finansinių nusikaltimų tyrimo tarnybos prie VRM Pinigų plovimo prevencijos skyrius iš kitų institucijų, tarp jų ir policijos, dėl informacijos pateikimo buvo gavęs 42 paklausimus, tačiau, tarnyba nedisponuoja informacija, ar šie paklausimai galėjo būti tiesiogiai susiję su ankščiau minėtų nusikalstamų veikų tyrimu. </w:t>
      </w:r>
      <w:r>
        <w:tab/>
      </w:r>
      <w:r>
        <w:tab/>
      </w:r>
      <w:r w:rsidRPr="00EA7C38">
        <w:t xml:space="preserve"> Nacionalinė teismų administracija </w:t>
      </w:r>
      <w:r w:rsidRPr="00A03B5A">
        <w:t>2012-04-30</w:t>
      </w:r>
      <w:r w:rsidRPr="00BE4CB1">
        <w:rPr>
          <w:b/>
        </w:rPr>
        <w:t xml:space="preserve"> </w:t>
      </w:r>
      <w:r w:rsidRPr="00EA7C38">
        <w:t>raštu Nr. 412-894-(6.9) „Dėl apibendrintos informacijos pateikimo“ apie tai, kiek 2011 metais ir 2012 metais asmenų (vyrų ir moterų), registruotų romų tabore Kirtimuose, Vilniuje ir lygtinai paleistų iš pataisos įstaigų darbingų nuteistųjų, kurie vengė dirbti arba sistemingai pažeidinėjo ar itin piktybiškai pažeidė darbo drausmę, taip pat pažeidinėjo viešąją tvarką arba jam nustatytas pareigas, teismo nutartimi buvo siunčiami į pataisos įstaigą atlikti likusią laisvės atėmimo bausmės dalį, atsakė, kad Lietuvos teismų informacinėje sistemoje LITEKO (toliau-LITEKO) duomenys nėra sisteminami pagal kaltinamųjų ar nuteistųjų gyvenamąją ar registracijos vietą arba miesto dalį, kurioje jie gyvena ar yra registruoti. LITEKO duomenimis, 2011-2012 metais (iki 2012 m. balandžio 23 d.) Vilniaus miesto ir rajono apylinkių teismai iš pataisos įstaigų lygtinai nepaleido nė vieno romų tautybės asmens. 20111-2012 metais šalies teismuose buvo nagrinėtas 33 bylos, kuriose kaltinamieji arba nuteistieji asmenys buvo romų tautybės. Iš 33 bylų, po vieną bylą buvo nagrinėjama Vilniaus miesto 1</w:t>
      </w:r>
      <w:r>
        <w:t xml:space="preserve"> </w:t>
      </w:r>
      <w:r w:rsidRPr="00EA7C38">
        <w:t xml:space="preserve">ir 3, Joniškio, Kaišiadorių, Kėdainių, Prienų, Ukmergės rajonų </w:t>
      </w:r>
      <w:r>
        <w:t>apylinkių teismuose ir Šiaulių apygardos teisme, po 2 bylas – Kauno ir Druskininkų miestų, Marijampolės ir Jonavos rajonų apylinkių teismuose bei Vilniaus ir Panevėžio apygardų teismuose, 5 bylos- Panevėžio apylinkių teisme, 8 bylos – Alytaus rajono</w:t>
      </w:r>
      <w:r w:rsidRPr="0056652B">
        <w:t xml:space="preserve"> </w:t>
      </w:r>
      <w:r>
        <w:t xml:space="preserve">apylinkės teisme. Šešiolikoje iš minėtų bylų kaltinamieji yra nuteistieji vyrai, septyniolikoje – moterys.  </w:t>
      </w:r>
      <w:r w:rsidRPr="00EA7C38">
        <w:t xml:space="preserve">     </w:t>
      </w:r>
    </w:p>
    <w:p w:rsidR="00A2543C" w:rsidRDefault="00A2543C" w:rsidP="00A2543C">
      <w:pPr>
        <w:jc w:val="both"/>
      </w:pPr>
      <w:r w:rsidRPr="00EA7C38">
        <w:t xml:space="preserve"> </w:t>
      </w:r>
      <w:r>
        <w:tab/>
        <w:t>2012-05-09 vyko Komisijos išvažiuojamasis posėdis Vilniaus miesto savivaldybėje. Priimtas sprendimas.</w:t>
      </w:r>
    </w:p>
    <w:p w:rsidR="00A2543C" w:rsidRDefault="00A2543C" w:rsidP="00A2543C">
      <w:pPr>
        <w:ind w:firstLine="1296"/>
        <w:jc w:val="both"/>
      </w:pPr>
      <w:r>
        <w:t xml:space="preserve">Komisija </w:t>
      </w:r>
      <w:r w:rsidRPr="00A63445">
        <w:rPr>
          <w:b/>
          <w:bCs/>
          <w:szCs w:val="20"/>
        </w:rPr>
        <w:t>2012-05-15</w:t>
      </w:r>
      <w:r>
        <w:rPr>
          <w:bCs/>
          <w:szCs w:val="20"/>
        </w:rPr>
        <w:t xml:space="preserve"> raštu  Nr. S-2012-4008 „ Dėl padėties romų tabore, Kirtimuose, Vilniuje priimto sprendimo“ kreipėsi į </w:t>
      </w:r>
      <w:r>
        <w:t xml:space="preserve">Lietuvos Respublikos Vyriausybę. </w:t>
      </w:r>
    </w:p>
    <w:p w:rsidR="00A2543C" w:rsidRPr="00C85C59" w:rsidRDefault="00A2543C" w:rsidP="00A2543C">
      <w:pPr>
        <w:ind w:firstLine="1296"/>
        <w:jc w:val="both"/>
        <w:rPr>
          <w:bCs/>
          <w:szCs w:val="20"/>
        </w:rPr>
      </w:pPr>
      <w:r>
        <w:lastRenderedPageBreak/>
        <w:t xml:space="preserve">Komisija Vyriausybę informavo, kad š.m. gegužės 9 d. svarstė dėl padėties romų tabore, Kirtimuose, Vilniuje (toliau– Taboras) klausimą ir priėmė sprendimą. </w:t>
      </w:r>
    </w:p>
    <w:p w:rsidR="00A2543C" w:rsidRDefault="00A2543C" w:rsidP="00A2543C">
      <w:pPr>
        <w:jc w:val="both"/>
      </w:pPr>
      <w:r>
        <w:tab/>
        <w:t xml:space="preserve">Komisijos sprendimas priimtas apibendrinus eilę metų rinktą ir nagrinėtą informaciją, dar kartą išklausius Vilniaus apskrities vyriausiojo policijos komisariato, Policijos departamento prie Vidaus reikalų ministerijos, Vidaus reikalų ministerijos, Sveikatos apsaugos ministerijos, Valstybinio psichikos sveikatos centro, AB „Lesto“, Narkotikų, tabako ir alkoholio kontrolės departamento ir Vilniaus miesto savivaldybės  atstovus, Vaiko teisių apsaugos kontrolierę ir kt.  </w:t>
      </w:r>
      <w:r>
        <w:tab/>
        <w:t xml:space="preserve">Vilniaus apskrities vyriausiojo policijos komisariato ir Kultūros ministerijos duomenimis, Taborą 2011 metais kaip gyvenamąją vietą deklaravę 500 romų tautybės asmenų, iš jų </w:t>
      </w:r>
      <w:r w:rsidRPr="00CF7C10">
        <w:t>231</w:t>
      </w:r>
      <w:r>
        <w:t xml:space="preserve"> vaikas.</w:t>
      </w:r>
      <w:r w:rsidRPr="00CF7C10">
        <w:t xml:space="preserve"> </w:t>
      </w:r>
      <w:r>
        <w:rPr>
          <w:color w:val="000000"/>
        </w:rPr>
        <w:t>Kultūros ministerijos duomenimis, d</w:t>
      </w:r>
      <w:r>
        <w:t>abartiniu metu b</w:t>
      </w:r>
      <w:r w:rsidRPr="00CF7C10">
        <w:t xml:space="preserve">ausmę atlieka 30 </w:t>
      </w:r>
      <w:r>
        <w:t xml:space="preserve">Taboro </w:t>
      </w:r>
      <w:r w:rsidRPr="00CF7C10">
        <w:t>gyventojų, iš  jų 23 moterys. Per kelis paskutinius mėnesius suimti 32 asmenys, iš jų 26 moterys.</w:t>
      </w:r>
      <w:r>
        <w:t xml:space="preserve"> </w:t>
      </w:r>
      <w:r w:rsidRPr="00CF7C10">
        <w:t xml:space="preserve">Iš 500 </w:t>
      </w:r>
      <w:r>
        <w:t xml:space="preserve">suaugusiųjų Taboro </w:t>
      </w:r>
      <w:r w:rsidRPr="00CF7C10">
        <w:t>gyventojų tik 97</w:t>
      </w:r>
      <w:r>
        <w:t xml:space="preserve"> asmenys </w:t>
      </w:r>
      <w:r w:rsidRPr="00CF7C10">
        <w:t>neturi teistumo, iš jų dauguma jaunimas iki 25 metų.</w:t>
      </w:r>
      <w:r>
        <w:t xml:space="preserve"> </w:t>
      </w:r>
      <w:r>
        <w:tab/>
      </w:r>
      <w:r w:rsidRPr="001171D7">
        <w:t xml:space="preserve">Vilniaus miesto savivaldybės </w:t>
      </w:r>
      <w:r>
        <w:t xml:space="preserve">tarybos Sveikatos komiteto ir </w:t>
      </w:r>
      <w:r w:rsidRPr="001171D7">
        <w:t>Vilniaus miesto savivaldybės administraci</w:t>
      </w:r>
      <w:r>
        <w:t>jos Vaiko teisių apsaugos skyriau</w:t>
      </w:r>
      <w:r w:rsidRPr="001171D7">
        <w:t>s</w:t>
      </w:r>
      <w:r>
        <w:t xml:space="preserve"> duomenimis, </w:t>
      </w:r>
      <w:r w:rsidRPr="001171D7">
        <w:t xml:space="preserve">visuotinio asmenų surašymo metu žemutiniame ir aukštutiniame taboruose, esančiuose adresu Dariaus ir Girėno g. 185-1, Vilniuje, gyveno apie 400 romų tautybės asmenų, iš jų apie 190 </w:t>
      </w:r>
      <w:r>
        <w:t xml:space="preserve">nepilnamečių vaikų iki 18 metų. </w:t>
      </w:r>
      <w:r w:rsidRPr="001171D7">
        <w:rPr>
          <w:color w:val="000000"/>
        </w:rPr>
        <w:t>Į Vilniaus miesto socialinės rizikos šeimų, auginančių vaikus, apskaitą ir socialinių įgūdžių stokojančių šeimų, auginančių vaikus, sąrašą yra įrašyta 11 romų šeimų, gyvenančių tabore, jose auga 38 vaikai. 10-čiai romų tautybės vaikų, gyvenančių tabore, nustatyta laikinoji globa artimųjų giminaičių šeimoje. 30-čiai nepilnamečių romų tautybės vaikų nustatyta laikinoji globa institucijoje.</w:t>
      </w:r>
      <w:r w:rsidRPr="00337B0F">
        <w:t xml:space="preserve"> </w:t>
      </w:r>
      <w:r w:rsidRPr="00CF7C10">
        <w:t xml:space="preserve">Visi 4 – 7 metų vaikai, gyvenantys </w:t>
      </w:r>
      <w:r>
        <w:t>Tabore</w:t>
      </w:r>
      <w:r w:rsidRPr="00CF7C10">
        <w:t>, lanko Romų visuomenės centro ikimokyklinę arba priešmokyklinę grupę.</w:t>
      </w:r>
      <w:r>
        <w:t xml:space="preserve"> </w:t>
      </w:r>
      <w:r w:rsidRPr="00CF7C10">
        <w:t>Vilniaus ,,Saulėtekio” vid</w:t>
      </w:r>
      <w:r>
        <w:t>urinėje mokykloje 2011/2012 mok</w:t>
      </w:r>
      <w:r w:rsidRPr="00CF7C10">
        <w:t>s</w:t>
      </w:r>
      <w:r>
        <w:t>l</w:t>
      </w:r>
      <w:r w:rsidRPr="00CF7C10">
        <w:t>o metais mokėsi 61</w:t>
      </w:r>
      <w:r>
        <w:t xml:space="preserve"> </w:t>
      </w:r>
      <w:r w:rsidRPr="00CF7C10">
        <w:t>romų tautybės moksleivis.</w:t>
      </w:r>
      <w:r>
        <w:t xml:space="preserve"> </w:t>
      </w:r>
      <w:r w:rsidRPr="00CF7C10">
        <w:t xml:space="preserve">Vilniaus Naujininkų vidurinėje mokykloje </w:t>
      </w:r>
      <w:r>
        <w:t>–</w:t>
      </w:r>
      <w:r w:rsidRPr="00CF7C10">
        <w:t xml:space="preserve"> 30</w:t>
      </w:r>
      <w:r>
        <w:t xml:space="preserve">. </w:t>
      </w:r>
      <w:r w:rsidRPr="00337B0F">
        <w:t xml:space="preserve">Daugelis jose gauna nemokamą maitinimą, Socialiniame paramos centre buvo skirtos lėšos mokinio reikmenims įsigyti. Nuo </w:t>
      </w:r>
      <w:smartTag w:uri="urn:schemas-microsoft-com:office:smarttags" w:element="metricconverter">
        <w:smartTagPr>
          <w:attr w:name="ProductID" w:val="2010 m"/>
        </w:smartTagPr>
        <w:r w:rsidRPr="00337B0F">
          <w:t>2010 m</w:t>
        </w:r>
      </w:smartTag>
      <w:r w:rsidRPr="00337B0F">
        <w:t>. mokslo metų Skyriuje kas ketvirtį renkama informacija apie romų tautybės moksleivių lankomumą. Skyriaus duomenimis:</w:t>
      </w:r>
      <w:r>
        <w:t xml:space="preserve"> </w:t>
      </w:r>
      <w:r w:rsidRPr="007F6B4E">
        <w:t>Romų visuomenės centre priešmokyklinę grupę lanko 32 vaikai;</w:t>
      </w:r>
      <w:r>
        <w:t xml:space="preserve"> </w:t>
      </w:r>
      <w:r w:rsidRPr="007F6B4E">
        <w:t>Vilniaus „Saulėtekio“ vidurinėje mokykloje mokosi 60 romų moksleivių;</w:t>
      </w:r>
      <w:r>
        <w:t xml:space="preserve"> </w:t>
      </w:r>
      <w:r w:rsidRPr="007F6B4E">
        <w:t>Naujininkų vidurinėje mokykloje mokosi 25 romų moksleiviai;</w:t>
      </w:r>
      <w:r>
        <w:t xml:space="preserve"> </w:t>
      </w:r>
      <w:r w:rsidRPr="007F6B4E">
        <w:t>Senamiesčio vidurinėje mokykloje mokosi 6 romų moksleiviai, gyvenantys tabore.</w:t>
      </w:r>
      <w:r>
        <w:t xml:space="preserve"> </w:t>
      </w:r>
      <w:r w:rsidRPr="007F6B4E">
        <w:t xml:space="preserve">VšĮ Romų visuomenės centre veikia vaikų dienos centras pagal vykdomą projektą „Laipteliai į viršų“, jį lanko 104 romų tautybės vaikai. </w:t>
      </w:r>
      <w:r w:rsidRPr="001171D7">
        <w:t xml:space="preserve">Mokyklos, ugdančios romų tautybės vaikus, finansuojamos bendra tvarka mokinio krepšelio lėšomis. Romų segregacijos programai </w:t>
      </w:r>
      <w:smartTag w:uri="urn:schemas-microsoft-com:office:smarttags" w:element="metricconverter">
        <w:smartTagPr>
          <w:attr w:name="ProductID" w:val="2010 m"/>
        </w:smartTagPr>
        <w:r w:rsidRPr="001171D7">
          <w:t>2010 m</w:t>
        </w:r>
      </w:smartTag>
      <w:r w:rsidRPr="001171D7">
        <w:t>. Naujininkų vidurinė</w:t>
      </w:r>
      <w:r>
        <w:t xml:space="preserve"> m-la</w:t>
      </w:r>
      <w:r w:rsidRPr="001171D7">
        <w:t xml:space="preserve"> išleido </w:t>
      </w:r>
      <w:r w:rsidRPr="001171D7">
        <w:rPr>
          <w:bCs/>
        </w:rPr>
        <w:t>19300</w:t>
      </w:r>
      <w:r w:rsidRPr="001171D7">
        <w:t xml:space="preserve"> Lt.</w:t>
      </w:r>
      <w:r w:rsidRPr="001B5479">
        <w:rPr>
          <w:b/>
        </w:rPr>
        <w:t xml:space="preserve"> </w:t>
      </w:r>
      <w:r w:rsidRPr="001B5479">
        <w:t xml:space="preserve">VšĮ Romų visuomenės centrui iš vaikų vasaros poilsio programos </w:t>
      </w:r>
      <w:smartTag w:uri="urn:schemas-microsoft-com:office:smarttags" w:element="metricconverter">
        <w:smartTagPr>
          <w:attr w:name="ProductID" w:val="2010 m"/>
        </w:smartTagPr>
        <w:r w:rsidRPr="001B5479">
          <w:t>2010 m</w:t>
        </w:r>
      </w:smartTag>
      <w:r w:rsidRPr="001B5479">
        <w:t>. buvo skirta 2000 Lt</w:t>
      </w:r>
      <w:r>
        <w:t>.,</w:t>
      </w:r>
      <w:r w:rsidRPr="001B5479">
        <w:t xml:space="preserve"> </w:t>
      </w:r>
      <w:smartTag w:uri="urn:schemas-microsoft-com:office:smarttags" w:element="metricconverter">
        <w:smartTagPr>
          <w:attr w:name="ProductID" w:val="2009 m"/>
        </w:smartTagPr>
        <w:r w:rsidRPr="001B5479">
          <w:t>2009 m</w:t>
        </w:r>
      </w:smartTag>
      <w:r w:rsidRPr="001B5479">
        <w:t>. – 2300 Lt</w:t>
      </w:r>
      <w:r>
        <w:t>.</w:t>
      </w:r>
      <w:r w:rsidRPr="001B5479">
        <w:t xml:space="preserve">, </w:t>
      </w:r>
      <w:smartTag w:uri="urn:schemas-microsoft-com:office:smarttags" w:element="metricconverter">
        <w:smartTagPr>
          <w:attr w:name="ProductID" w:val="2008 m"/>
        </w:smartTagPr>
        <w:r w:rsidRPr="001B5479">
          <w:t>2008 m</w:t>
        </w:r>
      </w:smartTag>
      <w:r w:rsidRPr="001B5479">
        <w:t>. –</w:t>
      </w:r>
      <w:r>
        <w:t xml:space="preserve"> </w:t>
      </w:r>
      <w:r w:rsidRPr="001B5479">
        <w:t>7000 Lt</w:t>
      </w:r>
      <w:r>
        <w:t>.</w:t>
      </w:r>
      <w:r w:rsidRPr="001B5479">
        <w:t xml:space="preserve">,  </w:t>
      </w:r>
      <w:smartTag w:uri="urn:schemas-microsoft-com:office:smarttags" w:element="metricconverter">
        <w:smartTagPr>
          <w:attr w:name="ProductID" w:val="2007 m"/>
        </w:smartTagPr>
        <w:r w:rsidRPr="001B5479">
          <w:t>2007 m</w:t>
        </w:r>
      </w:smartTag>
      <w:r w:rsidRPr="001B5479">
        <w:t>. –  9000 Lt</w:t>
      </w:r>
      <w:r>
        <w:t>.,</w:t>
      </w:r>
      <w:r w:rsidRPr="001B5479">
        <w:t xml:space="preserve"> ir </w:t>
      </w:r>
      <w:smartTag w:uri="urn:schemas-microsoft-com:office:smarttags" w:element="metricconverter">
        <w:smartTagPr>
          <w:attr w:name="ProductID" w:val="2006 m"/>
        </w:smartTagPr>
        <w:r w:rsidRPr="001B5479">
          <w:t>2006 m</w:t>
        </w:r>
      </w:smartTag>
      <w:r w:rsidRPr="001B5479">
        <w:t>. – 2000 Lt.</w:t>
      </w:r>
      <w:r>
        <w:t xml:space="preserve"> </w:t>
      </w:r>
      <w:r w:rsidRPr="001B5479">
        <w:t>VšĮ „Romų visuomenės centrui“, vykdančiam ikimokyklinį ugdymą, sk</w:t>
      </w:r>
      <w:r>
        <w:t>iriamos mokinio krepšelio lėšos:</w:t>
      </w:r>
      <w:r w:rsidRPr="001B5479">
        <w:t xml:space="preserve"> </w:t>
      </w:r>
      <w:smartTag w:uri="urn:schemas-microsoft-com:office:smarttags" w:element="metricconverter">
        <w:smartTagPr>
          <w:attr w:name="ProductID" w:val="2010 m"/>
        </w:smartTagPr>
        <w:r w:rsidRPr="001B5479">
          <w:t>2010 m</w:t>
        </w:r>
      </w:smartTag>
      <w:r w:rsidRPr="001B5479">
        <w:t xml:space="preserve">. pervesta 54,5 tūkst. </w:t>
      </w:r>
      <w:r>
        <w:t>Lt.</w:t>
      </w:r>
      <w:r w:rsidRPr="001B5479">
        <w:t xml:space="preserve">, o </w:t>
      </w:r>
      <w:smartTag w:uri="urn:schemas-microsoft-com:office:smarttags" w:element="metricconverter">
        <w:smartTagPr>
          <w:attr w:name="ProductID" w:val="2011 m"/>
        </w:smartTagPr>
        <w:r w:rsidRPr="001B5479">
          <w:t>2011 m</w:t>
        </w:r>
      </w:smartTag>
      <w:r w:rsidRPr="001B5479">
        <w:t>. – 68,6 tūkst. Lt.</w:t>
      </w:r>
      <w:r>
        <w:t xml:space="preserve"> </w:t>
      </w:r>
      <w:r w:rsidRPr="001B5479">
        <w:t>Dirbant su romais iškyla problemų dėl mokyklos nelankymo, pažangumo, mokymosi motyvacijos stokos, neišugdyto poreikio mokytis bei socialinių ir ekonominių problemų šeimose. Bandoma pakeisti esamą padėtį, organizuojant mokyklose individualius pokalbius, konsultacijas, susirinkimus, lankant šeimas namuose, bendradarbiaujant su psichologine-pedagogine tarnyba.</w:t>
      </w:r>
      <w:r w:rsidRPr="00A65A7D">
        <w:rPr>
          <w:b/>
        </w:rPr>
        <w:t xml:space="preserve"> </w:t>
      </w:r>
      <w:r w:rsidRPr="005D2BB7">
        <w:t>Mokyklos bendruomenė romų vaikams siūlo paramą avalyne, drabužiais, tačiau ne visada ji priimama.  Romai gauna nemokamą maitinimą, aprūpinami mokyklinėmis priemonėmis. Pagalbą rom</w:t>
      </w:r>
      <w:r>
        <w:t xml:space="preserve">ų vaikams </w:t>
      </w:r>
      <w:r w:rsidRPr="005D2BB7">
        <w:t>teikia logopedė. Romų vaikai turi galimybę rinktis mokykloje esančius būrelius. Jie noriai eina į Šiuolaikinės muzikos studiją, dalyvauja mokyklos  renginiuose, koncertuose.</w:t>
      </w:r>
      <w:r>
        <w:t xml:space="preserve"> </w:t>
      </w:r>
      <w:r w:rsidRPr="005D2BB7">
        <w:t xml:space="preserve">Ugdymosi pasiekimai daugumos vaikų yra minimalūs. </w:t>
      </w:r>
      <w:r>
        <w:t xml:space="preserve">Pasitaiko atvejų, kai 5-os klasės mokinys nemoka nei skaityti, nei rašyti. </w:t>
      </w:r>
      <w:r w:rsidRPr="005D2BB7">
        <w:t>Atsižvelgdama į kiekvieno vaiko pasiekimus, poreikius, situaciją šeimoje, mokyklos administracija kartais daro išlygas  perkeliant į aukštesnę klasę. Siekdama kuo geriau integruoti romus, mokykla rengia pasitarimus su Romų visuomenės centru, bendradarbiauja su policijos atstovais. Socialinė pedagogė lanko mokinius jų gyvenamosiose vietovėse.</w:t>
      </w:r>
    </w:p>
    <w:p w:rsidR="00A2543C" w:rsidRDefault="00A2543C" w:rsidP="00A2543C">
      <w:pPr>
        <w:jc w:val="both"/>
      </w:pPr>
      <w:r>
        <w:rPr>
          <w:b/>
        </w:rPr>
        <w:tab/>
      </w:r>
      <w:r w:rsidRPr="00865452">
        <w:t>Tai</w:t>
      </w:r>
      <w:r>
        <w:t>p</w:t>
      </w:r>
      <w:r w:rsidRPr="00865452">
        <w:t xml:space="preserve"> pat būtina atkreipti dėmesį, kad skiriama didelė socialinė parama romams. Vien  2011 metais romams (301 asmeniui), kurių kiekvienais metais šių asmenų skaičius vis auga, skirta socialinė pašalpa sudarė 624 833, 76 Lt. Išmokoms vaikui </w:t>
      </w:r>
      <w:smartTag w:uri="urn:schemas-microsoft-com:office:smarttags" w:element="metricconverter">
        <w:smartTagPr>
          <w:attr w:name="ProductID" w:val="2011 m"/>
        </w:smartTagPr>
        <w:r w:rsidRPr="00865452">
          <w:t>2011 m</w:t>
        </w:r>
      </w:smartTag>
      <w:r w:rsidRPr="00865452">
        <w:t xml:space="preserve">. skirta 98 070, 78 Lt. Šalpos išmokoms </w:t>
      </w:r>
      <w:smartTag w:uri="urn:schemas-microsoft-com:office:smarttags" w:element="metricconverter">
        <w:smartTagPr>
          <w:attr w:name="ProductID" w:val="2011 m"/>
        </w:smartTagPr>
        <w:r w:rsidRPr="00865452">
          <w:t>2011 m</w:t>
        </w:r>
      </w:smartTag>
      <w:r w:rsidRPr="00865452">
        <w:t xml:space="preserve">. skirta 162 619,04 Lt.  Socialinei paramai mokiniams – nemokamas maitinimas ir (parama mokinio reikmenims įsigyti) – skirta 11 7000 Lt. Parama kietuoju kuru skirta 105 šeimoms (už 17000 Lt). Parama maisto produktais skirta 53 šeimoms. </w:t>
      </w:r>
      <w:smartTag w:uri="urn:schemas-microsoft-com:office:smarttags" w:element="metricconverter">
        <w:smartTagPr>
          <w:attr w:name="ProductID" w:val="2011 m"/>
        </w:smartTagPr>
        <w:r w:rsidRPr="00865452">
          <w:t>2011 m</w:t>
        </w:r>
      </w:smartTag>
      <w:r w:rsidRPr="00865452">
        <w:t xml:space="preserve">. išnuomoti 3 socialiniai būstai. </w:t>
      </w:r>
      <w:r>
        <w:t xml:space="preserve">Tačiau, fiksuojamas netesėtas elektros naudojimas, skolos, nesudarytos sutartys dėl vandens tiekimo ir </w:t>
      </w:r>
      <w:r>
        <w:lastRenderedPageBreak/>
        <w:t xml:space="preserve">šiukšlių išvežimo. Vaikai gyvena netinkamose sąlygose, aplink Taborą šiukšlina. 68 namai be elektros ir vandentiekio. </w:t>
      </w:r>
    </w:p>
    <w:p w:rsidR="00A2543C" w:rsidRDefault="00A2543C" w:rsidP="00A2543C">
      <w:pPr>
        <w:jc w:val="both"/>
      </w:pPr>
      <w:r>
        <w:tab/>
      </w:r>
      <w:r w:rsidRPr="00865452">
        <w:t>Vilniaus miesto socialinės paramos centras nuo 2009-04-14 iki 2012-04-30 partnerio teisėmis dalyvavo ES struktūrinių fondų paramą gavusiame projekte „Atsigręžk į romus: Inovatyvios romų dalyvavimo darbo rinkoje priemonės“ (projekto vykdytojas - Jungtinių tautų vystymo programa Lietuvoje, kiti partneriai - VšĮ SOPA ir VšĮ Romų visuomenės centras.) Projekto tikslas buvo sukurti romų įtraukimo į darbo rinką ir dalyvavimo visuomenėje priemonių kompleksą, kuris padėtų ne tik įsidarbinti, bet ir išsilaikyti darbo vietoje. Projekto įgyvendinimo laikotarpiu Socialinės paramos centro socialiniai darbuotojai, dirbantys projekte, dirbo su 58 romais. Projekto dalyviams buvo teikiamos konsultavimo, tarpininkavimo, palydėjimo paslaugos, teikiama pagalba dalyvaujant mokymuose, įsidarbinant, sprendžiant būsto, nepakankamų pajamų ir kt. problemas. 17 romų dalyvavo socialinių įgūdžių mokymuose, 1 romė baigė kirpėjų kursus, 8 romams buvo organizuoti mokymai darbo vietoje, 12 romų įsidarbino.</w:t>
      </w:r>
    </w:p>
    <w:p w:rsidR="00A2543C" w:rsidRDefault="00A2543C" w:rsidP="00A2543C">
      <w:pPr>
        <w:jc w:val="both"/>
      </w:pPr>
      <w:r>
        <w:tab/>
      </w:r>
      <w:r w:rsidRPr="001171D7">
        <w:t xml:space="preserve">Viešoji įstaiga Romų visuomenės centras, įsteigtas 2001-07-19 vykdant Lietuvos Respublikos Vyriausybės 2000-2004 metų romų integracijos į Lietuvos visuomenę programą, pradėjo veikti </w:t>
      </w:r>
      <w:smartTag w:uri="urn:schemas-microsoft-com:office:smarttags" w:element="metricconverter">
        <w:smartTagPr>
          <w:attr w:name="ProductID" w:val="2001 m"/>
        </w:smartTagPr>
        <w:r w:rsidRPr="001171D7">
          <w:t>2001 m</w:t>
        </w:r>
      </w:smartTag>
      <w:r w:rsidRPr="001171D7">
        <w:t>. rugsėjo 3 d ir VšĮ Romų visuomenės centrui</w:t>
      </w:r>
      <w:r>
        <w:t xml:space="preserve">, Vilniaus miesto savivaldybės </w:t>
      </w:r>
      <w:r w:rsidRPr="001171D7">
        <w:t xml:space="preserve"> kasmet skiriamos lėšos einamiesiems tikslams pagal patvirtintus 1 programos „Vaikų, jaunimo ir suaugusiųjų ugdymas“ asignavimus. VšĮ Romų visuomenės centrui </w:t>
      </w:r>
      <w:smartTag w:uri="urn:schemas-microsoft-com:office:smarttags" w:element="metricconverter">
        <w:smartTagPr>
          <w:attr w:name="ProductID" w:val="2008 m"/>
        </w:smartTagPr>
        <w:r w:rsidRPr="001171D7">
          <w:t>2008 m</w:t>
        </w:r>
      </w:smartTag>
      <w:r w:rsidRPr="001171D7">
        <w:t xml:space="preserve">. buvo skirta 40 000 Lt, o </w:t>
      </w:r>
      <w:smartTag w:uri="urn:schemas-microsoft-com:office:smarttags" w:element="metricconverter">
        <w:smartTagPr>
          <w:attr w:name="ProductID" w:val="2009 m"/>
        </w:smartTagPr>
        <w:r w:rsidRPr="001171D7">
          <w:t>2009 m</w:t>
        </w:r>
      </w:smartTag>
      <w:r w:rsidRPr="001171D7">
        <w:t xml:space="preserve">. – 27 500 Lt. </w:t>
      </w:r>
    </w:p>
    <w:p w:rsidR="00A2543C" w:rsidRDefault="00A2543C" w:rsidP="00A2543C">
      <w:pPr>
        <w:jc w:val="both"/>
      </w:pPr>
      <w:r>
        <w:tab/>
        <w:t>Vilniaus miesto s</w:t>
      </w:r>
      <w:r w:rsidRPr="005278B5">
        <w:t xml:space="preserve">avivaldybės biudžeto lėšomis tabore įrengtos 8 vaizdo stebėjimo kameros. Dirbantys vaizdo stebėjimo postuose stebi transliuojamą vaizdą ir prireikus praneša atsakingam policijos pareigūnui arba įstaigai. Savivaldybė taip pat finansuoja Vilniaus apskrities vyriausiojo policijos komisariato tarnybinių automobilių išlaikymą, įpareigojant pareigūnus palaikyti viešąją tvarką ir rimtį Vilniaus mieste. Šiai veiklai įgyvendinti </w:t>
      </w:r>
      <w:smartTag w:uri="urn:schemas-microsoft-com:office:smarttags" w:element="metricconverter">
        <w:smartTagPr>
          <w:attr w:name="ProductID" w:val="2006 m"/>
        </w:smartTagPr>
        <w:r w:rsidRPr="005278B5">
          <w:t>2006 m</w:t>
        </w:r>
      </w:smartTag>
      <w:r w:rsidRPr="005278B5">
        <w:t xml:space="preserve">. skirta 345 000 Lt; </w:t>
      </w:r>
      <w:smartTag w:uri="urn:schemas-microsoft-com:office:smarttags" w:element="metricconverter">
        <w:smartTagPr>
          <w:attr w:name="ProductID" w:val="2007 m"/>
        </w:smartTagPr>
        <w:r w:rsidRPr="005278B5">
          <w:t>2007 m</w:t>
        </w:r>
      </w:smartTag>
      <w:r w:rsidRPr="005278B5">
        <w:t xml:space="preserve">. - 340 000 Lt; </w:t>
      </w:r>
      <w:smartTag w:uri="urn:schemas-microsoft-com:office:smarttags" w:element="metricconverter">
        <w:smartTagPr>
          <w:attr w:name="ProductID" w:val="2008 m"/>
        </w:smartTagPr>
        <w:r w:rsidRPr="005278B5">
          <w:t>2008 m</w:t>
        </w:r>
      </w:smartTag>
      <w:r w:rsidRPr="005278B5">
        <w:t xml:space="preserve">. - 125 100 Lt; </w:t>
      </w:r>
      <w:smartTag w:uri="urn:schemas-microsoft-com:office:smarttags" w:element="metricconverter">
        <w:smartTagPr>
          <w:attr w:name="ProductID" w:val="2010 m"/>
        </w:smartTagPr>
        <w:r w:rsidRPr="005278B5">
          <w:t>2010 m</w:t>
        </w:r>
      </w:smartTag>
      <w:r w:rsidRPr="005278B5">
        <w:t xml:space="preserve">. - 200 000 Lt; </w:t>
      </w:r>
      <w:smartTag w:uri="urn:schemas-microsoft-com:office:smarttags" w:element="metricconverter">
        <w:smartTagPr>
          <w:attr w:name="ProductID" w:val="2011 m"/>
        </w:smartTagPr>
        <w:r w:rsidRPr="005278B5">
          <w:t>2011 m</w:t>
        </w:r>
      </w:smartTag>
      <w:r w:rsidRPr="005278B5">
        <w:t>. skirta 150 000 Lt.</w:t>
      </w:r>
    </w:p>
    <w:p w:rsidR="00A2543C" w:rsidRDefault="00A2543C" w:rsidP="00A2543C">
      <w:pPr>
        <w:jc w:val="both"/>
      </w:pPr>
      <w:r>
        <w:tab/>
      </w:r>
      <w:r w:rsidRPr="005B1B3D">
        <w:t xml:space="preserve">2012 m. vasario 13 d. Romų tabore nugriauti 3 nelegalūs statiniai, kurie pagal teismų sprendimus turėjo būti pašalinti dar 2009 metais. Darbus organizavo Valstybinė teritorijų planavimo ir statybos inspekcija, kuri taip pat patikrino dar keliolika pastatų romų tabore ir surašė 12 savavališkos statybos aktų. </w:t>
      </w:r>
    </w:p>
    <w:p w:rsidR="00A2543C" w:rsidRDefault="00A2543C" w:rsidP="00A2543C">
      <w:pPr>
        <w:jc w:val="both"/>
      </w:pPr>
      <w:r>
        <w:tab/>
      </w:r>
      <w:r w:rsidRPr="005B1B3D">
        <w:t xml:space="preserve">Valstybinės teritorijų planavimo ir statybos inspekcijos duomenimis, nuo 2008 metų iki </w:t>
      </w:r>
      <w:smartTag w:uri="urn:schemas-microsoft-com:office:smarttags" w:element="metricconverter">
        <w:smartTagPr>
          <w:attr w:name="ProductID" w:val="2012 m"/>
        </w:smartTagPr>
        <w:r w:rsidRPr="005B1B3D">
          <w:t>2012 m</w:t>
        </w:r>
      </w:smartTag>
      <w:r w:rsidRPr="005B1B3D">
        <w:t>. vasario 13 d. dėl savavališkų statybų Vilniaus romų taboro teritorijoje iš viso buvo surašyti 8 savavališkos statybos aktai ir reikalavimai pašalinti šių statybų padarinius. Iš jų, be</w:t>
      </w:r>
      <w:r>
        <w:t xml:space="preserve"> š.m. </w:t>
      </w:r>
      <w:r w:rsidRPr="005B1B3D">
        <w:t xml:space="preserve"> vasario 13 d. nugriautų statinių, įvykdytas tik vienas reikalavimas – statytojai savavališkai pastatytą namą nugriovė patys. </w:t>
      </w:r>
    </w:p>
    <w:p w:rsidR="00A2543C" w:rsidRDefault="00A2543C" w:rsidP="00A2543C">
      <w:pPr>
        <w:jc w:val="both"/>
        <w:rPr>
          <w:bCs/>
        </w:rPr>
      </w:pPr>
      <w:r>
        <w:tab/>
        <w:t xml:space="preserve">Kultūros ministerijos Tautinių mažumų reikalų skyriaus duomenimis, </w:t>
      </w:r>
      <w:r w:rsidRPr="00CA71A3">
        <w:rPr>
          <w:bCs/>
        </w:rPr>
        <w:t>2000 m.</w:t>
      </w:r>
      <w:r>
        <w:rPr>
          <w:bCs/>
        </w:rPr>
        <w:t xml:space="preserve"> Lietuvos Respublikos </w:t>
      </w:r>
      <w:r w:rsidRPr="00CA71A3">
        <w:rPr>
          <w:bCs/>
        </w:rPr>
        <w:t>Vyriausybė patvirtino Romų integracijos į Lietuvos visuomenę 2000 – 2004 metų programą</w:t>
      </w:r>
      <w:r w:rsidRPr="00CA71A3">
        <w:t>.</w:t>
      </w:r>
      <w:r>
        <w:t xml:space="preserve"> </w:t>
      </w:r>
      <w:r w:rsidRPr="00CA71A3">
        <w:t xml:space="preserve">Didžiausias šio etapo laimėjimas yra Romų visuomenės centro įsteigimas bei neformalaus romų vaikų ugdymo organizavimas. Taip pat 2003 m. išleista Romų abėcėlė – Romani bukvi, knygelėje pirmą kartą Lietuvoje užrašyta romų abėcėlė, sukurtas raštas. </w:t>
      </w:r>
      <w:r w:rsidRPr="00CA71A3">
        <w:rPr>
          <w:bCs/>
        </w:rPr>
        <w:t xml:space="preserve">Romų integracijos į Lietuvos visuomenę 2008 </w:t>
      </w:r>
      <w:r w:rsidRPr="00CA71A3">
        <w:t>–</w:t>
      </w:r>
      <w:r w:rsidRPr="00CA71A3">
        <w:rPr>
          <w:bCs/>
        </w:rPr>
        <w:t xml:space="preserve"> 2010 metų programoje buvo numatytos prie</w:t>
      </w:r>
      <w:r>
        <w:rPr>
          <w:bCs/>
        </w:rPr>
        <w:t>monės šiose srityse : Švietimas. Įtraukimas į darbo rinką.</w:t>
      </w:r>
      <w:r w:rsidRPr="00CA71A3">
        <w:rPr>
          <w:bCs/>
        </w:rPr>
        <w:t xml:space="preserve"> Būs</w:t>
      </w:r>
      <w:r>
        <w:rPr>
          <w:bCs/>
        </w:rPr>
        <w:t>tas. Sveikatos apsauga. Narkomanijos prevencija.</w:t>
      </w:r>
      <w:r w:rsidRPr="00CA71A3">
        <w:rPr>
          <w:bCs/>
        </w:rPr>
        <w:t xml:space="preserve"> </w:t>
      </w:r>
      <w:r>
        <w:rPr>
          <w:bCs/>
        </w:rPr>
        <w:t>Socialinių gebėjimų stiprinimas.</w:t>
      </w:r>
      <w:r w:rsidRPr="00CA71A3">
        <w:rPr>
          <w:bCs/>
        </w:rPr>
        <w:t xml:space="preserve"> </w:t>
      </w:r>
      <w:r>
        <w:rPr>
          <w:bCs/>
        </w:rPr>
        <w:t>Kultūros ir tapatumo išlaikymas.</w:t>
      </w:r>
      <w:r w:rsidRPr="00CA71A3">
        <w:rPr>
          <w:bCs/>
        </w:rPr>
        <w:t xml:space="preserve"> Tolerancijos skatinimas ir diskriminacijos mažinimas</w:t>
      </w:r>
      <w:r>
        <w:rPr>
          <w:bCs/>
        </w:rPr>
        <w:t>.</w:t>
      </w:r>
    </w:p>
    <w:p w:rsidR="00A2543C" w:rsidRDefault="00A2543C" w:rsidP="00A2543C">
      <w:pPr>
        <w:jc w:val="both"/>
        <w:rPr>
          <w:bCs/>
        </w:rPr>
      </w:pPr>
      <w:r>
        <w:rPr>
          <w:bCs/>
        </w:rPr>
        <w:tab/>
      </w:r>
      <w:r w:rsidRPr="001772DA">
        <w:rPr>
          <w:rFonts w:ascii="Calibri" w:hAnsi="Arial"/>
          <w:color w:val="000000"/>
          <w:sz w:val="56"/>
          <w:szCs w:val="56"/>
          <w:lang w:eastAsia="lt-LT"/>
        </w:rPr>
        <w:t xml:space="preserve"> </w:t>
      </w:r>
      <w:r w:rsidRPr="00CA71A3">
        <w:rPr>
          <w:bCs/>
        </w:rPr>
        <w:t>Pagal programos priemonių planą, siekiant įgyvendinti įvairias  pagal TMID kompetenciją veiklas, 2008 metams buvo suplanu</w:t>
      </w:r>
      <w:r>
        <w:rPr>
          <w:bCs/>
        </w:rPr>
        <w:t>ota 1,109  tūkst. litų asignavimams,</w:t>
      </w:r>
      <w:r w:rsidRPr="00CA71A3">
        <w:rPr>
          <w:bCs/>
        </w:rPr>
        <w:t xml:space="preserve"> 2009 m. – virš </w:t>
      </w:r>
      <w:r>
        <w:rPr>
          <w:bCs/>
        </w:rPr>
        <w:t xml:space="preserve">1 </w:t>
      </w:r>
      <w:r w:rsidRPr="00CA71A3">
        <w:rPr>
          <w:bCs/>
        </w:rPr>
        <w:t>milijono</w:t>
      </w:r>
      <w:r>
        <w:rPr>
          <w:bCs/>
        </w:rPr>
        <w:t xml:space="preserve"> Lt.</w:t>
      </w:r>
      <w:r w:rsidRPr="00CA71A3">
        <w:rPr>
          <w:bCs/>
        </w:rPr>
        <w:t>, faktiškai 2008 m. gauta 365 tūkst. litų, atitinkamai 2009 m. apie 400 tūkst. litų.</w:t>
      </w:r>
      <w:r w:rsidRPr="001772DA">
        <w:rPr>
          <w:rFonts w:ascii="Cambria" w:hAnsi="Arial"/>
          <w:b/>
          <w:bCs/>
          <w:color w:val="000000"/>
          <w:sz w:val="64"/>
          <w:szCs w:val="64"/>
        </w:rPr>
        <w:t xml:space="preserve"> </w:t>
      </w:r>
      <w:r w:rsidRPr="00CA71A3">
        <w:rPr>
          <w:bCs/>
        </w:rPr>
        <w:t>Romų integracijos į Lietuvos visuomenę 2012 – 2014 met</w:t>
      </w:r>
      <w:r>
        <w:rPr>
          <w:bCs/>
        </w:rPr>
        <w:t>ų veiklos plane numatytas finansavimas i</w:t>
      </w:r>
      <w:r w:rsidRPr="00CA71A3">
        <w:rPr>
          <w:bCs/>
        </w:rPr>
        <w:t xml:space="preserve">š valstybės biudžeto: 2012 m. – 396 tūkst. </w:t>
      </w:r>
      <w:r>
        <w:rPr>
          <w:bCs/>
        </w:rPr>
        <w:t>Lt.</w:t>
      </w:r>
      <w:r w:rsidRPr="00CA71A3">
        <w:rPr>
          <w:bCs/>
        </w:rPr>
        <w:t>;</w:t>
      </w:r>
      <w:r>
        <w:rPr>
          <w:bCs/>
        </w:rPr>
        <w:t xml:space="preserve">  </w:t>
      </w:r>
      <w:r w:rsidRPr="00CA71A3">
        <w:rPr>
          <w:bCs/>
          <w:lang w:val="en-US"/>
        </w:rPr>
        <w:t xml:space="preserve">2013 m. – 503 </w:t>
      </w:r>
      <w:r w:rsidRPr="00CA71A3">
        <w:rPr>
          <w:bCs/>
        </w:rPr>
        <w:t>tūkst.</w:t>
      </w:r>
      <w:r>
        <w:rPr>
          <w:bCs/>
        </w:rPr>
        <w:t xml:space="preserve"> Lt.;  </w:t>
      </w:r>
      <w:r w:rsidRPr="00CA71A3">
        <w:rPr>
          <w:bCs/>
          <w:lang w:val="en-US"/>
        </w:rPr>
        <w:t xml:space="preserve">2014 m. – 508 </w:t>
      </w:r>
      <w:r w:rsidRPr="00CA71A3">
        <w:rPr>
          <w:bCs/>
        </w:rPr>
        <w:t>tūkst.</w:t>
      </w:r>
      <w:r>
        <w:rPr>
          <w:bCs/>
        </w:rPr>
        <w:t xml:space="preserve"> Lt. </w:t>
      </w:r>
      <w:r w:rsidRPr="00CA71A3">
        <w:rPr>
          <w:bCs/>
        </w:rPr>
        <w:t xml:space="preserve">Iš viso 2012 – 2014 metais numatoma skirti  5 458 tūkst. Lt. </w:t>
      </w:r>
    </w:p>
    <w:p w:rsidR="00A2543C" w:rsidRPr="00CF7C10" w:rsidRDefault="00A2543C" w:rsidP="00A2543C">
      <w:pPr>
        <w:jc w:val="both"/>
      </w:pPr>
      <w:r>
        <w:rPr>
          <w:bCs/>
        </w:rPr>
        <w:tab/>
        <w:t>Romų visuomenės centre v</w:t>
      </w:r>
      <w:r w:rsidRPr="00CA71A3">
        <w:rPr>
          <w:bCs/>
        </w:rPr>
        <w:t>yksta p</w:t>
      </w:r>
      <w:r>
        <w:rPr>
          <w:bCs/>
        </w:rPr>
        <w:t>riešmokyklinio ugdymo pamokėlės, o</w:t>
      </w:r>
      <w:r w:rsidRPr="00CA71A3">
        <w:rPr>
          <w:bCs/>
        </w:rPr>
        <w:t>rganizu</w:t>
      </w:r>
      <w:r>
        <w:rPr>
          <w:bCs/>
        </w:rPr>
        <w:t>ojamas vaikų papildomas ugdymas, p</w:t>
      </w:r>
      <w:r w:rsidRPr="00CA71A3">
        <w:rPr>
          <w:bCs/>
        </w:rPr>
        <w:t>aaugliams ir suaugusiems organizuojami kompiuterinio raštingumo kursai;</w:t>
      </w:r>
      <w:r>
        <w:rPr>
          <w:bCs/>
        </w:rPr>
        <w:t xml:space="preserve"> ir v</w:t>
      </w:r>
      <w:r w:rsidRPr="00CA71A3">
        <w:rPr>
          <w:bCs/>
        </w:rPr>
        <w:t>yksta suaugusiųjų romų mokymas nuotoliniu būdu.</w:t>
      </w:r>
      <w:r>
        <w:rPr>
          <w:bCs/>
        </w:rPr>
        <w:t xml:space="preserve"> Romų visuomenės centras </w:t>
      </w:r>
      <w:r w:rsidRPr="009D53A6">
        <w:rPr>
          <w:bCs/>
        </w:rPr>
        <w:t>2011 m.</w:t>
      </w:r>
      <w:r>
        <w:rPr>
          <w:bCs/>
        </w:rPr>
        <w:t xml:space="preserve"> gavo iš Kultūros ministerijos 200 tūkst. Lt; iš ESFA projekto „Atsigręžk į romus“ 191, 9 tūkst. Lt.; iš </w:t>
      </w:r>
      <w:r w:rsidRPr="00B46BE4">
        <w:t>Vilniaus miesto savivaldybė</w:t>
      </w:r>
      <w:r>
        <w:t xml:space="preserve">s 73,3 tūkst. Lt; iš </w:t>
      </w:r>
      <w:r w:rsidRPr="00B46BE4">
        <w:t>Socialin</w:t>
      </w:r>
      <w:r>
        <w:t>ės apsaugos ir darbo ministerijos 66, 4 tūkst. Lt.</w:t>
      </w:r>
      <w:r w:rsidRPr="00B46BE4">
        <w:t xml:space="preserve"> </w:t>
      </w:r>
      <w:r>
        <w:t xml:space="preserve">Viso: </w:t>
      </w:r>
      <w:r w:rsidRPr="009D53A6">
        <w:t>531,6</w:t>
      </w:r>
      <w:r>
        <w:t xml:space="preserve"> tūkst. Lt. ES socialinis fonas finansavo projektus: </w:t>
      </w:r>
      <w:r w:rsidRPr="00B46BE4">
        <w:t>2004 – 2007 m.</w:t>
      </w:r>
      <w:r>
        <w:t xml:space="preserve"> vykdytą </w:t>
      </w:r>
      <w:r w:rsidRPr="00B46BE4">
        <w:t>projekt</w:t>
      </w:r>
      <w:r w:rsidRPr="00CF7C10">
        <w:t xml:space="preserve">ą </w:t>
      </w:r>
      <w:r w:rsidRPr="00B46BE4">
        <w:t>"Romų integracijos į darbo rinką mechanizmo sukūrimas ir išbandymas“</w:t>
      </w:r>
      <w:r w:rsidRPr="00CF7C10">
        <w:t>;</w:t>
      </w:r>
      <w:r>
        <w:t xml:space="preserve"> </w:t>
      </w:r>
      <w:r w:rsidRPr="00CF7C10">
        <w:t>2009 – 2012 m. vykdytą projektą ,,Atsigręžk į romus”;</w:t>
      </w:r>
      <w:r>
        <w:t xml:space="preserve"> </w:t>
      </w:r>
      <w:r w:rsidRPr="00B46BE4">
        <w:t>2012 – 2014 m.</w:t>
      </w:r>
      <w:r>
        <w:t xml:space="preserve"> vykdomą </w:t>
      </w:r>
      <w:r w:rsidRPr="00B46BE4">
        <w:t xml:space="preserve"> projekt</w:t>
      </w:r>
      <w:r w:rsidRPr="00CF7C10">
        <w:t>ą</w:t>
      </w:r>
      <w:r w:rsidRPr="00B46BE4">
        <w:t xml:space="preserve"> ,,Bachtalo Drom”. </w:t>
      </w:r>
    </w:p>
    <w:p w:rsidR="00A2543C" w:rsidRPr="0014632C" w:rsidRDefault="00A2543C" w:rsidP="00A2543C">
      <w:pPr>
        <w:jc w:val="both"/>
      </w:pPr>
      <w:r>
        <w:lastRenderedPageBreak/>
        <w:tab/>
        <w:t>Viena opiausių T</w:t>
      </w:r>
      <w:r w:rsidRPr="0014632C">
        <w:t>aboro problemų yra psichotropinių medžiagų gamyba ir platinimas. Paprastai tėvai neigia, kad jų šeimos nariai platina minėtas medžiagas, nenoriai apie tai kalba. Romų tautybės, kaip ir kitų tautybių tėvai, stengiasi formuoti neigiamą požiūrį į narkotinių medžiagų vartojimą ir narkomanus. Manytina, kad romų vaikai stebi narkotinių medžiagų platinimą ir, kad Jungtinių Tautų vaiko teisių konvencijos 33 straipsnio nuostatos yra pažeidžiamos. Ši problema įgauna tiek kriminalinį, tiek socialinį aspektą.</w:t>
      </w:r>
    </w:p>
    <w:p w:rsidR="00A2543C" w:rsidRDefault="00A2543C" w:rsidP="00A2543C">
      <w:pPr>
        <w:jc w:val="both"/>
      </w:pPr>
      <w:r>
        <w:tab/>
        <w:t xml:space="preserve">Todėl būtina skubiai užkardyti Tabore narkotinių ir psichotropinių  medžiagų pasiūlą, bet vien tik Vilniaus apskrities vyriausiojo policijos komisariato pastangomis ir jų vidiniais finansiniais resursais, kaip tai buvo daroma iki šiol,  labai sudėtinga, todėl, būtinos kompleksinės priemonės ir visų teisėsaugos bei teisėtvarkos institucijų bendros pastangos  pakankamas finansavimas. </w:t>
      </w:r>
    </w:p>
    <w:p w:rsidR="00A2543C" w:rsidRDefault="00A2543C" w:rsidP="00A2543C">
      <w:pPr>
        <w:jc w:val="both"/>
      </w:pPr>
      <w:r>
        <w:tab/>
      </w:r>
      <w:r w:rsidRPr="001171D7">
        <w:t xml:space="preserve">Vilniaus priklausomybės ligų centro abstinencijos sindromo gydymui (detoksikacijai) stacionare skirtos 15 lovų. Dar 9 vietos kirtos vaikams ir jaunuoliams iki 21 metų, siekiant juos atskirti nuo negatyvios pacientų su dideliu narkotikų vartojimo stažu, ne kartą buvusių laisvės atėmimo vietose, įtakos. Vilniaus miesto savivaldybė šios įstaigos išlaikymui </w:t>
      </w:r>
      <w:smartTag w:uri="urn:schemas-microsoft-com:office:smarttags" w:element="metricconverter">
        <w:smartTagPr>
          <w:attr w:name="ProductID" w:val="2012 m"/>
        </w:smartTagPr>
        <w:r w:rsidRPr="001171D7">
          <w:t>2012 m</w:t>
        </w:r>
      </w:smartTag>
      <w:r w:rsidRPr="001171D7">
        <w:t xml:space="preserve">. biudžete skyrė 5,5 mln. litų. </w:t>
      </w:r>
    </w:p>
    <w:p w:rsidR="00A2543C" w:rsidRDefault="00A2543C" w:rsidP="00A2543C">
      <w:pPr>
        <w:jc w:val="both"/>
      </w:pPr>
      <w:r>
        <w:tab/>
      </w:r>
      <w:r w:rsidRPr="001171D7">
        <w:t>Suaugusiųjų narkotinės abstinencijos gydymas, kartu su psichologo ir socialinio darbuotojo konsultacijomis ir motyvavimu tęsti gydymą reabilitacijos programose, trunka 14-28 dienas, priklausomai nuo priklausomybės sunkumo, vartotų narkotinių medžiagų dozių, somatinės būklės ir paciento motyvacijos. Vidutiniškai skyriuje per metus gydoma apie 300 pacientų.</w:t>
      </w:r>
    </w:p>
    <w:p w:rsidR="00A2543C" w:rsidRDefault="00A2543C" w:rsidP="00A2543C">
      <w:pPr>
        <w:jc w:val="both"/>
      </w:pPr>
      <w:r>
        <w:tab/>
        <w:t>A</w:t>
      </w:r>
      <w:r w:rsidRPr="001171D7">
        <w:t>tsižvelgiant į romų tabore vis didėjantį besilankančių pacientų skaičių, ribotą lovų skaičių stacionare ir neišvengiamas pacientų eiles, Vilniaus priklausomybės ligų centras neturi tinkamų pajėgumų užtikrinti skubaus narkotinės abstinencijos sindromo gydymo stacionare. Norint užtikrinti skubų narkotinės abstinencijos sindromo gydymą stacionare visiems besikreipiantiems dėl narkotikų vartojimo, reikėtų žymiai padidinti stacionarinių vietų skaičių.</w:t>
      </w:r>
    </w:p>
    <w:p w:rsidR="00A2543C" w:rsidRDefault="00A2543C" w:rsidP="00A2543C">
      <w:pPr>
        <w:jc w:val="both"/>
      </w:pPr>
      <w:r>
        <w:tab/>
      </w:r>
      <w:r w:rsidRPr="001171D7">
        <w:t>Priklausomybė nuo narkotinių medžiagų galėtų būti sėkmingai gydoma ambulatoriškai ne tik Vilniaus priklausomybės ligų centre, bet ir Vilniaus psichikos sveikatos centruose, jei būtų nustatytas Valstybinės ligonių kasos paslaugos įkainis, skatinantis įstaigas teikti šias paslaugas.</w:t>
      </w:r>
    </w:p>
    <w:p w:rsidR="00A2543C" w:rsidRDefault="00A2543C" w:rsidP="00A2543C">
      <w:pPr>
        <w:jc w:val="both"/>
      </w:pPr>
      <w:r>
        <w:tab/>
      </w:r>
      <w:r w:rsidRPr="001171D7">
        <w:t xml:space="preserve">Vilniaus priklausomybės ligų centras vykdė farmokoterapiją opioidioniais vaistiniais preparatais. Atlikto tyrimo duomenys rodo, kad pradėjus dalyvauti farmokoterapijoje opiodioniais vaistiniais preparatais padaugėjo asmenų, kurie susirado darbą ir pradėjo dirbti. Tai liudija, kad farmokoterapija opioidioniais vaistiniais preparatais padeda asmenų integracijai į darbo rinką ir visuomenę. </w:t>
      </w:r>
    </w:p>
    <w:p w:rsidR="00A2543C" w:rsidRDefault="00A2543C" w:rsidP="00A2543C">
      <w:pPr>
        <w:jc w:val="both"/>
      </w:pPr>
      <w:r>
        <w:tab/>
      </w:r>
      <w:r w:rsidRPr="00E73423">
        <w:t xml:space="preserve">Vilniaus </w:t>
      </w:r>
      <w:r>
        <w:t xml:space="preserve">Taboro </w:t>
      </w:r>
      <w:r w:rsidRPr="00E73423">
        <w:t xml:space="preserve">problemą galima spręsti iš esmės tik gerai koordinuojant priemones su teisėsaugos ir kitomis institucijomis, derinant visus prieinamus pagalbos ir gydymo būdus (ambulatorinį, stacionarinį, reabilitaciją) ir reikiamą socialinę – psichologinę pagalbą. </w:t>
      </w:r>
    </w:p>
    <w:p w:rsidR="00A2543C" w:rsidRPr="00E73423" w:rsidRDefault="00A2543C" w:rsidP="00A2543C">
      <w:pPr>
        <w:jc w:val="both"/>
      </w:pPr>
      <w:r>
        <w:tab/>
        <w:t>A</w:t>
      </w:r>
      <w:r w:rsidRPr="001171D7">
        <w:t xml:space="preserve">smens sveikatos priežiūros prieinamumas priklausomiems nuo narkotikų asmenims yra ribotas, yra eilės. Jį išspręsti galima tik patobulinus priklausomybės ligų gydymo finansavimo tvarką, kai PSDF draustiems pacientams būtų padidintas finansavimas iš Valstybinės ligonių kasos, apmokant paslaugas ir kompensuojant medikamentus.  </w:t>
      </w:r>
    </w:p>
    <w:p w:rsidR="00A2543C" w:rsidRDefault="00A2543C" w:rsidP="00A2543C">
      <w:pPr>
        <w:jc w:val="both"/>
      </w:pPr>
      <w:r>
        <w:tab/>
      </w:r>
      <w:r w:rsidRPr="00FB3F5B">
        <w:rPr>
          <w:color w:val="FF0000"/>
        </w:rPr>
        <w:t xml:space="preserve"> </w:t>
      </w:r>
      <w:r w:rsidRPr="00FB3F5B">
        <w:t>Vilniaus apskrities vyriausiojo policijos komisariato duomenimis,</w:t>
      </w:r>
      <w:r w:rsidRPr="000C1902">
        <w:rPr>
          <w:rFonts w:ascii="Calibri" w:hAnsi="Calibri"/>
          <w:kern w:val="24"/>
          <w:sz w:val="36"/>
          <w:szCs w:val="36"/>
          <w:lang w:eastAsia="lt-LT"/>
        </w:rPr>
        <w:t xml:space="preserve"> </w:t>
      </w:r>
      <w:r w:rsidRPr="00FB3F5B">
        <w:rPr>
          <w:lang w:val="en-GB"/>
        </w:rPr>
        <w:t xml:space="preserve"> Vilniaus aps. VPK Vilniaus m., antrojo policijos komisariato Naujininkų policijos nuovados  prižiūrimoje teritorijoje yra šie romų bendruomenės taborai: „viršutinis“, „žemutinis“ – S. Dariaus ir S. Girėno g. ir „Rodūnios kelio“ – Rodūnios kelio g.</w:t>
      </w:r>
      <w:r w:rsidRPr="00FB3F5B">
        <w:t xml:space="preserve"> Vilniaus romų taboruose yra 85 gyvenamieji namai („viršutiniame“ – 56, „žemutiniame“ – 19, „Rodūnios kelio“ – 10), iš kurių nė vienas nėra atitinkamai įregistruotas ir jie vertinami kaip savavališkos statybos.</w:t>
      </w:r>
      <w:r>
        <w:t xml:space="preserve"> </w:t>
      </w:r>
      <w:r w:rsidRPr="00FB3F5B">
        <w:t>Jų gyvenviečių bendras teritorijų plotas užima daugiau kaip 8 hektarus („viršutinio“ – 5, „žemutinio“ – 3, „Rodūnios kelio“ – 1).</w:t>
      </w:r>
      <w:r>
        <w:t xml:space="preserve">  </w:t>
      </w:r>
      <w:r w:rsidRPr="00FB3F5B">
        <w:t>Taboruose gyvena apie 500 asmenų, iš jų apie 200 – vaikai. Taborai įsikūrę Kirtimuose, nuošaliose vietose, jų teritorijų didesnė dalis ribojasi su mišku, todėl tai yra labai patogi vieta nelegaliam narkotikų verslui.</w:t>
      </w:r>
    </w:p>
    <w:p w:rsidR="00A2543C" w:rsidRDefault="00A2543C" w:rsidP="00A2543C">
      <w:pPr>
        <w:jc w:val="both"/>
        <w:rPr>
          <w:bCs/>
        </w:rPr>
      </w:pPr>
      <w:r>
        <w:tab/>
      </w:r>
      <w:r w:rsidRPr="000C1902">
        <w:rPr>
          <w:rFonts w:ascii="Calibri" w:hAnsi="Calibri"/>
          <w:color w:val="000000"/>
          <w:kern w:val="24"/>
          <w:sz w:val="36"/>
          <w:szCs w:val="36"/>
          <w:lang w:eastAsia="lt-LT"/>
        </w:rPr>
        <w:t xml:space="preserve"> </w:t>
      </w:r>
      <w:r w:rsidRPr="00EE1605">
        <w:rPr>
          <w:lang w:val="en-GB"/>
        </w:rPr>
        <w:t>2012 m. vasario mėn. tabore buvo nugriauti 3 statiniai, teismo sprendimu pripažinti nelegalia statyba. Vykdant teismo sprendimą dalyvavo Vilniaus miesto savivaldybės, Statybų inspekcijos, vaiko teisių apsaugos atstovai ir policijos pareigūnai.</w:t>
      </w:r>
      <w:r w:rsidRPr="00EE1605">
        <w:t xml:space="preserve"> Statybos inspekcijos pareigūnai, bendradarbiaudami kartu su Vilniaus m. antrojo PK pareigūnais, surašė 12 faktinių aplinkybių nustatymo aktų dėl nelegalios statybos romų tabore. 2012 m. sausio-balandžio mėn. Vilniaus m. antrojo PK nepilnamečių reikalų specialistės  kartu su Vilniaus m. savivaldybės administracijos Vaiko teisių apsaugos skyriaus inspektorėmis romų šeimose lankėsi 6 kartus (vieno apsilankymo metu </w:t>
      </w:r>
      <w:r w:rsidRPr="00EE1605">
        <w:lastRenderedPageBreak/>
        <w:t>aplankomos 6-7 romų šeimos). Su Saulėtekio ir Naujininkų vidurinių mokyklų socialiniais pedagogais vykdytos 3 bendros priemonės dėl romų tautybės vaikų mokyklos lankomumo.</w:t>
      </w:r>
      <w:r w:rsidRPr="000C1902">
        <w:rPr>
          <w:rFonts w:ascii="Calibri" w:hAnsi="Calibri"/>
          <w:color w:val="000000"/>
          <w:kern w:val="24"/>
          <w:sz w:val="36"/>
          <w:szCs w:val="36"/>
          <w:lang w:eastAsia="lt-LT"/>
        </w:rPr>
        <w:t xml:space="preserve"> </w:t>
      </w:r>
      <w:r w:rsidRPr="00DE1CE4">
        <w:t>2012 m. sausio-balandžio mėn. dalyvaujant Vaiko teisių apsaugos skyriui ir Vilniaus m. antrojo PK pareigūnams dėl nepriežiūros ir likus vaikams be įstatyminių atstovų (tėvai suimti) buvo paimta 17 romų tautybės vaikų ir apgyvendinti laikinosios globos namuose “Gilė”. Bendradarbiaujant su LESTO šiemet atliktos 3 bendros priemonės. Rezultatas -  elektros tiekimas išjungtas 49 namams, taip pat surašytas 1 protokolas dėl nelegalaus prisijungimo. 2012 m. sausio-balandžio mėn. su UAB “Grinda” darbuotojais buvo atliktos 7 tikslinės priemonės dėl benamių gyvūnų tabore. Priemonių metu sugauta 10 valkataujančių šunų.</w:t>
      </w:r>
      <w:r>
        <w:t xml:space="preserve"> Per 2010 m. 4 mėn. sulaikyta 1614 asmenys, 2011 m. 4 mėn. sulaikyta 530 asmenų, per 2012 m. sulaikyti 364 asmenys.  </w:t>
      </w:r>
      <w:r>
        <w:rPr>
          <w:bCs/>
        </w:rPr>
        <w:t xml:space="preserve">2011 metais policijos buvo taikytos 79 prevencinės priemonės. 2011 metais  Tabore sulaikyta beveik </w:t>
      </w:r>
      <w:r w:rsidRPr="009D53A6">
        <w:rPr>
          <w:bCs/>
        </w:rPr>
        <w:t>1700</w:t>
      </w:r>
      <w:r w:rsidRPr="007B7498">
        <w:rPr>
          <w:b/>
          <w:bCs/>
        </w:rPr>
        <w:t xml:space="preserve"> </w:t>
      </w:r>
      <w:r>
        <w:rPr>
          <w:bCs/>
        </w:rPr>
        <w:t xml:space="preserve">asmenų, iš jų 1442 asmenims surašyti administraciniai protokolai (2010 m. surašyti 3122 protokolai) pagal LR ATPK 44 str. 2 d. , pradėti 159 asmenims  ikiteisminiai tyrimai pagal LR BK 259 str.  ir 40 asmenims ikiteisminiai tyrimai pagal LR BK 260 str. Dėl nusikalstamų veikų, susijusių su disponavimu narkotinėmis ir psichotropinėmis medžiagomis pradėti ikiteisminiai tyrimai 2010 m. - 243, 2011 m. – 200, 2012 m.  sausio – balandžio mėn. 51 ikiteisminis tyrimas. </w:t>
      </w:r>
      <w:r w:rsidRPr="00370A97">
        <w:rPr>
          <w:bCs/>
        </w:rPr>
        <w:t>2012 m. sausio-balandžio mėn. pradėti 36 ikiteisminiai tyrimai pagal BK 259 str. ir 15 ikiteisminių tyrimų pagal BK 260 str. 1 d.</w:t>
      </w:r>
      <w:r w:rsidRPr="000C1902">
        <w:rPr>
          <w:rFonts w:ascii="Calibri" w:hAnsi="Calibri"/>
          <w:b/>
          <w:bCs/>
          <w:color w:val="000000"/>
          <w:kern w:val="24"/>
          <w:sz w:val="36"/>
          <w:szCs w:val="36"/>
          <w:lang w:eastAsia="lt-LT"/>
        </w:rPr>
        <w:t xml:space="preserve"> </w:t>
      </w:r>
      <w:r w:rsidRPr="00953D17">
        <w:rPr>
          <w:bCs/>
        </w:rPr>
        <w:t>2012 m. kovo mėn. taboro gyventojų atžvilgiu atliekant ikiteisminius tyrimus dėl neteisėto narkotinių medžiagų platinimo, buvo atlikta 20 kratų romų gyvenamosiose vietose. Kratų metu buvo rasti ir paimti labai dideli narkotinių medžiagų kiekiai.</w:t>
      </w:r>
      <w:r>
        <w:rPr>
          <w:bCs/>
        </w:rPr>
        <w:t xml:space="preserve"> </w:t>
      </w:r>
      <w:r w:rsidRPr="00953D17">
        <w:rPr>
          <w:bCs/>
        </w:rPr>
        <w:t>Iš sulaikytųjų, net 28 asmenims teismas skyrė griežčiausią kardomąją priemonę – suėmimą</w:t>
      </w:r>
      <w:r w:rsidRPr="001C4995">
        <w:rPr>
          <w:bCs/>
        </w:rPr>
        <w:t>.</w:t>
      </w:r>
      <w:r w:rsidRPr="000C1902">
        <w:rPr>
          <w:rFonts w:ascii="Calibri" w:hAnsi="Calibri"/>
          <w:bCs/>
          <w:color w:val="000000"/>
          <w:kern w:val="24"/>
          <w:sz w:val="36"/>
          <w:szCs w:val="36"/>
          <w:lang w:eastAsia="lt-LT"/>
        </w:rPr>
        <w:t xml:space="preserve"> </w:t>
      </w:r>
      <w:r w:rsidRPr="001C4995">
        <w:rPr>
          <w:bCs/>
        </w:rPr>
        <w:t>2011-04-02 pradėtas ikiteisminis tyrimas pagal LR BK 260 str. 3 d. ir 199 str. 2 d., dėl neteisėto labai didelio narkotinių ir psichotropinių medžiagų kiekio disponavimo ir kontrabandos. Stebint asmenų judėjimą kurjeriui kirtus Lietuvos Respublikos valstybinę sieną susitikimo metu sulaikyti trys asmenys, iš kurių du – romų tautybės, organizavę narkotikų kontrabandą. Kirtusio Lietuvos Respublikos sieną automobilio kėbule įrengtose slėptuvėse rasti ir paimti 4 kg narkotinės medžiagos – heroino.</w:t>
      </w:r>
      <w:r>
        <w:rPr>
          <w:bCs/>
        </w:rPr>
        <w:t xml:space="preserve"> Su Rytų skirstomaisiais tinklais atliktos 8 bendros prevencinės priemonės ir nustatyti 39 pažeidimai. Energetikos inspekcija surašė 9 nutarimus administracinėse bylose. Kartu su „Grinda“ išvežta 12 beglobių šunų ir nubausti 10 šunų savininkų. Kartu su vaikų teisių apsaugos darbuotojais dėl nepriežiūros paimta 17 vaikų, kurie apgyvendinti globos namuose „Gilė“. 21 ATPK protokolas surašytas tėvams, kad jų vaikai nelanko mokyklos. 2011 metų iš 17 planuotų paleisti iš laisvės atėmimo vietų  asmenų, kurie atlieka bausmę už neteisėta narkotikų apyvartą Tabore, 80 proc. yra moterys ir 20 proc. vyrai. Tik 3 asmenys yra ankščiau neteisti, kiti teisti nuo 1 iki 6 kartų už įvairius nusikaltimus, tame tarpe ir už narkotikus. Tabore prekyba vyksta, tik keičiasi būdai. Statomos aukštos tvoros, prekiaujama pro langelį. Kai kada leidžia asmeniui leistis narkotikus patalpoje, kartais pinigus perkantysis sumoka kitoje vietoje. Romai tapo uždara bendruomene, įgaunančią kriminalinio klano atspalvį. Trūksta paramos iš Vilniaus miesto savivaldybės.</w:t>
      </w:r>
    </w:p>
    <w:p w:rsidR="00A2543C" w:rsidRDefault="00A2543C" w:rsidP="00A2543C">
      <w:pPr>
        <w:jc w:val="both"/>
        <w:rPr>
          <w:bCs/>
        </w:rPr>
      </w:pPr>
    </w:p>
    <w:p w:rsidR="00A2543C" w:rsidRDefault="00A2543C" w:rsidP="00A2543C">
      <w:pPr>
        <w:jc w:val="both"/>
        <w:rPr>
          <w:b/>
        </w:rPr>
      </w:pPr>
      <w:r>
        <w:rPr>
          <w:bCs/>
        </w:rPr>
        <w:tab/>
      </w:r>
    </w:p>
    <w:p w:rsidR="00A2543C" w:rsidRDefault="00A2543C" w:rsidP="00A2543C">
      <w:pPr>
        <w:ind w:firstLine="360"/>
        <w:jc w:val="both"/>
        <w:rPr>
          <w:b/>
        </w:rPr>
      </w:pPr>
    </w:p>
    <w:p w:rsidR="00A2543C" w:rsidRDefault="00A2543C" w:rsidP="00A2543C">
      <w:pPr>
        <w:pStyle w:val="Sraopastraipa"/>
        <w:numPr>
          <w:ilvl w:val="0"/>
          <w:numId w:val="55"/>
        </w:numPr>
        <w:jc w:val="both"/>
        <w:rPr>
          <w:b/>
        </w:rPr>
      </w:pPr>
      <w:r>
        <w:rPr>
          <w:b/>
        </w:rPr>
        <w:t>Dėl Jungtinių Tautų vaiko teisių konvencijos įgyvendinimo</w:t>
      </w:r>
    </w:p>
    <w:p w:rsidR="00A2543C" w:rsidRDefault="00A2543C" w:rsidP="00A2543C">
      <w:pPr>
        <w:ind w:left="360"/>
        <w:jc w:val="both"/>
        <w:rPr>
          <w:b/>
        </w:rPr>
      </w:pPr>
    </w:p>
    <w:p w:rsidR="00A2543C" w:rsidRPr="001A1301" w:rsidRDefault="00A2543C" w:rsidP="00A2543C">
      <w:pPr>
        <w:ind w:firstLine="360"/>
        <w:jc w:val="both"/>
      </w:pPr>
      <w:r>
        <w:rPr>
          <w:bCs/>
          <w:szCs w:val="20"/>
        </w:rPr>
        <w:t xml:space="preserve">    Komisija 2012-04-12 raštu Nr. S-2012-2843 „Dėl Jungtinių Tautų vaiko teisių konvencijos įgyvendinimo“ kreipėsi į </w:t>
      </w:r>
      <w:r w:rsidRPr="001A1301">
        <w:t xml:space="preserve">Lietuvos Respublikos </w:t>
      </w:r>
      <w:r>
        <w:t xml:space="preserve">Ministrą Pirmininką </w:t>
      </w:r>
      <w:r>
        <w:rPr>
          <w:bCs/>
          <w:szCs w:val="20"/>
        </w:rPr>
        <w:t xml:space="preserve"> Andrių Kubilių.    </w:t>
      </w:r>
    </w:p>
    <w:p w:rsidR="00A2543C" w:rsidRPr="007965BC" w:rsidRDefault="00A2543C" w:rsidP="00A2543C">
      <w:pPr>
        <w:jc w:val="both"/>
        <w:rPr>
          <w:bCs/>
          <w:szCs w:val="20"/>
        </w:rPr>
      </w:pPr>
      <w:r>
        <w:rPr>
          <w:bCs/>
          <w:szCs w:val="20"/>
        </w:rPr>
        <w:t xml:space="preserve">         </w:t>
      </w:r>
      <w:r>
        <w:t xml:space="preserve">Komisija, susipažinusi su </w:t>
      </w:r>
      <w:r w:rsidRPr="00777D81">
        <w:rPr>
          <w:rFonts w:eastAsia="Arial Unicode MS"/>
        </w:rPr>
        <w:t>Tarpžinybin</w:t>
      </w:r>
      <w:r>
        <w:rPr>
          <w:rFonts w:eastAsia="Arial Unicode MS"/>
        </w:rPr>
        <w:t>ės vaiko gerovės tarybos vykdomomis  funkcijomis</w:t>
      </w:r>
      <w:r w:rsidRPr="00777D81">
        <w:rPr>
          <w:rFonts w:eastAsia="Arial Unicode MS"/>
        </w:rPr>
        <w:t xml:space="preserve"> </w:t>
      </w:r>
      <w:r>
        <w:rPr>
          <w:rFonts w:eastAsia="Arial Unicode MS"/>
        </w:rPr>
        <w:t xml:space="preserve">dėl </w:t>
      </w:r>
      <w:r w:rsidRPr="00777D81">
        <w:t xml:space="preserve">ministerijų ir kitų valstybės bei savivaldybių institucijų ir </w:t>
      </w:r>
      <w:r>
        <w:t xml:space="preserve">įstaigų tarpžinybinės veiklos bei </w:t>
      </w:r>
      <w:r w:rsidRPr="00777D81">
        <w:t xml:space="preserve"> priimamų sprendimų derinimo</w:t>
      </w:r>
      <w:r>
        <w:t xml:space="preserve">, nustatė, kad </w:t>
      </w:r>
      <w:r w:rsidRPr="00777D81">
        <w:rPr>
          <w:rFonts w:eastAsia="Arial Unicode MS"/>
        </w:rPr>
        <w:t>Tar</w:t>
      </w:r>
      <w:r>
        <w:rPr>
          <w:rFonts w:eastAsia="Arial Unicode MS"/>
        </w:rPr>
        <w:t xml:space="preserve">pžinybinės vaiko gerovės taryba nėra išklausiusi </w:t>
      </w:r>
      <w:r>
        <w:t>ministerijų ir kitų valstybės bei savivaldybių institucijų ir įstaigų ataskaitų dėl Junginių Tautų vaiko teisių konvencijos įgyvendinimo.</w:t>
      </w:r>
    </w:p>
    <w:p w:rsidR="00A2543C" w:rsidRDefault="00A2543C" w:rsidP="00A2543C">
      <w:pPr>
        <w:ind w:firstLine="720"/>
        <w:jc w:val="both"/>
      </w:pPr>
      <w:r>
        <w:t xml:space="preserve">Komisija nustatė, kad Lietuva yra gavusi Jungtinių Tautų vaiko teisių komiteto išvadas dėl Lietuvos Respublikos įžanginės ataskaitos ir  dėl antros periodinės Lietuvos atskaitos. Išvadose dėl antros periodinės Lietuvos atskaitos, Komitetas paprašė valstybę šalį pateikti kitą periodinę ataskaitą prieš datą, nustatytą Konvencijoje ketvirtos periodinės ataskaitos pateikimui, t.y. 2009 m. vasario 28 d. Ši ataskaita turėtų sujungti trečią ir ketvirtą periodines ataskaitas. Komitetas tikėjosi, kad po to valstybė šalis ataskaitas pateiks kas penkeri metai, kaip numatyta Konvencijoje. Lietuva numatytai datai savo ataskaitą pateikė.  Dabartiniu metu laukiamos Jungtinių Tautų vaiko teisių komiteto išvados dėl  periodinės Lietuvos atskaitos. </w:t>
      </w:r>
    </w:p>
    <w:p w:rsidR="00A2543C" w:rsidRDefault="00A2543C" w:rsidP="00A2543C">
      <w:pPr>
        <w:ind w:firstLine="720"/>
        <w:jc w:val="both"/>
      </w:pPr>
      <w:r>
        <w:lastRenderedPageBreak/>
        <w:t>Nevyriausybinių organizacijų vaikams komentarai yra pateikti: dėl Lietuvos Respublikos</w:t>
      </w:r>
      <w:r w:rsidRPr="00F91EBB">
        <w:t xml:space="preserve"> </w:t>
      </w:r>
      <w:r>
        <w:t>įžanginės ataskaitos; dėl Lietuvos Respublikos II-III jungtinės ataskaitos ir dėl Lietuvos Respublikos 2009 m. ataskaitos dėl Jungtinių Tautų vaiko teisių konvencijos įgyvendinimo Lietuvoje.</w:t>
      </w:r>
    </w:p>
    <w:p w:rsidR="00A2543C" w:rsidRDefault="00A2543C" w:rsidP="00A2543C">
      <w:pPr>
        <w:ind w:firstLine="720"/>
        <w:jc w:val="both"/>
      </w:pPr>
      <w:r>
        <w:t xml:space="preserve"> Komisija, nagrinėdama  vaikų socialinės gerovės; </w:t>
      </w:r>
      <w:r w:rsidRPr="00777D81">
        <w:t>vaikų sveikatos gerinimo ir</w:t>
      </w:r>
      <w:r>
        <w:t xml:space="preserve"> sveikatos paslaugų prieinamumo; vaikų ugdymo ir užimtumo; </w:t>
      </w:r>
      <w:r w:rsidRPr="00777D81">
        <w:t>vaikų teisinio švietimo ir valstybės garantuojamos teis</w:t>
      </w:r>
      <w:r>
        <w:t xml:space="preserve">inės pagalbos teikimo; </w:t>
      </w:r>
      <w:r w:rsidRPr="00777D81">
        <w:t>vaikų nusikalstamumo, smurto prieš vaikus, prekybos vaikais ir kitų vai</w:t>
      </w:r>
      <w:r>
        <w:t>ko teisių pažeidimo prevencijos; d</w:t>
      </w:r>
      <w:r w:rsidRPr="00777D81">
        <w:t>ėl tarpusavio  priemonių, užtikrinančių vaiko teises ir j</w:t>
      </w:r>
      <w:r>
        <w:t xml:space="preserve">o teisėtus interesus, planavimo; </w:t>
      </w:r>
      <w:r w:rsidRPr="00F91EBB">
        <w:t>dėl esamos vaiko gerovės padėties ir pasiūlymų dėl vaiko gerovės valstybės politikos tobulinimo, Lietuvos Respublikos įstatymų ir kitų teisės aktų, reglamentuojančių vaiko teisių bei teisėtų interesų apsaugos ir gynimo klausimais</w:t>
      </w:r>
      <w:r>
        <w:t xml:space="preserve">, nustatė, kad iki šiol nėra įgyvendintos </w:t>
      </w:r>
      <w:r w:rsidRPr="00127984">
        <w:t>Jungtinių Tautų vaiko teisių komite</w:t>
      </w:r>
      <w:r>
        <w:t>to rekomendacijo</w:t>
      </w:r>
      <w:r w:rsidRPr="00127984">
        <w:t>s</w:t>
      </w:r>
      <w:r>
        <w:t>.</w:t>
      </w:r>
    </w:p>
    <w:p w:rsidR="00A2543C" w:rsidRDefault="00A2543C" w:rsidP="00A2543C">
      <w:pPr>
        <w:ind w:firstLine="720"/>
        <w:jc w:val="both"/>
      </w:pPr>
      <w:r>
        <w:t>Komisija pasiūlė</w:t>
      </w:r>
      <w:r w:rsidRPr="00F91EBB">
        <w:t xml:space="preserve"> </w:t>
      </w:r>
      <w:r>
        <w:t>Tarpžinybinei vaiko gerovės tarybai iki š. m. liepos 1 d. išklausyti ministerijų ir kitų valstybės bei savivaldybių institucijų ir įstaigų ataskaitas dėl Junginių Tautų vaiko teisių konvencijos įgyvendinimo ir pateikti siūlymus.</w:t>
      </w:r>
    </w:p>
    <w:p w:rsidR="00A2543C" w:rsidRPr="00127984" w:rsidRDefault="00A2543C" w:rsidP="00A2543C">
      <w:pPr>
        <w:ind w:firstLine="720"/>
        <w:jc w:val="both"/>
      </w:pPr>
      <w:r>
        <w:t xml:space="preserve">Atkreipiame Jūsų dėmesį į tai, kad iki šiol neatsižvelgta į  Jungtinių Tautų vaiko teisių komiteto išvadas  ir rekomendacijas: dėl </w:t>
      </w:r>
      <w:r w:rsidRPr="00127984">
        <w:t>centrinės koordinuojančios institucijos sukūrimo</w:t>
      </w:r>
      <w:r>
        <w:t xml:space="preserve">; dėl </w:t>
      </w:r>
      <w:r w:rsidRPr="00127984">
        <w:t xml:space="preserve"> vaikų gerovės p</w:t>
      </w:r>
      <w:r>
        <w:t>olitikai skiriamų lėšų išskirimo</w:t>
      </w:r>
      <w:r w:rsidRPr="00127984">
        <w:t xml:space="preserve"> atskiromis eilutėmis nacionaliniame ir savivaldybių biudžetuose;</w:t>
      </w:r>
      <w:r>
        <w:t xml:space="preserve"> dėl </w:t>
      </w:r>
      <w:r w:rsidRPr="00127984">
        <w:t xml:space="preserve">vaikų, patyrusių smurtą ir prievartą nepakankamos reabilitavimo sistemos </w:t>
      </w:r>
      <w:r>
        <w:t>ir neturinčios reikiamos infrastruktūros; dėl ne</w:t>
      </w:r>
      <w:r w:rsidRPr="00127984">
        <w:t>pak</w:t>
      </w:r>
      <w:r>
        <w:t>ankamo darbo</w:t>
      </w:r>
      <w:r w:rsidRPr="00127984">
        <w:t xml:space="preserve"> su vaikų</w:t>
      </w:r>
      <w:r>
        <w:t xml:space="preserve">, kurie yra globos namuose ir šeimynose, </w:t>
      </w:r>
      <w:r w:rsidRPr="00127984">
        <w:t xml:space="preserve"> biologiniais tėvais.</w:t>
      </w:r>
    </w:p>
    <w:p w:rsidR="00A2543C" w:rsidRDefault="00A2543C" w:rsidP="00A2543C">
      <w:pPr>
        <w:ind w:firstLine="720"/>
        <w:jc w:val="both"/>
      </w:pPr>
      <w:r>
        <w:t xml:space="preserve">Komisija paprašė svarstyti </w:t>
      </w:r>
      <w:r w:rsidRPr="00127984">
        <w:t>centrinės koordinuojančios institucijos sukūrimo</w:t>
      </w:r>
      <w:r>
        <w:t xml:space="preserve"> klausimą; nuo 2013 metų numatyti </w:t>
      </w:r>
      <w:r w:rsidRPr="00127984">
        <w:t>atskiromis eilutėmis nacionaliniame ir savivaldybių biudžetuose</w:t>
      </w:r>
      <w:r>
        <w:t xml:space="preserve"> </w:t>
      </w:r>
      <w:r w:rsidRPr="00127984">
        <w:t>vaikų gerovės p</w:t>
      </w:r>
      <w:r>
        <w:t>olitikai skiriamas lėšas; sukurti vaikams, patyrusiems</w:t>
      </w:r>
      <w:r w:rsidRPr="00127984">
        <w:t xml:space="preserve"> smurtą ir prievartą reab</w:t>
      </w:r>
      <w:r>
        <w:t xml:space="preserve">ilitavimo sistemą ir reikiamą infrastruktūrą; skubiai vykdyti priemones skirtas darbui </w:t>
      </w:r>
      <w:r w:rsidRPr="00127984">
        <w:t>su vaikų</w:t>
      </w:r>
      <w:r>
        <w:t xml:space="preserve">, kurie yra globos namuose ir šeimynose, </w:t>
      </w:r>
      <w:r w:rsidRPr="00127984">
        <w:t xml:space="preserve"> biologiniais tėvais.</w:t>
      </w:r>
    </w:p>
    <w:p w:rsidR="00A2543C" w:rsidRDefault="00A2543C" w:rsidP="00A2543C">
      <w:pPr>
        <w:ind w:firstLine="360"/>
        <w:jc w:val="both"/>
        <w:rPr>
          <w:b/>
        </w:rPr>
      </w:pPr>
    </w:p>
    <w:p w:rsidR="00A2543C" w:rsidRDefault="00A2543C" w:rsidP="00A2543C">
      <w:pPr>
        <w:pStyle w:val="Sraopastraipa"/>
        <w:numPr>
          <w:ilvl w:val="0"/>
          <w:numId w:val="55"/>
        </w:numPr>
        <w:jc w:val="both"/>
        <w:rPr>
          <w:b/>
        </w:rPr>
      </w:pPr>
      <w:r>
        <w:rPr>
          <w:b/>
        </w:rPr>
        <w:t>Dėl vaikų faktinės gyvenamosios vietos</w:t>
      </w:r>
    </w:p>
    <w:p w:rsidR="00A2543C" w:rsidRPr="007965BC" w:rsidRDefault="00A2543C" w:rsidP="00A2543C">
      <w:pPr>
        <w:pStyle w:val="Sraopastraipa"/>
        <w:ind w:left="1080"/>
        <w:jc w:val="both"/>
        <w:rPr>
          <w:b/>
        </w:rPr>
      </w:pPr>
    </w:p>
    <w:p w:rsidR="00A2543C" w:rsidRDefault="00A2543C" w:rsidP="00A2543C">
      <w:pPr>
        <w:ind w:firstLine="1080"/>
        <w:jc w:val="both"/>
      </w:pPr>
      <w:r>
        <w:rPr>
          <w:bCs/>
          <w:szCs w:val="20"/>
        </w:rPr>
        <w:t xml:space="preserve">Komisija 2012-04-30 raštu Nr. S-2012- 3560 „Dėl vaikų faktinės gyvenamosios vietos“ kreipėsi į Vidaus reikalų ministrą Artūrą Melianą su prašymu </w:t>
      </w:r>
      <w:r>
        <w:t>per teritorines policijos įstaigas padėti nustatyti virš 3000 vaikų faktinę gyvenamąją vietą,</w:t>
      </w:r>
      <w:r>
        <w:rPr>
          <w:bCs/>
          <w:szCs w:val="20"/>
        </w:rPr>
        <w:t xml:space="preserve"> </w:t>
      </w:r>
      <w:r>
        <w:t xml:space="preserve">Komisija nurodė, kad nagrinėja nesimokančių vaikų klausimą. Seimo Narkomanijos ir alkoholizmo prevencijos komisija 2011-06-29 sprendimu atkreipė Lietuvos Respublikos Vyriausybės dėmesį į  nerastų 6465 ir nesimokančių iki 16 metų vaikų problemą. Komisija pasiūlė šiais  klausimais sudaryti tarpinstitucinę darbo grupę. Ministro Pirmininko kancleris Deividas Matulionis 2011-07-11  Komisijos siūlymus  ir sprendimą nukreipė  Švietimo ir mokslo, Socialinės apsaugos ir darbo, Vidaus reikalų ir Teisingumo ministerijoms ir sudarė darbo grupę dėl Komisijos 2011 m. lapkričio 9 d. sprendimo „Dėl nesimokančių vaikų“ įgyvendinimo. Darbo grupė aptarė nesimokančių vaikų problematiką ir parengė teisės aktų projektus. Tačiau, vaikų paieška iki šiol nevyksta. Savivaldybės neranda virš 3000 nesimokančių vaikų ir nenustato jų faktinės gyvenamosios vietos. Yra pagrįstų įtarimų, kad gali būti pažeidžiama šių vaikų teisė mokytis.   </w:t>
      </w:r>
    </w:p>
    <w:p w:rsidR="00A2543C" w:rsidRDefault="00A2543C" w:rsidP="00A2543C">
      <w:pPr>
        <w:jc w:val="both"/>
      </w:pPr>
      <w:r>
        <w:tab/>
        <w:t xml:space="preserve">Komisija paprašė per teritorines policijos įstaigas padėti nustatyti virš 3000 vaikų faktinę gyvenamąją vietą, kad galima būtų pradėti jų tėvams arba juos atstovaujantiems asmenims administracinės teisės pažeidimo teiseną. </w:t>
      </w:r>
    </w:p>
    <w:p w:rsidR="00A2543C" w:rsidRDefault="00A2543C" w:rsidP="00A2543C">
      <w:pPr>
        <w:ind w:firstLine="360"/>
        <w:jc w:val="both"/>
        <w:rPr>
          <w:b/>
        </w:rPr>
      </w:pPr>
    </w:p>
    <w:p w:rsidR="00A2543C" w:rsidRDefault="00A2543C" w:rsidP="00A2543C">
      <w:pPr>
        <w:pStyle w:val="Sraopastraipa"/>
        <w:numPr>
          <w:ilvl w:val="0"/>
          <w:numId w:val="55"/>
        </w:numPr>
        <w:jc w:val="both"/>
        <w:rPr>
          <w:b/>
        </w:rPr>
      </w:pPr>
      <w:r>
        <w:rPr>
          <w:b/>
        </w:rPr>
        <w:t xml:space="preserve">Dėl metodinės medžiagos panaudojimo </w:t>
      </w:r>
    </w:p>
    <w:p w:rsidR="00A2543C" w:rsidRPr="000836F1" w:rsidRDefault="00A2543C" w:rsidP="00A2543C">
      <w:pPr>
        <w:jc w:val="both"/>
        <w:rPr>
          <w:b/>
        </w:rPr>
      </w:pPr>
    </w:p>
    <w:p w:rsidR="00A2543C" w:rsidRDefault="00A2543C" w:rsidP="00A2543C">
      <w:pPr>
        <w:jc w:val="both"/>
      </w:pPr>
      <w:r>
        <w:rPr>
          <w:bCs/>
          <w:szCs w:val="20"/>
        </w:rPr>
        <w:tab/>
        <w:t>Komisija 2012-06-12 raštu Nr. S-2012-4996 „Dėl metodinės medžiagos panaudojimo“ kreipėsi į</w:t>
      </w:r>
      <w:r w:rsidRPr="000836F1">
        <w:rPr>
          <w:bCs/>
          <w:szCs w:val="20"/>
        </w:rPr>
        <w:t xml:space="preserve"> </w:t>
      </w:r>
      <w:r>
        <w:rPr>
          <w:bCs/>
          <w:szCs w:val="20"/>
        </w:rPr>
        <w:t xml:space="preserve">Lietuvos Respublikos Vyriausybę su siūlymu </w:t>
      </w:r>
      <w:r>
        <w:t>įvairiuose Lietuvos regionuose įgyvendinti  projektą pagal LiJOT parengtą</w:t>
      </w:r>
      <w:r w:rsidRPr="00F37F23">
        <w:t xml:space="preserve"> </w:t>
      </w:r>
      <w:r>
        <w:t xml:space="preserve">metodiką. </w:t>
      </w:r>
    </w:p>
    <w:p w:rsidR="00A2543C" w:rsidRDefault="00A2543C" w:rsidP="00A2543C">
      <w:pPr>
        <w:ind w:firstLine="1296"/>
        <w:jc w:val="both"/>
      </w:pPr>
      <w:r>
        <w:t xml:space="preserve">Komisija, atsižvelgdama į Lietuvos Respublikos Seimo  2009 m. spalio 22 d. rezoliucijos „Dėl    narkotikų kontrolės politikos tęstinumo“ raginimą nevyriausybinėms organizacijoms ir visuomenei prisidėti įgyvendinant bendras kovos su narkotikų platinimu priemones, atkreipė Lietuvos Respublikos Vyriausybės dėmesį į parengtą ir nenaudojamą rizikos grupių jaunimo užimtumo skatinimo ir įtraukimo į darbo rinką metodiką. </w:t>
      </w:r>
    </w:p>
    <w:p w:rsidR="00A2543C" w:rsidRDefault="00A2543C" w:rsidP="00A2543C">
      <w:pPr>
        <w:jc w:val="both"/>
      </w:pPr>
      <w:r>
        <w:tab/>
        <w:t xml:space="preserve">Komisija nurodė, kad Lietuvoje 2004-2008 metais Europos Bendrijų iniciatyva buvo vykdoma EQUAL programa, kurios biudžetas sudarė 15,82 mln. eurų ir apėmė 28 vystymo bendrijas. </w:t>
      </w:r>
      <w:r>
        <w:lastRenderedPageBreak/>
        <w:t xml:space="preserve">Ši programa siekė suteikti visoms socialiai pažeidžiamoms grupėms lygiavertes galimybes dalyvauti darbo rinkoje ir visuomeniniame gyvenime. Vyko keli įgyvendinimo etapai, dauguma dalyvių buvo nevyriausybinės organizacijos, valstybinės institucijos ir verslo organizacijos.   </w:t>
      </w:r>
    </w:p>
    <w:p w:rsidR="00A2543C" w:rsidRDefault="00A2543C" w:rsidP="00A2543C">
      <w:pPr>
        <w:jc w:val="both"/>
      </w:pPr>
      <w:r>
        <w:tab/>
        <w:t xml:space="preserve">Komisija pažymi, kad apie sėkmingai Lietuvoje įgyvendintą projektą „Lietuvos jaunimo užimtumo tobulinimo vystymo bendrija“, kurio pagrindu buvo sukurta rizikos grupių jaunimo užimtumo skatinimo ir įtraukimo į darbo rinką metodika, kurios sudarytojai - Lietuvos jaunimo organizacijų taryba (toliau- LiJOT)  ir kt. Išleistas metodinis leidinys „Gali pasitikėti savimi“. </w:t>
      </w:r>
    </w:p>
    <w:p w:rsidR="00A2543C" w:rsidRDefault="00A2543C" w:rsidP="00A2543C">
      <w:pPr>
        <w:jc w:val="both"/>
      </w:pPr>
      <w:r>
        <w:tab/>
        <w:t xml:space="preserve">Šis projektas, leido sukurti ir išbandyti unikalią jaunimo įtraukimo į darbo rinką metodiką, sėkmingai gali būti įtrauktas į 2013 metų narkomanijos  ir alkoholizmo prevencijos priemonių planus, kuriuos įgyvendintų Lietuvos jaunimo organizacijų taryba, dirbant su rizikos grupių jaunimu bei siekiant šį jaunimą integruoti į visuomenę, švietimo sistemą ir darbo rinką. </w:t>
      </w:r>
    </w:p>
    <w:p w:rsidR="00A2543C" w:rsidRDefault="00A2543C" w:rsidP="00A2543C">
      <w:pPr>
        <w:jc w:val="both"/>
      </w:pPr>
      <w:r>
        <w:tab/>
        <w:t xml:space="preserve">Komisijos duomenimis Lietuvoje veikia tik 9 atviri jaunimo centrai ir 4 daugiafunkciniai centrai. Finansinė parama jaunimo ir su jaunimu dirbančioms organizacijoms ribota. </w:t>
      </w:r>
    </w:p>
    <w:p w:rsidR="00A2543C" w:rsidRDefault="00A2543C" w:rsidP="00A2543C">
      <w:pPr>
        <w:jc w:val="both"/>
      </w:pPr>
      <w:r>
        <w:tab/>
        <w:t xml:space="preserve">2012-02-01 savivaldybių ataskaitoje pažymėti 3810 vaikai, kurie jų teritorijoje gyvena, bet nesimoko ir, kurių amžius nuo 17 iki 18 metų, iš jų 1741 mergaitės. Neprivalomas mokslas 1412 vaikams, iš jų 593 mergaitėms. Dalis jų yra rizikos grupėms priklausantis jaunimas. Pažymėtina ir tai, kad asmenų, kurie atlieka bausmę laisvės atėmimo vietose amžiaus vidurkis yra 27-29 metai. Iš virš 3 tūkstančių, 20 proc. vartoję narkotikus. </w:t>
      </w:r>
    </w:p>
    <w:p w:rsidR="00A2543C" w:rsidRDefault="00A2543C" w:rsidP="00A2543C">
      <w:pPr>
        <w:jc w:val="both"/>
      </w:pPr>
      <w:r>
        <w:tab/>
        <w:t>Susitikimo su Komisijos nariais metu, LiJOT atstovai teigė, kad</w:t>
      </w:r>
      <w:r w:rsidRPr="005B20A1">
        <w:t xml:space="preserve"> </w:t>
      </w:r>
      <w:r>
        <w:t>jeigu  būtų finansavimas, jie būtų pajėgus įvairiuose Lietuvos regionuose įgyvendinti  projektą pagal LiJOT parengtą</w:t>
      </w:r>
      <w:r w:rsidRPr="00F37F23">
        <w:t xml:space="preserve"> </w:t>
      </w:r>
      <w:r>
        <w:t xml:space="preserve">metodiką. </w:t>
      </w:r>
    </w:p>
    <w:p w:rsidR="00A2543C" w:rsidRDefault="00A2543C" w:rsidP="00A2543C">
      <w:pPr>
        <w:jc w:val="both"/>
      </w:pPr>
      <w:r>
        <w:tab/>
        <w:t>Komisija paprašė svarstyti galimybę</w:t>
      </w:r>
      <w:r w:rsidRPr="005B20A1">
        <w:t xml:space="preserve"> </w:t>
      </w:r>
      <w:r>
        <w:t>nuo 2013 metų vykdyti Lietuvoje projektą</w:t>
      </w:r>
      <w:r w:rsidRPr="005B20A1">
        <w:t xml:space="preserve"> </w:t>
      </w:r>
      <w:r>
        <w:t xml:space="preserve"> ir jį finansuoti, siekiant rizikos grupių jaunimą integruoti į visuomenę, švietimo sistemą ir darbo rinką, pagal LiJOT parengtą</w:t>
      </w:r>
      <w:r w:rsidRPr="00F37F23">
        <w:t xml:space="preserve"> </w:t>
      </w:r>
      <w:r>
        <w:t xml:space="preserve">metodiką, įtraukiant LiJOT narius  į šio projekto įgyvendinimą. </w:t>
      </w:r>
    </w:p>
    <w:p w:rsidR="00A2543C" w:rsidRDefault="00A2543C" w:rsidP="00A2543C">
      <w:pPr>
        <w:jc w:val="both"/>
        <w:rPr>
          <w:bCs/>
          <w:szCs w:val="20"/>
        </w:rPr>
      </w:pPr>
    </w:p>
    <w:p w:rsidR="00A2543C" w:rsidRPr="00967633" w:rsidRDefault="00A2543C" w:rsidP="00A2543C">
      <w:pPr>
        <w:pStyle w:val="Sraopastraipa"/>
        <w:numPr>
          <w:ilvl w:val="0"/>
          <w:numId w:val="55"/>
        </w:numPr>
        <w:jc w:val="both"/>
        <w:rPr>
          <w:b/>
          <w:bCs/>
          <w:szCs w:val="20"/>
        </w:rPr>
      </w:pPr>
      <w:r w:rsidRPr="00967633">
        <w:rPr>
          <w:b/>
          <w:bCs/>
          <w:szCs w:val="20"/>
        </w:rPr>
        <w:t xml:space="preserve">Dėl </w:t>
      </w:r>
      <w:r>
        <w:rPr>
          <w:b/>
          <w:bCs/>
          <w:szCs w:val="20"/>
        </w:rPr>
        <w:t xml:space="preserve">Komisijoje </w:t>
      </w:r>
      <w:r w:rsidRPr="00967633">
        <w:rPr>
          <w:b/>
          <w:bCs/>
          <w:szCs w:val="20"/>
        </w:rPr>
        <w:t xml:space="preserve">gautų pasiūlymų </w:t>
      </w:r>
    </w:p>
    <w:p w:rsidR="00A2543C" w:rsidRDefault="00A2543C" w:rsidP="00A2543C">
      <w:pPr>
        <w:jc w:val="both"/>
        <w:rPr>
          <w:bCs/>
          <w:szCs w:val="20"/>
        </w:rPr>
      </w:pPr>
    </w:p>
    <w:p w:rsidR="00A2543C" w:rsidRDefault="00A2543C" w:rsidP="00A2543C">
      <w:pPr>
        <w:jc w:val="both"/>
        <w:rPr>
          <w:bCs/>
          <w:szCs w:val="20"/>
        </w:rPr>
      </w:pPr>
    </w:p>
    <w:p w:rsidR="00A2543C" w:rsidRDefault="00A2543C" w:rsidP="00A2543C">
      <w:pPr>
        <w:jc w:val="both"/>
        <w:rPr>
          <w:bCs/>
          <w:szCs w:val="20"/>
        </w:rPr>
      </w:pPr>
      <w:r>
        <w:rPr>
          <w:bCs/>
          <w:szCs w:val="20"/>
        </w:rPr>
        <w:tab/>
        <w:t xml:space="preserve">Komisija 2012-09-25 Nr. S-2012-7285 „Dėl gautų pasiūlymų“ kreipėsi į Lietuvos Respublikos Vyriausybę </w:t>
      </w:r>
      <w:r>
        <w:t xml:space="preserve">dėl importo, eksporto ir tranzito sąvokų pakeitimo. </w:t>
      </w:r>
      <w:r>
        <w:rPr>
          <w:bCs/>
          <w:szCs w:val="20"/>
        </w:rPr>
        <w:t xml:space="preserve">   </w:t>
      </w:r>
    </w:p>
    <w:p w:rsidR="00A2543C" w:rsidRDefault="00A2543C" w:rsidP="00A2543C">
      <w:pPr>
        <w:ind w:firstLine="1296"/>
        <w:jc w:val="both"/>
      </w:pPr>
      <w:r>
        <w:t xml:space="preserve">Komisija nurodė, kad 2012-09-17 gavo Seimo Kanceliarijos Komunikacijos departamento Priėmimo skyriaus persiųstą Muitinės kriminalinės tarnybos Klaipėdos skyriaus kreipimąsi dėl importo, eksporto ir tranzito sąvokų pakeitimo. </w:t>
      </w:r>
    </w:p>
    <w:p w:rsidR="00A2543C" w:rsidRDefault="00A2543C" w:rsidP="00A2543C">
      <w:pPr>
        <w:jc w:val="both"/>
      </w:pPr>
      <w:r>
        <w:tab/>
        <w:t xml:space="preserve">Kreipimesi nurodyta, kad Lietuvos Respublikos muitų teritorijoje galiojo sąvoka, kad  „...eksportas yra išgabenimas iš Lietuvos Respublikos muitų teritorijos...“, kuri prieštarauja Bendrijos muitinės kodeksui. Nuo 2004-05-01 Europos Bendrijos muitų teritorijoje yra prievolė deklaruoti muitinėje prekes, jas išgabenant į trečiąsias šalis, įvežant iš trečiųjų šalių arba prekes gabenant per Bendrijos teritoriją. Pažeidus numatytą prievolę, taikoma administracinė ar baudžiamoji atsakomybė. </w:t>
      </w:r>
    </w:p>
    <w:p w:rsidR="00A2543C" w:rsidRDefault="00A2543C" w:rsidP="00A2543C">
      <w:pPr>
        <w:jc w:val="both"/>
      </w:pPr>
      <w:r>
        <w:tab/>
        <w:t xml:space="preserve">Muitinės kriminalinės tarnybos Klaipėdos skyrius siūlo pakeisti eksporto, importo ir tranzito sąvokas dėl narkotinių ir psichotropinių medžiagų išvežimo iš Bendrijos muitų teritorijos, išvežimo į Bendrijos muitų teritoriją ir gabenimo per bendrijos muitų teritoriją muitinei prižiūrint,  suvienodinant jas su  Bendrijos muitinės kodeksu.  </w:t>
      </w:r>
    </w:p>
    <w:p w:rsidR="00A2543C" w:rsidRPr="001315C6" w:rsidRDefault="00A2543C" w:rsidP="00A2543C">
      <w:pPr>
        <w:jc w:val="both"/>
      </w:pPr>
      <w:r>
        <w:tab/>
        <w:t xml:space="preserve">Komisija paprašė sudaryti darbo grupę minėtai  problemai išnagrinėti ir parengti importo, eksporto ir tranzito sąvokos pakeitimo projektą. </w:t>
      </w:r>
    </w:p>
    <w:p w:rsidR="00A2543C" w:rsidRDefault="00A2543C" w:rsidP="00A2543C">
      <w:pPr>
        <w:ind w:firstLine="360"/>
        <w:jc w:val="both"/>
        <w:rPr>
          <w:b/>
        </w:rPr>
      </w:pPr>
    </w:p>
    <w:p w:rsidR="00A2543C" w:rsidRDefault="00A2543C" w:rsidP="00A2543C">
      <w:pPr>
        <w:pStyle w:val="Sraopastraipa"/>
        <w:numPr>
          <w:ilvl w:val="0"/>
          <w:numId w:val="55"/>
        </w:numPr>
        <w:jc w:val="both"/>
        <w:rPr>
          <w:b/>
        </w:rPr>
      </w:pPr>
      <w:r>
        <w:rPr>
          <w:b/>
        </w:rPr>
        <w:t xml:space="preserve">Dėl saldainių su kanapių sėklomis </w:t>
      </w:r>
    </w:p>
    <w:p w:rsidR="00A2543C" w:rsidRDefault="00A2543C" w:rsidP="00A2543C">
      <w:pPr>
        <w:jc w:val="both"/>
        <w:rPr>
          <w:bCs/>
          <w:szCs w:val="20"/>
        </w:rPr>
      </w:pPr>
    </w:p>
    <w:p w:rsidR="00A2543C" w:rsidRDefault="00A2543C" w:rsidP="00A2543C">
      <w:pPr>
        <w:jc w:val="both"/>
        <w:rPr>
          <w:bCs/>
          <w:szCs w:val="20"/>
        </w:rPr>
      </w:pPr>
      <w:r>
        <w:rPr>
          <w:bCs/>
          <w:szCs w:val="20"/>
        </w:rPr>
        <w:tab/>
        <w:t xml:space="preserve">Komisija 2012-10-11 Nr. S-2012-7694 „Dėl saldainių su kanapių sėklomis“ kreipėsi į Lietuvos Respublikos Vyriausybę  </w:t>
      </w:r>
      <w:r>
        <w:t xml:space="preserve">įvertinti  atsakingų institucijų veiksmus, kurie nesiėmė priemonių ir neužtikrino teisės aktų laikymosi Lietuvoje.  </w:t>
      </w:r>
      <w:r>
        <w:rPr>
          <w:bCs/>
          <w:szCs w:val="20"/>
        </w:rPr>
        <w:t xml:space="preserve"> </w:t>
      </w:r>
    </w:p>
    <w:p w:rsidR="00A2543C" w:rsidRDefault="00A2543C" w:rsidP="00A2543C">
      <w:pPr>
        <w:ind w:firstLine="720"/>
        <w:jc w:val="both"/>
      </w:pPr>
      <w:r>
        <w:t>Komisija 2012-10-02 gavo informaciją, kad UAB „Rimi Lietuva“  leidinyje „Rimi leidinys“ Nr. 40 išplatinta informacija apie saldainius su kanapių sėklomis. Matyti, kad minėtus saldainius pagamino „Uždaroji akcinė bendrovė Rūta“.</w:t>
      </w:r>
    </w:p>
    <w:p w:rsidR="00A2543C" w:rsidRDefault="00A2543C" w:rsidP="00A2543C">
      <w:pPr>
        <w:ind w:firstLine="720"/>
        <w:jc w:val="both"/>
      </w:pPr>
      <w:r>
        <w:t xml:space="preserve">Narkotikų, tabako ir alkoholio kontrolės departamentas 2012-10-10 rašte Nr. S-(4,3-1)-2756 „Dėl informacijos apie saldainius su kanapių sėklomis“,  Komisijai nurodė, kad pagal 1961 metų Bendrosios narkotinių medžiagų konvencijos 1 straipsnį „narkotinė medžiaga - kiekviena gamtinė ar </w:t>
      </w:r>
      <w:r>
        <w:lastRenderedPageBreak/>
        <w:t xml:space="preserve">sintetinė medžiaga, įtraukta į I ar II sąrašą“. Kanapės, kanapių derva, kanapių ekstraktai ir tinktūros įtrauktos į I narkotinių medžiagų sąrašą. Pagal Lietuvos Respublikos narkotinių ir psichotropinių medžiagų kontrolės įstatymo (Žin., 1998, Nr. 8-161) 2 straipsnio 1 dalį „narkotinės ir psichotropinės medžiagos - į Sveikatos apsaugos ministerijos patvirtintus kontroliuojamų medžiagų sąrašus įrašytos gamtinės ar sintetinės medžiagos, kurios dėl kenksmingo poveikio ar piktnaudžiavimo jomis sukelia sunkų žmogaus sveikatos sutrikimą, pasireiškiantį asmens psichine ir fizine priklausomybe nuo jų, ar pavojų žmogaus sveikatai“. Lietuvos Respublikos baudžiamojo kodekso (Žin., 2000, Nr. </w:t>
      </w:r>
      <w:hyperlink r:id="rId240" w:history="1">
        <w:r>
          <w:rPr>
            <w:rStyle w:val="Hipersaitas"/>
          </w:rPr>
          <w:t>89-2741</w:t>
        </w:r>
      </w:hyperlink>
      <w:r>
        <w:t xml:space="preserve">) 269 straipsnio 1 dalyje taip pat duodama nuoroda į Sveikatos apsaugos ministerijos patvirtintus narkotinių ir psichotropinių medžiagų sąrašus. Į Narkotinių ir psichotropinių medžiagų sąrašų, patvirtintų Lietuvos Respublikos sveiktos apsaugos ministro 2000 m. sausio 6 d. įsakymu Nr. 5 (Žin., 2000, Nr. 4-113), I sąrašą įtrauktos kanapės (ir jų dalys) (Cannabis plant), kanapių aliejus (Cannabis oil), kanapių derva (Cannabis resin), kanapių ekstraktai ir tinktūros (Extracts and tinctures of cannabis). </w:t>
      </w:r>
      <w:r>
        <w:rPr>
          <w:lang w:eastAsia="lt-LT"/>
        </w:rPr>
        <w:t xml:space="preserve">Augalo (kanapės) dalys yra augalo struktūros ir organai (šaknys, stiebai, ūgliai, lapai, žiedynai, žiedai, žiedadulkės, vaisiai, sėklos ir kt.). </w:t>
      </w:r>
      <w:r>
        <w:t xml:space="preserve">Pagal Lietuvos Respublikos narkotinių ir psichotropinių medžiagų kontrolės įstatymo 7 straipsnį Lietuvos Respublikos teritorijoje draudžiama auginti opijines aguonas, kanapes bei kokamedžius. </w:t>
      </w:r>
    </w:p>
    <w:p w:rsidR="00A2543C" w:rsidRDefault="00A2543C" w:rsidP="00A2543C">
      <w:pPr>
        <w:jc w:val="both"/>
      </w:pPr>
      <w:r>
        <w:t xml:space="preserve"> </w:t>
      </w:r>
      <w:r>
        <w:tab/>
        <w:t xml:space="preserve">Komisija parašė įvertinti  atsakingų institucijų veiksmus, kurie nesiėmė priemonių ir neužtikrino teisės aktų laikymosi Lietuvoje.  </w:t>
      </w:r>
    </w:p>
    <w:p w:rsidR="00A2543C" w:rsidRDefault="00A2543C" w:rsidP="00A2543C">
      <w:pPr>
        <w:jc w:val="both"/>
      </w:pPr>
    </w:p>
    <w:p w:rsidR="00A2543C" w:rsidRDefault="00A2543C" w:rsidP="00A2543C">
      <w:pPr>
        <w:jc w:val="both"/>
      </w:pPr>
    </w:p>
    <w:p w:rsidR="00A2543C" w:rsidRDefault="00A2543C" w:rsidP="00A2543C">
      <w:pPr>
        <w:pStyle w:val="Sraopastraipa"/>
        <w:numPr>
          <w:ilvl w:val="0"/>
          <w:numId w:val="55"/>
        </w:numPr>
        <w:jc w:val="both"/>
        <w:rPr>
          <w:b/>
        </w:rPr>
      </w:pPr>
      <w:r>
        <w:rPr>
          <w:b/>
        </w:rPr>
        <w:t>Rezoliucijos, sprendimai</w:t>
      </w:r>
      <w:r w:rsidRPr="00AD203C">
        <w:rPr>
          <w:b/>
        </w:rPr>
        <w:t xml:space="preserve"> </w:t>
      </w:r>
    </w:p>
    <w:p w:rsidR="00A2543C" w:rsidRDefault="00A2543C" w:rsidP="00A2543C">
      <w:pPr>
        <w:pStyle w:val="Sraopastraipa"/>
        <w:ind w:left="1080"/>
        <w:jc w:val="both"/>
        <w:rPr>
          <w:b/>
        </w:rPr>
      </w:pPr>
    </w:p>
    <w:p w:rsidR="00A2543C" w:rsidRDefault="00A2543C" w:rsidP="00A2543C">
      <w:pPr>
        <w:pStyle w:val="Sraopastraipa"/>
        <w:ind w:left="1080"/>
        <w:jc w:val="both"/>
        <w:rPr>
          <w:b/>
        </w:rPr>
      </w:pPr>
      <w:r>
        <w:rPr>
          <w:b/>
        </w:rPr>
        <w:t xml:space="preserve">Komisijos 2012-05-09 sprendimas. </w:t>
      </w:r>
    </w:p>
    <w:p w:rsidR="00A2543C" w:rsidRDefault="00A2543C" w:rsidP="00A2543C">
      <w:pPr>
        <w:ind w:firstLine="1080"/>
        <w:jc w:val="both"/>
      </w:pPr>
      <w:r w:rsidRPr="00F75940">
        <w:t xml:space="preserve">NUTARTA. </w:t>
      </w:r>
      <w:r>
        <w:t xml:space="preserve">Lietuvos Respublikos Seimo Narkomanijos ir alkoholizmo prevencijos komisija (toliau – Komisija) nuo 2004 metų vykdo parlamentinę kontrolę ir nagrinėja klausimus, susijusius su narkomanijos prevencija ir narkotikų užkardymu romų tabore, Kirtimuose, Vilniuje (toliau – Taboras). Tabore gyvena 500 romų tautybės asmenų (231 vaikas), iš jų tik 97 asmenys neteisti. Taboras yra tapęs nuolatine narkotinių ir psichotropinių medžiagų neteisėtos prekybos vieta ir priklausomybės ligomis sergančių asmenų traukos centru. Komisija ne vieną kartą kreipėsi į įvairias valstybės institucijas, Vilniaus miesto savivaldybę, Lietuvos Respublikos Vyriausybę, Lietuvos Respublikos Seimo kontrolierius, Vaiko teisių apsaugos kontrolierių įstaigą, atkreipdama dėmesį į būtinybę užkardyti narkotinių ir psichotropinių medžiagų patekimą į taborą.  Komisija teikė rekomendacijas, siūlymus ir priėmė sprendimus, kuriuos įgyvendinant taikytos įvairios prevencinės priemonės, vykdytos romų švietimo, socialinės ir integravimo į visuomenę programos, o Vilniaus miesto vyriausiasis policijos komisariatas savo vidiniais finansiniais  ir materialiniais resursais įdėjo daug pastangų, narkotinių ir psichotropinių medžiagų pasiūlai ir paklausai užkardyti. Nepaisant daug skiriamų lėšų, trūkstant kompleksinių priemonių ir bendrų tarpžinybinių pastangų, teigiamų rezultatų nepasiekta, o susiklosčiusi situacija diskredituoja valstybę bei teisėsaugos institucijas.   </w:t>
      </w:r>
    </w:p>
    <w:p w:rsidR="00A2543C" w:rsidRDefault="00A2543C" w:rsidP="00A2543C">
      <w:pPr>
        <w:ind w:firstLine="1080"/>
        <w:jc w:val="both"/>
      </w:pPr>
      <w:r>
        <w:t>Atsižvelgiant į tai:</w:t>
      </w:r>
    </w:p>
    <w:p w:rsidR="00A2543C" w:rsidRDefault="00A2543C" w:rsidP="00A2543C">
      <w:pPr>
        <w:ind w:firstLine="1080"/>
        <w:jc w:val="both"/>
      </w:pPr>
      <w:r>
        <w:t>1.Dėl neteisėtos  narkotinių ir psichotropinių medžiagų pasiūlos mažinimo romų tabore, Kirtimuose, Vilniuje, siūlyti Lietuvos Respublikos Vyriausybei iki Lietuvos pirmininkavimo Europos Sąjungos taryboje 2013 metais:</w:t>
      </w:r>
    </w:p>
    <w:p w:rsidR="00A2543C" w:rsidRDefault="00A2543C" w:rsidP="00A2543C">
      <w:pPr>
        <w:jc w:val="both"/>
      </w:pPr>
      <w:r>
        <w:tab/>
        <w:t>imtis visų įmanomų priemonių skubiai užkardant narkotinių ir psichotropinių medžiagų patekimą į romų taborą</w:t>
      </w:r>
      <w:r w:rsidRPr="00CB6C45">
        <w:t xml:space="preserve"> </w:t>
      </w:r>
      <w:r>
        <w:t>Kirtimuose, Vilniuje;</w:t>
      </w:r>
    </w:p>
    <w:p w:rsidR="00A2543C" w:rsidRDefault="00A2543C" w:rsidP="00A2543C">
      <w:pPr>
        <w:jc w:val="both"/>
      </w:pPr>
      <w:r>
        <w:tab/>
        <w:t>sugriežtinti priemones, užkardančias  narkotinių ir psichotropinių medžiagų kontrabandą;</w:t>
      </w:r>
    </w:p>
    <w:p w:rsidR="00A2543C" w:rsidRDefault="00A2543C" w:rsidP="00A2543C">
      <w:pPr>
        <w:jc w:val="both"/>
      </w:pPr>
      <w:r>
        <w:tab/>
        <w:t>gerinti teisėsaugos institucijų veiklą, siekiant mažinti narkotikų pasiūlą ir apsunkinant jų prieinamumą, nes vien tik teisėsaugos institucijų vidiniais finansiniais ir materialiniais resursais, bet įpareigoti Lietuvos Respublikos Finansų ministeriją šiam tikslui skirti Vilniaus apskrities vyriausiajam policijos komisariatui papildomus asignavimus;</w:t>
      </w:r>
    </w:p>
    <w:p w:rsidR="00A2543C" w:rsidRDefault="00A2543C" w:rsidP="00A2543C">
      <w:pPr>
        <w:ind w:firstLine="1296"/>
        <w:jc w:val="both"/>
      </w:pPr>
      <w:r>
        <w:t>užtikrinti pinigų, gautų iš neteisėtos narkotikų apyvartos, plovimo, prevencijos priemonių deramą įgyvendinimą;</w:t>
      </w:r>
    </w:p>
    <w:p w:rsidR="00A2543C" w:rsidRDefault="00A2543C" w:rsidP="00A2543C">
      <w:pPr>
        <w:ind w:firstLine="1296"/>
        <w:jc w:val="both"/>
      </w:pPr>
      <w:r>
        <w:t>sustiprinti visame Vilniaus mieste kovą su narkotikų prekeiviais ir perpardavinėtojais, ypač daug dėmesio skiriant šio nelegalaus verslo organizatoriams;</w:t>
      </w:r>
    </w:p>
    <w:p w:rsidR="00A2543C" w:rsidRDefault="00A2543C" w:rsidP="00A2543C">
      <w:pPr>
        <w:ind w:firstLine="1296"/>
        <w:jc w:val="both"/>
      </w:pPr>
      <w:r>
        <w:t xml:space="preserve">sustiprinti teisėsaugos institucijų bendradarbiavimą su visuomene; </w:t>
      </w:r>
    </w:p>
    <w:p w:rsidR="00A2543C" w:rsidRDefault="00A2543C" w:rsidP="00A2543C">
      <w:pPr>
        <w:ind w:firstLine="1296"/>
        <w:jc w:val="both"/>
      </w:pPr>
      <w:r>
        <w:t>įsteigti biudžetinę įstaigą „Romų visuomenės centras“.</w:t>
      </w:r>
    </w:p>
    <w:p w:rsidR="00A2543C" w:rsidRDefault="00A2543C" w:rsidP="00A2543C">
      <w:pPr>
        <w:ind w:firstLine="1296"/>
        <w:jc w:val="both"/>
      </w:pPr>
      <w:r>
        <w:t xml:space="preserve">  </w:t>
      </w:r>
    </w:p>
    <w:p w:rsidR="00A2543C" w:rsidRDefault="00A2543C" w:rsidP="00A2543C">
      <w:pPr>
        <w:jc w:val="both"/>
      </w:pPr>
      <w:r>
        <w:lastRenderedPageBreak/>
        <w:tab/>
        <w:t>2.Dėl</w:t>
      </w:r>
      <w:r w:rsidRPr="00EA3B66">
        <w:t xml:space="preserve"> </w:t>
      </w:r>
      <w:r>
        <w:t>neteisėtos  narkotinių ir psichotropinių medžiagų paklausos mažinimo Vilniaus mieste, atkreipiant Vilniaus miesto tarybos dėmesį į:</w:t>
      </w:r>
    </w:p>
    <w:p w:rsidR="00A2543C" w:rsidRDefault="00A2543C" w:rsidP="00A2543C">
      <w:pPr>
        <w:ind w:firstLine="672"/>
        <w:jc w:val="both"/>
      </w:pPr>
      <w:r>
        <w:t>nepakankamą asmenų, vartojančių  narkotines ir psichotropines medžiagas, sveikatos priežiūrą, reabilitaciją ir socialinę reintegraciją;</w:t>
      </w:r>
    </w:p>
    <w:p w:rsidR="00A2543C" w:rsidRDefault="00A2543C" w:rsidP="00A2543C">
      <w:pPr>
        <w:ind w:firstLine="672"/>
        <w:jc w:val="both"/>
      </w:pPr>
      <w:r>
        <w:t>nepakankamą savivaldybės institucijų, vykdančių narkomanijos prevenciją bei narkotikų kontrolę, efektyvų valdymą, kontrolę bei tarpusavio veiksmų koordinavimą;</w:t>
      </w:r>
    </w:p>
    <w:p w:rsidR="00A2543C" w:rsidRDefault="00A2543C" w:rsidP="00A2543C">
      <w:pPr>
        <w:ind w:firstLine="672"/>
        <w:jc w:val="both"/>
      </w:pPr>
      <w:r>
        <w:t>narkotikų kontrolės ir narkomanijos prevencijos koordinatoriaus savivaldybėje, kuris koordinuotų veiklą, stoką;</w:t>
      </w:r>
    </w:p>
    <w:p w:rsidR="00A2543C" w:rsidRDefault="00A2543C" w:rsidP="00A2543C">
      <w:pPr>
        <w:ind w:firstLine="672"/>
        <w:jc w:val="both"/>
      </w:pPr>
      <w:r>
        <w:t>prioritetinių narkotikų kontrolės ir narkomanijos prevencijos krypčių įgyvendinimui nepakankamą teikiamo finansavimo skyrimą;</w:t>
      </w:r>
    </w:p>
    <w:p w:rsidR="00A2543C" w:rsidRDefault="00A2543C" w:rsidP="00A2543C">
      <w:pPr>
        <w:ind w:firstLine="672"/>
        <w:jc w:val="both"/>
      </w:pPr>
      <w:r>
        <w:t>finansavimo, atskaitomybės bei kontrolės tvarkos, siekiant tikslingai ir taupiai naudoti skiriamas lėšas, kontroliuoti, kad šios lėšos nebūtų  panaudotos kitų programų priemonėms finansuoti, sugriežtinimą;</w:t>
      </w:r>
    </w:p>
    <w:p w:rsidR="00A2543C" w:rsidRDefault="00A2543C" w:rsidP="00A2543C">
      <w:pPr>
        <w:ind w:firstLine="672"/>
        <w:jc w:val="both"/>
      </w:pPr>
      <w:r>
        <w:t>savivaldos ir nevyriausybinių organizacijų glaudesnį bendradarbiavimą ir veiklos koordinavimą, įgyvendinant narkomanijos prevenciją;</w:t>
      </w:r>
    </w:p>
    <w:p w:rsidR="00A2543C" w:rsidRDefault="00A2543C" w:rsidP="00A2543C">
      <w:pPr>
        <w:ind w:firstLine="672"/>
        <w:jc w:val="both"/>
      </w:pPr>
      <w:r>
        <w:t>asmenų, priklausančių romų etninei mažumai romų tabore, Kirtimuose, Vilniuje, visavertį integravimąsi į visuomenės gyvenimą;</w:t>
      </w:r>
    </w:p>
    <w:p w:rsidR="00A2543C" w:rsidRDefault="00A2543C" w:rsidP="00A2543C">
      <w:pPr>
        <w:ind w:firstLine="672"/>
        <w:jc w:val="both"/>
      </w:pPr>
      <w:r>
        <w:t>nepakankamą lavinimą romų etninei mažumai priklausančių, mokyklinio amžiaus  vaikų, nepakankamas socialines ir buities sąlygas bei sveikatos priežiūrą;</w:t>
      </w:r>
    </w:p>
    <w:p w:rsidR="00A2543C" w:rsidRDefault="00A2543C" w:rsidP="00A2543C">
      <w:pPr>
        <w:ind w:firstLine="672"/>
        <w:jc w:val="both"/>
      </w:pPr>
      <w:r>
        <w:t>Jungtinių Tautų vaiko teisių konvencijos 18 straipsnio, Vaiko teisių apsaugos pagrindų įstatymo 4, 11 ir 21 straipsnių bei Civilinio kodekso 3.156, 3.159, 3.163 ir 3. 165 straipsnių pažeidimus, dėl kurių priimtas ir nevykdomas Vaiko teisių apsaugos kontrolierės sprendimas;</w:t>
      </w:r>
    </w:p>
    <w:p w:rsidR="00A2543C" w:rsidRDefault="00A2543C" w:rsidP="00A2543C">
      <w:pPr>
        <w:ind w:firstLine="672"/>
        <w:jc w:val="both"/>
      </w:pPr>
      <w:r>
        <w:t>savavališkas statybas romų tabore, Kirtimuose, Vilniuje;</w:t>
      </w:r>
    </w:p>
    <w:p w:rsidR="00A2543C" w:rsidRDefault="00A2543C" w:rsidP="00A2543C">
      <w:pPr>
        <w:ind w:firstLine="672"/>
        <w:jc w:val="both"/>
      </w:pPr>
      <w:r>
        <w:t>3.Atkreipti Vaiko teisių apsaugos kontrolierės Editos Žiobienės dėmesį į romų tabore, Kirtimuose, Vilniuje Jungtinių Tautų vaiko teisių konvencijos 18 straipsnio, Vaiko teisių apsaugos pagrindų įstatymo 4, 11 ir 21 straipsnių bei Civilinio kodekso 3.156, 3.159, 3.163 ir 3. 165 straipsnių pažeidimus, dėl kurių priimtas ir 2005 metų nevykdomas Vaiko teisių apsaugos kontrolierės sprendimas.</w:t>
      </w:r>
    </w:p>
    <w:p w:rsidR="00A2543C" w:rsidRDefault="00A2543C" w:rsidP="00A2543C">
      <w:pPr>
        <w:ind w:firstLine="672"/>
        <w:jc w:val="both"/>
      </w:pPr>
      <w:r>
        <w:t xml:space="preserve">4.Apie priimtą sprendimą informuoti Lietuvos Respublikos Seimo Aplinkos apsaugos, Audito, Biudžeto ir finansų, Europos reikalų, Nacionalinio saugumo ir gynybos, Socialinių reikalų ir darbo, Sveikatos reikalų, Švietimo, mokslo ir kultūros, Teisės ir teisėtvarkos, Valstybės valdymo ir savivaldybių, Žmogaus teisių komitetus.  </w:t>
      </w:r>
    </w:p>
    <w:p w:rsidR="00A2543C" w:rsidRDefault="00A2543C" w:rsidP="00A2543C">
      <w:pPr>
        <w:ind w:firstLine="672"/>
        <w:jc w:val="both"/>
      </w:pPr>
      <w:r>
        <w:t xml:space="preserve">Pritarta bendru sutarimu. </w:t>
      </w:r>
    </w:p>
    <w:p w:rsidR="00A2543C" w:rsidRDefault="00A2543C" w:rsidP="00A2543C">
      <w:pPr>
        <w:ind w:firstLine="672"/>
        <w:jc w:val="both"/>
      </w:pPr>
    </w:p>
    <w:p w:rsidR="00A2543C" w:rsidRDefault="00A2543C" w:rsidP="00A2543C">
      <w:pPr>
        <w:ind w:firstLine="672"/>
        <w:jc w:val="both"/>
      </w:pPr>
    </w:p>
    <w:p w:rsidR="00A2543C" w:rsidRPr="006C456D" w:rsidRDefault="00A2543C" w:rsidP="00A2543C">
      <w:pPr>
        <w:pStyle w:val="Sraopastraipa"/>
        <w:ind w:left="672"/>
        <w:jc w:val="both"/>
        <w:rPr>
          <w:b/>
        </w:rPr>
      </w:pPr>
      <w:r w:rsidRPr="006C456D">
        <w:rPr>
          <w:b/>
        </w:rPr>
        <w:t xml:space="preserve"> 2012 metų birželio 1 dienos rezoliucija. </w:t>
      </w:r>
    </w:p>
    <w:p w:rsidR="00A2543C" w:rsidRPr="006C456D" w:rsidRDefault="00A2543C" w:rsidP="00A2543C">
      <w:pPr>
        <w:jc w:val="both"/>
        <w:rPr>
          <w:b/>
        </w:rPr>
      </w:pPr>
    </w:p>
    <w:p w:rsidR="00A2543C" w:rsidRPr="001315C6" w:rsidRDefault="00A2543C" w:rsidP="00A2543C">
      <w:pPr>
        <w:jc w:val="both"/>
      </w:pPr>
    </w:p>
    <w:p w:rsidR="00A2543C" w:rsidRPr="0005342C" w:rsidRDefault="00A2543C" w:rsidP="00A2543C">
      <w:r w:rsidRPr="0005342C">
        <w:t>LR Prezidentei Daliai Grybauskaitei</w:t>
      </w:r>
    </w:p>
    <w:p w:rsidR="00A2543C" w:rsidRPr="0005342C" w:rsidRDefault="00A2543C" w:rsidP="00A2543C">
      <w:r w:rsidRPr="0005342C">
        <w:t>LR Seimo pirmininkei Irenai Degutienei</w:t>
      </w:r>
    </w:p>
    <w:p w:rsidR="00A2543C" w:rsidRDefault="00A2543C" w:rsidP="00A2543C">
      <w:r w:rsidRPr="0005342C">
        <w:t>LR Ministrui Pirmininkui Andriui Kubiliui</w:t>
      </w:r>
    </w:p>
    <w:p w:rsidR="00A2543C" w:rsidRPr="0005342C" w:rsidRDefault="00A2543C" w:rsidP="00A2543C">
      <w:r>
        <w:t>Politinių partijų lyderiams</w:t>
      </w:r>
    </w:p>
    <w:p w:rsidR="00A2543C" w:rsidRPr="0005342C" w:rsidRDefault="00A2543C" w:rsidP="00A2543C">
      <w:r w:rsidRPr="0005342C">
        <w:t>LR Švietimo ir mokslo ministrui Gintarui Steponavičiui</w:t>
      </w:r>
    </w:p>
    <w:p w:rsidR="00A2543C" w:rsidRPr="0005342C" w:rsidRDefault="00A2543C" w:rsidP="00A2543C">
      <w:pPr>
        <w:rPr>
          <w:bCs/>
        </w:rPr>
      </w:pPr>
      <w:r w:rsidRPr="0005342C">
        <w:rPr>
          <w:bCs/>
        </w:rPr>
        <w:t>LR Finansų ministrei Ingridai Šimonytei</w:t>
      </w:r>
    </w:p>
    <w:p w:rsidR="00A2543C" w:rsidRPr="0005342C" w:rsidRDefault="00A2543C" w:rsidP="00A2543C">
      <w:pPr>
        <w:rPr>
          <w:bCs/>
        </w:rPr>
      </w:pPr>
      <w:r w:rsidRPr="0005342C">
        <w:rPr>
          <w:bCs/>
        </w:rPr>
        <w:t>LR Ūkio ministrui Rimantui Žyliui</w:t>
      </w:r>
    </w:p>
    <w:p w:rsidR="00A2543C" w:rsidRPr="0005342C" w:rsidRDefault="00A2543C" w:rsidP="00A2543C">
      <w:pPr>
        <w:rPr>
          <w:bCs/>
        </w:rPr>
      </w:pPr>
      <w:r w:rsidRPr="0005342C">
        <w:rPr>
          <w:bCs/>
        </w:rPr>
        <w:t>LR Socialinės apsaugos ir darbo ministrui Donatui Jankauskui</w:t>
      </w:r>
    </w:p>
    <w:p w:rsidR="00A2543C" w:rsidRPr="0005342C" w:rsidRDefault="00A2543C" w:rsidP="00A2543C">
      <w:pPr>
        <w:rPr>
          <w:bCs/>
        </w:rPr>
      </w:pPr>
      <w:r w:rsidRPr="0005342C">
        <w:rPr>
          <w:bCs/>
        </w:rPr>
        <w:t>LR Švietimo ir mokslo ministrui Gintarui Steponavičiui</w:t>
      </w:r>
    </w:p>
    <w:p w:rsidR="00A2543C" w:rsidRPr="0005342C" w:rsidRDefault="00A2543C" w:rsidP="00A2543C">
      <w:pPr>
        <w:rPr>
          <w:bCs/>
        </w:rPr>
      </w:pPr>
      <w:r w:rsidRPr="0005342C">
        <w:rPr>
          <w:bCs/>
        </w:rPr>
        <w:t>LR Sveikatos apsaugos ministrui Raimondui Šukiui</w:t>
      </w:r>
    </w:p>
    <w:p w:rsidR="00A2543C" w:rsidRPr="0005342C" w:rsidRDefault="00A2543C" w:rsidP="00A2543C">
      <w:pPr>
        <w:rPr>
          <w:bCs/>
        </w:rPr>
      </w:pPr>
      <w:r w:rsidRPr="0005342C">
        <w:rPr>
          <w:bCs/>
        </w:rPr>
        <w:t>LR Vidaus reikalų ministrui Artūrui Melianui</w:t>
      </w:r>
    </w:p>
    <w:p w:rsidR="00A2543C" w:rsidRPr="0005342C" w:rsidRDefault="00A2543C" w:rsidP="00A2543C">
      <w:pPr>
        <w:rPr>
          <w:bCs/>
        </w:rPr>
      </w:pPr>
      <w:r w:rsidRPr="0005342C">
        <w:rPr>
          <w:bCs/>
        </w:rPr>
        <w:t>LR Teisingumo ministrui Rimantui Šimašiui</w:t>
      </w:r>
    </w:p>
    <w:p w:rsidR="00A2543C" w:rsidRPr="0005342C" w:rsidRDefault="00A2543C" w:rsidP="00A2543C">
      <w:pPr>
        <w:rPr>
          <w:bCs/>
        </w:rPr>
      </w:pPr>
      <w:r w:rsidRPr="0005342C">
        <w:t>LR Vaiko teisių apsaugos kontrolierei Editai Žiobienei</w:t>
      </w:r>
    </w:p>
    <w:p w:rsidR="00A2543C" w:rsidRPr="0005342C" w:rsidRDefault="00A2543C" w:rsidP="00A2543C">
      <w:pPr>
        <w:rPr>
          <w:bCs/>
        </w:rPr>
      </w:pPr>
      <w:r w:rsidRPr="0005342C">
        <w:rPr>
          <w:bCs/>
        </w:rPr>
        <w:t>LR Savivaldybių asociacijos prezidentui Jonui Samoškai</w:t>
      </w:r>
    </w:p>
    <w:p w:rsidR="00A2543C" w:rsidRPr="0005342C" w:rsidRDefault="00A2543C" w:rsidP="00A2543C">
      <w:pPr>
        <w:rPr>
          <w:bCs/>
        </w:rPr>
      </w:pPr>
      <w:r w:rsidRPr="0005342C">
        <w:rPr>
          <w:bCs/>
        </w:rPr>
        <w:t>LR Seimo Socialinių reikalų ir darbo komiteto pirmininkui Rimantui Jonui Dagiui</w:t>
      </w:r>
    </w:p>
    <w:p w:rsidR="00A2543C" w:rsidRPr="0005342C" w:rsidRDefault="00A2543C" w:rsidP="00A2543C">
      <w:r w:rsidRPr="0005342C">
        <w:t>LR Seimo nariams</w:t>
      </w:r>
    </w:p>
    <w:p w:rsidR="00A2543C" w:rsidRPr="0005342C" w:rsidRDefault="00A2543C" w:rsidP="00A2543C">
      <w:r w:rsidRPr="0005342C">
        <w:t>Lietuvos edukologijos universiteto Rektoriui Algirdui Gaižučiui</w:t>
      </w:r>
    </w:p>
    <w:p w:rsidR="00A2543C" w:rsidRPr="0005342C" w:rsidRDefault="00A2543C" w:rsidP="00A2543C">
      <w:r w:rsidRPr="0005342C">
        <w:t xml:space="preserve">Vilniaus universiteto Rektoriui Benediktui Juodkai </w:t>
      </w:r>
    </w:p>
    <w:p w:rsidR="00A2543C" w:rsidRPr="0005342C" w:rsidRDefault="00A2543C" w:rsidP="00A2543C">
      <w:r w:rsidRPr="0005342C">
        <w:lastRenderedPageBreak/>
        <w:t>Mykolo Riomerio universiteto rektoriui Alvydui Pumpučiui</w:t>
      </w:r>
    </w:p>
    <w:p w:rsidR="00A2543C" w:rsidRPr="0005342C" w:rsidRDefault="00A2543C" w:rsidP="00A2543C">
      <w:r w:rsidRPr="0005342C">
        <w:t>Kauno technologijos universiteto rektoriui Petrui Baršauskui</w:t>
      </w:r>
    </w:p>
    <w:p w:rsidR="00A2543C" w:rsidRPr="0005342C" w:rsidRDefault="00A2543C" w:rsidP="00A2543C">
      <w:r w:rsidRPr="0005342C">
        <w:t>Kauno Vytauto Didžiojo universiteto rektoriui Zigmui Lydekai</w:t>
      </w:r>
    </w:p>
    <w:p w:rsidR="00A2543C" w:rsidRPr="0005342C" w:rsidRDefault="00A2543C" w:rsidP="00A2543C">
      <w:r w:rsidRPr="0005342C">
        <w:t>Klaipėdos universiteto</w:t>
      </w:r>
      <w:r>
        <w:t xml:space="preserve"> rektoriui Vaidučiui Laurėnui</w:t>
      </w:r>
    </w:p>
    <w:p w:rsidR="00A2543C" w:rsidRPr="0005342C" w:rsidRDefault="00A2543C" w:rsidP="00A2543C">
      <w:r w:rsidRPr="0005342C">
        <w:t>Šiaulių universiteto rektoriui Vidui Lauruškai</w:t>
      </w:r>
    </w:p>
    <w:p w:rsidR="00A2543C" w:rsidRPr="0005342C" w:rsidRDefault="00A2543C" w:rsidP="00A2543C">
      <w:pPr>
        <w:spacing w:line="360" w:lineRule="auto"/>
      </w:pPr>
    </w:p>
    <w:p w:rsidR="00A2543C" w:rsidRPr="0005342C" w:rsidRDefault="00A2543C" w:rsidP="00A2543C">
      <w:pPr>
        <w:spacing w:line="360" w:lineRule="auto"/>
        <w:jc w:val="center"/>
        <w:rPr>
          <w:b/>
        </w:rPr>
      </w:pPr>
      <w:r w:rsidRPr="0005342C">
        <w:t xml:space="preserve"> </w:t>
      </w:r>
      <w:r w:rsidRPr="0005342C">
        <w:rPr>
          <w:b/>
        </w:rPr>
        <w:t>REZOLIUCIJA</w:t>
      </w:r>
    </w:p>
    <w:p w:rsidR="00A2543C" w:rsidRPr="0005342C" w:rsidRDefault="00A2543C" w:rsidP="00A2543C">
      <w:pPr>
        <w:spacing w:line="360" w:lineRule="auto"/>
        <w:jc w:val="center"/>
      </w:pPr>
      <w:r w:rsidRPr="0005342C">
        <w:t>2012 birželio 1 d.</w:t>
      </w:r>
    </w:p>
    <w:p w:rsidR="00A2543C" w:rsidRPr="00DC6159" w:rsidRDefault="00A2543C" w:rsidP="00A2543C">
      <w:pPr>
        <w:spacing w:line="360" w:lineRule="auto"/>
        <w:rPr>
          <w:b/>
          <w:bCs/>
          <w:i/>
        </w:rPr>
      </w:pPr>
    </w:p>
    <w:p w:rsidR="00A2543C" w:rsidRPr="00DC6159" w:rsidRDefault="00A2543C" w:rsidP="00A2543C">
      <w:pPr>
        <w:spacing w:line="360" w:lineRule="auto"/>
        <w:jc w:val="both"/>
        <w:rPr>
          <w:i/>
        </w:rPr>
      </w:pPr>
      <w:r w:rsidRPr="00DC6159">
        <w:rPr>
          <w:b/>
          <w:bCs/>
          <w:i/>
        </w:rPr>
        <w:t>Konstatuoja, kad:</w:t>
      </w:r>
      <w:r w:rsidRPr="00DC6159">
        <w:rPr>
          <w:i/>
        </w:rPr>
        <w:t xml:space="preserve"> </w:t>
      </w:r>
    </w:p>
    <w:p w:rsidR="00A2543C" w:rsidRPr="0005342C" w:rsidRDefault="00A2543C" w:rsidP="00A2543C">
      <w:pPr>
        <w:numPr>
          <w:ilvl w:val="0"/>
          <w:numId w:val="52"/>
        </w:numPr>
        <w:spacing w:line="360" w:lineRule="auto"/>
        <w:jc w:val="both"/>
      </w:pPr>
      <w:r w:rsidRPr="0005342C">
        <w:t>Nevyriausybinių organizacijų lyderiai ir socialinės veiklos profesionalai, dirbantys su rizikos grupėmis yra pagrindiniai visuomenės gerovės advokatai bei viešosios ir privačios partnerystės socioedukacinėje aplinkoje „varomoji jėga” ir socialinės ekonomikos plėtros, socialinės partnerystės ir klasterystės agentai.</w:t>
      </w:r>
    </w:p>
    <w:p w:rsidR="00A2543C" w:rsidRPr="0005342C" w:rsidRDefault="00A2543C" w:rsidP="00A2543C">
      <w:pPr>
        <w:numPr>
          <w:ilvl w:val="0"/>
          <w:numId w:val="52"/>
        </w:numPr>
        <w:spacing w:line="360" w:lineRule="auto"/>
        <w:jc w:val="both"/>
      </w:pPr>
      <w:r w:rsidRPr="0005342C">
        <w:t xml:space="preserve">Švietimo, socialinės, sveikatos institucijos ir verslo institucijos nepajėgia ir nespėja spręsti daugelio socioekonominių problemų. Vykstančios reformos socioekonominėje erdvėje yra per lėtos ir susiduria su daugybe kliūčių, ir  neigiamai veikia ne tik rizikoje ar užribyje esančius, bet ir veiklius šalies piliečius. </w:t>
      </w:r>
    </w:p>
    <w:p w:rsidR="00A2543C" w:rsidRPr="00832C0B" w:rsidRDefault="00A2543C" w:rsidP="00A2543C">
      <w:pPr>
        <w:numPr>
          <w:ilvl w:val="0"/>
          <w:numId w:val="52"/>
        </w:numPr>
        <w:spacing w:line="360" w:lineRule="auto"/>
        <w:jc w:val="both"/>
      </w:pPr>
      <w:r w:rsidRPr="0005342C">
        <w:rPr>
          <w:bCs/>
        </w:rPr>
        <w:t xml:space="preserve">Socialinės rizikos šeimų skaičius mažėja, tačiau daugėja tėvų globos netekusių vaikų skaičius, </w:t>
      </w:r>
      <w:r w:rsidRPr="00FA634D">
        <w:rPr>
          <w:bCs/>
        </w:rPr>
        <w:t>kas kelia abejonių dėl šių šeimų apskaitos.</w:t>
      </w:r>
      <w:r w:rsidRPr="0005342C">
        <w:rPr>
          <w:bCs/>
        </w:rPr>
        <w:t xml:space="preserve"> Nemažėja vaikų savižudybių, seksualinės prievartos vaikų aukų, auga jaunimo nedarbas. Kasmet Lietuvoje savivaldybių administracijos ar teismo sprendimu maždaug 3 tūkstančiams vaikų nustatoma globa (rūpyba), tačiau vaikų, grąžintų į biologines šeimas, skaičius siekia tik trečdalį. Tai turi neigiamą įtaką tiek Lietuvos Respublikos valstybės biudžetui, tiek savivaldybių biudžetams, nes vieno vaiko išlaikymas institucijoje vidutiniškai kainuoja 1237 litų per mėnesį apskrities pavaldumo globos namuose, 903 litus savivaldybių pavaldumo globos namuose, o problema, dėl kurios vaiką tenka atskirti nuo šeimos, neretai taip ir lieka nesprendžiama.</w:t>
      </w:r>
      <w:r w:rsidRPr="0005342C">
        <w:t xml:space="preserve"> </w:t>
      </w:r>
    </w:p>
    <w:p w:rsidR="00A2543C" w:rsidRPr="00FA634D" w:rsidRDefault="00A2543C" w:rsidP="00A2543C">
      <w:pPr>
        <w:numPr>
          <w:ilvl w:val="0"/>
          <w:numId w:val="52"/>
        </w:numPr>
        <w:spacing w:line="360" w:lineRule="auto"/>
        <w:jc w:val="both"/>
      </w:pPr>
      <w:r w:rsidRPr="0005342C">
        <w:t>Nėra seksualinę prievartą patyrusių vaikų aukų, jų šeimų, globėjų visa</w:t>
      </w:r>
      <w:r>
        <w:t xml:space="preserve"> </w:t>
      </w:r>
      <w:r w:rsidRPr="0005342C">
        <w:t>apimančios ir efektyvios psichosocialinės reabilitacijos ir krizių centrų infrastruktūros  sistemos.</w:t>
      </w:r>
      <w:r w:rsidRPr="0005342C">
        <w:rPr>
          <w:b/>
        </w:rPr>
        <w:t xml:space="preserve"> </w:t>
      </w:r>
      <w:r w:rsidRPr="0005342C">
        <w:t>Esanti sistema</w:t>
      </w:r>
      <w:r w:rsidRPr="0005342C">
        <w:rPr>
          <w:b/>
        </w:rPr>
        <w:t xml:space="preserve"> </w:t>
      </w:r>
      <w:r w:rsidRPr="0005342C">
        <w:t xml:space="preserve">aukoms yra sunkiai prieinama, neprofesionali ir chaotiška. Trūksta išsamių statistinių duomenų apie šios krizės ištiktų vaikų grupę. Nepakankama įvairių sričių specialistų, dirbančių su vaikais, kompetencija, atpažįstant seksualinę prievartą patyrusius vaikus, bei tarpžinybinis bendradarbiavimas bei aiški metodika ir atsakomybė bei krizės valdymo tvarka. </w:t>
      </w:r>
      <w:r w:rsidRPr="00FA634D">
        <w:t xml:space="preserve">Žinome, kad 2011 m. kovo 15 d. Ministro Pirmininko potvarkiu buvo sudaryta darbo grupė dėl </w:t>
      </w:r>
      <w:r>
        <w:t>Europos Tarybos konvencijos</w:t>
      </w:r>
      <w:r w:rsidRPr="00FA634D">
        <w:t xml:space="preserve"> dėl vaikų apsaugos nuo seksualinio išnaudojimo ir seksualinės prievartos</w:t>
      </w:r>
      <w:r>
        <w:t>, d</w:t>
      </w:r>
      <w:r w:rsidRPr="00FA634D">
        <w:t>arbo grupės išvadoms ir pasiūlymams buvo pritarta Vyriausybės pasitarime 2012 m. kovo 26 d.</w:t>
      </w:r>
      <w:r>
        <w:t xml:space="preserve">, tačiau nežiūrint Lietuvos piliečių susipriešinimo, reaguojant į rezonansines bylas, ši </w:t>
      </w:r>
      <w:r w:rsidRPr="00FA634D">
        <w:t xml:space="preserve">Konvencija  iki šiol neratifikuota. </w:t>
      </w:r>
    </w:p>
    <w:p w:rsidR="00A2543C" w:rsidRPr="0005342C" w:rsidRDefault="00A2543C" w:rsidP="00A2543C">
      <w:pPr>
        <w:numPr>
          <w:ilvl w:val="0"/>
          <w:numId w:val="52"/>
        </w:numPr>
        <w:spacing w:line="360" w:lineRule="auto"/>
        <w:jc w:val="both"/>
      </w:pPr>
      <w:r w:rsidRPr="0005342C">
        <w:lastRenderedPageBreak/>
        <w:t xml:space="preserve">LR Vyriausybė rengdama Nacionalinę reformų programą (šiemet parengta II programa) bei Socialinį pranešimą nei karto nesikonsultavo ir neinformavo  tinklinių organizacijų: Lietuvos skurdo tinklo (žr.: </w:t>
      </w:r>
      <w:hyperlink r:id="rId241" w:history="1">
        <w:r w:rsidRPr="0005342C">
          <w:rPr>
            <w:rStyle w:val="Hipersaitas"/>
          </w:rPr>
          <w:t>www.skurdas.lt</w:t>
        </w:r>
      </w:hyperlink>
      <w:r>
        <w:t>)</w:t>
      </w:r>
      <w:r w:rsidRPr="0005342C">
        <w:t>, Nevyriausybinių organizacijų inform</w:t>
      </w:r>
      <w:r>
        <w:t>acijos ir paramos centro</w:t>
      </w:r>
      <w:r w:rsidRPr="0005342C">
        <w:t xml:space="preserve"> (žr.: </w:t>
      </w:r>
      <w:hyperlink r:id="rId242" w:history="1">
        <w:r w:rsidRPr="0005342C">
          <w:rPr>
            <w:rStyle w:val="Hipersaitas"/>
          </w:rPr>
          <w:t>http://www.nisc.lt/lt/index.php</w:t>
        </w:r>
      </w:hyperlink>
      <w:r w:rsidRPr="0005342C">
        <w:t>), Nevyriausybinių or</w:t>
      </w:r>
      <w:r>
        <w:t>ganizacijų vaikams konfederacijos</w:t>
      </w:r>
      <w:r w:rsidRPr="0005342C">
        <w:t xml:space="preserve"> (</w:t>
      </w:r>
      <w:hyperlink r:id="rId243" w:history="1">
        <w:r w:rsidRPr="0005342C">
          <w:rPr>
            <w:rStyle w:val="Hipersaitas"/>
          </w:rPr>
          <w:t>http://www.nvovaikamskonfederacija.lt/</w:t>
        </w:r>
      </w:hyperlink>
      <w:r w:rsidRPr="0005342C">
        <w:t>). Švietimo ir mokslo ministerija pradėjo viešąsias konsultacijas su socialiniais partneriais, tačiau ir ši iniciatyva kol kas yra tik demonstracinio, bet ne integruojančio pobūdžio.</w:t>
      </w:r>
    </w:p>
    <w:p w:rsidR="00A2543C" w:rsidRPr="0005342C" w:rsidRDefault="00A2543C" w:rsidP="00A2543C">
      <w:pPr>
        <w:numPr>
          <w:ilvl w:val="0"/>
          <w:numId w:val="52"/>
        </w:numPr>
        <w:spacing w:line="360" w:lineRule="auto"/>
        <w:jc w:val="both"/>
      </w:pPr>
      <w:r>
        <w:t>Siūlome pradėti nuoseklią</w:t>
      </w:r>
      <w:r w:rsidRPr="0005342C">
        <w:t xml:space="preserve"> socialin</w:t>
      </w:r>
      <w:r>
        <w:t>ę</w:t>
      </w:r>
      <w:r w:rsidRPr="0005342C">
        <w:t xml:space="preserve"> partneryst</w:t>
      </w:r>
      <w:r>
        <w:t>ę</w:t>
      </w:r>
      <w:r w:rsidRPr="0005342C">
        <w:t xml:space="preserve">, vykdant Lietuvos Respublikos Vyriausybės įsipareigojimus JT Vaiko teisių konvencijai, kurioje atsakingai turėtų bendradarbiauti visos suinteresuotos ministerijos (įskaitant Finansų, Socialinės apsaugos ir darbo, Sveikatos apsaugos, Švietimo ir mokslo, Teisingumo, Vidaus reikalų, Ūkio, Aplinkos apsaugos ir kitos ministerijos), Vaiko teisių apsaugos kontrolieriaus įstaiga bei NVO ir kiti pilietinės visuomenės atstovai, kad būtų galima kasmet įvertinti pažangą. </w:t>
      </w:r>
    </w:p>
    <w:p w:rsidR="00A2543C" w:rsidRPr="00DC6159" w:rsidRDefault="00A2543C" w:rsidP="00A2543C">
      <w:pPr>
        <w:spacing w:line="360" w:lineRule="auto"/>
        <w:jc w:val="both"/>
        <w:rPr>
          <w:b/>
          <w:i/>
        </w:rPr>
      </w:pPr>
      <w:r w:rsidRPr="00DC6159">
        <w:rPr>
          <w:b/>
          <w:i/>
        </w:rPr>
        <w:t>Rekomenduoja:</w:t>
      </w:r>
    </w:p>
    <w:p w:rsidR="00A2543C" w:rsidRPr="00DC6159" w:rsidRDefault="00A2543C" w:rsidP="00A2543C">
      <w:pPr>
        <w:spacing w:line="360" w:lineRule="auto"/>
        <w:ind w:left="283"/>
        <w:jc w:val="both"/>
        <w:rPr>
          <w:i/>
        </w:rPr>
      </w:pPr>
      <w:r w:rsidRPr="00A62ACD">
        <w:rPr>
          <w:b/>
          <w:i/>
        </w:rPr>
        <w:t>I. Lietuvos Respublikos Seimui:</w:t>
      </w:r>
    </w:p>
    <w:p w:rsidR="00A2543C" w:rsidRDefault="00A2543C" w:rsidP="00A2543C">
      <w:pPr>
        <w:numPr>
          <w:ilvl w:val="0"/>
          <w:numId w:val="53"/>
        </w:numPr>
        <w:spacing w:line="360" w:lineRule="auto"/>
        <w:jc w:val="both"/>
      </w:pPr>
      <w:r w:rsidRPr="006734AE">
        <w:t>Ratifikuoti 2007 m. teisingumo ministro pasirašytą Europos Tarybos konvenciją „Dėl vaikų apsaugos nuo seksualinio išnaudojimo ir seksualinės prievartos“</w:t>
      </w:r>
      <w:r w:rsidRPr="00A70B78">
        <w:t>, suderinti su šia konvencija nacionalinius teisės aktus.</w:t>
      </w:r>
    </w:p>
    <w:p w:rsidR="00A2543C" w:rsidRDefault="00A2543C" w:rsidP="00A2543C">
      <w:pPr>
        <w:numPr>
          <w:ilvl w:val="0"/>
          <w:numId w:val="53"/>
        </w:numPr>
        <w:spacing w:line="360" w:lineRule="auto"/>
        <w:jc w:val="both"/>
      </w:pPr>
      <w:r w:rsidRPr="00B60617">
        <w:t>Atkurti V</w:t>
      </w:r>
      <w:r w:rsidRPr="00A70B78">
        <w:t xml:space="preserve">aiko gerovės ir šeimos </w:t>
      </w:r>
      <w:r w:rsidRPr="00B60617">
        <w:t xml:space="preserve">komisiją </w:t>
      </w:r>
      <w:r w:rsidRPr="00A70B78">
        <w:t xml:space="preserve"> Lietuvos Res</w:t>
      </w:r>
      <w:r>
        <w:t xml:space="preserve">publikos Seime, kad būtų </w:t>
      </w:r>
      <w:r w:rsidRPr="00A70B78">
        <w:t xml:space="preserve"> subalansuota vaiko gerovės politika šalyje, jai pavesti atsakomybę už šios veiklos koordinavimą ir monitoringą.</w:t>
      </w:r>
    </w:p>
    <w:p w:rsidR="00A2543C" w:rsidRDefault="00A2543C" w:rsidP="00A2543C">
      <w:pPr>
        <w:numPr>
          <w:ilvl w:val="0"/>
          <w:numId w:val="53"/>
        </w:numPr>
        <w:spacing w:line="360" w:lineRule="auto"/>
        <w:jc w:val="both"/>
      </w:pPr>
      <w:r w:rsidRPr="00A70B78">
        <w:t>Peržiūrėti ir papildyti Lietuvos Respublikos vaiko minimalios ir vidutinės priežiūros įstatymo nuostatas, išplečiant 14 str. nustatytas savivaldybės administracijos vaik</w:t>
      </w:r>
      <w:r>
        <w:t xml:space="preserve">o gerovės komisijos funkcijas, </w:t>
      </w:r>
      <w:r w:rsidRPr="00A70B78">
        <w:t xml:space="preserve">t.y. </w:t>
      </w:r>
      <w:r w:rsidRPr="00B9135B">
        <w:t>taikyti komandinio darbo principą ir įgalinti ko</w:t>
      </w:r>
      <w:r w:rsidRPr="00A70B78">
        <w:t xml:space="preserve">misiją rūpintis </w:t>
      </w:r>
      <w:r>
        <w:t>ankstyvojo</w:t>
      </w:r>
      <w:r w:rsidRPr="00A70B78">
        <w:t xml:space="preserve"> (ikimokyklinio ir priešmokyklinio) amžiaus vaikų gerove ir atlikti pagrindinį vaidmenį, sprendžiant privalomo ikimokyklinio ir/ar priešmokyklin</w:t>
      </w:r>
      <w:r>
        <w:t xml:space="preserve">io ugdymo nustatymo ir skyrimo, </w:t>
      </w:r>
      <w:r w:rsidRPr="00A70B78">
        <w:t>kompleksiškai teikiamos švietimo pagalbos, socialinės paramos, sveikatos priežiūros paslau</w:t>
      </w:r>
      <w:r>
        <w:t xml:space="preserve">gų vaikui ir jo tėvams </w:t>
      </w:r>
      <w:r w:rsidRPr="00A70B78">
        <w:t>nustatymo ir skyrimo klausimus. 2011 m. kovą pri</w:t>
      </w:r>
      <w:r>
        <w:t xml:space="preserve">ėmus Švietimo įstatymo pataisų </w:t>
      </w:r>
      <w:r w:rsidRPr="00A70B78">
        <w:t>7 str. 2 ir 5 dalys, bei 8 str. 3 ir 4 dalys numato, kad ikimokyklinio ir priešmokyklinio amžiaus vaikams atskirais atvejais gali būti skiriamas privalomas ikimokyklinis ar priešmokyklinis ugdymas, kompleksiškai teikiama švietimo pagalba, socialinė parama, sveikatos priežiūros paslaugos vaikui ir jo tėvams (globėjams)</w:t>
      </w:r>
      <w:r>
        <w:t xml:space="preserve">. </w:t>
      </w:r>
      <w:r w:rsidRPr="00A70B78">
        <w:t>Toks papildymas sukurtų galimybes turėti vieningą vaikų nuo gimimo iki 18 metų</w:t>
      </w:r>
      <w:r>
        <w:t xml:space="preserve"> gerovės klausimų koordinavimo, </w:t>
      </w:r>
      <w:r w:rsidRPr="00A70B78">
        <w:t xml:space="preserve">sprendimų dėl prevencinių ir </w:t>
      </w:r>
      <w:r>
        <w:t xml:space="preserve">intervencinių priemonių </w:t>
      </w:r>
      <w:r w:rsidRPr="00A70B78">
        <w:t>taikymo priėmi</w:t>
      </w:r>
      <w:r>
        <w:t>mo ir jų veiksmingumo vertinimo</w:t>
      </w:r>
      <w:r w:rsidRPr="00A70B78">
        <w:t xml:space="preserve"> savivaldybėje sistemą.</w:t>
      </w:r>
    </w:p>
    <w:p w:rsidR="00A2543C" w:rsidRPr="006734AE" w:rsidRDefault="00A2543C" w:rsidP="00A2543C">
      <w:pPr>
        <w:numPr>
          <w:ilvl w:val="0"/>
          <w:numId w:val="53"/>
        </w:numPr>
        <w:spacing w:line="360" w:lineRule="auto"/>
        <w:jc w:val="both"/>
      </w:pPr>
      <w:r w:rsidRPr="006734AE">
        <w:t>Nuo 2013 metų numatyti atskiromis eilutėmis nacionaliniame ir savivaldybių biudžetuose vaikų gerovės politikai skiriamas lėšas.</w:t>
      </w:r>
    </w:p>
    <w:p w:rsidR="00A2543C" w:rsidRPr="00A05E61" w:rsidRDefault="00A2543C" w:rsidP="00A2543C">
      <w:pPr>
        <w:numPr>
          <w:ilvl w:val="0"/>
          <w:numId w:val="53"/>
        </w:numPr>
        <w:spacing w:line="360" w:lineRule="auto"/>
        <w:jc w:val="both"/>
      </w:pPr>
      <w:r w:rsidRPr="00A70B78">
        <w:lastRenderedPageBreak/>
        <w:t xml:space="preserve">Svarstant šalies biudžetą ir priimant įstatymus, susijusius su vaiko gerove, informuoti Lietuvos skurdo tinklo organizacijas (žr.: </w:t>
      </w:r>
      <w:hyperlink r:id="rId244" w:history="1">
        <w:r w:rsidRPr="00A70B78">
          <w:rPr>
            <w:rStyle w:val="Hipersaitas"/>
          </w:rPr>
          <w:t>www.skurdas.lt</w:t>
        </w:r>
      </w:hyperlink>
      <w:r w:rsidRPr="00A70B78">
        <w:t>) , Nevyriausybinių organizacijų</w:t>
      </w:r>
      <w:r>
        <w:t xml:space="preserve"> informacijos ir paramos centrą</w:t>
      </w:r>
      <w:r w:rsidRPr="00A70B78">
        <w:t xml:space="preserve"> (žr.: </w:t>
      </w:r>
      <w:hyperlink r:id="rId245" w:history="1">
        <w:r w:rsidRPr="00A70B78">
          <w:rPr>
            <w:rStyle w:val="Hipersaitas"/>
          </w:rPr>
          <w:t>http://www.nisc.lt/lt/index.php</w:t>
        </w:r>
      </w:hyperlink>
      <w:r w:rsidRPr="00A70B78">
        <w:t>), Nevyriausybinių organ</w:t>
      </w:r>
      <w:r>
        <w:t>izacijų vaikams konfederaciją (</w:t>
      </w:r>
      <w:r w:rsidRPr="00A70B78">
        <w:t>žr.:</w:t>
      </w:r>
      <w:hyperlink r:id="rId246" w:history="1">
        <w:r w:rsidRPr="00A70B78">
          <w:rPr>
            <w:rStyle w:val="Hipersaitas"/>
          </w:rPr>
          <w:t>http://www.nvovaikamskonfederacija.lt/</w:t>
        </w:r>
      </w:hyperlink>
      <w:r w:rsidRPr="00A70B78">
        <w:t>), kviesti jų atstovus į viešąsias konsultacijas bei neformaliąsias konsultacijas</w:t>
      </w:r>
      <w:r>
        <w:t xml:space="preserve"> ir perskaityti bei įsigilinti </w:t>
      </w:r>
      <w:r w:rsidRPr="00A70B78">
        <w:t>šių organizacijų teikiamus siūlymus</w:t>
      </w:r>
      <w:r>
        <w:t>.</w:t>
      </w:r>
      <w:r w:rsidRPr="00DC6159">
        <w:rPr>
          <w:b/>
        </w:rPr>
        <w:t xml:space="preserve"> </w:t>
      </w:r>
    </w:p>
    <w:p w:rsidR="00A2543C" w:rsidRDefault="00A2543C" w:rsidP="00A2543C">
      <w:pPr>
        <w:spacing w:line="360" w:lineRule="auto"/>
        <w:ind w:left="283"/>
        <w:jc w:val="both"/>
        <w:rPr>
          <w:b/>
          <w:i/>
        </w:rPr>
      </w:pPr>
    </w:p>
    <w:p w:rsidR="00A2543C" w:rsidRPr="00DC6159" w:rsidRDefault="00A2543C" w:rsidP="00A2543C">
      <w:pPr>
        <w:spacing w:line="360" w:lineRule="auto"/>
        <w:jc w:val="both"/>
        <w:rPr>
          <w:i/>
        </w:rPr>
      </w:pPr>
      <w:r w:rsidRPr="00A62ACD">
        <w:rPr>
          <w:b/>
          <w:i/>
        </w:rPr>
        <w:t>I</w:t>
      </w:r>
      <w:r>
        <w:rPr>
          <w:b/>
          <w:i/>
        </w:rPr>
        <w:t>I</w:t>
      </w:r>
      <w:r w:rsidRPr="00A62ACD">
        <w:rPr>
          <w:b/>
          <w:i/>
        </w:rPr>
        <w:t>. Lietuvos Respublikos Vyriausybei:</w:t>
      </w:r>
    </w:p>
    <w:p w:rsidR="00A2543C" w:rsidRPr="00A70B78" w:rsidRDefault="00A2543C" w:rsidP="00A2543C">
      <w:pPr>
        <w:numPr>
          <w:ilvl w:val="0"/>
          <w:numId w:val="53"/>
        </w:numPr>
        <w:spacing w:line="360" w:lineRule="auto"/>
        <w:jc w:val="both"/>
      </w:pPr>
      <w:r>
        <w:t>Kuo skubiau t</w:t>
      </w:r>
      <w:r w:rsidRPr="00A70B78">
        <w:t>eikti ratifikavimui</w:t>
      </w:r>
      <w:r w:rsidRPr="00B9135B">
        <w:t xml:space="preserve"> </w:t>
      </w:r>
      <w:r>
        <w:t>Europos Tarybos konvenciją</w:t>
      </w:r>
      <w:r w:rsidRPr="00FA634D">
        <w:t xml:space="preserve"> dėl vaikų apsaugos nuo seksualinio išnaudojimo ir seksualinės prievartos</w:t>
      </w:r>
      <w:r w:rsidRPr="00A70B78">
        <w:t>.</w:t>
      </w:r>
    </w:p>
    <w:p w:rsidR="00A2543C" w:rsidRPr="00F2719A" w:rsidRDefault="00A2543C" w:rsidP="00A2543C">
      <w:pPr>
        <w:numPr>
          <w:ilvl w:val="0"/>
          <w:numId w:val="53"/>
        </w:numPr>
        <w:spacing w:line="360" w:lineRule="auto"/>
        <w:jc w:val="both"/>
      </w:pPr>
      <w:r>
        <w:t xml:space="preserve">Įsteigti </w:t>
      </w:r>
      <w:r w:rsidRPr="00F63951">
        <w:t>centrinę vaiko gerovės klausimais koordinuojančią instituciją</w:t>
      </w:r>
      <w:r>
        <w:t>.</w:t>
      </w:r>
      <w:r>
        <w:rPr>
          <w:b/>
        </w:rPr>
        <w:t xml:space="preserve"> </w:t>
      </w:r>
    </w:p>
    <w:p w:rsidR="00A2543C" w:rsidRPr="006734AE" w:rsidRDefault="00A2543C" w:rsidP="00A2543C">
      <w:pPr>
        <w:numPr>
          <w:ilvl w:val="0"/>
          <w:numId w:val="53"/>
        </w:numPr>
        <w:spacing w:line="360" w:lineRule="auto"/>
        <w:jc w:val="both"/>
      </w:pPr>
      <w:r w:rsidRPr="00F2719A">
        <w:rPr>
          <w:b/>
        </w:rPr>
        <w:t xml:space="preserve"> </w:t>
      </w:r>
      <w:r w:rsidRPr="006734AE">
        <w:t>Nuo 2013 metų numatyti atskiromis eilutėmis nacionaliniame ir savivaldybių biudžetuose vaikų gerovės politikai skiriamas lėšas.</w:t>
      </w:r>
    </w:p>
    <w:p w:rsidR="00A2543C" w:rsidRPr="0005342C" w:rsidRDefault="00A2543C" w:rsidP="00A2543C">
      <w:pPr>
        <w:numPr>
          <w:ilvl w:val="0"/>
          <w:numId w:val="53"/>
        </w:numPr>
        <w:spacing w:line="360" w:lineRule="auto"/>
        <w:jc w:val="both"/>
      </w:pPr>
      <w:r w:rsidRPr="0005342C">
        <w:t>Sukurti duomenų bazę, finansuojamo</w:t>
      </w:r>
      <w:r>
        <w:t>m</w:t>
      </w:r>
      <w:r w:rsidRPr="0005342C">
        <w:t>s Vaiko gerovės programoms, o į ekspertų/patarėjų grupes ir įtraukti tinklinių ir skėtinių pilietinės visuomenės organizacijų atstovus. Užtikrinti programų tęstinumą per ilgalaikių sutarčių su socialiniais partneriais sistemą,</w:t>
      </w:r>
      <w:r>
        <w:t xml:space="preserve"> </w:t>
      </w:r>
      <w:r w:rsidRPr="0005342C">
        <w:t>socialiai atsakingo verslo skatinimą bei socialine klasteryste pagrįstų įsipareigojimų priėmimą.</w:t>
      </w:r>
    </w:p>
    <w:p w:rsidR="00A2543C" w:rsidRPr="0005342C" w:rsidRDefault="00A2543C" w:rsidP="00A2543C">
      <w:pPr>
        <w:numPr>
          <w:ilvl w:val="0"/>
          <w:numId w:val="53"/>
        </w:numPr>
        <w:spacing w:line="360" w:lineRule="auto"/>
        <w:jc w:val="both"/>
      </w:pPr>
      <w:r w:rsidRPr="0005342C">
        <w:t>Pasinaudoti ES struktūrinių fondų lėšomis ir nacionalinėmis lėšomis sukuriant vaiko gerovės (socialinės ekonomikos) klasterį.</w:t>
      </w:r>
    </w:p>
    <w:p w:rsidR="00A2543C" w:rsidRPr="0005342C" w:rsidRDefault="00A2543C" w:rsidP="00A2543C">
      <w:pPr>
        <w:numPr>
          <w:ilvl w:val="0"/>
          <w:numId w:val="53"/>
        </w:numPr>
        <w:spacing w:line="360" w:lineRule="auto"/>
        <w:jc w:val="both"/>
      </w:pPr>
      <w:r w:rsidRPr="0005342C">
        <w:t xml:space="preserve">Siekti, kad visuose </w:t>
      </w:r>
      <w:r>
        <w:t xml:space="preserve">Lietuvos </w:t>
      </w:r>
      <w:r w:rsidRPr="0005342C">
        <w:t>teismuose būtų teisėjas, kuris turėtų pakankamai kompetencijų nagrinėti vaikų ir šeimų bylas ir tam turėtų kompetencijas patvirtinančius dokumentus (ne mažiau 40 kreditų kursas Socialinės pedagogikos ar vaiko ir šeimos gerovės/familistikos temomis).</w:t>
      </w:r>
      <w:r>
        <w:t xml:space="preserve"> Į rezonansines bylas stebėtojais kviesti NVO, turinčias tam tinkamus žmogiškuosius resursus.</w:t>
      </w:r>
    </w:p>
    <w:p w:rsidR="00A2543C" w:rsidRPr="006734AE" w:rsidRDefault="00A2543C" w:rsidP="00A2543C">
      <w:pPr>
        <w:numPr>
          <w:ilvl w:val="0"/>
          <w:numId w:val="53"/>
        </w:numPr>
        <w:spacing w:line="360" w:lineRule="auto"/>
        <w:jc w:val="both"/>
      </w:pPr>
      <w:r w:rsidRPr="0005342C">
        <w:t xml:space="preserve">Numatyti realias lėšas Vyriausybės patvirtintų programų finansavimui, susijusioms su vaiko gerove ir pozityviąja socializacija. Skirti realias lėšas </w:t>
      </w:r>
      <w:r>
        <w:t>v</w:t>
      </w:r>
      <w:r w:rsidRPr="0005342C">
        <w:t>aikų nusikalstamumo prevencijos</w:t>
      </w:r>
      <w:r>
        <w:t>, v</w:t>
      </w:r>
      <w:r w:rsidRPr="0005342C">
        <w:t xml:space="preserve">asaros poilsio, </w:t>
      </w:r>
      <w:r>
        <w:t>m</w:t>
      </w:r>
      <w:r w:rsidRPr="0005342C">
        <w:t>otinos ir vaiko sveikatos</w:t>
      </w:r>
      <w:r>
        <w:t>, s</w:t>
      </w:r>
      <w:r w:rsidRPr="0005342C">
        <w:t>avižudybių prevencijos, traumatizmo ir psichikos sveikatos programoms, numatyti realų finansavimą ir tvarką vaiko krizėje prevencijai</w:t>
      </w:r>
      <w:r w:rsidRPr="00B9135B">
        <w:t xml:space="preserve">. Išgyvendinti neformalias kvotas vaikų reabilitacijai, </w:t>
      </w:r>
      <w:r w:rsidRPr="006734AE">
        <w:t>sukuriant pilną ambulatorinės reabilitacijos paslaugų sistemą.</w:t>
      </w:r>
    </w:p>
    <w:p w:rsidR="00A2543C" w:rsidRPr="0005342C" w:rsidRDefault="00A2543C" w:rsidP="00A2543C">
      <w:pPr>
        <w:numPr>
          <w:ilvl w:val="0"/>
          <w:numId w:val="53"/>
        </w:numPr>
        <w:spacing w:line="360" w:lineRule="auto"/>
        <w:jc w:val="both"/>
      </w:pPr>
      <w:r w:rsidRPr="0005342C">
        <w:t>Atlikti išsamią turimų išteklių ir teikiamų socialinių paslaugų, reikalingų vaikams ir šeimoms bei globėjams, analizę. Išteklius skirstyti pagal paslaugų krepšelio dydį ir perskirstant optimaliausią kokybę ir kainą siūlančioms institucijoms ir organizacijoms.</w:t>
      </w:r>
    </w:p>
    <w:p w:rsidR="00A2543C" w:rsidRDefault="00A2543C" w:rsidP="00A2543C">
      <w:pPr>
        <w:numPr>
          <w:ilvl w:val="0"/>
          <w:numId w:val="53"/>
        </w:numPr>
        <w:spacing w:line="360" w:lineRule="auto"/>
        <w:jc w:val="both"/>
      </w:pPr>
      <w:r w:rsidRPr="0005342C">
        <w:t xml:space="preserve">Skirti daugiau dėmesio ir finansinių lėšų prevenciniam darbui su rizikos grupės vaikais ir šeimomis visose socialinėse, švietimo ir sveikatos apsaugoje srityse. </w:t>
      </w:r>
    </w:p>
    <w:p w:rsidR="00A2543C" w:rsidRPr="00B049EF" w:rsidRDefault="00A2543C" w:rsidP="00A2543C">
      <w:pPr>
        <w:numPr>
          <w:ilvl w:val="0"/>
          <w:numId w:val="53"/>
        </w:numPr>
        <w:jc w:val="both"/>
        <w:rPr>
          <w:b/>
        </w:rPr>
      </w:pPr>
      <w:r w:rsidRPr="006734AE">
        <w:t>Numatyti priemones skirtas darbui su vaikų, kurie yra globos namuose ir šeimynose,  biologiniais tėvais</w:t>
      </w:r>
      <w:r w:rsidRPr="00B049EF">
        <w:rPr>
          <w:b/>
        </w:rPr>
        <w:t>.</w:t>
      </w:r>
    </w:p>
    <w:p w:rsidR="00A2543C" w:rsidRPr="0005342C" w:rsidRDefault="00A2543C" w:rsidP="00A2543C">
      <w:pPr>
        <w:numPr>
          <w:ilvl w:val="0"/>
          <w:numId w:val="53"/>
        </w:numPr>
        <w:spacing w:line="360" w:lineRule="auto"/>
        <w:jc w:val="both"/>
      </w:pPr>
      <w:r w:rsidRPr="0005342C">
        <w:t>Numatyti papildomas konkrečias priemones šeimoms, auginančioms vaikus skurdui mažinti.</w:t>
      </w:r>
    </w:p>
    <w:p w:rsidR="00A2543C" w:rsidRPr="0005342C" w:rsidRDefault="00A2543C" w:rsidP="00A2543C">
      <w:pPr>
        <w:numPr>
          <w:ilvl w:val="0"/>
          <w:numId w:val="53"/>
        </w:numPr>
        <w:spacing w:line="360" w:lineRule="auto"/>
        <w:jc w:val="both"/>
      </w:pPr>
      <w:r w:rsidRPr="0005342C">
        <w:lastRenderedPageBreak/>
        <w:t xml:space="preserve">Sukurti psichosocialinės pagalbos ir reabilitacijos </w:t>
      </w:r>
      <w:r w:rsidRPr="006734AE">
        <w:t>sistemą,</w:t>
      </w:r>
      <w:r>
        <w:rPr>
          <w:b/>
        </w:rPr>
        <w:t xml:space="preserve"> </w:t>
      </w:r>
      <w:r w:rsidRPr="0005342C">
        <w:t xml:space="preserve">struktūras </w:t>
      </w:r>
      <w:r>
        <w:t>bei</w:t>
      </w:r>
      <w:r w:rsidRPr="0005342C">
        <w:t xml:space="preserve"> </w:t>
      </w:r>
      <w:r w:rsidRPr="006734AE">
        <w:t>reikiamą infrastruktūrą ir</w:t>
      </w:r>
      <w:r>
        <w:rPr>
          <w:b/>
        </w:rPr>
        <w:t xml:space="preserve"> </w:t>
      </w:r>
      <w:r w:rsidRPr="00F2719A">
        <w:rPr>
          <w:b/>
        </w:rPr>
        <w:t xml:space="preserve"> </w:t>
      </w:r>
      <w:r>
        <w:t>patvirtinti tvarkas</w:t>
      </w:r>
      <w:r w:rsidRPr="0005342C">
        <w:t xml:space="preserve"> smurtą</w:t>
      </w:r>
      <w:r>
        <w:t xml:space="preserve"> ir seksualinę </w:t>
      </w:r>
      <w:r w:rsidRPr="006734AE">
        <w:t>prievartą</w:t>
      </w:r>
      <w:r>
        <w:t xml:space="preserve"> </w:t>
      </w:r>
      <w:r w:rsidRPr="0005342C">
        <w:t>patyrusiems vaikams ir jų šeimos nariams, ir tai laikyti prioritetiniu vaikų gerovės principu.</w:t>
      </w:r>
    </w:p>
    <w:p w:rsidR="00A2543C" w:rsidRPr="0005342C" w:rsidRDefault="00A2543C" w:rsidP="00A2543C">
      <w:pPr>
        <w:numPr>
          <w:ilvl w:val="0"/>
          <w:numId w:val="53"/>
        </w:numPr>
        <w:spacing w:line="360" w:lineRule="auto"/>
        <w:jc w:val="both"/>
      </w:pPr>
      <w:r w:rsidRPr="0005342C">
        <w:t xml:space="preserve">Plėsti paslaugų, pagalbos tinklą šeimoms, auginančioms neįgalius vaikus, užtikrinti namų aplinkos </w:t>
      </w:r>
      <w:r w:rsidRPr="00B9135B">
        <w:t>pritaikymą neįgaliems vaikams.</w:t>
      </w:r>
      <w:r w:rsidRPr="0005342C">
        <w:t xml:space="preserve"> Nuosekliai įgyvendinti neįgaliųjų teisių konvenciją. Užtikrinti švietimo, socialinių ir sveikatos institucijų prieinamumą</w:t>
      </w:r>
      <w:r>
        <w:t xml:space="preserve"> bei atvirumą vietos bendruomenės veikloms</w:t>
      </w:r>
      <w:r w:rsidRPr="0005342C">
        <w:t>.</w:t>
      </w:r>
    </w:p>
    <w:p w:rsidR="00A2543C" w:rsidRPr="0005342C" w:rsidRDefault="00A2543C" w:rsidP="00A2543C">
      <w:pPr>
        <w:numPr>
          <w:ilvl w:val="0"/>
          <w:numId w:val="53"/>
        </w:numPr>
        <w:spacing w:line="360" w:lineRule="auto"/>
        <w:jc w:val="both"/>
      </w:pPr>
      <w:r w:rsidRPr="0005342C">
        <w:t>Plėsti integruotų mokyklų tinklą (dalinė, pilnutinė integracija).</w:t>
      </w:r>
    </w:p>
    <w:p w:rsidR="00A2543C" w:rsidRPr="0005342C" w:rsidRDefault="00A2543C" w:rsidP="00A2543C">
      <w:pPr>
        <w:numPr>
          <w:ilvl w:val="0"/>
          <w:numId w:val="53"/>
        </w:numPr>
        <w:spacing w:line="360" w:lineRule="auto"/>
        <w:jc w:val="both"/>
      </w:pPr>
      <w:r w:rsidRPr="0005342C">
        <w:t>Plėsti pagalbą miesto ir kaimo bendruomenių (atkreipiant dėmesį į krizines situacijas), tautinių mažumų ir socialinės rizikos grupių šeimų vaikams, kad jie galėtų lankyti mokyklą, įgytų vidurinį išsilavinimą ir turėtų lygias galimybes įgyti aukštąjį išsilavinimą.</w:t>
      </w:r>
    </w:p>
    <w:p w:rsidR="00A2543C" w:rsidRPr="00B9135B" w:rsidRDefault="00A2543C" w:rsidP="00A2543C">
      <w:pPr>
        <w:numPr>
          <w:ilvl w:val="0"/>
          <w:numId w:val="53"/>
        </w:numPr>
        <w:spacing w:line="360" w:lineRule="auto"/>
        <w:jc w:val="both"/>
      </w:pPr>
      <w:r w:rsidRPr="0005342C">
        <w:t>Veiksmingiau spręsti mokyklas nelankančių ir iš jų iškrentančių vaikų problemas. Peržiūrėti mokyklų lank</w:t>
      </w:r>
      <w:r>
        <w:t>omumo registracijos sistemą ir vaikų</w:t>
      </w:r>
      <w:r w:rsidRPr="0005342C">
        <w:t xml:space="preserve"> stebėseną sprendžiant mokyklos pasiekiamumo problemas, gerinant socialinį pedagoginį darbą su vaikais, kuriems gresia iškristi iš mokyklos, ir su tokių vaikų tėvais, tobulinti mokymo programų apimtį, turinį ir pedagoginių metodų kokybę</w:t>
      </w:r>
      <w:r w:rsidRPr="00B9135B">
        <w:t>. Numatyti atsakingą už nerastų vaikų paiešką instituciją arbą tarnybą.</w:t>
      </w:r>
    </w:p>
    <w:p w:rsidR="00A2543C" w:rsidRPr="0005342C" w:rsidRDefault="00A2543C" w:rsidP="00A2543C">
      <w:pPr>
        <w:numPr>
          <w:ilvl w:val="0"/>
          <w:numId w:val="53"/>
        </w:numPr>
        <w:spacing w:line="360" w:lineRule="auto"/>
        <w:jc w:val="both"/>
      </w:pPr>
      <w:r w:rsidRPr="0005342C">
        <w:t>Vietoj panaikintų ir privatizuotų vaikų vasaros poilsio stovyklų kurti alternatyvą vaikų vasaros ir kitų atostogų poilsiui, kuris garantuotų vaiko teisę į laisvalaikį tam panaudojant ES ir nacionalines lėšas.</w:t>
      </w:r>
    </w:p>
    <w:p w:rsidR="00A2543C" w:rsidRPr="0005342C" w:rsidRDefault="00A2543C" w:rsidP="00A2543C">
      <w:pPr>
        <w:numPr>
          <w:ilvl w:val="0"/>
          <w:numId w:val="53"/>
        </w:numPr>
        <w:spacing w:line="360" w:lineRule="auto"/>
        <w:jc w:val="both"/>
      </w:pPr>
      <w:r w:rsidRPr="0005342C">
        <w:t>Didinti konkurenciją tarp viešojo, privataus sektoriaus ir pilietinės visuomenės grupių (NVO), inicijuojant alternatyvius ikimokyklinius ir multifunkcinius/daugiafunkcinius ugdymo centrus, kuriuose būtų teikiamos įvairiapusiškos vaikų ugdymo paslaugos, konsultuojami tėvai harmoningos vaikų asmenybės ugdymo klausimais ir vykdomi tėvų mokymai (kaip pasirinkti tinkamą vaikų ugdym</w:t>
      </w:r>
      <w:r>
        <w:t>o kryptį ir prasmingą užimtumą)</w:t>
      </w:r>
      <w:r w:rsidRPr="0005342C">
        <w:t>.</w:t>
      </w:r>
    </w:p>
    <w:p w:rsidR="00A2543C" w:rsidRPr="0005342C" w:rsidRDefault="00A2543C" w:rsidP="00A2543C">
      <w:pPr>
        <w:numPr>
          <w:ilvl w:val="0"/>
          <w:numId w:val="53"/>
        </w:numPr>
        <w:spacing w:line="360" w:lineRule="auto"/>
        <w:jc w:val="both"/>
      </w:pPr>
      <w:r w:rsidRPr="0005342C">
        <w:t xml:space="preserve">Siekiant ugdyti kūrybišką, savarankišką asmenybę, sugebančią lengvai prisitaikyti besikeičiančiame pasaulyje, suteikti daugiau atsakomybės, pasitikėjimo, privilegijų mokytojui bendrojo lavinimo mokyklose, dėstytojui aukštosiose mokyklose, savarankiškumo mokyklų vadovams ir bendruomenėms, šias nuostatas įtvirtinant Švietimo įstatyme. Įvesti amžiaus cenzą vadovaujančioms pareigoms užimti visose </w:t>
      </w:r>
      <w:r>
        <w:t>universitetinėse mokyklose, siekiant spartesnės kaitos ir mobilumo. Užtikrinti 2 kadencijų trukmę visose švietimo institucijose, kuri nebūtų keičiama formaliai pakeitus universiteto ar kolegijos pavadinimą.</w:t>
      </w:r>
      <w:r w:rsidRPr="0005342C">
        <w:t xml:space="preserve"> </w:t>
      </w:r>
    </w:p>
    <w:p w:rsidR="00A2543C" w:rsidRPr="0005342C" w:rsidRDefault="00A2543C" w:rsidP="00A2543C">
      <w:pPr>
        <w:numPr>
          <w:ilvl w:val="0"/>
          <w:numId w:val="53"/>
        </w:numPr>
        <w:spacing w:line="360" w:lineRule="auto"/>
        <w:jc w:val="both"/>
      </w:pPr>
      <w:r w:rsidRPr="0005342C">
        <w:rPr>
          <w:bCs/>
          <w:iCs/>
          <w:shd w:val="clear" w:color="auto" w:fill="FFFFFF"/>
        </w:rPr>
        <w:t>Prioritetinėmis laikyti viešojo ir privataus sektoriaus partneryste ir socialine klasteryste, kartu su pilietinės visuomenės (NVO) pagrįstas programas ir socialines ekonomines iniciatyvas, numatyti lėšas socialinės ekonomikos mechanizmams skatinti ir socialinės ekonomikos klasteriui organizuoti.</w:t>
      </w:r>
    </w:p>
    <w:p w:rsidR="00A2543C" w:rsidRDefault="00A2543C" w:rsidP="00A2543C">
      <w:pPr>
        <w:numPr>
          <w:ilvl w:val="0"/>
          <w:numId w:val="53"/>
        </w:numPr>
        <w:spacing w:line="360" w:lineRule="auto"/>
        <w:jc w:val="both"/>
      </w:pPr>
      <w:r w:rsidRPr="0005342C">
        <w:t>Skatinti televizijos bei radijo transliuotojus rengti specializuotas švietėjiškas laidas, skirtas visuomenės, ypač vaikų ir jaunimo, socialiniam ugdymui ir pozityviajai socializacijai.</w:t>
      </w:r>
    </w:p>
    <w:p w:rsidR="00A2543C" w:rsidRDefault="00A2543C" w:rsidP="00A2543C">
      <w:pPr>
        <w:spacing w:line="360" w:lineRule="auto"/>
        <w:ind w:left="283"/>
        <w:jc w:val="both"/>
      </w:pPr>
    </w:p>
    <w:p w:rsidR="00A2543C" w:rsidRPr="00A05E61" w:rsidRDefault="00A2543C" w:rsidP="00A2543C">
      <w:pPr>
        <w:spacing w:line="360" w:lineRule="auto"/>
        <w:ind w:left="283"/>
        <w:jc w:val="both"/>
        <w:rPr>
          <w:b/>
          <w:i/>
        </w:rPr>
      </w:pPr>
    </w:p>
    <w:p w:rsidR="00A2543C" w:rsidRPr="00A05E61" w:rsidRDefault="00A2543C" w:rsidP="00A2543C">
      <w:pPr>
        <w:spacing w:line="360" w:lineRule="auto"/>
        <w:ind w:left="283"/>
        <w:jc w:val="both"/>
        <w:rPr>
          <w:i/>
        </w:rPr>
      </w:pPr>
      <w:r>
        <w:rPr>
          <w:b/>
          <w:i/>
        </w:rPr>
        <w:t xml:space="preserve">III. </w:t>
      </w:r>
      <w:r w:rsidRPr="00A05E61">
        <w:rPr>
          <w:b/>
          <w:i/>
        </w:rPr>
        <w:t>Aukštosioms mokykloms ir ugdymo institucijoms:</w:t>
      </w:r>
    </w:p>
    <w:p w:rsidR="00A2543C" w:rsidRDefault="00A2543C" w:rsidP="00A2543C">
      <w:pPr>
        <w:numPr>
          <w:ilvl w:val="0"/>
          <w:numId w:val="53"/>
        </w:numPr>
        <w:spacing w:line="360" w:lineRule="auto"/>
        <w:jc w:val="both"/>
      </w:pPr>
      <w:r w:rsidRPr="00A05E61">
        <w:t>Rengiančioms arba perkvalifikuojančioms profesionalus, ketinančius dirbti viešąjame sektoriuje studijų programas įtraukti kursą apie socialinę pedagogiką, socialinę ekonomiką, socialinio verslo mechanizmus, kad profesionalai galėtų plačiau pasinaudoti šiais įrankiais socioedukacijos ir socialinių paslaugų ir socialinės partnerystės plėtrai bei naujų darbo vietų kūrimui.</w:t>
      </w:r>
    </w:p>
    <w:p w:rsidR="00A2543C" w:rsidRDefault="00A2543C" w:rsidP="00A2543C">
      <w:pPr>
        <w:numPr>
          <w:ilvl w:val="0"/>
          <w:numId w:val="53"/>
        </w:numPr>
        <w:spacing w:line="360" w:lineRule="auto"/>
        <w:jc w:val="both"/>
      </w:pPr>
      <w:r w:rsidRPr="00A05E61">
        <w:t>Įgalioti visas ugdymo institucijas, ypač universitetines mokyklas, inicijuoti pozityvios tėvystės mokyklų kūrimą, vykdyti šeimų švietimą. Žmogaus ugdymą būtina pradėti pačiu imliausiu jo amžiaus metu, siekiant brandžios ir atsakingos visuomenės.</w:t>
      </w:r>
    </w:p>
    <w:p w:rsidR="00A2543C" w:rsidRDefault="00A2543C" w:rsidP="00A2543C">
      <w:pPr>
        <w:numPr>
          <w:ilvl w:val="0"/>
          <w:numId w:val="53"/>
        </w:numPr>
        <w:spacing w:line="360" w:lineRule="auto"/>
        <w:jc w:val="both"/>
      </w:pPr>
      <w:r w:rsidRPr="00A05E61">
        <w:t xml:space="preserve">Remti ir skatinti virtualias (nuotolinių studijų) programas ir jas įteisinti universitetų norminiuose dokumentuose. </w:t>
      </w:r>
    </w:p>
    <w:p w:rsidR="00A2543C" w:rsidRPr="00A05E61" w:rsidRDefault="00A2543C" w:rsidP="00A2543C">
      <w:pPr>
        <w:numPr>
          <w:ilvl w:val="0"/>
          <w:numId w:val="53"/>
        </w:numPr>
        <w:spacing w:line="360" w:lineRule="auto"/>
        <w:jc w:val="both"/>
      </w:pPr>
      <w:r w:rsidRPr="00A05E61">
        <w:t xml:space="preserve">Siekiant kaitos ir mobilumo bei ugdyti kūrybišką, savarankišką asmenybę, sugebančią lengvai prisitaikyti besikeičiančiame pasaulyje, suteikti daugiau atsakomybių ir pasitikėjimo ir privilegijų, dėstytojui aukštosiose mokyklose, savarankiškumo universitetinėms bendruomenėms, šias nuostatas įtvirtinant Aukštojo mokslo ir studijų įstatyme. </w:t>
      </w:r>
    </w:p>
    <w:p w:rsidR="00A2543C" w:rsidRPr="00A70B78" w:rsidRDefault="00A2543C" w:rsidP="00A2543C">
      <w:pPr>
        <w:spacing w:line="360" w:lineRule="auto"/>
        <w:jc w:val="both"/>
      </w:pPr>
    </w:p>
    <w:p w:rsidR="00A2543C" w:rsidRDefault="00A2543C" w:rsidP="00A2543C">
      <w:pPr>
        <w:jc w:val="both"/>
      </w:pPr>
      <w:r w:rsidRPr="00A70B78">
        <w:t xml:space="preserve">Vincė Vaidevutė Margevičienė </w:t>
      </w:r>
    </w:p>
    <w:p w:rsidR="00A2543C" w:rsidRDefault="00A2543C" w:rsidP="00A2543C">
      <w:pPr>
        <w:jc w:val="both"/>
      </w:pPr>
      <w:r w:rsidRPr="00A70B78">
        <w:t xml:space="preserve">Seimo Narkomanijos ir alkoholizmo prevencijos komisijos pirmininkė </w:t>
      </w:r>
    </w:p>
    <w:p w:rsidR="00A2543C" w:rsidRDefault="00A2543C" w:rsidP="00A2543C">
      <w:pPr>
        <w:jc w:val="both"/>
      </w:pPr>
    </w:p>
    <w:p w:rsidR="00A2543C" w:rsidRPr="00A70B78" w:rsidRDefault="00A2543C" w:rsidP="00A2543C">
      <w:pPr>
        <w:jc w:val="both"/>
      </w:pPr>
      <w:r w:rsidRPr="00A70B78">
        <w:t>prof.dr. Giedrė Kvieskienė</w:t>
      </w:r>
    </w:p>
    <w:p w:rsidR="00A2543C" w:rsidRDefault="00A2543C" w:rsidP="00A2543C">
      <w:pPr>
        <w:jc w:val="both"/>
      </w:pPr>
      <w:r w:rsidRPr="00A70B78">
        <w:t xml:space="preserve">Nevyriausybinių organizacijų konfederacijos Garbės prezidentė </w:t>
      </w:r>
    </w:p>
    <w:p w:rsidR="00A2543C" w:rsidRPr="00A70B78" w:rsidRDefault="00A2543C" w:rsidP="00A2543C">
      <w:pPr>
        <w:spacing w:line="360" w:lineRule="auto"/>
        <w:jc w:val="both"/>
      </w:pPr>
    </w:p>
    <w:p w:rsidR="00A2543C" w:rsidRDefault="00A2543C" w:rsidP="00A2543C">
      <w:pPr>
        <w:jc w:val="both"/>
      </w:pPr>
      <w:r>
        <w:t xml:space="preserve">dr. </w:t>
      </w:r>
      <w:r w:rsidRPr="00A70B78">
        <w:t xml:space="preserve">Giedrė Žilinskienė </w:t>
      </w:r>
    </w:p>
    <w:p w:rsidR="00A2543C" w:rsidRPr="00A70B78" w:rsidRDefault="00A2543C" w:rsidP="00A2543C">
      <w:pPr>
        <w:jc w:val="both"/>
      </w:pPr>
      <w:r w:rsidRPr="00A70B78">
        <w:t xml:space="preserve">Nevyriausybinių organizacijų vaikams konfederacijos vadybos pirmininkė </w:t>
      </w:r>
    </w:p>
    <w:p w:rsidR="00A2543C" w:rsidRDefault="00A2543C" w:rsidP="00A2543C">
      <w:pPr>
        <w:spacing w:line="360" w:lineRule="auto"/>
        <w:jc w:val="both"/>
      </w:pPr>
    </w:p>
    <w:p w:rsidR="00A2543C" w:rsidRDefault="00A2543C" w:rsidP="00A2543C">
      <w:pPr>
        <w:jc w:val="both"/>
      </w:pPr>
      <w:r w:rsidRPr="00A70B78">
        <w:t xml:space="preserve">Auksė Petruškevičiūtė </w:t>
      </w:r>
    </w:p>
    <w:p w:rsidR="00A2543C" w:rsidRPr="00A70B78" w:rsidRDefault="00A2543C" w:rsidP="00A2543C">
      <w:pPr>
        <w:jc w:val="both"/>
      </w:pPr>
      <w:r w:rsidRPr="00A70B78">
        <w:t xml:space="preserve">Lietuvos socialinių pedagogų asociacijos direktorė </w:t>
      </w:r>
    </w:p>
    <w:p w:rsidR="00A2543C" w:rsidRPr="00A70B78" w:rsidRDefault="00A2543C" w:rsidP="00A2543C">
      <w:pPr>
        <w:spacing w:line="360" w:lineRule="auto"/>
      </w:pPr>
    </w:p>
    <w:p w:rsidR="00A2543C" w:rsidRDefault="00A2543C" w:rsidP="00A2543C">
      <w:pPr>
        <w:ind w:firstLine="360"/>
        <w:jc w:val="both"/>
        <w:rPr>
          <w:b/>
        </w:rPr>
      </w:pPr>
    </w:p>
    <w:p w:rsidR="00522C32" w:rsidRDefault="00522C32"/>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2E5D37" w:rsidRDefault="002E5D37"/>
    <w:p w:rsidR="004F7425" w:rsidRPr="00387E75" w:rsidRDefault="004F7425" w:rsidP="004F7425">
      <w:pPr>
        <w:jc w:val="center"/>
        <w:rPr>
          <w:rFonts w:ascii="TimesLT" w:hAnsi="TimesLT"/>
          <w:b/>
        </w:rPr>
      </w:pPr>
    </w:p>
    <w:p w:rsidR="004F7425" w:rsidRPr="00387E75" w:rsidRDefault="004F7425" w:rsidP="004F7425">
      <w:pPr>
        <w:jc w:val="center"/>
        <w:rPr>
          <w:b/>
          <w:bCs/>
        </w:rPr>
      </w:pPr>
      <w:r w:rsidRPr="00387E75">
        <w:rPr>
          <w:b/>
          <w:bCs/>
        </w:rPr>
        <w:t>LIETUVOS RESPUBLIKOS SEIMO</w:t>
      </w: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r w:rsidRPr="00387E75">
        <w:rPr>
          <w:b/>
          <w:bCs/>
        </w:rPr>
        <w:t>NARKOMANIJOS IR ALKOHOLIZMO PREVENCIJOS</w:t>
      </w:r>
    </w:p>
    <w:p w:rsidR="004F7425" w:rsidRPr="00387E75" w:rsidRDefault="004F7425" w:rsidP="004F7425">
      <w:pPr>
        <w:jc w:val="center"/>
        <w:rPr>
          <w:b/>
          <w:bCs/>
        </w:rPr>
      </w:pPr>
      <w:r w:rsidRPr="00387E75">
        <w:rPr>
          <w:b/>
          <w:bCs/>
        </w:rPr>
        <w:t>KOMISIJOS</w:t>
      </w: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r w:rsidRPr="00387E75">
        <w:rPr>
          <w:b/>
          <w:bCs/>
        </w:rPr>
        <w:t>2013 METŲ VEIKLOS</w:t>
      </w: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jc w:val="center"/>
        <w:rPr>
          <w:b/>
          <w:bCs/>
        </w:rPr>
      </w:pPr>
    </w:p>
    <w:p w:rsidR="004F7425" w:rsidRPr="00387E75" w:rsidRDefault="004F7425" w:rsidP="004F7425">
      <w:pPr>
        <w:pStyle w:val="Normal1"/>
        <w:jc w:val="center"/>
        <w:rPr>
          <w:b/>
          <w:bCs/>
          <w:szCs w:val="24"/>
          <w:lang w:val="lt-LT"/>
        </w:rPr>
      </w:pPr>
      <w:r w:rsidRPr="00387E75">
        <w:rPr>
          <w:b/>
          <w:bCs/>
          <w:szCs w:val="24"/>
          <w:lang w:val="lt-LT"/>
        </w:rPr>
        <w:t>A T A S K A I T A</w:t>
      </w:r>
    </w:p>
    <w:p w:rsidR="004F7425" w:rsidRPr="00387E75" w:rsidRDefault="004F7425" w:rsidP="004F7425">
      <w:pPr>
        <w:jc w:val="both"/>
        <w:rPr>
          <w:b/>
          <w:bCs/>
        </w:rPr>
      </w:pPr>
    </w:p>
    <w:p w:rsidR="004F7425" w:rsidRPr="00387E75" w:rsidRDefault="004F7425" w:rsidP="004F7425">
      <w:pPr>
        <w:jc w:val="both"/>
      </w:pPr>
    </w:p>
    <w:p w:rsidR="004F7425" w:rsidRPr="00387E75" w:rsidRDefault="004F7425" w:rsidP="004F7425">
      <w:pPr>
        <w:jc w:val="both"/>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Default="004F7425" w:rsidP="004F7425">
      <w:pPr>
        <w:ind w:firstLine="720"/>
      </w:pPr>
    </w:p>
    <w:p w:rsidR="004F7425" w:rsidRDefault="004F7425" w:rsidP="004F7425">
      <w:pPr>
        <w:ind w:firstLine="720"/>
      </w:pPr>
    </w:p>
    <w:p w:rsidR="004F742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pPr>
    </w:p>
    <w:p w:rsidR="004F7425" w:rsidRPr="00387E75" w:rsidRDefault="004F7425" w:rsidP="004F7425">
      <w:pPr>
        <w:ind w:firstLine="720"/>
        <w:rPr>
          <w:rFonts w:ascii="TimesLT" w:hAnsi="TimesLT"/>
          <w:b/>
        </w:rPr>
      </w:pPr>
      <w:r w:rsidRPr="00387E75">
        <w:rPr>
          <w:b/>
        </w:rPr>
        <w:t>Lietuvos Respublikos Seimo Narkomanijos ir alkoholizmo prevencijos komisijos sudėtis</w:t>
      </w:r>
    </w:p>
    <w:p w:rsidR="004F7425" w:rsidRPr="00387E75" w:rsidRDefault="004F7425" w:rsidP="004F7425">
      <w:pPr>
        <w:ind w:firstLine="720"/>
        <w:jc w:val="both"/>
        <w:rPr>
          <w:lang w:eastAsia="lt-LT"/>
        </w:rPr>
      </w:pPr>
      <w:r w:rsidRPr="00387E75">
        <w:lastRenderedPageBreak/>
        <w:t xml:space="preserve">Lietuvos Respublikos Seimas, vadovaudamasis Lietuvos Respublikos Seimo statuto 71 straipsniu, </w:t>
      </w:r>
      <w:r w:rsidRPr="00387E75">
        <w:rPr>
          <w:lang w:eastAsia="lt-LT"/>
        </w:rPr>
        <w:t xml:space="preserve">2012 m. gruodžio 4 d. </w:t>
      </w:r>
      <w:r w:rsidRPr="00387E75">
        <w:t xml:space="preserve">nutarimu </w:t>
      </w:r>
      <w:r w:rsidRPr="00387E75">
        <w:rPr>
          <w:lang w:eastAsia="lt-LT"/>
        </w:rPr>
        <w:t xml:space="preserve">Nr.XII-35 </w:t>
      </w:r>
      <w:r w:rsidRPr="00387E75">
        <w:t>sudarė Lietuvos Respublikos Seimo Narkomanijos ir alkoholizmo prevencijos komisiją iš 12 narių ir ją p</w:t>
      </w:r>
      <w:r w:rsidRPr="00387E75">
        <w:rPr>
          <w:lang w:eastAsia="lt-LT"/>
        </w:rPr>
        <w:t>atvirtino šios sudėties:</w:t>
      </w:r>
    </w:p>
    <w:p w:rsidR="004F7425" w:rsidRPr="00387E75" w:rsidRDefault="004F7425" w:rsidP="004F7425">
      <w:pPr>
        <w:ind w:firstLine="720"/>
        <w:jc w:val="both"/>
        <w:rPr>
          <w:lang w:eastAsia="lt-LT"/>
        </w:rPr>
      </w:pPr>
      <w:r w:rsidRPr="00387E75">
        <w:rPr>
          <w:lang w:eastAsia="lt-LT"/>
        </w:rPr>
        <w:t>1)  Rima Baškienė;</w:t>
      </w:r>
    </w:p>
    <w:p w:rsidR="004F7425" w:rsidRPr="00387E75" w:rsidRDefault="004F7425" w:rsidP="004F7425">
      <w:pPr>
        <w:ind w:firstLine="720"/>
        <w:jc w:val="both"/>
        <w:rPr>
          <w:lang w:eastAsia="lt-LT"/>
        </w:rPr>
      </w:pPr>
      <w:r w:rsidRPr="00387E75">
        <w:rPr>
          <w:lang w:eastAsia="lt-LT"/>
        </w:rPr>
        <w:t>2)  Larisa Dmitrijeva;</w:t>
      </w:r>
    </w:p>
    <w:p w:rsidR="004F7425" w:rsidRPr="00387E75" w:rsidRDefault="004F7425" w:rsidP="004F7425">
      <w:pPr>
        <w:ind w:firstLine="720"/>
        <w:jc w:val="both"/>
        <w:rPr>
          <w:lang w:eastAsia="lt-LT"/>
        </w:rPr>
      </w:pPr>
      <w:r w:rsidRPr="00387E75">
        <w:rPr>
          <w:lang w:eastAsia="lt-LT"/>
        </w:rPr>
        <w:t>3) Vilija Filipovičienė;</w:t>
      </w:r>
    </w:p>
    <w:p w:rsidR="004F7425" w:rsidRPr="00387E75" w:rsidRDefault="004F7425" w:rsidP="004F7425">
      <w:pPr>
        <w:ind w:firstLine="720"/>
        <w:jc w:val="both"/>
        <w:rPr>
          <w:lang w:eastAsia="lt-LT"/>
        </w:rPr>
      </w:pPr>
      <w:r w:rsidRPr="00387E75">
        <w:rPr>
          <w:lang w:eastAsia="lt-LT"/>
        </w:rPr>
        <w:t>4) Vitalijus Gailius;</w:t>
      </w:r>
    </w:p>
    <w:p w:rsidR="004F7425" w:rsidRPr="00387E75" w:rsidRDefault="004F7425" w:rsidP="004F7425">
      <w:pPr>
        <w:ind w:firstLine="720"/>
        <w:jc w:val="both"/>
        <w:rPr>
          <w:lang w:eastAsia="lt-LT"/>
        </w:rPr>
      </w:pPr>
      <w:r w:rsidRPr="00387E75">
        <w:rPr>
          <w:lang w:eastAsia="lt-LT"/>
        </w:rPr>
        <w:t>5) Vincė Vaidevutė Margevičienė;</w:t>
      </w:r>
    </w:p>
    <w:p w:rsidR="004F7425" w:rsidRPr="00387E75" w:rsidRDefault="004F7425" w:rsidP="004F7425">
      <w:pPr>
        <w:ind w:firstLine="720"/>
        <w:jc w:val="both"/>
        <w:rPr>
          <w:lang w:eastAsia="lt-LT"/>
        </w:rPr>
      </w:pPr>
      <w:r w:rsidRPr="00387E75">
        <w:rPr>
          <w:lang w:eastAsia="lt-LT"/>
        </w:rPr>
        <w:t>6) Antanas Matulas;</w:t>
      </w:r>
    </w:p>
    <w:p w:rsidR="004F7425" w:rsidRPr="00387E75" w:rsidRDefault="004F7425" w:rsidP="004F7425">
      <w:pPr>
        <w:ind w:firstLine="720"/>
        <w:jc w:val="both"/>
        <w:rPr>
          <w:lang w:eastAsia="lt-LT"/>
        </w:rPr>
      </w:pPr>
      <w:r w:rsidRPr="00387E75">
        <w:rPr>
          <w:lang w:eastAsia="lt-LT"/>
        </w:rPr>
        <w:t>7) Marija Aušrinė Pavilionienė;</w:t>
      </w:r>
    </w:p>
    <w:p w:rsidR="004F7425" w:rsidRPr="00387E75" w:rsidRDefault="004F7425" w:rsidP="004F7425">
      <w:pPr>
        <w:ind w:firstLine="720"/>
        <w:jc w:val="both"/>
        <w:rPr>
          <w:lang w:eastAsia="lt-LT"/>
        </w:rPr>
      </w:pPr>
      <w:r w:rsidRPr="00387E75">
        <w:rPr>
          <w:lang w:eastAsia="lt-LT"/>
        </w:rPr>
        <w:t>8) Giedrė Purvaneckienė;</w:t>
      </w:r>
    </w:p>
    <w:p w:rsidR="004F7425" w:rsidRPr="00387E75" w:rsidRDefault="004F7425" w:rsidP="004F7425">
      <w:pPr>
        <w:ind w:firstLine="720"/>
        <w:jc w:val="both"/>
        <w:rPr>
          <w:lang w:eastAsia="lt-LT"/>
        </w:rPr>
      </w:pPr>
      <w:r w:rsidRPr="00387E75">
        <w:rPr>
          <w:lang w:eastAsia="lt-LT"/>
        </w:rPr>
        <w:t>9) Algirdas Sysas;</w:t>
      </w:r>
    </w:p>
    <w:p w:rsidR="004F7425" w:rsidRPr="00387E75" w:rsidRDefault="004F7425" w:rsidP="004F7425">
      <w:pPr>
        <w:ind w:firstLine="720"/>
        <w:jc w:val="both"/>
        <w:rPr>
          <w:lang w:eastAsia="lt-LT"/>
        </w:rPr>
      </w:pPr>
      <w:r w:rsidRPr="00387E75">
        <w:rPr>
          <w:lang w:eastAsia="lt-LT"/>
        </w:rPr>
        <w:t>10) Rita Tamašunienė;</w:t>
      </w:r>
    </w:p>
    <w:p w:rsidR="004F7425" w:rsidRPr="00387E75" w:rsidRDefault="004F7425" w:rsidP="004F7425">
      <w:pPr>
        <w:ind w:firstLine="720"/>
        <w:jc w:val="both"/>
        <w:rPr>
          <w:lang w:eastAsia="lt-LT"/>
        </w:rPr>
      </w:pPr>
      <w:r w:rsidRPr="00387E75">
        <w:rPr>
          <w:lang w:eastAsia="lt-LT"/>
        </w:rPr>
        <w:t>11) Jolita Vaickienė;</w:t>
      </w:r>
    </w:p>
    <w:p w:rsidR="004F7425" w:rsidRPr="00387E75" w:rsidRDefault="004F7425" w:rsidP="004F7425">
      <w:pPr>
        <w:ind w:firstLine="720"/>
        <w:jc w:val="both"/>
        <w:rPr>
          <w:lang w:eastAsia="lt-LT"/>
        </w:rPr>
      </w:pPr>
      <w:r w:rsidRPr="00387E75">
        <w:rPr>
          <w:lang w:eastAsia="lt-LT"/>
        </w:rPr>
        <w:t>12) Jonas Varkala.</w:t>
      </w:r>
    </w:p>
    <w:p w:rsidR="004F7425" w:rsidRPr="00387E75" w:rsidRDefault="004F7425" w:rsidP="004F7425">
      <w:pPr>
        <w:ind w:firstLine="720"/>
        <w:jc w:val="both"/>
      </w:pPr>
      <w:r w:rsidRPr="00387E75">
        <w:t xml:space="preserve"> 2012 m. gruodžio 6 d.  Lietuvos Respublikos Seimo Narkomanijos ir alkoholizmo prevencijos komisijos posėdyje komisijos pirmininke išrinkta Larisa Dmitrijeva, komisijos pirmininko pavaduotoja – Vincė Vaidevutė Margevičienė. </w:t>
      </w:r>
    </w:p>
    <w:p w:rsidR="004F7425" w:rsidRPr="00387E75" w:rsidRDefault="004F7425" w:rsidP="004F7425">
      <w:pPr>
        <w:ind w:firstLine="720"/>
        <w:jc w:val="both"/>
      </w:pPr>
      <w:r w:rsidRPr="00387E75">
        <w:t xml:space="preserve">Lietuvos Respublikos Seimas </w:t>
      </w:r>
      <w:r w:rsidRPr="00387E75">
        <w:rPr>
          <w:lang w:eastAsia="lt-LT"/>
        </w:rPr>
        <w:t>2013 m. sausio 17 d. nutarimu Nr. XII-184 „</w:t>
      </w:r>
      <w:r w:rsidRPr="00387E75">
        <w:t>Dėl Lietuvos Respublikos Seimo Narkomanijos ir alkoholizmo prevencijos komisijos nuostatų patvirtinimo“ patvirtino Lietuvos Respublikos Seimo Narkomanijos ir alkoholizmo prevencijos komisijos (toliau– Komisija) nuostatus.</w:t>
      </w:r>
    </w:p>
    <w:p w:rsidR="004F7425" w:rsidRPr="00387E75" w:rsidRDefault="004F7425" w:rsidP="004F7425">
      <w:pPr>
        <w:tabs>
          <w:tab w:val="center" w:pos="7088"/>
          <w:tab w:val="center" w:pos="8222"/>
          <w:tab w:val="center" w:pos="9072"/>
        </w:tabs>
        <w:rPr>
          <w:u w:val="single"/>
        </w:rPr>
      </w:pPr>
    </w:p>
    <w:p w:rsidR="004F7425" w:rsidRPr="00387E75" w:rsidRDefault="004F7425" w:rsidP="004F7425">
      <w:pPr>
        <w:ind w:firstLine="720"/>
        <w:rPr>
          <w:b/>
        </w:rPr>
      </w:pPr>
      <w:r w:rsidRPr="00387E75">
        <w:rPr>
          <w:b/>
        </w:rPr>
        <w:t>Komisijos veikla</w:t>
      </w:r>
    </w:p>
    <w:p w:rsidR="004F7425" w:rsidRPr="00387E75" w:rsidRDefault="004F7425" w:rsidP="004F7425">
      <w:pPr>
        <w:spacing w:before="100" w:beforeAutospacing="1" w:after="100" w:afterAutospacing="1"/>
      </w:pPr>
      <w:r w:rsidRPr="00387E75">
        <w:rPr>
          <w:b/>
          <w:bCs/>
          <w:lang w:eastAsia="lt-LT"/>
        </w:rPr>
        <w:t>  </w:t>
      </w:r>
      <w:r w:rsidRPr="00387E75">
        <w:rPr>
          <w:b/>
          <w:bCs/>
          <w:lang w:eastAsia="lt-LT"/>
        </w:rPr>
        <w:tab/>
      </w:r>
      <w:r w:rsidRPr="00387E75">
        <w:t>Komisijos veikla 2013 metais buvo vykdoma vadovaujantis Komisijos nuostatais, Komisijos patvirtintu 2013 metų veiklos planu ir pagal patvirtintas prioritetines veiklos kryptis.</w:t>
      </w:r>
    </w:p>
    <w:p w:rsidR="004F7425" w:rsidRPr="00387E75" w:rsidRDefault="004F7425" w:rsidP="004F7425">
      <w:pPr>
        <w:spacing w:before="100" w:beforeAutospacing="1" w:after="100" w:afterAutospacing="1"/>
      </w:pPr>
      <w:r w:rsidRPr="00387E75">
        <w:rPr>
          <w:bCs/>
        </w:rPr>
        <w:t xml:space="preserve">            </w:t>
      </w:r>
      <w:r w:rsidRPr="00387E75">
        <w:t>Lietuvos Respublikos Seimas, 2013 m. sausio 17 d. nutarimu</w:t>
      </w:r>
      <w:r w:rsidRPr="00387E75">
        <w:rPr>
          <w:b/>
        </w:rPr>
        <w:t xml:space="preserve"> </w:t>
      </w:r>
      <w:r w:rsidRPr="00387E75">
        <w:t>patvirtinęs Komisijos nuostatus</w:t>
      </w:r>
      <w:r w:rsidRPr="00387E75">
        <w:rPr>
          <w:b/>
        </w:rPr>
        <w:t xml:space="preserve">, </w:t>
      </w:r>
      <w:r w:rsidRPr="00387E75">
        <w:t>numatė</w:t>
      </w:r>
      <w:r w:rsidRPr="00387E75">
        <w:rPr>
          <w:b/>
        </w:rPr>
        <w:t xml:space="preserve"> </w:t>
      </w:r>
      <w:r w:rsidRPr="00387E75">
        <w:t xml:space="preserve">pagrindinį ilgalaikį Komisijos tikslą – užtikrinti valstybės interesus, sudarant palankias sąlygas įgyvendinti valstybės narkomanijos ir alkoholizmo bei rūkymo prevencijos, narkotikų, tabako ir alkoholio kontrolės politiką. </w:t>
      </w:r>
    </w:p>
    <w:p w:rsidR="004F7425" w:rsidRPr="00387E75" w:rsidRDefault="004F7425" w:rsidP="004F7425">
      <w:pPr>
        <w:ind w:firstLine="720"/>
        <w:jc w:val="both"/>
        <w:rPr>
          <w:lang w:eastAsia="lt-LT"/>
        </w:rPr>
      </w:pPr>
      <w:r w:rsidRPr="00387E75">
        <w:t xml:space="preserve">Vadovaudamasi  Lietuvos Respublikos Seimo </w:t>
      </w:r>
      <w:r w:rsidRPr="00387E75">
        <w:rPr>
          <w:lang w:eastAsia="lt-LT"/>
        </w:rPr>
        <w:t>2013 m.  sausio 17 d. nutarimu,</w:t>
      </w:r>
      <w:r w:rsidRPr="00387E75">
        <w:t xml:space="preserve"> K</w:t>
      </w:r>
      <w:r w:rsidRPr="00387E75">
        <w:rPr>
          <w:lang w:eastAsia="lt-LT"/>
        </w:rPr>
        <w:t>omisija  atlieka šias funkcijas:</w:t>
      </w:r>
    </w:p>
    <w:p w:rsidR="004F7425" w:rsidRPr="00387E75" w:rsidRDefault="004F7425" w:rsidP="004F7425">
      <w:pPr>
        <w:ind w:firstLine="720"/>
        <w:jc w:val="both"/>
        <w:rPr>
          <w:lang w:eastAsia="lt-LT"/>
        </w:rPr>
      </w:pPr>
      <w:r w:rsidRPr="00387E75">
        <w:rPr>
          <w:lang w:eastAsia="lt-LT"/>
        </w:rPr>
        <w:t>1. Formuoja</w:t>
      </w:r>
      <w:r w:rsidRPr="00387E75">
        <w:rPr>
          <w:b/>
          <w:bCs/>
          <w:lang w:eastAsia="lt-LT"/>
        </w:rPr>
        <w:t xml:space="preserve"> </w:t>
      </w:r>
      <w:r w:rsidRPr="00387E75">
        <w:rPr>
          <w:lang w:eastAsia="lt-LT"/>
        </w:rPr>
        <w:t>valstybės strategiją ir politiką narkotikų kontrolės ir narkomanijos prevencijos srityje.</w:t>
      </w:r>
    </w:p>
    <w:p w:rsidR="004F7425" w:rsidRPr="00387E75" w:rsidRDefault="004F7425" w:rsidP="004F7425">
      <w:pPr>
        <w:ind w:firstLine="720"/>
        <w:jc w:val="both"/>
        <w:rPr>
          <w:lang w:eastAsia="lt-LT"/>
        </w:rPr>
      </w:pPr>
      <w:r w:rsidRPr="00387E75">
        <w:rPr>
          <w:lang w:eastAsia="lt-LT"/>
        </w:rPr>
        <w:t>2. Formuoja valstybės strategiją ir politiką alkoholio kontrolės ir alkoholizmo prevencijos srityje.</w:t>
      </w:r>
    </w:p>
    <w:p w:rsidR="004F7425" w:rsidRPr="00387E75" w:rsidRDefault="004F7425" w:rsidP="004F7425">
      <w:pPr>
        <w:ind w:firstLine="720"/>
        <w:jc w:val="both"/>
        <w:rPr>
          <w:lang w:eastAsia="lt-LT"/>
        </w:rPr>
      </w:pPr>
      <w:r w:rsidRPr="00387E75">
        <w:rPr>
          <w:lang w:eastAsia="lt-LT"/>
        </w:rPr>
        <w:t>3. Formuoja valstybės strategiją ir politiką tabako kontrolės ir rūkymo prevencijos srityje.</w:t>
      </w:r>
    </w:p>
    <w:p w:rsidR="004F7425" w:rsidRPr="00387E75" w:rsidRDefault="004F7425" w:rsidP="004F7425">
      <w:pPr>
        <w:ind w:firstLine="720"/>
        <w:jc w:val="both"/>
        <w:rPr>
          <w:lang w:eastAsia="lt-LT"/>
        </w:rPr>
      </w:pPr>
      <w:r w:rsidRPr="00387E75">
        <w:rPr>
          <w:lang w:eastAsia="lt-LT"/>
        </w:rPr>
        <w:t>4. Stebi, kaip įgyvendinama valstybės strategija ir politika narkotikų, tabako ir alkoholio kontrolės, narkomanijos ir alkoholizmo bei rūkymo prevencijos srityse.</w:t>
      </w:r>
    </w:p>
    <w:p w:rsidR="004F7425" w:rsidRPr="00387E75" w:rsidRDefault="004F7425" w:rsidP="004F7425">
      <w:pPr>
        <w:ind w:firstLine="720"/>
        <w:jc w:val="both"/>
        <w:rPr>
          <w:lang w:eastAsia="lt-LT"/>
        </w:rPr>
      </w:pPr>
      <w:r w:rsidRPr="00387E75">
        <w:rPr>
          <w:lang w:eastAsia="lt-LT"/>
        </w:rPr>
        <w:t>5. Inicijuoja ir rengia įstatymų, Seimo nutarimų ir rezoliucijų projektus narkotikų, tabako ir alkoholio kontrolės, narkomanijos ir alkoholizmo bei rūkymo prevencijos klausimais.</w:t>
      </w:r>
    </w:p>
    <w:p w:rsidR="004F7425" w:rsidRPr="00387E75" w:rsidRDefault="004F7425" w:rsidP="004F7425">
      <w:pPr>
        <w:ind w:firstLine="720"/>
        <w:jc w:val="both"/>
        <w:rPr>
          <w:lang w:eastAsia="lt-LT"/>
        </w:rPr>
      </w:pPr>
      <w:r w:rsidRPr="00387E75">
        <w:rPr>
          <w:lang w:eastAsia="lt-LT"/>
        </w:rPr>
        <w:t>6. Bendradarbiauja koordinuojant Seimo komitetų ir komisijų darbą narkotikų, tabako ir alkoholio kontrolės, narkomanijos ir alkoholizmo bei rūkymo</w:t>
      </w:r>
      <w:r w:rsidRPr="00387E75">
        <w:rPr>
          <w:b/>
          <w:bCs/>
          <w:lang w:eastAsia="lt-LT"/>
        </w:rPr>
        <w:t xml:space="preserve"> </w:t>
      </w:r>
      <w:r w:rsidRPr="00387E75">
        <w:rPr>
          <w:lang w:eastAsia="lt-LT"/>
        </w:rPr>
        <w:t>prevencijos srityse.</w:t>
      </w:r>
    </w:p>
    <w:p w:rsidR="004F7425" w:rsidRPr="00387E75" w:rsidRDefault="004F7425" w:rsidP="004F7425">
      <w:pPr>
        <w:ind w:firstLine="720"/>
        <w:jc w:val="both"/>
        <w:rPr>
          <w:lang w:eastAsia="lt-LT"/>
        </w:rPr>
      </w:pPr>
      <w:r w:rsidRPr="00387E75">
        <w:rPr>
          <w:lang w:eastAsia="lt-LT"/>
        </w:rPr>
        <w:t xml:space="preserve"> 7. Atlieka Nacionalinės narkotikų kontrolės ir narkomanijos prevencijos 2009–2016 metų programos įgyvendinimo parlamentinę kontrolę.</w:t>
      </w:r>
    </w:p>
    <w:p w:rsidR="004F7425" w:rsidRPr="00387E75" w:rsidRDefault="004F7425" w:rsidP="004F7425">
      <w:pPr>
        <w:ind w:firstLine="720"/>
        <w:jc w:val="both"/>
        <w:rPr>
          <w:lang w:eastAsia="lt-LT"/>
        </w:rPr>
      </w:pPr>
      <w:r w:rsidRPr="00387E75">
        <w:rPr>
          <w:lang w:eastAsia="lt-LT"/>
        </w:rPr>
        <w:t>8. Atlieka valstybės alkoholio ir tabako kontrolės programų įgyvendinimo parlamentinę kontrolę.</w:t>
      </w:r>
    </w:p>
    <w:p w:rsidR="004F7425" w:rsidRPr="00387E75" w:rsidRDefault="004F7425" w:rsidP="004F7425">
      <w:pPr>
        <w:ind w:firstLine="720"/>
        <w:jc w:val="both"/>
        <w:rPr>
          <w:lang w:eastAsia="lt-LT"/>
        </w:rPr>
      </w:pPr>
      <w:r w:rsidRPr="00387E75">
        <w:rPr>
          <w:lang w:eastAsia="lt-LT"/>
        </w:rPr>
        <w:t>9. Atlieka Lietuvos Respublikos narkotinių ir psichotropinių medžiagų kontrolės įstatymo, Lietuvos Respublikos narkotinių ir psichotropinių medžiagų pirmtakų (prekursorių) kontrolės įstatymo, Lietuvos Respublikos alkoholio kontrolės įstatymo, Lietuvos Respublikos tabako kontrolės įstatymo nuostatų įgyvendinimo parlamentinę kontrolę.</w:t>
      </w:r>
    </w:p>
    <w:p w:rsidR="004F7425" w:rsidRPr="00387E75" w:rsidRDefault="004F7425" w:rsidP="004F7425">
      <w:pPr>
        <w:ind w:firstLine="720"/>
        <w:jc w:val="both"/>
        <w:rPr>
          <w:lang w:eastAsia="lt-LT"/>
        </w:rPr>
      </w:pPr>
      <w:r w:rsidRPr="00387E75">
        <w:rPr>
          <w:lang w:eastAsia="lt-LT"/>
        </w:rPr>
        <w:lastRenderedPageBreak/>
        <w:t>10. Prisideda prie visuomenės sveikatos stiprinimo ir užtikrina valstybės, savivaldybių institucijų ir visuomeninių organizacijų dalyvavimą sprendžiant narkomanijos ir alkoholizmo prevencijos problemas.</w:t>
      </w:r>
    </w:p>
    <w:p w:rsidR="004F7425" w:rsidRPr="00387E75" w:rsidRDefault="004F7425" w:rsidP="004F7425">
      <w:pPr>
        <w:ind w:firstLine="720"/>
        <w:jc w:val="both"/>
        <w:rPr>
          <w:lang w:eastAsia="lt-LT"/>
        </w:rPr>
      </w:pPr>
      <w:r w:rsidRPr="00387E75">
        <w:rPr>
          <w:lang w:eastAsia="lt-LT"/>
        </w:rPr>
        <w:t xml:space="preserve">11. Siekia, kad veiksmingai būtų įgyvendinamos vaikų ir jaunimo socializacijos programos ir Lietuvos Respublikos jaunimo politikos pagrindų įstatymas narkotikų ir alkoholio kontrolės, narkomanijos ir alkoholizmo prevencijos srityse. </w:t>
      </w:r>
    </w:p>
    <w:p w:rsidR="004F7425" w:rsidRPr="00387E75" w:rsidRDefault="004F7425" w:rsidP="004F7425">
      <w:pPr>
        <w:ind w:firstLine="720"/>
        <w:jc w:val="both"/>
        <w:rPr>
          <w:lang w:eastAsia="lt-LT"/>
        </w:rPr>
      </w:pPr>
      <w:r w:rsidRPr="00387E75">
        <w:rPr>
          <w:lang w:eastAsia="lt-LT"/>
        </w:rPr>
        <w:t xml:space="preserve">12. Siekia, kad veiksmingai būtų įgyvendinamos Nepilnamečių justicijos programoje numatytos priemonės dėl teisę pažeidusių nepilnamečių resocializacijos narkotikų, tabako ir alkoholio kontrolės, narkomanijos ir alkoholizmo bei rūkymo prevencijos srityse. </w:t>
      </w:r>
    </w:p>
    <w:p w:rsidR="004F7425" w:rsidRPr="00387E75" w:rsidRDefault="004F7425" w:rsidP="004F7425">
      <w:pPr>
        <w:ind w:firstLine="720"/>
        <w:jc w:val="both"/>
        <w:rPr>
          <w:lang w:eastAsia="lt-LT"/>
        </w:rPr>
      </w:pPr>
      <w:r w:rsidRPr="00387E75">
        <w:rPr>
          <w:lang w:eastAsia="lt-LT"/>
        </w:rPr>
        <w:t xml:space="preserve">13. Siekia, kad veiksmingai būtų įgyvendinamos Valstybinės švietimo strategijos nuostatos narkotikų, tabako ir alkoholio kontrolės, narkomanijos ir alkoholizmo bei rūkymo prevencijos srityse. </w:t>
      </w:r>
    </w:p>
    <w:p w:rsidR="004F7425" w:rsidRPr="00387E75" w:rsidRDefault="004F7425" w:rsidP="004F7425">
      <w:pPr>
        <w:ind w:firstLine="720"/>
        <w:jc w:val="both"/>
        <w:rPr>
          <w:lang w:eastAsia="lt-LT"/>
        </w:rPr>
      </w:pPr>
      <w:r w:rsidRPr="00387E75">
        <w:rPr>
          <w:lang w:eastAsia="lt-LT"/>
        </w:rPr>
        <w:t xml:space="preserve">14. Siekia, kad veiksmingai būtų įgyvendinamos Lietuvos Respublikos sveikatos sistemos įstatymo ir Lietuvos Respublikos visuomenės sveikatos priežiūros įstatymo nuostatos narkotikų, tabako ir alkoholio kontrolės, narkomanijos ir alkoholizmo bei rūkymo prevencijos srityse. </w:t>
      </w:r>
    </w:p>
    <w:p w:rsidR="004F7425" w:rsidRPr="00387E75" w:rsidRDefault="004F7425" w:rsidP="004F7425">
      <w:pPr>
        <w:ind w:firstLine="720"/>
        <w:jc w:val="both"/>
        <w:rPr>
          <w:lang w:eastAsia="lt-LT"/>
        </w:rPr>
      </w:pPr>
      <w:r w:rsidRPr="00387E75">
        <w:rPr>
          <w:lang w:eastAsia="lt-LT"/>
        </w:rPr>
        <w:t>15. Skatina visų lygių tarptautinį bendradarbiavimą su kitomis Europos Sąjungos valstybėmis narėmis ir tarptautinėmis organizacijomis alkoholio vartojimo mažinimo klausimais, stiprinant narkomanijos ir alkoholizmo prevenciją, narkotikų ir alkoholio kontrolę atliekančių institucijų ir jų atstovų tarpusavio ryšius.</w:t>
      </w:r>
    </w:p>
    <w:p w:rsidR="004F7425" w:rsidRPr="00387E75" w:rsidRDefault="004F7425" w:rsidP="004F7425">
      <w:pPr>
        <w:ind w:firstLine="720"/>
        <w:jc w:val="both"/>
        <w:rPr>
          <w:lang w:eastAsia="lt-LT"/>
        </w:rPr>
      </w:pPr>
      <w:r w:rsidRPr="00387E75">
        <w:rPr>
          <w:lang w:eastAsia="lt-LT"/>
        </w:rPr>
        <w:t>16. Rūpinasi, kad visuomenė būtų išsamiai informuojama apie veiksmingus narkotikų ir alkoholio kontrolės, narkomanijos ir alkoholizmo prevencijos būdus.</w:t>
      </w:r>
    </w:p>
    <w:p w:rsidR="004F7425" w:rsidRPr="00387E75" w:rsidRDefault="004F7425" w:rsidP="004F7425">
      <w:pPr>
        <w:ind w:firstLine="720"/>
        <w:jc w:val="both"/>
        <w:rPr>
          <w:u w:val="single"/>
          <w:lang w:eastAsia="lt-LT"/>
        </w:rPr>
      </w:pPr>
      <w:r w:rsidRPr="00387E75">
        <w:rPr>
          <w:lang w:eastAsia="lt-LT"/>
        </w:rPr>
        <w:t>17. Plečia ir stiprina tarpparlamentinius ryšius narkomanijos ir alkoholizmo prevencijos, narkotikų ir alkoholio kontrolės klausimais.</w:t>
      </w:r>
      <w:r w:rsidRPr="00387E75">
        <w:rPr>
          <w:u w:val="single"/>
          <w:lang w:eastAsia="lt-LT"/>
        </w:rPr>
        <w:t xml:space="preserve"> </w:t>
      </w:r>
    </w:p>
    <w:p w:rsidR="004F7425" w:rsidRPr="00387E75" w:rsidRDefault="004F7425" w:rsidP="004F7425">
      <w:pPr>
        <w:jc w:val="both"/>
      </w:pPr>
      <w:r w:rsidRPr="00387E75">
        <w:t xml:space="preserve"> </w:t>
      </w:r>
      <w:r w:rsidRPr="00387E75">
        <w:tab/>
      </w:r>
    </w:p>
    <w:p w:rsidR="004F7425" w:rsidRPr="00387E75" w:rsidRDefault="004F7425" w:rsidP="004F7425">
      <w:pPr>
        <w:ind w:firstLine="720"/>
        <w:jc w:val="both"/>
      </w:pPr>
      <w:r w:rsidRPr="00387E75">
        <w:t>Šio tikslo Komisija siekia atsižvelgdama į esamą narkomanijos ir alkoholizmo bei rūkymo Lietuvoje padėtį, išskirdama prioritetines narkomanijos ir alkoholizmo bei rūkymo prevencijos, narkotikų, tabako ir</w:t>
      </w:r>
      <w:r w:rsidRPr="00387E75">
        <w:rPr>
          <w:b/>
          <w:bCs/>
        </w:rPr>
        <w:t xml:space="preserve"> </w:t>
      </w:r>
      <w:r w:rsidRPr="00387E75">
        <w:t>alkoholio kontrolės kryptis ir</w:t>
      </w:r>
      <w:r w:rsidRPr="00387E75">
        <w:rPr>
          <w:b/>
        </w:rPr>
        <w:t xml:space="preserve"> </w:t>
      </w:r>
      <w:r w:rsidRPr="00387E75">
        <w:t>nuosekliai įgyvendindama priemones, didinančias narkomanijos ir alkoholizmo bei rūkymo prevencijos Lietuvoje veiksmingumą.</w:t>
      </w:r>
    </w:p>
    <w:p w:rsidR="004F7425" w:rsidRPr="00387E75" w:rsidRDefault="004F7425" w:rsidP="004F7425">
      <w:pPr>
        <w:jc w:val="both"/>
      </w:pPr>
    </w:p>
    <w:p w:rsidR="004F7425" w:rsidRPr="00387E75" w:rsidRDefault="004F7425" w:rsidP="004F7425">
      <w:pPr>
        <w:ind w:firstLine="720"/>
      </w:pPr>
      <w:r w:rsidRPr="00387E75">
        <w:t>Komisija  2013 m. vasario 27 d.  posėdyje Nr. 293-P-2 patvirtino Komisijos 2013 metų veiklos planą ir  nustatė 2013 metų prioritetines veiklos kryptis.</w:t>
      </w:r>
    </w:p>
    <w:p w:rsidR="004F7425" w:rsidRPr="00387E75" w:rsidRDefault="004F7425" w:rsidP="004F7425">
      <w:pPr>
        <w:ind w:firstLine="720"/>
      </w:pPr>
    </w:p>
    <w:p w:rsidR="004F7425" w:rsidRPr="00387E75" w:rsidRDefault="004F7425" w:rsidP="004F7425">
      <w:pPr>
        <w:ind w:firstLine="720"/>
        <w:jc w:val="both"/>
      </w:pPr>
      <w:r w:rsidRPr="00387E75">
        <w:t xml:space="preserve">Pirmoji </w:t>
      </w:r>
      <w:r w:rsidRPr="00387E75">
        <w:rPr>
          <w:b/>
        </w:rPr>
        <w:t>(I)</w:t>
      </w:r>
      <w:r w:rsidRPr="00387E75">
        <w:t xml:space="preserve"> Komisijos prioritetinė veiklos kryptis.</w:t>
      </w:r>
      <w:r w:rsidRPr="00387E75">
        <w:rPr>
          <w:b/>
        </w:rPr>
        <w:t xml:space="preserve"> </w:t>
      </w:r>
      <w:r w:rsidRPr="00387E75">
        <w:t>Valstybės strategijos ir politikos, orientuotos į alkoholizmo ir narkomanijos bei rūkymo prevenciją,  narkotikų, tabako ir alkoholio  kontrolę, formavimas,  prioritetų nustatymas.</w:t>
      </w:r>
    </w:p>
    <w:p w:rsidR="004F7425" w:rsidRPr="00387E75" w:rsidRDefault="004F7425" w:rsidP="004F7425">
      <w:pPr>
        <w:ind w:firstLine="720"/>
        <w:jc w:val="both"/>
      </w:pPr>
    </w:p>
    <w:p w:rsidR="004F7425" w:rsidRPr="00387E75" w:rsidRDefault="004F7425" w:rsidP="004F7425">
      <w:pPr>
        <w:ind w:firstLine="720"/>
        <w:jc w:val="both"/>
      </w:pPr>
      <w:r w:rsidRPr="00387E75">
        <w:t>Komisija 2013 metais pateikė išvadas dėl dvylikos  įstatymų projektų:</w:t>
      </w:r>
    </w:p>
    <w:p w:rsidR="004F7425" w:rsidRPr="00387E75" w:rsidRDefault="004F7425" w:rsidP="004F7425">
      <w:pPr>
        <w:ind w:firstLine="720"/>
        <w:jc w:val="both"/>
      </w:pPr>
      <w:r w:rsidRPr="00387E75">
        <w:t>1. Dėl Lietuvos Respublikos narkotinių ir psichotropinių medžiagų kontrolės įstatymo 1 straipsnio ir įstatymo priedo pakeitimo įstatymo projekto Nr. XIP-4657.</w:t>
      </w:r>
    </w:p>
    <w:p w:rsidR="004F7425" w:rsidRPr="00387E75" w:rsidRDefault="004F7425" w:rsidP="004F7425">
      <w:pPr>
        <w:ind w:left="720"/>
        <w:jc w:val="both"/>
        <w:rPr>
          <w:rFonts w:eastAsia="Arial Unicode MS"/>
        </w:rPr>
      </w:pPr>
      <w:r w:rsidRPr="00387E75">
        <w:rPr>
          <w:rFonts w:eastAsia="Arial Unicode MS"/>
        </w:rPr>
        <w:t xml:space="preserve">2. Dėl Lietuvos Respublikos pluoštinių kanapių įstatymo projekto Nr. XIP-4658. </w:t>
      </w:r>
    </w:p>
    <w:p w:rsidR="004F7425" w:rsidRPr="00387E75" w:rsidRDefault="004F7425" w:rsidP="004F7425">
      <w:pPr>
        <w:ind w:firstLine="720"/>
        <w:jc w:val="both"/>
        <w:rPr>
          <w:bCs/>
        </w:rPr>
      </w:pPr>
      <w:r w:rsidRPr="00387E75">
        <w:rPr>
          <w:rFonts w:eastAsia="Arial Unicode MS"/>
        </w:rPr>
        <w:t xml:space="preserve">3. Dėl </w:t>
      </w:r>
      <w:r w:rsidRPr="00387E75">
        <w:t>Lietuvos Respublikos administracinių teisės pažeidimų kodekso papildymo 107</w:t>
      </w:r>
      <w:r w:rsidRPr="00387E75">
        <w:rPr>
          <w:vertAlign w:val="superscript"/>
        </w:rPr>
        <w:t>5</w:t>
      </w:r>
      <w:r w:rsidRPr="00387E75">
        <w:t xml:space="preserve"> straipsniu  ir 237, 241</w:t>
      </w:r>
      <w:r w:rsidRPr="00387E75">
        <w:rPr>
          <w:vertAlign w:val="superscript"/>
        </w:rPr>
        <w:t>3</w:t>
      </w:r>
      <w:r w:rsidRPr="00387E75">
        <w:t xml:space="preserve"> straipsnių pakeitimo įstatymo</w:t>
      </w:r>
      <w:r w:rsidRPr="00387E75">
        <w:rPr>
          <w:bCs/>
        </w:rPr>
        <w:t xml:space="preserve"> projekto Nr. XIP-1175(2).</w:t>
      </w:r>
    </w:p>
    <w:p w:rsidR="004F7425" w:rsidRPr="00387E75" w:rsidRDefault="004F7425" w:rsidP="004F7425">
      <w:pPr>
        <w:ind w:firstLine="709"/>
        <w:jc w:val="both"/>
      </w:pPr>
      <w:r w:rsidRPr="00387E75">
        <w:t xml:space="preserve">4. Dėl Lietuvos Respublikos Specialiųjų tyrimų tarnybos 2013 m. gegužės 16 d. išvadų „Dėl teisės aktų projektų Nr. XIP-4658(2), Nr. XIP-4657(2), Nr. XIP-1175(2) antikorupcinio vertinimo“. </w:t>
      </w:r>
    </w:p>
    <w:p w:rsidR="004F7425" w:rsidRPr="00387E75" w:rsidRDefault="004F7425" w:rsidP="004F7425">
      <w:pPr>
        <w:ind w:firstLine="709"/>
        <w:jc w:val="both"/>
        <w:rPr>
          <w:rFonts w:eastAsia="Arial Unicode MS"/>
        </w:rPr>
      </w:pPr>
      <w:r w:rsidRPr="00387E75">
        <w:rPr>
          <w:rFonts w:eastAsia="Arial Unicode MS"/>
        </w:rPr>
        <w:t>5. Dėl Lietuvos Respublikos sveikatos sistemos įstatymo papildymo 38</w:t>
      </w:r>
      <w:r w:rsidRPr="00387E75">
        <w:rPr>
          <w:rFonts w:eastAsia="Arial Unicode MS"/>
          <w:vertAlign w:val="superscript"/>
        </w:rPr>
        <w:t>1</w:t>
      </w:r>
      <w:r w:rsidRPr="00387E75">
        <w:rPr>
          <w:rFonts w:eastAsia="Arial Unicode MS"/>
        </w:rPr>
        <w:t xml:space="preserve"> straipsniu įstatymo projekto Nr. XIIP-49.</w:t>
      </w:r>
    </w:p>
    <w:p w:rsidR="004F7425" w:rsidRPr="00387E75" w:rsidRDefault="004F7425" w:rsidP="004F7425">
      <w:pPr>
        <w:ind w:firstLine="709"/>
        <w:jc w:val="both"/>
        <w:rPr>
          <w:rFonts w:eastAsia="Arial Unicode MS"/>
        </w:rPr>
      </w:pPr>
      <w:r w:rsidRPr="00387E75">
        <w:rPr>
          <w:rFonts w:eastAsia="Arial Unicode MS"/>
        </w:rPr>
        <w:t>6. Dėl Lietuvos Respublikos akcizų įstatymo 23, 24, 25, 26 straipsnių pakeitimo įstatymo projekto Nr. XIIP-50.</w:t>
      </w:r>
    </w:p>
    <w:p w:rsidR="004F7425" w:rsidRPr="00387E75" w:rsidRDefault="004F7425" w:rsidP="004F7425">
      <w:pPr>
        <w:ind w:firstLine="709"/>
        <w:jc w:val="both"/>
        <w:rPr>
          <w:rFonts w:eastAsia="Arial Unicode MS"/>
        </w:rPr>
      </w:pPr>
      <w:r w:rsidRPr="00387E75">
        <w:rPr>
          <w:rFonts w:eastAsia="Arial Unicode MS"/>
        </w:rPr>
        <w:t>7. Dėl Lietuvos Respublikos švietimo įstatymo 43 straipsnio pakeitimo įstatymo projekto Nr. XIP-2990.</w:t>
      </w:r>
    </w:p>
    <w:p w:rsidR="004F7425" w:rsidRPr="00387E75" w:rsidRDefault="004F7425" w:rsidP="004F7425">
      <w:pPr>
        <w:ind w:firstLine="709"/>
        <w:jc w:val="both"/>
      </w:pPr>
      <w:r w:rsidRPr="00387E75">
        <w:rPr>
          <w:rFonts w:eastAsia="Arial Unicode MS"/>
        </w:rPr>
        <w:t>8. Dėl</w:t>
      </w:r>
      <w:r w:rsidRPr="00387E75">
        <w:t xml:space="preserve"> Lietuvos Respublikos alkoholio kontrolės įstatymo 18 ir 22 straipsnių pakeitimo įstatymo projekto Nr. XIIP</w:t>
      </w:r>
      <w:r w:rsidRPr="00387E75">
        <w:noBreakHyphen/>
        <w:t>978.</w:t>
      </w:r>
    </w:p>
    <w:p w:rsidR="004F7425" w:rsidRPr="00387E75" w:rsidRDefault="004F7425" w:rsidP="004F7425">
      <w:pPr>
        <w:ind w:firstLine="709"/>
        <w:jc w:val="both"/>
        <w:rPr>
          <w:rFonts w:eastAsia="Arial Unicode MS"/>
        </w:rPr>
      </w:pPr>
      <w:r w:rsidRPr="00387E75">
        <w:t>9. Dėl Lietuvos Respublikos administracinių teisės pažeidimų kodekso papildymo 180</w:t>
      </w:r>
      <w:r w:rsidRPr="00387E75">
        <w:rPr>
          <w:vertAlign w:val="superscript"/>
        </w:rPr>
        <w:t xml:space="preserve">1 </w:t>
      </w:r>
      <w:r w:rsidRPr="00387E75">
        <w:t>straipsniu įstatymo projekto Nr. XIIP</w:t>
      </w:r>
      <w:r w:rsidRPr="00387E75">
        <w:noBreakHyphen/>
        <w:t>979.</w:t>
      </w:r>
      <w:r w:rsidRPr="00387E75">
        <w:rPr>
          <w:rFonts w:eastAsia="Arial Unicode MS"/>
        </w:rPr>
        <w:t xml:space="preserve"> </w:t>
      </w:r>
    </w:p>
    <w:p w:rsidR="004F7425" w:rsidRPr="00387E75" w:rsidRDefault="004F7425" w:rsidP="004F7425">
      <w:pPr>
        <w:ind w:firstLine="709"/>
        <w:jc w:val="both"/>
      </w:pPr>
      <w:r w:rsidRPr="00387E75">
        <w:t>10. Dėl Lietuvos Respublikos administracinių teisės pažeidimų kodekso 126 straipsnio pakeitimo įstatymo projekto Nr. XIIP-942(2).</w:t>
      </w:r>
    </w:p>
    <w:p w:rsidR="004F7425" w:rsidRPr="00387E75" w:rsidRDefault="004F7425" w:rsidP="004F7425">
      <w:pPr>
        <w:ind w:firstLine="709"/>
        <w:jc w:val="both"/>
      </w:pPr>
      <w:r w:rsidRPr="00387E75">
        <w:lastRenderedPageBreak/>
        <w:t>11. Dėl Lietuvos Respublikos saugaus eismo automobilių keliais įstatymo 2, 6, 9,10, 11, 12, 13, 14, 16, 17, 18, 19, 21, 22, 23, 24, 25, 26, 27, 28, 29, 33 straipsnių, įstatymo priedo pakeitimo ir papildymo ir įstatymo papildymo 6</w:t>
      </w:r>
      <w:r w:rsidRPr="00387E75">
        <w:rPr>
          <w:vertAlign w:val="superscript"/>
        </w:rPr>
        <w:t>1</w:t>
      </w:r>
      <w:r w:rsidRPr="00387E75">
        <w:t>, 27</w:t>
      </w:r>
      <w:r w:rsidRPr="00387E75">
        <w:rPr>
          <w:vertAlign w:val="superscript"/>
        </w:rPr>
        <w:t>1</w:t>
      </w:r>
      <w:r w:rsidRPr="00387E75">
        <w:t xml:space="preserve"> straipsniais įstatymo 2 straipsnio pakeitimo įstatymo projekto Nr. XIIP-943(2).</w:t>
      </w:r>
    </w:p>
    <w:p w:rsidR="004F7425" w:rsidRPr="00387E75" w:rsidRDefault="004F7425" w:rsidP="004F7425">
      <w:pPr>
        <w:ind w:firstLine="709"/>
        <w:jc w:val="both"/>
        <w:rPr>
          <w:rFonts w:eastAsia="Arial Unicode MS"/>
        </w:rPr>
      </w:pPr>
      <w:r w:rsidRPr="00387E75">
        <w:t>12. Dėl Lietuvos Respublikos saugaus eismo automobilių keliais įstatymo 2 straipsnio pakeitimo įstatymo projekto Nr. XIIP-1015.</w:t>
      </w:r>
    </w:p>
    <w:p w:rsidR="004F7425" w:rsidRPr="00387E75" w:rsidRDefault="004F7425" w:rsidP="004F7425">
      <w:pPr>
        <w:ind w:firstLine="720"/>
        <w:jc w:val="both"/>
      </w:pPr>
    </w:p>
    <w:p w:rsidR="004F7425" w:rsidRPr="00387E75" w:rsidRDefault="004F7425" w:rsidP="004F7425">
      <w:pPr>
        <w:ind w:firstLine="720"/>
        <w:jc w:val="both"/>
      </w:pPr>
      <w:r w:rsidRPr="00387E75">
        <w:t xml:space="preserve"> Komisija inicijavo ir įregistravo penkis pasiūlymus dėl įstatymų ar  įstatymų projektų ir teikė išvadas dėl Lietuvos Respublikos administracinių teisės pažeidimų kodekso 126 straipsnio pakeitimo įstatymo projekto Nr. XIIP-942(2), dėl  Lietuvos Respublikos saugaus eismo automobilių keliais įstatymo 2, 6, 9, 10, 11, 12, 13, 14, 16, 17, 18, 19, 21, 22, 23, 24, 25, 26, 27, 28, 29, 33 straipsnių, įstatymo priedo pakeitimo ir papildymo ir įstatymo papildymo 6</w:t>
      </w:r>
      <w:r w:rsidRPr="00387E75">
        <w:rPr>
          <w:vertAlign w:val="superscript"/>
        </w:rPr>
        <w:t>1</w:t>
      </w:r>
      <w:r w:rsidRPr="00387E75">
        <w:t>, 27</w:t>
      </w:r>
      <w:r w:rsidRPr="00387E75">
        <w:rPr>
          <w:vertAlign w:val="superscript"/>
        </w:rPr>
        <w:t>1</w:t>
      </w:r>
      <w:r w:rsidRPr="00387E75">
        <w:t xml:space="preserve"> straipsniais įstatymo 2 straipsnio pakeitimo įstatymo projekto Nr. XIIP-943(2) ir dėl Lietuvos Respublikos saugaus eismo automobilių keliais įstatymo 2 straipsnio pakeitimo įstatymo projekto Nr. XIIP-1015 ir kt.</w:t>
      </w:r>
    </w:p>
    <w:p w:rsidR="004F7425" w:rsidRPr="00387E75" w:rsidRDefault="004F7425" w:rsidP="004F7425">
      <w:pPr>
        <w:ind w:firstLine="709"/>
        <w:jc w:val="both"/>
        <w:rPr>
          <w:lang w:eastAsia="lt-LT"/>
        </w:rPr>
      </w:pPr>
      <w:r w:rsidRPr="00387E75">
        <w:t xml:space="preserve">Komisijos narių pasiūlymų dėl trijų įregistruotų įstatymų </w:t>
      </w:r>
      <w:r w:rsidRPr="00387E75">
        <w:rPr>
          <w:lang w:eastAsia="lt-LT"/>
        </w:rPr>
        <w:t>tikslai ir uždaviniai – sumažinti kelių eismo įvykių, kuriuos sukelia neblaivūs vairuotojai, skaičių, juose nukentėjusių eismo dalyvių skaičių ir formuoti vairuotojų įpročius bei visuomenės požiūrį, kad alkoholio vartojimas ir transporto priemonių vairavimas yra nesuderinami. Nustatyti 0 promilių leistiną alkoholio koncentraciją biologinėse organizmo terpėse (iškvėptame ore, kraujyje, šlapime, seilėse ar kituose organizmo skysčiuose) pradedantiesiems ir transporto priemonių, kurių didžiausioji leidžiamoji masė didesnė kaip 3,5 t arba kurios turi daugiau kaip 9 sėdimas vietas, taksi automobilių ir motociklų vairuotojams, taip pat atitinkamai pataisyti neblaivumo sąvokos apibrėžimą įstatymų įgyvendinamuosiuose teisės aktuose.</w:t>
      </w:r>
    </w:p>
    <w:p w:rsidR="004F7425" w:rsidRPr="00387E75" w:rsidRDefault="004F7425" w:rsidP="004F7425">
      <w:pPr>
        <w:spacing w:before="100" w:beforeAutospacing="1"/>
        <w:ind w:firstLine="709"/>
        <w:jc w:val="both"/>
        <w:rPr>
          <w:lang w:eastAsia="lt-LT"/>
        </w:rPr>
      </w:pPr>
      <w:r w:rsidRPr="00387E75">
        <w:rPr>
          <w:lang w:eastAsia="lt-LT"/>
        </w:rPr>
        <w:t>Kiti Komisijos narių  inicijuoti pasiūlymai dėl dviejų įstatymų projektų:</w:t>
      </w:r>
      <w:r w:rsidRPr="00387E75">
        <w:rPr>
          <w:b/>
          <w:lang w:eastAsia="lt-LT"/>
        </w:rPr>
        <w:t xml:space="preserve"> </w:t>
      </w:r>
      <w:r w:rsidRPr="00387E75">
        <w:t>Lietuvos Respublikos alkoholio kontrolės įstatymo 34 straipsnio pakeitimo įstatymo projekto Nr. XIIP</w:t>
      </w:r>
      <w:r w:rsidRPr="00387E75">
        <w:noBreakHyphen/>
        <w:t>944 ir Lietuvos Respublikos tabako kontrolės įstatymo 26 straipsnio pakeitimo įstatymo projekto Nr. XIIP</w:t>
      </w:r>
      <w:r w:rsidRPr="00387E75">
        <w:noBreakHyphen/>
        <w:t xml:space="preserve">945, </w:t>
      </w:r>
      <w:r w:rsidRPr="00387E75">
        <w:rPr>
          <w:lang w:eastAsia="lt-LT"/>
        </w:rPr>
        <w:t xml:space="preserve">sugriežtina atsakomybę už tabako ir alkoholio pardavimą nepilnamečiams ir numato galimybę iš karto panaikinti prekybos licenciją.   </w:t>
      </w:r>
    </w:p>
    <w:p w:rsidR="004F7425" w:rsidRPr="00387E75" w:rsidRDefault="004F7425" w:rsidP="004F7425">
      <w:pPr>
        <w:ind w:firstLine="709"/>
        <w:jc w:val="both"/>
        <w:rPr>
          <w:bCs/>
        </w:rPr>
      </w:pPr>
      <w:r w:rsidRPr="00387E75">
        <w:t xml:space="preserve">Komisija inicijavo pasiūlymą dėl </w:t>
      </w:r>
      <w:r w:rsidRPr="00387E75">
        <w:rPr>
          <w:rFonts w:eastAsia="Arial Unicode MS"/>
        </w:rPr>
        <w:t>Lietuvos Respublikos švietimo įstatymo 43 straipsnio pakeitimo įstatymo projekto Nr. XIP-2990</w:t>
      </w:r>
      <w:r w:rsidRPr="00387E75">
        <w:t xml:space="preserve">, kad būtų užtikrintas mokinių saugumas ir sveikatos rizikos veiksnių prevencija, kad mokyklos teritorija </w:t>
      </w:r>
      <w:r w:rsidRPr="00387E75">
        <w:rPr>
          <w:bCs/>
        </w:rPr>
        <w:t>kartu su statiniais ir įrenginiais būtų apsaugoma įvairiomis kompleksinėmis priemonėmis (tvora, vaizdo kameromis, elektroninių ryšių priemonėmis ir kt.).</w:t>
      </w:r>
    </w:p>
    <w:p w:rsidR="004F7425" w:rsidRPr="00387E75" w:rsidRDefault="004F7425" w:rsidP="004F7425">
      <w:pPr>
        <w:ind w:firstLine="720"/>
        <w:jc w:val="both"/>
      </w:pPr>
      <w:r w:rsidRPr="00387E75">
        <w:t>Komisija inicijavo pasiūlymą  dėl Lietuvos Respublikos alkoholio kontrolės įstatymo 18 ir 22 straipsnių pakeitimo įstatymo projekto Nr. XIIP</w:t>
      </w:r>
      <w:r w:rsidRPr="00387E75">
        <w:noBreakHyphen/>
        <w:t>978. Ji siūlė numatyti, kad būtų draudžiama prekiauti alkoholiniais gėrimais „</w:t>
      </w:r>
      <w:r w:rsidRPr="00387E75">
        <w:rPr>
          <w:bCs/>
        </w:rPr>
        <w:t>laisvės atėmimo, karinėse ir sukarintos tarnybos, policijos ir kitose statutinėse, sveikatos priežiūros, ugdymo įstaigose ir jų teritorijose, taip pat prie šių įstaigų ir maldos namų (ne mažesniu kaip 50 metrų atstumu,</w:t>
      </w:r>
      <w:r w:rsidRPr="00387E75">
        <w:rPr>
          <w:b/>
          <w:bCs/>
        </w:rPr>
        <w:t xml:space="preserve"> </w:t>
      </w:r>
      <w:r w:rsidRPr="00387E75">
        <w:rPr>
          <w:bCs/>
        </w:rPr>
        <w:t>kurį nustato savivaldybės taryba, suderinusi atitinkamai su šių įstaigų vadovais ir religinėmis bendruomenėmis)“ ir kad „Savivaldybių tarybos, atsižvelgdamos į prekybos alkoholiniais gėrimais vietą, gyventojų, bendrijų, bendruomenių ar jų atstovų, visuomeninių organizacijų ar kitų institucijų raštu pareikštą nuomonę, policijos komisariatų pasiūlymus, turi teisę riboti laiką, kuriuo leidžiama prekiauti alkoholiniais gėrimais</w:t>
      </w:r>
      <w:r w:rsidRPr="00387E75">
        <w:t xml:space="preserve">, </w:t>
      </w:r>
      <w:r w:rsidRPr="00387E75">
        <w:rPr>
          <w:bCs/>
        </w:rPr>
        <w:t>ir nustatyti iki laisvės atėmimo, karinių ir sukarintos tarnybos, policijos ir kitų statutinių, sveikatos priežiūros, ugdymo įstaigų ir maldos namų atstumą, nuo</w:t>
      </w:r>
      <w:r w:rsidRPr="00387E75">
        <w:t xml:space="preserve"> </w:t>
      </w:r>
      <w:r w:rsidRPr="00387E75">
        <w:rPr>
          <w:bCs/>
        </w:rPr>
        <w:t>kurio leidžiama prekiauti alkoholiniais gėrimais, neišduoti licencijos verstis mažmenine prekyba alkoholiniais gėrimais.“</w:t>
      </w:r>
      <w:r w:rsidRPr="00387E75">
        <w:t xml:space="preserve"> </w:t>
      </w:r>
    </w:p>
    <w:p w:rsidR="004F7425" w:rsidRPr="00387E75" w:rsidRDefault="004F7425" w:rsidP="004F7425">
      <w:pPr>
        <w:ind w:firstLine="720"/>
        <w:jc w:val="both"/>
      </w:pPr>
    </w:p>
    <w:p w:rsidR="004F7425" w:rsidRPr="00387E75" w:rsidRDefault="004F7425" w:rsidP="004F7425">
      <w:pPr>
        <w:ind w:firstLine="720"/>
        <w:jc w:val="both"/>
      </w:pPr>
      <w:r w:rsidRPr="00387E75">
        <w:t xml:space="preserve">Antroji </w:t>
      </w:r>
      <w:r w:rsidRPr="00387E75">
        <w:rPr>
          <w:b/>
        </w:rPr>
        <w:t>(II)</w:t>
      </w:r>
      <w:r w:rsidRPr="00387E75">
        <w:t xml:space="preserve"> prioritetinė Komisijos veiklos kryptis. Parlamentinės kontrolės klausimai. </w:t>
      </w:r>
    </w:p>
    <w:p w:rsidR="004F7425" w:rsidRPr="00387E75" w:rsidRDefault="004F7425" w:rsidP="004F7425">
      <w:pPr>
        <w:ind w:firstLine="720"/>
        <w:jc w:val="both"/>
      </w:pPr>
    </w:p>
    <w:p w:rsidR="004F7425" w:rsidRPr="00387E75" w:rsidRDefault="004F7425" w:rsidP="004F7425">
      <w:pPr>
        <w:ind w:firstLine="720"/>
        <w:jc w:val="both"/>
      </w:pPr>
      <w:r w:rsidRPr="00387E75">
        <w:t>Nagrinėtos dvidešimt septynios</w:t>
      </w:r>
      <w:r w:rsidRPr="00387E75">
        <w:rPr>
          <w:b/>
        </w:rPr>
        <w:t xml:space="preserve"> </w:t>
      </w:r>
      <w:r w:rsidRPr="00387E75">
        <w:t xml:space="preserve">temos parlamentinės kontrolės klausimais. Iš jų paminėtinos svarbiausios: Nacionalinės narkotikų kontrolės ir narkomanijos prevencijos </w:t>
      </w:r>
      <w:r w:rsidRPr="00387E75">
        <w:rPr>
          <w:color w:val="000000"/>
        </w:rPr>
        <w:t xml:space="preserve">2009–2016 metų programos </w:t>
      </w:r>
      <w:r w:rsidRPr="00387E75">
        <w:rPr>
          <w:bCs/>
        </w:rPr>
        <w:t>įgyvendinimas;</w:t>
      </w:r>
      <w:r w:rsidRPr="00387E75">
        <w:t xml:space="preserve"> Nacionalinės narkotikų kontrolės ir narkomanijos prevencijos 2010–2016 metų programos 2013 metų tarpinstitucinio veiklos plano įgyvendinimas; Alkoholio ir tabako kontrolės 2012–2014 metų programos (tarpinstitucinio veiklos plano)  įgyvendinimas; dėl narkotinių ir psichotropinių medžiagų, narkotinių ir psichotropinių medžiagų pirmtakų (prekursorių) užkardymo, tabako ir alkoholio pasiūlos mažinimo priemonių įgyvendinimo; dėl paslaugų prieinamumo </w:t>
      </w:r>
      <w:r w:rsidRPr="00387E75">
        <w:lastRenderedPageBreak/>
        <w:t>pagerinimo asmenims, priklausomiems nuo alkoholizmo, narkotinių ir psichotropinių medžiagų vartojimo</w:t>
      </w:r>
      <w:r w:rsidRPr="00387E75">
        <w:rPr>
          <w:bCs/>
        </w:rPr>
        <w:t xml:space="preserve"> ir jų  sveikatos priežiūros, reabilitacijos ir socialinės reintegracijos;  dėl Priklausomybės ligų centrų padėties;  dėl  ū</w:t>
      </w:r>
      <w:r w:rsidRPr="00387E75">
        <w:t xml:space="preserve">kio subjektų, vykdančių veiklą, susijusią su alkoholio produktais ir tabako gaminiais, priežiūros aktualijų ir tendencijų bei tarpinstitucinio koordinavimo/bendradarbiavimo; dėl </w:t>
      </w:r>
      <w:r w:rsidRPr="00387E75">
        <w:rPr>
          <w:bCs/>
        </w:rPr>
        <w:t xml:space="preserve">narkotikų  užkardymo – narkotikų pasiūlos mažinimo, kovojant su narkotikų gamyba ir prekyba; dėl </w:t>
      </w:r>
      <w:r w:rsidRPr="00387E75">
        <w:t xml:space="preserve">pašalinių asmenų patekimo be mokyklos vadovų žinios  į mokyklos patalpas  ir mokyklų teritorijas kontrolės priemonių pagal Europos Sąjungos šalių patirtį; dėl narkotinių ir psichotropinių medžiagų, narkotinių ir psichotropinių medžiagų pirmtakų (prekursorių) užkardymo, tabako ir alkoholio pasiūlos mažinimo priemonių laisvės atėmimo vietose taikymo; dėl valstybės ir savivaldybių institucijų bei įstaigų veiklos tarptautinio ir nacionalinio koordinavimo ir bendradarbiavimo stiprinimo, susijusio su alkoholizmo ir narkomanijos bei rūkymo prevencija, narkotikų, tabako ir alkoholio kontrole  ir kt. </w:t>
      </w:r>
    </w:p>
    <w:p w:rsidR="004F7425" w:rsidRPr="00387E75" w:rsidRDefault="004F7425" w:rsidP="004F7425">
      <w:pPr>
        <w:ind w:firstLine="720"/>
        <w:jc w:val="both"/>
      </w:pPr>
      <w:r w:rsidRPr="00387E75">
        <w:t>2013 metais Komisija posėdžiavo dvidešimt kartų. Komisijos posėdžiuose dalyvavo nevyriausybinių organizacijų atstovai, valstybės institucijų atstovai ir  kiti asmenys.</w:t>
      </w:r>
    </w:p>
    <w:p w:rsidR="004F7425" w:rsidRPr="00387E75" w:rsidRDefault="004F7425" w:rsidP="004F7425">
      <w:pPr>
        <w:ind w:firstLine="720"/>
        <w:jc w:val="both"/>
      </w:pPr>
      <w:r w:rsidRPr="00387E75">
        <w:t xml:space="preserve">Vienas Komisjos posėdis vyko Kauno priklausomybės ligų centre. Remdamasi šiuo posėdžiu, Komisija siūlo steigti respublikinio mokslinio metodinio specialistų, teikiančių priklausomybės ligomis sergantiems vaikams ir jaunimui ankstyvosios diagnostikos, gydymo, reabilitacijos ir socialinės reintegracijos paslaugas, rengimo centrą ir tokiu būdu įgyvendinti  Lietuvos Respublikos Seimo 2011 m. birželio 30 d. nutarimu </w:t>
      </w:r>
      <w:r w:rsidRPr="00387E75">
        <w:rPr>
          <w:lang w:eastAsia="lt-LT"/>
        </w:rPr>
        <w:t xml:space="preserve">Nr. XI-1573 „Dėl metadono naudojimo teisėtumo“ </w:t>
      </w:r>
      <w:r w:rsidRPr="00387E75">
        <w:t xml:space="preserve">1 straipsnio 4 punkte patvirtintą nuostatą dėl respublikinio mokslinio metodinio specialistų, teikiančių priklausomybės ligomis sergantiems vaikams ir jaunimui ankstyvosios diagnostikos, gydymo, reabilitacijos ir socialinės reintegracijos paslaugas, rengimo centro įsteigimo. </w:t>
      </w:r>
    </w:p>
    <w:p w:rsidR="004F7425" w:rsidRPr="00387E75" w:rsidRDefault="004F7425" w:rsidP="004F7425">
      <w:pPr>
        <w:ind w:firstLine="720"/>
        <w:jc w:val="both"/>
        <w:rPr>
          <w:rStyle w:val="Grietas"/>
          <w:rFonts w:eastAsia="Courier New"/>
          <w:color w:val="676666"/>
        </w:rPr>
      </w:pPr>
      <w:r w:rsidRPr="00387E75">
        <w:t xml:space="preserve">Komisija lankėsi priklausomybės ligomis sergančių asmenų reabilitacijos bendruomenėse: Labdaros ir paramos fondo „Nugalėtojų akademija“ ir VšĮ „Sugrįžimas“. </w:t>
      </w:r>
      <w:r w:rsidRPr="00387E75">
        <w:rPr>
          <w:rStyle w:val="Grietas"/>
          <w:rFonts w:eastAsia="Courier New"/>
          <w:color w:val="676666"/>
        </w:rPr>
        <w:t xml:space="preserve"> </w:t>
      </w:r>
    </w:p>
    <w:p w:rsidR="004F7425" w:rsidRPr="00387E75" w:rsidRDefault="004F7425" w:rsidP="004F7425">
      <w:pPr>
        <w:ind w:firstLine="720"/>
        <w:jc w:val="both"/>
      </w:pPr>
    </w:p>
    <w:p w:rsidR="004F7425" w:rsidRPr="00387E75" w:rsidRDefault="004F7425" w:rsidP="004F7425">
      <w:pPr>
        <w:ind w:firstLine="720"/>
        <w:jc w:val="both"/>
      </w:pPr>
      <w:r w:rsidRPr="00387E75">
        <w:t xml:space="preserve">Trečioji </w:t>
      </w:r>
      <w:r w:rsidRPr="00387E75">
        <w:rPr>
          <w:b/>
        </w:rPr>
        <w:t>(III)</w:t>
      </w:r>
      <w:r w:rsidRPr="00387E75">
        <w:t xml:space="preserve"> Komisijos prioritetinė veiklos kryptis.</w:t>
      </w:r>
      <w:r w:rsidRPr="00387E75">
        <w:rPr>
          <w:b/>
        </w:rPr>
        <w:t xml:space="preserve"> </w:t>
      </w:r>
      <w:r w:rsidRPr="00387E75">
        <w:t xml:space="preserve">Organizuoti renginius, diskusijas ir konferencijas. </w:t>
      </w:r>
    </w:p>
    <w:p w:rsidR="004F7425" w:rsidRPr="00387E75" w:rsidRDefault="004F7425" w:rsidP="004F7425">
      <w:pPr>
        <w:ind w:firstLine="720"/>
        <w:jc w:val="both"/>
      </w:pPr>
    </w:p>
    <w:p w:rsidR="004F7425" w:rsidRPr="00387E75" w:rsidRDefault="004F7425" w:rsidP="004F7425">
      <w:pPr>
        <w:pStyle w:val="TableText"/>
        <w:spacing w:after="120"/>
        <w:ind w:firstLine="720"/>
        <w:jc w:val="both"/>
        <w:rPr>
          <w:lang w:val="lt-LT"/>
        </w:rPr>
      </w:pPr>
      <w:r w:rsidRPr="00387E75">
        <w:rPr>
          <w:lang w:val="lt-LT"/>
        </w:rPr>
        <w:t xml:space="preserve">2013 metais Komisija organizavo du renginius, dvi diskusijas ir dvi tarptautines konferencijas: 2013 m. gegužės 23 ir 24 dienomis vyko Tarptautinės be žinios dingusių vaikų dienos paminėjimo renginiai; </w:t>
      </w:r>
      <w:r w:rsidRPr="00C34B1C">
        <w:rPr>
          <w:lang w:val="lt-LT"/>
        </w:rPr>
        <w:t xml:space="preserve">2013 m. spalio 2 d. vyko diskusija dėl </w:t>
      </w:r>
      <w:r w:rsidRPr="00C34B1C">
        <w:rPr>
          <w:rStyle w:val="st"/>
          <w:color w:val="222222"/>
        </w:rPr>
        <w:t>tyrimo</w:t>
      </w:r>
      <w:r w:rsidRPr="00C34B1C">
        <w:rPr>
          <w:lang w:val="lt-LT"/>
        </w:rPr>
        <w:t xml:space="preserve"> „</w:t>
      </w:r>
      <w:r w:rsidRPr="00C34B1C">
        <w:rPr>
          <w:rStyle w:val="st"/>
          <w:color w:val="222222"/>
        </w:rPr>
        <w:t xml:space="preserve">Psichoaktyviųjų </w:t>
      </w:r>
      <w:r w:rsidRPr="00C34B1C">
        <w:rPr>
          <w:rStyle w:val="Emfaz"/>
          <w:b/>
          <w:color w:val="222222"/>
        </w:rPr>
        <w:t>medžiagų vartojimo paplitimas bendrojoje populiacijoje  2012 m</w:t>
      </w:r>
      <w:r w:rsidRPr="00C34B1C">
        <w:rPr>
          <w:rStyle w:val="st"/>
          <w:b/>
          <w:color w:val="222222"/>
        </w:rPr>
        <w:t>.“</w:t>
      </w:r>
      <w:r w:rsidRPr="00C34B1C">
        <w:rPr>
          <w:rStyle w:val="st"/>
          <w:color w:val="222222"/>
          <w:lang w:val="lt-LT"/>
        </w:rPr>
        <w:t xml:space="preserve"> rezultatų</w:t>
      </w:r>
      <w:r w:rsidRPr="00C34B1C">
        <w:rPr>
          <w:lang w:val="lt-LT"/>
        </w:rPr>
        <w:t>;</w:t>
      </w:r>
      <w:r w:rsidRPr="00387E75">
        <w:rPr>
          <w:lang w:val="lt-LT"/>
        </w:rPr>
        <w:t xml:space="preserve">  2013 m. spalio  22 d.  vyko tarptautinis seminaras:  „11 6000 Karštoji linija: tarptautinė patirtis ir nacionalinės linijos diegimo aspektai“; 2013 m. gruodžio 2 d. vyko tarptautinė konferencija „Psichoaktyvių medžiagų vartojimo prevencija ugdymo institucijose“; 2013 m. gruodžio 16 d. vyko tarptautinė konferencija „Nauja ES kovos su narkotikais strategija:  tikslai ir |lūkesčiai“. </w:t>
      </w:r>
    </w:p>
    <w:p w:rsidR="004F7425" w:rsidRPr="00387E75" w:rsidRDefault="004F7425" w:rsidP="004F7425">
      <w:pPr>
        <w:ind w:firstLine="720"/>
        <w:jc w:val="both"/>
      </w:pPr>
      <w:r w:rsidRPr="00387E75">
        <w:t xml:space="preserve">2013 m. gruodžio 2 d. tradicinę konferenciją „Psichoaktyvių medžiagų vartojimo prevencija ugdymo institucijose“ organizavo Seimo Narkomanijos ir alkoholizmo prevencijos komisija, Lietuvos Respublikos švietimo ir mokslo ministerija kartu su Specialiosios pedagogikos ir psichologijos centru. Konferencijoje dalyvavo bendrojo ugdymo mokyklų vadovai, profesinių mokyklų vadovai, savivaldybių  administracijų švietimo padalinių darbuotojai ir </w:t>
      </w:r>
      <w:r w:rsidRPr="00C34B1C">
        <w:t>nar</w:t>
      </w:r>
      <w:r w:rsidRPr="00387E75">
        <w:t xml:space="preserve">komanijos </w:t>
      </w:r>
      <w:r w:rsidRPr="00C34B1C">
        <w:t>komisijų</w:t>
      </w:r>
      <w:r w:rsidRPr="00387E75">
        <w:rPr>
          <w:color w:val="FF0000"/>
        </w:rPr>
        <w:t xml:space="preserve"> </w:t>
      </w:r>
      <w:r w:rsidRPr="00387E75">
        <w:t xml:space="preserve">nariai, vaiko gerovės komisijų nariai.  2013 m. gruodžio 16 d.  tarptautinę konferenciją „Nauja ES kovos su narkotikais strategija:  tikslai ir |lūkesčiai“ rengė Seimo Narkomanijos ir alkoholizmo prevencijos komisija, Seimo Sveikatos reikalų komitetas, Europos narkotikų ir narkomanijos stebėsenos centras, Narkotikų, tabako ir alkoholio kontrolės departamentas. Konferencijoje buvo  pristatyta Europos narkotikų ir narkomanijos stebėsenos centro parengta 2013 m. ataskaita apie narkotinių ir psichotropinių medžiagų vartojimo paplitimo situaciją ir tendencijas Europoje. Pranešimus skaitė Europos narkotikų ir narkomanijos stebėsenos centro atstovai, Europos Tarybos Pompidou grupės ir kitų tarptautinių organizacijų atstovai, Narkotikų, tabako ir alkoholio kontrolės departamento direktorius, Lietuvos ir užsienio institucijų ir mokslo įstaigų atstovai. </w:t>
      </w:r>
    </w:p>
    <w:p w:rsidR="004F7425" w:rsidRPr="00387E75" w:rsidRDefault="004F7425" w:rsidP="004F7425">
      <w:pPr>
        <w:ind w:firstLine="720"/>
        <w:jc w:val="both"/>
      </w:pPr>
    </w:p>
    <w:p w:rsidR="004F7425" w:rsidRPr="00387E75" w:rsidRDefault="004F7425" w:rsidP="004F7425">
      <w:pPr>
        <w:ind w:firstLine="720"/>
        <w:jc w:val="both"/>
      </w:pPr>
      <w:r w:rsidRPr="00387E75">
        <w:t xml:space="preserve">Ketvirtoji </w:t>
      </w:r>
      <w:r w:rsidRPr="00387E75">
        <w:rPr>
          <w:b/>
        </w:rPr>
        <w:t>(IV)</w:t>
      </w:r>
      <w:r w:rsidRPr="00387E75">
        <w:t xml:space="preserve"> prioritetinė Komisijos veiklos kryptis.</w:t>
      </w:r>
      <w:r w:rsidRPr="00387E75">
        <w:rPr>
          <w:b/>
        </w:rPr>
        <w:t xml:space="preserve"> </w:t>
      </w:r>
      <w:r w:rsidRPr="00387E75">
        <w:t>Tarptautinių konvencijų ir rekomendacijų (Jungtinių Tautų Organizacijos, Europos Tarybos, Europos Sąjungos) narkotikų, tabako ir alkoholio kontrolės, narkomanijos ir alkoholizmo bei rūkymo prevencijos  klausimais įgyvendinimas pagal nacionalinius įstatymus.</w:t>
      </w:r>
    </w:p>
    <w:p w:rsidR="004F7425" w:rsidRPr="00387E75" w:rsidRDefault="004F7425" w:rsidP="004F7425">
      <w:pPr>
        <w:ind w:firstLine="720"/>
        <w:jc w:val="both"/>
      </w:pPr>
    </w:p>
    <w:p w:rsidR="004F7425" w:rsidRPr="00387E75" w:rsidRDefault="004F7425" w:rsidP="004F7425">
      <w:pPr>
        <w:ind w:firstLine="720"/>
        <w:jc w:val="both"/>
      </w:pPr>
    </w:p>
    <w:p w:rsidR="004F7425" w:rsidRPr="00387E75" w:rsidRDefault="004F7425" w:rsidP="004F7425">
      <w:pPr>
        <w:pStyle w:val="Antrat8"/>
        <w:ind w:left="1440" w:firstLine="720"/>
        <w:rPr>
          <w:rFonts w:ascii="Times New Roman" w:hAnsi="Times New Roman"/>
          <w:i/>
        </w:rPr>
      </w:pPr>
      <w:r w:rsidRPr="00387E75">
        <w:rPr>
          <w:rFonts w:ascii="Times New Roman" w:hAnsi="Times New Roman"/>
          <w:i/>
        </w:rPr>
        <w:t xml:space="preserve">2012 metų komisijos posėdžiai </w:t>
      </w:r>
    </w:p>
    <w:p w:rsidR="004F7425" w:rsidRPr="00387E75" w:rsidRDefault="004F7425" w:rsidP="004F7425"/>
    <w:p w:rsidR="004F7425" w:rsidRPr="00387E75" w:rsidRDefault="004F7425" w:rsidP="004F7425">
      <w:pPr>
        <w:ind w:firstLine="720"/>
        <w:jc w:val="both"/>
      </w:pPr>
      <w:r w:rsidRPr="00387E75">
        <w:rPr>
          <w:b/>
        </w:rPr>
        <w:t>1 posėdis</w:t>
      </w:r>
      <w:r w:rsidRPr="00387E75">
        <w:t xml:space="preserve"> –  2012 m. gruodžio 11 d.  </w:t>
      </w:r>
    </w:p>
    <w:p w:rsidR="004F7425" w:rsidRPr="00387E75" w:rsidRDefault="004F7425" w:rsidP="004F7425">
      <w:pPr>
        <w:ind w:firstLine="720"/>
        <w:jc w:val="both"/>
      </w:pPr>
      <w:r w:rsidRPr="00387E75">
        <w:t xml:space="preserve">1. Lietuvos Respublikos Seimo Narkomanijos ir alkoholizmo prevencijos komisijos pirmininko rinkimai. </w:t>
      </w:r>
    </w:p>
    <w:p w:rsidR="004F7425" w:rsidRPr="00387E75" w:rsidRDefault="004F7425" w:rsidP="004F7425">
      <w:pPr>
        <w:ind w:firstLine="720"/>
        <w:jc w:val="both"/>
      </w:pPr>
      <w:r w:rsidRPr="00387E75">
        <w:t xml:space="preserve">2. Lietuvos Respublikos Seimo Narkomanijos ir alkoholizmo prevencijos komisijos pirmininko pavaduotojo rinkimai. </w:t>
      </w:r>
    </w:p>
    <w:p w:rsidR="004F7425" w:rsidRPr="00387E75" w:rsidRDefault="004F7425" w:rsidP="004F7425">
      <w:pPr>
        <w:pStyle w:val="Antrat8"/>
        <w:ind w:left="1440" w:firstLine="720"/>
        <w:rPr>
          <w:rFonts w:ascii="Times New Roman" w:hAnsi="Times New Roman"/>
          <w:i/>
        </w:rPr>
      </w:pPr>
      <w:r w:rsidRPr="00387E75">
        <w:rPr>
          <w:rFonts w:ascii="Times New Roman" w:hAnsi="Times New Roman"/>
          <w:i/>
        </w:rPr>
        <w:t xml:space="preserve">2013 metų komisijos posėdžiai </w:t>
      </w:r>
    </w:p>
    <w:p w:rsidR="004F7425" w:rsidRPr="00387E75" w:rsidRDefault="004F7425" w:rsidP="004F7425">
      <w:pPr>
        <w:ind w:firstLine="720"/>
        <w:jc w:val="both"/>
      </w:pPr>
    </w:p>
    <w:p w:rsidR="004F7425" w:rsidRPr="00387E75" w:rsidRDefault="004F7425" w:rsidP="004F7425">
      <w:pPr>
        <w:ind w:firstLine="720"/>
        <w:jc w:val="both"/>
      </w:pPr>
      <w:r w:rsidRPr="00387E75">
        <w:rPr>
          <w:b/>
        </w:rPr>
        <w:t>1 posėdis</w:t>
      </w:r>
      <w:r w:rsidRPr="00387E75">
        <w:t xml:space="preserve"> – 2013 m. sausio 16 d.</w:t>
      </w:r>
    </w:p>
    <w:p w:rsidR="004F7425" w:rsidRPr="00387E75" w:rsidRDefault="004F7425" w:rsidP="004F7425">
      <w:pPr>
        <w:ind w:firstLine="720"/>
      </w:pPr>
      <w:r w:rsidRPr="00387E75">
        <w:t>3. Seimo Narkomanijos ir alkoholizmo prevencijos komisijos nuostatų projekto svarstymas.</w:t>
      </w:r>
    </w:p>
    <w:p w:rsidR="004F7425" w:rsidRPr="00387E75" w:rsidRDefault="004F7425" w:rsidP="004F7425">
      <w:pPr>
        <w:ind w:firstLine="720"/>
      </w:pPr>
      <w:r w:rsidRPr="00387E75">
        <w:t>4. Narkotikų, tabako ir alkoholio kontrolės departamento veiklos pristatymas.</w:t>
      </w:r>
    </w:p>
    <w:p w:rsidR="004F7425" w:rsidRPr="00387E75" w:rsidRDefault="004F7425" w:rsidP="004F7425">
      <w:pPr>
        <w:ind w:firstLine="720"/>
      </w:pPr>
    </w:p>
    <w:p w:rsidR="004F7425" w:rsidRPr="00387E75" w:rsidRDefault="004F7425" w:rsidP="004F7425">
      <w:pPr>
        <w:ind w:firstLine="720"/>
      </w:pPr>
      <w:r w:rsidRPr="00387E75">
        <w:rPr>
          <w:b/>
        </w:rPr>
        <w:t>2 posėdis</w:t>
      </w:r>
      <w:r w:rsidRPr="00387E75">
        <w:t xml:space="preserve"> – 2013 m. vasario 27 d.</w:t>
      </w:r>
    </w:p>
    <w:p w:rsidR="004F7425" w:rsidRPr="00387E75" w:rsidRDefault="004F7425" w:rsidP="004F7425">
      <w:pPr>
        <w:ind w:firstLine="720"/>
        <w:jc w:val="both"/>
      </w:pPr>
      <w:r w:rsidRPr="00387E75">
        <w:t>5. Dėl išvadų pateikimo dėl Lietuvos Respublikos narkotinių ir psichotropinių medžiagų kontrolės įstatymo 1 straipsnio ir įstatymo priedo pakeitimo įstatymo projekto Nr. XIP-4657.</w:t>
      </w:r>
    </w:p>
    <w:p w:rsidR="004F7425" w:rsidRPr="00387E75" w:rsidRDefault="004F7425" w:rsidP="004F7425">
      <w:pPr>
        <w:ind w:firstLine="720"/>
        <w:jc w:val="both"/>
      </w:pPr>
      <w:r w:rsidRPr="00387E75">
        <w:rPr>
          <w:rFonts w:eastAsia="Arial Unicode MS"/>
        </w:rPr>
        <w:t xml:space="preserve">6. Dėl išvadų pateikimo dėl Lietuvos Respublikos pluoštinių kanapių įstatymo projekto Nr. XIP-4658. </w:t>
      </w:r>
    </w:p>
    <w:p w:rsidR="004F7425" w:rsidRPr="00387E75" w:rsidRDefault="004F7425" w:rsidP="004F7425">
      <w:pPr>
        <w:ind w:firstLine="720"/>
        <w:jc w:val="both"/>
      </w:pPr>
      <w:r w:rsidRPr="00387E75">
        <w:rPr>
          <w:rFonts w:eastAsia="Arial Unicode MS"/>
        </w:rPr>
        <w:t xml:space="preserve">7. Dėl išvadų pateikimo dėl </w:t>
      </w:r>
      <w:r w:rsidRPr="00387E75">
        <w:t>Lietuvos Respublikos administracinių teisės pažeidimų kodekso papildymo 107</w:t>
      </w:r>
      <w:r w:rsidRPr="00387E75">
        <w:rPr>
          <w:vertAlign w:val="superscript"/>
        </w:rPr>
        <w:t>5</w:t>
      </w:r>
      <w:r w:rsidRPr="00387E75">
        <w:t xml:space="preserve"> straipsniu  ir 237, 241</w:t>
      </w:r>
      <w:r w:rsidRPr="00387E75">
        <w:rPr>
          <w:vertAlign w:val="superscript"/>
        </w:rPr>
        <w:t>3</w:t>
      </w:r>
      <w:r w:rsidRPr="00387E75">
        <w:t xml:space="preserve"> straipsnių pakeitimo įstatymo</w:t>
      </w:r>
      <w:r w:rsidRPr="00387E75">
        <w:rPr>
          <w:bCs/>
        </w:rPr>
        <w:t xml:space="preserve"> projekto Nr. XIP-1175(2).</w:t>
      </w:r>
    </w:p>
    <w:p w:rsidR="004F7425" w:rsidRPr="00387E75" w:rsidRDefault="004F7425" w:rsidP="004F7425">
      <w:pPr>
        <w:ind w:firstLine="720"/>
      </w:pPr>
      <w:r w:rsidRPr="00387E75">
        <w:t>8.  Seimo Narkomanijos ir alkoholizmo prevencijos komisijos 2013 metų veiklos plano  tvirtinimas.</w:t>
      </w:r>
    </w:p>
    <w:p w:rsidR="004F7425" w:rsidRPr="00387E75" w:rsidRDefault="004F7425" w:rsidP="004F7425">
      <w:pPr>
        <w:pStyle w:val="Antrats"/>
        <w:ind w:firstLine="720"/>
        <w:jc w:val="both"/>
        <w:rPr>
          <w:szCs w:val="24"/>
        </w:rPr>
      </w:pPr>
      <w:r w:rsidRPr="00387E75">
        <w:rPr>
          <w:szCs w:val="24"/>
        </w:rPr>
        <w:t>9. Dėl  Komisijos narių išvykos į Kaune 2013 m. kovo 5 vyksiančią konferenciją.</w:t>
      </w:r>
    </w:p>
    <w:p w:rsidR="004F7425" w:rsidRPr="00387E75" w:rsidRDefault="004F7425" w:rsidP="004F7425">
      <w:pPr>
        <w:pStyle w:val="Antrats"/>
        <w:ind w:firstLine="720"/>
        <w:jc w:val="both"/>
        <w:rPr>
          <w:szCs w:val="24"/>
        </w:rPr>
      </w:pPr>
      <w:r w:rsidRPr="00387E75">
        <w:rPr>
          <w:szCs w:val="24"/>
        </w:rPr>
        <w:t>10.  Dėl padėties Kauno apskrities priklausomybės ligų centre.</w:t>
      </w:r>
    </w:p>
    <w:p w:rsidR="004F7425" w:rsidRPr="00387E75" w:rsidRDefault="004F7425" w:rsidP="004F7425">
      <w:pPr>
        <w:pStyle w:val="Antrats"/>
        <w:ind w:firstLine="720"/>
        <w:jc w:val="both"/>
        <w:rPr>
          <w:szCs w:val="24"/>
        </w:rPr>
      </w:pPr>
    </w:p>
    <w:p w:rsidR="004F7425" w:rsidRPr="00387E75" w:rsidRDefault="004F7425" w:rsidP="004F7425">
      <w:pPr>
        <w:ind w:firstLine="720"/>
      </w:pPr>
      <w:r w:rsidRPr="00387E75">
        <w:rPr>
          <w:b/>
        </w:rPr>
        <w:t>3 posėdis</w:t>
      </w:r>
      <w:r w:rsidRPr="00387E75">
        <w:t xml:space="preserve"> – 2013 m. kovo 13 d.</w:t>
      </w:r>
    </w:p>
    <w:p w:rsidR="004F7425" w:rsidRPr="00387E75" w:rsidRDefault="004F7425" w:rsidP="004F7425">
      <w:pPr>
        <w:spacing w:before="40" w:after="40"/>
        <w:ind w:firstLine="720"/>
        <w:jc w:val="both"/>
      </w:pPr>
      <w:r w:rsidRPr="00387E75">
        <w:t>11.  Dėl narkotikų, alkoholio ir tabako vartojimo prevencijos tarp vaikų ir jaunimo, šviečiant  vaikus, jaunimą ir visuomenę ir ugdant jų sąmoningumą.</w:t>
      </w:r>
    </w:p>
    <w:p w:rsidR="004F7425" w:rsidRPr="00387E75" w:rsidRDefault="004F7425" w:rsidP="004F7425">
      <w:pPr>
        <w:spacing w:before="40" w:after="40"/>
        <w:ind w:firstLine="720"/>
        <w:jc w:val="both"/>
      </w:pPr>
      <w:r w:rsidRPr="00387E75">
        <w:t xml:space="preserve"> 12. Dėl Nacionalinės narkotikų kontrolės ir narkomanijos prevencijos 2010–2016 metų programos 2013 metų tarpinstitucinio veiklos plano įgyvendinimo.</w:t>
      </w:r>
    </w:p>
    <w:p w:rsidR="004F7425" w:rsidRPr="00387E75" w:rsidRDefault="004F7425" w:rsidP="004F7425">
      <w:pPr>
        <w:ind w:firstLine="720"/>
      </w:pPr>
      <w:r w:rsidRPr="00387E75">
        <w:t>13. Dėl  Kauno apskrities priklausomybės ligų centro padėties ir paslaugų teikimo vaikams ir jaunimui.</w:t>
      </w:r>
    </w:p>
    <w:p w:rsidR="004F7425" w:rsidRPr="00387E75" w:rsidRDefault="004F7425" w:rsidP="004F7425">
      <w:pPr>
        <w:ind w:firstLine="720"/>
        <w:rPr>
          <w:b/>
        </w:rPr>
      </w:pPr>
    </w:p>
    <w:p w:rsidR="004F7425" w:rsidRPr="00387E75" w:rsidRDefault="004F7425" w:rsidP="004F7425">
      <w:pPr>
        <w:ind w:firstLine="720"/>
      </w:pPr>
      <w:r w:rsidRPr="00387E75">
        <w:rPr>
          <w:b/>
        </w:rPr>
        <w:t>4 posėdis</w:t>
      </w:r>
      <w:r w:rsidRPr="00387E75">
        <w:t xml:space="preserve"> – 2013 m. kovo  20 d.</w:t>
      </w:r>
    </w:p>
    <w:p w:rsidR="004F7425" w:rsidRPr="00387E75" w:rsidRDefault="004F7425" w:rsidP="004F7425">
      <w:pPr>
        <w:ind w:firstLine="720"/>
        <w:jc w:val="both"/>
      </w:pPr>
      <w:r w:rsidRPr="00387E75">
        <w:rPr>
          <w:rFonts w:eastAsia="Arial Unicode MS"/>
        </w:rPr>
        <w:t>14. Dėl Priklausomybės ligų centrų padėties p</w:t>
      </w:r>
      <w:r w:rsidRPr="00387E75">
        <w:t xml:space="preserve">o įvykdytos reformos ir priklausomybės ligomis sergančių asmenų gydymo visoje Lietuvoje. </w:t>
      </w:r>
    </w:p>
    <w:p w:rsidR="004F7425" w:rsidRPr="00387E75" w:rsidRDefault="004F7425" w:rsidP="004F7425">
      <w:pPr>
        <w:ind w:firstLine="720"/>
        <w:jc w:val="both"/>
        <w:rPr>
          <w:rFonts w:eastAsia="Arial Unicode MS"/>
        </w:rPr>
      </w:pPr>
      <w:r w:rsidRPr="00387E75">
        <w:t xml:space="preserve">15. </w:t>
      </w:r>
      <w:r w:rsidRPr="00387E75">
        <w:rPr>
          <w:rFonts w:eastAsia="Arial Unicode MS"/>
        </w:rPr>
        <w:t>Dėl paslaugų prieinamumo pagerinimo asmenims, priklausomiems nuo alkoholizmo, narkotinių ir psichotropinių medžiagų vartojimo, jų sveikatos priežiūra, reabilitacija ir socialinė reintegracija.</w:t>
      </w:r>
    </w:p>
    <w:p w:rsidR="004F7425" w:rsidRPr="00387E75" w:rsidRDefault="004F7425" w:rsidP="004F7425">
      <w:pPr>
        <w:ind w:firstLine="720"/>
        <w:jc w:val="both"/>
      </w:pPr>
      <w:r w:rsidRPr="00387E75">
        <w:t xml:space="preserve">16. </w:t>
      </w:r>
      <w:r w:rsidRPr="00387E75">
        <w:rPr>
          <w:bCs/>
        </w:rPr>
        <w:t xml:space="preserve"> Dėl </w:t>
      </w:r>
      <w:r w:rsidRPr="00387E75">
        <w:t>š. m. kovo 26 d. 14.30 val. susitikimo su JT PSO Tabako kontrolės pagrindų konvencijos (FCTC) sekretoriato vadovu Haiku Nikogosianu.</w:t>
      </w:r>
    </w:p>
    <w:p w:rsidR="004F7425" w:rsidRPr="00387E75" w:rsidRDefault="004F7425" w:rsidP="004F7425">
      <w:pPr>
        <w:ind w:firstLine="720"/>
        <w:jc w:val="both"/>
        <w:rPr>
          <w:b/>
          <w:bCs/>
        </w:rPr>
      </w:pPr>
    </w:p>
    <w:p w:rsidR="004F7425" w:rsidRPr="00387E75" w:rsidRDefault="004F7425" w:rsidP="004F7425">
      <w:pPr>
        <w:ind w:firstLine="720"/>
        <w:jc w:val="both"/>
        <w:rPr>
          <w:bCs/>
        </w:rPr>
      </w:pPr>
      <w:r w:rsidRPr="00387E75">
        <w:rPr>
          <w:b/>
          <w:bCs/>
        </w:rPr>
        <w:t xml:space="preserve"> 5 posėdis</w:t>
      </w:r>
      <w:r w:rsidRPr="00387E75">
        <w:rPr>
          <w:bCs/>
        </w:rPr>
        <w:t xml:space="preserve"> – 2013 m. balandžio 10 d.</w:t>
      </w:r>
    </w:p>
    <w:p w:rsidR="004F7425" w:rsidRPr="00387E75" w:rsidRDefault="004F7425" w:rsidP="004F7425">
      <w:pPr>
        <w:ind w:firstLine="720"/>
        <w:jc w:val="both"/>
        <w:rPr>
          <w:rFonts w:eastAsia="Arial Unicode MS"/>
        </w:rPr>
      </w:pPr>
      <w:r w:rsidRPr="00387E75">
        <w:t xml:space="preserve">17. </w:t>
      </w:r>
      <w:r w:rsidRPr="00387E75">
        <w:rPr>
          <w:rFonts w:eastAsia="Arial Unicode MS"/>
        </w:rPr>
        <w:t>Dėl Lietuvos Respublikos narkotinių ir psichotropinių medžiagų pirmtakų (prekursorių) kontrolės įstatymo nuostatų įgyvendinimo.</w:t>
      </w:r>
    </w:p>
    <w:p w:rsidR="004F7425" w:rsidRPr="00387E75" w:rsidRDefault="004F7425" w:rsidP="004F7425">
      <w:pPr>
        <w:ind w:firstLine="720"/>
        <w:jc w:val="both"/>
      </w:pPr>
      <w:r w:rsidRPr="00387E75">
        <w:t xml:space="preserve">18. Dėl ūkio subjektų, vykdančių veiklą su </w:t>
      </w:r>
      <w:r w:rsidRPr="00387E75">
        <w:rPr>
          <w:rFonts w:eastAsia="Arial Unicode MS"/>
        </w:rPr>
        <w:t>narkotinių ir psichotropinių medžiagų pirmtakais (prekursoriais), priežiūros aktualijų ir tendencijų bei tarpinstitucinio koordinavimo/ bendradarbiavimo.</w:t>
      </w:r>
    </w:p>
    <w:p w:rsidR="004F7425" w:rsidRPr="00DA3DB2" w:rsidRDefault="004F7425" w:rsidP="004F7425">
      <w:pPr>
        <w:ind w:firstLine="720"/>
        <w:jc w:val="both"/>
      </w:pPr>
      <w:r w:rsidRPr="00387E75">
        <w:t>19.</w:t>
      </w:r>
      <w:r w:rsidRPr="00387E75">
        <w:rPr>
          <w:bCs/>
        </w:rPr>
        <w:t xml:space="preserve"> </w:t>
      </w:r>
      <w:r w:rsidRPr="00DA3DB2">
        <w:rPr>
          <w:bCs/>
        </w:rPr>
        <w:t xml:space="preserve">Dėl </w:t>
      </w:r>
      <w:r w:rsidRPr="00DA3DB2">
        <w:t xml:space="preserve">Smulkiųjų barų ir kavinių savininkų asociacijos kreipimosi. </w:t>
      </w:r>
    </w:p>
    <w:p w:rsidR="004F7425" w:rsidRPr="00387E75" w:rsidRDefault="004F7425" w:rsidP="004F7425">
      <w:pPr>
        <w:ind w:firstLine="720"/>
        <w:jc w:val="both"/>
      </w:pPr>
      <w:r w:rsidRPr="00DA3DB2">
        <w:t>20. Dėl  Ignalinos rajono savivaldybės narkotikų kontrolės komisijos siūlymo.</w:t>
      </w:r>
      <w:r w:rsidRPr="00387E75">
        <w:t xml:space="preserve"> </w:t>
      </w:r>
    </w:p>
    <w:p w:rsidR="004F7425" w:rsidRPr="00387E75" w:rsidRDefault="004F7425" w:rsidP="004F7425">
      <w:pPr>
        <w:ind w:firstLine="720"/>
        <w:jc w:val="both"/>
      </w:pPr>
      <w:r w:rsidRPr="00387E75">
        <w:t xml:space="preserve">21. Dėl Komisijos posėdžių laiko. </w:t>
      </w:r>
    </w:p>
    <w:p w:rsidR="004F7425" w:rsidRPr="00387E75" w:rsidRDefault="004F7425" w:rsidP="004F7425">
      <w:pPr>
        <w:ind w:firstLine="720"/>
        <w:jc w:val="both"/>
      </w:pPr>
      <w:r w:rsidRPr="00387E75">
        <w:t xml:space="preserve">22. Dėl dalyvavimo 2013 m. gegužės 12–15 d.  ECAD renginyje Maskvoje.  </w:t>
      </w:r>
    </w:p>
    <w:p w:rsidR="004F7425" w:rsidRPr="00387E75" w:rsidRDefault="004F7425" w:rsidP="004F7425">
      <w:pPr>
        <w:ind w:firstLine="720"/>
        <w:jc w:val="both"/>
        <w:rPr>
          <w:b/>
          <w:bCs/>
        </w:rPr>
      </w:pPr>
    </w:p>
    <w:p w:rsidR="004F7425" w:rsidRPr="00387E75" w:rsidRDefault="004F7425" w:rsidP="004F7425">
      <w:pPr>
        <w:ind w:firstLine="720"/>
        <w:jc w:val="both"/>
        <w:rPr>
          <w:bCs/>
        </w:rPr>
      </w:pPr>
      <w:r w:rsidRPr="00387E75">
        <w:rPr>
          <w:b/>
          <w:bCs/>
        </w:rPr>
        <w:t>6 posėdis</w:t>
      </w:r>
      <w:r w:rsidRPr="00387E75">
        <w:rPr>
          <w:bCs/>
        </w:rPr>
        <w:t xml:space="preserve"> – 2013 m. balandžio 17 d.</w:t>
      </w:r>
    </w:p>
    <w:p w:rsidR="004F7425" w:rsidRPr="00387E75" w:rsidRDefault="004F7425" w:rsidP="004F7425">
      <w:pPr>
        <w:ind w:firstLine="720"/>
        <w:jc w:val="both"/>
        <w:rPr>
          <w:rFonts w:eastAsia="Arial Unicode MS"/>
        </w:rPr>
      </w:pPr>
      <w:r w:rsidRPr="00387E75">
        <w:lastRenderedPageBreak/>
        <w:t>23.  Dėl Alkoholio ir tabako kontrolės 2012–2014 metų programos (tarpinstitucinio veiklos plano) numatytų tikslų, uždavinių ir priemonių įgyvendinimo 2012 metais.</w:t>
      </w:r>
    </w:p>
    <w:p w:rsidR="004F7425" w:rsidRPr="00387E75" w:rsidRDefault="004F7425" w:rsidP="004F7425">
      <w:pPr>
        <w:ind w:firstLine="720"/>
        <w:jc w:val="both"/>
      </w:pPr>
      <w:r w:rsidRPr="00387E75">
        <w:t xml:space="preserve">24.  </w:t>
      </w:r>
      <w:r w:rsidRPr="00B65DC8">
        <w:t>Dėl</w:t>
      </w:r>
      <w:r w:rsidRPr="00387E75">
        <w:t xml:space="preserve"> Alkoholio ir tabako kontrolės 2012–2014 metų programos (tarpinstitucinio veiklos plano) 2012 metų rezultatų, produkto vertinimo kriterijų ir jų reikšmės.</w:t>
      </w:r>
    </w:p>
    <w:p w:rsidR="004F7425" w:rsidRPr="00387E75" w:rsidRDefault="004F7425" w:rsidP="004F7425">
      <w:pPr>
        <w:ind w:firstLine="720"/>
        <w:jc w:val="both"/>
        <w:rPr>
          <w:bCs/>
        </w:rPr>
      </w:pPr>
      <w:r w:rsidRPr="00387E75">
        <w:t xml:space="preserve">25. Dėl </w:t>
      </w:r>
      <w:r w:rsidRPr="00387E75">
        <w:rPr>
          <w:bCs/>
        </w:rPr>
        <w:t>Lietuvos Respublikos pluoštinių kanapių įstatymo projekto Nr. XIP-4658(2).</w:t>
      </w:r>
    </w:p>
    <w:p w:rsidR="004F7425" w:rsidRPr="00387E75" w:rsidRDefault="004F7425" w:rsidP="004F7425">
      <w:pPr>
        <w:ind w:firstLine="720"/>
        <w:jc w:val="both"/>
        <w:rPr>
          <w:bCs/>
        </w:rPr>
      </w:pPr>
    </w:p>
    <w:p w:rsidR="004F7425" w:rsidRPr="00387E75" w:rsidRDefault="004F7425" w:rsidP="004F7425">
      <w:pPr>
        <w:ind w:firstLine="720"/>
        <w:jc w:val="both"/>
        <w:rPr>
          <w:bCs/>
        </w:rPr>
      </w:pPr>
      <w:r w:rsidRPr="00387E75">
        <w:rPr>
          <w:bCs/>
        </w:rPr>
        <w:t xml:space="preserve">7 </w:t>
      </w:r>
      <w:r w:rsidRPr="00387E75">
        <w:rPr>
          <w:b/>
          <w:bCs/>
        </w:rPr>
        <w:t>posėdis</w:t>
      </w:r>
      <w:r w:rsidRPr="00387E75">
        <w:rPr>
          <w:bCs/>
        </w:rPr>
        <w:t xml:space="preserve"> – 2013 m. balandžio 24 d.</w:t>
      </w:r>
    </w:p>
    <w:p w:rsidR="004F7425" w:rsidRPr="00387E75" w:rsidRDefault="004F7425" w:rsidP="004F7425">
      <w:pPr>
        <w:ind w:firstLine="720"/>
        <w:jc w:val="both"/>
      </w:pPr>
      <w:r w:rsidRPr="00387E75">
        <w:t xml:space="preserve">25. </w:t>
      </w:r>
      <w:r w:rsidRPr="00B65DC8">
        <w:t>Dėl</w:t>
      </w:r>
      <w:r w:rsidRPr="00387E75">
        <w:t xml:space="preserve"> sergamumo priklausomybės ligomis ir užkrečiamosiomis ligomis bei  AIDS/ŽIV susirgimais 2011–2012 metais.</w:t>
      </w:r>
    </w:p>
    <w:p w:rsidR="004F7425" w:rsidRPr="00387E75" w:rsidRDefault="004F7425" w:rsidP="004F7425">
      <w:pPr>
        <w:ind w:firstLine="720"/>
        <w:jc w:val="both"/>
        <w:rPr>
          <w:rFonts w:eastAsia="Arial Unicode MS"/>
        </w:rPr>
      </w:pPr>
      <w:r w:rsidRPr="00387E75">
        <w:t>26. Dėl sergamumo priklausomybės ligomis ir tuberkulioze 2011–2012  metais.</w:t>
      </w:r>
    </w:p>
    <w:p w:rsidR="004F7425" w:rsidRPr="00387E75" w:rsidRDefault="004F7425" w:rsidP="004F7425">
      <w:pPr>
        <w:pStyle w:val="Pagrindinistekstas"/>
        <w:ind w:firstLine="720"/>
        <w:rPr>
          <w:bCs/>
        </w:rPr>
      </w:pPr>
      <w:r w:rsidRPr="00387E75">
        <w:t xml:space="preserve">27. Dėl  kreipimosi į Specialiųjų tyrimų tarnybą ir Valstybės saugumo departamentą dėl Pluoštinių kanapių įstatymo projekto antrojo varianto. </w:t>
      </w:r>
    </w:p>
    <w:p w:rsidR="004F7425" w:rsidRPr="00387E75" w:rsidRDefault="004F7425" w:rsidP="004F7425">
      <w:pPr>
        <w:ind w:firstLine="720"/>
      </w:pPr>
    </w:p>
    <w:p w:rsidR="004F7425" w:rsidRPr="00387E75" w:rsidRDefault="004F7425" w:rsidP="004F7425">
      <w:pPr>
        <w:ind w:firstLine="720"/>
      </w:pPr>
      <w:r w:rsidRPr="00387E75">
        <w:rPr>
          <w:b/>
        </w:rPr>
        <w:t>8 posėdis</w:t>
      </w:r>
      <w:r w:rsidRPr="00387E75">
        <w:t xml:space="preserve"> – 2013 m. gegužės 15 d.</w:t>
      </w:r>
    </w:p>
    <w:p w:rsidR="004F7425" w:rsidRPr="00387E75" w:rsidRDefault="004F7425" w:rsidP="004F7425">
      <w:pPr>
        <w:ind w:firstLine="720"/>
        <w:jc w:val="both"/>
      </w:pPr>
      <w:r w:rsidRPr="00387E75">
        <w:t>28. Dėl smulkiųjų barų ir kavinių savininkų asociacijos kreipimosi.</w:t>
      </w:r>
    </w:p>
    <w:p w:rsidR="004F7425" w:rsidRPr="00387E75" w:rsidRDefault="004F7425" w:rsidP="004F7425">
      <w:pPr>
        <w:ind w:firstLine="720"/>
        <w:jc w:val="both"/>
        <w:rPr>
          <w:rFonts w:eastAsia="Arial Unicode MS"/>
        </w:rPr>
      </w:pPr>
      <w:r w:rsidRPr="00387E75">
        <w:t>29. Dėl Ignalinos rajono savivaldybės narkotikų kontrolės komisijos siūlymo.</w:t>
      </w:r>
    </w:p>
    <w:p w:rsidR="004F7425" w:rsidRPr="00387E75" w:rsidRDefault="004F7425" w:rsidP="004F7425">
      <w:pPr>
        <w:ind w:firstLine="720"/>
        <w:jc w:val="both"/>
      </w:pPr>
      <w:r w:rsidRPr="00387E75">
        <w:t>30. Dėl ūkio subjektų, vykdančių veiklą, susijusią su alkoholio produktais ir tabako gaminiais, priežiūros aktualijų ir tendencijų bei tarpinstitucinio koordinavimo/ bendradarbiavimo.</w:t>
      </w:r>
    </w:p>
    <w:p w:rsidR="004F7425" w:rsidRPr="00387E75" w:rsidRDefault="004F7425" w:rsidP="004F7425">
      <w:pPr>
        <w:ind w:firstLine="720"/>
        <w:jc w:val="both"/>
        <w:rPr>
          <w:bCs/>
        </w:rPr>
      </w:pPr>
      <w:r w:rsidRPr="00387E75">
        <w:t xml:space="preserve">31. Dėl išorės sienos stebėjimo ir vidaus sienos kontrolės stiprinimo, veiksmingo pasienio kontrolės punktuose patikrinimus atliekančių valstybės institucijų bendradarbiavimo užtikrinimo, </w:t>
      </w:r>
      <w:r w:rsidRPr="00387E75">
        <w:rPr>
          <w:bCs/>
        </w:rPr>
        <w:t xml:space="preserve">stabdant alkoholio ir tabako  kontrabandą,  </w:t>
      </w:r>
      <w:r w:rsidRPr="00387E75">
        <w:t>narkotinių ir psichotropinių medžiagų</w:t>
      </w:r>
      <w:r w:rsidRPr="00387E75">
        <w:rPr>
          <w:bCs/>
        </w:rPr>
        <w:t xml:space="preserve">  </w:t>
      </w:r>
      <w:r w:rsidRPr="00B65DC8">
        <w:rPr>
          <w:bCs/>
        </w:rPr>
        <w:t>patekimą į valstybės teritoriją.</w:t>
      </w:r>
    </w:p>
    <w:p w:rsidR="004F7425" w:rsidRPr="00387E75" w:rsidRDefault="004F7425" w:rsidP="004F7425">
      <w:pPr>
        <w:ind w:firstLine="720"/>
        <w:jc w:val="both"/>
        <w:rPr>
          <w:bCs/>
        </w:rPr>
      </w:pPr>
    </w:p>
    <w:p w:rsidR="004F7425" w:rsidRPr="00387E75" w:rsidRDefault="004F7425" w:rsidP="004F7425">
      <w:pPr>
        <w:ind w:firstLine="720"/>
        <w:jc w:val="both"/>
        <w:rPr>
          <w:bCs/>
        </w:rPr>
      </w:pPr>
      <w:r w:rsidRPr="00387E75">
        <w:rPr>
          <w:b/>
          <w:bCs/>
        </w:rPr>
        <w:t>9 posėdis</w:t>
      </w:r>
      <w:r w:rsidRPr="00387E75">
        <w:rPr>
          <w:bCs/>
        </w:rPr>
        <w:t xml:space="preserve"> – 2013 m. gegužės 22 d.</w:t>
      </w:r>
    </w:p>
    <w:p w:rsidR="004F7425" w:rsidRPr="00387E75" w:rsidRDefault="004F7425" w:rsidP="004F7425">
      <w:pPr>
        <w:ind w:firstLine="720"/>
        <w:jc w:val="both"/>
      </w:pPr>
      <w:r w:rsidRPr="00387E75">
        <w:t xml:space="preserve">32. Dėl Lietuvos Respublikos Specialiųjų tyrimų tarnybos 2013 m. gegužės 16 d. išvadų „Dėl teisės aktų projektų Nr. XIP-4658(2), Nr. XIP-4657(2), Nr. XIP-1175(2) antikorupcinio vertinimo“. </w:t>
      </w:r>
    </w:p>
    <w:p w:rsidR="004F7425" w:rsidRPr="00387E75" w:rsidRDefault="004F7425" w:rsidP="004F7425">
      <w:pPr>
        <w:ind w:firstLine="720"/>
        <w:jc w:val="both"/>
        <w:rPr>
          <w:bCs/>
        </w:rPr>
      </w:pPr>
    </w:p>
    <w:p w:rsidR="004F7425" w:rsidRPr="00387E75" w:rsidRDefault="004F7425" w:rsidP="004F7425">
      <w:pPr>
        <w:ind w:firstLine="720"/>
      </w:pPr>
      <w:r w:rsidRPr="00387E75">
        <w:rPr>
          <w:b/>
        </w:rPr>
        <w:t>10 posėdis</w:t>
      </w:r>
      <w:r w:rsidRPr="00387E75">
        <w:t xml:space="preserve"> – 2013 m. birželio 12</w:t>
      </w:r>
    </w:p>
    <w:p w:rsidR="004F7425" w:rsidRPr="00387E75" w:rsidRDefault="004F7425" w:rsidP="004F7425">
      <w:pPr>
        <w:ind w:firstLine="720"/>
        <w:jc w:val="both"/>
      </w:pPr>
      <w:r w:rsidRPr="00387E75">
        <w:t>33. Dėl narkotinių ir psichotropinių medžiagų, narkotinių ir psichotropinių medžiagų pirmtakų (prekursorių) užkardymo, tabako ir alkoholio pasiūlos mažinimo priemonių taikymo laisvės atėmimo vietose.</w:t>
      </w:r>
    </w:p>
    <w:p w:rsidR="004F7425" w:rsidRPr="00387E75" w:rsidRDefault="004F7425" w:rsidP="004F7425">
      <w:pPr>
        <w:ind w:firstLine="720"/>
        <w:jc w:val="both"/>
        <w:rPr>
          <w:bCs/>
        </w:rPr>
      </w:pPr>
      <w:r w:rsidRPr="00387E75">
        <w:t>34. Dėl paslaugų prieinamumo pagerinimo asmenims, priklausomiems nuo alkoholio, narkotinių ir psichotropinių medžiagų vartojimo</w:t>
      </w:r>
      <w:r w:rsidRPr="00B10B20">
        <w:t xml:space="preserve">, </w:t>
      </w:r>
      <w:r w:rsidRPr="00B10B20">
        <w:rPr>
          <w:bCs/>
        </w:rPr>
        <w:t>jų sveikatos priežiūros, reabilitacijos ir socialinės reintegracijos laisvės atėmimo vietose.</w:t>
      </w:r>
    </w:p>
    <w:p w:rsidR="004F7425" w:rsidRPr="00387E75" w:rsidRDefault="004F7425" w:rsidP="004F7425">
      <w:pPr>
        <w:ind w:firstLine="720"/>
        <w:jc w:val="both"/>
      </w:pPr>
      <w:r w:rsidRPr="00387E75">
        <w:rPr>
          <w:bCs/>
        </w:rPr>
        <w:t xml:space="preserve">35. </w:t>
      </w:r>
      <w:r w:rsidRPr="00387E75">
        <w:t>Dėl asmenų gydymo nuo priklausomybės alkoholiui ir narkotinėms bei psichotropinėms medžiagoms, taikant alternatyvų bausmių atlikimą.</w:t>
      </w:r>
    </w:p>
    <w:p w:rsidR="004F7425" w:rsidRPr="00387E75" w:rsidRDefault="004F7425" w:rsidP="004F7425">
      <w:pPr>
        <w:ind w:firstLine="720"/>
        <w:jc w:val="both"/>
      </w:pPr>
      <w:r w:rsidRPr="00387E75">
        <w:rPr>
          <w:bCs/>
        </w:rPr>
        <w:t>36.</w:t>
      </w:r>
      <w:r w:rsidRPr="00387E75">
        <w:t xml:space="preserve"> Dėl veiksmingos nusikaltusiems nepilnamečiams resocializacijos sistemos sukūrimo. </w:t>
      </w:r>
    </w:p>
    <w:p w:rsidR="004F7425" w:rsidRPr="00387E75" w:rsidRDefault="004F7425" w:rsidP="004F7425">
      <w:pPr>
        <w:ind w:firstLine="720"/>
        <w:rPr>
          <w:b/>
        </w:rPr>
      </w:pPr>
    </w:p>
    <w:p w:rsidR="004F7425" w:rsidRPr="00387E75" w:rsidRDefault="004F7425" w:rsidP="004F7425">
      <w:pPr>
        <w:ind w:firstLine="720"/>
      </w:pPr>
      <w:r w:rsidRPr="00387E75">
        <w:rPr>
          <w:b/>
        </w:rPr>
        <w:t>11 posėdis</w:t>
      </w:r>
      <w:r w:rsidRPr="00387E75">
        <w:t xml:space="preserve"> – 2013 m. birželio 26 d.</w:t>
      </w:r>
    </w:p>
    <w:p w:rsidR="004F7425" w:rsidRPr="00387E75" w:rsidRDefault="004F7425" w:rsidP="004F7425">
      <w:pPr>
        <w:ind w:firstLine="720"/>
        <w:jc w:val="both"/>
      </w:pPr>
      <w:r w:rsidRPr="00387E75">
        <w:t>37</w:t>
      </w:r>
      <w:r w:rsidRPr="00B10B20">
        <w:t>. Dėl</w:t>
      </w:r>
      <w:r w:rsidRPr="00387E75">
        <w:t xml:space="preserve"> Priklausomybių </w:t>
      </w:r>
      <w:r w:rsidRPr="00B10B20">
        <w:t>reabilitacijos centrų ir jų</w:t>
      </w:r>
      <w:r w:rsidRPr="00387E75">
        <w:t xml:space="preserve"> perspektyvų.</w:t>
      </w:r>
    </w:p>
    <w:p w:rsidR="004F7425" w:rsidRPr="00387E75" w:rsidRDefault="004F7425" w:rsidP="004F7425">
      <w:pPr>
        <w:ind w:firstLine="720"/>
      </w:pPr>
    </w:p>
    <w:p w:rsidR="004F7425" w:rsidRPr="00387E75" w:rsidRDefault="004F7425" w:rsidP="004F7425">
      <w:pPr>
        <w:spacing w:after="200" w:line="276" w:lineRule="auto"/>
        <w:ind w:firstLine="720"/>
      </w:pPr>
      <w:r w:rsidRPr="00387E75">
        <w:rPr>
          <w:b/>
        </w:rPr>
        <w:t>12 posėdis</w:t>
      </w:r>
      <w:r w:rsidRPr="00387E75">
        <w:t xml:space="preserve"> – 2013 m. liepos  3 d. </w:t>
      </w:r>
    </w:p>
    <w:p w:rsidR="004F7425" w:rsidRPr="00387E75" w:rsidRDefault="004F7425" w:rsidP="004F7425">
      <w:pPr>
        <w:spacing w:after="200" w:line="276" w:lineRule="auto"/>
        <w:ind w:firstLine="720"/>
      </w:pPr>
      <w:r w:rsidRPr="00387E75">
        <w:t>38. Seimo Narkomanijos ir alkoholizmo prevencijos komisijos  2013 m. veiklos plano I pusmečio posėdžių apibendrinimas.</w:t>
      </w:r>
    </w:p>
    <w:p w:rsidR="004F7425" w:rsidRPr="00387E75" w:rsidRDefault="004F7425" w:rsidP="004F7425">
      <w:pPr>
        <w:spacing w:after="200" w:line="276" w:lineRule="auto"/>
        <w:ind w:firstLine="720"/>
      </w:pPr>
      <w:r w:rsidRPr="00387E75">
        <w:t xml:space="preserve">39. </w:t>
      </w:r>
      <w:r w:rsidRPr="00B10B20">
        <w:t>Dėl</w:t>
      </w:r>
      <w:r w:rsidRPr="00387E75">
        <w:t xml:space="preserve"> Priklausomybių reabilitacijos </w:t>
      </w:r>
      <w:r w:rsidRPr="00B10B20">
        <w:t>centrų ir jų</w:t>
      </w:r>
      <w:r w:rsidRPr="00387E75">
        <w:t xml:space="preserve"> perspektyvų.</w:t>
      </w:r>
    </w:p>
    <w:p w:rsidR="004F7425" w:rsidRPr="00387E75" w:rsidRDefault="004F7425" w:rsidP="004F7425">
      <w:pPr>
        <w:ind w:firstLine="720"/>
        <w:jc w:val="both"/>
        <w:rPr>
          <w:color w:val="000000"/>
        </w:rPr>
      </w:pPr>
      <w:r w:rsidRPr="00387E75">
        <w:rPr>
          <w:b/>
        </w:rPr>
        <w:t>13 posėdis</w:t>
      </w:r>
      <w:r w:rsidRPr="00387E75">
        <w:t xml:space="preserve"> – 2013 m. rugsėjo 18 d.</w:t>
      </w:r>
    </w:p>
    <w:p w:rsidR="004F7425" w:rsidRPr="00387E75" w:rsidRDefault="004F7425" w:rsidP="004F7425">
      <w:pPr>
        <w:ind w:firstLine="720"/>
        <w:jc w:val="both"/>
        <w:rPr>
          <w:rFonts w:eastAsia="Arial Unicode MS"/>
        </w:rPr>
      </w:pPr>
      <w:r w:rsidRPr="00387E75">
        <w:t xml:space="preserve">40. </w:t>
      </w:r>
      <w:r w:rsidRPr="00387E75">
        <w:rPr>
          <w:rFonts w:eastAsia="Arial Unicode MS"/>
        </w:rPr>
        <w:t>Dėl pašalinių asmenų patekimo be mokyklos vadovų žinios į mokyklos patalpas ir mokyklos teritorijas kontrolės priemonių pagal Europos Sąjungos patirtį.</w:t>
      </w:r>
    </w:p>
    <w:p w:rsidR="004F7425" w:rsidRPr="00387E75" w:rsidRDefault="004F7425" w:rsidP="004F7425">
      <w:pPr>
        <w:ind w:firstLine="720"/>
        <w:jc w:val="both"/>
        <w:rPr>
          <w:rFonts w:eastAsia="Arial Unicode MS"/>
        </w:rPr>
      </w:pPr>
      <w:r w:rsidRPr="00387E75">
        <w:rPr>
          <w:rFonts w:eastAsia="Arial Unicode MS"/>
        </w:rPr>
        <w:t>41</w:t>
      </w:r>
      <w:r w:rsidRPr="00387E75">
        <w:t xml:space="preserve">. Dėl narkotikų, </w:t>
      </w:r>
      <w:r w:rsidRPr="00B10B20">
        <w:t>alkoholio ir tabako vartojimo prevencijos tarp vaikų ir jaunimo, šviečiant vaikus, jaunimą ir visuomenę ir ugdant jų sąmoningumą.</w:t>
      </w:r>
    </w:p>
    <w:p w:rsidR="004F7425" w:rsidRPr="00387E75" w:rsidRDefault="004F7425" w:rsidP="004F7425">
      <w:pPr>
        <w:ind w:firstLine="720"/>
        <w:rPr>
          <w:b/>
        </w:rPr>
      </w:pPr>
    </w:p>
    <w:p w:rsidR="004F7425" w:rsidRPr="00387E75" w:rsidRDefault="004F7425" w:rsidP="004F7425">
      <w:pPr>
        <w:ind w:firstLine="720"/>
        <w:rPr>
          <w:b/>
        </w:rPr>
      </w:pPr>
    </w:p>
    <w:p w:rsidR="004F7425" w:rsidRPr="00387E75" w:rsidRDefault="004F7425" w:rsidP="004F7425">
      <w:pPr>
        <w:ind w:firstLine="720"/>
      </w:pPr>
      <w:r w:rsidRPr="00387E75">
        <w:rPr>
          <w:b/>
        </w:rPr>
        <w:t>14 posėdis</w:t>
      </w:r>
      <w:r w:rsidRPr="00387E75">
        <w:t xml:space="preserve"> –  2013 m. spalio  2 d.</w:t>
      </w:r>
    </w:p>
    <w:p w:rsidR="004F7425" w:rsidRPr="00387E75" w:rsidRDefault="004F7425" w:rsidP="004F7425">
      <w:pPr>
        <w:ind w:firstLine="720"/>
        <w:jc w:val="both"/>
      </w:pPr>
      <w:r w:rsidRPr="00387E75">
        <w:lastRenderedPageBreak/>
        <w:t xml:space="preserve">42. </w:t>
      </w:r>
      <w:r w:rsidRPr="00387E75">
        <w:rPr>
          <w:rFonts w:eastAsia="Arial Unicode MS"/>
        </w:rPr>
        <w:t>T</w:t>
      </w:r>
      <w:r w:rsidRPr="00387E75">
        <w:t>yrimo „2012 m. psichoaktyvių medžiagų vartojimo paplitimas bendrojoje populiacijoje“ rezultatų  pateikimas.</w:t>
      </w:r>
    </w:p>
    <w:p w:rsidR="004F7425" w:rsidRPr="00387E75" w:rsidRDefault="004F7425" w:rsidP="004F7425">
      <w:pPr>
        <w:ind w:firstLine="720"/>
        <w:jc w:val="both"/>
      </w:pPr>
      <w:r w:rsidRPr="00387E75">
        <w:t xml:space="preserve"> 43. </w:t>
      </w:r>
      <w:r w:rsidRPr="00387E75">
        <w:rPr>
          <w:rFonts w:eastAsia="Arial Unicode MS"/>
        </w:rPr>
        <w:t>T</w:t>
      </w:r>
      <w:r w:rsidRPr="00387E75">
        <w:t>yrimo „2012 m. psichoaktyvių medžiagų vartojimo paplitimas bendrojoje populiacijoje“ rezultatų  aptarimas.</w:t>
      </w:r>
    </w:p>
    <w:p w:rsidR="004F7425" w:rsidRPr="00387E75" w:rsidRDefault="004F7425" w:rsidP="004F7425">
      <w:pPr>
        <w:ind w:firstLine="720"/>
        <w:jc w:val="both"/>
      </w:pPr>
    </w:p>
    <w:p w:rsidR="004F7425" w:rsidRPr="00387E75" w:rsidRDefault="004F7425" w:rsidP="004F7425">
      <w:pPr>
        <w:ind w:firstLine="720"/>
      </w:pPr>
      <w:r w:rsidRPr="00387E75">
        <w:rPr>
          <w:b/>
        </w:rPr>
        <w:t>15 posėdis</w:t>
      </w:r>
      <w:r w:rsidRPr="00387E75">
        <w:t xml:space="preserve"> – 2013 m. spalio 9 d.</w:t>
      </w:r>
    </w:p>
    <w:p w:rsidR="004F7425" w:rsidRPr="00387E75" w:rsidRDefault="004F7425" w:rsidP="004F7425">
      <w:pPr>
        <w:ind w:firstLine="720"/>
        <w:jc w:val="both"/>
        <w:rPr>
          <w:rFonts w:eastAsia="Arial Unicode MS"/>
        </w:rPr>
      </w:pPr>
      <w:r w:rsidRPr="00387E75">
        <w:t xml:space="preserve">44. </w:t>
      </w:r>
      <w:r w:rsidRPr="00387E75">
        <w:rPr>
          <w:rFonts w:eastAsia="Arial Unicode MS"/>
        </w:rPr>
        <w:t>Dėl išvadų dėl Lietuvos Respublikos sveikatos sistemos įstatymo papildymo 38</w:t>
      </w:r>
      <w:r w:rsidRPr="00387E75">
        <w:rPr>
          <w:rFonts w:eastAsia="Arial Unicode MS"/>
          <w:vertAlign w:val="superscript"/>
        </w:rPr>
        <w:t>1</w:t>
      </w:r>
      <w:r w:rsidRPr="00387E75">
        <w:rPr>
          <w:rFonts w:eastAsia="Arial Unicode MS"/>
        </w:rPr>
        <w:t xml:space="preserve"> straipsniu įstatymo projekto Nr. XIIP-49 pateikimo.</w:t>
      </w:r>
    </w:p>
    <w:p w:rsidR="004F7425" w:rsidRPr="00387E75" w:rsidRDefault="004F7425" w:rsidP="004F7425">
      <w:pPr>
        <w:ind w:firstLine="720"/>
        <w:jc w:val="both"/>
        <w:rPr>
          <w:rFonts w:eastAsia="Arial Unicode MS"/>
        </w:rPr>
      </w:pPr>
      <w:r w:rsidRPr="00387E75">
        <w:t xml:space="preserve">45. </w:t>
      </w:r>
      <w:r w:rsidRPr="00387E75">
        <w:rPr>
          <w:rFonts w:eastAsia="Arial Unicode MS"/>
        </w:rPr>
        <w:t>Dėl išvadų dėl Lietuvos Respublikos akcizų įstatymo 23, 24, 25, 26 straipsnių pakeitimo įstatymo projekto Nr. XIIP-50 pateikimo.</w:t>
      </w:r>
    </w:p>
    <w:p w:rsidR="004F7425" w:rsidRPr="00387E75" w:rsidRDefault="004F7425" w:rsidP="004F7425">
      <w:pPr>
        <w:ind w:firstLine="720"/>
        <w:jc w:val="both"/>
        <w:rPr>
          <w:rFonts w:eastAsia="Arial Unicode MS"/>
        </w:rPr>
      </w:pPr>
    </w:p>
    <w:p w:rsidR="004F7425" w:rsidRPr="00387E75" w:rsidRDefault="004F7425" w:rsidP="004F7425">
      <w:pPr>
        <w:ind w:firstLine="720"/>
      </w:pPr>
      <w:r w:rsidRPr="00387E75">
        <w:rPr>
          <w:b/>
        </w:rPr>
        <w:t>16 posėdis</w:t>
      </w:r>
      <w:r w:rsidRPr="00387E75">
        <w:t xml:space="preserve"> – 2013 m. spalio 23 d.</w:t>
      </w:r>
    </w:p>
    <w:p w:rsidR="004F7425" w:rsidRPr="00387E75" w:rsidRDefault="004F7425" w:rsidP="004F7425">
      <w:pPr>
        <w:ind w:firstLine="720"/>
        <w:jc w:val="both"/>
        <w:rPr>
          <w:rFonts w:eastAsia="Arial Unicode MS"/>
        </w:rPr>
      </w:pPr>
      <w:r w:rsidRPr="00387E75">
        <w:t xml:space="preserve">46. </w:t>
      </w:r>
      <w:r w:rsidRPr="00387E75">
        <w:rPr>
          <w:rFonts w:eastAsia="Arial Unicode MS"/>
        </w:rPr>
        <w:t>Dėl išvadų dėl Lietuvos Respublikos sveikatos sistemos įstatymo papildymo 38</w:t>
      </w:r>
      <w:r w:rsidRPr="00387E75">
        <w:rPr>
          <w:rFonts w:eastAsia="Arial Unicode MS"/>
          <w:vertAlign w:val="superscript"/>
        </w:rPr>
        <w:t>1</w:t>
      </w:r>
      <w:r w:rsidRPr="00387E75">
        <w:rPr>
          <w:rFonts w:eastAsia="Arial Unicode MS"/>
        </w:rPr>
        <w:t xml:space="preserve"> straipsniu įstatymo projekto Nr. XIIP-49 pateikimo.</w:t>
      </w:r>
    </w:p>
    <w:p w:rsidR="004F7425" w:rsidRPr="00387E75" w:rsidRDefault="004F7425" w:rsidP="004F7425">
      <w:pPr>
        <w:ind w:firstLine="720"/>
        <w:jc w:val="both"/>
        <w:rPr>
          <w:rFonts w:eastAsia="Arial Unicode MS"/>
        </w:rPr>
      </w:pPr>
      <w:r w:rsidRPr="00387E75">
        <w:t xml:space="preserve">47. </w:t>
      </w:r>
      <w:r w:rsidRPr="00387E75">
        <w:rPr>
          <w:rFonts w:eastAsia="Arial Unicode MS"/>
        </w:rPr>
        <w:t>Dėl išvadų dėl Lietuvos Respublikos akcizų įstatymo 23, 24, 25, 26 straipsnių pakeitimo įstatymo projekto Nr. XIIP-50 pateikimo.</w:t>
      </w:r>
    </w:p>
    <w:p w:rsidR="004F7425" w:rsidRPr="00387E75" w:rsidRDefault="004F7425" w:rsidP="004F7425">
      <w:pPr>
        <w:ind w:firstLine="720"/>
        <w:jc w:val="both"/>
        <w:rPr>
          <w:rFonts w:eastAsia="Arial Unicode MS"/>
        </w:rPr>
      </w:pPr>
      <w:r w:rsidRPr="00387E75">
        <w:rPr>
          <w:rFonts w:eastAsia="Arial Unicode MS"/>
        </w:rPr>
        <w:t>48. Dėl išvadų dėl Lietuvos Respublikos švietimo įstatymo 43 straipsnio pakeitimo įstatymo projekto Nr. XIP- 2990 pateikimo.</w:t>
      </w:r>
    </w:p>
    <w:p w:rsidR="004F7425" w:rsidRPr="00387E75" w:rsidRDefault="004F7425" w:rsidP="004F7425">
      <w:pPr>
        <w:ind w:firstLine="720"/>
        <w:jc w:val="both"/>
      </w:pPr>
      <w:r w:rsidRPr="00387E75">
        <w:rPr>
          <w:rFonts w:eastAsia="Arial Unicode MS"/>
        </w:rPr>
        <w:t>49. Dėl</w:t>
      </w:r>
      <w:r w:rsidRPr="00387E75">
        <w:t xml:space="preserve"> </w:t>
      </w:r>
      <w:r w:rsidRPr="00387E75">
        <w:rPr>
          <w:rFonts w:eastAsia="Arial Unicode MS"/>
        </w:rPr>
        <w:t>išvadų</w:t>
      </w:r>
      <w:r w:rsidRPr="00387E75">
        <w:t xml:space="preserve"> dėl Lietuvos Respublikos alkoholio kontrolės įstatymo 18 ir 22 straipsnių pakeitimo įstatymo projekto Nr. XIIP</w:t>
      </w:r>
      <w:r w:rsidRPr="00387E75">
        <w:noBreakHyphen/>
        <w:t>978</w:t>
      </w:r>
      <w:r w:rsidRPr="00387E75">
        <w:rPr>
          <w:rFonts w:eastAsia="Arial Unicode MS"/>
        </w:rPr>
        <w:t xml:space="preserve"> pateikimo</w:t>
      </w:r>
      <w:r w:rsidRPr="00387E75">
        <w:t>.</w:t>
      </w:r>
    </w:p>
    <w:p w:rsidR="004F7425" w:rsidRPr="00387E75" w:rsidRDefault="004F7425" w:rsidP="004F7425">
      <w:pPr>
        <w:ind w:firstLine="720"/>
        <w:jc w:val="both"/>
        <w:rPr>
          <w:rFonts w:eastAsia="Arial Unicode MS"/>
        </w:rPr>
      </w:pPr>
      <w:r w:rsidRPr="00387E75">
        <w:t xml:space="preserve">50. Dėl </w:t>
      </w:r>
      <w:r w:rsidRPr="00387E75">
        <w:rPr>
          <w:rFonts w:eastAsia="Arial Unicode MS"/>
        </w:rPr>
        <w:t>išvadų dėl</w:t>
      </w:r>
      <w:r w:rsidRPr="00387E75">
        <w:t xml:space="preserve"> Lietuvos Respublikos administracinių teisės pažeidimų kodekso papildymo 180</w:t>
      </w:r>
      <w:r w:rsidRPr="00387E75">
        <w:rPr>
          <w:vertAlign w:val="superscript"/>
        </w:rPr>
        <w:t xml:space="preserve">1 </w:t>
      </w:r>
      <w:r w:rsidRPr="00387E75">
        <w:t>straipsniu įstatymo projekto Nr. XIIP</w:t>
      </w:r>
      <w:r w:rsidRPr="00387E75">
        <w:noBreakHyphen/>
        <w:t>979</w:t>
      </w:r>
      <w:r w:rsidRPr="00387E75">
        <w:rPr>
          <w:rFonts w:eastAsia="Arial Unicode MS"/>
        </w:rPr>
        <w:t xml:space="preserve"> pateikimo</w:t>
      </w:r>
      <w:r w:rsidRPr="00387E75">
        <w:t>.</w:t>
      </w:r>
      <w:r w:rsidRPr="00387E75">
        <w:rPr>
          <w:rFonts w:eastAsia="Arial Unicode MS"/>
        </w:rPr>
        <w:t xml:space="preserve"> </w:t>
      </w:r>
    </w:p>
    <w:p w:rsidR="004F7425" w:rsidRPr="00387E75" w:rsidRDefault="004F7425" w:rsidP="004F7425">
      <w:pPr>
        <w:ind w:firstLine="720"/>
        <w:jc w:val="both"/>
        <w:rPr>
          <w:rFonts w:eastAsia="Arial Unicode MS"/>
        </w:rPr>
      </w:pPr>
    </w:p>
    <w:p w:rsidR="004F7425" w:rsidRPr="00387E75" w:rsidRDefault="004F7425" w:rsidP="004F7425">
      <w:pPr>
        <w:ind w:firstLine="720"/>
      </w:pPr>
      <w:r w:rsidRPr="00387E75">
        <w:rPr>
          <w:b/>
        </w:rPr>
        <w:t>17 posėdis</w:t>
      </w:r>
      <w:r w:rsidRPr="00387E75">
        <w:t xml:space="preserve"> – 2013 m. lapkričio 13 d.</w:t>
      </w:r>
    </w:p>
    <w:p w:rsidR="004F7425" w:rsidRPr="00387E75" w:rsidRDefault="004F7425" w:rsidP="004F7425">
      <w:pPr>
        <w:ind w:firstLine="720"/>
        <w:jc w:val="both"/>
      </w:pPr>
      <w:r w:rsidRPr="00387E75">
        <w:t>51. Dėl išvadų dėl Lietuvos Respublikos administracinių teisės pažeidimų kodekso 126 straipsnio pakeitimo įstatymo projekto Nr. XIIP- 942(2) pateikimo.</w:t>
      </w:r>
    </w:p>
    <w:p w:rsidR="004F7425" w:rsidRPr="00387E75" w:rsidRDefault="004F7425" w:rsidP="004F7425">
      <w:pPr>
        <w:ind w:firstLine="720"/>
        <w:jc w:val="both"/>
      </w:pPr>
      <w:r w:rsidRPr="00387E75">
        <w:t>52. Dėl išvadų dėl Lietuvos Respublikos saugaus eismo automobilių keliais įstatymo 2, 6, 9, 10, 11, 12, 13, 14, 16, 17, 18, 19, 21, 22, 23, 24, 25, 26, 27, 28, 29, 33 straipsnių, įstatymo priedo pakeitimo ir papildymo ir įstatymo papildymo 6</w:t>
      </w:r>
      <w:r w:rsidRPr="00387E75">
        <w:rPr>
          <w:vertAlign w:val="superscript"/>
        </w:rPr>
        <w:t>1</w:t>
      </w:r>
      <w:r w:rsidRPr="00387E75">
        <w:t>, 27</w:t>
      </w:r>
      <w:r w:rsidRPr="00387E75">
        <w:rPr>
          <w:vertAlign w:val="superscript"/>
        </w:rPr>
        <w:t>1</w:t>
      </w:r>
      <w:r w:rsidRPr="00387E75">
        <w:t xml:space="preserve"> straipsniais įstatymo 2 straipsnio pakeitimo įstatymo projekto Nr. XIIP- 943(2) pateikimo.</w:t>
      </w:r>
    </w:p>
    <w:p w:rsidR="004F7425" w:rsidRPr="00387E75" w:rsidRDefault="004F7425" w:rsidP="004F7425">
      <w:pPr>
        <w:ind w:firstLine="720"/>
        <w:jc w:val="both"/>
        <w:rPr>
          <w:rFonts w:eastAsia="Arial Unicode MS"/>
        </w:rPr>
      </w:pPr>
      <w:r w:rsidRPr="00387E75">
        <w:rPr>
          <w:rFonts w:eastAsia="Arial Unicode MS"/>
        </w:rPr>
        <w:t xml:space="preserve">53. </w:t>
      </w:r>
      <w:r w:rsidRPr="00387E75">
        <w:t>Dėl išvadų dėl Lietuvos Respublikos saugaus eismo automobilių keliais įstatymo 2 straipsnio pakeitimo įstatymo projekto Nr. XIIP-1015 pateikimo.</w:t>
      </w:r>
    </w:p>
    <w:p w:rsidR="004F7425" w:rsidRPr="00387E75" w:rsidRDefault="004F7425" w:rsidP="004F7425">
      <w:pPr>
        <w:pStyle w:val="Sraopastraipa"/>
        <w:ind w:left="0" w:firstLine="720"/>
        <w:jc w:val="both"/>
      </w:pPr>
      <w:r w:rsidRPr="00387E75">
        <w:rPr>
          <w:rFonts w:eastAsia="Arial Unicode MS"/>
        </w:rPr>
        <w:t xml:space="preserve">54. </w:t>
      </w:r>
      <w:r w:rsidRPr="00387E75">
        <w:t xml:space="preserve">Dėl Lietuvos Respublikos pluoštinių kanapių įstatymo 12 straipsnio įgyvendinimo nuo 2013 birželio 8 dienos. </w:t>
      </w:r>
    </w:p>
    <w:p w:rsidR="004F7425" w:rsidRPr="00387E75" w:rsidRDefault="004F7425" w:rsidP="004F7425">
      <w:pPr>
        <w:ind w:firstLine="720"/>
      </w:pPr>
      <w:r w:rsidRPr="00387E75">
        <w:rPr>
          <w:b/>
        </w:rPr>
        <w:t>18 posėdis</w:t>
      </w:r>
      <w:r w:rsidRPr="00387E75">
        <w:t xml:space="preserve"> – 2013 m. lapkričio 20 d.</w:t>
      </w:r>
    </w:p>
    <w:p w:rsidR="004F7425" w:rsidRPr="00387E75" w:rsidRDefault="004F7425" w:rsidP="004F7425">
      <w:pPr>
        <w:ind w:firstLine="720"/>
        <w:jc w:val="both"/>
      </w:pPr>
      <w:r w:rsidRPr="00387E75">
        <w:t>55. Dėl Lietuvos Respublikos tabako kontrolės įstatymo nuostatų įgyvendinimo.</w:t>
      </w:r>
    </w:p>
    <w:p w:rsidR="004F7425" w:rsidRPr="00387E75" w:rsidRDefault="004F7425" w:rsidP="004F7425">
      <w:pPr>
        <w:ind w:firstLine="720"/>
        <w:jc w:val="both"/>
      </w:pPr>
      <w:r w:rsidRPr="00387E75">
        <w:t>56. Dėl neformaliojo vaikų ir jaunimo ugdymo krepšelio, kurį sudarytų savivaldybių, valstybės biudžeto, programinės lėšos, efektyvaus panaudojimo ir  vaikų popamokinio užimtumo.</w:t>
      </w:r>
    </w:p>
    <w:p w:rsidR="004F7425" w:rsidRPr="00387E75" w:rsidRDefault="004F7425" w:rsidP="004F7425">
      <w:pPr>
        <w:ind w:firstLine="720"/>
        <w:jc w:val="both"/>
      </w:pPr>
      <w:r w:rsidRPr="00387E75">
        <w:t>57. Dėl veiksmų, užkertančių kelią nusikaltimams, padaromiems naudojant aukštąsias technologijas ir internetą, narkomanijos ir alkoholizmo srityje.</w:t>
      </w:r>
    </w:p>
    <w:p w:rsidR="004F7425" w:rsidRPr="00387E75" w:rsidRDefault="004F7425" w:rsidP="004F7425">
      <w:pPr>
        <w:pStyle w:val="msolistparagraph0"/>
        <w:ind w:left="0" w:firstLine="720"/>
        <w:jc w:val="both"/>
      </w:pPr>
      <w:r w:rsidRPr="00387E75">
        <w:t>58. Atstovavimo Lietuvai Horizontaliojoje narkotikų darbo grupėje prioritetų ir tikslų</w:t>
      </w:r>
      <w:r w:rsidRPr="00387E75">
        <w:rPr>
          <w:color w:val="000080"/>
        </w:rPr>
        <w:t xml:space="preserve"> </w:t>
      </w:r>
      <w:r w:rsidRPr="00387E75">
        <w:t>aptarimas.</w:t>
      </w:r>
    </w:p>
    <w:p w:rsidR="004F7425" w:rsidRPr="00387E75" w:rsidRDefault="004F7425" w:rsidP="004F7425">
      <w:pPr>
        <w:pStyle w:val="Sraopastraipa"/>
        <w:ind w:left="0" w:firstLine="720"/>
        <w:jc w:val="both"/>
        <w:rPr>
          <w:bCs/>
        </w:rPr>
      </w:pPr>
      <w:r w:rsidRPr="00387E75">
        <w:t xml:space="preserve">59. Kiti klausimai.  Informacija apie rengiamas tarptautines </w:t>
      </w:r>
      <w:r w:rsidRPr="00387E75">
        <w:rPr>
          <w:bCs/>
        </w:rPr>
        <w:t>konferencijas (2013 m. gruodžio 2 d. ir 2013 m. gruodžio 16 d.).</w:t>
      </w:r>
    </w:p>
    <w:p w:rsidR="004F7425" w:rsidRPr="00387E75" w:rsidRDefault="004F7425" w:rsidP="004F7425">
      <w:pPr>
        <w:ind w:firstLine="720"/>
      </w:pPr>
      <w:r w:rsidRPr="00387E75">
        <w:rPr>
          <w:b/>
        </w:rPr>
        <w:t>19 posėdis</w:t>
      </w:r>
      <w:r w:rsidRPr="00387E75">
        <w:t xml:space="preserve"> – 2013 m. gruodžio 18 d.</w:t>
      </w:r>
    </w:p>
    <w:p w:rsidR="004F7425" w:rsidRPr="00387E75" w:rsidRDefault="004F7425" w:rsidP="004F7425">
      <w:pPr>
        <w:ind w:firstLine="720"/>
        <w:jc w:val="both"/>
      </w:pPr>
      <w:r w:rsidRPr="00387E75">
        <w:t>60. Dėl savivaldybių vykdomų alkoholio ir tabako kontrolės priemonių įgyvendinimo. Dėl savivaldybių ataskaitų.</w:t>
      </w:r>
    </w:p>
    <w:p w:rsidR="004F7425" w:rsidRPr="00387E75" w:rsidRDefault="004F7425" w:rsidP="004F7425">
      <w:pPr>
        <w:ind w:firstLine="720"/>
        <w:jc w:val="both"/>
      </w:pPr>
      <w:r w:rsidRPr="00387E75">
        <w:t>61. Savivaldybių Narkotikų kontrolės ir Vaiko gerovės komisijų narių mokymai psichoaktyviųjų medžiagų paklausos mažinimo klausimais: rezultatai, poreikiai ir planai.</w:t>
      </w:r>
    </w:p>
    <w:p w:rsidR="004F7425" w:rsidRPr="00387E75" w:rsidRDefault="004F7425" w:rsidP="004F7425">
      <w:pPr>
        <w:ind w:firstLine="720"/>
        <w:jc w:val="both"/>
      </w:pPr>
      <w:r w:rsidRPr="00387E75">
        <w:t>62. Dėl valstybės ir savivaldybių institucijų bei įstaigų veiklos tarptautinio ir nacionalinio koordinavimo ir bendradarbiavimo stiprinimo, susijusio su alkoholizmo ir narkomanijos bei rūkymo prevencija, narkotikų, tabako ir alkoholio kontrole.</w:t>
      </w:r>
    </w:p>
    <w:p w:rsidR="004F7425" w:rsidRPr="00387E75" w:rsidRDefault="004F7425" w:rsidP="004F7425">
      <w:pPr>
        <w:ind w:firstLine="720"/>
        <w:jc w:val="both"/>
      </w:pPr>
      <w:r w:rsidRPr="00387E75">
        <w:t>63. Dėl Narkomanijos ir alkoholizmo prevencijos komisijos 2013 m. vasario 27 d. posėdyje Nr. 293-P-2 patvirtinto 2013 metų veiklos plano įgyvendinimo.</w:t>
      </w:r>
    </w:p>
    <w:p w:rsidR="004F7425" w:rsidRPr="00387E75" w:rsidRDefault="004F7425" w:rsidP="004F7425">
      <w:pPr>
        <w:ind w:firstLine="720"/>
      </w:pPr>
      <w:r w:rsidRPr="00387E75">
        <w:t>64. Dėl Narkomanijos ir alkoholizmo prevencijos komisijos 2014 metų veiklos plano projekto.</w:t>
      </w:r>
    </w:p>
    <w:p w:rsidR="004F7425" w:rsidRPr="00387E75" w:rsidRDefault="004F7425" w:rsidP="004F7425">
      <w:pPr>
        <w:rPr>
          <w:b/>
        </w:rPr>
      </w:pPr>
    </w:p>
    <w:p w:rsidR="004F7425" w:rsidRPr="00387E75" w:rsidRDefault="004F7425" w:rsidP="004F7425">
      <w:r w:rsidRPr="00387E75">
        <w:lastRenderedPageBreak/>
        <w:tab/>
        <w:t>Parlamentinės kontrolės klausimais</w:t>
      </w:r>
      <w:r w:rsidRPr="00387E75">
        <w:rPr>
          <w:b/>
        </w:rPr>
        <w:t xml:space="preserve"> </w:t>
      </w:r>
      <w:r w:rsidRPr="00387E75">
        <w:t>Komisijos nagrinėtomis temomis  priimti sprendimai ir siūlymai (keletas pavyzdžių):</w:t>
      </w:r>
    </w:p>
    <w:p w:rsidR="004F7425" w:rsidRPr="00387E75" w:rsidRDefault="004F7425" w:rsidP="004F7425">
      <w:r w:rsidRPr="00387E75">
        <w:tab/>
        <w:t xml:space="preserve"> </w:t>
      </w:r>
    </w:p>
    <w:p w:rsidR="004F7425" w:rsidRPr="00387E75" w:rsidRDefault="004F7425" w:rsidP="004F7425">
      <w:pPr>
        <w:rPr>
          <w:bCs/>
        </w:rPr>
      </w:pPr>
      <w:r w:rsidRPr="00387E75">
        <w:rPr>
          <w:b/>
          <w:bCs/>
        </w:rPr>
        <w:t xml:space="preserve">        I.</w:t>
      </w:r>
      <w:r w:rsidRPr="00387E75">
        <w:rPr>
          <w:bCs/>
        </w:rPr>
        <w:t xml:space="preserve">  Dėl Kauno apskrities Priklausomybės ligų centro padėties ir paslaugų teikimo vaikams ir jaunimui. </w:t>
      </w:r>
    </w:p>
    <w:p w:rsidR="004F7425" w:rsidRPr="00387E75" w:rsidRDefault="004F7425" w:rsidP="004F7425">
      <w:pPr>
        <w:ind w:firstLine="720"/>
        <w:jc w:val="both"/>
      </w:pPr>
      <w:r w:rsidRPr="00387E75">
        <w:rPr>
          <w:rFonts w:eastAsia="Arial Unicode MS"/>
        </w:rPr>
        <w:t xml:space="preserve"> Dėl Priklausomybės ligų centrų padėties p</w:t>
      </w:r>
      <w:r w:rsidRPr="00387E75">
        <w:t xml:space="preserve">o įvykdytos reformos ir priklausomybės ligomis sergančių asmenų gydymo visoje Lietuvoje. </w:t>
      </w:r>
    </w:p>
    <w:p w:rsidR="004F7425" w:rsidRPr="00387E75" w:rsidRDefault="004F7425" w:rsidP="004F7425">
      <w:pPr>
        <w:ind w:firstLine="720"/>
      </w:pPr>
    </w:p>
    <w:p w:rsidR="004F7425" w:rsidRPr="00387E75" w:rsidRDefault="004F7425" w:rsidP="004F7425">
      <w:pPr>
        <w:ind w:firstLine="720"/>
        <w:jc w:val="both"/>
      </w:pPr>
      <w:r w:rsidRPr="00387E75">
        <w:t>Priklausomybės ligų centrai Lietuvoje veikė Vilniaus, Kauno, Klaipėdos, Panevėžio ir Šiaulių apskrityse. Panaikinus apskritis, minėti centrai Lietuvos Respublikos Vyriausybės sprendimais buvo perduoti Kauno, Panevėžio, Klaipėdos ir Šiaulių savivaldybėms. Vienintelio Vilniaus priklausomybės ligų centro steigėjas nuolat buvo Vilniaus miesto savivaldybė.</w:t>
      </w:r>
    </w:p>
    <w:p w:rsidR="004F7425" w:rsidRPr="00387E75" w:rsidRDefault="004F7425" w:rsidP="004F7425">
      <w:pPr>
        <w:ind w:firstLine="720"/>
        <w:jc w:val="both"/>
      </w:pPr>
      <w:r w:rsidRPr="00EE162A">
        <w:t>2010–2012 metais, keičiantis steigėjui ir  įvykus reformai, Komisija ne kartą nagrinėjo Priklausomybės ligų centrų finansavimo, paslaugų teikimo visoje Lietuvoje priklausomybės ligomis sergantiems asmenims (ir neapdraustiems) klausimus.</w:t>
      </w:r>
    </w:p>
    <w:p w:rsidR="004F7425" w:rsidRPr="00387E75" w:rsidRDefault="004F7425" w:rsidP="004F7425">
      <w:pPr>
        <w:ind w:firstLine="720"/>
        <w:jc w:val="both"/>
      </w:pPr>
      <w:r w:rsidRPr="00387E75">
        <w:t xml:space="preserve"> Lietuvos Respublikos Vyriausybė, vadovaudamasi Lietuvos Respublikos apskrities valdymo įstatymo ir jį keitusių įstatymų pripažinimo netekusiais galios įstatymu (Žin., 2009, Nr. </w:t>
      </w:r>
      <w:hyperlink r:id="rId247" w:history="1">
        <w:r w:rsidRPr="00387E75">
          <w:rPr>
            <w:rStyle w:val="Hipersaitas"/>
            <w:rFonts w:eastAsiaTheme="majorEastAsia"/>
          </w:rPr>
          <w:t>87-3661</w:t>
        </w:r>
      </w:hyperlink>
      <w:r w:rsidRPr="00387E75">
        <w:t xml:space="preserve">), Lietuvos Respublikos biudžetinių įstaigų įstatymo (Žin., 1995, Nr. </w:t>
      </w:r>
      <w:hyperlink r:id="rId248" w:history="1">
        <w:r w:rsidRPr="00387E75">
          <w:rPr>
            <w:rStyle w:val="Hipersaitas"/>
            <w:rFonts w:eastAsiaTheme="majorEastAsia"/>
          </w:rPr>
          <w:t>104-2322</w:t>
        </w:r>
      </w:hyperlink>
      <w:r w:rsidRPr="00387E75">
        <w:t xml:space="preserve">; 2010, Nr. </w:t>
      </w:r>
      <w:hyperlink r:id="rId249" w:history="1">
        <w:r w:rsidRPr="00387E75">
          <w:rPr>
            <w:rStyle w:val="Hipersaitas"/>
            <w:rFonts w:eastAsiaTheme="majorEastAsia"/>
          </w:rPr>
          <w:t>15-699</w:t>
        </w:r>
      </w:hyperlink>
      <w:r w:rsidRPr="00387E75">
        <w:t xml:space="preserve">) 4 straipsnio 5 dalimi, Lietuvos Respublikos sveikatos sistemos įstatymo (Žin., 1994, Nr. </w:t>
      </w:r>
      <w:hyperlink r:id="rId250" w:history="1">
        <w:r w:rsidRPr="00387E75">
          <w:rPr>
            <w:rStyle w:val="Hipersaitas"/>
            <w:rFonts w:eastAsiaTheme="majorEastAsia"/>
          </w:rPr>
          <w:t>63-1231</w:t>
        </w:r>
      </w:hyperlink>
      <w:r w:rsidRPr="00387E75">
        <w:t xml:space="preserve">; 1998, Nr. </w:t>
      </w:r>
      <w:hyperlink r:id="rId251" w:history="1">
        <w:r w:rsidRPr="00387E75">
          <w:rPr>
            <w:rStyle w:val="Hipersaitas"/>
            <w:rFonts w:eastAsiaTheme="majorEastAsia"/>
          </w:rPr>
          <w:t>112-3099</w:t>
        </w:r>
      </w:hyperlink>
      <w:r w:rsidRPr="00387E75">
        <w:t xml:space="preserve">) 12 straipsnio 4 dalimi, Lietuvos Respublikos valstybės ir savivaldybių turto valdymo, naudojimo ir disponavimo juo įstatymo (Žin., 1998, Nr. </w:t>
      </w:r>
      <w:hyperlink r:id="rId252" w:history="1">
        <w:r w:rsidRPr="00387E75">
          <w:rPr>
            <w:rStyle w:val="Hipersaitas"/>
            <w:rFonts w:eastAsiaTheme="majorEastAsia"/>
          </w:rPr>
          <w:t>54-1492</w:t>
        </w:r>
      </w:hyperlink>
      <w:r w:rsidRPr="00387E75">
        <w:t xml:space="preserve">; 2002, Nr. </w:t>
      </w:r>
      <w:hyperlink r:id="rId253" w:history="1">
        <w:r w:rsidRPr="00387E75">
          <w:rPr>
            <w:rStyle w:val="Hipersaitas"/>
            <w:rFonts w:eastAsiaTheme="majorEastAsia"/>
          </w:rPr>
          <w:t>60-2412</w:t>
        </w:r>
      </w:hyperlink>
      <w:r w:rsidRPr="00387E75">
        <w:t xml:space="preserve">; 2006, Nr. </w:t>
      </w:r>
      <w:hyperlink r:id="rId254" w:history="1">
        <w:r w:rsidRPr="00387E75">
          <w:rPr>
            <w:rStyle w:val="Hipersaitas"/>
            <w:rFonts w:eastAsiaTheme="majorEastAsia"/>
          </w:rPr>
          <w:t>87-3397</w:t>
        </w:r>
      </w:hyperlink>
      <w:r w:rsidRPr="00387E75">
        <w:t xml:space="preserve">) 6 straipsnio 2 punktu, 17 straipsnio 1 dalies 4 ir 5 punktais, Lietuvos Respublikos vietos savivaldos įstatymo (Žin., 1994, Nr. </w:t>
      </w:r>
      <w:hyperlink r:id="rId255" w:history="1">
        <w:r w:rsidRPr="00387E75">
          <w:rPr>
            <w:rStyle w:val="Hipersaitas"/>
            <w:rFonts w:eastAsiaTheme="majorEastAsia"/>
          </w:rPr>
          <w:t>55-1049</w:t>
        </w:r>
      </w:hyperlink>
      <w:r w:rsidRPr="00387E75">
        <w:t xml:space="preserve">; 2008, Nr. </w:t>
      </w:r>
      <w:hyperlink r:id="rId256" w:history="1">
        <w:r w:rsidRPr="00387E75">
          <w:rPr>
            <w:rStyle w:val="Hipersaitas"/>
            <w:rFonts w:eastAsiaTheme="majorEastAsia"/>
          </w:rPr>
          <w:t>113-4290</w:t>
        </w:r>
      </w:hyperlink>
      <w:r w:rsidRPr="00387E75">
        <w:t xml:space="preserve">) 6 straipsnio 43 punktu, Lietuvos Respublikos Vyriausybės 2009 m. rugsėjo 16 d. nutarimu Nr. 1157 „Dėl apskričių viršininkų įsteigtų įstaigų ir vykdomų programų 2010 metų asignavimų vykdant apskričių reformą“ (Žin., 2009, Nr. </w:t>
      </w:r>
      <w:hyperlink r:id="rId257" w:history="1">
        <w:r w:rsidRPr="00387E75">
          <w:rPr>
            <w:rStyle w:val="Hipersaitas"/>
            <w:rFonts w:eastAsiaTheme="majorEastAsia"/>
          </w:rPr>
          <w:t>116-4946</w:t>
        </w:r>
      </w:hyperlink>
      <w:r w:rsidRPr="00387E75">
        <w:t xml:space="preserve">) ir atsižvelgdama į Kauno miesto savivaldybės tarybos 2010 m. balandžio 8 d. sprendimą Nr. T-180,  perdavė Lietuvos Respublikos Vyriausybės 2010 m. birželio 16 d. nutarimu Nr. 779 „Dėl Kauno apskrities priklausomybės ligų centro savininko teisių ir pareigų bei turto perdavimo“ (Žin., 2010, Nr. 73-3717) valstybei priklausančias Kauno apskrities priklausomybės ligų centro savininko teises ir pareigas Kauno miesto savivaldybei. Tuo pačiu nutarimu Vyriausybė perdavė Kauno miesto savivaldybės nuosavybėn savarankiškosioms savivaldybių funkcijoms įgyvendinti valstybei nuosavybės teise priklausantį ir Kauno apskrities priklausomybės ligų centro patikėjimo teise valdomą turtą. Po įvykdytos reformos iškilo pavojus vieningos sistemos išlikimui, visuomenės interesams, o ypač ilgai kurtam ir taikomam Kauno apskrities priklausomybės ligų centre visos Lietuvos priklausomybės ligomis sergančių vaikų gydymui. </w:t>
      </w:r>
    </w:p>
    <w:p w:rsidR="004F7425" w:rsidRPr="00387E75" w:rsidRDefault="004F7425" w:rsidP="004F7425">
      <w:pPr>
        <w:ind w:firstLine="720"/>
        <w:jc w:val="both"/>
      </w:pPr>
      <w:r w:rsidRPr="00387E75">
        <w:t>Komisija 2010 m. rugsėjo 21 d. raštu Nr. S-2010-8653 kreipėsi į Lietuvos Respublikos Ministrą Pirmininką Andrių Kubilių ir Seimo Sveikatos reikalų komitetą, prašydama siūlyti Lietuvos Respublikos Vyriausybei skubiai patikslinti, kaip savivaldybių vykdomosioms institucijoms gali būti numatyta valstybės funkcija organizuoti asmens sveikatos priežiūrą asmenims (ir neapdraustiems), sergantiems priklausomybės ligomis kitose savivaldybėse, kuriose nėra priklausomybės ligų centrų. Komisija pasiūlė, kad priklausomybės ligų centrams vadovautų viena institucija, kuri moksliniais pagrindais teiktų metodines rekomendacijas, kontroliuotų finansinius srautus ir prisiimtų atsakomybę už priklausomybių ligų situaciją šalyje, kontroliuotų neapdraustų pacientų gydymo klausimus, o ypač vaikų ir jaunimo gydymo klausimus, nes nėra aišku, kaip yra užtikrintas paslaugų teikimas neapdraustiems asmenims tose savivaldybėse, kuriose nėra priklausomybės ligų centrų.</w:t>
      </w:r>
    </w:p>
    <w:p w:rsidR="004F7425" w:rsidRPr="00387E75" w:rsidRDefault="004F7425" w:rsidP="004F7425">
      <w:pPr>
        <w:ind w:firstLine="720"/>
        <w:jc w:val="both"/>
      </w:pPr>
      <w:r w:rsidRPr="00387E75">
        <w:t xml:space="preserve">Komisija 2010 m. vasario 11 d. raštu Nr. S-2010-1430 „Dėl priklausomybės ligų centrų reformos, keičiantis steigėjui ir vaikų bei jaunimo trumpalaikės ir ilgalaikės reabilitacijos paslaugų tolimesnio teikimo“ atkreipė Lietuvos Respublikos Ministro Pirmininko Andriaus Kubiliaus, Lietuvos Respublikos sveikatos apsaugos ministro Algio Čapliko ir Lietuvos Respublikos socialinės apsaugos ir darbo ministro Donato Jankausko dėmesį į vykdomą priklausomybės ligų centrų reformą ir į tai, kad nėra institucijos, kuri užsiimtų priklausomybių ligų specialistų rengimu bei jų kvalifikacijos tobulinimu. Komisija nurodė, kad Kauno apskrities priklausomybės  ligų centre veikia vaikų poskyris, kuriame teikiama trumpalaikė reabilitacija bei vaikų ir jaunimo ilgalaikės reabilitacijos skyrius, kuriame teikiama reabilitacija iki vienų metų. Centras yra Vytauto Didžiojo universiteto studentų, socialinių darbuotojų ir psichologų praktikos bazė. Vytauto Didžiojo universiteto rektorato 2009 m. gruodžio 23 d. posėdyje pritarta ir toliau bendradarbiauti su Kauno apskrities priklausomybės ligų </w:t>
      </w:r>
      <w:r w:rsidRPr="00387E75">
        <w:lastRenderedPageBreak/>
        <w:t xml:space="preserve">centru, integruojant universiteto Socialinių mokslų fakulteto, Socialinės gerovės fakulteto, Katalikų teologijos fakulteto (sielovados) ekspertinę patirtį. </w:t>
      </w:r>
    </w:p>
    <w:p w:rsidR="004F7425" w:rsidRPr="00387E75" w:rsidRDefault="004F7425" w:rsidP="004F7425">
      <w:pPr>
        <w:ind w:firstLine="720"/>
        <w:jc w:val="both"/>
      </w:pPr>
      <w:r w:rsidRPr="00387E75">
        <w:t xml:space="preserve">Komisijos nuomone, Kauno apskrities priklausomybės  ligų centras įvykdžius reformą galėtų tapti metodiniu specialistų rengimo centru, nes Kauno apskrities priklausomybės  ligų centre gydomi vaikai iš  visos Lietuvos. Kauno savivaldybei tapus centro steigėja, tokia galimybė sumažėjo, nes savivaldybė pagal pasitvirtintą biudžetą finansuoja savo teritorijos gyventojų gydymą, kuris atitinka rajono lygmenį, bet ne visos Lietuvos poreikį. Dėl šios priežasties, Komisijos nuomone, būtina išplėsti centro lygmenį, kad jis taptų respublikinis. </w:t>
      </w:r>
    </w:p>
    <w:p w:rsidR="004F7425" w:rsidRPr="00387E75" w:rsidRDefault="004F7425" w:rsidP="004F7425">
      <w:pPr>
        <w:ind w:firstLine="720"/>
        <w:jc w:val="both"/>
      </w:pPr>
      <w:r w:rsidRPr="00387E75">
        <w:t xml:space="preserve">Komisija pabrėžė, kad būtina įgyvendinti  Lietuvos Respublikos Seimo 2011 m. birželio 30 d. nutarimą </w:t>
      </w:r>
      <w:r w:rsidRPr="00387E75">
        <w:rPr>
          <w:lang w:eastAsia="lt-LT"/>
        </w:rPr>
        <w:t xml:space="preserve">Nr. XI-1573 „Dėl metadono naudojimo teisėtumo“, kuriame pasiūlyta Lietuvos Respublikos Vyriausybei </w:t>
      </w:r>
      <w:r w:rsidRPr="00387E75">
        <w:t>svarstyti galimybę įsteigti respublikinį mokslinį metodinį specialistų, teikiančių priklausomybės ligomis sergantiems vaikams ir jaunimui ankstyvosios diagnostikos, gydymo, reabilitacijos ir socialinės reintegracijos paslaugas, rengimo centrą.</w:t>
      </w:r>
    </w:p>
    <w:p w:rsidR="004F7425" w:rsidRPr="00387E75" w:rsidRDefault="004F7425" w:rsidP="004F7425">
      <w:pPr>
        <w:ind w:firstLine="720"/>
        <w:jc w:val="both"/>
      </w:pPr>
      <w:r w:rsidRPr="00387E75">
        <w:t xml:space="preserve">Komisija, gavusi informaciją, kad Kauno miesto savivaldybė planuoja Kauno apskrities priklausomybės ligų centre įrengti asocialių asmenų nakvynės patalpas,  2013 m. kovo 13 d. raštu Nr. S-2013-2172 „Dėl komisijos priimto sprendimo“ atkreipė Lietuvos Respublikos Vyriausybės, Lietuvos Respublikos Seimo Sveikatos reikalų komiteto, Lietuvos Respublikos sveikatos apsaugos ministro ir Kauno miesto mero Andriaus Kupčinsko dėmesį į tai, kad pirmiausia būtina spręsti Kauno apskrities priklausomybės ligų centro ir kitų Priklausomybės ligų centrų pavaldumo klausimą, atsižvelgiant į visuomenės interesą, vieningos sistemos išlaikymą, kuri užtikrintų paslaugų teikimą visos šalies gyventojams, ypač neapdraustiems. </w:t>
      </w:r>
      <w:r w:rsidRPr="00581A23">
        <w:t>Komisijos nuomone, Kauno miesto savivaldybės numatymas dalį Kauno apskrities priklausomybės ligų centro patalpų skirti asocialių asmenų nakvynei neleistų  plėtoti Kauno apskrities priklausomybės ligų centrui respublikinio mokslinio metodinio specialistų, teikiančių priklausomybės ligomis sergantiems vaikams ir jaunimui, ankstyvosios diagnostikos, gydymo, reabilitacijos ir socialinės reintegracijos paslaugų.</w:t>
      </w:r>
      <w:r w:rsidRPr="00387E75">
        <w:t xml:space="preserve"> </w:t>
      </w:r>
    </w:p>
    <w:p w:rsidR="004F7425" w:rsidRPr="00387E75" w:rsidRDefault="004F7425" w:rsidP="004F7425">
      <w:pPr>
        <w:ind w:firstLine="720"/>
        <w:jc w:val="both"/>
      </w:pPr>
      <w:r w:rsidRPr="00387E75">
        <w:t xml:space="preserve">Taip pat Komisija priminė, kad nėra įgyvendintas Lietuvos Respublikos Seimo 2011 m. birželio 30 d. nutarimas </w:t>
      </w:r>
      <w:r w:rsidRPr="00387E75">
        <w:rPr>
          <w:lang w:eastAsia="lt-LT"/>
        </w:rPr>
        <w:t xml:space="preserve">Nr. XI-1573 „Dėl metadono naudojimo teisėtumo“, kuriame buvo siūloma Lietuvos Respublikos Vyriausybei </w:t>
      </w:r>
      <w:r w:rsidRPr="00387E75">
        <w:t xml:space="preserve">svarstyti galimybę įsteigti Respublikinį mokslinį metodinį specialistų, teikiančių priklausomybės ligomis sergantiems vaikams ir jaunimui ankstyvosios diagnostikos, gydymo, reabilitacijos ir socialinės reintegracijos paslaugas, rengimo centrą, nors Lietuvos Respublikos Vyriausybė 2011 m. spalio 27 d. nutarimu Nr. 1277 patvirtino Narkotinių ir psichotropinių medžiagų, narkotinių ir psichotropinių medžiagų pirmtakų (prekursorių), tabako ir alkoholio kontrolės koncepciją, kurioje yra numatyti narkotinių ir psichotropinių medžiagų, narkotinių ir psichotropinių medžiagų pirmtakų (prekursorių), tabako ir alkoholio kontrolės tobulinimo principai ir tobulinimo gairės. </w:t>
      </w:r>
    </w:p>
    <w:p w:rsidR="004F7425" w:rsidRPr="00387E75" w:rsidRDefault="004F7425" w:rsidP="004F7425">
      <w:pPr>
        <w:ind w:firstLine="720"/>
        <w:jc w:val="both"/>
      </w:pPr>
      <w:r w:rsidRPr="00387E75">
        <w:t xml:space="preserve">Todėl Komisija pasiūlė Lietuvos Respublikos Vyriausybei svarstyti galimybę Kauno apskrities priklausomybės ligų centrui tapti  respublikiniu moksliniu metodiniu specialistų, teikiančių priklausomybės ligomis sergantiems vaikams ir jaunimui ankstyvosios diagnostikos, gydymo, reabilitacijos ir socialinės reintegracijos paslaugas, rengimo centru ir toliau teikti trumpalaikę ir ilgalaikę reabilitaciją visos Lietuvos vaikams ir jaunimui,  bendradarbiaujant su Vytauto Didžiojo universitetu, išlaikyti centro praktikos bazę minėto universiteto studentams, socialiniams darbuotojams bei psichologams. Tuo tikslu turėtų būti keičiamas Lietuvos Respublikos Vyriausybės 2010 m. birželio 16 d. nutarimas Nr. 779 „Dėl Kauno apskrities priklausomybės ligų centro savininko teisių ir pareigų bei turto perdavimo“ (Žin., 2010, Nr. 73-3717), kuriuo  valstybei priklausančios Kauno apskrities priklausomybės ligų centro savininko teisės ir pareigos perduotos Kauno miesto savivaldybei ir savivaldybės savarankiškoms savivaldybės funkcijoms įgyvendinti valstybei nuosavybės teise priklausantis Kauno apskrities priklausomybės ligų centro patikėjimo teise valdomas turtas. Taip būtų įgyvendinta Lietuvos Respublikos Seimo 2011 m. birželio 30 d. nutarimu </w:t>
      </w:r>
      <w:r w:rsidRPr="00387E75">
        <w:rPr>
          <w:lang w:eastAsia="lt-LT"/>
        </w:rPr>
        <w:t xml:space="preserve">Nr. XI-1573 „Dėl metadono naudojimo teisėtumo“ </w:t>
      </w:r>
      <w:r w:rsidRPr="00387E75">
        <w:t>patvirtinta 1 straipsnio 4 punkto nuostata dėl respublikinio mokslinio metodinio specialistų, teikiančių priklausomybės ligomis sergantiems vaikams ir jaunimui ankstyvosios diagnostikos, gydymo, reabilitacijos ir socialinės reintegracijos paslaugas, rengimo centro įsteigimo Lietuvoje.</w:t>
      </w:r>
    </w:p>
    <w:p w:rsidR="004F7425" w:rsidRPr="00387E75" w:rsidRDefault="004F7425" w:rsidP="004F7425">
      <w:pPr>
        <w:ind w:firstLine="720"/>
        <w:jc w:val="both"/>
      </w:pPr>
      <w:r w:rsidRPr="00387E75">
        <w:t xml:space="preserve">Komisija 2013 m. kovo 13 d. posėdyje, išnagrinėjusi </w:t>
      </w:r>
      <w:r w:rsidRPr="00387E75">
        <w:rPr>
          <w:bCs/>
        </w:rPr>
        <w:t xml:space="preserve">Kauno apskrities priklausomybės ligų centro padėties ir paslaugų teikimo vaikams ir jaunimui klausimą, </w:t>
      </w:r>
      <w:r w:rsidRPr="00387E75">
        <w:t>nusprendė:</w:t>
      </w:r>
    </w:p>
    <w:p w:rsidR="004F7425" w:rsidRPr="00387E75" w:rsidRDefault="004F7425" w:rsidP="004F7425">
      <w:pPr>
        <w:ind w:firstLine="720"/>
        <w:jc w:val="both"/>
      </w:pPr>
      <w:r w:rsidRPr="00387E75">
        <w:t xml:space="preserve"> 1. Siūlyti Lietuvos Respublikos Vyriausybei įsteigti Kauno apskrities  priklausomybės ligų centre  respublikinį mokslinį metodinį specialistų, teikiančių priklausomybės ligomis sergantiems </w:t>
      </w:r>
      <w:r w:rsidRPr="00387E75">
        <w:lastRenderedPageBreak/>
        <w:t>vaikams ir jaunimui ankstyvosios diagnostikos, gydymo, reabilitacijos ir socialinės reintegracijos paslaugas, rengimo centrą trumpalaikei ir ilgalaikei reabilitacijai visos Lietuvos vaikams ir jaunimui ir, bendradarbiaujant su Vytauto Didžiojo universitetu, išlaikyti praktikos bazę Vytauto Didžiojo universiteto studentams, socialiniams darbuotojams bei psichologams.</w:t>
      </w:r>
    </w:p>
    <w:p w:rsidR="004F7425" w:rsidRPr="00387E75" w:rsidRDefault="004F7425" w:rsidP="004F7425">
      <w:pPr>
        <w:ind w:firstLine="720"/>
        <w:jc w:val="both"/>
      </w:pPr>
      <w:r w:rsidRPr="00387E75">
        <w:t>2. Siūlyti Lietuvos Respublikos Vyriausybei pakeisti Lietuvos Respublikos Vyriausybės 2010 m. birželio 16 d. nutarimą Nr. 779 „Dėl Kauno apskrities priklausomybės ligų centro savininko teisių ir pareigų bei turto perdavimo“ (Žin., 2010, Nr. 73-3717), kuriuo valstybei priklausančios Kauno apskrities priklausomybės ligų centro savininko teisės ir pareigos yra perduotos Kauno miesto savivaldybei, taip pat yra perduotas savivaldybės nuosavybėn savarankiškoms savivaldybės funkcijoms įgyvendinti valstybei nuosavybės teise priklausantis ir Kauno apskrities priklausomybės ligų centro patikėjimo teise valdomas turtas.</w:t>
      </w:r>
    </w:p>
    <w:p w:rsidR="004F7425" w:rsidRPr="00387E75" w:rsidRDefault="004F7425" w:rsidP="004F7425">
      <w:pPr>
        <w:jc w:val="both"/>
      </w:pPr>
      <w:r w:rsidRPr="00387E75">
        <w:tab/>
        <w:t>3. Apie priimtą sprendimą informuoti Lietuvos Respublikos Seimo Sveikatos  reikalų komitetą.</w:t>
      </w:r>
    </w:p>
    <w:p w:rsidR="004F7425" w:rsidRPr="00387E75" w:rsidRDefault="004F7425" w:rsidP="004F7425">
      <w:pPr>
        <w:ind w:firstLine="720"/>
        <w:jc w:val="both"/>
      </w:pPr>
      <w:r w:rsidRPr="00387E75">
        <w:t>Minėtas Komisijos sprendimas išsiųstas Lietuvos Respublikos Vyriausybei, informuota Kauno miesto savivaldybė.</w:t>
      </w:r>
    </w:p>
    <w:p w:rsidR="004F7425" w:rsidRPr="00387E75" w:rsidRDefault="004F7425" w:rsidP="004F7425">
      <w:pPr>
        <w:ind w:firstLine="720"/>
        <w:jc w:val="both"/>
      </w:pPr>
      <w:r w:rsidRPr="00387E75">
        <w:t xml:space="preserve"> Ministro Pirmininko kanclerio 2013 m. kovo 22 d. pavedimu Nr. 62-1149 Sveikatos apsaugos ministerijai pavesta išnagrinėti Komisijos 2013 m. kovo 13 d. priimtą sprendimą ir spręsti klausimą dėl sprendime pateiktų siūlymų įgyvendinimo, klausimais, dėl kurių reikia Lietuvos Respublikos Vyriausybės sprendimo, pateikti suderintus pasiūlymus. </w:t>
      </w:r>
    </w:p>
    <w:p w:rsidR="004F7425" w:rsidRPr="00387E75" w:rsidRDefault="004F7425" w:rsidP="004F7425">
      <w:pPr>
        <w:ind w:firstLine="720"/>
        <w:jc w:val="both"/>
      </w:pPr>
      <w:r w:rsidRPr="00387E75">
        <w:t>Kauno miesto savivaldybės administracija 2013 m. balandžio 3 d. raštu Nr</w:t>
      </w:r>
      <w:r w:rsidRPr="00DE5BD1">
        <w:t>.(33.192)02</w:t>
      </w:r>
      <w:r w:rsidRPr="00387E75">
        <w:t xml:space="preserve">-1546 atsakė, kad sutinka, jog priklausomybės ligų, o ypač vaikų ir jaunimo, ankstyvosios diagnostikos, gydymo, reabilitacijos organizavimo klausimai būtų sprendžiami respublikiniu mastu ir lygmeniu. Tame pačiame rašte pažymėjo, kad Kauno apskrities priklausomybės ligų centras sėkmingai teikė vaikams ir jaunimui trumpalaikės psichologinės socialinės reabilitacijos ir ilgalaikės psichoterapinės reabilitacijos paslaugas iki apskričių reformos bei perdavus šios įstaigos savininko teises ir pareigas Kauno miesto savivaldybei bendradarbiavimo sutarčių pagrindu ir vienodomis sąlygomis. Kauno apskrities priklausomybės ligų centro veikla finansuojama valstybės, o ne Kauno miesto savivaldybės biudžeto lėšomis. Kauno apskrities priklausomybės ligų centre organizuojant respublikinį mokslinį metodinį specialistų, teikiančių priklausomybės ligomis sergantiems vaikams ir jaunimui ankstyvosios diagnostikos, gydymo, reabilitacijos ir socialinės reintegracijos paslaugas, rengimo centrą, svarstytina galimybė nenaudojamas patalpas valstybės lėšomis pritaikyti šiam tikslui. </w:t>
      </w:r>
    </w:p>
    <w:p w:rsidR="004F7425" w:rsidRPr="00387E75" w:rsidRDefault="004F7425" w:rsidP="004F7425">
      <w:pPr>
        <w:ind w:firstLine="720"/>
        <w:jc w:val="both"/>
      </w:pPr>
      <w:r w:rsidRPr="00387E75">
        <w:t xml:space="preserve">Kauno miesto savivaldybės administracija pabrėžė, kad pagalbos neblaiviems asmenims padalinys, teikiantis socialines trumpalaikio apnakvindinimo paslaugas, yra funkciškai atskirtas nuo pagrindinio Kauno apskrities priklausomybės ligų centro pastato, turi atskirą įvažiavimą iš P.Višinskio gatvės. Kauno miesto savivaldybė, rengdama pagalbos neblaiviems asmenims padalinį, imsis visų galimų priemonių, siekdama apsaugoti tiek Kauno apskrities priklausomybės ligų centro pacientus, tiek aplinkinių namų gyventojus nuo neigiamų emocijų, kurias gali   sukelti padalinyje apsinakvoję apsvaigę asmenys. </w:t>
      </w:r>
    </w:p>
    <w:p w:rsidR="004F7425" w:rsidRPr="00387E75" w:rsidRDefault="004F7425" w:rsidP="004F7425">
      <w:pPr>
        <w:jc w:val="both"/>
      </w:pPr>
      <w:r w:rsidRPr="00387E75">
        <w:tab/>
        <w:t xml:space="preserve">Kauno miesto savivaldybės administracija papildomu 2013 m. balandžio 23 d. raštu Nr. (33.192)2-1933 informavo Komisiją, kad Kauno miesto savivaldybės taryba 2011 m. rugsėjo 29 d. sprendimu Nr. T-555 nusprendė perduoti Kauno apskrities priklausomybės ligų centrui valdyti ir naudoti patikėjimo teise Kauno miesto savivaldybei nuosavybės teise priklausantį nekilnojamąjį turtą Giedraičių g. 8, Kaune. Socialines trumpalaikio apnakvindinimo  paslaugas turėtų teikti Kauno apskrities priklausomybės ligų centro padalinys – Socialinių paslaugų skyrius. Kauno miesto savivaldybė numatė Privatizavimo fondo 2013 metams išlaidas 300 tūkst. Lt pagalbos neblaiviems asmenims padaliniui įsteigti. Padalinys turėtų būti įsteigtas 2013 metais.  </w:t>
      </w:r>
    </w:p>
    <w:p w:rsidR="004F7425" w:rsidRPr="00387E75" w:rsidRDefault="004F7425" w:rsidP="004F7425">
      <w:pPr>
        <w:ind w:firstLine="720"/>
        <w:jc w:val="both"/>
        <w:rPr>
          <w:rFonts w:eastAsia="Arial Unicode MS"/>
        </w:rPr>
      </w:pPr>
      <w:r w:rsidRPr="00387E75">
        <w:t>Komisija</w:t>
      </w:r>
      <w:r w:rsidRPr="00387E75">
        <w:rPr>
          <w:b/>
        </w:rPr>
        <w:t xml:space="preserve"> </w:t>
      </w:r>
      <w:r w:rsidRPr="00387E75">
        <w:t>2013 m. kovo 20 d. posėdyje, nagrinėdama</w:t>
      </w:r>
      <w:r w:rsidRPr="00387E75">
        <w:rPr>
          <w:rFonts w:eastAsia="Arial Unicode MS"/>
        </w:rPr>
        <w:t xml:space="preserve"> Priklausomybės ligų centrų padėties </w:t>
      </w:r>
      <w:r w:rsidRPr="00387E75">
        <w:t xml:space="preserve">įvykdžius reformą ir priklausomybės ligomis sergančių asmenų gydymo visoje Lietuvoje klausimus, įvertinusi susiklosčiusią situaciją dėl Priklausomybės ligų centrų finansavimo ir jų pavaldumo savivaldybėms,  siekdama </w:t>
      </w:r>
      <w:r w:rsidRPr="00387E75">
        <w:rPr>
          <w:rFonts w:eastAsia="Arial Unicode MS"/>
        </w:rPr>
        <w:t>pagerinti asmenims, priklausomiems nuo alkoholizmo, narkotinių ir psichotropinių medžiagų vartojimo, paslaugų prieinamumą ir vieningos sistemos išlaikymą, nusprendė:</w:t>
      </w:r>
    </w:p>
    <w:p w:rsidR="004F7425" w:rsidRPr="00387E75" w:rsidRDefault="004F7425" w:rsidP="004F7425">
      <w:pPr>
        <w:spacing w:before="40" w:after="40"/>
        <w:ind w:firstLine="720"/>
        <w:jc w:val="both"/>
      </w:pPr>
      <w:r w:rsidRPr="00387E75">
        <w:rPr>
          <w:rFonts w:eastAsia="Arial Unicode MS"/>
        </w:rPr>
        <w:t xml:space="preserve">1. Siūlyti Lietuvos Respublikos Vyriausybei </w:t>
      </w:r>
      <w:r w:rsidRPr="00387E75">
        <w:t xml:space="preserve"> skubiai spręsti Kauno apskrities priklausomybės ligų centro, Klaipėdos priklausomybės ligų centro, Panevėžio priklausomybės ligų centro, Šiaulių priklausomybės ligų centro ir Vilniaus  priklausomybės ligų centro savininko teisių ir pareigų bei turto </w:t>
      </w:r>
      <w:r w:rsidRPr="00387E75">
        <w:lastRenderedPageBreak/>
        <w:t>perdavimo iš  Kauno miesto, Klaipėdos miesto, Panevėžio miesto, Šiaulių miesto ir Vilniaus miesto savivaldybių klausimus.</w:t>
      </w:r>
    </w:p>
    <w:p w:rsidR="004F7425" w:rsidRPr="00387E75" w:rsidRDefault="004F7425" w:rsidP="004F7425">
      <w:pPr>
        <w:ind w:firstLine="720"/>
        <w:jc w:val="both"/>
      </w:pPr>
      <w:r w:rsidRPr="00387E75">
        <w:t xml:space="preserve">2. </w:t>
      </w:r>
      <w:r w:rsidRPr="00387E75">
        <w:rPr>
          <w:rFonts w:eastAsia="Arial Unicode MS"/>
        </w:rPr>
        <w:t xml:space="preserve">Siūlyti Lietuvos Respublikos Vyriausybei perimtų </w:t>
      </w:r>
      <w:r w:rsidRPr="00387E75">
        <w:t xml:space="preserve">priklausomybės ligų centrų pagrindu  įsteigti valstybės įstaigą su filialais (ar valstybės įstaigas), kad Priklausomybės ligų centrams vadovautų viena institucija, kuri moksliniais pagrindais teiktų metodines rekomendacijas, kontroliuotų finansinius srautus ir prisiimtų atsakomybę už priklausomybių ligų situaciją valstybėje, kontroliuotų neapdraustų pacientų, o ypač vaikų ir jaunimo, gydymo klausimus ir užtikrintų paslaugų teikimą neapdraustiems asmenims tose savivaldybėse, kuriose nėra Priklausomybės ligų centrų. </w:t>
      </w:r>
    </w:p>
    <w:p w:rsidR="004F7425" w:rsidRPr="00387E75" w:rsidRDefault="004F7425" w:rsidP="004F7425">
      <w:pPr>
        <w:ind w:firstLine="720"/>
        <w:jc w:val="both"/>
      </w:pPr>
      <w:r w:rsidRPr="00387E75">
        <w:t xml:space="preserve">3. Prašyti </w:t>
      </w:r>
      <w:r w:rsidRPr="00387E75">
        <w:rPr>
          <w:rFonts w:eastAsia="Arial Unicode MS"/>
        </w:rPr>
        <w:t xml:space="preserve">Lietuvos Respublikos Vyriausybės kreiptis į Kauno miesto tarybą su prašymu nesteigti Kauno apskrities priklausomybės ligų centro patalpose išblaivinimo įstaigos ar laikinų nakvynės namų asocialiems asmenims.  </w:t>
      </w:r>
    </w:p>
    <w:p w:rsidR="004F7425" w:rsidRPr="00387E75" w:rsidRDefault="004F7425" w:rsidP="004F7425">
      <w:pPr>
        <w:ind w:firstLine="720"/>
        <w:jc w:val="both"/>
      </w:pPr>
      <w:r w:rsidRPr="00387E75">
        <w:t>Ministro Pirmininko kanclerio 2013 m. balandžio mėn. 8 d. pavedimu Nr. 62-1369 pavesta Sveikatos apsaugos ministerijai išnagrinėti Komisijos sprendimą ir pateikti siūlymus.</w:t>
      </w:r>
    </w:p>
    <w:p w:rsidR="004F7425" w:rsidRPr="00387E75" w:rsidRDefault="004F7425" w:rsidP="004F7425">
      <w:pPr>
        <w:ind w:firstLine="720"/>
        <w:jc w:val="both"/>
        <w:rPr>
          <w:rFonts w:eastAsia="Arial Unicode MS"/>
        </w:rPr>
      </w:pPr>
      <w:r w:rsidRPr="00387E75">
        <w:t xml:space="preserve">Atsakydama į Ministro Pirmininko kanclerio pavedimą, Sveikatos apsaugos ministerija raštu informavo, kad, siekdama įgyvendinti </w:t>
      </w:r>
      <w:r w:rsidRPr="00387E75">
        <w:rPr>
          <w:rFonts w:eastAsia="Arial Unicode MS"/>
        </w:rPr>
        <w:t xml:space="preserve">Lietuvos Respublikos Vyriausybės 2012 m. spalio 10 d. nutarimo „Dėl Priklausomybės ligų prevencijos, gydymo, reabilitacijos ir reintegracijos paslaugų sistemos sukūrimo koncepcijos (gairių) patvirtinimo“ (Žin., 2012, Nr. 121-6078) 16.1 punktą, 2013 m. balandžio 5 d. raštu kreiptasi į Klaipėdos, Kauno, Vilniaus, Panevėžio, Šiaulių miestų savivaldybių merus ir pasiūlė teisės aktų nustatyta tvarka priimti sprendimus dėl Priklausomybės ligų centrų, kurių steigėjai yra minėtos savivaldybės, savininko teisių, pareigų ir turimo  turto perdavimo Sveikatos apsaugos ministerijai. Gavusi savivaldybių tarybų pritarimus, Sveikatos apsaugos ministerija imsis tolesnių veiksmų, siekdama tapti Priklausomybės ligų centrų steigėja, kartu užtikrindama sveikatos priežiūros paslaugų prieinamumą asmenims, turintiems psichikos ir elgesio sutrikimų dėl psichoaktyvių medžiagų vartojimo. </w:t>
      </w:r>
    </w:p>
    <w:p w:rsidR="004F7425" w:rsidRPr="00387E75" w:rsidRDefault="004F7425" w:rsidP="004F7425">
      <w:pPr>
        <w:ind w:firstLine="720"/>
        <w:jc w:val="both"/>
        <w:rPr>
          <w:rFonts w:eastAsia="Arial Unicode MS"/>
        </w:rPr>
      </w:pPr>
      <w:r w:rsidRPr="00387E75">
        <w:rPr>
          <w:rFonts w:eastAsia="Arial Unicode MS"/>
        </w:rPr>
        <w:t>2013 m. balandžio 24 d. Komisija gavo Vilniaus priklausomybės ligų centro darbuotojų kreipimąsi dėl Vilniaus priklausomybės ligų centro netinkamo finansavimo</w:t>
      </w:r>
      <w:r w:rsidRPr="0068438F">
        <w:rPr>
          <w:rFonts w:eastAsia="Arial Unicode MS"/>
        </w:rPr>
        <w:t>. Darbuotojai nurodė, kad nuo 2013 metų antrojo ketvirčio pradžios negautas ir nenumatytas finansavimas, kurio reikia centro veiklai, tuo tarpu Vilniaus miesto savivaldybė yra vienintelė centro steigėja, centras visiškai jos išlaikomas ir neturi kitų finansavimo šaltinių. Centrui negavus reikiamo finansavimo, kyla grėsmė, kad sutriks paslaugų teikimas, blogės paslaugų prieinamumas priklausomybes turintiems asmenims bei jų artimiesiems.</w:t>
      </w:r>
      <w:r w:rsidRPr="00387E75">
        <w:rPr>
          <w:rFonts w:eastAsia="Arial Unicode MS"/>
        </w:rPr>
        <w:t xml:space="preserve"> </w:t>
      </w:r>
    </w:p>
    <w:p w:rsidR="004F7425" w:rsidRPr="00387E75" w:rsidRDefault="004F7425" w:rsidP="004F7425">
      <w:pPr>
        <w:ind w:firstLine="720"/>
        <w:jc w:val="both"/>
        <w:rPr>
          <w:rFonts w:eastAsia="Arial Unicode MS"/>
        </w:rPr>
      </w:pPr>
      <w:r w:rsidRPr="00387E75">
        <w:rPr>
          <w:rFonts w:eastAsia="Arial Unicode MS"/>
        </w:rPr>
        <w:t xml:space="preserve">Taip pat, į Komisiją 2013 m. balandžio 25 d. raštu Nr. V2-01-229 kreipėsi Biudžetinių sveikatos priežiūros įstaigų asociacija. Ji prašė greitesnių sprendimų dėl Lietuvos Respublikos Vyriausybės priimtos koncepcijos „Dėl Priklausomybės ligų prevencijos, gydymo, reabilitacijos ir reintegracijos paslaugų sistemos sukūrimo koncepcijos (gairių) patvirtinimo“ (Žin., 2012, Nr. 121-6078) įgyvendinimo. </w:t>
      </w:r>
    </w:p>
    <w:p w:rsidR="004F7425" w:rsidRPr="00387E75" w:rsidRDefault="004F7425" w:rsidP="004F7425">
      <w:pPr>
        <w:ind w:firstLine="720"/>
        <w:jc w:val="both"/>
        <w:rPr>
          <w:rFonts w:eastAsia="Arial Unicode MS"/>
        </w:rPr>
      </w:pPr>
      <w:r w:rsidRPr="00387E75">
        <w:rPr>
          <w:rFonts w:eastAsia="Arial Unicode MS"/>
        </w:rPr>
        <w:t xml:space="preserve">Rašte nurodyta, kad Kauno, Šiaulių, Klaipėdos ir Vilniaus  savivaldybės, išskyrus Panevėžio savivaldybę,  dar nėra perdavusios Priklausomybės ligų centrų Sveikatos apsaugos ministerijai. </w:t>
      </w:r>
    </w:p>
    <w:p w:rsidR="004F7425" w:rsidRPr="00387E75" w:rsidRDefault="004F7425" w:rsidP="004F7425">
      <w:pPr>
        <w:ind w:firstLine="720"/>
        <w:jc w:val="both"/>
        <w:rPr>
          <w:rFonts w:eastAsia="Arial Unicode MS"/>
        </w:rPr>
      </w:pPr>
      <w:r w:rsidRPr="00387E75">
        <w:rPr>
          <w:rFonts w:eastAsia="Arial Unicode MS"/>
        </w:rPr>
        <w:t xml:space="preserve"> Sveikatos apsaugos ministras 2013 m. lapkričio 21 d. įsakymu Nr. V-1078 „Dėl Vilniaus priklausomybės ligų centro nuostatų patvirtinimo“ patvirtino Vilniaus priklausomybės ligų centro nuostatus.  Vilniaus priklausomybės ligų centras – Lietuvos nacionalinei sveikatos sistemai priklausanti specializuota asmens sveikatos priežiūros biudžetine įstaiga.</w:t>
      </w:r>
    </w:p>
    <w:p w:rsidR="004F7425" w:rsidRPr="00387E75" w:rsidRDefault="004F7425" w:rsidP="004F7425">
      <w:pPr>
        <w:ind w:firstLine="720"/>
        <w:jc w:val="both"/>
        <w:rPr>
          <w:rFonts w:eastAsia="Arial Unicode MS"/>
        </w:rPr>
      </w:pPr>
      <w:r w:rsidRPr="00387E75">
        <w:rPr>
          <w:rFonts w:eastAsia="Arial Unicode MS"/>
        </w:rPr>
        <w:t xml:space="preserve"> 2013 metais visi Priklausomybės ligų centrai perduoti Sveikatos apsaugos ministerijai, bet tik vieno Vilniaus priklausomybės ligų centro nuostatai yra patvirtinti. </w:t>
      </w:r>
    </w:p>
    <w:p w:rsidR="004F7425" w:rsidRPr="00387E75" w:rsidRDefault="004F7425" w:rsidP="004F7425">
      <w:pPr>
        <w:ind w:firstLine="720"/>
        <w:jc w:val="both"/>
        <w:rPr>
          <w:rFonts w:eastAsia="Arial Unicode MS"/>
        </w:rPr>
      </w:pPr>
    </w:p>
    <w:p w:rsidR="004F7425" w:rsidRPr="00387E75" w:rsidRDefault="004F7425" w:rsidP="004F7425">
      <w:pPr>
        <w:ind w:firstLine="720"/>
        <w:jc w:val="both"/>
        <w:rPr>
          <w:rFonts w:eastAsia="Arial Unicode MS"/>
        </w:rPr>
      </w:pPr>
      <w:r w:rsidRPr="00387E75">
        <w:rPr>
          <w:rFonts w:eastAsia="Arial Unicode MS"/>
        </w:rPr>
        <w:t xml:space="preserve"> </w:t>
      </w:r>
    </w:p>
    <w:p w:rsidR="004F7425" w:rsidRPr="00387E75" w:rsidRDefault="004F7425" w:rsidP="004F7425">
      <w:pPr>
        <w:ind w:firstLine="720"/>
        <w:jc w:val="both"/>
        <w:rPr>
          <w:rFonts w:eastAsia="Arial Unicode MS"/>
        </w:rPr>
      </w:pPr>
    </w:p>
    <w:p w:rsidR="004F7425" w:rsidRPr="00387E75" w:rsidRDefault="004F7425" w:rsidP="004F7425">
      <w:pPr>
        <w:ind w:firstLine="720"/>
        <w:jc w:val="both"/>
        <w:rPr>
          <w:rFonts w:eastAsia="Arial Unicode MS"/>
        </w:rPr>
      </w:pPr>
      <w:r w:rsidRPr="00387E75">
        <w:rPr>
          <w:rFonts w:eastAsia="Arial Unicode MS"/>
          <w:b/>
        </w:rPr>
        <w:t xml:space="preserve">II. </w:t>
      </w:r>
      <w:r w:rsidRPr="00387E75">
        <w:rPr>
          <w:rFonts w:eastAsia="Arial Unicode MS"/>
        </w:rPr>
        <w:t>Dėl Lietuvos Respublikos narkotinių ir psichotropinių medžiagų pirmtakų (prekursorių) kontrolės įstatymo nuostatų įgyvendinimo.</w:t>
      </w:r>
    </w:p>
    <w:p w:rsidR="004F7425" w:rsidRPr="00387E75" w:rsidRDefault="004F7425" w:rsidP="004F7425">
      <w:pPr>
        <w:ind w:firstLine="720"/>
        <w:jc w:val="both"/>
        <w:rPr>
          <w:rFonts w:eastAsia="Arial Unicode MS"/>
        </w:rPr>
      </w:pPr>
      <w:r w:rsidRPr="00387E75">
        <w:rPr>
          <w:bCs/>
        </w:rPr>
        <w:t>Dėl neteisėtos apyvartos</w:t>
      </w:r>
      <w:r w:rsidRPr="00387E75">
        <w:rPr>
          <w:rFonts w:eastAsia="Arial Unicode MS"/>
        </w:rPr>
        <w:t xml:space="preserve"> narkotinių ir psichotropinių medžiagų pirmtakų (prekursorių) sunaikinimo tvarkos.</w:t>
      </w:r>
    </w:p>
    <w:p w:rsidR="004F7425" w:rsidRPr="00387E75" w:rsidRDefault="004F7425" w:rsidP="004F7425">
      <w:pPr>
        <w:ind w:firstLine="720"/>
        <w:jc w:val="both"/>
        <w:rPr>
          <w:rFonts w:eastAsia="Arial Unicode MS"/>
        </w:rPr>
      </w:pPr>
    </w:p>
    <w:p w:rsidR="004F7425" w:rsidRPr="00387E75" w:rsidRDefault="004F7425" w:rsidP="004F7425">
      <w:pPr>
        <w:jc w:val="both"/>
        <w:rPr>
          <w:rFonts w:eastAsia="Arial Unicode MS"/>
        </w:rPr>
      </w:pPr>
      <w:r w:rsidRPr="00387E75">
        <w:rPr>
          <w:bCs/>
        </w:rPr>
        <w:tab/>
        <w:t>Komisija, vykdydama parlamentinė kontrolę</w:t>
      </w:r>
      <w:r w:rsidRPr="00387E75">
        <w:rPr>
          <w:rFonts w:eastAsia="Arial Unicode MS"/>
        </w:rPr>
        <w:t xml:space="preserve"> dėl narkotinių ir psichotropinių medžiagų pirmtakų (prekursorių) kontrolės</w:t>
      </w:r>
      <w:r w:rsidRPr="00387E75">
        <w:rPr>
          <w:bCs/>
        </w:rPr>
        <w:t xml:space="preserve">, 2013 m. balandžio 10 d. posėdyje nagrinėjo </w:t>
      </w:r>
      <w:r w:rsidRPr="00387E75">
        <w:rPr>
          <w:rFonts w:eastAsia="Arial Unicode MS"/>
        </w:rPr>
        <w:t>Lietuvos Respublikos narkotinių ir psichotropinių medžiagų pirmtakų (prekursorių) kontrolės įstatymo nuostatų įgyvendinimą.</w:t>
      </w:r>
    </w:p>
    <w:p w:rsidR="004F7425" w:rsidRPr="00387E75" w:rsidRDefault="004F7425" w:rsidP="004F7425">
      <w:pPr>
        <w:ind w:firstLine="720"/>
        <w:jc w:val="both"/>
        <w:rPr>
          <w:rFonts w:eastAsia="Arial Unicode MS"/>
        </w:rPr>
      </w:pPr>
      <w:r w:rsidRPr="00387E75">
        <w:rPr>
          <w:bCs/>
        </w:rPr>
        <w:lastRenderedPageBreak/>
        <w:t>Komisija nustatė, kad Lietuvos Respublikos Vyriausybė (toliau – Vyriausybė) 2010 m. rugpjūčio 25 d. nutarimu Nr. 1219 „Dėl neteisėtos apyvartos</w:t>
      </w:r>
      <w:r w:rsidRPr="00387E75">
        <w:rPr>
          <w:rFonts w:eastAsia="Arial Unicode MS"/>
        </w:rPr>
        <w:t xml:space="preserve"> narkotinių ir psichotropinių medžiagų pirmtakų (prekursorių) sunaikinimo tvarkos aprašo patvirtinimo“</w:t>
      </w:r>
      <w:r w:rsidRPr="00387E75">
        <w:t xml:space="preserve"> (Žin., 2010, Nr. </w:t>
      </w:r>
      <w:hyperlink r:id="rId258" w:history="1">
        <w:r w:rsidRPr="00387E75">
          <w:rPr>
            <w:rStyle w:val="Hipersaitas"/>
            <w:rFonts w:eastAsiaTheme="majorEastAsia"/>
          </w:rPr>
          <w:t>102-5278</w:t>
        </w:r>
      </w:hyperlink>
      <w:r w:rsidRPr="00387E75">
        <w:t xml:space="preserve">) </w:t>
      </w:r>
      <w:r w:rsidRPr="00387E75">
        <w:rPr>
          <w:rFonts w:eastAsia="Arial Unicode MS"/>
        </w:rPr>
        <w:t xml:space="preserve">patvirtino </w:t>
      </w:r>
      <w:r w:rsidRPr="00387E75">
        <w:rPr>
          <w:bCs/>
        </w:rPr>
        <w:t>neteisėtos apyvartos</w:t>
      </w:r>
      <w:r w:rsidRPr="00387E75">
        <w:rPr>
          <w:rFonts w:eastAsia="Arial Unicode MS"/>
        </w:rPr>
        <w:t xml:space="preserve"> narkotinių ir psichotropinių medžiagų pirmtakų (prekursorių) sunaikinimo tvarkos aprašą, kurį vėliau </w:t>
      </w:r>
      <w:r w:rsidRPr="00387E75">
        <w:rPr>
          <w:bCs/>
        </w:rPr>
        <w:t>Lietuvos Respublikos Vyriausybės 2013 m. vasario 13 d. nutarimu Nr. 136 „Dėl Lietuvos Respublikos Vyriausybė 2010 m. rugpjūčio 25 d. nutarimo Nr. 1219 „Dėl neteisėtos apyvartos</w:t>
      </w:r>
      <w:r w:rsidRPr="00387E75">
        <w:rPr>
          <w:rFonts w:eastAsia="Arial Unicode MS"/>
        </w:rPr>
        <w:t xml:space="preserve"> narkotinių ir psichotropinių medžiagų pirmtakų (prekursorių) sunaikinimo tvarkos aprašo patvirtinimo“ pakeitimo“ jį pakeitė.</w:t>
      </w:r>
    </w:p>
    <w:p w:rsidR="004F7425" w:rsidRPr="00387E75" w:rsidRDefault="004F7425" w:rsidP="004F7425">
      <w:pPr>
        <w:ind w:firstLine="720"/>
        <w:jc w:val="both"/>
      </w:pPr>
      <w:r w:rsidRPr="00387E75">
        <w:t xml:space="preserve"> Neteisėtos apyvartos narkotinių ir psichotropinių medžiagų ir jų pirmtakų (prekursorių) sunaikinimo tvarkos aprašas nustato paimtų iš neteisėtos apyvartos narkotinių ir psichotropinių medžiagų ir jų pirmtakų (prekursorių) sunaikinimo tvarką ikiteisminio tyrimo įstaigoms ir kriminalinės žvalgybos subjektams, taip pat įgaliotoms valstybės institucijoms (pareigūnams), nagrinėjančioms administracinių teisės pažeidimų bylas. </w:t>
      </w:r>
    </w:p>
    <w:p w:rsidR="004F7425" w:rsidRPr="00387E75" w:rsidRDefault="004F7425" w:rsidP="004F7425">
      <w:pPr>
        <w:ind w:firstLine="720"/>
        <w:jc w:val="both"/>
      </w:pPr>
      <w:r w:rsidRPr="00387E75">
        <w:t xml:space="preserve">Atlikus minėtą procedūrą, turi būti surašomas narkotinių ir psichotropinių medžiagų ir jų pirmtakų (prekursorių) sunaikinimo aktas. Vyriausybė pavedė  Lietuvos policijos Kriminalistinių tyrimų centro viršininkui kartu su Lietuvos teismo ekspertizės centro direktoriumi patvirtinti Narkotinių ir psichotropinių medžiagų ir jų pirmtakų (prekursorių) pavyzdžių paėmimo taisykles.  </w:t>
      </w:r>
    </w:p>
    <w:p w:rsidR="004F7425" w:rsidRPr="00387E75" w:rsidRDefault="004F7425" w:rsidP="004F7425">
      <w:pPr>
        <w:ind w:firstLine="720"/>
        <w:jc w:val="both"/>
      </w:pPr>
      <w:r w:rsidRPr="00387E75">
        <w:t xml:space="preserve">Lietuvos policijos generaliniam komisarui  pavesta patvirtinti Tipines narkotinių ir psichotropinių medžiagų ir jų pirmtakų (prekursorių) gavimo, saugojimo ir naudojimo kinologijos padaliniuose taisykles, suderintas su Valstybės sienos apsaugos tarnyba prie Vidaus reikalų ministerijos, Viešojo saugumo tarnyba prie Vidaus reikalų ministerijos, Muitinės departamentu prie Finansų ministerijos, Kalėjimų departamentu prie Teisingumo ministerijos ir Lietuvos kariuomenės karo policija. </w:t>
      </w:r>
    </w:p>
    <w:p w:rsidR="004F7425" w:rsidRPr="00387E75" w:rsidRDefault="004F7425" w:rsidP="004F7425">
      <w:pPr>
        <w:ind w:firstLine="720"/>
        <w:jc w:val="both"/>
      </w:pPr>
      <w:r w:rsidRPr="00387E75">
        <w:t>Vyriausybė rekomendavo Lietuvos Respublikos generalinei prokuratūrai, teritorinėms prokuratūroms ir Lietuvos Respublikos valstybės saugumo departamentui vadovautis šiuo nutarimu patvirtintu Neteisėtos apyvartos narkotinių ir psichotropinių medžiagų ir jų pirmtakų (prekursorių) sunaikinimo tvarkos aprašu, sprendžiant paimtų iš neteisėtos apyvartos narkotinių ir psichotropinių medžiagų ir jų pirmtakų (prekursorių) naikinimo klausimus.</w:t>
      </w:r>
    </w:p>
    <w:p w:rsidR="004F7425" w:rsidRPr="00387E75" w:rsidRDefault="004F7425" w:rsidP="004F7425">
      <w:pPr>
        <w:ind w:firstLine="720"/>
        <w:jc w:val="both"/>
      </w:pPr>
      <w:r w:rsidRPr="00387E75">
        <w:t xml:space="preserve">Vyriausybė nustatė, kad medžiagos naikinamos ne rečiau kaip kartą per metus. Naikinimo darbus, įskaitant medžiagų nuvežimą iki naikinimo vietos, organizuoja įstaiga, kurioje saugomos medžiagos (toliau – naikinimą organizuojanti įstaiga). Naikinimą organizuojančios įstaigos vadovo įsakymu sudaroma ne mažiau kaip 5 narių nuolatinė medžiagų naikinimo komisija (toliau – komisija), kuriai vadovauja komisijos pirmininkas. Komisijos pirmininko ir paskirtų narių dalyvavimas komisijos veikloje privalomas. Be komisijos narių teisę dalyvauti naikinant medžiagas turi policijos, kitų ikiteisminio tyrimo įstaigų, </w:t>
      </w:r>
      <w:r w:rsidRPr="00387E75">
        <w:rPr>
          <w:color w:val="000000"/>
        </w:rPr>
        <w:t>kriminalinės žvalgybos</w:t>
      </w:r>
      <w:r w:rsidRPr="00387E75">
        <w:t xml:space="preserve"> subjektų, prokuratūros, medžiagų tyrimą atlikusios įstaigos, įmonės, kurios teritorijoje medžiagos naikinamos, Aplinkos ministerijos arba jai pavaldžių įstaigų atstovai ir kiti asmenys. </w:t>
      </w:r>
    </w:p>
    <w:p w:rsidR="004F7425" w:rsidRPr="00387E75" w:rsidRDefault="004F7425" w:rsidP="004F7425">
      <w:pPr>
        <w:ind w:firstLine="720"/>
        <w:jc w:val="both"/>
      </w:pPr>
      <w:r w:rsidRPr="00387E75">
        <w:t>Nustatyta, kad naikinamos gamtinės (augalinės kilmės) medžiagos deginamos lauke, laikantis Aplinkos apsaugos reikalavimų deginant sausą žolę, nendres, šiaudus bei laukininkystės ir daržininkystės atliekas, patvirtintų aplinkos ministro 1999 m. rugsėjo 1 d. įsakymu Nr. 269 (Žin., 1999, Nr. </w:t>
      </w:r>
      <w:hyperlink r:id="rId259" w:history="1">
        <w:r w:rsidRPr="00387E75">
          <w:rPr>
            <w:rStyle w:val="Hipersaitas"/>
            <w:rFonts w:eastAsiaTheme="majorEastAsia"/>
          </w:rPr>
          <w:t>75-2284</w:t>
        </w:r>
      </w:hyperlink>
      <w:r w:rsidRPr="00387E75">
        <w:t xml:space="preserve">). </w:t>
      </w:r>
    </w:p>
    <w:p w:rsidR="004F7425" w:rsidRPr="00387E75" w:rsidRDefault="004F7425" w:rsidP="004F7425">
      <w:pPr>
        <w:ind w:firstLine="720"/>
        <w:jc w:val="both"/>
      </w:pPr>
      <w:r w:rsidRPr="00387E75">
        <w:t>Kitos medžiagos ir tara, kurioje jos buvo laikomos (maišai, dėžės, buteliai ir panašiai), naikinamos įmonėse, kurioms teisės aktų nustatyta tvarka suteikta teisė deginti pavojingas atliekas. Komisijos sprendimu šiose įmonėse gali būti naikinamos ir gamtinės medžiagos.</w:t>
      </w:r>
    </w:p>
    <w:p w:rsidR="004F7425" w:rsidRPr="00387E75" w:rsidRDefault="004F7425" w:rsidP="004F7425">
      <w:pPr>
        <w:jc w:val="both"/>
      </w:pPr>
      <w:r w:rsidRPr="00387E75">
        <w:rPr>
          <w:bCs/>
        </w:rPr>
        <w:tab/>
        <w:t xml:space="preserve">Posėdžio metu paaiškėjo, kad jokie Vyriausybės nustatyti </w:t>
      </w:r>
      <w:r w:rsidRPr="00387E75">
        <w:t>neteisėtos apyvartos narkotinių ir psichotropinių medžiagų ir jų pirmtakų (prekursorių) sunaikinimo darbai  nevyksta, nes tam tikslui įrengta speciali įmonė Šiauliuose dėl techninių kliūčių neveikia. Medžiagos ir tara guli sandėliuose.</w:t>
      </w:r>
    </w:p>
    <w:p w:rsidR="004F7425" w:rsidRPr="00387E75" w:rsidRDefault="004F7425" w:rsidP="004F7425">
      <w:pPr>
        <w:jc w:val="both"/>
        <w:rPr>
          <w:bCs/>
        </w:rPr>
      </w:pPr>
      <w:r w:rsidRPr="00387E75">
        <w:tab/>
        <w:t xml:space="preserve">Komisija 2013 m. balandžio 10 d. priėmė sprendimą kreiptis į Sveikatos apsaugos ministrą su prašymu </w:t>
      </w:r>
      <w:r w:rsidRPr="00387E75">
        <w:rPr>
          <w:bCs/>
        </w:rPr>
        <w:t>padėti</w:t>
      </w:r>
      <w:r w:rsidRPr="00387E75">
        <w:t xml:space="preserve"> naikinimą organizuojančioms įstaigoms, </w:t>
      </w:r>
      <w:r w:rsidRPr="00387E75">
        <w:rPr>
          <w:bCs/>
        </w:rPr>
        <w:t xml:space="preserve">kurių sandėliuose saugomos  </w:t>
      </w:r>
      <w:r w:rsidRPr="00387E75">
        <w:t>paimtos  iš neteisėtos apyvartos narkotinės ir psichotropinės medžiagos ir jų pirmtakai (prekursoriai),</w:t>
      </w:r>
      <w:r w:rsidRPr="00387E75">
        <w:rPr>
          <w:bCs/>
        </w:rPr>
        <w:t xml:space="preserve"> </w:t>
      </w:r>
      <w:r w:rsidRPr="00387E75">
        <w:t>skubiai</w:t>
      </w:r>
      <w:r w:rsidRPr="00387E75">
        <w:rPr>
          <w:bCs/>
        </w:rPr>
        <w:t xml:space="preserve"> surasti konkrečią įmonę, kurioje galima būtų atlikti medžiagų sunaikinimą ( 2013 m. balandžio 11 d. raštas Nr. S-2013-3438). </w:t>
      </w:r>
    </w:p>
    <w:p w:rsidR="004F7425" w:rsidRPr="00387E75" w:rsidRDefault="004F7425" w:rsidP="004F7425">
      <w:pPr>
        <w:jc w:val="both"/>
        <w:rPr>
          <w:rFonts w:eastAsia="TimesNewRomanPSMT"/>
          <w:lang w:eastAsia="lt-LT"/>
        </w:rPr>
      </w:pPr>
      <w:r w:rsidRPr="00387E75">
        <w:rPr>
          <w:bCs/>
        </w:rPr>
        <w:tab/>
        <w:t xml:space="preserve">Komisija 2013 m. birželio 21 d. raštu  Nr. S-2013-5885 „Dėl parengto projekto“ informavo Ministrą Pirmininką, kad </w:t>
      </w:r>
      <w:r w:rsidRPr="00387E75">
        <w:t xml:space="preserve">Narkomanijos ir alkoholizmo prevencijos komisija 2013 m. birželio 19 d. gavo iš Policijos departamento prie Lietuvos Respublikos Vidaus reikalų ministerijos raštą Nr. S-S-2409, kuriame pateiktas Lietuvos Respublikos Vyriausybės nutarimo „Dėl Lietuvos </w:t>
      </w:r>
      <w:r w:rsidRPr="00387E75">
        <w:lastRenderedPageBreak/>
        <w:t xml:space="preserve">Respublikos Vyriausybės 2010 m. rugpjūčio 25 d. nutarimo Nr. 1219 „Dėl Neteisėtos apyvartos narkotinių ir psichotropinių medžiagų ir jų pirmtakų (prekursorių) sunaikinimo tvarkos aprašo patvirtinimo“ pakeitimo“ projektas. </w:t>
      </w:r>
      <w:r w:rsidRPr="00387E75">
        <w:rPr>
          <w:rFonts w:eastAsia="TimesNewRomanPSMT"/>
          <w:lang w:eastAsia="lt-LT"/>
        </w:rPr>
        <w:t xml:space="preserve">Policijos departamentas prie Vidaus reikalų ministerijos siūlo pakeisti Neteisėtos apyvartos narkotinių ir psichotropinių medžiagų ir jų pirmtakų (prekursorių) sunaikinimo tvarkos aprašo 10 punktą tokia redakcija: „10. Naikinamos gamtinės (augalinės kilmės) medžiagos deginamos lauke, laikantis aplinkos apsaugos reikalavimų deginant sausą žolę, nendres, šiaudus bei laukininkystės ir daržininkystės atliekas, patvirtintų aplinkos ministro 1999 m. rugsėjo </w:t>
      </w:r>
      <w:r w:rsidRPr="00997EDF">
        <w:rPr>
          <w:rFonts w:eastAsia="TimesNewRomanPSMT"/>
          <w:lang w:eastAsia="lt-LT"/>
        </w:rPr>
        <w:t>1</w:t>
      </w:r>
      <w:r w:rsidRPr="00387E75">
        <w:rPr>
          <w:rFonts w:eastAsia="TimesNewRomanPSMT"/>
          <w:lang w:eastAsia="lt-LT"/>
        </w:rPr>
        <w:t xml:space="preserve"> d. įsakymu Nr. 269 </w:t>
      </w:r>
      <w:r w:rsidRPr="00997EDF">
        <w:rPr>
          <w:rFonts w:eastAsia="TimesNewRomanPSMT"/>
          <w:lang w:eastAsia="lt-LT"/>
        </w:rPr>
        <w:t>(Žin.,</w:t>
      </w:r>
      <w:r w:rsidRPr="00387E75">
        <w:rPr>
          <w:rFonts w:eastAsia="TimesNewRomanPSMT"/>
          <w:lang w:eastAsia="lt-LT"/>
        </w:rPr>
        <w:t xml:space="preserve"> 1999, Nr. 75-2284). Kitos medžiagos ir tara, kurioje jos buvo laikomos (maišai, dėžės, buteliai ir panašiai), naikinamos įmonėse, kurioms teisės aktų nustatyta tvarka suteikta teisė deginti atliekas. Komisijos sprendimu šiose įmonėse gali būti naikinamos ir gamtinės medžiagos.“</w:t>
      </w:r>
    </w:p>
    <w:p w:rsidR="004F7425" w:rsidRPr="00387E75" w:rsidRDefault="004F7425" w:rsidP="004F7425">
      <w:pPr>
        <w:ind w:firstLine="720"/>
        <w:jc w:val="both"/>
      </w:pPr>
      <w:r w:rsidRPr="00387E75">
        <w:rPr>
          <w:bCs/>
        </w:rPr>
        <w:t xml:space="preserve">Taip pat Komisija informavo Ministrą Pirmininką, kad Komisijos  2013 m. balandžio 10 d. posėdyje patvirtinta, kad jokie Lietuvos Respublikos Vyriausybės nustatyti </w:t>
      </w:r>
      <w:r w:rsidRPr="00387E75">
        <w:t>neteisėtos apyvartos narkotinių ir psichotropinių medžiagų ir jų pirmtakų (prekursorių) sunaikinimo darbai  nevyksta, nes tam tikslui įrengta speciali įmonė Šiauliuose dėl techninių kliūčių neveikia. Medžiagos ir tara guli sandėliuose. Dėl šių priežasčių Komisija 2013 m. balandžio 12 d. raštu Nr. S-2013-3438 kreipėsi į sveikatos apsaugos ministrą su p</w:t>
      </w:r>
      <w:r w:rsidRPr="00387E75">
        <w:rPr>
          <w:bCs/>
        </w:rPr>
        <w:t>rašymu skubiai padėti</w:t>
      </w:r>
      <w:r w:rsidRPr="00387E75">
        <w:t xml:space="preserve"> naikinimą organizuojančioms įstaigoms, </w:t>
      </w:r>
      <w:r w:rsidRPr="00387E75">
        <w:rPr>
          <w:bCs/>
        </w:rPr>
        <w:t xml:space="preserve">kurių sandėliuose saugomos  </w:t>
      </w:r>
      <w:r w:rsidRPr="00387E75">
        <w:t>paimtos  iš neteisėtos apyvartos narkotinės ir psichotropinės medžiagos ir jų pirmtakai (prekursoriai),</w:t>
      </w:r>
      <w:r w:rsidRPr="00387E75">
        <w:rPr>
          <w:bCs/>
        </w:rPr>
        <w:t xml:space="preserve"> surasti konkrečią įmonę, kurioje galima būtų atlikti medžiagų sunaikinimą. Komisija p</w:t>
      </w:r>
      <w:r w:rsidRPr="00387E75">
        <w:t>ritarė Policijos departamento prie Lietuvos Respublikos vidaus reikalų ministerijos parengtam Lietuvos Respublikos Vyriausybės nutarimo „Dėl Lietuvos Respublikos Vyriausybės 2010 m. rugpjūčio 25 d. nutarimo Nr. 1219 „Dėl Neteisėtos apyvartos narkotinių ir psichotropinių medžiagų ir jų pirmtakų (prekursorių) sunaikinimo tvarkos aprašo patvirtinimo“ pakeitimo“ projektui.</w:t>
      </w:r>
      <w:r w:rsidRPr="00387E75">
        <w:tab/>
      </w:r>
    </w:p>
    <w:p w:rsidR="004F7425" w:rsidRPr="00387E75" w:rsidRDefault="004F7425" w:rsidP="004F7425">
      <w:pPr>
        <w:ind w:firstLine="720"/>
        <w:jc w:val="both"/>
      </w:pPr>
    </w:p>
    <w:p w:rsidR="004F7425" w:rsidRPr="00387E75" w:rsidRDefault="004F7425" w:rsidP="004F7425">
      <w:pPr>
        <w:jc w:val="both"/>
      </w:pPr>
      <w:r w:rsidRPr="00387E75">
        <w:tab/>
      </w:r>
      <w:r w:rsidRPr="00387E75">
        <w:rPr>
          <w:b/>
        </w:rPr>
        <w:t>III.</w:t>
      </w:r>
      <w:r w:rsidRPr="00387E75">
        <w:t xml:space="preserve"> Dėl siūlymų sumažinti leistiną alkoholio koncentraciją kraujyje pradedantieisiems vairuotojams iki 0 promilių. </w:t>
      </w:r>
    </w:p>
    <w:p w:rsidR="004F7425" w:rsidRPr="00387E75" w:rsidRDefault="004F7425" w:rsidP="004F7425">
      <w:pPr>
        <w:jc w:val="both"/>
        <w:rPr>
          <w:bCs/>
        </w:rPr>
      </w:pPr>
    </w:p>
    <w:p w:rsidR="004F7425" w:rsidRPr="00387E75" w:rsidRDefault="004F7425" w:rsidP="004F7425">
      <w:pPr>
        <w:ind w:firstLine="720"/>
        <w:jc w:val="both"/>
      </w:pPr>
      <w:r w:rsidRPr="00387E75">
        <w:t xml:space="preserve">Komisija 2013 m. balandžio 17 d. posėdyje, nagrinėdama Alkoholio ir tabako kontrolės 2012–2014 metų programos (tarpinstitucinio veiklos plano) numatytų tikslų, uždavinių ir priemonių įgyvendinimo 2012 metais klausimus, nustatė, kad Susisiekimo ministerija siūlo sumažinti iki 0 promilių leistiną alkoholio koncentraciją kraujyje pradedantiesiems vairuotojams ir vairuotojams, vežantiems krovinius ar keleivius komerciniais tikslais. Taip pat siūloma Lietuvoje kelių transporto priemonėse naudoti automobiliams skirtus alkoholio matuoklius. </w:t>
      </w:r>
    </w:p>
    <w:p w:rsidR="004F7425" w:rsidRPr="00387E75" w:rsidRDefault="004F7425" w:rsidP="004F7425">
      <w:pPr>
        <w:jc w:val="both"/>
        <w:rPr>
          <w:bCs/>
        </w:rPr>
      </w:pPr>
      <w:r w:rsidRPr="00387E75">
        <w:tab/>
        <w:t xml:space="preserve">Todėl, Komisija </w:t>
      </w:r>
      <w:r w:rsidRPr="00387E75">
        <w:rPr>
          <w:bCs/>
        </w:rPr>
        <w:t xml:space="preserve">2013 m. gegužės 7 d. raštu Nr. S-2013-4302 kreipėsi į Susisiekimo ministeriją su prašymu pateikti šiais klausimais  išsamesnę informaciją ir konkrečius pasiūlymus. </w:t>
      </w:r>
    </w:p>
    <w:p w:rsidR="004F7425" w:rsidRPr="00387E75" w:rsidRDefault="004F7425" w:rsidP="004F7425">
      <w:pPr>
        <w:autoSpaceDE w:val="0"/>
        <w:autoSpaceDN w:val="0"/>
        <w:adjustRightInd w:val="0"/>
        <w:jc w:val="both"/>
        <w:rPr>
          <w:rFonts w:eastAsia="TimesNewRomanPSMT"/>
        </w:rPr>
      </w:pPr>
      <w:r w:rsidRPr="00387E75">
        <w:rPr>
          <w:rFonts w:ascii="TimesNewRomanPSMT" w:eastAsia="TimesNewRomanPSMT" w:cs="TimesNewRomanPSMT"/>
        </w:rPr>
        <w:tab/>
      </w:r>
      <w:r w:rsidRPr="00387E75">
        <w:rPr>
          <w:rFonts w:eastAsia="TimesNewRomanPSMT"/>
        </w:rPr>
        <w:t xml:space="preserve">Susisiekimo ministerija 2013 m. gegužės 29 d. raštu Nr. 2-2441(102) „Dėl siūlymų“  atsakė, kad, siekdama įgyvendinti Alkoholio ir tabako kontrolės 2012–2014 metų programos (tarpinstitucinio veiklos plano), patvirtintos Lietuvos Respublikos Vyriausybės 2011 m. rugsėjo 14 d. nutarimu Nr. 1080 (Žin., </w:t>
      </w:r>
      <w:r w:rsidRPr="003E217E">
        <w:rPr>
          <w:rFonts w:eastAsia="TimesNewRomanPSMT"/>
        </w:rPr>
        <w:t>20</w:t>
      </w:r>
      <w:r>
        <w:rPr>
          <w:rFonts w:eastAsia="TimesNewRomanPSMT"/>
        </w:rPr>
        <w:t>11</w:t>
      </w:r>
      <w:r w:rsidRPr="00387E75">
        <w:rPr>
          <w:rFonts w:eastAsia="TimesNewRomanPSMT"/>
        </w:rPr>
        <w:t xml:space="preserve">, Nr. 115-5415) (toliau – Programos), 1 priede  „Alkoholio ir tabako kontrolės 2012–2014 metą programos (tarpinstitucinio veiklos plano) tikslai, uždaviniai, priemonės ir asignavimai“ 4 uždaviniui (mažinti alkoholio vartojimo pasekmių saugiam eismui keliuose) įgyvendinti numatytas 4.1–4.3 priemones, atliko 2006–2011 m. įskaitinių eismo įvykių, kuriuos sukėlė neblaivūs eismo dalyviai, analizę, peržiūrėjo saugų eismą keliuose reglamentuojančius teisės aktus, įvertino Lietuvos Respublikos administracinių teisės pažeidimų kodekse (Žin., 1985, Nr. 1-1) (toliau – ATPK) numatytą atsakomybę neblaiviems vairuotojams ir būtinybę keisti numatytas nuobaudas, išnagrinėjo kitų Europos valstybių patirtį kovoje su vairuotojais, kurie vairuoja apsvaigę nuo alkoholio, ir galimybes Lietuvoje kelių transporto priemonėse naudoti alkoholio matuoklius. </w:t>
      </w:r>
    </w:p>
    <w:p w:rsidR="004F7425" w:rsidRPr="00387E75" w:rsidRDefault="004F7425" w:rsidP="004F7425">
      <w:pPr>
        <w:autoSpaceDE w:val="0"/>
        <w:autoSpaceDN w:val="0"/>
        <w:adjustRightInd w:val="0"/>
        <w:ind w:firstLine="720"/>
        <w:jc w:val="both"/>
        <w:rPr>
          <w:rFonts w:eastAsia="TimesNewRomanPSMT"/>
        </w:rPr>
      </w:pPr>
      <w:r w:rsidRPr="00387E75">
        <w:rPr>
          <w:rFonts w:eastAsia="TimesNewRomanPSMT"/>
        </w:rPr>
        <w:t xml:space="preserve">Svarstydama galimybę nustatyti mažesnę arba 0 promilių leistiną alkoholio koncentraciją kraujyje pradedantiesiems vairuotojams ir transporto priemonių, kurių maksimali leidžiama masė didesnė negu 3,5 t arba turinčių daugiau kaip 9 sėdimas vietas, vairuotojams, Susisiekimo ministerija atkreipė dėmesį į tai, kad Lietuvoje numatytas reglamentavimas – maksimali leistina alkoholio kiekio kraujyje riba vairuotojams 0,4 promilės, o pradedantiesiems ir komercinio transporto vairuotojams 0,2 promilės atitinka 2001 m. sausio 17 d. Europos Komisijos rekomendacijos 2001/115/EB nuostatas (atitinkamai ne daugiau kaip 0,5 ir 0,2 promilės). </w:t>
      </w:r>
    </w:p>
    <w:p w:rsidR="004F7425" w:rsidRPr="00387E75" w:rsidRDefault="004F7425" w:rsidP="004F7425">
      <w:pPr>
        <w:autoSpaceDE w:val="0"/>
        <w:autoSpaceDN w:val="0"/>
        <w:adjustRightInd w:val="0"/>
        <w:ind w:firstLine="720"/>
        <w:jc w:val="both"/>
        <w:rPr>
          <w:rFonts w:eastAsia="TimesNewRomanPSMT"/>
        </w:rPr>
      </w:pPr>
      <w:r w:rsidRPr="00387E75">
        <w:rPr>
          <w:rFonts w:eastAsia="TimesNewRomanPSMT"/>
        </w:rPr>
        <w:lastRenderedPageBreak/>
        <w:t xml:space="preserve"> Susisiekimo ministerija nurodė, kad Europos Parlamentas paprašė Europos Komisijos (toliau – EK) peržiūrėti minėtos rekomendacijos nuostatas ir apsvarstyti galimybę sumažinti alkoholio kiekį kraujyje pradedantiesiems ir profesionaliems vairuotojams nuo 0,2 iki 0 promilių.</w:t>
      </w:r>
    </w:p>
    <w:p w:rsidR="004F7425" w:rsidRPr="00387E75" w:rsidRDefault="004F7425" w:rsidP="004F7425">
      <w:pPr>
        <w:autoSpaceDE w:val="0"/>
        <w:autoSpaceDN w:val="0"/>
        <w:adjustRightInd w:val="0"/>
        <w:ind w:firstLine="720"/>
        <w:jc w:val="both"/>
        <w:rPr>
          <w:rFonts w:eastAsia="TimesNewRomanPSMT"/>
        </w:rPr>
      </w:pPr>
      <w:r w:rsidRPr="00387E75">
        <w:rPr>
          <w:rFonts w:eastAsia="TimesNewRomanPSMT"/>
        </w:rPr>
        <w:t>Kai kurios Europos Sąjungos (toliau – ES) valstybės (Austrija, Vokietija, Italija, Liuksemburgas, Slovėnija) tam tikroms eismo dalyvių grupėms (nepatyrusiems vairuotojams, komercinio transporto, didelių gabaritų transporto priemonių ar vežančių pavojinguosius krovinius vairuotojams) yra numačiusios mažesnį nei siūloma rekomendacijoje maksimalią alkoholio ribą – 0 arba 0,1 promilės.</w:t>
      </w:r>
    </w:p>
    <w:p w:rsidR="004F7425" w:rsidRPr="00387E75" w:rsidRDefault="004F7425" w:rsidP="004F7425">
      <w:pPr>
        <w:autoSpaceDE w:val="0"/>
        <w:autoSpaceDN w:val="0"/>
        <w:adjustRightInd w:val="0"/>
        <w:ind w:firstLine="720"/>
        <w:jc w:val="both"/>
        <w:rPr>
          <w:rFonts w:eastAsia="TimesNewRomanPSMT"/>
        </w:rPr>
      </w:pPr>
      <w:r w:rsidRPr="00387E75">
        <w:rPr>
          <w:rFonts w:eastAsia="TimesNewRomanPSMT"/>
        </w:rPr>
        <w:t>Vadovaudamasi kitų ES valstybių pavyzdžiu, Susisiekimo ministerija mano, kad tikslinga diskutuoti ir svarstyti galimybes parengti alkoholio matuoklių naudojimo ir reabilitacijos (perauklėjimo) programą nuolatiniams pažeidėjams. Nuolatiniams pažeidėjams vairuotojo pažymėjimas, atimtas už vairavimą išgėrus, turėtų būti grąžinamas tik sėkmingai užbaigus reabilitacinę  programą.</w:t>
      </w:r>
    </w:p>
    <w:p w:rsidR="004F7425" w:rsidRPr="00387E75" w:rsidRDefault="004F7425" w:rsidP="004F7425">
      <w:pPr>
        <w:ind w:firstLine="720"/>
        <w:jc w:val="both"/>
        <w:rPr>
          <w:bCs/>
        </w:rPr>
      </w:pPr>
      <w:r w:rsidRPr="00387E75">
        <w:t>Komisija</w:t>
      </w:r>
      <w:r w:rsidRPr="00387E75">
        <w:rPr>
          <w:bCs/>
        </w:rPr>
        <w:t xml:space="preserve"> 2013 m. birželio 20 d. raštu Nr. S-2013-5766 „Dėl siūlymų sumažinti leistiną alkoholio koncentraciją kraujyje pradedantiesiems vairuotojams iki 0 promilių“ kreipėsi į Ministrą Pirmininką Algirdą Butkevičių su siūlymu nustatyti 0 promilių  leistiną alkoholio koncentraciją kraujyje pradedantiesiems vairuotojams ir atsižvelgti į Susisiekimo ministerijos rekomendacijas, kad tuo atveju, jeigu į eismo įvykio vietą kviečiama policija, turėtų būti tikrinamas visų vairuotojų, kurie yra galimai susiję su eismo įvykiu, blaivumas.    </w:t>
      </w:r>
    </w:p>
    <w:p w:rsidR="004F7425" w:rsidRPr="00387E75" w:rsidRDefault="004F7425" w:rsidP="004F7425">
      <w:pPr>
        <w:ind w:firstLine="720"/>
        <w:jc w:val="both"/>
      </w:pPr>
      <w:r w:rsidRPr="00387E75">
        <w:rPr>
          <w:bCs/>
        </w:rPr>
        <w:t xml:space="preserve">Komisija pažymėjo, kad </w:t>
      </w:r>
      <w:r w:rsidRPr="00387E75">
        <w:t xml:space="preserve">dabartiniu metu Lietuvoje </w:t>
      </w:r>
      <w:r w:rsidRPr="00387E75">
        <w:rPr>
          <w:lang w:eastAsia="lt-LT"/>
        </w:rPr>
        <w:t xml:space="preserve">transporto priemonių vairavimas, esant vairuotojams neblaiviems, </w:t>
      </w:r>
      <w:r w:rsidRPr="00387E75">
        <w:t xml:space="preserve">užtraukia baudą vairuotojams, kai  </w:t>
      </w:r>
      <w:r w:rsidRPr="00387E75">
        <w:rPr>
          <w:lang w:eastAsia="lt-LT"/>
        </w:rPr>
        <w:t>nustatomas lengvas neblaivumo (girtumo) laipsnis nuo 0,41 promilės iki 1,5 promilės.</w:t>
      </w:r>
      <w:r w:rsidRPr="00387E75">
        <w:t xml:space="preserve"> Pradedantieji vairuotojai, taip pat transporto priemonių, kurių didžiausioji leidžiamoji masė didesnė kaip 3,5 t arba turinčių daugiau kaip 9 sėdimas vietas, taksi automobilių ir motociklų vairuotojai laikomi neblaiviais, kai alkoholio koncentracija</w:t>
      </w:r>
      <w:r w:rsidRPr="00387E75">
        <w:rPr>
          <w:color w:val="000000"/>
        </w:rPr>
        <w:t xml:space="preserve"> jų iškvėptame ore, kraujyje, šlapime, seilėse ar kituose organizmo skysčiuose</w:t>
      </w:r>
      <w:r w:rsidRPr="00387E75">
        <w:t xml:space="preserve"> yra 0,2 promilės. Toks reglamentavimas atitinka 2001 m. sausio 17 d. Europos Komisijos rekomendacijos 2001/115/EB nuostatas, kuriose nustatyta atitinkamai ne daugiau kaip 0,5 ir 0,2 promilės.</w:t>
      </w:r>
    </w:p>
    <w:p w:rsidR="004F7425" w:rsidRPr="00387E75" w:rsidRDefault="004F7425" w:rsidP="004F7425">
      <w:pPr>
        <w:ind w:firstLine="720"/>
        <w:jc w:val="both"/>
      </w:pPr>
      <w:r w:rsidRPr="00387E75">
        <w:t xml:space="preserve">Europos Sąjungos valstybės – Austrija, Vokietija, Italija, Liuksemburgas ir Slovėnija nepatyrusiems vairuotojams, komercinio transporto, didelių gabaritų transporto priemonių ir vežančių pavojinguosius krovinius vairuotojams yra numačiusios mažesnę ribą – 0 arba 0,1 promilės. Kroatijoje, Čekijoje, Rumunijoje, Vengrijoje ir Slovakijoje 0 promilių riba nustatyta visiems vairuotojams. </w:t>
      </w:r>
      <w:r w:rsidRPr="00387E75">
        <w:rPr>
          <w:lang w:eastAsia="lt-LT"/>
        </w:rPr>
        <w:t xml:space="preserve">Estija, Lenkija, Švedija ir Norvegija </w:t>
      </w:r>
      <w:r w:rsidRPr="00387E75">
        <w:t xml:space="preserve">yra numačiusios alkoholio kiekio kraujyje 0,2 promilės ribą ir nepatyrusiems vairuotojams, ir  transporto vairuotojams, vežantiems keleivius ir krovinius komerciniais tikslais. </w:t>
      </w:r>
    </w:p>
    <w:p w:rsidR="004F7425" w:rsidRPr="00387E75" w:rsidRDefault="004F7425" w:rsidP="004F7425">
      <w:pPr>
        <w:ind w:firstLine="720"/>
        <w:jc w:val="both"/>
      </w:pPr>
      <w:r w:rsidRPr="00387E75">
        <w:t>2</w:t>
      </w:r>
      <w:r w:rsidRPr="00387E75">
        <w:rPr>
          <w:lang w:eastAsia="lt-LT"/>
        </w:rPr>
        <w:t xml:space="preserve">011 m. rugsėjo mėn. Europos Parlamentas patvirtino ataskaitą dėl 2011–2020 m. Europos kelių eismo saugos ir paprašė Europos Komisijos suderinti Europos Sąjungos valstybių  mastu leistiną alkoholio kiekį kraujyje,  nustatant  0,00 g/l ribą pradedantiesiems ir profesionaliems vairuotojams,  įrengti alkoholio matuoklius visose naujose komercinėse keleivių ir krovinių vežimo transporto priemonėse  ir  numatyti privalomą alkoholio matuoklių naudojimą vairuotojams, kurie yra padarę daugiau nei vieną pažeidimą, susijusį su alkoholio vartojimu prie vairo.  Europos Parlamentas siūlo keisti </w:t>
      </w:r>
      <w:r w:rsidRPr="00387E75">
        <w:t>2001 m. sausio 17 d. Europos Komisijos rekomendaciją 2001/115/EB ir sumažinti alkoholio kiekį kraujyje nepatyrusiems vairuotojams ir profesionaliems vairuotojams nuo 0,2 g/l iki 0.</w:t>
      </w:r>
    </w:p>
    <w:p w:rsidR="004F7425" w:rsidRPr="00387E75" w:rsidRDefault="004F7425" w:rsidP="004F7425">
      <w:pPr>
        <w:ind w:firstLine="720"/>
        <w:jc w:val="both"/>
        <w:rPr>
          <w:rFonts w:ascii="TimesLT" w:hAnsi="TimesLT"/>
        </w:rPr>
      </w:pPr>
      <w:r w:rsidRPr="00387E75">
        <w:rPr>
          <w:rFonts w:ascii="TimesLT" w:hAnsi="TimesLT"/>
        </w:rPr>
        <w:t xml:space="preserve">Tame pačiame rašte Komisija nurodė, kad, išanalizavus Lietuvos Respublikos susisiekimo ministerijos 2013 m. vasario 4 d. raštu Nr. 2-492(262) pateiktą Sveikatos apsaugos ministerijai informaciją apie alkoholio ir tabako kontrolės 2012–2014 metų programos (tarpinstitucinio veiklos plano) priemonių įgyvendinimą ir atliktos analizės išvadas, matyti, kad 2008–2011 m. Lietuvoje buvo pasiektas didelis avaringumo rodiklių pagerėjimas: sumažėjo įskaitinių eismo įvykių ir juose žuvusių ir sužeistų eismo dalyvių, sumažėjo eismo įvykiuose nukentėjusių vaikų, sumažėjo eismo įvykių, kuriuos sukelia neblaivūs eismo dalyviai. Per dešimt metų eismo įvykiuose žuvusiųjų skaičius sumažėjo 57,5 proc. ir Lietuva per tuos metus per pusę sumažino žuvusiųjų skaičių eismo įvykiuose. Avaringumo mažėjimą lėmė nuoseklus tarpinstitucinis bendradarbiavimas keičiant eismo dalyvių elgesį ir kultūrą keliuose, ugdant vairuotojų atsakomybę ir sąmoningumą, tobulinant kelių infrastruktūrą, griežtinant eismo dalyvių kontrolę ir kt. </w:t>
      </w:r>
    </w:p>
    <w:p w:rsidR="004F7425" w:rsidRPr="00387E75" w:rsidRDefault="004F7425" w:rsidP="004F7425">
      <w:pPr>
        <w:ind w:firstLine="720"/>
        <w:jc w:val="both"/>
        <w:rPr>
          <w:rFonts w:ascii="TimesLT" w:hAnsi="TimesLT"/>
        </w:rPr>
      </w:pPr>
      <w:r w:rsidRPr="00387E75">
        <w:rPr>
          <w:rFonts w:ascii="TimesLT" w:hAnsi="TimesLT"/>
        </w:rPr>
        <w:t xml:space="preserve">Tačiau pastaraisiais metais situacija keliuose kinta ir avaringumas keliuose išaugo. Nuo 2010 m.  išaugo skaičius įskaitinių eismo įvykių, kuriuos sukėlė neblaivūs eismo dalyviai, ir išaugo </w:t>
      </w:r>
      <w:r w:rsidRPr="00387E75">
        <w:rPr>
          <w:rFonts w:ascii="TimesLT" w:hAnsi="TimesLT"/>
        </w:rPr>
        <w:lastRenderedPageBreak/>
        <w:t xml:space="preserve">žuvusiųjų dėl neblaivių pėsčiųjų ir dėl neblaivių nemotorinių transporto priemonių  (dviračių, vežimų, žemės ūkio technikos) vairuotojų skaičius. </w:t>
      </w:r>
    </w:p>
    <w:p w:rsidR="004F7425" w:rsidRPr="00387E75" w:rsidRDefault="004F7425" w:rsidP="004F7425">
      <w:pPr>
        <w:ind w:firstLine="720"/>
        <w:jc w:val="both"/>
        <w:rPr>
          <w:rFonts w:ascii="TimesLT" w:eastAsia="Arial Unicode MS" w:hAnsi="TimesLT" w:cs="Arial Unicode MS"/>
        </w:rPr>
      </w:pPr>
      <w:r w:rsidRPr="00387E75">
        <w:rPr>
          <w:rFonts w:ascii="TimesLT" w:eastAsia="Arial Unicode MS" w:hAnsi="TimesLT" w:cs="Arial Unicode MS"/>
        </w:rPr>
        <w:t xml:space="preserve">2011 m. tarp motorinių transporto priemonių daugiausia įskaitinių eismo įvykių sukėlė neblaivūs automobilių vairuotojai (270), neturintys teisės vairuoti neblaivūs vairuotojai (106), motociklų, keturračių motociklų (19) ir mopedų vairuotojai (14). </w:t>
      </w:r>
    </w:p>
    <w:p w:rsidR="004F7425" w:rsidRPr="00387E75" w:rsidRDefault="004F7425" w:rsidP="004F7425">
      <w:pPr>
        <w:ind w:firstLine="720"/>
        <w:jc w:val="both"/>
        <w:rPr>
          <w:rFonts w:ascii="TimesLT" w:eastAsia="Arial Unicode MS" w:hAnsi="TimesLT" w:cs="Arial Unicode MS"/>
        </w:rPr>
      </w:pPr>
      <w:r w:rsidRPr="00387E75">
        <w:rPr>
          <w:rFonts w:ascii="TimesLT" w:eastAsia="Arial Unicode MS" w:hAnsi="TimesLT" w:cs="Arial Unicode MS"/>
        </w:rPr>
        <w:t xml:space="preserve">Daugiausiai eismo įvykių sukelia 18–24 metų ir 25–34 metų amžiaus neblaivūs transporto priemonių vairuotojai.  </w:t>
      </w:r>
    </w:p>
    <w:p w:rsidR="004F7425" w:rsidRPr="00387E75" w:rsidRDefault="004F7425" w:rsidP="004F7425">
      <w:pPr>
        <w:ind w:firstLine="720"/>
        <w:jc w:val="both"/>
        <w:rPr>
          <w:rFonts w:ascii="TimesLT" w:eastAsia="Arial Unicode MS" w:hAnsi="TimesLT" w:cs="Arial Unicode MS"/>
        </w:rPr>
      </w:pPr>
      <w:r w:rsidRPr="00387E75">
        <w:rPr>
          <w:rFonts w:ascii="TimesLT" w:eastAsia="Arial Unicode MS" w:hAnsi="TimesLT" w:cs="Arial Unicode MS"/>
        </w:rPr>
        <w:t xml:space="preserve">2012 m. šalyje užregistruoti 1747557 lengvieji automobiliai, 179 093 krovininiai automobiliai, 44 915 motociklai, 19 552 mopedai, 14 502 autobusai. </w:t>
      </w:r>
    </w:p>
    <w:p w:rsidR="004F7425" w:rsidRPr="00387E75" w:rsidRDefault="004F7425" w:rsidP="004F7425">
      <w:pPr>
        <w:ind w:firstLine="720"/>
        <w:jc w:val="both"/>
        <w:rPr>
          <w:rFonts w:ascii="TimesLT" w:hAnsi="TimesLT"/>
        </w:rPr>
      </w:pPr>
      <w:r w:rsidRPr="00387E75">
        <w:rPr>
          <w:rFonts w:ascii="TimesLT" w:hAnsi="TimesLT"/>
        </w:rPr>
        <w:t>2007 m. Pasaulinės sveikatos organizacijos atliktos studijos „Vairavimas neblaiviam – kelių saugumo vadovas, skirtas sprendimų priėmėjams ir specialistams“ komentaruose nurodoma, kad didelė nelaimingų atsitikimų kilimo rizika nuo alkoholio apsvaigusiems vairuotojams paaiškinama tuo, kad alkoholis neigiamai veikia gebėjimą įvertinti situaciją ir priimti tinkamus sprendimus. Vairuotojo veiksmai tampa kur kas rizikingesni.</w:t>
      </w:r>
    </w:p>
    <w:p w:rsidR="004F7425" w:rsidRPr="00387E75" w:rsidRDefault="004F7425" w:rsidP="004F7425">
      <w:pPr>
        <w:ind w:firstLine="720"/>
        <w:jc w:val="both"/>
        <w:rPr>
          <w:rFonts w:ascii="TimesLT" w:hAnsi="TimesLT"/>
        </w:rPr>
      </w:pPr>
      <w:r w:rsidRPr="00387E75">
        <w:rPr>
          <w:rFonts w:ascii="TimesLT" w:hAnsi="TimesLT"/>
        </w:rPr>
        <w:t xml:space="preserve"> Didžiausią rizikos grupę sudaro jauni, nepatyrę ir neblaivūs vairuotojai. Vairuotojams, kurių amžius 18–24 metų ir kurių kraujyje yra daugiau nei 0,5 promilės alkoholio kiekio, rizika žūti  yra 900 kartų didesnė nei tos pačios amžiaus grupės vairuotojams, kurių kraujyje alkoholio kiekio yra mažiau nei 0,5 promilės. </w:t>
      </w:r>
    </w:p>
    <w:p w:rsidR="004F7425" w:rsidRPr="00387E75" w:rsidRDefault="004F7425" w:rsidP="004F7425">
      <w:pPr>
        <w:jc w:val="both"/>
        <w:rPr>
          <w:rFonts w:ascii="TimesLT" w:eastAsia="Arial Unicode MS" w:hAnsi="TimesLT" w:cs="Arial Unicode MS"/>
        </w:rPr>
      </w:pPr>
      <w:r w:rsidRPr="00387E75">
        <w:rPr>
          <w:bCs/>
        </w:rPr>
        <w:tab/>
        <w:t>Todėl Komisija,  2013 m. balandžio 17 d.</w:t>
      </w:r>
      <w:r w:rsidRPr="00387E75">
        <w:rPr>
          <w:b/>
          <w:bCs/>
        </w:rPr>
        <w:t xml:space="preserve"> </w:t>
      </w:r>
      <w:r w:rsidRPr="00387E75">
        <w:rPr>
          <w:bCs/>
        </w:rPr>
        <w:t xml:space="preserve">posėdyje </w:t>
      </w:r>
      <w:r w:rsidRPr="00574EA9">
        <w:rPr>
          <w:bCs/>
        </w:rPr>
        <w:t>išnagrinėjusi</w:t>
      </w:r>
      <w:r w:rsidRPr="00387E75">
        <w:rPr>
          <w:bCs/>
        </w:rPr>
        <w:t xml:space="preserve"> </w:t>
      </w:r>
      <w:r w:rsidRPr="00387E75">
        <w:t xml:space="preserve">Alkoholio ir tabako kontrolės 2012–2014 metų programoje (tarpinstituciniame veiklos plane) numatytų tikslų, uždavinių ir priemonių įgyvendinimo 2012 metais klausimus ir </w:t>
      </w:r>
      <w:r w:rsidRPr="00574EA9">
        <w:t>Alkoholio ir tabako kontrolės 2012–2014 metų programos (tarpinstitucinio veiklos plano) 2012 metų rezultatų, produktų vertinimo kriterijų ir jų reikšmės klausimus, pasiūlė atsižvelgti į Susisiekimo ministerijos rekomendacijas.</w:t>
      </w:r>
    </w:p>
    <w:p w:rsidR="004F7425" w:rsidRPr="00387E75" w:rsidRDefault="004F7425" w:rsidP="004F7425">
      <w:pPr>
        <w:autoSpaceDE w:val="0"/>
        <w:autoSpaceDN w:val="0"/>
        <w:adjustRightInd w:val="0"/>
        <w:ind w:firstLine="720"/>
        <w:jc w:val="both"/>
        <w:rPr>
          <w:rFonts w:eastAsia="Arial Unicode MS"/>
        </w:rPr>
      </w:pPr>
      <w:r w:rsidRPr="00387E75">
        <w:rPr>
          <w:rFonts w:eastAsia="Arial Unicode MS"/>
        </w:rPr>
        <w:t xml:space="preserve">Ministrui Pirmininkui pavedus, </w:t>
      </w:r>
      <w:r w:rsidRPr="00387E75">
        <w:rPr>
          <w:rFonts w:eastAsia="TimesNewRomanPSMT"/>
          <w:lang w:eastAsia="lt-LT"/>
        </w:rPr>
        <w:t>Lietuvos Respublikos Vyriausybės kanclerio</w:t>
      </w:r>
      <w:r w:rsidRPr="00387E75">
        <w:rPr>
          <w:rFonts w:eastAsia="Arial Unicode MS"/>
        </w:rPr>
        <w:t xml:space="preserve"> 2013 m. birželio 26 d. rezoliucija Nr.17- 2654  Susisiekimo ministerija, Vidaus reikalų ministerija ir Sveikatos apsaugos ministerija įpareigotos išnagrinėti Komisijos pasiūlymą ir informuoti Komisiją apie numatomus priimti sprendimus.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Arial Unicode MS"/>
        </w:rPr>
        <w:t>Vidaus reikalų ministerija 2013 m. liepos 11 d raštu Nr. 1D-6611(12</w:t>
      </w:r>
      <w:r w:rsidRPr="00574EA9">
        <w:rPr>
          <w:rFonts w:eastAsia="Arial Unicode MS"/>
        </w:rPr>
        <w:t>) Susisiekimo ministerijai atsakė, kad</w:t>
      </w:r>
      <w:r w:rsidRPr="00387E75">
        <w:rPr>
          <w:rFonts w:eastAsia="Arial Unicode MS"/>
        </w:rPr>
        <w:t xml:space="preserve"> </w:t>
      </w:r>
      <w:r w:rsidRPr="00387E75">
        <w:rPr>
          <w:rFonts w:eastAsia="TimesNewRomanPSMT"/>
          <w:lang w:eastAsia="lt-LT"/>
        </w:rPr>
        <w:t>išnagrinėjo Lietuvos Respublikos Seimo Narkomanijos ir alkoholizmo prevencijos komisijos 2013 m. birželio 20 d. raštu Nr. S-2013-5766 „Dėl siūlymų sumažinti leistiną alkoholio koncentraciją kraujyje pradedantiesiems vairuotojams iki 0 promilių“ pateiktus siūlymus ir informuoja, kad dar 2011 m. lapkričio mėn. Lietuvos Respublikos Seimo Teisės ir teisėtvarkos komitetui pateikė pasiūlymą Saugaus eismo automobilių keliais įstatymo 2, 6, 7, 9, 10, 11, 12, 13, 14, 16, 17, 18, 19, 21, 22, 23, 24, 25, 26, 27, 28, 29, 33 straipsnių pakeitimo ir papildymo 6</w:t>
      </w:r>
      <w:r w:rsidRPr="00387E75">
        <w:rPr>
          <w:rFonts w:eastAsia="TimesNewRomanPSMT"/>
          <w:vertAlign w:val="superscript"/>
          <w:lang w:eastAsia="lt-LT"/>
        </w:rPr>
        <w:t>1</w:t>
      </w:r>
      <w:r w:rsidRPr="00387E75">
        <w:rPr>
          <w:rFonts w:eastAsia="TimesNewRomanPSMT"/>
          <w:lang w:eastAsia="lt-LT"/>
        </w:rPr>
        <w:t>ir 27</w:t>
      </w:r>
      <w:r w:rsidRPr="00387E75">
        <w:rPr>
          <w:rFonts w:eastAsia="TimesNewRomanPSMT"/>
          <w:vertAlign w:val="superscript"/>
          <w:lang w:eastAsia="lt-LT"/>
        </w:rPr>
        <w:t>1</w:t>
      </w:r>
      <w:r w:rsidRPr="00387E75">
        <w:rPr>
          <w:rFonts w:eastAsia="TimesNewRomanPSMT"/>
          <w:lang w:eastAsia="lt-LT"/>
        </w:rPr>
        <w:t>straipsniais ir Įstatymo priedo papildymo įstatymo projekto (toliau – projektas) 2 straipsnį papildyti šia nauja sąvoka:</w:t>
      </w:r>
    </w:p>
    <w:p w:rsidR="004F7425" w:rsidRPr="00387E75" w:rsidRDefault="004F7425" w:rsidP="004F7425">
      <w:pPr>
        <w:autoSpaceDE w:val="0"/>
        <w:autoSpaceDN w:val="0"/>
        <w:adjustRightInd w:val="0"/>
        <w:ind w:firstLine="720"/>
        <w:jc w:val="both"/>
        <w:rPr>
          <w:rFonts w:eastAsia="TimesNewRomanPSMT"/>
          <w:bCs/>
          <w:lang w:eastAsia="lt-LT"/>
        </w:rPr>
      </w:pPr>
      <w:r w:rsidRPr="00387E75">
        <w:rPr>
          <w:rFonts w:eastAsia="TimesNewRomanPSMT"/>
          <w:bCs/>
          <w:lang w:eastAsia="lt-LT"/>
        </w:rPr>
        <w:t xml:space="preserve">„Neblaivumas (girtumas) – asmens, apsvaigusio nuo alkoholio, būsena, kai alkoholio koncentracija biologinėse organizmo terpėse – iškvėptame ore, kraujyje, šlapime, seilėse ar kituose organizmo skysčiuose viršija įstatymuose nustatytą maksimalią leistiną normą. Asmenų, vairuojančių transporto priemones, iškvėptame ore, kraujyje, šlapime, seilėse ar kituose organizmo skysčiuose leidžiama maksimali etilo alkoholio koncentracija vairavimo metu yra 0,4 promilės. Vairuotojai, kurių vairavimo stažas iki dvejų metų, transporto priemonių, kurių maksimali leidžiama masė didesnė negu 3,5 </w:t>
      </w:r>
      <w:r w:rsidRPr="00387E75">
        <w:rPr>
          <w:rFonts w:eastAsia="TimesNewRomanPSMT"/>
          <w:iCs/>
          <w:lang w:eastAsia="lt-LT"/>
        </w:rPr>
        <w:t>t</w:t>
      </w:r>
      <w:r w:rsidRPr="00387E75">
        <w:rPr>
          <w:rFonts w:eastAsia="TimesNewRomanPSMT"/>
          <w:i/>
          <w:iCs/>
          <w:lang w:eastAsia="lt-LT"/>
        </w:rPr>
        <w:t xml:space="preserve"> </w:t>
      </w:r>
      <w:r w:rsidRPr="00387E75">
        <w:rPr>
          <w:rFonts w:eastAsia="TimesNewRomanPSMT"/>
          <w:bCs/>
          <w:lang w:eastAsia="lt-LT"/>
        </w:rPr>
        <w:t xml:space="preserve">arba turinčių daugiau kaip 9 sėdimas vietas, taksi automobilių ir motociklų vairuotojai laikomi neblaivūs, kai alkoholio koncentracija iškvėptame ore, kraujyje, šlapime, seilėse ar kituose organizmo skysčiuose yra </w:t>
      </w:r>
      <w:r w:rsidRPr="009C5184">
        <w:rPr>
          <w:rFonts w:eastAsia="TimesNewRomanPSMT"/>
          <w:lang w:eastAsia="lt-LT"/>
        </w:rPr>
        <w:t>0,01</w:t>
      </w:r>
      <w:r w:rsidRPr="00387E75">
        <w:rPr>
          <w:rFonts w:eastAsia="TimesNewRomanPSMT"/>
          <w:lang w:eastAsia="lt-LT"/>
        </w:rPr>
        <w:t xml:space="preserve"> </w:t>
      </w:r>
      <w:r w:rsidRPr="00387E75">
        <w:rPr>
          <w:rFonts w:eastAsia="TimesNewRomanPSMT"/>
          <w:bCs/>
          <w:lang w:eastAsia="lt-LT"/>
        </w:rPr>
        <w:t>promilės.“</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Todėl, atsižvelgusi </w:t>
      </w:r>
      <w:r w:rsidRPr="00387E75">
        <w:rPr>
          <w:rFonts w:eastAsia="TimesNewRomanPSMT"/>
          <w:iCs/>
          <w:lang w:eastAsia="lt-LT"/>
        </w:rPr>
        <w:t xml:space="preserve">į </w:t>
      </w:r>
      <w:r w:rsidRPr="00387E75">
        <w:rPr>
          <w:rFonts w:eastAsia="TimesNewRomanPSMT"/>
          <w:lang w:eastAsia="lt-LT"/>
        </w:rPr>
        <w:t>tai, kas išdėstyta, Vidaus reikalų ministerija pritaria pasiūlymams, kad pradedantiesiems vairuotojams būtų nustatyta 0 promilių leistina alkoholio koncentracija kraujyje ir kad tuo atveju, jeigu į eismo įvykio vietą yra kviečiama policija, turėtų būti tikrinamas visų vairuotojų, kurie galbūt susiję su eismo įvykiu, blaivumas.</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Sveikatos apsaugos ministerija 2013 m. liepos 18 d raštu Nr. (1.120-22)10-6011 atsakė, kad iš esmės šiam siūlymui pritartų, tačiau, atkreipia dėmesį į tai, kad bet kokie maisto produktai (saldainiai su alkoholio turinčiu įdaru), gėrimai (gira su nedidele alkoholio koncentracija) ar vaistai (vairios vaistažolių tinktūros, širdies lašai), savo sudėtyje turintys etilo alkoholio, gali daryti įtaką alkoholio koncentracijai kraujyje ir lemti tam tikros alkoholio koncentracijos nustatymą iškvepiamame ore. Ji siūlė atsižvelgti į tai, kad net ir nedidelis suvartotas kiekis alkoholio (vienas saldainis su alkoholio turinčiu įdaru,  pagal gydytojo rekomendacijas vartojama vaistažolių tinktūra) ar jo buvimas burnoje </w:t>
      </w:r>
      <w:r w:rsidRPr="00387E75">
        <w:rPr>
          <w:rFonts w:eastAsia="TimesNewRomanPSMT"/>
          <w:lang w:eastAsia="lt-LT"/>
        </w:rPr>
        <w:lastRenderedPageBreak/>
        <w:t xml:space="preserve">(burnos skalavimo skystis, turintis alkoholio), kas suaugusiam žmogui neturės įtakos alkoholio koncentracijos pokyčiams kraujyje bei jo blaivumui, gali sukelti trumpalaikį alkoholio koncentracijos padidėjimą iškvepiamame ore. Tokiu atveju turėtų būti naudojami alkotesteriai, atskiriantys „burnos alkoholį“ nuo alkoholio, kuris iš kraujo šalinamas per plaučius, arba atliekamas alkoholio koncentracijos nustatymas kraujyje.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Susisiekimo ministerija 2013 m. rugpjūčio 2 d. raštu Nr. 2-3922(102) „Dėl siūlymų sumažinti leistiną alkoholio koncentraciją kraujyje pradedantiesiems vairuotojams iki 0 promilių“ pakartotinai Komisijai paaiškino, kad Lietuvos Respublikos susisiekimo ministerija 2013 m. gegužės 29 d. raštu Nr. 2-2441(102) „Dėl siūlymų“ (pridedama) pateikė išsamią informaciją ir poziciją Lietuvos Respublikos Seimo Narkomanijos ir alkoholizmo prevencijos komisijai apie siūlymą sumažinti leistiną alkoholio koncentraciją kraujyje iki 0 promilių pradedantiesiems vairuotojams ir transporto priemonių, kurių maksimali leidžiama masė didesnė negu 3.5 t arba turinčių daugiau kaip 9 sėdimas vietas, vairuotojams. Šiuo raštu Lietuvos Respublikos susisiekimo ministerija pasiūlė keisti Lietuvos Respublikos administracinių teisės pažeidimų kodekso (Žin., 1.985, Nr. 1-1) (toliau – ATPK) 126 straipsnio 1 ir 3 dalis ir jas išdėstyti taip: „Transporto priemonių, kurių maksimali leidžiama masė didesnė negu 3,5 t arba turinčių daugiau kaip 9 sėdimas vietas, vairavimas, vairuotojams esant neblaiviems, kai nustatomas lengvas neblaivumo (girtumo) laipsnis </w:t>
      </w:r>
      <w:r w:rsidRPr="009C5184">
        <w:rPr>
          <w:rFonts w:eastAsia="TimesNewRomanPSMT"/>
          <w:lang w:eastAsia="lt-LT"/>
        </w:rPr>
        <w:t>(nuo 0,3 promilės iki 0,4 promilės),</w:t>
      </w:r>
      <w:r w:rsidRPr="00387E75">
        <w:rPr>
          <w:rFonts w:eastAsia="TimesNewRomanPSMT"/>
          <w:lang w:eastAsia="lt-LT"/>
        </w:rPr>
        <w:t xml:space="preserve"> užtraukia baudą vairuotojams nuo penkių šimtų iki vieno tūkstančio litų.</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Transporto priemonių vairavimas, vairuotojams, kurių vairavimo stažas iki dvejų metų, esant neblaiviems, kai nustatomas lengvas neblaivumo (girtumo) laipsnis </w:t>
      </w:r>
      <w:r w:rsidRPr="009C5184">
        <w:rPr>
          <w:rFonts w:eastAsia="TimesNewRomanPSMT"/>
          <w:lang w:eastAsia="lt-LT"/>
        </w:rPr>
        <w:t>(nuo 0 promilių iki 0,4 promilių</w:t>
      </w:r>
      <w:r w:rsidRPr="00387E75">
        <w:rPr>
          <w:rFonts w:eastAsia="TimesNewRomanPSMT"/>
          <w:lang w:eastAsia="lt-LT"/>
        </w:rPr>
        <w:t>),  užtraukia baudą vairuotojams nuo aštuonių šimtų iki vieno tūkstančio litų.“.</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Minėtame rašte nurodoma, kad, prireikus įvertinti policijos pareigūnų naudojamų alkoholio matuoklių paklaidas, ATPK 126 straipsnį galima papildyti pastaba, kurioje būtų paaiškinta, kad 0 promilių laikoma alkoholio kiekio koncentracija kraujyje, neįskaitant alkoholio matuoklio paklaidos.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Susisiekimo ministerija pritarė Lietuvos Respublikos Seimo Narkomanijos ir alkoholizmo prevencijos komisijos siūlymui nustatyti 0 promilių leistiną alkoholio koncentraciją kraujyje pradedantiesiems vairuotojams ir atkreipė dėmesį į tai, kad, reglamentuojant alkoholio kiekio kraujyje ribą pradedantiesiems vairuotojams, paprastai tokia pat riba taikoma ir komercinių transporto priemonių vairuotojams. Keleivių, krovinių ar pavojingųjų krovinių vežimas yra itin atsakinga veikla, todėl tam tikro kiekio alkoholio vartojimas, vykdant šią veiklą, neturėtų būti toleruojamas. Atsižvelgdami į tai, Susisiekimo ministerija siūlo nustatyti 0 promilių leistiną alkoholio koncentraciją kraujyje ne tik pradedantiesiems vairuotojams, bet ir transporto priemonių, kuriu maksimali leidžiama masė didesnė nesu 3,5 t arba turinčių daugiau kaip 9 sėdimas vietas, vairuotojams. Ji taip pat palaiko rekomendaciją, kad tuo atveju, jeigu į eismo įvykio vietą kviečiama policija, turėtų būti tikrinamas visų vairuotojų, kurie yra galimai susiję su eismo įvykiu, blaivumas.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Pažymėtina, kad 2013 m. birželio 13 d. Lietuvos Respublikos Seimas priėmė Lietuvos Respublikos saugaus eismo automobilių keliais įstatymo 2, 6, 9, 10, 11, 12, 13, 14, 16, 17, 18, 19, 21, 22, 23, 24, 25, 26, 27, 28, 29, 33 straipsnių, įstatymo priedo pakeitimo ir papildymo ir įstatymo papildymo 6</w:t>
      </w:r>
      <w:r w:rsidRPr="00387E75">
        <w:rPr>
          <w:rFonts w:eastAsia="TimesNewRomanPSMT"/>
          <w:vertAlign w:val="superscript"/>
          <w:lang w:eastAsia="lt-LT"/>
        </w:rPr>
        <w:t>1</w:t>
      </w:r>
      <w:r w:rsidRPr="00387E75">
        <w:rPr>
          <w:rFonts w:eastAsia="TimesNewRomanPSMT"/>
          <w:lang w:eastAsia="lt-LT"/>
        </w:rPr>
        <w:t>, 27</w:t>
      </w:r>
      <w:r w:rsidRPr="00387E75">
        <w:rPr>
          <w:rFonts w:eastAsia="TimesNewRomanPSMT"/>
          <w:iCs/>
          <w:vertAlign w:val="superscript"/>
          <w:lang w:eastAsia="lt-LT"/>
        </w:rPr>
        <w:t>1</w:t>
      </w:r>
      <w:r w:rsidRPr="00387E75">
        <w:rPr>
          <w:rFonts w:eastAsia="TimesNewRomanPSMT"/>
          <w:i/>
          <w:iCs/>
          <w:lang w:eastAsia="lt-LT"/>
        </w:rPr>
        <w:t xml:space="preserve"> </w:t>
      </w:r>
      <w:r w:rsidRPr="00387E75">
        <w:rPr>
          <w:rFonts w:eastAsia="TimesNewRomanPSMT"/>
          <w:lang w:eastAsia="lt-LT"/>
        </w:rPr>
        <w:t xml:space="preserve">straipsniais įstatymą (Žin., 2013, Nr. 68-3401). Pagal šio įstatymo 1 straipsnyje išdėstyto Lietuvos Respublikos saugaus eismo automobilių keliais įstatymo (Žin., 2000, Nr. 92-2883; 2007, Nr. 128-5213) (toliau – Įstatymas) 2 straipsnio 38 dalį, kuri įsigalios 2014 m. </w:t>
      </w:r>
      <w:r w:rsidRPr="00420969">
        <w:rPr>
          <w:rFonts w:eastAsia="TimesNewRomanPSMT"/>
          <w:lang w:eastAsia="lt-LT"/>
        </w:rPr>
        <w:t xml:space="preserve">liepos 1 d., „38. </w:t>
      </w:r>
      <w:r w:rsidRPr="00420969">
        <w:rPr>
          <w:rFonts w:eastAsia="TimesNewRomanPSMT"/>
          <w:b/>
          <w:lang w:eastAsia="lt-LT"/>
        </w:rPr>
        <w:t xml:space="preserve">Neblaivumas </w:t>
      </w:r>
      <w:r w:rsidRPr="00387E75">
        <w:rPr>
          <w:rFonts w:eastAsia="TimesNewRomanPSMT"/>
          <w:lang w:eastAsia="lt-LT"/>
        </w:rPr>
        <w:t xml:space="preserve">– nuo etilo alkoholio apsvaigusio asmens būsena, kai alkoholio koncentracija biologinėse organizmo terpėse (iškvėptame ore, kraujyje, šlapime, seilėse ar kituose organizmo skysčiuose) viršija įstatymų nustatytą leidžiamą normą. Asmenų, vairuojančių transporto priemones, iškvėptame ore, kraujyje, šlapime, seilėse ar kituose organizmo skysčiuose leidžiama didžiausia etilo alkoholio koncentracija vairavimo metu yra 0,4 promilės. Pradedantieji vairuotojai, taip pat transporto priemonių, kurių didžiausioji leidžiamoji masė didesnė kaip 3,5 t arba kurios turi daugiau kaip 9 sėdimas vietas, taksi automobilių ir motociklų vairuotojai laikomi neblaiviais, kai alkoholio koncentracija jų iškvėptame ore, kraujyje, šlapime, seilėse ar kituose organizmo skysčiuose yra 0,2 </w:t>
      </w:r>
      <w:r w:rsidRPr="00420969">
        <w:rPr>
          <w:rFonts w:eastAsia="TimesNewRomanPSMT"/>
          <w:lang w:eastAsia="lt-LT"/>
        </w:rPr>
        <w:t>promilės.“ Taigi</w:t>
      </w:r>
      <w:r w:rsidRPr="00387E75">
        <w:rPr>
          <w:rFonts w:eastAsia="TimesNewRomanPSMT"/>
          <w:lang w:eastAsia="lt-LT"/>
        </w:rPr>
        <w:t xml:space="preserve"> reikėtų keisti ne tik ATPK, bet ir Įstatymą. Lietuvos Respublikos susisiekimo ministro 2013 m. vasario 4 d. įsakymu Nr. 3-68 „Dėl darbo grupės sudarymo“ buvo sudaryta darbo grupė, kuriai pavesta parengti pasiūlymus dėl ATPK ir Įstatymo pakeitimų ir pateikti šiuos pasiūlymus susisiekimo ministrui. Planuojama, kad darbo grupė pateiks minėtus pasiūlymus susisiekimo ministrui iki 2013 m. spalio 1 d. Pasiūlymas sumažinti leistiną alkoholio koncentraciją kraujyje iki 0 promilių pradedantiesiems vairuotojams ir transporto priemonių, kurių maksimali leidžiama masė didesnė negu </w:t>
      </w:r>
      <w:r w:rsidRPr="00387E75">
        <w:rPr>
          <w:rFonts w:eastAsia="TimesNewRomanPSMT"/>
          <w:lang w:eastAsia="lt-LT"/>
        </w:rPr>
        <w:lastRenderedPageBreak/>
        <w:t>3,5 t arba turinčių daugiau kaip 9 sėdimas vietas, vairuotojams jau įtrauktas į susisiekimo ministrui teiktinų pasiūlymų sąrašą.</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Atsižvelgusi į Susisekimo ministerijos siūlymus, Komisija 2013 m. rugsėjo19 d. inicijavo įstatymų  pataisas:</w:t>
      </w:r>
    </w:p>
    <w:p w:rsidR="004F7425" w:rsidRPr="00387E75" w:rsidRDefault="004F7425" w:rsidP="004F7425">
      <w:pPr>
        <w:ind w:firstLine="360"/>
        <w:jc w:val="both"/>
      </w:pPr>
      <w:r w:rsidRPr="00387E75">
        <w:t>Dėl Lietuvos Respublikos administracinių teisės pažeidimų kodekso 126 straipsnio pakeitimo įstatymo projekto Nr. XIIP- 942(2);</w:t>
      </w:r>
    </w:p>
    <w:p w:rsidR="004F7425" w:rsidRPr="00387E75" w:rsidRDefault="004F7425" w:rsidP="004F7425">
      <w:pPr>
        <w:ind w:firstLine="360"/>
        <w:jc w:val="both"/>
      </w:pPr>
      <w:r w:rsidRPr="00387E75">
        <w:t>Dėl Lietuvos Respublikos saugaus eismo automobilių keliais įstatymo 2, 6, 9, 10, 11, 12, 13, 14, 16, 17, 18, 19, 21, 22, 23, 24, 25, 26, 27, 28, 29, 33 straipsnių, įstatymo priedo pakeitimo ir papildymo ir įstatymo papildymo 6</w:t>
      </w:r>
      <w:r w:rsidRPr="00387E75">
        <w:rPr>
          <w:vertAlign w:val="superscript"/>
        </w:rPr>
        <w:t>1</w:t>
      </w:r>
      <w:r w:rsidRPr="00387E75">
        <w:t>, 27</w:t>
      </w:r>
      <w:r w:rsidRPr="00387E75">
        <w:rPr>
          <w:vertAlign w:val="superscript"/>
        </w:rPr>
        <w:t>1</w:t>
      </w:r>
      <w:r w:rsidRPr="00387E75">
        <w:t xml:space="preserve"> straipsniais įstatymo 2 straipsnio pakeitimo įstatymo projekto Nr. XIIP- 943(2);</w:t>
      </w:r>
    </w:p>
    <w:p w:rsidR="004F7425" w:rsidRPr="00387E75" w:rsidRDefault="004F7425" w:rsidP="004F7425">
      <w:pPr>
        <w:ind w:firstLine="360"/>
        <w:jc w:val="both"/>
        <w:rPr>
          <w:rFonts w:eastAsia="Arial Unicode MS"/>
        </w:rPr>
      </w:pPr>
      <w:r w:rsidRPr="00387E75">
        <w:t>Dėl Lietuvos Respublikos saugaus eismo automobilių keliais įstatymo 2 straipsnio pakeitimo įstatymo projekto Nr. XIIP-1015.</w:t>
      </w:r>
    </w:p>
    <w:p w:rsidR="004F7425" w:rsidRPr="00387E75" w:rsidRDefault="004F7425" w:rsidP="004F7425">
      <w:pPr>
        <w:autoSpaceDE w:val="0"/>
        <w:autoSpaceDN w:val="0"/>
        <w:adjustRightInd w:val="0"/>
        <w:jc w:val="both"/>
        <w:rPr>
          <w:rFonts w:eastAsia="TimesNewRomanPSMT"/>
          <w:lang w:eastAsia="lt-LT"/>
        </w:rPr>
      </w:pPr>
      <w:r w:rsidRPr="00387E75">
        <w:rPr>
          <w:rFonts w:eastAsia="TimesNewRomanPSMT"/>
          <w:lang w:eastAsia="lt-LT"/>
        </w:rPr>
        <w:tab/>
        <w:t xml:space="preserve">Taip pat Komisija 2013 m. spalio 4 d. raštu Nr. S-2013-9098  „Dėl taisyklių patvirtinimo“  kreipėsi į Valstybinę saugaus eismo saugumo komisiją su siūlymu papildyti Transporto priemones vairuojančių ir kitų asmenų neblaivumo (girtumo) ar apsvaigimo nustatymo taisykles (toliau – Taisykles), patvirtintas Lietuvos Respublikos Vyriausybės 2006 m. gegužės 12 d. nutarimu Nr. 452 „Dėl Transporto priemones vairuojančių ir kitų asmenų neblaivumo (girtumo) ar apsvaigimo nustatymo taisyklių patvirtinimo“ (Žin., 2006, Nr. 56-2000), nuostata, kad, suteikiant teisę vairuoti transporto priemonę, kartu su kitais reikalavimais reikia numatyti privalomą kraujo ir/ar šlapimo tyrimą dėl narkotinių ir psichotropinių bei kitų svaigiųjų medžiagų nustatymo. Lietuvos Respublikos saugaus eismo automobilių keliais įstatymo ( Žin., 2000, Nr. 92-2883; 2007, Nr. 128-5213) 22 straipsnis numato, kad teisė vairuoti motorines transporto priemones ar jų junginius su priekabomis, traktorius, savaeiges mašinas suteikiama Lietuvos Respublikoje  gyvenantiems, ne jaunesniems kaip šiame įstatyme nustatyto amžiaus asmenims, kurių sveikatos būklė yra tinkama vairuoti tam tikros kategorijos motorinę transporto priemonę, traktorių, savaeigę mašiną, mokantiems KET, išmanantiems kitus teisės aktus, reglamentuojančius kelių eismą, mokantiems vairuoti, nustatyta tvarka išlaikiusiems egzaminus ir turintiems vairuotojo pažymėjimą. Šis papildymas neprieštarautų Lietuvos Respublikos saugaus eismo automobilių keliais įstatymo 22 straipsnio nuostatoms   ir padėtų efektyviai užtikrinti kelių eismo saugumą. </w:t>
      </w:r>
    </w:p>
    <w:p w:rsidR="004F7425" w:rsidRPr="00387E75" w:rsidRDefault="004F7425" w:rsidP="004F7425">
      <w:pPr>
        <w:autoSpaceDE w:val="0"/>
        <w:autoSpaceDN w:val="0"/>
        <w:adjustRightInd w:val="0"/>
        <w:jc w:val="both"/>
        <w:rPr>
          <w:rFonts w:eastAsia="TimesNewRomanPSMT"/>
          <w:lang w:eastAsia="lt-LT"/>
        </w:rPr>
      </w:pPr>
      <w:r w:rsidRPr="00387E75">
        <w:rPr>
          <w:rFonts w:eastAsia="TimesNewRomanPSMT"/>
          <w:lang w:eastAsia="lt-LT"/>
        </w:rPr>
        <w:tab/>
        <w:t xml:space="preserve">Susisiekimo ministerija 2013 m. lapkričio 29 d. raštu Nr. 2-5923(102) „Dėl taisyklių patvirtinimo“ atsakė, kad, vadovaujantis Lietuvos Respublikos saugaus eismo automobilių keliais įstatymo (Žin., 2000, Nr. 92-2883; 2007, Nr. 128-5213) 9 straipsnio 6 dalimi, Valstybinę eismo saugumo komisiją eismo saugumo klausimais konsultuoja Eismo saugumo taryba. Atsižvelgiant į tai, kad  Eismo saugumo taryba yra sudaryta iš įvairesnių sričių institucijų atstovų, mokslininkų, pateiktus siūlymus tikslinga iš pradžių apsvarstyti artimiausiame Eismo saugumo tarybos posėdyje. </w:t>
      </w:r>
    </w:p>
    <w:p w:rsidR="004F7425" w:rsidRPr="00387E75" w:rsidRDefault="004F7425" w:rsidP="004F7425">
      <w:pPr>
        <w:autoSpaceDE w:val="0"/>
        <w:autoSpaceDN w:val="0"/>
        <w:adjustRightInd w:val="0"/>
        <w:jc w:val="both"/>
        <w:rPr>
          <w:rFonts w:eastAsia="TimesNewRomanPSMT"/>
          <w:lang w:eastAsia="lt-LT"/>
        </w:rPr>
      </w:pPr>
      <w:r w:rsidRPr="00387E75">
        <w:rPr>
          <w:rFonts w:eastAsia="TimesNewRomanPSMT"/>
          <w:lang w:eastAsia="lt-LT"/>
        </w:rPr>
        <w:tab/>
        <w:t>2014 m. sausio 22 d. Lietuvos Respublikos susisiekimo ministerijoje įvyko Eismo saugumo tarybos posėdis. Nutarta prašyti Sveikatos apsaugos ministerijos pateikti nuomonę ir išvadas.</w:t>
      </w:r>
    </w:p>
    <w:p w:rsidR="004F7425" w:rsidRPr="00387E75" w:rsidRDefault="004F7425" w:rsidP="004F7425">
      <w:pPr>
        <w:autoSpaceDE w:val="0"/>
        <w:autoSpaceDN w:val="0"/>
        <w:adjustRightInd w:val="0"/>
        <w:jc w:val="both"/>
        <w:rPr>
          <w:rFonts w:eastAsia="Arial Unicode MS"/>
        </w:rPr>
      </w:pPr>
      <w:r w:rsidRPr="00387E75">
        <w:rPr>
          <w:rFonts w:eastAsia="TimesNewRomanPSMT"/>
          <w:lang w:eastAsia="lt-LT"/>
        </w:rPr>
        <w:tab/>
        <w:t>Komisija 2014 m. vasario 2 d. raštu Nr.V-2014-868 „Dėl pasiūlymų Seimo IV (pavasario) sesijos darbų programai“ pateikė Seimo posėdžių sekretoriatui siūlymus įtraukti įstatymų projektus (</w:t>
      </w:r>
      <w:r w:rsidRPr="00387E75">
        <w:t>Lietuvos Respublikos administracinių teisės pažeidimų kodekso 126 straipsnio pakeitimo įstatymo projektą Nr. XIIP-942(2); Lietuvos Respublikos saugaus eismo automobilių keliais įstatymo 2, 6, 9, 10, 11, 12, 13, 14, 16, 17, 18, 19, 21, 22, 23, 24, 25, 26, 27, 28, 29, 33 straipsnių, įstatymo priedo pakeitimo ir papildymo ir įstatymo papildymo 6</w:t>
      </w:r>
      <w:r w:rsidRPr="00387E75">
        <w:rPr>
          <w:vertAlign w:val="superscript"/>
        </w:rPr>
        <w:t>1</w:t>
      </w:r>
      <w:r w:rsidRPr="00387E75">
        <w:t>, 27</w:t>
      </w:r>
      <w:r w:rsidRPr="00387E75">
        <w:rPr>
          <w:vertAlign w:val="superscript"/>
        </w:rPr>
        <w:t>1</w:t>
      </w:r>
      <w:r w:rsidRPr="00387E75">
        <w:t xml:space="preserve"> straipsniais įstatymo 2 straipsnio pakeitimo įstatymo projektą Nr. XIIP-943(2) ir Lietuvos Respublikos saugaus eismo automobilių keliais įstatymo 2 straipsnio pakeitimo įstatymo projektą Nr. XIIP-1015) </w:t>
      </w:r>
      <w:r w:rsidRPr="00387E75">
        <w:rPr>
          <w:rFonts w:eastAsia="TimesNewRomanPSMT"/>
          <w:lang w:eastAsia="lt-LT"/>
        </w:rPr>
        <w:t>į Lietuvos Respublikos Seimo IV (pavasario) sesijos darbų programą.</w:t>
      </w:r>
    </w:p>
    <w:p w:rsidR="004F7425" w:rsidRPr="00387E75" w:rsidRDefault="004F7425" w:rsidP="004F7425">
      <w:pPr>
        <w:autoSpaceDE w:val="0"/>
        <w:autoSpaceDN w:val="0"/>
        <w:adjustRightInd w:val="0"/>
        <w:jc w:val="both"/>
        <w:rPr>
          <w:rFonts w:eastAsia="TimesNewRomanPSMT"/>
          <w:lang w:eastAsia="lt-LT"/>
        </w:rPr>
      </w:pPr>
    </w:p>
    <w:p w:rsidR="004F7425" w:rsidRPr="00387E75" w:rsidRDefault="004F7425" w:rsidP="004F7425">
      <w:pPr>
        <w:ind w:firstLine="720"/>
        <w:jc w:val="both"/>
      </w:pPr>
      <w:r w:rsidRPr="00387E75">
        <w:rPr>
          <w:b/>
        </w:rPr>
        <w:t>IV.</w:t>
      </w:r>
      <w:r w:rsidRPr="00387E75">
        <w:t xml:space="preserve"> Dėl narkotinių ir psichotropinių medžiagų, narkotinių ir psichotropinių medžiagų pirmtakų (prekursorių) užkardymo, tabako ir alkoholio pasiūlos mažinimo priemonių taikymo laisvės atėmimo vietose. </w:t>
      </w:r>
    </w:p>
    <w:p w:rsidR="004F7425" w:rsidRPr="00387E75" w:rsidRDefault="004F7425" w:rsidP="004F7425">
      <w:pPr>
        <w:ind w:firstLine="720"/>
        <w:jc w:val="both"/>
      </w:pPr>
      <w:r w:rsidRPr="00387E75">
        <w:t xml:space="preserve">Dėl paslaugų prieinamumo pagerinimo asmenims, priklausomiems nuo alkoholio, narkotinių ir psichotropinių medžiagų vartojimo, </w:t>
      </w:r>
      <w:r w:rsidRPr="00387E75">
        <w:rPr>
          <w:bCs/>
        </w:rPr>
        <w:t>jų sveikatos priežiūra, reabilitacija ir socialinė reintegracija laisvės atėmimo vietose.</w:t>
      </w:r>
      <w:r w:rsidRPr="00387E75">
        <w:t xml:space="preserve"> </w:t>
      </w:r>
    </w:p>
    <w:p w:rsidR="004F7425" w:rsidRPr="00387E75" w:rsidRDefault="004F7425" w:rsidP="004F7425">
      <w:pPr>
        <w:ind w:firstLine="720"/>
        <w:jc w:val="both"/>
      </w:pPr>
      <w:r w:rsidRPr="00387E75">
        <w:t>Dėl asmenų gydymo nuo priklausomybės alkoholiui ir narkotinėms bei psichotropinėms medžiagoms, taikant alternatyvų bausmių atlikimą.</w:t>
      </w:r>
    </w:p>
    <w:p w:rsidR="004F7425" w:rsidRPr="00387E75" w:rsidRDefault="004F7425" w:rsidP="004F7425">
      <w:pPr>
        <w:ind w:firstLine="720"/>
        <w:jc w:val="both"/>
      </w:pPr>
    </w:p>
    <w:p w:rsidR="004F7425" w:rsidRPr="00387E75" w:rsidRDefault="004F7425" w:rsidP="004F7425">
      <w:pPr>
        <w:jc w:val="both"/>
      </w:pPr>
    </w:p>
    <w:p w:rsidR="004F7425" w:rsidRPr="00387E75" w:rsidRDefault="004F7425" w:rsidP="004F7425">
      <w:pPr>
        <w:ind w:firstLine="720"/>
        <w:jc w:val="both"/>
      </w:pPr>
      <w:r w:rsidRPr="00387E75">
        <w:t>Komisija 2013 m. birželio 12 d.</w:t>
      </w:r>
      <w:r w:rsidRPr="00387E75">
        <w:rPr>
          <w:b/>
        </w:rPr>
        <w:t xml:space="preserve"> </w:t>
      </w:r>
      <w:r w:rsidRPr="00387E75">
        <w:t>posėdyje</w:t>
      </w:r>
      <w:r w:rsidRPr="00387E75">
        <w:rPr>
          <w:b/>
        </w:rPr>
        <w:t xml:space="preserve"> </w:t>
      </w:r>
      <w:r w:rsidRPr="00387E75">
        <w:t>priėmė sprendimą Nr. 293-P-10 siūlyti Lietuvos Respublikos Vyriausybei:</w:t>
      </w:r>
    </w:p>
    <w:p w:rsidR="004F7425" w:rsidRPr="00387E75" w:rsidRDefault="004F7425" w:rsidP="004F7425">
      <w:pPr>
        <w:ind w:firstLine="720"/>
        <w:jc w:val="both"/>
        <w:rPr>
          <w:bCs/>
          <w:lang w:eastAsia="lt-LT"/>
        </w:rPr>
      </w:pPr>
      <w:r w:rsidRPr="00420969">
        <w:t>1.</w:t>
      </w:r>
      <w:r w:rsidRPr="00387E75">
        <w:t xml:space="preserve"> Parengti Lietuvos Respublikos kontržvalgybos įstatymo papildymo projektą, įtraukiant Kalėjimų departamentą prie Teisingumo </w:t>
      </w:r>
      <w:r w:rsidRPr="00420969">
        <w:t xml:space="preserve">ministerijos </w:t>
      </w:r>
      <w:r w:rsidRPr="00420969">
        <w:rPr>
          <w:bCs/>
          <w:lang w:eastAsia="lt-LT"/>
        </w:rPr>
        <w:t>Kriminalinės žvalgybos pagrindinė institucija.</w:t>
      </w:r>
    </w:p>
    <w:p w:rsidR="004F7425" w:rsidRPr="00420969" w:rsidRDefault="004F7425" w:rsidP="004F7425">
      <w:pPr>
        <w:pStyle w:val="statymopavad"/>
        <w:ind w:firstLine="720"/>
        <w:jc w:val="both"/>
      </w:pPr>
      <w:r w:rsidRPr="00387E75">
        <w:t xml:space="preserve">Lietuvos Respublikos kriminalinės žvalgybos įstatymo 2 straipsnio 11 punkto 1 dalį po žodžių „Valstybės sienos apsaugos tarnyba prie Lietuvos Respublikos vidaus reikalų ministerijos“ papildyti žodžiais „Kalėjimų departamentas prie Teisingumo ministerijos“ ir 2 straipsnio  11 punkto  tekstą  išdėstyti taip: </w:t>
      </w:r>
      <w:r w:rsidRPr="00387E75">
        <w:rPr>
          <w:bCs/>
          <w:color w:val="000000"/>
        </w:rPr>
        <w:t>„2 straipsnis</w:t>
      </w:r>
      <w:r w:rsidRPr="00420969">
        <w:rPr>
          <w:bCs/>
          <w:color w:val="000000"/>
        </w:rPr>
        <w:t>. Pagrindinės šio įstatymo sąvokos</w:t>
      </w:r>
    </w:p>
    <w:p w:rsidR="004F7425" w:rsidRPr="00387E75" w:rsidRDefault="004F7425" w:rsidP="004F7425">
      <w:pPr>
        <w:ind w:firstLine="720"/>
        <w:jc w:val="both"/>
        <w:rPr>
          <w:b/>
          <w:lang w:eastAsia="lt-LT"/>
        </w:rPr>
      </w:pPr>
      <w:r w:rsidRPr="00420969">
        <w:t xml:space="preserve"> </w:t>
      </w:r>
      <w:r w:rsidRPr="00420969">
        <w:rPr>
          <w:lang w:eastAsia="lt-LT"/>
        </w:rPr>
        <w:t>11.</w:t>
      </w:r>
      <w:r w:rsidRPr="00387E75">
        <w:rPr>
          <w:b/>
          <w:bCs/>
          <w:lang w:eastAsia="lt-LT"/>
        </w:rPr>
        <w:t xml:space="preserve"> </w:t>
      </w:r>
      <w:r w:rsidRPr="00387E75">
        <w:rPr>
          <w:bCs/>
          <w:lang w:eastAsia="lt-LT"/>
        </w:rPr>
        <w:t>Kriminalinės žvalgybos pagrindinės institucijos</w:t>
      </w:r>
      <w:r w:rsidRPr="00387E75">
        <w:rPr>
          <w:lang w:eastAsia="lt-LT"/>
        </w:rPr>
        <w:t xml:space="preserve"> –</w:t>
      </w:r>
      <w:r w:rsidRPr="00387E75">
        <w:rPr>
          <w:b/>
          <w:bCs/>
          <w:lang w:eastAsia="lt-LT"/>
        </w:rPr>
        <w:t xml:space="preserve"> </w:t>
      </w:r>
      <w:r w:rsidRPr="00387E75">
        <w:rPr>
          <w:lang w:eastAsia="lt-LT"/>
        </w:rPr>
        <w:t>Finansinių nusikaltimų tyrimo tarnyba prie Lietuvos Respublikos vidaus reikalų ministerijos, Muitinės departamentas prie Lietuvos Respublikos finansų ministerijos, Policijos departamentas prie Lietuvos Respublikos vidaus reikalų ministerijos, Specialiųjų tyrimų tarnyba, Vadovybės apsaugos departamentas prie Lietuvos Respublikos vidaus reikalų ministerijos, Valstybės sienos apsaugos tarnyba prie Lietuvos Respublikos vidaus reikalų ministerijos, Kalėjimų departamentas prie Teisingumo ministerijos.</w:t>
      </w:r>
    </w:p>
    <w:p w:rsidR="004F7425" w:rsidRPr="00387E75" w:rsidRDefault="004F7425" w:rsidP="004F7425">
      <w:pPr>
        <w:ind w:firstLine="720"/>
        <w:jc w:val="both"/>
        <w:rPr>
          <w:lang w:eastAsia="lt-LT"/>
        </w:rPr>
      </w:pPr>
      <w:r w:rsidRPr="00387E75">
        <w:rPr>
          <w:lang w:eastAsia="lt-LT"/>
        </w:rPr>
        <w:t xml:space="preserve"> Kriminalinės žvalgybos pagrindinių institucijų teises ir pareigas taip pat turi Antrasis operatyvinių tarnybų departamentas prie Lietuvos Respublikos krašto apsaugos ministerijos ir Valstybės saugumo departamentas, kai jų padaliniai atlieka kriminalinės žvalgybos tyrimą šio įstatymo nustatytais pagrindais ir tvarka</w:t>
      </w:r>
      <w:r w:rsidRPr="00420969">
        <w:rPr>
          <w:lang w:eastAsia="lt-LT"/>
        </w:rPr>
        <w:t>.“</w:t>
      </w:r>
    </w:p>
    <w:p w:rsidR="004F7425" w:rsidRPr="00387E75" w:rsidRDefault="004F7425" w:rsidP="004F7425">
      <w:pPr>
        <w:ind w:firstLine="720"/>
        <w:jc w:val="both"/>
      </w:pPr>
      <w:r w:rsidRPr="00387E75">
        <w:t xml:space="preserve">1.2. Įtraukti Kalėjimo departamentą prie Teisingumo ministerijos į kriminalinės žvalgybos subjektų sąrašą. </w:t>
      </w:r>
    </w:p>
    <w:p w:rsidR="004F7425" w:rsidRPr="00387E75" w:rsidRDefault="004F7425" w:rsidP="004F7425">
      <w:pPr>
        <w:ind w:firstLine="720"/>
        <w:jc w:val="both"/>
      </w:pPr>
      <w:r w:rsidRPr="00387E75">
        <w:t>Komisija pasiūlė Lietuvos Respublikos Vyriausybei, r</w:t>
      </w:r>
      <w:r w:rsidRPr="00387E75">
        <w:rPr>
          <w:bCs/>
          <w:lang w:eastAsia="lt-LT"/>
        </w:rPr>
        <w:t xml:space="preserve">engiant 2014 metų Lietuvos Respublikos valstybės biudžeto ir savivaldybių biudžetų finansinių rodiklių patvirtinimo įstatymo projektą, numatyti lėšas Teisingumo ministerijai ir </w:t>
      </w:r>
      <w:r w:rsidRPr="00387E75">
        <w:t xml:space="preserve">Kalėjimo departamentui  prie Teisingumo ministerijos Nacionalinės narkotikų kontrolės ir narkomanijos prevencijos 2010–2016 metų programos priemonėms ir uždaviniams įgyvendinti laisvės atėmimo vietose. </w:t>
      </w:r>
    </w:p>
    <w:p w:rsidR="004F7425" w:rsidRPr="00387E75" w:rsidRDefault="004F7425" w:rsidP="004F7425">
      <w:pPr>
        <w:ind w:firstLine="720"/>
        <w:jc w:val="both"/>
      </w:pPr>
      <w:r w:rsidRPr="00387E75">
        <w:rPr>
          <w:bCs/>
        </w:rPr>
        <w:t>Komisija pap</w:t>
      </w:r>
      <w:r w:rsidRPr="00387E75">
        <w:t xml:space="preserve">rašė Lietuvos Respublikos Vyriausybės laisvės atėmimo vietose dirbančių medicinos darbuotojų koeficientus suvienodinti su viešosiose asmens sveikatos priežiūros įstaigose dirbančių medicinos darbuotojų koeficientais. </w:t>
      </w:r>
    </w:p>
    <w:p w:rsidR="004F7425" w:rsidRPr="00387E75" w:rsidRDefault="004F7425" w:rsidP="004F7425">
      <w:pPr>
        <w:ind w:firstLine="720"/>
        <w:jc w:val="both"/>
      </w:pPr>
      <w:r w:rsidRPr="00387E75">
        <w:t xml:space="preserve">Komisija pasiūlė </w:t>
      </w:r>
      <w:r w:rsidRPr="00387E75">
        <w:rPr>
          <w:bCs/>
        </w:rPr>
        <w:t xml:space="preserve">Lietuvos Respublikos teisingumo ministerijai, Lietuvos Respublikos socialinės apsaugos ir darbo ministerijai, Lietuvos Respublikos sveikatos apsaugos ministerijai ir Lietuvos savivaldybių asociacijai sustiprinti tarpinstitucinį bendradarbiavimą ir koordinavimą dėl asmenų, paleidžiamų iš įkalinimo įstaigų,  </w:t>
      </w:r>
      <w:r w:rsidRPr="00387E75">
        <w:t>sėkmingos reabilitacijos  ir integracijos  į visuomenę.</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Ministrui Pirmininkui pavedus, Vyriausybės kanclerio 2013 m. birželio 28 d. rezoliucija Nr. 27-2746 Teisingumo ministerijai, Vidaus reikalų ministerijai, Socialinės apsaugos ir darbo ministerijai ir Sveikatos apsaugos ministerijai pavesta išnagrinėti </w:t>
      </w:r>
      <w:r w:rsidRPr="00387E75">
        <w:t>Komisijos 2013 m. birželio 12 d.</w:t>
      </w:r>
      <w:r w:rsidRPr="00387E75">
        <w:rPr>
          <w:b/>
        </w:rPr>
        <w:t xml:space="preserve"> </w:t>
      </w:r>
      <w:r w:rsidRPr="00387E75">
        <w:rPr>
          <w:rFonts w:eastAsia="TimesNewRomanPSMT"/>
          <w:lang w:eastAsia="lt-LT"/>
        </w:rPr>
        <w:t xml:space="preserve">siūlymus ir dėl klausimų, dėl kurių reikia Vyriausybės sprendimo, pateikti suderintus pasiūlymus.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Teisingumo ministerija 2013 m. liepos 11 d. raštu Nr. (1.40)72-5050 „Dėl Lietuvos Respublikos Seimo Narkomanijos ir alkoholizmo prevencijos komisijos protokole (2013-06-12 Nr. 293-P-10) pateiktų siūlymų</w:t>
      </w:r>
      <w:r w:rsidRPr="00420969">
        <w:rPr>
          <w:rFonts w:eastAsia="TimesNewRomanPSMT"/>
          <w:lang w:eastAsia="lt-LT"/>
        </w:rPr>
        <w:t>“</w:t>
      </w:r>
      <w:r w:rsidRPr="00387E75">
        <w:rPr>
          <w:rFonts w:eastAsia="TimesNewRomanPSMT"/>
          <w:lang w:eastAsia="lt-LT"/>
        </w:rPr>
        <w:t xml:space="preserve"> ir vykdydama  Ministro Pirmininko pavedimą, įformintą Lietuvos Respublikos Vyriausybės kanclerio 2013 m. birželio 28 d. rezoliucija Nr. 27-2746, pateikė  informaciją apie Lietuvos Respublikos Seimo Narkomanijos ir alkoholizmo prevencijos komisijos protokole (2013-06-12 Nr. 293-P-10) pateiktų siūlymų įgyvendinimą.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Paaiškino, kad d</w:t>
      </w:r>
      <w:r w:rsidRPr="00387E75">
        <w:rPr>
          <w:rFonts w:eastAsia="TimesNewRomanPSMT"/>
          <w:bCs/>
          <w:lang w:eastAsia="lt-LT"/>
        </w:rPr>
        <w:t xml:space="preserve">ėl Lietuvos Respublikos kriminalinės žvalgybos įstatymo pakeitimo </w:t>
      </w:r>
      <w:r w:rsidRPr="00387E75">
        <w:rPr>
          <w:rFonts w:eastAsia="TimesNewRomanPSMT"/>
          <w:lang w:eastAsia="lt-LT"/>
        </w:rPr>
        <w:t xml:space="preserve">Teisingumo ministerija yra parengusi Lietuvos Respublikos  kriminalinės žvalgybos įstatymo 2, 5, 21 ir 22 straipsnių pakeitimo įstatymo projektą, kuris šiuo metu pateiktas derinti suinteresuotoms institucijoms. Projekto tikslas – sudaryti teisines prielaidas Kalėjimų departamentui prie Lietuvos Respublikos teisingumo ministerijos (toliau – Kalėjimų departamentas) ir jam pavaldžių įstaigų padaliniams vykdyti kriminalinę žvalgybą Kalėjimų departamente ir jam pavaldžiose įstaigose bei valstybės įmonėse prie pataisos namų, kai turima informacijos apie rengiamą, daromą ar padarytą labai sunkų ar sunkų nusikaltimą arba apie apysunkius nusikaltimus, numatytus Lietuvos Respublikos baudžiamojo kodekso 131 straipsnyje, 145 straipsnio 2 dalyje, 146 straipsnio 2 ir 3 dalyse, 151 straipsnio 2 dalyje, </w:t>
      </w:r>
      <w:r w:rsidRPr="00420969">
        <w:rPr>
          <w:rFonts w:eastAsia="TimesNewRomanPSMT"/>
          <w:lang w:eastAsia="lt-LT"/>
        </w:rPr>
        <w:t>151</w:t>
      </w:r>
      <w:r w:rsidRPr="00420969">
        <w:rPr>
          <w:rFonts w:eastAsia="TimesNewRomanPSMT"/>
          <w:vertAlign w:val="superscript"/>
          <w:lang w:eastAsia="lt-LT"/>
        </w:rPr>
        <w:t>1</w:t>
      </w:r>
      <w:r w:rsidRPr="00387E75">
        <w:rPr>
          <w:rFonts w:eastAsia="TimesNewRomanPSMT"/>
          <w:lang w:eastAsia="lt-LT"/>
        </w:rPr>
        <w:t xml:space="preserve"> straipsnio 3 dalyje, 153, 162, 172, 173, 174 ir 175 straipsniuose, 178 straipsnio 2 dalyje, 180 straipsnio 1 dalyje, 181 straipsnio 1 dalyje, 187 straipsnio 2 dalyje, 189 </w:t>
      </w:r>
      <w:r w:rsidRPr="00387E75">
        <w:rPr>
          <w:rFonts w:eastAsia="TimesNewRomanPSMT"/>
          <w:lang w:eastAsia="lt-LT"/>
        </w:rPr>
        <w:lastRenderedPageBreak/>
        <w:t xml:space="preserve">straipsnio 2 dalyje, </w:t>
      </w:r>
      <w:r w:rsidRPr="00420969">
        <w:rPr>
          <w:rFonts w:eastAsia="TimesNewRomanPSMT"/>
          <w:lang w:eastAsia="lt-LT"/>
        </w:rPr>
        <w:t>189</w:t>
      </w:r>
      <w:r w:rsidRPr="00420969">
        <w:rPr>
          <w:rFonts w:eastAsia="TimesNewRomanPSMT"/>
          <w:vertAlign w:val="superscript"/>
          <w:lang w:eastAsia="lt-LT"/>
        </w:rPr>
        <w:t>1</w:t>
      </w:r>
      <w:r w:rsidRPr="00387E75">
        <w:rPr>
          <w:rFonts w:eastAsia="TimesNewRomanPSMT"/>
          <w:lang w:eastAsia="lt-LT"/>
        </w:rPr>
        <w:t xml:space="preserve"> straipsnyje, 198 straipsnio 2 dalyje, 213 straipsnio 1 dalyje, 214 ir 215 straipsniuose, 225 straipsnio 1 dalyje, 226 straipsnio 1 ir 2 dalyse, 227 straipsnio 1 ir 2 dalyse, 228 straipsnio 1 dalyje, </w:t>
      </w:r>
      <w:r w:rsidRPr="00420969">
        <w:rPr>
          <w:rFonts w:eastAsia="TimesNewRomanPSMT"/>
          <w:lang w:eastAsia="lt-LT"/>
        </w:rPr>
        <w:t>228</w:t>
      </w:r>
      <w:r w:rsidRPr="00420969">
        <w:rPr>
          <w:rFonts w:eastAsia="TimesNewRomanPSMT"/>
          <w:vertAlign w:val="superscript"/>
          <w:lang w:eastAsia="lt-LT"/>
        </w:rPr>
        <w:t>1</w:t>
      </w:r>
      <w:r w:rsidRPr="00387E75">
        <w:rPr>
          <w:rFonts w:eastAsia="TimesNewRomanPSMT"/>
          <w:lang w:eastAsia="lt-LT"/>
        </w:rPr>
        <w:t xml:space="preserve"> ir 240 straipsniuose, 253 straipsnio 1 dalyje, 256 straipsnio 1 dalyje, 266 straipsnio 2 dalyje, 300 straipsnio 2 ir 3 dalyse, 301 straipsnio 2 dalyje, 302 straipsnio 2 dalyje, 307 straipsnio 1 ir 2 dalyse, 309 straipsnio 3 dalyje, arba apie šias veikas rengiančius, darančius ar padariusius asmenis, taip pat įgyvendinti kitus kriminalinės žvalgybos uždavinius.</w:t>
      </w:r>
    </w:p>
    <w:p w:rsidR="004F7425" w:rsidRPr="00387E75" w:rsidRDefault="004F7425" w:rsidP="004F7425">
      <w:pPr>
        <w:autoSpaceDE w:val="0"/>
        <w:autoSpaceDN w:val="0"/>
        <w:adjustRightInd w:val="0"/>
        <w:ind w:firstLine="720"/>
        <w:jc w:val="both"/>
        <w:rPr>
          <w:rFonts w:eastAsia="TimesNewRomanPSMT"/>
          <w:lang w:eastAsia="lt-LT"/>
        </w:rPr>
      </w:pPr>
      <w:r w:rsidRPr="00420969">
        <w:rPr>
          <w:rFonts w:eastAsia="TimesNewRomanPSMT"/>
          <w:bCs/>
          <w:lang w:eastAsia="lt-LT"/>
        </w:rPr>
        <w:t>Dėl Komisijos siūlymo Lietuvos Respublikos Vyriausybei, kuri  rengė 2014 m. Lietuvos Respublikos valstybės biudžeto ir savivaldybių biudžetų finansinių rodiklių patvirtinimo įstatymo projektą, numatyti lėšas Teisingumo ministerijai ir Kalėjimų departamentui Nacionalinės narkotikų kontrolės ir narkomanijos prevencijos 2010–2016 metų programos priemonėms ir uždaviniams įgyvendinti laisvės atėmimo vietose, Teisingumo ministerija pranešė,</w:t>
      </w:r>
      <w:r w:rsidRPr="00387E75">
        <w:rPr>
          <w:rFonts w:eastAsia="TimesNewRomanPSMT"/>
          <w:bCs/>
          <w:lang w:eastAsia="lt-LT"/>
        </w:rPr>
        <w:t xml:space="preserve"> kad </w:t>
      </w:r>
      <w:r w:rsidRPr="00387E75">
        <w:rPr>
          <w:rFonts w:eastAsia="TimesNewRomanPSMT"/>
          <w:lang w:eastAsia="lt-LT"/>
        </w:rPr>
        <w:t>Kalėjimų departamentui Nacionalinės narkotikų kontrolės ir narkomanijos prevencijos 2010–2016 metų programos įgyvendinimo tarpinstitucinio veiklos plano priemonių vykdymui 2014 m. numatoma skirti 255 tūkst. litų. Priemonė „Užtikrinti teisėsaugos ir kitų kompetentingų valstybės institucijų, atliekančių narkotinių ir psichotropinių medžiagų bei jų pirmtakų (prekursorių) apyvartos kontrolės  ir kitas su tuo susijusias funkcijas, finansinį, materialinį techninį aprūpinimą“, jai įgyvendinti 2014 m. numatoma skirti 230 tūkst. litų. Priemonė „Plėtoti bendrąją, atrankinę ir tikslinę narkomanijos prevenciją laisvės atėmimo vietose“, jai įgyvendinti 2014 m. numatoma skirti 5 tūkst. litų. Priemonė „Plėtoti specialistų, įgyvendinančių narkotinių ir psichotropinių medžiagų bei jų pirmtakų (prekursorių) paklausos mažinimo priemones, rengimo ir kvalifikacijos tobulinimo sistemą“, jai įgyvendinti 2014 m. numatoma skirti 20 tūkst. litų.</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bCs/>
          <w:lang w:eastAsia="lt-LT"/>
        </w:rPr>
        <w:t xml:space="preserve">Dėl Komisijos siūlymo laisvės atėmimo vietose dirbančių medicinos darbuotojų koeficientus  suvienodinti su viešosiose asmens sveikatos priežiūros įstaigose dirbančių medicinos darbuotojų koeficientais Teisingumo ministerija paaiškino, kad  </w:t>
      </w:r>
      <w:r w:rsidRPr="00387E75">
        <w:rPr>
          <w:rFonts w:eastAsia="TimesNewRomanPSMT"/>
          <w:lang w:eastAsia="lt-LT"/>
        </w:rPr>
        <w:t xml:space="preserve">2013 m. birželio 13 d. Teisingumo ministerija organizavo tarpinstitucinį pasitarimą, kuriame dalyvavo Teisingumo ministerijos, Finansų ministerijos, Socialinės apsaugos ir darbo ministerijos, Sveikatos apsaugos ministerijos, Vidaus reikalų ministerijos, Kalėjimų departamento atstovai. Be kitų klausimų, taip pat buvo sprendžiamos galimybės 50 proc. didinti tarnybinį atlyginimą laisvės atėmimo vietų įstaigų sveikatos priežiūros specialistams. Pasitarime prieita prie išvados, kad keisti teisės aktų, norint pakelti laisvės atėmimo vietų įstaigų sveikatos priežiūros specialistų tarnybinį atlyginimą, nereikia, tačiau tam būtini papildomi asignavimai. 2013 m. birželio 25 d. Lietuvos Respublikos Vyriausybės posėdyje Teisingumo ministerijos, Finansų ministerijos ir Lietuvos Respublikos Vyriausybės kanceliarijos atstovai nutarė planuojant 2014 metų valstybės biudžetą Kalėjimų departamentui numatyti papildomų asignavimų, tačiau lėšų laisvės atėmimo vietų įstaigų sveikatos priežiūros specialistų atlyginimams didinti nebuvo numatyta, todėl problema išlieka aktuali.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bCs/>
          <w:lang w:eastAsia="lt-LT"/>
        </w:rPr>
        <w:t xml:space="preserve">Dėl Komisijos siūlymo Teisingumo, Socialinės apsaugos ir darbo ir Sveikatos apsaugos ministerijoms bei Lietuvos savivaldybių asociacijai sustiprinti tarpinstitucinį bendradarbiavimą ir koordinavimą dėl asmenų, paleidžiamų iš įkalinimo įstaigų, sėkmingos reabilitacijos ir integracijos į visuomenę, </w:t>
      </w:r>
      <w:r w:rsidRPr="00387E75">
        <w:rPr>
          <w:rFonts w:eastAsia="TimesNewRomanPSMT"/>
          <w:lang w:eastAsia="lt-LT"/>
        </w:rPr>
        <w:t xml:space="preserve">Teisingumo ministerija nurodė, jog aktyviai bendradarbiauja su minėtomis institucijomis, siekdama spręsti problemas, susijusias su asmenų, paleidžiamų iš įkalinimo įstaigų, sėkminga reabilitacija ir integracija į visuomenę. Teisingumo ministerija pagal kompetenciją pasirengusi ir ateityje stiprinti tarpinstitucinį bendradarbiavimą ir koordinavimą sprendžiant įkalintų asmenų resocializavimo problemas.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Socialinės apsaugos ir darbo ministerija</w:t>
      </w:r>
      <w:r>
        <w:rPr>
          <w:rFonts w:eastAsia="TimesNewRomanPSMT"/>
          <w:lang w:eastAsia="lt-LT"/>
        </w:rPr>
        <w:t xml:space="preserve"> </w:t>
      </w:r>
      <w:r w:rsidRPr="00387E75">
        <w:rPr>
          <w:rFonts w:eastAsia="TimesNewRomanPSMT"/>
          <w:lang w:eastAsia="lt-LT"/>
        </w:rPr>
        <w:t xml:space="preserve"> 2013 m. liepos 18 d. raštu Nr. (16.3-42) SD-5095 „Dėl komisijos sprendimo“, vykdydama Lietuvos Respublikos Vyriausybės kanclerio 2013 m. birželio 28 d. pavedimą Nr. 27-2746, atsakė Komisijai, jog pagal kompetenciją išnagrinėjusi Komisijos 2013 m. birželio 12 d. posėdžio protokole Nr. 293-P-10 pateiktą siūlymą dėl tarpinstitucinio bendradarbiavimo ir koordinavimo stiprinimo dėl iš įkalinimo įstaigų paleidžiamų asmenų sėkmingos reabilitacijos ir integracijos į visuomenę, pažymi, kad, vadovaujantis Socialinių paslaugų įstatymo (Žin., 2006, Nr. 17-589) nuostatomis, už socialinių paslaugų teikimo savo teritorijos gyventojams užtikrinimą yra atsakingos savivaldybės. Šiame įstatyme ir jo įgyvendinamuosiuose teisės aktuose yra reglamentuojamas socialinių paslaugų socialinės rizikos asmenims (įskaitant asmenis, paleistus iš įkalinimo įstaigų) skyrimas, teikimas, finansavimas. Asmens (šeimos) socialinių paslaugų poreikio nustatymo ir skyrimo tvarkos aprašo (Žin., 2006, Nr. 43-1571) 25 punkte reglamentuota, kad asmuo, rengiamas paleisti iš laisvės atėmimo, kardomojo kalinimo vietos ar socialinės bei psichologinės reabilitacijos įstaigos, psichiatrijos ligoninės ar kito tipo stacionarios sveikatos priežiūros įstaigos, dėl </w:t>
      </w:r>
      <w:r w:rsidRPr="00387E75">
        <w:rPr>
          <w:rFonts w:eastAsia="TimesNewRomanPSMT"/>
          <w:lang w:eastAsia="lt-LT"/>
        </w:rPr>
        <w:lastRenderedPageBreak/>
        <w:t>socialinės priežiūros ar socialinės globos kreipiasi į minėtų įstaigų socialinius darbuotojus, kurie asmens prašymą ne vėliau kaip likus 30 kalendorinių dienų iki asmens paleidimo iš šių įstaigų pateikia savivaldybei, kurios teritorijoje asmuo gyveno prieš patekdamas į minėtas įstaigas arba kurios teritorijoje gyvena asmens šeima. Įgyvendinant 2007–2013 m. Žmogiškųjų išteklių plėtros veiksmų programos priemonę „Socialinės rizikos ir socialinę atskirtį patiriančių asmenų integracija į darbo rinką“, buvo prisidedama prie nuteistųjų ir asmenų, paleistų iš laisvės atėmimo vietų, socialinės atskirties mažinimo, šių asmenų integracijos į visuomenę. Buvo finansuoti 22 projektai, kuriems įgyvendinti skirta 36,1 mln. litų. Planuota, kad su projektais susijusi veikla apims 6000 asmenų, tačiau šiuo metu su projektais susijusi veikla apima 6840 nuteistųjų ar asmenų, paleistų iš įkalinimo vietų. Projektų vykdymo laikotarpiu siekiama padėti asmeniui ugdyti socialinius, savarankiško gyvenimo ir darbinius įgūdžius, motyvuoti įgyti išsilavinimą ir dirbti, padėti įsidarbinti ar susitvarkyti kitus asmeniui svarbius reikalus. Įgyvendindamos projektus organizacijos bendradarbiauja su Kalėjimų kapelionų asociacija, Kalėjimų departamentu, savivaldybių socialinės paramos skyriais, seniūnijomis, nakvynės namais ir pan.</w:t>
      </w:r>
    </w:p>
    <w:p w:rsidR="004F7425" w:rsidRPr="00387E75" w:rsidRDefault="004F7425" w:rsidP="004F7425">
      <w:pPr>
        <w:autoSpaceDE w:val="0"/>
        <w:autoSpaceDN w:val="0"/>
        <w:adjustRightInd w:val="0"/>
        <w:ind w:firstLine="720"/>
        <w:jc w:val="both"/>
        <w:rPr>
          <w:rFonts w:eastAsia="TimesNewRomanPSMT"/>
          <w:lang w:eastAsia="lt-LT"/>
        </w:rPr>
      </w:pP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b/>
          <w:lang w:eastAsia="lt-LT"/>
        </w:rPr>
        <w:t>V.</w:t>
      </w:r>
      <w:r w:rsidRPr="00387E75">
        <w:rPr>
          <w:rFonts w:eastAsia="TimesNewRomanPSMT"/>
          <w:lang w:eastAsia="lt-LT"/>
        </w:rPr>
        <w:t xml:space="preserve"> Dėl straipsnyje </w:t>
      </w:r>
      <w:r w:rsidRPr="00387E75">
        <w:rPr>
          <w:bCs/>
        </w:rPr>
        <w:t xml:space="preserve">„Nereceptinių vaistų sudėtyje – narkotikų pėdsakai“ nurodytų teiginių. </w:t>
      </w:r>
    </w:p>
    <w:p w:rsidR="004F7425" w:rsidRPr="00387E75" w:rsidRDefault="004F7425" w:rsidP="004F7425">
      <w:pPr>
        <w:autoSpaceDE w:val="0"/>
        <w:autoSpaceDN w:val="0"/>
        <w:adjustRightInd w:val="0"/>
        <w:ind w:firstLine="720"/>
        <w:jc w:val="both"/>
        <w:rPr>
          <w:rFonts w:eastAsia="TimesNewRomanPSMT"/>
          <w:lang w:eastAsia="lt-LT"/>
        </w:rPr>
      </w:pPr>
    </w:p>
    <w:p w:rsidR="004F7425" w:rsidRPr="00387E75" w:rsidRDefault="004F7425" w:rsidP="004F7425">
      <w:pPr>
        <w:ind w:firstLine="720"/>
        <w:jc w:val="both"/>
        <w:rPr>
          <w:bCs/>
        </w:rPr>
      </w:pPr>
      <w:r w:rsidRPr="00387E75">
        <w:rPr>
          <w:bCs/>
        </w:rPr>
        <w:t xml:space="preserve"> Komisija susipažino su 2013 m. spalio 8 d.</w:t>
      </w:r>
      <w:r w:rsidRPr="00387E75">
        <w:t xml:space="preserve"> </w:t>
      </w:r>
      <w:r w:rsidRPr="00387E75">
        <w:rPr>
          <w:rFonts w:eastAsia="TimesNewRomanPSMT"/>
          <w:lang w:eastAsia="lt-LT"/>
        </w:rPr>
        <w:t xml:space="preserve">interneto svetainėje </w:t>
      </w:r>
      <w:r w:rsidRPr="00387E75">
        <w:rPr>
          <w:rFonts w:eastAsia="TimesNewRomanPSMT"/>
          <w:i/>
          <w:lang w:eastAsia="lt-LT"/>
        </w:rPr>
        <w:t>www.lrytas.lt</w:t>
      </w:r>
      <w:r w:rsidRPr="00387E75">
        <w:rPr>
          <w:rFonts w:eastAsia="TimesNewRomanPSMT"/>
          <w:lang w:eastAsia="lt-LT"/>
        </w:rPr>
        <w:t xml:space="preserve"> </w:t>
      </w:r>
      <w:r w:rsidRPr="00387E75">
        <w:rPr>
          <w:bCs/>
        </w:rPr>
        <w:t xml:space="preserve">Evelinos Vališkevičiūtės straipsnyje „Nereceptinių vaistų sudėtyje – narkotikų pėdsakai“ pateikiama informacija. Čia išvardijama, kokiuose nereceptiniuose vaistuose yra opiatų grupės medžiagų, kokios medžiagos sukelia euforiją, kokios medžiagos cheminė struktūra panaši į amfetamino ir sukelia stimuliuojamąjį poveikį.  2013 m. spalio 22 d. Komisija raštu Nr. S-2013-8770 „Dėl informacijos pateikimo“ kreipėsi į  </w:t>
      </w:r>
      <w:r w:rsidRPr="00387E75">
        <w:rPr>
          <w:rFonts w:eastAsia="TimesNewRomanPSMT"/>
          <w:lang w:eastAsia="lt-LT"/>
        </w:rPr>
        <w:t xml:space="preserve"> </w:t>
      </w:r>
      <w:r w:rsidRPr="00387E75">
        <w:rPr>
          <w:bCs/>
        </w:rPr>
        <w:t>Lietuvos Respublikos sveikatos apsaugos</w:t>
      </w:r>
      <w:r w:rsidRPr="00387E75">
        <w:t xml:space="preserve"> ministrą Vytenį Povilą Andriukaitį ir </w:t>
      </w:r>
      <w:r w:rsidRPr="00387E75">
        <w:rPr>
          <w:bCs/>
        </w:rPr>
        <w:t xml:space="preserve">prašė pateikti informaciją, kokių priemonių ėmėsi Sveikatos apsaugos ministerija, kad sumažintų skaičių paauglių, vartojančių raminamuosius ir migdomuosius vaistus bei inhaliantus, gydytojui nepaskyrus. Taip pat prašė įvertinti, ar minėtas E. Vališkevičiūtės straipsnis ir specialistų komentarai atitinka Lietuvos nacionalinę sveikatos politiką ir 2013 metų, kaip Sveikatingumo metų, siekius.  </w:t>
      </w:r>
    </w:p>
    <w:p w:rsidR="004F7425" w:rsidRPr="00387E75" w:rsidRDefault="004F7425" w:rsidP="004F7425">
      <w:pPr>
        <w:ind w:firstLine="720"/>
        <w:jc w:val="both"/>
      </w:pPr>
      <w:r w:rsidRPr="00387E75">
        <w:rPr>
          <w:bCs/>
        </w:rPr>
        <w:t>Komisija minėtu raštu atkreipė dėmesį į tai, kad straipsnyje pabrėžiama, jog sportininkams geriau nevartoti vaistų nuo peršalimo tik varžybų dieną. Paminėta, kad amfetamino darinys pseudoefedrinas ir vaistuose nuo skausmo esantis „narkotikas kodeinas“ stimuliuoja centrinę nervų sistemą (CNS), o nustojus juos gerti „visiškai aiškiai pastebima, kad CNS nebėra stimuliuojama.“  Nurodoma, kad „</w:t>
      </w:r>
      <w:r w:rsidRPr="00387E75">
        <w:t xml:space="preserve">žinomiausi”  opiatų grupės narkotikai yra morfijus, heroinas ir kodeinas.  Kodeino savo sudėtyje (8 mg) turi vaistas nuo skausmo </w:t>
      </w:r>
      <w:r w:rsidRPr="00387E75">
        <w:rPr>
          <w:i/>
        </w:rPr>
        <w:t>Solpadeine</w:t>
      </w:r>
      <w:r w:rsidRPr="00387E75">
        <w:t>.  Straipsnyje pateikti specialistų komentarai, daug specifinės informacijos apie narkotines medžiagas, kurių turintys vaistai gali būti patrauklūs vaikams.</w:t>
      </w:r>
    </w:p>
    <w:p w:rsidR="004F7425" w:rsidRPr="00387E75" w:rsidRDefault="004F7425" w:rsidP="004F7425">
      <w:pPr>
        <w:ind w:firstLine="720"/>
        <w:jc w:val="both"/>
      </w:pPr>
      <w:r w:rsidRPr="00387E75">
        <w:t xml:space="preserve">Komisija pažymėjo, kad Sveikatos apsaugos ministerija yra padariusi išvadą, kad vaistų, turinčių dekstrometorfano, kodeino ir kitų panašių medžiagų, pardavimų skaičius priklauso nuo sezoniškumo ir ligų protrūkio, šių vaistų vartojimas šaltuoju sezono metu padidėja.   Taip pat yra patvirtinta, kad </w:t>
      </w:r>
      <w:r w:rsidRPr="00387E75">
        <w:rPr>
          <w:bCs/>
        </w:rPr>
        <w:t xml:space="preserve">raminamųjų ir migdomųjų vaistų vartojimas tarp paauglių, gydytojui nepaskyrus, Lietuvoje paplitęs ir siekia net 13 proc. </w:t>
      </w:r>
      <w:r w:rsidRPr="00387E75">
        <w:t xml:space="preserve"> </w:t>
      </w:r>
    </w:p>
    <w:p w:rsidR="004F7425" w:rsidRPr="00387E75" w:rsidRDefault="004F7425" w:rsidP="004F7425">
      <w:pPr>
        <w:ind w:firstLine="720"/>
        <w:jc w:val="both"/>
      </w:pPr>
      <w:r w:rsidRPr="00387E75">
        <w:rPr>
          <w:bCs/>
        </w:rPr>
        <w:t xml:space="preserve">Komisija pažymėjo, kad 2009 m. vasario 18 d. svarstė klausimą „Dėl paauglių svaiginimosi vaistais“. Tuomet </w:t>
      </w:r>
      <w:r w:rsidRPr="00387E75">
        <w:t>Sveikatos apsaugos ministerija (</w:t>
      </w:r>
      <w:r w:rsidRPr="00387E75">
        <w:rPr>
          <w:bCs/>
        </w:rPr>
        <w:t xml:space="preserve">2009 metais)  </w:t>
      </w:r>
      <w:r w:rsidRPr="00387E75">
        <w:t xml:space="preserve">Komisijai nurodė, kad į vaistines buvo tiekiami dekstrometorfano turintys vaistiniai preparatai: </w:t>
      </w:r>
      <w:r w:rsidRPr="00387E75">
        <w:rPr>
          <w:i/>
        </w:rPr>
        <w:t>Actifed DM</w:t>
      </w:r>
      <w:r w:rsidRPr="00387E75">
        <w:t xml:space="preserve"> sirupas, </w:t>
      </w:r>
      <w:r w:rsidRPr="00387E75">
        <w:rPr>
          <w:i/>
        </w:rPr>
        <w:t>Robitussin Antitussicum</w:t>
      </w:r>
      <w:r w:rsidRPr="00387E75">
        <w:t xml:space="preserve"> sirupas, </w:t>
      </w:r>
      <w:r w:rsidRPr="00387E75">
        <w:rPr>
          <w:i/>
        </w:rPr>
        <w:t>Robitussin Junior</w:t>
      </w:r>
      <w:r w:rsidRPr="00387E75">
        <w:t xml:space="preserve"> sirupas, </w:t>
      </w:r>
      <w:r w:rsidRPr="00387E75">
        <w:rPr>
          <w:i/>
        </w:rPr>
        <w:t>Theraflu FCC</w:t>
      </w:r>
      <w:r w:rsidRPr="00387E75">
        <w:t xml:space="preserve">, </w:t>
      </w:r>
      <w:r w:rsidRPr="00387E75">
        <w:rPr>
          <w:i/>
        </w:rPr>
        <w:t>Theraflu ND</w:t>
      </w:r>
      <w:r w:rsidRPr="00387E75">
        <w:t xml:space="preserve"> ir </w:t>
      </w:r>
      <w:r w:rsidRPr="00387E75">
        <w:rPr>
          <w:i/>
        </w:rPr>
        <w:t>Theraflu NT</w:t>
      </w:r>
      <w:r w:rsidRPr="00387E75">
        <w:t xml:space="preserve"> milteliai, </w:t>
      </w:r>
      <w:r w:rsidRPr="00387E75">
        <w:rPr>
          <w:i/>
        </w:rPr>
        <w:t>Daleron Cold</w:t>
      </w:r>
      <w:r w:rsidRPr="00387E75">
        <w:t xml:space="preserve"> tabletės, </w:t>
      </w:r>
      <w:r w:rsidRPr="00387E75">
        <w:rPr>
          <w:i/>
        </w:rPr>
        <w:t>Gripex</w:t>
      </w:r>
      <w:r w:rsidRPr="00387E75">
        <w:t xml:space="preserve"> tabletės. Visi šie vaistiniai preparatai ir jų pakuotės atitiko nereceptinių vaistų reikalavus ir buvo įregistruoti kaip nereceptiniai vaistiniai preparatai. Jie yra saugūs vartojant taip, kaip nurodyta pakuotės lapelyje. Vaistiniai preparatai alprazolamas, diazepamas, lorazepamas, temazepamas, triazolamas, zolpidemas įtraukti į Narkotinių ir psichotropinių medžiagų sąrašus, patvirtintus Sveikatos apsaugos ministro 2000 m. sausio 6 d. įsakymu Nr. 5 (Žin., 2000, Nr. 4-113). Minėti preparatai įtraukti į III sąrašą (psichotropinės medžiagos, leidžiamos naudoti medicinos tikslams). Tai yra receptiniai vaistiniai preparatai, kurių išrašymą ir pardavimą gyventojams reglamentuoja Taisyklės. Pagal jų 71 punktą vaikams iki 18 metų draudžiama išduoti (parduoti) vaistus, kuriais piktnaudžiaujant gali išsivystyti priklausomybė ar toksikomanija, t. y. narkotinius ir psichotropinius vaistus, narkotinius ir psichotropinius medžiagų pirmtakus (prekursorius), etanolį ir jo tirpalus, klonidiną, antidepresantus, antihistamininius vaistus. Farmacijos specialistas turi teisę paprašyti, kad receptą pateikęs asmuo parodytų asmens dokumentą. </w:t>
      </w:r>
      <w:r w:rsidRPr="00387E75">
        <w:tab/>
        <w:t xml:space="preserve"> </w:t>
      </w:r>
    </w:p>
    <w:p w:rsidR="004F7425" w:rsidRPr="00387E75" w:rsidRDefault="004F7425" w:rsidP="004F7425">
      <w:pPr>
        <w:ind w:firstLine="720"/>
        <w:jc w:val="both"/>
      </w:pPr>
      <w:r w:rsidRPr="00387E75">
        <w:lastRenderedPageBreak/>
        <w:t xml:space="preserve">Sveikatos apsaugos ministerija 2009 metais tirdama vaikų svaiginimąsi vaistais, turinčiais dekstrometorfano, įvertino vaistų pardavimo apimtis ir sergamumo gripu bei ūmiomis viršutinių kvėpavimo takų infekcijomis ryšį. Sveikatos apsaugos  ministerijos duomenimis, 2006 m. ir 2007 m. buvo stebimas sergamumo rodiklių padidėjimas ūmiomis viršutinių kvėpavimo takų infekcijomis bei gripu žiemos–pavasario ir rudens laikotarpiu. Itin dideli sergamumo gripu rodikliai buvo stebimi 2006 metais, kai Lietuvą buvo apėmusi gripo epidemija. Atitinkamai didėjo ir parduodamų vaistinių preparatų, turinčių dekstrometorfano, skaičius. </w:t>
      </w:r>
    </w:p>
    <w:p w:rsidR="004F7425" w:rsidRPr="00387E75" w:rsidRDefault="004F7425" w:rsidP="004F7425">
      <w:pPr>
        <w:ind w:firstLine="720"/>
        <w:jc w:val="both"/>
      </w:pPr>
      <w:r w:rsidRPr="00387E75">
        <w:t>Sveikatos apsaugos ministerija padarė išvadą, kad parduodamų vaistų, turinčių dekstrometorfano, skaičius priklauso nuo sezoniškumo ir ligų protrūkio. Buvo nustatyta, kad:</w:t>
      </w:r>
    </w:p>
    <w:p w:rsidR="004F7425" w:rsidRPr="00387E75" w:rsidRDefault="004F7425" w:rsidP="004F7425">
      <w:pPr>
        <w:ind w:firstLine="720"/>
        <w:jc w:val="both"/>
      </w:pPr>
      <w:r w:rsidRPr="00387E75">
        <w:t>– vaikų apsinuodijimai  alkoholiu,  narkotinėmis ir psichotropinėmis medžiagomis ir tokie apsinuodijimai narkotikais ir haliucinogenais tarp vaikų yra dažnesni nei tarp sergančių priklausomybės ligomis;</w:t>
      </w:r>
    </w:p>
    <w:p w:rsidR="004F7425" w:rsidRPr="00387E75" w:rsidRDefault="004F7425" w:rsidP="004F7425">
      <w:pPr>
        <w:ind w:firstLine="720"/>
        <w:jc w:val="both"/>
      </w:pPr>
      <w:r w:rsidRPr="00387E75">
        <w:t xml:space="preserve">–   daugiausia (daugiau nei 97 proc.) psichiką veikiančiomis medžiagomis piktnaudžiaujantys vaikai turi 13–18 metų amžių; </w:t>
      </w:r>
    </w:p>
    <w:p w:rsidR="004F7425" w:rsidRPr="00387E75" w:rsidRDefault="004F7425" w:rsidP="004F7425">
      <w:pPr>
        <w:ind w:firstLine="720"/>
        <w:jc w:val="both"/>
      </w:pPr>
      <w:r w:rsidRPr="00387E75">
        <w:t>– 2007 m. dviem vaikams, jaunesniems nei 10 metų amžiaus, stacionarines paslaugas teikiančių ASPĮ buvo diagnozuota priklausomybė nuo raminamųjų medžiagų ir alkoholio.</w:t>
      </w:r>
    </w:p>
    <w:p w:rsidR="004F7425" w:rsidRPr="00387E75" w:rsidRDefault="004F7425" w:rsidP="004F7425">
      <w:pPr>
        <w:ind w:firstLine="720"/>
        <w:jc w:val="both"/>
        <w:rPr>
          <w:bCs/>
        </w:rPr>
      </w:pPr>
      <w:r w:rsidRPr="00387E75">
        <w:t xml:space="preserve">Seimo Narkomanijos ir alkoholizmo prevencijos komisija, įvertinusi Sveikatos apsaugos ministerijos 2009 metais pateiktą informaciją ir atlikusi tyrimą,  priėjo prie išvados, kad būtinas Valstybinės medicininio audito inspekcijos  prie Sveikatos apsaugos ministerijos Sveikatos apsaugos ministerijos sistemos tyrimas ir vertinimas dėl 2007–2008 metais narkotinių ir psichotropinių medžiagų skyrimo ir medicininių receptų išrašymo teisėtumo ir pagrįstumo. Komisija </w:t>
      </w:r>
      <w:r w:rsidRPr="00387E75">
        <w:rPr>
          <w:bCs/>
        </w:rPr>
        <w:t xml:space="preserve"> 2009 m. vasario 18 d. sprendimu Nr.293-P-4 rekomendavo Lietuvos Respublikos Vyriausybei inicijuoti tokį medicininį auditą.</w:t>
      </w:r>
    </w:p>
    <w:p w:rsidR="004F7425" w:rsidRPr="00387E75" w:rsidRDefault="004F7425" w:rsidP="004F7425">
      <w:pPr>
        <w:ind w:firstLine="720"/>
        <w:jc w:val="both"/>
        <w:rPr>
          <w:bCs/>
        </w:rPr>
      </w:pPr>
      <w:r w:rsidRPr="00387E75">
        <w:rPr>
          <w:bCs/>
        </w:rPr>
        <w:t xml:space="preserve">Sveikatos apsaugos ministerija 2009 metais Sveikatos apsaugos ministerijos sistemos audito dėl narkotinių ir psichotropinių medžiagų skyrimo ir medicininių receptų išrašymo teisėtumo ir pagrįstumo bei narkotinių ir psichotropinių medžiagų skyrimo ir medicininių receptų išrašymo vaikams teisėtumo ir pagrįstumo neatliko. </w:t>
      </w:r>
    </w:p>
    <w:p w:rsidR="004F7425" w:rsidRPr="00387E75" w:rsidRDefault="004F7425" w:rsidP="004F7425">
      <w:pPr>
        <w:ind w:firstLine="720"/>
        <w:jc w:val="both"/>
        <w:rPr>
          <w:bCs/>
        </w:rPr>
      </w:pPr>
      <w:r w:rsidRPr="00387E75">
        <w:rPr>
          <w:bCs/>
        </w:rPr>
        <w:t>Komisija pažymėjo, jog Narkotikų, tabako ir alkoholio kontrolės departamentas 2012 m., jau trečią kartą  atlikęs  psichoaktyvių medžiagų vartojimo paplitimo Lietuvoje tyrimą (pirmi du tyrimai – 2004 m. ir 2008 m.), nustatė, kad raminamųjų ir migdomųjų vaistų vartojimas tarp paauglių, gydytojui nepaskyrus, Lietuvoje nuo 1999 m.iki 2007 m. didėjo ir  buvo tarp didžiausių Europoje.</w:t>
      </w:r>
    </w:p>
    <w:p w:rsidR="004F7425" w:rsidRPr="00387E75" w:rsidRDefault="004F7425" w:rsidP="004F7425">
      <w:pPr>
        <w:ind w:firstLine="720"/>
        <w:jc w:val="both"/>
        <w:rPr>
          <w:bCs/>
        </w:rPr>
      </w:pPr>
      <w:r w:rsidRPr="00387E75">
        <w:rPr>
          <w:bCs/>
        </w:rPr>
        <w:t xml:space="preserve">  Nuo 2007 m. iki 2011 m. jų vartojimo bent kartą per gyvenimą paplitimas tarp paauglių šiek tiek sumažėjo. </w:t>
      </w:r>
    </w:p>
    <w:p w:rsidR="004F7425" w:rsidRPr="00387E75" w:rsidRDefault="004F7425" w:rsidP="004F7425">
      <w:pPr>
        <w:ind w:firstLine="720"/>
        <w:jc w:val="both"/>
        <w:rPr>
          <w:bCs/>
        </w:rPr>
      </w:pPr>
      <w:r w:rsidRPr="00387E75">
        <w:rPr>
          <w:bCs/>
        </w:rPr>
        <w:t xml:space="preserve">Vartojusių bent kartą per gyvenimą raminamuosius ir migdomuosius vaistus, gydytojui nepaskyrus, paauglių Lietuvoje buvo 13 proc. (2007 m. – 15, 6 proc.), tarp jų 7 proc. berniukų ir 19 proc. mergaičių. </w:t>
      </w:r>
    </w:p>
    <w:p w:rsidR="004F7425" w:rsidRPr="00387E75" w:rsidRDefault="004F7425" w:rsidP="004F7425">
      <w:pPr>
        <w:ind w:firstLine="720"/>
        <w:jc w:val="both"/>
        <w:rPr>
          <w:bCs/>
        </w:rPr>
      </w:pPr>
      <w:r w:rsidRPr="00387E75">
        <w:rPr>
          <w:bCs/>
        </w:rPr>
        <w:t xml:space="preserve">Inhaliantus bent kartą gyvenime nurodė vartoję 7 proc. Lietuvos paauglių. Inhaliantų vartojimo paplitimas tarp Lietuvos moksleivių nuo 2007 m. padidėjo daugiau negu dvigubai (2007 m. juos vartoję nurodė 3 proc.). </w:t>
      </w:r>
    </w:p>
    <w:p w:rsidR="004F7425" w:rsidRPr="00387E75" w:rsidRDefault="004F7425" w:rsidP="004F7425">
      <w:pPr>
        <w:ind w:firstLine="720"/>
        <w:jc w:val="both"/>
        <w:rPr>
          <w:bCs/>
        </w:rPr>
      </w:pPr>
      <w:r w:rsidRPr="00387E75">
        <w:rPr>
          <w:bCs/>
        </w:rPr>
        <w:t xml:space="preserve">Daugelis mokinių pirmą kartą pabandė narkotinių ir psichotropinių medžiagų, neskaičiuojant alkoholio ir tabako, būdami 13–15 metų amžiaus, o nedaug moksleivių pirma kartą narkotines ir psichotropines medžiagas, neskaičiuojant alkoholio ir tabako, vartoti pabandė vos 9–11 metų amžiaus. </w:t>
      </w:r>
    </w:p>
    <w:p w:rsidR="004F7425" w:rsidRPr="00387E75" w:rsidRDefault="004F7425" w:rsidP="004F7425">
      <w:pPr>
        <w:ind w:firstLine="720"/>
        <w:jc w:val="both"/>
        <w:rPr>
          <w:rFonts w:eastAsia="TimesNewRomanPSMT"/>
          <w:lang w:eastAsia="lt-LT"/>
        </w:rPr>
      </w:pPr>
      <w:r w:rsidRPr="00387E75">
        <w:rPr>
          <w:bCs/>
        </w:rPr>
        <w:t>Sveikatos apsaugos ministerija 2013 m. lapkričio 13 d. raštu Nr. (0.312-50)10-9508 „Dėl informacijos pateikimo“,  i</w:t>
      </w:r>
      <w:r w:rsidRPr="00387E75">
        <w:rPr>
          <w:rFonts w:eastAsia="TimesNewRomanPSMT"/>
          <w:lang w:eastAsia="lt-LT"/>
        </w:rPr>
        <w:t xml:space="preserve">šnagrinėjusi Komisijos 2013 m. spalio 22 d. raštą Nr. S-2013-8770 „Dėl informacijos“ pateikė šią informaciją: </w:t>
      </w:r>
    </w:p>
    <w:p w:rsidR="004F7425" w:rsidRPr="00387E75" w:rsidRDefault="004F7425" w:rsidP="004F7425">
      <w:pPr>
        <w:ind w:firstLine="720"/>
        <w:jc w:val="both"/>
        <w:rPr>
          <w:rFonts w:eastAsia="TimesNewRomanPSMT"/>
          <w:lang w:eastAsia="lt-LT"/>
        </w:rPr>
      </w:pPr>
      <w:r w:rsidRPr="00387E75">
        <w:rPr>
          <w:rFonts w:eastAsia="TimesNewRomanPSMT"/>
          <w:lang w:eastAsia="lt-LT"/>
        </w:rPr>
        <w:t>Lietuvoje 2013 metai buvo paskelbti Sveikatingumo metais, atsižvelgiant į Jungtinių Tautų Pasaulinės sveikatos organizacijos ir Europos Sąjungos raginimą kovoti su lėtinėmis neinfekcinėmis ligomis, tarp jų ir psichikos bei elgesio sutrikimais.</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Remiantis Valstybiniam psichikos sveikatos centrui pateiktų psichikos sveikatos priežiūros įstaigų statistinės apskaitos ataskaitų duomenimis, 2006–2012 metais nebuvo užregistruota psichikos ir elgesio sutrikimų, vartojant raminamąsias ir migdomąsias medžiagas, atvejų tarp asmenų iki 18 metų. Asmenų, kurie kreipėsi į asmens sveikatos priežiūros įstaigas dėl psichikos ir elgesio sutrikimų, vartojant narkotines ir psichotropines medžiagas, stebėsenos informacinės sistemos (AS1S) duomenimis, nuo 2012 m. liepos 1 d. iki 2013 m. spalio 31 d. dėl raminamųjų ir migdomųjų medžiagų vartojimo šalies psichikos sveikatos priežiūros įstaigose asmenys iki 18 metų nesigydė.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lastRenderedPageBreak/>
        <w:t xml:space="preserve">Siekiant, kad vaikai nepradėtų vartoti psichiką veikiančių medžiagų, svarbu kuo anksčiau pradėti ugdyti vaikus taip, kad jie būtų motyvuoti sveikai gyventi, nevartoti tabako, alkoholio, narkotinių ir kitų psichiką veikiančių medžiagų. Šiuo tikslu Lietuvos Respublikos švietimo ir mokslo ministro 2006 m. kovo 17 d. įsakymu Nr. ISAiC-494 (Žin., 2006, Nr. 33-1197) patvirtinta Alkoholio, tabako ir kitų psichiką veikiančių medžiagų vartojimo prevencijos programa, į kurią, pradedant ikimokykliniu ir priešmokykliniu ugdymu, yra integruotos temos apie vaistus. Tai formuoja vertybines nuostatas sveikai gyventi ir atsakingai elgtis su vaistais.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Visuomenės informavimas apie psichiką veikiančių medžiagų vartojimo žalą sveikatai ir sveikos gyvensenos įgūdžių ugdymas – visuomenės sveikatos priežiūros dalis, kuriai vykdyti sukurtas valstybės ir savivaldybių lygmenimis veikiantis visuomenės sveikatos priežiūros įstaigų tinklas. 2011 metais veiklą vykdė savivaldybių  visuomenės sveikatos biurai, iš viso – 32. Jie aktyviai dalyvavo įgyvendinant jau nurodytą Alkoholio, tabako ir kitų psichiką veikiančių medžiagų vartojimo prevencijos programą. 12 savivaldybių yra pasitvirtinusios ir įgyvendina priklausomybę sukeliančių medžiagų vartojimo mažinimo ir prevencijos, alkoholio, tabako, narkotikų bei psichotropinių medžiagų vartojimo prevencijos ir kontrolės programas, žalingų įpročių paplitimo tarp moksleivių ir jų šeimos narių prevencijos programas, psichoaktyviųjų medžiagų vartojimo prevencijos mokymo programas mokinių tėvams (pagal Specialiosios pedagogikos ir psichologijos centro direktoriaus 2007 m. gruodžio 29 d. įsakymu Nr. (1.3)V-263) patvirtintą programą).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Psichiką veikiančių medžiagų vartojimo prevencijos klausimai, įskaitant ir informaciją apie raminamųjų bei migdomųjų medžiagų žalingą poveikį, akcentuojami Valstybinio psichikos sveikatos centro ir Narkotikų, tabako ir alkoholio kontrolės departamento leidiniuose, skirtuose tėvams ir mokytojams. Be minėtų prevencinių priemonių, teisės aktuose išsamiai reglamentuojamas vaistinių preparatų išrašymas ir išdavimas.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Vadovaujantis Receptų rašymo ir vaistų bei kompensuojamųjų medicinos pagalbos priemonių išdavimo (pardavimo) gyventojams taisyklių, patvirtintų Lietuvos Respublikos sveikatos apsaugos ministro 2002 m. kovo 8 d. įsakymu Nr. 112 (Žin. 2002, Nr. 28-1013; 2004, Nr. 70-2467) (toliau – Taisyklės), 70 ir 71 punktais, vaikams iki 10 metų vaistai neparduodami (neišduodami), o vaikams iki 18 metų draudžiama išduoti (parduoti) vaistus, kuriais piktnaudžiaujant gali išsivystyti priklausomybė ar toksikomanija, t. y. narkotinius ir psichotropinius vaistus, narkotinių ir psichotropinių medžiagų pirmtakus (prekursorius), etanolį ir jo tirpalus, klonidiną, antidepresantus, antihistamininius vaistus. Vaistininkas turi teisę paprašyti, kad receptą pateikęs asmuo parodytų asmens dokumentą.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Siekiant sudaryti sąlygas kontroliuoti, kaip laikomasi anksčiau nurodytų reikalavimų, Taisyklių vaistinėms 86 punkte nustatyta pareiga pasilikti ir: 1) 3 metus saugoti receptus, pagal kuriuos išduoti narkotiniai vaistiniai preparatai (išskyrus pramoninės gamybos vaistinius preparatus, turinčių kodeino ar etilmorfino ir išrašomų 1 formos blankuose); 2) 1 metus saugoti receptus, pagal kuriuos išduoti: vaistiniai preparatai, įrašyti į Vaistų ir vaistinių medžiagų, kiekybiškai apskaitomų farmacijos įmonėse, įstaigose ir ASPĮ, sąrašą; ekstemporalūs (vaistinėje gaminami) vaistiniai preparatai, į kurių sudėtį įeina vaistinės medžiagos, įrašytos į Vaistų ir vaistinių medžiagų, kiekybiškai apskaitomų farmacijos ir sveikatos priežiūros įstaigose, įmonėse, sąrašą (išskyrus narkotinius vaistus); psichotropiniai vaistai, receptiniai vaistai, turintys pirmos kategorijos narkotinių ir psichotropinių medžiagų pirmtakų (prekursorių); vardiniai vaistiniai preparatai; chloramfenikolio lašai, išskyrus sudėtinius; antiinfekciniai vaistai, sisteminiam vartojimui grupuojami J grupėje pagal Anatominio terapinio cheminio (ATC) indekso, patvirtinto Pasaulio sveikatos organizacijos, pirmąjį kodo lygį.</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 xml:space="preserve">Siekiant išvengti galimų piktnaudžiavimo atvejų ir užtikrinti geresnę antidepresantų bei antipsichozinių vaistų išdavimo (pardavimo) kontrolę, sveikatos apsaugos ministro 2012 m. balandžio 26 d. įsakymu Nr. V-367 (Žin., 2012, Nr. 51-2542) patvirtintas Taisyklių pakeitimas, kuriuo nustatytas reikalavimas vaistinėse palikti ir saugoti 1 metus receptus, pagal kuriuos išduoti (parduoti) antidepresantai, grupuojami N06A pogrupyje pagal Anatominio terapinio cheminio (ATC) indekso, patvirtinto Pasaulio sveikatos organizacijos, trečiąjį kodo lygį, ir antipsichoziniai vaistai, grupuojami N05A pogrupyje pagal (ATC) indekso trečiąjį kodo lygį. </w:t>
      </w:r>
    </w:p>
    <w:p w:rsidR="004F7425" w:rsidRPr="00387E75" w:rsidRDefault="004F7425" w:rsidP="004F7425">
      <w:pPr>
        <w:autoSpaceDE w:val="0"/>
        <w:autoSpaceDN w:val="0"/>
        <w:adjustRightInd w:val="0"/>
        <w:ind w:firstLine="720"/>
        <w:jc w:val="both"/>
        <w:rPr>
          <w:rFonts w:eastAsia="TimesNewRomanPSMT"/>
          <w:lang w:eastAsia="lt-LT"/>
        </w:rPr>
      </w:pPr>
      <w:r w:rsidRPr="00387E75">
        <w:rPr>
          <w:rFonts w:eastAsia="TimesNewRomanPSMT"/>
          <w:lang w:eastAsia="lt-LT"/>
        </w:rPr>
        <w:t>Sveikatos apsaugos ministerija minėtame rašte pažymėjo, kad kontroliuojami narkotiniai ir psichotropiniai vaistiniai preparatai priskiriami receptiniams vaistiniams preparatams ir be recepto neparduodami, todėl vaistinėje jų įsigyti, gydytojui nepaskyrus. paaugliai neturi galimybės.</w:t>
      </w:r>
    </w:p>
    <w:p w:rsidR="004F7425" w:rsidRPr="00387E75" w:rsidRDefault="004F7425" w:rsidP="004F7425">
      <w:pPr>
        <w:autoSpaceDE w:val="0"/>
        <w:autoSpaceDN w:val="0"/>
        <w:adjustRightInd w:val="0"/>
        <w:ind w:firstLine="720"/>
        <w:jc w:val="both"/>
        <w:rPr>
          <w:rFonts w:eastAsia="TimesNewRomanPSMT"/>
          <w:bCs/>
          <w:lang w:eastAsia="lt-LT"/>
        </w:rPr>
      </w:pPr>
      <w:r w:rsidRPr="00387E75">
        <w:rPr>
          <w:rFonts w:eastAsia="TimesNewRomanPSMT"/>
          <w:lang w:eastAsia="lt-LT"/>
        </w:rPr>
        <w:t xml:space="preserve">Valstybinės vaistų kontrolės tarnybos prie Lietuvos Respublikos sveikatos apsaugos  ministerijos Inspektavimo skyrius reguliariai atlieka planinius ir neplaninius patikrinimus vaistinėse, kartu kontroliuoja, kad narkotiniai ar psichotropiniai vaistiniai preparatai nebūtų parduodami be </w:t>
      </w:r>
      <w:r w:rsidRPr="00387E75">
        <w:rPr>
          <w:rFonts w:eastAsia="TimesNewRomanPSMT"/>
          <w:lang w:eastAsia="lt-LT"/>
        </w:rPr>
        <w:lastRenderedPageBreak/>
        <w:t xml:space="preserve">recepto. Minėto skyriaus darbuotojai atkreipė dėmesį, kad vaistiniai preparatai, kurie gali būti inhaliuojarai ir veikia centrinę nervų sistemą, yra inhaliaciniai bendrieji anestetikai (narkozę sukeliantys vaistai) ir tiekiami tik ligoninėms. Jų įsigyti vaistinėse negalima. Kitų psichotropinių vaistų inhaliacinėmis formomis nėra. 2011 m. Valstybinė medicininio audito inspekcija prie Sveikatos apsaugos ministerijos (toliau – VMAI) atliko 10 asmens sveikatos priežiūros įstaigų, teikiančių vaikų ir paauglių psichiatrijos paslaugas, 2010 metais teiktų vaikų ir paauglių psichiatrijos paslaugų planinius kokybės patikrinimus dėl narkotinių ir psichotropinių medžiagų skyrimo vaikams teisėtumo ir pagrįstumo. Viena iš pateiktų išvadų buvo, kad visais vertintais atvejais pacientams skirtas gydymas psichotropiniais vaistais buvo adekvatus nustatytoms diagnozėms, tinkamai įvertinus bei aprašius pacientų nusiskundimus, anamnezę bei objektyvią būklę. Komisijos raštu nurodytame 2013 m. spalio 8 d. interneto svetainėje </w:t>
      </w:r>
      <w:r w:rsidRPr="00387E75">
        <w:rPr>
          <w:rFonts w:eastAsia="TimesNewRomanPSMT"/>
          <w:i/>
          <w:lang w:eastAsia="lt-LT"/>
        </w:rPr>
        <w:t>www.lrytas.lt</w:t>
      </w:r>
      <w:r w:rsidRPr="00387E75">
        <w:rPr>
          <w:rFonts w:eastAsia="TimesNewRomanPSMT"/>
          <w:lang w:eastAsia="lt-LT"/>
        </w:rPr>
        <w:t xml:space="preserve"> paskelbtame E. Vališkevičiūtės straipsnyje „Nereceptinių vaistų sudėtyje – narkotikų pėdsakai“ įvardijami vaistiniai preparatai, kuriuose yra pseudoefedrino ir kodeino, cituojami sveikatos priežiūros specialistų komentarai, kurie iš esmės yra teisingi. Tačiau straipsnyje pateikiama klaidinanti ir neteisinga informacija, sudaranti įspūdį, jog kai kurie vaistiniai preparatai turi neteisėtų veikliųjų medžiagų ir tokie vaistiniai preparatai yra laisvai prieinami vartotojams. Priešingai, nei teigiama straipsnyje, pseudoefedrinas nėra narkotinė medžiaga ar narkotiko amfetamino darinys. Jis nėra įtrauktas į Narkotinių ir psichotropinių medžiagų sąrašus, patvirtintus Lietuvos Respublikos sveikatos apsaugos ministro 2000 m. sausio 6 d. įsakymu Nr. 5 (Žin., 2000, Nr. 4-113). Pseudoefedrinas plačiai vartojamas kaip nosiaryklės užburkimą mažinantis vaistinis preparatas. Šis vaistinis preparatas sutraukia periferines kraujagysles (taip pat ir viršutinių kvėpavimo takų), mažina kvėpavimo organų gleivinės paburkimą, pilnakraujystę (dėl to pasireiškia nosies užgulimą mažinantis poveikis), atpalaiduoja bronchus (dėl to palengvėja kvėpavimas), didina širdies susitraukimų dažnį ir kraujospūdį, mažina virškinimo trakto lygiųjų raumenų tonusą, šiek tiek stimuliuoja centrinę nervų sistemą. Centrinę nervų sistemą stimuliuojantis pseudoefedrino poveikis silpnas ir su nuotaikos pagerėjimu bei jėgų antplūdžiu nesusijęs. Šalutinis vaistinių preparatų, kurie turi psedoefedrino, poveikis yra žinomas. Dažniau pasitaikantys šalutiniai poveikiai, susiję su pseudoefedrmu, yra nemiga, nervingumas, neramumas, burnos džiūvimas, pykinimas, vėmimas. Perdozavus pseudoefedrino gali atsirasti centrinės nervų sistemos ir širdies veiklos sudirginimo požymių. Priklausomybės šis vaistinis preparatas nesukelia. Nutraukus vaistinio preparato vartojimą abstinencija nepasireiškia. Vartojant vaistinius preparatus, kurie turi pseudoefedrino, pagal pakuotės lapelyje pateiktas dozavimo rekomendacijas ir neviršijant rekomenduojamų dozių, žalingas poveikis organizmui neturėtų pasireikšti. Didžiausia leistina vaistinių preparatų, kurie turi pseudoefedrino, paros dozė ir maksimali vartojimo trukmė nurodoma pakuotės lapelyje ir gali skirtis, ta priklauso nuo konkretaus vaistinio preparato sudėties. Lietuvoje registruotuose vaistiniuose preparatuose esantis pseudoefedrino kiekis (ne daugiau kaip 60 mg) atitinka Europos direktorato vaistų kokybei ir sveikatos rūpybai (angl. </w:t>
      </w:r>
      <w:r w:rsidRPr="00387E75">
        <w:rPr>
          <w:rFonts w:eastAsia="TimesNewRomanPSMT"/>
          <w:i/>
          <w:iCs/>
          <w:lang w:eastAsia="lt-LT"/>
        </w:rPr>
        <w:t xml:space="preserve">EDQM) </w:t>
      </w:r>
      <w:r w:rsidRPr="00387E75">
        <w:rPr>
          <w:rFonts w:eastAsia="TimesNewRomanPSMT"/>
          <w:lang w:eastAsia="lt-LT"/>
        </w:rPr>
        <w:t xml:space="preserve">dokumentuose apibrėžtus reikalavimus be recepto išduodamų vaistinių preparatų, skirtų nosies užgulimui mažinti, sudėčiai. Lietuvoje yra įregistruoti šie nereceptiniai vaistiniai preparatai, turintys kodeino: </w:t>
      </w:r>
      <w:r w:rsidRPr="00387E75">
        <w:rPr>
          <w:rFonts w:eastAsia="TimesNewRomanPSMT"/>
          <w:i/>
          <w:iCs/>
          <w:lang w:eastAsia="lt-LT"/>
        </w:rPr>
        <w:t xml:space="preserve">Solpadeine </w:t>
      </w:r>
      <w:r w:rsidRPr="00387E75">
        <w:rPr>
          <w:rFonts w:eastAsia="TimesNewRomanPSMT"/>
          <w:iCs/>
          <w:lang w:eastAsia="lt-LT"/>
        </w:rPr>
        <w:t>tabletės</w:t>
      </w:r>
      <w:r w:rsidRPr="00387E75">
        <w:rPr>
          <w:rFonts w:eastAsia="TimesNewRomanPSMT"/>
          <w:i/>
          <w:iCs/>
          <w:lang w:eastAsia="lt-LT"/>
        </w:rPr>
        <w:t xml:space="preserve"> </w:t>
      </w:r>
      <w:r w:rsidRPr="00387E75">
        <w:rPr>
          <w:rFonts w:eastAsia="TimesNewRomanPSMT"/>
          <w:lang w:eastAsia="lt-LT"/>
        </w:rPr>
        <w:t xml:space="preserve">ir </w:t>
      </w:r>
      <w:r w:rsidRPr="00387E75">
        <w:rPr>
          <w:rFonts w:eastAsia="TimesNewRomanPSMT"/>
          <w:i/>
          <w:iCs/>
          <w:lang w:eastAsia="lt-LT"/>
        </w:rPr>
        <w:t xml:space="preserve">Solpadeine </w:t>
      </w:r>
      <w:r w:rsidRPr="00387E75">
        <w:rPr>
          <w:rFonts w:eastAsia="TimesNewRomanPSMT"/>
          <w:iCs/>
          <w:lang w:eastAsia="lt-LT"/>
        </w:rPr>
        <w:t>tirpinamosios tabletės</w:t>
      </w:r>
      <w:r w:rsidRPr="00387E75">
        <w:rPr>
          <w:rFonts w:eastAsia="TimesNewRomanPSMT"/>
          <w:i/>
          <w:iCs/>
          <w:lang w:eastAsia="lt-LT"/>
        </w:rPr>
        <w:t xml:space="preserve">, </w:t>
      </w:r>
      <w:r w:rsidRPr="00387E75">
        <w:rPr>
          <w:rFonts w:eastAsia="TimesNewRomanPSMT"/>
          <w:iCs/>
          <w:lang w:eastAsia="lt-LT"/>
        </w:rPr>
        <w:t>turinčios</w:t>
      </w:r>
      <w:r w:rsidRPr="00387E75">
        <w:rPr>
          <w:rFonts w:eastAsia="TimesNewRomanPSMT"/>
          <w:lang w:eastAsia="lt-LT"/>
        </w:rPr>
        <w:t xml:space="preserve"> 500 mg paracetamolio, 8 mg kodeino fosfato hemihidrato ir 30 mg kofeino. Kodeinas yra opiatas (t. y. iš opijaus išgaunama medžiaga), kuriam būdingas vidutinio stiprumo skausmą malšinantis ir silpnas kosulį slopinantis poveikis. Vadovaujantis 1961 metų Jungtinių Tautų Organizacijos Bendrosios narkotinių medžiagų konvencijos (Žin, 2001, Nr. 51-1768) III sąraše nurodyta išimtimi, taip pat Lietuvos Respublikos sveikatos apsaugos ministro 2000 m. sausio 6 d. įsakymu Nr. 5 „Dėl narkotinių ir psichotropinių medžiagų sąrašų patvirtinimo“ (Žin., 2000, Nr. 4-113), kodeino turintys preparatai yra priskiriami Psichotropinių medžiagų, leidžiamų vartoti medicinos tikslams, III sąrašui ir yra kontroliuojami tik tuomet, kai vienoje vaisto dozėje kodeino yra daugiau nei 100 mg arba kodeino koncentracija viršija 2,5 procento. Taigi sudėtiniai vaistiniai preparatai, turintys mažą kodeino dozę (šiuo atveju 8 mg), nėra laikytini psichotropiniais vaistiniais preparatais, todėl Lietuvoje ir kitose Europos Sąjungos šalyse yra išduodami be recepto. Vartojant sudėtinius skausmą malšinančius vaistinius preparatus medicininiais tikslais ir laikantis dozavimo rekomendacijų, pavojaus atsirasti priklausomybei nėra, baigus trumpalaikį vaistinio preparato vartojimą, abstinencija nepasireiškia. Siekiant išvengti netinkamo kodeino turinčių vaistinių preparatų vartojimo, ribojamas nereceptinių skausmą malšinančių preparatų pakuotės dydis. Nedidelė pakuotė (N 12) neviršija vaistinio preparato pakuotės lapelyje nurodytos </w:t>
      </w:r>
      <w:r w:rsidRPr="00387E75">
        <w:rPr>
          <w:rFonts w:eastAsia="TimesNewRomanPSMT"/>
          <w:bCs/>
          <w:lang w:eastAsia="lt-LT"/>
        </w:rPr>
        <w:t>maksimalios vartojimo trukmės (3 paros) nesikreipiant į</w:t>
      </w:r>
      <w:r w:rsidRPr="00387E75">
        <w:rPr>
          <w:rFonts w:eastAsia="TimesNewRomanPSMT"/>
          <w:i/>
          <w:iCs/>
          <w:lang w:eastAsia="lt-LT"/>
        </w:rPr>
        <w:t xml:space="preserve"> </w:t>
      </w:r>
      <w:r w:rsidRPr="00387E75">
        <w:rPr>
          <w:rFonts w:eastAsia="TimesNewRomanPSMT"/>
          <w:bCs/>
          <w:lang w:eastAsia="lt-LT"/>
        </w:rPr>
        <w:t>gydytoją ir vartojant didžiausią rekomenduojamą paros dozę (8 tabletes).</w:t>
      </w:r>
    </w:p>
    <w:p w:rsidR="004F7425" w:rsidRPr="00387E75" w:rsidRDefault="004F7425" w:rsidP="004F7425">
      <w:pPr>
        <w:autoSpaceDE w:val="0"/>
        <w:autoSpaceDN w:val="0"/>
        <w:adjustRightInd w:val="0"/>
        <w:ind w:firstLine="720"/>
        <w:jc w:val="both"/>
        <w:rPr>
          <w:rFonts w:eastAsia="TimesNewRomanPSMT"/>
          <w:bCs/>
          <w:lang w:eastAsia="lt-LT"/>
        </w:rPr>
      </w:pPr>
      <w:r w:rsidRPr="00387E75">
        <w:rPr>
          <w:rFonts w:eastAsia="TimesNewRomanPSMT"/>
          <w:bCs/>
          <w:lang w:eastAsia="lt-LT"/>
        </w:rPr>
        <w:lastRenderedPageBreak/>
        <w:t>Sveikatos apsaugos ministerija atkreipė dėmesį, kad žiniasklaidai minint konkrečius vaistinių preparatų pavadinimus ir teigiant, kad jie turi narkotinių, psichotropinių medžiagų, galima paskatinti jaunimo piktnaudžiavimą tokiais vaistiniais preparatais. Dėl šios priežasties Sveikatos apsaugos  ministerijai neaiškus pirmiau nurodyto straipsnio paskelbimo tikslas. Psichiką veikiančių medžiagų vartojimo prevencijos vykdymas turėtų būti ne vien tik sveikatos, švietimo specialistų, bet ir žurnalistų, skelbiančių informaciją viešojoje erdvėje, pareiga ir atsakomybė. Todėl žiniasklaidos teikiama informacija psichiką veikiančių medžiagų vartojimo tema turi būti objektyvi ir atitinkanti tam tikrus informacijos apie vaistinius preparatus reikalavimus.</w:t>
      </w:r>
    </w:p>
    <w:p w:rsidR="004F7425" w:rsidRPr="00387E75" w:rsidRDefault="004F7425" w:rsidP="004F7425">
      <w:pPr>
        <w:autoSpaceDE w:val="0"/>
        <w:autoSpaceDN w:val="0"/>
        <w:adjustRightInd w:val="0"/>
        <w:jc w:val="both"/>
        <w:rPr>
          <w:rFonts w:eastAsia="TimesNewRomanPSMT"/>
          <w:bCs/>
          <w:lang w:eastAsia="lt-LT"/>
        </w:rPr>
      </w:pPr>
    </w:p>
    <w:p w:rsidR="004F7425" w:rsidRPr="00387E75" w:rsidRDefault="004F7425" w:rsidP="004F7425">
      <w:pPr>
        <w:ind w:firstLine="720"/>
        <w:jc w:val="both"/>
        <w:rPr>
          <w:rFonts w:eastAsia="Arial Unicode MS"/>
        </w:rPr>
      </w:pPr>
      <w:r w:rsidRPr="00387E75">
        <w:rPr>
          <w:rFonts w:eastAsia="TimesNewRomanPSMT"/>
          <w:b/>
          <w:bCs/>
          <w:lang w:eastAsia="lt-LT"/>
        </w:rPr>
        <w:t>VI.</w:t>
      </w:r>
      <w:r w:rsidRPr="00387E75">
        <w:rPr>
          <w:rFonts w:eastAsia="Arial Unicode MS"/>
        </w:rPr>
        <w:t xml:space="preserve"> Dėl pašalinių asmenų patekimo be mokyklos vadovų žinios į mokyklos patalpas ir mokyklos teritorijas kontrolės priemonių pagal ES patirtį.</w:t>
      </w:r>
    </w:p>
    <w:p w:rsidR="004F7425" w:rsidRPr="00387E75" w:rsidRDefault="004F7425" w:rsidP="004F7425">
      <w:pPr>
        <w:ind w:firstLine="720"/>
        <w:jc w:val="both"/>
        <w:rPr>
          <w:rFonts w:eastAsia="TimesNewRomanPSMT"/>
          <w:bCs/>
          <w:lang w:eastAsia="lt-LT"/>
        </w:rPr>
      </w:pPr>
      <w:r w:rsidRPr="00387E75">
        <w:rPr>
          <w:rFonts w:eastAsia="TimesNewRomanPSMT"/>
          <w:bCs/>
          <w:lang w:eastAsia="lt-LT"/>
        </w:rPr>
        <w:t xml:space="preserve"> </w:t>
      </w:r>
    </w:p>
    <w:p w:rsidR="004F7425" w:rsidRPr="00387E75" w:rsidRDefault="004F7425" w:rsidP="004F7425">
      <w:pPr>
        <w:autoSpaceDE w:val="0"/>
        <w:autoSpaceDN w:val="0"/>
        <w:adjustRightInd w:val="0"/>
        <w:ind w:firstLine="720"/>
        <w:jc w:val="both"/>
        <w:rPr>
          <w:rFonts w:eastAsia="TimesNewRomanPSMT"/>
          <w:bCs/>
          <w:lang w:eastAsia="lt-LT"/>
        </w:rPr>
      </w:pPr>
      <w:r w:rsidRPr="00387E75">
        <w:rPr>
          <w:rFonts w:eastAsia="TimesNewRomanPSMT"/>
          <w:bCs/>
          <w:lang w:eastAsia="lt-LT"/>
        </w:rPr>
        <w:t xml:space="preserve">Komisijos 2013 m. rugsėjo 18 d. posėdyje nagrinėti </w:t>
      </w:r>
      <w:r w:rsidRPr="00387E75">
        <w:rPr>
          <w:rFonts w:eastAsia="Arial Unicode MS"/>
        </w:rPr>
        <w:t xml:space="preserve">pašalinių asmenų patekimo be mokyklos vadovų žinios į mokyklos patalpas ir mokyklos teritorijas kontrolės priemonių klausimai. </w:t>
      </w:r>
    </w:p>
    <w:p w:rsidR="004F7425" w:rsidRPr="00387E75" w:rsidRDefault="004F7425" w:rsidP="004F7425">
      <w:pPr>
        <w:pStyle w:val="Pasiulymai"/>
        <w:tabs>
          <w:tab w:val="left" w:pos="4980"/>
        </w:tabs>
      </w:pPr>
      <w:r w:rsidRPr="00387E75">
        <w:t xml:space="preserve">            Komisija priėmė sprendimą: </w:t>
      </w:r>
    </w:p>
    <w:p w:rsidR="004F7425" w:rsidRPr="00387E75" w:rsidRDefault="004F7425" w:rsidP="00892E5C">
      <w:pPr>
        <w:keepNext/>
        <w:numPr>
          <w:ilvl w:val="0"/>
          <w:numId w:val="56"/>
        </w:numPr>
        <w:ind w:left="0" w:firstLine="720"/>
      </w:pPr>
      <w:r w:rsidRPr="00387E75">
        <w:t xml:space="preserve"> Pakeisti Lietuvos Respublikos švietimo įstatymo 43 straipsnio 9 dalį ir ją išdėstyti taip:</w:t>
      </w:r>
    </w:p>
    <w:p w:rsidR="004F7425" w:rsidRPr="00387E75" w:rsidRDefault="004F7425" w:rsidP="004F7425">
      <w:pPr>
        <w:pStyle w:val="Pasiulymai"/>
      </w:pPr>
      <w:r w:rsidRPr="00387E75">
        <w:t xml:space="preserve">„9. Mokykla privalo užtikrinti ugdymo, mokymo, studijų, švietimo programų vykdymą, atvirumą vietos bendruomenei, mokymo sutarties sudarymą bei sutartų įsipareigojimų vykdymą, geros kokybės švietimą, mokinių saugumą ir sveikatą. Mokinių saugumo užtikrinimui ir sveikatos rizikos veiksnių prevencijai mokyklos teritorija </w:t>
      </w:r>
      <w:r w:rsidRPr="00387E75">
        <w:rPr>
          <w:b/>
        </w:rPr>
        <w:t xml:space="preserve">kartu su statiniais ir įrenginiais apsaugoma įvairiomis kompleksinėmis priemonėmis (tvora, vaizdo kameromis, elektroninių ryšių priemonėmis ir kt.) </w:t>
      </w:r>
      <w:r w:rsidRPr="00387E75">
        <w:rPr>
          <w:strike/>
        </w:rPr>
        <w:t>aptveriama, apželdinama, valoma, saugoma ir joje esantys statiniai</w:t>
      </w:r>
      <w:r w:rsidRPr="00387E75">
        <w:t xml:space="preserve"> bei </w:t>
      </w:r>
      <w:r w:rsidRPr="00387E75">
        <w:rPr>
          <w:strike/>
        </w:rPr>
        <w:t>įrenginiai</w:t>
      </w:r>
      <w:r w:rsidRPr="00387E75">
        <w:t xml:space="preserve"> prižiūrim</w:t>
      </w:r>
      <w:r w:rsidRPr="00387E75">
        <w:rPr>
          <w:strike/>
        </w:rPr>
        <w:t>i</w:t>
      </w:r>
      <w:r w:rsidRPr="00387E75">
        <w:rPr>
          <w:b/>
        </w:rPr>
        <w:t>a</w:t>
      </w:r>
      <w:r w:rsidRPr="00387E75">
        <w:t xml:space="preserve"> Vyriausybės ar jos įgaliotos institucijos nustatyta tvarka.“</w:t>
      </w:r>
    </w:p>
    <w:p w:rsidR="004F7425" w:rsidRPr="00387E75" w:rsidRDefault="004F7425" w:rsidP="00892E5C">
      <w:pPr>
        <w:pStyle w:val="Pasiulymai"/>
        <w:numPr>
          <w:ilvl w:val="0"/>
          <w:numId w:val="56"/>
        </w:numPr>
      </w:pPr>
      <w:r w:rsidRPr="00387E75">
        <w:t>Tikslinga nustatyti realią įstatymo įsigaliojimo datą.</w:t>
      </w:r>
    </w:p>
    <w:p w:rsidR="004F7425" w:rsidRPr="00387E75" w:rsidRDefault="004F7425" w:rsidP="004F7425">
      <w:pPr>
        <w:pStyle w:val="Pasiulymai"/>
        <w:ind w:left="720"/>
      </w:pPr>
      <w:r w:rsidRPr="00387E75">
        <w:t>Pakeisti įstatymo projekto 2 straipsnį ir jį išdėstyti taip:</w:t>
      </w:r>
    </w:p>
    <w:p w:rsidR="004F7425" w:rsidRPr="00387E75" w:rsidRDefault="004F7425" w:rsidP="004F7425">
      <w:pPr>
        <w:pStyle w:val="Pasiulymai"/>
        <w:rPr>
          <w:b/>
        </w:rPr>
      </w:pPr>
      <w:r w:rsidRPr="00387E75">
        <w:t xml:space="preserve">            „</w:t>
      </w:r>
      <w:r w:rsidRPr="00387E75">
        <w:rPr>
          <w:b/>
        </w:rPr>
        <w:t>2 straipsnis. Įstatymo įsigaliojimas ir įgyvendinimas</w:t>
      </w:r>
    </w:p>
    <w:p w:rsidR="004F7425" w:rsidRPr="00387E75" w:rsidRDefault="004F7425" w:rsidP="004F7425">
      <w:pPr>
        <w:ind w:firstLine="720"/>
        <w:jc w:val="both"/>
        <w:rPr>
          <w:lang w:eastAsia="lt-LT"/>
        </w:rPr>
      </w:pPr>
      <w:r w:rsidRPr="00387E75">
        <w:rPr>
          <w:color w:val="000000"/>
          <w:lang w:eastAsia="lt-LT"/>
        </w:rPr>
        <w:t xml:space="preserve">1. Šis įstatymas, išskyrus 2 straipsnio 2 dalį, įsigalioja </w:t>
      </w:r>
      <w:r w:rsidRPr="00387E75">
        <w:rPr>
          <w:strike/>
          <w:color w:val="000000"/>
          <w:lang w:eastAsia="lt-LT"/>
        </w:rPr>
        <w:t xml:space="preserve">2011 m. liepos 1 d. </w:t>
      </w:r>
      <w:r w:rsidRPr="00387E75">
        <w:rPr>
          <w:b/>
          <w:color w:val="000000"/>
          <w:lang w:eastAsia="lt-LT"/>
        </w:rPr>
        <w:t>2014 m. rugsėjo 1 d.</w:t>
      </w:r>
    </w:p>
    <w:p w:rsidR="004F7425" w:rsidRPr="00387E75" w:rsidRDefault="004F7425" w:rsidP="004F7425">
      <w:pPr>
        <w:pStyle w:val="Pasiulymai"/>
        <w:ind w:firstLine="720"/>
        <w:rPr>
          <w:color w:val="000000"/>
          <w:lang w:eastAsia="lt-LT"/>
        </w:rPr>
      </w:pPr>
      <w:r w:rsidRPr="00387E75">
        <w:rPr>
          <w:color w:val="000000"/>
          <w:lang w:eastAsia="lt-LT"/>
        </w:rPr>
        <w:t xml:space="preserve">2. Vyriausybė arba jos įgaliotos valstybės institucijos iki </w:t>
      </w:r>
      <w:r w:rsidRPr="00387E75">
        <w:rPr>
          <w:strike/>
          <w:color w:val="000000"/>
          <w:lang w:eastAsia="lt-LT"/>
        </w:rPr>
        <w:t xml:space="preserve">šio įstatymo įsigaliojimo dienos </w:t>
      </w:r>
      <w:r w:rsidRPr="00387E75">
        <w:rPr>
          <w:b/>
          <w:color w:val="000000"/>
          <w:lang w:eastAsia="lt-LT"/>
        </w:rPr>
        <w:t>2014 m. rugpjūčio 31 d</w:t>
      </w:r>
      <w:r w:rsidRPr="00387E75">
        <w:rPr>
          <w:color w:val="000000"/>
          <w:lang w:eastAsia="lt-LT"/>
        </w:rPr>
        <w:t>. parengia ir patvirtina būtinus šio įstatymo įgyvendinamuosius teisės aktus.“</w:t>
      </w:r>
    </w:p>
    <w:p w:rsidR="004F7425" w:rsidRPr="00387E75" w:rsidRDefault="004F7425" w:rsidP="004F7425">
      <w:pPr>
        <w:ind w:firstLine="720"/>
        <w:jc w:val="both"/>
      </w:pPr>
      <w:r w:rsidRPr="00387E75">
        <w:rPr>
          <w:bCs/>
        </w:rPr>
        <w:t xml:space="preserve">3. Parengtus pasiūlymus dėl </w:t>
      </w:r>
      <w:r w:rsidRPr="00387E75">
        <w:t xml:space="preserve">Lietuvos Respublikos švietimo įstatymo 43 straipsnio pakeitimo įstatymo projekto Nr. XIP-2990 </w:t>
      </w:r>
      <w:r w:rsidRPr="00387E75">
        <w:rPr>
          <w:bCs/>
        </w:rPr>
        <w:t xml:space="preserve"> teikti Lietuvos Respublikos Seimui</w:t>
      </w:r>
      <w:r w:rsidRPr="00387E75">
        <w:t>.</w:t>
      </w:r>
    </w:p>
    <w:p w:rsidR="004F7425" w:rsidRPr="00387E75" w:rsidRDefault="004F7425" w:rsidP="004F7425">
      <w:pPr>
        <w:ind w:firstLine="720"/>
        <w:jc w:val="both"/>
      </w:pPr>
      <w:r w:rsidRPr="00387E75">
        <w:rPr>
          <w:bCs/>
        </w:rPr>
        <w:t xml:space="preserve">4. </w:t>
      </w:r>
      <w:r w:rsidRPr="00387E75">
        <w:t xml:space="preserve">Lietuvos Respublikos švietimo įstatymo 43 straipsnio pakeitimo įstatymo projektą Nr. XIP-2990  kartu su parengtais pasiūlymais svarstyti Komisijos posėdyje ir pateikti išvadas. </w:t>
      </w:r>
    </w:p>
    <w:p w:rsidR="004F7425" w:rsidRPr="00387E75" w:rsidRDefault="004F7425" w:rsidP="004F7425">
      <w:pPr>
        <w:ind w:firstLine="720"/>
        <w:jc w:val="both"/>
        <w:rPr>
          <w:rFonts w:eastAsia="Arial Unicode MS"/>
        </w:rPr>
      </w:pPr>
      <w:r w:rsidRPr="00387E75">
        <w:rPr>
          <w:rFonts w:eastAsia="Arial Unicode MS"/>
        </w:rPr>
        <w:t>Komisijos 2013 m. spalio 23 d. posėdyje patvirtintos išvados „Dėl Lietuvos Respublikos švietimo įstatymo 43 straipsnio pakeitimo įstatymo projekto Nr. XIP-2990“.</w:t>
      </w:r>
    </w:p>
    <w:p w:rsidR="004F7425" w:rsidRPr="00387E75" w:rsidRDefault="004F7425" w:rsidP="004F7425">
      <w:pPr>
        <w:ind w:firstLine="720"/>
        <w:jc w:val="both"/>
        <w:rPr>
          <w:rFonts w:eastAsia="Arial Unicode MS"/>
        </w:rPr>
      </w:pPr>
    </w:p>
    <w:p w:rsidR="004F7425" w:rsidRPr="00387E75" w:rsidRDefault="004F7425" w:rsidP="004F7425">
      <w:pPr>
        <w:ind w:firstLine="720"/>
        <w:jc w:val="both"/>
        <w:rPr>
          <w:rFonts w:eastAsia="Arial Unicode MS"/>
        </w:rPr>
      </w:pPr>
    </w:p>
    <w:p w:rsidR="004F7425" w:rsidRPr="00387E75" w:rsidRDefault="004F7425" w:rsidP="004F7425">
      <w:pPr>
        <w:ind w:firstLine="720"/>
        <w:jc w:val="both"/>
        <w:rPr>
          <w:rFonts w:eastAsia="Arial Unicode MS"/>
        </w:rPr>
      </w:pPr>
      <w:r w:rsidRPr="00387E75">
        <w:rPr>
          <w:rFonts w:eastAsia="Arial Unicode MS"/>
          <w:b/>
        </w:rPr>
        <w:t xml:space="preserve">VII. </w:t>
      </w:r>
      <w:r w:rsidRPr="00387E75">
        <w:rPr>
          <w:rFonts w:eastAsia="Arial Unicode MS"/>
        </w:rPr>
        <w:t>Dėl</w:t>
      </w:r>
      <w:r w:rsidRPr="00387E75">
        <w:rPr>
          <w:rFonts w:eastAsia="Arial Unicode MS"/>
          <w:b/>
        </w:rPr>
        <w:t xml:space="preserve"> </w:t>
      </w:r>
      <w:r w:rsidRPr="00387E75">
        <w:rPr>
          <w:rFonts w:eastAsia="Arial Unicode MS"/>
        </w:rPr>
        <w:t xml:space="preserve">neteisėtos narkotikų apyvartos Lietuvoje. </w:t>
      </w:r>
    </w:p>
    <w:p w:rsidR="004F7425" w:rsidRPr="00387E75" w:rsidRDefault="004F7425" w:rsidP="004F7425">
      <w:pPr>
        <w:ind w:firstLine="720"/>
        <w:jc w:val="both"/>
        <w:rPr>
          <w:rFonts w:eastAsia="Arial Unicode MS"/>
        </w:rPr>
      </w:pPr>
    </w:p>
    <w:p w:rsidR="004F7425" w:rsidRPr="00387E75" w:rsidRDefault="004F7425" w:rsidP="004F7425">
      <w:pPr>
        <w:ind w:firstLine="720"/>
        <w:jc w:val="both"/>
        <w:rPr>
          <w:rFonts w:eastAsia="Arial Unicode MS"/>
        </w:rPr>
      </w:pPr>
    </w:p>
    <w:p w:rsidR="004F7425" w:rsidRPr="00387E75" w:rsidRDefault="004F7425" w:rsidP="004F7425">
      <w:pPr>
        <w:ind w:firstLine="720"/>
        <w:jc w:val="both"/>
        <w:rPr>
          <w:rFonts w:eastAsia="Arial Unicode MS"/>
        </w:rPr>
      </w:pPr>
      <w:r w:rsidRPr="00387E75">
        <w:rPr>
          <w:rFonts w:eastAsia="Arial Unicode MS"/>
        </w:rPr>
        <w:t xml:space="preserve">Komisija gavo pagal Policijos departamento prie Lietuvos Respublikos vidaus reikalų ministerijos 2013 m. balandžio 8 d. raštą Nr. S-1-1428 „Dėl analitinės apžvalgos pateikimo“ Organizuoto nusikalstamumo tyrimo 3-iosios valdybos parengtą apžvalgą apie 2012 m. neteisėtos narkotikų apyvartos kontrolę šalyje. </w:t>
      </w:r>
    </w:p>
    <w:p w:rsidR="004F7425" w:rsidRPr="00387E75" w:rsidRDefault="004F7425" w:rsidP="004F7425">
      <w:pPr>
        <w:ind w:firstLine="720"/>
        <w:jc w:val="both"/>
        <w:rPr>
          <w:iCs/>
          <w:color w:val="000000"/>
        </w:rPr>
      </w:pPr>
      <w:r w:rsidRPr="00387E75">
        <w:rPr>
          <w:rFonts w:eastAsia="Arial Unicode MS"/>
        </w:rPr>
        <w:t xml:space="preserve">Organizuoto nusikalstamumo tyrimo 3-ioji valdyba apžvalgoje nurodė, </w:t>
      </w:r>
      <w:r w:rsidRPr="00387E75">
        <w:rPr>
          <w:iCs/>
          <w:color w:val="000000"/>
        </w:rPr>
        <w:t>k</w:t>
      </w:r>
      <w:r w:rsidRPr="00387E75">
        <w:rPr>
          <w:iCs/>
          <w:color w:val="000000"/>
          <w:spacing w:val="-1"/>
        </w:rPr>
        <w:t>a</w:t>
      </w:r>
      <w:r w:rsidRPr="00387E75">
        <w:rPr>
          <w:iCs/>
          <w:color w:val="000000"/>
        </w:rPr>
        <w:t>d</w:t>
      </w:r>
      <w:r w:rsidRPr="00387E75">
        <w:rPr>
          <w:iCs/>
          <w:color w:val="000000"/>
          <w:spacing w:val="7"/>
        </w:rPr>
        <w:t xml:space="preserve"> </w:t>
      </w:r>
      <w:r w:rsidRPr="00387E75">
        <w:rPr>
          <w:iCs/>
          <w:color w:val="000000"/>
          <w:spacing w:val="-2"/>
        </w:rPr>
        <w:t>20</w:t>
      </w:r>
      <w:r w:rsidRPr="00387E75">
        <w:rPr>
          <w:iCs/>
          <w:color w:val="000000"/>
          <w:spacing w:val="3"/>
        </w:rPr>
        <w:t>1</w:t>
      </w:r>
      <w:r w:rsidRPr="00387E75">
        <w:rPr>
          <w:iCs/>
          <w:color w:val="000000"/>
        </w:rPr>
        <w:t>2</w:t>
      </w:r>
      <w:r w:rsidRPr="00387E75">
        <w:rPr>
          <w:iCs/>
          <w:color w:val="000000"/>
          <w:spacing w:val="6"/>
        </w:rPr>
        <w:t xml:space="preserve"> </w:t>
      </w:r>
      <w:r w:rsidRPr="00387E75">
        <w:rPr>
          <w:iCs/>
          <w:color w:val="000000"/>
        </w:rPr>
        <w:t>m.</w:t>
      </w:r>
      <w:r w:rsidRPr="00387E75">
        <w:rPr>
          <w:iCs/>
          <w:color w:val="000000"/>
          <w:spacing w:val="13"/>
        </w:rPr>
        <w:t xml:space="preserve"> </w:t>
      </w:r>
      <w:r w:rsidRPr="00387E75">
        <w:rPr>
          <w:iCs/>
          <w:color w:val="000000"/>
        </w:rPr>
        <w:t>g</w:t>
      </w:r>
      <w:r w:rsidRPr="00387E75">
        <w:rPr>
          <w:iCs/>
          <w:color w:val="000000"/>
          <w:spacing w:val="-2"/>
        </w:rPr>
        <w:t>r</w:t>
      </w:r>
      <w:r w:rsidRPr="00387E75">
        <w:rPr>
          <w:iCs/>
          <w:color w:val="000000"/>
          <w:spacing w:val="1"/>
        </w:rPr>
        <w:t>u</w:t>
      </w:r>
      <w:r w:rsidRPr="00387E75">
        <w:rPr>
          <w:iCs/>
          <w:color w:val="000000"/>
          <w:spacing w:val="-2"/>
        </w:rPr>
        <w:t>o</w:t>
      </w:r>
      <w:r w:rsidRPr="00387E75">
        <w:rPr>
          <w:iCs/>
          <w:color w:val="000000"/>
          <w:spacing w:val="4"/>
        </w:rPr>
        <w:t>d</w:t>
      </w:r>
      <w:r w:rsidRPr="00387E75">
        <w:rPr>
          <w:iCs/>
          <w:color w:val="000000"/>
          <w:spacing w:val="-2"/>
        </w:rPr>
        <w:t>ž</w:t>
      </w:r>
      <w:r w:rsidRPr="00387E75">
        <w:rPr>
          <w:iCs/>
          <w:color w:val="000000"/>
          <w:spacing w:val="2"/>
        </w:rPr>
        <w:t>i</w:t>
      </w:r>
      <w:r w:rsidRPr="00387E75">
        <w:rPr>
          <w:iCs/>
          <w:color w:val="000000"/>
        </w:rPr>
        <w:t>o</w:t>
      </w:r>
      <w:r w:rsidRPr="00387E75">
        <w:rPr>
          <w:iCs/>
          <w:color w:val="000000"/>
          <w:spacing w:val="6"/>
        </w:rPr>
        <w:t xml:space="preserve"> </w:t>
      </w:r>
      <w:r w:rsidRPr="00387E75">
        <w:rPr>
          <w:iCs/>
          <w:color w:val="000000"/>
        </w:rPr>
        <w:t>7</w:t>
      </w:r>
      <w:r w:rsidRPr="00387E75">
        <w:rPr>
          <w:iCs/>
          <w:color w:val="000000"/>
          <w:spacing w:val="11"/>
        </w:rPr>
        <w:t xml:space="preserve"> </w:t>
      </w:r>
      <w:r w:rsidRPr="00387E75">
        <w:rPr>
          <w:iCs/>
          <w:color w:val="000000"/>
          <w:spacing w:val="-1"/>
        </w:rPr>
        <w:t>d</w:t>
      </w:r>
      <w:r w:rsidRPr="00387E75">
        <w:rPr>
          <w:iCs/>
          <w:color w:val="000000"/>
        </w:rPr>
        <w:t>.</w:t>
      </w:r>
      <w:r w:rsidRPr="00387E75">
        <w:rPr>
          <w:iCs/>
          <w:color w:val="000000"/>
          <w:spacing w:val="8"/>
        </w:rPr>
        <w:t xml:space="preserve"> </w:t>
      </w:r>
      <w:r w:rsidRPr="00387E75">
        <w:rPr>
          <w:iCs/>
          <w:color w:val="000000"/>
          <w:spacing w:val="-2"/>
        </w:rPr>
        <w:t>E</w:t>
      </w:r>
      <w:r w:rsidRPr="00387E75">
        <w:rPr>
          <w:iCs/>
          <w:color w:val="000000"/>
          <w:spacing w:val="6"/>
        </w:rPr>
        <w:t>u</w:t>
      </w:r>
      <w:r w:rsidRPr="00387E75">
        <w:rPr>
          <w:iCs/>
          <w:color w:val="000000"/>
          <w:spacing w:val="-2"/>
        </w:rPr>
        <w:t>ro</w:t>
      </w:r>
      <w:r w:rsidRPr="00387E75">
        <w:rPr>
          <w:iCs/>
          <w:color w:val="000000"/>
          <w:spacing w:val="3"/>
        </w:rPr>
        <w:t>p</w:t>
      </w:r>
      <w:r w:rsidRPr="00387E75">
        <w:rPr>
          <w:iCs/>
          <w:color w:val="000000"/>
          <w:spacing w:val="-2"/>
        </w:rPr>
        <w:t>o</w:t>
      </w:r>
      <w:r w:rsidRPr="00387E75">
        <w:rPr>
          <w:iCs/>
          <w:color w:val="000000"/>
        </w:rPr>
        <w:t>s</w:t>
      </w:r>
      <w:r w:rsidRPr="00387E75">
        <w:rPr>
          <w:iCs/>
          <w:color w:val="000000"/>
          <w:spacing w:val="7"/>
        </w:rPr>
        <w:t xml:space="preserve"> </w:t>
      </w:r>
      <w:r w:rsidRPr="00387E75">
        <w:rPr>
          <w:iCs/>
          <w:color w:val="000000"/>
        </w:rPr>
        <w:t>S</w:t>
      </w:r>
      <w:r w:rsidRPr="00387E75">
        <w:rPr>
          <w:iCs/>
          <w:color w:val="000000"/>
          <w:spacing w:val="-2"/>
        </w:rPr>
        <w:t>ą</w:t>
      </w:r>
      <w:r w:rsidRPr="00387E75">
        <w:rPr>
          <w:iCs/>
          <w:color w:val="000000"/>
          <w:spacing w:val="-1"/>
        </w:rPr>
        <w:t>j</w:t>
      </w:r>
      <w:r w:rsidRPr="00387E75">
        <w:rPr>
          <w:iCs/>
          <w:color w:val="000000"/>
          <w:spacing w:val="1"/>
        </w:rPr>
        <w:t>un</w:t>
      </w:r>
      <w:r w:rsidRPr="00387E75">
        <w:rPr>
          <w:iCs/>
          <w:color w:val="000000"/>
        </w:rPr>
        <w:t>g</w:t>
      </w:r>
      <w:r w:rsidRPr="00387E75">
        <w:rPr>
          <w:iCs/>
          <w:color w:val="000000"/>
          <w:spacing w:val="-2"/>
        </w:rPr>
        <w:t>o</w:t>
      </w:r>
      <w:r w:rsidRPr="00387E75">
        <w:rPr>
          <w:iCs/>
          <w:color w:val="000000"/>
        </w:rPr>
        <w:t>s</w:t>
      </w:r>
      <w:r w:rsidRPr="00387E75">
        <w:rPr>
          <w:iCs/>
          <w:color w:val="000000"/>
          <w:spacing w:val="12"/>
        </w:rPr>
        <w:t xml:space="preserve"> </w:t>
      </w:r>
      <w:r w:rsidRPr="00387E75">
        <w:rPr>
          <w:iCs/>
          <w:color w:val="000000"/>
          <w:spacing w:val="1"/>
        </w:rPr>
        <w:t>T</w:t>
      </w:r>
      <w:r w:rsidRPr="00387E75">
        <w:rPr>
          <w:iCs/>
          <w:color w:val="000000"/>
          <w:spacing w:val="-1"/>
        </w:rPr>
        <w:t>a</w:t>
      </w:r>
      <w:r w:rsidRPr="00387E75">
        <w:rPr>
          <w:iCs/>
          <w:color w:val="000000"/>
          <w:spacing w:val="-2"/>
        </w:rPr>
        <w:t>r</w:t>
      </w:r>
      <w:r w:rsidRPr="00387E75">
        <w:rPr>
          <w:iCs/>
          <w:color w:val="000000"/>
        </w:rPr>
        <w:t>yba</w:t>
      </w:r>
      <w:r w:rsidRPr="00387E75">
        <w:rPr>
          <w:iCs/>
          <w:color w:val="000000"/>
          <w:spacing w:val="20"/>
        </w:rPr>
        <w:t xml:space="preserve"> </w:t>
      </w:r>
      <w:r w:rsidRPr="00387E75">
        <w:rPr>
          <w:iCs/>
          <w:color w:val="000000"/>
          <w:spacing w:val="-2"/>
        </w:rPr>
        <w:t>p</w:t>
      </w:r>
      <w:r w:rsidRPr="00387E75">
        <w:rPr>
          <w:iCs/>
          <w:color w:val="000000"/>
          <w:spacing w:val="3"/>
        </w:rPr>
        <w:t>a</w:t>
      </w:r>
      <w:r w:rsidRPr="00387E75">
        <w:rPr>
          <w:iCs/>
          <w:color w:val="000000"/>
          <w:spacing w:val="-1"/>
        </w:rPr>
        <w:t>t</w:t>
      </w:r>
      <w:r w:rsidRPr="00387E75">
        <w:rPr>
          <w:iCs/>
          <w:color w:val="000000"/>
        </w:rPr>
        <w:t>v</w:t>
      </w:r>
      <w:r w:rsidRPr="00387E75">
        <w:rPr>
          <w:iCs/>
          <w:color w:val="000000"/>
          <w:spacing w:val="2"/>
        </w:rPr>
        <w:t>i</w:t>
      </w:r>
      <w:r w:rsidRPr="00387E75">
        <w:rPr>
          <w:iCs/>
          <w:color w:val="000000"/>
          <w:spacing w:val="-2"/>
        </w:rPr>
        <w:t>r</w:t>
      </w:r>
      <w:r w:rsidRPr="00387E75">
        <w:rPr>
          <w:iCs/>
          <w:color w:val="000000"/>
          <w:spacing w:val="-1"/>
        </w:rPr>
        <w:t>t</w:t>
      </w:r>
      <w:r w:rsidRPr="00387E75">
        <w:rPr>
          <w:iCs/>
          <w:color w:val="000000"/>
          <w:spacing w:val="2"/>
        </w:rPr>
        <w:t>i</w:t>
      </w:r>
      <w:r w:rsidRPr="00387E75">
        <w:rPr>
          <w:iCs/>
          <w:color w:val="000000"/>
          <w:spacing w:val="1"/>
        </w:rPr>
        <w:t>n</w:t>
      </w:r>
      <w:r w:rsidRPr="00387E75">
        <w:rPr>
          <w:iCs/>
          <w:color w:val="000000"/>
        </w:rPr>
        <w:t xml:space="preserve">o </w:t>
      </w:r>
      <w:r w:rsidRPr="00387E75">
        <w:rPr>
          <w:iCs/>
          <w:color w:val="000000"/>
          <w:spacing w:val="3"/>
        </w:rPr>
        <w:t>2</w:t>
      </w:r>
      <w:r w:rsidRPr="00387E75">
        <w:rPr>
          <w:iCs/>
          <w:color w:val="000000"/>
          <w:spacing w:val="-2"/>
        </w:rPr>
        <w:t>01</w:t>
      </w:r>
      <w:r w:rsidRPr="00387E75">
        <w:rPr>
          <w:iCs/>
          <w:color w:val="000000"/>
          <w:spacing w:val="9"/>
        </w:rPr>
        <w:t>3</w:t>
      </w:r>
      <w:r w:rsidRPr="00387E75">
        <w:rPr>
          <w:iCs/>
          <w:color w:val="000000"/>
        </w:rPr>
        <w:t>–</w:t>
      </w:r>
      <w:r w:rsidRPr="00387E75">
        <w:rPr>
          <w:iCs/>
          <w:color w:val="000000"/>
          <w:spacing w:val="-2"/>
        </w:rPr>
        <w:t>20</w:t>
      </w:r>
      <w:r w:rsidRPr="00387E75">
        <w:rPr>
          <w:iCs/>
          <w:color w:val="000000"/>
          <w:spacing w:val="3"/>
        </w:rPr>
        <w:t>2</w:t>
      </w:r>
      <w:r w:rsidRPr="00387E75">
        <w:rPr>
          <w:iCs/>
          <w:color w:val="000000"/>
          <w:spacing w:val="-2"/>
        </w:rPr>
        <w:t>0 metų E</w:t>
      </w:r>
      <w:r w:rsidRPr="00387E75">
        <w:rPr>
          <w:iCs/>
          <w:color w:val="000000"/>
          <w:spacing w:val="1"/>
        </w:rPr>
        <w:t>u</w:t>
      </w:r>
      <w:r w:rsidRPr="00387E75">
        <w:rPr>
          <w:iCs/>
          <w:color w:val="000000"/>
          <w:spacing w:val="3"/>
        </w:rPr>
        <w:t>r</w:t>
      </w:r>
      <w:r w:rsidRPr="00387E75">
        <w:rPr>
          <w:iCs/>
          <w:color w:val="000000"/>
          <w:spacing w:val="-2"/>
        </w:rPr>
        <w:t>op</w:t>
      </w:r>
      <w:r w:rsidRPr="00387E75">
        <w:rPr>
          <w:iCs/>
          <w:color w:val="000000"/>
          <w:spacing w:val="3"/>
        </w:rPr>
        <w:t>o</w:t>
      </w:r>
      <w:r w:rsidRPr="00387E75">
        <w:rPr>
          <w:iCs/>
          <w:color w:val="000000"/>
        </w:rPr>
        <w:t>s S</w:t>
      </w:r>
      <w:r w:rsidRPr="00387E75">
        <w:rPr>
          <w:iCs/>
          <w:color w:val="000000"/>
          <w:spacing w:val="-2"/>
        </w:rPr>
        <w:t>ą</w:t>
      </w:r>
      <w:r w:rsidRPr="00387E75">
        <w:rPr>
          <w:iCs/>
          <w:color w:val="000000"/>
          <w:spacing w:val="-1"/>
        </w:rPr>
        <w:t>j</w:t>
      </w:r>
      <w:r w:rsidRPr="00387E75">
        <w:rPr>
          <w:iCs/>
          <w:color w:val="000000"/>
          <w:spacing w:val="1"/>
        </w:rPr>
        <w:t>un</w:t>
      </w:r>
      <w:r w:rsidRPr="00387E75">
        <w:rPr>
          <w:iCs/>
          <w:color w:val="000000"/>
        </w:rPr>
        <w:t>g</w:t>
      </w:r>
      <w:r w:rsidRPr="00387E75">
        <w:rPr>
          <w:iCs/>
          <w:color w:val="000000"/>
          <w:spacing w:val="-2"/>
        </w:rPr>
        <w:t>o</w:t>
      </w:r>
      <w:r w:rsidRPr="00387E75">
        <w:rPr>
          <w:iCs/>
          <w:color w:val="000000"/>
        </w:rPr>
        <w:t>s k</w:t>
      </w:r>
      <w:r w:rsidRPr="00387E75">
        <w:rPr>
          <w:iCs/>
          <w:color w:val="000000"/>
          <w:spacing w:val="-2"/>
        </w:rPr>
        <w:t>o</w:t>
      </w:r>
      <w:r w:rsidRPr="00387E75">
        <w:rPr>
          <w:iCs/>
          <w:color w:val="000000"/>
        </w:rPr>
        <w:t>v</w:t>
      </w:r>
      <w:r w:rsidRPr="00387E75">
        <w:rPr>
          <w:iCs/>
          <w:color w:val="000000"/>
          <w:spacing w:val="-2"/>
        </w:rPr>
        <w:t>o</w:t>
      </w:r>
      <w:r w:rsidRPr="00387E75">
        <w:rPr>
          <w:iCs/>
          <w:color w:val="000000"/>
        </w:rPr>
        <w:t>s su</w:t>
      </w:r>
      <w:r w:rsidRPr="00387E75">
        <w:rPr>
          <w:iCs/>
          <w:color w:val="000000"/>
          <w:spacing w:val="1"/>
        </w:rPr>
        <w:t xml:space="preserve"> </w:t>
      </w:r>
      <w:r w:rsidRPr="00387E75">
        <w:rPr>
          <w:iCs/>
          <w:color w:val="000000"/>
          <w:spacing w:val="6"/>
        </w:rPr>
        <w:t>n</w:t>
      </w:r>
      <w:r w:rsidRPr="00387E75">
        <w:rPr>
          <w:iCs/>
          <w:color w:val="000000"/>
          <w:spacing w:val="-1"/>
        </w:rPr>
        <w:t>a</w:t>
      </w:r>
      <w:r w:rsidRPr="00387E75">
        <w:rPr>
          <w:iCs/>
          <w:color w:val="000000"/>
          <w:spacing w:val="-2"/>
        </w:rPr>
        <w:t>r</w:t>
      </w:r>
      <w:r w:rsidRPr="00387E75">
        <w:rPr>
          <w:iCs/>
          <w:color w:val="000000"/>
        </w:rPr>
        <w:t>k</w:t>
      </w:r>
      <w:r w:rsidRPr="00387E75">
        <w:rPr>
          <w:iCs/>
          <w:color w:val="000000"/>
          <w:spacing w:val="-1"/>
        </w:rPr>
        <w:t>ot</w:t>
      </w:r>
      <w:r w:rsidRPr="00387E75">
        <w:rPr>
          <w:iCs/>
          <w:color w:val="000000"/>
          <w:spacing w:val="2"/>
        </w:rPr>
        <w:t>i</w:t>
      </w:r>
      <w:r w:rsidRPr="00387E75">
        <w:rPr>
          <w:iCs/>
          <w:color w:val="000000"/>
        </w:rPr>
        <w:t>k</w:t>
      </w:r>
      <w:r w:rsidRPr="00387E75">
        <w:rPr>
          <w:iCs/>
          <w:color w:val="000000"/>
          <w:spacing w:val="-1"/>
        </w:rPr>
        <w:t>a</w:t>
      </w:r>
      <w:r w:rsidRPr="00387E75">
        <w:rPr>
          <w:iCs/>
          <w:color w:val="000000"/>
          <w:spacing w:val="2"/>
        </w:rPr>
        <w:t>i</w:t>
      </w:r>
      <w:r w:rsidRPr="00387E75">
        <w:rPr>
          <w:iCs/>
          <w:color w:val="000000"/>
        </w:rPr>
        <w:t>s s</w:t>
      </w:r>
      <w:r w:rsidRPr="00387E75">
        <w:rPr>
          <w:iCs/>
          <w:color w:val="000000"/>
          <w:spacing w:val="3"/>
        </w:rPr>
        <w:t>t</w:t>
      </w:r>
      <w:r w:rsidRPr="00387E75">
        <w:rPr>
          <w:iCs/>
          <w:color w:val="000000"/>
          <w:spacing w:val="-2"/>
        </w:rPr>
        <w:t>r</w:t>
      </w:r>
      <w:r w:rsidRPr="00387E75">
        <w:rPr>
          <w:iCs/>
          <w:color w:val="000000"/>
          <w:spacing w:val="-1"/>
        </w:rPr>
        <w:t>at</w:t>
      </w:r>
      <w:r w:rsidRPr="00387E75">
        <w:rPr>
          <w:iCs/>
          <w:color w:val="000000"/>
        </w:rPr>
        <w:t>eg</w:t>
      </w:r>
      <w:r w:rsidRPr="00387E75">
        <w:rPr>
          <w:iCs/>
          <w:color w:val="000000"/>
          <w:spacing w:val="1"/>
        </w:rPr>
        <w:t>i</w:t>
      </w:r>
      <w:r w:rsidRPr="00387E75">
        <w:rPr>
          <w:iCs/>
          <w:color w:val="000000"/>
          <w:spacing w:val="-1"/>
        </w:rPr>
        <w:t>j</w:t>
      </w:r>
      <w:r w:rsidRPr="00387E75">
        <w:rPr>
          <w:iCs/>
          <w:color w:val="000000"/>
        </w:rPr>
        <w:t>ą.</w:t>
      </w:r>
      <w:r w:rsidRPr="00387E75">
        <w:rPr>
          <w:iCs/>
          <w:color w:val="000000"/>
          <w:spacing w:val="3"/>
        </w:rPr>
        <w:t xml:space="preserve"> </w:t>
      </w:r>
      <w:r w:rsidRPr="00387E75">
        <w:rPr>
          <w:iCs/>
          <w:color w:val="000000"/>
        </w:rPr>
        <w:t xml:space="preserve"> S</w:t>
      </w:r>
      <w:r w:rsidRPr="00387E75">
        <w:rPr>
          <w:iCs/>
          <w:color w:val="000000"/>
          <w:spacing w:val="3"/>
        </w:rPr>
        <w:t>t</w:t>
      </w:r>
      <w:r w:rsidRPr="00387E75">
        <w:rPr>
          <w:iCs/>
          <w:color w:val="000000"/>
          <w:spacing w:val="-2"/>
        </w:rPr>
        <w:t>r</w:t>
      </w:r>
      <w:r w:rsidRPr="00387E75">
        <w:rPr>
          <w:iCs/>
          <w:color w:val="000000"/>
          <w:spacing w:val="-1"/>
        </w:rPr>
        <w:t>at</w:t>
      </w:r>
      <w:r w:rsidRPr="00387E75">
        <w:rPr>
          <w:iCs/>
          <w:color w:val="000000"/>
        </w:rPr>
        <w:t>eg</w:t>
      </w:r>
      <w:r w:rsidRPr="00387E75">
        <w:rPr>
          <w:iCs/>
          <w:color w:val="000000"/>
          <w:spacing w:val="1"/>
        </w:rPr>
        <w:t>i</w:t>
      </w:r>
      <w:r w:rsidRPr="00387E75">
        <w:rPr>
          <w:iCs/>
          <w:color w:val="000000"/>
          <w:spacing w:val="-1"/>
        </w:rPr>
        <w:t>j</w:t>
      </w:r>
      <w:r w:rsidRPr="00387E75">
        <w:rPr>
          <w:iCs/>
          <w:color w:val="000000"/>
          <w:spacing w:val="-2"/>
        </w:rPr>
        <w:t>o</w:t>
      </w:r>
      <w:r w:rsidRPr="00387E75">
        <w:rPr>
          <w:iCs/>
          <w:color w:val="000000"/>
        </w:rPr>
        <w:t xml:space="preserve">s </w:t>
      </w:r>
      <w:r w:rsidRPr="00387E75">
        <w:rPr>
          <w:iCs/>
          <w:color w:val="000000"/>
          <w:spacing w:val="-1"/>
        </w:rPr>
        <w:t>t</w:t>
      </w:r>
      <w:r w:rsidRPr="00387E75">
        <w:rPr>
          <w:iCs/>
          <w:color w:val="000000"/>
          <w:spacing w:val="2"/>
        </w:rPr>
        <w:t>i</w:t>
      </w:r>
      <w:r w:rsidRPr="00387E75">
        <w:rPr>
          <w:iCs/>
          <w:color w:val="000000"/>
        </w:rPr>
        <w:t>ks</w:t>
      </w:r>
      <w:r w:rsidRPr="00387E75">
        <w:rPr>
          <w:iCs/>
          <w:color w:val="000000"/>
          <w:spacing w:val="-1"/>
        </w:rPr>
        <w:t>la</w:t>
      </w:r>
      <w:r w:rsidRPr="00387E75">
        <w:rPr>
          <w:iCs/>
          <w:color w:val="000000"/>
        </w:rPr>
        <w:t>s</w:t>
      </w:r>
      <w:r w:rsidRPr="00387E75">
        <w:rPr>
          <w:iCs/>
          <w:color w:val="000000"/>
          <w:spacing w:val="2"/>
        </w:rPr>
        <w:t xml:space="preserve"> </w:t>
      </w:r>
      <w:r w:rsidRPr="00387E75">
        <w:rPr>
          <w:iCs/>
          <w:color w:val="000000"/>
        </w:rPr>
        <w:t xml:space="preserve">– </w:t>
      </w:r>
      <w:r w:rsidRPr="00387E75">
        <w:rPr>
          <w:iCs/>
          <w:color w:val="000000"/>
          <w:spacing w:val="3"/>
        </w:rPr>
        <w:t>p</w:t>
      </w:r>
      <w:r w:rsidRPr="00387E75">
        <w:rPr>
          <w:iCs/>
          <w:color w:val="000000"/>
          <w:spacing w:val="-2"/>
        </w:rPr>
        <w:t>r</w:t>
      </w:r>
      <w:r w:rsidRPr="00387E75">
        <w:rPr>
          <w:iCs/>
          <w:color w:val="000000"/>
          <w:spacing w:val="2"/>
        </w:rPr>
        <w:t>i</w:t>
      </w:r>
      <w:r w:rsidRPr="00387E75">
        <w:rPr>
          <w:iCs/>
          <w:color w:val="000000"/>
        </w:rPr>
        <w:t>s</w:t>
      </w:r>
      <w:r w:rsidRPr="00387E75">
        <w:rPr>
          <w:iCs/>
          <w:color w:val="000000"/>
          <w:spacing w:val="1"/>
        </w:rPr>
        <w:t>i</w:t>
      </w:r>
      <w:r w:rsidRPr="00387E75">
        <w:rPr>
          <w:iCs/>
          <w:color w:val="000000"/>
          <w:spacing w:val="-1"/>
        </w:rPr>
        <w:t>d</w:t>
      </w:r>
      <w:r w:rsidRPr="00387E75">
        <w:rPr>
          <w:iCs/>
          <w:color w:val="000000"/>
        </w:rPr>
        <w:t>ė</w:t>
      </w:r>
      <w:r w:rsidRPr="00387E75">
        <w:rPr>
          <w:iCs/>
          <w:color w:val="000000"/>
          <w:spacing w:val="-1"/>
        </w:rPr>
        <w:t>t</w:t>
      </w:r>
      <w:r w:rsidRPr="00387E75">
        <w:rPr>
          <w:iCs/>
          <w:color w:val="000000"/>
        </w:rPr>
        <w:t>i</w:t>
      </w:r>
      <w:r w:rsidRPr="00387E75">
        <w:rPr>
          <w:iCs/>
          <w:color w:val="000000"/>
          <w:spacing w:val="2"/>
        </w:rPr>
        <w:t xml:space="preserve"> </w:t>
      </w:r>
      <w:r w:rsidRPr="00387E75">
        <w:rPr>
          <w:iCs/>
          <w:color w:val="000000"/>
        </w:rPr>
        <w:t>m</w:t>
      </w:r>
      <w:r w:rsidRPr="00387E75">
        <w:rPr>
          <w:iCs/>
          <w:color w:val="000000"/>
          <w:spacing w:val="-1"/>
        </w:rPr>
        <w:t>a</w:t>
      </w:r>
      <w:r w:rsidRPr="00387E75">
        <w:rPr>
          <w:iCs/>
          <w:color w:val="000000"/>
          <w:spacing w:val="-2"/>
        </w:rPr>
        <w:t>ž</w:t>
      </w:r>
      <w:r w:rsidRPr="00387E75">
        <w:rPr>
          <w:iCs/>
          <w:color w:val="000000"/>
          <w:spacing w:val="2"/>
        </w:rPr>
        <w:t>i</w:t>
      </w:r>
      <w:r w:rsidRPr="00387E75">
        <w:rPr>
          <w:iCs/>
          <w:color w:val="000000"/>
          <w:spacing w:val="1"/>
        </w:rPr>
        <w:t>n</w:t>
      </w:r>
      <w:r w:rsidRPr="00387E75">
        <w:rPr>
          <w:iCs/>
          <w:color w:val="000000"/>
          <w:spacing w:val="-1"/>
        </w:rPr>
        <w:t>a</w:t>
      </w:r>
      <w:r w:rsidRPr="00387E75">
        <w:rPr>
          <w:iCs/>
          <w:color w:val="000000"/>
          <w:spacing w:val="1"/>
        </w:rPr>
        <w:t>n</w:t>
      </w:r>
      <w:r w:rsidRPr="00387E75">
        <w:rPr>
          <w:iCs/>
          <w:color w:val="000000"/>
        </w:rPr>
        <w:t xml:space="preserve">t </w:t>
      </w:r>
      <w:r w:rsidRPr="00387E75">
        <w:rPr>
          <w:iCs/>
          <w:color w:val="000000"/>
          <w:spacing w:val="1"/>
        </w:rPr>
        <w:t>n</w:t>
      </w:r>
      <w:r w:rsidRPr="00387E75">
        <w:rPr>
          <w:iCs/>
          <w:color w:val="000000"/>
          <w:spacing w:val="-1"/>
        </w:rPr>
        <w:t>a</w:t>
      </w:r>
      <w:r w:rsidRPr="00387E75">
        <w:rPr>
          <w:iCs/>
          <w:color w:val="000000"/>
          <w:spacing w:val="-2"/>
        </w:rPr>
        <w:t>r</w:t>
      </w:r>
      <w:r w:rsidRPr="00387E75">
        <w:rPr>
          <w:iCs/>
          <w:color w:val="000000"/>
        </w:rPr>
        <w:t>k</w:t>
      </w:r>
      <w:r w:rsidRPr="00387E75">
        <w:rPr>
          <w:iCs/>
          <w:color w:val="000000"/>
          <w:spacing w:val="-1"/>
        </w:rPr>
        <w:t>ot</w:t>
      </w:r>
      <w:r w:rsidRPr="00387E75">
        <w:rPr>
          <w:iCs/>
          <w:color w:val="000000"/>
          <w:spacing w:val="2"/>
        </w:rPr>
        <w:t>i</w:t>
      </w:r>
      <w:r w:rsidRPr="00387E75">
        <w:rPr>
          <w:iCs/>
          <w:color w:val="000000"/>
        </w:rPr>
        <w:t xml:space="preserve">kų </w:t>
      </w:r>
      <w:r w:rsidRPr="00387E75">
        <w:rPr>
          <w:iCs/>
          <w:color w:val="000000"/>
          <w:spacing w:val="45"/>
        </w:rPr>
        <w:t xml:space="preserve"> </w:t>
      </w:r>
      <w:r w:rsidRPr="00387E75">
        <w:rPr>
          <w:iCs/>
          <w:color w:val="000000"/>
          <w:spacing w:val="-2"/>
        </w:rPr>
        <w:t>p</w:t>
      </w:r>
      <w:r w:rsidRPr="00387E75">
        <w:rPr>
          <w:iCs/>
          <w:color w:val="000000"/>
          <w:spacing w:val="-1"/>
        </w:rPr>
        <w:t>a</w:t>
      </w:r>
      <w:r w:rsidRPr="00387E75">
        <w:rPr>
          <w:iCs/>
          <w:color w:val="000000"/>
        </w:rPr>
        <w:t>k</w:t>
      </w:r>
      <w:r w:rsidRPr="00387E75">
        <w:rPr>
          <w:iCs/>
          <w:color w:val="000000"/>
          <w:spacing w:val="-1"/>
        </w:rPr>
        <w:t>la</w:t>
      </w:r>
      <w:r w:rsidRPr="00387E75">
        <w:rPr>
          <w:iCs/>
          <w:color w:val="000000"/>
          <w:spacing w:val="1"/>
        </w:rPr>
        <w:t>u</w:t>
      </w:r>
      <w:r w:rsidRPr="00387E75">
        <w:rPr>
          <w:iCs/>
          <w:color w:val="000000"/>
          <w:spacing w:val="4"/>
        </w:rPr>
        <w:t>s</w:t>
      </w:r>
      <w:r w:rsidRPr="00387E75">
        <w:rPr>
          <w:iCs/>
          <w:color w:val="000000"/>
        </w:rPr>
        <w:t xml:space="preserve">ą </w:t>
      </w:r>
      <w:r w:rsidRPr="00387E75">
        <w:rPr>
          <w:iCs/>
          <w:color w:val="000000"/>
          <w:spacing w:val="42"/>
        </w:rPr>
        <w:t xml:space="preserve"> </w:t>
      </w:r>
      <w:r w:rsidRPr="00387E75">
        <w:rPr>
          <w:iCs/>
          <w:color w:val="000000"/>
          <w:spacing w:val="2"/>
        </w:rPr>
        <w:t>i</w:t>
      </w:r>
      <w:r w:rsidRPr="00387E75">
        <w:rPr>
          <w:iCs/>
          <w:color w:val="000000"/>
        </w:rPr>
        <w:t xml:space="preserve">r </w:t>
      </w:r>
      <w:r w:rsidRPr="00387E75">
        <w:rPr>
          <w:iCs/>
          <w:color w:val="000000"/>
          <w:spacing w:val="41"/>
        </w:rPr>
        <w:t xml:space="preserve"> </w:t>
      </w:r>
      <w:r w:rsidRPr="00387E75">
        <w:rPr>
          <w:iCs/>
          <w:color w:val="000000"/>
          <w:spacing w:val="3"/>
        </w:rPr>
        <w:t>p</w:t>
      </w:r>
      <w:r w:rsidRPr="00387E75">
        <w:rPr>
          <w:iCs/>
          <w:color w:val="000000"/>
          <w:spacing w:val="-1"/>
        </w:rPr>
        <w:t>a</w:t>
      </w:r>
      <w:r w:rsidRPr="00387E75">
        <w:rPr>
          <w:iCs/>
          <w:color w:val="000000"/>
        </w:rPr>
        <w:t>s</w:t>
      </w:r>
      <w:r w:rsidRPr="00387E75">
        <w:rPr>
          <w:iCs/>
          <w:color w:val="000000"/>
          <w:spacing w:val="1"/>
        </w:rPr>
        <w:t>iū</w:t>
      </w:r>
      <w:r w:rsidRPr="00387E75">
        <w:rPr>
          <w:iCs/>
          <w:color w:val="000000"/>
          <w:spacing w:val="-2"/>
        </w:rPr>
        <w:t>l</w:t>
      </w:r>
      <w:r w:rsidRPr="00387E75">
        <w:rPr>
          <w:iCs/>
          <w:color w:val="000000"/>
        </w:rPr>
        <w:t xml:space="preserve">ą </w:t>
      </w:r>
      <w:r w:rsidRPr="00387E75">
        <w:rPr>
          <w:iCs/>
          <w:color w:val="000000"/>
          <w:spacing w:val="42"/>
        </w:rPr>
        <w:t xml:space="preserve"> </w:t>
      </w:r>
      <w:r w:rsidRPr="00387E75">
        <w:rPr>
          <w:iCs/>
          <w:color w:val="000000"/>
          <w:spacing w:val="-2"/>
        </w:rPr>
        <w:t>E</w:t>
      </w:r>
      <w:r w:rsidRPr="00387E75">
        <w:rPr>
          <w:iCs/>
          <w:color w:val="000000"/>
        </w:rPr>
        <w:t xml:space="preserve">S, </w:t>
      </w:r>
      <w:r w:rsidRPr="00387E75">
        <w:rPr>
          <w:iCs/>
          <w:color w:val="000000"/>
          <w:spacing w:val="48"/>
        </w:rPr>
        <w:t xml:space="preserve"> </w:t>
      </w:r>
      <w:r w:rsidRPr="00387E75">
        <w:rPr>
          <w:iCs/>
          <w:color w:val="000000"/>
          <w:spacing w:val="-1"/>
        </w:rPr>
        <w:t>ta</w:t>
      </w:r>
      <w:r w:rsidRPr="00387E75">
        <w:rPr>
          <w:iCs/>
          <w:color w:val="000000"/>
          <w:spacing w:val="2"/>
        </w:rPr>
        <w:t>i</w:t>
      </w:r>
      <w:r w:rsidRPr="00387E75">
        <w:rPr>
          <w:iCs/>
          <w:color w:val="000000"/>
        </w:rPr>
        <w:t xml:space="preserve">p </w:t>
      </w:r>
      <w:r w:rsidRPr="00387E75">
        <w:rPr>
          <w:iCs/>
          <w:color w:val="000000"/>
          <w:spacing w:val="46"/>
        </w:rPr>
        <w:t xml:space="preserve"> </w:t>
      </w:r>
      <w:r w:rsidRPr="00387E75">
        <w:rPr>
          <w:iCs/>
          <w:color w:val="000000"/>
          <w:spacing w:val="-2"/>
        </w:rPr>
        <w:t>p</w:t>
      </w:r>
      <w:r w:rsidRPr="00387E75">
        <w:rPr>
          <w:iCs/>
          <w:color w:val="000000"/>
          <w:spacing w:val="-1"/>
        </w:rPr>
        <w:t>a</w:t>
      </w:r>
      <w:r w:rsidRPr="00387E75">
        <w:rPr>
          <w:iCs/>
          <w:color w:val="000000"/>
        </w:rPr>
        <w:t xml:space="preserve">t </w:t>
      </w:r>
      <w:r w:rsidRPr="00387E75">
        <w:rPr>
          <w:iCs/>
          <w:color w:val="000000"/>
          <w:spacing w:val="47"/>
        </w:rPr>
        <w:t xml:space="preserve"> </w:t>
      </w:r>
      <w:r w:rsidRPr="00387E75">
        <w:rPr>
          <w:iCs/>
          <w:color w:val="000000"/>
        </w:rPr>
        <w:t>m</w:t>
      </w:r>
      <w:r w:rsidRPr="00387E75">
        <w:rPr>
          <w:iCs/>
          <w:color w:val="000000"/>
          <w:spacing w:val="-1"/>
        </w:rPr>
        <w:t>a</w:t>
      </w:r>
      <w:r w:rsidRPr="00387E75">
        <w:rPr>
          <w:iCs/>
          <w:color w:val="000000"/>
          <w:spacing w:val="-2"/>
        </w:rPr>
        <w:t>ž</w:t>
      </w:r>
      <w:r w:rsidRPr="00387E75">
        <w:rPr>
          <w:iCs/>
          <w:color w:val="000000"/>
          <w:spacing w:val="2"/>
        </w:rPr>
        <w:t>i</w:t>
      </w:r>
      <w:r w:rsidRPr="00387E75">
        <w:rPr>
          <w:iCs/>
          <w:color w:val="000000"/>
          <w:spacing w:val="1"/>
        </w:rPr>
        <w:t>n</w:t>
      </w:r>
      <w:r w:rsidRPr="00387E75">
        <w:rPr>
          <w:iCs/>
          <w:color w:val="000000"/>
          <w:spacing w:val="-1"/>
        </w:rPr>
        <w:t>a</w:t>
      </w:r>
      <w:r w:rsidRPr="00387E75">
        <w:rPr>
          <w:iCs/>
          <w:color w:val="000000"/>
          <w:spacing w:val="1"/>
        </w:rPr>
        <w:t>n</w:t>
      </w:r>
      <w:r w:rsidRPr="00387E75">
        <w:rPr>
          <w:iCs/>
          <w:color w:val="000000"/>
        </w:rPr>
        <w:t xml:space="preserve">t </w:t>
      </w:r>
      <w:r w:rsidRPr="00387E75">
        <w:rPr>
          <w:iCs/>
          <w:color w:val="000000"/>
          <w:spacing w:val="42"/>
        </w:rPr>
        <w:t xml:space="preserve"> </w:t>
      </w:r>
      <w:r w:rsidRPr="00387E75">
        <w:rPr>
          <w:iCs/>
          <w:color w:val="000000"/>
          <w:spacing w:val="1"/>
        </w:rPr>
        <w:t>n</w:t>
      </w:r>
      <w:r w:rsidRPr="00387E75">
        <w:rPr>
          <w:iCs/>
          <w:color w:val="000000"/>
          <w:spacing w:val="-1"/>
        </w:rPr>
        <w:t>a</w:t>
      </w:r>
      <w:r w:rsidRPr="00387E75">
        <w:rPr>
          <w:iCs/>
          <w:color w:val="000000"/>
          <w:spacing w:val="-2"/>
        </w:rPr>
        <w:t>r</w:t>
      </w:r>
      <w:r w:rsidRPr="00387E75">
        <w:rPr>
          <w:iCs/>
          <w:color w:val="000000"/>
        </w:rPr>
        <w:t>k</w:t>
      </w:r>
      <w:r w:rsidRPr="00387E75">
        <w:rPr>
          <w:iCs/>
          <w:color w:val="000000"/>
          <w:spacing w:val="-1"/>
        </w:rPr>
        <w:t>ot</w:t>
      </w:r>
      <w:r w:rsidRPr="00387E75">
        <w:rPr>
          <w:iCs/>
          <w:color w:val="000000"/>
          <w:spacing w:val="2"/>
        </w:rPr>
        <w:t>i</w:t>
      </w:r>
      <w:r w:rsidRPr="00387E75">
        <w:rPr>
          <w:iCs/>
          <w:color w:val="000000"/>
        </w:rPr>
        <w:t xml:space="preserve">kų </w:t>
      </w:r>
      <w:r w:rsidRPr="00387E75">
        <w:rPr>
          <w:iCs/>
          <w:color w:val="000000"/>
          <w:spacing w:val="45"/>
        </w:rPr>
        <w:t xml:space="preserve"> </w:t>
      </w:r>
      <w:r w:rsidRPr="00387E75">
        <w:rPr>
          <w:iCs/>
          <w:color w:val="000000"/>
        </w:rPr>
        <w:t>k</w:t>
      </w:r>
      <w:r w:rsidRPr="00387E75">
        <w:rPr>
          <w:iCs/>
          <w:color w:val="000000"/>
          <w:spacing w:val="1"/>
        </w:rPr>
        <w:t>e</w:t>
      </w:r>
      <w:r w:rsidRPr="00387E75">
        <w:rPr>
          <w:iCs/>
          <w:color w:val="000000"/>
          <w:spacing w:val="-2"/>
        </w:rPr>
        <w:t>l</w:t>
      </w:r>
      <w:r w:rsidRPr="00387E75">
        <w:rPr>
          <w:iCs/>
          <w:color w:val="000000"/>
          <w:spacing w:val="2"/>
        </w:rPr>
        <w:t>i</w:t>
      </w:r>
      <w:r w:rsidRPr="00387E75">
        <w:rPr>
          <w:iCs/>
          <w:color w:val="000000"/>
          <w:spacing w:val="-1"/>
        </w:rPr>
        <w:t>a</w:t>
      </w:r>
      <w:r w:rsidRPr="00387E75">
        <w:rPr>
          <w:iCs/>
          <w:color w:val="000000"/>
        </w:rPr>
        <w:t xml:space="preserve">mą </w:t>
      </w:r>
      <w:r w:rsidRPr="00387E75">
        <w:rPr>
          <w:iCs/>
          <w:color w:val="000000"/>
          <w:spacing w:val="47"/>
        </w:rPr>
        <w:t xml:space="preserve"> </w:t>
      </w:r>
      <w:r w:rsidRPr="00387E75">
        <w:rPr>
          <w:iCs/>
          <w:color w:val="000000"/>
          <w:spacing w:val="-2"/>
        </w:rPr>
        <w:t>p</w:t>
      </w:r>
      <w:r w:rsidRPr="00387E75">
        <w:rPr>
          <w:iCs/>
          <w:color w:val="000000"/>
          <w:spacing w:val="-1"/>
        </w:rPr>
        <w:t>a</w:t>
      </w:r>
      <w:r w:rsidRPr="00387E75">
        <w:rPr>
          <w:iCs/>
          <w:color w:val="000000"/>
        </w:rPr>
        <w:t>v</w:t>
      </w:r>
      <w:r w:rsidRPr="00387E75">
        <w:rPr>
          <w:iCs/>
          <w:color w:val="000000"/>
          <w:spacing w:val="-2"/>
        </w:rPr>
        <w:t>o</w:t>
      </w:r>
      <w:r w:rsidRPr="00387E75">
        <w:rPr>
          <w:iCs/>
          <w:color w:val="000000"/>
          <w:spacing w:val="-1"/>
        </w:rPr>
        <w:t>j</w:t>
      </w:r>
      <w:r w:rsidRPr="00387E75">
        <w:rPr>
          <w:iCs/>
          <w:color w:val="000000"/>
        </w:rPr>
        <w:t xml:space="preserve">ų </w:t>
      </w:r>
      <w:r w:rsidRPr="00387E75">
        <w:rPr>
          <w:iCs/>
          <w:color w:val="000000"/>
          <w:spacing w:val="49"/>
        </w:rPr>
        <w:t xml:space="preserve"> </w:t>
      </w:r>
      <w:r w:rsidRPr="00387E75">
        <w:rPr>
          <w:iCs/>
          <w:color w:val="000000"/>
          <w:spacing w:val="2"/>
        </w:rPr>
        <w:t>i</w:t>
      </w:r>
      <w:r w:rsidRPr="00387E75">
        <w:rPr>
          <w:iCs/>
          <w:color w:val="000000"/>
        </w:rPr>
        <w:t xml:space="preserve">r </w:t>
      </w:r>
      <w:r w:rsidRPr="00387E75">
        <w:rPr>
          <w:iCs/>
          <w:color w:val="000000"/>
          <w:spacing w:val="41"/>
        </w:rPr>
        <w:t xml:space="preserve"> </w:t>
      </w:r>
      <w:r w:rsidRPr="00387E75">
        <w:rPr>
          <w:iCs/>
          <w:color w:val="000000"/>
          <w:spacing w:val="-2"/>
        </w:rPr>
        <w:t>ž</w:t>
      </w:r>
      <w:r w:rsidRPr="00387E75">
        <w:rPr>
          <w:iCs/>
          <w:color w:val="000000"/>
          <w:spacing w:val="3"/>
        </w:rPr>
        <w:t>al</w:t>
      </w:r>
      <w:r w:rsidRPr="00387E75">
        <w:rPr>
          <w:iCs/>
          <w:color w:val="000000"/>
        </w:rPr>
        <w:t>ą v</w:t>
      </w:r>
      <w:r w:rsidRPr="00387E75">
        <w:rPr>
          <w:iCs/>
          <w:color w:val="000000"/>
          <w:spacing w:val="2"/>
        </w:rPr>
        <w:t>i</w:t>
      </w:r>
      <w:r w:rsidRPr="00387E75">
        <w:rPr>
          <w:iCs/>
          <w:color w:val="000000"/>
        </w:rPr>
        <w:t>su</w:t>
      </w:r>
      <w:r w:rsidRPr="00387E75">
        <w:rPr>
          <w:iCs/>
          <w:color w:val="000000"/>
          <w:spacing w:val="-1"/>
        </w:rPr>
        <w:t>o</w:t>
      </w:r>
      <w:r w:rsidRPr="00387E75">
        <w:rPr>
          <w:iCs/>
          <w:color w:val="000000"/>
        </w:rPr>
        <w:t>m</w:t>
      </w:r>
      <w:r w:rsidRPr="00387E75">
        <w:rPr>
          <w:iCs/>
          <w:color w:val="000000"/>
          <w:spacing w:val="1"/>
        </w:rPr>
        <w:t>en</w:t>
      </w:r>
      <w:r w:rsidRPr="00387E75">
        <w:rPr>
          <w:iCs/>
          <w:color w:val="000000"/>
        </w:rPr>
        <w:t>ei</w:t>
      </w:r>
      <w:r w:rsidRPr="00387E75">
        <w:rPr>
          <w:iCs/>
          <w:color w:val="000000"/>
          <w:spacing w:val="3"/>
        </w:rPr>
        <w:t xml:space="preserve"> </w:t>
      </w:r>
      <w:r w:rsidRPr="00387E75">
        <w:rPr>
          <w:iCs/>
          <w:color w:val="000000"/>
        </w:rPr>
        <w:t>b</w:t>
      </w:r>
      <w:r w:rsidRPr="00387E75">
        <w:rPr>
          <w:iCs/>
          <w:color w:val="000000"/>
          <w:spacing w:val="-4"/>
        </w:rPr>
        <w:t>e</w:t>
      </w:r>
      <w:r w:rsidRPr="00387E75">
        <w:rPr>
          <w:iCs/>
          <w:color w:val="000000"/>
        </w:rPr>
        <w:t>i</w:t>
      </w:r>
      <w:r w:rsidRPr="00387E75">
        <w:rPr>
          <w:iCs/>
          <w:color w:val="000000"/>
          <w:spacing w:val="3"/>
        </w:rPr>
        <w:t xml:space="preserve"> </w:t>
      </w:r>
      <w:r w:rsidRPr="00387E75">
        <w:rPr>
          <w:iCs/>
          <w:color w:val="000000"/>
        </w:rPr>
        <w:t>sve</w:t>
      </w:r>
      <w:r w:rsidRPr="00387E75">
        <w:rPr>
          <w:iCs/>
          <w:color w:val="000000"/>
          <w:spacing w:val="2"/>
        </w:rPr>
        <w:t>i</w:t>
      </w:r>
      <w:r w:rsidRPr="00387E75">
        <w:rPr>
          <w:iCs/>
          <w:color w:val="000000"/>
        </w:rPr>
        <w:t>k</w:t>
      </w:r>
      <w:r w:rsidRPr="00387E75">
        <w:rPr>
          <w:iCs/>
          <w:color w:val="000000"/>
          <w:spacing w:val="-1"/>
        </w:rPr>
        <w:t>ata</w:t>
      </w:r>
      <w:r w:rsidRPr="00387E75">
        <w:rPr>
          <w:iCs/>
          <w:color w:val="000000"/>
          <w:spacing w:val="2"/>
        </w:rPr>
        <w:t>i</w:t>
      </w:r>
      <w:r w:rsidRPr="00387E75">
        <w:rPr>
          <w:iCs/>
          <w:color w:val="000000"/>
        </w:rPr>
        <w:t>,</w:t>
      </w:r>
      <w:r w:rsidRPr="00387E75">
        <w:rPr>
          <w:iCs/>
          <w:color w:val="000000"/>
          <w:spacing w:val="2"/>
        </w:rPr>
        <w:t xml:space="preserve"> </w:t>
      </w:r>
      <w:r w:rsidRPr="00387E75">
        <w:rPr>
          <w:iCs/>
          <w:color w:val="000000"/>
          <w:spacing w:val="-2"/>
        </w:rPr>
        <w:t>p</w:t>
      </w:r>
      <w:r w:rsidRPr="00387E75">
        <w:rPr>
          <w:iCs/>
          <w:color w:val="000000"/>
          <w:spacing w:val="-1"/>
        </w:rPr>
        <w:t>a</w:t>
      </w:r>
      <w:r w:rsidRPr="00387E75">
        <w:rPr>
          <w:iCs/>
          <w:color w:val="000000"/>
        </w:rPr>
        <w:t>s</w:t>
      </w:r>
      <w:r w:rsidRPr="00387E75">
        <w:rPr>
          <w:iCs/>
          <w:color w:val="000000"/>
          <w:spacing w:val="1"/>
        </w:rPr>
        <w:t>i</w:t>
      </w:r>
      <w:r w:rsidRPr="00387E75">
        <w:rPr>
          <w:iCs/>
          <w:color w:val="000000"/>
          <w:spacing w:val="-1"/>
        </w:rPr>
        <w:t>t</w:t>
      </w:r>
      <w:r w:rsidRPr="00387E75">
        <w:rPr>
          <w:iCs/>
          <w:color w:val="000000"/>
        </w:rPr>
        <w:t>e</w:t>
      </w:r>
      <w:r w:rsidRPr="00387E75">
        <w:rPr>
          <w:iCs/>
          <w:color w:val="000000"/>
          <w:spacing w:val="-2"/>
        </w:rPr>
        <w:t>l</w:t>
      </w:r>
      <w:r w:rsidRPr="00387E75">
        <w:rPr>
          <w:iCs/>
          <w:color w:val="000000"/>
        </w:rPr>
        <w:t>k</w:t>
      </w:r>
      <w:r w:rsidRPr="00387E75">
        <w:rPr>
          <w:iCs/>
          <w:color w:val="000000"/>
          <w:spacing w:val="3"/>
        </w:rPr>
        <w:t>i</w:t>
      </w:r>
      <w:r w:rsidRPr="00387E75">
        <w:rPr>
          <w:iCs/>
          <w:color w:val="000000"/>
          <w:spacing w:val="-1"/>
        </w:rPr>
        <w:t>a</w:t>
      </w:r>
      <w:r w:rsidRPr="00387E75">
        <w:rPr>
          <w:iCs/>
          <w:color w:val="000000"/>
          <w:spacing w:val="1"/>
        </w:rPr>
        <w:t>n</w:t>
      </w:r>
      <w:r w:rsidRPr="00387E75">
        <w:rPr>
          <w:iCs/>
          <w:color w:val="000000"/>
        </w:rPr>
        <w:t>t s</w:t>
      </w:r>
      <w:r w:rsidRPr="00387E75">
        <w:rPr>
          <w:iCs/>
          <w:color w:val="000000"/>
          <w:spacing w:val="-2"/>
        </w:rPr>
        <w:t>t</w:t>
      </w:r>
      <w:r w:rsidRPr="00387E75">
        <w:rPr>
          <w:iCs/>
          <w:color w:val="000000"/>
          <w:spacing w:val="3"/>
        </w:rPr>
        <w:t>r</w:t>
      </w:r>
      <w:r w:rsidRPr="00387E75">
        <w:rPr>
          <w:iCs/>
          <w:color w:val="000000"/>
          <w:spacing w:val="-1"/>
        </w:rPr>
        <w:t>at</w:t>
      </w:r>
      <w:r w:rsidRPr="00387E75">
        <w:rPr>
          <w:iCs/>
          <w:color w:val="000000"/>
        </w:rPr>
        <w:t>eg</w:t>
      </w:r>
      <w:r w:rsidRPr="00387E75">
        <w:rPr>
          <w:iCs/>
          <w:color w:val="000000"/>
          <w:spacing w:val="1"/>
        </w:rPr>
        <w:t>in</w:t>
      </w:r>
      <w:r w:rsidRPr="00387E75">
        <w:rPr>
          <w:iCs/>
          <w:color w:val="000000"/>
        </w:rPr>
        <w:t>į</w:t>
      </w:r>
      <w:r w:rsidRPr="00387E75">
        <w:rPr>
          <w:iCs/>
          <w:color w:val="000000"/>
          <w:spacing w:val="3"/>
        </w:rPr>
        <w:t xml:space="preserve"> </w:t>
      </w:r>
      <w:r w:rsidRPr="00387E75">
        <w:rPr>
          <w:iCs/>
          <w:color w:val="000000"/>
          <w:spacing w:val="-2"/>
        </w:rPr>
        <w:t>pož</w:t>
      </w:r>
      <w:r w:rsidRPr="00387E75">
        <w:rPr>
          <w:iCs/>
          <w:color w:val="000000"/>
          <w:spacing w:val="2"/>
        </w:rPr>
        <w:t>i</w:t>
      </w:r>
      <w:r w:rsidRPr="00387E75">
        <w:rPr>
          <w:iCs/>
          <w:color w:val="000000"/>
          <w:spacing w:val="1"/>
        </w:rPr>
        <w:t>ū</w:t>
      </w:r>
      <w:r w:rsidRPr="00387E75">
        <w:rPr>
          <w:iCs/>
          <w:color w:val="000000"/>
          <w:spacing w:val="-2"/>
        </w:rPr>
        <w:t>r</w:t>
      </w:r>
      <w:r w:rsidRPr="00387E75">
        <w:rPr>
          <w:iCs/>
          <w:color w:val="000000"/>
          <w:spacing w:val="2"/>
        </w:rPr>
        <w:t>į</w:t>
      </w:r>
      <w:r w:rsidRPr="00387E75">
        <w:rPr>
          <w:iCs/>
          <w:color w:val="000000"/>
        </w:rPr>
        <w:t>,</w:t>
      </w:r>
      <w:r w:rsidRPr="00387E75">
        <w:rPr>
          <w:iCs/>
          <w:color w:val="000000"/>
          <w:spacing w:val="10"/>
        </w:rPr>
        <w:t xml:space="preserve"> </w:t>
      </w:r>
      <w:r w:rsidRPr="00387E75">
        <w:rPr>
          <w:iCs/>
          <w:color w:val="000000"/>
        </w:rPr>
        <w:t>k</w:t>
      </w:r>
      <w:r w:rsidRPr="00387E75">
        <w:rPr>
          <w:iCs/>
          <w:color w:val="000000"/>
          <w:spacing w:val="2"/>
        </w:rPr>
        <w:t>u</w:t>
      </w:r>
      <w:r w:rsidRPr="00387E75">
        <w:rPr>
          <w:iCs/>
          <w:color w:val="000000"/>
          <w:spacing w:val="-2"/>
        </w:rPr>
        <w:t>r</w:t>
      </w:r>
      <w:r w:rsidRPr="00387E75">
        <w:rPr>
          <w:iCs/>
          <w:color w:val="000000"/>
          <w:spacing w:val="2"/>
        </w:rPr>
        <w:t>i</w:t>
      </w:r>
      <w:r w:rsidRPr="00387E75">
        <w:rPr>
          <w:iCs/>
          <w:color w:val="000000"/>
          <w:spacing w:val="1"/>
        </w:rPr>
        <w:t>u</w:t>
      </w:r>
      <w:r w:rsidRPr="00387E75">
        <w:rPr>
          <w:iCs/>
          <w:color w:val="000000"/>
        </w:rPr>
        <w:t xml:space="preserve">o </w:t>
      </w:r>
      <w:r w:rsidRPr="00387E75">
        <w:rPr>
          <w:iCs/>
          <w:color w:val="000000"/>
          <w:spacing w:val="-2"/>
        </w:rPr>
        <w:t>r</w:t>
      </w:r>
      <w:r w:rsidRPr="00387E75">
        <w:rPr>
          <w:iCs/>
          <w:color w:val="000000"/>
        </w:rPr>
        <w:t>em</w:t>
      </w:r>
      <w:r w:rsidRPr="00387E75">
        <w:rPr>
          <w:iCs/>
          <w:color w:val="000000"/>
          <w:spacing w:val="2"/>
        </w:rPr>
        <w:t>i</w:t>
      </w:r>
      <w:r w:rsidRPr="00387E75">
        <w:rPr>
          <w:iCs/>
          <w:color w:val="000000"/>
          <w:spacing w:val="-1"/>
        </w:rPr>
        <w:t>a</w:t>
      </w:r>
      <w:r w:rsidRPr="00387E75">
        <w:rPr>
          <w:iCs/>
          <w:color w:val="000000"/>
        </w:rPr>
        <w:t xml:space="preserve">ma </w:t>
      </w:r>
      <w:r w:rsidRPr="00387E75">
        <w:rPr>
          <w:iCs/>
          <w:color w:val="000000"/>
          <w:spacing w:val="2"/>
        </w:rPr>
        <w:t>i</w:t>
      </w:r>
      <w:r w:rsidRPr="00387E75">
        <w:rPr>
          <w:iCs/>
          <w:color w:val="000000"/>
        </w:rPr>
        <w:t>r</w:t>
      </w:r>
      <w:r w:rsidRPr="00387E75">
        <w:rPr>
          <w:iCs/>
          <w:color w:val="000000"/>
          <w:spacing w:val="4"/>
        </w:rPr>
        <w:t xml:space="preserve"> </w:t>
      </w:r>
      <w:r w:rsidRPr="00387E75">
        <w:rPr>
          <w:iCs/>
          <w:color w:val="000000"/>
          <w:spacing w:val="-2"/>
        </w:rPr>
        <w:t>p</w:t>
      </w:r>
      <w:r w:rsidRPr="00387E75">
        <w:rPr>
          <w:iCs/>
          <w:color w:val="000000"/>
          <w:spacing w:val="-1"/>
        </w:rPr>
        <w:t>a</w:t>
      </w:r>
      <w:r w:rsidRPr="00387E75">
        <w:rPr>
          <w:iCs/>
          <w:color w:val="000000"/>
          <w:spacing w:val="-2"/>
        </w:rPr>
        <w:t>p</w:t>
      </w:r>
      <w:r w:rsidRPr="00387E75">
        <w:rPr>
          <w:iCs/>
          <w:color w:val="000000"/>
          <w:spacing w:val="2"/>
        </w:rPr>
        <w:t>i</w:t>
      </w:r>
      <w:r w:rsidRPr="00387E75">
        <w:rPr>
          <w:iCs/>
          <w:color w:val="000000"/>
          <w:spacing w:val="-2"/>
        </w:rPr>
        <w:t>l</w:t>
      </w:r>
      <w:r w:rsidRPr="00387E75">
        <w:rPr>
          <w:iCs/>
          <w:color w:val="000000"/>
          <w:spacing w:val="4"/>
        </w:rPr>
        <w:t>d</w:t>
      </w:r>
      <w:r w:rsidRPr="00387E75">
        <w:rPr>
          <w:iCs/>
          <w:color w:val="000000"/>
          <w:spacing w:val="-2"/>
        </w:rPr>
        <w:t>o</w:t>
      </w:r>
      <w:r w:rsidRPr="00387E75">
        <w:rPr>
          <w:iCs/>
          <w:color w:val="000000"/>
        </w:rPr>
        <w:t xml:space="preserve">ma </w:t>
      </w:r>
      <w:r w:rsidRPr="00387E75">
        <w:rPr>
          <w:iCs/>
          <w:color w:val="000000"/>
          <w:spacing w:val="5"/>
        </w:rPr>
        <w:t>v</w:t>
      </w:r>
      <w:r w:rsidRPr="00387E75">
        <w:rPr>
          <w:iCs/>
          <w:color w:val="000000"/>
          <w:spacing w:val="-1"/>
        </w:rPr>
        <w:t>a</w:t>
      </w:r>
      <w:r w:rsidRPr="00387E75">
        <w:rPr>
          <w:iCs/>
          <w:color w:val="000000"/>
          <w:spacing w:val="-2"/>
        </w:rPr>
        <w:t>l</w:t>
      </w:r>
      <w:r w:rsidRPr="00387E75">
        <w:rPr>
          <w:iCs/>
          <w:color w:val="000000"/>
        </w:rPr>
        <w:t>s</w:t>
      </w:r>
      <w:r w:rsidRPr="00387E75">
        <w:rPr>
          <w:iCs/>
          <w:color w:val="000000"/>
          <w:spacing w:val="-2"/>
        </w:rPr>
        <w:t>t</w:t>
      </w:r>
      <w:r w:rsidRPr="00387E75">
        <w:rPr>
          <w:iCs/>
          <w:color w:val="000000"/>
        </w:rPr>
        <w:t>yb</w:t>
      </w:r>
      <w:r w:rsidRPr="00387E75">
        <w:rPr>
          <w:iCs/>
          <w:color w:val="000000"/>
          <w:spacing w:val="2"/>
        </w:rPr>
        <w:t>i</w:t>
      </w:r>
      <w:r w:rsidRPr="00387E75">
        <w:rPr>
          <w:iCs/>
          <w:color w:val="000000"/>
        </w:rPr>
        <w:t xml:space="preserve">ų </w:t>
      </w:r>
      <w:r w:rsidRPr="00387E75">
        <w:rPr>
          <w:iCs/>
          <w:color w:val="000000"/>
          <w:spacing w:val="1"/>
        </w:rPr>
        <w:t>n</w:t>
      </w:r>
      <w:r w:rsidRPr="00387E75">
        <w:rPr>
          <w:iCs/>
          <w:color w:val="000000"/>
          <w:spacing w:val="-1"/>
        </w:rPr>
        <w:t>a</w:t>
      </w:r>
      <w:r w:rsidRPr="00387E75">
        <w:rPr>
          <w:iCs/>
          <w:color w:val="000000"/>
          <w:spacing w:val="-2"/>
        </w:rPr>
        <w:t>r</w:t>
      </w:r>
      <w:r w:rsidRPr="00387E75">
        <w:rPr>
          <w:iCs/>
          <w:color w:val="000000"/>
          <w:spacing w:val="2"/>
        </w:rPr>
        <w:t>i</w:t>
      </w:r>
      <w:r w:rsidRPr="00387E75">
        <w:rPr>
          <w:iCs/>
          <w:color w:val="000000"/>
        </w:rPr>
        <w:t>ų</w:t>
      </w:r>
      <w:r w:rsidRPr="00387E75">
        <w:rPr>
          <w:iCs/>
          <w:color w:val="000000"/>
          <w:spacing w:val="2"/>
        </w:rPr>
        <w:t xml:space="preserve"> </w:t>
      </w:r>
      <w:r w:rsidRPr="00387E75">
        <w:rPr>
          <w:iCs/>
          <w:color w:val="000000"/>
          <w:spacing w:val="-2"/>
        </w:rPr>
        <w:t>pol</w:t>
      </w:r>
      <w:r w:rsidRPr="00387E75">
        <w:rPr>
          <w:iCs/>
          <w:color w:val="000000"/>
          <w:spacing w:val="2"/>
        </w:rPr>
        <w:t>i</w:t>
      </w:r>
      <w:r w:rsidRPr="00387E75">
        <w:rPr>
          <w:iCs/>
          <w:color w:val="000000"/>
          <w:spacing w:val="-1"/>
        </w:rPr>
        <w:t>t</w:t>
      </w:r>
      <w:r w:rsidRPr="00387E75">
        <w:rPr>
          <w:iCs/>
          <w:color w:val="000000"/>
          <w:spacing w:val="2"/>
        </w:rPr>
        <w:t>i</w:t>
      </w:r>
      <w:r w:rsidRPr="00387E75">
        <w:rPr>
          <w:iCs/>
          <w:color w:val="000000"/>
        </w:rPr>
        <w:t>ka</w:t>
      </w:r>
      <w:r w:rsidRPr="00387E75">
        <w:rPr>
          <w:iCs/>
          <w:color w:val="000000"/>
          <w:spacing w:val="1"/>
        </w:rPr>
        <w:t xml:space="preserve"> </w:t>
      </w:r>
      <w:r w:rsidRPr="00387E75">
        <w:rPr>
          <w:iCs/>
          <w:color w:val="000000"/>
          <w:spacing w:val="2"/>
        </w:rPr>
        <w:t>i</w:t>
      </w:r>
      <w:r w:rsidRPr="00387E75">
        <w:rPr>
          <w:iCs/>
          <w:color w:val="000000"/>
        </w:rPr>
        <w:t>r k</w:t>
      </w:r>
      <w:r w:rsidRPr="00387E75">
        <w:rPr>
          <w:iCs/>
          <w:color w:val="000000"/>
          <w:spacing w:val="2"/>
        </w:rPr>
        <w:t>u</w:t>
      </w:r>
      <w:r w:rsidRPr="00387E75">
        <w:rPr>
          <w:iCs/>
          <w:color w:val="000000"/>
          <w:spacing w:val="-2"/>
        </w:rPr>
        <w:t>r</w:t>
      </w:r>
      <w:r w:rsidRPr="00387E75">
        <w:rPr>
          <w:iCs/>
          <w:color w:val="000000"/>
          <w:spacing w:val="2"/>
        </w:rPr>
        <w:t>i</w:t>
      </w:r>
      <w:r w:rsidRPr="00387E75">
        <w:rPr>
          <w:iCs/>
          <w:color w:val="000000"/>
        </w:rPr>
        <w:t>s</w:t>
      </w:r>
      <w:r w:rsidRPr="00387E75">
        <w:rPr>
          <w:iCs/>
          <w:color w:val="000000"/>
          <w:spacing w:val="1"/>
        </w:rPr>
        <w:t xml:space="preserve"> </w:t>
      </w:r>
      <w:r w:rsidRPr="00387E75">
        <w:rPr>
          <w:iCs/>
          <w:color w:val="000000"/>
        </w:rPr>
        <w:t>y</w:t>
      </w:r>
      <w:r w:rsidRPr="00387E75">
        <w:rPr>
          <w:iCs/>
          <w:color w:val="000000"/>
          <w:spacing w:val="3"/>
        </w:rPr>
        <w:t>r</w:t>
      </w:r>
      <w:r w:rsidRPr="00387E75">
        <w:rPr>
          <w:iCs/>
          <w:color w:val="000000"/>
        </w:rPr>
        <w:t>a k</w:t>
      </w:r>
      <w:r w:rsidRPr="00387E75">
        <w:rPr>
          <w:iCs/>
          <w:color w:val="000000"/>
          <w:spacing w:val="4"/>
        </w:rPr>
        <w:t>o</w:t>
      </w:r>
      <w:r w:rsidRPr="00387E75">
        <w:rPr>
          <w:iCs/>
          <w:color w:val="000000"/>
          <w:spacing w:val="-2"/>
        </w:rPr>
        <w:t>or</w:t>
      </w:r>
      <w:r w:rsidRPr="00387E75">
        <w:rPr>
          <w:iCs/>
          <w:color w:val="000000"/>
          <w:spacing w:val="-1"/>
        </w:rPr>
        <w:t>d</w:t>
      </w:r>
      <w:r w:rsidRPr="00387E75">
        <w:rPr>
          <w:iCs/>
          <w:color w:val="000000"/>
          <w:spacing w:val="2"/>
        </w:rPr>
        <w:t>i</w:t>
      </w:r>
      <w:r w:rsidRPr="00387E75">
        <w:rPr>
          <w:iCs/>
          <w:color w:val="000000"/>
          <w:spacing w:val="1"/>
        </w:rPr>
        <w:t>nu</w:t>
      </w:r>
      <w:r w:rsidRPr="00387E75">
        <w:rPr>
          <w:iCs/>
          <w:color w:val="000000"/>
          <w:spacing w:val="-2"/>
        </w:rPr>
        <w:t>o</w:t>
      </w:r>
      <w:r w:rsidRPr="00387E75">
        <w:rPr>
          <w:iCs/>
          <w:color w:val="000000"/>
          <w:spacing w:val="-1"/>
        </w:rPr>
        <w:t>t</w:t>
      </w:r>
      <w:r w:rsidRPr="00387E75">
        <w:rPr>
          <w:iCs/>
          <w:color w:val="000000"/>
        </w:rPr>
        <w:t>ų</w:t>
      </w:r>
      <w:r w:rsidRPr="00387E75">
        <w:rPr>
          <w:iCs/>
          <w:color w:val="000000"/>
          <w:spacing w:val="2"/>
        </w:rPr>
        <w:t xml:space="preserve"> i</w:t>
      </w:r>
      <w:r w:rsidRPr="00387E75">
        <w:rPr>
          <w:iCs/>
          <w:color w:val="000000"/>
        </w:rPr>
        <w:t>r</w:t>
      </w:r>
      <w:r w:rsidRPr="00387E75">
        <w:rPr>
          <w:iCs/>
          <w:color w:val="000000"/>
          <w:spacing w:val="4"/>
        </w:rPr>
        <w:t xml:space="preserve"> </w:t>
      </w:r>
      <w:r w:rsidRPr="00387E75">
        <w:rPr>
          <w:iCs/>
          <w:color w:val="000000"/>
        </w:rPr>
        <w:t>be</w:t>
      </w:r>
      <w:r w:rsidRPr="00387E75">
        <w:rPr>
          <w:iCs/>
          <w:color w:val="000000"/>
          <w:spacing w:val="1"/>
        </w:rPr>
        <w:t>n</w:t>
      </w:r>
      <w:r w:rsidRPr="00387E75">
        <w:rPr>
          <w:iCs/>
          <w:color w:val="000000"/>
          <w:spacing w:val="-1"/>
        </w:rPr>
        <w:t>d</w:t>
      </w:r>
      <w:r w:rsidRPr="00387E75">
        <w:rPr>
          <w:iCs/>
          <w:color w:val="000000"/>
          <w:spacing w:val="-2"/>
        </w:rPr>
        <w:t>r</w:t>
      </w:r>
      <w:r w:rsidRPr="00387E75">
        <w:rPr>
          <w:iCs/>
          <w:color w:val="000000"/>
        </w:rPr>
        <w:t>ų</w:t>
      </w:r>
      <w:r w:rsidRPr="00387E75">
        <w:rPr>
          <w:iCs/>
          <w:color w:val="000000"/>
          <w:spacing w:val="2"/>
        </w:rPr>
        <w:t xml:space="preserve"> </w:t>
      </w:r>
      <w:r w:rsidRPr="00387E75">
        <w:rPr>
          <w:iCs/>
          <w:color w:val="000000"/>
        </w:rPr>
        <w:t>ve</w:t>
      </w:r>
      <w:r w:rsidRPr="00387E75">
        <w:rPr>
          <w:iCs/>
          <w:color w:val="000000"/>
          <w:spacing w:val="2"/>
        </w:rPr>
        <w:t>i</w:t>
      </w:r>
      <w:r w:rsidRPr="00387E75">
        <w:rPr>
          <w:iCs/>
          <w:color w:val="000000"/>
        </w:rPr>
        <w:t>ksmų</w:t>
      </w:r>
      <w:r w:rsidRPr="00387E75">
        <w:rPr>
          <w:iCs/>
          <w:color w:val="000000"/>
          <w:spacing w:val="3"/>
        </w:rPr>
        <w:t xml:space="preserve"> </w:t>
      </w:r>
      <w:r w:rsidRPr="00387E75">
        <w:rPr>
          <w:iCs/>
          <w:color w:val="000000"/>
          <w:spacing w:val="-2"/>
        </w:rPr>
        <w:t>p</w:t>
      </w:r>
      <w:r w:rsidRPr="00387E75">
        <w:rPr>
          <w:iCs/>
          <w:color w:val="000000"/>
          <w:spacing w:val="-1"/>
        </w:rPr>
        <w:t>a</w:t>
      </w:r>
      <w:r w:rsidRPr="00387E75">
        <w:rPr>
          <w:iCs/>
          <w:color w:val="000000"/>
        </w:rPr>
        <w:t>g</w:t>
      </w:r>
      <w:r w:rsidRPr="00387E75">
        <w:rPr>
          <w:iCs/>
          <w:color w:val="000000"/>
          <w:spacing w:val="-2"/>
        </w:rPr>
        <w:t>r</w:t>
      </w:r>
      <w:r w:rsidRPr="00387E75">
        <w:rPr>
          <w:iCs/>
          <w:color w:val="000000"/>
          <w:spacing w:val="2"/>
        </w:rPr>
        <w:t>i</w:t>
      </w:r>
      <w:r w:rsidRPr="00387E75">
        <w:rPr>
          <w:iCs/>
          <w:color w:val="000000"/>
          <w:spacing w:val="1"/>
        </w:rPr>
        <w:t>n</w:t>
      </w:r>
      <w:r w:rsidRPr="00387E75">
        <w:rPr>
          <w:iCs/>
          <w:color w:val="000000"/>
          <w:spacing w:val="-1"/>
        </w:rPr>
        <w:t>da</w:t>
      </w:r>
      <w:r w:rsidRPr="00387E75">
        <w:rPr>
          <w:iCs/>
          <w:color w:val="000000"/>
        </w:rPr>
        <w:t>s</w:t>
      </w:r>
      <w:r w:rsidRPr="00387E75">
        <w:rPr>
          <w:iCs/>
          <w:color w:val="000000"/>
          <w:spacing w:val="1"/>
        </w:rPr>
        <w:t xml:space="preserve"> </w:t>
      </w:r>
      <w:r w:rsidRPr="00387E75">
        <w:rPr>
          <w:iCs/>
          <w:color w:val="000000"/>
          <w:spacing w:val="2"/>
        </w:rPr>
        <w:t>i</w:t>
      </w:r>
      <w:r w:rsidRPr="00387E75">
        <w:rPr>
          <w:iCs/>
          <w:color w:val="000000"/>
        </w:rPr>
        <w:t>r</w:t>
      </w:r>
      <w:r w:rsidRPr="00387E75">
        <w:rPr>
          <w:iCs/>
          <w:color w:val="000000"/>
          <w:spacing w:val="4"/>
        </w:rPr>
        <w:t xml:space="preserve"> </w:t>
      </w:r>
      <w:r w:rsidRPr="00387E75">
        <w:rPr>
          <w:iCs/>
          <w:color w:val="000000"/>
          <w:spacing w:val="-2"/>
        </w:rPr>
        <w:t>E</w:t>
      </w:r>
      <w:r w:rsidRPr="00387E75">
        <w:rPr>
          <w:iCs/>
          <w:color w:val="000000"/>
        </w:rPr>
        <w:t>S</w:t>
      </w:r>
      <w:r w:rsidRPr="00387E75">
        <w:rPr>
          <w:iCs/>
          <w:color w:val="000000"/>
          <w:spacing w:val="1"/>
        </w:rPr>
        <w:t xml:space="preserve"> </w:t>
      </w:r>
      <w:r w:rsidRPr="00387E75">
        <w:rPr>
          <w:iCs/>
          <w:color w:val="000000"/>
          <w:spacing w:val="2"/>
        </w:rPr>
        <w:t>i</w:t>
      </w:r>
      <w:r w:rsidRPr="00387E75">
        <w:rPr>
          <w:iCs/>
          <w:color w:val="000000"/>
        </w:rPr>
        <w:t>š</w:t>
      </w:r>
      <w:r w:rsidRPr="00387E75">
        <w:rPr>
          <w:iCs/>
          <w:color w:val="000000"/>
          <w:spacing w:val="2"/>
        </w:rPr>
        <w:t>o</w:t>
      </w:r>
      <w:r w:rsidRPr="00387E75">
        <w:rPr>
          <w:iCs/>
          <w:color w:val="000000"/>
          <w:spacing w:val="-2"/>
        </w:rPr>
        <w:t>r</w:t>
      </w:r>
      <w:r w:rsidRPr="00387E75">
        <w:rPr>
          <w:iCs/>
          <w:color w:val="000000"/>
        </w:rPr>
        <w:t>ės be</w:t>
      </w:r>
      <w:r w:rsidRPr="00387E75">
        <w:rPr>
          <w:iCs/>
          <w:color w:val="000000"/>
          <w:spacing w:val="1"/>
        </w:rPr>
        <w:t>n</w:t>
      </w:r>
      <w:r w:rsidRPr="00387E75">
        <w:rPr>
          <w:iCs/>
          <w:color w:val="000000"/>
          <w:spacing w:val="-1"/>
        </w:rPr>
        <w:t>d</w:t>
      </w:r>
      <w:r w:rsidRPr="00387E75">
        <w:rPr>
          <w:iCs/>
          <w:color w:val="000000"/>
          <w:spacing w:val="-2"/>
        </w:rPr>
        <w:t>r</w:t>
      </w:r>
      <w:r w:rsidRPr="00387E75">
        <w:rPr>
          <w:iCs/>
          <w:color w:val="000000"/>
          <w:spacing w:val="-1"/>
        </w:rPr>
        <w:t>ada</w:t>
      </w:r>
      <w:r w:rsidRPr="00387E75">
        <w:rPr>
          <w:iCs/>
          <w:color w:val="000000"/>
          <w:spacing w:val="-2"/>
        </w:rPr>
        <w:t>r</w:t>
      </w:r>
      <w:r w:rsidRPr="00387E75">
        <w:rPr>
          <w:iCs/>
          <w:color w:val="000000"/>
        </w:rPr>
        <w:t>b</w:t>
      </w:r>
      <w:r w:rsidRPr="00387E75">
        <w:rPr>
          <w:iCs/>
          <w:color w:val="000000"/>
          <w:spacing w:val="2"/>
        </w:rPr>
        <w:t>i</w:t>
      </w:r>
      <w:r w:rsidRPr="00387E75">
        <w:rPr>
          <w:iCs/>
          <w:color w:val="000000"/>
          <w:spacing w:val="-1"/>
        </w:rPr>
        <w:t>a</w:t>
      </w:r>
      <w:r w:rsidRPr="00387E75">
        <w:rPr>
          <w:iCs/>
          <w:color w:val="000000"/>
        </w:rPr>
        <w:t>v</w:t>
      </w:r>
      <w:r w:rsidRPr="00387E75">
        <w:rPr>
          <w:iCs/>
          <w:color w:val="000000"/>
          <w:spacing w:val="2"/>
        </w:rPr>
        <w:t>i</w:t>
      </w:r>
      <w:r w:rsidRPr="00387E75">
        <w:rPr>
          <w:iCs/>
          <w:color w:val="000000"/>
        </w:rPr>
        <w:t>mo š</w:t>
      </w:r>
      <w:r w:rsidRPr="00387E75">
        <w:rPr>
          <w:iCs/>
          <w:color w:val="000000"/>
          <w:spacing w:val="1"/>
        </w:rPr>
        <w:t>i</w:t>
      </w:r>
      <w:r w:rsidRPr="00387E75">
        <w:rPr>
          <w:iCs/>
          <w:color w:val="000000"/>
          <w:spacing w:val="-2"/>
        </w:rPr>
        <w:t>o</w:t>
      </w:r>
      <w:r w:rsidRPr="00387E75">
        <w:rPr>
          <w:iCs/>
          <w:color w:val="000000"/>
          <w:spacing w:val="-1"/>
        </w:rPr>
        <w:t>j</w:t>
      </w:r>
      <w:r w:rsidRPr="00387E75">
        <w:rPr>
          <w:iCs/>
          <w:color w:val="000000"/>
        </w:rPr>
        <w:t>e</w:t>
      </w:r>
      <w:r w:rsidRPr="00387E75">
        <w:rPr>
          <w:iCs/>
          <w:color w:val="000000"/>
          <w:spacing w:val="7"/>
        </w:rPr>
        <w:t xml:space="preserve"> </w:t>
      </w:r>
      <w:r w:rsidRPr="00387E75">
        <w:rPr>
          <w:iCs/>
          <w:color w:val="000000"/>
        </w:rPr>
        <w:t>s</w:t>
      </w:r>
      <w:r w:rsidRPr="00387E75">
        <w:rPr>
          <w:iCs/>
          <w:color w:val="000000"/>
          <w:spacing w:val="-2"/>
        </w:rPr>
        <w:t>r</w:t>
      </w:r>
      <w:r w:rsidRPr="00387E75">
        <w:rPr>
          <w:iCs/>
          <w:color w:val="000000"/>
          <w:spacing w:val="2"/>
        </w:rPr>
        <w:t>i</w:t>
      </w:r>
      <w:r w:rsidRPr="00387E75">
        <w:rPr>
          <w:iCs/>
          <w:color w:val="000000"/>
          <w:spacing w:val="-1"/>
        </w:rPr>
        <w:t>t</w:t>
      </w:r>
      <w:r w:rsidRPr="00387E75">
        <w:rPr>
          <w:iCs/>
          <w:color w:val="000000"/>
        </w:rPr>
        <w:t>y</w:t>
      </w:r>
      <w:r w:rsidRPr="00387E75">
        <w:rPr>
          <w:iCs/>
          <w:color w:val="000000"/>
          <w:spacing w:val="-1"/>
        </w:rPr>
        <w:t>j</w:t>
      </w:r>
      <w:r w:rsidRPr="00387E75">
        <w:rPr>
          <w:iCs/>
          <w:color w:val="000000"/>
        </w:rPr>
        <w:t>e</w:t>
      </w:r>
      <w:r w:rsidRPr="00387E75">
        <w:rPr>
          <w:iCs/>
          <w:color w:val="000000"/>
          <w:spacing w:val="2"/>
        </w:rPr>
        <w:t xml:space="preserve"> </w:t>
      </w:r>
      <w:r w:rsidRPr="00387E75">
        <w:rPr>
          <w:iCs/>
          <w:color w:val="000000"/>
          <w:spacing w:val="3"/>
        </w:rPr>
        <w:t>p</w:t>
      </w:r>
      <w:r w:rsidRPr="00387E75">
        <w:rPr>
          <w:iCs/>
          <w:color w:val="000000"/>
          <w:spacing w:val="-1"/>
        </w:rPr>
        <w:t>a</w:t>
      </w:r>
      <w:r w:rsidRPr="00387E75">
        <w:rPr>
          <w:iCs/>
          <w:color w:val="000000"/>
        </w:rPr>
        <w:t>g</w:t>
      </w:r>
      <w:r w:rsidRPr="00387E75">
        <w:rPr>
          <w:iCs/>
          <w:color w:val="000000"/>
          <w:spacing w:val="-2"/>
        </w:rPr>
        <w:t>r</w:t>
      </w:r>
      <w:r w:rsidRPr="00387E75">
        <w:rPr>
          <w:iCs/>
          <w:color w:val="000000"/>
          <w:spacing w:val="2"/>
        </w:rPr>
        <w:t>i</w:t>
      </w:r>
      <w:r w:rsidRPr="00387E75">
        <w:rPr>
          <w:iCs/>
          <w:color w:val="000000"/>
          <w:spacing w:val="1"/>
        </w:rPr>
        <w:t>n</w:t>
      </w:r>
      <w:r w:rsidRPr="00387E75">
        <w:rPr>
          <w:iCs/>
          <w:color w:val="000000"/>
          <w:spacing w:val="-1"/>
        </w:rPr>
        <w:t>da</w:t>
      </w:r>
      <w:r w:rsidRPr="00387E75">
        <w:rPr>
          <w:iCs/>
          <w:color w:val="000000"/>
        </w:rPr>
        <w:t>s</w:t>
      </w:r>
      <w:r w:rsidRPr="00387E75">
        <w:rPr>
          <w:iCs/>
          <w:color w:val="000000"/>
          <w:spacing w:val="1"/>
        </w:rPr>
        <w:t xml:space="preserve"> </w:t>
      </w:r>
      <w:r w:rsidRPr="00387E75">
        <w:rPr>
          <w:iCs/>
          <w:color w:val="000000"/>
        </w:rPr>
        <w:t>bei</w:t>
      </w:r>
      <w:r w:rsidRPr="00387E75">
        <w:rPr>
          <w:iCs/>
          <w:color w:val="000000"/>
          <w:spacing w:val="9"/>
        </w:rPr>
        <w:t xml:space="preserve"> </w:t>
      </w:r>
      <w:r w:rsidRPr="00387E75">
        <w:rPr>
          <w:iCs/>
          <w:color w:val="000000"/>
          <w:spacing w:val="-2"/>
        </w:rPr>
        <w:t>pol</w:t>
      </w:r>
      <w:r w:rsidRPr="00387E75">
        <w:rPr>
          <w:iCs/>
          <w:color w:val="000000"/>
          <w:spacing w:val="2"/>
        </w:rPr>
        <w:t>i</w:t>
      </w:r>
      <w:r w:rsidRPr="00387E75">
        <w:rPr>
          <w:iCs/>
          <w:color w:val="000000"/>
          <w:spacing w:val="-1"/>
        </w:rPr>
        <w:t>t</w:t>
      </w:r>
      <w:r w:rsidRPr="00387E75">
        <w:rPr>
          <w:iCs/>
          <w:color w:val="000000"/>
          <w:spacing w:val="2"/>
        </w:rPr>
        <w:t>i</w:t>
      </w:r>
      <w:r w:rsidRPr="00387E75">
        <w:rPr>
          <w:iCs/>
          <w:color w:val="000000"/>
          <w:spacing w:val="1"/>
        </w:rPr>
        <w:t>n</w:t>
      </w:r>
      <w:r w:rsidRPr="00387E75">
        <w:rPr>
          <w:iCs/>
          <w:color w:val="000000"/>
        </w:rPr>
        <w:t>ė</w:t>
      </w:r>
      <w:r w:rsidRPr="00387E75">
        <w:rPr>
          <w:iCs/>
          <w:color w:val="000000"/>
          <w:spacing w:val="2"/>
        </w:rPr>
        <w:t xml:space="preserve"> </w:t>
      </w:r>
      <w:r w:rsidRPr="00387E75">
        <w:rPr>
          <w:iCs/>
          <w:color w:val="000000"/>
        </w:rPr>
        <w:t>s</w:t>
      </w:r>
      <w:r w:rsidRPr="00387E75">
        <w:rPr>
          <w:iCs/>
          <w:color w:val="000000"/>
          <w:spacing w:val="1"/>
        </w:rPr>
        <w:t>i</w:t>
      </w:r>
      <w:r w:rsidRPr="00387E75">
        <w:rPr>
          <w:iCs/>
          <w:color w:val="000000"/>
        </w:rPr>
        <w:t>s</w:t>
      </w:r>
      <w:r w:rsidRPr="00387E75">
        <w:rPr>
          <w:iCs/>
          <w:color w:val="000000"/>
          <w:spacing w:val="-2"/>
        </w:rPr>
        <w:t>t</w:t>
      </w:r>
      <w:r w:rsidRPr="00387E75">
        <w:rPr>
          <w:iCs/>
          <w:color w:val="000000"/>
        </w:rPr>
        <w:t>em</w:t>
      </w:r>
      <w:r w:rsidRPr="00387E75">
        <w:rPr>
          <w:iCs/>
          <w:color w:val="000000"/>
          <w:spacing w:val="-1"/>
        </w:rPr>
        <w:t>a</w:t>
      </w:r>
      <w:r w:rsidRPr="00387E75">
        <w:rPr>
          <w:iCs/>
          <w:color w:val="000000"/>
        </w:rPr>
        <w:t>.</w:t>
      </w:r>
      <w:r w:rsidRPr="00387E75">
        <w:rPr>
          <w:iCs/>
          <w:color w:val="000000"/>
          <w:spacing w:val="2"/>
        </w:rPr>
        <w:t xml:space="preserve"> </w:t>
      </w:r>
      <w:r w:rsidRPr="00387E75">
        <w:rPr>
          <w:iCs/>
          <w:color w:val="000000"/>
          <w:spacing w:val="1"/>
        </w:rPr>
        <w:t>T</w:t>
      </w:r>
      <w:r w:rsidRPr="00387E75">
        <w:rPr>
          <w:iCs/>
          <w:color w:val="000000"/>
        </w:rPr>
        <w:t>o b</w:t>
      </w:r>
      <w:r w:rsidRPr="00387E75">
        <w:rPr>
          <w:iCs/>
          <w:color w:val="000000"/>
          <w:spacing w:val="1"/>
        </w:rPr>
        <w:t>u</w:t>
      </w:r>
      <w:r w:rsidRPr="00387E75">
        <w:rPr>
          <w:iCs/>
          <w:color w:val="000000"/>
        </w:rPr>
        <w:t>s</w:t>
      </w:r>
      <w:r w:rsidRPr="00387E75">
        <w:rPr>
          <w:iCs/>
          <w:color w:val="000000"/>
          <w:spacing w:val="1"/>
        </w:rPr>
        <w:t xml:space="preserve"> </w:t>
      </w:r>
      <w:r w:rsidRPr="00387E75">
        <w:rPr>
          <w:iCs/>
          <w:color w:val="000000"/>
        </w:rPr>
        <w:t>s</w:t>
      </w:r>
      <w:r w:rsidRPr="00387E75">
        <w:rPr>
          <w:iCs/>
          <w:color w:val="000000"/>
          <w:spacing w:val="1"/>
        </w:rPr>
        <w:t>i</w:t>
      </w:r>
      <w:r w:rsidRPr="00387E75">
        <w:rPr>
          <w:iCs/>
          <w:color w:val="000000"/>
        </w:rPr>
        <w:t>ek</w:t>
      </w:r>
      <w:r w:rsidRPr="00387E75">
        <w:rPr>
          <w:iCs/>
          <w:color w:val="000000"/>
          <w:spacing w:val="3"/>
        </w:rPr>
        <w:t>i</w:t>
      </w:r>
      <w:r w:rsidRPr="00387E75">
        <w:rPr>
          <w:iCs/>
          <w:color w:val="000000"/>
          <w:spacing w:val="-1"/>
        </w:rPr>
        <w:t>a</w:t>
      </w:r>
      <w:r w:rsidRPr="00387E75">
        <w:rPr>
          <w:iCs/>
          <w:color w:val="000000"/>
        </w:rPr>
        <w:t xml:space="preserve">ma </w:t>
      </w:r>
      <w:r w:rsidRPr="00387E75">
        <w:rPr>
          <w:iCs/>
          <w:color w:val="000000"/>
          <w:spacing w:val="-2"/>
        </w:rPr>
        <w:t>l</w:t>
      </w:r>
      <w:r w:rsidRPr="00387E75">
        <w:rPr>
          <w:iCs/>
          <w:color w:val="000000"/>
          <w:spacing w:val="-1"/>
        </w:rPr>
        <w:t>a</w:t>
      </w:r>
      <w:r w:rsidRPr="00387E75">
        <w:rPr>
          <w:iCs/>
          <w:color w:val="000000"/>
          <w:spacing w:val="2"/>
        </w:rPr>
        <w:t>i</w:t>
      </w:r>
      <w:r w:rsidRPr="00387E75">
        <w:rPr>
          <w:iCs/>
          <w:color w:val="000000"/>
        </w:rPr>
        <w:t>k</w:t>
      </w:r>
      <w:r w:rsidRPr="00387E75">
        <w:rPr>
          <w:iCs/>
          <w:color w:val="000000"/>
          <w:spacing w:val="-1"/>
        </w:rPr>
        <w:t>a</w:t>
      </w:r>
      <w:r w:rsidRPr="00387E75">
        <w:rPr>
          <w:iCs/>
          <w:color w:val="000000"/>
          <w:spacing w:val="1"/>
        </w:rPr>
        <w:t>n</w:t>
      </w:r>
      <w:r w:rsidRPr="00387E75">
        <w:rPr>
          <w:iCs/>
          <w:color w:val="000000"/>
          <w:spacing w:val="-1"/>
        </w:rPr>
        <w:t>t</w:t>
      </w:r>
      <w:r w:rsidRPr="00387E75">
        <w:rPr>
          <w:iCs/>
          <w:color w:val="000000"/>
          <w:spacing w:val="2"/>
        </w:rPr>
        <w:t>i</w:t>
      </w:r>
      <w:r w:rsidRPr="00387E75">
        <w:rPr>
          <w:iCs/>
          <w:color w:val="000000"/>
        </w:rPr>
        <w:t xml:space="preserve">s </w:t>
      </w:r>
      <w:r w:rsidRPr="00387E75">
        <w:rPr>
          <w:iCs/>
          <w:color w:val="000000"/>
          <w:spacing w:val="2"/>
        </w:rPr>
        <w:t>i</w:t>
      </w:r>
      <w:r w:rsidRPr="00387E75">
        <w:rPr>
          <w:iCs/>
          <w:color w:val="000000"/>
          <w:spacing w:val="1"/>
        </w:rPr>
        <w:t>n</w:t>
      </w:r>
      <w:r w:rsidRPr="00387E75">
        <w:rPr>
          <w:iCs/>
          <w:color w:val="000000"/>
          <w:spacing w:val="-1"/>
        </w:rPr>
        <w:t>t</w:t>
      </w:r>
      <w:r w:rsidRPr="00387E75">
        <w:rPr>
          <w:iCs/>
          <w:color w:val="000000"/>
        </w:rPr>
        <w:t>eg</w:t>
      </w:r>
      <w:r w:rsidRPr="00387E75">
        <w:rPr>
          <w:iCs/>
          <w:color w:val="000000"/>
          <w:spacing w:val="-2"/>
        </w:rPr>
        <w:t>r</w:t>
      </w:r>
      <w:r w:rsidRPr="00387E75">
        <w:rPr>
          <w:iCs/>
          <w:color w:val="000000"/>
          <w:spacing w:val="1"/>
        </w:rPr>
        <w:t>u</w:t>
      </w:r>
      <w:r w:rsidRPr="00387E75">
        <w:rPr>
          <w:iCs/>
          <w:color w:val="000000"/>
          <w:spacing w:val="-2"/>
        </w:rPr>
        <w:t>o</w:t>
      </w:r>
      <w:r w:rsidRPr="00387E75">
        <w:rPr>
          <w:iCs/>
          <w:color w:val="000000"/>
          <w:spacing w:val="-1"/>
        </w:rPr>
        <w:t>t</w:t>
      </w:r>
      <w:r w:rsidRPr="00387E75">
        <w:rPr>
          <w:iCs/>
          <w:color w:val="000000"/>
          <w:spacing w:val="-2"/>
        </w:rPr>
        <w:t>o</w:t>
      </w:r>
      <w:r w:rsidRPr="00387E75">
        <w:rPr>
          <w:iCs/>
          <w:color w:val="000000"/>
        </w:rPr>
        <w:t>,</w:t>
      </w:r>
      <w:r w:rsidRPr="00387E75">
        <w:rPr>
          <w:iCs/>
          <w:color w:val="000000"/>
          <w:spacing w:val="-3"/>
        </w:rPr>
        <w:t xml:space="preserve"> </w:t>
      </w:r>
      <w:r w:rsidRPr="00387E75">
        <w:rPr>
          <w:iCs/>
          <w:color w:val="000000"/>
        </w:rPr>
        <w:t>s</w:t>
      </w:r>
      <w:r w:rsidRPr="00387E75">
        <w:rPr>
          <w:iCs/>
          <w:color w:val="000000"/>
          <w:spacing w:val="1"/>
        </w:rPr>
        <w:t>u</w:t>
      </w:r>
      <w:r w:rsidRPr="00387E75">
        <w:rPr>
          <w:iCs/>
          <w:color w:val="000000"/>
        </w:rPr>
        <w:t>b</w:t>
      </w:r>
      <w:r w:rsidRPr="00387E75">
        <w:rPr>
          <w:iCs/>
          <w:color w:val="000000"/>
          <w:spacing w:val="-2"/>
        </w:rPr>
        <w:t>al</w:t>
      </w:r>
      <w:r w:rsidRPr="00387E75">
        <w:rPr>
          <w:iCs/>
          <w:color w:val="000000"/>
          <w:spacing w:val="-1"/>
        </w:rPr>
        <w:t>a</w:t>
      </w:r>
      <w:r w:rsidRPr="00387E75">
        <w:rPr>
          <w:iCs/>
          <w:color w:val="000000"/>
          <w:spacing w:val="1"/>
        </w:rPr>
        <w:t>n</w:t>
      </w:r>
      <w:r w:rsidRPr="00387E75">
        <w:rPr>
          <w:iCs/>
          <w:color w:val="000000"/>
        </w:rPr>
        <w:t>su</w:t>
      </w:r>
      <w:r w:rsidRPr="00387E75">
        <w:rPr>
          <w:iCs/>
          <w:color w:val="000000"/>
          <w:spacing w:val="4"/>
        </w:rPr>
        <w:t>o</w:t>
      </w:r>
      <w:r w:rsidRPr="00387E75">
        <w:rPr>
          <w:iCs/>
          <w:color w:val="000000"/>
          <w:spacing w:val="-1"/>
        </w:rPr>
        <w:t>t</w:t>
      </w:r>
      <w:r w:rsidRPr="00387E75">
        <w:rPr>
          <w:iCs/>
          <w:color w:val="000000"/>
        </w:rPr>
        <w:t>o</w:t>
      </w:r>
      <w:r w:rsidRPr="00387E75">
        <w:rPr>
          <w:iCs/>
          <w:color w:val="000000"/>
          <w:spacing w:val="-13"/>
        </w:rPr>
        <w:t xml:space="preserve"> </w:t>
      </w:r>
      <w:r w:rsidRPr="00387E75">
        <w:rPr>
          <w:iCs/>
          <w:color w:val="000000"/>
          <w:spacing w:val="2"/>
        </w:rPr>
        <w:t>i</w:t>
      </w:r>
      <w:r w:rsidRPr="00387E75">
        <w:rPr>
          <w:iCs/>
          <w:color w:val="000000"/>
        </w:rPr>
        <w:t>r</w:t>
      </w:r>
      <w:r w:rsidRPr="00387E75">
        <w:rPr>
          <w:iCs/>
          <w:color w:val="000000"/>
          <w:spacing w:val="-3"/>
        </w:rPr>
        <w:t xml:space="preserve"> </w:t>
      </w:r>
      <w:r w:rsidRPr="00387E75">
        <w:rPr>
          <w:iCs/>
          <w:color w:val="000000"/>
          <w:spacing w:val="2"/>
        </w:rPr>
        <w:t>f</w:t>
      </w:r>
      <w:r w:rsidRPr="00387E75">
        <w:rPr>
          <w:iCs/>
          <w:color w:val="000000"/>
          <w:spacing w:val="-1"/>
        </w:rPr>
        <w:t>a</w:t>
      </w:r>
      <w:r w:rsidRPr="00387E75">
        <w:rPr>
          <w:iCs/>
          <w:color w:val="000000"/>
        </w:rPr>
        <w:t>kt</w:t>
      </w:r>
      <w:r w:rsidRPr="00387E75">
        <w:rPr>
          <w:iCs/>
          <w:color w:val="000000"/>
          <w:spacing w:val="1"/>
        </w:rPr>
        <w:t>in</w:t>
      </w:r>
      <w:r w:rsidRPr="00387E75">
        <w:rPr>
          <w:iCs/>
          <w:color w:val="000000"/>
          <w:spacing w:val="2"/>
        </w:rPr>
        <w:t>i</w:t>
      </w:r>
      <w:r w:rsidRPr="00387E75">
        <w:rPr>
          <w:iCs/>
          <w:color w:val="000000"/>
          <w:spacing w:val="-1"/>
        </w:rPr>
        <w:t>a</w:t>
      </w:r>
      <w:r w:rsidRPr="00387E75">
        <w:rPr>
          <w:iCs/>
          <w:color w:val="000000"/>
          <w:spacing w:val="2"/>
        </w:rPr>
        <w:t>i</w:t>
      </w:r>
      <w:r w:rsidRPr="00387E75">
        <w:rPr>
          <w:iCs/>
          <w:color w:val="000000"/>
        </w:rPr>
        <w:t>s</w:t>
      </w:r>
      <w:r w:rsidRPr="00387E75">
        <w:rPr>
          <w:iCs/>
          <w:color w:val="000000"/>
          <w:spacing w:val="-5"/>
        </w:rPr>
        <w:t xml:space="preserve"> </w:t>
      </w:r>
      <w:r w:rsidRPr="00387E75">
        <w:rPr>
          <w:iCs/>
          <w:color w:val="000000"/>
          <w:spacing w:val="-1"/>
        </w:rPr>
        <w:t>d</w:t>
      </w:r>
      <w:r w:rsidRPr="00387E75">
        <w:rPr>
          <w:iCs/>
          <w:color w:val="000000"/>
          <w:spacing w:val="1"/>
        </w:rPr>
        <w:t>u</w:t>
      </w:r>
      <w:r w:rsidRPr="00387E75">
        <w:rPr>
          <w:iCs/>
          <w:color w:val="000000"/>
          <w:spacing w:val="-2"/>
        </w:rPr>
        <w:t>o</w:t>
      </w:r>
      <w:r w:rsidRPr="00387E75">
        <w:rPr>
          <w:iCs/>
          <w:color w:val="000000"/>
        </w:rPr>
        <w:t>m</w:t>
      </w:r>
      <w:r w:rsidRPr="00387E75">
        <w:rPr>
          <w:iCs/>
          <w:color w:val="000000"/>
          <w:spacing w:val="1"/>
        </w:rPr>
        <w:t>en</w:t>
      </w:r>
      <w:r w:rsidRPr="00387E75">
        <w:rPr>
          <w:iCs/>
          <w:color w:val="000000"/>
          <w:spacing w:val="2"/>
        </w:rPr>
        <w:t>i</w:t>
      </w:r>
      <w:r w:rsidRPr="00387E75">
        <w:rPr>
          <w:iCs/>
          <w:color w:val="000000"/>
          <w:spacing w:val="-5"/>
        </w:rPr>
        <w:t>m</w:t>
      </w:r>
      <w:r w:rsidRPr="00387E75">
        <w:rPr>
          <w:iCs/>
          <w:color w:val="000000"/>
          <w:spacing w:val="3"/>
        </w:rPr>
        <w:t>i</w:t>
      </w:r>
      <w:r w:rsidRPr="00387E75">
        <w:rPr>
          <w:iCs/>
          <w:color w:val="000000"/>
        </w:rPr>
        <w:t>s</w:t>
      </w:r>
      <w:r w:rsidRPr="00387E75">
        <w:rPr>
          <w:iCs/>
          <w:color w:val="000000"/>
          <w:spacing w:val="-9"/>
        </w:rPr>
        <w:t xml:space="preserve"> </w:t>
      </w:r>
      <w:r w:rsidRPr="00387E75">
        <w:rPr>
          <w:iCs/>
          <w:color w:val="000000"/>
          <w:spacing w:val="-1"/>
        </w:rPr>
        <w:t>g</w:t>
      </w:r>
      <w:r w:rsidRPr="00387E75">
        <w:rPr>
          <w:iCs/>
          <w:color w:val="000000"/>
          <w:spacing w:val="-2"/>
        </w:rPr>
        <w:t>r</w:t>
      </w:r>
      <w:r w:rsidRPr="00387E75">
        <w:rPr>
          <w:iCs/>
          <w:color w:val="000000"/>
          <w:spacing w:val="2"/>
        </w:rPr>
        <w:t>i</w:t>
      </w:r>
      <w:r w:rsidRPr="00387E75">
        <w:rPr>
          <w:iCs/>
          <w:color w:val="000000"/>
          <w:spacing w:val="1"/>
        </w:rPr>
        <w:t>n</w:t>
      </w:r>
      <w:r w:rsidRPr="00387E75">
        <w:rPr>
          <w:iCs/>
          <w:color w:val="000000"/>
          <w:spacing w:val="-1"/>
        </w:rPr>
        <w:t>d</w:t>
      </w:r>
      <w:r w:rsidRPr="00387E75">
        <w:rPr>
          <w:iCs/>
          <w:color w:val="000000"/>
          <w:spacing w:val="-2"/>
        </w:rPr>
        <w:t>ž</w:t>
      </w:r>
      <w:r w:rsidRPr="00387E75">
        <w:rPr>
          <w:iCs/>
          <w:color w:val="000000"/>
          <w:spacing w:val="2"/>
        </w:rPr>
        <w:t>i</w:t>
      </w:r>
      <w:r w:rsidRPr="00387E75">
        <w:rPr>
          <w:iCs/>
          <w:color w:val="000000"/>
          <w:spacing w:val="-1"/>
        </w:rPr>
        <w:t>a</w:t>
      </w:r>
      <w:r w:rsidRPr="00387E75">
        <w:rPr>
          <w:iCs/>
          <w:color w:val="000000"/>
        </w:rPr>
        <w:t>mo</w:t>
      </w:r>
      <w:r w:rsidRPr="00387E75">
        <w:rPr>
          <w:iCs/>
          <w:color w:val="000000"/>
          <w:spacing w:val="-1"/>
        </w:rPr>
        <w:t xml:space="preserve"> </w:t>
      </w:r>
      <w:r w:rsidRPr="00387E75">
        <w:rPr>
          <w:iCs/>
          <w:color w:val="000000"/>
          <w:spacing w:val="-2"/>
        </w:rPr>
        <w:t>p</w:t>
      </w:r>
      <w:r w:rsidRPr="00387E75">
        <w:rPr>
          <w:iCs/>
          <w:color w:val="000000"/>
          <w:spacing w:val="3"/>
        </w:rPr>
        <w:t>o</w:t>
      </w:r>
      <w:r w:rsidRPr="00387E75">
        <w:rPr>
          <w:iCs/>
          <w:color w:val="000000"/>
          <w:spacing w:val="-2"/>
        </w:rPr>
        <w:t>ž</w:t>
      </w:r>
      <w:r w:rsidRPr="00387E75">
        <w:rPr>
          <w:iCs/>
          <w:color w:val="000000"/>
          <w:spacing w:val="2"/>
        </w:rPr>
        <w:t>i</w:t>
      </w:r>
      <w:r w:rsidRPr="00387E75">
        <w:rPr>
          <w:iCs/>
          <w:color w:val="000000"/>
          <w:spacing w:val="1"/>
        </w:rPr>
        <w:t>ū</w:t>
      </w:r>
      <w:r w:rsidRPr="00387E75">
        <w:rPr>
          <w:iCs/>
          <w:color w:val="000000"/>
          <w:spacing w:val="-2"/>
        </w:rPr>
        <w:t>r</w:t>
      </w:r>
      <w:r w:rsidRPr="00387E75">
        <w:rPr>
          <w:iCs/>
          <w:color w:val="000000"/>
          <w:spacing w:val="2"/>
        </w:rPr>
        <w:t>i</w:t>
      </w:r>
      <w:r w:rsidRPr="00387E75">
        <w:rPr>
          <w:iCs/>
          <w:color w:val="000000"/>
          <w:spacing w:val="-2"/>
        </w:rPr>
        <w:t>o</w:t>
      </w:r>
      <w:r w:rsidRPr="00387E75">
        <w:rPr>
          <w:iCs/>
          <w:color w:val="000000"/>
        </w:rPr>
        <w:t>.</w:t>
      </w:r>
    </w:p>
    <w:p w:rsidR="004F7425" w:rsidRPr="00387E75" w:rsidRDefault="004F7425" w:rsidP="004F7425">
      <w:pPr>
        <w:ind w:firstLine="720"/>
        <w:jc w:val="both"/>
        <w:rPr>
          <w:iCs/>
          <w:color w:val="000000"/>
          <w:spacing w:val="2"/>
        </w:rPr>
      </w:pPr>
      <w:r w:rsidRPr="00387E75">
        <w:rPr>
          <w:iCs/>
          <w:color w:val="000000"/>
          <w:spacing w:val="-1"/>
        </w:rPr>
        <w:t>L</w:t>
      </w:r>
      <w:r w:rsidRPr="00387E75">
        <w:rPr>
          <w:iCs/>
          <w:color w:val="000000"/>
          <w:spacing w:val="2"/>
        </w:rPr>
        <w:t>i</w:t>
      </w:r>
      <w:r w:rsidRPr="00387E75">
        <w:rPr>
          <w:iCs/>
          <w:color w:val="000000"/>
        </w:rPr>
        <w:t>e</w:t>
      </w:r>
      <w:r w:rsidRPr="00387E75">
        <w:rPr>
          <w:iCs/>
          <w:color w:val="000000"/>
          <w:spacing w:val="-1"/>
        </w:rPr>
        <w:t>t</w:t>
      </w:r>
      <w:r w:rsidRPr="00387E75">
        <w:rPr>
          <w:iCs/>
          <w:color w:val="000000"/>
          <w:spacing w:val="1"/>
        </w:rPr>
        <w:t>u</w:t>
      </w:r>
      <w:r w:rsidRPr="00387E75">
        <w:rPr>
          <w:iCs/>
          <w:color w:val="000000"/>
        </w:rPr>
        <w:t>v</w:t>
      </w:r>
      <w:r w:rsidRPr="00387E75">
        <w:rPr>
          <w:iCs/>
          <w:color w:val="000000"/>
          <w:spacing w:val="-2"/>
        </w:rPr>
        <w:t>o</w:t>
      </w:r>
      <w:r w:rsidRPr="00387E75">
        <w:rPr>
          <w:iCs/>
          <w:color w:val="000000"/>
        </w:rPr>
        <w:t xml:space="preserve">s  </w:t>
      </w:r>
      <w:r w:rsidRPr="00387E75">
        <w:rPr>
          <w:iCs/>
          <w:color w:val="000000"/>
          <w:spacing w:val="2"/>
        </w:rPr>
        <w:t xml:space="preserve"> </w:t>
      </w:r>
      <w:r w:rsidRPr="00387E75">
        <w:rPr>
          <w:iCs/>
          <w:color w:val="000000"/>
        </w:rPr>
        <w:t>k</w:t>
      </w:r>
      <w:r w:rsidRPr="00387E75">
        <w:rPr>
          <w:iCs/>
          <w:color w:val="000000"/>
          <w:spacing w:val="-1"/>
        </w:rPr>
        <w:t>r</w:t>
      </w:r>
      <w:r w:rsidRPr="00387E75">
        <w:rPr>
          <w:iCs/>
          <w:color w:val="000000"/>
          <w:spacing w:val="2"/>
        </w:rPr>
        <w:t>i</w:t>
      </w:r>
      <w:r w:rsidRPr="00387E75">
        <w:rPr>
          <w:iCs/>
          <w:color w:val="000000"/>
        </w:rPr>
        <w:t>m</w:t>
      </w:r>
      <w:r w:rsidRPr="00387E75">
        <w:rPr>
          <w:iCs/>
          <w:color w:val="000000"/>
          <w:spacing w:val="-2"/>
        </w:rPr>
        <w:t>i</w:t>
      </w:r>
      <w:r w:rsidRPr="00387E75">
        <w:rPr>
          <w:iCs/>
          <w:color w:val="000000"/>
          <w:spacing w:val="1"/>
        </w:rPr>
        <w:t>n</w:t>
      </w:r>
      <w:r w:rsidRPr="00387E75">
        <w:rPr>
          <w:iCs/>
          <w:color w:val="000000"/>
          <w:spacing w:val="-1"/>
        </w:rPr>
        <w:t>a</w:t>
      </w:r>
      <w:r w:rsidRPr="00387E75">
        <w:rPr>
          <w:iCs/>
          <w:color w:val="000000"/>
          <w:spacing w:val="-2"/>
        </w:rPr>
        <w:t>l</w:t>
      </w:r>
      <w:r w:rsidRPr="00387E75">
        <w:rPr>
          <w:iCs/>
          <w:color w:val="000000"/>
          <w:spacing w:val="2"/>
        </w:rPr>
        <w:t>i</w:t>
      </w:r>
      <w:r w:rsidRPr="00387E75">
        <w:rPr>
          <w:iCs/>
          <w:color w:val="000000"/>
          <w:spacing w:val="1"/>
        </w:rPr>
        <w:t>n</w:t>
      </w:r>
      <w:r w:rsidRPr="00387E75">
        <w:rPr>
          <w:iCs/>
          <w:color w:val="000000"/>
        </w:rPr>
        <w:t xml:space="preserve">ės  </w:t>
      </w:r>
      <w:r w:rsidRPr="00387E75">
        <w:rPr>
          <w:iCs/>
          <w:color w:val="000000"/>
          <w:spacing w:val="2"/>
        </w:rPr>
        <w:t xml:space="preserve"> </w:t>
      </w:r>
      <w:r w:rsidRPr="00387E75">
        <w:rPr>
          <w:iCs/>
          <w:color w:val="000000"/>
          <w:spacing w:val="-2"/>
        </w:rPr>
        <w:t>pol</w:t>
      </w:r>
      <w:r w:rsidRPr="00387E75">
        <w:rPr>
          <w:iCs/>
          <w:color w:val="000000"/>
          <w:spacing w:val="2"/>
        </w:rPr>
        <w:t>i</w:t>
      </w:r>
      <w:r w:rsidRPr="00387E75">
        <w:rPr>
          <w:iCs/>
          <w:color w:val="000000"/>
          <w:spacing w:val="1"/>
        </w:rPr>
        <w:t>c</w:t>
      </w:r>
      <w:r w:rsidRPr="00387E75">
        <w:rPr>
          <w:iCs/>
          <w:color w:val="000000"/>
          <w:spacing w:val="2"/>
        </w:rPr>
        <w:t>i</w:t>
      </w:r>
      <w:r w:rsidRPr="00387E75">
        <w:rPr>
          <w:iCs/>
          <w:color w:val="000000"/>
          <w:spacing w:val="-1"/>
        </w:rPr>
        <w:t>j</w:t>
      </w:r>
      <w:r w:rsidRPr="00387E75">
        <w:rPr>
          <w:iCs/>
          <w:color w:val="000000"/>
          <w:spacing w:val="-2"/>
        </w:rPr>
        <w:t>o</w:t>
      </w:r>
      <w:r w:rsidRPr="00387E75">
        <w:rPr>
          <w:iCs/>
          <w:color w:val="000000"/>
        </w:rPr>
        <w:t xml:space="preserve">s  </w:t>
      </w:r>
      <w:r w:rsidRPr="00387E75">
        <w:rPr>
          <w:iCs/>
          <w:color w:val="000000"/>
          <w:spacing w:val="2"/>
        </w:rPr>
        <w:t xml:space="preserve"> </w:t>
      </w:r>
      <w:r w:rsidRPr="00387E75">
        <w:rPr>
          <w:iCs/>
          <w:color w:val="000000"/>
          <w:spacing w:val="-5"/>
        </w:rPr>
        <w:t>b</w:t>
      </w:r>
      <w:r w:rsidRPr="00387E75">
        <w:rPr>
          <w:iCs/>
          <w:color w:val="000000"/>
          <w:spacing w:val="2"/>
        </w:rPr>
        <w:t>i</w:t>
      </w:r>
      <w:r w:rsidRPr="00387E75">
        <w:rPr>
          <w:iCs/>
          <w:color w:val="000000"/>
          <w:spacing w:val="1"/>
        </w:rPr>
        <w:t>u</w:t>
      </w:r>
      <w:r w:rsidRPr="00387E75">
        <w:rPr>
          <w:iCs/>
          <w:color w:val="000000"/>
          <w:spacing w:val="-2"/>
        </w:rPr>
        <w:t>r</w:t>
      </w:r>
      <w:r w:rsidRPr="00387E75">
        <w:rPr>
          <w:iCs/>
          <w:color w:val="000000"/>
        </w:rPr>
        <w:t>o   O</w:t>
      </w:r>
      <w:r w:rsidRPr="00387E75">
        <w:rPr>
          <w:iCs/>
          <w:color w:val="000000"/>
          <w:spacing w:val="-2"/>
        </w:rPr>
        <w:t>r</w:t>
      </w:r>
      <w:r w:rsidRPr="00387E75">
        <w:rPr>
          <w:iCs/>
          <w:color w:val="000000"/>
        </w:rPr>
        <w:t>g</w:t>
      </w:r>
      <w:r w:rsidRPr="00387E75">
        <w:rPr>
          <w:iCs/>
          <w:color w:val="000000"/>
          <w:spacing w:val="-2"/>
        </w:rPr>
        <w:t>a</w:t>
      </w:r>
      <w:r w:rsidRPr="00387E75">
        <w:rPr>
          <w:iCs/>
          <w:color w:val="000000"/>
          <w:spacing w:val="1"/>
        </w:rPr>
        <w:t>n</w:t>
      </w:r>
      <w:r w:rsidRPr="00387E75">
        <w:rPr>
          <w:iCs/>
          <w:color w:val="000000"/>
          <w:spacing w:val="2"/>
        </w:rPr>
        <w:t>i</w:t>
      </w:r>
      <w:r w:rsidRPr="00387E75">
        <w:rPr>
          <w:iCs/>
          <w:color w:val="000000"/>
          <w:spacing w:val="-2"/>
        </w:rPr>
        <w:t>z</w:t>
      </w:r>
      <w:r w:rsidRPr="00387E75">
        <w:rPr>
          <w:iCs/>
          <w:color w:val="000000"/>
          <w:spacing w:val="1"/>
        </w:rPr>
        <w:t>u</w:t>
      </w:r>
      <w:r w:rsidRPr="00387E75">
        <w:rPr>
          <w:iCs/>
          <w:color w:val="000000"/>
          <w:spacing w:val="-2"/>
        </w:rPr>
        <w:t>o</w:t>
      </w:r>
      <w:r w:rsidRPr="00387E75">
        <w:rPr>
          <w:iCs/>
          <w:color w:val="000000"/>
          <w:spacing w:val="-1"/>
        </w:rPr>
        <w:t>t</w:t>
      </w:r>
      <w:r w:rsidRPr="00387E75">
        <w:rPr>
          <w:iCs/>
          <w:color w:val="000000"/>
        </w:rPr>
        <w:t xml:space="preserve">o   </w:t>
      </w:r>
      <w:r w:rsidRPr="00387E75">
        <w:rPr>
          <w:iCs/>
          <w:color w:val="000000"/>
          <w:spacing w:val="1"/>
        </w:rPr>
        <w:t>nu</w:t>
      </w:r>
      <w:r w:rsidRPr="00387E75">
        <w:rPr>
          <w:iCs/>
          <w:color w:val="000000"/>
        </w:rPr>
        <w:t>s</w:t>
      </w:r>
      <w:r w:rsidRPr="00387E75">
        <w:rPr>
          <w:iCs/>
          <w:color w:val="000000"/>
          <w:spacing w:val="1"/>
        </w:rPr>
        <w:t>i</w:t>
      </w:r>
      <w:r w:rsidRPr="00387E75">
        <w:rPr>
          <w:iCs/>
          <w:color w:val="000000"/>
        </w:rPr>
        <w:t>k</w:t>
      </w:r>
      <w:r w:rsidRPr="00387E75">
        <w:rPr>
          <w:iCs/>
          <w:color w:val="000000"/>
          <w:spacing w:val="-1"/>
        </w:rPr>
        <w:t>a</w:t>
      </w:r>
      <w:r w:rsidRPr="00387E75">
        <w:rPr>
          <w:iCs/>
          <w:color w:val="000000"/>
          <w:spacing w:val="-2"/>
        </w:rPr>
        <w:t>l</w:t>
      </w:r>
      <w:r w:rsidRPr="00387E75">
        <w:rPr>
          <w:iCs/>
          <w:color w:val="000000"/>
        </w:rPr>
        <w:t>s</w:t>
      </w:r>
      <w:r w:rsidRPr="00387E75">
        <w:rPr>
          <w:iCs/>
          <w:color w:val="000000"/>
          <w:spacing w:val="-2"/>
        </w:rPr>
        <w:t>t</w:t>
      </w:r>
      <w:r w:rsidRPr="00387E75">
        <w:rPr>
          <w:iCs/>
          <w:color w:val="000000"/>
          <w:spacing w:val="-1"/>
        </w:rPr>
        <w:t>a</w:t>
      </w:r>
      <w:r w:rsidRPr="00387E75">
        <w:rPr>
          <w:iCs/>
          <w:color w:val="000000"/>
        </w:rPr>
        <w:t>m</w:t>
      </w:r>
      <w:r w:rsidRPr="00387E75">
        <w:rPr>
          <w:iCs/>
          <w:color w:val="000000"/>
          <w:spacing w:val="1"/>
        </w:rPr>
        <w:t>u</w:t>
      </w:r>
      <w:r w:rsidRPr="00387E75">
        <w:rPr>
          <w:iCs/>
          <w:color w:val="000000"/>
        </w:rPr>
        <w:t xml:space="preserve">mo  </w:t>
      </w:r>
      <w:r w:rsidRPr="00387E75">
        <w:rPr>
          <w:iCs/>
          <w:color w:val="000000"/>
          <w:spacing w:val="1"/>
        </w:rPr>
        <w:t xml:space="preserve"> </w:t>
      </w:r>
      <w:r w:rsidRPr="00387E75">
        <w:rPr>
          <w:iCs/>
          <w:color w:val="000000"/>
          <w:spacing w:val="-1"/>
        </w:rPr>
        <w:t>t</w:t>
      </w:r>
      <w:r w:rsidRPr="00387E75">
        <w:rPr>
          <w:iCs/>
          <w:color w:val="000000"/>
        </w:rPr>
        <w:t>y</w:t>
      </w:r>
      <w:r w:rsidRPr="00387E75">
        <w:rPr>
          <w:iCs/>
          <w:color w:val="000000"/>
          <w:spacing w:val="-2"/>
        </w:rPr>
        <w:t>r</w:t>
      </w:r>
      <w:r w:rsidRPr="00387E75">
        <w:rPr>
          <w:iCs/>
          <w:color w:val="000000"/>
          <w:spacing w:val="2"/>
        </w:rPr>
        <w:t>i</w:t>
      </w:r>
      <w:r w:rsidRPr="00387E75">
        <w:rPr>
          <w:iCs/>
          <w:color w:val="000000"/>
        </w:rPr>
        <w:t xml:space="preserve">mo  </w:t>
      </w:r>
      <w:r w:rsidRPr="00387E75">
        <w:rPr>
          <w:iCs/>
          <w:color w:val="000000"/>
          <w:spacing w:val="1"/>
        </w:rPr>
        <w:t xml:space="preserve"> </w:t>
      </w:r>
      <w:r w:rsidRPr="00387E75">
        <w:rPr>
          <w:iCs/>
          <w:color w:val="000000"/>
          <w:spacing w:val="8"/>
        </w:rPr>
        <w:t>3</w:t>
      </w:r>
      <w:r w:rsidRPr="00387E75">
        <w:rPr>
          <w:iCs/>
          <w:color w:val="000000"/>
        </w:rPr>
        <w:t>-</w:t>
      </w:r>
      <w:r w:rsidRPr="00387E75">
        <w:rPr>
          <w:iCs/>
          <w:color w:val="000000"/>
          <w:spacing w:val="-2"/>
        </w:rPr>
        <w:t>o</w:t>
      </w:r>
      <w:r w:rsidRPr="00387E75">
        <w:rPr>
          <w:iCs/>
          <w:color w:val="000000"/>
        </w:rPr>
        <w:t>s</w:t>
      </w:r>
      <w:r w:rsidRPr="00387E75">
        <w:rPr>
          <w:iCs/>
          <w:color w:val="000000"/>
          <w:spacing w:val="1"/>
        </w:rPr>
        <w:t>i</w:t>
      </w:r>
      <w:r w:rsidRPr="00387E75">
        <w:rPr>
          <w:iCs/>
          <w:color w:val="000000"/>
          <w:spacing w:val="-2"/>
        </w:rPr>
        <w:t>o</w:t>
      </w:r>
      <w:r w:rsidRPr="00387E75">
        <w:rPr>
          <w:iCs/>
          <w:color w:val="000000"/>
        </w:rPr>
        <w:t>s v</w:t>
      </w:r>
      <w:r w:rsidRPr="00387E75">
        <w:rPr>
          <w:iCs/>
          <w:color w:val="000000"/>
          <w:spacing w:val="-1"/>
        </w:rPr>
        <w:t>a</w:t>
      </w:r>
      <w:r w:rsidRPr="00387E75">
        <w:rPr>
          <w:iCs/>
          <w:color w:val="000000"/>
          <w:spacing w:val="-2"/>
        </w:rPr>
        <w:t>l</w:t>
      </w:r>
      <w:r w:rsidRPr="00387E75">
        <w:rPr>
          <w:iCs/>
          <w:color w:val="000000"/>
          <w:spacing w:val="-1"/>
        </w:rPr>
        <w:t>d</w:t>
      </w:r>
      <w:r w:rsidRPr="00387E75">
        <w:rPr>
          <w:iCs/>
          <w:color w:val="000000"/>
        </w:rPr>
        <w:t>yb</w:t>
      </w:r>
      <w:r w:rsidRPr="00387E75">
        <w:rPr>
          <w:iCs/>
          <w:color w:val="000000"/>
          <w:spacing w:val="-2"/>
        </w:rPr>
        <w:t>o</w:t>
      </w:r>
      <w:r w:rsidRPr="00387E75">
        <w:rPr>
          <w:iCs/>
          <w:color w:val="000000"/>
        </w:rPr>
        <w:t xml:space="preserve">s </w:t>
      </w:r>
      <w:r w:rsidRPr="00387E75">
        <w:rPr>
          <w:iCs/>
          <w:color w:val="000000"/>
          <w:spacing w:val="3"/>
        </w:rPr>
        <w:t>p</w:t>
      </w:r>
      <w:r w:rsidRPr="00387E75">
        <w:rPr>
          <w:iCs/>
          <w:color w:val="000000"/>
          <w:spacing w:val="-1"/>
        </w:rPr>
        <w:t>a</w:t>
      </w:r>
      <w:r w:rsidRPr="00387E75">
        <w:rPr>
          <w:iCs/>
          <w:color w:val="000000"/>
          <w:spacing w:val="-2"/>
        </w:rPr>
        <w:t>r</w:t>
      </w:r>
      <w:r w:rsidRPr="00387E75">
        <w:rPr>
          <w:iCs/>
          <w:color w:val="000000"/>
        </w:rPr>
        <w:t>e</w:t>
      </w:r>
      <w:r w:rsidRPr="00387E75">
        <w:rPr>
          <w:iCs/>
          <w:color w:val="000000"/>
          <w:spacing w:val="1"/>
        </w:rPr>
        <w:t>n</w:t>
      </w:r>
      <w:r w:rsidRPr="00387E75">
        <w:rPr>
          <w:iCs/>
          <w:color w:val="000000"/>
        </w:rPr>
        <w:t>g</w:t>
      </w:r>
      <w:r w:rsidRPr="00387E75">
        <w:rPr>
          <w:iCs/>
          <w:color w:val="000000"/>
          <w:spacing w:val="-2"/>
        </w:rPr>
        <w:t>t</w:t>
      </w:r>
      <w:r w:rsidRPr="00387E75">
        <w:rPr>
          <w:iCs/>
          <w:color w:val="000000"/>
          <w:spacing w:val="-1"/>
        </w:rPr>
        <w:t>as</w:t>
      </w:r>
      <w:r w:rsidRPr="00387E75">
        <w:rPr>
          <w:iCs/>
          <w:color w:val="000000"/>
          <w:spacing w:val="1"/>
        </w:rPr>
        <w:t xml:space="preserve"> n</w:t>
      </w:r>
      <w:r w:rsidRPr="00387E75">
        <w:rPr>
          <w:iCs/>
          <w:color w:val="000000"/>
        </w:rPr>
        <w:t>e</w:t>
      </w:r>
      <w:r w:rsidRPr="00387E75">
        <w:rPr>
          <w:iCs/>
          <w:color w:val="000000"/>
          <w:spacing w:val="-1"/>
        </w:rPr>
        <w:t>t</w:t>
      </w:r>
      <w:r w:rsidRPr="00387E75">
        <w:rPr>
          <w:iCs/>
          <w:color w:val="000000"/>
        </w:rPr>
        <w:t>e</w:t>
      </w:r>
      <w:r w:rsidRPr="00387E75">
        <w:rPr>
          <w:iCs/>
          <w:color w:val="000000"/>
          <w:spacing w:val="2"/>
        </w:rPr>
        <w:t>i</w:t>
      </w:r>
      <w:r w:rsidRPr="00387E75">
        <w:rPr>
          <w:iCs/>
          <w:color w:val="000000"/>
        </w:rPr>
        <w:t>sė</w:t>
      </w:r>
      <w:r w:rsidRPr="00387E75">
        <w:rPr>
          <w:iCs/>
          <w:color w:val="000000"/>
          <w:spacing w:val="-1"/>
        </w:rPr>
        <w:t>t</w:t>
      </w:r>
      <w:r w:rsidRPr="00387E75">
        <w:rPr>
          <w:iCs/>
          <w:color w:val="000000"/>
          <w:spacing w:val="-2"/>
        </w:rPr>
        <w:t>o</w:t>
      </w:r>
      <w:r w:rsidRPr="00387E75">
        <w:rPr>
          <w:iCs/>
          <w:color w:val="000000"/>
        </w:rPr>
        <w:t xml:space="preserve">s </w:t>
      </w:r>
      <w:r w:rsidRPr="00387E75">
        <w:rPr>
          <w:iCs/>
          <w:color w:val="000000"/>
          <w:spacing w:val="1"/>
        </w:rPr>
        <w:t>n</w:t>
      </w:r>
      <w:r w:rsidRPr="00387E75">
        <w:rPr>
          <w:iCs/>
          <w:color w:val="000000"/>
          <w:spacing w:val="-1"/>
        </w:rPr>
        <w:t>a</w:t>
      </w:r>
      <w:r w:rsidRPr="00387E75">
        <w:rPr>
          <w:iCs/>
          <w:color w:val="000000"/>
          <w:spacing w:val="-2"/>
        </w:rPr>
        <w:t>r</w:t>
      </w:r>
      <w:r w:rsidRPr="00387E75">
        <w:rPr>
          <w:iCs/>
          <w:color w:val="000000"/>
        </w:rPr>
        <w:t>k</w:t>
      </w:r>
      <w:r w:rsidRPr="00387E75">
        <w:rPr>
          <w:iCs/>
          <w:color w:val="000000"/>
          <w:spacing w:val="4"/>
        </w:rPr>
        <w:t>o</w:t>
      </w:r>
      <w:r w:rsidRPr="00387E75">
        <w:rPr>
          <w:iCs/>
          <w:color w:val="000000"/>
          <w:spacing w:val="-1"/>
        </w:rPr>
        <w:t>t</w:t>
      </w:r>
      <w:r w:rsidRPr="00387E75">
        <w:rPr>
          <w:iCs/>
          <w:color w:val="000000"/>
          <w:spacing w:val="2"/>
        </w:rPr>
        <w:t>i</w:t>
      </w:r>
      <w:r w:rsidRPr="00387E75">
        <w:rPr>
          <w:iCs/>
          <w:color w:val="000000"/>
        </w:rPr>
        <w:t>kų</w:t>
      </w:r>
      <w:r w:rsidRPr="00387E75">
        <w:rPr>
          <w:iCs/>
          <w:color w:val="000000"/>
          <w:spacing w:val="2"/>
        </w:rPr>
        <w:t xml:space="preserve"> </w:t>
      </w:r>
      <w:r w:rsidRPr="00387E75">
        <w:rPr>
          <w:iCs/>
          <w:color w:val="000000"/>
          <w:spacing w:val="-1"/>
        </w:rPr>
        <w:t>a</w:t>
      </w:r>
      <w:r w:rsidRPr="00387E75">
        <w:rPr>
          <w:iCs/>
          <w:color w:val="000000"/>
          <w:spacing w:val="-2"/>
        </w:rPr>
        <w:t>p</w:t>
      </w:r>
      <w:r w:rsidRPr="00387E75">
        <w:rPr>
          <w:iCs/>
          <w:color w:val="000000"/>
        </w:rPr>
        <w:t>yv</w:t>
      </w:r>
      <w:r w:rsidRPr="00387E75">
        <w:rPr>
          <w:iCs/>
          <w:color w:val="000000"/>
          <w:spacing w:val="-1"/>
        </w:rPr>
        <w:t>a</w:t>
      </w:r>
      <w:r w:rsidRPr="00387E75">
        <w:rPr>
          <w:iCs/>
          <w:color w:val="000000"/>
          <w:spacing w:val="-2"/>
        </w:rPr>
        <w:t>r</w:t>
      </w:r>
      <w:r w:rsidRPr="00387E75">
        <w:rPr>
          <w:iCs/>
          <w:color w:val="000000"/>
          <w:spacing w:val="-1"/>
        </w:rPr>
        <w:t>t</w:t>
      </w:r>
      <w:r w:rsidRPr="00387E75">
        <w:rPr>
          <w:iCs/>
          <w:color w:val="000000"/>
          <w:spacing w:val="-2"/>
        </w:rPr>
        <w:t>o</w:t>
      </w:r>
      <w:r w:rsidRPr="00387E75">
        <w:rPr>
          <w:iCs/>
          <w:color w:val="000000"/>
        </w:rPr>
        <w:t xml:space="preserve">s </w:t>
      </w:r>
      <w:r w:rsidRPr="00387E75">
        <w:rPr>
          <w:iCs/>
          <w:color w:val="000000"/>
          <w:spacing w:val="2"/>
        </w:rPr>
        <w:t>(</w:t>
      </w:r>
      <w:r w:rsidRPr="00387E75">
        <w:rPr>
          <w:iCs/>
          <w:color w:val="000000"/>
          <w:spacing w:val="1"/>
        </w:rPr>
        <w:t>n</w:t>
      </w:r>
      <w:r w:rsidRPr="00387E75">
        <w:rPr>
          <w:iCs/>
          <w:color w:val="000000"/>
          <w:spacing w:val="-1"/>
        </w:rPr>
        <w:t>a</w:t>
      </w:r>
      <w:r w:rsidRPr="00387E75">
        <w:rPr>
          <w:iCs/>
          <w:color w:val="000000"/>
          <w:spacing w:val="-2"/>
        </w:rPr>
        <w:t>r</w:t>
      </w:r>
      <w:r w:rsidRPr="00387E75">
        <w:rPr>
          <w:iCs/>
          <w:color w:val="000000"/>
        </w:rPr>
        <w:t>k</w:t>
      </w:r>
      <w:r w:rsidRPr="00387E75">
        <w:rPr>
          <w:iCs/>
          <w:color w:val="000000"/>
          <w:spacing w:val="4"/>
        </w:rPr>
        <w:t>o</w:t>
      </w:r>
      <w:r w:rsidRPr="00387E75">
        <w:rPr>
          <w:iCs/>
          <w:color w:val="000000"/>
          <w:spacing w:val="-1"/>
        </w:rPr>
        <w:t>t</w:t>
      </w:r>
      <w:r w:rsidRPr="00387E75">
        <w:rPr>
          <w:iCs/>
          <w:color w:val="000000"/>
          <w:spacing w:val="2"/>
        </w:rPr>
        <w:t>i</w:t>
      </w:r>
      <w:r w:rsidRPr="00387E75">
        <w:rPr>
          <w:iCs/>
          <w:color w:val="000000"/>
        </w:rPr>
        <w:t>kų</w:t>
      </w:r>
      <w:r w:rsidRPr="00387E75">
        <w:rPr>
          <w:iCs/>
          <w:color w:val="000000"/>
          <w:spacing w:val="2"/>
        </w:rPr>
        <w:t xml:space="preserve"> </w:t>
      </w:r>
      <w:r w:rsidRPr="00387E75">
        <w:rPr>
          <w:iCs/>
          <w:color w:val="000000"/>
          <w:spacing w:val="-2"/>
        </w:rPr>
        <w:t>p</w:t>
      </w:r>
      <w:r w:rsidRPr="00387E75">
        <w:rPr>
          <w:iCs/>
          <w:color w:val="000000"/>
          <w:spacing w:val="-1"/>
        </w:rPr>
        <w:t>a</w:t>
      </w:r>
      <w:r w:rsidRPr="00387E75">
        <w:rPr>
          <w:iCs/>
          <w:color w:val="000000"/>
        </w:rPr>
        <w:t>s</w:t>
      </w:r>
      <w:r w:rsidRPr="00387E75">
        <w:rPr>
          <w:iCs/>
          <w:color w:val="000000"/>
          <w:spacing w:val="1"/>
        </w:rPr>
        <w:t>iū</w:t>
      </w:r>
      <w:r w:rsidRPr="00387E75">
        <w:rPr>
          <w:iCs/>
          <w:color w:val="000000"/>
          <w:spacing w:val="-2"/>
        </w:rPr>
        <w:t>lo</w:t>
      </w:r>
      <w:r w:rsidRPr="00387E75">
        <w:rPr>
          <w:iCs/>
          <w:color w:val="000000"/>
        </w:rPr>
        <w:t xml:space="preserve">s </w:t>
      </w:r>
      <w:r w:rsidRPr="00387E75">
        <w:rPr>
          <w:iCs/>
          <w:color w:val="000000"/>
          <w:spacing w:val="-1"/>
        </w:rPr>
        <w:t>a</w:t>
      </w:r>
      <w:r w:rsidRPr="00387E75">
        <w:rPr>
          <w:iCs/>
          <w:color w:val="000000"/>
        </w:rPr>
        <w:t>s</w:t>
      </w:r>
      <w:r w:rsidRPr="00387E75">
        <w:rPr>
          <w:iCs/>
          <w:color w:val="000000"/>
          <w:spacing w:val="-2"/>
        </w:rPr>
        <w:t>p</w:t>
      </w:r>
      <w:r w:rsidRPr="00387E75">
        <w:rPr>
          <w:iCs/>
          <w:color w:val="000000"/>
        </w:rPr>
        <w:t>ektu)</w:t>
      </w:r>
      <w:r w:rsidRPr="00387E75">
        <w:rPr>
          <w:iCs/>
          <w:color w:val="000000"/>
          <w:spacing w:val="3"/>
        </w:rPr>
        <w:t xml:space="preserve"> </w:t>
      </w:r>
      <w:r w:rsidRPr="00387E75">
        <w:rPr>
          <w:iCs/>
          <w:color w:val="000000"/>
          <w:spacing w:val="-1"/>
        </w:rPr>
        <w:t>L</w:t>
      </w:r>
      <w:r w:rsidRPr="00387E75">
        <w:rPr>
          <w:iCs/>
          <w:color w:val="000000"/>
          <w:spacing w:val="2"/>
        </w:rPr>
        <w:t>i</w:t>
      </w:r>
      <w:r w:rsidRPr="00387E75">
        <w:rPr>
          <w:iCs/>
          <w:color w:val="000000"/>
        </w:rPr>
        <w:t>e</w:t>
      </w:r>
      <w:r w:rsidRPr="00387E75">
        <w:rPr>
          <w:iCs/>
          <w:color w:val="000000"/>
          <w:spacing w:val="-1"/>
        </w:rPr>
        <w:t>t</w:t>
      </w:r>
      <w:r w:rsidRPr="00387E75">
        <w:rPr>
          <w:iCs/>
          <w:color w:val="000000"/>
          <w:spacing w:val="1"/>
        </w:rPr>
        <w:t>u</w:t>
      </w:r>
      <w:r w:rsidRPr="00387E75">
        <w:rPr>
          <w:iCs/>
          <w:color w:val="000000"/>
        </w:rPr>
        <w:t>v</w:t>
      </w:r>
      <w:r w:rsidRPr="00387E75">
        <w:rPr>
          <w:iCs/>
          <w:color w:val="000000"/>
          <w:spacing w:val="-2"/>
        </w:rPr>
        <w:t>o</w:t>
      </w:r>
      <w:r w:rsidRPr="00387E75">
        <w:rPr>
          <w:iCs/>
          <w:color w:val="000000"/>
          <w:spacing w:val="-1"/>
        </w:rPr>
        <w:t>j</w:t>
      </w:r>
      <w:r w:rsidRPr="00387E75">
        <w:rPr>
          <w:iCs/>
          <w:color w:val="000000"/>
        </w:rPr>
        <w:t>e ve</w:t>
      </w:r>
      <w:r w:rsidRPr="00387E75">
        <w:rPr>
          <w:iCs/>
          <w:color w:val="000000"/>
          <w:spacing w:val="-2"/>
        </w:rPr>
        <w:t>r</w:t>
      </w:r>
      <w:r w:rsidRPr="00387E75">
        <w:rPr>
          <w:iCs/>
          <w:color w:val="000000"/>
          <w:spacing w:val="-1"/>
        </w:rPr>
        <w:t>t</w:t>
      </w:r>
      <w:r w:rsidRPr="00387E75">
        <w:rPr>
          <w:iCs/>
          <w:color w:val="000000"/>
          <w:spacing w:val="2"/>
        </w:rPr>
        <w:t>i</w:t>
      </w:r>
      <w:r w:rsidRPr="00387E75">
        <w:rPr>
          <w:iCs/>
          <w:color w:val="000000"/>
          <w:spacing w:val="1"/>
        </w:rPr>
        <w:t>n</w:t>
      </w:r>
      <w:r w:rsidRPr="00387E75">
        <w:rPr>
          <w:iCs/>
          <w:color w:val="000000"/>
          <w:spacing w:val="2"/>
        </w:rPr>
        <w:t>i</w:t>
      </w:r>
      <w:r w:rsidRPr="00387E75">
        <w:rPr>
          <w:iCs/>
          <w:color w:val="000000"/>
        </w:rPr>
        <w:t>mas.</w:t>
      </w:r>
      <w:r w:rsidRPr="00387E75">
        <w:rPr>
          <w:iCs/>
          <w:color w:val="000000"/>
          <w:spacing w:val="2"/>
        </w:rPr>
        <w:t xml:space="preserve"> Čia </w:t>
      </w:r>
      <w:r w:rsidRPr="00387E75">
        <w:rPr>
          <w:iCs/>
          <w:color w:val="000000"/>
          <w:spacing w:val="-2"/>
        </w:rPr>
        <w:t>p</w:t>
      </w:r>
      <w:r w:rsidRPr="00387E75">
        <w:rPr>
          <w:iCs/>
          <w:color w:val="000000"/>
          <w:spacing w:val="-1"/>
        </w:rPr>
        <w:t>a</w:t>
      </w:r>
      <w:r w:rsidRPr="00387E75">
        <w:rPr>
          <w:iCs/>
          <w:color w:val="000000"/>
          <w:spacing w:val="1"/>
        </w:rPr>
        <w:t>n</w:t>
      </w:r>
      <w:r w:rsidRPr="00387E75">
        <w:rPr>
          <w:iCs/>
          <w:color w:val="000000"/>
          <w:spacing w:val="-1"/>
        </w:rPr>
        <w:t>a</w:t>
      </w:r>
      <w:r w:rsidRPr="00387E75">
        <w:rPr>
          <w:iCs/>
          <w:color w:val="000000"/>
          <w:spacing w:val="1"/>
        </w:rPr>
        <w:t>u</w:t>
      </w:r>
      <w:r w:rsidRPr="00387E75">
        <w:rPr>
          <w:iCs/>
          <w:color w:val="000000"/>
          <w:spacing w:val="-1"/>
        </w:rPr>
        <w:t>d</w:t>
      </w:r>
      <w:r w:rsidRPr="00387E75">
        <w:rPr>
          <w:iCs/>
          <w:color w:val="000000"/>
          <w:spacing w:val="-2"/>
        </w:rPr>
        <w:t>o</w:t>
      </w:r>
      <w:r w:rsidRPr="00387E75">
        <w:rPr>
          <w:iCs/>
          <w:color w:val="000000"/>
          <w:spacing w:val="-1"/>
        </w:rPr>
        <w:t>t</w:t>
      </w:r>
      <w:r w:rsidRPr="00387E75">
        <w:rPr>
          <w:iCs/>
          <w:color w:val="000000"/>
        </w:rPr>
        <w:t xml:space="preserve">a </w:t>
      </w:r>
      <w:r w:rsidRPr="00387E75">
        <w:rPr>
          <w:iCs/>
          <w:color w:val="000000"/>
          <w:spacing w:val="2"/>
        </w:rPr>
        <w:t>i</w:t>
      </w:r>
      <w:r w:rsidRPr="00387E75">
        <w:rPr>
          <w:iCs/>
          <w:color w:val="000000"/>
          <w:spacing w:val="1"/>
        </w:rPr>
        <w:t>n</w:t>
      </w:r>
      <w:r w:rsidRPr="00387E75">
        <w:rPr>
          <w:iCs/>
          <w:color w:val="000000"/>
          <w:spacing w:val="2"/>
        </w:rPr>
        <w:t>f</w:t>
      </w:r>
      <w:r w:rsidRPr="00387E75">
        <w:rPr>
          <w:iCs/>
          <w:color w:val="000000"/>
          <w:spacing w:val="-2"/>
        </w:rPr>
        <w:t>or</w:t>
      </w:r>
      <w:r w:rsidRPr="00387E75">
        <w:rPr>
          <w:iCs/>
          <w:color w:val="000000"/>
        </w:rPr>
        <w:t>m</w:t>
      </w:r>
      <w:r w:rsidRPr="00387E75">
        <w:rPr>
          <w:iCs/>
          <w:color w:val="000000"/>
          <w:spacing w:val="-1"/>
        </w:rPr>
        <w:t>a</w:t>
      </w:r>
      <w:r w:rsidRPr="00387E75">
        <w:rPr>
          <w:iCs/>
          <w:color w:val="000000"/>
          <w:spacing w:val="1"/>
        </w:rPr>
        <w:t>c</w:t>
      </w:r>
      <w:r w:rsidRPr="00387E75">
        <w:rPr>
          <w:iCs/>
          <w:color w:val="000000"/>
          <w:spacing w:val="2"/>
        </w:rPr>
        <w:t>i</w:t>
      </w:r>
      <w:r w:rsidRPr="00387E75">
        <w:rPr>
          <w:iCs/>
          <w:color w:val="000000"/>
          <w:spacing w:val="-1"/>
        </w:rPr>
        <w:t>ja</w:t>
      </w:r>
      <w:r w:rsidRPr="00387E75">
        <w:rPr>
          <w:iCs/>
          <w:color w:val="000000"/>
          <w:spacing w:val="2"/>
        </w:rPr>
        <w:t xml:space="preserve"> </w:t>
      </w:r>
      <w:r w:rsidRPr="00387E75">
        <w:rPr>
          <w:iCs/>
          <w:color w:val="000000"/>
        </w:rPr>
        <w:t>g</w:t>
      </w:r>
      <w:r w:rsidRPr="00387E75">
        <w:rPr>
          <w:iCs/>
          <w:color w:val="000000"/>
          <w:spacing w:val="-2"/>
        </w:rPr>
        <w:t>a</w:t>
      </w:r>
      <w:r w:rsidRPr="00387E75">
        <w:rPr>
          <w:iCs/>
          <w:color w:val="000000"/>
          <w:spacing w:val="1"/>
        </w:rPr>
        <w:t>u</w:t>
      </w:r>
      <w:r w:rsidRPr="00387E75">
        <w:rPr>
          <w:iCs/>
          <w:color w:val="000000"/>
          <w:spacing w:val="3"/>
        </w:rPr>
        <w:t>t</w:t>
      </w:r>
      <w:r w:rsidRPr="00387E75">
        <w:rPr>
          <w:iCs/>
          <w:color w:val="000000"/>
        </w:rPr>
        <w:t xml:space="preserve">a </w:t>
      </w:r>
      <w:r w:rsidRPr="00387E75">
        <w:rPr>
          <w:iCs/>
          <w:color w:val="000000"/>
          <w:spacing w:val="2"/>
        </w:rPr>
        <w:t>i</w:t>
      </w:r>
      <w:r w:rsidRPr="00387E75">
        <w:rPr>
          <w:iCs/>
          <w:color w:val="000000"/>
        </w:rPr>
        <w:t>š</w:t>
      </w:r>
      <w:r w:rsidRPr="00387E75">
        <w:rPr>
          <w:iCs/>
          <w:color w:val="000000"/>
          <w:spacing w:val="8"/>
        </w:rPr>
        <w:t xml:space="preserve"> </w:t>
      </w:r>
      <w:r w:rsidRPr="00387E75">
        <w:rPr>
          <w:iCs/>
          <w:color w:val="000000"/>
          <w:spacing w:val="5"/>
        </w:rPr>
        <w:t>I</w:t>
      </w:r>
      <w:r w:rsidRPr="00387E75">
        <w:rPr>
          <w:iCs/>
          <w:color w:val="000000"/>
          <w:spacing w:val="6"/>
        </w:rPr>
        <w:t>nf</w:t>
      </w:r>
      <w:r w:rsidRPr="00387E75">
        <w:rPr>
          <w:iCs/>
          <w:color w:val="000000"/>
          <w:spacing w:val="3"/>
        </w:rPr>
        <w:t>or</w:t>
      </w:r>
      <w:r w:rsidRPr="00387E75">
        <w:rPr>
          <w:iCs/>
          <w:color w:val="000000"/>
          <w:spacing w:val="5"/>
        </w:rPr>
        <w:t>m</w:t>
      </w:r>
      <w:r w:rsidRPr="00387E75">
        <w:rPr>
          <w:iCs/>
          <w:color w:val="000000"/>
          <w:spacing w:val="3"/>
        </w:rPr>
        <w:t>at</w:t>
      </w:r>
      <w:r w:rsidRPr="00387E75">
        <w:rPr>
          <w:iCs/>
          <w:color w:val="000000"/>
          <w:spacing w:val="7"/>
        </w:rPr>
        <w:t>i</w:t>
      </w:r>
      <w:r w:rsidRPr="00387E75">
        <w:rPr>
          <w:iCs/>
          <w:color w:val="000000"/>
          <w:spacing w:val="5"/>
        </w:rPr>
        <w:t>k</w:t>
      </w:r>
      <w:r w:rsidRPr="00387E75">
        <w:rPr>
          <w:iCs/>
          <w:color w:val="000000"/>
          <w:spacing w:val="3"/>
        </w:rPr>
        <w:t>o</w:t>
      </w:r>
      <w:r w:rsidRPr="00387E75">
        <w:rPr>
          <w:iCs/>
          <w:color w:val="000000"/>
        </w:rPr>
        <w:t>s</w:t>
      </w:r>
      <w:r w:rsidRPr="00387E75">
        <w:rPr>
          <w:iCs/>
          <w:color w:val="000000"/>
          <w:spacing w:val="15"/>
        </w:rPr>
        <w:t xml:space="preserve"> </w:t>
      </w:r>
      <w:r w:rsidRPr="00387E75">
        <w:rPr>
          <w:iCs/>
          <w:color w:val="000000"/>
          <w:spacing w:val="7"/>
        </w:rPr>
        <w:t>i</w:t>
      </w:r>
      <w:r w:rsidRPr="00387E75">
        <w:rPr>
          <w:iCs/>
          <w:color w:val="000000"/>
        </w:rPr>
        <w:t>r</w:t>
      </w:r>
      <w:r w:rsidRPr="00387E75">
        <w:rPr>
          <w:iCs/>
          <w:color w:val="000000"/>
          <w:spacing w:val="9"/>
        </w:rPr>
        <w:t xml:space="preserve"> </w:t>
      </w:r>
      <w:r w:rsidRPr="00387E75">
        <w:rPr>
          <w:iCs/>
          <w:color w:val="000000"/>
          <w:spacing w:val="3"/>
        </w:rPr>
        <w:t>r</w:t>
      </w:r>
      <w:r w:rsidRPr="00387E75">
        <w:rPr>
          <w:iCs/>
          <w:color w:val="000000"/>
          <w:spacing w:val="9"/>
        </w:rPr>
        <w:t>y</w:t>
      </w:r>
      <w:r w:rsidRPr="00387E75">
        <w:rPr>
          <w:iCs/>
          <w:color w:val="000000"/>
          <w:spacing w:val="10"/>
        </w:rPr>
        <w:t>š</w:t>
      </w:r>
      <w:r w:rsidRPr="00387E75">
        <w:rPr>
          <w:iCs/>
          <w:color w:val="000000"/>
          <w:spacing w:val="7"/>
        </w:rPr>
        <w:t>i</w:t>
      </w:r>
      <w:r w:rsidRPr="00387E75">
        <w:rPr>
          <w:iCs/>
          <w:color w:val="000000"/>
        </w:rPr>
        <w:t>ų</w:t>
      </w:r>
      <w:r w:rsidRPr="00387E75">
        <w:rPr>
          <w:iCs/>
          <w:color w:val="000000"/>
          <w:spacing w:val="12"/>
        </w:rPr>
        <w:t xml:space="preserve"> </w:t>
      </w:r>
      <w:r w:rsidRPr="00387E75">
        <w:rPr>
          <w:iCs/>
          <w:color w:val="000000"/>
          <w:spacing w:val="4"/>
        </w:rPr>
        <w:t>d</w:t>
      </w:r>
      <w:r w:rsidRPr="00387E75">
        <w:rPr>
          <w:iCs/>
          <w:color w:val="000000"/>
          <w:spacing w:val="5"/>
        </w:rPr>
        <w:t>e</w:t>
      </w:r>
      <w:r w:rsidRPr="00387E75">
        <w:rPr>
          <w:iCs/>
          <w:color w:val="000000"/>
          <w:spacing w:val="3"/>
        </w:rPr>
        <w:t>pa</w:t>
      </w:r>
      <w:r w:rsidRPr="00387E75">
        <w:rPr>
          <w:iCs/>
          <w:color w:val="000000"/>
          <w:spacing w:val="8"/>
        </w:rPr>
        <w:t>r</w:t>
      </w:r>
      <w:r w:rsidRPr="00387E75">
        <w:rPr>
          <w:iCs/>
          <w:color w:val="000000"/>
          <w:spacing w:val="3"/>
        </w:rPr>
        <w:t>ta</w:t>
      </w:r>
      <w:r w:rsidRPr="00387E75">
        <w:rPr>
          <w:iCs/>
          <w:color w:val="000000"/>
          <w:spacing w:val="5"/>
        </w:rPr>
        <w:t>me</w:t>
      </w:r>
      <w:r w:rsidRPr="00387E75">
        <w:rPr>
          <w:iCs/>
          <w:color w:val="000000"/>
          <w:spacing w:val="6"/>
        </w:rPr>
        <w:t>n</w:t>
      </w:r>
      <w:r w:rsidRPr="00387E75">
        <w:rPr>
          <w:iCs/>
          <w:color w:val="000000"/>
          <w:spacing w:val="3"/>
        </w:rPr>
        <w:t>t</w:t>
      </w:r>
      <w:r w:rsidRPr="00387E75">
        <w:rPr>
          <w:iCs/>
          <w:color w:val="000000"/>
        </w:rPr>
        <w:t>o</w:t>
      </w:r>
      <w:r w:rsidRPr="00387E75">
        <w:rPr>
          <w:iCs/>
          <w:color w:val="000000"/>
          <w:spacing w:val="18"/>
        </w:rPr>
        <w:t xml:space="preserve"> </w:t>
      </w:r>
      <w:r w:rsidRPr="00387E75">
        <w:rPr>
          <w:iCs/>
          <w:color w:val="000000"/>
          <w:spacing w:val="3"/>
        </w:rPr>
        <w:t>pr</w:t>
      </w:r>
      <w:r w:rsidRPr="00387E75">
        <w:rPr>
          <w:iCs/>
          <w:color w:val="000000"/>
          <w:spacing w:val="7"/>
        </w:rPr>
        <w:t>i</w:t>
      </w:r>
      <w:r w:rsidRPr="00387E75">
        <w:rPr>
          <w:iCs/>
          <w:color w:val="000000"/>
        </w:rPr>
        <w:t>e</w:t>
      </w:r>
      <w:r w:rsidRPr="00387E75">
        <w:rPr>
          <w:iCs/>
          <w:color w:val="000000"/>
          <w:spacing w:val="10"/>
        </w:rPr>
        <w:t xml:space="preserve"> </w:t>
      </w:r>
      <w:r w:rsidRPr="00387E75">
        <w:rPr>
          <w:iCs/>
          <w:color w:val="000000"/>
          <w:spacing w:val="6"/>
        </w:rPr>
        <w:t>Vidaus reikalų ministerijos,</w:t>
      </w:r>
      <w:r w:rsidRPr="00387E75">
        <w:rPr>
          <w:iCs/>
          <w:color w:val="000000"/>
        </w:rPr>
        <w:t xml:space="preserve"> </w:t>
      </w:r>
      <w:r w:rsidRPr="00387E75">
        <w:rPr>
          <w:iCs/>
          <w:color w:val="000000"/>
          <w:spacing w:val="7"/>
        </w:rPr>
        <w:t>N</w:t>
      </w:r>
      <w:r w:rsidRPr="00387E75">
        <w:rPr>
          <w:iCs/>
          <w:color w:val="000000"/>
          <w:spacing w:val="3"/>
        </w:rPr>
        <w:t>ar</w:t>
      </w:r>
      <w:r w:rsidRPr="00387E75">
        <w:rPr>
          <w:iCs/>
          <w:color w:val="000000"/>
          <w:spacing w:val="5"/>
        </w:rPr>
        <w:t>k</w:t>
      </w:r>
      <w:r w:rsidRPr="00387E75">
        <w:rPr>
          <w:iCs/>
          <w:color w:val="000000"/>
          <w:spacing w:val="3"/>
        </w:rPr>
        <w:t>ot</w:t>
      </w:r>
      <w:r w:rsidRPr="00387E75">
        <w:rPr>
          <w:iCs/>
          <w:color w:val="000000"/>
          <w:spacing w:val="7"/>
        </w:rPr>
        <w:t>i</w:t>
      </w:r>
      <w:r w:rsidRPr="00387E75">
        <w:rPr>
          <w:iCs/>
          <w:color w:val="000000"/>
          <w:spacing w:val="5"/>
        </w:rPr>
        <w:t>k</w:t>
      </w:r>
      <w:r w:rsidRPr="00387E75">
        <w:rPr>
          <w:iCs/>
          <w:color w:val="000000"/>
          <w:spacing w:val="6"/>
        </w:rPr>
        <w:t>ų</w:t>
      </w:r>
      <w:r w:rsidRPr="00387E75">
        <w:rPr>
          <w:iCs/>
          <w:color w:val="000000"/>
        </w:rPr>
        <w:t>,</w:t>
      </w:r>
      <w:r w:rsidRPr="00387E75">
        <w:rPr>
          <w:iCs/>
          <w:color w:val="000000"/>
          <w:spacing w:val="2"/>
        </w:rPr>
        <w:t xml:space="preserve"> </w:t>
      </w:r>
      <w:r w:rsidRPr="00387E75">
        <w:rPr>
          <w:iCs/>
          <w:color w:val="000000"/>
          <w:spacing w:val="3"/>
        </w:rPr>
        <w:t>ta</w:t>
      </w:r>
      <w:r w:rsidRPr="00387E75">
        <w:rPr>
          <w:iCs/>
          <w:color w:val="000000"/>
          <w:spacing w:val="4"/>
        </w:rPr>
        <w:t>b</w:t>
      </w:r>
      <w:r w:rsidRPr="00387E75">
        <w:rPr>
          <w:iCs/>
          <w:color w:val="000000"/>
          <w:spacing w:val="3"/>
        </w:rPr>
        <w:t>a</w:t>
      </w:r>
      <w:r w:rsidRPr="00387E75">
        <w:rPr>
          <w:iCs/>
          <w:color w:val="000000"/>
          <w:spacing w:val="10"/>
        </w:rPr>
        <w:t>k</w:t>
      </w:r>
      <w:r w:rsidRPr="00387E75">
        <w:rPr>
          <w:iCs/>
          <w:color w:val="000000"/>
        </w:rPr>
        <w:t xml:space="preserve">o </w:t>
      </w:r>
      <w:r w:rsidRPr="00387E75">
        <w:rPr>
          <w:iCs/>
          <w:color w:val="000000"/>
          <w:spacing w:val="7"/>
        </w:rPr>
        <w:t>i</w:t>
      </w:r>
      <w:r w:rsidRPr="00387E75">
        <w:rPr>
          <w:iCs/>
          <w:color w:val="000000"/>
        </w:rPr>
        <w:t xml:space="preserve">r </w:t>
      </w:r>
      <w:r w:rsidRPr="00387E75">
        <w:rPr>
          <w:iCs/>
          <w:color w:val="000000"/>
          <w:spacing w:val="3"/>
        </w:rPr>
        <w:t>al</w:t>
      </w:r>
      <w:r w:rsidRPr="00387E75">
        <w:rPr>
          <w:iCs/>
          <w:color w:val="000000"/>
          <w:spacing w:val="10"/>
        </w:rPr>
        <w:t>k</w:t>
      </w:r>
      <w:r w:rsidRPr="00387E75">
        <w:rPr>
          <w:iCs/>
          <w:color w:val="000000"/>
          <w:spacing w:val="3"/>
        </w:rPr>
        <w:t>o</w:t>
      </w:r>
      <w:r w:rsidRPr="00387E75">
        <w:rPr>
          <w:iCs/>
          <w:color w:val="000000"/>
          <w:spacing w:val="7"/>
        </w:rPr>
        <w:t>h</w:t>
      </w:r>
      <w:r w:rsidRPr="00387E75">
        <w:rPr>
          <w:iCs/>
          <w:color w:val="000000"/>
          <w:spacing w:val="3"/>
        </w:rPr>
        <w:t>ol</w:t>
      </w:r>
      <w:r w:rsidRPr="00387E75">
        <w:rPr>
          <w:iCs/>
          <w:color w:val="000000"/>
          <w:spacing w:val="7"/>
        </w:rPr>
        <w:t>i</w:t>
      </w:r>
      <w:r w:rsidRPr="00387E75">
        <w:rPr>
          <w:iCs/>
          <w:color w:val="000000"/>
        </w:rPr>
        <w:t xml:space="preserve">o </w:t>
      </w:r>
      <w:r w:rsidRPr="00387E75">
        <w:rPr>
          <w:iCs/>
          <w:color w:val="000000"/>
          <w:spacing w:val="5"/>
        </w:rPr>
        <w:t>k</w:t>
      </w:r>
      <w:r w:rsidRPr="00387E75">
        <w:rPr>
          <w:iCs/>
          <w:color w:val="000000"/>
          <w:spacing w:val="3"/>
        </w:rPr>
        <w:t>o</w:t>
      </w:r>
      <w:r w:rsidRPr="00387E75">
        <w:rPr>
          <w:iCs/>
          <w:color w:val="000000"/>
          <w:spacing w:val="6"/>
        </w:rPr>
        <w:t>n</w:t>
      </w:r>
      <w:r w:rsidRPr="00387E75">
        <w:rPr>
          <w:iCs/>
          <w:color w:val="000000"/>
          <w:spacing w:val="8"/>
        </w:rPr>
        <w:t>t</w:t>
      </w:r>
      <w:r w:rsidRPr="00387E75">
        <w:rPr>
          <w:iCs/>
          <w:color w:val="000000"/>
          <w:spacing w:val="3"/>
        </w:rPr>
        <w:t>r</w:t>
      </w:r>
      <w:r w:rsidRPr="00387E75">
        <w:rPr>
          <w:iCs/>
          <w:color w:val="000000"/>
          <w:spacing w:val="8"/>
        </w:rPr>
        <w:t>o</w:t>
      </w:r>
      <w:r w:rsidRPr="00387E75">
        <w:rPr>
          <w:iCs/>
          <w:color w:val="000000"/>
          <w:spacing w:val="3"/>
        </w:rPr>
        <w:t>l</w:t>
      </w:r>
      <w:r w:rsidRPr="00387E75">
        <w:rPr>
          <w:iCs/>
          <w:color w:val="000000"/>
          <w:spacing w:val="5"/>
        </w:rPr>
        <w:t>ė</w:t>
      </w:r>
      <w:r w:rsidRPr="00387E75">
        <w:rPr>
          <w:iCs/>
          <w:color w:val="000000"/>
        </w:rPr>
        <w:t>s</w:t>
      </w:r>
      <w:r w:rsidRPr="00387E75">
        <w:rPr>
          <w:iCs/>
          <w:color w:val="000000"/>
          <w:spacing w:val="1"/>
        </w:rPr>
        <w:t xml:space="preserve"> </w:t>
      </w:r>
      <w:r w:rsidRPr="00387E75">
        <w:rPr>
          <w:iCs/>
          <w:color w:val="000000"/>
          <w:spacing w:val="4"/>
        </w:rPr>
        <w:t>d</w:t>
      </w:r>
      <w:r w:rsidRPr="00387E75">
        <w:rPr>
          <w:iCs/>
          <w:color w:val="000000"/>
          <w:spacing w:val="10"/>
        </w:rPr>
        <w:t>e</w:t>
      </w:r>
      <w:r w:rsidRPr="00387E75">
        <w:rPr>
          <w:iCs/>
          <w:color w:val="000000"/>
          <w:spacing w:val="3"/>
        </w:rPr>
        <w:t>par</w:t>
      </w:r>
      <w:r w:rsidRPr="00387E75">
        <w:rPr>
          <w:iCs/>
          <w:color w:val="000000"/>
          <w:spacing w:val="8"/>
        </w:rPr>
        <w:t>t</w:t>
      </w:r>
      <w:r w:rsidRPr="00387E75">
        <w:rPr>
          <w:iCs/>
          <w:color w:val="000000"/>
          <w:spacing w:val="3"/>
        </w:rPr>
        <w:t>a</w:t>
      </w:r>
      <w:r w:rsidRPr="00387E75">
        <w:rPr>
          <w:iCs/>
          <w:color w:val="000000"/>
          <w:spacing w:val="5"/>
        </w:rPr>
        <w:t>me</w:t>
      </w:r>
      <w:r w:rsidRPr="00387E75">
        <w:rPr>
          <w:iCs/>
          <w:color w:val="000000"/>
          <w:spacing w:val="6"/>
        </w:rPr>
        <w:t>n</w:t>
      </w:r>
      <w:r w:rsidRPr="00387E75">
        <w:rPr>
          <w:iCs/>
          <w:color w:val="000000"/>
          <w:spacing w:val="3"/>
        </w:rPr>
        <w:t>to</w:t>
      </w:r>
      <w:r w:rsidRPr="00387E75">
        <w:rPr>
          <w:iCs/>
          <w:color w:val="000000"/>
        </w:rPr>
        <w:t>,</w:t>
      </w:r>
      <w:r w:rsidRPr="00387E75">
        <w:rPr>
          <w:iCs/>
          <w:color w:val="000000"/>
          <w:spacing w:val="2"/>
        </w:rPr>
        <w:t xml:space="preserve"> </w:t>
      </w:r>
      <w:r w:rsidRPr="00387E75">
        <w:rPr>
          <w:iCs/>
          <w:color w:val="000000"/>
          <w:spacing w:val="6"/>
        </w:rPr>
        <w:t>Mu</w:t>
      </w:r>
      <w:r w:rsidRPr="00387E75">
        <w:rPr>
          <w:iCs/>
          <w:color w:val="000000"/>
          <w:spacing w:val="7"/>
        </w:rPr>
        <w:t>i</w:t>
      </w:r>
      <w:r w:rsidRPr="00387E75">
        <w:rPr>
          <w:iCs/>
          <w:color w:val="000000"/>
          <w:spacing w:val="3"/>
        </w:rPr>
        <w:t>t</w:t>
      </w:r>
      <w:r w:rsidRPr="00387E75">
        <w:rPr>
          <w:iCs/>
          <w:color w:val="000000"/>
          <w:spacing w:val="7"/>
        </w:rPr>
        <w:t>i</w:t>
      </w:r>
      <w:r w:rsidRPr="00387E75">
        <w:rPr>
          <w:iCs/>
          <w:color w:val="000000"/>
          <w:spacing w:val="6"/>
        </w:rPr>
        <w:t>n</w:t>
      </w:r>
      <w:r w:rsidRPr="00387E75">
        <w:rPr>
          <w:iCs/>
          <w:color w:val="000000"/>
          <w:spacing w:val="5"/>
        </w:rPr>
        <w:t>ė</w:t>
      </w:r>
      <w:r w:rsidRPr="00387E75">
        <w:rPr>
          <w:iCs/>
          <w:color w:val="000000"/>
        </w:rPr>
        <w:t>s</w:t>
      </w:r>
      <w:r w:rsidRPr="00387E75">
        <w:rPr>
          <w:iCs/>
          <w:color w:val="000000"/>
          <w:spacing w:val="1"/>
        </w:rPr>
        <w:t xml:space="preserve"> </w:t>
      </w:r>
      <w:r w:rsidRPr="00387E75">
        <w:rPr>
          <w:iCs/>
          <w:color w:val="000000"/>
          <w:spacing w:val="5"/>
        </w:rPr>
        <w:t>k</w:t>
      </w:r>
      <w:r w:rsidRPr="00387E75">
        <w:rPr>
          <w:iCs/>
          <w:color w:val="000000"/>
          <w:spacing w:val="3"/>
        </w:rPr>
        <w:t>r</w:t>
      </w:r>
      <w:r w:rsidRPr="00387E75">
        <w:rPr>
          <w:iCs/>
          <w:color w:val="000000"/>
          <w:spacing w:val="7"/>
        </w:rPr>
        <w:t>i</w:t>
      </w:r>
      <w:r w:rsidRPr="00387E75">
        <w:rPr>
          <w:iCs/>
          <w:color w:val="000000"/>
          <w:spacing w:val="5"/>
        </w:rPr>
        <w:t>m</w:t>
      </w:r>
      <w:r w:rsidRPr="00387E75">
        <w:rPr>
          <w:iCs/>
          <w:color w:val="000000"/>
          <w:spacing w:val="7"/>
        </w:rPr>
        <w:t>i</w:t>
      </w:r>
      <w:r w:rsidRPr="00387E75">
        <w:rPr>
          <w:iCs/>
          <w:color w:val="000000"/>
          <w:spacing w:val="6"/>
        </w:rPr>
        <w:t>n</w:t>
      </w:r>
      <w:r w:rsidRPr="00387E75">
        <w:rPr>
          <w:iCs/>
          <w:color w:val="000000"/>
          <w:spacing w:val="3"/>
        </w:rPr>
        <w:t>al</w:t>
      </w:r>
      <w:r w:rsidRPr="00387E75">
        <w:rPr>
          <w:iCs/>
          <w:color w:val="000000"/>
          <w:spacing w:val="7"/>
        </w:rPr>
        <w:t>i</w:t>
      </w:r>
      <w:r w:rsidRPr="00387E75">
        <w:rPr>
          <w:iCs/>
          <w:color w:val="000000"/>
          <w:spacing w:val="6"/>
        </w:rPr>
        <w:t>n</w:t>
      </w:r>
      <w:r w:rsidRPr="00387E75">
        <w:rPr>
          <w:iCs/>
          <w:color w:val="000000"/>
          <w:spacing w:val="5"/>
        </w:rPr>
        <w:t>ė</w:t>
      </w:r>
      <w:r w:rsidRPr="00387E75">
        <w:rPr>
          <w:iCs/>
          <w:color w:val="000000"/>
        </w:rPr>
        <w:t>s</w:t>
      </w:r>
      <w:r w:rsidRPr="00387E75">
        <w:rPr>
          <w:iCs/>
          <w:color w:val="000000"/>
          <w:spacing w:val="1"/>
        </w:rPr>
        <w:t xml:space="preserve"> </w:t>
      </w:r>
      <w:r w:rsidRPr="00387E75">
        <w:rPr>
          <w:iCs/>
          <w:color w:val="000000"/>
          <w:spacing w:val="3"/>
        </w:rPr>
        <w:lastRenderedPageBreak/>
        <w:t>tar</w:t>
      </w:r>
      <w:r w:rsidRPr="00387E75">
        <w:rPr>
          <w:iCs/>
          <w:color w:val="000000"/>
          <w:spacing w:val="6"/>
        </w:rPr>
        <w:t>n</w:t>
      </w:r>
      <w:r w:rsidRPr="00387E75">
        <w:rPr>
          <w:iCs/>
          <w:color w:val="000000"/>
          <w:spacing w:val="5"/>
        </w:rPr>
        <w:t>y</w:t>
      </w:r>
      <w:r w:rsidRPr="00387E75">
        <w:rPr>
          <w:iCs/>
          <w:color w:val="000000"/>
          <w:spacing w:val="4"/>
        </w:rPr>
        <w:t>b</w:t>
      </w:r>
      <w:r w:rsidRPr="00387E75">
        <w:rPr>
          <w:iCs/>
          <w:color w:val="000000"/>
          <w:spacing w:val="3"/>
        </w:rPr>
        <w:t>o</w:t>
      </w:r>
      <w:r w:rsidRPr="00387E75">
        <w:rPr>
          <w:iCs/>
          <w:color w:val="000000"/>
          <w:spacing w:val="4"/>
        </w:rPr>
        <w:t>s</w:t>
      </w:r>
      <w:r w:rsidRPr="00387E75">
        <w:rPr>
          <w:iCs/>
          <w:color w:val="000000"/>
        </w:rPr>
        <w:t xml:space="preserve">, </w:t>
      </w:r>
      <w:r w:rsidRPr="00387E75">
        <w:rPr>
          <w:iCs/>
          <w:color w:val="000000"/>
          <w:spacing w:val="6"/>
        </w:rPr>
        <w:t>V</w:t>
      </w:r>
      <w:r w:rsidRPr="00387E75">
        <w:rPr>
          <w:iCs/>
          <w:color w:val="000000"/>
          <w:spacing w:val="3"/>
        </w:rPr>
        <w:t>al</w:t>
      </w:r>
      <w:r w:rsidRPr="00387E75">
        <w:rPr>
          <w:iCs/>
          <w:color w:val="000000"/>
          <w:spacing w:val="4"/>
        </w:rPr>
        <w:t>s</w:t>
      </w:r>
      <w:r w:rsidRPr="00387E75">
        <w:rPr>
          <w:iCs/>
          <w:color w:val="000000"/>
          <w:spacing w:val="3"/>
        </w:rPr>
        <w:t>t</w:t>
      </w:r>
      <w:r w:rsidRPr="00387E75">
        <w:rPr>
          <w:iCs/>
          <w:color w:val="000000"/>
          <w:spacing w:val="5"/>
        </w:rPr>
        <w:t>y</w:t>
      </w:r>
      <w:r w:rsidRPr="00387E75">
        <w:rPr>
          <w:iCs/>
          <w:color w:val="000000"/>
          <w:spacing w:val="4"/>
        </w:rPr>
        <w:t>b</w:t>
      </w:r>
      <w:r w:rsidRPr="00387E75">
        <w:rPr>
          <w:iCs/>
          <w:color w:val="000000"/>
          <w:spacing w:val="5"/>
        </w:rPr>
        <w:t>ė</w:t>
      </w:r>
      <w:r w:rsidRPr="00387E75">
        <w:rPr>
          <w:iCs/>
          <w:color w:val="000000"/>
        </w:rPr>
        <w:t>s</w:t>
      </w:r>
      <w:r w:rsidRPr="00387E75">
        <w:rPr>
          <w:iCs/>
          <w:color w:val="000000"/>
          <w:spacing w:val="1"/>
        </w:rPr>
        <w:t xml:space="preserve"> </w:t>
      </w:r>
      <w:r w:rsidRPr="00387E75">
        <w:rPr>
          <w:iCs/>
          <w:color w:val="000000"/>
          <w:spacing w:val="4"/>
        </w:rPr>
        <w:t>s</w:t>
      </w:r>
      <w:r w:rsidRPr="00387E75">
        <w:rPr>
          <w:iCs/>
          <w:color w:val="000000"/>
          <w:spacing w:val="7"/>
        </w:rPr>
        <w:t>i</w:t>
      </w:r>
      <w:r w:rsidRPr="00387E75">
        <w:rPr>
          <w:iCs/>
          <w:color w:val="000000"/>
          <w:spacing w:val="5"/>
        </w:rPr>
        <w:t>e</w:t>
      </w:r>
      <w:r w:rsidRPr="00387E75">
        <w:rPr>
          <w:iCs/>
          <w:color w:val="000000"/>
          <w:spacing w:val="6"/>
        </w:rPr>
        <w:t>n</w:t>
      </w:r>
      <w:r w:rsidRPr="00387E75">
        <w:rPr>
          <w:iCs/>
          <w:color w:val="000000"/>
          <w:spacing w:val="3"/>
        </w:rPr>
        <w:t>o</w:t>
      </w:r>
      <w:r w:rsidRPr="00387E75">
        <w:rPr>
          <w:iCs/>
          <w:color w:val="000000"/>
        </w:rPr>
        <w:t>s</w:t>
      </w:r>
      <w:r w:rsidRPr="00387E75">
        <w:rPr>
          <w:iCs/>
          <w:color w:val="000000"/>
          <w:spacing w:val="1"/>
        </w:rPr>
        <w:t xml:space="preserve"> </w:t>
      </w:r>
      <w:r w:rsidRPr="00387E75">
        <w:rPr>
          <w:iCs/>
          <w:color w:val="000000"/>
          <w:spacing w:val="3"/>
        </w:rPr>
        <w:t>ap</w:t>
      </w:r>
      <w:r w:rsidRPr="00387E75">
        <w:rPr>
          <w:iCs/>
          <w:color w:val="000000"/>
          <w:spacing w:val="9"/>
        </w:rPr>
        <w:t>s</w:t>
      </w:r>
      <w:r w:rsidRPr="00387E75">
        <w:rPr>
          <w:iCs/>
          <w:color w:val="000000"/>
          <w:spacing w:val="3"/>
        </w:rPr>
        <w:t>a</w:t>
      </w:r>
      <w:r w:rsidRPr="00387E75">
        <w:rPr>
          <w:iCs/>
          <w:color w:val="000000"/>
          <w:spacing w:val="6"/>
        </w:rPr>
        <w:t>u</w:t>
      </w:r>
      <w:r w:rsidRPr="00387E75">
        <w:rPr>
          <w:iCs/>
          <w:color w:val="000000"/>
          <w:spacing w:val="4"/>
        </w:rPr>
        <w:t>g</w:t>
      </w:r>
      <w:r w:rsidRPr="00387E75">
        <w:rPr>
          <w:iCs/>
          <w:color w:val="000000"/>
          <w:spacing w:val="3"/>
        </w:rPr>
        <w:t>o</w:t>
      </w:r>
      <w:r w:rsidRPr="00387E75">
        <w:rPr>
          <w:iCs/>
          <w:color w:val="000000"/>
        </w:rPr>
        <w:t>s</w:t>
      </w:r>
      <w:r w:rsidRPr="00387E75">
        <w:rPr>
          <w:iCs/>
          <w:color w:val="000000"/>
          <w:spacing w:val="1"/>
        </w:rPr>
        <w:t xml:space="preserve"> </w:t>
      </w:r>
      <w:r w:rsidRPr="00387E75">
        <w:rPr>
          <w:iCs/>
          <w:color w:val="000000"/>
          <w:spacing w:val="8"/>
        </w:rPr>
        <w:t>t</w:t>
      </w:r>
      <w:r w:rsidRPr="00387E75">
        <w:rPr>
          <w:iCs/>
          <w:color w:val="000000"/>
          <w:spacing w:val="3"/>
        </w:rPr>
        <w:t>ar</w:t>
      </w:r>
      <w:r w:rsidRPr="00387E75">
        <w:rPr>
          <w:iCs/>
          <w:color w:val="000000"/>
          <w:spacing w:val="6"/>
        </w:rPr>
        <w:t>n</w:t>
      </w:r>
      <w:r w:rsidRPr="00387E75">
        <w:rPr>
          <w:iCs/>
          <w:color w:val="000000"/>
          <w:spacing w:val="5"/>
        </w:rPr>
        <w:t>y</w:t>
      </w:r>
      <w:r w:rsidRPr="00387E75">
        <w:rPr>
          <w:iCs/>
          <w:color w:val="000000"/>
          <w:spacing w:val="4"/>
        </w:rPr>
        <w:t>b</w:t>
      </w:r>
      <w:r w:rsidRPr="00387E75">
        <w:rPr>
          <w:iCs/>
          <w:color w:val="000000"/>
          <w:spacing w:val="3"/>
        </w:rPr>
        <w:t>o</w:t>
      </w:r>
      <w:r w:rsidRPr="00387E75">
        <w:rPr>
          <w:iCs/>
          <w:color w:val="000000"/>
          <w:spacing w:val="4"/>
        </w:rPr>
        <w:t>s</w:t>
      </w:r>
      <w:r w:rsidRPr="00387E75">
        <w:rPr>
          <w:iCs/>
          <w:color w:val="000000"/>
        </w:rPr>
        <w:t>,</w:t>
      </w:r>
      <w:r w:rsidRPr="00387E75">
        <w:rPr>
          <w:iCs/>
          <w:color w:val="000000"/>
          <w:spacing w:val="2"/>
        </w:rPr>
        <w:t xml:space="preserve"> </w:t>
      </w:r>
      <w:r w:rsidRPr="00387E75">
        <w:rPr>
          <w:iCs/>
          <w:color w:val="000000"/>
          <w:spacing w:val="9"/>
        </w:rPr>
        <w:t>K</w:t>
      </w:r>
      <w:r w:rsidRPr="00387E75">
        <w:rPr>
          <w:iCs/>
          <w:color w:val="000000"/>
          <w:spacing w:val="3"/>
        </w:rPr>
        <w:t>al</w:t>
      </w:r>
      <w:r w:rsidRPr="00387E75">
        <w:rPr>
          <w:iCs/>
          <w:color w:val="000000"/>
          <w:spacing w:val="5"/>
        </w:rPr>
        <w:t>ė</w:t>
      </w:r>
      <w:r w:rsidRPr="00387E75">
        <w:rPr>
          <w:iCs/>
          <w:color w:val="000000"/>
          <w:spacing w:val="3"/>
        </w:rPr>
        <w:t>j</w:t>
      </w:r>
      <w:r w:rsidRPr="00387E75">
        <w:rPr>
          <w:iCs/>
          <w:color w:val="000000"/>
          <w:spacing w:val="7"/>
        </w:rPr>
        <w:t>i</w:t>
      </w:r>
      <w:r w:rsidRPr="00387E75">
        <w:rPr>
          <w:iCs/>
          <w:color w:val="000000"/>
          <w:spacing w:val="5"/>
        </w:rPr>
        <w:t xml:space="preserve">mų </w:t>
      </w:r>
      <w:r w:rsidRPr="00387E75">
        <w:rPr>
          <w:iCs/>
          <w:color w:val="000000"/>
          <w:spacing w:val="4"/>
        </w:rPr>
        <w:t>d</w:t>
      </w:r>
      <w:r w:rsidRPr="00387E75">
        <w:rPr>
          <w:iCs/>
          <w:color w:val="000000"/>
          <w:spacing w:val="5"/>
        </w:rPr>
        <w:t>e</w:t>
      </w:r>
      <w:r w:rsidRPr="00387E75">
        <w:rPr>
          <w:iCs/>
          <w:color w:val="000000"/>
          <w:spacing w:val="3"/>
        </w:rPr>
        <w:t>pa</w:t>
      </w:r>
      <w:r w:rsidRPr="00387E75">
        <w:rPr>
          <w:iCs/>
          <w:color w:val="000000"/>
          <w:spacing w:val="8"/>
        </w:rPr>
        <w:t>r</w:t>
      </w:r>
      <w:r w:rsidRPr="00387E75">
        <w:rPr>
          <w:iCs/>
          <w:color w:val="000000"/>
          <w:spacing w:val="3"/>
        </w:rPr>
        <w:t>ta</w:t>
      </w:r>
      <w:r w:rsidRPr="00387E75">
        <w:rPr>
          <w:iCs/>
          <w:color w:val="000000"/>
          <w:spacing w:val="5"/>
        </w:rPr>
        <w:t>me</w:t>
      </w:r>
      <w:r w:rsidRPr="00387E75">
        <w:rPr>
          <w:iCs/>
          <w:color w:val="000000"/>
          <w:spacing w:val="6"/>
        </w:rPr>
        <w:t>n</w:t>
      </w:r>
      <w:r w:rsidRPr="00387E75">
        <w:rPr>
          <w:iCs/>
          <w:color w:val="000000"/>
          <w:spacing w:val="3"/>
        </w:rPr>
        <w:t>t</w:t>
      </w:r>
      <w:r w:rsidRPr="00387E75">
        <w:rPr>
          <w:iCs/>
          <w:color w:val="000000"/>
        </w:rPr>
        <w:t xml:space="preserve">o </w:t>
      </w:r>
      <w:r w:rsidRPr="00387E75">
        <w:rPr>
          <w:iCs/>
          <w:color w:val="000000"/>
          <w:spacing w:val="8"/>
        </w:rPr>
        <w:t>p</w:t>
      </w:r>
      <w:r w:rsidRPr="00387E75">
        <w:rPr>
          <w:iCs/>
          <w:color w:val="000000"/>
          <w:spacing w:val="3"/>
        </w:rPr>
        <w:t>r</w:t>
      </w:r>
      <w:r w:rsidRPr="00387E75">
        <w:rPr>
          <w:iCs/>
          <w:color w:val="000000"/>
          <w:spacing w:val="7"/>
        </w:rPr>
        <w:t>i</w:t>
      </w:r>
      <w:r w:rsidRPr="00387E75">
        <w:rPr>
          <w:iCs/>
          <w:color w:val="000000"/>
        </w:rPr>
        <w:t>e</w:t>
      </w:r>
      <w:r w:rsidRPr="00387E75">
        <w:rPr>
          <w:iCs/>
          <w:color w:val="000000"/>
          <w:spacing w:val="2"/>
        </w:rPr>
        <w:t xml:space="preserve"> </w:t>
      </w:r>
      <w:r w:rsidRPr="00387E75">
        <w:rPr>
          <w:iCs/>
          <w:color w:val="000000"/>
          <w:spacing w:val="6"/>
        </w:rPr>
        <w:t>Teisingumo ministerijoa</w:t>
      </w:r>
      <w:r w:rsidRPr="00387E75">
        <w:rPr>
          <w:iCs/>
          <w:color w:val="000000"/>
        </w:rPr>
        <w:t>,</w:t>
      </w:r>
      <w:r w:rsidRPr="00387E75">
        <w:rPr>
          <w:iCs/>
          <w:color w:val="000000"/>
          <w:spacing w:val="2"/>
        </w:rPr>
        <w:t xml:space="preserve"> a</w:t>
      </w:r>
      <w:r w:rsidRPr="00387E75">
        <w:rPr>
          <w:iCs/>
          <w:color w:val="000000"/>
          <w:spacing w:val="3"/>
        </w:rPr>
        <w:t>p</w:t>
      </w:r>
      <w:r w:rsidRPr="00387E75">
        <w:rPr>
          <w:iCs/>
          <w:color w:val="000000"/>
          <w:spacing w:val="4"/>
        </w:rPr>
        <w:t>s</w:t>
      </w:r>
      <w:r w:rsidRPr="00387E75">
        <w:rPr>
          <w:iCs/>
          <w:color w:val="000000"/>
          <w:spacing w:val="5"/>
        </w:rPr>
        <w:t>k</w:t>
      </w:r>
      <w:r w:rsidRPr="00387E75">
        <w:rPr>
          <w:iCs/>
          <w:color w:val="000000"/>
          <w:spacing w:val="3"/>
        </w:rPr>
        <w:t>r</w:t>
      </w:r>
      <w:r w:rsidRPr="00387E75">
        <w:rPr>
          <w:iCs/>
          <w:color w:val="000000"/>
          <w:spacing w:val="7"/>
        </w:rPr>
        <w:t>i</w:t>
      </w:r>
      <w:r w:rsidRPr="00387E75">
        <w:rPr>
          <w:iCs/>
          <w:color w:val="000000"/>
          <w:spacing w:val="6"/>
        </w:rPr>
        <w:t>č</w:t>
      </w:r>
      <w:r w:rsidRPr="00387E75">
        <w:rPr>
          <w:iCs/>
          <w:color w:val="000000"/>
          <w:spacing w:val="7"/>
        </w:rPr>
        <w:t>i</w:t>
      </w:r>
      <w:r w:rsidRPr="00387E75">
        <w:rPr>
          <w:iCs/>
          <w:color w:val="000000"/>
        </w:rPr>
        <w:t>ų</w:t>
      </w:r>
      <w:r w:rsidRPr="00387E75">
        <w:rPr>
          <w:iCs/>
          <w:color w:val="000000"/>
          <w:spacing w:val="3"/>
        </w:rPr>
        <w:t xml:space="preserve"> </w:t>
      </w:r>
      <w:r w:rsidRPr="00387E75">
        <w:rPr>
          <w:iCs/>
          <w:color w:val="000000"/>
          <w:spacing w:val="5"/>
        </w:rPr>
        <w:t>vy</w:t>
      </w:r>
      <w:r w:rsidRPr="00387E75">
        <w:rPr>
          <w:iCs/>
          <w:color w:val="000000"/>
          <w:spacing w:val="3"/>
        </w:rPr>
        <w:t>r</w:t>
      </w:r>
      <w:r w:rsidRPr="00387E75">
        <w:rPr>
          <w:iCs/>
          <w:color w:val="000000"/>
          <w:spacing w:val="7"/>
        </w:rPr>
        <w:t>i</w:t>
      </w:r>
      <w:r w:rsidRPr="00387E75">
        <w:rPr>
          <w:iCs/>
          <w:color w:val="000000"/>
          <w:spacing w:val="3"/>
        </w:rPr>
        <w:t>a</w:t>
      </w:r>
      <w:r w:rsidRPr="00387E75">
        <w:rPr>
          <w:iCs/>
          <w:color w:val="000000"/>
          <w:spacing w:val="6"/>
        </w:rPr>
        <w:t>u</w:t>
      </w:r>
      <w:r w:rsidRPr="00387E75">
        <w:rPr>
          <w:iCs/>
          <w:color w:val="000000"/>
          <w:spacing w:val="4"/>
        </w:rPr>
        <w:t>s</w:t>
      </w:r>
      <w:r w:rsidRPr="00387E75">
        <w:rPr>
          <w:iCs/>
          <w:color w:val="000000"/>
          <w:spacing w:val="2"/>
        </w:rPr>
        <w:t>i</w:t>
      </w:r>
      <w:r w:rsidRPr="00387E75">
        <w:rPr>
          <w:iCs/>
          <w:color w:val="000000"/>
          <w:spacing w:val="6"/>
        </w:rPr>
        <w:t>ų</w:t>
      </w:r>
      <w:r w:rsidRPr="00387E75">
        <w:rPr>
          <w:iCs/>
          <w:color w:val="000000"/>
          <w:spacing w:val="3"/>
        </w:rPr>
        <w:t>j</w:t>
      </w:r>
      <w:r w:rsidRPr="00387E75">
        <w:rPr>
          <w:iCs/>
          <w:color w:val="000000"/>
        </w:rPr>
        <w:t xml:space="preserve">ų </w:t>
      </w:r>
      <w:r w:rsidRPr="00387E75">
        <w:rPr>
          <w:iCs/>
          <w:color w:val="000000"/>
          <w:spacing w:val="3"/>
        </w:rPr>
        <w:t>pol</w:t>
      </w:r>
      <w:r w:rsidRPr="00387E75">
        <w:rPr>
          <w:iCs/>
          <w:color w:val="000000"/>
          <w:spacing w:val="7"/>
        </w:rPr>
        <w:t>i</w:t>
      </w:r>
      <w:r w:rsidRPr="00387E75">
        <w:rPr>
          <w:iCs/>
          <w:color w:val="000000"/>
          <w:spacing w:val="6"/>
        </w:rPr>
        <w:t>c</w:t>
      </w:r>
      <w:r w:rsidRPr="00387E75">
        <w:rPr>
          <w:iCs/>
          <w:color w:val="000000"/>
          <w:spacing w:val="7"/>
        </w:rPr>
        <w:t>i</w:t>
      </w:r>
      <w:r w:rsidRPr="00387E75">
        <w:rPr>
          <w:iCs/>
          <w:color w:val="000000"/>
          <w:spacing w:val="3"/>
        </w:rPr>
        <w:t>jo</w:t>
      </w:r>
      <w:r w:rsidRPr="00387E75">
        <w:rPr>
          <w:iCs/>
          <w:color w:val="000000"/>
        </w:rPr>
        <w:t>s</w:t>
      </w:r>
      <w:r w:rsidRPr="00387E75">
        <w:rPr>
          <w:iCs/>
          <w:color w:val="000000"/>
          <w:spacing w:val="28"/>
        </w:rPr>
        <w:t xml:space="preserve"> </w:t>
      </w:r>
      <w:r w:rsidRPr="00387E75">
        <w:rPr>
          <w:iCs/>
          <w:color w:val="000000"/>
          <w:spacing w:val="5"/>
        </w:rPr>
        <w:t>k</w:t>
      </w:r>
      <w:r w:rsidRPr="00387E75">
        <w:rPr>
          <w:iCs/>
          <w:color w:val="000000"/>
          <w:spacing w:val="3"/>
        </w:rPr>
        <w:t>o</w:t>
      </w:r>
      <w:r w:rsidRPr="00387E75">
        <w:rPr>
          <w:iCs/>
          <w:color w:val="000000"/>
          <w:spacing w:val="5"/>
        </w:rPr>
        <w:t>m</w:t>
      </w:r>
      <w:r w:rsidRPr="00387E75">
        <w:rPr>
          <w:iCs/>
          <w:color w:val="000000"/>
          <w:spacing w:val="7"/>
        </w:rPr>
        <w:t>i</w:t>
      </w:r>
      <w:r w:rsidRPr="00387E75">
        <w:rPr>
          <w:iCs/>
          <w:color w:val="000000"/>
          <w:spacing w:val="9"/>
        </w:rPr>
        <w:t>s</w:t>
      </w:r>
      <w:r w:rsidRPr="00387E75">
        <w:rPr>
          <w:iCs/>
          <w:color w:val="000000"/>
          <w:spacing w:val="3"/>
        </w:rPr>
        <w:t>ar</w:t>
      </w:r>
      <w:r w:rsidRPr="00387E75">
        <w:rPr>
          <w:iCs/>
          <w:color w:val="000000"/>
          <w:spacing w:val="7"/>
        </w:rPr>
        <w:t>i</w:t>
      </w:r>
      <w:r w:rsidRPr="00387E75">
        <w:rPr>
          <w:iCs/>
          <w:color w:val="000000"/>
          <w:spacing w:val="3"/>
        </w:rPr>
        <w:t>at</w:t>
      </w:r>
      <w:r w:rsidRPr="00387E75">
        <w:rPr>
          <w:iCs/>
          <w:color w:val="000000"/>
        </w:rPr>
        <w:t>ų</w:t>
      </w:r>
      <w:r w:rsidRPr="00387E75">
        <w:rPr>
          <w:iCs/>
          <w:color w:val="000000"/>
          <w:spacing w:val="35"/>
        </w:rPr>
        <w:t xml:space="preserve"> </w:t>
      </w:r>
      <w:r w:rsidRPr="00387E75">
        <w:rPr>
          <w:iCs/>
          <w:color w:val="000000"/>
          <w:spacing w:val="3"/>
        </w:rPr>
        <w:t>or</w:t>
      </w:r>
      <w:r w:rsidRPr="00387E75">
        <w:rPr>
          <w:iCs/>
          <w:color w:val="000000"/>
          <w:spacing w:val="9"/>
        </w:rPr>
        <w:t>g</w:t>
      </w:r>
      <w:r w:rsidRPr="00387E75">
        <w:rPr>
          <w:iCs/>
          <w:color w:val="000000"/>
          <w:spacing w:val="3"/>
        </w:rPr>
        <w:t>a</w:t>
      </w:r>
      <w:r w:rsidRPr="00387E75">
        <w:rPr>
          <w:iCs/>
          <w:color w:val="000000"/>
          <w:spacing w:val="6"/>
        </w:rPr>
        <w:t>n</w:t>
      </w:r>
      <w:r w:rsidRPr="00387E75">
        <w:rPr>
          <w:iCs/>
          <w:color w:val="000000"/>
          <w:spacing w:val="7"/>
        </w:rPr>
        <w:t>i</w:t>
      </w:r>
      <w:r w:rsidRPr="00387E75">
        <w:rPr>
          <w:iCs/>
          <w:color w:val="000000"/>
          <w:spacing w:val="2"/>
        </w:rPr>
        <w:t>z</w:t>
      </w:r>
      <w:r w:rsidRPr="00387E75">
        <w:rPr>
          <w:iCs/>
          <w:color w:val="000000"/>
          <w:spacing w:val="6"/>
        </w:rPr>
        <w:t>u</w:t>
      </w:r>
      <w:r w:rsidRPr="00387E75">
        <w:rPr>
          <w:iCs/>
          <w:color w:val="000000"/>
          <w:spacing w:val="3"/>
        </w:rPr>
        <w:t>ot</w:t>
      </w:r>
      <w:r w:rsidRPr="00387E75">
        <w:rPr>
          <w:iCs/>
          <w:color w:val="000000"/>
        </w:rPr>
        <w:t>o</w:t>
      </w:r>
      <w:r w:rsidRPr="00387E75">
        <w:rPr>
          <w:iCs/>
          <w:color w:val="000000"/>
          <w:spacing w:val="32"/>
        </w:rPr>
        <w:t xml:space="preserve"> </w:t>
      </w:r>
      <w:r w:rsidRPr="00387E75">
        <w:rPr>
          <w:iCs/>
          <w:color w:val="000000"/>
          <w:spacing w:val="6"/>
        </w:rPr>
        <w:t>nu</w:t>
      </w:r>
      <w:r w:rsidRPr="00387E75">
        <w:rPr>
          <w:iCs/>
          <w:color w:val="000000"/>
          <w:spacing w:val="4"/>
        </w:rPr>
        <w:t>s</w:t>
      </w:r>
      <w:r w:rsidRPr="00387E75">
        <w:rPr>
          <w:iCs/>
          <w:color w:val="000000"/>
          <w:spacing w:val="7"/>
        </w:rPr>
        <w:t>i</w:t>
      </w:r>
      <w:r w:rsidRPr="00387E75">
        <w:rPr>
          <w:iCs/>
          <w:color w:val="000000"/>
          <w:spacing w:val="5"/>
        </w:rPr>
        <w:t>k</w:t>
      </w:r>
      <w:r w:rsidRPr="00387E75">
        <w:rPr>
          <w:iCs/>
          <w:color w:val="000000"/>
          <w:spacing w:val="3"/>
        </w:rPr>
        <w:t>al</w:t>
      </w:r>
      <w:r w:rsidRPr="00387E75">
        <w:rPr>
          <w:iCs/>
          <w:color w:val="000000"/>
          <w:spacing w:val="4"/>
        </w:rPr>
        <w:t>s</w:t>
      </w:r>
      <w:r w:rsidRPr="00387E75">
        <w:rPr>
          <w:iCs/>
          <w:color w:val="000000"/>
          <w:spacing w:val="3"/>
        </w:rPr>
        <w:t>t</w:t>
      </w:r>
      <w:r w:rsidRPr="00387E75">
        <w:rPr>
          <w:iCs/>
          <w:color w:val="000000"/>
          <w:spacing w:val="8"/>
        </w:rPr>
        <w:t>a</w:t>
      </w:r>
      <w:r w:rsidRPr="00387E75">
        <w:rPr>
          <w:iCs/>
          <w:color w:val="000000"/>
          <w:spacing w:val="5"/>
        </w:rPr>
        <w:t>m</w:t>
      </w:r>
      <w:r w:rsidRPr="00387E75">
        <w:rPr>
          <w:iCs/>
          <w:color w:val="000000"/>
          <w:spacing w:val="6"/>
        </w:rPr>
        <w:t>u</w:t>
      </w:r>
      <w:r w:rsidRPr="00387E75">
        <w:rPr>
          <w:iCs/>
          <w:color w:val="000000"/>
          <w:spacing w:val="5"/>
        </w:rPr>
        <w:t>m</w:t>
      </w:r>
      <w:r w:rsidRPr="00387E75">
        <w:rPr>
          <w:iCs/>
          <w:color w:val="000000"/>
        </w:rPr>
        <w:t>o</w:t>
      </w:r>
      <w:r w:rsidRPr="00387E75">
        <w:rPr>
          <w:iCs/>
          <w:color w:val="000000"/>
          <w:spacing w:val="27"/>
        </w:rPr>
        <w:t xml:space="preserve"> </w:t>
      </w:r>
      <w:r w:rsidRPr="00387E75">
        <w:rPr>
          <w:iCs/>
          <w:color w:val="000000"/>
          <w:spacing w:val="3"/>
        </w:rPr>
        <w:t>t</w:t>
      </w:r>
      <w:r w:rsidRPr="00387E75">
        <w:rPr>
          <w:iCs/>
          <w:color w:val="000000"/>
          <w:spacing w:val="5"/>
        </w:rPr>
        <w:t>y</w:t>
      </w:r>
      <w:r w:rsidRPr="00387E75">
        <w:rPr>
          <w:iCs/>
          <w:color w:val="000000"/>
          <w:spacing w:val="3"/>
        </w:rPr>
        <w:t>r</w:t>
      </w:r>
      <w:r w:rsidRPr="00387E75">
        <w:rPr>
          <w:iCs/>
          <w:color w:val="000000"/>
          <w:spacing w:val="7"/>
        </w:rPr>
        <w:t>i</w:t>
      </w:r>
      <w:r w:rsidRPr="00387E75">
        <w:rPr>
          <w:iCs/>
          <w:color w:val="000000"/>
        </w:rPr>
        <w:t>mo</w:t>
      </w:r>
      <w:r w:rsidRPr="00387E75">
        <w:rPr>
          <w:iCs/>
          <w:color w:val="000000"/>
          <w:spacing w:val="32"/>
        </w:rPr>
        <w:t xml:space="preserve"> </w:t>
      </w:r>
      <w:r w:rsidRPr="00387E75">
        <w:rPr>
          <w:iCs/>
          <w:color w:val="000000"/>
          <w:spacing w:val="3"/>
        </w:rPr>
        <w:t>pa</w:t>
      </w:r>
      <w:r w:rsidRPr="00387E75">
        <w:rPr>
          <w:iCs/>
          <w:color w:val="000000"/>
          <w:spacing w:val="8"/>
        </w:rPr>
        <w:t>d</w:t>
      </w:r>
      <w:r w:rsidRPr="00387E75">
        <w:rPr>
          <w:iCs/>
          <w:color w:val="000000"/>
          <w:spacing w:val="3"/>
        </w:rPr>
        <w:t>al</w:t>
      </w:r>
      <w:r w:rsidRPr="00387E75">
        <w:rPr>
          <w:iCs/>
          <w:color w:val="000000"/>
          <w:spacing w:val="7"/>
        </w:rPr>
        <w:t>i</w:t>
      </w:r>
      <w:r w:rsidRPr="00387E75">
        <w:rPr>
          <w:iCs/>
          <w:color w:val="000000"/>
          <w:spacing w:val="6"/>
        </w:rPr>
        <w:t>n</w:t>
      </w:r>
      <w:r w:rsidRPr="00387E75">
        <w:rPr>
          <w:iCs/>
          <w:color w:val="000000"/>
          <w:spacing w:val="7"/>
        </w:rPr>
        <w:t>i</w:t>
      </w:r>
      <w:r w:rsidRPr="00387E75">
        <w:rPr>
          <w:iCs/>
          <w:color w:val="000000"/>
          <w:spacing w:val="6"/>
        </w:rPr>
        <w:t>ų</w:t>
      </w:r>
      <w:r w:rsidRPr="00387E75">
        <w:rPr>
          <w:iCs/>
          <w:color w:val="000000"/>
        </w:rPr>
        <w:t>,</w:t>
      </w:r>
      <w:r w:rsidRPr="00387E75">
        <w:rPr>
          <w:iCs/>
          <w:color w:val="000000"/>
          <w:spacing w:val="29"/>
        </w:rPr>
        <w:t xml:space="preserve"> </w:t>
      </w:r>
      <w:r w:rsidRPr="00387E75">
        <w:rPr>
          <w:iCs/>
          <w:color w:val="000000"/>
          <w:spacing w:val="4"/>
        </w:rPr>
        <w:t>L</w:t>
      </w:r>
      <w:r w:rsidRPr="00387E75">
        <w:rPr>
          <w:iCs/>
          <w:color w:val="000000"/>
          <w:spacing w:val="7"/>
        </w:rPr>
        <w:t>i</w:t>
      </w:r>
      <w:r w:rsidRPr="00387E75">
        <w:rPr>
          <w:iCs/>
          <w:color w:val="000000"/>
          <w:spacing w:val="5"/>
        </w:rPr>
        <w:t>e</w:t>
      </w:r>
      <w:r w:rsidRPr="00387E75">
        <w:rPr>
          <w:iCs/>
          <w:color w:val="000000"/>
          <w:spacing w:val="3"/>
        </w:rPr>
        <w:t>t</w:t>
      </w:r>
      <w:r w:rsidRPr="00387E75">
        <w:rPr>
          <w:iCs/>
          <w:color w:val="000000"/>
          <w:spacing w:val="6"/>
        </w:rPr>
        <w:t>u</w:t>
      </w:r>
      <w:r w:rsidRPr="00387E75">
        <w:rPr>
          <w:iCs/>
          <w:color w:val="000000"/>
          <w:spacing w:val="5"/>
        </w:rPr>
        <w:t>v</w:t>
      </w:r>
      <w:r w:rsidRPr="00387E75">
        <w:rPr>
          <w:iCs/>
          <w:color w:val="000000"/>
          <w:spacing w:val="3"/>
        </w:rPr>
        <w:t>o</w:t>
      </w:r>
      <w:r w:rsidRPr="00387E75">
        <w:rPr>
          <w:iCs/>
          <w:color w:val="000000"/>
        </w:rPr>
        <w:t>s</w:t>
      </w:r>
      <w:r w:rsidRPr="00387E75">
        <w:rPr>
          <w:iCs/>
          <w:color w:val="000000"/>
          <w:spacing w:val="28"/>
        </w:rPr>
        <w:t xml:space="preserve"> </w:t>
      </w:r>
      <w:r w:rsidRPr="00387E75">
        <w:rPr>
          <w:iCs/>
          <w:color w:val="000000"/>
          <w:spacing w:val="5"/>
        </w:rPr>
        <w:t>k</w:t>
      </w:r>
      <w:r w:rsidRPr="00387E75">
        <w:rPr>
          <w:iCs/>
          <w:color w:val="000000"/>
          <w:spacing w:val="3"/>
        </w:rPr>
        <w:t>r</w:t>
      </w:r>
      <w:r w:rsidRPr="00387E75">
        <w:rPr>
          <w:iCs/>
          <w:color w:val="000000"/>
          <w:spacing w:val="7"/>
        </w:rPr>
        <w:t>i</w:t>
      </w:r>
      <w:r w:rsidRPr="00387E75">
        <w:rPr>
          <w:iCs/>
          <w:color w:val="000000"/>
          <w:spacing w:val="5"/>
        </w:rPr>
        <w:t>m</w:t>
      </w:r>
      <w:r w:rsidRPr="00387E75">
        <w:rPr>
          <w:iCs/>
          <w:color w:val="000000"/>
          <w:spacing w:val="7"/>
        </w:rPr>
        <w:t>i</w:t>
      </w:r>
      <w:r w:rsidRPr="00387E75">
        <w:rPr>
          <w:iCs/>
          <w:color w:val="000000"/>
          <w:spacing w:val="6"/>
        </w:rPr>
        <w:t>n</w:t>
      </w:r>
      <w:r w:rsidRPr="00387E75">
        <w:rPr>
          <w:iCs/>
          <w:color w:val="000000"/>
          <w:spacing w:val="3"/>
        </w:rPr>
        <w:t>al</w:t>
      </w:r>
      <w:r w:rsidRPr="00387E75">
        <w:rPr>
          <w:iCs/>
          <w:color w:val="000000"/>
          <w:spacing w:val="7"/>
        </w:rPr>
        <w:t>i</w:t>
      </w:r>
      <w:r w:rsidRPr="00387E75">
        <w:rPr>
          <w:iCs/>
          <w:color w:val="000000"/>
          <w:spacing w:val="6"/>
        </w:rPr>
        <w:t>n</w:t>
      </w:r>
      <w:r w:rsidRPr="00387E75">
        <w:rPr>
          <w:iCs/>
          <w:color w:val="000000"/>
          <w:spacing w:val="5"/>
        </w:rPr>
        <w:t>ė</w:t>
      </w:r>
      <w:r w:rsidRPr="00387E75">
        <w:rPr>
          <w:iCs/>
          <w:color w:val="000000"/>
        </w:rPr>
        <w:t xml:space="preserve">s </w:t>
      </w:r>
      <w:r w:rsidRPr="00387E75">
        <w:rPr>
          <w:iCs/>
          <w:color w:val="000000"/>
          <w:spacing w:val="3"/>
        </w:rPr>
        <w:t>pol</w:t>
      </w:r>
      <w:r w:rsidRPr="00387E75">
        <w:rPr>
          <w:iCs/>
          <w:color w:val="000000"/>
          <w:spacing w:val="7"/>
        </w:rPr>
        <w:t>i</w:t>
      </w:r>
      <w:r w:rsidRPr="00387E75">
        <w:rPr>
          <w:iCs/>
          <w:color w:val="000000"/>
          <w:spacing w:val="6"/>
        </w:rPr>
        <w:t>c</w:t>
      </w:r>
      <w:r w:rsidRPr="00387E75">
        <w:rPr>
          <w:iCs/>
          <w:color w:val="000000"/>
          <w:spacing w:val="7"/>
        </w:rPr>
        <w:t>i</w:t>
      </w:r>
      <w:r w:rsidRPr="00387E75">
        <w:rPr>
          <w:iCs/>
          <w:color w:val="000000"/>
          <w:spacing w:val="3"/>
        </w:rPr>
        <w:t>jo</w:t>
      </w:r>
      <w:r w:rsidRPr="00387E75">
        <w:rPr>
          <w:iCs/>
          <w:color w:val="000000"/>
        </w:rPr>
        <w:t>s</w:t>
      </w:r>
      <w:r w:rsidRPr="00387E75">
        <w:rPr>
          <w:iCs/>
          <w:color w:val="000000"/>
          <w:spacing w:val="1"/>
        </w:rPr>
        <w:t xml:space="preserve"> </w:t>
      </w:r>
      <w:r w:rsidRPr="00387E75">
        <w:rPr>
          <w:iCs/>
          <w:color w:val="000000"/>
          <w:spacing w:val="4"/>
        </w:rPr>
        <w:t>b</w:t>
      </w:r>
      <w:r w:rsidRPr="00387E75">
        <w:rPr>
          <w:iCs/>
          <w:color w:val="000000"/>
          <w:spacing w:val="7"/>
        </w:rPr>
        <w:t>i</w:t>
      </w:r>
      <w:r w:rsidRPr="00387E75">
        <w:rPr>
          <w:iCs/>
          <w:color w:val="000000"/>
          <w:spacing w:val="6"/>
        </w:rPr>
        <w:t>u</w:t>
      </w:r>
      <w:r w:rsidRPr="00387E75">
        <w:rPr>
          <w:iCs/>
          <w:color w:val="000000"/>
          <w:spacing w:val="3"/>
        </w:rPr>
        <w:t>r</w:t>
      </w:r>
      <w:r w:rsidRPr="00387E75">
        <w:rPr>
          <w:iCs/>
          <w:color w:val="000000"/>
        </w:rPr>
        <w:t xml:space="preserve">o </w:t>
      </w:r>
      <w:r w:rsidRPr="00387E75">
        <w:rPr>
          <w:iCs/>
          <w:color w:val="000000"/>
          <w:spacing w:val="7"/>
        </w:rPr>
        <w:t>i</w:t>
      </w:r>
      <w:r w:rsidRPr="00387E75">
        <w:rPr>
          <w:iCs/>
          <w:color w:val="000000"/>
        </w:rPr>
        <w:t xml:space="preserve">r </w:t>
      </w:r>
      <w:r w:rsidRPr="00387E75">
        <w:rPr>
          <w:iCs/>
          <w:color w:val="000000"/>
          <w:spacing w:val="4"/>
        </w:rPr>
        <w:t>L</w:t>
      </w:r>
      <w:r w:rsidRPr="00387E75">
        <w:rPr>
          <w:iCs/>
          <w:color w:val="000000"/>
          <w:spacing w:val="7"/>
        </w:rPr>
        <w:t>i</w:t>
      </w:r>
      <w:r w:rsidRPr="00387E75">
        <w:rPr>
          <w:iCs/>
          <w:color w:val="000000"/>
          <w:spacing w:val="5"/>
        </w:rPr>
        <w:t>e</w:t>
      </w:r>
      <w:r w:rsidRPr="00387E75">
        <w:rPr>
          <w:iCs/>
          <w:color w:val="000000"/>
          <w:spacing w:val="3"/>
        </w:rPr>
        <w:t>t</w:t>
      </w:r>
      <w:r w:rsidRPr="00387E75">
        <w:rPr>
          <w:iCs/>
          <w:color w:val="000000"/>
          <w:spacing w:val="6"/>
        </w:rPr>
        <w:t>u</w:t>
      </w:r>
      <w:r w:rsidRPr="00387E75">
        <w:rPr>
          <w:iCs/>
          <w:color w:val="000000"/>
          <w:spacing w:val="5"/>
        </w:rPr>
        <w:t>v</w:t>
      </w:r>
      <w:r w:rsidRPr="00387E75">
        <w:rPr>
          <w:iCs/>
          <w:color w:val="000000"/>
          <w:spacing w:val="3"/>
        </w:rPr>
        <w:t>o</w:t>
      </w:r>
      <w:r w:rsidRPr="00387E75">
        <w:rPr>
          <w:iCs/>
          <w:color w:val="000000"/>
        </w:rPr>
        <w:t>s</w:t>
      </w:r>
      <w:r w:rsidRPr="00387E75">
        <w:rPr>
          <w:iCs/>
          <w:color w:val="000000"/>
          <w:spacing w:val="1"/>
        </w:rPr>
        <w:t xml:space="preserve"> </w:t>
      </w:r>
      <w:r w:rsidRPr="00387E75">
        <w:rPr>
          <w:iCs/>
          <w:color w:val="000000"/>
          <w:spacing w:val="3"/>
        </w:rPr>
        <w:t>pol</w:t>
      </w:r>
      <w:r w:rsidRPr="00387E75">
        <w:rPr>
          <w:iCs/>
          <w:color w:val="000000"/>
          <w:spacing w:val="7"/>
        </w:rPr>
        <w:t>i</w:t>
      </w:r>
      <w:r w:rsidRPr="00387E75">
        <w:rPr>
          <w:iCs/>
          <w:color w:val="000000"/>
          <w:spacing w:val="6"/>
        </w:rPr>
        <w:t>c</w:t>
      </w:r>
      <w:r w:rsidRPr="00387E75">
        <w:rPr>
          <w:iCs/>
          <w:color w:val="000000"/>
          <w:spacing w:val="7"/>
        </w:rPr>
        <w:t>i</w:t>
      </w:r>
      <w:r w:rsidRPr="00387E75">
        <w:rPr>
          <w:iCs/>
          <w:color w:val="000000"/>
          <w:spacing w:val="3"/>
        </w:rPr>
        <w:t>jo</w:t>
      </w:r>
      <w:r w:rsidRPr="00387E75">
        <w:rPr>
          <w:iCs/>
          <w:color w:val="000000"/>
        </w:rPr>
        <w:t>s</w:t>
      </w:r>
      <w:r w:rsidRPr="00387E75">
        <w:rPr>
          <w:iCs/>
          <w:color w:val="000000"/>
          <w:spacing w:val="1"/>
        </w:rPr>
        <w:t xml:space="preserve"> </w:t>
      </w:r>
      <w:r w:rsidRPr="00387E75">
        <w:rPr>
          <w:iCs/>
          <w:color w:val="000000"/>
          <w:spacing w:val="5"/>
        </w:rPr>
        <w:t>k</w:t>
      </w:r>
      <w:r w:rsidRPr="00387E75">
        <w:rPr>
          <w:iCs/>
          <w:color w:val="000000"/>
          <w:spacing w:val="3"/>
        </w:rPr>
        <w:t>r</w:t>
      </w:r>
      <w:r w:rsidRPr="00387E75">
        <w:rPr>
          <w:iCs/>
          <w:color w:val="000000"/>
          <w:spacing w:val="7"/>
        </w:rPr>
        <w:t>i</w:t>
      </w:r>
      <w:r w:rsidRPr="00387E75">
        <w:rPr>
          <w:iCs/>
          <w:color w:val="000000"/>
          <w:spacing w:val="5"/>
        </w:rPr>
        <w:t>m</w:t>
      </w:r>
      <w:r w:rsidRPr="00387E75">
        <w:rPr>
          <w:iCs/>
          <w:color w:val="000000"/>
          <w:spacing w:val="7"/>
        </w:rPr>
        <w:t>i</w:t>
      </w:r>
      <w:r w:rsidRPr="00387E75">
        <w:rPr>
          <w:iCs/>
          <w:color w:val="000000"/>
          <w:spacing w:val="6"/>
        </w:rPr>
        <w:t>n</w:t>
      </w:r>
      <w:r w:rsidRPr="00387E75">
        <w:rPr>
          <w:iCs/>
          <w:color w:val="000000"/>
          <w:spacing w:val="3"/>
        </w:rPr>
        <w:t>al</w:t>
      </w:r>
      <w:r w:rsidRPr="00387E75">
        <w:rPr>
          <w:iCs/>
          <w:color w:val="000000"/>
          <w:spacing w:val="7"/>
        </w:rPr>
        <w:t>i</w:t>
      </w:r>
      <w:r w:rsidRPr="00387E75">
        <w:rPr>
          <w:iCs/>
          <w:color w:val="000000"/>
          <w:spacing w:val="4"/>
        </w:rPr>
        <w:t>s</w:t>
      </w:r>
      <w:r w:rsidRPr="00387E75">
        <w:rPr>
          <w:iCs/>
          <w:color w:val="000000"/>
          <w:spacing w:val="3"/>
        </w:rPr>
        <w:t>t</w:t>
      </w:r>
      <w:r w:rsidRPr="00387E75">
        <w:rPr>
          <w:iCs/>
          <w:color w:val="000000"/>
          <w:spacing w:val="7"/>
        </w:rPr>
        <w:t>i</w:t>
      </w:r>
      <w:r w:rsidRPr="00387E75">
        <w:rPr>
          <w:iCs/>
          <w:color w:val="000000"/>
          <w:spacing w:val="6"/>
        </w:rPr>
        <w:t>n</w:t>
      </w:r>
      <w:r w:rsidRPr="00387E75">
        <w:rPr>
          <w:iCs/>
          <w:color w:val="000000"/>
          <w:spacing w:val="7"/>
        </w:rPr>
        <w:t>i</w:t>
      </w:r>
      <w:r w:rsidRPr="00387E75">
        <w:rPr>
          <w:iCs/>
          <w:color w:val="000000"/>
        </w:rPr>
        <w:t>ų</w:t>
      </w:r>
      <w:r w:rsidRPr="00387E75">
        <w:rPr>
          <w:iCs/>
          <w:color w:val="000000"/>
          <w:spacing w:val="3"/>
        </w:rPr>
        <w:t xml:space="preserve"> t</w:t>
      </w:r>
      <w:r w:rsidRPr="00387E75">
        <w:rPr>
          <w:iCs/>
          <w:color w:val="000000"/>
          <w:spacing w:val="5"/>
        </w:rPr>
        <w:t>y</w:t>
      </w:r>
      <w:r w:rsidRPr="00387E75">
        <w:rPr>
          <w:iCs/>
          <w:color w:val="000000"/>
          <w:spacing w:val="3"/>
        </w:rPr>
        <w:t>r</w:t>
      </w:r>
      <w:r w:rsidRPr="00387E75">
        <w:rPr>
          <w:iCs/>
          <w:color w:val="000000"/>
          <w:spacing w:val="7"/>
        </w:rPr>
        <w:t>i</w:t>
      </w:r>
      <w:r w:rsidRPr="00387E75">
        <w:rPr>
          <w:iCs/>
          <w:color w:val="000000"/>
          <w:spacing w:val="5"/>
        </w:rPr>
        <w:t>m</w:t>
      </w:r>
      <w:r w:rsidRPr="00387E75">
        <w:rPr>
          <w:iCs/>
          <w:color w:val="000000"/>
        </w:rPr>
        <w:t>ų</w:t>
      </w:r>
      <w:r w:rsidRPr="00387E75">
        <w:rPr>
          <w:iCs/>
          <w:color w:val="000000"/>
          <w:spacing w:val="3"/>
        </w:rPr>
        <w:t xml:space="preserve"> </w:t>
      </w:r>
      <w:r w:rsidRPr="00387E75">
        <w:rPr>
          <w:iCs/>
          <w:color w:val="000000"/>
          <w:spacing w:val="6"/>
        </w:rPr>
        <w:t>c</w:t>
      </w:r>
      <w:r w:rsidRPr="00387E75">
        <w:rPr>
          <w:iCs/>
          <w:color w:val="000000"/>
        </w:rPr>
        <w:t>e</w:t>
      </w:r>
      <w:r w:rsidRPr="00387E75">
        <w:rPr>
          <w:iCs/>
          <w:color w:val="000000"/>
          <w:spacing w:val="6"/>
        </w:rPr>
        <w:t>n</w:t>
      </w:r>
      <w:r w:rsidRPr="00387E75">
        <w:rPr>
          <w:iCs/>
          <w:color w:val="000000"/>
          <w:spacing w:val="3"/>
        </w:rPr>
        <w:t>tro</w:t>
      </w:r>
      <w:r w:rsidRPr="00387E75">
        <w:rPr>
          <w:iCs/>
          <w:color w:val="000000"/>
        </w:rPr>
        <w:t>.</w:t>
      </w:r>
      <w:r w:rsidRPr="00387E75">
        <w:rPr>
          <w:iCs/>
          <w:color w:val="000000"/>
          <w:spacing w:val="2"/>
        </w:rPr>
        <w:t xml:space="preserve"> </w:t>
      </w:r>
    </w:p>
    <w:p w:rsidR="004F7425" w:rsidRDefault="004F7425" w:rsidP="004F7425">
      <w:pPr>
        <w:widowControl w:val="0"/>
        <w:autoSpaceDE w:val="0"/>
        <w:autoSpaceDN w:val="0"/>
        <w:adjustRightInd w:val="0"/>
        <w:spacing w:line="275" w:lineRule="auto"/>
        <w:ind w:left="120" w:right="44" w:firstLine="721"/>
        <w:jc w:val="both"/>
        <w:rPr>
          <w:rFonts w:eastAsia="Arial Unicode MS"/>
        </w:rPr>
      </w:pPr>
      <w:r w:rsidRPr="00387E75">
        <w:rPr>
          <w:rFonts w:eastAsia="Arial Unicode MS"/>
        </w:rPr>
        <w:t xml:space="preserve">Organizuoto nusikalstamumo tyrimo 3-ioji valdyba pateikė šią informaciją: </w:t>
      </w:r>
    </w:p>
    <w:p w:rsidR="004F7425" w:rsidRDefault="004F7425" w:rsidP="004F7425">
      <w:pPr>
        <w:widowControl w:val="0"/>
        <w:autoSpaceDE w:val="0"/>
        <w:autoSpaceDN w:val="0"/>
        <w:adjustRightInd w:val="0"/>
        <w:spacing w:before="22"/>
        <w:ind w:left="2881" w:right="-20"/>
        <w:rPr>
          <w:color w:val="000000"/>
          <w:sz w:val="28"/>
          <w:szCs w:val="28"/>
        </w:rPr>
      </w:pPr>
      <w:r>
        <w:rPr>
          <w:b/>
          <w:bCs/>
          <w:color w:val="974705"/>
          <w:spacing w:val="1"/>
          <w:sz w:val="28"/>
          <w:szCs w:val="28"/>
        </w:rPr>
        <w:t>BE</w:t>
      </w:r>
      <w:r>
        <w:rPr>
          <w:b/>
          <w:bCs/>
          <w:color w:val="974705"/>
          <w:sz w:val="28"/>
          <w:szCs w:val="28"/>
        </w:rPr>
        <w:t>N</w:t>
      </w:r>
      <w:r>
        <w:rPr>
          <w:b/>
          <w:bCs/>
          <w:color w:val="974705"/>
          <w:spacing w:val="1"/>
          <w:sz w:val="28"/>
          <w:szCs w:val="28"/>
        </w:rPr>
        <w:t>D</w:t>
      </w:r>
      <w:r>
        <w:rPr>
          <w:b/>
          <w:bCs/>
          <w:color w:val="974705"/>
          <w:sz w:val="28"/>
          <w:szCs w:val="28"/>
        </w:rPr>
        <w:t>ROJI</w:t>
      </w:r>
      <w:r>
        <w:rPr>
          <w:b/>
          <w:bCs/>
          <w:color w:val="974705"/>
          <w:spacing w:val="-10"/>
          <w:sz w:val="28"/>
          <w:szCs w:val="28"/>
        </w:rPr>
        <w:t xml:space="preserve"> </w:t>
      </w:r>
      <w:r>
        <w:rPr>
          <w:b/>
          <w:bCs/>
          <w:color w:val="974705"/>
          <w:spacing w:val="-1"/>
          <w:sz w:val="28"/>
          <w:szCs w:val="28"/>
        </w:rPr>
        <w:t>S</w:t>
      </w:r>
      <w:r>
        <w:rPr>
          <w:b/>
          <w:bCs/>
          <w:color w:val="974705"/>
          <w:spacing w:val="2"/>
          <w:sz w:val="28"/>
          <w:szCs w:val="28"/>
        </w:rPr>
        <w:t>I</w:t>
      </w:r>
      <w:r>
        <w:rPr>
          <w:b/>
          <w:bCs/>
          <w:color w:val="974705"/>
          <w:spacing w:val="1"/>
          <w:sz w:val="28"/>
          <w:szCs w:val="28"/>
        </w:rPr>
        <w:t>T</w:t>
      </w:r>
      <w:r>
        <w:rPr>
          <w:b/>
          <w:bCs/>
          <w:color w:val="974705"/>
          <w:sz w:val="28"/>
          <w:szCs w:val="28"/>
        </w:rPr>
        <w:t>U</w:t>
      </w:r>
      <w:r>
        <w:rPr>
          <w:b/>
          <w:bCs/>
          <w:color w:val="974705"/>
          <w:spacing w:val="1"/>
          <w:sz w:val="28"/>
          <w:szCs w:val="28"/>
        </w:rPr>
        <w:t>A</w:t>
      </w:r>
      <w:r>
        <w:rPr>
          <w:b/>
          <w:bCs/>
          <w:color w:val="974705"/>
          <w:sz w:val="28"/>
          <w:szCs w:val="28"/>
        </w:rPr>
        <w:t>C</w:t>
      </w:r>
      <w:r>
        <w:rPr>
          <w:b/>
          <w:bCs/>
          <w:color w:val="974705"/>
          <w:spacing w:val="3"/>
          <w:sz w:val="28"/>
          <w:szCs w:val="28"/>
        </w:rPr>
        <w:t>I</w:t>
      </w:r>
      <w:r>
        <w:rPr>
          <w:b/>
          <w:bCs/>
          <w:color w:val="974705"/>
          <w:sz w:val="28"/>
          <w:szCs w:val="28"/>
        </w:rPr>
        <w:t>JOS</w:t>
      </w:r>
      <w:r>
        <w:rPr>
          <w:b/>
          <w:bCs/>
          <w:color w:val="974705"/>
          <w:spacing w:val="-13"/>
          <w:sz w:val="28"/>
          <w:szCs w:val="28"/>
        </w:rPr>
        <w:t xml:space="preserve"> </w:t>
      </w:r>
      <w:r>
        <w:rPr>
          <w:b/>
          <w:bCs/>
          <w:color w:val="974705"/>
          <w:sz w:val="28"/>
          <w:szCs w:val="28"/>
        </w:rPr>
        <w:t>A</w:t>
      </w:r>
      <w:r>
        <w:rPr>
          <w:b/>
          <w:bCs/>
          <w:color w:val="974705"/>
          <w:spacing w:val="3"/>
          <w:sz w:val="28"/>
          <w:szCs w:val="28"/>
        </w:rPr>
        <w:t>P</w:t>
      </w:r>
      <w:r>
        <w:rPr>
          <w:b/>
          <w:bCs/>
          <w:color w:val="974705"/>
          <w:spacing w:val="-3"/>
          <w:sz w:val="28"/>
          <w:szCs w:val="28"/>
        </w:rPr>
        <w:t>Ž</w:t>
      </w:r>
      <w:r>
        <w:rPr>
          <w:b/>
          <w:bCs/>
          <w:color w:val="974705"/>
          <w:sz w:val="28"/>
          <w:szCs w:val="28"/>
        </w:rPr>
        <w:t>V</w:t>
      </w:r>
      <w:r>
        <w:rPr>
          <w:b/>
          <w:bCs/>
          <w:color w:val="974705"/>
          <w:spacing w:val="1"/>
          <w:sz w:val="28"/>
          <w:szCs w:val="28"/>
        </w:rPr>
        <w:t>A</w:t>
      </w:r>
      <w:r>
        <w:rPr>
          <w:b/>
          <w:bCs/>
          <w:color w:val="974705"/>
          <w:spacing w:val="6"/>
          <w:sz w:val="28"/>
          <w:szCs w:val="28"/>
        </w:rPr>
        <w:t>L</w:t>
      </w:r>
      <w:r>
        <w:rPr>
          <w:b/>
          <w:bCs/>
          <w:color w:val="974705"/>
          <w:sz w:val="28"/>
          <w:szCs w:val="28"/>
        </w:rPr>
        <w:t>GA</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6" w:line="260" w:lineRule="exact"/>
        <w:rPr>
          <w:color w:val="000000"/>
          <w:sz w:val="26"/>
          <w:szCs w:val="26"/>
        </w:rPr>
      </w:pPr>
    </w:p>
    <w:p w:rsidR="004F7425" w:rsidRDefault="004F7425" w:rsidP="004F7425">
      <w:pPr>
        <w:widowControl w:val="0"/>
        <w:autoSpaceDE w:val="0"/>
        <w:autoSpaceDN w:val="0"/>
        <w:adjustRightInd w:val="0"/>
        <w:spacing w:line="275" w:lineRule="auto"/>
        <w:ind w:left="120" w:right="50" w:firstLine="721"/>
        <w:jc w:val="both"/>
        <w:rPr>
          <w:color w:val="000000"/>
        </w:rPr>
      </w:pPr>
      <w:r>
        <w:rPr>
          <w:color w:val="000000"/>
        </w:rPr>
        <w:t>2012</w:t>
      </w:r>
      <w:r>
        <w:rPr>
          <w:color w:val="000000"/>
          <w:spacing w:val="41"/>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9"/>
        </w:rPr>
        <w:t>i</w:t>
      </w:r>
      <w:r>
        <w:rPr>
          <w:color w:val="000000"/>
        </w:rPr>
        <w:t>s</w:t>
      </w:r>
      <w:r>
        <w:rPr>
          <w:color w:val="000000"/>
          <w:spacing w:val="34"/>
        </w:rPr>
        <w:t xml:space="preserve"> </w:t>
      </w:r>
      <w:r>
        <w:rPr>
          <w:color w:val="000000"/>
          <w:spacing w:val="6"/>
        </w:rPr>
        <w:t>I</w:t>
      </w:r>
      <w:r>
        <w:rPr>
          <w:color w:val="000000"/>
        </w:rPr>
        <w:t>n</w:t>
      </w:r>
      <w:r>
        <w:rPr>
          <w:color w:val="000000"/>
          <w:spacing w:val="-8"/>
        </w:rPr>
        <w:t>f</w:t>
      </w:r>
      <w:r>
        <w:rPr>
          <w:color w:val="000000"/>
          <w:spacing w:val="5"/>
        </w:rPr>
        <w:t>o</w:t>
      </w:r>
      <w:r>
        <w:rPr>
          <w:color w:val="000000"/>
          <w:spacing w:val="6"/>
        </w:rPr>
        <w:t>r</w:t>
      </w:r>
      <w:r>
        <w:rPr>
          <w:color w:val="000000"/>
          <w:spacing w:val="-9"/>
        </w:rPr>
        <w:t>m</w:t>
      </w:r>
      <w:r>
        <w:rPr>
          <w:color w:val="000000"/>
          <w:spacing w:val="-1"/>
        </w:rPr>
        <w:t>a</w:t>
      </w:r>
      <w:r>
        <w:rPr>
          <w:color w:val="000000"/>
          <w:spacing w:val="10"/>
        </w:rPr>
        <w:t>t</w:t>
      </w:r>
      <w:r>
        <w:rPr>
          <w:color w:val="000000"/>
          <w:spacing w:val="-9"/>
        </w:rPr>
        <w:t>i</w:t>
      </w:r>
      <w:r>
        <w:rPr>
          <w:color w:val="000000"/>
        </w:rPr>
        <w:t>k</w:t>
      </w:r>
      <w:r>
        <w:rPr>
          <w:color w:val="000000"/>
          <w:spacing w:val="5"/>
        </w:rPr>
        <w:t>o</w:t>
      </w:r>
      <w:r>
        <w:rPr>
          <w:color w:val="000000"/>
        </w:rPr>
        <w:t>s</w:t>
      </w:r>
      <w:r>
        <w:rPr>
          <w:color w:val="000000"/>
          <w:spacing w:val="38"/>
        </w:rPr>
        <w:t xml:space="preserve"> </w:t>
      </w:r>
      <w:r>
        <w:rPr>
          <w:color w:val="000000"/>
          <w:spacing w:val="-9"/>
        </w:rPr>
        <w:t>i</w:t>
      </w:r>
      <w:r>
        <w:rPr>
          <w:color w:val="000000"/>
        </w:rPr>
        <w:t>r</w:t>
      </w:r>
      <w:r>
        <w:rPr>
          <w:color w:val="000000"/>
          <w:spacing w:val="37"/>
        </w:rPr>
        <w:t xml:space="preserve"> </w:t>
      </w:r>
      <w:r>
        <w:rPr>
          <w:color w:val="000000"/>
          <w:spacing w:val="6"/>
        </w:rPr>
        <w:t>r</w:t>
      </w:r>
      <w:r>
        <w:rPr>
          <w:color w:val="000000"/>
          <w:spacing w:val="-10"/>
        </w:rPr>
        <w:t>y</w:t>
      </w:r>
      <w:r>
        <w:rPr>
          <w:color w:val="000000"/>
          <w:spacing w:val="2"/>
        </w:rPr>
        <w:t>š</w:t>
      </w:r>
      <w:r>
        <w:rPr>
          <w:color w:val="000000"/>
          <w:spacing w:val="-4"/>
        </w:rPr>
        <w:t>i</w:t>
      </w:r>
      <w:r>
        <w:rPr>
          <w:color w:val="000000"/>
        </w:rPr>
        <w:t>ų</w:t>
      </w:r>
      <w:r>
        <w:rPr>
          <w:color w:val="000000"/>
          <w:spacing w:val="36"/>
        </w:rPr>
        <w:t xml:space="preserve"> </w:t>
      </w:r>
      <w:r>
        <w:rPr>
          <w:color w:val="000000"/>
        </w:rPr>
        <w:t>d</w:t>
      </w:r>
      <w:r>
        <w:rPr>
          <w:color w:val="000000"/>
          <w:spacing w:val="-1"/>
        </w:rPr>
        <w:t>e</w:t>
      </w:r>
      <w:r>
        <w:rPr>
          <w:color w:val="000000"/>
        </w:rPr>
        <w:t>p</w:t>
      </w:r>
      <w:r>
        <w:rPr>
          <w:color w:val="000000"/>
          <w:spacing w:val="-1"/>
        </w:rPr>
        <w:t>a</w:t>
      </w:r>
      <w:r>
        <w:rPr>
          <w:color w:val="000000"/>
          <w:spacing w:val="1"/>
        </w:rPr>
        <w:t>r</w:t>
      </w:r>
      <w:r>
        <w:rPr>
          <w:color w:val="000000"/>
          <w:spacing w:val="5"/>
        </w:rPr>
        <w:t>t</w:t>
      </w:r>
      <w:r>
        <w:rPr>
          <w:color w:val="000000"/>
          <w:spacing w:val="4"/>
        </w:rPr>
        <w:t>a</w:t>
      </w:r>
      <w:r>
        <w:rPr>
          <w:color w:val="000000"/>
          <w:spacing w:val="-9"/>
        </w:rPr>
        <w:t>m</w:t>
      </w:r>
      <w:r>
        <w:rPr>
          <w:color w:val="000000"/>
          <w:spacing w:val="4"/>
        </w:rPr>
        <w:t>e</w:t>
      </w:r>
      <w:r>
        <w:rPr>
          <w:color w:val="000000"/>
          <w:spacing w:val="-5"/>
        </w:rPr>
        <w:t>n</w:t>
      </w:r>
      <w:r>
        <w:rPr>
          <w:color w:val="000000"/>
          <w:spacing w:val="5"/>
        </w:rPr>
        <w:t>t</w:t>
      </w:r>
      <w:r>
        <w:rPr>
          <w:color w:val="000000"/>
        </w:rPr>
        <w:t>o</w:t>
      </w:r>
      <w:r>
        <w:rPr>
          <w:color w:val="000000"/>
          <w:spacing w:val="31"/>
        </w:rPr>
        <w:t xml:space="preserve"> </w:t>
      </w:r>
      <w:r>
        <w:rPr>
          <w:color w:val="000000"/>
        </w:rPr>
        <w:t>p</w:t>
      </w:r>
      <w:r>
        <w:rPr>
          <w:color w:val="000000"/>
          <w:spacing w:val="6"/>
        </w:rPr>
        <w:t>r</w:t>
      </w:r>
      <w:r>
        <w:rPr>
          <w:color w:val="000000"/>
          <w:spacing w:val="-9"/>
        </w:rPr>
        <w:t>i</w:t>
      </w:r>
      <w:r>
        <w:rPr>
          <w:color w:val="000000"/>
        </w:rPr>
        <w:t>e</w:t>
      </w:r>
      <w:r>
        <w:rPr>
          <w:color w:val="000000"/>
          <w:spacing w:val="35"/>
        </w:rPr>
        <w:t xml:space="preserve"> </w:t>
      </w:r>
      <w:r>
        <w:rPr>
          <w:color w:val="000000"/>
          <w:spacing w:val="4"/>
        </w:rPr>
        <w:t>V</w:t>
      </w:r>
      <w:r>
        <w:rPr>
          <w:color w:val="000000"/>
          <w:spacing w:val="-9"/>
        </w:rPr>
        <w:t>i</w:t>
      </w:r>
      <w:r>
        <w:rPr>
          <w:color w:val="000000"/>
          <w:spacing w:val="5"/>
        </w:rPr>
        <w:t>d</w:t>
      </w:r>
      <w:r>
        <w:rPr>
          <w:color w:val="000000"/>
          <w:spacing w:val="-1"/>
        </w:rPr>
        <w:t>a</w:t>
      </w:r>
      <w:r>
        <w:rPr>
          <w:color w:val="000000"/>
        </w:rPr>
        <w:t>us</w:t>
      </w:r>
      <w:r>
        <w:rPr>
          <w:color w:val="000000"/>
          <w:spacing w:val="34"/>
        </w:rPr>
        <w:t xml:space="preserve"> </w:t>
      </w:r>
      <w:r>
        <w:rPr>
          <w:color w:val="000000"/>
          <w:spacing w:val="1"/>
        </w:rPr>
        <w:t>r</w:t>
      </w:r>
      <w:r>
        <w:rPr>
          <w:color w:val="000000"/>
          <w:spacing w:val="4"/>
        </w:rPr>
        <w:t>e</w:t>
      </w:r>
      <w:r>
        <w:rPr>
          <w:color w:val="000000"/>
          <w:spacing w:val="-9"/>
        </w:rPr>
        <w:t>i</w:t>
      </w:r>
      <w:r>
        <w:rPr>
          <w:color w:val="000000"/>
          <w:spacing w:val="5"/>
        </w:rPr>
        <w:t>k</w:t>
      </w:r>
      <w:r>
        <w:rPr>
          <w:color w:val="000000"/>
          <w:spacing w:val="4"/>
        </w:rPr>
        <w:t>a</w:t>
      </w:r>
      <w:r>
        <w:rPr>
          <w:color w:val="000000"/>
          <w:spacing w:val="-4"/>
        </w:rPr>
        <w:t>l</w:t>
      </w:r>
      <w:r>
        <w:rPr>
          <w:color w:val="000000"/>
        </w:rPr>
        <w:t>ų</w:t>
      </w:r>
      <w:r>
        <w:rPr>
          <w:color w:val="000000"/>
          <w:spacing w:val="41"/>
        </w:rPr>
        <w:t xml:space="preserve"> </w:t>
      </w:r>
      <w:r>
        <w:rPr>
          <w:color w:val="000000"/>
          <w:spacing w:val="-4"/>
        </w:rPr>
        <w:t>mi</w:t>
      </w:r>
      <w:r>
        <w:rPr>
          <w:color w:val="000000"/>
          <w:spacing w:val="5"/>
        </w:rPr>
        <w:t>n</w:t>
      </w:r>
      <w:r>
        <w:rPr>
          <w:color w:val="000000"/>
          <w:spacing w:val="-4"/>
        </w:rPr>
        <w:t>i</w:t>
      </w:r>
      <w:r>
        <w:rPr>
          <w:color w:val="000000"/>
          <w:spacing w:val="-2"/>
        </w:rPr>
        <w:t>s</w:t>
      </w:r>
      <w:r>
        <w:rPr>
          <w:color w:val="000000"/>
          <w:spacing w:val="5"/>
        </w:rPr>
        <w:t>t</w:t>
      </w:r>
      <w:r>
        <w:rPr>
          <w:color w:val="000000"/>
          <w:spacing w:val="-1"/>
        </w:rPr>
        <w:t>e</w:t>
      </w:r>
      <w:r>
        <w:rPr>
          <w:color w:val="000000"/>
          <w:spacing w:val="6"/>
        </w:rPr>
        <w:t>r</w:t>
      </w:r>
      <w:r>
        <w:rPr>
          <w:color w:val="000000"/>
          <w:spacing w:val="-4"/>
        </w:rPr>
        <w:t>i</w:t>
      </w:r>
      <w:r>
        <w:rPr>
          <w:color w:val="000000"/>
          <w:spacing w:val="-9"/>
        </w:rPr>
        <w:t>j</w:t>
      </w:r>
      <w:r>
        <w:rPr>
          <w:color w:val="000000"/>
          <w:spacing w:val="5"/>
        </w:rPr>
        <w:t>o</w:t>
      </w:r>
      <w:r>
        <w:rPr>
          <w:color w:val="000000"/>
        </w:rPr>
        <w:t>s</w:t>
      </w:r>
      <w:r>
        <w:rPr>
          <w:color w:val="000000"/>
          <w:spacing w:val="34"/>
        </w:rPr>
        <w:t xml:space="preserve"> </w:t>
      </w:r>
      <w:r>
        <w:rPr>
          <w:color w:val="000000"/>
          <w:spacing w:val="1"/>
        </w:rPr>
        <w:t>(</w:t>
      </w:r>
      <w:r>
        <w:rPr>
          <w:color w:val="000000"/>
          <w:spacing w:val="5"/>
        </w:rPr>
        <w:t>to</w:t>
      </w:r>
      <w:r>
        <w:rPr>
          <w:color w:val="000000"/>
          <w:spacing w:val="-4"/>
        </w:rPr>
        <w:t>l</w:t>
      </w:r>
      <w:r>
        <w:rPr>
          <w:color w:val="000000"/>
          <w:spacing w:val="-9"/>
        </w:rPr>
        <w:t>i</w:t>
      </w:r>
      <w:r>
        <w:rPr>
          <w:color w:val="000000"/>
          <w:spacing w:val="-1"/>
        </w:rPr>
        <w:t>a</w:t>
      </w:r>
      <w:r>
        <w:rPr>
          <w:color w:val="000000"/>
        </w:rPr>
        <w:t>u</w:t>
      </w:r>
      <w:r>
        <w:rPr>
          <w:color w:val="000000"/>
          <w:spacing w:val="49"/>
        </w:rPr>
        <w:t xml:space="preserve"> </w:t>
      </w:r>
      <w:r>
        <w:rPr>
          <w:color w:val="000000"/>
        </w:rPr>
        <w:t xml:space="preserve">– </w:t>
      </w:r>
      <w:r>
        <w:rPr>
          <w:color w:val="000000"/>
          <w:spacing w:val="1"/>
        </w:rPr>
        <w:t>I</w:t>
      </w:r>
      <w:r>
        <w:rPr>
          <w:color w:val="000000"/>
          <w:spacing w:val="-2"/>
        </w:rPr>
        <w:t>R</w:t>
      </w:r>
      <w:r>
        <w:rPr>
          <w:color w:val="000000"/>
        </w:rPr>
        <w:t>D</w:t>
      </w:r>
      <w:r>
        <w:rPr>
          <w:color w:val="000000"/>
          <w:spacing w:val="16"/>
        </w:rPr>
        <w:t xml:space="preserve"> </w:t>
      </w:r>
      <w:r>
        <w:rPr>
          <w:color w:val="000000"/>
        </w:rPr>
        <w:t>p</w:t>
      </w:r>
      <w:r>
        <w:rPr>
          <w:color w:val="000000"/>
          <w:spacing w:val="6"/>
        </w:rPr>
        <w:t>r</w:t>
      </w:r>
      <w:r>
        <w:rPr>
          <w:color w:val="000000"/>
          <w:spacing w:val="-9"/>
        </w:rPr>
        <w:t>i</w:t>
      </w:r>
      <w:r>
        <w:rPr>
          <w:color w:val="000000"/>
        </w:rPr>
        <w:t>e</w:t>
      </w:r>
      <w:r>
        <w:rPr>
          <w:color w:val="000000"/>
          <w:spacing w:val="20"/>
        </w:rPr>
        <w:t xml:space="preserve"> </w:t>
      </w:r>
      <w:r>
        <w:rPr>
          <w:color w:val="000000"/>
        </w:rPr>
        <w:t>V</w:t>
      </w:r>
      <w:r>
        <w:rPr>
          <w:color w:val="000000"/>
          <w:spacing w:val="-2"/>
        </w:rPr>
        <w:t>RM</w:t>
      </w:r>
      <w:r>
        <w:rPr>
          <w:color w:val="000000"/>
        </w:rPr>
        <w:t>)</w:t>
      </w:r>
      <w:r>
        <w:rPr>
          <w:color w:val="000000"/>
          <w:spacing w:val="18"/>
        </w:rPr>
        <w:t xml:space="preserve"> </w:t>
      </w:r>
      <w:r>
        <w:rPr>
          <w:color w:val="000000"/>
        </w:rPr>
        <w:t>du</w:t>
      </w:r>
      <w:r>
        <w:rPr>
          <w:color w:val="000000"/>
          <w:spacing w:val="9"/>
        </w:rPr>
        <w:t>o</w:t>
      </w:r>
      <w:r>
        <w:rPr>
          <w:color w:val="000000"/>
          <w:spacing w:val="-9"/>
        </w:rPr>
        <w:t>m</w:t>
      </w:r>
      <w:r>
        <w:rPr>
          <w:color w:val="000000"/>
          <w:spacing w:val="4"/>
        </w:rPr>
        <w:t>e</w:t>
      </w:r>
      <w:r>
        <w:rPr>
          <w:color w:val="000000"/>
        </w:rPr>
        <w:t>ni</w:t>
      </w:r>
      <w:r>
        <w:rPr>
          <w:color w:val="000000"/>
          <w:spacing w:val="1"/>
        </w:rPr>
        <w:t>m</w:t>
      </w:r>
      <w:r>
        <w:rPr>
          <w:color w:val="000000"/>
          <w:spacing w:val="-4"/>
        </w:rPr>
        <w:t>i</w:t>
      </w:r>
      <w:r>
        <w:rPr>
          <w:color w:val="000000"/>
        </w:rPr>
        <w:t>s</w:t>
      </w:r>
      <w:r>
        <w:rPr>
          <w:color w:val="000000"/>
          <w:spacing w:val="1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25"/>
        </w:rPr>
        <w:t xml:space="preserve"> </w:t>
      </w:r>
      <w:r>
        <w:rPr>
          <w:color w:val="000000"/>
        </w:rPr>
        <w:t>v</w:t>
      </w:r>
      <w:r>
        <w:rPr>
          <w:color w:val="000000"/>
          <w:spacing w:val="-4"/>
        </w:rPr>
        <w:t>i</w:t>
      </w:r>
      <w:r>
        <w:rPr>
          <w:color w:val="000000"/>
          <w:spacing w:val="-2"/>
        </w:rPr>
        <w:t>s</w:t>
      </w:r>
      <w:r>
        <w:rPr>
          <w:color w:val="000000"/>
        </w:rPr>
        <w:t>ų</w:t>
      </w:r>
      <w:r>
        <w:rPr>
          <w:color w:val="000000"/>
          <w:spacing w:val="21"/>
        </w:rPr>
        <w:t xml:space="preserve"> </w:t>
      </w:r>
      <w:r>
        <w:rPr>
          <w:color w:val="000000"/>
          <w:spacing w:val="-5"/>
        </w:rPr>
        <w:t>n</w:t>
      </w:r>
      <w:r>
        <w:rPr>
          <w:color w:val="000000"/>
          <w:spacing w:val="5"/>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1"/>
        </w:rPr>
        <w:t>a</w:t>
      </w:r>
      <w:r>
        <w:rPr>
          <w:color w:val="000000"/>
          <w:spacing w:val="-9"/>
        </w:rPr>
        <w:t>m</w:t>
      </w:r>
      <w:r>
        <w:rPr>
          <w:color w:val="000000"/>
        </w:rPr>
        <w:t>ų</w:t>
      </w:r>
      <w:r>
        <w:rPr>
          <w:color w:val="000000"/>
          <w:spacing w:val="26"/>
        </w:rPr>
        <w:t xml:space="preserve"> </w:t>
      </w:r>
      <w:r>
        <w:rPr>
          <w:color w:val="000000"/>
          <w:spacing w:val="-5"/>
        </w:rPr>
        <w:t>v</w:t>
      </w:r>
      <w:r>
        <w:rPr>
          <w:color w:val="000000"/>
          <w:spacing w:val="4"/>
        </w:rPr>
        <w:t>e</w:t>
      </w:r>
      <w:r>
        <w:rPr>
          <w:color w:val="000000"/>
          <w:spacing w:val="-4"/>
        </w:rPr>
        <w:t>i</w:t>
      </w:r>
      <w:r>
        <w:rPr>
          <w:color w:val="000000"/>
        </w:rPr>
        <w:t>kų</w:t>
      </w:r>
      <w:r>
        <w:rPr>
          <w:color w:val="000000"/>
          <w:spacing w:val="17"/>
        </w:rPr>
        <w:t xml:space="preserve"> </w:t>
      </w:r>
      <w:r>
        <w:rPr>
          <w:color w:val="000000"/>
        </w:rPr>
        <w:t>u</w:t>
      </w:r>
      <w:r>
        <w:rPr>
          <w:color w:val="000000"/>
          <w:spacing w:val="-1"/>
        </w:rPr>
        <w:t>ž</w:t>
      </w:r>
      <w:r>
        <w:rPr>
          <w:color w:val="000000"/>
          <w:spacing w:val="1"/>
        </w:rPr>
        <w:t>r</w:t>
      </w:r>
      <w:r>
        <w:rPr>
          <w:color w:val="000000"/>
          <w:spacing w:val="-1"/>
        </w:rPr>
        <w:t>e</w:t>
      </w:r>
      <w:r>
        <w:rPr>
          <w:color w:val="000000"/>
          <w:spacing w:val="5"/>
        </w:rPr>
        <w:t>g</w:t>
      </w:r>
      <w:r>
        <w:rPr>
          <w:color w:val="000000"/>
          <w:spacing w:val="-4"/>
        </w:rPr>
        <w:t>i</w:t>
      </w:r>
      <w:r>
        <w:rPr>
          <w:color w:val="000000"/>
          <w:spacing w:val="-2"/>
        </w:rPr>
        <w:t>s</w:t>
      </w:r>
      <w:r>
        <w:rPr>
          <w:color w:val="000000"/>
          <w:spacing w:val="5"/>
        </w:rPr>
        <w:t>t</w:t>
      </w:r>
      <w:r>
        <w:rPr>
          <w:color w:val="000000"/>
          <w:spacing w:val="1"/>
        </w:rPr>
        <w:t>r</w:t>
      </w:r>
      <w:r>
        <w:rPr>
          <w:color w:val="000000"/>
        </w:rPr>
        <w:t>uo</w:t>
      </w:r>
      <w:r>
        <w:rPr>
          <w:color w:val="000000"/>
          <w:spacing w:val="5"/>
        </w:rPr>
        <w:t>t</w:t>
      </w:r>
      <w:r>
        <w:rPr>
          <w:color w:val="000000"/>
        </w:rPr>
        <w:t>a</w:t>
      </w:r>
      <w:r>
        <w:rPr>
          <w:color w:val="000000"/>
          <w:spacing w:val="16"/>
        </w:rPr>
        <w:t xml:space="preserve"> </w:t>
      </w:r>
      <w:r>
        <w:rPr>
          <w:color w:val="000000"/>
        </w:rPr>
        <w:t>3</w:t>
      </w:r>
      <w:r>
        <w:rPr>
          <w:color w:val="000000"/>
          <w:spacing w:val="2"/>
        </w:rPr>
        <w:t>,</w:t>
      </w:r>
      <w:r>
        <w:rPr>
          <w:color w:val="000000"/>
        </w:rPr>
        <w:t>7</w:t>
      </w:r>
      <w:r>
        <w:rPr>
          <w:color w:val="000000"/>
          <w:spacing w:val="17"/>
        </w:rPr>
        <w:t xml:space="preserve"> </w:t>
      </w:r>
      <w:r>
        <w:rPr>
          <w:color w:val="000000"/>
        </w:rPr>
        <w:t>%</w:t>
      </w:r>
      <w:r>
        <w:rPr>
          <w:color w:val="000000"/>
          <w:spacing w:val="18"/>
        </w:rPr>
        <w:t xml:space="preserve"> </w:t>
      </w:r>
      <w:r>
        <w:rPr>
          <w:color w:val="000000"/>
        </w:rPr>
        <w:t>d</w:t>
      </w:r>
      <w:r>
        <w:rPr>
          <w:color w:val="000000"/>
          <w:spacing w:val="-1"/>
        </w:rPr>
        <w:t>a</w:t>
      </w:r>
      <w:r>
        <w:rPr>
          <w:color w:val="000000"/>
        </w:rPr>
        <w:t>ug</w:t>
      </w:r>
      <w:r>
        <w:rPr>
          <w:color w:val="000000"/>
          <w:spacing w:val="-9"/>
        </w:rPr>
        <w:t>i</w:t>
      </w:r>
      <w:r>
        <w:rPr>
          <w:color w:val="000000"/>
          <w:spacing w:val="-1"/>
        </w:rPr>
        <w:t>a</w:t>
      </w:r>
      <w:r>
        <w:rPr>
          <w:color w:val="000000"/>
        </w:rPr>
        <w:t>u</w:t>
      </w:r>
      <w:r>
        <w:rPr>
          <w:color w:val="000000"/>
          <w:spacing w:val="26"/>
        </w:rPr>
        <w:t xml:space="preserve"> </w:t>
      </w:r>
      <w:r>
        <w:rPr>
          <w:color w:val="000000"/>
          <w:spacing w:val="-5"/>
        </w:rPr>
        <w:t>n</w:t>
      </w:r>
      <w:r>
        <w:rPr>
          <w:color w:val="000000"/>
          <w:spacing w:val="-1"/>
        </w:rPr>
        <w:t>e</w:t>
      </w:r>
      <w:r>
        <w:rPr>
          <w:color w:val="000000"/>
        </w:rPr>
        <w:t>gu</w:t>
      </w:r>
    </w:p>
    <w:p w:rsidR="004F7425" w:rsidRDefault="004F7425" w:rsidP="004F7425">
      <w:pPr>
        <w:widowControl w:val="0"/>
        <w:autoSpaceDE w:val="0"/>
        <w:autoSpaceDN w:val="0"/>
        <w:adjustRightInd w:val="0"/>
        <w:spacing w:before="1"/>
        <w:ind w:left="120" w:right="-20"/>
        <w:rPr>
          <w:color w:val="000000"/>
        </w:rPr>
      </w:pPr>
      <w:r>
        <w:rPr>
          <w:color w:val="000000"/>
        </w:rPr>
        <w:t>2011</w:t>
      </w:r>
      <w:r>
        <w:rPr>
          <w:color w:val="000000"/>
          <w:spacing w:val="36"/>
        </w:rPr>
        <w:t xml:space="preserve"> </w:t>
      </w:r>
      <w:r>
        <w:rPr>
          <w:color w:val="000000"/>
          <w:spacing w:val="-9"/>
        </w:rPr>
        <w:t>m</w:t>
      </w:r>
      <w:r>
        <w:rPr>
          <w:color w:val="000000"/>
        </w:rPr>
        <w:t>.</w:t>
      </w:r>
      <w:r>
        <w:rPr>
          <w:color w:val="000000"/>
          <w:spacing w:val="33"/>
        </w:rPr>
        <w:t xml:space="preserve"> </w:t>
      </w:r>
      <w:r>
        <w:rPr>
          <w:color w:val="000000"/>
          <w:spacing w:val="1"/>
        </w:rPr>
        <w:t>(</w:t>
      </w:r>
      <w:r>
        <w:rPr>
          <w:color w:val="000000"/>
          <w:spacing w:val="-1"/>
        </w:rPr>
        <w:t>a</w:t>
      </w:r>
      <w:r>
        <w:rPr>
          <w:color w:val="000000"/>
          <w:spacing w:val="10"/>
        </w:rPr>
        <w:t>t</w:t>
      </w:r>
      <w:r>
        <w:rPr>
          <w:color w:val="000000"/>
          <w:spacing w:val="-9"/>
        </w:rPr>
        <w:t>i</w:t>
      </w:r>
      <w:r>
        <w:rPr>
          <w:color w:val="000000"/>
          <w:spacing w:val="5"/>
        </w:rPr>
        <w:t>t</w:t>
      </w:r>
      <w:r>
        <w:rPr>
          <w:color w:val="000000"/>
          <w:spacing w:val="-4"/>
        </w:rPr>
        <w:t>i</w:t>
      </w:r>
      <w:r>
        <w:rPr>
          <w:color w:val="000000"/>
          <w:spacing w:val="-5"/>
        </w:rPr>
        <w:t>n</w:t>
      </w:r>
      <w:r>
        <w:rPr>
          <w:color w:val="000000"/>
          <w:spacing w:val="5"/>
        </w:rPr>
        <w:t>k</w:t>
      </w:r>
      <w:r>
        <w:rPr>
          <w:color w:val="000000"/>
          <w:spacing w:val="4"/>
        </w:rPr>
        <w:t>a</w:t>
      </w:r>
      <w:r>
        <w:rPr>
          <w:color w:val="000000"/>
          <w:spacing w:val="-4"/>
        </w:rPr>
        <w:t>m</w:t>
      </w:r>
      <w:r>
        <w:rPr>
          <w:color w:val="000000"/>
          <w:spacing w:val="4"/>
        </w:rPr>
        <w:t>a</w:t>
      </w:r>
      <w:r>
        <w:rPr>
          <w:color w:val="000000"/>
        </w:rPr>
        <w:t>i</w:t>
      </w:r>
      <w:r>
        <w:rPr>
          <w:color w:val="000000"/>
          <w:spacing w:val="27"/>
        </w:rPr>
        <w:t xml:space="preserve"> </w:t>
      </w:r>
      <w:r>
        <w:rPr>
          <w:color w:val="000000"/>
        </w:rPr>
        <w:t>82</w:t>
      </w:r>
      <w:r>
        <w:rPr>
          <w:color w:val="000000"/>
          <w:spacing w:val="31"/>
        </w:rPr>
        <w:t xml:space="preserve"> </w:t>
      </w:r>
      <w:r>
        <w:rPr>
          <w:color w:val="000000"/>
        </w:rPr>
        <w:t>564</w:t>
      </w:r>
      <w:r>
        <w:rPr>
          <w:color w:val="000000"/>
          <w:spacing w:val="40"/>
        </w:rPr>
        <w:t xml:space="preserve"> </w:t>
      </w:r>
      <w:r>
        <w:rPr>
          <w:color w:val="000000"/>
          <w:spacing w:val="-9"/>
        </w:rPr>
        <w:t>i</w:t>
      </w:r>
      <w:r>
        <w:rPr>
          <w:color w:val="000000"/>
        </w:rPr>
        <w:t>r</w:t>
      </w:r>
      <w:r>
        <w:rPr>
          <w:color w:val="000000"/>
          <w:spacing w:val="37"/>
        </w:rPr>
        <w:t xml:space="preserve"> </w:t>
      </w:r>
      <w:r>
        <w:rPr>
          <w:color w:val="000000"/>
        </w:rPr>
        <w:t>79</w:t>
      </w:r>
      <w:r>
        <w:rPr>
          <w:color w:val="000000"/>
          <w:spacing w:val="31"/>
        </w:rPr>
        <w:t xml:space="preserve"> </w:t>
      </w:r>
      <w:r>
        <w:rPr>
          <w:color w:val="000000"/>
        </w:rPr>
        <w:t>582)</w:t>
      </w:r>
      <w:r>
        <w:rPr>
          <w:color w:val="000000"/>
          <w:spacing w:val="32"/>
        </w:rPr>
        <w:t xml:space="preserve"> </w:t>
      </w:r>
      <w:r>
        <w:rPr>
          <w:color w:val="000000"/>
          <w:spacing w:val="-1"/>
        </w:rPr>
        <w:t>a</w:t>
      </w:r>
      <w:r>
        <w:rPr>
          <w:color w:val="000000"/>
          <w:spacing w:val="6"/>
        </w:rPr>
        <w:t>r</w:t>
      </w:r>
      <w:r>
        <w:rPr>
          <w:color w:val="000000"/>
          <w:spacing w:val="-5"/>
        </w:rPr>
        <w:t>b</w:t>
      </w:r>
      <w:r>
        <w:rPr>
          <w:color w:val="000000"/>
        </w:rPr>
        <w:t>a</w:t>
      </w:r>
      <w:r>
        <w:rPr>
          <w:color w:val="000000"/>
          <w:spacing w:val="30"/>
        </w:rPr>
        <w:t xml:space="preserve"> </w:t>
      </w:r>
      <w:r>
        <w:rPr>
          <w:color w:val="000000"/>
        </w:rPr>
        <w:t>12</w:t>
      </w:r>
      <w:r>
        <w:rPr>
          <w:color w:val="000000"/>
          <w:spacing w:val="40"/>
        </w:rPr>
        <w:t xml:space="preserve"> </w:t>
      </w:r>
      <w:r>
        <w:rPr>
          <w:color w:val="000000"/>
        </w:rPr>
        <w:t>%</w:t>
      </w:r>
      <w:r>
        <w:rPr>
          <w:color w:val="000000"/>
          <w:spacing w:val="32"/>
        </w:rPr>
        <w:t xml:space="preserve"> </w:t>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rPr>
        <w:t>u</w:t>
      </w:r>
      <w:r>
        <w:rPr>
          <w:color w:val="000000"/>
          <w:spacing w:val="40"/>
        </w:rPr>
        <w:t xml:space="preserve"> </w:t>
      </w:r>
      <w:r>
        <w:rPr>
          <w:color w:val="000000"/>
          <w:spacing w:val="-5"/>
        </w:rPr>
        <w:t>n</w:t>
      </w:r>
      <w:r>
        <w:rPr>
          <w:color w:val="000000"/>
          <w:spacing w:val="-1"/>
        </w:rPr>
        <w:t>e</w:t>
      </w:r>
      <w:r>
        <w:rPr>
          <w:color w:val="000000"/>
        </w:rPr>
        <w:t>gu</w:t>
      </w:r>
      <w:r>
        <w:rPr>
          <w:color w:val="000000"/>
          <w:spacing w:val="31"/>
        </w:rPr>
        <w:t xml:space="preserve"> </w:t>
      </w:r>
      <w:r>
        <w:rPr>
          <w:color w:val="000000"/>
        </w:rPr>
        <w:t>2002</w:t>
      </w:r>
      <w:r>
        <w:rPr>
          <w:color w:val="000000"/>
          <w:spacing w:val="40"/>
        </w:rPr>
        <w:t xml:space="preserve"> </w:t>
      </w:r>
      <w:r>
        <w:rPr>
          <w:color w:val="000000"/>
          <w:spacing w:val="-9"/>
        </w:rPr>
        <w:t>m</w:t>
      </w:r>
      <w:r>
        <w:rPr>
          <w:color w:val="000000"/>
        </w:rPr>
        <w:t>.</w:t>
      </w:r>
      <w:r>
        <w:rPr>
          <w:color w:val="000000"/>
          <w:spacing w:val="33"/>
        </w:rPr>
        <w:t xml:space="preserve"> </w:t>
      </w:r>
      <w:r>
        <w:rPr>
          <w:color w:val="000000"/>
          <w:spacing w:val="1"/>
        </w:rPr>
        <w:t>(</w:t>
      </w:r>
      <w:r>
        <w:rPr>
          <w:color w:val="000000"/>
        </w:rPr>
        <w:t>72</w:t>
      </w:r>
      <w:r>
        <w:rPr>
          <w:color w:val="000000"/>
          <w:spacing w:val="31"/>
        </w:rPr>
        <w:t xml:space="preserve"> </w:t>
      </w:r>
      <w:r>
        <w:rPr>
          <w:color w:val="000000"/>
        </w:rPr>
        <w:t>64</w:t>
      </w:r>
      <w:r>
        <w:rPr>
          <w:color w:val="000000"/>
          <w:spacing w:val="11"/>
        </w:rPr>
        <w:t>6</w:t>
      </w:r>
      <w:r>
        <w:rPr>
          <w:color w:val="000000"/>
          <w:spacing w:val="1"/>
        </w:rPr>
        <w:t>)</w:t>
      </w:r>
      <w:r>
        <w:rPr>
          <w:color w:val="000000"/>
        </w:rPr>
        <w:t>,</w:t>
      </w:r>
      <w:r>
        <w:rPr>
          <w:color w:val="000000"/>
          <w:spacing w:val="33"/>
        </w:rPr>
        <w:t xml:space="preserve"> </w:t>
      </w:r>
      <w:r>
        <w:rPr>
          <w:color w:val="000000"/>
        </w:rPr>
        <w:t>ku</w:t>
      </w:r>
      <w:r>
        <w:rPr>
          <w:color w:val="000000"/>
          <w:spacing w:val="9"/>
        </w:rPr>
        <w:t>o</w:t>
      </w:r>
      <w:r>
        <w:rPr>
          <w:color w:val="000000"/>
          <w:spacing w:val="-9"/>
        </w:rPr>
        <w:t>m</w:t>
      </w:r>
      <w:r>
        <w:rPr>
          <w:color w:val="000000"/>
          <w:spacing w:val="-1"/>
        </w:rPr>
        <w:t>e</w:t>
      </w:r>
      <w:r>
        <w:rPr>
          <w:color w:val="000000"/>
        </w:rPr>
        <w:t>t</w:t>
      </w:r>
      <w:r>
        <w:rPr>
          <w:color w:val="000000"/>
          <w:spacing w:val="36"/>
        </w:rPr>
        <w:t xml:space="preserve"> </w:t>
      </w:r>
      <w:r>
        <w:rPr>
          <w:color w:val="000000"/>
        </w:rPr>
        <w:t>p</w:t>
      </w:r>
      <w:r>
        <w:rPr>
          <w:color w:val="000000"/>
          <w:spacing w:val="-1"/>
        </w:rPr>
        <w:t>e</w:t>
      </w:r>
      <w:r>
        <w:rPr>
          <w:color w:val="000000"/>
        </w:rPr>
        <w:t>r</w:t>
      </w:r>
    </w:p>
    <w:p w:rsidR="004F7425" w:rsidRDefault="004F7425" w:rsidP="004F7425">
      <w:pPr>
        <w:widowControl w:val="0"/>
        <w:autoSpaceDE w:val="0"/>
        <w:autoSpaceDN w:val="0"/>
        <w:adjustRightInd w:val="0"/>
        <w:spacing w:before="41"/>
        <w:ind w:left="120" w:right="-20"/>
        <w:rPr>
          <w:color w:val="000000"/>
        </w:rPr>
      </w:pPr>
      <w:r>
        <w:rPr>
          <w:color w:val="000000"/>
        </w:rPr>
        <w:t>p</w:t>
      </w:r>
      <w:r>
        <w:rPr>
          <w:color w:val="000000"/>
          <w:spacing w:val="-1"/>
        </w:rPr>
        <w:t>a</w:t>
      </w:r>
      <w:r>
        <w:rPr>
          <w:color w:val="000000"/>
          <w:spacing w:val="-2"/>
        </w:rPr>
        <w:t>s</w:t>
      </w:r>
      <w:r>
        <w:rPr>
          <w:color w:val="000000"/>
        </w:rPr>
        <w:t>ku</w:t>
      </w:r>
      <w:r>
        <w:rPr>
          <w:color w:val="000000"/>
          <w:spacing w:val="5"/>
        </w:rPr>
        <w:t>t</w:t>
      </w:r>
      <w:r>
        <w:rPr>
          <w:color w:val="000000"/>
          <w:spacing w:val="-4"/>
        </w:rPr>
        <w:t>i</w:t>
      </w:r>
      <w:r>
        <w:rPr>
          <w:color w:val="000000"/>
        </w:rPr>
        <w:t>nį</w:t>
      </w:r>
      <w:r>
        <w:rPr>
          <w:color w:val="000000"/>
          <w:spacing w:val="-2"/>
        </w:rPr>
        <w:t xml:space="preserve"> </w:t>
      </w:r>
      <w:r>
        <w:rPr>
          <w:color w:val="000000"/>
        </w:rPr>
        <w:t>d</w:t>
      </w:r>
      <w:r>
        <w:rPr>
          <w:color w:val="000000"/>
          <w:spacing w:val="-1"/>
        </w:rPr>
        <w:t>e</w:t>
      </w:r>
      <w:r>
        <w:rPr>
          <w:color w:val="000000"/>
          <w:spacing w:val="2"/>
        </w:rPr>
        <w:t>š</w:t>
      </w:r>
      <w:r>
        <w:rPr>
          <w:color w:val="000000"/>
        </w:rPr>
        <w:t>i</w:t>
      </w:r>
      <w:r>
        <w:rPr>
          <w:color w:val="000000"/>
          <w:spacing w:val="-9"/>
        </w:rPr>
        <w:t>m</w:t>
      </w:r>
      <w:r>
        <w:rPr>
          <w:color w:val="000000"/>
          <w:spacing w:val="10"/>
        </w:rPr>
        <w:t>t</w:t>
      </w:r>
      <w:r>
        <w:rPr>
          <w:color w:val="000000"/>
          <w:spacing w:val="-4"/>
        </w:rPr>
        <w:t>m</w:t>
      </w:r>
      <w:r>
        <w:rPr>
          <w:color w:val="000000"/>
          <w:spacing w:val="-1"/>
        </w:rPr>
        <w:t>e</w:t>
      </w:r>
      <w:r>
        <w:rPr>
          <w:color w:val="000000"/>
          <w:spacing w:val="10"/>
        </w:rPr>
        <w:t>t</w:t>
      </w:r>
      <w:r>
        <w:rPr>
          <w:color w:val="000000"/>
        </w:rPr>
        <w:t>į</w:t>
      </w:r>
      <w:r>
        <w:rPr>
          <w:color w:val="000000"/>
          <w:spacing w:val="-7"/>
        </w:rPr>
        <w:t xml:space="preserve"> </w:t>
      </w:r>
      <w:r>
        <w:rPr>
          <w:color w:val="000000"/>
          <w:spacing w:val="-5"/>
        </w:rPr>
        <w:t>b</w:t>
      </w:r>
      <w:r>
        <w:rPr>
          <w:color w:val="000000"/>
          <w:spacing w:val="5"/>
        </w:rPr>
        <w:t>u</w:t>
      </w:r>
      <w:r>
        <w:rPr>
          <w:color w:val="000000"/>
          <w:spacing w:val="-5"/>
        </w:rPr>
        <w:t>v</w:t>
      </w:r>
      <w:r>
        <w:rPr>
          <w:color w:val="000000"/>
        </w:rPr>
        <w:t>o</w:t>
      </w:r>
      <w:r>
        <w:rPr>
          <w:color w:val="000000"/>
          <w:spacing w:val="12"/>
        </w:rPr>
        <w:t xml:space="preserve"> </w:t>
      </w:r>
      <w:r>
        <w:rPr>
          <w:color w:val="000000"/>
          <w:spacing w:val="-3"/>
        </w:rPr>
        <w:t>f</w:t>
      </w:r>
      <w:r>
        <w:rPr>
          <w:color w:val="000000"/>
          <w:spacing w:val="-9"/>
        </w:rPr>
        <w:t>i</w:t>
      </w:r>
      <w:r>
        <w:rPr>
          <w:color w:val="000000"/>
          <w:spacing w:val="5"/>
        </w:rPr>
        <w:t>k</w:t>
      </w:r>
      <w:r>
        <w:rPr>
          <w:color w:val="000000"/>
          <w:spacing w:val="-2"/>
        </w:rPr>
        <w:t>s</w:t>
      </w:r>
      <w:r>
        <w:rPr>
          <w:color w:val="000000"/>
        </w:rPr>
        <w:t>u</w:t>
      </w:r>
      <w:r>
        <w:rPr>
          <w:color w:val="000000"/>
          <w:spacing w:val="5"/>
        </w:rPr>
        <w:t>ot</w:t>
      </w:r>
      <w:r>
        <w:rPr>
          <w:color w:val="000000"/>
          <w:spacing w:val="-1"/>
        </w:rPr>
        <w:t>a</w:t>
      </w:r>
      <w:r>
        <w:rPr>
          <w:color w:val="000000"/>
        </w:rPr>
        <w:t xml:space="preserve">s </w:t>
      </w:r>
      <w:r>
        <w:rPr>
          <w:color w:val="000000"/>
          <w:spacing w:val="-9"/>
        </w:rPr>
        <w:t>m</w:t>
      </w:r>
      <w:r>
        <w:rPr>
          <w:color w:val="000000"/>
          <w:spacing w:val="-1"/>
        </w:rPr>
        <w:t>a</w:t>
      </w:r>
      <w:r>
        <w:rPr>
          <w:color w:val="000000"/>
          <w:spacing w:val="4"/>
        </w:rPr>
        <w:t>ž</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1"/>
        </w:rPr>
        <w:t>a</w:t>
      </w:r>
      <w:r>
        <w:rPr>
          <w:color w:val="000000"/>
        </w:rPr>
        <w:t>s</w:t>
      </w:r>
      <w:r>
        <w:rPr>
          <w:color w:val="000000"/>
          <w:spacing w:val="5"/>
        </w:rPr>
        <w:t xml:space="preserve"> </w:t>
      </w:r>
      <w:r>
        <w:rPr>
          <w:color w:val="000000"/>
          <w:spacing w:val="-5"/>
        </w:rPr>
        <w:t>n</w:t>
      </w:r>
      <w:r>
        <w:rPr>
          <w:color w:val="000000"/>
          <w:spacing w:val="5"/>
        </w:rPr>
        <w:t>u</w:t>
      </w:r>
      <w:r>
        <w:rPr>
          <w:color w:val="000000"/>
          <w:spacing w:val="2"/>
        </w:rPr>
        <w:t>s</w:t>
      </w:r>
      <w:r>
        <w:rPr>
          <w:color w:val="000000"/>
          <w:spacing w:val="-9"/>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u</w:t>
      </w:r>
      <w:r>
        <w:rPr>
          <w:color w:val="000000"/>
          <w:spacing w:val="-4"/>
        </w:rPr>
        <w:t>m</w:t>
      </w:r>
      <w:r>
        <w:rPr>
          <w:color w:val="000000"/>
          <w:spacing w:val="-1"/>
        </w:rPr>
        <w:t>a</w:t>
      </w:r>
      <w:r>
        <w:rPr>
          <w:color w:val="000000"/>
        </w:rPr>
        <w:t xml:space="preserve">s </w:t>
      </w:r>
      <w:r>
        <w:rPr>
          <w:color w:val="000000"/>
          <w:spacing w:val="2"/>
        </w:rPr>
        <w:t>š</w:t>
      </w:r>
      <w:r>
        <w:rPr>
          <w:color w:val="000000"/>
          <w:spacing w:val="4"/>
        </w:rPr>
        <w:t>a</w:t>
      </w:r>
      <w:r>
        <w:rPr>
          <w:color w:val="000000"/>
          <w:spacing w:val="-4"/>
        </w:rPr>
        <w:t>l</w:t>
      </w:r>
      <w:r>
        <w:rPr>
          <w:color w:val="000000"/>
        </w:rPr>
        <w:t>y</w:t>
      </w:r>
      <w:r>
        <w:rPr>
          <w:color w:val="000000"/>
          <w:spacing w:val="-4"/>
        </w:rPr>
        <w:t>j</w:t>
      </w:r>
      <w:r>
        <w:rPr>
          <w:color w:val="000000"/>
          <w:spacing w:val="-1"/>
        </w:rPr>
        <w:t>e</w:t>
      </w:r>
      <w:r>
        <w:rPr>
          <w:color w:val="000000"/>
        </w:rPr>
        <w:t>.</w:t>
      </w:r>
    </w:p>
    <w:p w:rsidR="004F7425" w:rsidRDefault="004F7425" w:rsidP="004F7425">
      <w:pPr>
        <w:widowControl w:val="0"/>
        <w:autoSpaceDE w:val="0"/>
        <w:autoSpaceDN w:val="0"/>
        <w:adjustRightInd w:val="0"/>
        <w:spacing w:before="45" w:line="275" w:lineRule="auto"/>
        <w:ind w:left="120" w:right="41" w:firstLine="721"/>
        <w:jc w:val="both"/>
        <w:rPr>
          <w:color w:val="000000"/>
        </w:rPr>
      </w:pPr>
      <w:r>
        <w:rPr>
          <w:color w:val="000000"/>
          <w:spacing w:val="1"/>
        </w:rPr>
        <w:t>I</w:t>
      </w:r>
      <w:r>
        <w:rPr>
          <w:color w:val="000000"/>
          <w:spacing w:val="-2"/>
        </w:rPr>
        <w:t>R</w:t>
      </w:r>
      <w:r>
        <w:rPr>
          <w:color w:val="000000"/>
        </w:rPr>
        <w:t>D</w:t>
      </w:r>
      <w:r>
        <w:rPr>
          <w:color w:val="000000"/>
          <w:spacing w:val="1"/>
        </w:rPr>
        <w:t xml:space="preserve"> </w:t>
      </w:r>
      <w:r>
        <w:rPr>
          <w:color w:val="000000"/>
        </w:rPr>
        <w:t>p</w:t>
      </w:r>
      <w:r>
        <w:rPr>
          <w:color w:val="000000"/>
          <w:spacing w:val="1"/>
        </w:rPr>
        <w:t>r</w:t>
      </w:r>
      <w:r>
        <w:rPr>
          <w:color w:val="000000"/>
          <w:spacing w:val="-4"/>
        </w:rPr>
        <w:t>i</w:t>
      </w:r>
      <w:r>
        <w:rPr>
          <w:color w:val="000000"/>
        </w:rPr>
        <w:t>e</w:t>
      </w:r>
      <w:r>
        <w:rPr>
          <w:color w:val="000000"/>
          <w:spacing w:val="1"/>
        </w:rPr>
        <w:t xml:space="preserve"> </w:t>
      </w:r>
      <w:r>
        <w:rPr>
          <w:color w:val="000000"/>
        </w:rPr>
        <w:t>V</w:t>
      </w:r>
      <w:r>
        <w:rPr>
          <w:color w:val="000000"/>
          <w:spacing w:val="-2"/>
        </w:rPr>
        <w:t>R</w:t>
      </w:r>
      <w:r>
        <w:rPr>
          <w:color w:val="000000"/>
        </w:rPr>
        <w:t>M du</w:t>
      </w:r>
      <w:r>
        <w:rPr>
          <w:color w:val="000000"/>
          <w:spacing w:val="9"/>
        </w:rPr>
        <w:t>o</w:t>
      </w:r>
      <w:r>
        <w:rPr>
          <w:color w:val="000000"/>
          <w:spacing w:val="-9"/>
        </w:rPr>
        <w:t>m</w:t>
      </w:r>
      <w:r>
        <w:rPr>
          <w:color w:val="000000"/>
          <w:spacing w:val="4"/>
        </w:rPr>
        <w:t>e</w:t>
      </w:r>
      <w:r>
        <w:rPr>
          <w:color w:val="000000"/>
        </w:rPr>
        <w:t>ni</w:t>
      </w:r>
      <w:r>
        <w:rPr>
          <w:color w:val="000000"/>
          <w:spacing w:val="1"/>
        </w:rPr>
        <w:t>m</w:t>
      </w:r>
      <w:r>
        <w:rPr>
          <w:color w:val="000000"/>
          <w:spacing w:val="-4"/>
        </w:rPr>
        <w:t>i</w:t>
      </w:r>
      <w:r>
        <w:rPr>
          <w:color w:val="000000"/>
        </w:rPr>
        <w:t>s p</w:t>
      </w:r>
      <w:r>
        <w:rPr>
          <w:color w:val="000000"/>
          <w:spacing w:val="-1"/>
        </w:rPr>
        <w:t>e</w:t>
      </w:r>
      <w:r>
        <w:rPr>
          <w:color w:val="000000"/>
          <w:spacing w:val="6"/>
        </w:rPr>
        <w:t>r</w:t>
      </w:r>
      <w:r>
        <w:rPr>
          <w:color w:val="000000"/>
          <w:spacing w:val="-5"/>
        </w:rPr>
        <w:t>n</w:t>
      </w:r>
      <w:r>
        <w:rPr>
          <w:color w:val="000000"/>
          <w:spacing w:val="4"/>
        </w:rPr>
        <w:t>a</w:t>
      </w:r>
      <w:r>
        <w:rPr>
          <w:color w:val="000000"/>
        </w:rPr>
        <w:t>i</w:t>
      </w:r>
      <w:r>
        <w:rPr>
          <w:color w:val="000000"/>
          <w:spacing w:val="2"/>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rPr>
        <w:t>s u</w:t>
      </w:r>
      <w:r>
        <w:rPr>
          <w:color w:val="000000"/>
          <w:spacing w:val="-1"/>
        </w:rPr>
        <w:t>ž</w:t>
      </w:r>
      <w:r>
        <w:rPr>
          <w:color w:val="000000"/>
          <w:spacing w:val="6"/>
        </w:rPr>
        <w:t>r</w:t>
      </w:r>
      <w:r>
        <w:rPr>
          <w:color w:val="000000"/>
          <w:spacing w:val="-1"/>
        </w:rPr>
        <w:t>e</w:t>
      </w:r>
      <w:r>
        <w:rPr>
          <w:color w:val="000000"/>
          <w:spacing w:val="5"/>
        </w:rPr>
        <w:t>g</w:t>
      </w:r>
      <w:r>
        <w:rPr>
          <w:color w:val="000000"/>
          <w:spacing w:val="-4"/>
        </w:rPr>
        <w:t>i</w:t>
      </w:r>
      <w:r>
        <w:rPr>
          <w:color w:val="000000"/>
          <w:spacing w:val="-2"/>
        </w:rPr>
        <w:t>s</w:t>
      </w:r>
      <w:r>
        <w:rPr>
          <w:color w:val="000000"/>
          <w:spacing w:val="5"/>
        </w:rPr>
        <w:t>t</w:t>
      </w:r>
      <w:r>
        <w:rPr>
          <w:color w:val="000000"/>
          <w:spacing w:val="1"/>
        </w:rPr>
        <w:t>r</w:t>
      </w:r>
      <w:r>
        <w:rPr>
          <w:color w:val="000000"/>
          <w:spacing w:val="-5"/>
        </w:rPr>
        <w:t>u</w:t>
      </w:r>
      <w:r>
        <w:rPr>
          <w:color w:val="000000"/>
        </w:rPr>
        <w:t>ot</w:t>
      </w:r>
      <w:r>
        <w:rPr>
          <w:color w:val="000000"/>
          <w:spacing w:val="5"/>
        </w:rPr>
        <w:t>o</w:t>
      </w:r>
      <w:r>
        <w:rPr>
          <w:color w:val="000000"/>
        </w:rPr>
        <w:t>s</w:t>
      </w:r>
      <w:r>
        <w:rPr>
          <w:color w:val="000000"/>
          <w:spacing w:val="7"/>
        </w:rPr>
        <w:t xml:space="preserve"> </w:t>
      </w:r>
      <w:r>
        <w:rPr>
          <w:b/>
          <w:bCs/>
          <w:color w:val="000000"/>
        </w:rPr>
        <w:t>3006</w:t>
      </w:r>
      <w:r>
        <w:rPr>
          <w:b/>
          <w:bCs/>
          <w:color w:val="000000"/>
          <w:spacing w:val="2"/>
        </w:rPr>
        <w:t xml:space="preserve"> </w:t>
      </w:r>
      <w:r>
        <w:rPr>
          <w:color w:val="000000"/>
          <w:spacing w:val="-5"/>
        </w:rPr>
        <w:t>n</w:t>
      </w:r>
      <w:r>
        <w:rPr>
          <w:color w:val="000000"/>
        </w:rPr>
        <w:t>u</w:t>
      </w:r>
      <w:r>
        <w:rPr>
          <w:color w:val="000000"/>
          <w:spacing w:val="2"/>
        </w:rPr>
        <w:t>s</w:t>
      </w:r>
      <w:r>
        <w:rPr>
          <w:color w:val="000000"/>
          <w:spacing w:val="-9"/>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s</w:t>
      </w:r>
      <w:r>
        <w:rPr>
          <w:color w:val="000000"/>
          <w:spacing w:val="4"/>
        </w:rPr>
        <w:t xml:space="preserve"> </w:t>
      </w:r>
      <w:r>
        <w:rPr>
          <w:color w:val="000000"/>
          <w:spacing w:val="-5"/>
        </w:rPr>
        <w:t>v</w:t>
      </w:r>
      <w:r>
        <w:rPr>
          <w:color w:val="000000"/>
          <w:spacing w:val="4"/>
        </w:rPr>
        <w:t>e</w:t>
      </w:r>
      <w:r>
        <w:rPr>
          <w:color w:val="000000"/>
          <w:spacing w:val="-4"/>
        </w:rPr>
        <w:t>i</w:t>
      </w:r>
      <w:r>
        <w:rPr>
          <w:color w:val="000000"/>
        </w:rPr>
        <w:t>k</w:t>
      </w:r>
      <w:r>
        <w:rPr>
          <w:color w:val="000000"/>
          <w:spacing w:val="5"/>
        </w:rPr>
        <w:t>o</w:t>
      </w:r>
      <w:r>
        <w:rPr>
          <w:color w:val="000000"/>
          <w:spacing w:val="-2"/>
        </w:rPr>
        <w:t>s</w:t>
      </w:r>
      <w:r>
        <w:rPr>
          <w:color w:val="000000"/>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9"/>
        </w:rPr>
        <w:t>i</w:t>
      </w:r>
      <w:r>
        <w:rPr>
          <w:color w:val="000000"/>
          <w:spacing w:val="5"/>
        </w:rPr>
        <w:t>o</w:t>
      </w:r>
      <w:r>
        <w:rPr>
          <w:color w:val="000000"/>
        </w:rPr>
        <w:t>s</w:t>
      </w:r>
      <w:r>
        <w:rPr>
          <w:color w:val="000000"/>
          <w:spacing w:val="7"/>
        </w:rPr>
        <w:t xml:space="preserve"> </w:t>
      </w:r>
      <w:r>
        <w:rPr>
          <w:color w:val="000000"/>
          <w:spacing w:val="-2"/>
        </w:rPr>
        <w:t>s</w:t>
      </w:r>
      <w:r>
        <w:rPr>
          <w:color w:val="000000"/>
        </w:rPr>
        <w:t>u</w:t>
      </w:r>
      <w:r>
        <w:rPr>
          <w:color w:val="000000"/>
          <w:spacing w:val="5"/>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u</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rPr>
        <w:t>n</w:t>
      </w:r>
      <w:r>
        <w:rPr>
          <w:color w:val="000000"/>
          <w:spacing w:val="-4"/>
        </w:rPr>
        <w:t>i</w:t>
      </w:r>
      <w:r>
        <w:rPr>
          <w:color w:val="000000"/>
        </w:rPr>
        <w:t>ų</w:t>
      </w:r>
      <w:r>
        <w:rPr>
          <w:color w:val="000000"/>
          <w:spacing w:val="10"/>
        </w:rPr>
        <w:t xml:space="preserve"> </w:t>
      </w:r>
      <w:r>
        <w:rPr>
          <w:color w:val="000000"/>
          <w:spacing w:val="-9"/>
        </w:rPr>
        <w:t>i</w:t>
      </w:r>
      <w:r>
        <w:rPr>
          <w:color w:val="000000"/>
        </w:rPr>
        <w:t>r</w:t>
      </w:r>
      <w:r>
        <w:rPr>
          <w:color w:val="000000"/>
          <w:spacing w:val="6"/>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9"/>
        </w:rPr>
        <w:t>i</w:t>
      </w:r>
      <w:r>
        <w:rPr>
          <w:color w:val="000000"/>
        </w:rPr>
        <w:t>n</w:t>
      </w:r>
      <w:r>
        <w:rPr>
          <w:color w:val="000000"/>
          <w:spacing w:val="-4"/>
        </w:rPr>
        <w:t>i</w:t>
      </w:r>
      <w:r>
        <w:rPr>
          <w:color w:val="000000"/>
        </w:rPr>
        <w:t>ų</w:t>
      </w:r>
      <w:r>
        <w:rPr>
          <w:color w:val="000000"/>
          <w:spacing w:val="9"/>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5"/>
        </w:rPr>
        <w:t xml:space="preserve"> d</w:t>
      </w:r>
      <w:r>
        <w:rPr>
          <w:color w:val="000000"/>
          <w:spacing w:val="-4"/>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4"/>
        </w:rPr>
        <w:t>m</w:t>
      </w:r>
      <w:r>
        <w:rPr>
          <w:color w:val="000000"/>
        </w:rPr>
        <w:t>u.</w:t>
      </w:r>
      <w:r>
        <w:rPr>
          <w:color w:val="000000"/>
          <w:spacing w:val="7"/>
        </w:rPr>
        <w:t xml:space="preserve"> </w:t>
      </w:r>
      <w:r>
        <w:rPr>
          <w:color w:val="000000"/>
          <w:spacing w:val="2"/>
        </w:rPr>
        <w:t>T</w:t>
      </w:r>
      <w:r>
        <w:rPr>
          <w:color w:val="000000"/>
          <w:spacing w:val="-1"/>
        </w:rPr>
        <w:t>a</w:t>
      </w:r>
      <w:r>
        <w:rPr>
          <w:color w:val="000000"/>
        </w:rPr>
        <w:t xml:space="preserve">i </w:t>
      </w:r>
      <w:r>
        <w:rPr>
          <w:color w:val="000000"/>
          <w:spacing w:val="-5"/>
        </w:rPr>
        <w:t>y</w:t>
      </w:r>
      <w:r>
        <w:rPr>
          <w:color w:val="000000"/>
          <w:spacing w:val="1"/>
        </w:rPr>
        <w:t>r</w:t>
      </w:r>
      <w:r>
        <w:rPr>
          <w:color w:val="000000"/>
        </w:rPr>
        <w:t>a</w:t>
      </w:r>
      <w:r>
        <w:rPr>
          <w:color w:val="000000"/>
          <w:spacing w:val="15"/>
        </w:rPr>
        <w:t xml:space="preserve"> </w:t>
      </w:r>
      <w:r>
        <w:rPr>
          <w:b/>
          <w:bCs/>
          <w:color w:val="000000"/>
        </w:rPr>
        <w:t>33</w:t>
      </w:r>
      <w:r>
        <w:rPr>
          <w:b/>
          <w:bCs/>
          <w:color w:val="000000"/>
          <w:spacing w:val="2"/>
        </w:rPr>
        <w:t>,</w:t>
      </w:r>
      <w:r>
        <w:rPr>
          <w:b/>
          <w:bCs/>
          <w:color w:val="000000"/>
        </w:rPr>
        <w:t>2</w:t>
      </w:r>
      <w:r>
        <w:rPr>
          <w:b/>
          <w:bCs/>
          <w:color w:val="000000"/>
          <w:spacing w:val="5"/>
        </w:rPr>
        <w:t xml:space="preserve"> </w:t>
      </w:r>
      <w:r>
        <w:rPr>
          <w:b/>
          <w:bCs/>
          <w:color w:val="000000"/>
        </w:rPr>
        <w:t>%</w:t>
      </w:r>
      <w:r>
        <w:rPr>
          <w:b/>
          <w:bCs/>
          <w:color w:val="000000"/>
          <w:spacing w:val="1"/>
        </w:rPr>
        <w:t xml:space="preserve"> </w:t>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4"/>
        </w:rPr>
        <w:t>a</w:t>
      </w:r>
      <w:r>
        <w:rPr>
          <w:color w:val="000000"/>
        </w:rPr>
        <w:t xml:space="preserve">u </w:t>
      </w:r>
      <w:r>
        <w:rPr>
          <w:color w:val="000000"/>
          <w:spacing w:val="-5"/>
        </w:rPr>
        <w:t>n</w:t>
      </w:r>
      <w:r>
        <w:rPr>
          <w:color w:val="000000"/>
          <w:spacing w:val="-1"/>
        </w:rPr>
        <w:t>e</w:t>
      </w:r>
      <w:r>
        <w:rPr>
          <w:color w:val="000000"/>
        </w:rPr>
        <w:t>gu</w:t>
      </w:r>
      <w:r>
        <w:rPr>
          <w:color w:val="000000"/>
          <w:spacing w:val="5"/>
        </w:rPr>
        <w:t xml:space="preserve"> </w:t>
      </w:r>
      <w:r>
        <w:rPr>
          <w:color w:val="000000"/>
        </w:rPr>
        <w:t>2011</w:t>
      </w:r>
      <w:r>
        <w:rPr>
          <w:color w:val="000000"/>
          <w:spacing w:val="10"/>
        </w:rPr>
        <w:t xml:space="preserve"> </w:t>
      </w:r>
      <w:r>
        <w:rPr>
          <w:color w:val="000000"/>
          <w:spacing w:val="-9"/>
        </w:rPr>
        <w:t>m</w:t>
      </w:r>
      <w:r>
        <w:rPr>
          <w:color w:val="000000"/>
        </w:rPr>
        <w:t>.</w:t>
      </w:r>
      <w:r>
        <w:rPr>
          <w:color w:val="000000"/>
          <w:spacing w:val="7"/>
        </w:rPr>
        <w:t xml:space="preserve"> </w:t>
      </w:r>
      <w:r>
        <w:rPr>
          <w:color w:val="000000"/>
          <w:spacing w:val="1"/>
        </w:rPr>
        <w:t>(</w:t>
      </w:r>
      <w:r>
        <w:rPr>
          <w:color w:val="000000"/>
        </w:rPr>
        <w:t>22</w:t>
      </w:r>
      <w:r>
        <w:rPr>
          <w:color w:val="000000"/>
          <w:spacing w:val="2"/>
        </w:rPr>
        <w:t>5</w:t>
      </w:r>
      <w:r>
        <w:rPr>
          <w:color w:val="000000"/>
        </w:rPr>
        <w:t>8</w:t>
      </w:r>
      <w:r>
        <w:rPr>
          <w:color w:val="000000"/>
          <w:spacing w:val="5"/>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s</w:t>
      </w:r>
      <w:r>
        <w:rPr>
          <w:color w:val="000000"/>
          <w:spacing w:val="3"/>
        </w:rPr>
        <w:t xml:space="preserve"> </w:t>
      </w:r>
      <w:r>
        <w:rPr>
          <w:color w:val="000000"/>
          <w:spacing w:val="-5"/>
        </w:rPr>
        <w:t>v</w:t>
      </w:r>
      <w:r>
        <w:rPr>
          <w:color w:val="000000"/>
          <w:spacing w:val="4"/>
        </w:rPr>
        <w:t>e</w:t>
      </w:r>
      <w:r>
        <w:rPr>
          <w:color w:val="000000"/>
          <w:spacing w:val="-4"/>
        </w:rPr>
        <w:t>i</w:t>
      </w:r>
      <w:r>
        <w:rPr>
          <w:color w:val="000000"/>
        </w:rPr>
        <w:t>k</w:t>
      </w:r>
      <w:r>
        <w:rPr>
          <w:color w:val="000000"/>
          <w:spacing w:val="5"/>
        </w:rPr>
        <w:t>o</w:t>
      </w:r>
      <w:r>
        <w:rPr>
          <w:color w:val="000000"/>
          <w:spacing w:val="-2"/>
        </w:rPr>
        <w:t>s</w:t>
      </w:r>
      <w:r>
        <w:rPr>
          <w:color w:val="000000"/>
          <w:spacing w:val="1"/>
        </w:rPr>
        <w:t>)</w:t>
      </w:r>
      <w:r>
        <w:rPr>
          <w:color w:val="000000"/>
        </w:rPr>
        <w:t>.</w:t>
      </w:r>
      <w:r>
        <w:rPr>
          <w:color w:val="000000"/>
          <w:spacing w:val="7"/>
        </w:rPr>
        <w:t xml:space="preserve"> </w:t>
      </w:r>
      <w:r>
        <w:rPr>
          <w:color w:val="000000"/>
          <w:spacing w:val="2"/>
        </w:rPr>
        <w:t>T</w:t>
      </w:r>
      <w:r>
        <w:rPr>
          <w:color w:val="000000"/>
          <w:spacing w:val="-1"/>
        </w:rPr>
        <w:t>ač</w:t>
      </w:r>
      <w:r>
        <w:rPr>
          <w:color w:val="000000"/>
          <w:spacing w:val="-4"/>
        </w:rPr>
        <w:t>i</w:t>
      </w:r>
      <w:r>
        <w:rPr>
          <w:color w:val="000000"/>
          <w:spacing w:val="4"/>
        </w:rPr>
        <w:t>a</w:t>
      </w:r>
      <w:r>
        <w:rPr>
          <w:color w:val="000000"/>
        </w:rPr>
        <w:t>u t</w:t>
      </w:r>
      <w:r>
        <w:rPr>
          <w:color w:val="000000"/>
          <w:spacing w:val="5"/>
        </w:rPr>
        <w:t>o</w:t>
      </w:r>
      <w:r>
        <w:rPr>
          <w:color w:val="000000"/>
        </w:rPr>
        <w:t>ks</w:t>
      </w:r>
      <w:r>
        <w:rPr>
          <w:color w:val="000000"/>
          <w:spacing w:val="3"/>
        </w:rPr>
        <w:t xml:space="preserve"> </w:t>
      </w:r>
      <w:r>
        <w:rPr>
          <w:color w:val="000000"/>
          <w:spacing w:val="4"/>
        </w:rPr>
        <w:t>ž</w:t>
      </w:r>
      <w:r>
        <w:rPr>
          <w:color w:val="000000"/>
          <w:spacing w:val="-5"/>
        </w:rPr>
        <w:t>y</w:t>
      </w:r>
      <w:r>
        <w:rPr>
          <w:color w:val="000000"/>
          <w:spacing w:val="-4"/>
        </w:rPr>
        <w:t>m</w:t>
      </w:r>
      <w:r>
        <w:rPr>
          <w:color w:val="000000"/>
        </w:rPr>
        <w:t>us</w:t>
      </w:r>
      <w:r>
        <w:rPr>
          <w:color w:val="000000"/>
          <w:spacing w:val="3"/>
        </w:rPr>
        <w:t xml:space="preserve"> </w:t>
      </w:r>
      <w:r>
        <w:rPr>
          <w:color w:val="000000"/>
          <w:spacing w:val="2"/>
        </w:rPr>
        <w:t>š</w:t>
      </w:r>
      <w:r>
        <w:rPr>
          <w:color w:val="000000"/>
          <w:spacing w:val="-4"/>
        </w:rPr>
        <w:t>i</w:t>
      </w:r>
      <w:r>
        <w:rPr>
          <w:color w:val="000000"/>
        </w:rPr>
        <w:t>ų</w:t>
      </w:r>
      <w:r>
        <w:rPr>
          <w:color w:val="000000"/>
          <w:spacing w:val="5"/>
        </w:rPr>
        <w:t xml:space="preserve"> </w:t>
      </w:r>
      <w:r>
        <w:rPr>
          <w:color w:val="000000"/>
          <w:spacing w:val="-5"/>
        </w:rPr>
        <w:t>n</w:t>
      </w:r>
      <w:r>
        <w:rPr>
          <w:color w:val="000000"/>
          <w:spacing w:val="5"/>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10"/>
        </w:rPr>
        <w:t xml:space="preserve"> </w:t>
      </w:r>
      <w:r>
        <w:rPr>
          <w:color w:val="000000"/>
          <w:spacing w:val="-5"/>
        </w:rPr>
        <w:t>v</w:t>
      </w:r>
      <w:r>
        <w:rPr>
          <w:color w:val="000000"/>
          <w:spacing w:val="4"/>
        </w:rPr>
        <w:t>e</w:t>
      </w:r>
      <w:r>
        <w:rPr>
          <w:color w:val="000000"/>
          <w:spacing w:val="-4"/>
        </w:rPr>
        <w:t>i</w:t>
      </w:r>
      <w:r>
        <w:rPr>
          <w:color w:val="000000"/>
        </w:rPr>
        <w:t>kų</w:t>
      </w:r>
      <w:r>
        <w:rPr>
          <w:color w:val="000000"/>
          <w:spacing w:val="5"/>
        </w:rPr>
        <w:t xml:space="preserve"> </w:t>
      </w:r>
      <w:r>
        <w:rPr>
          <w:color w:val="000000"/>
        </w:rPr>
        <w:t>p</w:t>
      </w:r>
      <w:r>
        <w:rPr>
          <w:color w:val="000000"/>
          <w:spacing w:val="-1"/>
        </w:rPr>
        <w:t>a</w:t>
      </w:r>
      <w:r>
        <w:rPr>
          <w:color w:val="000000"/>
          <w:spacing w:val="5"/>
        </w:rPr>
        <w:t>d</w:t>
      </w:r>
      <w:r>
        <w:rPr>
          <w:color w:val="000000"/>
          <w:spacing w:val="-4"/>
        </w:rPr>
        <w:t>i</w:t>
      </w:r>
      <w:r>
        <w:rPr>
          <w:color w:val="000000"/>
        </w:rPr>
        <w:t>d</w:t>
      </w:r>
      <w:r>
        <w:rPr>
          <w:color w:val="000000"/>
          <w:spacing w:val="4"/>
        </w:rPr>
        <w:t>ė</w:t>
      </w:r>
      <w:r>
        <w:rPr>
          <w:color w:val="000000"/>
        </w:rPr>
        <w:t>j</w:t>
      </w:r>
      <w:r>
        <w:rPr>
          <w:color w:val="000000"/>
          <w:spacing w:val="-4"/>
        </w:rPr>
        <w:t>im</w:t>
      </w:r>
      <w:r>
        <w:rPr>
          <w:color w:val="000000"/>
          <w:spacing w:val="4"/>
        </w:rPr>
        <w:t>a</w:t>
      </w:r>
      <w:r>
        <w:rPr>
          <w:color w:val="000000"/>
        </w:rPr>
        <w:t xml:space="preserve">s </w:t>
      </w:r>
      <w:r>
        <w:rPr>
          <w:color w:val="000000"/>
          <w:spacing w:val="-1"/>
        </w:rPr>
        <w:t>a</w:t>
      </w:r>
      <w:r>
        <w:rPr>
          <w:color w:val="000000"/>
          <w:spacing w:val="5"/>
        </w:rPr>
        <w:t>t</w:t>
      </w:r>
      <w:r>
        <w:rPr>
          <w:color w:val="000000"/>
          <w:spacing w:val="-2"/>
        </w:rPr>
        <w:t>s</w:t>
      </w:r>
      <w:r>
        <w:rPr>
          <w:color w:val="000000"/>
          <w:spacing w:val="-9"/>
        </w:rPr>
        <w:t>i</w:t>
      </w:r>
      <w:r>
        <w:rPr>
          <w:color w:val="000000"/>
          <w:spacing w:val="1"/>
        </w:rPr>
        <w:t>r</w:t>
      </w:r>
      <w:r>
        <w:rPr>
          <w:color w:val="000000"/>
          <w:spacing w:val="-1"/>
        </w:rPr>
        <w:t>a</w:t>
      </w:r>
      <w:r>
        <w:rPr>
          <w:color w:val="000000"/>
        </w:rPr>
        <w:t>do</w:t>
      </w:r>
      <w:r>
        <w:rPr>
          <w:color w:val="000000"/>
          <w:spacing w:val="14"/>
        </w:rPr>
        <w:t xml:space="preserve"> </w:t>
      </w:r>
      <w:r>
        <w:rPr>
          <w:color w:val="000000"/>
        </w:rPr>
        <w:t>d</w:t>
      </w:r>
      <w:r>
        <w:rPr>
          <w:color w:val="000000"/>
          <w:spacing w:val="4"/>
        </w:rPr>
        <w:t>ė</w:t>
      </w:r>
      <w:r>
        <w:rPr>
          <w:color w:val="000000"/>
        </w:rPr>
        <w:t xml:space="preserve">l </w:t>
      </w:r>
      <w:r>
        <w:rPr>
          <w:color w:val="000000"/>
          <w:spacing w:val="5"/>
        </w:rPr>
        <w:t>t</w:t>
      </w:r>
      <w:r>
        <w:rPr>
          <w:color w:val="000000"/>
        </w:rPr>
        <w:t>o,</w:t>
      </w:r>
      <w:r>
        <w:rPr>
          <w:color w:val="000000"/>
          <w:spacing w:val="11"/>
        </w:rPr>
        <w:t xml:space="preserve"> </w:t>
      </w:r>
      <w:r>
        <w:rPr>
          <w:color w:val="000000"/>
        </w:rPr>
        <w:t>k</w:t>
      </w:r>
      <w:r>
        <w:rPr>
          <w:color w:val="000000"/>
          <w:spacing w:val="-1"/>
        </w:rPr>
        <w:t>a</w:t>
      </w:r>
      <w:r>
        <w:rPr>
          <w:color w:val="000000"/>
        </w:rPr>
        <w:t>d</w:t>
      </w:r>
      <w:r>
        <w:rPr>
          <w:color w:val="000000"/>
          <w:spacing w:val="9"/>
        </w:rPr>
        <w:t xml:space="preserve"> </w:t>
      </w:r>
      <w:r>
        <w:rPr>
          <w:color w:val="000000"/>
        </w:rPr>
        <w:t>V</w:t>
      </w:r>
      <w:r>
        <w:rPr>
          <w:color w:val="000000"/>
          <w:spacing w:val="-5"/>
        </w:rPr>
        <w:t>i</w:t>
      </w:r>
      <w:r>
        <w:rPr>
          <w:color w:val="000000"/>
          <w:spacing w:val="-4"/>
        </w:rPr>
        <w:t>l</w:t>
      </w:r>
      <w:r>
        <w:rPr>
          <w:color w:val="000000"/>
          <w:spacing w:val="5"/>
        </w:rPr>
        <w:t>n</w:t>
      </w:r>
      <w:r>
        <w:rPr>
          <w:color w:val="000000"/>
          <w:spacing w:val="-4"/>
        </w:rPr>
        <w:t>i</w:t>
      </w:r>
      <w:r>
        <w:rPr>
          <w:color w:val="000000"/>
          <w:spacing w:val="-1"/>
        </w:rPr>
        <w:t>a</w:t>
      </w:r>
      <w:r>
        <w:rPr>
          <w:color w:val="000000"/>
          <w:spacing w:val="5"/>
        </w:rPr>
        <w:t>u</w:t>
      </w:r>
      <w:r>
        <w:rPr>
          <w:color w:val="000000"/>
        </w:rPr>
        <w:t>s</w:t>
      </w:r>
      <w:r>
        <w:rPr>
          <w:color w:val="000000"/>
          <w:spacing w:val="7"/>
        </w:rPr>
        <w:t xml:space="preserve"> </w:t>
      </w:r>
      <w:r>
        <w:rPr>
          <w:color w:val="000000"/>
          <w:spacing w:val="-1"/>
        </w:rPr>
        <w:t>a</w:t>
      </w:r>
      <w:r>
        <w:rPr>
          <w:color w:val="000000"/>
          <w:spacing w:val="5"/>
        </w:rPr>
        <w:t>p</w:t>
      </w:r>
      <w:r>
        <w:rPr>
          <w:color w:val="000000"/>
          <w:spacing w:val="-5"/>
        </w:rPr>
        <w:t>y</w:t>
      </w:r>
      <w:r>
        <w:rPr>
          <w:color w:val="000000"/>
        </w:rPr>
        <w:t>g</w:t>
      </w:r>
      <w:r>
        <w:rPr>
          <w:color w:val="000000"/>
          <w:spacing w:val="-1"/>
        </w:rPr>
        <w:t>a</w:t>
      </w:r>
      <w:r>
        <w:rPr>
          <w:color w:val="000000"/>
          <w:spacing w:val="1"/>
        </w:rPr>
        <w:t>r</w:t>
      </w:r>
      <w:r>
        <w:rPr>
          <w:color w:val="000000"/>
        </w:rPr>
        <w:t>d</w:t>
      </w:r>
      <w:r>
        <w:rPr>
          <w:color w:val="000000"/>
          <w:spacing w:val="5"/>
        </w:rPr>
        <w:t>o</w:t>
      </w:r>
      <w:r>
        <w:rPr>
          <w:color w:val="000000"/>
        </w:rPr>
        <w:t>s</w:t>
      </w:r>
      <w:r>
        <w:rPr>
          <w:color w:val="000000"/>
          <w:spacing w:val="7"/>
        </w:rPr>
        <w:t xml:space="preserve"> </w:t>
      </w:r>
      <w:r>
        <w:rPr>
          <w:color w:val="000000"/>
        </w:rPr>
        <w:t>p</w:t>
      </w:r>
      <w:r>
        <w:rPr>
          <w:color w:val="000000"/>
          <w:spacing w:val="1"/>
        </w:rPr>
        <w:t>r</w:t>
      </w:r>
      <w:r>
        <w:rPr>
          <w:color w:val="000000"/>
          <w:spacing w:val="5"/>
        </w:rPr>
        <w:t>o</w:t>
      </w:r>
      <w:r>
        <w:rPr>
          <w:color w:val="000000"/>
        </w:rPr>
        <w:t>k</w:t>
      </w:r>
      <w:r>
        <w:rPr>
          <w:color w:val="000000"/>
          <w:spacing w:val="-5"/>
        </w:rPr>
        <w:t>u</w:t>
      </w:r>
      <w:r>
        <w:rPr>
          <w:color w:val="000000"/>
          <w:spacing w:val="1"/>
        </w:rPr>
        <w:t>r</w:t>
      </w:r>
      <w:r>
        <w:rPr>
          <w:color w:val="000000"/>
          <w:spacing w:val="-6"/>
        </w:rPr>
        <w:t>a</w:t>
      </w:r>
      <w:r>
        <w:rPr>
          <w:color w:val="000000"/>
          <w:spacing w:val="5"/>
        </w:rPr>
        <w:t>t</w:t>
      </w:r>
      <w:r>
        <w:rPr>
          <w:color w:val="000000"/>
        </w:rPr>
        <w:t>ū</w:t>
      </w:r>
      <w:r>
        <w:rPr>
          <w:color w:val="000000"/>
          <w:spacing w:val="1"/>
        </w:rPr>
        <w:t>r</w:t>
      </w:r>
      <w:r>
        <w:rPr>
          <w:color w:val="000000"/>
        </w:rPr>
        <w:t>a</w:t>
      </w:r>
      <w:r>
        <w:rPr>
          <w:color w:val="000000"/>
          <w:spacing w:val="8"/>
        </w:rPr>
        <w:t xml:space="preserve"> </w:t>
      </w:r>
      <w:r>
        <w:rPr>
          <w:color w:val="000000"/>
        </w:rPr>
        <w:t>2012</w:t>
      </w:r>
      <w:r>
        <w:rPr>
          <w:color w:val="000000"/>
          <w:spacing w:val="4"/>
        </w:rPr>
        <w:t xml:space="preserve"> </w:t>
      </w:r>
      <w:r>
        <w:rPr>
          <w:color w:val="000000"/>
          <w:spacing w:val="-9"/>
        </w:rPr>
        <w:t>m</w:t>
      </w:r>
      <w:r>
        <w:rPr>
          <w:color w:val="000000"/>
        </w:rPr>
        <w:t>.</w:t>
      </w:r>
      <w:r>
        <w:rPr>
          <w:color w:val="000000"/>
          <w:spacing w:val="11"/>
        </w:rPr>
        <w:t xml:space="preserve"> </w:t>
      </w:r>
      <w:r>
        <w:rPr>
          <w:color w:val="000000"/>
        </w:rPr>
        <w:t>p</w:t>
      </w:r>
      <w:r>
        <w:rPr>
          <w:color w:val="000000"/>
          <w:spacing w:val="1"/>
        </w:rPr>
        <w:t>r</w:t>
      </w:r>
      <w:r>
        <w:rPr>
          <w:color w:val="000000"/>
          <w:spacing w:val="-1"/>
        </w:rPr>
        <w:t>a</w:t>
      </w:r>
      <w:r>
        <w:rPr>
          <w:color w:val="000000"/>
        </w:rPr>
        <w:t>d</w:t>
      </w:r>
      <w:r>
        <w:rPr>
          <w:color w:val="000000"/>
          <w:spacing w:val="4"/>
        </w:rPr>
        <w:t>ž</w:t>
      </w:r>
      <w:r>
        <w:rPr>
          <w:color w:val="000000"/>
          <w:spacing w:val="-9"/>
        </w:rPr>
        <w:t>i</w:t>
      </w:r>
      <w:r>
        <w:rPr>
          <w:color w:val="000000"/>
          <w:spacing w:val="9"/>
        </w:rPr>
        <w:t>o</w:t>
      </w:r>
      <w:r>
        <w:rPr>
          <w:color w:val="000000"/>
          <w:spacing w:val="-4"/>
        </w:rPr>
        <w:t>j</w:t>
      </w:r>
      <w:r>
        <w:rPr>
          <w:color w:val="000000"/>
        </w:rPr>
        <w:t>e</w:t>
      </w:r>
      <w:r>
        <w:rPr>
          <w:color w:val="000000"/>
          <w:spacing w:val="8"/>
        </w:rPr>
        <w:t xml:space="preserve"> </w:t>
      </w:r>
      <w:r>
        <w:rPr>
          <w:color w:val="000000"/>
          <w:spacing w:val="1"/>
        </w:rPr>
        <w:t>I</w:t>
      </w:r>
      <w:r>
        <w:rPr>
          <w:color w:val="000000"/>
          <w:spacing w:val="-2"/>
        </w:rPr>
        <w:t>R</w:t>
      </w:r>
      <w:r>
        <w:rPr>
          <w:color w:val="000000"/>
        </w:rPr>
        <w:t>D</w:t>
      </w:r>
      <w:r>
        <w:rPr>
          <w:color w:val="000000"/>
          <w:spacing w:val="9"/>
        </w:rPr>
        <w:t xml:space="preserve"> </w:t>
      </w:r>
      <w:r>
        <w:rPr>
          <w:color w:val="000000"/>
        </w:rPr>
        <w:t>p</w:t>
      </w:r>
      <w:r>
        <w:rPr>
          <w:color w:val="000000"/>
          <w:spacing w:val="6"/>
        </w:rPr>
        <w:t>r</w:t>
      </w:r>
      <w:r>
        <w:rPr>
          <w:color w:val="000000"/>
          <w:spacing w:val="-9"/>
        </w:rPr>
        <w:t>i</w:t>
      </w:r>
      <w:r>
        <w:rPr>
          <w:color w:val="000000"/>
        </w:rPr>
        <w:t>e</w:t>
      </w:r>
      <w:r>
        <w:rPr>
          <w:color w:val="000000"/>
          <w:spacing w:val="8"/>
        </w:rPr>
        <w:t xml:space="preserve"> </w:t>
      </w:r>
      <w:r>
        <w:rPr>
          <w:color w:val="000000"/>
          <w:spacing w:val="4"/>
        </w:rPr>
        <w:t>V</w:t>
      </w:r>
      <w:r>
        <w:rPr>
          <w:color w:val="000000"/>
          <w:spacing w:val="-2"/>
        </w:rPr>
        <w:t>R</w:t>
      </w:r>
      <w:r>
        <w:rPr>
          <w:color w:val="000000"/>
        </w:rPr>
        <w:t>M</w:t>
      </w:r>
      <w:r>
        <w:rPr>
          <w:color w:val="000000"/>
          <w:spacing w:val="7"/>
        </w:rPr>
        <w:t xml:space="preserve"> </w:t>
      </w:r>
      <w:r>
        <w:rPr>
          <w:color w:val="000000"/>
        </w:rPr>
        <w:t>p</w:t>
      </w:r>
      <w:r>
        <w:rPr>
          <w:color w:val="000000"/>
          <w:spacing w:val="-1"/>
        </w:rPr>
        <w:t>a</w:t>
      </w:r>
      <w:r>
        <w:rPr>
          <w:color w:val="000000"/>
          <w:spacing w:val="5"/>
        </w:rPr>
        <w:t>t</w:t>
      </w:r>
      <w:r>
        <w:rPr>
          <w:color w:val="000000"/>
          <w:spacing w:val="4"/>
        </w:rPr>
        <w:t>e</w:t>
      </w:r>
      <w:r>
        <w:rPr>
          <w:color w:val="000000"/>
          <w:spacing w:val="-9"/>
        </w:rPr>
        <w:t>i</w:t>
      </w:r>
      <w:r>
        <w:rPr>
          <w:color w:val="000000"/>
          <w:spacing w:val="5"/>
        </w:rPr>
        <w:t>k</w:t>
      </w:r>
      <w:r>
        <w:rPr>
          <w:color w:val="000000"/>
        </w:rPr>
        <w:t xml:space="preserve">ė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9"/>
        </w:rPr>
        <w:t>m</w:t>
      </w:r>
      <w:r>
        <w:rPr>
          <w:color w:val="000000"/>
          <w:spacing w:val="-1"/>
        </w:rPr>
        <w:t>a</w:t>
      </w:r>
      <w:r>
        <w:rPr>
          <w:color w:val="000000"/>
          <w:spacing w:val="4"/>
        </w:rPr>
        <w:t>c</w:t>
      </w:r>
      <w:r>
        <w:rPr>
          <w:color w:val="000000"/>
        </w:rPr>
        <w:t>i</w:t>
      </w:r>
      <w:r>
        <w:rPr>
          <w:color w:val="000000"/>
          <w:spacing w:val="-4"/>
        </w:rPr>
        <w:t>j</w:t>
      </w:r>
      <w:r>
        <w:rPr>
          <w:color w:val="000000"/>
        </w:rPr>
        <w:t>ą</w:t>
      </w:r>
      <w:r>
        <w:rPr>
          <w:color w:val="000000"/>
          <w:spacing w:val="6"/>
        </w:rPr>
        <w:t xml:space="preserve"> </w:t>
      </w:r>
      <w:r>
        <w:rPr>
          <w:color w:val="000000"/>
          <w:spacing w:val="-1"/>
        </w:rPr>
        <w:t>a</w:t>
      </w:r>
      <w:r>
        <w:rPr>
          <w:color w:val="000000"/>
          <w:spacing w:val="5"/>
        </w:rPr>
        <w:t>p</w:t>
      </w:r>
      <w:r>
        <w:rPr>
          <w:color w:val="000000"/>
          <w:spacing w:val="-4"/>
        </w:rPr>
        <w:t>i</w:t>
      </w:r>
      <w:r>
        <w:rPr>
          <w:color w:val="000000"/>
        </w:rPr>
        <w:t>e</w:t>
      </w:r>
      <w:r>
        <w:rPr>
          <w:color w:val="000000"/>
          <w:spacing w:val="4"/>
        </w:rPr>
        <w:t xml:space="preserve"> </w:t>
      </w:r>
      <w:r>
        <w:rPr>
          <w:b/>
          <w:bCs/>
          <w:color w:val="000000"/>
        </w:rPr>
        <w:t>569</w:t>
      </w:r>
      <w:r>
        <w:rPr>
          <w:b/>
          <w:bCs/>
          <w:color w:val="000000"/>
          <w:spacing w:val="12"/>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4"/>
        </w:rPr>
        <w:t>m</w:t>
      </w:r>
      <w:r>
        <w:rPr>
          <w:color w:val="000000"/>
          <w:spacing w:val="-1"/>
        </w:rPr>
        <w:t>a</w:t>
      </w:r>
      <w:r>
        <w:rPr>
          <w:color w:val="000000"/>
        </w:rPr>
        <w:t>s</w:t>
      </w:r>
      <w:r>
        <w:rPr>
          <w:color w:val="000000"/>
          <w:spacing w:val="9"/>
        </w:rPr>
        <w:t xml:space="preserve"> </w:t>
      </w:r>
      <w:r>
        <w:rPr>
          <w:color w:val="000000"/>
          <w:spacing w:val="-5"/>
        </w:rPr>
        <w:t>v</w:t>
      </w:r>
      <w:r>
        <w:rPr>
          <w:color w:val="000000"/>
          <w:spacing w:val="4"/>
        </w:rPr>
        <w:t>e</w:t>
      </w:r>
      <w:r>
        <w:rPr>
          <w:color w:val="000000"/>
          <w:spacing w:val="-4"/>
        </w:rPr>
        <w:t>i</w:t>
      </w:r>
      <w:r>
        <w:rPr>
          <w:color w:val="000000"/>
        </w:rPr>
        <w:t>k</w:t>
      </w:r>
      <w:r>
        <w:rPr>
          <w:color w:val="000000"/>
          <w:spacing w:val="-1"/>
        </w:rPr>
        <w:t>a</w:t>
      </w:r>
      <w:r>
        <w:rPr>
          <w:color w:val="000000"/>
          <w:spacing w:val="-2"/>
        </w:rPr>
        <w:t>s</w:t>
      </w:r>
      <w:r>
        <w:rPr>
          <w:color w:val="000000"/>
        </w:rPr>
        <w:t>,</w:t>
      </w:r>
      <w:r>
        <w:rPr>
          <w:color w:val="000000"/>
          <w:spacing w:val="12"/>
        </w:rPr>
        <w:t xml:space="preserve"> </w:t>
      </w:r>
      <w:r>
        <w:rPr>
          <w:b/>
          <w:bCs/>
          <w:color w:val="000000"/>
          <w:spacing w:val="-4"/>
        </w:rPr>
        <w:t>k</w:t>
      </w:r>
      <w:r>
        <w:rPr>
          <w:b/>
          <w:bCs/>
          <w:color w:val="000000"/>
          <w:spacing w:val="6"/>
        </w:rPr>
        <w:t>u</w:t>
      </w:r>
      <w:r>
        <w:rPr>
          <w:b/>
          <w:bCs/>
          <w:color w:val="000000"/>
          <w:spacing w:val="-6"/>
        </w:rPr>
        <w:t>r</w:t>
      </w:r>
      <w:r>
        <w:rPr>
          <w:b/>
          <w:bCs/>
          <w:color w:val="000000"/>
        </w:rPr>
        <w:t>ios</w:t>
      </w:r>
      <w:r>
        <w:rPr>
          <w:b/>
          <w:bCs/>
          <w:color w:val="000000"/>
          <w:spacing w:val="5"/>
        </w:rPr>
        <w:t xml:space="preserve"> </w:t>
      </w:r>
      <w:r>
        <w:rPr>
          <w:b/>
          <w:bCs/>
          <w:color w:val="000000"/>
          <w:spacing w:val="1"/>
        </w:rPr>
        <w:t>bu</w:t>
      </w:r>
      <w:r>
        <w:rPr>
          <w:b/>
          <w:bCs/>
          <w:color w:val="000000"/>
        </w:rPr>
        <w:t>vo</w:t>
      </w:r>
      <w:r>
        <w:rPr>
          <w:b/>
          <w:bCs/>
          <w:color w:val="000000"/>
          <w:spacing w:val="2"/>
        </w:rPr>
        <w:t xml:space="preserve"> </w:t>
      </w:r>
      <w:r>
        <w:rPr>
          <w:b/>
          <w:bCs/>
          <w:color w:val="000000"/>
          <w:spacing w:val="1"/>
        </w:rPr>
        <w:t>p</w:t>
      </w:r>
      <w:r>
        <w:rPr>
          <w:b/>
          <w:bCs/>
          <w:color w:val="000000"/>
        </w:rPr>
        <w:t>a</w:t>
      </w:r>
      <w:r>
        <w:rPr>
          <w:b/>
          <w:bCs/>
          <w:color w:val="000000"/>
          <w:spacing w:val="1"/>
        </w:rPr>
        <w:t>d</w:t>
      </w:r>
      <w:r>
        <w:rPr>
          <w:b/>
          <w:bCs/>
          <w:color w:val="000000"/>
        </w:rPr>
        <w:t>a</w:t>
      </w:r>
      <w:r>
        <w:rPr>
          <w:b/>
          <w:bCs/>
          <w:color w:val="000000"/>
          <w:spacing w:val="-6"/>
        </w:rPr>
        <w:t>r</w:t>
      </w:r>
      <w:r>
        <w:rPr>
          <w:b/>
          <w:bCs/>
          <w:color w:val="000000"/>
        </w:rPr>
        <w:t>y</w:t>
      </w:r>
      <w:r>
        <w:rPr>
          <w:b/>
          <w:bCs/>
          <w:color w:val="000000"/>
          <w:spacing w:val="5"/>
        </w:rPr>
        <w:t>t</w:t>
      </w:r>
      <w:r>
        <w:rPr>
          <w:b/>
          <w:bCs/>
          <w:color w:val="000000"/>
        </w:rPr>
        <w:t>os</w:t>
      </w:r>
      <w:r>
        <w:rPr>
          <w:b/>
          <w:bCs/>
          <w:color w:val="000000"/>
          <w:spacing w:val="5"/>
        </w:rPr>
        <w:t xml:space="preserve"> </w:t>
      </w:r>
      <w:r>
        <w:rPr>
          <w:b/>
          <w:bCs/>
          <w:color w:val="000000"/>
        </w:rPr>
        <w:t>2002</w:t>
      </w:r>
      <w:r>
        <w:rPr>
          <w:b/>
          <w:bCs/>
          <w:color w:val="000000"/>
          <w:spacing w:val="2"/>
        </w:rPr>
        <w:t>-</w:t>
      </w:r>
      <w:r>
        <w:rPr>
          <w:b/>
          <w:bCs/>
          <w:color w:val="000000"/>
        </w:rPr>
        <w:t>2011</w:t>
      </w:r>
      <w:r>
        <w:rPr>
          <w:b/>
          <w:bCs/>
          <w:color w:val="000000"/>
          <w:spacing w:val="2"/>
        </w:rPr>
        <w:t xml:space="preserve"> </w:t>
      </w:r>
      <w:r>
        <w:rPr>
          <w:b/>
          <w:bCs/>
          <w:color w:val="000000"/>
          <w:spacing w:val="-3"/>
        </w:rPr>
        <w:t>m</w:t>
      </w:r>
      <w:r>
        <w:rPr>
          <w:b/>
          <w:bCs/>
          <w:color w:val="000000"/>
          <w:spacing w:val="-1"/>
        </w:rPr>
        <w:t>e</w:t>
      </w:r>
      <w:r>
        <w:rPr>
          <w:b/>
          <w:bCs/>
          <w:color w:val="000000"/>
          <w:spacing w:val="1"/>
        </w:rPr>
        <w:t>t</w:t>
      </w:r>
      <w:r>
        <w:rPr>
          <w:b/>
          <w:bCs/>
          <w:color w:val="000000"/>
        </w:rPr>
        <w:t>ai</w:t>
      </w:r>
      <w:r>
        <w:rPr>
          <w:b/>
          <w:bCs/>
          <w:color w:val="000000"/>
          <w:spacing w:val="-1"/>
        </w:rPr>
        <w:t>s</w:t>
      </w:r>
      <w:r>
        <w:rPr>
          <w:color w:val="000000"/>
        </w:rPr>
        <w:t>.</w:t>
      </w:r>
      <w:r>
        <w:rPr>
          <w:color w:val="000000"/>
          <w:spacing w:val="4"/>
        </w:rPr>
        <w:t xml:space="preserve"> </w:t>
      </w:r>
      <w:r>
        <w:rPr>
          <w:color w:val="000000"/>
          <w:spacing w:val="7"/>
        </w:rPr>
        <w:t>T</w:t>
      </w:r>
      <w:r>
        <w:rPr>
          <w:color w:val="000000"/>
          <w:spacing w:val="-10"/>
        </w:rPr>
        <w:t>y</w:t>
      </w:r>
      <w:r>
        <w:rPr>
          <w:color w:val="000000"/>
          <w:spacing w:val="6"/>
        </w:rPr>
        <w:t>r</w:t>
      </w:r>
      <w:r>
        <w:rPr>
          <w:color w:val="000000"/>
        </w:rPr>
        <w:t>i</w:t>
      </w:r>
      <w:r>
        <w:rPr>
          <w:color w:val="000000"/>
          <w:spacing w:val="-4"/>
        </w:rPr>
        <w:t>m</w:t>
      </w:r>
      <w:r>
        <w:rPr>
          <w:color w:val="000000"/>
          <w:spacing w:val="4"/>
        </w:rPr>
        <w:t>a</w:t>
      </w:r>
      <w:r>
        <w:rPr>
          <w:color w:val="000000"/>
        </w:rPr>
        <w:t>s d</w:t>
      </w:r>
      <w:r>
        <w:rPr>
          <w:color w:val="000000"/>
          <w:spacing w:val="8"/>
        </w:rPr>
        <w:t>ė</w:t>
      </w:r>
      <w:r>
        <w:rPr>
          <w:color w:val="000000"/>
        </w:rPr>
        <w:t>l m</w:t>
      </w:r>
      <w:r>
        <w:rPr>
          <w:color w:val="000000"/>
          <w:spacing w:val="-4"/>
        </w:rPr>
        <w:t>i</w:t>
      </w:r>
      <w:r>
        <w:rPr>
          <w:color w:val="000000"/>
        </w:rPr>
        <w:t>n</w:t>
      </w:r>
      <w:r>
        <w:rPr>
          <w:color w:val="000000"/>
          <w:spacing w:val="-1"/>
        </w:rPr>
        <w:t>ė</w:t>
      </w:r>
      <w:r>
        <w:rPr>
          <w:color w:val="000000"/>
          <w:spacing w:val="5"/>
        </w:rPr>
        <w:t>t</w:t>
      </w:r>
      <w:r>
        <w:rPr>
          <w:color w:val="000000"/>
        </w:rPr>
        <w:t>ų</w:t>
      </w:r>
      <w:r>
        <w:rPr>
          <w:color w:val="000000"/>
          <w:spacing w:val="2"/>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7"/>
        </w:rPr>
        <w:t xml:space="preserve"> </w:t>
      </w:r>
      <w:r>
        <w:rPr>
          <w:color w:val="000000"/>
          <w:spacing w:val="-5"/>
        </w:rPr>
        <w:t>v</w:t>
      </w:r>
      <w:r>
        <w:rPr>
          <w:color w:val="000000"/>
          <w:spacing w:val="4"/>
        </w:rPr>
        <w:t>e</w:t>
      </w:r>
      <w:r>
        <w:rPr>
          <w:color w:val="000000"/>
          <w:spacing w:val="-4"/>
        </w:rPr>
        <w:t>i</w:t>
      </w:r>
      <w:r>
        <w:rPr>
          <w:color w:val="000000"/>
        </w:rPr>
        <w:t>kų</w:t>
      </w:r>
      <w:r>
        <w:rPr>
          <w:color w:val="000000"/>
          <w:spacing w:val="2"/>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5"/>
        </w:rPr>
        <w:t>b</w:t>
      </w:r>
      <w:r>
        <w:rPr>
          <w:color w:val="000000"/>
          <w:spacing w:val="4"/>
        </w:rPr>
        <w:t>a</w:t>
      </w:r>
      <w:r>
        <w:rPr>
          <w:color w:val="000000"/>
          <w:spacing w:val="-4"/>
        </w:rPr>
        <w:t>i</w:t>
      </w:r>
      <w:r>
        <w:rPr>
          <w:color w:val="000000"/>
        </w:rPr>
        <w:t>g</w:t>
      </w:r>
      <w:r>
        <w:rPr>
          <w:color w:val="000000"/>
          <w:spacing w:val="5"/>
        </w:rPr>
        <w:t>t</w:t>
      </w:r>
      <w:r>
        <w:rPr>
          <w:color w:val="000000"/>
          <w:spacing w:val="-1"/>
        </w:rPr>
        <w:t>a</w:t>
      </w:r>
      <w:r>
        <w:rPr>
          <w:color w:val="000000"/>
        </w:rPr>
        <w:t>s d</w:t>
      </w:r>
      <w:r>
        <w:rPr>
          <w:color w:val="000000"/>
          <w:spacing w:val="-1"/>
        </w:rPr>
        <w:t>a</w:t>
      </w:r>
      <w:r>
        <w:rPr>
          <w:color w:val="000000"/>
        </w:rPr>
        <w:t>r</w:t>
      </w:r>
      <w:r>
        <w:rPr>
          <w:color w:val="000000"/>
          <w:spacing w:val="4"/>
        </w:rPr>
        <w:t xml:space="preserve"> </w:t>
      </w:r>
      <w:r>
        <w:rPr>
          <w:color w:val="000000"/>
          <w:spacing w:val="-5"/>
        </w:rPr>
        <w:t>2</w:t>
      </w:r>
      <w:r>
        <w:rPr>
          <w:color w:val="000000"/>
        </w:rPr>
        <w:t>011</w:t>
      </w:r>
      <w:r>
        <w:rPr>
          <w:color w:val="000000"/>
          <w:spacing w:val="2"/>
        </w:rPr>
        <w:t xml:space="preserve"> </w:t>
      </w:r>
      <w:r>
        <w:rPr>
          <w:color w:val="000000"/>
          <w:spacing w:val="-9"/>
        </w:rPr>
        <w:t>m</w:t>
      </w:r>
      <w:r>
        <w:rPr>
          <w:color w:val="000000"/>
        </w:rPr>
        <w:t>.</w:t>
      </w:r>
      <w:r>
        <w:rPr>
          <w:color w:val="000000"/>
          <w:spacing w:val="9"/>
        </w:rPr>
        <w:t xml:space="preserve"> </w:t>
      </w:r>
      <w:r>
        <w:rPr>
          <w:color w:val="000000"/>
          <w:spacing w:val="-4"/>
        </w:rPr>
        <w:t>li</w:t>
      </w:r>
      <w:r>
        <w:rPr>
          <w:color w:val="000000"/>
          <w:spacing w:val="-1"/>
        </w:rPr>
        <w:t>e</w:t>
      </w:r>
      <w:r>
        <w:rPr>
          <w:color w:val="000000"/>
        </w:rPr>
        <w:t>p</w:t>
      </w:r>
      <w:r>
        <w:rPr>
          <w:color w:val="000000"/>
          <w:spacing w:val="5"/>
        </w:rPr>
        <w:t>o</w:t>
      </w:r>
      <w:r>
        <w:rPr>
          <w:color w:val="000000"/>
        </w:rPr>
        <w:t>s</w:t>
      </w:r>
      <w:r>
        <w:rPr>
          <w:color w:val="000000"/>
          <w:spacing w:val="5"/>
        </w:rPr>
        <w:t xml:space="preserve"> </w:t>
      </w:r>
      <w:r>
        <w:rPr>
          <w:color w:val="000000"/>
          <w:spacing w:val="-9"/>
        </w:rPr>
        <w:t>m</w:t>
      </w:r>
      <w:r>
        <w:rPr>
          <w:color w:val="000000"/>
          <w:spacing w:val="4"/>
        </w:rPr>
        <w:t>ė</w:t>
      </w:r>
      <w:r>
        <w:rPr>
          <w:color w:val="000000"/>
        </w:rPr>
        <w:t>n</w:t>
      </w:r>
      <w:r>
        <w:rPr>
          <w:color w:val="000000"/>
          <w:spacing w:val="-1"/>
        </w:rPr>
        <w:t>e</w:t>
      </w:r>
      <w:r>
        <w:rPr>
          <w:color w:val="000000"/>
          <w:spacing w:val="2"/>
        </w:rPr>
        <w:t>s</w:t>
      </w:r>
      <w:r>
        <w:rPr>
          <w:color w:val="000000"/>
          <w:spacing w:val="-9"/>
        </w:rPr>
        <w:t>į</w:t>
      </w:r>
      <w:r>
        <w:rPr>
          <w:color w:val="000000"/>
        </w:rPr>
        <w:t>.</w:t>
      </w:r>
      <w:r>
        <w:rPr>
          <w:color w:val="000000"/>
          <w:spacing w:val="4"/>
        </w:rPr>
        <w:t xml:space="preserve"> </w:t>
      </w:r>
      <w:r>
        <w:rPr>
          <w:color w:val="000000"/>
        </w:rPr>
        <w:t>N</w:t>
      </w:r>
      <w:r>
        <w:rPr>
          <w:color w:val="000000"/>
          <w:spacing w:val="3"/>
        </w:rPr>
        <w:t>e</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rPr>
        <w:t>u</w:t>
      </w:r>
      <w:r>
        <w:rPr>
          <w:color w:val="000000"/>
          <w:spacing w:val="9"/>
        </w:rPr>
        <w:t>o</w:t>
      </w:r>
      <w:r>
        <w:rPr>
          <w:color w:val="000000"/>
          <w:spacing w:val="-9"/>
        </w:rPr>
        <w:t>j</w:t>
      </w:r>
      <w:r>
        <w:rPr>
          <w:color w:val="000000"/>
          <w:spacing w:val="4"/>
        </w:rPr>
        <w:t>a</w:t>
      </w:r>
      <w:r>
        <w:rPr>
          <w:color w:val="000000"/>
          <w:spacing w:val="-5"/>
        </w:rPr>
        <w:t>n</w:t>
      </w:r>
      <w:r>
        <w:rPr>
          <w:color w:val="000000"/>
        </w:rPr>
        <w:t>t</w:t>
      </w:r>
      <w:r>
        <w:rPr>
          <w:color w:val="000000"/>
          <w:spacing w:val="7"/>
        </w:rPr>
        <w:t xml:space="preserve"> </w:t>
      </w:r>
      <w:r>
        <w:rPr>
          <w:color w:val="000000"/>
          <w:spacing w:val="2"/>
        </w:rPr>
        <w:t>š</w:t>
      </w:r>
      <w:r>
        <w:rPr>
          <w:color w:val="000000"/>
          <w:spacing w:val="-9"/>
        </w:rPr>
        <w:t>i</w:t>
      </w:r>
      <w:r>
        <w:rPr>
          <w:color w:val="000000"/>
        </w:rPr>
        <w:t>ų</w:t>
      </w:r>
      <w:r>
        <w:rPr>
          <w:color w:val="000000"/>
          <w:spacing w:val="2"/>
        </w:rPr>
        <w:t xml:space="preserve"> </w:t>
      </w:r>
      <w:r>
        <w:rPr>
          <w:color w:val="000000"/>
        </w:rPr>
        <w:t xml:space="preserve">569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 xml:space="preserve">ų </w:t>
      </w:r>
      <w:r>
        <w:rPr>
          <w:color w:val="000000"/>
          <w:spacing w:val="33"/>
        </w:rPr>
        <w:t xml:space="preserve"> </w:t>
      </w:r>
      <w:r>
        <w:rPr>
          <w:color w:val="000000"/>
        </w:rPr>
        <w:t>v</w:t>
      </w:r>
      <w:r>
        <w:rPr>
          <w:color w:val="000000"/>
          <w:spacing w:val="4"/>
        </w:rPr>
        <w:t>e</w:t>
      </w:r>
      <w:r>
        <w:rPr>
          <w:color w:val="000000"/>
          <w:spacing w:val="-9"/>
        </w:rPr>
        <w:t>i</w:t>
      </w:r>
      <w:r>
        <w:rPr>
          <w:color w:val="000000"/>
        </w:rPr>
        <w:t xml:space="preserve">kų, </w:t>
      </w:r>
      <w:r>
        <w:rPr>
          <w:color w:val="000000"/>
          <w:spacing w:val="36"/>
        </w:rPr>
        <w:t xml:space="preserve"> </w:t>
      </w:r>
      <w:r>
        <w:rPr>
          <w:color w:val="000000"/>
        </w:rPr>
        <w:t>g</w:t>
      </w:r>
      <w:r>
        <w:rPr>
          <w:color w:val="000000"/>
          <w:spacing w:val="-1"/>
        </w:rPr>
        <w:t>a</w:t>
      </w:r>
      <w:r>
        <w:rPr>
          <w:color w:val="000000"/>
        </w:rPr>
        <w:t>u</w:t>
      </w:r>
      <w:r>
        <w:rPr>
          <w:color w:val="000000"/>
          <w:spacing w:val="5"/>
        </w:rPr>
        <w:t>t</w:t>
      </w:r>
      <w:r>
        <w:rPr>
          <w:color w:val="000000"/>
        </w:rPr>
        <w:t>u</w:t>
      </w:r>
      <w:r>
        <w:rPr>
          <w:color w:val="000000"/>
          <w:spacing w:val="-4"/>
        </w:rPr>
        <w:t>m</w:t>
      </w:r>
      <w:r>
        <w:rPr>
          <w:color w:val="000000"/>
          <w:spacing w:val="-1"/>
        </w:rPr>
        <w:t>e</w:t>
      </w:r>
      <w:r>
        <w:rPr>
          <w:color w:val="000000"/>
        </w:rPr>
        <w:t xml:space="preserve">, </w:t>
      </w:r>
      <w:r>
        <w:rPr>
          <w:color w:val="000000"/>
          <w:spacing w:val="36"/>
        </w:rPr>
        <w:t xml:space="preserve"> </w:t>
      </w:r>
      <w:r>
        <w:rPr>
          <w:color w:val="000000"/>
        </w:rPr>
        <w:t>k</w:t>
      </w:r>
      <w:r>
        <w:rPr>
          <w:color w:val="000000"/>
          <w:spacing w:val="-1"/>
        </w:rPr>
        <w:t>a</w:t>
      </w:r>
      <w:r>
        <w:rPr>
          <w:color w:val="000000"/>
        </w:rPr>
        <w:t xml:space="preserve">d </w:t>
      </w:r>
      <w:r>
        <w:rPr>
          <w:color w:val="000000"/>
          <w:spacing w:val="33"/>
        </w:rPr>
        <w:t xml:space="preserve"> </w:t>
      </w:r>
      <w:r>
        <w:rPr>
          <w:color w:val="000000"/>
        </w:rPr>
        <w:t xml:space="preserve">2012 </w:t>
      </w:r>
      <w:r>
        <w:rPr>
          <w:color w:val="000000"/>
          <w:spacing w:val="33"/>
        </w:rPr>
        <w:t xml:space="preserve"> </w:t>
      </w:r>
      <w:r>
        <w:rPr>
          <w:color w:val="000000"/>
          <w:spacing w:val="-9"/>
        </w:rPr>
        <w:t>m</w:t>
      </w:r>
      <w:r>
        <w:rPr>
          <w:color w:val="000000"/>
        </w:rPr>
        <w:t xml:space="preserve">. </w:t>
      </w:r>
      <w:r>
        <w:rPr>
          <w:color w:val="000000"/>
          <w:spacing w:val="36"/>
        </w:rPr>
        <w:t xml:space="preserve"> </w:t>
      </w:r>
      <w:r>
        <w:rPr>
          <w:color w:val="000000"/>
        </w:rPr>
        <w:t>bu</w:t>
      </w:r>
      <w:r>
        <w:rPr>
          <w:color w:val="000000"/>
          <w:spacing w:val="-5"/>
        </w:rPr>
        <w:t>v</w:t>
      </w:r>
      <w:r>
        <w:rPr>
          <w:color w:val="000000"/>
        </w:rPr>
        <w:t xml:space="preserve">o </w:t>
      </w:r>
      <w:r>
        <w:rPr>
          <w:color w:val="000000"/>
          <w:spacing w:val="38"/>
        </w:rPr>
        <w:t xml:space="preserve"> </w:t>
      </w:r>
      <w:r>
        <w:rPr>
          <w:color w:val="000000"/>
        </w:rPr>
        <w:t>u</w:t>
      </w:r>
      <w:r>
        <w:rPr>
          <w:color w:val="000000"/>
          <w:spacing w:val="-1"/>
        </w:rPr>
        <w:t>ž</w:t>
      </w:r>
      <w:r>
        <w:rPr>
          <w:color w:val="000000"/>
          <w:spacing w:val="1"/>
        </w:rPr>
        <w:t>r</w:t>
      </w:r>
      <w:r>
        <w:rPr>
          <w:color w:val="000000"/>
          <w:spacing w:val="-1"/>
        </w:rPr>
        <w:t>e</w:t>
      </w:r>
      <w:r>
        <w:rPr>
          <w:color w:val="000000"/>
        </w:rPr>
        <w:t>g</w:t>
      </w:r>
      <w:r>
        <w:rPr>
          <w:color w:val="000000"/>
          <w:spacing w:val="-4"/>
        </w:rPr>
        <w:t>i</w:t>
      </w:r>
      <w:r>
        <w:rPr>
          <w:color w:val="000000"/>
          <w:spacing w:val="-2"/>
        </w:rPr>
        <w:t>s</w:t>
      </w:r>
      <w:r>
        <w:rPr>
          <w:color w:val="000000"/>
          <w:spacing w:val="5"/>
        </w:rPr>
        <w:t>t</w:t>
      </w:r>
      <w:r>
        <w:rPr>
          <w:color w:val="000000"/>
          <w:spacing w:val="1"/>
        </w:rPr>
        <w:t>r</w:t>
      </w:r>
      <w:r>
        <w:rPr>
          <w:color w:val="000000"/>
          <w:spacing w:val="-5"/>
        </w:rPr>
        <w:t>u</w:t>
      </w:r>
      <w:r>
        <w:rPr>
          <w:color w:val="000000"/>
        </w:rPr>
        <w:t>ot</w:t>
      </w:r>
      <w:r>
        <w:rPr>
          <w:color w:val="000000"/>
          <w:spacing w:val="5"/>
        </w:rPr>
        <w:t>o</w:t>
      </w:r>
      <w:r>
        <w:rPr>
          <w:color w:val="000000"/>
        </w:rPr>
        <w:t xml:space="preserve">s </w:t>
      </w:r>
      <w:r>
        <w:rPr>
          <w:color w:val="000000"/>
          <w:spacing w:val="40"/>
        </w:rPr>
        <w:t xml:space="preserve"> </w:t>
      </w:r>
      <w:r>
        <w:rPr>
          <w:b/>
          <w:bCs/>
          <w:color w:val="000000"/>
        </w:rPr>
        <w:t xml:space="preserve">2437 </w:t>
      </w:r>
      <w:r>
        <w:rPr>
          <w:b/>
          <w:bCs/>
          <w:color w:val="000000"/>
          <w:spacing w:val="34"/>
        </w:rPr>
        <w:t xml:space="preserve"> </w:t>
      </w:r>
      <w:r>
        <w:rPr>
          <w:color w:val="000000"/>
          <w:spacing w:val="-5"/>
        </w:rPr>
        <w:t>n</w:t>
      </w:r>
      <w:r>
        <w:rPr>
          <w:color w:val="000000"/>
        </w:rPr>
        <w:t>u</w:t>
      </w:r>
      <w:r>
        <w:rPr>
          <w:color w:val="000000"/>
          <w:spacing w:val="2"/>
        </w:rPr>
        <w:t>s</w:t>
      </w:r>
      <w:r>
        <w:rPr>
          <w:color w:val="000000"/>
          <w:spacing w:val="-9"/>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 xml:space="preserve">s </w:t>
      </w:r>
      <w:r>
        <w:rPr>
          <w:color w:val="000000"/>
          <w:spacing w:val="31"/>
        </w:rPr>
        <w:t xml:space="preserve"> </w:t>
      </w:r>
      <w:r>
        <w:rPr>
          <w:color w:val="000000"/>
        </w:rPr>
        <w:t>v</w:t>
      </w:r>
      <w:r>
        <w:rPr>
          <w:color w:val="000000"/>
          <w:spacing w:val="4"/>
        </w:rPr>
        <w:t>e</w:t>
      </w:r>
      <w:r>
        <w:rPr>
          <w:color w:val="000000"/>
          <w:spacing w:val="-4"/>
        </w:rPr>
        <w:t>i</w:t>
      </w:r>
      <w:r>
        <w:rPr>
          <w:color w:val="000000"/>
        </w:rPr>
        <w:t>k</w:t>
      </w:r>
      <w:r>
        <w:rPr>
          <w:color w:val="000000"/>
          <w:spacing w:val="5"/>
        </w:rPr>
        <w:t>o</w:t>
      </w:r>
      <w:r>
        <w:rPr>
          <w:color w:val="000000"/>
        </w:rPr>
        <w:t xml:space="preserve">s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9"/>
        </w:rPr>
        <w:t>i</w:t>
      </w:r>
      <w:r>
        <w:rPr>
          <w:color w:val="000000"/>
          <w:spacing w:val="5"/>
        </w:rPr>
        <w:t>o</w:t>
      </w:r>
      <w:r>
        <w:rPr>
          <w:color w:val="000000"/>
        </w:rPr>
        <w:t>s</w:t>
      </w:r>
      <w:r>
        <w:rPr>
          <w:color w:val="000000"/>
          <w:spacing w:val="10"/>
        </w:rPr>
        <w:t xml:space="preserve"> </w:t>
      </w:r>
      <w:r>
        <w:rPr>
          <w:color w:val="000000"/>
          <w:spacing w:val="-2"/>
        </w:rPr>
        <w:t>s</w:t>
      </w:r>
      <w:r>
        <w:rPr>
          <w:color w:val="000000"/>
        </w:rPr>
        <w:t>u</w:t>
      </w:r>
      <w:r>
        <w:rPr>
          <w:color w:val="000000"/>
          <w:spacing w:val="7"/>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u</w:t>
      </w:r>
      <w:r>
        <w:rPr>
          <w:color w:val="000000"/>
          <w:spacing w:val="7"/>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7"/>
        </w:rPr>
        <w:t xml:space="preserve"> </w:t>
      </w:r>
      <w:r>
        <w:rPr>
          <w:color w:val="000000"/>
          <w:spacing w:val="5"/>
        </w:rPr>
        <w:t>d</w:t>
      </w:r>
      <w:r>
        <w:rPr>
          <w:color w:val="000000"/>
          <w:spacing w:val="-4"/>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4"/>
        </w:rPr>
        <w:t>m</w:t>
      </w:r>
      <w:r>
        <w:rPr>
          <w:color w:val="000000"/>
        </w:rPr>
        <w:t>u,</w:t>
      </w:r>
      <w:r>
        <w:rPr>
          <w:color w:val="000000"/>
          <w:spacing w:val="15"/>
        </w:rPr>
        <w:t xml:space="preserve"> </w:t>
      </w:r>
      <w:r>
        <w:rPr>
          <w:color w:val="000000"/>
        </w:rPr>
        <w:t>t.</w:t>
      </w:r>
      <w:r>
        <w:rPr>
          <w:color w:val="000000"/>
          <w:spacing w:val="10"/>
        </w:rPr>
        <w:t xml:space="preserve"> </w:t>
      </w:r>
      <w:r>
        <w:rPr>
          <w:color w:val="000000"/>
          <w:spacing w:val="-5"/>
        </w:rPr>
        <w:t>y</w:t>
      </w:r>
      <w:r>
        <w:rPr>
          <w:color w:val="000000"/>
        </w:rPr>
        <w:t>.</w:t>
      </w:r>
      <w:r>
        <w:rPr>
          <w:color w:val="000000"/>
          <w:spacing w:val="10"/>
        </w:rPr>
        <w:t xml:space="preserve"> </w:t>
      </w:r>
      <w:r>
        <w:rPr>
          <w:b/>
          <w:bCs/>
          <w:color w:val="000000"/>
        </w:rPr>
        <w:t>8</w:t>
      </w:r>
      <w:r>
        <w:rPr>
          <w:b/>
          <w:bCs/>
          <w:color w:val="000000"/>
          <w:spacing w:val="7"/>
        </w:rPr>
        <w:t xml:space="preserve"> </w:t>
      </w:r>
      <w:r>
        <w:rPr>
          <w:b/>
          <w:bCs/>
          <w:color w:val="000000"/>
        </w:rPr>
        <w:t>%</w:t>
      </w:r>
      <w:r>
        <w:rPr>
          <w:b/>
          <w:bCs/>
          <w:color w:val="000000"/>
          <w:spacing w:val="3"/>
        </w:rPr>
        <w:t xml:space="preserve"> </w:t>
      </w:r>
      <w:r>
        <w:rPr>
          <w:color w:val="000000"/>
        </w:rPr>
        <w:t>d</w:t>
      </w:r>
      <w:r>
        <w:rPr>
          <w:color w:val="000000"/>
          <w:spacing w:val="-1"/>
        </w:rPr>
        <w:t>a</w:t>
      </w:r>
      <w:r>
        <w:rPr>
          <w:color w:val="000000"/>
        </w:rPr>
        <w:t>ug</w:t>
      </w:r>
      <w:r>
        <w:rPr>
          <w:color w:val="000000"/>
          <w:spacing w:val="-9"/>
        </w:rPr>
        <w:t>i</w:t>
      </w:r>
      <w:r>
        <w:rPr>
          <w:color w:val="000000"/>
          <w:spacing w:val="-1"/>
        </w:rPr>
        <w:t>a</w:t>
      </w:r>
      <w:r>
        <w:rPr>
          <w:color w:val="000000"/>
        </w:rPr>
        <w:t>u</w:t>
      </w:r>
      <w:r>
        <w:rPr>
          <w:color w:val="000000"/>
          <w:spacing w:val="12"/>
        </w:rPr>
        <w:t xml:space="preserve"> </w:t>
      </w:r>
      <w:r>
        <w:rPr>
          <w:color w:val="000000"/>
          <w:spacing w:val="-5"/>
        </w:rPr>
        <w:t>n</w:t>
      </w:r>
      <w:r>
        <w:rPr>
          <w:color w:val="000000"/>
          <w:spacing w:val="-1"/>
        </w:rPr>
        <w:t>e</w:t>
      </w:r>
      <w:r>
        <w:rPr>
          <w:color w:val="000000"/>
        </w:rPr>
        <w:t>gu</w:t>
      </w:r>
      <w:r>
        <w:rPr>
          <w:color w:val="000000"/>
          <w:spacing w:val="7"/>
        </w:rPr>
        <w:t xml:space="preserve"> </w:t>
      </w:r>
      <w:r>
        <w:rPr>
          <w:color w:val="000000"/>
        </w:rPr>
        <w:t>2011</w:t>
      </w:r>
      <w:r>
        <w:rPr>
          <w:color w:val="000000"/>
          <w:spacing w:val="12"/>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4"/>
        </w:rPr>
        <w:t>i</w:t>
      </w:r>
      <w:r>
        <w:rPr>
          <w:color w:val="000000"/>
          <w:spacing w:val="-2"/>
        </w:rPr>
        <w:t>s</w:t>
      </w:r>
      <w:r>
        <w:rPr>
          <w:color w:val="000000"/>
        </w:rPr>
        <w:t>.</w:t>
      </w:r>
      <w:r>
        <w:rPr>
          <w:color w:val="000000"/>
          <w:spacing w:val="9"/>
        </w:rPr>
        <w:t xml:space="preserve"> </w:t>
      </w:r>
      <w:r>
        <w:rPr>
          <w:color w:val="000000"/>
          <w:spacing w:val="-2"/>
        </w:rPr>
        <w:t>M</w:t>
      </w:r>
      <w:r>
        <w:rPr>
          <w:color w:val="000000"/>
          <w:spacing w:val="4"/>
        </w:rPr>
        <w:t>a</w:t>
      </w:r>
      <w:r>
        <w:rPr>
          <w:color w:val="000000"/>
        </w:rPr>
        <w:t>n</w:t>
      </w:r>
      <w:r>
        <w:rPr>
          <w:color w:val="000000"/>
          <w:spacing w:val="-10"/>
        </w:rPr>
        <w:t>y</w:t>
      </w:r>
      <w:r>
        <w:rPr>
          <w:color w:val="000000"/>
          <w:spacing w:val="5"/>
        </w:rPr>
        <w:t>tu</w:t>
      </w:r>
      <w:r>
        <w:rPr>
          <w:color w:val="000000"/>
          <w:spacing w:val="-4"/>
        </w:rPr>
        <w:t>m</w:t>
      </w:r>
      <w:r>
        <w:rPr>
          <w:color w:val="000000"/>
          <w:spacing w:val="-1"/>
        </w:rPr>
        <w:t>e</w:t>
      </w:r>
      <w:r>
        <w:rPr>
          <w:color w:val="000000"/>
        </w:rPr>
        <w:t>,</w:t>
      </w:r>
      <w:r>
        <w:rPr>
          <w:color w:val="000000"/>
          <w:spacing w:val="9"/>
        </w:rPr>
        <w:t xml:space="preserve"> </w:t>
      </w:r>
      <w:r>
        <w:rPr>
          <w:color w:val="000000"/>
        </w:rPr>
        <w:t>k</w:t>
      </w:r>
      <w:r>
        <w:rPr>
          <w:color w:val="000000"/>
          <w:spacing w:val="-1"/>
        </w:rPr>
        <w:t>a</w:t>
      </w:r>
      <w:r>
        <w:rPr>
          <w:color w:val="000000"/>
        </w:rPr>
        <w:t>d</w:t>
      </w:r>
    </w:p>
    <w:p w:rsidR="004F7425" w:rsidRDefault="004F7425" w:rsidP="004F7425">
      <w:pPr>
        <w:widowControl w:val="0"/>
        <w:autoSpaceDE w:val="0"/>
        <w:autoSpaceDN w:val="0"/>
        <w:adjustRightInd w:val="0"/>
        <w:spacing w:before="6" w:line="271" w:lineRule="exact"/>
        <w:ind w:left="120" w:right="-20"/>
        <w:rPr>
          <w:color w:val="000000"/>
        </w:rPr>
      </w:pPr>
      <w:r>
        <w:rPr>
          <w:noProof/>
          <w:lang w:eastAsia="lt-LT"/>
        </w:rPr>
        <mc:AlternateContent>
          <mc:Choice Requires="wpg">
            <w:drawing>
              <wp:anchor distT="0" distB="0" distL="114300" distR="114300" simplePos="0" relativeHeight="251737088" behindDoc="1" locked="0" layoutInCell="0" allowOverlap="1">
                <wp:simplePos x="0" y="0"/>
                <wp:positionH relativeFrom="page">
                  <wp:posOffset>1075055</wp:posOffset>
                </wp:positionH>
                <wp:positionV relativeFrom="paragraph">
                  <wp:posOffset>410210</wp:posOffset>
                </wp:positionV>
                <wp:extent cx="6145530" cy="3336925"/>
                <wp:effectExtent l="0" t="0" r="7620" b="15875"/>
                <wp:wrapNone/>
                <wp:docPr id="394" name="Grupė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5530" cy="3336925"/>
                          <a:chOff x="1693" y="646"/>
                          <a:chExt cx="9678" cy="5255"/>
                        </a:xfrm>
                      </wpg:grpSpPr>
                      <wps:wsp>
                        <wps:cNvPr id="395" name="Freeform 39"/>
                        <wps:cNvSpPr>
                          <a:spLocks/>
                        </wps:cNvSpPr>
                        <wps:spPr bwMode="auto">
                          <a:xfrm>
                            <a:off x="1699" y="652"/>
                            <a:ext cx="9666" cy="20"/>
                          </a:xfrm>
                          <a:custGeom>
                            <a:avLst/>
                            <a:gdLst>
                              <a:gd name="T0" fmla="*/ 0 w 9666"/>
                              <a:gd name="T1" fmla="*/ 0 h 20"/>
                              <a:gd name="T2" fmla="*/ 9666 w 9666"/>
                              <a:gd name="T3" fmla="*/ 0 h 20"/>
                            </a:gdLst>
                            <a:ahLst/>
                            <a:cxnLst>
                              <a:cxn ang="0">
                                <a:pos x="T0" y="T1"/>
                              </a:cxn>
                              <a:cxn ang="0">
                                <a:pos x="T2" y="T3"/>
                              </a:cxn>
                            </a:cxnLst>
                            <a:rect l="0" t="0" r="r" b="b"/>
                            <a:pathLst>
                              <a:path w="9666" h="20">
                                <a:moveTo>
                                  <a:pt x="0" y="0"/>
                                </a:moveTo>
                                <a:lnTo>
                                  <a:pt x="9666"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Freeform 40"/>
                        <wps:cNvSpPr>
                          <a:spLocks/>
                        </wps:cNvSpPr>
                        <wps:spPr bwMode="auto">
                          <a:xfrm>
                            <a:off x="1704" y="657"/>
                            <a:ext cx="20" cy="5233"/>
                          </a:xfrm>
                          <a:custGeom>
                            <a:avLst/>
                            <a:gdLst>
                              <a:gd name="T0" fmla="*/ 0 w 20"/>
                              <a:gd name="T1" fmla="*/ 0 h 5233"/>
                              <a:gd name="T2" fmla="*/ 0 w 20"/>
                              <a:gd name="T3" fmla="*/ 5233 h 5233"/>
                            </a:gdLst>
                            <a:ahLst/>
                            <a:cxnLst>
                              <a:cxn ang="0">
                                <a:pos x="T0" y="T1"/>
                              </a:cxn>
                              <a:cxn ang="0">
                                <a:pos x="T2" y="T3"/>
                              </a:cxn>
                            </a:cxnLst>
                            <a:rect l="0" t="0" r="r" b="b"/>
                            <a:pathLst>
                              <a:path w="20" h="5233">
                                <a:moveTo>
                                  <a:pt x="0" y="0"/>
                                </a:moveTo>
                                <a:lnTo>
                                  <a:pt x="0" y="523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Freeform 41"/>
                        <wps:cNvSpPr>
                          <a:spLocks/>
                        </wps:cNvSpPr>
                        <wps:spPr bwMode="auto">
                          <a:xfrm>
                            <a:off x="11361" y="657"/>
                            <a:ext cx="20" cy="5233"/>
                          </a:xfrm>
                          <a:custGeom>
                            <a:avLst/>
                            <a:gdLst>
                              <a:gd name="T0" fmla="*/ 0 w 20"/>
                              <a:gd name="T1" fmla="*/ 0 h 5233"/>
                              <a:gd name="T2" fmla="*/ 0 w 20"/>
                              <a:gd name="T3" fmla="*/ 5233 h 5233"/>
                            </a:gdLst>
                            <a:ahLst/>
                            <a:cxnLst>
                              <a:cxn ang="0">
                                <a:pos x="T0" y="T1"/>
                              </a:cxn>
                              <a:cxn ang="0">
                                <a:pos x="T2" y="T3"/>
                              </a:cxn>
                            </a:cxnLst>
                            <a:rect l="0" t="0" r="r" b="b"/>
                            <a:pathLst>
                              <a:path w="20" h="5233">
                                <a:moveTo>
                                  <a:pt x="0" y="0"/>
                                </a:moveTo>
                                <a:lnTo>
                                  <a:pt x="0" y="523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42"/>
                        <wps:cNvSpPr>
                          <a:spLocks/>
                        </wps:cNvSpPr>
                        <wps:spPr bwMode="auto">
                          <a:xfrm>
                            <a:off x="1699" y="5895"/>
                            <a:ext cx="9666" cy="20"/>
                          </a:xfrm>
                          <a:custGeom>
                            <a:avLst/>
                            <a:gdLst>
                              <a:gd name="T0" fmla="*/ 0 w 9666"/>
                              <a:gd name="T1" fmla="*/ 0 h 20"/>
                              <a:gd name="T2" fmla="*/ 9666 w 9666"/>
                              <a:gd name="T3" fmla="*/ 0 h 20"/>
                            </a:gdLst>
                            <a:ahLst/>
                            <a:cxnLst>
                              <a:cxn ang="0">
                                <a:pos x="T0" y="T1"/>
                              </a:cxn>
                              <a:cxn ang="0">
                                <a:pos x="T2" y="T3"/>
                              </a:cxn>
                            </a:cxnLst>
                            <a:rect l="0" t="0" r="r" b="b"/>
                            <a:pathLst>
                              <a:path w="9666" h="20">
                                <a:moveTo>
                                  <a:pt x="0" y="0"/>
                                </a:moveTo>
                                <a:lnTo>
                                  <a:pt x="966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394" o:spid="_x0000_s1026" style="position:absolute;margin-left:84.65pt;margin-top:32.3pt;width:483.9pt;height:262.75pt;z-index:-251579392;mso-position-horizontal-relative:page" coordorigin="1693,646" coordsize="9678,5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" o:allowincell="f">
                <v:shape id="Freeform 39" o:spid="_x0000_s1027" style="position:absolute;left:1699;top:652;width:9666;height:20;visibility:visible;mso-wrap-style:square;v-text-anchor:top" coordsize="96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HamMIA&#10;AADcAAAADwAAAGRycy9kb3ducmV2LnhtbESPQWvCQBSE7wX/w/KE3upGa0Wjq4ggem3qxdsj+5oE&#10;s29D9qmJv94VCj0OM/MNs9p0rlY3akPl2cB4lIAizr2tuDBw+tl/zEEFQbZYeyYDPQXYrAdvK0yt&#10;v/M33TIpVIRwSNFAKdKkWoe8JIdh5Bvi6P361qFE2RbatniPcFfrSZLMtMOK40KJDe1Kyi/Z1RmY&#10;H0hOftr32XmWn93DLR5TFGPeh912CUqok//wX/toDXwuvuB1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dqYwgAAANwAAAAPAAAAAAAAAAAAAAAAAJgCAABkcnMvZG93&#10;bnJldi54bWxQSwUGAAAAAAQABAD1AAAAhwMAAAAA&#10;" path="m,l9666,e" filled="f" strokeweight=".20458mm">
                  <v:path arrowok="t" o:connecttype="custom" o:connectlocs="0,0;9666,0" o:connectangles="0,0"/>
                </v:shape>
                <v:shape id="Freeform 40" o:spid="_x0000_s1028" style="position:absolute;left:1704;top:657;width:20;height:5233;visibility:visible;mso-wrap-style:square;v-text-anchor:top" coordsize="20,5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55H8UA&#10;AADcAAAADwAAAGRycy9kb3ducmV2LnhtbESPQWsCMRSE74L/IbxCb5rtFpa6NUoRtIUKpWsPHh+b&#10;52bt5mXZRE3/vRGEHoeZ+YaZL6PtxJkG3zpW8DTNQBDXTrfcKPjZrScvIHxA1tg5JgV/5GG5GI/m&#10;WGp34W86V6ERCcK+RAUmhL6U0teGLPqp64mTd3CDxZDk0Eg94CXBbSfzLCukxZbTgsGeVobq3+pk&#10;FUT6yrcZz46F2XxKf8r3u/i+V+rxIb69gggUw3/43v7QCp5nBdzOpCM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DnkfxQAAANwAAAAPAAAAAAAAAAAAAAAAAJgCAABkcnMv&#10;ZG93bnJldi54bWxQSwUGAAAAAAQABAD1AAAAigMAAAAA&#10;" path="m,l,5233e" filled="f" strokeweight=".58pt">
                  <v:path arrowok="t" o:connecttype="custom" o:connectlocs="0,0;0,5233" o:connectangles="0,0"/>
                </v:shape>
                <v:shape id="Freeform 41" o:spid="_x0000_s1029" style="position:absolute;left:11361;top:657;width:20;height:5233;visibility:visible;mso-wrap-style:square;v-text-anchor:top" coordsize="20,5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5A8MA&#10;AADcAAAADwAAAGRycy9kb3ducmV2LnhtbESPQWvCQBSE70L/w/IKvelGC9WmWaUIBamXmuj9kX3N&#10;hmTfLtmtxv56Vyj0OMzMN0yxGW0vzjSE1rGC+SwDQVw73XKj4Fh9TFcgQkTW2DsmBVcKsFk/TArM&#10;tbvwgc5lbESCcMhRgYnR51KG2pDFMHOeOHnfbrAYkxwaqQe8JLjt5SLLXqTFltOCQU9bQ3VX/tg7&#10;pdtHf9W7r08zr+hYV86ffpV6ehzf30BEGuN/+K+90wqeX5dwP5OO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5A8MAAADcAAAADwAAAAAAAAAAAAAAAACYAgAAZHJzL2Rv&#10;d25yZXYueG1sUEsFBgAAAAAEAAQA9QAAAIgDAAAAAA==&#10;" path="m,l,5233e" filled="f" strokeweight=".20458mm">
                  <v:path arrowok="t" o:connecttype="custom" o:connectlocs="0,0;0,5233" o:connectangles="0,0"/>
                </v:shape>
                <v:shape id="Freeform 42" o:spid="_x0000_s1030" style="position:absolute;left:1699;top:5895;width:9666;height:20;visibility:visible;mso-wrap-style:square;v-text-anchor:top" coordsize="96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q8NsEA&#10;AADcAAAADwAAAGRycy9kb3ducmV2LnhtbERPyW7CMBC9I/UfrKnUCwInRUJtioNKpQp6hKb3IZ5m&#10;aTwOtoHQr8cHJI5Pb18sB9OJEznfWFaQThMQxKXVDVcKiu/PyQsIH5A1dpZJwYU8LPOH0QIzbc+8&#10;pdMuVCKGsM9QQR1Cn0npy5oM+qntiSP3a53BEKGrpHZ4juGmk89JMpcGG44NNfb0UVP5tzsaBRL/&#10;0/VPOwtfh6J1K4PpuNh3Sj09Du9vIAIN4S6+uTdawew1ro1n4hGQ+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qvDbBAAAA3AAAAA8AAAAAAAAAAAAAAAAAmAIAAGRycy9kb3du&#10;cmV2LnhtbFBLBQYAAAAABAAEAPUAAACGAwAAAAA=&#10;" path="m,l9666,e" filled="f" strokeweight=".58pt">
                  <v:path arrowok="t" o:connecttype="custom" o:connectlocs="0,0;9666,0" o:connectangles="0,0"/>
                </v:shape>
                <w10:wrap anchorx="page"/>
              </v:group>
            </w:pict>
          </mc:Fallback>
        </mc:AlternateContent>
      </w:r>
      <w:r>
        <w:rPr>
          <w:color w:val="000000"/>
          <w:position w:val="-1"/>
        </w:rPr>
        <w:t>p</w:t>
      </w:r>
      <w:r>
        <w:rPr>
          <w:color w:val="000000"/>
          <w:spacing w:val="-1"/>
          <w:position w:val="-1"/>
        </w:rPr>
        <w:t>a</w:t>
      </w:r>
      <w:r>
        <w:rPr>
          <w:color w:val="000000"/>
          <w:spacing w:val="-2"/>
          <w:position w:val="-1"/>
        </w:rPr>
        <w:t>s</w:t>
      </w:r>
      <w:r>
        <w:rPr>
          <w:color w:val="000000"/>
          <w:spacing w:val="5"/>
          <w:position w:val="-1"/>
        </w:rPr>
        <w:t>t</w:t>
      </w:r>
      <w:r>
        <w:rPr>
          <w:color w:val="000000"/>
          <w:spacing w:val="-1"/>
          <w:position w:val="-1"/>
        </w:rPr>
        <w:t>a</w:t>
      </w:r>
      <w:r>
        <w:rPr>
          <w:color w:val="000000"/>
          <w:spacing w:val="1"/>
          <w:position w:val="-1"/>
        </w:rPr>
        <w:t>r</w:t>
      </w:r>
      <w:r>
        <w:rPr>
          <w:color w:val="000000"/>
          <w:spacing w:val="-9"/>
          <w:position w:val="-1"/>
        </w:rPr>
        <w:t>i</w:t>
      </w:r>
      <w:r>
        <w:rPr>
          <w:color w:val="000000"/>
          <w:spacing w:val="4"/>
          <w:position w:val="-1"/>
        </w:rPr>
        <w:t>e</w:t>
      </w:r>
      <w:r>
        <w:rPr>
          <w:color w:val="000000"/>
          <w:position w:val="-1"/>
        </w:rPr>
        <w:t>ji</w:t>
      </w:r>
      <w:r>
        <w:rPr>
          <w:color w:val="000000"/>
          <w:spacing w:val="-2"/>
          <w:position w:val="-1"/>
        </w:rPr>
        <w:t xml:space="preserve"> s</w:t>
      </w:r>
      <w:r>
        <w:rPr>
          <w:color w:val="000000"/>
          <w:position w:val="-1"/>
        </w:rPr>
        <w:t>k</w:t>
      </w:r>
      <w:r>
        <w:rPr>
          <w:color w:val="000000"/>
          <w:spacing w:val="4"/>
          <w:position w:val="-1"/>
        </w:rPr>
        <w:t>a</w:t>
      </w:r>
      <w:r>
        <w:rPr>
          <w:color w:val="000000"/>
          <w:spacing w:val="-4"/>
          <w:position w:val="-1"/>
        </w:rPr>
        <w:t>i</w:t>
      </w:r>
      <w:r>
        <w:rPr>
          <w:color w:val="000000"/>
          <w:spacing w:val="4"/>
          <w:position w:val="-1"/>
        </w:rPr>
        <w:t>č</w:t>
      </w:r>
      <w:r>
        <w:rPr>
          <w:color w:val="000000"/>
          <w:spacing w:val="-4"/>
          <w:position w:val="-1"/>
        </w:rPr>
        <w:t>i</w:t>
      </w:r>
      <w:r>
        <w:rPr>
          <w:color w:val="000000"/>
          <w:spacing w:val="4"/>
          <w:position w:val="-1"/>
        </w:rPr>
        <w:t>a</w:t>
      </w:r>
      <w:r>
        <w:rPr>
          <w:color w:val="000000"/>
          <w:position w:val="-1"/>
        </w:rPr>
        <w:t>i</w:t>
      </w:r>
      <w:r>
        <w:rPr>
          <w:color w:val="000000"/>
          <w:spacing w:val="-2"/>
          <w:position w:val="-1"/>
        </w:rPr>
        <w:t xml:space="preserve"> </w:t>
      </w:r>
      <w:r>
        <w:rPr>
          <w:color w:val="000000"/>
          <w:spacing w:val="-1"/>
          <w:position w:val="-1"/>
        </w:rPr>
        <w:t>a</w:t>
      </w:r>
      <w:r>
        <w:rPr>
          <w:color w:val="000000"/>
          <w:spacing w:val="5"/>
          <w:position w:val="-1"/>
        </w:rPr>
        <w:t>t</w:t>
      </w:r>
      <w:r>
        <w:rPr>
          <w:color w:val="000000"/>
          <w:spacing w:val="-2"/>
          <w:position w:val="-1"/>
        </w:rPr>
        <w:t>s</w:t>
      </w:r>
      <w:r>
        <w:rPr>
          <w:color w:val="000000"/>
          <w:spacing w:val="5"/>
          <w:position w:val="-1"/>
        </w:rPr>
        <w:t>p</w:t>
      </w:r>
      <w:r>
        <w:rPr>
          <w:color w:val="000000"/>
          <w:spacing w:val="-4"/>
          <w:position w:val="-1"/>
        </w:rPr>
        <w:t>i</w:t>
      </w:r>
      <w:r>
        <w:rPr>
          <w:color w:val="000000"/>
          <w:spacing w:val="-5"/>
          <w:position w:val="-1"/>
        </w:rPr>
        <w:t>n</w:t>
      </w:r>
      <w:r>
        <w:rPr>
          <w:color w:val="000000"/>
          <w:spacing w:val="5"/>
          <w:position w:val="-1"/>
        </w:rPr>
        <w:t>d</w:t>
      </w:r>
      <w:r>
        <w:rPr>
          <w:color w:val="000000"/>
          <w:position w:val="-1"/>
        </w:rPr>
        <w:t>i</w:t>
      </w:r>
      <w:r>
        <w:rPr>
          <w:color w:val="000000"/>
          <w:spacing w:val="-2"/>
          <w:position w:val="-1"/>
        </w:rPr>
        <w:t xml:space="preserve"> </w:t>
      </w:r>
      <w:r>
        <w:rPr>
          <w:color w:val="000000"/>
          <w:spacing w:val="1"/>
          <w:position w:val="-1"/>
        </w:rPr>
        <w:t>r</w:t>
      </w:r>
      <w:r>
        <w:rPr>
          <w:color w:val="000000"/>
          <w:spacing w:val="-1"/>
          <w:position w:val="-1"/>
        </w:rPr>
        <w:t>e</w:t>
      </w:r>
      <w:r>
        <w:rPr>
          <w:color w:val="000000"/>
          <w:spacing w:val="4"/>
          <w:position w:val="-1"/>
        </w:rPr>
        <w:t>a</w:t>
      </w:r>
      <w:r>
        <w:rPr>
          <w:color w:val="000000"/>
          <w:position w:val="-1"/>
        </w:rPr>
        <w:t>l</w:t>
      </w:r>
      <w:r>
        <w:rPr>
          <w:color w:val="000000"/>
          <w:spacing w:val="-4"/>
          <w:position w:val="-1"/>
        </w:rPr>
        <w:t>i</w:t>
      </w:r>
      <w:r>
        <w:rPr>
          <w:color w:val="000000"/>
          <w:position w:val="-1"/>
        </w:rPr>
        <w:t>ą</w:t>
      </w:r>
      <w:r>
        <w:rPr>
          <w:color w:val="000000"/>
          <w:spacing w:val="1"/>
          <w:position w:val="-1"/>
        </w:rPr>
        <w:t xml:space="preserve"> </w:t>
      </w:r>
      <w:r>
        <w:rPr>
          <w:color w:val="000000"/>
          <w:spacing w:val="-2"/>
          <w:position w:val="-1"/>
        </w:rPr>
        <w:t>s</w:t>
      </w:r>
      <w:r>
        <w:rPr>
          <w:color w:val="000000"/>
          <w:spacing w:val="5"/>
          <w:position w:val="-1"/>
        </w:rPr>
        <w:t>t</w:t>
      </w:r>
      <w:r>
        <w:rPr>
          <w:color w:val="000000"/>
          <w:spacing w:val="-1"/>
          <w:position w:val="-1"/>
        </w:rPr>
        <w:t>a</w:t>
      </w:r>
      <w:r>
        <w:rPr>
          <w:color w:val="000000"/>
          <w:spacing w:val="5"/>
          <w:position w:val="-1"/>
        </w:rPr>
        <w:t>t</w:t>
      </w:r>
      <w:r>
        <w:rPr>
          <w:color w:val="000000"/>
          <w:spacing w:val="-9"/>
          <w:position w:val="-1"/>
        </w:rPr>
        <w:t>i</w:t>
      </w:r>
      <w:r>
        <w:rPr>
          <w:color w:val="000000"/>
          <w:spacing w:val="-2"/>
          <w:position w:val="-1"/>
        </w:rPr>
        <w:t>s</w:t>
      </w:r>
      <w:r>
        <w:rPr>
          <w:color w:val="000000"/>
          <w:spacing w:val="10"/>
          <w:position w:val="-1"/>
        </w:rPr>
        <w:t>t</w:t>
      </w:r>
      <w:r>
        <w:rPr>
          <w:color w:val="000000"/>
          <w:spacing w:val="-9"/>
          <w:position w:val="-1"/>
        </w:rPr>
        <w:t>i</w:t>
      </w:r>
      <w:r>
        <w:rPr>
          <w:color w:val="000000"/>
          <w:position w:val="-1"/>
        </w:rPr>
        <w:t>k</w:t>
      </w:r>
      <w:r>
        <w:rPr>
          <w:color w:val="000000"/>
          <w:spacing w:val="-1"/>
          <w:position w:val="-1"/>
        </w:rPr>
        <w:t>ą</w:t>
      </w:r>
      <w:r>
        <w:rPr>
          <w:color w:val="000000"/>
          <w:position w:val="-1"/>
        </w:rPr>
        <w:t>.</w:t>
      </w:r>
      <w:r>
        <w:rPr>
          <w:color w:val="000000"/>
          <w:spacing w:val="4"/>
          <w:position w:val="-1"/>
        </w:rPr>
        <w:t xml:space="preserve"> </w:t>
      </w:r>
      <w:r>
        <w:rPr>
          <w:color w:val="000000"/>
          <w:spacing w:val="-3"/>
          <w:position w:val="-1"/>
        </w:rPr>
        <w:t>T</w:t>
      </w:r>
      <w:r>
        <w:rPr>
          <w:color w:val="000000"/>
          <w:spacing w:val="5"/>
          <w:position w:val="-1"/>
        </w:rPr>
        <w:t>o</w:t>
      </w:r>
      <w:r>
        <w:rPr>
          <w:color w:val="000000"/>
          <w:position w:val="-1"/>
        </w:rPr>
        <w:t>d</w:t>
      </w:r>
      <w:r>
        <w:rPr>
          <w:color w:val="000000"/>
          <w:spacing w:val="4"/>
          <w:position w:val="-1"/>
        </w:rPr>
        <w:t>ė</w:t>
      </w:r>
      <w:r>
        <w:rPr>
          <w:color w:val="000000"/>
          <w:position w:val="-1"/>
        </w:rPr>
        <w:t>l</w:t>
      </w:r>
      <w:r>
        <w:rPr>
          <w:color w:val="000000"/>
          <w:spacing w:val="-7"/>
          <w:position w:val="-1"/>
        </w:rPr>
        <w:t xml:space="preserve"> </w:t>
      </w:r>
      <w:r>
        <w:rPr>
          <w:color w:val="000000"/>
          <w:spacing w:val="2"/>
          <w:position w:val="-1"/>
        </w:rPr>
        <w:t>š</w:t>
      </w:r>
      <w:r>
        <w:rPr>
          <w:color w:val="000000"/>
          <w:spacing w:val="-4"/>
          <w:position w:val="-1"/>
        </w:rPr>
        <w:t>i</w:t>
      </w:r>
      <w:r>
        <w:rPr>
          <w:color w:val="000000"/>
          <w:spacing w:val="5"/>
          <w:position w:val="-1"/>
        </w:rPr>
        <w:t>o</w:t>
      </w:r>
      <w:r>
        <w:rPr>
          <w:color w:val="000000"/>
          <w:spacing w:val="-9"/>
          <w:position w:val="-1"/>
        </w:rPr>
        <w:t>j</w:t>
      </w:r>
      <w:r>
        <w:rPr>
          <w:color w:val="000000"/>
          <w:position w:val="-1"/>
        </w:rPr>
        <w:t>e</w:t>
      </w:r>
      <w:r>
        <w:rPr>
          <w:color w:val="000000"/>
          <w:spacing w:val="1"/>
          <w:position w:val="-1"/>
        </w:rPr>
        <w:t xml:space="preserve"> </w:t>
      </w:r>
      <w:r>
        <w:rPr>
          <w:color w:val="000000"/>
          <w:position w:val="-1"/>
        </w:rPr>
        <w:t>p</w:t>
      </w:r>
      <w:r>
        <w:rPr>
          <w:color w:val="000000"/>
          <w:spacing w:val="-1"/>
          <w:position w:val="-1"/>
        </w:rPr>
        <w:t>a</w:t>
      </w:r>
      <w:r>
        <w:rPr>
          <w:color w:val="000000"/>
          <w:spacing w:val="4"/>
          <w:position w:val="-1"/>
        </w:rPr>
        <w:t>ž</w:t>
      </w:r>
      <w:r>
        <w:rPr>
          <w:color w:val="000000"/>
          <w:position w:val="-1"/>
        </w:rPr>
        <w:t>y</w:t>
      </w:r>
      <w:r>
        <w:rPr>
          <w:color w:val="000000"/>
          <w:spacing w:val="-9"/>
          <w:position w:val="-1"/>
        </w:rPr>
        <w:t>m</w:t>
      </w:r>
      <w:r>
        <w:rPr>
          <w:color w:val="000000"/>
          <w:spacing w:val="9"/>
          <w:position w:val="-1"/>
        </w:rPr>
        <w:t>o</w:t>
      </w:r>
      <w:r>
        <w:rPr>
          <w:color w:val="000000"/>
          <w:spacing w:val="-4"/>
          <w:position w:val="-1"/>
        </w:rPr>
        <w:t>j</w:t>
      </w:r>
      <w:r>
        <w:rPr>
          <w:color w:val="000000"/>
          <w:position w:val="-1"/>
        </w:rPr>
        <w:t>e</w:t>
      </w:r>
      <w:r>
        <w:rPr>
          <w:color w:val="000000"/>
          <w:spacing w:val="6"/>
          <w:position w:val="-1"/>
        </w:rPr>
        <w:t xml:space="preserve"> </w:t>
      </w:r>
      <w:r>
        <w:rPr>
          <w:color w:val="000000"/>
          <w:spacing w:val="-9"/>
          <w:position w:val="-1"/>
        </w:rPr>
        <w:t>j</w:t>
      </w:r>
      <w:r>
        <w:rPr>
          <w:color w:val="000000"/>
          <w:spacing w:val="4"/>
          <w:position w:val="-1"/>
        </w:rPr>
        <w:t>a</w:t>
      </w:r>
      <w:r>
        <w:rPr>
          <w:color w:val="000000"/>
          <w:spacing w:val="-4"/>
          <w:position w:val="-1"/>
        </w:rPr>
        <w:t>i</w:t>
      </w:r>
      <w:r>
        <w:rPr>
          <w:color w:val="000000"/>
          <w:position w:val="-1"/>
        </w:rPr>
        <w:t xml:space="preserve">s </w:t>
      </w:r>
      <w:r>
        <w:rPr>
          <w:color w:val="000000"/>
          <w:spacing w:val="5"/>
          <w:position w:val="-1"/>
        </w:rPr>
        <w:t>to</w:t>
      </w:r>
      <w:r>
        <w:rPr>
          <w:color w:val="000000"/>
          <w:spacing w:val="-4"/>
          <w:position w:val="-1"/>
        </w:rPr>
        <w:t>li</w:t>
      </w:r>
      <w:r>
        <w:rPr>
          <w:color w:val="000000"/>
          <w:spacing w:val="-1"/>
          <w:position w:val="-1"/>
        </w:rPr>
        <w:t>a</w:t>
      </w:r>
      <w:r>
        <w:rPr>
          <w:color w:val="000000"/>
          <w:position w:val="-1"/>
        </w:rPr>
        <w:t>u</w:t>
      </w:r>
      <w:r>
        <w:rPr>
          <w:color w:val="000000"/>
          <w:spacing w:val="7"/>
          <w:position w:val="-1"/>
        </w:rPr>
        <w:t xml:space="preserve"> </w:t>
      </w:r>
      <w:r>
        <w:rPr>
          <w:color w:val="000000"/>
          <w:spacing w:val="-9"/>
          <w:position w:val="-1"/>
        </w:rPr>
        <w:t>i</w:t>
      </w:r>
      <w:r>
        <w:rPr>
          <w:color w:val="000000"/>
          <w:position w:val="-1"/>
        </w:rPr>
        <w:t>r</w:t>
      </w:r>
      <w:r>
        <w:rPr>
          <w:color w:val="000000"/>
          <w:spacing w:val="4"/>
          <w:position w:val="-1"/>
        </w:rPr>
        <w:t xml:space="preserve"> </w:t>
      </w:r>
      <w:r>
        <w:rPr>
          <w:color w:val="000000"/>
          <w:spacing w:val="1"/>
          <w:position w:val="-1"/>
        </w:rPr>
        <w:t>r</w:t>
      </w:r>
      <w:r>
        <w:rPr>
          <w:color w:val="000000"/>
          <w:spacing w:val="4"/>
          <w:position w:val="-1"/>
        </w:rPr>
        <w:t>e</w:t>
      </w:r>
      <w:r>
        <w:rPr>
          <w:color w:val="000000"/>
          <w:spacing w:val="-4"/>
          <w:position w:val="-1"/>
        </w:rPr>
        <w:t>m</w:t>
      </w:r>
      <w:r>
        <w:rPr>
          <w:color w:val="000000"/>
          <w:spacing w:val="2"/>
          <w:position w:val="-1"/>
        </w:rPr>
        <w:t>s</w:t>
      </w:r>
      <w:r>
        <w:rPr>
          <w:color w:val="000000"/>
          <w:position w:val="-1"/>
        </w:rPr>
        <w:t>i</w:t>
      </w:r>
      <w:r>
        <w:rPr>
          <w:color w:val="000000"/>
          <w:spacing w:val="-4"/>
          <w:position w:val="-1"/>
        </w:rPr>
        <w:t>m</w:t>
      </w:r>
      <w:r>
        <w:rPr>
          <w:color w:val="000000"/>
          <w:spacing w:val="-1"/>
          <w:position w:val="-1"/>
        </w:rPr>
        <w:t>ė</w:t>
      </w:r>
      <w:r>
        <w:rPr>
          <w:color w:val="000000"/>
          <w:spacing w:val="-2"/>
          <w:position w:val="-1"/>
        </w:rPr>
        <w:t>s</w:t>
      </w:r>
      <w:r>
        <w:rPr>
          <w:color w:val="000000"/>
          <w:position w:val="-1"/>
        </w:rPr>
        <w:t>.</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2" w:line="200" w:lineRule="exact"/>
        <w:rPr>
          <w:color w:val="000000"/>
          <w:sz w:val="20"/>
        </w:rPr>
      </w:pPr>
    </w:p>
    <w:p w:rsidR="004F7425" w:rsidRDefault="004F7425" w:rsidP="004F7425">
      <w:pPr>
        <w:widowControl w:val="0"/>
        <w:autoSpaceDE w:val="0"/>
        <w:autoSpaceDN w:val="0"/>
        <w:adjustRightInd w:val="0"/>
        <w:spacing w:before="1" w:line="350" w:lineRule="exact"/>
        <w:ind w:left="2962" w:right="1548" w:hanging="1303"/>
        <w:rPr>
          <w:color w:val="000000"/>
          <w:sz w:val="27"/>
          <w:szCs w:val="27"/>
        </w:rPr>
      </w:pPr>
      <w:r>
        <w:rPr>
          <w:noProof/>
          <w:lang w:eastAsia="lt-LT"/>
        </w:rPr>
        <mc:AlternateContent>
          <mc:Choice Requires="wpg">
            <w:drawing>
              <wp:anchor distT="0" distB="0" distL="114300" distR="114300" simplePos="0" relativeHeight="251735040" behindDoc="1" locked="0" layoutInCell="0" allowOverlap="1">
                <wp:simplePos x="0" y="0"/>
                <wp:positionH relativeFrom="page">
                  <wp:posOffset>1539875</wp:posOffset>
                </wp:positionH>
                <wp:positionV relativeFrom="paragraph">
                  <wp:posOffset>543560</wp:posOffset>
                </wp:positionV>
                <wp:extent cx="4580255" cy="2583180"/>
                <wp:effectExtent l="0" t="0" r="10795" b="7620"/>
                <wp:wrapNone/>
                <wp:docPr id="359" name="Grupė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0255" cy="2583180"/>
                          <a:chOff x="2425" y="856"/>
                          <a:chExt cx="7213" cy="4068"/>
                        </a:xfrm>
                      </wpg:grpSpPr>
                      <wps:wsp>
                        <wps:cNvPr id="360" name="Rectangle 3"/>
                        <wps:cNvSpPr>
                          <a:spLocks/>
                        </wps:cNvSpPr>
                        <wps:spPr bwMode="auto">
                          <a:xfrm>
                            <a:off x="2481" y="4667"/>
                            <a:ext cx="2754" cy="16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Rectangle 4"/>
                        <wps:cNvSpPr>
                          <a:spLocks/>
                        </wps:cNvSpPr>
                        <wps:spPr bwMode="auto">
                          <a:xfrm>
                            <a:off x="2481" y="4667"/>
                            <a:ext cx="2754" cy="162"/>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Rectangle 5"/>
                        <wps:cNvSpPr>
                          <a:spLocks/>
                        </wps:cNvSpPr>
                        <wps:spPr bwMode="auto">
                          <a:xfrm>
                            <a:off x="2481" y="4305"/>
                            <a:ext cx="3018" cy="149"/>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Rectangle 6"/>
                        <wps:cNvSpPr>
                          <a:spLocks/>
                        </wps:cNvSpPr>
                        <wps:spPr bwMode="auto">
                          <a:xfrm>
                            <a:off x="2481" y="4305"/>
                            <a:ext cx="3018" cy="149"/>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Rectangle 7"/>
                        <wps:cNvSpPr>
                          <a:spLocks/>
                        </wps:cNvSpPr>
                        <wps:spPr bwMode="auto">
                          <a:xfrm>
                            <a:off x="2481" y="3929"/>
                            <a:ext cx="4558" cy="16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 name="Rectangle 8"/>
                        <wps:cNvSpPr>
                          <a:spLocks/>
                        </wps:cNvSpPr>
                        <wps:spPr bwMode="auto">
                          <a:xfrm>
                            <a:off x="2481" y="3929"/>
                            <a:ext cx="4558" cy="162"/>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6" name="Rectangle 9"/>
                        <wps:cNvSpPr>
                          <a:spLocks/>
                        </wps:cNvSpPr>
                        <wps:spPr bwMode="auto">
                          <a:xfrm>
                            <a:off x="2481" y="3566"/>
                            <a:ext cx="4696" cy="150"/>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Rectangle 10"/>
                        <wps:cNvSpPr>
                          <a:spLocks/>
                        </wps:cNvSpPr>
                        <wps:spPr bwMode="auto">
                          <a:xfrm>
                            <a:off x="2481" y="3566"/>
                            <a:ext cx="4696" cy="150"/>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Rectangle 11"/>
                        <wps:cNvSpPr>
                          <a:spLocks/>
                        </wps:cNvSpPr>
                        <wps:spPr bwMode="auto">
                          <a:xfrm>
                            <a:off x="2481" y="3191"/>
                            <a:ext cx="4908" cy="16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 name="Rectangle 12"/>
                        <wps:cNvSpPr>
                          <a:spLocks/>
                        </wps:cNvSpPr>
                        <wps:spPr bwMode="auto">
                          <a:xfrm>
                            <a:off x="2481" y="3191"/>
                            <a:ext cx="4908" cy="162"/>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Rectangle 13"/>
                        <wps:cNvSpPr>
                          <a:spLocks/>
                        </wps:cNvSpPr>
                        <wps:spPr bwMode="auto">
                          <a:xfrm>
                            <a:off x="2481" y="2828"/>
                            <a:ext cx="5084" cy="150"/>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Rectangle 14"/>
                        <wps:cNvSpPr>
                          <a:spLocks/>
                        </wps:cNvSpPr>
                        <wps:spPr bwMode="auto">
                          <a:xfrm>
                            <a:off x="2481" y="2828"/>
                            <a:ext cx="5084" cy="150"/>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Rectangle 15"/>
                        <wps:cNvSpPr>
                          <a:spLocks/>
                        </wps:cNvSpPr>
                        <wps:spPr bwMode="auto">
                          <a:xfrm>
                            <a:off x="2481" y="2452"/>
                            <a:ext cx="5397" cy="16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16"/>
                        <wps:cNvSpPr>
                          <a:spLocks/>
                        </wps:cNvSpPr>
                        <wps:spPr bwMode="auto">
                          <a:xfrm>
                            <a:off x="2481" y="2452"/>
                            <a:ext cx="5397" cy="162"/>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 name="Rectangle 17"/>
                        <wps:cNvSpPr>
                          <a:spLocks/>
                        </wps:cNvSpPr>
                        <wps:spPr bwMode="auto">
                          <a:xfrm>
                            <a:off x="2481" y="2089"/>
                            <a:ext cx="6424" cy="149"/>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 name="Rectangle 18"/>
                        <wps:cNvSpPr>
                          <a:spLocks/>
                        </wps:cNvSpPr>
                        <wps:spPr bwMode="auto">
                          <a:xfrm>
                            <a:off x="2481" y="2089"/>
                            <a:ext cx="6424" cy="149"/>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Rectangle 19"/>
                        <wps:cNvSpPr>
                          <a:spLocks/>
                        </wps:cNvSpPr>
                        <wps:spPr bwMode="auto">
                          <a:xfrm>
                            <a:off x="2481" y="1714"/>
                            <a:ext cx="6511" cy="16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20"/>
                        <wps:cNvSpPr>
                          <a:spLocks/>
                        </wps:cNvSpPr>
                        <wps:spPr bwMode="auto">
                          <a:xfrm>
                            <a:off x="2481" y="1714"/>
                            <a:ext cx="6511" cy="162"/>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Rectangle 21"/>
                        <wps:cNvSpPr>
                          <a:spLocks/>
                        </wps:cNvSpPr>
                        <wps:spPr bwMode="auto">
                          <a:xfrm>
                            <a:off x="2481" y="1351"/>
                            <a:ext cx="6624" cy="150"/>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22"/>
                        <wps:cNvSpPr>
                          <a:spLocks/>
                        </wps:cNvSpPr>
                        <wps:spPr bwMode="auto">
                          <a:xfrm>
                            <a:off x="2481" y="1351"/>
                            <a:ext cx="6624" cy="150"/>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0" name="Rectangle 23"/>
                        <wps:cNvSpPr>
                          <a:spLocks/>
                        </wps:cNvSpPr>
                        <wps:spPr bwMode="auto">
                          <a:xfrm>
                            <a:off x="2481" y="975"/>
                            <a:ext cx="7150" cy="16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Rectangle 24"/>
                        <wps:cNvSpPr>
                          <a:spLocks/>
                        </wps:cNvSpPr>
                        <wps:spPr bwMode="auto">
                          <a:xfrm>
                            <a:off x="2481" y="975"/>
                            <a:ext cx="7150" cy="162"/>
                          </a:xfrm>
                          <a:prstGeom prst="rect">
                            <a:avLst/>
                          </a:prstGeom>
                          <a:noFill/>
                          <a:ln w="792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Freeform 25"/>
                        <wps:cNvSpPr>
                          <a:spLocks/>
                        </wps:cNvSpPr>
                        <wps:spPr bwMode="auto">
                          <a:xfrm>
                            <a:off x="2481" y="862"/>
                            <a:ext cx="20" cy="4056"/>
                          </a:xfrm>
                          <a:custGeom>
                            <a:avLst/>
                            <a:gdLst>
                              <a:gd name="T0" fmla="*/ 0 w 20"/>
                              <a:gd name="T1" fmla="*/ 0 h 4056"/>
                              <a:gd name="T2" fmla="*/ 0 w 20"/>
                              <a:gd name="T3" fmla="*/ 4056 h 4056"/>
                            </a:gdLst>
                            <a:ahLst/>
                            <a:cxnLst>
                              <a:cxn ang="0">
                                <a:pos x="T0" y="T1"/>
                              </a:cxn>
                              <a:cxn ang="0">
                                <a:pos x="T2" y="T3"/>
                              </a:cxn>
                            </a:cxnLst>
                            <a:rect l="0" t="0" r="r" b="b"/>
                            <a:pathLst>
                              <a:path w="20" h="4056">
                                <a:moveTo>
                                  <a:pt x="0" y="0"/>
                                </a:moveTo>
                                <a:lnTo>
                                  <a:pt x="0" y="4056"/>
                                </a:lnTo>
                              </a:path>
                            </a:pathLst>
                          </a:custGeom>
                          <a:noFill/>
                          <a:ln w="79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26"/>
                        <wps:cNvSpPr>
                          <a:spLocks/>
                        </wps:cNvSpPr>
                        <wps:spPr bwMode="auto">
                          <a:xfrm>
                            <a:off x="2431" y="4555"/>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Freeform 27"/>
                        <wps:cNvSpPr>
                          <a:spLocks/>
                        </wps:cNvSpPr>
                        <wps:spPr bwMode="auto">
                          <a:xfrm>
                            <a:off x="2431" y="4192"/>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Freeform 28"/>
                        <wps:cNvSpPr>
                          <a:spLocks/>
                        </wps:cNvSpPr>
                        <wps:spPr bwMode="auto">
                          <a:xfrm>
                            <a:off x="2431" y="3816"/>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Freeform 29"/>
                        <wps:cNvSpPr>
                          <a:spLocks/>
                        </wps:cNvSpPr>
                        <wps:spPr bwMode="auto">
                          <a:xfrm>
                            <a:off x="2431" y="3453"/>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Freeform 30"/>
                        <wps:cNvSpPr>
                          <a:spLocks/>
                        </wps:cNvSpPr>
                        <wps:spPr bwMode="auto">
                          <a:xfrm>
                            <a:off x="2431" y="3078"/>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Freeform 31"/>
                        <wps:cNvSpPr>
                          <a:spLocks/>
                        </wps:cNvSpPr>
                        <wps:spPr bwMode="auto">
                          <a:xfrm>
                            <a:off x="2431" y="2715"/>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Freeform 32"/>
                        <wps:cNvSpPr>
                          <a:spLocks/>
                        </wps:cNvSpPr>
                        <wps:spPr bwMode="auto">
                          <a:xfrm>
                            <a:off x="2431" y="2340"/>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33"/>
                        <wps:cNvSpPr>
                          <a:spLocks/>
                        </wps:cNvSpPr>
                        <wps:spPr bwMode="auto">
                          <a:xfrm>
                            <a:off x="2431" y="1976"/>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34"/>
                        <wps:cNvSpPr>
                          <a:spLocks/>
                        </wps:cNvSpPr>
                        <wps:spPr bwMode="auto">
                          <a:xfrm>
                            <a:off x="2431" y="1601"/>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Freeform 35"/>
                        <wps:cNvSpPr>
                          <a:spLocks/>
                        </wps:cNvSpPr>
                        <wps:spPr bwMode="auto">
                          <a:xfrm>
                            <a:off x="2431" y="1238"/>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3" name="Freeform 36"/>
                        <wps:cNvSpPr>
                          <a:spLocks/>
                        </wps:cNvSpPr>
                        <wps:spPr bwMode="auto">
                          <a:xfrm>
                            <a:off x="2431" y="862"/>
                            <a:ext cx="38" cy="2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359" o:spid="_x0000_s1026" style="position:absolute;margin-left:121.25pt;margin-top:42.8pt;width:360.65pt;height:203.4pt;z-index:-251581440;mso-position-horizontal-relative:page" coordorigin="2425,856" coordsize="7213,4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" o:allowincell="f">
                <v:rect id="Rectangle 3" o:spid="_x0000_s1027" style="position:absolute;left:2481;top:4667;width:2754;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LvJsAA&#10;AADcAAAADwAAAGRycy9kb3ducmV2LnhtbERPy4rCMBTdC/MP4Q6403QUxOmYFhEG3IkvZntp7rS1&#10;zU1JYlv/3iwEl4fz3uSjaUVPzteWFXzNExDEhdU1lwou59/ZGoQPyBpby6TgQR7y7GOywVTbgY/U&#10;n0IpYgj7FBVUIXSplL6oyKCf2444cv/WGQwRulJqh0MMN61cJMlKGqw5NlTY0a6iojndjYLrrum7&#10;Y/NXPM5DK79dchj2N6nU9HPc/oAINIa3+OXeawXLVZwfz8QjI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LvJsAAAADcAAAADwAAAAAAAAAAAAAAAACYAgAAZHJzL2Rvd25y&#10;ZXYueG1sUEsFBgAAAAAEAAQA9QAAAIUDAAAAAA==&#10;" fillcolor="#f60" stroked="f">
                  <v:path arrowok="t"/>
                </v:rect>
                <v:rect id="Rectangle 4" o:spid="_x0000_s1028" style="position:absolute;left:2481;top:4667;width:2754;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TOmsUA&#10;AADcAAAADwAAAGRycy9kb3ducmV2LnhtbESPT2vCQBTE7wW/w/KE3uomtUiIriIWwUMprX8gx0f2&#10;mY1m34bsatJv3y0UPA4z8xtmsRpsI+7U+dqxgnSSgCAuna65UnA8bF8yED4ga2wck4If8rBajp4W&#10;mGvX8zfd96ESEcI+RwUmhDaX0peGLPqJa4mjd3adxRBlV0ndYR/htpGvSTKTFmuOCwZb2hgqr/ub&#10;VfD5Hi5ksiI1b322/rDF6YuLRqnn8bCegwg0hEf4v73TCqazF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lM6axQAAANwAAAAPAAAAAAAAAAAAAAAAAJgCAABkcnMv&#10;ZG93bnJldi54bWxQSwUGAAAAAAQABAD1AAAAigMAAAAA&#10;" filled="f" strokeweight=".22025mm">
                  <v:path arrowok="t"/>
                </v:rect>
                <v:rect id="Rectangle 5" o:spid="_x0000_s1029" style="position:absolute;left:2481;top:4305;width:3018;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zUysIA&#10;AADcAAAADwAAAGRycy9kb3ducmV2LnhtbESPT4vCMBTE78J+h/AWvNl0FcTtGkWEBW/iP/b6aN62&#10;tc1LSWJbv70RBI/DzPyGWa4H04iOnK8sK/hKUhDEudUVFwrOp9/JAoQPyBoby6TgTh7Wq4/REjNt&#10;ez5QdwyFiBD2GSooQ2gzKX1ekkGf2JY4ev/WGQxRukJqh32Em0ZO03QuDVYcF0psaVtSXh9vRsFl&#10;W3ftof7L76e+kd8u3fe7q1Rq/DlsfkAEGsI7/GrvtILZfArPM/E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3NTKwgAAANwAAAAPAAAAAAAAAAAAAAAAAJgCAABkcnMvZG93&#10;bnJldi54bWxQSwUGAAAAAAQABAD1AAAAhwMAAAAA&#10;" fillcolor="#f60" stroked="f">
                  <v:path arrowok="t"/>
                </v:rect>
                <v:rect id="Rectangle 6" o:spid="_x0000_s1030" style="position:absolute;left:2481;top:4305;width:3018;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r1dsUA&#10;AADcAAAADwAAAGRycy9kb3ducmV2LnhtbESPT2vCQBTE7wW/w/IEb3XjHySkriKK4EGktQo5PrKv&#10;2bTZtyG7mvjt3UKhx2FmfsMs172txZ1aXzlWMBknIIgLpysuFVw+968pCB+QNdaOScGDPKxXg5cl&#10;Ztp1/EH3cyhFhLDPUIEJocmk9IUhi37sGuLofbnWYoiyLaVusYtwW8tpkiykxYrjgsGGtoaKn/PN&#10;KjjtwjeZNJ+YeZdujja/vnNeKzUa9ps3EIH68B/+ax+0gtliB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CvV2xQAAANwAAAAPAAAAAAAAAAAAAAAAAJgCAABkcnMv&#10;ZG93bnJldi54bWxQSwUGAAAAAAQABAD1AAAAigMAAAAA&#10;" filled="f" strokeweight=".22025mm">
                  <v:path arrowok="t"/>
                </v:rect>
                <v:rect id="Rectangle 7" o:spid="_x0000_s1031" style="position:absolute;left:2481;top:3929;width:4558;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pJcMA&#10;AADcAAAADwAAAGRycy9kb3ducmV2LnhtbESPT4vCMBTE74LfITzBm6arIto1iggL3hb/4fXRvG27&#10;bV5Kkm3rt98IgsdhZn7DbHa9qUVLzpeWFXxMExDEmdUl5wqul6/JCoQPyBpry6TgQR522+Fgg6m2&#10;HZ+oPYdcRAj7FBUUITSplD4ryKCf2oY4ej/WGQxRulxqh12Em1rOkmQpDZYcFwps6FBQVp3/jILb&#10;oWqbU3XPHpeulmuXfHfHX6nUeNTvP0EE6sM7/GoftYL5cgHP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pJcMAAADcAAAADwAAAAAAAAAAAAAAAACYAgAAZHJzL2Rv&#10;d25yZXYueG1sUEsFBgAAAAAEAAQA9QAAAIgDAAAAAA==&#10;" fillcolor="#f60" stroked="f">
                  <v:path arrowok="t"/>
                </v:rect>
                <v:rect id="Rectangle 8" o:spid="_x0000_s1032" style="position:absolute;left:2481;top:3929;width:4558;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ImcUA&#10;AADcAAAADwAAAGRycy9kb3ducmV2LnhtbESPS2vDMBCE74H+B7GF3BI5jwbjRAmhIZBDKG0e4ONi&#10;bS231spYSuz8+6pQ6HGYmW+Y1aa3tbhT6yvHCibjBARx4XTFpYLLeT9KQfiArLF2TAoe5GGzfhqs&#10;MNOu4w+6n0IpIoR9hgpMCE0mpS8MWfRj1xBH79O1FkOUbSl1i12E21pOk2QhLVYcFww29Gqo+D7d&#10;rIK3Xfgik+YTM+/S7dHm13fOa6WGz/12CSJQH/7Df+2DVjBbvMD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r8iZxQAAANwAAAAPAAAAAAAAAAAAAAAAAJgCAABkcnMv&#10;ZG93bnJldi54bWxQSwUGAAAAAAQABAD1AAAAigMAAAAA&#10;" filled="f" strokeweight=".22025mm">
                  <v:path arrowok="t"/>
                </v:rect>
                <v:rect id="Rectangle 9" o:spid="_x0000_s1033" style="position:absolute;left:2481;top:3566;width:4696;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SycMA&#10;AADcAAAADwAAAGRycy9kb3ducmV2LnhtbESPT4vCMBTE7wt+h/AEb2uqQtFqFBEEb4t/lr0+mmdb&#10;27yUJNvWb2+EhT0OM/MbZrMbTCM6cr6yrGA2TUAQ51ZXXCi4XY+fSxA+IGtsLJOCJ3nYbUcfG8y0&#10;7flM3SUUIkLYZ6igDKHNpPR5SQb91LbE0btbZzBE6QqpHfYRbho5T5JUGqw4LpTY0qGkvL78GgXf&#10;h7prz/VP/rz2jVy55Ks/PaRSk/GwX4MINIT/8F/7pBUs0hTeZ+IR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fSycMAAADcAAAADwAAAAAAAAAAAAAAAACYAgAAZHJzL2Rv&#10;d25yZXYueG1sUEsFBgAAAAAEAAQA9QAAAIgDAAAAAA==&#10;" fillcolor="#f60" stroked="f">
                  <v:path arrowok="t"/>
                </v:rect>
                <v:rect id="Rectangle 10" o:spid="_x0000_s1034" style="position:absolute;left:2481;top:3566;width:4696;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HzdcUA&#10;AADcAAAADwAAAGRycy9kb3ducmV2LnhtbESPS2vDMBCE74H+B7GF3Bo5D1LjRAmhIZBDKG0e4ONi&#10;bS231spYSuz8+6pQyHGYmW+Y5bq3tbhR6yvHCsajBARx4XTFpYLzafeSgvABWWPtmBTcycN69TRY&#10;YqZdx590O4ZSRAj7DBWYEJpMSl8YsuhHriGO3pdrLYYo21LqFrsIt7WcJMlcWqw4Lhhs6M1Q8XO8&#10;WgXv2/BNJs3HZtalm4PNLx+c10oNn/vNAkSgPjzC/+29VjCdv8L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fN1xQAAANwAAAAPAAAAAAAAAAAAAAAAAJgCAABkcnMv&#10;ZG93bnJldi54bWxQSwUGAAAAAAQABAD1AAAAigMAAAAA&#10;" filled="f" strokeweight=".22025mm">
                  <v:path arrowok="t"/>
                </v:rect>
                <v:rect id="Rectangle 11" o:spid="_x0000_s1035" style="position:absolute;left:2481;top:3191;width:4908;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jIMAA&#10;AADcAAAADwAAAGRycy9kb3ducmV2LnhtbERPy4rCMBTdC/MP4Q6403QUxOmYFhEG3IkvZntp7rS1&#10;zU1JYlv/3iwEl4fz3uSjaUVPzteWFXzNExDEhdU1lwou59/ZGoQPyBpby6TgQR7y7GOywVTbgY/U&#10;n0IpYgj7FBVUIXSplL6oyKCf2444cv/WGQwRulJqh0MMN61cJMlKGqw5NlTY0a6iojndjYLrrum7&#10;Y/NXPM5DK79dchj2N6nU9HPc/oAINIa3+OXeawXLVVwbz8QjI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TjIMAAAADcAAAADwAAAAAAAAAAAAAAAACYAgAAZHJzL2Rvd25y&#10;ZXYueG1sUEsFBgAAAAAEAAQA9QAAAIUDAAAAAA==&#10;" fillcolor="#f60" stroked="f">
                  <v:path arrowok="t"/>
                </v:rect>
                <v:rect id="Rectangle 12" o:spid="_x0000_s1036" style="position:absolute;left:2481;top:3191;width:4908;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LCnMUA&#10;AADcAAAADwAAAGRycy9kb3ducmV2LnhtbESPQWvCQBSE7wX/w/KE3upGK5JGVxFLoQcpmraQ4yP7&#10;zEazb0N2a9J/3y0IHoeZ+YZZbQbbiCt1vnasYDpJQBCXTtdcKfj6fHtKQfiArLFxTAp+ycNmPXpY&#10;YaZdz0e65qESEcI+QwUmhDaT0peGLPqJa4mjd3KdxRBlV0ndYR/htpGzJFlIizXHBYMt7QyVl/zH&#10;Kvh4DWcyaTE18z7d7m3xfeCiUepxPGyXIAIN4R6+td+1gufFC/yfi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4sKcxQAAANwAAAAPAAAAAAAAAAAAAAAAAJgCAABkcnMv&#10;ZG93bnJldi54bWxQSwUGAAAAAAQABAD1AAAAigMAAAAA&#10;" filled="f" strokeweight=".22025mm">
                  <v:path arrowok="t"/>
                </v:rect>
                <v:rect id="Rectangle 13" o:spid="_x0000_s1037" style="position:absolute;left:2481;top:2828;width:5084;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t5+78A&#10;AADcAAAADwAAAGRycy9kb3ducmV2LnhtbERPy4rCMBTdD/gP4QruxlQFR6tRRBDcDb5we2mubW1z&#10;U5LY1r+fLIRZHs57ve1NLVpyvrSsYDJOQBBnVpecK7heDt8LED4ga6wtk4I3edhuBl9rTLXt+ETt&#10;OeQihrBPUUERQpNK6bOCDPqxbYgj97DOYIjQ5VI77GK4qeU0SebSYMmxocCG9gVl1fllFNz2Vduc&#10;qnv2vnS1XLrktzs+pVKjYb9bgQjUh3/xx33UCmY/cX48E4+A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m3n7vwAAANwAAAAPAAAAAAAAAAAAAAAAAJgCAABkcnMvZG93bnJl&#10;di54bWxQSwUGAAAAAAQABAD1AAAAhAMAAAAA&#10;" fillcolor="#f60" stroked="f">
                  <v:path arrowok="t"/>
                </v:rect>
                <v:rect id="Rectangle 14" o:spid="_x0000_s1038" style="position:absolute;left:2481;top:2828;width:5084;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1YR8UA&#10;AADcAAAADwAAAGRycy9kb3ducmV2LnhtbESPzWrDMBCE74W8g9hAbo3spDTGiRJCSqGHUpo/8HGx&#10;NpYTa2UsNXbfvioUehxm5htmtRlsI+7U+dqxgnSagCAuna65UnA6vj5mIHxA1tg4JgXf5GGzHj2s&#10;MNeu5z3dD6ESEcI+RwUmhDaX0peGLPqpa4mjd3GdxRBlV0ndYR/htpGzJHmWFmuOCwZb2hkqb4cv&#10;q+DjJVzJZEVqnvps+26L8ycXjVKT8bBdggg0hP/wX/tNK5gvUvg9E4+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TVhHxQAAANwAAAAPAAAAAAAAAAAAAAAAAJgCAABkcnMv&#10;ZG93bnJldi54bWxQSwUGAAAAAAQABAD1AAAAigMAAAAA&#10;" filled="f" strokeweight=".22025mm">
                  <v:path arrowok="t"/>
                </v:rect>
                <v:rect id="Rectangle 15" o:spid="_x0000_s1039" style="position:absolute;left:2481;top:2452;width:5397;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VCF8MA&#10;AADcAAAADwAAAGRycy9kb3ducmV2LnhtbESPT4vCMBTE74LfITxhb5rqwqpdo4iw4G3xH14fzdu2&#10;tnkpSWzrt98IgsdhZn7DrDa9qUVLzpeWFUwnCQjizOqScwXn0894AcIHZI21ZVLwIA+b9XCwwlTb&#10;jg/UHkMuIoR9igqKEJpUSp8VZNBPbEMcvT/rDIYoXS61wy7CTS1nSfIlDZYcFwpsaFdQVh3vRsFl&#10;V7XNobpmj1NXy6VLfrv9TSr1Meq33yAC9eEdfrX3WsHnfAb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VCF8MAAADcAAAADwAAAAAAAAAAAAAAAACYAgAAZHJzL2Rv&#10;d25yZXYueG1sUEsFBgAAAAAEAAQA9QAAAIgDAAAAAA==&#10;" fillcolor="#f60" stroked="f">
                  <v:path arrowok="t"/>
                </v:rect>
                <v:rect id="Rectangle 16" o:spid="_x0000_s1040" style="position:absolute;left:2481;top:2452;width:5397;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Njq8UA&#10;AADcAAAADwAAAGRycy9kb3ducmV2LnhtbESPQWvCQBSE74L/YXlCb7pRiw2pq4hS6KEUm7aQ4yP7&#10;zEazb0N2a9J/3y0IHoeZ+YZZbwfbiCt1vnasYD5LQBCXTtdcKfj6fJmmIHxA1tg4JgW/5GG7GY/W&#10;mGnX8wdd81CJCGGfoQITQptJ6UtDFv3MtcTRO7nOYoiyq6TusI9w28hFkqykxZrjgsGW9obKS/5j&#10;FbwfwplMWszNY5/u3mzxfeSiUephMuyeQQQawj18a79qBcunJfyfiU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02OrxQAAANwAAAAPAAAAAAAAAAAAAAAAAJgCAABkcnMv&#10;ZG93bnJldi54bWxQSwUGAAAAAAQABAD1AAAAigMAAAAA&#10;" filled="f" strokeweight=".22025mm">
                  <v:path arrowok="t"/>
                </v:rect>
                <v:rect id="Rectangle 17" o:spid="_x0000_s1041" style="position:absolute;left:2481;top:2089;width:6424;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MQA&#10;AADcAAAADwAAAGRycy9kb3ducmV2LnhtbESPT4vCMBTE78J+h/AWvGm6q7hrNcoiCN7EP8teH82z&#10;rW1eSpJt67c3guBxmJnfMMt1b2rRkvOlZQUf4wQEcWZ1ybmC82k7+gbhA7LG2jIpuJGH9eptsMRU&#10;244P1B5DLiKEfYoKihCaVEqfFWTQj21DHL2LdQZDlC6X2mEX4aaWn0kykwZLjgsFNrQpKKuO/0bB&#10;76Zqm0P1l91OXS3nLtl3u6tUavje/yxABOrDK/xs77SCydcUHmfi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gf/jEAAAA3AAAAA8AAAAAAAAAAAAAAAAAmAIAAGRycy9k&#10;b3ducmV2LnhtbFBLBQYAAAAABAAEAPUAAACJAwAAAAA=&#10;" fillcolor="#f60" stroked="f">
                  <v:path arrowok="t"/>
                </v:rect>
                <v:rect id="Rectangle 18" o:spid="_x0000_s1042" style="position:absolute;left:2481;top:2089;width:6424;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eRMUA&#10;AADcAAAADwAAAGRycy9kb3ducmV2LnhtbESPT2vCQBTE7wW/w/KE3upG+8cQXUWUQg9F1Crk+Mg+&#10;s9Hs25DdmvTbu4VCj8PM/IaZL3tbixu1vnKsYDxKQBAXTldcKjh+vT+lIHxA1lg7JgU/5GG5GDzM&#10;MdOu4z3dDqEUEcI+QwUmhCaT0heGLPqRa4ijd3atxRBlW0rdYhfhtpaTJHmTFiuOCwYbWhsqrodv&#10;q2C7CRcyaT42L126+rT5acd5rdTjsF/NQATqw3/4r/2hFTxPX+H3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dl5ExQAAANwAAAAPAAAAAAAAAAAAAAAAAJgCAABkcnMv&#10;ZG93bnJldi54bWxQSwUGAAAAAAQABAD1AAAAigMAAAAA&#10;" filled="f" strokeweight=".22025mm">
                  <v:path arrowok="t"/>
                </v:rect>
                <v:rect id="Rectangle 19" o:spid="_x0000_s1043" style="position:absolute;left:2481;top:1714;width:6511;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5EFMMA&#10;AADcAAAADwAAAGRycy9kb3ducmV2LnhtbESPW4vCMBSE3wX/QziCb5qugpeuUURY8G3xhq+H5mzb&#10;bXNSkmxb//1GEHwcZuYbZrPrTS1acr60rOBjmoAgzqwuOVdwvXxNViB8QNZYWyYFD/Kw2w4HG0y1&#10;7fhE7TnkIkLYp6igCKFJpfRZQQb91DbE0fuxzmCI0uVSO+wi3NRyliQLabDkuFBgQ4eCsur8ZxTc&#10;DlXbnKp79rh0tVy75Ls7/kqlxqN+/wkiUB/e4Vf7qBXMlwt4no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5EFMMAAADcAAAADwAAAAAAAAAAAAAAAACYAgAAZHJzL2Rv&#10;d25yZXYueG1sUEsFBgAAAAAEAAQA9QAAAIgDAAAAAA==&#10;" fillcolor="#f60" stroked="f">
                  <v:path arrowok="t"/>
                </v:rect>
                <v:rect id="Rectangle 20" o:spid="_x0000_s1044" style="position:absolute;left:2481;top:1714;width:6511;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hlqMUA&#10;AADcAAAADwAAAGRycy9kb3ducmV2LnhtbESPS2vDMBCE74H+B7GF3BI5DxrjRAmhIZBDKG0e4ONi&#10;bS231spYSuz8+6pQ6HGYmW+Y1aa3tbhT6yvHCibjBARx4XTFpYLLeT9KQfiArLF2TAoe5GGzfhqs&#10;MNOu4w+6n0IpIoR9hgpMCE0mpS8MWfRj1xBH79O1FkOUbSl1i12E21pOk+RFWqw4Lhhs6NVQ8X26&#10;WQVvu/BFJs0nZt6l26PNr++c10oNn/vtEkSgPvyH/9oHrWC2WMD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6GWoxQAAANwAAAAPAAAAAAAAAAAAAAAAAJgCAABkcnMv&#10;ZG93bnJldi54bWxQSwUGAAAAAAQABAD1AAAAigMAAAAA&#10;" filled="f" strokeweight=".22025mm">
                  <v:path arrowok="t"/>
                </v:rect>
                <v:rect id="Rectangle 21" o:spid="_x0000_s1045" style="position:absolute;left:2481;top:1351;width:6624;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1/b8A&#10;AADcAAAADwAAAGRycy9kb3ducmV2LnhtbERPy4rCMBTdD/gP4QruxlQFR6tRRBDcDb5we2mubW1z&#10;U5LY1r+fLIRZHs57ve1NLVpyvrSsYDJOQBBnVpecK7heDt8LED4ga6wtk4I3edhuBl9rTLXt+ETt&#10;OeQihrBPUUERQpNK6bOCDPqxbYgj97DOYIjQ5VI77GK4qeU0SebSYMmxocCG9gVl1fllFNz2Vduc&#10;qnv2vnS1XLrktzs+pVKjYb9bgQjUh3/xx33UCmY/cW08E4+A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7XX9vwAAANwAAAAPAAAAAAAAAAAAAAAAAJgCAABkcnMvZG93bnJl&#10;di54bWxQSwUGAAAAAAQABAD1AAAAhAMAAAAA&#10;" fillcolor="#f60" stroked="f">
                  <v:path arrowok="t"/>
                </v:rect>
                <v:rect id="Rectangle 22" o:spid="_x0000_s1046" style="position:absolute;left:2481;top:1351;width:6624;height: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tUQcUA&#10;AADcAAAADwAAAGRycy9kb3ducmV2LnhtbESPQWvCQBSE74L/YXmCt7pRi6apq4hS6KGUVlvI8ZF9&#10;ZqPZtyG7Nem/7woFj8PMfMOsNr2txZVaXzlWMJ0kIIgLpysuFXwdXx5SED4ga6wdk4Jf8rBZDwcr&#10;zLTr+JOuh1CKCGGfoQITQpNJ6QtDFv3ENcTRO7nWYoiyLaVusYtwW8tZkiykxYrjgsGGdoaKy+HH&#10;KnjfhzOZNJ+axy7dvtn8+4PzWqnxqN8+gwjUh3v4v/2qFcyXT3A7E4+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O1RBxQAAANwAAAAPAAAAAAAAAAAAAAAAAJgCAABkcnMv&#10;ZG93bnJldi54bWxQSwUGAAAAAAQABAD1AAAAigMAAAAA&#10;" filled="f" strokeweight=".22025mm">
                  <v:path arrowok="t"/>
                </v:rect>
                <v:rect id="Rectangle 23" o:spid="_x0000_s1047" style="position:absolute;left:2481;top:975;width:7150;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4J3MAA&#10;AADcAAAADwAAAGRycy9kb3ducmV2LnhtbERPy4rCMBTdC/MP4Q6403QcEKeaFhEG3A2+mO2luba1&#10;zU1JYlv/3iwEl4fz3uSjaUVPzteWFXzNExDEhdU1lwrOp9/ZCoQPyBpby6TgQR7y7GOywVTbgQ/U&#10;H0MpYgj7FBVUIXSplL6oyKCf2444clfrDIYIXSm1wyGGm1YukmQpDdYcGyrsaFdR0RzvRsFl1/Td&#10;ofkvHqehlT8u+Rv2N6nU9HPcrkEEGsNb/HLvtYLvVZwfz8QjI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4J3MAAAADcAAAADwAAAAAAAAAAAAAAAACYAgAAZHJzL2Rvd25y&#10;ZXYueG1sUEsFBgAAAAAEAAQA9QAAAIUDAAAAAA==&#10;" fillcolor="#f60" stroked="f">
                  <v:path arrowok="t"/>
                </v:rect>
                <v:rect id="Rectangle 24" o:spid="_x0000_s1048" style="position:absolute;left:2481;top:975;width:7150;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goYMQA&#10;AADcAAAADwAAAGRycy9kb3ducmV2LnhtbESPQWvCQBSE74X+h+UVvNVNtEiIriItQg9S1LaQ4yP7&#10;zEazb0N2a+K/dwWhx2FmvmEWq8E24kKdrx0rSMcJCOLS6ZorBT/fm9cMhA/IGhvHpOBKHlbL56cF&#10;5tr1vKfLIVQiQtjnqMCE0OZS+tKQRT92LXH0jq6zGKLsKqk77CPcNnKSJDNpsea4YLCld0Pl+fBn&#10;FXx9hBOZrEjNW5+tt7b43XHRKDV6GdZzEIGG8B9+tD+1gmmWwv1MP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YKGDEAAAA3AAAAA8AAAAAAAAAAAAAAAAAmAIAAGRycy9k&#10;b3ducmV2LnhtbFBLBQYAAAAABAAEAPUAAACJAwAAAAA=&#10;" filled="f" strokeweight=".22025mm">
                  <v:path arrowok="t"/>
                </v:rect>
                <v:shape id="Freeform 25" o:spid="_x0000_s1049" style="position:absolute;left:2481;top:862;width:20;height:4056;visibility:visible;mso-wrap-style:square;v-text-anchor:top" coordsize="20,4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T48QA&#10;AADcAAAADwAAAGRycy9kb3ducmV2LnhtbESPQWvCQBSE7wX/w/IEb83GSEuIriKCoBSE2h48PrPP&#10;JJh9G3bXJP33bqHQ4zAz3zCrzWha0ZPzjWUF8yQFQVxa3XCl4Ptr/5qD8AFZY2uZFPyQh8168rLC&#10;QtuBP6k/h0pECPsCFdQhdIWUvqzJoE9sRxy9m3UGQ5SuktrhEOGmlVmavkuDDceFGjva1VTezw+j&#10;4I2vl+Pwgabr8/vByMUpy9xDqdl03C5BBBrDf/ivfdAKFnkGv2fi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o0+PEAAAA3AAAAA8AAAAAAAAAAAAAAAAAmAIAAGRycy9k&#10;b3ducmV2LnhtbFBLBQYAAAAABAAEAPUAAACJAwAAAAA=&#10;" path="m,l,4056e" filled="f" strokeweight=".22058mm">
                  <v:path arrowok="t" o:connecttype="custom" o:connectlocs="0,0;0,4056" o:connectangles="0,0"/>
                </v:shape>
                <v:shape id="Freeform 26" o:spid="_x0000_s1050" style="position:absolute;left:2431;top:4555;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fvA8YA&#10;AADcAAAADwAAAGRycy9kb3ducmV2LnhtbESPQWvCQBSE70L/w/IKXqRuVCwaXaWtCKKXNornR/Y1&#10;CWbfhuxqor/eFQSPw8x8w8yXrSnFhWpXWFYw6EcgiFOrC84UHPbrjwkI55E1lpZJwZUcLBdvnTnG&#10;2jb8R5fEZyJA2MWoIPe+iqV0aU4GXd9WxMH7t7VBH2SdSV1jE+CmlMMo+pQGCw4LOVb0k1N6Ss5G&#10;QW/1+71tT9dm7aLx4LhLprvzbapU9739moHw1PpX+NneaAWjyQgeZ8IR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fvA8YAAADcAAAADwAAAAAAAAAAAAAAAACYAgAAZHJz&#10;L2Rvd25yZXYueG1sUEsFBgAAAAAEAAQA9QAAAIsDAAAAAA==&#10;" path="m,l37,e" filled="f" strokeweight=".22025mm">
                  <v:path arrowok="t" o:connecttype="custom" o:connectlocs="0,0;37,0" o:connectangles="0,0"/>
                </v:shape>
                <v:shape id="Freeform 27" o:spid="_x0000_s1051" style="position:absolute;left:2431;top:4192;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3d8cA&#10;AADcAAAADwAAAGRycy9kb3ducmV2LnhtbESPT2vCQBTE70K/w/IKXqRu/NOiqatURSh60Sg9P7Kv&#10;STD7NmRXE/30bkHocZiZ3zCzRWtKcaXaFZYVDPoRCOLU6oIzBafj5m0CwnlkjaVlUnAjB4v5S2eG&#10;sbYNH+ia+EwECLsYFeTeV7GULs3JoOvbijh4v7Y26IOsM6lrbALclHIYRR/SYMFhIceKVjml5+Ri&#10;FPTW++W2Pd+ajYveBz+7ZLq73KdKdV/br08Qnlr/H362v7WC0WQMf2fCEZ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d3fHAAAA3AAAAA8AAAAAAAAAAAAAAAAAmAIAAGRy&#10;cy9kb3ducmV2LnhtbFBLBQYAAAAABAAEAPUAAACMAwAAAAA=&#10;" path="m,l37,e" filled="f" strokeweight=".22025mm">
                  <v:path arrowok="t" o:connecttype="custom" o:connectlocs="0,0;37,0" o:connectangles="0,0"/>
                </v:shape>
                <v:shape id="Freeform 28" o:spid="_x0000_s1052" style="position:absolute;left:2431;top:3816;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LS7MYA&#10;AADcAAAADwAAAGRycy9kb3ducmV2LnhtbESPQWvCQBSE70L/w/IKXqRuVBRNXaUqgujFpqXnR/Y1&#10;CWbfhuzGRH99tyB4HGbmG2a57kwprlS7wrKC0TACQZxaXXCm4Ptr/zYH4TyyxtIyKbiRg/XqpbfE&#10;WNuWP+ma+EwECLsYFeTeV7GULs3JoBvaijh4v7Y26IOsM6lrbAPclHIcRTNpsOCwkGNF25zSS9IY&#10;BYPdeXPsLrd276Lp6OeULE7NfaFU/7X7eAfhqfPP8KN90Aom8yn8nw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LS7MYAAADcAAAADwAAAAAAAAAAAAAAAACYAgAAZHJz&#10;L2Rvd25yZXYueG1sUEsFBgAAAAAEAAQA9QAAAIsDAAAAAA==&#10;" path="m,l37,e" filled="f" strokeweight=".22025mm">
                  <v:path arrowok="t" o:connecttype="custom" o:connectlocs="0,0;37,0" o:connectangles="0,0"/>
                </v:shape>
                <v:shape id="Freeform 29" o:spid="_x0000_s1053" style="position:absolute;left:2431;top:3453;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BMm8YA&#10;AADcAAAADwAAAGRycy9kb3ducmV2LnhtbESPQWvCQBSE70L/w/IKXqRuVBRNXaUqgujFpqXnR/Y1&#10;CWbfhuzGRH99tyB4HGbmG2a57kwprlS7wrKC0TACQZxaXXCm4Ptr/zYH4TyyxtIyKbiRg/XqpbfE&#10;WNuWP+ma+EwECLsYFeTeV7GULs3JoBvaijh4v7Y26IOsM6lrbAPclHIcRTNpsOCwkGNF25zSS9IY&#10;BYPdeXPsLrd276Lp6OeULE7NfaFU/7X7eAfhqfPP8KN90Aom8xn8nw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BMm8YAAADcAAAADwAAAAAAAAAAAAAAAACYAgAAZHJz&#10;L2Rvd25yZXYueG1sUEsFBgAAAAAEAAQA9QAAAIsDAAAAAA==&#10;" path="m,l37,e" filled="f" strokeweight=".22025mm">
                  <v:path arrowok="t" o:connecttype="custom" o:connectlocs="0,0;37,0" o:connectangles="0,0"/>
                </v:shape>
                <v:shape id="Freeform 30" o:spid="_x0000_s1054" style="position:absolute;left:2431;top:3078;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pAMYA&#10;AADcAAAADwAAAGRycy9kb3ducmV2LnhtbESPQWvCQBSE70L/w/IKXqRuVGw1dZWqCEUvGqXnR/Y1&#10;CWbfhuxqor/eLQg9DjPzDTNbtKYUV6pdYVnBoB+BIE6tLjhTcDpu3iYgnEfWWFomBTdysJi/dGYY&#10;a9vwga6Jz0SAsItRQe59FUvp0pwMur6tiIP3a2uDPsg6k7rGJsBNKYdR9C4NFhwWcqxolVN6Ti5G&#10;QW+9X27b863ZuGg8+Nkl093lPlWq+9p+fYLw1Pr/8LP9rRWMJh/wdyYc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zpAMYAAADcAAAADwAAAAAAAAAAAAAAAACYAgAAZHJz&#10;L2Rvd25yZXYueG1sUEsFBgAAAAAEAAQA9QAAAIsDAAAAAA==&#10;" path="m,l37,e" filled="f" strokeweight=".22025mm">
                  <v:path arrowok="t" o:connecttype="custom" o:connectlocs="0,0;37,0" o:connectangles="0,0"/>
                </v:shape>
                <v:shape id="Freeform 31" o:spid="_x0000_s1055" style="position:absolute;left:2431;top:2715;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9csIA&#10;AADcAAAADwAAAGRycy9kb3ducmV2LnhtbERPTYvCMBC9L/gfwgheFk1VVrQaxV0RFr1oFc9DM7bF&#10;ZlKaaOv+enNY8Ph434tVa0rxoNoVlhUMBxEI4tTqgjMF59O2PwXhPLLG0jIpeJKD1bLzscBY24aP&#10;9Eh8JkIIuxgV5N5XsZQuzcmgG9iKOHBXWxv0AdaZ1DU2IdyUchRFE2mw4NCQY0U/OaW35G4UfG4O&#10;37v29my2LvoaXvbJbH//mynV67brOQhPrX+L/92/WsF4GtaG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s31ywgAAANwAAAAPAAAAAAAAAAAAAAAAAJgCAABkcnMvZG93&#10;bnJldi54bWxQSwUGAAAAAAQABAD1AAAAhwMAAAAA&#10;" path="m,l37,e" filled="f" strokeweight=".22025mm">
                  <v:path arrowok="t" o:connecttype="custom" o:connectlocs="0,0;37,0" o:connectangles="0,0"/>
                </v:shape>
                <v:shape id="Freeform 32" o:spid="_x0000_s1056" style="position:absolute;left:2431;top:2340;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Y6ccA&#10;AADcAAAADwAAAGRycy9kb3ducmV2LnhtbESPQWvCQBSE70L/w/IKvUjdaLGY1I20FkH0YtPS8yP7&#10;moRk34bsamJ/vSsIHoeZ+YZZrgbTiBN1rrKsYDqJQBDnVldcKPj53jwvQDiPrLGxTArO5GCVPoyW&#10;mGjb8xedMl+IAGGXoILS+zaR0uUlGXQT2xIH7892Bn2QXSF1h32Am0bOouhVGqw4LJTY0rqkvM6O&#10;RsH48/CxG+pzv3HRfPq7z+L98T9W6ulxeH8D4Wnw9/CtvdUKXhYxXM+EIyDT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2OnHAAAA3AAAAA8AAAAAAAAAAAAAAAAAmAIAAGRy&#10;cy9kb3ducmV2LnhtbFBLBQYAAAAABAAEAPUAAACMAwAAAAA=&#10;" path="m,l37,e" filled="f" strokeweight=".22025mm">
                  <v:path arrowok="t" o:connecttype="custom" o:connectlocs="0,0;37,0" o:connectangles="0,0"/>
                </v:shape>
                <v:shape id="Freeform 33" o:spid="_x0000_s1057" style="position:absolute;left:2431;top:1976;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znqcQA&#10;AADcAAAADwAAAGRycy9kb3ducmV2LnhtbERPTWvCQBC9F/wPywi9lGZjS6VJ3YhahKKXGqXnITsm&#10;IdnZkF1N7K93D4UeH+97sRxNK67Uu9qyglkUgyAurK65VHA6bp/fQTiPrLG1TApu5GCZTR4WmGo7&#10;8IGuuS9FCGGXooLK+y6V0hUVGXSR7YgDd7a9QR9gX0rd4xDCTStf4nguDdYcGirsaFNR0eQXo+Dp&#10;83u9G5vbsHXx2+xnnyf7y2+i1ON0XH2A8DT6f/Gf+0sreE3C/HAmHAG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c56nEAAAA3AAAAA8AAAAAAAAAAAAAAAAAmAIAAGRycy9k&#10;b3ducmV2LnhtbFBLBQYAAAAABAAEAPUAAACJAwAAAAA=&#10;" path="m,l37,e" filled="f" strokeweight=".22025mm">
                  <v:path arrowok="t" o:connecttype="custom" o:connectlocs="0,0;37,0" o:connectangles="0,0"/>
                </v:shape>
                <v:shape id="Freeform 34" o:spid="_x0000_s1058" style="position:absolute;left:2431;top:1601;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BCMsYA&#10;AADcAAAADwAAAGRycy9kb3ducmV2LnhtbESPQWvCQBSE7wX/w/IEL6KbVJQmdZW2Iki92Fh6fmRf&#10;k2D2bciuJvrr3YLQ4zAz3zDLdW9qcaHWVZYVxNMIBHFudcWFgu/jdvICwnlkjbVlUnAlB+vV4GmJ&#10;qbYdf9El84UIEHYpKii9b1IpXV6SQTe1DXHwfm1r0AfZFlK32AW4qeVzFC2kwYrDQokNfZSUn7Kz&#10;UTDeHN4/+9O127poHv/ss2R/viVKjYb92ysIT73/Dz/aO61glsTwdyYc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BCMsYAAADcAAAADwAAAAAAAAAAAAAAAACYAgAAZHJz&#10;L2Rvd25yZXYueG1sUEsFBgAAAAAEAAQA9QAAAIsDAAAAAA==&#10;" path="m,l37,e" filled="f" strokeweight=".22025mm">
                  <v:path arrowok="t" o:connecttype="custom" o:connectlocs="0,0;37,0" o:connectangles="0,0"/>
                </v:shape>
                <v:shape id="Freeform 35" o:spid="_x0000_s1059" style="position:absolute;left:2431;top:1238;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LcRccA&#10;AADcAAAADwAAAGRycy9kb3ducmV2LnhtbESPQWvCQBSE70L/w/IKXkrdqLQ0aVapilD0YtPS8yP7&#10;moRk34bsaqK/visIHoeZ+YZJl4NpxIk6V1lWMJ1EIIhzqysuFPx8b5/fQDiPrLGxTArO5GC5eBil&#10;mGjb8xedMl+IAGGXoILS+zaR0uUlGXQT2xIH7892Bn2QXSF1h32Am0bOouhVGqw4LJTY0rqkvM6O&#10;RsHT5rDaDfW537roZfq7z+L98RIrNX4cPt5BeBr8PXxrf2oF83gG1zPhCM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3EXHAAAA3AAAAA8AAAAAAAAAAAAAAAAAmAIAAGRy&#10;cy9kb3ducmV2LnhtbFBLBQYAAAAABAAEAPUAAACMAwAAAAA=&#10;" path="m,l37,e" filled="f" strokeweight=".22025mm">
                  <v:path arrowok="t" o:connecttype="custom" o:connectlocs="0,0;37,0" o:connectangles="0,0"/>
                </v:shape>
                <v:shape id="Freeform 36" o:spid="_x0000_s1060" style="position:absolute;left:2431;top:862;width:38;height:20;visibility:visible;mso-wrap-style:square;v-text-anchor:top" coordsize="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553sYA&#10;AADcAAAADwAAAGRycy9kb3ducmV2LnhtbESPQWvCQBSE70L/w/IKXqRuVCxN6ipVEUQvNi09P7Kv&#10;STD7NmRXE/31riB4HGbmG2a26EwlztS40rKC0TACQZxZXXKu4Pdn8/YBwnlkjZVlUnAhB4v5S2+G&#10;ibYtf9M59bkIEHYJKii8rxMpXVaQQTe0NXHw/m1j0AfZ5FI32Aa4qeQ4it6lwZLDQoE1rQrKjunJ&#10;KBisD8tdd7y0GxdNR3/7NN6frrFS/dfu6xOEp84/w4/2ViuYxBO4nw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553sYAAADcAAAADwAAAAAAAAAAAAAAAACYAgAAZHJz&#10;L2Rvd25yZXYueG1sUEsFBgAAAAAEAAQA9QAAAIsDAAAAAA==&#10;" path="m,l37,e" filled="f" strokeweight=".22025mm">
                  <v:path arrowok="t" o:connecttype="custom" o:connectlocs="0,0;37,0" o:connectangles="0,0"/>
                </v:shape>
                <w10:wrap anchorx="page"/>
              </v:group>
            </w:pict>
          </mc:Fallback>
        </mc:AlternateContent>
      </w:r>
      <w:r>
        <w:rPr>
          <w:b/>
          <w:bCs/>
          <w:color w:val="993300"/>
          <w:spacing w:val="1"/>
          <w:sz w:val="27"/>
          <w:szCs w:val="27"/>
        </w:rPr>
        <w:t>U</w:t>
      </w:r>
      <w:r>
        <w:rPr>
          <w:b/>
          <w:bCs/>
          <w:color w:val="993300"/>
          <w:spacing w:val="-10"/>
          <w:sz w:val="27"/>
          <w:szCs w:val="27"/>
        </w:rPr>
        <w:t>žr</w:t>
      </w:r>
      <w:r>
        <w:rPr>
          <w:b/>
          <w:bCs/>
          <w:color w:val="993300"/>
          <w:spacing w:val="2"/>
          <w:sz w:val="27"/>
          <w:szCs w:val="27"/>
        </w:rPr>
        <w:t>e</w:t>
      </w:r>
      <w:r>
        <w:rPr>
          <w:b/>
          <w:bCs/>
          <w:color w:val="993300"/>
          <w:sz w:val="27"/>
          <w:szCs w:val="27"/>
        </w:rPr>
        <w:t>g</w:t>
      </w:r>
      <w:r>
        <w:rPr>
          <w:b/>
          <w:bCs/>
          <w:color w:val="993300"/>
          <w:spacing w:val="-2"/>
          <w:sz w:val="27"/>
          <w:szCs w:val="27"/>
        </w:rPr>
        <w:t>i</w:t>
      </w:r>
      <w:r>
        <w:rPr>
          <w:b/>
          <w:bCs/>
          <w:color w:val="993300"/>
          <w:spacing w:val="5"/>
          <w:sz w:val="27"/>
          <w:szCs w:val="27"/>
        </w:rPr>
        <w:t>s</w:t>
      </w:r>
      <w:r>
        <w:rPr>
          <w:b/>
          <w:bCs/>
          <w:color w:val="993300"/>
          <w:spacing w:val="-4"/>
          <w:sz w:val="27"/>
          <w:szCs w:val="27"/>
        </w:rPr>
        <w:t>t</w:t>
      </w:r>
      <w:r>
        <w:rPr>
          <w:b/>
          <w:bCs/>
          <w:color w:val="993300"/>
          <w:spacing w:val="-10"/>
          <w:sz w:val="27"/>
          <w:szCs w:val="27"/>
        </w:rPr>
        <w:t>r</w:t>
      </w:r>
      <w:r>
        <w:rPr>
          <w:b/>
          <w:bCs/>
          <w:color w:val="993300"/>
          <w:spacing w:val="-3"/>
          <w:sz w:val="27"/>
          <w:szCs w:val="27"/>
        </w:rPr>
        <w:t>u</w:t>
      </w:r>
      <w:r>
        <w:rPr>
          <w:b/>
          <w:bCs/>
          <w:color w:val="993300"/>
          <w:sz w:val="27"/>
          <w:szCs w:val="27"/>
        </w:rPr>
        <w:t>o</w:t>
      </w:r>
      <w:r>
        <w:rPr>
          <w:b/>
          <w:bCs/>
          <w:color w:val="993300"/>
          <w:spacing w:val="-4"/>
          <w:sz w:val="27"/>
          <w:szCs w:val="27"/>
        </w:rPr>
        <w:t>t</w:t>
      </w:r>
      <w:r>
        <w:rPr>
          <w:b/>
          <w:bCs/>
          <w:color w:val="993300"/>
          <w:sz w:val="27"/>
          <w:szCs w:val="27"/>
        </w:rPr>
        <w:t>ų</w:t>
      </w:r>
      <w:r>
        <w:rPr>
          <w:b/>
          <w:bCs/>
          <w:color w:val="993300"/>
          <w:spacing w:val="36"/>
          <w:sz w:val="27"/>
          <w:szCs w:val="27"/>
        </w:rPr>
        <w:t xml:space="preserve"> </w:t>
      </w:r>
      <w:r>
        <w:rPr>
          <w:b/>
          <w:bCs/>
          <w:color w:val="993300"/>
          <w:spacing w:val="-3"/>
          <w:sz w:val="27"/>
          <w:szCs w:val="27"/>
        </w:rPr>
        <w:t>nu</w:t>
      </w:r>
      <w:r>
        <w:rPr>
          <w:b/>
          <w:bCs/>
          <w:color w:val="993300"/>
          <w:spacing w:val="5"/>
          <w:sz w:val="27"/>
          <w:szCs w:val="27"/>
        </w:rPr>
        <w:t>s</w:t>
      </w:r>
      <w:r>
        <w:rPr>
          <w:b/>
          <w:bCs/>
          <w:color w:val="993300"/>
          <w:spacing w:val="-2"/>
          <w:sz w:val="27"/>
          <w:szCs w:val="27"/>
        </w:rPr>
        <w:t>i</w:t>
      </w:r>
      <w:r>
        <w:rPr>
          <w:b/>
          <w:bCs/>
          <w:color w:val="993300"/>
          <w:spacing w:val="-3"/>
          <w:sz w:val="27"/>
          <w:szCs w:val="27"/>
        </w:rPr>
        <w:t>k</w:t>
      </w:r>
      <w:r>
        <w:rPr>
          <w:b/>
          <w:bCs/>
          <w:color w:val="993300"/>
          <w:sz w:val="27"/>
          <w:szCs w:val="27"/>
        </w:rPr>
        <w:t>a</w:t>
      </w:r>
      <w:r>
        <w:rPr>
          <w:b/>
          <w:bCs/>
          <w:color w:val="993300"/>
          <w:spacing w:val="-2"/>
          <w:sz w:val="27"/>
          <w:szCs w:val="27"/>
        </w:rPr>
        <w:t>l</w:t>
      </w:r>
      <w:r>
        <w:rPr>
          <w:b/>
          <w:bCs/>
          <w:color w:val="993300"/>
          <w:spacing w:val="5"/>
          <w:sz w:val="27"/>
          <w:szCs w:val="27"/>
        </w:rPr>
        <w:t>s</w:t>
      </w:r>
      <w:r>
        <w:rPr>
          <w:b/>
          <w:bCs/>
          <w:color w:val="993300"/>
          <w:spacing w:val="-4"/>
          <w:sz w:val="27"/>
          <w:szCs w:val="27"/>
        </w:rPr>
        <w:t>t</w:t>
      </w:r>
      <w:r>
        <w:rPr>
          <w:b/>
          <w:bCs/>
          <w:color w:val="993300"/>
          <w:sz w:val="27"/>
          <w:szCs w:val="27"/>
        </w:rPr>
        <w:t>a</w:t>
      </w:r>
      <w:r>
        <w:rPr>
          <w:b/>
          <w:bCs/>
          <w:color w:val="993300"/>
          <w:spacing w:val="-4"/>
          <w:sz w:val="27"/>
          <w:szCs w:val="27"/>
        </w:rPr>
        <w:t>m</w:t>
      </w:r>
      <w:r>
        <w:rPr>
          <w:b/>
          <w:bCs/>
          <w:color w:val="993300"/>
          <w:sz w:val="27"/>
          <w:szCs w:val="27"/>
        </w:rPr>
        <w:t>ų</w:t>
      </w:r>
      <w:r>
        <w:rPr>
          <w:b/>
          <w:bCs/>
          <w:color w:val="993300"/>
          <w:spacing w:val="35"/>
          <w:sz w:val="27"/>
          <w:szCs w:val="27"/>
        </w:rPr>
        <w:t xml:space="preserve"> </w:t>
      </w:r>
      <w:r>
        <w:rPr>
          <w:b/>
          <w:bCs/>
          <w:color w:val="993300"/>
          <w:spacing w:val="12"/>
          <w:sz w:val="27"/>
          <w:szCs w:val="27"/>
        </w:rPr>
        <w:t>v</w:t>
      </w:r>
      <w:r>
        <w:rPr>
          <w:b/>
          <w:bCs/>
          <w:color w:val="993300"/>
          <w:spacing w:val="2"/>
          <w:sz w:val="27"/>
          <w:szCs w:val="27"/>
        </w:rPr>
        <w:t>e</w:t>
      </w:r>
      <w:r>
        <w:rPr>
          <w:b/>
          <w:bCs/>
          <w:color w:val="993300"/>
          <w:spacing w:val="-2"/>
          <w:sz w:val="27"/>
          <w:szCs w:val="27"/>
        </w:rPr>
        <w:t>i</w:t>
      </w:r>
      <w:r>
        <w:rPr>
          <w:b/>
          <w:bCs/>
          <w:color w:val="993300"/>
          <w:spacing w:val="-3"/>
          <w:sz w:val="27"/>
          <w:szCs w:val="27"/>
        </w:rPr>
        <w:t>kų</w:t>
      </w:r>
      <w:r>
        <w:rPr>
          <w:b/>
          <w:bCs/>
          <w:color w:val="993300"/>
          <w:sz w:val="27"/>
          <w:szCs w:val="27"/>
        </w:rPr>
        <w:t>,</w:t>
      </w:r>
      <w:r>
        <w:rPr>
          <w:b/>
          <w:bCs/>
          <w:color w:val="993300"/>
          <w:spacing w:val="27"/>
          <w:sz w:val="27"/>
          <w:szCs w:val="27"/>
        </w:rPr>
        <w:t xml:space="preserve"> </w:t>
      </w:r>
      <w:r>
        <w:rPr>
          <w:b/>
          <w:bCs/>
          <w:color w:val="993300"/>
          <w:spacing w:val="5"/>
          <w:sz w:val="27"/>
          <w:szCs w:val="27"/>
        </w:rPr>
        <w:t>s</w:t>
      </w:r>
      <w:r>
        <w:rPr>
          <w:b/>
          <w:bCs/>
          <w:color w:val="993300"/>
          <w:spacing w:val="-3"/>
          <w:sz w:val="27"/>
          <w:szCs w:val="27"/>
        </w:rPr>
        <w:t>u</w:t>
      </w:r>
      <w:r>
        <w:rPr>
          <w:b/>
          <w:bCs/>
          <w:color w:val="993300"/>
          <w:spacing w:val="5"/>
          <w:sz w:val="27"/>
          <w:szCs w:val="27"/>
        </w:rPr>
        <w:t>s</w:t>
      </w:r>
      <w:r>
        <w:rPr>
          <w:b/>
          <w:bCs/>
          <w:color w:val="993300"/>
          <w:spacing w:val="-2"/>
          <w:sz w:val="27"/>
          <w:szCs w:val="27"/>
        </w:rPr>
        <w:t>i</w:t>
      </w:r>
      <w:r>
        <w:rPr>
          <w:b/>
          <w:bCs/>
          <w:color w:val="993300"/>
          <w:spacing w:val="-4"/>
          <w:sz w:val="27"/>
          <w:szCs w:val="27"/>
        </w:rPr>
        <w:t>j</w:t>
      </w:r>
      <w:r>
        <w:rPr>
          <w:b/>
          <w:bCs/>
          <w:color w:val="993300"/>
          <w:spacing w:val="-3"/>
          <w:sz w:val="27"/>
          <w:szCs w:val="27"/>
        </w:rPr>
        <w:t>u</w:t>
      </w:r>
      <w:r>
        <w:rPr>
          <w:b/>
          <w:bCs/>
          <w:color w:val="993300"/>
          <w:spacing w:val="5"/>
          <w:sz w:val="27"/>
          <w:szCs w:val="27"/>
        </w:rPr>
        <w:t>s</w:t>
      </w:r>
      <w:r>
        <w:rPr>
          <w:b/>
          <w:bCs/>
          <w:color w:val="993300"/>
          <w:spacing w:val="-2"/>
          <w:sz w:val="27"/>
          <w:szCs w:val="27"/>
        </w:rPr>
        <w:t>i</w:t>
      </w:r>
      <w:r>
        <w:rPr>
          <w:b/>
          <w:bCs/>
          <w:color w:val="993300"/>
          <w:sz w:val="27"/>
          <w:szCs w:val="27"/>
        </w:rPr>
        <w:t>ų</w:t>
      </w:r>
      <w:r>
        <w:rPr>
          <w:b/>
          <w:bCs/>
          <w:color w:val="993300"/>
          <w:spacing w:val="24"/>
          <w:sz w:val="27"/>
          <w:szCs w:val="27"/>
        </w:rPr>
        <w:t xml:space="preserve"> </w:t>
      </w:r>
      <w:r>
        <w:rPr>
          <w:b/>
          <w:bCs/>
          <w:color w:val="993300"/>
          <w:spacing w:val="5"/>
          <w:sz w:val="27"/>
          <w:szCs w:val="27"/>
        </w:rPr>
        <w:t>s</w:t>
      </w:r>
      <w:r>
        <w:rPr>
          <w:b/>
          <w:bCs/>
          <w:color w:val="993300"/>
          <w:sz w:val="27"/>
          <w:szCs w:val="27"/>
        </w:rPr>
        <w:t>u</w:t>
      </w:r>
      <w:r>
        <w:rPr>
          <w:b/>
          <w:bCs/>
          <w:color w:val="993300"/>
          <w:spacing w:val="9"/>
          <w:sz w:val="27"/>
          <w:szCs w:val="27"/>
        </w:rPr>
        <w:t xml:space="preserve"> </w:t>
      </w:r>
      <w:r>
        <w:rPr>
          <w:b/>
          <w:bCs/>
          <w:color w:val="993300"/>
          <w:spacing w:val="-3"/>
          <w:w w:val="102"/>
          <w:sz w:val="27"/>
          <w:szCs w:val="27"/>
        </w:rPr>
        <w:t>n</w:t>
      </w:r>
      <w:r>
        <w:rPr>
          <w:b/>
          <w:bCs/>
          <w:color w:val="993300"/>
          <w:spacing w:val="2"/>
          <w:w w:val="102"/>
          <w:sz w:val="27"/>
          <w:szCs w:val="27"/>
        </w:rPr>
        <w:t>e</w:t>
      </w:r>
      <w:r>
        <w:rPr>
          <w:b/>
          <w:bCs/>
          <w:color w:val="993300"/>
          <w:spacing w:val="-4"/>
          <w:w w:val="102"/>
          <w:sz w:val="27"/>
          <w:szCs w:val="27"/>
        </w:rPr>
        <w:t>t</w:t>
      </w:r>
      <w:r>
        <w:rPr>
          <w:b/>
          <w:bCs/>
          <w:color w:val="993300"/>
          <w:spacing w:val="2"/>
          <w:w w:val="102"/>
          <w:sz w:val="27"/>
          <w:szCs w:val="27"/>
        </w:rPr>
        <w:t>e</w:t>
      </w:r>
      <w:r>
        <w:rPr>
          <w:b/>
          <w:bCs/>
          <w:color w:val="993300"/>
          <w:spacing w:val="-2"/>
          <w:w w:val="102"/>
          <w:sz w:val="27"/>
          <w:szCs w:val="27"/>
        </w:rPr>
        <w:t>i</w:t>
      </w:r>
      <w:r>
        <w:rPr>
          <w:b/>
          <w:bCs/>
          <w:color w:val="993300"/>
          <w:spacing w:val="5"/>
          <w:w w:val="102"/>
          <w:sz w:val="27"/>
          <w:szCs w:val="27"/>
        </w:rPr>
        <w:t>s</w:t>
      </w:r>
      <w:r>
        <w:rPr>
          <w:b/>
          <w:bCs/>
          <w:color w:val="993300"/>
          <w:spacing w:val="2"/>
          <w:w w:val="102"/>
          <w:sz w:val="27"/>
          <w:szCs w:val="27"/>
        </w:rPr>
        <w:t>ė</w:t>
      </w:r>
      <w:r>
        <w:rPr>
          <w:b/>
          <w:bCs/>
          <w:color w:val="993300"/>
          <w:spacing w:val="-4"/>
          <w:w w:val="102"/>
          <w:sz w:val="27"/>
          <w:szCs w:val="27"/>
        </w:rPr>
        <w:t>t</w:t>
      </w:r>
      <w:r>
        <w:rPr>
          <w:b/>
          <w:bCs/>
          <w:color w:val="993300"/>
          <w:w w:val="102"/>
          <w:sz w:val="27"/>
          <w:szCs w:val="27"/>
        </w:rPr>
        <w:t xml:space="preserve">u </w:t>
      </w:r>
      <w:r>
        <w:rPr>
          <w:b/>
          <w:bCs/>
          <w:color w:val="993300"/>
          <w:spacing w:val="-3"/>
          <w:sz w:val="27"/>
          <w:szCs w:val="27"/>
        </w:rPr>
        <w:t>n</w:t>
      </w:r>
      <w:r>
        <w:rPr>
          <w:b/>
          <w:bCs/>
          <w:color w:val="993300"/>
          <w:sz w:val="27"/>
          <w:szCs w:val="27"/>
        </w:rPr>
        <w:t>a</w:t>
      </w:r>
      <w:r>
        <w:rPr>
          <w:b/>
          <w:bCs/>
          <w:color w:val="993300"/>
          <w:spacing w:val="-10"/>
          <w:sz w:val="27"/>
          <w:szCs w:val="27"/>
        </w:rPr>
        <w:t>r</w:t>
      </w:r>
      <w:r>
        <w:rPr>
          <w:b/>
          <w:bCs/>
          <w:color w:val="993300"/>
          <w:spacing w:val="-3"/>
          <w:sz w:val="27"/>
          <w:szCs w:val="27"/>
        </w:rPr>
        <w:t>k</w:t>
      </w:r>
      <w:r>
        <w:rPr>
          <w:b/>
          <w:bCs/>
          <w:color w:val="993300"/>
          <w:sz w:val="27"/>
          <w:szCs w:val="27"/>
        </w:rPr>
        <w:t>o</w:t>
      </w:r>
      <w:r>
        <w:rPr>
          <w:b/>
          <w:bCs/>
          <w:color w:val="993300"/>
          <w:spacing w:val="-4"/>
          <w:sz w:val="27"/>
          <w:szCs w:val="27"/>
        </w:rPr>
        <w:t>t</w:t>
      </w:r>
      <w:r>
        <w:rPr>
          <w:b/>
          <w:bCs/>
          <w:color w:val="993300"/>
          <w:spacing w:val="-2"/>
          <w:sz w:val="27"/>
          <w:szCs w:val="27"/>
        </w:rPr>
        <w:t>i</w:t>
      </w:r>
      <w:r>
        <w:rPr>
          <w:b/>
          <w:bCs/>
          <w:color w:val="993300"/>
          <w:spacing w:val="-3"/>
          <w:sz w:val="27"/>
          <w:szCs w:val="27"/>
        </w:rPr>
        <w:t>k</w:t>
      </w:r>
      <w:r>
        <w:rPr>
          <w:b/>
          <w:bCs/>
          <w:color w:val="993300"/>
          <w:sz w:val="27"/>
          <w:szCs w:val="27"/>
        </w:rPr>
        <w:t>ų</w:t>
      </w:r>
      <w:r>
        <w:rPr>
          <w:b/>
          <w:bCs/>
          <w:color w:val="993300"/>
          <w:spacing w:val="27"/>
          <w:sz w:val="27"/>
          <w:szCs w:val="27"/>
        </w:rPr>
        <w:t xml:space="preserve"> </w:t>
      </w:r>
      <w:r>
        <w:rPr>
          <w:b/>
          <w:bCs/>
          <w:color w:val="993300"/>
          <w:spacing w:val="-3"/>
          <w:sz w:val="27"/>
          <w:szCs w:val="27"/>
        </w:rPr>
        <w:t>d</w:t>
      </w:r>
      <w:r>
        <w:rPr>
          <w:b/>
          <w:bCs/>
          <w:color w:val="993300"/>
          <w:spacing w:val="-2"/>
          <w:sz w:val="27"/>
          <w:szCs w:val="27"/>
        </w:rPr>
        <w:t>i</w:t>
      </w:r>
      <w:r>
        <w:rPr>
          <w:b/>
          <w:bCs/>
          <w:color w:val="993300"/>
          <w:spacing w:val="5"/>
          <w:sz w:val="27"/>
          <w:szCs w:val="27"/>
        </w:rPr>
        <w:t>s</w:t>
      </w:r>
      <w:r>
        <w:rPr>
          <w:b/>
          <w:bCs/>
          <w:color w:val="993300"/>
          <w:spacing w:val="-3"/>
          <w:sz w:val="27"/>
          <w:szCs w:val="27"/>
        </w:rPr>
        <w:t>p</w:t>
      </w:r>
      <w:r>
        <w:rPr>
          <w:b/>
          <w:bCs/>
          <w:color w:val="993300"/>
          <w:sz w:val="27"/>
          <w:szCs w:val="27"/>
        </w:rPr>
        <w:t>o</w:t>
      </w:r>
      <w:r>
        <w:rPr>
          <w:b/>
          <w:bCs/>
          <w:color w:val="993300"/>
          <w:spacing w:val="-3"/>
          <w:sz w:val="27"/>
          <w:szCs w:val="27"/>
        </w:rPr>
        <w:t>n</w:t>
      </w:r>
      <w:r>
        <w:rPr>
          <w:b/>
          <w:bCs/>
          <w:color w:val="993300"/>
          <w:sz w:val="27"/>
          <w:szCs w:val="27"/>
        </w:rPr>
        <w:t>a</w:t>
      </w:r>
      <w:r>
        <w:rPr>
          <w:b/>
          <w:bCs/>
          <w:color w:val="993300"/>
          <w:spacing w:val="12"/>
          <w:sz w:val="27"/>
          <w:szCs w:val="27"/>
        </w:rPr>
        <w:t>v</w:t>
      </w:r>
      <w:r>
        <w:rPr>
          <w:b/>
          <w:bCs/>
          <w:color w:val="993300"/>
          <w:spacing w:val="-2"/>
          <w:sz w:val="27"/>
          <w:szCs w:val="27"/>
        </w:rPr>
        <w:t>i</w:t>
      </w:r>
      <w:r>
        <w:rPr>
          <w:b/>
          <w:bCs/>
          <w:color w:val="993300"/>
          <w:spacing w:val="-4"/>
          <w:sz w:val="27"/>
          <w:szCs w:val="27"/>
        </w:rPr>
        <w:t>m</w:t>
      </w:r>
      <w:r>
        <w:rPr>
          <w:b/>
          <w:bCs/>
          <w:color w:val="993300"/>
          <w:spacing w:val="-3"/>
          <w:sz w:val="27"/>
          <w:szCs w:val="27"/>
        </w:rPr>
        <w:t>u</w:t>
      </w:r>
      <w:r>
        <w:rPr>
          <w:b/>
          <w:bCs/>
          <w:color w:val="993300"/>
          <w:sz w:val="27"/>
          <w:szCs w:val="27"/>
        </w:rPr>
        <w:t>,</w:t>
      </w:r>
      <w:r>
        <w:rPr>
          <w:b/>
          <w:bCs/>
          <w:color w:val="993300"/>
          <w:spacing w:val="44"/>
          <w:sz w:val="27"/>
          <w:szCs w:val="27"/>
        </w:rPr>
        <w:t xml:space="preserve"> </w:t>
      </w:r>
      <w:r>
        <w:rPr>
          <w:b/>
          <w:bCs/>
          <w:color w:val="993300"/>
          <w:spacing w:val="-3"/>
          <w:w w:val="102"/>
          <w:sz w:val="27"/>
          <w:szCs w:val="27"/>
        </w:rPr>
        <w:t>d</w:t>
      </w:r>
      <w:r>
        <w:rPr>
          <w:b/>
          <w:bCs/>
          <w:color w:val="993300"/>
          <w:spacing w:val="-2"/>
          <w:w w:val="102"/>
          <w:sz w:val="27"/>
          <w:szCs w:val="27"/>
        </w:rPr>
        <w:t>i</w:t>
      </w:r>
      <w:r>
        <w:rPr>
          <w:b/>
          <w:bCs/>
          <w:color w:val="993300"/>
          <w:spacing w:val="-3"/>
          <w:w w:val="102"/>
          <w:sz w:val="27"/>
          <w:szCs w:val="27"/>
        </w:rPr>
        <w:t>n</w:t>
      </w:r>
      <w:r>
        <w:rPr>
          <w:b/>
          <w:bCs/>
          <w:color w:val="993300"/>
          <w:w w:val="102"/>
          <w:sz w:val="27"/>
          <w:szCs w:val="27"/>
        </w:rPr>
        <w:t>a</w:t>
      </w:r>
      <w:r>
        <w:rPr>
          <w:b/>
          <w:bCs/>
          <w:color w:val="993300"/>
          <w:spacing w:val="-4"/>
          <w:w w:val="102"/>
          <w:sz w:val="27"/>
          <w:szCs w:val="27"/>
        </w:rPr>
        <w:t>m</w:t>
      </w:r>
      <w:r>
        <w:rPr>
          <w:b/>
          <w:bCs/>
          <w:color w:val="993300"/>
          <w:spacing w:val="-2"/>
          <w:w w:val="102"/>
          <w:sz w:val="27"/>
          <w:szCs w:val="27"/>
        </w:rPr>
        <w:t>i</w:t>
      </w:r>
      <w:r>
        <w:rPr>
          <w:b/>
          <w:bCs/>
          <w:color w:val="993300"/>
          <w:spacing w:val="-3"/>
          <w:w w:val="102"/>
          <w:sz w:val="27"/>
          <w:szCs w:val="27"/>
        </w:rPr>
        <w:t>k</w:t>
      </w:r>
      <w:r>
        <w:rPr>
          <w:b/>
          <w:bCs/>
          <w:color w:val="993300"/>
          <w:w w:val="102"/>
          <w:sz w:val="27"/>
          <w:szCs w:val="27"/>
        </w:rPr>
        <w:t>a</w:t>
      </w:r>
    </w:p>
    <w:p w:rsidR="004F7425" w:rsidRDefault="004F7425" w:rsidP="004F7425">
      <w:pPr>
        <w:widowControl w:val="0"/>
        <w:autoSpaceDE w:val="0"/>
        <w:autoSpaceDN w:val="0"/>
        <w:adjustRightInd w:val="0"/>
        <w:spacing w:before="4" w:line="190" w:lineRule="exact"/>
        <w:rPr>
          <w:color w:val="000000"/>
          <w:sz w:val="19"/>
          <w:szCs w:val="19"/>
        </w:rPr>
      </w:pPr>
    </w:p>
    <w:p w:rsidR="004F7425" w:rsidRDefault="004F7425" w:rsidP="004F7425">
      <w:pPr>
        <w:widowControl w:val="0"/>
        <w:autoSpaceDE w:val="0"/>
        <w:autoSpaceDN w:val="0"/>
        <w:adjustRightInd w:val="0"/>
        <w:spacing w:before="4" w:line="190" w:lineRule="exact"/>
        <w:rPr>
          <w:color w:val="000000"/>
          <w:sz w:val="19"/>
          <w:szCs w:val="19"/>
        </w:rPr>
        <w:sectPr w:rsidR="004F7425">
          <w:headerReference w:type="default" r:id="rId260"/>
          <w:pgSz w:w="11920" w:h="16840"/>
          <w:pgMar w:top="960" w:right="460" w:bottom="280" w:left="1580" w:header="734" w:footer="0" w:gutter="0"/>
          <w:cols w:space="1296"/>
          <w:noEndnote/>
        </w:sectPr>
      </w:pPr>
    </w:p>
    <w:p w:rsidR="004F7425" w:rsidRDefault="004F7425" w:rsidP="004F7425">
      <w:pPr>
        <w:widowControl w:val="0"/>
        <w:autoSpaceDE w:val="0"/>
        <w:autoSpaceDN w:val="0"/>
        <w:adjustRightInd w:val="0"/>
        <w:spacing w:before="43"/>
        <w:ind w:left="370" w:right="-68"/>
        <w:rPr>
          <w:rFonts w:ascii="Arial" w:hAnsi="Arial" w:cs="Arial"/>
          <w:color w:val="000000"/>
          <w:sz w:val="18"/>
          <w:szCs w:val="18"/>
        </w:rPr>
      </w:pPr>
      <w:r>
        <w:rPr>
          <w:rFonts w:ascii="Arial" w:hAnsi="Arial" w:cs="Arial"/>
          <w:b/>
          <w:bCs/>
          <w:color w:val="000000"/>
          <w:spacing w:val="-5"/>
          <w:w w:val="104"/>
          <w:sz w:val="18"/>
          <w:szCs w:val="18"/>
        </w:rPr>
        <w:lastRenderedPageBreak/>
        <w:t>2012</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2011</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2010</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2009</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2008</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2007</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2006</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2005</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spacing w:line="204" w:lineRule="exact"/>
        <w:ind w:left="370" w:right="-68"/>
        <w:rPr>
          <w:rFonts w:ascii="Arial" w:hAnsi="Arial" w:cs="Arial"/>
          <w:color w:val="000000"/>
          <w:sz w:val="18"/>
          <w:szCs w:val="18"/>
        </w:rPr>
      </w:pPr>
      <w:r>
        <w:rPr>
          <w:rFonts w:ascii="Arial" w:hAnsi="Arial" w:cs="Arial"/>
          <w:b/>
          <w:bCs/>
          <w:color w:val="000000"/>
          <w:spacing w:val="-5"/>
          <w:w w:val="104"/>
          <w:position w:val="-1"/>
          <w:sz w:val="18"/>
          <w:szCs w:val="18"/>
        </w:rPr>
        <w:t>2004</w:t>
      </w:r>
    </w:p>
    <w:p w:rsidR="004F7425" w:rsidRDefault="004F7425" w:rsidP="004F7425">
      <w:pPr>
        <w:widowControl w:val="0"/>
        <w:autoSpaceDE w:val="0"/>
        <w:autoSpaceDN w:val="0"/>
        <w:adjustRightInd w:val="0"/>
        <w:spacing w:line="120" w:lineRule="exact"/>
        <w:rPr>
          <w:rFonts w:ascii="Arial" w:hAnsi="Arial" w:cs="Arial"/>
          <w:color w:val="000000"/>
          <w:sz w:val="12"/>
          <w:szCs w:val="12"/>
        </w:rPr>
      </w:pPr>
      <w:r>
        <w:rPr>
          <w:rFonts w:ascii="Arial" w:hAnsi="Arial" w:cs="Arial"/>
          <w:color w:val="000000"/>
          <w:sz w:val="18"/>
          <w:szCs w:val="18"/>
        </w:rPr>
        <w:br w:type="column"/>
      </w: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ind w:left="413" w:right="-68"/>
        <w:rPr>
          <w:rFonts w:ascii="Arial" w:hAnsi="Arial" w:cs="Arial"/>
          <w:color w:val="000000"/>
          <w:sz w:val="18"/>
          <w:szCs w:val="18"/>
        </w:rPr>
      </w:pPr>
      <w:r>
        <w:rPr>
          <w:rFonts w:ascii="Arial" w:hAnsi="Arial" w:cs="Arial"/>
          <w:b/>
          <w:bCs/>
          <w:color w:val="000000"/>
          <w:spacing w:val="-5"/>
          <w:w w:val="104"/>
          <w:sz w:val="18"/>
          <w:szCs w:val="18"/>
        </w:rPr>
        <w:t>1839</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263" w:right="-20"/>
        <w:rPr>
          <w:rFonts w:ascii="Arial" w:hAnsi="Arial" w:cs="Arial"/>
          <w:color w:val="000000"/>
          <w:sz w:val="18"/>
          <w:szCs w:val="18"/>
        </w:rPr>
      </w:pPr>
      <w:r>
        <w:rPr>
          <w:rFonts w:ascii="Arial" w:hAnsi="Arial" w:cs="Arial"/>
          <w:b/>
          <w:bCs/>
          <w:color w:val="000000"/>
          <w:spacing w:val="-5"/>
          <w:w w:val="104"/>
          <w:sz w:val="18"/>
          <w:szCs w:val="18"/>
        </w:rPr>
        <w:t>1734</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ind w:left="175" w:right="-20"/>
        <w:rPr>
          <w:rFonts w:ascii="Arial" w:hAnsi="Arial" w:cs="Arial"/>
          <w:color w:val="000000"/>
          <w:sz w:val="18"/>
          <w:szCs w:val="18"/>
        </w:rPr>
      </w:pPr>
      <w:r>
        <w:rPr>
          <w:rFonts w:ascii="Arial" w:hAnsi="Arial" w:cs="Arial"/>
          <w:b/>
          <w:bCs/>
          <w:color w:val="000000"/>
          <w:spacing w:val="-5"/>
          <w:w w:val="104"/>
          <w:sz w:val="18"/>
          <w:szCs w:val="18"/>
        </w:rPr>
        <w:t>1673</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63" w:right="-20"/>
        <w:rPr>
          <w:rFonts w:ascii="Arial" w:hAnsi="Arial" w:cs="Arial"/>
          <w:color w:val="000000"/>
          <w:sz w:val="18"/>
          <w:szCs w:val="18"/>
        </w:rPr>
      </w:pPr>
      <w:r>
        <w:rPr>
          <w:rFonts w:ascii="Arial" w:hAnsi="Arial" w:cs="Arial"/>
          <w:b/>
          <w:bCs/>
          <w:color w:val="000000"/>
          <w:spacing w:val="-5"/>
          <w:w w:val="104"/>
          <w:sz w:val="18"/>
          <w:szCs w:val="18"/>
        </w:rPr>
        <w:t>1600</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spacing w:line="204" w:lineRule="exact"/>
        <w:ind w:right="-20"/>
        <w:rPr>
          <w:rFonts w:ascii="Arial" w:hAnsi="Arial" w:cs="Arial"/>
          <w:color w:val="000000"/>
          <w:sz w:val="18"/>
          <w:szCs w:val="18"/>
        </w:rPr>
      </w:pPr>
      <w:r>
        <w:rPr>
          <w:rFonts w:ascii="Arial" w:hAnsi="Arial" w:cs="Arial"/>
          <w:b/>
          <w:bCs/>
          <w:color w:val="000000"/>
          <w:spacing w:val="-5"/>
          <w:w w:val="104"/>
          <w:position w:val="-1"/>
          <w:sz w:val="18"/>
          <w:szCs w:val="18"/>
        </w:rPr>
        <w:t>1552</w:t>
      </w:r>
    </w:p>
    <w:p w:rsidR="004F7425" w:rsidRDefault="004F7425" w:rsidP="004F7425">
      <w:pPr>
        <w:widowControl w:val="0"/>
        <w:autoSpaceDE w:val="0"/>
        <w:autoSpaceDN w:val="0"/>
        <w:adjustRightInd w:val="0"/>
        <w:spacing w:before="43"/>
        <w:ind w:left="363" w:right="-20"/>
        <w:rPr>
          <w:rFonts w:ascii="Arial" w:hAnsi="Arial" w:cs="Arial"/>
          <w:color w:val="000000"/>
          <w:sz w:val="18"/>
          <w:szCs w:val="18"/>
        </w:rPr>
      </w:pPr>
      <w:r>
        <w:rPr>
          <w:rFonts w:ascii="Arial" w:hAnsi="Arial" w:cs="Arial"/>
          <w:color w:val="000000"/>
          <w:sz w:val="18"/>
          <w:szCs w:val="18"/>
        </w:rPr>
        <w:br w:type="column"/>
      </w:r>
      <w:r>
        <w:rPr>
          <w:rFonts w:ascii="Arial" w:hAnsi="Arial" w:cs="Arial"/>
          <w:b/>
          <w:bCs/>
          <w:color w:val="000000"/>
          <w:spacing w:val="-5"/>
          <w:w w:val="104"/>
          <w:sz w:val="18"/>
          <w:szCs w:val="18"/>
        </w:rPr>
        <w:lastRenderedPageBreak/>
        <w:t>2437</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left="100" w:right="-20"/>
        <w:rPr>
          <w:rFonts w:ascii="Arial" w:hAnsi="Arial" w:cs="Arial"/>
          <w:color w:val="000000"/>
          <w:sz w:val="18"/>
          <w:szCs w:val="18"/>
        </w:rPr>
      </w:pPr>
      <w:r>
        <w:rPr>
          <w:rFonts w:ascii="Arial" w:hAnsi="Arial" w:cs="Arial"/>
          <w:b/>
          <w:bCs/>
          <w:color w:val="000000"/>
          <w:spacing w:val="-5"/>
          <w:w w:val="104"/>
          <w:sz w:val="18"/>
          <w:szCs w:val="18"/>
        </w:rPr>
        <w:t>2258</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ind w:left="50" w:right="-20"/>
        <w:rPr>
          <w:rFonts w:ascii="Arial" w:hAnsi="Arial" w:cs="Arial"/>
          <w:color w:val="000000"/>
          <w:sz w:val="18"/>
          <w:szCs w:val="18"/>
        </w:rPr>
      </w:pPr>
      <w:r>
        <w:rPr>
          <w:rFonts w:ascii="Arial" w:hAnsi="Arial" w:cs="Arial"/>
          <w:b/>
          <w:bCs/>
          <w:color w:val="000000"/>
          <w:spacing w:val="-5"/>
          <w:w w:val="104"/>
          <w:sz w:val="18"/>
          <w:szCs w:val="18"/>
        </w:rPr>
        <w:t>2220</w:t>
      </w:r>
    </w:p>
    <w:p w:rsidR="004F7425" w:rsidRDefault="004F7425" w:rsidP="004F7425">
      <w:pPr>
        <w:widowControl w:val="0"/>
        <w:autoSpaceDE w:val="0"/>
        <w:autoSpaceDN w:val="0"/>
        <w:adjustRightInd w:val="0"/>
        <w:spacing w:before="9" w:line="160" w:lineRule="exact"/>
        <w:rPr>
          <w:rFonts w:ascii="Arial" w:hAnsi="Arial" w:cs="Arial"/>
          <w:color w:val="000000"/>
          <w:sz w:val="16"/>
          <w:szCs w:val="16"/>
        </w:rPr>
      </w:pPr>
    </w:p>
    <w:p w:rsidR="004F7425" w:rsidRDefault="004F7425" w:rsidP="004F7425">
      <w:pPr>
        <w:widowControl w:val="0"/>
        <w:autoSpaceDE w:val="0"/>
        <w:autoSpaceDN w:val="0"/>
        <w:adjustRightInd w:val="0"/>
        <w:ind w:right="-20"/>
        <w:rPr>
          <w:rFonts w:ascii="Arial" w:hAnsi="Arial" w:cs="Arial"/>
          <w:color w:val="000000"/>
          <w:sz w:val="18"/>
          <w:szCs w:val="18"/>
        </w:rPr>
      </w:pPr>
      <w:r>
        <w:rPr>
          <w:rFonts w:ascii="Arial" w:hAnsi="Arial" w:cs="Arial"/>
          <w:b/>
          <w:bCs/>
          <w:color w:val="000000"/>
          <w:spacing w:val="-5"/>
          <w:w w:val="104"/>
          <w:sz w:val="18"/>
          <w:szCs w:val="18"/>
        </w:rPr>
        <w:t>2189</w:t>
      </w:r>
    </w:p>
    <w:p w:rsidR="004F7425" w:rsidRDefault="004F7425" w:rsidP="004F7425">
      <w:pPr>
        <w:widowControl w:val="0"/>
        <w:autoSpaceDE w:val="0"/>
        <w:autoSpaceDN w:val="0"/>
        <w:adjustRightInd w:val="0"/>
        <w:ind w:right="-20"/>
        <w:rPr>
          <w:rFonts w:ascii="Arial" w:hAnsi="Arial" w:cs="Arial"/>
          <w:color w:val="000000"/>
          <w:sz w:val="18"/>
          <w:szCs w:val="18"/>
        </w:rPr>
        <w:sectPr w:rsidR="004F7425">
          <w:type w:val="continuous"/>
          <w:pgSz w:w="11920" w:h="16840"/>
          <w:pgMar w:top="1540" w:right="460" w:bottom="280" w:left="1580" w:header="567" w:footer="567" w:gutter="0"/>
          <w:cols w:num="3" w:space="1296" w:equalWidth="0">
            <w:col w:w="770" w:space="2204"/>
            <w:col w:w="814" w:space="112"/>
            <w:col w:w="5980"/>
          </w:cols>
          <w:noEndnote/>
        </w:sectPr>
      </w:pPr>
    </w:p>
    <w:p w:rsidR="004F7425" w:rsidRDefault="004F7425" w:rsidP="004F7425">
      <w:pPr>
        <w:widowControl w:val="0"/>
        <w:autoSpaceDE w:val="0"/>
        <w:autoSpaceDN w:val="0"/>
        <w:adjustRightInd w:val="0"/>
        <w:spacing w:before="1" w:line="170" w:lineRule="exact"/>
        <w:rPr>
          <w:rFonts w:ascii="Arial" w:hAnsi="Arial" w:cs="Arial"/>
          <w:color w:val="000000"/>
          <w:sz w:val="17"/>
          <w:szCs w:val="17"/>
        </w:rPr>
      </w:pPr>
    </w:p>
    <w:p w:rsidR="004F7425" w:rsidRDefault="004F7425" w:rsidP="004F7425">
      <w:pPr>
        <w:widowControl w:val="0"/>
        <w:autoSpaceDE w:val="0"/>
        <w:autoSpaceDN w:val="0"/>
        <w:adjustRightInd w:val="0"/>
        <w:ind w:left="370" w:right="-68"/>
        <w:rPr>
          <w:rFonts w:ascii="Arial" w:hAnsi="Arial" w:cs="Arial"/>
          <w:color w:val="000000"/>
          <w:sz w:val="18"/>
          <w:szCs w:val="18"/>
        </w:rPr>
      </w:pPr>
      <w:r>
        <w:rPr>
          <w:rFonts w:ascii="Arial" w:hAnsi="Arial" w:cs="Arial"/>
          <w:b/>
          <w:bCs/>
          <w:color w:val="000000"/>
          <w:spacing w:val="-5"/>
          <w:w w:val="104"/>
          <w:sz w:val="18"/>
          <w:szCs w:val="18"/>
        </w:rPr>
        <w:t>2003</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spacing w:line="204" w:lineRule="exact"/>
        <w:ind w:left="370" w:right="-68"/>
        <w:rPr>
          <w:rFonts w:ascii="Arial" w:hAnsi="Arial" w:cs="Arial"/>
          <w:color w:val="000000"/>
          <w:sz w:val="18"/>
          <w:szCs w:val="18"/>
        </w:rPr>
      </w:pPr>
      <w:r>
        <w:rPr>
          <w:noProof/>
          <w:lang w:eastAsia="lt-LT"/>
        </w:rPr>
        <mc:AlternateContent>
          <mc:Choice Requires="wps">
            <w:drawing>
              <wp:anchor distT="0" distB="0" distL="114300" distR="114300" simplePos="0" relativeHeight="251736064" behindDoc="1" locked="0" layoutInCell="0" allowOverlap="1">
                <wp:simplePos x="0" y="0"/>
                <wp:positionH relativeFrom="page">
                  <wp:posOffset>1543685</wp:posOffset>
                </wp:positionH>
                <wp:positionV relativeFrom="paragraph">
                  <wp:posOffset>190500</wp:posOffset>
                </wp:positionV>
                <wp:extent cx="24130" cy="12700"/>
                <wp:effectExtent l="0" t="0" r="13970" b="6350"/>
                <wp:wrapNone/>
                <wp:docPr id="358" name="Laisva forma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 cy="12700"/>
                        </a:xfrm>
                        <a:custGeom>
                          <a:avLst/>
                          <a:gdLst>
                            <a:gd name="T0" fmla="*/ 0 w 38"/>
                            <a:gd name="T1" fmla="*/ 0 h 20"/>
                            <a:gd name="T2" fmla="*/ 37 w 38"/>
                            <a:gd name="T3" fmla="*/ 0 h 20"/>
                          </a:gdLst>
                          <a:ahLst/>
                          <a:cxnLst>
                            <a:cxn ang="0">
                              <a:pos x="T0" y="T1"/>
                            </a:cxn>
                            <a:cxn ang="0">
                              <a:pos x="T2" y="T3"/>
                            </a:cxn>
                          </a:cxnLst>
                          <a:rect l="0" t="0" r="r" b="b"/>
                          <a:pathLst>
                            <a:path w="38" h="20">
                              <a:moveTo>
                                <a:pt x="0" y="0"/>
                              </a:moveTo>
                              <a:lnTo>
                                <a:pt x="37" y="0"/>
                              </a:lnTo>
                            </a:path>
                          </a:pathLst>
                        </a:custGeom>
                        <a:noFill/>
                        <a:ln w="79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Laisva forma 358" o:spid="_x0000_s1026" style="position:absolute;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21.55pt,15pt,123.4pt,15pt" coordsize="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" o:allowincell="f" filled="f" strokeweight=".22025mm">
                <v:path arrowok="t" o:connecttype="custom" o:connectlocs="0,0;23495,0" o:connectangles="0,0"/>
                <w10:wrap anchorx="page"/>
              </v:polyline>
            </w:pict>
          </mc:Fallback>
        </mc:AlternateContent>
      </w:r>
      <w:r>
        <w:rPr>
          <w:rFonts w:ascii="Arial" w:hAnsi="Arial" w:cs="Arial"/>
          <w:b/>
          <w:bCs/>
          <w:color w:val="000000"/>
          <w:spacing w:val="-5"/>
          <w:w w:val="104"/>
          <w:position w:val="-1"/>
          <w:sz w:val="18"/>
          <w:szCs w:val="18"/>
        </w:rPr>
        <w:t>2002</w:t>
      </w:r>
    </w:p>
    <w:p w:rsidR="004F7425" w:rsidRDefault="004F7425" w:rsidP="004F7425">
      <w:pPr>
        <w:widowControl w:val="0"/>
        <w:autoSpaceDE w:val="0"/>
        <w:autoSpaceDN w:val="0"/>
        <w:adjustRightInd w:val="0"/>
        <w:spacing w:before="1" w:line="170" w:lineRule="exact"/>
        <w:rPr>
          <w:rFonts w:ascii="Arial" w:hAnsi="Arial" w:cs="Arial"/>
          <w:color w:val="000000"/>
          <w:sz w:val="17"/>
          <w:szCs w:val="17"/>
        </w:rPr>
      </w:pPr>
      <w:r>
        <w:rPr>
          <w:rFonts w:ascii="Arial" w:hAnsi="Arial" w:cs="Arial"/>
          <w:color w:val="000000"/>
          <w:sz w:val="18"/>
          <w:szCs w:val="18"/>
        </w:rPr>
        <w:br w:type="column"/>
      </w:r>
    </w:p>
    <w:p w:rsidR="004F7425" w:rsidRDefault="004F7425" w:rsidP="004F7425">
      <w:pPr>
        <w:widowControl w:val="0"/>
        <w:autoSpaceDE w:val="0"/>
        <w:autoSpaceDN w:val="0"/>
        <w:adjustRightInd w:val="0"/>
        <w:ind w:left="75" w:right="-20"/>
        <w:rPr>
          <w:rFonts w:ascii="Arial" w:hAnsi="Arial" w:cs="Arial"/>
          <w:color w:val="000000"/>
          <w:sz w:val="18"/>
          <w:szCs w:val="18"/>
        </w:rPr>
      </w:pPr>
      <w:r>
        <w:rPr>
          <w:rFonts w:ascii="Arial" w:hAnsi="Arial" w:cs="Arial"/>
          <w:b/>
          <w:bCs/>
          <w:color w:val="000000"/>
          <w:spacing w:val="-5"/>
          <w:w w:val="104"/>
          <w:sz w:val="18"/>
          <w:szCs w:val="18"/>
        </w:rPr>
        <w:t>1029</w:t>
      </w:r>
    </w:p>
    <w:p w:rsidR="004F7425" w:rsidRDefault="004F7425" w:rsidP="004F7425">
      <w:pPr>
        <w:widowControl w:val="0"/>
        <w:autoSpaceDE w:val="0"/>
        <w:autoSpaceDN w:val="0"/>
        <w:adjustRightInd w:val="0"/>
        <w:spacing w:before="6" w:line="150" w:lineRule="exact"/>
        <w:rPr>
          <w:rFonts w:ascii="Arial" w:hAnsi="Arial" w:cs="Arial"/>
          <w:color w:val="000000"/>
          <w:sz w:val="15"/>
          <w:szCs w:val="15"/>
        </w:rPr>
      </w:pPr>
    </w:p>
    <w:p w:rsidR="004F7425" w:rsidRDefault="004F7425" w:rsidP="004F7425">
      <w:pPr>
        <w:widowControl w:val="0"/>
        <w:autoSpaceDE w:val="0"/>
        <w:autoSpaceDN w:val="0"/>
        <w:adjustRightInd w:val="0"/>
        <w:spacing w:line="204" w:lineRule="exact"/>
        <w:ind w:right="-20"/>
        <w:rPr>
          <w:rFonts w:ascii="Arial" w:hAnsi="Arial" w:cs="Arial"/>
          <w:color w:val="000000"/>
          <w:sz w:val="18"/>
          <w:szCs w:val="18"/>
        </w:rPr>
      </w:pPr>
      <w:r>
        <w:rPr>
          <w:rFonts w:ascii="Arial" w:hAnsi="Arial" w:cs="Arial"/>
          <w:b/>
          <w:bCs/>
          <w:color w:val="000000"/>
          <w:spacing w:val="-5"/>
          <w:w w:val="104"/>
          <w:position w:val="-1"/>
          <w:sz w:val="18"/>
          <w:szCs w:val="18"/>
        </w:rPr>
        <w:t>937</w:t>
      </w:r>
    </w:p>
    <w:p w:rsidR="004F7425" w:rsidRDefault="004F7425" w:rsidP="004F7425">
      <w:pPr>
        <w:widowControl w:val="0"/>
        <w:autoSpaceDE w:val="0"/>
        <w:autoSpaceDN w:val="0"/>
        <w:adjustRightInd w:val="0"/>
        <w:spacing w:line="204" w:lineRule="exact"/>
        <w:ind w:right="-20"/>
        <w:rPr>
          <w:rFonts w:ascii="Arial" w:hAnsi="Arial" w:cs="Arial"/>
          <w:color w:val="000000"/>
          <w:sz w:val="18"/>
          <w:szCs w:val="18"/>
        </w:rPr>
        <w:sectPr w:rsidR="004F7425">
          <w:type w:val="continuous"/>
          <w:pgSz w:w="11920" w:h="16840"/>
          <w:pgMar w:top="1540" w:right="460" w:bottom="280" w:left="1580" w:header="567" w:footer="567" w:gutter="0"/>
          <w:cols w:num="2" w:space="1296" w:equalWidth="0">
            <w:col w:w="770" w:space="1352"/>
            <w:col w:w="7758"/>
          </w:cols>
          <w:noEndnote/>
        </w:sect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line="200" w:lineRule="exact"/>
        <w:rPr>
          <w:rFonts w:ascii="Arial" w:hAnsi="Arial" w:cs="Arial"/>
          <w:color w:val="000000"/>
          <w:sz w:val="20"/>
        </w:rPr>
      </w:pPr>
    </w:p>
    <w:p w:rsidR="004F7425" w:rsidRDefault="004F7425" w:rsidP="004F7425">
      <w:pPr>
        <w:widowControl w:val="0"/>
        <w:autoSpaceDE w:val="0"/>
        <w:autoSpaceDN w:val="0"/>
        <w:adjustRightInd w:val="0"/>
        <w:spacing w:before="14" w:line="280" w:lineRule="exact"/>
        <w:rPr>
          <w:rFonts w:ascii="Arial" w:hAnsi="Arial" w:cs="Arial"/>
          <w:color w:val="000000"/>
          <w:sz w:val="28"/>
          <w:szCs w:val="28"/>
        </w:rPr>
      </w:pPr>
    </w:p>
    <w:p w:rsidR="004F7425" w:rsidRDefault="004F7425" w:rsidP="004F7425">
      <w:pPr>
        <w:widowControl w:val="0"/>
        <w:autoSpaceDE w:val="0"/>
        <w:autoSpaceDN w:val="0"/>
        <w:adjustRightInd w:val="0"/>
        <w:spacing w:before="29" w:line="275" w:lineRule="auto"/>
        <w:ind w:left="120" w:right="41" w:firstLine="721"/>
        <w:jc w:val="both"/>
        <w:rPr>
          <w:color w:val="000000"/>
        </w:rPr>
      </w:pPr>
      <w:r>
        <w:rPr>
          <w:color w:val="000000"/>
          <w:spacing w:val="-2"/>
        </w:rPr>
        <w:t>B</w:t>
      </w:r>
      <w:r>
        <w:rPr>
          <w:color w:val="000000"/>
          <w:spacing w:val="4"/>
        </w:rPr>
        <w:t>e</w:t>
      </w:r>
      <w:r>
        <w:rPr>
          <w:color w:val="000000"/>
          <w:spacing w:val="-5"/>
        </w:rPr>
        <w:t>n</w:t>
      </w:r>
      <w:r>
        <w:rPr>
          <w:color w:val="000000"/>
        </w:rPr>
        <w:t>d</w:t>
      </w:r>
      <w:r>
        <w:rPr>
          <w:color w:val="000000"/>
          <w:spacing w:val="1"/>
        </w:rPr>
        <w:t>r</w:t>
      </w:r>
      <w:r>
        <w:rPr>
          <w:color w:val="000000"/>
          <w:spacing w:val="4"/>
        </w:rPr>
        <w:t>a</w:t>
      </w:r>
      <w:r>
        <w:rPr>
          <w:color w:val="000000"/>
          <w:spacing w:val="-9"/>
        </w:rPr>
        <w:t>m</w:t>
      </w:r>
      <w:r>
        <w:rPr>
          <w:color w:val="000000"/>
        </w:rPr>
        <w:t xml:space="preserve">e  </w:t>
      </w:r>
      <w:r>
        <w:rPr>
          <w:color w:val="000000"/>
          <w:spacing w:val="9"/>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4"/>
        </w:rPr>
        <w:t>m</w:t>
      </w:r>
      <w:r>
        <w:rPr>
          <w:color w:val="000000"/>
          <w:spacing w:val="5"/>
        </w:rPr>
        <w:t>u</w:t>
      </w:r>
      <w:r>
        <w:rPr>
          <w:color w:val="000000"/>
          <w:spacing w:val="-9"/>
        </w:rPr>
        <w:t>m</w:t>
      </w:r>
      <w:r>
        <w:rPr>
          <w:color w:val="000000"/>
        </w:rPr>
        <w:t xml:space="preserve">o  </w:t>
      </w:r>
      <w:r>
        <w:rPr>
          <w:color w:val="000000"/>
          <w:spacing w:val="5"/>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e</w:t>
      </w:r>
      <w:r>
        <w:rPr>
          <w:color w:val="000000"/>
        </w:rPr>
        <w:t>k</w:t>
      </w:r>
      <w:r>
        <w:rPr>
          <w:color w:val="000000"/>
          <w:spacing w:val="-2"/>
        </w:rPr>
        <w:t>s</w:t>
      </w:r>
      <w:r>
        <w:rPr>
          <w:color w:val="000000"/>
          <w:spacing w:val="5"/>
        </w:rPr>
        <w:t>t</w:t>
      </w:r>
      <w:r>
        <w:rPr>
          <w:color w:val="000000"/>
        </w:rPr>
        <w:t xml:space="preserve">e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1"/>
        </w:rPr>
        <w:t>a</w:t>
      </w:r>
      <w:r>
        <w:rPr>
          <w:color w:val="000000"/>
          <w:spacing w:val="-9"/>
        </w:rPr>
        <w:t>m</w:t>
      </w:r>
      <w:r>
        <w:rPr>
          <w:color w:val="000000"/>
          <w:spacing w:val="5"/>
        </w:rPr>
        <w:t>o</w:t>
      </w:r>
      <w:r>
        <w:rPr>
          <w:color w:val="000000"/>
        </w:rPr>
        <w:t xml:space="preserve">s  </w:t>
      </w:r>
      <w:r>
        <w:rPr>
          <w:color w:val="000000"/>
          <w:spacing w:val="3"/>
        </w:rPr>
        <w:t xml:space="preserve"> </w:t>
      </w:r>
      <w:r>
        <w:rPr>
          <w:color w:val="000000"/>
          <w:spacing w:val="-5"/>
        </w:rPr>
        <w:t>v</w:t>
      </w:r>
      <w:r>
        <w:rPr>
          <w:color w:val="000000"/>
          <w:spacing w:val="4"/>
        </w:rPr>
        <w:t>e</w:t>
      </w:r>
      <w:r>
        <w:rPr>
          <w:color w:val="000000"/>
          <w:spacing w:val="-4"/>
        </w:rPr>
        <w:t>i</w:t>
      </w:r>
      <w:r>
        <w:rPr>
          <w:color w:val="000000"/>
        </w:rPr>
        <w:t>k</w:t>
      </w:r>
      <w:r>
        <w:rPr>
          <w:color w:val="000000"/>
          <w:spacing w:val="5"/>
        </w:rPr>
        <w:t>o</w:t>
      </w:r>
      <w:r>
        <w:rPr>
          <w:color w:val="000000"/>
          <w:spacing w:val="-2"/>
        </w:rPr>
        <w:t>s</w:t>
      </w:r>
      <w:r>
        <w:rPr>
          <w:color w:val="000000"/>
        </w:rPr>
        <w:t xml:space="preserve">,  </w:t>
      </w:r>
      <w:r>
        <w:rPr>
          <w:color w:val="000000"/>
          <w:spacing w:val="3"/>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9"/>
        </w:rPr>
        <w:t>i</w:t>
      </w:r>
      <w:r>
        <w:rPr>
          <w:color w:val="000000"/>
          <w:spacing w:val="9"/>
        </w:rPr>
        <w:t>o</w:t>
      </w:r>
      <w:r>
        <w:rPr>
          <w:color w:val="000000"/>
        </w:rPr>
        <w:t xml:space="preserve">s  </w:t>
      </w:r>
      <w:r>
        <w:rPr>
          <w:color w:val="000000"/>
          <w:spacing w:val="3"/>
        </w:rPr>
        <w:t xml:space="preserve"> </w:t>
      </w:r>
      <w:r>
        <w:rPr>
          <w:color w:val="000000"/>
          <w:spacing w:val="-2"/>
        </w:rPr>
        <w:t>s</w:t>
      </w:r>
      <w:r>
        <w:rPr>
          <w:color w:val="000000"/>
        </w:rPr>
        <w:t xml:space="preserve">u  </w:t>
      </w:r>
      <w:r>
        <w:rPr>
          <w:color w:val="000000"/>
          <w:spacing w:val="5"/>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1"/>
        </w:rPr>
        <w:t>ė</w:t>
      </w:r>
      <w:r>
        <w:rPr>
          <w:color w:val="000000"/>
          <w:spacing w:val="5"/>
        </w:rPr>
        <w:t>t</w:t>
      </w:r>
      <w:r>
        <w:rPr>
          <w:color w:val="000000"/>
        </w:rPr>
        <w:t xml:space="preserve">u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50"/>
        </w:rPr>
        <w:t xml:space="preserve"> </w:t>
      </w:r>
      <w:r>
        <w:rPr>
          <w:color w:val="000000"/>
          <w:spacing w:val="5"/>
        </w:rPr>
        <w:t>d</w:t>
      </w:r>
      <w:r>
        <w:rPr>
          <w:color w:val="000000"/>
          <w:spacing w:val="-4"/>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4"/>
        </w:rPr>
        <w:t>m</w:t>
      </w:r>
      <w:r>
        <w:rPr>
          <w:color w:val="000000"/>
        </w:rPr>
        <w:t>u,</w:t>
      </w:r>
      <w:r>
        <w:rPr>
          <w:color w:val="000000"/>
          <w:spacing w:val="52"/>
        </w:rPr>
        <w:t xml:space="preserve"> </w:t>
      </w:r>
      <w:r>
        <w:rPr>
          <w:color w:val="000000"/>
          <w:spacing w:val="-2"/>
        </w:rPr>
        <w:t>s</w:t>
      </w:r>
      <w:r>
        <w:rPr>
          <w:color w:val="000000"/>
        </w:rPr>
        <w:t>u</w:t>
      </w:r>
      <w:r>
        <w:rPr>
          <w:color w:val="000000"/>
          <w:spacing w:val="5"/>
        </w:rPr>
        <w:t>d</w:t>
      </w:r>
      <w:r>
        <w:rPr>
          <w:color w:val="000000"/>
          <w:spacing w:val="-1"/>
        </w:rPr>
        <w:t>a</w:t>
      </w:r>
      <w:r>
        <w:rPr>
          <w:color w:val="000000"/>
          <w:spacing w:val="1"/>
        </w:rPr>
        <w:t>r</w:t>
      </w:r>
      <w:r>
        <w:rPr>
          <w:color w:val="000000"/>
        </w:rPr>
        <w:t>o</w:t>
      </w:r>
      <w:r>
        <w:rPr>
          <w:color w:val="000000"/>
          <w:spacing w:val="50"/>
        </w:rPr>
        <w:t xml:space="preserve"> </w:t>
      </w:r>
      <w:r>
        <w:rPr>
          <w:color w:val="000000"/>
          <w:spacing w:val="5"/>
        </w:rPr>
        <w:t>t</w:t>
      </w:r>
      <w:r>
        <w:rPr>
          <w:color w:val="000000"/>
          <w:spacing w:val="-9"/>
        </w:rPr>
        <w:t>i</w:t>
      </w:r>
      <w:r>
        <w:rPr>
          <w:color w:val="000000"/>
        </w:rPr>
        <w:t>k</w:t>
      </w:r>
      <w:r>
        <w:rPr>
          <w:color w:val="000000"/>
          <w:spacing w:val="50"/>
        </w:rPr>
        <w:t xml:space="preserve"> </w:t>
      </w:r>
      <w:r>
        <w:rPr>
          <w:color w:val="000000"/>
        </w:rPr>
        <w:t>2</w:t>
      </w:r>
      <w:r>
        <w:rPr>
          <w:color w:val="000000"/>
          <w:spacing w:val="2"/>
        </w:rPr>
        <w:t>,</w:t>
      </w:r>
      <w:r>
        <w:rPr>
          <w:color w:val="000000"/>
        </w:rPr>
        <w:t>95</w:t>
      </w:r>
      <w:r>
        <w:rPr>
          <w:color w:val="000000"/>
          <w:spacing w:val="50"/>
        </w:rPr>
        <w:t xml:space="preserve"> </w:t>
      </w:r>
      <w:r>
        <w:rPr>
          <w:color w:val="000000"/>
          <w:spacing w:val="-1"/>
        </w:rPr>
        <w:t>a</w:t>
      </w:r>
      <w:r>
        <w:rPr>
          <w:color w:val="000000"/>
          <w:spacing w:val="6"/>
        </w:rPr>
        <w:t>r</w:t>
      </w:r>
      <w:r>
        <w:rPr>
          <w:color w:val="000000"/>
          <w:spacing w:val="-5"/>
        </w:rPr>
        <w:t>b</w:t>
      </w:r>
      <w:r>
        <w:rPr>
          <w:color w:val="000000"/>
        </w:rPr>
        <w:t>a</w:t>
      </w:r>
      <w:r>
        <w:rPr>
          <w:color w:val="000000"/>
          <w:spacing w:val="49"/>
        </w:rPr>
        <w:t xml:space="preserve"> </w:t>
      </w:r>
      <w:r>
        <w:rPr>
          <w:color w:val="000000"/>
        </w:rPr>
        <w:t>0</w:t>
      </w:r>
      <w:r>
        <w:rPr>
          <w:color w:val="000000"/>
          <w:spacing w:val="7"/>
        </w:rPr>
        <w:t>,</w:t>
      </w:r>
      <w:r>
        <w:rPr>
          <w:color w:val="000000"/>
        </w:rPr>
        <w:t>1%</w:t>
      </w:r>
      <w:r>
        <w:rPr>
          <w:color w:val="000000"/>
          <w:spacing w:val="56"/>
        </w:rPr>
        <w:t xml:space="preserve"> </w:t>
      </w:r>
      <w:r>
        <w:rPr>
          <w:color w:val="000000"/>
          <w:spacing w:val="-9"/>
        </w:rPr>
        <w:t>m</w:t>
      </w:r>
      <w:r>
        <w:rPr>
          <w:color w:val="000000"/>
          <w:spacing w:val="-1"/>
        </w:rPr>
        <w:t>a</w:t>
      </w:r>
      <w:r>
        <w:rPr>
          <w:color w:val="000000"/>
          <w:spacing w:val="4"/>
        </w:rPr>
        <w:t>ž</w:t>
      </w:r>
      <w:r>
        <w:rPr>
          <w:color w:val="000000"/>
          <w:spacing w:val="-4"/>
        </w:rPr>
        <w:t>i</w:t>
      </w:r>
      <w:r>
        <w:rPr>
          <w:color w:val="000000"/>
          <w:spacing w:val="-1"/>
        </w:rPr>
        <w:t>a</w:t>
      </w:r>
      <w:r>
        <w:rPr>
          <w:color w:val="000000"/>
        </w:rPr>
        <w:t>u</w:t>
      </w:r>
      <w:r>
        <w:rPr>
          <w:color w:val="000000"/>
          <w:spacing w:val="55"/>
        </w:rPr>
        <w:t xml:space="preserve"> </w:t>
      </w:r>
      <w:r>
        <w:rPr>
          <w:color w:val="000000"/>
        </w:rPr>
        <w:t>n</w:t>
      </w:r>
      <w:r>
        <w:rPr>
          <w:color w:val="000000"/>
          <w:spacing w:val="-1"/>
        </w:rPr>
        <w:t>e</w:t>
      </w:r>
      <w:r>
        <w:rPr>
          <w:color w:val="000000"/>
        </w:rPr>
        <w:t>gu</w:t>
      </w:r>
      <w:r>
        <w:rPr>
          <w:color w:val="000000"/>
          <w:spacing w:val="50"/>
        </w:rPr>
        <w:t xml:space="preserve"> </w:t>
      </w:r>
      <w:r>
        <w:rPr>
          <w:color w:val="000000"/>
        </w:rPr>
        <w:t>2011</w:t>
      </w:r>
      <w:r>
        <w:rPr>
          <w:color w:val="000000"/>
          <w:spacing w:val="55"/>
        </w:rPr>
        <w:t xml:space="preserve"> </w:t>
      </w:r>
      <w:r>
        <w:rPr>
          <w:color w:val="000000"/>
          <w:spacing w:val="-4"/>
        </w:rPr>
        <w:t>m</w:t>
      </w:r>
      <w:r>
        <w:rPr>
          <w:color w:val="000000"/>
          <w:spacing w:val="2"/>
        </w:rPr>
        <w:t>.</w:t>
      </w:r>
      <w:r>
        <w:rPr>
          <w:color w:val="000000"/>
        </w:rPr>
        <w:t xml:space="preserve">. </w:t>
      </w:r>
      <w:r>
        <w:rPr>
          <w:color w:val="000000"/>
          <w:spacing w:val="3"/>
        </w:rPr>
        <w:t xml:space="preserve"> </w:t>
      </w:r>
      <w:r>
        <w:rPr>
          <w:color w:val="000000"/>
        </w:rPr>
        <w:t>V</w:t>
      </w:r>
      <w:r>
        <w:rPr>
          <w:color w:val="000000"/>
          <w:spacing w:val="-1"/>
        </w:rPr>
        <w:t>e</w:t>
      </w:r>
      <w:r>
        <w:rPr>
          <w:color w:val="000000"/>
          <w:spacing w:val="1"/>
        </w:rPr>
        <w:t>r</w:t>
      </w:r>
      <w:r>
        <w:rPr>
          <w:color w:val="000000"/>
          <w:spacing w:val="5"/>
        </w:rPr>
        <w:t>t</w:t>
      </w:r>
      <w:r>
        <w:rPr>
          <w:color w:val="000000"/>
          <w:spacing w:val="-4"/>
        </w:rPr>
        <w:t>i</w:t>
      </w:r>
      <w:r>
        <w:rPr>
          <w:color w:val="000000"/>
          <w:spacing w:val="-5"/>
        </w:rPr>
        <w:t>n</w:t>
      </w:r>
      <w:r>
        <w:rPr>
          <w:color w:val="000000"/>
          <w:spacing w:val="4"/>
        </w:rPr>
        <w:t>a</w:t>
      </w:r>
      <w:r>
        <w:rPr>
          <w:color w:val="000000"/>
          <w:spacing w:val="-5"/>
        </w:rPr>
        <w:t>n</w:t>
      </w:r>
      <w:r>
        <w:rPr>
          <w:color w:val="000000"/>
        </w:rPr>
        <w:t>t</w:t>
      </w:r>
      <w:r>
        <w:rPr>
          <w:color w:val="000000"/>
          <w:spacing w:val="55"/>
        </w:rPr>
        <w:t xml:space="preserve"> </w:t>
      </w:r>
      <w:r>
        <w:rPr>
          <w:color w:val="000000"/>
        </w:rPr>
        <w:t>p</w:t>
      </w:r>
      <w:r>
        <w:rPr>
          <w:color w:val="000000"/>
          <w:spacing w:val="-1"/>
        </w:rPr>
        <w:t>a</w:t>
      </w:r>
      <w:r>
        <w:rPr>
          <w:color w:val="000000"/>
          <w:spacing w:val="-2"/>
        </w:rPr>
        <w:t>s</w:t>
      </w:r>
      <w:r>
        <w:rPr>
          <w:color w:val="000000"/>
        </w:rPr>
        <w:t>ku</w:t>
      </w:r>
      <w:r>
        <w:rPr>
          <w:color w:val="000000"/>
          <w:spacing w:val="10"/>
        </w:rPr>
        <w:t>t</w:t>
      </w:r>
      <w:r>
        <w:rPr>
          <w:color w:val="000000"/>
          <w:spacing w:val="-4"/>
        </w:rPr>
        <w:t>i</w:t>
      </w:r>
      <w:r>
        <w:rPr>
          <w:color w:val="000000"/>
        </w:rPr>
        <w:t>n</w:t>
      </w:r>
      <w:r>
        <w:rPr>
          <w:color w:val="000000"/>
          <w:spacing w:val="-4"/>
        </w:rPr>
        <w:t>i</w:t>
      </w:r>
      <w:r>
        <w:rPr>
          <w:color w:val="000000"/>
        </w:rPr>
        <w:t>ų k</w:t>
      </w:r>
      <w:r>
        <w:rPr>
          <w:color w:val="000000"/>
          <w:spacing w:val="4"/>
        </w:rPr>
        <w:t>e</w:t>
      </w:r>
      <w:r>
        <w:rPr>
          <w:color w:val="000000"/>
          <w:spacing w:val="-9"/>
        </w:rPr>
        <w:t>l</w:t>
      </w:r>
      <w:r>
        <w:rPr>
          <w:color w:val="000000"/>
          <w:spacing w:val="-1"/>
        </w:rPr>
        <w:t>e</w:t>
      </w:r>
      <w:r>
        <w:rPr>
          <w:color w:val="000000"/>
          <w:spacing w:val="6"/>
        </w:rPr>
        <w:t>r</w:t>
      </w:r>
      <w:r>
        <w:rPr>
          <w:color w:val="000000"/>
          <w:spacing w:val="-4"/>
        </w:rPr>
        <w:t>i</w:t>
      </w:r>
      <w:r>
        <w:rPr>
          <w:color w:val="000000"/>
        </w:rPr>
        <w:t>ų</w:t>
      </w:r>
      <w:r>
        <w:rPr>
          <w:color w:val="000000"/>
          <w:spacing w:val="14"/>
        </w:rPr>
        <w:t xml:space="preserve"> </w:t>
      </w:r>
      <w:r>
        <w:rPr>
          <w:color w:val="000000"/>
          <w:spacing w:val="-9"/>
        </w:rPr>
        <w:t>m</w:t>
      </w:r>
      <w:r>
        <w:rPr>
          <w:color w:val="000000"/>
          <w:spacing w:val="-1"/>
        </w:rPr>
        <w:t>e</w:t>
      </w:r>
      <w:r>
        <w:rPr>
          <w:color w:val="000000"/>
          <w:spacing w:val="5"/>
        </w:rPr>
        <w:t>t</w:t>
      </w:r>
      <w:r>
        <w:rPr>
          <w:color w:val="000000"/>
        </w:rPr>
        <w:t>ų</w:t>
      </w:r>
      <w:r>
        <w:rPr>
          <w:color w:val="000000"/>
          <w:spacing w:val="9"/>
        </w:rPr>
        <w:t xml:space="preserve"> </w:t>
      </w:r>
      <w:r>
        <w:rPr>
          <w:color w:val="000000"/>
          <w:spacing w:val="-2"/>
        </w:rPr>
        <w:t>s</w:t>
      </w:r>
      <w:r>
        <w:rPr>
          <w:color w:val="000000"/>
          <w:spacing w:val="5"/>
        </w:rPr>
        <w:t>t</w:t>
      </w:r>
      <w:r>
        <w:rPr>
          <w:color w:val="000000"/>
          <w:spacing w:val="-6"/>
        </w:rPr>
        <w:t>a</w:t>
      </w:r>
      <w:r>
        <w:rPr>
          <w:color w:val="000000"/>
          <w:spacing w:val="5"/>
        </w:rPr>
        <w:t>t</w:t>
      </w:r>
      <w:r>
        <w:rPr>
          <w:color w:val="000000"/>
          <w:spacing w:val="-4"/>
        </w:rPr>
        <w:t>i</w:t>
      </w:r>
      <w:r>
        <w:rPr>
          <w:color w:val="000000"/>
          <w:spacing w:val="-2"/>
        </w:rPr>
        <w:t>s</w:t>
      </w:r>
      <w:r>
        <w:rPr>
          <w:color w:val="000000"/>
          <w:spacing w:val="10"/>
        </w:rPr>
        <w:t>t</w:t>
      </w:r>
      <w:r>
        <w:rPr>
          <w:color w:val="000000"/>
          <w:spacing w:val="-4"/>
        </w:rPr>
        <w:t>i</w:t>
      </w:r>
      <w:r>
        <w:rPr>
          <w:color w:val="000000"/>
        </w:rPr>
        <w:t>n</w:t>
      </w:r>
      <w:r>
        <w:rPr>
          <w:color w:val="000000"/>
          <w:spacing w:val="-9"/>
        </w:rPr>
        <w:t>i</w:t>
      </w:r>
      <w:r>
        <w:rPr>
          <w:color w:val="000000"/>
          <w:spacing w:val="5"/>
        </w:rPr>
        <w:t>u</w:t>
      </w:r>
      <w:r>
        <w:rPr>
          <w:color w:val="000000"/>
        </w:rPr>
        <w:t>s</w:t>
      </w:r>
      <w:r>
        <w:rPr>
          <w:color w:val="000000"/>
          <w:spacing w:val="7"/>
        </w:rPr>
        <w:t xml:space="preserve"> </w:t>
      </w:r>
      <w:r>
        <w:rPr>
          <w:color w:val="000000"/>
        </w:rPr>
        <w:t>du</w:t>
      </w:r>
      <w:r>
        <w:rPr>
          <w:color w:val="000000"/>
          <w:spacing w:val="5"/>
        </w:rPr>
        <w:t>o</w:t>
      </w:r>
      <w:r>
        <w:rPr>
          <w:color w:val="000000"/>
          <w:spacing w:val="-4"/>
        </w:rPr>
        <w:t>m</w:t>
      </w:r>
      <w:r>
        <w:rPr>
          <w:color w:val="000000"/>
          <w:spacing w:val="4"/>
        </w:rPr>
        <w:t>e</w:t>
      </w:r>
      <w:r>
        <w:rPr>
          <w:color w:val="000000"/>
        </w:rPr>
        <w:t>n</w:t>
      </w:r>
      <w:r>
        <w:rPr>
          <w:color w:val="000000"/>
          <w:spacing w:val="-4"/>
        </w:rPr>
        <w:t>i</w:t>
      </w:r>
      <w:r>
        <w:rPr>
          <w:color w:val="000000"/>
          <w:spacing w:val="-2"/>
        </w:rPr>
        <w:t>s</w:t>
      </w:r>
      <w:r>
        <w:rPr>
          <w:color w:val="000000"/>
        </w:rPr>
        <w:t>,</w:t>
      </w:r>
      <w:r>
        <w:rPr>
          <w:color w:val="000000"/>
          <w:spacing w:val="11"/>
        </w:rPr>
        <w:t xml:space="preserve"> </w:t>
      </w:r>
      <w:r>
        <w:rPr>
          <w:color w:val="000000"/>
        </w:rPr>
        <w:t>g</w:t>
      </w:r>
      <w:r>
        <w:rPr>
          <w:color w:val="000000"/>
          <w:spacing w:val="4"/>
        </w:rPr>
        <w:t>a</w:t>
      </w:r>
      <w:r>
        <w:rPr>
          <w:color w:val="000000"/>
          <w:spacing w:val="-4"/>
        </w:rPr>
        <w:t>l</w:t>
      </w:r>
      <w:r>
        <w:rPr>
          <w:color w:val="000000"/>
        </w:rPr>
        <w:t>i</w:t>
      </w:r>
      <w:r>
        <w:rPr>
          <w:color w:val="000000"/>
          <w:spacing w:val="-4"/>
        </w:rPr>
        <w:t>m</w:t>
      </w:r>
      <w:r>
        <w:rPr>
          <w:color w:val="000000"/>
        </w:rPr>
        <w:t>a</w:t>
      </w:r>
      <w:r>
        <w:rPr>
          <w:color w:val="000000"/>
          <w:spacing w:val="8"/>
        </w:rPr>
        <w:t xml:space="preserve"> </w:t>
      </w:r>
      <w:r>
        <w:rPr>
          <w:color w:val="000000"/>
        </w:rPr>
        <w:t>d</w:t>
      </w:r>
      <w:r>
        <w:rPr>
          <w:color w:val="000000"/>
          <w:spacing w:val="-1"/>
        </w:rPr>
        <w:t>a</w:t>
      </w:r>
      <w:r>
        <w:rPr>
          <w:color w:val="000000"/>
          <w:spacing w:val="1"/>
        </w:rPr>
        <w:t>r</w:t>
      </w:r>
      <w:r>
        <w:rPr>
          <w:color w:val="000000"/>
          <w:spacing w:val="-10"/>
        </w:rPr>
        <w:t>y</w:t>
      </w:r>
      <w:r>
        <w:rPr>
          <w:color w:val="000000"/>
          <w:spacing w:val="10"/>
        </w:rPr>
        <w:t>t</w:t>
      </w:r>
      <w:r>
        <w:rPr>
          <w:color w:val="000000"/>
        </w:rPr>
        <w:t>i p</w:t>
      </w:r>
      <w:r>
        <w:rPr>
          <w:color w:val="000000"/>
          <w:spacing w:val="6"/>
        </w:rPr>
        <w:t>r</w:t>
      </w:r>
      <w:r>
        <w:rPr>
          <w:color w:val="000000"/>
          <w:spacing w:val="-4"/>
        </w:rPr>
        <w:t>i</w:t>
      </w:r>
      <w:r>
        <w:rPr>
          <w:color w:val="000000"/>
          <w:spacing w:val="4"/>
        </w:rPr>
        <w:t>e</w:t>
      </w:r>
      <w:r>
        <w:rPr>
          <w:color w:val="000000"/>
          <w:spacing w:val="-4"/>
        </w:rPr>
        <w:t>l</w:t>
      </w:r>
      <w:r>
        <w:rPr>
          <w:color w:val="000000"/>
          <w:spacing w:val="4"/>
        </w:rPr>
        <w:t>a</w:t>
      </w:r>
      <w:r>
        <w:rPr>
          <w:color w:val="000000"/>
          <w:spacing w:val="-4"/>
        </w:rPr>
        <w:t>i</w:t>
      </w:r>
      <w:r>
        <w:rPr>
          <w:color w:val="000000"/>
        </w:rPr>
        <w:t>d</w:t>
      </w:r>
      <w:r>
        <w:rPr>
          <w:color w:val="000000"/>
          <w:spacing w:val="-1"/>
        </w:rPr>
        <w:t>ą</w:t>
      </w:r>
      <w:r>
        <w:rPr>
          <w:color w:val="000000"/>
        </w:rPr>
        <w:t>,</w:t>
      </w:r>
      <w:r>
        <w:rPr>
          <w:color w:val="000000"/>
          <w:spacing w:val="11"/>
        </w:rPr>
        <w:t xml:space="preserve"> </w:t>
      </w:r>
      <w:r>
        <w:rPr>
          <w:color w:val="000000"/>
        </w:rPr>
        <w:t>k</w:t>
      </w:r>
      <w:r>
        <w:rPr>
          <w:color w:val="000000"/>
          <w:spacing w:val="-1"/>
        </w:rPr>
        <w:t>a</w:t>
      </w:r>
      <w:r>
        <w:rPr>
          <w:color w:val="000000"/>
        </w:rPr>
        <w:t>d</w:t>
      </w:r>
      <w:r>
        <w:rPr>
          <w:color w:val="000000"/>
          <w:spacing w:val="9"/>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9"/>
        </w:rPr>
        <w:t xml:space="preserve"> </w:t>
      </w:r>
      <w:r>
        <w:rPr>
          <w:color w:val="000000"/>
          <w:spacing w:val="2"/>
        </w:rPr>
        <w:t>s</w:t>
      </w:r>
      <w:r>
        <w:rPr>
          <w:color w:val="000000"/>
          <w:spacing w:val="-9"/>
        </w:rPr>
        <w:t>i</w:t>
      </w:r>
      <w:r>
        <w:rPr>
          <w:color w:val="000000"/>
          <w:spacing w:val="5"/>
        </w:rPr>
        <w:t>t</w:t>
      </w:r>
      <w:r>
        <w:rPr>
          <w:color w:val="000000"/>
        </w:rPr>
        <w:t>u</w:t>
      </w:r>
      <w:r>
        <w:rPr>
          <w:color w:val="000000"/>
          <w:spacing w:val="-1"/>
        </w:rPr>
        <w:t>a</w:t>
      </w:r>
      <w:r>
        <w:rPr>
          <w:color w:val="000000"/>
          <w:spacing w:val="4"/>
        </w:rPr>
        <w:t>c</w:t>
      </w:r>
      <w:r>
        <w:rPr>
          <w:color w:val="000000"/>
        </w:rPr>
        <w:t>i</w:t>
      </w:r>
      <w:r>
        <w:rPr>
          <w:color w:val="000000"/>
          <w:spacing w:val="-4"/>
        </w:rPr>
        <w:t>j</w:t>
      </w:r>
      <w:r>
        <w:rPr>
          <w:color w:val="000000"/>
        </w:rPr>
        <w:t>a</w:t>
      </w:r>
      <w:r>
        <w:rPr>
          <w:color w:val="000000"/>
          <w:spacing w:val="8"/>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4"/>
        </w:rPr>
        <w:t>j</w:t>
      </w:r>
      <w:r>
        <w:rPr>
          <w:color w:val="000000"/>
        </w:rPr>
        <w:t xml:space="preserve">e </w:t>
      </w:r>
      <w:r>
        <w:rPr>
          <w:color w:val="000000"/>
          <w:spacing w:val="-2"/>
        </w:rPr>
        <w:t>s</w:t>
      </w:r>
      <w:r>
        <w:rPr>
          <w:color w:val="000000"/>
          <w:spacing w:val="5"/>
        </w:rPr>
        <w:t>t</w:t>
      </w:r>
      <w:r>
        <w:rPr>
          <w:color w:val="000000"/>
          <w:spacing w:val="-1"/>
        </w:rPr>
        <w:t>a</w:t>
      </w:r>
      <w:r>
        <w:rPr>
          <w:color w:val="000000"/>
        </w:rPr>
        <w:t>b</w:t>
      </w:r>
      <w:r>
        <w:rPr>
          <w:color w:val="000000"/>
          <w:spacing w:val="-4"/>
        </w:rPr>
        <w:t>i</w:t>
      </w:r>
      <w:r>
        <w:rPr>
          <w:color w:val="000000"/>
        </w:rPr>
        <w:t>l</w:t>
      </w:r>
      <w:r>
        <w:rPr>
          <w:color w:val="000000"/>
          <w:spacing w:val="-4"/>
        </w:rPr>
        <w:t>i</w:t>
      </w:r>
      <w:r>
        <w:rPr>
          <w:color w:val="000000"/>
          <w:spacing w:val="4"/>
        </w:rPr>
        <w:t>za</w:t>
      </w:r>
      <w:r>
        <w:rPr>
          <w:color w:val="000000"/>
          <w:spacing w:val="-5"/>
        </w:rPr>
        <w:t>v</w:t>
      </w:r>
      <w:r>
        <w:rPr>
          <w:color w:val="000000"/>
          <w:spacing w:val="5"/>
        </w:rPr>
        <w:t>o</w:t>
      </w:r>
      <w:r>
        <w:rPr>
          <w:color w:val="000000"/>
          <w:spacing w:val="2"/>
        </w:rPr>
        <w:t>s</w:t>
      </w:r>
      <w:r>
        <w:rPr>
          <w:color w:val="000000"/>
        </w:rPr>
        <w:t xml:space="preserve">i </w:t>
      </w:r>
      <w:r>
        <w:rPr>
          <w:color w:val="000000"/>
          <w:spacing w:val="48"/>
        </w:rPr>
        <w:t xml:space="preserve"> </w:t>
      </w:r>
      <w:r>
        <w:rPr>
          <w:color w:val="000000"/>
          <w:spacing w:val="-4"/>
        </w:rPr>
        <w:t>i</w:t>
      </w:r>
      <w:r>
        <w:rPr>
          <w:color w:val="000000"/>
        </w:rPr>
        <w:t xml:space="preserve">r </w:t>
      </w:r>
      <w:r>
        <w:rPr>
          <w:color w:val="000000"/>
          <w:spacing w:val="59"/>
        </w:rPr>
        <w:t xml:space="preserve"> </w:t>
      </w:r>
      <w:r>
        <w:rPr>
          <w:color w:val="000000"/>
          <w:spacing w:val="-5"/>
        </w:rPr>
        <w:t>n</w:t>
      </w:r>
      <w:r>
        <w:rPr>
          <w:color w:val="000000"/>
          <w:spacing w:val="4"/>
        </w:rPr>
        <w:t>e</w:t>
      </w:r>
      <w:r>
        <w:rPr>
          <w:color w:val="000000"/>
          <w:spacing w:val="2"/>
        </w:rPr>
        <w:t>s</w:t>
      </w:r>
      <w:r>
        <w:rPr>
          <w:color w:val="000000"/>
          <w:spacing w:val="-4"/>
        </w:rPr>
        <w:t>im</w:t>
      </w:r>
      <w:r>
        <w:rPr>
          <w:color w:val="000000"/>
          <w:spacing w:val="-1"/>
        </w:rPr>
        <w:t>a</w:t>
      </w:r>
      <w:r>
        <w:rPr>
          <w:color w:val="000000"/>
          <w:spacing w:val="5"/>
        </w:rPr>
        <w:t>t</w:t>
      </w:r>
      <w:r>
        <w:rPr>
          <w:color w:val="000000"/>
        </w:rPr>
        <w:t xml:space="preserve">o </w:t>
      </w:r>
      <w:r>
        <w:rPr>
          <w:color w:val="000000"/>
          <w:spacing w:val="57"/>
        </w:rPr>
        <w:t xml:space="preserve"> </w:t>
      </w:r>
      <w:r>
        <w:rPr>
          <w:color w:val="000000"/>
          <w:spacing w:val="1"/>
        </w:rPr>
        <w:t>r</w:t>
      </w:r>
      <w:r>
        <w:rPr>
          <w:color w:val="000000"/>
          <w:spacing w:val="-4"/>
        </w:rPr>
        <w:t>i</w:t>
      </w:r>
      <w:r>
        <w:rPr>
          <w:color w:val="000000"/>
          <w:spacing w:val="-9"/>
        </w:rPr>
        <w:t>m</w:t>
      </w:r>
      <w:r>
        <w:rPr>
          <w:color w:val="000000"/>
          <w:spacing w:val="5"/>
        </w:rPr>
        <w:t>t</w:t>
      </w:r>
      <w:r>
        <w:rPr>
          <w:color w:val="000000"/>
        </w:rPr>
        <w:t xml:space="preserve">ų </w:t>
      </w:r>
      <w:r>
        <w:rPr>
          <w:color w:val="000000"/>
          <w:spacing w:val="53"/>
        </w:rPr>
        <w:t xml:space="preserve"> </w:t>
      </w:r>
      <w:r>
        <w:rPr>
          <w:color w:val="000000"/>
        </w:rPr>
        <w:t>p</w:t>
      </w:r>
      <w:r>
        <w:rPr>
          <w:color w:val="000000"/>
          <w:spacing w:val="6"/>
        </w:rPr>
        <w:t>r</w:t>
      </w:r>
      <w:r>
        <w:rPr>
          <w:color w:val="000000"/>
          <w:spacing w:val="-4"/>
        </w:rPr>
        <w:t>i</w:t>
      </w:r>
      <w:r>
        <w:rPr>
          <w:color w:val="000000"/>
          <w:spacing w:val="-1"/>
        </w:rPr>
        <w:t>ež</w:t>
      </w:r>
      <w:r>
        <w:rPr>
          <w:color w:val="000000"/>
          <w:spacing w:val="4"/>
        </w:rPr>
        <w:t>a</w:t>
      </w:r>
      <w:r>
        <w:rPr>
          <w:color w:val="000000"/>
          <w:spacing w:val="-2"/>
        </w:rPr>
        <w:t>s</w:t>
      </w:r>
      <w:r>
        <w:rPr>
          <w:color w:val="000000"/>
          <w:spacing w:val="4"/>
        </w:rPr>
        <w:t>č</w:t>
      </w:r>
      <w:r>
        <w:rPr>
          <w:color w:val="000000"/>
          <w:spacing w:val="-4"/>
        </w:rPr>
        <w:t>i</w:t>
      </w:r>
      <w:r>
        <w:rPr>
          <w:color w:val="000000"/>
        </w:rPr>
        <w:t xml:space="preserve">ų </w:t>
      </w:r>
      <w:r>
        <w:rPr>
          <w:color w:val="000000"/>
          <w:spacing w:val="57"/>
        </w:rPr>
        <w:t xml:space="preserve"> </w:t>
      </w:r>
      <w:r>
        <w:rPr>
          <w:color w:val="000000"/>
          <w:spacing w:val="2"/>
        </w:rPr>
        <w:t>s</w:t>
      </w:r>
      <w:r>
        <w:rPr>
          <w:color w:val="000000"/>
          <w:spacing w:val="-9"/>
        </w:rPr>
        <w:t>i</w:t>
      </w:r>
      <w:r>
        <w:rPr>
          <w:color w:val="000000"/>
          <w:spacing w:val="5"/>
        </w:rPr>
        <w:t>t</w:t>
      </w:r>
      <w:r>
        <w:rPr>
          <w:color w:val="000000"/>
        </w:rPr>
        <w:t>u</w:t>
      </w:r>
      <w:r>
        <w:rPr>
          <w:color w:val="000000"/>
          <w:spacing w:val="-1"/>
        </w:rPr>
        <w:t>a</w:t>
      </w:r>
      <w:r>
        <w:rPr>
          <w:color w:val="000000"/>
          <w:spacing w:val="4"/>
        </w:rPr>
        <w:t>c</w:t>
      </w:r>
      <w:r>
        <w:rPr>
          <w:color w:val="000000"/>
          <w:spacing w:val="-4"/>
        </w:rPr>
        <w:t>ij</w:t>
      </w:r>
      <w:r>
        <w:rPr>
          <w:color w:val="000000"/>
          <w:spacing w:val="4"/>
        </w:rPr>
        <w:t>a</w:t>
      </w:r>
      <w:r>
        <w:rPr>
          <w:color w:val="000000"/>
        </w:rPr>
        <w:t xml:space="preserve">i </w:t>
      </w:r>
      <w:r>
        <w:rPr>
          <w:color w:val="000000"/>
          <w:spacing w:val="53"/>
        </w:rPr>
        <w:t xml:space="preserve"> </w:t>
      </w:r>
      <w:r>
        <w:rPr>
          <w:color w:val="000000"/>
        </w:rPr>
        <w:t>b</w:t>
      </w:r>
      <w:r>
        <w:rPr>
          <w:color w:val="000000"/>
          <w:spacing w:val="-9"/>
        </w:rPr>
        <w:t>l</w:t>
      </w:r>
      <w:r>
        <w:rPr>
          <w:color w:val="000000"/>
          <w:spacing w:val="5"/>
        </w:rPr>
        <w:t>og</w:t>
      </w:r>
      <w:r>
        <w:rPr>
          <w:color w:val="000000"/>
          <w:spacing w:val="-1"/>
        </w:rPr>
        <w:t>ė</w:t>
      </w:r>
      <w:r>
        <w:rPr>
          <w:color w:val="000000"/>
          <w:spacing w:val="5"/>
        </w:rPr>
        <w:t>t</w:t>
      </w:r>
      <w:r>
        <w:rPr>
          <w:color w:val="000000"/>
          <w:spacing w:val="-9"/>
        </w:rPr>
        <w:t>i</w:t>
      </w:r>
      <w:r>
        <w:rPr>
          <w:color w:val="000000"/>
        </w:rPr>
        <w:t xml:space="preserve">. </w:t>
      </w:r>
      <w:r>
        <w:rPr>
          <w:color w:val="000000"/>
          <w:spacing w:val="55"/>
        </w:rPr>
        <w:t xml:space="preserve"> </w:t>
      </w:r>
      <w:r>
        <w:rPr>
          <w:color w:val="000000"/>
          <w:spacing w:val="1"/>
        </w:rPr>
        <w:t>S</w:t>
      </w:r>
      <w:r>
        <w:rPr>
          <w:color w:val="000000"/>
        </w:rPr>
        <w:t>p</w:t>
      </w:r>
      <w:r>
        <w:rPr>
          <w:color w:val="000000"/>
          <w:spacing w:val="-1"/>
        </w:rPr>
        <w:t>e</w:t>
      </w:r>
      <w:r>
        <w:rPr>
          <w:color w:val="000000"/>
          <w:spacing w:val="14"/>
        </w:rPr>
        <w:t>c</w:t>
      </w:r>
      <w:r>
        <w:rPr>
          <w:color w:val="000000"/>
          <w:spacing w:val="-4"/>
        </w:rPr>
        <w:t>i</w:t>
      </w:r>
      <w:r>
        <w:rPr>
          <w:color w:val="000000"/>
          <w:spacing w:val="4"/>
        </w:rPr>
        <w:t>a</w:t>
      </w:r>
      <w:r>
        <w:rPr>
          <w:color w:val="000000"/>
        </w:rPr>
        <w:t>l</w:t>
      </w:r>
      <w:r>
        <w:rPr>
          <w:color w:val="000000"/>
          <w:spacing w:val="-4"/>
        </w:rPr>
        <w:t>i</w:t>
      </w:r>
      <w:r>
        <w:rPr>
          <w:color w:val="000000"/>
          <w:spacing w:val="-1"/>
        </w:rPr>
        <w:t>z</w:t>
      </w:r>
      <w:r>
        <w:rPr>
          <w:color w:val="000000"/>
        </w:rPr>
        <w:t>u</w:t>
      </w:r>
      <w:r>
        <w:rPr>
          <w:color w:val="000000"/>
          <w:spacing w:val="5"/>
        </w:rPr>
        <w:t>ot</w:t>
      </w:r>
      <w:r>
        <w:rPr>
          <w:color w:val="000000"/>
        </w:rPr>
        <w:t xml:space="preserve">i </w:t>
      </w:r>
      <w:r>
        <w:rPr>
          <w:color w:val="000000"/>
          <w:spacing w:val="43"/>
        </w:rPr>
        <w:t xml:space="preserve"> </w:t>
      </w:r>
      <w:r>
        <w:rPr>
          <w:color w:val="000000"/>
        </w:rPr>
        <w:t>p</w:t>
      </w:r>
      <w:r>
        <w:rPr>
          <w:color w:val="000000"/>
          <w:spacing w:val="9"/>
        </w:rPr>
        <w:t>o</w:t>
      </w:r>
      <w:r>
        <w:rPr>
          <w:color w:val="000000"/>
          <w:spacing w:val="-4"/>
        </w:rPr>
        <w:t>li</w:t>
      </w:r>
      <w:r>
        <w:rPr>
          <w:color w:val="000000"/>
          <w:spacing w:val="4"/>
        </w:rPr>
        <w:t>c</w:t>
      </w:r>
      <w:r>
        <w:rPr>
          <w:color w:val="000000"/>
        </w:rPr>
        <w:t>i</w:t>
      </w:r>
      <w:r>
        <w:rPr>
          <w:color w:val="000000"/>
          <w:spacing w:val="-9"/>
        </w:rPr>
        <w:t>j</w:t>
      </w:r>
      <w:r>
        <w:rPr>
          <w:color w:val="000000"/>
          <w:spacing w:val="5"/>
        </w:rPr>
        <w:t>o</w:t>
      </w:r>
      <w:r>
        <w:rPr>
          <w:color w:val="000000"/>
        </w:rPr>
        <w:t xml:space="preserve">s   </w:t>
      </w:r>
      <w:r>
        <w:rPr>
          <w:color w:val="000000"/>
          <w:spacing w:val="-9"/>
        </w:rPr>
        <w:t>i</w:t>
      </w:r>
      <w:r>
        <w:rPr>
          <w:color w:val="000000"/>
        </w:rPr>
        <w:t xml:space="preserve">r </w:t>
      </w:r>
      <w:r>
        <w:rPr>
          <w:color w:val="000000"/>
          <w:spacing w:val="59"/>
        </w:rPr>
        <w:t xml:space="preserve"> </w:t>
      </w:r>
      <w:r>
        <w:rPr>
          <w:color w:val="000000"/>
          <w:spacing w:val="5"/>
        </w:rPr>
        <w:t>k</w:t>
      </w:r>
      <w:r>
        <w:rPr>
          <w:color w:val="000000"/>
          <w:spacing w:val="-9"/>
        </w:rPr>
        <w:t>i</w:t>
      </w:r>
      <w:r>
        <w:rPr>
          <w:color w:val="000000"/>
          <w:spacing w:val="5"/>
        </w:rPr>
        <w:t>t</w:t>
      </w:r>
      <w:r>
        <w:rPr>
          <w:color w:val="000000"/>
        </w:rPr>
        <w:t xml:space="preserve">ų </w:t>
      </w:r>
      <w:r>
        <w:rPr>
          <w:color w:val="000000"/>
          <w:spacing w:val="5"/>
        </w:rPr>
        <w:t>t</w:t>
      </w:r>
      <w:r>
        <w:rPr>
          <w:color w:val="000000"/>
          <w:spacing w:val="-1"/>
        </w:rPr>
        <w:t>e</w:t>
      </w:r>
      <w:r>
        <w:rPr>
          <w:color w:val="000000"/>
          <w:spacing w:val="-9"/>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5"/>
        </w:rPr>
        <w:t>o</w:t>
      </w:r>
      <w:r>
        <w:rPr>
          <w:color w:val="000000"/>
        </w:rPr>
        <w:t>s</w:t>
      </w:r>
      <w:r>
        <w:rPr>
          <w:color w:val="000000"/>
          <w:spacing w:val="5"/>
        </w:rPr>
        <w:t xml:space="preserve"> </w:t>
      </w:r>
      <w:r>
        <w:rPr>
          <w:color w:val="000000"/>
          <w:spacing w:val="-4"/>
        </w:rPr>
        <w:t>i</w:t>
      </w:r>
      <w:r>
        <w:rPr>
          <w:color w:val="000000"/>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ij</w:t>
      </w:r>
      <w:r>
        <w:rPr>
          <w:color w:val="000000"/>
        </w:rPr>
        <w:t>ų</w:t>
      </w:r>
      <w:r>
        <w:rPr>
          <w:color w:val="000000"/>
          <w:spacing w:val="3"/>
        </w:rPr>
        <w:t xml:space="preserve"> </w:t>
      </w:r>
      <w:r>
        <w:rPr>
          <w:color w:val="000000"/>
        </w:rPr>
        <w:t>p</w:t>
      </w:r>
      <w:r>
        <w:rPr>
          <w:color w:val="000000"/>
          <w:spacing w:val="-1"/>
        </w:rPr>
        <w:t>a</w:t>
      </w:r>
      <w:r>
        <w:rPr>
          <w:color w:val="000000"/>
        </w:rPr>
        <w:t>d</w:t>
      </w:r>
      <w:r>
        <w:rPr>
          <w:color w:val="000000"/>
          <w:spacing w:val="4"/>
        </w:rPr>
        <w:t>a</w:t>
      </w:r>
      <w:r>
        <w:rPr>
          <w:color w:val="000000"/>
        </w:rPr>
        <w:t>l</w:t>
      </w:r>
      <w:r>
        <w:rPr>
          <w:color w:val="000000"/>
          <w:spacing w:val="-4"/>
        </w:rPr>
        <w:t>i</w:t>
      </w:r>
      <w:r>
        <w:rPr>
          <w:color w:val="000000"/>
          <w:spacing w:val="5"/>
        </w:rPr>
        <w:t>n</w:t>
      </w:r>
      <w:r>
        <w:rPr>
          <w:color w:val="000000"/>
          <w:spacing w:val="-4"/>
        </w:rPr>
        <w:t>i</w:t>
      </w:r>
      <w:r>
        <w:rPr>
          <w:color w:val="000000"/>
          <w:spacing w:val="4"/>
        </w:rPr>
        <w:t>a</w:t>
      </w:r>
      <w:r>
        <w:rPr>
          <w:color w:val="000000"/>
          <w:spacing w:val="-9"/>
        </w:rPr>
        <w:t>i</w:t>
      </w:r>
      <w:r>
        <w:rPr>
          <w:color w:val="000000"/>
        </w:rPr>
        <w:t>,</w:t>
      </w:r>
      <w:r>
        <w:rPr>
          <w:color w:val="000000"/>
          <w:spacing w:val="5"/>
        </w:rPr>
        <w:t xml:space="preserve"> </w:t>
      </w:r>
      <w:r>
        <w:rPr>
          <w:color w:val="000000"/>
        </w:rPr>
        <w:t>k</w:t>
      </w:r>
      <w:r>
        <w:rPr>
          <w:color w:val="000000"/>
          <w:spacing w:val="5"/>
        </w:rPr>
        <w:t>o</w:t>
      </w:r>
      <w:r>
        <w:rPr>
          <w:color w:val="000000"/>
          <w:spacing w:val="-5"/>
        </w:rPr>
        <w:t>v</w:t>
      </w:r>
      <w:r>
        <w:rPr>
          <w:color w:val="000000"/>
          <w:spacing w:val="9"/>
        </w:rPr>
        <w:t>o</w:t>
      </w:r>
      <w:r>
        <w:rPr>
          <w:color w:val="000000"/>
          <w:spacing w:val="-9"/>
        </w:rPr>
        <w:t>j</w:t>
      </w:r>
      <w:r>
        <w:rPr>
          <w:color w:val="000000"/>
          <w:spacing w:val="4"/>
        </w:rPr>
        <w:t>a</w:t>
      </w:r>
      <w:r>
        <w:rPr>
          <w:color w:val="000000"/>
          <w:spacing w:val="-5"/>
        </w:rPr>
        <w:t>n</w:t>
      </w:r>
      <w:r>
        <w:rPr>
          <w:color w:val="000000"/>
          <w:spacing w:val="10"/>
        </w:rPr>
        <w:t>t</w:t>
      </w:r>
      <w:r>
        <w:rPr>
          <w:color w:val="000000"/>
          <w:spacing w:val="-5"/>
        </w:rPr>
        <w:t>y</w:t>
      </w:r>
      <w:r>
        <w:rPr>
          <w:color w:val="000000"/>
        </w:rPr>
        <w:t xml:space="preserve">s </w:t>
      </w:r>
      <w:r>
        <w:rPr>
          <w:color w:val="000000"/>
          <w:spacing w:val="-2"/>
        </w:rPr>
        <w:t>s</w:t>
      </w:r>
      <w:r>
        <w:rPr>
          <w:color w:val="000000"/>
        </w:rPr>
        <w:t>u</w:t>
      </w:r>
      <w:r>
        <w:rPr>
          <w:color w:val="000000"/>
          <w:spacing w:val="7"/>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a</w:t>
      </w:r>
      <w:r>
        <w:rPr>
          <w:color w:val="000000"/>
          <w:spacing w:val="2"/>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3"/>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spacing w:val="-1"/>
        </w:rPr>
        <w:t>a</w:t>
      </w:r>
      <w:r>
        <w:rPr>
          <w:color w:val="000000"/>
        </w:rPr>
        <w:t>,</w:t>
      </w:r>
      <w:r>
        <w:rPr>
          <w:color w:val="000000"/>
          <w:spacing w:val="5"/>
        </w:rPr>
        <w:t xml:space="preserve"> </w:t>
      </w:r>
      <w:r>
        <w:rPr>
          <w:color w:val="000000"/>
        </w:rPr>
        <w:t>d</w:t>
      </w:r>
      <w:r>
        <w:rPr>
          <w:color w:val="000000"/>
          <w:spacing w:val="-9"/>
        </w:rPr>
        <w:t>i</w:t>
      </w:r>
      <w:r>
        <w:rPr>
          <w:color w:val="000000"/>
          <w:spacing w:val="6"/>
        </w:rPr>
        <w:t>r</w:t>
      </w:r>
      <w:r>
        <w:rPr>
          <w:color w:val="000000"/>
          <w:spacing w:val="-5"/>
        </w:rPr>
        <w:t>b</w:t>
      </w:r>
      <w:r>
        <w:rPr>
          <w:color w:val="000000"/>
        </w:rPr>
        <w:t>a</w:t>
      </w:r>
      <w:r>
        <w:rPr>
          <w:color w:val="000000"/>
          <w:spacing w:val="6"/>
        </w:rPr>
        <w:t xml:space="preserve"> </w:t>
      </w:r>
      <w:r>
        <w:rPr>
          <w:color w:val="000000"/>
          <w:spacing w:val="-4"/>
        </w:rPr>
        <w:t>m</w:t>
      </w:r>
      <w:r>
        <w:rPr>
          <w:color w:val="000000"/>
          <w:spacing w:val="-1"/>
        </w:rPr>
        <w:t>a</w:t>
      </w:r>
      <w:r>
        <w:rPr>
          <w:color w:val="000000"/>
        </w:rPr>
        <w:t>k</w:t>
      </w:r>
      <w:r>
        <w:rPr>
          <w:color w:val="000000"/>
          <w:spacing w:val="2"/>
        </w:rPr>
        <w:t>s</w:t>
      </w:r>
      <w:r>
        <w:rPr>
          <w:color w:val="000000"/>
        </w:rPr>
        <w:t>i</w:t>
      </w:r>
      <w:r>
        <w:rPr>
          <w:color w:val="000000"/>
          <w:spacing w:val="-4"/>
        </w:rPr>
        <w:t>m</w:t>
      </w:r>
      <w:r>
        <w:rPr>
          <w:color w:val="000000"/>
          <w:spacing w:val="4"/>
        </w:rPr>
        <w:t>a</w:t>
      </w:r>
      <w:r>
        <w:rPr>
          <w:color w:val="000000"/>
        </w:rPr>
        <w:t>l</w:t>
      </w:r>
      <w:r>
        <w:rPr>
          <w:color w:val="000000"/>
          <w:spacing w:val="-4"/>
        </w:rPr>
        <w:t>i</w:t>
      </w:r>
      <w:r>
        <w:rPr>
          <w:color w:val="000000"/>
          <w:spacing w:val="4"/>
        </w:rPr>
        <w:t>a</w:t>
      </w:r>
      <w:r>
        <w:rPr>
          <w:color w:val="000000"/>
        </w:rPr>
        <w:t>is k</w:t>
      </w:r>
      <w:r>
        <w:rPr>
          <w:color w:val="000000"/>
          <w:spacing w:val="1"/>
        </w:rPr>
        <w:t>r</w:t>
      </w:r>
      <w:r>
        <w:rPr>
          <w:color w:val="000000"/>
        </w:rPr>
        <w:t>ūv</w:t>
      </w:r>
      <w:r>
        <w:rPr>
          <w:color w:val="000000"/>
          <w:spacing w:val="-4"/>
        </w:rPr>
        <w:t>i</w:t>
      </w:r>
      <w:r>
        <w:rPr>
          <w:color w:val="000000"/>
          <w:spacing w:val="4"/>
        </w:rPr>
        <w:t>a</w:t>
      </w:r>
      <w:r>
        <w:rPr>
          <w:color w:val="000000"/>
          <w:spacing w:val="-4"/>
        </w:rPr>
        <w:t>i</w:t>
      </w:r>
      <w:r>
        <w:rPr>
          <w:color w:val="000000"/>
          <w:spacing w:val="-2"/>
        </w:rPr>
        <w:t>s</w:t>
      </w:r>
      <w:r>
        <w:rPr>
          <w:color w:val="000000"/>
        </w:rPr>
        <w:t>,</w:t>
      </w:r>
      <w:r>
        <w:rPr>
          <w:color w:val="000000"/>
          <w:spacing w:val="4"/>
        </w:rPr>
        <w:t xml:space="preserve"> </w:t>
      </w:r>
      <w:r>
        <w:rPr>
          <w:color w:val="000000"/>
          <w:spacing w:val="-5"/>
        </w:rPr>
        <w:t>b</w:t>
      </w:r>
      <w:r>
        <w:rPr>
          <w:color w:val="000000"/>
          <w:spacing w:val="4"/>
        </w:rPr>
        <w:t>e</w:t>
      </w:r>
      <w:r>
        <w:rPr>
          <w:color w:val="000000"/>
          <w:spacing w:val="-5"/>
        </w:rPr>
        <w:t>n</w:t>
      </w:r>
      <w:r>
        <w:rPr>
          <w:color w:val="000000"/>
        </w:rPr>
        <w:t>d</w:t>
      </w:r>
      <w:r>
        <w:rPr>
          <w:color w:val="000000"/>
          <w:spacing w:val="1"/>
        </w:rPr>
        <w:t>r</w:t>
      </w:r>
      <w:r>
        <w:rPr>
          <w:color w:val="000000"/>
          <w:spacing w:val="-1"/>
        </w:rPr>
        <w:t>a</w:t>
      </w:r>
      <w:r>
        <w:rPr>
          <w:color w:val="000000"/>
        </w:rPr>
        <w:t>d</w:t>
      </w:r>
      <w:r>
        <w:rPr>
          <w:color w:val="000000"/>
          <w:spacing w:val="-1"/>
        </w:rPr>
        <w:t>a</w:t>
      </w:r>
      <w:r>
        <w:rPr>
          <w:color w:val="000000"/>
          <w:spacing w:val="6"/>
        </w:rPr>
        <w:t>r</w:t>
      </w:r>
      <w:r>
        <w:rPr>
          <w:color w:val="000000"/>
        </w:rPr>
        <w:t>b</w:t>
      </w:r>
      <w:r>
        <w:rPr>
          <w:color w:val="000000"/>
          <w:spacing w:val="-4"/>
        </w:rPr>
        <w:t>i</w:t>
      </w:r>
      <w:r>
        <w:rPr>
          <w:color w:val="000000"/>
          <w:spacing w:val="-1"/>
        </w:rPr>
        <w:t>a</w:t>
      </w:r>
      <w:r>
        <w:rPr>
          <w:color w:val="000000"/>
          <w:spacing w:val="5"/>
        </w:rPr>
        <w:t>u</w:t>
      </w:r>
      <w:r>
        <w:rPr>
          <w:color w:val="000000"/>
          <w:spacing w:val="-4"/>
        </w:rPr>
        <w:t>j</w:t>
      </w:r>
      <w:r>
        <w:rPr>
          <w:color w:val="000000"/>
        </w:rPr>
        <w:t>a</w:t>
      </w:r>
      <w:r>
        <w:rPr>
          <w:color w:val="000000"/>
          <w:spacing w:val="1"/>
        </w:rPr>
        <w:t xml:space="preserve"> </w:t>
      </w:r>
      <w:r>
        <w:rPr>
          <w:color w:val="000000"/>
          <w:spacing w:val="5"/>
        </w:rPr>
        <w:t>t</w:t>
      </w:r>
      <w:r>
        <w:rPr>
          <w:color w:val="000000"/>
          <w:spacing w:val="-1"/>
        </w:rPr>
        <w:t>a</w:t>
      </w:r>
      <w:r>
        <w:rPr>
          <w:color w:val="000000"/>
          <w:spacing w:val="1"/>
        </w:rPr>
        <w:t>r</w:t>
      </w:r>
      <w:r>
        <w:rPr>
          <w:color w:val="000000"/>
        </w:rPr>
        <w:t>pu</w:t>
      </w:r>
      <w:r>
        <w:rPr>
          <w:color w:val="000000"/>
          <w:spacing w:val="-2"/>
        </w:rPr>
        <w:t>s</w:t>
      </w:r>
      <w:r>
        <w:rPr>
          <w:color w:val="000000"/>
          <w:spacing w:val="-1"/>
        </w:rPr>
        <w:t>a</w:t>
      </w:r>
      <w:r>
        <w:rPr>
          <w:color w:val="000000"/>
        </w:rPr>
        <w:t>vy</w:t>
      </w:r>
      <w:r>
        <w:rPr>
          <w:color w:val="000000"/>
          <w:spacing w:val="-4"/>
        </w:rPr>
        <w:t>j</w:t>
      </w:r>
      <w:r>
        <w:rPr>
          <w:color w:val="000000"/>
        </w:rPr>
        <w:t>e</w:t>
      </w:r>
      <w:r>
        <w:rPr>
          <w:color w:val="000000"/>
          <w:spacing w:val="6"/>
        </w:rPr>
        <w:t xml:space="preserve"> </w:t>
      </w:r>
      <w:r>
        <w:rPr>
          <w:color w:val="000000"/>
          <w:spacing w:val="-9"/>
        </w:rPr>
        <w:t>i</w:t>
      </w:r>
      <w:r>
        <w:rPr>
          <w:color w:val="000000"/>
        </w:rPr>
        <w:t>r</w:t>
      </w:r>
      <w:r>
        <w:rPr>
          <w:color w:val="000000"/>
          <w:spacing w:val="4"/>
        </w:rPr>
        <w:t xml:space="preserve"> </w:t>
      </w:r>
      <w:r>
        <w:rPr>
          <w:color w:val="000000"/>
          <w:spacing w:val="-1"/>
        </w:rPr>
        <w:t>a</w:t>
      </w:r>
      <w:r>
        <w:rPr>
          <w:color w:val="000000"/>
        </w:rPr>
        <w:t>k</w:t>
      </w:r>
      <w:r>
        <w:rPr>
          <w:color w:val="000000"/>
          <w:spacing w:val="10"/>
        </w:rPr>
        <w:t>t</w:t>
      </w:r>
      <w:r>
        <w:rPr>
          <w:color w:val="000000"/>
          <w:spacing w:val="-5"/>
        </w:rPr>
        <w:t>y</w:t>
      </w:r>
      <w:r>
        <w:rPr>
          <w:color w:val="000000"/>
        </w:rPr>
        <w:t>v</w:t>
      </w:r>
      <w:r>
        <w:rPr>
          <w:color w:val="000000"/>
          <w:spacing w:val="-4"/>
        </w:rPr>
        <w:t>i</w:t>
      </w:r>
      <w:r>
        <w:rPr>
          <w:color w:val="000000"/>
          <w:spacing w:val="4"/>
        </w:rPr>
        <w:t>a</w:t>
      </w:r>
      <w:r>
        <w:rPr>
          <w:color w:val="000000"/>
        </w:rPr>
        <w:t>i</w:t>
      </w:r>
      <w:r>
        <w:rPr>
          <w:color w:val="000000"/>
          <w:spacing w:val="-7"/>
        </w:rPr>
        <w:t xml:space="preserve"> </w:t>
      </w:r>
      <w:r>
        <w:rPr>
          <w:color w:val="000000"/>
          <w:spacing w:val="5"/>
        </w:rPr>
        <w:t>k</w:t>
      </w:r>
      <w:r>
        <w:rPr>
          <w:color w:val="000000"/>
          <w:spacing w:val="4"/>
        </w:rPr>
        <w:t>e</w:t>
      </w:r>
      <w:r>
        <w:rPr>
          <w:color w:val="000000"/>
          <w:spacing w:val="-9"/>
        </w:rPr>
        <w:t>i</w:t>
      </w:r>
      <w:r>
        <w:rPr>
          <w:color w:val="000000"/>
          <w:spacing w:val="4"/>
        </w:rPr>
        <w:t>č</w:t>
      </w:r>
      <w:r>
        <w:rPr>
          <w:color w:val="000000"/>
          <w:spacing w:val="-4"/>
        </w:rPr>
        <w:t>i</w:t>
      </w:r>
      <w:r>
        <w:rPr>
          <w:color w:val="000000"/>
          <w:spacing w:val="4"/>
        </w:rPr>
        <w:t>a</w:t>
      </w:r>
      <w:r>
        <w:rPr>
          <w:color w:val="000000"/>
          <w:spacing w:val="2"/>
        </w:rPr>
        <w:t>s</w:t>
      </w:r>
      <w:r>
        <w:rPr>
          <w:color w:val="000000"/>
        </w:rPr>
        <w:t>i</w:t>
      </w:r>
      <w:r>
        <w:rPr>
          <w:color w:val="000000"/>
          <w:spacing w:val="-2"/>
        </w:rPr>
        <w:t xml:space="preserve">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9"/>
        </w:rPr>
        <w:t>m</w:t>
      </w:r>
      <w:r>
        <w:rPr>
          <w:color w:val="000000"/>
          <w:spacing w:val="4"/>
        </w:rPr>
        <w:t>ac</w:t>
      </w:r>
      <w:r>
        <w:rPr>
          <w:color w:val="000000"/>
          <w:spacing w:val="-4"/>
        </w:rPr>
        <w:t>ij</w:t>
      </w:r>
      <w:r>
        <w:rPr>
          <w:color w:val="000000"/>
          <w:spacing w:val="-1"/>
        </w:rPr>
        <w:t>a</w:t>
      </w:r>
      <w:r>
        <w:rPr>
          <w:color w:val="000000"/>
        </w:rPr>
        <w:t>.</w:t>
      </w:r>
    </w:p>
    <w:p w:rsidR="004F7425" w:rsidRDefault="004F7425" w:rsidP="004F7425">
      <w:pPr>
        <w:widowControl w:val="0"/>
        <w:autoSpaceDE w:val="0"/>
        <w:autoSpaceDN w:val="0"/>
        <w:adjustRightInd w:val="0"/>
        <w:spacing w:before="29" w:line="275" w:lineRule="auto"/>
        <w:ind w:left="120" w:right="41" w:firstLine="721"/>
        <w:jc w:val="both"/>
        <w:rPr>
          <w:color w:val="000000"/>
        </w:rPr>
        <w:sectPr w:rsidR="004F7425">
          <w:type w:val="continuous"/>
          <w:pgSz w:w="11920" w:h="16840"/>
          <w:pgMar w:top="1540" w:right="460" w:bottom="280" w:left="1580" w:header="567" w:footer="567" w:gutter="0"/>
          <w:cols w:space="1296" w:equalWidth="0">
            <w:col w:w="988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line="275" w:lineRule="auto"/>
        <w:ind w:left="120" w:right="48" w:firstLine="721"/>
        <w:rPr>
          <w:color w:val="000000"/>
        </w:rPr>
      </w:pPr>
      <w:r>
        <w:rPr>
          <w:color w:val="000000"/>
        </w:rPr>
        <w:t>Nu</w:t>
      </w:r>
      <w:r>
        <w:rPr>
          <w:color w:val="000000"/>
          <w:spacing w:val="4"/>
        </w:rPr>
        <w:t>o</w:t>
      </w:r>
      <w:r>
        <w:rPr>
          <w:color w:val="000000"/>
          <w:spacing w:val="-9"/>
        </w:rPr>
        <w:t>l</w:t>
      </w:r>
      <w:r>
        <w:rPr>
          <w:color w:val="000000"/>
          <w:spacing w:val="-1"/>
        </w:rPr>
        <w:t>a</w:t>
      </w:r>
      <w:r>
        <w:rPr>
          <w:color w:val="000000"/>
        </w:rPr>
        <w:t xml:space="preserve">t </w:t>
      </w:r>
      <w:r>
        <w:rPr>
          <w:color w:val="000000"/>
          <w:spacing w:val="34"/>
        </w:rPr>
        <w:t xml:space="preserve"> </w:t>
      </w:r>
      <w:r>
        <w:rPr>
          <w:color w:val="000000"/>
          <w:spacing w:val="-4"/>
        </w:rPr>
        <w:t>m</w:t>
      </w:r>
      <w:r>
        <w:rPr>
          <w:color w:val="000000"/>
          <w:spacing w:val="-1"/>
        </w:rPr>
        <w:t>až</w:t>
      </w:r>
      <w:r>
        <w:rPr>
          <w:color w:val="000000"/>
          <w:spacing w:val="4"/>
        </w:rPr>
        <w:t>ė</w:t>
      </w:r>
      <w:r>
        <w:rPr>
          <w:color w:val="000000"/>
          <w:spacing w:val="-4"/>
        </w:rPr>
        <w:t>j</w:t>
      </w:r>
      <w:r>
        <w:rPr>
          <w:color w:val="000000"/>
          <w:spacing w:val="4"/>
        </w:rPr>
        <w:t>a</w:t>
      </w:r>
      <w:r>
        <w:rPr>
          <w:color w:val="000000"/>
          <w:spacing w:val="-5"/>
        </w:rPr>
        <w:t>n</w:t>
      </w:r>
      <w:r>
        <w:rPr>
          <w:color w:val="000000"/>
        </w:rPr>
        <w:t xml:space="preserve">t </w:t>
      </w:r>
      <w:r>
        <w:rPr>
          <w:color w:val="000000"/>
          <w:spacing w:val="34"/>
        </w:rPr>
        <w:t xml:space="preserve"> </w:t>
      </w:r>
      <w:r>
        <w:rPr>
          <w:color w:val="000000"/>
          <w:spacing w:val="5"/>
        </w:rPr>
        <w:t>g</w:t>
      </w:r>
      <w:r>
        <w:rPr>
          <w:color w:val="000000"/>
          <w:spacing w:val="-5"/>
        </w:rPr>
        <w:t>yv</w:t>
      </w:r>
      <w:r>
        <w:rPr>
          <w:color w:val="000000"/>
          <w:spacing w:val="4"/>
        </w:rPr>
        <w:t>e</w:t>
      </w:r>
      <w:r>
        <w:rPr>
          <w:color w:val="000000"/>
          <w:spacing w:val="-5"/>
        </w:rPr>
        <w:t>n</w:t>
      </w:r>
      <w:r>
        <w:rPr>
          <w:color w:val="000000"/>
          <w:spacing w:val="5"/>
        </w:rPr>
        <w:t>to</w:t>
      </w:r>
      <w:r>
        <w:rPr>
          <w:color w:val="000000"/>
          <w:spacing w:val="-9"/>
        </w:rPr>
        <w:t>j</w:t>
      </w:r>
      <w:r>
        <w:rPr>
          <w:color w:val="000000"/>
        </w:rPr>
        <w:t xml:space="preserve">ų </w:t>
      </w:r>
      <w:r>
        <w:rPr>
          <w:color w:val="000000"/>
          <w:spacing w:val="29"/>
        </w:rPr>
        <w:t xml:space="preserve"> </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spacing w:val="5"/>
        </w:rPr>
        <w:t>u</w:t>
      </w:r>
      <w:r>
        <w:rPr>
          <w:color w:val="000000"/>
        </w:rPr>
        <w:t xml:space="preserve">i </w:t>
      </w:r>
      <w:r>
        <w:rPr>
          <w:color w:val="000000"/>
          <w:spacing w:val="24"/>
        </w:rPr>
        <w:t xml:space="preserve"> </w:t>
      </w:r>
      <w:r>
        <w:rPr>
          <w:color w:val="000000"/>
          <w:spacing w:val="-2"/>
        </w:rPr>
        <w:t>š</w:t>
      </w:r>
      <w:r>
        <w:rPr>
          <w:color w:val="000000"/>
          <w:spacing w:val="4"/>
        </w:rPr>
        <w:t>a</w:t>
      </w:r>
      <w:r>
        <w:rPr>
          <w:color w:val="000000"/>
        </w:rPr>
        <w:t>l</w:t>
      </w:r>
      <w:r>
        <w:rPr>
          <w:color w:val="000000"/>
          <w:spacing w:val="-4"/>
        </w:rPr>
        <w:t>yj</w:t>
      </w:r>
      <w:r>
        <w:rPr>
          <w:color w:val="000000"/>
          <w:spacing w:val="-1"/>
        </w:rPr>
        <w:t>e</w:t>
      </w:r>
      <w:r>
        <w:rPr>
          <w:color w:val="000000"/>
        </w:rPr>
        <w:t xml:space="preserve">, </w:t>
      </w:r>
      <w:r>
        <w:rPr>
          <w:color w:val="000000"/>
          <w:spacing w:val="36"/>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 xml:space="preserve">ų </w:t>
      </w:r>
      <w:r>
        <w:rPr>
          <w:color w:val="000000"/>
          <w:spacing w:val="42"/>
        </w:rPr>
        <w:t xml:space="preserve"> </w:t>
      </w:r>
      <w:r>
        <w:rPr>
          <w:color w:val="000000"/>
          <w:spacing w:val="-5"/>
        </w:rPr>
        <w:t>v</w:t>
      </w:r>
      <w:r>
        <w:rPr>
          <w:color w:val="000000"/>
          <w:spacing w:val="4"/>
        </w:rPr>
        <w:t>e</w:t>
      </w:r>
      <w:r>
        <w:rPr>
          <w:color w:val="000000"/>
          <w:spacing w:val="-4"/>
        </w:rPr>
        <w:t>i</w:t>
      </w:r>
      <w:r>
        <w:rPr>
          <w:color w:val="000000"/>
        </w:rPr>
        <w:t xml:space="preserve">kų, </w:t>
      </w:r>
      <w:r>
        <w:rPr>
          <w:color w:val="000000"/>
          <w:spacing w:val="31"/>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rPr>
        <w:t xml:space="preserve">ų </w:t>
      </w:r>
      <w:r>
        <w:rPr>
          <w:color w:val="000000"/>
          <w:spacing w:val="29"/>
        </w:rPr>
        <w:t xml:space="preserve"> </w:t>
      </w:r>
      <w:r>
        <w:rPr>
          <w:color w:val="000000"/>
          <w:spacing w:val="-2"/>
        </w:rPr>
        <w:t>s</w:t>
      </w:r>
      <w:r>
        <w:rPr>
          <w:color w:val="000000"/>
        </w:rPr>
        <w:t xml:space="preserve">u </w:t>
      </w:r>
      <w:r>
        <w:rPr>
          <w:color w:val="000000"/>
          <w:spacing w:val="33"/>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 xml:space="preserve">a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7"/>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spacing w:val="-1"/>
        </w:rPr>
        <w:t>a</w:t>
      </w:r>
      <w:r>
        <w:rPr>
          <w:color w:val="000000"/>
        </w:rPr>
        <w:t>,</w:t>
      </w:r>
      <w:r>
        <w:rPr>
          <w:color w:val="000000"/>
          <w:spacing w:val="4"/>
        </w:rPr>
        <w:t xml:space="preserve"> </w:t>
      </w:r>
      <w:r>
        <w:rPr>
          <w:color w:val="000000"/>
          <w:spacing w:val="5"/>
        </w:rPr>
        <w:t>t</w:t>
      </w:r>
      <w:r>
        <w:rPr>
          <w:color w:val="000000"/>
          <w:spacing w:val="-1"/>
        </w:rPr>
        <w:t>a</w:t>
      </w:r>
      <w:r>
        <w:rPr>
          <w:color w:val="000000"/>
          <w:spacing w:val="-5"/>
        </w:rPr>
        <w:t>n</w:t>
      </w:r>
      <w:r>
        <w:rPr>
          <w:color w:val="000000"/>
        </w:rPr>
        <w:t>k</w:t>
      </w:r>
      <w:r>
        <w:rPr>
          <w:color w:val="000000"/>
          <w:spacing w:val="5"/>
        </w:rPr>
        <w:t>u</w:t>
      </w:r>
      <w:r>
        <w:rPr>
          <w:color w:val="000000"/>
          <w:spacing w:val="-4"/>
        </w:rPr>
        <w:t>m</w:t>
      </w:r>
      <w:r>
        <w:rPr>
          <w:color w:val="000000"/>
          <w:spacing w:val="-1"/>
        </w:rPr>
        <w:t>a</w:t>
      </w:r>
      <w:r>
        <w:rPr>
          <w:color w:val="000000"/>
        </w:rPr>
        <w:t>s</w:t>
      </w:r>
      <w:r>
        <w:rPr>
          <w:color w:val="000000"/>
          <w:spacing w:val="5"/>
        </w:rPr>
        <w:t xml:space="preserve"> </w:t>
      </w:r>
      <w:r>
        <w:rPr>
          <w:color w:val="000000"/>
        </w:rPr>
        <w:t>100</w:t>
      </w:r>
      <w:r>
        <w:rPr>
          <w:color w:val="000000"/>
          <w:spacing w:val="7"/>
        </w:rPr>
        <w:t xml:space="preserve"> </w:t>
      </w:r>
      <w:r>
        <w:rPr>
          <w:color w:val="000000"/>
          <w:spacing w:val="5"/>
        </w:rPr>
        <w:t>t</w:t>
      </w:r>
      <w:r>
        <w:rPr>
          <w:color w:val="000000"/>
        </w:rPr>
        <w:t>ūk</w:t>
      </w:r>
      <w:r>
        <w:rPr>
          <w:color w:val="000000"/>
          <w:spacing w:val="-2"/>
        </w:rPr>
        <w:t>s</w:t>
      </w:r>
      <w:r>
        <w:rPr>
          <w:color w:val="000000"/>
          <w:spacing w:val="5"/>
        </w:rPr>
        <w:t>t</w:t>
      </w:r>
      <w:r>
        <w:rPr>
          <w:color w:val="000000"/>
        </w:rPr>
        <w:t>.</w:t>
      </w:r>
      <w:r>
        <w:rPr>
          <w:color w:val="000000"/>
          <w:spacing w:val="9"/>
        </w:rPr>
        <w:t xml:space="preserve"> </w:t>
      </w:r>
      <w:r>
        <w:rPr>
          <w:color w:val="000000"/>
        </w:rPr>
        <w:t>g</w:t>
      </w:r>
      <w:r>
        <w:rPr>
          <w:color w:val="000000"/>
          <w:spacing w:val="-5"/>
        </w:rPr>
        <w:t>yv</w:t>
      </w:r>
      <w:r>
        <w:rPr>
          <w:color w:val="000000"/>
          <w:spacing w:val="4"/>
        </w:rPr>
        <w:t>e</w:t>
      </w:r>
      <w:r>
        <w:rPr>
          <w:color w:val="000000"/>
          <w:spacing w:val="-5"/>
        </w:rPr>
        <w:t>n</w:t>
      </w:r>
      <w:r>
        <w:rPr>
          <w:color w:val="000000"/>
          <w:spacing w:val="5"/>
        </w:rPr>
        <w:t>to</w:t>
      </w:r>
      <w:r>
        <w:rPr>
          <w:color w:val="000000"/>
          <w:spacing w:val="-9"/>
        </w:rPr>
        <w:t>j</w:t>
      </w:r>
      <w:r>
        <w:rPr>
          <w:color w:val="000000"/>
        </w:rPr>
        <w:t>ų</w:t>
      </w:r>
      <w:r>
        <w:rPr>
          <w:color w:val="000000"/>
          <w:spacing w:val="12"/>
        </w:rPr>
        <w:t xml:space="preserve"> </w:t>
      </w:r>
      <w:r>
        <w:rPr>
          <w:color w:val="000000"/>
          <w:spacing w:val="-5"/>
        </w:rPr>
        <w:t>n</w:t>
      </w:r>
      <w:r>
        <w:rPr>
          <w:color w:val="000000"/>
          <w:spacing w:val="5"/>
        </w:rPr>
        <w:t>o</w:t>
      </w:r>
      <w:r>
        <w:rPr>
          <w:color w:val="000000"/>
          <w:spacing w:val="1"/>
        </w:rPr>
        <w:t>r</w:t>
      </w:r>
      <w:r>
        <w:rPr>
          <w:color w:val="000000"/>
        </w:rPr>
        <w:t>s</w:t>
      </w:r>
      <w:r>
        <w:rPr>
          <w:color w:val="000000"/>
          <w:spacing w:val="10"/>
        </w:rPr>
        <w:t xml:space="preserve"> </w:t>
      </w:r>
      <w:r>
        <w:rPr>
          <w:color w:val="000000"/>
          <w:spacing w:val="-9"/>
        </w:rPr>
        <w:t>i</w:t>
      </w:r>
      <w:r>
        <w:rPr>
          <w:color w:val="000000"/>
        </w:rPr>
        <w:t>r</w:t>
      </w:r>
      <w:r>
        <w:rPr>
          <w:color w:val="000000"/>
          <w:spacing w:val="13"/>
        </w:rPr>
        <w:t xml:space="preserve"> </w:t>
      </w:r>
      <w:r>
        <w:rPr>
          <w:color w:val="000000"/>
          <w:spacing w:val="-5"/>
        </w:rPr>
        <w:t>n</w:t>
      </w:r>
      <w:r>
        <w:rPr>
          <w:color w:val="000000"/>
          <w:spacing w:val="-1"/>
        </w:rPr>
        <w:t>e</w:t>
      </w:r>
      <w:r>
        <w:rPr>
          <w:color w:val="000000"/>
          <w:spacing w:val="4"/>
        </w:rPr>
        <w:t>ž</w:t>
      </w:r>
      <w:r>
        <w:rPr>
          <w:color w:val="000000"/>
        </w:rPr>
        <w:t>ym</w:t>
      </w:r>
      <w:r>
        <w:rPr>
          <w:color w:val="000000"/>
          <w:spacing w:val="-4"/>
        </w:rPr>
        <w:t>i</w:t>
      </w:r>
      <w:r>
        <w:rPr>
          <w:color w:val="000000"/>
          <w:spacing w:val="4"/>
        </w:rPr>
        <w:t>a</w:t>
      </w:r>
      <w:r>
        <w:rPr>
          <w:color w:val="000000"/>
          <w:spacing w:val="-4"/>
        </w:rPr>
        <w:t>i</w:t>
      </w:r>
      <w:r>
        <w:rPr>
          <w:color w:val="000000"/>
        </w:rPr>
        <w:t>,</w:t>
      </w:r>
      <w:r>
        <w:rPr>
          <w:color w:val="000000"/>
          <w:spacing w:val="9"/>
        </w:rPr>
        <w:t xml:space="preserve"> </w:t>
      </w:r>
      <w:r>
        <w:rPr>
          <w:color w:val="000000"/>
          <w:spacing w:val="5"/>
        </w:rPr>
        <w:t>t</w:t>
      </w:r>
      <w:r>
        <w:rPr>
          <w:color w:val="000000"/>
          <w:spacing w:val="-1"/>
        </w:rPr>
        <w:t>a</w:t>
      </w:r>
      <w:r>
        <w:rPr>
          <w:color w:val="000000"/>
          <w:spacing w:val="4"/>
        </w:rPr>
        <w:t>č</w:t>
      </w:r>
      <w:r>
        <w:rPr>
          <w:color w:val="000000"/>
          <w:spacing w:val="-9"/>
        </w:rPr>
        <w:t>i</w:t>
      </w:r>
      <w:r>
        <w:rPr>
          <w:color w:val="000000"/>
          <w:spacing w:val="-1"/>
        </w:rPr>
        <w:t>a</w:t>
      </w:r>
      <w:r>
        <w:rPr>
          <w:color w:val="000000"/>
        </w:rPr>
        <w:t>u</w:t>
      </w:r>
      <w:r>
        <w:rPr>
          <w:color w:val="000000"/>
          <w:spacing w:val="7"/>
        </w:rPr>
        <w:t xml:space="preserve"> </w:t>
      </w:r>
      <w:r>
        <w:rPr>
          <w:color w:val="000000"/>
          <w:spacing w:val="-1"/>
        </w:rPr>
        <w:t>a</w:t>
      </w:r>
      <w:r>
        <w:rPr>
          <w:color w:val="000000"/>
        </w:rPr>
        <w:t>u</w:t>
      </w:r>
      <w:r>
        <w:rPr>
          <w:color w:val="000000"/>
          <w:spacing w:val="5"/>
        </w:rPr>
        <w:t>g</w:t>
      </w:r>
      <w:r>
        <w:rPr>
          <w:color w:val="000000"/>
        </w:rPr>
        <w:t>a</w:t>
      </w:r>
      <w:r>
        <w:rPr>
          <w:color w:val="000000"/>
          <w:spacing w:val="18"/>
        </w:rPr>
        <w:t xml:space="preserve"> </w:t>
      </w:r>
      <w:r>
        <w:rPr>
          <w:color w:val="000000"/>
        </w:rPr>
        <w:t>-</w:t>
      </w:r>
      <w:r>
        <w:rPr>
          <w:color w:val="000000"/>
          <w:spacing w:val="9"/>
        </w:rPr>
        <w:t xml:space="preserve"> </w:t>
      </w:r>
      <w:r>
        <w:rPr>
          <w:color w:val="000000"/>
        </w:rPr>
        <w:t>2011</w:t>
      </w:r>
      <w:r>
        <w:rPr>
          <w:color w:val="000000"/>
          <w:spacing w:val="12"/>
        </w:rPr>
        <w:t xml:space="preserve"> </w:t>
      </w:r>
      <w:r>
        <w:rPr>
          <w:color w:val="000000"/>
          <w:spacing w:val="-9"/>
        </w:rPr>
        <w:t>m</w:t>
      </w:r>
      <w:r>
        <w:rPr>
          <w:color w:val="000000"/>
        </w:rPr>
        <w:t>.</w:t>
      </w:r>
      <w:r>
        <w:rPr>
          <w:color w:val="000000"/>
          <w:spacing w:val="14"/>
        </w:rPr>
        <w:t xml:space="preserve"> </w:t>
      </w:r>
      <w:r>
        <w:rPr>
          <w:color w:val="000000"/>
        </w:rPr>
        <w:t>l</w:t>
      </w:r>
      <w:r>
        <w:rPr>
          <w:color w:val="000000"/>
          <w:spacing w:val="-4"/>
        </w:rPr>
        <w:t>y</w:t>
      </w:r>
      <w:r>
        <w:rPr>
          <w:color w:val="000000"/>
          <w:spacing w:val="5"/>
        </w:rPr>
        <w:t>g</w:t>
      </w:r>
      <w:r>
        <w:rPr>
          <w:color w:val="000000"/>
          <w:spacing w:val="-4"/>
        </w:rPr>
        <w:t>i</w:t>
      </w:r>
      <w:r>
        <w:rPr>
          <w:color w:val="000000"/>
        </w:rPr>
        <w:t>n</w:t>
      </w:r>
      <w:r>
        <w:rPr>
          <w:color w:val="000000"/>
          <w:spacing w:val="4"/>
        </w:rPr>
        <w:t>a</w:t>
      </w:r>
      <w:r>
        <w:rPr>
          <w:color w:val="000000"/>
          <w:spacing w:val="-5"/>
        </w:rPr>
        <w:t>n</w:t>
      </w:r>
      <w:r>
        <w:rPr>
          <w:color w:val="000000"/>
        </w:rPr>
        <w:t>t</w:t>
      </w:r>
    </w:p>
    <w:p w:rsidR="004F7425" w:rsidRDefault="004F7425" w:rsidP="004F7425">
      <w:pPr>
        <w:widowControl w:val="0"/>
        <w:autoSpaceDE w:val="0"/>
        <w:autoSpaceDN w:val="0"/>
        <w:adjustRightInd w:val="0"/>
        <w:spacing w:before="1" w:line="271" w:lineRule="exact"/>
        <w:ind w:left="120" w:right="-20"/>
        <w:rPr>
          <w:color w:val="000000"/>
        </w:rPr>
      </w:pPr>
      <w:r>
        <w:rPr>
          <w:color w:val="000000"/>
          <w:spacing w:val="-2"/>
          <w:position w:val="-1"/>
        </w:rPr>
        <w:t>s</w:t>
      </w:r>
      <w:r>
        <w:rPr>
          <w:color w:val="000000"/>
          <w:position w:val="-1"/>
        </w:rPr>
        <w:t>u</w:t>
      </w:r>
      <w:r>
        <w:rPr>
          <w:color w:val="000000"/>
          <w:spacing w:val="2"/>
          <w:position w:val="-1"/>
        </w:rPr>
        <w:t xml:space="preserve"> </w:t>
      </w:r>
      <w:r>
        <w:rPr>
          <w:color w:val="000000"/>
          <w:position w:val="-1"/>
        </w:rPr>
        <w:t>2010</w:t>
      </w:r>
      <w:r>
        <w:rPr>
          <w:color w:val="000000"/>
          <w:spacing w:val="2"/>
          <w:position w:val="-1"/>
        </w:rPr>
        <w:t xml:space="preserve"> </w:t>
      </w:r>
      <w:r>
        <w:rPr>
          <w:color w:val="000000"/>
          <w:spacing w:val="-9"/>
          <w:position w:val="-1"/>
        </w:rPr>
        <w:t>m</w:t>
      </w:r>
      <w:r>
        <w:rPr>
          <w:color w:val="000000"/>
          <w:position w:val="-1"/>
        </w:rPr>
        <w:t>.</w:t>
      </w:r>
      <w:r>
        <w:rPr>
          <w:color w:val="000000"/>
          <w:spacing w:val="4"/>
          <w:position w:val="-1"/>
        </w:rPr>
        <w:t xml:space="preserve"> </w:t>
      </w:r>
      <w:r>
        <w:rPr>
          <w:color w:val="000000"/>
          <w:position w:val="-1"/>
        </w:rPr>
        <w:t>p</w:t>
      </w:r>
      <w:r>
        <w:rPr>
          <w:color w:val="000000"/>
          <w:spacing w:val="-1"/>
          <w:position w:val="-1"/>
        </w:rPr>
        <w:t>a</w:t>
      </w:r>
      <w:r>
        <w:rPr>
          <w:color w:val="000000"/>
          <w:spacing w:val="5"/>
          <w:position w:val="-1"/>
        </w:rPr>
        <w:t>d</w:t>
      </w:r>
      <w:r>
        <w:rPr>
          <w:color w:val="000000"/>
          <w:spacing w:val="-9"/>
          <w:position w:val="-1"/>
        </w:rPr>
        <w:t>i</w:t>
      </w:r>
      <w:r>
        <w:rPr>
          <w:color w:val="000000"/>
          <w:spacing w:val="5"/>
          <w:position w:val="-1"/>
        </w:rPr>
        <w:t>d</w:t>
      </w:r>
      <w:r>
        <w:rPr>
          <w:color w:val="000000"/>
          <w:spacing w:val="4"/>
          <w:position w:val="-1"/>
        </w:rPr>
        <w:t>ė</w:t>
      </w:r>
      <w:r>
        <w:rPr>
          <w:color w:val="000000"/>
          <w:spacing w:val="-9"/>
          <w:position w:val="-1"/>
        </w:rPr>
        <w:t>j</w:t>
      </w:r>
      <w:r>
        <w:rPr>
          <w:color w:val="000000"/>
          <w:position w:val="-1"/>
        </w:rPr>
        <w:t>o</w:t>
      </w:r>
      <w:r>
        <w:rPr>
          <w:color w:val="000000"/>
          <w:spacing w:val="7"/>
          <w:position w:val="-1"/>
        </w:rPr>
        <w:t xml:space="preserve"> </w:t>
      </w:r>
      <w:r>
        <w:rPr>
          <w:color w:val="000000"/>
          <w:position w:val="-1"/>
        </w:rPr>
        <w:t>3, o</w:t>
      </w:r>
      <w:r>
        <w:rPr>
          <w:color w:val="000000"/>
          <w:spacing w:val="2"/>
          <w:position w:val="-1"/>
        </w:rPr>
        <w:t xml:space="preserve"> </w:t>
      </w:r>
      <w:r>
        <w:rPr>
          <w:color w:val="000000"/>
          <w:position w:val="-1"/>
        </w:rPr>
        <w:t>2012</w:t>
      </w:r>
      <w:r>
        <w:rPr>
          <w:color w:val="000000"/>
          <w:spacing w:val="2"/>
          <w:position w:val="-1"/>
        </w:rPr>
        <w:t xml:space="preserve"> </w:t>
      </w:r>
      <w:r>
        <w:rPr>
          <w:color w:val="000000"/>
          <w:spacing w:val="-9"/>
          <w:position w:val="-1"/>
        </w:rPr>
        <w:t>m</w:t>
      </w:r>
      <w:r>
        <w:rPr>
          <w:color w:val="000000"/>
          <w:position w:val="-1"/>
        </w:rPr>
        <w:t>.</w:t>
      </w:r>
      <w:r>
        <w:rPr>
          <w:color w:val="000000"/>
          <w:spacing w:val="9"/>
          <w:position w:val="-1"/>
        </w:rPr>
        <w:t xml:space="preserve"> </w:t>
      </w:r>
      <w:r>
        <w:rPr>
          <w:color w:val="000000"/>
          <w:position w:val="-1"/>
        </w:rPr>
        <w:t>–</w:t>
      </w:r>
      <w:r>
        <w:rPr>
          <w:color w:val="000000"/>
          <w:spacing w:val="2"/>
          <w:position w:val="-1"/>
        </w:rPr>
        <w:t xml:space="preserve"> </w:t>
      </w:r>
      <w:r>
        <w:rPr>
          <w:color w:val="000000"/>
          <w:position w:val="-1"/>
        </w:rPr>
        <w:t>7</w:t>
      </w:r>
      <w:r>
        <w:rPr>
          <w:color w:val="000000"/>
          <w:spacing w:val="2"/>
          <w:position w:val="-1"/>
        </w:rPr>
        <w:t xml:space="preserve"> </w:t>
      </w:r>
      <w:r>
        <w:rPr>
          <w:color w:val="000000"/>
          <w:spacing w:val="-5"/>
          <w:position w:val="-1"/>
        </w:rPr>
        <w:t>v</w:t>
      </w:r>
      <w:r>
        <w:rPr>
          <w:color w:val="000000"/>
          <w:spacing w:val="4"/>
          <w:position w:val="-1"/>
        </w:rPr>
        <w:t>e</w:t>
      </w:r>
      <w:r>
        <w:rPr>
          <w:color w:val="000000"/>
          <w:spacing w:val="-9"/>
          <w:position w:val="-1"/>
        </w:rPr>
        <w:t>i</w:t>
      </w:r>
      <w:r>
        <w:rPr>
          <w:color w:val="000000"/>
          <w:position w:val="-1"/>
        </w:rPr>
        <w:t>k</w:t>
      </w:r>
      <w:r>
        <w:rPr>
          <w:color w:val="000000"/>
          <w:spacing w:val="9"/>
          <w:position w:val="-1"/>
        </w:rPr>
        <w:t>o</w:t>
      </w:r>
      <w:r>
        <w:rPr>
          <w:color w:val="000000"/>
          <w:spacing w:val="-4"/>
          <w:position w:val="-1"/>
        </w:rPr>
        <w:t>mi</w:t>
      </w:r>
      <w:r>
        <w:rPr>
          <w:color w:val="000000"/>
          <w:position w:val="-1"/>
        </w:rPr>
        <w:t xml:space="preserve">s </w:t>
      </w:r>
      <w:r>
        <w:rPr>
          <w:color w:val="000000"/>
          <w:spacing w:val="1"/>
          <w:position w:val="-1"/>
        </w:rPr>
        <w:t>(</w:t>
      </w:r>
      <w:r>
        <w:rPr>
          <w:color w:val="000000"/>
          <w:spacing w:val="-5"/>
          <w:position w:val="-1"/>
        </w:rPr>
        <w:t>n</w:t>
      </w:r>
      <w:r>
        <w:rPr>
          <w:color w:val="000000"/>
          <w:spacing w:val="5"/>
          <w:position w:val="-1"/>
        </w:rPr>
        <w:t>u</w:t>
      </w:r>
      <w:r>
        <w:rPr>
          <w:color w:val="000000"/>
          <w:position w:val="-1"/>
        </w:rPr>
        <w:t>o</w:t>
      </w:r>
      <w:r>
        <w:rPr>
          <w:color w:val="000000"/>
          <w:spacing w:val="2"/>
          <w:position w:val="-1"/>
        </w:rPr>
        <w:t xml:space="preserve"> </w:t>
      </w:r>
      <w:r>
        <w:rPr>
          <w:color w:val="000000"/>
          <w:position w:val="-1"/>
        </w:rPr>
        <w:t>74</w:t>
      </w:r>
      <w:r>
        <w:rPr>
          <w:color w:val="000000"/>
          <w:spacing w:val="2"/>
          <w:position w:val="-1"/>
        </w:rPr>
        <w:t xml:space="preserve"> </w:t>
      </w:r>
      <w:r>
        <w:rPr>
          <w:color w:val="000000"/>
          <w:spacing w:val="-9"/>
          <w:position w:val="-1"/>
        </w:rPr>
        <w:t>i</w:t>
      </w:r>
      <w:r>
        <w:rPr>
          <w:color w:val="000000"/>
          <w:spacing w:val="5"/>
          <w:position w:val="-1"/>
        </w:rPr>
        <w:t>k</w:t>
      </w:r>
      <w:r>
        <w:rPr>
          <w:color w:val="000000"/>
          <w:position w:val="-1"/>
        </w:rPr>
        <w:t>i</w:t>
      </w:r>
      <w:r>
        <w:rPr>
          <w:color w:val="000000"/>
          <w:spacing w:val="-7"/>
          <w:position w:val="-1"/>
        </w:rPr>
        <w:t xml:space="preserve"> </w:t>
      </w:r>
      <w:r>
        <w:rPr>
          <w:color w:val="000000"/>
          <w:position w:val="-1"/>
        </w:rPr>
        <w:t>81</w:t>
      </w:r>
      <w:r>
        <w:rPr>
          <w:color w:val="000000"/>
          <w:spacing w:val="1"/>
          <w:position w:val="-1"/>
        </w:rPr>
        <w:t>)</w:t>
      </w:r>
      <w:r>
        <w:rPr>
          <w:color w:val="000000"/>
          <w:position w:val="-1"/>
        </w:rPr>
        <w:t>.</w:t>
      </w:r>
    </w:p>
    <w:p w:rsidR="004F7425" w:rsidRDefault="004F7425" w:rsidP="004F7425">
      <w:pPr>
        <w:widowControl w:val="0"/>
        <w:autoSpaceDE w:val="0"/>
        <w:autoSpaceDN w:val="0"/>
        <w:adjustRightInd w:val="0"/>
        <w:spacing w:before="2" w:line="190" w:lineRule="exact"/>
        <w:rPr>
          <w:color w:val="000000"/>
          <w:sz w:val="19"/>
          <w:szCs w:val="19"/>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6" w:line="350" w:lineRule="exact"/>
        <w:ind w:left="2506" w:right="1616" w:hanging="758"/>
        <w:rPr>
          <w:color w:val="000000"/>
          <w:sz w:val="28"/>
          <w:szCs w:val="28"/>
        </w:rPr>
      </w:pPr>
      <w:r>
        <w:rPr>
          <w:b/>
          <w:bCs/>
          <w:color w:val="993300"/>
          <w:sz w:val="28"/>
          <w:szCs w:val="28"/>
        </w:rPr>
        <w:t>S</w:t>
      </w:r>
      <w:r>
        <w:rPr>
          <w:b/>
          <w:bCs/>
          <w:color w:val="993300"/>
          <w:spacing w:val="1"/>
          <w:sz w:val="28"/>
          <w:szCs w:val="28"/>
        </w:rPr>
        <w:t>a</w:t>
      </w:r>
      <w:r>
        <w:rPr>
          <w:b/>
          <w:bCs/>
          <w:color w:val="993300"/>
          <w:sz w:val="28"/>
          <w:szCs w:val="28"/>
        </w:rPr>
        <w:t>nt</w:t>
      </w:r>
      <w:r>
        <w:rPr>
          <w:b/>
          <w:bCs/>
          <w:color w:val="993300"/>
          <w:spacing w:val="1"/>
          <w:sz w:val="28"/>
          <w:szCs w:val="28"/>
        </w:rPr>
        <w:t>y</w:t>
      </w:r>
      <w:r>
        <w:rPr>
          <w:b/>
          <w:bCs/>
          <w:color w:val="993300"/>
          <w:spacing w:val="-5"/>
          <w:sz w:val="28"/>
          <w:szCs w:val="28"/>
        </w:rPr>
        <w:t>k</w:t>
      </w:r>
      <w:r>
        <w:rPr>
          <w:b/>
          <w:bCs/>
          <w:color w:val="993300"/>
          <w:spacing w:val="1"/>
          <w:sz w:val="28"/>
          <w:szCs w:val="28"/>
        </w:rPr>
        <w:t>i</w:t>
      </w:r>
      <w:r>
        <w:rPr>
          <w:b/>
          <w:bCs/>
          <w:color w:val="993300"/>
          <w:sz w:val="28"/>
          <w:szCs w:val="28"/>
        </w:rPr>
        <w:t>s</w:t>
      </w:r>
      <w:r>
        <w:rPr>
          <w:b/>
          <w:bCs/>
          <w:color w:val="993300"/>
          <w:spacing w:val="1"/>
          <w:sz w:val="28"/>
          <w:szCs w:val="28"/>
        </w:rPr>
        <w:t xml:space="preserve"> </w:t>
      </w:r>
      <w:r>
        <w:rPr>
          <w:b/>
          <w:bCs/>
          <w:color w:val="993300"/>
          <w:sz w:val="28"/>
          <w:szCs w:val="28"/>
        </w:rPr>
        <w:t>tarp bendro</w:t>
      </w:r>
      <w:r>
        <w:rPr>
          <w:b/>
          <w:bCs/>
          <w:color w:val="993300"/>
          <w:spacing w:val="1"/>
          <w:sz w:val="28"/>
          <w:szCs w:val="28"/>
        </w:rPr>
        <w:t xml:space="preserve"> </w:t>
      </w:r>
      <w:r>
        <w:rPr>
          <w:b/>
          <w:bCs/>
          <w:color w:val="993300"/>
          <w:sz w:val="28"/>
          <w:szCs w:val="28"/>
        </w:rPr>
        <w:t>n</w:t>
      </w:r>
      <w:r>
        <w:rPr>
          <w:b/>
          <w:bCs/>
          <w:color w:val="993300"/>
          <w:spacing w:val="-1"/>
          <w:sz w:val="28"/>
          <w:szCs w:val="28"/>
        </w:rPr>
        <w:t>u</w:t>
      </w:r>
      <w:r>
        <w:rPr>
          <w:b/>
          <w:bCs/>
          <w:color w:val="993300"/>
          <w:spacing w:val="1"/>
          <w:sz w:val="28"/>
          <w:szCs w:val="28"/>
        </w:rPr>
        <w:t>si</w:t>
      </w:r>
      <w:r>
        <w:rPr>
          <w:b/>
          <w:bCs/>
          <w:color w:val="993300"/>
          <w:spacing w:val="-5"/>
          <w:sz w:val="28"/>
          <w:szCs w:val="28"/>
        </w:rPr>
        <w:t>k</w:t>
      </w:r>
      <w:r>
        <w:rPr>
          <w:b/>
          <w:bCs/>
          <w:color w:val="993300"/>
          <w:spacing w:val="1"/>
          <w:sz w:val="28"/>
          <w:szCs w:val="28"/>
        </w:rPr>
        <w:t>als</w:t>
      </w:r>
      <w:r>
        <w:rPr>
          <w:b/>
          <w:bCs/>
          <w:color w:val="993300"/>
          <w:sz w:val="28"/>
          <w:szCs w:val="28"/>
        </w:rPr>
        <w:t>t</w:t>
      </w:r>
      <w:r>
        <w:rPr>
          <w:b/>
          <w:bCs/>
          <w:color w:val="993300"/>
          <w:spacing w:val="1"/>
          <w:sz w:val="28"/>
          <w:szCs w:val="28"/>
        </w:rPr>
        <w:t>a</w:t>
      </w:r>
      <w:r>
        <w:rPr>
          <w:b/>
          <w:bCs/>
          <w:color w:val="993300"/>
          <w:spacing w:val="-3"/>
          <w:sz w:val="28"/>
          <w:szCs w:val="28"/>
        </w:rPr>
        <w:t>m</w:t>
      </w:r>
      <w:r>
        <w:rPr>
          <w:b/>
          <w:bCs/>
          <w:color w:val="993300"/>
          <w:sz w:val="28"/>
          <w:szCs w:val="28"/>
        </w:rPr>
        <w:t>u</w:t>
      </w:r>
      <w:r>
        <w:rPr>
          <w:b/>
          <w:bCs/>
          <w:color w:val="993300"/>
          <w:spacing w:val="-4"/>
          <w:sz w:val="28"/>
          <w:szCs w:val="28"/>
        </w:rPr>
        <w:t>m</w:t>
      </w:r>
      <w:r>
        <w:rPr>
          <w:b/>
          <w:bCs/>
          <w:color w:val="993300"/>
          <w:sz w:val="28"/>
          <w:szCs w:val="28"/>
        </w:rPr>
        <w:t>o</w:t>
      </w:r>
      <w:r>
        <w:rPr>
          <w:b/>
          <w:bCs/>
          <w:color w:val="993300"/>
          <w:spacing w:val="1"/>
          <w:sz w:val="28"/>
          <w:szCs w:val="28"/>
        </w:rPr>
        <w:t xml:space="preserve"> </w:t>
      </w:r>
      <w:r>
        <w:rPr>
          <w:b/>
          <w:bCs/>
          <w:color w:val="993300"/>
          <w:sz w:val="28"/>
          <w:szCs w:val="28"/>
        </w:rPr>
        <w:t>ir nu</w:t>
      </w:r>
      <w:r>
        <w:rPr>
          <w:b/>
          <w:bCs/>
          <w:color w:val="993300"/>
          <w:spacing w:val="1"/>
          <w:sz w:val="28"/>
          <w:szCs w:val="28"/>
        </w:rPr>
        <w:t>si</w:t>
      </w:r>
      <w:r>
        <w:rPr>
          <w:b/>
          <w:bCs/>
          <w:color w:val="993300"/>
          <w:spacing w:val="-5"/>
          <w:sz w:val="28"/>
          <w:szCs w:val="28"/>
        </w:rPr>
        <w:t>k</w:t>
      </w:r>
      <w:r>
        <w:rPr>
          <w:b/>
          <w:bCs/>
          <w:color w:val="993300"/>
          <w:spacing w:val="1"/>
          <w:sz w:val="28"/>
          <w:szCs w:val="28"/>
        </w:rPr>
        <w:t>al</w:t>
      </w:r>
      <w:r>
        <w:rPr>
          <w:b/>
          <w:bCs/>
          <w:color w:val="993300"/>
          <w:sz w:val="28"/>
          <w:szCs w:val="28"/>
        </w:rPr>
        <w:t>t</w:t>
      </w:r>
      <w:r>
        <w:rPr>
          <w:b/>
          <w:bCs/>
          <w:color w:val="993300"/>
          <w:spacing w:val="1"/>
          <w:sz w:val="28"/>
          <w:szCs w:val="28"/>
        </w:rPr>
        <w:t>i</w:t>
      </w:r>
      <w:r>
        <w:rPr>
          <w:b/>
          <w:bCs/>
          <w:color w:val="993300"/>
          <w:spacing w:val="-3"/>
          <w:sz w:val="28"/>
          <w:szCs w:val="28"/>
        </w:rPr>
        <w:t>m</w:t>
      </w:r>
      <w:r>
        <w:rPr>
          <w:b/>
          <w:bCs/>
          <w:color w:val="993300"/>
          <w:sz w:val="28"/>
          <w:szCs w:val="28"/>
        </w:rPr>
        <w:t xml:space="preserve">ų, </w:t>
      </w:r>
      <w:r>
        <w:rPr>
          <w:b/>
          <w:bCs/>
          <w:color w:val="993300"/>
          <w:spacing w:val="1"/>
          <w:sz w:val="28"/>
          <w:szCs w:val="28"/>
        </w:rPr>
        <w:t>s</w:t>
      </w:r>
      <w:r>
        <w:rPr>
          <w:b/>
          <w:bCs/>
          <w:color w:val="993300"/>
          <w:sz w:val="28"/>
          <w:szCs w:val="28"/>
        </w:rPr>
        <w:t>u</w:t>
      </w:r>
      <w:r>
        <w:rPr>
          <w:b/>
          <w:bCs/>
          <w:color w:val="993300"/>
          <w:spacing w:val="1"/>
          <w:sz w:val="28"/>
          <w:szCs w:val="28"/>
        </w:rPr>
        <w:t>si</w:t>
      </w:r>
      <w:r>
        <w:rPr>
          <w:b/>
          <w:bCs/>
          <w:color w:val="993300"/>
          <w:sz w:val="28"/>
          <w:szCs w:val="28"/>
        </w:rPr>
        <w:t>ju</w:t>
      </w:r>
      <w:r>
        <w:rPr>
          <w:b/>
          <w:bCs/>
          <w:color w:val="993300"/>
          <w:spacing w:val="1"/>
          <w:sz w:val="28"/>
          <w:szCs w:val="28"/>
        </w:rPr>
        <w:t>si</w:t>
      </w:r>
      <w:r>
        <w:rPr>
          <w:b/>
          <w:bCs/>
          <w:color w:val="993300"/>
          <w:sz w:val="28"/>
          <w:szCs w:val="28"/>
        </w:rPr>
        <w:t>ų su nete</w:t>
      </w:r>
      <w:r>
        <w:rPr>
          <w:b/>
          <w:bCs/>
          <w:color w:val="993300"/>
          <w:spacing w:val="1"/>
          <w:sz w:val="28"/>
          <w:szCs w:val="28"/>
        </w:rPr>
        <w:t>is</w:t>
      </w:r>
      <w:r>
        <w:rPr>
          <w:b/>
          <w:bCs/>
          <w:color w:val="993300"/>
          <w:sz w:val="28"/>
          <w:szCs w:val="28"/>
        </w:rPr>
        <w:t>ėta</w:t>
      </w:r>
      <w:r>
        <w:rPr>
          <w:b/>
          <w:bCs/>
          <w:color w:val="993300"/>
          <w:spacing w:val="1"/>
          <w:sz w:val="28"/>
          <w:szCs w:val="28"/>
        </w:rPr>
        <w:t xml:space="preserve"> </w:t>
      </w:r>
      <w:r>
        <w:rPr>
          <w:b/>
          <w:bCs/>
          <w:color w:val="993300"/>
          <w:sz w:val="28"/>
          <w:szCs w:val="28"/>
        </w:rPr>
        <w:t>nar</w:t>
      </w:r>
      <w:r>
        <w:rPr>
          <w:b/>
          <w:bCs/>
          <w:color w:val="993300"/>
          <w:spacing w:val="-4"/>
          <w:sz w:val="28"/>
          <w:szCs w:val="28"/>
        </w:rPr>
        <w:t>k</w:t>
      </w:r>
      <w:r>
        <w:rPr>
          <w:b/>
          <w:bCs/>
          <w:color w:val="993300"/>
          <w:spacing w:val="1"/>
          <w:sz w:val="28"/>
          <w:szCs w:val="28"/>
        </w:rPr>
        <w:t>o</w:t>
      </w:r>
      <w:r>
        <w:rPr>
          <w:b/>
          <w:bCs/>
          <w:color w:val="993300"/>
          <w:sz w:val="28"/>
          <w:szCs w:val="28"/>
        </w:rPr>
        <w:t>t</w:t>
      </w:r>
      <w:r>
        <w:rPr>
          <w:b/>
          <w:bCs/>
          <w:color w:val="993300"/>
          <w:spacing w:val="1"/>
          <w:sz w:val="28"/>
          <w:szCs w:val="28"/>
        </w:rPr>
        <w:t>i</w:t>
      </w:r>
      <w:r>
        <w:rPr>
          <w:b/>
          <w:bCs/>
          <w:color w:val="993300"/>
          <w:spacing w:val="-5"/>
          <w:sz w:val="28"/>
          <w:szCs w:val="28"/>
        </w:rPr>
        <w:t>k</w:t>
      </w:r>
      <w:r>
        <w:rPr>
          <w:b/>
          <w:bCs/>
          <w:color w:val="993300"/>
          <w:sz w:val="28"/>
          <w:szCs w:val="28"/>
        </w:rPr>
        <w:t>ų ap</w:t>
      </w:r>
      <w:r>
        <w:rPr>
          <w:b/>
          <w:bCs/>
          <w:color w:val="993300"/>
          <w:spacing w:val="1"/>
          <w:sz w:val="28"/>
          <w:szCs w:val="28"/>
        </w:rPr>
        <w:t>yva</w:t>
      </w:r>
      <w:r>
        <w:rPr>
          <w:b/>
          <w:bCs/>
          <w:color w:val="993300"/>
          <w:sz w:val="28"/>
          <w:szCs w:val="28"/>
        </w:rPr>
        <w:t>rta</w:t>
      </w:r>
    </w:p>
    <w:p w:rsidR="004F7425" w:rsidRDefault="004F7425" w:rsidP="004F7425">
      <w:pPr>
        <w:widowControl w:val="0"/>
        <w:autoSpaceDE w:val="0"/>
        <w:autoSpaceDN w:val="0"/>
        <w:adjustRightInd w:val="0"/>
        <w:spacing w:before="4" w:line="130" w:lineRule="exact"/>
        <w:rPr>
          <w:color w:val="000000"/>
          <w:sz w:val="13"/>
          <w:szCs w:val="13"/>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sectPr w:rsidR="004F7425">
          <w:pgSz w:w="11920" w:h="16840"/>
          <w:pgMar w:top="960" w:right="460" w:bottom="280" w:left="1580" w:header="734" w:footer="0" w:gutter="0"/>
          <w:cols w:space="1296"/>
          <w:noEndnote/>
        </w:sectPr>
      </w:pPr>
    </w:p>
    <w:p w:rsidR="004F7425" w:rsidRDefault="004F7425" w:rsidP="004F7425">
      <w:pPr>
        <w:widowControl w:val="0"/>
        <w:autoSpaceDE w:val="0"/>
        <w:autoSpaceDN w:val="0"/>
        <w:adjustRightInd w:val="0"/>
        <w:spacing w:before="38"/>
        <w:ind w:left="652" w:right="-66"/>
        <w:rPr>
          <w:color w:val="000000"/>
          <w:sz w:val="17"/>
          <w:szCs w:val="17"/>
        </w:rPr>
      </w:pPr>
      <w:r>
        <w:rPr>
          <w:b/>
          <w:bCs/>
          <w:color w:val="000000"/>
          <w:spacing w:val="1"/>
          <w:sz w:val="17"/>
          <w:szCs w:val="17"/>
        </w:rPr>
        <w:lastRenderedPageBreak/>
        <w:t>100000</w:t>
      </w:r>
    </w:p>
    <w:p w:rsidR="004F7425" w:rsidRDefault="004F7425" w:rsidP="004F7425">
      <w:pPr>
        <w:widowControl w:val="0"/>
        <w:autoSpaceDE w:val="0"/>
        <w:autoSpaceDN w:val="0"/>
        <w:adjustRightInd w:val="0"/>
        <w:spacing w:before="37"/>
        <w:ind w:left="739" w:right="-66"/>
        <w:rPr>
          <w:color w:val="000000"/>
          <w:sz w:val="17"/>
          <w:szCs w:val="17"/>
        </w:rPr>
      </w:pPr>
      <w:r>
        <w:rPr>
          <w:noProof/>
          <w:lang w:eastAsia="lt-LT"/>
        </w:rPr>
        <mc:AlternateContent>
          <mc:Choice Requires="wps">
            <w:drawing>
              <wp:anchor distT="0" distB="0" distL="114300" distR="114300" simplePos="0" relativeHeight="251740160" behindDoc="1" locked="0" layoutInCell="0" allowOverlap="1">
                <wp:simplePos x="0" y="0"/>
                <wp:positionH relativeFrom="page">
                  <wp:posOffset>1217295</wp:posOffset>
                </wp:positionH>
                <wp:positionV relativeFrom="paragraph">
                  <wp:posOffset>19050</wp:posOffset>
                </wp:positionV>
                <wp:extent cx="133350" cy="1283335"/>
                <wp:effectExtent l="0" t="0" r="0" b="12065"/>
                <wp:wrapNone/>
                <wp:docPr id="357" name="Teksto laukas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1283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widowControl w:val="0"/>
                              <w:autoSpaceDE w:val="0"/>
                              <w:autoSpaceDN w:val="0"/>
                              <w:adjustRightInd w:val="0"/>
                              <w:spacing w:line="194" w:lineRule="exact"/>
                              <w:ind w:left="20" w:right="-46"/>
                              <w:rPr>
                                <w:sz w:val="17"/>
                                <w:szCs w:val="17"/>
                              </w:rPr>
                            </w:pPr>
                            <w:r>
                              <w:rPr>
                                <w:b/>
                                <w:bCs/>
                                <w:spacing w:val="-1"/>
                                <w:sz w:val="17"/>
                                <w:szCs w:val="17"/>
                              </w:rPr>
                              <w:t>V</w:t>
                            </w:r>
                            <w:r>
                              <w:rPr>
                                <w:b/>
                                <w:bCs/>
                                <w:spacing w:val="1"/>
                                <w:sz w:val="17"/>
                                <w:szCs w:val="17"/>
                              </w:rPr>
                              <w:t>iso</w:t>
                            </w:r>
                            <w:r>
                              <w:rPr>
                                <w:b/>
                                <w:bCs/>
                                <w:sz w:val="17"/>
                                <w:szCs w:val="17"/>
                              </w:rPr>
                              <w:t>s</w:t>
                            </w:r>
                            <w:r>
                              <w:rPr>
                                <w:b/>
                                <w:bCs/>
                                <w:spacing w:val="1"/>
                                <w:sz w:val="17"/>
                                <w:szCs w:val="17"/>
                              </w:rPr>
                              <w:t xml:space="preserve"> nusikalsta</w:t>
                            </w:r>
                            <w:r>
                              <w:rPr>
                                <w:b/>
                                <w:bCs/>
                                <w:sz w:val="17"/>
                                <w:szCs w:val="17"/>
                              </w:rPr>
                              <w:t>m</w:t>
                            </w:r>
                            <w:r>
                              <w:rPr>
                                <w:b/>
                                <w:bCs/>
                                <w:spacing w:val="1"/>
                                <w:sz w:val="17"/>
                                <w:szCs w:val="17"/>
                              </w:rPr>
                              <w:t>o</w:t>
                            </w:r>
                            <w:r>
                              <w:rPr>
                                <w:b/>
                                <w:bCs/>
                                <w:sz w:val="17"/>
                                <w:szCs w:val="17"/>
                              </w:rPr>
                              <w:t>s</w:t>
                            </w:r>
                            <w:r>
                              <w:rPr>
                                <w:b/>
                                <w:bCs/>
                                <w:spacing w:val="1"/>
                                <w:sz w:val="17"/>
                                <w:szCs w:val="17"/>
                              </w:rPr>
                              <w:t xml:space="preserve"> veiko</w:t>
                            </w:r>
                            <w:r>
                              <w:rPr>
                                <w:b/>
                                <w:bCs/>
                                <w:sz w:val="17"/>
                                <w:szCs w:val="17"/>
                              </w:rPr>
                              <w: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357" o:spid="_x0000_s1049" type="#_x0000_t202" style="position:absolute;left:0;text-align:left;margin-left:95.85pt;margin-top:1.5pt;width:10.5pt;height:101.0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" o:allowincell="f" filled="f" stroked="f">
                <v:textbox style="layout-flow:vertical;mso-layout-flow-alt:bottom-to-top" inset="0,0,0,0">
                  <w:txbxContent>
                    <w:p w:rsidR="004F7425" w:rsidRDefault="004F7425" w:rsidP="004F7425">
                      <w:pPr>
                        <w:widowControl w:val="0"/>
                        <w:autoSpaceDE w:val="0"/>
                        <w:autoSpaceDN w:val="0"/>
                        <w:adjustRightInd w:val="0"/>
                        <w:spacing w:line="194" w:lineRule="exact"/>
                        <w:ind w:left="20" w:right="-46"/>
                        <w:rPr>
                          <w:sz w:val="17"/>
                          <w:szCs w:val="17"/>
                        </w:rPr>
                      </w:pPr>
                      <w:r>
                        <w:rPr>
                          <w:b/>
                          <w:bCs/>
                          <w:spacing w:val="-1"/>
                          <w:sz w:val="17"/>
                          <w:szCs w:val="17"/>
                        </w:rPr>
                        <w:t>V</w:t>
                      </w:r>
                      <w:r>
                        <w:rPr>
                          <w:b/>
                          <w:bCs/>
                          <w:spacing w:val="1"/>
                          <w:sz w:val="17"/>
                          <w:szCs w:val="17"/>
                        </w:rPr>
                        <w:t>iso</w:t>
                      </w:r>
                      <w:r>
                        <w:rPr>
                          <w:b/>
                          <w:bCs/>
                          <w:sz w:val="17"/>
                          <w:szCs w:val="17"/>
                        </w:rPr>
                        <w:t>s</w:t>
                      </w:r>
                      <w:r>
                        <w:rPr>
                          <w:b/>
                          <w:bCs/>
                          <w:spacing w:val="1"/>
                          <w:sz w:val="17"/>
                          <w:szCs w:val="17"/>
                        </w:rPr>
                        <w:t xml:space="preserve"> nusikalsta</w:t>
                      </w:r>
                      <w:r>
                        <w:rPr>
                          <w:b/>
                          <w:bCs/>
                          <w:sz w:val="17"/>
                          <w:szCs w:val="17"/>
                        </w:rPr>
                        <w:t>m</w:t>
                      </w:r>
                      <w:r>
                        <w:rPr>
                          <w:b/>
                          <w:bCs/>
                          <w:spacing w:val="1"/>
                          <w:sz w:val="17"/>
                          <w:szCs w:val="17"/>
                        </w:rPr>
                        <w:t>o</w:t>
                      </w:r>
                      <w:r>
                        <w:rPr>
                          <w:b/>
                          <w:bCs/>
                          <w:sz w:val="17"/>
                          <w:szCs w:val="17"/>
                        </w:rPr>
                        <w:t>s</w:t>
                      </w:r>
                      <w:r>
                        <w:rPr>
                          <w:b/>
                          <w:bCs/>
                          <w:spacing w:val="1"/>
                          <w:sz w:val="17"/>
                          <w:szCs w:val="17"/>
                        </w:rPr>
                        <w:t xml:space="preserve"> veiko</w:t>
                      </w:r>
                      <w:r>
                        <w:rPr>
                          <w:b/>
                          <w:bCs/>
                          <w:sz w:val="17"/>
                          <w:szCs w:val="17"/>
                        </w:rPr>
                        <w:t>s</w:t>
                      </w:r>
                    </w:p>
                  </w:txbxContent>
                </v:textbox>
                <w10:wrap anchorx="page"/>
              </v:shape>
            </w:pict>
          </mc:Fallback>
        </mc:AlternateContent>
      </w:r>
      <w:r>
        <w:rPr>
          <w:b/>
          <w:bCs/>
          <w:color w:val="000000"/>
          <w:spacing w:val="1"/>
          <w:sz w:val="17"/>
          <w:szCs w:val="17"/>
        </w:rPr>
        <w:t>90000</w:t>
      </w:r>
    </w:p>
    <w:p w:rsidR="004F7425" w:rsidRDefault="004F7425" w:rsidP="004F7425">
      <w:pPr>
        <w:widowControl w:val="0"/>
        <w:autoSpaceDE w:val="0"/>
        <w:autoSpaceDN w:val="0"/>
        <w:adjustRightInd w:val="0"/>
        <w:spacing w:before="35"/>
        <w:ind w:left="739" w:right="-66"/>
        <w:rPr>
          <w:color w:val="000000"/>
          <w:sz w:val="17"/>
          <w:szCs w:val="17"/>
        </w:rPr>
      </w:pPr>
      <w:r>
        <w:rPr>
          <w:b/>
          <w:bCs/>
          <w:color w:val="000000"/>
          <w:spacing w:val="1"/>
          <w:sz w:val="17"/>
          <w:szCs w:val="17"/>
        </w:rPr>
        <w:t>80000</w:t>
      </w:r>
    </w:p>
    <w:p w:rsidR="004F7425" w:rsidRDefault="004F7425" w:rsidP="004F7425">
      <w:pPr>
        <w:widowControl w:val="0"/>
        <w:autoSpaceDE w:val="0"/>
        <w:autoSpaceDN w:val="0"/>
        <w:adjustRightInd w:val="0"/>
        <w:spacing w:before="38"/>
        <w:ind w:left="739" w:right="-66"/>
        <w:rPr>
          <w:color w:val="000000"/>
          <w:sz w:val="17"/>
          <w:szCs w:val="17"/>
        </w:rPr>
      </w:pPr>
      <w:r>
        <w:rPr>
          <w:b/>
          <w:bCs/>
          <w:color w:val="000000"/>
          <w:spacing w:val="1"/>
          <w:sz w:val="17"/>
          <w:szCs w:val="17"/>
        </w:rPr>
        <w:t>70000</w:t>
      </w:r>
    </w:p>
    <w:p w:rsidR="004F7425" w:rsidRDefault="004F7425" w:rsidP="004F7425">
      <w:pPr>
        <w:widowControl w:val="0"/>
        <w:autoSpaceDE w:val="0"/>
        <w:autoSpaceDN w:val="0"/>
        <w:adjustRightInd w:val="0"/>
        <w:spacing w:before="35"/>
        <w:ind w:left="739" w:right="-66"/>
        <w:rPr>
          <w:color w:val="000000"/>
          <w:sz w:val="17"/>
          <w:szCs w:val="17"/>
        </w:rPr>
      </w:pPr>
      <w:r>
        <w:rPr>
          <w:b/>
          <w:bCs/>
          <w:color w:val="000000"/>
          <w:spacing w:val="1"/>
          <w:sz w:val="17"/>
          <w:szCs w:val="17"/>
        </w:rPr>
        <w:t>60000</w:t>
      </w:r>
    </w:p>
    <w:p w:rsidR="004F7425" w:rsidRDefault="004F7425" w:rsidP="004F7425">
      <w:pPr>
        <w:widowControl w:val="0"/>
        <w:autoSpaceDE w:val="0"/>
        <w:autoSpaceDN w:val="0"/>
        <w:adjustRightInd w:val="0"/>
        <w:spacing w:before="37"/>
        <w:ind w:left="739" w:right="-66"/>
        <w:rPr>
          <w:color w:val="000000"/>
          <w:sz w:val="17"/>
          <w:szCs w:val="17"/>
        </w:rPr>
      </w:pPr>
      <w:r>
        <w:rPr>
          <w:b/>
          <w:bCs/>
          <w:color w:val="000000"/>
          <w:spacing w:val="1"/>
          <w:sz w:val="17"/>
          <w:szCs w:val="17"/>
        </w:rPr>
        <w:t>50000</w:t>
      </w:r>
    </w:p>
    <w:p w:rsidR="004F7425" w:rsidRDefault="004F7425" w:rsidP="004F7425">
      <w:pPr>
        <w:widowControl w:val="0"/>
        <w:autoSpaceDE w:val="0"/>
        <w:autoSpaceDN w:val="0"/>
        <w:adjustRightInd w:val="0"/>
        <w:spacing w:before="35"/>
        <w:ind w:left="739" w:right="-66"/>
        <w:rPr>
          <w:color w:val="000000"/>
          <w:sz w:val="17"/>
          <w:szCs w:val="17"/>
        </w:rPr>
      </w:pPr>
      <w:r>
        <w:rPr>
          <w:b/>
          <w:bCs/>
          <w:color w:val="000000"/>
          <w:spacing w:val="1"/>
          <w:sz w:val="17"/>
          <w:szCs w:val="17"/>
        </w:rPr>
        <w:t>40000</w:t>
      </w:r>
    </w:p>
    <w:p w:rsidR="004F7425" w:rsidRDefault="004F7425" w:rsidP="004F7425">
      <w:pPr>
        <w:widowControl w:val="0"/>
        <w:autoSpaceDE w:val="0"/>
        <w:autoSpaceDN w:val="0"/>
        <w:adjustRightInd w:val="0"/>
        <w:spacing w:before="38"/>
        <w:ind w:left="739" w:right="-66"/>
        <w:rPr>
          <w:color w:val="000000"/>
          <w:sz w:val="17"/>
          <w:szCs w:val="17"/>
        </w:rPr>
      </w:pPr>
      <w:r>
        <w:rPr>
          <w:b/>
          <w:bCs/>
          <w:color w:val="000000"/>
          <w:spacing w:val="1"/>
          <w:sz w:val="17"/>
          <w:szCs w:val="17"/>
        </w:rPr>
        <w:t>30000</w:t>
      </w:r>
    </w:p>
    <w:p w:rsidR="004F7425" w:rsidRDefault="004F7425" w:rsidP="004F7425">
      <w:pPr>
        <w:widowControl w:val="0"/>
        <w:autoSpaceDE w:val="0"/>
        <w:autoSpaceDN w:val="0"/>
        <w:adjustRightInd w:val="0"/>
        <w:spacing w:before="35"/>
        <w:ind w:left="739" w:right="-66"/>
        <w:rPr>
          <w:color w:val="000000"/>
          <w:sz w:val="17"/>
          <w:szCs w:val="17"/>
        </w:rPr>
      </w:pPr>
      <w:r>
        <w:rPr>
          <w:b/>
          <w:bCs/>
          <w:color w:val="000000"/>
          <w:spacing w:val="1"/>
          <w:sz w:val="17"/>
          <w:szCs w:val="17"/>
        </w:rPr>
        <w:t>20000</w:t>
      </w:r>
    </w:p>
    <w:p w:rsidR="004F7425" w:rsidRDefault="004F7425" w:rsidP="004F7425">
      <w:pPr>
        <w:widowControl w:val="0"/>
        <w:autoSpaceDE w:val="0"/>
        <w:autoSpaceDN w:val="0"/>
        <w:adjustRightInd w:val="0"/>
        <w:spacing w:before="37"/>
        <w:ind w:left="739" w:right="-66"/>
        <w:rPr>
          <w:color w:val="000000"/>
          <w:sz w:val="17"/>
          <w:szCs w:val="17"/>
        </w:rPr>
      </w:pPr>
      <w:r>
        <w:rPr>
          <w:b/>
          <w:bCs/>
          <w:color w:val="000000"/>
          <w:spacing w:val="1"/>
          <w:sz w:val="17"/>
          <w:szCs w:val="17"/>
        </w:rPr>
        <w:t>10000</w:t>
      </w:r>
    </w:p>
    <w:p w:rsidR="004F7425" w:rsidRDefault="004F7425" w:rsidP="004F7425">
      <w:pPr>
        <w:widowControl w:val="0"/>
        <w:autoSpaceDE w:val="0"/>
        <w:autoSpaceDN w:val="0"/>
        <w:adjustRightInd w:val="0"/>
        <w:spacing w:before="35" w:line="192" w:lineRule="exact"/>
        <w:ind w:right="-19"/>
        <w:jc w:val="right"/>
        <w:rPr>
          <w:color w:val="000000"/>
          <w:sz w:val="17"/>
          <w:szCs w:val="17"/>
        </w:rPr>
      </w:pPr>
      <w:r>
        <w:rPr>
          <w:b/>
          <w:bCs/>
          <w:color w:val="000000"/>
          <w:position w:val="-1"/>
          <w:sz w:val="17"/>
          <w:szCs w:val="17"/>
        </w:rPr>
        <w:t>0</w:t>
      </w:r>
    </w:p>
    <w:p w:rsidR="004F7425" w:rsidRDefault="004F7425" w:rsidP="004F7425">
      <w:pPr>
        <w:widowControl w:val="0"/>
        <w:autoSpaceDE w:val="0"/>
        <w:autoSpaceDN w:val="0"/>
        <w:adjustRightInd w:val="0"/>
        <w:spacing w:before="38"/>
        <w:ind w:right="-20"/>
        <w:rPr>
          <w:color w:val="000000"/>
          <w:sz w:val="17"/>
          <w:szCs w:val="17"/>
        </w:rPr>
      </w:pPr>
      <w:r>
        <w:rPr>
          <w:color w:val="000000"/>
          <w:sz w:val="17"/>
          <w:szCs w:val="17"/>
        </w:rPr>
        <w:br w:type="column"/>
      </w:r>
      <w:r>
        <w:rPr>
          <w:b/>
          <w:bCs/>
          <w:color w:val="000000"/>
          <w:spacing w:val="1"/>
          <w:sz w:val="17"/>
          <w:szCs w:val="17"/>
        </w:rPr>
        <w:lastRenderedPageBreak/>
        <w:t>3000</w:t>
      </w:r>
    </w:p>
    <w:p w:rsidR="004F7425" w:rsidRDefault="004F7425" w:rsidP="004F7425">
      <w:pPr>
        <w:widowControl w:val="0"/>
        <w:autoSpaceDE w:val="0"/>
        <w:autoSpaceDN w:val="0"/>
        <w:adjustRightInd w:val="0"/>
        <w:spacing w:before="2" w:line="190" w:lineRule="exact"/>
        <w:rPr>
          <w:color w:val="000000"/>
          <w:sz w:val="19"/>
          <w:szCs w:val="19"/>
        </w:rPr>
      </w:pPr>
    </w:p>
    <w:p w:rsidR="004F7425" w:rsidRDefault="004F7425" w:rsidP="004F7425">
      <w:pPr>
        <w:widowControl w:val="0"/>
        <w:autoSpaceDE w:val="0"/>
        <w:autoSpaceDN w:val="0"/>
        <w:adjustRightInd w:val="0"/>
        <w:ind w:right="-20"/>
        <w:rPr>
          <w:color w:val="000000"/>
          <w:sz w:val="17"/>
          <w:szCs w:val="17"/>
        </w:rPr>
      </w:pPr>
      <w:r>
        <w:rPr>
          <w:noProof/>
          <w:lang w:eastAsia="lt-LT"/>
        </w:rPr>
        <mc:AlternateContent>
          <mc:Choice Requires="wpg">
            <w:drawing>
              <wp:anchor distT="0" distB="0" distL="114300" distR="114300" simplePos="0" relativeHeight="251738112" behindDoc="1" locked="0" layoutInCell="0" allowOverlap="1">
                <wp:simplePos x="0" y="0"/>
                <wp:positionH relativeFrom="page">
                  <wp:posOffset>1787525</wp:posOffset>
                </wp:positionH>
                <wp:positionV relativeFrom="paragraph">
                  <wp:posOffset>-184150</wp:posOffset>
                </wp:positionV>
                <wp:extent cx="4584700" cy="1518920"/>
                <wp:effectExtent l="0" t="0" r="6350" b="5080"/>
                <wp:wrapNone/>
                <wp:docPr id="302" name="Grupė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4700" cy="1518920"/>
                          <a:chOff x="2815" y="-290"/>
                          <a:chExt cx="7220" cy="2392"/>
                        </a:xfrm>
                      </wpg:grpSpPr>
                      <wps:wsp>
                        <wps:cNvPr id="303" name="Rectangle 44"/>
                        <wps:cNvSpPr>
                          <a:spLocks/>
                        </wps:cNvSpPr>
                        <wps:spPr bwMode="auto">
                          <a:xfrm>
                            <a:off x="2878" y="-281"/>
                            <a:ext cx="7094" cy="2320"/>
                          </a:xfrm>
                          <a:prstGeom prst="rect">
                            <a:avLst/>
                          </a:prstGeom>
                          <a:noFill/>
                          <a:ln w="1221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4" name="Rectangle 45"/>
                        <wps:cNvSpPr>
                          <a:spLocks/>
                        </wps:cNvSpPr>
                        <wps:spPr bwMode="auto">
                          <a:xfrm>
                            <a:off x="3014" y="353"/>
                            <a:ext cx="146" cy="1686"/>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 name="Freeform 46"/>
                        <wps:cNvSpPr>
                          <a:spLocks/>
                        </wps:cNvSpPr>
                        <wps:spPr bwMode="auto">
                          <a:xfrm>
                            <a:off x="2875" y="353"/>
                            <a:ext cx="147" cy="1686"/>
                          </a:xfrm>
                          <a:custGeom>
                            <a:avLst/>
                            <a:gdLst>
                              <a:gd name="T0" fmla="*/ 139 w 147"/>
                              <a:gd name="T1" fmla="*/ 1686 h 1686"/>
                              <a:gd name="T2" fmla="*/ 285 w 147"/>
                              <a:gd name="T3" fmla="*/ 1686 h 1686"/>
                              <a:gd name="T4" fmla="*/ 285 w 147"/>
                              <a:gd name="T5" fmla="*/ 0 h 1686"/>
                              <a:gd name="T6" fmla="*/ 139 w 147"/>
                              <a:gd name="T7" fmla="*/ 0 h 1686"/>
                            </a:gdLst>
                            <a:ahLst/>
                            <a:cxnLst>
                              <a:cxn ang="0">
                                <a:pos x="T0" y="T1"/>
                              </a:cxn>
                              <a:cxn ang="0">
                                <a:pos x="T2" y="T3"/>
                              </a:cxn>
                              <a:cxn ang="0">
                                <a:pos x="T4" y="T5"/>
                              </a:cxn>
                              <a:cxn ang="0">
                                <a:pos x="T6" y="T7"/>
                              </a:cxn>
                            </a:cxnLst>
                            <a:rect l="0" t="0" r="r" b="b"/>
                            <a:pathLst>
                              <a:path w="147" h="1686">
                                <a:moveTo>
                                  <a:pt x="139" y="1686"/>
                                </a:moveTo>
                                <a:lnTo>
                                  <a:pt x="285" y="1686"/>
                                </a:lnTo>
                                <a:lnTo>
                                  <a:pt x="285" y="0"/>
                                </a:lnTo>
                                <a:lnTo>
                                  <a:pt x="13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Rectangle 47"/>
                        <wps:cNvSpPr>
                          <a:spLocks/>
                        </wps:cNvSpPr>
                        <wps:spPr bwMode="auto">
                          <a:xfrm>
                            <a:off x="3447" y="62"/>
                            <a:ext cx="283" cy="1976"/>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 name="Rectangle 48"/>
                        <wps:cNvSpPr>
                          <a:spLocks/>
                        </wps:cNvSpPr>
                        <wps:spPr bwMode="auto">
                          <a:xfrm>
                            <a:off x="3447" y="62"/>
                            <a:ext cx="283" cy="1976"/>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Rectangle 49"/>
                        <wps:cNvSpPr>
                          <a:spLocks/>
                        </wps:cNvSpPr>
                        <wps:spPr bwMode="auto">
                          <a:xfrm>
                            <a:off x="4155" y="-127"/>
                            <a:ext cx="286" cy="2166"/>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50"/>
                        <wps:cNvSpPr>
                          <a:spLocks/>
                        </wps:cNvSpPr>
                        <wps:spPr bwMode="auto">
                          <a:xfrm>
                            <a:off x="4155" y="-127"/>
                            <a:ext cx="286" cy="2166"/>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Rectangle 51"/>
                        <wps:cNvSpPr>
                          <a:spLocks/>
                        </wps:cNvSpPr>
                        <wps:spPr bwMode="auto">
                          <a:xfrm>
                            <a:off x="4866" y="-45"/>
                            <a:ext cx="283" cy="2085"/>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52"/>
                        <wps:cNvSpPr>
                          <a:spLocks/>
                        </wps:cNvSpPr>
                        <wps:spPr bwMode="auto">
                          <a:xfrm>
                            <a:off x="4866" y="-45"/>
                            <a:ext cx="283" cy="2085"/>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Rectangle 53"/>
                        <wps:cNvSpPr>
                          <a:spLocks/>
                        </wps:cNvSpPr>
                        <wps:spPr bwMode="auto">
                          <a:xfrm>
                            <a:off x="5574" y="132"/>
                            <a:ext cx="285" cy="1907"/>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54"/>
                        <wps:cNvSpPr>
                          <a:spLocks/>
                        </wps:cNvSpPr>
                        <wps:spPr bwMode="auto">
                          <a:xfrm>
                            <a:off x="5574" y="132"/>
                            <a:ext cx="285" cy="1907"/>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Rectangle 55"/>
                        <wps:cNvSpPr>
                          <a:spLocks/>
                        </wps:cNvSpPr>
                        <wps:spPr bwMode="auto">
                          <a:xfrm>
                            <a:off x="6285" y="327"/>
                            <a:ext cx="283" cy="171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56"/>
                        <wps:cNvSpPr>
                          <a:spLocks/>
                        </wps:cNvSpPr>
                        <wps:spPr bwMode="auto">
                          <a:xfrm>
                            <a:off x="6285" y="327"/>
                            <a:ext cx="283" cy="1712"/>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Rectangle 57"/>
                        <wps:cNvSpPr>
                          <a:spLocks/>
                        </wps:cNvSpPr>
                        <wps:spPr bwMode="auto">
                          <a:xfrm>
                            <a:off x="6993" y="226"/>
                            <a:ext cx="285" cy="181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58"/>
                        <wps:cNvSpPr>
                          <a:spLocks/>
                        </wps:cNvSpPr>
                        <wps:spPr bwMode="auto">
                          <a:xfrm>
                            <a:off x="6993" y="226"/>
                            <a:ext cx="285" cy="1813"/>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Rectangle 59"/>
                        <wps:cNvSpPr>
                          <a:spLocks/>
                        </wps:cNvSpPr>
                        <wps:spPr bwMode="auto">
                          <a:xfrm>
                            <a:off x="7703" y="108"/>
                            <a:ext cx="283" cy="1931"/>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Rectangle 60"/>
                        <wps:cNvSpPr>
                          <a:spLocks/>
                        </wps:cNvSpPr>
                        <wps:spPr bwMode="auto">
                          <a:xfrm>
                            <a:off x="7703" y="108"/>
                            <a:ext cx="283" cy="1931"/>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 name="Rectangle 61"/>
                        <wps:cNvSpPr>
                          <a:spLocks/>
                        </wps:cNvSpPr>
                        <wps:spPr bwMode="auto">
                          <a:xfrm>
                            <a:off x="8412" y="235"/>
                            <a:ext cx="285" cy="1803"/>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 name="Rectangle 62"/>
                        <wps:cNvSpPr>
                          <a:spLocks/>
                        </wps:cNvSpPr>
                        <wps:spPr bwMode="auto">
                          <a:xfrm>
                            <a:off x="8412" y="235"/>
                            <a:ext cx="285" cy="1803"/>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Rectangle 63"/>
                        <wps:cNvSpPr>
                          <a:spLocks/>
                        </wps:cNvSpPr>
                        <wps:spPr bwMode="auto">
                          <a:xfrm>
                            <a:off x="9122" y="194"/>
                            <a:ext cx="283" cy="1844"/>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Rectangle 64"/>
                        <wps:cNvSpPr>
                          <a:spLocks/>
                        </wps:cNvSpPr>
                        <wps:spPr bwMode="auto">
                          <a:xfrm>
                            <a:off x="9122" y="194"/>
                            <a:ext cx="283" cy="1844"/>
                          </a:xfrm>
                          <a:prstGeom prst="rect">
                            <a:avLst/>
                          </a:prstGeom>
                          <a:noFill/>
                          <a:ln w="1219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Rectangle 65"/>
                        <wps:cNvSpPr>
                          <a:spLocks/>
                        </wps:cNvSpPr>
                        <wps:spPr bwMode="auto">
                          <a:xfrm>
                            <a:off x="9831" y="137"/>
                            <a:ext cx="144" cy="1902"/>
                          </a:xfrm>
                          <a:prstGeom prst="rect">
                            <a:avLst/>
                          </a:prstGeom>
                          <a:solidFill>
                            <a:srgbClr val="FF66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325" name="Group 66"/>
                        <wpg:cNvGrpSpPr>
                          <a:grpSpLocks/>
                        </wpg:cNvGrpSpPr>
                        <wpg:grpSpPr bwMode="auto">
                          <a:xfrm>
                            <a:off x="9831" y="137"/>
                            <a:ext cx="144" cy="1902"/>
                            <a:chOff x="9831" y="137"/>
                            <a:chExt cx="144" cy="1902"/>
                          </a:xfrm>
                        </wpg:grpSpPr>
                        <wps:wsp>
                          <wps:cNvPr id="326" name="Freeform 67"/>
                          <wps:cNvSpPr>
                            <a:spLocks/>
                          </wps:cNvSpPr>
                          <wps:spPr bwMode="auto">
                            <a:xfrm>
                              <a:off x="9831" y="137"/>
                              <a:ext cx="144" cy="1902"/>
                            </a:xfrm>
                            <a:custGeom>
                              <a:avLst/>
                              <a:gdLst>
                                <a:gd name="T0" fmla="*/ 0 w 144"/>
                                <a:gd name="T1" fmla="*/ 1902 h 1902"/>
                                <a:gd name="T2" fmla="*/ 144 w 144"/>
                                <a:gd name="T3" fmla="*/ 1902 h 1902"/>
                              </a:gdLst>
                              <a:ahLst/>
                              <a:cxnLst>
                                <a:cxn ang="0">
                                  <a:pos x="T0" y="T1"/>
                                </a:cxn>
                                <a:cxn ang="0">
                                  <a:pos x="T2" y="T3"/>
                                </a:cxn>
                              </a:cxnLst>
                              <a:rect l="0" t="0" r="r" b="b"/>
                              <a:pathLst>
                                <a:path w="144" h="1902">
                                  <a:moveTo>
                                    <a:pt x="0" y="1902"/>
                                  </a:moveTo>
                                  <a:lnTo>
                                    <a:pt x="144" y="1902"/>
                                  </a:lnTo>
                                </a:path>
                              </a:pathLst>
                            </a:custGeom>
                            <a:noFill/>
                            <a:ln w="122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Freeform 68"/>
                          <wps:cNvSpPr>
                            <a:spLocks/>
                          </wps:cNvSpPr>
                          <wps:spPr bwMode="auto">
                            <a:xfrm>
                              <a:off x="9831" y="137"/>
                              <a:ext cx="144" cy="1902"/>
                            </a:xfrm>
                            <a:custGeom>
                              <a:avLst/>
                              <a:gdLst>
                                <a:gd name="T0" fmla="*/ 144 w 144"/>
                                <a:gd name="T1" fmla="*/ 0 h 1902"/>
                                <a:gd name="T2" fmla="*/ 0 w 144"/>
                                <a:gd name="T3" fmla="*/ 0 h 1902"/>
                                <a:gd name="T4" fmla="*/ 0 w 144"/>
                                <a:gd name="T5" fmla="*/ 1902 h 1902"/>
                              </a:gdLst>
                              <a:ahLst/>
                              <a:cxnLst>
                                <a:cxn ang="0">
                                  <a:pos x="T0" y="T1"/>
                                </a:cxn>
                                <a:cxn ang="0">
                                  <a:pos x="T2" y="T3"/>
                                </a:cxn>
                                <a:cxn ang="0">
                                  <a:pos x="T4" y="T5"/>
                                </a:cxn>
                              </a:cxnLst>
                              <a:rect l="0" t="0" r="r" b="b"/>
                              <a:pathLst>
                                <a:path w="144" h="1902">
                                  <a:moveTo>
                                    <a:pt x="144" y="0"/>
                                  </a:moveTo>
                                  <a:lnTo>
                                    <a:pt x="0" y="0"/>
                                  </a:lnTo>
                                  <a:lnTo>
                                    <a:pt x="0" y="1902"/>
                                  </a:lnTo>
                                </a:path>
                              </a:pathLst>
                            </a:custGeom>
                            <a:noFill/>
                            <a:ln w="1220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28" name="Freeform 69"/>
                        <wps:cNvSpPr>
                          <a:spLocks/>
                        </wps:cNvSpPr>
                        <wps:spPr bwMode="auto">
                          <a:xfrm>
                            <a:off x="2878" y="-281"/>
                            <a:ext cx="20" cy="2373"/>
                          </a:xfrm>
                          <a:custGeom>
                            <a:avLst/>
                            <a:gdLst>
                              <a:gd name="T0" fmla="*/ 0 w 20"/>
                              <a:gd name="T1" fmla="*/ 0 h 2373"/>
                              <a:gd name="T2" fmla="*/ 0 w 20"/>
                              <a:gd name="T3" fmla="*/ 2373 h 2373"/>
                            </a:gdLst>
                            <a:ahLst/>
                            <a:cxnLst>
                              <a:cxn ang="0">
                                <a:pos x="T0" y="T1"/>
                              </a:cxn>
                              <a:cxn ang="0">
                                <a:pos x="T2" y="T3"/>
                              </a:cxn>
                            </a:cxnLst>
                            <a:rect l="0" t="0" r="r" b="b"/>
                            <a:pathLst>
                              <a:path w="20" h="2373">
                                <a:moveTo>
                                  <a:pt x="0" y="0"/>
                                </a:moveTo>
                                <a:lnTo>
                                  <a:pt x="0" y="2373"/>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Freeform 70"/>
                        <wps:cNvSpPr>
                          <a:spLocks/>
                        </wps:cNvSpPr>
                        <wps:spPr bwMode="auto">
                          <a:xfrm>
                            <a:off x="2825" y="2039"/>
                            <a:ext cx="7200" cy="20"/>
                          </a:xfrm>
                          <a:custGeom>
                            <a:avLst/>
                            <a:gdLst>
                              <a:gd name="T0" fmla="*/ 0 w 7200"/>
                              <a:gd name="T1" fmla="*/ 0 h 20"/>
                              <a:gd name="T2" fmla="*/ 7200 w 7200"/>
                              <a:gd name="T3" fmla="*/ 0 h 20"/>
                            </a:gdLst>
                            <a:ahLst/>
                            <a:cxnLst>
                              <a:cxn ang="0">
                                <a:pos x="T0" y="T1"/>
                              </a:cxn>
                              <a:cxn ang="0">
                                <a:pos x="T2" y="T3"/>
                              </a:cxn>
                            </a:cxnLst>
                            <a:rect l="0" t="0" r="r" b="b"/>
                            <a:pathLst>
                              <a:path w="7200" h="20">
                                <a:moveTo>
                                  <a:pt x="0" y="0"/>
                                </a:moveTo>
                                <a:lnTo>
                                  <a:pt x="7200"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 name="Freeform 71"/>
                        <wps:cNvSpPr>
                          <a:spLocks/>
                        </wps:cNvSpPr>
                        <wps:spPr bwMode="auto">
                          <a:xfrm>
                            <a:off x="2825" y="1808"/>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 name="Freeform 72"/>
                        <wps:cNvSpPr>
                          <a:spLocks/>
                        </wps:cNvSpPr>
                        <wps:spPr bwMode="auto">
                          <a:xfrm>
                            <a:off x="2825" y="1575"/>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73"/>
                        <wps:cNvSpPr>
                          <a:spLocks/>
                        </wps:cNvSpPr>
                        <wps:spPr bwMode="auto">
                          <a:xfrm>
                            <a:off x="2825" y="1344"/>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Freeform 74"/>
                        <wps:cNvSpPr>
                          <a:spLocks/>
                        </wps:cNvSpPr>
                        <wps:spPr bwMode="auto">
                          <a:xfrm>
                            <a:off x="2825" y="1111"/>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Freeform 75"/>
                        <wps:cNvSpPr>
                          <a:spLocks/>
                        </wps:cNvSpPr>
                        <wps:spPr bwMode="auto">
                          <a:xfrm>
                            <a:off x="2825" y="880"/>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Freeform 76"/>
                        <wps:cNvSpPr>
                          <a:spLocks/>
                        </wps:cNvSpPr>
                        <wps:spPr bwMode="auto">
                          <a:xfrm>
                            <a:off x="2825" y="647"/>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Freeform 77"/>
                        <wps:cNvSpPr>
                          <a:spLocks/>
                        </wps:cNvSpPr>
                        <wps:spPr bwMode="auto">
                          <a:xfrm>
                            <a:off x="2825" y="415"/>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Freeform 78"/>
                        <wps:cNvSpPr>
                          <a:spLocks/>
                        </wps:cNvSpPr>
                        <wps:spPr bwMode="auto">
                          <a:xfrm>
                            <a:off x="2825" y="182"/>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Freeform 79"/>
                        <wps:cNvSpPr>
                          <a:spLocks/>
                        </wps:cNvSpPr>
                        <wps:spPr bwMode="auto">
                          <a:xfrm>
                            <a:off x="2825" y="-48"/>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Freeform 80"/>
                        <wps:cNvSpPr>
                          <a:spLocks/>
                        </wps:cNvSpPr>
                        <wps:spPr bwMode="auto">
                          <a:xfrm>
                            <a:off x="2825" y="-281"/>
                            <a:ext cx="106" cy="20"/>
                          </a:xfrm>
                          <a:custGeom>
                            <a:avLst/>
                            <a:gdLst>
                              <a:gd name="T0" fmla="*/ 0 w 106"/>
                              <a:gd name="T1" fmla="*/ 0 h 20"/>
                              <a:gd name="T2" fmla="*/ 105 w 106"/>
                              <a:gd name="T3" fmla="*/ 0 h 20"/>
                            </a:gdLst>
                            <a:ahLst/>
                            <a:cxnLst>
                              <a:cxn ang="0">
                                <a:pos x="T0" y="T1"/>
                              </a:cxn>
                              <a:cxn ang="0">
                                <a:pos x="T2" y="T3"/>
                              </a:cxn>
                            </a:cxnLst>
                            <a:rect l="0" t="0" r="r" b="b"/>
                            <a:pathLst>
                              <a:path w="106"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Freeform 81"/>
                        <wps:cNvSpPr>
                          <a:spLocks/>
                        </wps:cNvSpPr>
                        <wps:spPr bwMode="auto">
                          <a:xfrm>
                            <a:off x="3588"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82"/>
                        <wps:cNvSpPr>
                          <a:spLocks/>
                        </wps:cNvSpPr>
                        <wps:spPr bwMode="auto">
                          <a:xfrm>
                            <a:off x="4296"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Freeform 83"/>
                        <wps:cNvSpPr>
                          <a:spLocks/>
                        </wps:cNvSpPr>
                        <wps:spPr bwMode="auto">
                          <a:xfrm>
                            <a:off x="5007"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Freeform 84"/>
                        <wps:cNvSpPr>
                          <a:spLocks/>
                        </wps:cNvSpPr>
                        <wps:spPr bwMode="auto">
                          <a:xfrm>
                            <a:off x="5715"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Freeform 85"/>
                        <wps:cNvSpPr>
                          <a:spLocks/>
                        </wps:cNvSpPr>
                        <wps:spPr bwMode="auto">
                          <a:xfrm>
                            <a:off x="6426"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Freeform 86"/>
                        <wps:cNvSpPr>
                          <a:spLocks/>
                        </wps:cNvSpPr>
                        <wps:spPr bwMode="auto">
                          <a:xfrm>
                            <a:off x="7134"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87"/>
                        <wps:cNvSpPr>
                          <a:spLocks/>
                        </wps:cNvSpPr>
                        <wps:spPr bwMode="auto">
                          <a:xfrm>
                            <a:off x="7845"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Freeform 88"/>
                        <wps:cNvSpPr>
                          <a:spLocks/>
                        </wps:cNvSpPr>
                        <wps:spPr bwMode="auto">
                          <a:xfrm>
                            <a:off x="8553"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Freeform 89"/>
                        <wps:cNvSpPr>
                          <a:spLocks/>
                        </wps:cNvSpPr>
                        <wps:spPr bwMode="auto">
                          <a:xfrm>
                            <a:off x="9264" y="1986"/>
                            <a:ext cx="20" cy="106"/>
                          </a:xfrm>
                          <a:custGeom>
                            <a:avLst/>
                            <a:gdLst>
                              <a:gd name="T0" fmla="*/ 0 w 20"/>
                              <a:gd name="T1" fmla="*/ 105 h 106"/>
                              <a:gd name="T2" fmla="*/ 0 w 20"/>
                              <a:gd name="T3" fmla="*/ 0 h 106"/>
                            </a:gdLst>
                            <a:ahLst/>
                            <a:cxnLst>
                              <a:cxn ang="0">
                                <a:pos x="T0" y="T1"/>
                              </a:cxn>
                              <a:cxn ang="0">
                                <a:pos x="T2" y="T3"/>
                              </a:cxn>
                            </a:cxnLst>
                            <a:rect l="0" t="0" r="r" b="b"/>
                            <a:pathLst>
                              <a:path w="20" h="106">
                                <a:moveTo>
                                  <a:pt x="0" y="105"/>
                                </a:moveTo>
                                <a:lnTo>
                                  <a:pt x="0"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Freeform 90"/>
                        <wps:cNvSpPr>
                          <a:spLocks/>
                        </wps:cNvSpPr>
                        <wps:spPr bwMode="auto">
                          <a:xfrm>
                            <a:off x="9972" y="-281"/>
                            <a:ext cx="20" cy="2373"/>
                          </a:xfrm>
                          <a:custGeom>
                            <a:avLst/>
                            <a:gdLst>
                              <a:gd name="T0" fmla="*/ 0 w 20"/>
                              <a:gd name="T1" fmla="*/ 0 h 2373"/>
                              <a:gd name="T2" fmla="*/ 0 w 20"/>
                              <a:gd name="T3" fmla="*/ 2373 h 2373"/>
                            </a:gdLst>
                            <a:ahLst/>
                            <a:cxnLst>
                              <a:cxn ang="0">
                                <a:pos x="T0" y="T1"/>
                              </a:cxn>
                              <a:cxn ang="0">
                                <a:pos x="T2" y="T3"/>
                              </a:cxn>
                            </a:cxnLst>
                            <a:rect l="0" t="0" r="r" b="b"/>
                            <a:pathLst>
                              <a:path w="20" h="2373">
                                <a:moveTo>
                                  <a:pt x="0" y="0"/>
                                </a:moveTo>
                                <a:lnTo>
                                  <a:pt x="0" y="2373"/>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Freeform 91"/>
                        <wps:cNvSpPr>
                          <a:spLocks/>
                        </wps:cNvSpPr>
                        <wps:spPr bwMode="auto">
                          <a:xfrm>
                            <a:off x="9920" y="1652"/>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Freeform 92"/>
                        <wps:cNvSpPr>
                          <a:spLocks/>
                        </wps:cNvSpPr>
                        <wps:spPr bwMode="auto">
                          <a:xfrm>
                            <a:off x="9920" y="1265"/>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Freeform 93"/>
                        <wps:cNvSpPr>
                          <a:spLocks/>
                        </wps:cNvSpPr>
                        <wps:spPr bwMode="auto">
                          <a:xfrm>
                            <a:off x="9920" y="880"/>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Freeform 94"/>
                        <wps:cNvSpPr>
                          <a:spLocks/>
                        </wps:cNvSpPr>
                        <wps:spPr bwMode="auto">
                          <a:xfrm>
                            <a:off x="9920" y="493"/>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95"/>
                        <wps:cNvSpPr>
                          <a:spLocks/>
                        </wps:cNvSpPr>
                        <wps:spPr bwMode="auto">
                          <a:xfrm>
                            <a:off x="9920" y="105"/>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Freeform 96"/>
                        <wps:cNvSpPr>
                          <a:spLocks/>
                        </wps:cNvSpPr>
                        <wps:spPr bwMode="auto">
                          <a:xfrm>
                            <a:off x="9920" y="-281"/>
                            <a:ext cx="105" cy="20"/>
                          </a:xfrm>
                          <a:custGeom>
                            <a:avLst/>
                            <a:gdLst>
                              <a:gd name="T0" fmla="*/ 0 w 105"/>
                              <a:gd name="T1" fmla="*/ 0 h 20"/>
                              <a:gd name="T2" fmla="*/ 105 w 105"/>
                              <a:gd name="T3" fmla="*/ 0 h 20"/>
                            </a:gdLst>
                            <a:ahLst/>
                            <a:cxnLst>
                              <a:cxn ang="0">
                                <a:pos x="T0" y="T1"/>
                              </a:cxn>
                              <a:cxn ang="0">
                                <a:pos x="T2" y="T3"/>
                              </a:cxn>
                            </a:cxnLst>
                            <a:rect l="0" t="0" r="r" b="b"/>
                            <a:pathLst>
                              <a:path w="105" h="20">
                                <a:moveTo>
                                  <a:pt x="0" y="0"/>
                                </a:moveTo>
                                <a:lnTo>
                                  <a:pt x="105" y="0"/>
                                </a:lnTo>
                              </a:path>
                            </a:pathLst>
                          </a:custGeom>
                          <a:noFill/>
                          <a:ln w="1221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6" name="Freeform 97"/>
                        <wps:cNvSpPr>
                          <a:spLocks/>
                        </wps:cNvSpPr>
                        <wps:spPr bwMode="auto">
                          <a:xfrm>
                            <a:off x="2878" y="153"/>
                            <a:ext cx="7094" cy="1162"/>
                          </a:xfrm>
                          <a:custGeom>
                            <a:avLst/>
                            <a:gdLst>
                              <a:gd name="T0" fmla="*/ 0 w 7094"/>
                              <a:gd name="T1" fmla="*/ 1162 h 1162"/>
                              <a:gd name="T2" fmla="*/ 710 w 7094"/>
                              <a:gd name="T3" fmla="*/ 1089 h 1162"/>
                              <a:gd name="T4" fmla="*/ 1418 w 7094"/>
                              <a:gd name="T5" fmla="*/ 685 h 1162"/>
                              <a:gd name="T6" fmla="*/ 2129 w 7094"/>
                              <a:gd name="T7" fmla="*/ 647 h 1162"/>
                              <a:gd name="T8" fmla="*/ 2837 w 7094"/>
                              <a:gd name="T9" fmla="*/ 591 h 1162"/>
                              <a:gd name="T10" fmla="*/ 3548 w 7094"/>
                              <a:gd name="T11" fmla="*/ 543 h 1162"/>
                              <a:gd name="T12" fmla="*/ 4256 w 7094"/>
                              <a:gd name="T13" fmla="*/ 462 h 1162"/>
                              <a:gd name="T14" fmla="*/ 4966 w 7094"/>
                              <a:gd name="T15" fmla="*/ 192 h 1162"/>
                              <a:gd name="T16" fmla="*/ 5675 w 7094"/>
                              <a:gd name="T17" fmla="*/ 168 h 1162"/>
                              <a:gd name="T18" fmla="*/ 6386 w 7094"/>
                              <a:gd name="T19" fmla="*/ 139 h 1162"/>
                              <a:gd name="T20" fmla="*/ 7094 w 7094"/>
                              <a:gd name="T21" fmla="*/ 0 h 1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094" h="1162">
                                <a:moveTo>
                                  <a:pt x="0" y="1162"/>
                                </a:moveTo>
                                <a:lnTo>
                                  <a:pt x="710" y="1089"/>
                                </a:lnTo>
                                <a:lnTo>
                                  <a:pt x="1418" y="685"/>
                                </a:lnTo>
                                <a:lnTo>
                                  <a:pt x="2129" y="647"/>
                                </a:lnTo>
                                <a:lnTo>
                                  <a:pt x="2837" y="591"/>
                                </a:lnTo>
                                <a:lnTo>
                                  <a:pt x="3548" y="543"/>
                                </a:lnTo>
                                <a:lnTo>
                                  <a:pt x="4256" y="462"/>
                                </a:lnTo>
                                <a:lnTo>
                                  <a:pt x="4966" y="192"/>
                                </a:lnTo>
                                <a:lnTo>
                                  <a:pt x="5675" y="168"/>
                                </a:lnTo>
                                <a:lnTo>
                                  <a:pt x="6386" y="139"/>
                                </a:lnTo>
                                <a:lnTo>
                                  <a:pt x="7094" y="0"/>
                                </a:lnTo>
                              </a:path>
                            </a:pathLst>
                          </a:custGeom>
                          <a:noFill/>
                          <a:ln w="36634">
                            <a:solidFill>
                              <a:srgbClr val="000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302" o:spid="_x0000_s1026" style="position:absolute;margin-left:140.75pt;margin-top:-14.5pt;width:361pt;height:119.6pt;z-index:-251578368;mso-position-horizontal-relative:page" coordorigin="2815,-290" coordsize="7220,2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" o:allowincell="f">
                <v:rect id="Rectangle 44" o:spid="_x0000_s1027" style="position:absolute;left:2878;top:-281;width:7094;height:2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N9fMMA&#10;AADcAAAADwAAAGRycy9kb3ducmV2LnhtbESPzWrDMBCE74W8g9hAb40UB9LiWjYhECi9JW3a62Kt&#10;f7C1MpbiOG9fBQI9DjPzDZMVs+3FRKNvHWtYrxQI4tKZlmsN31+HlzcQPiAb7B2Thht5KPLFU4ap&#10;cVc+0nQKtYgQ9ilqaEIYUil92ZBFv3IDcfQqN1oMUY61NCNeI9z2MlFqKy22HBcaHGjfUNmdLlbD&#10;r7dH//mqpo63Q3U7c0KX8kfr5+W8ewcRaA7/4Uf7w2jYqA3cz8QjI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N9fMMAAADcAAAADwAAAAAAAAAAAAAAAACYAgAAZHJzL2Rv&#10;d25yZXYueG1sUEsFBgAAAAAEAAQA9QAAAIgDAAAAAA==&#10;" filled="f" strokeweight=".33917mm">
                  <v:path arrowok="t"/>
                </v:rect>
                <v:rect id="Rectangle 45" o:spid="_x0000_s1028" style="position:absolute;left:3014;top:353;width:146;height:1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YMhcMA&#10;AADcAAAADwAAAGRycy9kb3ducmV2LnhtbESPT2sCMRTE7wW/Q3gFbzVpLdKuRhFB8Cb+o9fH5nV3&#10;3c3LkqS767dvBMHjMDO/YRarwTaiIx8qxxreJwoEce5MxYWG82n79gUiRGSDjWPScKMAq+XoZYGZ&#10;cT0fqDvGQiQIhww1lDG2mZQhL8limLiWOHm/zluMSfpCGo99gttGfig1kxYrTgsltrQpKa+Pf1bD&#10;ZVN37aH+yW+nvpHfXu373VVqPX4d1nMQkYb4DD/aO6Nhqj7hfiYd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YMhcMAAADcAAAADwAAAAAAAAAAAAAAAACYAgAAZHJzL2Rv&#10;d25yZXYueG1sUEsFBgAAAAAEAAQA9QAAAIgDAAAAAA==&#10;" fillcolor="#f60" stroked="f">
                  <v:path arrowok="t"/>
                </v:rect>
                <v:shape id="Freeform 46" o:spid="_x0000_s1029" style="position:absolute;left:2875;top:353;width:147;height:1686;visibility:visible;mso-wrap-style:square;v-text-anchor:top" coordsize="147,1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K6AsMA&#10;AADcAAAADwAAAGRycy9kb3ducmV2LnhtbESPS2vDMBCE74X+B7GF3Bq5j5TgRDZuSsDXuk7Oi7V+&#10;UGvlWIrj/PuoUMhxmJlvmG06m15MNLrOsoKXZQSCuLK640ZB+bN/XoNwHlljb5kUXMlBmjw+bDHW&#10;9sLfNBW+EQHCLkYFrfdDLKWrWjLolnYgDl5tR4M+yLGResRLgJtevkbRhzTYcVhocaBdS9VvcTYK&#10;7PX0ecIsr/P3r/o4FdMBs3Kv1OJpzjYgPM3+Hv5v51rBW7SCvzPhCMjk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K6AsMAAADcAAAADwAAAAAAAAAAAAAAAACYAgAAZHJzL2Rv&#10;d25yZXYueG1sUEsFBgAAAAAEAAQA9QAAAIgDAAAAAA==&#10;" path="m139,1686r146,l285,,139,e" filled="f" strokeweight=".33869mm">
                  <v:path arrowok="t" o:connecttype="custom" o:connectlocs="139,1686;285,1686;285,0;139,0" o:connectangles="0,0,0,0"/>
                </v:shape>
                <v:rect id="Rectangle 47" o:spid="_x0000_s1030" style="position:absolute;left:3447;top:62;width:283;height:1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g3acMA&#10;AADcAAAADwAAAGRycy9kb3ducmV2LnhtbESPT4vCMBTE74LfITxhb5rsLohWoyzCgjfxH14fzdu2&#10;2+alJLGt394IC3scZuY3zHo72EZ05EPlWMP7TIEgzp2puNBwOX9PFyBCRDbYOCYNDwqw3YxHa8yM&#10;6/lI3SkWIkE4ZKihjLHNpAx5SRbDzLXEyftx3mJM0hfSeOwT3DbyQ6m5tFhxWiixpV1JeX26Ww3X&#10;Xd21x/qWP859I5deHfr9r9T6bTJ8rUBEGuJ/+K+9Nxo+1RxeZ9IRk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g3acMAAADcAAAADwAAAAAAAAAAAAAAAACYAgAAZHJzL2Rv&#10;d25yZXYueG1sUEsFBgAAAAAEAAQA9QAAAIgDAAAAAA==&#10;" fillcolor="#f60" stroked="f">
                  <v:path arrowok="t"/>
                </v:rect>
                <v:rect id="Rectangle 48" o:spid="_x0000_s1031" style="position:absolute;left:3447;top:62;width:283;height:1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kHAMUA&#10;AADcAAAADwAAAGRycy9kb3ducmV2LnhtbESPzWrDMBCE74W+g9hCb42cum2CEzmU/kAhpzh9gMXa&#10;WMLWypWUxM3TV4VCj8PMfMOsN5MbxIlCtJ4VzGcFCOLWa8udgs/9+90SREzIGgfPpOCbImzq66s1&#10;VtqfeUenJnUiQzhWqMCkNFZSxtaQwzjzI3H2Dj44TFmGTuqA5wx3g7wviifp0HJeMDjSi6G2b45O&#10;wdt+a78uzeW1L60pj/OHbXqcglK3N9PzCkSiKf2H/9ofWkFZLOD3TD4Cs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cAxQAAANwAAAAPAAAAAAAAAAAAAAAAAJgCAABkcnMv&#10;ZG93bnJldi54bWxQSwUGAAAAAAQABAD1AAAAigMAAAAA&#10;" filled="f" strokeweight=".33869mm">
                  <v:path arrowok="t"/>
                </v:rect>
                <v:rect id="Rectangle 49" o:spid="_x0000_s1032" style="position:absolute;left:4155;top:-127;width:286;height:2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sGgL8A&#10;AADcAAAADwAAAGRycy9kb3ducmV2LnhtbERPy4rCMBTdD/gP4QruxmQUBq1GGQTBnfjC7aW503ba&#10;3JQktvXvzUKY5eG819vBNqIjHyrHGr6mCgRx7kzFhYbrZf+5ABEissHGMWl4UoDtZvSxxsy4nk/U&#10;nWMhUgiHDDWUMbaZlCEvyWKYupY4cb/OW4wJ+kIaj30Kt42cKfUtLVacGkpsaVdSXp8fVsNtV3ft&#10;qb7nz0vfyKVXx/7wJ7WejIefFYhIQ/wXv90Ho2Gu0tp0Jh0B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6waAvwAAANwAAAAPAAAAAAAAAAAAAAAAAJgCAABkcnMvZG93bnJl&#10;di54bWxQSwUGAAAAAAQABAD1AAAAhAMAAAAA&#10;" fillcolor="#f60" stroked="f">
                  <v:path arrowok="t"/>
                </v:rect>
                <v:rect id="Rectangle 50" o:spid="_x0000_s1033" style="position:absolute;left:4155;top:-127;width:286;height:2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26cUA&#10;AADcAAAADwAAAGRycy9kb3ducmV2LnhtbESPzWrDMBCE74W+g9hCb42cui2JEzmU/kAhpzh9gMXa&#10;WMLWypWUxM3TV4VCj8PMfMOsN5MbxIlCtJ4VzGcFCOLWa8udgs/9+90CREzIGgfPpOCbImzq66s1&#10;VtqfeUenJnUiQzhWqMCkNFZSxtaQwzjzI3H2Dj44TFmGTuqA5wx3g7wviifp0HJeMDjSi6G2b45O&#10;wdt+a78uzeW1L60pj/OHbXqcglK3N9PzCkSiKf2H/9ofWkFZLOH3TD4Cs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KjbpxQAAANwAAAAPAAAAAAAAAAAAAAAAAJgCAABkcnMv&#10;ZG93bnJldi54bWxQSwUGAAAAAAQABAD1AAAAigMAAAAA&#10;" filled="f" strokeweight=".33869mm">
                  <v:path arrowok="t"/>
                </v:rect>
                <v:rect id="Rectangle 51" o:spid="_x0000_s1034" style="position:absolute;left:4866;top:-45;width:283;height:2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ScW8AA&#10;AADcAAAADwAAAGRycy9kb3ducmV2LnhtbERPy4rCMBTdC/MP4Q6409QRRDumRYQBd+ILt5fmTlvb&#10;3JQktvXvJ4sBl4fz3uajaUVPzteWFSzmCQjiwuqaSwXXy89sDcIHZI2tZVLwIg959jHZYqrtwCfq&#10;z6EUMYR9igqqELpUSl9UZNDPbUccuV/rDIYIXSm1wyGGm1Z+JclKGqw5NlTY0b6iojk/jYLbvum7&#10;U3MvXpehlRuXHIfDQyo1/Rx33yACjeEt/ncftILlIs6PZ+IRkN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kScW8AAAADcAAAADwAAAAAAAAAAAAAAAACYAgAAZHJzL2Rvd25y&#10;ZXYueG1sUEsFBgAAAAAEAAQA9QAAAIUDAAAAAA==&#10;" fillcolor="#f60" stroked="f">
                  <v:path arrowok="t"/>
                </v:rect>
                <v:rect id="Rectangle 52" o:spid="_x0000_s1035" style="position:absolute;left:4866;top:-45;width:283;height:2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WsMsUA&#10;AADcAAAADwAAAGRycy9kb3ducmV2LnhtbESPzWrDMBCE74G+g9hCb4nsug3FjRJKfyCQU+08wGJt&#10;LRFr5UpK4ubpo0Khx2FmvmFWm8kN4kQhWs8KykUBgrjz2nKvYN9+zJ9AxISscfBMCn4owmZ9M1th&#10;rf2ZP+nUpF5kCMcaFZiUxlrK2BlyGBd+JM7elw8OU5ahlzrgOcPdIO+LYikdWs4LBkd6NdQdmqNT&#10;8N7u7PelubwdKmuqY/mwS49TUOrudnp5BpFoSv/hv/ZWK6jKEn7P5CM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hawyxQAAANwAAAAPAAAAAAAAAAAAAAAAAJgCAABkcnMv&#10;ZG93bnJldi54bWxQSwUGAAAAAAQABAD1AAAAigMAAAAA&#10;" filled="f" strokeweight=".33869mm">
                  <v:path arrowok="t"/>
                </v:rect>
                <v:rect id="Rectangle 53" o:spid="_x0000_s1036" style="position:absolute;left:5574;top:132;width:285;height:19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nt8MA&#10;AADcAAAADwAAAGRycy9kb3ducmV2LnhtbESPS2vDMBCE74H+B7GF3mI5LpTUjRKCoeBbyYteF2tr&#10;O7ZWRlL9+PdVodDjMDPfMLvDbHoxkvOtZQWbJAVBXFndcq3genlfb0H4gKyxt0wKFvJw2D+sdphr&#10;O/GJxnOoRYSwz1FBE8KQS+mrhgz6xA7E0fuyzmCI0tVSO5wi3PQyS9MXabDluNDgQEVDVXf+Ngpu&#10;RTcOp+6zWi5TL19d+jGVd6nU0+N8fAMRaA7/4b92qRU8bzL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qnt8MAAADcAAAADwAAAAAAAAAAAAAAAACYAgAAZHJzL2Rv&#10;d25yZXYueG1sUEsFBgAAAAAEAAQA9QAAAIgDAAAAAA==&#10;" fillcolor="#f60" stroked="f">
                  <v:path arrowok="t"/>
                </v:rect>
                <v:rect id="Rectangle 54" o:spid="_x0000_s1037" style="position:absolute;left:5574;top:132;width:285;height:19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uX3sUA&#10;AADcAAAADwAAAGRycy9kb3ducmV2LnhtbESPzWrDMBCE74G+g9hCb4nsug3FjRJKfyCQU+08wGJt&#10;LRFr5UpK4ubpo0Khx2FmvmFWm8kN4kQhWs8KykUBgrjz2nKvYN9+zJ9AxISscfBMCn4owmZ9M1th&#10;rf2ZP+nUpF5kCMcaFZiUxlrK2BlyGBd+JM7elw8OU5ahlzrgOcPdIO+LYikdWs4LBkd6NdQdmqNT&#10;8N7u7PelubwdKmuqY/mwS49TUOrudnp5BpFoSv/hv/ZWK6jKCn7P5CM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G5fexQAAANwAAAAPAAAAAAAAAAAAAAAAAJgCAABkcnMv&#10;ZG93bnJldi54bWxQSwUGAAAAAAQABAD1AAAAigMAAAAA&#10;" filled="f" strokeweight=".33869mm">
                  <v:path arrowok="t"/>
                </v:rect>
                <v:rect id="Rectangle 55" o:spid="_x0000_s1038" style="position:absolute;left:6285;top:327;width:283;height:1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aWMMA&#10;AADcAAAADwAAAGRycy9kb3ducmV2LnhtbESPW4vCMBSE34X9D+Es+KapF2S3GmURBN/Ey7Kvh+bY&#10;dtuclCS29d8bQfBxmJlvmNWmN7VoyfnSsoLJOAFBnFldcq7gct6NvkD4gKyxtkwK7uRhs/4YrDDV&#10;tuMjtaeQiwhhn6KCIoQmldJnBRn0Y9sQR+9qncEQpculdthFuKnlNEkW0mDJcaHAhrYFZdXpZhT8&#10;bqu2OVZ/2f3c1fLbJYdu/y+VGn72P0sQgfrwDr/ae61gNpnD80w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aWMMAAADcAAAADwAAAAAAAAAAAAAAAACYAgAAZHJzL2Rv&#10;d25yZXYueG1sUEsFBgAAAAAEAAQA9QAAAIgDAAAAAA==&#10;" fillcolor="#f60" stroked="f">
                  <v:path arrowok="t"/>
                </v:rect>
                <v:rect id="Rectangle 56" o:spid="_x0000_s1039" style="position:absolute;left:6285;top:327;width:283;height:1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6qMcUA&#10;AADcAAAADwAAAGRycy9kb3ducmV2LnhtbESP0WoCMRRE34X+Q7iFvml2u1XK1ijSVij41LUfcNnc&#10;boKbmzWJuvXrTaHQx2FmzjDL9eh6caYQrWcF5awAQdx6bblT8LXfTp9BxISssfdMCn4ownp1N1li&#10;rf2FP+ncpE5kCMcaFZiUhlrK2BpyGGd+IM7etw8OU5ahkzrgJcNdLx+LYiEdWs4LBgd6NdQempNT&#10;8L7f2eO1ub4dKmuqU/m0S/MxKPVwP25eQCQa03/4r/2hFVTlHH7P5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qoxxQAAANwAAAAPAAAAAAAAAAAAAAAAAJgCAABkcnMv&#10;ZG93bnJldi54bWxQSwUGAAAAAAQABAD1AAAAigMAAAAA&#10;" filled="f" strokeweight=".33869mm">
                  <v:path arrowok="t"/>
                </v:rect>
                <v:rect id="Rectangle 57" o:spid="_x0000_s1040" style="position:absolute;left:6993;top:226;width:285;height:1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GhtMQA&#10;AADcAAAADwAAAGRycy9kb3ducmV2LnhtbESPwWrDMBBE74X+g9hCb7WcFkzrRgkhUPCt2GnodbG2&#10;tmNrZSTVdv4+CgRyHGbmDbPeLmYQEznfWVawSlIQxLXVHTcKfg5fL+8gfEDWOFgmBWfysN08Pqwx&#10;13bmkqYqNCJC2OeooA1hzKX0dUsGfWJH4uj9WWcwROkaqR3OEW4G+ZqmmTTYcVxocaR9S3Vf/RsF&#10;x30/jWX/W58P8yA/XPo9Fyep1PPTsvsEEWgJ9/CtXWgFb6sMrmfiEZ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hobTEAAAA3AAAAA8AAAAAAAAAAAAAAAAAmAIAAGRycy9k&#10;b3ducmV2LnhtbFBLBQYAAAAABAAEAPUAAACJAwAAAAA=&#10;" fillcolor="#f60" stroked="f">
                  <v:path arrowok="t"/>
                </v:rect>
                <v:rect id="Rectangle 58" o:spid="_x0000_s1041" style="position:absolute;left:6993;top:226;width:285;height:1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R3cUA&#10;AADcAAAADwAAAGRycy9kb3ducmV2LnhtbESPzWrDMBCE74W8g9hAb43sun84UULoDxRyitMHWKyN&#10;JWKtHElJ3Dx9VSj0OMzMN8xiNbpenClE61lBOStAELdeW+4UfO0+7l5AxISssfdMCr4pwmo5uVlg&#10;rf2Ft3RuUicyhGONCkxKQy1lbA05jDM/EGdv74PDlGXopA54yXDXy/uieJIOLecFgwO9GmoPzckp&#10;eN9t7PHaXN8OlTXVqXzYpMcxKHU7HddzEInG9B/+a39qBVX5DL9n8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IJHdxQAAANwAAAAPAAAAAAAAAAAAAAAAAJgCAABkcnMv&#10;ZG93bnJldi54bWxQSwUGAAAAAAQABAD1AAAAigMAAAAA&#10;" filled="f" strokeweight=".33869mm">
                  <v:path arrowok="t"/>
                </v:rect>
                <v:rect id="Rectangle 59" o:spid="_x0000_s1042" style="position:absolute;left:7703;top:108;width:283;height:1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KQXcAA&#10;AADcAAAADwAAAGRycy9kb3ducmV2LnhtbERPy4rCMBTdC/MP4Q6409QRRDumRYQBd+ILt5fmTlvb&#10;3JQktvXvJ4sBl4fz3uajaUVPzteWFSzmCQjiwuqaSwXXy89sDcIHZI2tZVLwIg959jHZYqrtwCfq&#10;z6EUMYR9igqqELpUSl9UZNDPbUccuV/rDIYIXSm1wyGGm1Z+JclKGqw5NlTY0b6iojk/jYLbvum7&#10;U3MvXpehlRuXHIfDQyo1/Rx33yACjeEt/ncftILlIq6NZ+IRkN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DKQXcAAAADcAAAADwAAAAAAAAAAAAAAAACYAgAAZHJzL2Rvd25y&#10;ZXYueG1sUEsFBgAAAAAEAAQA9QAAAIUDAAAAAA==&#10;" fillcolor="#f60" stroked="f">
                  <v:path arrowok="t"/>
                </v:rect>
                <v:rect id="Rectangle 60" o:spid="_x0000_s1043" style="position:absolute;left:7703;top:108;width:283;height:1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OgNMUA&#10;AADcAAAADwAAAGRycy9kb3ducmV2LnhtbESPzWrDMBCE74W8g9hAb43sui2tEyWE/kAhpzh9gMXa&#10;WCLWypGUxM3TV4VCj8PMfMMsVqPrxZlCtJ4VlLMCBHHrteVOwdfu4+4ZREzIGnvPpOCbIqyWk5sF&#10;1tpfeEvnJnUiQzjWqMCkNNRSxtaQwzjzA3H29j44TFmGTuqAlwx3vbwviifp0HJeMDjQq6H20Jyc&#10;gvfdxh6vzfXtUFlTncqHTXocg1K303E9B5FoTP/hv/anVlCVL/B7Jh8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86A0xQAAANwAAAAPAAAAAAAAAAAAAAAAAJgCAABkcnMv&#10;ZG93bnJldi54bWxQSwUGAAAAAAQABAD1AAAAigMAAAAA&#10;" filled="f" strokeweight=".33869mm">
                  <v:path arrowok="t"/>
                </v:rect>
                <v:rect id="Rectangle 61" o:spid="_x0000_s1044" style="position:absolute;left:8412;top:235;width:285;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hW5sAA&#10;AADcAAAADwAAAGRycy9kb3ducmV2LnhtbERPy2rCQBTdF/yH4QrdNRMtlBozighCdkWtuL1krklM&#10;5k6Ymebx951FocvDeef7yXRiIOcbywpWSQqCuLS64UrB9/X09gnCB2SNnWVSMJOH/W7xkmOm7chn&#10;Gi6hEjGEfYYK6hD6TEpf1mTQJ7YnjtzDOoMhQldJ7XCM4aaT6zT9kAYbjg019nSsqWwvP0bB7dgO&#10;/bm9l/N17OTGpV9j8ZRKvS6nwxZEoCn8i//chVbwvo7z45l4BO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hW5sAAAADcAAAADwAAAAAAAAAAAAAAAACYAgAAZHJzL2Rvd25y&#10;ZXYueG1sUEsFBgAAAAAEAAQA9QAAAIUDAAAAAA==&#10;" fillcolor="#f60" stroked="f">
                  <v:path arrowok="t"/>
                </v:rect>
                <v:rect id="Rectangle 62" o:spid="_x0000_s1045" style="position:absolute;left:8412;top:235;width:285;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lmj8UA&#10;AADcAAAADwAAAGRycy9kb3ducmV2LnhtbESP3WoCMRSE7wu+QzhC72p23VZkaxTpDxS86uoDHDan&#10;m+DmZE2ibn36plDo5TAz3zCrzeh6caEQrWcF5awAQdx6bblTcNi/PyxBxISssfdMCr4pwmY9uVth&#10;rf2VP+nSpE5kCMcaFZiUhlrK2BpyGGd+IM7elw8OU5ahkzrgNcNdL+dFsZAOLecFgwO9GGqPzdkp&#10;eNvv7OnW3F6PlTXVuXzcpacxKHU/HbfPIBKN6T/81/7QCqp5Cb9n8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6WaPxQAAANwAAAAPAAAAAAAAAAAAAAAAAJgCAABkcnMv&#10;ZG93bnJldi54bWxQSwUGAAAAAAQABAD1AAAAigMAAAAA&#10;" filled="f" strokeweight=".33869mm">
                  <v:path arrowok="t"/>
                </v:rect>
                <v:rect id="Rectangle 63" o:spid="_x0000_s1046" style="position:absolute;left:9122;top:194;width:28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ZtCsIA&#10;AADcAAAADwAAAGRycy9kb3ducmV2LnhtbESPQYvCMBSE7wv+h/AEb2tqBVmrUUQQvIm6y14fzdu2&#10;2+alJLGt/94IgsdhZr5h1tvBNKIj5yvLCmbTBARxbnXFhYLv6+HzC4QPyBoby6TgTh62m9HHGjNt&#10;ez5TdwmFiBD2GSooQ2gzKX1ekkE/tS1x9P6sMxiidIXUDvsIN41Mk2QhDVYcF0psaV9SXl9uRsHP&#10;vu7ac/2b3699I5cuOfXHf6nUZDzsViACDeEdfrWPWsE8TeF5Jh4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tm0KwgAAANwAAAAPAAAAAAAAAAAAAAAAAJgCAABkcnMvZG93&#10;bnJldi54bWxQSwUGAAAAAAQABAD1AAAAhwMAAAAA&#10;" fillcolor="#f60" stroked="f">
                  <v:path arrowok="t"/>
                </v:rect>
                <v:rect id="Rectangle 64" o:spid="_x0000_s1047" style="position:absolute;left:9122;top:194;width:28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dY8QA&#10;AADcAAAADwAAAGRycy9kb3ducmV2LnhtbESP0WoCMRRE34X+Q7iFvmlW10rZGqVoC4JPXfsBl83t&#10;Jri52SZRt369EQp9HGbmDLNcD64TZwrRelYwnRQgiBuvLbcKvg4f4xcQMSFr7DyTgl+KsF49jJZY&#10;aX/hTzrXqRUZwrFCBSalvpIyNoYcxonvibP37YPDlGVopQ54yXDXyVlRLKRDy3nBYE8bQ82xPjkF&#10;74e9/bnW1+2xtKY8Tef79DwEpZ4eh7dXEImG9B/+a++0gnJWwv1MPg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3XWPEAAAA3AAAAA8AAAAAAAAAAAAAAAAAmAIAAGRycy9k&#10;b3ducmV2LnhtbFBLBQYAAAAABAAEAPUAAACJAwAAAAA=&#10;" filled="f" strokeweight=".33869mm">
                  <v:path arrowok="t"/>
                </v:rect>
                <v:rect id="Rectangle 65" o:spid="_x0000_s1048" style="position:absolute;left:9831;top:137;width:144;height: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Q5cMA&#10;AADcAAAADwAAAGRycy9kb3ducmV2LnhtbESPT4vCMBTE74LfITxhb5rqLqJdo4iw4G3xH14fzdu2&#10;tnkpSWzrt98IgsdhZn7DrDa9qUVLzpeWFUwnCQjizOqScwXn0894AcIHZI21ZVLwIA+b9XCwwlTb&#10;jg/UHkMuIoR9igqKEJpUSp8VZNBPbEMcvT/rDIYoXS61wy7CTS1nSTKXBkuOCwU2tCsoq453o+Cy&#10;q9rmUF2zx6mr5dIlv93+JpX6GPXbbxCB+vAOv9p7reBz9gX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NQ5cMAAADcAAAADwAAAAAAAAAAAAAAAACYAgAAZHJzL2Rv&#10;d25yZXYueG1sUEsFBgAAAAAEAAQA9QAAAIgDAAAAAA==&#10;" fillcolor="#f60" stroked="f">
                  <v:path arrowok="t"/>
                </v:rect>
                <v:group id="Group 66" o:spid="_x0000_s1049" style="position:absolute;left:9831;top:137;width:144;height:1902" coordorigin="9831,137" coordsize="144,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Freeform 67" o:spid="_x0000_s1050" style="position:absolute;left:9831;top:137;width:144;height:1902;visibility:visible;mso-wrap-style:square;v-text-anchor:top" coordsize="144,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u/fcYA&#10;AADcAAAADwAAAGRycy9kb3ducmV2LnhtbESPQWvCQBSE7wX/w/KEXopuTEFKdBURLKUtiqnB6yP7&#10;moRm36a72xj/fVco9DjMzDfMcj2YVvTkfGNZwWyagCAurW64UnD62E2eQPiArLG1TAqu5GG9Gt0t&#10;MdP2wkfq81CJCGGfoYI6hC6T0pc1GfRT2xFH79M6gyFKV0nt8BLhppVpksylwYbjQo0dbWsqv/If&#10;o+C1CN/vO9we0v1z9Xa+uiLvHwql7sfDZgEi0BD+w3/tF63gMZ3D7Uw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nu/fcYAAADcAAAADwAAAAAAAAAAAAAAAACYAgAAZHJz&#10;L2Rvd25yZXYueG1sUEsFBgAAAAAEAAQA9QAAAIsDAAAAAA==&#10;" path="m,1902r144,e" filled="f" strokeweight=".33894mm">
                    <v:path arrowok="t" o:connecttype="custom" o:connectlocs="0,1902;144,1902" o:connectangles="0,0"/>
                  </v:shape>
                  <v:shape id="Freeform 68" o:spid="_x0000_s1051" style="position:absolute;left:9831;top:137;width:144;height:1902;visibility:visible;mso-wrap-style:square;v-text-anchor:top" coordsize="144,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ca5scA&#10;AADcAAAADwAAAGRycy9kb3ducmV2LnhtbESPQUvDQBSE70L/w/IEL9JuTMGW2G2RQkVsUZo2eH1k&#10;n0lo9m3cXdP033cFweMwM98wi9VgWtGT841lBQ+TBARxaXXDlYLjYTOeg/ABWWNrmRRcyMNqObpZ&#10;YKbtmffU56ESEcI+QwV1CF0mpS9rMugntiOO3pd1BkOUrpLa4TnCTSvTJHmUBhuOCzV2tK6pPOU/&#10;RsFbEb53G1x/pO8v1fbz4oq8vy+Uursdnp9ABBrCf/iv/aoVTNMZ/J6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3GubHAAAA3AAAAA8AAAAAAAAAAAAAAAAAmAIAAGRy&#10;cy9kb3ducmV2LnhtbFBLBQYAAAAABAAEAPUAAACMAwAAAAA=&#10;" path="m144,l,,,1902e" filled="f" strokeweight=".33894mm">
                    <v:path arrowok="t" o:connecttype="custom" o:connectlocs="144,0;0,0;0,1902" o:connectangles="0,0,0"/>
                  </v:shape>
                </v:group>
                <v:shape id="Freeform 69" o:spid="_x0000_s1052" style="position:absolute;left:2878;top:-281;width:20;height:2373;visibility:visible;mso-wrap-style:square;v-text-anchor:top" coordsize="20,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0QMEA&#10;AADcAAAADwAAAGRycy9kb3ducmV2LnhtbERPy2oCMRTdF/yHcAtupGZUqGVqFC0UunDh6wMuk9sk&#10;dHIzJHEc+/VmUejycN6rzeBb0VNMLrCC2bQCQdwE7dgouJw/X95ApIyssQ1MCu6UYLMePa2w1uHG&#10;R+pP2YgSwqlGBTbnrpYyNZY8pmnoiAv3HaLHXGA0Uke8lXDfynlVvUqPjkuDxY4+LDU/p6tXUPV2&#10;4SZd3Lpl25tJ2Bnc/x6UGj8P23cQmYb8L/5zf2kFi3lZW86UI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FtEDBAAAA3AAAAA8AAAAAAAAAAAAAAAAAmAIAAGRycy9kb3du&#10;cmV2LnhtbFBLBQYAAAAABAAEAPUAAACGAwAAAAA=&#10;" path="m,l,2373e" filled="f" strokeweight=".33869mm">
                  <v:path arrowok="t" o:connecttype="custom" o:connectlocs="0,0;0,2373" o:connectangles="0,0"/>
                </v:shape>
                <v:shape id="Freeform 70" o:spid="_x0000_s1053" style="position:absolute;left:2825;top:2039;width:7200;height:20;visibility:visible;mso-wrap-style:square;v-text-anchor:top" coordsize="72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WPsMYA&#10;AADcAAAADwAAAGRycy9kb3ducmV2LnhtbESPQWsCMRSE74L/IbyCF6lZFYrdGkVFUXqyW0vp7XXz&#10;uru6eVmSqNt/bwpCj8PMfMNM562pxYWcrywrGA4SEMS51RUXCg7vm8cJCB+QNdaWScEveZjPup0p&#10;ptpe+Y0uWShEhLBPUUEZQpNK6fOSDPqBbYij92OdwRClK6R2eI1wU8tRkjxJgxXHhRIbWpWUn7Kz&#10;UeA+Tmu7HB8nur/KPr+3h9evPaJSvYd28QIiUBv+w/f2TisYj57h70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WPsMYAAADcAAAADwAAAAAAAAAAAAAAAACYAgAAZHJz&#10;L2Rvd25yZXYueG1sUEsFBgAAAAAEAAQA9QAAAIsDAAAAAA==&#10;" path="m,l7200,e" filled="f" strokeweight=".33919mm">
                  <v:path arrowok="t" o:connecttype="custom" o:connectlocs="0,0;7200,0" o:connectangles="0,0"/>
                </v:shape>
                <v:shape id="Freeform 71" o:spid="_x0000_s1054" style="position:absolute;left:2825;top:1808;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1NVsMA&#10;AADcAAAADwAAAGRycy9kb3ducmV2LnhtbERPz2vCMBS+C/sfwhN209QVhu2MImNjOw1i1e341jzb&#10;YvNSmkw7/3pzEDx+fL8Xq8G24kS9bxwrmE0TEMSlMw1XCrbF+2QOwgdkg61jUvBPHlbLh9ECc+PO&#10;rOm0CZWIIexzVFCH0OVS+rImi37qOuLIHVxvMUTYV9L0eI7htpVPSfIsLTYcG2rs6LWm8rj5swqK&#10;rEh/yuz742v9tvOXoLX+3WulHsfD+gVEoCHcxTf3p1GQpnF+PBOPgF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1NVsMAAADcAAAADwAAAAAAAAAAAAAAAACYAgAAZHJzL2Rv&#10;d25yZXYueG1sUEsFBgAAAAAEAAQA9QAAAIgDAAAAAA==&#10;" path="m,l105,e" filled="f" strokeweight=".33919mm">
                  <v:path arrowok="t" o:connecttype="custom" o:connectlocs="0,0;105,0" o:connectangles="0,0"/>
                </v:shape>
                <v:shape id="Freeform 72" o:spid="_x0000_s1055" style="position:absolute;left:2825;top:1575;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HozcYA&#10;AADcAAAADwAAAGRycy9kb3ducmV2LnhtbESPQWvCQBSE74X+h+UJvdWNDUiNriKlpT0V1rTq8Zl9&#10;JsHs25DdavTXdwXB4zAz3zCzRW8bcaTO144VjIYJCOLCmZpLBT/5x/MrCB+QDTaOScGZPCzmjw8z&#10;zIw7sabjKpQiQthnqKAKoc2k9EVFFv3QtcTR27vOYoiyK6Xp8BThtpEvSTKWFmuOCxW29FZRcVj9&#10;WQX5JE+3xWTz+b18//WXoLXerbVST4N+OQURqA/38K39ZRSk6Qi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HozcYAAADcAAAADwAAAAAAAAAAAAAAAACYAgAAZHJz&#10;L2Rvd25yZXYueG1sUEsFBgAAAAAEAAQA9QAAAIsDAAAAAA==&#10;" path="m,l105,e" filled="f" strokeweight=".33919mm">
                  <v:path arrowok="t" o:connecttype="custom" o:connectlocs="0,0;105,0" o:connectangles="0,0"/>
                </v:shape>
                <v:shape id="Freeform 73" o:spid="_x0000_s1056" style="position:absolute;left:2825;top:1344;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N2usYA&#10;AADcAAAADwAAAGRycy9kb3ducmV2LnhtbESPQWvCQBSE74X+h+UVvNWNBkqNriKlYk+FNa16fGaf&#10;STD7NmRXTf31XaHQ4zAz3zCzRW8bcaHO144VjIYJCOLCmZpLBV/56vkVhA/IBhvHpOCHPCzmjw8z&#10;zIy7sqbLJpQiQthnqKAKoc2k9EVFFv3QtcTRO7rOYoiyK6Xp8BrhtpHjJHmRFmuOCxW29FZRcdqc&#10;rYJ8kqf7YrJbfy7fv/0taK0PW63U4KlfTkEE6sN/+K/9YRSk6Rju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N2usYAAADcAAAADwAAAAAAAAAAAAAAAACYAgAAZHJz&#10;L2Rvd25yZXYueG1sUEsFBgAAAAAEAAQA9QAAAIsDAAAAAA==&#10;" path="m,l105,e" filled="f" strokeweight=".33919mm">
                  <v:path arrowok="t" o:connecttype="custom" o:connectlocs="0,0;105,0" o:connectangles="0,0"/>
                </v:shape>
                <v:shape id="Freeform 74" o:spid="_x0000_s1057" style="position:absolute;left:2825;top:1111;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TIcYA&#10;AADcAAAADwAAAGRycy9kb3ducmV2LnhtbESPQWvCQBSE7wX/w/IEb3VjA0VTVxGp2FNhja0eX7Ov&#10;SWj2bciumvbXuwXB4zAz3zDzZW8bcabO144VTMYJCOLCmZpLBft88zgF4QOywcYxKfglD8vF4GGO&#10;mXEX1nTehVJECPsMFVQhtJmUvqjIoh+7ljh6366zGKLsSmk6vES4beRTkjxLizXHhQpbWldU/OxO&#10;VkE+y9NjMTts31evH/4vaK2/PrVSo2G/egERqA/38K39ZhSkaQr/Z+IR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TIcYAAADcAAAADwAAAAAAAAAAAAAAAACYAgAAZHJz&#10;L2Rvd25yZXYueG1sUEsFBgAAAAAEAAQA9QAAAIsDAAAAAA==&#10;" path="m,l105,e" filled="f" strokeweight=".33919mm">
                  <v:path arrowok="t" o:connecttype="custom" o:connectlocs="0,0;105,0" o:connectangles="0,0"/>
                </v:shape>
                <v:shape id="Freeform 75" o:spid="_x0000_s1058" style="position:absolute;left:2825;top:880;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ZLVcYA&#10;AADcAAAADwAAAGRycy9kb3ducmV2LnhtbESPQWvCQBSE70L/w/IK3nRjU0qNriKl0p6ENW31+Mw+&#10;k9Ds25DdavTXu4VCj8PMfMPMl71txIk6XztWMBknIIgLZ2ouFXzk69EzCB+QDTaOScGFPCwXd4M5&#10;ZsadWdNpG0oRIewzVFCF0GZS+qIii37sWuLoHV1nMUTZldJ0eI5w28iHJHmSFmuOCxW29FJR8b39&#10;sQryaZ7ui+nubbN6/fTXoLU+fGmlhvf9agYiUB/+w3/td6MgTR/h9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ZLVcYAAADcAAAADwAAAAAAAAAAAAAAAACYAgAAZHJz&#10;L2Rvd25yZXYueG1sUEsFBgAAAAAEAAQA9QAAAIsDAAAAAA==&#10;" path="m,l105,e" filled="f" strokeweight=".33919mm">
                  <v:path arrowok="t" o:connecttype="custom" o:connectlocs="0,0;105,0" o:connectangles="0,0"/>
                </v:shape>
                <v:shape id="Freeform 76" o:spid="_x0000_s1059" style="position:absolute;left:2825;top:647;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uzsYA&#10;AADcAAAADwAAAGRycy9kb3ducmV2LnhtbESPQWvCQBSE70L/w/IK3nRjQ0uNriKl0p6ENW31+Mw+&#10;k9Ds25DdavTXu4VCj8PMfMPMl71txIk6XztWMBknIIgLZ2ouFXzk69EzCB+QDTaOScGFPCwXd4M5&#10;ZsadWdNpG0oRIewzVFCF0GZS+qIii37sWuLoHV1nMUTZldJ0eI5w28iHJHmSFmuOCxW29FJR8b39&#10;sQryaZ7ui+nubbN6/fTXoLU+fGmlhvf9agYiUB/+w3/td6MgTR/h9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uzsYAAADcAAAADwAAAAAAAAAAAAAAAACYAgAAZHJz&#10;L2Rvd25yZXYueG1sUEsFBgAAAAAEAAQA9QAAAIsDAAAAAA==&#10;" path="m,l105,e" filled="f" strokeweight=".33919mm">
                  <v:path arrowok="t" o:connecttype="custom" o:connectlocs="0,0;105,0" o:connectangles="0,0"/>
                </v:shape>
                <v:shape id="Freeform 77" o:spid="_x0000_s1060" style="position:absolute;left:2825;top:415;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hwucYA&#10;AADcAAAADwAAAGRycy9kb3ducmV2LnhtbESPQWvCQBSE70L/w/IK3nRjA6LRVaS02FNhTasen9ln&#10;Esy+Ddmtpv31bqHQ4zAz3zDLdW8bcaXO144VTMYJCOLCmZpLBR/562gGwgdkg41jUvBNHtarh8ES&#10;M+NurOm6C6WIEPYZKqhCaDMpfVGRRT92LXH0zq6zGKLsSmk6vEW4beRTkkylxZrjQoUtPVdUXHZf&#10;VkE+z9NjMT9s3zcvn/4naK1Pe63U8LHfLEAE6sN/+K/9ZhSk6RR+z8Qj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hwucYAAADcAAAADwAAAAAAAAAAAAAAAACYAgAAZHJz&#10;L2Rvd25yZXYueG1sUEsFBgAAAAAEAAQA9QAAAIsDAAAAAA==&#10;" path="m,l105,e" filled="f" strokeweight=".33919mm">
                  <v:path arrowok="t" o:connecttype="custom" o:connectlocs="0,0;105,0" o:connectangles="0,0"/>
                </v:shape>
                <v:shape id="Freeform 78" o:spid="_x0000_s1061" style="position:absolute;left:2825;top:182;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VIsYA&#10;AADcAAAADwAAAGRycy9kb3ducmV2LnhtbESPQWvCQBSE70L/w/IK3nRjA22NriKl0p6ENW31+Mw+&#10;k9Ds25DdavTXu4VCj8PMfMPMl71txIk6XztWMBknIIgLZ2ouFXzk69EzCB+QDTaOScGFPCwXd4M5&#10;ZsadWdNpG0oRIewzVFCF0GZS+qIii37sWuLoHV1nMUTZldJ0eI5w28iHJHmUFmuOCxW29FJR8b39&#10;sQryaZ7ui+nubbN6/fTXoLU+fGmlhvf9agYiUB/+w3/td6MgTZ/g9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TVIsYAAADcAAAADwAAAAAAAAAAAAAAAACYAgAAZHJz&#10;L2Rvd25yZXYueG1sUEsFBgAAAAAEAAQA9QAAAIsDAAAAAA==&#10;" path="m,l105,e" filled="f" strokeweight=".33919mm">
                  <v:path arrowok="t" o:connecttype="custom" o:connectlocs="0,0;105,0" o:connectangles="0,0"/>
                </v:shape>
                <v:shape id="Freeform 79" o:spid="_x0000_s1062" style="position:absolute;left:2825;top:-48;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tBUMMA&#10;AADcAAAADwAAAGRycy9kb3ducmV2LnhtbERPz2vCMBS+C/sfwhN209QVhu2MImNjOw1i1e341jzb&#10;YvNSmkw7/3pzEDx+fL8Xq8G24kS9bxwrmE0TEMSlMw1XCrbF+2QOwgdkg61jUvBPHlbLh9ECc+PO&#10;rOm0CZWIIexzVFCH0OVS+rImi37qOuLIHVxvMUTYV9L0eI7htpVPSfIsLTYcG2rs6LWm8rj5swqK&#10;rEh/yuz742v9tvOXoLX+3WulHsfD+gVEoCHcxTf3p1GQpnFtPBOPgF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tBUMMAAADcAAAADwAAAAAAAAAAAAAAAACYAgAAZHJzL2Rv&#10;d25yZXYueG1sUEsFBgAAAAAEAAQA9QAAAIgDAAAAAA==&#10;" path="m,l105,e" filled="f" strokeweight=".33919mm">
                  <v:path arrowok="t" o:connecttype="custom" o:connectlocs="0,0;105,0" o:connectangles="0,0"/>
                </v:shape>
                <v:shape id="Freeform 80" o:spid="_x0000_s1063" style="position:absolute;left:2825;top:-281;width:106;height:20;visibility:visible;mso-wrap-style:square;v-text-anchor:top" coordsize="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fky8YA&#10;AADcAAAADwAAAGRycy9kb3ducmV2LnhtbESPQUvDQBSE74L/YXkFb3ZTA2LSbkMQRU/CNmp7fM2+&#10;JqHZtyG7ttFf7woFj8PMfMOsisn24kSj7xwrWMwTEMS1Mx03Ct6r59sHED4gG+wdk4Jv8lCsr69W&#10;mBt3Zk2nTWhEhLDPUUEbwpBL6euWLPq5G4ijd3CjxRDl2Egz4jnCbS/vkuReWuw4LrQ40GNL9XHz&#10;ZRVUWZXu6mz78lY+ffifoLXef2qlbmZTuQQRaAr/4Uv71ShI0wz+zs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fky8YAAADcAAAADwAAAAAAAAAAAAAAAACYAgAAZHJz&#10;L2Rvd25yZXYueG1sUEsFBgAAAAAEAAQA9QAAAIsDAAAAAA==&#10;" path="m,l105,e" filled="f" strokeweight=".33919mm">
                  <v:path arrowok="t" o:connecttype="custom" o:connectlocs="0,0;105,0" o:connectangles="0,0"/>
                </v:shape>
                <v:shape id="Freeform 81" o:spid="_x0000_s1064" style="position:absolute;left:3588;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UwbMEA&#10;AADcAAAADwAAAGRycy9kb3ducmV2LnhtbERPy4rCMBTdC/MP4Q6403RUpHRMyzAgulDwMQuXl+ba&#10;1mluahNt/XuzEFweznuR9aYWd2pdZVnB1zgCQZxbXXGh4O+4HMUgnEfWWFsmBQ9ykKUfgwUm2na8&#10;p/vBFyKEsEtQQel9k0jp8pIMurFtiAN3tq1BH2BbSN1iF8JNLSdRNJcGKw4NJTb0W1L+f7gZBUXe&#10;x1183WG9ipZ4u+DmtD3FSg0/+59vEJ56/xa/3GutYDoL88OZcARk+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VMGzBAAAA3AAAAA8AAAAAAAAAAAAAAAAAmAIAAGRycy9kb3du&#10;cmV2LnhtbFBLBQYAAAAABAAEAPUAAACGAwAAAAA=&#10;" path="m,105l,e" filled="f" strokeweight=".33869mm">
                  <v:path arrowok="t" o:connecttype="custom" o:connectlocs="0,105;0,0" o:connectangles="0,0"/>
                </v:shape>
                <v:shape id="Freeform 82" o:spid="_x0000_s1065" style="position:absolute;left:4296;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mV98MA&#10;AADcAAAADwAAAGRycy9kb3ducmV2LnhtbESPT4vCMBTE74LfITzBm6aui5RqFBFEDy747+Dx0Tzb&#10;avPSbaKt394sLHgcZuY3zGzRmlI8qXaFZQWjYQSCOLW64EzB+bQexCCcR9ZYWiYFL3KwmHc7M0y0&#10;bfhAz6PPRICwS1BB7n2VSOnSnAy6oa2Ig3e1tUEfZJ1JXWMT4KaUX1E0kQYLDgs5VrTKKb0fH0ZB&#10;lrZxE//usdxEa3zccHf5ucRK9XvtcgrCU+s/4f/2VisYf4/g70w4AnL+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mV98MAAADcAAAADwAAAAAAAAAAAAAAAACYAgAAZHJzL2Rv&#10;d25yZXYueG1sUEsFBgAAAAAEAAQA9QAAAIgDAAAAAA==&#10;" path="m,105l,e" filled="f" strokeweight=".33869mm">
                  <v:path arrowok="t" o:connecttype="custom" o:connectlocs="0,105;0,0" o:connectangles="0,0"/>
                </v:shape>
                <v:shape id="Freeform 83" o:spid="_x0000_s1066" style="position:absolute;left:5007;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sLgMMA&#10;AADcAAAADwAAAGRycy9kb3ducmV2LnhtbESPT4vCMBTE74LfITzBm6bqIqUaRQTRgwvrn4PHR/Ns&#10;q81LbaKt336zsOBxmJnfMPNla0rxotoVlhWMhhEI4tTqgjMF59NmEINwHlljaZkUvMnBctHtzDHR&#10;tuEDvY4+EwHCLkEFufdVIqVLczLohrYiDt7V1gZ9kHUmdY1NgJtSjqNoKg0WHBZyrGidU3o/Po2C&#10;LG3jJn78YLmNNvi84f7yfYmV6vfa1QyEp9Z/wv/tnVYw+RrD35lw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4sLgMMAAADcAAAADwAAAAAAAAAAAAAAAACYAgAAZHJzL2Rv&#10;d25yZXYueG1sUEsFBgAAAAAEAAQA9QAAAIgDAAAAAA==&#10;" path="m,105l,e" filled="f" strokeweight=".33869mm">
                  <v:path arrowok="t" o:connecttype="custom" o:connectlocs="0,105;0,0" o:connectangles="0,0"/>
                </v:shape>
                <v:shape id="Freeform 84" o:spid="_x0000_s1067" style="position:absolute;left:5715;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euG8MA&#10;AADcAAAADwAAAGRycy9kb3ducmV2LnhtbESPQYvCMBSE7wv+h/AEb2uqLkupRhFB9OCCqx48Pppn&#10;W21eahNt/fdGEDwOM/MNM5m1phR3ql1hWcGgH4EgTq0uOFNw2C+/YxDOI2ssLZOCBzmYTTtfE0y0&#10;bfif7jufiQBhl6CC3PsqkdKlORl0fVsRB+9ka4M+yDqTusYmwE0ph1H0Kw0WHBZyrGiRU3rZ3YyC&#10;LG3jJr5usVxFS7ydcXP8O8ZK9brtfAzCU+s/4Xd7rRWMfkbwOhOO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euG8MAAADcAAAADwAAAAAAAAAAAAAAAACYAgAAZHJzL2Rv&#10;d25yZXYueG1sUEsFBgAAAAAEAAQA9QAAAIgDAAAAAA==&#10;" path="m,105l,e" filled="f" strokeweight=".33869mm">
                  <v:path arrowok="t" o:connecttype="custom" o:connectlocs="0,105;0,0" o:connectangles="0,0"/>
                </v:shape>
                <v:shape id="Freeform 85" o:spid="_x0000_s1068" style="position:absolute;left:6426;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42b8UA&#10;AADcAAAADwAAAGRycy9kb3ducmV2LnhtbESPT2vCQBTE70K/w/IKvenGNkiIriKF0B5aUNtDjo/s&#10;M4lm36bZzZ9+e7dQ8DjMzG+YzW4yjRioc7VlBctFBIK4sLrmUsH3VzZPQDiPrLGxTAp+ycFu+zDb&#10;YKrtyEcaTr4UAcIuRQWV920qpSsqMugWtiUO3tl2Bn2QXSl1h2OAm0Y+R9FKGqw5LFTY0mtFxfXU&#10;GwVlMSVj8nPA5i3KsL/gR/6ZJ0o9PU77NQhPk7+H/9vvWsFLHMPfmXA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jZvxQAAANwAAAAPAAAAAAAAAAAAAAAAAJgCAABkcnMv&#10;ZG93bnJldi54bWxQSwUGAAAAAAQABAD1AAAAigMAAAAA&#10;" path="m,105l,e" filled="f" strokeweight=".33869mm">
                  <v:path arrowok="t" o:connecttype="custom" o:connectlocs="0,105;0,0" o:connectangles="0,0"/>
                </v:shape>
                <v:shape id="Freeform 86" o:spid="_x0000_s1069" style="position:absolute;left:7134;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9MUA&#10;AADcAAAADwAAAGRycy9kb3ducmV2LnhtbESPQWvCQBSE70L/w/IK3pqNrZYQXaUUQj1Y0NSDx0f2&#10;mUSzb9PsxqT/vlsoeBxm5htmtRlNI27UudqyglkUgyAurK65VHD8yp4SEM4ja2wsk4IfcrBZP0xW&#10;mGo78IFuuS9FgLBLUUHlfZtK6YqKDLrItsTBO9vOoA+yK6XucAhw08jnOH6VBmsOCxW29F5Rcc17&#10;o6AsxmRIvvfYfMQZ9hfcnT5PiVLTx/FtCcLT6O/h//ZWK3iZL+D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YpP0xQAAANwAAAAPAAAAAAAAAAAAAAAAAJgCAABkcnMv&#10;ZG93bnJldi54bWxQSwUGAAAAAAQABAD1AAAAigMAAAAA&#10;" path="m,105l,e" filled="f" strokeweight=".33869mm">
                  <v:path arrowok="t" o:connecttype="custom" o:connectlocs="0,105;0,0" o:connectangles="0,0"/>
                </v:shape>
                <v:shape id="Freeform 87" o:spid="_x0000_s1070" style="position:absolute;left:7845;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ANg8MA&#10;AADcAAAADwAAAGRycy9kb3ducmV2LnhtbESPT4vCMBTE7wt+h/AEb2vqH6RUo4ggelDYVQ8eH82z&#10;rTYvtYm2fnuzsOBxmJnfMLNFa0rxpNoVlhUM+hEI4tTqgjMFp+P6OwbhPLLG0jIpeJGDxbzzNcNE&#10;24Z/6XnwmQgQdgkqyL2vEildmpNB17cVcfAutjbog6wzqWtsAtyUchhFE2mw4LCQY0WrnNLb4WEU&#10;ZGkbN/H9B8tNtMbHFXfn/TlWqtdtl1MQnlr/Cf+3t1rBaDyBvzPhCMj5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ANg8MAAADcAAAADwAAAAAAAAAAAAAAAACYAgAAZHJzL2Rv&#10;d25yZXYueG1sUEsFBgAAAAAEAAQA9QAAAIgDAAAAAA==&#10;" path="m,105l,e" filled="f" strokeweight=".33869mm">
                  <v:path arrowok="t" o:connecttype="custom" o:connectlocs="0,105;0,0" o:connectangles="0,0"/>
                </v:shape>
                <v:shape id="Freeform 88" o:spid="_x0000_s1071" style="position:absolute;left:8553;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GMUA&#10;AADcAAAADwAAAGRycy9kb3ducmV2LnhtbESPQWvCQBSE70L/w/IK3pqNrdgQXaUUQj1Y0NSDx0f2&#10;mUSzb9PsxqT/vlsoeBxm5htmtRlNI27UudqyglkUgyAurK65VHD8yp4SEM4ja2wsk4IfcrBZP0xW&#10;mGo78IFuuS9FgLBLUUHlfZtK6YqKDLrItsTBO9vOoA+yK6XucAhw08jnOF5IgzWHhQpbeq+ouOa9&#10;UVAWYzIk33tsPuIM+wvuTp+nRKnp4/i2BOFp9Pfwf3urFbzMX+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KgYxQAAANwAAAAPAAAAAAAAAAAAAAAAAJgCAABkcnMv&#10;ZG93bnJldi54bWxQSwUGAAAAAAQABAD1AAAAigMAAAAA&#10;" path="m,105l,e" filled="f" strokeweight=".33869mm">
                  <v:path arrowok="t" o:connecttype="custom" o:connectlocs="0,105;0,0" o:connectangles="0,0"/>
                </v:shape>
                <v:shape id="Freeform 89" o:spid="_x0000_s1072" style="position:absolute;left:9264;top:1986;width:20;height:106;visibility:visible;mso-wrap-style:square;v-text-anchor:top" coordsize="2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M8asEA&#10;AADcAAAADwAAAGRycy9kb3ducmV2LnhtbERPy4rCMBTdC/MP4Q6403RUpHRMyzAgulDwMQuXl+ba&#10;1mluahNt/XuzEFweznuR9aYWd2pdZVnB1zgCQZxbXXGh4O+4HMUgnEfWWFsmBQ9ykKUfgwUm2na8&#10;p/vBFyKEsEtQQel9k0jp8pIMurFtiAN3tq1BH2BbSN1iF8JNLSdRNJcGKw4NJTb0W1L+f7gZBUXe&#10;x1183WG9ipZ4u+DmtD3FSg0/+59vEJ56/xa/3GutYDoLa8OZcARk+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jPGrBAAAA3AAAAA8AAAAAAAAAAAAAAAAAmAIAAGRycy9kb3du&#10;cmV2LnhtbFBLBQYAAAAABAAEAPUAAACGAwAAAAA=&#10;" path="m,105l,e" filled="f" strokeweight=".33869mm">
                  <v:path arrowok="t" o:connecttype="custom" o:connectlocs="0,105;0,0" o:connectangles="0,0"/>
                </v:shape>
                <v:shape id="Freeform 90" o:spid="_x0000_s1073" style="position:absolute;left:9972;top:-281;width:20;height:2373;visibility:visible;mso-wrap-style:square;v-text-anchor:top" coordsize="20,2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b0e8QA&#10;AADcAAAADwAAAGRycy9kb3ducmV2LnhtbESP3UoDMRSE7wXfIRyhN6XN2kp/1qalCoIXXvTvAQ6b&#10;YxLcnCxJ3K4+vREEL4eZ+YbZ7Abfip5icoEV3E8rEMRN0I6Ngsv5ZbICkTKyxjYwKfiiBLvt7c0G&#10;ax2ufKT+lI0oEE41KrA5d7WUqbHkMU1DR1y89xA95iKjkTritcB9K2dVtZAeHZcFix09W2o+Tp9e&#10;QdXbuRt3ce+WbW/G4cng2/dBqdHdsH8EkWnI/+G/9qtWMH9Yw++Zcg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W9HvEAAAA3AAAAA8AAAAAAAAAAAAAAAAAmAIAAGRycy9k&#10;b3ducmV2LnhtbFBLBQYAAAAABAAEAPUAAACJAwAAAAA=&#10;" path="m,l,2373e" filled="f" strokeweight=".33869mm">
                  <v:path arrowok="t" o:connecttype="custom" o:connectlocs="0,0;0,2373" o:connectangles="0,0"/>
                </v:shape>
                <v:shape id="Freeform 91" o:spid="_x0000_s1074" style="position:absolute;left:9920;top:1652;width:105;height:20;visibility:visible;mso-wrap-style:square;v-text-anchor:top" coordsize="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n1kcEA&#10;AADcAAAADwAAAGRycy9kb3ducmV2LnhtbERPTWvCQBC9F/oflin0VjcqFkldJQiF3krUHnIbs2MS&#10;zM6G3a2m/nrnIPT4eN+rzeh6daEQO88GppMMFHHtbceNgcP+820JKiZki71nMvBHETbr56cV5tZf&#10;uaTLLjVKQjjmaKBNaci1jnVLDuPED8TCnXxwmASGRtuAVwl3vZ5l2bt22LE0tDjQtqX6vPt1BuZV&#10;VS6/f4ojFrf+VA3lcbadB2NeX8biA1SiMf2LH+4vK76FzJczcgT0+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9ZHBAAAA3AAAAA8AAAAAAAAAAAAAAAAAmAIAAGRycy9kb3du&#10;cmV2LnhtbFBLBQYAAAAABAAEAPUAAACGAwAAAAA=&#10;" path="m,l105,e" filled="f" strokeweight=".33919mm">
                  <v:path arrowok="t" o:connecttype="custom" o:connectlocs="0,0;105,0" o:connectangles="0,0"/>
                </v:shape>
                <v:shape id="Freeform 92" o:spid="_x0000_s1075" style="position:absolute;left:9920;top:1265;width:105;height:20;visibility:visible;mso-wrap-style:square;v-text-anchor:top" coordsize="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VQCsMA&#10;AADcAAAADwAAAGRycy9kb3ducmV2LnhtbESPQYvCMBSE78L+h/AWvGmqokg1ShEWvEldPfT2bJ5t&#10;2ealJFGrv94sLOxxmPlmmPW2N624k/ONZQWTcQKCuLS64UrB6ftrtAThA7LG1jIpeJKH7eZjsMZU&#10;2wfndD+GSsQS9ikqqEPoUil9WZNBP7YdcfSu1hkMUbpKaoePWG5aOU2ShTTYcFyosaNdTeXP8WYU&#10;zIoiXx7O2QWzV3stuvwy3c2cUsPPPluBCNSH//AfvdeRm0/g90w8AnLz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VQCsMAAADcAAAADwAAAAAAAAAAAAAAAACYAgAAZHJzL2Rv&#10;d25yZXYueG1sUEsFBgAAAAAEAAQA9QAAAIgDAAAAAA==&#10;" path="m,l105,e" filled="f" strokeweight=".33919mm">
                  <v:path arrowok="t" o:connecttype="custom" o:connectlocs="0,0;105,0" o:connectangles="0,0"/>
                </v:shape>
                <v:shape id="Freeform 93" o:spid="_x0000_s1076" style="position:absolute;left:9920;top:880;width:105;height:20;visibility:visible;mso-wrap-style:square;v-text-anchor:top" coordsize="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fOfcQA&#10;AADcAAAADwAAAGRycy9kb3ducmV2LnhtbESPQWvCQBSE70L/w/IKvemmkYpENyEIhd5KrB5ye2af&#10;STD7NuxuNfrru4VCj8PMN8Nsi8kM4krO95YVvC4SEMSN1T23Cg5f7/M1CB+QNQ6WScGdPBT502yL&#10;mbY3rui6D62IJewzVNCFMGZS+qYjg35hR+Lona0zGKJ0rdQOb7HcDDJNkpU02HNc6HCkXUfNZf9t&#10;FCzrulp/HssTlo/hXI/VKd0tnVIvz1O5ARFoCv/hP/pDR+4thd8z8Qj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Xzn3EAAAA3AAAAA8AAAAAAAAAAAAAAAAAmAIAAGRycy9k&#10;b3ducmV2LnhtbFBLBQYAAAAABAAEAPUAAACJAwAAAAA=&#10;" path="m,l105,e" filled="f" strokeweight=".33919mm">
                  <v:path arrowok="t" o:connecttype="custom" o:connectlocs="0,0;105,0" o:connectangles="0,0"/>
                </v:shape>
                <v:shape id="Freeform 94" o:spid="_x0000_s1077" style="position:absolute;left:9920;top:493;width:105;height:20;visibility:visible;mso-wrap-style:square;v-text-anchor:top" coordsize="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tr5sQA&#10;AADcAAAADwAAAGRycy9kb3ducmV2LnhtbESPQWvCQBSE74L/YXmCN91oqEh0lSAIvUmsHnJ7Zp9J&#10;MPs27G417a/vFgo9DjPfDLPdD6YTT3K+taxgMU9AEFdWt1wruHwcZ2sQPiBr7CyTgi/ysN+NR1vM&#10;tH1xQc9zqEUsYZ+hgiaEPpPSVw0Z9HPbE0fvbp3BEKWrpXb4iuWmk8skWUmDLceFBns6NFQ9zp9G&#10;QVqWxfp0zW+Yf3f3si9uy0PqlJpOhnwDItAQ/sN/9LuO3FsKv2fiEZ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ba+bEAAAA3AAAAA8AAAAAAAAAAAAAAAAAmAIAAGRycy9k&#10;b3ducmV2LnhtbFBLBQYAAAAABAAEAPUAAACJAwAAAAA=&#10;" path="m,l105,e" filled="f" strokeweight=".33919mm">
                  <v:path arrowok="t" o:connecttype="custom" o:connectlocs="0,0;105,0" o:connectangles="0,0"/>
                </v:shape>
                <v:shape id="Freeform 95" o:spid="_x0000_s1078" style="position:absolute;left:9920;top:105;width:105;height:20;visibility:visible;mso-wrap-style:square;v-text-anchor:top" coordsize="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LzksQA&#10;AADcAAAADwAAAGRycy9kb3ducmV2LnhtbESPQWvCQBSE7wX/w/IEb82maoukrhIEwVuJbQ+5PbPP&#10;JDT7NuyumvrrXUHwOMx8M8xyPZhOnMn51rKCtyQFQVxZ3XKt4Od7+7oA4QOyxs4yKfgnD+vV6GWJ&#10;mbYXLui8D7WIJewzVNCE0GdS+qohgz6xPXH0jtYZDFG6WmqHl1huOjlN0w9psOW40GBPm4aqv/3J&#10;KJiVZbH4+s0PmF+7Y9kXh+lm5pSajIf8E0SgITzDD3qnI/c+h/u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y85LEAAAA3AAAAA8AAAAAAAAAAAAAAAAAmAIAAGRycy9k&#10;b3ducmV2LnhtbFBLBQYAAAAABAAEAPUAAACJAwAAAAA=&#10;" path="m,l105,e" filled="f" strokeweight=".33919mm">
                  <v:path arrowok="t" o:connecttype="custom" o:connectlocs="0,0;105,0" o:connectangles="0,0"/>
                </v:shape>
                <v:shape id="Freeform 96" o:spid="_x0000_s1079" style="position:absolute;left:9920;top:-281;width:105;height:20;visibility:visible;mso-wrap-style:square;v-text-anchor:top" coordsize="1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CcMA&#10;AADcAAAADwAAAGRycy9kb3ducmV2LnhtbESPQYvCMBSE7wv+h/AEb2uq4iJdoxRB8CbV3UNvz+bZ&#10;FpuXkkSt/nqzsOBxmPlmmOW6N624kfONZQWTcQKCuLS64UrBz3H7uQDhA7LG1jIpeJCH9WrwscRU&#10;2zvndDuESsQS9ikqqEPoUil9WZNBP7YdcfTO1hkMUbpKaof3WG5aOU2SL2mw4bhQY0ebmsrL4WoU&#10;zIoiX+x/sxNmz/ZcdPlpupk5pUbDPvsGEagP7/A/vdORm8/h7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CcMAAADcAAAADwAAAAAAAAAAAAAAAACYAgAAZHJzL2Rv&#10;d25yZXYueG1sUEsFBgAAAAAEAAQA9QAAAIgDAAAAAA==&#10;" path="m,l105,e" filled="f" strokeweight=".33919mm">
                  <v:path arrowok="t" o:connecttype="custom" o:connectlocs="0,0;105,0" o:connectangles="0,0"/>
                </v:shape>
                <v:shape id="Freeform 97" o:spid="_x0000_s1080" style="position:absolute;left:2878;top:153;width:7094;height:1162;visibility:visible;mso-wrap-style:square;v-text-anchor:top" coordsize="7094,1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L1sYA&#10;AADcAAAADwAAAGRycy9kb3ducmV2LnhtbESPzWrDMBCE74W+g9hCb41UtwnBiWJKoRDIweSHQG6L&#10;tbHdWitjyY7z9lUgkOMwM98wy2y0jRio87VjDe8TBYK4cKbmUsNh//M2B+EDssHGMWm4kods9fy0&#10;xNS4C29p2IVSRAj7FDVUIbSplL6oyKKfuJY4emfXWQxRdqU0HV4i3DYyUWomLdYcFyps6bui4m/X&#10;Ww3UH3MV1p+beugT1fwe8v40zbV+fRm/FiACjeERvrfXRsPHdAa3M/EI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JL1sYAAADcAAAADwAAAAAAAAAAAAAAAACYAgAAZHJz&#10;L2Rvd25yZXYueG1sUEsFBgAAAAAEAAQA9QAAAIsDAAAAAA==&#10;" path="m,1162r710,-73l1418,685r711,-38l2837,591r711,-48l4256,462,4966,192r709,-24l6386,139,7094,e" filled="f" strokecolor="navy" strokeweight="1.0176mm">
                  <v:path arrowok="t" o:connecttype="custom" o:connectlocs="0,1162;710,1089;1418,685;2129,647;2837,591;3548,543;4256,462;4966,192;5675,168;6386,139;7094,0" o:connectangles="0,0,0,0,0,0,0,0,0,0,0"/>
                </v:shape>
                <w10:wrap anchorx="page"/>
              </v:group>
            </w:pict>
          </mc:Fallback>
        </mc:AlternateContent>
      </w:r>
      <w:r>
        <w:rPr>
          <w:noProof/>
          <w:lang w:eastAsia="lt-LT"/>
        </w:rPr>
        <mc:AlternateContent>
          <mc:Choice Requires="wps">
            <w:drawing>
              <wp:anchor distT="0" distB="0" distL="114300" distR="114300" simplePos="0" relativeHeight="251741184" behindDoc="1" locked="0" layoutInCell="0" allowOverlap="1">
                <wp:simplePos x="0" y="0"/>
                <wp:positionH relativeFrom="page">
                  <wp:posOffset>6670675</wp:posOffset>
                </wp:positionH>
                <wp:positionV relativeFrom="paragraph">
                  <wp:posOffset>-206375</wp:posOffset>
                </wp:positionV>
                <wp:extent cx="273685" cy="1523365"/>
                <wp:effectExtent l="0" t="0" r="12065" b="635"/>
                <wp:wrapNone/>
                <wp:docPr id="301" name="Teksto laukas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 cy="152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widowControl w:val="0"/>
                              <w:autoSpaceDE w:val="0"/>
                              <w:autoSpaceDN w:val="0"/>
                              <w:adjustRightInd w:val="0"/>
                              <w:spacing w:line="194" w:lineRule="exact"/>
                              <w:ind w:left="20" w:right="-46"/>
                              <w:rPr>
                                <w:sz w:val="17"/>
                                <w:szCs w:val="17"/>
                              </w:rPr>
                            </w:pPr>
                            <w:r>
                              <w:rPr>
                                <w:b/>
                                <w:bCs/>
                                <w:spacing w:val="-1"/>
                                <w:sz w:val="17"/>
                                <w:szCs w:val="17"/>
                              </w:rPr>
                              <w:t>N</w:t>
                            </w:r>
                            <w:r>
                              <w:rPr>
                                <w:b/>
                                <w:bCs/>
                                <w:spacing w:val="1"/>
                                <w:sz w:val="17"/>
                                <w:szCs w:val="17"/>
                              </w:rPr>
                              <w:t>usikalsta</w:t>
                            </w:r>
                            <w:r>
                              <w:rPr>
                                <w:b/>
                                <w:bCs/>
                                <w:sz w:val="17"/>
                                <w:szCs w:val="17"/>
                              </w:rPr>
                              <w:t>m</w:t>
                            </w:r>
                            <w:r>
                              <w:rPr>
                                <w:b/>
                                <w:bCs/>
                                <w:spacing w:val="1"/>
                                <w:sz w:val="17"/>
                                <w:szCs w:val="17"/>
                              </w:rPr>
                              <w:t>o</w:t>
                            </w:r>
                            <w:r>
                              <w:rPr>
                                <w:b/>
                                <w:bCs/>
                                <w:sz w:val="17"/>
                                <w:szCs w:val="17"/>
                              </w:rPr>
                              <w:t>s</w:t>
                            </w:r>
                            <w:r>
                              <w:rPr>
                                <w:b/>
                                <w:bCs/>
                                <w:spacing w:val="1"/>
                                <w:sz w:val="17"/>
                                <w:szCs w:val="17"/>
                              </w:rPr>
                              <w:t xml:space="preserve"> veikos</w:t>
                            </w:r>
                            <w:r>
                              <w:rPr>
                                <w:b/>
                                <w:bCs/>
                                <w:sz w:val="17"/>
                                <w:szCs w:val="17"/>
                              </w:rPr>
                              <w:t>,</w:t>
                            </w:r>
                            <w:r>
                              <w:rPr>
                                <w:b/>
                                <w:bCs/>
                                <w:spacing w:val="1"/>
                                <w:sz w:val="17"/>
                                <w:szCs w:val="17"/>
                              </w:rPr>
                              <w:t xml:space="preserve"> susijusio</w:t>
                            </w:r>
                            <w:r>
                              <w:rPr>
                                <w:b/>
                                <w:bCs/>
                                <w:sz w:val="17"/>
                                <w:szCs w:val="17"/>
                              </w:rPr>
                              <w:t>s</w:t>
                            </w:r>
                          </w:p>
                          <w:p w:rsidR="004F7425" w:rsidRDefault="004F7425" w:rsidP="004F7425">
                            <w:pPr>
                              <w:widowControl w:val="0"/>
                              <w:autoSpaceDE w:val="0"/>
                              <w:autoSpaceDN w:val="0"/>
                              <w:adjustRightInd w:val="0"/>
                              <w:spacing w:before="25"/>
                              <w:ind w:left="32" w:right="-20"/>
                              <w:rPr>
                                <w:sz w:val="17"/>
                                <w:szCs w:val="17"/>
                              </w:rPr>
                            </w:pPr>
                            <w:r>
                              <w:rPr>
                                <w:b/>
                                <w:bCs/>
                                <w:spacing w:val="1"/>
                                <w:sz w:val="17"/>
                                <w:szCs w:val="17"/>
                              </w:rPr>
                              <w:t>s</w:t>
                            </w:r>
                            <w:r>
                              <w:rPr>
                                <w:b/>
                                <w:bCs/>
                                <w:sz w:val="17"/>
                                <w:szCs w:val="17"/>
                              </w:rPr>
                              <w:t>u</w:t>
                            </w:r>
                            <w:r>
                              <w:rPr>
                                <w:b/>
                                <w:bCs/>
                                <w:spacing w:val="2"/>
                                <w:sz w:val="17"/>
                                <w:szCs w:val="17"/>
                              </w:rPr>
                              <w:t xml:space="preserve"> </w:t>
                            </w:r>
                            <w:r>
                              <w:rPr>
                                <w:b/>
                                <w:bCs/>
                                <w:spacing w:val="1"/>
                                <w:sz w:val="17"/>
                                <w:szCs w:val="17"/>
                              </w:rPr>
                              <w:t>neteisėt</w:t>
                            </w:r>
                            <w:r>
                              <w:rPr>
                                <w:b/>
                                <w:bCs/>
                                <w:sz w:val="17"/>
                                <w:szCs w:val="17"/>
                              </w:rPr>
                              <w:t>a</w:t>
                            </w:r>
                            <w:r>
                              <w:rPr>
                                <w:b/>
                                <w:bCs/>
                                <w:spacing w:val="2"/>
                                <w:sz w:val="17"/>
                                <w:szCs w:val="17"/>
                              </w:rPr>
                              <w:t xml:space="preserve"> </w:t>
                            </w:r>
                            <w:r>
                              <w:rPr>
                                <w:b/>
                                <w:bCs/>
                                <w:spacing w:val="1"/>
                                <w:sz w:val="17"/>
                                <w:szCs w:val="17"/>
                              </w:rPr>
                              <w:t>narkotik</w:t>
                            </w:r>
                            <w:r>
                              <w:rPr>
                                <w:b/>
                                <w:bCs/>
                                <w:sz w:val="17"/>
                                <w:szCs w:val="17"/>
                              </w:rPr>
                              <w:t>ų</w:t>
                            </w:r>
                            <w:r>
                              <w:rPr>
                                <w:b/>
                                <w:bCs/>
                                <w:spacing w:val="2"/>
                                <w:sz w:val="17"/>
                                <w:szCs w:val="17"/>
                              </w:rPr>
                              <w:t xml:space="preserve"> </w:t>
                            </w:r>
                            <w:r>
                              <w:rPr>
                                <w:b/>
                                <w:bCs/>
                                <w:spacing w:val="1"/>
                                <w:sz w:val="17"/>
                                <w:szCs w:val="17"/>
                              </w:rPr>
                              <w:t>apyvart</w:t>
                            </w:r>
                            <w:r>
                              <w:rPr>
                                <w:b/>
                                <w:bCs/>
                                <w:sz w:val="17"/>
                                <w:szCs w:val="17"/>
                              </w:rPr>
                              <w:t>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ksto laukas 301" o:spid="_x0000_s1050" type="#_x0000_t202" style="position:absolute;margin-left:525.25pt;margin-top:-16.25pt;width:21.55pt;height:119.95pt;z-index:-25157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" o:allowincell="f" filled="f" stroked="f">
                <v:textbox style="layout-flow:vertical;mso-layout-flow-alt:bottom-to-top" inset="0,0,0,0">
                  <w:txbxContent>
                    <w:p w:rsidR="004F7425" w:rsidRDefault="004F7425" w:rsidP="004F7425">
                      <w:pPr>
                        <w:widowControl w:val="0"/>
                        <w:autoSpaceDE w:val="0"/>
                        <w:autoSpaceDN w:val="0"/>
                        <w:adjustRightInd w:val="0"/>
                        <w:spacing w:line="194" w:lineRule="exact"/>
                        <w:ind w:left="20" w:right="-46"/>
                        <w:rPr>
                          <w:sz w:val="17"/>
                          <w:szCs w:val="17"/>
                        </w:rPr>
                      </w:pPr>
                      <w:r>
                        <w:rPr>
                          <w:b/>
                          <w:bCs/>
                          <w:spacing w:val="-1"/>
                          <w:sz w:val="17"/>
                          <w:szCs w:val="17"/>
                        </w:rPr>
                        <w:t>N</w:t>
                      </w:r>
                      <w:r>
                        <w:rPr>
                          <w:b/>
                          <w:bCs/>
                          <w:spacing w:val="1"/>
                          <w:sz w:val="17"/>
                          <w:szCs w:val="17"/>
                        </w:rPr>
                        <w:t>usikalsta</w:t>
                      </w:r>
                      <w:r>
                        <w:rPr>
                          <w:b/>
                          <w:bCs/>
                          <w:sz w:val="17"/>
                          <w:szCs w:val="17"/>
                        </w:rPr>
                        <w:t>m</w:t>
                      </w:r>
                      <w:r>
                        <w:rPr>
                          <w:b/>
                          <w:bCs/>
                          <w:spacing w:val="1"/>
                          <w:sz w:val="17"/>
                          <w:szCs w:val="17"/>
                        </w:rPr>
                        <w:t>o</w:t>
                      </w:r>
                      <w:r>
                        <w:rPr>
                          <w:b/>
                          <w:bCs/>
                          <w:sz w:val="17"/>
                          <w:szCs w:val="17"/>
                        </w:rPr>
                        <w:t>s</w:t>
                      </w:r>
                      <w:r>
                        <w:rPr>
                          <w:b/>
                          <w:bCs/>
                          <w:spacing w:val="1"/>
                          <w:sz w:val="17"/>
                          <w:szCs w:val="17"/>
                        </w:rPr>
                        <w:t xml:space="preserve"> veikos</w:t>
                      </w:r>
                      <w:r>
                        <w:rPr>
                          <w:b/>
                          <w:bCs/>
                          <w:sz w:val="17"/>
                          <w:szCs w:val="17"/>
                        </w:rPr>
                        <w:t>,</w:t>
                      </w:r>
                      <w:r>
                        <w:rPr>
                          <w:b/>
                          <w:bCs/>
                          <w:spacing w:val="1"/>
                          <w:sz w:val="17"/>
                          <w:szCs w:val="17"/>
                        </w:rPr>
                        <w:t xml:space="preserve"> susijusio</w:t>
                      </w:r>
                      <w:r>
                        <w:rPr>
                          <w:b/>
                          <w:bCs/>
                          <w:sz w:val="17"/>
                          <w:szCs w:val="17"/>
                        </w:rPr>
                        <w:t>s</w:t>
                      </w:r>
                    </w:p>
                    <w:p w:rsidR="004F7425" w:rsidRDefault="004F7425" w:rsidP="004F7425">
                      <w:pPr>
                        <w:widowControl w:val="0"/>
                        <w:autoSpaceDE w:val="0"/>
                        <w:autoSpaceDN w:val="0"/>
                        <w:adjustRightInd w:val="0"/>
                        <w:spacing w:before="25"/>
                        <w:ind w:left="32" w:right="-20"/>
                        <w:rPr>
                          <w:sz w:val="17"/>
                          <w:szCs w:val="17"/>
                        </w:rPr>
                      </w:pPr>
                      <w:r>
                        <w:rPr>
                          <w:b/>
                          <w:bCs/>
                          <w:spacing w:val="1"/>
                          <w:sz w:val="17"/>
                          <w:szCs w:val="17"/>
                        </w:rPr>
                        <w:t>s</w:t>
                      </w:r>
                      <w:r>
                        <w:rPr>
                          <w:b/>
                          <w:bCs/>
                          <w:sz w:val="17"/>
                          <w:szCs w:val="17"/>
                        </w:rPr>
                        <w:t>u</w:t>
                      </w:r>
                      <w:r>
                        <w:rPr>
                          <w:b/>
                          <w:bCs/>
                          <w:spacing w:val="2"/>
                          <w:sz w:val="17"/>
                          <w:szCs w:val="17"/>
                        </w:rPr>
                        <w:t xml:space="preserve"> </w:t>
                      </w:r>
                      <w:r>
                        <w:rPr>
                          <w:b/>
                          <w:bCs/>
                          <w:spacing w:val="1"/>
                          <w:sz w:val="17"/>
                          <w:szCs w:val="17"/>
                        </w:rPr>
                        <w:t>neteisėt</w:t>
                      </w:r>
                      <w:r>
                        <w:rPr>
                          <w:b/>
                          <w:bCs/>
                          <w:sz w:val="17"/>
                          <w:szCs w:val="17"/>
                        </w:rPr>
                        <w:t>a</w:t>
                      </w:r>
                      <w:r>
                        <w:rPr>
                          <w:b/>
                          <w:bCs/>
                          <w:spacing w:val="2"/>
                          <w:sz w:val="17"/>
                          <w:szCs w:val="17"/>
                        </w:rPr>
                        <w:t xml:space="preserve"> </w:t>
                      </w:r>
                      <w:r>
                        <w:rPr>
                          <w:b/>
                          <w:bCs/>
                          <w:spacing w:val="1"/>
                          <w:sz w:val="17"/>
                          <w:szCs w:val="17"/>
                        </w:rPr>
                        <w:t>narkotik</w:t>
                      </w:r>
                      <w:r>
                        <w:rPr>
                          <w:b/>
                          <w:bCs/>
                          <w:sz w:val="17"/>
                          <w:szCs w:val="17"/>
                        </w:rPr>
                        <w:t>ų</w:t>
                      </w:r>
                      <w:r>
                        <w:rPr>
                          <w:b/>
                          <w:bCs/>
                          <w:spacing w:val="2"/>
                          <w:sz w:val="17"/>
                          <w:szCs w:val="17"/>
                        </w:rPr>
                        <w:t xml:space="preserve"> </w:t>
                      </w:r>
                      <w:r>
                        <w:rPr>
                          <w:b/>
                          <w:bCs/>
                          <w:spacing w:val="1"/>
                          <w:sz w:val="17"/>
                          <w:szCs w:val="17"/>
                        </w:rPr>
                        <w:t>apyvart</w:t>
                      </w:r>
                      <w:r>
                        <w:rPr>
                          <w:b/>
                          <w:bCs/>
                          <w:sz w:val="17"/>
                          <w:szCs w:val="17"/>
                        </w:rPr>
                        <w:t>a</w:t>
                      </w:r>
                    </w:p>
                  </w:txbxContent>
                </v:textbox>
                <w10:wrap anchorx="page"/>
              </v:shape>
            </w:pict>
          </mc:Fallback>
        </mc:AlternateContent>
      </w:r>
      <w:r>
        <w:rPr>
          <w:b/>
          <w:bCs/>
          <w:color w:val="000000"/>
          <w:spacing w:val="1"/>
          <w:sz w:val="17"/>
          <w:szCs w:val="17"/>
        </w:rPr>
        <w:t>2500</w:t>
      </w:r>
    </w:p>
    <w:p w:rsidR="004F7425" w:rsidRDefault="004F7425" w:rsidP="004F7425">
      <w:pPr>
        <w:widowControl w:val="0"/>
        <w:autoSpaceDE w:val="0"/>
        <w:autoSpaceDN w:val="0"/>
        <w:adjustRightInd w:val="0"/>
        <w:spacing w:before="2" w:line="190" w:lineRule="exact"/>
        <w:rPr>
          <w:color w:val="000000"/>
          <w:sz w:val="19"/>
          <w:szCs w:val="19"/>
        </w:rPr>
      </w:pPr>
    </w:p>
    <w:p w:rsidR="004F7425" w:rsidRDefault="004F7425" w:rsidP="004F7425">
      <w:pPr>
        <w:widowControl w:val="0"/>
        <w:autoSpaceDE w:val="0"/>
        <w:autoSpaceDN w:val="0"/>
        <w:adjustRightInd w:val="0"/>
        <w:ind w:right="-20"/>
        <w:rPr>
          <w:color w:val="000000"/>
          <w:sz w:val="17"/>
          <w:szCs w:val="17"/>
        </w:rPr>
      </w:pPr>
      <w:r>
        <w:rPr>
          <w:b/>
          <w:bCs/>
          <w:color w:val="000000"/>
          <w:spacing w:val="1"/>
          <w:sz w:val="17"/>
          <w:szCs w:val="17"/>
        </w:rPr>
        <w:t>2000</w:t>
      </w:r>
    </w:p>
    <w:p w:rsidR="004F7425" w:rsidRDefault="004F7425" w:rsidP="004F7425">
      <w:pPr>
        <w:widowControl w:val="0"/>
        <w:autoSpaceDE w:val="0"/>
        <w:autoSpaceDN w:val="0"/>
        <w:adjustRightInd w:val="0"/>
        <w:spacing w:before="1" w:line="190" w:lineRule="exact"/>
        <w:rPr>
          <w:color w:val="000000"/>
          <w:sz w:val="19"/>
          <w:szCs w:val="19"/>
        </w:rPr>
      </w:pPr>
    </w:p>
    <w:p w:rsidR="004F7425" w:rsidRDefault="004F7425" w:rsidP="004F7425">
      <w:pPr>
        <w:widowControl w:val="0"/>
        <w:autoSpaceDE w:val="0"/>
        <w:autoSpaceDN w:val="0"/>
        <w:adjustRightInd w:val="0"/>
        <w:ind w:right="-20"/>
        <w:rPr>
          <w:color w:val="000000"/>
          <w:sz w:val="17"/>
          <w:szCs w:val="17"/>
        </w:rPr>
      </w:pPr>
      <w:r>
        <w:rPr>
          <w:b/>
          <w:bCs/>
          <w:color w:val="000000"/>
          <w:spacing w:val="1"/>
          <w:sz w:val="17"/>
          <w:szCs w:val="17"/>
        </w:rPr>
        <w:t>1500</w:t>
      </w:r>
    </w:p>
    <w:p w:rsidR="004F7425" w:rsidRDefault="004F7425" w:rsidP="004F7425">
      <w:pPr>
        <w:widowControl w:val="0"/>
        <w:autoSpaceDE w:val="0"/>
        <w:autoSpaceDN w:val="0"/>
        <w:adjustRightInd w:val="0"/>
        <w:spacing w:before="10" w:line="180" w:lineRule="exact"/>
        <w:rPr>
          <w:color w:val="000000"/>
          <w:sz w:val="18"/>
          <w:szCs w:val="18"/>
        </w:rPr>
      </w:pPr>
    </w:p>
    <w:p w:rsidR="004F7425" w:rsidRDefault="004F7425" w:rsidP="004F7425">
      <w:pPr>
        <w:widowControl w:val="0"/>
        <w:autoSpaceDE w:val="0"/>
        <w:autoSpaceDN w:val="0"/>
        <w:adjustRightInd w:val="0"/>
        <w:ind w:right="-20"/>
        <w:rPr>
          <w:color w:val="000000"/>
          <w:sz w:val="17"/>
          <w:szCs w:val="17"/>
        </w:rPr>
      </w:pPr>
      <w:r>
        <w:rPr>
          <w:b/>
          <w:bCs/>
          <w:color w:val="000000"/>
          <w:spacing w:val="1"/>
          <w:sz w:val="17"/>
          <w:szCs w:val="17"/>
        </w:rPr>
        <w:t>1000</w:t>
      </w:r>
    </w:p>
    <w:p w:rsidR="004F7425" w:rsidRDefault="004F7425" w:rsidP="004F7425">
      <w:pPr>
        <w:widowControl w:val="0"/>
        <w:autoSpaceDE w:val="0"/>
        <w:autoSpaceDN w:val="0"/>
        <w:adjustRightInd w:val="0"/>
        <w:spacing w:before="2" w:line="190" w:lineRule="exact"/>
        <w:rPr>
          <w:color w:val="000000"/>
          <w:sz w:val="19"/>
          <w:szCs w:val="19"/>
        </w:rPr>
      </w:pPr>
    </w:p>
    <w:p w:rsidR="004F7425" w:rsidRDefault="004F7425" w:rsidP="004F7425">
      <w:pPr>
        <w:widowControl w:val="0"/>
        <w:autoSpaceDE w:val="0"/>
        <w:autoSpaceDN w:val="0"/>
        <w:adjustRightInd w:val="0"/>
        <w:ind w:right="-20"/>
        <w:rPr>
          <w:color w:val="000000"/>
          <w:sz w:val="17"/>
          <w:szCs w:val="17"/>
        </w:rPr>
      </w:pPr>
      <w:r>
        <w:rPr>
          <w:b/>
          <w:bCs/>
          <w:color w:val="000000"/>
          <w:spacing w:val="1"/>
          <w:sz w:val="17"/>
          <w:szCs w:val="17"/>
        </w:rPr>
        <w:t>500</w:t>
      </w:r>
    </w:p>
    <w:p w:rsidR="004F7425" w:rsidRDefault="004F7425" w:rsidP="004F7425">
      <w:pPr>
        <w:widowControl w:val="0"/>
        <w:autoSpaceDE w:val="0"/>
        <w:autoSpaceDN w:val="0"/>
        <w:adjustRightInd w:val="0"/>
        <w:spacing w:before="2" w:line="190" w:lineRule="exact"/>
        <w:rPr>
          <w:color w:val="000000"/>
          <w:sz w:val="19"/>
          <w:szCs w:val="19"/>
        </w:rPr>
      </w:pPr>
    </w:p>
    <w:p w:rsidR="004F7425" w:rsidRDefault="004F7425" w:rsidP="004F7425">
      <w:pPr>
        <w:widowControl w:val="0"/>
        <w:autoSpaceDE w:val="0"/>
        <w:autoSpaceDN w:val="0"/>
        <w:adjustRightInd w:val="0"/>
        <w:spacing w:line="192" w:lineRule="exact"/>
        <w:ind w:right="-20"/>
        <w:rPr>
          <w:color w:val="000000"/>
          <w:sz w:val="17"/>
          <w:szCs w:val="17"/>
        </w:rPr>
      </w:pPr>
      <w:r>
        <w:rPr>
          <w:b/>
          <w:bCs/>
          <w:color w:val="000000"/>
          <w:position w:val="-1"/>
          <w:sz w:val="17"/>
          <w:szCs w:val="17"/>
        </w:rPr>
        <w:t>0</w:t>
      </w:r>
    </w:p>
    <w:p w:rsidR="004F7425" w:rsidRDefault="004F7425" w:rsidP="004F7425">
      <w:pPr>
        <w:widowControl w:val="0"/>
        <w:autoSpaceDE w:val="0"/>
        <w:autoSpaceDN w:val="0"/>
        <w:adjustRightInd w:val="0"/>
        <w:spacing w:line="192" w:lineRule="exact"/>
        <w:ind w:right="-20"/>
        <w:rPr>
          <w:color w:val="000000"/>
          <w:sz w:val="17"/>
          <w:szCs w:val="17"/>
        </w:rPr>
        <w:sectPr w:rsidR="004F7425">
          <w:type w:val="continuous"/>
          <w:pgSz w:w="11920" w:h="16840"/>
          <w:pgMar w:top="1540" w:right="460" w:bottom="280" w:left="1580" w:header="567" w:footer="567" w:gutter="0"/>
          <w:cols w:num="2" w:space="1296" w:equalWidth="0">
            <w:col w:w="1171" w:space="7349"/>
            <w:col w:w="1360"/>
          </w:cols>
          <w:noEndnote/>
        </w:sectPr>
      </w:pPr>
    </w:p>
    <w:p w:rsidR="004F7425" w:rsidRDefault="004F7425" w:rsidP="004F7425">
      <w:pPr>
        <w:widowControl w:val="0"/>
        <w:tabs>
          <w:tab w:val="left" w:pos="1820"/>
          <w:tab w:val="left" w:pos="2540"/>
          <w:tab w:val="left" w:pos="3240"/>
          <w:tab w:val="left" w:pos="3960"/>
          <w:tab w:val="left" w:pos="4660"/>
          <w:tab w:val="left" w:pos="5380"/>
          <w:tab w:val="left" w:pos="6080"/>
          <w:tab w:val="left" w:pos="6800"/>
          <w:tab w:val="left" w:pos="7500"/>
          <w:tab w:val="left" w:pos="8220"/>
        </w:tabs>
        <w:autoSpaceDE w:val="0"/>
        <w:autoSpaceDN w:val="0"/>
        <w:adjustRightInd w:val="0"/>
        <w:spacing w:before="63" w:line="192" w:lineRule="exact"/>
        <w:ind w:left="1126" w:right="-20"/>
        <w:rPr>
          <w:color w:val="000000"/>
          <w:sz w:val="17"/>
          <w:szCs w:val="17"/>
        </w:rPr>
      </w:pPr>
      <w:r>
        <w:rPr>
          <w:b/>
          <w:bCs/>
          <w:color w:val="000000"/>
          <w:spacing w:val="1"/>
          <w:position w:val="-1"/>
          <w:sz w:val="17"/>
          <w:szCs w:val="17"/>
        </w:rPr>
        <w:lastRenderedPageBreak/>
        <w:t>200</w:t>
      </w:r>
      <w:r>
        <w:rPr>
          <w:b/>
          <w:bCs/>
          <w:color w:val="000000"/>
          <w:position w:val="-1"/>
          <w:sz w:val="17"/>
          <w:szCs w:val="17"/>
        </w:rPr>
        <w:t>2</w:t>
      </w:r>
      <w:r>
        <w:rPr>
          <w:b/>
          <w:bCs/>
          <w:color w:val="000000"/>
          <w:position w:val="-1"/>
          <w:sz w:val="17"/>
          <w:szCs w:val="17"/>
        </w:rPr>
        <w:tab/>
      </w:r>
      <w:r>
        <w:rPr>
          <w:b/>
          <w:bCs/>
          <w:color w:val="000000"/>
          <w:spacing w:val="1"/>
          <w:position w:val="-1"/>
          <w:sz w:val="17"/>
          <w:szCs w:val="17"/>
        </w:rPr>
        <w:t>200</w:t>
      </w:r>
      <w:r>
        <w:rPr>
          <w:b/>
          <w:bCs/>
          <w:color w:val="000000"/>
          <w:position w:val="-1"/>
          <w:sz w:val="17"/>
          <w:szCs w:val="17"/>
        </w:rPr>
        <w:t>3</w:t>
      </w:r>
      <w:r>
        <w:rPr>
          <w:b/>
          <w:bCs/>
          <w:color w:val="000000"/>
          <w:position w:val="-1"/>
          <w:sz w:val="17"/>
          <w:szCs w:val="17"/>
        </w:rPr>
        <w:tab/>
      </w:r>
      <w:r>
        <w:rPr>
          <w:b/>
          <w:bCs/>
          <w:color w:val="000000"/>
          <w:spacing w:val="1"/>
          <w:position w:val="-1"/>
          <w:sz w:val="17"/>
          <w:szCs w:val="17"/>
        </w:rPr>
        <w:t>200</w:t>
      </w:r>
      <w:r>
        <w:rPr>
          <w:b/>
          <w:bCs/>
          <w:color w:val="000000"/>
          <w:position w:val="-1"/>
          <w:sz w:val="17"/>
          <w:szCs w:val="17"/>
        </w:rPr>
        <w:t>4</w:t>
      </w:r>
      <w:r>
        <w:rPr>
          <w:b/>
          <w:bCs/>
          <w:color w:val="000000"/>
          <w:position w:val="-1"/>
          <w:sz w:val="17"/>
          <w:szCs w:val="17"/>
        </w:rPr>
        <w:tab/>
      </w:r>
      <w:r>
        <w:rPr>
          <w:b/>
          <w:bCs/>
          <w:color w:val="000000"/>
          <w:spacing w:val="1"/>
          <w:position w:val="-1"/>
          <w:sz w:val="17"/>
          <w:szCs w:val="17"/>
        </w:rPr>
        <w:t>200</w:t>
      </w:r>
      <w:r>
        <w:rPr>
          <w:b/>
          <w:bCs/>
          <w:color w:val="000000"/>
          <w:position w:val="-1"/>
          <w:sz w:val="17"/>
          <w:szCs w:val="17"/>
        </w:rPr>
        <w:t>5</w:t>
      </w:r>
      <w:r>
        <w:rPr>
          <w:b/>
          <w:bCs/>
          <w:color w:val="000000"/>
          <w:position w:val="-1"/>
          <w:sz w:val="17"/>
          <w:szCs w:val="17"/>
        </w:rPr>
        <w:tab/>
      </w:r>
      <w:r>
        <w:rPr>
          <w:b/>
          <w:bCs/>
          <w:color w:val="000000"/>
          <w:spacing w:val="1"/>
          <w:position w:val="-1"/>
          <w:sz w:val="17"/>
          <w:szCs w:val="17"/>
        </w:rPr>
        <w:t>200</w:t>
      </w:r>
      <w:r>
        <w:rPr>
          <w:b/>
          <w:bCs/>
          <w:color w:val="000000"/>
          <w:position w:val="-1"/>
          <w:sz w:val="17"/>
          <w:szCs w:val="17"/>
        </w:rPr>
        <w:t>6</w:t>
      </w:r>
      <w:r>
        <w:rPr>
          <w:b/>
          <w:bCs/>
          <w:color w:val="000000"/>
          <w:position w:val="-1"/>
          <w:sz w:val="17"/>
          <w:szCs w:val="17"/>
        </w:rPr>
        <w:tab/>
      </w:r>
      <w:r>
        <w:rPr>
          <w:b/>
          <w:bCs/>
          <w:color w:val="000000"/>
          <w:spacing w:val="1"/>
          <w:position w:val="-1"/>
          <w:sz w:val="17"/>
          <w:szCs w:val="17"/>
        </w:rPr>
        <w:t>200</w:t>
      </w:r>
      <w:r>
        <w:rPr>
          <w:b/>
          <w:bCs/>
          <w:color w:val="000000"/>
          <w:position w:val="-1"/>
          <w:sz w:val="17"/>
          <w:szCs w:val="17"/>
        </w:rPr>
        <w:t>7</w:t>
      </w:r>
      <w:r>
        <w:rPr>
          <w:b/>
          <w:bCs/>
          <w:color w:val="000000"/>
          <w:position w:val="-1"/>
          <w:sz w:val="17"/>
          <w:szCs w:val="17"/>
        </w:rPr>
        <w:tab/>
      </w:r>
      <w:r>
        <w:rPr>
          <w:b/>
          <w:bCs/>
          <w:color w:val="000000"/>
          <w:spacing w:val="1"/>
          <w:position w:val="-1"/>
          <w:sz w:val="17"/>
          <w:szCs w:val="17"/>
        </w:rPr>
        <w:t>200</w:t>
      </w:r>
      <w:r>
        <w:rPr>
          <w:b/>
          <w:bCs/>
          <w:color w:val="000000"/>
          <w:position w:val="-1"/>
          <w:sz w:val="17"/>
          <w:szCs w:val="17"/>
        </w:rPr>
        <w:t>8</w:t>
      </w:r>
      <w:r>
        <w:rPr>
          <w:b/>
          <w:bCs/>
          <w:color w:val="000000"/>
          <w:position w:val="-1"/>
          <w:sz w:val="17"/>
          <w:szCs w:val="17"/>
        </w:rPr>
        <w:tab/>
      </w:r>
      <w:r>
        <w:rPr>
          <w:b/>
          <w:bCs/>
          <w:color w:val="000000"/>
          <w:spacing w:val="1"/>
          <w:position w:val="-1"/>
          <w:sz w:val="17"/>
          <w:szCs w:val="17"/>
        </w:rPr>
        <w:t>200</w:t>
      </w:r>
      <w:r>
        <w:rPr>
          <w:b/>
          <w:bCs/>
          <w:color w:val="000000"/>
          <w:position w:val="-1"/>
          <w:sz w:val="17"/>
          <w:szCs w:val="17"/>
        </w:rPr>
        <w:t>9</w:t>
      </w:r>
      <w:r>
        <w:rPr>
          <w:b/>
          <w:bCs/>
          <w:color w:val="000000"/>
          <w:position w:val="-1"/>
          <w:sz w:val="17"/>
          <w:szCs w:val="17"/>
        </w:rPr>
        <w:tab/>
      </w:r>
      <w:r>
        <w:rPr>
          <w:b/>
          <w:bCs/>
          <w:color w:val="000000"/>
          <w:spacing w:val="1"/>
          <w:position w:val="-1"/>
          <w:sz w:val="17"/>
          <w:szCs w:val="17"/>
        </w:rPr>
        <w:t>201</w:t>
      </w:r>
      <w:r>
        <w:rPr>
          <w:b/>
          <w:bCs/>
          <w:color w:val="000000"/>
          <w:position w:val="-1"/>
          <w:sz w:val="17"/>
          <w:szCs w:val="17"/>
        </w:rPr>
        <w:t>0</w:t>
      </w:r>
      <w:r>
        <w:rPr>
          <w:b/>
          <w:bCs/>
          <w:color w:val="000000"/>
          <w:position w:val="-1"/>
          <w:sz w:val="17"/>
          <w:szCs w:val="17"/>
        </w:rPr>
        <w:tab/>
      </w:r>
      <w:r>
        <w:rPr>
          <w:b/>
          <w:bCs/>
          <w:color w:val="000000"/>
          <w:spacing w:val="1"/>
          <w:position w:val="-1"/>
          <w:sz w:val="17"/>
          <w:szCs w:val="17"/>
        </w:rPr>
        <w:t>201</w:t>
      </w:r>
      <w:r>
        <w:rPr>
          <w:b/>
          <w:bCs/>
          <w:color w:val="000000"/>
          <w:position w:val="-1"/>
          <w:sz w:val="17"/>
          <w:szCs w:val="17"/>
        </w:rPr>
        <w:t>1</w:t>
      </w:r>
      <w:r>
        <w:rPr>
          <w:b/>
          <w:bCs/>
          <w:color w:val="000000"/>
          <w:position w:val="-1"/>
          <w:sz w:val="17"/>
          <w:szCs w:val="17"/>
        </w:rPr>
        <w:tab/>
      </w:r>
      <w:r>
        <w:rPr>
          <w:b/>
          <w:bCs/>
          <w:color w:val="000000"/>
          <w:spacing w:val="1"/>
          <w:position w:val="-1"/>
          <w:sz w:val="17"/>
          <w:szCs w:val="17"/>
        </w:rPr>
        <w:t>2012</w:t>
      </w:r>
    </w:p>
    <w:p w:rsidR="004F7425" w:rsidRDefault="004F7425" w:rsidP="004F7425">
      <w:pPr>
        <w:widowControl w:val="0"/>
        <w:autoSpaceDE w:val="0"/>
        <w:autoSpaceDN w:val="0"/>
        <w:adjustRightInd w:val="0"/>
        <w:spacing w:before="1" w:line="170" w:lineRule="exact"/>
        <w:rPr>
          <w:color w:val="000000"/>
          <w:sz w:val="17"/>
          <w:szCs w:val="17"/>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29" w:line="275" w:lineRule="auto"/>
        <w:ind w:left="120" w:right="50" w:firstLine="721"/>
        <w:jc w:val="both"/>
        <w:rPr>
          <w:color w:val="000000"/>
        </w:rPr>
      </w:pPr>
      <w:r>
        <w:rPr>
          <w:noProof/>
          <w:lang w:eastAsia="lt-LT"/>
        </w:rPr>
        <mc:AlternateContent>
          <mc:Choice Requires="wpg">
            <w:drawing>
              <wp:anchor distT="0" distB="0" distL="114300" distR="114300" simplePos="0" relativeHeight="251739136" behindDoc="1" locked="0" layoutInCell="0" allowOverlap="1">
                <wp:simplePos x="0" y="0"/>
                <wp:positionH relativeFrom="page">
                  <wp:posOffset>1075055</wp:posOffset>
                </wp:positionH>
                <wp:positionV relativeFrom="paragraph">
                  <wp:posOffset>-2946400</wp:posOffset>
                </wp:positionV>
                <wp:extent cx="6163945" cy="2769235"/>
                <wp:effectExtent l="0" t="0" r="8255" b="12065"/>
                <wp:wrapNone/>
                <wp:docPr id="296" name="Grupė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3945" cy="2769235"/>
                          <a:chOff x="1693" y="-4640"/>
                          <a:chExt cx="9707" cy="4361"/>
                        </a:xfrm>
                      </wpg:grpSpPr>
                      <wps:wsp>
                        <wps:cNvPr id="297" name="Freeform 99"/>
                        <wps:cNvSpPr>
                          <a:spLocks/>
                        </wps:cNvSpPr>
                        <wps:spPr bwMode="auto">
                          <a:xfrm>
                            <a:off x="1699" y="-4634"/>
                            <a:ext cx="9695" cy="20"/>
                          </a:xfrm>
                          <a:custGeom>
                            <a:avLst/>
                            <a:gdLst>
                              <a:gd name="T0" fmla="*/ 0 w 9695"/>
                              <a:gd name="T1" fmla="*/ 0 h 20"/>
                              <a:gd name="T2" fmla="*/ 9695 w 9695"/>
                              <a:gd name="T3" fmla="*/ 0 h 20"/>
                            </a:gdLst>
                            <a:ahLst/>
                            <a:cxnLst>
                              <a:cxn ang="0">
                                <a:pos x="T0" y="T1"/>
                              </a:cxn>
                              <a:cxn ang="0">
                                <a:pos x="T2" y="T3"/>
                              </a:cxn>
                            </a:cxnLst>
                            <a:rect l="0" t="0" r="r" b="b"/>
                            <a:pathLst>
                              <a:path w="9695" h="20">
                                <a:moveTo>
                                  <a:pt x="0" y="0"/>
                                </a:moveTo>
                                <a:lnTo>
                                  <a:pt x="9695"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8" name="Freeform 100"/>
                        <wps:cNvSpPr>
                          <a:spLocks/>
                        </wps:cNvSpPr>
                        <wps:spPr bwMode="auto">
                          <a:xfrm>
                            <a:off x="1704" y="-4629"/>
                            <a:ext cx="20" cy="4340"/>
                          </a:xfrm>
                          <a:custGeom>
                            <a:avLst/>
                            <a:gdLst>
                              <a:gd name="T0" fmla="*/ 0 w 20"/>
                              <a:gd name="T1" fmla="*/ 0 h 4340"/>
                              <a:gd name="T2" fmla="*/ 0 w 20"/>
                              <a:gd name="T3" fmla="*/ 4340 h 4340"/>
                            </a:gdLst>
                            <a:ahLst/>
                            <a:cxnLst>
                              <a:cxn ang="0">
                                <a:pos x="T0" y="T1"/>
                              </a:cxn>
                              <a:cxn ang="0">
                                <a:pos x="T2" y="T3"/>
                              </a:cxn>
                            </a:cxnLst>
                            <a:rect l="0" t="0" r="r" b="b"/>
                            <a:pathLst>
                              <a:path w="20" h="4340">
                                <a:moveTo>
                                  <a:pt x="0" y="0"/>
                                </a:moveTo>
                                <a:lnTo>
                                  <a:pt x="0" y="434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Freeform 101"/>
                        <wps:cNvSpPr>
                          <a:spLocks/>
                        </wps:cNvSpPr>
                        <wps:spPr bwMode="auto">
                          <a:xfrm>
                            <a:off x="11389" y="-4629"/>
                            <a:ext cx="20" cy="4340"/>
                          </a:xfrm>
                          <a:custGeom>
                            <a:avLst/>
                            <a:gdLst>
                              <a:gd name="T0" fmla="*/ 0 w 20"/>
                              <a:gd name="T1" fmla="*/ 0 h 4340"/>
                              <a:gd name="T2" fmla="*/ 0 w 20"/>
                              <a:gd name="T3" fmla="*/ 4340 h 4340"/>
                            </a:gdLst>
                            <a:ahLst/>
                            <a:cxnLst>
                              <a:cxn ang="0">
                                <a:pos x="T0" y="T1"/>
                              </a:cxn>
                              <a:cxn ang="0">
                                <a:pos x="T2" y="T3"/>
                              </a:cxn>
                            </a:cxnLst>
                            <a:rect l="0" t="0" r="r" b="b"/>
                            <a:pathLst>
                              <a:path w="20" h="4340">
                                <a:moveTo>
                                  <a:pt x="0" y="0"/>
                                </a:moveTo>
                                <a:lnTo>
                                  <a:pt x="0" y="434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 name="Freeform 102"/>
                        <wps:cNvSpPr>
                          <a:spLocks/>
                        </wps:cNvSpPr>
                        <wps:spPr bwMode="auto">
                          <a:xfrm>
                            <a:off x="1699" y="-284"/>
                            <a:ext cx="9695" cy="20"/>
                          </a:xfrm>
                          <a:custGeom>
                            <a:avLst/>
                            <a:gdLst>
                              <a:gd name="T0" fmla="*/ 0 w 9695"/>
                              <a:gd name="T1" fmla="*/ 0 h 20"/>
                              <a:gd name="T2" fmla="*/ 9695 w 9695"/>
                              <a:gd name="T3" fmla="*/ 0 h 20"/>
                            </a:gdLst>
                            <a:ahLst/>
                            <a:cxnLst>
                              <a:cxn ang="0">
                                <a:pos x="T0" y="T1"/>
                              </a:cxn>
                              <a:cxn ang="0">
                                <a:pos x="T2" y="T3"/>
                              </a:cxn>
                            </a:cxnLst>
                            <a:rect l="0" t="0" r="r" b="b"/>
                            <a:pathLst>
                              <a:path w="9695" h="20">
                                <a:moveTo>
                                  <a:pt x="0" y="0"/>
                                </a:moveTo>
                                <a:lnTo>
                                  <a:pt x="969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296" o:spid="_x0000_s1026" style="position:absolute;margin-left:84.65pt;margin-top:-232pt;width:485.35pt;height:218.05pt;z-index:-251577344;mso-position-horizontal-relative:page" coordorigin="1693,-4640" coordsize="9707,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" o:allowincell="f">
                <v:shape id="Freeform 99" o:spid="_x0000_s1027" style="position:absolute;left:1699;top:-4634;width:9695;height:20;visibility:visible;mso-wrap-style:square;v-text-anchor:top" coordsize="96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UNycIA&#10;AADcAAAADwAAAGRycy9kb3ducmV2LnhtbESPT4vCMBTE74LfITzBi2hqWVatRhFhobfFf3h9NM+2&#10;2ryUJlvrtzeCsMdhZn7DrDadqURLjSstK5hOIhDEmdUl5wpOx5/xHITzyBory6TgSQ42635vhYm2&#10;D95Te/C5CBB2CSoovK8TKV1WkEE3sTVx8K62MeiDbHKpG3wEuKlkHEXf0mDJYaHAmnYFZffDn1GQ&#10;756/fL7NcMSXNq6n+xSP6ZdSw0G3XYLw1Pn/8KedagXxYgbvM+EI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5Q3JwgAAANwAAAAPAAAAAAAAAAAAAAAAAJgCAABkcnMvZG93&#10;bnJldi54bWxQSwUGAAAAAAQABAD1AAAAhwMAAAAA&#10;" path="m,l9695,e" filled="f" strokeweight=".20458mm">
                  <v:path arrowok="t" o:connecttype="custom" o:connectlocs="0,0;9695,0" o:connectangles="0,0"/>
                </v:shape>
                <v:shape id="Freeform 100" o:spid="_x0000_s1028" style="position:absolute;left:1704;top:-4629;width:20;height:4340;visibility:visible;mso-wrap-style:square;v-text-anchor:top" coordsize="20,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dtScEA&#10;AADcAAAADwAAAGRycy9kb3ducmV2LnhtbERPTYvCMBC9C/sfwizsTVOLiFajrILoigi6Ll6HZrYt&#10;JpPSRK3/3hwEj4/3PZ231ogbNb5yrKDfS0AQ505XXCg4/a66IxA+IGs0jknBgzzMZx+dKWba3flA&#10;t2MoRAxhn6GCMoQ6k9LnJVn0PVcTR+7fNRZDhE0hdYP3GG6NTJNkKC1WHBtKrGlZUn45Xq2Cre8P&#10;FufTZe3+9oONM6beXdMfpb4+2+8JiEBteItf7o1WkI7j2ngmHgE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HbUnBAAAA3AAAAA8AAAAAAAAAAAAAAAAAmAIAAGRycy9kb3du&#10;cmV2LnhtbFBLBQYAAAAABAAEAPUAAACGAwAAAAA=&#10;" path="m,l,4340e" filled="f" strokeweight=".58pt">
                  <v:path arrowok="t" o:connecttype="custom" o:connectlocs="0,0;0,4340" o:connectangles="0,0"/>
                </v:shape>
                <v:shape id="Freeform 101" o:spid="_x0000_s1029" style="position:absolute;left:11389;top:-4629;width:20;height:4340;visibility:visible;mso-wrap-style:square;v-text-anchor:top" coordsize="20,4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VucUA&#10;AADcAAAADwAAAGRycy9kb3ducmV2LnhtbESPT2vCQBTE7wW/w/IEb3Wjh1KjqwT/1J6ERhGPj+wz&#10;iWbfhuyapN++KxQ8DjPzG2ax6k0lWmpcaVnBZByBIM6sLjlXcDru3j9BOI+ssbJMCn7JwWo5eFtg&#10;rG3HP9SmPhcBwi5GBYX3dSylywoy6Ma2Jg7e1TYGfZBNLnWDXYCbSk6j6EMaLDksFFjTuqDsnj6M&#10;gs3ja5/I/OLXty4yh922PadJq9Ro2CdzEJ56/wr/t7+1gulsBs8z4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ohW5xQAAANwAAAAPAAAAAAAAAAAAAAAAAJgCAABkcnMv&#10;ZG93bnJldi54bWxQSwUGAAAAAAQABAD1AAAAigMAAAAA&#10;" path="m,l,4340e" filled="f" strokeweight=".20458mm">
                  <v:path arrowok="t" o:connecttype="custom" o:connectlocs="0,0;0,4340" o:connectangles="0,0"/>
                </v:shape>
                <v:shape id="Freeform 102" o:spid="_x0000_s1030" style="position:absolute;left:1699;top:-284;width:9695;height:20;visibility:visible;mso-wrap-style:square;v-text-anchor:top" coordsize="96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M570A&#10;AADcAAAADwAAAGRycy9kb3ducmV2LnhtbERPSwrCMBDdC94hjOBGNNWCSDUWKQjuxM8BhmZsS5tJ&#10;aaKtnt4sBJeP99+lg2nEizpXWVawXEQgiHOrKy4U3G/H+QaE88gaG8uk4E0O0v14tMNE254v9Lr6&#10;QoQQdgkqKL1vEyldXpJBt7AtceAetjPoA+wKqTvsQ7hp5CqK1tJgxaGhxJaykvL6+jQKKhd/+voY&#10;n291NsOZXj3yN0ulppPhsAXhafB/8c990griKMwPZ8IRkP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zM570AAADcAAAADwAAAAAAAAAAAAAAAACYAgAAZHJzL2Rvd25yZXYu&#10;eG1sUEsFBgAAAAAEAAQA9QAAAIIDAAAAAA==&#10;" path="m,l9695,e" filled="f" strokeweight=".58pt">
                  <v:path arrowok="t" o:connecttype="custom" o:connectlocs="0,0;9695,0" o:connectangles="0,0"/>
                </v:shape>
                <w10:wrap anchorx="page"/>
              </v:group>
            </w:pict>
          </mc:Fallback>
        </mc:AlternateContent>
      </w:r>
      <w:r>
        <w:rPr>
          <w:color w:val="000000"/>
          <w:spacing w:val="1"/>
        </w:rPr>
        <w:t>P</w:t>
      </w:r>
      <w:r>
        <w:rPr>
          <w:color w:val="000000"/>
          <w:spacing w:val="-1"/>
        </w:rPr>
        <w:t>a</w:t>
      </w:r>
      <w:r>
        <w:rPr>
          <w:color w:val="000000"/>
        </w:rPr>
        <w:t>g</w:t>
      </w:r>
      <w:r>
        <w:rPr>
          <w:color w:val="000000"/>
          <w:spacing w:val="4"/>
        </w:rPr>
        <w:t>a</w:t>
      </w:r>
      <w:r>
        <w:rPr>
          <w:color w:val="000000"/>
        </w:rPr>
        <w:t xml:space="preserve">l </w:t>
      </w:r>
      <w:r>
        <w:rPr>
          <w:color w:val="000000"/>
          <w:spacing w:val="1"/>
        </w:rPr>
        <w:t>I</w:t>
      </w:r>
      <w:r>
        <w:rPr>
          <w:color w:val="000000"/>
          <w:spacing w:val="-2"/>
        </w:rPr>
        <w:t>R</w:t>
      </w:r>
      <w:r>
        <w:rPr>
          <w:color w:val="000000"/>
        </w:rPr>
        <w:t>D</w:t>
      </w:r>
      <w:r>
        <w:rPr>
          <w:color w:val="000000"/>
          <w:spacing w:val="8"/>
        </w:rPr>
        <w:t xml:space="preserve"> </w:t>
      </w:r>
      <w:r>
        <w:rPr>
          <w:color w:val="000000"/>
        </w:rPr>
        <w:t>p</w:t>
      </w:r>
      <w:r>
        <w:rPr>
          <w:color w:val="000000"/>
          <w:spacing w:val="6"/>
        </w:rPr>
        <w:t>r</w:t>
      </w:r>
      <w:r>
        <w:rPr>
          <w:color w:val="000000"/>
          <w:spacing w:val="-9"/>
        </w:rPr>
        <w:t>i</w:t>
      </w:r>
      <w:r>
        <w:rPr>
          <w:color w:val="000000"/>
        </w:rPr>
        <w:t>e</w:t>
      </w:r>
      <w:r>
        <w:rPr>
          <w:color w:val="000000"/>
          <w:spacing w:val="8"/>
        </w:rPr>
        <w:t xml:space="preserve"> </w:t>
      </w:r>
      <w:r>
        <w:rPr>
          <w:color w:val="000000"/>
          <w:spacing w:val="4"/>
        </w:rPr>
        <w:t>V</w:t>
      </w:r>
      <w:r>
        <w:rPr>
          <w:color w:val="000000"/>
          <w:spacing w:val="-2"/>
        </w:rPr>
        <w:t>R</w:t>
      </w:r>
      <w:r>
        <w:rPr>
          <w:color w:val="000000"/>
        </w:rPr>
        <w:t>M</w:t>
      </w:r>
      <w:r>
        <w:rPr>
          <w:color w:val="000000"/>
          <w:spacing w:val="7"/>
        </w:rPr>
        <w:t xml:space="preserve"> </w:t>
      </w:r>
      <w:r>
        <w:rPr>
          <w:color w:val="000000"/>
        </w:rPr>
        <w:t>p</w:t>
      </w:r>
      <w:r>
        <w:rPr>
          <w:color w:val="000000"/>
          <w:spacing w:val="-1"/>
        </w:rPr>
        <w:t>a</w:t>
      </w:r>
      <w:r>
        <w:rPr>
          <w:color w:val="000000"/>
          <w:spacing w:val="5"/>
        </w:rPr>
        <w:t>t</w:t>
      </w:r>
      <w:r>
        <w:rPr>
          <w:color w:val="000000"/>
          <w:spacing w:val="4"/>
        </w:rPr>
        <w:t>e</w:t>
      </w:r>
      <w:r>
        <w:rPr>
          <w:color w:val="000000"/>
          <w:spacing w:val="-9"/>
        </w:rPr>
        <w:t>i</w:t>
      </w:r>
      <w:r>
        <w:rPr>
          <w:color w:val="000000"/>
        </w:rPr>
        <w:t>k</w:t>
      </w:r>
      <w:r>
        <w:rPr>
          <w:color w:val="000000"/>
          <w:spacing w:val="5"/>
        </w:rPr>
        <w:t>t</w:t>
      </w:r>
      <w:r>
        <w:rPr>
          <w:color w:val="000000"/>
        </w:rPr>
        <w:t>ą</w:t>
      </w:r>
      <w:r>
        <w:rPr>
          <w:color w:val="000000"/>
          <w:spacing w:val="8"/>
        </w:rPr>
        <w:t xml:space="preserve"> </w:t>
      </w:r>
      <w:r>
        <w:rPr>
          <w:color w:val="000000"/>
          <w:spacing w:val="-2"/>
        </w:rPr>
        <w:t>s</w:t>
      </w:r>
      <w:r>
        <w:rPr>
          <w:color w:val="000000"/>
          <w:spacing w:val="5"/>
        </w:rPr>
        <w:t>t</w:t>
      </w:r>
      <w:r>
        <w:rPr>
          <w:color w:val="000000"/>
          <w:spacing w:val="-6"/>
        </w:rPr>
        <w:t>a</w:t>
      </w:r>
      <w:r>
        <w:rPr>
          <w:color w:val="000000"/>
          <w:spacing w:val="10"/>
        </w:rPr>
        <w:t>t</w:t>
      </w:r>
      <w:r>
        <w:rPr>
          <w:color w:val="000000"/>
          <w:spacing w:val="-4"/>
        </w:rPr>
        <w:t>i</w:t>
      </w:r>
      <w:r>
        <w:rPr>
          <w:color w:val="000000"/>
          <w:spacing w:val="-2"/>
        </w:rPr>
        <w:t>s</w:t>
      </w:r>
      <w:r>
        <w:rPr>
          <w:color w:val="000000"/>
          <w:spacing w:val="5"/>
        </w:rPr>
        <w:t>t</w:t>
      </w:r>
      <w:r>
        <w:rPr>
          <w:color w:val="000000"/>
          <w:spacing w:val="-9"/>
        </w:rPr>
        <w:t>i</w:t>
      </w:r>
      <w:r>
        <w:rPr>
          <w:color w:val="000000"/>
        </w:rPr>
        <w:t>ką</w:t>
      </w:r>
      <w:r>
        <w:rPr>
          <w:color w:val="000000"/>
          <w:spacing w:val="13"/>
        </w:rPr>
        <w:t xml:space="preserve"> </w:t>
      </w:r>
      <w:r>
        <w:rPr>
          <w:color w:val="000000"/>
          <w:spacing w:val="-4"/>
        </w:rPr>
        <w:t>i</w:t>
      </w:r>
      <w:r>
        <w:rPr>
          <w:color w:val="000000"/>
        </w:rPr>
        <w:t>š</w:t>
      </w:r>
      <w:r>
        <w:rPr>
          <w:color w:val="000000"/>
          <w:spacing w:val="7"/>
        </w:rPr>
        <w:t xml:space="preserve"> </w:t>
      </w:r>
      <w:r>
        <w:rPr>
          <w:color w:val="000000"/>
        </w:rPr>
        <w:t>20</w:t>
      </w:r>
      <w:r>
        <w:rPr>
          <w:color w:val="000000"/>
          <w:spacing w:val="5"/>
        </w:rPr>
        <w:t>1</w:t>
      </w:r>
      <w:r>
        <w:rPr>
          <w:color w:val="000000"/>
        </w:rPr>
        <w:t>2</w:t>
      </w:r>
      <w:r>
        <w:rPr>
          <w:color w:val="000000"/>
          <w:spacing w:val="14"/>
        </w:rPr>
        <w:t xml:space="preserve"> </w:t>
      </w:r>
      <w:r>
        <w:rPr>
          <w:color w:val="000000"/>
          <w:spacing w:val="-9"/>
        </w:rPr>
        <w:t>m</w:t>
      </w:r>
      <w:r>
        <w:rPr>
          <w:color w:val="000000"/>
        </w:rPr>
        <w:t>.</w:t>
      </w:r>
      <w:r>
        <w:rPr>
          <w:color w:val="000000"/>
          <w:spacing w:val="16"/>
        </w:rPr>
        <w:t xml:space="preserve"> </w:t>
      </w:r>
      <w:r>
        <w:rPr>
          <w:color w:val="000000"/>
          <w:spacing w:val="-3"/>
        </w:rPr>
        <w:t>f</w:t>
      </w:r>
      <w:r>
        <w:rPr>
          <w:color w:val="000000"/>
          <w:spacing w:val="-9"/>
        </w:rPr>
        <w:t>i</w:t>
      </w:r>
      <w:r>
        <w:rPr>
          <w:color w:val="000000"/>
          <w:spacing w:val="5"/>
        </w:rPr>
        <w:t>k</w:t>
      </w:r>
      <w:r>
        <w:rPr>
          <w:color w:val="000000"/>
          <w:spacing w:val="-2"/>
        </w:rPr>
        <w:t>s</w:t>
      </w:r>
      <w:r>
        <w:rPr>
          <w:color w:val="000000"/>
        </w:rPr>
        <w:t>u</w:t>
      </w:r>
      <w:r>
        <w:rPr>
          <w:color w:val="000000"/>
          <w:spacing w:val="5"/>
        </w:rPr>
        <w:t>ot</w:t>
      </w:r>
      <w:r>
        <w:rPr>
          <w:color w:val="000000"/>
        </w:rPr>
        <w:t>ų</w:t>
      </w:r>
      <w:r>
        <w:rPr>
          <w:color w:val="000000"/>
          <w:spacing w:val="8"/>
        </w:rPr>
        <w:t xml:space="preserve"> </w:t>
      </w:r>
      <w:r>
        <w:rPr>
          <w:b/>
          <w:bCs/>
          <w:color w:val="000000"/>
        </w:rPr>
        <w:t>2437</w:t>
      </w:r>
      <w:r>
        <w:rPr>
          <w:b/>
          <w:bCs/>
          <w:color w:val="000000"/>
          <w:spacing w:val="9"/>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14"/>
        </w:rPr>
        <w:t xml:space="preserve"> </w:t>
      </w:r>
      <w:r>
        <w:rPr>
          <w:color w:val="000000"/>
          <w:spacing w:val="-5"/>
        </w:rPr>
        <w:t>v</w:t>
      </w:r>
      <w:r>
        <w:rPr>
          <w:color w:val="000000"/>
          <w:spacing w:val="4"/>
        </w:rPr>
        <w:t>e</w:t>
      </w:r>
      <w:r>
        <w:rPr>
          <w:color w:val="000000"/>
          <w:spacing w:val="-4"/>
        </w:rPr>
        <w:t>i</w:t>
      </w:r>
      <w:r>
        <w:rPr>
          <w:color w:val="000000"/>
        </w:rPr>
        <w:t xml:space="preserve">kų,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rPr>
        <w:t>ų</w:t>
      </w:r>
      <w:r>
        <w:rPr>
          <w:color w:val="000000"/>
          <w:spacing w:val="5"/>
        </w:rPr>
        <w:t xml:space="preserve"> </w:t>
      </w:r>
      <w:r>
        <w:rPr>
          <w:color w:val="000000"/>
          <w:spacing w:val="-2"/>
        </w:rPr>
        <w:t>s</w:t>
      </w:r>
      <w:r>
        <w:rPr>
          <w:color w:val="000000"/>
        </w:rPr>
        <w:t>u</w:t>
      </w:r>
      <w:r>
        <w:rPr>
          <w:color w:val="000000"/>
          <w:spacing w:val="10"/>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u</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5"/>
        </w:rPr>
        <w:t xml:space="preserve"> d</w:t>
      </w:r>
      <w:r>
        <w:rPr>
          <w:color w:val="000000"/>
          <w:spacing w:val="-4"/>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4"/>
        </w:rPr>
        <w:t>m</w:t>
      </w:r>
      <w:r>
        <w:rPr>
          <w:color w:val="000000"/>
        </w:rPr>
        <w:t>u,</w:t>
      </w:r>
      <w:r>
        <w:rPr>
          <w:color w:val="000000"/>
          <w:spacing w:val="8"/>
        </w:rPr>
        <w:t xml:space="preserve"> </w:t>
      </w:r>
      <w:r>
        <w:rPr>
          <w:color w:val="000000"/>
        </w:rPr>
        <w:t>u</w:t>
      </w:r>
      <w:r>
        <w:rPr>
          <w:color w:val="000000"/>
          <w:spacing w:val="-1"/>
        </w:rPr>
        <w:t>ž</w:t>
      </w:r>
      <w:r>
        <w:rPr>
          <w:color w:val="000000"/>
          <w:spacing w:val="1"/>
        </w:rPr>
        <w:t>r</w:t>
      </w:r>
      <w:r>
        <w:rPr>
          <w:color w:val="000000"/>
          <w:spacing w:val="-1"/>
        </w:rPr>
        <w:t>e</w:t>
      </w:r>
      <w:r>
        <w:rPr>
          <w:color w:val="000000"/>
          <w:spacing w:val="5"/>
        </w:rPr>
        <w:t>g</w:t>
      </w:r>
      <w:r>
        <w:rPr>
          <w:color w:val="000000"/>
          <w:spacing w:val="-9"/>
        </w:rPr>
        <w:t>i</w:t>
      </w:r>
      <w:r>
        <w:rPr>
          <w:color w:val="000000"/>
          <w:spacing w:val="-2"/>
        </w:rPr>
        <w:t>s</w:t>
      </w:r>
      <w:r>
        <w:rPr>
          <w:color w:val="000000"/>
          <w:spacing w:val="5"/>
        </w:rPr>
        <w:t>t</w:t>
      </w:r>
      <w:r>
        <w:rPr>
          <w:color w:val="000000"/>
          <w:spacing w:val="1"/>
        </w:rPr>
        <w:t>r</w:t>
      </w:r>
      <w:r>
        <w:rPr>
          <w:color w:val="000000"/>
        </w:rPr>
        <w:t>uo</w:t>
      </w:r>
      <w:r>
        <w:rPr>
          <w:color w:val="000000"/>
          <w:spacing w:val="5"/>
        </w:rPr>
        <w:t>t</w:t>
      </w:r>
      <w:r>
        <w:rPr>
          <w:color w:val="000000"/>
        </w:rPr>
        <w:t xml:space="preserve">a </w:t>
      </w:r>
      <w:r>
        <w:rPr>
          <w:color w:val="000000"/>
          <w:spacing w:val="1"/>
        </w:rPr>
        <w:t>(</w:t>
      </w:r>
      <w:r>
        <w:rPr>
          <w:color w:val="000000"/>
          <w:spacing w:val="-5"/>
        </w:rPr>
        <w:t>n</w:t>
      </w:r>
      <w:r>
        <w:rPr>
          <w:color w:val="000000"/>
          <w:spacing w:val="4"/>
        </w:rPr>
        <w:t>e</w:t>
      </w:r>
      <w:r>
        <w:rPr>
          <w:color w:val="000000"/>
          <w:spacing w:val="-9"/>
        </w:rPr>
        <w:t>į</w:t>
      </w:r>
      <w:r>
        <w:rPr>
          <w:color w:val="000000"/>
          <w:spacing w:val="5"/>
        </w:rPr>
        <w:t>t</w:t>
      </w:r>
      <w:r>
        <w:rPr>
          <w:color w:val="000000"/>
          <w:spacing w:val="1"/>
        </w:rPr>
        <w:t>r</w:t>
      </w:r>
      <w:r>
        <w:rPr>
          <w:color w:val="000000"/>
          <w:spacing w:val="-1"/>
        </w:rPr>
        <w:t>a</w:t>
      </w:r>
      <w:r>
        <w:rPr>
          <w:color w:val="000000"/>
        </w:rPr>
        <w:t>ukt</w:t>
      </w:r>
      <w:r>
        <w:rPr>
          <w:color w:val="000000"/>
          <w:spacing w:val="5"/>
        </w:rPr>
        <w:t>o</w:t>
      </w:r>
      <w:r>
        <w:rPr>
          <w:color w:val="000000"/>
        </w:rPr>
        <w:t>s</w:t>
      </w:r>
      <w:r>
        <w:rPr>
          <w:color w:val="000000"/>
          <w:spacing w:val="3"/>
        </w:rPr>
        <w:t xml:space="preserve"> </w:t>
      </w:r>
      <w:r>
        <w:rPr>
          <w:color w:val="000000"/>
          <w:spacing w:val="-1"/>
        </w:rPr>
        <w:t>a</w:t>
      </w:r>
      <w:r>
        <w:rPr>
          <w:color w:val="000000"/>
        </w:rPr>
        <w:t>uk</w:t>
      </w:r>
      <w:r>
        <w:rPr>
          <w:color w:val="000000"/>
          <w:spacing w:val="-2"/>
        </w:rPr>
        <w:t>š</w:t>
      </w:r>
      <w:r>
        <w:rPr>
          <w:color w:val="000000"/>
          <w:spacing w:val="4"/>
        </w:rPr>
        <w:t>č</w:t>
      </w:r>
      <w:r>
        <w:rPr>
          <w:color w:val="000000"/>
          <w:spacing w:val="-9"/>
        </w:rPr>
        <w:t>i</w:t>
      </w:r>
      <w:r>
        <w:rPr>
          <w:color w:val="000000"/>
          <w:spacing w:val="-1"/>
        </w:rPr>
        <w:t>a</w:t>
      </w:r>
      <w:r>
        <w:rPr>
          <w:color w:val="000000"/>
        </w:rPr>
        <w:t>u</w:t>
      </w:r>
      <w:r>
        <w:rPr>
          <w:color w:val="000000"/>
          <w:spacing w:val="10"/>
        </w:rPr>
        <w:t xml:space="preserve"> </w:t>
      </w:r>
      <w:r>
        <w:rPr>
          <w:color w:val="000000"/>
          <w:spacing w:val="-4"/>
        </w:rPr>
        <w:t>mi</w:t>
      </w:r>
      <w:r>
        <w:rPr>
          <w:color w:val="000000"/>
        </w:rPr>
        <w:t>n</w:t>
      </w:r>
      <w:r>
        <w:rPr>
          <w:color w:val="000000"/>
          <w:spacing w:val="-1"/>
        </w:rPr>
        <w:t>ė</w:t>
      </w:r>
      <w:r>
        <w:rPr>
          <w:color w:val="000000"/>
          <w:spacing w:val="5"/>
        </w:rPr>
        <w:t>to</w:t>
      </w:r>
      <w:r>
        <w:rPr>
          <w:color w:val="000000"/>
        </w:rPr>
        <w:t>s</w:t>
      </w:r>
      <w:r>
        <w:rPr>
          <w:color w:val="000000"/>
          <w:spacing w:val="3"/>
        </w:rPr>
        <w:t xml:space="preserve"> </w:t>
      </w:r>
      <w:r>
        <w:rPr>
          <w:color w:val="000000"/>
        </w:rPr>
        <w:t xml:space="preserve">569 </w:t>
      </w:r>
      <w:r>
        <w:rPr>
          <w:color w:val="000000"/>
          <w:spacing w:val="-5"/>
        </w:rPr>
        <w:t>v</w:t>
      </w:r>
      <w:r>
        <w:rPr>
          <w:color w:val="000000"/>
          <w:spacing w:val="4"/>
        </w:rPr>
        <w:t>e</w:t>
      </w:r>
      <w:r>
        <w:rPr>
          <w:color w:val="000000"/>
          <w:spacing w:val="-4"/>
        </w:rPr>
        <w:t>i</w:t>
      </w:r>
      <w:r>
        <w:rPr>
          <w:color w:val="000000"/>
        </w:rPr>
        <w:t>k</w:t>
      </w:r>
      <w:r>
        <w:rPr>
          <w:color w:val="000000"/>
          <w:spacing w:val="5"/>
        </w:rPr>
        <w:t>o</w:t>
      </w:r>
      <w:r>
        <w:rPr>
          <w:color w:val="000000"/>
          <w:spacing w:val="-2"/>
        </w:rPr>
        <w:t>s</w:t>
      </w:r>
      <w:r>
        <w:rPr>
          <w:color w:val="000000"/>
        </w:rPr>
        <w:t>,</w:t>
      </w:r>
      <w:r>
        <w:rPr>
          <w:color w:val="000000"/>
          <w:spacing w:val="4"/>
        </w:rPr>
        <w:t xml:space="preserve"> </w:t>
      </w:r>
      <w:r>
        <w:rPr>
          <w:color w:val="000000"/>
        </w:rPr>
        <w:t>k</w:t>
      </w:r>
      <w:r>
        <w:rPr>
          <w:color w:val="000000"/>
          <w:spacing w:val="-5"/>
        </w:rPr>
        <w:t>v</w:t>
      </w:r>
      <w:r>
        <w:rPr>
          <w:color w:val="000000"/>
          <w:spacing w:val="4"/>
        </w:rPr>
        <w:t>a</w:t>
      </w:r>
      <w:r>
        <w:rPr>
          <w:color w:val="000000"/>
          <w:spacing w:val="-4"/>
        </w:rPr>
        <w:t>l</w:t>
      </w:r>
      <w:r>
        <w:rPr>
          <w:color w:val="000000"/>
        </w:rPr>
        <w:t>i</w:t>
      </w:r>
      <w:r>
        <w:rPr>
          <w:color w:val="000000"/>
          <w:spacing w:val="2"/>
        </w:rPr>
        <w:t>f</w:t>
      </w:r>
      <w:r>
        <w:rPr>
          <w:color w:val="000000"/>
          <w:spacing w:val="-4"/>
        </w:rPr>
        <w:t>i</w:t>
      </w:r>
      <w:r>
        <w:rPr>
          <w:color w:val="000000"/>
        </w:rPr>
        <w:t>ku</w:t>
      </w:r>
      <w:r>
        <w:rPr>
          <w:color w:val="000000"/>
          <w:spacing w:val="5"/>
        </w:rPr>
        <w:t>o</w:t>
      </w:r>
      <w:r>
        <w:rPr>
          <w:color w:val="000000"/>
        </w:rPr>
        <w:t>t</w:t>
      </w:r>
      <w:r>
        <w:rPr>
          <w:color w:val="000000"/>
          <w:spacing w:val="5"/>
        </w:rPr>
        <w:t>o</w:t>
      </w:r>
      <w:r>
        <w:rPr>
          <w:color w:val="000000"/>
        </w:rPr>
        <w:t>s p</w:t>
      </w:r>
      <w:r>
        <w:rPr>
          <w:color w:val="000000"/>
          <w:spacing w:val="-1"/>
        </w:rPr>
        <w:t>a</w:t>
      </w:r>
      <w:r>
        <w:rPr>
          <w:color w:val="000000"/>
        </w:rPr>
        <w:t>g</w:t>
      </w:r>
      <w:r>
        <w:rPr>
          <w:color w:val="000000"/>
          <w:spacing w:val="-1"/>
        </w:rPr>
        <w:t>a</w:t>
      </w:r>
      <w:r>
        <w:rPr>
          <w:color w:val="000000"/>
        </w:rPr>
        <w:t>l</w:t>
      </w:r>
      <w:r>
        <w:rPr>
          <w:color w:val="000000"/>
          <w:spacing w:val="-7"/>
        </w:rPr>
        <w:t xml:space="preserve"> </w:t>
      </w:r>
      <w:r>
        <w:rPr>
          <w:color w:val="000000"/>
          <w:spacing w:val="-3"/>
        </w:rPr>
        <w:t>L</w:t>
      </w:r>
      <w:r>
        <w:rPr>
          <w:color w:val="000000"/>
        </w:rPr>
        <w:t xml:space="preserve">R </w:t>
      </w:r>
      <w:r>
        <w:rPr>
          <w:color w:val="000000"/>
          <w:spacing w:val="3"/>
        </w:rPr>
        <w:t>B</w:t>
      </w:r>
      <w:r>
        <w:rPr>
          <w:color w:val="000000"/>
        </w:rPr>
        <w:t>K</w:t>
      </w:r>
      <w:r>
        <w:rPr>
          <w:color w:val="000000"/>
          <w:spacing w:val="-3"/>
        </w:rPr>
        <w:t xml:space="preserve"> </w:t>
      </w:r>
      <w:r>
        <w:rPr>
          <w:color w:val="000000"/>
        </w:rPr>
        <w:t>260</w:t>
      </w:r>
      <w:r>
        <w:rPr>
          <w:color w:val="000000"/>
          <w:spacing w:val="2"/>
        </w:rPr>
        <w:t xml:space="preserve"> </w:t>
      </w:r>
      <w:r>
        <w:rPr>
          <w:color w:val="000000"/>
          <w:spacing w:val="-2"/>
        </w:rPr>
        <w:t>s</w:t>
      </w:r>
      <w:r>
        <w:rPr>
          <w:color w:val="000000"/>
          <w:spacing w:val="5"/>
        </w:rPr>
        <w:t>t</w:t>
      </w:r>
      <w:r>
        <w:rPr>
          <w:color w:val="000000"/>
          <w:spacing w:val="1"/>
        </w:rPr>
        <w:t>r</w:t>
      </w:r>
      <w:r>
        <w:rPr>
          <w:color w:val="000000"/>
          <w:spacing w:val="2"/>
        </w:rPr>
        <w:t>.</w:t>
      </w:r>
      <w:r>
        <w:rPr>
          <w:color w:val="000000"/>
          <w:spacing w:val="-3"/>
        </w:rPr>
        <w:t>)</w:t>
      </w:r>
      <w:r>
        <w:rPr>
          <w:color w:val="000000"/>
        </w:rPr>
        <w:t>:</w:t>
      </w:r>
    </w:p>
    <w:p w:rsidR="004F7425" w:rsidRDefault="004F7425" w:rsidP="004F7425">
      <w:pPr>
        <w:widowControl w:val="0"/>
        <w:autoSpaceDE w:val="0"/>
        <w:autoSpaceDN w:val="0"/>
        <w:adjustRightInd w:val="0"/>
        <w:spacing w:before="3" w:line="120" w:lineRule="exact"/>
        <w:rPr>
          <w:color w:val="000000"/>
          <w:sz w:val="12"/>
          <w:szCs w:val="12"/>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840" w:right="-20"/>
        <w:rPr>
          <w:color w:val="000000"/>
        </w:rPr>
      </w:pPr>
      <w:r>
        <w:rPr>
          <w:b/>
          <w:bCs/>
          <w:color w:val="000000"/>
        </w:rPr>
        <w:t>1258</w:t>
      </w:r>
      <w:r>
        <w:rPr>
          <w:b/>
          <w:bCs/>
          <w:color w:val="000000"/>
          <w:spacing w:val="22"/>
        </w:rPr>
        <w:t xml:space="preserve"> </w:t>
      </w:r>
      <w:r>
        <w:rPr>
          <w:color w:val="000000"/>
        </w:rPr>
        <w:t>–</w:t>
      </w:r>
      <w:r>
        <w:rPr>
          <w:color w:val="000000"/>
          <w:spacing w:val="22"/>
        </w:rPr>
        <w:t xml:space="preserve"> </w:t>
      </w:r>
      <w:r>
        <w:rPr>
          <w:color w:val="000000"/>
        </w:rPr>
        <w:t>d</w:t>
      </w:r>
      <w:r>
        <w:rPr>
          <w:color w:val="000000"/>
          <w:spacing w:val="4"/>
        </w:rPr>
        <w:t>ė</w:t>
      </w:r>
      <w:r>
        <w:rPr>
          <w:color w:val="000000"/>
        </w:rPr>
        <w:t>l</w:t>
      </w:r>
      <w:r>
        <w:rPr>
          <w:color w:val="000000"/>
          <w:spacing w:val="22"/>
        </w:rPr>
        <w:t xml:space="preserve"> </w:t>
      </w:r>
      <w:r>
        <w:rPr>
          <w:color w:val="000000"/>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o</w:t>
      </w:r>
      <w:r>
        <w:rPr>
          <w:color w:val="000000"/>
          <w:spacing w:val="26"/>
        </w:rPr>
        <w:t xml:space="preserve"> </w:t>
      </w:r>
      <w:r>
        <w:rPr>
          <w:color w:val="000000"/>
          <w:spacing w:val="5"/>
        </w:rPr>
        <w:t>d</w:t>
      </w:r>
      <w:r>
        <w:rPr>
          <w:color w:val="000000"/>
          <w:spacing w:val="-9"/>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9"/>
        </w:rPr>
        <w:t>m</w:t>
      </w:r>
      <w:r>
        <w:rPr>
          <w:color w:val="000000"/>
        </w:rPr>
        <w:t>o</w:t>
      </w:r>
      <w:r>
        <w:rPr>
          <w:color w:val="000000"/>
          <w:spacing w:val="3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spacing w:val="-5"/>
        </w:rPr>
        <w:t>n</w:t>
      </w:r>
      <w:r>
        <w:rPr>
          <w:color w:val="000000"/>
          <w:spacing w:val="4"/>
        </w:rPr>
        <w:t>ė</w:t>
      </w:r>
      <w:r>
        <w:rPr>
          <w:color w:val="000000"/>
        </w:rPr>
        <w:t>m</w:t>
      </w:r>
      <w:r>
        <w:rPr>
          <w:color w:val="000000"/>
          <w:spacing w:val="-4"/>
        </w:rPr>
        <w:t>i</w:t>
      </w:r>
      <w:r>
        <w:rPr>
          <w:color w:val="000000"/>
        </w:rPr>
        <w:t>s</w:t>
      </w:r>
      <w:r>
        <w:rPr>
          <w:color w:val="000000"/>
          <w:spacing w:val="29"/>
        </w:rPr>
        <w:t xml:space="preserve"> </w:t>
      </w:r>
      <w:r>
        <w:rPr>
          <w:color w:val="000000"/>
          <w:spacing w:val="-9"/>
        </w:rPr>
        <w:t>i</w:t>
      </w:r>
      <w:r>
        <w:rPr>
          <w:color w:val="000000"/>
        </w:rPr>
        <w:t>r</w:t>
      </w:r>
      <w:r>
        <w:rPr>
          <w:color w:val="000000"/>
          <w:spacing w:val="28"/>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9"/>
        </w:rPr>
        <w:t>i</w:t>
      </w:r>
      <w:r>
        <w:rPr>
          <w:color w:val="000000"/>
        </w:rPr>
        <w:t>n</w:t>
      </w:r>
      <w:r>
        <w:rPr>
          <w:color w:val="000000"/>
          <w:spacing w:val="4"/>
        </w:rPr>
        <w:t>ėm</w:t>
      </w:r>
      <w:r>
        <w:rPr>
          <w:color w:val="000000"/>
          <w:spacing w:val="-4"/>
        </w:rPr>
        <w:t>i</w:t>
      </w:r>
      <w:r>
        <w:rPr>
          <w:color w:val="000000"/>
        </w:rPr>
        <w:t>s</w:t>
      </w:r>
      <w:r>
        <w:rPr>
          <w:color w:val="000000"/>
          <w:spacing w:val="29"/>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w:t>
      </w:r>
      <w:r>
        <w:rPr>
          <w:color w:val="000000"/>
          <w:spacing w:val="9"/>
        </w:rPr>
        <w:t>o</w:t>
      </w:r>
      <w:r>
        <w:rPr>
          <w:color w:val="000000"/>
          <w:spacing w:val="-4"/>
        </w:rPr>
        <w:t>mi</w:t>
      </w:r>
      <w:r>
        <w:rPr>
          <w:color w:val="000000"/>
        </w:rPr>
        <w:t>s</w:t>
      </w:r>
      <w:r>
        <w:rPr>
          <w:color w:val="000000"/>
          <w:spacing w:val="24"/>
        </w:rPr>
        <w:t xml:space="preserve"> </w:t>
      </w:r>
      <w:r>
        <w:rPr>
          <w:color w:val="000000"/>
        </w:rPr>
        <w:t>be</w:t>
      </w:r>
      <w:r>
        <w:rPr>
          <w:color w:val="000000"/>
          <w:spacing w:val="20"/>
        </w:rPr>
        <w:t xml:space="preserve"> </w:t>
      </w:r>
      <w:r>
        <w:rPr>
          <w:color w:val="000000"/>
          <w:spacing w:val="10"/>
        </w:rPr>
        <w:t>t</w:t>
      </w:r>
      <w:r>
        <w:rPr>
          <w:color w:val="000000"/>
          <w:spacing w:val="-9"/>
        </w:rPr>
        <w:t>i</w:t>
      </w:r>
      <w:r>
        <w:rPr>
          <w:color w:val="000000"/>
        </w:rPr>
        <w:t>k</w:t>
      </w:r>
      <w:r>
        <w:rPr>
          <w:color w:val="000000"/>
          <w:spacing w:val="2"/>
        </w:rPr>
        <w:t>s</w:t>
      </w:r>
      <w:r>
        <w:rPr>
          <w:color w:val="000000"/>
          <w:spacing w:val="-4"/>
        </w:rPr>
        <w:t>l</w:t>
      </w:r>
      <w:r>
        <w:rPr>
          <w:color w:val="000000"/>
        </w:rPr>
        <w:t>o</w:t>
      </w:r>
    </w:p>
    <w:p w:rsidR="004F7425" w:rsidRDefault="004F7425" w:rsidP="004F7425">
      <w:pPr>
        <w:widowControl w:val="0"/>
        <w:autoSpaceDE w:val="0"/>
        <w:autoSpaceDN w:val="0"/>
        <w:adjustRightInd w:val="0"/>
        <w:spacing w:before="41"/>
        <w:ind w:left="120" w:right="-20"/>
        <w:rPr>
          <w:color w:val="000000"/>
        </w:rPr>
      </w:pPr>
      <w:r>
        <w:rPr>
          <w:color w:val="000000"/>
          <w:spacing w:val="-4"/>
        </w:rPr>
        <w:t>j</w:t>
      </w:r>
      <w:r>
        <w:rPr>
          <w:color w:val="000000"/>
          <w:spacing w:val="4"/>
        </w:rPr>
        <w:t>a</w:t>
      </w:r>
      <w:r>
        <w:rPr>
          <w:color w:val="000000"/>
        </w:rPr>
        <w:t xml:space="preserve">s </w:t>
      </w:r>
      <w:r>
        <w:rPr>
          <w:color w:val="000000"/>
          <w:spacing w:val="5"/>
        </w:rPr>
        <w:t>p</w:t>
      </w:r>
      <w:r>
        <w:rPr>
          <w:color w:val="000000"/>
          <w:spacing w:val="-9"/>
        </w:rPr>
        <w:t>l</w:t>
      </w:r>
      <w:r>
        <w:rPr>
          <w:color w:val="000000"/>
          <w:spacing w:val="-1"/>
        </w:rPr>
        <w:t>a</w:t>
      </w:r>
      <w:r>
        <w:rPr>
          <w:color w:val="000000"/>
          <w:spacing w:val="10"/>
        </w:rPr>
        <w:t>t</w:t>
      </w:r>
      <w:r>
        <w:rPr>
          <w:color w:val="000000"/>
          <w:spacing w:val="-4"/>
        </w:rPr>
        <w:t>i</w:t>
      </w:r>
      <w:r>
        <w:rPr>
          <w:color w:val="000000"/>
          <w:spacing w:val="-5"/>
        </w:rPr>
        <w:t>n</w:t>
      </w:r>
      <w:r>
        <w:rPr>
          <w:color w:val="000000"/>
          <w:spacing w:val="10"/>
        </w:rPr>
        <w:t>t</w:t>
      </w:r>
      <w:r>
        <w:rPr>
          <w:color w:val="000000"/>
        </w:rPr>
        <w:t>i</w:t>
      </w:r>
      <w:r>
        <w:rPr>
          <w:color w:val="000000"/>
          <w:spacing w:val="-7"/>
        </w:rPr>
        <w:t xml:space="preserve"> </w:t>
      </w:r>
      <w:r>
        <w:rPr>
          <w:color w:val="000000"/>
          <w:spacing w:val="1"/>
        </w:rPr>
        <w:t>(</w:t>
      </w:r>
      <w:r>
        <w:rPr>
          <w:color w:val="000000"/>
        </w:rPr>
        <w:t>2011</w:t>
      </w:r>
      <w:r>
        <w:rPr>
          <w:color w:val="000000"/>
          <w:spacing w:val="2"/>
        </w:rPr>
        <w:t xml:space="preserve"> </w:t>
      </w:r>
      <w:r>
        <w:rPr>
          <w:color w:val="000000"/>
          <w:spacing w:val="-9"/>
        </w:rPr>
        <w:t>m</w:t>
      </w:r>
      <w:r>
        <w:rPr>
          <w:color w:val="000000"/>
        </w:rPr>
        <w:t>.</w:t>
      </w:r>
      <w:r>
        <w:rPr>
          <w:color w:val="000000"/>
          <w:spacing w:val="8"/>
        </w:rPr>
        <w:t xml:space="preserve"> </w:t>
      </w:r>
      <w:r>
        <w:rPr>
          <w:color w:val="000000"/>
        </w:rPr>
        <w:t>–</w:t>
      </w:r>
      <w:r>
        <w:rPr>
          <w:color w:val="000000"/>
          <w:spacing w:val="2"/>
        </w:rPr>
        <w:t xml:space="preserve"> </w:t>
      </w:r>
      <w:r>
        <w:rPr>
          <w:color w:val="000000"/>
        </w:rPr>
        <w:t>1240,</w:t>
      </w:r>
      <w:r>
        <w:rPr>
          <w:color w:val="000000"/>
          <w:spacing w:val="4"/>
        </w:rPr>
        <w:t xml:space="preserve"> </w:t>
      </w:r>
      <w:r>
        <w:rPr>
          <w:color w:val="000000"/>
        </w:rPr>
        <w:t>2010</w:t>
      </w:r>
      <w:r>
        <w:rPr>
          <w:color w:val="000000"/>
          <w:spacing w:val="-3"/>
        </w:rPr>
        <w:t xml:space="preserve"> </w:t>
      </w:r>
      <w:r>
        <w:rPr>
          <w:color w:val="000000"/>
          <w:spacing w:val="-9"/>
        </w:rPr>
        <w:t>m</w:t>
      </w:r>
      <w:r>
        <w:rPr>
          <w:color w:val="000000"/>
        </w:rPr>
        <w:t>.</w:t>
      </w:r>
      <w:r>
        <w:rPr>
          <w:color w:val="000000"/>
          <w:spacing w:val="6"/>
        </w:rPr>
        <w:t xml:space="preserve"> </w:t>
      </w:r>
      <w:r>
        <w:rPr>
          <w:color w:val="000000"/>
        </w:rPr>
        <w:t>–</w:t>
      </w:r>
      <w:r>
        <w:rPr>
          <w:color w:val="000000"/>
          <w:spacing w:val="2"/>
        </w:rPr>
        <w:t xml:space="preserve"> </w:t>
      </w:r>
      <w:r>
        <w:rPr>
          <w:color w:val="000000"/>
        </w:rPr>
        <w:t>1318)</w:t>
      </w:r>
      <w:r>
        <w:rPr>
          <w:color w:val="000000"/>
          <w:spacing w:val="4"/>
        </w:rPr>
        <w:t xml:space="preserve"> </w:t>
      </w:r>
      <w:r>
        <w:rPr>
          <w:color w:val="000000"/>
        </w:rPr>
        <w:t>–</w:t>
      </w:r>
      <w:r>
        <w:rPr>
          <w:color w:val="000000"/>
          <w:spacing w:val="-2"/>
        </w:rPr>
        <w:t xml:space="preserve"> </w:t>
      </w:r>
      <w:r>
        <w:rPr>
          <w:color w:val="000000"/>
          <w:spacing w:val="-3"/>
        </w:rPr>
        <w:t>L</w:t>
      </w:r>
      <w:r>
        <w:rPr>
          <w:color w:val="000000"/>
        </w:rPr>
        <w:t xml:space="preserve">R </w:t>
      </w:r>
      <w:r>
        <w:rPr>
          <w:color w:val="000000"/>
          <w:spacing w:val="1"/>
        </w:rPr>
        <w:t>P</w:t>
      </w:r>
      <w:r>
        <w:rPr>
          <w:color w:val="000000"/>
        </w:rPr>
        <w:t>B 259</w:t>
      </w:r>
      <w:r>
        <w:rPr>
          <w:color w:val="000000"/>
          <w:spacing w:val="2"/>
        </w:rPr>
        <w:t xml:space="preserve"> </w:t>
      </w:r>
      <w:r>
        <w:rPr>
          <w:color w:val="000000"/>
          <w:spacing w:val="-7"/>
        </w:rPr>
        <w:t>s</w:t>
      </w:r>
      <w:r>
        <w:rPr>
          <w:color w:val="000000"/>
          <w:spacing w:val="5"/>
        </w:rPr>
        <w:t>t</w:t>
      </w:r>
      <w:r>
        <w:rPr>
          <w:color w:val="000000"/>
          <w:spacing w:val="-3"/>
        </w:rPr>
        <w:t>r</w:t>
      </w:r>
      <w:r>
        <w:rPr>
          <w:color w:val="000000"/>
          <w:spacing w:val="2"/>
        </w:rPr>
        <w:t>.</w:t>
      </w:r>
      <w:r>
        <w:rPr>
          <w:color w:val="000000"/>
        </w:rPr>
        <w:t>;</w:t>
      </w:r>
    </w:p>
    <w:p w:rsidR="004F7425" w:rsidRDefault="004F7425" w:rsidP="004F7425">
      <w:pPr>
        <w:widowControl w:val="0"/>
        <w:autoSpaceDE w:val="0"/>
        <w:autoSpaceDN w:val="0"/>
        <w:adjustRightInd w:val="0"/>
        <w:spacing w:before="41" w:line="275" w:lineRule="auto"/>
        <w:ind w:left="120" w:right="44" w:firstLine="721"/>
        <w:jc w:val="both"/>
        <w:rPr>
          <w:color w:val="000000"/>
        </w:rPr>
      </w:pPr>
      <w:r>
        <w:rPr>
          <w:b/>
          <w:bCs/>
          <w:color w:val="000000"/>
        </w:rPr>
        <w:t xml:space="preserve">1077  </w:t>
      </w:r>
      <w:r>
        <w:rPr>
          <w:color w:val="000000"/>
        </w:rPr>
        <w:t>–  d</w:t>
      </w:r>
      <w:r>
        <w:rPr>
          <w:color w:val="000000"/>
          <w:spacing w:val="4"/>
        </w:rPr>
        <w:t>ė</w:t>
      </w:r>
      <w:r>
        <w:rPr>
          <w:color w:val="000000"/>
        </w:rPr>
        <w:t>l</w:t>
      </w:r>
      <w:r>
        <w:rPr>
          <w:color w:val="000000"/>
          <w:spacing w:val="55"/>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 xml:space="preserve">o </w:t>
      </w:r>
      <w:r>
        <w:rPr>
          <w:color w:val="000000"/>
          <w:spacing w:val="4"/>
        </w:rPr>
        <w:t xml:space="preserve"> </w:t>
      </w:r>
      <w:r>
        <w:rPr>
          <w:color w:val="000000"/>
        </w:rPr>
        <w:t>d</w:t>
      </w:r>
      <w:r>
        <w:rPr>
          <w:color w:val="000000"/>
          <w:spacing w:val="-9"/>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9"/>
        </w:rPr>
        <w:t>m</w:t>
      </w:r>
      <w:r>
        <w:rPr>
          <w:color w:val="000000"/>
        </w:rPr>
        <w:t xml:space="preserve">o </w:t>
      </w:r>
      <w:r>
        <w:rPr>
          <w:color w:val="000000"/>
          <w:spacing w:val="9"/>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spacing w:val="-5"/>
        </w:rPr>
        <w:t>n</w:t>
      </w:r>
      <w:r>
        <w:rPr>
          <w:color w:val="000000"/>
          <w:spacing w:val="4"/>
        </w:rPr>
        <w:t>ė</w:t>
      </w:r>
      <w:r>
        <w:rPr>
          <w:color w:val="000000"/>
          <w:spacing w:val="-4"/>
        </w:rPr>
        <w:t>mi</w:t>
      </w:r>
      <w:r>
        <w:rPr>
          <w:color w:val="000000"/>
        </w:rPr>
        <w:t xml:space="preserve">s </w:t>
      </w:r>
      <w:r>
        <w:rPr>
          <w:color w:val="000000"/>
          <w:spacing w:val="12"/>
        </w:rPr>
        <w:t xml:space="preserve"> </w:t>
      </w:r>
      <w:r>
        <w:rPr>
          <w:color w:val="000000"/>
          <w:spacing w:val="-9"/>
        </w:rPr>
        <w:t>i</w:t>
      </w:r>
      <w:r>
        <w:rPr>
          <w:color w:val="000000"/>
        </w:rPr>
        <w:t xml:space="preserve">r </w:t>
      </w:r>
      <w:r>
        <w:rPr>
          <w:color w:val="000000"/>
          <w:spacing w:val="1"/>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9"/>
        </w:rPr>
        <w:t>i</w:t>
      </w:r>
      <w:r>
        <w:rPr>
          <w:color w:val="000000"/>
        </w:rPr>
        <w:t>n</w:t>
      </w:r>
      <w:r>
        <w:rPr>
          <w:color w:val="000000"/>
          <w:spacing w:val="4"/>
        </w:rPr>
        <w:t>ė</w:t>
      </w:r>
      <w:r>
        <w:rPr>
          <w:color w:val="000000"/>
          <w:spacing w:val="-4"/>
        </w:rPr>
        <w:t>mi</w:t>
      </w:r>
      <w:r>
        <w:rPr>
          <w:color w:val="000000"/>
        </w:rPr>
        <w:t xml:space="preserve">s </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9"/>
        </w:rPr>
        <w:t>o</w:t>
      </w:r>
      <w:r>
        <w:rPr>
          <w:color w:val="000000"/>
          <w:spacing w:val="-4"/>
        </w:rPr>
        <w:t>mi</w:t>
      </w:r>
      <w:r>
        <w:rPr>
          <w:color w:val="000000"/>
        </w:rPr>
        <w:t>s</w:t>
      </w:r>
      <w:r>
        <w:rPr>
          <w:color w:val="000000"/>
          <w:spacing w:val="58"/>
        </w:rPr>
        <w:t xml:space="preserve"> </w:t>
      </w:r>
      <w:r>
        <w:rPr>
          <w:color w:val="000000"/>
          <w:spacing w:val="5"/>
        </w:rPr>
        <w:t>t</w:t>
      </w:r>
      <w:r>
        <w:rPr>
          <w:color w:val="000000"/>
        </w:rPr>
        <w:t>u</w:t>
      </w:r>
      <w:r>
        <w:rPr>
          <w:color w:val="000000"/>
          <w:spacing w:val="6"/>
        </w:rPr>
        <w:t>r</w:t>
      </w:r>
      <w:r>
        <w:rPr>
          <w:color w:val="000000"/>
          <w:spacing w:val="-4"/>
        </w:rPr>
        <w:t>i</w:t>
      </w:r>
      <w:r>
        <w:rPr>
          <w:color w:val="000000"/>
          <w:spacing w:val="-5"/>
        </w:rPr>
        <w:t>n</w:t>
      </w:r>
      <w:r>
        <w:rPr>
          <w:color w:val="000000"/>
        </w:rPr>
        <w:t xml:space="preserve">t </w:t>
      </w:r>
      <w:r>
        <w:rPr>
          <w:color w:val="000000"/>
          <w:spacing w:val="5"/>
        </w:rPr>
        <w:t>t</w:t>
      </w:r>
      <w:r>
        <w:rPr>
          <w:color w:val="000000"/>
          <w:spacing w:val="-9"/>
        </w:rPr>
        <w:t>i</w:t>
      </w:r>
      <w:r>
        <w:rPr>
          <w:color w:val="000000"/>
        </w:rPr>
        <w:t>k</w:t>
      </w:r>
      <w:r>
        <w:rPr>
          <w:color w:val="000000"/>
          <w:spacing w:val="2"/>
        </w:rPr>
        <w:t>s</w:t>
      </w:r>
      <w:r>
        <w:rPr>
          <w:color w:val="000000"/>
          <w:spacing w:val="-4"/>
        </w:rPr>
        <w:t>l</w:t>
      </w:r>
      <w:r>
        <w:rPr>
          <w:color w:val="000000"/>
        </w:rPr>
        <w:t>ą</w:t>
      </w:r>
      <w:r>
        <w:rPr>
          <w:color w:val="000000"/>
          <w:spacing w:val="11"/>
        </w:rPr>
        <w:t xml:space="preserve"> </w:t>
      </w:r>
      <w:r>
        <w:rPr>
          <w:color w:val="000000"/>
          <w:spacing w:val="-4"/>
        </w:rPr>
        <w:t>j</w:t>
      </w:r>
      <w:r>
        <w:rPr>
          <w:color w:val="000000"/>
          <w:spacing w:val="4"/>
        </w:rPr>
        <w:t>a</w:t>
      </w:r>
      <w:r>
        <w:rPr>
          <w:color w:val="000000"/>
        </w:rPr>
        <w:t>s</w:t>
      </w:r>
      <w:r>
        <w:rPr>
          <w:color w:val="000000"/>
          <w:spacing w:val="5"/>
        </w:rPr>
        <w:t xml:space="preserve"> p</w:t>
      </w:r>
      <w:r>
        <w:rPr>
          <w:color w:val="000000"/>
          <w:spacing w:val="-4"/>
        </w:rPr>
        <w:t>l</w:t>
      </w:r>
      <w:r>
        <w:rPr>
          <w:color w:val="000000"/>
          <w:spacing w:val="-1"/>
        </w:rPr>
        <w:t>a</w:t>
      </w:r>
      <w:r>
        <w:rPr>
          <w:color w:val="000000"/>
          <w:spacing w:val="10"/>
        </w:rPr>
        <w:t>t</w:t>
      </w:r>
      <w:r>
        <w:rPr>
          <w:color w:val="000000"/>
          <w:spacing w:val="-4"/>
        </w:rPr>
        <w:t>i</w:t>
      </w:r>
      <w:r>
        <w:rPr>
          <w:color w:val="000000"/>
          <w:spacing w:val="-5"/>
        </w:rPr>
        <w:t>n</w:t>
      </w:r>
      <w:r>
        <w:rPr>
          <w:color w:val="000000"/>
          <w:spacing w:val="10"/>
        </w:rPr>
        <w:t>t</w:t>
      </w:r>
      <w:r>
        <w:rPr>
          <w:color w:val="000000"/>
        </w:rPr>
        <w:t>i</w:t>
      </w:r>
      <w:r>
        <w:rPr>
          <w:color w:val="000000"/>
          <w:spacing w:val="-2"/>
        </w:rPr>
        <w:t xml:space="preserve"> </w:t>
      </w:r>
      <w:r>
        <w:rPr>
          <w:color w:val="000000"/>
          <w:spacing w:val="1"/>
        </w:rPr>
        <w:t>(</w:t>
      </w:r>
      <w:r>
        <w:rPr>
          <w:color w:val="000000"/>
        </w:rPr>
        <w:t>2011</w:t>
      </w:r>
      <w:r>
        <w:rPr>
          <w:color w:val="000000"/>
          <w:spacing w:val="12"/>
        </w:rPr>
        <w:t xml:space="preserve"> </w:t>
      </w:r>
      <w:r>
        <w:rPr>
          <w:color w:val="000000"/>
          <w:spacing w:val="-9"/>
        </w:rPr>
        <w:t>m</w:t>
      </w:r>
      <w:r>
        <w:rPr>
          <w:color w:val="000000"/>
        </w:rPr>
        <w:t>.</w:t>
      </w:r>
      <w:r>
        <w:rPr>
          <w:color w:val="000000"/>
          <w:spacing w:val="14"/>
        </w:rPr>
        <w:t xml:space="preserve"> </w:t>
      </w:r>
      <w:r>
        <w:rPr>
          <w:color w:val="000000"/>
        </w:rPr>
        <w:t>–</w:t>
      </w:r>
      <w:r>
        <w:rPr>
          <w:color w:val="000000"/>
          <w:spacing w:val="12"/>
        </w:rPr>
        <w:t xml:space="preserve"> </w:t>
      </w:r>
      <w:r>
        <w:rPr>
          <w:color w:val="000000"/>
        </w:rPr>
        <w:t>906,</w:t>
      </w:r>
      <w:r>
        <w:rPr>
          <w:color w:val="000000"/>
          <w:spacing w:val="9"/>
        </w:rPr>
        <w:t xml:space="preserve"> </w:t>
      </w:r>
      <w:r>
        <w:rPr>
          <w:color w:val="000000"/>
        </w:rPr>
        <w:t>2010</w:t>
      </w:r>
      <w:r>
        <w:rPr>
          <w:color w:val="000000"/>
          <w:spacing w:val="12"/>
        </w:rPr>
        <w:t xml:space="preserve"> </w:t>
      </w:r>
      <w:r>
        <w:rPr>
          <w:color w:val="000000"/>
          <w:spacing w:val="-9"/>
        </w:rPr>
        <w:t>m</w:t>
      </w:r>
      <w:r>
        <w:rPr>
          <w:color w:val="000000"/>
        </w:rPr>
        <w:t>.</w:t>
      </w:r>
      <w:r>
        <w:rPr>
          <w:color w:val="000000"/>
          <w:spacing w:val="11"/>
        </w:rPr>
        <w:t xml:space="preserve"> </w:t>
      </w:r>
      <w:r>
        <w:rPr>
          <w:color w:val="000000"/>
        </w:rPr>
        <w:t>–</w:t>
      </w:r>
      <w:r>
        <w:rPr>
          <w:color w:val="000000"/>
          <w:spacing w:val="7"/>
        </w:rPr>
        <w:t xml:space="preserve"> </w:t>
      </w:r>
      <w:r>
        <w:rPr>
          <w:color w:val="000000"/>
        </w:rPr>
        <w:t>816</w:t>
      </w:r>
      <w:r>
        <w:rPr>
          <w:color w:val="000000"/>
          <w:spacing w:val="1"/>
        </w:rPr>
        <w:t>)</w:t>
      </w:r>
      <w:r>
        <w:rPr>
          <w:color w:val="000000"/>
        </w:rPr>
        <w:t>,</w:t>
      </w:r>
      <w:r>
        <w:rPr>
          <w:color w:val="000000"/>
          <w:spacing w:val="9"/>
        </w:rPr>
        <w:t xml:space="preserve"> </w:t>
      </w:r>
      <w:r>
        <w:rPr>
          <w:color w:val="000000"/>
          <w:spacing w:val="-4"/>
        </w:rPr>
        <w:t>i</w:t>
      </w:r>
      <w:r>
        <w:rPr>
          <w:color w:val="000000"/>
        </w:rPr>
        <w:t>š</w:t>
      </w:r>
      <w:r>
        <w:rPr>
          <w:color w:val="000000"/>
          <w:spacing w:val="14"/>
        </w:rPr>
        <w:t xml:space="preserve"> </w:t>
      </w:r>
      <w:r>
        <w:rPr>
          <w:color w:val="000000"/>
          <w:spacing w:val="-9"/>
        </w:rPr>
        <w:t>j</w:t>
      </w:r>
      <w:r>
        <w:rPr>
          <w:color w:val="000000"/>
        </w:rPr>
        <w:t>ų</w:t>
      </w:r>
      <w:r>
        <w:rPr>
          <w:color w:val="000000"/>
          <w:spacing w:val="12"/>
        </w:rPr>
        <w:t xml:space="preserve"> </w:t>
      </w:r>
      <w:r>
        <w:rPr>
          <w:color w:val="000000"/>
        </w:rPr>
        <w:t>54</w:t>
      </w:r>
      <w:r>
        <w:rPr>
          <w:color w:val="000000"/>
          <w:spacing w:val="12"/>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s</w:t>
      </w:r>
      <w:r>
        <w:rPr>
          <w:color w:val="000000"/>
          <w:spacing w:val="10"/>
        </w:rPr>
        <w:t xml:space="preserve"> </w:t>
      </w:r>
      <w:r>
        <w:rPr>
          <w:color w:val="000000"/>
          <w:spacing w:val="-5"/>
        </w:rPr>
        <w:t>v</w:t>
      </w:r>
      <w:r>
        <w:rPr>
          <w:color w:val="000000"/>
          <w:spacing w:val="4"/>
        </w:rPr>
        <w:t>e</w:t>
      </w:r>
      <w:r>
        <w:rPr>
          <w:color w:val="000000"/>
          <w:spacing w:val="-4"/>
        </w:rPr>
        <w:t>i</w:t>
      </w:r>
      <w:r>
        <w:rPr>
          <w:color w:val="000000"/>
        </w:rPr>
        <w:t>k</w:t>
      </w:r>
      <w:r>
        <w:rPr>
          <w:color w:val="000000"/>
          <w:spacing w:val="5"/>
        </w:rPr>
        <w:t>o</w:t>
      </w:r>
      <w:r>
        <w:rPr>
          <w:color w:val="000000"/>
        </w:rPr>
        <w:t>s</w:t>
      </w:r>
      <w:r>
        <w:rPr>
          <w:color w:val="000000"/>
          <w:spacing w:val="10"/>
        </w:rPr>
        <w:t xml:space="preserve"> </w:t>
      </w:r>
      <w:r>
        <w:rPr>
          <w:color w:val="000000"/>
        </w:rPr>
        <w:t>d</w:t>
      </w:r>
      <w:r>
        <w:rPr>
          <w:color w:val="000000"/>
          <w:spacing w:val="4"/>
        </w:rPr>
        <w:t>ė</w:t>
      </w:r>
      <w:r>
        <w:rPr>
          <w:color w:val="000000"/>
        </w:rPr>
        <w:t>l</w:t>
      </w:r>
      <w:r>
        <w:rPr>
          <w:color w:val="000000"/>
          <w:spacing w:val="3"/>
        </w:rPr>
        <w:t xml:space="preserve"> </w:t>
      </w:r>
      <w:r>
        <w:rPr>
          <w:color w:val="000000"/>
          <w:spacing w:val="5"/>
        </w:rPr>
        <w:t>p</w:t>
      </w:r>
      <w:r>
        <w:rPr>
          <w:color w:val="000000"/>
          <w:spacing w:val="-4"/>
        </w:rPr>
        <w:t>l</w:t>
      </w:r>
      <w:r>
        <w:rPr>
          <w:color w:val="000000"/>
          <w:spacing w:val="-1"/>
        </w:rPr>
        <w:t>a</w:t>
      </w:r>
      <w:r>
        <w:rPr>
          <w:color w:val="000000"/>
          <w:spacing w:val="10"/>
        </w:rPr>
        <w:t>t</w:t>
      </w:r>
      <w:r>
        <w:rPr>
          <w:color w:val="000000"/>
          <w:spacing w:val="-4"/>
        </w:rPr>
        <w:t>i</w:t>
      </w:r>
      <w:r>
        <w:rPr>
          <w:color w:val="000000"/>
        </w:rPr>
        <w:t>ni</w:t>
      </w:r>
      <w:r>
        <w:rPr>
          <w:color w:val="000000"/>
          <w:spacing w:val="-9"/>
        </w:rPr>
        <w:t>m</w:t>
      </w:r>
      <w:r>
        <w:rPr>
          <w:color w:val="000000"/>
        </w:rPr>
        <w:t>o</w:t>
      </w:r>
      <w:r>
        <w:rPr>
          <w:color w:val="000000"/>
          <w:spacing w:val="16"/>
        </w:rPr>
        <w:t xml:space="preserve"> </w:t>
      </w:r>
      <w:r>
        <w:rPr>
          <w:color w:val="000000"/>
          <w:spacing w:val="-4"/>
        </w:rPr>
        <w:t>l</w:t>
      </w:r>
      <w:r>
        <w:rPr>
          <w:color w:val="000000"/>
          <w:spacing w:val="4"/>
        </w:rPr>
        <w:t>a</w:t>
      </w:r>
      <w:r>
        <w:rPr>
          <w:color w:val="000000"/>
          <w:spacing w:val="-5"/>
        </w:rPr>
        <w:t>b</w:t>
      </w:r>
      <w:r>
        <w:rPr>
          <w:color w:val="000000"/>
          <w:spacing w:val="8"/>
        </w:rPr>
        <w:t>a</w:t>
      </w:r>
      <w:r>
        <w:rPr>
          <w:color w:val="000000"/>
        </w:rPr>
        <w:t xml:space="preserve">i </w:t>
      </w:r>
      <w:r>
        <w:rPr>
          <w:color w:val="000000"/>
          <w:spacing w:val="5"/>
        </w:rPr>
        <w:t>d</w:t>
      </w:r>
      <w:r>
        <w:rPr>
          <w:color w:val="000000"/>
          <w:spacing w:val="-9"/>
        </w:rPr>
        <w:t>i</w:t>
      </w:r>
      <w:r>
        <w:rPr>
          <w:color w:val="000000"/>
        </w:rPr>
        <w:t>d</w:t>
      </w:r>
      <w:r>
        <w:rPr>
          <w:color w:val="000000"/>
          <w:spacing w:val="4"/>
        </w:rPr>
        <w:t>e</w:t>
      </w:r>
      <w:r>
        <w:rPr>
          <w:color w:val="000000"/>
        </w:rPr>
        <w:t>l</w:t>
      </w:r>
      <w:r>
        <w:rPr>
          <w:color w:val="000000"/>
          <w:spacing w:val="-9"/>
        </w:rPr>
        <w:t>i</w:t>
      </w:r>
      <w:r>
        <w:rPr>
          <w:color w:val="000000"/>
        </w:rPr>
        <w:t>o</w:t>
      </w:r>
      <w:r>
        <w:rPr>
          <w:color w:val="000000"/>
          <w:spacing w:val="7"/>
        </w:rPr>
        <w:t xml:space="preserve"> </w:t>
      </w:r>
      <w:r>
        <w:rPr>
          <w:color w:val="000000"/>
          <w:spacing w:val="5"/>
        </w:rPr>
        <w:t>k</w:t>
      </w:r>
      <w:r>
        <w:rPr>
          <w:color w:val="000000"/>
          <w:spacing w:val="-9"/>
        </w:rPr>
        <w:t>i</w:t>
      </w:r>
      <w:r>
        <w:rPr>
          <w:color w:val="000000"/>
          <w:spacing w:val="-1"/>
        </w:rPr>
        <w:t>e</w:t>
      </w:r>
      <w:r>
        <w:rPr>
          <w:color w:val="000000"/>
          <w:spacing w:val="5"/>
        </w:rPr>
        <w:t>k</w:t>
      </w:r>
      <w:r>
        <w:rPr>
          <w:color w:val="000000"/>
          <w:spacing w:val="-9"/>
        </w:rPr>
        <w:t>i</w:t>
      </w:r>
      <w:r>
        <w:rPr>
          <w:color w:val="000000"/>
        </w:rPr>
        <w:t>o</w:t>
      </w:r>
      <w:r>
        <w:rPr>
          <w:color w:val="000000"/>
          <w:spacing w:val="10"/>
        </w:rPr>
        <w:t xml:space="preserve"> </w:t>
      </w:r>
      <w:r>
        <w:rPr>
          <w:color w:val="000000"/>
        </w:rPr>
        <w:t>–</w:t>
      </w:r>
      <w:r>
        <w:rPr>
          <w:color w:val="000000"/>
          <w:spacing w:val="2"/>
        </w:rPr>
        <w:t xml:space="preserve"> </w:t>
      </w:r>
      <w:r>
        <w:rPr>
          <w:color w:val="000000"/>
          <w:spacing w:val="-3"/>
        </w:rPr>
        <w:t>L</w:t>
      </w:r>
      <w:r>
        <w:rPr>
          <w:color w:val="000000"/>
        </w:rPr>
        <w:t xml:space="preserve">R </w:t>
      </w:r>
      <w:r>
        <w:rPr>
          <w:color w:val="000000"/>
          <w:spacing w:val="3"/>
        </w:rPr>
        <w:t>B</w:t>
      </w:r>
      <w:r>
        <w:rPr>
          <w:color w:val="000000"/>
        </w:rPr>
        <w:t>K</w:t>
      </w:r>
      <w:r>
        <w:rPr>
          <w:color w:val="000000"/>
          <w:spacing w:val="-3"/>
        </w:rPr>
        <w:t xml:space="preserve"> </w:t>
      </w:r>
      <w:r>
        <w:rPr>
          <w:color w:val="000000"/>
        </w:rPr>
        <w:t>260</w:t>
      </w:r>
      <w:r>
        <w:rPr>
          <w:color w:val="000000"/>
          <w:spacing w:val="2"/>
        </w:rPr>
        <w:t xml:space="preserve"> </w:t>
      </w:r>
      <w:r>
        <w:rPr>
          <w:color w:val="000000"/>
          <w:spacing w:val="-2"/>
        </w:rPr>
        <w:t>s</w:t>
      </w:r>
      <w:r>
        <w:rPr>
          <w:color w:val="000000"/>
          <w:spacing w:val="5"/>
        </w:rPr>
        <w:t>t</w:t>
      </w:r>
      <w:r>
        <w:rPr>
          <w:color w:val="000000"/>
          <w:spacing w:val="1"/>
        </w:rPr>
        <w:t>r</w:t>
      </w:r>
      <w:r>
        <w:rPr>
          <w:color w:val="000000"/>
          <w:spacing w:val="2"/>
        </w:rPr>
        <w:t>.</w:t>
      </w:r>
      <w:r>
        <w:rPr>
          <w:color w:val="000000"/>
        </w:rPr>
        <w:t>;</w:t>
      </w:r>
    </w:p>
    <w:p w:rsidR="004F7425" w:rsidRDefault="004F7425" w:rsidP="004F7425">
      <w:pPr>
        <w:widowControl w:val="0"/>
        <w:autoSpaceDE w:val="0"/>
        <w:autoSpaceDN w:val="0"/>
        <w:adjustRightInd w:val="0"/>
        <w:spacing w:before="1" w:line="271" w:lineRule="exact"/>
        <w:ind w:left="840" w:right="-20"/>
        <w:rPr>
          <w:color w:val="000000"/>
        </w:rPr>
      </w:pPr>
      <w:r>
        <w:rPr>
          <w:b/>
          <w:bCs/>
          <w:color w:val="000000"/>
          <w:position w:val="-1"/>
        </w:rPr>
        <w:t>18</w:t>
      </w:r>
      <w:r>
        <w:rPr>
          <w:b/>
          <w:bCs/>
          <w:color w:val="000000"/>
          <w:spacing w:val="22"/>
          <w:position w:val="-1"/>
        </w:rPr>
        <w:t xml:space="preserve"> </w:t>
      </w:r>
      <w:r>
        <w:rPr>
          <w:color w:val="000000"/>
          <w:position w:val="-1"/>
        </w:rPr>
        <w:t>–</w:t>
      </w:r>
      <w:r>
        <w:rPr>
          <w:color w:val="000000"/>
          <w:spacing w:val="22"/>
          <w:position w:val="-1"/>
        </w:rPr>
        <w:t xml:space="preserve"> </w:t>
      </w:r>
      <w:r>
        <w:rPr>
          <w:color w:val="000000"/>
          <w:position w:val="-1"/>
        </w:rPr>
        <w:t>d</w:t>
      </w:r>
      <w:r>
        <w:rPr>
          <w:color w:val="000000"/>
          <w:spacing w:val="-1"/>
          <w:position w:val="-1"/>
        </w:rPr>
        <w:t>ė</w:t>
      </w:r>
      <w:r>
        <w:rPr>
          <w:color w:val="000000"/>
          <w:position w:val="-1"/>
        </w:rPr>
        <w:t>l</w:t>
      </w:r>
      <w:r>
        <w:rPr>
          <w:color w:val="000000"/>
          <w:spacing w:val="17"/>
          <w:position w:val="-1"/>
        </w:rPr>
        <w:t xml:space="preserve"> </w:t>
      </w:r>
      <w:r>
        <w:rPr>
          <w:color w:val="000000"/>
          <w:spacing w:val="-5"/>
          <w:position w:val="-1"/>
        </w:rPr>
        <w:t>n</w:t>
      </w:r>
      <w:r>
        <w:rPr>
          <w:color w:val="000000"/>
          <w:spacing w:val="-1"/>
          <w:position w:val="-1"/>
        </w:rPr>
        <w:t>a</w:t>
      </w:r>
      <w:r>
        <w:rPr>
          <w:color w:val="000000"/>
          <w:spacing w:val="1"/>
          <w:position w:val="-1"/>
        </w:rPr>
        <w:t>r</w:t>
      </w:r>
      <w:r>
        <w:rPr>
          <w:color w:val="000000"/>
          <w:position w:val="-1"/>
        </w:rPr>
        <w:t>ko</w:t>
      </w:r>
      <w:r>
        <w:rPr>
          <w:color w:val="000000"/>
          <w:spacing w:val="5"/>
          <w:position w:val="-1"/>
        </w:rPr>
        <w:t>t</w:t>
      </w:r>
      <w:r>
        <w:rPr>
          <w:color w:val="000000"/>
          <w:spacing w:val="-9"/>
          <w:position w:val="-1"/>
        </w:rPr>
        <w:t>i</w:t>
      </w:r>
      <w:r>
        <w:rPr>
          <w:color w:val="000000"/>
          <w:position w:val="-1"/>
        </w:rPr>
        <w:t>kų</w:t>
      </w:r>
      <w:r>
        <w:rPr>
          <w:color w:val="000000"/>
          <w:spacing w:val="21"/>
          <w:position w:val="-1"/>
        </w:rPr>
        <w:t xml:space="preserve"> </w:t>
      </w:r>
      <w:r>
        <w:rPr>
          <w:color w:val="000000"/>
          <w:spacing w:val="5"/>
          <w:position w:val="-1"/>
        </w:rPr>
        <w:t>p</w:t>
      </w:r>
      <w:r>
        <w:rPr>
          <w:color w:val="000000"/>
          <w:spacing w:val="-4"/>
          <w:position w:val="-1"/>
        </w:rPr>
        <w:t>l</w:t>
      </w:r>
      <w:r>
        <w:rPr>
          <w:color w:val="000000"/>
          <w:spacing w:val="-1"/>
          <w:position w:val="-1"/>
        </w:rPr>
        <w:t>a</w:t>
      </w:r>
      <w:r>
        <w:rPr>
          <w:color w:val="000000"/>
          <w:spacing w:val="10"/>
          <w:position w:val="-1"/>
        </w:rPr>
        <w:t>t</w:t>
      </w:r>
      <w:r>
        <w:rPr>
          <w:color w:val="000000"/>
          <w:spacing w:val="-4"/>
          <w:position w:val="-1"/>
        </w:rPr>
        <w:t>i</w:t>
      </w:r>
      <w:r>
        <w:rPr>
          <w:color w:val="000000"/>
          <w:position w:val="-1"/>
        </w:rPr>
        <w:t>ni</w:t>
      </w:r>
      <w:r>
        <w:rPr>
          <w:color w:val="000000"/>
          <w:spacing w:val="-9"/>
          <w:position w:val="-1"/>
        </w:rPr>
        <w:t>m</w:t>
      </w:r>
      <w:r>
        <w:rPr>
          <w:color w:val="000000"/>
          <w:position w:val="-1"/>
        </w:rPr>
        <w:t>o</w:t>
      </w:r>
      <w:r>
        <w:rPr>
          <w:color w:val="000000"/>
          <w:spacing w:val="26"/>
          <w:position w:val="-1"/>
        </w:rPr>
        <w:t xml:space="preserve"> </w:t>
      </w:r>
      <w:r>
        <w:rPr>
          <w:color w:val="000000"/>
          <w:spacing w:val="-5"/>
          <w:position w:val="-1"/>
        </w:rPr>
        <w:t>n</w:t>
      </w:r>
      <w:r>
        <w:rPr>
          <w:color w:val="000000"/>
          <w:spacing w:val="-1"/>
          <w:position w:val="-1"/>
        </w:rPr>
        <w:t>e</w:t>
      </w:r>
      <w:r>
        <w:rPr>
          <w:color w:val="000000"/>
          <w:spacing w:val="5"/>
          <w:position w:val="-1"/>
        </w:rPr>
        <w:t>p</w:t>
      </w:r>
      <w:r>
        <w:rPr>
          <w:color w:val="000000"/>
          <w:position w:val="-1"/>
        </w:rPr>
        <w:t>i</w:t>
      </w:r>
      <w:r>
        <w:rPr>
          <w:color w:val="000000"/>
          <w:spacing w:val="-4"/>
          <w:position w:val="-1"/>
        </w:rPr>
        <w:t>l</w:t>
      </w:r>
      <w:r>
        <w:rPr>
          <w:color w:val="000000"/>
          <w:position w:val="-1"/>
        </w:rPr>
        <w:t>n</w:t>
      </w:r>
      <w:r>
        <w:rPr>
          <w:color w:val="000000"/>
          <w:spacing w:val="4"/>
          <w:position w:val="-1"/>
        </w:rPr>
        <w:t>a</w:t>
      </w:r>
      <w:r>
        <w:rPr>
          <w:color w:val="000000"/>
          <w:spacing w:val="-4"/>
          <w:position w:val="-1"/>
        </w:rPr>
        <w:t>m</w:t>
      </w:r>
      <w:r>
        <w:rPr>
          <w:color w:val="000000"/>
          <w:spacing w:val="4"/>
          <w:position w:val="-1"/>
        </w:rPr>
        <w:t>eč</w:t>
      </w:r>
      <w:r>
        <w:rPr>
          <w:color w:val="000000"/>
          <w:spacing w:val="-4"/>
          <w:position w:val="-1"/>
        </w:rPr>
        <w:t>i</w:t>
      </w:r>
      <w:r>
        <w:rPr>
          <w:color w:val="000000"/>
          <w:spacing w:val="4"/>
          <w:position w:val="-1"/>
        </w:rPr>
        <w:t>a</w:t>
      </w:r>
      <w:r>
        <w:rPr>
          <w:color w:val="000000"/>
          <w:spacing w:val="-4"/>
          <w:position w:val="-1"/>
        </w:rPr>
        <w:t>m</w:t>
      </w:r>
      <w:r>
        <w:rPr>
          <w:color w:val="000000"/>
          <w:position w:val="-1"/>
        </w:rPr>
        <w:t>s</w:t>
      </w:r>
      <w:r>
        <w:rPr>
          <w:color w:val="000000"/>
          <w:spacing w:val="19"/>
          <w:position w:val="-1"/>
        </w:rPr>
        <w:t xml:space="preserve"> </w:t>
      </w:r>
      <w:r>
        <w:rPr>
          <w:color w:val="000000"/>
          <w:spacing w:val="1"/>
          <w:position w:val="-1"/>
        </w:rPr>
        <w:t>(</w:t>
      </w:r>
      <w:r>
        <w:rPr>
          <w:color w:val="000000"/>
          <w:position w:val="-1"/>
        </w:rPr>
        <w:t>2011</w:t>
      </w:r>
      <w:r>
        <w:rPr>
          <w:color w:val="000000"/>
          <w:spacing w:val="21"/>
          <w:position w:val="-1"/>
        </w:rPr>
        <w:t xml:space="preserve"> </w:t>
      </w:r>
      <w:r>
        <w:rPr>
          <w:color w:val="000000"/>
          <w:spacing w:val="-9"/>
          <w:position w:val="-1"/>
        </w:rPr>
        <w:t>m</w:t>
      </w:r>
      <w:r>
        <w:rPr>
          <w:color w:val="000000"/>
          <w:position w:val="-1"/>
        </w:rPr>
        <w:t>.</w:t>
      </w:r>
      <w:r>
        <w:rPr>
          <w:color w:val="000000"/>
          <w:spacing w:val="30"/>
          <w:position w:val="-1"/>
        </w:rPr>
        <w:t xml:space="preserve"> </w:t>
      </w:r>
      <w:r>
        <w:rPr>
          <w:color w:val="000000"/>
          <w:position w:val="-1"/>
        </w:rPr>
        <w:t>–</w:t>
      </w:r>
      <w:r>
        <w:rPr>
          <w:color w:val="000000"/>
          <w:spacing w:val="22"/>
          <w:position w:val="-1"/>
        </w:rPr>
        <w:t xml:space="preserve"> </w:t>
      </w:r>
      <w:r>
        <w:rPr>
          <w:color w:val="000000"/>
          <w:position w:val="-1"/>
        </w:rPr>
        <w:t>23,</w:t>
      </w:r>
      <w:r>
        <w:rPr>
          <w:color w:val="000000"/>
          <w:spacing w:val="24"/>
          <w:position w:val="-1"/>
        </w:rPr>
        <w:t xml:space="preserve"> </w:t>
      </w:r>
      <w:r>
        <w:rPr>
          <w:color w:val="000000"/>
          <w:position w:val="-1"/>
        </w:rPr>
        <w:t>2010</w:t>
      </w:r>
      <w:r>
        <w:rPr>
          <w:color w:val="000000"/>
          <w:spacing w:val="21"/>
          <w:position w:val="-1"/>
        </w:rPr>
        <w:t xml:space="preserve"> </w:t>
      </w:r>
      <w:r>
        <w:rPr>
          <w:color w:val="000000"/>
          <w:spacing w:val="-9"/>
          <w:position w:val="-1"/>
        </w:rPr>
        <w:t>m</w:t>
      </w:r>
      <w:r>
        <w:rPr>
          <w:color w:val="000000"/>
          <w:position w:val="-1"/>
        </w:rPr>
        <w:t>.</w:t>
      </w:r>
      <w:r>
        <w:rPr>
          <w:color w:val="000000"/>
          <w:spacing w:val="25"/>
          <w:position w:val="-1"/>
        </w:rPr>
        <w:t xml:space="preserve"> </w:t>
      </w:r>
      <w:r>
        <w:rPr>
          <w:color w:val="000000"/>
          <w:position w:val="-1"/>
        </w:rPr>
        <w:t>–</w:t>
      </w:r>
      <w:r>
        <w:rPr>
          <w:color w:val="000000"/>
          <w:spacing w:val="22"/>
          <w:position w:val="-1"/>
        </w:rPr>
        <w:t xml:space="preserve"> </w:t>
      </w:r>
      <w:r>
        <w:rPr>
          <w:color w:val="000000"/>
          <w:position w:val="-1"/>
        </w:rPr>
        <w:t>21)</w:t>
      </w:r>
      <w:r>
        <w:rPr>
          <w:color w:val="000000"/>
          <w:spacing w:val="18"/>
          <w:position w:val="-1"/>
        </w:rPr>
        <w:t xml:space="preserve"> </w:t>
      </w:r>
      <w:r>
        <w:rPr>
          <w:color w:val="000000"/>
          <w:position w:val="-1"/>
        </w:rPr>
        <w:t>–</w:t>
      </w:r>
      <w:r>
        <w:rPr>
          <w:color w:val="000000"/>
          <w:spacing w:val="22"/>
          <w:position w:val="-1"/>
        </w:rPr>
        <w:t xml:space="preserve"> </w:t>
      </w:r>
      <w:r>
        <w:rPr>
          <w:color w:val="000000"/>
          <w:spacing w:val="-3"/>
          <w:position w:val="-1"/>
        </w:rPr>
        <w:t>L</w:t>
      </w:r>
      <w:r>
        <w:rPr>
          <w:color w:val="000000"/>
          <w:position w:val="-1"/>
        </w:rPr>
        <w:t>R</w:t>
      </w:r>
      <w:r>
        <w:rPr>
          <w:color w:val="000000"/>
          <w:spacing w:val="20"/>
          <w:position w:val="-1"/>
        </w:rPr>
        <w:t xml:space="preserve"> </w:t>
      </w:r>
      <w:r>
        <w:rPr>
          <w:color w:val="000000"/>
          <w:spacing w:val="-2"/>
          <w:position w:val="-1"/>
        </w:rPr>
        <w:t>B</w:t>
      </w:r>
      <w:r>
        <w:rPr>
          <w:color w:val="000000"/>
          <w:position w:val="-1"/>
        </w:rPr>
        <w:t>K</w:t>
      </w:r>
      <w:r>
        <w:rPr>
          <w:color w:val="000000"/>
          <w:spacing w:val="16"/>
          <w:position w:val="-1"/>
        </w:rPr>
        <w:t xml:space="preserve"> </w:t>
      </w:r>
      <w:r>
        <w:rPr>
          <w:color w:val="000000"/>
          <w:position w:val="-1"/>
        </w:rPr>
        <w:t>261</w:t>
      </w:r>
    </w:p>
    <w:p w:rsidR="004F7425" w:rsidRDefault="004F7425" w:rsidP="004F7425">
      <w:pPr>
        <w:widowControl w:val="0"/>
        <w:autoSpaceDE w:val="0"/>
        <w:autoSpaceDN w:val="0"/>
        <w:adjustRightInd w:val="0"/>
        <w:spacing w:before="1" w:line="271" w:lineRule="exact"/>
        <w:ind w:left="840" w:right="-20"/>
        <w:rPr>
          <w:color w:val="000000"/>
        </w:rPr>
        <w:sectPr w:rsidR="004F7425">
          <w:type w:val="continuous"/>
          <w:pgSz w:w="11920" w:h="16840"/>
          <w:pgMar w:top="1540" w:right="460" w:bottom="280" w:left="1580" w:header="567" w:footer="567" w:gutter="0"/>
          <w:cols w:space="1296" w:equalWidth="0">
            <w:col w:w="9880"/>
          </w:cols>
          <w:noEndnote/>
        </w:sectPr>
      </w:pPr>
    </w:p>
    <w:p w:rsidR="004F7425" w:rsidRDefault="004F7425" w:rsidP="004F7425">
      <w:pPr>
        <w:widowControl w:val="0"/>
        <w:autoSpaceDE w:val="0"/>
        <w:autoSpaceDN w:val="0"/>
        <w:adjustRightInd w:val="0"/>
        <w:spacing w:before="46"/>
        <w:ind w:left="120" w:right="-76"/>
        <w:rPr>
          <w:color w:val="000000"/>
        </w:rPr>
      </w:pPr>
      <w:r>
        <w:rPr>
          <w:color w:val="000000"/>
          <w:spacing w:val="-2"/>
        </w:rPr>
        <w:lastRenderedPageBreak/>
        <w:t>s</w:t>
      </w:r>
      <w:r>
        <w:rPr>
          <w:color w:val="000000"/>
          <w:spacing w:val="5"/>
        </w:rPr>
        <w:t>t</w:t>
      </w:r>
      <w:r>
        <w:rPr>
          <w:color w:val="000000"/>
          <w:spacing w:val="-3"/>
        </w:rPr>
        <w:t>r</w:t>
      </w:r>
      <w:r>
        <w:rPr>
          <w:color w:val="000000"/>
          <w:spacing w:val="2"/>
        </w:rPr>
        <w:t>.</w:t>
      </w:r>
      <w:r>
        <w:rPr>
          <w:color w:val="000000"/>
        </w:rPr>
        <w:t>;</w:t>
      </w:r>
    </w:p>
    <w:p w:rsidR="004F7425" w:rsidRDefault="004F7425" w:rsidP="004F7425">
      <w:pPr>
        <w:widowControl w:val="0"/>
        <w:autoSpaceDE w:val="0"/>
        <w:autoSpaceDN w:val="0"/>
        <w:adjustRightInd w:val="0"/>
        <w:spacing w:before="8" w:line="160" w:lineRule="exact"/>
        <w:rPr>
          <w:color w:val="000000"/>
          <w:sz w:val="16"/>
          <w:szCs w:val="16"/>
        </w:rPr>
      </w:pPr>
      <w:r>
        <w:rPr>
          <w:color w:val="000000"/>
        </w:rPr>
        <w:br w:type="column"/>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1" w:lineRule="exact"/>
        <w:ind w:right="-20"/>
        <w:rPr>
          <w:color w:val="000000"/>
        </w:rPr>
      </w:pPr>
      <w:r>
        <w:rPr>
          <w:b/>
          <w:bCs/>
          <w:color w:val="000000"/>
          <w:position w:val="-1"/>
        </w:rPr>
        <w:t>4</w:t>
      </w:r>
      <w:r>
        <w:rPr>
          <w:color w:val="000000"/>
          <w:position w:val="-1"/>
        </w:rPr>
        <w:t>–</w:t>
      </w:r>
      <w:r>
        <w:rPr>
          <w:color w:val="000000"/>
          <w:spacing w:val="2"/>
          <w:position w:val="-1"/>
        </w:rPr>
        <w:t xml:space="preserve"> </w:t>
      </w:r>
      <w:r>
        <w:rPr>
          <w:color w:val="000000"/>
          <w:position w:val="-1"/>
        </w:rPr>
        <w:t>d</w:t>
      </w:r>
      <w:r>
        <w:rPr>
          <w:color w:val="000000"/>
          <w:spacing w:val="4"/>
          <w:position w:val="-1"/>
        </w:rPr>
        <w:t>ė</w:t>
      </w:r>
      <w:r>
        <w:rPr>
          <w:color w:val="000000"/>
          <w:position w:val="-1"/>
        </w:rPr>
        <w:t>l</w:t>
      </w:r>
      <w:r>
        <w:rPr>
          <w:color w:val="000000"/>
          <w:spacing w:val="3"/>
          <w:position w:val="-1"/>
        </w:rPr>
        <w:t xml:space="preserve"> </w:t>
      </w:r>
      <w:r>
        <w:rPr>
          <w:color w:val="000000"/>
          <w:spacing w:val="-4"/>
          <w:position w:val="-1"/>
        </w:rPr>
        <w:t>į</w:t>
      </w:r>
      <w:r>
        <w:rPr>
          <w:color w:val="000000"/>
          <w:spacing w:val="1"/>
          <w:position w:val="-1"/>
        </w:rPr>
        <w:t>r</w:t>
      </w:r>
      <w:r>
        <w:rPr>
          <w:color w:val="000000"/>
          <w:spacing w:val="4"/>
          <w:position w:val="-1"/>
        </w:rPr>
        <w:t>e</w:t>
      </w:r>
      <w:r>
        <w:rPr>
          <w:color w:val="000000"/>
          <w:spacing w:val="-5"/>
          <w:position w:val="-1"/>
        </w:rPr>
        <w:t>n</w:t>
      </w:r>
      <w:r>
        <w:rPr>
          <w:color w:val="000000"/>
          <w:spacing w:val="5"/>
          <w:position w:val="-1"/>
        </w:rPr>
        <w:t>g</w:t>
      </w:r>
      <w:r>
        <w:rPr>
          <w:color w:val="000000"/>
          <w:spacing w:val="-4"/>
          <w:position w:val="-1"/>
        </w:rPr>
        <w:t>i</w:t>
      </w:r>
      <w:r>
        <w:rPr>
          <w:color w:val="000000"/>
          <w:spacing w:val="5"/>
          <w:position w:val="-1"/>
        </w:rPr>
        <w:t>n</w:t>
      </w:r>
      <w:r>
        <w:rPr>
          <w:color w:val="000000"/>
          <w:spacing w:val="-4"/>
          <w:position w:val="-1"/>
        </w:rPr>
        <w:t>i</w:t>
      </w:r>
      <w:r>
        <w:rPr>
          <w:color w:val="000000"/>
          <w:position w:val="-1"/>
        </w:rPr>
        <w:t>ų</w:t>
      </w:r>
      <w:r>
        <w:rPr>
          <w:color w:val="000000"/>
          <w:spacing w:val="7"/>
          <w:position w:val="-1"/>
        </w:rPr>
        <w:t xml:space="preserve"> </w:t>
      </w:r>
      <w:r>
        <w:rPr>
          <w:color w:val="000000"/>
          <w:spacing w:val="-5"/>
          <w:position w:val="-1"/>
        </w:rPr>
        <w:t>n</w:t>
      </w:r>
      <w:r>
        <w:rPr>
          <w:color w:val="000000"/>
          <w:spacing w:val="-1"/>
          <w:position w:val="-1"/>
        </w:rPr>
        <w:t>a</w:t>
      </w:r>
      <w:r>
        <w:rPr>
          <w:color w:val="000000"/>
          <w:spacing w:val="1"/>
          <w:position w:val="-1"/>
        </w:rPr>
        <w:t>r</w:t>
      </w:r>
      <w:r>
        <w:rPr>
          <w:color w:val="000000"/>
          <w:position w:val="-1"/>
        </w:rPr>
        <w:t>k</w:t>
      </w:r>
      <w:r>
        <w:rPr>
          <w:color w:val="000000"/>
          <w:spacing w:val="5"/>
          <w:position w:val="-1"/>
        </w:rPr>
        <w:t>ot</w:t>
      </w:r>
      <w:r>
        <w:rPr>
          <w:color w:val="000000"/>
          <w:spacing w:val="-4"/>
          <w:position w:val="-1"/>
        </w:rPr>
        <w:t>i</w:t>
      </w:r>
      <w:r>
        <w:rPr>
          <w:color w:val="000000"/>
          <w:spacing w:val="-5"/>
          <w:position w:val="-1"/>
        </w:rPr>
        <w:t>n</w:t>
      </w:r>
      <w:r>
        <w:rPr>
          <w:color w:val="000000"/>
          <w:spacing w:val="4"/>
          <w:position w:val="-1"/>
        </w:rPr>
        <w:t>ė</w:t>
      </w:r>
      <w:r>
        <w:rPr>
          <w:color w:val="000000"/>
          <w:spacing w:val="-4"/>
          <w:position w:val="-1"/>
        </w:rPr>
        <w:t>m</w:t>
      </w:r>
      <w:r>
        <w:rPr>
          <w:color w:val="000000"/>
          <w:position w:val="-1"/>
        </w:rPr>
        <w:t>s</w:t>
      </w:r>
      <w:r>
        <w:rPr>
          <w:color w:val="000000"/>
          <w:spacing w:val="5"/>
          <w:position w:val="-1"/>
        </w:rPr>
        <w:t xml:space="preserve"> </w:t>
      </w:r>
      <w:r>
        <w:rPr>
          <w:color w:val="000000"/>
          <w:spacing w:val="-1"/>
          <w:position w:val="-1"/>
        </w:rPr>
        <w:t>a</w:t>
      </w:r>
      <w:r>
        <w:rPr>
          <w:color w:val="000000"/>
          <w:position w:val="-1"/>
        </w:rPr>
        <w:t>r</w:t>
      </w:r>
      <w:r>
        <w:rPr>
          <w:color w:val="000000"/>
          <w:spacing w:val="4"/>
          <w:position w:val="-1"/>
        </w:rPr>
        <w:t xml:space="preserve"> </w:t>
      </w:r>
      <w:r>
        <w:rPr>
          <w:color w:val="000000"/>
          <w:position w:val="-1"/>
        </w:rPr>
        <w:t>p</w:t>
      </w:r>
      <w:r>
        <w:rPr>
          <w:color w:val="000000"/>
          <w:spacing w:val="2"/>
          <w:position w:val="-1"/>
        </w:rPr>
        <w:t>s</w:t>
      </w:r>
      <w:r>
        <w:rPr>
          <w:color w:val="000000"/>
          <w:spacing w:val="-4"/>
          <w:position w:val="-1"/>
        </w:rPr>
        <w:t>i</w:t>
      </w:r>
      <w:r>
        <w:rPr>
          <w:color w:val="000000"/>
          <w:spacing w:val="4"/>
          <w:position w:val="-1"/>
        </w:rPr>
        <w:t>c</w:t>
      </w:r>
      <w:r>
        <w:rPr>
          <w:color w:val="000000"/>
          <w:spacing w:val="-5"/>
          <w:position w:val="-1"/>
        </w:rPr>
        <w:t>h</w:t>
      </w:r>
      <w:r>
        <w:rPr>
          <w:color w:val="000000"/>
          <w:spacing w:val="5"/>
          <w:position w:val="-1"/>
        </w:rPr>
        <w:t>ot</w:t>
      </w:r>
      <w:r>
        <w:rPr>
          <w:color w:val="000000"/>
          <w:spacing w:val="-3"/>
          <w:position w:val="-1"/>
        </w:rPr>
        <w:t>r</w:t>
      </w:r>
      <w:r>
        <w:rPr>
          <w:color w:val="000000"/>
          <w:spacing w:val="5"/>
          <w:position w:val="-1"/>
        </w:rPr>
        <w:t>o</w:t>
      </w:r>
      <w:r>
        <w:rPr>
          <w:color w:val="000000"/>
          <w:position w:val="-1"/>
        </w:rPr>
        <w:t>p</w:t>
      </w:r>
      <w:r>
        <w:rPr>
          <w:color w:val="000000"/>
          <w:spacing w:val="-4"/>
          <w:position w:val="-1"/>
        </w:rPr>
        <w:t>i</w:t>
      </w:r>
      <w:r>
        <w:rPr>
          <w:color w:val="000000"/>
          <w:spacing w:val="-5"/>
          <w:position w:val="-1"/>
        </w:rPr>
        <w:t>n</w:t>
      </w:r>
      <w:r>
        <w:rPr>
          <w:color w:val="000000"/>
          <w:spacing w:val="4"/>
          <w:position w:val="-1"/>
        </w:rPr>
        <w:t>ė</w:t>
      </w:r>
      <w:r>
        <w:rPr>
          <w:color w:val="000000"/>
          <w:spacing w:val="-4"/>
          <w:position w:val="-1"/>
        </w:rPr>
        <w:t>m</w:t>
      </w:r>
      <w:r>
        <w:rPr>
          <w:color w:val="000000"/>
          <w:position w:val="-1"/>
        </w:rPr>
        <w:t>s</w:t>
      </w:r>
      <w:r>
        <w:rPr>
          <w:color w:val="000000"/>
          <w:spacing w:val="9"/>
          <w:position w:val="-1"/>
        </w:rPr>
        <w:t xml:space="preserve"> </w:t>
      </w:r>
      <w:r>
        <w:rPr>
          <w:color w:val="000000"/>
          <w:spacing w:val="-4"/>
          <w:position w:val="-1"/>
        </w:rPr>
        <w:t>m</w:t>
      </w:r>
      <w:r>
        <w:rPr>
          <w:color w:val="000000"/>
          <w:spacing w:val="-1"/>
          <w:position w:val="-1"/>
        </w:rPr>
        <w:t>e</w:t>
      </w:r>
      <w:r>
        <w:rPr>
          <w:color w:val="000000"/>
          <w:position w:val="-1"/>
        </w:rPr>
        <w:t>d</w:t>
      </w:r>
      <w:r>
        <w:rPr>
          <w:color w:val="000000"/>
          <w:spacing w:val="4"/>
          <w:position w:val="-1"/>
        </w:rPr>
        <w:t>ž</w:t>
      </w:r>
      <w:r>
        <w:rPr>
          <w:color w:val="000000"/>
          <w:spacing w:val="-4"/>
          <w:position w:val="-1"/>
        </w:rPr>
        <w:t>i</w:t>
      </w:r>
      <w:r>
        <w:rPr>
          <w:color w:val="000000"/>
          <w:spacing w:val="-1"/>
          <w:position w:val="-1"/>
        </w:rPr>
        <w:t>a</w:t>
      </w:r>
      <w:r>
        <w:rPr>
          <w:color w:val="000000"/>
          <w:position w:val="-1"/>
        </w:rPr>
        <w:t>g</w:t>
      </w:r>
      <w:r>
        <w:rPr>
          <w:color w:val="000000"/>
          <w:spacing w:val="9"/>
          <w:position w:val="-1"/>
        </w:rPr>
        <w:t>o</w:t>
      </w:r>
      <w:r>
        <w:rPr>
          <w:color w:val="000000"/>
          <w:spacing w:val="-4"/>
          <w:position w:val="-1"/>
        </w:rPr>
        <w:t>m</w:t>
      </w:r>
      <w:r>
        <w:rPr>
          <w:color w:val="000000"/>
          <w:position w:val="-1"/>
        </w:rPr>
        <w:t>s g</w:t>
      </w:r>
      <w:r>
        <w:rPr>
          <w:color w:val="000000"/>
          <w:spacing w:val="4"/>
          <w:position w:val="-1"/>
        </w:rPr>
        <w:t>a</w:t>
      </w:r>
      <w:r>
        <w:rPr>
          <w:color w:val="000000"/>
          <w:position w:val="-1"/>
        </w:rPr>
        <w:t>m</w:t>
      </w:r>
      <w:r>
        <w:rPr>
          <w:color w:val="000000"/>
          <w:spacing w:val="-4"/>
          <w:position w:val="-1"/>
        </w:rPr>
        <w:t>i</w:t>
      </w:r>
      <w:r>
        <w:rPr>
          <w:color w:val="000000"/>
          <w:spacing w:val="-5"/>
          <w:position w:val="-1"/>
        </w:rPr>
        <w:t>n</w:t>
      </w:r>
      <w:r>
        <w:rPr>
          <w:color w:val="000000"/>
          <w:spacing w:val="10"/>
          <w:position w:val="-1"/>
        </w:rPr>
        <w:t>t</w:t>
      </w:r>
      <w:r>
        <w:rPr>
          <w:color w:val="000000"/>
          <w:position w:val="-1"/>
        </w:rPr>
        <w:t>i</w:t>
      </w:r>
      <w:r>
        <w:rPr>
          <w:color w:val="000000"/>
          <w:spacing w:val="-2"/>
          <w:position w:val="-1"/>
        </w:rPr>
        <w:t xml:space="preserve"> </w:t>
      </w:r>
      <w:r>
        <w:rPr>
          <w:color w:val="000000"/>
          <w:spacing w:val="5"/>
          <w:position w:val="-1"/>
        </w:rPr>
        <w:t>g</w:t>
      </w:r>
      <w:r>
        <w:rPr>
          <w:color w:val="000000"/>
          <w:spacing w:val="4"/>
          <w:position w:val="-1"/>
        </w:rPr>
        <w:t>a</w:t>
      </w:r>
      <w:r>
        <w:rPr>
          <w:color w:val="000000"/>
          <w:spacing w:val="-4"/>
          <w:position w:val="-1"/>
        </w:rPr>
        <w:t>mi</w:t>
      </w:r>
      <w:r>
        <w:rPr>
          <w:color w:val="000000"/>
          <w:spacing w:val="5"/>
          <w:position w:val="-1"/>
        </w:rPr>
        <w:t>n</w:t>
      </w:r>
      <w:r>
        <w:rPr>
          <w:color w:val="000000"/>
          <w:position w:val="-1"/>
        </w:rPr>
        <w:t>i</w:t>
      </w:r>
      <w:r>
        <w:rPr>
          <w:color w:val="000000"/>
          <w:spacing w:val="-9"/>
          <w:position w:val="-1"/>
        </w:rPr>
        <w:t>m</w:t>
      </w:r>
      <w:r>
        <w:rPr>
          <w:color w:val="000000"/>
          <w:position w:val="-1"/>
        </w:rPr>
        <w:t>o</w:t>
      </w:r>
      <w:r>
        <w:rPr>
          <w:color w:val="000000"/>
          <w:spacing w:val="12"/>
          <w:position w:val="-1"/>
        </w:rPr>
        <w:t xml:space="preserve"> </w:t>
      </w:r>
      <w:r>
        <w:rPr>
          <w:color w:val="000000"/>
          <w:spacing w:val="1"/>
          <w:position w:val="-1"/>
        </w:rPr>
        <w:t>(</w:t>
      </w:r>
      <w:r>
        <w:rPr>
          <w:color w:val="000000"/>
          <w:position w:val="-1"/>
        </w:rPr>
        <w:t>2011</w:t>
      </w:r>
      <w:r>
        <w:rPr>
          <w:color w:val="000000"/>
          <w:spacing w:val="7"/>
          <w:position w:val="-1"/>
        </w:rPr>
        <w:t xml:space="preserve"> </w:t>
      </w:r>
      <w:r>
        <w:rPr>
          <w:color w:val="000000"/>
          <w:spacing w:val="-9"/>
          <w:position w:val="-1"/>
        </w:rPr>
        <w:t>m</w:t>
      </w:r>
      <w:r>
        <w:rPr>
          <w:color w:val="000000"/>
          <w:position w:val="-1"/>
        </w:rPr>
        <w:t>.</w:t>
      </w:r>
      <w:r>
        <w:rPr>
          <w:color w:val="000000"/>
          <w:spacing w:val="22"/>
          <w:position w:val="-1"/>
        </w:rPr>
        <w:t xml:space="preserve"> </w:t>
      </w:r>
      <w:r>
        <w:rPr>
          <w:color w:val="000000"/>
          <w:position w:val="-1"/>
        </w:rPr>
        <w:t>–</w:t>
      </w:r>
    </w:p>
    <w:p w:rsidR="004F7425" w:rsidRDefault="004F7425" w:rsidP="004F7425">
      <w:pPr>
        <w:widowControl w:val="0"/>
        <w:autoSpaceDE w:val="0"/>
        <w:autoSpaceDN w:val="0"/>
        <w:adjustRightInd w:val="0"/>
        <w:spacing w:line="271" w:lineRule="exact"/>
        <w:ind w:right="-20"/>
        <w:rPr>
          <w:color w:val="000000"/>
        </w:rPr>
        <w:sectPr w:rsidR="004F7425">
          <w:type w:val="continuous"/>
          <w:pgSz w:w="11920" w:h="16840"/>
          <w:pgMar w:top="1540" w:right="460" w:bottom="280" w:left="1580" w:header="567" w:footer="567" w:gutter="0"/>
          <w:cols w:num="2" w:space="1296" w:equalWidth="0">
            <w:col w:w="489" w:space="351"/>
            <w:col w:w="9040"/>
          </w:cols>
          <w:noEndnote/>
        </w:sectPr>
      </w:pPr>
    </w:p>
    <w:p w:rsidR="004F7425" w:rsidRDefault="004F7425" w:rsidP="004F7425">
      <w:pPr>
        <w:widowControl w:val="0"/>
        <w:autoSpaceDE w:val="0"/>
        <w:autoSpaceDN w:val="0"/>
        <w:adjustRightInd w:val="0"/>
        <w:spacing w:before="46"/>
        <w:ind w:left="120" w:right="-20"/>
        <w:rPr>
          <w:color w:val="000000"/>
        </w:rPr>
      </w:pPr>
      <w:r>
        <w:rPr>
          <w:color w:val="000000"/>
        </w:rPr>
        <w:lastRenderedPageBreak/>
        <w:t>7,</w:t>
      </w:r>
      <w:r>
        <w:rPr>
          <w:color w:val="000000"/>
          <w:spacing w:val="4"/>
        </w:rPr>
        <w:t xml:space="preserve"> </w:t>
      </w:r>
      <w:r>
        <w:rPr>
          <w:color w:val="000000"/>
        </w:rPr>
        <w:t>2010</w:t>
      </w:r>
      <w:r>
        <w:rPr>
          <w:color w:val="000000"/>
          <w:spacing w:val="-3"/>
        </w:rPr>
        <w:t xml:space="preserve"> </w:t>
      </w:r>
      <w:r>
        <w:rPr>
          <w:color w:val="000000"/>
          <w:spacing w:val="-9"/>
        </w:rPr>
        <w:t>m</w:t>
      </w:r>
      <w:r>
        <w:rPr>
          <w:color w:val="000000"/>
        </w:rPr>
        <w:t>.</w:t>
      </w:r>
      <w:r>
        <w:rPr>
          <w:color w:val="000000"/>
          <w:spacing w:val="6"/>
        </w:rPr>
        <w:t xml:space="preserve"> </w:t>
      </w:r>
      <w:r>
        <w:rPr>
          <w:color w:val="000000"/>
        </w:rPr>
        <w:t>–</w:t>
      </w:r>
      <w:r>
        <w:rPr>
          <w:color w:val="000000"/>
          <w:spacing w:val="2"/>
        </w:rPr>
        <w:t xml:space="preserve"> </w:t>
      </w:r>
      <w:r>
        <w:rPr>
          <w:color w:val="000000"/>
        </w:rPr>
        <w:t>5)</w:t>
      </w:r>
      <w:r>
        <w:rPr>
          <w:color w:val="000000"/>
          <w:spacing w:val="4"/>
        </w:rPr>
        <w:t xml:space="preserve"> </w:t>
      </w:r>
      <w:r>
        <w:rPr>
          <w:color w:val="000000"/>
        </w:rPr>
        <w:t>–</w:t>
      </w:r>
      <w:r>
        <w:rPr>
          <w:color w:val="000000"/>
          <w:spacing w:val="-2"/>
        </w:rPr>
        <w:t xml:space="preserve"> </w:t>
      </w:r>
      <w:r>
        <w:rPr>
          <w:color w:val="000000"/>
          <w:spacing w:val="-3"/>
        </w:rPr>
        <w:t>L</w:t>
      </w:r>
      <w:r>
        <w:rPr>
          <w:color w:val="000000"/>
        </w:rPr>
        <w:t xml:space="preserve">R </w:t>
      </w:r>
      <w:r>
        <w:rPr>
          <w:color w:val="000000"/>
          <w:spacing w:val="-2"/>
        </w:rPr>
        <w:t>B</w:t>
      </w:r>
      <w:r>
        <w:rPr>
          <w:color w:val="000000"/>
        </w:rPr>
        <w:t>K</w:t>
      </w:r>
      <w:r>
        <w:rPr>
          <w:color w:val="000000"/>
          <w:spacing w:val="-3"/>
        </w:rPr>
        <w:t xml:space="preserve"> </w:t>
      </w:r>
      <w:r>
        <w:rPr>
          <w:color w:val="000000"/>
        </w:rPr>
        <w:t>262</w:t>
      </w:r>
      <w:r>
        <w:rPr>
          <w:color w:val="000000"/>
          <w:spacing w:val="2"/>
        </w:rPr>
        <w:t xml:space="preserve"> </w:t>
      </w:r>
      <w:r>
        <w:rPr>
          <w:color w:val="000000"/>
          <w:spacing w:val="-2"/>
        </w:rPr>
        <w:t>s</w:t>
      </w:r>
      <w:r>
        <w:rPr>
          <w:color w:val="000000"/>
          <w:spacing w:val="5"/>
        </w:rPr>
        <w:t>t</w:t>
      </w:r>
      <w:r>
        <w:rPr>
          <w:color w:val="000000"/>
          <w:spacing w:val="1"/>
        </w:rPr>
        <w:t>r</w:t>
      </w:r>
      <w:r>
        <w:rPr>
          <w:color w:val="000000"/>
          <w:spacing w:val="2"/>
        </w:rPr>
        <w:t>.</w:t>
      </w:r>
      <w:r>
        <w:rPr>
          <w:color w:val="000000"/>
        </w:rPr>
        <w:t>;</w:t>
      </w:r>
    </w:p>
    <w:p w:rsidR="004F7425" w:rsidRDefault="004F7425" w:rsidP="004F7425">
      <w:pPr>
        <w:widowControl w:val="0"/>
        <w:autoSpaceDE w:val="0"/>
        <w:autoSpaceDN w:val="0"/>
        <w:adjustRightInd w:val="0"/>
        <w:spacing w:before="41" w:line="275" w:lineRule="auto"/>
        <w:ind w:left="120" w:right="39" w:firstLine="721"/>
        <w:rPr>
          <w:color w:val="000000"/>
        </w:rPr>
      </w:pPr>
      <w:r>
        <w:rPr>
          <w:b/>
          <w:bCs/>
          <w:color w:val="000000"/>
        </w:rPr>
        <w:t>5</w:t>
      </w:r>
      <w:r>
        <w:rPr>
          <w:b/>
          <w:bCs/>
          <w:color w:val="000000"/>
          <w:spacing w:val="17"/>
        </w:rPr>
        <w:t xml:space="preserve"> </w:t>
      </w:r>
      <w:r>
        <w:rPr>
          <w:color w:val="000000"/>
        </w:rPr>
        <w:t>–</w:t>
      </w:r>
      <w:r>
        <w:rPr>
          <w:color w:val="000000"/>
          <w:spacing w:val="17"/>
        </w:rPr>
        <w:t xml:space="preserve"> </w:t>
      </w:r>
      <w:r>
        <w:rPr>
          <w:color w:val="000000"/>
        </w:rPr>
        <w:t>d</w:t>
      </w:r>
      <w:r>
        <w:rPr>
          <w:color w:val="000000"/>
          <w:spacing w:val="-1"/>
        </w:rPr>
        <w:t>ė</w:t>
      </w:r>
      <w:r>
        <w:rPr>
          <w:color w:val="000000"/>
        </w:rPr>
        <w:t>l</w:t>
      </w:r>
      <w:r>
        <w:rPr>
          <w:color w:val="000000"/>
          <w:spacing w:val="12"/>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n</w:t>
      </w:r>
      <w:r>
        <w:rPr>
          <w:color w:val="000000"/>
          <w:spacing w:val="-4"/>
        </w:rPr>
        <w:t>i</w:t>
      </w:r>
      <w:r>
        <w:rPr>
          <w:color w:val="000000"/>
        </w:rPr>
        <w:t>ų</w:t>
      </w:r>
      <w:r>
        <w:rPr>
          <w:color w:val="000000"/>
          <w:spacing w:val="17"/>
        </w:rPr>
        <w:t xml:space="preserve"> </w:t>
      </w:r>
      <w:r>
        <w:rPr>
          <w:color w:val="000000"/>
          <w:spacing w:val="-1"/>
        </w:rPr>
        <w:t>a</w:t>
      </w:r>
      <w:r>
        <w:rPr>
          <w:color w:val="000000"/>
        </w:rPr>
        <w:t>r</w:t>
      </w:r>
      <w:r>
        <w:rPr>
          <w:color w:val="000000"/>
          <w:spacing w:val="18"/>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21"/>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17"/>
        </w:rPr>
        <w:t xml:space="preserve"> </w:t>
      </w:r>
      <w:r>
        <w:rPr>
          <w:color w:val="000000"/>
        </w:rPr>
        <w:t>p</w:t>
      </w:r>
      <w:r>
        <w:rPr>
          <w:color w:val="000000"/>
          <w:spacing w:val="-1"/>
        </w:rPr>
        <w:t>a</w:t>
      </w:r>
      <w:r>
        <w:rPr>
          <w:color w:val="000000"/>
          <w:spacing w:val="5"/>
        </w:rPr>
        <w:t>g</w:t>
      </w:r>
      <w:r>
        <w:rPr>
          <w:color w:val="000000"/>
          <w:spacing w:val="1"/>
        </w:rPr>
        <w:t>r</w:t>
      </w:r>
      <w:r>
        <w:rPr>
          <w:color w:val="000000"/>
          <w:spacing w:val="5"/>
        </w:rPr>
        <w:t>o</w:t>
      </w:r>
      <w:r>
        <w:rPr>
          <w:color w:val="000000"/>
        </w:rPr>
        <w:t>b</w:t>
      </w:r>
      <w:r>
        <w:rPr>
          <w:color w:val="000000"/>
          <w:spacing w:val="-4"/>
        </w:rPr>
        <w:t>i</w:t>
      </w:r>
      <w:r>
        <w:rPr>
          <w:color w:val="000000"/>
          <w:spacing w:val="-9"/>
        </w:rPr>
        <w:t>m</w:t>
      </w:r>
      <w:r>
        <w:rPr>
          <w:color w:val="000000"/>
        </w:rPr>
        <w:t>o</w:t>
      </w:r>
      <w:r>
        <w:rPr>
          <w:color w:val="000000"/>
          <w:spacing w:val="21"/>
        </w:rPr>
        <w:t xml:space="preserve"> </w:t>
      </w:r>
      <w:r>
        <w:rPr>
          <w:color w:val="000000"/>
          <w:spacing w:val="1"/>
        </w:rPr>
        <w:t>(</w:t>
      </w:r>
      <w:r>
        <w:rPr>
          <w:color w:val="000000"/>
        </w:rPr>
        <w:t>2011</w:t>
      </w:r>
      <w:r>
        <w:rPr>
          <w:color w:val="000000"/>
          <w:spacing w:val="17"/>
        </w:rPr>
        <w:t xml:space="preserve"> </w:t>
      </w:r>
      <w:r>
        <w:rPr>
          <w:color w:val="000000"/>
          <w:spacing w:val="-9"/>
        </w:rPr>
        <w:t>m</w:t>
      </w:r>
      <w:r>
        <w:rPr>
          <w:color w:val="000000"/>
        </w:rPr>
        <w:t>.</w:t>
      </w:r>
      <w:r>
        <w:rPr>
          <w:color w:val="000000"/>
          <w:spacing w:val="27"/>
        </w:rPr>
        <w:t xml:space="preserve"> </w:t>
      </w:r>
      <w:r>
        <w:rPr>
          <w:color w:val="000000"/>
        </w:rPr>
        <w:t>–</w:t>
      </w:r>
      <w:r>
        <w:rPr>
          <w:color w:val="000000"/>
          <w:spacing w:val="17"/>
        </w:rPr>
        <w:t xml:space="preserve"> </w:t>
      </w:r>
      <w:r>
        <w:rPr>
          <w:color w:val="000000"/>
        </w:rPr>
        <w:t>5,</w:t>
      </w:r>
      <w:r>
        <w:rPr>
          <w:color w:val="000000"/>
          <w:spacing w:val="19"/>
        </w:rPr>
        <w:t xml:space="preserve"> </w:t>
      </w:r>
      <w:r>
        <w:rPr>
          <w:color w:val="000000"/>
        </w:rPr>
        <w:t>2010</w:t>
      </w:r>
      <w:r>
        <w:rPr>
          <w:color w:val="000000"/>
          <w:spacing w:val="12"/>
        </w:rPr>
        <w:t xml:space="preserve"> </w:t>
      </w:r>
      <w:r>
        <w:rPr>
          <w:color w:val="000000"/>
          <w:spacing w:val="-9"/>
        </w:rPr>
        <w:t>m</w:t>
      </w:r>
      <w:r>
        <w:rPr>
          <w:color w:val="000000"/>
        </w:rPr>
        <w:t>.</w:t>
      </w:r>
      <w:r>
        <w:rPr>
          <w:color w:val="000000"/>
          <w:spacing w:val="20"/>
        </w:rPr>
        <w:t xml:space="preserve"> </w:t>
      </w:r>
      <w:r>
        <w:rPr>
          <w:color w:val="000000"/>
        </w:rPr>
        <w:t>–</w:t>
      </w:r>
      <w:r>
        <w:rPr>
          <w:color w:val="000000"/>
          <w:spacing w:val="17"/>
        </w:rPr>
        <w:t xml:space="preserve"> </w:t>
      </w:r>
      <w:r>
        <w:rPr>
          <w:color w:val="000000"/>
        </w:rPr>
        <w:t>2)</w:t>
      </w:r>
      <w:r>
        <w:rPr>
          <w:color w:val="000000"/>
          <w:spacing w:val="18"/>
        </w:rPr>
        <w:t xml:space="preserve"> </w:t>
      </w:r>
      <w:r>
        <w:rPr>
          <w:color w:val="000000"/>
        </w:rPr>
        <w:t>–</w:t>
      </w:r>
      <w:r>
        <w:rPr>
          <w:color w:val="000000"/>
          <w:spacing w:val="17"/>
        </w:rPr>
        <w:t xml:space="preserve"> </w:t>
      </w:r>
      <w:r>
        <w:rPr>
          <w:color w:val="000000"/>
          <w:spacing w:val="-3"/>
        </w:rPr>
        <w:t>L</w:t>
      </w:r>
      <w:r>
        <w:rPr>
          <w:color w:val="000000"/>
        </w:rPr>
        <w:t xml:space="preserve">R </w:t>
      </w:r>
      <w:r>
        <w:rPr>
          <w:color w:val="000000"/>
          <w:spacing w:val="-2"/>
        </w:rPr>
        <w:t>B</w:t>
      </w:r>
      <w:r>
        <w:rPr>
          <w:color w:val="000000"/>
        </w:rPr>
        <w:t>K</w:t>
      </w:r>
      <w:r>
        <w:rPr>
          <w:color w:val="000000"/>
          <w:spacing w:val="-3"/>
        </w:rPr>
        <w:t xml:space="preserve"> </w:t>
      </w:r>
      <w:r>
        <w:rPr>
          <w:color w:val="000000"/>
        </w:rPr>
        <w:t>263</w:t>
      </w:r>
      <w:r>
        <w:rPr>
          <w:color w:val="000000"/>
          <w:spacing w:val="2"/>
        </w:rPr>
        <w:t xml:space="preserve"> </w:t>
      </w:r>
      <w:r>
        <w:rPr>
          <w:color w:val="000000"/>
          <w:spacing w:val="-2"/>
        </w:rPr>
        <w:t>s</w:t>
      </w:r>
      <w:r>
        <w:rPr>
          <w:color w:val="000000"/>
          <w:spacing w:val="5"/>
        </w:rPr>
        <w:t>t</w:t>
      </w:r>
      <w:r>
        <w:rPr>
          <w:color w:val="000000"/>
          <w:spacing w:val="1"/>
        </w:rPr>
        <w:t>r</w:t>
      </w:r>
      <w:r>
        <w:rPr>
          <w:color w:val="000000"/>
          <w:spacing w:val="2"/>
        </w:rPr>
        <w:t>.</w:t>
      </w:r>
      <w:r>
        <w:rPr>
          <w:color w:val="000000"/>
        </w:rPr>
        <w:t>;</w:t>
      </w:r>
    </w:p>
    <w:p w:rsidR="004F7425" w:rsidRDefault="004F7425" w:rsidP="004F7425">
      <w:pPr>
        <w:widowControl w:val="0"/>
        <w:autoSpaceDE w:val="0"/>
        <w:autoSpaceDN w:val="0"/>
        <w:adjustRightInd w:val="0"/>
        <w:spacing w:before="2"/>
        <w:ind w:left="840" w:right="-20"/>
        <w:rPr>
          <w:color w:val="000000"/>
        </w:rPr>
      </w:pPr>
      <w:r>
        <w:rPr>
          <w:b/>
          <w:bCs/>
          <w:color w:val="000000"/>
        </w:rPr>
        <w:t>19</w:t>
      </w:r>
      <w:r>
        <w:rPr>
          <w:b/>
          <w:bCs/>
          <w:color w:val="000000"/>
          <w:spacing w:val="2"/>
        </w:rPr>
        <w:t xml:space="preserve"> </w:t>
      </w:r>
      <w:r>
        <w:rPr>
          <w:color w:val="000000"/>
        </w:rPr>
        <w:t>–</w:t>
      </w:r>
      <w:r>
        <w:rPr>
          <w:color w:val="000000"/>
          <w:spacing w:val="2"/>
        </w:rPr>
        <w:t xml:space="preserve"> </w:t>
      </w:r>
      <w:r>
        <w:rPr>
          <w:color w:val="000000"/>
        </w:rPr>
        <w:t>d</w:t>
      </w:r>
      <w:r>
        <w:rPr>
          <w:color w:val="000000"/>
          <w:spacing w:val="-1"/>
        </w:rPr>
        <w:t>ė</w:t>
      </w:r>
      <w:r>
        <w:rPr>
          <w:color w:val="000000"/>
        </w:rPr>
        <w:t>l</w:t>
      </w:r>
      <w:r>
        <w:rPr>
          <w:color w:val="000000"/>
          <w:spacing w:val="-2"/>
        </w:rPr>
        <w:t xml:space="preserve"> </w:t>
      </w:r>
      <w:r>
        <w:rPr>
          <w:color w:val="000000"/>
          <w:spacing w:val="-4"/>
        </w:rPr>
        <w:t>l</w:t>
      </w:r>
      <w:r>
        <w:rPr>
          <w:color w:val="000000"/>
          <w:spacing w:val="4"/>
        </w:rPr>
        <w:t>e</w:t>
      </w:r>
      <w:r>
        <w:rPr>
          <w:color w:val="000000"/>
          <w:spacing w:val="-5"/>
        </w:rPr>
        <w:t>n</w:t>
      </w:r>
      <w:r>
        <w:rPr>
          <w:color w:val="000000"/>
          <w:spacing w:val="5"/>
        </w:rPr>
        <w:t>k</w:t>
      </w:r>
      <w:r>
        <w:rPr>
          <w:color w:val="000000"/>
          <w:spacing w:val="-4"/>
        </w:rPr>
        <w:t>i</w:t>
      </w:r>
      <w:r>
        <w:rPr>
          <w:color w:val="000000"/>
          <w:spacing w:val="-9"/>
        </w:rPr>
        <w:t>m</w:t>
      </w:r>
      <w:r>
        <w:rPr>
          <w:color w:val="000000"/>
        </w:rPr>
        <w:t>o</w:t>
      </w:r>
      <w:r>
        <w:rPr>
          <w:color w:val="000000"/>
          <w:spacing w:val="12"/>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w:t>
      </w:r>
      <w:r>
        <w:rPr>
          <w:color w:val="000000"/>
          <w:spacing w:val="5"/>
        </w:rPr>
        <w:t>t</w:t>
      </w:r>
      <w:r>
        <w:rPr>
          <w:color w:val="000000"/>
        </w:rPr>
        <w:t>i</w:t>
      </w:r>
      <w:r>
        <w:rPr>
          <w:color w:val="000000"/>
          <w:spacing w:val="-7"/>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 xml:space="preserve">kus </w:t>
      </w:r>
      <w:r>
        <w:rPr>
          <w:color w:val="000000"/>
          <w:spacing w:val="1"/>
        </w:rPr>
        <w:t>(</w:t>
      </w:r>
      <w:r>
        <w:rPr>
          <w:color w:val="000000"/>
        </w:rPr>
        <w:t>2011</w:t>
      </w:r>
      <w:r>
        <w:rPr>
          <w:color w:val="000000"/>
          <w:spacing w:val="2"/>
        </w:rPr>
        <w:t xml:space="preserve"> </w:t>
      </w:r>
      <w:r>
        <w:rPr>
          <w:color w:val="000000"/>
          <w:spacing w:val="-9"/>
        </w:rPr>
        <w:t>m</w:t>
      </w:r>
      <w:r>
        <w:rPr>
          <w:color w:val="000000"/>
        </w:rPr>
        <w:t>.</w:t>
      </w:r>
      <w:r>
        <w:rPr>
          <w:color w:val="000000"/>
          <w:spacing w:val="10"/>
        </w:rPr>
        <w:t xml:space="preserve"> </w:t>
      </w:r>
      <w:r>
        <w:rPr>
          <w:color w:val="000000"/>
        </w:rPr>
        <w:t>–</w:t>
      </w:r>
      <w:r>
        <w:rPr>
          <w:color w:val="000000"/>
          <w:spacing w:val="2"/>
        </w:rPr>
        <w:t xml:space="preserve"> </w:t>
      </w:r>
      <w:r>
        <w:rPr>
          <w:color w:val="000000"/>
        </w:rPr>
        <w:t>24, 2010</w:t>
      </w:r>
      <w:r>
        <w:rPr>
          <w:color w:val="000000"/>
          <w:spacing w:val="2"/>
        </w:rPr>
        <w:t xml:space="preserve"> </w:t>
      </w:r>
      <w:r>
        <w:rPr>
          <w:color w:val="000000"/>
          <w:spacing w:val="-9"/>
        </w:rPr>
        <w:t>m</w:t>
      </w:r>
      <w:r>
        <w:rPr>
          <w:color w:val="000000"/>
        </w:rPr>
        <w:t>.</w:t>
      </w:r>
      <w:r>
        <w:rPr>
          <w:color w:val="000000"/>
          <w:spacing w:val="6"/>
        </w:rPr>
        <w:t xml:space="preserve"> </w:t>
      </w:r>
      <w:r>
        <w:rPr>
          <w:color w:val="000000"/>
        </w:rPr>
        <w:t>–</w:t>
      </w:r>
      <w:r>
        <w:rPr>
          <w:color w:val="000000"/>
          <w:spacing w:val="2"/>
        </w:rPr>
        <w:t xml:space="preserve"> </w:t>
      </w:r>
      <w:r>
        <w:rPr>
          <w:color w:val="000000"/>
        </w:rPr>
        <w:t>10)</w:t>
      </w:r>
      <w:r>
        <w:rPr>
          <w:color w:val="000000"/>
          <w:spacing w:val="4"/>
        </w:rPr>
        <w:t xml:space="preserve"> </w:t>
      </w:r>
      <w:r>
        <w:rPr>
          <w:color w:val="000000"/>
        </w:rPr>
        <w:t>-</w:t>
      </w:r>
      <w:r>
        <w:rPr>
          <w:color w:val="000000"/>
          <w:spacing w:val="-1"/>
        </w:rPr>
        <w:t xml:space="preserve"> </w:t>
      </w:r>
      <w:r>
        <w:rPr>
          <w:color w:val="000000"/>
          <w:spacing w:val="-3"/>
        </w:rPr>
        <w:t>L</w:t>
      </w:r>
      <w:r>
        <w:rPr>
          <w:color w:val="000000"/>
        </w:rPr>
        <w:t xml:space="preserve">R </w:t>
      </w:r>
      <w:r>
        <w:rPr>
          <w:color w:val="000000"/>
          <w:spacing w:val="-2"/>
        </w:rPr>
        <w:t>B</w:t>
      </w:r>
      <w:r>
        <w:rPr>
          <w:color w:val="000000"/>
        </w:rPr>
        <w:t>K</w:t>
      </w:r>
      <w:r>
        <w:rPr>
          <w:color w:val="000000"/>
          <w:spacing w:val="-3"/>
        </w:rPr>
        <w:t xml:space="preserve"> </w:t>
      </w:r>
      <w:r>
        <w:rPr>
          <w:color w:val="000000"/>
        </w:rPr>
        <w:t>264</w:t>
      </w:r>
      <w:r>
        <w:rPr>
          <w:color w:val="000000"/>
          <w:spacing w:val="2"/>
        </w:rPr>
        <w:t xml:space="preserve"> </w:t>
      </w:r>
      <w:r>
        <w:rPr>
          <w:color w:val="000000"/>
          <w:spacing w:val="-2"/>
        </w:rPr>
        <w:t>s</w:t>
      </w:r>
      <w:r>
        <w:rPr>
          <w:color w:val="000000"/>
          <w:spacing w:val="5"/>
        </w:rPr>
        <w:t>t</w:t>
      </w:r>
      <w:r>
        <w:rPr>
          <w:color w:val="000000"/>
          <w:spacing w:val="-3"/>
        </w:rPr>
        <w:t>r</w:t>
      </w:r>
      <w:r>
        <w:rPr>
          <w:color w:val="000000"/>
          <w:spacing w:val="2"/>
        </w:rPr>
        <w:t>.</w:t>
      </w:r>
      <w:r>
        <w:rPr>
          <w:color w:val="000000"/>
        </w:rPr>
        <w:t>;</w:t>
      </w:r>
    </w:p>
    <w:p w:rsidR="004F7425" w:rsidRDefault="004F7425" w:rsidP="004F7425">
      <w:pPr>
        <w:widowControl w:val="0"/>
        <w:autoSpaceDE w:val="0"/>
        <w:autoSpaceDN w:val="0"/>
        <w:adjustRightInd w:val="0"/>
        <w:spacing w:before="41" w:line="271" w:lineRule="exact"/>
        <w:ind w:left="840" w:right="-20"/>
        <w:rPr>
          <w:color w:val="000000"/>
        </w:rPr>
      </w:pPr>
      <w:r>
        <w:rPr>
          <w:b/>
          <w:bCs/>
          <w:color w:val="000000"/>
          <w:position w:val="-1"/>
        </w:rPr>
        <w:t>12</w:t>
      </w:r>
      <w:r>
        <w:rPr>
          <w:b/>
          <w:bCs/>
          <w:color w:val="000000"/>
          <w:spacing w:val="12"/>
          <w:position w:val="-1"/>
        </w:rPr>
        <w:t xml:space="preserve"> </w:t>
      </w:r>
      <w:r>
        <w:rPr>
          <w:color w:val="000000"/>
          <w:position w:val="-1"/>
        </w:rPr>
        <w:t>–</w:t>
      </w:r>
      <w:r>
        <w:rPr>
          <w:color w:val="000000"/>
          <w:spacing w:val="12"/>
          <w:position w:val="-1"/>
        </w:rPr>
        <w:t xml:space="preserve"> </w:t>
      </w:r>
      <w:r>
        <w:rPr>
          <w:color w:val="000000"/>
          <w:position w:val="-1"/>
        </w:rPr>
        <w:t>d</w:t>
      </w:r>
      <w:r>
        <w:rPr>
          <w:color w:val="000000"/>
          <w:spacing w:val="-1"/>
          <w:position w:val="-1"/>
        </w:rPr>
        <w:t>ė</w:t>
      </w:r>
      <w:r>
        <w:rPr>
          <w:color w:val="000000"/>
          <w:position w:val="-1"/>
        </w:rPr>
        <w:t>l</w:t>
      </w:r>
      <w:r>
        <w:rPr>
          <w:color w:val="000000"/>
          <w:spacing w:val="7"/>
          <w:position w:val="-1"/>
        </w:rPr>
        <w:t xml:space="preserve"> </w:t>
      </w:r>
      <w:r>
        <w:rPr>
          <w:color w:val="000000"/>
          <w:spacing w:val="-5"/>
          <w:position w:val="-1"/>
        </w:rPr>
        <w:t>n</w:t>
      </w:r>
      <w:r>
        <w:rPr>
          <w:color w:val="000000"/>
          <w:spacing w:val="-1"/>
          <w:position w:val="-1"/>
        </w:rPr>
        <w:t>e</w:t>
      </w:r>
      <w:r>
        <w:rPr>
          <w:color w:val="000000"/>
          <w:spacing w:val="5"/>
          <w:position w:val="-1"/>
        </w:rPr>
        <w:t>t</w:t>
      </w:r>
      <w:r>
        <w:rPr>
          <w:color w:val="000000"/>
          <w:spacing w:val="4"/>
          <w:position w:val="-1"/>
        </w:rPr>
        <w:t>e</w:t>
      </w:r>
      <w:r>
        <w:rPr>
          <w:color w:val="000000"/>
          <w:spacing w:val="-4"/>
          <w:position w:val="-1"/>
        </w:rPr>
        <w:t>i</w:t>
      </w:r>
      <w:r>
        <w:rPr>
          <w:color w:val="000000"/>
          <w:spacing w:val="-2"/>
          <w:position w:val="-1"/>
        </w:rPr>
        <w:t>s</w:t>
      </w:r>
      <w:r>
        <w:rPr>
          <w:color w:val="000000"/>
          <w:spacing w:val="-1"/>
          <w:position w:val="-1"/>
        </w:rPr>
        <w:t>ė</w:t>
      </w:r>
      <w:r>
        <w:rPr>
          <w:color w:val="000000"/>
          <w:spacing w:val="5"/>
          <w:position w:val="-1"/>
        </w:rPr>
        <w:t>t</w:t>
      </w:r>
      <w:r>
        <w:rPr>
          <w:color w:val="000000"/>
          <w:position w:val="-1"/>
        </w:rPr>
        <w:t>o</w:t>
      </w:r>
      <w:r>
        <w:rPr>
          <w:color w:val="000000"/>
          <w:spacing w:val="12"/>
          <w:position w:val="-1"/>
        </w:rPr>
        <w:t xml:space="preserve"> </w:t>
      </w:r>
      <w:r>
        <w:rPr>
          <w:color w:val="000000"/>
          <w:spacing w:val="-1"/>
          <w:position w:val="-1"/>
        </w:rPr>
        <w:t>a</w:t>
      </w:r>
      <w:r>
        <w:rPr>
          <w:color w:val="000000"/>
          <w:position w:val="-1"/>
        </w:rPr>
        <w:t>gu</w:t>
      </w:r>
      <w:r>
        <w:rPr>
          <w:color w:val="000000"/>
          <w:spacing w:val="5"/>
          <w:position w:val="-1"/>
        </w:rPr>
        <w:t>o</w:t>
      </w:r>
      <w:r>
        <w:rPr>
          <w:color w:val="000000"/>
          <w:spacing w:val="-5"/>
          <w:position w:val="-1"/>
        </w:rPr>
        <w:t>n</w:t>
      </w:r>
      <w:r>
        <w:rPr>
          <w:color w:val="000000"/>
          <w:position w:val="-1"/>
        </w:rPr>
        <w:t>ų</w:t>
      </w:r>
      <w:r>
        <w:rPr>
          <w:color w:val="000000"/>
          <w:spacing w:val="12"/>
          <w:position w:val="-1"/>
        </w:rPr>
        <w:t xml:space="preserve"> </w:t>
      </w:r>
      <w:r>
        <w:rPr>
          <w:color w:val="000000"/>
          <w:spacing w:val="-1"/>
          <w:position w:val="-1"/>
        </w:rPr>
        <w:t>a</w:t>
      </w:r>
      <w:r>
        <w:rPr>
          <w:color w:val="000000"/>
          <w:position w:val="-1"/>
        </w:rPr>
        <w:t>r</w:t>
      </w:r>
      <w:r>
        <w:rPr>
          <w:color w:val="000000"/>
          <w:spacing w:val="13"/>
          <w:position w:val="-1"/>
        </w:rPr>
        <w:t xml:space="preserve"> </w:t>
      </w:r>
      <w:r>
        <w:rPr>
          <w:color w:val="000000"/>
          <w:position w:val="-1"/>
        </w:rPr>
        <w:t>k</w:t>
      </w:r>
      <w:r>
        <w:rPr>
          <w:color w:val="000000"/>
          <w:spacing w:val="-1"/>
          <w:position w:val="-1"/>
        </w:rPr>
        <w:t>a</w:t>
      </w:r>
      <w:r>
        <w:rPr>
          <w:color w:val="000000"/>
          <w:spacing w:val="-5"/>
          <w:position w:val="-1"/>
        </w:rPr>
        <w:t>n</w:t>
      </w:r>
      <w:r>
        <w:rPr>
          <w:color w:val="000000"/>
          <w:spacing w:val="-1"/>
          <w:position w:val="-1"/>
        </w:rPr>
        <w:t>a</w:t>
      </w:r>
      <w:r>
        <w:rPr>
          <w:color w:val="000000"/>
          <w:spacing w:val="5"/>
          <w:position w:val="-1"/>
        </w:rPr>
        <w:t>p</w:t>
      </w:r>
      <w:r>
        <w:rPr>
          <w:color w:val="000000"/>
          <w:spacing w:val="-9"/>
          <w:position w:val="-1"/>
        </w:rPr>
        <w:t>i</w:t>
      </w:r>
      <w:r>
        <w:rPr>
          <w:color w:val="000000"/>
          <w:position w:val="-1"/>
        </w:rPr>
        <w:t>ų</w:t>
      </w:r>
      <w:r>
        <w:rPr>
          <w:color w:val="000000"/>
          <w:spacing w:val="12"/>
          <w:position w:val="-1"/>
        </w:rPr>
        <w:t xml:space="preserve"> </w:t>
      </w:r>
      <w:r>
        <w:rPr>
          <w:color w:val="000000"/>
          <w:spacing w:val="-1"/>
          <w:position w:val="-1"/>
        </w:rPr>
        <w:t>a</w:t>
      </w:r>
      <w:r>
        <w:rPr>
          <w:color w:val="000000"/>
          <w:position w:val="-1"/>
        </w:rPr>
        <w:t>u</w:t>
      </w:r>
      <w:r>
        <w:rPr>
          <w:color w:val="000000"/>
          <w:spacing w:val="5"/>
          <w:position w:val="-1"/>
        </w:rPr>
        <w:t>g</w:t>
      </w:r>
      <w:r>
        <w:rPr>
          <w:color w:val="000000"/>
          <w:spacing w:val="-4"/>
          <w:position w:val="-1"/>
        </w:rPr>
        <w:t>i</w:t>
      </w:r>
      <w:r>
        <w:rPr>
          <w:color w:val="000000"/>
          <w:spacing w:val="5"/>
          <w:position w:val="-1"/>
        </w:rPr>
        <w:t>n</w:t>
      </w:r>
      <w:r>
        <w:rPr>
          <w:color w:val="000000"/>
          <w:position w:val="-1"/>
        </w:rPr>
        <w:t>i</w:t>
      </w:r>
      <w:r>
        <w:rPr>
          <w:color w:val="000000"/>
          <w:spacing w:val="-9"/>
          <w:position w:val="-1"/>
        </w:rPr>
        <w:t>m</w:t>
      </w:r>
      <w:r>
        <w:rPr>
          <w:color w:val="000000"/>
          <w:position w:val="-1"/>
        </w:rPr>
        <w:t>o</w:t>
      </w:r>
      <w:r>
        <w:rPr>
          <w:color w:val="000000"/>
          <w:spacing w:val="16"/>
          <w:position w:val="-1"/>
        </w:rPr>
        <w:t xml:space="preserve"> </w:t>
      </w:r>
      <w:r>
        <w:rPr>
          <w:color w:val="000000"/>
          <w:spacing w:val="1"/>
          <w:position w:val="-1"/>
        </w:rPr>
        <w:t>(</w:t>
      </w:r>
      <w:r>
        <w:rPr>
          <w:color w:val="000000"/>
          <w:position w:val="-1"/>
        </w:rPr>
        <w:t>2011</w:t>
      </w:r>
      <w:r>
        <w:rPr>
          <w:color w:val="000000"/>
          <w:spacing w:val="17"/>
          <w:position w:val="-1"/>
        </w:rPr>
        <w:t xml:space="preserve"> </w:t>
      </w:r>
      <w:r>
        <w:rPr>
          <w:color w:val="000000"/>
          <w:spacing w:val="-9"/>
          <w:position w:val="-1"/>
        </w:rPr>
        <w:t>m</w:t>
      </w:r>
      <w:r>
        <w:rPr>
          <w:color w:val="000000"/>
          <w:position w:val="-1"/>
        </w:rPr>
        <w:t>.</w:t>
      </w:r>
      <w:r>
        <w:rPr>
          <w:color w:val="000000"/>
          <w:spacing w:val="21"/>
          <w:position w:val="-1"/>
        </w:rPr>
        <w:t xml:space="preserve"> </w:t>
      </w:r>
      <w:r>
        <w:rPr>
          <w:color w:val="000000"/>
          <w:position w:val="-1"/>
        </w:rPr>
        <w:t>–</w:t>
      </w:r>
      <w:r>
        <w:rPr>
          <w:color w:val="000000"/>
          <w:spacing w:val="12"/>
          <w:position w:val="-1"/>
        </w:rPr>
        <w:t xml:space="preserve"> </w:t>
      </w:r>
      <w:r>
        <w:rPr>
          <w:color w:val="000000"/>
          <w:position w:val="-1"/>
        </w:rPr>
        <w:t>16,</w:t>
      </w:r>
      <w:r>
        <w:rPr>
          <w:color w:val="000000"/>
          <w:spacing w:val="14"/>
          <w:position w:val="-1"/>
        </w:rPr>
        <w:t xml:space="preserve"> </w:t>
      </w:r>
      <w:r>
        <w:rPr>
          <w:color w:val="000000"/>
          <w:position w:val="-1"/>
        </w:rPr>
        <w:t>2010</w:t>
      </w:r>
      <w:r>
        <w:rPr>
          <w:color w:val="000000"/>
          <w:spacing w:val="7"/>
          <w:position w:val="-1"/>
        </w:rPr>
        <w:t xml:space="preserve"> </w:t>
      </w:r>
      <w:r>
        <w:rPr>
          <w:color w:val="000000"/>
          <w:spacing w:val="-9"/>
          <w:position w:val="-1"/>
        </w:rPr>
        <w:t>m</w:t>
      </w:r>
      <w:r>
        <w:rPr>
          <w:color w:val="000000"/>
          <w:position w:val="-1"/>
        </w:rPr>
        <w:t>.</w:t>
      </w:r>
      <w:r>
        <w:rPr>
          <w:color w:val="000000"/>
          <w:spacing w:val="15"/>
          <w:position w:val="-1"/>
        </w:rPr>
        <w:t xml:space="preserve"> </w:t>
      </w:r>
      <w:r>
        <w:rPr>
          <w:color w:val="000000"/>
          <w:position w:val="-1"/>
        </w:rPr>
        <w:t>–</w:t>
      </w:r>
      <w:r>
        <w:rPr>
          <w:color w:val="000000"/>
          <w:spacing w:val="12"/>
          <w:position w:val="-1"/>
        </w:rPr>
        <w:t xml:space="preserve"> </w:t>
      </w:r>
      <w:r>
        <w:rPr>
          <w:color w:val="000000"/>
          <w:position w:val="-1"/>
        </w:rPr>
        <w:t>14)</w:t>
      </w:r>
      <w:r>
        <w:rPr>
          <w:color w:val="000000"/>
          <w:spacing w:val="14"/>
          <w:position w:val="-1"/>
        </w:rPr>
        <w:t xml:space="preserve"> </w:t>
      </w:r>
      <w:r>
        <w:rPr>
          <w:color w:val="000000"/>
          <w:position w:val="-1"/>
        </w:rPr>
        <w:t>–</w:t>
      </w:r>
      <w:r>
        <w:rPr>
          <w:color w:val="000000"/>
          <w:spacing w:val="12"/>
          <w:position w:val="-1"/>
        </w:rPr>
        <w:t xml:space="preserve"> </w:t>
      </w:r>
      <w:r>
        <w:rPr>
          <w:color w:val="000000"/>
          <w:spacing w:val="-3"/>
          <w:position w:val="-1"/>
        </w:rPr>
        <w:t>L</w:t>
      </w:r>
      <w:r>
        <w:rPr>
          <w:color w:val="000000"/>
          <w:position w:val="-1"/>
        </w:rPr>
        <w:t>R</w:t>
      </w:r>
      <w:r>
        <w:rPr>
          <w:color w:val="000000"/>
          <w:spacing w:val="10"/>
          <w:position w:val="-1"/>
        </w:rPr>
        <w:t xml:space="preserve"> </w:t>
      </w:r>
      <w:r>
        <w:rPr>
          <w:color w:val="000000"/>
          <w:spacing w:val="-2"/>
          <w:position w:val="-1"/>
        </w:rPr>
        <w:t>B</w:t>
      </w:r>
      <w:r>
        <w:rPr>
          <w:color w:val="000000"/>
          <w:position w:val="-1"/>
        </w:rPr>
        <w:t>K</w:t>
      </w:r>
      <w:r>
        <w:rPr>
          <w:color w:val="000000"/>
          <w:spacing w:val="6"/>
          <w:position w:val="-1"/>
        </w:rPr>
        <w:t xml:space="preserve"> </w:t>
      </w:r>
      <w:r>
        <w:rPr>
          <w:color w:val="000000"/>
          <w:position w:val="-1"/>
        </w:rPr>
        <w:t>265</w:t>
      </w:r>
    </w:p>
    <w:p w:rsidR="004F7425" w:rsidRDefault="004F7425" w:rsidP="004F7425">
      <w:pPr>
        <w:widowControl w:val="0"/>
        <w:autoSpaceDE w:val="0"/>
        <w:autoSpaceDN w:val="0"/>
        <w:adjustRightInd w:val="0"/>
        <w:spacing w:before="41" w:line="271" w:lineRule="exact"/>
        <w:ind w:left="840" w:right="-20"/>
        <w:rPr>
          <w:color w:val="000000"/>
        </w:rPr>
        <w:sectPr w:rsidR="004F7425">
          <w:type w:val="continuous"/>
          <w:pgSz w:w="11920" w:h="16840"/>
          <w:pgMar w:top="1540" w:right="460" w:bottom="280" w:left="1580" w:header="567" w:footer="567" w:gutter="0"/>
          <w:cols w:space="1296" w:equalWidth="0">
            <w:col w:w="9880"/>
          </w:cols>
          <w:noEndnote/>
        </w:sectPr>
      </w:pPr>
    </w:p>
    <w:p w:rsidR="004F7425" w:rsidRDefault="004F7425" w:rsidP="004F7425">
      <w:pPr>
        <w:widowControl w:val="0"/>
        <w:autoSpaceDE w:val="0"/>
        <w:autoSpaceDN w:val="0"/>
        <w:adjustRightInd w:val="0"/>
        <w:spacing w:before="46"/>
        <w:ind w:left="120" w:right="-76"/>
        <w:rPr>
          <w:color w:val="000000"/>
        </w:rPr>
      </w:pPr>
      <w:r>
        <w:rPr>
          <w:color w:val="000000"/>
          <w:spacing w:val="-2"/>
        </w:rPr>
        <w:lastRenderedPageBreak/>
        <w:t>s</w:t>
      </w:r>
      <w:r>
        <w:rPr>
          <w:color w:val="000000"/>
          <w:spacing w:val="5"/>
        </w:rPr>
        <w:t>t</w:t>
      </w:r>
      <w:r>
        <w:rPr>
          <w:color w:val="000000"/>
          <w:spacing w:val="-3"/>
        </w:rPr>
        <w:t>r</w:t>
      </w:r>
      <w:r>
        <w:rPr>
          <w:color w:val="000000"/>
          <w:spacing w:val="2"/>
        </w:rPr>
        <w:t>.</w:t>
      </w:r>
      <w:r>
        <w:rPr>
          <w:color w:val="000000"/>
        </w:rPr>
        <w:t>;</w:t>
      </w:r>
    </w:p>
    <w:p w:rsidR="004F7425" w:rsidRDefault="004F7425" w:rsidP="004F7425">
      <w:pPr>
        <w:widowControl w:val="0"/>
        <w:autoSpaceDE w:val="0"/>
        <w:autoSpaceDN w:val="0"/>
        <w:adjustRightInd w:val="0"/>
        <w:spacing w:before="3" w:line="160" w:lineRule="exact"/>
        <w:rPr>
          <w:color w:val="000000"/>
          <w:sz w:val="16"/>
          <w:szCs w:val="16"/>
        </w:rPr>
      </w:pPr>
      <w:r>
        <w:rPr>
          <w:color w:val="000000"/>
        </w:rPr>
        <w:br w:type="column"/>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1" w:lineRule="exact"/>
        <w:ind w:right="-20"/>
        <w:rPr>
          <w:color w:val="000000"/>
        </w:rPr>
      </w:pPr>
      <w:r>
        <w:rPr>
          <w:b/>
          <w:bCs/>
          <w:color w:val="000000"/>
          <w:position w:val="-1"/>
        </w:rPr>
        <w:t>3</w:t>
      </w:r>
      <w:r>
        <w:rPr>
          <w:b/>
          <w:bCs/>
          <w:color w:val="000000"/>
          <w:spacing w:val="12"/>
          <w:position w:val="-1"/>
        </w:rPr>
        <w:t xml:space="preserve"> </w:t>
      </w:r>
      <w:r>
        <w:rPr>
          <w:color w:val="000000"/>
          <w:position w:val="-1"/>
        </w:rPr>
        <w:t>–</w:t>
      </w:r>
      <w:r>
        <w:rPr>
          <w:color w:val="000000"/>
          <w:spacing w:val="12"/>
          <w:position w:val="-1"/>
        </w:rPr>
        <w:t xml:space="preserve"> </w:t>
      </w:r>
      <w:r>
        <w:rPr>
          <w:color w:val="000000"/>
          <w:position w:val="-1"/>
        </w:rPr>
        <w:t>d</w:t>
      </w:r>
      <w:r>
        <w:rPr>
          <w:color w:val="000000"/>
          <w:spacing w:val="4"/>
          <w:position w:val="-1"/>
        </w:rPr>
        <w:t>ė</w:t>
      </w:r>
      <w:r>
        <w:rPr>
          <w:color w:val="000000"/>
          <w:position w:val="-1"/>
        </w:rPr>
        <w:t>l</w:t>
      </w:r>
      <w:r>
        <w:rPr>
          <w:color w:val="000000"/>
          <w:spacing w:val="12"/>
          <w:position w:val="-1"/>
        </w:rPr>
        <w:t xml:space="preserve"> </w:t>
      </w:r>
      <w:r>
        <w:rPr>
          <w:color w:val="000000"/>
          <w:spacing w:val="-5"/>
          <w:position w:val="-1"/>
        </w:rPr>
        <w:t>n</w:t>
      </w:r>
      <w:r>
        <w:rPr>
          <w:color w:val="000000"/>
          <w:spacing w:val="-1"/>
          <w:position w:val="-1"/>
        </w:rPr>
        <w:t>e</w:t>
      </w:r>
      <w:r>
        <w:rPr>
          <w:color w:val="000000"/>
          <w:spacing w:val="5"/>
          <w:position w:val="-1"/>
        </w:rPr>
        <w:t>t</w:t>
      </w:r>
      <w:r>
        <w:rPr>
          <w:color w:val="000000"/>
          <w:spacing w:val="4"/>
          <w:position w:val="-1"/>
        </w:rPr>
        <w:t>e</w:t>
      </w:r>
      <w:r>
        <w:rPr>
          <w:color w:val="000000"/>
          <w:spacing w:val="-9"/>
          <w:position w:val="-1"/>
        </w:rPr>
        <w:t>i</w:t>
      </w:r>
      <w:r>
        <w:rPr>
          <w:color w:val="000000"/>
          <w:spacing w:val="-2"/>
          <w:position w:val="-1"/>
        </w:rPr>
        <w:t>s</w:t>
      </w:r>
      <w:r>
        <w:rPr>
          <w:color w:val="000000"/>
          <w:spacing w:val="-1"/>
          <w:position w:val="-1"/>
        </w:rPr>
        <w:t>ė</w:t>
      </w:r>
      <w:r>
        <w:rPr>
          <w:color w:val="000000"/>
          <w:spacing w:val="5"/>
          <w:position w:val="-1"/>
        </w:rPr>
        <w:t>t</w:t>
      </w:r>
      <w:r>
        <w:rPr>
          <w:color w:val="000000"/>
          <w:position w:val="-1"/>
        </w:rPr>
        <w:t>o</w:t>
      </w:r>
      <w:r>
        <w:rPr>
          <w:color w:val="000000"/>
          <w:spacing w:val="16"/>
          <w:position w:val="-1"/>
        </w:rPr>
        <w:t xml:space="preserve"> </w:t>
      </w:r>
      <w:r>
        <w:rPr>
          <w:color w:val="000000"/>
          <w:position w:val="-1"/>
        </w:rPr>
        <w:t>I</w:t>
      </w:r>
      <w:r>
        <w:rPr>
          <w:color w:val="000000"/>
          <w:spacing w:val="13"/>
          <w:position w:val="-1"/>
        </w:rPr>
        <w:t xml:space="preserve"> </w:t>
      </w:r>
      <w:r>
        <w:rPr>
          <w:color w:val="000000"/>
          <w:position w:val="-1"/>
        </w:rPr>
        <w:t>k</w:t>
      </w:r>
      <w:r>
        <w:rPr>
          <w:color w:val="000000"/>
          <w:spacing w:val="-6"/>
          <w:position w:val="-1"/>
        </w:rPr>
        <w:t>a</w:t>
      </w:r>
      <w:r>
        <w:rPr>
          <w:color w:val="000000"/>
          <w:spacing w:val="5"/>
          <w:position w:val="-1"/>
        </w:rPr>
        <w:t>t</w:t>
      </w:r>
      <w:r>
        <w:rPr>
          <w:color w:val="000000"/>
          <w:spacing w:val="-1"/>
          <w:position w:val="-1"/>
        </w:rPr>
        <w:t>e</w:t>
      </w:r>
      <w:r>
        <w:rPr>
          <w:color w:val="000000"/>
          <w:spacing w:val="-5"/>
          <w:position w:val="-1"/>
        </w:rPr>
        <w:t>g</w:t>
      </w:r>
      <w:r>
        <w:rPr>
          <w:color w:val="000000"/>
          <w:spacing w:val="5"/>
          <w:position w:val="-1"/>
        </w:rPr>
        <w:t>o</w:t>
      </w:r>
      <w:r>
        <w:rPr>
          <w:color w:val="000000"/>
          <w:spacing w:val="1"/>
          <w:position w:val="-1"/>
        </w:rPr>
        <w:t>r</w:t>
      </w:r>
      <w:r>
        <w:rPr>
          <w:color w:val="000000"/>
          <w:spacing w:val="-4"/>
          <w:position w:val="-1"/>
        </w:rPr>
        <w:t>i</w:t>
      </w:r>
      <w:r>
        <w:rPr>
          <w:color w:val="000000"/>
          <w:spacing w:val="-9"/>
          <w:position w:val="-1"/>
        </w:rPr>
        <w:t>j</w:t>
      </w:r>
      <w:r>
        <w:rPr>
          <w:color w:val="000000"/>
          <w:spacing w:val="5"/>
          <w:position w:val="-1"/>
        </w:rPr>
        <w:t>o</w:t>
      </w:r>
      <w:r>
        <w:rPr>
          <w:color w:val="000000"/>
          <w:position w:val="-1"/>
        </w:rPr>
        <w:t>s</w:t>
      </w:r>
      <w:r>
        <w:rPr>
          <w:color w:val="000000"/>
          <w:spacing w:val="14"/>
          <w:position w:val="-1"/>
        </w:rPr>
        <w:t xml:space="preserve"> </w:t>
      </w:r>
      <w:r>
        <w:rPr>
          <w:color w:val="000000"/>
          <w:position w:val="-1"/>
        </w:rPr>
        <w:t>n</w:t>
      </w:r>
      <w:r>
        <w:rPr>
          <w:color w:val="000000"/>
          <w:spacing w:val="-1"/>
          <w:position w:val="-1"/>
        </w:rPr>
        <w:t>a</w:t>
      </w:r>
      <w:r>
        <w:rPr>
          <w:color w:val="000000"/>
          <w:spacing w:val="1"/>
          <w:position w:val="-1"/>
        </w:rPr>
        <w:t>r</w:t>
      </w:r>
      <w:r>
        <w:rPr>
          <w:color w:val="000000"/>
          <w:position w:val="-1"/>
        </w:rPr>
        <w:t>ko</w:t>
      </w:r>
      <w:r>
        <w:rPr>
          <w:color w:val="000000"/>
          <w:spacing w:val="5"/>
          <w:position w:val="-1"/>
        </w:rPr>
        <w:t>t</w:t>
      </w:r>
      <w:r>
        <w:rPr>
          <w:color w:val="000000"/>
          <w:spacing w:val="-4"/>
          <w:position w:val="-1"/>
        </w:rPr>
        <w:t>i</w:t>
      </w:r>
      <w:r>
        <w:rPr>
          <w:color w:val="000000"/>
          <w:position w:val="-1"/>
        </w:rPr>
        <w:t>n</w:t>
      </w:r>
      <w:r>
        <w:rPr>
          <w:color w:val="000000"/>
          <w:spacing w:val="-4"/>
          <w:position w:val="-1"/>
        </w:rPr>
        <w:t>i</w:t>
      </w:r>
      <w:r>
        <w:rPr>
          <w:color w:val="000000"/>
          <w:position w:val="-1"/>
        </w:rPr>
        <w:t>ų</w:t>
      </w:r>
      <w:r>
        <w:rPr>
          <w:color w:val="000000"/>
          <w:spacing w:val="17"/>
          <w:position w:val="-1"/>
        </w:rPr>
        <w:t xml:space="preserve"> </w:t>
      </w:r>
      <w:r>
        <w:rPr>
          <w:color w:val="000000"/>
          <w:spacing w:val="-4"/>
          <w:position w:val="-1"/>
        </w:rPr>
        <w:t>i</w:t>
      </w:r>
      <w:r>
        <w:rPr>
          <w:color w:val="000000"/>
          <w:position w:val="-1"/>
        </w:rPr>
        <w:t>r</w:t>
      </w:r>
      <w:r>
        <w:rPr>
          <w:color w:val="000000"/>
          <w:spacing w:val="13"/>
          <w:position w:val="-1"/>
        </w:rPr>
        <w:t xml:space="preserve"> </w:t>
      </w:r>
      <w:r>
        <w:rPr>
          <w:color w:val="000000"/>
          <w:position w:val="-1"/>
        </w:rPr>
        <w:t>p</w:t>
      </w:r>
      <w:r>
        <w:rPr>
          <w:color w:val="000000"/>
          <w:spacing w:val="2"/>
          <w:position w:val="-1"/>
        </w:rPr>
        <w:t>s</w:t>
      </w:r>
      <w:r>
        <w:rPr>
          <w:color w:val="000000"/>
          <w:spacing w:val="-4"/>
          <w:position w:val="-1"/>
        </w:rPr>
        <w:t>i</w:t>
      </w:r>
      <w:r>
        <w:rPr>
          <w:color w:val="000000"/>
          <w:spacing w:val="4"/>
          <w:position w:val="-1"/>
        </w:rPr>
        <w:t>c</w:t>
      </w:r>
      <w:r>
        <w:rPr>
          <w:color w:val="000000"/>
          <w:spacing w:val="-5"/>
          <w:position w:val="-1"/>
        </w:rPr>
        <w:t>h</w:t>
      </w:r>
      <w:r>
        <w:rPr>
          <w:color w:val="000000"/>
          <w:spacing w:val="5"/>
          <w:position w:val="-1"/>
        </w:rPr>
        <w:t>ot</w:t>
      </w:r>
      <w:r>
        <w:rPr>
          <w:color w:val="000000"/>
          <w:spacing w:val="-3"/>
          <w:position w:val="-1"/>
        </w:rPr>
        <w:t>r</w:t>
      </w:r>
      <w:r>
        <w:rPr>
          <w:color w:val="000000"/>
          <w:spacing w:val="5"/>
          <w:position w:val="-1"/>
        </w:rPr>
        <w:t>o</w:t>
      </w:r>
      <w:r>
        <w:rPr>
          <w:color w:val="000000"/>
          <w:position w:val="-1"/>
        </w:rPr>
        <w:t>p</w:t>
      </w:r>
      <w:r>
        <w:rPr>
          <w:color w:val="000000"/>
          <w:spacing w:val="-9"/>
          <w:position w:val="-1"/>
        </w:rPr>
        <w:t>i</w:t>
      </w:r>
      <w:r>
        <w:rPr>
          <w:color w:val="000000"/>
          <w:position w:val="-1"/>
        </w:rPr>
        <w:t>n</w:t>
      </w:r>
      <w:r>
        <w:rPr>
          <w:color w:val="000000"/>
          <w:spacing w:val="-4"/>
          <w:position w:val="-1"/>
        </w:rPr>
        <w:t>i</w:t>
      </w:r>
      <w:r>
        <w:rPr>
          <w:color w:val="000000"/>
          <w:position w:val="-1"/>
        </w:rPr>
        <w:t>ų</w:t>
      </w:r>
      <w:r>
        <w:rPr>
          <w:color w:val="000000"/>
          <w:spacing w:val="17"/>
          <w:position w:val="-1"/>
        </w:rPr>
        <w:t xml:space="preserve"> </w:t>
      </w:r>
      <w:r>
        <w:rPr>
          <w:color w:val="000000"/>
          <w:spacing w:val="-4"/>
          <w:position w:val="-1"/>
        </w:rPr>
        <w:t>m</w:t>
      </w:r>
      <w:r>
        <w:rPr>
          <w:color w:val="000000"/>
          <w:spacing w:val="4"/>
          <w:position w:val="-1"/>
        </w:rPr>
        <w:t>e</w:t>
      </w:r>
      <w:r>
        <w:rPr>
          <w:color w:val="000000"/>
          <w:position w:val="-1"/>
        </w:rPr>
        <w:t>d</w:t>
      </w:r>
      <w:r>
        <w:rPr>
          <w:color w:val="000000"/>
          <w:spacing w:val="4"/>
          <w:position w:val="-1"/>
        </w:rPr>
        <w:t>ž</w:t>
      </w:r>
      <w:r>
        <w:rPr>
          <w:color w:val="000000"/>
          <w:spacing w:val="-4"/>
          <w:position w:val="-1"/>
        </w:rPr>
        <w:t>i</w:t>
      </w:r>
      <w:r>
        <w:rPr>
          <w:color w:val="000000"/>
          <w:spacing w:val="-1"/>
          <w:position w:val="-1"/>
        </w:rPr>
        <w:t>a</w:t>
      </w:r>
      <w:r>
        <w:rPr>
          <w:color w:val="000000"/>
          <w:position w:val="-1"/>
        </w:rPr>
        <w:t>gų</w:t>
      </w:r>
      <w:r>
        <w:rPr>
          <w:color w:val="000000"/>
          <w:spacing w:val="12"/>
          <w:position w:val="-1"/>
        </w:rPr>
        <w:t xml:space="preserve"> </w:t>
      </w:r>
      <w:r>
        <w:rPr>
          <w:color w:val="000000"/>
          <w:spacing w:val="5"/>
          <w:position w:val="-1"/>
        </w:rPr>
        <w:t>p</w:t>
      </w:r>
      <w:r>
        <w:rPr>
          <w:color w:val="000000"/>
          <w:spacing w:val="-9"/>
          <w:position w:val="-1"/>
        </w:rPr>
        <w:t>i</w:t>
      </w:r>
      <w:r>
        <w:rPr>
          <w:color w:val="000000"/>
          <w:spacing w:val="6"/>
          <w:position w:val="-1"/>
        </w:rPr>
        <w:t>r</w:t>
      </w:r>
      <w:r>
        <w:rPr>
          <w:color w:val="000000"/>
          <w:spacing w:val="-9"/>
          <w:position w:val="-1"/>
        </w:rPr>
        <w:t>m</w:t>
      </w:r>
      <w:r>
        <w:rPr>
          <w:color w:val="000000"/>
          <w:spacing w:val="5"/>
          <w:position w:val="-1"/>
        </w:rPr>
        <w:t>t</w:t>
      </w:r>
      <w:r>
        <w:rPr>
          <w:color w:val="000000"/>
          <w:spacing w:val="-1"/>
          <w:position w:val="-1"/>
        </w:rPr>
        <w:t>a</w:t>
      </w:r>
      <w:r>
        <w:rPr>
          <w:color w:val="000000"/>
          <w:position w:val="-1"/>
        </w:rPr>
        <w:t>kų</w:t>
      </w:r>
      <w:r>
        <w:rPr>
          <w:color w:val="000000"/>
          <w:spacing w:val="16"/>
          <w:position w:val="-1"/>
        </w:rPr>
        <w:t xml:space="preserve"> </w:t>
      </w:r>
      <w:r>
        <w:rPr>
          <w:color w:val="000000"/>
          <w:spacing w:val="1"/>
          <w:position w:val="-1"/>
        </w:rPr>
        <w:t>(</w:t>
      </w:r>
      <w:r>
        <w:rPr>
          <w:color w:val="000000"/>
          <w:position w:val="-1"/>
        </w:rPr>
        <w:t>p</w:t>
      </w:r>
      <w:r>
        <w:rPr>
          <w:color w:val="000000"/>
          <w:spacing w:val="1"/>
          <w:position w:val="-1"/>
        </w:rPr>
        <w:t>r</w:t>
      </w:r>
      <w:r>
        <w:rPr>
          <w:color w:val="000000"/>
          <w:spacing w:val="-1"/>
          <w:position w:val="-1"/>
        </w:rPr>
        <w:t>e</w:t>
      </w:r>
      <w:r>
        <w:rPr>
          <w:color w:val="000000"/>
          <w:position w:val="-1"/>
        </w:rPr>
        <w:t>ku</w:t>
      </w:r>
      <w:r>
        <w:rPr>
          <w:color w:val="000000"/>
          <w:spacing w:val="1"/>
          <w:position w:val="-1"/>
        </w:rPr>
        <w:t>r</w:t>
      </w:r>
      <w:r>
        <w:rPr>
          <w:color w:val="000000"/>
          <w:spacing w:val="-2"/>
          <w:position w:val="-1"/>
        </w:rPr>
        <w:t>s</w:t>
      </w:r>
      <w:r>
        <w:rPr>
          <w:color w:val="000000"/>
          <w:spacing w:val="5"/>
          <w:position w:val="-1"/>
        </w:rPr>
        <w:t>o</w:t>
      </w:r>
      <w:r>
        <w:rPr>
          <w:color w:val="000000"/>
          <w:spacing w:val="1"/>
          <w:position w:val="-1"/>
        </w:rPr>
        <w:t>r</w:t>
      </w:r>
      <w:r>
        <w:rPr>
          <w:color w:val="000000"/>
          <w:spacing w:val="-9"/>
          <w:position w:val="-1"/>
        </w:rPr>
        <w:t>i</w:t>
      </w:r>
      <w:r>
        <w:rPr>
          <w:color w:val="000000"/>
          <w:position w:val="-1"/>
        </w:rPr>
        <w:t>ų)</w:t>
      </w:r>
    </w:p>
    <w:p w:rsidR="004F7425" w:rsidRDefault="004F7425" w:rsidP="004F7425">
      <w:pPr>
        <w:widowControl w:val="0"/>
        <w:autoSpaceDE w:val="0"/>
        <w:autoSpaceDN w:val="0"/>
        <w:adjustRightInd w:val="0"/>
        <w:spacing w:line="271" w:lineRule="exact"/>
        <w:ind w:right="-20"/>
        <w:rPr>
          <w:color w:val="000000"/>
        </w:rPr>
        <w:sectPr w:rsidR="004F7425">
          <w:type w:val="continuous"/>
          <w:pgSz w:w="11920" w:h="16840"/>
          <w:pgMar w:top="1540" w:right="460" w:bottom="280" w:left="1580" w:header="567" w:footer="567" w:gutter="0"/>
          <w:cols w:num="2" w:space="1296" w:equalWidth="0">
            <w:col w:w="489" w:space="351"/>
            <w:col w:w="9040"/>
          </w:cols>
          <w:noEndnote/>
        </w:sectPr>
      </w:pPr>
    </w:p>
    <w:p w:rsidR="004F7425" w:rsidRDefault="004F7425" w:rsidP="004F7425">
      <w:pPr>
        <w:widowControl w:val="0"/>
        <w:autoSpaceDE w:val="0"/>
        <w:autoSpaceDN w:val="0"/>
        <w:adjustRightInd w:val="0"/>
        <w:spacing w:before="46"/>
        <w:ind w:left="120" w:right="-20"/>
        <w:rPr>
          <w:color w:val="000000"/>
        </w:rPr>
      </w:pPr>
      <w:r>
        <w:rPr>
          <w:color w:val="000000"/>
          <w:spacing w:val="5"/>
        </w:rPr>
        <w:lastRenderedPageBreak/>
        <w:t>d</w:t>
      </w:r>
      <w:r>
        <w:rPr>
          <w:color w:val="000000"/>
          <w:spacing w:val="-9"/>
        </w:rPr>
        <w:t>i</w:t>
      </w:r>
      <w:r>
        <w:rPr>
          <w:color w:val="000000"/>
          <w:spacing w:val="-2"/>
        </w:rPr>
        <w:t>s</w:t>
      </w:r>
      <w:r>
        <w:rPr>
          <w:color w:val="000000"/>
        </w:rPr>
        <w:t>p</w:t>
      </w:r>
      <w:r>
        <w:rPr>
          <w:color w:val="000000"/>
          <w:spacing w:val="5"/>
        </w:rPr>
        <w:t>o</w:t>
      </w:r>
      <w:r>
        <w:rPr>
          <w:color w:val="000000"/>
        </w:rPr>
        <w:t>n</w:t>
      </w:r>
      <w:r>
        <w:rPr>
          <w:color w:val="000000"/>
          <w:spacing w:val="4"/>
        </w:rPr>
        <w:t>a</w:t>
      </w:r>
      <w:r>
        <w:rPr>
          <w:color w:val="000000"/>
        </w:rPr>
        <w:t>v</w:t>
      </w:r>
      <w:r>
        <w:rPr>
          <w:color w:val="000000"/>
          <w:spacing w:val="-4"/>
        </w:rPr>
        <w:t>i</w:t>
      </w:r>
      <w:r>
        <w:rPr>
          <w:color w:val="000000"/>
          <w:spacing w:val="-9"/>
        </w:rPr>
        <w:t>m</w:t>
      </w:r>
      <w:r>
        <w:rPr>
          <w:color w:val="000000"/>
        </w:rPr>
        <w:t>o</w:t>
      </w:r>
      <w:r>
        <w:rPr>
          <w:color w:val="000000"/>
          <w:spacing w:val="7"/>
        </w:rPr>
        <w:t xml:space="preserve"> </w:t>
      </w:r>
      <w:r>
        <w:rPr>
          <w:color w:val="000000"/>
          <w:spacing w:val="1"/>
        </w:rPr>
        <w:t>(</w:t>
      </w:r>
      <w:r>
        <w:rPr>
          <w:color w:val="000000"/>
        </w:rPr>
        <w:t>2011</w:t>
      </w:r>
      <w:r>
        <w:rPr>
          <w:color w:val="000000"/>
          <w:spacing w:val="7"/>
        </w:rPr>
        <w:t xml:space="preserve"> </w:t>
      </w:r>
      <w:r>
        <w:rPr>
          <w:color w:val="000000"/>
          <w:spacing w:val="-9"/>
        </w:rPr>
        <w:t>m</w:t>
      </w:r>
      <w:r>
        <w:rPr>
          <w:color w:val="000000"/>
        </w:rPr>
        <w:t>.</w:t>
      </w:r>
      <w:r>
        <w:rPr>
          <w:color w:val="000000"/>
          <w:spacing w:val="7"/>
        </w:rPr>
        <w:t xml:space="preserve"> </w:t>
      </w:r>
      <w:r>
        <w:rPr>
          <w:color w:val="000000"/>
        </w:rPr>
        <w:t>–</w:t>
      </w:r>
      <w:r>
        <w:rPr>
          <w:color w:val="000000"/>
          <w:spacing w:val="2"/>
        </w:rPr>
        <w:t xml:space="preserve"> </w:t>
      </w:r>
      <w:r>
        <w:rPr>
          <w:color w:val="000000"/>
        </w:rPr>
        <w:t>3, 2010</w:t>
      </w:r>
      <w:r>
        <w:rPr>
          <w:color w:val="000000"/>
          <w:spacing w:val="2"/>
        </w:rPr>
        <w:t xml:space="preserve"> </w:t>
      </w:r>
      <w:r>
        <w:rPr>
          <w:color w:val="000000"/>
          <w:spacing w:val="-9"/>
        </w:rPr>
        <w:t>m</w:t>
      </w:r>
      <w:r>
        <w:rPr>
          <w:color w:val="000000"/>
        </w:rPr>
        <w:t>.</w:t>
      </w:r>
      <w:r>
        <w:rPr>
          <w:color w:val="000000"/>
          <w:spacing w:val="6"/>
        </w:rPr>
        <w:t xml:space="preserve"> </w:t>
      </w:r>
      <w:r>
        <w:rPr>
          <w:color w:val="000000"/>
        </w:rPr>
        <w:t>–</w:t>
      </w:r>
      <w:r>
        <w:rPr>
          <w:color w:val="000000"/>
          <w:spacing w:val="2"/>
        </w:rPr>
        <w:t xml:space="preserve"> </w:t>
      </w:r>
      <w:r>
        <w:rPr>
          <w:color w:val="000000"/>
        </w:rPr>
        <w:t>6) –</w:t>
      </w:r>
      <w:r>
        <w:rPr>
          <w:color w:val="000000"/>
          <w:spacing w:val="2"/>
        </w:rPr>
        <w:t xml:space="preserve"> </w:t>
      </w:r>
      <w:r>
        <w:rPr>
          <w:color w:val="000000"/>
          <w:spacing w:val="-3"/>
        </w:rPr>
        <w:t>L</w:t>
      </w:r>
      <w:r>
        <w:rPr>
          <w:color w:val="000000"/>
        </w:rPr>
        <w:t xml:space="preserve">R </w:t>
      </w:r>
      <w:r>
        <w:rPr>
          <w:color w:val="000000"/>
          <w:spacing w:val="-2"/>
        </w:rPr>
        <w:t>B</w:t>
      </w:r>
      <w:r>
        <w:rPr>
          <w:color w:val="000000"/>
        </w:rPr>
        <w:t>K</w:t>
      </w:r>
      <w:r>
        <w:rPr>
          <w:color w:val="000000"/>
          <w:spacing w:val="-3"/>
        </w:rPr>
        <w:t xml:space="preserve"> </w:t>
      </w:r>
      <w:r>
        <w:rPr>
          <w:color w:val="000000"/>
        </w:rPr>
        <w:t>266</w:t>
      </w:r>
      <w:r>
        <w:rPr>
          <w:color w:val="000000"/>
          <w:spacing w:val="2"/>
        </w:rPr>
        <w:t xml:space="preserve"> </w:t>
      </w:r>
      <w:r>
        <w:rPr>
          <w:color w:val="000000"/>
          <w:spacing w:val="-2"/>
        </w:rPr>
        <w:t>s</w:t>
      </w:r>
      <w:r>
        <w:rPr>
          <w:color w:val="000000"/>
        </w:rPr>
        <w:t>t</w:t>
      </w:r>
      <w:r>
        <w:rPr>
          <w:color w:val="000000"/>
          <w:spacing w:val="2"/>
        </w:rPr>
        <w:t>r.</w:t>
      </w:r>
      <w:r>
        <w:rPr>
          <w:color w:val="000000"/>
        </w:rPr>
        <w:t>;</w:t>
      </w:r>
    </w:p>
    <w:p w:rsidR="004F7425" w:rsidRDefault="004F7425" w:rsidP="004F7425">
      <w:pPr>
        <w:widowControl w:val="0"/>
        <w:autoSpaceDE w:val="0"/>
        <w:autoSpaceDN w:val="0"/>
        <w:adjustRightInd w:val="0"/>
        <w:spacing w:before="46" w:line="271" w:lineRule="exact"/>
        <w:ind w:left="840" w:right="-20"/>
        <w:rPr>
          <w:color w:val="000000"/>
        </w:rPr>
      </w:pPr>
      <w:r>
        <w:rPr>
          <w:b/>
          <w:bCs/>
          <w:color w:val="000000"/>
          <w:position w:val="-1"/>
        </w:rPr>
        <w:t>44</w:t>
      </w:r>
      <w:r>
        <w:rPr>
          <w:b/>
          <w:bCs/>
          <w:color w:val="000000"/>
          <w:spacing w:val="17"/>
          <w:position w:val="-1"/>
        </w:rPr>
        <w:t xml:space="preserve"> </w:t>
      </w:r>
      <w:r>
        <w:rPr>
          <w:color w:val="000000"/>
          <w:position w:val="-1"/>
        </w:rPr>
        <w:t>–</w:t>
      </w:r>
      <w:r>
        <w:rPr>
          <w:color w:val="000000"/>
          <w:spacing w:val="17"/>
          <w:position w:val="-1"/>
        </w:rPr>
        <w:t xml:space="preserve"> </w:t>
      </w:r>
      <w:r>
        <w:rPr>
          <w:color w:val="000000"/>
          <w:position w:val="-1"/>
        </w:rPr>
        <w:t>d</w:t>
      </w:r>
      <w:r>
        <w:rPr>
          <w:color w:val="000000"/>
          <w:spacing w:val="4"/>
          <w:position w:val="-1"/>
        </w:rPr>
        <w:t>ė</w:t>
      </w:r>
      <w:r>
        <w:rPr>
          <w:color w:val="000000"/>
          <w:position w:val="-1"/>
        </w:rPr>
        <w:t>l</w:t>
      </w:r>
      <w:r>
        <w:rPr>
          <w:color w:val="000000"/>
          <w:spacing w:val="7"/>
          <w:position w:val="-1"/>
        </w:rPr>
        <w:t xml:space="preserve"> </w:t>
      </w:r>
      <w:r>
        <w:rPr>
          <w:color w:val="000000"/>
          <w:spacing w:val="-5"/>
          <w:position w:val="-1"/>
        </w:rPr>
        <w:t>n</w:t>
      </w:r>
      <w:r>
        <w:rPr>
          <w:color w:val="000000"/>
          <w:spacing w:val="-1"/>
          <w:position w:val="-1"/>
        </w:rPr>
        <w:t>a</w:t>
      </w:r>
      <w:r>
        <w:rPr>
          <w:color w:val="000000"/>
          <w:spacing w:val="1"/>
          <w:position w:val="-1"/>
        </w:rPr>
        <w:t>r</w:t>
      </w:r>
      <w:r>
        <w:rPr>
          <w:color w:val="000000"/>
          <w:position w:val="-1"/>
        </w:rPr>
        <w:t>k</w:t>
      </w:r>
      <w:r>
        <w:rPr>
          <w:color w:val="000000"/>
          <w:spacing w:val="5"/>
          <w:position w:val="-1"/>
        </w:rPr>
        <w:t>ot</w:t>
      </w:r>
      <w:r>
        <w:rPr>
          <w:color w:val="000000"/>
          <w:spacing w:val="-9"/>
          <w:position w:val="-1"/>
        </w:rPr>
        <w:t>i</w:t>
      </w:r>
      <w:r>
        <w:rPr>
          <w:color w:val="000000"/>
          <w:position w:val="-1"/>
        </w:rPr>
        <w:t>kų</w:t>
      </w:r>
      <w:r>
        <w:rPr>
          <w:color w:val="000000"/>
          <w:spacing w:val="17"/>
          <w:position w:val="-1"/>
        </w:rPr>
        <w:t xml:space="preserve"> </w:t>
      </w:r>
      <w:r>
        <w:rPr>
          <w:color w:val="000000"/>
          <w:position w:val="-1"/>
        </w:rPr>
        <w:t>k</w:t>
      </w:r>
      <w:r>
        <w:rPr>
          <w:color w:val="000000"/>
          <w:spacing w:val="5"/>
          <w:position w:val="-1"/>
        </w:rPr>
        <w:t>o</w:t>
      </w:r>
      <w:r>
        <w:rPr>
          <w:color w:val="000000"/>
          <w:spacing w:val="-5"/>
          <w:position w:val="-1"/>
        </w:rPr>
        <w:t>n</w:t>
      </w:r>
      <w:r>
        <w:rPr>
          <w:color w:val="000000"/>
          <w:spacing w:val="5"/>
          <w:position w:val="-1"/>
        </w:rPr>
        <w:t>t</w:t>
      </w:r>
      <w:r>
        <w:rPr>
          <w:color w:val="000000"/>
          <w:spacing w:val="1"/>
          <w:position w:val="-1"/>
        </w:rPr>
        <w:t>r</w:t>
      </w:r>
      <w:r>
        <w:rPr>
          <w:color w:val="000000"/>
          <w:spacing w:val="-1"/>
          <w:position w:val="-1"/>
        </w:rPr>
        <w:t>a</w:t>
      </w:r>
      <w:r>
        <w:rPr>
          <w:color w:val="000000"/>
          <w:spacing w:val="-5"/>
          <w:position w:val="-1"/>
        </w:rPr>
        <w:t>b</w:t>
      </w:r>
      <w:r>
        <w:rPr>
          <w:color w:val="000000"/>
          <w:spacing w:val="4"/>
          <w:position w:val="-1"/>
        </w:rPr>
        <w:t>a</w:t>
      </w:r>
      <w:r>
        <w:rPr>
          <w:color w:val="000000"/>
          <w:spacing w:val="-5"/>
          <w:position w:val="-1"/>
        </w:rPr>
        <w:t>n</w:t>
      </w:r>
      <w:r>
        <w:rPr>
          <w:color w:val="000000"/>
          <w:position w:val="-1"/>
        </w:rPr>
        <w:t>d</w:t>
      </w:r>
      <w:r>
        <w:rPr>
          <w:color w:val="000000"/>
          <w:spacing w:val="5"/>
          <w:position w:val="-1"/>
        </w:rPr>
        <w:t>o</w:t>
      </w:r>
      <w:r>
        <w:rPr>
          <w:color w:val="000000"/>
          <w:position w:val="-1"/>
        </w:rPr>
        <w:t>s</w:t>
      </w:r>
      <w:r>
        <w:rPr>
          <w:color w:val="000000"/>
          <w:spacing w:val="14"/>
          <w:position w:val="-1"/>
        </w:rPr>
        <w:t xml:space="preserve"> </w:t>
      </w:r>
      <w:r>
        <w:rPr>
          <w:color w:val="000000"/>
          <w:spacing w:val="1"/>
          <w:position w:val="-1"/>
        </w:rPr>
        <w:t>(</w:t>
      </w:r>
      <w:r>
        <w:rPr>
          <w:color w:val="000000"/>
          <w:position w:val="-1"/>
        </w:rPr>
        <w:t>2011</w:t>
      </w:r>
      <w:r>
        <w:rPr>
          <w:color w:val="000000"/>
          <w:spacing w:val="17"/>
          <w:position w:val="-1"/>
        </w:rPr>
        <w:t xml:space="preserve"> </w:t>
      </w:r>
      <w:r>
        <w:rPr>
          <w:color w:val="000000"/>
          <w:spacing w:val="-9"/>
          <w:position w:val="-1"/>
        </w:rPr>
        <w:t>m</w:t>
      </w:r>
      <w:r>
        <w:rPr>
          <w:color w:val="000000"/>
          <w:position w:val="-1"/>
        </w:rPr>
        <w:t>.</w:t>
      </w:r>
      <w:r>
        <w:rPr>
          <w:color w:val="000000"/>
          <w:spacing w:val="24"/>
          <w:position w:val="-1"/>
        </w:rPr>
        <w:t xml:space="preserve"> </w:t>
      </w:r>
      <w:r>
        <w:rPr>
          <w:color w:val="000000"/>
          <w:position w:val="-1"/>
        </w:rPr>
        <w:t>–</w:t>
      </w:r>
      <w:r>
        <w:rPr>
          <w:color w:val="000000"/>
          <w:spacing w:val="17"/>
          <w:position w:val="-1"/>
        </w:rPr>
        <w:t xml:space="preserve"> </w:t>
      </w:r>
      <w:r>
        <w:rPr>
          <w:color w:val="000000"/>
          <w:position w:val="-1"/>
        </w:rPr>
        <w:t>30,</w:t>
      </w:r>
      <w:r>
        <w:rPr>
          <w:color w:val="000000"/>
          <w:spacing w:val="19"/>
          <w:position w:val="-1"/>
        </w:rPr>
        <w:t xml:space="preserve"> </w:t>
      </w:r>
      <w:r>
        <w:rPr>
          <w:color w:val="000000"/>
          <w:spacing w:val="-5"/>
          <w:position w:val="-1"/>
        </w:rPr>
        <w:t>2</w:t>
      </w:r>
      <w:r>
        <w:rPr>
          <w:color w:val="000000"/>
          <w:position w:val="-1"/>
        </w:rPr>
        <w:t>010</w:t>
      </w:r>
      <w:r>
        <w:rPr>
          <w:color w:val="000000"/>
          <w:spacing w:val="21"/>
          <w:position w:val="-1"/>
        </w:rPr>
        <w:t xml:space="preserve"> </w:t>
      </w:r>
      <w:r>
        <w:rPr>
          <w:color w:val="000000"/>
          <w:spacing w:val="-9"/>
          <w:position w:val="-1"/>
        </w:rPr>
        <w:t>m</w:t>
      </w:r>
      <w:r>
        <w:rPr>
          <w:color w:val="000000"/>
          <w:position w:val="-1"/>
        </w:rPr>
        <w:t>.</w:t>
      </w:r>
      <w:r>
        <w:rPr>
          <w:color w:val="000000"/>
          <w:spacing w:val="21"/>
          <w:position w:val="-1"/>
        </w:rPr>
        <w:t xml:space="preserve"> </w:t>
      </w:r>
      <w:r>
        <w:rPr>
          <w:color w:val="000000"/>
          <w:position w:val="-1"/>
        </w:rPr>
        <w:t>–</w:t>
      </w:r>
      <w:r>
        <w:rPr>
          <w:color w:val="000000"/>
          <w:spacing w:val="17"/>
          <w:position w:val="-1"/>
        </w:rPr>
        <w:t xml:space="preserve"> </w:t>
      </w:r>
      <w:r>
        <w:rPr>
          <w:color w:val="000000"/>
          <w:position w:val="-1"/>
        </w:rPr>
        <w:t>16,</w:t>
      </w:r>
      <w:r>
        <w:rPr>
          <w:color w:val="000000"/>
          <w:spacing w:val="19"/>
          <w:position w:val="-1"/>
        </w:rPr>
        <w:t xml:space="preserve"> </w:t>
      </w:r>
      <w:r>
        <w:rPr>
          <w:color w:val="000000"/>
          <w:position w:val="-1"/>
        </w:rPr>
        <w:t>2009</w:t>
      </w:r>
      <w:r>
        <w:rPr>
          <w:color w:val="000000"/>
          <w:spacing w:val="17"/>
          <w:position w:val="-1"/>
        </w:rPr>
        <w:t xml:space="preserve"> </w:t>
      </w:r>
      <w:r>
        <w:rPr>
          <w:color w:val="000000"/>
          <w:spacing w:val="-9"/>
          <w:position w:val="-1"/>
        </w:rPr>
        <w:t>m</w:t>
      </w:r>
      <w:r>
        <w:rPr>
          <w:color w:val="000000"/>
          <w:position w:val="-1"/>
        </w:rPr>
        <w:t>.</w:t>
      </w:r>
      <w:r>
        <w:rPr>
          <w:color w:val="000000"/>
          <w:spacing w:val="20"/>
          <w:position w:val="-1"/>
        </w:rPr>
        <w:t xml:space="preserve"> </w:t>
      </w:r>
      <w:r>
        <w:rPr>
          <w:color w:val="000000"/>
          <w:position w:val="-1"/>
        </w:rPr>
        <w:t>–</w:t>
      </w:r>
      <w:r>
        <w:rPr>
          <w:color w:val="000000"/>
          <w:spacing w:val="17"/>
          <w:position w:val="-1"/>
        </w:rPr>
        <w:t xml:space="preserve"> </w:t>
      </w:r>
      <w:r>
        <w:rPr>
          <w:color w:val="000000"/>
          <w:position w:val="-1"/>
        </w:rPr>
        <w:t>4)</w:t>
      </w:r>
      <w:r>
        <w:rPr>
          <w:color w:val="000000"/>
          <w:spacing w:val="18"/>
          <w:position w:val="-1"/>
        </w:rPr>
        <w:t xml:space="preserve"> </w:t>
      </w:r>
      <w:r>
        <w:rPr>
          <w:color w:val="000000"/>
          <w:position w:val="-1"/>
        </w:rPr>
        <w:t>–</w:t>
      </w:r>
      <w:r>
        <w:rPr>
          <w:color w:val="000000"/>
          <w:spacing w:val="17"/>
          <w:position w:val="-1"/>
        </w:rPr>
        <w:t xml:space="preserve"> </w:t>
      </w:r>
      <w:r>
        <w:rPr>
          <w:color w:val="000000"/>
          <w:spacing w:val="-3"/>
          <w:position w:val="-1"/>
        </w:rPr>
        <w:t>L</w:t>
      </w:r>
      <w:r>
        <w:rPr>
          <w:color w:val="000000"/>
          <w:position w:val="-1"/>
        </w:rPr>
        <w:t>R</w:t>
      </w:r>
      <w:r>
        <w:rPr>
          <w:color w:val="000000"/>
          <w:spacing w:val="15"/>
          <w:position w:val="-1"/>
        </w:rPr>
        <w:t xml:space="preserve"> </w:t>
      </w:r>
      <w:r>
        <w:rPr>
          <w:color w:val="000000"/>
          <w:spacing w:val="-2"/>
          <w:position w:val="-1"/>
        </w:rPr>
        <w:t>B</w:t>
      </w:r>
      <w:r>
        <w:rPr>
          <w:color w:val="000000"/>
          <w:position w:val="-1"/>
        </w:rPr>
        <w:t>K</w:t>
      </w:r>
      <w:r>
        <w:rPr>
          <w:color w:val="000000"/>
          <w:spacing w:val="11"/>
          <w:position w:val="-1"/>
        </w:rPr>
        <w:t xml:space="preserve"> </w:t>
      </w:r>
      <w:r>
        <w:rPr>
          <w:color w:val="000000"/>
          <w:position w:val="-1"/>
        </w:rPr>
        <w:t>199</w:t>
      </w:r>
    </w:p>
    <w:p w:rsidR="004F7425" w:rsidRDefault="004F7425" w:rsidP="004F7425">
      <w:pPr>
        <w:widowControl w:val="0"/>
        <w:autoSpaceDE w:val="0"/>
        <w:autoSpaceDN w:val="0"/>
        <w:adjustRightInd w:val="0"/>
        <w:spacing w:before="46"/>
        <w:ind w:left="120" w:right="-20"/>
        <w:rPr>
          <w:color w:val="000000"/>
        </w:rPr>
      </w:pPr>
      <w:r>
        <w:rPr>
          <w:color w:val="000000"/>
          <w:spacing w:val="-2"/>
        </w:rPr>
        <w:t>s</w:t>
      </w:r>
      <w:r>
        <w:rPr>
          <w:color w:val="000000"/>
          <w:spacing w:val="5"/>
        </w:rPr>
        <w:t>t</w:t>
      </w:r>
      <w:r>
        <w:rPr>
          <w:color w:val="000000"/>
          <w:spacing w:val="-3"/>
        </w:rPr>
        <w:t>r</w:t>
      </w:r>
      <w:r>
        <w:rPr>
          <w:color w:val="000000"/>
        </w:rPr>
        <w:t>.</w:t>
      </w:r>
    </w:p>
    <w:p w:rsidR="004F7425" w:rsidRDefault="004F7425" w:rsidP="004F7425">
      <w:pPr>
        <w:widowControl w:val="0"/>
        <w:autoSpaceDE w:val="0"/>
        <w:autoSpaceDN w:val="0"/>
        <w:adjustRightInd w:val="0"/>
        <w:spacing w:before="46"/>
        <w:ind w:left="120" w:right="-20"/>
        <w:rPr>
          <w:color w:val="000000"/>
        </w:rPr>
        <w:sectPr w:rsidR="004F7425">
          <w:type w:val="continuous"/>
          <w:pgSz w:w="11920" w:h="16840"/>
          <w:pgMar w:top="1540" w:right="460" w:bottom="280" w:left="1580" w:header="567" w:footer="567" w:gutter="0"/>
          <w:cols w:space="1296" w:equalWidth="0">
            <w:col w:w="9880"/>
          </w:cols>
          <w:noEndnote/>
        </w:sectPr>
      </w:pPr>
    </w:p>
    <w:p w:rsidR="004F7425" w:rsidRDefault="004F7425" w:rsidP="004F7425">
      <w:pPr>
        <w:widowControl w:val="0"/>
        <w:autoSpaceDE w:val="0"/>
        <w:autoSpaceDN w:val="0"/>
        <w:adjustRightInd w:val="0"/>
        <w:spacing w:line="200" w:lineRule="exact"/>
        <w:rPr>
          <w:color w:val="000000"/>
          <w:sz w:val="20"/>
        </w:rPr>
      </w:pPr>
      <w:r>
        <w:rPr>
          <w:noProof/>
          <w:lang w:eastAsia="lt-LT"/>
        </w:rPr>
        <w:lastRenderedPageBreak/>
        <mc:AlternateContent>
          <mc:Choice Requires="wpg">
            <w:drawing>
              <wp:anchor distT="0" distB="0" distL="114300" distR="114300" simplePos="0" relativeHeight="251742208" behindDoc="1" locked="0" layoutInCell="0" allowOverlap="1">
                <wp:simplePos x="0" y="0"/>
                <wp:positionH relativeFrom="page">
                  <wp:posOffset>1124585</wp:posOffset>
                </wp:positionH>
                <wp:positionV relativeFrom="page">
                  <wp:posOffset>1044575</wp:posOffset>
                </wp:positionV>
                <wp:extent cx="5829300" cy="3213735"/>
                <wp:effectExtent l="0" t="0" r="19050" b="5715"/>
                <wp:wrapNone/>
                <wp:docPr id="256" name="Grupė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3213735"/>
                          <a:chOff x="1771" y="1645"/>
                          <a:chExt cx="9180" cy="5061"/>
                        </a:xfrm>
                      </wpg:grpSpPr>
                      <wps:wsp>
                        <wps:cNvPr id="257" name="Rectangle 106"/>
                        <wps:cNvSpPr>
                          <a:spLocks/>
                        </wps:cNvSpPr>
                        <wps:spPr bwMode="auto">
                          <a:xfrm>
                            <a:off x="1780" y="1655"/>
                            <a:ext cx="9160" cy="5040"/>
                          </a:xfrm>
                          <a:prstGeom prst="rect">
                            <a:avLst/>
                          </a:prstGeom>
                          <a:noFill/>
                          <a:ln w="12199">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Rectangle 107"/>
                        <wps:cNvSpPr>
                          <a:spLocks/>
                        </wps:cNvSpPr>
                        <wps:spPr bwMode="auto">
                          <a:xfrm>
                            <a:off x="2271" y="2762"/>
                            <a:ext cx="8316" cy="3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Freeform 108"/>
                        <wps:cNvSpPr>
                          <a:spLocks/>
                        </wps:cNvSpPr>
                        <wps:spPr bwMode="auto">
                          <a:xfrm>
                            <a:off x="2218" y="5337"/>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Freeform 109"/>
                        <wps:cNvSpPr>
                          <a:spLocks/>
                        </wps:cNvSpPr>
                        <wps:spPr bwMode="auto">
                          <a:xfrm>
                            <a:off x="2218" y="4909"/>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Freeform 110"/>
                        <wps:cNvSpPr>
                          <a:spLocks/>
                        </wps:cNvSpPr>
                        <wps:spPr bwMode="auto">
                          <a:xfrm>
                            <a:off x="2218" y="4479"/>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Freeform 111"/>
                        <wps:cNvSpPr>
                          <a:spLocks/>
                        </wps:cNvSpPr>
                        <wps:spPr bwMode="auto">
                          <a:xfrm>
                            <a:off x="2218" y="4050"/>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Freeform 112"/>
                        <wps:cNvSpPr>
                          <a:spLocks/>
                        </wps:cNvSpPr>
                        <wps:spPr bwMode="auto">
                          <a:xfrm>
                            <a:off x="2218" y="3620"/>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Freeform 113"/>
                        <wps:cNvSpPr>
                          <a:spLocks/>
                        </wps:cNvSpPr>
                        <wps:spPr bwMode="auto">
                          <a:xfrm>
                            <a:off x="2218" y="3192"/>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Freeform 114"/>
                        <wps:cNvSpPr>
                          <a:spLocks/>
                        </wps:cNvSpPr>
                        <wps:spPr bwMode="auto">
                          <a:xfrm>
                            <a:off x="2218" y="2762"/>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 name="Freeform 115"/>
                        <wps:cNvSpPr>
                          <a:spLocks/>
                        </wps:cNvSpPr>
                        <wps:spPr bwMode="auto">
                          <a:xfrm>
                            <a:off x="2271" y="4393"/>
                            <a:ext cx="8317" cy="1373"/>
                          </a:xfrm>
                          <a:custGeom>
                            <a:avLst/>
                            <a:gdLst>
                              <a:gd name="T0" fmla="*/ 1662 w 8317"/>
                              <a:gd name="T1" fmla="*/ 0 h 1373"/>
                              <a:gd name="T2" fmla="*/ 0 w 8317"/>
                              <a:gd name="T3" fmla="*/ 86 h 1373"/>
                              <a:gd name="T4" fmla="*/ 0 w 8317"/>
                              <a:gd name="T5" fmla="*/ 1373 h 1373"/>
                              <a:gd name="T6" fmla="*/ 8316 w 8317"/>
                              <a:gd name="T7" fmla="*/ 1373 h 1373"/>
                              <a:gd name="T8" fmla="*/ 8316 w 8317"/>
                              <a:gd name="T9" fmla="*/ 256 h 1373"/>
                              <a:gd name="T10" fmla="*/ 6654 w 8317"/>
                              <a:gd name="T11" fmla="*/ 256 h 1373"/>
                              <a:gd name="T12" fmla="*/ 4989 w 8317"/>
                              <a:gd name="T13" fmla="*/ 213 h 1373"/>
                              <a:gd name="T14" fmla="*/ 3327 w 8317"/>
                              <a:gd name="T15" fmla="*/ 86 h 1373"/>
                              <a:gd name="T16" fmla="*/ 1662 w 8317"/>
                              <a:gd name="T17" fmla="*/ 0 h 13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317" h="1373">
                                <a:moveTo>
                                  <a:pt x="1662" y="0"/>
                                </a:moveTo>
                                <a:lnTo>
                                  <a:pt x="0" y="86"/>
                                </a:lnTo>
                                <a:lnTo>
                                  <a:pt x="0" y="1373"/>
                                </a:lnTo>
                                <a:lnTo>
                                  <a:pt x="8316" y="1373"/>
                                </a:lnTo>
                                <a:lnTo>
                                  <a:pt x="8316" y="256"/>
                                </a:lnTo>
                                <a:lnTo>
                                  <a:pt x="6654" y="256"/>
                                </a:lnTo>
                                <a:lnTo>
                                  <a:pt x="4989" y="213"/>
                                </a:lnTo>
                                <a:lnTo>
                                  <a:pt x="3327" y="86"/>
                                </a:lnTo>
                                <a:lnTo>
                                  <a:pt x="1662" y="0"/>
                                </a:lnTo>
                              </a:path>
                            </a:pathLst>
                          </a:custGeom>
                          <a:solidFill>
                            <a:srgbClr val="336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67" name="Group 116"/>
                        <wpg:cNvGrpSpPr>
                          <a:grpSpLocks/>
                        </wpg:cNvGrpSpPr>
                        <wpg:grpSpPr bwMode="auto">
                          <a:xfrm>
                            <a:off x="2271" y="3879"/>
                            <a:ext cx="8317" cy="771"/>
                            <a:chOff x="2271" y="3879"/>
                            <a:chExt cx="8317" cy="771"/>
                          </a:xfrm>
                        </wpg:grpSpPr>
                        <wps:wsp>
                          <wps:cNvPr id="268" name="Freeform 117"/>
                          <wps:cNvSpPr>
                            <a:spLocks/>
                          </wps:cNvSpPr>
                          <wps:spPr bwMode="auto">
                            <a:xfrm>
                              <a:off x="2271" y="3879"/>
                              <a:ext cx="8317" cy="771"/>
                            </a:xfrm>
                            <a:custGeom>
                              <a:avLst/>
                              <a:gdLst>
                                <a:gd name="T0" fmla="*/ 8316 w 8317"/>
                                <a:gd name="T1" fmla="*/ 514 h 771"/>
                                <a:gd name="T2" fmla="*/ 1662 w 8317"/>
                                <a:gd name="T3" fmla="*/ 514 h 771"/>
                                <a:gd name="T4" fmla="*/ 3327 w 8317"/>
                                <a:gd name="T5" fmla="*/ 600 h 771"/>
                                <a:gd name="T6" fmla="*/ 4989 w 8317"/>
                                <a:gd name="T7" fmla="*/ 727 h 771"/>
                                <a:gd name="T8" fmla="*/ 6654 w 8317"/>
                                <a:gd name="T9" fmla="*/ 770 h 771"/>
                                <a:gd name="T10" fmla="*/ 8316 w 8317"/>
                                <a:gd name="T11" fmla="*/ 770 h 771"/>
                                <a:gd name="T12" fmla="*/ 8316 w 8317"/>
                                <a:gd name="T13" fmla="*/ 514 h 771"/>
                              </a:gdLst>
                              <a:ahLst/>
                              <a:cxnLst>
                                <a:cxn ang="0">
                                  <a:pos x="T0" y="T1"/>
                                </a:cxn>
                                <a:cxn ang="0">
                                  <a:pos x="T2" y="T3"/>
                                </a:cxn>
                                <a:cxn ang="0">
                                  <a:pos x="T4" y="T5"/>
                                </a:cxn>
                                <a:cxn ang="0">
                                  <a:pos x="T6" y="T7"/>
                                </a:cxn>
                                <a:cxn ang="0">
                                  <a:pos x="T8" y="T9"/>
                                </a:cxn>
                                <a:cxn ang="0">
                                  <a:pos x="T10" y="T11"/>
                                </a:cxn>
                                <a:cxn ang="0">
                                  <a:pos x="T12" y="T13"/>
                                </a:cxn>
                              </a:cxnLst>
                              <a:rect l="0" t="0" r="r" b="b"/>
                              <a:pathLst>
                                <a:path w="8317" h="771">
                                  <a:moveTo>
                                    <a:pt x="8316" y="514"/>
                                  </a:moveTo>
                                  <a:lnTo>
                                    <a:pt x="1662" y="514"/>
                                  </a:lnTo>
                                  <a:lnTo>
                                    <a:pt x="3327" y="600"/>
                                  </a:lnTo>
                                  <a:lnTo>
                                    <a:pt x="4989" y="727"/>
                                  </a:lnTo>
                                  <a:lnTo>
                                    <a:pt x="6654" y="770"/>
                                  </a:lnTo>
                                  <a:lnTo>
                                    <a:pt x="8316" y="770"/>
                                  </a:lnTo>
                                  <a:lnTo>
                                    <a:pt x="8316" y="514"/>
                                  </a:lnTo>
                                </a:path>
                              </a:pathLst>
                            </a:custGeom>
                            <a:solidFill>
                              <a:srgbClr val="993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118"/>
                          <wps:cNvSpPr>
                            <a:spLocks/>
                          </wps:cNvSpPr>
                          <wps:spPr bwMode="auto">
                            <a:xfrm>
                              <a:off x="2271" y="3879"/>
                              <a:ext cx="8317" cy="771"/>
                            </a:xfrm>
                            <a:custGeom>
                              <a:avLst/>
                              <a:gdLst>
                                <a:gd name="T0" fmla="*/ 1662 w 8317"/>
                                <a:gd name="T1" fmla="*/ 0 h 771"/>
                                <a:gd name="T2" fmla="*/ 0 w 8317"/>
                                <a:gd name="T3" fmla="*/ 43 h 771"/>
                                <a:gd name="T4" fmla="*/ 0 w 8317"/>
                                <a:gd name="T5" fmla="*/ 600 h 771"/>
                                <a:gd name="T6" fmla="*/ 1662 w 8317"/>
                                <a:gd name="T7" fmla="*/ 514 h 771"/>
                                <a:gd name="T8" fmla="*/ 8316 w 8317"/>
                                <a:gd name="T9" fmla="*/ 514 h 771"/>
                                <a:gd name="T10" fmla="*/ 8316 w 8317"/>
                                <a:gd name="T11" fmla="*/ 343 h 771"/>
                                <a:gd name="T12" fmla="*/ 6654 w 8317"/>
                                <a:gd name="T13" fmla="*/ 300 h 771"/>
                                <a:gd name="T14" fmla="*/ 4989 w 8317"/>
                                <a:gd name="T15" fmla="*/ 214 h 771"/>
                                <a:gd name="T16" fmla="*/ 3327 w 8317"/>
                                <a:gd name="T17" fmla="*/ 84 h 771"/>
                                <a:gd name="T18" fmla="*/ 1662 w 8317"/>
                                <a:gd name="T19" fmla="*/ 0 h 7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7" h="771">
                                  <a:moveTo>
                                    <a:pt x="1662" y="0"/>
                                  </a:moveTo>
                                  <a:lnTo>
                                    <a:pt x="0" y="43"/>
                                  </a:lnTo>
                                  <a:lnTo>
                                    <a:pt x="0" y="600"/>
                                  </a:lnTo>
                                  <a:lnTo>
                                    <a:pt x="1662" y="514"/>
                                  </a:lnTo>
                                  <a:lnTo>
                                    <a:pt x="8316" y="514"/>
                                  </a:lnTo>
                                  <a:lnTo>
                                    <a:pt x="8316" y="343"/>
                                  </a:lnTo>
                                  <a:lnTo>
                                    <a:pt x="6654" y="300"/>
                                  </a:lnTo>
                                  <a:lnTo>
                                    <a:pt x="4989" y="214"/>
                                  </a:lnTo>
                                  <a:lnTo>
                                    <a:pt x="3327" y="84"/>
                                  </a:lnTo>
                                  <a:lnTo>
                                    <a:pt x="1662" y="0"/>
                                  </a:lnTo>
                                </a:path>
                              </a:pathLst>
                            </a:custGeom>
                            <a:solidFill>
                              <a:srgbClr val="993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0" name="Group 119"/>
                        <wpg:cNvGrpSpPr>
                          <a:grpSpLocks/>
                        </wpg:cNvGrpSpPr>
                        <wpg:grpSpPr bwMode="auto">
                          <a:xfrm>
                            <a:off x="2271" y="3579"/>
                            <a:ext cx="8317" cy="643"/>
                            <a:chOff x="2271" y="3579"/>
                            <a:chExt cx="8317" cy="643"/>
                          </a:xfrm>
                        </wpg:grpSpPr>
                        <wps:wsp>
                          <wps:cNvPr id="271" name="Freeform 120"/>
                          <wps:cNvSpPr>
                            <a:spLocks/>
                          </wps:cNvSpPr>
                          <wps:spPr bwMode="auto">
                            <a:xfrm>
                              <a:off x="2271" y="3579"/>
                              <a:ext cx="8317" cy="643"/>
                            </a:xfrm>
                            <a:custGeom>
                              <a:avLst/>
                              <a:gdLst>
                                <a:gd name="T0" fmla="*/ 6654 w 8317"/>
                                <a:gd name="T1" fmla="*/ 300 h 643"/>
                                <a:gd name="T2" fmla="*/ 1662 w 8317"/>
                                <a:gd name="T3" fmla="*/ 300 h 643"/>
                                <a:gd name="T4" fmla="*/ 3327 w 8317"/>
                                <a:gd name="T5" fmla="*/ 384 h 643"/>
                                <a:gd name="T6" fmla="*/ 4989 w 8317"/>
                                <a:gd name="T7" fmla="*/ 514 h 643"/>
                                <a:gd name="T8" fmla="*/ 6654 w 8317"/>
                                <a:gd name="T9" fmla="*/ 600 h 643"/>
                                <a:gd name="T10" fmla="*/ 8316 w 8317"/>
                                <a:gd name="T11" fmla="*/ 643 h 643"/>
                                <a:gd name="T12" fmla="*/ 8316 w 8317"/>
                                <a:gd name="T13" fmla="*/ 384 h 643"/>
                                <a:gd name="T14" fmla="*/ 6654 w 8317"/>
                                <a:gd name="T15" fmla="*/ 300 h 64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17" h="643">
                                  <a:moveTo>
                                    <a:pt x="6654" y="300"/>
                                  </a:moveTo>
                                  <a:lnTo>
                                    <a:pt x="1662" y="300"/>
                                  </a:lnTo>
                                  <a:lnTo>
                                    <a:pt x="3327" y="384"/>
                                  </a:lnTo>
                                  <a:lnTo>
                                    <a:pt x="4989" y="514"/>
                                  </a:lnTo>
                                  <a:lnTo>
                                    <a:pt x="6654" y="600"/>
                                  </a:lnTo>
                                  <a:lnTo>
                                    <a:pt x="8316" y="643"/>
                                  </a:lnTo>
                                  <a:lnTo>
                                    <a:pt x="8316" y="384"/>
                                  </a:lnTo>
                                  <a:lnTo>
                                    <a:pt x="6654" y="300"/>
                                  </a:lnTo>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121"/>
                          <wps:cNvSpPr>
                            <a:spLocks/>
                          </wps:cNvSpPr>
                          <wps:spPr bwMode="auto">
                            <a:xfrm>
                              <a:off x="2271" y="3579"/>
                              <a:ext cx="8317" cy="643"/>
                            </a:xfrm>
                            <a:custGeom>
                              <a:avLst/>
                              <a:gdLst>
                                <a:gd name="T0" fmla="*/ 1662 w 8317"/>
                                <a:gd name="T1" fmla="*/ 0 h 643"/>
                                <a:gd name="T2" fmla="*/ 0 w 8317"/>
                                <a:gd name="T3" fmla="*/ 0 h 643"/>
                                <a:gd name="T4" fmla="*/ 0 w 8317"/>
                                <a:gd name="T5" fmla="*/ 343 h 643"/>
                                <a:gd name="T6" fmla="*/ 1662 w 8317"/>
                                <a:gd name="T7" fmla="*/ 300 h 643"/>
                                <a:gd name="T8" fmla="*/ 6654 w 8317"/>
                                <a:gd name="T9" fmla="*/ 300 h 643"/>
                                <a:gd name="T10" fmla="*/ 4989 w 8317"/>
                                <a:gd name="T11" fmla="*/ 213 h 643"/>
                                <a:gd name="T12" fmla="*/ 3327 w 8317"/>
                                <a:gd name="T13" fmla="*/ 84 h 643"/>
                                <a:gd name="T14" fmla="*/ 1662 w 8317"/>
                                <a:gd name="T15" fmla="*/ 0 h 64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317" h="643">
                                  <a:moveTo>
                                    <a:pt x="1662" y="0"/>
                                  </a:moveTo>
                                  <a:lnTo>
                                    <a:pt x="0" y="0"/>
                                  </a:lnTo>
                                  <a:lnTo>
                                    <a:pt x="0" y="343"/>
                                  </a:lnTo>
                                  <a:lnTo>
                                    <a:pt x="1662" y="300"/>
                                  </a:lnTo>
                                  <a:lnTo>
                                    <a:pt x="6654" y="300"/>
                                  </a:lnTo>
                                  <a:lnTo>
                                    <a:pt x="4989" y="213"/>
                                  </a:lnTo>
                                  <a:lnTo>
                                    <a:pt x="3327" y="84"/>
                                  </a:lnTo>
                                  <a:lnTo>
                                    <a:pt x="1662" y="0"/>
                                  </a:lnTo>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73" name="Freeform 122"/>
                        <wps:cNvSpPr>
                          <a:spLocks/>
                        </wps:cNvSpPr>
                        <wps:spPr bwMode="auto">
                          <a:xfrm>
                            <a:off x="2271" y="3449"/>
                            <a:ext cx="8317" cy="514"/>
                          </a:xfrm>
                          <a:custGeom>
                            <a:avLst/>
                            <a:gdLst>
                              <a:gd name="T0" fmla="*/ 1662 w 8317"/>
                              <a:gd name="T1" fmla="*/ 0 h 514"/>
                              <a:gd name="T2" fmla="*/ 0 w 8317"/>
                              <a:gd name="T3" fmla="*/ 0 h 514"/>
                              <a:gd name="T4" fmla="*/ 0 w 8317"/>
                              <a:gd name="T5" fmla="*/ 129 h 514"/>
                              <a:gd name="T6" fmla="*/ 1662 w 8317"/>
                              <a:gd name="T7" fmla="*/ 129 h 514"/>
                              <a:gd name="T8" fmla="*/ 3327 w 8317"/>
                              <a:gd name="T9" fmla="*/ 213 h 514"/>
                              <a:gd name="T10" fmla="*/ 4989 w 8317"/>
                              <a:gd name="T11" fmla="*/ 343 h 514"/>
                              <a:gd name="T12" fmla="*/ 8316 w 8317"/>
                              <a:gd name="T13" fmla="*/ 513 h 514"/>
                              <a:gd name="T14" fmla="*/ 8316 w 8317"/>
                              <a:gd name="T15" fmla="*/ 343 h 514"/>
                              <a:gd name="T16" fmla="*/ 6654 w 8317"/>
                              <a:gd name="T17" fmla="*/ 300 h 514"/>
                              <a:gd name="T18" fmla="*/ 4989 w 8317"/>
                              <a:gd name="T19" fmla="*/ 213 h 514"/>
                              <a:gd name="T20" fmla="*/ 3327 w 8317"/>
                              <a:gd name="T21" fmla="*/ 86 h 514"/>
                              <a:gd name="T22" fmla="*/ 1662 w 8317"/>
                              <a:gd name="T23" fmla="*/ 0 h 5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317" h="514">
                                <a:moveTo>
                                  <a:pt x="1662" y="0"/>
                                </a:moveTo>
                                <a:lnTo>
                                  <a:pt x="0" y="0"/>
                                </a:lnTo>
                                <a:lnTo>
                                  <a:pt x="0" y="129"/>
                                </a:lnTo>
                                <a:lnTo>
                                  <a:pt x="1662" y="129"/>
                                </a:lnTo>
                                <a:lnTo>
                                  <a:pt x="3327" y="213"/>
                                </a:lnTo>
                                <a:lnTo>
                                  <a:pt x="4989" y="343"/>
                                </a:lnTo>
                                <a:lnTo>
                                  <a:pt x="8316" y="513"/>
                                </a:lnTo>
                                <a:lnTo>
                                  <a:pt x="8316" y="343"/>
                                </a:lnTo>
                                <a:lnTo>
                                  <a:pt x="6654" y="300"/>
                                </a:lnTo>
                                <a:lnTo>
                                  <a:pt x="4989" y="213"/>
                                </a:lnTo>
                                <a:lnTo>
                                  <a:pt x="3327" y="86"/>
                                </a:lnTo>
                                <a:lnTo>
                                  <a:pt x="1662" y="0"/>
                                </a:lnTo>
                              </a:path>
                            </a:pathLst>
                          </a:custGeom>
                          <a:solidFill>
                            <a:srgbClr val="CC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123"/>
                        <wps:cNvSpPr>
                          <a:spLocks/>
                        </wps:cNvSpPr>
                        <wps:spPr bwMode="auto">
                          <a:xfrm>
                            <a:off x="2271" y="3276"/>
                            <a:ext cx="8317" cy="516"/>
                          </a:xfrm>
                          <a:custGeom>
                            <a:avLst/>
                            <a:gdLst>
                              <a:gd name="T0" fmla="*/ 1662 w 8317"/>
                              <a:gd name="T1" fmla="*/ 0 h 516"/>
                              <a:gd name="T2" fmla="*/ 0 w 8317"/>
                              <a:gd name="T3" fmla="*/ 0 h 516"/>
                              <a:gd name="T4" fmla="*/ 0 w 8317"/>
                              <a:gd name="T5" fmla="*/ 172 h 516"/>
                              <a:gd name="T6" fmla="*/ 1662 w 8317"/>
                              <a:gd name="T7" fmla="*/ 172 h 516"/>
                              <a:gd name="T8" fmla="*/ 3327 w 8317"/>
                              <a:gd name="T9" fmla="*/ 259 h 516"/>
                              <a:gd name="T10" fmla="*/ 4989 w 8317"/>
                              <a:gd name="T11" fmla="*/ 386 h 516"/>
                              <a:gd name="T12" fmla="*/ 6654 w 8317"/>
                              <a:gd name="T13" fmla="*/ 472 h 516"/>
                              <a:gd name="T14" fmla="*/ 8316 w 8317"/>
                              <a:gd name="T15" fmla="*/ 516 h 516"/>
                              <a:gd name="T16" fmla="*/ 8316 w 8317"/>
                              <a:gd name="T17" fmla="*/ 386 h 516"/>
                              <a:gd name="T18" fmla="*/ 4989 w 8317"/>
                              <a:gd name="T19" fmla="*/ 216 h 516"/>
                              <a:gd name="T20" fmla="*/ 3327 w 8317"/>
                              <a:gd name="T21" fmla="*/ 86 h 516"/>
                              <a:gd name="T22" fmla="*/ 1662 w 8317"/>
                              <a:gd name="T23" fmla="*/ 0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317" h="516">
                                <a:moveTo>
                                  <a:pt x="1662" y="0"/>
                                </a:moveTo>
                                <a:lnTo>
                                  <a:pt x="0" y="0"/>
                                </a:lnTo>
                                <a:lnTo>
                                  <a:pt x="0" y="172"/>
                                </a:lnTo>
                                <a:lnTo>
                                  <a:pt x="1662" y="172"/>
                                </a:lnTo>
                                <a:lnTo>
                                  <a:pt x="3327" y="259"/>
                                </a:lnTo>
                                <a:lnTo>
                                  <a:pt x="4989" y="386"/>
                                </a:lnTo>
                                <a:lnTo>
                                  <a:pt x="6654" y="472"/>
                                </a:lnTo>
                                <a:lnTo>
                                  <a:pt x="8316" y="516"/>
                                </a:lnTo>
                                <a:lnTo>
                                  <a:pt x="8316" y="386"/>
                                </a:lnTo>
                                <a:lnTo>
                                  <a:pt x="4989" y="216"/>
                                </a:lnTo>
                                <a:lnTo>
                                  <a:pt x="3327" y="86"/>
                                </a:lnTo>
                                <a:lnTo>
                                  <a:pt x="1662" y="0"/>
                                </a:lnTo>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124"/>
                        <wps:cNvSpPr>
                          <a:spLocks/>
                        </wps:cNvSpPr>
                        <wps:spPr bwMode="auto">
                          <a:xfrm>
                            <a:off x="2271" y="4393"/>
                            <a:ext cx="8317" cy="1373"/>
                          </a:xfrm>
                          <a:custGeom>
                            <a:avLst/>
                            <a:gdLst>
                              <a:gd name="T0" fmla="*/ 0 w 8317"/>
                              <a:gd name="T1" fmla="*/ 1373 h 1373"/>
                              <a:gd name="T2" fmla="*/ 0 w 8317"/>
                              <a:gd name="T3" fmla="*/ 86 h 1373"/>
                              <a:gd name="T4" fmla="*/ 1662 w 8317"/>
                              <a:gd name="T5" fmla="*/ 0 h 1373"/>
                              <a:gd name="T6" fmla="*/ 3327 w 8317"/>
                              <a:gd name="T7" fmla="*/ 86 h 1373"/>
                              <a:gd name="T8" fmla="*/ 4989 w 8317"/>
                              <a:gd name="T9" fmla="*/ 213 h 1373"/>
                              <a:gd name="T10" fmla="*/ 6654 w 8317"/>
                              <a:gd name="T11" fmla="*/ 256 h 1373"/>
                              <a:gd name="T12" fmla="*/ 8316 w 8317"/>
                              <a:gd name="T13" fmla="*/ 256 h 1373"/>
                              <a:gd name="T14" fmla="*/ 8316 w 8317"/>
                              <a:gd name="T15" fmla="*/ 1373 h 1373"/>
                              <a:gd name="T16" fmla="*/ 6654 w 8317"/>
                              <a:gd name="T17" fmla="*/ 1373 h 1373"/>
                              <a:gd name="T18" fmla="*/ 4989 w 8317"/>
                              <a:gd name="T19" fmla="*/ 1373 h 1373"/>
                              <a:gd name="T20" fmla="*/ 3327 w 8317"/>
                              <a:gd name="T21" fmla="*/ 1373 h 1373"/>
                              <a:gd name="T22" fmla="*/ 1662 w 8317"/>
                              <a:gd name="T23" fmla="*/ 1373 h 1373"/>
                              <a:gd name="T24" fmla="*/ 0 w 8317"/>
                              <a:gd name="T25" fmla="*/ 1373 h 13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317" h="1373">
                                <a:moveTo>
                                  <a:pt x="0" y="1373"/>
                                </a:moveTo>
                                <a:lnTo>
                                  <a:pt x="0" y="86"/>
                                </a:lnTo>
                                <a:lnTo>
                                  <a:pt x="1662" y="0"/>
                                </a:lnTo>
                                <a:lnTo>
                                  <a:pt x="3327" y="86"/>
                                </a:lnTo>
                                <a:lnTo>
                                  <a:pt x="4989" y="213"/>
                                </a:lnTo>
                                <a:lnTo>
                                  <a:pt x="6654" y="256"/>
                                </a:lnTo>
                                <a:lnTo>
                                  <a:pt x="8316" y="256"/>
                                </a:lnTo>
                                <a:lnTo>
                                  <a:pt x="8316" y="1373"/>
                                </a:lnTo>
                                <a:lnTo>
                                  <a:pt x="6654" y="1373"/>
                                </a:lnTo>
                                <a:lnTo>
                                  <a:pt x="4989" y="1373"/>
                                </a:lnTo>
                                <a:lnTo>
                                  <a:pt x="3327" y="1373"/>
                                </a:lnTo>
                                <a:lnTo>
                                  <a:pt x="1662" y="1373"/>
                                </a:lnTo>
                                <a:lnTo>
                                  <a:pt x="0" y="1373"/>
                                </a:lnTo>
                              </a:path>
                            </a:pathLst>
                          </a:custGeom>
                          <a:noFill/>
                          <a:ln w="121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 name="Freeform 125"/>
                        <wps:cNvSpPr>
                          <a:spLocks/>
                        </wps:cNvSpPr>
                        <wps:spPr bwMode="auto">
                          <a:xfrm>
                            <a:off x="2271" y="3579"/>
                            <a:ext cx="8317" cy="643"/>
                          </a:xfrm>
                          <a:custGeom>
                            <a:avLst/>
                            <a:gdLst>
                              <a:gd name="T0" fmla="*/ 0 w 8317"/>
                              <a:gd name="T1" fmla="*/ 343 h 643"/>
                              <a:gd name="T2" fmla="*/ 0 w 8317"/>
                              <a:gd name="T3" fmla="*/ 0 h 643"/>
                              <a:gd name="T4" fmla="*/ 1662 w 8317"/>
                              <a:gd name="T5" fmla="*/ 0 h 643"/>
                              <a:gd name="T6" fmla="*/ 3327 w 8317"/>
                              <a:gd name="T7" fmla="*/ 84 h 643"/>
                              <a:gd name="T8" fmla="*/ 4989 w 8317"/>
                              <a:gd name="T9" fmla="*/ 213 h 643"/>
                              <a:gd name="T10" fmla="*/ 6654 w 8317"/>
                              <a:gd name="T11" fmla="*/ 300 h 643"/>
                              <a:gd name="T12" fmla="*/ 8316 w 8317"/>
                              <a:gd name="T13" fmla="*/ 384 h 643"/>
                              <a:gd name="T14" fmla="*/ 8316 w 8317"/>
                              <a:gd name="T15" fmla="*/ 643 h 643"/>
                              <a:gd name="T16" fmla="*/ 6654 w 8317"/>
                              <a:gd name="T17" fmla="*/ 600 h 643"/>
                              <a:gd name="T18" fmla="*/ 4989 w 8317"/>
                              <a:gd name="T19" fmla="*/ 514 h 643"/>
                              <a:gd name="T20" fmla="*/ 3327 w 8317"/>
                              <a:gd name="T21" fmla="*/ 384 h 643"/>
                              <a:gd name="T22" fmla="*/ 1662 w 8317"/>
                              <a:gd name="T23" fmla="*/ 300 h 643"/>
                              <a:gd name="T24" fmla="*/ 0 w 8317"/>
                              <a:gd name="T25" fmla="*/ 343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317" h="643">
                                <a:moveTo>
                                  <a:pt x="0" y="343"/>
                                </a:moveTo>
                                <a:lnTo>
                                  <a:pt x="0" y="0"/>
                                </a:lnTo>
                                <a:lnTo>
                                  <a:pt x="1662" y="0"/>
                                </a:lnTo>
                                <a:lnTo>
                                  <a:pt x="3327" y="84"/>
                                </a:lnTo>
                                <a:lnTo>
                                  <a:pt x="4989" y="213"/>
                                </a:lnTo>
                                <a:lnTo>
                                  <a:pt x="6654" y="300"/>
                                </a:lnTo>
                                <a:lnTo>
                                  <a:pt x="8316" y="384"/>
                                </a:lnTo>
                                <a:lnTo>
                                  <a:pt x="8316" y="643"/>
                                </a:lnTo>
                                <a:lnTo>
                                  <a:pt x="6654" y="600"/>
                                </a:lnTo>
                                <a:lnTo>
                                  <a:pt x="4989" y="514"/>
                                </a:lnTo>
                                <a:lnTo>
                                  <a:pt x="3327" y="384"/>
                                </a:lnTo>
                                <a:lnTo>
                                  <a:pt x="1662" y="300"/>
                                </a:lnTo>
                                <a:lnTo>
                                  <a:pt x="0" y="343"/>
                                </a:lnTo>
                              </a:path>
                            </a:pathLst>
                          </a:custGeom>
                          <a:noFill/>
                          <a:ln w="121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 name="Freeform 126"/>
                        <wps:cNvSpPr>
                          <a:spLocks/>
                        </wps:cNvSpPr>
                        <wps:spPr bwMode="auto">
                          <a:xfrm>
                            <a:off x="2271" y="3449"/>
                            <a:ext cx="8317" cy="514"/>
                          </a:xfrm>
                          <a:custGeom>
                            <a:avLst/>
                            <a:gdLst>
                              <a:gd name="T0" fmla="*/ 0 w 8317"/>
                              <a:gd name="T1" fmla="*/ 129 h 514"/>
                              <a:gd name="T2" fmla="*/ 0 w 8317"/>
                              <a:gd name="T3" fmla="*/ 0 h 514"/>
                              <a:gd name="T4" fmla="*/ 1662 w 8317"/>
                              <a:gd name="T5" fmla="*/ 0 h 514"/>
                              <a:gd name="T6" fmla="*/ 3327 w 8317"/>
                              <a:gd name="T7" fmla="*/ 86 h 514"/>
                              <a:gd name="T8" fmla="*/ 4989 w 8317"/>
                              <a:gd name="T9" fmla="*/ 213 h 514"/>
                              <a:gd name="T10" fmla="*/ 6654 w 8317"/>
                              <a:gd name="T11" fmla="*/ 300 h 514"/>
                              <a:gd name="T12" fmla="*/ 8316 w 8317"/>
                              <a:gd name="T13" fmla="*/ 343 h 514"/>
                              <a:gd name="T14" fmla="*/ 8316 w 8317"/>
                              <a:gd name="T15" fmla="*/ 513 h 514"/>
                              <a:gd name="T16" fmla="*/ 6654 w 8317"/>
                              <a:gd name="T17" fmla="*/ 429 h 514"/>
                              <a:gd name="T18" fmla="*/ 4989 w 8317"/>
                              <a:gd name="T19" fmla="*/ 343 h 514"/>
                              <a:gd name="T20" fmla="*/ 3327 w 8317"/>
                              <a:gd name="T21" fmla="*/ 213 h 514"/>
                              <a:gd name="T22" fmla="*/ 1662 w 8317"/>
                              <a:gd name="T23" fmla="*/ 129 h 514"/>
                              <a:gd name="T24" fmla="*/ 0 w 8317"/>
                              <a:gd name="T25" fmla="*/ 129 h 5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317" h="514">
                                <a:moveTo>
                                  <a:pt x="0" y="129"/>
                                </a:moveTo>
                                <a:lnTo>
                                  <a:pt x="0" y="0"/>
                                </a:lnTo>
                                <a:lnTo>
                                  <a:pt x="1662" y="0"/>
                                </a:lnTo>
                                <a:lnTo>
                                  <a:pt x="3327" y="86"/>
                                </a:lnTo>
                                <a:lnTo>
                                  <a:pt x="4989" y="213"/>
                                </a:lnTo>
                                <a:lnTo>
                                  <a:pt x="6654" y="300"/>
                                </a:lnTo>
                                <a:lnTo>
                                  <a:pt x="8316" y="343"/>
                                </a:lnTo>
                                <a:lnTo>
                                  <a:pt x="8316" y="513"/>
                                </a:lnTo>
                                <a:lnTo>
                                  <a:pt x="6654" y="429"/>
                                </a:lnTo>
                                <a:lnTo>
                                  <a:pt x="4989" y="343"/>
                                </a:lnTo>
                                <a:lnTo>
                                  <a:pt x="3327" y="213"/>
                                </a:lnTo>
                                <a:lnTo>
                                  <a:pt x="1662" y="129"/>
                                </a:lnTo>
                                <a:lnTo>
                                  <a:pt x="0" y="129"/>
                                </a:lnTo>
                              </a:path>
                            </a:pathLst>
                          </a:custGeom>
                          <a:noFill/>
                          <a:ln w="121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8" name="Freeform 127"/>
                        <wps:cNvSpPr>
                          <a:spLocks/>
                        </wps:cNvSpPr>
                        <wps:spPr bwMode="auto">
                          <a:xfrm>
                            <a:off x="2271" y="3276"/>
                            <a:ext cx="8317" cy="516"/>
                          </a:xfrm>
                          <a:custGeom>
                            <a:avLst/>
                            <a:gdLst>
                              <a:gd name="T0" fmla="*/ 0 w 8317"/>
                              <a:gd name="T1" fmla="*/ 172 h 516"/>
                              <a:gd name="T2" fmla="*/ 0 w 8317"/>
                              <a:gd name="T3" fmla="*/ 0 h 516"/>
                              <a:gd name="T4" fmla="*/ 1662 w 8317"/>
                              <a:gd name="T5" fmla="*/ 0 h 516"/>
                              <a:gd name="T6" fmla="*/ 3327 w 8317"/>
                              <a:gd name="T7" fmla="*/ 86 h 516"/>
                              <a:gd name="T8" fmla="*/ 4989 w 8317"/>
                              <a:gd name="T9" fmla="*/ 216 h 516"/>
                              <a:gd name="T10" fmla="*/ 6654 w 8317"/>
                              <a:gd name="T11" fmla="*/ 302 h 516"/>
                              <a:gd name="T12" fmla="*/ 8316 w 8317"/>
                              <a:gd name="T13" fmla="*/ 386 h 516"/>
                              <a:gd name="T14" fmla="*/ 8316 w 8317"/>
                              <a:gd name="T15" fmla="*/ 516 h 516"/>
                              <a:gd name="T16" fmla="*/ 6654 w 8317"/>
                              <a:gd name="T17" fmla="*/ 472 h 516"/>
                              <a:gd name="T18" fmla="*/ 4989 w 8317"/>
                              <a:gd name="T19" fmla="*/ 386 h 516"/>
                              <a:gd name="T20" fmla="*/ 3327 w 8317"/>
                              <a:gd name="T21" fmla="*/ 259 h 516"/>
                              <a:gd name="T22" fmla="*/ 1662 w 8317"/>
                              <a:gd name="T23" fmla="*/ 172 h 516"/>
                              <a:gd name="T24" fmla="*/ 0 w 8317"/>
                              <a:gd name="T25" fmla="*/ 172 h 5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317" h="516">
                                <a:moveTo>
                                  <a:pt x="0" y="172"/>
                                </a:moveTo>
                                <a:lnTo>
                                  <a:pt x="0" y="0"/>
                                </a:lnTo>
                                <a:lnTo>
                                  <a:pt x="1662" y="0"/>
                                </a:lnTo>
                                <a:lnTo>
                                  <a:pt x="3327" y="86"/>
                                </a:lnTo>
                                <a:lnTo>
                                  <a:pt x="4989" y="216"/>
                                </a:lnTo>
                                <a:lnTo>
                                  <a:pt x="6654" y="302"/>
                                </a:lnTo>
                                <a:lnTo>
                                  <a:pt x="8316" y="386"/>
                                </a:lnTo>
                                <a:lnTo>
                                  <a:pt x="8316" y="516"/>
                                </a:lnTo>
                                <a:lnTo>
                                  <a:pt x="6654" y="472"/>
                                </a:lnTo>
                                <a:lnTo>
                                  <a:pt x="4989" y="386"/>
                                </a:lnTo>
                                <a:lnTo>
                                  <a:pt x="3327" y="259"/>
                                </a:lnTo>
                                <a:lnTo>
                                  <a:pt x="1662" y="172"/>
                                </a:lnTo>
                                <a:lnTo>
                                  <a:pt x="0" y="172"/>
                                </a:lnTo>
                              </a:path>
                            </a:pathLst>
                          </a:custGeom>
                          <a:noFill/>
                          <a:ln w="121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9" name="Freeform 128"/>
                        <wps:cNvSpPr>
                          <a:spLocks/>
                        </wps:cNvSpPr>
                        <wps:spPr bwMode="auto">
                          <a:xfrm>
                            <a:off x="2271" y="2762"/>
                            <a:ext cx="20" cy="3057"/>
                          </a:xfrm>
                          <a:custGeom>
                            <a:avLst/>
                            <a:gdLst>
                              <a:gd name="T0" fmla="*/ 0 w 20"/>
                              <a:gd name="T1" fmla="*/ 0 h 3057"/>
                              <a:gd name="T2" fmla="*/ 0 w 20"/>
                              <a:gd name="T3" fmla="*/ 3057 h 3057"/>
                            </a:gdLst>
                            <a:ahLst/>
                            <a:cxnLst>
                              <a:cxn ang="0">
                                <a:pos x="T0" y="T1"/>
                              </a:cxn>
                              <a:cxn ang="0">
                                <a:pos x="T2" y="T3"/>
                              </a:cxn>
                            </a:cxnLst>
                            <a:rect l="0" t="0" r="r" b="b"/>
                            <a:pathLst>
                              <a:path w="20" h="3057">
                                <a:moveTo>
                                  <a:pt x="0" y="0"/>
                                </a:moveTo>
                                <a:lnTo>
                                  <a:pt x="0" y="3057"/>
                                </a:lnTo>
                              </a:path>
                            </a:pathLst>
                          </a:custGeom>
                          <a:noFill/>
                          <a:ln w="12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Freeform 129"/>
                        <wps:cNvSpPr>
                          <a:spLocks/>
                        </wps:cNvSpPr>
                        <wps:spPr bwMode="auto">
                          <a:xfrm>
                            <a:off x="2218" y="5766"/>
                            <a:ext cx="8370" cy="20"/>
                          </a:xfrm>
                          <a:custGeom>
                            <a:avLst/>
                            <a:gdLst>
                              <a:gd name="T0" fmla="*/ 0 w 8370"/>
                              <a:gd name="T1" fmla="*/ 0 h 20"/>
                              <a:gd name="T2" fmla="*/ 8369 w 8370"/>
                              <a:gd name="T3" fmla="*/ 0 h 20"/>
                            </a:gdLst>
                            <a:ahLst/>
                            <a:cxnLst>
                              <a:cxn ang="0">
                                <a:pos x="T0" y="T1"/>
                              </a:cxn>
                              <a:cxn ang="0">
                                <a:pos x="T2" y="T3"/>
                              </a:cxn>
                            </a:cxnLst>
                            <a:rect l="0" t="0" r="r" b="b"/>
                            <a:pathLst>
                              <a:path w="8370" h="20">
                                <a:moveTo>
                                  <a:pt x="0" y="0"/>
                                </a:moveTo>
                                <a:lnTo>
                                  <a:pt x="8369" y="0"/>
                                </a:lnTo>
                              </a:path>
                            </a:pathLst>
                          </a:custGeom>
                          <a:noFill/>
                          <a:ln w="121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Freeform 130"/>
                        <wps:cNvSpPr>
                          <a:spLocks/>
                        </wps:cNvSpPr>
                        <wps:spPr bwMode="auto">
                          <a:xfrm>
                            <a:off x="3933" y="5766"/>
                            <a:ext cx="20" cy="53"/>
                          </a:xfrm>
                          <a:custGeom>
                            <a:avLst/>
                            <a:gdLst>
                              <a:gd name="T0" fmla="*/ 0 w 20"/>
                              <a:gd name="T1" fmla="*/ 52 h 53"/>
                              <a:gd name="T2" fmla="*/ 0 w 20"/>
                              <a:gd name="T3" fmla="*/ 0 h 53"/>
                            </a:gdLst>
                            <a:ahLst/>
                            <a:cxnLst>
                              <a:cxn ang="0">
                                <a:pos x="T0" y="T1"/>
                              </a:cxn>
                              <a:cxn ang="0">
                                <a:pos x="T2" y="T3"/>
                              </a:cxn>
                            </a:cxnLst>
                            <a:rect l="0" t="0" r="r" b="b"/>
                            <a:pathLst>
                              <a:path w="20" h="53">
                                <a:moveTo>
                                  <a:pt x="0" y="52"/>
                                </a:moveTo>
                                <a:lnTo>
                                  <a:pt x="0" y="0"/>
                                </a:lnTo>
                              </a:path>
                            </a:pathLst>
                          </a:custGeom>
                          <a:noFill/>
                          <a:ln w="12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Freeform 131"/>
                        <wps:cNvSpPr>
                          <a:spLocks/>
                        </wps:cNvSpPr>
                        <wps:spPr bwMode="auto">
                          <a:xfrm>
                            <a:off x="5598" y="5766"/>
                            <a:ext cx="20" cy="53"/>
                          </a:xfrm>
                          <a:custGeom>
                            <a:avLst/>
                            <a:gdLst>
                              <a:gd name="T0" fmla="*/ 0 w 20"/>
                              <a:gd name="T1" fmla="*/ 52 h 53"/>
                              <a:gd name="T2" fmla="*/ 0 w 20"/>
                              <a:gd name="T3" fmla="*/ 0 h 53"/>
                            </a:gdLst>
                            <a:ahLst/>
                            <a:cxnLst>
                              <a:cxn ang="0">
                                <a:pos x="T0" y="T1"/>
                              </a:cxn>
                              <a:cxn ang="0">
                                <a:pos x="T2" y="T3"/>
                              </a:cxn>
                            </a:cxnLst>
                            <a:rect l="0" t="0" r="r" b="b"/>
                            <a:pathLst>
                              <a:path w="20" h="53">
                                <a:moveTo>
                                  <a:pt x="0" y="52"/>
                                </a:moveTo>
                                <a:lnTo>
                                  <a:pt x="0" y="0"/>
                                </a:lnTo>
                              </a:path>
                            </a:pathLst>
                          </a:custGeom>
                          <a:noFill/>
                          <a:ln w="12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Freeform 132"/>
                        <wps:cNvSpPr>
                          <a:spLocks/>
                        </wps:cNvSpPr>
                        <wps:spPr bwMode="auto">
                          <a:xfrm>
                            <a:off x="7260" y="5766"/>
                            <a:ext cx="20" cy="53"/>
                          </a:xfrm>
                          <a:custGeom>
                            <a:avLst/>
                            <a:gdLst>
                              <a:gd name="T0" fmla="*/ 0 w 20"/>
                              <a:gd name="T1" fmla="*/ 52 h 53"/>
                              <a:gd name="T2" fmla="*/ 0 w 20"/>
                              <a:gd name="T3" fmla="*/ 0 h 53"/>
                            </a:gdLst>
                            <a:ahLst/>
                            <a:cxnLst>
                              <a:cxn ang="0">
                                <a:pos x="T0" y="T1"/>
                              </a:cxn>
                              <a:cxn ang="0">
                                <a:pos x="T2" y="T3"/>
                              </a:cxn>
                            </a:cxnLst>
                            <a:rect l="0" t="0" r="r" b="b"/>
                            <a:pathLst>
                              <a:path w="20" h="53">
                                <a:moveTo>
                                  <a:pt x="0" y="52"/>
                                </a:moveTo>
                                <a:lnTo>
                                  <a:pt x="0" y="0"/>
                                </a:lnTo>
                              </a:path>
                            </a:pathLst>
                          </a:custGeom>
                          <a:noFill/>
                          <a:ln w="12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4" name="Freeform 133"/>
                        <wps:cNvSpPr>
                          <a:spLocks/>
                        </wps:cNvSpPr>
                        <wps:spPr bwMode="auto">
                          <a:xfrm>
                            <a:off x="8925" y="5766"/>
                            <a:ext cx="20" cy="53"/>
                          </a:xfrm>
                          <a:custGeom>
                            <a:avLst/>
                            <a:gdLst>
                              <a:gd name="T0" fmla="*/ 0 w 20"/>
                              <a:gd name="T1" fmla="*/ 52 h 53"/>
                              <a:gd name="T2" fmla="*/ 0 w 20"/>
                              <a:gd name="T3" fmla="*/ 0 h 53"/>
                            </a:gdLst>
                            <a:ahLst/>
                            <a:cxnLst>
                              <a:cxn ang="0">
                                <a:pos x="T0" y="T1"/>
                              </a:cxn>
                              <a:cxn ang="0">
                                <a:pos x="T2" y="T3"/>
                              </a:cxn>
                            </a:cxnLst>
                            <a:rect l="0" t="0" r="r" b="b"/>
                            <a:pathLst>
                              <a:path w="20" h="53">
                                <a:moveTo>
                                  <a:pt x="0" y="52"/>
                                </a:moveTo>
                                <a:lnTo>
                                  <a:pt x="0" y="0"/>
                                </a:lnTo>
                              </a:path>
                            </a:pathLst>
                          </a:custGeom>
                          <a:noFill/>
                          <a:ln w="12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Freeform 134"/>
                        <wps:cNvSpPr>
                          <a:spLocks/>
                        </wps:cNvSpPr>
                        <wps:spPr bwMode="auto">
                          <a:xfrm>
                            <a:off x="10588" y="5766"/>
                            <a:ext cx="20" cy="53"/>
                          </a:xfrm>
                          <a:custGeom>
                            <a:avLst/>
                            <a:gdLst>
                              <a:gd name="T0" fmla="*/ 0 w 20"/>
                              <a:gd name="T1" fmla="*/ 52 h 53"/>
                              <a:gd name="T2" fmla="*/ 0 w 20"/>
                              <a:gd name="T3" fmla="*/ 0 h 53"/>
                            </a:gdLst>
                            <a:ahLst/>
                            <a:cxnLst>
                              <a:cxn ang="0">
                                <a:pos x="T0" y="T1"/>
                              </a:cxn>
                              <a:cxn ang="0">
                                <a:pos x="T2" y="T3"/>
                              </a:cxn>
                            </a:cxnLst>
                            <a:rect l="0" t="0" r="r" b="b"/>
                            <a:pathLst>
                              <a:path w="20" h="53">
                                <a:moveTo>
                                  <a:pt x="0" y="52"/>
                                </a:moveTo>
                                <a:lnTo>
                                  <a:pt x="0" y="0"/>
                                </a:lnTo>
                              </a:path>
                            </a:pathLst>
                          </a:custGeom>
                          <a:noFill/>
                          <a:ln w="122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Rectangle 135"/>
                        <wps:cNvSpPr>
                          <a:spLocks/>
                        </wps:cNvSpPr>
                        <wps:spPr bwMode="auto">
                          <a:xfrm>
                            <a:off x="4005" y="6293"/>
                            <a:ext cx="4934" cy="350"/>
                          </a:xfrm>
                          <a:prstGeom prst="rect">
                            <a:avLst/>
                          </a:prstGeom>
                          <a:noFill/>
                          <a:ln w="1219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Rectangle 136"/>
                        <wps:cNvSpPr>
                          <a:spLocks/>
                        </wps:cNvSpPr>
                        <wps:spPr bwMode="auto">
                          <a:xfrm>
                            <a:off x="4075" y="6389"/>
                            <a:ext cx="125" cy="124"/>
                          </a:xfrm>
                          <a:prstGeom prst="rect">
                            <a:avLst/>
                          </a:prstGeom>
                          <a:solidFill>
                            <a:srgbClr val="3366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137"/>
                        <wps:cNvSpPr>
                          <a:spLocks/>
                        </wps:cNvSpPr>
                        <wps:spPr bwMode="auto">
                          <a:xfrm>
                            <a:off x="4075" y="6389"/>
                            <a:ext cx="125" cy="124"/>
                          </a:xfrm>
                          <a:prstGeom prst="rect">
                            <a:avLst/>
                          </a:prstGeom>
                          <a:noFill/>
                          <a:ln w="1220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Rectangle 138"/>
                        <wps:cNvSpPr>
                          <a:spLocks/>
                        </wps:cNvSpPr>
                        <wps:spPr bwMode="auto">
                          <a:xfrm>
                            <a:off x="4961" y="6396"/>
                            <a:ext cx="127" cy="127"/>
                          </a:xfrm>
                          <a:prstGeom prst="rect">
                            <a:avLst/>
                          </a:prstGeom>
                          <a:solidFill>
                            <a:srgbClr val="9933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139"/>
                        <wps:cNvSpPr>
                          <a:spLocks/>
                        </wps:cNvSpPr>
                        <wps:spPr bwMode="auto">
                          <a:xfrm>
                            <a:off x="5855" y="6389"/>
                            <a:ext cx="125" cy="12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140"/>
                        <wps:cNvSpPr>
                          <a:spLocks/>
                        </wps:cNvSpPr>
                        <wps:spPr bwMode="auto">
                          <a:xfrm>
                            <a:off x="5855" y="6389"/>
                            <a:ext cx="125" cy="124"/>
                          </a:xfrm>
                          <a:prstGeom prst="rect">
                            <a:avLst/>
                          </a:prstGeom>
                          <a:noFill/>
                          <a:ln w="1220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Rectangle 141"/>
                        <wps:cNvSpPr>
                          <a:spLocks/>
                        </wps:cNvSpPr>
                        <wps:spPr bwMode="auto">
                          <a:xfrm>
                            <a:off x="6878" y="6389"/>
                            <a:ext cx="125" cy="124"/>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142"/>
                        <wps:cNvSpPr>
                          <a:spLocks/>
                        </wps:cNvSpPr>
                        <wps:spPr bwMode="auto">
                          <a:xfrm>
                            <a:off x="6878" y="6389"/>
                            <a:ext cx="125" cy="124"/>
                          </a:xfrm>
                          <a:prstGeom prst="rect">
                            <a:avLst/>
                          </a:prstGeom>
                          <a:noFill/>
                          <a:ln w="1220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Rectangle 143"/>
                        <wps:cNvSpPr>
                          <a:spLocks/>
                        </wps:cNvSpPr>
                        <wps:spPr bwMode="auto">
                          <a:xfrm>
                            <a:off x="8023" y="6389"/>
                            <a:ext cx="125" cy="124"/>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Rectangle 144"/>
                        <wps:cNvSpPr>
                          <a:spLocks/>
                        </wps:cNvSpPr>
                        <wps:spPr bwMode="auto">
                          <a:xfrm>
                            <a:off x="8023" y="6389"/>
                            <a:ext cx="125" cy="124"/>
                          </a:xfrm>
                          <a:prstGeom prst="rect">
                            <a:avLst/>
                          </a:prstGeom>
                          <a:noFill/>
                          <a:ln w="1220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256" o:spid="_x0000_s1026" style="position:absolute;margin-left:88.55pt;margin-top:82.25pt;width:459pt;height:253.05pt;z-index:-251574272;mso-position-horizontal-relative:page;mso-position-vertical-relative:page" coordorigin="1771,1645" coordsize="9180,5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" o:allowincell="f">
                <v:rect id="Rectangle 106" o:spid="_x0000_s1027" style="position:absolute;left:1780;top:1655;width:9160;height:5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5cDsYA&#10;AADcAAAADwAAAGRycy9kb3ducmV2LnhtbESPT2vCQBTE74LfYXlCL1I3plg1dZUQKLTgpbGHHh/Z&#10;1yQ0+zZmt/nz7bsFweMwM79hDqfRNKKnztWWFaxXEQjiwuqaSwWfl9fHHQjnkTU2lknBRA5Ox/ns&#10;gIm2A39Qn/tSBAi7BBVU3reJlK6oyKBb2ZY4eN+2M+iD7EqpOxwC3DQyjqJnabDmsFBhS1lFxU/+&#10;axScp6xZvm/T61dGu/1T2WaXdF8r9bAY0xcQnkZ/D9/ab1pBvNnC/5lwBOT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5cDsYAAADcAAAADwAAAAAAAAAAAAAAAACYAgAAZHJz&#10;L2Rvd25yZXYueG1sUEsFBgAAAAAEAAQA9QAAAIsDAAAAAA==&#10;" filled="f" strokeweight=".33886mm">
                  <v:path arrowok="t"/>
                </v:rect>
                <v:rect id="Rectangle 107" o:spid="_x0000_s1028" style="position:absolute;left:2271;top:2762;width:8316;height:3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b2hr4A&#10;AADcAAAADwAAAGRycy9kb3ducmV2LnhtbERPuwrCMBTdBf8hXMFNUwVFqlFEUFRcfCxut821LTY3&#10;pYm1/r0ZBMfDeS9WrSlFQ7UrLCsYDSMQxKnVBWcKbtftYAbCeWSNpWVS8CEHq2W3s8BY2zefqbn4&#10;TIQQdjEqyL2vYildmpNBN7QVceAetjboA6wzqWt8h3BTynEUTaXBgkNDjhVtckqfl5dRkBxOZ787&#10;3nbNLMmq0ib30clOlOr32vUchKfW/8U/914rGE/C2nAmHAG5/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Vm9oa+AAAA3AAAAA8AAAAAAAAAAAAAAAAAmAIAAGRycy9kb3ducmV2&#10;LnhtbFBLBQYAAAAABAAEAPUAAACDAwAAAAA=&#10;" stroked="f">
                  <v:path arrowok="t"/>
                </v:rect>
                <v:shape id="Freeform 108" o:spid="_x0000_s1029" style="position:absolute;left:2218;top:5337;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9UX8MA&#10;AADcAAAADwAAAGRycy9kb3ducmV2LnhtbESP3YrCMBSE7xd8h3AEbxZNFX9qNYosCOulXR/g2Bzb&#10;YnNSm2yt+/RGEPZymJlvmPW2M5VoqXGlZQXjUQSCOLO65FzB6Wc/jEE4j6yxskwKHuRgu+l9rDHR&#10;9s5HalOfiwBhl6CCwvs6kdJlBRl0I1sTB+9iG4M+yCaXusF7gJtKTqJoLg2WHBYKrOmroOya/hoF&#10;N/0ZT9O/vD3oM83cwi93+1YrNeh3uxUIT53/D7/b31rBZLaE15lwBOTm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9UX8MAAADcAAAADwAAAAAAAAAAAAAAAACYAgAAZHJzL2Rv&#10;d25yZXYueG1sUEsFBgAAAAAEAAQA9QAAAIgDAAAAAA==&#10;" path="m,l8369,e" filled="f" strokeweight=".33869mm">
                  <v:path arrowok="t" o:connecttype="custom" o:connectlocs="0,0;8369,0" o:connectangles="0,0"/>
                </v:shape>
                <v:shape id="Freeform 109" o:spid="_x0000_s1030" style="position:absolute;left:2218;top:4909;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k3f8AA&#10;AADcAAAADwAAAGRycy9kb3ducmV2LnhtbERPzYrCMBC+C/sOYQQvsqaKum7XtIgg6NHqA8w2s22x&#10;mXSbWKtPbw6Cx4/vf532phYdta6yrGA6iUAQ51ZXXCg4n3afKxDOI2usLZOCOzlIk4/BGmNtb3yk&#10;LvOFCCHsYlRQet/EUrq8JINuYhviwP3Z1qAPsC2kbvEWwk0tZ1G0lAYrDg0lNrQtKb9kV6PgX49X&#10;8+xRdAf9Swv35b83u04rNRr2mx8Qnnr/Fr/ce61gtgzzw5lwBGTy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Rk3f8AAAADcAAAADwAAAAAAAAAAAAAAAACYAgAAZHJzL2Rvd25y&#10;ZXYueG1sUEsFBgAAAAAEAAQA9QAAAIUDAAAAAA==&#10;" path="m,l8369,e" filled="f" strokeweight=".33869mm">
                  <v:path arrowok="t" o:connecttype="custom" o:connectlocs="0,0;8369,0" o:connectangles="0,0"/>
                </v:shape>
                <v:shape id="Freeform 110" o:spid="_x0000_s1031" style="position:absolute;left:2218;top:4479;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5MMA&#10;AADcAAAADwAAAGRycy9kb3ducmV2LnhtbESP0YrCMBRE3xf2H8Jd8GXRVHGrVqOIIOjjVj/g2lzb&#10;YnPTbbK1+vVGEHwcZuYMs1h1phItNa60rGA4iEAQZ1aXnCs4Hrb9KQjnkTVWlknBjRyslp8fC0y0&#10;vfIvtanPRYCwS1BB4X2dSOmyggy6ga2Jg3e2jUEfZJNL3eA1wE0lR1EUS4Mlh4UCa9oUlF3Sf6Pg&#10;T39Px+k9b/f6RD9u4mfrbauV6n116zkIT51/h1/tnVYwiof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WS5MMAAADcAAAADwAAAAAAAAAAAAAAAACYAgAAZHJzL2Rv&#10;d25yZXYueG1sUEsFBgAAAAAEAAQA9QAAAIgDAAAAAA==&#10;" path="m,l8369,e" filled="f" strokeweight=".33869mm">
                  <v:path arrowok="t" o:connecttype="custom" o:connectlocs="0,0;8369,0" o:connectangles="0,0"/>
                </v:shape>
                <v:shape id="Freeform 111" o:spid="_x0000_s1032" style="position:absolute;left:2218;top:4050;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cMk8MA&#10;AADcAAAADwAAAGRycy9kb3ducmV2LnhtbESP3YrCMBSE7xd8h3AEbxZNt7j+VKOIILiXW32AY3Ns&#10;i81JbbK1+vQbQfBymJlvmOW6M5VoqXGlZQVfowgEcWZ1ybmC42E3nIFwHlljZZkU3MnBetX7WGKi&#10;7Y1/qU19LgKEXYIKCu/rREqXFWTQjWxNHLyzbQz6IJtc6gZvAW4qGUfRRBosOSwUWNO2oOyS/hkF&#10;V/05G6ePvP3RJ/p2Uz/f7Fqt1KDfbRYgPHX+HX6191pBPInheSYc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cMk8MAAADcAAAADwAAAAAAAAAAAAAAAACYAgAAZHJzL2Rv&#10;d25yZXYueG1sUEsFBgAAAAAEAAQA9QAAAIgDAAAAAA==&#10;" path="m,l8369,e" filled="f" strokeweight=".33869mm">
                  <v:path arrowok="t" o:connecttype="custom" o:connectlocs="0,0;8369,0" o:connectangles="0,0"/>
                </v:shape>
                <v:shape id="Freeform 112" o:spid="_x0000_s1033" style="position:absolute;left:2218;top:3620;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upCMMA&#10;AADcAAAADwAAAGRycy9kb3ducmV2LnhtbESP3YrCMBSE7xd8h3AEb0TT1V1/qlFEENzLrT7AsTm2&#10;xeakNtlafXojCHs5zMw3zHLdmlI0VLvCsoLPYQSCOLW64EzB8bAbzEA4j6yxtEwK7uRgvep8LDHW&#10;9sa/1CQ+EwHCLkYFufdVLKVLczLohrYiDt7Z1gZ9kHUmdY23ADelHEXRRBosOCzkWNE2p/SS/BkF&#10;V92ffSWPrPnRJ/p2Uz/f7BqtVK/bbhYgPLX+P/xu77WC0WQMrzPhCM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upCMMAAADcAAAADwAAAAAAAAAAAAAAAACYAgAAZHJzL2Rv&#10;d25yZXYueG1sUEsFBgAAAAAEAAQA9QAAAIgDAAAAAA==&#10;" path="m,l8369,e" filled="f" strokeweight=".33869mm">
                  <v:path arrowok="t" o:connecttype="custom" o:connectlocs="0,0;8369,0" o:connectangles="0,0"/>
                </v:shape>
                <v:shape id="Freeform 113" o:spid="_x0000_s1034" style="position:absolute;left:2218;top:3192;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IxfMMA&#10;AADcAAAADwAAAGRycy9kb3ducmV2LnhtbESP0YrCMBRE3wX/IVzBF9F0RbtuNYoIgj5a9wOuzd22&#10;2Nx0m1irX28WFnwcZuYMs9p0phItNa60rOBjEoEgzqwuOVfwfd6PFyCcR9ZYWSYFD3KwWfd7K0y0&#10;vfOJ2tTnIkDYJaig8L5OpHRZQQbdxNbEwfuxjUEfZJNL3eA9wE0lp1EUS4Mlh4UCa9oVlF3Tm1Hw&#10;q0eLWfrM26O+0Nx9+q/tvtVKDQfddgnCU+ff4f/2QSuYxjP4OxOO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IxfMMAAADcAAAADwAAAAAAAAAAAAAAAACYAgAAZHJzL2Rv&#10;d25yZXYueG1sUEsFBgAAAAAEAAQA9QAAAIgDAAAAAA==&#10;" path="m,l8369,e" filled="f" strokeweight=".33869mm">
                  <v:path arrowok="t" o:connecttype="custom" o:connectlocs="0,0;8369,0" o:connectangles="0,0"/>
                </v:shape>
                <v:shape id="Freeform 114" o:spid="_x0000_s1035" style="position:absolute;left:2218;top:2762;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6U58QA&#10;AADcAAAADwAAAGRycy9kb3ducmV2LnhtbESP0WrCQBRE3wX/YblCX0Q3lWptdA1BEOxjYz/gmr3N&#10;BrN30+waU7++Wyj4OMzMGWabDbYRPXW+dqzgeZ6AIC6drrlS8Hk6zNYgfEDW2DgmBT/kIduNR1tM&#10;tbvxB/VFqESEsE9RgQmhTaX0pSGLfu5a4uh9uc5iiLKrpO7wFuG2kYskWUmLNccFgy3tDZWX4moV&#10;fOvp+qW4V/27PtPSv4a3/NBrpZ4mQ74BEWgIj/B/+6gVLFZL+DsTj4D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ulOfEAAAA3AAAAA8AAAAAAAAAAAAAAAAAmAIAAGRycy9k&#10;b3ducmV2LnhtbFBLBQYAAAAABAAEAPUAAACJAwAAAAA=&#10;" path="m,l8369,e" filled="f" strokeweight=".33869mm">
                  <v:path arrowok="t" o:connecttype="custom" o:connectlocs="0,0;8369,0" o:connectangles="0,0"/>
                </v:shape>
                <v:shape id="Freeform 115" o:spid="_x0000_s1036" style="position:absolute;left:2271;top:4393;width:8317;height:1373;visibility:visible;mso-wrap-style:square;v-text-anchor:top" coordsize="8317,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Ji/cQA&#10;AADcAAAADwAAAGRycy9kb3ducmV2LnhtbESPQWvCQBSE7wX/w/IEL0U35pBKdBURBCl4qBXF2yP7&#10;TILZtyH7qvHfu4VCj8PMfMMsVr1r1J26UHs2MJ0koIgLb2suDRy/t+MZqCDIFhvPZOBJAVbLwdsC&#10;c+sf/EX3g5QqQjjkaKASaXOtQ1GRwzDxLXH0rr5zKFF2pbYdPiLcNTpNkkw7rDkuVNjSpqLidvhx&#10;BuS2vaRO9ufpxyl5l6z43PEVjRkN+/UclFAv/+G/9s4aSLMMfs/EI6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yYv3EAAAA3AAAAA8AAAAAAAAAAAAAAAAAmAIAAGRycy9k&#10;b3ducmV2LnhtbFBLBQYAAAAABAAEAPUAAACJAwAAAAA=&#10;" path="m1662,l,86,,1373r8316,l8316,256r-1662,l4989,213,3327,86,1662,e" fillcolor="#36f" stroked="f">
                  <v:path arrowok="t" o:connecttype="custom" o:connectlocs="1662,0;0,86;0,1373;8316,1373;8316,256;6654,256;4989,213;3327,86;1662,0" o:connectangles="0,0,0,0,0,0,0,0,0"/>
                </v:shape>
                <v:group id="Group 116" o:spid="_x0000_s1037" style="position:absolute;left:2271;top:3879;width:8317;height:771" coordorigin="2271,3879" coordsize="8317,7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eG9MYAAADcAAAADwAAAGRycy9kb3ducmV2LnhtbESPQWvCQBSE7wX/w/KE&#10;3ppNLE0lZhURKx5CoSqU3h7ZZxLMvg3ZbRL/fbdQ6HGYmW+YfDOZVgzUu8aygiSKQRCXVjdcKbic&#10;356WIJxH1thaJgV3crBZzx5yzLQd+YOGk69EgLDLUEHtfZdJ6cqaDLrIdsTBu9reoA+yr6TucQxw&#10;08pFHKfSYMNhocaOdjWVt9O3UXAYcdw+J/uhuF1396/zy/tnkZBSj/NpuwLhafL/4b/2UStYpK/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4b0xgAAANwA&#10;AAAPAAAAAAAAAAAAAAAAAKoCAABkcnMvZG93bnJldi54bWxQSwUGAAAAAAQABAD6AAAAnQMAAAAA&#10;">
                  <v:shape id="Freeform 117" o:spid="_x0000_s1038" style="position:absolute;left:2271;top:3879;width:8317;height:771;visibility:visible;mso-wrap-style:square;v-text-anchor:top" coordsize="8317,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ubCcIA&#10;AADcAAAADwAAAGRycy9kb3ducmV2LnhtbERPzWrCQBC+C32HZQredNOAIjGbYFtCLMVDUx9gzI5J&#10;MDsbsqumffruoeDx4/tP88n04kaj6ywreFlGIIhrqztuFBy/i8UGhPPIGnvLpOCHHOTZ0yzFRNs7&#10;f9Gt8o0IIewSVNB6PyRSurolg25pB+LAne1o0Ac4NlKPeA/hppdxFK2lwY5DQ4sDvbVUX6qrUVBi&#10;aX7fXz8rN9CpsKuPg62ag1Lz52m3BeFp8g/xv3uvFcTrsDacCUdAZ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q5sJwgAAANwAAAAPAAAAAAAAAAAAAAAAAJgCAABkcnMvZG93&#10;bnJldi54bWxQSwUGAAAAAAQABAD1AAAAhwMAAAAA&#10;" path="m8316,514r-6654,l3327,600,4989,727r1665,43l8316,770r,-256e" fillcolor="#930" stroked="f">
                    <v:path arrowok="t" o:connecttype="custom" o:connectlocs="8316,514;1662,514;3327,600;4989,727;6654,770;8316,770;8316,514" o:connectangles="0,0,0,0,0,0,0"/>
                  </v:shape>
                  <v:shape id="Freeform 118" o:spid="_x0000_s1039" style="position:absolute;left:2271;top:3879;width:8317;height:771;visibility:visible;mso-wrap-style:square;v-text-anchor:top" coordsize="8317,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c+ksMA&#10;AADcAAAADwAAAGRycy9kb3ducmV2LnhtbESP3YrCMBSE7xd8h3AE79ZUQdFqFH8QXRYvrD7AsTm2&#10;xeakNFGrT79ZELwcZuYbZjpvTCnuVLvCsoJeNwJBnFpdcKbgdNx8j0A4j6yxtEwKnuRgPmt9TTHW&#10;9sEHuic+EwHCLkYFufdVLKVLczLourYiDt7F1gZ9kHUmdY2PADel7EfRUBosOCzkWNEqp/Sa3IyC&#10;LW7Na738TVxF540d/Oxtku2V6rSbxQSEp8Z/wu/2TivoD8fwfyYcAT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c+ksMAAADcAAAADwAAAAAAAAAAAAAAAACYAgAAZHJzL2Rv&#10;d25yZXYueG1sUEsFBgAAAAAEAAQA9QAAAIgDAAAAAA==&#10;" path="m1662,l,43,,600,1662,514r6654,l8316,343,6654,300,4989,214,3327,84,1662,e" fillcolor="#930" stroked="f">
                    <v:path arrowok="t" o:connecttype="custom" o:connectlocs="1662,0;0,43;0,600;1662,514;8316,514;8316,343;6654,300;4989,214;3327,84;1662,0" o:connectangles="0,0,0,0,0,0,0,0,0,0"/>
                  </v:shape>
                </v:group>
                <v:group id="Group 119" o:spid="_x0000_s1040" style="position:absolute;left:2271;top:3579;width:8317;height:643" coordorigin="2271,3579" coordsize="8317,6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120" o:spid="_x0000_s1041" style="position:absolute;left:2271;top:3579;width:8317;height:643;visibility:visible;mso-wrap-style:square;v-text-anchor:top" coordsize="8317,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WAD8UA&#10;AADcAAAADwAAAGRycy9kb3ducmV2LnhtbESPQWsCMRSE74X+h/AKXopmXdqqq1FKUfDSg1bw+tg8&#10;N9tuXpYku67/vikUPA4z8w2z2gy2ET35UDtWMJ1kIIhLp2uuFJy+duM5iBCRNTaOScGNAmzWjw8r&#10;LLS78oH6Y6xEgnAoUIGJsS2kDKUhi2HiWuLkXZy3GJP0ldQerwluG5ln2Zu0WHNaMNjSh6Hy59hZ&#10;BdQtXr003X57OL18f5Z5f34+90qNnob3JYhIQ7yH/9t7rSCfTeHvTD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YAPxQAAANwAAAAPAAAAAAAAAAAAAAAAAJgCAABkcnMv&#10;ZG93bnJldi54bWxQSwUGAAAAAAQABAD1AAAAigMAAAAA&#10;" path="m6654,300r-4992,l3327,384,4989,514r1665,86l8316,643r,-259l6654,300e" fillcolor="green" stroked="f">
                    <v:path arrowok="t" o:connecttype="custom" o:connectlocs="6654,300;1662,300;3327,384;4989,514;6654,600;8316,643;8316,384;6654,300" o:connectangles="0,0,0,0,0,0,0,0"/>
                  </v:shape>
                  <v:shape id="Freeform 121" o:spid="_x0000_s1042" style="position:absolute;left:2271;top:3579;width:8317;height:643;visibility:visible;mso-wrap-style:square;v-text-anchor:top" coordsize="8317,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ceeMUA&#10;AADcAAAADwAAAGRycy9kb3ducmV2LnhtbESPQWsCMRSE7wX/Q3hCL0WzLq3VrVFKacFLD1rB62Pz&#10;3GzdvCxJdt3++0YQPA4z8w2z2gy2ET35UDtWMJtmIIhLp2uuFBx+viYLECEia2wck4I/CrBZjx5W&#10;WGh34R31+1iJBOFQoAITY1tIGUpDFsPUtcTJOzlvMSbpK6k9XhLcNjLPsrm0WHNaMNjSh6HyvO+s&#10;AuqWL16abvu5Ozz/fpd5f3w69ko9jof3NxCRhngP39pbrSB/zeF6Jh0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xx54xQAAANwAAAAPAAAAAAAAAAAAAAAAAJgCAABkcnMv&#10;ZG93bnJldi54bWxQSwUGAAAAAAQABAD1AAAAigMAAAAA&#10;" path="m1662,l,,,343,1662,300r4992,l4989,213,3327,84,1662,e" fillcolor="green" stroked="f">
                    <v:path arrowok="t" o:connecttype="custom" o:connectlocs="1662,0;0,0;0,343;1662,300;6654,300;4989,213;3327,84;1662,0" o:connectangles="0,0,0,0,0,0,0,0"/>
                  </v:shape>
                </v:group>
                <v:shape id="Freeform 122" o:spid="_x0000_s1043" style="position:absolute;left:2271;top:3449;width:8317;height:514;visibility:visible;mso-wrap-style:square;v-text-anchor:top" coordsize="8317,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7NYcMA&#10;AADcAAAADwAAAGRycy9kb3ducmV2LnhtbESPQWvCQBSE74X+h+UVvDUbFU2NriEIgldTsR4f2WcS&#10;zL4N2VWTf+8WCj0OM/MNs8kG04oH9a6xrGAaxSCIS6sbrhScvvefXyCcR9bYWiYFIznItu9vG0y1&#10;ffKRHoWvRICwS1FB7X2XSunKmgy6yHbEwbva3qAPsq+k7vEZ4KaVszheSoMNh4UaO9rVVN6Ku1Fg&#10;FqtmHE8/S76cV/mt0Jdpog9KTT6GfA3C0+D/w3/tg1YwS+bweyYcAb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7NYcMAAADcAAAADwAAAAAAAAAAAAAAAACYAgAAZHJzL2Rv&#10;d25yZXYueG1sUEsFBgAAAAAEAAQA9QAAAIgDAAAAAA==&#10;" path="m1662,l,,,129r1662,l3327,213,4989,343,8316,513r,-170l6654,300,4989,213,3327,86,1662,e" fillcolor="#cff" stroked="f">
                  <v:path arrowok="t" o:connecttype="custom" o:connectlocs="1662,0;0,0;0,129;1662,129;3327,213;4989,343;8316,513;8316,343;6654,300;4989,213;3327,86;1662,0" o:connectangles="0,0,0,0,0,0,0,0,0,0,0,0"/>
                </v:shape>
                <v:shape id="Freeform 123" o:spid="_x0000_s1044" style="position:absolute;left:2271;top:3276;width:8317;height:516;visibility:visible;mso-wrap-style:square;v-text-anchor:top" coordsize="8317,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ibcQA&#10;AADcAAAADwAAAGRycy9kb3ducmV2LnhtbESPT4vCMBTE74LfIbwFb5oqi0rXKIsguOjBfwePj+Zt&#10;W2xeahO17ac3guBxmJnfMLNFbQpxp8rllhUMBxEI4sTqnFMFp+OqPwXhPLLGwjIpaMjBYt7tzDDW&#10;9sF7uh98KgKEXYwKMu/LWEqXZGTQDWxJHLx/Wxn0QVap1BU+AtwUchRFY2kw57CQYUnLjJLL4WYU&#10;tH+7ydZxfm5ws7u0TTq8Ulso1fuqf39AeKr9J/xur7WC0eQbXmfC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SYm3EAAAA3AAAAA8AAAAAAAAAAAAAAAAAmAIAAGRycy9k&#10;b3ducmV2LnhtbFBLBQYAAAAABAAEAPUAAACJAwAAAAA=&#10;" path="m1662,l,,,172r1662,l3327,259,4989,386r1665,86l8316,516r,-130l4989,216,3327,86,1662,e" fillcolor="red" stroked="f">
                  <v:path arrowok="t" o:connecttype="custom" o:connectlocs="1662,0;0,0;0,172;1662,172;3327,259;4989,386;6654,472;8316,516;8316,386;4989,216;3327,86;1662,0" o:connectangles="0,0,0,0,0,0,0,0,0,0,0,0"/>
                </v:shape>
                <v:shape id="Freeform 124" o:spid="_x0000_s1045" style="position:absolute;left:2271;top:4393;width:8317;height:1373;visibility:visible;mso-wrap-style:square;v-text-anchor:top" coordsize="8317,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xnqcQA&#10;AADcAAAADwAAAGRycy9kb3ducmV2LnhtbESP3WoCMRSE7wt9h3AKvSmauGAtq1FEqnhV6toHOGzO&#10;/uDmZNnEdfXpTUHwcpiZb5jFarCN6KnztWMNk7ECQZw7U3Op4e+4HX2B8AHZYOOYNFzJw2r5+rLA&#10;1LgLH6jPQikihH2KGqoQ2lRKn1dk0Y9dSxy9wnUWQ5RdKU2Hlwi3jUyU+pQWa44LFba0qSg/ZWer&#10;Ict+kumvpOK6u9l++/1xKlSttH5/G9ZzEIGG8Aw/2nujIZlN4f9MP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8Z6nEAAAA3AAAAA8AAAAAAAAAAAAAAAAAmAIAAGRycy9k&#10;b3ducmV2LnhtbFBLBQYAAAAABAAEAPUAAACJAwAAAAA=&#10;" path="m,1373l,86,1662,,3327,86,4989,213r1665,43l8316,256r,1117l6654,1373r-1665,l3327,1373r-1665,l,1373e" filled="f" strokeweight=".33872mm">
                  <v:path arrowok="t" o:connecttype="custom" o:connectlocs="0,1373;0,86;1662,0;3327,86;4989,213;6654,256;8316,256;8316,1373;6654,1373;4989,1373;3327,1373;1662,1373;0,1373" o:connectangles="0,0,0,0,0,0,0,0,0,0,0,0,0"/>
                </v:shape>
                <v:shape id="Freeform 125" o:spid="_x0000_s1046" style="position:absolute;left:2271;top:3579;width:8317;height:643;visibility:visible;mso-wrap-style:square;v-text-anchor:top" coordsize="8317,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OnwcYA&#10;AADcAAAADwAAAGRycy9kb3ducmV2LnhtbESPzW7CMBCE75V4B2uReisOOaQoYFAF6s+lB2iBHlf2&#10;NkmJ15HtJuHt60qVehzNzDea1Wa0rejJh8axgvksA0GsnWm4UvD+9ni3ABEissHWMSm4UoDNenKz&#10;wtK4gffUH2IlEoRDiQrqGLtSyqBrshhmriNO3qfzFmOSvpLG45DgtpV5lhXSYsNpocaOtjXpy+Hb&#10;Kjgvjr649q9e9/q0H3bPefX18aTU7XR8WIKINMb/8F/7xSjI7wv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OnwcYAAADcAAAADwAAAAAAAAAAAAAAAACYAgAAZHJz&#10;L2Rvd25yZXYueG1sUEsFBgAAAAAEAAQA9QAAAIsDAAAAAA==&#10;" path="m,343l,,1662,,3327,84,4989,213r1665,87l8316,384r,259l6654,600,4989,514,3327,384,1662,300,,343e" filled="f" strokeweight=".33872mm">
                  <v:path arrowok="t" o:connecttype="custom" o:connectlocs="0,343;0,0;1662,0;3327,84;4989,213;6654,300;8316,384;8316,643;6654,600;4989,514;3327,384;1662,300;0,343" o:connectangles="0,0,0,0,0,0,0,0,0,0,0,0,0"/>
                </v:shape>
                <v:shape id="Freeform 126" o:spid="_x0000_s1047" style="position:absolute;left:2271;top:3449;width:8317;height:514;visibility:visible;mso-wrap-style:square;v-text-anchor:top" coordsize="8317,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11a8MA&#10;AADcAAAADwAAAGRycy9kb3ducmV2LnhtbESP3YrCMBSE7wXfIRzBO00VdivVKCIoiysL/jzAoTk2&#10;xeakJFHr228WhL0cZuYbZrHqbCMe5EPtWMFknIEgLp2uuVJwOW9HMxAhImtsHJOCFwVYLfu9BRba&#10;PflIj1OsRIJwKFCBibEtpAylIYth7Fri5F2dtxiT9JXUHp8Jbhs5zbJPabHmtGCwpY2h8na6WwWH&#10;7lrtPtaXps6/N/tsuzc/3h2VGg669RxEpC7+h9/tL61gmufwdyYdAb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11a8MAAADcAAAADwAAAAAAAAAAAAAAAACYAgAAZHJzL2Rv&#10;d25yZXYueG1sUEsFBgAAAAAEAAQA9QAAAIgDAAAAAA==&#10;" path="m,129l,,1662,,3327,86,4989,213r1665,87l8316,343r,170l6654,429,4989,343,3327,213,1662,129,,129e" filled="f" strokeweight=".33872mm">
                  <v:path arrowok="t" o:connecttype="custom" o:connectlocs="0,129;0,0;1662,0;3327,86;4989,213;6654,300;8316,343;8316,513;6654,429;4989,343;3327,213;1662,129;0,129" o:connectangles="0,0,0,0,0,0,0,0,0,0,0,0,0"/>
                </v:shape>
                <v:shape id="Freeform 127" o:spid="_x0000_s1048" style="position:absolute;left:2271;top:3276;width:8317;height:516;visibility:visible;mso-wrap-style:square;v-text-anchor:top" coordsize="8317,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FvcEA&#10;AADcAAAADwAAAGRycy9kb3ducmV2LnhtbERPPW/CMBDdK/EfrENiQcWBAWjAIARElBGoVMZTfCSB&#10;+BzZBtL++npA6vj0vufL1tTiQc5XlhUMBwkI4tzqigsFX6fsfQrCB2SNtWVS8EMelovO2xxTbZ98&#10;oMcxFCKGsE9RQRlCk0rp85IM+oFtiCN3sc5giNAVUjt8xnBTy1GSjKXBimNDiQ2tS8pvx7tRkOH+&#10;V24+dt8mu25bsv37zp1JqV63Xc1ABGrDv/jl/tQKRpO4Np6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BBb3BAAAA3AAAAA8AAAAAAAAAAAAAAAAAmAIAAGRycy9kb3du&#10;cmV2LnhtbFBLBQYAAAAABAAEAPUAAACGAwAAAAA=&#10;" path="m,172l,,1662,,3327,86,4989,216r1665,86l8316,386r,130l6654,472,4989,386,3327,259,1662,172,,172e" filled="f" strokeweight=".33872mm">
                  <v:path arrowok="t" o:connecttype="custom" o:connectlocs="0,172;0,0;1662,0;3327,86;4989,216;6654,302;8316,386;8316,516;6654,472;4989,386;3327,259;1662,172;0,172" o:connectangles="0,0,0,0,0,0,0,0,0,0,0,0,0"/>
                </v:shape>
                <v:shape id="Freeform 128" o:spid="_x0000_s1049" style="position:absolute;left:2271;top:2762;width:20;height:3057;visibility:visible;mso-wrap-style:square;v-text-anchor:top" coordsize="20,3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GHhMcA&#10;AADcAAAADwAAAGRycy9kb3ducmV2LnhtbESPQUvDQBSE70L/w/IK3uzGCq2N2ZaloEjxYKsIvT2y&#10;L8lq9m2aXdP4711B6HGYmW+YYjO6VgzUB+tZwe0sA0FcemO5VvD+9nhzDyJEZIOtZ1LwQwE268lV&#10;gbnxZ97TcIi1SBAOOSpoYuxyKUPZkMMw8x1x8irfO4xJ9rU0PZ4T3LVynmUL6dByWmiwo21D5dfh&#10;2yn4+BysPlo9LPXd6fikX031slspdT0d9QOISGO8hP/bz0bBfLmCvzPpC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Bh4THAAAA3AAAAA8AAAAAAAAAAAAAAAAAmAIAAGRy&#10;cy9kb3ducmV2LnhtbFBLBQYAAAAABAAEAPUAAACMAwAAAAA=&#10;" path="m,l,3057e" filled="f" strokeweight=".33936mm">
                  <v:path arrowok="t" o:connecttype="custom" o:connectlocs="0,0;0,3057" o:connectangles="0,0"/>
                </v:shape>
                <v:shape id="Freeform 129" o:spid="_x0000_s1050" style="position:absolute;left:2218;top:5766;width:8370;height:20;visibility:visible;mso-wrap-style:square;v-text-anchor:top" coordsize="83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XRhcEA&#10;AADcAAAADwAAAGRycy9kb3ducmV2LnhtbERP3WrCMBS+F3yHcITdyJpO3FY7YykDQS9X9wDH5qwt&#10;Nic1yWq3pzcXg11+fP/bYjK9GMn5zrKCpyQFQVxb3XGj4PO0f8xA+ICssbdMCn7IQ7Gbz7aYa3vj&#10;Dxqr0IgYwj5HBW0IQy6lr1sy6BM7EEfuyzqDIULXSO3wFsNNL1dp+iINdhwbWhzovaX6Un0bBVe9&#10;zNbVbzMe9Zme/WvYlPtRK/WwmMo3EIGm8C/+cx+0glUW58cz8QjI3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V0YXBAAAA3AAAAA8AAAAAAAAAAAAAAAAAmAIAAGRycy9kb3du&#10;cmV2LnhtbFBLBQYAAAAABAAEAPUAAACGAwAAAAA=&#10;" path="m,l8369,e" filled="f" strokeweight=".33869mm">
                  <v:path arrowok="t" o:connecttype="custom" o:connectlocs="0,0;8369,0" o:connectangles="0,0"/>
                </v:shape>
                <v:shape id="Freeform 130" o:spid="_x0000_s1051" style="position:absolute;left:3933;top:5766;width:20;height:53;visibility:visible;mso-wrap-style:square;v-text-anchor:top" coordsize="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fTIsQA&#10;AADcAAAADwAAAGRycy9kb3ducmV2LnhtbESPS4vCQBCE74L/YWjBm070oCE6yrIgeIiP9QHrrcm0&#10;SdhMT8iMGv+9Iyx4LKrqK2q+bE0l7tS40rKC0TACQZxZXXKu4HRcDWIQziNrrCyTgic5WC66nTkm&#10;2j74h+4Hn4sAYZeggsL7OpHSZQUZdENbEwfvahuDPsgml7rBR4CbSo6jaCINlhwWCqzpu6Ds73Az&#10;CjBd7c/bX4ex3nB6idLd9FJdler32q8ZCE+t/4T/22utYByP4H0mHA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n0yLEAAAA3AAAAA8AAAAAAAAAAAAAAAAAmAIAAGRycy9k&#10;b3ducmV2LnhtbFBLBQYAAAAABAAEAPUAAACJAwAAAAA=&#10;" path="m,52l,e" filled="f" strokeweight=".33936mm">
                  <v:path arrowok="t" o:connecttype="custom" o:connectlocs="0,52;0,0" o:connectangles="0,0"/>
                </v:shape>
                <v:shape id="Freeform 131" o:spid="_x0000_s1052" style="position:absolute;left:5598;top:5766;width:20;height:53;visibility:visible;mso-wrap-style:square;v-text-anchor:top" coordsize="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VNVcUA&#10;AADcAAAADwAAAGRycy9kb3ducmV2LnhtbESPQWvCQBSE7wX/w/KE3urGHGxIXaUIAQ+xtqlCvT2y&#10;zyQ0+zZk1yT++26h0OMwM98w6+1kWjFQ7xrLCpaLCARxaXXDlYLTZ/aUgHAeWWNrmRTcycF2M3tY&#10;Y6rtyB80FL4SAcIuRQW1910qpStrMugWtiMO3tX2Bn2QfSV1j2OAm1bGUbSSBhsOCzV2tKup/C5u&#10;RgHm2fv57cthog+cX6L8+Hxpr0o9zqfXFxCeJv8f/mvvtYI4ieH3TDg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dU1VxQAAANwAAAAPAAAAAAAAAAAAAAAAAJgCAABkcnMv&#10;ZG93bnJldi54bWxQSwUGAAAAAAQABAD1AAAAigMAAAAA&#10;" path="m,52l,e" filled="f" strokeweight=".33936mm">
                  <v:path arrowok="t" o:connecttype="custom" o:connectlocs="0,52;0,0" o:connectangles="0,0"/>
                </v:shape>
                <v:shape id="Freeform 132" o:spid="_x0000_s1053" style="position:absolute;left:7260;top:5766;width:20;height:53;visibility:visible;mso-wrap-style:square;v-text-anchor:top" coordsize="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nozsYA&#10;AADcAAAADwAAAGRycy9kb3ducmV2LnhtbESPzWrDMBCE74G8g9hCb7HcFBrjRgklYOjB+anbQnNb&#10;rI1taq2MpTru20eBQI7DzHzDLNejacVAvWssK3iKYhDEpdUNVwq+PrNZAsJ5ZI2tZVLwTw7Wq+lk&#10;iam2Z/6gofCVCBB2KSqove9SKV1Zk0EX2Y44eCfbG/RB9pXUPZ4D3LRyHscv0mDDYaHGjjY1lb/F&#10;n1GAeXb43v04TPSW82Oc7xfH9qTU48P49grC0+jv4Vv7XSuYJ89wPROO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nozsYAAADcAAAADwAAAAAAAAAAAAAAAACYAgAAZHJz&#10;L2Rvd25yZXYueG1sUEsFBgAAAAAEAAQA9QAAAIsDAAAAAA==&#10;" path="m,52l,e" filled="f" strokeweight=".33936mm">
                  <v:path arrowok="t" o:connecttype="custom" o:connectlocs="0,52;0,0" o:connectangles="0,0"/>
                </v:shape>
                <v:shape id="Freeform 133" o:spid="_x0000_s1054" style="position:absolute;left:8925;top:5766;width:20;height:53;visibility:visible;mso-wrap-style:square;v-text-anchor:top" coordsize="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BwusYA&#10;AADcAAAADwAAAGRycy9kb3ducmV2LnhtbESPzWrDMBCE74G8g9hCb7HcUBrjRgklYOjB+anbQnNb&#10;rI1taq2MpTru20eBQI7DzHzDLNejacVAvWssK3iKYhDEpdUNVwq+PrNZAsJ5ZI2tZVLwTw7Wq+lk&#10;iam2Z/6gofCVCBB2KSqove9SKV1Zk0EX2Y44eCfbG/RB9pXUPZ4D3LRyHscv0mDDYaHGjjY1lb/F&#10;n1GAeXb43v04TPSW82Oc7xfH9qTU48P49grC0+jv4Vv7XSuYJ89wPROO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BwusYAAADcAAAADwAAAAAAAAAAAAAAAACYAgAAZHJz&#10;L2Rvd25yZXYueG1sUEsFBgAAAAAEAAQA9QAAAIsDAAAAAA==&#10;" path="m,52l,e" filled="f" strokeweight=".33936mm">
                  <v:path arrowok="t" o:connecttype="custom" o:connectlocs="0,52;0,0" o:connectangles="0,0"/>
                </v:shape>
                <v:shape id="Freeform 134" o:spid="_x0000_s1055" style="position:absolute;left:10588;top:5766;width:20;height:53;visibility:visible;mso-wrap-style:square;v-text-anchor:top" coordsize="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IcYA&#10;AADcAAAADwAAAGRycy9kb3ducmV2LnhtbESPzWrDMBCE74G8g9hCb7HcQBvjRgklYOjB+anbQnNb&#10;rI1taq2MpTru20eBQI7DzHzDLNejacVAvWssK3iKYhDEpdUNVwq+PrNZAsJ5ZI2tZVLwTw7Wq+lk&#10;iam2Z/6gofCVCBB2KSqove9SKV1Zk0EX2Y44eCfbG/RB9pXUPZ4D3LRyHscv0mDDYaHGjjY1lb/F&#10;n1GAeXb43v04TPSW82Oc7xfH9qTU48P49grC0+jv4Vv7XSuYJ89wPROO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VIcYAAADcAAAADwAAAAAAAAAAAAAAAACYAgAAZHJz&#10;L2Rvd25yZXYueG1sUEsFBgAAAAAEAAQA9QAAAIsDAAAAAA==&#10;" path="m,52l,e" filled="f" strokeweight=".33936mm">
                  <v:path arrowok="t" o:connecttype="custom" o:connectlocs="0,52;0,0" o:connectangles="0,0"/>
                </v:shape>
                <v:rect id="Rectangle 135" o:spid="_x0000_s1056" style="position:absolute;left:4005;top:6293;width:4934;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L4YcYA&#10;AADcAAAADwAAAGRycy9kb3ducmV2LnhtbESPT2vCQBTE7wW/w/IK3uqmCirRVWzaWi8i/kE8PrLP&#10;JJp9m2ZXjd++WxA8DjPzG2Y8bUwprlS7wrKC904Egji1uuBMwW77/TYE4TyyxtIyKbiTg+mk9TLG&#10;WNsbr+m68ZkIEHYxKsi9r2IpXZqTQdexFXHwjrY26IOsM6lrvAW4KWU3ivrSYMFhIceKkpzS8+Zi&#10;FPzgyh/O28ScPhfJYL783X/1PoxS7ddmNgLhqfHP8KO90Aq6wz78nwlHQE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L4YcYAAADcAAAADwAAAAAAAAAAAAAAAACYAgAAZHJz&#10;L2Rvd25yZXYueG1sUEsFBgAAAAAEAAQA9QAAAIsDAAAAAA==&#10;" filled="f" strokeweight=".33872mm">
                  <v:path arrowok="t"/>
                </v:rect>
                <v:rect id="Rectangle 136" o:spid="_x0000_s1057" style="position:absolute;left:4075;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thk8IA&#10;AADcAAAADwAAAGRycy9kb3ducmV2LnhtbESPzarCMBSE94LvEI7gTlN/UKlGEUFwcV1YfYBDc2yL&#10;zUlpYlt9enNBcDnMzDfMZteZUjRUu8Kygsk4AkGcWl1wpuB2PY5WIJxH1lhaJgUvcrDb9nsbjLVt&#10;+UJN4jMRIOxiVJB7X8VSujQng25sK+Lg3W1t0AdZZ1LX2Aa4KeU0ihbSYMFhIceKDjmlj+RpFOjr&#10;4y+5pbM3n0/NcvHU7bmYt0oNB91+DcJT53/hb/ukFUxXS/g/E46A3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K2GTwgAAANwAAAAPAAAAAAAAAAAAAAAAAJgCAABkcnMvZG93&#10;bnJldi54bWxQSwUGAAAAAAQABAD1AAAAhwMAAAAA&#10;" fillcolor="#36f" stroked="f">
                  <v:path arrowok="t"/>
                </v:rect>
                <v:rect id="Rectangle 137" o:spid="_x0000_s1058" style="position:absolute;left:4075;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W74b0A&#10;AADcAAAADwAAAGRycy9kb3ducmV2LnhtbERPSwrCMBDdC94hjOBOUwVFqlH8ICiCYNsDDM3YFptJ&#10;aaLW25uF4PLx/qtNZ2rxotZVlhVMxhEI4tzqigsFWXocLUA4j6yxtkwKPuRgs+73Vhhr++YbvRJf&#10;iBDCLkYFpfdNLKXLSzLoxrYhDtzdtgZ9gG0hdYvvEG5qOY2iuTRYcWgosaF9SfkjeRoFJqvccV8c&#10;0t0lje7XxMwmj3Oj1HDQbZcgPHX+L/65T1rBdBHWhjPhCMj1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5W74b0AAADcAAAADwAAAAAAAAAAAAAAAACYAgAAZHJzL2Rvd25yZXYu&#10;eG1sUEsFBgAAAAAEAAQA9QAAAIIDAAAAAA==&#10;" filled="f" strokeweight=".33903mm">
                  <v:path arrowok="t"/>
                </v:rect>
                <v:rect id="Rectangle 138" o:spid="_x0000_s1059" style="position:absolute;left:4961;top:6396;width:127;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glcUA&#10;AADcAAAADwAAAGRycy9kb3ducmV2LnhtbESPQWvCQBSE74L/YXmCF9FNPBSTuooGAkJPtaLX1+wz&#10;iWbfhuxq4r/vFgo9DjPzDbPeDqYRT+pcbVlBvIhAEBdW11wqOH3l8xUI55E1NpZJwYscbDfj0RpT&#10;bXv+pOfRlyJA2KWooPK+TaV0RUUG3cK2xMG72s6gD7Irpe6wD3DTyGUUvUmDNYeFClvKKirux4dR&#10;kOW7JE8++ttlH5tsdn5F3/H5rtR0MuzeQXga/H/4r33QCparBH7Ph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meCVxQAAANwAAAAPAAAAAAAAAAAAAAAAAJgCAABkcnMv&#10;ZG93bnJldi54bWxQSwUGAAAAAAQABAD1AAAAigMAAAAA&#10;" fillcolor="#930" stroked="f">
                  <v:path arrowok="t"/>
                </v:rect>
                <v:rect id="Rectangle 139" o:spid="_x0000_s1060" style="position:absolute;left:5855;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rpR8IA&#10;AADcAAAADwAAAGRycy9kb3ducmV2LnhtbERPz2vCMBS+D/wfwhO8zdQKY1ajqDAYssuqA3d7Nm9N&#10;Z/NSkli7/345DHb8+H6vNoNtRU8+NI4VzKYZCOLK6YZrBafjy+MziBCRNbaOScEPBdisRw8rLLS7&#10;8zv1ZaxFCuFQoAITY1dIGSpDFsPUdcSJ+3LeYkzQ11J7vKdw28o8y56kxYZTg8GO9oaqa3mzCs7u&#10;4PLPi5/7j+/dWb91pan7vVKT8bBdgog0xH/xn/tVK8gXaX46k46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lHwgAAANwAAAAPAAAAAAAAAAAAAAAAAJgCAABkcnMvZG93&#10;bnJldi54bWxQSwUGAAAAAAQABAD1AAAAhwMAAAAA&#10;" fillcolor="green" stroked="f">
                  <v:path arrowok="t"/>
                </v:rect>
                <v:rect id="Rectangle 140" o:spid="_x0000_s1061" style="position:absolute;left:5855;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aEocMA&#10;AADcAAAADwAAAGRycy9kb3ducmV2LnhtbESP0YrCMBRE3wX/IVzBN00r7KLVVNRF2GVBsPUDLs21&#10;LW1uShO1/v1GEPZxmJkzzGY7mFbcqXe1ZQXxPAJBXFhdc6ngkh9nSxDOI2tsLZOCJznYpuPRBhNt&#10;H3yme+ZLESDsElRQed8lUrqiIoNubjvi4F1tb9AH2ZdS9/gIcNPKRRR9SoM1h4UKOzpUVDTZzSgw&#10;l9odD+VXvv/No+spMx9x89MpNZ0MuzUIT4P/D7/b31rBYhXD60w4Aj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aEocMAAADcAAAADwAAAAAAAAAAAAAAAACYAgAAZHJzL2Rv&#10;d25yZXYueG1sUEsFBgAAAAAEAAQA9QAAAIgDAAAAAA==&#10;" filled="f" strokeweight=".33903mm">
                  <v:path arrowok="t"/>
                </v:rect>
                <v:rect id="Rectangle 141" o:spid="_x0000_s1062" style="position:absolute;left:6878;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uj5cUA&#10;AADcAAAADwAAAGRycy9kb3ducmV2LnhtbESPT2vCQBTE74V+h+UVvNVNcxCTuooUrCJe/HOwt0f2&#10;mQ3Jvk2zq4nf3hUKPQ4z8xtmthhsI27U+cqxgo9xAoK4cLriUsHpuHqfgvABWWPjmBTcycNi/voy&#10;w1y7nvd0O4RSRAj7HBWYENpcSl8YsujHriWO3sV1FkOUXSl1h32E20amSTKRFiuOCwZb+jJU1Ier&#10;VdB/r01Zb/Vv3We8O57PWbv6CUqN3oblJ4hAQ/gP/7U3WkGapfA8E4+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u6PlxQAAANwAAAAPAAAAAAAAAAAAAAAAAJgCAABkcnMv&#10;ZG93bnJldi54bWxQSwUGAAAAAAQABAD1AAAAigMAAAAA&#10;" fillcolor="#cff" stroked="f">
                  <v:path arrowok="t"/>
                </v:rect>
                <v:rect id="Rectangle 142" o:spid="_x0000_s1063" style="position:absolute;left:6878;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i/TcUA&#10;AADcAAAADwAAAGRycy9kb3ducmV2LnhtbESP3WrCQBSE7wu+w3KE3tXdWFo0ugZ/EFoKgokPcMge&#10;k2D2bMiuGt/eLRR6OczMN8wyG2wrbtT7xrGGZKJAEJfONFxpOBX7txkIH5ANto5Jw4M8ZKvRyxJT&#10;4+58pFseKhEh7FPUUIfQpVL6siaLfuI64uidXW8xRNlX0vR4j3DbyqlSn9Jiw3Ghxo62NZWX/Go1&#10;2FPj99tqV2x+CnU+5PYjuXx3Wr+Oh/UCRKAh/If/2l9Gw3T+D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6L9NxQAAANwAAAAPAAAAAAAAAAAAAAAAAJgCAABkcnMv&#10;ZG93bnJldi54bWxQSwUGAAAAAAQABAD1AAAAigMAAAAA&#10;" filled="f" strokeweight=".33903mm">
                  <v:path arrowok="t"/>
                </v:rect>
                <v:rect id="Rectangle 143" o:spid="_x0000_s1064" style="position:absolute;left:8023;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PqxMIA&#10;AADcAAAADwAAAGRycy9kb3ducmV2LnhtbESPT4vCMBTE7wt+h/AEb2uiLItWo4ggePTPen80z6ba&#10;vNQmW6uf3iwIexxm5jfMfNm5SrTUhNKzhtFQgSDOvSm50PBz3HxOQISIbLDyTBoeFGC56H3MMTP+&#10;zntqD7EQCcIhQw02xjqTMuSWHIahr4mTd/aNw5hkU0jT4D3BXSXHSn1LhyWnBYs1rS3l18Ov03Az&#10;Vbs5qXz93E52l91ehdHZBq0H/W41AxGpi//hd3trNIynX/B3Jh0B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U+rEwgAAANwAAAAPAAAAAAAAAAAAAAAAAJgCAABkcnMvZG93&#10;bnJldi54bWxQSwUGAAAAAAQABAD1AAAAhwMAAAAA&#10;" fillcolor="red" stroked="f">
                  <v:path arrowok="t"/>
                </v:rect>
                <v:rect id="Rectangle 144" o:spid="_x0000_s1065" style="position:absolute;left:8023;top:6389;width:125;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2CosMA&#10;AADcAAAADwAAAGRycy9kb3ducmV2LnhtbESP3YrCMBSE7xd8h3AE79ZUQdFqLP4gKAuCrQ9waI5t&#10;aXNSmqj17c3Cwl4OM/MNs05604gnda6yrGAyjkAQ51ZXXCi4ZcfvBQjnkTU2lknBmxwkm8HXGmNt&#10;X3ylZ+oLESDsYlRQet/GUrq8JINubFvi4N1tZ9AH2RVSd/gKcNPIaRTNpcGKw0KJLe1Lyuv0YRSY&#10;W+WO++KQ7X6y6H5JzWxSn1ulRsN+uwLhqff/4b/2SSuYLmfweyYcAbn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2CosMAAADcAAAADwAAAAAAAAAAAAAAAACYAgAAZHJzL2Rv&#10;d25yZXYueG1sUEsFBgAAAAAEAAQA9QAAAIgDAAAAAA==&#10;" filled="f" strokeweight=".33903mm">
                  <v:path arrowok="t"/>
                </v:rect>
                <w10:wrap anchorx="page" anchory="page"/>
              </v:group>
            </w:pict>
          </mc:Fallback>
        </mc:AlternateConten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5" w:line="240" w:lineRule="exact"/>
        <w:rPr>
          <w:color w:val="000000"/>
        </w:rPr>
      </w:pPr>
    </w:p>
    <w:p w:rsidR="004F7425" w:rsidRDefault="004F7425" w:rsidP="004F7425">
      <w:pPr>
        <w:widowControl w:val="0"/>
        <w:autoSpaceDE w:val="0"/>
        <w:autoSpaceDN w:val="0"/>
        <w:adjustRightInd w:val="0"/>
        <w:spacing w:before="24"/>
        <w:ind w:left="1497" w:right="1629"/>
        <w:jc w:val="center"/>
        <w:rPr>
          <w:color w:val="000000"/>
          <w:sz w:val="28"/>
          <w:szCs w:val="28"/>
        </w:rPr>
      </w:pPr>
      <w:r>
        <w:rPr>
          <w:b/>
          <w:bCs/>
          <w:color w:val="993300"/>
          <w:spacing w:val="-1"/>
          <w:sz w:val="28"/>
          <w:szCs w:val="28"/>
        </w:rPr>
        <w:t>N</w:t>
      </w:r>
      <w:r>
        <w:rPr>
          <w:b/>
          <w:bCs/>
          <w:color w:val="993300"/>
          <w:sz w:val="28"/>
          <w:szCs w:val="28"/>
        </w:rPr>
        <w:t>u</w:t>
      </w:r>
      <w:r>
        <w:rPr>
          <w:b/>
          <w:bCs/>
          <w:color w:val="993300"/>
          <w:spacing w:val="1"/>
          <w:sz w:val="28"/>
          <w:szCs w:val="28"/>
        </w:rPr>
        <w:t>si</w:t>
      </w:r>
      <w:r>
        <w:rPr>
          <w:b/>
          <w:bCs/>
          <w:color w:val="993300"/>
          <w:spacing w:val="-5"/>
          <w:sz w:val="28"/>
          <w:szCs w:val="28"/>
        </w:rPr>
        <w:t>k</w:t>
      </w:r>
      <w:r>
        <w:rPr>
          <w:b/>
          <w:bCs/>
          <w:color w:val="993300"/>
          <w:spacing w:val="1"/>
          <w:sz w:val="28"/>
          <w:szCs w:val="28"/>
        </w:rPr>
        <w:t>als</w:t>
      </w:r>
      <w:r>
        <w:rPr>
          <w:b/>
          <w:bCs/>
          <w:color w:val="993300"/>
          <w:sz w:val="28"/>
          <w:szCs w:val="28"/>
        </w:rPr>
        <w:t>t</w:t>
      </w:r>
      <w:r>
        <w:rPr>
          <w:b/>
          <w:bCs/>
          <w:color w:val="993300"/>
          <w:spacing w:val="1"/>
          <w:sz w:val="28"/>
          <w:szCs w:val="28"/>
        </w:rPr>
        <w:t>a</w:t>
      </w:r>
      <w:r>
        <w:rPr>
          <w:b/>
          <w:bCs/>
          <w:color w:val="993300"/>
          <w:spacing w:val="-3"/>
          <w:sz w:val="28"/>
          <w:szCs w:val="28"/>
        </w:rPr>
        <w:t>m</w:t>
      </w:r>
      <w:r>
        <w:rPr>
          <w:b/>
          <w:bCs/>
          <w:color w:val="993300"/>
          <w:sz w:val="28"/>
          <w:szCs w:val="28"/>
        </w:rPr>
        <w:t>ų ve</w:t>
      </w:r>
      <w:r>
        <w:rPr>
          <w:b/>
          <w:bCs/>
          <w:color w:val="993300"/>
          <w:spacing w:val="1"/>
          <w:sz w:val="28"/>
          <w:szCs w:val="28"/>
        </w:rPr>
        <w:t>i</w:t>
      </w:r>
      <w:r>
        <w:rPr>
          <w:b/>
          <w:bCs/>
          <w:color w:val="993300"/>
          <w:spacing w:val="-5"/>
          <w:sz w:val="28"/>
          <w:szCs w:val="28"/>
        </w:rPr>
        <w:t>k</w:t>
      </w:r>
      <w:r>
        <w:rPr>
          <w:b/>
          <w:bCs/>
          <w:color w:val="993300"/>
          <w:sz w:val="28"/>
          <w:szCs w:val="28"/>
        </w:rPr>
        <w:t xml:space="preserve">ų </w:t>
      </w:r>
      <w:r>
        <w:rPr>
          <w:b/>
          <w:bCs/>
          <w:color w:val="993300"/>
          <w:spacing w:val="-1"/>
          <w:sz w:val="28"/>
          <w:szCs w:val="28"/>
        </w:rPr>
        <w:t>p</w:t>
      </w:r>
      <w:r>
        <w:rPr>
          <w:b/>
          <w:bCs/>
          <w:color w:val="993300"/>
          <w:spacing w:val="1"/>
          <w:sz w:val="28"/>
          <w:szCs w:val="28"/>
        </w:rPr>
        <w:t>asis</w:t>
      </w:r>
      <w:r>
        <w:rPr>
          <w:b/>
          <w:bCs/>
          <w:color w:val="993300"/>
          <w:spacing w:val="-5"/>
          <w:sz w:val="28"/>
          <w:szCs w:val="28"/>
        </w:rPr>
        <w:t>k</w:t>
      </w:r>
      <w:r>
        <w:rPr>
          <w:b/>
          <w:bCs/>
          <w:color w:val="993300"/>
          <w:spacing w:val="1"/>
          <w:sz w:val="28"/>
          <w:szCs w:val="28"/>
        </w:rPr>
        <w:t>i</w:t>
      </w:r>
      <w:r>
        <w:rPr>
          <w:b/>
          <w:bCs/>
          <w:color w:val="993300"/>
          <w:sz w:val="28"/>
          <w:szCs w:val="28"/>
        </w:rPr>
        <w:t>r</w:t>
      </w:r>
      <w:r>
        <w:rPr>
          <w:b/>
          <w:bCs/>
          <w:color w:val="993300"/>
          <w:spacing w:val="1"/>
          <w:sz w:val="28"/>
          <w:szCs w:val="28"/>
        </w:rPr>
        <w:t>s</w:t>
      </w:r>
      <w:r>
        <w:rPr>
          <w:b/>
          <w:bCs/>
          <w:color w:val="993300"/>
          <w:sz w:val="28"/>
          <w:szCs w:val="28"/>
        </w:rPr>
        <w:t>t</w:t>
      </w:r>
      <w:r>
        <w:rPr>
          <w:b/>
          <w:bCs/>
          <w:color w:val="993300"/>
          <w:spacing w:val="1"/>
          <w:sz w:val="28"/>
          <w:szCs w:val="28"/>
        </w:rPr>
        <w:t>y</w:t>
      </w:r>
      <w:r>
        <w:rPr>
          <w:b/>
          <w:bCs/>
          <w:color w:val="993300"/>
          <w:spacing w:val="-3"/>
          <w:sz w:val="28"/>
          <w:szCs w:val="28"/>
        </w:rPr>
        <w:t>m</w:t>
      </w:r>
      <w:r>
        <w:rPr>
          <w:b/>
          <w:bCs/>
          <w:color w:val="993300"/>
          <w:spacing w:val="1"/>
          <w:sz w:val="28"/>
          <w:szCs w:val="28"/>
        </w:rPr>
        <w:t>a</w:t>
      </w:r>
      <w:r>
        <w:rPr>
          <w:b/>
          <w:bCs/>
          <w:color w:val="993300"/>
          <w:sz w:val="28"/>
          <w:szCs w:val="28"/>
        </w:rPr>
        <w:t>s</w:t>
      </w:r>
      <w:r>
        <w:rPr>
          <w:b/>
          <w:bCs/>
          <w:color w:val="993300"/>
          <w:spacing w:val="1"/>
          <w:sz w:val="28"/>
          <w:szCs w:val="28"/>
        </w:rPr>
        <w:t xml:space="preserve"> </w:t>
      </w:r>
      <w:r>
        <w:rPr>
          <w:b/>
          <w:bCs/>
          <w:color w:val="993300"/>
          <w:sz w:val="28"/>
          <w:szCs w:val="28"/>
        </w:rPr>
        <w:t>š</w:t>
      </w:r>
      <w:r>
        <w:rPr>
          <w:b/>
          <w:bCs/>
          <w:color w:val="993300"/>
          <w:spacing w:val="1"/>
          <w:sz w:val="28"/>
          <w:szCs w:val="28"/>
        </w:rPr>
        <w:t>ali</w:t>
      </w:r>
      <w:r>
        <w:rPr>
          <w:b/>
          <w:bCs/>
          <w:color w:val="993300"/>
          <w:sz w:val="28"/>
          <w:szCs w:val="28"/>
        </w:rPr>
        <w:t>es</w:t>
      </w:r>
      <w:r>
        <w:rPr>
          <w:b/>
          <w:bCs/>
          <w:color w:val="993300"/>
          <w:spacing w:val="1"/>
          <w:sz w:val="28"/>
          <w:szCs w:val="28"/>
        </w:rPr>
        <w:t xml:space="preserve"> </w:t>
      </w:r>
      <w:r>
        <w:rPr>
          <w:b/>
          <w:bCs/>
          <w:color w:val="993300"/>
          <w:sz w:val="28"/>
          <w:szCs w:val="28"/>
        </w:rPr>
        <w:t>didž</w:t>
      </w:r>
      <w:r>
        <w:rPr>
          <w:b/>
          <w:bCs/>
          <w:color w:val="993300"/>
          <w:spacing w:val="1"/>
          <w:sz w:val="28"/>
          <w:szCs w:val="28"/>
        </w:rPr>
        <w:t>i</w:t>
      </w:r>
      <w:r>
        <w:rPr>
          <w:b/>
          <w:bCs/>
          <w:color w:val="993300"/>
          <w:sz w:val="28"/>
          <w:szCs w:val="28"/>
        </w:rPr>
        <w:t>u</w:t>
      </w:r>
      <w:r>
        <w:rPr>
          <w:b/>
          <w:bCs/>
          <w:color w:val="993300"/>
          <w:spacing w:val="1"/>
          <w:sz w:val="28"/>
          <w:szCs w:val="28"/>
        </w:rPr>
        <w:t>osi</w:t>
      </w:r>
      <w:r>
        <w:rPr>
          <w:b/>
          <w:bCs/>
          <w:color w:val="993300"/>
          <w:sz w:val="28"/>
          <w:szCs w:val="28"/>
        </w:rPr>
        <w:t>u</w:t>
      </w:r>
      <w:r>
        <w:rPr>
          <w:b/>
          <w:bCs/>
          <w:color w:val="993300"/>
          <w:spacing w:val="1"/>
          <w:sz w:val="28"/>
          <w:szCs w:val="28"/>
        </w:rPr>
        <w:t>os</w:t>
      </w:r>
      <w:r>
        <w:rPr>
          <w:b/>
          <w:bCs/>
          <w:color w:val="993300"/>
          <w:sz w:val="28"/>
          <w:szCs w:val="28"/>
        </w:rPr>
        <w:t>e</w:t>
      </w:r>
    </w:p>
    <w:p w:rsidR="004F7425" w:rsidRDefault="004F7425" w:rsidP="004F7425">
      <w:pPr>
        <w:widowControl w:val="0"/>
        <w:autoSpaceDE w:val="0"/>
        <w:autoSpaceDN w:val="0"/>
        <w:adjustRightInd w:val="0"/>
        <w:spacing w:before="28"/>
        <w:ind w:left="3477" w:right="3600"/>
        <w:jc w:val="center"/>
        <w:rPr>
          <w:color w:val="000000"/>
          <w:sz w:val="28"/>
          <w:szCs w:val="28"/>
        </w:rPr>
      </w:pPr>
      <w:r>
        <w:rPr>
          <w:b/>
          <w:bCs/>
          <w:color w:val="993300"/>
          <w:spacing w:val="-3"/>
          <w:sz w:val="28"/>
          <w:szCs w:val="28"/>
        </w:rPr>
        <w:t>m</w:t>
      </w:r>
      <w:r>
        <w:rPr>
          <w:b/>
          <w:bCs/>
          <w:color w:val="993300"/>
          <w:spacing w:val="1"/>
          <w:sz w:val="28"/>
          <w:szCs w:val="28"/>
        </w:rPr>
        <w:t>i</w:t>
      </w:r>
      <w:r>
        <w:rPr>
          <w:b/>
          <w:bCs/>
          <w:color w:val="993300"/>
          <w:sz w:val="28"/>
          <w:szCs w:val="28"/>
        </w:rPr>
        <w:t>e</w:t>
      </w:r>
      <w:r>
        <w:rPr>
          <w:b/>
          <w:bCs/>
          <w:color w:val="993300"/>
          <w:spacing w:val="1"/>
          <w:sz w:val="28"/>
          <w:szCs w:val="28"/>
        </w:rPr>
        <w:t>s</w:t>
      </w:r>
      <w:r>
        <w:rPr>
          <w:b/>
          <w:bCs/>
          <w:color w:val="993300"/>
          <w:sz w:val="28"/>
          <w:szCs w:val="28"/>
        </w:rPr>
        <w:t>tu</w:t>
      </w:r>
      <w:r>
        <w:rPr>
          <w:b/>
          <w:bCs/>
          <w:color w:val="993300"/>
          <w:spacing w:val="1"/>
          <w:sz w:val="28"/>
          <w:szCs w:val="28"/>
        </w:rPr>
        <w:t>os</w:t>
      </w:r>
      <w:r>
        <w:rPr>
          <w:b/>
          <w:bCs/>
          <w:color w:val="993300"/>
          <w:sz w:val="28"/>
          <w:szCs w:val="28"/>
        </w:rPr>
        <w:t>e (pro</w:t>
      </w:r>
      <w:r>
        <w:rPr>
          <w:b/>
          <w:bCs/>
          <w:color w:val="993300"/>
          <w:spacing w:val="1"/>
          <w:sz w:val="28"/>
          <w:szCs w:val="28"/>
        </w:rPr>
        <w:t>c</w:t>
      </w:r>
      <w:r>
        <w:rPr>
          <w:b/>
          <w:bCs/>
          <w:color w:val="993300"/>
          <w:sz w:val="28"/>
          <w:szCs w:val="28"/>
        </w:rPr>
        <w:t>ent</w:t>
      </w:r>
      <w:r>
        <w:rPr>
          <w:b/>
          <w:bCs/>
          <w:color w:val="993300"/>
          <w:spacing w:val="1"/>
          <w:sz w:val="28"/>
          <w:szCs w:val="28"/>
        </w:rPr>
        <w:t>ais</w:t>
      </w:r>
      <w:r>
        <w:rPr>
          <w:b/>
          <w:bCs/>
          <w:color w:val="993300"/>
          <w:sz w:val="28"/>
          <w:szCs w:val="28"/>
        </w:rPr>
        <w:t>)</w:t>
      </w:r>
    </w:p>
    <w:p w:rsidR="004F7425" w:rsidRDefault="004F7425" w:rsidP="004F7425">
      <w:pPr>
        <w:widowControl w:val="0"/>
        <w:autoSpaceDE w:val="0"/>
        <w:autoSpaceDN w:val="0"/>
        <w:adjustRightInd w:val="0"/>
        <w:spacing w:line="130" w:lineRule="exact"/>
        <w:rPr>
          <w:color w:val="000000"/>
          <w:sz w:val="13"/>
          <w:szCs w:val="13"/>
        </w:rPr>
      </w:pPr>
    </w:p>
    <w:p w:rsidR="004F7425" w:rsidRDefault="004F7425" w:rsidP="004F7425">
      <w:pPr>
        <w:widowControl w:val="0"/>
        <w:autoSpaceDE w:val="0"/>
        <w:autoSpaceDN w:val="0"/>
        <w:adjustRightInd w:val="0"/>
        <w:spacing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70</w:t>
      </w:r>
    </w:p>
    <w:p w:rsidR="004F7425" w:rsidRDefault="004F7425" w:rsidP="004F7425">
      <w:pPr>
        <w:widowControl w:val="0"/>
        <w:autoSpaceDE w:val="0"/>
        <w:autoSpaceDN w:val="0"/>
        <w:adjustRightInd w:val="0"/>
        <w:spacing w:before="5"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60</w:t>
      </w:r>
    </w:p>
    <w:p w:rsidR="004F7425" w:rsidRDefault="004F7425" w:rsidP="004F7425">
      <w:pPr>
        <w:widowControl w:val="0"/>
        <w:autoSpaceDE w:val="0"/>
        <w:autoSpaceDN w:val="0"/>
        <w:adjustRightInd w:val="0"/>
        <w:spacing w:before="2"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50</w:t>
      </w:r>
    </w:p>
    <w:p w:rsidR="004F7425" w:rsidRDefault="004F7425" w:rsidP="004F7425">
      <w:pPr>
        <w:widowControl w:val="0"/>
        <w:autoSpaceDE w:val="0"/>
        <w:autoSpaceDN w:val="0"/>
        <w:adjustRightInd w:val="0"/>
        <w:spacing w:before="5"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40</w:t>
      </w:r>
    </w:p>
    <w:p w:rsidR="004F7425" w:rsidRDefault="004F7425" w:rsidP="004F7425">
      <w:pPr>
        <w:widowControl w:val="0"/>
        <w:autoSpaceDE w:val="0"/>
        <w:autoSpaceDN w:val="0"/>
        <w:adjustRightInd w:val="0"/>
        <w:spacing w:before="4"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30</w:t>
      </w:r>
    </w:p>
    <w:p w:rsidR="004F7425" w:rsidRDefault="004F7425" w:rsidP="004F7425">
      <w:pPr>
        <w:widowControl w:val="0"/>
        <w:autoSpaceDE w:val="0"/>
        <w:autoSpaceDN w:val="0"/>
        <w:adjustRightInd w:val="0"/>
        <w:spacing w:before="5"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20</w:t>
      </w:r>
    </w:p>
    <w:p w:rsidR="004F7425" w:rsidRDefault="004F7425" w:rsidP="004F7425">
      <w:pPr>
        <w:widowControl w:val="0"/>
        <w:autoSpaceDE w:val="0"/>
        <w:autoSpaceDN w:val="0"/>
        <w:adjustRightInd w:val="0"/>
        <w:spacing w:before="2"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line="193" w:lineRule="exact"/>
        <w:ind w:left="362" w:right="-20"/>
        <w:rPr>
          <w:rFonts w:ascii="Arial" w:hAnsi="Arial" w:cs="Arial"/>
          <w:color w:val="000000"/>
          <w:sz w:val="17"/>
          <w:szCs w:val="17"/>
        </w:rPr>
      </w:pPr>
      <w:r>
        <w:rPr>
          <w:rFonts w:ascii="Arial" w:hAnsi="Arial" w:cs="Arial"/>
          <w:color w:val="000000"/>
          <w:spacing w:val="1"/>
          <w:w w:val="103"/>
          <w:position w:val="-1"/>
          <w:sz w:val="17"/>
          <w:szCs w:val="17"/>
        </w:rPr>
        <w:t>10</w:t>
      </w:r>
    </w:p>
    <w:p w:rsidR="004F7425" w:rsidRDefault="004F7425" w:rsidP="004F7425">
      <w:pPr>
        <w:widowControl w:val="0"/>
        <w:autoSpaceDE w:val="0"/>
        <w:autoSpaceDN w:val="0"/>
        <w:adjustRightInd w:val="0"/>
        <w:spacing w:before="4" w:line="190" w:lineRule="exact"/>
        <w:rPr>
          <w:rFonts w:ascii="Arial" w:hAnsi="Arial" w:cs="Arial"/>
          <w:color w:val="000000"/>
          <w:sz w:val="19"/>
          <w:szCs w:val="19"/>
        </w:rPr>
      </w:pPr>
    </w:p>
    <w:p w:rsidR="004F7425" w:rsidRDefault="004F7425" w:rsidP="004F7425">
      <w:pPr>
        <w:widowControl w:val="0"/>
        <w:autoSpaceDE w:val="0"/>
        <w:autoSpaceDN w:val="0"/>
        <w:adjustRightInd w:val="0"/>
        <w:spacing w:before="42"/>
        <w:ind w:left="461" w:right="-20"/>
        <w:rPr>
          <w:rFonts w:ascii="Arial" w:hAnsi="Arial" w:cs="Arial"/>
          <w:color w:val="000000"/>
          <w:sz w:val="17"/>
          <w:szCs w:val="17"/>
        </w:rPr>
      </w:pPr>
      <w:r>
        <w:rPr>
          <w:rFonts w:ascii="Arial" w:hAnsi="Arial" w:cs="Arial"/>
          <w:color w:val="000000"/>
          <w:w w:val="103"/>
          <w:sz w:val="17"/>
          <w:szCs w:val="17"/>
        </w:rPr>
        <w:t>0</w:t>
      </w:r>
    </w:p>
    <w:p w:rsidR="004F7425" w:rsidRDefault="004F7425" w:rsidP="004F7425">
      <w:pPr>
        <w:widowControl w:val="0"/>
        <w:tabs>
          <w:tab w:val="left" w:pos="2140"/>
          <w:tab w:val="left" w:pos="3820"/>
          <w:tab w:val="left" w:pos="5480"/>
          <w:tab w:val="left" w:pos="7140"/>
          <w:tab w:val="left" w:pos="8800"/>
        </w:tabs>
        <w:autoSpaceDE w:val="0"/>
        <w:autoSpaceDN w:val="0"/>
        <w:adjustRightInd w:val="0"/>
        <w:spacing w:before="59" w:line="193" w:lineRule="exact"/>
        <w:ind w:left="494" w:right="-20"/>
        <w:rPr>
          <w:rFonts w:ascii="Arial" w:hAnsi="Arial" w:cs="Arial"/>
          <w:color w:val="000000"/>
          <w:sz w:val="17"/>
          <w:szCs w:val="17"/>
        </w:rPr>
      </w:pPr>
      <w:r>
        <w:rPr>
          <w:rFonts w:ascii="Arial" w:hAnsi="Arial" w:cs="Arial"/>
          <w:color w:val="000000"/>
          <w:spacing w:val="1"/>
          <w:position w:val="-1"/>
          <w:sz w:val="17"/>
          <w:szCs w:val="17"/>
        </w:rPr>
        <w:t>200</w:t>
      </w:r>
      <w:r>
        <w:rPr>
          <w:rFonts w:ascii="Arial" w:hAnsi="Arial" w:cs="Arial"/>
          <w:color w:val="000000"/>
          <w:position w:val="-1"/>
          <w:sz w:val="17"/>
          <w:szCs w:val="17"/>
        </w:rPr>
        <w:t>7</w:t>
      </w:r>
      <w:r>
        <w:rPr>
          <w:rFonts w:ascii="Arial" w:hAnsi="Arial" w:cs="Arial"/>
          <w:color w:val="000000"/>
          <w:spacing w:val="-36"/>
          <w:position w:val="-1"/>
          <w:sz w:val="17"/>
          <w:szCs w:val="17"/>
        </w:rPr>
        <w:t xml:space="preserve"> </w:t>
      </w:r>
      <w:r>
        <w:rPr>
          <w:rFonts w:ascii="Arial" w:hAnsi="Arial" w:cs="Arial"/>
          <w:color w:val="000000"/>
          <w:position w:val="-1"/>
          <w:sz w:val="17"/>
          <w:szCs w:val="17"/>
        </w:rPr>
        <w:tab/>
      </w:r>
      <w:r>
        <w:rPr>
          <w:rFonts w:ascii="Arial" w:hAnsi="Arial" w:cs="Arial"/>
          <w:color w:val="000000"/>
          <w:spacing w:val="1"/>
          <w:position w:val="-1"/>
          <w:sz w:val="17"/>
          <w:szCs w:val="17"/>
        </w:rPr>
        <w:t>200</w:t>
      </w:r>
      <w:r>
        <w:rPr>
          <w:rFonts w:ascii="Arial" w:hAnsi="Arial" w:cs="Arial"/>
          <w:color w:val="000000"/>
          <w:position w:val="-1"/>
          <w:sz w:val="17"/>
          <w:szCs w:val="17"/>
        </w:rPr>
        <w:t>8</w:t>
      </w:r>
      <w:r>
        <w:rPr>
          <w:rFonts w:ascii="Arial" w:hAnsi="Arial" w:cs="Arial"/>
          <w:color w:val="000000"/>
          <w:spacing w:val="-36"/>
          <w:position w:val="-1"/>
          <w:sz w:val="17"/>
          <w:szCs w:val="17"/>
        </w:rPr>
        <w:t xml:space="preserve"> </w:t>
      </w:r>
      <w:r>
        <w:rPr>
          <w:rFonts w:ascii="Arial" w:hAnsi="Arial" w:cs="Arial"/>
          <w:color w:val="000000"/>
          <w:position w:val="-1"/>
          <w:sz w:val="17"/>
          <w:szCs w:val="17"/>
        </w:rPr>
        <w:tab/>
      </w:r>
      <w:r>
        <w:rPr>
          <w:rFonts w:ascii="Arial" w:hAnsi="Arial" w:cs="Arial"/>
          <w:color w:val="000000"/>
          <w:spacing w:val="1"/>
          <w:position w:val="-1"/>
          <w:sz w:val="17"/>
          <w:szCs w:val="17"/>
        </w:rPr>
        <w:t>200</w:t>
      </w:r>
      <w:r>
        <w:rPr>
          <w:rFonts w:ascii="Arial" w:hAnsi="Arial" w:cs="Arial"/>
          <w:color w:val="000000"/>
          <w:position w:val="-1"/>
          <w:sz w:val="17"/>
          <w:szCs w:val="17"/>
        </w:rPr>
        <w:t>9</w:t>
      </w:r>
      <w:r>
        <w:rPr>
          <w:rFonts w:ascii="Arial" w:hAnsi="Arial" w:cs="Arial"/>
          <w:color w:val="000000"/>
          <w:spacing w:val="-36"/>
          <w:position w:val="-1"/>
          <w:sz w:val="17"/>
          <w:szCs w:val="17"/>
        </w:rPr>
        <w:t xml:space="preserve"> </w:t>
      </w:r>
      <w:r>
        <w:rPr>
          <w:rFonts w:ascii="Arial" w:hAnsi="Arial" w:cs="Arial"/>
          <w:color w:val="000000"/>
          <w:position w:val="-1"/>
          <w:sz w:val="17"/>
          <w:szCs w:val="17"/>
        </w:rPr>
        <w:tab/>
      </w:r>
      <w:r>
        <w:rPr>
          <w:rFonts w:ascii="Arial" w:hAnsi="Arial" w:cs="Arial"/>
          <w:color w:val="000000"/>
          <w:spacing w:val="1"/>
          <w:position w:val="-1"/>
          <w:sz w:val="17"/>
          <w:szCs w:val="17"/>
        </w:rPr>
        <w:t>201</w:t>
      </w:r>
      <w:r>
        <w:rPr>
          <w:rFonts w:ascii="Arial" w:hAnsi="Arial" w:cs="Arial"/>
          <w:color w:val="000000"/>
          <w:position w:val="-1"/>
          <w:sz w:val="17"/>
          <w:szCs w:val="17"/>
        </w:rPr>
        <w:t>0</w:t>
      </w:r>
      <w:r>
        <w:rPr>
          <w:rFonts w:ascii="Arial" w:hAnsi="Arial" w:cs="Arial"/>
          <w:color w:val="000000"/>
          <w:spacing w:val="-36"/>
          <w:position w:val="-1"/>
          <w:sz w:val="17"/>
          <w:szCs w:val="17"/>
        </w:rPr>
        <w:t xml:space="preserve"> </w:t>
      </w:r>
      <w:r>
        <w:rPr>
          <w:rFonts w:ascii="Arial" w:hAnsi="Arial" w:cs="Arial"/>
          <w:color w:val="000000"/>
          <w:position w:val="-1"/>
          <w:sz w:val="17"/>
          <w:szCs w:val="17"/>
        </w:rPr>
        <w:tab/>
      </w:r>
      <w:r>
        <w:rPr>
          <w:rFonts w:ascii="Arial" w:hAnsi="Arial" w:cs="Arial"/>
          <w:color w:val="000000"/>
          <w:spacing w:val="1"/>
          <w:position w:val="-1"/>
          <w:sz w:val="17"/>
          <w:szCs w:val="17"/>
        </w:rPr>
        <w:t>201</w:t>
      </w:r>
      <w:r>
        <w:rPr>
          <w:rFonts w:ascii="Arial" w:hAnsi="Arial" w:cs="Arial"/>
          <w:color w:val="000000"/>
          <w:position w:val="-1"/>
          <w:sz w:val="17"/>
          <w:szCs w:val="17"/>
        </w:rPr>
        <w:t>1</w:t>
      </w:r>
      <w:r>
        <w:rPr>
          <w:rFonts w:ascii="Arial" w:hAnsi="Arial" w:cs="Arial"/>
          <w:color w:val="000000"/>
          <w:spacing w:val="-36"/>
          <w:position w:val="-1"/>
          <w:sz w:val="17"/>
          <w:szCs w:val="17"/>
        </w:rPr>
        <w:t xml:space="preserve"> </w:t>
      </w:r>
      <w:r>
        <w:rPr>
          <w:rFonts w:ascii="Arial" w:hAnsi="Arial" w:cs="Arial"/>
          <w:color w:val="000000"/>
          <w:position w:val="-1"/>
          <w:sz w:val="17"/>
          <w:szCs w:val="17"/>
        </w:rPr>
        <w:tab/>
      </w:r>
      <w:r>
        <w:rPr>
          <w:rFonts w:ascii="Arial" w:hAnsi="Arial" w:cs="Arial"/>
          <w:color w:val="000000"/>
          <w:spacing w:val="1"/>
          <w:w w:val="103"/>
          <w:position w:val="-1"/>
          <w:sz w:val="17"/>
          <w:szCs w:val="17"/>
        </w:rPr>
        <w:t>2012</w:t>
      </w:r>
    </w:p>
    <w:p w:rsidR="004F7425" w:rsidRDefault="004F7425" w:rsidP="004F7425">
      <w:pPr>
        <w:widowControl w:val="0"/>
        <w:autoSpaceDE w:val="0"/>
        <w:autoSpaceDN w:val="0"/>
        <w:adjustRightInd w:val="0"/>
        <w:spacing w:before="1" w:line="190" w:lineRule="exact"/>
        <w:rPr>
          <w:rFonts w:ascii="Arial" w:hAnsi="Arial" w:cs="Arial"/>
          <w:color w:val="000000"/>
          <w:sz w:val="19"/>
          <w:szCs w:val="19"/>
        </w:rPr>
      </w:pPr>
    </w:p>
    <w:p w:rsidR="004F7425" w:rsidRDefault="004F7425" w:rsidP="004F7425">
      <w:pPr>
        <w:widowControl w:val="0"/>
        <w:tabs>
          <w:tab w:val="left" w:pos="3540"/>
          <w:tab w:val="left" w:pos="4440"/>
          <w:tab w:val="left" w:pos="5460"/>
          <w:tab w:val="left" w:pos="6600"/>
        </w:tabs>
        <w:autoSpaceDE w:val="0"/>
        <w:autoSpaceDN w:val="0"/>
        <w:adjustRightInd w:val="0"/>
        <w:spacing w:before="37"/>
        <w:ind w:left="2671" w:right="-20"/>
        <w:rPr>
          <w:color w:val="000000"/>
          <w:sz w:val="20"/>
        </w:rPr>
      </w:pPr>
      <w:r>
        <w:rPr>
          <w:color w:val="000000"/>
          <w:spacing w:val="-1"/>
          <w:sz w:val="20"/>
        </w:rPr>
        <w:t>V</w:t>
      </w:r>
      <w:r>
        <w:rPr>
          <w:color w:val="000000"/>
          <w:spacing w:val="1"/>
          <w:sz w:val="20"/>
        </w:rPr>
        <w:t>ilniu</w:t>
      </w:r>
      <w:r>
        <w:rPr>
          <w:color w:val="000000"/>
          <w:sz w:val="20"/>
        </w:rPr>
        <w:t>s</w:t>
      </w:r>
      <w:r>
        <w:rPr>
          <w:color w:val="000000"/>
          <w:spacing w:val="-38"/>
          <w:sz w:val="20"/>
        </w:rPr>
        <w:t xml:space="preserve"> </w:t>
      </w:r>
      <w:r>
        <w:rPr>
          <w:color w:val="000000"/>
          <w:sz w:val="20"/>
        </w:rPr>
        <w:tab/>
      </w:r>
      <w:r>
        <w:rPr>
          <w:color w:val="000000"/>
          <w:spacing w:val="-1"/>
          <w:sz w:val="20"/>
        </w:rPr>
        <w:t>K</w:t>
      </w:r>
      <w:r>
        <w:rPr>
          <w:color w:val="000000"/>
          <w:sz w:val="20"/>
        </w:rPr>
        <w:t>a</w:t>
      </w:r>
      <w:r>
        <w:rPr>
          <w:color w:val="000000"/>
          <w:spacing w:val="1"/>
          <w:sz w:val="20"/>
        </w:rPr>
        <w:t>un</w:t>
      </w:r>
      <w:r>
        <w:rPr>
          <w:color w:val="000000"/>
          <w:sz w:val="20"/>
        </w:rPr>
        <w:t>as</w:t>
      </w:r>
      <w:r>
        <w:rPr>
          <w:color w:val="000000"/>
          <w:spacing w:val="-38"/>
          <w:sz w:val="20"/>
        </w:rPr>
        <w:t xml:space="preserve"> </w:t>
      </w:r>
      <w:r>
        <w:rPr>
          <w:color w:val="000000"/>
          <w:sz w:val="20"/>
        </w:rPr>
        <w:tab/>
      </w:r>
      <w:r>
        <w:rPr>
          <w:color w:val="000000"/>
          <w:spacing w:val="-1"/>
          <w:sz w:val="20"/>
        </w:rPr>
        <w:t>K</w:t>
      </w:r>
      <w:r>
        <w:rPr>
          <w:color w:val="000000"/>
          <w:spacing w:val="1"/>
          <w:sz w:val="20"/>
        </w:rPr>
        <w:t>l</w:t>
      </w:r>
      <w:r>
        <w:rPr>
          <w:color w:val="000000"/>
          <w:sz w:val="20"/>
        </w:rPr>
        <w:t>a</w:t>
      </w:r>
      <w:r>
        <w:rPr>
          <w:color w:val="000000"/>
          <w:spacing w:val="1"/>
          <w:sz w:val="20"/>
        </w:rPr>
        <w:t>ip</w:t>
      </w:r>
      <w:r>
        <w:rPr>
          <w:color w:val="000000"/>
          <w:sz w:val="20"/>
        </w:rPr>
        <w:t>ė</w:t>
      </w:r>
      <w:r>
        <w:rPr>
          <w:color w:val="000000"/>
          <w:spacing w:val="1"/>
          <w:sz w:val="20"/>
        </w:rPr>
        <w:t>d</w:t>
      </w:r>
      <w:r>
        <w:rPr>
          <w:color w:val="000000"/>
          <w:sz w:val="20"/>
        </w:rPr>
        <w:t>a</w:t>
      </w:r>
      <w:r>
        <w:rPr>
          <w:color w:val="000000"/>
          <w:spacing w:val="-36"/>
          <w:sz w:val="20"/>
        </w:rPr>
        <w:t xml:space="preserve"> </w:t>
      </w:r>
      <w:r>
        <w:rPr>
          <w:color w:val="000000"/>
          <w:sz w:val="20"/>
        </w:rPr>
        <w:tab/>
      </w:r>
      <w:r>
        <w:rPr>
          <w:color w:val="000000"/>
          <w:spacing w:val="2"/>
          <w:sz w:val="20"/>
        </w:rPr>
        <w:t>P</w:t>
      </w:r>
      <w:r>
        <w:rPr>
          <w:color w:val="000000"/>
          <w:sz w:val="20"/>
        </w:rPr>
        <w:t>a</w:t>
      </w:r>
      <w:r>
        <w:rPr>
          <w:color w:val="000000"/>
          <w:spacing w:val="1"/>
          <w:sz w:val="20"/>
        </w:rPr>
        <w:t>n</w:t>
      </w:r>
      <w:r>
        <w:rPr>
          <w:color w:val="000000"/>
          <w:sz w:val="20"/>
        </w:rPr>
        <w:t>e</w:t>
      </w:r>
      <w:r>
        <w:rPr>
          <w:color w:val="000000"/>
          <w:spacing w:val="-1"/>
          <w:sz w:val="20"/>
        </w:rPr>
        <w:t>v</w:t>
      </w:r>
      <w:r>
        <w:rPr>
          <w:color w:val="000000"/>
          <w:sz w:val="20"/>
        </w:rPr>
        <w:t>ėž</w:t>
      </w:r>
      <w:r>
        <w:rPr>
          <w:color w:val="000000"/>
          <w:spacing w:val="-1"/>
          <w:sz w:val="20"/>
        </w:rPr>
        <w:t>y</w:t>
      </w:r>
      <w:r>
        <w:rPr>
          <w:color w:val="000000"/>
          <w:sz w:val="20"/>
        </w:rPr>
        <w:t>s</w:t>
      </w:r>
      <w:r>
        <w:rPr>
          <w:color w:val="000000"/>
          <w:spacing w:val="-33"/>
          <w:sz w:val="20"/>
        </w:rPr>
        <w:t xml:space="preserve"> </w:t>
      </w:r>
      <w:r>
        <w:rPr>
          <w:color w:val="000000"/>
          <w:sz w:val="20"/>
        </w:rPr>
        <w:tab/>
      </w:r>
      <w:r>
        <w:rPr>
          <w:color w:val="000000"/>
          <w:spacing w:val="-1"/>
          <w:w w:val="102"/>
          <w:sz w:val="20"/>
        </w:rPr>
        <w:t>Š</w:t>
      </w:r>
      <w:r>
        <w:rPr>
          <w:color w:val="000000"/>
          <w:spacing w:val="1"/>
          <w:w w:val="102"/>
          <w:sz w:val="20"/>
        </w:rPr>
        <w:t>i</w:t>
      </w:r>
      <w:r>
        <w:rPr>
          <w:color w:val="000000"/>
          <w:w w:val="102"/>
          <w:sz w:val="20"/>
        </w:rPr>
        <w:t>a</w:t>
      </w:r>
      <w:r>
        <w:rPr>
          <w:color w:val="000000"/>
          <w:spacing w:val="1"/>
          <w:w w:val="102"/>
          <w:sz w:val="20"/>
        </w:rPr>
        <w:t>uli</w:t>
      </w:r>
      <w:r>
        <w:rPr>
          <w:color w:val="000000"/>
          <w:w w:val="102"/>
          <w:sz w:val="20"/>
        </w:rPr>
        <w:t>ai</w:t>
      </w:r>
    </w:p>
    <w:p w:rsidR="004F7425" w:rsidRDefault="004F7425" w:rsidP="004F7425">
      <w:pPr>
        <w:widowControl w:val="0"/>
        <w:autoSpaceDE w:val="0"/>
        <w:autoSpaceDN w:val="0"/>
        <w:adjustRightInd w:val="0"/>
        <w:spacing w:line="160" w:lineRule="exact"/>
        <w:rPr>
          <w:color w:val="000000"/>
          <w:sz w:val="16"/>
          <w:szCs w:val="16"/>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45" w:firstLine="721"/>
        <w:jc w:val="both"/>
        <w:rPr>
          <w:color w:val="000000"/>
        </w:rPr>
      </w:pPr>
      <w:r>
        <w:rPr>
          <w:color w:val="000000"/>
        </w:rPr>
        <w:t>2012</w:t>
      </w:r>
      <w:r>
        <w:rPr>
          <w:color w:val="000000"/>
          <w:spacing w:val="6"/>
        </w:rPr>
        <w:t xml:space="preserve"> </w:t>
      </w:r>
      <w:r>
        <w:rPr>
          <w:color w:val="000000"/>
          <w:spacing w:val="-9"/>
        </w:rPr>
        <w:t>m</w:t>
      </w:r>
      <w:r>
        <w:rPr>
          <w:color w:val="000000"/>
        </w:rPr>
        <w:t>.</w:t>
      </w:r>
      <w:r>
        <w:rPr>
          <w:color w:val="000000"/>
          <w:spacing w:val="8"/>
        </w:rPr>
        <w:t xml:space="preserve"> </w:t>
      </w:r>
      <w:r>
        <w:rPr>
          <w:color w:val="000000"/>
          <w:spacing w:val="-4"/>
        </w:rPr>
        <w:t>l</w:t>
      </w:r>
      <w:r>
        <w:rPr>
          <w:color w:val="000000"/>
          <w:spacing w:val="-5"/>
        </w:rPr>
        <w:t>y</w:t>
      </w:r>
      <w:r>
        <w:rPr>
          <w:color w:val="000000"/>
          <w:spacing w:val="5"/>
        </w:rPr>
        <w:t>g</w:t>
      </w:r>
      <w:r>
        <w:rPr>
          <w:color w:val="000000"/>
          <w:spacing w:val="-4"/>
        </w:rPr>
        <w:t>i</w:t>
      </w:r>
      <w:r>
        <w:rPr>
          <w:color w:val="000000"/>
        </w:rPr>
        <w:t>n</w:t>
      </w:r>
      <w:r>
        <w:rPr>
          <w:color w:val="000000"/>
          <w:spacing w:val="4"/>
        </w:rPr>
        <w:t>a</w:t>
      </w:r>
      <w:r>
        <w:rPr>
          <w:color w:val="000000"/>
          <w:spacing w:val="-5"/>
        </w:rPr>
        <w:t>n</w:t>
      </w:r>
      <w:r>
        <w:rPr>
          <w:color w:val="000000"/>
        </w:rPr>
        <w:t>t</w:t>
      </w:r>
      <w:r>
        <w:rPr>
          <w:color w:val="000000"/>
          <w:spacing w:val="6"/>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6"/>
        </w:rPr>
        <w:t xml:space="preserve"> </w:t>
      </w:r>
      <w:r>
        <w:rPr>
          <w:color w:val="000000"/>
          <w:spacing w:val="-5"/>
        </w:rPr>
        <w:t>v</w:t>
      </w:r>
      <w:r>
        <w:rPr>
          <w:color w:val="000000"/>
          <w:spacing w:val="4"/>
        </w:rPr>
        <w:t>e</w:t>
      </w:r>
      <w:r>
        <w:rPr>
          <w:color w:val="000000"/>
          <w:spacing w:val="-4"/>
        </w:rPr>
        <w:t>i</w:t>
      </w:r>
      <w:r>
        <w:rPr>
          <w:color w:val="000000"/>
        </w:rPr>
        <w:t>kų</w:t>
      </w:r>
      <w:r>
        <w:rPr>
          <w:color w:val="000000"/>
          <w:spacing w:val="1"/>
        </w:rPr>
        <w:t xml:space="preserve"> </w:t>
      </w:r>
      <w:r>
        <w:rPr>
          <w:color w:val="000000"/>
        </w:rPr>
        <w:t>p</w:t>
      </w:r>
      <w:r>
        <w:rPr>
          <w:color w:val="000000"/>
          <w:spacing w:val="4"/>
        </w:rPr>
        <w:t>a</w:t>
      </w:r>
      <w:r>
        <w:rPr>
          <w:color w:val="000000"/>
          <w:spacing w:val="2"/>
        </w:rPr>
        <w:t>s</w:t>
      </w:r>
      <w:r>
        <w:rPr>
          <w:color w:val="000000"/>
          <w:spacing w:val="-4"/>
        </w:rPr>
        <w:t>i</w:t>
      </w:r>
      <w:r>
        <w:rPr>
          <w:color w:val="000000"/>
          <w:spacing w:val="-2"/>
        </w:rPr>
        <w:t>s</w:t>
      </w:r>
      <w:r>
        <w:rPr>
          <w:color w:val="000000"/>
          <w:spacing w:val="5"/>
        </w:rPr>
        <w:t>k</w:t>
      </w:r>
      <w:r>
        <w:rPr>
          <w:color w:val="000000"/>
          <w:spacing w:val="-4"/>
        </w:rPr>
        <w:t>i</w:t>
      </w:r>
      <w:r>
        <w:rPr>
          <w:color w:val="000000"/>
          <w:spacing w:val="1"/>
        </w:rPr>
        <w:t>r</w:t>
      </w:r>
      <w:r>
        <w:rPr>
          <w:color w:val="000000"/>
          <w:spacing w:val="-2"/>
        </w:rPr>
        <w:t>s</w:t>
      </w:r>
      <w:r>
        <w:rPr>
          <w:color w:val="000000"/>
          <w:spacing w:val="10"/>
        </w:rPr>
        <w:t>t</w:t>
      </w:r>
      <w:r>
        <w:rPr>
          <w:color w:val="000000"/>
          <w:spacing w:val="-5"/>
        </w:rPr>
        <w:t>y</w:t>
      </w:r>
      <w:r>
        <w:rPr>
          <w:color w:val="000000"/>
          <w:spacing w:val="-4"/>
        </w:rPr>
        <w:t>m</w:t>
      </w:r>
      <w:r>
        <w:rPr>
          <w:color w:val="000000"/>
        </w:rPr>
        <w:t xml:space="preserve">ą </w:t>
      </w:r>
      <w:r>
        <w:rPr>
          <w:color w:val="000000"/>
          <w:spacing w:val="5"/>
        </w:rPr>
        <w:t>t</w:t>
      </w:r>
      <w:r>
        <w:rPr>
          <w:color w:val="000000"/>
          <w:spacing w:val="-1"/>
        </w:rPr>
        <w:t>e</w:t>
      </w:r>
      <w:r>
        <w:rPr>
          <w:color w:val="000000"/>
          <w:spacing w:val="1"/>
        </w:rPr>
        <w:t>r</w:t>
      </w:r>
      <w:r>
        <w:rPr>
          <w:color w:val="000000"/>
          <w:spacing w:val="-9"/>
        </w:rPr>
        <w:t>i</w:t>
      </w:r>
      <w:r>
        <w:rPr>
          <w:color w:val="000000"/>
          <w:spacing w:val="5"/>
        </w:rPr>
        <w:t>to</w:t>
      </w:r>
      <w:r>
        <w:rPr>
          <w:color w:val="000000"/>
          <w:spacing w:val="1"/>
        </w:rPr>
        <w:t>r</w:t>
      </w:r>
      <w:r>
        <w:rPr>
          <w:color w:val="000000"/>
          <w:spacing w:val="-4"/>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4"/>
        </w:rPr>
        <w:t xml:space="preserve"> </w:t>
      </w:r>
      <w:r>
        <w:rPr>
          <w:color w:val="000000"/>
        </w:rPr>
        <w:t>k</w:t>
      </w:r>
      <w:r>
        <w:rPr>
          <w:color w:val="000000"/>
          <w:spacing w:val="4"/>
        </w:rPr>
        <w:t>a</w:t>
      </w:r>
      <w:r>
        <w:rPr>
          <w:color w:val="000000"/>
          <w:spacing w:val="-9"/>
        </w:rPr>
        <w:t>i</w:t>
      </w:r>
      <w:r>
        <w:rPr>
          <w:color w:val="000000"/>
        </w:rPr>
        <w:t>p</w:t>
      </w:r>
      <w:r>
        <w:rPr>
          <w:color w:val="000000"/>
          <w:spacing w:val="6"/>
        </w:rPr>
        <w:t xml:space="preserve"> </w:t>
      </w:r>
      <w:r>
        <w:rPr>
          <w:color w:val="000000"/>
          <w:spacing w:val="-4"/>
        </w:rPr>
        <w:t>i</w:t>
      </w:r>
      <w:r>
        <w:rPr>
          <w:color w:val="000000"/>
        </w:rPr>
        <w:t>r</w:t>
      </w:r>
      <w:r>
        <w:rPr>
          <w:color w:val="000000"/>
          <w:spacing w:val="3"/>
        </w:rPr>
        <w:t xml:space="preserve"> </w:t>
      </w:r>
      <w:r>
        <w:rPr>
          <w:color w:val="000000"/>
          <w:spacing w:val="4"/>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4"/>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spacing w:val="-2"/>
        </w:rPr>
        <w:t>s</w:t>
      </w:r>
      <w:r>
        <w:rPr>
          <w:color w:val="000000"/>
        </w:rPr>
        <w:t>, 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1"/>
        </w:rPr>
        <w:t xml:space="preserve"> </w:t>
      </w:r>
      <w:r>
        <w:rPr>
          <w:color w:val="000000"/>
          <w:spacing w:val="-4"/>
        </w:rPr>
        <w:t>j</w:t>
      </w:r>
      <w:r>
        <w:rPr>
          <w:color w:val="000000"/>
        </w:rPr>
        <w:t>ų</w:t>
      </w:r>
      <w:r>
        <w:rPr>
          <w:color w:val="000000"/>
          <w:spacing w:val="6"/>
        </w:rPr>
        <w:t xml:space="preserve"> </w:t>
      </w:r>
      <w:r>
        <w:rPr>
          <w:color w:val="000000"/>
          <w:spacing w:val="-5"/>
        </w:rPr>
        <w:t>b</w:t>
      </w:r>
      <w:r>
        <w:rPr>
          <w:color w:val="000000"/>
          <w:spacing w:val="5"/>
        </w:rPr>
        <w:t>u</w:t>
      </w:r>
      <w:r>
        <w:rPr>
          <w:color w:val="000000"/>
          <w:spacing w:val="-5"/>
        </w:rPr>
        <w:t>v</w:t>
      </w:r>
      <w:r>
        <w:rPr>
          <w:color w:val="000000"/>
        </w:rPr>
        <w:t>o</w:t>
      </w:r>
      <w:r>
        <w:rPr>
          <w:color w:val="000000"/>
          <w:spacing w:val="5"/>
        </w:rPr>
        <w:t xml:space="preserve"> </w:t>
      </w:r>
      <w:r>
        <w:rPr>
          <w:color w:val="000000"/>
          <w:spacing w:val="1"/>
        </w:rPr>
        <w:t>r</w:t>
      </w:r>
      <w:r>
        <w:rPr>
          <w:color w:val="000000"/>
          <w:spacing w:val="-1"/>
        </w:rPr>
        <w:t>e</w:t>
      </w:r>
      <w:r>
        <w:rPr>
          <w:color w:val="000000"/>
        </w:rPr>
        <w:t>g</w:t>
      </w:r>
      <w:r>
        <w:rPr>
          <w:color w:val="000000"/>
          <w:spacing w:val="-4"/>
        </w:rPr>
        <w:t>i</w:t>
      </w:r>
      <w:r>
        <w:rPr>
          <w:color w:val="000000"/>
          <w:spacing w:val="-2"/>
        </w:rPr>
        <w:t>s</w:t>
      </w:r>
      <w:r>
        <w:rPr>
          <w:color w:val="000000"/>
          <w:spacing w:val="5"/>
        </w:rPr>
        <w:t>t</w:t>
      </w:r>
      <w:r>
        <w:rPr>
          <w:color w:val="000000"/>
          <w:spacing w:val="1"/>
        </w:rPr>
        <w:t>r</w:t>
      </w:r>
      <w:r>
        <w:rPr>
          <w:color w:val="000000"/>
          <w:spacing w:val="-5"/>
        </w:rPr>
        <w:t>u</w:t>
      </w:r>
      <w:r>
        <w:rPr>
          <w:color w:val="000000"/>
          <w:spacing w:val="5"/>
        </w:rPr>
        <w:t>o</w:t>
      </w:r>
      <w:r>
        <w:rPr>
          <w:color w:val="000000"/>
          <w:spacing w:val="-9"/>
        </w:rPr>
        <w:t>j</w:t>
      </w:r>
      <w:r>
        <w:rPr>
          <w:color w:val="000000"/>
          <w:spacing w:val="4"/>
        </w:rPr>
        <w:t>a</w:t>
      </w:r>
      <w:r>
        <w:rPr>
          <w:color w:val="000000"/>
          <w:spacing w:val="-4"/>
        </w:rPr>
        <w:t>m</w:t>
      </w:r>
      <w:r>
        <w:rPr>
          <w:color w:val="000000"/>
        </w:rPr>
        <w:t>a</w:t>
      </w:r>
      <w:r>
        <w:rPr>
          <w:color w:val="000000"/>
          <w:spacing w:val="4"/>
        </w:rPr>
        <w:t xml:space="preserve"> </w:t>
      </w:r>
      <w:r>
        <w:rPr>
          <w:color w:val="000000"/>
          <w:spacing w:val="5"/>
        </w:rPr>
        <w:t>d</w:t>
      </w:r>
      <w:r>
        <w:rPr>
          <w:color w:val="000000"/>
          <w:spacing w:val="-9"/>
        </w:rPr>
        <w:t>i</w:t>
      </w:r>
      <w:r>
        <w:rPr>
          <w:color w:val="000000"/>
          <w:spacing w:val="5"/>
        </w:rPr>
        <w:t>d</w:t>
      </w:r>
      <w:r>
        <w:rPr>
          <w:color w:val="000000"/>
          <w:spacing w:val="4"/>
        </w:rPr>
        <w:t>ž</w:t>
      </w:r>
      <w:r>
        <w:rPr>
          <w:color w:val="000000"/>
          <w:spacing w:val="-9"/>
        </w:rPr>
        <w:t>i</w:t>
      </w:r>
      <w:r>
        <w:rPr>
          <w:color w:val="000000"/>
        </w:rPr>
        <w:t>u</w:t>
      </w:r>
      <w:r>
        <w:rPr>
          <w:color w:val="000000"/>
          <w:spacing w:val="5"/>
        </w:rPr>
        <w:t>o</w:t>
      </w:r>
      <w:r>
        <w:rPr>
          <w:color w:val="000000"/>
          <w:spacing w:val="2"/>
        </w:rPr>
        <w:t>s</w:t>
      </w:r>
      <w:r>
        <w:rPr>
          <w:color w:val="000000"/>
          <w:spacing w:val="-4"/>
        </w:rPr>
        <w:t>i</w:t>
      </w:r>
      <w:r>
        <w:rPr>
          <w:color w:val="000000"/>
        </w:rPr>
        <w:t>u</w:t>
      </w:r>
      <w:r>
        <w:rPr>
          <w:color w:val="000000"/>
          <w:spacing w:val="5"/>
        </w:rPr>
        <w:t>o</w:t>
      </w:r>
      <w:r>
        <w:rPr>
          <w:color w:val="000000"/>
          <w:spacing w:val="-2"/>
        </w:rPr>
        <w:t>s</w:t>
      </w:r>
      <w:r>
        <w:rPr>
          <w:color w:val="000000"/>
        </w:rPr>
        <w:t xml:space="preserve">e </w:t>
      </w:r>
      <w:r>
        <w:rPr>
          <w:color w:val="000000"/>
          <w:spacing w:val="2"/>
        </w:rPr>
        <w:t>š</w:t>
      </w:r>
      <w:r>
        <w:rPr>
          <w:color w:val="000000"/>
          <w:spacing w:val="4"/>
        </w:rPr>
        <w:t>a</w:t>
      </w:r>
      <w:r>
        <w:rPr>
          <w:color w:val="000000"/>
          <w:spacing w:val="-4"/>
        </w:rPr>
        <w:t>li</w:t>
      </w:r>
      <w:r>
        <w:rPr>
          <w:color w:val="000000"/>
          <w:spacing w:val="4"/>
        </w:rPr>
        <w:t>e</w:t>
      </w:r>
      <w:r>
        <w:rPr>
          <w:color w:val="000000"/>
        </w:rPr>
        <w:t>s</w:t>
      </w:r>
      <w:r>
        <w:rPr>
          <w:color w:val="000000"/>
          <w:spacing w:val="3"/>
        </w:rPr>
        <w:t xml:space="preserve"> </w:t>
      </w:r>
      <w:r>
        <w:rPr>
          <w:color w:val="000000"/>
          <w:spacing w:val="-4"/>
        </w:rPr>
        <w:t>mi</w:t>
      </w:r>
      <w:r>
        <w:rPr>
          <w:color w:val="000000"/>
          <w:spacing w:val="4"/>
        </w:rPr>
        <w:t>e</w:t>
      </w:r>
      <w:r>
        <w:rPr>
          <w:color w:val="000000"/>
          <w:spacing w:val="-2"/>
        </w:rPr>
        <w:t>s</w:t>
      </w:r>
      <w:r>
        <w:rPr>
          <w:color w:val="000000"/>
          <w:spacing w:val="5"/>
        </w:rPr>
        <w:t>t</w:t>
      </w:r>
      <w:r>
        <w:rPr>
          <w:color w:val="000000"/>
        </w:rPr>
        <w:t>u</w:t>
      </w:r>
      <w:r>
        <w:rPr>
          <w:color w:val="000000"/>
          <w:spacing w:val="5"/>
        </w:rPr>
        <w:t>o</w:t>
      </w:r>
      <w:r>
        <w:rPr>
          <w:color w:val="000000"/>
          <w:spacing w:val="-2"/>
        </w:rPr>
        <w:t>s</w:t>
      </w:r>
      <w:r>
        <w:rPr>
          <w:color w:val="000000"/>
        </w:rPr>
        <w:t xml:space="preserve">e </w:t>
      </w:r>
      <w:r>
        <w:rPr>
          <w:color w:val="000000"/>
          <w:spacing w:val="1"/>
        </w:rPr>
        <w:t>(</w:t>
      </w:r>
      <w:r>
        <w:rPr>
          <w:color w:val="000000"/>
        </w:rPr>
        <w:t>V</w:t>
      </w:r>
      <w:r>
        <w:rPr>
          <w:color w:val="000000"/>
          <w:spacing w:val="-5"/>
        </w:rPr>
        <w:t>i</w:t>
      </w:r>
      <w:r>
        <w:rPr>
          <w:color w:val="000000"/>
          <w:spacing w:val="-4"/>
        </w:rPr>
        <w:t>l</w:t>
      </w:r>
      <w:r>
        <w:rPr>
          <w:color w:val="000000"/>
          <w:spacing w:val="5"/>
        </w:rPr>
        <w:t>n</w:t>
      </w:r>
      <w:r>
        <w:rPr>
          <w:color w:val="000000"/>
          <w:spacing w:val="-4"/>
        </w:rPr>
        <w:t>i</w:t>
      </w:r>
      <w:r>
        <w:rPr>
          <w:color w:val="000000"/>
          <w:spacing w:val="5"/>
        </w:rPr>
        <w:t>u</w:t>
      </w:r>
      <w:r>
        <w:rPr>
          <w:color w:val="000000"/>
          <w:spacing w:val="-4"/>
        </w:rPr>
        <w:t>j</w:t>
      </w:r>
      <w:r>
        <w:rPr>
          <w:color w:val="000000"/>
          <w:spacing w:val="-1"/>
        </w:rPr>
        <w:t>e</w:t>
      </w:r>
      <w:r>
        <w:rPr>
          <w:color w:val="000000"/>
        </w:rPr>
        <w:t>,</w:t>
      </w:r>
      <w:r>
        <w:rPr>
          <w:color w:val="000000"/>
          <w:spacing w:val="8"/>
        </w:rPr>
        <w:t xml:space="preserve"> </w:t>
      </w:r>
      <w:r>
        <w:rPr>
          <w:color w:val="000000"/>
          <w:spacing w:val="-5"/>
        </w:rPr>
        <w:t>K</w:t>
      </w:r>
      <w:r>
        <w:rPr>
          <w:color w:val="000000"/>
          <w:spacing w:val="-1"/>
        </w:rPr>
        <w:t>a</w:t>
      </w:r>
      <w:r>
        <w:rPr>
          <w:color w:val="000000"/>
          <w:spacing w:val="5"/>
        </w:rPr>
        <w:t>u</w:t>
      </w:r>
      <w:r>
        <w:rPr>
          <w:color w:val="000000"/>
          <w:spacing w:val="-5"/>
        </w:rPr>
        <w:t>n</w:t>
      </w:r>
      <w:r>
        <w:rPr>
          <w:color w:val="000000"/>
        </w:rPr>
        <w:t>e</w:t>
      </w:r>
      <w:r>
        <w:rPr>
          <w:color w:val="000000"/>
          <w:spacing w:val="5"/>
        </w:rPr>
        <w:t xml:space="preserve"> </w:t>
      </w:r>
      <w:r>
        <w:rPr>
          <w:color w:val="000000"/>
          <w:spacing w:val="-4"/>
        </w:rPr>
        <w:t>i</w:t>
      </w:r>
      <w:r>
        <w:rPr>
          <w:color w:val="000000"/>
        </w:rPr>
        <w:t>r</w:t>
      </w:r>
      <w:r>
        <w:rPr>
          <w:color w:val="000000"/>
          <w:spacing w:val="7"/>
        </w:rPr>
        <w:t xml:space="preserve"> </w:t>
      </w:r>
      <w:r>
        <w:rPr>
          <w:color w:val="000000"/>
        </w:rPr>
        <w:t>K</w:t>
      </w:r>
      <w:r>
        <w:rPr>
          <w:color w:val="000000"/>
          <w:spacing w:val="-5"/>
        </w:rPr>
        <w:t>l</w:t>
      </w:r>
      <w:r>
        <w:rPr>
          <w:color w:val="000000"/>
          <w:spacing w:val="4"/>
        </w:rPr>
        <w:t>a</w:t>
      </w:r>
      <w:r>
        <w:rPr>
          <w:color w:val="000000"/>
          <w:spacing w:val="-4"/>
        </w:rPr>
        <w:t>i</w:t>
      </w:r>
      <w:r>
        <w:rPr>
          <w:color w:val="000000"/>
        </w:rPr>
        <w:t>p</w:t>
      </w:r>
      <w:r>
        <w:rPr>
          <w:color w:val="000000"/>
          <w:spacing w:val="-1"/>
        </w:rPr>
        <w:t>ė</w:t>
      </w:r>
      <w:r>
        <w:rPr>
          <w:color w:val="000000"/>
        </w:rPr>
        <w:t>d</w:t>
      </w:r>
      <w:r>
        <w:rPr>
          <w:color w:val="000000"/>
          <w:spacing w:val="9"/>
        </w:rPr>
        <w:t>o</w:t>
      </w:r>
      <w:r>
        <w:rPr>
          <w:color w:val="000000"/>
          <w:spacing w:val="-9"/>
        </w:rPr>
        <w:t>j</w:t>
      </w:r>
      <w:r>
        <w:rPr>
          <w:color w:val="000000"/>
          <w:spacing w:val="-1"/>
        </w:rPr>
        <w:t>e</w:t>
      </w:r>
      <w:r>
        <w:rPr>
          <w:color w:val="000000"/>
        </w:rPr>
        <w:t>)</w:t>
      </w:r>
      <w:r>
        <w:rPr>
          <w:color w:val="000000"/>
          <w:spacing w:val="17"/>
        </w:rPr>
        <w:t xml:space="preserve"> </w:t>
      </w:r>
      <w:r>
        <w:rPr>
          <w:color w:val="000000"/>
        </w:rPr>
        <w:t xml:space="preserve">– </w:t>
      </w:r>
      <w:r>
        <w:rPr>
          <w:color w:val="000000"/>
          <w:spacing w:val="-1"/>
        </w:rPr>
        <w:t>a</w:t>
      </w:r>
      <w:r>
        <w:rPr>
          <w:color w:val="000000"/>
          <w:spacing w:val="5"/>
        </w:rPr>
        <w:t>p</w:t>
      </w:r>
      <w:r>
        <w:rPr>
          <w:color w:val="000000"/>
          <w:spacing w:val="-9"/>
        </w:rPr>
        <w:t>i</w:t>
      </w:r>
      <w:r>
        <w:rPr>
          <w:color w:val="000000"/>
        </w:rPr>
        <w:t>e</w:t>
      </w:r>
      <w:r>
        <w:rPr>
          <w:color w:val="000000"/>
          <w:spacing w:val="5"/>
        </w:rPr>
        <w:t xml:space="preserve"> </w:t>
      </w:r>
      <w:r>
        <w:rPr>
          <w:color w:val="000000"/>
        </w:rPr>
        <w:t>53</w:t>
      </w:r>
      <w:r>
        <w:rPr>
          <w:color w:val="000000"/>
          <w:spacing w:val="6"/>
        </w:rPr>
        <w:t xml:space="preserve"> </w:t>
      </w:r>
      <w:r>
        <w:rPr>
          <w:color w:val="000000"/>
          <w:spacing w:val="1"/>
        </w:rPr>
        <w:t>%</w:t>
      </w:r>
      <w:r>
        <w:rPr>
          <w:color w:val="000000"/>
        </w:rPr>
        <w:t>.</w:t>
      </w:r>
      <w:r>
        <w:rPr>
          <w:color w:val="000000"/>
          <w:spacing w:val="8"/>
        </w:rPr>
        <w:t xml:space="preserve"> </w:t>
      </w:r>
      <w:r>
        <w:rPr>
          <w:color w:val="000000"/>
          <w:spacing w:val="1"/>
        </w:rPr>
        <w:t>B</w:t>
      </w:r>
      <w:r>
        <w:rPr>
          <w:color w:val="000000"/>
          <w:spacing w:val="-1"/>
        </w:rPr>
        <w:t>e</w:t>
      </w:r>
      <w:r>
        <w:rPr>
          <w:color w:val="000000"/>
          <w:spacing w:val="-5"/>
        </w:rPr>
        <w:t>v</w:t>
      </w:r>
      <w:r>
        <w:rPr>
          <w:color w:val="000000"/>
          <w:spacing w:val="4"/>
        </w:rPr>
        <w:t>e</w:t>
      </w:r>
      <w:r>
        <w:rPr>
          <w:color w:val="000000"/>
          <w:spacing w:val="-4"/>
        </w:rPr>
        <w:t>i</w:t>
      </w:r>
      <w:r>
        <w:rPr>
          <w:color w:val="000000"/>
        </w:rPr>
        <w:t>k</w:t>
      </w:r>
      <w:r>
        <w:rPr>
          <w:color w:val="000000"/>
          <w:spacing w:val="6"/>
        </w:rPr>
        <w:t xml:space="preserve"> </w:t>
      </w:r>
      <w:r>
        <w:rPr>
          <w:color w:val="000000"/>
          <w:spacing w:val="5"/>
        </w:rPr>
        <w:t>t</w:t>
      </w:r>
      <w:r>
        <w:rPr>
          <w:color w:val="000000"/>
          <w:spacing w:val="1"/>
        </w:rPr>
        <w:t>r</w:t>
      </w:r>
      <w:r>
        <w:rPr>
          <w:color w:val="000000"/>
          <w:spacing w:val="-1"/>
        </w:rPr>
        <w:t>eč</w:t>
      </w:r>
      <w:r>
        <w:rPr>
          <w:color w:val="000000"/>
        </w:rPr>
        <w:t>d</w:t>
      </w:r>
      <w:r>
        <w:rPr>
          <w:color w:val="000000"/>
          <w:spacing w:val="4"/>
        </w:rPr>
        <w:t>a</w:t>
      </w:r>
      <w:r>
        <w:rPr>
          <w:color w:val="000000"/>
          <w:spacing w:val="-4"/>
        </w:rPr>
        <w:t>li</w:t>
      </w:r>
      <w:r>
        <w:rPr>
          <w:color w:val="000000"/>
        </w:rPr>
        <w:t>s</w:t>
      </w:r>
      <w:r>
        <w:rPr>
          <w:color w:val="000000"/>
          <w:spacing w:val="9"/>
        </w:rPr>
        <w:t xml:space="preserve">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11"/>
        </w:rPr>
        <w:t xml:space="preserve"> </w:t>
      </w:r>
      <w:r>
        <w:rPr>
          <w:color w:val="000000"/>
          <w:spacing w:val="-5"/>
        </w:rPr>
        <w:t>v</w:t>
      </w:r>
      <w:r>
        <w:rPr>
          <w:color w:val="000000"/>
          <w:spacing w:val="4"/>
        </w:rPr>
        <w:t>e</w:t>
      </w:r>
      <w:r>
        <w:rPr>
          <w:color w:val="000000"/>
          <w:spacing w:val="-4"/>
        </w:rPr>
        <w:t>i</w:t>
      </w:r>
      <w:r>
        <w:rPr>
          <w:color w:val="000000"/>
        </w:rPr>
        <w:t>kų</w:t>
      </w:r>
      <w:r>
        <w:rPr>
          <w:color w:val="000000"/>
          <w:spacing w:val="11"/>
        </w:rPr>
        <w:t xml:space="preserve"> </w:t>
      </w:r>
      <w:r>
        <w:rPr>
          <w:color w:val="000000"/>
        </w:rPr>
        <w:t>u</w:t>
      </w:r>
      <w:r>
        <w:rPr>
          <w:color w:val="000000"/>
          <w:spacing w:val="-1"/>
        </w:rPr>
        <w:t>ž</w:t>
      </w:r>
      <w:r>
        <w:rPr>
          <w:color w:val="000000"/>
          <w:spacing w:val="1"/>
        </w:rPr>
        <w:t>r</w:t>
      </w:r>
      <w:r>
        <w:rPr>
          <w:color w:val="000000"/>
          <w:spacing w:val="-1"/>
        </w:rPr>
        <w:t>e</w:t>
      </w:r>
      <w:r>
        <w:rPr>
          <w:color w:val="000000"/>
          <w:spacing w:val="5"/>
        </w:rPr>
        <w:t>g</w:t>
      </w:r>
      <w:r>
        <w:rPr>
          <w:color w:val="000000"/>
          <w:spacing w:val="-9"/>
        </w:rPr>
        <w:t>i</w:t>
      </w:r>
      <w:r>
        <w:rPr>
          <w:color w:val="000000"/>
          <w:spacing w:val="-2"/>
        </w:rPr>
        <w:t>s</w:t>
      </w:r>
      <w:r>
        <w:rPr>
          <w:color w:val="000000"/>
          <w:spacing w:val="5"/>
        </w:rPr>
        <w:t>t</w:t>
      </w:r>
      <w:r>
        <w:rPr>
          <w:color w:val="000000"/>
          <w:spacing w:val="1"/>
        </w:rPr>
        <w:t>r</w:t>
      </w:r>
      <w:r>
        <w:rPr>
          <w:color w:val="000000"/>
        </w:rPr>
        <w:t>uo</w:t>
      </w:r>
      <w:r>
        <w:rPr>
          <w:color w:val="000000"/>
          <w:spacing w:val="5"/>
        </w:rPr>
        <w:t>t</w:t>
      </w:r>
      <w:r>
        <w:rPr>
          <w:color w:val="000000"/>
        </w:rPr>
        <w:t>a V</w:t>
      </w:r>
      <w:r>
        <w:rPr>
          <w:color w:val="000000"/>
          <w:spacing w:val="-5"/>
        </w:rPr>
        <w:t>i</w:t>
      </w:r>
      <w:r>
        <w:rPr>
          <w:color w:val="000000"/>
          <w:spacing w:val="-4"/>
        </w:rPr>
        <w:t>l</w:t>
      </w:r>
      <w:r>
        <w:rPr>
          <w:color w:val="000000"/>
          <w:spacing w:val="5"/>
        </w:rPr>
        <w:t>n</w:t>
      </w:r>
      <w:r>
        <w:rPr>
          <w:color w:val="000000"/>
          <w:spacing w:val="-4"/>
        </w:rPr>
        <w:t>i</w:t>
      </w:r>
      <w:r>
        <w:rPr>
          <w:color w:val="000000"/>
          <w:spacing w:val="-1"/>
        </w:rPr>
        <w:t>a</w:t>
      </w:r>
      <w:r>
        <w:rPr>
          <w:color w:val="000000"/>
          <w:spacing w:val="5"/>
        </w:rPr>
        <w:t>u</w:t>
      </w:r>
      <w:r>
        <w:rPr>
          <w:color w:val="000000"/>
        </w:rPr>
        <w:t>s</w:t>
      </w:r>
      <w:r>
        <w:rPr>
          <w:color w:val="000000"/>
          <w:spacing w:val="9"/>
        </w:rPr>
        <w:t xml:space="preserve"> </w:t>
      </w:r>
      <w:r>
        <w:rPr>
          <w:color w:val="000000"/>
          <w:spacing w:val="-4"/>
        </w:rPr>
        <w:t>mi</w:t>
      </w:r>
      <w:r>
        <w:rPr>
          <w:color w:val="000000"/>
          <w:spacing w:val="4"/>
        </w:rPr>
        <w:t>e</w:t>
      </w:r>
      <w:r>
        <w:rPr>
          <w:color w:val="000000"/>
          <w:spacing w:val="-2"/>
        </w:rPr>
        <w:t>s</w:t>
      </w:r>
      <w:r>
        <w:rPr>
          <w:color w:val="000000"/>
          <w:spacing w:val="5"/>
        </w:rPr>
        <w:t>t</w:t>
      </w:r>
      <w:r>
        <w:rPr>
          <w:color w:val="000000"/>
          <w:spacing w:val="-1"/>
        </w:rPr>
        <w:t>e</w:t>
      </w:r>
      <w:r>
        <w:rPr>
          <w:color w:val="000000"/>
        </w:rPr>
        <w:t>.</w:t>
      </w:r>
      <w:r>
        <w:rPr>
          <w:color w:val="000000"/>
          <w:spacing w:val="8"/>
        </w:rPr>
        <w:t xml:space="preserve"> </w:t>
      </w:r>
      <w:r>
        <w:rPr>
          <w:color w:val="000000"/>
          <w:spacing w:val="2"/>
        </w:rPr>
        <w:t>T</w:t>
      </w:r>
      <w:r>
        <w:rPr>
          <w:color w:val="000000"/>
          <w:spacing w:val="-1"/>
        </w:rPr>
        <w:t>ač</w:t>
      </w:r>
      <w:r>
        <w:rPr>
          <w:color w:val="000000"/>
          <w:spacing w:val="-9"/>
        </w:rPr>
        <w:t>i</w:t>
      </w:r>
      <w:r>
        <w:rPr>
          <w:color w:val="000000"/>
          <w:spacing w:val="-1"/>
        </w:rPr>
        <w:t>a</w:t>
      </w:r>
      <w:r>
        <w:rPr>
          <w:color w:val="000000"/>
        </w:rPr>
        <w:t>u</w:t>
      </w:r>
      <w:r>
        <w:rPr>
          <w:color w:val="000000"/>
          <w:spacing w:val="11"/>
        </w:rPr>
        <w:t xml:space="preserve"> </w:t>
      </w:r>
      <w:r>
        <w:rPr>
          <w:color w:val="000000"/>
        </w:rPr>
        <w:t>l</w:t>
      </w:r>
      <w:r>
        <w:rPr>
          <w:color w:val="000000"/>
          <w:spacing w:val="-4"/>
        </w:rPr>
        <w:t>y</w:t>
      </w:r>
      <w:r>
        <w:rPr>
          <w:color w:val="000000"/>
          <w:spacing w:val="5"/>
        </w:rPr>
        <w:t>g</w:t>
      </w:r>
      <w:r>
        <w:rPr>
          <w:color w:val="000000"/>
          <w:spacing w:val="-4"/>
        </w:rPr>
        <w:t>i</w:t>
      </w:r>
      <w:r>
        <w:rPr>
          <w:color w:val="000000"/>
        </w:rPr>
        <w:t>n</w:t>
      </w:r>
      <w:r>
        <w:rPr>
          <w:color w:val="000000"/>
          <w:spacing w:val="4"/>
        </w:rPr>
        <w:t>a</w:t>
      </w:r>
      <w:r>
        <w:rPr>
          <w:color w:val="000000"/>
          <w:spacing w:val="-5"/>
        </w:rPr>
        <w:t>n</w:t>
      </w:r>
      <w:r>
        <w:rPr>
          <w:color w:val="000000"/>
        </w:rPr>
        <w:t xml:space="preserve">t </w:t>
      </w:r>
      <w:r>
        <w:rPr>
          <w:color w:val="000000"/>
          <w:spacing w:val="1"/>
        </w:rPr>
        <w:t>r</w:t>
      </w:r>
      <w:r>
        <w:rPr>
          <w:color w:val="000000"/>
          <w:spacing w:val="-1"/>
        </w:rPr>
        <w:t>e</w:t>
      </w:r>
      <w:r>
        <w:rPr>
          <w:color w:val="000000"/>
          <w:spacing w:val="5"/>
        </w:rPr>
        <w:t>g</w:t>
      </w:r>
      <w:r>
        <w:rPr>
          <w:color w:val="000000"/>
          <w:spacing w:val="-9"/>
        </w:rPr>
        <w:t>i</w:t>
      </w:r>
      <w:r>
        <w:rPr>
          <w:color w:val="000000"/>
          <w:spacing w:val="-2"/>
        </w:rPr>
        <w:t>s</w:t>
      </w:r>
      <w:r>
        <w:rPr>
          <w:color w:val="000000"/>
          <w:spacing w:val="5"/>
        </w:rPr>
        <w:t>t</w:t>
      </w:r>
      <w:r>
        <w:rPr>
          <w:color w:val="000000"/>
          <w:spacing w:val="1"/>
        </w:rPr>
        <w:t>r</w:t>
      </w:r>
      <w:r>
        <w:rPr>
          <w:color w:val="000000"/>
        </w:rPr>
        <w:t>uo</w:t>
      </w:r>
      <w:r>
        <w:rPr>
          <w:color w:val="000000"/>
          <w:spacing w:val="5"/>
        </w:rPr>
        <w:t>t</w:t>
      </w:r>
      <w:r>
        <w:rPr>
          <w:color w:val="000000"/>
        </w:rPr>
        <w:t xml:space="preserve">ų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10"/>
        </w:rPr>
        <w:t xml:space="preserve"> </w:t>
      </w:r>
      <w:r>
        <w:rPr>
          <w:color w:val="000000"/>
          <w:spacing w:val="-5"/>
        </w:rPr>
        <w:t>v</w:t>
      </w:r>
      <w:r>
        <w:rPr>
          <w:color w:val="000000"/>
          <w:spacing w:val="4"/>
        </w:rPr>
        <w:t>e</w:t>
      </w:r>
      <w:r>
        <w:rPr>
          <w:color w:val="000000"/>
          <w:spacing w:val="-4"/>
        </w:rPr>
        <w:t>i</w:t>
      </w:r>
      <w:r>
        <w:rPr>
          <w:color w:val="000000"/>
        </w:rPr>
        <w:t>kų,</w:t>
      </w:r>
      <w:r>
        <w:rPr>
          <w:color w:val="000000"/>
          <w:spacing w:val="7"/>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rPr>
        <w:t>ų</w:t>
      </w:r>
      <w:r>
        <w:rPr>
          <w:color w:val="000000"/>
          <w:spacing w:val="5"/>
        </w:rPr>
        <w:t xml:space="preserve"> </w:t>
      </w:r>
      <w:r>
        <w:rPr>
          <w:color w:val="000000"/>
          <w:spacing w:val="-2"/>
        </w:rPr>
        <w:t>s</w:t>
      </w:r>
      <w:r>
        <w:rPr>
          <w:color w:val="000000"/>
        </w:rPr>
        <w:t>u</w:t>
      </w:r>
      <w:r>
        <w:rPr>
          <w:color w:val="000000"/>
          <w:spacing w:val="10"/>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a</w:t>
      </w:r>
      <w:r>
        <w:rPr>
          <w:color w:val="000000"/>
          <w:spacing w:val="4"/>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5"/>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spacing w:val="-1"/>
        </w:rPr>
        <w:t>a</w:t>
      </w:r>
      <w:r>
        <w:rPr>
          <w:color w:val="000000"/>
        </w:rPr>
        <w:t>,</w:t>
      </w:r>
      <w:r>
        <w:rPr>
          <w:color w:val="000000"/>
          <w:spacing w:val="3"/>
        </w:rPr>
        <w:t xml:space="preserve"> </w:t>
      </w:r>
      <w:r>
        <w:rPr>
          <w:color w:val="000000"/>
          <w:spacing w:val="5"/>
        </w:rPr>
        <w:t>t</w:t>
      </w:r>
      <w:r>
        <w:rPr>
          <w:color w:val="000000"/>
          <w:spacing w:val="-1"/>
        </w:rPr>
        <w:t>a</w:t>
      </w:r>
      <w:r>
        <w:rPr>
          <w:color w:val="000000"/>
          <w:spacing w:val="-5"/>
        </w:rPr>
        <w:t>n</w:t>
      </w:r>
      <w:r>
        <w:rPr>
          <w:color w:val="000000"/>
        </w:rPr>
        <w:t>k</w:t>
      </w:r>
      <w:r>
        <w:rPr>
          <w:color w:val="000000"/>
          <w:spacing w:val="5"/>
        </w:rPr>
        <w:t>u</w:t>
      </w:r>
      <w:r>
        <w:rPr>
          <w:color w:val="000000"/>
          <w:spacing w:val="-9"/>
        </w:rPr>
        <w:t>m</w:t>
      </w:r>
      <w:r>
        <w:rPr>
          <w:color w:val="000000"/>
        </w:rPr>
        <w:t>ą</w:t>
      </w:r>
      <w:r>
        <w:rPr>
          <w:color w:val="000000"/>
          <w:spacing w:val="4"/>
        </w:rPr>
        <w:t xml:space="preserve"> </w:t>
      </w:r>
      <w:r>
        <w:rPr>
          <w:color w:val="000000"/>
        </w:rPr>
        <w:t>100</w:t>
      </w:r>
      <w:r>
        <w:rPr>
          <w:color w:val="000000"/>
          <w:spacing w:val="5"/>
        </w:rPr>
        <w:t xml:space="preserve"> t</w:t>
      </w:r>
      <w:r>
        <w:rPr>
          <w:color w:val="000000"/>
        </w:rPr>
        <w:t>ūk</w:t>
      </w:r>
      <w:r>
        <w:rPr>
          <w:color w:val="000000"/>
          <w:spacing w:val="-7"/>
        </w:rPr>
        <w:t>s</w:t>
      </w:r>
      <w:r>
        <w:rPr>
          <w:color w:val="000000"/>
          <w:spacing w:val="5"/>
        </w:rPr>
        <w:t>t</w:t>
      </w:r>
      <w:r>
        <w:rPr>
          <w:color w:val="000000"/>
        </w:rPr>
        <w:t xml:space="preserve">. </w:t>
      </w:r>
      <w:r>
        <w:rPr>
          <w:color w:val="000000"/>
          <w:spacing w:val="5"/>
        </w:rPr>
        <w:t>g</w:t>
      </w:r>
      <w:r>
        <w:rPr>
          <w:color w:val="000000"/>
          <w:spacing w:val="-5"/>
        </w:rPr>
        <w:t>yv</w:t>
      </w:r>
      <w:r>
        <w:rPr>
          <w:color w:val="000000"/>
          <w:spacing w:val="4"/>
        </w:rPr>
        <w:t>e</w:t>
      </w:r>
      <w:r>
        <w:rPr>
          <w:color w:val="000000"/>
          <w:spacing w:val="-5"/>
        </w:rPr>
        <w:t>n</w:t>
      </w:r>
      <w:r>
        <w:rPr>
          <w:color w:val="000000"/>
          <w:spacing w:val="5"/>
        </w:rPr>
        <w:t>to</w:t>
      </w:r>
      <w:r>
        <w:rPr>
          <w:color w:val="000000"/>
          <w:spacing w:val="-9"/>
        </w:rPr>
        <w:t>j</w:t>
      </w:r>
      <w:r>
        <w:rPr>
          <w:color w:val="000000"/>
        </w:rPr>
        <w:t>ų,</w:t>
      </w:r>
      <w:r>
        <w:rPr>
          <w:color w:val="000000"/>
          <w:spacing w:val="9"/>
        </w:rPr>
        <w:t xml:space="preserve"> </w:t>
      </w:r>
      <w:r>
        <w:rPr>
          <w:color w:val="000000"/>
          <w:spacing w:val="-9"/>
        </w:rPr>
        <w:t>m</w:t>
      </w:r>
      <w:r>
        <w:rPr>
          <w:color w:val="000000"/>
          <w:spacing w:val="-1"/>
        </w:rPr>
        <w:t>a</w:t>
      </w:r>
      <w:r>
        <w:rPr>
          <w:color w:val="000000"/>
          <w:spacing w:val="5"/>
        </w:rPr>
        <w:t>to</w:t>
      </w:r>
      <w:r>
        <w:rPr>
          <w:color w:val="000000"/>
          <w:spacing w:val="-9"/>
        </w:rPr>
        <w:t>m</w:t>
      </w:r>
      <w:r>
        <w:rPr>
          <w:color w:val="000000"/>
          <w:spacing w:val="-1"/>
        </w:rPr>
        <w:t>e</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2"/>
        </w:rPr>
        <w:t xml:space="preserve"> </w:t>
      </w:r>
      <w:r>
        <w:rPr>
          <w:color w:val="000000"/>
          <w:spacing w:val="-1"/>
        </w:rPr>
        <w:t>a</w:t>
      </w:r>
      <w:r>
        <w:rPr>
          <w:color w:val="000000"/>
          <w:spacing w:val="-5"/>
        </w:rPr>
        <w:t>n</w:t>
      </w:r>
      <w:r>
        <w:rPr>
          <w:color w:val="000000"/>
          <w:spacing w:val="4"/>
        </w:rPr>
        <w:t>a</w:t>
      </w:r>
      <w:r>
        <w:rPr>
          <w:color w:val="000000"/>
          <w:spacing w:val="-9"/>
        </w:rPr>
        <w:t>l</w:t>
      </w:r>
      <w:r>
        <w:rPr>
          <w:color w:val="000000"/>
          <w:spacing w:val="5"/>
        </w:rPr>
        <w:t>og</w:t>
      </w:r>
      <w:r>
        <w:rPr>
          <w:color w:val="000000"/>
          <w:spacing w:val="-4"/>
        </w:rPr>
        <w:t>i</w:t>
      </w:r>
      <w:r>
        <w:rPr>
          <w:color w:val="000000"/>
          <w:spacing w:val="-2"/>
        </w:rPr>
        <w:t>š</w:t>
      </w:r>
      <w:r>
        <w:rPr>
          <w:color w:val="000000"/>
        </w:rPr>
        <w:t>ka</w:t>
      </w:r>
      <w:r>
        <w:rPr>
          <w:color w:val="000000"/>
          <w:spacing w:val="1"/>
        </w:rPr>
        <w:t xml:space="preserve"> </w:t>
      </w:r>
      <w:r>
        <w:rPr>
          <w:color w:val="000000"/>
          <w:spacing w:val="2"/>
        </w:rPr>
        <w:t>s</w:t>
      </w:r>
      <w:r>
        <w:rPr>
          <w:color w:val="000000"/>
          <w:spacing w:val="-9"/>
        </w:rPr>
        <w:t>i</w:t>
      </w:r>
      <w:r>
        <w:rPr>
          <w:color w:val="000000"/>
          <w:spacing w:val="5"/>
        </w:rPr>
        <w:t>t</w:t>
      </w:r>
      <w:r>
        <w:rPr>
          <w:color w:val="000000"/>
        </w:rPr>
        <w:t>u</w:t>
      </w:r>
      <w:r>
        <w:rPr>
          <w:color w:val="000000"/>
          <w:spacing w:val="4"/>
        </w:rPr>
        <w:t>ac</w:t>
      </w:r>
      <w:r>
        <w:rPr>
          <w:color w:val="000000"/>
          <w:spacing w:val="-4"/>
        </w:rPr>
        <w:t>ij</w:t>
      </w:r>
      <w:r>
        <w:rPr>
          <w:color w:val="000000"/>
        </w:rPr>
        <w:t>a</w:t>
      </w:r>
      <w:r>
        <w:rPr>
          <w:color w:val="000000"/>
          <w:spacing w:val="6"/>
        </w:rPr>
        <w:t xml:space="preserve"> </w:t>
      </w:r>
      <w:r>
        <w:rPr>
          <w:color w:val="000000"/>
          <w:spacing w:val="-5"/>
        </w:rPr>
        <w:t>y</w:t>
      </w:r>
      <w:r>
        <w:rPr>
          <w:color w:val="000000"/>
          <w:spacing w:val="1"/>
        </w:rPr>
        <w:t>r</w:t>
      </w:r>
      <w:r>
        <w:rPr>
          <w:color w:val="000000"/>
        </w:rPr>
        <w:t>a</w:t>
      </w:r>
      <w:r>
        <w:rPr>
          <w:color w:val="000000"/>
          <w:spacing w:val="1"/>
        </w:rPr>
        <w:t xml:space="preserve"> </w:t>
      </w:r>
      <w:r>
        <w:rPr>
          <w:color w:val="000000"/>
        </w:rPr>
        <w:t>K</w:t>
      </w:r>
      <w:r>
        <w:rPr>
          <w:color w:val="000000"/>
          <w:spacing w:val="-5"/>
        </w:rPr>
        <w:t>l</w:t>
      </w:r>
      <w:r>
        <w:rPr>
          <w:color w:val="000000"/>
          <w:spacing w:val="4"/>
        </w:rPr>
        <w:t>a</w:t>
      </w:r>
      <w:r>
        <w:rPr>
          <w:color w:val="000000"/>
          <w:spacing w:val="-4"/>
        </w:rPr>
        <w:t>i</w:t>
      </w:r>
      <w:r>
        <w:rPr>
          <w:color w:val="000000"/>
        </w:rPr>
        <w:t>p</w:t>
      </w:r>
      <w:r>
        <w:rPr>
          <w:color w:val="000000"/>
          <w:spacing w:val="-1"/>
        </w:rPr>
        <w:t>ė</w:t>
      </w:r>
      <w:r>
        <w:rPr>
          <w:color w:val="000000"/>
        </w:rPr>
        <w:t>d</w:t>
      </w:r>
      <w:r>
        <w:rPr>
          <w:color w:val="000000"/>
          <w:spacing w:val="5"/>
        </w:rPr>
        <w:t>o</w:t>
      </w:r>
      <w:r>
        <w:rPr>
          <w:color w:val="000000"/>
          <w:spacing w:val="-2"/>
        </w:rPr>
        <w:t>s</w:t>
      </w:r>
      <w:r>
        <w:rPr>
          <w:color w:val="000000"/>
        </w:rPr>
        <w:t>,</w:t>
      </w:r>
      <w:r>
        <w:rPr>
          <w:color w:val="000000"/>
          <w:spacing w:val="4"/>
        </w:rPr>
        <w:t xml:space="preserve"> </w:t>
      </w:r>
      <w:r>
        <w:rPr>
          <w:color w:val="000000"/>
          <w:spacing w:val="2"/>
        </w:rPr>
        <w:t>T</w:t>
      </w:r>
      <w:r>
        <w:rPr>
          <w:color w:val="000000"/>
          <w:spacing w:val="-1"/>
        </w:rPr>
        <w:t>e</w:t>
      </w:r>
      <w:r>
        <w:rPr>
          <w:color w:val="000000"/>
          <w:spacing w:val="-4"/>
        </w:rPr>
        <w:t>l</w:t>
      </w:r>
      <w:r>
        <w:rPr>
          <w:color w:val="000000"/>
          <w:spacing w:val="2"/>
        </w:rPr>
        <w:t>š</w:t>
      </w:r>
      <w:r>
        <w:rPr>
          <w:color w:val="000000"/>
          <w:spacing w:val="-4"/>
        </w:rPr>
        <w:t>i</w:t>
      </w:r>
      <w:r>
        <w:rPr>
          <w:color w:val="000000"/>
        </w:rPr>
        <w:t>ų</w:t>
      </w:r>
      <w:r>
        <w:rPr>
          <w:color w:val="000000"/>
          <w:spacing w:val="7"/>
        </w:rPr>
        <w:t xml:space="preserve"> </w:t>
      </w:r>
      <w:r>
        <w:rPr>
          <w:color w:val="000000"/>
          <w:spacing w:val="-9"/>
        </w:rPr>
        <w:t>i</w:t>
      </w:r>
      <w:r>
        <w:rPr>
          <w:color w:val="000000"/>
        </w:rPr>
        <w:t>r</w:t>
      </w:r>
      <w:r>
        <w:rPr>
          <w:color w:val="000000"/>
          <w:spacing w:val="4"/>
        </w:rPr>
        <w:t xml:space="preserve"> </w:t>
      </w:r>
      <w:r>
        <w:rPr>
          <w:color w:val="000000"/>
          <w:spacing w:val="-2"/>
        </w:rPr>
        <w:t>M</w:t>
      </w:r>
      <w:r>
        <w:rPr>
          <w:color w:val="000000"/>
          <w:spacing w:val="-1"/>
        </w:rPr>
        <w:t>a</w:t>
      </w:r>
      <w:r>
        <w:rPr>
          <w:color w:val="000000"/>
          <w:spacing w:val="6"/>
        </w:rPr>
        <w:t>r</w:t>
      </w:r>
      <w:r>
        <w:rPr>
          <w:color w:val="000000"/>
          <w:spacing w:val="-4"/>
        </w:rPr>
        <w:t>ij</w:t>
      </w:r>
      <w:r>
        <w:rPr>
          <w:color w:val="000000"/>
          <w:spacing w:val="4"/>
        </w:rPr>
        <w:t>a</w:t>
      </w:r>
      <w:r>
        <w:rPr>
          <w:color w:val="000000"/>
          <w:spacing w:val="-4"/>
        </w:rPr>
        <w:t>m</w:t>
      </w:r>
      <w:r>
        <w:rPr>
          <w:color w:val="000000"/>
        </w:rPr>
        <w:t>p</w:t>
      </w:r>
      <w:r>
        <w:rPr>
          <w:color w:val="000000"/>
          <w:spacing w:val="9"/>
        </w:rPr>
        <w:t>o</w:t>
      </w:r>
      <w:r>
        <w:rPr>
          <w:color w:val="000000"/>
          <w:spacing w:val="-9"/>
        </w:rPr>
        <w:t>l</w:t>
      </w:r>
      <w:r>
        <w:rPr>
          <w:color w:val="000000"/>
        </w:rPr>
        <w:t>ė</w:t>
      </w:r>
      <w:r>
        <w:rPr>
          <w:color w:val="000000"/>
          <w:spacing w:val="-45"/>
        </w:rPr>
        <w:t xml:space="preserve"> </w:t>
      </w:r>
      <w:r>
        <w:rPr>
          <w:color w:val="000000"/>
        </w:rPr>
        <w:t>s</w:t>
      </w:r>
      <w:r>
        <w:rPr>
          <w:color w:val="000000"/>
          <w:spacing w:val="5"/>
        </w:rPr>
        <w:t xml:space="preserve"> </w:t>
      </w:r>
      <w:r>
        <w:rPr>
          <w:color w:val="000000"/>
          <w:spacing w:val="-4"/>
        </w:rPr>
        <w:t>mi</w:t>
      </w:r>
      <w:r>
        <w:rPr>
          <w:color w:val="000000"/>
          <w:spacing w:val="4"/>
        </w:rPr>
        <w:t>e</w:t>
      </w:r>
      <w:r>
        <w:rPr>
          <w:color w:val="000000"/>
          <w:spacing w:val="-2"/>
        </w:rPr>
        <w:t>s</w:t>
      </w:r>
      <w:r>
        <w:rPr>
          <w:color w:val="000000"/>
          <w:spacing w:val="5"/>
        </w:rPr>
        <w:t>t</w:t>
      </w:r>
      <w:r>
        <w:rPr>
          <w:color w:val="000000"/>
        </w:rPr>
        <w:t>u</w:t>
      </w:r>
      <w:r>
        <w:rPr>
          <w:color w:val="000000"/>
          <w:spacing w:val="5"/>
        </w:rPr>
        <w:t>o</w:t>
      </w:r>
      <w:r>
        <w:rPr>
          <w:color w:val="000000"/>
          <w:spacing w:val="-2"/>
        </w:rPr>
        <w:t>s</w:t>
      </w:r>
      <w:r>
        <w:rPr>
          <w:color w:val="000000"/>
          <w:spacing w:val="-1"/>
        </w:rPr>
        <w:t>e</w:t>
      </w:r>
      <w:r>
        <w:rPr>
          <w:color w:val="000000"/>
        </w:rPr>
        <w:t>.</w:t>
      </w:r>
    </w:p>
    <w:p w:rsidR="004F7425" w:rsidRDefault="004F7425" w:rsidP="004F7425">
      <w:pPr>
        <w:widowControl w:val="0"/>
        <w:autoSpaceDE w:val="0"/>
        <w:autoSpaceDN w:val="0"/>
        <w:adjustRightInd w:val="0"/>
        <w:ind w:left="120" w:right="45" w:firstLine="721"/>
        <w:jc w:val="both"/>
        <w:rPr>
          <w:color w:val="000000"/>
        </w:rPr>
        <w:sectPr w:rsidR="004F7425">
          <w:pgSz w:w="11920" w:h="16840"/>
          <w:pgMar w:top="960" w:right="460" w:bottom="280" w:left="1580" w:header="734" w:footer="0" w:gutter="0"/>
          <w:cols w:space="1296"/>
          <w:noEndnote/>
        </w:sectPr>
      </w:pPr>
    </w:p>
    <w:p w:rsidR="004F7425" w:rsidRDefault="004F7425" w:rsidP="004F7425">
      <w:pPr>
        <w:widowControl w:val="0"/>
        <w:autoSpaceDE w:val="0"/>
        <w:autoSpaceDN w:val="0"/>
        <w:adjustRightInd w:val="0"/>
        <w:spacing w:before="1" w:line="180" w:lineRule="exact"/>
        <w:rPr>
          <w:color w:val="000000"/>
          <w:sz w:val="18"/>
          <w:szCs w:val="18"/>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22"/>
        <w:ind w:left="899" w:right="7935"/>
        <w:jc w:val="center"/>
        <w:rPr>
          <w:color w:val="000000"/>
          <w:sz w:val="28"/>
          <w:szCs w:val="28"/>
        </w:rPr>
      </w:pPr>
      <w:r>
        <w:rPr>
          <w:b/>
          <w:bCs/>
          <w:i/>
          <w:iCs/>
          <w:color w:val="974705"/>
          <w:spacing w:val="1"/>
          <w:w w:val="99"/>
          <w:sz w:val="28"/>
          <w:szCs w:val="28"/>
        </w:rPr>
        <w:t>A</w:t>
      </w:r>
      <w:r>
        <w:rPr>
          <w:b/>
          <w:bCs/>
          <w:i/>
          <w:iCs/>
          <w:color w:val="974705"/>
          <w:spacing w:val="2"/>
          <w:w w:val="99"/>
          <w:sz w:val="28"/>
          <w:szCs w:val="28"/>
        </w:rPr>
        <w:t>s</w:t>
      </w:r>
      <w:r>
        <w:rPr>
          <w:b/>
          <w:bCs/>
          <w:i/>
          <w:iCs/>
          <w:color w:val="974705"/>
          <w:spacing w:val="4"/>
          <w:w w:val="99"/>
          <w:sz w:val="28"/>
          <w:szCs w:val="28"/>
        </w:rPr>
        <w:t>m</w:t>
      </w:r>
      <w:r>
        <w:rPr>
          <w:b/>
          <w:bCs/>
          <w:i/>
          <w:iCs/>
          <w:color w:val="974705"/>
          <w:spacing w:val="1"/>
          <w:w w:val="99"/>
          <w:sz w:val="28"/>
          <w:szCs w:val="28"/>
        </w:rPr>
        <w:t>e</w:t>
      </w:r>
      <w:r>
        <w:rPr>
          <w:b/>
          <w:bCs/>
          <w:i/>
          <w:iCs/>
          <w:color w:val="974705"/>
          <w:spacing w:val="-1"/>
          <w:w w:val="99"/>
          <w:sz w:val="28"/>
          <w:szCs w:val="28"/>
        </w:rPr>
        <w:t>n</w:t>
      </w:r>
      <w:r>
        <w:rPr>
          <w:b/>
          <w:bCs/>
          <w:i/>
          <w:iCs/>
          <w:color w:val="974705"/>
          <w:spacing w:val="1"/>
          <w:w w:val="99"/>
          <w:sz w:val="28"/>
          <w:szCs w:val="28"/>
        </w:rPr>
        <w:t>y</w:t>
      </w:r>
      <w:r>
        <w:rPr>
          <w:b/>
          <w:bCs/>
          <w:i/>
          <w:iCs/>
          <w:color w:val="974705"/>
          <w:w w:val="99"/>
          <w:sz w:val="28"/>
          <w:szCs w:val="28"/>
        </w:rPr>
        <w:t>s</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5" w:lineRule="auto"/>
        <w:ind w:left="220" w:right="41" w:firstLine="749"/>
        <w:jc w:val="both"/>
        <w:rPr>
          <w:color w:val="000000"/>
        </w:rPr>
      </w:pPr>
      <w:r>
        <w:rPr>
          <w:color w:val="000000"/>
          <w:spacing w:val="1"/>
        </w:rPr>
        <w:t>I</w:t>
      </w:r>
      <w:r>
        <w:rPr>
          <w:color w:val="000000"/>
        </w:rPr>
        <w:t>n</w:t>
      </w:r>
      <w:r>
        <w:rPr>
          <w:color w:val="000000"/>
          <w:spacing w:val="-8"/>
        </w:rPr>
        <w:t>f</w:t>
      </w:r>
      <w:r>
        <w:rPr>
          <w:color w:val="000000"/>
          <w:spacing w:val="5"/>
        </w:rPr>
        <w:t>o</w:t>
      </w:r>
      <w:r>
        <w:rPr>
          <w:color w:val="000000"/>
          <w:spacing w:val="6"/>
        </w:rPr>
        <w:t>r</w:t>
      </w:r>
      <w:r>
        <w:rPr>
          <w:color w:val="000000"/>
          <w:spacing w:val="-9"/>
        </w:rPr>
        <w:t>m</w:t>
      </w:r>
      <w:r>
        <w:rPr>
          <w:color w:val="000000"/>
          <w:spacing w:val="-1"/>
        </w:rPr>
        <w:t>a</w:t>
      </w:r>
      <w:r>
        <w:rPr>
          <w:color w:val="000000"/>
          <w:spacing w:val="10"/>
        </w:rPr>
        <w:t>t</w:t>
      </w:r>
      <w:r>
        <w:rPr>
          <w:color w:val="000000"/>
          <w:spacing w:val="-9"/>
        </w:rPr>
        <w:t>i</w:t>
      </w:r>
      <w:r>
        <w:rPr>
          <w:color w:val="000000"/>
        </w:rPr>
        <w:t>k</w:t>
      </w:r>
      <w:r>
        <w:rPr>
          <w:color w:val="000000"/>
          <w:spacing w:val="5"/>
        </w:rPr>
        <w:t>o</w:t>
      </w:r>
      <w:r>
        <w:rPr>
          <w:color w:val="000000"/>
        </w:rPr>
        <w:t>s</w:t>
      </w:r>
      <w:r>
        <w:rPr>
          <w:color w:val="000000"/>
          <w:spacing w:val="53"/>
        </w:rPr>
        <w:t xml:space="preserve"> </w:t>
      </w:r>
      <w:r>
        <w:rPr>
          <w:color w:val="000000"/>
          <w:spacing w:val="-9"/>
        </w:rPr>
        <w:t>i</w:t>
      </w:r>
      <w:r>
        <w:rPr>
          <w:color w:val="000000"/>
        </w:rPr>
        <w:t>r</w:t>
      </w:r>
      <w:r>
        <w:rPr>
          <w:color w:val="000000"/>
          <w:spacing w:val="52"/>
        </w:rPr>
        <w:t xml:space="preserve"> </w:t>
      </w:r>
      <w:r>
        <w:rPr>
          <w:color w:val="000000"/>
          <w:spacing w:val="6"/>
        </w:rPr>
        <w:t>r</w:t>
      </w:r>
      <w:r>
        <w:rPr>
          <w:color w:val="000000"/>
          <w:spacing w:val="-10"/>
        </w:rPr>
        <w:t>y</w:t>
      </w:r>
      <w:r>
        <w:rPr>
          <w:color w:val="000000"/>
          <w:spacing w:val="2"/>
        </w:rPr>
        <w:t>š</w:t>
      </w:r>
      <w:r>
        <w:rPr>
          <w:color w:val="000000"/>
          <w:spacing w:val="-4"/>
        </w:rPr>
        <w:t>i</w:t>
      </w:r>
      <w:r>
        <w:rPr>
          <w:color w:val="000000"/>
        </w:rPr>
        <w:t>ų</w:t>
      </w:r>
      <w:r>
        <w:rPr>
          <w:color w:val="000000"/>
          <w:spacing w:val="50"/>
        </w:rPr>
        <w:t xml:space="preserve"> </w:t>
      </w:r>
      <w:r>
        <w:rPr>
          <w:color w:val="000000"/>
        </w:rPr>
        <w:t>d</w:t>
      </w:r>
      <w:r>
        <w:rPr>
          <w:color w:val="000000"/>
          <w:spacing w:val="-1"/>
        </w:rPr>
        <w:t>e</w:t>
      </w:r>
      <w:r>
        <w:rPr>
          <w:color w:val="000000"/>
        </w:rPr>
        <w:t>p</w:t>
      </w:r>
      <w:r>
        <w:rPr>
          <w:color w:val="000000"/>
          <w:spacing w:val="-1"/>
        </w:rPr>
        <w:t>a</w:t>
      </w:r>
      <w:r>
        <w:rPr>
          <w:color w:val="000000"/>
          <w:spacing w:val="1"/>
        </w:rPr>
        <w:t>r</w:t>
      </w:r>
      <w:r>
        <w:rPr>
          <w:color w:val="000000"/>
          <w:spacing w:val="5"/>
        </w:rPr>
        <w:t>t</w:t>
      </w:r>
      <w:r>
        <w:rPr>
          <w:color w:val="000000"/>
          <w:spacing w:val="4"/>
        </w:rPr>
        <w:t>a</w:t>
      </w:r>
      <w:r>
        <w:rPr>
          <w:color w:val="000000"/>
          <w:spacing w:val="-9"/>
        </w:rPr>
        <w:t>m</w:t>
      </w:r>
      <w:r>
        <w:rPr>
          <w:color w:val="000000"/>
          <w:spacing w:val="4"/>
        </w:rPr>
        <w:t>e</w:t>
      </w:r>
      <w:r>
        <w:rPr>
          <w:color w:val="000000"/>
          <w:spacing w:val="-5"/>
        </w:rPr>
        <w:t>n</w:t>
      </w:r>
      <w:r>
        <w:rPr>
          <w:color w:val="000000"/>
          <w:spacing w:val="5"/>
        </w:rPr>
        <w:t>t</w:t>
      </w:r>
      <w:r>
        <w:rPr>
          <w:color w:val="000000"/>
        </w:rPr>
        <w:t>o</w:t>
      </w:r>
      <w:r>
        <w:rPr>
          <w:color w:val="000000"/>
          <w:spacing w:val="55"/>
        </w:rPr>
        <w:t xml:space="preserve"> </w:t>
      </w:r>
      <w:r>
        <w:rPr>
          <w:color w:val="000000"/>
          <w:spacing w:val="-5"/>
        </w:rPr>
        <w:t>p</w:t>
      </w:r>
      <w:r>
        <w:rPr>
          <w:color w:val="000000"/>
          <w:spacing w:val="1"/>
        </w:rPr>
        <w:t>r</w:t>
      </w:r>
      <w:r>
        <w:rPr>
          <w:color w:val="000000"/>
          <w:spacing w:val="-9"/>
        </w:rPr>
        <w:t>i</w:t>
      </w:r>
      <w:r>
        <w:rPr>
          <w:color w:val="000000"/>
        </w:rPr>
        <w:t>e</w:t>
      </w:r>
      <w:r>
        <w:rPr>
          <w:color w:val="000000"/>
          <w:spacing w:val="49"/>
        </w:rPr>
        <w:t xml:space="preserve"> </w:t>
      </w:r>
      <w:r>
        <w:rPr>
          <w:color w:val="000000"/>
          <w:spacing w:val="4"/>
        </w:rPr>
        <w:t>V</w:t>
      </w:r>
      <w:r>
        <w:rPr>
          <w:color w:val="000000"/>
          <w:spacing w:val="-2"/>
        </w:rPr>
        <w:t>R</w:t>
      </w:r>
      <w:r>
        <w:rPr>
          <w:color w:val="000000"/>
        </w:rPr>
        <w:t>M</w:t>
      </w:r>
      <w:r>
        <w:rPr>
          <w:color w:val="000000"/>
          <w:spacing w:val="55"/>
        </w:rPr>
        <w:t xml:space="preserve"> </w:t>
      </w:r>
      <w:r>
        <w:rPr>
          <w:color w:val="000000"/>
          <w:spacing w:val="5"/>
        </w:rPr>
        <w:t>d</w:t>
      </w:r>
      <w:r>
        <w:rPr>
          <w:color w:val="000000"/>
        </w:rPr>
        <w:t>u</w:t>
      </w:r>
      <w:r>
        <w:rPr>
          <w:color w:val="000000"/>
          <w:spacing w:val="5"/>
        </w:rPr>
        <w:t>o</w:t>
      </w:r>
      <w:r>
        <w:rPr>
          <w:color w:val="000000"/>
          <w:spacing w:val="-9"/>
        </w:rPr>
        <w:t>m</w:t>
      </w:r>
      <w:r>
        <w:rPr>
          <w:color w:val="000000"/>
          <w:spacing w:val="4"/>
        </w:rPr>
        <w:t>e</w:t>
      </w:r>
      <w:r>
        <w:rPr>
          <w:color w:val="000000"/>
        </w:rPr>
        <w:t>ni</w:t>
      </w:r>
      <w:r>
        <w:rPr>
          <w:color w:val="000000"/>
          <w:spacing w:val="1"/>
        </w:rPr>
        <w:t>m</w:t>
      </w:r>
      <w:r>
        <w:rPr>
          <w:color w:val="000000"/>
          <w:spacing w:val="-4"/>
        </w:rPr>
        <w:t>i</w:t>
      </w:r>
      <w:r>
        <w:rPr>
          <w:color w:val="000000"/>
          <w:spacing w:val="-2"/>
        </w:rPr>
        <w:t>s</w:t>
      </w:r>
      <w:r>
        <w:rPr>
          <w:color w:val="000000"/>
        </w:rPr>
        <w:t>,</w:t>
      </w:r>
      <w:r>
        <w:rPr>
          <w:color w:val="000000"/>
          <w:spacing w:val="52"/>
        </w:rPr>
        <w:t xml:space="preserve"> </w:t>
      </w:r>
      <w:r>
        <w:rPr>
          <w:color w:val="000000"/>
        </w:rPr>
        <w:t>2012</w:t>
      </w:r>
      <w:r>
        <w:rPr>
          <w:color w:val="000000"/>
          <w:spacing w:val="55"/>
        </w:rPr>
        <w:t xml:space="preserve"> </w:t>
      </w:r>
      <w:r>
        <w:rPr>
          <w:color w:val="000000"/>
          <w:spacing w:val="-9"/>
        </w:rPr>
        <w:t>m</w:t>
      </w:r>
      <w:r>
        <w:rPr>
          <w:color w:val="000000"/>
        </w:rPr>
        <w:t>.</w:t>
      </w:r>
      <w:r>
        <w:rPr>
          <w:color w:val="000000"/>
          <w:spacing w:val="52"/>
        </w:rPr>
        <w:t xml:space="preserve"> </w:t>
      </w:r>
      <w:r>
        <w:rPr>
          <w:color w:val="000000"/>
        </w:rPr>
        <w:t>u</w:t>
      </w:r>
      <w:r>
        <w:rPr>
          <w:color w:val="000000"/>
          <w:spacing w:val="-1"/>
        </w:rPr>
        <w:t>ž</w:t>
      </w:r>
      <w:r>
        <w:rPr>
          <w:color w:val="000000"/>
          <w:spacing w:val="1"/>
        </w:rPr>
        <w:t>r</w:t>
      </w:r>
      <w:r>
        <w:rPr>
          <w:color w:val="000000"/>
          <w:spacing w:val="-1"/>
        </w:rPr>
        <w:t>e</w:t>
      </w:r>
      <w:r>
        <w:rPr>
          <w:color w:val="000000"/>
          <w:spacing w:val="5"/>
        </w:rPr>
        <w:t>g</w:t>
      </w:r>
      <w:r>
        <w:rPr>
          <w:color w:val="000000"/>
          <w:spacing w:val="-4"/>
        </w:rPr>
        <w:t>i</w:t>
      </w:r>
      <w:r>
        <w:rPr>
          <w:color w:val="000000"/>
          <w:spacing w:val="-2"/>
        </w:rPr>
        <w:t>s</w:t>
      </w:r>
      <w:r>
        <w:rPr>
          <w:color w:val="000000"/>
          <w:spacing w:val="5"/>
        </w:rPr>
        <w:t>t</w:t>
      </w:r>
      <w:r>
        <w:rPr>
          <w:color w:val="000000"/>
          <w:spacing w:val="1"/>
        </w:rPr>
        <w:t>r</w:t>
      </w:r>
      <w:r>
        <w:rPr>
          <w:color w:val="000000"/>
          <w:spacing w:val="-5"/>
        </w:rPr>
        <w:t>u</w:t>
      </w:r>
      <w:r>
        <w:rPr>
          <w:color w:val="000000"/>
        </w:rPr>
        <w:t>o</w:t>
      </w:r>
      <w:r>
        <w:rPr>
          <w:color w:val="000000"/>
          <w:spacing w:val="5"/>
        </w:rPr>
        <w:t>t</w:t>
      </w:r>
      <w:r>
        <w:rPr>
          <w:color w:val="000000"/>
        </w:rPr>
        <w:t>a</w:t>
      </w:r>
      <w:r>
        <w:rPr>
          <w:color w:val="000000"/>
          <w:spacing w:val="49"/>
        </w:rPr>
        <w:t xml:space="preserve"> </w:t>
      </w:r>
      <w:r>
        <w:rPr>
          <w:color w:val="000000"/>
        </w:rPr>
        <w:t xml:space="preserve">1482 </w:t>
      </w:r>
      <w:r>
        <w:rPr>
          <w:color w:val="000000"/>
          <w:spacing w:val="1"/>
        </w:rPr>
        <w:t>(</w:t>
      </w:r>
      <w:r>
        <w:rPr>
          <w:color w:val="000000"/>
        </w:rPr>
        <w:t xml:space="preserve">2011 </w:t>
      </w:r>
      <w:r>
        <w:rPr>
          <w:color w:val="000000"/>
          <w:spacing w:val="-9"/>
        </w:rPr>
        <w:t>m</w:t>
      </w:r>
      <w:r>
        <w:rPr>
          <w:color w:val="000000"/>
        </w:rPr>
        <w:t>.</w:t>
      </w:r>
      <w:r>
        <w:rPr>
          <w:color w:val="000000"/>
          <w:spacing w:val="4"/>
        </w:rPr>
        <w:t xml:space="preserve"> </w:t>
      </w:r>
      <w:r>
        <w:rPr>
          <w:color w:val="000000"/>
        </w:rPr>
        <w:t>– 1418,</w:t>
      </w:r>
      <w:r>
        <w:rPr>
          <w:color w:val="000000"/>
          <w:spacing w:val="2"/>
        </w:rPr>
        <w:t xml:space="preserve"> </w:t>
      </w:r>
      <w:r>
        <w:rPr>
          <w:color w:val="000000"/>
        </w:rPr>
        <w:t>2010</w:t>
      </w:r>
      <w:r>
        <w:rPr>
          <w:color w:val="000000"/>
          <w:spacing w:val="5"/>
        </w:rPr>
        <w:t xml:space="preserve"> </w:t>
      </w:r>
      <w:r>
        <w:rPr>
          <w:color w:val="000000"/>
          <w:spacing w:val="-9"/>
        </w:rPr>
        <w:t>m</w:t>
      </w:r>
      <w:r>
        <w:rPr>
          <w:color w:val="000000"/>
        </w:rPr>
        <w:t>.</w:t>
      </w:r>
      <w:r>
        <w:rPr>
          <w:color w:val="000000"/>
          <w:spacing w:val="4"/>
        </w:rPr>
        <w:t xml:space="preserve"> </w:t>
      </w:r>
      <w:r>
        <w:rPr>
          <w:color w:val="000000"/>
        </w:rPr>
        <w:t>–</w:t>
      </w:r>
      <w:r>
        <w:rPr>
          <w:color w:val="000000"/>
          <w:spacing w:val="1"/>
        </w:rPr>
        <w:t xml:space="preserve"> </w:t>
      </w:r>
      <w:r>
        <w:rPr>
          <w:color w:val="000000"/>
        </w:rPr>
        <w:t>1704,</w:t>
      </w:r>
      <w:r>
        <w:rPr>
          <w:color w:val="000000"/>
          <w:spacing w:val="2"/>
        </w:rPr>
        <w:t xml:space="preserve"> </w:t>
      </w:r>
      <w:r>
        <w:rPr>
          <w:color w:val="000000"/>
        </w:rPr>
        <w:t>2009</w:t>
      </w:r>
      <w:r>
        <w:rPr>
          <w:color w:val="000000"/>
          <w:spacing w:val="5"/>
        </w:rPr>
        <w:t xml:space="preserve"> </w:t>
      </w:r>
      <w:r>
        <w:rPr>
          <w:color w:val="000000"/>
          <w:spacing w:val="-9"/>
        </w:rPr>
        <w:t>m</w:t>
      </w:r>
      <w:r>
        <w:rPr>
          <w:color w:val="000000"/>
        </w:rPr>
        <w:t>.</w:t>
      </w:r>
      <w:r>
        <w:rPr>
          <w:color w:val="000000"/>
          <w:spacing w:val="4"/>
        </w:rPr>
        <w:t xml:space="preserve"> </w:t>
      </w:r>
      <w:r>
        <w:rPr>
          <w:color w:val="000000"/>
        </w:rPr>
        <w:t>– 1513,</w:t>
      </w:r>
      <w:r>
        <w:rPr>
          <w:color w:val="000000"/>
          <w:spacing w:val="2"/>
        </w:rPr>
        <w:t xml:space="preserve"> </w:t>
      </w:r>
      <w:r>
        <w:rPr>
          <w:color w:val="000000"/>
        </w:rPr>
        <w:t xml:space="preserve">2008 </w:t>
      </w:r>
      <w:r>
        <w:rPr>
          <w:color w:val="000000"/>
          <w:spacing w:val="-9"/>
        </w:rPr>
        <w:t>m</w:t>
      </w:r>
      <w:r>
        <w:rPr>
          <w:color w:val="000000"/>
        </w:rPr>
        <w:t>.</w:t>
      </w:r>
      <w:r>
        <w:rPr>
          <w:color w:val="000000"/>
          <w:spacing w:val="4"/>
        </w:rPr>
        <w:t xml:space="preserve"> </w:t>
      </w:r>
      <w:r>
        <w:rPr>
          <w:color w:val="000000"/>
        </w:rPr>
        <w:t>– 1226)</w:t>
      </w:r>
      <w:r>
        <w:rPr>
          <w:color w:val="000000"/>
          <w:spacing w:val="2"/>
        </w:rPr>
        <w:t xml:space="preserve"> </w:t>
      </w:r>
      <w:r>
        <w:rPr>
          <w:color w:val="000000"/>
          <w:spacing w:val="-1"/>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spacing w:val="-2"/>
        </w:rPr>
        <w:t>s</w:t>
      </w:r>
      <w:r>
        <w:rPr>
          <w:color w:val="000000"/>
        </w:rPr>
        <w:t>,</w:t>
      </w:r>
      <w:r>
        <w:rPr>
          <w:color w:val="000000"/>
          <w:spacing w:val="2"/>
        </w:rPr>
        <w:t xml:space="preserve"> </w:t>
      </w:r>
      <w:r>
        <w:rPr>
          <w:color w:val="000000"/>
        </w:rPr>
        <w:t>p</w:t>
      </w:r>
      <w:r>
        <w:rPr>
          <w:color w:val="000000"/>
          <w:spacing w:val="-1"/>
        </w:rPr>
        <w:t>a</w:t>
      </w:r>
      <w:r>
        <w:rPr>
          <w:color w:val="000000"/>
        </w:rPr>
        <w:t>d</w:t>
      </w:r>
      <w:r>
        <w:rPr>
          <w:color w:val="000000"/>
          <w:spacing w:val="-1"/>
        </w:rPr>
        <w:t>a</w:t>
      </w:r>
      <w:r>
        <w:rPr>
          <w:color w:val="000000"/>
          <w:spacing w:val="1"/>
        </w:rPr>
        <w:t>r</w:t>
      </w:r>
      <w:r>
        <w:rPr>
          <w:color w:val="000000"/>
        </w:rPr>
        <w:t>ę</w:t>
      </w:r>
      <w:r>
        <w:rPr>
          <w:color w:val="000000"/>
          <w:spacing w:val="4"/>
        </w:rPr>
        <w:t xml:space="preserve">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4"/>
        </w:rPr>
        <w:t>a</w:t>
      </w:r>
      <w:r>
        <w:rPr>
          <w:color w:val="000000"/>
        </w:rPr>
        <w:t xml:space="preserve">s </w:t>
      </w:r>
      <w:r>
        <w:rPr>
          <w:color w:val="000000"/>
          <w:spacing w:val="-5"/>
        </w:rPr>
        <w:t>v</w:t>
      </w:r>
      <w:r>
        <w:rPr>
          <w:color w:val="000000"/>
          <w:spacing w:val="4"/>
        </w:rPr>
        <w:t>e</w:t>
      </w:r>
      <w:r>
        <w:rPr>
          <w:color w:val="000000"/>
          <w:spacing w:val="-4"/>
        </w:rPr>
        <w:t>i</w:t>
      </w:r>
      <w:r>
        <w:rPr>
          <w:color w:val="000000"/>
        </w:rPr>
        <w:t>k</w:t>
      </w:r>
      <w:r>
        <w:rPr>
          <w:color w:val="000000"/>
          <w:spacing w:val="4"/>
        </w:rPr>
        <w:t>a</w:t>
      </w:r>
      <w:r>
        <w:rPr>
          <w:color w:val="000000"/>
          <w:spacing w:val="-2"/>
        </w:rPr>
        <w:t>s</w:t>
      </w:r>
      <w:r>
        <w:rPr>
          <w:color w:val="000000"/>
        </w:rPr>
        <w:t>,</w:t>
      </w:r>
      <w:r>
        <w:rPr>
          <w:color w:val="000000"/>
          <w:spacing w:val="24"/>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spacing w:val="4"/>
        </w:rPr>
        <w:t>a</w:t>
      </w:r>
      <w:r>
        <w:rPr>
          <w:color w:val="000000"/>
        </w:rPr>
        <w:t>s</w:t>
      </w:r>
      <w:r>
        <w:rPr>
          <w:color w:val="000000"/>
          <w:spacing w:val="19"/>
        </w:rPr>
        <w:t xml:space="preserve"> </w:t>
      </w:r>
      <w:r>
        <w:rPr>
          <w:color w:val="000000"/>
          <w:spacing w:val="-2"/>
        </w:rPr>
        <w:t>s</w:t>
      </w:r>
      <w:r>
        <w:rPr>
          <w:color w:val="000000"/>
        </w:rPr>
        <w:t>u</w:t>
      </w:r>
      <w:r>
        <w:rPr>
          <w:color w:val="000000"/>
          <w:spacing w:val="26"/>
        </w:rPr>
        <w:t xml:space="preserve"> </w:t>
      </w:r>
      <w:r>
        <w:rPr>
          <w:color w:val="000000"/>
        </w:rPr>
        <w:t>n</w:t>
      </w:r>
      <w:r>
        <w:rPr>
          <w:color w:val="000000"/>
          <w:spacing w:val="-1"/>
        </w:rPr>
        <w:t>e</w:t>
      </w:r>
      <w:r>
        <w:rPr>
          <w:color w:val="000000"/>
          <w:spacing w:val="5"/>
        </w:rPr>
        <w:t>t</w:t>
      </w:r>
      <w:r>
        <w:rPr>
          <w:color w:val="000000"/>
          <w:spacing w:val="-1"/>
        </w:rPr>
        <w:t>e</w:t>
      </w:r>
      <w:r>
        <w:rPr>
          <w:color w:val="000000"/>
          <w:spacing w:val="-4"/>
        </w:rPr>
        <w:t>i</w:t>
      </w:r>
      <w:r>
        <w:rPr>
          <w:color w:val="000000"/>
          <w:spacing w:val="-2"/>
        </w:rPr>
        <w:t>s</w:t>
      </w:r>
      <w:r>
        <w:rPr>
          <w:color w:val="000000"/>
          <w:spacing w:val="-1"/>
        </w:rPr>
        <w:t>ė</w:t>
      </w:r>
      <w:r>
        <w:rPr>
          <w:color w:val="000000"/>
          <w:spacing w:val="5"/>
        </w:rPr>
        <w:t>t</w:t>
      </w:r>
      <w:r>
        <w:rPr>
          <w:color w:val="000000"/>
        </w:rPr>
        <w:t>u</w:t>
      </w:r>
      <w:r>
        <w:rPr>
          <w:color w:val="000000"/>
          <w:spacing w:val="21"/>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9"/>
        </w:rPr>
        <w:t>i</w:t>
      </w:r>
      <w:r>
        <w:rPr>
          <w:color w:val="000000"/>
        </w:rPr>
        <w:t>ų</w:t>
      </w:r>
      <w:r>
        <w:rPr>
          <w:color w:val="000000"/>
          <w:spacing w:val="26"/>
        </w:rPr>
        <w:t xml:space="preserve"> </w:t>
      </w:r>
      <w:r>
        <w:rPr>
          <w:color w:val="000000"/>
          <w:spacing w:val="-1"/>
        </w:rPr>
        <w:t>a</w:t>
      </w:r>
      <w:r>
        <w:rPr>
          <w:color w:val="000000"/>
        </w:rPr>
        <w:t>r</w:t>
      </w:r>
      <w:r>
        <w:rPr>
          <w:color w:val="000000"/>
          <w:spacing w:val="23"/>
        </w:rPr>
        <w:t xml:space="preserve"> </w:t>
      </w:r>
      <w:r>
        <w:rPr>
          <w:color w:val="000000"/>
        </w:rPr>
        <w:t>p</w:t>
      </w:r>
      <w:r>
        <w:rPr>
          <w:color w:val="000000"/>
          <w:spacing w:val="2"/>
        </w:rPr>
        <w:t>s</w:t>
      </w:r>
      <w:r>
        <w:rPr>
          <w:color w:val="000000"/>
          <w:spacing w:val="-4"/>
        </w:rPr>
        <w:t>i</w:t>
      </w:r>
      <w:r>
        <w:rPr>
          <w:color w:val="000000"/>
          <w:spacing w:val="4"/>
        </w:rPr>
        <w:t>c</w:t>
      </w:r>
      <w:r>
        <w:rPr>
          <w:color w:val="000000"/>
        </w:rPr>
        <w:t>ho</w:t>
      </w:r>
      <w:r>
        <w:rPr>
          <w:color w:val="000000"/>
          <w:spacing w:val="12"/>
        </w:rPr>
        <w:t>t</w:t>
      </w:r>
      <w:r>
        <w:rPr>
          <w:color w:val="000000"/>
          <w:spacing w:val="-3"/>
        </w:rPr>
        <w:t>r</w:t>
      </w:r>
      <w:r>
        <w:rPr>
          <w:color w:val="000000"/>
          <w:spacing w:val="5"/>
        </w:rPr>
        <w:t>o</w:t>
      </w:r>
      <w:r>
        <w:rPr>
          <w:color w:val="000000"/>
        </w:rPr>
        <w:t>p</w:t>
      </w:r>
      <w:r>
        <w:rPr>
          <w:color w:val="000000"/>
          <w:spacing w:val="-9"/>
        </w:rPr>
        <w:t>i</w:t>
      </w:r>
      <w:r>
        <w:rPr>
          <w:color w:val="000000"/>
        </w:rPr>
        <w:t>n</w:t>
      </w:r>
      <w:r>
        <w:rPr>
          <w:color w:val="000000"/>
          <w:spacing w:val="-4"/>
        </w:rPr>
        <w:t>i</w:t>
      </w:r>
      <w:r>
        <w:rPr>
          <w:color w:val="000000"/>
        </w:rPr>
        <w:t>ų</w:t>
      </w:r>
      <w:r>
        <w:rPr>
          <w:color w:val="000000"/>
          <w:spacing w:val="26"/>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21"/>
        </w:rPr>
        <w:t xml:space="preserve"> </w:t>
      </w:r>
      <w:r>
        <w:rPr>
          <w:color w:val="000000"/>
          <w:spacing w:val="5"/>
        </w:rPr>
        <w:t>d</w:t>
      </w:r>
      <w:r>
        <w:rPr>
          <w:color w:val="000000"/>
          <w:spacing w:val="-4"/>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4"/>
        </w:rPr>
        <w:t>m</w:t>
      </w:r>
      <w:r>
        <w:rPr>
          <w:color w:val="000000"/>
        </w:rPr>
        <w:t>u,</w:t>
      </w:r>
      <w:r>
        <w:rPr>
          <w:color w:val="000000"/>
          <w:spacing w:val="32"/>
        </w:rPr>
        <w:t xml:space="preserve"> </w:t>
      </w:r>
      <w:r>
        <w:rPr>
          <w:color w:val="000000"/>
          <w:spacing w:val="-4"/>
        </w:rPr>
        <w:t>i</w:t>
      </w:r>
      <w:r>
        <w:rPr>
          <w:color w:val="000000"/>
        </w:rPr>
        <w:t>š</w:t>
      </w:r>
      <w:r>
        <w:rPr>
          <w:color w:val="000000"/>
          <w:spacing w:val="24"/>
        </w:rPr>
        <w:t xml:space="preserve"> </w:t>
      </w:r>
      <w:r>
        <w:rPr>
          <w:color w:val="000000"/>
          <w:spacing w:val="-4"/>
        </w:rPr>
        <w:t>j</w:t>
      </w:r>
      <w:r>
        <w:rPr>
          <w:color w:val="000000"/>
        </w:rPr>
        <w:t>ų</w:t>
      </w:r>
      <w:r>
        <w:rPr>
          <w:color w:val="000000"/>
          <w:spacing w:val="22"/>
        </w:rPr>
        <w:t xml:space="preserve"> </w:t>
      </w:r>
      <w:r>
        <w:rPr>
          <w:color w:val="000000"/>
        </w:rPr>
        <w:t>170</w:t>
      </w:r>
      <w:r>
        <w:rPr>
          <w:color w:val="000000"/>
          <w:spacing w:val="21"/>
        </w:rPr>
        <w:t xml:space="preserve"> </w:t>
      </w:r>
      <w:r>
        <w:rPr>
          <w:color w:val="000000"/>
          <w:spacing w:val="1"/>
        </w:rPr>
        <w:t>(</w:t>
      </w:r>
      <w:r>
        <w:rPr>
          <w:color w:val="000000"/>
        </w:rPr>
        <w:t>11</w:t>
      </w:r>
      <w:r>
        <w:rPr>
          <w:color w:val="000000"/>
          <w:spacing w:val="2"/>
        </w:rPr>
        <w:t>,</w:t>
      </w:r>
      <w:r>
        <w:rPr>
          <w:color w:val="000000"/>
        </w:rPr>
        <w:t>5</w:t>
      </w:r>
    </w:p>
    <w:p w:rsidR="004F7425" w:rsidRDefault="004F7425" w:rsidP="004F7425">
      <w:pPr>
        <w:widowControl w:val="0"/>
        <w:autoSpaceDE w:val="0"/>
        <w:autoSpaceDN w:val="0"/>
        <w:adjustRightInd w:val="0"/>
        <w:spacing w:before="1" w:line="279" w:lineRule="auto"/>
        <w:ind w:left="220" w:right="41"/>
        <w:rPr>
          <w:color w:val="000000"/>
        </w:rPr>
      </w:pPr>
      <w:r>
        <w:rPr>
          <w:color w:val="000000"/>
          <w:spacing w:val="1"/>
        </w:rPr>
        <w:t>%</w:t>
      </w:r>
      <w:r>
        <w:rPr>
          <w:color w:val="000000"/>
        </w:rPr>
        <w:t>)</w:t>
      </w:r>
      <w:r>
        <w:rPr>
          <w:color w:val="000000"/>
          <w:spacing w:val="13"/>
        </w:rPr>
        <w:t xml:space="preserve"> </w:t>
      </w:r>
      <w:r>
        <w:rPr>
          <w:color w:val="000000"/>
          <w:spacing w:val="-9"/>
        </w:rPr>
        <w:t>m</w:t>
      </w:r>
      <w:r>
        <w:rPr>
          <w:color w:val="000000"/>
          <w:spacing w:val="5"/>
        </w:rPr>
        <w:t>ot</w:t>
      </w:r>
      <w:r>
        <w:rPr>
          <w:color w:val="000000"/>
          <w:spacing w:val="-6"/>
        </w:rPr>
        <w:t>e</w:t>
      </w:r>
      <w:r>
        <w:rPr>
          <w:color w:val="000000"/>
          <w:spacing w:val="1"/>
        </w:rPr>
        <w:t>r</w:t>
      </w:r>
      <w:r>
        <w:rPr>
          <w:color w:val="000000"/>
        </w:rPr>
        <w:t>ų,</w:t>
      </w:r>
      <w:r>
        <w:rPr>
          <w:color w:val="000000"/>
          <w:spacing w:val="14"/>
        </w:rPr>
        <w:t xml:space="preserve"> </w:t>
      </w:r>
      <w:r>
        <w:rPr>
          <w:color w:val="000000"/>
        </w:rPr>
        <w:t>21</w:t>
      </w:r>
      <w:r>
        <w:rPr>
          <w:color w:val="000000"/>
          <w:spacing w:val="7"/>
        </w:rPr>
        <w:t xml:space="preserve"> </w:t>
      </w:r>
      <w:r>
        <w:rPr>
          <w:color w:val="000000"/>
        </w:rPr>
        <w:t>u</w:t>
      </w:r>
      <w:r>
        <w:rPr>
          <w:color w:val="000000"/>
          <w:spacing w:val="-1"/>
        </w:rPr>
        <w:t>ž</w:t>
      </w:r>
      <w:r>
        <w:rPr>
          <w:color w:val="000000"/>
          <w:spacing w:val="2"/>
        </w:rPr>
        <w:t>s</w:t>
      </w:r>
      <w:r>
        <w:rPr>
          <w:color w:val="000000"/>
          <w:spacing w:val="-9"/>
        </w:rPr>
        <w:t>i</w:t>
      </w:r>
      <w:r>
        <w:rPr>
          <w:color w:val="000000"/>
          <w:spacing w:val="4"/>
        </w:rPr>
        <w:t>e</w:t>
      </w:r>
      <w:r>
        <w:rPr>
          <w:color w:val="000000"/>
        </w:rPr>
        <w:t>n</w:t>
      </w:r>
      <w:r>
        <w:rPr>
          <w:color w:val="000000"/>
          <w:spacing w:val="-9"/>
        </w:rPr>
        <w:t>i</w:t>
      </w:r>
      <w:r>
        <w:rPr>
          <w:color w:val="000000"/>
        </w:rPr>
        <w:t>o</w:t>
      </w:r>
      <w:r>
        <w:rPr>
          <w:color w:val="000000"/>
          <w:spacing w:val="16"/>
        </w:rPr>
        <w:t xml:space="preserve"> </w:t>
      </w:r>
      <w:r>
        <w:rPr>
          <w:color w:val="000000"/>
          <w:spacing w:val="5"/>
        </w:rPr>
        <w:t>p</w:t>
      </w:r>
      <w:r>
        <w:rPr>
          <w:color w:val="000000"/>
          <w:spacing w:val="-4"/>
        </w:rPr>
        <w:t>i</w:t>
      </w:r>
      <w:r>
        <w:rPr>
          <w:color w:val="000000"/>
        </w:rPr>
        <w:t>l</w:t>
      </w:r>
      <w:r>
        <w:rPr>
          <w:color w:val="000000"/>
          <w:spacing w:val="-4"/>
        </w:rPr>
        <w:t>i</w:t>
      </w:r>
      <w:r>
        <w:rPr>
          <w:color w:val="000000"/>
          <w:spacing w:val="-1"/>
        </w:rPr>
        <w:t>e</w:t>
      </w:r>
      <w:r>
        <w:rPr>
          <w:color w:val="000000"/>
          <w:spacing w:val="10"/>
        </w:rPr>
        <w:t>t</w:t>
      </w:r>
      <w:r>
        <w:rPr>
          <w:color w:val="000000"/>
          <w:spacing w:val="-9"/>
        </w:rPr>
        <w:t>i</w:t>
      </w:r>
      <w:r>
        <w:rPr>
          <w:color w:val="000000"/>
          <w:spacing w:val="-2"/>
        </w:rPr>
        <w:t>s</w:t>
      </w:r>
      <w:r>
        <w:rPr>
          <w:color w:val="000000"/>
        </w:rPr>
        <w:t>,</w:t>
      </w:r>
      <w:r>
        <w:rPr>
          <w:color w:val="000000"/>
          <w:spacing w:val="14"/>
        </w:rPr>
        <w:t xml:space="preserve"> </w:t>
      </w:r>
      <w:r>
        <w:rPr>
          <w:color w:val="000000"/>
        </w:rPr>
        <w:t>6</w:t>
      </w:r>
      <w:r>
        <w:rPr>
          <w:color w:val="000000"/>
          <w:spacing w:val="12"/>
        </w:rPr>
        <w:t xml:space="preserve"> </w:t>
      </w:r>
      <w:r>
        <w:rPr>
          <w:color w:val="000000"/>
          <w:spacing w:val="-1"/>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rPr>
        <w:t>s</w:t>
      </w:r>
      <w:r>
        <w:rPr>
          <w:color w:val="000000"/>
          <w:spacing w:val="14"/>
        </w:rPr>
        <w:t xml:space="preserve"> </w:t>
      </w:r>
      <w:r>
        <w:rPr>
          <w:color w:val="000000"/>
          <w:spacing w:val="-5"/>
        </w:rPr>
        <w:t>b</w:t>
      </w:r>
      <w:r>
        <w:rPr>
          <w:color w:val="000000"/>
        </w:rPr>
        <w:t>e</w:t>
      </w:r>
      <w:r>
        <w:rPr>
          <w:color w:val="000000"/>
          <w:spacing w:val="11"/>
        </w:rPr>
        <w:t xml:space="preserve"> </w:t>
      </w:r>
      <w:r>
        <w:rPr>
          <w:color w:val="000000"/>
          <w:spacing w:val="5"/>
        </w:rPr>
        <w:t>p</w:t>
      </w:r>
      <w:r>
        <w:rPr>
          <w:color w:val="000000"/>
          <w:spacing w:val="-4"/>
        </w:rPr>
        <w:t>i</w:t>
      </w:r>
      <w:r>
        <w:rPr>
          <w:color w:val="000000"/>
        </w:rPr>
        <w:t>l</w:t>
      </w:r>
      <w:r>
        <w:rPr>
          <w:color w:val="000000"/>
          <w:spacing w:val="1"/>
        </w:rPr>
        <w:t>i</w:t>
      </w:r>
      <w:r>
        <w:rPr>
          <w:color w:val="000000"/>
          <w:spacing w:val="-1"/>
        </w:rPr>
        <w:t>e</w:t>
      </w:r>
      <w:r>
        <w:rPr>
          <w:color w:val="000000"/>
          <w:spacing w:val="5"/>
        </w:rPr>
        <w:t>t</w:t>
      </w:r>
      <w:r>
        <w:rPr>
          <w:color w:val="000000"/>
          <w:spacing w:val="-5"/>
        </w:rPr>
        <w:t>yb</w:t>
      </w:r>
      <w:r>
        <w:rPr>
          <w:color w:val="000000"/>
          <w:spacing w:val="4"/>
        </w:rPr>
        <w:t>ė</w:t>
      </w:r>
      <w:r>
        <w:rPr>
          <w:color w:val="000000"/>
          <w:spacing w:val="-2"/>
        </w:rPr>
        <w:t>s</w:t>
      </w:r>
      <w:r>
        <w:rPr>
          <w:color w:val="000000"/>
        </w:rPr>
        <w:t>.</w:t>
      </w:r>
      <w:r>
        <w:rPr>
          <w:color w:val="000000"/>
          <w:spacing w:val="14"/>
        </w:rPr>
        <w:t xml:space="preserve"> </w:t>
      </w:r>
      <w:r>
        <w:rPr>
          <w:color w:val="000000"/>
          <w:spacing w:val="-2"/>
        </w:rPr>
        <w:t>R</w:t>
      </w:r>
      <w:r>
        <w:rPr>
          <w:color w:val="000000"/>
          <w:spacing w:val="4"/>
        </w:rPr>
        <w:t>e</w:t>
      </w:r>
      <w:r>
        <w:rPr>
          <w:color w:val="000000"/>
          <w:spacing w:val="-4"/>
        </w:rPr>
        <w:t>mi</w:t>
      </w:r>
      <w:r>
        <w:rPr>
          <w:color w:val="000000"/>
          <w:spacing w:val="4"/>
        </w:rPr>
        <w:t>a</w:t>
      </w:r>
      <w:r>
        <w:rPr>
          <w:color w:val="000000"/>
          <w:spacing w:val="-5"/>
        </w:rPr>
        <w:t>n</w:t>
      </w:r>
      <w:r>
        <w:rPr>
          <w:color w:val="000000"/>
          <w:spacing w:val="10"/>
        </w:rPr>
        <w:t>t</w:t>
      </w:r>
      <w:r>
        <w:rPr>
          <w:color w:val="000000"/>
          <w:spacing w:val="-4"/>
        </w:rPr>
        <w:t>i</w:t>
      </w:r>
      <w:r>
        <w:rPr>
          <w:color w:val="000000"/>
        </w:rPr>
        <w:t>s</w:t>
      </w:r>
      <w:r>
        <w:rPr>
          <w:color w:val="000000"/>
          <w:spacing w:val="10"/>
        </w:rPr>
        <w:t xml:space="preserve"> </w:t>
      </w:r>
      <w:r>
        <w:rPr>
          <w:color w:val="000000"/>
          <w:spacing w:val="1"/>
        </w:rPr>
        <w:t>I</w:t>
      </w:r>
      <w:r>
        <w:rPr>
          <w:color w:val="000000"/>
          <w:spacing w:val="-2"/>
        </w:rPr>
        <w:t>R</w:t>
      </w:r>
      <w:r>
        <w:rPr>
          <w:color w:val="000000"/>
        </w:rPr>
        <w:t>D</w:t>
      </w:r>
      <w:r>
        <w:rPr>
          <w:color w:val="000000"/>
          <w:spacing w:val="11"/>
        </w:rPr>
        <w:t xml:space="preserve"> </w:t>
      </w:r>
      <w:r>
        <w:rPr>
          <w:color w:val="000000"/>
        </w:rPr>
        <w:t>p</w:t>
      </w:r>
      <w:r>
        <w:rPr>
          <w:color w:val="000000"/>
          <w:spacing w:val="1"/>
        </w:rPr>
        <w:t>r</w:t>
      </w:r>
      <w:r>
        <w:rPr>
          <w:color w:val="000000"/>
          <w:spacing w:val="-9"/>
        </w:rPr>
        <w:t>i</w:t>
      </w:r>
      <w:r>
        <w:rPr>
          <w:color w:val="000000"/>
        </w:rPr>
        <w:t>e</w:t>
      </w:r>
      <w:r>
        <w:rPr>
          <w:color w:val="000000"/>
          <w:spacing w:val="11"/>
        </w:rPr>
        <w:t xml:space="preserve"> </w:t>
      </w:r>
      <w:r>
        <w:rPr>
          <w:color w:val="000000"/>
        </w:rPr>
        <w:t>V</w:t>
      </w:r>
      <w:r>
        <w:rPr>
          <w:color w:val="000000"/>
          <w:spacing w:val="2"/>
        </w:rPr>
        <w:t>R</w:t>
      </w:r>
      <w:r>
        <w:rPr>
          <w:color w:val="000000"/>
        </w:rPr>
        <w:t>M</w:t>
      </w:r>
      <w:r>
        <w:rPr>
          <w:color w:val="000000"/>
          <w:spacing w:val="10"/>
        </w:rPr>
        <w:t xml:space="preserve"> </w:t>
      </w:r>
      <w:r>
        <w:rPr>
          <w:color w:val="000000"/>
        </w:rPr>
        <w:t>du</w:t>
      </w:r>
      <w:r>
        <w:rPr>
          <w:color w:val="000000"/>
          <w:spacing w:val="5"/>
        </w:rPr>
        <w:t>o</w:t>
      </w:r>
      <w:r>
        <w:rPr>
          <w:color w:val="000000"/>
          <w:spacing w:val="-4"/>
        </w:rPr>
        <w:t>m</w:t>
      </w:r>
      <w:r>
        <w:rPr>
          <w:color w:val="000000"/>
          <w:spacing w:val="4"/>
        </w:rPr>
        <w:t>e</w:t>
      </w:r>
      <w:r>
        <w:rPr>
          <w:color w:val="000000"/>
        </w:rPr>
        <w:t>n</w:t>
      </w:r>
      <w:r>
        <w:rPr>
          <w:color w:val="000000"/>
          <w:spacing w:val="-4"/>
        </w:rPr>
        <w:t>i</w:t>
      </w:r>
      <w:r>
        <w:rPr>
          <w:color w:val="000000"/>
        </w:rPr>
        <w:t>m</w:t>
      </w:r>
      <w:r>
        <w:rPr>
          <w:color w:val="000000"/>
          <w:spacing w:val="-4"/>
        </w:rPr>
        <w:t>i</w:t>
      </w:r>
      <w:r>
        <w:rPr>
          <w:color w:val="000000"/>
        </w:rPr>
        <w:t>s</w:t>
      </w:r>
      <w:r>
        <w:rPr>
          <w:color w:val="000000"/>
          <w:spacing w:val="10"/>
        </w:rPr>
        <w:t xml:space="preserve"> </w:t>
      </w:r>
      <w:r>
        <w:rPr>
          <w:color w:val="000000"/>
          <w:spacing w:val="5"/>
        </w:rPr>
        <w:t>u</w:t>
      </w:r>
      <w:r>
        <w:rPr>
          <w:color w:val="000000"/>
        </w:rPr>
        <w:t xml:space="preserve">ž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ą</w:t>
      </w:r>
      <w:r>
        <w:rPr>
          <w:color w:val="000000"/>
          <w:spacing w:val="1"/>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ą</w:t>
      </w:r>
      <w:r>
        <w:rPr>
          <w:color w:val="000000"/>
          <w:spacing w:val="1"/>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s</w:t>
      </w:r>
      <w:r>
        <w:rPr>
          <w:color w:val="000000"/>
          <w:spacing w:val="5"/>
        </w:rPr>
        <w:t>u</w:t>
      </w:r>
      <w:r>
        <w:rPr>
          <w:color w:val="000000"/>
          <w:spacing w:val="-4"/>
        </w:rPr>
        <w:t>l</w:t>
      </w:r>
      <w:r>
        <w:rPr>
          <w:color w:val="000000"/>
          <w:spacing w:val="4"/>
        </w:rPr>
        <w:t>a</w:t>
      </w:r>
      <w:r>
        <w:rPr>
          <w:color w:val="000000"/>
          <w:spacing w:val="-4"/>
        </w:rPr>
        <w:t>i</w:t>
      </w:r>
      <w:r>
        <w:rPr>
          <w:color w:val="000000"/>
        </w:rPr>
        <w:t>k</w:t>
      </w:r>
      <w:r>
        <w:rPr>
          <w:color w:val="000000"/>
          <w:spacing w:val="9"/>
        </w:rPr>
        <w:t>o</w:t>
      </w:r>
      <w:r>
        <w:rPr>
          <w:color w:val="000000"/>
          <w:spacing w:val="-4"/>
        </w:rPr>
        <w:t>m</w:t>
      </w:r>
      <w:r>
        <w:rPr>
          <w:color w:val="000000"/>
        </w:rPr>
        <w:t>i</w:t>
      </w:r>
      <w:r>
        <w:rPr>
          <w:color w:val="000000"/>
          <w:spacing w:val="7"/>
        </w:rPr>
        <w:t xml:space="preserve"> </w:t>
      </w:r>
      <w:r>
        <w:rPr>
          <w:color w:val="000000"/>
          <w:spacing w:val="-9"/>
        </w:rPr>
        <w:t>j</w:t>
      </w:r>
      <w:r>
        <w:rPr>
          <w:color w:val="000000"/>
          <w:spacing w:val="-1"/>
        </w:rPr>
        <w:t>a</w:t>
      </w:r>
      <w:r>
        <w:rPr>
          <w:color w:val="000000"/>
          <w:spacing w:val="5"/>
        </w:rPr>
        <w:t>u</w:t>
      </w:r>
      <w:r>
        <w:rPr>
          <w:color w:val="000000"/>
        </w:rPr>
        <w:t>ni</w:t>
      </w:r>
      <w:r>
        <w:rPr>
          <w:color w:val="000000"/>
          <w:spacing w:val="3"/>
        </w:rPr>
        <w:t xml:space="preserve"> </w:t>
      </w:r>
      <w:r>
        <w:rPr>
          <w:color w:val="000000"/>
          <w:spacing w:val="-4"/>
        </w:rPr>
        <w:t>i</w:t>
      </w:r>
      <w:r>
        <w:rPr>
          <w:color w:val="000000"/>
          <w:spacing w:val="5"/>
        </w:rPr>
        <w:t>k</w:t>
      </w:r>
      <w:r>
        <w:rPr>
          <w:color w:val="000000"/>
        </w:rPr>
        <w:t>i</w:t>
      </w:r>
      <w:r>
        <w:rPr>
          <w:color w:val="000000"/>
          <w:spacing w:val="-7"/>
        </w:rPr>
        <w:t xml:space="preserve"> </w:t>
      </w:r>
      <w:r>
        <w:rPr>
          <w:color w:val="000000"/>
        </w:rPr>
        <w:t>30</w:t>
      </w:r>
      <w:r>
        <w:rPr>
          <w:color w:val="000000"/>
          <w:spacing w:val="7"/>
        </w:rPr>
        <w:t xml:space="preserve"> </w:t>
      </w:r>
      <w:r>
        <w:rPr>
          <w:color w:val="000000"/>
          <w:spacing w:val="-4"/>
        </w:rPr>
        <w:t>m</w:t>
      </w:r>
      <w:r>
        <w:rPr>
          <w:color w:val="000000"/>
          <w:spacing w:val="-1"/>
        </w:rPr>
        <w:t>e</w:t>
      </w:r>
      <w:r>
        <w:rPr>
          <w:color w:val="000000"/>
          <w:spacing w:val="5"/>
        </w:rPr>
        <w:t>t</w:t>
      </w:r>
      <w:r>
        <w:rPr>
          <w:color w:val="000000"/>
        </w:rPr>
        <w:t>ų</w:t>
      </w:r>
      <w:r>
        <w:rPr>
          <w:color w:val="000000"/>
          <w:spacing w:val="2"/>
        </w:rPr>
        <w:t xml:space="preserve"> </w:t>
      </w:r>
      <w:r>
        <w:rPr>
          <w:color w:val="000000"/>
          <w:spacing w:val="-1"/>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rPr>
        <w:t>s</w:t>
      </w:r>
      <w:r>
        <w:rPr>
          <w:color w:val="000000"/>
          <w:spacing w:val="10"/>
        </w:rPr>
        <w:t xml:space="preserve"> </w:t>
      </w:r>
      <w:r>
        <w:rPr>
          <w:color w:val="000000"/>
        </w:rPr>
        <w:t>–</w:t>
      </w:r>
      <w:r>
        <w:rPr>
          <w:color w:val="000000"/>
          <w:spacing w:val="2"/>
        </w:rPr>
        <w:t xml:space="preserve"> </w:t>
      </w:r>
      <w:r>
        <w:rPr>
          <w:color w:val="000000"/>
          <w:spacing w:val="5"/>
        </w:rPr>
        <w:t>to</w:t>
      </w:r>
      <w:r>
        <w:rPr>
          <w:color w:val="000000"/>
        </w:rPr>
        <w:t>k</w:t>
      </w:r>
      <w:r>
        <w:rPr>
          <w:color w:val="000000"/>
          <w:spacing w:val="-9"/>
        </w:rPr>
        <w:t>i</w:t>
      </w:r>
      <w:r>
        <w:rPr>
          <w:color w:val="000000"/>
        </w:rPr>
        <w:t>e</w:t>
      </w:r>
      <w:r>
        <w:rPr>
          <w:color w:val="000000"/>
          <w:spacing w:val="1"/>
        </w:rPr>
        <w:t xml:space="preserve"> </w:t>
      </w:r>
      <w:r>
        <w:rPr>
          <w:color w:val="000000"/>
          <w:spacing w:val="-2"/>
        </w:rPr>
        <w:t>s</w:t>
      </w:r>
      <w:r>
        <w:rPr>
          <w:color w:val="000000"/>
        </w:rPr>
        <w:t>u</w:t>
      </w:r>
      <w:r>
        <w:rPr>
          <w:color w:val="000000"/>
          <w:spacing w:val="5"/>
        </w:rPr>
        <w:t>d</w:t>
      </w:r>
      <w:r>
        <w:rPr>
          <w:color w:val="000000"/>
          <w:spacing w:val="-1"/>
        </w:rPr>
        <w:t>a</w:t>
      </w:r>
      <w:r>
        <w:rPr>
          <w:color w:val="000000"/>
          <w:spacing w:val="1"/>
        </w:rPr>
        <w:t>r</w:t>
      </w:r>
      <w:r>
        <w:rPr>
          <w:color w:val="000000"/>
        </w:rPr>
        <w:t>o</w:t>
      </w:r>
      <w:r>
        <w:rPr>
          <w:color w:val="000000"/>
          <w:spacing w:val="7"/>
        </w:rPr>
        <w:t xml:space="preserve"> </w:t>
      </w:r>
      <w:r>
        <w:rPr>
          <w:color w:val="000000"/>
          <w:spacing w:val="-1"/>
        </w:rPr>
        <w:t>a</w:t>
      </w:r>
      <w:r>
        <w:rPr>
          <w:color w:val="000000"/>
        </w:rPr>
        <w:t>p</w:t>
      </w:r>
      <w:r>
        <w:rPr>
          <w:color w:val="000000"/>
          <w:spacing w:val="-9"/>
        </w:rPr>
        <w:t>i</w:t>
      </w:r>
      <w:r>
        <w:rPr>
          <w:color w:val="000000"/>
        </w:rPr>
        <w:t>e</w:t>
      </w:r>
      <w:r>
        <w:rPr>
          <w:color w:val="000000"/>
          <w:spacing w:val="4"/>
        </w:rPr>
        <w:t xml:space="preserve"> </w:t>
      </w:r>
      <w:r>
        <w:rPr>
          <w:color w:val="000000"/>
          <w:spacing w:val="5"/>
        </w:rPr>
        <w:t>67</w:t>
      </w:r>
    </w:p>
    <w:p w:rsidR="004F7425" w:rsidRDefault="004F7425" w:rsidP="004F7425">
      <w:pPr>
        <w:widowControl w:val="0"/>
        <w:autoSpaceDE w:val="0"/>
        <w:autoSpaceDN w:val="0"/>
        <w:adjustRightInd w:val="0"/>
        <w:spacing w:line="273" w:lineRule="exact"/>
        <w:ind w:left="220" w:right="-20"/>
        <w:rPr>
          <w:color w:val="000000"/>
        </w:rPr>
      </w:pPr>
      <w:r>
        <w:rPr>
          <w:color w:val="000000"/>
        </w:rPr>
        <w:t>%</w:t>
      </w:r>
      <w:r>
        <w:rPr>
          <w:color w:val="000000"/>
          <w:spacing w:val="48"/>
        </w:rPr>
        <w:t xml:space="preserve"> </w:t>
      </w:r>
      <w:r>
        <w:rPr>
          <w:color w:val="000000"/>
          <w:spacing w:val="1"/>
        </w:rPr>
        <w:t>(</w:t>
      </w:r>
      <w:r>
        <w:rPr>
          <w:color w:val="000000"/>
        </w:rPr>
        <w:t>2011</w:t>
      </w:r>
      <w:r>
        <w:rPr>
          <w:color w:val="000000"/>
          <w:spacing w:val="41"/>
        </w:rPr>
        <w:t xml:space="preserve"> </w:t>
      </w:r>
      <w:r>
        <w:rPr>
          <w:color w:val="000000"/>
          <w:spacing w:val="-9"/>
        </w:rPr>
        <w:t>m</w:t>
      </w:r>
      <w:r>
        <w:rPr>
          <w:color w:val="000000"/>
        </w:rPr>
        <w:t>.</w:t>
      </w:r>
      <w:r>
        <w:rPr>
          <w:color w:val="000000"/>
          <w:spacing w:val="48"/>
        </w:rPr>
        <w:t xml:space="preserve"> </w:t>
      </w:r>
      <w:r>
        <w:rPr>
          <w:color w:val="000000"/>
          <w:spacing w:val="-1"/>
        </w:rPr>
        <w:t>a</w:t>
      </w:r>
      <w:r>
        <w:rPr>
          <w:color w:val="000000"/>
          <w:spacing w:val="5"/>
        </w:rPr>
        <w:t>p</w:t>
      </w:r>
      <w:r>
        <w:rPr>
          <w:color w:val="000000"/>
          <w:spacing w:val="-4"/>
        </w:rPr>
        <w:t>i</w:t>
      </w:r>
      <w:r>
        <w:rPr>
          <w:color w:val="000000"/>
        </w:rPr>
        <w:t>e</w:t>
      </w:r>
      <w:r>
        <w:rPr>
          <w:color w:val="000000"/>
          <w:spacing w:val="46"/>
        </w:rPr>
        <w:t xml:space="preserve"> </w:t>
      </w:r>
      <w:r>
        <w:rPr>
          <w:color w:val="000000"/>
        </w:rPr>
        <w:t>65</w:t>
      </w:r>
      <w:r>
        <w:rPr>
          <w:color w:val="000000"/>
          <w:spacing w:val="45"/>
        </w:rPr>
        <w:t xml:space="preserve"> </w:t>
      </w:r>
      <w:r>
        <w:rPr>
          <w:color w:val="000000"/>
          <w:spacing w:val="1"/>
        </w:rPr>
        <w:t>%)</w:t>
      </w:r>
      <w:r>
        <w:rPr>
          <w:color w:val="000000"/>
        </w:rPr>
        <w:t>.</w:t>
      </w:r>
      <w:r>
        <w:rPr>
          <w:color w:val="000000"/>
          <w:spacing w:val="43"/>
        </w:rPr>
        <w:t xml:space="preserve"> </w:t>
      </w:r>
      <w:r>
        <w:rPr>
          <w:color w:val="000000"/>
          <w:spacing w:val="1"/>
        </w:rPr>
        <w:t>P</w:t>
      </w:r>
      <w:r>
        <w:rPr>
          <w:color w:val="000000"/>
          <w:spacing w:val="-1"/>
        </w:rPr>
        <w:t>a</w:t>
      </w:r>
      <w:r>
        <w:rPr>
          <w:color w:val="000000"/>
          <w:spacing w:val="-7"/>
        </w:rPr>
        <w:t>s</w:t>
      </w:r>
      <w:r>
        <w:rPr>
          <w:color w:val="000000"/>
          <w:spacing w:val="5"/>
        </w:rPr>
        <w:t>t</w:t>
      </w:r>
      <w:r>
        <w:rPr>
          <w:color w:val="000000"/>
          <w:spacing w:val="-1"/>
        </w:rPr>
        <w:t>e</w:t>
      </w:r>
      <w:r>
        <w:rPr>
          <w:color w:val="000000"/>
        </w:rPr>
        <w:t>b</w:t>
      </w:r>
      <w:r>
        <w:rPr>
          <w:color w:val="000000"/>
          <w:spacing w:val="-4"/>
        </w:rPr>
        <w:t>im</w:t>
      </w:r>
      <w:r>
        <w:rPr>
          <w:color w:val="000000"/>
          <w:spacing w:val="-1"/>
        </w:rPr>
        <w:t>a</w:t>
      </w:r>
      <w:r>
        <w:rPr>
          <w:color w:val="000000"/>
        </w:rPr>
        <w:t>,</w:t>
      </w:r>
      <w:r>
        <w:rPr>
          <w:color w:val="000000"/>
          <w:spacing w:val="48"/>
        </w:rPr>
        <w:t xml:space="preserve"> </w:t>
      </w:r>
      <w:r>
        <w:rPr>
          <w:color w:val="000000"/>
        </w:rPr>
        <w:t>k</w:t>
      </w:r>
      <w:r>
        <w:rPr>
          <w:color w:val="000000"/>
          <w:spacing w:val="-1"/>
        </w:rPr>
        <w:t>a</w:t>
      </w:r>
      <w:r>
        <w:rPr>
          <w:color w:val="000000"/>
        </w:rPr>
        <w:t>d</w:t>
      </w:r>
      <w:r>
        <w:rPr>
          <w:color w:val="000000"/>
          <w:spacing w:val="45"/>
        </w:rPr>
        <w:t xml:space="preserve"> </w:t>
      </w:r>
      <w:r>
        <w:rPr>
          <w:color w:val="000000"/>
          <w:spacing w:val="-5"/>
        </w:rPr>
        <w:t>n</w:t>
      </w:r>
      <w:r>
        <w:rPr>
          <w:color w:val="000000"/>
          <w:spacing w:val="5"/>
        </w:rPr>
        <w:t>u</w:t>
      </w:r>
      <w:r>
        <w:rPr>
          <w:color w:val="000000"/>
          <w:spacing w:val="2"/>
        </w:rPr>
        <w:t>s</w:t>
      </w:r>
      <w:r>
        <w:rPr>
          <w:color w:val="000000"/>
          <w:spacing w:val="-4"/>
        </w:rPr>
        <w:t>i</w:t>
      </w:r>
      <w:r>
        <w:rPr>
          <w:color w:val="000000"/>
        </w:rPr>
        <w:t>k</w:t>
      </w:r>
      <w:r>
        <w:rPr>
          <w:color w:val="000000"/>
          <w:spacing w:val="4"/>
        </w:rPr>
        <w:t>a</w:t>
      </w:r>
      <w:r>
        <w:rPr>
          <w:color w:val="000000"/>
        </w:rPr>
        <w:t>l</w:t>
      </w:r>
      <w:r>
        <w:rPr>
          <w:color w:val="000000"/>
          <w:spacing w:val="-2"/>
        </w:rPr>
        <w:t>s</w:t>
      </w:r>
      <w:r>
        <w:rPr>
          <w:color w:val="000000"/>
          <w:spacing w:val="5"/>
        </w:rPr>
        <w:t>t</w:t>
      </w:r>
      <w:r>
        <w:rPr>
          <w:color w:val="000000"/>
          <w:spacing w:val="-1"/>
        </w:rPr>
        <w:t>a</w:t>
      </w:r>
      <w:r>
        <w:rPr>
          <w:color w:val="000000"/>
          <w:spacing w:val="-4"/>
        </w:rPr>
        <w:t>m</w:t>
      </w:r>
      <w:r>
        <w:rPr>
          <w:color w:val="000000"/>
          <w:spacing w:val="-1"/>
        </w:rPr>
        <w:t>a</w:t>
      </w:r>
      <w:r>
        <w:rPr>
          <w:color w:val="000000"/>
        </w:rPr>
        <w:t>s</w:t>
      </w:r>
      <w:r>
        <w:rPr>
          <w:color w:val="000000"/>
          <w:spacing w:val="48"/>
        </w:rPr>
        <w:t xml:space="preserve"> </w:t>
      </w:r>
      <w:r>
        <w:rPr>
          <w:color w:val="000000"/>
          <w:spacing w:val="-5"/>
        </w:rPr>
        <w:t>v</w:t>
      </w:r>
      <w:r>
        <w:rPr>
          <w:color w:val="000000"/>
          <w:spacing w:val="4"/>
        </w:rPr>
        <w:t>e</w:t>
      </w:r>
      <w:r>
        <w:rPr>
          <w:color w:val="000000"/>
          <w:spacing w:val="-4"/>
        </w:rPr>
        <w:t>i</w:t>
      </w:r>
      <w:r>
        <w:rPr>
          <w:color w:val="000000"/>
        </w:rPr>
        <w:t>k</w:t>
      </w:r>
      <w:r>
        <w:rPr>
          <w:color w:val="000000"/>
          <w:spacing w:val="-1"/>
        </w:rPr>
        <w:t>a</w:t>
      </w:r>
      <w:r>
        <w:rPr>
          <w:color w:val="000000"/>
          <w:spacing w:val="-2"/>
        </w:rPr>
        <w:t>s</w:t>
      </w:r>
      <w:r>
        <w:rPr>
          <w:color w:val="000000"/>
        </w:rPr>
        <w:t>,</w:t>
      </w:r>
      <w:r>
        <w:rPr>
          <w:color w:val="000000"/>
          <w:spacing w:val="48"/>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spacing w:val="5"/>
        </w:rPr>
        <w:t>u</w:t>
      </w:r>
      <w:r>
        <w:rPr>
          <w:color w:val="000000"/>
          <w:spacing w:val="2"/>
        </w:rPr>
        <w:t>s</w:t>
      </w:r>
      <w:r>
        <w:rPr>
          <w:color w:val="000000"/>
          <w:spacing w:val="-4"/>
        </w:rPr>
        <w:t>i</w:t>
      </w:r>
      <w:r>
        <w:rPr>
          <w:color w:val="000000"/>
          <w:spacing w:val="-1"/>
        </w:rPr>
        <w:t>a</w:t>
      </w:r>
      <w:r>
        <w:rPr>
          <w:color w:val="000000"/>
        </w:rPr>
        <w:t>s</w:t>
      </w:r>
      <w:r>
        <w:rPr>
          <w:color w:val="000000"/>
          <w:spacing w:val="43"/>
        </w:rPr>
        <w:t xml:space="preserve"> </w:t>
      </w:r>
      <w:r>
        <w:rPr>
          <w:color w:val="000000"/>
          <w:spacing w:val="-2"/>
        </w:rPr>
        <w:t>s</w:t>
      </w:r>
      <w:r>
        <w:rPr>
          <w:color w:val="000000"/>
        </w:rPr>
        <w:t>u</w:t>
      </w:r>
      <w:r>
        <w:rPr>
          <w:color w:val="000000"/>
          <w:spacing w:val="50"/>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a</w:t>
      </w:r>
      <w:r>
        <w:rPr>
          <w:color w:val="000000"/>
          <w:spacing w:val="44"/>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p>
    <w:p w:rsidR="004F7425" w:rsidRDefault="004F7425" w:rsidP="004F7425">
      <w:pPr>
        <w:widowControl w:val="0"/>
        <w:autoSpaceDE w:val="0"/>
        <w:autoSpaceDN w:val="0"/>
        <w:adjustRightInd w:val="0"/>
        <w:spacing w:before="41"/>
        <w:ind w:left="220" w:right="-20"/>
        <w:rPr>
          <w:color w:val="000000"/>
        </w:rPr>
      </w:pP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w:t>
      </w:r>
      <w:r>
        <w:rPr>
          <w:color w:val="000000"/>
        </w:rPr>
        <w:t xml:space="preserve">a  </w:t>
      </w:r>
      <w:r>
        <w:rPr>
          <w:color w:val="000000"/>
          <w:spacing w:val="1"/>
        </w:rPr>
        <w:t xml:space="preserve"> </w:t>
      </w:r>
      <w:r>
        <w:rPr>
          <w:color w:val="000000"/>
          <w:spacing w:val="-10"/>
        </w:rPr>
        <w:t>y</w:t>
      </w:r>
      <w:r>
        <w:rPr>
          <w:color w:val="000000"/>
          <w:spacing w:val="1"/>
        </w:rPr>
        <w:t>r</w:t>
      </w:r>
      <w:r>
        <w:rPr>
          <w:color w:val="000000"/>
        </w:rPr>
        <w:t xml:space="preserve">a  </w:t>
      </w:r>
      <w:r>
        <w:rPr>
          <w:color w:val="000000"/>
          <w:spacing w:val="6"/>
        </w:rPr>
        <w:t xml:space="preserve"> </w:t>
      </w:r>
      <w:r>
        <w:rPr>
          <w:color w:val="000000"/>
          <w:spacing w:val="-4"/>
        </w:rPr>
        <w:t>li</w:t>
      </w:r>
      <w:r>
        <w:rPr>
          <w:color w:val="000000"/>
        </w:rPr>
        <w:t>n</w:t>
      </w:r>
      <w:r>
        <w:rPr>
          <w:color w:val="000000"/>
          <w:spacing w:val="5"/>
        </w:rPr>
        <w:t>k</w:t>
      </w:r>
      <w:r>
        <w:rPr>
          <w:color w:val="000000"/>
        </w:rPr>
        <w:t xml:space="preserve">ę </w:t>
      </w:r>
      <w:r>
        <w:rPr>
          <w:color w:val="000000"/>
          <w:spacing w:val="56"/>
        </w:rPr>
        <w:t xml:space="preserve"> </w:t>
      </w:r>
      <w:r>
        <w:rPr>
          <w:color w:val="000000"/>
        </w:rPr>
        <w:t>d</w:t>
      </w:r>
      <w:r>
        <w:rPr>
          <w:color w:val="000000"/>
          <w:spacing w:val="-1"/>
        </w:rPr>
        <w:t>a</w:t>
      </w:r>
      <w:r>
        <w:rPr>
          <w:color w:val="000000"/>
          <w:spacing w:val="6"/>
        </w:rPr>
        <w:t>r</w:t>
      </w:r>
      <w:r>
        <w:rPr>
          <w:color w:val="000000"/>
          <w:spacing w:val="-10"/>
        </w:rPr>
        <w:t>y</w:t>
      </w:r>
      <w:r>
        <w:rPr>
          <w:color w:val="000000"/>
          <w:spacing w:val="10"/>
        </w:rPr>
        <w:t>t</w:t>
      </w:r>
      <w:r>
        <w:rPr>
          <w:color w:val="000000"/>
        </w:rPr>
        <w:t xml:space="preserve">i </w:t>
      </w:r>
      <w:r>
        <w:rPr>
          <w:color w:val="000000"/>
          <w:spacing w:val="58"/>
        </w:rPr>
        <w:t xml:space="preserve"> </w:t>
      </w:r>
      <w:r>
        <w:rPr>
          <w:color w:val="000000"/>
          <w:spacing w:val="-4"/>
        </w:rPr>
        <w:t>j</w:t>
      </w:r>
      <w:r>
        <w:rPr>
          <w:color w:val="000000"/>
          <w:spacing w:val="-1"/>
        </w:rPr>
        <w:t>a</w:t>
      </w:r>
      <w:r>
        <w:rPr>
          <w:color w:val="000000"/>
          <w:spacing w:val="5"/>
        </w:rPr>
        <w:t>u</w:t>
      </w:r>
      <w:r>
        <w:rPr>
          <w:color w:val="000000"/>
          <w:spacing w:val="-5"/>
        </w:rPr>
        <w:t>n</w:t>
      </w:r>
      <w:r>
        <w:rPr>
          <w:color w:val="000000"/>
          <w:spacing w:val="4"/>
        </w:rPr>
        <w:t>e</w:t>
      </w:r>
      <w:r>
        <w:rPr>
          <w:color w:val="000000"/>
          <w:spacing w:val="2"/>
        </w:rPr>
        <w:t>s</w:t>
      </w:r>
      <w:r>
        <w:rPr>
          <w:color w:val="000000"/>
        </w:rPr>
        <w:t>n</w:t>
      </w:r>
      <w:r>
        <w:rPr>
          <w:color w:val="000000"/>
          <w:spacing w:val="-9"/>
        </w:rPr>
        <w:t>i</w:t>
      </w:r>
      <w:r>
        <w:rPr>
          <w:color w:val="000000"/>
        </w:rPr>
        <w:t xml:space="preserve">o  </w:t>
      </w:r>
      <w:r>
        <w:rPr>
          <w:color w:val="000000"/>
          <w:spacing w:val="2"/>
        </w:rPr>
        <w:t xml:space="preserve"> </w:t>
      </w:r>
      <w:r>
        <w:rPr>
          <w:color w:val="000000"/>
          <w:spacing w:val="4"/>
        </w:rPr>
        <w:t>a</w:t>
      </w:r>
      <w:r>
        <w:rPr>
          <w:color w:val="000000"/>
          <w:spacing w:val="-4"/>
        </w:rPr>
        <w:t>m</w:t>
      </w:r>
      <w:r>
        <w:rPr>
          <w:color w:val="000000"/>
          <w:spacing w:val="4"/>
        </w:rPr>
        <w:t>ž</w:t>
      </w:r>
      <w:r>
        <w:rPr>
          <w:color w:val="000000"/>
          <w:spacing w:val="-4"/>
        </w:rPr>
        <w:t>i</w:t>
      </w:r>
      <w:r>
        <w:rPr>
          <w:color w:val="000000"/>
          <w:spacing w:val="-1"/>
        </w:rPr>
        <w:t>a</w:t>
      </w:r>
      <w:r>
        <w:rPr>
          <w:color w:val="000000"/>
          <w:spacing w:val="5"/>
        </w:rPr>
        <w:t>u</w:t>
      </w:r>
      <w:r>
        <w:rPr>
          <w:color w:val="000000"/>
        </w:rPr>
        <w:t xml:space="preserve">s   </w:t>
      </w:r>
      <w:r>
        <w:rPr>
          <w:color w:val="000000"/>
          <w:spacing w:val="-1"/>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rPr>
        <w:t xml:space="preserve">s   </w:t>
      </w:r>
      <w:r>
        <w:rPr>
          <w:color w:val="000000"/>
          <w:spacing w:val="1"/>
        </w:rPr>
        <w:t>(</w:t>
      </w:r>
      <w:r>
        <w:rPr>
          <w:color w:val="000000"/>
        </w:rPr>
        <w:t>2</w:t>
      </w:r>
      <w:r>
        <w:rPr>
          <w:color w:val="000000"/>
          <w:spacing w:val="9"/>
        </w:rPr>
        <w:t>0</w:t>
      </w:r>
      <w:r>
        <w:rPr>
          <w:color w:val="000000"/>
        </w:rPr>
        <w:t xml:space="preserve">–40  </w:t>
      </w:r>
      <w:r>
        <w:rPr>
          <w:color w:val="000000"/>
          <w:spacing w:val="2"/>
        </w:rPr>
        <w:t xml:space="preserve"> </w:t>
      </w:r>
      <w:r>
        <w:rPr>
          <w:color w:val="000000"/>
          <w:spacing w:val="-4"/>
        </w:rPr>
        <w:t>m</w:t>
      </w:r>
      <w:r>
        <w:rPr>
          <w:color w:val="000000"/>
          <w:spacing w:val="-1"/>
        </w:rPr>
        <w:t>e</w:t>
      </w:r>
      <w:r>
        <w:rPr>
          <w:color w:val="000000"/>
          <w:spacing w:val="5"/>
        </w:rPr>
        <w:t>t</w:t>
      </w:r>
      <w:r>
        <w:rPr>
          <w:color w:val="000000"/>
        </w:rPr>
        <w:t xml:space="preserve">ų)  </w:t>
      </w:r>
      <w:r>
        <w:rPr>
          <w:color w:val="000000"/>
          <w:spacing w:val="4"/>
        </w:rPr>
        <w:t xml:space="preserve"> </w:t>
      </w:r>
      <w:r>
        <w:rPr>
          <w:color w:val="000000"/>
          <w:spacing w:val="-4"/>
        </w:rPr>
        <w:t>l</w:t>
      </w:r>
      <w:r>
        <w:rPr>
          <w:color w:val="000000"/>
          <w:spacing w:val="-5"/>
        </w:rPr>
        <w:t>y</w:t>
      </w:r>
      <w:r>
        <w:rPr>
          <w:color w:val="000000"/>
          <w:spacing w:val="5"/>
        </w:rPr>
        <w:t>g</w:t>
      </w:r>
      <w:r>
        <w:rPr>
          <w:color w:val="000000"/>
          <w:spacing w:val="-4"/>
        </w:rPr>
        <w:t>i</w:t>
      </w:r>
      <w:r>
        <w:rPr>
          <w:color w:val="000000"/>
        </w:rPr>
        <w:t>n</w:t>
      </w:r>
      <w:r>
        <w:rPr>
          <w:color w:val="000000"/>
          <w:spacing w:val="4"/>
        </w:rPr>
        <w:t>a</w:t>
      </w:r>
      <w:r>
        <w:rPr>
          <w:color w:val="000000"/>
          <w:spacing w:val="-5"/>
        </w:rPr>
        <w:t>n</w:t>
      </w:r>
      <w:r>
        <w:rPr>
          <w:color w:val="000000"/>
        </w:rPr>
        <w:t xml:space="preserve">t  </w:t>
      </w:r>
      <w:r>
        <w:rPr>
          <w:color w:val="000000"/>
          <w:spacing w:val="2"/>
        </w:rPr>
        <w:t xml:space="preserve"> </w:t>
      </w:r>
      <w:r>
        <w:rPr>
          <w:color w:val="000000"/>
          <w:spacing w:val="-2"/>
        </w:rPr>
        <w:t>s</w:t>
      </w:r>
      <w:r>
        <w:rPr>
          <w:color w:val="000000"/>
        </w:rPr>
        <w:t xml:space="preserve">u </w:t>
      </w:r>
      <w:r>
        <w:rPr>
          <w:color w:val="000000"/>
          <w:spacing w:val="57"/>
        </w:rPr>
        <w:t xml:space="preserve"> </w:t>
      </w:r>
      <w:r>
        <w:rPr>
          <w:color w:val="000000"/>
          <w:spacing w:val="5"/>
        </w:rPr>
        <w:t>k</w:t>
      </w:r>
      <w:r>
        <w:rPr>
          <w:color w:val="000000"/>
          <w:spacing w:val="-9"/>
        </w:rPr>
        <w:t>i</w:t>
      </w:r>
      <w:r>
        <w:rPr>
          <w:color w:val="000000"/>
          <w:spacing w:val="5"/>
        </w:rPr>
        <w:t>t</w:t>
      </w:r>
      <w:r>
        <w:rPr>
          <w:color w:val="000000"/>
          <w:spacing w:val="9"/>
        </w:rPr>
        <w:t>o</w:t>
      </w:r>
      <w:r>
        <w:rPr>
          <w:color w:val="000000"/>
          <w:spacing w:val="-4"/>
        </w:rPr>
        <w:t>mi</w:t>
      </w:r>
      <w:r>
        <w:rPr>
          <w:color w:val="000000"/>
        </w:rPr>
        <w:t>s</w:t>
      </w:r>
    </w:p>
    <w:p w:rsidR="004F7425" w:rsidRDefault="004F7425" w:rsidP="004F7425">
      <w:pPr>
        <w:widowControl w:val="0"/>
        <w:autoSpaceDE w:val="0"/>
        <w:autoSpaceDN w:val="0"/>
        <w:adjustRightInd w:val="0"/>
        <w:spacing w:before="41"/>
        <w:ind w:left="220" w:right="-20"/>
        <w:rPr>
          <w:color w:val="000000"/>
        </w:rPr>
      </w:pP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9"/>
        </w:rPr>
        <w:t>o</w:t>
      </w:r>
      <w:r>
        <w:rPr>
          <w:color w:val="000000"/>
          <w:spacing w:val="-4"/>
        </w:rPr>
        <w:t>mi</w:t>
      </w:r>
      <w:r>
        <w:rPr>
          <w:color w:val="000000"/>
        </w:rPr>
        <w:t>s</w:t>
      </w:r>
      <w:r>
        <w:rPr>
          <w:color w:val="000000"/>
          <w:spacing w:val="5"/>
        </w:rPr>
        <w:t xml:space="preserve"> </w:t>
      </w:r>
      <w:r>
        <w:rPr>
          <w:color w:val="000000"/>
          <w:spacing w:val="-5"/>
        </w:rPr>
        <w:t>v</w:t>
      </w:r>
      <w:r>
        <w:rPr>
          <w:color w:val="000000"/>
          <w:spacing w:val="4"/>
        </w:rPr>
        <w:t>e</w:t>
      </w:r>
      <w:r>
        <w:rPr>
          <w:color w:val="000000"/>
          <w:spacing w:val="-4"/>
        </w:rPr>
        <w:t>i</w:t>
      </w:r>
      <w:r>
        <w:rPr>
          <w:color w:val="000000"/>
        </w:rPr>
        <w:t>k</w:t>
      </w:r>
      <w:r>
        <w:rPr>
          <w:color w:val="000000"/>
          <w:spacing w:val="9"/>
        </w:rPr>
        <w:t>o</w:t>
      </w:r>
      <w:r>
        <w:rPr>
          <w:color w:val="000000"/>
          <w:spacing w:val="-4"/>
        </w:rPr>
        <w:t>mi</w:t>
      </w:r>
      <w:r>
        <w:rPr>
          <w:color w:val="000000"/>
          <w:spacing w:val="-2"/>
        </w:rPr>
        <w:t>s</w:t>
      </w:r>
      <w:r>
        <w:rPr>
          <w:color w:val="000000"/>
        </w:rPr>
        <w:t>.</w:t>
      </w:r>
    </w:p>
    <w:p w:rsidR="004F7425" w:rsidRDefault="004F7425" w:rsidP="004F7425">
      <w:pPr>
        <w:widowControl w:val="0"/>
        <w:autoSpaceDE w:val="0"/>
        <w:autoSpaceDN w:val="0"/>
        <w:adjustRightInd w:val="0"/>
        <w:spacing w:before="59"/>
        <w:ind w:left="119" w:right="-20"/>
        <w:rPr>
          <w:color w:val="000000"/>
          <w:sz w:val="20"/>
        </w:rPr>
      </w:pPr>
      <w:r>
        <w:rPr>
          <w:noProof/>
          <w:color w:val="000000"/>
          <w:lang w:eastAsia="lt-LT"/>
        </w:rPr>
        <w:drawing>
          <wp:inline distT="0" distB="0" distL="0" distR="0">
            <wp:extent cx="6124575" cy="3276600"/>
            <wp:effectExtent l="0" t="0" r="9525" b="0"/>
            <wp:docPr id="118" name="Paveikslėlis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24575" cy="3276600"/>
                    </a:xfrm>
                    <a:prstGeom prst="rect">
                      <a:avLst/>
                    </a:prstGeom>
                    <a:noFill/>
                    <a:ln>
                      <a:noFill/>
                    </a:ln>
                  </pic:spPr>
                </pic:pic>
              </a:graphicData>
            </a:graphic>
          </wp:inline>
        </w:drawing>
      </w:r>
    </w:p>
    <w:p w:rsidR="004F7425" w:rsidRDefault="004F7425" w:rsidP="004F7425">
      <w:pPr>
        <w:widowControl w:val="0"/>
        <w:autoSpaceDE w:val="0"/>
        <w:autoSpaceDN w:val="0"/>
        <w:adjustRightInd w:val="0"/>
        <w:spacing w:before="1" w:line="110" w:lineRule="exact"/>
        <w:rPr>
          <w:color w:val="000000"/>
          <w:sz w:val="11"/>
          <w:szCs w:val="11"/>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220" w:right="39" w:firstLine="749"/>
        <w:jc w:val="both"/>
        <w:rPr>
          <w:color w:val="000000"/>
        </w:rPr>
      </w:pPr>
      <w:r>
        <w:rPr>
          <w:color w:val="000000"/>
          <w:spacing w:val="-5"/>
        </w:rPr>
        <w:t>K</w:t>
      </w:r>
      <w:r>
        <w:rPr>
          <w:color w:val="000000"/>
          <w:spacing w:val="4"/>
        </w:rPr>
        <w:t>a</w:t>
      </w:r>
      <w:r>
        <w:rPr>
          <w:color w:val="000000"/>
          <w:spacing w:val="-4"/>
        </w:rPr>
        <w:t>i</w:t>
      </w:r>
      <w:r>
        <w:rPr>
          <w:color w:val="000000"/>
        </w:rPr>
        <w:t>p</w:t>
      </w:r>
      <w:r>
        <w:rPr>
          <w:color w:val="000000"/>
          <w:spacing w:val="16"/>
        </w:rPr>
        <w:t xml:space="preserve"> </w:t>
      </w:r>
      <w:r>
        <w:rPr>
          <w:color w:val="000000"/>
          <w:spacing w:val="-9"/>
        </w:rPr>
        <w:t>i</w:t>
      </w:r>
      <w:r>
        <w:rPr>
          <w:color w:val="000000"/>
        </w:rPr>
        <w:t>r</w:t>
      </w:r>
      <w:r>
        <w:rPr>
          <w:color w:val="000000"/>
          <w:spacing w:val="13"/>
        </w:rPr>
        <w:t xml:space="preserve"> </w:t>
      </w:r>
      <w:r>
        <w:rPr>
          <w:color w:val="000000"/>
          <w:spacing w:val="4"/>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10"/>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spacing w:val="-2"/>
        </w:rPr>
        <w:t>s</w:t>
      </w:r>
      <w:r>
        <w:rPr>
          <w:color w:val="000000"/>
        </w:rPr>
        <w:t>,</w:t>
      </w:r>
      <w:r>
        <w:rPr>
          <w:color w:val="000000"/>
          <w:spacing w:val="9"/>
        </w:rPr>
        <w:t xml:space="preserve"> </w:t>
      </w:r>
      <w:r>
        <w:rPr>
          <w:color w:val="000000"/>
        </w:rPr>
        <w:t>p</w:t>
      </w:r>
      <w:r>
        <w:rPr>
          <w:color w:val="000000"/>
          <w:spacing w:val="-1"/>
        </w:rPr>
        <w:t>e</w:t>
      </w:r>
      <w:r>
        <w:rPr>
          <w:color w:val="000000"/>
          <w:spacing w:val="6"/>
        </w:rPr>
        <w:t>r</w:t>
      </w:r>
      <w:r>
        <w:rPr>
          <w:color w:val="000000"/>
          <w:spacing w:val="-5"/>
        </w:rPr>
        <w:t>n</w:t>
      </w:r>
      <w:r>
        <w:rPr>
          <w:color w:val="000000"/>
          <w:spacing w:val="4"/>
        </w:rPr>
        <w:t>a</w:t>
      </w:r>
      <w:r>
        <w:rPr>
          <w:color w:val="000000"/>
        </w:rPr>
        <w:t>i</w:t>
      </w:r>
      <w:r>
        <w:rPr>
          <w:color w:val="000000"/>
          <w:spacing w:val="3"/>
        </w:rPr>
        <w:t xml:space="preserve"> </w:t>
      </w:r>
      <w:r>
        <w:rPr>
          <w:color w:val="000000"/>
          <w:spacing w:val="5"/>
        </w:rPr>
        <w:t>d</w:t>
      </w:r>
      <w:r>
        <w:rPr>
          <w:color w:val="000000"/>
          <w:spacing w:val="-4"/>
        </w:rPr>
        <w:t>i</w:t>
      </w:r>
      <w:r>
        <w:rPr>
          <w:color w:val="000000"/>
        </w:rPr>
        <w:t>d</w:t>
      </w:r>
      <w:r>
        <w:rPr>
          <w:color w:val="000000"/>
          <w:spacing w:val="4"/>
        </w:rPr>
        <w:t>ž</w:t>
      </w:r>
      <w:r>
        <w:rPr>
          <w:color w:val="000000"/>
          <w:spacing w:val="-9"/>
        </w:rPr>
        <w:t>i</w:t>
      </w:r>
      <w:r>
        <w:rPr>
          <w:color w:val="000000"/>
          <w:spacing w:val="9"/>
        </w:rPr>
        <w:t>o</w:t>
      </w:r>
      <w:r>
        <w:rPr>
          <w:color w:val="000000"/>
        </w:rPr>
        <w:t>ji</w:t>
      </w:r>
      <w:r>
        <w:rPr>
          <w:color w:val="000000"/>
          <w:spacing w:val="3"/>
        </w:rPr>
        <w:t xml:space="preserve"> </w:t>
      </w:r>
      <w:r>
        <w:rPr>
          <w:color w:val="000000"/>
          <w:spacing w:val="5"/>
        </w:rPr>
        <w:t>d</w:t>
      </w:r>
      <w:r>
        <w:rPr>
          <w:color w:val="000000"/>
          <w:spacing w:val="4"/>
        </w:rPr>
        <w:t>a</w:t>
      </w:r>
      <w:r>
        <w:rPr>
          <w:color w:val="000000"/>
          <w:spacing w:val="-4"/>
        </w:rPr>
        <w:t>li</w:t>
      </w:r>
      <w:r>
        <w:rPr>
          <w:color w:val="000000"/>
        </w:rPr>
        <w:t>s</w:t>
      </w:r>
      <w:r>
        <w:rPr>
          <w:color w:val="000000"/>
          <w:spacing w:val="9"/>
        </w:rPr>
        <w:t xml:space="preserve"> </w:t>
      </w:r>
      <w:r>
        <w:rPr>
          <w:color w:val="000000"/>
          <w:spacing w:val="4"/>
        </w:rPr>
        <w:t>a</w:t>
      </w:r>
      <w:r>
        <w:rPr>
          <w:color w:val="000000"/>
          <w:spacing w:val="2"/>
        </w:rPr>
        <w:t>s</w:t>
      </w:r>
      <w:r>
        <w:rPr>
          <w:color w:val="000000"/>
          <w:spacing w:val="-4"/>
        </w:rPr>
        <w:t>m</w:t>
      </w:r>
      <w:r>
        <w:rPr>
          <w:color w:val="000000"/>
          <w:spacing w:val="4"/>
        </w:rPr>
        <w:t>e</w:t>
      </w:r>
      <w:r>
        <w:rPr>
          <w:color w:val="000000"/>
          <w:spacing w:val="-5"/>
        </w:rPr>
        <w:t>n</w:t>
      </w:r>
      <w:r>
        <w:rPr>
          <w:color w:val="000000"/>
        </w:rPr>
        <w:t>ų</w:t>
      </w:r>
      <w:r>
        <w:rPr>
          <w:color w:val="000000"/>
          <w:spacing w:val="7"/>
        </w:rPr>
        <w:t xml:space="preserve"> </w:t>
      </w:r>
      <w:r>
        <w:rPr>
          <w:color w:val="000000"/>
        </w:rPr>
        <w:t>p</w:t>
      </w:r>
      <w:r>
        <w:rPr>
          <w:color w:val="000000"/>
          <w:spacing w:val="-1"/>
        </w:rPr>
        <w:t>a</w:t>
      </w:r>
      <w:r>
        <w:rPr>
          <w:color w:val="000000"/>
        </w:rPr>
        <w:t>d</w:t>
      </w:r>
      <w:r>
        <w:rPr>
          <w:color w:val="000000"/>
          <w:spacing w:val="-1"/>
        </w:rPr>
        <w:t>a</w:t>
      </w:r>
      <w:r>
        <w:rPr>
          <w:color w:val="000000"/>
        </w:rPr>
        <w:t>r</w:t>
      </w:r>
      <w:r>
        <w:rPr>
          <w:color w:val="000000"/>
          <w:spacing w:val="-44"/>
        </w:rPr>
        <w:t xml:space="preserve"> </w:t>
      </w:r>
      <w:r>
        <w:rPr>
          <w:color w:val="000000"/>
          <w:spacing w:val="-4"/>
        </w:rPr>
        <w:t>i</w:t>
      </w:r>
      <w:r>
        <w:rPr>
          <w:color w:val="000000"/>
        </w:rPr>
        <w:t>u</w:t>
      </w:r>
      <w:r>
        <w:rPr>
          <w:color w:val="000000"/>
          <w:spacing w:val="2"/>
        </w:rPr>
        <w:t>s</w:t>
      </w:r>
      <w:r>
        <w:rPr>
          <w:color w:val="000000"/>
          <w:spacing w:val="-4"/>
        </w:rPr>
        <w:t>i</w:t>
      </w:r>
      <w:r>
        <w:rPr>
          <w:color w:val="000000"/>
        </w:rPr>
        <w:t>ų</w:t>
      </w:r>
      <w:r>
        <w:rPr>
          <w:color w:val="000000"/>
          <w:spacing w:val="16"/>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9"/>
        </w:rPr>
        <w:t>l</w:t>
      </w:r>
      <w:r>
        <w:rPr>
          <w:color w:val="000000"/>
          <w:spacing w:val="10"/>
        </w:rPr>
        <w:t>t</w:t>
      </w:r>
      <w:r>
        <w:rPr>
          <w:color w:val="000000"/>
        </w:rPr>
        <w:t>i</w:t>
      </w:r>
      <w:r>
        <w:rPr>
          <w:color w:val="000000"/>
          <w:spacing w:val="-4"/>
        </w:rPr>
        <w:t>m</w:t>
      </w:r>
      <w:r>
        <w:rPr>
          <w:color w:val="000000"/>
        </w:rPr>
        <w:t>u</w:t>
      </w:r>
      <w:r>
        <w:rPr>
          <w:color w:val="000000"/>
          <w:spacing w:val="-2"/>
        </w:rPr>
        <w:t>s</w:t>
      </w:r>
      <w:r>
        <w:rPr>
          <w:color w:val="000000"/>
        </w:rPr>
        <w:t>,</w:t>
      </w:r>
      <w:r>
        <w:rPr>
          <w:color w:val="000000"/>
          <w:spacing w:val="9"/>
        </w:rPr>
        <w:t xml:space="preserve"> </w:t>
      </w:r>
      <w:r>
        <w:rPr>
          <w:color w:val="000000"/>
          <w:spacing w:val="-2"/>
        </w:rPr>
        <w:t>s</w:t>
      </w:r>
      <w:r>
        <w:rPr>
          <w:color w:val="000000"/>
          <w:spacing w:val="5"/>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spacing w:val="5"/>
        </w:rPr>
        <w:t>u</w:t>
      </w:r>
      <w:r>
        <w:rPr>
          <w:color w:val="000000"/>
        </w:rPr>
        <w:t xml:space="preserve">s </w:t>
      </w:r>
      <w:r>
        <w:rPr>
          <w:color w:val="000000"/>
          <w:spacing w:val="-2"/>
        </w:rPr>
        <w:t>s</w:t>
      </w:r>
      <w:r>
        <w:rPr>
          <w:color w:val="000000"/>
        </w:rPr>
        <w:t>u</w:t>
      </w:r>
      <w:r>
        <w:rPr>
          <w:color w:val="000000"/>
          <w:spacing w:val="26"/>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a</w:t>
      </w:r>
      <w:r>
        <w:rPr>
          <w:color w:val="000000"/>
          <w:spacing w:val="2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6"/>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spacing w:val="-1"/>
        </w:rPr>
        <w:t>a</w:t>
      </w:r>
      <w:r>
        <w:rPr>
          <w:color w:val="000000"/>
        </w:rPr>
        <w:t>,</w:t>
      </w:r>
      <w:r>
        <w:rPr>
          <w:color w:val="000000"/>
          <w:spacing w:val="24"/>
        </w:rPr>
        <w:t xml:space="preserve"> </w:t>
      </w:r>
      <w:r>
        <w:rPr>
          <w:color w:val="000000"/>
          <w:spacing w:val="5"/>
        </w:rPr>
        <w:t>t</w:t>
      </w:r>
      <w:r>
        <w:rPr>
          <w:color w:val="000000"/>
          <w:spacing w:val="-5"/>
        </w:rPr>
        <w:t>u</w:t>
      </w:r>
      <w:r>
        <w:rPr>
          <w:color w:val="000000"/>
          <w:spacing w:val="1"/>
        </w:rPr>
        <w:t>r</w:t>
      </w:r>
      <w:r>
        <w:rPr>
          <w:color w:val="000000"/>
          <w:spacing w:val="-1"/>
        </w:rPr>
        <w:t>ė</w:t>
      </w:r>
      <w:r>
        <w:rPr>
          <w:color w:val="000000"/>
          <w:spacing w:val="-9"/>
        </w:rPr>
        <w:t>j</w:t>
      </w:r>
      <w:r>
        <w:rPr>
          <w:color w:val="000000"/>
        </w:rPr>
        <w:t>o</w:t>
      </w:r>
      <w:r>
        <w:rPr>
          <w:color w:val="000000"/>
          <w:spacing w:val="37"/>
        </w:rPr>
        <w:t xml:space="preserve"> </w:t>
      </w:r>
      <w:r>
        <w:rPr>
          <w:color w:val="000000"/>
          <w:spacing w:val="-1"/>
        </w:rPr>
        <w:t>ž</w:t>
      </w:r>
      <w:r>
        <w:rPr>
          <w:color w:val="000000"/>
          <w:spacing w:val="4"/>
        </w:rPr>
        <w:t>e</w:t>
      </w:r>
      <w:r>
        <w:rPr>
          <w:color w:val="000000"/>
          <w:spacing w:val="-9"/>
        </w:rPr>
        <w:t>m</w:t>
      </w:r>
      <w:r>
        <w:rPr>
          <w:color w:val="000000"/>
        </w:rPr>
        <w:t>ą</w:t>
      </w:r>
      <w:r>
        <w:rPr>
          <w:color w:val="000000"/>
          <w:spacing w:val="30"/>
        </w:rPr>
        <w:t xml:space="preserve"> </w:t>
      </w:r>
      <w:r>
        <w:rPr>
          <w:color w:val="000000"/>
          <w:spacing w:val="-5"/>
        </w:rPr>
        <w:t>b</w:t>
      </w:r>
      <w:r>
        <w:rPr>
          <w:color w:val="000000"/>
          <w:spacing w:val="4"/>
        </w:rPr>
        <w:t>e</w:t>
      </w:r>
      <w:r>
        <w:rPr>
          <w:color w:val="000000"/>
          <w:spacing w:val="-5"/>
        </w:rPr>
        <w:t>n</w:t>
      </w:r>
      <w:r>
        <w:rPr>
          <w:color w:val="000000"/>
          <w:spacing w:val="5"/>
        </w:rPr>
        <w:t>d</w:t>
      </w:r>
      <w:r>
        <w:rPr>
          <w:color w:val="000000"/>
          <w:spacing w:val="1"/>
        </w:rPr>
        <w:t>r</w:t>
      </w:r>
      <w:r>
        <w:rPr>
          <w:color w:val="000000"/>
          <w:spacing w:val="4"/>
        </w:rPr>
        <w:t>ą</w:t>
      </w:r>
      <w:r>
        <w:rPr>
          <w:color w:val="000000"/>
          <w:spacing w:val="-4"/>
        </w:rPr>
        <w:t>j</w:t>
      </w:r>
      <w:r>
        <w:rPr>
          <w:color w:val="000000"/>
        </w:rPr>
        <w:t>į</w:t>
      </w:r>
      <w:r>
        <w:rPr>
          <w:color w:val="000000"/>
          <w:spacing w:val="22"/>
        </w:rPr>
        <w:t xml:space="preserve"> </w:t>
      </w:r>
      <w:r>
        <w:rPr>
          <w:color w:val="000000"/>
          <w:spacing w:val="-4"/>
        </w:rPr>
        <w:t>i</w:t>
      </w:r>
      <w:r>
        <w:rPr>
          <w:color w:val="000000"/>
          <w:spacing w:val="2"/>
        </w:rPr>
        <w:t>šs</w:t>
      </w:r>
      <w:r>
        <w:rPr>
          <w:color w:val="000000"/>
        </w:rPr>
        <w:t>i</w:t>
      </w:r>
      <w:r>
        <w:rPr>
          <w:color w:val="000000"/>
          <w:spacing w:val="-4"/>
        </w:rPr>
        <w:t>l</w:t>
      </w:r>
      <w:r>
        <w:rPr>
          <w:color w:val="000000"/>
          <w:spacing w:val="4"/>
        </w:rPr>
        <w:t>a</w:t>
      </w:r>
      <w:r>
        <w:rPr>
          <w:color w:val="000000"/>
        </w:rPr>
        <w:t>v</w:t>
      </w:r>
      <w:r>
        <w:rPr>
          <w:color w:val="000000"/>
          <w:spacing w:val="-4"/>
        </w:rPr>
        <w:t>i</w:t>
      </w:r>
      <w:r>
        <w:rPr>
          <w:color w:val="000000"/>
          <w:spacing w:val="5"/>
        </w:rPr>
        <w:t>n</w:t>
      </w:r>
      <w:r>
        <w:rPr>
          <w:color w:val="000000"/>
        </w:rPr>
        <w:t>i</w:t>
      </w:r>
      <w:r>
        <w:rPr>
          <w:color w:val="000000"/>
          <w:spacing w:val="-4"/>
        </w:rPr>
        <w:t>m</w:t>
      </w:r>
      <w:r>
        <w:rPr>
          <w:color w:val="000000"/>
        </w:rPr>
        <w:t>ą</w:t>
      </w:r>
      <w:r>
        <w:rPr>
          <w:color w:val="000000"/>
          <w:spacing w:val="25"/>
        </w:rPr>
        <w:t xml:space="preserve"> </w:t>
      </w:r>
      <w:r>
        <w:rPr>
          <w:color w:val="000000"/>
          <w:spacing w:val="1"/>
        </w:rPr>
        <w:t>(</w:t>
      </w:r>
      <w:r>
        <w:rPr>
          <w:color w:val="000000"/>
        </w:rPr>
        <w:t>p</w:t>
      </w:r>
      <w:r>
        <w:rPr>
          <w:color w:val="000000"/>
          <w:spacing w:val="-1"/>
        </w:rPr>
        <w:t>a</w:t>
      </w:r>
      <w:r>
        <w:rPr>
          <w:color w:val="000000"/>
        </w:rPr>
        <w:t>g</w:t>
      </w:r>
      <w:r>
        <w:rPr>
          <w:color w:val="000000"/>
          <w:spacing w:val="6"/>
        </w:rPr>
        <w:t>r</w:t>
      </w:r>
      <w:r>
        <w:rPr>
          <w:color w:val="000000"/>
          <w:spacing w:val="-4"/>
        </w:rPr>
        <w:t>i</w:t>
      </w:r>
      <w:r>
        <w:rPr>
          <w:color w:val="000000"/>
          <w:spacing w:val="-5"/>
        </w:rPr>
        <w:t>n</w:t>
      </w:r>
      <w:r>
        <w:rPr>
          <w:color w:val="000000"/>
          <w:spacing w:val="5"/>
        </w:rPr>
        <w:t>d</w:t>
      </w:r>
      <w:r>
        <w:rPr>
          <w:color w:val="000000"/>
          <w:spacing w:val="-4"/>
        </w:rPr>
        <w:t>i</w:t>
      </w:r>
      <w:r>
        <w:rPr>
          <w:color w:val="000000"/>
        </w:rPr>
        <w:t>nį</w:t>
      </w:r>
      <w:r>
        <w:rPr>
          <w:color w:val="000000"/>
          <w:spacing w:val="22"/>
        </w:rPr>
        <w:t xml:space="preserve"> </w:t>
      </w:r>
      <w:r>
        <w:rPr>
          <w:color w:val="000000"/>
          <w:spacing w:val="-1"/>
        </w:rPr>
        <w:t>a</w:t>
      </w:r>
      <w:r>
        <w:rPr>
          <w:color w:val="000000"/>
        </w:rPr>
        <w:t>r</w:t>
      </w:r>
      <w:r>
        <w:rPr>
          <w:color w:val="000000"/>
          <w:spacing w:val="28"/>
        </w:rPr>
        <w:t xml:space="preserve"> </w:t>
      </w:r>
      <w:r>
        <w:rPr>
          <w:color w:val="000000"/>
        </w:rPr>
        <w:t>v</w:t>
      </w:r>
      <w:r>
        <w:rPr>
          <w:color w:val="000000"/>
          <w:spacing w:val="-4"/>
        </w:rPr>
        <w:t>i</w:t>
      </w:r>
      <w:r>
        <w:rPr>
          <w:color w:val="000000"/>
        </w:rPr>
        <w:t>du</w:t>
      </w:r>
      <w:r>
        <w:rPr>
          <w:color w:val="000000"/>
          <w:spacing w:val="6"/>
        </w:rPr>
        <w:t>r</w:t>
      </w:r>
      <w:r>
        <w:rPr>
          <w:color w:val="000000"/>
          <w:spacing w:val="-4"/>
        </w:rPr>
        <w:t>i</w:t>
      </w:r>
      <w:r>
        <w:rPr>
          <w:color w:val="000000"/>
          <w:spacing w:val="5"/>
        </w:rPr>
        <w:t>n</w:t>
      </w:r>
      <w:r>
        <w:rPr>
          <w:color w:val="000000"/>
        </w:rPr>
        <w:t>į</w:t>
      </w:r>
      <w:r>
        <w:rPr>
          <w:color w:val="000000"/>
          <w:spacing w:val="24"/>
        </w:rPr>
        <w:t xml:space="preserve"> </w:t>
      </w:r>
      <w:r>
        <w:rPr>
          <w:color w:val="000000"/>
        </w:rPr>
        <w:t>-</w:t>
      </w:r>
      <w:r>
        <w:rPr>
          <w:color w:val="000000"/>
          <w:spacing w:val="28"/>
        </w:rPr>
        <w:t xml:space="preserve"> </w:t>
      </w:r>
      <w:r>
        <w:rPr>
          <w:color w:val="000000"/>
        </w:rPr>
        <w:t>77</w:t>
      </w:r>
      <w:r>
        <w:rPr>
          <w:color w:val="000000"/>
          <w:spacing w:val="26"/>
        </w:rPr>
        <w:t xml:space="preserve"> </w:t>
      </w:r>
      <w:r>
        <w:rPr>
          <w:color w:val="000000"/>
          <w:spacing w:val="1"/>
        </w:rPr>
        <w:t>%)</w:t>
      </w:r>
      <w:r>
        <w:rPr>
          <w:color w:val="000000"/>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5"/>
        </w:rPr>
        <w:t>n</w:t>
      </w:r>
      <w:r>
        <w:rPr>
          <w:color w:val="000000"/>
          <w:spacing w:val="-1"/>
        </w:rPr>
        <w:t>e</w:t>
      </w:r>
      <w:r>
        <w:rPr>
          <w:color w:val="000000"/>
          <w:spacing w:val="5"/>
        </w:rPr>
        <w:t>d</w:t>
      </w:r>
      <w:r>
        <w:rPr>
          <w:color w:val="000000"/>
          <w:spacing w:val="-9"/>
        </w:rPr>
        <w:t>i</w:t>
      </w:r>
      <w:r>
        <w:rPr>
          <w:color w:val="000000"/>
          <w:spacing w:val="6"/>
        </w:rPr>
        <w:t>r</w:t>
      </w:r>
      <w:r>
        <w:rPr>
          <w:color w:val="000000"/>
        </w:rPr>
        <w:t>b</w:t>
      </w:r>
      <w:r>
        <w:rPr>
          <w:color w:val="000000"/>
          <w:spacing w:val="4"/>
        </w:rPr>
        <w:t>a</w:t>
      </w:r>
      <w:r>
        <w:rPr>
          <w:color w:val="000000"/>
          <w:spacing w:val="-5"/>
        </w:rPr>
        <w:t>n</w:t>
      </w:r>
      <w:r>
        <w:rPr>
          <w:color w:val="000000"/>
          <w:spacing w:val="5"/>
        </w:rPr>
        <w:t>t</w:t>
      </w:r>
      <w:r>
        <w:rPr>
          <w:color w:val="000000"/>
          <w:spacing w:val="-5"/>
        </w:rPr>
        <w:t>y</w:t>
      </w:r>
      <w:r>
        <w:rPr>
          <w:color w:val="000000"/>
        </w:rPr>
        <w:t>s</w:t>
      </w:r>
      <w:r>
        <w:rPr>
          <w:color w:val="000000"/>
          <w:spacing w:val="5"/>
        </w:rPr>
        <w:t xml:space="preserve"> </w:t>
      </w:r>
      <w:r>
        <w:rPr>
          <w:color w:val="000000"/>
          <w:spacing w:val="-9"/>
        </w:rPr>
        <w:t>i</w:t>
      </w:r>
      <w:r>
        <w:rPr>
          <w:color w:val="000000"/>
        </w:rPr>
        <w:t>r</w:t>
      </w:r>
      <w:r>
        <w:rPr>
          <w:color w:val="000000"/>
          <w:spacing w:val="9"/>
        </w:rPr>
        <w:t xml:space="preserve"> </w:t>
      </w:r>
      <w:r>
        <w:rPr>
          <w:color w:val="000000"/>
          <w:spacing w:val="-5"/>
        </w:rPr>
        <w:t>n</w:t>
      </w:r>
      <w:r>
        <w:rPr>
          <w:color w:val="000000"/>
          <w:spacing w:val="-1"/>
        </w:rPr>
        <w:t>e</w:t>
      </w:r>
      <w:r>
        <w:rPr>
          <w:color w:val="000000"/>
          <w:spacing w:val="2"/>
        </w:rPr>
        <w:t>s</w:t>
      </w:r>
      <w:r>
        <w:rPr>
          <w:color w:val="000000"/>
        </w:rPr>
        <w:t>i</w:t>
      </w:r>
      <w:r>
        <w:rPr>
          <w:color w:val="000000"/>
          <w:spacing w:val="-9"/>
        </w:rPr>
        <w:t>m</w:t>
      </w:r>
      <w:r>
        <w:rPr>
          <w:color w:val="000000"/>
          <w:spacing w:val="5"/>
        </w:rPr>
        <w:t>o</w:t>
      </w:r>
      <w:r>
        <w:rPr>
          <w:color w:val="000000"/>
        </w:rPr>
        <w:t>k</w:t>
      </w:r>
      <w:r>
        <w:rPr>
          <w:color w:val="000000"/>
          <w:spacing w:val="4"/>
        </w:rPr>
        <w:t>a</w:t>
      </w:r>
      <w:r>
        <w:rPr>
          <w:color w:val="000000"/>
          <w:spacing w:val="-5"/>
        </w:rPr>
        <w:t>n</w:t>
      </w:r>
      <w:r>
        <w:rPr>
          <w:color w:val="000000"/>
          <w:spacing w:val="10"/>
        </w:rPr>
        <w:t>t</w:t>
      </w:r>
      <w:r>
        <w:rPr>
          <w:color w:val="000000"/>
          <w:spacing w:val="-5"/>
        </w:rPr>
        <w:t>y</w:t>
      </w:r>
      <w:r>
        <w:rPr>
          <w:color w:val="000000"/>
        </w:rPr>
        <w:t xml:space="preserve">s </w:t>
      </w:r>
      <w:r>
        <w:rPr>
          <w:color w:val="000000"/>
          <w:spacing w:val="1"/>
        </w:rPr>
        <w:t>(</w:t>
      </w:r>
      <w:r>
        <w:rPr>
          <w:color w:val="000000"/>
        </w:rPr>
        <w:t>45</w:t>
      </w:r>
      <w:r>
        <w:rPr>
          <w:color w:val="000000"/>
          <w:spacing w:val="3"/>
        </w:rPr>
        <w:t xml:space="preserve"> </w:t>
      </w:r>
      <w:r>
        <w:rPr>
          <w:color w:val="000000"/>
          <w:spacing w:val="1"/>
        </w:rPr>
        <w:t>%)</w:t>
      </w:r>
      <w:r>
        <w:rPr>
          <w:color w:val="000000"/>
        </w:rPr>
        <w:t>. Nu</w:t>
      </w:r>
      <w:r>
        <w:rPr>
          <w:color w:val="000000"/>
          <w:spacing w:val="2"/>
        </w:rPr>
        <w:t>s</w:t>
      </w:r>
      <w:r>
        <w:rPr>
          <w:color w:val="000000"/>
          <w:spacing w:val="-9"/>
        </w:rPr>
        <w:t>i</w:t>
      </w:r>
      <w:r>
        <w:rPr>
          <w:color w:val="000000"/>
        </w:rPr>
        <w:t>k</w:t>
      </w:r>
      <w:r>
        <w:rPr>
          <w:color w:val="000000"/>
          <w:spacing w:val="4"/>
        </w:rPr>
        <w:t>a</w:t>
      </w:r>
      <w:r>
        <w:rPr>
          <w:color w:val="000000"/>
          <w:spacing w:val="-9"/>
        </w:rPr>
        <w:t>l</w:t>
      </w:r>
      <w:r>
        <w:rPr>
          <w:color w:val="000000"/>
          <w:spacing w:val="10"/>
        </w:rPr>
        <w:t>t</w:t>
      </w:r>
      <w:r>
        <w:rPr>
          <w:color w:val="000000"/>
        </w:rPr>
        <w:t>i</w:t>
      </w:r>
      <w:r>
        <w:rPr>
          <w:color w:val="000000"/>
          <w:spacing w:val="-4"/>
        </w:rPr>
        <w:t>m</w:t>
      </w:r>
      <w:r>
        <w:rPr>
          <w:color w:val="000000"/>
        </w:rPr>
        <w:t>ų</w:t>
      </w:r>
      <w:r>
        <w:rPr>
          <w:color w:val="000000"/>
          <w:spacing w:val="7"/>
        </w:rPr>
        <w:t xml:space="preserve"> </w:t>
      </w:r>
      <w:r>
        <w:rPr>
          <w:color w:val="000000"/>
          <w:spacing w:val="-4"/>
        </w:rPr>
        <w:t>į</w:t>
      </w:r>
      <w:r>
        <w:rPr>
          <w:color w:val="000000"/>
        </w:rPr>
        <w:t>v</w:t>
      </w:r>
      <w:r>
        <w:rPr>
          <w:color w:val="000000"/>
          <w:spacing w:val="-5"/>
        </w:rPr>
        <w:t>y</w:t>
      </w:r>
      <w:r>
        <w:rPr>
          <w:color w:val="000000"/>
        </w:rPr>
        <w:t>k</w:t>
      </w:r>
      <w:r>
        <w:rPr>
          <w:color w:val="000000"/>
          <w:spacing w:val="5"/>
        </w:rPr>
        <w:t>d</w:t>
      </w:r>
      <w:r>
        <w:rPr>
          <w:color w:val="000000"/>
        </w:rPr>
        <w:t>y</w:t>
      </w:r>
      <w:r>
        <w:rPr>
          <w:color w:val="000000"/>
          <w:spacing w:val="-9"/>
        </w:rPr>
        <w:t>m</w:t>
      </w:r>
      <w:r>
        <w:rPr>
          <w:color w:val="000000"/>
        </w:rPr>
        <w:t>o</w:t>
      </w:r>
      <w:r>
        <w:rPr>
          <w:color w:val="000000"/>
          <w:spacing w:val="12"/>
        </w:rPr>
        <w:t xml:space="preserve"> </w:t>
      </w:r>
      <w:r>
        <w:rPr>
          <w:color w:val="000000"/>
          <w:spacing w:val="-4"/>
        </w:rPr>
        <w:t>m</w:t>
      </w:r>
      <w:r>
        <w:rPr>
          <w:color w:val="000000"/>
          <w:spacing w:val="-1"/>
        </w:rPr>
        <w:t>e</w:t>
      </w:r>
      <w:r>
        <w:rPr>
          <w:color w:val="000000"/>
          <w:spacing w:val="5"/>
        </w:rPr>
        <w:t>t</w:t>
      </w:r>
      <w:r>
        <w:rPr>
          <w:color w:val="000000"/>
        </w:rPr>
        <w:t>u</w:t>
      </w:r>
      <w:r>
        <w:rPr>
          <w:color w:val="000000"/>
          <w:spacing w:val="3"/>
        </w:rPr>
        <w:t xml:space="preserve"> </w:t>
      </w:r>
      <w:r>
        <w:rPr>
          <w:color w:val="000000"/>
          <w:spacing w:val="-5"/>
        </w:rPr>
        <w:t>b</w:t>
      </w:r>
      <w:r>
        <w:rPr>
          <w:color w:val="000000"/>
          <w:spacing w:val="4"/>
        </w:rPr>
        <w:t>e</w:t>
      </w:r>
      <w:r>
        <w:rPr>
          <w:color w:val="000000"/>
          <w:spacing w:val="-5"/>
        </w:rPr>
        <w:t>v</w:t>
      </w:r>
      <w:r>
        <w:rPr>
          <w:color w:val="000000"/>
          <w:spacing w:val="4"/>
        </w:rPr>
        <w:t>e</w:t>
      </w:r>
      <w:r>
        <w:rPr>
          <w:color w:val="000000"/>
          <w:spacing w:val="-4"/>
        </w:rPr>
        <w:t>i</w:t>
      </w:r>
      <w:r>
        <w:rPr>
          <w:color w:val="000000"/>
        </w:rPr>
        <w:t>k</w:t>
      </w:r>
      <w:r>
        <w:rPr>
          <w:color w:val="000000"/>
          <w:spacing w:val="3"/>
        </w:rPr>
        <w:t xml:space="preserve"> </w:t>
      </w:r>
      <w:r>
        <w:rPr>
          <w:color w:val="000000"/>
        </w:rPr>
        <w:t>14</w:t>
      </w:r>
      <w:r>
        <w:rPr>
          <w:color w:val="000000"/>
          <w:spacing w:val="3"/>
        </w:rPr>
        <w:t xml:space="preserve"> </w:t>
      </w:r>
      <w:r>
        <w:rPr>
          <w:color w:val="000000"/>
        </w:rPr>
        <w:t>%</w:t>
      </w:r>
      <w:r>
        <w:rPr>
          <w:color w:val="000000"/>
          <w:spacing w:val="4"/>
        </w:rPr>
        <w:t xml:space="preserve"> </w:t>
      </w:r>
      <w:r>
        <w:rPr>
          <w:color w:val="000000"/>
          <w:spacing w:val="-1"/>
        </w:rPr>
        <w:t>a</w:t>
      </w:r>
      <w:r>
        <w:rPr>
          <w:color w:val="000000"/>
          <w:spacing w:val="2"/>
        </w:rPr>
        <w:t>s</w:t>
      </w:r>
      <w:r>
        <w:rPr>
          <w:color w:val="000000"/>
          <w:spacing w:val="-9"/>
        </w:rPr>
        <w:t>m</w:t>
      </w:r>
      <w:r>
        <w:rPr>
          <w:color w:val="000000"/>
          <w:spacing w:val="4"/>
        </w:rPr>
        <w:t>e</w:t>
      </w:r>
      <w:r>
        <w:rPr>
          <w:color w:val="000000"/>
          <w:spacing w:val="-5"/>
        </w:rPr>
        <w:t>n</w:t>
      </w:r>
      <w:r>
        <w:rPr>
          <w:color w:val="000000"/>
        </w:rPr>
        <w:t>ų</w:t>
      </w:r>
      <w:r>
        <w:rPr>
          <w:color w:val="000000"/>
          <w:spacing w:val="7"/>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5"/>
        </w:rPr>
        <w:t>n</w:t>
      </w:r>
      <w:r>
        <w:rPr>
          <w:color w:val="000000"/>
          <w:spacing w:val="4"/>
        </w:rPr>
        <w:t>e</w:t>
      </w:r>
      <w:r>
        <w:rPr>
          <w:color w:val="000000"/>
        </w:rPr>
        <w:t>b</w:t>
      </w:r>
      <w:r>
        <w:rPr>
          <w:color w:val="000000"/>
          <w:spacing w:val="-4"/>
        </w:rPr>
        <w:t>l</w:t>
      </w:r>
      <w:r>
        <w:rPr>
          <w:color w:val="000000"/>
          <w:spacing w:val="4"/>
        </w:rPr>
        <w:t>a</w:t>
      </w:r>
      <w:r>
        <w:rPr>
          <w:color w:val="000000"/>
          <w:spacing w:val="-4"/>
        </w:rPr>
        <w:t>i</w:t>
      </w:r>
      <w:r>
        <w:rPr>
          <w:color w:val="000000"/>
        </w:rPr>
        <w:t>v</w:t>
      </w:r>
      <w:r>
        <w:rPr>
          <w:color w:val="000000"/>
          <w:spacing w:val="5"/>
        </w:rPr>
        <w:t>ū</w:t>
      </w:r>
      <w:r>
        <w:rPr>
          <w:color w:val="000000"/>
        </w:rPr>
        <w:t xml:space="preserve">s </w:t>
      </w:r>
      <w:r>
        <w:rPr>
          <w:color w:val="000000"/>
          <w:spacing w:val="-1"/>
        </w:rPr>
        <w:t>a</w:t>
      </w:r>
      <w:r>
        <w:rPr>
          <w:color w:val="000000"/>
        </w:rPr>
        <w:t>r</w:t>
      </w:r>
      <w:r>
        <w:rPr>
          <w:color w:val="000000"/>
          <w:spacing w:val="3"/>
        </w:rPr>
        <w:t xml:space="preserve"> </w:t>
      </w:r>
      <w:r>
        <w:rPr>
          <w:color w:val="000000"/>
          <w:spacing w:val="-1"/>
        </w:rPr>
        <w:t>a</w:t>
      </w:r>
      <w:r>
        <w:rPr>
          <w:color w:val="000000"/>
          <w:spacing w:val="5"/>
        </w:rPr>
        <w:t>p</w:t>
      </w:r>
      <w:r>
        <w:rPr>
          <w:color w:val="000000"/>
          <w:spacing w:val="2"/>
        </w:rPr>
        <w:t>s</w:t>
      </w:r>
      <w:r>
        <w:rPr>
          <w:color w:val="000000"/>
          <w:spacing w:val="-5"/>
        </w:rPr>
        <w:t>v</w:t>
      </w:r>
      <w:r>
        <w:rPr>
          <w:color w:val="000000"/>
          <w:spacing w:val="4"/>
        </w:rPr>
        <w:t>a</w:t>
      </w:r>
      <w:r>
        <w:rPr>
          <w:color w:val="000000"/>
          <w:spacing w:val="-4"/>
        </w:rPr>
        <w:t>i</w:t>
      </w:r>
      <w:r>
        <w:rPr>
          <w:color w:val="000000"/>
        </w:rPr>
        <w:t>gę</w:t>
      </w:r>
      <w:r>
        <w:rPr>
          <w:color w:val="000000"/>
          <w:spacing w:val="6"/>
        </w:rPr>
        <w:t xml:space="preserve"> </w:t>
      </w:r>
      <w:r>
        <w:rPr>
          <w:color w:val="000000"/>
          <w:spacing w:val="-5"/>
        </w:rPr>
        <w:t>n</w:t>
      </w:r>
      <w:r>
        <w:rPr>
          <w:color w:val="000000"/>
        </w:rPr>
        <w:t>uo</w:t>
      </w:r>
      <w:r>
        <w:rPr>
          <w:color w:val="000000"/>
          <w:spacing w:val="11"/>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spacing w:val="5"/>
        </w:rPr>
        <w:t>k</w:t>
      </w:r>
      <w:r>
        <w:rPr>
          <w:color w:val="000000"/>
        </w:rPr>
        <w:t>ų.</w:t>
      </w:r>
      <w:r>
        <w:rPr>
          <w:color w:val="000000"/>
          <w:spacing w:val="4"/>
        </w:rPr>
        <w:t xml:space="preserve"> </w:t>
      </w:r>
      <w:r>
        <w:rPr>
          <w:color w:val="000000"/>
        </w:rPr>
        <w:t>10</w:t>
      </w:r>
      <w:r>
        <w:rPr>
          <w:color w:val="000000"/>
          <w:spacing w:val="7"/>
        </w:rPr>
        <w:t xml:space="preserve"> </w:t>
      </w:r>
      <w:r>
        <w:rPr>
          <w:color w:val="000000"/>
        </w:rPr>
        <w:t>%</w:t>
      </w:r>
      <w:r>
        <w:rPr>
          <w:color w:val="000000"/>
          <w:spacing w:val="3"/>
        </w:rPr>
        <w:t xml:space="preserve"> </w:t>
      </w:r>
      <w:r>
        <w:rPr>
          <w:color w:val="000000"/>
          <w:spacing w:val="-1"/>
        </w:rPr>
        <w:t>a</w:t>
      </w:r>
      <w:r>
        <w:rPr>
          <w:color w:val="000000"/>
          <w:spacing w:val="2"/>
        </w:rPr>
        <w:t>s</w:t>
      </w:r>
      <w:r>
        <w:rPr>
          <w:color w:val="000000"/>
          <w:spacing w:val="-4"/>
        </w:rPr>
        <w:t>m</w:t>
      </w:r>
      <w:r>
        <w:rPr>
          <w:color w:val="000000"/>
          <w:spacing w:val="4"/>
        </w:rPr>
        <w:t>e</w:t>
      </w:r>
      <w:r>
        <w:rPr>
          <w:color w:val="000000"/>
        </w:rPr>
        <w:t>nų</w:t>
      </w:r>
      <w:r>
        <w:rPr>
          <w:color w:val="000000"/>
          <w:spacing w:val="2"/>
        </w:rPr>
        <w:t xml:space="preserve"> </w:t>
      </w:r>
      <w:r>
        <w:rPr>
          <w:color w:val="000000"/>
        </w:rPr>
        <w:t>p</w:t>
      </w:r>
      <w:r>
        <w:rPr>
          <w:color w:val="000000"/>
          <w:spacing w:val="-1"/>
        </w:rPr>
        <w:t>a</w:t>
      </w:r>
      <w:r>
        <w:rPr>
          <w:color w:val="000000"/>
        </w:rPr>
        <w:t>d</w:t>
      </w:r>
      <w:r>
        <w:rPr>
          <w:color w:val="000000"/>
          <w:spacing w:val="-1"/>
        </w:rPr>
        <w:t>a</w:t>
      </w:r>
      <w:r>
        <w:rPr>
          <w:color w:val="000000"/>
          <w:spacing w:val="1"/>
        </w:rPr>
        <w:t>r</w:t>
      </w:r>
      <w:r>
        <w:rPr>
          <w:color w:val="000000"/>
        </w:rPr>
        <w:t>ė</w:t>
      </w:r>
      <w:r>
        <w:rPr>
          <w:color w:val="000000"/>
          <w:spacing w:val="6"/>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9"/>
        </w:rPr>
        <w:t>l</w:t>
      </w:r>
      <w:r>
        <w:rPr>
          <w:color w:val="000000"/>
          <w:spacing w:val="10"/>
        </w:rPr>
        <w:t>t</w:t>
      </w:r>
      <w:r>
        <w:rPr>
          <w:color w:val="000000"/>
        </w:rPr>
        <w:t>i</w:t>
      </w:r>
      <w:r>
        <w:rPr>
          <w:color w:val="000000"/>
          <w:spacing w:val="-4"/>
        </w:rPr>
        <w:t>m</w:t>
      </w:r>
      <w:r>
        <w:rPr>
          <w:color w:val="000000"/>
        </w:rPr>
        <w:t>us</w:t>
      </w:r>
      <w:r>
        <w:rPr>
          <w:color w:val="000000"/>
          <w:spacing w:val="9"/>
        </w:rPr>
        <w:t xml:space="preserve"> </w:t>
      </w:r>
      <w:r>
        <w:rPr>
          <w:color w:val="000000"/>
          <w:spacing w:val="-5"/>
        </w:rPr>
        <w:t>b</w:t>
      </w:r>
      <w:r>
        <w:rPr>
          <w:color w:val="000000"/>
        </w:rPr>
        <w:t>ūd</w:t>
      </w:r>
      <w:r>
        <w:rPr>
          <w:color w:val="000000"/>
          <w:spacing w:val="4"/>
        </w:rPr>
        <w:t>a</w:t>
      </w:r>
      <w:r>
        <w:rPr>
          <w:color w:val="000000"/>
        </w:rPr>
        <w:t>mi</w:t>
      </w:r>
      <w:r>
        <w:rPr>
          <w:color w:val="000000"/>
          <w:spacing w:val="3"/>
        </w:rPr>
        <w:t xml:space="preserve"> </w:t>
      </w:r>
      <w:r>
        <w:rPr>
          <w:color w:val="000000"/>
          <w:spacing w:val="-5"/>
        </w:rPr>
        <w:t>n</w:t>
      </w:r>
      <w:r>
        <w:rPr>
          <w:color w:val="000000"/>
          <w:spacing w:val="-1"/>
        </w:rPr>
        <w:t>e</w:t>
      </w:r>
      <w:r>
        <w:rPr>
          <w:color w:val="000000"/>
          <w:spacing w:val="5"/>
        </w:rPr>
        <w:t>p</w:t>
      </w:r>
      <w:r>
        <w:rPr>
          <w:color w:val="000000"/>
        </w:rPr>
        <w:t>i</w:t>
      </w:r>
      <w:r>
        <w:rPr>
          <w:color w:val="000000"/>
          <w:spacing w:val="-4"/>
        </w:rPr>
        <w:t>l</w:t>
      </w:r>
      <w:r>
        <w:rPr>
          <w:color w:val="000000"/>
        </w:rPr>
        <w:t>n</w:t>
      </w:r>
      <w:r>
        <w:rPr>
          <w:color w:val="000000"/>
          <w:spacing w:val="4"/>
        </w:rPr>
        <w:t>a</w:t>
      </w:r>
      <w:r>
        <w:rPr>
          <w:color w:val="000000"/>
          <w:spacing w:val="-4"/>
        </w:rPr>
        <w:t>m</w:t>
      </w:r>
      <w:r>
        <w:rPr>
          <w:color w:val="000000"/>
          <w:spacing w:val="4"/>
        </w:rPr>
        <w:t>eč</w:t>
      </w:r>
      <w:r>
        <w:rPr>
          <w:color w:val="000000"/>
          <w:spacing w:val="-4"/>
        </w:rPr>
        <w:t>i</w:t>
      </w:r>
      <w:r>
        <w:rPr>
          <w:color w:val="000000"/>
          <w:spacing w:val="4"/>
        </w:rPr>
        <w:t>a</w:t>
      </w:r>
      <w:r>
        <w:rPr>
          <w:color w:val="000000"/>
          <w:spacing w:val="-4"/>
        </w:rPr>
        <w:t>i</w:t>
      </w:r>
      <w:r>
        <w:rPr>
          <w:color w:val="000000"/>
          <w:spacing w:val="-2"/>
        </w:rPr>
        <w:t>s</w:t>
      </w:r>
      <w:r>
        <w:rPr>
          <w:color w:val="000000"/>
        </w:rPr>
        <w:t>.</w:t>
      </w:r>
      <w:r>
        <w:rPr>
          <w:color w:val="000000"/>
          <w:spacing w:val="4"/>
        </w:rPr>
        <w:t xml:space="preserve"> </w:t>
      </w:r>
      <w:r>
        <w:rPr>
          <w:color w:val="000000"/>
          <w:spacing w:val="3"/>
        </w:rPr>
        <w:t>B</w:t>
      </w:r>
      <w:r>
        <w:rPr>
          <w:color w:val="000000"/>
        </w:rPr>
        <w:t>e to,</w:t>
      </w:r>
      <w:r>
        <w:rPr>
          <w:color w:val="000000"/>
          <w:spacing w:val="12"/>
        </w:rPr>
        <w:t xml:space="preserve"> </w:t>
      </w:r>
      <w:r>
        <w:rPr>
          <w:color w:val="000000"/>
          <w:spacing w:val="-2"/>
        </w:rPr>
        <w:t>s</w:t>
      </w:r>
      <w:r>
        <w:rPr>
          <w:color w:val="000000"/>
          <w:spacing w:val="5"/>
        </w:rPr>
        <w:t>t</w:t>
      </w:r>
      <w:r>
        <w:rPr>
          <w:color w:val="000000"/>
          <w:spacing w:val="-6"/>
        </w:rPr>
        <w:t>a</w:t>
      </w:r>
      <w:r>
        <w:rPr>
          <w:color w:val="000000"/>
          <w:spacing w:val="5"/>
        </w:rPr>
        <w:t>t</w:t>
      </w:r>
      <w:r>
        <w:rPr>
          <w:color w:val="000000"/>
          <w:spacing w:val="-9"/>
        </w:rPr>
        <w:t>i</w:t>
      </w:r>
      <w:r>
        <w:rPr>
          <w:color w:val="000000"/>
          <w:spacing w:val="-2"/>
        </w:rPr>
        <w:t>s</w:t>
      </w:r>
      <w:r>
        <w:rPr>
          <w:color w:val="000000"/>
          <w:spacing w:val="10"/>
        </w:rPr>
        <w:t>t</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5"/>
        </w:rPr>
        <w:t xml:space="preserve"> </w:t>
      </w:r>
      <w:r>
        <w:rPr>
          <w:color w:val="000000"/>
        </w:rPr>
        <w:t>du</w:t>
      </w:r>
      <w:r>
        <w:rPr>
          <w:color w:val="000000"/>
          <w:spacing w:val="9"/>
        </w:rPr>
        <w:t>o</w:t>
      </w:r>
      <w:r>
        <w:rPr>
          <w:color w:val="000000"/>
          <w:spacing w:val="-9"/>
        </w:rPr>
        <w:t>m</w:t>
      </w:r>
      <w:r>
        <w:rPr>
          <w:color w:val="000000"/>
          <w:spacing w:val="4"/>
        </w:rPr>
        <w:t>e</w:t>
      </w:r>
      <w:r>
        <w:rPr>
          <w:color w:val="000000"/>
        </w:rPr>
        <w:t>n</w:t>
      </w:r>
      <w:r>
        <w:rPr>
          <w:color w:val="000000"/>
          <w:spacing w:val="-5"/>
        </w:rPr>
        <w:t>y</w:t>
      </w:r>
      <w:r>
        <w:rPr>
          <w:color w:val="000000"/>
        </w:rPr>
        <w:t>s</w:t>
      </w:r>
      <w:r>
        <w:rPr>
          <w:color w:val="000000"/>
          <w:spacing w:val="12"/>
        </w:rPr>
        <w:t xml:space="preserve"> </w:t>
      </w:r>
      <w:r>
        <w:rPr>
          <w:color w:val="000000"/>
          <w:spacing w:val="1"/>
        </w:rPr>
        <w:t>r</w:t>
      </w:r>
      <w:r>
        <w:rPr>
          <w:color w:val="000000"/>
          <w:spacing w:val="5"/>
        </w:rPr>
        <w:t>o</w:t>
      </w:r>
      <w:r>
        <w:rPr>
          <w:color w:val="000000"/>
          <w:spacing w:val="-5"/>
        </w:rPr>
        <w:t>d</w:t>
      </w:r>
      <w:r>
        <w:rPr>
          <w:color w:val="000000"/>
          <w:spacing w:val="5"/>
        </w:rPr>
        <w:t>o</w:t>
      </w:r>
      <w:r>
        <w:rPr>
          <w:color w:val="000000"/>
        </w:rPr>
        <w:t>,</w:t>
      </w:r>
      <w:r>
        <w:rPr>
          <w:color w:val="000000"/>
          <w:spacing w:val="12"/>
        </w:rPr>
        <w:t xml:space="preserve"> </w:t>
      </w:r>
      <w:r>
        <w:rPr>
          <w:color w:val="000000"/>
        </w:rPr>
        <w:t>k</w:t>
      </w:r>
      <w:r>
        <w:rPr>
          <w:color w:val="000000"/>
          <w:spacing w:val="-1"/>
        </w:rPr>
        <w:t>a</w:t>
      </w:r>
      <w:r>
        <w:rPr>
          <w:color w:val="000000"/>
        </w:rPr>
        <w:t>d</w:t>
      </w:r>
      <w:r>
        <w:rPr>
          <w:color w:val="000000"/>
          <w:spacing w:val="9"/>
        </w:rPr>
        <w:t xml:space="preserve"> </w:t>
      </w:r>
      <w:r>
        <w:rPr>
          <w:color w:val="000000"/>
        </w:rPr>
        <w:t>p</w:t>
      </w:r>
      <w:r>
        <w:rPr>
          <w:color w:val="000000"/>
          <w:spacing w:val="-1"/>
        </w:rPr>
        <w:t>e</w:t>
      </w:r>
      <w:r>
        <w:rPr>
          <w:color w:val="000000"/>
          <w:spacing w:val="1"/>
        </w:rPr>
        <w:t>r</w:t>
      </w:r>
      <w:r>
        <w:rPr>
          <w:color w:val="000000"/>
          <w:spacing w:val="-5"/>
        </w:rPr>
        <w:t>n</w:t>
      </w:r>
      <w:r>
        <w:rPr>
          <w:color w:val="000000"/>
          <w:spacing w:val="4"/>
        </w:rPr>
        <w:t>a</w:t>
      </w:r>
      <w:r>
        <w:rPr>
          <w:color w:val="000000"/>
        </w:rPr>
        <w:t xml:space="preserve">i </w:t>
      </w:r>
      <w:r>
        <w:rPr>
          <w:color w:val="000000"/>
          <w:spacing w:val="-1"/>
        </w:rPr>
        <w:t>a</w:t>
      </w:r>
      <w:r>
        <w:rPr>
          <w:color w:val="000000"/>
          <w:spacing w:val="5"/>
        </w:rPr>
        <w:t>p</w:t>
      </w:r>
      <w:r>
        <w:rPr>
          <w:color w:val="000000"/>
          <w:spacing w:val="-4"/>
        </w:rPr>
        <w:t>i</w:t>
      </w:r>
      <w:r>
        <w:rPr>
          <w:color w:val="000000"/>
        </w:rPr>
        <w:t>e</w:t>
      </w:r>
      <w:r>
        <w:rPr>
          <w:color w:val="000000"/>
          <w:spacing w:val="18"/>
        </w:rPr>
        <w:t xml:space="preserve"> </w:t>
      </w:r>
      <w:r>
        <w:rPr>
          <w:color w:val="000000"/>
        </w:rPr>
        <w:t>43</w:t>
      </w:r>
      <w:r>
        <w:rPr>
          <w:color w:val="000000"/>
          <w:spacing w:val="9"/>
        </w:rPr>
        <w:t xml:space="preserve"> </w:t>
      </w:r>
      <w:r>
        <w:rPr>
          <w:color w:val="000000"/>
        </w:rPr>
        <w:t>%</w:t>
      </w:r>
      <w:r>
        <w:rPr>
          <w:color w:val="000000"/>
          <w:spacing w:val="11"/>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4"/>
        </w:rPr>
        <w:t>m</w:t>
      </w:r>
      <w:r>
        <w:rPr>
          <w:color w:val="000000"/>
        </w:rPr>
        <w:t>ų</w:t>
      </w:r>
      <w:r>
        <w:rPr>
          <w:color w:val="000000"/>
          <w:spacing w:val="14"/>
        </w:rPr>
        <w:t xml:space="preserve"> </w:t>
      </w:r>
      <w:r>
        <w:rPr>
          <w:color w:val="000000"/>
          <w:spacing w:val="-5"/>
        </w:rPr>
        <w:t>v</w:t>
      </w:r>
      <w:r>
        <w:rPr>
          <w:color w:val="000000"/>
          <w:spacing w:val="4"/>
        </w:rPr>
        <w:t>e</w:t>
      </w:r>
      <w:r>
        <w:rPr>
          <w:color w:val="000000"/>
          <w:spacing w:val="-4"/>
        </w:rPr>
        <w:t>i</w:t>
      </w:r>
      <w:r>
        <w:rPr>
          <w:color w:val="000000"/>
        </w:rPr>
        <w:t>kų,</w:t>
      </w:r>
      <w:r>
        <w:rPr>
          <w:color w:val="000000"/>
          <w:spacing w:val="12"/>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spacing w:val="5"/>
        </w:rPr>
        <w:t>u</w:t>
      </w:r>
      <w:r>
        <w:rPr>
          <w:color w:val="000000"/>
          <w:spacing w:val="2"/>
        </w:rPr>
        <w:t>s</w:t>
      </w:r>
      <w:r>
        <w:rPr>
          <w:color w:val="000000"/>
          <w:spacing w:val="-9"/>
        </w:rPr>
        <w:t>i</w:t>
      </w:r>
      <w:r>
        <w:rPr>
          <w:color w:val="000000"/>
        </w:rPr>
        <w:t>ų</w:t>
      </w:r>
      <w:r>
        <w:rPr>
          <w:color w:val="000000"/>
          <w:spacing w:val="14"/>
        </w:rPr>
        <w:t xml:space="preserve"> </w:t>
      </w:r>
      <w:r>
        <w:rPr>
          <w:color w:val="000000"/>
          <w:spacing w:val="-2"/>
        </w:rPr>
        <w:t>s</w:t>
      </w:r>
      <w:r>
        <w:rPr>
          <w:color w:val="000000"/>
        </w:rPr>
        <w:t>u</w:t>
      </w:r>
      <w:r>
        <w:rPr>
          <w:color w:val="000000"/>
          <w:spacing w:val="14"/>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 xml:space="preserve">a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26"/>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a</w:t>
      </w:r>
      <w:r>
        <w:rPr>
          <w:color w:val="000000"/>
          <w:spacing w:val="30"/>
        </w:rPr>
        <w:t xml:space="preserve"> </w:t>
      </w:r>
      <w:r>
        <w:rPr>
          <w:color w:val="000000"/>
          <w:spacing w:val="-4"/>
        </w:rPr>
        <w:t>į</w:t>
      </w:r>
      <w:r>
        <w:rPr>
          <w:color w:val="000000"/>
        </w:rPr>
        <w:t>v</w:t>
      </w:r>
      <w:r>
        <w:rPr>
          <w:color w:val="000000"/>
          <w:spacing w:val="-5"/>
        </w:rPr>
        <w:t>y</w:t>
      </w:r>
      <w:r>
        <w:rPr>
          <w:color w:val="000000"/>
        </w:rPr>
        <w:t>kdė</w:t>
      </w:r>
      <w:r>
        <w:rPr>
          <w:color w:val="000000"/>
          <w:spacing w:val="30"/>
        </w:rPr>
        <w:t xml:space="preserve"> </w:t>
      </w:r>
      <w:r>
        <w:rPr>
          <w:color w:val="000000"/>
          <w:spacing w:val="-1"/>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spacing w:val="-2"/>
        </w:rPr>
        <w:t>s</w:t>
      </w:r>
      <w:r>
        <w:rPr>
          <w:color w:val="000000"/>
        </w:rPr>
        <w:t>,</w:t>
      </w:r>
      <w:r>
        <w:rPr>
          <w:color w:val="000000"/>
          <w:spacing w:val="33"/>
        </w:rPr>
        <w:t xml:space="preserve"> </w:t>
      </w:r>
      <w:r>
        <w:rPr>
          <w:color w:val="000000"/>
          <w:spacing w:val="4"/>
        </w:rPr>
        <w:t>a</w:t>
      </w:r>
      <w:r>
        <w:rPr>
          <w:color w:val="000000"/>
          <w:spacing w:val="-5"/>
        </w:rPr>
        <w:t>n</w:t>
      </w:r>
      <w:r>
        <w:rPr>
          <w:color w:val="000000"/>
        </w:rPr>
        <w:t>k</w:t>
      </w:r>
      <w:r>
        <w:rPr>
          <w:color w:val="000000"/>
          <w:spacing w:val="2"/>
        </w:rPr>
        <w:t>s</w:t>
      </w:r>
      <w:r>
        <w:rPr>
          <w:color w:val="000000"/>
          <w:spacing w:val="4"/>
        </w:rPr>
        <w:t>č</w:t>
      </w:r>
      <w:r>
        <w:rPr>
          <w:color w:val="000000"/>
          <w:spacing w:val="-4"/>
        </w:rPr>
        <w:t>i</w:t>
      </w:r>
      <w:r>
        <w:rPr>
          <w:color w:val="000000"/>
          <w:spacing w:val="-1"/>
        </w:rPr>
        <w:t>a</w:t>
      </w:r>
      <w:r>
        <w:rPr>
          <w:color w:val="000000"/>
        </w:rPr>
        <w:t>u</w:t>
      </w:r>
      <w:r>
        <w:rPr>
          <w:color w:val="000000"/>
          <w:spacing w:val="31"/>
        </w:rPr>
        <w:t xml:space="preserve"> </w:t>
      </w:r>
      <w:r>
        <w:rPr>
          <w:color w:val="000000"/>
          <w:spacing w:val="-4"/>
        </w:rPr>
        <w:t>j</w:t>
      </w:r>
      <w:r>
        <w:rPr>
          <w:color w:val="000000"/>
          <w:spacing w:val="-1"/>
        </w:rPr>
        <w:t>a</w:t>
      </w:r>
      <w:r>
        <w:rPr>
          <w:color w:val="000000"/>
        </w:rPr>
        <w:t>u</w:t>
      </w:r>
      <w:r>
        <w:rPr>
          <w:color w:val="000000"/>
          <w:spacing w:val="31"/>
        </w:rPr>
        <w:t xml:space="preserve"> </w:t>
      </w:r>
      <w:r>
        <w:rPr>
          <w:color w:val="000000"/>
        </w:rPr>
        <w:t>p</w:t>
      </w:r>
      <w:r>
        <w:rPr>
          <w:color w:val="000000"/>
          <w:spacing w:val="-1"/>
        </w:rPr>
        <w:t>a</w:t>
      </w:r>
      <w:r>
        <w:rPr>
          <w:color w:val="000000"/>
        </w:rPr>
        <w:t>d</w:t>
      </w:r>
      <w:r>
        <w:rPr>
          <w:color w:val="000000"/>
          <w:spacing w:val="-1"/>
        </w:rPr>
        <w:t>a</w:t>
      </w:r>
      <w:r>
        <w:rPr>
          <w:color w:val="000000"/>
          <w:spacing w:val="1"/>
        </w:rPr>
        <w:t>r</w:t>
      </w:r>
      <w:r>
        <w:rPr>
          <w:color w:val="000000"/>
        </w:rPr>
        <w:t>ę</w:t>
      </w:r>
      <w:r>
        <w:rPr>
          <w:color w:val="000000"/>
          <w:spacing w:val="30"/>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4"/>
        </w:rPr>
        <w:t>m</w:t>
      </w:r>
      <w:r>
        <w:rPr>
          <w:color w:val="000000"/>
        </w:rPr>
        <w:t>ą</w:t>
      </w:r>
      <w:r>
        <w:rPr>
          <w:color w:val="000000"/>
          <w:spacing w:val="30"/>
        </w:rPr>
        <w:t xml:space="preserve"> </w:t>
      </w:r>
      <w:r>
        <w:rPr>
          <w:color w:val="000000"/>
          <w:spacing w:val="-5"/>
        </w:rPr>
        <w:t>v</w:t>
      </w:r>
      <w:r>
        <w:rPr>
          <w:color w:val="000000"/>
          <w:spacing w:val="4"/>
        </w:rPr>
        <w:t>e</w:t>
      </w:r>
      <w:r>
        <w:rPr>
          <w:color w:val="000000"/>
          <w:spacing w:val="-4"/>
        </w:rPr>
        <w:t>i</w:t>
      </w:r>
      <w:r>
        <w:rPr>
          <w:color w:val="000000"/>
        </w:rPr>
        <w:t>k</w:t>
      </w:r>
      <w:r>
        <w:rPr>
          <w:color w:val="000000"/>
          <w:spacing w:val="-1"/>
        </w:rPr>
        <w:t>ą</w:t>
      </w:r>
      <w:r>
        <w:rPr>
          <w:color w:val="000000"/>
        </w:rPr>
        <w:t>.</w:t>
      </w:r>
      <w:r>
        <w:rPr>
          <w:color w:val="000000"/>
          <w:spacing w:val="28"/>
        </w:rPr>
        <w:t xml:space="preserve"> </w:t>
      </w:r>
      <w:r>
        <w:rPr>
          <w:color w:val="000000"/>
          <w:spacing w:val="4"/>
        </w:rPr>
        <w:t>Ga</w:t>
      </w:r>
      <w:r>
        <w:rPr>
          <w:color w:val="000000"/>
          <w:spacing w:val="-4"/>
        </w:rPr>
        <w:t>l</w:t>
      </w:r>
      <w:r>
        <w:rPr>
          <w:color w:val="000000"/>
        </w:rPr>
        <w:t>i</w:t>
      </w:r>
      <w:r>
        <w:rPr>
          <w:color w:val="000000"/>
          <w:spacing w:val="-4"/>
        </w:rPr>
        <w:t>m</w:t>
      </w:r>
      <w:r>
        <w:rPr>
          <w:color w:val="000000"/>
        </w:rPr>
        <w:t>a</w:t>
      </w:r>
      <w:r>
        <w:rPr>
          <w:color w:val="000000"/>
          <w:spacing w:val="35"/>
        </w:rPr>
        <w:t xml:space="preserve"> </w:t>
      </w:r>
      <w:r>
        <w:rPr>
          <w:color w:val="000000"/>
          <w:spacing w:val="-4"/>
        </w:rPr>
        <w:t>m</w:t>
      </w:r>
      <w:r>
        <w:rPr>
          <w:color w:val="000000"/>
          <w:spacing w:val="4"/>
        </w:rPr>
        <w:t>a</w:t>
      </w:r>
      <w:r>
        <w:rPr>
          <w:color w:val="000000"/>
        </w:rPr>
        <w:t>n</w:t>
      </w:r>
      <w:r>
        <w:rPr>
          <w:color w:val="000000"/>
          <w:spacing w:val="-10"/>
        </w:rPr>
        <w:t>y</w:t>
      </w:r>
      <w:r>
        <w:rPr>
          <w:color w:val="000000"/>
          <w:spacing w:val="10"/>
        </w:rPr>
        <w:t>t</w:t>
      </w:r>
      <w:r>
        <w:rPr>
          <w:color w:val="000000"/>
          <w:spacing w:val="-9"/>
        </w:rPr>
        <w:t>i</w:t>
      </w:r>
      <w:r>
        <w:rPr>
          <w:color w:val="000000"/>
        </w:rPr>
        <w:t>,</w:t>
      </w:r>
      <w:r>
        <w:rPr>
          <w:color w:val="000000"/>
          <w:spacing w:val="28"/>
        </w:rPr>
        <w:t xml:space="preserve"> </w:t>
      </w:r>
      <w:r>
        <w:rPr>
          <w:color w:val="000000"/>
          <w:spacing w:val="5"/>
        </w:rPr>
        <w:t>k</w:t>
      </w:r>
      <w:r>
        <w:rPr>
          <w:color w:val="000000"/>
          <w:spacing w:val="-1"/>
        </w:rPr>
        <w:t>a</w:t>
      </w:r>
      <w:r>
        <w:rPr>
          <w:color w:val="000000"/>
        </w:rPr>
        <w:t xml:space="preserve">d </w:t>
      </w:r>
      <w:r>
        <w:rPr>
          <w:color w:val="000000"/>
          <w:spacing w:val="-2"/>
        </w:rPr>
        <w:t>s</w:t>
      </w:r>
      <w:r>
        <w:rPr>
          <w:color w:val="000000"/>
        </w:rPr>
        <w:t>ud</w:t>
      </w:r>
      <w:r>
        <w:rPr>
          <w:color w:val="000000"/>
          <w:spacing w:val="-1"/>
        </w:rPr>
        <w:t>ė</w:t>
      </w:r>
      <w:r>
        <w:rPr>
          <w:color w:val="000000"/>
          <w:spacing w:val="6"/>
        </w:rPr>
        <w:t>t</w:t>
      </w:r>
      <w:r>
        <w:rPr>
          <w:color w:val="000000"/>
          <w:spacing w:val="-4"/>
        </w:rPr>
        <w:t>i</w:t>
      </w:r>
      <w:r>
        <w:rPr>
          <w:color w:val="000000"/>
          <w:spacing w:val="-5"/>
        </w:rPr>
        <w:t>n</w:t>
      </w:r>
      <w:r>
        <w:rPr>
          <w:color w:val="000000"/>
          <w:spacing w:val="5"/>
        </w:rPr>
        <w:t>g</w:t>
      </w:r>
      <w:r>
        <w:rPr>
          <w:color w:val="000000"/>
        </w:rPr>
        <w:t>a</w:t>
      </w:r>
      <w:r>
        <w:rPr>
          <w:color w:val="000000"/>
          <w:spacing w:val="25"/>
        </w:rPr>
        <w:t xml:space="preserve"> </w:t>
      </w:r>
      <w:r>
        <w:rPr>
          <w:color w:val="000000"/>
          <w:spacing w:val="-1"/>
        </w:rPr>
        <w:t>e</w:t>
      </w:r>
      <w:r>
        <w:rPr>
          <w:color w:val="000000"/>
        </w:rPr>
        <w:t>k</w:t>
      </w:r>
      <w:r>
        <w:rPr>
          <w:color w:val="000000"/>
          <w:spacing w:val="5"/>
        </w:rPr>
        <w:t>o</w:t>
      </w:r>
      <w:r>
        <w:rPr>
          <w:color w:val="000000"/>
          <w:spacing w:val="-5"/>
        </w:rPr>
        <w:t>n</w:t>
      </w:r>
      <w:r>
        <w:rPr>
          <w:color w:val="000000"/>
          <w:spacing w:val="5"/>
        </w:rPr>
        <w:t>o</w:t>
      </w:r>
      <w:r>
        <w:rPr>
          <w:color w:val="000000"/>
          <w:spacing w:val="-4"/>
        </w:rPr>
        <w:t>mi</w:t>
      </w:r>
      <w:r>
        <w:rPr>
          <w:color w:val="000000"/>
        </w:rPr>
        <w:t>nė</w:t>
      </w:r>
      <w:r>
        <w:rPr>
          <w:color w:val="000000"/>
          <w:spacing w:val="30"/>
        </w:rPr>
        <w:t xml:space="preserve"> </w:t>
      </w:r>
      <w:r>
        <w:rPr>
          <w:color w:val="000000"/>
          <w:spacing w:val="2"/>
        </w:rPr>
        <w:t>s</w:t>
      </w:r>
      <w:r>
        <w:rPr>
          <w:color w:val="000000"/>
          <w:spacing w:val="-9"/>
        </w:rPr>
        <w:t>i</w:t>
      </w:r>
      <w:r>
        <w:rPr>
          <w:color w:val="000000"/>
          <w:spacing w:val="5"/>
        </w:rPr>
        <w:t>t</w:t>
      </w:r>
      <w:r>
        <w:rPr>
          <w:color w:val="000000"/>
        </w:rPr>
        <w:t>u</w:t>
      </w:r>
      <w:r>
        <w:rPr>
          <w:color w:val="000000"/>
          <w:spacing w:val="-1"/>
        </w:rPr>
        <w:t>a</w:t>
      </w:r>
      <w:r>
        <w:rPr>
          <w:color w:val="000000"/>
          <w:spacing w:val="4"/>
        </w:rPr>
        <w:t>c</w:t>
      </w:r>
      <w:r>
        <w:rPr>
          <w:color w:val="000000"/>
        </w:rPr>
        <w:t>i</w:t>
      </w:r>
      <w:r>
        <w:rPr>
          <w:color w:val="000000"/>
          <w:spacing w:val="-4"/>
        </w:rPr>
        <w:t>j</w:t>
      </w:r>
      <w:r>
        <w:rPr>
          <w:color w:val="000000"/>
          <w:spacing w:val="-1"/>
        </w:rPr>
        <w:t>a</w:t>
      </w:r>
      <w:r>
        <w:rPr>
          <w:color w:val="000000"/>
        </w:rPr>
        <w:t>,</w:t>
      </w:r>
      <w:r>
        <w:rPr>
          <w:color w:val="000000"/>
          <w:spacing w:val="28"/>
        </w:rPr>
        <w:t xml:space="preserve"> </w:t>
      </w:r>
      <w:r>
        <w:rPr>
          <w:color w:val="000000"/>
          <w:spacing w:val="-2"/>
        </w:rPr>
        <w:t>s</w:t>
      </w:r>
      <w:r>
        <w:rPr>
          <w:color w:val="000000"/>
          <w:spacing w:val="5"/>
        </w:rPr>
        <w:t>o</w:t>
      </w:r>
      <w:r>
        <w:rPr>
          <w:color w:val="000000"/>
          <w:spacing w:val="-1"/>
        </w:rPr>
        <w:t>c</w:t>
      </w:r>
      <w:r>
        <w:rPr>
          <w:color w:val="000000"/>
          <w:spacing w:val="-4"/>
        </w:rPr>
        <w:t>i</w:t>
      </w:r>
      <w:r>
        <w:rPr>
          <w:color w:val="000000"/>
          <w:spacing w:val="4"/>
        </w:rPr>
        <w:t>a</w:t>
      </w:r>
      <w:r>
        <w:rPr>
          <w:color w:val="000000"/>
          <w:spacing w:val="-4"/>
        </w:rPr>
        <w:t>li</w:t>
      </w:r>
      <w:r>
        <w:rPr>
          <w:color w:val="000000"/>
        </w:rPr>
        <w:t>n</w:t>
      </w:r>
      <w:r>
        <w:rPr>
          <w:color w:val="000000"/>
          <w:spacing w:val="4"/>
        </w:rPr>
        <w:t>ė</w:t>
      </w:r>
      <w:r>
        <w:rPr>
          <w:color w:val="000000"/>
        </w:rPr>
        <w:t>s</w:t>
      </w:r>
      <w:r>
        <w:rPr>
          <w:color w:val="000000"/>
          <w:spacing w:val="24"/>
        </w:rPr>
        <w:t xml:space="preserve"> </w:t>
      </w:r>
      <w:r>
        <w:rPr>
          <w:color w:val="000000"/>
        </w:rPr>
        <w:t>p</w:t>
      </w:r>
      <w:r>
        <w:rPr>
          <w:color w:val="000000"/>
          <w:spacing w:val="1"/>
        </w:rPr>
        <w:t>r</w:t>
      </w:r>
      <w:r>
        <w:rPr>
          <w:color w:val="000000"/>
          <w:spacing w:val="5"/>
        </w:rPr>
        <w:t>o</w:t>
      </w:r>
      <w:r>
        <w:rPr>
          <w:color w:val="000000"/>
        </w:rPr>
        <w:t>b</w:t>
      </w:r>
      <w:r>
        <w:rPr>
          <w:color w:val="000000"/>
          <w:spacing w:val="-9"/>
        </w:rPr>
        <w:t>l</w:t>
      </w:r>
      <w:r>
        <w:rPr>
          <w:color w:val="000000"/>
          <w:spacing w:val="4"/>
        </w:rPr>
        <w:t>e</w:t>
      </w:r>
      <w:r>
        <w:rPr>
          <w:color w:val="000000"/>
          <w:spacing w:val="-9"/>
        </w:rPr>
        <w:t>m</w:t>
      </w:r>
      <w:r>
        <w:rPr>
          <w:color w:val="000000"/>
          <w:spacing w:val="5"/>
        </w:rPr>
        <w:t>o</w:t>
      </w:r>
      <w:r>
        <w:rPr>
          <w:color w:val="000000"/>
          <w:spacing w:val="-2"/>
        </w:rPr>
        <w:t>s</w:t>
      </w:r>
      <w:r>
        <w:rPr>
          <w:color w:val="000000"/>
        </w:rPr>
        <w:t>,</w:t>
      </w:r>
      <w:r>
        <w:rPr>
          <w:color w:val="000000"/>
          <w:spacing w:val="28"/>
        </w:rPr>
        <w:t xml:space="preserve"> </w:t>
      </w:r>
      <w:r>
        <w:rPr>
          <w:color w:val="000000"/>
        </w:rPr>
        <w:t>d</w:t>
      </w:r>
      <w:r>
        <w:rPr>
          <w:color w:val="000000"/>
          <w:spacing w:val="-1"/>
        </w:rPr>
        <w:t>a</w:t>
      </w:r>
      <w:r>
        <w:rPr>
          <w:color w:val="000000"/>
          <w:spacing w:val="4"/>
        </w:rPr>
        <w:t>ž</w:t>
      </w:r>
      <w:r>
        <w:rPr>
          <w:color w:val="000000"/>
          <w:spacing w:val="-5"/>
        </w:rPr>
        <w:t>n</w:t>
      </w:r>
      <w:r>
        <w:rPr>
          <w:color w:val="000000"/>
          <w:spacing w:val="4"/>
        </w:rPr>
        <w:t>a</w:t>
      </w:r>
      <w:r>
        <w:rPr>
          <w:color w:val="000000"/>
        </w:rPr>
        <w:t>i</w:t>
      </w:r>
      <w:r>
        <w:rPr>
          <w:color w:val="000000"/>
          <w:spacing w:val="22"/>
        </w:rPr>
        <w:t xml:space="preserve"> </w:t>
      </w:r>
      <w:r>
        <w:rPr>
          <w:color w:val="000000"/>
          <w:spacing w:val="4"/>
        </w:rPr>
        <w:t>a</w:t>
      </w:r>
      <w:r>
        <w:rPr>
          <w:color w:val="000000"/>
          <w:spacing w:val="-9"/>
        </w:rPr>
        <w:t>l</w:t>
      </w:r>
      <w:r>
        <w:rPr>
          <w:color w:val="000000"/>
          <w:spacing w:val="5"/>
        </w:rPr>
        <w:t>t</w:t>
      </w:r>
      <w:r>
        <w:rPr>
          <w:color w:val="000000"/>
          <w:spacing w:val="-1"/>
        </w:rPr>
        <w:t>e</w:t>
      </w:r>
      <w:r>
        <w:rPr>
          <w:color w:val="000000"/>
          <w:spacing w:val="6"/>
        </w:rPr>
        <w:t>r</w:t>
      </w:r>
      <w:r>
        <w:rPr>
          <w:color w:val="000000"/>
          <w:spacing w:val="-5"/>
        </w:rPr>
        <w:t>n</w:t>
      </w:r>
      <w:r>
        <w:rPr>
          <w:color w:val="000000"/>
          <w:spacing w:val="-1"/>
        </w:rPr>
        <w:t>a</w:t>
      </w:r>
      <w:r>
        <w:rPr>
          <w:color w:val="000000"/>
          <w:spacing w:val="10"/>
        </w:rPr>
        <w:t>t</w:t>
      </w:r>
      <w:r>
        <w:rPr>
          <w:color w:val="000000"/>
          <w:spacing w:val="-5"/>
        </w:rPr>
        <w:t>yv</w:t>
      </w:r>
      <w:r>
        <w:rPr>
          <w:color w:val="000000"/>
        </w:rPr>
        <w:t>ų</w:t>
      </w:r>
      <w:r>
        <w:rPr>
          <w:color w:val="000000"/>
          <w:spacing w:val="26"/>
        </w:rPr>
        <w:t xml:space="preserve"> </w:t>
      </w:r>
      <w:r>
        <w:rPr>
          <w:color w:val="000000"/>
          <w:spacing w:val="-5"/>
        </w:rPr>
        <w:t>n</w:t>
      </w:r>
      <w:r>
        <w:rPr>
          <w:color w:val="000000"/>
          <w:spacing w:val="5"/>
        </w:rPr>
        <w:t>u</w:t>
      </w:r>
      <w:r>
        <w:rPr>
          <w:color w:val="000000"/>
          <w:spacing w:val="2"/>
        </w:rPr>
        <w:t>s</w:t>
      </w:r>
      <w:r>
        <w:rPr>
          <w:color w:val="000000"/>
          <w:spacing w:val="-4"/>
        </w:rPr>
        <w:t>i</w:t>
      </w:r>
      <w:r>
        <w:rPr>
          <w:color w:val="000000"/>
        </w:rPr>
        <w:t>k</w:t>
      </w:r>
      <w:r>
        <w:rPr>
          <w:color w:val="000000"/>
          <w:spacing w:val="4"/>
        </w:rPr>
        <w:t>a</w:t>
      </w:r>
      <w:r>
        <w:rPr>
          <w:color w:val="000000"/>
          <w:spacing w:val="-9"/>
        </w:rPr>
        <w:t>l</w:t>
      </w:r>
      <w:r>
        <w:rPr>
          <w:color w:val="000000"/>
          <w:spacing w:val="5"/>
        </w:rPr>
        <w:t>t</w:t>
      </w:r>
      <w:r>
        <w:rPr>
          <w:color w:val="000000"/>
        </w:rPr>
        <w:t>u</w:t>
      </w:r>
      <w:r>
        <w:rPr>
          <w:color w:val="000000"/>
          <w:spacing w:val="2"/>
        </w:rPr>
        <w:t>s</w:t>
      </w:r>
      <w:r>
        <w:rPr>
          <w:color w:val="000000"/>
          <w:spacing w:val="-4"/>
        </w:rPr>
        <w:t>i</w:t>
      </w:r>
      <w:r>
        <w:rPr>
          <w:color w:val="000000"/>
          <w:spacing w:val="4"/>
        </w:rPr>
        <w:t>e</w:t>
      </w:r>
      <w:r>
        <w:rPr>
          <w:color w:val="000000"/>
          <w:spacing w:val="-4"/>
        </w:rPr>
        <w:t>m</w:t>
      </w:r>
      <w:r>
        <w:rPr>
          <w:color w:val="000000"/>
        </w:rPr>
        <w:t>s</w:t>
      </w:r>
      <w:r>
        <w:rPr>
          <w:color w:val="000000"/>
          <w:spacing w:val="24"/>
        </w:rPr>
        <w:t xml:space="preserve"> </w:t>
      </w:r>
      <w:r>
        <w:rPr>
          <w:color w:val="000000"/>
          <w:spacing w:val="4"/>
        </w:rPr>
        <w:t>a</w:t>
      </w:r>
      <w:r>
        <w:rPr>
          <w:color w:val="000000"/>
          <w:spacing w:val="2"/>
        </w:rPr>
        <w:t>s</w:t>
      </w:r>
      <w:r>
        <w:rPr>
          <w:color w:val="000000"/>
          <w:spacing w:val="-4"/>
        </w:rPr>
        <w:t>m</w:t>
      </w:r>
      <w:r>
        <w:rPr>
          <w:color w:val="000000"/>
          <w:spacing w:val="4"/>
        </w:rPr>
        <w:t>e</w:t>
      </w:r>
      <w:r>
        <w:rPr>
          <w:color w:val="000000"/>
        </w:rPr>
        <w:t>ni</w:t>
      </w:r>
      <w:r>
        <w:rPr>
          <w:color w:val="000000"/>
          <w:spacing w:val="-4"/>
        </w:rPr>
        <w:t>m</w:t>
      </w:r>
      <w:r>
        <w:rPr>
          <w:color w:val="000000"/>
        </w:rPr>
        <w:t xml:space="preserve">s </w:t>
      </w:r>
      <w:r>
        <w:rPr>
          <w:color w:val="000000"/>
          <w:spacing w:val="-5"/>
        </w:rPr>
        <w:t>n</w:t>
      </w:r>
      <w:r>
        <w:rPr>
          <w:color w:val="000000"/>
          <w:spacing w:val="4"/>
        </w:rPr>
        <w:t>e</w:t>
      </w:r>
      <w:r>
        <w:rPr>
          <w:color w:val="000000"/>
          <w:spacing w:val="-5"/>
        </w:rPr>
        <w:t>b</w:t>
      </w:r>
      <w:r>
        <w:rPr>
          <w:color w:val="000000"/>
          <w:spacing w:val="5"/>
        </w:rPr>
        <w:t>u</w:t>
      </w:r>
      <w:r>
        <w:rPr>
          <w:color w:val="000000"/>
        </w:rPr>
        <w:t>vi</w:t>
      </w:r>
      <w:r>
        <w:rPr>
          <w:color w:val="000000"/>
          <w:spacing w:val="-4"/>
        </w:rPr>
        <w:t>m</w:t>
      </w:r>
      <w:r>
        <w:rPr>
          <w:color w:val="000000"/>
          <w:spacing w:val="4"/>
        </w:rPr>
        <w:t>a</w:t>
      </w:r>
      <w:r>
        <w:rPr>
          <w:color w:val="000000"/>
        </w:rPr>
        <w:t xml:space="preserve">s </w:t>
      </w:r>
      <w:r>
        <w:rPr>
          <w:color w:val="000000"/>
          <w:spacing w:val="-1"/>
        </w:rPr>
        <w:t>a</w:t>
      </w:r>
      <w:r>
        <w:rPr>
          <w:color w:val="000000"/>
        </w:rPr>
        <w:t>r</w:t>
      </w:r>
      <w:r>
        <w:rPr>
          <w:color w:val="000000"/>
          <w:spacing w:val="4"/>
        </w:rPr>
        <w:t xml:space="preserve"> </w:t>
      </w:r>
      <w:r>
        <w:rPr>
          <w:color w:val="000000"/>
          <w:spacing w:val="-5"/>
        </w:rPr>
        <w:t>n</w:t>
      </w:r>
      <w:r>
        <w:rPr>
          <w:color w:val="000000"/>
          <w:spacing w:val="4"/>
        </w:rPr>
        <w:t>e</w:t>
      </w:r>
      <w:r>
        <w:rPr>
          <w:color w:val="000000"/>
          <w:spacing w:val="-5"/>
        </w:rPr>
        <w:t>n</w:t>
      </w:r>
      <w:r>
        <w:rPr>
          <w:color w:val="000000"/>
          <w:spacing w:val="5"/>
        </w:rPr>
        <w:t>o</w:t>
      </w:r>
      <w:r>
        <w:rPr>
          <w:color w:val="000000"/>
          <w:spacing w:val="1"/>
        </w:rPr>
        <w:t>r</w:t>
      </w:r>
      <w:r>
        <w:rPr>
          <w:color w:val="000000"/>
          <w:spacing w:val="-1"/>
        </w:rPr>
        <w:t>a</w:t>
      </w:r>
      <w:r>
        <w:rPr>
          <w:color w:val="000000"/>
        </w:rPr>
        <w:t xml:space="preserve">s </w:t>
      </w:r>
      <w:r>
        <w:rPr>
          <w:color w:val="000000"/>
          <w:spacing w:val="-9"/>
        </w:rPr>
        <w:t>j</w:t>
      </w:r>
      <w:r>
        <w:rPr>
          <w:color w:val="000000"/>
        </w:rPr>
        <w:t>ų</w:t>
      </w:r>
      <w:r>
        <w:rPr>
          <w:color w:val="000000"/>
          <w:spacing w:val="7"/>
        </w:rPr>
        <w:t xml:space="preserve"> </w:t>
      </w:r>
      <w:r>
        <w:rPr>
          <w:color w:val="000000"/>
          <w:spacing w:val="-4"/>
        </w:rPr>
        <w:t>i</w:t>
      </w:r>
      <w:r>
        <w:rPr>
          <w:color w:val="000000"/>
          <w:spacing w:val="-1"/>
        </w:rPr>
        <w:t>e</w:t>
      </w:r>
      <w:r>
        <w:rPr>
          <w:color w:val="000000"/>
          <w:spacing w:val="-2"/>
        </w:rPr>
        <w:t>š</w:t>
      </w:r>
      <w:r>
        <w:rPr>
          <w:color w:val="000000"/>
        </w:rPr>
        <w:t>k</w:t>
      </w:r>
      <w:r>
        <w:rPr>
          <w:color w:val="000000"/>
          <w:spacing w:val="5"/>
        </w:rPr>
        <w:t>ot</w:t>
      </w:r>
      <w:r>
        <w:rPr>
          <w:color w:val="000000"/>
          <w:spacing w:val="-9"/>
        </w:rPr>
        <w:t>i</w:t>
      </w:r>
      <w:r>
        <w:rPr>
          <w:color w:val="000000"/>
        </w:rPr>
        <w:t>,</w:t>
      </w:r>
      <w:r>
        <w:rPr>
          <w:color w:val="000000"/>
          <w:spacing w:val="9"/>
        </w:rPr>
        <w:t xml:space="preserve"> </w:t>
      </w:r>
      <w:r>
        <w:rPr>
          <w:color w:val="000000"/>
          <w:spacing w:val="-9"/>
        </w:rPr>
        <w:t>i</w:t>
      </w:r>
      <w:r>
        <w:rPr>
          <w:color w:val="000000"/>
        </w:rPr>
        <w:t>š d</w:t>
      </w:r>
      <w:r>
        <w:rPr>
          <w:color w:val="000000"/>
          <w:spacing w:val="4"/>
        </w:rPr>
        <w:t>a</w:t>
      </w:r>
      <w:r>
        <w:rPr>
          <w:color w:val="000000"/>
        </w:rPr>
        <w:t>l</w:t>
      </w:r>
      <w:r>
        <w:rPr>
          <w:color w:val="000000"/>
          <w:spacing w:val="-4"/>
        </w:rPr>
        <w:t>i</w:t>
      </w:r>
      <w:r>
        <w:rPr>
          <w:color w:val="000000"/>
          <w:spacing w:val="4"/>
        </w:rPr>
        <w:t>e</w:t>
      </w:r>
      <w:r>
        <w:rPr>
          <w:color w:val="000000"/>
        </w:rPr>
        <w:t xml:space="preserve">s </w:t>
      </w:r>
      <w:r>
        <w:rPr>
          <w:color w:val="000000"/>
          <w:spacing w:val="-2"/>
        </w:rPr>
        <w:t>s</w:t>
      </w:r>
      <w:r>
        <w:rPr>
          <w:color w:val="000000"/>
        </w:rPr>
        <w:t>k</w:t>
      </w:r>
      <w:r>
        <w:rPr>
          <w:color w:val="000000"/>
          <w:spacing w:val="-1"/>
        </w:rPr>
        <w:t>a</w:t>
      </w:r>
      <w:r>
        <w:rPr>
          <w:color w:val="000000"/>
          <w:spacing w:val="5"/>
        </w:rPr>
        <w:t>t</w:t>
      </w:r>
      <w:r>
        <w:rPr>
          <w:color w:val="000000"/>
          <w:spacing w:val="-4"/>
        </w:rPr>
        <w:t>i</w:t>
      </w:r>
      <w:r>
        <w:rPr>
          <w:color w:val="000000"/>
        </w:rPr>
        <w:t>na</w:t>
      </w:r>
      <w:r>
        <w:rPr>
          <w:color w:val="000000"/>
          <w:spacing w:val="6"/>
        </w:rPr>
        <w:t xml:space="preserve"> </w:t>
      </w:r>
      <w:r>
        <w:rPr>
          <w:color w:val="000000"/>
          <w:spacing w:val="-9"/>
        </w:rPr>
        <w:t>j</w:t>
      </w:r>
      <w:r>
        <w:rPr>
          <w:color w:val="000000"/>
          <w:spacing w:val="4"/>
        </w:rPr>
        <w:t>a</w:t>
      </w:r>
      <w:r>
        <w:rPr>
          <w:color w:val="000000"/>
        </w:rPr>
        <w:t>u</w:t>
      </w:r>
      <w:r>
        <w:rPr>
          <w:color w:val="000000"/>
          <w:spacing w:val="-5"/>
        </w:rPr>
        <w:t>n</w:t>
      </w:r>
      <w:r>
        <w:rPr>
          <w:color w:val="000000"/>
        </w:rPr>
        <w:t xml:space="preserve">us </w:t>
      </w:r>
      <w:r>
        <w:rPr>
          <w:color w:val="000000"/>
          <w:spacing w:val="4"/>
        </w:rPr>
        <w:t>ž</w:t>
      </w:r>
      <w:r>
        <w:rPr>
          <w:color w:val="000000"/>
          <w:spacing w:val="-9"/>
        </w:rPr>
        <w:t>m</w:t>
      </w:r>
      <w:r>
        <w:rPr>
          <w:color w:val="000000"/>
          <w:spacing w:val="9"/>
        </w:rPr>
        <w:t>o</w:t>
      </w:r>
      <w:r>
        <w:rPr>
          <w:color w:val="000000"/>
          <w:spacing w:val="-5"/>
        </w:rPr>
        <w:t>n</w:t>
      </w:r>
      <w:r>
        <w:rPr>
          <w:color w:val="000000"/>
          <w:spacing w:val="4"/>
        </w:rPr>
        <w:t>e</w:t>
      </w:r>
      <w:r>
        <w:rPr>
          <w:color w:val="000000"/>
        </w:rPr>
        <w:t xml:space="preserve">s </w:t>
      </w:r>
      <w:r>
        <w:rPr>
          <w:color w:val="000000"/>
          <w:spacing w:val="-5"/>
        </w:rPr>
        <w:t>v</w:t>
      </w:r>
      <w:r>
        <w:rPr>
          <w:color w:val="000000"/>
          <w:spacing w:val="4"/>
        </w:rPr>
        <w:t>ė</w:t>
      </w:r>
      <w:r>
        <w:rPr>
          <w:color w:val="000000"/>
        </w:rPr>
        <w:t>l</w:t>
      </w:r>
      <w:r>
        <w:rPr>
          <w:color w:val="000000"/>
          <w:spacing w:val="3"/>
        </w:rPr>
        <w:t xml:space="preserve"> </w:t>
      </w:r>
      <w:r>
        <w:rPr>
          <w:color w:val="000000"/>
          <w:spacing w:val="-9"/>
        </w:rPr>
        <w:t>i</w:t>
      </w:r>
      <w:r>
        <w:rPr>
          <w:color w:val="000000"/>
        </w:rPr>
        <w:t>r</w:t>
      </w:r>
      <w:r>
        <w:rPr>
          <w:color w:val="000000"/>
          <w:spacing w:val="8"/>
        </w:rPr>
        <w:t xml:space="preserve"> </w:t>
      </w:r>
      <w:r>
        <w:rPr>
          <w:color w:val="000000"/>
          <w:spacing w:val="-5"/>
        </w:rPr>
        <w:t>v</w:t>
      </w:r>
      <w:r>
        <w:rPr>
          <w:color w:val="000000"/>
          <w:spacing w:val="4"/>
        </w:rPr>
        <w:t>ė</w:t>
      </w:r>
      <w:r>
        <w:rPr>
          <w:color w:val="000000"/>
        </w:rPr>
        <w:t>l</w:t>
      </w:r>
      <w:r>
        <w:rPr>
          <w:color w:val="000000"/>
          <w:spacing w:val="-2"/>
        </w:rPr>
        <w:t xml:space="preserve"> </w:t>
      </w:r>
      <w:r>
        <w:rPr>
          <w:color w:val="000000"/>
          <w:spacing w:val="-5"/>
        </w:rPr>
        <w:t>n</w:t>
      </w:r>
      <w:r>
        <w:rPr>
          <w:color w:val="000000"/>
          <w:spacing w:val="5"/>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10"/>
        </w:rPr>
        <w:t>t</w:t>
      </w:r>
      <w:r>
        <w:rPr>
          <w:color w:val="000000"/>
          <w:spacing w:val="-9"/>
        </w:rPr>
        <w:t>i</w:t>
      </w:r>
      <w:r>
        <w:rPr>
          <w:color w:val="000000"/>
        </w:rPr>
        <w:t>.</w:t>
      </w:r>
    </w:p>
    <w:p w:rsidR="004F7425" w:rsidRDefault="004F7425" w:rsidP="004F7425">
      <w:pPr>
        <w:widowControl w:val="0"/>
        <w:autoSpaceDE w:val="0"/>
        <w:autoSpaceDN w:val="0"/>
        <w:adjustRightInd w:val="0"/>
        <w:ind w:left="220" w:right="39" w:firstLine="749"/>
        <w:jc w:val="both"/>
        <w:rPr>
          <w:color w:val="000000"/>
        </w:rPr>
        <w:sectPr w:rsidR="004F7425">
          <w:pgSz w:w="11920" w:h="16840"/>
          <w:pgMar w:top="960" w:right="460" w:bottom="280" w:left="1480" w:header="734" w:footer="0" w:gutter="0"/>
          <w:cols w:space="1296" w:equalWidth="0">
            <w:col w:w="9980"/>
          </w:cols>
          <w:noEndnote/>
        </w:sectPr>
      </w:pPr>
    </w:p>
    <w:p w:rsidR="004F7425" w:rsidRDefault="004F7425" w:rsidP="004F7425">
      <w:pPr>
        <w:widowControl w:val="0"/>
        <w:autoSpaceDE w:val="0"/>
        <w:autoSpaceDN w:val="0"/>
        <w:adjustRightInd w:val="0"/>
        <w:spacing w:before="4" w:line="260" w:lineRule="exact"/>
        <w:rPr>
          <w:color w:val="000000"/>
          <w:sz w:val="26"/>
          <w:szCs w:val="26"/>
        </w:rPr>
      </w:pPr>
    </w:p>
    <w:p w:rsidR="004F7425" w:rsidRDefault="004F7425" w:rsidP="004F7425">
      <w:pPr>
        <w:widowControl w:val="0"/>
        <w:autoSpaceDE w:val="0"/>
        <w:autoSpaceDN w:val="0"/>
        <w:adjustRightInd w:val="0"/>
        <w:spacing w:before="22"/>
        <w:ind w:left="393" w:right="357"/>
        <w:jc w:val="center"/>
        <w:rPr>
          <w:color w:val="000000"/>
          <w:sz w:val="28"/>
          <w:szCs w:val="28"/>
        </w:rPr>
      </w:pPr>
      <w:r>
        <w:rPr>
          <w:b/>
          <w:bCs/>
          <w:color w:val="933634"/>
          <w:sz w:val="28"/>
          <w:szCs w:val="28"/>
        </w:rPr>
        <w:t>N</w:t>
      </w:r>
      <w:r>
        <w:rPr>
          <w:b/>
          <w:bCs/>
          <w:color w:val="933634"/>
          <w:spacing w:val="1"/>
          <w:sz w:val="28"/>
          <w:szCs w:val="28"/>
        </w:rPr>
        <w:t>A</w:t>
      </w:r>
      <w:r>
        <w:rPr>
          <w:b/>
          <w:bCs/>
          <w:color w:val="933634"/>
          <w:sz w:val="28"/>
          <w:szCs w:val="28"/>
        </w:rPr>
        <w:t>RKO</w:t>
      </w:r>
      <w:r>
        <w:rPr>
          <w:b/>
          <w:bCs/>
          <w:color w:val="933634"/>
          <w:spacing w:val="1"/>
          <w:sz w:val="28"/>
          <w:szCs w:val="28"/>
        </w:rPr>
        <w:t>T</w:t>
      </w:r>
      <w:r>
        <w:rPr>
          <w:b/>
          <w:bCs/>
          <w:color w:val="933634"/>
          <w:spacing w:val="2"/>
          <w:sz w:val="28"/>
          <w:szCs w:val="28"/>
        </w:rPr>
        <w:t>I</w:t>
      </w:r>
      <w:r>
        <w:rPr>
          <w:b/>
          <w:bCs/>
          <w:color w:val="933634"/>
          <w:sz w:val="28"/>
          <w:szCs w:val="28"/>
        </w:rPr>
        <w:t>N</w:t>
      </w:r>
      <w:r>
        <w:rPr>
          <w:b/>
          <w:bCs/>
          <w:color w:val="933634"/>
          <w:spacing w:val="3"/>
          <w:sz w:val="28"/>
          <w:szCs w:val="28"/>
        </w:rPr>
        <w:t>I</w:t>
      </w:r>
      <w:r>
        <w:rPr>
          <w:b/>
          <w:bCs/>
          <w:color w:val="933634"/>
          <w:sz w:val="28"/>
          <w:szCs w:val="28"/>
        </w:rPr>
        <w:t>Ų</w:t>
      </w:r>
      <w:r>
        <w:rPr>
          <w:b/>
          <w:bCs/>
          <w:color w:val="933634"/>
          <w:spacing w:val="-17"/>
          <w:sz w:val="28"/>
          <w:szCs w:val="28"/>
        </w:rPr>
        <w:t xml:space="preserve"> </w:t>
      </w:r>
      <w:r>
        <w:rPr>
          <w:b/>
          <w:bCs/>
          <w:color w:val="933634"/>
          <w:spacing w:val="2"/>
          <w:sz w:val="28"/>
          <w:szCs w:val="28"/>
        </w:rPr>
        <w:t>I</w:t>
      </w:r>
      <w:r>
        <w:rPr>
          <w:b/>
          <w:bCs/>
          <w:color w:val="933634"/>
          <w:sz w:val="28"/>
          <w:szCs w:val="28"/>
        </w:rPr>
        <w:t>R</w:t>
      </w:r>
      <w:r>
        <w:rPr>
          <w:b/>
          <w:bCs/>
          <w:color w:val="933634"/>
          <w:spacing w:val="-1"/>
          <w:sz w:val="28"/>
          <w:szCs w:val="28"/>
        </w:rPr>
        <w:t xml:space="preserve"> </w:t>
      </w:r>
      <w:r>
        <w:rPr>
          <w:b/>
          <w:bCs/>
          <w:color w:val="933634"/>
          <w:spacing w:val="3"/>
          <w:sz w:val="28"/>
          <w:szCs w:val="28"/>
        </w:rPr>
        <w:t>P</w:t>
      </w:r>
      <w:r>
        <w:rPr>
          <w:b/>
          <w:bCs/>
          <w:color w:val="933634"/>
          <w:spacing w:val="-1"/>
          <w:sz w:val="28"/>
          <w:szCs w:val="28"/>
        </w:rPr>
        <w:t>S</w:t>
      </w:r>
      <w:r>
        <w:rPr>
          <w:b/>
          <w:bCs/>
          <w:color w:val="933634"/>
          <w:spacing w:val="2"/>
          <w:sz w:val="28"/>
          <w:szCs w:val="28"/>
        </w:rPr>
        <w:t>I</w:t>
      </w:r>
      <w:r>
        <w:rPr>
          <w:b/>
          <w:bCs/>
          <w:color w:val="933634"/>
          <w:sz w:val="28"/>
          <w:szCs w:val="28"/>
        </w:rPr>
        <w:t>CH</w:t>
      </w:r>
      <w:r>
        <w:rPr>
          <w:b/>
          <w:bCs/>
          <w:color w:val="933634"/>
          <w:spacing w:val="2"/>
          <w:sz w:val="28"/>
          <w:szCs w:val="28"/>
        </w:rPr>
        <w:t>O</w:t>
      </w:r>
      <w:r>
        <w:rPr>
          <w:b/>
          <w:bCs/>
          <w:color w:val="933634"/>
          <w:spacing w:val="1"/>
          <w:sz w:val="28"/>
          <w:szCs w:val="28"/>
        </w:rPr>
        <w:t>T</w:t>
      </w:r>
      <w:r>
        <w:rPr>
          <w:b/>
          <w:bCs/>
          <w:color w:val="933634"/>
          <w:sz w:val="28"/>
          <w:szCs w:val="28"/>
        </w:rPr>
        <w:t>RO</w:t>
      </w:r>
      <w:r>
        <w:rPr>
          <w:b/>
          <w:bCs/>
          <w:color w:val="933634"/>
          <w:spacing w:val="3"/>
          <w:sz w:val="28"/>
          <w:szCs w:val="28"/>
        </w:rPr>
        <w:t>P</w:t>
      </w:r>
      <w:r>
        <w:rPr>
          <w:b/>
          <w:bCs/>
          <w:color w:val="933634"/>
          <w:spacing w:val="2"/>
          <w:sz w:val="28"/>
          <w:szCs w:val="28"/>
        </w:rPr>
        <w:t>I</w:t>
      </w:r>
      <w:r>
        <w:rPr>
          <w:b/>
          <w:bCs/>
          <w:color w:val="933634"/>
          <w:sz w:val="28"/>
          <w:szCs w:val="28"/>
        </w:rPr>
        <w:t>N</w:t>
      </w:r>
      <w:r>
        <w:rPr>
          <w:b/>
          <w:bCs/>
          <w:color w:val="933634"/>
          <w:spacing w:val="3"/>
          <w:sz w:val="28"/>
          <w:szCs w:val="28"/>
        </w:rPr>
        <w:t>I</w:t>
      </w:r>
      <w:r>
        <w:rPr>
          <w:b/>
          <w:bCs/>
          <w:color w:val="933634"/>
          <w:sz w:val="28"/>
          <w:szCs w:val="28"/>
        </w:rPr>
        <w:t>Ų</w:t>
      </w:r>
      <w:r>
        <w:rPr>
          <w:b/>
          <w:bCs/>
          <w:color w:val="933634"/>
          <w:spacing w:val="-27"/>
          <w:sz w:val="28"/>
          <w:szCs w:val="28"/>
        </w:rPr>
        <w:t xml:space="preserve"> </w:t>
      </w:r>
      <w:r>
        <w:rPr>
          <w:b/>
          <w:bCs/>
          <w:color w:val="933634"/>
          <w:spacing w:val="6"/>
          <w:sz w:val="28"/>
          <w:szCs w:val="28"/>
        </w:rPr>
        <w:t>M</w:t>
      </w:r>
      <w:r>
        <w:rPr>
          <w:b/>
          <w:bCs/>
          <w:color w:val="933634"/>
          <w:spacing w:val="1"/>
          <w:sz w:val="28"/>
          <w:szCs w:val="28"/>
        </w:rPr>
        <w:t>E</w:t>
      </w:r>
      <w:r>
        <w:rPr>
          <w:b/>
          <w:bCs/>
          <w:color w:val="933634"/>
          <w:sz w:val="28"/>
          <w:szCs w:val="28"/>
        </w:rPr>
        <w:t>D</w:t>
      </w:r>
      <w:r>
        <w:rPr>
          <w:b/>
          <w:bCs/>
          <w:color w:val="933634"/>
          <w:spacing w:val="-3"/>
          <w:sz w:val="28"/>
          <w:szCs w:val="28"/>
        </w:rPr>
        <w:t>Ž</w:t>
      </w:r>
      <w:r>
        <w:rPr>
          <w:b/>
          <w:bCs/>
          <w:color w:val="933634"/>
          <w:spacing w:val="2"/>
          <w:sz w:val="28"/>
          <w:szCs w:val="28"/>
        </w:rPr>
        <w:t>I</w:t>
      </w:r>
      <w:r>
        <w:rPr>
          <w:b/>
          <w:bCs/>
          <w:color w:val="933634"/>
          <w:sz w:val="28"/>
          <w:szCs w:val="28"/>
        </w:rPr>
        <w:t>AGŲ</w:t>
      </w:r>
      <w:r>
        <w:rPr>
          <w:b/>
          <w:bCs/>
          <w:color w:val="933634"/>
          <w:spacing w:val="-10"/>
          <w:sz w:val="28"/>
          <w:szCs w:val="28"/>
        </w:rPr>
        <w:t xml:space="preserve"> </w:t>
      </w:r>
      <w:r>
        <w:rPr>
          <w:b/>
          <w:bCs/>
          <w:color w:val="933634"/>
          <w:spacing w:val="2"/>
          <w:sz w:val="28"/>
          <w:szCs w:val="28"/>
        </w:rPr>
        <w:t>BE</w:t>
      </w:r>
      <w:r>
        <w:rPr>
          <w:b/>
          <w:bCs/>
          <w:color w:val="933634"/>
          <w:sz w:val="28"/>
          <w:szCs w:val="28"/>
        </w:rPr>
        <w:t>I</w:t>
      </w:r>
      <w:r>
        <w:rPr>
          <w:b/>
          <w:bCs/>
          <w:color w:val="933634"/>
          <w:spacing w:val="-1"/>
          <w:sz w:val="28"/>
          <w:szCs w:val="28"/>
        </w:rPr>
        <w:t xml:space="preserve"> </w:t>
      </w:r>
      <w:r>
        <w:rPr>
          <w:b/>
          <w:bCs/>
          <w:color w:val="933634"/>
          <w:sz w:val="28"/>
          <w:szCs w:val="28"/>
        </w:rPr>
        <w:t>JŲ</w:t>
      </w:r>
      <w:r>
        <w:rPr>
          <w:b/>
          <w:bCs/>
          <w:color w:val="933634"/>
          <w:spacing w:val="-5"/>
          <w:sz w:val="28"/>
          <w:szCs w:val="28"/>
        </w:rPr>
        <w:t xml:space="preserve"> </w:t>
      </w:r>
      <w:r>
        <w:rPr>
          <w:b/>
          <w:bCs/>
          <w:color w:val="933634"/>
          <w:spacing w:val="3"/>
          <w:w w:val="99"/>
          <w:sz w:val="28"/>
          <w:szCs w:val="28"/>
        </w:rPr>
        <w:t>P</w:t>
      </w:r>
      <w:r>
        <w:rPr>
          <w:b/>
          <w:bCs/>
          <w:color w:val="933634"/>
          <w:spacing w:val="2"/>
          <w:w w:val="99"/>
          <w:sz w:val="28"/>
          <w:szCs w:val="28"/>
        </w:rPr>
        <w:t>I</w:t>
      </w:r>
      <w:r>
        <w:rPr>
          <w:b/>
          <w:bCs/>
          <w:color w:val="933634"/>
          <w:spacing w:val="-4"/>
          <w:w w:val="99"/>
          <w:sz w:val="28"/>
          <w:szCs w:val="28"/>
        </w:rPr>
        <w:t>R</w:t>
      </w:r>
      <w:r>
        <w:rPr>
          <w:b/>
          <w:bCs/>
          <w:color w:val="933634"/>
          <w:spacing w:val="6"/>
          <w:w w:val="99"/>
          <w:sz w:val="28"/>
          <w:szCs w:val="28"/>
        </w:rPr>
        <w:t>M</w:t>
      </w:r>
      <w:r>
        <w:rPr>
          <w:b/>
          <w:bCs/>
          <w:color w:val="933634"/>
          <w:spacing w:val="1"/>
          <w:w w:val="99"/>
          <w:sz w:val="28"/>
          <w:szCs w:val="28"/>
        </w:rPr>
        <w:t>T</w:t>
      </w:r>
      <w:r>
        <w:rPr>
          <w:b/>
          <w:bCs/>
          <w:color w:val="933634"/>
          <w:w w:val="99"/>
          <w:sz w:val="28"/>
          <w:szCs w:val="28"/>
        </w:rPr>
        <w:t>AKŲ</w:t>
      </w:r>
    </w:p>
    <w:p w:rsidR="004F7425" w:rsidRDefault="004F7425" w:rsidP="004F7425">
      <w:pPr>
        <w:widowControl w:val="0"/>
        <w:autoSpaceDE w:val="0"/>
        <w:autoSpaceDN w:val="0"/>
        <w:adjustRightInd w:val="0"/>
        <w:spacing w:before="47"/>
        <w:ind w:left="1702" w:right="1668"/>
        <w:jc w:val="center"/>
        <w:rPr>
          <w:color w:val="000000"/>
          <w:sz w:val="28"/>
          <w:szCs w:val="28"/>
        </w:rPr>
      </w:pPr>
      <w:r>
        <w:rPr>
          <w:b/>
          <w:bCs/>
          <w:color w:val="933634"/>
          <w:sz w:val="28"/>
          <w:szCs w:val="28"/>
        </w:rPr>
        <w:t>A</w:t>
      </w:r>
      <w:r>
        <w:rPr>
          <w:b/>
          <w:bCs/>
          <w:color w:val="933634"/>
          <w:spacing w:val="3"/>
          <w:sz w:val="28"/>
          <w:szCs w:val="28"/>
        </w:rPr>
        <w:t>P</w:t>
      </w:r>
      <w:r>
        <w:rPr>
          <w:b/>
          <w:bCs/>
          <w:color w:val="933634"/>
          <w:sz w:val="28"/>
          <w:szCs w:val="28"/>
        </w:rPr>
        <w:t>Y</w:t>
      </w:r>
      <w:r>
        <w:rPr>
          <w:b/>
          <w:bCs/>
          <w:color w:val="933634"/>
          <w:spacing w:val="1"/>
          <w:sz w:val="28"/>
          <w:szCs w:val="28"/>
        </w:rPr>
        <w:t>V</w:t>
      </w:r>
      <w:r>
        <w:rPr>
          <w:b/>
          <w:bCs/>
          <w:color w:val="933634"/>
          <w:sz w:val="28"/>
          <w:szCs w:val="28"/>
        </w:rPr>
        <w:t>A</w:t>
      </w:r>
      <w:r>
        <w:rPr>
          <w:b/>
          <w:bCs/>
          <w:color w:val="933634"/>
          <w:spacing w:val="1"/>
          <w:sz w:val="28"/>
          <w:szCs w:val="28"/>
        </w:rPr>
        <w:t>RT</w:t>
      </w:r>
      <w:r>
        <w:rPr>
          <w:b/>
          <w:bCs/>
          <w:color w:val="933634"/>
          <w:spacing w:val="3"/>
          <w:sz w:val="28"/>
          <w:szCs w:val="28"/>
        </w:rPr>
        <w:t>A</w:t>
      </w:r>
      <w:r>
        <w:rPr>
          <w:b/>
          <w:bCs/>
          <w:color w:val="933634"/>
          <w:sz w:val="28"/>
          <w:szCs w:val="28"/>
        </w:rPr>
        <w:t>,</w:t>
      </w:r>
      <w:r>
        <w:rPr>
          <w:b/>
          <w:bCs/>
          <w:color w:val="933634"/>
          <w:spacing w:val="-12"/>
          <w:sz w:val="28"/>
          <w:szCs w:val="28"/>
        </w:rPr>
        <w:t xml:space="preserve"> </w:t>
      </w:r>
      <w:r>
        <w:rPr>
          <w:b/>
          <w:bCs/>
          <w:color w:val="933634"/>
          <w:spacing w:val="2"/>
          <w:sz w:val="28"/>
          <w:szCs w:val="28"/>
        </w:rPr>
        <w:t>I</w:t>
      </w:r>
      <w:r>
        <w:rPr>
          <w:b/>
          <w:bCs/>
          <w:color w:val="933634"/>
          <w:sz w:val="28"/>
          <w:szCs w:val="28"/>
        </w:rPr>
        <w:t>R</w:t>
      </w:r>
      <w:r>
        <w:rPr>
          <w:b/>
          <w:bCs/>
          <w:color w:val="933634"/>
          <w:spacing w:val="-1"/>
          <w:sz w:val="28"/>
          <w:szCs w:val="28"/>
        </w:rPr>
        <w:t xml:space="preserve"> </w:t>
      </w:r>
      <w:r>
        <w:rPr>
          <w:b/>
          <w:bCs/>
          <w:color w:val="933634"/>
          <w:spacing w:val="2"/>
          <w:sz w:val="28"/>
          <w:szCs w:val="28"/>
        </w:rPr>
        <w:t>I</w:t>
      </w:r>
      <w:r>
        <w:rPr>
          <w:b/>
          <w:bCs/>
          <w:color w:val="933634"/>
          <w:sz w:val="28"/>
          <w:szCs w:val="28"/>
        </w:rPr>
        <w:t>Š</w:t>
      </w:r>
      <w:r>
        <w:rPr>
          <w:b/>
          <w:bCs/>
          <w:color w:val="933634"/>
          <w:spacing w:val="-3"/>
          <w:sz w:val="28"/>
          <w:szCs w:val="28"/>
        </w:rPr>
        <w:t>I</w:t>
      </w:r>
      <w:r>
        <w:rPr>
          <w:b/>
          <w:bCs/>
          <w:color w:val="933634"/>
          <w:spacing w:val="6"/>
          <w:sz w:val="28"/>
          <w:szCs w:val="28"/>
        </w:rPr>
        <w:t>M</w:t>
      </w:r>
      <w:r>
        <w:rPr>
          <w:b/>
          <w:bCs/>
          <w:color w:val="933634"/>
          <w:spacing w:val="-3"/>
          <w:sz w:val="28"/>
          <w:szCs w:val="28"/>
        </w:rPr>
        <w:t>T</w:t>
      </w:r>
      <w:r>
        <w:rPr>
          <w:b/>
          <w:bCs/>
          <w:color w:val="933634"/>
          <w:sz w:val="28"/>
          <w:szCs w:val="28"/>
        </w:rPr>
        <w:t>I</w:t>
      </w:r>
      <w:r>
        <w:rPr>
          <w:b/>
          <w:bCs/>
          <w:color w:val="933634"/>
          <w:spacing w:val="-5"/>
          <w:sz w:val="28"/>
          <w:szCs w:val="28"/>
        </w:rPr>
        <w:t xml:space="preserve"> </w:t>
      </w:r>
      <w:r>
        <w:rPr>
          <w:b/>
          <w:bCs/>
          <w:color w:val="933634"/>
          <w:spacing w:val="2"/>
          <w:sz w:val="28"/>
          <w:szCs w:val="28"/>
        </w:rPr>
        <w:t>I</w:t>
      </w:r>
      <w:r>
        <w:rPr>
          <w:b/>
          <w:bCs/>
          <w:color w:val="933634"/>
          <w:sz w:val="28"/>
          <w:szCs w:val="28"/>
        </w:rPr>
        <w:t>Š</w:t>
      </w:r>
      <w:r>
        <w:rPr>
          <w:b/>
          <w:bCs/>
          <w:color w:val="933634"/>
          <w:spacing w:val="-2"/>
          <w:sz w:val="28"/>
          <w:szCs w:val="28"/>
        </w:rPr>
        <w:t xml:space="preserve"> </w:t>
      </w:r>
      <w:r>
        <w:rPr>
          <w:b/>
          <w:bCs/>
          <w:color w:val="933634"/>
          <w:spacing w:val="-4"/>
          <w:sz w:val="28"/>
          <w:szCs w:val="28"/>
        </w:rPr>
        <w:t>A</w:t>
      </w:r>
      <w:r>
        <w:rPr>
          <w:b/>
          <w:bCs/>
          <w:color w:val="933634"/>
          <w:spacing w:val="3"/>
          <w:sz w:val="28"/>
          <w:szCs w:val="28"/>
        </w:rPr>
        <w:t>P</w:t>
      </w:r>
      <w:r>
        <w:rPr>
          <w:b/>
          <w:bCs/>
          <w:color w:val="933634"/>
          <w:sz w:val="28"/>
          <w:szCs w:val="28"/>
        </w:rPr>
        <w:t>Y</w:t>
      </w:r>
      <w:r>
        <w:rPr>
          <w:b/>
          <w:bCs/>
          <w:color w:val="933634"/>
          <w:spacing w:val="1"/>
          <w:sz w:val="28"/>
          <w:szCs w:val="28"/>
        </w:rPr>
        <w:t>V</w:t>
      </w:r>
      <w:r>
        <w:rPr>
          <w:b/>
          <w:bCs/>
          <w:color w:val="933634"/>
          <w:sz w:val="28"/>
          <w:szCs w:val="28"/>
        </w:rPr>
        <w:t>A</w:t>
      </w:r>
      <w:r>
        <w:rPr>
          <w:b/>
          <w:bCs/>
          <w:color w:val="933634"/>
          <w:spacing w:val="1"/>
          <w:sz w:val="28"/>
          <w:szCs w:val="28"/>
        </w:rPr>
        <w:t>RT</w:t>
      </w:r>
      <w:r>
        <w:rPr>
          <w:b/>
          <w:bCs/>
          <w:color w:val="933634"/>
          <w:sz w:val="28"/>
          <w:szCs w:val="28"/>
        </w:rPr>
        <w:t>OS</w:t>
      </w:r>
      <w:r>
        <w:rPr>
          <w:b/>
          <w:bCs/>
          <w:color w:val="933634"/>
          <w:spacing w:val="-17"/>
          <w:sz w:val="28"/>
          <w:szCs w:val="28"/>
        </w:rPr>
        <w:t xml:space="preserve"> </w:t>
      </w:r>
      <w:r>
        <w:rPr>
          <w:b/>
          <w:bCs/>
          <w:color w:val="933634"/>
          <w:w w:val="99"/>
          <w:sz w:val="28"/>
          <w:szCs w:val="28"/>
        </w:rPr>
        <w:t>K</w:t>
      </w:r>
      <w:r>
        <w:rPr>
          <w:b/>
          <w:bCs/>
          <w:color w:val="933634"/>
          <w:spacing w:val="5"/>
          <w:w w:val="99"/>
          <w:sz w:val="28"/>
          <w:szCs w:val="28"/>
        </w:rPr>
        <w:t>I</w:t>
      </w:r>
      <w:r>
        <w:rPr>
          <w:b/>
          <w:bCs/>
          <w:color w:val="933634"/>
          <w:spacing w:val="1"/>
          <w:w w:val="99"/>
          <w:sz w:val="28"/>
          <w:szCs w:val="28"/>
        </w:rPr>
        <w:t>E</w:t>
      </w:r>
      <w:r>
        <w:rPr>
          <w:b/>
          <w:bCs/>
          <w:color w:val="933634"/>
          <w:w w:val="99"/>
          <w:sz w:val="28"/>
          <w:szCs w:val="28"/>
        </w:rPr>
        <w:t>K</w:t>
      </w:r>
      <w:r>
        <w:rPr>
          <w:b/>
          <w:bCs/>
          <w:color w:val="933634"/>
          <w:spacing w:val="1"/>
          <w:w w:val="99"/>
          <w:sz w:val="28"/>
          <w:szCs w:val="28"/>
        </w:rPr>
        <w:t>I</w:t>
      </w:r>
      <w:r>
        <w:rPr>
          <w:b/>
          <w:bCs/>
          <w:color w:val="933634"/>
          <w:w w:val="99"/>
          <w:sz w:val="28"/>
          <w:szCs w:val="28"/>
        </w:rPr>
        <w:t>AI</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49" w:firstLine="721"/>
        <w:jc w:val="both"/>
        <w:rPr>
          <w:color w:val="000000"/>
        </w:rPr>
      </w:pPr>
      <w:r>
        <w:rPr>
          <w:color w:val="000000"/>
          <w:spacing w:val="-2"/>
        </w:rPr>
        <w:t>J</w:t>
      </w:r>
      <w:r>
        <w:rPr>
          <w:color w:val="000000"/>
          <w:spacing w:val="-1"/>
        </w:rPr>
        <w:t>a</w:t>
      </w:r>
      <w:r>
        <w:rPr>
          <w:color w:val="000000"/>
        </w:rPr>
        <w:t>u</w:t>
      </w:r>
      <w:r>
        <w:rPr>
          <w:color w:val="000000"/>
          <w:spacing w:val="2"/>
        </w:rPr>
        <w:t xml:space="preserve"> </w:t>
      </w:r>
      <w:r>
        <w:rPr>
          <w:color w:val="000000"/>
        </w:rPr>
        <w:t>p</w:t>
      </w:r>
      <w:r>
        <w:rPr>
          <w:color w:val="000000"/>
          <w:spacing w:val="1"/>
        </w:rPr>
        <w:t>r</w:t>
      </w:r>
      <w:r>
        <w:rPr>
          <w:color w:val="000000"/>
          <w:spacing w:val="-1"/>
        </w:rPr>
        <w:t>a</w:t>
      </w:r>
      <w:r>
        <w:rPr>
          <w:color w:val="000000"/>
        </w:rPr>
        <w:t>b</w:t>
      </w:r>
      <w:r>
        <w:rPr>
          <w:color w:val="000000"/>
          <w:spacing w:val="-1"/>
        </w:rPr>
        <w:t>ė</w:t>
      </w:r>
      <w:r>
        <w:rPr>
          <w:color w:val="000000"/>
        </w:rPr>
        <w:t>go</w:t>
      </w:r>
      <w:r>
        <w:rPr>
          <w:color w:val="000000"/>
          <w:spacing w:val="7"/>
        </w:rPr>
        <w:t xml:space="preserve"> </w:t>
      </w:r>
      <w:r>
        <w:rPr>
          <w:color w:val="000000"/>
          <w:spacing w:val="-1"/>
        </w:rPr>
        <w:t>a</w:t>
      </w:r>
      <w:r>
        <w:rPr>
          <w:color w:val="000000"/>
        </w:rPr>
        <w:t>p</w:t>
      </w:r>
      <w:r>
        <w:rPr>
          <w:color w:val="000000"/>
          <w:spacing w:val="-4"/>
        </w:rPr>
        <w:t>i</w:t>
      </w:r>
      <w:r>
        <w:rPr>
          <w:color w:val="000000"/>
        </w:rPr>
        <w:t>e</w:t>
      </w:r>
      <w:r>
        <w:rPr>
          <w:color w:val="000000"/>
          <w:spacing w:val="1"/>
        </w:rPr>
        <w:t xml:space="preserve"> </w:t>
      </w:r>
      <w:r>
        <w:rPr>
          <w:color w:val="000000"/>
        </w:rPr>
        <w:t>20</w:t>
      </w:r>
      <w:r>
        <w:rPr>
          <w:color w:val="000000"/>
          <w:spacing w:val="7"/>
        </w:rPr>
        <w:t xml:space="preserve"> </w:t>
      </w:r>
      <w:r>
        <w:rPr>
          <w:color w:val="000000"/>
          <w:spacing w:val="-9"/>
        </w:rPr>
        <w:t>m</w:t>
      </w:r>
      <w:r>
        <w:rPr>
          <w:color w:val="000000"/>
          <w:spacing w:val="-1"/>
        </w:rPr>
        <w:t>e</w:t>
      </w:r>
      <w:r>
        <w:rPr>
          <w:color w:val="000000"/>
          <w:spacing w:val="5"/>
        </w:rPr>
        <w:t>t</w:t>
      </w:r>
      <w:r>
        <w:rPr>
          <w:color w:val="000000"/>
        </w:rPr>
        <w:t>ų</w:t>
      </w:r>
      <w:r>
        <w:rPr>
          <w:color w:val="000000"/>
          <w:spacing w:val="2"/>
        </w:rPr>
        <w:t xml:space="preserve"> </w:t>
      </w:r>
      <w:r>
        <w:rPr>
          <w:color w:val="000000"/>
          <w:spacing w:val="3"/>
        </w:rPr>
        <w:t>k</w:t>
      </w:r>
      <w:r>
        <w:rPr>
          <w:color w:val="000000"/>
        </w:rPr>
        <w:t>u</w:t>
      </w:r>
      <w:r>
        <w:rPr>
          <w:color w:val="000000"/>
          <w:spacing w:val="5"/>
        </w:rPr>
        <w:t>o</w:t>
      </w:r>
      <w:r>
        <w:rPr>
          <w:color w:val="000000"/>
          <w:spacing w:val="-9"/>
        </w:rPr>
        <w:t>m</w:t>
      </w:r>
      <w:r>
        <w:rPr>
          <w:color w:val="000000"/>
          <w:spacing w:val="-1"/>
        </w:rPr>
        <w:t>e</w:t>
      </w:r>
      <w:r>
        <w:rPr>
          <w:color w:val="000000"/>
        </w:rPr>
        <w:t>t</w:t>
      </w:r>
      <w:r>
        <w:rPr>
          <w:color w:val="000000"/>
          <w:spacing w:val="13"/>
        </w:rPr>
        <w:t xml:space="preserve"> </w:t>
      </w:r>
      <w:r>
        <w:rPr>
          <w:color w:val="000000"/>
          <w:spacing w:val="-9"/>
        </w:rPr>
        <w:t>m</w:t>
      </w:r>
      <w:r>
        <w:rPr>
          <w:color w:val="000000"/>
        </w:rPr>
        <w:t>ū</w:t>
      </w:r>
      <w:r>
        <w:rPr>
          <w:color w:val="000000"/>
          <w:spacing w:val="-2"/>
        </w:rPr>
        <w:t>s</w:t>
      </w:r>
      <w:r>
        <w:rPr>
          <w:color w:val="000000"/>
        </w:rPr>
        <w:t>ų</w:t>
      </w:r>
      <w:r>
        <w:rPr>
          <w:color w:val="000000"/>
          <w:spacing w:val="7"/>
        </w:rPr>
        <w:t xml:space="preserve"> </w:t>
      </w:r>
      <w:r>
        <w:rPr>
          <w:color w:val="000000"/>
          <w:spacing w:val="-2"/>
        </w:rPr>
        <w:t>š</w:t>
      </w:r>
      <w:r>
        <w:rPr>
          <w:color w:val="000000"/>
          <w:spacing w:val="4"/>
        </w:rPr>
        <w:t>a</w:t>
      </w:r>
      <w:r>
        <w:rPr>
          <w:color w:val="000000"/>
        </w:rPr>
        <w:t>ly</w:t>
      </w:r>
      <w:r>
        <w:rPr>
          <w:color w:val="000000"/>
          <w:spacing w:val="-4"/>
        </w:rPr>
        <w:t>j</w:t>
      </w:r>
      <w:r>
        <w:rPr>
          <w:color w:val="000000"/>
        </w:rPr>
        <w:t>e</w:t>
      </w:r>
      <w:r>
        <w:rPr>
          <w:color w:val="000000"/>
          <w:spacing w:val="1"/>
        </w:rPr>
        <w:t xml:space="preserve"> </w:t>
      </w:r>
      <w:r>
        <w:rPr>
          <w:color w:val="000000"/>
        </w:rPr>
        <w:t>p</w:t>
      </w:r>
      <w:r>
        <w:rPr>
          <w:color w:val="000000"/>
          <w:spacing w:val="1"/>
        </w:rPr>
        <w:t>r</w:t>
      </w:r>
      <w:r>
        <w:rPr>
          <w:color w:val="000000"/>
          <w:spacing w:val="-1"/>
        </w:rPr>
        <w:t>a</w:t>
      </w:r>
      <w:r>
        <w:rPr>
          <w:color w:val="000000"/>
        </w:rPr>
        <w:t>d</w:t>
      </w:r>
      <w:r>
        <w:rPr>
          <w:color w:val="000000"/>
          <w:spacing w:val="4"/>
        </w:rPr>
        <w:t>ė</w:t>
      </w:r>
      <w:r>
        <w:rPr>
          <w:color w:val="000000"/>
          <w:spacing w:val="-9"/>
        </w:rPr>
        <w:t>j</w:t>
      </w:r>
      <w:r>
        <w:rPr>
          <w:color w:val="000000"/>
        </w:rPr>
        <w:t>o</w:t>
      </w:r>
      <w:r>
        <w:rPr>
          <w:color w:val="000000"/>
          <w:spacing w:val="7"/>
        </w:rPr>
        <w:t xml:space="preserve"> </w:t>
      </w:r>
      <w:r>
        <w:rPr>
          <w:color w:val="000000"/>
          <w:spacing w:val="6"/>
        </w:rPr>
        <w:t>r</w:t>
      </w:r>
      <w:r>
        <w:rPr>
          <w:color w:val="000000"/>
          <w:spacing w:val="-10"/>
        </w:rPr>
        <w:t>y</w:t>
      </w:r>
      <w:r>
        <w:rPr>
          <w:color w:val="000000"/>
          <w:spacing w:val="-2"/>
        </w:rPr>
        <w:t>š</w:t>
      </w:r>
      <w:r>
        <w:rPr>
          <w:color w:val="000000"/>
        </w:rPr>
        <w:t>k</w:t>
      </w:r>
      <w:r>
        <w:rPr>
          <w:color w:val="000000"/>
          <w:spacing w:val="-1"/>
        </w:rPr>
        <w:t>ė</w:t>
      </w:r>
      <w:r>
        <w:rPr>
          <w:color w:val="000000"/>
          <w:spacing w:val="10"/>
        </w:rPr>
        <w:t>t</w:t>
      </w:r>
      <w:r>
        <w:rPr>
          <w:color w:val="000000"/>
        </w:rPr>
        <w:t>i</w:t>
      </w:r>
      <w:r>
        <w:rPr>
          <w:color w:val="000000"/>
          <w:spacing w:val="-2"/>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2"/>
        </w:rPr>
        <w:t xml:space="preserve"> </w:t>
      </w:r>
      <w:r>
        <w:rPr>
          <w:color w:val="000000"/>
        </w:rPr>
        <w:t>p</w:t>
      </w:r>
      <w:r>
        <w:rPr>
          <w:color w:val="000000"/>
          <w:spacing w:val="1"/>
        </w:rPr>
        <w:t>r</w:t>
      </w:r>
      <w:r>
        <w:rPr>
          <w:color w:val="000000"/>
          <w:spacing w:val="5"/>
        </w:rPr>
        <w:t>o</w:t>
      </w:r>
      <w:r>
        <w:rPr>
          <w:color w:val="000000"/>
        </w:rPr>
        <w:t>b</w:t>
      </w:r>
      <w:r>
        <w:rPr>
          <w:color w:val="000000"/>
          <w:spacing w:val="-9"/>
        </w:rPr>
        <w:t>l</w:t>
      </w:r>
      <w:r>
        <w:rPr>
          <w:color w:val="000000"/>
          <w:spacing w:val="4"/>
        </w:rPr>
        <w:t>e</w:t>
      </w:r>
      <w:r>
        <w:rPr>
          <w:color w:val="000000"/>
          <w:spacing w:val="-4"/>
        </w:rPr>
        <w:t>m</w:t>
      </w:r>
      <w:r>
        <w:rPr>
          <w:color w:val="000000"/>
          <w:spacing w:val="-1"/>
        </w:rPr>
        <w:t>a</w:t>
      </w:r>
      <w:r>
        <w:rPr>
          <w:color w:val="000000"/>
        </w:rPr>
        <w:t>.</w:t>
      </w:r>
      <w:r>
        <w:rPr>
          <w:color w:val="000000"/>
          <w:spacing w:val="4"/>
        </w:rPr>
        <w:t xml:space="preserve"> </w:t>
      </w:r>
      <w:r>
        <w:rPr>
          <w:color w:val="000000"/>
          <w:spacing w:val="1"/>
        </w:rPr>
        <w:t>Pr</w:t>
      </w:r>
      <w:r>
        <w:rPr>
          <w:color w:val="000000"/>
          <w:spacing w:val="-1"/>
        </w:rPr>
        <w:t>a</w:t>
      </w:r>
      <w:r>
        <w:rPr>
          <w:color w:val="000000"/>
        </w:rPr>
        <w:t>d</w:t>
      </w:r>
      <w:r>
        <w:rPr>
          <w:color w:val="000000"/>
          <w:spacing w:val="4"/>
        </w:rPr>
        <w:t>ž</w:t>
      </w:r>
      <w:r>
        <w:rPr>
          <w:color w:val="000000"/>
          <w:spacing w:val="-9"/>
        </w:rPr>
        <w:t>i</w:t>
      </w:r>
      <w:r>
        <w:rPr>
          <w:color w:val="000000"/>
          <w:spacing w:val="9"/>
        </w:rPr>
        <w:t>o</w:t>
      </w:r>
      <w:r>
        <w:rPr>
          <w:color w:val="000000"/>
          <w:spacing w:val="-4"/>
        </w:rPr>
        <w:t>j</w:t>
      </w:r>
      <w:r>
        <w:rPr>
          <w:color w:val="000000"/>
        </w:rPr>
        <w:t>e ji</w:t>
      </w:r>
      <w:r>
        <w:rPr>
          <w:color w:val="000000"/>
          <w:spacing w:val="5"/>
        </w:rPr>
        <w:t xml:space="preserve"> </w:t>
      </w:r>
      <w:r>
        <w:rPr>
          <w:color w:val="000000"/>
          <w:spacing w:val="-5"/>
        </w:rPr>
        <w:t>b</w:t>
      </w:r>
      <w:r>
        <w:rPr>
          <w:color w:val="000000"/>
          <w:spacing w:val="5"/>
        </w:rPr>
        <w:t>u</w:t>
      </w:r>
      <w:r>
        <w:rPr>
          <w:color w:val="000000"/>
          <w:spacing w:val="-5"/>
        </w:rPr>
        <w:t>v</w:t>
      </w:r>
      <w:r>
        <w:rPr>
          <w:color w:val="000000"/>
        </w:rPr>
        <w:t>o</w:t>
      </w:r>
      <w:r>
        <w:rPr>
          <w:color w:val="000000"/>
          <w:spacing w:val="9"/>
        </w:rPr>
        <w:t xml:space="preserve"> </w:t>
      </w:r>
      <w:r>
        <w:rPr>
          <w:color w:val="000000"/>
          <w:spacing w:val="-5"/>
        </w:rPr>
        <w:t>n</w:t>
      </w:r>
      <w:r>
        <w:rPr>
          <w:color w:val="000000"/>
          <w:spacing w:val="-1"/>
        </w:rPr>
        <w:t>e</w:t>
      </w:r>
      <w:r>
        <w:rPr>
          <w:color w:val="000000"/>
          <w:spacing w:val="4"/>
        </w:rPr>
        <w:t>ž</w:t>
      </w:r>
      <w:r>
        <w:rPr>
          <w:color w:val="000000"/>
        </w:rPr>
        <w:t>ymi</w:t>
      </w:r>
      <w:r>
        <w:rPr>
          <w:color w:val="000000"/>
          <w:spacing w:val="5"/>
        </w:rPr>
        <w:t xml:space="preserve"> </w:t>
      </w:r>
      <w:r>
        <w:rPr>
          <w:color w:val="000000"/>
          <w:spacing w:val="-4"/>
        </w:rPr>
        <w:t>i</w:t>
      </w:r>
      <w:r>
        <w:rPr>
          <w:color w:val="000000"/>
        </w:rPr>
        <w:t>r</w:t>
      </w:r>
      <w:r>
        <w:rPr>
          <w:color w:val="000000"/>
          <w:spacing w:val="10"/>
        </w:rPr>
        <w:t xml:space="preserve"> </w:t>
      </w:r>
      <w:r>
        <w:rPr>
          <w:color w:val="000000"/>
          <w:spacing w:val="-5"/>
        </w:rPr>
        <w:t>n</w:t>
      </w:r>
      <w:r>
        <w:rPr>
          <w:color w:val="000000"/>
          <w:spacing w:val="-1"/>
        </w:rPr>
        <w:t>ea</w:t>
      </w:r>
      <w:r>
        <w:rPr>
          <w:color w:val="000000"/>
          <w:spacing w:val="5"/>
        </w:rPr>
        <w:t>t</w:t>
      </w:r>
      <w:r>
        <w:rPr>
          <w:color w:val="000000"/>
          <w:spacing w:val="1"/>
        </w:rPr>
        <w:t>r</w:t>
      </w:r>
      <w:r>
        <w:rPr>
          <w:color w:val="000000"/>
          <w:spacing w:val="5"/>
        </w:rPr>
        <w:t>o</w:t>
      </w:r>
      <w:r>
        <w:rPr>
          <w:color w:val="000000"/>
        </w:rPr>
        <w:t>dė</w:t>
      </w:r>
      <w:r>
        <w:rPr>
          <w:color w:val="000000"/>
          <w:spacing w:val="3"/>
        </w:rPr>
        <w:t xml:space="preserve"> </w:t>
      </w:r>
      <w:r>
        <w:rPr>
          <w:color w:val="000000"/>
          <w:spacing w:val="-3"/>
        </w:rPr>
        <w:t>(</w:t>
      </w:r>
      <w:r>
        <w:rPr>
          <w:color w:val="000000"/>
        </w:rPr>
        <w:t>o</w:t>
      </w:r>
      <w:r>
        <w:rPr>
          <w:color w:val="000000"/>
          <w:spacing w:val="9"/>
        </w:rPr>
        <w:t xml:space="preserve"> </w:t>
      </w:r>
      <w:r>
        <w:rPr>
          <w:color w:val="000000"/>
        </w:rPr>
        <w:t>g</w:t>
      </w:r>
      <w:r>
        <w:rPr>
          <w:color w:val="000000"/>
          <w:spacing w:val="-1"/>
        </w:rPr>
        <w:t>a</w:t>
      </w:r>
      <w:r>
        <w:rPr>
          <w:color w:val="000000"/>
        </w:rPr>
        <w:t>l n</w:t>
      </w:r>
      <w:r>
        <w:rPr>
          <w:color w:val="000000"/>
          <w:spacing w:val="-4"/>
        </w:rPr>
        <w:t>i</w:t>
      </w:r>
      <w:r>
        <w:rPr>
          <w:color w:val="000000"/>
          <w:spacing w:val="-1"/>
        </w:rPr>
        <w:t>e</w:t>
      </w:r>
      <w:r>
        <w:rPr>
          <w:color w:val="000000"/>
        </w:rPr>
        <w:t>k</w:t>
      </w:r>
      <w:r>
        <w:rPr>
          <w:color w:val="000000"/>
          <w:spacing w:val="-1"/>
        </w:rPr>
        <w:t>a</w:t>
      </w:r>
      <w:r>
        <w:rPr>
          <w:color w:val="000000"/>
        </w:rPr>
        <w:t>s</w:t>
      </w:r>
      <w:r>
        <w:rPr>
          <w:color w:val="000000"/>
          <w:spacing w:val="7"/>
        </w:rPr>
        <w:t xml:space="preserve"> </w:t>
      </w:r>
      <w:r>
        <w:rPr>
          <w:color w:val="000000"/>
        </w:rPr>
        <w:t>n</w:t>
      </w:r>
      <w:r>
        <w:rPr>
          <w:color w:val="000000"/>
          <w:spacing w:val="-1"/>
        </w:rPr>
        <w:t>e</w:t>
      </w:r>
      <w:r>
        <w:rPr>
          <w:color w:val="000000"/>
          <w:spacing w:val="2"/>
        </w:rPr>
        <w:t>s</w:t>
      </w:r>
      <w:r>
        <w:rPr>
          <w:color w:val="000000"/>
          <w:spacing w:val="-9"/>
        </w:rPr>
        <w:t>i</w:t>
      </w:r>
      <w:r>
        <w:rPr>
          <w:color w:val="000000"/>
          <w:spacing w:val="10"/>
        </w:rPr>
        <w:t>t</w:t>
      </w:r>
      <w:r>
        <w:rPr>
          <w:color w:val="000000"/>
          <w:spacing w:val="-4"/>
        </w:rPr>
        <w:t>i</w:t>
      </w:r>
      <w:r>
        <w:rPr>
          <w:color w:val="000000"/>
        </w:rPr>
        <w:t>k</w:t>
      </w:r>
      <w:r>
        <w:rPr>
          <w:color w:val="000000"/>
          <w:spacing w:val="4"/>
        </w:rPr>
        <w:t>ė</w:t>
      </w:r>
      <w:r>
        <w:rPr>
          <w:color w:val="000000"/>
          <w:spacing w:val="-9"/>
        </w:rPr>
        <w:t>j</w:t>
      </w:r>
      <w:r>
        <w:rPr>
          <w:color w:val="000000"/>
          <w:spacing w:val="9"/>
        </w:rPr>
        <w:t>o</w:t>
      </w:r>
      <w:r>
        <w:rPr>
          <w:color w:val="000000"/>
          <w:spacing w:val="-6"/>
        </w:rPr>
        <w:t>?</w:t>
      </w:r>
      <w:r>
        <w:rPr>
          <w:color w:val="000000"/>
        </w:rPr>
        <w:t>)</w:t>
      </w:r>
      <w:r>
        <w:rPr>
          <w:color w:val="000000"/>
          <w:spacing w:val="5"/>
        </w:rPr>
        <w:t xml:space="preserve"> </w:t>
      </w:r>
      <w:r>
        <w:rPr>
          <w:color w:val="000000"/>
        </w:rPr>
        <w:t>k</w:t>
      </w:r>
      <w:r>
        <w:rPr>
          <w:color w:val="000000"/>
          <w:spacing w:val="-1"/>
        </w:rPr>
        <w:t>a</w:t>
      </w:r>
      <w:r>
        <w:rPr>
          <w:color w:val="000000"/>
        </w:rPr>
        <w:t>d</w:t>
      </w:r>
      <w:r>
        <w:rPr>
          <w:color w:val="000000"/>
          <w:spacing w:val="4"/>
        </w:rPr>
        <w:t xml:space="preserve"> </w:t>
      </w:r>
      <w:r>
        <w:rPr>
          <w:color w:val="000000"/>
        </w:rPr>
        <w:t>g</w:t>
      </w:r>
      <w:r>
        <w:rPr>
          <w:color w:val="000000"/>
          <w:spacing w:val="4"/>
        </w:rPr>
        <w:t>a</w:t>
      </w:r>
      <w:r>
        <w:rPr>
          <w:color w:val="000000"/>
          <w:spacing w:val="-4"/>
        </w:rPr>
        <w:t>l</w:t>
      </w:r>
      <w:r>
        <w:rPr>
          <w:color w:val="000000"/>
          <w:spacing w:val="-1"/>
        </w:rPr>
        <w:t>ė</w:t>
      </w:r>
      <w:r>
        <w:rPr>
          <w:color w:val="000000"/>
          <w:spacing w:val="5"/>
        </w:rPr>
        <w:t>t</w:t>
      </w:r>
      <w:r>
        <w:rPr>
          <w:color w:val="000000"/>
        </w:rPr>
        <w:t>ų</w:t>
      </w:r>
      <w:r>
        <w:rPr>
          <w:color w:val="000000"/>
          <w:spacing w:val="4"/>
        </w:rPr>
        <w:t xml:space="preserve"> </w:t>
      </w:r>
      <w:r>
        <w:rPr>
          <w:color w:val="000000"/>
          <w:spacing w:val="5"/>
        </w:rPr>
        <w:t>g</w:t>
      </w:r>
      <w:r>
        <w:rPr>
          <w:color w:val="000000"/>
          <w:spacing w:val="-4"/>
        </w:rPr>
        <w:t>il</w:t>
      </w:r>
      <w:r>
        <w:rPr>
          <w:color w:val="000000"/>
          <w:spacing w:val="-1"/>
        </w:rPr>
        <w:t>ė</w:t>
      </w:r>
      <w:r>
        <w:rPr>
          <w:color w:val="000000"/>
          <w:spacing w:val="10"/>
        </w:rPr>
        <w:t>t</w:t>
      </w:r>
      <w:r>
        <w:rPr>
          <w:color w:val="000000"/>
          <w:spacing w:val="-9"/>
        </w:rPr>
        <w:t>i</w:t>
      </w:r>
      <w:r>
        <w:rPr>
          <w:color w:val="000000"/>
        </w:rPr>
        <w:t>.</w:t>
      </w:r>
      <w:r>
        <w:rPr>
          <w:color w:val="000000"/>
          <w:spacing w:val="6"/>
        </w:rPr>
        <w:t xml:space="preserve"> </w:t>
      </w:r>
      <w:r>
        <w:rPr>
          <w:color w:val="000000"/>
          <w:spacing w:val="-2"/>
        </w:rPr>
        <w:t>J</w:t>
      </w:r>
      <w:r>
        <w:rPr>
          <w:color w:val="000000"/>
        </w:rPr>
        <w:t>uk</w:t>
      </w:r>
      <w:r>
        <w:rPr>
          <w:color w:val="000000"/>
          <w:spacing w:val="4"/>
        </w:rPr>
        <w:t xml:space="preserve"> </w:t>
      </w:r>
      <w:r>
        <w:rPr>
          <w:color w:val="000000"/>
          <w:spacing w:val="5"/>
        </w:rPr>
        <w:t>t</w:t>
      </w:r>
      <w:r>
        <w:rPr>
          <w:color w:val="000000"/>
        </w:rPr>
        <w:t>uo</w:t>
      </w:r>
      <w:r>
        <w:rPr>
          <w:color w:val="000000"/>
          <w:spacing w:val="9"/>
        </w:rPr>
        <w:t xml:space="preserve"> </w:t>
      </w:r>
      <w:r>
        <w:rPr>
          <w:color w:val="000000"/>
          <w:spacing w:val="-9"/>
        </w:rPr>
        <w:t>m</w:t>
      </w:r>
      <w:r>
        <w:rPr>
          <w:color w:val="000000"/>
          <w:spacing w:val="-1"/>
        </w:rPr>
        <w:t>e</w:t>
      </w:r>
      <w:r>
        <w:rPr>
          <w:color w:val="000000"/>
          <w:spacing w:val="5"/>
        </w:rPr>
        <w:t>t</w:t>
      </w:r>
      <w:r>
        <w:rPr>
          <w:color w:val="000000"/>
        </w:rPr>
        <w:t>u</w:t>
      </w:r>
      <w:r>
        <w:rPr>
          <w:color w:val="000000"/>
          <w:spacing w:val="4"/>
        </w:rPr>
        <w:t xml:space="preserve"> </w:t>
      </w:r>
      <w:r>
        <w:rPr>
          <w:color w:val="000000"/>
        </w:rPr>
        <w:t>v</w:t>
      </w:r>
      <w:r>
        <w:rPr>
          <w:color w:val="000000"/>
          <w:spacing w:val="-4"/>
        </w:rPr>
        <w:t>i</w:t>
      </w:r>
      <w:r>
        <w:rPr>
          <w:color w:val="000000"/>
          <w:spacing w:val="4"/>
        </w:rPr>
        <w:t>e</w:t>
      </w:r>
      <w:r>
        <w:rPr>
          <w:color w:val="000000"/>
          <w:spacing w:val="-5"/>
        </w:rPr>
        <w:t>n</w:t>
      </w:r>
      <w:r>
        <w:rPr>
          <w:color w:val="000000"/>
          <w:spacing w:val="4"/>
        </w:rPr>
        <w:t>a</w:t>
      </w:r>
      <w:r>
        <w:rPr>
          <w:color w:val="000000"/>
        </w:rPr>
        <w:t>s</w:t>
      </w:r>
      <w:r>
        <w:rPr>
          <w:color w:val="000000"/>
          <w:spacing w:val="2"/>
        </w:rPr>
        <w:t xml:space="preserve"> </w:t>
      </w:r>
      <w:r>
        <w:rPr>
          <w:color w:val="000000"/>
          <w:spacing w:val="5"/>
        </w:rPr>
        <w:t>p</w:t>
      </w:r>
      <w:r>
        <w:rPr>
          <w:color w:val="000000"/>
          <w:spacing w:val="-9"/>
        </w:rPr>
        <w:t>i</w:t>
      </w:r>
      <w:r>
        <w:rPr>
          <w:color w:val="000000"/>
          <w:spacing w:val="6"/>
        </w:rPr>
        <w:t>r</w:t>
      </w:r>
      <w:r>
        <w:rPr>
          <w:color w:val="000000"/>
          <w:spacing w:val="-4"/>
        </w:rPr>
        <w:t>m</w:t>
      </w:r>
      <w:r>
        <w:rPr>
          <w:color w:val="000000"/>
          <w:spacing w:val="5"/>
        </w:rPr>
        <w:t>ų</w:t>
      </w:r>
      <w:r>
        <w:rPr>
          <w:color w:val="000000"/>
          <w:spacing w:val="-4"/>
        </w:rPr>
        <w:t>j</w:t>
      </w:r>
      <w:r>
        <w:rPr>
          <w:color w:val="000000"/>
        </w:rPr>
        <w:t>ų, v</w:t>
      </w:r>
      <w:r>
        <w:rPr>
          <w:color w:val="000000"/>
          <w:spacing w:val="-4"/>
        </w:rPr>
        <w:t>i</w:t>
      </w:r>
      <w:r>
        <w:rPr>
          <w:color w:val="000000"/>
          <w:spacing w:val="4"/>
        </w:rPr>
        <w:t>e</w:t>
      </w:r>
      <w:r>
        <w:rPr>
          <w:color w:val="000000"/>
          <w:spacing w:val="-5"/>
        </w:rPr>
        <w:t>n</w:t>
      </w:r>
      <w:r>
        <w:rPr>
          <w:color w:val="000000"/>
          <w:spacing w:val="4"/>
        </w:rPr>
        <w:t>a</w:t>
      </w:r>
      <w:r>
        <w:rPr>
          <w:color w:val="000000"/>
        </w:rPr>
        <w:t xml:space="preserve">s </w:t>
      </w:r>
      <w:r>
        <w:rPr>
          <w:color w:val="000000"/>
          <w:spacing w:val="17"/>
        </w:rPr>
        <w:t xml:space="preserve"> </w:t>
      </w:r>
      <w:r>
        <w:rPr>
          <w:color w:val="000000"/>
        </w:rPr>
        <w:t>p</w:t>
      </w:r>
      <w:r>
        <w:rPr>
          <w:color w:val="000000"/>
          <w:spacing w:val="-1"/>
        </w:rPr>
        <w:t>a</w:t>
      </w:r>
      <w:r>
        <w:rPr>
          <w:color w:val="000000"/>
        </w:rPr>
        <w:t>g</w:t>
      </w:r>
      <w:r>
        <w:rPr>
          <w:color w:val="000000"/>
          <w:spacing w:val="6"/>
        </w:rPr>
        <w:t>r</w:t>
      </w:r>
      <w:r>
        <w:rPr>
          <w:color w:val="000000"/>
          <w:spacing w:val="-4"/>
        </w:rPr>
        <w:t>i</w:t>
      </w:r>
      <w:r>
        <w:rPr>
          <w:color w:val="000000"/>
        </w:rPr>
        <w:t>n</w:t>
      </w:r>
      <w:r>
        <w:rPr>
          <w:color w:val="000000"/>
          <w:spacing w:val="5"/>
        </w:rPr>
        <w:t>d</w:t>
      </w:r>
      <w:r>
        <w:rPr>
          <w:color w:val="000000"/>
          <w:spacing w:val="-4"/>
        </w:rPr>
        <w:t>i</w:t>
      </w:r>
      <w:r>
        <w:rPr>
          <w:color w:val="000000"/>
        </w:rPr>
        <w:t>n</w:t>
      </w:r>
      <w:r>
        <w:rPr>
          <w:color w:val="000000"/>
          <w:spacing w:val="-4"/>
        </w:rPr>
        <w:t>i</w:t>
      </w:r>
      <w:r>
        <w:rPr>
          <w:color w:val="000000"/>
        </w:rPr>
        <w:t xml:space="preserve">ų </w:t>
      </w:r>
      <w:r>
        <w:rPr>
          <w:color w:val="000000"/>
          <w:spacing w:val="28"/>
        </w:rPr>
        <w:t xml:space="preserve"> </w:t>
      </w:r>
      <w:r>
        <w:rPr>
          <w:color w:val="000000"/>
          <w:spacing w:val="-9"/>
        </w:rPr>
        <w:t>i</w:t>
      </w:r>
      <w:r>
        <w:rPr>
          <w:color w:val="000000"/>
          <w:spacing w:val="1"/>
        </w:rPr>
        <w:t>r</w:t>
      </w:r>
      <w:r>
        <w:rPr>
          <w:color w:val="000000"/>
        </w:rPr>
        <w:t xml:space="preserve">, </w:t>
      </w:r>
      <w:r>
        <w:rPr>
          <w:color w:val="000000"/>
          <w:spacing w:val="21"/>
        </w:rPr>
        <w:t xml:space="preserve"> </w:t>
      </w:r>
      <w:r>
        <w:rPr>
          <w:color w:val="000000"/>
        </w:rPr>
        <w:t>k</w:t>
      </w:r>
      <w:r>
        <w:rPr>
          <w:color w:val="000000"/>
          <w:spacing w:val="4"/>
        </w:rPr>
        <w:t>a</w:t>
      </w:r>
      <w:r>
        <w:rPr>
          <w:color w:val="000000"/>
          <w:spacing w:val="-4"/>
        </w:rPr>
        <w:t>i</w:t>
      </w:r>
      <w:r>
        <w:rPr>
          <w:color w:val="000000"/>
        </w:rPr>
        <w:t xml:space="preserve">p </w:t>
      </w:r>
      <w:r>
        <w:rPr>
          <w:color w:val="000000"/>
          <w:spacing w:val="24"/>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28"/>
        </w:rPr>
        <w:t xml:space="preserve"> </w:t>
      </w:r>
      <w:r>
        <w:rPr>
          <w:color w:val="000000"/>
          <w:spacing w:val="-9"/>
        </w:rPr>
        <w:t>m</w:t>
      </w:r>
      <w:r>
        <w:rPr>
          <w:color w:val="000000"/>
          <w:spacing w:val="4"/>
        </w:rPr>
        <w:t>a</w:t>
      </w:r>
      <w:r>
        <w:rPr>
          <w:color w:val="000000"/>
          <w:spacing w:val="-5"/>
        </w:rPr>
        <w:t>n</w:t>
      </w:r>
      <w:r>
        <w:rPr>
          <w:color w:val="000000"/>
        </w:rPr>
        <w:t>o</w:t>
      </w:r>
      <w:r>
        <w:rPr>
          <w:color w:val="000000"/>
          <w:spacing w:val="-45"/>
        </w:rPr>
        <w:t xml:space="preserve"> </w:t>
      </w:r>
      <w:r>
        <w:rPr>
          <w:color w:val="000000"/>
          <w:spacing w:val="-9"/>
        </w:rPr>
        <w:t>m</w:t>
      </w:r>
      <w:r>
        <w:rPr>
          <w:color w:val="000000"/>
          <w:spacing w:val="-1"/>
        </w:rPr>
        <w:t>a</w:t>
      </w:r>
      <w:r>
        <w:rPr>
          <w:color w:val="000000"/>
        </w:rPr>
        <w:t xml:space="preserve">, </w:t>
      </w:r>
      <w:r>
        <w:rPr>
          <w:color w:val="000000"/>
          <w:spacing w:val="26"/>
        </w:rPr>
        <w:t xml:space="preserve"> </w:t>
      </w:r>
      <w:r>
        <w:rPr>
          <w:color w:val="000000"/>
          <w:spacing w:val="-5"/>
        </w:rPr>
        <w:t>n</w:t>
      </w:r>
      <w:r>
        <w:rPr>
          <w:color w:val="000000"/>
          <w:spacing w:val="-1"/>
        </w:rPr>
        <w:t>e</w:t>
      </w:r>
      <w:r>
        <w:rPr>
          <w:color w:val="000000"/>
          <w:spacing w:val="5"/>
        </w:rPr>
        <w:t>p</w:t>
      </w:r>
      <w:r>
        <w:rPr>
          <w:color w:val="000000"/>
          <w:spacing w:val="-1"/>
        </w:rPr>
        <w:t>a</w:t>
      </w:r>
      <w:r>
        <w:rPr>
          <w:color w:val="000000"/>
        </w:rPr>
        <w:t>k</w:t>
      </w:r>
      <w:r>
        <w:rPr>
          <w:color w:val="000000"/>
          <w:spacing w:val="4"/>
        </w:rPr>
        <w:t>e</w:t>
      </w:r>
      <w:r>
        <w:rPr>
          <w:color w:val="000000"/>
          <w:spacing w:val="-9"/>
        </w:rPr>
        <w:t>i</w:t>
      </w:r>
      <w:r>
        <w:rPr>
          <w:color w:val="000000"/>
          <w:spacing w:val="4"/>
        </w:rPr>
        <w:t>č</w:t>
      </w:r>
      <w:r>
        <w:rPr>
          <w:color w:val="000000"/>
          <w:spacing w:val="-4"/>
        </w:rPr>
        <w:t>i</w:t>
      </w:r>
      <w:r>
        <w:rPr>
          <w:color w:val="000000"/>
          <w:spacing w:val="4"/>
        </w:rPr>
        <w:t>a</w:t>
      </w:r>
      <w:r>
        <w:rPr>
          <w:color w:val="000000"/>
          <w:spacing w:val="-4"/>
        </w:rPr>
        <w:t>m</w:t>
      </w:r>
      <w:r>
        <w:rPr>
          <w:color w:val="000000"/>
        </w:rPr>
        <w:t xml:space="preserve">ų </w:t>
      </w:r>
      <w:r>
        <w:rPr>
          <w:color w:val="000000"/>
          <w:spacing w:val="28"/>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 xml:space="preserve">kų </w:t>
      </w:r>
      <w:r>
        <w:rPr>
          <w:color w:val="000000"/>
          <w:spacing w:val="24"/>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24"/>
        </w:rPr>
        <w:t xml:space="preserve"> </w:t>
      </w:r>
      <w:r>
        <w:rPr>
          <w:color w:val="000000"/>
          <w:spacing w:val="-1"/>
        </w:rPr>
        <w:t>a</w:t>
      </w:r>
      <w:r>
        <w:rPr>
          <w:color w:val="000000"/>
        </w:rPr>
        <w:t>gu</w:t>
      </w:r>
      <w:r>
        <w:rPr>
          <w:color w:val="000000"/>
          <w:spacing w:val="5"/>
        </w:rPr>
        <w:t>o</w:t>
      </w:r>
      <w:r>
        <w:rPr>
          <w:color w:val="000000"/>
          <w:spacing w:val="-5"/>
        </w:rPr>
        <w:t>n</w:t>
      </w:r>
      <w:r>
        <w:rPr>
          <w:color w:val="000000"/>
        </w:rPr>
        <w:t xml:space="preserve">ų </w:t>
      </w:r>
      <w:r>
        <w:rPr>
          <w:color w:val="000000"/>
          <w:spacing w:val="24"/>
        </w:rPr>
        <w:t xml:space="preserve"> </w:t>
      </w:r>
      <w:r>
        <w:rPr>
          <w:color w:val="000000"/>
          <w:spacing w:val="-9"/>
        </w:rPr>
        <w:t>i</w:t>
      </w:r>
      <w:r>
        <w:rPr>
          <w:color w:val="000000"/>
        </w:rPr>
        <w:t xml:space="preserve">r </w:t>
      </w:r>
      <w:r>
        <w:rPr>
          <w:color w:val="000000"/>
          <w:spacing w:val="30"/>
        </w:rPr>
        <w:t xml:space="preserve"> </w:t>
      </w:r>
      <w:r>
        <w:rPr>
          <w:color w:val="000000"/>
          <w:spacing w:val="-9"/>
        </w:rPr>
        <w:t>j</w:t>
      </w:r>
      <w:r>
        <w:rPr>
          <w:color w:val="000000"/>
        </w:rPr>
        <w:t xml:space="preserve">ų </w:t>
      </w:r>
      <w:r>
        <w:rPr>
          <w:color w:val="000000"/>
          <w:spacing w:val="24"/>
        </w:rPr>
        <w:t xml:space="preserve"> </w:t>
      </w:r>
      <w:r>
        <w:rPr>
          <w:color w:val="000000"/>
        </w:rPr>
        <w:t>d</w:t>
      </w:r>
      <w:r>
        <w:rPr>
          <w:color w:val="000000"/>
          <w:spacing w:val="4"/>
        </w:rPr>
        <w:t>a</w:t>
      </w:r>
      <w:r>
        <w:rPr>
          <w:color w:val="000000"/>
        </w:rPr>
        <w:t>l</w:t>
      </w:r>
      <w:r>
        <w:rPr>
          <w:color w:val="000000"/>
          <w:spacing w:val="-4"/>
        </w:rPr>
        <w:t>i</w:t>
      </w:r>
      <w:r>
        <w:rPr>
          <w:color w:val="000000"/>
        </w:rPr>
        <w:t>ų k</w:t>
      </w:r>
      <w:r>
        <w:rPr>
          <w:color w:val="000000"/>
          <w:spacing w:val="5"/>
        </w:rPr>
        <w:t>o</w:t>
      </w:r>
      <w:r>
        <w:rPr>
          <w:color w:val="000000"/>
          <w:spacing w:val="-5"/>
        </w:rPr>
        <w:t>n</w:t>
      </w:r>
      <w:r>
        <w:rPr>
          <w:color w:val="000000"/>
          <w:spacing w:val="-1"/>
        </w:rPr>
        <w:t>ce</w:t>
      </w:r>
      <w:r>
        <w:rPr>
          <w:color w:val="000000"/>
          <w:spacing w:val="-5"/>
        </w:rPr>
        <w:t>n</w:t>
      </w:r>
      <w:r>
        <w:rPr>
          <w:color w:val="000000"/>
          <w:spacing w:val="5"/>
        </w:rPr>
        <w:t>t</w:t>
      </w:r>
      <w:r>
        <w:rPr>
          <w:color w:val="000000"/>
          <w:spacing w:val="1"/>
        </w:rPr>
        <w:t>r</w:t>
      </w:r>
      <w:r>
        <w:rPr>
          <w:color w:val="000000"/>
          <w:spacing w:val="-1"/>
        </w:rPr>
        <w:t>a</w:t>
      </w:r>
      <w:r>
        <w:rPr>
          <w:color w:val="000000"/>
          <w:spacing w:val="5"/>
        </w:rPr>
        <w:t>t</w:t>
      </w:r>
      <w:r>
        <w:rPr>
          <w:color w:val="000000"/>
          <w:spacing w:val="-1"/>
        </w:rPr>
        <w:t>a</w:t>
      </w:r>
      <w:r>
        <w:rPr>
          <w:color w:val="000000"/>
          <w:spacing w:val="-2"/>
        </w:rPr>
        <w:t>s</w:t>
      </w:r>
      <w:r>
        <w:rPr>
          <w:color w:val="000000"/>
        </w:rPr>
        <w:t>.</w:t>
      </w:r>
      <w:r>
        <w:rPr>
          <w:color w:val="000000"/>
          <w:spacing w:val="5"/>
        </w:rPr>
        <w:t xml:space="preserve"> </w:t>
      </w:r>
      <w:r>
        <w:rPr>
          <w:color w:val="000000"/>
          <w:spacing w:val="-5"/>
        </w:rPr>
        <w:t>A</w:t>
      </w:r>
      <w:r>
        <w:rPr>
          <w:color w:val="000000"/>
          <w:spacing w:val="5"/>
        </w:rPr>
        <w:t>p</w:t>
      </w:r>
      <w:r>
        <w:rPr>
          <w:color w:val="000000"/>
          <w:spacing w:val="-9"/>
        </w:rPr>
        <w:t>i</w:t>
      </w:r>
      <w:r>
        <w:rPr>
          <w:color w:val="000000"/>
        </w:rPr>
        <w:t>e</w:t>
      </w:r>
      <w:r>
        <w:rPr>
          <w:color w:val="000000"/>
          <w:spacing w:val="2"/>
        </w:rPr>
        <w:t xml:space="preserve"> s</w:t>
      </w:r>
      <w:r>
        <w:rPr>
          <w:color w:val="000000"/>
          <w:spacing w:val="-4"/>
        </w:rPr>
        <w:t>i</w:t>
      </w:r>
      <w:r>
        <w:rPr>
          <w:color w:val="000000"/>
          <w:spacing w:val="-5"/>
        </w:rPr>
        <w:t>n</w:t>
      </w:r>
      <w:r>
        <w:rPr>
          <w:color w:val="000000"/>
          <w:spacing w:val="5"/>
        </w:rPr>
        <w:t>t</w:t>
      </w:r>
      <w:r>
        <w:rPr>
          <w:color w:val="000000"/>
          <w:spacing w:val="-1"/>
        </w:rPr>
        <w:t>e</w:t>
      </w:r>
      <w:r>
        <w:rPr>
          <w:color w:val="000000"/>
          <w:spacing w:val="10"/>
        </w:rPr>
        <w:t>t</w:t>
      </w:r>
      <w:r>
        <w:rPr>
          <w:color w:val="000000"/>
          <w:spacing w:val="-4"/>
        </w:rPr>
        <w:t>i</w:t>
      </w:r>
      <w:r>
        <w:rPr>
          <w:color w:val="000000"/>
        </w:rPr>
        <w:t>n</w:t>
      </w:r>
      <w:r>
        <w:rPr>
          <w:color w:val="000000"/>
          <w:spacing w:val="-4"/>
        </w:rPr>
        <w:t>i</w:t>
      </w:r>
      <w:r>
        <w:rPr>
          <w:color w:val="000000"/>
        </w:rPr>
        <w:t>us</w:t>
      </w:r>
      <w:r>
        <w:rPr>
          <w:color w:val="000000"/>
          <w:spacing w:val="5"/>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ku</w:t>
      </w:r>
      <w:r>
        <w:rPr>
          <w:color w:val="000000"/>
          <w:spacing w:val="-2"/>
        </w:rPr>
        <w:t>s</w:t>
      </w:r>
      <w:r>
        <w:rPr>
          <w:color w:val="000000"/>
        </w:rPr>
        <w:t>,</w:t>
      </w:r>
      <w:r>
        <w:rPr>
          <w:color w:val="000000"/>
          <w:spacing w:val="5"/>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rPr>
        <w:t>ną</w:t>
      </w:r>
      <w:r>
        <w:rPr>
          <w:color w:val="000000"/>
          <w:spacing w:val="6"/>
        </w:rPr>
        <w:t xml:space="preserve"> </w:t>
      </w:r>
      <w:r>
        <w:rPr>
          <w:color w:val="000000"/>
          <w:spacing w:val="-9"/>
        </w:rPr>
        <w:t>i</w:t>
      </w:r>
      <w:r>
        <w:rPr>
          <w:color w:val="000000"/>
        </w:rPr>
        <w:t>r</w:t>
      </w:r>
      <w:r>
        <w:rPr>
          <w:color w:val="000000"/>
          <w:spacing w:val="4"/>
        </w:rPr>
        <w:t xml:space="preserve"> </w:t>
      </w:r>
      <w:r>
        <w:rPr>
          <w:color w:val="000000"/>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spacing w:val="-1"/>
        </w:rPr>
        <w:t>ą</w:t>
      </w:r>
      <w:r>
        <w:rPr>
          <w:color w:val="000000"/>
        </w:rPr>
        <w:t>,</w:t>
      </w:r>
      <w:r>
        <w:rPr>
          <w:color w:val="000000"/>
          <w:spacing w:val="5"/>
        </w:rPr>
        <w:t xml:space="preserve"> </w:t>
      </w:r>
      <w:r>
        <w:rPr>
          <w:color w:val="000000"/>
        </w:rPr>
        <w:t>o</w:t>
      </w:r>
      <w:r>
        <w:rPr>
          <w:color w:val="000000"/>
          <w:spacing w:val="7"/>
        </w:rPr>
        <w:t xml:space="preserve"> </w:t>
      </w:r>
      <w:r>
        <w:rPr>
          <w:color w:val="000000"/>
          <w:spacing w:val="-9"/>
        </w:rPr>
        <w:t>j</w:t>
      </w:r>
      <w:r>
        <w:rPr>
          <w:color w:val="000000"/>
        </w:rPr>
        <w:t>uo</w:t>
      </w:r>
      <w:r>
        <w:rPr>
          <w:color w:val="000000"/>
          <w:spacing w:val="12"/>
        </w:rPr>
        <w:t xml:space="preserve"> </w:t>
      </w:r>
      <w:r>
        <w:rPr>
          <w:color w:val="000000"/>
          <w:spacing w:val="-9"/>
        </w:rPr>
        <w:t>l</w:t>
      </w:r>
      <w:r>
        <w:rPr>
          <w:color w:val="000000"/>
          <w:spacing w:val="4"/>
        </w:rPr>
        <w:t>a</w:t>
      </w:r>
      <w:r>
        <w:rPr>
          <w:color w:val="000000"/>
        </w:rPr>
        <w:t>b</w:t>
      </w:r>
      <w:r>
        <w:rPr>
          <w:color w:val="000000"/>
          <w:spacing w:val="-4"/>
        </w:rPr>
        <w:t>i</w:t>
      </w:r>
      <w:r>
        <w:rPr>
          <w:color w:val="000000"/>
          <w:spacing w:val="-1"/>
        </w:rPr>
        <w:t>a</w:t>
      </w:r>
      <w:r>
        <w:rPr>
          <w:color w:val="000000"/>
        </w:rPr>
        <w:t>u</w:t>
      </w:r>
      <w:r>
        <w:rPr>
          <w:color w:val="000000"/>
          <w:spacing w:val="7"/>
        </w:rPr>
        <w:t xml:space="preserve"> </w:t>
      </w:r>
      <w:r>
        <w:rPr>
          <w:color w:val="000000"/>
          <w:spacing w:val="-5"/>
        </w:rPr>
        <w:t>n</w:t>
      </w:r>
      <w:r>
        <w:rPr>
          <w:color w:val="000000"/>
          <w:spacing w:val="-1"/>
        </w:rPr>
        <w:t>a</w:t>
      </w:r>
      <w:r>
        <w:rPr>
          <w:color w:val="000000"/>
          <w:spacing w:val="5"/>
        </w:rPr>
        <w:t>u</w:t>
      </w:r>
      <w:r>
        <w:rPr>
          <w:color w:val="000000"/>
          <w:spacing w:val="-4"/>
        </w:rPr>
        <w:t>j</w:t>
      </w:r>
      <w:r>
        <w:rPr>
          <w:color w:val="000000"/>
          <w:spacing w:val="4"/>
        </w:rPr>
        <w:t>a</w:t>
      </w:r>
      <w:r>
        <w:rPr>
          <w:color w:val="000000"/>
        </w:rPr>
        <w:t>s 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spacing w:val="4"/>
        </w:rPr>
        <w:t>a</w:t>
      </w:r>
      <w:r>
        <w:rPr>
          <w:color w:val="000000"/>
        </w:rPr>
        <w:t xml:space="preserve">s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spacing w:val="-1"/>
        </w:rPr>
        <w:t>a</w:t>
      </w:r>
      <w:r>
        <w:rPr>
          <w:color w:val="000000"/>
        </w:rPr>
        <w:t>s</w:t>
      </w:r>
      <w:r>
        <w:rPr>
          <w:color w:val="000000"/>
          <w:spacing w:val="7"/>
        </w:rPr>
        <w:t xml:space="preserve"> </w:t>
      </w:r>
      <w:r>
        <w:rPr>
          <w:color w:val="000000"/>
        </w:rPr>
        <w:t>n</w:t>
      </w:r>
      <w:r>
        <w:rPr>
          <w:color w:val="000000"/>
          <w:spacing w:val="-4"/>
        </w:rPr>
        <w:t>i</w:t>
      </w:r>
      <w:r>
        <w:rPr>
          <w:color w:val="000000"/>
          <w:spacing w:val="-1"/>
        </w:rPr>
        <w:t>e</w:t>
      </w:r>
      <w:r>
        <w:rPr>
          <w:color w:val="000000"/>
          <w:spacing w:val="5"/>
        </w:rPr>
        <w:t>k</w:t>
      </w:r>
      <w:r>
        <w:rPr>
          <w:color w:val="000000"/>
          <w:spacing w:val="-1"/>
        </w:rPr>
        <w:t>a</w:t>
      </w:r>
      <w:r>
        <w:rPr>
          <w:color w:val="000000"/>
        </w:rPr>
        <w:t>s</w:t>
      </w:r>
      <w:r>
        <w:rPr>
          <w:color w:val="000000"/>
          <w:spacing w:val="7"/>
        </w:rPr>
        <w:t xml:space="preserve"> </w:t>
      </w:r>
      <w:r>
        <w:rPr>
          <w:color w:val="000000"/>
          <w:spacing w:val="-4"/>
        </w:rPr>
        <w:t>i</w:t>
      </w:r>
      <w:r>
        <w:rPr>
          <w:color w:val="000000"/>
        </w:rPr>
        <w:t>r</w:t>
      </w:r>
      <w:r>
        <w:rPr>
          <w:color w:val="000000"/>
          <w:spacing w:val="6"/>
        </w:rPr>
        <w:t xml:space="preserve"> </w:t>
      </w:r>
      <w:r>
        <w:rPr>
          <w:color w:val="000000"/>
        </w:rPr>
        <w:t>p</w:t>
      </w:r>
      <w:r>
        <w:rPr>
          <w:color w:val="000000"/>
          <w:spacing w:val="-1"/>
        </w:rPr>
        <w:t>a</w:t>
      </w:r>
      <w:r>
        <w:rPr>
          <w:color w:val="000000"/>
        </w:rPr>
        <w:t>g</w:t>
      </w:r>
      <w:r>
        <w:rPr>
          <w:color w:val="000000"/>
          <w:spacing w:val="4"/>
        </w:rPr>
        <w:t>a</w:t>
      </w:r>
      <w:r>
        <w:rPr>
          <w:color w:val="000000"/>
          <w:spacing w:val="-4"/>
        </w:rPr>
        <w:t>l</w:t>
      </w:r>
      <w:r>
        <w:rPr>
          <w:color w:val="000000"/>
          <w:spacing w:val="-5"/>
        </w:rPr>
        <w:t>v</w:t>
      </w:r>
      <w:r>
        <w:rPr>
          <w:color w:val="000000"/>
          <w:spacing w:val="5"/>
        </w:rPr>
        <w:t>o</w:t>
      </w:r>
      <w:r>
        <w:rPr>
          <w:color w:val="000000"/>
          <w:spacing w:val="10"/>
        </w:rPr>
        <w:t>t</w:t>
      </w:r>
      <w:r>
        <w:rPr>
          <w:color w:val="000000"/>
        </w:rPr>
        <w:t>i n</w:t>
      </w:r>
      <w:r>
        <w:rPr>
          <w:color w:val="000000"/>
          <w:spacing w:val="-1"/>
        </w:rPr>
        <w:t>e</w:t>
      </w:r>
      <w:r>
        <w:rPr>
          <w:color w:val="000000"/>
        </w:rPr>
        <w:t>g</w:t>
      </w:r>
      <w:r>
        <w:rPr>
          <w:color w:val="000000"/>
          <w:spacing w:val="4"/>
        </w:rPr>
        <w:t>a</w:t>
      </w:r>
      <w:r>
        <w:rPr>
          <w:color w:val="000000"/>
          <w:spacing w:val="-4"/>
        </w:rPr>
        <w:t>l</w:t>
      </w:r>
      <w:r>
        <w:rPr>
          <w:color w:val="000000"/>
          <w:spacing w:val="4"/>
        </w:rPr>
        <w:t>ė</w:t>
      </w:r>
      <w:r>
        <w:rPr>
          <w:color w:val="000000"/>
          <w:spacing w:val="-9"/>
        </w:rPr>
        <w:t>j</w:t>
      </w:r>
      <w:r>
        <w:rPr>
          <w:color w:val="000000"/>
          <w:spacing w:val="5"/>
        </w:rPr>
        <w:t>o</w:t>
      </w:r>
      <w:r>
        <w:rPr>
          <w:color w:val="000000"/>
        </w:rPr>
        <w:t>.</w:t>
      </w:r>
      <w:r>
        <w:rPr>
          <w:color w:val="000000"/>
          <w:spacing w:val="7"/>
        </w:rPr>
        <w:t xml:space="preserve"> </w:t>
      </w:r>
      <w:r>
        <w:rPr>
          <w:color w:val="000000"/>
          <w:spacing w:val="2"/>
        </w:rPr>
        <w:t>T</w:t>
      </w:r>
      <w:r>
        <w:rPr>
          <w:color w:val="000000"/>
          <w:spacing w:val="-1"/>
        </w:rPr>
        <w:t>a</w:t>
      </w:r>
      <w:r>
        <w:rPr>
          <w:color w:val="000000"/>
          <w:spacing w:val="4"/>
        </w:rPr>
        <w:t>č</w:t>
      </w:r>
      <w:r>
        <w:rPr>
          <w:color w:val="000000"/>
          <w:spacing w:val="-4"/>
        </w:rPr>
        <w:t>i</w:t>
      </w:r>
      <w:r>
        <w:rPr>
          <w:color w:val="000000"/>
          <w:spacing w:val="-1"/>
        </w:rPr>
        <w:t>a</w:t>
      </w:r>
      <w:r>
        <w:rPr>
          <w:color w:val="000000"/>
        </w:rPr>
        <w:t>u</w:t>
      </w:r>
      <w:r>
        <w:rPr>
          <w:color w:val="000000"/>
          <w:spacing w:val="9"/>
        </w:rPr>
        <w:t xml:space="preserve"> </w:t>
      </w:r>
      <w:r>
        <w:rPr>
          <w:color w:val="000000"/>
          <w:spacing w:val="-4"/>
        </w:rPr>
        <w:t>l</w:t>
      </w:r>
      <w:r>
        <w:rPr>
          <w:color w:val="000000"/>
          <w:spacing w:val="4"/>
        </w:rPr>
        <w:t>a</w:t>
      </w:r>
      <w:r>
        <w:rPr>
          <w:color w:val="000000"/>
        </w:rPr>
        <w:t>ikas</w:t>
      </w:r>
      <w:r>
        <w:rPr>
          <w:color w:val="000000"/>
          <w:spacing w:val="2"/>
        </w:rPr>
        <w:t xml:space="preserve"> </w:t>
      </w:r>
      <w:r>
        <w:rPr>
          <w:color w:val="000000"/>
        </w:rPr>
        <w:t>p</w:t>
      </w:r>
      <w:r>
        <w:rPr>
          <w:color w:val="000000"/>
          <w:spacing w:val="-1"/>
        </w:rPr>
        <w:t>a</w:t>
      </w:r>
      <w:r>
        <w:rPr>
          <w:color w:val="000000"/>
          <w:spacing w:val="1"/>
        </w:rPr>
        <w:t>r</w:t>
      </w:r>
      <w:r>
        <w:rPr>
          <w:color w:val="000000"/>
          <w:spacing w:val="5"/>
        </w:rPr>
        <w:t>o</w:t>
      </w:r>
      <w:r>
        <w:rPr>
          <w:color w:val="000000"/>
        </w:rPr>
        <w:t>d</w:t>
      </w:r>
      <w:r>
        <w:rPr>
          <w:color w:val="000000"/>
          <w:spacing w:val="-1"/>
        </w:rPr>
        <w:t>ė</w:t>
      </w:r>
      <w:r>
        <w:rPr>
          <w:color w:val="000000"/>
        </w:rPr>
        <w:t>,</w:t>
      </w:r>
      <w:r>
        <w:rPr>
          <w:color w:val="000000"/>
          <w:spacing w:val="7"/>
        </w:rPr>
        <w:t xml:space="preserve"> </w:t>
      </w:r>
      <w:r>
        <w:rPr>
          <w:color w:val="000000"/>
        </w:rPr>
        <w:t>k</w:t>
      </w:r>
      <w:r>
        <w:rPr>
          <w:color w:val="000000"/>
          <w:spacing w:val="-1"/>
        </w:rPr>
        <w:t>a</w:t>
      </w:r>
      <w:r>
        <w:rPr>
          <w:color w:val="000000"/>
        </w:rPr>
        <w:t>d</w:t>
      </w:r>
      <w:r>
        <w:rPr>
          <w:color w:val="000000"/>
          <w:spacing w:val="5"/>
        </w:rPr>
        <w:t xml:space="preserve"> </w:t>
      </w:r>
      <w:r>
        <w:rPr>
          <w:color w:val="000000"/>
          <w:spacing w:val="-1"/>
        </w:rPr>
        <w:t>e</w:t>
      </w:r>
      <w:r>
        <w:rPr>
          <w:color w:val="000000"/>
          <w:spacing w:val="-2"/>
        </w:rPr>
        <w:t>s</w:t>
      </w:r>
      <w:r>
        <w:rPr>
          <w:color w:val="000000"/>
          <w:spacing w:val="4"/>
        </w:rPr>
        <w:t>a</w:t>
      </w:r>
      <w:r>
        <w:rPr>
          <w:color w:val="000000"/>
          <w:spacing w:val="-4"/>
        </w:rPr>
        <w:t>m</w:t>
      </w:r>
      <w:r>
        <w:rPr>
          <w:color w:val="000000"/>
        </w:rPr>
        <w:t>e</w:t>
      </w:r>
      <w:r>
        <w:rPr>
          <w:color w:val="000000"/>
          <w:spacing w:val="4"/>
        </w:rPr>
        <w:t xml:space="preserve"> </w:t>
      </w:r>
      <w:r>
        <w:rPr>
          <w:color w:val="000000"/>
          <w:spacing w:val="5"/>
        </w:rPr>
        <w:t>p</w:t>
      </w:r>
      <w:r>
        <w:rPr>
          <w:color w:val="000000"/>
          <w:spacing w:val="-1"/>
        </w:rPr>
        <w:t>a</w:t>
      </w:r>
      <w:r>
        <w:rPr>
          <w:color w:val="000000"/>
          <w:spacing w:val="-2"/>
        </w:rPr>
        <w:t>s</w:t>
      </w:r>
      <w:r>
        <w:rPr>
          <w:color w:val="000000"/>
          <w:spacing w:val="-1"/>
        </w:rPr>
        <w:t>a</w:t>
      </w:r>
      <w:r>
        <w:rPr>
          <w:color w:val="000000"/>
          <w:spacing w:val="5"/>
        </w:rPr>
        <w:t>u</w:t>
      </w:r>
      <w:r>
        <w:rPr>
          <w:color w:val="000000"/>
        </w:rPr>
        <w:t>l</w:t>
      </w:r>
      <w:r>
        <w:rPr>
          <w:color w:val="000000"/>
          <w:spacing w:val="-9"/>
        </w:rPr>
        <w:t>i</w:t>
      </w:r>
      <w:r>
        <w:rPr>
          <w:color w:val="000000"/>
        </w:rPr>
        <w:t>o</w:t>
      </w:r>
      <w:r>
        <w:rPr>
          <w:color w:val="000000"/>
          <w:spacing w:val="9"/>
        </w:rPr>
        <w:t xml:space="preserve"> </w:t>
      </w:r>
      <w:r>
        <w:rPr>
          <w:color w:val="000000"/>
        </w:rPr>
        <w:t>d</w:t>
      </w:r>
      <w:r>
        <w:rPr>
          <w:color w:val="000000"/>
          <w:spacing w:val="4"/>
        </w:rPr>
        <w:t>a</w:t>
      </w:r>
      <w:r>
        <w:rPr>
          <w:color w:val="000000"/>
        </w:rPr>
        <w:t>l</w:t>
      </w:r>
      <w:r>
        <w:rPr>
          <w:color w:val="000000"/>
          <w:spacing w:val="-4"/>
        </w:rPr>
        <w:t>i</w:t>
      </w:r>
      <w:r>
        <w:rPr>
          <w:color w:val="000000"/>
        </w:rPr>
        <w:t>s</w:t>
      </w:r>
      <w:r>
        <w:rPr>
          <w:color w:val="000000"/>
          <w:spacing w:val="12"/>
        </w:rPr>
        <w:t xml:space="preserve"> </w:t>
      </w:r>
      <w:r>
        <w:rPr>
          <w:color w:val="000000"/>
          <w:spacing w:val="-9"/>
        </w:rPr>
        <w:t>i</w:t>
      </w:r>
      <w:r>
        <w:rPr>
          <w:color w:val="000000"/>
        </w:rPr>
        <w:t>r</w:t>
      </w:r>
      <w:r>
        <w:rPr>
          <w:color w:val="000000"/>
          <w:spacing w:val="16"/>
        </w:rPr>
        <w:t xml:space="preserve"> </w:t>
      </w:r>
      <w:r>
        <w:rPr>
          <w:color w:val="000000"/>
          <w:spacing w:val="-5"/>
        </w:rPr>
        <w:t>n</w:t>
      </w:r>
      <w:r>
        <w:rPr>
          <w:color w:val="000000"/>
        </w:rPr>
        <w:t>uo</w:t>
      </w:r>
      <w:r>
        <w:rPr>
          <w:color w:val="000000"/>
          <w:spacing w:val="9"/>
        </w:rPr>
        <w:t xml:space="preserve"> </w:t>
      </w:r>
      <w:r>
        <w:rPr>
          <w:color w:val="000000"/>
          <w:spacing w:val="2"/>
        </w:rPr>
        <w:t>š</w:t>
      </w:r>
      <w:r>
        <w:rPr>
          <w:color w:val="000000"/>
          <w:spacing w:val="-9"/>
        </w:rPr>
        <w:t>i</w:t>
      </w:r>
      <w:r>
        <w:rPr>
          <w:color w:val="000000"/>
          <w:spacing w:val="5"/>
        </w:rPr>
        <w:t>o</w:t>
      </w:r>
      <w:r>
        <w:rPr>
          <w:color w:val="000000"/>
        </w:rPr>
        <w:t>s v</w:t>
      </w:r>
      <w:r>
        <w:rPr>
          <w:color w:val="000000"/>
          <w:spacing w:val="-4"/>
        </w:rPr>
        <w:t>i</w:t>
      </w:r>
      <w:r>
        <w:rPr>
          <w:color w:val="000000"/>
          <w:spacing w:val="-2"/>
        </w:rPr>
        <w:t>s</w:t>
      </w:r>
      <w:r>
        <w:rPr>
          <w:color w:val="000000"/>
        </w:rPr>
        <w:t>u</w:t>
      </w:r>
      <w:r>
        <w:rPr>
          <w:color w:val="000000"/>
          <w:spacing w:val="5"/>
        </w:rPr>
        <w:t>ot</w:t>
      </w:r>
      <w:r>
        <w:rPr>
          <w:color w:val="000000"/>
          <w:spacing w:val="-4"/>
        </w:rPr>
        <w:t>in</w:t>
      </w:r>
      <w:r>
        <w:rPr>
          <w:color w:val="000000"/>
          <w:spacing w:val="4"/>
        </w:rPr>
        <w:t>ė</w:t>
      </w:r>
      <w:r>
        <w:rPr>
          <w:color w:val="000000"/>
        </w:rPr>
        <w:t>s p</w:t>
      </w:r>
      <w:r>
        <w:rPr>
          <w:color w:val="000000"/>
          <w:spacing w:val="1"/>
        </w:rPr>
        <w:t>r</w:t>
      </w:r>
      <w:r>
        <w:rPr>
          <w:color w:val="000000"/>
          <w:spacing w:val="5"/>
        </w:rPr>
        <w:t>o</w:t>
      </w:r>
      <w:r>
        <w:rPr>
          <w:color w:val="000000"/>
        </w:rPr>
        <w:t>b</w:t>
      </w:r>
      <w:r>
        <w:rPr>
          <w:color w:val="000000"/>
          <w:spacing w:val="-9"/>
        </w:rPr>
        <w:t>l</w:t>
      </w:r>
      <w:r>
        <w:rPr>
          <w:color w:val="000000"/>
          <w:spacing w:val="4"/>
        </w:rPr>
        <w:t>e</w:t>
      </w:r>
      <w:r>
        <w:rPr>
          <w:color w:val="000000"/>
          <w:spacing w:val="-9"/>
        </w:rPr>
        <w:t>m</w:t>
      </w:r>
      <w:r>
        <w:rPr>
          <w:color w:val="000000"/>
          <w:spacing w:val="9"/>
        </w:rPr>
        <w:t>o</w:t>
      </w:r>
      <w:r>
        <w:rPr>
          <w:color w:val="000000"/>
        </w:rPr>
        <w:t>s n</w:t>
      </w:r>
      <w:r>
        <w:rPr>
          <w:color w:val="000000"/>
          <w:spacing w:val="-4"/>
        </w:rPr>
        <w:t>i</w:t>
      </w:r>
      <w:r>
        <w:rPr>
          <w:color w:val="000000"/>
          <w:spacing w:val="-1"/>
        </w:rPr>
        <w:t>e</w:t>
      </w:r>
      <w:r>
        <w:rPr>
          <w:color w:val="000000"/>
        </w:rPr>
        <w:t>kur</w:t>
      </w:r>
      <w:r>
        <w:rPr>
          <w:color w:val="000000"/>
          <w:spacing w:val="9"/>
        </w:rPr>
        <w:t xml:space="preserve"> </w:t>
      </w:r>
      <w:r>
        <w:rPr>
          <w:color w:val="000000"/>
          <w:spacing w:val="-5"/>
        </w:rPr>
        <w:t>n</w:t>
      </w:r>
      <w:r>
        <w:rPr>
          <w:color w:val="000000"/>
          <w:spacing w:val="-1"/>
        </w:rPr>
        <w:t>e</w:t>
      </w:r>
      <w:r>
        <w:rPr>
          <w:color w:val="000000"/>
          <w:spacing w:val="5"/>
        </w:rPr>
        <w:t>d</w:t>
      </w:r>
      <w:r>
        <w:rPr>
          <w:color w:val="000000"/>
          <w:spacing w:val="-4"/>
        </w:rPr>
        <w:t>i</w:t>
      </w:r>
      <w:r>
        <w:rPr>
          <w:color w:val="000000"/>
        </w:rPr>
        <w:t>ng</w:t>
      </w:r>
      <w:r>
        <w:rPr>
          <w:color w:val="000000"/>
          <w:spacing w:val="2"/>
        </w:rPr>
        <w:t>s</w:t>
      </w:r>
      <w:r>
        <w:rPr>
          <w:color w:val="000000"/>
        </w:rPr>
        <w:t>i</w:t>
      </w:r>
      <w:r>
        <w:rPr>
          <w:color w:val="000000"/>
          <w:spacing w:val="-4"/>
        </w:rPr>
        <w:t>m</w:t>
      </w:r>
      <w:r>
        <w:rPr>
          <w:color w:val="000000"/>
          <w:spacing w:val="-1"/>
        </w:rPr>
        <w:t>e</w:t>
      </w:r>
      <w:r>
        <w:rPr>
          <w:color w:val="000000"/>
        </w:rPr>
        <w:t>.</w:t>
      </w:r>
      <w:r>
        <w:rPr>
          <w:color w:val="000000"/>
          <w:spacing w:val="5"/>
        </w:rPr>
        <w:t xml:space="preserve"> </w:t>
      </w:r>
      <w:r>
        <w:rPr>
          <w:color w:val="000000"/>
          <w:spacing w:val="6"/>
        </w:rPr>
        <w:t>Š</w:t>
      </w:r>
      <w:r>
        <w:rPr>
          <w:color w:val="000000"/>
          <w:spacing w:val="-9"/>
        </w:rPr>
        <w:t>i</w:t>
      </w:r>
      <w:r>
        <w:rPr>
          <w:color w:val="000000"/>
          <w:spacing w:val="4"/>
        </w:rPr>
        <w:t>a</w:t>
      </w:r>
      <w:r>
        <w:rPr>
          <w:color w:val="000000"/>
          <w:spacing w:val="-5"/>
        </w:rPr>
        <w:t>n</w:t>
      </w:r>
      <w:r>
        <w:rPr>
          <w:color w:val="000000"/>
          <w:spacing w:val="5"/>
        </w:rPr>
        <w:t>d</w:t>
      </w:r>
      <w:r>
        <w:rPr>
          <w:color w:val="000000"/>
          <w:spacing w:val="-4"/>
        </w:rPr>
        <w:t>i</w:t>
      </w:r>
      <w:r>
        <w:rPr>
          <w:color w:val="000000"/>
          <w:spacing w:val="4"/>
        </w:rPr>
        <w:t>e</w:t>
      </w:r>
      <w:r>
        <w:rPr>
          <w:color w:val="000000"/>
        </w:rPr>
        <w:t>n</w:t>
      </w:r>
      <w:r>
        <w:rPr>
          <w:color w:val="000000"/>
          <w:spacing w:val="2"/>
        </w:rPr>
        <w:t xml:space="preserve"> </w:t>
      </w:r>
      <w:r>
        <w:rPr>
          <w:color w:val="000000"/>
          <w:spacing w:val="-4"/>
        </w:rPr>
        <w:t>m</w:t>
      </w:r>
      <w:r>
        <w:rPr>
          <w:color w:val="000000"/>
        </w:rPr>
        <w:t>ū</w:t>
      </w:r>
      <w:r>
        <w:rPr>
          <w:color w:val="000000"/>
          <w:spacing w:val="-2"/>
        </w:rPr>
        <w:t>s</w:t>
      </w:r>
      <w:r>
        <w:rPr>
          <w:color w:val="000000"/>
        </w:rPr>
        <w:t>ų</w:t>
      </w:r>
      <w:r>
        <w:rPr>
          <w:color w:val="000000"/>
          <w:spacing w:val="2"/>
        </w:rPr>
        <w:t xml:space="preserve"> </w:t>
      </w:r>
      <w:r>
        <w:rPr>
          <w:color w:val="000000"/>
          <w:spacing w:val="-2"/>
        </w:rPr>
        <w:t>š</w:t>
      </w:r>
      <w:r>
        <w:rPr>
          <w:color w:val="000000"/>
          <w:spacing w:val="4"/>
        </w:rPr>
        <w:t>a</w:t>
      </w:r>
      <w:r>
        <w:rPr>
          <w:color w:val="000000"/>
        </w:rPr>
        <w:t>l</w:t>
      </w:r>
      <w:r>
        <w:rPr>
          <w:color w:val="000000"/>
          <w:spacing w:val="-4"/>
        </w:rPr>
        <w:t>i</w:t>
      </w:r>
      <w:r>
        <w:rPr>
          <w:color w:val="000000"/>
          <w:spacing w:val="4"/>
        </w:rPr>
        <w:t>e</w:t>
      </w:r>
      <w:r>
        <w:rPr>
          <w:color w:val="000000"/>
        </w:rPr>
        <w:t>s</w:t>
      </w:r>
      <w:r>
        <w:rPr>
          <w:color w:val="000000"/>
          <w:spacing w:val="5"/>
        </w:rPr>
        <w:t xml:space="preserve"> </w:t>
      </w:r>
      <w:r>
        <w:rPr>
          <w:color w:val="000000"/>
          <w:spacing w:val="-5"/>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spacing w:val="-4"/>
        </w:rPr>
        <w:t>j</w:t>
      </w:r>
      <w:r>
        <w:rPr>
          <w:color w:val="000000"/>
        </w:rPr>
        <w:t>e</w:t>
      </w:r>
      <w:r>
        <w:rPr>
          <w:color w:val="000000"/>
          <w:spacing w:val="1"/>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to</w:t>
      </w:r>
      <w:r>
        <w:rPr>
          <w:color w:val="000000"/>
          <w:spacing w:val="-9"/>
        </w:rPr>
        <w:t>j</w:t>
      </w:r>
      <w:r>
        <w:rPr>
          <w:color w:val="000000"/>
        </w:rPr>
        <w:t>e</w:t>
      </w:r>
      <w:r>
        <w:rPr>
          <w:color w:val="000000"/>
          <w:spacing w:val="1"/>
        </w:rPr>
        <w:t xml:space="preserve"> </w:t>
      </w:r>
      <w:r>
        <w:rPr>
          <w:color w:val="000000"/>
          <w:spacing w:val="-1"/>
        </w:rPr>
        <w:t>e</w:t>
      </w:r>
      <w:r>
        <w:rPr>
          <w:color w:val="000000"/>
        </w:rPr>
        <w:t>g</w:t>
      </w:r>
      <w:r>
        <w:rPr>
          <w:color w:val="000000"/>
          <w:spacing w:val="4"/>
        </w:rPr>
        <w:t>z</w:t>
      </w:r>
      <w:r>
        <w:rPr>
          <w:color w:val="000000"/>
          <w:spacing w:val="-4"/>
        </w:rPr>
        <w:t>i</w:t>
      </w:r>
      <w:r>
        <w:rPr>
          <w:color w:val="000000"/>
          <w:spacing w:val="-2"/>
        </w:rPr>
        <w:t>s</w:t>
      </w:r>
      <w:r>
        <w:rPr>
          <w:color w:val="000000"/>
          <w:spacing w:val="5"/>
        </w:rPr>
        <w:t>t</w:t>
      </w:r>
      <w:r>
        <w:rPr>
          <w:color w:val="000000"/>
        </w:rPr>
        <w:t>u</w:t>
      </w:r>
      <w:r>
        <w:rPr>
          <w:color w:val="000000"/>
          <w:spacing w:val="5"/>
        </w:rPr>
        <w:t>o</w:t>
      </w:r>
      <w:r>
        <w:rPr>
          <w:color w:val="000000"/>
          <w:spacing w:val="-4"/>
        </w:rPr>
        <w:t>j</w:t>
      </w:r>
      <w:r>
        <w:rPr>
          <w:color w:val="000000"/>
        </w:rPr>
        <w:t>a d</w:t>
      </w:r>
      <w:r>
        <w:rPr>
          <w:color w:val="000000"/>
          <w:spacing w:val="-1"/>
        </w:rPr>
        <w:t>a</w:t>
      </w:r>
      <w:r>
        <w:rPr>
          <w:color w:val="000000"/>
        </w:rPr>
        <w:t>ug</w:t>
      </w:r>
      <w:r>
        <w:rPr>
          <w:color w:val="000000"/>
          <w:spacing w:val="4"/>
        </w:rPr>
        <w:t>e</w:t>
      </w:r>
      <w:r>
        <w:rPr>
          <w:color w:val="000000"/>
          <w:spacing w:val="-4"/>
        </w:rPr>
        <w:t>li</w:t>
      </w:r>
      <w:r>
        <w:rPr>
          <w:color w:val="000000"/>
        </w:rPr>
        <w:t>s</w:t>
      </w:r>
      <w:r>
        <w:rPr>
          <w:color w:val="000000"/>
          <w:spacing w:val="9"/>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rPr>
        <w:t>n</w:t>
      </w:r>
      <w:r>
        <w:rPr>
          <w:color w:val="000000"/>
          <w:spacing w:val="-4"/>
        </w:rPr>
        <w:t>i</w:t>
      </w:r>
      <w:r>
        <w:rPr>
          <w:color w:val="000000"/>
        </w:rPr>
        <w:t>ų</w:t>
      </w:r>
      <w:r>
        <w:rPr>
          <w:color w:val="000000"/>
          <w:spacing w:val="7"/>
        </w:rPr>
        <w:t xml:space="preserve"> </w:t>
      </w:r>
      <w:r>
        <w:rPr>
          <w:color w:val="000000"/>
          <w:spacing w:val="-4"/>
        </w:rPr>
        <w:t>i</w:t>
      </w:r>
      <w:r>
        <w:rPr>
          <w:color w:val="000000"/>
        </w:rPr>
        <w:t>r</w:t>
      </w:r>
      <w:r>
        <w:rPr>
          <w:color w:val="000000"/>
          <w:spacing w:val="3"/>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rPr>
        <w:t>k</w:t>
      </w:r>
      <w:r>
        <w:rPr>
          <w:color w:val="000000"/>
          <w:spacing w:val="5"/>
        </w:rPr>
        <w:t>u</w:t>
      </w:r>
      <w:r>
        <w:rPr>
          <w:color w:val="000000"/>
          <w:spacing w:val="6"/>
        </w:rPr>
        <w:t>r</w:t>
      </w:r>
      <w:r>
        <w:rPr>
          <w:color w:val="000000"/>
          <w:spacing w:val="-9"/>
        </w:rPr>
        <w:t>i</w:t>
      </w:r>
      <w:r>
        <w:rPr>
          <w:color w:val="000000"/>
          <w:spacing w:val="5"/>
        </w:rPr>
        <w:t>o</w:t>
      </w:r>
      <w:r>
        <w:rPr>
          <w:color w:val="000000"/>
        </w:rPr>
        <w:t>s</w:t>
      </w:r>
      <w:r>
        <w:rPr>
          <w:color w:val="000000"/>
          <w:spacing w:val="5"/>
        </w:rPr>
        <w:t xml:space="preserve"> </w:t>
      </w:r>
      <w:r>
        <w:rPr>
          <w:color w:val="000000"/>
          <w:spacing w:val="-10"/>
        </w:rPr>
        <w:t>y</w:t>
      </w:r>
      <w:r>
        <w:rPr>
          <w:color w:val="000000"/>
          <w:spacing w:val="1"/>
        </w:rPr>
        <w:t>r</w:t>
      </w:r>
      <w:r>
        <w:rPr>
          <w:color w:val="000000"/>
        </w:rPr>
        <w:t>a</w:t>
      </w:r>
      <w:r>
        <w:rPr>
          <w:color w:val="000000"/>
          <w:spacing w:val="6"/>
        </w:rPr>
        <w:t xml:space="preserve"> </w:t>
      </w:r>
      <w:r>
        <w:rPr>
          <w:color w:val="000000"/>
          <w:spacing w:val="-2"/>
        </w:rPr>
        <w:t>s</w:t>
      </w:r>
      <w:r>
        <w:rPr>
          <w:color w:val="000000"/>
        </w:rPr>
        <w:t>u</w:t>
      </w:r>
      <w:r>
        <w:rPr>
          <w:color w:val="000000"/>
          <w:spacing w:val="5"/>
        </w:rPr>
        <w:t>t</w:t>
      </w:r>
      <w:r>
        <w:rPr>
          <w:color w:val="000000"/>
          <w:spacing w:val="-4"/>
        </w:rPr>
        <w:t>i</w:t>
      </w:r>
      <w:r>
        <w:rPr>
          <w:color w:val="000000"/>
          <w:spacing w:val="-5"/>
        </w:rPr>
        <w:t>n</w:t>
      </w:r>
      <w:r>
        <w:rPr>
          <w:color w:val="000000"/>
        </w:rPr>
        <w:t>k</w:t>
      </w:r>
      <w:r>
        <w:rPr>
          <w:color w:val="000000"/>
          <w:spacing w:val="4"/>
        </w:rPr>
        <w:t>a</w:t>
      </w:r>
      <w:r>
        <w:rPr>
          <w:color w:val="000000"/>
          <w:spacing w:val="-9"/>
        </w:rPr>
        <w:t>m</w:t>
      </w:r>
      <w:r>
        <w:rPr>
          <w:color w:val="000000"/>
          <w:spacing w:val="9"/>
        </w:rPr>
        <w:t>o</w:t>
      </w:r>
      <w:r>
        <w:rPr>
          <w:color w:val="000000"/>
        </w:rPr>
        <w:t>s</w:t>
      </w:r>
      <w:r>
        <w:rPr>
          <w:color w:val="000000"/>
          <w:spacing w:val="5"/>
        </w:rPr>
        <w:t xml:space="preserve"> </w:t>
      </w:r>
      <w:r>
        <w:rPr>
          <w:color w:val="000000"/>
          <w:spacing w:val="-4"/>
        </w:rPr>
        <w:t>i</w:t>
      </w:r>
      <w:r>
        <w:rPr>
          <w:color w:val="000000"/>
        </w:rPr>
        <w:t>r</w:t>
      </w:r>
      <w:r>
        <w:rPr>
          <w:color w:val="000000"/>
          <w:spacing w:val="3"/>
        </w:rPr>
        <w:t xml:space="preserve"> </w:t>
      </w:r>
      <w:r>
        <w:rPr>
          <w:color w:val="000000"/>
          <w:spacing w:val="5"/>
        </w:rPr>
        <w:t>k</w:t>
      </w:r>
      <w:r>
        <w:rPr>
          <w:color w:val="000000"/>
          <w:spacing w:val="-9"/>
        </w:rPr>
        <w:t>i</w:t>
      </w:r>
      <w:r>
        <w:rPr>
          <w:color w:val="000000"/>
          <w:spacing w:val="5"/>
        </w:rPr>
        <w:t>to</w:t>
      </w:r>
      <w:r>
        <w:rPr>
          <w:color w:val="000000"/>
          <w:spacing w:val="-2"/>
        </w:rPr>
        <w:t>s</w:t>
      </w:r>
      <w:r>
        <w:rPr>
          <w:color w:val="000000"/>
        </w:rPr>
        <w:t>e</w:t>
      </w:r>
      <w:r>
        <w:rPr>
          <w:color w:val="000000"/>
          <w:spacing w:val="1"/>
        </w:rPr>
        <w:t xml:space="preserve"> </w:t>
      </w:r>
      <w:r>
        <w:rPr>
          <w:color w:val="000000"/>
          <w:spacing w:val="2"/>
        </w:rPr>
        <w:t>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rPr>
        <w:t xml:space="preserve">s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w:t>
      </w:r>
      <w:r>
        <w:rPr>
          <w:color w:val="000000"/>
        </w:rPr>
        <w:t>b</w:t>
      </w:r>
      <w:r>
        <w:rPr>
          <w:color w:val="000000"/>
          <w:spacing w:val="-1"/>
        </w:rPr>
        <w:t>ė</w:t>
      </w:r>
      <w:r>
        <w:rPr>
          <w:color w:val="000000"/>
          <w:spacing w:val="-2"/>
        </w:rPr>
        <w:t>s</w:t>
      </w:r>
      <w:r>
        <w:rPr>
          <w:color w:val="000000"/>
          <w:spacing w:val="-1"/>
        </w:rPr>
        <w:t>e</w:t>
      </w:r>
      <w:r>
        <w:rPr>
          <w:color w:val="000000"/>
        </w:rPr>
        <w:t>. N</w:t>
      </w:r>
      <w:r>
        <w:rPr>
          <w:color w:val="000000"/>
          <w:spacing w:val="4"/>
        </w:rPr>
        <w:t>o</w:t>
      </w:r>
      <w:r>
        <w:rPr>
          <w:color w:val="000000"/>
          <w:spacing w:val="1"/>
        </w:rPr>
        <w:t>r</w:t>
      </w:r>
      <w:r>
        <w:rPr>
          <w:color w:val="000000"/>
        </w:rPr>
        <w:t xml:space="preserve">s </w:t>
      </w:r>
      <w:r>
        <w:rPr>
          <w:color w:val="000000"/>
          <w:spacing w:val="12"/>
        </w:rPr>
        <w:t xml:space="preserve"> </w:t>
      </w:r>
      <w:r>
        <w:rPr>
          <w:color w:val="000000"/>
        </w:rPr>
        <w:t>v</w:t>
      </w:r>
      <w:r>
        <w:rPr>
          <w:color w:val="000000"/>
          <w:spacing w:val="-5"/>
        </w:rPr>
        <w:t>y</w:t>
      </w:r>
      <w:r>
        <w:rPr>
          <w:color w:val="000000"/>
        </w:rPr>
        <w:t>k</w:t>
      </w:r>
      <w:r>
        <w:rPr>
          <w:color w:val="000000"/>
          <w:spacing w:val="-2"/>
        </w:rPr>
        <w:t>s</w:t>
      </w:r>
      <w:r>
        <w:rPr>
          <w:color w:val="000000"/>
          <w:spacing w:val="5"/>
        </w:rPr>
        <w:t>t</w:t>
      </w:r>
      <w:r>
        <w:rPr>
          <w:color w:val="000000"/>
          <w:spacing w:val="-1"/>
        </w:rPr>
        <w:t>a</w:t>
      </w:r>
      <w:r>
        <w:rPr>
          <w:color w:val="000000"/>
          <w:spacing w:val="-5"/>
        </w:rPr>
        <w:t>n</w:t>
      </w:r>
      <w:r>
        <w:rPr>
          <w:color w:val="000000"/>
        </w:rPr>
        <w:t xml:space="preserve">t </w:t>
      </w:r>
      <w:r>
        <w:rPr>
          <w:color w:val="000000"/>
          <w:spacing w:val="24"/>
        </w:rPr>
        <w:t xml:space="preserve"> </w:t>
      </w:r>
      <w:r>
        <w:rPr>
          <w:color w:val="000000"/>
        </w:rPr>
        <w:t>v</w:t>
      </w:r>
      <w:r>
        <w:rPr>
          <w:color w:val="000000"/>
          <w:spacing w:val="-4"/>
        </w:rPr>
        <w:t>i</w:t>
      </w:r>
      <w:r>
        <w:rPr>
          <w:color w:val="000000"/>
          <w:spacing w:val="-2"/>
        </w:rPr>
        <w:t>s</w:t>
      </w:r>
      <w:r>
        <w:rPr>
          <w:color w:val="000000"/>
        </w:rPr>
        <w:t>u</w:t>
      </w:r>
      <w:r>
        <w:rPr>
          <w:color w:val="000000"/>
          <w:spacing w:val="5"/>
        </w:rPr>
        <w:t>ot</w:t>
      </w:r>
      <w:r>
        <w:rPr>
          <w:color w:val="000000"/>
          <w:spacing w:val="-4"/>
        </w:rPr>
        <w:t>i</w:t>
      </w:r>
      <w:r>
        <w:rPr>
          <w:color w:val="000000"/>
          <w:spacing w:val="-5"/>
        </w:rPr>
        <w:t>n</w:t>
      </w:r>
      <w:r>
        <w:rPr>
          <w:color w:val="000000"/>
          <w:spacing w:val="4"/>
        </w:rPr>
        <w:t>e</w:t>
      </w:r>
      <w:r>
        <w:rPr>
          <w:color w:val="000000"/>
        </w:rPr>
        <w:t xml:space="preserve">i </w:t>
      </w:r>
      <w:r>
        <w:rPr>
          <w:color w:val="000000"/>
          <w:spacing w:val="10"/>
        </w:rPr>
        <w:t xml:space="preserve"> </w:t>
      </w:r>
      <w:r>
        <w:rPr>
          <w:color w:val="000000"/>
          <w:spacing w:val="5"/>
        </w:rPr>
        <w:t>g</w:t>
      </w:r>
      <w:r>
        <w:rPr>
          <w:color w:val="000000"/>
          <w:spacing w:val="-9"/>
        </w:rPr>
        <w:t>l</w:t>
      </w:r>
      <w:r>
        <w:rPr>
          <w:color w:val="000000"/>
          <w:spacing w:val="9"/>
        </w:rPr>
        <w:t>o</w:t>
      </w:r>
      <w:r>
        <w:rPr>
          <w:color w:val="000000"/>
          <w:spacing w:val="-5"/>
        </w:rPr>
        <w:t>b</w:t>
      </w:r>
      <w:r>
        <w:rPr>
          <w:color w:val="000000"/>
          <w:spacing w:val="4"/>
        </w:rPr>
        <w:t>a</w:t>
      </w:r>
      <w:r>
        <w:rPr>
          <w:color w:val="000000"/>
        </w:rPr>
        <w:t>l</w:t>
      </w:r>
      <w:r>
        <w:rPr>
          <w:color w:val="000000"/>
          <w:spacing w:val="-4"/>
        </w:rPr>
        <w:t>i</w:t>
      </w:r>
      <w:r>
        <w:rPr>
          <w:color w:val="000000"/>
          <w:spacing w:val="-1"/>
        </w:rPr>
        <w:t>z</w:t>
      </w:r>
      <w:r>
        <w:rPr>
          <w:color w:val="000000"/>
          <w:spacing w:val="4"/>
        </w:rPr>
        <w:t>ac</w:t>
      </w:r>
      <w:r>
        <w:rPr>
          <w:color w:val="000000"/>
          <w:spacing w:val="-4"/>
        </w:rPr>
        <w:t>ij</w:t>
      </w:r>
      <w:r>
        <w:rPr>
          <w:color w:val="000000"/>
          <w:spacing w:val="4"/>
        </w:rPr>
        <w:t>a</w:t>
      </w:r>
      <w:r>
        <w:rPr>
          <w:color w:val="000000"/>
        </w:rPr>
        <w:t xml:space="preserve">i </w:t>
      </w:r>
      <w:r>
        <w:rPr>
          <w:color w:val="000000"/>
          <w:spacing w:val="15"/>
        </w:rPr>
        <w:t xml:space="preserve"> </w:t>
      </w:r>
      <w:r>
        <w:rPr>
          <w:color w:val="000000"/>
          <w:spacing w:val="-1"/>
        </w:rPr>
        <w:t>a</w:t>
      </w:r>
      <w:r>
        <w:rPr>
          <w:color w:val="000000"/>
          <w:spacing w:val="5"/>
        </w:rPr>
        <w:t>t</w:t>
      </w:r>
      <w:r>
        <w:rPr>
          <w:color w:val="000000"/>
          <w:spacing w:val="2"/>
        </w:rPr>
        <w:t>s</w:t>
      </w:r>
      <w:r>
        <w:rPr>
          <w:color w:val="000000"/>
          <w:spacing w:val="-9"/>
        </w:rPr>
        <w:t>i</w:t>
      </w:r>
      <w:r>
        <w:rPr>
          <w:color w:val="000000"/>
          <w:spacing w:val="1"/>
        </w:rPr>
        <w:t>r</w:t>
      </w:r>
      <w:r>
        <w:rPr>
          <w:color w:val="000000"/>
          <w:spacing w:val="4"/>
        </w:rPr>
        <w:t>a</w:t>
      </w:r>
      <w:r>
        <w:rPr>
          <w:color w:val="000000"/>
          <w:spacing w:val="-5"/>
        </w:rPr>
        <w:t>n</w:t>
      </w:r>
      <w:r>
        <w:rPr>
          <w:color w:val="000000"/>
          <w:spacing w:val="5"/>
        </w:rPr>
        <w:t>d</w:t>
      </w:r>
      <w:r>
        <w:rPr>
          <w:color w:val="000000"/>
        </w:rPr>
        <w:t xml:space="preserve">a </w:t>
      </w:r>
      <w:r>
        <w:rPr>
          <w:color w:val="000000"/>
          <w:spacing w:val="18"/>
        </w:rPr>
        <w:t xml:space="preserve"> </w:t>
      </w:r>
      <w:r>
        <w:rPr>
          <w:color w:val="000000"/>
          <w:spacing w:val="-9"/>
        </w:rPr>
        <w:t>i</w:t>
      </w:r>
      <w:r>
        <w:rPr>
          <w:color w:val="000000"/>
        </w:rPr>
        <w:t xml:space="preserve">r </w:t>
      </w:r>
      <w:r>
        <w:rPr>
          <w:color w:val="000000"/>
          <w:spacing w:val="25"/>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 xml:space="preserve">ų </w:t>
      </w:r>
      <w:r>
        <w:rPr>
          <w:color w:val="000000"/>
          <w:spacing w:val="14"/>
        </w:rPr>
        <w:t xml:space="preserve"> </w:t>
      </w:r>
      <w:r>
        <w:rPr>
          <w:color w:val="000000"/>
        </w:rPr>
        <w:t>k</w:t>
      </w:r>
      <w:r>
        <w:rPr>
          <w:color w:val="000000"/>
          <w:spacing w:val="6"/>
        </w:rPr>
        <w:t>r</w:t>
      </w:r>
      <w:r>
        <w:rPr>
          <w:color w:val="000000"/>
          <w:spacing w:val="-5"/>
        </w:rPr>
        <w:t>y</w:t>
      </w:r>
      <w:r>
        <w:rPr>
          <w:color w:val="000000"/>
        </w:rPr>
        <w:t>p</w:t>
      </w:r>
      <w:r>
        <w:rPr>
          <w:color w:val="000000"/>
          <w:spacing w:val="4"/>
        </w:rPr>
        <w:t>č</w:t>
      </w:r>
      <w:r>
        <w:rPr>
          <w:color w:val="000000"/>
          <w:spacing w:val="-4"/>
        </w:rPr>
        <w:t>i</w:t>
      </w:r>
      <w:r>
        <w:rPr>
          <w:color w:val="000000"/>
        </w:rPr>
        <w:t xml:space="preserve">ų, </w:t>
      </w:r>
      <w:r>
        <w:rPr>
          <w:color w:val="000000"/>
          <w:spacing w:val="16"/>
        </w:rPr>
        <w:t xml:space="preserve"> </w:t>
      </w:r>
      <w:r>
        <w:rPr>
          <w:color w:val="000000"/>
        </w:rPr>
        <w:t>t</w:t>
      </w:r>
      <w:r>
        <w:rPr>
          <w:color w:val="000000"/>
          <w:spacing w:val="-44"/>
        </w:rPr>
        <w:t xml:space="preserve"> </w:t>
      </w:r>
      <w:r>
        <w:rPr>
          <w:color w:val="000000"/>
          <w:spacing w:val="-1"/>
        </w:rPr>
        <w:t>a</w:t>
      </w:r>
      <w:r>
        <w:rPr>
          <w:color w:val="000000"/>
          <w:spacing w:val="4"/>
        </w:rPr>
        <w:t>č</w:t>
      </w:r>
      <w:r>
        <w:rPr>
          <w:color w:val="000000"/>
          <w:spacing w:val="-9"/>
        </w:rPr>
        <w:t>i</w:t>
      </w:r>
      <w:r>
        <w:rPr>
          <w:color w:val="000000"/>
          <w:spacing w:val="-1"/>
        </w:rPr>
        <w:t>a</w:t>
      </w:r>
      <w:r>
        <w:rPr>
          <w:color w:val="000000"/>
        </w:rPr>
        <w:t xml:space="preserve">u </w:t>
      </w:r>
      <w:r>
        <w:rPr>
          <w:color w:val="000000"/>
          <w:spacing w:val="1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 xml:space="preserve">e </w:t>
      </w:r>
      <w:r>
        <w:rPr>
          <w:color w:val="000000"/>
          <w:spacing w:val="23"/>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spacing w:val="5"/>
        </w:rPr>
        <w:t>k</w:t>
      </w:r>
      <w:r>
        <w:rPr>
          <w:color w:val="000000"/>
        </w:rPr>
        <w:t xml:space="preserve">ų </w:t>
      </w:r>
      <w:r>
        <w:rPr>
          <w:color w:val="000000"/>
          <w:spacing w:val="1"/>
        </w:rPr>
        <w:t>r</w:t>
      </w:r>
      <w:r>
        <w:rPr>
          <w:color w:val="000000"/>
          <w:spacing w:val="4"/>
        </w:rPr>
        <w:t>e</w:t>
      </w:r>
      <w:r>
        <w:rPr>
          <w:color w:val="000000"/>
          <w:spacing w:val="-9"/>
        </w:rPr>
        <w:t>i</w:t>
      </w:r>
      <w:r>
        <w:rPr>
          <w:color w:val="000000"/>
          <w:spacing w:val="-2"/>
        </w:rPr>
        <w:t>š</w:t>
      </w:r>
      <w:r>
        <w:rPr>
          <w:color w:val="000000"/>
          <w:spacing w:val="5"/>
        </w:rPr>
        <w:t>k</w:t>
      </w:r>
      <w:r>
        <w:rPr>
          <w:color w:val="000000"/>
          <w:spacing w:val="-4"/>
        </w:rPr>
        <w:t>i</w:t>
      </w:r>
      <w:r>
        <w:rPr>
          <w:color w:val="000000"/>
          <w:spacing w:val="5"/>
        </w:rPr>
        <w:t>n</w:t>
      </w:r>
      <w:r>
        <w:rPr>
          <w:color w:val="000000"/>
          <w:spacing w:val="-5"/>
        </w:rPr>
        <w:t>y</w:t>
      </w:r>
      <w:r>
        <w:rPr>
          <w:color w:val="000000"/>
        </w:rPr>
        <w:t>s</w:t>
      </w:r>
      <w:r>
        <w:rPr>
          <w:color w:val="000000"/>
          <w:spacing w:val="5"/>
        </w:rPr>
        <w:t xml:space="preserve"> </w:t>
      </w:r>
      <w:r>
        <w:rPr>
          <w:color w:val="000000"/>
          <w:spacing w:val="-4"/>
        </w:rPr>
        <w:t>į</w:t>
      </w:r>
      <w:r>
        <w:rPr>
          <w:color w:val="000000"/>
        </w:rPr>
        <w:t>g</w:t>
      </w:r>
      <w:r>
        <w:rPr>
          <w:color w:val="000000"/>
          <w:spacing w:val="4"/>
        </w:rPr>
        <w:t>a</w:t>
      </w:r>
      <w:r>
        <w:rPr>
          <w:color w:val="000000"/>
          <w:spacing w:val="-5"/>
        </w:rPr>
        <w:t>v</w:t>
      </w:r>
      <w:r>
        <w:rPr>
          <w:color w:val="000000"/>
        </w:rPr>
        <w:t>o</w:t>
      </w:r>
      <w:r>
        <w:rPr>
          <w:color w:val="000000"/>
          <w:spacing w:val="7"/>
        </w:rPr>
        <w:t xml:space="preserve"> </w:t>
      </w:r>
      <w:r>
        <w:rPr>
          <w:color w:val="000000"/>
          <w:spacing w:val="-2"/>
        </w:rPr>
        <w:t>s</w:t>
      </w:r>
      <w:r>
        <w:rPr>
          <w:color w:val="000000"/>
          <w:spacing w:val="5"/>
        </w:rPr>
        <w:t>t</w:t>
      </w:r>
      <w:r>
        <w:rPr>
          <w:color w:val="000000"/>
          <w:spacing w:val="-1"/>
        </w:rPr>
        <w:t>a</w:t>
      </w:r>
      <w:r>
        <w:rPr>
          <w:color w:val="000000"/>
        </w:rPr>
        <w:t>b</w:t>
      </w:r>
      <w:r>
        <w:rPr>
          <w:color w:val="000000"/>
          <w:spacing w:val="-4"/>
        </w:rPr>
        <w:t>il</w:t>
      </w:r>
      <w:r>
        <w:rPr>
          <w:color w:val="000000"/>
          <w:spacing w:val="5"/>
        </w:rPr>
        <w:t>u</w:t>
      </w:r>
      <w:r>
        <w:rPr>
          <w:color w:val="000000"/>
          <w:spacing w:val="-9"/>
        </w:rPr>
        <w:t>m</w:t>
      </w:r>
      <w:r>
        <w:rPr>
          <w:color w:val="000000"/>
        </w:rPr>
        <w:t>o</w:t>
      </w:r>
      <w:r>
        <w:rPr>
          <w:color w:val="000000"/>
          <w:spacing w:val="7"/>
        </w:rPr>
        <w:t xml:space="preserve"> </w:t>
      </w:r>
      <w:r>
        <w:rPr>
          <w:color w:val="000000"/>
        </w:rPr>
        <w:t>p</w:t>
      </w:r>
      <w:r>
        <w:rPr>
          <w:color w:val="000000"/>
          <w:spacing w:val="5"/>
        </w:rPr>
        <w:t>o</w:t>
      </w:r>
      <w:r>
        <w:rPr>
          <w:color w:val="000000"/>
          <w:spacing w:val="-1"/>
        </w:rPr>
        <w:t>ž</w:t>
      </w:r>
      <w:r>
        <w:rPr>
          <w:color w:val="000000"/>
          <w:spacing w:val="-5"/>
        </w:rPr>
        <w:t>y</w:t>
      </w:r>
      <w:r>
        <w:rPr>
          <w:color w:val="000000"/>
        </w:rPr>
        <w:t>m</w:t>
      </w:r>
      <w:r>
        <w:rPr>
          <w:color w:val="000000"/>
          <w:spacing w:val="-4"/>
        </w:rPr>
        <w:t>i</w:t>
      </w:r>
      <w:r>
        <w:rPr>
          <w:color w:val="000000"/>
        </w:rPr>
        <w:t>ų,</w:t>
      </w:r>
      <w:r>
        <w:rPr>
          <w:color w:val="000000"/>
          <w:spacing w:val="4"/>
        </w:rPr>
        <w:t xml:space="preserve"> </w:t>
      </w:r>
      <w:r>
        <w:rPr>
          <w:color w:val="000000"/>
          <w:spacing w:val="5"/>
        </w:rPr>
        <w:t>t</w:t>
      </w:r>
      <w:r>
        <w:rPr>
          <w:color w:val="000000"/>
        </w:rPr>
        <w:t xml:space="preserve">. </w:t>
      </w:r>
      <w:r>
        <w:rPr>
          <w:color w:val="000000"/>
          <w:spacing w:val="-10"/>
        </w:rPr>
        <w:t>y</w:t>
      </w:r>
      <w:r>
        <w:rPr>
          <w:color w:val="000000"/>
        </w:rPr>
        <w:t>.</w:t>
      </w:r>
      <w:r>
        <w:rPr>
          <w:color w:val="000000"/>
          <w:spacing w:val="4"/>
        </w:rPr>
        <w:t xml:space="preserve"> </w:t>
      </w:r>
      <w:r>
        <w:rPr>
          <w:color w:val="000000"/>
        </w:rPr>
        <w:t>p</w:t>
      </w:r>
      <w:r>
        <w:rPr>
          <w:color w:val="000000"/>
          <w:spacing w:val="-1"/>
        </w:rPr>
        <w:t>a</w:t>
      </w:r>
      <w:r>
        <w:rPr>
          <w:color w:val="000000"/>
        </w:rPr>
        <w:t>g</w:t>
      </w:r>
      <w:r>
        <w:rPr>
          <w:color w:val="000000"/>
          <w:spacing w:val="6"/>
        </w:rPr>
        <w:t>r</w:t>
      </w:r>
      <w:r>
        <w:rPr>
          <w:color w:val="000000"/>
          <w:spacing w:val="-4"/>
        </w:rPr>
        <w:t>i</w:t>
      </w:r>
      <w:r>
        <w:rPr>
          <w:color w:val="000000"/>
          <w:spacing w:val="-5"/>
        </w:rPr>
        <w:t>n</w:t>
      </w:r>
      <w:r>
        <w:rPr>
          <w:color w:val="000000"/>
          <w:spacing w:val="5"/>
        </w:rPr>
        <w:t>d</w:t>
      </w:r>
      <w:r>
        <w:rPr>
          <w:color w:val="000000"/>
          <w:spacing w:val="-4"/>
        </w:rPr>
        <w:t>i</w:t>
      </w:r>
      <w:r>
        <w:rPr>
          <w:color w:val="000000"/>
          <w:spacing w:val="5"/>
        </w:rPr>
        <w:t>n</w:t>
      </w:r>
      <w:r>
        <w:rPr>
          <w:color w:val="000000"/>
          <w:spacing w:val="-1"/>
        </w:rPr>
        <w:t>ė</w:t>
      </w:r>
      <w:r>
        <w:rPr>
          <w:color w:val="000000"/>
        </w:rPr>
        <w:t xml:space="preserve">s </w:t>
      </w:r>
      <w:r>
        <w:rPr>
          <w:color w:val="000000"/>
          <w:spacing w:val="5"/>
        </w:rPr>
        <w:t>t</w:t>
      </w:r>
      <w:r>
        <w:rPr>
          <w:color w:val="000000"/>
          <w:spacing w:val="-1"/>
        </w:rPr>
        <w:t>e</w:t>
      </w:r>
      <w:r>
        <w:rPr>
          <w:color w:val="000000"/>
          <w:spacing w:val="-5"/>
        </w:rPr>
        <w:t>n</w:t>
      </w:r>
      <w:r>
        <w:rPr>
          <w:color w:val="000000"/>
        </w:rPr>
        <w:t>d</w:t>
      </w:r>
      <w:r>
        <w:rPr>
          <w:color w:val="000000"/>
          <w:spacing w:val="-1"/>
        </w:rPr>
        <w:t>e</w:t>
      </w:r>
      <w:r>
        <w:rPr>
          <w:color w:val="000000"/>
        </w:rPr>
        <w:t>n</w:t>
      </w:r>
      <w:r>
        <w:rPr>
          <w:color w:val="000000"/>
          <w:spacing w:val="4"/>
        </w:rPr>
        <w:t>c</w:t>
      </w:r>
      <w:r>
        <w:rPr>
          <w:color w:val="000000"/>
          <w:spacing w:val="-4"/>
        </w:rPr>
        <w:t>i</w:t>
      </w:r>
      <w:r>
        <w:rPr>
          <w:color w:val="000000"/>
          <w:spacing w:val="-9"/>
        </w:rPr>
        <w:t>j</w:t>
      </w:r>
      <w:r>
        <w:rPr>
          <w:color w:val="000000"/>
          <w:spacing w:val="9"/>
        </w:rPr>
        <w:t>o</w:t>
      </w:r>
      <w:r>
        <w:rPr>
          <w:color w:val="000000"/>
        </w:rPr>
        <w:t>s</w:t>
      </w:r>
      <w:r>
        <w:rPr>
          <w:color w:val="000000"/>
          <w:spacing w:val="5"/>
        </w:rPr>
        <w:t xml:space="preserve"> </w:t>
      </w:r>
      <w:r>
        <w:rPr>
          <w:color w:val="000000"/>
          <w:spacing w:val="-4"/>
        </w:rPr>
        <w:t>i</w:t>
      </w:r>
      <w:r>
        <w:rPr>
          <w:color w:val="000000"/>
        </w:rPr>
        <w:t xml:space="preserve">š </w:t>
      </w:r>
      <w:r>
        <w:rPr>
          <w:color w:val="000000"/>
          <w:spacing w:val="-1"/>
        </w:rPr>
        <w:t>e</w:t>
      </w:r>
      <w:r>
        <w:rPr>
          <w:color w:val="000000"/>
          <w:spacing w:val="2"/>
        </w:rPr>
        <w:t>s</w:t>
      </w:r>
      <w:r>
        <w:rPr>
          <w:color w:val="000000"/>
          <w:spacing w:val="-4"/>
        </w:rPr>
        <w:t>m</w:t>
      </w:r>
      <w:r>
        <w:rPr>
          <w:color w:val="000000"/>
          <w:spacing w:val="-1"/>
        </w:rPr>
        <w:t>ė</w:t>
      </w:r>
      <w:r>
        <w:rPr>
          <w:color w:val="000000"/>
        </w:rPr>
        <w:t>s</w:t>
      </w:r>
      <w:r>
        <w:rPr>
          <w:color w:val="000000"/>
          <w:spacing w:val="5"/>
        </w:rPr>
        <w:t xml:space="preserve"> </w:t>
      </w:r>
      <w:r>
        <w:rPr>
          <w:color w:val="000000"/>
          <w:spacing w:val="-5"/>
        </w:rPr>
        <w:t>n</w:t>
      </w:r>
      <w:r>
        <w:rPr>
          <w:color w:val="000000"/>
          <w:spacing w:val="-1"/>
        </w:rPr>
        <w:t>e</w:t>
      </w:r>
      <w:r>
        <w:rPr>
          <w:color w:val="000000"/>
          <w:spacing w:val="2"/>
        </w:rPr>
        <w:t>s</w:t>
      </w:r>
      <w:r>
        <w:rPr>
          <w:color w:val="000000"/>
          <w:spacing w:val="-4"/>
        </w:rPr>
        <w:t>i</w:t>
      </w:r>
      <w:r>
        <w:rPr>
          <w:color w:val="000000"/>
          <w:spacing w:val="5"/>
        </w:rPr>
        <w:t>k</w:t>
      </w:r>
      <w:r>
        <w:rPr>
          <w:color w:val="000000"/>
          <w:spacing w:val="4"/>
        </w:rPr>
        <w:t>e</w:t>
      </w:r>
      <w:r>
        <w:rPr>
          <w:color w:val="000000"/>
          <w:spacing w:val="-4"/>
        </w:rPr>
        <w:t>i</w:t>
      </w:r>
      <w:r>
        <w:rPr>
          <w:color w:val="000000"/>
          <w:spacing w:val="4"/>
        </w:rPr>
        <w:t>č</w:t>
      </w:r>
      <w:r>
        <w:rPr>
          <w:color w:val="000000"/>
          <w:spacing w:val="-4"/>
        </w:rPr>
        <w:t>i</w:t>
      </w:r>
      <w:r>
        <w:rPr>
          <w:color w:val="000000"/>
        </w:rPr>
        <w:t>a</w:t>
      </w:r>
      <w:r>
        <w:rPr>
          <w:color w:val="000000"/>
          <w:spacing w:val="6"/>
        </w:rPr>
        <w:t xml:space="preserve"> </w:t>
      </w:r>
      <w:r>
        <w:rPr>
          <w:color w:val="000000"/>
          <w:spacing w:val="-9"/>
        </w:rPr>
        <w:t>j</w:t>
      </w:r>
      <w:r>
        <w:rPr>
          <w:color w:val="000000"/>
          <w:spacing w:val="-1"/>
        </w:rPr>
        <w:t>a</w:t>
      </w:r>
      <w:r>
        <w:rPr>
          <w:color w:val="000000"/>
        </w:rPr>
        <w:t>u</w:t>
      </w:r>
      <w:r>
        <w:rPr>
          <w:color w:val="000000"/>
          <w:spacing w:val="2"/>
        </w:rPr>
        <w:t xml:space="preserve"> </w:t>
      </w:r>
      <w:r>
        <w:rPr>
          <w:color w:val="000000"/>
        </w:rPr>
        <w:t>ku</w:t>
      </w:r>
      <w:r>
        <w:rPr>
          <w:color w:val="000000"/>
          <w:spacing w:val="6"/>
        </w:rPr>
        <w:t>r</w:t>
      </w:r>
      <w:r>
        <w:rPr>
          <w:color w:val="000000"/>
        </w:rPr>
        <w:t>į</w:t>
      </w:r>
      <w:r>
        <w:rPr>
          <w:color w:val="000000"/>
          <w:spacing w:val="-2"/>
        </w:rPr>
        <w:t xml:space="preserve"> </w:t>
      </w:r>
      <w:r>
        <w:rPr>
          <w:color w:val="000000"/>
          <w:spacing w:val="-4"/>
        </w:rPr>
        <w:t>l</w:t>
      </w:r>
      <w:r>
        <w:rPr>
          <w:color w:val="000000"/>
          <w:spacing w:val="4"/>
        </w:rPr>
        <w:t>a</w:t>
      </w:r>
      <w:r>
        <w:rPr>
          <w:color w:val="000000"/>
          <w:spacing w:val="-4"/>
        </w:rPr>
        <w:t>i</w:t>
      </w:r>
      <w:r>
        <w:rPr>
          <w:color w:val="000000"/>
        </w:rPr>
        <w:t>k</w:t>
      </w:r>
      <w:r>
        <w:rPr>
          <w:color w:val="000000"/>
          <w:spacing w:val="-1"/>
        </w:rPr>
        <w:t>ą</w:t>
      </w:r>
      <w:r>
        <w:rPr>
          <w:color w:val="000000"/>
        </w:rPr>
        <w:t>.</w:t>
      </w:r>
    </w:p>
    <w:p w:rsidR="004F7425" w:rsidRDefault="004F7425" w:rsidP="004F7425">
      <w:pPr>
        <w:widowControl w:val="0"/>
        <w:autoSpaceDE w:val="0"/>
        <w:autoSpaceDN w:val="0"/>
        <w:adjustRightInd w:val="0"/>
        <w:spacing w:before="1"/>
        <w:ind w:left="120" w:right="50" w:firstLine="721"/>
        <w:jc w:val="both"/>
        <w:rPr>
          <w:color w:val="000000"/>
        </w:rPr>
      </w:pPr>
      <w:r>
        <w:rPr>
          <w:color w:val="000000"/>
          <w:spacing w:val="2"/>
        </w:rPr>
        <w:t>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rPr>
        <w:t xml:space="preserve">s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7"/>
        </w:rPr>
        <w:t xml:space="preserve"> </w:t>
      </w:r>
      <w:r>
        <w:rPr>
          <w:color w:val="000000"/>
          <w:spacing w:val="-9"/>
        </w:rPr>
        <w:t>i</w:t>
      </w:r>
      <w:r>
        <w:rPr>
          <w:color w:val="000000"/>
        </w:rPr>
        <w:t>r</w:t>
      </w:r>
      <w:r>
        <w:rPr>
          <w:color w:val="000000"/>
          <w:spacing w:val="9"/>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w:t>
      </w:r>
      <w:r>
        <w:rPr>
          <w:color w:val="000000"/>
          <w:spacing w:val="-4"/>
        </w:rPr>
        <w:t>m</w:t>
      </w:r>
      <w:r>
        <w:rPr>
          <w:color w:val="000000"/>
          <w:spacing w:val="4"/>
        </w:rPr>
        <w:t>a</w:t>
      </w:r>
      <w:r>
        <w:rPr>
          <w:color w:val="000000"/>
        </w:rPr>
        <w:t>n</w:t>
      </w:r>
      <w:r>
        <w:rPr>
          <w:color w:val="000000"/>
          <w:spacing w:val="-4"/>
        </w:rPr>
        <w:t>i</w:t>
      </w:r>
      <w:r>
        <w:rPr>
          <w:color w:val="000000"/>
          <w:spacing w:val="-9"/>
        </w:rPr>
        <w:t>j</w:t>
      </w:r>
      <w:r>
        <w:rPr>
          <w:color w:val="000000"/>
          <w:spacing w:val="9"/>
        </w:rPr>
        <w:t>o</w:t>
      </w:r>
      <w:r>
        <w:rPr>
          <w:color w:val="000000"/>
        </w:rPr>
        <w:t xml:space="preserve">s </w:t>
      </w:r>
      <w:r>
        <w:rPr>
          <w:color w:val="000000"/>
          <w:spacing w:val="-2"/>
        </w:rPr>
        <w:t>s</w:t>
      </w:r>
      <w:r>
        <w:rPr>
          <w:color w:val="000000"/>
          <w:spacing w:val="5"/>
        </w:rPr>
        <w:t>t</w:t>
      </w:r>
      <w:r>
        <w:rPr>
          <w:color w:val="000000"/>
          <w:spacing w:val="-1"/>
        </w:rPr>
        <w:t>e</w:t>
      </w:r>
      <w:r>
        <w:rPr>
          <w:color w:val="000000"/>
          <w:spacing w:val="-5"/>
        </w:rPr>
        <w:t>b</w:t>
      </w:r>
      <w:r>
        <w:rPr>
          <w:color w:val="000000"/>
          <w:spacing w:val="4"/>
        </w:rPr>
        <w:t>ė</w:t>
      </w:r>
      <w:r>
        <w:rPr>
          <w:color w:val="000000"/>
          <w:spacing w:val="-2"/>
        </w:rPr>
        <w:t>s</w:t>
      </w:r>
      <w:r>
        <w:rPr>
          <w:color w:val="000000"/>
          <w:spacing w:val="4"/>
        </w:rPr>
        <w:t>e</w:t>
      </w:r>
      <w:r>
        <w:rPr>
          <w:color w:val="000000"/>
          <w:spacing w:val="-5"/>
        </w:rPr>
        <w:t>n</w:t>
      </w:r>
      <w:r>
        <w:rPr>
          <w:color w:val="000000"/>
          <w:spacing w:val="5"/>
        </w:rPr>
        <w:t>o</w:t>
      </w:r>
      <w:r>
        <w:rPr>
          <w:color w:val="000000"/>
        </w:rPr>
        <w:t xml:space="preserve">s </w:t>
      </w:r>
      <w:r>
        <w:rPr>
          <w:color w:val="000000"/>
          <w:spacing w:val="-1"/>
        </w:rPr>
        <w:t>ce</w:t>
      </w:r>
      <w:r>
        <w:rPr>
          <w:color w:val="000000"/>
          <w:spacing w:val="-5"/>
        </w:rPr>
        <w:t>n</w:t>
      </w:r>
      <w:r>
        <w:rPr>
          <w:color w:val="000000"/>
          <w:spacing w:val="5"/>
        </w:rPr>
        <w:t>t</w:t>
      </w:r>
      <w:r>
        <w:rPr>
          <w:color w:val="000000"/>
          <w:spacing w:val="1"/>
        </w:rPr>
        <w:t>r</w:t>
      </w:r>
      <w:r>
        <w:rPr>
          <w:color w:val="000000"/>
        </w:rPr>
        <w:t>o</w:t>
      </w:r>
      <w:r>
        <w:rPr>
          <w:color w:val="000000"/>
          <w:spacing w:val="3"/>
        </w:rPr>
        <w:t xml:space="preserve"> </w:t>
      </w:r>
      <w:r>
        <w:rPr>
          <w:color w:val="000000"/>
          <w:spacing w:val="-3"/>
        </w:rPr>
        <w:t>(</w:t>
      </w:r>
      <w:r>
        <w:rPr>
          <w:color w:val="000000"/>
          <w:spacing w:val="2"/>
        </w:rPr>
        <w:t>E</w:t>
      </w:r>
      <w:r>
        <w:rPr>
          <w:color w:val="000000"/>
          <w:spacing w:val="-2"/>
        </w:rPr>
        <w:t>MC</w:t>
      </w:r>
      <w:r>
        <w:rPr>
          <w:color w:val="000000"/>
        </w:rPr>
        <w:t>D</w:t>
      </w:r>
      <w:r>
        <w:rPr>
          <w:color w:val="000000"/>
          <w:spacing w:val="-1"/>
        </w:rPr>
        <w:t>D</w:t>
      </w:r>
      <w:r>
        <w:rPr>
          <w:color w:val="000000"/>
          <w:spacing w:val="-5"/>
        </w:rPr>
        <w:t>A</w:t>
      </w:r>
      <w:r>
        <w:rPr>
          <w:color w:val="000000"/>
        </w:rPr>
        <w:t>)</w:t>
      </w:r>
      <w:r>
        <w:rPr>
          <w:color w:val="000000"/>
          <w:spacing w:val="4"/>
        </w:rPr>
        <w:t xml:space="preserve"> </w:t>
      </w:r>
      <w:r>
        <w:rPr>
          <w:color w:val="000000"/>
        </w:rPr>
        <w:t>du</w:t>
      </w:r>
      <w:r>
        <w:rPr>
          <w:color w:val="000000"/>
          <w:spacing w:val="9"/>
        </w:rPr>
        <w:t>o</w:t>
      </w:r>
      <w:r>
        <w:rPr>
          <w:color w:val="000000"/>
          <w:spacing w:val="-9"/>
        </w:rPr>
        <w:t>m</w:t>
      </w:r>
      <w:r>
        <w:rPr>
          <w:color w:val="000000"/>
          <w:spacing w:val="4"/>
        </w:rPr>
        <w:t>e</w:t>
      </w:r>
      <w:r>
        <w:rPr>
          <w:color w:val="000000"/>
        </w:rPr>
        <w:t>ni</w:t>
      </w:r>
      <w:r>
        <w:rPr>
          <w:color w:val="000000"/>
          <w:spacing w:val="-4"/>
        </w:rPr>
        <w:t>mi</w:t>
      </w:r>
      <w:r>
        <w:rPr>
          <w:color w:val="000000"/>
          <w:spacing w:val="-2"/>
        </w:rPr>
        <w:t>s</w:t>
      </w:r>
      <w:r>
        <w:rPr>
          <w:color w:val="000000"/>
        </w:rPr>
        <w:t>,</w:t>
      </w:r>
      <w:r>
        <w:rPr>
          <w:color w:val="000000"/>
          <w:spacing w:val="5"/>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spacing w:val="-4"/>
        </w:rPr>
        <w:t>j</w:t>
      </w:r>
      <w:r>
        <w:rPr>
          <w:color w:val="000000"/>
        </w:rPr>
        <w:t xml:space="preserve">e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9"/>
        </w:rPr>
        <w:t>i</w:t>
      </w:r>
      <w:r>
        <w:rPr>
          <w:color w:val="000000"/>
        </w:rPr>
        <w:t>,</w:t>
      </w:r>
      <w:r>
        <w:rPr>
          <w:color w:val="000000"/>
          <w:spacing w:val="4"/>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4"/>
        </w:rPr>
        <w:t>a</w:t>
      </w:r>
      <w:r>
        <w:rPr>
          <w:color w:val="000000"/>
          <w:spacing w:val="-2"/>
        </w:rPr>
        <w:t>s</w:t>
      </w:r>
      <w:r>
        <w:rPr>
          <w:color w:val="000000"/>
        </w:rPr>
        <w:t>,</w:t>
      </w:r>
      <w:r>
        <w:rPr>
          <w:color w:val="000000"/>
          <w:spacing w:val="4"/>
        </w:rPr>
        <w:t xml:space="preserve"> </w:t>
      </w:r>
      <w:r>
        <w:rPr>
          <w:color w:val="000000"/>
          <w:spacing w:val="-1"/>
        </w:rPr>
        <w:t>ec</w:t>
      </w:r>
      <w:r>
        <w:rPr>
          <w:color w:val="000000"/>
          <w:spacing w:val="-2"/>
        </w:rPr>
        <w:t>s</w:t>
      </w:r>
      <w:r>
        <w:rPr>
          <w:color w:val="000000"/>
          <w:spacing w:val="5"/>
        </w:rPr>
        <w:t>t</w:t>
      </w:r>
      <w:r>
        <w:rPr>
          <w:color w:val="000000"/>
          <w:spacing w:val="-1"/>
        </w:rPr>
        <w:t>a</w:t>
      </w:r>
      <w:r>
        <w:rPr>
          <w:color w:val="000000"/>
          <w:spacing w:val="2"/>
        </w:rPr>
        <w:t>s</w:t>
      </w:r>
      <w:r>
        <w:rPr>
          <w:color w:val="000000"/>
          <w:spacing w:val="-10"/>
        </w:rPr>
        <w:t>y</w:t>
      </w:r>
      <w:r>
        <w:rPr>
          <w:color w:val="000000"/>
        </w:rPr>
        <w:t>,</w:t>
      </w:r>
      <w:r>
        <w:rPr>
          <w:color w:val="000000"/>
          <w:spacing w:val="4"/>
        </w:rPr>
        <w:t xml:space="preserve"> </w:t>
      </w:r>
      <w:r>
        <w:rPr>
          <w:color w:val="000000"/>
        </w:rPr>
        <w:t>o</w:t>
      </w:r>
      <w:r>
        <w:rPr>
          <w:color w:val="000000"/>
          <w:spacing w:val="7"/>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a</w:t>
      </w:r>
      <w:r>
        <w:rPr>
          <w:color w:val="000000"/>
          <w:spacing w:val="1"/>
        </w:rPr>
        <w:t>r</w:t>
      </w:r>
      <w:r>
        <w:rPr>
          <w:color w:val="000000"/>
          <w:spacing w:val="-1"/>
        </w:rPr>
        <w:t>a</w:t>
      </w:r>
      <w:r>
        <w:rPr>
          <w:color w:val="000000"/>
          <w:spacing w:val="-4"/>
        </w:rPr>
        <w:t>i</w:t>
      </w:r>
      <w:r>
        <w:rPr>
          <w:color w:val="000000"/>
          <w:spacing w:val="2"/>
        </w:rPr>
        <w:t>s</w:t>
      </w:r>
      <w:r>
        <w:rPr>
          <w:color w:val="000000"/>
          <w:spacing w:val="-4"/>
        </w:rPr>
        <w:t>i</w:t>
      </w:r>
      <w:r>
        <w:rPr>
          <w:color w:val="000000"/>
          <w:spacing w:val="4"/>
        </w:rPr>
        <w:t>a</w:t>
      </w:r>
      <w:r>
        <w:rPr>
          <w:color w:val="000000"/>
          <w:spacing w:val="-4"/>
        </w:rPr>
        <w:t>i</w:t>
      </w:r>
      <w:r>
        <w:rPr>
          <w:color w:val="000000"/>
        </w:rPr>
        <w:t>s</w:t>
      </w:r>
      <w:r>
        <w:rPr>
          <w:color w:val="000000"/>
          <w:spacing w:val="12"/>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rPr>
        <w:t>s</w:t>
      </w:r>
      <w:r>
        <w:rPr>
          <w:color w:val="000000"/>
          <w:spacing w:val="5"/>
        </w:rPr>
        <w:t xml:space="preserve"> </w:t>
      </w:r>
      <w:r>
        <w:rPr>
          <w:color w:val="000000"/>
          <w:spacing w:val="-9"/>
        </w:rPr>
        <w:t>i</w:t>
      </w:r>
      <w:r>
        <w:rPr>
          <w:color w:val="000000"/>
        </w:rPr>
        <w:t>r</w:t>
      </w:r>
      <w:r>
        <w:rPr>
          <w:color w:val="000000"/>
          <w:spacing w:val="4"/>
        </w:rPr>
        <w:t xml:space="preserve">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10"/>
        </w:rPr>
        <w:t>t</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2"/>
        </w:rPr>
        <w:t xml:space="preserve"> </w:t>
      </w:r>
      <w:r>
        <w:rPr>
          <w:color w:val="000000"/>
        </w:rPr>
        <w:t>k</w:t>
      </w:r>
      <w:r>
        <w:rPr>
          <w:color w:val="000000"/>
          <w:spacing w:val="-1"/>
        </w:rPr>
        <w:t>a</w:t>
      </w:r>
      <w:r>
        <w:rPr>
          <w:color w:val="000000"/>
          <w:spacing w:val="10"/>
        </w:rPr>
        <w:t>t</w:t>
      </w:r>
      <w:r>
        <w:rPr>
          <w:color w:val="000000"/>
          <w:spacing w:val="-4"/>
        </w:rPr>
        <w:t>i</w:t>
      </w:r>
      <w:r>
        <w:rPr>
          <w:color w:val="000000"/>
          <w:spacing w:val="-5"/>
        </w:rPr>
        <w:t>n</w:t>
      </w:r>
      <w:r>
        <w:rPr>
          <w:color w:val="000000"/>
          <w:spacing w:val="5"/>
        </w:rPr>
        <w:t>o</w:t>
      </w:r>
      <w:r>
        <w:rPr>
          <w:color w:val="000000"/>
          <w:spacing w:val="-5"/>
        </w:rPr>
        <w:t>n</w:t>
      </w:r>
      <w:r>
        <w:rPr>
          <w:color w:val="000000"/>
          <w:spacing w:val="4"/>
        </w:rPr>
        <w:t>a</w:t>
      </w:r>
      <w:r>
        <w:rPr>
          <w:color w:val="000000"/>
        </w:rPr>
        <w:t>i</w:t>
      </w:r>
      <w:r>
        <w:rPr>
          <w:color w:val="000000"/>
          <w:spacing w:val="-2"/>
        </w:rPr>
        <w:t xml:space="preserve"> </w:t>
      </w:r>
      <w:r>
        <w:rPr>
          <w:color w:val="000000"/>
        </w:rPr>
        <w:t>g</w:t>
      </w:r>
      <w:r>
        <w:rPr>
          <w:color w:val="000000"/>
          <w:spacing w:val="4"/>
        </w:rPr>
        <w:t>a</w:t>
      </w:r>
      <w:r>
        <w:rPr>
          <w:color w:val="000000"/>
        </w:rPr>
        <w:t>li</w:t>
      </w:r>
      <w:r>
        <w:rPr>
          <w:color w:val="000000"/>
          <w:spacing w:val="3"/>
        </w:rPr>
        <w:t xml:space="preserve"> </w:t>
      </w:r>
      <w:r>
        <w:rPr>
          <w:color w:val="000000"/>
          <w:spacing w:val="-5"/>
        </w:rPr>
        <w:t>b</w:t>
      </w:r>
      <w:r>
        <w:rPr>
          <w:color w:val="000000"/>
        </w:rPr>
        <w:t>ū</w:t>
      </w:r>
      <w:r>
        <w:rPr>
          <w:color w:val="000000"/>
          <w:spacing w:val="5"/>
        </w:rPr>
        <w:t>t</w:t>
      </w:r>
      <w:r>
        <w:rPr>
          <w:color w:val="000000"/>
        </w:rPr>
        <w:t>i</w:t>
      </w:r>
      <w:r>
        <w:rPr>
          <w:color w:val="000000"/>
          <w:spacing w:val="-2"/>
        </w:rPr>
        <w:t xml:space="preserve"> </w:t>
      </w:r>
      <w:r>
        <w:rPr>
          <w:color w:val="000000"/>
          <w:spacing w:val="-5"/>
        </w:rPr>
        <w:t>v</w:t>
      </w:r>
      <w:r>
        <w:rPr>
          <w:color w:val="000000"/>
          <w:spacing w:val="-1"/>
        </w:rPr>
        <w:t>e</w:t>
      </w:r>
      <w:r>
        <w:rPr>
          <w:color w:val="000000"/>
          <w:spacing w:val="1"/>
        </w:rPr>
        <w:t>r</w:t>
      </w:r>
      <w:r>
        <w:rPr>
          <w:color w:val="000000"/>
          <w:spacing w:val="10"/>
        </w:rPr>
        <w:t>t</w:t>
      </w:r>
      <w:r>
        <w:rPr>
          <w:color w:val="000000"/>
          <w:spacing w:val="-4"/>
        </w:rPr>
        <w:t>i</w:t>
      </w:r>
      <w:r>
        <w:rPr>
          <w:color w:val="000000"/>
          <w:spacing w:val="-5"/>
        </w:rPr>
        <w:t>n</w:t>
      </w:r>
      <w:r>
        <w:rPr>
          <w:color w:val="000000"/>
          <w:spacing w:val="4"/>
        </w:rPr>
        <w:t>a</w:t>
      </w:r>
      <w:r>
        <w:rPr>
          <w:color w:val="000000"/>
        </w:rPr>
        <w:t>mi</w:t>
      </w:r>
      <w:r>
        <w:rPr>
          <w:color w:val="000000"/>
          <w:spacing w:val="-2"/>
        </w:rPr>
        <w:t xml:space="preserve"> </w:t>
      </w:r>
      <w:r>
        <w:rPr>
          <w:color w:val="000000"/>
        </w:rPr>
        <w:t>k</w:t>
      </w:r>
      <w:r>
        <w:rPr>
          <w:color w:val="000000"/>
          <w:spacing w:val="4"/>
        </w:rPr>
        <w:t>a</w:t>
      </w:r>
      <w:r>
        <w:rPr>
          <w:color w:val="000000"/>
          <w:spacing w:val="-4"/>
        </w:rPr>
        <w:t>i</w:t>
      </w:r>
      <w:r>
        <w:rPr>
          <w:color w:val="000000"/>
        </w:rPr>
        <w:t>p k</w:t>
      </w:r>
      <w:r>
        <w:rPr>
          <w:color w:val="000000"/>
          <w:spacing w:val="5"/>
        </w:rPr>
        <w:t>o</w:t>
      </w:r>
      <w:r>
        <w:rPr>
          <w:color w:val="000000"/>
          <w:spacing w:val="-5"/>
        </w:rPr>
        <w:t>n</w:t>
      </w:r>
      <w:r>
        <w:rPr>
          <w:color w:val="000000"/>
        </w:rPr>
        <w:t>ku</w:t>
      </w:r>
      <w:r>
        <w:rPr>
          <w:color w:val="000000"/>
          <w:spacing w:val="1"/>
        </w:rPr>
        <w:t>r</w:t>
      </w:r>
      <w:r>
        <w:rPr>
          <w:color w:val="000000"/>
        </w:rPr>
        <w:t>u</w:t>
      </w:r>
      <w:r>
        <w:rPr>
          <w:color w:val="000000"/>
          <w:spacing w:val="5"/>
        </w:rPr>
        <w:t>o</w:t>
      </w:r>
      <w:r>
        <w:rPr>
          <w:color w:val="000000"/>
          <w:spacing w:val="-9"/>
        </w:rPr>
        <w:t>j</w:t>
      </w:r>
      <w:r>
        <w:rPr>
          <w:color w:val="000000"/>
          <w:spacing w:val="4"/>
        </w:rPr>
        <w:t>a</w:t>
      </w:r>
      <w:r>
        <w:rPr>
          <w:color w:val="000000"/>
          <w:spacing w:val="-5"/>
        </w:rPr>
        <w:t>n</w:t>
      </w:r>
      <w:r>
        <w:rPr>
          <w:color w:val="000000"/>
          <w:spacing w:val="10"/>
        </w:rPr>
        <w:t>t</w:t>
      </w:r>
      <w:r>
        <w:rPr>
          <w:color w:val="000000"/>
          <w:spacing w:val="-10"/>
        </w:rPr>
        <w:t>y</w:t>
      </w:r>
      <w:r>
        <w:rPr>
          <w:color w:val="000000"/>
        </w:rPr>
        <w:t>s</w:t>
      </w:r>
      <w:r>
        <w:rPr>
          <w:color w:val="000000"/>
          <w:spacing w:val="5"/>
        </w:rPr>
        <w:t xml:space="preserve"> </w:t>
      </w:r>
      <w:r>
        <w:rPr>
          <w:color w:val="000000"/>
          <w:spacing w:val="-4"/>
        </w:rPr>
        <w:t>i</w:t>
      </w:r>
      <w:r>
        <w:rPr>
          <w:color w:val="000000"/>
        </w:rPr>
        <w:t>r</w:t>
      </w:r>
      <w:r>
        <w:rPr>
          <w:color w:val="000000"/>
          <w:spacing w:val="4"/>
        </w:rPr>
        <w:t xml:space="preserve"> </w:t>
      </w:r>
      <w:r>
        <w:rPr>
          <w:color w:val="000000"/>
          <w:spacing w:val="5"/>
        </w:rPr>
        <w:t>t</w:t>
      </w:r>
      <w:r>
        <w:rPr>
          <w:color w:val="000000"/>
          <w:spacing w:val="-1"/>
        </w:rPr>
        <w:t>a</w:t>
      </w:r>
      <w:r>
        <w:rPr>
          <w:color w:val="000000"/>
        </w:rPr>
        <w:t>m</w:t>
      </w:r>
      <w:r>
        <w:rPr>
          <w:color w:val="000000"/>
          <w:spacing w:val="-7"/>
        </w:rPr>
        <w:t xml:space="preserve"> </w:t>
      </w:r>
      <w:r>
        <w:rPr>
          <w:color w:val="000000"/>
          <w:spacing w:val="10"/>
        </w:rPr>
        <w:t>t</w:t>
      </w:r>
      <w:r>
        <w:rPr>
          <w:color w:val="000000"/>
          <w:spacing w:val="-9"/>
        </w:rPr>
        <w:t>i</w:t>
      </w:r>
      <w:r>
        <w:rPr>
          <w:color w:val="000000"/>
        </w:rPr>
        <w:t>k</w:t>
      </w:r>
      <w:r>
        <w:rPr>
          <w:color w:val="000000"/>
          <w:spacing w:val="1"/>
        </w:rPr>
        <w:t>r</w:t>
      </w:r>
      <w:r>
        <w:rPr>
          <w:color w:val="000000"/>
        </w:rPr>
        <w:t>u</w:t>
      </w:r>
      <w:r>
        <w:rPr>
          <w:color w:val="000000"/>
          <w:spacing w:val="7"/>
        </w:rPr>
        <w:t xml:space="preserve"> </w:t>
      </w:r>
      <w:r>
        <w:rPr>
          <w:color w:val="000000"/>
          <w:spacing w:val="-4"/>
        </w:rPr>
        <w:t>m</w:t>
      </w:r>
      <w:r>
        <w:rPr>
          <w:color w:val="000000"/>
          <w:spacing w:val="-1"/>
        </w:rPr>
        <w:t>a</w:t>
      </w:r>
      <w:r>
        <w:rPr>
          <w:color w:val="000000"/>
          <w:spacing w:val="-2"/>
        </w:rPr>
        <w:t>s</w:t>
      </w:r>
      <w:r>
        <w:rPr>
          <w:color w:val="000000"/>
          <w:spacing w:val="5"/>
        </w:rPr>
        <w:t>t</w:t>
      </w:r>
      <w:r>
        <w:rPr>
          <w:color w:val="000000"/>
        </w:rPr>
        <w:t>u</w:t>
      </w:r>
      <w:r>
        <w:rPr>
          <w:color w:val="000000"/>
          <w:spacing w:val="2"/>
        </w:rPr>
        <w:t xml:space="preserve"> </w:t>
      </w:r>
      <w:r>
        <w:rPr>
          <w:color w:val="000000"/>
        </w:rPr>
        <w:t>v</w:t>
      </w:r>
      <w:r>
        <w:rPr>
          <w:color w:val="000000"/>
          <w:spacing w:val="-4"/>
        </w:rPr>
        <w:t>i</w:t>
      </w:r>
      <w:r>
        <w:rPr>
          <w:color w:val="000000"/>
          <w:spacing w:val="4"/>
        </w:rPr>
        <w:t>e</w:t>
      </w:r>
      <w:r>
        <w:rPr>
          <w:color w:val="000000"/>
          <w:spacing w:val="-5"/>
        </w:rPr>
        <w:t>n</w:t>
      </w:r>
      <w:r>
        <w:rPr>
          <w:color w:val="000000"/>
          <w:spacing w:val="4"/>
        </w:rPr>
        <w:t>a</w:t>
      </w:r>
      <w:r>
        <w:rPr>
          <w:color w:val="000000"/>
        </w:rPr>
        <w:t xml:space="preserve">s </w:t>
      </w:r>
      <w:r>
        <w:rPr>
          <w:color w:val="000000"/>
          <w:spacing w:val="5"/>
        </w:rPr>
        <w:t>k</w:t>
      </w:r>
      <w:r>
        <w:rPr>
          <w:color w:val="000000"/>
          <w:spacing w:val="-9"/>
        </w:rPr>
        <w:t>i</w:t>
      </w:r>
      <w:r>
        <w:rPr>
          <w:color w:val="000000"/>
          <w:spacing w:val="5"/>
        </w:rPr>
        <w:t>t</w:t>
      </w:r>
      <w:r>
        <w:rPr>
          <w:color w:val="000000"/>
        </w:rPr>
        <w:t>ą</w:t>
      </w:r>
      <w:r>
        <w:rPr>
          <w:color w:val="000000"/>
          <w:spacing w:val="1"/>
        </w:rPr>
        <w:t xml:space="preserve"> </w:t>
      </w:r>
      <w:r>
        <w:rPr>
          <w:color w:val="000000"/>
        </w:rPr>
        <w:t>p</w:t>
      </w:r>
      <w:r>
        <w:rPr>
          <w:color w:val="000000"/>
          <w:spacing w:val="-1"/>
        </w:rPr>
        <w:t>a</w:t>
      </w:r>
      <w:r>
        <w:rPr>
          <w:color w:val="000000"/>
        </w:rPr>
        <w:t>k</w:t>
      </w:r>
      <w:r>
        <w:rPr>
          <w:color w:val="000000"/>
          <w:spacing w:val="4"/>
        </w:rPr>
        <w:t>e</w:t>
      </w:r>
      <w:r>
        <w:rPr>
          <w:color w:val="000000"/>
          <w:spacing w:val="-4"/>
        </w:rPr>
        <w:t>i</w:t>
      </w:r>
      <w:r>
        <w:rPr>
          <w:color w:val="000000"/>
          <w:spacing w:val="4"/>
        </w:rPr>
        <w:t>č</w:t>
      </w:r>
      <w:r>
        <w:rPr>
          <w:color w:val="000000"/>
          <w:spacing w:val="-4"/>
        </w:rPr>
        <w:t>i</w:t>
      </w:r>
      <w:r>
        <w:rPr>
          <w:color w:val="000000"/>
          <w:spacing w:val="4"/>
        </w:rPr>
        <w:t>a</w:t>
      </w:r>
      <w:r>
        <w:rPr>
          <w:color w:val="000000"/>
          <w:spacing w:val="-5"/>
        </w:rPr>
        <w:t>n</w:t>
      </w:r>
      <w:r>
        <w:rPr>
          <w:color w:val="000000"/>
          <w:spacing w:val="10"/>
        </w:rPr>
        <w:t>t</w:t>
      </w:r>
      <w:r>
        <w:rPr>
          <w:color w:val="000000"/>
          <w:spacing w:val="-10"/>
        </w:rPr>
        <w:t>y</w:t>
      </w:r>
      <w:r>
        <w:rPr>
          <w:color w:val="000000"/>
        </w:rPr>
        <w:t>s p</w:t>
      </w:r>
      <w:r>
        <w:rPr>
          <w:color w:val="000000"/>
          <w:spacing w:val="1"/>
        </w:rPr>
        <w:t>r</w:t>
      </w:r>
      <w:r>
        <w:rPr>
          <w:color w:val="000000"/>
          <w:spacing w:val="5"/>
        </w:rPr>
        <w:t>o</w:t>
      </w:r>
      <w:r>
        <w:rPr>
          <w:color w:val="000000"/>
        </w:rPr>
        <w:t>duk</w:t>
      </w:r>
      <w:r>
        <w:rPr>
          <w:color w:val="000000"/>
          <w:spacing w:val="5"/>
        </w:rPr>
        <w:t>t</w:t>
      </w:r>
      <w:r>
        <w:rPr>
          <w:color w:val="000000"/>
          <w:spacing w:val="-1"/>
        </w:rPr>
        <w:t>a</w:t>
      </w:r>
      <w:r>
        <w:rPr>
          <w:color w:val="000000"/>
          <w:spacing w:val="-9"/>
        </w:rPr>
        <w:t>i</w:t>
      </w:r>
      <w:r>
        <w:rPr>
          <w:color w:val="000000"/>
        </w:rPr>
        <w:t>.</w:t>
      </w:r>
      <w:r>
        <w:rPr>
          <w:color w:val="000000"/>
          <w:spacing w:val="4"/>
        </w:rPr>
        <w:t xml:space="preserve"> </w:t>
      </w:r>
      <w:r>
        <w:rPr>
          <w:color w:val="000000"/>
        </w:rPr>
        <w:t>D</w:t>
      </w:r>
      <w:r>
        <w:rPr>
          <w:color w:val="000000"/>
          <w:spacing w:val="3"/>
        </w:rPr>
        <w:t>e</w:t>
      </w:r>
      <w:r>
        <w:rPr>
          <w:color w:val="000000"/>
          <w:spacing w:val="-4"/>
        </w:rPr>
        <w:t>j</w:t>
      </w:r>
      <w:r>
        <w:rPr>
          <w:color w:val="000000"/>
          <w:spacing w:val="-1"/>
        </w:rPr>
        <w:t>a</w:t>
      </w:r>
      <w:r>
        <w:rPr>
          <w:color w:val="000000"/>
        </w:rPr>
        <w:t>,</w:t>
      </w:r>
      <w:r>
        <w:rPr>
          <w:color w:val="000000"/>
          <w:spacing w:val="4"/>
        </w:rPr>
        <w:t xml:space="preserve"> </w:t>
      </w:r>
      <w:r>
        <w:rPr>
          <w:color w:val="000000"/>
        </w:rPr>
        <w:t>k</w:t>
      </w:r>
      <w:r>
        <w:rPr>
          <w:color w:val="000000"/>
          <w:spacing w:val="5"/>
        </w:rPr>
        <w:t>o</w:t>
      </w:r>
      <w:r>
        <w:rPr>
          <w:color w:val="000000"/>
        </w:rPr>
        <w:t>l</w:t>
      </w:r>
      <w:r>
        <w:rPr>
          <w:color w:val="000000"/>
          <w:spacing w:val="-7"/>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w:t>
      </w:r>
      <w:r>
        <w:rPr>
          <w:color w:val="000000"/>
        </w:rPr>
        <w:t>d</w:t>
      </w:r>
      <w:r>
        <w:rPr>
          <w:color w:val="000000"/>
          <w:spacing w:val="4"/>
        </w:rPr>
        <w:t>ė</w:t>
      </w:r>
      <w:r>
        <w:rPr>
          <w:color w:val="000000"/>
          <w:spacing w:val="-4"/>
        </w:rPr>
        <w:t>m</w:t>
      </w:r>
      <w:r>
        <w:rPr>
          <w:color w:val="000000"/>
          <w:spacing w:val="4"/>
        </w:rPr>
        <w:t>e</w:t>
      </w:r>
      <w:r>
        <w:rPr>
          <w:color w:val="000000"/>
          <w:spacing w:val="2"/>
        </w:rPr>
        <w:t>s</w:t>
      </w:r>
      <w:r>
        <w:rPr>
          <w:color w:val="000000"/>
          <w:spacing w:val="-9"/>
        </w:rPr>
        <w:t>i</w:t>
      </w:r>
      <w:r>
        <w:rPr>
          <w:color w:val="000000"/>
        </w:rPr>
        <w:t xml:space="preserve">o </w:t>
      </w:r>
      <w:r>
        <w:rPr>
          <w:color w:val="000000"/>
          <w:spacing w:val="-5"/>
        </w:rPr>
        <w:t>b</w:t>
      </w:r>
      <w:r>
        <w:rPr>
          <w:color w:val="000000"/>
          <w:spacing w:val="5"/>
        </w:rPr>
        <w:t>u</w:t>
      </w:r>
      <w:r>
        <w:rPr>
          <w:color w:val="000000"/>
          <w:spacing w:val="-5"/>
        </w:rPr>
        <w:t>v</w:t>
      </w:r>
      <w:r>
        <w:rPr>
          <w:color w:val="000000"/>
        </w:rPr>
        <w:t>o</w:t>
      </w:r>
      <w:r>
        <w:rPr>
          <w:color w:val="000000"/>
          <w:spacing w:val="31"/>
        </w:rPr>
        <w:t xml:space="preserve"> </w:t>
      </w:r>
      <w:r>
        <w:rPr>
          <w:color w:val="000000"/>
          <w:spacing w:val="-2"/>
        </w:rPr>
        <w:t>s</w:t>
      </w:r>
      <w:r>
        <w:rPr>
          <w:color w:val="000000"/>
          <w:spacing w:val="5"/>
        </w:rPr>
        <w:t>k</w:t>
      </w:r>
      <w:r>
        <w:rPr>
          <w:color w:val="000000"/>
          <w:spacing w:val="-9"/>
        </w:rPr>
        <w:t>i</w:t>
      </w:r>
      <w:r>
        <w:rPr>
          <w:color w:val="000000"/>
          <w:spacing w:val="6"/>
        </w:rPr>
        <w:t>r</w:t>
      </w:r>
      <w:r>
        <w:rPr>
          <w:color w:val="000000"/>
          <w:spacing w:val="-4"/>
        </w:rPr>
        <w:t>i</w:t>
      </w:r>
      <w:r>
        <w:rPr>
          <w:color w:val="000000"/>
          <w:spacing w:val="4"/>
        </w:rPr>
        <w:t>a</w:t>
      </w:r>
      <w:r>
        <w:rPr>
          <w:color w:val="000000"/>
          <w:spacing w:val="-4"/>
        </w:rPr>
        <w:t>m</w:t>
      </w:r>
      <w:r>
        <w:rPr>
          <w:color w:val="000000"/>
        </w:rPr>
        <w:t>a</w:t>
      </w:r>
      <w:r>
        <w:rPr>
          <w:color w:val="000000"/>
          <w:spacing w:val="30"/>
        </w:rPr>
        <w:t xml:space="preserve"> </w:t>
      </w:r>
      <w:r>
        <w:rPr>
          <w:color w:val="000000"/>
          <w:spacing w:val="-4"/>
        </w:rPr>
        <w:t>į</w:t>
      </w:r>
      <w:r>
        <w:rPr>
          <w:color w:val="000000"/>
          <w:spacing w:val="2"/>
        </w:rPr>
        <w:t>s</w:t>
      </w:r>
      <w:r>
        <w:rPr>
          <w:color w:val="000000"/>
          <w:spacing w:val="-4"/>
        </w:rPr>
        <w:t>i</w:t>
      </w:r>
      <w:r>
        <w:rPr>
          <w:color w:val="000000"/>
        </w:rPr>
        <w:t>g</w:t>
      </w:r>
      <w:r>
        <w:rPr>
          <w:color w:val="000000"/>
          <w:spacing w:val="4"/>
        </w:rPr>
        <w:t>a</w:t>
      </w:r>
      <w:r>
        <w:rPr>
          <w:color w:val="000000"/>
          <w:spacing w:val="-4"/>
        </w:rPr>
        <w:t>l</w:t>
      </w:r>
      <w:r>
        <w:rPr>
          <w:color w:val="000000"/>
          <w:spacing w:val="4"/>
        </w:rPr>
        <w:t>ė</w:t>
      </w:r>
      <w:r>
        <w:rPr>
          <w:color w:val="000000"/>
          <w:spacing w:val="-4"/>
        </w:rPr>
        <w:t>j</w:t>
      </w:r>
      <w:r>
        <w:rPr>
          <w:color w:val="000000"/>
        </w:rPr>
        <w:t>u</w:t>
      </w:r>
      <w:r>
        <w:rPr>
          <w:color w:val="000000"/>
          <w:spacing w:val="2"/>
        </w:rPr>
        <w:t>s</w:t>
      </w:r>
      <w:r>
        <w:rPr>
          <w:color w:val="000000"/>
          <w:spacing w:val="-4"/>
        </w:rPr>
        <w:t>i</w:t>
      </w:r>
      <w:r>
        <w:rPr>
          <w:color w:val="000000"/>
        </w:rPr>
        <w:t>ų</w:t>
      </w:r>
      <w:r>
        <w:rPr>
          <w:color w:val="000000"/>
          <w:spacing w:val="31"/>
        </w:rPr>
        <w:t xml:space="preserve"> </w:t>
      </w:r>
      <w:r>
        <w:rPr>
          <w:color w:val="000000"/>
          <w:spacing w:val="-2"/>
        </w:rPr>
        <w:t>s</w:t>
      </w:r>
      <w:r>
        <w:rPr>
          <w:color w:val="000000"/>
          <w:spacing w:val="5"/>
        </w:rPr>
        <w:t>t</w:t>
      </w:r>
      <w:r>
        <w:rPr>
          <w:color w:val="000000"/>
          <w:spacing w:val="-4"/>
        </w:rPr>
        <w:t>im</w:t>
      </w:r>
      <w:r>
        <w:rPr>
          <w:color w:val="000000"/>
          <w:spacing w:val="5"/>
        </w:rPr>
        <w:t>u</w:t>
      </w:r>
      <w:r>
        <w:rPr>
          <w:color w:val="000000"/>
        </w:rPr>
        <w:t>l</w:t>
      </w:r>
      <w:r>
        <w:rPr>
          <w:color w:val="000000"/>
          <w:spacing w:val="-4"/>
        </w:rPr>
        <w:t>i</w:t>
      </w:r>
      <w:r>
        <w:rPr>
          <w:color w:val="000000"/>
          <w:spacing w:val="4"/>
        </w:rPr>
        <w:t>a</w:t>
      </w:r>
      <w:r>
        <w:rPr>
          <w:color w:val="000000"/>
          <w:spacing w:val="-5"/>
        </w:rPr>
        <w:t>n</w:t>
      </w:r>
      <w:r>
        <w:rPr>
          <w:color w:val="000000"/>
          <w:spacing w:val="5"/>
        </w:rPr>
        <w:t>t</w:t>
      </w:r>
      <w:r>
        <w:rPr>
          <w:color w:val="000000"/>
        </w:rPr>
        <w:t>ų</w:t>
      </w:r>
      <w:r>
        <w:rPr>
          <w:color w:val="000000"/>
          <w:spacing w:val="26"/>
        </w:rPr>
        <w:t xml:space="preserve"> </w:t>
      </w:r>
      <w:r>
        <w:rPr>
          <w:color w:val="000000"/>
        </w:rPr>
        <w:t>k</w:t>
      </w:r>
      <w:r>
        <w:rPr>
          <w:color w:val="000000"/>
          <w:spacing w:val="4"/>
        </w:rPr>
        <w:t>e</w:t>
      </w:r>
      <w:r>
        <w:rPr>
          <w:color w:val="000000"/>
          <w:spacing w:val="-4"/>
        </w:rPr>
        <w:t>li</w:t>
      </w:r>
      <w:r>
        <w:rPr>
          <w:color w:val="000000"/>
          <w:spacing w:val="4"/>
        </w:rPr>
        <w:t>a</w:t>
      </w:r>
      <w:r>
        <w:rPr>
          <w:color w:val="000000"/>
        </w:rPr>
        <w:t>m</w:t>
      </w:r>
      <w:r>
        <w:rPr>
          <w:color w:val="000000"/>
          <w:spacing w:val="-4"/>
        </w:rPr>
        <w:t>i</w:t>
      </w:r>
      <w:r>
        <w:rPr>
          <w:color w:val="000000"/>
          <w:spacing w:val="4"/>
        </w:rPr>
        <w:t>e</w:t>
      </w:r>
      <w:r>
        <w:rPr>
          <w:color w:val="000000"/>
        </w:rPr>
        <w:t>ms</w:t>
      </w:r>
      <w:r>
        <w:rPr>
          <w:color w:val="000000"/>
          <w:spacing w:val="24"/>
        </w:rPr>
        <w:t xml:space="preserve"> </w:t>
      </w:r>
      <w:r>
        <w:rPr>
          <w:color w:val="000000"/>
          <w:spacing w:val="1"/>
        </w:rPr>
        <w:t>r</w:t>
      </w:r>
      <w:r>
        <w:rPr>
          <w:color w:val="000000"/>
        </w:rPr>
        <w:t>ūp</w:t>
      </w:r>
      <w:r>
        <w:rPr>
          <w:color w:val="000000"/>
          <w:spacing w:val="-1"/>
        </w:rPr>
        <w:t>e</w:t>
      </w:r>
      <w:r>
        <w:rPr>
          <w:color w:val="000000"/>
          <w:spacing w:val="-2"/>
        </w:rPr>
        <w:t>s</w:t>
      </w:r>
      <w:r>
        <w:rPr>
          <w:color w:val="000000"/>
          <w:spacing w:val="4"/>
        </w:rPr>
        <w:t>č</w:t>
      </w:r>
      <w:r>
        <w:rPr>
          <w:color w:val="000000"/>
          <w:spacing w:val="-4"/>
        </w:rPr>
        <w:t>i</w:t>
      </w:r>
      <w:r>
        <w:rPr>
          <w:color w:val="000000"/>
          <w:spacing w:val="4"/>
        </w:rPr>
        <w:t>a</w:t>
      </w:r>
      <w:r>
        <w:rPr>
          <w:color w:val="000000"/>
          <w:spacing w:val="-4"/>
        </w:rPr>
        <w:t>m</w:t>
      </w:r>
      <w:r>
        <w:rPr>
          <w:color w:val="000000"/>
        </w:rPr>
        <w:t>s</w:t>
      </w:r>
      <w:r>
        <w:rPr>
          <w:color w:val="000000"/>
          <w:spacing w:val="24"/>
        </w:rPr>
        <w:t xml:space="preserve"> </w:t>
      </w:r>
      <w:r>
        <w:rPr>
          <w:color w:val="000000"/>
          <w:spacing w:val="-2"/>
        </w:rPr>
        <w:t>s</w:t>
      </w:r>
      <w:r>
        <w:rPr>
          <w:color w:val="000000"/>
          <w:spacing w:val="5"/>
        </w:rPr>
        <w:t>u</w:t>
      </w:r>
      <w:r>
        <w:rPr>
          <w:color w:val="000000"/>
          <w:spacing w:val="-4"/>
        </w:rPr>
        <w:t>m</w:t>
      </w:r>
      <w:r>
        <w:rPr>
          <w:color w:val="000000"/>
          <w:spacing w:val="4"/>
        </w:rPr>
        <w:t>až</w:t>
      </w:r>
      <w:r>
        <w:rPr>
          <w:color w:val="000000"/>
          <w:spacing w:val="-4"/>
        </w:rPr>
        <w:t>i</w:t>
      </w:r>
      <w:r>
        <w:rPr>
          <w:color w:val="000000"/>
          <w:spacing w:val="-5"/>
        </w:rPr>
        <w:t>n</w:t>
      </w:r>
      <w:r>
        <w:rPr>
          <w:color w:val="000000"/>
          <w:spacing w:val="10"/>
        </w:rPr>
        <w:t>t</w:t>
      </w:r>
      <w:r>
        <w:rPr>
          <w:color w:val="000000"/>
          <w:spacing w:val="-9"/>
        </w:rPr>
        <w:t>i</w:t>
      </w:r>
      <w:r>
        <w:rPr>
          <w:color w:val="000000"/>
        </w:rPr>
        <w:t>,</w:t>
      </w:r>
      <w:r>
        <w:rPr>
          <w:color w:val="000000"/>
          <w:spacing w:val="28"/>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s</w:t>
      </w:r>
      <w:r>
        <w:rPr>
          <w:color w:val="000000"/>
          <w:spacing w:val="24"/>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6"/>
        </w:rPr>
        <w:t xml:space="preserve"> </w:t>
      </w:r>
      <w:r>
        <w:rPr>
          <w:color w:val="000000"/>
          <w:spacing w:val="6"/>
        </w:rPr>
        <w:t>r</w:t>
      </w:r>
      <w:r>
        <w:rPr>
          <w:color w:val="000000"/>
          <w:spacing w:val="-4"/>
        </w:rPr>
        <w:t>i</w:t>
      </w:r>
      <w:r>
        <w:rPr>
          <w:color w:val="000000"/>
          <w:spacing w:val="-5"/>
        </w:rPr>
        <w:t>n</w:t>
      </w:r>
      <w:r>
        <w:rPr>
          <w:color w:val="000000"/>
        </w:rPr>
        <w:t>ką pa</w:t>
      </w:r>
      <w:r>
        <w:rPr>
          <w:color w:val="000000"/>
          <w:spacing w:val="2"/>
        </w:rPr>
        <w:t>s</w:t>
      </w:r>
      <w:r>
        <w:rPr>
          <w:color w:val="000000"/>
          <w:spacing w:val="-4"/>
        </w:rPr>
        <w:t>i</w:t>
      </w:r>
      <w:r>
        <w:rPr>
          <w:color w:val="000000"/>
          <w:spacing w:val="-1"/>
        </w:rPr>
        <w:t>e</w:t>
      </w:r>
      <w:r>
        <w:rPr>
          <w:color w:val="000000"/>
        </w:rPr>
        <w:t>kė</w:t>
      </w:r>
      <w:r>
        <w:rPr>
          <w:color w:val="000000"/>
          <w:spacing w:val="59"/>
        </w:rPr>
        <w:t xml:space="preserve"> </w:t>
      </w:r>
      <w:r>
        <w:rPr>
          <w:color w:val="000000"/>
          <w:spacing w:val="-4"/>
        </w:rPr>
        <w:t>i</w:t>
      </w:r>
      <w:r>
        <w:rPr>
          <w:color w:val="000000"/>
        </w:rPr>
        <w:t xml:space="preserve">r </w:t>
      </w:r>
      <w:r>
        <w:rPr>
          <w:color w:val="000000"/>
          <w:spacing w:val="1"/>
        </w:rPr>
        <w:t xml:space="preserve"> </w:t>
      </w:r>
      <w:r>
        <w:rPr>
          <w:color w:val="000000"/>
          <w:spacing w:val="-9"/>
        </w:rPr>
        <w:t>j</w:t>
      </w:r>
      <w:r>
        <w:rPr>
          <w:color w:val="000000"/>
          <w:spacing w:val="9"/>
        </w:rPr>
        <w:t>o</w:t>
      </w:r>
      <w:r>
        <w:rPr>
          <w:color w:val="000000"/>
          <w:spacing w:val="-4"/>
        </w:rPr>
        <w:t>j</w:t>
      </w:r>
      <w:r>
        <w:rPr>
          <w:color w:val="000000"/>
        </w:rPr>
        <w:t>e</w:t>
      </w:r>
      <w:r>
        <w:rPr>
          <w:color w:val="000000"/>
          <w:spacing w:val="59"/>
        </w:rPr>
        <w:t xml:space="preserve"> </w:t>
      </w:r>
      <w:r>
        <w:rPr>
          <w:color w:val="000000"/>
          <w:spacing w:val="-4"/>
        </w:rPr>
        <w:t>į</w:t>
      </w:r>
      <w:r>
        <w:rPr>
          <w:color w:val="000000"/>
          <w:spacing w:val="2"/>
        </w:rPr>
        <w:t>s</w:t>
      </w:r>
      <w:r>
        <w:rPr>
          <w:color w:val="000000"/>
          <w:spacing w:val="-9"/>
        </w:rPr>
        <w:t>i</w:t>
      </w:r>
      <w:r>
        <w:rPr>
          <w:color w:val="000000"/>
          <w:spacing w:val="10"/>
        </w:rPr>
        <w:t>t</w:t>
      </w:r>
      <w:r>
        <w:rPr>
          <w:color w:val="000000"/>
        </w:rPr>
        <w:t>v</w:t>
      </w:r>
      <w:r>
        <w:rPr>
          <w:color w:val="000000"/>
          <w:spacing w:val="-4"/>
        </w:rPr>
        <w:t>i</w:t>
      </w:r>
      <w:r>
        <w:rPr>
          <w:color w:val="000000"/>
          <w:spacing w:val="1"/>
        </w:rPr>
        <w:t>r</w:t>
      </w:r>
      <w:r>
        <w:rPr>
          <w:color w:val="000000"/>
          <w:spacing w:val="5"/>
        </w:rPr>
        <w:t>t</w:t>
      </w:r>
      <w:r>
        <w:rPr>
          <w:color w:val="000000"/>
          <w:spacing w:val="-4"/>
        </w:rPr>
        <w:t>i</w:t>
      </w:r>
      <w:r>
        <w:rPr>
          <w:color w:val="000000"/>
          <w:spacing w:val="-5"/>
        </w:rPr>
        <w:t>n</w:t>
      </w:r>
      <w:r>
        <w:rPr>
          <w:color w:val="000000"/>
        </w:rPr>
        <w:t>o  d</w:t>
      </w:r>
      <w:r>
        <w:rPr>
          <w:color w:val="000000"/>
          <w:spacing w:val="-1"/>
        </w:rPr>
        <w:t>a</w:t>
      </w:r>
      <w:r>
        <w:rPr>
          <w:color w:val="000000"/>
        </w:rPr>
        <w:t>u</w:t>
      </w:r>
      <w:r>
        <w:rPr>
          <w:color w:val="000000"/>
          <w:spacing w:val="5"/>
        </w:rPr>
        <w:t>g</w:t>
      </w:r>
      <w:r>
        <w:rPr>
          <w:color w:val="000000"/>
          <w:spacing w:val="-5"/>
        </w:rPr>
        <w:t>y</w:t>
      </w:r>
      <w:r>
        <w:rPr>
          <w:color w:val="000000"/>
        </w:rPr>
        <w:t>bė</w:t>
      </w:r>
      <w:r>
        <w:rPr>
          <w:color w:val="000000"/>
          <w:spacing w:val="59"/>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55"/>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 xml:space="preserve">ų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 xml:space="preserve">gų. </w:t>
      </w:r>
      <w:r>
        <w:rPr>
          <w:color w:val="000000"/>
          <w:spacing w:val="2"/>
        </w:rPr>
        <w:t xml:space="preserve"> </w:t>
      </w:r>
      <w:r>
        <w:rPr>
          <w:color w:val="000000"/>
          <w:spacing w:val="-2"/>
        </w:rPr>
        <w:t>M</w:t>
      </w:r>
      <w:r>
        <w:rPr>
          <w:color w:val="000000"/>
          <w:spacing w:val="4"/>
        </w:rPr>
        <w:t>a</w:t>
      </w:r>
      <w:r>
        <w:rPr>
          <w:color w:val="000000"/>
          <w:spacing w:val="-5"/>
        </w:rPr>
        <w:t>n</w:t>
      </w:r>
      <w:r>
        <w:rPr>
          <w:color w:val="000000"/>
          <w:spacing w:val="9"/>
        </w:rPr>
        <w:t>o</w:t>
      </w:r>
      <w:r>
        <w:rPr>
          <w:color w:val="000000"/>
          <w:spacing w:val="-9"/>
        </w:rPr>
        <w:t>m</w:t>
      </w:r>
      <w:r>
        <w:rPr>
          <w:color w:val="000000"/>
          <w:spacing w:val="-1"/>
        </w:rPr>
        <w:t>a</w:t>
      </w:r>
      <w:r>
        <w:rPr>
          <w:color w:val="000000"/>
        </w:rPr>
        <w:t>,</w:t>
      </w:r>
      <w:r>
        <w:rPr>
          <w:color w:val="000000"/>
          <w:spacing w:val="57"/>
        </w:rPr>
        <w:t xml:space="preserve"> </w:t>
      </w:r>
      <w:r>
        <w:rPr>
          <w:color w:val="000000"/>
        </w:rPr>
        <w:t>k</w:t>
      </w:r>
      <w:r>
        <w:rPr>
          <w:color w:val="000000"/>
          <w:spacing w:val="-1"/>
        </w:rPr>
        <w:t>a</w:t>
      </w:r>
      <w:r>
        <w:rPr>
          <w:color w:val="000000"/>
        </w:rPr>
        <w:t>d</w:t>
      </w:r>
      <w:r>
        <w:rPr>
          <w:color w:val="000000"/>
          <w:spacing w:val="55"/>
        </w:rPr>
        <w:t xml:space="preserve"> </w:t>
      </w:r>
      <w:r>
        <w:rPr>
          <w:color w:val="000000"/>
        </w:rPr>
        <w:t>p</w:t>
      </w:r>
      <w:r>
        <w:rPr>
          <w:color w:val="000000"/>
          <w:spacing w:val="-1"/>
        </w:rPr>
        <w:t>a</w:t>
      </w:r>
      <w:r>
        <w:rPr>
          <w:color w:val="000000"/>
          <w:spacing w:val="2"/>
        </w:rPr>
        <w:t>s</w:t>
      </w:r>
      <w:r>
        <w:rPr>
          <w:color w:val="000000"/>
          <w:spacing w:val="-4"/>
        </w:rPr>
        <w:t>i</w:t>
      </w:r>
      <w:r>
        <w:rPr>
          <w:color w:val="000000"/>
          <w:spacing w:val="1"/>
        </w:rPr>
        <w:t>r</w:t>
      </w:r>
      <w:r>
        <w:rPr>
          <w:color w:val="000000"/>
          <w:spacing w:val="5"/>
        </w:rPr>
        <w:t>o</w:t>
      </w:r>
      <w:r>
        <w:rPr>
          <w:color w:val="000000"/>
        </w:rPr>
        <w:t>d</w:t>
      </w:r>
      <w:r>
        <w:rPr>
          <w:color w:val="000000"/>
          <w:spacing w:val="4"/>
        </w:rPr>
        <w:t>ž</w:t>
      </w:r>
      <w:r>
        <w:rPr>
          <w:color w:val="000000"/>
          <w:spacing w:val="-9"/>
        </w:rPr>
        <w:t>i</w:t>
      </w:r>
      <w:r>
        <w:rPr>
          <w:color w:val="000000"/>
          <w:spacing w:val="5"/>
        </w:rPr>
        <w:t>u</w:t>
      </w:r>
      <w:r>
        <w:rPr>
          <w:color w:val="000000"/>
          <w:spacing w:val="2"/>
        </w:rPr>
        <w:t>s</w:t>
      </w:r>
      <w:r>
        <w:rPr>
          <w:color w:val="000000"/>
          <w:spacing w:val="-9"/>
        </w:rPr>
        <w:t>i</w:t>
      </w:r>
      <w:r>
        <w:rPr>
          <w:color w:val="000000"/>
          <w:spacing w:val="5"/>
        </w:rPr>
        <w:t>o</w:t>
      </w:r>
      <w:r>
        <w:rPr>
          <w:color w:val="000000"/>
        </w:rPr>
        <w:t xml:space="preserve">s </w:t>
      </w:r>
      <w:r>
        <w:rPr>
          <w:color w:val="000000"/>
          <w:spacing w:val="-5"/>
        </w:rPr>
        <w:t>n</w:t>
      </w:r>
      <w:r>
        <w:rPr>
          <w:color w:val="000000"/>
          <w:spacing w:val="-1"/>
        </w:rPr>
        <w:t>a</w:t>
      </w:r>
      <w:r>
        <w:rPr>
          <w:color w:val="000000"/>
          <w:spacing w:val="5"/>
        </w:rPr>
        <w:t>u</w:t>
      </w:r>
      <w:r>
        <w:rPr>
          <w:color w:val="000000"/>
          <w:spacing w:val="-9"/>
        </w:rPr>
        <w:t>j</w:t>
      </w:r>
      <w:r>
        <w:rPr>
          <w:color w:val="000000"/>
          <w:spacing w:val="9"/>
        </w:rPr>
        <w:t>o</w:t>
      </w:r>
      <w:r>
        <w:rPr>
          <w:color w:val="000000"/>
        </w:rPr>
        <w:t>s</w:t>
      </w:r>
      <w:r>
        <w:rPr>
          <w:color w:val="000000"/>
          <w:spacing w:val="7"/>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9"/>
        </w:rPr>
        <w:t>i</w:t>
      </w:r>
      <w:r>
        <w:rPr>
          <w:color w:val="000000"/>
          <w:spacing w:val="5"/>
        </w:rPr>
        <w:t>o</w:t>
      </w:r>
      <w:r>
        <w:rPr>
          <w:color w:val="000000"/>
        </w:rPr>
        <w:t>s</w:t>
      </w:r>
      <w:r>
        <w:rPr>
          <w:color w:val="000000"/>
          <w:spacing w:val="1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7"/>
        </w:rPr>
        <w:t xml:space="preserve"> </w:t>
      </w:r>
      <w:r>
        <w:rPr>
          <w:color w:val="000000"/>
        </w:rPr>
        <w:t>g</w:t>
      </w:r>
      <w:r>
        <w:rPr>
          <w:color w:val="000000"/>
          <w:spacing w:val="4"/>
        </w:rPr>
        <w:t>a</w:t>
      </w:r>
      <w:r>
        <w:rPr>
          <w:color w:val="000000"/>
          <w:spacing w:val="-4"/>
        </w:rPr>
        <w:t>l</w:t>
      </w:r>
      <w:r>
        <w:rPr>
          <w:color w:val="000000"/>
        </w:rPr>
        <w:t>i</w:t>
      </w:r>
      <w:r>
        <w:rPr>
          <w:color w:val="000000"/>
          <w:spacing w:val="5"/>
        </w:rPr>
        <w:t xml:space="preserve"> </w:t>
      </w:r>
      <w:r>
        <w:rPr>
          <w:color w:val="000000"/>
          <w:spacing w:val="-4"/>
        </w:rPr>
        <w:t>l</w:t>
      </w:r>
      <w:r>
        <w:rPr>
          <w:color w:val="000000"/>
          <w:spacing w:val="4"/>
        </w:rPr>
        <w:t>a</w:t>
      </w:r>
      <w:r>
        <w:rPr>
          <w:color w:val="000000"/>
        </w:rPr>
        <w:t>b</w:t>
      </w:r>
      <w:r>
        <w:rPr>
          <w:color w:val="000000"/>
          <w:spacing w:val="4"/>
        </w:rPr>
        <w:t>a</w:t>
      </w:r>
      <w:r>
        <w:rPr>
          <w:color w:val="000000"/>
        </w:rPr>
        <w:t>i</w:t>
      </w:r>
      <w:r>
        <w:rPr>
          <w:color w:val="000000"/>
          <w:spacing w:val="5"/>
        </w:rPr>
        <w:t xml:space="preserve"> </w:t>
      </w:r>
      <w:r>
        <w:rPr>
          <w:color w:val="000000"/>
          <w:spacing w:val="-2"/>
        </w:rPr>
        <w:t>s</w:t>
      </w:r>
      <w:r>
        <w:rPr>
          <w:color w:val="000000"/>
        </w:rPr>
        <w:t>p</w:t>
      </w:r>
      <w:r>
        <w:rPr>
          <w:color w:val="000000"/>
          <w:spacing w:val="-1"/>
        </w:rPr>
        <w:t>a</w:t>
      </w:r>
      <w:r>
        <w:rPr>
          <w:color w:val="000000"/>
          <w:spacing w:val="1"/>
        </w:rPr>
        <w:t>r</w:t>
      </w:r>
      <w:r>
        <w:rPr>
          <w:color w:val="000000"/>
          <w:spacing w:val="4"/>
        </w:rPr>
        <w:t>č</w:t>
      </w:r>
      <w:r>
        <w:rPr>
          <w:color w:val="000000"/>
        </w:rPr>
        <w:t>i</w:t>
      </w:r>
      <w:r>
        <w:rPr>
          <w:color w:val="000000"/>
          <w:spacing w:val="4"/>
        </w:rPr>
        <w:t>a</w:t>
      </w:r>
      <w:r>
        <w:rPr>
          <w:color w:val="000000"/>
        </w:rPr>
        <w:t>i</w:t>
      </w:r>
      <w:r>
        <w:rPr>
          <w:color w:val="000000"/>
          <w:spacing w:val="5"/>
        </w:rPr>
        <w:t xml:space="preserve"> </w:t>
      </w:r>
      <w:r>
        <w:rPr>
          <w:color w:val="000000"/>
          <w:spacing w:val="-9"/>
        </w:rPr>
        <w:t>i</w:t>
      </w:r>
      <w:r>
        <w:rPr>
          <w:color w:val="000000"/>
        </w:rPr>
        <w:t>r</w:t>
      </w:r>
      <w:r>
        <w:rPr>
          <w:color w:val="000000"/>
          <w:spacing w:val="11"/>
        </w:rPr>
        <w:t xml:space="preserve"> </w:t>
      </w:r>
      <w:r>
        <w:rPr>
          <w:color w:val="000000"/>
          <w:spacing w:val="5"/>
        </w:rPr>
        <w:t>p</w:t>
      </w:r>
      <w:r>
        <w:rPr>
          <w:color w:val="000000"/>
          <w:spacing w:val="-4"/>
        </w:rPr>
        <w:t>l</w:t>
      </w:r>
      <w:r>
        <w:rPr>
          <w:color w:val="000000"/>
          <w:spacing w:val="-1"/>
        </w:rPr>
        <w:t>a</w:t>
      </w:r>
      <w:r>
        <w:rPr>
          <w:color w:val="000000"/>
          <w:spacing w:val="4"/>
        </w:rPr>
        <w:t>č</w:t>
      </w:r>
      <w:r>
        <w:rPr>
          <w:color w:val="000000"/>
          <w:spacing w:val="-4"/>
        </w:rPr>
        <w:t>i</w:t>
      </w:r>
      <w:r>
        <w:rPr>
          <w:color w:val="000000"/>
          <w:spacing w:val="4"/>
        </w:rPr>
        <w:t>a</w:t>
      </w:r>
      <w:r>
        <w:rPr>
          <w:color w:val="000000"/>
        </w:rPr>
        <w:t>i</w:t>
      </w:r>
      <w:r>
        <w:rPr>
          <w:color w:val="000000"/>
          <w:spacing w:val="5"/>
        </w:rPr>
        <w:t xml:space="preserve"> </w:t>
      </w:r>
      <w:r>
        <w:rPr>
          <w:color w:val="000000"/>
        </w:rPr>
        <w:t>p</w:t>
      </w:r>
      <w:r>
        <w:rPr>
          <w:color w:val="000000"/>
          <w:spacing w:val="-1"/>
        </w:rPr>
        <w:t>a</w:t>
      </w:r>
      <w:r>
        <w:rPr>
          <w:color w:val="000000"/>
          <w:spacing w:val="-2"/>
        </w:rPr>
        <w:t>s</w:t>
      </w:r>
      <w:r>
        <w:rPr>
          <w:color w:val="000000"/>
          <w:spacing w:val="5"/>
        </w:rPr>
        <w:t>k</w:t>
      </w:r>
      <w:r>
        <w:rPr>
          <w:color w:val="000000"/>
        </w:rPr>
        <w:t>l</w:t>
      </w:r>
      <w:r>
        <w:rPr>
          <w:color w:val="000000"/>
          <w:spacing w:val="-4"/>
        </w:rPr>
        <w:t>i</w:t>
      </w:r>
      <w:r>
        <w:rPr>
          <w:color w:val="000000"/>
          <w:spacing w:val="-2"/>
        </w:rPr>
        <w:t>s</w:t>
      </w:r>
      <w:r>
        <w:rPr>
          <w:color w:val="000000"/>
          <w:spacing w:val="10"/>
        </w:rPr>
        <w:t>t</w:t>
      </w:r>
      <w:r>
        <w:rPr>
          <w:color w:val="000000"/>
          <w:spacing w:val="-9"/>
        </w:rPr>
        <w:t>i</w:t>
      </w:r>
      <w:r>
        <w:rPr>
          <w:color w:val="000000"/>
        </w:rPr>
        <w:t>.</w:t>
      </w:r>
      <w:r>
        <w:rPr>
          <w:color w:val="000000"/>
          <w:spacing w:val="12"/>
        </w:rPr>
        <w:t xml:space="preserve"> </w:t>
      </w:r>
      <w:r>
        <w:rPr>
          <w:color w:val="000000"/>
          <w:spacing w:val="2"/>
        </w:rPr>
        <w:t>T</w:t>
      </w:r>
      <w:r>
        <w:rPr>
          <w:color w:val="000000"/>
          <w:spacing w:val="5"/>
        </w:rPr>
        <w:t>o</w:t>
      </w:r>
      <w:r>
        <w:rPr>
          <w:color w:val="000000"/>
        </w:rPr>
        <w:t>d</w:t>
      </w:r>
      <w:r>
        <w:rPr>
          <w:color w:val="000000"/>
          <w:spacing w:val="-1"/>
        </w:rPr>
        <w:t>ė</w:t>
      </w:r>
      <w:r>
        <w:rPr>
          <w:color w:val="000000"/>
        </w:rPr>
        <w:t xml:space="preserve">l </w:t>
      </w:r>
      <w:r>
        <w:rPr>
          <w:color w:val="000000"/>
          <w:spacing w:val="-5"/>
        </w:rPr>
        <w:t>b</w:t>
      </w:r>
      <w:r>
        <w:rPr>
          <w:color w:val="000000"/>
        </w:rPr>
        <w:t>ū</w:t>
      </w:r>
      <w:r>
        <w:rPr>
          <w:color w:val="000000"/>
          <w:spacing w:val="10"/>
        </w:rPr>
        <w:t>t</w:t>
      </w:r>
      <w:r>
        <w:rPr>
          <w:color w:val="000000"/>
          <w:spacing w:val="-4"/>
        </w:rPr>
        <w:t>i</w:t>
      </w:r>
      <w:r>
        <w:rPr>
          <w:color w:val="000000"/>
          <w:spacing w:val="-5"/>
        </w:rPr>
        <w:t>n</w:t>
      </w:r>
      <w:r>
        <w:rPr>
          <w:color w:val="000000"/>
        </w:rPr>
        <w:t>a</w:t>
      </w:r>
      <w:r>
        <w:rPr>
          <w:color w:val="000000"/>
          <w:spacing w:val="8"/>
        </w:rPr>
        <w:t xml:space="preserve"> </w:t>
      </w:r>
      <w:r>
        <w:rPr>
          <w:color w:val="000000"/>
          <w:spacing w:val="-1"/>
        </w:rPr>
        <w:t>a</w:t>
      </w:r>
      <w:r>
        <w:rPr>
          <w:color w:val="000000"/>
          <w:spacing w:val="5"/>
        </w:rPr>
        <w:t>k</w:t>
      </w:r>
      <w:r>
        <w:rPr>
          <w:color w:val="000000"/>
        </w:rPr>
        <w:t>y</w:t>
      </w:r>
      <w:r>
        <w:rPr>
          <w:color w:val="000000"/>
          <w:spacing w:val="-4"/>
        </w:rPr>
        <w:t>l</w:t>
      </w:r>
      <w:r>
        <w:rPr>
          <w:color w:val="000000"/>
          <w:spacing w:val="4"/>
        </w:rPr>
        <w:t>a</w:t>
      </w:r>
      <w:r>
        <w:rPr>
          <w:color w:val="000000"/>
        </w:rPr>
        <w:t>i</w:t>
      </w:r>
      <w:r>
        <w:rPr>
          <w:color w:val="000000"/>
          <w:spacing w:val="5"/>
        </w:rPr>
        <w:t xml:space="preserve"> </w:t>
      </w:r>
      <w:r>
        <w:rPr>
          <w:color w:val="000000"/>
          <w:spacing w:val="-2"/>
        </w:rPr>
        <w:t>s</w:t>
      </w:r>
      <w:r>
        <w:rPr>
          <w:color w:val="000000"/>
          <w:spacing w:val="5"/>
        </w:rPr>
        <w:t>t</w:t>
      </w:r>
      <w:r>
        <w:rPr>
          <w:color w:val="000000"/>
          <w:spacing w:val="-1"/>
        </w:rPr>
        <w:t>e</w:t>
      </w:r>
      <w:r>
        <w:rPr>
          <w:color w:val="000000"/>
          <w:spacing w:val="-5"/>
        </w:rPr>
        <w:t>b</w:t>
      </w:r>
      <w:r>
        <w:rPr>
          <w:color w:val="000000"/>
          <w:spacing w:val="-1"/>
        </w:rPr>
        <w:t>ė</w:t>
      </w:r>
      <w:r>
        <w:rPr>
          <w:color w:val="000000"/>
          <w:spacing w:val="10"/>
        </w:rPr>
        <w:t>t</w:t>
      </w:r>
      <w:r>
        <w:rPr>
          <w:color w:val="000000"/>
        </w:rPr>
        <w:t>i p</w:t>
      </w:r>
      <w:r>
        <w:rPr>
          <w:color w:val="000000"/>
          <w:spacing w:val="5"/>
        </w:rPr>
        <w:t>o</w:t>
      </w:r>
      <w:r>
        <w:rPr>
          <w:color w:val="000000"/>
        </w:rPr>
        <w:t>k</w:t>
      </w:r>
      <w:r>
        <w:rPr>
          <w:color w:val="000000"/>
          <w:spacing w:val="-10"/>
        </w:rPr>
        <w:t>y</w:t>
      </w:r>
      <w:r>
        <w:rPr>
          <w:color w:val="000000"/>
          <w:spacing w:val="4"/>
        </w:rPr>
        <w:t>č</w:t>
      </w:r>
      <w:r>
        <w:rPr>
          <w:color w:val="000000"/>
          <w:spacing w:val="-4"/>
        </w:rPr>
        <w:t>i</w:t>
      </w:r>
      <w:r>
        <w:rPr>
          <w:color w:val="000000"/>
          <w:spacing w:val="5"/>
        </w:rPr>
        <w:t>u</w:t>
      </w:r>
      <w:r>
        <w:rPr>
          <w:color w:val="000000"/>
        </w:rPr>
        <w:t>s</w:t>
      </w:r>
      <w:r>
        <w:rPr>
          <w:color w:val="000000"/>
          <w:spacing w:val="2"/>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to</w:t>
      </w:r>
      <w:r>
        <w:rPr>
          <w:color w:val="000000"/>
          <w:spacing w:val="-9"/>
        </w:rPr>
        <w:t>j</w:t>
      </w:r>
      <w:r>
        <w:rPr>
          <w:color w:val="000000"/>
        </w:rPr>
        <w:t>e</w:t>
      </w:r>
      <w:r>
        <w:rPr>
          <w:color w:val="000000"/>
          <w:spacing w:val="3"/>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4"/>
        </w:rPr>
        <w:t>i</w:t>
      </w:r>
      <w:r>
        <w:rPr>
          <w:color w:val="000000"/>
        </w:rPr>
        <w:t>ų</w:t>
      </w:r>
      <w:r>
        <w:rPr>
          <w:color w:val="000000"/>
          <w:spacing w:val="4"/>
        </w:rPr>
        <w:t xml:space="preserve"> </w:t>
      </w:r>
      <w:r>
        <w:rPr>
          <w:color w:val="000000"/>
          <w:spacing w:val="-4"/>
        </w:rPr>
        <w:t>i</w:t>
      </w:r>
      <w:r>
        <w:rPr>
          <w:color w:val="000000"/>
        </w:rPr>
        <w:t>r</w:t>
      </w:r>
      <w:r>
        <w:rPr>
          <w:color w:val="000000"/>
          <w:spacing w:val="1"/>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rPr>
        <w:t>o</w:t>
      </w:r>
      <w:r>
        <w:rPr>
          <w:color w:val="000000"/>
          <w:spacing w:val="5"/>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4"/>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spacing w:val="-1"/>
        </w:rPr>
        <w:t>a</w:t>
      </w:r>
      <w:r>
        <w:rPr>
          <w:color w:val="000000"/>
          <w:spacing w:val="5"/>
        </w:rPr>
        <w:t>p</w:t>
      </w:r>
      <w:r>
        <w:rPr>
          <w:color w:val="000000"/>
          <w:spacing w:val="-5"/>
        </w:rPr>
        <w:t>y</w:t>
      </w:r>
      <w:r>
        <w:rPr>
          <w:color w:val="000000"/>
          <w:spacing w:val="9"/>
        </w:rPr>
        <w:t>v</w:t>
      </w:r>
      <w:r>
        <w:rPr>
          <w:color w:val="000000"/>
          <w:spacing w:val="-1"/>
        </w:rPr>
        <w:t>a</w:t>
      </w:r>
      <w:r>
        <w:rPr>
          <w:color w:val="000000"/>
          <w:spacing w:val="1"/>
        </w:rPr>
        <w:t>r</w:t>
      </w:r>
      <w:r>
        <w:rPr>
          <w:color w:val="000000"/>
          <w:spacing w:val="5"/>
        </w:rPr>
        <w:t>to</w:t>
      </w:r>
      <w:r>
        <w:rPr>
          <w:color w:val="000000"/>
          <w:spacing w:val="-9"/>
        </w:rPr>
        <w:t>j</w:t>
      </w:r>
      <w:r>
        <w:rPr>
          <w:color w:val="000000"/>
          <w:spacing w:val="-1"/>
        </w:rPr>
        <w:t>e</w:t>
      </w:r>
      <w:r>
        <w:rPr>
          <w:color w:val="000000"/>
        </w:rPr>
        <w:t>,</w:t>
      </w:r>
      <w:r>
        <w:rPr>
          <w:color w:val="000000"/>
          <w:spacing w:val="2"/>
        </w:rPr>
        <w:t xml:space="preserve"> </w:t>
      </w:r>
      <w:r>
        <w:rPr>
          <w:color w:val="000000"/>
          <w:spacing w:val="5"/>
        </w:rPr>
        <w:t>to</w:t>
      </w:r>
      <w:r>
        <w:rPr>
          <w:color w:val="000000"/>
          <w:spacing w:val="-5"/>
        </w:rPr>
        <w:t>b</w:t>
      </w:r>
      <w:r>
        <w:rPr>
          <w:color w:val="000000"/>
        </w:rPr>
        <w:t>u</w:t>
      </w:r>
      <w:r>
        <w:rPr>
          <w:color w:val="000000"/>
          <w:spacing w:val="-4"/>
        </w:rPr>
        <w:t>li</w:t>
      </w:r>
      <w:r>
        <w:rPr>
          <w:color w:val="000000"/>
          <w:spacing w:val="-5"/>
        </w:rPr>
        <w:t>n</w:t>
      </w:r>
      <w:r>
        <w:rPr>
          <w:color w:val="000000"/>
          <w:spacing w:val="10"/>
        </w:rPr>
        <w:t>t</w:t>
      </w:r>
      <w:r>
        <w:rPr>
          <w:color w:val="000000"/>
        </w:rPr>
        <w:t xml:space="preserve">i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4"/>
        </w:rPr>
        <w:t>m</w:t>
      </w:r>
      <w:r>
        <w:rPr>
          <w:color w:val="000000"/>
          <w:spacing w:val="4"/>
        </w:rPr>
        <w:t>a</w:t>
      </w:r>
      <w:r>
        <w:rPr>
          <w:color w:val="000000"/>
        </w:rPr>
        <w:t>vi</w:t>
      </w:r>
      <w:r>
        <w:rPr>
          <w:color w:val="000000"/>
          <w:spacing w:val="-9"/>
        </w:rPr>
        <w:t>m</w:t>
      </w:r>
      <w:r>
        <w:rPr>
          <w:color w:val="000000"/>
        </w:rPr>
        <w:t>o</w:t>
      </w:r>
      <w:r>
        <w:rPr>
          <w:color w:val="000000"/>
          <w:spacing w:val="4"/>
        </w:rPr>
        <w:t xml:space="preserve"> </w:t>
      </w:r>
      <w:r>
        <w:rPr>
          <w:color w:val="000000"/>
          <w:spacing w:val="-1"/>
        </w:rPr>
        <w:t>a</w:t>
      </w:r>
      <w:r>
        <w:rPr>
          <w:color w:val="000000"/>
          <w:spacing w:val="5"/>
        </w:rPr>
        <w:t>p</w:t>
      </w:r>
      <w:r>
        <w:rPr>
          <w:color w:val="000000"/>
        </w:rPr>
        <w:t xml:space="preserve">ie </w:t>
      </w:r>
      <w:r>
        <w:rPr>
          <w:color w:val="000000"/>
          <w:spacing w:val="-5"/>
        </w:rPr>
        <w:t>n</w:t>
      </w:r>
      <w:r>
        <w:rPr>
          <w:color w:val="000000"/>
          <w:spacing w:val="-1"/>
        </w:rPr>
        <w:t>a</w:t>
      </w:r>
      <w:r>
        <w:rPr>
          <w:color w:val="000000"/>
          <w:spacing w:val="5"/>
        </w:rPr>
        <w:t>u</w:t>
      </w:r>
      <w:r>
        <w:rPr>
          <w:color w:val="000000"/>
          <w:spacing w:val="-4"/>
        </w:rPr>
        <w:t>j</w:t>
      </w:r>
      <w:r>
        <w:rPr>
          <w:color w:val="000000"/>
          <w:spacing w:val="4"/>
        </w:rPr>
        <w:t>a</w:t>
      </w:r>
      <w:r>
        <w:rPr>
          <w:color w:val="000000"/>
        </w:rPr>
        <w:t>s</w:t>
      </w:r>
      <w:r>
        <w:rPr>
          <w:color w:val="000000"/>
          <w:spacing w:val="11"/>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4"/>
        </w:rPr>
        <w:t>a</w:t>
      </w:r>
      <w:r>
        <w:rPr>
          <w:color w:val="000000"/>
        </w:rPr>
        <w:t>s</w:t>
      </w:r>
      <w:r>
        <w:rPr>
          <w:color w:val="000000"/>
          <w:spacing w:val="7"/>
        </w:rPr>
        <w:t xml:space="preserve"> </w:t>
      </w:r>
      <w:r>
        <w:rPr>
          <w:color w:val="000000"/>
          <w:spacing w:val="2"/>
        </w:rPr>
        <w:t>s</w:t>
      </w:r>
      <w:r>
        <w:rPr>
          <w:color w:val="000000"/>
          <w:spacing w:val="-4"/>
        </w:rPr>
        <w:t>i</w:t>
      </w:r>
      <w:r>
        <w:rPr>
          <w:color w:val="000000"/>
          <w:spacing w:val="-2"/>
        </w:rPr>
        <w:t>s</w:t>
      </w:r>
      <w:r>
        <w:rPr>
          <w:color w:val="000000"/>
          <w:spacing w:val="5"/>
        </w:rPr>
        <w:t>t</w:t>
      </w:r>
      <w:r>
        <w:rPr>
          <w:color w:val="000000"/>
          <w:spacing w:val="4"/>
        </w:rPr>
        <w:t>e</w:t>
      </w:r>
      <w:r>
        <w:rPr>
          <w:color w:val="000000"/>
          <w:spacing w:val="-4"/>
        </w:rPr>
        <w:t>m</w:t>
      </w:r>
      <w:r>
        <w:rPr>
          <w:color w:val="000000"/>
          <w:spacing w:val="-1"/>
        </w:rPr>
        <w:t>ą</w:t>
      </w:r>
      <w:r>
        <w:rPr>
          <w:color w:val="000000"/>
        </w:rPr>
        <w:t>,</w:t>
      </w:r>
      <w:r>
        <w:rPr>
          <w:color w:val="000000"/>
          <w:spacing w:val="16"/>
        </w:rPr>
        <w:t xml:space="preserve"> </w:t>
      </w:r>
      <w:r>
        <w:rPr>
          <w:color w:val="000000"/>
          <w:spacing w:val="-4"/>
        </w:rPr>
        <w:t>i</w:t>
      </w:r>
      <w:r>
        <w:rPr>
          <w:color w:val="000000"/>
        </w:rPr>
        <w:t>d</w:t>
      </w:r>
      <w:r>
        <w:rPr>
          <w:color w:val="000000"/>
          <w:spacing w:val="4"/>
        </w:rPr>
        <w:t>e</w:t>
      </w:r>
      <w:r>
        <w:rPr>
          <w:color w:val="000000"/>
          <w:spacing w:val="-5"/>
        </w:rPr>
        <w:t>n</w:t>
      </w:r>
      <w:r>
        <w:rPr>
          <w:color w:val="000000"/>
          <w:spacing w:val="5"/>
        </w:rPr>
        <w:t>t</w:t>
      </w:r>
      <w:r>
        <w:rPr>
          <w:color w:val="000000"/>
          <w:spacing w:val="-4"/>
        </w:rPr>
        <w:t>i</w:t>
      </w:r>
      <w:r>
        <w:rPr>
          <w:color w:val="000000"/>
          <w:spacing w:val="1"/>
        </w:rPr>
        <w:t>f</w:t>
      </w:r>
      <w:r>
        <w:rPr>
          <w:color w:val="000000"/>
          <w:spacing w:val="-4"/>
        </w:rPr>
        <w:t>i</w:t>
      </w:r>
      <w:r>
        <w:rPr>
          <w:color w:val="000000"/>
        </w:rPr>
        <w:t>ku</w:t>
      </w:r>
      <w:r>
        <w:rPr>
          <w:color w:val="000000"/>
          <w:spacing w:val="5"/>
        </w:rPr>
        <w:t>ot</w:t>
      </w:r>
      <w:r>
        <w:rPr>
          <w:color w:val="000000"/>
        </w:rPr>
        <w:t xml:space="preserve">i </w:t>
      </w:r>
      <w:r>
        <w:rPr>
          <w:color w:val="000000"/>
          <w:spacing w:val="-1"/>
        </w:rPr>
        <w:t>a</w:t>
      </w:r>
      <w:r>
        <w:rPr>
          <w:color w:val="000000"/>
          <w:spacing w:val="5"/>
        </w:rPr>
        <w:t>t</w:t>
      </w:r>
      <w:r>
        <w:rPr>
          <w:color w:val="000000"/>
          <w:spacing w:val="2"/>
        </w:rPr>
        <w:t>s</w:t>
      </w:r>
      <w:r>
        <w:rPr>
          <w:color w:val="000000"/>
          <w:spacing w:val="-9"/>
        </w:rPr>
        <w:t>i</w:t>
      </w:r>
      <w:r>
        <w:rPr>
          <w:color w:val="000000"/>
          <w:spacing w:val="1"/>
        </w:rPr>
        <w:t>r</w:t>
      </w:r>
      <w:r>
        <w:rPr>
          <w:color w:val="000000"/>
          <w:spacing w:val="4"/>
        </w:rPr>
        <w:t>a</w:t>
      </w:r>
      <w:r>
        <w:rPr>
          <w:color w:val="000000"/>
          <w:spacing w:val="-5"/>
        </w:rPr>
        <w:t>n</w:t>
      </w:r>
      <w:r>
        <w:rPr>
          <w:color w:val="000000"/>
          <w:spacing w:val="5"/>
        </w:rPr>
        <w:t>d</w:t>
      </w:r>
      <w:r>
        <w:rPr>
          <w:color w:val="000000"/>
          <w:spacing w:val="-1"/>
        </w:rPr>
        <w:t>a</w:t>
      </w:r>
      <w:r>
        <w:rPr>
          <w:color w:val="000000"/>
          <w:spacing w:val="-5"/>
        </w:rPr>
        <w:t>n</w:t>
      </w:r>
      <w:r>
        <w:rPr>
          <w:color w:val="000000"/>
          <w:spacing w:val="4"/>
        </w:rPr>
        <w:t>č</w:t>
      </w:r>
      <w:r>
        <w:rPr>
          <w:color w:val="000000"/>
          <w:spacing w:val="-4"/>
        </w:rPr>
        <w:t>i</w:t>
      </w:r>
      <w:r>
        <w:rPr>
          <w:color w:val="000000"/>
          <w:spacing w:val="4"/>
        </w:rPr>
        <w:t>a</w:t>
      </w:r>
      <w:r>
        <w:rPr>
          <w:color w:val="000000"/>
        </w:rPr>
        <w:t>s</w:t>
      </w:r>
      <w:r>
        <w:rPr>
          <w:color w:val="000000"/>
          <w:spacing w:val="7"/>
        </w:rPr>
        <w:t xml:space="preserve"> </w:t>
      </w:r>
      <w:r>
        <w:rPr>
          <w:color w:val="000000"/>
        </w:rPr>
        <w:t>p</w:t>
      </w:r>
      <w:r>
        <w:rPr>
          <w:color w:val="000000"/>
          <w:spacing w:val="1"/>
        </w:rPr>
        <w:t>r</w:t>
      </w:r>
      <w:r>
        <w:rPr>
          <w:color w:val="000000"/>
          <w:spacing w:val="5"/>
        </w:rPr>
        <w:t>o</w:t>
      </w:r>
      <w:r>
        <w:rPr>
          <w:color w:val="000000"/>
        </w:rPr>
        <w:t>b</w:t>
      </w:r>
      <w:r>
        <w:rPr>
          <w:color w:val="000000"/>
          <w:spacing w:val="-4"/>
        </w:rPr>
        <w:t>l</w:t>
      </w:r>
      <w:r>
        <w:rPr>
          <w:color w:val="000000"/>
          <w:spacing w:val="4"/>
        </w:rPr>
        <w:t>e</w:t>
      </w:r>
      <w:r>
        <w:rPr>
          <w:color w:val="000000"/>
          <w:spacing w:val="-4"/>
        </w:rPr>
        <w:t>m</w:t>
      </w:r>
      <w:r>
        <w:rPr>
          <w:color w:val="000000"/>
          <w:spacing w:val="-1"/>
        </w:rPr>
        <w:t>a</w:t>
      </w:r>
      <w:r>
        <w:rPr>
          <w:color w:val="000000"/>
        </w:rPr>
        <w:t>s</w:t>
      </w:r>
      <w:r>
        <w:rPr>
          <w:color w:val="000000"/>
          <w:spacing w:val="11"/>
        </w:rPr>
        <w:t xml:space="preserve"> </w:t>
      </w:r>
      <w:r>
        <w:rPr>
          <w:color w:val="000000"/>
          <w:spacing w:val="-4"/>
        </w:rPr>
        <w:t>i</w:t>
      </w:r>
      <w:r>
        <w:rPr>
          <w:color w:val="000000"/>
        </w:rPr>
        <w:t>r</w:t>
      </w:r>
      <w:r>
        <w:rPr>
          <w:color w:val="000000"/>
          <w:spacing w:val="15"/>
        </w:rPr>
        <w:t xml:space="preserve"> </w:t>
      </w:r>
      <w:r>
        <w:rPr>
          <w:color w:val="000000"/>
          <w:spacing w:val="-2"/>
        </w:rPr>
        <w:t>s</w:t>
      </w:r>
      <w:r>
        <w:rPr>
          <w:color w:val="000000"/>
          <w:spacing w:val="5"/>
        </w:rPr>
        <w:t>t</w:t>
      </w:r>
      <w:r>
        <w:rPr>
          <w:color w:val="000000"/>
          <w:spacing w:val="-1"/>
        </w:rPr>
        <w:t>e</w:t>
      </w:r>
      <w:r>
        <w:rPr>
          <w:color w:val="000000"/>
          <w:spacing w:val="-5"/>
        </w:rPr>
        <w:t>n</w:t>
      </w:r>
      <w:r>
        <w:rPr>
          <w:color w:val="000000"/>
        </w:rPr>
        <w:t>g</w:t>
      </w:r>
      <w:r>
        <w:rPr>
          <w:color w:val="000000"/>
          <w:spacing w:val="5"/>
        </w:rPr>
        <w:t>t</w:t>
      </w:r>
      <w:r>
        <w:rPr>
          <w:color w:val="000000"/>
          <w:spacing w:val="-4"/>
        </w:rPr>
        <w:t>i</w:t>
      </w:r>
      <w:r>
        <w:rPr>
          <w:color w:val="000000"/>
        </w:rPr>
        <w:t>s</w:t>
      </w:r>
      <w:r>
        <w:rPr>
          <w:color w:val="000000"/>
          <w:spacing w:val="7"/>
        </w:rPr>
        <w:t xml:space="preserve"> </w:t>
      </w:r>
      <w:r>
        <w:rPr>
          <w:color w:val="000000"/>
        </w:rPr>
        <w:t>p</w:t>
      </w:r>
      <w:r>
        <w:rPr>
          <w:color w:val="000000"/>
          <w:spacing w:val="6"/>
        </w:rPr>
        <w:t>r</w:t>
      </w:r>
      <w:r>
        <w:rPr>
          <w:color w:val="000000"/>
        </w:rPr>
        <w:t>i</w:t>
      </w:r>
      <w:r>
        <w:rPr>
          <w:color w:val="000000"/>
          <w:spacing w:val="-4"/>
        </w:rPr>
        <w:t>i</w:t>
      </w:r>
      <w:r>
        <w:rPr>
          <w:color w:val="000000"/>
          <w:spacing w:val="-9"/>
        </w:rPr>
        <w:t>m</w:t>
      </w:r>
      <w:r>
        <w:rPr>
          <w:color w:val="000000"/>
          <w:spacing w:val="10"/>
        </w:rPr>
        <w:t>t</w:t>
      </w:r>
      <w:r>
        <w:rPr>
          <w:color w:val="000000"/>
        </w:rPr>
        <w:t>i</w:t>
      </w:r>
      <w:r>
        <w:rPr>
          <w:color w:val="000000"/>
          <w:spacing w:val="9"/>
        </w:rPr>
        <w:t xml:space="preserve"> </w:t>
      </w:r>
      <w:r>
        <w:rPr>
          <w:color w:val="000000"/>
          <w:spacing w:val="-1"/>
        </w:rPr>
        <w:t>a</w:t>
      </w:r>
      <w:r>
        <w:rPr>
          <w:color w:val="000000"/>
        </w:rPr>
        <w:t>d</w:t>
      </w:r>
      <w:r>
        <w:rPr>
          <w:color w:val="000000"/>
          <w:spacing w:val="-1"/>
        </w:rPr>
        <w:t>e</w:t>
      </w:r>
      <w:r>
        <w:rPr>
          <w:color w:val="000000"/>
          <w:spacing w:val="5"/>
        </w:rPr>
        <w:t>k</w:t>
      </w:r>
      <w:r>
        <w:rPr>
          <w:color w:val="000000"/>
          <w:spacing w:val="-5"/>
        </w:rPr>
        <w:t>v</w:t>
      </w:r>
      <w:r>
        <w:rPr>
          <w:color w:val="000000"/>
          <w:spacing w:val="-1"/>
        </w:rPr>
        <w:t>a</w:t>
      </w:r>
      <w:r>
        <w:rPr>
          <w:color w:val="000000"/>
          <w:spacing w:val="4"/>
        </w:rPr>
        <w:t>č</w:t>
      </w:r>
      <w:r>
        <w:rPr>
          <w:color w:val="000000"/>
          <w:spacing w:val="-4"/>
        </w:rPr>
        <w:t>i</w:t>
      </w:r>
      <w:r>
        <w:rPr>
          <w:color w:val="000000"/>
          <w:spacing w:val="5"/>
        </w:rPr>
        <w:t>u</w:t>
      </w:r>
      <w:r>
        <w:rPr>
          <w:color w:val="000000"/>
        </w:rPr>
        <w:t xml:space="preserve">s </w:t>
      </w:r>
      <w:r>
        <w:rPr>
          <w:color w:val="000000"/>
          <w:spacing w:val="-2"/>
        </w:rPr>
        <w:t>s</w:t>
      </w:r>
      <w:r>
        <w:rPr>
          <w:color w:val="000000"/>
        </w:rPr>
        <w:t>p</w:t>
      </w:r>
      <w:r>
        <w:rPr>
          <w:color w:val="000000"/>
          <w:spacing w:val="1"/>
        </w:rPr>
        <w:t>r</w:t>
      </w:r>
      <w:r>
        <w:rPr>
          <w:color w:val="000000"/>
          <w:spacing w:val="-1"/>
        </w:rPr>
        <w:t>e</w:t>
      </w:r>
      <w:r>
        <w:rPr>
          <w:color w:val="000000"/>
          <w:spacing w:val="-5"/>
        </w:rPr>
        <w:t>n</w:t>
      </w:r>
      <w:r>
        <w:rPr>
          <w:color w:val="000000"/>
          <w:spacing w:val="5"/>
        </w:rPr>
        <w:t>d</w:t>
      </w:r>
      <w:r>
        <w:rPr>
          <w:color w:val="000000"/>
        </w:rPr>
        <w:t>i</w:t>
      </w:r>
      <w:r>
        <w:rPr>
          <w:color w:val="000000"/>
          <w:spacing w:val="-4"/>
        </w:rPr>
        <w:t>m</w:t>
      </w:r>
      <w:r>
        <w:rPr>
          <w:color w:val="000000"/>
          <w:spacing w:val="5"/>
        </w:rPr>
        <w:t>u</w:t>
      </w:r>
      <w:r>
        <w:rPr>
          <w:color w:val="000000"/>
        </w:rPr>
        <w:t xml:space="preserve">s </w:t>
      </w:r>
      <w:r>
        <w:rPr>
          <w:color w:val="000000"/>
          <w:spacing w:val="-5"/>
        </w:rPr>
        <w:t>b</w:t>
      </w:r>
      <w:r>
        <w:rPr>
          <w:color w:val="000000"/>
          <w:spacing w:val="4"/>
        </w:rPr>
        <w:t>e</w:t>
      </w:r>
      <w:r>
        <w:rPr>
          <w:color w:val="000000"/>
        </w:rPr>
        <w:t>i</w:t>
      </w:r>
      <w:r>
        <w:rPr>
          <w:color w:val="000000"/>
          <w:spacing w:val="-2"/>
        </w:rPr>
        <w:t xml:space="preserve"> </w:t>
      </w:r>
      <w:r>
        <w:rPr>
          <w:color w:val="000000"/>
        </w:rPr>
        <w:t>p</w:t>
      </w:r>
      <w:r>
        <w:rPr>
          <w:color w:val="000000"/>
          <w:spacing w:val="6"/>
        </w:rPr>
        <w:t>r</w:t>
      </w:r>
      <w:r>
        <w:rPr>
          <w:color w:val="000000"/>
          <w:spacing w:val="-9"/>
        </w:rPr>
        <w:t>i</w:t>
      </w:r>
      <w:r>
        <w:rPr>
          <w:color w:val="000000"/>
          <w:spacing w:val="4"/>
        </w:rPr>
        <w:t>e</w:t>
      </w:r>
      <w:r>
        <w:rPr>
          <w:color w:val="000000"/>
          <w:spacing w:val="-9"/>
        </w:rPr>
        <w:t>m</w:t>
      </w:r>
      <w:r>
        <w:rPr>
          <w:color w:val="000000"/>
          <w:spacing w:val="9"/>
        </w:rPr>
        <w:t>o</w:t>
      </w:r>
      <w:r>
        <w:rPr>
          <w:color w:val="000000"/>
          <w:spacing w:val="-5"/>
        </w:rPr>
        <w:t>n</w:t>
      </w:r>
      <w:r>
        <w:rPr>
          <w:color w:val="000000"/>
          <w:spacing w:val="4"/>
        </w:rPr>
        <w:t>e</w:t>
      </w:r>
      <w:r>
        <w:rPr>
          <w:color w:val="000000"/>
        </w:rPr>
        <w:t>s</w:t>
      </w:r>
      <w:r>
        <w:rPr>
          <w:color w:val="000000"/>
          <w:spacing w:val="5"/>
        </w:rPr>
        <w:t xml:space="preserve"> </w:t>
      </w:r>
      <w:r>
        <w:rPr>
          <w:color w:val="000000"/>
          <w:spacing w:val="-9"/>
        </w:rPr>
        <w:t>j</w:t>
      </w:r>
      <w:r>
        <w:rPr>
          <w:color w:val="000000"/>
          <w:spacing w:val="9"/>
        </w:rPr>
        <w:t>o</w:t>
      </w:r>
      <w:r>
        <w:rPr>
          <w:color w:val="000000"/>
          <w:spacing w:val="-4"/>
        </w:rPr>
        <w:t>m</w:t>
      </w:r>
      <w:r>
        <w:rPr>
          <w:color w:val="000000"/>
        </w:rPr>
        <w:t>s p</w:t>
      </w:r>
      <w:r>
        <w:rPr>
          <w:color w:val="000000"/>
          <w:spacing w:val="-1"/>
        </w:rPr>
        <w:t>a</w:t>
      </w:r>
      <w:r>
        <w:rPr>
          <w:color w:val="000000"/>
          <w:spacing w:val="-2"/>
        </w:rPr>
        <w:t>š</w:t>
      </w:r>
      <w:r>
        <w:rPr>
          <w:color w:val="000000"/>
          <w:spacing w:val="4"/>
        </w:rPr>
        <w:t>a</w:t>
      </w:r>
      <w:r>
        <w:rPr>
          <w:color w:val="000000"/>
        </w:rPr>
        <w:t>l</w:t>
      </w:r>
      <w:r>
        <w:rPr>
          <w:color w:val="000000"/>
          <w:spacing w:val="-4"/>
        </w:rPr>
        <w:t>i</w:t>
      </w:r>
      <w:r>
        <w:rPr>
          <w:color w:val="000000"/>
          <w:spacing w:val="-5"/>
        </w:rPr>
        <w:t>n</w:t>
      </w:r>
      <w:r>
        <w:rPr>
          <w:color w:val="000000"/>
          <w:spacing w:val="10"/>
        </w:rPr>
        <w:t>t</w:t>
      </w:r>
      <w:r>
        <w:rPr>
          <w:color w:val="000000"/>
          <w:spacing w:val="-9"/>
        </w:rPr>
        <w:t>i</w:t>
      </w:r>
      <w:r>
        <w:rPr>
          <w:color w:val="000000"/>
        </w:rPr>
        <w:t>.</w:t>
      </w:r>
    </w:p>
    <w:p w:rsidR="004F7425" w:rsidRDefault="004F7425" w:rsidP="004F7425">
      <w:pPr>
        <w:widowControl w:val="0"/>
        <w:autoSpaceDE w:val="0"/>
        <w:autoSpaceDN w:val="0"/>
        <w:adjustRightInd w:val="0"/>
        <w:ind w:left="120" w:right="48" w:firstLine="721"/>
        <w:jc w:val="both"/>
        <w:rPr>
          <w:color w:val="000000"/>
        </w:rPr>
      </w:pP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9"/>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o</w:t>
      </w:r>
      <w:r>
        <w:rPr>
          <w:color w:val="000000"/>
          <w:spacing w:val="14"/>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rPr>
        <w:t xml:space="preserve">i </w:t>
      </w:r>
      <w:r>
        <w:rPr>
          <w:color w:val="000000"/>
          <w:spacing w:val="5"/>
        </w:rPr>
        <w:t>d</w:t>
      </w:r>
      <w:r>
        <w:rPr>
          <w:color w:val="000000"/>
          <w:spacing w:val="-1"/>
        </w:rPr>
        <w:t>a</w:t>
      </w:r>
      <w:r>
        <w:rPr>
          <w:color w:val="000000"/>
          <w:spacing w:val="4"/>
        </w:rPr>
        <w:t>ž</w:t>
      </w:r>
      <w:r>
        <w:rPr>
          <w:color w:val="000000"/>
          <w:spacing w:val="-5"/>
        </w:rPr>
        <w:t>n</w:t>
      </w:r>
      <w:r>
        <w:rPr>
          <w:color w:val="000000"/>
          <w:spacing w:val="4"/>
        </w:rPr>
        <w:t>a</w:t>
      </w:r>
      <w:r>
        <w:rPr>
          <w:color w:val="000000"/>
        </w:rPr>
        <w:t>i</w:t>
      </w:r>
      <w:r>
        <w:rPr>
          <w:color w:val="000000"/>
          <w:spacing w:val="10"/>
        </w:rPr>
        <w:t xml:space="preserve"> </w:t>
      </w:r>
      <w:r>
        <w:rPr>
          <w:color w:val="000000"/>
          <w:spacing w:val="-4"/>
        </w:rPr>
        <w:t>l</w:t>
      </w:r>
      <w:r>
        <w:rPr>
          <w:color w:val="000000"/>
          <w:spacing w:val="4"/>
        </w:rPr>
        <w:t>a</w:t>
      </w:r>
      <w:r>
        <w:rPr>
          <w:color w:val="000000"/>
          <w:spacing w:val="-4"/>
        </w:rPr>
        <w:t>i</w:t>
      </w:r>
      <w:r>
        <w:rPr>
          <w:color w:val="000000"/>
        </w:rPr>
        <w:t>k</w:t>
      </w:r>
      <w:r>
        <w:rPr>
          <w:color w:val="000000"/>
          <w:spacing w:val="9"/>
        </w:rPr>
        <w:t>o</w:t>
      </w:r>
      <w:r>
        <w:rPr>
          <w:color w:val="000000"/>
          <w:spacing w:val="-4"/>
        </w:rPr>
        <w:t>m</w:t>
      </w:r>
      <w:r>
        <w:rPr>
          <w:color w:val="000000"/>
        </w:rPr>
        <w:t>i</w:t>
      </w:r>
      <w:r>
        <w:rPr>
          <w:color w:val="000000"/>
          <w:spacing w:val="5"/>
        </w:rPr>
        <w:t xml:space="preserve"> </w:t>
      </w:r>
      <w:r>
        <w:rPr>
          <w:color w:val="000000"/>
          <w:spacing w:val="-5"/>
        </w:rPr>
        <w:t>n</w:t>
      </w:r>
      <w:r>
        <w:rPr>
          <w:color w:val="000000"/>
          <w:spacing w:val="-1"/>
        </w:rPr>
        <w:t>e</w:t>
      </w:r>
      <w:r>
        <w:rPr>
          <w:color w:val="000000"/>
          <w:spacing w:val="10"/>
        </w:rPr>
        <w:t>t</w:t>
      </w:r>
      <w:r>
        <w:rPr>
          <w:color w:val="000000"/>
          <w:spacing w:val="-4"/>
        </w:rPr>
        <w:t>i</w:t>
      </w:r>
      <w:r>
        <w:rPr>
          <w:color w:val="000000"/>
          <w:spacing w:val="-1"/>
        </w:rPr>
        <w:t>e</w:t>
      </w:r>
      <w:r>
        <w:rPr>
          <w:color w:val="000000"/>
          <w:spacing w:val="2"/>
        </w:rPr>
        <w:t>s</w:t>
      </w:r>
      <w:r>
        <w:rPr>
          <w:color w:val="000000"/>
          <w:spacing w:val="-9"/>
        </w:rPr>
        <w:t>i</w:t>
      </w:r>
      <w:r>
        <w:rPr>
          <w:color w:val="000000"/>
          <w:spacing w:val="5"/>
        </w:rPr>
        <w:t>og</w:t>
      </w:r>
      <w:r>
        <w:rPr>
          <w:color w:val="000000"/>
          <w:spacing w:val="-4"/>
        </w:rPr>
        <w:t>i</w:t>
      </w:r>
      <w:r>
        <w:rPr>
          <w:color w:val="000000"/>
        </w:rPr>
        <w:t>n</w:t>
      </w:r>
      <w:r>
        <w:rPr>
          <w:color w:val="000000"/>
          <w:spacing w:val="-4"/>
        </w:rPr>
        <w:t>i</w:t>
      </w:r>
      <w:r>
        <w:rPr>
          <w:color w:val="000000"/>
        </w:rPr>
        <w:t>u</w:t>
      </w:r>
      <w:r>
        <w:rPr>
          <w:color w:val="000000"/>
          <w:spacing w:val="9"/>
        </w:rPr>
        <w:t xml:space="preserve"> </w:t>
      </w:r>
      <w:r>
        <w:rPr>
          <w:color w:val="000000"/>
        </w:rPr>
        <w:t>p</w:t>
      </w:r>
      <w:r>
        <w:rPr>
          <w:color w:val="000000"/>
          <w:spacing w:val="4"/>
        </w:rPr>
        <w:t>a</w:t>
      </w:r>
      <w:r>
        <w:rPr>
          <w:color w:val="000000"/>
          <w:spacing w:val="2"/>
        </w:rPr>
        <w:t>s</w:t>
      </w:r>
      <w:r>
        <w:rPr>
          <w:color w:val="000000"/>
          <w:spacing w:val="-4"/>
        </w:rPr>
        <w:t>i</w:t>
      </w:r>
      <w:r>
        <w:rPr>
          <w:color w:val="000000"/>
          <w:spacing w:val="5"/>
        </w:rPr>
        <w:t>ū</w:t>
      </w:r>
      <w:r>
        <w:rPr>
          <w:color w:val="000000"/>
          <w:spacing w:val="-9"/>
        </w:rPr>
        <w:t>l</w:t>
      </w:r>
      <w:r>
        <w:rPr>
          <w:color w:val="000000"/>
          <w:spacing w:val="5"/>
        </w:rPr>
        <w:t>o</w:t>
      </w:r>
      <w:r>
        <w:rPr>
          <w:color w:val="000000"/>
          <w:spacing w:val="-2"/>
        </w:rPr>
        <w:t>s</w:t>
      </w:r>
      <w:r>
        <w:rPr>
          <w:color w:val="000000"/>
        </w:rPr>
        <w:t>,</w:t>
      </w:r>
      <w:r>
        <w:rPr>
          <w:color w:val="000000"/>
          <w:spacing w:val="12"/>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rPr>
        <w:t>d</w:t>
      </w:r>
      <w:r>
        <w:rPr>
          <w:color w:val="000000"/>
          <w:spacing w:val="5"/>
        </w:rPr>
        <w:t>o</w:t>
      </w:r>
      <w:r>
        <w:rPr>
          <w:color w:val="000000"/>
        </w:rPr>
        <w:t>s</w:t>
      </w:r>
      <w:r>
        <w:rPr>
          <w:color w:val="000000"/>
          <w:spacing w:val="7"/>
        </w:rPr>
        <w:t xml:space="preserve"> </w:t>
      </w:r>
      <w:r>
        <w:rPr>
          <w:color w:val="000000"/>
          <w:spacing w:val="12"/>
        </w:rPr>
        <w:t>k</w:t>
      </w:r>
      <w:r>
        <w:rPr>
          <w:color w:val="000000"/>
          <w:spacing w:val="4"/>
        </w:rPr>
        <w:t>e</w:t>
      </w:r>
      <w:r>
        <w:rPr>
          <w:color w:val="000000"/>
          <w:spacing w:val="-4"/>
        </w:rPr>
        <w:t>li</w:t>
      </w:r>
      <w:r>
        <w:rPr>
          <w:color w:val="000000"/>
        </w:rPr>
        <w:t>ų</w:t>
      </w:r>
      <w:r>
        <w:rPr>
          <w:color w:val="000000"/>
          <w:spacing w:val="14"/>
        </w:rPr>
        <w:t xml:space="preserve"> </w:t>
      </w:r>
      <w:r>
        <w:rPr>
          <w:color w:val="000000"/>
          <w:spacing w:val="-4"/>
        </w:rPr>
        <w:t>i</w:t>
      </w:r>
      <w:r>
        <w:rPr>
          <w:color w:val="000000"/>
        </w:rPr>
        <w:t xml:space="preserve">r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  p</w:t>
      </w:r>
      <w:r>
        <w:rPr>
          <w:color w:val="000000"/>
          <w:spacing w:val="6"/>
        </w:rPr>
        <w:t>r</w:t>
      </w:r>
      <w:r>
        <w:rPr>
          <w:color w:val="000000"/>
          <w:spacing w:val="-9"/>
        </w:rPr>
        <w:t>i</w:t>
      </w:r>
      <w:r>
        <w:rPr>
          <w:color w:val="000000"/>
          <w:spacing w:val="4"/>
        </w:rPr>
        <w:t>e</w:t>
      </w:r>
      <w:r>
        <w:rPr>
          <w:color w:val="000000"/>
          <w:spacing w:val="-4"/>
        </w:rPr>
        <w:t>i</w:t>
      </w:r>
      <w:r>
        <w:rPr>
          <w:color w:val="000000"/>
        </w:rPr>
        <w:t>n</w:t>
      </w:r>
      <w:r>
        <w:rPr>
          <w:color w:val="000000"/>
          <w:spacing w:val="4"/>
        </w:rPr>
        <w:t>a</w:t>
      </w:r>
      <w:r>
        <w:rPr>
          <w:color w:val="000000"/>
          <w:spacing w:val="-4"/>
        </w:rPr>
        <w:t>m</w:t>
      </w:r>
      <w:r>
        <w:rPr>
          <w:color w:val="000000"/>
          <w:spacing w:val="5"/>
        </w:rPr>
        <w:t>u</w:t>
      </w:r>
      <w:r>
        <w:rPr>
          <w:color w:val="000000"/>
          <w:spacing w:val="-9"/>
        </w:rPr>
        <w:t>m</w:t>
      </w:r>
      <w:r>
        <w:rPr>
          <w:color w:val="000000"/>
        </w:rPr>
        <w:t xml:space="preserve">o </w:t>
      </w:r>
      <w:r>
        <w:rPr>
          <w:color w:val="000000"/>
          <w:spacing w:val="4"/>
        </w:rPr>
        <w:t xml:space="preserve"> </w:t>
      </w:r>
      <w:r>
        <w:rPr>
          <w:color w:val="000000"/>
          <w:spacing w:val="1"/>
        </w:rPr>
        <w:t>r</w:t>
      </w:r>
      <w:r>
        <w:rPr>
          <w:color w:val="000000"/>
          <w:spacing w:val="5"/>
        </w:rPr>
        <w:t>o</w:t>
      </w:r>
      <w:r>
        <w:rPr>
          <w:color w:val="000000"/>
        </w:rPr>
        <w:t>d</w:t>
      </w:r>
      <w:r>
        <w:rPr>
          <w:color w:val="000000"/>
          <w:spacing w:val="-9"/>
        </w:rPr>
        <w:t>i</w:t>
      </w:r>
      <w:r>
        <w:rPr>
          <w:color w:val="000000"/>
          <w:spacing w:val="5"/>
        </w:rPr>
        <w:t>k</w:t>
      </w:r>
      <w:r>
        <w:rPr>
          <w:color w:val="000000"/>
        </w:rPr>
        <w:t>l</w:t>
      </w:r>
      <w:r>
        <w:rPr>
          <w:color w:val="000000"/>
          <w:spacing w:val="-4"/>
        </w:rPr>
        <w:t>i</w:t>
      </w:r>
      <w:r>
        <w:rPr>
          <w:color w:val="000000"/>
        </w:rPr>
        <w:t xml:space="preserve">u. </w:t>
      </w:r>
      <w:r>
        <w:rPr>
          <w:color w:val="000000"/>
          <w:spacing w:val="2"/>
        </w:rPr>
        <w:t xml:space="preserve"> J</w:t>
      </w:r>
      <w:r>
        <w:rPr>
          <w:color w:val="000000"/>
          <w:spacing w:val="-9"/>
        </w:rPr>
        <w:t>i</w:t>
      </w:r>
      <w:r>
        <w:rPr>
          <w:color w:val="000000"/>
        </w:rPr>
        <w:t>e</w:t>
      </w:r>
      <w:r>
        <w:rPr>
          <w:color w:val="000000"/>
          <w:spacing w:val="59"/>
        </w:rPr>
        <w:t xml:space="preserve"> </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4"/>
        </w:rPr>
        <w:t>a</w:t>
      </w:r>
      <w:r>
        <w:rPr>
          <w:color w:val="000000"/>
        </w:rPr>
        <w:t>u  p</w:t>
      </w:r>
      <w:r>
        <w:rPr>
          <w:color w:val="000000"/>
          <w:spacing w:val="-1"/>
        </w:rPr>
        <w:t>a</w:t>
      </w:r>
      <w:r>
        <w:rPr>
          <w:color w:val="000000"/>
          <w:spacing w:val="1"/>
        </w:rPr>
        <w:t>r</w:t>
      </w:r>
      <w:r>
        <w:rPr>
          <w:color w:val="000000"/>
          <w:spacing w:val="5"/>
        </w:rPr>
        <w:t>o</w:t>
      </w:r>
      <w:r>
        <w:rPr>
          <w:color w:val="000000"/>
          <w:spacing w:val="-5"/>
        </w:rPr>
        <w:t>d</w:t>
      </w:r>
      <w:r>
        <w:rPr>
          <w:color w:val="000000"/>
        </w:rPr>
        <w:t xml:space="preserve">o </w:t>
      </w:r>
      <w:r>
        <w:rPr>
          <w:color w:val="000000"/>
          <w:spacing w:val="4"/>
        </w:rPr>
        <w:t xml:space="preserve"> </w:t>
      </w:r>
      <w:r>
        <w:rPr>
          <w:color w:val="000000"/>
          <w:spacing w:val="-5"/>
        </w:rPr>
        <w:t>k</w:t>
      </w:r>
      <w:r>
        <w:rPr>
          <w:color w:val="000000"/>
          <w:spacing w:val="5"/>
        </w:rPr>
        <w:t>o</w:t>
      </w:r>
      <w:r>
        <w:rPr>
          <w:color w:val="000000"/>
          <w:spacing w:val="-5"/>
        </w:rPr>
        <w:t>v</w:t>
      </w:r>
      <w:r>
        <w:rPr>
          <w:color w:val="000000"/>
          <w:spacing w:val="5"/>
        </w:rPr>
        <w:t>o</w:t>
      </w:r>
      <w:r>
        <w:rPr>
          <w:color w:val="000000"/>
        </w:rPr>
        <w:t>s</w:t>
      </w:r>
      <w:r>
        <w:rPr>
          <w:color w:val="000000"/>
          <w:spacing w:val="58"/>
        </w:rPr>
        <w:t xml:space="preserve"> </w:t>
      </w:r>
      <w:r>
        <w:rPr>
          <w:color w:val="000000"/>
          <w:spacing w:val="-2"/>
        </w:rPr>
        <w:t>s</w:t>
      </w:r>
      <w:r>
        <w:rPr>
          <w:color w:val="000000"/>
        </w:rPr>
        <w:t xml:space="preserve">u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w:t>
      </w:r>
      <w:r>
        <w:rPr>
          <w:color w:val="000000"/>
          <w:spacing w:val="4"/>
        </w:rPr>
        <w:t>a</w:t>
      </w:r>
      <w:r>
        <w:rPr>
          <w:color w:val="000000"/>
          <w:spacing w:val="-4"/>
        </w:rPr>
        <w:t>i</w:t>
      </w:r>
      <w:r>
        <w:rPr>
          <w:color w:val="000000"/>
        </w:rPr>
        <w:t>s</w:t>
      </w:r>
      <w:r>
        <w:rPr>
          <w:color w:val="000000"/>
          <w:spacing w:val="58"/>
        </w:rPr>
        <w:t xml:space="preserve"> </w:t>
      </w:r>
      <w:r>
        <w:rPr>
          <w:color w:val="000000"/>
          <w:spacing w:val="5"/>
        </w:rPr>
        <w:t>t</w:t>
      </w:r>
      <w:r>
        <w:rPr>
          <w:color w:val="000000"/>
          <w:spacing w:val="-1"/>
        </w:rPr>
        <w:t>e</w:t>
      </w:r>
      <w:r>
        <w:rPr>
          <w:color w:val="000000"/>
          <w:spacing w:val="-4"/>
        </w:rPr>
        <w:t>i</w:t>
      </w:r>
      <w:r>
        <w:rPr>
          <w:color w:val="000000"/>
          <w:spacing w:val="-2"/>
        </w:rPr>
        <w:t>s</w:t>
      </w:r>
      <w:r>
        <w:rPr>
          <w:color w:val="000000"/>
          <w:spacing w:val="4"/>
        </w:rPr>
        <w:t>ė</w:t>
      </w:r>
      <w:r>
        <w:rPr>
          <w:color w:val="000000"/>
        </w:rPr>
        <w:t>s</w:t>
      </w:r>
      <w:r>
        <w:rPr>
          <w:color w:val="000000"/>
          <w:spacing w:val="58"/>
        </w:rPr>
        <w:t xml:space="preserve"> </w:t>
      </w:r>
      <w:r>
        <w:rPr>
          <w:color w:val="000000"/>
          <w:spacing w:val="-1"/>
        </w:rPr>
        <w:t>a</w:t>
      </w:r>
      <w:r>
        <w:rPr>
          <w:color w:val="000000"/>
        </w:rPr>
        <w:t>k</w:t>
      </w:r>
      <w:r>
        <w:rPr>
          <w:color w:val="000000"/>
          <w:spacing w:val="5"/>
        </w:rPr>
        <w:t>t</w:t>
      </w:r>
      <w:r>
        <w:rPr>
          <w:color w:val="000000"/>
        </w:rPr>
        <w:t>ų  v</w:t>
      </w:r>
      <w:r>
        <w:rPr>
          <w:color w:val="000000"/>
          <w:spacing w:val="-10"/>
        </w:rPr>
        <w:t>y</w:t>
      </w:r>
      <w:r>
        <w:rPr>
          <w:color w:val="000000"/>
        </w:rPr>
        <w:t>k</w:t>
      </w:r>
      <w:r>
        <w:rPr>
          <w:color w:val="000000"/>
          <w:spacing w:val="5"/>
        </w:rPr>
        <w:t>d</w:t>
      </w:r>
      <w:r>
        <w:rPr>
          <w:color w:val="000000"/>
        </w:rPr>
        <w:t>y</w:t>
      </w:r>
      <w:r>
        <w:rPr>
          <w:color w:val="000000"/>
          <w:spacing w:val="-9"/>
        </w:rPr>
        <w:t>m</w:t>
      </w:r>
      <w:r>
        <w:rPr>
          <w:color w:val="000000"/>
        </w:rPr>
        <w:t xml:space="preserve">o </w:t>
      </w:r>
      <w:r>
        <w:rPr>
          <w:color w:val="000000"/>
          <w:spacing w:val="-5"/>
        </w:rPr>
        <w:t>v</w:t>
      </w:r>
      <w:r>
        <w:rPr>
          <w:color w:val="000000"/>
          <w:spacing w:val="4"/>
        </w:rPr>
        <w:t>e</w:t>
      </w:r>
      <w:r>
        <w:rPr>
          <w:color w:val="000000"/>
          <w:spacing w:val="-4"/>
        </w:rPr>
        <w:t>i</w:t>
      </w:r>
      <w:r>
        <w:rPr>
          <w:color w:val="000000"/>
          <w:spacing w:val="5"/>
        </w:rPr>
        <w:t>k</w:t>
      </w:r>
      <w:r>
        <w:rPr>
          <w:color w:val="000000"/>
          <w:spacing w:val="-4"/>
        </w:rPr>
        <w:t>l</w:t>
      </w:r>
      <w:r>
        <w:rPr>
          <w:color w:val="000000"/>
        </w:rPr>
        <w:t>ą</w:t>
      </w:r>
      <w:r>
        <w:rPr>
          <w:color w:val="000000"/>
          <w:spacing w:val="3"/>
        </w:rPr>
        <w:t xml:space="preserve"> </w:t>
      </w:r>
      <w:r>
        <w:rPr>
          <w:color w:val="000000"/>
          <w:spacing w:val="1"/>
        </w:rPr>
        <w:t>(</w:t>
      </w:r>
      <w:r>
        <w:rPr>
          <w:color w:val="000000"/>
          <w:spacing w:val="5"/>
        </w:rPr>
        <w:t>p</w:t>
      </w:r>
      <w:r>
        <w:rPr>
          <w:color w:val="000000"/>
          <w:spacing w:val="-5"/>
        </w:rPr>
        <w:t>v</w:t>
      </w:r>
      <w:r>
        <w:rPr>
          <w:color w:val="000000"/>
          <w:spacing w:val="-1"/>
        </w:rPr>
        <w:t>z</w:t>
      </w:r>
      <w:r>
        <w:rPr>
          <w:color w:val="000000"/>
          <w:spacing w:val="2"/>
        </w:rPr>
        <w:t>.</w:t>
      </w:r>
      <w:r>
        <w:rPr>
          <w:color w:val="000000"/>
        </w:rPr>
        <w:t>; p</w:t>
      </w:r>
      <w:r>
        <w:rPr>
          <w:color w:val="000000"/>
          <w:spacing w:val="6"/>
        </w:rPr>
        <w:t>r</w:t>
      </w:r>
      <w:r>
        <w:rPr>
          <w:color w:val="000000"/>
          <w:spacing w:val="-9"/>
        </w:rPr>
        <w:t>i</w:t>
      </w:r>
      <w:r>
        <w:rPr>
          <w:color w:val="000000"/>
          <w:spacing w:val="5"/>
        </w:rPr>
        <w:t>o</w:t>
      </w:r>
      <w:r>
        <w:rPr>
          <w:color w:val="000000"/>
          <w:spacing w:val="6"/>
        </w:rPr>
        <w:t>r</w:t>
      </w:r>
      <w:r>
        <w:rPr>
          <w:color w:val="000000"/>
          <w:spacing w:val="-9"/>
        </w:rPr>
        <w:t>i</w:t>
      </w:r>
      <w:r>
        <w:rPr>
          <w:color w:val="000000"/>
          <w:spacing w:val="5"/>
        </w:rPr>
        <w:t>t</w:t>
      </w:r>
      <w:r>
        <w:rPr>
          <w:color w:val="000000"/>
          <w:spacing w:val="-1"/>
        </w:rPr>
        <w:t>e</w:t>
      </w:r>
      <w:r>
        <w:rPr>
          <w:color w:val="000000"/>
          <w:spacing w:val="5"/>
        </w:rPr>
        <w:t>t</w:t>
      </w:r>
      <w:r>
        <w:rPr>
          <w:color w:val="000000"/>
        </w:rPr>
        <w:t>u</w:t>
      </w:r>
      <w:r>
        <w:rPr>
          <w:color w:val="000000"/>
          <w:spacing w:val="-2"/>
        </w:rPr>
        <w:t>s</w:t>
      </w:r>
      <w:r>
        <w:rPr>
          <w:color w:val="000000"/>
        </w:rPr>
        <w:t>,</w:t>
      </w:r>
      <w:r>
        <w:rPr>
          <w:color w:val="000000"/>
          <w:spacing w:val="7"/>
        </w:rPr>
        <w:t xml:space="preserve"> </w:t>
      </w:r>
      <w:r>
        <w:rPr>
          <w:color w:val="000000"/>
          <w:spacing w:val="-9"/>
        </w:rPr>
        <w:t>i</w:t>
      </w:r>
      <w:r>
        <w:rPr>
          <w:color w:val="000000"/>
          <w:spacing w:val="-2"/>
        </w:rPr>
        <w:t>š</w:t>
      </w:r>
      <w:r>
        <w:rPr>
          <w:color w:val="000000"/>
          <w:spacing w:val="5"/>
        </w:rPr>
        <w:t>t</w:t>
      </w:r>
      <w:r>
        <w:rPr>
          <w:color w:val="000000"/>
          <w:spacing w:val="-1"/>
        </w:rPr>
        <w:t>e</w:t>
      </w:r>
      <w:r>
        <w:rPr>
          <w:color w:val="000000"/>
          <w:spacing w:val="5"/>
        </w:rPr>
        <w:t>k</w:t>
      </w:r>
      <w:r>
        <w:rPr>
          <w:color w:val="000000"/>
          <w:spacing w:val="-4"/>
        </w:rPr>
        <w:t>li</w:t>
      </w:r>
      <w:r>
        <w:rPr>
          <w:color w:val="000000"/>
          <w:spacing w:val="5"/>
        </w:rPr>
        <w:t>u</w:t>
      </w:r>
      <w:r>
        <w:rPr>
          <w:color w:val="000000"/>
        </w:rPr>
        <w:t>s</w:t>
      </w:r>
      <w:r>
        <w:rPr>
          <w:color w:val="000000"/>
          <w:spacing w:val="7"/>
        </w:rPr>
        <w:t xml:space="preserve"> </w:t>
      </w:r>
      <w:r>
        <w:rPr>
          <w:color w:val="000000"/>
          <w:spacing w:val="-9"/>
        </w:rPr>
        <w:t>i</w:t>
      </w:r>
      <w:r>
        <w:rPr>
          <w:color w:val="000000"/>
        </w:rPr>
        <w:t>r</w:t>
      </w:r>
      <w:r>
        <w:rPr>
          <w:color w:val="000000"/>
          <w:spacing w:val="11"/>
        </w:rPr>
        <w:t xml:space="preserve"> </w:t>
      </w:r>
      <w:r>
        <w:rPr>
          <w:color w:val="000000"/>
          <w:spacing w:val="-2"/>
        </w:rPr>
        <w:t>s</w:t>
      </w:r>
      <w:r>
        <w:rPr>
          <w:color w:val="000000"/>
          <w:spacing w:val="5"/>
        </w:rPr>
        <w:t>t</w:t>
      </w:r>
      <w:r>
        <w:rPr>
          <w:color w:val="000000"/>
          <w:spacing w:val="1"/>
        </w:rPr>
        <w:t>r</w:t>
      </w:r>
      <w:r>
        <w:rPr>
          <w:color w:val="000000"/>
          <w:spacing w:val="-6"/>
        </w:rPr>
        <w:t>a</w:t>
      </w:r>
      <w:r>
        <w:rPr>
          <w:color w:val="000000"/>
          <w:spacing w:val="5"/>
        </w:rPr>
        <w:t>t</w:t>
      </w:r>
      <w:r>
        <w:rPr>
          <w:color w:val="000000"/>
          <w:spacing w:val="-1"/>
        </w:rPr>
        <w:t>e</w:t>
      </w:r>
      <w:r>
        <w:rPr>
          <w:color w:val="000000"/>
        </w:rPr>
        <w:t>g</w:t>
      </w:r>
      <w:r>
        <w:rPr>
          <w:color w:val="000000"/>
          <w:spacing w:val="-4"/>
        </w:rPr>
        <w:t>ij</w:t>
      </w:r>
      <w:r>
        <w:rPr>
          <w:color w:val="000000"/>
          <w:spacing w:val="-1"/>
        </w:rPr>
        <w:t>ą</w:t>
      </w:r>
      <w:r>
        <w:rPr>
          <w:color w:val="000000"/>
        </w:rPr>
        <w:t>)</w:t>
      </w:r>
      <w:r>
        <w:rPr>
          <w:color w:val="000000"/>
          <w:spacing w:val="11"/>
        </w:rPr>
        <w:t xml:space="preserve"> </w:t>
      </w:r>
      <w:r>
        <w:rPr>
          <w:color w:val="000000"/>
          <w:spacing w:val="-9"/>
        </w:rPr>
        <w:t>i</w:t>
      </w:r>
      <w:r>
        <w:rPr>
          <w:color w:val="000000"/>
        </w:rPr>
        <w:t>r</w:t>
      </w:r>
      <w:r>
        <w:rPr>
          <w:color w:val="000000"/>
          <w:spacing w:val="11"/>
        </w:rPr>
        <w:t xml:space="preserve"> </w:t>
      </w:r>
      <w:r>
        <w:rPr>
          <w:color w:val="000000"/>
        </w:rPr>
        <w:t>p</w:t>
      </w:r>
      <w:r>
        <w:rPr>
          <w:color w:val="000000"/>
          <w:spacing w:val="1"/>
        </w:rPr>
        <w:t>r</w:t>
      </w:r>
      <w:r>
        <w:rPr>
          <w:color w:val="000000"/>
          <w:spacing w:val="-1"/>
        </w:rPr>
        <w:t>a</w:t>
      </w:r>
      <w:r>
        <w:rPr>
          <w:color w:val="000000"/>
          <w:spacing w:val="-5"/>
        </w:rPr>
        <w:t>n</w:t>
      </w:r>
      <w:r>
        <w:rPr>
          <w:color w:val="000000"/>
          <w:spacing w:val="-1"/>
        </w:rPr>
        <w:t>e</w:t>
      </w:r>
      <w:r>
        <w:rPr>
          <w:color w:val="000000"/>
          <w:spacing w:val="2"/>
        </w:rPr>
        <w:t>š</w:t>
      </w:r>
      <w:r>
        <w:rPr>
          <w:color w:val="000000"/>
        </w:rPr>
        <w:t>i</w:t>
      </w:r>
      <w:r>
        <w:rPr>
          <w:color w:val="000000"/>
          <w:spacing w:val="-4"/>
        </w:rPr>
        <w:t>m</w:t>
      </w:r>
      <w:r>
        <w:rPr>
          <w:color w:val="000000"/>
        </w:rPr>
        <w:t>ų</w:t>
      </w:r>
      <w:r>
        <w:rPr>
          <w:color w:val="000000"/>
          <w:spacing w:val="4"/>
        </w:rPr>
        <w:t xml:space="preserve"> </w:t>
      </w:r>
      <w:r>
        <w:rPr>
          <w:color w:val="000000"/>
          <w:spacing w:val="5"/>
        </w:rPr>
        <w:t>t</w:t>
      </w:r>
      <w:r>
        <w:rPr>
          <w:color w:val="000000"/>
          <w:spacing w:val="4"/>
        </w:rPr>
        <w:t>e</w:t>
      </w:r>
      <w:r>
        <w:rPr>
          <w:color w:val="000000"/>
          <w:spacing w:val="-9"/>
        </w:rPr>
        <w:t>i</w:t>
      </w:r>
      <w:r>
        <w:rPr>
          <w:color w:val="000000"/>
          <w:spacing w:val="5"/>
        </w:rPr>
        <w:t>k</w:t>
      </w:r>
      <w:r>
        <w:rPr>
          <w:color w:val="000000"/>
        </w:rPr>
        <w:t>i</w:t>
      </w:r>
      <w:r>
        <w:rPr>
          <w:color w:val="000000"/>
          <w:spacing w:val="-9"/>
        </w:rPr>
        <w:t>m</w:t>
      </w:r>
      <w:r>
        <w:rPr>
          <w:color w:val="000000"/>
        </w:rPr>
        <w:t>o</w:t>
      </w:r>
      <w:r>
        <w:rPr>
          <w:color w:val="000000"/>
          <w:spacing w:val="9"/>
        </w:rPr>
        <w:t xml:space="preserve"> </w:t>
      </w:r>
      <w:r>
        <w:rPr>
          <w:color w:val="000000"/>
        </w:rPr>
        <w:t>p</w:t>
      </w:r>
      <w:r>
        <w:rPr>
          <w:color w:val="000000"/>
          <w:spacing w:val="1"/>
        </w:rPr>
        <w:t>r</w:t>
      </w:r>
      <w:r>
        <w:rPr>
          <w:color w:val="000000"/>
          <w:spacing w:val="-1"/>
        </w:rPr>
        <w:t>a</w:t>
      </w:r>
      <w:r>
        <w:rPr>
          <w:color w:val="000000"/>
        </w:rPr>
        <w:t>k</w:t>
      </w:r>
      <w:r>
        <w:rPr>
          <w:color w:val="000000"/>
          <w:spacing w:val="5"/>
        </w:rPr>
        <w:t>t</w:t>
      </w:r>
      <w:r>
        <w:rPr>
          <w:color w:val="000000"/>
          <w:spacing w:val="-9"/>
        </w:rPr>
        <w:t>i</w:t>
      </w:r>
      <w:r>
        <w:rPr>
          <w:color w:val="000000"/>
          <w:spacing w:val="5"/>
        </w:rPr>
        <w:t>k</w:t>
      </w:r>
      <w:r>
        <w:rPr>
          <w:color w:val="000000"/>
        </w:rPr>
        <w:t>ą</w:t>
      </w:r>
      <w:r>
        <w:rPr>
          <w:color w:val="000000"/>
          <w:spacing w:val="8"/>
        </w:rPr>
        <w:t xml:space="preserve"> </w:t>
      </w:r>
      <w:r>
        <w:rPr>
          <w:color w:val="000000"/>
          <w:spacing w:val="-5"/>
        </w:rPr>
        <w:t>b</w:t>
      </w:r>
      <w:r>
        <w:rPr>
          <w:color w:val="000000"/>
          <w:spacing w:val="4"/>
        </w:rPr>
        <w:t>e</w:t>
      </w:r>
      <w:r>
        <w:rPr>
          <w:color w:val="000000"/>
        </w:rPr>
        <w:t>i 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spacing w:val="5"/>
        </w:rPr>
        <w:t>d</w:t>
      </w:r>
      <w:r>
        <w:rPr>
          <w:color w:val="000000"/>
          <w:spacing w:val="-4"/>
        </w:rPr>
        <w:t>i</w:t>
      </w:r>
      <w:r>
        <w:rPr>
          <w:color w:val="000000"/>
          <w:spacing w:val="5"/>
        </w:rPr>
        <w:t>n</w:t>
      </w:r>
      <w:r>
        <w:rPr>
          <w:color w:val="000000"/>
          <w:spacing w:val="-4"/>
        </w:rPr>
        <w:t>i</w:t>
      </w:r>
      <w:r>
        <w:rPr>
          <w:color w:val="000000"/>
        </w:rPr>
        <w:t>n</w:t>
      </w:r>
      <w:r>
        <w:rPr>
          <w:color w:val="000000"/>
          <w:spacing w:val="5"/>
        </w:rPr>
        <w:t>k</w:t>
      </w:r>
      <w:r>
        <w:rPr>
          <w:color w:val="000000"/>
        </w:rPr>
        <w:t>ų p</w:t>
      </w:r>
      <w:r>
        <w:rPr>
          <w:color w:val="000000"/>
          <w:spacing w:val="-1"/>
        </w:rPr>
        <w:t>až</w:t>
      </w:r>
      <w:r>
        <w:rPr>
          <w:color w:val="000000"/>
          <w:spacing w:val="4"/>
        </w:rPr>
        <w:t>e</w:t>
      </w:r>
      <w:r>
        <w:rPr>
          <w:color w:val="000000"/>
          <w:spacing w:val="-9"/>
        </w:rPr>
        <w:t>i</w:t>
      </w:r>
      <w:r>
        <w:rPr>
          <w:color w:val="000000"/>
          <w:spacing w:val="5"/>
        </w:rPr>
        <w:t>d</w:t>
      </w:r>
      <w:r>
        <w:rPr>
          <w:color w:val="000000"/>
          <w:spacing w:val="4"/>
        </w:rPr>
        <w:t>ž</w:t>
      </w:r>
      <w:r>
        <w:rPr>
          <w:color w:val="000000"/>
          <w:spacing w:val="-4"/>
        </w:rPr>
        <w:t>i</w:t>
      </w:r>
      <w:r>
        <w:rPr>
          <w:color w:val="000000"/>
          <w:spacing w:val="4"/>
        </w:rPr>
        <w:t>a</w:t>
      </w:r>
      <w:r>
        <w:rPr>
          <w:color w:val="000000"/>
          <w:spacing w:val="-4"/>
        </w:rPr>
        <w:t>m</w:t>
      </w:r>
      <w:r>
        <w:rPr>
          <w:color w:val="000000"/>
          <w:spacing w:val="5"/>
        </w:rPr>
        <w:t>u</w:t>
      </w:r>
      <w:r>
        <w:rPr>
          <w:color w:val="000000"/>
          <w:spacing w:val="-4"/>
        </w:rPr>
        <w:t>m</w:t>
      </w:r>
      <w:r>
        <w:rPr>
          <w:color w:val="000000"/>
          <w:spacing w:val="-1"/>
        </w:rPr>
        <w:t>ą</w:t>
      </w:r>
      <w:r>
        <w:rPr>
          <w:color w:val="000000"/>
        </w:rPr>
        <w:t>.</w:t>
      </w:r>
    </w:p>
    <w:p w:rsidR="004F7425" w:rsidRDefault="004F7425" w:rsidP="004F7425">
      <w:pPr>
        <w:widowControl w:val="0"/>
        <w:autoSpaceDE w:val="0"/>
        <w:autoSpaceDN w:val="0"/>
        <w:adjustRightInd w:val="0"/>
        <w:spacing w:before="1"/>
        <w:ind w:left="119" w:right="-20"/>
        <w:rPr>
          <w:color w:val="000000"/>
          <w:sz w:val="20"/>
        </w:rPr>
      </w:pPr>
      <w:r>
        <w:rPr>
          <w:noProof/>
          <w:color w:val="000000"/>
          <w:lang w:eastAsia="lt-LT"/>
        </w:rPr>
        <w:drawing>
          <wp:inline distT="0" distB="0" distL="0" distR="0">
            <wp:extent cx="6143625" cy="2867025"/>
            <wp:effectExtent l="0" t="0" r="9525" b="9525"/>
            <wp:docPr id="117" name="Paveikslėlis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43625" cy="2867025"/>
                    </a:xfrm>
                    <a:prstGeom prst="rect">
                      <a:avLst/>
                    </a:prstGeom>
                    <a:noFill/>
                    <a:ln>
                      <a:noFill/>
                    </a:ln>
                  </pic:spPr>
                </pic:pic>
              </a:graphicData>
            </a:graphic>
          </wp:inline>
        </w:drawing>
      </w:r>
    </w:p>
    <w:p w:rsidR="004F7425" w:rsidRDefault="004F7425" w:rsidP="004F7425">
      <w:pPr>
        <w:widowControl w:val="0"/>
        <w:autoSpaceDE w:val="0"/>
        <w:autoSpaceDN w:val="0"/>
        <w:adjustRightInd w:val="0"/>
        <w:spacing w:before="16"/>
        <w:ind w:left="120" w:right="43" w:firstLine="721"/>
        <w:jc w:val="both"/>
        <w:rPr>
          <w:color w:val="000000"/>
        </w:rPr>
      </w:pPr>
      <w:r>
        <w:rPr>
          <w:color w:val="000000"/>
          <w:spacing w:val="1"/>
        </w:rPr>
        <w:t>P</w:t>
      </w:r>
      <w:r>
        <w:rPr>
          <w:color w:val="000000"/>
          <w:spacing w:val="-1"/>
        </w:rPr>
        <w:t>a</w:t>
      </w:r>
      <w:r>
        <w:rPr>
          <w:color w:val="000000"/>
          <w:spacing w:val="5"/>
        </w:rPr>
        <w:t>t</w:t>
      </w:r>
      <w:r>
        <w:rPr>
          <w:color w:val="000000"/>
          <w:spacing w:val="-1"/>
        </w:rPr>
        <w:t>e</w:t>
      </w:r>
      <w:r>
        <w:rPr>
          <w:color w:val="000000"/>
          <w:spacing w:val="-9"/>
        </w:rPr>
        <w:t>i</w:t>
      </w:r>
      <w:r>
        <w:rPr>
          <w:color w:val="000000"/>
        </w:rPr>
        <w:t>k</w:t>
      </w:r>
      <w:r>
        <w:rPr>
          <w:color w:val="000000"/>
          <w:spacing w:val="5"/>
        </w:rPr>
        <w:t>t</w:t>
      </w:r>
      <w:r>
        <w:rPr>
          <w:color w:val="000000"/>
          <w:spacing w:val="4"/>
        </w:rPr>
        <w:t>a</w:t>
      </w:r>
      <w:r>
        <w:rPr>
          <w:color w:val="000000"/>
          <w:spacing w:val="-9"/>
        </w:rPr>
        <w:t>m</w:t>
      </w:r>
      <w:r>
        <w:rPr>
          <w:color w:val="000000"/>
        </w:rPr>
        <w:t>e</w:t>
      </w:r>
      <w:r>
        <w:rPr>
          <w:color w:val="000000"/>
          <w:spacing w:val="4"/>
        </w:rPr>
        <w:t xml:space="preserve"> </w:t>
      </w:r>
      <w:r>
        <w:rPr>
          <w:color w:val="000000"/>
        </w:rPr>
        <w:t>g</w:t>
      </w:r>
      <w:r>
        <w:rPr>
          <w:color w:val="000000"/>
          <w:spacing w:val="1"/>
        </w:rPr>
        <w:t>r</w:t>
      </w:r>
      <w:r>
        <w:rPr>
          <w:color w:val="000000"/>
          <w:spacing w:val="4"/>
        </w:rPr>
        <w:t>a</w:t>
      </w:r>
      <w:r>
        <w:rPr>
          <w:color w:val="000000"/>
          <w:spacing w:val="-3"/>
        </w:rPr>
        <w:t>f</w:t>
      </w:r>
      <w:r>
        <w:rPr>
          <w:color w:val="000000"/>
          <w:spacing w:val="-4"/>
        </w:rPr>
        <w:t>i</w:t>
      </w:r>
      <w:r>
        <w:rPr>
          <w:color w:val="000000"/>
        </w:rPr>
        <w:t>ke</w:t>
      </w:r>
      <w:r>
        <w:rPr>
          <w:color w:val="000000"/>
          <w:spacing w:val="9"/>
        </w:rPr>
        <w:t xml:space="preserve"> </w:t>
      </w:r>
      <w:r>
        <w:rPr>
          <w:color w:val="000000"/>
          <w:spacing w:val="-4"/>
        </w:rPr>
        <w:t>m</w:t>
      </w:r>
      <w:r>
        <w:rPr>
          <w:color w:val="000000"/>
          <w:spacing w:val="-1"/>
        </w:rPr>
        <w:t>a</w:t>
      </w:r>
      <w:r>
        <w:rPr>
          <w:color w:val="000000"/>
          <w:spacing w:val="5"/>
        </w:rPr>
        <w:t>to</w:t>
      </w:r>
      <w:r>
        <w:rPr>
          <w:color w:val="000000"/>
          <w:spacing w:val="-2"/>
        </w:rPr>
        <w:t>s</w:t>
      </w:r>
      <w:r>
        <w:rPr>
          <w:color w:val="000000"/>
        </w:rPr>
        <w:t xml:space="preserve">i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spacing w:val="10"/>
        </w:rPr>
        <w:t>o</w:t>
      </w:r>
      <w:r>
        <w:rPr>
          <w:color w:val="000000"/>
        </w:rPr>
        <w:t>s</w:t>
      </w:r>
      <w:r>
        <w:rPr>
          <w:color w:val="000000"/>
          <w:spacing w:val="3"/>
        </w:rPr>
        <w:t xml:space="preserve"> </w:t>
      </w:r>
      <w:r>
        <w:rPr>
          <w:color w:val="000000"/>
          <w:spacing w:val="-5"/>
        </w:rPr>
        <w:t>n</w:t>
      </w:r>
      <w:r>
        <w:rPr>
          <w:color w:val="000000"/>
          <w:spacing w:val="-1"/>
        </w:rPr>
        <w:t>a</w:t>
      </w:r>
      <w:r>
        <w:rPr>
          <w:color w:val="000000"/>
          <w:spacing w:val="1"/>
        </w:rPr>
        <w:t>r</w:t>
      </w:r>
      <w:r>
        <w:rPr>
          <w:color w:val="000000"/>
          <w:spacing w:val="-5"/>
        </w:rPr>
        <w:t>k</w:t>
      </w:r>
      <w:r>
        <w:rPr>
          <w:color w:val="000000"/>
        </w:rPr>
        <w:t>o</w:t>
      </w:r>
      <w:r>
        <w:rPr>
          <w:color w:val="000000"/>
          <w:spacing w:val="5"/>
        </w:rPr>
        <w:t>t</w:t>
      </w:r>
      <w:r>
        <w:rPr>
          <w:color w:val="000000"/>
          <w:spacing w:val="-9"/>
        </w:rPr>
        <w:t>i</w:t>
      </w:r>
      <w:r>
        <w:rPr>
          <w:color w:val="000000"/>
        </w:rPr>
        <w:t>kų</w:t>
      </w:r>
      <w:r>
        <w:rPr>
          <w:color w:val="000000"/>
          <w:spacing w:val="9"/>
        </w:rPr>
        <w:t xml:space="preserve">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to</w:t>
      </w:r>
      <w:r>
        <w:rPr>
          <w:color w:val="000000"/>
        </w:rPr>
        <w:t>s</w:t>
      </w:r>
      <w:r>
        <w:rPr>
          <w:color w:val="000000"/>
          <w:spacing w:val="3"/>
        </w:rPr>
        <w:t xml:space="preserve"> </w:t>
      </w:r>
      <w:r>
        <w:rPr>
          <w:color w:val="000000"/>
        </w:rPr>
        <w:t>k</w:t>
      </w:r>
      <w:r>
        <w:rPr>
          <w:color w:val="000000"/>
          <w:spacing w:val="-9"/>
        </w:rPr>
        <w:t>i</w:t>
      </w:r>
      <w:r>
        <w:rPr>
          <w:color w:val="000000"/>
          <w:spacing w:val="5"/>
        </w:rPr>
        <w:t>t</w:t>
      </w:r>
      <w:r>
        <w:rPr>
          <w:color w:val="000000"/>
          <w:spacing w:val="-4"/>
        </w:rPr>
        <w:t>im</w:t>
      </w:r>
      <w:r>
        <w:rPr>
          <w:color w:val="000000"/>
          <w:spacing w:val="4"/>
        </w:rPr>
        <w:t>a</w:t>
      </w:r>
      <w:r>
        <w:rPr>
          <w:color w:val="000000"/>
        </w:rPr>
        <w:t>s</w:t>
      </w:r>
      <w:r>
        <w:rPr>
          <w:color w:val="000000"/>
          <w:spacing w:val="3"/>
        </w:rPr>
        <w:t xml:space="preserve"> </w:t>
      </w:r>
      <w:r>
        <w:rPr>
          <w:color w:val="000000"/>
          <w:spacing w:val="-2"/>
        </w:rPr>
        <w:t>š</w:t>
      </w:r>
      <w:r>
        <w:rPr>
          <w:color w:val="000000"/>
          <w:spacing w:val="4"/>
        </w:rPr>
        <w:t>a</w:t>
      </w:r>
      <w:r>
        <w:rPr>
          <w:color w:val="000000"/>
        </w:rPr>
        <w:t>ly</w:t>
      </w:r>
      <w:r>
        <w:rPr>
          <w:color w:val="000000"/>
          <w:spacing w:val="-4"/>
        </w:rPr>
        <w:t>j</w:t>
      </w:r>
      <w:r>
        <w:rPr>
          <w:color w:val="000000"/>
        </w:rPr>
        <w:t>e</w:t>
      </w:r>
      <w:r>
        <w:rPr>
          <w:color w:val="000000"/>
          <w:spacing w:val="4"/>
        </w:rPr>
        <w:t xml:space="preserve"> </w:t>
      </w:r>
      <w:r>
        <w:rPr>
          <w:color w:val="000000"/>
        </w:rPr>
        <w:t>p</w:t>
      </w:r>
      <w:r>
        <w:rPr>
          <w:color w:val="000000"/>
          <w:spacing w:val="-1"/>
        </w:rPr>
        <w:t>e</w:t>
      </w:r>
      <w:r>
        <w:rPr>
          <w:color w:val="000000"/>
        </w:rPr>
        <w:t>r</w:t>
      </w:r>
      <w:r>
        <w:rPr>
          <w:color w:val="000000"/>
          <w:spacing w:val="6"/>
        </w:rPr>
        <w:t xml:space="preserve"> </w:t>
      </w:r>
      <w:r>
        <w:rPr>
          <w:color w:val="000000"/>
        </w:rPr>
        <w:t>p</w:t>
      </w:r>
      <w:r>
        <w:rPr>
          <w:color w:val="000000"/>
          <w:spacing w:val="-1"/>
        </w:rPr>
        <w:t>a</w:t>
      </w:r>
      <w:r>
        <w:rPr>
          <w:color w:val="000000"/>
          <w:spacing w:val="-2"/>
        </w:rPr>
        <w:t>s</w:t>
      </w:r>
      <w:r>
        <w:rPr>
          <w:color w:val="000000"/>
        </w:rPr>
        <w:t>ku</w:t>
      </w:r>
      <w:r>
        <w:rPr>
          <w:color w:val="000000"/>
          <w:spacing w:val="10"/>
        </w:rPr>
        <w:t>t</w:t>
      </w:r>
      <w:r>
        <w:rPr>
          <w:color w:val="000000"/>
          <w:spacing w:val="-4"/>
        </w:rPr>
        <w:t>i</w:t>
      </w:r>
      <w:r>
        <w:rPr>
          <w:color w:val="000000"/>
          <w:spacing w:val="5"/>
        </w:rPr>
        <w:t>n</w:t>
      </w:r>
      <w:r>
        <w:rPr>
          <w:color w:val="000000"/>
        </w:rPr>
        <w:t>į d</w:t>
      </w:r>
      <w:r>
        <w:rPr>
          <w:color w:val="000000"/>
          <w:spacing w:val="-1"/>
        </w:rPr>
        <w:t>e</w:t>
      </w:r>
      <w:r>
        <w:rPr>
          <w:color w:val="000000"/>
          <w:spacing w:val="2"/>
        </w:rPr>
        <w:t>š</w:t>
      </w:r>
      <w:r>
        <w:rPr>
          <w:color w:val="000000"/>
          <w:spacing w:val="-4"/>
        </w:rPr>
        <w:t>i</w:t>
      </w:r>
      <w:r>
        <w:rPr>
          <w:color w:val="000000"/>
          <w:spacing w:val="-9"/>
        </w:rPr>
        <w:t>m</w:t>
      </w:r>
      <w:r>
        <w:rPr>
          <w:color w:val="000000"/>
          <w:spacing w:val="10"/>
        </w:rPr>
        <w:t>t</w:t>
      </w:r>
      <w:r>
        <w:rPr>
          <w:color w:val="000000"/>
          <w:spacing w:val="-4"/>
        </w:rPr>
        <w:t>m</w:t>
      </w:r>
      <w:r>
        <w:rPr>
          <w:color w:val="000000"/>
          <w:spacing w:val="-1"/>
        </w:rPr>
        <w:t>e</w:t>
      </w:r>
      <w:r>
        <w:rPr>
          <w:color w:val="000000"/>
          <w:spacing w:val="10"/>
        </w:rPr>
        <w:t>t</w:t>
      </w:r>
      <w:r>
        <w:rPr>
          <w:color w:val="000000"/>
          <w:spacing w:val="-9"/>
        </w:rPr>
        <w:t>į</w:t>
      </w:r>
      <w:r>
        <w:rPr>
          <w:color w:val="000000"/>
        </w:rPr>
        <w:t>.</w:t>
      </w:r>
      <w:r>
        <w:rPr>
          <w:color w:val="000000"/>
          <w:spacing w:val="4"/>
        </w:rPr>
        <w:t xml:space="preserve"> D</w:t>
      </w:r>
      <w:r>
        <w:rPr>
          <w:color w:val="000000"/>
          <w:spacing w:val="-9"/>
        </w:rPr>
        <w:t>i</w:t>
      </w:r>
      <w:r>
        <w:rPr>
          <w:color w:val="000000"/>
          <w:spacing w:val="5"/>
        </w:rPr>
        <w:t>d</w:t>
      </w:r>
      <w:r>
        <w:rPr>
          <w:color w:val="000000"/>
          <w:spacing w:val="4"/>
        </w:rPr>
        <w:t>ž</w:t>
      </w:r>
      <w:r>
        <w:rPr>
          <w:color w:val="000000"/>
          <w:spacing w:val="-4"/>
        </w:rPr>
        <w:t>i</w:t>
      </w:r>
      <w:r>
        <w:rPr>
          <w:color w:val="000000"/>
          <w:spacing w:val="-1"/>
        </w:rPr>
        <w:t>a</w:t>
      </w:r>
      <w:r>
        <w:rPr>
          <w:color w:val="000000"/>
        </w:rPr>
        <w:t>u</w:t>
      </w:r>
      <w:r>
        <w:rPr>
          <w:color w:val="000000"/>
          <w:spacing w:val="2"/>
        </w:rPr>
        <w:t>s</w:t>
      </w:r>
      <w:r>
        <w:rPr>
          <w:color w:val="000000"/>
        </w:rPr>
        <w:t>i</w:t>
      </w:r>
      <w:r>
        <w:rPr>
          <w:color w:val="000000"/>
          <w:spacing w:val="-2"/>
        </w:rPr>
        <w:t xml:space="preserve"> </w:t>
      </w:r>
      <w:r>
        <w:rPr>
          <w:color w:val="000000"/>
        </w:rPr>
        <w:t>p</w:t>
      </w:r>
      <w:r>
        <w:rPr>
          <w:color w:val="000000"/>
          <w:spacing w:val="4"/>
        </w:rPr>
        <w:t>a</w:t>
      </w:r>
      <w:r>
        <w:rPr>
          <w:color w:val="000000"/>
          <w:spacing w:val="2"/>
        </w:rPr>
        <w:t>s</w:t>
      </w:r>
      <w:r>
        <w:rPr>
          <w:color w:val="000000"/>
          <w:spacing w:val="-9"/>
        </w:rPr>
        <w:t>i</w:t>
      </w:r>
      <w:r>
        <w:rPr>
          <w:color w:val="000000"/>
          <w:spacing w:val="5"/>
        </w:rPr>
        <w:t>k</w:t>
      </w:r>
      <w:r>
        <w:rPr>
          <w:color w:val="000000"/>
          <w:spacing w:val="4"/>
        </w:rPr>
        <w:t>e</w:t>
      </w:r>
      <w:r>
        <w:rPr>
          <w:color w:val="000000"/>
          <w:spacing w:val="-9"/>
        </w:rPr>
        <w:t>i</w:t>
      </w:r>
      <w:r>
        <w:rPr>
          <w:color w:val="000000"/>
          <w:spacing w:val="10"/>
        </w:rPr>
        <w:t>t</w:t>
      </w:r>
      <w:r>
        <w:rPr>
          <w:color w:val="000000"/>
          <w:spacing w:val="-4"/>
        </w:rPr>
        <w:t>im</w:t>
      </w:r>
      <w:r>
        <w:rPr>
          <w:color w:val="000000"/>
          <w:spacing w:val="4"/>
        </w:rPr>
        <w:t>a</w:t>
      </w:r>
      <w:r>
        <w:rPr>
          <w:color w:val="000000"/>
        </w:rPr>
        <w:t>i</w:t>
      </w:r>
      <w:r>
        <w:rPr>
          <w:color w:val="000000"/>
          <w:spacing w:val="3"/>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rPr>
        <w:t>u</w:t>
      </w:r>
      <w:r>
        <w:rPr>
          <w:color w:val="000000"/>
          <w:spacing w:val="4"/>
        </w:rPr>
        <w:t>ž</w:t>
      </w:r>
      <w:r>
        <w:rPr>
          <w:color w:val="000000"/>
          <w:spacing w:val="-3"/>
        </w:rPr>
        <w:t>f</w:t>
      </w:r>
      <w:r>
        <w:rPr>
          <w:color w:val="000000"/>
          <w:spacing w:val="-4"/>
        </w:rPr>
        <w:t>i</w:t>
      </w:r>
      <w:r>
        <w:rPr>
          <w:color w:val="000000"/>
        </w:rPr>
        <w:t>k</w:t>
      </w:r>
      <w:r>
        <w:rPr>
          <w:color w:val="000000"/>
          <w:spacing w:val="-2"/>
        </w:rPr>
        <w:t>s</w:t>
      </w:r>
      <w:r>
        <w:rPr>
          <w:color w:val="000000"/>
        </w:rPr>
        <w:t>u</w:t>
      </w:r>
      <w:r>
        <w:rPr>
          <w:color w:val="000000"/>
          <w:spacing w:val="5"/>
        </w:rPr>
        <w:t>ot</w:t>
      </w:r>
      <w:r>
        <w:rPr>
          <w:color w:val="000000"/>
        </w:rPr>
        <w:t>i</w:t>
      </w:r>
      <w:r>
        <w:rPr>
          <w:color w:val="000000"/>
          <w:spacing w:val="-2"/>
        </w:rPr>
        <w:t xml:space="preserve"> </w:t>
      </w:r>
      <w:r>
        <w:rPr>
          <w:color w:val="000000"/>
        </w:rPr>
        <w:t>2004</w:t>
      </w:r>
      <w:r>
        <w:rPr>
          <w:color w:val="000000"/>
          <w:spacing w:val="7"/>
        </w:rPr>
        <w:t xml:space="preserve"> </w:t>
      </w:r>
      <w:r>
        <w:rPr>
          <w:color w:val="000000"/>
          <w:spacing w:val="-9"/>
        </w:rPr>
        <w:t>i</w:t>
      </w:r>
      <w:r>
        <w:rPr>
          <w:color w:val="000000"/>
        </w:rPr>
        <w:t>r</w:t>
      </w:r>
      <w:r>
        <w:rPr>
          <w:color w:val="000000"/>
          <w:spacing w:val="4"/>
        </w:rPr>
        <w:t xml:space="preserve"> </w:t>
      </w:r>
      <w:r>
        <w:rPr>
          <w:color w:val="000000"/>
        </w:rPr>
        <w:t>2009</w:t>
      </w:r>
      <w:r>
        <w:rPr>
          <w:color w:val="000000"/>
          <w:spacing w:val="7"/>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9"/>
        </w:rPr>
        <w:t>i</w:t>
      </w:r>
      <w:r>
        <w:rPr>
          <w:color w:val="000000"/>
          <w:spacing w:val="-2"/>
        </w:rPr>
        <w:t>s</w:t>
      </w:r>
      <w:r>
        <w:rPr>
          <w:color w:val="000000"/>
        </w:rPr>
        <w:t>.</w:t>
      </w:r>
      <w:r>
        <w:rPr>
          <w:color w:val="000000"/>
          <w:spacing w:val="4"/>
        </w:rPr>
        <w:t xml:space="preserve"> </w:t>
      </w:r>
      <w:r>
        <w:rPr>
          <w:color w:val="000000"/>
        </w:rPr>
        <w:t>G</w:t>
      </w:r>
      <w:r>
        <w:rPr>
          <w:color w:val="000000"/>
          <w:spacing w:val="3"/>
        </w:rPr>
        <w:t>a</w:t>
      </w:r>
      <w:r>
        <w:rPr>
          <w:color w:val="000000"/>
        </w:rPr>
        <w:t>l</w:t>
      </w:r>
      <w:r>
        <w:rPr>
          <w:color w:val="000000"/>
          <w:spacing w:val="1"/>
        </w:rPr>
        <w:t>i</w:t>
      </w:r>
      <w:r>
        <w:rPr>
          <w:color w:val="000000"/>
          <w:spacing w:val="-4"/>
        </w:rPr>
        <w:t>m</w:t>
      </w:r>
      <w:r>
        <w:rPr>
          <w:color w:val="000000"/>
        </w:rPr>
        <w:t>a</w:t>
      </w:r>
      <w:r>
        <w:rPr>
          <w:color w:val="000000"/>
          <w:spacing w:val="1"/>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e</w:t>
      </w:r>
      <w:r>
        <w:rPr>
          <w:color w:val="000000"/>
        </w:rPr>
        <w:t>b</w:t>
      </w:r>
      <w:r>
        <w:rPr>
          <w:color w:val="000000"/>
          <w:spacing w:val="-1"/>
        </w:rPr>
        <w:t>ė</w:t>
      </w:r>
      <w:r>
        <w:rPr>
          <w:color w:val="000000"/>
          <w:spacing w:val="5"/>
        </w:rPr>
        <w:t>t</w:t>
      </w:r>
      <w:r>
        <w:rPr>
          <w:color w:val="000000"/>
          <w:spacing w:val="-9"/>
        </w:rPr>
        <w:t>i</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2"/>
        </w:rPr>
        <w:t xml:space="preserve"> </w:t>
      </w:r>
      <w:r>
        <w:rPr>
          <w:color w:val="000000"/>
        </w:rPr>
        <w:t xml:space="preserve">2004 </w:t>
      </w:r>
      <w:r>
        <w:rPr>
          <w:color w:val="000000"/>
          <w:spacing w:val="-9"/>
        </w:rPr>
        <w:t>m</w:t>
      </w:r>
      <w:r>
        <w:rPr>
          <w:color w:val="000000"/>
        </w:rPr>
        <w:t xml:space="preserve">.  </w:t>
      </w:r>
      <w:r>
        <w:rPr>
          <w:color w:val="000000"/>
          <w:spacing w:val="2"/>
        </w:rPr>
        <w:t xml:space="preserve"> </w:t>
      </w:r>
      <w:r>
        <w:rPr>
          <w:color w:val="000000"/>
        </w:rPr>
        <w:t>p</w:t>
      </w:r>
      <w:r>
        <w:rPr>
          <w:color w:val="000000"/>
          <w:spacing w:val="1"/>
        </w:rPr>
        <w:t>r</w:t>
      </w:r>
      <w:r>
        <w:rPr>
          <w:color w:val="000000"/>
          <w:spacing w:val="4"/>
        </w:rPr>
        <w:t>a</w:t>
      </w:r>
      <w:r>
        <w:rPr>
          <w:color w:val="000000"/>
          <w:spacing w:val="2"/>
        </w:rPr>
        <w:t>s</w:t>
      </w:r>
      <w:r>
        <w:rPr>
          <w:color w:val="000000"/>
          <w:spacing w:val="-4"/>
        </w:rPr>
        <w:t>i</w:t>
      </w:r>
      <w:r>
        <w:rPr>
          <w:color w:val="000000"/>
        </w:rPr>
        <w:t>d</w:t>
      </w:r>
      <w:r>
        <w:rPr>
          <w:color w:val="000000"/>
          <w:spacing w:val="4"/>
        </w:rPr>
        <w:t>ė</w:t>
      </w:r>
      <w:r>
        <w:rPr>
          <w:color w:val="000000"/>
          <w:spacing w:val="-9"/>
        </w:rPr>
        <w:t>j</w:t>
      </w:r>
      <w:r>
        <w:rPr>
          <w:color w:val="000000"/>
        </w:rPr>
        <w:t xml:space="preserve">o  </w:t>
      </w:r>
      <w:r>
        <w:rPr>
          <w:color w:val="000000"/>
          <w:spacing w:val="4"/>
        </w:rPr>
        <w:t xml:space="preserve"> </w:t>
      </w:r>
      <w:r>
        <w:rPr>
          <w:color w:val="000000"/>
        </w:rPr>
        <w:t>k</w:t>
      </w:r>
      <w:r>
        <w:rPr>
          <w:color w:val="000000"/>
          <w:spacing w:val="4"/>
        </w:rPr>
        <w:t>a</w:t>
      </w:r>
      <w:r>
        <w:rPr>
          <w:color w:val="000000"/>
          <w:spacing w:val="-5"/>
        </w:rPr>
        <w:t>n</w:t>
      </w:r>
      <w:r>
        <w:rPr>
          <w:color w:val="000000"/>
          <w:spacing w:val="-1"/>
        </w:rPr>
        <w:t>a</w:t>
      </w:r>
      <w:r>
        <w:rPr>
          <w:color w:val="000000"/>
          <w:spacing w:val="5"/>
        </w:rPr>
        <w:t>p</w:t>
      </w:r>
      <w:r>
        <w:rPr>
          <w:color w:val="000000"/>
          <w:spacing w:val="-4"/>
        </w:rPr>
        <w:t>i</w:t>
      </w:r>
      <w:r>
        <w:rPr>
          <w:color w:val="000000"/>
        </w:rPr>
        <w:t xml:space="preserve">ų  </w:t>
      </w:r>
      <w:r>
        <w:rPr>
          <w:color w:val="000000"/>
          <w:spacing w:val="5"/>
        </w:rPr>
        <w:t xml:space="preserve"> </w:t>
      </w:r>
      <w:r>
        <w:rPr>
          <w:color w:val="000000"/>
          <w:spacing w:val="-4"/>
        </w:rPr>
        <w:t>i</w:t>
      </w:r>
      <w:r>
        <w:rPr>
          <w:color w:val="000000"/>
        </w:rPr>
        <w:t xml:space="preserve">r  </w:t>
      </w:r>
      <w:r>
        <w:rPr>
          <w:color w:val="000000"/>
          <w:spacing w:val="6"/>
        </w:rPr>
        <w:t xml:space="preserve"> </w:t>
      </w:r>
      <w:r>
        <w:rPr>
          <w:color w:val="000000"/>
          <w:spacing w:val="-5"/>
        </w:rPr>
        <w:t>A</w:t>
      </w:r>
      <w:r>
        <w:rPr>
          <w:color w:val="000000"/>
          <w:spacing w:val="2"/>
        </w:rPr>
        <w:t>T</w:t>
      </w:r>
      <w:r>
        <w:rPr>
          <w:color w:val="000000"/>
        </w:rPr>
        <w:t xml:space="preserve">S  </w:t>
      </w:r>
      <w:r>
        <w:rPr>
          <w:color w:val="000000"/>
          <w:spacing w:val="5"/>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   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1"/>
        </w:rPr>
        <w:t>r</w:t>
      </w:r>
      <w:r>
        <w:rPr>
          <w:color w:val="000000"/>
          <w:spacing w:val="5"/>
        </w:rPr>
        <w:t>u</w:t>
      </w:r>
      <w:r>
        <w:rPr>
          <w:color w:val="000000"/>
          <w:spacing w:val="-9"/>
        </w:rPr>
        <w:t>m</w:t>
      </w:r>
      <w:r>
        <w:rPr>
          <w:color w:val="000000"/>
        </w:rPr>
        <w:t xml:space="preserve">o  </w:t>
      </w:r>
      <w:r>
        <w:rPr>
          <w:color w:val="000000"/>
          <w:spacing w:val="4"/>
        </w:rPr>
        <w:t xml:space="preserve"> </w:t>
      </w:r>
      <w:r>
        <w:rPr>
          <w:color w:val="000000"/>
        </w:rPr>
        <w:t>p</w:t>
      </w:r>
      <w:r>
        <w:rPr>
          <w:color w:val="000000"/>
          <w:spacing w:val="-1"/>
        </w:rPr>
        <w:t>e</w:t>
      </w:r>
      <w:r>
        <w:rPr>
          <w:color w:val="000000"/>
          <w:spacing w:val="6"/>
        </w:rPr>
        <w:t>r</w:t>
      </w:r>
      <w:r>
        <w:rPr>
          <w:color w:val="000000"/>
          <w:spacing w:val="-9"/>
        </w:rPr>
        <w:t>i</w:t>
      </w:r>
      <w:r>
        <w:rPr>
          <w:color w:val="000000"/>
          <w:spacing w:val="5"/>
        </w:rPr>
        <w:t>o</w:t>
      </w:r>
      <w:r>
        <w:rPr>
          <w:color w:val="000000"/>
        </w:rPr>
        <w:t>d</w:t>
      </w:r>
      <w:r>
        <w:rPr>
          <w:color w:val="000000"/>
          <w:spacing w:val="-1"/>
        </w:rPr>
        <w:t>a</w:t>
      </w:r>
      <w:r>
        <w:rPr>
          <w:color w:val="000000"/>
          <w:spacing w:val="-2"/>
        </w:rPr>
        <w:t>s</w:t>
      </w:r>
      <w:r>
        <w:rPr>
          <w:color w:val="000000"/>
        </w:rPr>
        <w:t xml:space="preserve">,  </w:t>
      </w:r>
      <w:r>
        <w:rPr>
          <w:color w:val="000000"/>
          <w:spacing w:val="2"/>
        </w:rPr>
        <w:t xml:space="preserve"> </w:t>
      </w:r>
      <w:r>
        <w:rPr>
          <w:color w:val="000000"/>
        </w:rPr>
        <w:t>ku</w:t>
      </w:r>
      <w:r>
        <w:rPr>
          <w:color w:val="000000"/>
          <w:spacing w:val="6"/>
        </w:rPr>
        <w:t>r</w:t>
      </w:r>
      <w:r>
        <w:rPr>
          <w:color w:val="000000"/>
          <w:spacing w:val="-9"/>
        </w:rPr>
        <w:t>i</w:t>
      </w:r>
      <w:r>
        <w:rPr>
          <w:color w:val="000000"/>
        </w:rPr>
        <w:t xml:space="preserve">s  </w:t>
      </w:r>
      <w:r>
        <w:rPr>
          <w:color w:val="000000"/>
          <w:spacing w:val="2"/>
        </w:rPr>
        <w:t xml:space="preserve"> </w:t>
      </w:r>
      <w:r>
        <w:rPr>
          <w:color w:val="000000"/>
        </w:rPr>
        <w:t>v</w:t>
      </w:r>
      <w:r>
        <w:rPr>
          <w:color w:val="000000"/>
          <w:spacing w:val="-4"/>
        </w:rPr>
        <w:t>i</w:t>
      </w:r>
      <w:r>
        <w:rPr>
          <w:color w:val="000000"/>
        </w:rPr>
        <w:t xml:space="preserve">s  </w:t>
      </w:r>
      <w:r>
        <w:rPr>
          <w:color w:val="000000"/>
          <w:spacing w:val="2"/>
        </w:rPr>
        <w:t xml:space="preserve"> </w:t>
      </w:r>
      <w:r>
        <w:rPr>
          <w:color w:val="000000"/>
        </w:rPr>
        <w:t>d</w:t>
      </w:r>
      <w:r>
        <w:rPr>
          <w:color w:val="000000"/>
          <w:spacing w:val="-1"/>
        </w:rPr>
        <w:t>a</w:t>
      </w:r>
      <w:r>
        <w:rPr>
          <w:color w:val="000000"/>
        </w:rPr>
        <w:t xml:space="preserve">r  </w:t>
      </w:r>
      <w:r>
        <w:rPr>
          <w:color w:val="000000"/>
          <w:spacing w:val="1"/>
        </w:rPr>
        <w:t xml:space="preserve"> </w:t>
      </w:r>
      <w:r>
        <w:rPr>
          <w:color w:val="000000"/>
          <w:spacing w:val="5"/>
        </w:rPr>
        <w:t>t</w:t>
      </w:r>
      <w:r>
        <w:rPr>
          <w:color w:val="000000"/>
          <w:spacing w:val="-1"/>
        </w:rPr>
        <w:t>ę</w:t>
      </w:r>
      <w:r>
        <w:rPr>
          <w:color w:val="000000"/>
          <w:spacing w:val="2"/>
        </w:rPr>
        <w:t>s</w:t>
      </w:r>
      <w:r>
        <w:rPr>
          <w:color w:val="000000"/>
          <w:spacing w:val="-9"/>
        </w:rPr>
        <w:t>i</w:t>
      </w:r>
      <w:r>
        <w:rPr>
          <w:color w:val="000000"/>
          <w:spacing w:val="4"/>
        </w:rPr>
        <w:t>a</w:t>
      </w:r>
      <w:r>
        <w:rPr>
          <w:color w:val="000000"/>
          <w:spacing w:val="2"/>
        </w:rPr>
        <w:t>s</w:t>
      </w:r>
      <w:r>
        <w:rPr>
          <w:color w:val="000000"/>
        </w:rPr>
        <w:t xml:space="preserve">i   </w:t>
      </w:r>
      <w:r>
        <w:rPr>
          <w:color w:val="000000"/>
          <w:spacing w:val="-4"/>
        </w:rPr>
        <w:t>i</w:t>
      </w:r>
      <w:r>
        <w:rPr>
          <w:color w:val="000000"/>
        </w:rPr>
        <w:t>r p</w:t>
      </w:r>
      <w:r>
        <w:rPr>
          <w:color w:val="000000"/>
          <w:spacing w:val="1"/>
        </w:rPr>
        <w:t>r</w:t>
      </w:r>
      <w:r>
        <w:rPr>
          <w:color w:val="000000"/>
          <w:spacing w:val="5"/>
        </w:rPr>
        <w:t>o</w:t>
      </w:r>
      <w:r>
        <w:rPr>
          <w:color w:val="000000"/>
        </w:rPr>
        <w:t>g</w:t>
      </w:r>
      <w:r>
        <w:rPr>
          <w:color w:val="000000"/>
          <w:spacing w:val="-5"/>
        </w:rPr>
        <w:t>n</w:t>
      </w:r>
      <w:r>
        <w:rPr>
          <w:color w:val="000000"/>
          <w:spacing w:val="5"/>
        </w:rPr>
        <w:t>o</w:t>
      </w:r>
      <w:r>
        <w:rPr>
          <w:color w:val="000000"/>
          <w:spacing w:val="-1"/>
        </w:rPr>
        <w:t>z</w:t>
      </w:r>
      <w:r>
        <w:rPr>
          <w:color w:val="000000"/>
          <w:spacing w:val="-5"/>
        </w:rPr>
        <w:t>u</w:t>
      </w:r>
      <w:r>
        <w:rPr>
          <w:color w:val="000000"/>
          <w:spacing w:val="5"/>
        </w:rPr>
        <w:t>o</w:t>
      </w:r>
      <w:r>
        <w:rPr>
          <w:color w:val="000000"/>
          <w:spacing w:val="-9"/>
        </w:rPr>
        <w:t>j</w:t>
      </w:r>
      <w:r>
        <w:rPr>
          <w:color w:val="000000"/>
          <w:spacing w:val="4"/>
        </w:rPr>
        <w:t>a</w:t>
      </w:r>
      <w:r>
        <w:rPr>
          <w:color w:val="000000"/>
          <w:spacing w:val="-4"/>
        </w:rPr>
        <w:t>m</w:t>
      </w:r>
      <w:r>
        <w:rPr>
          <w:color w:val="000000"/>
          <w:spacing w:val="-1"/>
        </w:rPr>
        <w:t>a</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2"/>
        </w:rPr>
        <w:t xml:space="preserve"> </w:t>
      </w:r>
      <w:r>
        <w:rPr>
          <w:color w:val="000000"/>
          <w:spacing w:val="5"/>
        </w:rPr>
        <w:t>t</w:t>
      </w:r>
      <w:r>
        <w:rPr>
          <w:color w:val="000000"/>
          <w:spacing w:val="-1"/>
        </w:rPr>
        <w:t>ę</w:t>
      </w:r>
      <w:r>
        <w:rPr>
          <w:color w:val="000000"/>
          <w:spacing w:val="6"/>
        </w:rPr>
        <w:t>s</w:t>
      </w:r>
      <w:r>
        <w:rPr>
          <w:color w:val="000000"/>
          <w:spacing w:val="-4"/>
        </w:rPr>
        <w:t>i</w:t>
      </w:r>
      <w:r>
        <w:rPr>
          <w:color w:val="000000"/>
        </w:rPr>
        <w:t xml:space="preserve">s </w:t>
      </w:r>
      <w:r>
        <w:rPr>
          <w:color w:val="000000"/>
          <w:spacing w:val="-1"/>
        </w:rPr>
        <w:t>a</w:t>
      </w:r>
      <w:r>
        <w:rPr>
          <w:color w:val="000000"/>
          <w:spacing w:val="5"/>
        </w:rPr>
        <w:t>t</w:t>
      </w:r>
      <w:r>
        <w:rPr>
          <w:color w:val="000000"/>
          <w:spacing w:val="4"/>
        </w:rPr>
        <w:t>e</w:t>
      </w:r>
      <w:r>
        <w:rPr>
          <w:color w:val="000000"/>
          <w:spacing w:val="-9"/>
        </w:rPr>
        <w:t>i</w:t>
      </w:r>
      <w:r>
        <w:rPr>
          <w:color w:val="000000"/>
          <w:spacing w:val="10"/>
        </w:rPr>
        <w:t>t</w:t>
      </w:r>
      <w:r>
        <w:rPr>
          <w:color w:val="000000"/>
          <w:spacing w:val="-5"/>
        </w:rPr>
        <w:t>y</w:t>
      </w:r>
      <w:r>
        <w:rPr>
          <w:color w:val="000000"/>
          <w:spacing w:val="-4"/>
        </w:rPr>
        <w:t>j</w:t>
      </w:r>
      <w:r>
        <w:rPr>
          <w:color w:val="000000"/>
          <w:spacing w:val="-1"/>
        </w:rPr>
        <w:t>e</w:t>
      </w:r>
      <w:r>
        <w:rPr>
          <w:color w:val="000000"/>
        </w:rPr>
        <w:t>.</w:t>
      </w:r>
      <w:r>
        <w:rPr>
          <w:color w:val="000000"/>
          <w:spacing w:val="4"/>
        </w:rPr>
        <w:t xml:space="preserve"> </w:t>
      </w:r>
      <w:r>
        <w:rPr>
          <w:color w:val="000000"/>
        </w:rPr>
        <w:t>Nuo</w:t>
      </w:r>
      <w:r>
        <w:rPr>
          <w:color w:val="000000"/>
          <w:spacing w:val="6"/>
        </w:rPr>
        <w:t xml:space="preserve"> </w:t>
      </w:r>
      <w:r>
        <w:rPr>
          <w:color w:val="000000"/>
        </w:rPr>
        <w:t>2009</w:t>
      </w:r>
      <w:r>
        <w:rPr>
          <w:color w:val="000000"/>
          <w:spacing w:val="7"/>
        </w:rPr>
        <w:t xml:space="preserve"> </w:t>
      </w:r>
      <w:r>
        <w:rPr>
          <w:color w:val="000000"/>
          <w:spacing w:val="-9"/>
        </w:rPr>
        <w:t>m</w:t>
      </w:r>
      <w:r>
        <w:rPr>
          <w:color w:val="000000"/>
        </w:rPr>
        <w:t>.</w:t>
      </w:r>
      <w:r>
        <w:rPr>
          <w:color w:val="000000"/>
          <w:spacing w:val="9"/>
        </w:rPr>
        <w:t xml:space="preserve"> </w:t>
      </w:r>
      <w:r>
        <w:rPr>
          <w:color w:val="000000"/>
        </w:rPr>
        <w:t>į</w:t>
      </w:r>
      <w:r>
        <w:rPr>
          <w:color w:val="000000"/>
          <w:spacing w:val="2"/>
        </w:rPr>
        <w:t xml:space="preserve"> 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rPr>
        <w:t>ų</w:t>
      </w:r>
      <w:r>
        <w:rPr>
          <w:color w:val="000000"/>
          <w:spacing w:val="7"/>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2"/>
        </w:rPr>
        <w:t xml:space="preserve"> </w:t>
      </w:r>
      <w:r>
        <w:rPr>
          <w:color w:val="000000"/>
          <w:spacing w:val="6"/>
        </w:rPr>
        <w:t>r</w:t>
      </w:r>
      <w:r>
        <w:rPr>
          <w:color w:val="000000"/>
          <w:spacing w:val="-4"/>
        </w:rPr>
        <w:t>i</w:t>
      </w:r>
      <w:r>
        <w:rPr>
          <w:color w:val="000000"/>
        </w:rPr>
        <w:t>nką</w:t>
      </w:r>
      <w:r>
        <w:rPr>
          <w:color w:val="000000"/>
          <w:spacing w:val="1"/>
        </w:rPr>
        <w:t xml:space="preserve"> </w:t>
      </w:r>
      <w:r>
        <w:rPr>
          <w:color w:val="000000"/>
        </w:rPr>
        <w:t>p</w:t>
      </w:r>
      <w:r>
        <w:rPr>
          <w:color w:val="000000"/>
          <w:spacing w:val="1"/>
        </w:rPr>
        <w:t>r</w:t>
      </w:r>
      <w:r>
        <w:rPr>
          <w:color w:val="000000"/>
          <w:spacing w:val="-1"/>
        </w:rPr>
        <w:t>a</w:t>
      </w:r>
      <w:r>
        <w:rPr>
          <w:color w:val="000000"/>
        </w:rPr>
        <w:t>d</w:t>
      </w:r>
      <w:r>
        <w:rPr>
          <w:color w:val="000000"/>
          <w:spacing w:val="-1"/>
        </w:rPr>
        <w:t>e</w:t>
      </w:r>
      <w:r>
        <w:rPr>
          <w:color w:val="000000"/>
        </w:rPr>
        <w:t>da</w:t>
      </w:r>
      <w:r>
        <w:rPr>
          <w:color w:val="000000"/>
          <w:spacing w:val="6"/>
        </w:rPr>
        <w:t xml:space="preserve"> </w:t>
      </w:r>
      <w:r>
        <w:rPr>
          <w:color w:val="000000"/>
          <w:spacing w:val="-5"/>
        </w:rPr>
        <w:t>v</w:t>
      </w:r>
      <w:r>
        <w:rPr>
          <w:color w:val="000000"/>
          <w:spacing w:val="-1"/>
        </w:rPr>
        <w:t>e</w:t>
      </w:r>
      <w:r>
        <w:rPr>
          <w:color w:val="000000"/>
          <w:spacing w:val="1"/>
        </w:rPr>
        <w:t>r</w:t>
      </w:r>
      <w:r>
        <w:rPr>
          <w:color w:val="000000"/>
          <w:spacing w:val="-1"/>
        </w:rPr>
        <w:t>ž</w:t>
      </w:r>
      <w:r>
        <w:rPr>
          <w:color w:val="000000"/>
          <w:spacing w:val="10"/>
        </w:rPr>
        <w:t>t</w:t>
      </w:r>
      <w:r>
        <w:rPr>
          <w:color w:val="000000"/>
          <w:spacing w:val="-4"/>
        </w:rPr>
        <w:t>i</w:t>
      </w:r>
      <w:r>
        <w:rPr>
          <w:color w:val="000000"/>
        </w:rPr>
        <w:t>s</w:t>
      </w:r>
      <w:r>
        <w:rPr>
          <w:color w:val="000000"/>
          <w:spacing w:val="4"/>
        </w:rPr>
        <w:t xml:space="preserve"> </w:t>
      </w:r>
      <w:r>
        <w:rPr>
          <w:color w:val="000000"/>
          <w:spacing w:val="-5"/>
        </w:rPr>
        <w:t>n</w:t>
      </w:r>
      <w:r>
        <w:rPr>
          <w:color w:val="000000"/>
          <w:spacing w:val="-1"/>
        </w:rPr>
        <w:t>a</w:t>
      </w:r>
      <w:r>
        <w:rPr>
          <w:color w:val="000000"/>
          <w:spacing w:val="5"/>
        </w:rPr>
        <w:t>u</w:t>
      </w:r>
      <w:r>
        <w:rPr>
          <w:color w:val="000000"/>
          <w:spacing w:val="-9"/>
        </w:rPr>
        <w:t>j</w:t>
      </w:r>
      <w:r>
        <w:rPr>
          <w:color w:val="000000"/>
          <w:spacing w:val="5"/>
        </w:rPr>
        <w:t>o</w:t>
      </w:r>
      <w:r>
        <w:rPr>
          <w:color w:val="000000"/>
          <w:spacing w:val="-2"/>
        </w:rPr>
        <w:t>s</w:t>
      </w:r>
      <w:r>
        <w:rPr>
          <w:color w:val="000000"/>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rPr>
        <w:t>ų</w:t>
      </w:r>
      <w:r>
        <w:rPr>
          <w:color w:val="000000"/>
          <w:spacing w:val="2"/>
        </w:rPr>
        <w:t xml:space="preserve">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9"/>
        </w:rPr>
        <w:t>j</w:t>
      </w:r>
      <w:r>
        <w:rPr>
          <w:color w:val="000000"/>
        </w:rPr>
        <w:t>e</w:t>
      </w:r>
      <w:r>
        <w:rPr>
          <w:color w:val="000000"/>
          <w:spacing w:val="6"/>
        </w:rPr>
        <w:t xml:space="preserve"> </w:t>
      </w:r>
      <w:r>
        <w:rPr>
          <w:color w:val="000000"/>
        </w:rPr>
        <w:t>d</w:t>
      </w:r>
      <w:r>
        <w:rPr>
          <w:color w:val="000000"/>
          <w:spacing w:val="-1"/>
        </w:rPr>
        <w:t>a</w:t>
      </w:r>
      <w:r>
        <w:rPr>
          <w:color w:val="000000"/>
        </w:rPr>
        <w:t>r</w:t>
      </w:r>
      <w:r>
        <w:rPr>
          <w:color w:val="000000"/>
          <w:spacing w:val="8"/>
        </w:rPr>
        <w:t xml:space="preserve"> </w:t>
      </w:r>
      <w:r>
        <w:rPr>
          <w:color w:val="000000"/>
          <w:spacing w:val="-5"/>
        </w:rPr>
        <w:t>n</w:t>
      </w:r>
      <w:r>
        <w:rPr>
          <w:color w:val="000000"/>
          <w:spacing w:val="4"/>
        </w:rPr>
        <w:t>e</w:t>
      </w:r>
      <w:r>
        <w:rPr>
          <w:color w:val="000000"/>
          <w:spacing w:val="-4"/>
        </w:rPr>
        <w:t>m</w:t>
      </w:r>
      <w:r>
        <w:rPr>
          <w:color w:val="000000"/>
          <w:spacing w:val="-1"/>
        </w:rPr>
        <w:t>a</w:t>
      </w:r>
      <w:r>
        <w:rPr>
          <w:color w:val="000000"/>
          <w:spacing w:val="10"/>
        </w:rPr>
        <w:t>t</w:t>
      </w:r>
      <w:r>
        <w:rPr>
          <w:color w:val="000000"/>
          <w:spacing w:val="-10"/>
        </w:rPr>
        <w:t>y</w:t>
      </w:r>
      <w:r>
        <w:rPr>
          <w:color w:val="000000"/>
          <w:spacing w:val="5"/>
        </w:rPr>
        <w:t>to</w:t>
      </w:r>
      <w:r>
        <w:rPr>
          <w:color w:val="000000"/>
        </w:rPr>
        <w:t>s p</w:t>
      </w:r>
      <w:r>
        <w:rPr>
          <w:color w:val="000000"/>
          <w:spacing w:val="2"/>
        </w:rPr>
        <w:t>s</w:t>
      </w:r>
      <w:r>
        <w:rPr>
          <w:color w:val="000000"/>
          <w:spacing w:val="-9"/>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9"/>
        </w:rPr>
        <w:t>i</w:t>
      </w:r>
      <w:r>
        <w:rPr>
          <w:color w:val="000000"/>
          <w:spacing w:val="9"/>
        </w:rPr>
        <w:t>o</w:t>
      </w:r>
      <w:r>
        <w:rPr>
          <w:color w:val="000000"/>
        </w:rPr>
        <w:t>s</w:t>
      </w:r>
      <w:r>
        <w:rPr>
          <w:color w:val="000000"/>
          <w:spacing w:val="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r>
        <w:rPr>
          <w:color w:val="000000"/>
          <w:spacing w:val="4"/>
        </w:rPr>
        <w:t xml:space="preserve"> </w:t>
      </w:r>
      <w:r>
        <w:rPr>
          <w:color w:val="000000"/>
          <w:spacing w:val="1"/>
        </w:rPr>
        <w:t>P</w:t>
      </w:r>
      <w:r>
        <w:rPr>
          <w:color w:val="000000"/>
          <w:spacing w:val="-1"/>
        </w:rPr>
        <w:t>a</w:t>
      </w:r>
      <w:r>
        <w:rPr>
          <w:color w:val="000000"/>
          <w:spacing w:val="-2"/>
        </w:rPr>
        <w:t>s</w:t>
      </w:r>
      <w:r>
        <w:rPr>
          <w:color w:val="000000"/>
          <w:spacing w:val="5"/>
        </w:rPr>
        <w:t>t</w:t>
      </w:r>
      <w:r>
        <w:rPr>
          <w:color w:val="000000"/>
          <w:spacing w:val="-1"/>
        </w:rPr>
        <w:t>e</w:t>
      </w:r>
      <w:r>
        <w:rPr>
          <w:color w:val="000000"/>
        </w:rPr>
        <w:t>bi</w:t>
      </w:r>
      <w:r>
        <w:rPr>
          <w:color w:val="000000"/>
          <w:spacing w:val="-4"/>
        </w:rPr>
        <w:t>m</w:t>
      </w:r>
      <w:r>
        <w:rPr>
          <w:color w:val="000000"/>
        </w:rPr>
        <w:t>a</w:t>
      </w:r>
      <w:r>
        <w:rPr>
          <w:color w:val="000000"/>
          <w:spacing w:val="1"/>
        </w:rPr>
        <w:t xml:space="preserve"> </w:t>
      </w:r>
      <w:r>
        <w:rPr>
          <w:color w:val="000000"/>
          <w:spacing w:val="5"/>
        </w:rPr>
        <w:t>t</w:t>
      </w:r>
      <w:r>
        <w:rPr>
          <w:color w:val="000000"/>
          <w:spacing w:val="-1"/>
        </w:rPr>
        <w:t>e</w:t>
      </w:r>
      <w:r>
        <w:rPr>
          <w:color w:val="000000"/>
          <w:spacing w:val="-5"/>
        </w:rPr>
        <w:t>n</w:t>
      </w:r>
      <w:r>
        <w:rPr>
          <w:color w:val="000000"/>
        </w:rPr>
        <w:t>d</w:t>
      </w:r>
      <w:r>
        <w:rPr>
          <w:color w:val="000000"/>
          <w:spacing w:val="4"/>
        </w:rPr>
        <w:t>e</w:t>
      </w:r>
      <w:r>
        <w:rPr>
          <w:color w:val="000000"/>
        </w:rPr>
        <w:t>n</w:t>
      </w:r>
      <w:r>
        <w:rPr>
          <w:color w:val="000000"/>
          <w:spacing w:val="4"/>
        </w:rPr>
        <w:t>c</w:t>
      </w:r>
      <w:r>
        <w:rPr>
          <w:color w:val="000000"/>
          <w:spacing w:val="-4"/>
        </w:rPr>
        <w:t>ij</w:t>
      </w:r>
      <w:r>
        <w:rPr>
          <w:color w:val="000000"/>
          <w:spacing w:val="-1"/>
        </w:rPr>
        <w:t>a</w:t>
      </w:r>
      <w:r>
        <w:rPr>
          <w:color w:val="000000"/>
        </w:rPr>
        <w:t>,</w:t>
      </w:r>
      <w:r>
        <w:rPr>
          <w:color w:val="000000"/>
          <w:spacing w:val="4"/>
        </w:rPr>
        <w:t xml:space="preserve"> </w:t>
      </w:r>
      <w:r>
        <w:rPr>
          <w:color w:val="000000"/>
          <w:spacing w:val="5"/>
        </w:rPr>
        <w:t>k</w:t>
      </w:r>
      <w:r>
        <w:rPr>
          <w:color w:val="000000"/>
          <w:spacing w:val="-1"/>
        </w:rPr>
        <w:t>a</w:t>
      </w:r>
      <w:r>
        <w:rPr>
          <w:color w:val="000000"/>
        </w:rPr>
        <w:t>d</w:t>
      </w:r>
      <w:r>
        <w:rPr>
          <w:color w:val="000000"/>
          <w:spacing w:val="2"/>
        </w:rPr>
        <w:t xml:space="preserve"> </w:t>
      </w:r>
      <w:r>
        <w:rPr>
          <w:color w:val="000000"/>
        </w:rPr>
        <w:t>d</w:t>
      </w:r>
      <w:r>
        <w:rPr>
          <w:color w:val="000000"/>
          <w:spacing w:val="4"/>
        </w:rPr>
        <w:t>a</w:t>
      </w:r>
      <w:r>
        <w:rPr>
          <w:color w:val="000000"/>
        </w:rPr>
        <w:t>l</w:t>
      </w:r>
      <w:r>
        <w:rPr>
          <w:color w:val="000000"/>
          <w:spacing w:val="1"/>
        </w:rPr>
        <w:t>i</w:t>
      </w:r>
      <w:r>
        <w:rPr>
          <w:color w:val="000000"/>
        </w:rPr>
        <w:t xml:space="preserve">s </w:t>
      </w:r>
      <w:r>
        <w:rPr>
          <w:color w:val="000000"/>
          <w:spacing w:val="-1"/>
        </w:rPr>
        <w:t>a</w:t>
      </w:r>
      <w:r>
        <w:rPr>
          <w:color w:val="000000"/>
          <w:spacing w:val="5"/>
        </w:rPr>
        <w:t>t</w:t>
      </w:r>
      <w:r>
        <w:rPr>
          <w:color w:val="000000"/>
          <w:spacing w:val="-2"/>
        </w:rPr>
        <w:t>s</w:t>
      </w:r>
      <w:r>
        <w:rPr>
          <w:color w:val="000000"/>
          <w:spacing w:val="-9"/>
        </w:rPr>
        <w:t>i</w:t>
      </w:r>
      <w:r>
        <w:rPr>
          <w:color w:val="000000"/>
          <w:spacing w:val="1"/>
        </w:rPr>
        <w:t>r</w:t>
      </w:r>
      <w:r>
        <w:rPr>
          <w:color w:val="000000"/>
          <w:spacing w:val="-1"/>
        </w:rPr>
        <w:t>a</w:t>
      </w:r>
      <w:r>
        <w:rPr>
          <w:color w:val="000000"/>
        </w:rPr>
        <w:t>d</w:t>
      </w:r>
      <w:r>
        <w:rPr>
          <w:color w:val="000000"/>
          <w:spacing w:val="5"/>
        </w:rPr>
        <w:t>u</w:t>
      </w:r>
      <w:r>
        <w:rPr>
          <w:color w:val="000000"/>
          <w:spacing w:val="2"/>
        </w:rPr>
        <w:t>s</w:t>
      </w:r>
      <w:r>
        <w:rPr>
          <w:color w:val="000000"/>
          <w:spacing w:val="-4"/>
        </w:rPr>
        <w:t>i</w:t>
      </w:r>
      <w:r>
        <w:rPr>
          <w:color w:val="000000"/>
        </w:rPr>
        <w:t>ų</w:t>
      </w:r>
      <w:r>
        <w:rPr>
          <w:color w:val="000000"/>
          <w:spacing w:val="50"/>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45"/>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50"/>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45"/>
        </w:rPr>
        <w:t xml:space="preserve">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4"/>
        </w:rPr>
        <w:t>j</w:t>
      </w:r>
      <w:r>
        <w:rPr>
          <w:color w:val="000000"/>
        </w:rPr>
        <w:t>e</w:t>
      </w:r>
      <w:r>
        <w:rPr>
          <w:color w:val="000000"/>
          <w:spacing w:val="49"/>
        </w:rPr>
        <w:t xml:space="preserve"> </w:t>
      </w:r>
      <w:r>
        <w:rPr>
          <w:color w:val="000000"/>
          <w:spacing w:val="-4"/>
        </w:rPr>
        <w:t>il</w:t>
      </w:r>
      <w:r>
        <w:rPr>
          <w:color w:val="000000"/>
        </w:rPr>
        <w:t>g</w:t>
      </w:r>
      <w:r>
        <w:rPr>
          <w:color w:val="000000"/>
          <w:spacing w:val="4"/>
        </w:rPr>
        <w:t>a</w:t>
      </w:r>
      <w:r>
        <w:rPr>
          <w:color w:val="000000"/>
        </w:rPr>
        <w:t>i</w:t>
      </w:r>
      <w:r>
        <w:rPr>
          <w:color w:val="000000"/>
          <w:spacing w:val="46"/>
        </w:rPr>
        <w:t xml:space="preserve"> </w:t>
      </w:r>
      <w:r>
        <w:rPr>
          <w:color w:val="000000"/>
          <w:spacing w:val="-5"/>
        </w:rPr>
        <w:t>n</w:t>
      </w:r>
      <w:r>
        <w:rPr>
          <w:color w:val="000000"/>
          <w:spacing w:val="4"/>
        </w:rPr>
        <w:t>e</w:t>
      </w:r>
      <w:r>
        <w:rPr>
          <w:color w:val="000000"/>
          <w:spacing w:val="-4"/>
        </w:rPr>
        <w:t>i</w:t>
      </w:r>
      <w:r>
        <w:rPr>
          <w:color w:val="000000"/>
          <w:spacing w:val="2"/>
        </w:rPr>
        <w:t>šs</w:t>
      </w:r>
      <w:r>
        <w:rPr>
          <w:color w:val="000000"/>
        </w:rPr>
        <w:t>i</w:t>
      </w:r>
      <w:r>
        <w:rPr>
          <w:color w:val="000000"/>
          <w:spacing w:val="-4"/>
        </w:rPr>
        <w:t>l</w:t>
      </w:r>
      <w:r>
        <w:rPr>
          <w:color w:val="000000"/>
          <w:spacing w:val="4"/>
        </w:rPr>
        <w:t>a</w:t>
      </w:r>
      <w:r>
        <w:rPr>
          <w:color w:val="000000"/>
          <w:spacing w:val="-4"/>
        </w:rPr>
        <w:t>i</w:t>
      </w:r>
      <w:r>
        <w:rPr>
          <w:color w:val="000000"/>
        </w:rPr>
        <w:t>ko</w:t>
      </w:r>
      <w:r>
        <w:rPr>
          <w:color w:val="000000"/>
          <w:spacing w:val="55"/>
        </w:rPr>
        <w:t xml:space="preserve"> </w:t>
      </w:r>
      <w:r>
        <w:rPr>
          <w:color w:val="000000"/>
          <w:spacing w:val="-9"/>
        </w:rPr>
        <w:t>i</w:t>
      </w:r>
      <w:r>
        <w:rPr>
          <w:color w:val="000000"/>
        </w:rPr>
        <w:t>r</w:t>
      </w:r>
      <w:r>
        <w:rPr>
          <w:color w:val="000000"/>
          <w:spacing w:val="52"/>
        </w:rPr>
        <w:t xml:space="preserve"> </w:t>
      </w:r>
      <w:r>
        <w:rPr>
          <w:color w:val="000000"/>
          <w:spacing w:val="-10"/>
        </w:rPr>
        <w:t>y</w:t>
      </w:r>
      <w:r>
        <w:rPr>
          <w:color w:val="000000"/>
          <w:spacing w:val="6"/>
        </w:rPr>
        <w:t>r</w:t>
      </w:r>
      <w:r>
        <w:rPr>
          <w:color w:val="000000"/>
        </w:rPr>
        <w:t>a</w:t>
      </w:r>
      <w:r>
        <w:rPr>
          <w:color w:val="000000"/>
          <w:spacing w:val="44"/>
        </w:rPr>
        <w:t xml:space="preserve"> </w:t>
      </w:r>
      <w:r>
        <w:rPr>
          <w:color w:val="000000"/>
        </w:rPr>
        <w:t>p</w:t>
      </w:r>
      <w:r>
        <w:rPr>
          <w:color w:val="000000"/>
          <w:spacing w:val="-1"/>
        </w:rPr>
        <w:t>a</w:t>
      </w:r>
      <w:r>
        <w:rPr>
          <w:color w:val="000000"/>
        </w:rPr>
        <w:t>k</w:t>
      </w:r>
      <w:r>
        <w:rPr>
          <w:color w:val="000000"/>
          <w:spacing w:val="4"/>
        </w:rPr>
        <w:t>e</w:t>
      </w:r>
      <w:r>
        <w:rPr>
          <w:color w:val="000000"/>
          <w:spacing w:val="-4"/>
        </w:rPr>
        <w:t>i</w:t>
      </w:r>
      <w:r>
        <w:rPr>
          <w:color w:val="000000"/>
          <w:spacing w:val="4"/>
        </w:rPr>
        <w:t>č</w:t>
      </w:r>
      <w:r>
        <w:rPr>
          <w:color w:val="000000"/>
          <w:spacing w:val="-4"/>
        </w:rPr>
        <w:t>i</w:t>
      </w:r>
      <w:r>
        <w:rPr>
          <w:color w:val="000000"/>
          <w:spacing w:val="4"/>
        </w:rPr>
        <w:t>a</w:t>
      </w:r>
      <w:r>
        <w:rPr>
          <w:color w:val="000000"/>
          <w:spacing w:val="-9"/>
        </w:rPr>
        <w:t>m</w:t>
      </w:r>
      <w:r>
        <w:rPr>
          <w:color w:val="000000"/>
          <w:spacing w:val="9"/>
        </w:rPr>
        <w:t>o</w:t>
      </w:r>
      <w:r>
        <w:rPr>
          <w:color w:val="000000"/>
        </w:rPr>
        <w:t>s</w:t>
      </w:r>
      <w:r>
        <w:rPr>
          <w:color w:val="000000"/>
          <w:spacing w:val="48"/>
        </w:rPr>
        <w:t xml:space="preserve"> </w:t>
      </w:r>
      <w:r>
        <w:rPr>
          <w:color w:val="000000"/>
          <w:spacing w:val="-5"/>
        </w:rPr>
        <w:t>n</w:t>
      </w:r>
      <w:r>
        <w:rPr>
          <w:color w:val="000000"/>
          <w:spacing w:val="11"/>
        </w:rPr>
        <w:t>a</w:t>
      </w:r>
      <w:r>
        <w:rPr>
          <w:color w:val="000000"/>
          <w:spacing w:val="5"/>
        </w:rPr>
        <w:t>u</w:t>
      </w:r>
      <w:r>
        <w:rPr>
          <w:color w:val="000000"/>
          <w:spacing w:val="-9"/>
        </w:rPr>
        <w:t>j</w:t>
      </w:r>
      <w:r>
        <w:rPr>
          <w:color w:val="000000"/>
          <w:spacing w:val="9"/>
        </w:rPr>
        <w:t>o</w:t>
      </w:r>
      <w:r>
        <w:rPr>
          <w:color w:val="000000"/>
          <w:spacing w:val="-4"/>
        </w:rPr>
        <w:t>mi</w:t>
      </w:r>
      <w:r>
        <w:rPr>
          <w:color w:val="000000"/>
          <w:spacing w:val="2"/>
        </w:rPr>
        <w:t>s</w:t>
      </w:r>
      <w:r>
        <w:rPr>
          <w:color w:val="000000"/>
        </w:rPr>
        <w:t>.</w:t>
      </w:r>
    </w:p>
    <w:p w:rsidR="004F7425" w:rsidRDefault="004F7425" w:rsidP="004F7425">
      <w:pPr>
        <w:widowControl w:val="0"/>
        <w:autoSpaceDE w:val="0"/>
        <w:autoSpaceDN w:val="0"/>
        <w:adjustRightInd w:val="0"/>
        <w:spacing w:before="16"/>
        <w:ind w:left="120" w:right="43" w:firstLine="721"/>
        <w:jc w:val="both"/>
        <w:rPr>
          <w:color w:val="000000"/>
        </w:rPr>
        <w:sectPr w:rsidR="004F7425">
          <w:pgSz w:w="11920" w:h="16840"/>
          <w:pgMar w:top="960" w:right="460" w:bottom="280" w:left="1580" w:header="734" w:footer="0" w:gutter="0"/>
          <w:cols w:space="1296" w:equalWidth="0">
            <w:col w:w="988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line="275" w:lineRule="auto"/>
        <w:ind w:left="120" w:right="53"/>
        <w:jc w:val="both"/>
        <w:rPr>
          <w:color w:val="000000"/>
        </w:rPr>
      </w:pPr>
      <w:r>
        <w:rPr>
          <w:color w:val="000000"/>
          <w:spacing w:val="2"/>
        </w:rPr>
        <w:t>T</w:t>
      </w:r>
      <w:r>
        <w:rPr>
          <w:color w:val="000000"/>
          <w:spacing w:val="5"/>
        </w:rPr>
        <w:t>o</w:t>
      </w:r>
      <w:r>
        <w:rPr>
          <w:color w:val="000000"/>
        </w:rPr>
        <w:t>k</w:t>
      </w:r>
      <w:r>
        <w:rPr>
          <w:color w:val="000000"/>
          <w:spacing w:val="-9"/>
        </w:rPr>
        <w:t>i</w:t>
      </w:r>
      <w:r>
        <w:rPr>
          <w:color w:val="000000"/>
        </w:rPr>
        <w:t>u</w:t>
      </w:r>
      <w:r>
        <w:rPr>
          <w:color w:val="000000"/>
          <w:spacing w:val="7"/>
        </w:rPr>
        <w:t xml:space="preserve"> </w:t>
      </w:r>
      <w:r>
        <w:rPr>
          <w:color w:val="000000"/>
          <w:spacing w:val="-5"/>
        </w:rPr>
        <w:t>b</w:t>
      </w:r>
      <w:r>
        <w:rPr>
          <w:color w:val="000000"/>
        </w:rPr>
        <w:t>ūdu</w:t>
      </w:r>
      <w:r>
        <w:rPr>
          <w:color w:val="000000"/>
          <w:spacing w:val="2"/>
        </w:rPr>
        <w:t xml:space="preserve"> 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6"/>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a</w:t>
      </w:r>
      <w:r>
        <w:rPr>
          <w:color w:val="000000"/>
          <w:spacing w:val="1"/>
        </w:rPr>
        <w:t>r</w:t>
      </w:r>
      <w:r>
        <w:rPr>
          <w:color w:val="000000"/>
        </w:rPr>
        <w:t>u</w:t>
      </w:r>
      <w:r>
        <w:rPr>
          <w:color w:val="000000"/>
          <w:spacing w:val="5"/>
        </w:rPr>
        <w:t>o</w:t>
      </w:r>
      <w:r>
        <w:rPr>
          <w:color w:val="000000"/>
          <w:spacing w:val="-2"/>
        </w:rPr>
        <w:t>s</w:t>
      </w:r>
      <w:r>
        <w:rPr>
          <w:color w:val="000000"/>
          <w:spacing w:val="-9"/>
        </w:rPr>
        <w:t>i</w:t>
      </w:r>
      <w:r>
        <w:rPr>
          <w:color w:val="000000"/>
          <w:spacing w:val="5"/>
        </w:rPr>
        <w:t>u</w:t>
      </w:r>
      <w:r>
        <w:rPr>
          <w:color w:val="000000"/>
        </w:rPr>
        <w:t>s p</w:t>
      </w:r>
      <w:r>
        <w:rPr>
          <w:color w:val="000000"/>
          <w:spacing w:val="5"/>
        </w:rPr>
        <w:t>o</w:t>
      </w:r>
      <w:r>
        <w:rPr>
          <w:color w:val="000000"/>
          <w:spacing w:val="1"/>
        </w:rPr>
        <w:t>r</w:t>
      </w:r>
      <w:r>
        <w:rPr>
          <w:color w:val="000000"/>
        </w:rPr>
        <w:t>a</w:t>
      </w:r>
      <w:r>
        <w:rPr>
          <w:color w:val="000000"/>
          <w:spacing w:val="6"/>
        </w:rPr>
        <w:t xml:space="preserve"> </w:t>
      </w:r>
      <w:r>
        <w:rPr>
          <w:color w:val="000000"/>
          <w:spacing w:val="-9"/>
        </w:rPr>
        <w:t>m</w:t>
      </w:r>
      <w:r>
        <w:rPr>
          <w:color w:val="000000"/>
          <w:spacing w:val="-1"/>
        </w:rPr>
        <w:t>e</w:t>
      </w:r>
      <w:r>
        <w:rPr>
          <w:color w:val="000000"/>
          <w:spacing w:val="5"/>
        </w:rPr>
        <w:t>t</w:t>
      </w:r>
      <w:r>
        <w:rPr>
          <w:color w:val="000000"/>
        </w:rPr>
        <w:t>ų</w:t>
      </w:r>
      <w:r>
        <w:rPr>
          <w:color w:val="000000"/>
          <w:spacing w:val="7"/>
        </w:rPr>
        <w:t xml:space="preserve"> </w:t>
      </w:r>
      <w:r>
        <w:rPr>
          <w:color w:val="000000"/>
          <w:spacing w:val="-3"/>
        </w:rPr>
        <w:t>f</w:t>
      </w:r>
      <w:r>
        <w:rPr>
          <w:color w:val="000000"/>
          <w:spacing w:val="-4"/>
        </w:rPr>
        <w:t>i</w:t>
      </w:r>
      <w:r>
        <w:rPr>
          <w:color w:val="000000"/>
        </w:rPr>
        <w:t>k</w:t>
      </w:r>
      <w:r>
        <w:rPr>
          <w:color w:val="000000"/>
          <w:spacing w:val="2"/>
        </w:rPr>
        <w:t>s</w:t>
      </w:r>
      <w:r>
        <w:rPr>
          <w:color w:val="000000"/>
        </w:rPr>
        <w:t>u</w:t>
      </w:r>
      <w:r>
        <w:rPr>
          <w:color w:val="000000"/>
          <w:spacing w:val="5"/>
        </w:rPr>
        <w:t>o</w:t>
      </w:r>
      <w:r>
        <w:rPr>
          <w:color w:val="000000"/>
          <w:spacing w:val="-9"/>
        </w:rPr>
        <w:t>j</w:t>
      </w:r>
      <w:r>
        <w:rPr>
          <w:color w:val="000000"/>
          <w:spacing w:val="4"/>
        </w:rPr>
        <w:t>a</w:t>
      </w:r>
      <w:r>
        <w:rPr>
          <w:color w:val="000000"/>
          <w:spacing w:val="-4"/>
        </w:rPr>
        <w:t>m</w:t>
      </w:r>
      <w:r>
        <w:rPr>
          <w:color w:val="000000"/>
        </w:rPr>
        <w:t>a</w:t>
      </w:r>
      <w:r>
        <w:rPr>
          <w:color w:val="000000"/>
          <w:spacing w:val="6"/>
        </w:rPr>
        <w:t xml:space="preserve"> </w:t>
      </w:r>
      <w:r>
        <w:rPr>
          <w:color w:val="000000"/>
        </w:rPr>
        <w:t>v</w:t>
      </w:r>
      <w:r>
        <w:rPr>
          <w:color w:val="000000"/>
          <w:spacing w:val="-4"/>
        </w:rPr>
        <w:t>i</w:t>
      </w:r>
      <w:r>
        <w:rPr>
          <w:color w:val="000000"/>
        </w:rPr>
        <w:t>s</w:t>
      </w:r>
      <w:r>
        <w:rPr>
          <w:color w:val="000000"/>
          <w:spacing w:val="9"/>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2"/>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spacing w:val="2"/>
        </w:rPr>
        <w:t>T</w:t>
      </w:r>
      <w:r>
        <w:rPr>
          <w:color w:val="000000"/>
          <w:spacing w:val="-1"/>
        </w:rPr>
        <w:t>a</w:t>
      </w:r>
      <w:r>
        <w:rPr>
          <w:color w:val="000000"/>
          <w:spacing w:val="4"/>
        </w:rPr>
        <w:t>č</w:t>
      </w:r>
      <w:r>
        <w:rPr>
          <w:color w:val="000000"/>
          <w:spacing w:val="-4"/>
        </w:rPr>
        <w:t>i</w:t>
      </w:r>
      <w:r>
        <w:rPr>
          <w:color w:val="000000"/>
          <w:spacing w:val="4"/>
        </w:rPr>
        <w:t>a</w:t>
      </w:r>
      <w:r>
        <w:rPr>
          <w:color w:val="000000"/>
        </w:rPr>
        <w:t>u d</w:t>
      </w:r>
      <w:r>
        <w:rPr>
          <w:color w:val="000000"/>
          <w:spacing w:val="4"/>
        </w:rPr>
        <w:t>a</w:t>
      </w:r>
      <w:r>
        <w:rPr>
          <w:color w:val="000000"/>
          <w:spacing w:val="-4"/>
        </w:rPr>
        <w:t>li</w:t>
      </w:r>
      <w:r>
        <w:rPr>
          <w:color w:val="000000"/>
        </w:rPr>
        <w:t>s</w:t>
      </w:r>
      <w:r>
        <w:rPr>
          <w:color w:val="000000"/>
          <w:spacing w:val="2"/>
        </w:rPr>
        <w:t xml:space="preserve"> </w:t>
      </w:r>
      <w:r>
        <w:rPr>
          <w:color w:val="000000"/>
          <w:spacing w:val="5"/>
        </w:rPr>
        <w:t>to</w:t>
      </w:r>
      <w:r>
        <w:rPr>
          <w:color w:val="000000"/>
        </w:rPr>
        <w:t>k</w:t>
      </w:r>
      <w:r>
        <w:rPr>
          <w:color w:val="000000"/>
          <w:spacing w:val="-9"/>
        </w:rPr>
        <w:t>i</w:t>
      </w:r>
      <w:r>
        <w:rPr>
          <w:color w:val="000000"/>
        </w:rPr>
        <w:t>ų</w:t>
      </w:r>
      <w:r>
        <w:rPr>
          <w:color w:val="000000"/>
          <w:spacing w:val="9"/>
        </w:rPr>
        <w:t xml:space="preserve"> </w:t>
      </w:r>
      <w:r>
        <w:rPr>
          <w:color w:val="000000"/>
          <w:spacing w:val="-9"/>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6"/>
        </w:rPr>
        <w:t xml:space="preserve"> </w:t>
      </w:r>
      <w:r>
        <w:rPr>
          <w:color w:val="000000"/>
        </w:rPr>
        <w:t>p</w:t>
      </w:r>
      <w:r>
        <w:rPr>
          <w:color w:val="000000"/>
          <w:spacing w:val="-5"/>
        </w:rPr>
        <w:t>v</w:t>
      </w:r>
      <w:r>
        <w:rPr>
          <w:color w:val="000000"/>
          <w:spacing w:val="-1"/>
        </w:rPr>
        <w:t>z</w:t>
      </w:r>
      <w:r>
        <w:rPr>
          <w:color w:val="000000"/>
          <w:spacing w:val="2"/>
        </w:rPr>
        <w:t>.</w:t>
      </w:r>
      <w:r>
        <w:rPr>
          <w:color w:val="000000"/>
        </w:rPr>
        <w:t>; k</w:t>
      </w:r>
      <w:r>
        <w:rPr>
          <w:color w:val="000000"/>
          <w:spacing w:val="4"/>
        </w:rPr>
        <w:t>a</w:t>
      </w:r>
      <w:r>
        <w:rPr>
          <w:color w:val="000000"/>
          <w:spacing w:val="-4"/>
        </w:rPr>
        <w:t>i</w:t>
      </w:r>
      <w:r>
        <w:rPr>
          <w:color w:val="000000"/>
        </w:rPr>
        <w:t>p</w:t>
      </w:r>
      <w:r>
        <w:rPr>
          <w:color w:val="000000"/>
          <w:spacing w:val="4"/>
        </w:rPr>
        <w:t xml:space="preserve"> </w:t>
      </w:r>
      <w:r>
        <w:rPr>
          <w:color w:val="000000"/>
          <w:spacing w:val="5"/>
        </w:rPr>
        <w:t>4</w:t>
      </w:r>
      <w:r>
        <w:rPr>
          <w:color w:val="000000"/>
          <w:spacing w:val="2"/>
        </w:rPr>
        <w:t>-</w:t>
      </w:r>
      <w:r>
        <w:rPr>
          <w:color w:val="000000"/>
          <w:spacing w:val="-2"/>
        </w:rPr>
        <w:t>M</w:t>
      </w:r>
      <w:r>
        <w:rPr>
          <w:color w:val="000000"/>
          <w:spacing w:val="2"/>
        </w:rPr>
        <w:t>E</w:t>
      </w:r>
      <w:r>
        <w:rPr>
          <w:color w:val="000000"/>
        </w:rPr>
        <w:t>C</w:t>
      </w:r>
      <w:r>
        <w:rPr>
          <w:color w:val="000000"/>
          <w:spacing w:val="2"/>
        </w:rPr>
        <w:t xml:space="preserve"> </w:t>
      </w:r>
      <w:r>
        <w:rPr>
          <w:color w:val="000000"/>
          <w:spacing w:val="-1"/>
        </w:rPr>
        <w:t>a</w:t>
      </w:r>
      <w:r>
        <w:rPr>
          <w:color w:val="000000"/>
        </w:rPr>
        <w:t>r</w:t>
      </w:r>
      <w:r>
        <w:rPr>
          <w:color w:val="000000"/>
          <w:spacing w:val="10"/>
        </w:rPr>
        <w:t xml:space="preserve"> </w:t>
      </w:r>
      <w:r>
        <w:rPr>
          <w:color w:val="000000"/>
          <w:spacing w:val="-4"/>
        </w:rPr>
        <w:t>į</w:t>
      </w:r>
      <w:r>
        <w:rPr>
          <w:color w:val="000000"/>
          <w:spacing w:val="-5"/>
        </w:rPr>
        <w:t>v</w:t>
      </w:r>
      <w:r>
        <w:rPr>
          <w:color w:val="000000"/>
          <w:spacing w:val="4"/>
        </w:rPr>
        <w:t>a</w:t>
      </w:r>
      <w:r>
        <w:rPr>
          <w:color w:val="000000"/>
          <w:spacing w:val="-9"/>
        </w:rPr>
        <w:t>i</w:t>
      </w:r>
      <w:r>
        <w:rPr>
          <w:color w:val="000000"/>
          <w:spacing w:val="1"/>
        </w:rPr>
        <w:t>r</w:t>
      </w:r>
      <w:r>
        <w:rPr>
          <w:color w:val="000000"/>
          <w:spacing w:val="5"/>
        </w:rPr>
        <w:t>ū</w:t>
      </w:r>
      <w:r>
        <w:rPr>
          <w:color w:val="000000"/>
        </w:rPr>
        <w:t>s</w:t>
      </w:r>
      <w:r>
        <w:rPr>
          <w:color w:val="000000"/>
          <w:spacing w:val="2"/>
        </w:rPr>
        <w:t xml:space="preserve"> J</w:t>
      </w:r>
      <w:r>
        <w:rPr>
          <w:color w:val="000000"/>
          <w:spacing w:val="-6"/>
        </w:rPr>
        <w:t>W</w:t>
      </w:r>
      <w:r>
        <w:rPr>
          <w:color w:val="000000"/>
        </w:rPr>
        <w:t>H</w:t>
      </w:r>
      <w:r>
        <w:rPr>
          <w:color w:val="000000"/>
          <w:spacing w:val="3"/>
        </w:rPr>
        <w:t xml:space="preserve"> </w:t>
      </w:r>
      <w:r>
        <w:rPr>
          <w:color w:val="000000"/>
        </w:rPr>
        <w:t>p</w:t>
      </w:r>
      <w:r>
        <w:rPr>
          <w:color w:val="000000"/>
          <w:spacing w:val="1"/>
        </w:rPr>
        <w:t>r</w:t>
      </w:r>
      <w:r>
        <w:rPr>
          <w:color w:val="000000"/>
          <w:spacing w:val="5"/>
        </w:rPr>
        <w:t>o</w:t>
      </w:r>
      <w:r>
        <w:rPr>
          <w:color w:val="000000"/>
        </w:rPr>
        <w:t>du</w:t>
      </w:r>
      <w:r>
        <w:rPr>
          <w:color w:val="000000"/>
          <w:spacing w:val="-5"/>
        </w:rPr>
        <w:t>k</w:t>
      </w:r>
      <w:r>
        <w:rPr>
          <w:color w:val="000000"/>
          <w:spacing w:val="5"/>
        </w:rPr>
        <w:t>t</w:t>
      </w:r>
      <w:r>
        <w:rPr>
          <w:color w:val="000000"/>
          <w:spacing w:val="-1"/>
        </w:rPr>
        <w:t>a</w:t>
      </w:r>
      <w:r>
        <w:rPr>
          <w:color w:val="000000"/>
          <w:spacing w:val="-9"/>
        </w:rPr>
        <w:t>i</w:t>
      </w:r>
      <w:r>
        <w:rPr>
          <w:color w:val="000000"/>
        </w:rPr>
        <w:t>,</w:t>
      </w:r>
      <w:r>
        <w:rPr>
          <w:color w:val="000000"/>
          <w:spacing w:val="11"/>
        </w:rPr>
        <w:t xml:space="preserve"> </w:t>
      </w:r>
      <w:r>
        <w:rPr>
          <w:color w:val="000000"/>
          <w:spacing w:val="-9"/>
        </w:rPr>
        <w:t>j</w:t>
      </w:r>
      <w:r>
        <w:rPr>
          <w:color w:val="000000"/>
          <w:spacing w:val="-1"/>
        </w:rPr>
        <w:t>a</w:t>
      </w:r>
      <w:r>
        <w:rPr>
          <w:color w:val="000000"/>
        </w:rPr>
        <w:t>u</w:t>
      </w:r>
      <w:r>
        <w:rPr>
          <w:color w:val="000000"/>
          <w:spacing w:val="4"/>
        </w:rPr>
        <w:t xml:space="preserve"> </w:t>
      </w:r>
      <w:r>
        <w:rPr>
          <w:color w:val="000000"/>
          <w:spacing w:val="-2"/>
        </w:rPr>
        <w:t>s</w:t>
      </w:r>
      <w:r>
        <w:rPr>
          <w:color w:val="000000"/>
        </w:rPr>
        <w:t>u</w:t>
      </w:r>
      <w:r>
        <w:rPr>
          <w:color w:val="000000"/>
          <w:spacing w:val="1"/>
        </w:rPr>
        <w:t>r</w:t>
      </w:r>
      <w:r>
        <w:rPr>
          <w:color w:val="000000"/>
          <w:spacing w:val="-1"/>
        </w:rPr>
        <w:t>a</w:t>
      </w:r>
      <w:r>
        <w:rPr>
          <w:color w:val="000000"/>
        </w:rPr>
        <w:t>do</w:t>
      </w:r>
      <w:r>
        <w:rPr>
          <w:color w:val="000000"/>
          <w:spacing w:val="9"/>
        </w:rPr>
        <w:t xml:space="preserve"> </w:t>
      </w:r>
      <w:r>
        <w:rPr>
          <w:color w:val="000000"/>
          <w:spacing w:val="-2"/>
        </w:rPr>
        <w:t>s</w:t>
      </w:r>
      <w:r>
        <w:rPr>
          <w:color w:val="000000"/>
          <w:spacing w:val="-1"/>
        </w:rPr>
        <w:t>a</w:t>
      </w:r>
      <w:r>
        <w:rPr>
          <w:color w:val="000000"/>
          <w:spacing w:val="-5"/>
        </w:rPr>
        <w:t>v</w:t>
      </w:r>
      <w:r>
        <w:rPr>
          <w:color w:val="000000"/>
        </w:rPr>
        <w:t>o</w:t>
      </w:r>
      <w:r>
        <w:rPr>
          <w:color w:val="000000"/>
          <w:spacing w:val="9"/>
        </w:rPr>
        <w:t xml:space="preserve"> </w:t>
      </w:r>
      <w:r>
        <w:rPr>
          <w:color w:val="000000"/>
        </w:rPr>
        <w:t>v</w:t>
      </w:r>
      <w:r>
        <w:rPr>
          <w:color w:val="000000"/>
          <w:spacing w:val="-4"/>
        </w:rPr>
        <w:t>i</w:t>
      </w:r>
      <w:r>
        <w:rPr>
          <w:color w:val="000000"/>
          <w:spacing w:val="-1"/>
        </w:rPr>
        <w:t>e</w:t>
      </w:r>
      <w:r>
        <w:rPr>
          <w:color w:val="000000"/>
          <w:spacing w:val="5"/>
        </w:rPr>
        <w:t>t</w:t>
      </w:r>
      <w:r>
        <w:rPr>
          <w:color w:val="000000"/>
        </w:rPr>
        <w:t>ą</w:t>
      </w:r>
      <w:r>
        <w:rPr>
          <w:color w:val="000000"/>
          <w:spacing w:val="3"/>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to</w:t>
      </w:r>
      <w:r>
        <w:rPr>
          <w:color w:val="000000"/>
          <w:spacing w:val="-4"/>
        </w:rPr>
        <w:t>j</w:t>
      </w:r>
      <w:r>
        <w:rPr>
          <w:color w:val="000000"/>
        </w:rPr>
        <w:t xml:space="preserve">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9"/>
        </w:rPr>
        <w:t>i</w:t>
      </w:r>
      <w:r>
        <w:rPr>
          <w:color w:val="000000"/>
        </w:rPr>
        <w:t>ų</w:t>
      </w:r>
      <w:r>
        <w:rPr>
          <w:color w:val="000000"/>
          <w:spacing w:val="7"/>
        </w:rPr>
        <w:t xml:space="preserve"> </w:t>
      </w:r>
      <w:r>
        <w:rPr>
          <w:color w:val="000000"/>
          <w:spacing w:val="-4"/>
        </w:rPr>
        <w:t>i</w:t>
      </w:r>
      <w:r>
        <w:rPr>
          <w:color w:val="000000"/>
        </w:rPr>
        <w:t>r</w:t>
      </w:r>
      <w:r>
        <w:rPr>
          <w:color w:val="000000"/>
          <w:spacing w:val="4"/>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rPr>
        <w:t>o</w:t>
      </w:r>
      <w:r>
        <w:rPr>
          <w:color w:val="000000"/>
          <w:spacing w:val="5"/>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7"/>
        </w:rPr>
        <w:t xml:space="preserve"> </w:t>
      </w:r>
      <w:r>
        <w:rPr>
          <w:color w:val="000000"/>
          <w:spacing w:val="-9"/>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9"/>
        </w:rPr>
        <w:t>j</w:t>
      </w:r>
      <w:r>
        <w:rPr>
          <w:color w:val="000000"/>
          <w:spacing w:val="-1"/>
        </w:rPr>
        <w:t>e</w:t>
      </w:r>
      <w:r>
        <w:rPr>
          <w:color w:val="000000"/>
        </w:rPr>
        <w:t>.</w:t>
      </w:r>
    </w:p>
    <w:p w:rsidR="004F7425" w:rsidRDefault="004F7425" w:rsidP="004F7425">
      <w:pPr>
        <w:widowControl w:val="0"/>
        <w:autoSpaceDE w:val="0"/>
        <w:autoSpaceDN w:val="0"/>
        <w:adjustRightInd w:val="0"/>
        <w:spacing w:before="2" w:line="275" w:lineRule="auto"/>
        <w:ind w:left="120" w:right="44" w:firstLine="721"/>
        <w:jc w:val="both"/>
        <w:rPr>
          <w:color w:val="000000"/>
        </w:rPr>
      </w:pPr>
      <w:r>
        <w:rPr>
          <w:color w:val="000000"/>
          <w:spacing w:val="-3"/>
        </w:rPr>
        <w:t>Ž</w:t>
      </w:r>
      <w:r>
        <w:rPr>
          <w:color w:val="000000"/>
          <w:spacing w:val="4"/>
        </w:rPr>
        <w:t>e</w:t>
      </w:r>
      <w:r>
        <w:rPr>
          <w:color w:val="000000"/>
          <w:spacing w:val="1"/>
        </w:rPr>
        <w:t>m</w:t>
      </w:r>
      <w:r>
        <w:rPr>
          <w:color w:val="000000"/>
          <w:spacing w:val="-4"/>
        </w:rPr>
        <w:t>i</w:t>
      </w:r>
      <w:r>
        <w:rPr>
          <w:color w:val="000000"/>
          <w:spacing w:val="-1"/>
        </w:rPr>
        <w:t>a</w:t>
      </w:r>
      <w:r>
        <w:rPr>
          <w:color w:val="000000"/>
        </w:rPr>
        <w:t>u</w:t>
      </w:r>
      <w:r>
        <w:rPr>
          <w:color w:val="000000"/>
          <w:spacing w:val="2"/>
        </w:rPr>
        <w:t xml:space="preserve"> </w:t>
      </w:r>
      <w:r>
        <w:rPr>
          <w:color w:val="000000"/>
          <w:spacing w:val="4"/>
        </w:rPr>
        <w:t>e</w:t>
      </w:r>
      <w:r>
        <w:rPr>
          <w:color w:val="000000"/>
          <w:spacing w:val="-2"/>
        </w:rPr>
        <w:t>s</w:t>
      </w:r>
      <w:r>
        <w:rPr>
          <w:color w:val="000000"/>
          <w:spacing w:val="4"/>
        </w:rPr>
        <w:t>a</w:t>
      </w:r>
      <w:r>
        <w:rPr>
          <w:color w:val="000000"/>
          <w:spacing w:val="-5"/>
        </w:rPr>
        <w:t>n</w:t>
      </w:r>
      <w:r>
        <w:rPr>
          <w:color w:val="000000"/>
          <w:spacing w:val="4"/>
        </w:rPr>
        <w:t>č</w:t>
      </w:r>
      <w:r>
        <w:rPr>
          <w:color w:val="000000"/>
          <w:spacing w:val="-9"/>
        </w:rPr>
        <w:t>i</w:t>
      </w:r>
      <w:r>
        <w:rPr>
          <w:color w:val="000000"/>
          <w:spacing w:val="9"/>
        </w:rPr>
        <w:t>o</w:t>
      </w:r>
      <w:r>
        <w:rPr>
          <w:color w:val="000000"/>
          <w:spacing w:val="-4"/>
        </w:rPr>
        <w:t>j</w:t>
      </w:r>
      <w:r>
        <w:rPr>
          <w:color w:val="000000"/>
        </w:rPr>
        <w:t>e</w:t>
      </w:r>
      <w:r>
        <w:rPr>
          <w:color w:val="000000"/>
          <w:spacing w:val="1"/>
        </w:rPr>
        <w:t xml:space="preserve"> </w:t>
      </w:r>
      <w:r>
        <w:rPr>
          <w:color w:val="000000"/>
          <w:spacing w:val="5"/>
        </w:rPr>
        <w:t>d</w:t>
      </w:r>
      <w:r>
        <w:rPr>
          <w:color w:val="000000"/>
          <w:spacing w:val="-4"/>
        </w:rPr>
        <w:t>i</w:t>
      </w:r>
      <w:r>
        <w:rPr>
          <w:color w:val="000000"/>
          <w:spacing w:val="-1"/>
        </w:rPr>
        <w:t>a</w:t>
      </w:r>
      <w:r>
        <w:rPr>
          <w:color w:val="000000"/>
        </w:rPr>
        <w:t>g</w:t>
      </w:r>
      <w:r>
        <w:rPr>
          <w:color w:val="000000"/>
          <w:spacing w:val="1"/>
        </w:rPr>
        <w:t>r</w:t>
      </w:r>
      <w:r>
        <w:rPr>
          <w:color w:val="000000"/>
          <w:spacing w:val="4"/>
        </w:rPr>
        <w:t>a</w:t>
      </w:r>
      <w:r>
        <w:rPr>
          <w:color w:val="000000"/>
          <w:spacing w:val="-9"/>
        </w:rPr>
        <w:t>m</w:t>
      </w:r>
      <w:r>
        <w:rPr>
          <w:color w:val="000000"/>
          <w:spacing w:val="9"/>
        </w:rPr>
        <w:t>o</w:t>
      </w:r>
      <w:r>
        <w:rPr>
          <w:color w:val="000000"/>
          <w:spacing w:val="-4"/>
        </w:rPr>
        <w:t>j</w:t>
      </w:r>
      <w:r>
        <w:rPr>
          <w:color w:val="000000"/>
        </w:rPr>
        <w:t>e</w:t>
      </w:r>
      <w:r>
        <w:rPr>
          <w:color w:val="000000"/>
          <w:spacing w:val="1"/>
        </w:rPr>
        <w:t xml:space="preserve"> </w:t>
      </w:r>
      <w:r>
        <w:rPr>
          <w:color w:val="000000"/>
          <w:spacing w:val="5"/>
        </w:rPr>
        <w:t>p</w:t>
      </w:r>
      <w:r>
        <w:rPr>
          <w:color w:val="000000"/>
          <w:spacing w:val="-1"/>
        </w:rPr>
        <w:t>a</w:t>
      </w:r>
      <w:r>
        <w:rPr>
          <w:color w:val="000000"/>
          <w:spacing w:val="5"/>
        </w:rPr>
        <w:t>t</w:t>
      </w:r>
      <w:r>
        <w:rPr>
          <w:color w:val="000000"/>
          <w:spacing w:val="4"/>
        </w:rPr>
        <w:t>e</w:t>
      </w:r>
      <w:r>
        <w:rPr>
          <w:color w:val="000000"/>
          <w:spacing w:val="-9"/>
        </w:rPr>
        <w:t>i</w:t>
      </w:r>
      <w:r>
        <w:rPr>
          <w:color w:val="000000"/>
        </w:rPr>
        <w:t>k</w:t>
      </w:r>
      <w:r>
        <w:rPr>
          <w:color w:val="000000"/>
          <w:spacing w:val="5"/>
        </w:rPr>
        <w:t>t</w:t>
      </w:r>
      <w:r>
        <w:rPr>
          <w:color w:val="000000"/>
        </w:rPr>
        <w:t>a</w:t>
      </w:r>
      <w:r>
        <w:rPr>
          <w:color w:val="000000"/>
          <w:spacing w:val="1"/>
        </w:rPr>
        <w:t xml:space="preserve"> </w:t>
      </w:r>
      <w:r>
        <w:rPr>
          <w:color w:val="000000"/>
        </w:rPr>
        <w:t>2012</w:t>
      </w:r>
      <w:r>
        <w:rPr>
          <w:color w:val="000000"/>
          <w:spacing w:val="7"/>
        </w:rPr>
        <w:t xml:space="preserve"> </w:t>
      </w:r>
      <w:r>
        <w:rPr>
          <w:color w:val="000000"/>
          <w:spacing w:val="-9"/>
        </w:rPr>
        <w:t>m</w:t>
      </w:r>
      <w:r>
        <w:rPr>
          <w:color w:val="000000"/>
        </w:rPr>
        <w:t>.</w:t>
      </w:r>
      <w:r>
        <w:rPr>
          <w:color w:val="000000"/>
          <w:spacing w:val="9"/>
        </w:rPr>
        <w:t xml:space="preserve"> </w:t>
      </w:r>
      <w:r>
        <w:rPr>
          <w:color w:val="000000"/>
          <w:spacing w:val="-4"/>
        </w:rPr>
        <w:t>i</w:t>
      </w:r>
      <w:r>
        <w:rPr>
          <w:color w:val="000000"/>
        </w:rPr>
        <w:t>š</w:t>
      </w:r>
      <w:r>
        <w:rPr>
          <w:color w:val="000000"/>
          <w:spacing w:val="9"/>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to</w:t>
      </w:r>
      <w:r>
        <w:rPr>
          <w:color w:val="000000"/>
        </w:rPr>
        <w:t xml:space="preserve">s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to</w:t>
      </w:r>
      <w:r>
        <w:rPr>
          <w:color w:val="000000"/>
        </w:rPr>
        <w:t>s</w:t>
      </w:r>
      <w:r>
        <w:rPr>
          <w:color w:val="000000"/>
          <w:spacing w:val="5"/>
        </w:rPr>
        <w:t xml:space="preserve"> </w:t>
      </w:r>
      <w:r>
        <w:rPr>
          <w:color w:val="000000"/>
          <w:spacing w:val="-9"/>
        </w:rPr>
        <w:t>i</w:t>
      </w:r>
      <w:r>
        <w:rPr>
          <w:color w:val="000000"/>
          <w:spacing w:val="2"/>
        </w:rPr>
        <w:t>š</w:t>
      </w:r>
      <w:r>
        <w:rPr>
          <w:color w:val="000000"/>
        </w:rPr>
        <w:t>i</w:t>
      </w:r>
      <w:r>
        <w:rPr>
          <w:color w:val="000000"/>
          <w:spacing w:val="-9"/>
        </w:rPr>
        <w:t>m</w:t>
      </w:r>
      <w:r>
        <w:rPr>
          <w:color w:val="000000"/>
          <w:spacing w:val="5"/>
        </w:rPr>
        <w:t>t</w:t>
      </w:r>
      <w:r>
        <w:rPr>
          <w:color w:val="000000"/>
        </w:rPr>
        <w:t>ų</w:t>
      </w:r>
      <w:r>
        <w:rPr>
          <w:color w:val="000000"/>
          <w:spacing w:val="7"/>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 d</w:t>
      </w:r>
      <w:r>
        <w:rPr>
          <w:color w:val="000000"/>
          <w:spacing w:val="-1"/>
        </w:rPr>
        <w:t>až</w:t>
      </w:r>
      <w:r>
        <w:rPr>
          <w:color w:val="000000"/>
          <w:spacing w:val="-5"/>
        </w:rPr>
        <w:t>n</w:t>
      </w:r>
      <w:r>
        <w:rPr>
          <w:color w:val="000000"/>
          <w:spacing w:val="5"/>
        </w:rPr>
        <w:t>u</w:t>
      </w:r>
      <w:r>
        <w:rPr>
          <w:color w:val="000000"/>
          <w:spacing w:val="-4"/>
        </w:rPr>
        <w:t>m</w:t>
      </w:r>
      <w:r>
        <w:rPr>
          <w:color w:val="000000"/>
          <w:spacing w:val="4"/>
        </w:rPr>
        <w:t>a</w:t>
      </w:r>
      <w:r>
        <w:rPr>
          <w:color w:val="000000"/>
          <w:spacing w:val="-2"/>
        </w:rPr>
        <w:t>s</w:t>
      </w:r>
      <w:r>
        <w:rPr>
          <w:color w:val="000000"/>
        </w:rPr>
        <w:t xml:space="preserve">, </w:t>
      </w:r>
      <w:r>
        <w:rPr>
          <w:color w:val="000000"/>
          <w:spacing w:val="45"/>
        </w:rPr>
        <w:t xml:space="preserve"> </w:t>
      </w:r>
      <w:r>
        <w:rPr>
          <w:color w:val="000000"/>
          <w:spacing w:val="5"/>
        </w:rPr>
        <w:t>t</w:t>
      </w:r>
      <w:r>
        <w:rPr>
          <w:color w:val="000000"/>
        </w:rPr>
        <w:t xml:space="preserve">. </w:t>
      </w:r>
      <w:r>
        <w:rPr>
          <w:color w:val="000000"/>
          <w:spacing w:val="45"/>
        </w:rPr>
        <w:t xml:space="preserve"> </w:t>
      </w:r>
      <w:r>
        <w:rPr>
          <w:color w:val="000000"/>
          <w:spacing w:val="-10"/>
        </w:rPr>
        <w:t>y</w:t>
      </w:r>
      <w:r>
        <w:rPr>
          <w:color w:val="000000"/>
        </w:rPr>
        <w:t xml:space="preserve">. </w:t>
      </w:r>
      <w:r>
        <w:rPr>
          <w:color w:val="000000"/>
          <w:spacing w:val="45"/>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 xml:space="preserve">ų </w:t>
      </w:r>
      <w:r>
        <w:rPr>
          <w:color w:val="000000"/>
          <w:spacing w:val="43"/>
        </w:rPr>
        <w:t xml:space="preserve"> </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spacing w:val="5"/>
        </w:rPr>
        <w:t>u</w:t>
      </w:r>
      <w:r>
        <w:rPr>
          <w:color w:val="000000"/>
          <w:spacing w:val="-2"/>
        </w:rPr>
        <w:t>s</w:t>
      </w:r>
      <w:r>
        <w:rPr>
          <w:color w:val="000000"/>
        </w:rPr>
        <w:t xml:space="preserve">. </w:t>
      </w:r>
      <w:r>
        <w:rPr>
          <w:color w:val="000000"/>
          <w:spacing w:val="45"/>
        </w:rPr>
        <w:t xml:space="preserve"> </w:t>
      </w:r>
      <w:r>
        <w:rPr>
          <w:color w:val="000000"/>
          <w:spacing w:val="2"/>
        </w:rPr>
        <w:t>M</w:t>
      </w:r>
      <w:r>
        <w:rPr>
          <w:color w:val="000000"/>
          <w:spacing w:val="-4"/>
        </w:rPr>
        <w:t>i</w:t>
      </w:r>
      <w:r>
        <w:rPr>
          <w:color w:val="000000"/>
        </w:rPr>
        <w:t>n</w:t>
      </w:r>
      <w:r>
        <w:rPr>
          <w:color w:val="000000"/>
          <w:spacing w:val="4"/>
        </w:rPr>
        <w:t>ė</w:t>
      </w:r>
      <w:r>
        <w:rPr>
          <w:color w:val="000000"/>
          <w:spacing w:val="-9"/>
        </w:rPr>
        <w:t>j</w:t>
      </w:r>
      <w:r>
        <w:rPr>
          <w:color w:val="000000"/>
          <w:spacing w:val="9"/>
        </w:rPr>
        <w:t>o</w:t>
      </w:r>
      <w:r>
        <w:rPr>
          <w:color w:val="000000"/>
          <w:spacing w:val="-4"/>
        </w:rPr>
        <w:t>m</w:t>
      </w:r>
      <w:r>
        <w:rPr>
          <w:color w:val="000000"/>
          <w:spacing w:val="-1"/>
        </w:rPr>
        <w:t>e</w:t>
      </w:r>
      <w:r>
        <w:rPr>
          <w:color w:val="000000"/>
        </w:rPr>
        <w:t xml:space="preserve">, </w:t>
      </w:r>
      <w:r>
        <w:rPr>
          <w:color w:val="000000"/>
          <w:spacing w:val="45"/>
        </w:rPr>
        <w:t xml:space="preserve"> </w:t>
      </w:r>
      <w:r>
        <w:rPr>
          <w:color w:val="000000"/>
        </w:rPr>
        <w:t>k</w:t>
      </w:r>
      <w:r>
        <w:rPr>
          <w:color w:val="000000"/>
          <w:spacing w:val="-1"/>
        </w:rPr>
        <w:t>a</w:t>
      </w:r>
      <w:r>
        <w:rPr>
          <w:color w:val="000000"/>
        </w:rPr>
        <w:t xml:space="preserve">d </w:t>
      </w:r>
      <w:r>
        <w:rPr>
          <w:color w:val="000000"/>
          <w:spacing w:val="43"/>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n</w:t>
      </w:r>
      <w:r>
        <w:rPr>
          <w:color w:val="000000"/>
          <w:spacing w:val="-4"/>
        </w:rPr>
        <w:t>i</w:t>
      </w:r>
      <w:r>
        <w:rPr>
          <w:color w:val="000000"/>
        </w:rPr>
        <w:t xml:space="preserve">ų </w:t>
      </w:r>
      <w:r>
        <w:rPr>
          <w:color w:val="000000"/>
          <w:spacing w:val="48"/>
        </w:rPr>
        <w:t xml:space="preserve"> </w:t>
      </w:r>
      <w:r>
        <w:rPr>
          <w:color w:val="000000"/>
          <w:spacing w:val="-4"/>
        </w:rPr>
        <w:t>i</w:t>
      </w:r>
      <w:r>
        <w:rPr>
          <w:color w:val="000000"/>
        </w:rPr>
        <w:t xml:space="preserve">r </w:t>
      </w:r>
      <w:r>
        <w:rPr>
          <w:color w:val="000000"/>
          <w:spacing w:val="44"/>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 xml:space="preserve">ų </w:t>
      </w:r>
      <w:r>
        <w:rPr>
          <w:color w:val="000000"/>
          <w:spacing w:val="48"/>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rPr>
        <w:t xml:space="preserve">ų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rPr>
        <w:t>y</w:t>
      </w:r>
      <w:r>
        <w:rPr>
          <w:color w:val="000000"/>
          <w:spacing w:val="-4"/>
        </w:rPr>
        <w:t>m</w:t>
      </w:r>
      <w:r>
        <w:rPr>
          <w:color w:val="000000"/>
        </w:rPr>
        <w:t>ų</w:t>
      </w:r>
      <w:r>
        <w:rPr>
          <w:color w:val="000000"/>
          <w:spacing w:val="7"/>
        </w:rPr>
        <w:t xml:space="preserve"> </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rPr>
        <w:t>us</w:t>
      </w:r>
      <w:r>
        <w:rPr>
          <w:color w:val="000000"/>
          <w:spacing w:val="9"/>
        </w:rPr>
        <w:t xml:space="preserve"> </w:t>
      </w:r>
      <w:r>
        <w:rPr>
          <w:color w:val="000000"/>
          <w:spacing w:val="-10"/>
        </w:rPr>
        <w:t>y</w:t>
      </w:r>
      <w:r>
        <w:rPr>
          <w:color w:val="000000"/>
          <w:spacing w:val="1"/>
        </w:rPr>
        <w:t>r</w:t>
      </w:r>
      <w:r>
        <w:rPr>
          <w:color w:val="000000"/>
        </w:rPr>
        <w:t>a</w:t>
      </w:r>
      <w:r>
        <w:rPr>
          <w:color w:val="000000"/>
          <w:spacing w:val="6"/>
        </w:rPr>
        <w:t xml:space="preserve"> </w:t>
      </w:r>
      <w:r>
        <w:rPr>
          <w:color w:val="000000"/>
        </w:rPr>
        <w:t>v</w:t>
      </w:r>
      <w:r>
        <w:rPr>
          <w:color w:val="000000"/>
          <w:spacing w:val="-4"/>
        </w:rPr>
        <w:t>i</w:t>
      </w:r>
      <w:r>
        <w:rPr>
          <w:color w:val="000000"/>
          <w:spacing w:val="4"/>
        </w:rPr>
        <w:t>e</w:t>
      </w:r>
      <w:r>
        <w:rPr>
          <w:color w:val="000000"/>
        </w:rPr>
        <w:t>n</w:t>
      </w:r>
      <w:r>
        <w:rPr>
          <w:color w:val="000000"/>
          <w:spacing w:val="-1"/>
        </w:rPr>
        <w:t>a</w:t>
      </w:r>
      <w:r>
        <w:rPr>
          <w:color w:val="000000"/>
        </w:rPr>
        <w:t>s</w:t>
      </w:r>
      <w:r>
        <w:rPr>
          <w:color w:val="000000"/>
          <w:spacing w:val="5"/>
        </w:rPr>
        <w:t xml:space="preserve"> </w:t>
      </w:r>
      <w:r>
        <w:rPr>
          <w:color w:val="000000"/>
          <w:spacing w:val="-4"/>
        </w:rPr>
        <w:t>i</w:t>
      </w:r>
      <w:r>
        <w:rPr>
          <w:color w:val="000000"/>
        </w:rPr>
        <w:t>š</w:t>
      </w:r>
      <w:r>
        <w:rPr>
          <w:color w:val="000000"/>
          <w:spacing w:val="9"/>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
        </w:rPr>
        <w:t xml:space="preserve"> </w:t>
      </w:r>
      <w:r>
        <w:rPr>
          <w:color w:val="000000"/>
          <w:spacing w:val="6"/>
        </w:rPr>
        <w:t>r</w:t>
      </w:r>
      <w:r>
        <w:rPr>
          <w:color w:val="000000"/>
          <w:spacing w:val="-4"/>
        </w:rPr>
        <w:t>i</w:t>
      </w:r>
      <w:r>
        <w:rPr>
          <w:color w:val="000000"/>
        </w:rPr>
        <w:t>n</w:t>
      </w:r>
      <w:r>
        <w:rPr>
          <w:color w:val="000000"/>
          <w:spacing w:val="5"/>
        </w:rPr>
        <w:t>ko</w:t>
      </w:r>
      <w:r>
        <w:rPr>
          <w:color w:val="000000"/>
        </w:rPr>
        <w:t xml:space="preserve">s </w:t>
      </w:r>
      <w:r>
        <w:rPr>
          <w:color w:val="000000"/>
          <w:spacing w:val="-4"/>
        </w:rPr>
        <w:t>i</w:t>
      </w:r>
      <w:r>
        <w:rPr>
          <w:color w:val="000000"/>
          <w:spacing w:val="-5"/>
        </w:rPr>
        <w:t>n</w:t>
      </w:r>
      <w:r>
        <w:rPr>
          <w:color w:val="000000"/>
          <w:spacing w:val="5"/>
        </w:rPr>
        <w:t>d</w:t>
      </w:r>
      <w:r>
        <w:rPr>
          <w:color w:val="000000"/>
          <w:spacing w:val="-4"/>
        </w:rPr>
        <w:t>i</w:t>
      </w:r>
      <w:r>
        <w:rPr>
          <w:color w:val="000000"/>
        </w:rPr>
        <w:t>k</w:t>
      </w:r>
      <w:r>
        <w:rPr>
          <w:color w:val="000000"/>
          <w:spacing w:val="-1"/>
        </w:rPr>
        <w:t>a</w:t>
      </w:r>
      <w:r>
        <w:rPr>
          <w:color w:val="000000"/>
          <w:spacing w:val="5"/>
        </w:rPr>
        <w:t>to</w:t>
      </w:r>
      <w:r>
        <w:rPr>
          <w:color w:val="000000"/>
          <w:spacing w:val="1"/>
        </w:rPr>
        <w:t>r</w:t>
      </w:r>
      <w:r>
        <w:rPr>
          <w:color w:val="000000"/>
          <w:spacing w:val="-9"/>
        </w:rPr>
        <w:t>i</w:t>
      </w:r>
      <w:r>
        <w:rPr>
          <w:color w:val="000000"/>
        </w:rPr>
        <w:t>ų,</w:t>
      </w:r>
      <w:r>
        <w:rPr>
          <w:color w:val="000000"/>
          <w:spacing w:val="4"/>
        </w:rPr>
        <w:t xml:space="preserve"> </w:t>
      </w:r>
      <w:r>
        <w:rPr>
          <w:color w:val="000000"/>
        </w:rPr>
        <w:t>o</w:t>
      </w:r>
      <w:r>
        <w:rPr>
          <w:color w:val="000000"/>
          <w:spacing w:val="7"/>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ų</w:t>
      </w:r>
      <w:r>
        <w:rPr>
          <w:color w:val="000000"/>
          <w:spacing w:val="2"/>
        </w:rPr>
        <w:t xml:space="preserve"> </w:t>
      </w:r>
      <w:r>
        <w:rPr>
          <w:color w:val="000000"/>
          <w:spacing w:val="-2"/>
        </w:rPr>
        <w:t>s</w:t>
      </w:r>
      <w:r>
        <w:rPr>
          <w:color w:val="000000"/>
          <w:spacing w:val="5"/>
        </w:rPr>
        <w:t>k</w:t>
      </w:r>
      <w:r>
        <w:rPr>
          <w:color w:val="000000"/>
          <w:spacing w:val="4"/>
        </w:rPr>
        <w:t>a</w:t>
      </w:r>
      <w:r>
        <w:rPr>
          <w:color w:val="000000"/>
          <w:spacing w:val="-4"/>
        </w:rPr>
        <w:t>i</w:t>
      </w:r>
      <w:r>
        <w:rPr>
          <w:color w:val="000000"/>
          <w:spacing w:val="4"/>
        </w:rPr>
        <w:t>č</w:t>
      </w:r>
      <w:r>
        <w:rPr>
          <w:color w:val="000000"/>
          <w:spacing w:val="-4"/>
        </w:rPr>
        <w:t>i</w:t>
      </w:r>
      <w:r>
        <w:rPr>
          <w:color w:val="000000"/>
        </w:rPr>
        <w:t>us</w:t>
      </w:r>
      <w:r>
        <w:rPr>
          <w:color w:val="000000"/>
          <w:spacing w:val="5"/>
        </w:rPr>
        <w:t xml:space="preserve"> </w:t>
      </w:r>
      <w:r>
        <w:rPr>
          <w:color w:val="000000"/>
          <w:spacing w:val="8"/>
        </w:rPr>
        <w:t>n</w:t>
      </w:r>
      <w:r>
        <w:rPr>
          <w:color w:val="000000"/>
          <w:spacing w:val="-1"/>
        </w:rPr>
        <w:t>e</w:t>
      </w:r>
      <w:r>
        <w:rPr>
          <w:color w:val="000000"/>
          <w:spacing w:val="5"/>
        </w:rPr>
        <w:t>d</w:t>
      </w:r>
      <w:r>
        <w:rPr>
          <w:color w:val="000000"/>
          <w:spacing w:val="-4"/>
        </w:rPr>
        <w:t>i</w:t>
      </w:r>
      <w:r>
        <w:rPr>
          <w:color w:val="000000"/>
        </w:rPr>
        <w:t>d</w:t>
      </w:r>
      <w:r>
        <w:rPr>
          <w:color w:val="000000"/>
          <w:spacing w:val="4"/>
        </w:rPr>
        <w:t>e</w:t>
      </w:r>
      <w:r>
        <w:rPr>
          <w:color w:val="000000"/>
        </w:rPr>
        <w:t>l</w:t>
      </w:r>
      <w:r>
        <w:rPr>
          <w:color w:val="000000"/>
          <w:spacing w:val="-4"/>
        </w:rPr>
        <w:t>i</w:t>
      </w:r>
      <w:r>
        <w:rPr>
          <w:color w:val="000000"/>
          <w:spacing w:val="4"/>
        </w:rPr>
        <w:t>a</w:t>
      </w:r>
      <w:r>
        <w:rPr>
          <w:color w:val="000000"/>
        </w:rPr>
        <w:t xml:space="preserve">is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spacing w:val="4"/>
        </w:rPr>
        <w:t>a</w:t>
      </w:r>
      <w:r>
        <w:rPr>
          <w:color w:val="000000"/>
          <w:spacing w:val="-4"/>
        </w:rPr>
        <w:t>i</w:t>
      </w:r>
      <w:r>
        <w:rPr>
          <w:color w:val="000000"/>
        </w:rPr>
        <w:t xml:space="preserve">s </w:t>
      </w:r>
      <w:r>
        <w:rPr>
          <w:color w:val="000000"/>
          <w:spacing w:val="1"/>
        </w:rPr>
        <w:t>(</w:t>
      </w:r>
      <w:r>
        <w:rPr>
          <w:color w:val="000000"/>
        </w:rPr>
        <w:t>d</w:t>
      </w:r>
      <w:r>
        <w:rPr>
          <w:color w:val="000000"/>
          <w:spacing w:val="5"/>
        </w:rPr>
        <w:t>o</w:t>
      </w:r>
      <w:r>
        <w:rPr>
          <w:color w:val="000000"/>
          <w:spacing w:val="-1"/>
        </w:rPr>
        <w:t>z</w:t>
      </w:r>
      <w:r>
        <w:rPr>
          <w:color w:val="000000"/>
          <w:spacing w:val="4"/>
        </w:rPr>
        <w:t>ė</w:t>
      </w:r>
      <w:r>
        <w:rPr>
          <w:color w:val="000000"/>
          <w:spacing w:val="-4"/>
        </w:rPr>
        <w:t>mi</w:t>
      </w:r>
      <w:r>
        <w:rPr>
          <w:color w:val="000000"/>
          <w:spacing w:val="-2"/>
        </w:rPr>
        <w:t>s</w:t>
      </w:r>
      <w:r>
        <w:rPr>
          <w:color w:val="000000"/>
        </w:rPr>
        <w:t>)</w:t>
      </w:r>
      <w:r>
        <w:rPr>
          <w:color w:val="000000"/>
          <w:spacing w:val="8"/>
        </w:rPr>
        <w:t xml:space="preserve"> </w:t>
      </w:r>
      <w:r>
        <w:rPr>
          <w:color w:val="000000"/>
          <w:spacing w:val="-4"/>
        </w:rPr>
        <w:t>i</w:t>
      </w:r>
      <w:r>
        <w:rPr>
          <w:color w:val="000000"/>
        </w:rPr>
        <w:t>š d</w:t>
      </w:r>
      <w:r>
        <w:rPr>
          <w:color w:val="000000"/>
          <w:spacing w:val="4"/>
        </w:rPr>
        <w:t>a</w:t>
      </w:r>
      <w:r>
        <w:rPr>
          <w:color w:val="000000"/>
          <w:spacing w:val="-4"/>
        </w:rPr>
        <w:t>li</w:t>
      </w:r>
      <w:r>
        <w:rPr>
          <w:color w:val="000000"/>
          <w:spacing w:val="4"/>
        </w:rPr>
        <w:t>e</w:t>
      </w:r>
      <w:r>
        <w:rPr>
          <w:color w:val="000000"/>
        </w:rPr>
        <w:t xml:space="preserve">s </w:t>
      </w:r>
      <w:r>
        <w:rPr>
          <w:color w:val="000000"/>
          <w:spacing w:val="1"/>
        </w:rPr>
        <w:t>r</w:t>
      </w:r>
      <w:r>
        <w:rPr>
          <w:color w:val="000000"/>
          <w:spacing w:val="5"/>
        </w:rPr>
        <w:t>o</w:t>
      </w:r>
      <w:r>
        <w:rPr>
          <w:color w:val="000000"/>
          <w:spacing w:val="-5"/>
        </w:rPr>
        <w:t>d</w:t>
      </w:r>
      <w:r>
        <w:rPr>
          <w:color w:val="000000"/>
        </w:rPr>
        <w:t>o</w:t>
      </w:r>
      <w:r>
        <w:rPr>
          <w:color w:val="000000"/>
          <w:spacing w:val="2"/>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rPr>
        <w:t>n</w:t>
      </w:r>
      <w:r>
        <w:rPr>
          <w:color w:val="000000"/>
          <w:spacing w:val="-4"/>
        </w:rPr>
        <w:t>i</w:t>
      </w:r>
      <w:r>
        <w:rPr>
          <w:color w:val="000000"/>
        </w:rPr>
        <w:t>ų</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gų</w:t>
      </w:r>
      <w:r>
        <w:rPr>
          <w:color w:val="000000"/>
          <w:spacing w:val="2"/>
        </w:rPr>
        <w:t xml:space="preserve"> </w:t>
      </w:r>
      <w:r>
        <w:rPr>
          <w:color w:val="000000"/>
          <w:spacing w:val="-5"/>
        </w:rPr>
        <w:t>p</w:t>
      </w:r>
      <w:r>
        <w:rPr>
          <w:color w:val="000000"/>
          <w:spacing w:val="5"/>
        </w:rPr>
        <w:t>o</w:t>
      </w:r>
      <w:r>
        <w:rPr>
          <w:color w:val="000000"/>
        </w:rPr>
        <w:t>pu</w:t>
      </w:r>
      <w:r>
        <w:rPr>
          <w:color w:val="000000"/>
          <w:spacing w:val="-4"/>
        </w:rPr>
        <w:t>li</w:t>
      </w:r>
      <w:r>
        <w:rPr>
          <w:color w:val="000000"/>
          <w:spacing w:val="-1"/>
        </w:rPr>
        <w:t>a</w:t>
      </w:r>
      <w:r>
        <w:rPr>
          <w:color w:val="000000"/>
          <w:spacing w:val="1"/>
        </w:rPr>
        <w:t>r</w:t>
      </w:r>
      <w:r>
        <w:rPr>
          <w:color w:val="000000"/>
          <w:spacing w:val="5"/>
        </w:rPr>
        <w:t>u</w:t>
      </w:r>
      <w:r>
        <w:rPr>
          <w:color w:val="000000"/>
          <w:spacing w:val="-4"/>
        </w:rPr>
        <w:t>m</w:t>
      </w:r>
      <w:r>
        <w:rPr>
          <w:color w:val="000000"/>
        </w:rPr>
        <w:t>ą</w:t>
      </w:r>
      <w:r>
        <w:rPr>
          <w:color w:val="000000"/>
          <w:spacing w:val="1"/>
        </w:rPr>
        <w:t xml:space="preserve"> </w:t>
      </w:r>
      <w:r>
        <w:rPr>
          <w:color w:val="000000"/>
          <w:spacing w:val="5"/>
        </w:rPr>
        <w:t>t</w:t>
      </w:r>
      <w:r>
        <w:rPr>
          <w:color w:val="000000"/>
          <w:spacing w:val="-1"/>
        </w:rPr>
        <w:t>a</w:t>
      </w:r>
      <w:r>
        <w:rPr>
          <w:color w:val="000000"/>
          <w:spacing w:val="1"/>
        </w:rPr>
        <w:t>r</w:t>
      </w:r>
      <w:r>
        <w:rPr>
          <w:color w:val="000000"/>
        </w:rPr>
        <w:t>p</w:t>
      </w:r>
      <w:r>
        <w:rPr>
          <w:color w:val="000000"/>
          <w:spacing w:val="2"/>
        </w:rPr>
        <w:t xml:space="preserve"> </w:t>
      </w:r>
      <w:r>
        <w:rPr>
          <w:color w:val="000000"/>
          <w:spacing w:val="-5"/>
        </w:rPr>
        <w:t>v</w:t>
      </w:r>
      <w:r>
        <w:rPr>
          <w:color w:val="000000"/>
          <w:spacing w:val="-1"/>
        </w:rPr>
        <w:t>a</w:t>
      </w:r>
      <w:r>
        <w:rPr>
          <w:color w:val="000000"/>
          <w:spacing w:val="1"/>
        </w:rPr>
        <w:t>r</w:t>
      </w:r>
      <w:r>
        <w:rPr>
          <w:color w:val="000000"/>
        </w:rPr>
        <w:t>to</w:t>
      </w:r>
      <w:r>
        <w:rPr>
          <w:color w:val="000000"/>
          <w:spacing w:val="1"/>
        </w:rPr>
        <w:t>t</w:t>
      </w:r>
      <w:r>
        <w:rPr>
          <w:color w:val="000000"/>
          <w:spacing w:val="5"/>
        </w:rPr>
        <w:t>o</w:t>
      </w:r>
      <w:r>
        <w:rPr>
          <w:color w:val="000000"/>
          <w:spacing w:val="-9"/>
        </w:rPr>
        <w:t>j</w:t>
      </w:r>
      <w:r>
        <w:rPr>
          <w:color w:val="000000"/>
        </w:rPr>
        <w:t>ų.</w:t>
      </w:r>
    </w:p>
    <w:p w:rsidR="004F7425" w:rsidRDefault="004F7425" w:rsidP="004F7425">
      <w:pPr>
        <w:widowControl w:val="0"/>
        <w:autoSpaceDE w:val="0"/>
        <w:autoSpaceDN w:val="0"/>
        <w:adjustRightInd w:val="0"/>
        <w:spacing w:before="6" w:line="275" w:lineRule="auto"/>
        <w:ind w:left="120" w:right="5426" w:firstLine="721"/>
        <w:rPr>
          <w:color w:val="000000"/>
        </w:rPr>
      </w:pPr>
      <w:r>
        <w:rPr>
          <w:noProof/>
          <w:lang w:eastAsia="lt-LT"/>
        </w:rPr>
        <mc:AlternateContent>
          <mc:Choice Requires="wps">
            <w:drawing>
              <wp:anchor distT="0" distB="0" distL="114300" distR="114300" simplePos="0" relativeHeight="251743232" behindDoc="1" locked="0" layoutInCell="0" allowOverlap="1">
                <wp:simplePos x="0" y="0"/>
                <wp:positionH relativeFrom="page">
                  <wp:posOffset>3898900</wp:posOffset>
                </wp:positionH>
                <wp:positionV relativeFrom="paragraph">
                  <wp:posOffset>153035</wp:posOffset>
                </wp:positionV>
                <wp:extent cx="3289300" cy="2032000"/>
                <wp:effectExtent l="0" t="0" r="6350" b="6350"/>
                <wp:wrapNone/>
                <wp:docPr id="255" name="Stačiakampis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0" cy="203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3200" w:lineRule="atLeast"/>
                            </w:pPr>
                            <w:r>
                              <w:rPr>
                                <w:noProof/>
                                <w:lang w:eastAsia="lt-LT"/>
                              </w:rPr>
                              <w:drawing>
                                <wp:inline distT="0" distB="0" distL="0" distR="0" wp14:anchorId="27C139C4" wp14:editId="3AD1E6A0">
                                  <wp:extent cx="3267075" cy="2009775"/>
                                  <wp:effectExtent l="0" t="0" r="9525" b="9525"/>
                                  <wp:docPr id="254" name="Paveikslėlis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267075" cy="200977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55" o:spid="_x0000_s1051" style="position:absolute;left:0;text-align:left;margin-left:307pt;margin-top:12.05pt;width:259pt;height:160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" o:allowincell="f" filled="f" stroked="f">
                <v:textbox inset="0,0,0,0">
                  <w:txbxContent>
                    <w:p w:rsidR="004F7425" w:rsidRDefault="004F7425" w:rsidP="004F7425">
                      <w:pPr>
                        <w:spacing w:line="3200" w:lineRule="atLeast"/>
                      </w:pPr>
                      <w:r>
                        <w:rPr>
                          <w:noProof/>
                          <w:lang w:eastAsia="lt-LT"/>
                        </w:rPr>
                        <w:drawing>
                          <wp:inline distT="0" distB="0" distL="0" distR="0" wp14:anchorId="27C139C4" wp14:editId="3AD1E6A0">
                            <wp:extent cx="3267075" cy="2009775"/>
                            <wp:effectExtent l="0" t="0" r="9525" b="9525"/>
                            <wp:docPr id="254" name="Paveikslėlis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267075" cy="200977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14"/>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to</w:t>
      </w:r>
      <w:r>
        <w:rPr>
          <w:color w:val="000000"/>
        </w:rPr>
        <w:t>s</w:t>
      </w:r>
      <w:r>
        <w:rPr>
          <w:color w:val="000000"/>
          <w:spacing w:val="14"/>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17"/>
        </w:rPr>
        <w:t xml:space="preserve"> </w:t>
      </w:r>
      <w:r>
        <w:rPr>
          <w:color w:val="000000"/>
          <w:spacing w:val="6"/>
        </w:rPr>
        <w:t>r</w:t>
      </w:r>
      <w:r>
        <w:rPr>
          <w:color w:val="000000"/>
          <w:spacing w:val="-4"/>
        </w:rPr>
        <w:t>i</w:t>
      </w:r>
      <w:r>
        <w:rPr>
          <w:color w:val="000000"/>
        </w:rPr>
        <w:t>nk</w:t>
      </w:r>
      <w:r>
        <w:rPr>
          <w:color w:val="000000"/>
          <w:spacing w:val="5"/>
        </w:rPr>
        <w:t>o</w:t>
      </w:r>
      <w:r>
        <w:rPr>
          <w:color w:val="000000"/>
        </w:rPr>
        <w:t>s p</w:t>
      </w:r>
      <w:r>
        <w:rPr>
          <w:color w:val="000000"/>
          <w:spacing w:val="5"/>
        </w:rPr>
        <w:t>o</w:t>
      </w:r>
      <w:r>
        <w:rPr>
          <w:color w:val="000000"/>
          <w:spacing w:val="-1"/>
        </w:rPr>
        <w:t>ž</w:t>
      </w:r>
      <w:r>
        <w:rPr>
          <w:color w:val="000000"/>
          <w:spacing w:val="-5"/>
        </w:rPr>
        <w:t>y</w:t>
      </w:r>
      <w:r>
        <w:rPr>
          <w:color w:val="000000"/>
        </w:rPr>
        <w:t>m</w:t>
      </w:r>
      <w:r>
        <w:rPr>
          <w:color w:val="000000"/>
          <w:spacing w:val="-4"/>
        </w:rPr>
        <w:t>i</w:t>
      </w:r>
      <w:r>
        <w:rPr>
          <w:color w:val="000000"/>
          <w:spacing w:val="4"/>
        </w:rPr>
        <w:t>a</w:t>
      </w:r>
      <w:r>
        <w:rPr>
          <w:color w:val="000000"/>
          <w:spacing w:val="-4"/>
        </w:rPr>
        <w:t>i</w:t>
      </w:r>
      <w:r>
        <w:rPr>
          <w:color w:val="000000"/>
        </w:rPr>
        <w:t>:</w:t>
      </w:r>
    </w:p>
    <w:p w:rsidR="004F7425" w:rsidRDefault="004F7425" w:rsidP="004F7425">
      <w:pPr>
        <w:widowControl w:val="0"/>
        <w:autoSpaceDE w:val="0"/>
        <w:autoSpaceDN w:val="0"/>
        <w:adjustRightInd w:val="0"/>
        <w:spacing w:before="2"/>
        <w:ind w:left="120" w:right="5899"/>
        <w:jc w:val="both"/>
        <w:rPr>
          <w:color w:val="000000"/>
        </w:rPr>
      </w:pPr>
      <w:r>
        <w:rPr>
          <w:rFonts w:ascii="Wingdings" w:hAnsi="Wingdings" w:cs="Wingdings"/>
          <w:color w:val="000000"/>
        </w:rPr>
        <w:t></w:t>
      </w:r>
      <w:r>
        <w:rPr>
          <w:color w:val="000000"/>
        </w:rPr>
        <w:t xml:space="preserve">  </w:t>
      </w:r>
      <w:r>
        <w:rPr>
          <w:color w:val="000000"/>
          <w:spacing w:val="59"/>
        </w:rPr>
        <w:t xml:space="preserve"> </w:t>
      </w:r>
      <w:r>
        <w:rPr>
          <w:i/>
          <w:iCs/>
          <w:color w:val="000000"/>
        </w:rPr>
        <w:t>pla</w:t>
      </w:r>
      <w:r>
        <w:rPr>
          <w:i/>
          <w:iCs/>
          <w:color w:val="000000"/>
          <w:spacing w:val="1"/>
        </w:rPr>
        <w:t>t</w:t>
      </w:r>
      <w:r>
        <w:rPr>
          <w:i/>
          <w:iCs/>
          <w:color w:val="000000"/>
        </w:rPr>
        <w:t>us na</w:t>
      </w:r>
      <w:r>
        <w:rPr>
          <w:i/>
          <w:iCs/>
          <w:color w:val="000000"/>
          <w:spacing w:val="-2"/>
        </w:rPr>
        <w:t>r</w:t>
      </w:r>
      <w:r>
        <w:rPr>
          <w:i/>
          <w:iCs/>
          <w:color w:val="000000"/>
          <w:spacing w:val="-1"/>
        </w:rPr>
        <w:t>k</w:t>
      </w:r>
      <w:r>
        <w:rPr>
          <w:i/>
          <w:iCs/>
          <w:color w:val="000000"/>
        </w:rPr>
        <w:t>ot</w:t>
      </w:r>
      <w:r>
        <w:rPr>
          <w:i/>
          <w:iCs/>
          <w:color w:val="000000"/>
          <w:spacing w:val="1"/>
        </w:rPr>
        <w:t>i</w:t>
      </w:r>
      <w:r>
        <w:rPr>
          <w:i/>
          <w:iCs/>
          <w:color w:val="000000"/>
          <w:spacing w:val="-1"/>
        </w:rPr>
        <w:t>k</w:t>
      </w:r>
      <w:r>
        <w:rPr>
          <w:i/>
          <w:iCs/>
          <w:color w:val="000000"/>
        </w:rPr>
        <w:t>ų</w:t>
      </w:r>
      <w:r>
        <w:rPr>
          <w:i/>
          <w:iCs/>
          <w:color w:val="000000"/>
          <w:spacing w:val="2"/>
        </w:rPr>
        <w:t xml:space="preserve"> </w:t>
      </w:r>
      <w:r>
        <w:rPr>
          <w:i/>
          <w:iCs/>
          <w:color w:val="000000"/>
        </w:rPr>
        <w:t>pa</w:t>
      </w:r>
      <w:r>
        <w:rPr>
          <w:i/>
          <w:iCs/>
          <w:color w:val="000000"/>
          <w:spacing w:val="-2"/>
        </w:rPr>
        <w:t>s</w:t>
      </w:r>
      <w:r>
        <w:rPr>
          <w:i/>
          <w:iCs/>
          <w:color w:val="000000"/>
        </w:rPr>
        <w:t>iū</w:t>
      </w:r>
      <w:r>
        <w:rPr>
          <w:i/>
          <w:iCs/>
          <w:color w:val="000000"/>
          <w:spacing w:val="1"/>
        </w:rPr>
        <w:t>l</w:t>
      </w:r>
      <w:r>
        <w:rPr>
          <w:i/>
          <w:iCs/>
          <w:color w:val="000000"/>
        </w:rPr>
        <w:t xml:space="preserve">os </w:t>
      </w:r>
      <w:r>
        <w:rPr>
          <w:i/>
          <w:iCs/>
          <w:color w:val="000000"/>
          <w:spacing w:val="-2"/>
        </w:rPr>
        <w:t>s</w:t>
      </w:r>
      <w:r>
        <w:rPr>
          <w:i/>
          <w:iCs/>
          <w:color w:val="000000"/>
        </w:rPr>
        <w:t>p</w:t>
      </w:r>
      <w:r>
        <w:rPr>
          <w:i/>
          <w:iCs/>
          <w:color w:val="000000"/>
          <w:spacing w:val="-1"/>
        </w:rPr>
        <w:t>ek</w:t>
      </w:r>
      <w:r>
        <w:rPr>
          <w:i/>
          <w:iCs/>
          <w:color w:val="000000"/>
        </w:rPr>
        <w:t>t</w:t>
      </w:r>
      <w:r>
        <w:rPr>
          <w:i/>
          <w:iCs/>
          <w:color w:val="000000"/>
          <w:spacing w:val="-2"/>
        </w:rPr>
        <w:t>r</w:t>
      </w:r>
      <w:r>
        <w:rPr>
          <w:i/>
          <w:iCs/>
          <w:color w:val="000000"/>
          <w:spacing w:val="5"/>
        </w:rPr>
        <w:t>a</w:t>
      </w:r>
      <w:r>
        <w:rPr>
          <w:i/>
          <w:iCs/>
          <w:color w:val="000000"/>
          <w:spacing w:val="-2"/>
        </w:rPr>
        <w:t>s</w:t>
      </w:r>
      <w:r>
        <w:rPr>
          <w:i/>
          <w:iCs/>
          <w:color w:val="000000"/>
        </w:rPr>
        <w:t>;</w:t>
      </w:r>
    </w:p>
    <w:p w:rsidR="004F7425" w:rsidRDefault="004F7425" w:rsidP="004F7425">
      <w:pPr>
        <w:widowControl w:val="0"/>
        <w:tabs>
          <w:tab w:val="left" w:pos="540"/>
          <w:tab w:val="left" w:pos="1260"/>
        </w:tabs>
        <w:autoSpaceDE w:val="0"/>
        <w:autoSpaceDN w:val="0"/>
        <w:adjustRightInd w:val="0"/>
        <w:spacing w:before="41" w:line="275" w:lineRule="auto"/>
        <w:ind w:left="547" w:right="5422" w:hanging="428"/>
        <w:jc w:val="both"/>
        <w:rPr>
          <w:color w:val="000000"/>
        </w:rPr>
      </w:pPr>
      <w:r>
        <w:rPr>
          <w:rFonts w:ascii="Wingdings" w:hAnsi="Wingdings" w:cs="Wingdings"/>
          <w:color w:val="000000"/>
        </w:rPr>
        <w:t></w:t>
      </w:r>
      <w:r>
        <w:rPr>
          <w:color w:val="000000"/>
        </w:rPr>
        <w:tab/>
      </w:r>
      <w:r>
        <w:rPr>
          <w:i/>
          <w:iCs/>
          <w:color w:val="000000"/>
        </w:rPr>
        <w:t>ta</w:t>
      </w:r>
      <w:r>
        <w:rPr>
          <w:i/>
          <w:iCs/>
          <w:color w:val="000000"/>
          <w:spacing w:val="-2"/>
        </w:rPr>
        <w:t>r</w:t>
      </w:r>
      <w:r>
        <w:rPr>
          <w:i/>
          <w:iCs/>
          <w:color w:val="000000"/>
        </w:rPr>
        <w:t>p</w:t>
      </w:r>
      <w:r>
        <w:rPr>
          <w:i/>
          <w:iCs/>
          <w:color w:val="000000"/>
          <w:spacing w:val="26"/>
        </w:rPr>
        <w:t xml:space="preserve"> </w:t>
      </w:r>
      <w:r>
        <w:rPr>
          <w:i/>
          <w:iCs/>
          <w:color w:val="000000"/>
          <w:spacing w:val="-1"/>
        </w:rPr>
        <w:t>v</w:t>
      </w:r>
      <w:r>
        <w:rPr>
          <w:i/>
          <w:iCs/>
          <w:color w:val="000000"/>
        </w:rPr>
        <w:t>a</w:t>
      </w:r>
      <w:r>
        <w:rPr>
          <w:i/>
          <w:iCs/>
          <w:color w:val="000000"/>
          <w:spacing w:val="-2"/>
        </w:rPr>
        <w:t>r</w:t>
      </w:r>
      <w:r>
        <w:rPr>
          <w:i/>
          <w:iCs/>
          <w:color w:val="000000"/>
        </w:rPr>
        <w:t>to</w:t>
      </w:r>
      <w:r>
        <w:rPr>
          <w:i/>
          <w:iCs/>
          <w:color w:val="000000"/>
          <w:spacing w:val="1"/>
        </w:rPr>
        <w:t>t</w:t>
      </w:r>
      <w:r>
        <w:rPr>
          <w:i/>
          <w:iCs/>
          <w:color w:val="000000"/>
        </w:rPr>
        <w:t>ojų</w:t>
      </w:r>
      <w:r>
        <w:rPr>
          <w:i/>
          <w:iCs/>
          <w:color w:val="000000"/>
          <w:spacing w:val="27"/>
        </w:rPr>
        <w:t xml:space="preserve"> </w:t>
      </w:r>
      <w:r>
        <w:rPr>
          <w:i/>
          <w:iCs/>
          <w:color w:val="000000"/>
        </w:rPr>
        <w:t>popul</w:t>
      </w:r>
      <w:r>
        <w:rPr>
          <w:i/>
          <w:iCs/>
          <w:color w:val="000000"/>
          <w:spacing w:val="1"/>
        </w:rPr>
        <w:t>i</w:t>
      </w:r>
      <w:r>
        <w:rPr>
          <w:i/>
          <w:iCs/>
          <w:color w:val="000000"/>
        </w:rPr>
        <w:t>a</w:t>
      </w:r>
      <w:r>
        <w:rPr>
          <w:i/>
          <w:iCs/>
          <w:color w:val="000000"/>
          <w:spacing w:val="-2"/>
        </w:rPr>
        <w:t>r</w:t>
      </w:r>
      <w:r>
        <w:rPr>
          <w:i/>
          <w:iCs/>
          <w:color w:val="000000"/>
        </w:rPr>
        <w:t>iau</w:t>
      </w:r>
      <w:r>
        <w:rPr>
          <w:i/>
          <w:iCs/>
          <w:color w:val="000000"/>
          <w:spacing w:val="-2"/>
        </w:rPr>
        <w:t>s</w:t>
      </w:r>
      <w:r>
        <w:rPr>
          <w:i/>
          <w:iCs/>
          <w:color w:val="000000"/>
        </w:rPr>
        <w:t>i</w:t>
      </w:r>
      <w:r>
        <w:rPr>
          <w:i/>
          <w:iCs/>
          <w:color w:val="000000"/>
          <w:spacing w:val="5"/>
        </w:rPr>
        <w:t>o</w:t>
      </w:r>
      <w:r>
        <w:rPr>
          <w:i/>
          <w:iCs/>
          <w:color w:val="000000"/>
        </w:rPr>
        <w:t>s</w:t>
      </w:r>
      <w:r>
        <w:rPr>
          <w:i/>
          <w:iCs/>
          <w:color w:val="000000"/>
          <w:spacing w:val="24"/>
        </w:rPr>
        <w:t xml:space="preserve"> </w:t>
      </w:r>
      <w:r>
        <w:rPr>
          <w:i/>
          <w:iCs/>
          <w:color w:val="000000"/>
          <w:spacing w:val="-1"/>
        </w:rPr>
        <w:t>k</w:t>
      </w:r>
      <w:r>
        <w:rPr>
          <w:i/>
          <w:iCs/>
          <w:color w:val="000000"/>
        </w:rPr>
        <w:t>anap</w:t>
      </w:r>
      <w:r>
        <w:rPr>
          <w:i/>
          <w:iCs/>
          <w:color w:val="000000"/>
          <w:spacing w:val="-1"/>
        </w:rPr>
        <w:t>ė</w:t>
      </w:r>
      <w:r>
        <w:rPr>
          <w:i/>
          <w:iCs/>
          <w:color w:val="000000"/>
        </w:rPr>
        <w:t>s ir</w:t>
      </w:r>
      <w:r>
        <w:rPr>
          <w:i/>
          <w:iCs/>
          <w:color w:val="000000"/>
        </w:rPr>
        <w:tab/>
      </w:r>
      <w:r>
        <w:rPr>
          <w:i/>
          <w:iCs/>
          <w:color w:val="000000"/>
          <w:spacing w:val="2"/>
        </w:rPr>
        <w:t>A</w:t>
      </w:r>
      <w:r>
        <w:rPr>
          <w:i/>
          <w:iCs/>
          <w:color w:val="000000"/>
          <w:spacing w:val="1"/>
        </w:rPr>
        <w:t>T</w:t>
      </w:r>
      <w:r>
        <w:rPr>
          <w:i/>
          <w:iCs/>
          <w:color w:val="000000"/>
        </w:rPr>
        <w:t xml:space="preserve">S        </w:t>
      </w:r>
      <w:r>
        <w:rPr>
          <w:i/>
          <w:iCs/>
          <w:color w:val="000000"/>
          <w:spacing w:val="21"/>
        </w:rPr>
        <w:t xml:space="preserve"> </w:t>
      </w:r>
      <w:r>
        <w:rPr>
          <w:i/>
          <w:iCs/>
          <w:color w:val="000000"/>
          <w:spacing w:val="-3"/>
        </w:rPr>
        <w:t>(</w:t>
      </w:r>
      <w:r>
        <w:rPr>
          <w:i/>
          <w:iCs/>
          <w:color w:val="000000"/>
        </w:rPr>
        <w:t>am</w:t>
      </w:r>
      <w:r>
        <w:rPr>
          <w:i/>
          <w:iCs/>
          <w:color w:val="000000"/>
          <w:spacing w:val="5"/>
        </w:rPr>
        <w:t>f</w:t>
      </w:r>
      <w:r>
        <w:rPr>
          <w:i/>
          <w:iCs/>
          <w:color w:val="000000"/>
          <w:spacing w:val="-1"/>
        </w:rPr>
        <w:t>e</w:t>
      </w:r>
      <w:r>
        <w:rPr>
          <w:i/>
          <w:iCs/>
          <w:color w:val="000000"/>
        </w:rPr>
        <w:t xml:space="preserve">tamino        </w:t>
      </w:r>
      <w:r>
        <w:rPr>
          <w:i/>
          <w:iCs/>
          <w:color w:val="000000"/>
          <w:spacing w:val="22"/>
        </w:rPr>
        <w:t xml:space="preserve"> </w:t>
      </w:r>
      <w:r>
        <w:rPr>
          <w:i/>
          <w:iCs/>
          <w:color w:val="000000"/>
        </w:rPr>
        <w:t>t</w:t>
      </w:r>
      <w:r>
        <w:rPr>
          <w:i/>
          <w:iCs/>
          <w:color w:val="000000"/>
          <w:spacing w:val="1"/>
        </w:rPr>
        <w:t>i</w:t>
      </w:r>
      <w:r>
        <w:rPr>
          <w:i/>
          <w:iCs/>
          <w:color w:val="000000"/>
        </w:rPr>
        <w:t xml:space="preserve">po </w:t>
      </w:r>
      <w:r>
        <w:rPr>
          <w:i/>
          <w:iCs/>
          <w:color w:val="000000"/>
          <w:spacing w:val="-2"/>
        </w:rPr>
        <w:t>s</w:t>
      </w:r>
      <w:r>
        <w:rPr>
          <w:i/>
          <w:iCs/>
          <w:color w:val="000000"/>
        </w:rPr>
        <w:t>t</w:t>
      </w:r>
      <w:r>
        <w:rPr>
          <w:i/>
          <w:iCs/>
          <w:color w:val="000000"/>
          <w:spacing w:val="1"/>
        </w:rPr>
        <w:t>i</w:t>
      </w:r>
      <w:r>
        <w:rPr>
          <w:i/>
          <w:iCs/>
          <w:color w:val="000000"/>
        </w:rPr>
        <w:t>muliuo</w:t>
      </w:r>
      <w:r>
        <w:rPr>
          <w:i/>
          <w:iCs/>
          <w:color w:val="000000"/>
          <w:spacing w:val="1"/>
        </w:rPr>
        <w:t>j</w:t>
      </w:r>
      <w:r>
        <w:rPr>
          <w:i/>
          <w:iCs/>
          <w:color w:val="000000"/>
        </w:rPr>
        <w:t>amo</w:t>
      </w:r>
      <w:r>
        <w:rPr>
          <w:i/>
          <w:iCs/>
          <w:color w:val="000000"/>
          <w:spacing w:val="-3"/>
        </w:rPr>
        <w:t>s</w:t>
      </w:r>
      <w:r>
        <w:rPr>
          <w:i/>
          <w:iCs/>
          <w:color w:val="000000"/>
        </w:rPr>
        <w:t>io</w:t>
      </w:r>
      <w:r>
        <w:rPr>
          <w:i/>
          <w:iCs/>
          <w:color w:val="000000"/>
          <w:spacing w:val="-1"/>
        </w:rPr>
        <w:t>s</w:t>
      </w:r>
      <w:r>
        <w:rPr>
          <w:i/>
          <w:iCs/>
          <w:color w:val="000000"/>
        </w:rPr>
        <w:t>)</w:t>
      </w:r>
      <w:r>
        <w:rPr>
          <w:i/>
          <w:iCs/>
          <w:color w:val="000000"/>
          <w:spacing w:val="4"/>
        </w:rPr>
        <w:t xml:space="preserve"> </w:t>
      </w:r>
      <w:r>
        <w:rPr>
          <w:i/>
          <w:iCs/>
          <w:color w:val="000000"/>
        </w:rPr>
        <w:t>m</w:t>
      </w:r>
      <w:r>
        <w:rPr>
          <w:i/>
          <w:iCs/>
          <w:color w:val="000000"/>
          <w:spacing w:val="-1"/>
        </w:rPr>
        <w:t>e</w:t>
      </w:r>
      <w:r>
        <w:rPr>
          <w:i/>
          <w:iCs/>
          <w:color w:val="000000"/>
        </w:rPr>
        <w:t>d</w:t>
      </w:r>
      <w:r>
        <w:rPr>
          <w:i/>
          <w:iCs/>
          <w:color w:val="000000"/>
          <w:spacing w:val="-2"/>
        </w:rPr>
        <w:t>ž</w:t>
      </w:r>
      <w:r>
        <w:rPr>
          <w:i/>
          <w:iCs/>
          <w:color w:val="000000"/>
        </w:rPr>
        <w:t>iago</w:t>
      </w:r>
      <w:r>
        <w:rPr>
          <w:i/>
          <w:iCs/>
          <w:color w:val="000000"/>
          <w:spacing w:val="-2"/>
        </w:rPr>
        <w:t>s</w:t>
      </w:r>
      <w:r>
        <w:rPr>
          <w:i/>
          <w:iCs/>
          <w:color w:val="000000"/>
        </w:rPr>
        <w:t>;</w:t>
      </w:r>
    </w:p>
    <w:p w:rsidR="004F7425" w:rsidRDefault="004F7425" w:rsidP="004F7425">
      <w:pPr>
        <w:widowControl w:val="0"/>
        <w:autoSpaceDE w:val="0"/>
        <w:autoSpaceDN w:val="0"/>
        <w:adjustRightInd w:val="0"/>
        <w:spacing w:before="1"/>
        <w:ind w:left="120" w:right="5437"/>
        <w:jc w:val="both"/>
        <w:rPr>
          <w:color w:val="000000"/>
        </w:rPr>
      </w:pPr>
      <w:r>
        <w:rPr>
          <w:rFonts w:ascii="Wingdings" w:hAnsi="Wingdings" w:cs="Wingdings"/>
          <w:color w:val="000000"/>
        </w:rPr>
        <w:t></w:t>
      </w:r>
      <w:r>
        <w:rPr>
          <w:color w:val="000000"/>
        </w:rPr>
        <w:t xml:space="preserve">  </w:t>
      </w:r>
      <w:r>
        <w:rPr>
          <w:color w:val="000000"/>
          <w:spacing w:val="59"/>
        </w:rPr>
        <w:t xml:space="preserve"> </w:t>
      </w:r>
      <w:r>
        <w:rPr>
          <w:i/>
          <w:iCs/>
          <w:color w:val="000000"/>
          <w:spacing w:val="-3"/>
        </w:rPr>
        <w:t>P</w:t>
      </w:r>
      <w:r>
        <w:rPr>
          <w:i/>
          <w:iCs/>
          <w:color w:val="000000"/>
        </w:rPr>
        <w:t>opul</w:t>
      </w:r>
      <w:r>
        <w:rPr>
          <w:i/>
          <w:iCs/>
          <w:color w:val="000000"/>
          <w:spacing w:val="1"/>
        </w:rPr>
        <w:t>i</w:t>
      </w:r>
      <w:r>
        <w:rPr>
          <w:i/>
          <w:iCs/>
          <w:color w:val="000000"/>
        </w:rPr>
        <w:t>a</w:t>
      </w:r>
      <w:r>
        <w:rPr>
          <w:i/>
          <w:iCs/>
          <w:color w:val="000000"/>
          <w:spacing w:val="-2"/>
        </w:rPr>
        <w:t>r</w:t>
      </w:r>
      <w:r>
        <w:rPr>
          <w:i/>
          <w:iCs/>
          <w:color w:val="000000"/>
        </w:rPr>
        <w:t>iau</w:t>
      </w:r>
      <w:r>
        <w:rPr>
          <w:i/>
          <w:iCs/>
          <w:color w:val="000000"/>
          <w:spacing w:val="-2"/>
        </w:rPr>
        <w:t>s</w:t>
      </w:r>
      <w:r>
        <w:rPr>
          <w:i/>
          <w:iCs/>
          <w:color w:val="000000"/>
        </w:rPr>
        <w:t>iu</w:t>
      </w:r>
      <w:r>
        <w:rPr>
          <w:i/>
          <w:iCs/>
          <w:color w:val="000000"/>
          <w:spacing w:val="12"/>
        </w:rPr>
        <w:t xml:space="preserve"> </w:t>
      </w:r>
      <w:r>
        <w:rPr>
          <w:i/>
          <w:iCs/>
          <w:color w:val="000000"/>
        </w:rPr>
        <w:t>iš</w:t>
      </w:r>
      <w:r>
        <w:rPr>
          <w:i/>
          <w:iCs/>
          <w:color w:val="000000"/>
          <w:spacing w:val="10"/>
        </w:rPr>
        <w:t xml:space="preserve"> </w:t>
      </w:r>
      <w:r>
        <w:rPr>
          <w:i/>
          <w:iCs/>
          <w:color w:val="000000"/>
          <w:spacing w:val="2"/>
        </w:rPr>
        <w:t>A</w:t>
      </w:r>
      <w:r>
        <w:rPr>
          <w:i/>
          <w:iCs/>
          <w:color w:val="000000"/>
          <w:spacing w:val="1"/>
        </w:rPr>
        <w:t>T</w:t>
      </w:r>
      <w:r>
        <w:rPr>
          <w:i/>
          <w:iCs/>
          <w:color w:val="000000"/>
        </w:rPr>
        <w:t>S</w:t>
      </w:r>
      <w:r>
        <w:rPr>
          <w:i/>
          <w:iCs/>
          <w:color w:val="000000"/>
          <w:spacing w:val="12"/>
        </w:rPr>
        <w:t xml:space="preserve"> </w:t>
      </w:r>
      <w:r>
        <w:rPr>
          <w:i/>
          <w:iCs/>
          <w:color w:val="000000"/>
        </w:rPr>
        <w:t>m</w:t>
      </w:r>
      <w:r>
        <w:rPr>
          <w:i/>
          <w:iCs/>
          <w:color w:val="000000"/>
          <w:spacing w:val="-1"/>
        </w:rPr>
        <w:t>e</w:t>
      </w:r>
      <w:r>
        <w:rPr>
          <w:i/>
          <w:iCs/>
          <w:color w:val="000000"/>
        </w:rPr>
        <w:t>d</w:t>
      </w:r>
      <w:r>
        <w:rPr>
          <w:i/>
          <w:iCs/>
          <w:color w:val="000000"/>
          <w:spacing w:val="-2"/>
        </w:rPr>
        <w:t>ž</w:t>
      </w:r>
      <w:r>
        <w:rPr>
          <w:i/>
          <w:iCs/>
          <w:color w:val="000000"/>
        </w:rPr>
        <w:t>iagų</w:t>
      </w:r>
      <w:r>
        <w:rPr>
          <w:i/>
          <w:iCs/>
          <w:color w:val="000000"/>
          <w:spacing w:val="12"/>
        </w:rPr>
        <w:t xml:space="preserve"> </w:t>
      </w:r>
      <w:r>
        <w:rPr>
          <w:i/>
          <w:iCs/>
          <w:color w:val="000000"/>
        </w:rPr>
        <w:t>i</w:t>
      </w:r>
      <w:r>
        <w:rPr>
          <w:i/>
          <w:iCs/>
          <w:color w:val="000000"/>
          <w:spacing w:val="-2"/>
        </w:rPr>
        <w:t>š</w:t>
      </w:r>
      <w:r>
        <w:rPr>
          <w:i/>
          <w:iCs/>
          <w:color w:val="000000"/>
        </w:rPr>
        <w:t>l</w:t>
      </w:r>
      <w:r>
        <w:rPr>
          <w:i/>
          <w:iCs/>
          <w:color w:val="000000"/>
          <w:spacing w:val="1"/>
        </w:rPr>
        <w:t>i</w:t>
      </w:r>
      <w:r>
        <w:rPr>
          <w:i/>
          <w:iCs/>
          <w:color w:val="000000"/>
          <w:spacing w:val="-1"/>
        </w:rPr>
        <w:t>ek</w:t>
      </w:r>
      <w:r>
        <w:rPr>
          <w:i/>
          <w:iCs/>
          <w:color w:val="000000"/>
        </w:rPr>
        <w:t>a</w:t>
      </w:r>
    </w:p>
    <w:p w:rsidR="004F7425" w:rsidRDefault="004F7425" w:rsidP="004F7425">
      <w:pPr>
        <w:widowControl w:val="0"/>
        <w:autoSpaceDE w:val="0"/>
        <w:autoSpaceDN w:val="0"/>
        <w:adjustRightInd w:val="0"/>
        <w:spacing w:before="41"/>
        <w:ind w:left="547" w:right="-20"/>
        <w:rPr>
          <w:color w:val="000000"/>
        </w:rPr>
      </w:pPr>
      <w:r>
        <w:rPr>
          <w:i/>
          <w:iCs/>
          <w:color w:val="000000"/>
        </w:rPr>
        <w:t>–</w:t>
      </w:r>
      <w:r>
        <w:rPr>
          <w:i/>
          <w:iCs/>
          <w:color w:val="000000"/>
          <w:spacing w:val="2"/>
        </w:rPr>
        <w:t xml:space="preserve"> </w:t>
      </w:r>
      <w:r>
        <w:rPr>
          <w:i/>
          <w:iCs/>
          <w:color w:val="000000"/>
        </w:rPr>
        <w:t>m</w:t>
      </w:r>
      <w:r>
        <w:rPr>
          <w:i/>
          <w:iCs/>
          <w:color w:val="000000"/>
          <w:spacing w:val="-1"/>
        </w:rPr>
        <w:t>e</w:t>
      </w:r>
      <w:r>
        <w:rPr>
          <w:i/>
          <w:iCs/>
          <w:color w:val="000000"/>
        </w:rPr>
        <w:t>tam</w:t>
      </w:r>
      <w:r>
        <w:rPr>
          <w:i/>
          <w:iCs/>
          <w:color w:val="000000"/>
          <w:spacing w:val="5"/>
        </w:rPr>
        <w:t>f</w:t>
      </w:r>
      <w:r>
        <w:rPr>
          <w:i/>
          <w:iCs/>
          <w:color w:val="000000"/>
          <w:spacing w:val="-1"/>
        </w:rPr>
        <w:t>e</w:t>
      </w:r>
      <w:r>
        <w:rPr>
          <w:i/>
          <w:iCs/>
          <w:color w:val="000000"/>
        </w:rPr>
        <w:t>tamina</w:t>
      </w:r>
      <w:r>
        <w:rPr>
          <w:i/>
          <w:iCs/>
          <w:color w:val="000000"/>
          <w:spacing w:val="-1"/>
        </w:rPr>
        <w:t>s</w:t>
      </w:r>
      <w:r>
        <w:rPr>
          <w:i/>
          <w:iCs/>
          <w:color w:val="000000"/>
        </w:rPr>
        <w:t>.</w:t>
      </w:r>
    </w:p>
    <w:p w:rsidR="004F7425" w:rsidRDefault="004F7425" w:rsidP="004F7425">
      <w:pPr>
        <w:widowControl w:val="0"/>
        <w:tabs>
          <w:tab w:val="left" w:pos="540"/>
        </w:tabs>
        <w:autoSpaceDE w:val="0"/>
        <w:autoSpaceDN w:val="0"/>
        <w:adjustRightInd w:val="0"/>
        <w:spacing w:before="41" w:line="279" w:lineRule="auto"/>
        <w:ind w:left="547" w:right="5428" w:hanging="428"/>
        <w:jc w:val="both"/>
        <w:rPr>
          <w:color w:val="000000"/>
        </w:rPr>
      </w:pPr>
      <w:r>
        <w:rPr>
          <w:rFonts w:ascii="Wingdings" w:hAnsi="Wingdings" w:cs="Wingdings"/>
          <w:color w:val="000000"/>
        </w:rPr>
        <w:t></w:t>
      </w:r>
      <w:r>
        <w:rPr>
          <w:color w:val="000000"/>
        </w:rPr>
        <w:tab/>
      </w:r>
      <w:r>
        <w:rPr>
          <w:i/>
          <w:iCs/>
          <w:color w:val="000000"/>
        </w:rPr>
        <w:t>H</w:t>
      </w:r>
      <w:r>
        <w:rPr>
          <w:i/>
          <w:iCs/>
          <w:color w:val="000000"/>
          <w:spacing w:val="-1"/>
        </w:rPr>
        <w:t>e</w:t>
      </w:r>
      <w:r>
        <w:rPr>
          <w:i/>
          <w:iCs/>
          <w:color w:val="000000"/>
          <w:spacing w:val="-2"/>
        </w:rPr>
        <w:t>r</w:t>
      </w:r>
      <w:r>
        <w:rPr>
          <w:i/>
          <w:iCs/>
          <w:color w:val="000000"/>
        </w:rPr>
        <w:t xml:space="preserve">oinas </w:t>
      </w:r>
      <w:r>
        <w:rPr>
          <w:i/>
          <w:iCs/>
          <w:color w:val="000000"/>
          <w:spacing w:val="22"/>
        </w:rPr>
        <w:t xml:space="preserve"> </w:t>
      </w:r>
      <w:r>
        <w:rPr>
          <w:i/>
          <w:iCs/>
          <w:color w:val="000000"/>
        </w:rPr>
        <w:t>popul</w:t>
      </w:r>
      <w:r>
        <w:rPr>
          <w:i/>
          <w:iCs/>
          <w:color w:val="000000"/>
          <w:spacing w:val="1"/>
        </w:rPr>
        <w:t>i</w:t>
      </w:r>
      <w:r>
        <w:rPr>
          <w:i/>
          <w:iCs/>
          <w:color w:val="000000"/>
        </w:rPr>
        <w:t>a</w:t>
      </w:r>
      <w:r>
        <w:rPr>
          <w:i/>
          <w:iCs/>
          <w:color w:val="000000"/>
          <w:spacing w:val="-1"/>
        </w:rPr>
        <w:t>r</w:t>
      </w:r>
      <w:r>
        <w:rPr>
          <w:i/>
          <w:iCs/>
          <w:color w:val="000000"/>
        </w:rPr>
        <w:t>iau</w:t>
      </w:r>
      <w:r>
        <w:rPr>
          <w:i/>
          <w:iCs/>
          <w:color w:val="000000"/>
          <w:spacing w:val="-2"/>
        </w:rPr>
        <w:t>s</w:t>
      </w:r>
      <w:r>
        <w:rPr>
          <w:i/>
          <w:iCs/>
          <w:color w:val="000000"/>
        </w:rPr>
        <w:t>i</w:t>
      </w:r>
      <w:r>
        <w:rPr>
          <w:i/>
          <w:iCs/>
          <w:color w:val="000000"/>
          <w:spacing w:val="5"/>
        </w:rPr>
        <w:t>a</w:t>
      </w:r>
      <w:r>
        <w:rPr>
          <w:i/>
          <w:iCs/>
          <w:color w:val="000000"/>
        </w:rPr>
        <w:t xml:space="preserve">s </w:t>
      </w:r>
      <w:r>
        <w:rPr>
          <w:i/>
          <w:iCs/>
          <w:color w:val="000000"/>
          <w:spacing w:val="22"/>
        </w:rPr>
        <w:t xml:space="preserve"> </w:t>
      </w:r>
      <w:r>
        <w:rPr>
          <w:i/>
          <w:iCs/>
          <w:color w:val="000000"/>
        </w:rPr>
        <w:t>in</w:t>
      </w:r>
      <w:r>
        <w:rPr>
          <w:i/>
          <w:iCs/>
          <w:color w:val="000000"/>
          <w:spacing w:val="1"/>
        </w:rPr>
        <w:t>t</w:t>
      </w:r>
      <w:r>
        <w:rPr>
          <w:i/>
          <w:iCs/>
          <w:color w:val="000000"/>
          <w:spacing w:val="-2"/>
        </w:rPr>
        <w:t>r</w:t>
      </w:r>
      <w:r>
        <w:rPr>
          <w:i/>
          <w:iCs/>
          <w:color w:val="000000"/>
        </w:rPr>
        <w:t>a</w:t>
      </w:r>
      <w:r>
        <w:rPr>
          <w:i/>
          <w:iCs/>
          <w:color w:val="000000"/>
          <w:spacing w:val="-1"/>
        </w:rPr>
        <w:t>ve</w:t>
      </w:r>
      <w:r>
        <w:rPr>
          <w:i/>
          <w:iCs/>
          <w:color w:val="000000"/>
        </w:rPr>
        <w:t>nin</w:t>
      </w:r>
      <w:r>
        <w:rPr>
          <w:i/>
          <w:iCs/>
          <w:color w:val="000000"/>
          <w:spacing w:val="1"/>
        </w:rPr>
        <w:t>i</w:t>
      </w:r>
      <w:r>
        <w:rPr>
          <w:i/>
          <w:iCs/>
          <w:color w:val="000000"/>
        </w:rPr>
        <w:t>s na</w:t>
      </w:r>
      <w:r>
        <w:rPr>
          <w:i/>
          <w:iCs/>
          <w:color w:val="000000"/>
          <w:spacing w:val="-2"/>
        </w:rPr>
        <w:t>r</w:t>
      </w:r>
      <w:r>
        <w:rPr>
          <w:i/>
          <w:iCs/>
          <w:color w:val="000000"/>
          <w:spacing w:val="-1"/>
        </w:rPr>
        <w:t>k</w:t>
      </w:r>
      <w:r>
        <w:rPr>
          <w:i/>
          <w:iCs/>
          <w:color w:val="000000"/>
        </w:rPr>
        <w:t>ot</w:t>
      </w:r>
      <w:r>
        <w:rPr>
          <w:i/>
          <w:iCs/>
          <w:color w:val="000000"/>
          <w:spacing w:val="1"/>
        </w:rPr>
        <w:t>i</w:t>
      </w:r>
      <w:r>
        <w:rPr>
          <w:i/>
          <w:iCs/>
          <w:color w:val="000000"/>
          <w:spacing w:val="-1"/>
        </w:rPr>
        <w:t>k</w:t>
      </w:r>
      <w:r>
        <w:rPr>
          <w:i/>
          <w:iCs/>
          <w:color w:val="000000"/>
        </w:rPr>
        <w:t>a</w:t>
      </w:r>
      <w:r>
        <w:rPr>
          <w:i/>
          <w:iCs/>
          <w:color w:val="000000"/>
          <w:spacing w:val="-2"/>
        </w:rPr>
        <w:t>s</w:t>
      </w:r>
      <w:r>
        <w:rPr>
          <w:i/>
          <w:iCs/>
          <w:color w:val="000000"/>
        </w:rPr>
        <w:t>;</w:t>
      </w:r>
    </w:p>
    <w:p w:rsidR="004F7425" w:rsidRDefault="004F7425" w:rsidP="004F7425">
      <w:pPr>
        <w:widowControl w:val="0"/>
        <w:autoSpaceDE w:val="0"/>
        <w:autoSpaceDN w:val="0"/>
        <w:adjustRightInd w:val="0"/>
        <w:spacing w:line="273" w:lineRule="exact"/>
        <w:ind w:left="120" w:right="5432"/>
        <w:jc w:val="both"/>
        <w:rPr>
          <w:color w:val="000000"/>
        </w:rPr>
      </w:pPr>
      <w:r>
        <w:rPr>
          <w:rFonts w:ascii="Wingdings" w:hAnsi="Wingdings" w:cs="Wingdings"/>
          <w:color w:val="000000"/>
        </w:rPr>
        <w:t></w:t>
      </w:r>
      <w:r>
        <w:rPr>
          <w:color w:val="000000"/>
        </w:rPr>
        <w:t xml:space="preserve">  </w:t>
      </w:r>
      <w:r>
        <w:rPr>
          <w:color w:val="000000"/>
          <w:spacing w:val="59"/>
        </w:rPr>
        <w:t xml:space="preserve"> </w:t>
      </w:r>
      <w:r>
        <w:rPr>
          <w:i/>
          <w:iCs/>
          <w:color w:val="000000"/>
          <w:spacing w:val="2"/>
        </w:rPr>
        <w:t>R</w:t>
      </w:r>
      <w:r>
        <w:rPr>
          <w:i/>
          <w:iCs/>
          <w:color w:val="000000"/>
        </w:rPr>
        <w:t>ibo</w:t>
      </w:r>
      <w:r>
        <w:rPr>
          <w:i/>
          <w:iCs/>
          <w:color w:val="000000"/>
          <w:spacing w:val="1"/>
        </w:rPr>
        <w:t>t</w:t>
      </w:r>
      <w:r>
        <w:rPr>
          <w:i/>
          <w:iCs/>
          <w:color w:val="000000"/>
        </w:rPr>
        <w:t xml:space="preserve">a  </w:t>
      </w:r>
      <w:r>
        <w:rPr>
          <w:i/>
          <w:iCs/>
          <w:color w:val="000000"/>
          <w:spacing w:val="21"/>
        </w:rPr>
        <w:t xml:space="preserve"> </w:t>
      </w:r>
      <w:r>
        <w:rPr>
          <w:i/>
          <w:iCs/>
          <w:color w:val="000000"/>
          <w:spacing w:val="-1"/>
        </w:rPr>
        <w:t>k</w:t>
      </w:r>
      <w:r>
        <w:rPr>
          <w:i/>
          <w:iCs/>
          <w:color w:val="000000"/>
        </w:rPr>
        <w:t>o</w:t>
      </w:r>
      <w:r>
        <w:rPr>
          <w:i/>
          <w:iCs/>
          <w:color w:val="000000"/>
          <w:spacing w:val="-1"/>
        </w:rPr>
        <w:t>k</w:t>
      </w:r>
      <w:r>
        <w:rPr>
          <w:i/>
          <w:iCs/>
          <w:color w:val="000000"/>
        </w:rPr>
        <w:t xml:space="preserve">aino  </w:t>
      </w:r>
      <w:r>
        <w:rPr>
          <w:i/>
          <w:iCs/>
          <w:color w:val="000000"/>
          <w:spacing w:val="22"/>
        </w:rPr>
        <w:t xml:space="preserve"> </w:t>
      </w:r>
      <w:r>
        <w:rPr>
          <w:i/>
          <w:iCs/>
          <w:color w:val="000000"/>
        </w:rPr>
        <w:t xml:space="preserve">ir  </w:t>
      </w:r>
      <w:r>
        <w:rPr>
          <w:i/>
          <w:iCs/>
          <w:color w:val="000000"/>
          <w:spacing w:val="20"/>
        </w:rPr>
        <w:t xml:space="preserve"> </w:t>
      </w:r>
      <w:r>
        <w:rPr>
          <w:i/>
          <w:iCs/>
          <w:color w:val="000000"/>
        </w:rPr>
        <w:t>ha</w:t>
      </w:r>
      <w:r>
        <w:rPr>
          <w:i/>
          <w:iCs/>
          <w:color w:val="000000"/>
          <w:spacing w:val="-2"/>
        </w:rPr>
        <w:t>š</w:t>
      </w:r>
      <w:r>
        <w:rPr>
          <w:i/>
          <w:iCs/>
          <w:color w:val="000000"/>
        </w:rPr>
        <w:t>i</w:t>
      </w:r>
      <w:r>
        <w:rPr>
          <w:i/>
          <w:iCs/>
          <w:color w:val="000000"/>
          <w:spacing w:val="-2"/>
        </w:rPr>
        <w:t>š</w:t>
      </w:r>
      <w:r>
        <w:rPr>
          <w:i/>
          <w:iCs/>
          <w:color w:val="000000"/>
        </w:rPr>
        <w:t xml:space="preserve">o  </w:t>
      </w:r>
      <w:r>
        <w:rPr>
          <w:i/>
          <w:iCs/>
          <w:color w:val="000000"/>
          <w:spacing w:val="21"/>
        </w:rPr>
        <w:t xml:space="preserve"> </w:t>
      </w:r>
      <w:r>
        <w:rPr>
          <w:i/>
          <w:iCs/>
          <w:color w:val="000000"/>
        </w:rPr>
        <w:t>ap</w:t>
      </w:r>
      <w:r>
        <w:rPr>
          <w:i/>
          <w:iCs/>
          <w:color w:val="000000"/>
          <w:spacing w:val="-1"/>
        </w:rPr>
        <w:t>yv</w:t>
      </w:r>
      <w:r>
        <w:rPr>
          <w:i/>
          <w:iCs/>
          <w:color w:val="000000"/>
          <w:spacing w:val="5"/>
        </w:rPr>
        <w:t>a</w:t>
      </w:r>
      <w:r>
        <w:rPr>
          <w:i/>
          <w:iCs/>
          <w:color w:val="000000"/>
          <w:spacing w:val="-2"/>
        </w:rPr>
        <w:t>r</w:t>
      </w:r>
      <w:r>
        <w:rPr>
          <w:i/>
          <w:iCs/>
          <w:color w:val="000000"/>
        </w:rPr>
        <w:t>ta</w:t>
      </w:r>
    </w:p>
    <w:p w:rsidR="004F7425" w:rsidRDefault="004F7425" w:rsidP="004F7425">
      <w:pPr>
        <w:widowControl w:val="0"/>
        <w:autoSpaceDE w:val="0"/>
        <w:autoSpaceDN w:val="0"/>
        <w:adjustRightInd w:val="0"/>
        <w:spacing w:before="41" w:line="271" w:lineRule="exact"/>
        <w:ind w:left="547" w:right="-20"/>
        <w:rPr>
          <w:color w:val="000000"/>
        </w:rPr>
      </w:pPr>
      <w:r>
        <w:rPr>
          <w:i/>
          <w:iCs/>
          <w:color w:val="000000"/>
          <w:spacing w:val="-2"/>
          <w:position w:val="-1"/>
        </w:rPr>
        <w:t>š</w:t>
      </w:r>
      <w:r>
        <w:rPr>
          <w:i/>
          <w:iCs/>
          <w:color w:val="000000"/>
          <w:position w:val="-1"/>
        </w:rPr>
        <w:t>al</w:t>
      </w:r>
      <w:r>
        <w:rPr>
          <w:i/>
          <w:iCs/>
          <w:color w:val="000000"/>
          <w:spacing w:val="1"/>
          <w:position w:val="-1"/>
        </w:rPr>
        <w:t>i</w:t>
      </w:r>
      <w:r>
        <w:rPr>
          <w:i/>
          <w:iCs/>
          <w:color w:val="000000"/>
          <w:spacing w:val="-1"/>
          <w:position w:val="-1"/>
        </w:rPr>
        <w:t>e</w:t>
      </w:r>
      <w:r>
        <w:rPr>
          <w:i/>
          <w:iCs/>
          <w:color w:val="000000"/>
          <w:position w:val="-1"/>
        </w:rPr>
        <w:t xml:space="preserve">s </w:t>
      </w:r>
      <w:r>
        <w:rPr>
          <w:i/>
          <w:iCs/>
          <w:color w:val="000000"/>
          <w:spacing w:val="-1"/>
          <w:position w:val="-1"/>
        </w:rPr>
        <w:t>v</w:t>
      </w:r>
      <w:r>
        <w:rPr>
          <w:i/>
          <w:iCs/>
          <w:color w:val="000000"/>
          <w:position w:val="-1"/>
        </w:rPr>
        <w:t>idu</w:t>
      </w:r>
      <w:r>
        <w:rPr>
          <w:i/>
          <w:iCs/>
          <w:color w:val="000000"/>
          <w:spacing w:val="1"/>
          <w:position w:val="-1"/>
        </w:rPr>
        <w:t>j</w:t>
      </w:r>
      <w:r>
        <w:rPr>
          <w:i/>
          <w:iCs/>
          <w:color w:val="000000"/>
          <w:spacing w:val="-1"/>
          <w:position w:val="-1"/>
        </w:rPr>
        <w:t>e</w:t>
      </w:r>
      <w:r>
        <w:rPr>
          <w:i/>
          <w:iCs/>
          <w:color w:val="000000"/>
          <w:position w:val="-1"/>
        </w:rPr>
        <w:t>;</w:t>
      </w:r>
    </w:p>
    <w:p w:rsidR="004F7425" w:rsidRDefault="004F7425" w:rsidP="004F7425">
      <w:pPr>
        <w:widowControl w:val="0"/>
        <w:autoSpaceDE w:val="0"/>
        <w:autoSpaceDN w:val="0"/>
        <w:adjustRightInd w:val="0"/>
        <w:spacing w:before="46"/>
        <w:ind w:left="5829" w:right="-20"/>
        <w:rPr>
          <w:color w:val="000000"/>
        </w:rPr>
      </w:pPr>
      <w:r>
        <w:rPr>
          <w:noProof/>
          <w:lang w:eastAsia="lt-LT"/>
        </w:rPr>
        <mc:AlternateContent>
          <mc:Choice Requires="wps">
            <w:drawing>
              <wp:anchor distT="0" distB="0" distL="114300" distR="114300" simplePos="0" relativeHeight="251744256" behindDoc="1" locked="0" layoutInCell="0" allowOverlap="1">
                <wp:simplePos x="0" y="0"/>
                <wp:positionH relativeFrom="page">
                  <wp:posOffset>1080135</wp:posOffset>
                </wp:positionH>
                <wp:positionV relativeFrom="paragraph">
                  <wp:posOffset>33655</wp:posOffset>
                </wp:positionV>
                <wp:extent cx="3467100" cy="2120900"/>
                <wp:effectExtent l="0" t="0" r="0" b="12700"/>
                <wp:wrapNone/>
                <wp:docPr id="253" name="Stačiakampis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212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3340" w:lineRule="atLeast"/>
                            </w:pPr>
                            <w:r>
                              <w:rPr>
                                <w:noProof/>
                                <w:lang w:eastAsia="lt-LT"/>
                              </w:rPr>
                              <w:drawing>
                                <wp:inline distT="0" distB="0" distL="0" distR="0" wp14:anchorId="6ECD75BD" wp14:editId="5B2AC925">
                                  <wp:extent cx="3486150" cy="2105025"/>
                                  <wp:effectExtent l="0" t="0" r="0" b="9525"/>
                                  <wp:docPr id="252" name="Paveikslėlis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486150" cy="21050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53" o:spid="_x0000_s1052" style="position:absolute;left:0;text-align:left;margin-left:85.05pt;margin-top:2.65pt;width:273pt;height:167pt;z-index:-25157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" o:allowincell="f" filled="f" stroked="f">
                <v:textbox inset="0,0,0,0">
                  <w:txbxContent>
                    <w:p w:rsidR="004F7425" w:rsidRDefault="004F7425" w:rsidP="004F7425">
                      <w:pPr>
                        <w:spacing w:line="3340" w:lineRule="atLeast"/>
                      </w:pPr>
                      <w:r>
                        <w:rPr>
                          <w:noProof/>
                          <w:lang w:eastAsia="lt-LT"/>
                        </w:rPr>
                        <w:drawing>
                          <wp:inline distT="0" distB="0" distL="0" distR="0" wp14:anchorId="6ECD75BD" wp14:editId="5B2AC925">
                            <wp:extent cx="3486150" cy="2105025"/>
                            <wp:effectExtent l="0" t="0" r="0" b="9525"/>
                            <wp:docPr id="252" name="Paveikslėlis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486150" cy="21050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rFonts w:ascii="Wingdings" w:hAnsi="Wingdings" w:cs="Wingdings"/>
          <w:color w:val="000000"/>
        </w:rPr>
        <w:t></w:t>
      </w:r>
      <w:r>
        <w:rPr>
          <w:color w:val="000000"/>
        </w:rPr>
        <w:t xml:space="preserve"> </w:t>
      </w:r>
      <w:r>
        <w:rPr>
          <w:color w:val="000000"/>
          <w:spacing w:val="51"/>
        </w:rPr>
        <w:t xml:space="preserve"> </w:t>
      </w:r>
      <w:r>
        <w:rPr>
          <w:i/>
          <w:iCs/>
          <w:color w:val="000000"/>
        </w:rPr>
        <w:t>Sin</w:t>
      </w:r>
      <w:r>
        <w:rPr>
          <w:i/>
          <w:iCs/>
          <w:color w:val="000000"/>
          <w:spacing w:val="1"/>
        </w:rPr>
        <w:t>t</w:t>
      </w:r>
      <w:r>
        <w:rPr>
          <w:i/>
          <w:iCs/>
          <w:color w:val="000000"/>
          <w:spacing w:val="-1"/>
        </w:rPr>
        <w:t>e</w:t>
      </w:r>
      <w:r>
        <w:rPr>
          <w:i/>
          <w:iCs/>
          <w:color w:val="000000"/>
        </w:rPr>
        <w:t>t</w:t>
      </w:r>
      <w:r>
        <w:rPr>
          <w:i/>
          <w:iCs/>
          <w:color w:val="000000"/>
          <w:spacing w:val="1"/>
        </w:rPr>
        <w:t>i</w:t>
      </w:r>
      <w:r>
        <w:rPr>
          <w:i/>
          <w:iCs/>
          <w:color w:val="000000"/>
        </w:rPr>
        <w:t>niai</w:t>
      </w:r>
      <w:r>
        <w:rPr>
          <w:i/>
          <w:iCs/>
          <w:color w:val="000000"/>
          <w:spacing w:val="3"/>
        </w:rPr>
        <w:t xml:space="preserve"> </w:t>
      </w:r>
      <w:r>
        <w:rPr>
          <w:i/>
          <w:iCs/>
          <w:color w:val="000000"/>
          <w:spacing w:val="-1"/>
        </w:rPr>
        <w:t>k</w:t>
      </w:r>
      <w:r>
        <w:rPr>
          <w:i/>
          <w:iCs/>
          <w:color w:val="000000"/>
        </w:rPr>
        <w:t>anabino</w:t>
      </w:r>
      <w:r>
        <w:rPr>
          <w:i/>
          <w:iCs/>
          <w:color w:val="000000"/>
          <w:spacing w:val="1"/>
        </w:rPr>
        <w:t>i</w:t>
      </w:r>
      <w:r>
        <w:rPr>
          <w:i/>
          <w:iCs/>
          <w:color w:val="000000"/>
        </w:rPr>
        <w:t>dai</w:t>
      </w:r>
      <w:r>
        <w:rPr>
          <w:i/>
          <w:iCs/>
          <w:color w:val="000000"/>
          <w:spacing w:val="-2"/>
        </w:rPr>
        <w:t xml:space="preserve"> </w:t>
      </w:r>
      <w:r>
        <w:rPr>
          <w:i/>
          <w:iCs/>
          <w:color w:val="000000"/>
        </w:rPr>
        <w:t xml:space="preserve">ir </w:t>
      </w:r>
      <w:r>
        <w:rPr>
          <w:i/>
          <w:iCs/>
          <w:color w:val="000000"/>
          <w:spacing w:val="-1"/>
        </w:rPr>
        <w:t>k</w:t>
      </w:r>
      <w:r>
        <w:rPr>
          <w:i/>
          <w:iCs/>
          <w:color w:val="000000"/>
        </w:rPr>
        <w:t>at</w:t>
      </w:r>
      <w:r>
        <w:rPr>
          <w:i/>
          <w:iCs/>
          <w:color w:val="000000"/>
          <w:spacing w:val="1"/>
        </w:rPr>
        <w:t>i</w:t>
      </w:r>
      <w:r>
        <w:rPr>
          <w:i/>
          <w:iCs/>
          <w:color w:val="000000"/>
        </w:rPr>
        <w:t>nonai</w:t>
      </w:r>
    </w:p>
    <w:p w:rsidR="004F7425" w:rsidRDefault="004F7425" w:rsidP="004F7425">
      <w:pPr>
        <w:widowControl w:val="0"/>
        <w:autoSpaceDE w:val="0"/>
        <w:autoSpaceDN w:val="0"/>
        <w:adjustRightInd w:val="0"/>
        <w:spacing w:before="41"/>
        <w:ind w:left="6189" w:right="-20"/>
        <w:rPr>
          <w:color w:val="000000"/>
        </w:rPr>
      </w:pPr>
      <w:r>
        <w:rPr>
          <w:i/>
          <w:iCs/>
          <w:color w:val="000000"/>
        </w:rPr>
        <w:t>paleng</w:t>
      </w:r>
      <w:r>
        <w:rPr>
          <w:i/>
          <w:iCs/>
          <w:color w:val="000000"/>
          <w:spacing w:val="-1"/>
        </w:rPr>
        <w:t>v</w:t>
      </w:r>
      <w:r>
        <w:rPr>
          <w:i/>
          <w:iCs/>
          <w:color w:val="000000"/>
        </w:rPr>
        <w:t>a</w:t>
      </w:r>
      <w:r>
        <w:rPr>
          <w:i/>
          <w:iCs/>
          <w:color w:val="000000"/>
          <w:spacing w:val="2"/>
        </w:rPr>
        <w:t xml:space="preserve"> </w:t>
      </w:r>
      <w:r>
        <w:rPr>
          <w:i/>
          <w:iCs/>
          <w:color w:val="000000"/>
        </w:rPr>
        <w:t>tvi</w:t>
      </w:r>
      <w:r>
        <w:rPr>
          <w:i/>
          <w:iCs/>
          <w:color w:val="000000"/>
          <w:spacing w:val="-2"/>
        </w:rPr>
        <w:t>r</w:t>
      </w:r>
      <w:r>
        <w:rPr>
          <w:i/>
          <w:iCs/>
          <w:color w:val="000000"/>
        </w:rPr>
        <w:t>t</w:t>
      </w:r>
      <w:r>
        <w:rPr>
          <w:i/>
          <w:iCs/>
          <w:color w:val="000000"/>
          <w:spacing w:val="1"/>
        </w:rPr>
        <w:t>i</w:t>
      </w:r>
      <w:r>
        <w:rPr>
          <w:i/>
          <w:iCs/>
          <w:color w:val="000000"/>
        </w:rPr>
        <w:t>na</w:t>
      </w:r>
      <w:r>
        <w:rPr>
          <w:i/>
          <w:iCs/>
          <w:color w:val="000000"/>
          <w:spacing w:val="-2"/>
        </w:rPr>
        <w:t>s</w:t>
      </w:r>
      <w:r>
        <w:rPr>
          <w:i/>
          <w:iCs/>
          <w:color w:val="000000"/>
        </w:rPr>
        <w:t>i</w:t>
      </w:r>
      <w:r>
        <w:rPr>
          <w:i/>
          <w:iCs/>
          <w:color w:val="000000"/>
          <w:spacing w:val="3"/>
        </w:rPr>
        <w:t xml:space="preserve"> </w:t>
      </w:r>
      <w:r>
        <w:rPr>
          <w:i/>
          <w:iCs/>
          <w:color w:val="000000"/>
        </w:rPr>
        <w:t>na</w:t>
      </w:r>
      <w:r>
        <w:rPr>
          <w:i/>
          <w:iCs/>
          <w:color w:val="000000"/>
          <w:spacing w:val="-2"/>
        </w:rPr>
        <w:t>r</w:t>
      </w:r>
      <w:r>
        <w:rPr>
          <w:i/>
          <w:iCs/>
          <w:color w:val="000000"/>
          <w:spacing w:val="-1"/>
        </w:rPr>
        <w:t>k</w:t>
      </w:r>
      <w:r>
        <w:rPr>
          <w:i/>
          <w:iCs/>
          <w:color w:val="000000"/>
        </w:rPr>
        <w:t>ot</w:t>
      </w:r>
      <w:r>
        <w:rPr>
          <w:i/>
          <w:iCs/>
          <w:color w:val="000000"/>
          <w:spacing w:val="1"/>
        </w:rPr>
        <w:t>i</w:t>
      </w:r>
      <w:r>
        <w:rPr>
          <w:i/>
          <w:iCs/>
          <w:color w:val="000000"/>
          <w:spacing w:val="-1"/>
        </w:rPr>
        <w:t>k</w:t>
      </w:r>
      <w:r>
        <w:rPr>
          <w:i/>
          <w:iCs/>
          <w:color w:val="000000"/>
        </w:rPr>
        <w:t>ų</w:t>
      </w:r>
    </w:p>
    <w:p w:rsidR="004F7425" w:rsidRDefault="004F7425" w:rsidP="004F7425">
      <w:pPr>
        <w:widowControl w:val="0"/>
        <w:autoSpaceDE w:val="0"/>
        <w:autoSpaceDN w:val="0"/>
        <w:adjustRightInd w:val="0"/>
        <w:spacing w:before="41"/>
        <w:ind w:left="6189" w:right="-20"/>
        <w:rPr>
          <w:color w:val="000000"/>
        </w:rPr>
      </w:pPr>
      <w:r>
        <w:rPr>
          <w:i/>
          <w:iCs/>
          <w:color w:val="000000"/>
          <w:spacing w:val="-2"/>
        </w:rPr>
        <w:t>r</w:t>
      </w:r>
      <w:r>
        <w:rPr>
          <w:i/>
          <w:iCs/>
          <w:color w:val="000000"/>
        </w:rPr>
        <w:t>inkoj</w:t>
      </w:r>
      <w:r>
        <w:rPr>
          <w:i/>
          <w:iCs/>
          <w:color w:val="000000"/>
          <w:spacing w:val="-1"/>
        </w:rPr>
        <w:t>e</w:t>
      </w:r>
      <w:r>
        <w:rPr>
          <w:i/>
          <w:iCs/>
          <w:color w:val="000000"/>
        </w:rPr>
        <w:t>;</w:t>
      </w:r>
    </w:p>
    <w:p w:rsidR="004F7425" w:rsidRDefault="004F7425" w:rsidP="004F7425">
      <w:pPr>
        <w:widowControl w:val="0"/>
        <w:tabs>
          <w:tab w:val="left" w:pos="6180"/>
        </w:tabs>
        <w:autoSpaceDE w:val="0"/>
        <w:autoSpaceDN w:val="0"/>
        <w:adjustRightInd w:val="0"/>
        <w:spacing w:before="41"/>
        <w:ind w:left="5762" w:right="326"/>
        <w:rPr>
          <w:color w:val="000000"/>
        </w:rPr>
      </w:pPr>
      <w:r>
        <w:rPr>
          <w:rFonts w:ascii="Wingdings" w:hAnsi="Wingdings" w:cs="Wingdings"/>
          <w:color w:val="000000"/>
        </w:rPr>
        <w:t></w:t>
      </w:r>
      <w:r>
        <w:rPr>
          <w:color w:val="000000"/>
        </w:rPr>
        <w:tab/>
      </w:r>
      <w:r>
        <w:rPr>
          <w:i/>
          <w:iCs/>
          <w:color w:val="000000"/>
          <w:spacing w:val="2"/>
        </w:rPr>
        <w:t>E</w:t>
      </w:r>
      <w:r>
        <w:rPr>
          <w:i/>
          <w:iCs/>
          <w:color w:val="000000"/>
        </w:rPr>
        <w:t>g</w:t>
      </w:r>
      <w:r>
        <w:rPr>
          <w:i/>
          <w:iCs/>
          <w:color w:val="000000"/>
          <w:spacing w:val="-2"/>
        </w:rPr>
        <w:t>z</w:t>
      </w:r>
      <w:r>
        <w:rPr>
          <w:i/>
          <w:iCs/>
          <w:color w:val="000000"/>
        </w:rPr>
        <w:t>i</w:t>
      </w:r>
      <w:r>
        <w:rPr>
          <w:i/>
          <w:iCs/>
          <w:color w:val="000000"/>
          <w:spacing w:val="-2"/>
        </w:rPr>
        <w:t>s</w:t>
      </w:r>
      <w:r>
        <w:rPr>
          <w:i/>
          <w:iCs/>
          <w:color w:val="000000"/>
        </w:rPr>
        <w:t>tuo</w:t>
      </w:r>
      <w:r>
        <w:rPr>
          <w:i/>
          <w:iCs/>
          <w:color w:val="000000"/>
          <w:spacing w:val="2"/>
        </w:rPr>
        <w:t>j</w:t>
      </w:r>
      <w:r>
        <w:rPr>
          <w:i/>
          <w:iCs/>
          <w:color w:val="000000"/>
        </w:rPr>
        <w:t>a</w:t>
      </w:r>
      <w:r>
        <w:rPr>
          <w:i/>
          <w:iCs/>
          <w:color w:val="000000"/>
          <w:spacing w:val="2"/>
        </w:rPr>
        <w:t xml:space="preserve"> </w:t>
      </w:r>
      <w:r>
        <w:rPr>
          <w:i/>
          <w:iCs/>
          <w:color w:val="000000"/>
        </w:rPr>
        <w:t>n</w:t>
      </w:r>
      <w:r>
        <w:rPr>
          <w:i/>
          <w:iCs/>
          <w:color w:val="000000"/>
          <w:spacing w:val="-1"/>
        </w:rPr>
        <w:t>e</w:t>
      </w:r>
      <w:r>
        <w:rPr>
          <w:i/>
          <w:iCs/>
          <w:color w:val="000000"/>
        </w:rPr>
        <w:t>legali</w:t>
      </w:r>
      <w:r>
        <w:rPr>
          <w:i/>
          <w:iCs/>
          <w:color w:val="000000"/>
          <w:spacing w:val="3"/>
        </w:rPr>
        <w:t xml:space="preserve"> </w:t>
      </w:r>
      <w:r>
        <w:rPr>
          <w:i/>
          <w:iCs/>
          <w:color w:val="000000"/>
          <w:spacing w:val="-3"/>
        </w:rPr>
        <w:t>A</w:t>
      </w:r>
      <w:r>
        <w:rPr>
          <w:i/>
          <w:iCs/>
          <w:color w:val="000000"/>
          <w:spacing w:val="1"/>
        </w:rPr>
        <w:t>T</w:t>
      </w:r>
      <w:r>
        <w:rPr>
          <w:i/>
          <w:iCs/>
          <w:color w:val="000000"/>
        </w:rPr>
        <w:t>S</w:t>
      </w:r>
      <w:r>
        <w:rPr>
          <w:i/>
          <w:iCs/>
          <w:color w:val="000000"/>
          <w:spacing w:val="2"/>
        </w:rPr>
        <w:t xml:space="preserve"> </w:t>
      </w:r>
      <w:r>
        <w:rPr>
          <w:i/>
          <w:iCs/>
          <w:color w:val="000000"/>
        </w:rPr>
        <w:t>m</w:t>
      </w:r>
      <w:r>
        <w:rPr>
          <w:i/>
          <w:iCs/>
          <w:color w:val="000000"/>
          <w:spacing w:val="-1"/>
        </w:rPr>
        <w:t>e</w:t>
      </w:r>
      <w:r>
        <w:rPr>
          <w:i/>
          <w:iCs/>
          <w:color w:val="000000"/>
        </w:rPr>
        <w:t>d</w:t>
      </w:r>
      <w:r>
        <w:rPr>
          <w:i/>
          <w:iCs/>
          <w:color w:val="000000"/>
          <w:spacing w:val="-2"/>
        </w:rPr>
        <w:t>ž</w:t>
      </w:r>
      <w:r>
        <w:rPr>
          <w:i/>
          <w:iCs/>
          <w:color w:val="000000"/>
        </w:rPr>
        <w:t>iagų gam</w:t>
      </w:r>
      <w:r>
        <w:rPr>
          <w:i/>
          <w:iCs/>
          <w:color w:val="000000"/>
          <w:spacing w:val="-1"/>
        </w:rPr>
        <w:t>y</w:t>
      </w:r>
      <w:r>
        <w:rPr>
          <w:i/>
          <w:iCs/>
          <w:color w:val="000000"/>
        </w:rPr>
        <w:t>ba</w:t>
      </w:r>
      <w:r>
        <w:rPr>
          <w:i/>
          <w:iCs/>
          <w:color w:val="000000"/>
          <w:spacing w:val="2"/>
        </w:rPr>
        <w:t xml:space="preserve"> </w:t>
      </w:r>
      <w:r>
        <w:rPr>
          <w:i/>
          <w:iCs/>
          <w:color w:val="000000"/>
        </w:rPr>
        <w:t xml:space="preserve">ir </w:t>
      </w:r>
      <w:r>
        <w:rPr>
          <w:i/>
          <w:iCs/>
          <w:color w:val="000000"/>
          <w:spacing w:val="-1"/>
        </w:rPr>
        <w:t>k</w:t>
      </w:r>
      <w:r>
        <w:rPr>
          <w:i/>
          <w:iCs/>
          <w:color w:val="000000"/>
        </w:rPr>
        <w:t>anapių</w:t>
      </w:r>
      <w:r>
        <w:rPr>
          <w:i/>
          <w:iCs/>
          <w:color w:val="000000"/>
          <w:spacing w:val="3"/>
        </w:rPr>
        <w:t xml:space="preserve"> </w:t>
      </w:r>
      <w:r>
        <w:rPr>
          <w:i/>
          <w:iCs/>
          <w:color w:val="000000"/>
        </w:rPr>
        <w:t>augin</w:t>
      </w:r>
      <w:r>
        <w:rPr>
          <w:i/>
          <w:iCs/>
          <w:color w:val="000000"/>
          <w:spacing w:val="1"/>
        </w:rPr>
        <w:t>i</w:t>
      </w:r>
      <w:r>
        <w:rPr>
          <w:i/>
          <w:iCs/>
          <w:color w:val="000000"/>
        </w:rPr>
        <w:t>mas di</w:t>
      </w:r>
      <w:r>
        <w:rPr>
          <w:i/>
          <w:iCs/>
          <w:color w:val="000000"/>
          <w:spacing w:val="-2"/>
        </w:rPr>
        <w:t>r</w:t>
      </w:r>
      <w:r>
        <w:rPr>
          <w:i/>
          <w:iCs/>
          <w:color w:val="000000"/>
        </w:rPr>
        <w:t>bt</w:t>
      </w:r>
      <w:r>
        <w:rPr>
          <w:i/>
          <w:iCs/>
          <w:color w:val="000000"/>
          <w:spacing w:val="1"/>
        </w:rPr>
        <w:t>i</w:t>
      </w:r>
      <w:r>
        <w:rPr>
          <w:i/>
          <w:iCs/>
          <w:color w:val="000000"/>
        </w:rPr>
        <w:t>n</w:t>
      </w:r>
      <w:r>
        <w:rPr>
          <w:i/>
          <w:iCs/>
          <w:color w:val="000000"/>
          <w:spacing w:val="-1"/>
        </w:rPr>
        <w:t>ė</w:t>
      </w:r>
      <w:r>
        <w:rPr>
          <w:i/>
          <w:iCs/>
          <w:color w:val="000000"/>
        </w:rPr>
        <w:t xml:space="preserve">mis </w:t>
      </w:r>
      <w:r>
        <w:rPr>
          <w:i/>
          <w:iCs/>
          <w:color w:val="000000"/>
          <w:spacing w:val="-2"/>
        </w:rPr>
        <w:t>s</w:t>
      </w:r>
      <w:r>
        <w:rPr>
          <w:i/>
          <w:iCs/>
          <w:color w:val="000000"/>
        </w:rPr>
        <w:t>ąlygo</w:t>
      </w:r>
      <w:r>
        <w:rPr>
          <w:i/>
          <w:iCs/>
          <w:color w:val="000000"/>
          <w:spacing w:val="-1"/>
        </w:rPr>
        <w:t>m</w:t>
      </w:r>
      <w:r>
        <w:rPr>
          <w:i/>
          <w:iCs/>
          <w:color w:val="000000"/>
        </w:rPr>
        <w:t xml:space="preserve">is </w:t>
      </w:r>
      <w:r>
        <w:rPr>
          <w:i/>
          <w:iCs/>
          <w:color w:val="000000"/>
          <w:spacing w:val="-3"/>
        </w:rPr>
        <w:t>(</w:t>
      </w:r>
      <w:r>
        <w:rPr>
          <w:i/>
          <w:iCs/>
          <w:color w:val="000000"/>
        </w:rPr>
        <w:t>d</w:t>
      </w:r>
      <w:r>
        <w:rPr>
          <w:i/>
          <w:iCs/>
          <w:color w:val="000000"/>
          <w:spacing w:val="5"/>
        </w:rPr>
        <w:t>a</w:t>
      </w:r>
      <w:r>
        <w:rPr>
          <w:i/>
          <w:iCs/>
          <w:color w:val="000000"/>
          <w:spacing w:val="-2"/>
        </w:rPr>
        <w:t>ž</w:t>
      </w:r>
      <w:r>
        <w:rPr>
          <w:i/>
          <w:iCs/>
          <w:color w:val="000000"/>
        </w:rPr>
        <w:t>niau</w:t>
      </w:r>
      <w:r>
        <w:rPr>
          <w:i/>
          <w:iCs/>
          <w:color w:val="000000"/>
          <w:spacing w:val="-2"/>
        </w:rPr>
        <w:t>s</w:t>
      </w:r>
      <w:r>
        <w:rPr>
          <w:i/>
          <w:iCs/>
          <w:color w:val="000000"/>
        </w:rPr>
        <w:t>iai a</w:t>
      </w:r>
      <w:r>
        <w:rPr>
          <w:i/>
          <w:iCs/>
          <w:color w:val="000000"/>
          <w:spacing w:val="-2"/>
        </w:rPr>
        <w:t>s</w:t>
      </w:r>
      <w:r>
        <w:rPr>
          <w:i/>
          <w:iCs/>
          <w:color w:val="000000"/>
        </w:rPr>
        <w:t>m</w:t>
      </w:r>
      <w:r>
        <w:rPr>
          <w:i/>
          <w:iCs/>
          <w:color w:val="000000"/>
          <w:spacing w:val="-1"/>
        </w:rPr>
        <w:t>e</w:t>
      </w:r>
      <w:r>
        <w:rPr>
          <w:i/>
          <w:iCs/>
          <w:color w:val="000000"/>
        </w:rPr>
        <w:t>nin</w:t>
      </w:r>
      <w:r>
        <w:rPr>
          <w:i/>
          <w:iCs/>
          <w:color w:val="000000"/>
          <w:spacing w:val="1"/>
        </w:rPr>
        <w:t>i</w:t>
      </w:r>
      <w:r>
        <w:rPr>
          <w:i/>
          <w:iCs/>
          <w:color w:val="000000"/>
        </w:rPr>
        <w:t>am</w:t>
      </w:r>
      <w:r>
        <w:rPr>
          <w:i/>
          <w:iCs/>
          <w:color w:val="000000"/>
          <w:spacing w:val="2"/>
        </w:rPr>
        <w:t xml:space="preserve"> </w:t>
      </w:r>
      <w:r>
        <w:rPr>
          <w:i/>
          <w:iCs/>
          <w:color w:val="000000"/>
          <w:spacing w:val="-1"/>
        </w:rPr>
        <w:t>v</w:t>
      </w:r>
      <w:r>
        <w:rPr>
          <w:i/>
          <w:iCs/>
          <w:color w:val="000000"/>
        </w:rPr>
        <w:t>a</w:t>
      </w:r>
      <w:r>
        <w:rPr>
          <w:i/>
          <w:iCs/>
          <w:color w:val="000000"/>
          <w:spacing w:val="-2"/>
        </w:rPr>
        <w:t>r</w:t>
      </w:r>
      <w:r>
        <w:rPr>
          <w:i/>
          <w:iCs/>
          <w:color w:val="000000"/>
        </w:rPr>
        <w:t>to</w:t>
      </w:r>
      <w:r>
        <w:rPr>
          <w:i/>
          <w:iCs/>
          <w:color w:val="000000"/>
          <w:spacing w:val="1"/>
        </w:rPr>
        <w:t>j</w:t>
      </w:r>
      <w:r>
        <w:rPr>
          <w:i/>
          <w:iCs/>
          <w:color w:val="000000"/>
        </w:rPr>
        <w:t>imui</w:t>
      </w:r>
      <w:r>
        <w:rPr>
          <w:i/>
          <w:iCs/>
          <w:color w:val="000000"/>
          <w:spacing w:val="4"/>
        </w:rPr>
        <w:t>)</w:t>
      </w:r>
      <w:r>
        <w:rPr>
          <w:color w:val="000000"/>
        </w:rPr>
        <w:t>;</w:t>
      </w:r>
    </w:p>
    <w:p w:rsidR="004F7425" w:rsidRDefault="004F7425" w:rsidP="004F7425">
      <w:pPr>
        <w:widowControl w:val="0"/>
        <w:tabs>
          <w:tab w:val="left" w:pos="6180"/>
        </w:tabs>
        <w:autoSpaceDE w:val="0"/>
        <w:autoSpaceDN w:val="0"/>
        <w:adjustRightInd w:val="0"/>
        <w:spacing w:line="275" w:lineRule="auto"/>
        <w:ind w:left="6189" w:right="150" w:hanging="427"/>
        <w:rPr>
          <w:color w:val="000000"/>
        </w:rPr>
      </w:pPr>
      <w:r>
        <w:rPr>
          <w:rFonts w:ascii="Wingdings" w:hAnsi="Wingdings" w:cs="Wingdings"/>
          <w:color w:val="000000"/>
        </w:rPr>
        <w:t></w:t>
      </w:r>
      <w:r>
        <w:rPr>
          <w:color w:val="000000"/>
        </w:rPr>
        <w:tab/>
      </w:r>
      <w:r>
        <w:rPr>
          <w:i/>
          <w:iCs/>
          <w:color w:val="000000"/>
          <w:spacing w:val="2"/>
        </w:rPr>
        <w:t>A</w:t>
      </w:r>
      <w:r>
        <w:rPr>
          <w:i/>
          <w:iCs/>
          <w:color w:val="000000"/>
          <w:spacing w:val="1"/>
        </w:rPr>
        <w:t>T</w:t>
      </w:r>
      <w:r>
        <w:rPr>
          <w:i/>
          <w:iCs/>
          <w:color w:val="000000"/>
        </w:rPr>
        <w:t>S</w:t>
      </w:r>
      <w:r>
        <w:rPr>
          <w:i/>
          <w:iCs/>
          <w:color w:val="000000"/>
          <w:spacing w:val="2"/>
        </w:rPr>
        <w:t xml:space="preserve"> </w:t>
      </w:r>
      <w:r>
        <w:rPr>
          <w:i/>
          <w:iCs/>
          <w:color w:val="000000"/>
        </w:rPr>
        <w:t>m</w:t>
      </w:r>
      <w:r>
        <w:rPr>
          <w:i/>
          <w:iCs/>
          <w:color w:val="000000"/>
          <w:spacing w:val="-1"/>
        </w:rPr>
        <w:t>e</w:t>
      </w:r>
      <w:r>
        <w:rPr>
          <w:i/>
          <w:iCs/>
          <w:color w:val="000000"/>
        </w:rPr>
        <w:t>d</w:t>
      </w:r>
      <w:r>
        <w:rPr>
          <w:i/>
          <w:iCs/>
          <w:color w:val="000000"/>
          <w:spacing w:val="-2"/>
        </w:rPr>
        <w:t>ž</w:t>
      </w:r>
      <w:r>
        <w:rPr>
          <w:i/>
          <w:iCs/>
          <w:color w:val="000000"/>
        </w:rPr>
        <w:t>iagų</w:t>
      </w:r>
      <w:r>
        <w:rPr>
          <w:i/>
          <w:iCs/>
          <w:color w:val="000000"/>
          <w:spacing w:val="3"/>
        </w:rPr>
        <w:t xml:space="preserve"> </w:t>
      </w:r>
      <w:r>
        <w:rPr>
          <w:i/>
          <w:iCs/>
          <w:color w:val="000000"/>
        </w:rPr>
        <w:t>gam</w:t>
      </w:r>
      <w:r>
        <w:rPr>
          <w:i/>
          <w:iCs/>
          <w:color w:val="000000"/>
          <w:spacing w:val="-1"/>
        </w:rPr>
        <w:t>y</w:t>
      </w:r>
      <w:r>
        <w:rPr>
          <w:i/>
          <w:iCs/>
          <w:color w:val="000000"/>
        </w:rPr>
        <w:t>ba</w:t>
      </w:r>
      <w:r>
        <w:rPr>
          <w:i/>
          <w:iCs/>
          <w:color w:val="000000"/>
          <w:spacing w:val="2"/>
        </w:rPr>
        <w:t xml:space="preserve"> </w:t>
      </w:r>
      <w:r>
        <w:rPr>
          <w:i/>
          <w:iCs/>
          <w:color w:val="000000"/>
        </w:rPr>
        <w:t>n</w:t>
      </w:r>
      <w:r>
        <w:rPr>
          <w:i/>
          <w:iCs/>
          <w:color w:val="000000"/>
          <w:spacing w:val="-1"/>
        </w:rPr>
        <w:t>e</w:t>
      </w:r>
      <w:r>
        <w:rPr>
          <w:i/>
          <w:iCs/>
          <w:color w:val="000000"/>
        </w:rPr>
        <w:t>naudojant t</w:t>
      </w:r>
      <w:r>
        <w:rPr>
          <w:i/>
          <w:iCs/>
          <w:color w:val="000000"/>
          <w:spacing w:val="-2"/>
        </w:rPr>
        <w:t>r</w:t>
      </w:r>
      <w:r>
        <w:rPr>
          <w:i/>
          <w:iCs/>
          <w:color w:val="000000"/>
        </w:rPr>
        <w:t>adicinių</w:t>
      </w:r>
      <w:r>
        <w:rPr>
          <w:i/>
          <w:iCs/>
          <w:color w:val="000000"/>
          <w:spacing w:val="3"/>
        </w:rPr>
        <w:t xml:space="preserve"> </w:t>
      </w:r>
      <w:r>
        <w:rPr>
          <w:i/>
          <w:iCs/>
          <w:color w:val="000000"/>
        </w:rPr>
        <w:t>I</w:t>
      </w:r>
      <w:r>
        <w:rPr>
          <w:i/>
          <w:iCs/>
          <w:color w:val="000000"/>
          <w:spacing w:val="4"/>
        </w:rPr>
        <w:t xml:space="preserve"> </w:t>
      </w:r>
      <w:r>
        <w:rPr>
          <w:i/>
          <w:iCs/>
          <w:color w:val="000000"/>
          <w:spacing w:val="-1"/>
        </w:rPr>
        <w:t>k</w:t>
      </w:r>
      <w:r>
        <w:rPr>
          <w:i/>
          <w:iCs/>
          <w:color w:val="000000"/>
        </w:rPr>
        <w:t>atego</w:t>
      </w:r>
      <w:r>
        <w:rPr>
          <w:i/>
          <w:iCs/>
          <w:color w:val="000000"/>
          <w:spacing w:val="-3"/>
        </w:rPr>
        <w:t>r</w:t>
      </w:r>
      <w:r>
        <w:rPr>
          <w:i/>
          <w:iCs/>
          <w:color w:val="000000"/>
        </w:rPr>
        <w:t>i</w:t>
      </w:r>
      <w:r>
        <w:rPr>
          <w:i/>
          <w:iCs/>
          <w:color w:val="000000"/>
          <w:spacing w:val="1"/>
        </w:rPr>
        <w:t>j</w:t>
      </w:r>
      <w:r>
        <w:rPr>
          <w:i/>
          <w:iCs/>
          <w:color w:val="000000"/>
        </w:rPr>
        <w:t>os pi</w:t>
      </w:r>
      <w:r>
        <w:rPr>
          <w:i/>
          <w:iCs/>
          <w:color w:val="000000"/>
          <w:spacing w:val="-2"/>
        </w:rPr>
        <w:t>r</w:t>
      </w:r>
      <w:r>
        <w:rPr>
          <w:i/>
          <w:iCs/>
          <w:color w:val="000000"/>
        </w:rPr>
        <w:t>mta</w:t>
      </w:r>
      <w:r>
        <w:rPr>
          <w:i/>
          <w:iCs/>
          <w:color w:val="000000"/>
          <w:spacing w:val="-1"/>
        </w:rPr>
        <w:t>k</w:t>
      </w:r>
      <w:r>
        <w:rPr>
          <w:i/>
          <w:iCs/>
          <w:color w:val="000000"/>
        </w:rPr>
        <w:t>ų</w:t>
      </w:r>
    </w:p>
    <w:p w:rsidR="004F7425" w:rsidRDefault="004F7425" w:rsidP="004F7425">
      <w:pPr>
        <w:widowControl w:val="0"/>
        <w:autoSpaceDE w:val="0"/>
        <w:autoSpaceDN w:val="0"/>
        <w:adjustRightInd w:val="0"/>
        <w:spacing w:before="1" w:line="271" w:lineRule="exact"/>
        <w:ind w:left="6189" w:right="-20"/>
        <w:rPr>
          <w:color w:val="000000"/>
        </w:rPr>
      </w:pPr>
      <w:r>
        <w:rPr>
          <w:i/>
          <w:iCs/>
          <w:color w:val="000000"/>
          <w:spacing w:val="-3"/>
          <w:position w:val="-1"/>
        </w:rPr>
        <w:t>(</w:t>
      </w:r>
      <w:r>
        <w:rPr>
          <w:i/>
          <w:iCs/>
          <w:color w:val="000000"/>
          <w:position w:val="-1"/>
        </w:rPr>
        <w:t>p</w:t>
      </w:r>
      <w:r>
        <w:rPr>
          <w:i/>
          <w:iCs/>
          <w:color w:val="000000"/>
          <w:spacing w:val="-2"/>
          <w:position w:val="-1"/>
        </w:rPr>
        <w:t>r</w:t>
      </w:r>
      <w:r>
        <w:rPr>
          <w:i/>
          <w:iCs/>
          <w:color w:val="000000"/>
          <w:spacing w:val="-1"/>
          <w:position w:val="-1"/>
        </w:rPr>
        <w:t>ek</w:t>
      </w:r>
      <w:r>
        <w:rPr>
          <w:i/>
          <w:iCs/>
          <w:color w:val="000000"/>
          <w:spacing w:val="5"/>
          <w:position w:val="-1"/>
        </w:rPr>
        <w:t>u</w:t>
      </w:r>
      <w:r>
        <w:rPr>
          <w:i/>
          <w:iCs/>
          <w:color w:val="000000"/>
          <w:spacing w:val="-2"/>
          <w:position w:val="-1"/>
        </w:rPr>
        <w:t>rs</w:t>
      </w:r>
      <w:r>
        <w:rPr>
          <w:i/>
          <w:iCs/>
          <w:color w:val="000000"/>
          <w:spacing w:val="5"/>
          <w:position w:val="-1"/>
        </w:rPr>
        <w:t>o</w:t>
      </w:r>
      <w:r>
        <w:rPr>
          <w:i/>
          <w:iCs/>
          <w:color w:val="000000"/>
          <w:spacing w:val="-2"/>
          <w:position w:val="-1"/>
        </w:rPr>
        <w:t>r</w:t>
      </w:r>
      <w:r>
        <w:rPr>
          <w:i/>
          <w:iCs/>
          <w:color w:val="000000"/>
          <w:position w:val="-1"/>
        </w:rPr>
        <w:t>ių</w:t>
      </w:r>
      <w:r>
        <w:rPr>
          <w:i/>
          <w:iCs/>
          <w:color w:val="000000"/>
          <w:spacing w:val="2"/>
          <w:position w:val="-1"/>
        </w:rPr>
        <w:t>)</w:t>
      </w:r>
      <w:r>
        <w:rPr>
          <w:i/>
          <w:iCs/>
          <w:color w:val="000000"/>
          <w:position w:val="-1"/>
        </w:rPr>
        <w:t>.</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6" w:line="240" w:lineRule="exact"/>
        <w:rPr>
          <w:color w:val="000000"/>
        </w:rPr>
      </w:pPr>
    </w:p>
    <w:p w:rsidR="004F7425" w:rsidRDefault="004F7425" w:rsidP="004F7425">
      <w:pPr>
        <w:widowControl w:val="0"/>
        <w:autoSpaceDE w:val="0"/>
        <w:autoSpaceDN w:val="0"/>
        <w:adjustRightInd w:val="0"/>
        <w:spacing w:before="29"/>
        <w:ind w:left="682" w:right="-20"/>
        <w:rPr>
          <w:color w:val="000000"/>
        </w:rPr>
      </w:pPr>
      <w:r>
        <w:rPr>
          <w:b/>
          <w:bCs/>
          <w:color w:val="933634"/>
          <w:spacing w:val="-2"/>
        </w:rPr>
        <w:t>Iš</w:t>
      </w:r>
      <w:r>
        <w:rPr>
          <w:b/>
          <w:bCs/>
          <w:color w:val="933634"/>
        </w:rPr>
        <w:t>i</w:t>
      </w:r>
      <w:r>
        <w:rPr>
          <w:b/>
          <w:bCs/>
          <w:color w:val="933634"/>
          <w:spacing w:val="-3"/>
        </w:rPr>
        <w:t>m</w:t>
      </w:r>
      <w:r>
        <w:rPr>
          <w:b/>
          <w:bCs/>
          <w:color w:val="933634"/>
          <w:spacing w:val="1"/>
        </w:rPr>
        <w:t>t</w:t>
      </w:r>
      <w:r>
        <w:rPr>
          <w:b/>
          <w:bCs/>
          <w:color w:val="933634"/>
        </w:rPr>
        <w:t>ų</w:t>
      </w:r>
      <w:r>
        <w:rPr>
          <w:b/>
          <w:bCs/>
          <w:color w:val="933634"/>
          <w:spacing w:val="3"/>
        </w:rPr>
        <w:t xml:space="preserve"> </w:t>
      </w:r>
      <w:r>
        <w:rPr>
          <w:b/>
          <w:bCs/>
          <w:color w:val="933634"/>
        </w:rPr>
        <w:t>iš a</w:t>
      </w:r>
      <w:r>
        <w:rPr>
          <w:b/>
          <w:bCs/>
          <w:color w:val="933634"/>
          <w:spacing w:val="1"/>
        </w:rPr>
        <w:t>p</w:t>
      </w:r>
      <w:r>
        <w:rPr>
          <w:b/>
          <w:bCs/>
          <w:color w:val="933634"/>
        </w:rPr>
        <w:t>yva</w:t>
      </w:r>
      <w:r>
        <w:rPr>
          <w:b/>
          <w:bCs/>
          <w:color w:val="933634"/>
          <w:spacing w:val="-6"/>
        </w:rPr>
        <w:t>r</w:t>
      </w:r>
      <w:r>
        <w:rPr>
          <w:b/>
          <w:bCs/>
          <w:color w:val="933634"/>
          <w:spacing w:val="1"/>
        </w:rPr>
        <w:t>t</w:t>
      </w:r>
      <w:r>
        <w:rPr>
          <w:b/>
          <w:bCs/>
          <w:color w:val="933634"/>
        </w:rPr>
        <w:t xml:space="preserve">os </w:t>
      </w:r>
      <w:r>
        <w:rPr>
          <w:b/>
          <w:bCs/>
          <w:color w:val="933634"/>
          <w:spacing w:val="1"/>
        </w:rPr>
        <w:t>n</w:t>
      </w:r>
      <w:r>
        <w:rPr>
          <w:b/>
          <w:bCs/>
          <w:color w:val="933634"/>
          <w:spacing w:val="5"/>
        </w:rPr>
        <w:t>a</w:t>
      </w:r>
      <w:r>
        <w:rPr>
          <w:b/>
          <w:bCs/>
          <w:color w:val="933634"/>
          <w:spacing w:val="-1"/>
        </w:rPr>
        <w:t>r</w:t>
      </w:r>
      <w:r>
        <w:rPr>
          <w:b/>
          <w:bCs/>
          <w:color w:val="933634"/>
          <w:spacing w:val="-4"/>
        </w:rPr>
        <w:t>k</w:t>
      </w:r>
      <w:r>
        <w:rPr>
          <w:b/>
          <w:bCs/>
          <w:color w:val="933634"/>
        </w:rPr>
        <w:t>o</w:t>
      </w:r>
      <w:r>
        <w:rPr>
          <w:b/>
          <w:bCs/>
          <w:color w:val="933634"/>
          <w:spacing w:val="1"/>
        </w:rPr>
        <w:t>t</w:t>
      </w:r>
      <w:r>
        <w:rPr>
          <w:b/>
          <w:bCs/>
          <w:color w:val="933634"/>
        </w:rPr>
        <w:t>i</w:t>
      </w:r>
      <w:r>
        <w:rPr>
          <w:b/>
          <w:bCs/>
          <w:color w:val="933634"/>
          <w:spacing w:val="1"/>
        </w:rPr>
        <w:t>n</w:t>
      </w:r>
      <w:r>
        <w:rPr>
          <w:b/>
          <w:bCs/>
          <w:color w:val="933634"/>
        </w:rPr>
        <w:t>ių</w:t>
      </w:r>
      <w:r>
        <w:rPr>
          <w:b/>
          <w:bCs/>
          <w:color w:val="933634"/>
          <w:spacing w:val="3"/>
        </w:rPr>
        <w:t xml:space="preserve"> </w:t>
      </w:r>
      <w:r>
        <w:rPr>
          <w:b/>
          <w:bCs/>
          <w:color w:val="933634"/>
        </w:rPr>
        <w:t>ir</w:t>
      </w:r>
      <w:r>
        <w:rPr>
          <w:b/>
          <w:bCs/>
          <w:color w:val="933634"/>
          <w:spacing w:val="-3"/>
        </w:rPr>
        <w:t xml:space="preserve"> </w:t>
      </w:r>
      <w:r>
        <w:rPr>
          <w:b/>
          <w:bCs/>
          <w:color w:val="933634"/>
          <w:spacing w:val="1"/>
        </w:rPr>
        <w:t>p</w:t>
      </w:r>
      <w:r>
        <w:rPr>
          <w:b/>
          <w:bCs/>
          <w:color w:val="933634"/>
          <w:spacing w:val="-2"/>
        </w:rPr>
        <w:t>s</w:t>
      </w:r>
      <w:r>
        <w:rPr>
          <w:b/>
          <w:bCs/>
          <w:color w:val="933634"/>
        </w:rPr>
        <w:t>icho</w:t>
      </w:r>
      <w:r>
        <w:rPr>
          <w:b/>
          <w:bCs/>
          <w:color w:val="933634"/>
          <w:spacing w:val="2"/>
        </w:rPr>
        <w:t>t</w:t>
      </w:r>
      <w:r>
        <w:rPr>
          <w:b/>
          <w:bCs/>
          <w:color w:val="933634"/>
          <w:spacing w:val="-6"/>
        </w:rPr>
        <w:t>r</w:t>
      </w:r>
      <w:r>
        <w:rPr>
          <w:b/>
          <w:bCs/>
          <w:color w:val="933634"/>
        </w:rPr>
        <w:t>o</w:t>
      </w:r>
      <w:r>
        <w:rPr>
          <w:b/>
          <w:bCs/>
          <w:color w:val="933634"/>
          <w:spacing w:val="1"/>
        </w:rPr>
        <w:t>p</w:t>
      </w:r>
      <w:r>
        <w:rPr>
          <w:b/>
          <w:bCs/>
          <w:color w:val="933634"/>
        </w:rPr>
        <w:t>i</w:t>
      </w:r>
      <w:r>
        <w:rPr>
          <w:b/>
          <w:bCs/>
          <w:color w:val="933634"/>
          <w:spacing w:val="1"/>
        </w:rPr>
        <w:t>n</w:t>
      </w:r>
      <w:r>
        <w:rPr>
          <w:b/>
          <w:bCs/>
          <w:color w:val="933634"/>
        </w:rPr>
        <w:t>ių</w:t>
      </w:r>
      <w:r>
        <w:rPr>
          <w:b/>
          <w:bCs/>
          <w:color w:val="933634"/>
          <w:spacing w:val="3"/>
        </w:rPr>
        <w:t xml:space="preserve"> </w:t>
      </w:r>
      <w:r>
        <w:rPr>
          <w:b/>
          <w:bCs/>
          <w:color w:val="933634"/>
          <w:spacing w:val="-3"/>
        </w:rPr>
        <w:t>m</w:t>
      </w:r>
      <w:r>
        <w:rPr>
          <w:b/>
          <w:bCs/>
          <w:color w:val="933634"/>
          <w:spacing w:val="-1"/>
        </w:rPr>
        <w:t>e</w:t>
      </w:r>
      <w:r>
        <w:rPr>
          <w:b/>
          <w:bCs/>
          <w:color w:val="933634"/>
          <w:spacing w:val="1"/>
        </w:rPr>
        <w:t>d</w:t>
      </w:r>
      <w:r>
        <w:rPr>
          <w:b/>
          <w:bCs/>
          <w:color w:val="933634"/>
          <w:spacing w:val="-6"/>
        </w:rPr>
        <w:t>ž</w:t>
      </w:r>
      <w:r>
        <w:rPr>
          <w:b/>
          <w:bCs/>
          <w:color w:val="933634"/>
        </w:rPr>
        <w:t>iagų</w:t>
      </w:r>
      <w:r>
        <w:rPr>
          <w:b/>
          <w:bCs/>
          <w:color w:val="933634"/>
          <w:spacing w:val="3"/>
        </w:rPr>
        <w:t xml:space="preserve"> </w:t>
      </w:r>
      <w:r>
        <w:rPr>
          <w:b/>
          <w:bCs/>
          <w:color w:val="933634"/>
          <w:spacing w:val="-4"/>
        </w:rPr>
        <w:t>k</w:t>
      </w:r>
      <w:r>
        <w:rPr>
          <w:b/>
          <w:bCs/>
          <w:color w:val="933634"/>
        </w:rPr>
        <w:t>i</w:t>
      </w:r>
      <w:r>
        <w:rPr>
          <w:b/>
          <w:bCs/>
          <w:color w:val="933634"/>
          <w:spacing w:val="4"/>
        </w:rPr>
        <w:t>ek</w:t>
      </w:r>
      <w:r>
        <w:rPr>
          <w:b/>
          <w:bCs/>
          <w:color w:val="933634"/>
        </w:rPr>
        <w:t>io</w:t>
      </w:r>
      <w:r>
        <w:rPr>
          <w:b/>
          <w:bCs/>
          <w:color w:val="933634"/>
          <w:spacing w:val="3"/>
        </w:rPr>
        <w:t xml:space="preserve"> </w:t>
      </w:r>
      <w:r>
        <w:rPr>
          <w:b/>
          <w:bCs/>
          <w:color w:val="933634"/>
          <w:spacing w:val="-4"/>
        </w:rPr>
        <w:t>l</w:t>
      </w:r>
      <w:r>
        <w:rPr>
          <w:b/>
          <w:bCs/>
          <w:color w:val="933634"/>
        </w:rPr>
        <w:t>ygi</w:t>
      </w:r>
      <w:r>
        <w:rPr>
          <w:b/>
          <w:bCs/>
          <w:color w:val="933634"/>
          <w:spacing w:val="1"/>
        </w:rPr>
        <w:t>n</w:t>
      </w:r>
      <w:r>
        <w:rPr>
          <w:b/>
          <w:bCs/>
          <w:color w:val="933634"/>
          <w:spacing w:val="5"/>
        </w:rPr>
        <w:t>a</w:t>
      </w:r>
      <w:r>
        <w:rPr>
          <w:b/>
          <w:bCs/>
          <w:color w:val="933634"/>
          <w:spacing w:val="-3"/>
        </w:rPr>
        <w:t>m</w:t>
      </w:r>
      <w:r>
        <w:rPr>
          <w:b/>
          <w:bCs/>
          <w:color w:val="933634"/>
        </w:rPr>
        <w:t>o</w:t>
      </w:r>
      <w:r>
        <w:rPr>
          <w:b/>
          <w:bCs/>
          <w:color w:val="933634"/>
          <w:spacing w:val="1"/>
        </w:rPr>
        <w:t>j</w:t>
      </w:r>
      <w:r>
        <w:rPr>
          <w:b/>
          <w:bCs/>
          <w:color w:val="933634"/>
        </w:rPr>
        <w:t>i</w:t>
      </w:r>
      <w:r>
        <w:rPr>
          <w:b/>
          <w:bCs/>
          <w:color w:val="933634"/>
          <w:spacing w:val="3"/>
        </w:rPr>
        <w:t xml:space="preserve"> </w:t>
      </w:r>
      <w:r>
        <w:rPr>
          <w:b/>
          <w:bCs/>
          <w:color w:val="933634"/>
          <w:spacing w:val="-4"/>
        </w:rPr>
        <w:t>l</w:t>
      </w:r>
      <w:r>
        <w:rPr>
          <w:b/>
          <w:bCs/>
          <w:color w:val="933634"/>
          <w:spacing w:val="-1"/>
        </w:rPr>
        <w:t>e</w:t>
      </w:r>
      <w:r>
        <w:rPr>
          <w:b/>
          <w:bCs/>
          <w:color w:val="933634"/>
          <w:spacing w:val="1"/>
        </w:rPr>
        <w:t>nt</w:t>
      </w:r>
      <w:r>
        <w:rPr>
          <w:b/>
          <w:bCs/>
          <w:color w:val="933634"/>
          <w:spacing w:val="-1"/>
        </w:rPr>
        <w:t>e</w:t>
      </w:r>
      <w:r>
        <w:rPr>
          <w:b/>
          <w:bCs/>
          <w:color w:val="933634"/>
        </w:rPr>
        <w:t>lė</w:t>
      </w:r>
    </w:p>
    <w:p w:rsidR="004F7425" w:rsidRDefault="004F7425" w:rsidP="004F7425">
      <w:pPr>
        <w:widowControl w:val="0"/>
        <w:autoSpaceDE w:val="0"/>
        <w:autoSpaceDN w:val="0"/>
        <w:adjustRightInd w:val="0"/>
        <w:spacing w:before="1" w:line="130" w:lineRule="exact"/>
        <w:rPr>
          <w:color w:val="000000"/>
          <w:sz w:val="13"/>
          <w:szCs w:val="13"/>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tbl>
      <w:tblPr>
        <w:tblW w:w="0" w:type="auto"/>
        <w:tblInd w:w="292" w:type="dxa"/>
        <w:tblLayout w:type="fixed"/>
        <w:tblCellMar>
          <w:left w:w="0" w:type="dxa"/>
          <w:right w:w="0" w:type="dxa"/>
        </w:tblCellMar>
        <w:tblLook w:val="0000" w:firstRow="0" w:lastRow="0" w:firstColumn="0" w:lastColumn="0" w:noHBand="0" w:noVBand="0"/>
      </w:tblPr>
      <w:tblGrid>
        <w:gridCol w:w="3102"/>
        <w:gridCol w:w="3097"/>
        <w:gridCol w:w="3097"/>
      </w:tblGrid>
      <w:tr w:rsidR="004F7425" w:rsidTr="004F7425">
        <w:trPr>
          <w:trHeight w:hRule="exact" w:val="516"/>
        </w:trPr>
        <w:tc>
          <w:tcPr>
            <w:tcW w:w="3102" w:type="dxa"/>
            <w:tcBorders>
              <w:top w:val="single" w:sz="4" w:space="0" w:color="000000"/>
              <w:left w:val="single" w:sz="4" w:space="0" w:color="000000"/>
              <w:bottom w:val="single" w:sz="4" w:space="0" w:color="000000"/>
              <w:right w:val="single" w:sz="8" w:space="0" w:color="000000"/>
            </w:tcBorders>
            <w:shd w:val="clear" w:color="auto" w:fill="E4B8B7"/>
          </w:tcPr>
          <w:p w:rsidR="004F7425" w:rsidRDefault="004F7425" w:rsidP="004F7425">
            <w:pPr>
              <w:widowControl w:val="0"/>
              <w:autoSpaceDE w:val="0"/>
              <w:autoSpaceDN w:val="0"/>
              <w:adjustRightInd w:val="0"/>
              <w:spacing w:before="84"/>
              <w:ind w:left="378" w:right="-20"/>
            </w:pPr>
            <w:r>
              <w:rPr>
                <w:spacing w:val="-2"/>
              </w:rPr>
              <w:t>M</w:t>
            </w:r>
            <w:r>
              <w:rPr>
                <w:spacing w:val="-1"/>
              </w:rPr>
              <w:t>e</w:t>
            </w:r>
            <w:r>
              <w:t>d</w:t>
            </w:r>
            <w:r>
              <w:rPr>
                <w:spacing w:val="4"/>
              </w:rPr>
              <w:t>ž</w:t>
            </w:r>
            <w:r>
              <w:rPr>
                <w:spacing w:val="-4"/>
              </w:rPr>
              <w:t>i</w:t>
            </w:r>
            <w:r>
              <w:rPr>
                <w:spacing w:val="-1"/>
              </w:rPr>
              <w:t>a</w:t>
            </w:r>
            <w:r>
              <w:t>g</w:t>
            </w:r>
            <w:r>
              <w:rPr>
                <w:spacing w:val="5"/>
              </w:rPr>
              <w:t>o</w:t>
            </w:r>
            <w:r>
              <w:t>s p</w:t>
            </w:r>
            <w:r>
              <w:rPr>
                <w:spacing w:val="-1"/>
              </w:rPr>
              <w:t>a</w:t>
            </w:r>
            <w:r>
              <w:rPr>
                <w:spacing w:val="-5"/>
              </w:rPr>
              <w:t>v</w:t>
            </w:r>
            <w:r>
              <w:rPr>
                <w:spacing w:val="-1"/>
              </w:rPr>
              <w:t>a</w:t>
            </w:r>
            <w:r>
              <w:rPr>
                <w:spacing w:val="5"/>
              </w:rPr>
              <w:t>d</w:t>
            </w:r>
            <w:r>
              <w:rPr>
                <w:spacing w:val="-4"/>
              </w:rPr>
              <w:t>i</w:t>
            </w:r>
            <w:r>
              <w:rPr>
                <w:spacing w:val="5"/>
              </w:rPr>
              <w:t>n</w:t>
            </w:r>
            <w:r>
              <w:t>i</w:t>
            </w:r>
            <w:r>
              <w:rPr>
                <w:spacing w:val="-4"/>
              </w:rPr>
              <w:t>m</w:t>
            </w:r>
            <w:r>
              <w:rPr>
                <w:spacing w:val="4"/>
              </w:rPr>
              <w:t>a</w:t>
            </w:r>
            <w:r>
              <w:t>s</w:t>
            </w:r>
          </w:p>
        </w:tc>
        <w:tc>
          <w:tcPr>
            <w:tcW w:w="3097" w:type="dxa"/>
            <w:tcBorders>
              <w:top w:val="single" w:sz="4" w:space="0" w:color="000000"/>
              <w:left w:val="single" w:sz="8" w:space="0" w:color="000000"/>
              <w:bottom w:val="single" w:sz="4" w:space="0" w:color="000000"/>
              <w:right w:val="single" w:sz="8" w:space="0" w:color="000000"/>
            </w:tcBorders>
            <w:shd w:val="clear" w:color="auto" w:fill="E4B8B7"/>
          </w:tcPr>
          <w:p w:rsidR="004F7425" w:rsidRDefault="004F7425" w:rsidP="004F7425">
            <w:pPr>
              <w:widowControl w:val="0"/>
              <w:autoSpaceDE w:val="0"/>
              <w:autoSpaceDN w:val="0"/>
              <w:adjustRightInd w:val="0"/>
              <w:spacing w:before="84"/>
              <w:ind w:left="1051" w:right="1149"/>
              <w:jc w:val="center"/>
            </w:pPr>
            <w:r>
              <w:t>2011</w:t>
            </w:r>
            <w:r>
              <w:rPr>
                <w:spacing w:val="2"/>
              </w:rPr>
              <w:t xml:space="preserve"> </w:t>
            </w:r>
            <w:r>
              <w:rPr>
                <w:spacing w:val="-9"/>
              </w:rPr>
              <w:t>m</w:t>
            </w:r>
            <w:r>
              <w:t>.</w:t>
            </w:r>
          </w:p>
        </w:tc>
        <w:tc>
          <w:tcPr>
            <w:tcW w:w="3097" w:type="dxa"/>
            <w:tcBorders>
              <w:top w:val="single" w:sz="4" w:space="0" w:color="000000"/>
              <w:left w:val="single" w:sz="8" w:space="0" w:color="000000"/>
              <w:bottom w:val="single" w:sz="4" w:space="0" w:color="000000"/>
              <w:right w:val="single" w:sz="8" w:space="0" w:color="000000"/>
            </w:tcBorders>
            <w:shd w:val="clear" w:color="auto" w:fill="E4B8B7"/>
          </w:tcPr>
          <w:p w:rsidR="004F7425" w:rsidRDefault="004F7425" w:rsidP="004F7425">
            <w:pPr>
              <w:widowControl w:val="0"/>
              <w:autoSpaceDE w:val="0"/>
              <w:autoSpaceDN w:val="0"/>
              <w:adjustRightInd w:val="0"/>
              <w:spacing w:before="89"/>
              <w:ind w:left="1041" w:right="1139"/>
              <w:jc w:val="center"/>
            </w:pPr>
            <w:r>
              <w:rPr>
                <w:b/>
                <w:bCs/>
                <w:color w:val="C0504D"/>
              </w:rPr>
              <w:t>2012</w:t>
            </w:r>
            <w:r>
              <w:rPr>
                <w:b/>
                <w:bCs/>
                <w:color w:val="C0504D"/>
                <w:spacing w:val="2"/>
              </w:rPr>
              <w:t xml:space="preserve"> </w:t>
            </w:r>
            <w:r>
              <w:rPr>
                <w:b/>
                <w:bCs/>
                <w:color w:val="C0504D"/>
                <w:spacing w:val="-3"/>
              </w:rPr>
              <w:t>m</w:t>
            </w:r>
            <w:r>
              <w:rPr>
                <w:b/>
                <w:bCs/>
                <w:color w:val="C0504D"/>
              </w:rPr>
              <w:t>.</w:t>
            </w:r>
          </w:p>
        </w:tc>
      </w:tr>
      <w:tr w:rsidR="004F7425" w:rsidTr="004F7425">
        <w:trPr>
          <w:trHeight w:hRule="exact" w:val="331"/>
        </w:trPr>
        <w:tc>
          <w:tcPr>
            <w:tcW w:w="3102" w:type="dxa"/>
            <w:tcBorders>
              <w:top w:val="single" w:sz="4"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599" w:right="-20"/>
            </w:pPr>
            <w:r>
              <w:rPr>
                <w:spacing w:val="-5"/>
              </w:rPr>
              <w:t>A</w:t>
            </w:r>
            <w:r>
              <w:t>gu</w:t>
            </w:r>
            <w:r>
              <w:rPr>
                <w:spacing w:val="5"/>
              </w:rPr>
              <w:t>o</w:t>
            </w:r>
            <w:r>
              <w:rPr>
                <w:spacing w:val="-5"/>
              </w:rPr>
              <w:t>n</w:t>
            </w:r>
            <w:r>
              <w:rPr>
                <w:spacing w:val="5"/>
              </w:rPr>
              <w:t>o</w:t>
            </w:r>
            <w:r>
              <w:t>s</w:t>
            </w:r>
            <w:r>
              <w:rPr>
                <w:spacing w:val="5"/>
              </w:rPr>
              <w:t xml:space="preserve"> </w:t>
            </w:r>
            <w:r>
              <w:rPr>
                <w:spacing w:val="-9"/>
              </w:rPr>
              <w:t>i</w:t>
            </w:r>
            <w:r>
              <w:t>r</w:t>
            </w:r>
            <w:r>
              <w:rPr>
                <w:spacing w:val="8"/>
              </w:rPr>
              <w:t xml:space="preserve"> </w:t>
            </w:r>
            <w:r>
              <w:rPr>
                <w:spacing w:val="-9"/>
              </w:rPr>
              <w:t>j</w:t>
            </w:r>
            <w:r>
              <w:t>ų</w:t>
            </w:r>
            <w:r>
              <w:rPr>
                <w:spacing w:val="2"/>
              </w:rPr>
              <w:t xml:space="preserve"> </w:t>
            </w:r>
            <w:r>
              <w:t>d</w:t>
            </w:r>
            <w:r>
              <w:rPr>
                <w:spacing w:val="4"/>
              </w:rPr>
              <w:t>a</w:t>
            </w:r>
            <w:r>
              <w:t>l</w:t>
            </w:r>
            <w:r>
              <w:rPr>
                <w:spacing w:val="-4"/>
              </w:rPr>
              <w:t>y</w:t>
            </w:r>
            <w:r>
              <w:t>s</w:t>
            </w:r>
          </w:p>
        </w:tc>
        <w:tc>
          <w:tcPr>
            <w:tcW w:w="3097" w:type="dxa"/>
            <w:tcBorders>
              <w:top w:val="single" w:sz="4"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085" w:right="1171"/>
              <w:jc w:val="center"/>
            </w:pPr>
            <w:r>
              <w:t>23</w:t>
            </w:r>
            <w:r>
              <w:rPr>
                <w:spacing w:val="2"/>
              </w:rPr>
              <w:t>,</w:t>
            </w:r>
            <w:r>
              <w:t>3</w:t>
            </w:r>
            <w:r>
              <w:rPr>
                <w:spacing w:val="2"/>
              </w:rPr>
              <w:t xml:space="preserve"> </w:t>
            </w:r>
            <w:r>
              <w:t>kg</w:t>
            </w:r>
          </w:p>
        </w:tc>
        <w:tc>
          <w:tcPr>
            <w:tcW w:w="3097" w:type="dxa"/>
            <w:tcBorders>
              <w:top w:val="single" w:sz="4"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137" w:right="1228"/>
              <w:jc w:val="center"/>
            </w:pPr>
            <w:r>
              <w:rPr>
                <w:b/>
                <w:bCs/>
                <w:color w:val="C0504D"/>
              </w:rPr>
              <w:t>3</w:t>
            </w:r>
            <w:r>
              <w:rPr>
                <w:b/>
                <w:bCs/>
                <w:color w:val="C0504D"/>
                <w:spacing w:val="2"/>
              </w:rPr>
              <w:t>,</w:t>
            </w:r>
            <w:r>
              <w:rPr>
                <w:b/>
                <w:bCs/>
                <w:color w:val="C0504D"/>
              </w:rPr>
              <w:t>1</w:t>
            </w:r>
            <w:r>
              <w:rPr>
                <w:b/>
                <w:bCs/>
                <w:color w:val="C0504D"/>
                <w:spacing w:val="2"/>
              </w:rPr>
              <w:t xml:space="preserve"> </w:t>
            </w:r>
            <w:r>
              <w:rPr>
                <w:b/>
                <w:bCs/>
                <w:color w:val="C0504D"/>
                <w:spacing w:val="-4"/>
              </w:rPr>
              <w:t>k</w:t>
            </w:r>
            <w:r>
              <w:rPr>
                <w:b/>
                <w:bCs/>
                <w:color w:val="C0504D"/>
              </w:rPr>
              <w:t>g</w:t>
            </w:r>
          </w:p>
        </w:tc>
      </w:tr>
      <w:tr w:rsidR="004F7425" w:rsidTr="004F7425">
        <w:trPr>
          <w:trHeight w:hRule="exact" w:val="341"/>
        </w:trPr>
        <w:tc>
          <w:tcPr>
            <w:tcW w:w="3102" w:type="dxa"/>
            <w:tcBorders>
              <w:top w:val="single" w:sz="8"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094" w:right="1073"/>
              <w:jc w:val="center"/>
            </w:pPr>
            <w:r>
              <w:rPr>
                <w:spacing w:val="-5"/>
              </w:rPr>
              <w:t>K</w:t>
            </w:r>
            <w:r>
              <w:rPr>
                <w:spacing w:val="4"/>
              </w:rPr>
              <w:t>a</w:t>
            </w:r>
            <w:r>
              <w:rPr>
                <w:spacing w:val="-5"/>
              </w:rPr>
              <w:t>n</w:t>
            </w:r>
            <w:r>
              <w:rPr>
                <w:spacing w:val="-1"/>
              </w:rPr>
              <w:t>a</w:t>
            </w:r>
            <w:r>
              <w:rPr>
                <w:spacing w:val="5"/>
              </w:rPr>
              <w:t>p</w:t>
            </w:r>
            <w:r>
              <w:rPr>
                <w:spacing w:val="-1"/>
              </w:rPr>
              <w:t>ė</w:t>
            </w:r>
            <w:r>
              <w:t>s</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085" w:right="1171"/>
              <w:jc w:val="center"/>
            </w:pPr>
            <w:r>
              <w:t>42</w:t>
            </w:r>
            <w:r>
              <w:rPr>
                <w:spacing w:val="2"/>
              </w:rPr>
              <w:t>,</w:t>
            </w:r>
            <w:r>
              <w:t>5</w:t>
            </w:r>
            <w:r>
              <w:rPr>
                <w:spacing w:val="2"/>
              </w:rPr>
              <w:t xml:space="preserve"> </w:t>
            </w:r>
            <w:r>
              <w:t>kg</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ind w:left="1166" w:right="1261"/>
              <w:jc w:val="center"/>
            </w:pPr>
            <w:r>
              <w:rPr>
                <w:b/>
                <w:bCs/>
                <w:color w:val="C0504D"/>
              </w:rPr>
              <w:t>96</w:t>
            </w:r>
            <w:r>
              <w:rPr>
                <w:b/>
                <w:bCs/>
                <w:color w:val="C0504D"/>
                <w:spacing w:val="2"/>
              </w:rPr>
              <w:t xml:space="preserve"> </w:t>
            </w:r>
            <w:r>
              <w:rPr>
                <w:b/>
                <w:bCs/>
                <w:color w:val="C0504D"/>
                <w:spacing w:val="-4"/>
              </w:rPr>
              <w:t>k</w:t>
            </w:r>
            <w:r>
              <w:rPr>
                <w:b/>
                <w:bCs/>
                <w:color w:val="C0504D"/>
              </w:rPr>
              <w:t>g</w:t>
            </w:r>
          </w:p>
        </w:tc>
      </w:tr>
      <w:tr w:rsidR="004F7425" w:rsidTr="004F7425">
        <w:trPr>
          <w:trHeight w:hRule="exact" w:val="336"/>
        </w:trPr>
        <w:tc>
          <w:tcPr>
            <w:tcW w:w="3102" w:type="dxa"/>
            <w:tcBorders>
              <w:top w:val="single" w:sz="8"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137" w:right="1121"/>
              <w:jc w:val="center"/>
            </w:pPr>
            <w:r>
              <w:t>H</w:t>
            </w:r>
            <w:r>
              <w:rPr>
                <w:spacing w:val="-1"/>
              </w:rPr>
              <w:t>a</w:t>
            </w:r>
            <w:r>
              <w:rPr>
                <w:spacing w:val="2"/>
              </w:rPr>
              <w:t>š</w:t>
            </w:r>
            <w:r>
              <w:rPr>
                <w:spacing w:val="-4"/>
              </w:rPr>
              <w:t>i</w:t>
            </w:r>
            <w:r>
              <w:rPr>
                <w:spacing w:val="-2"/>
              </w:rPr>
              <w:t>š</w:t>
            </w:r>
            <w:r>
              <w:rPr>
                <w:spacing w:val="4"/>
              </w:rPr>
              <w:t>a</w:t>
            </w:r>
            <w:r>
              <w:t>s</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022" w:right="1114"/>
              <w:jc w:val="center"/>
            </w:pPr>
            <w:r>
              <w:t>167</w:t>
            </w:r>
            <w:r>
              <w:rPr>
                <w:spacing w:val="2"/>
              </w:rPr>
              <w:t>,</w:t>
            </w:r>
            <w:r>
              <w:t>7</w:t>
            </w:r>
            <w:r>
              <w:rPr>
                <w:spacing w:val="2"/>
              </w:rPr>
              <w:t xml:space="preserve"> </w:t>
            </w:r>
            <w:r>
              <w:t>kg</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017" w:right="1109"/>
              <w:jc w:val="center"/>
            </w:pPr>
            <w:r>
              <w:rPr>
                <w:b/>
                <w:bCs/>
                <w:color w:val="C0504D"/>
              </w:rPr>
              <w:t>424</w:t>
            </w:r>
            <w:r>
              <w:rPr>
                <w:b/>
                <w:bCs/>
                <w:color w:val="C0504D"/>
                <w:spacing w:val="2"/>
              </w:rPr>
              <w:t>,</w:t>
            </w:r>
            <w:r>
              <w:rPr>
                <w:b/>
                <w:bCs/>
                <w:color w:val="C0504D"/>
              </w:rPr>
              <w:t>2</w:t>
            </w:r>
            <w:r>
              <w:rPr>
                <w:b/>
                <w:bCs/>
                <w:color w:val="C0504D"/>
                <w:spacing w:val="2"/>
              </w:rPr>
              <w:t xml:space="preserve"> </w:t>
            </w:r>
            <w:r>
              <w:rPr>
                <w:b/>
                <w:bCs/>
                <w:color w:val="C0504D"/>
                <w:spacing w:val="-4"/>
              </w:rPr>
              <w:t>k</w:t>
            </w:r>
            <w:r>
              <w:rPr>
                <w:b/>
                <w:bCs/>
                <w:color w:val="C0504D"/>
              </w:rPr>
              <w:t>g</w:t>
            </w:r>
          </w:p>
        </w:tc>
      </w:tr>
      <w:tr w:rsidR="004F7425" w:rsidTr="004F7425">
        <w:trPr>
          <w:trHeight w:hRule="exact" w:val="337"/>
        </w:trPr>
        <w:tc>
          <w:tcPr>
            <w:tcW w:w="3102" w:type="dxa"/>
            <w:tcBorders>
              <w:top w:val="single" w:sz="8"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075" w:right="1054"/>
              <w:jc w:val="center"/>
            </w:pPr>
            <w:r>
              <w:t>H</w:t>
            </w:r>
            <w:r>
              <w:rPr>
                <w:spacing w:val="-1"/>
              </w:rPr>
              <w:t>e</w:t>
            </w:r>
            <w:r>
              <w:rPr>
                <w:spacing w:val="1"/>
              </w:rPr>
              <w:t>r</w:t>
            </w:r>
            <w:r>
              <w:rPr>
                <w:spacing w:val="5"/>
              </w:rPr>
              <w:t>o</w:t>
            </w:r>
            <w:r>
              <w:rPr>
                <w:spacing w:val="-4"/>
              </w:rPr>
              <w:t>i</w:t>
            </w:r>
            <w:r>
              <w:rPr>
                <w:spacing w:val="-5"/>
              </w:rPr>
              <w:t>n</w:t>
            </w:r>
            <w:r>
              <w:rPr>
                <w:spacing w:val="-1"/>
              </w:rPr>
              <w:t>a</w:t>
            </w:r>
            <w:r>
              <w:t>s</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085" w:right="1171"/>
              <w:jc w:val="center"/>
            </w:pPr>
            <w:r>
              <w:t>10</w:t>
            </w:r>
            <w:r>
              <w:rPr>
                <w:spacing w:val="2"/>
              </w:rPr>
              <w:t>,</w:t>
            </w:r>
            <w:r>
              <w:t>6</w:t>
            </w:r>
            <w:r>
              <w:rPr>
                <w:spacing w:val="2"/>
              </w:rPr>
              <w:t xml:space="preserve"> </w:t>
            </w:r>
            <w:r>
              <w:t>kg</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075" w:right="1171"/>
              <w:jc w:val="center"/>
            </w:pPr>
            <w:r>
              <w:rPr>
                <w:b/>
                <w:bCs/>
                <w:color w:val="C0504D"/>
              </w:rPr>
              <w:t>0</w:t>
            </w:r>
            <w:r>
              <w:rPr>
                <w:b/>
                <w:bCs/>
                <w:color w:val="C0504D"/>
                <w:spacing w:val="2"/>
              </w:rPr>
              <w:t>,</w:t>
            </w:r>
            <w:r>
              <w:rPr>
                <w:b/>
                <w:bCs/>
                <w:color w:val="C0504D"/>
              </w:rPr>
              <w:t>46</w:t>
            </w:r>
            <w:r>
              <w:rPr>
                <w:b/>
                <w:bCs/>
                <w:color w:val="C0504D"/>
                <w:spacing w:val="2"/>
              </w:rPr>
              <w:t xml:space="preserve"> </w:t>
            </w:r>
            <w:r>
              <w:rPr>
                <w:b/>
                <w:bCs/>
                <w:color w:val="C0504D"/>
                <w:spacing w:val="-4"/>
              </w:rPr>
              <w:t>k</w:t>
            </w:r>
            <w:r>
              <w:rPr>
                <w:b/>
                <w:bCs/>
                <w:color w:val="C0504D"/>
              </w:rPr>
              <w:t>g</w:t>
            </w:r>
          </w:p>
        </w:tc>
      </w:tr>
      <w:tr w:rsidR="004F7425" w:rsidTr="004F7425">
        <w:trPr>
          <w:trHeight w:hRule="exact" w:val="379"/>
        </w:trPr>
        <w:tc>
          <w:tcPr>
            <w:tcW w:w="3102" w:type="dxa"/>
            <w:tcBorders>
              <w:top w:val="single" w:sz="8"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051" w:right="1035"/>
              <w:jc w:val="center"/>
            </w:pPr>
            <w:r>
              <w:rPr>
                <w:spacing w:val="-5"/>
              </w:rPr>
              <w:t>K</w:t>
            </w:r>
            <w:r>
              <w:rPr>
                <w:spacing w:val="5"/>
              </w:rPr>
              <w:t>o</w:t>
            </w:r>
            <w:r>
              <w:t>k</w:t>
            </w:r>
            <w:r>
              <w:rPr>
                <w:spacing w:val="4"/>
              </w:rPr>
              <w:t>a</w:t>
            </w:r>
            <w:r>
              <w:rPr>
                <w:spacing w:val="-4"/>
              </w:rPr>
              <w:t>i</w:t>
            </w:r>
            <w:r>
              <w:rPr>
                <w:spacing w:val="-5"/>
              </w:rPr>
              <w:t>n</w:t>
            </w:r>
            <w:r>
              <w:rPr>
                <w:spacing w:val="4"/>
              </w:rPr>
              <w:t>a</w:t>
            </w:r>
            <w:r>
              <w:t>s</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142" w:right="1234"/>
              <w:jc w:val="center"/>
            </w:pPr>
            <w:r>
              <w:t>9</w:t>
            </w:r>
            <w:r>
              <w:rPr>
                <w:spacing w:val="2"/>
              </w:rPr>
              <w:t>,</w:t>
            </w:r>
            <w:r>
              <w:t>8</w:t>
            </w:r>
            <w:r>
              <w:rPr>
                <w:spacing w:val="2"/>
              </w:rPr>
              <w:t xml:space="preserve"> </w:t>
            </w:r>
            <w:r>
              <w:t>kg</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ind w:left="1108" w:right="1199"/>
              <w:jc w:val="center"/>
            </w:pPr>
            <w:r>
              <w:rPr>
                <w:b/>
                <w:bCs/>
                <w:color w:val="C0504D"/>
              </w:rPr>
              <w:t>120</w:t>
            </w:r>
            <w:r>
              <w:rPr>
                <w:b/>
                <w:bCs/>
                <w:color w:val="C0504D"/>
                <w:spacing w:val="2"/>
              </w:rPr>
              <w:t xml:space="preserve"> </w:t>
            </w:r>
            <w:r>
              <w:rPr>
                <w:b/>
                <w:bCs/>
                <w:color w:val="C0504D"/>
                <w:spacing w:val="-4"/>
              </w:rPr>
              <w:t>k</w:t>
            </w:r>
            <w:r>
              <w:rPr>
                <w:b/>
                <w:bCs/>
                <w:color w:val="C0504D"/>
              </w:rPr>
              <w:t>g</w:t>
            </w:r>
          </w:p>
        </w:tc>
      </w:tr>
      <w:tr w:rsidR="004F7425" w:rsidTr="004F7425">
        <w:trPr>
          <w:trHeight w:hRule="exact" w:val="336"/>
        </w:trPr>
        <w:tc>
          <w:tcPr>
            <w:tcW w:w="3102" w:type="dxa"/>
            <w:tcBorders>
              <w:top w:val="single" w:sz="8"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897" w:right="-20"/>
            </w:pPr>
            <w:r>
              <w:t>Am</w:t>
            </w:r>
            <w:r>
              <w:rPr>
                <w:spacing w:val="-3"/>
              </w:rPr>
              <w:t>f</w:t>
            </w:r>
            <w:r>
              <w:rPr>
                <w:spacing w:val="-1"/>
              </w:rPr>
              <w:t>e</w:t>
            </w:r>
            <w:r>
              <w:rPr>
                <w:spacing w:val="5"/>
              </w:rPr>
              <w:t>t</w:t>
            </w:r>
            <w:r>
              <w:rPr>
                <w:spacing w:val="4"/>
              </w:rPr>
              <w:t>a</w:t>
            </w:r>
            <w:r>
              <w:rPr>
                <w:spacing w:val="-4"/>
              </w:rPr>
              <w:t>mi</w:t>
            </w:r>
            <w:r>
              <w:t>n</w:t>
            </w:r>
            <w:r>
              <w:rPr>
                <w:spacing w:val="-1"/>
              </w:rPr>
              <w:t>a</w:t>
            </w:r>
            <w:r>
              <w:t>s</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085" w:right="1171"/>
              <w:jc w:val="center"/>
            </w:pPr>
            <w:r>
              <w:t>13</w:t>
            </w:r>
            <w:r>
              <w:rPr>
                <w:spacing w:val="2"/>
              </w:rPr>
              <w:t>,</w:t>
            </w:r>
            <w:r>
              <w:t>2</w:t>
            </w:r>
            <w:r>
              <w:rPr>
                <w:spacing w:val="2"/>
              </w:rPr>
              <w:t xml:space="preserve"> </w:t>
            </w:r>
            <w:r>
              <w:t>kg</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075" w:right="1171"/>
              <w:jc w:val="center"/>
            </w:pPr>
            <w:r>
              <w:rPr>
                <w:b/>
                <w:bCs/>
                <w:color w:val="C0504D"/>
              </w:rPr>
              <w:t>25</w:t>
            </w:r>
            <w:r>
              <w:rPr>
                <w:b/>
                <w:bCs/>
                <w:color w:val="C0504D"/>
                <w:spacing w:val="2"/>
              </w:rPr>
              <w:t>,</w:t>
            </w:r>
            <w:r>
              <w:rPr>
                <w:b/>
                <w:bCs/>
                <w:color w:val="C0504D"/>
              </w:rPr>
              <w:t>9</w:t>
            </w:r>
            <w:r>
              <w:rPr>
                <w:b/>
                <w:bCs/>
                <w:color w:val="C0504D"/>
                <w:spacing w:val="2"/>
              </w:rPr>
              <w:t xml:space="preserve"> </w:t>
            </w:r>
            <w:r>
              <w:rPr>
                <w:b/>
                <w:bCs/>
                <w:color w:val="C0504D"/>
                <w:spacing w:val="-4"/>
              </w:rPr>
              <w:t>k</w:t>
            </w:r>
            <w:r>
              <w:rPr>
                <w:b/>
                <w:bCs/>
                <w:color w:val="C0504D"/>
              </w:rPr>
              <w:t>g</w:t>
            </w:r>
          </w:p>
        </w:tc>
      </w:tr>
      <w:tr w:rsidR="004F7425" w:rsidTr="004F7425">
        <w:trPr>
          <w:trHeight w:hRule="exact" w:val="336"/>
        </w:trPr>
        <w:tc>
          <w:tcPr>
            <w:tcW w:w="3102" w:type="dxa"/>
            <w:tcBorders>
              <w:top w:val="single" w:sz="8" w:space="0" w:color="000000"/>
              <w:left w:val="single" w:sz="4"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738" w:right="-20"/>
            </w:pPr>
            <w:r>
              <w:rPr>
                <w:spacing w:val="-2"/>
              </w:rPr>
              <w:t>M</w:t>
            </w:r>
            <w:r>
              <w:rPr>
                <w:spacing w:val="-1"/>
              </w:rPr>
              <w:t>e</w:t>
            </w:r>
            <w:r>
              <w:rPr>
                <w:spacing w:val="5"/>
              </w:rPr>
              <w:t>t</w:t>
            </w:r>
            <w:r>
              <w:rPr>
                <w:spacing w:val="4"/>
              </w:rPr>
              <w:t>a</w:t>
            </w:r>
            <w:r>
              <w:rPr>
                <w:spacing w:val="-4"/>
              </w:rPr>
              <w:t>m</w:t>
            </w:r>
            <w:r>
              <w:rPr>
                <w:spacing w:val="-8"/>
              </w:rPr>
              <w:t>f</w:t>
            </w:r>
            <w:r>
              <w:rPr>
                <w:spacing w:val="-1"/>
              </w:rPr>
              <w:t>e</w:t>
            </w:r>
            <w:r>
              <w:rPr>
                <w:spacing w:val="5"/>
              </w:rPr>
              <w:t>t</w:t>
            </w:r>
            <w:r>
              <w:rPr>
                <w:spacing w:val="4"/>
              </w:rPr>
              <w:t>a</w:t>
            </w:r>
            <w:r>
              <w:rPr>
                <w:spacing w:val="-4"/>
              </w:rPr>
              <w:t>mi</w:t>
            </w:r>
            <w:r>
              <w:t>n</w:t>
            </w:r>
            <w:r>
              <w:rPr>
                <w:spacing w:val="4"/>
              </w:rPr>
              <w:t>a</w:t>
            </w:r>
            <w:r>
              <w:t>s</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67" w:lineRule="exact"/>
              <w:ind w:left="1022" w:right="1114"/>
              <w:jc w:val="center"/>
            </w:pPr>
            <w:r>
              <w:t>133</w:t>
            </w:r>
            <w:r>
              <w:rPr>
                <w:spacing w:val="2"/>
              </w:rPr>
              <w:t>,</w:t>
            </w:r>
            <w:r>
              <w:t>7</w:t>
            </w:r>
            <w:r>
              <w:rPr>
                <w:spacing w:val="2"/>
              </w:rPr>
              <w:t xml:space="preserve"> </w:t>
            </w:r>
            <w:r>
              <w:t>kg</w:t>
            </w:r>
          </w:p>
        </w:tc>
        <w:tc>
          <w:tcPr>
            <w:tcW w:w="3097" w:type="dxa"/>
            <w:tcBorders>
              <w:top w:val="single" w:sz="8" w:space="0" w:color="000000"/>
              <w:left w:val="single" w:sz="8" w:space="0" w:color="000000"/>
              <w:bottom w:val="single" w:sz="8" w:space="0" w:color="000000"/>
              <w:right w:val="single" w:sz="8" w:space="0" w:color="000000"/>
            </w:tcBorders>
          </w:tcPr>
          <w:p w:rsidR="004F7425" w:rsidRDefault="004F7425" w:rsidP="004F7425">
            <w:pPr>
              <w:widowControl w:val="0"/>
              <w:autoSpaceDE w:val="0"/>
              <w:autoSpaceDN w:val="0"/>
              <w:adjustRightInd w:val="0"/>
              <w:spacing w:line="272" w:lineRule="exact"/>
              <w:ind w:left="1166" w:right="1261"/>
              <w:jc w:val="center"/>
            </w:pPr>
            <w:r>
              <w:rPr>
                <w:b/>
                <w:bCs/>
                <w:color w:val="C0504D"/>
              </w:rPr>
              <w:t>54</w:t>
            </w:r>
            <w:r>
              <w:rPr>
                <w:b/>
                <w:bCs/>
                <w:color w:val="C0504D"/>
                <w:spacing w:val="2"/>
              </w:rPr>
              <w:t xml:space="preserve"> </w:t>
            </w:r>
            <w:r>
              <w:rPr>
                <w:b/>
                <w:bCs/>
                <w:color w:val="C0504D"/>
                <w:spacing w:val="-4"/>
              </w:rPr>
              <w:t>k</w:t>
            </w:r>
            <w:r>
              <w:rPr>
                <w:b/>
                <w:bCs/>
                <w:color w:val="C0504D"/>
              </w:rPr>
              <w:t>g</w:t>
            </w:r>
          </w:p>
        </w:tc>
      </w:tr>
      <w:tr w:rsidR="004F7425" w:rsidTr="004F7425">
        <w:trPr>
          <w:trHeight w:hRule="exact" w:val="655"/>
        </w:trPr>
        <w:tc>
          <w:tcPr>
            <w:tcW w:w="3102" w:type="dxa"/>
            <w:tcBorders>
              <w:top w:val="single" w:sz="8" w:space="0" w:color="000000"/>
              <w:left w:val="single" w:sz="4" w:space="0" w:color="000000"/>
              <w:bottom w:val="single" w:sz="10" w:space="0" w:color="000000"/>
              <w:right w:val="single" w:sz="8" w:space="0" w:color="000000"/>
            </w:tcBorders>
          </w:tcPr>
          <w:p w:rsidR="004F7425" w:rsidRDefault="004F7425" w:rsidP="004F7425">
            <w:pPr>
              <w:widowControl w:val="0"/>
              <w:autoSpaceDE w:val="0"/>
              <w:autoSpaceDN w:val="0"/>
              <w:adjustRightInd w:val="0"/>
              <w:spacing w:line="272" w:lineRule="exact"/>
              <w:ind w:left="1137" w:right="1114"/>
              <w:jc w:val="center"/>
            </w:pPr>
            <w:r>
              <w:rPr>
                <w:spacing w:val="2"/>
              </w:rPr>
              <w:t>E</w:t>
            </w:r>
            <w:r>
              <w:rPr>
                <w:spacing w:val="-1"/>
              </w:rPr>
              <w:t>c</w:t>
            </w:r>
            <w:r>
              <w:rPr>
                <w:spacing w:val="-2"/>
              </w:rPr>
              <w:t>s</w:t>
            </w:r>
            <w:r>
              <w:rPr>
                <w:spacing w:val="5"/>
              </w:rPr>
              <w:t>t</w:t>
            </w:r>
            <w:r>
              <w:rPr>
                <w:spacing w:val="-1"/>
              </w:rPr>
              <w:t>a</w:t>
            </w:r>
            <w:r>
              <w:rPr>
                <w:spacing w:val="2"/>
              </w:rPr>
              <w:t>s</w:t>
            </w:r>
            <w:r>
              <w:t>y</w:t>
            </w:r>
          </w:p>
        </w:tc>
        <w:tc>
          <w:tcPr>
            <w:tcW w:w="3097" w:type="dxa"/>
            <w:tcBorders>
              <w:top w:val="single" w:sz="8" w:space="0" w:color="000000"/>
              <w:left w:val="single" w:sz="8" w:space="0" w:color="000000"/>
              <w:bottom w:val="single" w:sz="10" w:space="0" w:color="000000"/>
              <w:right w:val="single" w:sz="8" w:space="0" w:color="000000"/>
            </w:tcBorders>
          </w:tcPr>
          <w:p w:rsidR="004F7425" w:rsidRDefault="004F7425" w:rsidP="004F7425">
            <w:pPr>
              <w:widowControl w:val="0"/>
              <w:autoSpaceDE w:val="0"/>
              <w:autoSpaceDN w:val="0"/>
              <w:adjustRightInd w:val="0"/>
              <w:spacing w:line="272" w:lineRule="exact"/>
              <w:ind w:left="1205" w:right="1291"/>
              <w:jc w:val="center"/>
            </w:pPr>
            <w:r>
              <w:t>1</w:t>
            </w:r>
            <w:r>
              <w:rPr>
                <w:spacing w:val="2"/>
              </w:rPr>
              <w:t>,</w:t>
            </w:r>
            <w:r>
              <w:t>4</w:t>
            </w:r>
            <w:r>
              <w:rPr>
                <w:spacing w:val="2"/>
              </w:rPr>
              <w:t xml:space="preserve"> </w:t>
            </w:r>
            <w:r>
              <w:t>g</w:t>
            </w:r>
          </w:p>
          <w:p w:rsidR="004F7425" w:rsidRDefault="004F7425" w:rsidP="004F7425">
            <w:pPr>
              <w:widowControl w:val="0"/>
              <w:autoSpaceDE w:val="0"/>
              <w:autoSpaceDN w:val="0"/>
              <w:adjustRightInd w:val="0"/>
              <w:spacing w:before="41"/>
              <w:ind w:left="1085" w:right="1181"/>
              <w:jc w:val="center"/>
            </w:pPr>
            <w:r>
              <w:t>303</w:t>
            </w:r>
            <w:r>
              <w:rPr>
                <w:spacing w:val="-2"/>
              </w:rPr>
              <w:t xml:space="preserve"> </w:t>
            </w:r>
            <w:r>
              <w:rPr>
                <w:spacing w:val="5"/>
              </w:rPr>
              <w:t>t</w:t>
            </w:r>
            <w:r>
              <w:rPr>
                <w:spacing w:val="-1"/>
              </w:rPr>
              <w:t>a</w:t>
            </w:r>
            <w:r>
              <w:t>b</w:t>
            </w:r>
          </w:p>
        </w:tc>
        <w:tc>
          <w:tcPr>
            <w:tcW w:w="3097" w:type="dxa"/>
            <w:tcBorders>
              <w:top w:val="single" w:sz="8" w:space="0" w:color="000000"/>
              <w:left w:val="single" w:sz="8" w:space="0" w:color="000000"/>
              <w:bottom w:val="single" w:sz="10" w:space="0" w:color="000000"/>
              <w:right w:val="single" w:sz="8" w:space="0" w:color="000000"/>
            </w:tcBorders>
          </w:tcPr>
          <w:p w:rsidR="004F7425" w:rsidRDefault="004F7425" w:rsidP="004F7425">
            <w:pPr>
              <w:widowControl w:val="0"/>
              <w:autoSpaceDE w:val="0"/>
              <w:autoSpaceDN w:val="0"/>
              <w:adjustRightInd w:val="0"/>
              <w:ind w:left="1137" w:right="1228"/>
              <w:jc w:val="center"/>
              <w:rPr>
                <w:color w:val="000000"/>
              </w:rPr>
            </w:pPr>
            <w:r>
              <w:rPr>
                <w:b/>
                <w:bCs/>
                <w:color w:val="C0504D"/>
              </w:rPr>
              <w:t>1</w:t>
            </w:r>
            <w:r>
              <w:rPr>
                <w:b/>
                <w:bCs/>
                <w:color w:val="C0504D"/>
                <w:spacing w:val="2"/>
              </w:rPr>
              <w:t>,</w:t>
            </w:r>
            <w:r>
              <w:rPr>
                <w:b/>
                <w:bCs/>
                <w:color w:val="C0504D"/>
              </w:rPr>
              <w:t>9</w:t>
            </w:r>
            <w:r>
              <w:rPr>
                <w:b/>
                <w:bCs/>
                <w:color w:val="C0504D"/>
                <w:spacing w:val="2"/>
              </w:rPr>
              <w:t xml:space="preserve"> </w:t>
            </w:r>
            <w:r>
              <w:rPr>
                <w:b/>
                <w:bCs/>
                <w:color w:val="C0504D"/>
                <w:spacing w:val="-4"/>
              </w:rPr>
              <w:t>k</w:t>
            </w:r>
            <w:r>
              <w:rPr>
                <w:b/>
                <w:bCs/>
                <w:color w:val="C0504D"/>
              </w:rPr>
              <w:t>g</w:t>
            </w:r>
          </w:p>
          <w:p w:rsidR="004F7425" w:rsidRDefault="004F7425" w:rsidP="004F7425">
            <w:pPr>
              <w:widowControl w:val="0"/>
              <w:autoSpaceDE w:val="0"/>
              <w:autoSpaceDN w:val="0"/>
              <w:adjustRightInd w:val="0"/>
              <w:spacing w:before="41"/>
              <w:ind w:left="1127" w:right="1215"/>
              <w:jc w:val="center"/>
            </w:pPr>
            <w:r>
              <w:rPr>
                <w:b/>
                <w:bCs/>
                <w:color w:val="C0504D"/>
              </w:rPr>
              <w:t>54</w:t>
            </w:r>
            <w:r>
              <w:rPr>
                <w:b/>
                <w:bCs/>
                <w:color w:val="C0504D"/>
                <w:spacing w:val="2"/>
              </w:rPr>
              <w:t xml:space="preserve"> </w:t>
            </w:r>
            <w:r>
              <w:rPr>
                <w:b/>
                <w:bCs/>
                <w:color w:val="C0504D"/>
                <w:spacing w:val="1"/>
              </w:rPr>
              <w:t>t</w:t>
            </w:r>
            <w:r>
              <w:rPr>
                <w:b/>
                <w:bCs/>
                <w:color w:val="C0504D"/>
              </w:rPr>
              <w:t>ab</w:t>
            </w:r>
          </w:p>
        </w:tc>
      </w:tr>
    </w:tbl>
    <w:p w:rsidR="004F7425" w:rsidRDefault="004F7425" w:rsidP="004F7425">
      <w:pPr>
        <w:widowControl w:val="0"/>
        <w:autoSpaceDE w:val="0"/>
        <w:autoSpaceDN w:val="0"/>
        <w:adjustRightInd w:val="0"/>
        <w:sectPr w:rsidR="004F7425">
          <w:pgSz w:w="11920" w:h="16840"/>
          <w:pgMar w:top="960" w:right="460" w:bottom="280" w:left="1580" w:header="734" w:footer="0" w:gutter="0"/>
          <w:cols w:space="1296"/>
          <w:noEndnote/>
        </w:sectPr>
      </w:pPr>
    </w:p>
    <w:p w:rsidR="004F7425" w:rsidRDefault="004F7425" w:rsidP="004F7425">
      <w:pPr>
        <w:widowControl w:val="0"/>
        <w:autoSpaceDE w:val="0"/>
        <w:autoSpaceDN w:val="0"/>
        <w:adjustRightInd w:val="0"/>
        <w:spacing w:before="4" w:line="260" w:lineRule="exact"/>
        <w:rPr>
          <w:sz w:val="26"/>
          <w:szCs w:val="26"/>
        </w:rPr>
      </w:pPr>
    </w:p>
    <w:p w:rsidR="004F7425" w:rsidRDefault="004F7425" w:rsidP="004F7425">
      <w:pPr>
        <w:widowControl w:val="0"/>
        <w:autoSpaceDE w:val="0"/>
        <w:autoSpaceDN w:val="0"/>
        <w:adjustRightInd w:val="0"/>
        <w:spacing w:before="22"/>
        <w:ind w:left="120" w:right="-20"/>
        <w:rPr>
          <w:color w:val="000000"/>
          <w:sz w:val="28"/>
          <w:szCs w:val="28"/>
        </w:rPr>
      </w:pPr>
      <w:r>
        <w:rPr>
          <w:b/>
          <w:bCs/>
          <w:i/>
          <w:iCs/>
          <w:color w:val="933634"/>
          <w:sz w:val="28"/>
          <w:szCs w:val="28"/>
        </w:rPr>
        <w:t>Na</w:t>
      </w:r>
      <w:r>
        <w:rPr>
          <w:b/>
          <w:bCs/>
          <w:i/>
          <w:iCs/>
          <w:color w:val="933634"/>
          <w:spacing w:val="3"/>
          <w:sz w:val="28"/>
          <w:szCs w:val="28"/>
        </w:rPr>
        <w:t>r</w:t>
      </w:r>
      <w:r>
        <w:rPr>
          <w:b/>
          <w:bCs/>
          <w:i/>
          <w:iCs/>
          <w:color w:val="933634"/>
          <w:sz w:val="28"/>
          <w:szCs w:val="28"/>
        </w:rPr>
        <w:t>kot</w:t>
      </w:r>
      <w:r>
        <w:rPr>
          <w:b/>
          <w:bCs/>
          <w:i/>
          <w:iCs/>
          <w:color w:val="933634"/>
          <w:spacing w:val="-1"/>
          <w:sz w:val="28"/>
          <w:szCs w:val="28"/>
        </w:rPr>
        <w:t>i</w:t>
      </w:r>
      <w:r>
        <w:rPr>
          <w:b/>
          <w:bCs/>
          <w:i/>
          <w:iCs/>
          <w:color w:val="933634"/>
          <w:sz w:val="28"/>
          <w:szCs w:val="28"/>
        </w:rPr>
        <w:t>kų</w:t>
      </w:r>
      <w:r>
        <w:rPr>
          <w:b/>
          <w:bCs/>
          <w:i/>
          <w:iCs/>
          <w:color w:val="933634"/>
          <w:spacing w:val="-11"/>
          <w:sz w:val="28"/>
          <w:szCs w:val="28"/>
        </w:rPr>
        <w:t xml:space="preserve"> </w:t>
      </w:r>
      <w:r>
        <w:rPr>
          <w:b/>
          <w:bCs/>
          <w:i/>
          <w:iCs/>
          <w:color w:val="933634"/>
          <w:sz w:val="28"/>
          <w:szCs w:val="28"/>
        </w:rPr>
        <w:t>gab</w:t>
      </w:r>
      <w:r>
        <w:rPr>
          <w:b/>
          <w:bCs/>
          <w:i/>
          <w:iCs/>
          <w:color w:val="933634"/>
          <w:spacing w:val="6"/>
          <w:sz w:val="28"/>
          <w:szCs w:val="28"/>
        </w:rPr>
        <w:t>e</w:t>
      </w:r>
      <w:r>
        <w:rPr>
          <w:b/>
          <w:bCs/>
          <w:i/>
          <w:iCs/>
          <w:color w:val="933634"/>
          <w:spacing w:val="-1"/>
          <w:sz w:val="28"/>
          <w:szCs w:val="28"/>
        </w:rPr>
        <w:t>n</w:t>
      </w:r>
      <w:r>
        <w:rPr>
          <w:b/>
          <w:bCs/>
          <w:i/>
          <w:iCs/>
          <w:color w:val="933634"/>
          <w:sz w:val="28"/>
          <w:szCs w:val="28"/>
        </w:rPr>
        <w:t>i</w:t>
      </w:r>
      <w:r>
        <w:rPr>
          <w:b/>
          <w:bCs/>
          <w:i/>
          <w:iCs/>
          <w:color w:val="933634"/>
          <w:spacing w:val="3"/>
          <w:sz w:val="28"/>
          <w:szCs w:val="28"/>
        </w:rPr>
        <w:t>m</w:t>
      </w:r>
      <w:r>
        <w:rPr>
          <w:b/>
          <w:bCs/>
          <w:i/>
          <w:iCs/>
          <w:color w:val="933634"/>
          <w:sz w:val="28"/>
          <w:szCs w:val="28"/>
        </w:rPr>
        <w:t>o</w:t>
      </w:r>
      <w:r>
        <w:rPr>
          <w:b/>
          <w:bCs/>
          <w:i/>
          <w:iCs/>
          <w:color w:val="933634"/>
          <w:spacing w:val="-9"/>
          <w:sz w:val="28"/>
          <w:szCs w:val="28"/>
        </w:rPr>
        <w:t xml:space="preserve"> </w:t>
      </w:r>
      <w:r>
        <w:rPr>
          <w:b/>
          <w:bCs/>
          <w:i/>
          <w:iCs/>
          <w:color w:val="933634"/>
          <w:sz w:val="28"/>
          <w:szCs w:val="28"/>
        </w:rPr>
        <w:t>k</w:t>
      </w:r>
      <w:r>
        <w:rPr>
          <w:b/>
          <w:bCs/>
          <w:i/>
          <w:iCs/>
          <w:color w:val="933634"/>
          <w:spacing w:val="1"/>
          <w:sz w:val="28"/>
          <w:szCs w:val="28"/>
        </w:rPr>
        <w:t>e</w:t>
      </w:r>
      <w:r>
        <w:rPr>
          <w:b/>
          <w:bCs/>
          <w:i/>
          <w:iCs/>
          <w:color w:val="933634"/>
          <w:sz w:val="28"/>
          <w:szCs w:val="28"/>
        </w:rPr>
        <w:t>l</w:t>
      </w:r>
      <w:r>
        <w:rPr>
          <w:b/>
          <w:bCs/>
          <w:i/>
          <w:iCs/>
          <w:color w:val="933634"/>
          <w:spacing w:val="-1"/>
          <w:sz w:val="28"/>
          <w:szCs w:val="28"/>
        </w:rPr>
        <w:t>i</w:t>
      </w:r>
      <w:r>
        <w:rPr>
          <w:b/>
          <w:bCs/>
          <w:i/>
          <w:iCs/>
          <w:color w:val="933634"/>
          <w:sz w:val="28"/>
          <w:szCs w:val="28"/>
        </w:rPr>
        <w:t>ai</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1" w:line="200" w:lineRule="exact"/>
        <w:rPr>
          <w:color w:val="000000"/>
          <w:sz w:val="20"/>
        </w:rPr>
      </w:pPr>
    </w:p>
    <w:p w:rsidR="004F7425" w:rsidRDefault="004F7425" w:rsidP="004F7425">
      <w:pPr>
        <w:widowControl w:val="0"/>
        <w:autoSpaceDE w:val="0"/>
        <w:autoSpaceDN w:val="0"/>
        <w:adjustRightInd w:val="0"/>
        <w:ind w:left="120" w:right="68" w:firstLine="361"/>
        <w:jc w:val="both"/>
        <w:rPr>
          <w:color w:val="000000"/>
        </w:rPr>
      </w:pPr>
      <w:r>
        <w:rPr>
          <w:color w:val="000000"/>
        </w:rPr>
        <w:t>D</w:t>
      </w:r>
      <w:r>
        <w:rPr>
          <w:color w:val="000000"/>
          <w:spacing w:val="-1"/>
        </w:rPr>
        <w:t>až</w:t>
      </w:r>
      <w:r>
        <w:rPr>
          <w:color w:val="000000"/>
        </w:rPr>
        <w:t>n</w:t>
      </w:r>
      <w:r>
        <w:rPr>
          <w:color w:val="000000"/>
          <w:spacing w:val="-4"/>
        </w:rPr>
        <w:t>i</w:t>
      </w:r>
      <w:r>
        <w:rPr>
          <w:color w:val="000000"/>
          <w:spacing w:val="4"/>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w:t>
      </w:r>
      <w:r>
        <w:rPr>
          <w:color w:val="000000"/>
          <w:spacing w:val="-9"/>
        </w:rPr>
        <w:t>į</w:t>
      </w:r>
      <w:r>
        <w:rPr>
          <w:color w:val="000000"/>
        </w:rPr>
        <w:t>/</w:t>
      </w:r>
      <w:r>
        <w:rPr>
          <w:color w:val="000000"/>
          <w:spacing w:val="5"/>
        </w:rPr>
        <w:t>p</w:t>
      </w:r>
      <w:r>
        <w:rPr>
          <w:color w:val="000000"/>
          <w:spacing w:val="-1"/>
        </w:rPr>
        <w:t>e</w:t>
      </w:r>
      <w:r>
        <w:rPr>
          <w:color w:val="000000"/>
        </w:rPr>
        <w:t>r</w:t>
      </w:r>
      <w:r>
        <w:rPr>
          <w:color w:val="000000"/>
          <w:spacing w:val="3"/>
        </w:rPr>
        <w:t xml:space="preserve"> </w:t>
      </w:r>
      <w:r>
        <w:rPr>
          <w:color w:val="000000"/>
          <w:spacing w:val="2"/>
        </w:rPr>
        <w:t>L</w:t>
      </w:r>
      <w:r>
        <w:rPr>
          <w:color w:val="000000"/>
          <w:spacing w:val="-9"/>
        </w:rPr>
        <w:t>i</w:t>
      </w:r>
      <w:r>
        <w:rPr>
          <w:color w:val="000000"/>
          <w:spacing w:val="-1"/>
        </w:rPr>
        <w:t>e</w:t>
      </w:r>
      <w:r>
        <w:rPr>
          <w:color w:val="000000"/>
          <w:spacing w:val="5"/>
        </w:rPr>
        <w:t>t</w:t>
      </w:r>
      <w:r>
        <w:rPr>
          <w:color w:val="000000"/>
        </w:rPr>
        <w:t xml:space="preserve">uvą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4"/>
        </w:rPr>
        <w:t>i</w:t>
      </w:r>
      <w:r>
        <w:rPr>
          <w:color w:val="000000"/>
        </w:rPr>
        <w:t>ų</w:t>
      </w:r>
      <w:r>
        <w:rPr>
          <w:color w:val="000000"/>
          <w:spacing w:val="6"/>
        </w:rPr>
        <w:t xml:space="preserve"> </w:t>
      </w:r>
      <w:r>
        <w:rPr>
          <w:color w:val="000000"/>
          <w:spacing w:val="-9"/>
        </w:rPr>
        <w:t>i</w:t>
      </w:r>
      <w:r>
        <w:rPr>
          <w:color w:val="000000"/>
        </w:rPr>
        <w:t>r</w:t>
      </w:r>
      <w:r>
        <w:rPr>
          <w:color w:val="000000"/>
          <w:spacing w:val="3"/>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9"/>
        </w:rPr>
        <w:t>i</w:t>
      </w:r>
      <w:r>
        <w:rPr>
          <w:color w:val="000000"/>
        </w:rPr>
        <w:t>n</w:t>
      </w:r>
      <w:r>
        <w:rPr>
          <w:color w:val="000000"/>
          <w:spacing w:val="-4"/>
        </w:rPr>
        <w:t>i</w:t>
      </w:r>
      <w:r>
        <w:rPr>
          <w:color w:val="000000"/>
        </w:rPr>
        <w:t>ų</w:t>
      </w:r>
      <w:r>
        <w:rPr>
          <w:color w:val="000000"/>
          <w:spacing w:val="6"/>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1"/>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4"/>
        </w:rPr>
        <w:t>a</w:t>
      </w:r>
      <w:r>
        <w:rPr>
          <w:color w:val="000000"/>
          <w:spacing w:val="-5"/>
        </w:rPr>
        <w:t>n</w:t>
      </w:r>
      <w:r>
        <w:rPr>
          <w:color w:val="000000"/>
        </w:rPr>
        <w:t>d</w:t>
      </w:r>
      <w:r>
        <w:rPr>
          <w:color w:val="000000"/>
          <w:spacing w:val="4"/>
        </w:rPr>
        <w:t>a</w:t>
      </w:r>
      <w:r>
        <w:rPr>
          <w:color w:val="000000"/>
        </w:rPr>
        <w:t>i</w:t>
      </w:r>
      <w:r>
        <w:rPr>
          <w:color w:val="000000"/>
          <w:spacing w:val="2"/>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spacing w:val="5"/>
        </w:rPr>
        <w:t>m</w:t>
      </w:r>
      <w:r>
        <w:rPr>
          <w:color w:val="000000"/>
        </w:rPr>
        <w:t xml:space="preserve">i </w:t>
      </w:r>
      <w:r>
        <w:rPr>
          <w:color w:val="000000"/>
          <w:spacing w:val="-2"/>
        </w:rPr>
        <w:t>s</w:t>
      </w:r>
      <w:r>
        <w:rPr>
          <w:color w:val="000000"/>
          <w:spacing w:val="-1"/>
        </w:rPr>
        <w:t>a</w:t>
      </w:r>
      <w:r>
        <w:rPr>
          <w:color w:val="000000"/>
        </w:rPr>
        <w:t>u</w:t>
      </w:r>
      <w:r>
        <w:rPr>
          <w:color w:val="000000"/>
          <w:spacing w:val="-2"/>
        </w:rPr>
        <w:t>s</w:t>
      </w:r>
      <w:r>
        <w:rPr>
          <w:color w:val="000000"/>
          <w:spacing w:val="5"/>
        </w:rPr>
        <w:t>u</w:t>
      </w:r>
      <w:r>
        <w:rPr>
          <w:color w:val="000000"/>
          <w:spacing w:val="-9"/>
        </w:rPr>
        <w:t>m</w:t>
      </w:r>
      <w:r>
        <w:rPr>
          <w:color w:val="000000"/>
          <w:spacing w:val="5"/>
        </w:rPr>
        <w:t>o</w:t>
      </w:r>
      <w:r>
        <w:rPr>
          <w:color w:val="000000"/>
        </w:rPr>
        <w:t>s k</w:t>
      </w:r>
      <w:r>
        <w:rPr>
          <w:color w:val="000000"/>
          <w:spacing w:val="4"/>
        </w:rPr>
        <w:t>e</w:t>
      </w:r>
      <w:r>
        <w:rPr>
          <w:color w:val="000000"/>
        </w:rPr>
        <w:t>l</w:t>
      </w:r>
      <w:r>
        <w:rPr>
          <w:color w:val="000000"/>
          <w:spacing w:val="-4"/>
        </w:rPr>
        <w:t>i</w:t>
      </w:r>
      <w:r>
        <w:rPr>
          <w:color w:val="000000"/>
          <w:spacing w:val="4"/>
        </w:rPr>
        <w:t>a</w:t>
      </w:r>
      <w:r>
        <w:rPr>
          <w:color w:val="000000"/>
          <w:spacing w:val="-9"/>
        </w:rPr>
        <w:t>i</w:t>
      </w:r>
      <w:r>
        <w:rPr>
          <w:color w:val="000000"/>
        </w:rPr>
        <w:t>,</w:t>
      </w:r>
      <w:r>
        <w:rPr>
          <w:color w:val="000000"/>
          <w:spacing w:val="4"/>
        </w:rPr>
        <w:t xml:space="preserve"> </w:t>
      </w:r>
      <w:r>
        <w:rPr>
          <w:color w:val="000000"/>
        </w:rPr>
        <w:t>ku</w:t>
      </w:r>
      <w:r>
        <w:rPr>
          <w:color w:val="000000"/>
          <w:spacing w:val="6"/>
        </w:rPr>
        <w:t>r</w:t>
      </w:r>
      <w:r>
        <w:rPr>
          <w:color w:val="000000"/>
          <w:spacing w:val="-9"/>
        </w:rPr>
        <w:t>i</w:t>
      </w:r>
      <w:r>
        <w:rPr>
          <w:color w:val="000000"/>
        </w:rPr>
        <w:t>ų</w:t>
      </w:r>
      <w:r>
        <w:rPr>
          <w:color w:val="000000"/>
          <w:spacing w:val="7"/>
        </w:rPr>
        <w:t xml:space="preserve"> </w:t>
      </w:r>
      <w:r>
        <w:rPr>
          <w:color w:val="000000"/>
          <w:spacing w:val="-4"/>
        </w:rPr>
        <w:t>m</w:t>
      </w:r>
      <w:r>
        <w:rPr>
          <w:color w:val="000000"/>
          <w:spacing w:val="-1"/>
        </w:rPr>
        <w:t>a</w:t>
      </w:r>
      <w:r>
        <w:rPr>
          <w:color w:val="000000"/>
          <w:spacing w:val="1"/>
        </w:rPr>
        <w:t>r</w:t>
      </w:r>
      <w:r>
        <w:rPr>
          <w:color w:val="000000"/>
          <w:spacing w:val="-2"/>
        </w:rPr>
        <w:t>š</w:t>
      </w:r>
      <w:r>
        <w:rPr>
          <w:color w:val="000000"/>
          <w:spacing w:val="1"/>
        </w:rPr>
        <w:t>r</w:t>
      </w:r>
      <w:r>
        <w:rPr>
          <w:color w:val="000000"/>
        </w:rPr>
        <w:t>u</w:t>
      </w:r>
      <w:r>
        <w:rPr>
          <w:color w:val="000000"/>
          <w:spacing w:val="5"/>
        </w:rPr>
        <w:t>t</w:t>
      </w:r>
      <w:r>
        <w:rPr>
          <w:color w:val="000000"/>
          <w:spacing w:val="4"/>
        </w:rPr>
        <w:t>a</w:t>
      </w:r>
      <w:r>
        <w:rPr>
          <w:color w:val="000000"/>
        </w:rPr>
        <w:t>i</w:t>
      </w:r>
      <w:r>
        <w:rPr>
          <w:color w:val="000000"/>
          <w:spacing w:val="-2"/>
        </w:rPr>
        <w:t xml:space="preserve"> </w:t>
      </w:r>
      <w:r>
        <w:rPr>
          <w:color w:val="000000"/>
          <w:spacing w:val="-10"/>
        </w:rPr>
        <w:t>y</w:t>
      </w:r>
      <w:r>
        <w:rPr>
          <w:color w:val="000000"/>
          <w:spacing w:val="1"/>
        </w:rPr>
        <w:t>r</w:t>
      </w:r>
      <w:r>
        <w:rPr>
          <w:color w:val="000000"/>
        </w:rPr>
        <w:t>a</w:t>
      </w:r>
      <w:r>
        <w:rPr>
          <w:color w:val="000000"/>
          <w:spacing w:val="6"/>
        </w:rPr>
        <w:t xml:space="preserve"> </w:t>
      </w:r>
      <w:r>
        <w:rPr>
          <w:color w:val="000000"/>
          <w:spacing w:val="-4"/>
        </w:rPr>
        <w:t>il</w:t>
      </w:r>
      <w:r>
        <w:rPr>
          <w:color w:val="000000"/>
          <w:spacing w:val="5"/>
        </w:rPr>
        <w:t>g</w:t>
      </w:r>
      <w:r>
        <w:rPr>
          <w:color w:val="000000"/>
          <w:spacing w:val="4"/>
        </w:rPr>
        <w:t>a</w:t>
      </w:r>
      <w:r>
        <w:rPr>
          <w:color w:val="000000"/>
          <w:spacing w:val="-4"/>
        </w:rPr>
        <w:t>i</w:t>
      </w:r>
      <w:r>
        <w:rPr>
          <w:color w:val="000000"/>
        </w:rPr>
        <w:t>n</w:t>
      </w:r>
      <w:r>
        <w:rPr>
          <w:color w:val="000000"/>
          <w:spacing w:val="-4"/>
        </w:rPr>
        <w:t>i</w:t>
      </w:r>
      <w:r>
        <w:rPr>
          <w:color w:val="000000"/>
          <w:spacing w:val="5"/>
        </w:rPr>
        <w:t>u</w:t>
      </w:r>
      <w:r>
        <w:rPr>
          <w:color w:val="000000"/>
        </w:rPr>
        <w:t>i</w:t>
      </w:r>
      <w:r>
        <w:rPr>
          <w:color w:val="000000"/>
          <w:spacing w:val="3"/>
        </w:rPr>
        <w:t xml:space="preserve"> </w:t>
      </w:r>
      <w:r>
        <w:rPr>
          <w:color w:val="000000"/>
          <w:spacing w:val="-5"/>
        </w:rPr>
        <w:t>n</w:t>
      </w:r>
      <w:r>
        <w:rPr>
          <w:color w:val="000000"/>
        </w:rPr>
        <w:t>u</w:t>
      </w:r>
      <w:r>
        <w:rPr>
          <w:color w:val="000000"/>
          <w:spacing w:val="2"/>
        </w:rPr>
        <w:t>s</w:t>
      </w:r>
      <w:r>
        <w:rPr>
          <w:color w:val="000000"/>
          <w:spacing w:val="-4"/>
        </w:rPr>
        <w:t>i</w:t>
      </w:r>
      <w:r>
        <w:rPr>
          <w:color w:val="000000"/>
          <w:spacing w:val="7"/>
        </w:rPr>
        <w:t>s</w:t>
      </w:r>
      <w:r>
        <w:rPr>
          <w:color w:val="000000"/>
        </w:rPr>
        <w:t>t</w:t>
      </w:r>
      <w:r>
        <w:rPr>
          <w:color w:val="000000"/>
          <w:spacing w:val="5"/>
        </w:rPr>
        <w:t>o</w:t>
      </w:r>
      <w:r>
        <w:rPr>
          <w:color w:val="000000"/>
          <w:spacing w:val="-5"/>
        </w:rPr>
        <w:t>v</w:t>
      </w:r>
      <w:r>
        <w:rPr>
          <w:color w:val="000000"/>
          <w:spacing w:val="4"/>
        </w:rPr>
        <w:t>ė</w:t>
      </w:r>
      <w:r>
        <w:rPr>
          <w:color w:val="000000"/>
          <w:spacing w:val="-9"/>
        </w:rPr>
        <w:t>j</w:t>
      </w:r>
      <w:r>
        <w:rPr>
          <w:color w:val="000000"/>
          <w:spacing w:val="-1"/>
        </w:rPr>
        <w:t>ę</w:t>
      </w:r>
      <w:r>
        <w:rPr>
          <w:color w:val="000000"/>
        </w:rPr>
        <w:t>:</w:t>
      </w:r>
    </w:p>
    <w:p w:rsidR="004F7425" w:rsidRDefault="004F7425" w:rsidP="004F7425">
      <w:pPr>
        <w:widowControl w:val="0"/>
        <w:tabs>
          <w:tab w:val="left" w:pos="820"/>
        </w:tabs>
        <w:autoSpaceDE w:val="0"/>
        <w:autoSpaceDN w:val="0"/>
        <w:adjustRightInd w:val="0"/>
        <w:spacing w:before="1"/>
        <w:ind w:left="480" w:right="-20"/>
        <w:rPr>
          <w:color w:val="000000"/>
        </w:rPr>
      </w:pPr>
      <w:r>
        <w:rPr>
          <w:color w:val="000000"/>
        </w:rPr>
        <w:t>-</w:t>
      </w:r>
      <w:r>
        <w:rPr>
          <w:color w:val="000000"/>
        </w:rPr>
        <w:tab/>
      </w:r>
      <w:r>
        <w:rPr>
          <w:b/>
          <w:bCs/>
          <w:color w:val="C0504D"/>
          <w:spacing w:val="-4"/>
        </w:rPr>
        <w:t>k</w:t>
      </w:r>
      <w:r>
        <w:rPr>
          <w:b/>
          <w:bCs/>
          <w:color w:val="C0504D"/>
        </w:rPr>
        <w:t>a</w:t>
      </w:r>
      <w:r>
        <w:rPr>
          <w:b/>
          <w:bCs/>
          <w:color w:val="C0504D"/>
          <w:spacing w:val="1"/>
        </w:rPr>
        <w:t>n</w:t>
      </w:r>
      <w:r>
        <w:rPr>
          <w:b/>
          <w:bCs/>
          <w:color w:val="C0504D"/>
        </w:rPr>
        <w:t>a</w:t>
      </w:r>
      <w:r>
        <w:rPr>
          <w:b/>
          <w:bCs/>
          <w:color w:val="C0504D"/>
          <w:spacing w:val="1"/>
        </w:rPr>
        <w:t>p</w:t>
      </w:r>
      <w:r>
        <w:rPr>
          <w:b/>
          <w:bCs/>
          <w:color w:val="C0504D"/>
          <w:spacing w:val="-1"/>
        </w:rPr>
        <w:t>ės</w:t>
      </w:r>
      <w:r>
        <w:rPr>
          <w:color w:val="000000"/>
        </w:rPr>
        <w:t>,</w:t>
      </w:r>
      <w:r>
        <w:rPr>
          <w:color w:val="000000"/>
          <w:spacing w:val="9"/>
        </w:rPr>
        <w:t xml:space="preserve"> </w:t>
      </w:r>
      <w:r>
        <w:rPr>
          <w:color w:val="000000"/>
          <w:spacing w:val="5"/>
        </w:rPr>
        <w:t>p</w:t>
      </w:r>
      <w:r>
        <w:rPr>
          <w:color w:val="000000"/>
          <w:spacing w:val="-9"/>
        </w:rPr>
        <w:t>i</w:t>
      </w:r>
      <w:r>
        <w:rPr>
          <w:color w:val="000000"/>
          <w:spacing w:val="6"/>
        </w:rPr>
        <w:t>r</w:t>
      </w:r>
      <w:r>
        <w:rPr>
          <w:color w:val="000000"/>
          <w:spacing w:val="-4"/>
        </w:rPr>
        <w:t>m</w:t>
      </w:r>
      <w:r>
        <w:rPr>
          <w:color w:val="000000"/>
        </w:rPr>
        <w:t>a</w:t>
      </w:r>
      <w:r>
        <w:rPr>
          <w:color w:val="000000"/>
          <w:spacing w:val="6"/>
        </w:rPr>
        <w:t xml:space="preserve"> </w:t>
      </w:r>
      <w:r>
        <w:rPr>
          <w:color w:val="000000"/>
          <w:spacing w:val="5"/>
        </w:rPr>
        <w:t>p</w:t>
      </w:r>
      <w:r>
        <w:rPr>
          <w:color w:val="000000"/>
          <w:spacing w:val="-1"/>
        </w:rPr>
        <w:t>a</w:t>
      </w:r>
      <w:r>
        <w:rPr>
          <w:color w:val="000000"/>
        </w:rPr>
        <w:t>g</w:t>
      </w:r>
      <w:r>
        <w:rPr>
          <w:color w:val="000000"/>
          <w:spacing w:val="4"/>
        </w:rPr>
        <w:t>a</w:t>
      </w:r>
      <w:r>
        <w:rPr>
          <w:color w:val="000000"/>
        </w:rPr>
        <w:t>l</w:t>
      </w:r>
      <w:r>
        <w:rPr>
          <w:color w:val="000000"/>
          <w:spacing w:val="3"/>
        </w:rPr>
        <w:t xml:space="preserve"> </w:t>
      </w:r>
      <w:r>
        <w:rPr>
          <w:color w:val="000000"/>
        </w:rPr>
        <w:t>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1"/>
        </w:rPr>
        <w:t>r</w:t>
      </w:r>
      <w:r>
        <w:rPr>
          <w:color w:val="000000"/>
          <w:spacing w:val="5"/>
        </w:rPr>
        <w:t>u</w:t>
      </w:r>
      <w:r>
        <w:rPr>
          <w:color w:val="000000"/>
          <w:spacing w:val="-9"/>
        </w:rPr>
        <w:t>m</w:t>
      </w:r>
      <w:r>
        <w:rPr>
          <w:color w:val="000000"/>
        </w:rPr>
        <w:t>ą</w:t>
      </w:r>
      <w:r>
        <w:rPr>
          <w:color w:val="000000"/>
          <w:spacing w:val="1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spacing w:val="-5"/>
        </w:rPr>
        <w:t>n</w:t>
      </w:r>
      <w:r>
        <w:rPr>
          <w:color w:val="000000"/>
        </w:rPr>
        <w:t>ė</w:t>
      </w:r>
      <w:r>
        <w:rPr>
          <w:color w:val="000000"/>
          <w:spacing w:val="16"/>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9"/>
        </w:rPr>
        <w:t>i</w:t>
      </w:r>
      <w:r>
        <w:rPr>
          <w:color w:val="000000"/>
          <w:spacing w:val="-1"/>
        </w:rPr>
        <w:t>a</w:t>
      </w:r>
      <w:r>
        <w:rPr>
          <w:color w:val="000000"/>
        </w:rPr>
        <w:t>ga</w:t>
      </w:r>
      <w:r>
        <w:rPr>
          <w:color w:val="000000"/>
          <w:spacing w:val="11"/>
        </w:rPr>
        <w:t xml:space="preserve"> </w:t>
      </w:r>
      <w:r>
        <w:rPr>
          <w:color w:val="000000"/>
          <w:spacing w:val="5"/>
        </w:rPr>
        <w:t>t</w:t>
      </w:r>
      <w:r>
        <w:rPr>
          <w:color w:val="000000"/>
          <w:spacing w:val="-1"/>
        </w:rPr>
        <w:t>a</w:t>
      </w:r>
      <w:r>
        <w:rPr>
          <w:color w:val="000000"/>
          <w:spacing w:val="1"/>
        </w:rPr>
        <w:t>r</w:t>
      </w:r>
      <w:r>
        <w:rPr>
          <w:color w:val="000000"/>
        </w:rPr>
        <w:t>p</w:t>
      </w:r>
      <w:r>
        <w:rPr>
          <w:color w:val="000000"/>
          <w:spacing w:val="7"/>
        </w:rPr>
        <w:t xml:space="preserve"> </w:t>
      </w:r>
      <w:r>
        <w:rPr>
          <w:color w:val="000000"/>
          <w:spacing w:val="-5"/>
        </w:rPr>
        <w:t>v</w:t>
      </w:r>
      <w:r>
        <w:rPr>
          <w:color w:val="000000"/>
          <w:spacing w:val="-1"/>
        </w:rPr>
        <w:t>a</w:t>
      </w:r>
      <w:r>
        <w:rPr>
          <w:color w:val="000000"/>
          <w:spacing w:val="1"/>
        </w:rPr>
        <w:t>r</w:t>
      </w:r>
      <w:r>
        <w:rPr>
          <w:color w:val="000000"/>
        </w:rPr>
        <w:t>to</w:t>
      </w:r>
      <w:r>
        <w:rPr>
          <w:color w:val="000000"/>
          <w:spacing w:val="1"/>
        </w:rPr>
        <w:t>t</w:t>
      </w:r>
      <w:r>
        <w:rPr>
          <w:color w:val="000000"/>
          <w:spacing w:val="5"/>
        </w:rPr>
        <w:t>o</w:t>
      </w:r>
      <w:r>
        <w:rPr>
          <w:color w:val="000000"/>
          <w:spacing w:val="-9"/>
        </w:rPr>
        <w:t>j</w:t>
      </w:r>
      <w:r>
        <w:rPr>
          <w:color w:val="000000"/>
        </w:rPr>
        <w:t>ų,</w:t>
      </w:r>
      <w:r>
        <w:rPr>
          <w:color w:val="000000"/>
          <w:spacing w:val="14"/>
        </w:rPr>
        <w:t xml:space="preserve"> </w:t>
      </w:r>
      <w:r>
        <w:rPr>
          <w:color w:val="000000"/>
        </w:rPr>
        <w:t>į</w:t>
      </w:r>
      <w:r>
        <w:rPr>
          <w:color w:val="000000"/>
          <w:spacing w:val="3"/>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11"/>
        </w:rPr>
        <w:t xml:space="preserve"> </w:t>
      </w:r>
      <w:r>
        <w:rPr>
          <w:color w:val="000000"/>
          <w:spacing w:val="-4"/>
        </w:rPr>
        <w:t>į</w:t>
      </w:r>
      <w:r>
        <w:rPr>
          <w:color w:val="000000"/>
        </w:rPr>
        <w:t>v</w:t>
      </w:r>
      <w:r>
        <w:rPr>
          <w:color w:val="000000"/>
          <w:spacing w:val="4"/>
        </w:rPr>
        <w:t>e</w:t>
      </w:r>
      <w:r>
        <w:rPr>
          <w:color w:val="000000"/>
          <w:spacing w:val="-1"/>
        </w:rPr>
        <w:t>ž</w:t>
      </w:r>
      <w:r>
        <w:rPr>
          <w:color w:val="000000"/>
          <w:spacing w:val="4"/>
        </w:rPr>
        <w:t>a</w:t>
      </w:r>
      <w:r>
        <w:rPr>
          <w:color w:val="000000"/>
          <w:spacing w:val="-9"/>
        </w:rPr>
        <w:t>m</w:t>
      </w:r>
      <w:r>
        <w:rPr>
          <w:color w:val="000000"/>
          <w:spacing w:val="5"/>
        </w:rPr>
        <w:t>o</w:t>
      </w:r>
      <w:r>
        <w:rPr>
          <w:color w:val="000000"/>
        </w:rPr>
        <w:t>s</w:t>
      </w:r>
      <w:r>
        <w:rPr>
          <w:color w:val="000000"/>
          <w:spacing w:val="10"/>
        </w:rPr>
        <w:t xml:space="preserve"> </w:t>
      </w:r>
      <w:r>
        <w:rPr>
          <w:color w:val="000000"/>
        </w:rPr>
        <w:t>iš</w:t>
      </w:r>
    </w:p>
    <w:p w:rsidR="004F7425" w:rsidRDefault="004F7425" w:rsidP="004F7425">
      <w:pPr>
        <w:widowControl w:val="0"/>
        <w:autoSpaceDE w:val="0"/>
        <w:autoSpaceDN w:val="0"/>
        <w:adjustRightInd w:val="0"/>
        <w:spacing w:before="41"/>
        <w:ind w:left="120" w:right="-20"/>
        <w:rPr>
          <w:color w:val="000000"/>
        </w:rPr>
      </w:pPr>
      <w:r>
        <w:rPr>
          <w:color w:val="000000"/>
          <w:spacing w:val="4"/>
        </w:rPr>
        <w:t>N</w:t>
      </w:r>
      <w:r>
        <w:rPr>
          <w:color w:val="000000"/>
          <w:spacing w:val="-10"/>
        </w:rPr>
        <w:t>y</w:t>
      </w:r>
      <w:r>
        <w:rPr>
          <w:color w:val="000000"/>
        </w:rPr>
        <w:t>d</w:t>
      </w:r>
      <w:r>
        <w:rPr>
          <w:color w:val="000000"/>
          <w:spacing w:val="-1"/>
        </w:rPr>
        <w:t>e</w:t>
      </w:r>
      <w:r>
        <w:rPr>
          <w:color w:val="000000"/>
          <w:spacing w:val="6"/>
        </w:rPr>
        <w:t>r</w:t>
      </w:r>
      <w:r>
        <w:rPr>
          <w:color w:val="000000"/>
          <w:spacing w:val="-4"/>
        </w:rPr>
        <w:t>l</w:t>
      </w:r>
      <w:r>
        <w:rPr>
          <w:color w:val="000000"/>
          <w:spacing w:val="4"/>
        </w:rPr>
        <w:t>a</w:t>
      </w:r>
      <w:r>
        <w:rPr>
          <w:color w:val="000000"/>
          <w:spacing w:val="-5"/>
        </w:rPr>
        <w:t>n</w:t>
      </w:r>
      <w:r>
        <w:rPr>
          <w:color w:val="000000"/>
        </w:rPr>
        <w:t>dų.</w:t>
      </w:r>
    </w:p>
    <w:p w:rsidR="004F7425" w:rsidRDefault="004F7425" w:rsidP="004F7425">
      <w:pPr>
        <w:widowControl w:val="0"/>
        <w:tabs>
          <w:tab w:val="left" w:pos="820"/>
        </w:tabs>
        <w:autoSpaceDE w:val="0"/>
        <w:autoSpaceDN w:val="0"/>
        <w:adjustRightInd w:val="0"/>
        <w:spacing w:before="5"/>
        <w:ind w:left="480" w:right="-20"/>
        <w:rPr>
          <w:color w:val="000000"/>
        </w:rPr>
      </w:pPr>
      <w:r>
        <w:rPr>
          <w:color w:val="000000"/>
        </w:rPr>
        <w:t>-</w:t>
      </w:r>
      <w:r>
        <w:rPr>
          <w:color w:val="000000"/>
        </w:rPr>
        <w:tab/>
      </w:r>
      <w:r>
        <w:rPr>
          <w:b/>
          <w:bCs/>
          <w:color w:val="C0504D"/>
          <w:spacing w:val="1"/>
        </w:rPr>
        <w:t>h</w:t>
      </w:r>
      <w:r>
        <w:rPr>
          <w:b/>
          <w:bCs/>
          <w:color w:val="C0504D"/>
        </w:rPr>
        <w:t>a</w:t>
      </w:r>
      <w:r>
        <w:rPr>
          <w:b/>
          <w:bCs/>
          <w:color w:val="C0504D"/>
          <w:spacing w:val="-2"/>
        </w:rPr>
        <w:t>š</w:t>
      </w:r>
      <w:r>
        <w:rPr>
          <w:b/>
          <w:bCs/>
          <w:color w:val="C0504D"/>
        </w:rPr>
        <w:t>i</w:t>
      </w:r>
      <w:r>
        <w:rPr>
          <w:b/>
          <w:bCs/>
          <w:color w:val="C0504D"/>
          <w:spacing w:val="-2"/>
        </w:rPr>
        <w:t>š</w:t>
      </w:r>
      <w:r>
        <w:rPr>
          <w:b/>
          <w:bCs/>
          <w:color w:val="C0504D"/>
        </w:rPr>
        <w:t>as</w:t>
      </w:r>
      <w:r>
        <w:rPr>
          <w:b/>
          <w:bCs/>
          <w:color w:val="C0504D"/>
          <w:spacing w:val="25"/>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spacing w:val="4"/>
        </w:rPr>
        <w:t>a</w:t>
      </w:r>
      <w:r>
        <w:rPr>
          <w:color w:val="000000"/>
        </w:rPr>
        <w:t>s</w:t>
      </w:r>
      <w:r>
        <w:rPr>
          <w:color w:val="000000"/>
          <w:spacing w:val="24"/>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7"/>
        </w:rPr>
        <w:t xml:space="preserve"> </w:t>
      </w:r>
      <w:r>
        <w:rPr>
          <w:color w:val="000000"/>
          <w:spacing w:val="-4"/>
        </w:rPr>
        <w:t>i</w:t>
      </w:r>
      <w:r>
        <w:rPr>
          <w:color w:val="000000"/>
        </w:rPr>
        <w:t>š</w:t>
      </w:r>
      <w:r>
        <w:rPr>
          <w:color w:val="000000"/>
          <w:spacing w:val="24"/>
        </w:rPr>
        <w:t xml:space="preserve"> </w:t>
      </w:r>
      <w:r>
        <w:rPr>
          <w:color w:val="000000"/>
          <w:spacing w:val="1"/>
        </w:rPr>
        <w:t>I</w:t>
      </w:r>
      <w:r>
        <w:rPr>
          <w:color w:val="000000"/>
          <w:spacing w:val="-2"/>
        </w:rPr>
        <w:t>s</w:t>
      </w:r>
      <w:r>
        <w:rPr>
          <w:color w:val="000000"/>
        </w:rPr>
        <w:t>p</w:t>
      </w:r>
      <w:r>
        <w:rPr>
          <w:color w:val="000000"/>
          <w:spacing w:val="4"/>
        </w:rPr>
        <w:t>a</w:t>
      </w:r>
      <w:r>
        <w:rPr>
          <w:color w:val="000000"/>
        </w:rPr>
        <w:t>ni</w:t>
      </w:r>
      <w:r>
        <w:rPr>
          <w:color w:val="000000"/>
          <w:spacing w:val="-9"/>
        </w:rPr>
        <w:t>j</w:t>
      </w:r>
      <w:r>
        <w:rPr>
          <w:color w:val="000000"/>
          <w:spacing w:val="5"/>
        </w:rPr>
        <w:t>o</w:t>
      </w:r>
      <w:r>
        <w:rPr>
          <w:color w:val="000000"/>
          <w:spacing w:val="-2"/>
        </w:rPr>
        <w:t>s</w:t>
      </w:r>
      <w:r>
        <w:rPr>
          <w:color w:val="000000"/>
        </w:rPr>
        <w:t>,</w:t>
      </w:r>
      <w:r>
        <w:rPr>
          <w:color w:val="000000"/>
          <w:spacing w:val="28"/>
        </w:rPr>
        <w:t xml:space="preserve"> </w:t>
      </w:r>
      <w:r>
        <w:rPr>
          <w:color w:val="000000"/>
          <w:spacing w:val="5"/>
        </w:rPr>
        <w:t>t</w:t>
      </w:r>
      <w:r>
        <w:rPr>
          <w:color w:val="000000"/>
          <w:spacing w:val="-1"/>
        </w:rPr>
        <w:t>a</w:t>
      </w:r>
      <w:r>
        <w:rPr>
          <w:color w:val="000000"/>
          <w:spacing w:val="-9"/>
        </w:rPr>
        <w:t>i</w:t>
      </w:r>
      <w:r>
        <w:rPr>
          <w:color w:val="000000"/>
        </w:rPr>
        <w:t>p</w:t>
      </w:r>
      <w:r>
        <w:rPr>
          <w:color w:val="000000"/>
          <w:spacing w:val="31"/>
        </w:rPr>
        <w:t xml:space="preserve"> </w:t>
      </w:r>
      <w:r>
        <w:rPr>
          <w:color w:val="000000"/>
        </w:rPr>
        <w:t>p</w:t>
      </w:r>
      <w:r>
        <w:rPr>
          <w:color w:val="000000"/>
          <w:spacing w:val="-1"/>
        </w:rPr>
        <w:t>a</w:t>
      </w:r>
      <w:r>
        <w:rPr>
          <w:color w:val="000000"/>
        </w:rPr>
        <w:t>t</w:t>
      </w:r>
      <w:r>
        <w:rPr>
          <w:color w:val="000000"/>
          <w:spacing w:val="37"/>
        </w:rPr>
        <w:t xml:space="preserve"> </w:t>
      </w:r>
      <w:r>
        <w:rPr>
          <w:color w:val="000000"/>
        </w:rPr>
        <w:t>–</w:t>
      </w:r>
      <w:r>
        <w:rPr>
          <w:color w:val="000000"/>
          <w:spacing w:val="22"/>
        </w:rPr>
        <w:t xml:space="preserve"> </w:t>
      </w:r>
      <w:r>
        <w:rPr>
          <w:color w:val="000000"/>
          <w:spacing w:val="-4"/>
        </w:rPr>
        <w:t>i</w:t>
      </w:r>
      <w:r>
        <w:rPr>
          <w:color w:val="000000"/>
        </w:rPr>
        <w:t>š</w:t>
      </w:r>
      <w:r>
        <w:rPr>
          <w:color w:val="000000"/>
          <w:spacing w:val="24"/>
        </w:rPr>
        <w:t xml:space="preserve"> </w:t>
      </w:r>
      <w:r>
        <w:rPr>
          <w:color w:val="000000"/>
          <w:spacing w:val="4"/>
        </w:rPr>
        <w:t>N</w:t>
      </w:r>
      <w:r>
        <w:rPr>
          <w:color w:val="000000"/>
          <w:spacing w:val="-10"/>
        </w:rPr>
        <w:t>y</w:t>
      </w:r>
      <w:r>
        <w:rPr>
          <w:color w:val="000000"/>
        </w:rPr>
        <w:t>d</w:t>
      </w:r>
      <w:r>
        <w:rPr>
          <w:color w:val="000000"/>
          <w:spacing w:val="-1"/>
        </w:rPr>
        <w:t>e</w:t>
      </w:r>
      <w:r>
        <w:rPr>
          <w:color w:val="000000"/>
          <w:spacing w:val="6"/>
        </w:rPr>
        <w:t>r</w:t>
      </w:r>
      <w:r>
        <w:rPr>
          <w:color w:val="000000"/>
          <w:spacing w:val="-4"/>
        </w:rPr>
        <w:t>l</w:t>
      </w:r>
      <w:r>
        <w:rPr>
          <w:color w:val="000000"/>
          <w:spacing w:val="4"/>
        </w:rPr>
        <w:t>a</w:t>
      </w:r>
      <w:r>
        <w:rPr>
          <w:color w:val="000000"/>
          <w:spacing w:val="-5"/>
        </w:rPr>
        <w:t>n</w:t>
      </w:r>
      <w:r>
        <w:rPr>
          <w:color w:val="000000"/>
        </w:rPr>
        <w:t>d</w:t>
      </w:r>
      <w:r>
        <w:rPr>
          <w:color w:val="000000"/>
          <w:spacing w:val="7"/>
        </w:rPr>
        <w:t>ų</w:t>
      </w:r>
      <w:r>
        <w:rPr>
          <w:color w:val="000000"/>
          <w:spacing w:val="2"/>
          <w:position w:val="11"/>
          <w:sz w:val="16"/>
          <w:szCs w:val="16"/>
        </w:rPr>
        <w:t>1</w:t>
      </w:r>
      <w:r>
        <w:rPr>
          <w:color w:val="000000"/>
        </w:rPr>
        <w:t>.</w:t>
      </w:r>
      <w:r>
        <w:rPr>
          <w:color w:val="000000"/>
          <w:spacing w:val="27"/>
        </w:rPr>
        <w:t xml:space="preserve"> </w:t>
      </w:r>
      <w:r>
        <w:rPr>
          <w:color w:val="000000"/>
          <w:spacing w:val="-3"/>
        </w:rPr>
        <w:t>T</w:t>
      </w:r>
      <w:r>
        <w:rPr>
          <w:color w:val="000000"/>
          <w:spacing w:val="5"/>
        </w:rPr>
        <w:t>o</w:t>
      </w:r>
      <w:r>
        <w:rPr>
          <w:color w:val="000000"/>
          <w:spacing w:val="-4"/>
        </w:rPr>
        <w:t>li</w:t>
      </w:r>
      <w:r>
        <w:rPr>
          <w:color w:val="000000"/>
          <w:spacing w:val="-1"/>
        </w:rPr>
        <w:t>a</w:t>
      </w:r>
      <w:r>
        <w:rPr>
          <w:color w:val="000000"/>
        </w:rPr>
        <w:t>u</w:t>
      </w:r>
      <w:r>
        <w:rPr>
          <w:color w:val="000000"/>
          <w:spacing w:val="26"/>
        </w:rPr>
        <w:t xml:space="preserve"> </w:t>
      </w:r>
      <w:r>
        <w:rPr>
          <w:color w:val="000000"/>
        </w:rPr>
        <w:t>g</w:t>
      </w:r>
      <w:r>
        <w:rPr>
          <w:color w:val="000000"/>
          <w:spacing w:val="-1"/>
        </w:rPr>
        <w:t>a</w:t>
      </w:r>
      <w:r>
        <w:rPr>
          <w:color w:val="000000"/>
        </w:rPr>
        <w:t>b</w:t>
      </w:r>
      <w:r>
        <w:rPr>
          <w:color w:val="000000"/>
          <w:spacing w:val="4"/>
        </w:rPr>
        <w:t>e</w:t>
      </w:r>
      <w:r>
        <w:rPr>
          <w:color w:val="000000"/>
          <w:spacing w:val="-5"/>
        </w:rPr>
        <w:t>n</w:t>
      </w:r>
      <w:r>
        <w:rPr>
          <w:color w:val="000000"/>
          <w:spacing w:val="4"/>
        </w:rPr>
        <w:t>a</w:t>
      </w:r>
      <w:r>
        <w:rPr>
          <w:color w:val="000000"/>
          <w:spacing w:val="-4"/>
        </w:rPr>
        <w:t>m</w:t>
      </w:r>
      <w:r>
        <w:rPr>
          <w:color w:val="000000"/>
          <w:spacing w:val="-1"/>
        </w:rPr>
        <w:t>a</w:t>
      </w:r>
      <w:r>
        <w:rPr>
          <w:color w:val="000000"/>
        </w:rPr>
        <w:t>s</w:t>
      </w:r>
      <w:r>
        <w:rPr>
          <w:color w:val="000000"/>
          <w:spacing w:val="29"/>
        </w:rPr>
        <w:t xml:space="preserve"> </w:t>
      </w:r>
      <w:r>
        <w:rPr>
          <w:color w:val="000000"/>
        </w:rPr>
        <w:t>į</w:t>
      </w:r>
    </w:p>
    <w:p w:rsidR="004F7425" w:rsidRDefault="004F7425" w:rsidP="004F7425">
      <w:pPr>
        <w:widowControl w:val="0"/>
        <w:autoSpaceDE w:val="0"/>
        <w:autoSpaceDN w:val="0"/>
        <w:adjustRightInd w:val="0"/>
        <w:spacing w:before="45"/>
        <w:ind w:left="120" w:right="-20"/>
        <w:rPr>
          <w:color w:val="000000"/>
        </w:rPr>
      </w:pPr>
      <w:r>
        <w:rPr>
          <w:color w:val="000000"/>
          <w:spacing w:val="3"/>
        </w:rPr>
        <w:t>R</w:t>
      </w:r>
      <w:r>
        <w:rPr>
          <w:color w:val="000000"/>
          <w:spacing w:val="-10"/>
        </w:rPr>
        <w:t>y</w:t>
      </w:r>
      <w:r>
        <w:rPr>
          <w:color w:val="000000"/>
          <w:spacing w:val="5"/>
        </w:rPr>
        <w:t>t</w:t>
      </w:r>
      <w:r>
        <w:rPr>
          <w:color w:val="000000"/>
        </w:rPr>
        <w:t>ų</w:t>
      </w:r>
      <w:r>
        <w:rPr>
          <w:color w:val="000000"/>
          <w:spacing w:val="3"/>
        </w:rPr>
        <w:t xml:space="preserve"> </w:t>
      </w:r>
      <w:r>
        <w:rPr>
          <w:color w:val="000000"/>
          <w:spacing w:val="2"/>
        </w:rPr>
        <w:t>E</w:t>
      </w:r>
      <w:r>
        <w:rPr>
          <w:color w:val="000000"/>
        </w:rPr>
        <w:t>u</w:t>
      </w:r>
      <w:r>
        <w:rPr>
          <w:color w:val="000000"/>
          <w:spacing w:val="-3"/>
        </w:rPr>
        <w:t>r</w:t>
      </w:r>
      <w:r>
        <w:rPr>
          <w:color w:val="000000"/>
          <w:spacing w:val="5"/>
        </w:rPr>
        <w:t>o</w:t>
      </w:r>
      <w:r>
        <w:rPr>
          <w:color w:val="000000"/>
        </w:rPr>
        <w:t>p</w:t>
      </w:r>
      <w:r>
        <w:rPr>
          <w:color w:val="000000"/>
          <w:spacing w:val="-1"/>
        </w:rPr>
        <w:t>ą</w:t>
      </w:r>
      <w:r>
        <w:rPr>
          <w:color w:val="000000"/>
        </w:rPr>
        <w:t xml:space="preserve">, </w:t>
      </w:r>
      <w:r>
        <w:rPr>
          <w:color w:val="000000"/>
          <w:spacing w:val="1"/>
        </w:rPr>
        <w:t>S</w:t>
      </w:r>
      <w:r>
        <w:rPr>
          <w:color w:val="000000"/>
        </w:rPr>
        <w:t>k</w:t>
      </w:r>
      <w:r>
        <w:rPr>
          <w:color w:val="000000"/>
          <w:spacing w:val="-1"/>
        </w:rPr>
        <w:t>a</w:t>
      </w:r>
      <w:r>
        <w:rPr>
          <w:color w:val="000000"/>
          <w:spacing w:val="-5"/>
        </w:rPr>
        <w:t>n</w:t>
      </w:r>
      <w:r>
        <w:rPr>
          <w:color w:val="000000"/>
          <w:spacing w:val="5"/>
        </w:rPr>
        <w:t>d</w:t>
      </w:r>
      <w:r>
        <w:rPr>
          <w:color w:val="000000"/>
          <w:spacing w:val="-4"/>
        </w:rPr>
        <w:t>i</w:t>
      </w:r>
      <w:r>
        <w:rPr>
          <w:color w:val="000000"/>
          <w:spacing w:val="-5"/>
        </w:rPr>
        <w:t>n</w:t>
      </w:r>
      <w:r>
        <w:rPr>
          <w:color w:val="000000"/>
          <w:spacing w:val="4"/>
        </w:rPr>
        <w:t>a</w:t>
      </w:r>
      <w:r>
        <w:rPr>
          <w:color w:val="000000"/>
        </w:rPr>
        <w:t>vi</w:t>
      </w:r>
      <w:r>
        <w:rPr>
          <w:color w:val="000000"/>
          <w:spacing w:val="-9"/>
        </w:rPr>
        <w:t>j</w:t>
      </w:r>
      <w:r>
        <w:rPr>
          <w:color w:val="000000"/>
          <w:spacing w:val="5"/>
        </w:rPr>
        <w:t>o</w:t>
      </w:r>
      <w:r>
        <w:rPr>
          <w:color w:val="000000"/>
        </w:rPr>
        <w:t>s</w:t>
      </w:r>
      <w:r>
        <w:rPr>
          <w:color w:val="000000"/>
          <w:spacing w:val="5"/>
        </w:rPr>
        <w:t xml:space="preserve">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yb</w:t>
      </w:r>
      <w:r>
        <w:rPr>
          <w:color w:val="000000"/>
          <w:spacing w:val="4"/>
        </w:rPr>
        <w:t>e</w:t>
      </w:r>
      <w:r>
        <w:rPr>
          <w:color w:val="000000"/>
          <w:spacing w:val="-2"/>
        </w:rPr>
        <w:t>s</w:t>
      </w:r>
      <w:r>
        <w:rPr>
          <w:color w:val="000000"/>
        </w:rPr>
        <w:t>.</w:t>
      </w:r>
    </w:p>
    <w:p w:rsidR="004F7425" w:rsidRDefault="004F7425" w:rsidP="004F7425">
      <w:pPr>
        <w:widowControl w:val="0"/>
        <w:autoSpaceDE w:val="0"/>
        <w:autoSpaceDN w:val="0"/>
        <w:adjustRightInd w:val="0"/>
        <w:spacing w:before="41" w:line="260" w:lineRule="auto"/>
        <w:ind w:left="120" w:right="64" w:firstLine="361"/>
        <w:jc w:val="both"/>
        <w:rPr>
          <w:color w:val="000000"/>
        </w:rPr>
      </w:pPr>
      <w:r>
        <w:rPr>
          <w:color w:val="000000"/>
        </w:rPr>
        <w:t xml:space="preserve">-   </w:t>
      </w:r>
      <w:r>
        <w:rPr>
          <w:color w:val="000000"/>
          <w:spacing w:val="30"/>
        </w:rPr>
        <w:t xml:space="preserve"> </w:t>
      </w:r>
      <w:r>
        <w:rPr>
          <w:b/>
          <w:bCs/>
          <w:color w:val="C0504D"/>
          <w:spacing w:val="1"/>
        </w:rPr>
        <w:t>h</w:t>
      </w:r>
      <w:r>
        <w:rPr>
          <w:b/>
          <w:bCs/>
          <w:color w:val="C0504D"/>
          <w:spacing w:val="-1"/>
        </w:rPr>
        <w:t>e</w:t>
      </w:r>
      <w:r>
        <w:rPr>
          <w:b/>
          <w:bCs/>
          <w:color w:val="C0504D"/>
          <w:spacing w:val="-6"/>
        </w:rPr>
        <w:t>r</w:t>
      </w:r>
      <w:r>
        <w:rPr>
          <w:b/>
          <w:bCs/>
          <w:color w:val="C0504D"/>
        </w:rPr>
        <w:t>oi</w:t>
      </w:r>
      <w:r>
        <w:rPr>
          <w:b/>
          <w:bCs/>
          <w:color w:val="C0504D"/>
          <w:spacing w:val="1"/>
        </w:rPr>
        <w:t>n</w:t>
      </w:r>
      <w:r>
        <w:rPr>
          <w:b/>
          <w:bCs/>
          <w:color w:val="C0504D"/>
        </w:rPr>
        <w:t>as</w:t>
      </w:r>
      <w:r>
        <w:rPr>
          <w:b/>
          <w:bCs/>
          <w:color w:val="C0504D"/>
          <w:spacing w:val="16"/>
        </w:rPr>
        <w:t xml:space="preserve"> </w:t>
      </w:r>
      <w:r>
        <w:rPr>
          <w:color w:val="000000"/>
        </w:rPr>
        <w:t>į</w:t>
      </w:r>
      <w:r>
        <w:rPr>
          <w:color w:val="000000"/>
          <w:spacing w:val="7"/>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11"/>
        </w:rPr>
        <w:t xml:space="preserve"> </w:t>
      </w:r>
      <w:r>
        <w:rPr>
          <w:color w:val="000000"/>
          <w:spacing w:val="-5"/>
        </w:rPr>
        <w:t>v</w:t>
      </w:r>
      <w:r>
        <w:rPr>
          <w:color w:val="000000"/>
          <w:spacing w:val="4"/>
        </w:rPr>
        <w:t>e</w:t>
      </w:r>
      <w:r>
        <w:rPr>
          <w:color w:val="000000"/>
          <w:spacing w:val="-1"/>
        </w:rPr>
        <w:t>ž</w:t>
      </w:r>
      <w:r>
        <w:rPr>
          <w:color w:val="000000"/>
          <w:spacing w:val="4"/>
        </w:rPr>
        <w:t>a</w:t>
      </w:r>
      <w:r>
        <w:rPr>
          <w:color w:val="000000"/>
          <w:spacing w:val="-4"/>
        </w:rPr>
        <w:t>m</w:t>
      </w:r>
      <w:r>
        <w:rPr>
          <w:color w:val="000000"/>
          <w:spacing w:val="-1"/>
        </w:rPr>
        <w:t>a</w:t>
      </w:r>
      <w:r>
        <w:rPr>
          <w:color w:val="000000"/>
        </w:rPr>
        <w:t>s</w:t>
      </w:r>
      <w:r>
        <w:rPr>
          <w:color w:val="000000"/>
          <w:spacing w:val="14"/>
        </w:rPr>
        <w:t xml:space="preserve"> </w:t>
      </w:r>
      <w:r>
        <w:rPr>
          <w:color w:val="000000"/>
          <w:spacing w:val="-4"/>
        </w:rPr>
        <w:t>i</w:t>
      </w:r>
      <w:r>
        <w:rPr>
          <w:color w:val="000000"/>
        </w:rPr>
        <w:t>š</w:t>
      </w:r>
      <w:r>
        <w:rPr>
          <w:color w:val="000000"/>
          <w:spacing w:val="9"/>
        </w:rPr>
        <w:t xml:space="preserve"> </w:t>
      </w:r>
      <w:r>
        <w:rPr>
          <w:color w:val="000000"/>
          <w:spacing w:val="-2"/>
        </w:rPr>
        <w:t>C</w:t>
      </w:r>
      <w:r>
        <w:rPr>
          <w:color w:val="000000"/>
          <w:spacing w:val="4"/>
        </w:rPr>
        <w:t>e</w:t>
      </w:r>
      <w:r>
        <w:rPr>
          <w:color w:val="000000"/>
          <w:spacing w:val="-5"/>
        </w:rPr>
        <w:t>n</w:t>
      </w:r>
      <w:r>
        <w:rPr>
          <w:color w:val="000000"/>
          <w:spacing w:val="10"/>
        </w:rPr>
        <w:t>t</w:t>
      </w:r>
      <w:r>
        <w:rPr>
          <w:color w:val="000000"/>
          <w:spacing w:val="-4"/>
        </w:rPr>
        <w:t>i</w:t>
      </w:r>
      <w:r>
        <w:rPr>
          <w:color w:val="000000"/>
          <w:spacing w:val="-5"/>
        </w:rPr>
        <w:t>n</w:t>
      </w:r>
      <w:r>
        <w:rPr>
          <w:color w:val="000000"/>
          <w:spacing w:val="-1"/>
        </w:rPr>
        <w:t>ė</w:t>
      </w:r>
      <w:r>
        <w:rPr>
          <w:color w:val="000000"/>
        </w:rPr>
        <w:t>s</w:t>
      </w:r>
      <w:r>
        <w:rPr>
          <w:color w:val="000000"/>
          <w:spacing w:val="14"/>
        </w:rPr>
        <w:t xml:space="preserve"> </w:t>
      </w:r>
      <w:r>
        <w:rPr>
          <w:color w:val="000000"/>
          <w:spacing w:val="-5"/>
        </w:rPr>
        <w:t>A</w:t>
      </w:r>
      <w:r>
        <w:rPr>
          <w:color w:val="000000"/>
          <w:spacing w:val="4"/>
        </w:rPr>
        <w:t>z</w:t>
      </w:r>
      <w:r>
        <w:rPr>
          <w:color w:val="000000"/>
        </w:rPr>
        <w:t>i</w:t>
      </w:r>
      <w:r>
        <w:rPr>
          <w:color w:val="000000"/>
          <w:spacing w:val="-9"/>
        </w:rPr>
        <w:t>j</w:t>
      </w:r>
      <w:r>
        <w:rPr>
          <w:color w:val="000000"/>
          <w:spacing w:val="5"/>
        </w:rPr>
        <w:t>o</w:t>
      </w:r>
      <w:r>
        <w:rPr>
          <w:color w:val="000000"/>
        </w:rPr>
        <w:t>s</w:t>
      </w:r>
      <w:r>
        <w:rPr>
          <w:color w:val="000000"/>
          <w:spacing w:val="9"/>
        </w:rPr>
        <w:t xml:space="preserve"> </w:t>
      </w:r>
      <w:r>
        <w:rPr>
          <w:color w:val="000000"/>
          <w:spacing w:val="2"/>
        </w:rPr>
        <w:t>š</w:t>
      </w:r>
      <w:r>
        <w:rPr>
          <w:color w:val="000000"/>
          <w:spacing w:val="4"/>
        </w:rPr>
        <w:t>a</w:t>
      </w:r>
      <w:r>
        <w:rPr>
          <w:color w:val="000000"/>
          <w:spacing w:val="-4"/>
        </w:rPr>
        <w:t>li</w:t>
      </w:r>
      <w:r>
        <w:rPr>
          <w:color w:val="000000"/>
        </w:rPr>
        <w:t>ų</w:t>
      </w:r>
      <w:r>
        <w:rPr>
          <w:color w:val="000000"/>
          <w:spacing w:val="7"/>
        </w:rPr>
        <w:t xml:space="preserve"> </w:t>
      </w:r>
      <w:r>
        <w:rPr>
          <w:color w:val="000000"/>
          <w:spacing w:val="5"/>
        </w:rPr>
        <w:t>p</w:t>
      </w:r>
      <w:r>
        <w:rPr>
          <w:color w:val="000000"/>
          <w:spacing w:val="-1"/>
        </w:rPr>
        <w:t>e</w:t>
      </w:r>
      <w:r>
        <w:rPr>
          <w:color w:val="000000"/>
        </w:rPr>
        <w:t>r</w:t>
      </w:r>
      <w:r>
        <w:rPr>
          <w:color w:val="000000"/>
          <w:spacing w:val="8"/>
        </w:rPr>
        <w:t xml:space="preserve"> </w:t>
      </w:r>
      <w:r>
        <w:rPr>
          <w:color w:val="000000"/>
          <w:spacing w:val="-2"/>
        </w:rPr>
        <w:t>R</w:t>
      </w:r>
      <w:r>
        <w:rPr>
          <w:color w:val="000000"/>
        </w:rPr>
        <w:t>u</w:t>
      </w:r>
      <w:r>
        <w:rPr>
          <w:color w:val="000000"/>
          <w:spacing w:val="2"/>
        </w:rPr>
        <w:t>s</w:t>
      </w:r>
      <w:r>
        <w:rPr>
          <w:color w:val="000000"/>
        </w:rPr>
        <w:t>i</w:t>
      </w:r>
      <w:r>
        <w:rPr>
          <w:color w:val="000000"/>
          <w:spacing w:val="-4"/>
        </w:rPr>
        <w:t>j</w:t>
      </w:r>
      <w:r>
        <w:rPr>
          <w:color w:val="000000"/>
        </w:rPr>
        <w:t>ą</w:t>
      </w:r>
      <w:r>
        <w:rPr>
          <w:color w:val="000000"/>
          <w:spacing w:val="15"/>
        </w:rPr>
        <w:t xml:space="preserve"> </w:t>
      </w:r>
      <w:r>
        <w:rPr>
          <w:color w:val="000000"/>
          <w:spacing w:val="-9"/>
        </w:rPr>
        <w:t>i</w:t>
      </w:r>
      <w:r>
        <w:rPr>
          <w:color w:val="000000"/>
        </w:rPr>
        <w:t>r</w:t>
      </w:r>
      <w:r>
        <w:rPr>
          <w:color w:val="000000"/>
          <w:spacing w:val="13"/>
        </w:rPr>
        <w:t xml:space="preserve"> </w:t>
      </w:r>
      <w:r>
        <w:rPr>
          <w:color w:val="000000"/>
          <w:spacing w:val="-2"/>
        </w:rPr>
        <w:t>B</w:t>
      </w:r>
      <w:r>
        <w:rPr>
          <w:color w:val="000000"/>
          <w:spacing w:val="13"/>
        </w:rPr>
        <w:t>a</w:t>
      </w:r>
      <w:r>
        <w:rPr>
          <w:color w:val="000000"/>
          <w:spacing w:val="-9"/>
        </w:rPr>
        <w:t>l</w:t>
      </w:r>
      <w:r>
        <w:rPr>
          <w:color w:val="000000"/>
          <w:spacing w:val="5"/>
        </w:rPr>
        <w:t>t</w:t>
      </w:r>
      <w:r>
        <w:rPr>
          <w:color w:val="000000"/>
          <w:spacing w:val="-1"/>
        </w:rPr>
        <w:t>a</w:t>
      </w:r>
      <w:r>
        <w:rPr>
          <w:color w:val="000000"/>
          <w:spacing w:val="1"/>
        </w:rPr>
        <w:t>r</w:t>
      </w:r>
      <w:r>
        <w:rPr>
          <w:color w:val="000000"/>
        </w:rPr>
        <w:t>u</w:t>
      </w:r>
      <w:r>
        <w:rPr>
          <w:color w:val="000000"/>
          <w:spacing w:val="2"/>
        </w:rPr>
        <w:t>s</w:t>
      </w:r>
      <w:r>
        <w:rPr>
          <w:color w:val="000000"/>
        </w:rPr>
        <w:t>i</w:t>
      </w:r>
      <w:r>
        <w:rPr>
          <w:color w:val="000000"/>
          <w:spacing w:val="-4"/>
        </w:rPr>
        <w:t>j</w:t>
      </w:r>
      <w:r>
        <w:rPr>
          <w:color w:val="000000"/>
          <w:spacing w:val="-1"/>
        </w:rPr>
        <w:t>ą</w:t>
      </w:r>
      <w:r>
        <w:rPr>
          <w:color w:val="000000"/>
        </w:rPr>
        <w:t>.</w:t>
      </w:r>
      <w:r>
        <w:rPr>
          <w:color w:val="000000"/>
          <w:spacing w:val="9"/>
        </w:rPr>
        <w:t xml:space="preserve"> </w:t>
      </w:r>
      <w:r>
        <w:rPr>
          <w:color w:val="000000"/>
        </w:rPr>
        <w:t>2012</w:t>
      </w:r>
      <w:r>
        <w:rPr>
          <w:color w:val="000000"/>
          <w:spacing w:val="16"/>
        </w:rPr>
        <w:t xml:space="preserve"> </w:t>
      </w:r>
      <w:r>
        <w:rPr>
          <w:color w:val="000000"/>
          <w:spacing w:val="-9"/>
        </w:rPr>
        <w:t>m</w:t>
      </w:r>
      <w:r>
        <w:rPr>
          <w:color w:val="000000"/>
        </w:rPr>
        <w:t>.</w:t>
      </w:r>
      <w:r>
        <w:rPr>
          <w:color w:val="000000"/>
          <w:spacing w:val="19"/>
        </w:rPr>
        <w:t xml:space="preserve"> </w:t>
      </w:r>
      <w:r>
        <w:rPr>
          <w:color w:val="000000"/>
          <w:spacing w:val="-5"/>
        </w:rPr>
        <w:t>b</w:t>
      </w:r>
      <w:r>
        <w:rPr>
          <w:color w:val="000000"/>
          <w:spacing w:val="5"/>
        </w:rPr>
        <w:t>u</w:t>
      </w:r>
      <w:r>
        <w:rPr>
          <w:color w:val="000000"/>
          <w:spacing w:val="-5"/>
        </w:rPr>
        <w:t>v</w:t>
      </w:r>
      <w:r>
        <w:rPr>
          <w:color w:val="000000"/>
        </w:rPr>
        <w:t>o u</w:t>
      </w:r>
      <w:r>
        <w:rPr>
          <w:color w:val="000000"/>
          <w:spacing w:val="4"/>
        </w:rPr>
        <w:t>ž</w:t>
      </w:r>
      <w:r>
        <w:rPr>
          <w:color w:val="000000"/>
          <w:spacing w:val="-3"/>
        </w:rPr>
        <w:t>f</w:t>
      </w:r>
      <w:r>
        <w:rPr>
          <w:color w:val="000000"/>
          <w:spacing w:val="-4"/>
        </w:rPr>
        <w:t>i</w:t>
      </w:r>
      <w:r>
        <w:rPr>
          <w:color w:val="000000"/>
        </w:rPr>
        <w:t>k</w:t>
      </w:r>
      <w:r>
        <w:rPr>
          <w:color w:val="000000"/>
          <w:spacing w:val="-2"/>
        </w:rPr>
        <w:t>s</w:t>
      </w:r>
      <w:r>
        <w:rPr>
          <w:color w:val="000000"/>
        </w:rPr>
        <w:t>u</w:t>
      </w:r>
      <w:r>
        <w:rPr>
          <w:color w:val="000000"/>
          <w:spacing w:val="5"/>
        </w:rPr>
        <w:t>ot</w:t>
      </w:r>
      <w:r>
        <w:rPr>
          <w:color w:val="000000"/>
          <w:spacing w:val="-1"/>
        </w:rPr>
        <w:t>a</w:t>
      </w:r>
      <w:r>
        <w:rPr>
          <w:color w:val="000000"/>
        </w:rPr>
        <w:t xml:space="preserve">s </w:t>
      </w:r>
      <w:r>
        <w:rPr>
          <w:color w:val="000000"/>
          <w:spacing w:val="-1"/>
        </w:rPr>
        <w:t>a</w:t>
      </w:r>
      <w:r>
        <w:rPr>
          <w:color w:val="000000"/>
          <w:spacing w:val="5"/>
        </w:rPr>
        <w:t>t</w:t>
      </w:r>
      <w:r>
        <w:rPr>
          <w:color w:val="000000"/>
          <w:spacing w:val="-5"/>
        </w:rPr>
        <w:t>v</w:t>
      </w:r>
      <w:r>
        <w:rPr>
          <w:color w:val="000000"/>
          <w:spacing w:val="4"/>
        </w:rPr>
        <w:t>e</w:t>
      </w:r>
      <w:r>
        <w:rPr>
          <w:color w:val="000000"/>
          <w:spacing w:val="-4"/>
        </w:rPr>
        <w:t>ji</w:t>
      </w:r>
      <w:r>
        <w:rPr>
          <w:color w:val="000000"/>
          <w:spacing w:val="-2"/>
        </w:rPr>
        <w:t>s</w:t>
      </w:r>
      <w:r>
        <w:rPr>
          <w:color w:val="000000"/>
        </w:rPr>
        <w:t>,</w:t>
      </w:r>
      <w:r>
        <w:rPr>
          <w:color w:val="000000"/>
          <w:spacing w:val="4"/>
        </w:rPr>
        <w:t xml:space="preserve"> </w:t>
      </w:r>
      <w:r>
        <w:rPr>
          <w:color w:val="000000"/>
        </w:rPr>
        <w:t>k</w:t>
      </w:r>
      <w:r>
        <w:rPr>
          <w:color w:val="000000"/>
          <w:spacing w:val="4"/>
        </w:rPr>
        <w:t>a</w:t>
      </w:r>
      <w:r>
        <w:rPr>
          <w:color w:val="000000"/>
        </w:rPr>
        <w:t>i</w:t>
      </w:r>
      <w:r>
        <w:rPr>
          <w:color w:val="000000"/>
          <w:spacing w:val="2"/>
        </w:rPr>
        <w:t xml:space="preserve"> </w:t>
      </w:r>
      <w:r>
        <w:rPr>
          <w:color w:val="000000"/>
          <w:spacing w:val="4"/>
        </w:rPr>
        <w:t>V</w:t>
      </w:r>
      <w:r>
        <w:rPr>
          <w:color w:val="000000"/>
        </w:rPr>
        <w:t>i</w:t>
      </w:r>
      <w:r>
        <w:rPr>
          <w:color w:val="000000"/>
          <w:spacing w:val="-4"/>
        </w:rPr>
        <w:t>l</w:t>
      </w:r>
      <w:r>
        <w:rPr>
          <w:color w:val="000000"/>
        </w:rPr>
        <w:t>n</w:t>
      </w:r>
      <w:r>
        <w:rPr>
          <w:color w:val="000000"/>
          <w:spacing w:val="-4"/>
        </w:rPr>
        <w:t>i</w:t>
      </w:r>
      <w:r>
        <w:rPr>
          <w:color w:val="000000"/>
          <w:spacing w:val="4"/>
        </w:rPr>
        <w:t>a</w:t>
      </w:r>
      <w:r>
        <w:rPr>
          <w:color w:val="000000"/>
        </w:rPr>
        <w:t xml:space="preserve">us </w:t>
      </w:r>
      <w:r>
        <w:rPr>
          <w:color w:val="000000"/>
          <w:spacing w:val="5"/>
        </w:rPr>
        <w:t>o</w:t>
      </w:r>
      <w:r>
        <w:rPr>
          <w:color w:val="000000"/>
          <w:spacing w:val="1"/>
        </w:rPr>
        <w:t>r</w:t>
      </w:r>
      <w:r>
        <w:rPr>
          <w:color w:val="000000"/>
        </w:rPr>
        <w:t>o</w:t>
      </w:r>
      <w:r>
        <w:rPr>
          <w:color w:val="000000"/>
          <w:spacing w:val="6"/>
        </w:rPr>
        <w:t xml:space="preserve"> </w:t>
      </w:r>
      <w:r>
        <w:rPr>
          <w:color w:val="000000"/>
          <w:spacing w:val="-5"/>
        </w:rPr>
        <w:t>u</w:t>
      </w:r>
      <w:r>
        <w:rPr>
          <w:color w:val="000000"/>
          <w:spacing w:val="5"/>
        </w:rPr>
        <w:t>o</w:t>
      </w:r>
      <w:r>
        <w:rPr>
          <w:color w:val="000000"/>
          <w:spacing w:val="-2"/>
        </w:rPr>
        <w:t>s</w:t>
      </w:r>
      <w:r>
        <w:rPr>
          <w:color w:val="000000"/>
          <w:spacing w:val="5"/>
        </w:rPr>
        <w:t>t</w:t>
      </w:r>
      <w:r>
        <w:rPr>
          <w:color w:val="000000"/>
        </w:rPr>
        <w:t>e</w:t>
      </w:r>
      <w:r>
        <w:rPr>
          <w:color w:val="000000"/>
          <w:spacing w:val="1"/>
        </w:rPr>
        <w:t xml:space="preserve"> </w:t>
      </w:r>
      <w:r>
        <w:rPr>
          <w:color w:val="000000"/>
        </w:rPr>
        <w:t>p</w:t>
      </w:r>
      <w:r>
        <w:rPr>
          <w:color w:val="000000"/>
          <w:spacing w:val="-6"/>
        </w:rPr>
        <w:t>a</w:t>
      </w:r>
      <w:r>
        <w:rPr>
          <w:color w:val="000000"/>
          <w:spacing w:val="5"/>
        </w:rPr>
        <w:t>t</w:t>
      </w:r>
      <w:r>
        <w:rPr>
          <w:color w:val="000000"/>
          <w:spacing w:val="-9"/>
        </w:rPr>
        <w:t>i</w:t>
      </w:r>
      <w:r>
        <w:rPr>
          <w:color w:val="000000"/>
        </w:rPr>
        <w:t>k</w:t>
      </w:r>
      <w:r>
        <w:rPr>
          <w:color w:val="000000"/>
          <w:spacing w:val="6"/>
        </w:rPr>
        <w:t>r</w:t>
      </w:r>
      <w:r>
        <w:rPr>
          <w:color w:val="000000"/>
          <w:spacing w:val="-4"/>
        </w:rPr>
        <w:t>i</w:t>
      </w:r>
      <w:r>
        <w:rPr>
          <w:color w:val="000000"/>
          <w:spacing w:val="5"/>
        </w:rPr>
        <w:t>n</w:t>
      </w:r>
      <w:r>
        <w:rPr>
          <w:color w:val="000000"/>
        </w:rPr>
        <w:t>i</w:t>
      </w:r>
      <w:r>
        <w:rPr>
          <w:color w:val="000000"/>
          <w:spacing w:val="-9"/>
        </w:rPr>
        <w:t>m</w:t>
      </w:r>
      <w:r>
        <w:rPr>
          <w:color w:val="000000"/>
        </w:rPr>
        <w:t>o</w:t>
      </w:r>
      <w:r>
        <w:rPr>
          <w:color w:val="000000"/>
          <w:spacing w:val="11"/>
        </w:rPr>
        <w:t xml:space="preserve"> </w:t>
      </w:r>
      <w:r>
        <w:rPr>
          <w:color w:val="000000"/>
          <w:spacing w:val="-4"/>
        </w:rPr>
        <w:t>m</w:t>
      </w:r>
      <w:r>
        <w:rPr>
          <w:color w:val="000000"/>
          <w:spacing w:val="-1"/>
        </w:rPr>
        <w:t>e</w:t>
      </w:r>
      <w:r>
        <w:rPr>
          <w:color w:val="000000"/>
          <w:spacing w:val="5"/>
        </w:rPr>
        <w:t>t</w:t>
      </w:r>
      <w:r>
        <w:rPr>
          <w:color w:val="000000"/>
        </w:rPr>
        <w:t>u</w:t>
      </w:r>
      <w:r>
        <w:rPr>
          <w:color w:val="000000"/>
          <w:spacing w:val="2"/>
        </w:rPr>
        <w:t xml:space="preserve"> </w:t>
      </w:r>
      <w:r>
        <w:rPr>
          <w:color w:val="000000"/>
        </w:rPr>
        <w:t>p</w:t>
      </w:r>
      <w:r>
        <w:rPr>
          <w:color w:val="000000"/>
          <w:spacing w:val="-1"/>
        </w:rPr>
        <w:t>a</w:t>
      </w:r>
      <w:r>
        <w:rPr>
          <w:color w:val="000000"/>
        </w:rPr>
        <w:t>s</w:t>
      </w:r>
      <w:r>
        <w:rPr>
          <w:color w:val="000000"/>
          <w:spacing w:val="4"/>
        </w:rPr>
        <w:t xml:space="preserve"> </w:t>
      </w:r>
      <w:r>
        <w:rPr>
          <w:color w:val="000000"/>
          <w:spacing w:val="-3"/>
        </w:rPr>
        <w:t>L</w:t>
      </w:r>
      <w:r>
        <w:rPr>
          <w:color w:val="000000"/>
        </w:rPr>
        <w:t xml:space="preserve">R </w:t>
      </w:r>
      <w:r>
        <w:rPr>
          <w:color w:val="000000"/>
          <w:spacing w:val="5"/>
        </w:rPr>
        <w:t>p</w:t>
      </w:r>
      <w:r>
        <w:rPr>
          <w:color w:val="000000"/>
        </w:rPr>
        <w:t>i</w:t>
      </w:r>
      <w:r>
        <w:rPr>
          <w:color w:val="000000"/>
          <w:spacing w:val="1"/>
        </w:rPr>
        <w:t>l</w:t>
      </w:r>
      <w:r>
        <w:rPr>
          <w:color w:val="000000"/>
          <w:spacing w:val="-4"/>
        </w:rPr>
        <w:t>i</w:t>
      </w:r>
      <w:r>
        <w:rPr>
          <w:color w:val="000000"/>
          <w:spacing w:val="-1"/>
        </w:rPr>
        <w:t>e</w:t>
      </w:r>
      <w:r>
        <w:rPr>
          <w:color w:val="000000"/>
          <w:spacing w:val="10"/>
        </w:rPr>
        <w:t>t</w:t>
      </w:r>
      <w:r>
        <w:rPr>
          <w:color w:val="000000"/>
          <w:spacing w:val="-9"/>
        </w:rPr>
        <w:t>į</w:t>
      </w:r>
      <w:r>
        <w:rPr>
          <w:color w:val="000000"/>
        </w:rPr>
        <w:t>,</w:t>
      </w:r>
      <w:r>
        <w:rPr>
          <w:color w:val="000000"/>
          <w:spacing w:val="4"/>
        </w:rPr>
        <w:t xml:space="preserve"> </w:t>
      </w:r>
      <w:r>
        <w:rPr>
          <w:color w:val="000000"/>
        </w:rPr>
        <w:t>ku</w:t>
      </w:r>
      <w:r>
        <w:rPr>
          <w:color w:val="000000"/>
          <w:spacing w:val="6"/>
        </w:rPr>
        <w:t>r</w:t>
      </w:r>
      <w:r>
        <w:rPr>
          <w:color w:val="000000"/>
          <w:spacing w:val="-4"/>
        </w:rPr>
        <w:t>i</w:t>
      </w:r>
      <w:r>
        <w:rPr>
          <w:color w:val="000000"/>
        </w:rPr>
        <w:t>s</w:t>
      </w:r>
      <w:r>
        <w:rPr>
          <w:color w:val="000000"/>
          <w:spacing w:val="4"/>
        </w:rPr>
        <w:t xml:space="preserve"> </w:t>
      </w:r>
      <w:r>
        <w:rPr>
          <w:color w:val="000000"/>
        </w:rPr>
        <w:t>v</w:t>
      </w:r>
      <w:r>
        <w:rPr>
          <w:color w:val="000000"/>
          <w:spacing w:val="-5"/>
        </w:rPr>
        <w:t>y</w:t>
      </w:r>
      <w:r>
        <w:rPr>
          <w:color w:val="000000"/>
        </w:rPr>
        <w:t>ko</w:t>
      </w:r>
      <w:r>
        <w:rPr>
          <w:color w:val="000000"/>
          <w:spacing w:val="11"/>
        </w:rPr>
        <w:t xml:space="preserve"> </w:t>
      </w:r>
      <w:r>
        <w:rPr>
          <w:color w:val="000000"/>
          <w:spacing w:val="-9"/>
        </w:rPr>
        <w:t>m</w:t>
      </w:r>
      <w:r>
        <w:rPr>
          <w:color w:val="000000"/>
          <w:spacing w:val="-1"/>
        </w:rPr>
        <w:t>a</w:t>
      </w:r>
      <w:r>
        <w:rPr>
          <w:color w:val="000000"/>
          <w:spacing w:val="1"/>
        </w:rPr>
        <w:t>r</w:t>
      </w:r>
      <w:r>
        <w:rPr>
          <w:color w:val="000000"/>
          <w:spacing w:val="-2"/>
        </w:rPr>
        <w:t>š</w:t>
      </w:r>
      <w:r>
        <w:rPr>
          <w:color w:val="000000"/>
          <w:spacing w:val="1"/>
        </w:rPr>
        <w:t>r</w:t>
      </w:r>
      <w:r>
        <w:rPr>
          <w:color w:val="000000"/>
        </w:rPr>
        <w:t>u</w:t>
      </w:r>
      <w:r>
        <w:rPr>
          <w:color w:val="000000"/>
          <w:spacing w:val="5"/>
        </w:rPr>
        <w:t>t</w:t>
      </w:r>
      <w:r>
        <w:rPr>
          <w:color w:val="000000"/>
        </w:rPr>
        <w:t xml:space="preserve">u </w:t>
      </w:r>
      <w:r>
        <w:rPr>
          <w:color w:val="000000"/>
          <w:spacing w:val="-3"/>
        </w:rPr>
        <w:t>Z</w:t>
      </w:r>
      <w:r>
        <w:rPr>
          <w:color w:val="000000"/>
          <w:spacing w:val="4"/>
        </w:rPr>
        <w:t>a</w:t>
      </w:r>
      <w:r>
        <w:rPr>
          <w:color w:val="000000"/>
          <w:spacing w:val="-5"/>
        </w:rPr>
        <w:t>n</w:t>
      </w:r>
      <w:r>
        <w:rPr>
          <w:color w:val="000000"/>
          <w:spacing w:val="4"/>
        </w:rPr>
        <w:t>z</w:t>
      </w:r>
      <w:r>
        <w:rPr>
          <w:color w:val="000000"/>
          <w:spacing w:val="-4"/>
        </w:rPr>
        <w:t>i</w:t>
      </w:r>
      <w:r>
        <w:rPr>
          <w:color w:val="000000"/>
        </w:rPr>
        <w:t>b</w:t>
      </w:r>
      <w:r>
        <w:rPr>
          <w:color w:val="000000"/>
          <w:spacing w:val="-1"/>
        </w:rPr>
        <w:t>a</w:t>
      </w:r>
      <w:r>
        <w:rPr>
          <w:color w:val="000000"/>
          <w:spacing w:val="1"/>
        </w:rPr>
        <w:t>r</w:t>
      </w:r>
      <w:r>
        <w:rPr>
          <w:color w:val="000000"/>
          <w:spacing w:val="-1"/>
        </w:rPr>
        <w:t>as</w:t>
      </w:r>
      <w:r>
        <w:rPr>
          <w:color w:val="000000"/>
          <w:spacing w:val="2"/>
        </w:rPr>
        <w:t>-</w:t>
      </w:r>
      <w:r>
        <w:rPr>
          <w:color w:val="000000"/>
        </w:rPr>
        <w:t>N</w:t>
      </w:r>
      <w:r>
        <w:rPr>
          <w:color w:val="000000"/>
          <w:spacing w:val="3"/>
        </w:rPr>
        <w:t>a</w:t>
      </w:r>
      <w:r>
        <w:rPr>
          <w:color w:val="000000"/>
          <w:spacing w:val="-4"/>
        </w:rPr>
        <w:t>i</w:t>
      </w:r>
      <w:r>
        <w:rPr>
          <w:color w:val="000000"/>
          <w:spacing w:val="1"/>
        </w:rPr>
        <w:t>r</w:t>
      </w:r>
      <w:r>
        <w:rPr>
          <w:color w:val="000000"/>
          <w:spacing w:val="5"/>
        </w:rPr>
        <w:t>o</w:t>
      </w:r>
      <w:r>
        <w:rPr>
          <w:color w:val="000000"/>
        </w:rPr>
        <w:t>b</w:t>
      </w:r>
      <w:r>
        <w:rPr>
          <w:color w:val="000000"/>
          <w:spacing w:val="-4"/>
        </w:rPr>
        <w:t>i</w:t>
      </w:r>
      <w:r>
        <w:rPr>
          <w:color w:val="000000"/>
          <w:spacing w:val="-1"/>
        </w:rPr>
        <w:t>s</w:t>
      </w:r>
      <w:r>
        <w:rPr>
          <w:color w:val="000000"/>
          <w:spacing w:val="2"/>
        </w:rPr>
        <w:t>-</w:t>
      </w:r>
      <w:r>
        <w:rPr>
          <w:color w:val="000000"/>
          <w:spacing w:val="-2"/>
        </w:rPr>
        <w:t>B</w:t>
      </w:r>
      <w:r>
        <w:rPr>
          <w:color w:val="000000"/>
          <w:spacing w:val="6"/>
        </w:rPr>
        <w:t>r</w:t>
      </w:r>
      <w:r>
        <w:rPr>
          <w:color w:val="000000"/>
          <w:spacing w:val="-4"/>
        </w:rPr>
        <w:t>i</w:t>
      </w:r>
      <w:r>
        <w:rPr>
          <w:color w:val="000000"/>
        </w:rPr>
        <w:t>u</w:t>
      </w:r>
      <w:r>
        <w:rPr>
          <w:color w:val="000000"/>
          <w:spacing w:val="-2"/>
        </w:rPr>
        <w:t>s</w:t>
      </w:r>
      <w:r>
        <w:rPr>
          <w:color w:val="000000"/>
          <w:spacing w:val="4"/>
        </w:rPr>
        <w:t>e</w:t>
      </w:r>
      <w:r>
        <w:rPr>
          <w:color w:val="000000"/>
        </w:rPr>
        <w:t>l</w:t>
      </w:r>
      <w:r>
        <w:rPr>
          <w:color w:val="000000"/>
          <w:spacing w:val="-4"/>
        </w:rPr>
        <w:t>i</w:t>
      </w:r>
      <w:r>
        <w:rPr>
          <w:color w:val="000000"/>
          <w:spacing w:val="-1"/>
        </w:rPr>
        <w:t>s</w:t>
      </w:r>
      <w:r>
        <w:rPr>
          <w:color w:val="000000"/>
          <w:spacing w:val="2"/>
        </w:rPr>
        <w:t>-</w:t>
      </w:r>
      <w:r>
        <w:rPr>
          <w:color w:val="000000"/>
          <w:spacing w:val="4"/>
        </w:rPr>
        <w:t>V</w:t>
      </w:r>
      <w:r>
        <w:rPr>
          <w:color w:val="000000"/>
        </w:rPr>
        <w:t>i</w:t>
      </w:r>
      <w:r>
        <w:rPr>
          <w:color w:val="000000"/>
          <w:spacing w:val="-4"/>
        </w:rPr>
        <w:t>l</w:t>
      </w:r>
      <w:r>
        <w:rPr>
          <w:color w:val="000000"/>
          <w:spacing w:val="5"/>
        </w:rPr>
        <w:t>n</w:t>
      </w:r>
      <w:r>
        <w:rPr>
          <w:color w:val="000000"/>
          <w:spacing w:val="-4"/>
        </w:rPr>
        <w:t>i</w:t>
      </w:r>
      <w:r>
        <w:rPr>
          <w:color w:val="000000"/>
        </w:rPr>
        <w:t>u</w:t>
      </w:r>
      <w:r>
        <w:rPr>
          <w:color w:val="000000"/>
          <w:spacing w:val="-2"/>
        </w:rPr>
        <w:t>s</w:t>
      </w:r>
      <w:r>
        <w:rPr>
          <w:color w:val="000000"/>
        </w:rPr>
        <w:t>,</w:t>
      </w:r>
      <w:r>
        <w:rPr>
          <w:color w:val="000000"/>
          <w:spacing w:val="4"/>
        </w:rPr>
        <w:t xml:space="preserve"> </w:t>
      </w:r>
      <w:r>
        <w:rPr>
          <w:color w:val="000000"/>
          <w:spacing w:val="1"/>
        </w:rPr>
        <w:t>r</w:t>
      </w:r>
      <w:r>
        <w:rPr>
          <w:color w:val="000000"/>
          <w:spacing w:val="-1"/>
        </w:rPr>
        <w:t>a</w:t>
      </w:r>
      <w:r>
        <w:rPr>
          <w:color w:val="000000"/>
          <w:spacing w:val="-2"/>
        </w:rPr>
        <w:t>s</w:t>
      </w:r>
      <w:r>
        <w:rPr>
          <w:color w:val="000000"/>
          <w:spacing w:val="5"/>
        </w:rPr>
        <w:t>t</w:t>
      </w:r>
      <w:r>
        <w:rPr>
          <w:color w:val="000000"/>
          <w:spacing w:val="-1"/>
        </w:rPr>
        <w:t>a</w:t>
      </w:r>
      <w:r>
        <w:rPr>
          <w:color w:val="000000"/>
        </w:rPr>
        <w:t>s p</w:t>
      </w:r>
      <w:r>
        <w:rPr>
          <w:color w:val="000000"/>
          <w:spacing w:val="-1"/>
        </w:rPr>
        <w:t>a</w:t>
      </w:r>
      <w:r>
        <w:rPr>
          <w:color w:val="000000"/>
        </w:rPr>
        <w:t>k</w:t>
      </w:r>
      <w:r>
        <w:rPr>
          <w:color w:val="000000"/>
          <w:spacing w:val="-1"/>
        </w:rPr>
        <w:t>e</w:t>
      </w:r>
      <w:r>
        <w:rPr>
          <w:color w:val="000000"/>
          <w:spacing w:val="5"/>
        </w:rPr>
        <w:t>t</w:t>
      </w:r>
      <w:r>
        <w:rPr>
          <w:color w:val="000000"/>
          <w:spacing w:val="-1"/>
        </w:rPr>
        <w:t>a</w:t>
      </w:r>
      <w:r>
        <w:rPr>
          <w:color w:val="000000"/>
        </w:rPr>
        <w:t xml:space="preserve">s </w:t>
      </w:r>
      <w:r>
        <w:rPr>
          <w:color w:val="000000"/>
          <w:spacing w:val="-2"/>
        </w:rPr>
        <w:t>s</w:t>
      </w:r>
      <w:r>
        <w:rPr>
          <w:color w:val="000000"/>
        </w:rPr>
        <w:t>u</w:t>
      </w:r>
      <w:r>
        <w:rPr>
          <w:color w:val="000000"/>
          <w:spacing w:val="2"/>
        </w:rPr>
        <w:t xml:space="preserve"> </w:t>
      </w:r>
      <w:r>
        <w:rPr>
          <w:color w:val="000000"/>
        </w:rPr>
        <w:t>2</w:t>
      </w:r>
      <w:r>
        <w:rPr>
          <w:color w:val="000000"/>
          <w:spacing w:val="-3"/>
        </w:rPr>
        <w:t xml:space="preserve"> </w:t>
      </w:r>
      <w:r>
        <w:rPr>
          <w:color w:val="000000"/>
        </w:rPr>
        <w:t>g</w:t>
      </w:r>
      <w:r>
        <w:rPr>
          <w:color w:val="000000"/>
          <w:spacing w:val="2"/>
        </w:rPr>
        <w:t xml:space="preserve"> </w:t>
      </w:r>
      <w:r>
        <w:rPr>
          <w:color w:val="000000"/>
          <w:spacing w:val="-5"/>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spacing w:val="10"/>
        </w:rPr>
        <w:t>o</w:t>
      </w:r>
      <w:r>
        <w:rPr>
          <w:color w:val="000000"/>
          <w:spacing w:val="2"/>
          <w:position w:val="11"/>
          <w:sz w:val="16"/>
          <w:szCs w:val="16"/>
        </w:rPr>
        <w:t>2</w:t>
      </w:r>
      <w:r>
        <w:rPr>
          <w:color w:val="000000"/>
        </w:rPr>
        <w:t>.</w:t>
      </w:r>
    </w:p>
    <w:p w:rsidR="004F7425" w:rsidRDefault="004F7425" w:rsidP="004F7425">
      <w:pPr>
        <w:widowControl w:val="0"/>
        <w:autoSpaceDE w:val="0"/>
        <w:autoSpaceDN w:val="0"/>
        <w:adjustRightInd w:val="0"/>
        <w:spacing w:before="15"/>
        <w:ind w:left="120" w:right="65" w:firstLine="361"/>
        <w:jc w:val="both"/>
        <w:rPr>
          <w:color w:val="000000"/>
        </w:rPr>
      </w:pPr>
      <w:r>
        <w:rPr>
          <w:color w:val="000000"/>
        </w:rPr>
        <w:t xml:space="preserve">-   </w:t>
      </w:r>
      <w:r>
        <w:rPr>
          <w:color w:val="000000"/>
          <w:spacing w:val="30"/>
        </w:rPr>
        <w:t xml:space="preserve"> </w:t>
      </w:r>
      <w:r>
        <w:rPr>
          <w:b/>
          <w:bCs/>
          <w:color w:val="C0504D"/>
          <w:spacing w:val="-4"/>
        </w:rPr>
        <w:t>k</w:t>
      </w:r>
      <w:r>
        <w:rPr>
          <w:b/>
          <w:bCs/>
          <w:color w:val="C0504D"/>
          <w:spacing w:val="5"/>
        </w:rPr>
        <w:t>o</w:t>
      </w:r>
      <w:r>
        <w:rPr>
          <w:b/>
          <w:bCs/>
          <w:color w:val="C0504D"/>
          <w:spacing w:val="-4"/>
        </w:rPr>
        <w:t>k</w:t>
      </w:r>
      <w:r>
        <w:rPr>
          <w:b/>
          <w:bCs/>
          <w:color w:val="C0504D"/>
        </w:rPr>
        <w:t>ai</w:t>
      </w:r>
      <w:r>
        <w:rPr>
          <w:b/>
          <w:bCs/>
          <w:color w:val="C0504D"/>
          <w:spacing w:val="1"/>
        </w:rPr>
        <w:t>n</w:t>
      </w:r>
      <w:r>
        <w:rPr>
          <w:b/>
          <w:bCs/>
          <w:color w:val="C0504D"/>
        </w:rPr>
        <w:t xml:space="preserve">as </w:t>
      </w:r>
      <w:r>
        <w:rPr>
          <w:b/>
          <w:bCs/>
          <w:color w:val="C0504D"/>
          <w:spacing w:val="32"/>
        </w:rPr>
        <w:t xml:space="preserve"> </w:t>
      </w:r>
      <w:r>
        <w:rPr>
          <w:color w:val="000000"/>
        </w:rPr>
        <w:t xml:space="preserve">į </w:t>
      </w:r>
      <w:r>
        <w:rPr>
          <w:color w:val="000000"/>
          <w:spacing w:val="1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 xml:space="preserve">uvą </w:t>
      </w:r>
      <w:r>
        <w:rPr>
          <w:color w:val="000000"/>
          <w:spacing w:val="32"/>
        </w:rPr>
        <w:t xml:space="preserve"> </w:t>
      </w:r>
      <w:r>
        <w:rPr>
          <w:color w:val="000000"/>
          <w:spacing w:val="-4"/>
        </w:rPr>
        <w:t>į</w:t>
      </w:r>
      <w:r>
        <w:rPr>
          <w:color w:val="000000"/>
          <w:spacing w:val="-5"/>
        </w:rPr>
        <w:t>v</w:t>
      </w:r>
      <w:r>
        <w:rPr>
          <w:color w:val="000000"/>
          <w:spacing w:val="-1"/>
        </w:rPr>
        <w:t>e</w:t>
      </w:r>
      <w:r>
        <w:rPr>
          <w:color w:val="000000"/>
          <w:spacing w:val="4"/>
        </w:rPr>
        <w:t>ža</w:t>
      </w:r>
      <w:r>
        <w:rPr>
          <w:color w:val="000000"/>
          <w:spacing w:val="-4"/>
        </w:rPr>
        <w:t>m</w:t>
      </w:r>
      <w:r>
        <w:rPr>
          <w:color w:val="000000"/>
          <w:spacing w:val="-1"/>
        </w:rPr>
        <w:t>a</w:t>
      </w:r>
      <w:r>
        <w:rPr>
          <w:color w:val="000000"/>
        </w:rPr>
        <w:t xml:space="preserve">s </w:t>
      </w:r>
      <w:r>
        <w:rPr>
          <w:color w:val="000000"/>
          <w:spacing w:val="26"/>
        </w:rPr>
        <w:t xml:space="preserve"> </w:t>
      </w:r>
      <w:r>
        <w:rPr>
          <w:color w:val="000000"/>
          <w:spacing w:val="10"/>
        </w:rPr>
        <w:t>t</w:t>
      </w:r>
      <w:r>
        <w:rPr>
          <w:color w:val="000000"/>
          <w:spacing w:val="-9"/>
        </w:rPr>
        <w:t>i</w:t>
      </w:r>
      <w:r>
        <w:rPr>
          <w:color w:val="000000"/>
          <w:spacing w:val="-1"/>
        </w:rPr>
        <w:t>e</w:t>
      </w:r>
      <w:r>
        <w:rPr>
          <w:color w:val="000000"/>
        </w:rPr>
        <w:t xml:space="preserve">k </w:t>
      </w:r>
      <w:r>
        <w:rPr>
          <w:color w:val="000000"/>
          <w:spacing w:val="33"/>
        </w:rPr>
        <w:t xml:space="preserve"> </w:t>
      </w:r>
      <w:r>
        <w:rPr>
          <w:color w:val="000000"/>
          <w:spacing w:val="-4"/>
        </w:rPr>
        <w:t>i</w:t>
      </w:r>
      <w:r>
        <w:rPr>
          <w:color w:val="000000"/>
        </w:rPr>
        <w:t xml:space="preserve">š </w:t>
      </w:r>
      <w:r>
        <w:rPr>
          <w:color w:val="000000"/>
          <w:spacing w:val="26"/>
        </w:rPr>
        <w:t xml:space="preserve"> </w:t>
      </w:r>
      <w:r>
        <w:rPr>
          <w:color w:val="000000"/>
        </w:rPr>
        <w:t>V</w:t>
      </w:r>
      <w:r>
        <w:rPr>
          <w:color w:val="000000"/>
          <w:spacing w:val="-1"/>
        </w:rPr>
        <w:t>a</w:t>
      </w:r>
      <w:r>
        <w:rPr>
          <w:color w:val="000000"/>
        </w:rPr>
        <w:t>k</w:t>
      </w:r>
      <w:r>
        <w:rPr>
          <w:color w:val="000000"/>
          <w:spacing w:val="-1"/>
        </w:rPr>
        <w:t>a</w:t>
      </w:r>
      <w:r>
        <w:rPr>
          <w:color w:val="000000"/>
          <w:spacing w:val="1"/>
        </w:rPr>
        <w:t>r</w:t>
      </w:r>
      <w:r>
        <w:rPr>
          <w:color w:val="000000"/>
        </w:rPr>
        <w:t xml:space="preserve">ų </w:t>
      </w:r>
      <w:r>
        <w:rPr>
          <w:color w:val="000000"/>
          <w:spacing w:val="29"/>
        </w:rPr>
        <w:t xml:space="preserve"> </w:t>
      </w:r>
      <w:r>
        <w:rPr>
          <w:color w:val="000000"/>
          <w:spacing w:val="2"/>
        </w:rPr>
        <w:t>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rPr>
        <w:t xml:space="preserve">s </w:t>
      </w:r>
      <w:r>
        <w:rPr>
          <w:color w:val="000000"/>
          <w:spacing w:val="26"/>
        </w:rPr>
        <w:t xml:space="preserve"> </w:t>
      </w:r>
      <w:r>
        <w:rPr>
          <w:color w:val="000000"/>
          <w:spacing w:val="-2"/>
        </w:rPr>
        <w:t>š</w:t>
      </w:r>
      <w:r>
        <w:rPr>
          <w:color w:val="000000"/>
          <w:spacing w:val="4"/>
        </w:rPr>
        <w:t>a</w:t>
      </w:r>
      <w:r>
        <w:rPr>
          <w:color w:val="000000"/>
          <w:spacing w:val="-4"/>
        </w:rPr>
        <w:t>li</w:t>
      </w:r>
      <w:r>
        <w:rPr>
          <w:color w:val="000000"/>
        </w:rPr>
        <w:t xml:space="preserve">ų, </w:t>
      </w:r>
      <w:r>
        <w:rPr>
          <w:color w:val="000000"/>
          <w:spacing w:val="37"/>
        </w:rPr>
        <w:t xml:space="preserve"> </w:t>
      </w:r>
      <w:r>
        <w:rPr>
          <w:color w:val="000000"/>
        </w:rPr>
        <w:t>p</w:t>
      </w:r>
      <w:r>
        <w:rPr>
          <w:color w:val="000000"/>
          <w:spacing w:val="-1"/>
        </w:rPr>
        <w:t>a</w:t>
      </w:r>
      <w:r>
        <w:rPr>
          <w:color w:val="000000"/>
        </w:rPr>
        <w:t>v</w:t>
      </w:r>
      <w:r>
        <w:rPr>
          <w:color w:val="000000"/>
          <w:spacing w:val="-5"/>
        </w:rPr>
        <w:t>y</w:t>
      </w:r>
      <w:r>
        <w:rPr>
          <w:color w:val="000000"/>
          <w:spacing w:val="-1"/>
        </w:rPr>
        <w:t>z</w:t>
      </w:r>
      <w:r>
        <w:rPr>
          <w:color w:val="000000"/>
        </w:rPr>
        <w:t>d</w:t>
      </w:r>
      <w:r>
        <w:rPr>
          <w:color w:val="000000"/>
          <w:spacing w:val="4"/>
        </w:rPr>
        <w:t>ž</w:t>
      </w:r>
      <w:r>
        <w:rPr>
          <w:color w:val="000000"/>
          <w:spacing w:val="-4"/>
        </w:rPr>
        <w:t>i</w:t>
      </w:r>
      <w:r>
        <w:rPr>
          <w:color w:val="000000"/>
          <w:spacing w:val="5"/>
        </w:rPr>
        <w:t>u</w:t>
      </w:r>
      <w:r>
        <w:rPr>
          <w:color w:val="000000"/>
          <w:spacing w:val="-4"/>
        </w:rPr>
        <w:t>i</w:t>
      </w:r>
      <w:r>
        <w:rPr>
          <w:color w:val="000000"/>
        </w:rPr>
        <w:t xml:space="preserve">, </w:t>
      </w:r>
      <w:r>
        <w:rPr>
          <w:color w:val="000000"/>
          <w:spacing w:val="32"/>
        </w:rPr>
        <w:t xml:space="preserve"> </w:t>
      </w:r>
      <w:r>
        <w:rPr>
          <w:color w:val="000000"/>
          <w:spacing w:val="4"/>
        </w:rPr>
        <w:t>N</w:t>
      </w:r>
      <w:r>
        <w:rPr>
          <w:color w:val="000000"/>
          <w:spacing w:val="-10"/>
        </w:rPr>
        <w:t>y</w:t>
      </w:r>
      <w:r>
        <w:rPr>
          <w:color w:val="000000"/>
          <w:spacing w:val="5"/>
        </w:rPr>
        <w:t>d</w:t>
      </w:r>
      <w:r>
        <w:rPr>
          <w:color w:val="000000"/>
          <w:spacing w:val="-1"/>
        </w:rPr>
        <w:t>e</w:t>
      </w:r>
      <w:r>
        <w:rPr>
          <w:color w:val="000000"/>
          <w:spacing w:val="6"/>
        </w:rPr>
        <w:t>r</w:t>
      </w:r>
      <w:r>
        <w:rPr>
          <w:color w:val="000000"/>
          <w:spacing w:val="-9"/>
        </w:rPr>
        <w:t>l</w:t>
      </w:r>
      <w:r>
        <w:rPr>
          <w:color w:val="000000"/>
          <w:spacing w:val="4"/>
        </w:rPr>
        <w:t>a</w:t>
      </w:r>
      <w:r>
        <w:rPr>
          <w:color w:val="000000"/>
          <w:spacing w:val="-5"/>
        </w:rPr>
        <w:t>n</w:t>
      </w:r>
      <w:r>
        <w:rPr>
          <w:color w:val="000000"/>
        </w:rPr>
        <w:t xml:space="preserve">dų, </w:t>
      </w:r>
      <w:r>
        <w:rPr>
          <w:color w:val="000000"/>
          <w:spacing w:val="-2"/>
        </w:rPr>
        <w:t>s</w:t>
      </w:r>
      <w:r>
        <w:rPr>
          <w:color w:val="000000"/>
          <w:spacing w:val="-1"/>
        </w:rPr>
        <w:t>a</w:t>
      </w:r>
      <w:r>
        <w:rPr>
          <w:color w:val="000000"/>
        </w:rPr>
        <w:t>u</w:t>
      </w:r>
      <w:r>
        <w:rPr>
          <w:color w:val="000000"/>
          <w:spacing w:val="-2"/>
        </w:rPr>
        <w:t>s</w:t>
      </w:r>
      <w:r>
        <w:rPr>
          <w:color w:val="000000"/>
          <w:spacing w:val="5"/>
        </w:rPr>
        <w:t>u</w:t>
      </w:r>
      <w:r>
        <w:rPr>
          <w:color w:val="000000"/>
          <w:spacing w:val="-9"/>
        </w:rPr>
        <w:t>m</w:t>
      </w:r>
      <w:r>
        <w:rPr>
          <w:color w:val="000000"/>
          <w:spacing w:val="5"/>
        </w:rPr>
        <w:t>o</w:t>
      </w:r>
      <w:r>
        <w:rPr>
          <w:color w:val="000000"/>
        </w:rPr>
        <w:t>s</w:t>
      </w:r>
      <w:r>
        <w:rPr>
          <w:color w:val="000000"/>
          <w:spacing w:val="24"/>
        </w:rPr>
        <w:t xml:space="preserve"> </w:t>
      </w:r>
      <w:r>
        <w:rPr>
          <w:color w:val="000000"/>
        </w:rPr>
        <w:t>k</w:t>
      </w:r>
      <w:r>
        <w:rPr>
          <w:color w:val="000000"/>
          <w:spacing w:val="4"/>
        </w:rPr>
        <w:t>e</w:t>
      </w:r>
      <w:r>
        <w:rPr>
          <w:color w:val="000000"/>
        </w:rPr>
        <w:t>l</w:t>
      </w:r>
      <w:r>
        <w:rPr>
          <w:color w:val="000000"/>
          <w:spacing w:val="-4"/>
        </w:rPr>
        <w:t>i</w:t>
      </w:r>
      <w:r>
        <w:rPr>
          <w:color w:val="000000"/>
          <w:spacing w:val="4"/>
        </w:rPr>
        <w:t>a</w:t>
      </w:r>
      <w:r>
        <w:rPr>
          <w:color w:val="000000"/>
          <w:spacing w:val="-4"/>
        </w:rPr>
        <w:t>i</w:t>
      </w:r>
      <w:r>
        <w:rPr>
          <w:color w:val="000000"/>
          <w:spacing w:val="-2"/>
        </w:rPr>
        <w:t>s</w:t>
      </w:r>
      <w:r>
        <w:rPr>
          <w:color w:val="000000"/>
        </w:rPr>
        <w:t>,</w:t>
      </w:r>
      <w:r>
        <w:rPr>
          <w:color w:val="000000"/>
          <w:spacing w:val="28"/>
        </w:rPr>
        <w:t xml:space="preserve"> </w:t>
      </w:r>
      <w:r>
        <w:rPr>
          <w:color w:val="000000"/>
          <w:spacing w:val="5"/>
        </w:rPr>
        <w:t>t</w:t>
      </w:r>
      <w:r>
        <w:rPr>
          <w:color w:val="000000"/>
          <w:spacing w:val="-4"/>
        </w:rPr>
        <w:t>i</w:t>
      </w:r>
      <w:r>
        <w:rPr>
          <w:color w:val="000000"/>
          <w:spacing w:val="-1"/>
        </w:rPr>
        <w:t>e</w:t>
      </w:r>
      <w:r>
        <w:rPr>
          <w:color w:val="000000"/>
        </w:rPr>
        <w:t>k</w:t>
      </w:r>
      <w:r>
        <w:rPr>
          <w:color w:val="000000"/>
          <w:spacing w:val="31"/>
        </w:rPr>
        <w:t xml:space="preserve"> </w:t>
      </w:r>
      <w:r>
        <w:rPr>
          <w:color w:val="000000"/>
          <w:spacing w:val="-9"/>
        </w:rPr>
        <w:t>i</w:t>
      </w:r>
      <w:r>
        <w:rPr>
          <w:color w:val="000000"/>
        </w:rPr>
        <w:t>r</w:t>
      </w:r>
      <w:r>
        <w:rPr>
          <w:color w:val="000000"/>
          <w:spacing w:val="32"/>
        </w:rPr>
        <w:t xml:space="preserve"> </w:t>
      </w:r>
      <w:r>
        <w:rPr>
          <w:color w:val="000000"/>
          <w:spacing w:val="-4"/>
        </w:rPr>
        <w:t>i</w:t>
      </w:r>
      <w:r>
        <w:rPr>
          <w:color w:val="000000"/>
        </w:rPr>
        <w:t>š</w:t>
      </w:r>
      <w:r>
        <w:rPr>
          <w:color w:val="000000"/>
          <w:spacing w:val="24"/>
        </w:rPr>
        <w:t xml:space="preserve"> </w:t>
      </w:r>
      <w:r>
        <w:rPr>
          <w:color w:val="000000"/>
          <w:spacing w:val="6"/>
        </w:rPr>
        <w:t>P</w:t>
      </w:r>
      <w:r>
        <w:rPr>
          <w:color w:val="000000"/>
          <w:spacing w:val="-9"/>
        </w:rPr>
        <w:t>i</w:t>
      </w:r>
      <w:r>
        <w:rPr>
          <w:color w:val="000000"/>
          <w:spacing w:val="-1"/>
        </w:rPr>
        <w:t>e</w:t>
      </w:r>
      <w:r>
        <w:rPr>
          <w:color w:val="000000"/>
          <w:spacing w:val="5"/>
        </w:rPr>
        <w:t>t</w:t>
      </w:r>
      <w:r>
        <w:rPr>
          <w:color w:val="000000"/>
        </w:rPr>
        <w:t>ų</w:t>
      </w:r>
      <w:r>
        <w:rPr>
          <w:color w:val="000000"/>
          <w:spacing w:val="26"/>
        </w:rPr>
        <w:t xml:space="preserve"> </w:t>
      </w:r>
      <w:r>
        <w:rPr>
          <w:color w:val="000000"/>
        </w:rPr>
        <w:t>A</w:t>
      </w:r>
      <w:r>
        <w:rPr>
          <w:color w:val="000000"/>
          <w:spacing w:val="-5"/>
        </w:rPr>
        <w:t>m</w:t>
      </w:r>
      <w:r>
        <w:rPr>
          <w:color w:val="000000"/>
          <w:spacing w:val="-1"/>
        </w:rPr>
        <w:t>e</w:t>
      </w:r>
      <w:r>
        <w:rPr>
          <w:color w:val="000000"/>
          <w:spacing w:val="6"/>
        </w:rPr>
        <w:t>r</w:t>
      </w:r>
      <w:r>
        <w:rPr>
          <w:color w:val="000000"/>
          <w:spacing w:val="-9"/>
        </w:rPr>
        <w:t>i</w:t>
      </w:r>
      <w:r>
        <w:rPr>
          <w:color w:val="000000"/>
        </w:rPr>
        <w:t>k</w:t>
      </w:r>
      <w:r>
        <w:rPr>
          <w:color w:val="000000"/>
          <w:spacing w:val="5"/>
        </w:rPr>
        <w:t>o</w:t>
      </w:r>
      <w:r>
        <w:rPr>
          <w:color w:val="000000"/>
        </w:rPr>
        <w:t>s</w:t>
      </w:r>
      <w:r>
        <w:rPr>
          <w:color w:val="000000"/>
          <w:spacing w:val="29"/>
        </w:rPr>
        <w:t xml:space="preserve"> </w:t>
      </w:r>
      <w:r>
        <w:rPr>
          <w:color w:val="000000"/>
          <w:spacing w:val="-9"/>
        </w:rPr>
        <w:t>j</w:t>
      </w:r>
      <w:r>
        <w:rPr>
          <w:color w:val="000000"/>
        </w:rPr>
        <w:t>ū</w:t>
      </w:r>
      <w:r>
        <w:rPr>
          <w:color w:val="000000"/>
          <w:spacing w:val="6"/>
        </w:rPr>
        <w:t>r</w:t>
      </w:r>
      <w:r>
        <w:rPr>
          <w:color w:val="000000"/>
          <w:spacing w:val="-4"/>
        </w:rPr>
        <w:t>i</w:t>
      </w:r>
      <w:r>
        <w:rPr>
          <w:color w:val="000000"/>
          <w:spacing w:val="5"/>
        </w:rPr>
        <w:t>n</w:t>
      </w:r>
      <w:r>
        <w:rPr>
          <w:color w:val="000000"/>
        </w:rPr>
        <w:t>i</w:t>
      </w:r>
      <w:r>
        <w:rPr>
          <w:color w:val="000000"/>
          <w:spacing w:val="4"/>
        </w:rPr>
        <w:t>a</w:t>
      </w:r>
      <w:r>
        <w:rPr>
          <w:color w:val="000000"/>
          <w:spacing w:val="-4"/>
        </w:rPr>
        <w:t>i</w:t>
      </w:r>
      <w:r>
        <w:rPr>
          <w:color w:val="000000"/>
        </w:rPr>
        <w:t>s</w:t>
      </w:r>
      <w:r>
        <w:rPr>
          <w:color w:val="000000"/>
          <w:spacing w:val="24"/>
        </w:rPr>
        <w:t xml:space="preserve"> </w:t>
      </w:r>
      <w:r>
        <w:rPr>
          <w:color w:val="000000"/>
        </w:rPr>
        <w:t>k</w:t>
      </w:r>
      <w:r>
        <w:rPr>
          <w:color w:val="000000"/>
          <w:spacing w:val="4"/>
        </w:rPr>
        <w:t>e</w:t>
      </w:r>
      <w:r>
        <w:rPr>
          <w:color w:val="000000"/>
          <w:spacing w:val="-4"/>
        </w:rPr>
        <w:t>li</w:t>
      </w:r>
      <w:r>
        <w:rPr>
          <w:color w:val="000000"/>
          <w:spacing w:val="4"/>
        </w:rPr>
        <w:t>ai</w:t>
      </w:r>
      <w:r>
        <w:rPr>
          <w:color w:val="000000"/>
        </w:rPr>
        <w:t>s</w:t>
      </w:r>
      <w:r>
        <w:rPr>
          <w:color w:val="000000"/>
          <w:spacing w:val="24"/>
        </w:rPr>
        <w:t xml:space="preserve"> </w:t>
      </w:r>
      <w:r>
        <w:rPr>
          <w:color w:val="000000"/>
          <w:spacing w:val="1"/>
        </w:rPr>
        <w:t>(</w:t>
      </w:r>
      <w:r>
        <w:rPr>
          <w:color w:val="000000"/>
          <w:spacing w:val="4"/>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rPr>
        <w:t>ų</w:t>
      </w:r>
      <w:r>
        <w:rPr>
          <w:color w:val="000000"/>
          <w:spacing w:val="31"/>
        </w:rPr>
        <w:t xml:space="preserve"> </w:t>
      </w:r>
      <w:r>
        <w:rPr>
          <w:color w:val="000000"/>
          <w:spacing w:val="-4"/>
        </w:rPr>
        <w:t>m</w:t>
      </w:r>
      <w:r>
        <w:rPr>
          <w:color w:val="000000"/>
          <w:spacing w:val="-1"/>
        </w:rPr>
        <w:t>e</w:t>
      </w:r>
      <w:r>
        <w:rPr>
          <w:color w:val="000000"/>
          <w:spacing w:val="5"/>
        </w:rPr>
        <w:t>t</w:t>
      </w:r>
      <w:r>
        <w:rPr>
          <w:color w:val="000000"/>
        </w:rPr>
        <w:t>ų</w:t>
      </w:r>
      <w:r>
        <w:rPr>
          <w:color w:val="000000"/>
          <w:spacing w:val="26"/>
        </w:rPr>
        <w:t xml:space="preserve"> </w:t>
      </w:r>
      <w:r>
        <w:rPr>
          <w:color w:val="000000"/>
          <w:spacing w:val="-2"/>
        </w:rPr>
        <w:t>s</w:t>
      </w:r>
      <w:r>
        <w:rPr>
          <w:color w:val="000000"/>
        </w:rPr>
        <w:t>u</w:t>
      </w:r>
      <w:r>
        <w:rPr>
          <w:color w:val="000000"/>
          <w:spacing w:val="-4"/>
        </w:rPr>
        <w:t>l</w:t>
      </w:r>
      <w:r>
        <w:rPr>
          <w:color w:val="000000"/>
          <w:spacing w:val="4"/>
        </w:rPr>
        <w:t>a</w:t>
      </w:r>
      <w:r>
        <w:rPr>
          <w:color w:val="000000"/>
          <w:spacing w:val="-9"/>
        </w:rPr>
        <w:t>i</w:t>
      </w:r>
      <w:r>
        <w:rPr>
          <w:color w:val="000000"/>
          <w:spacing w:val="5"/>
        </w:rPr>
        <w:t>k</w:t>
      </w:r>
      <w:r>
        <w:rPr>
          <w:color w:val="000000"/>
        </w:rPr>
        <w:t>y</w:t>
      </w:r>
      <w:r>
        <w:rPr>
          <w:color w:val="000000"/>
          <w:spacing w:val="-4"/>
        </w:rPr>
        <w:t>m</w:t>
      </w:r>
      <w:r>
        <w:rPr>
          <w:color w:val="000000"/>
          <w:spacing w:val="4"/>
        </w:rPr>
        <w:t>a</w:t>
      </w:r>
      <w:r>
        <w:rPr>
          <w:color w:val="000000"/>
          <w:spacing w:val="-4"/>
        </w:rPr>
        <w:t>i</w:t>
      </w:r>
      <w:r>
        <w:rPr>
          <w:color w:val="000000"/>
          <w:spacing w:val="1"/>
        </w:rPr>
        <w:t>)</w:t>
      </w:r>
      <w:r>
        <w:rPr>
          <w:color w:val="000000"/>
        </w:rPr>
        <w:t>.</w:t>
      </w:r>
      <w:r>
        <w:rPr>
          <w:color w:val="000000"/>
          <w:spacing w:val="28"/>
        </w:rPr>
        <w:t xml:space="preserve"> </w:t>
      </w:r>
      <w:r>
        <w:rPr>
          <w:color w:val="000000"/>
          <w:spacing w:val="4"/>
        </w:rPr>
        <w:t>D</w:t>
      </w:r>
      <w:r>
        <w:rPr>
          <w:color w:val="000000"/>
          <w:spacing w:val="-9"/>
        </w:rPr>
        <w:t>i</w:t>
      </w:r>
      <w:r>
        <w:rPr>
          <w:color w:val="000000"/>
        </w:rPr>
        <w:t>d</w:t>
      </w:r>
      <w:r>
        <w:rPr>
          <w:color w:val="000000"/>
          <w:spacing w:val="4"/>
        </w:rPr>
        <w:t>e</w:t>
      </w:r>
      <w:r>
        <w:rPr>
          <w:color w:val="000000"/>
        </w:rPr>
        <w:t>l</w:t>
      </w:r>
      <w:r>
        <w:rPr>
          <w:color w:val="000000"/>
          <w:spacing w:val="-4"/>
        </w:rPr>
        <w:t>i</w:t>
      </w:r>
      <w:r>
        <w:rPr>
          <w:color w:val="000000"/>
        </w:rPr>
        <w:t xml:space="preserve">ų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rPr>
        <w:t>ų</w:t>
      </w:r>
      <w:r>
        <w:rPr>
          <w:color w:val="000000"/>
          <w:spacing w:val="1"/>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6"/>
        </w:rPr>
        <w:t xml:space="preserve"> </w:t>
      </w:r>
      <w:r>
        <w:rPr>
          <w:color w:val="000000"/>
        </w:rPr>
        <w:t>k</w:t>
      </w:r>
      <w:r>
        <w:rPr>
          <w:color w:val="000000"/>
          <w:spacing w:val="1"/>
        </w:rPr>
        <w:t>r</w:t>
      </w:r>
      <w:r>
        <w:rPr>
          <w:color w:val="000000"/>
          <w:spacing w:val="5"/>
        </w:rPr>
        <w:t>o</w:t>
      </w:r>
      <w:r>
        <w:rPr>
          <w:color w:val="000000"/>
        </w:rPr>
        <w:t>v</w:t>
      </w:r>
      <w:r>
        <w:rPr>
          <w:color w:val="000000"/>
          <w:spacing w:val="-4"/>
        </w:rPr>
        <w:t>i</w:t>
      </w:r>
      <w:r>
        <w:rPr>
          <w:color w:val="000000"/>
        </w:rPr>
        <w:t>n</w:t>
      </w:r>
      <w:r>
        <w:rPr>
          <w:color w:val="000000"/>
          <w:spacing w:val="-4"/>
        </w:rPr>
        <w:t>i</w:t>
      </w:r>
      <w:r>
        <w:rPr>
          <w:color w:val="000000"/>
          <w:spacing w:val="4"/>
        </w:rPr>
        <w:t>a</w:t>
      </w:r>
      <w:r>
        <w:rPr>
          <w:color w:val="000000"/>
          <w:spacing w:val="-4"/>
        </w:rPr>
        <w:t>m</w:t>
      </w:r>
      <w:r>
        <w:rPr>
          <w:color w:val="000000"/>
        </w:rPr>
        <w:t>s</w:t>
      </w:r>
      <w:r>
        <w:rPr>
          <w:color w:val="000000"/>
          <w:spacing w:val="8"/>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a</w:t>
      </w:r>
      <w:r>
        <w:rPr>
          <w:color w:val="000000"/>
          <w:spacing w:val="5"/>
        </w:rPr>
        <w:t xml:space="preserve"> </w:t>
      </w:r>
      <w:r>
        <w:rPr>
          <w:color w:val="000000"/>
          <w:spacing w:val="-5"/>
        </w:rPr>
        <w:t>y</w:t>
      </w:r>
      <w:r>
        <w:rPr>
          <w:color w:val="000000"/>
          <w:spacing w:val="1"/>
        </w:rPr>
        <w:t>r</w:t>
      </w:r>
      <w:r>
        <w:rPr>
          <w:color w:val="000000"/>
        </w:rPr>
        <w:t xml:space="preserve">a </w:t>
      </w:r>
      <w:r>
        <w:rPr>
          <w:color w:val="000000"/>
          <w:spacing w:val="5"/>
        </w:rPr>
        <w:t>t</w:t>
      </w:r>
      <w:r>
        <w:rPr>
          <w:color w:val="000000"/>
          <w:spacing w:val="1"/>
        </w:rPr>
        <w:t>r</w:t>
      </w:r>
      <w:r>
        <w:rPr>
          <w:color w:val="000000"/>
          <w:spacing w:val="-1"/>
        </w:rPr>
        <w:t>a</w:t>
      </w:r>
      <w:r>
        <w:rPr>
          <w:color w:val="000000"/>
          <w:spacing w:val="-5"/>
        </w:rPr>
        <w:t>n</w:t>
      </w:r>
      <w:r>
        <w:rPr>
          <w:color w:val="000000"/>
          <w:spacing w:val="4"/>
        </w:rPr>
        <w:t>z</w:t>
      </w:r>
      <w:r>
        <w:rPr>
          <w:color w:val="000000"/>
          <w:spacing w:val="-9"/>
        </w:rPr>
        <w:t>i</w:t>
      </w:r>
      <w:r>
        <w:rPr>
          <w:color w:val="000000"/>
          <w:spacing w:val="10"/>
        </w:rPr>
        <w:t>t</w:t>
      </w:r>
      <w:r>
        <w:rPr>
          <w:color w:val="000000"/>
          <w:spacing w:val="-4"/>
        </w:rPr>
        <w:t>i</w:t>
      </w:r>
      <w:r>
        <w:rPr>
          <w:color w:val="000000"/>
        </w:rPr>
        <w:t>nė</w:t>
      </w:r>
      <w:r>
        <w:rPr>
          <w:color w:val="000000"/>
          <w:spacing w:val="5"/>
        </w:rPr>
        <w:t xml:space="preserve"> </w:t>
      </w:r>
      <w:r>
        <w:rPr>
          <w:color w:val="000000"/>
          <w:spacing w:val="2"/>
        </w:rPr>
        <w:t>š</w:t>
      </w:r>
      <w:r>
        <w:rPr>
          <w:color w:val="000000"/>
          <w:spacing w:val="4"/>
        </w:rPr>
        <w:t>a</w:t>
      </w:r>
      <w:r>
        <w:rPr>
          <w:color w:val="000000"/>
          <w:spacing w:val="-4"/>
        </w:rPr>
        <w:t>li</w:t>
      </w:r>
      <w:r>
        <w:rPr>
          <w:color w:val="000000"/>
          <w:spacing w:val="-2"/>
        </w:rPr>
        <w:t>s</w:t>
      </w:r>
      <w:r>
        <w:rPr>
          <w:color w:val="000000"/>
        </w:rPr>
        <w:t>.</w:t>
      </w:r>
      <w:r>
        <w:rPr>
          <w:color w:val="000000"/>
          <w:spacing w:val="8"/>
        </w:rPr>
        <w:t xml:space="preserve"> </w:t>
      </w:r>
      <w:r>
        <w:rPr>
          <w:color w:val="000000"/>
          <w:spacing w:val="-5"/>
        </w:rPr>
        <w:t>K</w:t>
      </w:r>
      <w:r>
        <w:rPr>
          <w:color w:val="000000"/>
          <w:spacing w:val="5"/>
        </w:rPr>
        <w:t>o</w:t>
      </w:r>
      <w:r>
        <w:rPr>
          <w:color w:val="000000"/>
        </w:rPr>
        <w:t>k</w:t>
      </w:r>
      <w:r>
        <w:rPr>
          <w:color w:val="000000"/>
          <w:spacing w:val="4"/>
        </w:rPr>
        <w:t>a</w:t>
      </w:r>
      <w:r>
        <w:rPr>
          <w:color w:val="000000"/>
          <w:spacing w:val="-4"/>
        </w:rPr>
        <w:t>i</w:t>
      </w:r>
      <w:r>
        <w:rPr>
          <w:color w:val="000000"/>
        </w:rPr>
        <w:t>n</w:t>
      </w:r>
      <w:r>
        <w:rPr>
          <w:color w:val="000000"/>
          <w:spacing w:val="-1"/>
        </w:rPr>
        <w:t>a</w:t>
      </w:r>
      <w:r>
        <w:rPr>
          <w:color w:val="000000"/>
        </w:rPr>
        <w:t>s</w:t>
      </w:r>
      <w:r>
        <w:rPr>
          <w:color w:val="000000"/>
          <w:spacing w:val="4"/>
        </w:rPr>
        <w:t xml:space="preserve"> </w:t>
      </w:r>
      <w:r>
        <w:rPr>
          <w:color w:val="000000"/>
          <w:spacing w:val="6"/>
        </w:rPr>
        <w:t>į</w:t>
      </w:r>
      <w:r>
        <w:rPr>
          <w:color w:val="000000"/>
        </w:rPr>
        <w:t>/per</w:t>
      </w:r>
      <w:r>
        <w:rPr>
          <w:color w:val="000000"/>
          <w:spacing w:val="7"/>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10"/>
        </w:rPr>
        <w:t xml:space="preserve"> </w:t>
      </w:r>
      <w:r>
        <w:rPr>
          <w:color w:val="000000"/>
          <w:spacing w:val="-10"/>
        </w:rPr>
        <w:t>y</w:t>
      </w:r>
      <w:r>
        <w:rPr>
          <w:color w:val="000000"/>
          <w:spacing w:val="1"/>
        </w:rPr>
        <w:t>r</w:t>
      </w:r>
      <w:r>
        <w:rPr>
          <w:color w:val="000000"/>
        </w:rPr>
        <w:t>a</w:t>
      </w:r>
      <w:r>
        <w:rPr>
          <w:color w:val="000000"/>
          <w:spacing w:val="5"/>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spacing w:val="4"/>
        </w:rPr>
        <w:t>a</w:t>
      </w:r>
      <w:r>
        <w:rPr>
          <w:color w:val="000000"/>
        </w:rPr>
        <w:t>s</w:t>
      </w:r>
      <w:r>
        <w:rPr>
          <w:color w:val="000000"/>
          <w:spacing w:val="4"/>
        </w:rPr>
        <w:t xml:space="preserve"> </w:t>
      </w:r>
      <w:r>
        <w:rPr>
          <w:color w:val="000000"/>
          <w:spacing w:val="-4"/>
        </w:rPr>
        <w:t>i</w:t>
      </w:r>
      <w:r>
        <w:rPr>
          <w:color w:val="000000"/>
        </w:rPr>
        <w:t>r</w:t>
      </w:r>
      <w:r>
        <w:rPr>
          <w:color w:val="000000"/>
          <w:spacing w:val="3"/>
        </w:rPr>
        <w:t xml:space="preserve"> </w:t>
      </w:r>
      <w:r>
        <w:rPr>
          <w:color w:val="000000"/>
          <w:spacing w:val="5"/>
        </w:rPr>
        <w:t>o</w:t>
      </w:r>
      <w:r>
        <w:rPr>
          <w:color w:val="000000"/>
          <w:spacing w:val="1"/>
        </w:rPr>
        <w:t>r</w:t>
      </w:r>
      <w:r>
        <w:rPr>
          <w:color w:val="000000"/>
        </w:rPr>
        <w:t>o k</w:t>
      </w:r>
      <w:r>
        <w:rPr>
          <w:color w:val="000000"/>
          <w:spacing w:val="4"/>
        </w:rPr>
        <w:t>e</w:t>
      </w:r>
      <w:r>
        <w:rPr>
          <w:color w:val="000000"/>
          <w:spacing w:val="-4"/>
        </w:rPr>
        <w:t>li</w:t>
      </w:r>
      <w:r>
        <w:rPr>
          <w:color w:val="000000"/>
        </w:rPr>
        <w:t>u:</w:t>
      </w:r>
      <w:r>
        <w:rPr>
          <w:color w:val="000000"/>
          <w:spacing w:val="2"/>
        </w:rPr>
        <w:t xml:space="preserve"> </w:t>
      </w:r>
      <w:r>
        <w:rPr>
          <w:color w:val="000000"/>
        </w:rPr>
        <w:t>2012</w:t>
      </w:r>
      <w:r>
        <w:rPr>
          <w:color w:val="000000"/>
          <w:spacing w:val="7"/>
        </w:rPr>
        <w:t xml:space="preserve"> </w:t>
      </w:r>
      <w:r>
        <w:rPr>
          <w:color w:val="000000"/>
          <w:spacing w:val="-4"/>
        </w:rPr>
        <w:t>m</w:t>
      </w:r>
      <w:r>
        <w:rPr>
          <w:color w:val="000000"/>
        </w:rPr>
        <w:t>.</w:t>
      </w:r>
      <w:r>
        <w:rPr>
          <w:color w:val="000000"/>
          <w:spacing w:val="9"/>
        </w:rPr>
        <w:t xml:space="preserve"> </w:t>
      </w:r>
      <w:r>
        <w:rPr>
          <w:color w:val="000000"/>
          <w:spacing w:val="-5"/>
        </w:rPr>
        <w:t>b</w:t>
      </w:r>
      <w:r>
        <w:rPr>
          <w:color w:val="000000"/>
          <w:spacing w:val="5"/>
        </w:rPr>
        <w:t>u</w:t>
      </w:r>
      <w:r>
        <w:rPr>
          <w:color w:val="000000"/>
          <w:spacing w:val="-5"/>
        </w:rPr>
        <w:t>v</w:t>
      </w:r>
      <w:r>
        <w:rPr>
          <w:color w:val="000000"/>
        </w:rPr>
        <w:t>o</w:t>
      </w:r>
      <w:r>
        <w:rPr>
          <w:color w:val="000000"/>
          <w:spacing w:val="6"/>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spacing w:val="-1"/>
        </w:rPr>
        <w:t>a</w:t>
      </w:r>
      <w:r>
        <w:rPr>
          <w:color w:val="000000"/>
        </w:rPr>
        <w:t xml:space="preserve">s </w:t>
      </w:r>
      <w:r>
        <w:rPr>
          <w:color w:val="000000"/>
          <w:spacing w:val="1"/>
        </w:rPr>
        <w:t>P</w:t>
      </w:r>
      <w:r>
        <w:rPr>
          <w:color w:val="000000"/>
          <w:spacing w:val="4"/>
        </w:rPr>
        <w:t>a</w:t>
      </w:r>
      <w:r>
        <w:rPr>
          <w:color w:val="000000"/>
          <w:spacing w:val="-4"/>
        </w:rPr>
        <w:t>l</w:t>
      </w:r>
      <w:r>
        <w:rPr>
          <w:color w:val="000000"/>
          <w:spacing w:val="4"/>
        </w:rPr>
        <w:t>a</w:t>
      </w:r>
      <w:r>
        <w:rPr>
          <w:color w:val="000000"/>
          <w:spacing w:val="-5"/>
        </w:rPr>
        <w:t>n</w:t>
      </w:r>
      <w:r>
        <w:rPr>
          <w:color w:val="000000"/>
        </w:rPr>
        <w:t>g</w:t>
      </w:r>
      <w:r>
        <w:rPr>
          <w:color w:val="000000"/>
          <w:spacing w:val="11"/>
        </w:rPr>
        <w:t>o</w:t>
      </w:r>
      <w:r>
        <w:rPr>
          <w:color w:val="000000"/>
        </w:rPr>
        <w:t xml:space="preserve">s </w:t>
      </w:r>
      <w:r>
        <w:rPr>
          <w:color w:val="000000"/>
          <w:spacing w:val="5"/>
        </w:rPr>
        <w:t>o</w:t>
      </w:r>
      <w:r>
        <w:rPr>
          <w:color w:val="000000"/>
          <w:spacing w:val="1"/>
        </w:rPr>
        <w:t>r</w:t>
      </w:r>
      <w:r>
        <w:rPr>
          <w:color w:val="000000"/>
        </w:rPr>
        <w:t>o</w:t>
      </w:r>
      <w:r>
        <w:rPr>
          <w:color w:val="000000"/>
          <w:spacing w:val="6"/>
        </w:rPr>
        <w:t xml:space="preserve"> </w:t>
      </w:r>
      <w:r>
        <w:rPr>
          <w:color w:val="000000"/>
          <w:spacing w:val="-5"/>
        </w:rPr>
        <w:t>u</w:t>
      </w:r>
      <w:r>
        <w:rPr>
          <w:color w:val="000000"/>
          <w:spacing w:val="5"/>
        </w:rPr>
        <w:t>o</w:t>
      </w:r>
      <w:r>
        <w:rPr>
          <w:color w:val="000000"/>
          <w:spacing w:val="-7"/>
        </w:rPr>
        <w:t>s</w:t>
      </w:r>
      <w:r>
        <w:rPr>
          <w:color w:val="000000"/>
          <w:spacing w:val="5"/>
        </w:rPr>
        <w:t>t</w:t>
      </w:r>
      <w:r>
        <w:rPr>
          <w:color w:val="000000"/>
        </w:rPr>
        <w:t>e</w:t>
      </w:r>
      <w:r>
        <w:rPr>
          <w:color w:val="000000"/>
          <w:spacing w:val="1"/>
        </w:rPr>
        <w:t xml:space="preserve"> </w:t>
      </w:r>
      <w:r>
        <w:rPr>
          <w:color w:val="000000"/>
          <w:spacing w:val="-1"/>
        </w:rPr>
        <w:t>a</w:t>
      </w:r>
      <w:r>
        <w:rPr>
          <w:color w:val="000000"/>
          <w:spacing w:val="2"/>
        </w:rPr>
        <w:t>s</w:t>
      </w:r>
      <w:r>
        <w:rPr>
          <w:color w:val="000000"/>
          <w:spacing w:val="-9"/>
        </w:rPr>
        <w:t>m</w:t>
      </w:r>
      <w:r>
        <w:rPr>
          <w:color w:val="000000"/>
        </w:rPr>
        <w:t>u</w:t>
      </w:r>
      <w:r>
        <w:rPr>
          <w:color w:val="000000"/>
          <w:spacing w:val="5"/>
        </w:rPr>
        <w:t>o</w:t>
      </w:r>
      <w:r>
        <w:rPr>
          <w:color w:val="000000"/>
        </w:rPr>
        <w:t>,</w:t>
      </w:r>
      <w:r>
        <w:rPr>
          <w:color w:val="000000"/>
          <w:spacing w:val="4"/>
        </w:rPr>
        <w:t xml:space="preserve"> </w:t>
      </w:r>
      <w:r>
        <w:rPr>
          <w:color w:val="000000"/>
        </w:rPr>
        <w:t>k</w:t>
      </w:r>
      <w:r>
        <w:rPr>
          <w:color w:val="000000"/>
          <w:spacing w:val="4"/>
        </w:rPr>
        <w:t>e</w:t>
      </w:r>
      <w:r>
        <w:rPr>
          <w:color w:val="000000"/>
          <w:spacing w:val="-4"/>
        </w:rPr>
        <w:t>li</w:t>
      </w:r>
      <w:r>
        <w:rPr>
          <w:color w:val="000000"/>
          <w:spacing w:val="4"/>
        </w:rPr>
        <w:t>a</w:t>
      </w:r>
      <w:r>
        <w:rPr>
          <w:color w:val="000000"/>
          <w:spacing w:val="-5"/>
        </w:rPr>
        <w:t>v</w:t>
      </w:r>
      <w:r>
        <w:rPr>
          <w:color w:val="000000"/>
          <w:spacing w:val="4"/>
        </w:rPr>
        <w:t>ę</w:t>
      </w:r>
      <w:r>
        <w:rPr>
          <w:color w:val="000000"/>
        </w:rPr>
        <w:t>s</w:t>
      </w:r>
      <w:r>
        <w:rPr>
          <w:color w:val="000000"/>
          <w:spacing w:val="4"/>
        </w:rPr>
        <w:t xml:space="preserve"> </w:t>
      </w:r>
      <w:r>
        <w:rPr>
          <w:color w:val="000000"/>
          <w:spacing w:val="-4"/>
        </w:rPr>
        <w:t>m</w:t>
      </w:r>
      <w:r>
        <w:rPr>
          <w:color w:val="000000"/>
          <w:spacing w:val="-1"/>
        </w:rPr>
        <w:t>a</w:t>
      </w:r>
      <w:r>
        <w:rPr>
          <w:color w:val="000000"/>
          <w:spacing w:val="1"/>
        </w:rPr>
        <w:t>r</w:t>
      </w:r>
      <w:r>
        <w:rPr>
          <w:color w:val="000000"/>
          <w:spacing w:val="-2"/>
        </w:rPr>
        <w:t>š</w:t>
      </w:r>
      <w:r>
        <w:rPr>
          <w:color w:val="000000"/>
          <w:spacing w:val="1"/>
        </w:rPr>
        <w:t>r</w:t>
      </w:r>
      <w:r>
        <w:rPr>
          <w:color w:val="000000"/>
        </w:rPr>
        <w:t>u</w:t>
      </w:r>
      <w:r>
        <w:rPr>
          <w:color w:val="000000"/>
          <w:spacing w:val="5"/>
        </w:rPr>
        <w:t>t</w:t>
      </w:r>
      <w:r>
        <w:rPr>
          <w:color w:val="000000"/>
        </w:rPr>
        <w:t>u</w:t>
      </w:r>
      <w:r>
        <w:rPr>
          <w:color w:val="000000"/>
          <w:spacing w:val="2"/>
        </w:rPr>
        <w:t xml:space="preserve"> </w:t>
      </w:r>
      <w:r>
        <w:rPr>
          <w:color w:val="000000"/>
          <w:spacing w:val="3"/>
        </w:rPr>
        <w:t>Č</w:t>
      </w:r>
      <w:r>
        <w:rPr>
          <w:color w:val="000000"/>
          <w:spacing w:val="-4"/>
        </w:rPr>
        <w:t>il</w:t>
      </w:r>
      <w:r>
        <w:rPr>
          <w:color w:val="000000"/>
          <w:spacing w:val="5"/>
        </w:rPr>
        <w:t>ė</w:t>
      </w:r>
      <w:r>
        <w:rPr>
          <w:color w:val="000000"/>
          <w:spacing w:val="2"/>
        </w:rPr>
        <w:t>-</w:t>
      </w:r>
      <w:r>
        <w:rPr>
          <w:color w:val="000000"/>
          <w:spacing w:val="1"/>
        </w:rPr>
        <w:t>Pr</w:t>
      </w:r>
      <w:r>
        <w:rPr>
          <w:color w:val="000000"/>
          <w:spacing w:val="4"/>
        </w:rPr>
        <w:t>a</w:t>
      </w:r>
      <w:r>
        <w:rPr>
          <w:color w:val="000000"/>
          <w:spacing w:val="-5"/>
        </w:rPr>
        <w:t>n</w:t>
      </w:r>
      <w:r>
        <w:rPr>
          <w:color w:val="000000"/>
          <w:spacing w:val="-1"/>
        </w:rPr>
        <w:t>c</w:t>
      </w:r>
      <w:r>
        <w:rPr>
          <w:color w:val="000000"/>
        </w:rPr>
        <w:t>ū</w:t>
      </w:r>
      <w:r>
        <w:rPr>
          <w:color w:val="000000"/>
          <w:spacing w:val="4"/>
        </w:rPr>
        <w:t>z</w:t>
      </w:r>
      <w:r>
        <w:rPr>
          <w:color w:val="000000"/>
        </w:rPr>
        <w:t>i</w:t>
      </w:r>
      <w:r>
        <w:rPr>
          <w:color w:val="000000"/>
          <w:spacing w:val="-4"/>
        </w:rPr>
        <w:t>j</w:t>
      </w:r>
      <w:r>
        <w:rPr>
          <w:color w:val="000000"/>
          <w:spacing w:val="1"/>
        </w:rPr>
        <w:t>a</w:t>
      </w:r>
      <w:r>
        <w:rPr>
          <w:color w:val="000000"/>
        </w:rPr>
        <w:t xml:space="preserve">- </w:t>
      </w:r>
      <w:r>
        <w:rPr>
          <w:color w:val="000000"/>
          <w:spacing w:val="-3"/>
        </w:rPr>
        <w:t>L</w:t>
      </w:r>
      <w:r>
        <w:rPr>
          <w:color w:val="000000"/>
          <w:spacing w:val="-1"/>
        </w:rPr>
        <w:t>a</w:t>
      </w:r>
      <w:r>
        <w:rPr>
          <w:color w:val="000000"/>
          <w:spacing w:val="5"/>
        </w:rPr>
        <w:t>t</w:t>
      </w:r>
      <w:r>
        <w:rPr>
          <w:color w:val="000000"/>
        </w:rPr>
        <w:t>v</w:t>
      </w:r>
      <w:r>
        <w:rPr>
          <w:color w:val="000000"/>
          <w:spacing w:val="-4"/>
        </w:rPr>
        <w:t>ij</w:t>
      </w:r>
      <w:r>
        <w:rPr>
          <w:color w:val="000000"/>
        </w:rPr>
        <w:t>a</w:t>
      </w:r>
      <w:r>
        <w:rPr>
          <w:color w:val="000000"/>
          <w:spacing w:val="6"/>
        </w:rPr>
        <w:t>-</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a</w:t>
      </w:r>
      <w:r>
        <w:rPr>
          <w:color w:val="000000"/>
          <w:spacing w:val="2"/>
        </w:rPr>
        <w:t xml:space="preserve"> </w:t>
      </w:r>
      <w:r>
        <w:rPr>
          <w:color w:val="000000"/>
        </w:rPr>
        <w:t>–</w:t>
      </w:r>
      <w:r>
        <w:rPr>
          <w:color w:val="000000"/>
          <w:spacing w:val="7"/>
        </w:rPr>
        <w:t xml:space="preserve"> </w:t>
      </w:r>
      <w:r>
        <w:rPr>
          <w:color w:val="000000"/>
          <w:spacing w:val="-4"/>
        </w:rPr>
        <w:t>i</w:t>
      </w:r>
      <w:r>
        <w:rPr>
          <w:color w:val="000000"/>
          <w:spacing w:val="2"/>
        </w:rPr>
        <w:t>š</w:t>
      </w:r>
      <w:r>
        <w:rPr>
          <w:color w:val="000000"/>
          <w:spacing w:val="-4"/>
        </w:rPr>
        <w:t>i</w:t>
      </w:r>
      <w:r>
        <w:rPr>
          <w:color w:val="000000"/>
          <w:spacing w:val="-9"/>
        </w:rPr>
        <w:t>m</w:t>
      </w:r>
      <w:r>
        <w:rPr>
          <w:color w:val="000000"/>
          <w:spacing w:val="5"/>
        </w:rPr>
        <w:t>t</w:t>
      </w:r>
      <w:r>
        <w:rPr>
          <w:color w:val="000000"/>
        </w:rPr>
        <w:t>a</w:t>
      </w:r>
      <w:r>
        <w:rPr>
          <w:color w:val="000000"/>
          <w:spacing w:val="1"/>
        </w:rPr>
        <w:t xml:space="preserve"> </w:t>
      </w:r>
      <w:r>
        <w:rPr>
          <w:color w:val="000000"/>
        </w:rPr>
        <w:t>3</w:t>
      </w:r>
      <w:r>
        <w:rPr>
          <w:color w:val="000000"/>
          <w:spacing w:val="2"/>
        </w:rPr>
        <w:t>,</w:t>
      </w:r>
      <w:r>
        <w:rPr>
          <w:color w:val="000000"/>
        </w:rPr>
        <w:t>5</w:t>
      </w:r>
      <w:r>
        <w:rPr>
          <w:color w:val="000000"/>
          <w:spacing w:val="4"/>
        </w:rPr>
        <w:t xml:space="preserve"> </w:t>
      </w:r>
      <w:r>
        <w:rPr>
          <w:color w:val="000000"/>
        </w:rPr>
        <w:t>kg</w:t>
      </w:r>
      <w:r>
        <w:rPr>
          <w:color w:val="000000"/>
          <w:spacing w:val="2"/>
        </w:rPr>
        <w:t xml:space="preserve"> </w:t>
      </w:r>
      <w:r>
        <w:rPr>
          <w:color w:val="000000"/>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5"/>
        </w:rPr>
        <w:t>o</w:t>
      </w:r>
      <w:r>
        <w:rPr>
          <w:color w:val="000000"/>
        </w:rPr>
        <w:t>.</w:t>
      </w:r>
      <w:r>
        <w:rPr>
          <w:color w:val="000000"/>
          <w:spacing w:val="6"/>
        </w:rPr>
        <w:t xml:space="preserve"> </w:t>
      </w:r>
      <w:r>
        <w:rPr>
          <w:color w:val="000000"/>
          <w:spacing w:val="-2"/>
        </w:rPr>
        <w:t>B</w:t>
      </w:r>
      <w:r>
        <w:rPr>
          <w:color w:val="000000"/>
        </w:rPr>
        <w:t>e</w:t>
      </w:r>
      <w:r>
        <w:rPr>
          <w:color w:val="000000"/>
          <w:spacing w:val="-3"/>
        </w:rPr>
        <w:t xml:space="preserve"> </w:t>
      </w:r>
      <w:r>
        <w:rPr>
          <w:color w:val="000000"/>
        </w:rPr>
        <w:t>to</w:t>
      </w:r>
      <w:r>
        <w:rPr>
          <w:color w:val="000000"/>
          <w:spacing w:val="7"/>
        </w:rPr>
        <w:t xml:space="preserve"> </w:t>
      </w:r>
      <w:r>
        <w:rPr>
          <w:color w:val="000000"/>
        </w:rPr>
        <w:t>20</w:t>
      </w:r>
      <w:r>
        <w:rPr>
          <w:color w:val="000000"/>
          <w:spacing w:val="-5"/>
        </w:rPr>
        <w:t>1</w:t>
      </w:r>
      <w:r>
        <w:rPr>
          <w:color w:val="000000"/>
        </w:rPr>
        <w:t>2</w:t>
      </w:r>
      <w:r>
        <w:rPr>
          <w:color w:val="000000"/>
          <w:spacing w:val="7"/>
        </w:rPr>
        <w:t xml:space="preserve"> </w:t>
      </w:r>
      <w:r>
        <w:rPr>
          <w:color w:val="000000"/>
          <w:spacing w:val="-9"/>
        </w:rPr>
        <w:t>m</w:t>
      </w:r>
      <w:r>
        <w:rPr>
          <w:color w:val="000000"/>
        </w:rPr>
        <w:t>.</w:t>
      </w:r>
      <w:r>
        <w:rPr>
          <w:color w:val="000000"/>
          <w:spacing w:val="4"/>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4"/>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5"/>
        </w:rPr>
        <w:t>n</w:t>
      </w:r>
      <w:r>
        <w:rPr>
          <w:color w:val="000000"/>
          <w:spacing w:val="5"/>
        </w:rPr>
        <w:t>to</w:t>
      </w:r>
      <w:r>
        <w:rPr>
          <w:color w:val="000000"/>
        </w:rPr>
        <w:t>s dvi</w:t>
      </w:r>
      <w:r>
        <w:rPr>
          <w:color w:val="000000"/>
          <w:spacing w:val="-2"/>
        </w:rPr>
        <w:t xml:space="preserve"> </w:t>
      </w:r>
      <w:r>
        <w:rPr>
          <w:color w:val="000000"/>
        </w:rPr>
        <w:t>p</w:t>
      </w:r>
      <w:r>
        <w:rPr>
          <w:color w:val="000000"/>
          <w:spacing w:val="-1"/>
        </w:rPr>
        <w:t>a</w:t>
      </w:r>
      <w:r>
        <w:rPr>
          <w:color w:val="000000"/>
          <w:spacing w:val="-2"/>
        </w:rPr>
        <w:t>š</w:t>
      </w:r>
      <w:r>
        <w:rPr>
          <w:color w:val="000000"/>
          <w:spacing w:val="5"/>
        </w:rPr>
        <w:t>t</w:t>
      </w:r>
      <w:r>
        <w:rPr>
          <w:color w:val="000000"/>
        </w:rPr>
        <w:t>o</w:t>
      </w:r>
      <w:r>
        <w:rPr>
          <w:color w:val="000000"/>
          <w:spacing w:val="7"/>
        </w:rPr>
        <w:t xml:space="preserve"> </w:t>
      </w:r>
      <w:r>
        <w:rPr>
          <w:color w:val="000000"/>
          <w:spacing w:val="-2"/>
        </w:rPr>
        <w:t>s</w:t>
      </w:r>
      <w:r>
        <w:rPr>
          <w:color w:val="000000"/>
          <w:spacing w:val="-9"/>
        </w:rPr>
        <w:t>i</w:t>
      </w:r>
      <w:r>
        <w:rPr>
          <w:color w:val="000000"/>
          <w:spacing w:val="5"/>
        </w:rPr>
        <w:t>u</w:t>
      </w:r>
      <w:r>
        <w:rPr>
          <w:color w:val="000000"/>
          <w:spacing w:val="-5"/>
        </w:rPr>
        <w:t>n</w:t>
      </w:r>
      <w:r>
        <w:rPr>
          <w:color w:val="000000"/>
          <w:spacing w:val="5"/>
        </w:rPr>
        <w:t>to</w:t>
      </w:r>
      <w:r>
        <w:rPr>
          <w:color w:val="000000"/>
          <w:spacing w:val="-2"/>
        </w:rPr>
        <w:t>s</w:t>
      </w:r>
      <w:r>
        <w:rPr>
          <w:color w:val="000000"/>
        </w:rPr>
        <w:t>,</w:t>
      </w:r>
      <w:r>
        <w:rPr>
          <w:color w:val="000000"/>
          <w:spacing w:val="4"/>
        </w:rPr>
        <w:t xml:space="preserve"> </w:t>
      </w:r>
      <w:r>
        <w:rPr>
          <w:color w:val="000000"/>
        </w:rPr>
        <w:t>k</w:t>
      </w:r>
      <w:r>
        <w:rPr>
          <w:color w:val="000000"/>
          <w:spacing w:val="-5"/>
        </w:rPr>
        <w:t>u</w:t>
      </w:r>
      <w:r>
        <w:rPr>
          <w:color w:val="000000"/>
          <w:spacing w:val="1"/>
        </w:rPr>
        <w:t>r</w:t>
      </w:r>
      <w:r>
        <w:rPr>
          <w:color w:val="000000"/>
          <w:spacing w:val="-9"/>
        </w:rPr>
        <w:t>i</w:t>
      </w:r>
      <w:r>
        <w:rPr>
          <w:color w:val="000000"/>
          <w:spacing w:val="5"/>
        </w:rPr>
        <w:t>o</w:t>
      </w:r>
      <w:r>
        <w:rPr>
          <w:color w:val="000000"/>
          <w:spacing w:val="-2"/>
        </w:rPr>
        <w:t>s</w:t>
      </w:r>
      <w:r>
        <w:rPr>
          <w:color w:val="000000"/>
        </w:rPr>
        <w:t>e</w:t>
      </w:r>
      <w:r>
        <w:rPr>
          <w:color w:val="000000"/>
          <w:spacing w:val="6"/>
        </w:rPr>
        <w:t xml:space="preserve"> </w:t>
      </w:r>
      <w:r>
        <w:rPr>
          <w:color w:val="000000"/>
          <w:spacing w:val="-4"/>
        </w:rPr>
        <w:t>i</w:t>
      </w:r>
      <w:r>
        <w:rPr>
          <w:color w:val="000000"/>
        </w:rPr>
        <w:t>š</w:t>
      </w:r>
    </w:p>
    <w:p w:rsidR="004F7425" w:rsidRDefault="004F7425" w:rsidP="004F7425">
      <w:pPr>
        <w:widowControl w:val="0"/>
        <w:autoSpaceDE w:val="0"/>
        <w:autoSpaceDN w:val="0"/>
        <w:adjustRightInd w:val="0"/>
        <w:spacing w:line="276" w:lineRule="exact"/>
        <w:ind w:left="120" w:right="-20"/>
        <w:rPr>
          <w:color w:val="000000"/>
        </w:rPr>
      </w:pPr>
      <w:r>
        <w:rPr>
          <w:color w:val="000000"/>
        </w:rPr>
        <w:t>v</w:t>
      </w:r>
      <w:r>
        <w:rPr>
          <w:color w:val="000000"/>
          <w:spacing w:val="-4"/>
        </w:rPr>
        <w:t>i</w:t>
      </w:r>
      <w:r>
        <w:rPr>
          <w:color w:val="000000"/>
          <w:spacing w:val="-2"/>
        </w:rPr>
        <w:t>s</w:t>
      </w:r>
      <w:r>
        <w:rPr>
          <w:color w:val="000000"/>
        </w:rPr>
        <w:t>o</w:t>
      </w:r>
      <w:r>
        <w:rPr>
          <w:color w:val="000000"/>
          <w:spacing w:val="7"/>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rPr>
        <w:t>g</w:t>
      </w:r>
      <w:r>
        <w:rPr>
          <w:color w:val="000000"/>
          <w:spacing w:val="-1"/>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rPr>
        <w:t>a</w:t>
      </w:r>
      <w:r>
        <w:rPr>
          <w:color w:val="000000"/>
          <w:spacing w:val="1"/>
        </w:rPr>
        <w:t xml:space="preserve"> </w:t>
      </w:r>
      <w:r>
        <w:rPr>
          <w:color w:val="000000"/>
          <w:spacing w:val="-1"/>
        </w:rPr>
        <w:t>a</w:t>
      </w:r>
      <w:r>
        <w:rPr>
          <w:color w:val="000000"/>
          <w:spacing w:val="5"/>
        </w:rPr>
        <w:t>p</w:t>
      </w:r>
      <w:r>
        <w:rPr>
          <w:color w:val="000000"/>
          <w:spacing w:val="-4"/>
        </w:rPr>
        <w:t>i</w:t>
      </w:r>
      <w:r>
        <w:rPr>
          <w:color w:val="000000"/>
        </w:rPr>
        <w:t>e</w:t>
      </w:r>
      <w:r>
        <w:rPr>
          <w:color w:val="000000"/>
          <w:spacing w:val="1"/>
        </w:rPr>
        <w:t xml:space="preserve"> </w:t>
      </w:r>
      <w:r>
        <w:rPr>
          <w:color w:val="000000"/>
        </w:rPr>
        <w:t>1</w:t>
      </w:r>
      <w:r>
        <w:rPr>
          <w:color w:val="000000"/>
          <w:spacing w:val="2"/>
        </w:rPr>
        <w:t>,</w:t>
      </w:r>
      <w:r>
        <w:rPr>
          <w:color w:val="000000"/>
        </w:rPr>
        <w:t>5</w:t>
      </w:r>
      <w:r>
        <w:rPr>
          <w:color w:val="000000"/>
          <w:spacing w:val="2"/>
        </w:rPr>
        <w:t xml:space="preserve"> </w:t>
      </w:r>
      <w:r>
        <w:rPr>
          <w:color w:val="000000"/>
        </w:rPr>
        <w:t>kg</w:t>
      </w:r>
      <w:r>
        <w:rPr>
          <w:color w:val="000000"/>
          <w:spacing w:val="2"/>
        </w:rPr>
        <w:t xml:space="preserve"> </w:t>
      </w:r>
      <w:r>
        <w:rPr>
          <w:color w:val="000000"/>
          <w:spacing w:val="-5"/>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10"/>
        </w:rPr>
        <w:t>o</w:t>
      </w:r>
      <w:r>
        <w:rPr>
          <w:color w:val="000000"/>
          <w:spacing w:val="2"/>
          <w:position w:val="11"/>
          <w:sz w:val="16"/>
          <w:szCs w:val="16"/>
        </w:rPr>
        <w:t>3</w:t>
      </w:r>
      <w:r>
        <w:rPr>
          <w:color w:val="000000"/>
        </w:rPr>
        <w:t>.</w:t>
      </w:r>
    </w:p>
    <w:p w:rsidR="004F7425" w:rsidRDefault="004F7425" w:rsidP="004F7425">
      <w:pPr>
        <w:widowControl w:val="0"/>
        <w:autoSpaceDE w:val="0"/>
        <w:autoSpaceDN w:val="0"/>
        <w:adjustRightInd w:val="0"/>
        <w:spacing w:before="41" w:line="275" w:lineRule="auto"/>
        <w:ind w:left="120" w:right="64" w:firstLine="361"/>
        <w:jc w:val="both"/>
        <w:rPr>
          <w:color w:val="000000"/>
        </w:rPr>
      </w:pPr>
      <w:r>
        <w:rPr>
          <w:color w:val="000000"/>
        </w:rPr>
        <w:t xml:space="preserve">-   </w:t>
      </w:r>
      <w:r>
        <w:rPr>
          <w:color w:val="000000"/>
          <w:spacing w:val="30"/>
        </w:rPr>
        <w:t xml:space="preserve"> </w:t>
      </w:r>
      <w:r>
        <w:rPr>
          <w:b/>
          <w:bCs/>
          <w:color w:val="C0504D"/>
        </w:rPr>
        <w:t>A</w:t>
      </w:r>
      <w:r>
        <w:rPr>
          <w:b/>
          <w:bCs/>
          <w:color w:val="C0504D"/>
          <w:spacing w:val="-2"/>
        </w:rPr>
        <w:t>T</w:t>
      </w:r>
      <w:r>
        <w:rPr>
          <w:b/>
          <w:bCs/>
          <w:color w:val="C0504D"/>
        </w:rPr>
        <w:t>S</w:t>
      </w:r>
      <w:r>
        <w:rPr>
          <w:b/>
          <w:bCs/>
          <w:color w:val="C0504D"/>
          <w:spacing w:val="17"/>
        </w:rPr>
        <w:t xml:space="preserve"> </w:t>
      </w:r>
      <w:r>
        <w:rPr>
          <w:b/>
          <w:bCs/>
          <w:color w:val="C0504D"/>
          <w:spacing w:val="-3"/>
        </w:rPr>
        <w:t>m</w:t>
      </w:r>
      <w:r>
        <w:rPr>
          <w:b/>
          <w:bCs/>
          <w:color w:val="C0504D"/>
          <w:spacing w:val="-1"/>
        </w:rPr>
        <w:t>e</w:t>
      </w:r>
      <w:r>
        <w:rPr>
          <w:b/>
          <w:bCs/>
          <w:color w:val="C0504D"/>
          <w:spacing w:val="6"/>
        </w:rPr>
        <w:t>d</w:t>
      </w:r>
      <w:r>
        <w:rPr>
          <w:b/>
          <w:bCs/>
          <w:color w:val="C0504D"/>
          <w:spacing w:val="-6"/>
        </w:rPr>
        <w:t>ž</w:t>
      </w:r>
      <w:r>
        <w:rPr>
          <w:b/>
          <w:bCs/>
          <w:color w:val="C0504D"/>
        </w:rPr>
        <w:t>iagos</w:t>
      </w:r>
      <w:r>
        <w:rPr>
          <w:b/>
          <w:bCs/>
          <w:color w:val="C0504D"/>
          <w:spacing w:val="21"/>
        </w:rPr>
        <w:t xml:space="preserve"> </w:t>
      </w:r>
      <w:r>
        <w:rPr>
          <w:color w:val="000000"/>
        </w:rPr>
        <w:t>į</w:t>
      </w:r>
      <w:r>
        <w:rPr>
          <w:color w:val="000000"/>
          <w:spacing w:val="12"/>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22"/>
        </w:rPr>
        <w:t xml:space="preserve"> </w:t>
      </w:r>
      <w:r>
        <w:rPr>
          <w:color w:val="000000"/>
          <w:spacing w:val="-4"/>
        </w:rPr>
        <w:t>į</w:t>
      </w:r>
      <w:r>
        <w:rPr>
          <w:color w:val="000000"/>
          <w:spacing w:val="-5"/>
        </w:rPr>
        <w:t>v</w:t>
      </w:r>
      <w:r>
        <w:rPr>
          <w:color w:val="000000"/>
          <w:spacing w:val="4"/>
        </w:rPr>
        <w:t>e</w:t>
      </w:r>
      <w:r>
        <w:rPr>
          <w:color w:val="000000"/>
          <w:spacing w:val="-1"/>
        </w:rPr>
        <w:t>ž</w:t>
      </w:r>
      <w:r>
        <w:rPr>
          <w:color w:val="000000"/>
          <w:spacing w:val="4"/>
        </w:rPr>
        <w:t>a</w:t>
      </w:r>
      <w:r>
        <w:rPr>
          <w:color w:val="000000"/>
          <w:spacing w:val="-9"/>
        </w:rPr>
        <w:t>m</w:t>
      </w:r>
      <w:r>
        <w:rPr>
          <w:color w:val="000000"/>
          <w:spacing w:val="5"/>
        </w:rPr>
        <w:t>o</w:t>
      </w:r>
      <w:r>
        <w:rPr>
          <w:color w:val="000000"/>
        </w:rPr>
        <w:t>s</w:t>
      </w:r>
      <w:r>
        <w:rPr>
          <w:color w:val="000000"/>
          <w:spacing w:val="19"/>
        </w:rPr>
        <w:t xml:space="preserve"> </w:t>
      </w:r>
      <w:r>
        <w:rPr>
          <w:color w:val="000000"/>
          <w:spacing w:val="-4"/>
        </w:rPr>
        <w:t>i</w:t>
      </w:r>
      <w:r>
        <w:rPr>
          <w:color w:val="000000"/>
        </w:rPr>
        <w:t>š</w:t>
      </w:r>
      <w:r>
        <w:rPr>
          <w:color w:val="000000"/>
          <w:spacing w:val="14"/>
        </w:rPr>
        <w:t xml:space="preserve"> </w:t>
      </w:r>
      <w:r>
        <w:rPr>
          <w:color w:val="000000"/>
        </w:rPr>
        <w:t>V</w:t>
      </w:r>
      <w:r>
        <w:rPr>
          <w:color w:val="000000"/>
          <w:spacing w:val="-1"/>
        </w:rPr>
        <w:t>a</w:t>
      </w:r>
      <w:r>
        <w:rPr>
          <w:color w:val="000000"/>
        </w:rPr>
        <w:t>k</w:t>
      </w:r>
      <w:r>
        <w:rPr>
          <w:color w:val="000000"/>
          <w:spacing w:val="-1"/>
        </w:rPr>
        <w:t>a</w:t>
      </w:r>
      <w:r>
        <w:rPr>
          <w:color w:val="000000"/>
          <w:spacing w:val="1"/>
        </w:rPr>
        <w:t>r</w:t>
      </w:r>
      <w:r>
        <w:rPr>
          <w:color w:val="000000"/>
        </w:rPr>
        <w:t>ų</w:t>
      </w:r>
      <w:r>
        <w:rPr>
          <w:color w:val="000000"/>
          <w:spacing w:val="17"/>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s</w:t>
      </w:r>
      <w:r>
        <w:rPr>
          <w:color w:val="000000"/>
          <w:spacing w:val="10"/>
        </w:rPr>
        <w:t xml:space="preserve"> </w:t>
      </w:r>
      <w:r>
        <w:rPr>
          <w:color w:val="000000"/>
          <w:spacing w:val="1"/>
        </w:rPr>
        <w:t>(</w:t>
      </w:r>
      <w:r>
        <w:rPr>
          <w:color w:val="000000"/>
        </w:rPr>
        <w:t>N</w:t>
      </w:r>
      <w:r>
        <w:rPr>
          <w:color w:val="000000"/>
          <w:spacing w:val="-10"/>
        </w:rPr>
        <w:t>y</w:t>
      </w:r>
      <w:r>
        <w:rPr>
          <w:color w:val="000000"/>
          <w:spacing w:val="5"/>
        </w:rPr>
        <w:t>d</w:t>
      </w:r>
      <w:r>
        <w:rPr>
          <w:color w:val="000000"/>
          <w:spacing w:val="-1"/>
        </w:rPr>
        <w:t>e</w:t>
      </w:r>
      <w:r>
        <w:rPr>
          <w:color w:val="000000"/>
          <w:spacing w:val="6"/>
        </w:rPr>
        <w:t>r</w:t>
      </w:r>
      <w:r>
        <w:rPr>
          <w:color w:val="000000"/>
          <w:spacing w:val="-9"/>
        </w:rPr>
        <w:t>l</w:t>
      </w:r>
      <w:r>
        <w:rPr>
          <w:color w:val="000000"/>
          <w:spacing w:val="4"/>
        </w:rPr>
        <w:t>a</w:t>
      </w:r>
      <w:r>
        <w:rPr>
          <w:color w:val="000000"/>
        </w:rPr>
        <w:t>ndų,</w:t>
      </w:r>
      <w:r>
        <w:rPr>
          <w:color w:val="000000"/>
          <w:spacing w:val="19"/>
        </w:rPr>
        <w:t xml:space="preserve"> </w:t>
      </w:r>
      <w:r>
        <w:rPr>
          <w:color w:val="000000"/>
          <w:spacing w:val="-2"/>
        </w:rPr>
        <w:t>B</w:t>
      </w:r>
      <w:r>
        <w:rPr>
          <w:color w:val="000000"/>
          <w:spacing w:val="4"/>
        </w:rPr>
        <w:t>e</w:t>
      </w:r>
      <w:r>
        <w:rPr>
          <w:color w:val="000000"/>
          <w:spacing w:val="-4"/>
        </w:rPr>
        <w:t>l</w:t>
      </w:r>
      <w:r>
        <w:rPr>
          <w:color w:val="000000"/>
          <w:spacing w:val="5"/>
        </w:rPr>
        <w:t>g</w:t>
      </w:r>
      <w:r>
        <w:rPr>
          <w:color w:val="000000"/>
        </w:rPr>
        <w:t>i</w:t>
      </w:r>
      <w:r>
        <w:rPr>
          <w:color w:val="000000"/>
          <w:spacing w:val="-9"/>
        </w:rPr>
        <w:t>j</w:t>
      </w:r>
      <w:r>
        <w:rPr>
          <w:color w:val="000000"/>
          <w:spacing w:val="5"/>
        </w:rPr>
        <w:t>o</w:t>
      </w:r>
      <w:r>
        <w:rPr>
          <w:color w:val="000000"/>
          <w:spacing w:val="-2"/>
        </w:rPr>
        <w:t>s</w:t>
      </w:r>
      <w:r>
        <w:rPr>
          <w:color w:val="000000"/>
        </w:rPr>
        <w:t>,</w:t>
      </w:r>
      <w:r>
        <w:rPr>
          <w:color w:val="000000"/>
          <w:spacing w:val="19"/>
        </w:rPr>
        <w:t xml:space="preserve"> </w:t>
      </w:r>
      <w:r>
        <w:rPr>
          <w:color w:val="000000"/>
          <w:spacing w:val="-3"/>
        </w:rPr>
        <w:t>L</w:t>
      </w:r>
      <w:r>
        <w:rPr>
          <w:color w:val="000000"/>
          <w:spacing w:val="4"/>
        </w:rPr>
        <w:t>e</w:t>
      </w:r>
      <w:r>
        <w:rPr>
          <w:color w:val="000000"/>
          <w:spacing w:val="-5"/>
        </w:rPr>
        <w:t>n</w:t>
      </w:r>
      <w:r>
        <w:rPr>
          <w:color w:val="000000"/>
          <w:spacing w:val="5"/>
        </w:rPr>
        <w:t>k</w:t>
      </w:r>
      <w:r>
        <w:rPr>
          <w:color w:val="000000"/>
        </w:rPr>
        <w:t>i</w:t>
      </w:r>
      <w:r>
        <w:rPr>
          <w:color w:val="000000"/>
          <w:spacing w:val="-9"/>
        </w:rPr>
        <w:t>j</w:t>
      </w:r>
      <w:r>
        <w:rPr>
          <w:color w:val="000000"/>
          <w:spacing w:val="5"/>
        </w:rPr>
        <w:t>o</w:t>
      </w:r>
      <w:r>
        <w:rPr>
          <w:color w:val="000000"/>
          <w:spacing w:val="-2"/>
        </w:rPr>
        <w:t>s</w:t>
      </w:r>
      <w:r>
        <w:rPr>
          <w:color w:val="000000"/>
        </w:rPr>
        <w:t>)</w:t>
      </w:r>
      <w:r>
        <w:rPr>
          <w:color w:val="000000"/>
          <w:spacing w:val="23"/>
        </w:rPr>
        <w:t xml:space="preserve"> </w:t>
      </w:r>
      <w:r>
        <w:rPr>
          <w:color w:val="000000"/>
          <w:spacing w:val="-9"/>
        </w:rPr>
        <w:t>i</w:t>
      </w:r>
      <w:r>
        <w:rPr>
          <w:color w:val="000000"/>
        </w:rPr>
        <w:t>r p</w:t>
      </w:r>
      <w:r>
        <w:rPr>
          <w:color w:val="000000"/>
          <w:spacing w:val="-1"/>
        </w:rPr>
        <w:t>a</w:t>
      </w:r>
      <w:r>
        <w:rPr>
          <w:color w:val="000000"/>
        </w:rPr>
        <w:t>g</w:t>
      </w:r>
      <w:r>
        <w:rPr>
          <w:color w:val="000000"/>
          <w:spacing w:val="4"/>
        </w:rPr>
        <w:t>a</w:t>
      </w:r>
      <w:r>
        <w:rPr>
          <w:color w:val="000000"/>
          <w:spacing w:val="-4"/>
        </w:rPr>
        <w:t>mi</w:t>
      </w:r>
      <w:r>
        <w:rPr>
          <w:color w:val="000000"/>
        </w:rPr>
        <w:t>n</w:t>
      </w:r>
      <w:r>
        <w:rPr>
          <w:color w:val="000000"/>
          <w:spacing w:val="4"/>
        </w:rPr>
        <w:t>a</w:t>
      </w:r>
      <w:r>
        <w:rPr>
          <w:color w:val="000000"/>
          <w:spacing w:val="-9"/>
        </w:rPr>
        <w:t>m</w:t>
      </w:r>
      <w:r>
        <w:rPr>
          <w:color w:val="000000"/>
          <w:spacing w:val="9"/>
        </w:rPr>
        <w:t>o</w:t>
      </w:r>
      <w:r>
        <w:rPr>
          <w:color w:val="000000"/>
        </w:rPr>
        <w:t xml:space="preserve">s </w:t>
      </w:r>
      <w:r>
        <w:rPr>
          <w:color w:val="000000"/>
          <w:spacing w:val="-2"/>
        </w:rPr>
        <w:t>š</w:t>
      </w:r>
      <w:r>
        <w:rPr>
          <w:color w:val="000000"/>
          <w:spacing w:val="4"/>
        </w:rPr>
        <w:t>a</w:t>
      </w:r>
      <w:r>
        <w:rPr>
          <w:color w:val="000000"/>
        </w:rPr>
        <w:t>ly</w:t>
      </w:r>
      <w:r>
        <w:rPr>
          <w:color w:val="000000"/>
          <w:spacing w:val="-4"/>
        </w:rPr>
        <w:t>j</w:t>
      </w:r>
      <w:r>
        <w:rPr>
          <w:color w:val="000000"/>
          <w:spacing w:val="-1"/>
        </w:rPr>
        <w:t>e</w:t>
      </w:r>
      <w:r>
        <w:rPr>
          <w:color w:val="000000"/>
        </w:rPr>
        <w:t>.</w:t>
      </w:r>
      <w:r>
        <w:rPr>
          <w:color w:val="000000"/>
          <w:spacing w:val="4"/>
        </w:rPr>
        <w:t xml:space="preserve"> </w:t>
      </w:r>
      <w:r>
        <w:rPr>
          <w:color w:val="000000"/>
          <w:spacing w:val="1"/>
        </w:rPr>
        <w:t>Pr</w:t>
      </w:r>
      <w:r>
        <w:rPr>
          <w:color w:val="000000"/>
          <w:spacing w:val="-1"/>
        </w:rPr>
        <w:t>a</w:t>
      </w:r>
      <w:r>
        <w:rPr>
          <w:color w:val="000000"/>
          <w:spacing w:val="4"/>
        </w:rPr>
        <w:t>ė</w:t>
      </w:r>
      <w:r>
        <w:rPr>
          <w:color w:val="000000"/>
          <w:spacing w:val="-9"/>
        </w:rPr>
        <w:t>j</w:t>
      </w:r>
      <w:r>
        <w:rPr>
          <w:color w:val="000000"/>
        </w:rPr>
        <w:t>u</w:t>
      </w:r>
      <w:r>
        <w:rPr>
          <w:color w:val="000000"/>
          <w:spacing w:val="2"/>
        </w:rPr>
        <w:t>s</w:t>
      </w:r>
      <w:r>
        <w:rPr>
          <w:color w:val="000000"/>
          <w:spacing w:val="-4"/>
        </w:rPr>
        <w:t>i</w:t>
      </w:r>
      <w:r>
        <w:rPr>
          <w:color w:val="000000"/>
          <w:spacing w:val="4"/>
        </w:rPr>
        <w:t>a</w:t>
      </w:r>
      <w:r>
        <w:rPr>
          <w:color w:val="000000"/>
          <w:spacing w:val="-4"/>
        </w:rPr>
        <w:t>i</w:t>
      </w:r>
      <w:r>
        <w:rPr>
          <w:color w:val="000000"/>
        </w:rPr>
        <w:t>s</w:t>
      </w:r>
      <w:r>
        <w:rPr>
          <w:color w:val="000000"/>
          <w:spacing w:val="4"/>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rPr>
        <w:t>s</w:t>
      </w:r>
      <w:r>
        <w:rPr>
          <w:color w:val="000000"/>
          <w:spacing w:val="4"/>
        </w:rPr>
        <w:t xml:space="preserve"> </w:t>
      </w:r>
      <w:r>
        <w:rPr>
          <w:color w:val="000000"/>
          <w:spacing w:val="-4"/>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5"/>
        </w:rPr>
        <w:t>n</w:t>
      </w:r>
      <w:r>
        <w:rPr>
          <w:color w:val="000000"/>
          <w:spacing w:val="5"/>
        </w:rPr>
        <w:t>to</w:t>
      </w:r>
      <w:r>
        <w:rPr>
          <w:color w:val="000000"/>
        </w:rPr>
        <w:t xml:space="preserve">s </w:t>
      </w:r>
      <w:r>
        <w:rPr>
          <w:color w:val="000000"/>
          <w:spacing w:val="-5"/>
        </w:rPr>
        <w:t>A</w:t>
      </w:r>
      <w:r>
        <w:rPr>
          <w:color w:val="000000"/>
          <w:spacing w:val="2"/>
        </w:rPr>
        <w:t>T</w:t>
      </w:r>
      <w:r>
        <w:rPr>
          <w:color w:val="000000"/>
        </w:rPr>
        <w:t>S</w:t>
      </w:r>
      <w:r>
        <w:rPr>
          <w:color w:val="000000"/>
          <w:spacing w:val="7"/>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gų</w:t>
      </w:r>
      <w:r>
        <w:rPr>
          <w:color w:val="000000"/>
          <w:spacing w:val="2"/>
        </w:rPr>
        <w:t xml:space="preserve"> </w:t>
      </w:r>
      <w:r>
        <w:rPr>
          <w:color w:val="000000"/>
        </w:rPr>
        <w:t>g</w:t>
      </w:r>
      <w:r>
        <w:rPr>
          <w:color w:val="000000"/>
          <w:spacing w:val="4"/>
        </w:rPr>
        <w:t>a</w:t>
      </w:r>
      <w:r>
        <w:rPr>
          <w:color w:val="000000"/>
          <w:spacing w:val="-4"/>
        </w:rPr>
        <w:t>m</w:t>
      </w:r>
      <w:r>
        <w:rPr>
          <w:color w:val="000000"/>
          <w:spacing w:val="-5"/>
        </w:rPr>
        <w:t>yb</w:t>
      </w:r>
      <w:r>
        <w:rPr>
          <w:color w:val="000000"/>
          <w:spacing w:val="9"/>
        </w:rPr>
        <w:t>o</w:t>
      </w:r>
      <w:r>
        <w:rPr>
          <w:color w:val="000000"/>
        </w:rPr>
        <w:t>s v</w:t>
      </w:r>
      <w:r>
        <w:rPr>
          <w:color w:val="000000"/>
          <w:spacing w:val="-4"/>
        </w:rPr>
        <w:t>i</w:t>
      </w:r>
      <w:r>
        <w:rPr>
          <w:color w:val="000000"/>
          <w:spacing w:val="-1"/>
        </w:rPr>
        <w:t>e</w:t>
      </w:r>
      <w:r>
        <w:rPr>
          <w:color w:val="000000"/>
          <w:spacing w:val="5"/>
        </w:rPr>
        <w:t>to</w:t>
      </w:r>
      <w:r>
        <w:rPr>
          <w:color w:val="000000"/>
        </w:rPr>
        <w:t xml:space="preserve">s </w:t>
      </w:r>
      <w:r>
        <w:rPr>
          <w:color w:val="000000"/>
          <w:spacing w:val="-3"/>
        </w:rPr>
        <w:t>r</w:t>
      </w:r>
      <w:r>
        <w:rPr>
          <w:color w:val="000000"/>
          <w:spacing w:val="5"/>
        </w:rPr>
        <w:t>o</w:t>
      </w:r>
      <w:r>
        <w:rPr>
          <w:color w:val="000000"/>
          <w:spacing w:val="-5"/>
        </w:rPr>
        <w:t>d</w:t>
      </w:r>
      <w:r>
        <w:rPr>
          <w:color w:val="000000"/>
        </w:rPr>
        <w:t>o,</w:t>
      </w:r>
      <w:r>
        <w:rPr>
          <w:color w:val="000000"/>
          <w:spacing w:val="4"/>
        </w:rPr>
        <w:t xml:space="preserve"> </w:t>
      </w:r>
      <w:r>
        <w:rPr>
          <w:color w:val="000000"/>
        </w:rPr>
        <w:t>k</w:t>
      </w:r>
      <w:r>
        <w:rPr>
          <w:color w:val="000000"/>
          <w:spacing w:val="-1"/>
        </w:rPr>
        <w:t>a</w:t>
      </w:r>
      <w:r>
        <w:rPr>
          <w:color w:val="000000"/>
        </w:rPr>
        <w:t>d</w:t>
      </w:r>
      <w:r>
        <w:rPr>
          <w:color w:val="000000"/>
          <w:spacing w:val="2"/>
        </w:rPr>
        <w:t xml:space="preserve"> </w:t>
      </w:r>
      <w:r>
        <w:rPr>
          <w:color w:val="000000"/>
          <w:spacing w:val="-2"/>
        </w:rPr>
        <w:t>š</w:t>
      </w:r>
      <w:r>
        <w:rPr>
          <w:color w:val="000000"/>
          <w:spacing w:val="-1"/>
        </w:rPr>
        <w:t>a</w:t>
      </w:r>
      <w:r>
        <w:rPr>
          <w:color w:val="000000"/>
          <w:spacing w:val="-4"/>
        </w:rPr>
        <w:t>l</w:t>
      </w:r>
      <w:r>
        <w:rPr>
          <w:color w:val="000000"/>
        </w:rPr>
        <w:t>yje g</w:t>
      </w:r>
      <w:r>
        <w:rPr>
          <w:color w:val="000000"/>
          <w:spacing w:val="4"/>
        </w:rPr>
        <w:t>a</w:t>
      </w:r>
      <w:r>
        <w:rPr>
          <w:color w:val="000000"/>
          <w:spacing w:val="-4"/>
        </w:rPr>
        <w:t>mi</w:t>
      </w:r>
      <w:r>
        <w:rPr>
          <w:color w:val="000000"/>
        </w:rPr>
        <w:t>n</w:t>
      </w:r>
      <w:r>
        <w:rPr>
          <w:color w:val="000000"/>
          <w:spacing w:val="4"/>
        </w:rPr>
        <w:t>a</w:t>
      </w:r>
      <w:r>
        <w:rPr>
          <w:color w:val="000000"/>
          <w:spacing w:val="-4"/>
        </w:rPr>
        <w:t>m</w:t>
      </w:r>
      <w:r>
        <w:rPr>
          <w:color w:val="000000"/>
          <w:spacing w:val="5"/>
        </w:rPr>
        <w:t>a</w:t>
      </w:r>
      <w:r>
        <w:rPr>
          <w:color w:val="000000"/>
        </w:rPr>
        <w:t>s</w:t>
      </w:r>
      <w:r>
        <w:rPr>
          <w:color w:val="000000"/>
          <w:spacing w:val="5"/>
        </w:rPr>
        <w:t xml:space="preserve"> </w:t>
      </w:r>
      <w:r>
        <w:rPr>
          <w:color w:val="000000"/>
          <w:spacing w:val="-9"/>
        </w:rPr>
        <w:t>i</w:t>
      </w:r>
      <w:r>
        <w:rPr>
          <w:color w:val="000000"/>
        </w:rPr>
        <w:t>r</w:t>
      </w:r>
      <w:r>
        <w:rPr>
          <w:color w:val="000000"/>
          <w:spacing w:val="3"/>
        </w:rPr>
        <w:t xml:space="preserve">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2"/>
        </w:rPr>
        <w:t>s</w:t>
      </w:r>
      <w:r>
        <w:rPr>
          <w:color w:val="000000"/>
        </w:rPr>
        <w:t>,</w:t>
      </w:r>
      <w:r>
        <w:rPr>
          <w:color w:val="000000"/>
          <w:spacing w:val="9"/>
        </w:rPr>
        <w:t xml:space="preserve"> </w:t>
      </w:r>
      <w:r>
        <w:rPr>
          <w:color w:val="000000"/>
          <w:spacing w:val="-6"/>
        </w:rPr>
        <w:t>i</w:t>
      </w:r>
      <w:r>
        <w:rPr>
          <w:color w:val="000000"/>
        </w:rPr>
        <w:t>r</w:t>
      </w:r>
      <w:r>
        <w:rPr>
          <w:color w:val="000000"/>
          <w:spacing w:val="8"/>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2"/>
        </w:rPr>
        <w:t>s</w:t>
      </w:r>
      <w:r>
        <w:rPr>
          <w:color w:val="000000"/>
        </w:rPr>
        <w:t>.</w:t>
      </w:r>
      <w:r>
        <w:rPr>
          <w:color w:val="000000"/>
          <w:spacing w:val="4"/>
        </w:rPr>
        <w:t xml:space="preserve"> </w:t>
      </w:r>
      <w:r>
        <w:rPr>
          <w:color w:val="000000"/>
          <w:spacing w:val="2"/>
        </w:rPr>
        <w:t>T</w:t>
      </w:r>
      <w:r>
        <w:rPr>
          <w:color w:val="000000"/>
          <w:spacing w:val="-4"/>
        </w:rPr>
        <w:t>i</w:t>
      </w:r>
      <w:r>
        <w:rPr>
          <w:color w:val="000000"/>
        </w:rPr>
        <w:t>k</w:t>
      </w:r>
      <w:r>
        <w:rPr>
          <w:color w:val="000000"/>
          <w:spacing w:val="2"/>
        </w:rPr>
        <w:t xml:space="preserve"> </w:t>
      </w:r>
      <w:r>
        <w:rPr>
          <w:color w:val="000000"/>
          <w:spacing w:val="-5"/>
        </w:rPr>
        <w:t>n</w:t>
      </w:r>
      <w:r>
        <w:rPr>
          <w:color w:val="000000"/>
          <w:spacing w:val="-1"/>
        </w:rPr>
        <w:t>e</w:t>
      </w:r>
      <w:r>
        <w:rPr>
          <w:color w:val="000000"/>
          <w:spacing w:val="5"/>
        </w:rPr>
        <w:t>d</w:t>
      </w:r>
      <w:r>
        <w:rPr>
          <w:color w:val="000000"/>
          <w:spacing w:val="-4"/>
        </w:rPr>
        <w:t>i</w:t>
      </w:r>
      <w:r>
        <w:rPr>
          <w:color w:val="000000"/>
        </w:rPr>
        <w:t>d</w:t>
      </w:r>
      <w:r>
        <w:rPr>
          <w:color w:val="000000"/>
          <w:spacing w:val="4"/>
        </w:rPr>
        <w:t>e</w:t>
      </w:r>
      <w:r>
        <w:rPr>
          <w:color w:val="000000"/>
          <w:spacing w:val="-4"/>
        </w:rPr>
        <w:t>l</w:t>
      </w:r>
      <w:r>
        <w:rPr>
          <w:color w:val="000000"/>
        </w:rPr>
        <w:t>ė</w:t>
      </w:r>
      <w:r>
        <w:rPr>
          <w:color w:val="000000"/>
          <w:spacing w:val="10"/>
        </w:rPr>
        <w:t xml:space="preserve"> </w:t>
      </w:r>
      <w:r>
        <w:rPr>
          <w:color w:val="000000"/>
          <w:spacing w:val="-4"/>
        </w:rPr>
        <w:t>į</w:t>
      </w:r>
      <w:r>
        <w:rPr>
          <w:color w:val="000000"/>
        </w:rPr>
        <w:t>v</w:t>
      </w:r>
      <w:r>
        <w:rPr>
          <w:color w:val="000000"/>
          <w:spacing w:val="-1"/>
        </w:rPr>
        <w:t>ež</w:t>
      </w:r>
      <w:r>
        <w:rPr>
          <w:color w:val="000000"/>
          <w:spacing w:val="4"/>
        </w:rPr>
        <w:t>a</w:t>
      </w:r>
      <w:r>
        <w:rPr>
          <w:color w:val="000000"/>
          <w:spacing w:val="-4"/>
        </w:rPr>
        <w:t>m</w:t>
      </w:r>
      <w:r>
        <w:rPr>
          <w:color w:val="000000"/>
        </w:rPr>
        <w:t>ų</w:t>
      </w:r>
      <w:r>
        <w:rPr>
          <w:color w:val="000000"/>
          <w:spacing w:val="8"/>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rPr>
        <w:t>d</w:t>
      </w:r>
      <w:r>
        <w:rPr>
          <w:color w:val="000000"/>
          <w:spacing w:val="4"/>
        </w:rPr>
        <w:t>a</w:t>
      </w:r>
      <w:r>
        <w:rPr>
          <w:color w:val="000000"/>
        </w:rPr>
        <w:t>l</w:t>
      </w:r>
      <w:r>
        <w:rPr>
          <w:color w:val="000000"/>
          <w:spacing w:val="-4"/>
        </w:rPr>
        <w:t>i</w:t>
      </w:r>
      <w:r>
        <w:rPr>
          <w:color w:val="000000"/>
        </w:rPr>
        <w:t xml:space="preserve">s </w:t>
      </w:r>
      <w:r>
        <w:rPr>
          <w:color w:val="000000"/>
          <w:spacing w:val="-2"/>
        </w:rPr>
        <w:t>s</w:t>
      </w:r>
      <w:r>
        <w:rPr>
          <w:color w:val="000000"/>
          <w:spacing w:val="5"/>
        </w:rPr>
        <w:t>k</w:t>
      </w:r>
      <w:r>
        <w:rPr>
          <w:color w:val="000000"/>
          <w:spacing w:val="-4"/>
        </w:rPr>
        <w:t>i</w:t>
      </w:r>
      <w:r>
        <w:rPr>
          <w:color w:val="000000"/>
          <w:spacing w:val="1"/>
        </w:rPr>
        <w:t>r</w:t>
      </w:r>
      <w:r>
        <w:rPr>
          <w:color w:val="000000"/>
          <w:spacing w:val="5"/>
        </w:rPr>
        <w:t>t</w:t>
      </w:r>
      <w:r>
        <w:rPr>
          <w:color w:val="000000"/>
        </w:rPr>
        <w:t>a</w:t>
      </w:r>
      <w:r>
        <w:rPr>
          <w:color w:val="000000"/>
          <w:spacing w:val="1"/>
        </w:rPr>
        <w:t xml:space="preserve"> </w:t>
      </w:r>
      <w:r>
        <w:rPr>
          <w:color w:val="000000"/>
        </w:rPr>
        <w:t>v</w:t>
      </w:r>
      <w:r>
        <w:rPr>
          <w:color w:val="000000"/>
          <w:spacing w:val="-4"/>
        </w:rPr>
        <w:t>i</w:t>
      </w:r>
      <w:r>
        <w:rPr>
          <w:color w:val="000000"/>
          <w:spacing w:val="-1"/>
        </w:rPr>
        <w:t>e</w:t>
      </w:r>
      <w:r>
        <w:rPr>
          <w:color w:val="000000"/>
          <w:spacing w:val="5"/>
        </w:rPr>
        <w:t>t</w:t>
      </w:r>
      <w:r>
        <w:rPr>
          <w:color w:val="000000"/>
          <w:spacing w:val="-4"/>
        </w:rPr>
        <w:t>i</w:t>
      </w:r>
      <w:r>
        <w:rPr>
          <w:color w:val="000000"/>
          <w:spacing w:val="-5"/>
        </w:rPr>
        <w:t>n</w:t>
      </w:r>
      <w:r>
        <w:rPr>
          <w:color w:val="000000"/>
          <w:spacing w:val="8"/>
        </w:rPr>
        <w:t>e</w:t>
      </w:r>
      <w:r>
        <w:rPr>
          <w:color w:val="000000"/>
        </w:rPr>
        <w:t xml:space="preserve">i </w:t>
      </w:r>
      <w:r>
        <w:rPr>
          <w:color w:val="000000"/>
          <w:spacing w:val="6"/>
        </w:rPr>
        <w:t>r</w:t>
      </w:r>
      <w:r>
        <w:rPr>
          <w:color w:val="000000"/>
          <w:spacing w:val="-4"/>
        </w:rPr>
        <w:t>i</w:t>
      </w:r>
      <w:r>
        <w:rPr>
          <w:color w:val="000000"/>
          <w:spacing w:val="-5"/>
        </w:rPr>
        <w:t>n</w:t>
      </w:r>
      <w:r>
        <w:rPr>
          <w:color w:val="000000"/>
        </w:rPr>
        <w:t>k</w:t>
      </w:r>
      <w:r>
        <w:rPr>
          <w:color w:val="000000"/>
          <w:spacing w:val="4"/>
        </w:rPr>
        <w:t>a</w:t>
      </w:r>
      <w:r>
        <w:rPr>
          <w:color w:val="000000"/>
          <w:spacing w:val="-9"/>
        </w:rPr>
        <w:t>i</w:t>
      </w:r>
      <w:r>
        <w:rPr>
          <w:color w:val="000000"/>
        </w:rPr>
        <w:t xml:space="preserve">. </w:t>
      </w:r>
      <w:r>
        <w:rPr>
          <w:color w:val="000000"/>
          <w:spacing w:val="24"/>
        </w:rPr>
        <w:t xml:space="preserve"> </w:t>
      </w:r>
      <w:r>
        <w:rPr>
          <w:color w:val="000000"/>
          <w:spacing w:val="-5"/>
        </w:rPr>
        <w:t>A</w:t>
      </w:r>
      <w:r>
        <w:rPr>
          <w:color w:val="000000"/>
          <w:spacing w:val="2"/>
        </w:rPr>
        <w:t>T</w:t>
      </w:r>
      <w:r>
        <w:rPr>
          <w:color w:val="000000"/>
        </w:rPr>
        <w:t>S</w:t>
      </w:r>
      <w:r>
        <w:rPr>
          <w:color w:val="000000"/>
          <w:spacing w:val="5"/>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rPr>
        <w:t>a</w:t>
      </w:r>
      <w:r>
        <w:rPr>
          <w:color w:val="000000"/>
          <w:spacing w:val="12"/>
        </w:rPr>
        <w:t xml:space="preserve"> </w:t>
      </w:r>
      <w:r>
        <w:rPr>
          <w:color w:val="000000"/>
        </w:rPr>
        <w:t>į</w:t>
      </w:r>
      <w:r>
        <w:rPr>
          <w:color w:val="000000"/>
          <w:spacing w:val="4"/>
        </w:rPr>
        <w:t xml:space="preserve"> </w:t>
      </w:r>
      <w:r>
        <w:rPr>
          <w:color w:val="000000"/>
          <w:spacing w:val="-2"/>
        </w:rPr>
        <w:t>B</w:t>
      </w:r>
      <w:r>
        <w:rPr>
          <w:color w:val="000000"/>
          <w:spacing w:val="4"/>
        </w:rPr>
        <w:t>a</w:t>
      </w:r>
      <w:r>
        <w:rPr>
          <w:color w:val="000000"/>
          <w:spacing w:val="-9"/>
        </w:rPr>
        <w:t>l</w:t>
      </w:r>
      <w:r>
        <w:rPr>
          <w:color w:val="000000"/>
          <w:spacing w:val="5"/>
        </w:rPr>
        <w:t>t</w:t>
      </w:r>
      <w:r>
        <w:rPr>
          <w:color w:val="000000"/>
          <w:spacing w:val="-1"/>
        </w:rPr>
        <w:t>a</w:t>
      </w:r>
      <w:r>
        <w:rPr>
          <w:color w:val="000000"/>
          <w:spacing w:val="1"/>
        </w:rPr>
        <w:t>r</w:t>
      </w:r>
      <w:r>
        <w:rPr>
          <w:color w:val="000000"/>
        </w:rPr>
        <w:t>u</w:t>
      </w:r>
      <w:r>
        <w:rPr>
          <w:color w:val="000000"/>
          <w:spacing w:val="2"/>
        </w:rPr>
        <w:t>s</w:t>
      </w:r>
      <w:r>
        <w:rPr>
          <w:color w:val="000000"/>
        </w:rPr>
        <w:t>i</w:t>
      </w:r>
      <w:r>
        <w:rPr>
          <w:color w:val="000000"/>
          <w:spacing w:val="-4"/>
        </w:rPr>
        <w:t>j</w:t>
      </w:r>
      <w:r>
        <w:rPr>
          <w:color w:val="000000"/>
          <w:spacing w:val="-1"/>
        </w:rPr>
        <w:t>ą</w:t>
      </w:r>
      <w:r>
        <w:rPr>
          <w:color w:val="000000"/>
        </w:rPr>
        <w:t>,</w:t>
      </w:r>
      <w:r>
        <w:rPr>
          <w:color w:val="000000"/>
          <w:spacing w:val="10"/>
        </w:rPr>
        <w:t xml:space="preserve"> </w:t>
      </w:r>
      <w:r>
        <w:rPr>
          <w:color w:val="000000"/>
          <w:spacing w:val="-2"/>
        </w:rPr>
        <w:t>R</w:t>
      </w:r>
      <w:r>
        <w:rPr>
          <w:color w:val="000000"/>
          <w:spacing w:val="5"/>
        </w:rPr>
        <w:t>u</w:t>
      </w:r>
      <w:r>
        <w:rPr>
          <w:color w:val="000000"/>
          <w:spacing w:val="2"/>
        </w:rPr>
        <w:t>s</w:t>
      </w:r>
      <w:r>
        <w:rPr>
          <w:color w:val="000000"/>
          <w:spacing w:val="-4"/>
        </w:rPr>
        <w:t>ij</w:t>
      </w:r>
      <w:r>
        <w:rPr>
          <w:color w:val="000000"/>
          <w:spacing w:val="-1"/>
        </w:rPr>
        <w:t>ą</w:t>
      </w:r>
      <w:r>
        <w:rPr>
          <w:color w:val="000000"/>
        </w:rPr>
        <w:t>,</w:t>
      </w:r>
      <w:r>
        <w:rPr>
          <w:color w:val="000000"/>
          <w:spacing w:val="11"/>
        </w:rPr>
        <w:t xml:space="preserve"> </w:t>
      </w:r>
      <w:r>
        <w:rPr>
          <w:color w:val="000000"/>
        </w:rPr>
        <w:t>Uk</w:t>
      </w:r>
      <w:r>
        <w:rPr>
          <w:color w:val="000000"/>
          <w:spacing w:val="1"/>
        </w:rPr>
        <w:t>r</w:t>
      </w:r>
      <w:r>
        <w:rPr>
          <w:color w:val="000000"/>
          <w:spacing w:val="4"/>
        </w:rPr>
        <w:t>a</w:t>
      </w:r>
      <w:r>
        <w:rPr>
          <w:color w:val="000000"/>
          <w:spacing w:val="-4"/>
        </w:rPr>
        <w:t>i</w:t>
      </w:r>
      <w:r>
        <w:rPr>
          <w:color w:val="000000"/>
        </w:rPr>
        <w:t>n</w:t>
      </w:r>
      <w:r>
        <w:rPr>
          <w:color w:val="000000"/>
          <w:spacing w:val="-1"/>
        </w:rPr>
        <w:t>ą</w:t>
      </w:r>
      <w:r>
        <w:rPr>
          <w:color w:val="000000"/>
        </w:rPr>
        <w:t>,</w:t>
      </w:r>
      <w:r>
        <w:rPr>
          <w:color w:val="000000"/>
          <w:spacing w:val="6"/>
        </w:rPr>
        <w:t xml:space="preserve"> </w:t>
      </w:r>
      <w:r>
        <w:rPr>
          <w:color w:val="000000"/>
          <w:spacing w:val="-1"/>
        </w:rPr>
        <w:t>a</w:t>
      </w:r>
      <w:r>
        <w:rPr>
          <w:color w:val="000000"/>
        </w:rPr>
        <w:t>r</w:t>
      </w:r>
      <w:r>
        <w:rPr>
          <w:color w:val="000000"/>
          <w:spacing w:val="10"/>
        </w:rPr>
        <w:t xml:space="preserve"> </w:t>
      </w:r>
      <w:r>
        <w:rPr>
          <w:color w:val="000000"/>
        </w:rPr>
        <w:t xml:space="preserve">į </w:t>
      </w:r>
      <w:r>
        <w:rPr>
          <w:color w:val="000000"/>
          <w:spacing w:val="1"/>
        </w:rPr>
        <w:t>S</w:t>
      </w:r>
      <w:r>
        <w:rPr>
          <w:color w:val="000000"/>
          <w:spacing w:val="5"/>
        </w:rPr>
        <w:t>k</w:t>
      </w:r>
      <w:r>
        <w:rPr>
          <w:color w:val="000000"/>
          <w:spacing w:val="4"/>
        </w:rPr>
        <w:t>a</w:t>
      </w:r>
      <w:r>
        <w:rPr>
          <w:color w:val="000000"/>
          <w:spacing w:val="-5"/>
        </w:rPr>
        <w:t>n</w:t>
      </w:r>
      <w:r>
        <w:rPr>
          <w:color w:val="000000"/>
          <w:spacing w:val="5"/>
        </w:rPr>
        <w:t>d</w:t>
      </w:r>
      <w:r>
        <w:rPr>
          <w:color w:val="000000"/>
          <w:spacing w:val="-4"/>
        </w:rPr>
        <w:t>i</w:t>
      </w:r>
      <w:r>
        <w:rPr>
          <w:color w:val="000000"/>
        </w:rPr>
        <w:t>n</w:t>
      </w:r>
      <w:r>
        <w:rPr>
          <w:color w:val="000000"/>
          <w:spacing w:val="4"/>
        </w:rPr>
        <w:t>a</w:t>
      </w:r>
      <w:r>
        <w:rPr>
          <w:color w:val="000000"/>
        </w:rPr>
        <w:t>v</w:t>
      </w:r>
      <w:r>
        <w:rPr>
          <w:color w:val="000000"/>
          <w:spacing w:val="-4"/>
        </w:rPr>
        <w:t>ij</w:t>
      </w:r>
      <w:r>
        <w:rPr>
          <w:color w:val="000000"/>
        </w:rPr>
        <w:t>ą</w:t>
      </w:r>
      <w:r>
        <w:rPr>
          <w:color w:val="000000"/>
          <w:spacing w:val="8"/>
        </w:rPr>
        <w:t xml:space="preserve"> </w:t>
      </w:r>
      <w:r>
        <w:rPr>
          <w:color w:val="000000"/>
        </w:rPr>
        <w:t>p</w:t>
      </w:r>
      <w:r>
        <w:rPr>
          <w:color w:val="000000"/>
          <w:spacing w:val="-1"/>
        </w:rPr>
        <w:t>e</w:t>
      </w:r>
      <w:r>
        <w:rPr>
          <w:color w:val="000000"/>
        </w:rPr>
        <w:t>r</w:t>
      </w:r>
      <w:r>
        <w:rPr>
          <w:color w:val="000000"/>
          <w:spacing w:val="10"/>
        </w:rPr>
        <w:t xml:space="preserve"> </w:t>
      </w:r>
      <w:r>
        <w:rPr>
          <w:color w:val="000000"/>
          <w:spacing w:val="-3"/>
        </w:rPr>
        <w:t>L</w:t>
      </w:r>
      <w:r>
        <w:rPr>
          <w:color w:val="000000"/>
          <w:spacing w:val="-1"/>
        </w:rPr>
        <w:t>a</w:t>
      </w:r>
      <w:r>
        <w:rPr>
          <w:color w:val="000000"/>
          <w:spacing w:val="5"/>
        </w:rPr>
        <w:t>t</w:t>
      </w:r>
      <w:r>
        <w:rPr>
          <w:color w:val="000000"/>
        </w:rPr>
        <w:t>vi</w:t>
      </w:r>
      <w:r>
        <w:rPr>
          <w:color w:val="000000"/>
          <w:spacing w:val="-4"/>
        </w:rPr>
        <w:t>j</w:t>
      </w:r>
      <w:r>
        <w:rPr>
          <w:color w:val="000000"/>
          <w:spacing w:val="-1"/>
        </w:rPr>
        <w:t>ą</w:t>
      </w:r>
      <w:r>
        <w:rPr>
          <w:color w:val="000000"/>
        </w:rPr>
        <w:t>,</w:t>
      </w:r>
      <w:r>
        <w:rPr>
          <w:color w:val="000000"/>
          <w:spacing w:val="6"/>
        </w:rPr>
        <w:t xml:space="preserve"> </w:t>
      </w:r>
      <w:r>
        <w:rPr>
          <w:color w:val="000000"/>
          <w:spacing w:val="2"/>
        </w:rPr>
        <w:t>E</w:t>
      </w:r>
      <w:r>
        <w:rPr>
          <w:color w:val="000000"/>
          <w:spacing w:val="-2"/>
        </w:rPr>
        <w:t>s</w:t>
      </w:r>
      <w:r>
        <w:rPr>
          <w:color w:val="000000"/>
          <w:spacing w:val="10"/>
        </w:rPr>
        <w:t>t</w:t>
      </w:r>
      <w:r>
        <w:rPr>
          <w:color w:val="000000"/>
          <w:spacing w:val="-4"/>
        </w:rPr>
        <w:t>ij</w:t>
      </w:r>
      <w:r>
        <w:rPr>
          <w:color w:val="000000"/>
          <w:spacing w:val="7"/>
        </w:rPr>
        <w:t>ą</w:t>
      </w:r>
      <w:r>
        <w:rPr>
          <w:color w:val="000000"/>
        </w:rPr>
        <w:t>,</w:t>
      </w:r>
      <w:r>
        <w:rPr>
          <w:color w:val="000000"/>
          <w:spacing w:val="6"/>
        </w:rPr>
        <w:t xml:space="preserve"> </w:t>
      </w:r>
      <w:r>
        <w:rPr>
          <w:color w:val="000000"/>
          <w:spacing w:val="-1"/>
        </w:rPr>
        <w:t>a</w:t>
      </w:r>
      <w:r>
        <w:rPr>
          <w:color w:val="000000"/>
          <w:spacing w:val="6"/>
        </w:rPr>
        <w:t>r</w:t>
      </w:r>
      <w:r>
        <w:rPr>
          <w:color w:val="000000"/>
          <w:spacing w:val="-5"/>
        </w:rPr>
        <w:t>b</w:t>
      </w:r>
      <w:r>
        <w:rPr>
          <w:color w:val="000000"/>
        </w:rPr>
        <w:t>a</w:t>
      </w:r>
      <w:r>
        <w:rPr>
          <w:color w:val="000000"/>
          <w:spacing w:val="3"/>
        </w:rPr>
        <w:t xml:space="preserve"> </w:t>
      </w:r>
      <w:r>
        <w:rPr>
          <w:color w:val="000000"/>
        </w:rPr>
        <w:t>p</w:t>
      </w:r>
      <w:r>
        <w:rPr>
          <w:color w:val="000000"/>
          <w:spacing w:val="-1"/>
        </w:rPr>
        <w:t>e</w:t>
      </w:r>
      <w:r>
        <w:rPr>
          <w:color w:val="000000"/>
        </w:rPr>
        <w:t xml:space="preserve">r </w:t>
      </w:r>
      <w:r>
        <w:rPr>
          <w:color w:val="000000"/>
          <w:spacing w:val="-3"/>
        </w:rPr>
        <w:t>L</w:t>
      </w:r>
      <w:r>
        <w:rPr>
          <w:color w:val="000000"/>
          <w:spacing w:val="4"/>
        </w:rPr>
        <w:t>e</w:t>
      </w:r>
      <w:r>
        <w:rPr>
          <w:color w:val="000000"/>
          <w:spacing w:val="-5"/>
        </w:rPr>
        <w:t>n</w:t>
      </w:r>
      <w:r>
        <w:rPr>
          <w:color w:val="000000"/>
          <w:spacing w:val="5"/>
        </w:rPr>
        <w:t>k</w:t>
      </w:r>
      <w:r>
        <w:rPr>
          <w:color w:val="000000"/>
          <w:spacing w:val="-4"/>
        </w:rPr>
        <w:t>ij</w:t>
      </w:r>
      <w:r>
        <w:rPr>
          <w:color w:val="000000"/>
        </w:rPr>
        <w:t>ą</w:t>
      </w:r>
      <w:r>
        <w:rPr>
          <w:color w:val="000000"/>
          <w:spacing w:val="6"/>
        </w:rPr>
        <w:t xml:space="preserve"> </w:t>
      </w:r>
      <w:r>
        <w:rPr>
          <w:color w:val="000000"/>
          <w:spacing w:val="-4"/>
        </w:rPr>
        <w:t>i</w:t>
      </w:r>
      <w:r>
        <w:rPr>
          <w:color w:val="000000"/>
        </w:rPr>
        <w:t>r</w:t>
      </w:r>
      <w:r>
        <w:rPr>
          <w:color w:val="000000"/>
          <w:spacing w:val="4"/>
        </w:rPr>
        <w:t xml:space="preserve"> </w:t>
      </w:r>
      <w:r>
        <w:rPr>
          <w:color w:val="000000"/>
        </w:rPr>
        <w:t>V</w:t>
      </w:r>
      <w:r>
        <w:rPr>
          <w:color w:val="000000"/>
          <w:spacing w:val="4"/>
        </w:rPr>
        <w:t>o</w:t>
      </w:r>
      <w:r>
        <w:rPr>
          <w:color w:val="000000"/>
        </w:rPr>
        <w:t>k</w:t>
      </w:r>
      <w:r>
        <w:rPr>
          <w:color w:val="000000"/>
          <w:spacing w:val="-9"/>
        </w:rPr>
        <w:t>i</w:t>
      </w:r>
      <w:r>
        <w:rPr>
          <w:color w:val="000000"/>
          <w:spacing w:val="-1"/>
        </w:rPr>
        <w:t>e</w:t>
      </w:r>
      <w:r>
        <w:rPr>
          <w:color w:val="000000"/>
          <w:spacing w:val="10"/>
        </w:rPr>
        <w:t>t</w:t>
      </w:r>
      <w:r>
        <w:rPr>
          <w:color w:val="000000"/>
          <w:spacing w:val="-4"/>
        </w:rPr>
        <w:t>ij</w:t>
      </w:r>
      <w:r>
        <w:rPr>
          <w:color w:val="000000"/>
          <w:spacing w:val="-1"/>
        </w:rPr>
        <w:t>ą</w:t>
      </w:r>
      <w:r>
        <w:rPr>
          <w:color w:val="000000"/>
        </w:rPr>
        <w:t>.</w:t>
      </w:r>
    </w:p>
    <w:p w:rsidR="004F7425" w:rsidRDefault="004F7425" w:rsidP="004F7425">
      <w:pPr>
        <w:widowControl w:val="0"/>
        <w:autoSpaceDE w:val="0"/>
        <w:autoSpaceDN w:val="0"/>
        <w:adjustRightInd w:val="0"/>
        <w:spacing w:before="1" w:line="245" w:lineRule="auto"/>
        <w:ind w:left="120" w:right="69" w:firstLine="361"/>
        <w:jc w:val="both"/>
        <w:rPr>
          <w:color w:val="000000"/>
        </w:rPr>
      </w:pPr>
      <w:r>
        <w:rPr>
          <w:color w:val="000000"/>
        </w:rPr>
        <w:t xml:space="preserve">-   </w:t>
      </w:r>
      <w:r>
        <w:rPr>
          <w:color w:val="000000"/>
          <w:spacing w:val="30"/>
        </w:rPr>
        <w:t xml:space="preserve"> </w:t>
      </w:r>
      <w:r>
        <w:rPr>
          <w:b/>
          <w:bCs/>
          <w:color w:val="C0504D"/>
          <w:spacing w:val="1"/>
        </w:rPr>
        <w:t>n</w:t>
      </w:r>
      <w:r>
        <w:rPr>
          <w:b/>
          <w:bCs/>
          <w:color w:val="C0504D"/>
        </w:rPr>
        <w:t>a</w:t>
      </w:r>
      <w:r>
        <w:rPr>
          <w:b/>
          <w:bCs/>
          <w:color w:val="C0504D"/>
          <w:spacing w:val="1"/>
        </w:rPr>
        <w:t>uj</w:t>
      </w:r>
      <w:r>
        <w:rPr>
          <w:b/>
          <w:bCs/>
          <w:color w:val="C0504D"/>
        </w:rPr>
        <w:t xml:space="preserve">os </w:t>
      </w:r>
      <w:r>
        <w:rPr>
          <w:b/>
          <w:bCs/>
          <w:color w:val="C0504D"/>
          <w:spacing w:val="1"/>
        </w:rPr>
        <w:t>p</w:t>
      </w:r>
      <w:r>
        <w:rPr>
          <w:b/>
          <w:bCs/>
          <w:color w:val="C0504D"/>
          <w:spacing w:val="-2"/>
        </w:rPr>
        <w:t>s</w:t>
      </w:r>
      <w:r>
        <w:rPr>
          <w:b/>
          <w:bCs/>
          <w:color w:val="C0504D"/>
        </w:rPr>
        <w:t>ichoa</w:t>
      </w:r>
      <w:r>
        <w:rPr>
          <w:b/>
          <w:bCs/>
          <w:color w:val="C0504D"/>
          <w:spacing w:val="-3"/>
        </w:rPr>
        <w:t>k</w:t>
      </w:r>
      <w:r>
        <w:rPr>
          <w:b/>
          <w:bCs/>
          <w:color w:val="C0504D"/>
          <w:spacing w:val="1"/>
        </w:rPr>
        <w:t>t</w:t>
      </w:r>
      <w:r>
        <w:rPr>
          <w:b/>
          <w:bCs/>
          <w:color w:val="C0504D"/>
        </w:rPr>
        <w:t>yvios</w:t>
      </w:r>
      <w:r>
        <w:rPr>
          <w:b/>
          <w:bCs/>
          <w:color w:val="C0504D"/>
          <w:spacing w:val="5"/>
        </w:rPr>
        <w:t xml:space="preserve"> </w:t>
      </w:r>
      <w:r>
        <w:rPr>
          <w:b/>
          <w:bCs/>
          <w:color w:val="C0504D"/>
          <w:spacing w:val="-3"/>
        </w:rPr>
        <w:t>m</w:t>
      </w:r>
      <w:r>
        <w:rPr>
          <w:b/>
          <w:bCs/>
          <w:color w:val="C0504D"/>
          <w:spacing w:val="-1"/>
        </w:rPr>
        <w:t>e</w:t>
      </w:r>
      <w:r>
        <w:rPr>
          <w:b/>
          <w:bCs/>
          <w:color w:val="C0504D"/>
          <w:spacing w:val="6"/>
        </w:rPr>
        <w:t>d</w:t>
      </w:r>
      <w:r>
        <w:rPr>
          <w:b/>
          <w:bCs/>
          <w:color w:val="C0504D"/>
          <w:spacing w:val="-6"/>
        </w:rPr>
        <w:t>ž</w:t>
      </w:r>
      <w:r>
        <w:rPr>
          <w:b/>
          <w:bCs/>
          <w:color w:val="C0504D"/>
        </w:rPr>
        <w:t>iag</w:t>
      </w:r>
      <w:r>
        <w:rPr>
          <w:b/>
          <w:bCs/>
          <w:color w:val="C0504D"/>
          <w:spacing w:val="5"/>
        </w:rPr>
        <w:t>o</w:t>
      </w:r>
      <w:r>
        <w:rPr>
          <w:b/>
          <w:bCs/>
          <w:color w:val="C0504D"/>
        </w:rPr>
        <w:t>s</w:t>
      </w:r>
      <w:r>
        <w:rPr>
          <w:b/>
          <w:bCs/>
          <w:color w:val="C0504D"/>
          <w:spacing w:val="9"/>
        </w:rPr>
        <w:t xml:space="preserve"> </w:t>
      </w:r>
      <w:r>
        <w:rPr>
          <w:color w:val="000000"/>
          <w:spacing w:val="2"/>
        </w:rPr>
        <w:t>s</w:t>
      </w:r>
      <w:r>
        <w:rPr>
          <w:color w:val="000000"/>
          <w:spacing w:val="-4"/>
        </w:rPr>
        <w:t>i</w:t>
      </w:r>
      <w:r>
        <w:rPr>
          <w:color w:val="000000"/>
          <w:spacing w:val="4"/>
        </w:rPr>
        <w:t>e</w:t>
      </w:r>
      <w:r>
        <w:rPr>
          <w:color w:val="000000"/>
          <w:spacing w:val="-4"/>
        </w:rPr>
        <w:t>j</w:t>
      </w:r>
      <w:r>
        <w:rPr>
          <w:color w:val="000000"/>
          <w:spacing w:val="4"/>
        </w:rPr>
        <w:t>a</w:t>
      </w:r>
      <w:r>
        <w:rPr>
          <w:color w:val="000000"/>
          <w:spacing w:val="-9"/>
        </w:rPr>
        <w:t>m</w:t>
      </w:r>
      <w:r>
        <w:rPr>
          <w:color w:val="000000"/>
          <w:spacing w:val="5"/>
        </w:rPr>
        <w:t>o</w:t>
      </w:r>
      <w:r>
        <w:rPr>
          <w:color w:val="000000"/>
        </w:rPr>
        <w:t>s</w:t>
      </w:r>
      <w:r>
        <w:rPr>
          <w:color w:val="000000"/>
          <w:spacing w:val="5"/>
        </w:rPr>
        <w:t xml:space="preserve"> </w:t>
      </w:r>
      <w:r>
        <w:rPr>
          <w:color w:val="000000"/>
          <w:spacing w:val="-2"/>
        </w:rPr>
        <w:t>s</w:t>
      </w:r>
      <w:r>
        <w:rPr>
          <w:color w:val="000000"/>
        </w:rPr>
        <w:t xml:space="preserve">u </w:t>
      </w:r>
      <w:r>
        <w:rPr>
          <w:color w:val="000000"/>
          <w:spacing w:val="6"/>
        </w:rPr>
        <w:t xml:space="preserve"> </w:t>
      </w:r>
      <w:r>
        <w:rPr>
          <w:color w:val="000000"/>
          <w:spacing w:val="3"/>
        </w:rPr>
        <w:t>R</w:t>
      </w:r>
      <w:r>
        <w:rPr>
          <w:color w:val="000000"/>
          <w:spacing w:val="-10"/>
        </w:rPr>
        <w:t>y</w:t>
      </w:r>
      <w:r>
        <w:rPr>
          <w:color w:val="000000"/>
          <w:spacing w:val="5"/>
        </w:rPr>
        <w:t>t</w:t>
      </w:r>
      <w:r>
        <w:rPr>
          <w:color w:val="000000"/>
        </w:rPr>
        <w:t>ų</w:t>
      </w:r>
      <w:r>
        <w:rPr>
          <w:color w:val="000000"/>
          <w:spacing w:val="7"/>
        </w:rPr>
        <w:t xml:space="preserve"> </w:t>
      </w:r>
      <w:r>
        <w:rPr>
          <w:color w:val="000000"/>
          <w:spacing w:val="-4"/>
        </w:rPr>
        <w:t>i</w:t>
      </w:r>
      <w:r>
        <w:rPr>
          <w:color w:val="000000"/>
        </w:rPr>
        <w:t>r</w:t>
      </w:r>
      <w:r>
        <w:rPr>
          <w:color w:val="000000"/>
          <w:spacing w:val="4"/>
        </w:rPr>
        <w:t xml:space="preserve"> </w:t>
      </w:r>
      <w:r>
        <w:rPr>
          <w:color w:val="000000"/>
          <w:spacing w:val="6"/>
        </w:rPr>
        <w:t>P</w:t>
      </w:r>
      <w:r>
        <w:rPr>
          <w:color w:val="000000"/>
          <w:spacing w:val="-4"/>
        </w:rPr>
        <w:t>i</w:t>
      </w:r>
      <w:r>
        <w:rPr>
          <w:color w:val="000000"/>
          <w:spacing w:val="-1"/>
        </w:rPr>
        <w:t>e</w:t>
      </w:r>
      <w:r>
        <w:rPr>
          <w:color w:val="000000"/>
          <w:spacing w:val="5"/>
        </w:rPr>
        <w:t>t</w:t>
      </w:r>
      <w:r>
        <w:rPr>
          <w:color w:val="000000"/>
        </w:rPr>
        <w:t>ų</w:t>
      </w:r>
      <w:r>
        <w:rPr>
          <w:color w:val="000000"/>
          <w:spacing w:val="7"/>
        </w:rPr>
        <w:t xml:space="preserve"> </w:t>
      </w:r>
      <w:r>
        <w:rPr>
          <w:color w:val="000000"/>
          <w:spacing w:val="-5"/>
        </w:rPr>
        <w:t>A</w:t>
      </w:r>
      <w:r>
        <w:rPr>
          <w:color w:val="000000"/>
          <w:spacing w:val="4"/>
        </w:rPr>
        <w:t>z</w:t>
      </w:r>
      <w:r>
        <w:rPr>
          <w:color w:val="000000"/>
        </w:rPr>
        <w:t>i</w:t>
      </w:r>
      <w:r>
        <w:rPr>
          <w:color w:val="000000"/>
          <w:spacing w:val="-9"/>
        </w:rPr>
        <w:t>j</w:t>
      </w:r>
      <w:r>
        <w:rPr>
          <w:color w:val="000000"/>
          <w:spacing w:val="5"/>
        </w:rPr>
        <w:t>o</w:t>
      </w:r>
      <w:r>
        <w:rPr>
          <w:color w:val="000000"/>
        </w:rPr>
        <w:t>s</w:t>
      </w:r>
      <w:r>
        <w:rPr>
          <w:color w:val="000000"/>
          <w:spacing w:val="5"/>
        </w:rPr>
        <w:t xml:space="preserve"> </w:t>
      </w:r>
      <w:r>
        <w:rPr>
          <w:color w:val="000000"/>
          <w:spacing w:val="-2"/>
        </w:rPr>
        <w:t>š</w:t>
      </w:r>
      <w:r>
        <w:rPr>
          <w:color w:val="000000"/>
          <w:spacing w:val="4"/>
        </w:rPr>
        <w:t>a</w:t>
      </w:r>
      <w:r>
        <w:rPr>
          <w:color w:val="000000"/>
        </w:rPr>
        <w:t>l</w:t>
      </w:r>
      <w:r>
        <w:rPr>
          <w:color w:val="000000"/>
          <w:spacing w:val="1"/>
        </w:rPr>
        <w:t>i</w:t>
      </w:r>
      <w:r>
        <w:rPr>
          <w:color w:val="000000"/>
        </w:rPr>
        <w:t>m</w:t>
      </w:r>
      <w:r>
        <w:rPr>
          <w:color w:val="000000"/>
          <w:spacing w:val="-4"/>
        </w:rPr>
        <w:t>i</w:t>
      </w:r>
      <w:r>
        <w:rPr>
          <w:color w:val="000000"/>
        </w:rPr>
        <w:t xml:space="preserve">s </w:t>
      </w:r>
      <w:r>
        <w:rPr>
          <w:color w:val="000000"/>
          <w:spacing w:val="6"/>
        </w:rPr>
        <w:t>(</w:t>
      </w:r>
      <w:r>
        <w:rPr>
          <w:color w:val="000000"/>
        </w:rPr>
        <w:t>K</w:t>
      </w:r>
      <w:r>
        <w:rPr>
          <w:color w:val="000000"/>
          <w:spacing w:val="-5"/>
        </w:rPr>
        <w:t>i</w:t>
      </w:r>
      <w:r>
        <w:rPr>
          <w:color w:val="000000"/>
          <w:spacing w:val="5"/>
        </w:rPr>
        <w:t>n</w:t>
      </w:r>
      <w:r>
        <w:rPr>
          <w:color w:val="000000"/>
        </w:rPr>
        <w:t>i</w:t>
      </w:r>
      <w:r>
        <w:rPr>
          <w:color w:val="000000"/>
          <w:spacing w:val="-4"/>
        </w:rPr>
        <w:t>j</w:t>
      </w:r>
      <w:r>
        <w:rPr>
          <w:color w:val="000000"/>
          <w:spacing w:val="-1"/>
        </w:rPr>
        <w:t>a</w:t>
      </w:r>
      <w:r>
        <w:rPr>
          <w:color w:val="000000"/>
        </w:rPr>
        <w:t>,</w:t>
      </w:r>
      <w:r>
        <w:rPr>
          <w:color w:val="000000"/>
          <w:spacing w:val="4"/>
        </w:rPr>
        <w:t xml:space="preserve"> </w:t>
      </w:r>
      <w:r>
        <w:rPr>
          <w:color w:val="000000"/>
          <w:spacing w:val="6"/>
        </w:rPr>
        <w:t>I</w:t>
      </w:r>
      <w:r>
        <w:rPr>
          <w:color w:val="000000"/>
          <w:spacing w:val="-5"/>
        </w:rPr>
        <w:t>n</w:t>
      </w:r>
      <w:r>
        <w:rPr>
          <w:color w:val="000000"/>
          <w:spacing w:val="5"/>
        </w:rPr>
        <w:t>d</w:t>
      </w:r>
      <w:r>
        <w:rPr>
          <w:color w:val="000000"/>
          <w:spacing w:val="-4"/>
        </w:rPr>
        <w:t>ij</w:t>
      </w:r>
      <w:r>
        <w:rPr>
          <w:color w:val="000000"/>
          <w:spacing w:val="-1"/>
        </w:rPr>
        <w:t>a</w:t>
      </w:r>
      <w:r>
        <w:rPr>
          <w:color w:val="000000"/>
          <w:spacing w:val="1"/>
        </w:rPr>
        <w:t>)</w:t>
      </w:r>
      <w:r>
        <w:rPr>
          <w:color w:val="000000"/>
        </w:rPr>
        <w:t xml:space="preserve">. </w:t>
      </w:r>
      <w:r>
        <w:rPr>
          <w:color w:val="000000"/>
          <w:spacing w:val="2"/>
        </w:rPr>
        <w:t>M</w:t>
      </w:r>
      <w:r>
        <w:rPr>
          <w:color w:val="000000"/>
          <w:spacing w:val="-4"/>
        </w:rPr>
        <w:t>i</w:t>
      </w:r>
      <w:r>
        <w:rPr>
          <w:color w:val="000000"/>
        </w:rPr>
        <w:t>n</w:t>
      </w:r>
      <w:r>
        <w:rPr>
          <w:color w:val="000000"/>
          <w:spacing w:val="-1"/>
        </w:rPr>
        <w:t>ė</w:t>
      </w:r>
      <w:r>
        <w:rPr>
          <w:color w:val="000000"/>
        </w:rPr>
        <w:t>t</w:t>
      </w:r>
      <w:r>
        <w:rPr>
          <w:color w:val="000000"/>
          <w:spacing w:val="5"/>
        </w:rPr>
        <w:t>o</w:t>
      </w:r>
      <w:r>
        <w:rPr>
          <w:color w:val="000000"/>
        </w:rPr>
        <w:t xml:space="preserve">s </w:t>
      </w:r>
      <w:r>
        <w:rPr>
          <w:color w:val="000000"/>
          <w:spacing w:val="-9"/>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 g</w:t>
      </w:r>
      <w:r>
        <w:rPr>
          <w:color w:val="000000"/>
          <w:spacing w:val="-1"/>
        </w:rPr>
        <w:t>a</w:t>
      </w:r>
      <w:r>
        <w:rPr>
          <w:color w:val="000000"/>
          <w:spacing w:val="-5"/>
        </w:rPr>
        <w:t>b</w:t>
      </w:r>
      <w:r>
        <w:rPr>
          <w:color w:val="000000"/>
          <w:spacing w:val="4"/>
        </w:rPr>
        <w:t>e</w:t>
      </w:r>
      <w:r>
        <w:rPr>
          <w:color w:val="000000"/>
          <w:spacing w:val="-5"/>
        </w:rPr>
        <w:t>n</w:t>
      </w:r>
      <w:r>
        <w:rPr>
          <w:color w:val="000000"/>
          <w:spacing w:val="4"/>
        </w:rPr>
        <w:t>a</w:t>
      </w:r>
      <w:r>
        <w:rPr>
          <w:color w:val="000000"/>
          <w:spacing w:val="-9"/>
        </w:rPr>
        <w:t>m</w:t>
      </w:r>
      <w:r>
        <w:rPr>
          <w:color w:val="000000"/>
          <w:spacing w:val="9"/>
        </w:rPr>
        <w:t>o</w:t>
      </w:r>
      <w:r>
        <w:rPr>
          <w:color w:val="000000"/>
        </w:rPr>
        <w:t>m</w:t>
      </w:r>
      <w:r>
        <w:rPr>
          <w:color w:val="000000"/>
          <w:spacing w:val="-4"/>
        </w:rPr>
        <w:t>i</w:t>
      </w:r>
      <w:r>
        <w:rPr>
          <w:color w:val="000000"/>
        </w:rPr>
        <w:t xml:space="preserve">s </w:t>
      </w:r>
      <w:r>
        <w:rPr>
          <w:color w:val="000000"/>
          <w:spacing w:val="2"/>
        </w:rPr>
        <w:t>s</w:t>
      </w:r>
      <w:r>
        <w:rPr>
          <w:color w:val="000000"/>
          <w:spacing w:val="-4"/>
        </w:rPr>
        <w:t>i</w:t>
      </w:r>
      <w:r>
        <w:rPr>
          <w:color w:val="000000"/>
          <w:spacing w:val="5"/>
        </w:rPr>
        <w:t>u</w:t>
      </w:r>
      <w:r>
        <w:rPr>
          <w:color w:val="000000"/>
          <w:spacing w:val="-5"/>
        </w:rPr>
        <w:t>n</w:t>
      </w:r>
      <w:r>
        <w:rPr>
          <w:color w:val="000000"/>
          <w:spacing w:val="5"/>
        </w:rPr>
        <w:t>to</w:t>
      </w:r>
      <w:r>
        <w:rPr>
          <w:color w:val="000000"/>
          <w:spacing w:val="-4"/>
        </w:rPr>
        <w:t>mi</w:t>
      </w:r>
      <w:r>
        <w:rPr>
          <w:color w:val="000000"/>
        </w:rPr>
        <w:t xml:space="preserve">s </w:t>
      </w:r>
      <w:r>
        <w:rPr>
          <w:color w:val="000000"/>
          <w:spacing w:val="5"/>
        </w:rPr>
        <w:t>o</w:t>
      </w:r>
      <w:r>
        <w:rPr>
          <w:color w:val="000000"/>
          <w:spacing w:val="-3"/>
        </w:rPr>
        <w:t>r</w:t>
      </w:r>
      <w:r>
        <w:rPr>
          <w:color w:val="000000"/>
        </w:rPr>
        <w:t>o</w:t>
      </w:r>
      <w:r>
        <w:rPr>
          <w:color w:val="000000"/>
          <w:spacing w:val="2"/>
        </w:rPr>
        <w:t xml:space="preserve"> </w:t>
      </w:r>
      <w:r>
        <w:rPr>
          <w:color w:val="000000"/>
        </w:rPr>
        <w:t>t</w:t>
      </w:r>
      <w:r>
        <w:rPr>
          <w:color w:val="000000"/>
          <w:spacing w:val="-3"/>
        </w:rPr>
        <w:t>r</w:t>
      </w:r>
      <w:r>
        <w:rPr>
          <w:color w:val="000000"/>
          <w:spacing w:val="-1"/>
        </w:rPr>
        <w:t>a</w:t>
      </w:r>
      <w:r>
        <w:rPr>
          <w:color w:val="000000"/>
        </w:rPr>
        <w:t>n</w:t>
      </w:r>
      <w:r>
        <w:rPr>
          <w:color w:val="000000"/>
          <w:spacing w:val="-2"/>
        </w:rPr>
        <w:t>s</w:t>
      </w:r>
      <w:r>
        <w:rPr>
          <w:color w:val="000000"/>
        </w:rPr>
        <w:t>p</w:t>
      </w:r>
      <w:r>
        <w:rPr>
          <w:color w:val="000000"/>
          <w:spacing w:val="5"/>
        </w:rPr>
        <w:t>o</w:t>
      </w:r>
      <w:r>
        <w:rPr>
          <w:color w:val="000000"/>
          <w:spacing w:val="-3"/>
        </w:rPr>
        <w:t>r</w:t>
      </w:r>
      <w:r>
        <w:rPr>
          <w:color w:val="000000"/>
          <w:spacing w:val="5"/>
        </w:rPr>
        <w:t>t</w:t>
      </w:r>
      <w:r>
        <w:rPr>
          <w:color w:val="000000"/>
          <w:spacing w:val="2"/>
        </w:rPr>
        <w:t>u</w:t>
      </w:r>
      <w:r>
        <w:rPr>
          <w:color w:val="000000"/>
          <w:spacing w:val="2"/>
          <w:position w:val="11"/>
          <w:sz w:val="16"/>
          <w:szCs w:val="16"/>
        </w:rPr>
        <w:t>4</w:t>
      </w:r>
      <w:r>
        <w:rPr>
          <w:color w:val="000000"/>
        </w:rPr>
        <w:t>.</w:t>
      </w:r>
    </w:p>
    <w:p w:rsidR="004F7425" w:rsidRDefault="004F7425" w:rsidP="004F7425">
      <w:pPr>
        <w:widowControl w:val="0"/>
        <w:autoSpaceDE w:val="0"/>
        <w:autoSpaceDN w:val="0"/>
        <w:adjustRightInd w:val="0"/>
        <w:spacing w:before="39" w:line="265" w:lineRule="auto"/>
        <w:ind w:left="120" w:right="65" w:firstLine="711"/>
        <w:jc w:val="both"/>
        <w:rPr>
          <w:color w:val="000000"/>
        </w:rPr>
      </w:pPr>
      <w:r>
        <w:rPr>
          <w:color w:val="000000"/>
          <w:spacing w:val="-2"/>
        </w:rPr>
        <w:t>M</w:t>
      </w:r>
      <w:r>
        <w:rPr>
          <w:color w:val="000000"/>
          <w:spacing w:val="5"/>
        </w:rPr>
        <w:t>u</w:t>
      </w:r>
      <w:r>
        <w:rPr>
          <w:color w:val="000000"/>
          <w:spacing w:val="-9"/>
        </w:rPr>
        <w:t>i</w:t>
      </w:r>
      <w:r>
        <w:rPr>
          <w:color w:val="000000"/>
          <w:spacing w:val="10"/>
        </w:rPr>
        <w:t>t</w:t>
      </w:r>
      <w:r>
        <w:rPr>
          <w:color w:val="000000"/>
          <w:spacing w:val="-4"/>
        </w:rPr>
        <w:t>i</w:t>
      </w:r>
      <w:r>
        <w:rPr>
          <w:color w:val="000000"/>
          <w:spacing w:val="-5"/>
        </w:rPr>
        <w:t>n</w:t>
      </w:r>
      <w:r>
        <w:rPr>
          <w:color w:val="000000"/>
          <w:spacing w:val="4"/>
        </w:rPr>
        <w:t>ė</w:t>
      </w:r>
      <w:r>
        <w:rPr>
          <w:color w:val="000000"/>
        </w:rPr>
        <w:t>s k</w:t>
      </w:r>
      <w:r>
        <w:rPr>
          <w:color w:val="000000"/>
          <w:spacing w:val="6"/>
        </w:rPr>
        <w:t>r</w:t>
      </w:r>
      <w:r>
        <w:rPr>
          <w:color w:val="000000"/>
          <w:spacing w:val="-4"/>
        </w:rPr>
        <w:t>i</w:t>
      </w:r>
      <w:r>
        <w:rPr>
          <w:color w:val="000000"/>
        </w:rPr>
        <w:t>m</w:t>
      </w:r>
      <w:r>
        <w:rPr>
          <w:color w:val="000000"/>
          <w:spacing w:val="-4"/>
        </w:rPr>
        <w:t>i</w:t>
      </w:r>
      <w:r>
        <w:rPr>
          <w:color w:val="000000"/>
        </w:rPr>
        <w:t>n</w:t>
      </w:r>
      <w:r>
        <w:rPr>
          <w:color w:val="000000"/>
          <w:spacing w:val="4"/>
        </w:rPr>
        <w:t>a</w:t>
      </w:r>
      <w:r>
        <w:rPr>
          <w:color w:val="000000"/>
        </w:rPr>
        <w:t>l</w:t>
      </w:r>
      <w:r>
        <w:rPr>
          <w:color w:val="000000"/>
          <w:spacing w:val="-4"/>
        </w:rPr>
        <w:t>i</w:t>
      </w:r>
      <w:r>
        <w:rPr>
          <w:color w:val="000000"/>
          <w:spacing w:val="2"/>
        </w:rPr>
        <w:t>n</w:t>
      </w:r>
      <w:r>
        <w:rPr>
          <w:color w:val="000000"/>
        </w:rPr>
        <w:t>ė</w:t>
      </w:r>
      <w:r>
        <w:rPr>
          <w:color w:val="000000"/>
          <w:spacing w:val="1"/>
        </w:rPr>
        <w:t xml:space="preserve"> </w:t>
      </w:r>
      <w:r>
        <w:rPr>
          <w:color w:val="000000"/>
          <w:spacing w:val="5"/>
        </w:rPr>
        <w:t>t</w:t>
      </w:r>
      <w:r>
        <w:rPr>
          <w:color w:val="000000"/>
          <w:spacing w:val="-1"/>
        </w:rPr>
        <w:t>a</w:t>
      </w:r>
      <w:r>
        <w:rPr>
          <w:color w:val="000000"/>
          <w:spacing w:val="1"/>
        </w:rPr>
        <w:t>r</w:t>
      </w:r>
      <w:r>
        <w:rPr>
          <w:color w:val="000000"/>
        </w:rPr>
        <w:t>n</w:t>
      </w:r>
      <w:r>
        <w:rPr>
          <w:color w:val="000000"/>
          <w:spacing w:val="-5"/>
        </w:rPr>
        <w:t>y</w:t>
      </w:r>
      <w:r>
        <w:rPr>
          <w:color w:val="000000"/>
        </w:rPr>
        <w:t>ba</w:t>
      </w:r>
      <w:r>
        <w:rPr>
          <w:color w:val="000000"/>
          <w:spacing w:val="1"/>
        </w:rPr>
        <w:t xml:space="preserve"> </w:t>
      </w:r>
      <w:r>
        <w:rPr>
          <w:color w:val="000000"/>
        </w:rPr>
        <w:t>p</w:t>
      </w:r>
      <w:r>
        <w:rPr>
          <w:color w:val="000000"/>
          <w:spacing w:val="-1"/>
        </w:rPr>
        <w:t>a</w:t>
      </w:r>
      <w:r>
        <w:rPr>
          <w:color w:val="000000"/>
          <w:spacing w:val="5"/>
        </w:rPr>
        <w:t>t</w:t>
      </w:r>
      <w:r>
        <w:rPr>
          <w:color w:val="000000"/>
          <w:spacing w:val="4"/>
        </w:rPr>
        <w:t>e</w:t>
      </w:r>
      <w:r>
        <w:rPr>
          <w:color w:val="000000"/>
          <w:spacing w:val="-9"/>
        </w:rPr>
        <w:t>i</w:t>
      </w:r>
      <w:r>
        <w:rPr>
          <w:color w:val="000000"/>
          <w:spacing w:val="5"/>
        </w:rPr>
        <w:t>k</w:t>
      </w:r>
      <w:r>
        <w:rPr>
          <w:color w:val="000000"/>
          <w:spacing w:val="-4"/>
        </w:rPr>
        <w:t>i</w:t>
      </w:r>
      <w:r>
        <w:rPr>
          <w:color w:val="000000"/>
        </w:rPr>
        <w:t>a</w:t>
      </w:r>
      <w:r>
        <w:rPr>
          <w:color w:val="000000"/>
          <w:spacing w:val="1"/>
        </w:rPr>
        <w:t xml:space="preserve"> </w:t>
      </w:r>
      <w:r>
        <w:rPr>
          <w:color w:val="000000"/>
        </w:rPr>
        <w:t>du</w:t>
      </w:r>
      <w:r>
        <w:rPr>
          <w:color w:val="000000"/>
          <w:spacing w:val="9"/>
        </w:rPr>
        <w:t>o</w:t>
      </w:r>
      <w:r>
        <w:rPr>
          <w:color w:val="000000"/>
          <w:spacing w:val="-4"/>
        </w:rPr>
        <w:t>m</w:t>
      </w:r>
      <w:r>
        <w:rPr>
          <w:color w:val="000000"/>
          <w:spacing w:val="4"/>
        </w:rPr>
        <w:t>e</w:t>
      </w:r>
      <w:r>
        <w:rPr>
          <w:color w:val="000000"/>
        </w:rPr>
        <w:t>n</w:t>
      </w:r>
      <w:r>
        <w:rPr>
          <w:color w:val="000000"/>
          <w:spacing w:val="-4"/>
        </w:rPr>
        <w:t>i</w:t>
      </w:r>
      <w:r>
        <w:rPr>
          <w:color w:val="000000"/>
          <w:spacing w:val="-2"/>
        </w:rPr>
        <w:t>s</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2"/>
        </w:rPr>
        <w:t xml:space="preserve"> </w:t>
      </w:r>
      <w:r>
        <w:rPr>
          <w:color w:val="000000"/>
          <w:spacing w:val="5"/>
        </w:rPr>
        <w:t>k</w:t>
      </w:r>
      <w:r>
        <w:rPr>
          <w:color w:val="000000"/>
          <w:spacing w:val="-9"/>
        </w:rPr>
        <w:t>i</w:t>
      </w:r>
      <w:r>
        <w:rPr>
          <w:color w:val="000000"/>
          <w:spacing w:val="-1"/>
        </w:rPr>
        <w:t>e</w:t>
      </w:r>
      <w:r>
        <w:rPr>
          <w:color w:val="000000"/>
          <w:spacing w:val="5"/>
        </w:rPr>
        <w:t>k</w:t>
      </w:r>
      <w:r>
        <w:rPr>
          <w:color w:val="000000"/>
        </w:rPr>
        <w:t>v</w:t>
      </w:r>
      <w:r>
        <w:rPr>
          <w:color w:val="000000"/>
          <w:spacing w:val="-4"/>
        </w:rPr>
        <w:t>i</w:t>
      </w:r>
      <w:r>
        <w:rPr>
          <w:color w:val="000000"/>
          <w:spacing w:val="4"/>
        </w:rPr>
        <w:t>e</w:t>
      </w:r>
      <w:r>
        <w:rPr>
          <w:color w:val="000000"/>
        </w:rPr>
        <w:t>n</w:t>
      </w:r>
      <w:r>
        <w:rPr>
          <w:color w:val="000000"/>
          <w:spacing w:val="4"/>
        </w:rPr>
        <w:t>a</w:t>
      </w:r>
      <w:r>
        <w:rPr>
          <w:color w:val="000000"/>
          <w:spacing w:val="-4"/>
        </w:rPr>
        <w:t>i</w:t>
      </w:r>
      <w:r>
        <w:rPr>
          <w:color w:val="000000"/>
        </w:rPr>
        <w:t>s</w:t>
      </w:r>
      <w:r>
        <w:rPr>
          <w:color w:val="000000"/>
          <w:spacing w:val="5"/>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rPr>
        <w:t xml:space="preserve">s </w:t>
      </w:r>
      <w:r>
        <w:rPr>
          <w:color w:val="000000"/>
          <w:spacing w:val="5"/>
        </w:rPr>
        <w:t>d</w:t>
      </w:r>
      <w:r>
        <w:rPr>
          <w:color w:val="000000"/>
          <w:spacing w:val="-1"/>
        </w:rPr>
        <w:t>a</w:t>
      </w:r>
      <w:r>
        <w:rPr>
          <w:color w:val="000000"/>
        </w:rPr>
        <w:t>ug</w:t>
      </w:r>
      <w:r>
        <w:rPr>
          <w:color w:val="000000"/>
          <w:spacing w:val="4"/>
        </w:rPr>
        <w:t>ė</w:t>
      </w:r>
      <w:r>
        <w:rPr>
          <w:color w:val="000000"/>
          <w:spacing w:val="-4"/>
        </w:rPr>
        <w:t>j</w:t>
      </w:r>
      <w:r>
        <w:rPr>
          <w:color w:val="000000"/>
        </w:rPr>
        <w:t>a</w:t>
      </w:r>
      <w:r>
        <w:rPr>
          <w:color w:val="000000"/>
          <w:spacing w:val="1"/>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 ku</w:t>
      </w:r>
      <w:r>
        <w:rPr>
          <w:color w:val="000000"/>
          <w:spacing w:val="5"/>
        </w:rPr>
        <w:t>o</w:t>
      </w:r>
      <w:r>
        <w:rPr>
          <w:color w:val="000000"/>
          <w:spacing w:val="-9"/>
        </w:rPr>
        <w:t>m</w:t>
      </w:r>
      <w:r>
        <w:rPr>
          <w:color w:val="000000"/>
          <w:spacing w:val="-1"/>
        </w:rPr>
        <w:t>e</w:t>
      </w:r>
      <w:r>
        <w:rPr>
          <w:color w:val="000000"/>
        </w:rPr>
        <w:t>t</w:t>
      </w:r>
      <w:r>
        <w:rPr>
          <w:color w:val="000000"/>
          <w:spacing w:val="7"/>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spacing w:val="-5"/>
        </w:rPr>
        <w:t>n</w:t>
      </w:r>
      <w:r>
        <w:rPr>
          <w:color w:val="000000"/>
          <w:spacing w:val="4"/>
        </w:rPr>
        <w:t>ė</w:t>
      </w:r>
      <w:r>
        <w:rPr>
          <w:color w:val="000000"/>
        </w:rPr>
        <w:t>s</w:t>
      </w:r>
      <w:r>
        <w:rPr>
          <w:color w:val="000000"/>
          <w:spacing w:val="5"/>
        </w:rPr>
        <w:t xml:space="preserve"> </w:t>
      </w:r>
      <w:r>
        <w:rPr>
          <w:color w:val="000000"/>
          <w:spacing w:val="-9"/>
        </w:rPr>
        <w:t>i</w:t>
      </w:r>
      <w:r>
        <w:rPr>
          <w:color w:val="000000"/>
        </w:rPr>
        <w:t>r</w:t>
      </w:r>
      <w:r>
        <w:rPr>
          <w:color w:val="000000"/>
          <w:spacing w:val="3"/>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rPr>
        <w:t>t</w:t>
      </w:r>
      <w:r>
        <w:rPr>
          <w:color w:val="000000"/>
          <w:spacing w:val="-3"/>
        </w:rPr>
        <w:t>r</w:t>
      </w:r>
      <w:r>
        <w:rPr>
          <w:color w:val="000000"/>
          <w:spacing w:val="5"/>
        </w:rPr>
        <w:t>o</w:t>
      </w:r>
      <w:r>
        <w:rPr>
          <w:color w:val="000000"/>
        </w:rPr>
        <w:t>p</w:t>
      </w:r>
      <w:r>
        <w:rPr>
          <w:color w:val="000000"/>
          <w:spacing w:val="-4"/>
        </w:rPr>
        <w:t>i</w:t>
      </w:r>
      <w:r>
        <w:rPr>
          <w:color w:val="000000"/>
          <w:spacing w:val="-5"/>
        </w:rPr>
        <w:t>n</w:t>
      </w:r>
      <w:r>
        <w:rPr>
          <w:color w:val="000000"/>
          <w:spacing w:val="4"/>
        </w:rPr>
        <w:t>ė</w:t>
      </w:r>
      <w:r>
        <w:rPr>
          <w:color w:val="000000"/>
        </w:rPr>
        <w:t>s</w:t>
      </w:r>
      <w:r>
        <w:rPr>
          <w:color w:val="000000"/>
          <w:spacing w:val="5"/>
        </w:rPr>
        <w:t xml:space="preserve"> </w:t>
      </w:r>
      <w:r>
        <w:rPr>
          <w:color w:val="000000"/>
          <w:spacing w:val="-9"/>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 xml:space="preserve">s </w:t>
      </w:r>
      <w:r>
        <w:rPr>
          <w:color w:val="000000"/>
          <w:spacing w:val="2"/>
        </w:rPr>
        <w:t>s</w:t>
      </w:r>
      <w:r>
        <w:rPr>
          <w:color w:val="000000"/>
          <w:spacing w:val="-9"/>
        </w:rPr>
        <w:t>i</w:t>
      </w:r>
      <w:r>
        <w:rPr>
          <w:color w:val="000000"/>
          <w:spacing w:val="5"/>
        </w:rPr>
        <w:t>u</w:t>
      </w:r>
      <w:r>
        <w:rPr>
          <w:color w:val="000000"/>
          <w:spacing w:val="-5"/>
        </w:rPr>
        <w:t>n</w:t>
      </w:r>
      <w:r>
        <w:rPr>
          <w:color w:val="000000"/>
          <w:spacing w:val="4"/>
        </w:rPr>
        <w:t>č</w:t>
      </w:r>
      <w:r>
        <w:rPr>
          <w:color w:val="000000"/>
          <w:spacing w:val="-4"/>
        </w:rPr>
        <w:t>i</w:t>
      </w:r>
      <w:r>
        <w:rPr>
          <w:color w:val="000000"/>
          <w:spacing w:val="4"/>
        </w:rPr>
        <w:t>a</w:t>
      </w:r>
      <w:r>
        <w:rPr>
          <w:color w:val="000000"/>
          <w:spacing w:val="-9"/>
        </w:rPr>
        <w:t>m</w:t>
      </w:r>
      <w:r>
        <w:rPr>
          <w:color w:val="000000"/>
          <w:spacing w:val="9"/>
        </w:rPr>
        <w:t>o</w:t>
      </w:r>
      <w:r>
        <w:rPr>
          <w:color w:val="000000"/>
        </w:rPr>
        <w:t>s p</w:t>
      </w:r>
      <w:r>
        <w:rPr>
          <w:color w:val="000000"/>
          <w:spacing w:val="-1"/>
        </w:rPr>
        <w:t>a</w:t>
      </w:r>
      <w:r>
        <w:rPr>
          <w:color w:val="000000"/>
          <w:spacing w:val="-2"/>
        </w:rPr>
        <w:t>š</w:t>
      </w:r>
      <w:r>
        <w:rPr>
          <w:color w:val="000000"/>
          <w:spacing w:val="5"/>
        </w:rPr>
        <w:t>t</w:t>
      </w:r>
      <w:r>
        <w:rPr>
          <w:color w:val="000000"/>
        </w:rPr>
        <w:t>u</w:t>
      </w:r>
      <w:r>
        <w:rPr>
          <w:color w:val="000000"/>
          <w:spacing w:val="2"/>
        </w:rPr>
        <w:t xml:space="preserve"> </w:t>
      </w:r>
      <w:r>
        <w:rPr>
          <w:color w:val="000000"/>
          <w:spacing w:val="-1"/>
        </w:rPr>
        <w:t>a</w:t>
      </w:r>
      <w:r>
        <w:rPr>
          <w:color w:val="000000"/>
          <w:spacing w:val="1"/>
        </w:rPr>
        <w:t>r</w:t>
      </w:r>
      <w:r>
        <w:rPr>
          <w:color w:val="000000"/>
          <w:spacing w:val="-5"/>
        </w:rPr>
        <w:t>b</w:t>
      </w:r>
      <w:r>
        <w:rPr>
          <w:color w:val="000000"/>
        </w:rPr>
        <w:t>a</w:t>
      </w:r>
      <w:r>
        <w:rPr>
          <w:color w:val="000000"/>
          <w:spacing w:val="1"/>
        </w:rPr>
        <w:t xml:space="preserve"> </w:t>
      </w:r>
      <w:r>
        <w:rPr>
          <w:color w:val="000000"/>
        </w:rPr>
        <w:t>ku</w:t>
      </w:r>
      <w:r>
        <w:rPr>
          <w:color w:val="000000"/>
          <w:spacing w:val="1"/>
        </w:rPr>
        <w:t>r</w:t>
      </w:r>
      <w:r>
        <w:rPr>
          <w:color w:val="000000"/>
          <w:spacing w:val="-9"/>
        </w:rPr>
        <w:t>j</w:t>
      </w:r>
      <w:r>
        <w:rPr>
          <w:color w:val="000000"/>
          <w:spacing w:val="-1"/>
        </w:rPr>
        <w:t>e</w:t>
      </w:r>
      <w:r>
        <w:rPr>
          <w:color w:val="000000"/>
          <w:spacing w:val="6"/>
        </w:rPr>
        <w:t>r</w:t>
      </w:r>
      <w:r>
        <w:rPr>
          <w:color w:val="000000"/>
          <w:spacing w:val="-4"/>
        </w:rPr>
        <w:t>i</w:t>
      </w:r>
      <w:r>
        <w:rPr>
          <w:color w:val="000000"/>
        </w:rPr>
        <w:t>ų</w:t>
      </w:r>
      <w:r>
        <w:rPr>
          <w:color w:val="000000"/>
          <w:spacing w:val="2"/>
        </w:rPr>
        <w:t xml:space="preserve"> </w:t>
      </w:r>
      <w:r>
        <w:rPr>
          <w:color w:val="000000"/>
          <w:spacing w:val="5"/>
        </w:rPr>
        <w:t>t</w:t>
      </w:r>
      <w:r>
        <w:rPr>
          <w:color w:val="000000"/>
          <w:spacing w:val="-1"/>
        </w:rPr>
        <w:t>a</w:t>
      </w:r>
      <w:r>
        <w:rPr>
          <w:color w:val="000000"/>
          <w:spacing w:val="1"/>
        </w:rPr>
        <w:t>r</w:t>
      </w:r>
      <w:r>
        <w:rPr>
          <w:color w:val="000000"/>
        </w:rPr>
        <w:t>n</w:t>
      </w:r>
      <w:r>
        <w:rPr>
          <w:color w:val="000000"/>
          <w:spacing w:val="-5"/>
        </w:rPr>
        <w:t>yb</w:t>
      </w:r>
      <w:r>
        <w:rPr>
          <w:color w:val="000000"/>
          <w:spacing w:val="9"/>
        </w:rPr>
        <w:t>o</w:t>
      </w:r>
      <w:r>
        <w:rPr>
          <w:color w:val="000000"/>
          <w:spacing w:val="-4"/>
        </w:rPr>
        <w:t>mi</w:t>
      </w:r>
      <w:r>
        <w:rPr>
          <w:color w:val="000000"/>
          <w:spacing w:val="-2"/>
        </w:rPr>
        <w:t>s</w:t>
      </w:r>
      <w:r>
        <w:rPr>
          <w:color w:val="000000"/>
        </w:rPr>
        <w:t>:</w:t>
      </w:r>
      <w:r>
        <w:rPr>
          <w:color w:val="000000"/>
          <w:spacing w:val="2"/>
        </w:rPr>
        <w:t xml:space="preserve"> </w:t>
      </w:r>
      <w:r>
        <w:rPr>
          <w:color w:val="000000"/>
        </w:rPr>
        <w:t>2012</w:t>
      </w:r>
      <w:r>
        <w:rPr>
          <w:color w:val="000000"/>
          <w:spacing w:val="7"/>
        </w:rPr>
        <w:t xml:space="preserve"> </w:t>
      </w:r>
      <w:r>
        <w:rPr>
          <w:color w:val="000000"/>
          <w:spacing w:val="-9"/>
        </w:rPr>
        <w:t>m</w:t>
      </w:r>
      <w:r>
        <w:rPr>
          <w:color w:val="000000"/>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spacing w:val="-10"/>
        </w:rPr>
        <w:t>y</w:t>
      </w:r>
      <w:r>
        <w:rPr>
          <w:color w:val="000000"/>
          <w:spacing w:val="5"/>
        </w:rPr>
        <w:t>t</w:t>
      </w:r>
      <w:r>
        <w:rPr>
          <w:color w:val="000000"/>
        </w:rPr>
        <w:t>a</w:t>
      </w:r>
      <w:r>
        <w:rPr>
          <w:color w:val="000000"/>
          <w:spacing w:val="4"/>
        </w:rPr>
        <w:t xml:space="preserve"> </w:t>
      </w:r>
      <w:r>
        <w:rPr>
          <w:color w:val="000000"/>
        </w:rPr>
        <w:t>85</w:t>
      </w:r>
      <w:r>
        <w:rPr>
          <w:color w:val="000000"/>
          <w:spacing w:val="5"/>
        </w:rPr>
        <w:t xml:space="preserve"> p</w:t>
      </w:r>
      <w:r>
        <w:rPr>
          <w:color w:val="000000"/>
          <w:spacing w:val="-1"/>
        </w:rPr>
        <w:t>a</w:t>
      </w:r>
      <w:r>
        <w:rPr>
          <w:color w:val="000000"/>
          <w:spacing w:val="-2"/>
        </w:rPr>
        <w:t>š</w:t>
      </w:r>
      <w:r>
        <w:rPr>
          <w:color w:val="000000"/>
          <w:spacing w:val="5"/>
        </w:rPr>
        <w:t>t</w:t>
      </w:r>
      <w:r>
        <w:rPr>
          <w:color w:val="000000"/>
        </w:rPr>
        <w:t>o</w:t>
      </w:r>
      <w:r>
        <w:rPr>
          <w:color w:val="000000"/>
          <w:spacing w:val="10"/>
        </w:rPr>
        <w:t xml:space="preserve"> </w:t>
      </w:r>
      <w:r>
        <w:rPr>
          <w:color w:val="000000"/>
          <w:spacing w:val="-2"/>
        </w:rPr>
        <w:t>s</w:t>
      </w:r>
      <w:r>
        <w:rPr>
          <w:color w:val="000000"/>
          <w:spacing w:val="-9"/>
        </w:rPr>
        <w:t>i</w:t>
      </w:r>
      <w:r>
        <w:rPr>
          <w:color w:val="000000"/>
          <w:spacing w:val="5"/>
        </w:rPr>
        <w:t>u</w:t>
      </w:r>
      <w:r>
        <w:rPr>
          <w:color w:val="000000"/>
          <w:spacing w:val="-5"/>
        </w:rPr>
        <w:t>n</w:t>
      </w:r>
      <w:r>
        <w:rPr>
          <w:color w:val="000000"/>
          <w:spacing w:val="5"/>
        </w:rPr>
        <w:t>to</w:t>
      </w:r>
      <w:r>
        <w:rPr>
          <w:color w:val="000000"/>
        </w:rPr>
        <w:t>s</w:t>
      </w:r>
      <w:r>
        <w:rPr>
          <w:color w:val="000000"/>
          <w:spacing w:val="3"/>
        </w:rPr>
        <w:t xml:space="preserve"> </w:t>
      </w:r>
      <w:r>
        <w:rPr>
          <w:color w:val="000000"/>
          <w:spacing w:val="1"/>
        </w:rPr>
        <w:t>(</w:t>
      </w:r>
      <w:r>
        <w:rPr>
          <w:color w:val="000000"/>
        </w:rPr>
        <w:t>2011</w:t>
      </w:r>
      <w:r>
        <w:rPr>
          <w:color w:val="000000"/>
          <w:spacing w:val="10"/>
        </w:rPr>
        <w:t xml:space="preserve"> </w:t>
      </w:r>
      <w:r>
        <w:rPr>
          <w:color w:val="000000"/>
        </w:rPr>
        <w:t>-</w:t>
      </w:r>
      <w:r>
        <w:rPr>
          <w:color w:val="000000"/>
          <w:spacing w:val="7"/>
        </w:rPr>
        <w:t xml:space="preserve"> </w:t>
      </w:r>
      <w:r>
        <w:rPr>
          <w:color w:val="000000"/>
        </w:rPr>
        <w:t>5</w:t>
      </w:r>
      <w:r>
        <w:rPr>
          <w:color w:val="000000"/>
          <w:spacing w:val="-5"/>
        </w:rPr>
        <w:t>1</w:t>
      </w:r>
      <w:r>
        <w:rPr>
          <w:color w:val="000000"/>
        </w:rPr>
        <w:t>,</w:t>
      </w:r>
      <w:r>
        <w:rPr>
          <w:color w:val="000000"/>
          <w:spacing w:val="7"/>
        </w:rPr>
        <w:t xml:space="preserve"> </w:t>
      </w:r>
      <w:r>
        <w:rPr>
          <w:color w:val="000000"/>
        </w:rPr>
        <w:t>2010</w:t>
      </w:r>
      <w:r>
        <w:rPr>
          <w:color w:val="000000"/>
          <w:spacing w:val="6"/>
        </w:rPr>
        <w:t xml:space="preserve"> </w:t>
      </w:r>
      <w:r>
        <w:rPr>
          <w:color w:val="000000"/>
        </w:rPr>
        <w:t>– 30</w:t>
      </w:r>
      <w:r>
        <w:rPr>
          <w:color w:val="000000"/>
          <w:spacing w:val="1"/>
        </w:rPr>
        <w:t>)</w:t>
      </w:r>
      <w:r>
        <w:rPr>
          <w:color w:val="000000"/>
        </w:rPr>
        <w:t>.</w:t>
      </w:r>
      <w:r>
        <w:rPr>
          <w:color w:val="000000"/>
          <w:spacing w:val="7"/>
        </w:rPr>
        <w:t xml:space="preserve"> </w:t>
      </w:r>
      <w:r>
        <w:rPr>
          <w:color w:val="000000"/>
          <w:spacing w:val="1"/>
        </w:rPr>
        <w:t>P</w:t>
      </w:r>
      <w:r>
        <w:rPr>
          <w:color w:val="000000"/>
          <w:spacing w:val="-1"/>
        </w:rPr>
        <w:t>a</w:t>
      </w:r>
      <w:r>
        <w:rPr>
          <w:color w:val="000000"/>
        </w:rPr>
        <w:t>g</w:t>
      </w:r>
      <w:r>
        <w:rPr>
          <w:color w:val="000000"/>
          <w:spacing w:val="-1"/>
        </w:rPr>
        <w:t>a</w:t>
      </w:r>
      <w:r>
        <w:rPr>
          <w:color w:val="000000"/>
        </w:rPr>
        <w:t>l</w:t>
      </w:r>
      <w:r>
        <w:rPr>
          <w:color w:val="000000"/>
          <w:spacing w:val="1"/>
        </w:rPr>
        <w:t xml:space="preserve"> </w:t>
      </w:r>
      <w:r>
        <w:rPr>
          <w:color w:val="000000"/>
          <w:spacing w:val="2"/>
        </w:rPr>
        <w:t>š</w:t>
      </w:r>
      <w:r>
        <w:rPr>
          <w:color w:val="000000"/>
          <w:spacing w:val="-9"/>
        </w:rPr>
        <w:t>i</w:t>
      </w:r>
      <w:r>
        <w:rPr>
          <w:color w:val="000000"/>
        </w:rPr>
        <w:t>u</w:t>
      </w:r>
      <w:r>
        <w:rPr>
          <w:color w:val="000000"/>
          <w:spacing w:val="5"/>
        </w:rPr>
        <w:t>o</w:t>
      </w:r>
      <w:r>
        <w:rPr>
          <w:color w:val="000000"/>
        </w:rPr>
        <w:t>s</w:t>
      </w:r>
      <w:r>
        <w:rPr>
          <w:color w:val="000000"/>
          <w:spacing w:val="3"/>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spacing w:val="5"/>
        </w:rPr>
        <w:t>u</w:t>
      </w:r>
      <w:r>
        <w:rPr>
          <w:color w:val="000000"/>
        </w:rPr>
        <w:t>s</w:t>
      </w:r>
      <w:r>
        <w:rPr>
          <w:color w:val="000000"/>
          <w:spacing w:val="3"/>
        </w:rPr>
        <w:t xml:space="preserve"> </w:t>
      </w:r>
      <w:r>
        <w:rPr>
          <w:color w:val="000000"/>
        </w:rPr>
        <w:t>2012</w:t>
      </w:r>
      <w:r>
        <w:rPr>
          <w:color w:val="000000"/>
          <w:spacing w:val="10"/>
        </w:rPr>
        <w:t xml:space="preserve"> </w:t>
      </w:r>
      <w:r>
        <w:rPr>
          <w:color w:val="000000"/>
          <w:spacing w:val="-9"/>
        </w:rPr>
        <w:t>m</w:t>
      </w:r>
      <w:r>
        <w:rPr>
          <w:color w:val="000000"/>
        </w:rPr>
        <w:t>.</w:t>
      </w:r>
      <w:r>
        <w:rPr>
          <w:color w:val="000000"/>
          <w:spacing w:val="7"/>
        </w:rPr>
        <w:t xml:space="preserve"> </w:t>
      </w:r>
      <w:r>
        <w:rPr>
          <w:color w:val="000000"/>
          <w:spacing w:val="-2"/>
        </w:rPr>
        <w:t>M</w:t>
      </w:r>
      <w:r>
        <w:rPr>
          <w:color w:val="000000"/>
          <w:spacing w:val="5"/>
        </w:rPr>
        <w:t>u</w:t>
      </w:r>
      <w:r>
        <w:rPr>
          <w:color w:val="000000"/>
          <w:spacing w:val="-9"/>
        </w:rPr>
        <w:t>i</w:t>
      </w:r>
      <w:r>
        <w:rPr>
          <w:color w:val="000000"/>
          <w:spacing w:val="10"/>
        </w:rPr>
        <w:t>t</w:t>
      </w:r>
      <w:r>
        <w:rPr>
          <w:color w:val="000000"/>
          <w:spacing w:val="-4"/>
        </w:rPr>
        <w:t>i</w:t>
      </w:r>
      <w:r>
        <w:rPr>
          <w:color w:val="000000"/>
        </w:rPr>
        <w:t>n</w:t>
      </w:r>
      <w:r>
        <w:rPr>
          <w:color w:val="000000"/>
          <w:spacing w:val="4"/>
        </w:rPr>
        <w:t>ė</w:t>
      </w:r>
      <w:r>
        <w:rPr>
          <w:color w:val="000000"/>
        </w:rPr>
        <w:t>s k</w:t>
      </w:r>
      <w:r>
        <w:rPr>
          <w:color w:val="000000"/>
          <w:spacing w:val="6"/>
        </w:rPr>
        <w:t>r</w:t>
      </w:r>
      <w:r>
        <w:rPr>
          <w:color w:val="000000"/>
          <w:spacing w:val="-4"/>
        </w:rPr>
        <w:t>imi</w:t>
      </w:r>
      <w:r>
        <w:rPr>
          <w:color w:val="000000"/>
        </w:rPr>
        <w:t>n</w:t>
      </w:r>
      <w:r>
        <w:rPr>
          <w:color w:val="000000"/>
          <w:spacing w:val="4"/>
        </w:rPr>
        <w:t>a</w:t>
      </w:r>
      <w:r>
        <w:rPr>
          <w:color w:val="000000"/>
        </w:rPr>
        <w:t>l</w:t>
      </w:r>
      <w:r>
        <w:rPr>
          <w:color w:val="000000"/>
          <w:spacing w:val="-4"/>
        </w:rPr>
        <w:t>i</w:t>
      </w:r>
      <w:r>
        <w:rPr>
          <w:color w:val="000000"/>
        </w:rPr>
        <w:t>n</w:t>
      </w:r>
      <w:r>
        <w:rPr>
          <w:color w:val="000000"/>
          <w:spacing w:val="4"/>
        </w:rPr>
        <w:t>ė</w:t>
      </w:r>
      <w:r>
        <w:rPr>
          <w:color w:val="000000"/>
          <w:spacing w:val="-4"/>
        </w:rPr>
        <w:t>j</w:t>
      </w:r>
      <w:r>
        <w:rPr>
          <w:color w:val="000000"/>
        </w:rPr>
        <w:t>e</w:t>
      </w:r>
      <w:r>
        <w:rPr>
          <w:color w:val="000000"/>
          <w:spacing w:val="1"/>
        </w:rPr>
        <w:t xml:space="preserve"> </w:t>
      </w:r>
      <w:r>
        <w:rPr>
          <w:color w:val="000000"/>
          <w:spacing w:val="5"/>
        </w:rPr>
        <w:t>t</w:t>
      </w:r>
      <w:r>
        <w:rPr>
          <w:color w:val="000000"/>
          <w:spacing w:val="-1"/>
        </w:rPr>
        <w:t>a</w:t>
      </w:r>
      <w:r>
        <w:rPr>
          <w:color w:val="000000"/>
          <w:spacing w:val="1"/>
        </w:rPr>
        <w:t>r</w:t>
      </w:r>
      <w:r>
        <w:rPr>
          <w:color w:val="000000"/>
        </w:rPr>
        <w:t>n</w:t>
      </w:r>
      <w:r>
        <w:rPr>
          <w:color w:val="000000"/>
          <w:spacing w:val="-5"/>
        </w:rPr>
        <w:t>yb</w:t>
      </w:r>
      <w:r>
        <w:rPr>
          <w:color w:val="000000"/>
          <w:spacing w:val="9"/>
        </w:rPr>
        <w:t>o</w:t>
      </w:r>
      <w:r>
        <w:rPr>
          <w:color w:val="000000"/>
          <w:spacing w:val="-4"/>
        </w:rPr>
        <w:t>j</w:t>
      </w:r>
      <w:r>
        <w:rPr>
          <w:color w:val="000000"/>
        </w:rPr>
        <w:t>e</w:t>
      </w:r>
      <w:r>
        <w:rPr>
          <w:color w:val="000000"/>
          <w:spacing w:val="1"/>
        </w:rPr>
        <w:t xml:space="preserve"> </w:t>
      </w:r>
      <w:r>
        <w:rPr>
          <w:color w:val="000000"/>
        </w:rPr>
        <w:t>p</w:t>
      </w:r>
      <w:r>
        <w:rPr>
          <w:color w:val="000000"/>
          <w:spacing w:val="1"/>
        </w:rPr>
        <w:t>r</w:t>
      </w:r>
      <w:r>
        <w:rPr>
          <w:color w:val="000000"/>
          <w:spacing w:val="-1"/>
        </w:rPr>
        <w:t>a</w:t>
      </w:r>
      <w:r>
        <w:rPr>
          <w:color w:val="000000"/>
        </w:rPr>
        <w:t>d</w:t>
      </w:r>
      <w:r>
        <w:rPr>
          <w:color w:val="000000"/>
          <w:spacing w:val="-1"/>
        </w:rPr>
        <w:t>ė</w:t>
      </w:r>
      <w:r>
        <w:rPr>
          <w:color w:val="000000"/>
          <w:spacing w:val="5"/>
        </w:rPr>
        <w:t>t</w:t>
      </w:r>
      <w:r>
        <w:rPr>
          <w:color w:val="000000"/>
        </w:rPr>
        <w:t>i</w:t>
      </w:r>
      <w:r>
        <w:rPr>
          <w:color w:val="000000"/>
          <w:spacing w:val="-7"/>
        </w:rPr>
        <w:t xml:space="preserve"> </w:t>
      </w:r>
      <w:r>
        <w:rPr>
          <w:color w:val="000000"/>
        </w:rPr>
        <w:t>55</w:t>
      </w:r>
      <w:r>
        <w:rPr>
          <w:color w:val="000000"/>
          <w:spacing w:val="7"/>
        </w:rPr>
        <w:t xml:space="preserve"> </w:t>
      </w:r>
      <w:r>
        <w:rPr>
          <w:color w:val="000000"/>
          <w:spacing w:val="-9"/>
        </w:rPr>
        <w:t>i</w:t>
      </w:r>
      <w:r>
        <w:rPr>
          <w:color w:val="000000"/>
          <w:spacing w:val="5"/>
        </w:rPr>
        <w:t>k</w:t>
      </w:r>
      <w:r>
        <w:rPr>
          <w:color w:val="000000"/>
          <w:spacing w:val="-9"/>
        </w:rPr>
        <w:t>i</w:t>
      </w:r>
      <w:r>
        <w:rPr>
          <w:color w:val="000000"/>
          <w:spacing w:val="5"/>
        </w:rPr>
        <w:t>t</w:t>
      </w:r>
      <w:r>
        <w:rPr>
          <w:color w:val="000000"/>
          <w:spacing w:val="4"/>
        </w:rPr>
        <w:t>e</w:t>
      </w:r>
      <w:r>
        <w:rPr>
          <w:color w:val="000000"/>
          <w:spacing w:val="-4"/>
        </w:rPr>
        <w:t>i</w:t>
      </w:r>
      <w:r>
        <w:rPr>
          <w:color w:val="000000"/>
          <w:spacing w:val="2"/>
        </w:rPr>
        <w:t>s</w:t>
      </w:r>
      <w:r>
        <w:rPr>
          <w:color w:val="000000"/>
        </w:rPr>
        <w:t>m</w:t>
      </w:r>
      <w:r>
        <w:rPr>
          <w:color w:val="000000"/>
          <w:spacing w:val="-4"/>
        </w:rPr>
        <w:t>i</w:t>
      </w:r>
      <w:r>
        <w:rPr>
          <w:color w:val="000000"/>
          <w:spacing w:val="5"/>
        </w:rPr>
        <w:t>n</w:t>
      </w:r>
      <w:r>
        <w:rPr>
          <w:color w:val="000000"/>
          <w:spacing w:val="-4"/>
        </w:rPr>
        <w:t>i</w:t>
      </w:r>
      <w:r>
        <w:rPr>
          <w:color w:val="000000"/>
          <w:spacing w:val="4"/>
        </w:rPr>
        <w:t>a</w:t>
      </w:r>
      <w:r>
        <w:rPr>
          <w:color w:val="000000"/>
        </w:rPr>
        <w:t>i</w:t>
      </w:r>
      <w:r>
        <w:rPr>
          <w:color w:val="000000"/>
          <w:spacing w:val="-2"/>
        </w:rPr>
        <w:t xml:space="preserve"> </w:t>
      </w:r>
      <w:r>
        <w:rPr>
          <w:color w:val="000000"/>
          <w:spacing w:val="5"/>
        </w:rPr>
        <w:t>t</w:t>
      </w:r>
      <w:r>
        <w:rPr>
          <w:color w:val="000000"/>
          <w:spacing w:val="-10"/>
        </w:rPr>
        <w:t>y</w:t>
      </w:r>
      <w:r>
        <w:rPr>
          <w:color w:val="000000"/>
          <w:spacing w:val="6"/>
        </w:rPr>
        <w:t>r</w:t>
      </w:r>
      <w:r>
        <w:rPr>
          <w:color w:val="000000"/>
        </w:rPr>
        <w:t>i</w:t>
      </w:r>
      <w:r>
        <w:rPr>
          <w:color w:val="000000"/>
          <w:spacing w:val="-4"/>
        </w:rPr>
        <w:t>m</w:t>
      </w:r>
      <w:r>
        <w:rPr>
          <w:color w:val="000000"/>
          <w:spacing w:val="4"/>
        </w:rPr>
        <w:t>a</w:t>
      </w:r>
      <w:r>
        <w:rPr>
          <w:color w:val="000000"/>
        </w:rPr>
        <w:t>i</w:t>
      </w:r>
      <w:r>
        <w:rPr>
          <w:color w:val="000000"/>
          <w:spacing w:val="-7"/>
        </w:rPr>
        <w:t xml:space="preserve"> </w:t>
      </w:r>
      <w:r>
        <w:rPr>
          <w:color w:val="000000"/>
          <w:spacing w:val="1"/>
        </w:rPr>
        <w:t>(</w:t>
      </w:r>
      <w:r>
        <w:rPr>
          <w:color w:val="000000"/>
        </w:rPr>
        <w:t>2011</w:t>
      </w:r>
      <w:r>
        <w:rPr>
          <w:color w:val="000000"/>
          <w:spacing w:val="10"/>
        </w:rPr>
        <w:t xml:space="preserve"> </w:t>
      </w:r>
      <w:r>
        <w:rPr>
          <w:color w:val="000000"/>
        </w:rPr>
        <w:t>–</w:t>
      </w:r>
      <w:r>
        <w:rPr>
          <w:color w:val="000000"/>
          <w:spacing w:val="2"/>
        </w:rPr>
        <w:t xml:space="preserve"> </w:t>
      </w:r>
      <w:r>
        <w:rPr>
          <w:color w:val="000000"/>
        </w:rPr>
        <w:t>43,</w:t>
      </w:r>
      <w:r>
        <w:rPr>
          <w:color w:val="000000"/>
          <w:spacing w:val="4"/>
        </w:rPr>
        <w:t xml:space="preserve"> </w:t>
      </w:r>
      <w:r>
        <w:rPr>
          <w:color w:val="000000"/>
        </w:rPr>
        <w:t>2010</w:t>
      </w:r>
      <w:r>
        <w:rPr>
          <w:color w:val="000000"/>
          <w:spacing w:val="-1"/>
        </w:rPr>
        <w:t xml:space="preserve"> </w:t>
      </w:r>
      <w:r>
        <w:rPr>
          <w:color w:val="000000"/>
        </w:rPr>
        <w:t>–</w:t>
      </w:r>
      <w:r>
        <w:rPr>
          <w:color w:val="000000"/>
          <w:spacing w:val="2"/>
        </w:rPr>
        <w:t xml:space="preserve"> </w:t>
      </w:r>
      <w:r>
        <w:rPr>
          <w:color w:val="000000"/>
        </w:rPr>
        <w:t>27</w:t>
      </w:r>
      <w:r>
        <w:rPr>
          <w:color w:val="000000"/>
          <w:spacing w:val="-3"/>
        </w:rPr>
        <w:t>)</w:t>
      </w:r>
      <w:r>
        <w:rPr>
          <w:color w:val="000000"/>
          <w:spacing w:val="2"/>
          <w:position w:val="11"/>
          <w:sz w:val="16"/>
          <w:szCs w:val="16"/>
        </w:rPr>
        <w:t>5</w:t>
      </w:r>
      <w:r>
        <w:rPr>
          <w:color w:val="000000"/>
        </w:rPr>
        <w:t>.</w:t>
      </w:r>
    </w:p>
    <w:p w:rsidR="004F7425" w:rsidRDefault="004F7425" w:rsidP="004F7425">
      <w:pPr>
        <w:widowControl w:val="0"/>
        <w:autoSpaceDE w:val="0"/>
        <w:autoSpaceDN w:val="0"/>
        <w:adjustRightInd w:val="0"/>
        <w:spacing w:before="2" w:line="130" w:lineRule="exact"/>
        <w:rPr>
          <w:color w:val="000000"/>
          <w:sz w:val="13"/>
          <w:szCs w:val="13"/>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20"/>
        <w:rPr>
          <w:color w:val="000000"/>
          <w:sz w:val="28"/>
          <w:szCs w:val="28"/>
        </w:rPr>
      </w:pPr>
      <w:r>
        <w:rPr>
          <w:b/>
          <w:bCs/>
          <w:i/>
          <w:iCs/>
          <w:color w:val="933634"/>
          <w:sz w:val="28"/>
          <w:szCs w:val="28"/>
        </w:rPr>
        <w:t>Na</w:t>
      </w:r>
      <w:r>
        <w:rPr>
          <w:b/>
          <w:bCs/>
          <w:i/>
          <w:iCs/>
          <w:color w:val="933634"/>
          <w:spacing w:val="3"/>
          <w:sz w:val="28"/>
          <w:szCs w:val="28"/>
        </w:rPr>
        <w:t>r</w:t>
      </w:r>
      <w:r>
        <w:rPr>
          <w:b/>
          <w:bCs/>
          <w:i/>
          <w:iCs/>
          <w:color w:val="933634"/>
          <w:sz w:val="28"/>
          <w:szCs w:val="28"/>
        </w:rPr>
        <w:t>kot</w:t>
      </w:r>
      <w:r>
        <w:rPr>
          <w:b/>
          <w:bCs/>
          <w:i/>
          <w:iCs/>
          <w:color w:val="933634"/>
          <w:spacing w:val="-1"/>
          <w:sz w:val="28"/>
          <w:szCs w:val="28"/>
        </w:rPr>
        <w:t>i</w:t>
      </w:r>
      <w:r>
        <w:rPr>
          <w:b/>
          <w:bCs/>
          <w:i/>
          <w:iCs/>
          <w:color w:val="933634"/>
          <w:sz w:val="28"/>
          <w:szCs w:val="28"/>
        </w:rPr>
        <w:t>kų</w:t>
      </w:r>
      <w:r>
        <w:rPr>
          <w:b/>
          <w:bCs/>
          <w:i/>
          <w:iCs/>
          <w:color w:val="933634"/>
          <w:spacing w:val="-11"/>
          <w:sz w:val="28"/>
          <w:szCs w:val="28"/>
        </w:rPr>
        <w:t xml:space="preserve"> </w:t>
      </w:r>
      <w:r>
        <w:rPr>
          <w:b/>
          <w:bCs/>
          <w:i/>
          <w:iCs/>
          <w:color w:val="933634"/>
          <w:sz w:val="28"/>
          <w:szCs w:val="28"/>
        </w:rPr>
        <w:t>ka</w:t>
      </w:r>
      <w:r>
        <w:rPr>
          <w:b/>
          <w:bCs/>
          <w:i/>
          <w:iCs/>
          <w:color w:val="933634"/>
          <w:spacing w:val="4"/>
          <w:sz w:val="28"/>
          <w:szCs w:val="28"/>
        </w:rPr>
        <w:t>i</w:t>
      </w:r>
      <w:r>
        <w:rPr>
          <w:b/>
          <w:bCs/>
          <w:i/>
          <w:iCs/>
          <w:color w:val="933634"/>
          <w:spacing w:val="-1"/>
          <w:sz w:val="28"/>
          <w:szCs w:val="28"/>
        </w:rPr>
        <w:t>n</w:t>
      </w:r>
      <w:r>
        <w:rPr>
          <w:b/>
          <w:bCs/>
          <w:i/>
          <w:iCs/>
          <w:color w:val="933634"/>
          <w:sz w:val="28"/>
          <w:szCs w:val="28"/>
        </w:rPr>
        <w:t>os</w:t>
      </w:r>
      <w:r>
        <w:rPr>
          <w:b/>
          <w:bCs/>
          <w:i/>
          <w:iCs/>
          <w:color w:val="933634"/>
          <w:spacing w:val="-4"/>
          <w:sz w:val="28"/>
          <w:szCs w:val="28"/>
        </w:rPr>
        <w:t xml:space="preserve"> </w:t>
      </w:r>
      <w:r>
        <w:rPr>
          <w:b/>
          <w:bCs/>
          <w:i/>
          <w:iCs/>
          <w:color w:val="933634"/>
          <w:sz w:val="28"/>
          <w:szCs w:val="28"/>
        </w:rPr>
        <w:t>ir</w:t>
      </w:r>
      <w:r>
        <w:rPr>
          <w:b/>
          <w:bCs/>
          <w:i/>
          <w:iCs/>
          <w:color w:val="933634"/>
          <w:spacing w:val="1"/>
          <w:sz w:val="28"/>
          <w:szCs w:val="28"/>
        </w:rPr>
        <w:t xml:space="preserve"> </w:t>
      </w:r>
      <w:r>
        <w:rPr>
          <w:b/>
          <w:bCs/>
          <w:i/>
          <w:iCs/>
          <w:color w:val="933634"/>
          <w:sz w:val="28"/>
          <w:szCs w:val="28"/>
        </w:rPr>
        <w:t>ko</w:t>
      </w:r>
      <w:r>
        <w:rPr>
          <w:b/>
          <w:bCs/>
          <w:i/>
          <w:iCs/>
          <w:color w:val="933634"/>
          <w:spacing w:val="-1"/>
          <w:sz w:val="28"/>
          <w:szCs w:val="28"/>
        </w:rPr>
        <w:t>n</w:t>
      </w:r>
      <w:r>
        <w:rPr>
          <w:b/>
          <w:bCs/>
          <w:i/>
          <w:iCs/>
          <w:color w:val="933634"/>
          <w:spacing w:val="1"/>
          <w:sz w:val="28"/>
          <w:szCs w:val="28"/>
        </w:rPr>
        <w:t>ce</w:t>
      </w:r>
      <w:r>
        <w:rPr>
          <w:b/>
          <w:bCs/>
          <w:i/>
          <w:iCs/>
          <w:color w:val="933634"/>
          <w:spacing w:val="-1"/>
          <w:sz w:val="28"/>
          <w:szCs w:val="28"/>
        </w:rPr>
        <w:t>n</w:t>
      </w:r>
      <w:r>
        <w:rPr>
          <w:b/>
          <w:bCs/>
          <w:i/>
          <w:iCs/>
          <w:color w:val="933634"/>
          <w:sz w:val="28"/>
          <w:szCs w:val="28"/>
        </w:rPr>
        <w:t>t</w:t>
      </w:r>
      <w:r>
        <w:rPr>
          <w:b/>
          <w:bCs/>
          <w:i/>
          <w:iCs/>
          <w:color w:val="933634"/>
          <w:spacing w:val="1"/>
          <w:sz w:val="28"/>
          <w:szCs w:val="28"/>
        </w:rPr>
        <w:t>r</w:t>
      </w:r>
      <w:r>
        <w:rPr>
          <w:b/>
          <w:bCs/>
          <w:i/>
          <w:iCs/>
          <w:color w:val="933634"/>
          <w:sz w:val="28"/>
          <w:szCs w:val="28"/>
        </w:rPr>
        <w:t>a</w:t>
      </w:r>
      <w:r>
        <w:rPr>
          <w:b/>
          <w:bCs/>
          <w:i/>
          <w:iCs/>
          <w:color w:val="933634"/>
          <w:spacing w:val="1"/>
          <w:sz w:val="28"/>
          <w:szCs w:val="28"/>
        </w:rPr>
        <w:t>c</w:t>
      </w:r>
      <w:r>
        <w:rPr>
          <w:b/>
          <w:bCs/>
          <w:i/>
          <w:iCs/>
          <w:color w:val="933634"/>
          <w:sz w:val="28"/>
          <w:szCs w:val="28"/>
        </w:rPr>
        <w:t>i</w:t>
      </w:r>
      <w:r>
        <w:rPr>
          <w:b/>
          <w:bCs/>
          <w:i/>
          <w:iCs/>
          <w:color w:val="933634"/>
          <w:spacing w:val="-1"/>
          <w:sz w:val="28"/>
          <w:szCs w:val="28"/>
        </w:rPr>
        <w:t>j</w:t>
      </w:r>
      <w:r>
        <w:rPr>
          <w:b/>
          <w:bCs/>
          <w:i/>
          <w:iCs/>
          <w:color w:val="933634"/>
          <w:sz w:val="28"/>
          <w:szCs w:val="28"/>
        </w:rPr>
        <w:t>a</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76" w:firstLine="721"/>
        <w:jc w:val="both"/>
        <w:rPr>
          <w:color w:val="000000"/>
        </w:rPr>
      </w:pPr>
      <w:r>
        <w:rPr>
          <w:color w:val="000000"/>
        </w:rPr>
        <w:t>2012</w:t>
      </w:r>
      <w:r>
        <w:rPr>
          <w:color w:val="000000"/>
          <w:spacing w:val="12"/>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9"/>
        </w:rPr>
        <w:t>i</w:t>
      </w:r>
      <w:r>
        <w:rPr>
          <w:color w:val="000000"/>
        </w:rPr>
        <w:t>s</w:t>
      </w:r>
      <w:r>
        <w:rPr>
          <w:color w:val="000000"/>
          <w:spacing w:val="10"/>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4"/>
        </w:rPr>
        <w:t>i</w:t>
      </w:r>
      <w:r>
        <w:rPr>
          <w:color w:val="000000"/>
        </w:rPr>
        <w:t>ų</w:t>
      </w:r>
      <w:r>
        <w:rPr>
          <w:color w:val="000000"/>
          <w:spacing w:val="12"/>
        </w:rPr>
        <w:t xml:space="preserve"> </w:t>
      </w:r>
      <w:r>
        <w:rPr>
          <w:color w:val="000000"/>
          <w:spacing w:val="-9"/>
        </w:rPr>
        <w:t>i</w:t>
      </w:r>
      <w:r>
        <w:rPr>
          <w:color w:val="000000"/>
        </w:rPr>
        <w:t>r</w:t>
      </w:r>
      <w:r>
        <w:rPr>
          <w:color w:val="000000"/>
          <w:spacing w:val="8"/>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rPr>
        <w:t>o</w:t>
      </w:r>
      <w:r>
        <w:rPr>
          <w:color w:val="000000"/>
          <w:spacing w:val="5"/>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1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12"/>
        </w:rPr>
        <w:t xml:space="preserve"> </w:t>
      </w:r>
      <w:r>
        <w:rPr>
          <w:color w:val="000000"/>
        </w:rPr>
        <w:t>k</w:t>
      </w:r>
      <w:r>
        <w:rPr>
          <w:color w:val="000000"/>
          <w:spacing w:val="4"/>
        </w:rPr>
        <w:t>a</w:t>
      </w:r>
      <w:r>
        <w:rPr>
          <w:color w:val="000000"/>
          <w:spacing w:val="-4"/>
        </w:rPr>
        <w:t>i</w:t>
      </w:r>
      <w:r>
        <w:rPr>
          <w:color w:val="000000"/>
          <w:spacing w:val="-5"/>
        </w:rPr>
        <w:t>n</w:t>
      </w:r>
      <w:r>
        <w:rPr>
          <w:color w:val="000000"/>
          <w:spacing w:val="5"/>
        </w:rPr>
        <w:t>o</w:t>
      </w:r>
      <w:r>
        <w:rPr>
          <w:color w:val="000000"/>
        </w:rPr>
        <w:t>s</w:t>
      </w:r>
      <w:r>
        <w:rPr>
          <w:color w:val="000000"/>
          <w:spacing w:val="10"/>
        </w:rPr>
        <w:t xml:space="preserve"> </w:t>
      </w:r>
      <w:r>
        <w:rPr>
          <w:color w:val="000000"/>
          <w:spacing w:val="-9"/>
        </w:rPr>
        <w:t>i</w:t>
      </w:r>
      <w:r>
        <w:rPr>
          <w:color w:val="000000"/>
        </w:rPr>
        <w:t>r</w:t>
      </w:r>
      <w:r>
        <w:rPr>
          <w:color w:val="000000"/>
          <w:spacing w:val="8"/>
        </w:rPr>
        <w:t xml:space="preserve"> </w:t>
      </w:r>
      <w:r>
        <w:rPr>
          <w:color w:val="000000"/>
        </w:rPr>
        <w:t>k</w:t>
      </w:r>
      <w:r>
        <w:rPr>
          <w:color w:val="000000"/>
          <w:spacing w:val="5"/>
        </w:rPr>
        <w:t>o</w:t>
      </w:r>
      <w:r>
        <w:rPr>
          <w:color w:val="000000"/>
          <w:spacing w:val="-5"/>
        </w:rPr>
        <w:t>n</w:t>
      </w:r>
      <w:r>
        <w:rPr>
          <w:color w:val="000000"/>
          <w:spacing w:val="-1"/>
        </w:rPr>
        <w:t>c</w:t>
      </w:r>
      <w:r>
        <w:rPr>
          <w:color w:val="000000"/>
          <w:spacing w:val="4"/>
        </w:rPr>
        <w:t>e</w:t>
      </w:r>
      <w:r>
        <w:rPr>
          <w:color w:val="000000"/>
          <w:spacing w:val="-5"/>
        </w:rPr>
        <w:t>n</w:t>
      </w:r>
      <w:r>
        <w:rPr>
          <w:color w:val="000000"/>
          <w:spacing w:val="5"/>
        </w:rPr>
        <w:t>t</w:t>
      </w:r>
      <w:r>
        <w:rPr>
          <w:color w:val="000000"/>
          <w:spacing w:val="1"/>
        </w:rPr>
        <w:t>r</w:t>
      </w:r>
      <w:r>
        <w:rPr>
          <w:color w:val="000000"/>
          <w:spacing w:val="-1"/>
        </w:rPr>
        <w:t>a</w:t>
      </w:r>
      <w:r>
        <w:rPr>
          <w:color w:val="000000"/>
          <w:spacing w:val="4"/>
        </w:rPr>
        <w:t>c</w:t>
      </w:r>
      <w:r>
        <w:rPr>
          <w:color w:val="000000"/>
          <w:spacing w:val="-4"/>
        </w:rPr>
        <w:t>ij</w:t>
      </w:r>
      <w:r>
        <w:rPr>
          <w:color w:val="000000"/>
        </w:rPr>
        <w:t>a</w:t>
      </w:r>
      <w:r>
        <w:rPr>
          <w:color w:val="000000"/>
          <w:spacing w:val="11"/>
        </w:rPr>
        <w:t xml:space="preserve"> </w:t>
      </w:r>
      <w:r>
        <w:rPr>
          <w:color w:val="000000"/>
          <w:spacing w:val="-4"/>
        </w:rPr>
        <w:t>i</w:t>
      </w:r>
      <w:r>
        <w:rPr>
          <w:color w:val="000000"/>
          <w:spacing w:val="2"/>
        </w:rPr>
        <w:t>š</w:t>
      </w:r>
      <w:r>
        <w:rPr>
          <w:color w:val="000000"/>
        </w:rPr>
        <w:t>l</w:t>
      </w:r>
      <w:r>
        <w:rPr>
          <w:color w:val="000000"/>
          <w:spacing w:val="-4"/>
        </w:rPr>
        <w:t>i</w:t>
      </w:r>
      <w:r>
        <w:rPr>
          <w:color w:val="000000"/>
        </w:rPr>
        <w:t>ko</w:t>
      </w:r>
      <w:r>
        <w:rPr>
          <w:color w:val="000000"/>
          <w:spacing w:val="12"/>
        </w:rPr>
        <w:t xml:space="preserve"> </w:t>
      </w:r>
      <w:r>
        <w:rPr>
          <w:color w:val="000000"/>
        </w:rPr>
        <w:t>p</w:t>
      </w:r>
      <w:r>
        <w:rPr>
          <w:color w:val="000000"/>
          <w:spacing w:val="-1"/>
        </w:rPr>
        <w:t>a</w:t>
      </w:r>
      <w:r>
        <w:rPr>
          <w:color w:val="000000"/>
          <w:spacing w:val="-5"/>
        </w:rPr>
        <w:t>n</w:t>
      </w:r>
      <w:r>
        <w:rPr>
          <w:color w:val="000000"/>
          <w:spacing w:val="4"/>
        </w:rPr>
        <w:t>a</w:t>
      </w:r>
      <w:r>
        <w:rPr>
          <w:color w:val="000000"/>
          <w:spacing w:val="2"/>
        </w:rPr>
        <w:t>š</w:t>
      </w:r>
      <w:r>
        <w:rPr>
          <w:color w:val="000000"/>
        </w:rPr>
        <w:t>i</w:t>
      </w:r>
      <w:r>
        <w:rPr>
          <w:color w:val="000000"/>
          <w:spacing w:val="-2"/>
        </w:rPr>
        <w:t xml:space="preserve"> </w:t>
      </w:r>
      <w:r>
        <w:rPr>
          <w:color w:val="000000"/>
          <w:spacing w:val="5"/>
        </w:rPr>
        <w:t>k</w:t>
      </w:r>
      <w:r>
        <w:rPr>
          <w:color w:val="000000"/>
          <w:spacing w:val="4"/>
        </w:rPr>
        <w:t>a</w:t>
      </w:r>
      <w:r>
        <w:rPr>
          <w:color w:val="000000"/>
          <w:spacing w:val="-4"/>
        </w:rPr>
        <w:t>i</w:t>
      </w:r>
      <w:r>
        <w:rPr>
          <w:color w:val="000000"/>
        </w:rPr>
        <w:t xml:space="preserve">p </w:t>
      </w:r>
      <w:r>
        <w:rPr>
          <w:color w:val="000000"/>
          <w:spacing w:val="-4"/>
        </w:rPr>
        <w:t>i</w:t>
      </w:r>
      <w:r>
        <w:rPr>
          <w:color w:val="000000"/>
        </w:rPr>
        <w:t>š p</w:t>
      </w:r>
      <w:r>
        <w:rPr>
          <w:color w:val="000000"/>
          <w:spacing w:val="1"/>
        </w:rPr>
        <w:t>r</w:t>
      </w:r>
      <w:r>
        <w:rPr>
          <w:color w:val="000000"/>
          <w:spacing w:val="-1"/>
        </w:rPr>
        <w:t>a</w:t>
      </w:r>
      <w:r>
        <w:rPr>
          <w:color w:val="000000"/>
          <w:spacing w:val="4"/>
        </w:rPr>
        <w:t>ė</w:t>
      </w:r>
      <w:r>
        <w:rPr>
          <w:color w:val="000000"/>
          <w:spacing w:val="-4"/>
        </w:rPr>
        <w:t>j</w:t>
      </w:r>
      <w:r>
        <w:rPr>
          <w:color w:val="000000"/>
        </w:rPr>
        <w:t>u</w:t>
      </w:r>
      <w:r>
        <w:rPr>
          <w:color w:val="000000"/>
          <w:spacing w:val="2"/>
        </w:rPr>
        <w:t>s</w:t>
      </w:r>
      <w:r>
        <w:rPr>
          <w:color w:val="000000"/>
          <w:spacing w:val="-4"/>
        </w:rPr>
        <w:t>i</w:t>
      </w:r>
      <w:r>
        <w:rPr>
          <w:color w:val="000000"/>
          <w:spacing w:val="4"/>
        </w:rPr>
        <w:t>a</w:t>
      </w:r>
      <w:r>
        <w:rPr>
          <w:color w:val="000000"/>
          <w:spacing w:val="-4"/>
        </w:rPr>
        <w:t>i</w:t>
      </w:r>
      <w:r>
        <w:rPr>
          <w:color w:val="000000"/>
        </w:rPr>
        <w:t>s</w:t>
      </w:r>
      <w:r>
        <w:rPr>
          <w:color w:val="000000"/>
          <w:spacing w:val="5"/>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spacing w:val="-2"/>
        </w:rPr>
        <w:t>s</w:t>
      </w:r>
      <w:r>
        <w:rPr>
          <w:color w:val="000000"/>
        </w:rPr>
        <w:t>.</w:t>
      </w:r>
      <w:r>
        <w:rPr>
          <w:color w:val="000000"/>
          <w:spacing w:val="5"/>
        </w:rPr>
        <w:t xml:space="preserve"> </w:t>
      </w:r>
      <w:r>
        <w:rPr>
          <w:color w:val="000000"/>
        </w:rPr>
        <w:t>G</w:t>
      </w:r>
      <w:r>
        <w:rPr>
          <w:color w:val="000000"/>
          <w:spacing w:val="3"/>
        </w:rPr>
        <w:t>a</w:t>
      </w:r>
      <w:r>
        <w:rPr>
          <w:color w:val="000000"/>
          <w:spacing w:val="-4"/>
        </w:rPr>
        <w:t>l</w:t>
      </w:r>
      <w:r>
        <w:rPr>
          <w:color w:val="000000"/>
        </w:rPr>
        <w:t>i</w:t>
      </w:r>
      <w:r>
        <w:rPr>
          <w:color w:val="000000"/>
          <w:spacing w:val="-4"/>
        </w:rPr>
        <w:t>m</w:t>
      </w:r>
      <w:r>
        <w:rPr>
          <w:color w:val="000000"/>
        </w:rPr>
        <w:t>a</w:t>
      </w:r>
      <w:r>
        <w:rPr>
          <w:color w:val="000000"/>
          <w:spacing w:val="1"/>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e</w:t>
      </w:r>
      <w:r>
        <w:rPr>
          <w:color w:val="000000"/>
        </w:rPr>
        <w:t>b</w:t>
      </w:r>
      <w:r>
        <w:rPr>
          <w:color w:val="000000"/>
          <w:spacing w:val="-1"/>
        </w:rPr>
        <w:t>ė</w:t>
      </w:r>
      <w:r>
        <w:rPr>
          <w:color w:val="000000"/>
          <w:spacing w:val="5"/>
        </w:rPr>
        <w:t>t</w:t>
      </w:r>
      <w:r>
        <w:rPr>
          <w:color w:val="000000"/>
          <w:spacing w:val="-9"/>
        </w:rPr>
        <w:t>i</w:t>
      </w:r>
      <w:r>
        <w:rPr>
          <w:color w:val="000000"/>
        </w:rPr>
        <w:t>,</w:t>
      </w:r>
      <w:r>
        <w:rPr>
          <w:color w:val="000000"/>
          <w:spacing w:val="5"/>
        </w:rPr>
        <w:t xml:space="preserve"> </w:t>
      </w:r>
      <w:r>
        <w:rPr>
          <w:color w:val="000000"/>
        </w:rPr>
        <w:t>k</w:t>
      </w:r>
      <w:r>
        <w:rPr>
          <w:color w:val="000000"/>
          <w:spacing w:val="5"/>
        </w:rPr>
        <w:t>a</w:t>
      </w:r>
      <w:r>
        <w:rPr>
          <w:color w:val="000000"/>
        </w:rPr>
        <w:t>d</w:t>
      </w:r>
      <w:r>
        <w:rPr>
          <w:color w:val="000000"/>
          <w:spacing w:val="2"/>
        </w:rPr>
        <w:t xml:space="preserve"> (</w:t>
      </w:r>
      <w:r>
        <w:rPr>
          <w:color w:val="000000"/>
          <w:spacing w:val="-5"/>
        </w:rPr>
        <w:t>b</w:t>
      </w:r>
      <w:r>
        <w:rPr>
          <w:color w:val="000000"/>
          <w:spacing w:val="4"/>
        </w:rPr>
        <w:t>e</w:t>
      </w:r>
      <w:r>
        <w:rPr>
          <w:color w:val="000000"/>
        </w:rPr>
        <w:t>je,</w:t>
      </w:r>
      <w:r>
        <w:rPr>
          <w:color w:val="000000"/>
          <w:spacing w:val="5"/>
        </w:rPr>
        <w:t xml:space="preserve"> </w:t>
      </w:r>
      <w:r>
        <w:rPr>
          <w:color w:val="000000"/>
          <w:spacing w:val="-9"/>
        </w:rPr>
        <w:t>i</w:t>
      </w:r>
      <w:r>
        <w:rPr>
          <w:color w:val="000000"/>
        </w:rPr>
        <w:t>r</w:t>
      </w:r>
      <w:r>
        <w:rPr>
          <w:color w:val="000000"/>
          <w:spacing w:val="4"/>
        </w:rPr>
        <w:t xml:space="preserve"> </w:t>
      </w:r>
      <w:r>
        <w:rPr>
          <w:color w:val="000000"/>
        </w:rPr>
        <w:t>2011</w:t>
      </w:r>
      <w:r>
        <w:rPr>
          <w:color w:val="000000"/>
          <w:spacing w:val="7"/>
        </w:rPr>
        <w:t xml:space="preserve"> </w:t>
      </w:r>
      <w:r>
        <w:rPr>
          <w:color w:val="000000"/>
          <w:spacing w:val="-9"/>
        </w:rPr>
        <w:t>m</w:t>
      </w:r>
      <w:r>
        <w:rPr>
          <w:color w:val="000000"/>
          <w:spacing w:val="2"/>
        </w:rPr>
        <w:t>.</w:t>
      </w:r>
      <w:r>
        <w:rPr>
          <w:color w:val="000000"/>
        </w:rPr>
        <w:t>)</w:t>
      </w:r>
      <w:r>
        <w:rPr>
          <w:color w:val="000000"/>
          <w:spacing w:val="4"/>
        </w:rPr>
        <w:t xml:space="preserve"> </w:t>
      </w:r>
      <w:r>
        <w:rPr>
          <w:color w:val="000000"/>
        </w:rPr>
        <w:t>d</w:t>
      </w:r>
      <w:r>
        <w:rPr>
          <w:color w:val="000000"/>
          <w:spacing w:val="-1"/>
        </w:rPr>
        <w:t>a</w:t>
      </w:r>
      <w:r>
        <w:rPr>
          <w:color w:val="000000"/>
        </w:rPr>
        <w:t>ug</w:t>
      </w:r>
      <w:r>
        <w:rPr>
          <w:color w:val="000000"/>
          <w:spacing w:val="4"/>
        </w:rPr>
        <w:t>ė</w:t>
      </w:r>
      <w:r>
        <w:rPr>
          <w:color w:val="000000"/>
          <w:spacing w:val="-9"/>
        </w:rPr>
        <w:t>j</w:t>
      </w:r>
      <w:r>
        <w:rPr>
          <w:color w:val="000000"/>
        </w:rPr>
        <w:t>a</w:t>
      </w:r>
      <w:r>
        <w:rPr>
          <w:color w:val="000000"/>
          <w:spacing w:val="6"/>
        </w:rPr>
        <w:t xml:space="preserve"> </w:t>
      </w:r>
      <w:r>
        <w:rPr>
          <w:color w:val="000000"/>
          <w:spacing w:val="-4"/>
        </w:rPr>
        <w:t>i</w:t>
      </w:r>
      <w:r>
        <w:rPr>
          <w:color w:val="000000"/>
        </w:rPr>
        <w:t>n</w:t>
      </w:r>
      <w:r>
        <w:rPr>
          <w:color w:val="000000"/>
          <w:spacing w:val="-8"/>
        </w:rPr>
        <w:t>f</w:t>
      </w:r>
      <w:r>
        <w:rPr>
          <w:color w:val="000000"/>
          <w:spacing w:val="5"/>
        </w:rPr>
        <w:t>o</w:t>
      </w:r>
      <w:r>
        <w:rPr>
          <w:color w:val="000000"/>
          <w:spacing w:val="6"/>
        </w:rPr>
        <w:t>r</w:t>
      </w:r>
      <w:r>
        <w:rPr>
          <w:color w:val="000000"/>
          <w:spacing w:val="-4"/>
        </w:rPr>
        <w:t>m</w:t>
      </w:r>
      <w:r>
        <w:rPr>
          <w:color w:val="000000"/>
          <w:spacing w:val="-1"/>
        </w:rPr>
        <w:t>a</w:t>
      </w:r>
      <w:r>
        <w:rPr>
          <w:color w:val="000000"/>
          <w:spacing w:val="4"/>
        </w:rPr>
        <w:t>c</w:t>
      </w:r>
      <w:r>
        <w:rPr>
          <w:color w:val="000000"/>
        </w:rPr>
        <w:t>i</w:t>
      </w:r>
      <w:r>
        <w:rPr>
          <w:color w:val="000000"/>
          <w:spacing w:val="-9"/>
        </w:rPr>
        <w:t>j</w:t>
      </w:r>
      <w:r>
        <w:rPr>
          <w:color w:val="000000"/>
          <w:spacing w:val="5"/>
        </w:rPr>
        <w:t>o</w:t>
      </w:r>
      <w:r>
        <w:rPr>
          <w:color w:val="000000"/>
        </w:rPr>
        <w:t xml:space="preserve">s </w:t>
      </w:r>
      <w:r>
        <w:rPr>
          <w:color w:val="000000"/>
          <w:spacing w:val="-1"/>
        </w:rPr>
        <w:t>a</w:t>
      </w:r>
      <w:r>
        <w:rPr>
          <w:color w:val="000000"/>
          <w:spacing w:val="5"/>
        </w:rPr>
        <w:t>p</w:t>
      </w:r>
      <w:r>
        <w:rPr>
          <w:color w:val="000000"/>
          <w:spacing w:val="-4"/>
        </w:rPr>
        <w:t>i</w:t>
      </w:r>
      <w:r>
        <w:rPr>
          <w:color w:val="000000"/>
        </w:rPr>
        <w:t>e</w:t>
      </w:r>
      <w:r>
        <w:rPr>
          <w:color w:val="000000"/>
          <w:spacing w:val="6"/>
        </w:rPr>
        <w:t xml:space="preserve"> </w:t>
      </w:r>
      <w:r>
        <w:rPr>
          <w:color w:val="000000"/>
          <w:spacing w:val="-5"/>
        </w:rPr>
        <w:t>h</w:t>
      </w:r>
      <w:r>
        <w:rPr>
          <w:color w:val="000000"/>
          <w:spacing w:val="-1"/>
        </w:rPr>
        <w:t>a</w:t>
      </w:r>
      <w:r>
        <w:rPr>
          <w:color w:val="000000"/>
          <w:spacing w:val="2"/>
        </w:rPr>
        <w:t>š</w:t>
      </w:r>
      <w:r>
        <w:rPr>
          <w:color w:val="000000"/>
          <w:spacing w:val="-4"/>
        </w:rPr>
        <w:t>i</w:t>
      </w:r>
      <w:r>
        <w:rPr>
          <w:color w:val="000000"/>
          <w:spacing w:val="-2"/>
        </w:rPr>
        <w:t>š</w:t>
      </w:r>
      <w:r>
        <w:rPr>
          <w:color w:val="000000"/>
        </w:rPr>
        <w:t>o k</w:t>
      </w:r>
      <w:r>
        <w:rPr>
          <w:color w:val="000000"/>
          <w:spacing w:val="4"/>
        </w:rPr>
        <w:t>a</w:t>
      </w:r>
      <w:r>
        <w:rPr>
          <w:color w:val="000000"/>
          <w:spacing w:val="-4"/>
        </w:rPr>
        <w:t>i</w:t>
      </w:r>
      <w:r>
        <w:rPr>
          <w:color w:val="000000"/>
          <w:spacing w:val="-5"/>
        </w:rPr>
        <w:t>n</w:t>
      </w:r>
      <w:r>
        <w:rPr>
          <w:color w:val="000000"/>
          <w:spacing w:val="4"/>
        </w:rPr>
        <w:t>a</w:t>
      </w:r>
      <w:r>
        <w:rPr>
          <w:color w:val="000000"/>
          <w:spacing w:val="-2"/>
        </w:rPr>
        <w:t>s</w:t>
      </w:r>
      <w:r>
        <w:rPr>
          <w:color w:val="000000"/>
        </w:rPr>
        <w:t>.</w:t>
      </w:r>
      <w:r>
        <w:rPr>
          <w:color w:val="000000"/>
          <w:spacing w:val="11"/>
        </w:rPr>
        <w:t xml:space="preserve"> </w:t>
      </w:r>
      <w:r>
        <w:rPr>
          <w:color w:val="000000"/>
        </w:rPr>
        <w:t>N</w:t>
      </w:r>
      <w:r>
        <w:rPr>
          <w:color w:val="000000"/>
          <w:spacing w:val="-1"/>
        </w:rPr>
        <w:t>e</w:t>
      </w:r>
      <w:r>
        <w:rPr>
          <w:color w:val="000000"/>
        </w:rPr>
        <w:t>d</w:t>
      </w:r>
      <w:r>
        <w:rPr>
          <w:color w:val="000000"/>
          <w:spacing w:val="-1"/>
        </w:rPr>
        <w:t>a</w:t>
      </w:r>
      <w:r>
        <w:rPr>
          <w:color w:val="000000"/>
        </w:rPr>
        <w:t>ug</w:t>
      </w:r>
      <w:r>
        <w:rPr>
          <w:color w:val="000000"/>
          <w:spacing w:val="14"/>
        </w:rPr>
        <w:t xml:space="preserve"> </w:t>
      </w:r>
      <w:r>
        <w:rPr>
          <w:color w:val="000000"/>
          <w:spacing w:val="-4"/>
        </w:rPr>
        <w:t>i</w:t>
      </w:r>
      <w:r>
        <w:rPr>
          <w:color w:val="000000"/>
        </w:rPr>
        <w:t>n</w:t>
      </w:r>
      <w:r>
        <w:rPr>
          <w:color w:val="000000"/>
          <w:spacing w:val="-8"/>
        </w:rPr>
        <w:t>f</w:t>
      </w:r>
      <w:r>
        <w:rPr>
          <w:color w:val="000000"/>
          <w:spacing w:val="5"/>
        </w:rPr>
        <w:t>o</w:t>
      </w:r>
      <w:r>
        <w:rPr>
          <w:color w:val="000000"/>
          <w:spacing w:val="6"/>
        </w:rPr>
        <w:t>r</w:t>
      </w:r>
      <w:r>
        <w:rPr>
          <w:color w:val="000000"/>
          <w:spacing w:val="-9"/>
        </w:rPr>
        <w:t>m</w:t>
      </w:r>
      <w:r>
        <w:rPr>
          <w:color w:val="000000"/>
          <w:spacing w:val="4"/>
        </w:rPr>
        <w:t>ac</w:t>
      </w:r>
      <w:r>
        <w:rPr>
          <w:color w:val="000000"/>
          <w:spacing w:val="-4"/>
        </w:rPr>
        <w:t>i</w:t>
      </w:r>
      <w:r>
        <w:rPr>
          <w:color w:val="000000"/>
          <w:spacing w:val="-9"/>
        </w:rPr>
        <w:t>j</w:t>
      </w:r>
      <w:r>
        <w:rPr>
          <w:color w:val="000000"/>
          <w:spacing w:val="9"/>
        </w:rPr>
        <w:t>o</w:t>
      </w:r>
      <w:r>
        <w:rPr>
          <w:color w:val="000000"/>
        </w:rPr>
        <w:t>s</w:t>
      </w:r>
      <w:r>
        <w:rPr>
          <w:color w:val="000000"/>
          <w:spacing w:val="7"/>
        </w:rPr>
        <w:t xml:space="preserve"> </w:t>
      </w:r>
      <w:r>
        <w:rPr>
          <w:color w:val="000000"/>
        </w:rPr>
        <w:t>g</w:t>
      </w:r>
      <w:r>
        <w:rPr>
          <w:color w:val="000000"/>
          <w:spacing w:val="-1"/>
        </w:rPr>
        <w:t>a</w:t>
      </w:r>
      <w:r>
        <w:rPr>
          <w:color w:val="000000"/>
          <w:spacing w:val="5"/>
        </w:rPr>
        <w:t>u</w:t>
      </w:r>
      <w:r>
        <w:rPr>
          <w:color w:val="000000"/>
          <w:spacing w:val="-5"/>
        </w:rPr>
        <w:t>n</w:t>
      </w:r>
      <w:r>
        <w:rPr>
          <w:color w:val="000000"/>
          <w:spacing w:val="4"/>
        </w:rPr>
        <w:t>a</w:t>
      </w:r>
      <w:r>
        <w:rPr>
          <w:color w:val="000000"/>
          <w:spacing w:val="-4"/>
        </w:rPr>
        <w:t>m</w:t>
      </w:r>
      <w:r>
        <w:rPr>
          <w:color w:val="000000"/>
        </w:rPr>
        <w:t>a</w:t>
      </w:r>
      <w:r>
        <w:rPr>
          <w:color w:val="000000"/>
          <w:spacing w:val="8"/>
        </w:rPr>
        <w:t xml:space="preserve"> </w:t>
      </w:r>
      <w:r>
        <w:rPr>
          <w:color w:val="000000"/>
          <w:spacing w:val="-1"/>
        </w:rPr>
        <w:t>a</w:t>
      </w:r>
      <w:r>
        <w:rPr>
          <w:color w:val="000000"/>
          <w:spacing w:val="5"/>
        </w:rPr>
        <w:t>p</w:t>
      </w:r>
      <w:r>
        <w:rPr>
          <w:color w:val="000000"/>
          <w:spacing w:val="-4"/>
        </w:rPr>
        <w:t>i</w:t>
      </w:r>
      <w:r>
        <w:rPr>
          <w:color w:val="000000"/>
        </w:rPr>
        <w:t>e</w:t>
      </w:r>
      <w:r>
        <w:rPr>
          <w:color w:val="000000"/>
          <w:spacing w:val="13"/>
        </w:rPr>
        <w:t xml:space="preserve"> </w:t>
      </w:r>
      <w:r>
        <w:rPr>
          <w:color w:val="000000"/>
          <w:spacing w:val="-5"/>
        </w:rPr>
        <w:t>n</w:t>
      </w:r>
      <w:r>
        <w:rPr>
          <w:color w:val="000000"/>
          <w:spacing w:val="-1"/>
        </w:rPr>
        <w:t>a</w:t>
      </w:r>
      <w:r>
        <w:rPr>
          <w:color w:val="000000"/>
          <w:spacing w:val="1"/>
        </w:rPr>
        <w:t>r</w:t>
      </w:r>
      <w:r>
        <w:rPr>
          <w:color w:val="000000"/>
          <w:spacing w:val="5"/>
        </w:rPr>
        <w:t>k</w:t>
      </w:r>
      <w:r>
        <w:rPr>
          <w:color w:val="000000"/>
        </w:rPr>
        <w:t>o</w:t>
      </w:r>
      <w:r>
        <w:rPr>
          <w:color w:val="000000"/>
          <w:spacing w:val="5"/>
        </w:rPr>
        <w:t>t</w:t>
      </w:r>
      <w:r>
        <w:rPr>
          <w:color w:val="000000"/>
          <w:spacing w:val="-9"/>
        </w:rPr>
        <w:t>i</w:t>
      </w:r>
      <w:r>
        <w:rPr>
          <w:color w:val="000000"/>
        </w:rPr>
        <w:t>kų</w:t>
      </w:r>
      <w:r>
        <w:rPr>
          <w:color w:val="000000"/>
          <w:spacing w:val="9"/>
        </w:rPr>
        <w:t xml:space="preserve"> </w:t>
      </w:r>
      <w:r>
        <w:rPr>
          <w:color w:val="000000"/>
          <w:spacing w:val="5"/>
        </w:rPr>
        <w:t>d</w:t>
      </w:r>
      <w:r>
        <w:rPr>
          <w:color w:val="000000"/>
          <w:spacing w:val="-9"/>
        </w:rPr>
        <w:t>i</w:t>
      </w:r>
      <w:r>
        <w:rPr>
          <w:color w:val="000000"/>
          <w:spacing w:val="5"/>
        </w:rPr>
        <w:t>d</w:t>
      </w:r>
      <w:r>
        <w:rPr>
          <w:color w:val="000000"/>
          <w:spacing w:val="-4"/>
        </w:rPr>
        <w:t>m</w:t>
      </w:r>
      <w:r>
        <w:rPr>
          <w:color w:val="000000"/>
          <w:spacing w:val="4"/>
        </w:rPr>
        <w:t>e</w:t>
      </w:r>
      <w:r>
        <w:rPr>
          <w:color w:val="000000"/>
        </w:rPr>
        <w:t>n</w:t>
      </w:r>
      <w:r>
        <w:rPr>
          <w:color w:val="000000"/>
          <w:spacing w:val="-4"/>
        </w:rPr>
        <w:t>i</w:t>
      </w:r>
      <w:r>
        <w:rPr>
          <w:color w:val="000000"/>
        </w:rPr>
        <w:t>n</w:t>
      </w:r>
      <w:r>
        <w:rPr>
          <w:color w:val="000000"/>
          <w:spacing w:val="4"/>
        </w:rPr>
        <w:t>e</w:t>
      </w:r>
      <w:r>
        <w:rPr>
          <w:color w:val="000000"/>
        </w:rPr>
        <w:t>s</w:t>
      </w:r>
      <w:r>
        <w:rPr>
          <w:color w:val="000000"/>
          <w:spacing w:val="7"/>
        </w:rPr>
        <w:t xml:space="preserve"> </w:t>
      </w:r>
      <w:r>
        <w:rPr>
          <w:color w:val="000000"/>
        </w:rPr>
        <w:t>k</w:t>
      </w:r>
      <w:r>
        <w:rPr>
          <w:color w:val="000000"/>
          <w:spacing w:val="4"/>
        </w:rPr>
        <w:t>a</w:t>
      </w:r>
      <w:r>
        <w:rPr>
          <w:color w:val="000000"/>
          <w:spacing w:val="-4"/>
        </w:rPr>
        <w:t>i</w:t>
      </w:r>
      <w:r>
        <w:rPr>
          <w:color w:val="000000"/>
        </w:rPr>
        <w:t>n</w:t>
      </w:r>
      <w:r>
        <w:rPr>
          <w:color w:val="000000"/>
          <w:spacing w:val="-1"/>
        </w:rPr>
        <w:t>a</w:t>
      </w:r>
      <w:r>
        <w:rPr>
          <w:color w:val="000000"/>
          <w:spacing w:val="-2"/>
        </w:rPr>
        <w:t>s</w:t>
      </w:r>
      <w:r>
        <w:rPr>
          <w:color w:val="000000"/>
        </w:rPr>
        <w:t>,</w:t>
      </w:r>
      <w:r>
        <w:rPr>
          <w:color w:val="000000"/>
          <w:spacing w:val="11"/>
        </w:rPr>
        <w:t xml:space="preserve"> </w:t>
      </w:r>
      <w:r>
        <w:rPr>
          <w:color w:val="000000"/>
          <w:spacing w:val="5"/>
        </w:rPr>
        <w:t>t</w:t>
      </w:r>
      <w:r>
        <w:rPr>
          <w:color w:val="000000"/>
        </w:rPr>
        <w:t>.</w:t>
      </w:r>
      <w:r>
        <w:rPr>
          <w:color w:val="000000"/>
          <w:spacing w:val="11"/>
        </w:rPr>
        <w:t xml:space="preserve"> </w:t>
      </w:r>
      <w:r>
        <w:rPr>
          <w:color w:val="000000"/>
          <w:spacing w:val="-10"/>
        </w:rPr>
        <w:t>y</w:t>
      </w:r>
      <w:r>
        <w:rPr>
          <w:color w:val="000000"/>
        </w:rPr>
        <w:t>.</w:t>
      </w:r>
      <w:r>
        <w:rPr>
          <w:color w:val="000000"/>
          <w:spacing w:val="11"/>
        </w:rPr>
        <w:t xml:space="preserve"> </w:t>
      </w:r>
      <w:r>
        <w:rPr>
          <w:color w:val="000000"/>
        </w:rPr>
        <w:t>k</w:t>
      </w:r>
      <w:r>
        <w:rPr>
          <w:color w:val="000000"/>
          <w:spacing w:val="4"/>
        </w:rPr>
        <w:t>a</w:t>
      </w:r>
      <w:r>
        <w:rPr>
          <w:color w:val="000000"/>
        </w:rPr>
        <w:t>i p</w:t>
      </w:r>
      <w:r>
        <w:rPr>
          <w:color w:val="000000"/>
          <w:spacing w:val="-1"/>
        </w:rPr>
        <w:t>a</w:t>
      </w:r>
      <w:r>
        <w:rPr>
          <w:color w:val="000000"/>
          <w:spacing w:val="1"/>
        </w:rPr>
        <w:t>r</w:t>
      </w:r>
      <w:r>
        <w:rPr>
          <w:color w:val="000000"/>
        </w:rPr>
        <w:t>du</w:t>
      </w:r>
      <w:r>
        <w:rPr>
          <w:color w:val="000000"/>
          <w:spacing w:val="5"/>
        </w:rPr>
        <w:t>o</w:t>
      </w:r>
      <w:r>
        <w:rPr>
          <w:color w:val="000000"/>
        </w:rPr>
        <w:t>d</w:t>
      </w:r>
      <w:r>
        <w:rPr>
          <w:color w:val="000000"/>
          <w:spacing w:val="4"/>
        </w:rPr>
        <w:t>a</w:t>
      </w:r>
      <w:r>
        <w:rPr>
          <w:color w:val="000000"/>
          <w:spacing w:val="-9"/>
        </w:rPr>
        <w:t>m</w:t>
      </w:r>
      <w:r>
        <w:rPr>
          <w:color w:val="000000"/>
        </w:rPr>
        <w:t>a 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rPr>
        <w:t>u</w:t>
      </w:r>
      <w:r>
        <w:rPr>
          <w:color w:val="000000"/>
          <w:spacing w:val="2"/>
        </w:rPr>
        <w:t xml:space="preserve"> </w:t>
      </w:r>
      <w:r>
        <w:rPr>
          <w:color w:val="000000"/>
          <w:spacing w:val="5"/>
        </w:rPr>
        <w:t>k</w:t>
      </w:r>
      <w:r>
        <w:rPr>
          <w:color w:val="000000"/>
          <w:spacing w:val="4"/>
        </w:rPr>
        <w:t>a</w:t>
      </w:r>
      <w:r>
        <w:rPr>
          <w:color w:val="000000"/>
          <w:spacing w:val="-9"/>
        </w:rPr>
        <w:t>i</w:t>
      </w:r>
      <w:r>
        <w:rPr>
          <w:color w:val="000000"/>
        </w:rPr>
        <w:t>p</w:t>
      </w:r>
      <w:r>
        <w:rPr>
          <w:color w:val="000000"/>
          <w:spacing w:val="7"/>
        </w:rPr>
        <w:t xml:space="preserve"> </w:t>
      </w:r>
      <w:r>
        <w:rPr>
          <w:color w:val="000000"/>
        </w:rPr>
        <w:t>500</w:t>
      </w:r>
      <w:r>
        <w:rPr>
          <w:color w:val="000000"/>
          <w:spacing w:val="2"/>
        </w:rPr>
        <w:t xml:space="preserve"> </w:t>
      </w:r>
      <w:r>
        <w:rPr>
          <w:color w:val="000000"/>
        </w:rPr>
        <w:t>g/</w:t>
      </w:r>
      <w:r>
        <w:rPr>
          <w:color w:val="000000"/>
          <w:spacing w:val="6"/>
        </w:rPr>
        <w:t>t</w:t>
      </w:r>
      <w:r>
        <w:rPr>
          <w:color w:val="000000"/>
          <w:spacing w:val="-1"/>
        </w:rPr>
        <w:t>a</w:t>
      </w:r>
      <w:r>
        <w:rPr>
          <w:color w:val="000000"/>
        </w:rPr>
        <w:t>b</w:t>
      </w:r>
      <w:r>
        <w:rPr>
          <w:color w:val="000000"/>
          <w:spacing w:val="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r>
        <w:rPr>
          <w:color w:val="000000"/>
          <w:spacing w:val="4"/>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
        </w:rPr>
        <w:t xml:space="preserve"> </w:t>
      </w:r>
      <w:r>
        <w:rPr>
          <w:color w:val="000000"/>
        </w:rPr>
        <w:t>k</w:t>
      </w:r>
      <w:r>
        <w:rPr>
          <w:color w:val="000000"/>
          <w:spacing w:val="4"/>
        </w:rPr>
        <w:t>a</w:t>
      </w:r>
      <w:r>
        <w:rPr>
          <w:color w:val="000000"/>
          <w:spacing w:val="-4"/>
        </w:rPr>
        <w:t>i</w:t>
      </w:r>
      <w:r>
        <w:rPr>
          <w:color w:val="000000"/>
          <w:spacing w:val="5"/>
        </w:rPr>
        <w:t>no</w:t>
      </w:r>
      <w:r>
        <w:rPr>
          <w:color w:val="000000"/>
          <w:spacing w:val="-9"/>
        </w:rPr>
        <w:t>m</w:t>
      </w:r>
      <w:r>
        <w:rPr>
          <w:color w:val="000000"/>
        </w:rPr>
        <w:t>s</w:t>
      </w:r>
      <w:r>
        <w:rPr>
          <w:color w:val="000000"/>
          <w:spacing w:val="5"/>
        </w:rPr>
        <w:t xml:space="preserve"> </w:t>
      </w:r>
      <w:r>
        <w:rPr>
          <w:color w:val="000000"/>
          <w:spacing w:val="-5"/>
        </w:rPr>
        <w:t>b</w:t>
      </w:r>
      <w:r>
        <w:rPr>
          <w:color w:val="000000"/>
        </w:rPr>
        <w:t>ū</w:t>
      </w:r>
      <w:r>
        <w:rPr>
          <w:color w:val="000000"/>
          <w:spacing w:val="5"/>
        </w:rPr>
        <w:t>d</w:t>
      </w:r>
      <w:r>
        <w:rPr>
          <w:color w:val="000000"/>
          <w:spacing w:val="-4"/>
        </w:rPr>
        <w:t>i</w:t>
      </w:r>
      <w:r>
        <w:rPr>
          <w:color w:val="000000"/>
        </w:rPr>
        <w:t>nga</w:t>
      </w:r>
      <w:r>
        <w:rPr>
          <w:color w:val="000000"/>
          <w:spacing w:val="6"/>
        </w:rPr>
        <w:t xml:space="preserve"> </w:t>
      </w:r>
      <w:r>
        <w:rPr>
          <w:color w:val="000000"/>
          <w:spacing w:val="5"/>
        </w:rPr>
        <w:t>t</w:t>
      </w:r>
      <w:r>
        <w:rPr>
          <w:color w:val="000000"/>
          <w:spacing w:val="4"/>
        </w:rPr>
        <w:t>a</w:t>
      </w:r>
      <w:r>
        <w:rPr>
          <w:color w:val="000000"/>
          <w:spacing w:val="-9"/>
        </w:rPr>
        <w:t>i</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7"/>
        </w:rPr>
        <w:t xml:space="preserve"> </w:t>
      </w:r>
      <w:r>
        <w:rPr>
          <w:color w:val="000000"/>
          <w:spacing w:val="-9"/>
        </w:rPr>
        <w:t>j</w:t>
      </w:r>
      <w:r>
        <w:rPr>
          <w:color w:val="000000"/>
        </w:rPr>
        <w:t>ų</w:t>
      </w:r>
      <w:r>
        <w:rPr>
          <w:color w:val="000000"/>
          <w:spacing w:val="2"/>
        </w:rPr>
        <w:t xml:space="preserve"> </w:t>
      </w:r>
      <w:r>
        <w:rPr>
          <w:color w:val="000000"/>
          <w:spacing w:val="5"/>
        </w:rPr>
        <w:t>k</w:t>
      </w:r>
      <w:r>
        <w:rPr>
          <w:color w:val="000000"/>
          <w:spacing w:val="4"/>
        </w:rPr>
        <w:t>a</w:t>
      </w:r>
      <w:r>
        <w:rPr>
          <w:color w:val="000000"/>
          <w:spacing w:val="-4"/>
        </w:rPr>
        <w:t>i</w:t>
      </w:r>
      <w:r>
        <w:rPr>
          <w:color w:val="000000"/>
          <w:spacing w:val="-5"/>
        </w:rPr>
        <w:t>n</w:t>
      </w:r>
      <w:r>
        <w:rPr>
          <w:color w:val="000000"/>
          <w:spacing w:val="5"/>
        </w:rPr>
        <w:t>o</w:t>
      </w:r>
      <w:r>
        <w:rPr>
          <w:color w:val="000000"/>
        </w:rPr>
        <w:t xml:space="preserve">s </w:t>
      </w:r>
      <w:r>
        <w:rPr>
          <w:color w:val="000000"/>
          <w:spacing w:val="-2"/>
        </w:rPr>
        <w:t>s</w:t>
      </w:r>
      <w:r>
        <w:rPr>
          <w:color w:val="000000"/>
          <w:spacing w:val="10"/>
        </w:rPr>
        <w:t>t</w:t>
      </w:r>
      <w:r>
        <w:rPr>
          <w:color w:val="000000"/>
          <w:spacing w:val="-9"/>
        </w:rPr>
        <w:t>i</w:t>
      </w:r>
      <w:r>
        <w:rPr>
          <w:color w:val="000000"/>
        </w:rPr>
        <w:t>p</w:t>
      </w:r>
      <w:r>
        <w:rPr>
          <w:color w:val="000000"/>
          <w:spacing w:val="6"/>
        </w:rPr>
        <w:t>r</w:t>
      </w:r>
      <w:r>
        <w:rPr>
          <w:color w:val="000000"/>
          <w:spacing w:val="-4"/>
        </w:rPr>
        <w:t>i</w:t>
      </w:r>
      <w:r>
        <w:rPr>
          <w:color w:val="000000"/>
          <w:spacing w:val="4"/>
        </w:rPr>
        <w:t>a</w:t>
      </w:r>
      <w:r>
        <w:rPr>
          <w:color w:val="000000"/>
        </w:rPr>
        <w:t>i</w:t>
      </w:r>
      <w:r>
        <w:rPr>
          <w:color w:val="000000"/>
          <w:spacing w:val="3"/>
        </w:rPr>
        <w:t xml:space="preserve"> </w:t>
      </w:r>
      <w:r>
        <w:rPr>
          <w:color w:val="000000"/>
          <w:spacing w:val="-4"/>
        </w:rPr>
        <w:t>m</w:t>
      </w:r>
      <w:r>
        <w:rPr>
          <w:color w:val="000000"/>
          <w:spacing w:val="-1"/>
        </w:rPr>
        <w:t>až</w:t>
      </w:r>
      <w:r>
        <w:rPr>
          <w:color w:val="000000"/>
          <w:spacing w:val="4"/>
        </w:rPr>
        <w:t>ė</w:t>
      </w:r>
      <w:r>
        <w:rPr>
          <w:color w:val="000000"/>
          <w:spacing w:val="-4"/>
        </w:rPr>
        <w:t>j</w:t>
      </w:r>
      <w:r>
        <w:rPr>
          <w:color w:val="000000"/>
        </w:rPr>
        <w:t>a</w:t>
      </w:r>
      <w:r>
        <w:rPr>
          <w:color w:val="000000"/>
          <w:spacing w:val="11"/>
        </w:rPr>
        <w:t xml:space="preserve"> </w:t>
      </w:r>
      <w:r>
        <w:rPr>
          <w:color w:val="000000"/>
          <w:spacing w:val="-4"/>
        </w:rPr>
        <w:t>j</w:t>
      </w:r>
      <w:r>
        <w:rPr>
          <w:color w:val="000000"/>
          <w:spacing w:val="-1"/>
        </w:rPr>
        <w:t>a</w:t>
      </w:r>
      <w:r>
        <w:rPr>
          <w:color w:val="000000"/>
        </w:rPr>
        <w:t>u</w:t>
      </w:r>
    </w:p>
    <w:p w:rsidR="004F7425" w:rsidRDefault="004F7425" w:rsidP="004F7425">
      <w:pPr>
        <w:widowControl w:val="0"/>
        <w:autoSpaceDE w:val="0"/>
        <w:autoSpaceDN w:val="0"/>
        <w:adjustRightInd w:val="0"/>
        <w:spacing w:line="271" w:lineRule="exact"/>
        <w:ind w:left="120" w:right="-20"/>
        <w:rPr>
          <w:color w:val="000000"/>
        </w:rPr>
      </w:pPr>
      <w:r>
        <w:rPr>
          <w:color w:val="000000"/>
          <w:spacing w:val="-5"/>
          <w:position w:val="-1"/>
        </w:rPr>
        <w:t>n</w:t>
      </w:r>
      <w:r>
        <w:rPr>
          <w:color w:val="000000"/>
          <w:position w:val="-1"/>
        </w:rPr>
        <w:t>uo</w:t>
      </w:r>
      <w:r>
        <w:rPr>
          <w:color w:val="000000"/>
          <w:spacing w:val="7"/>
          <w:position w:val="-1"/>
        </w:rPr>
        <w:t xml:space="preserve"> </w:t>
      </w:r>
      <w:r>
        <w:rPr>
          <w:color w:val="000000"/>
          <w:position w:val="-1"/>
        </w:rPr>
        <w:t>10</w:t>
      </w:r>
      <w:r>
        <w:rPr>
          <w:color w:val="000000"/>
          <w:spacing w:val="2"/>
          <w:position w:val="-1"/>
        </w:rPr>
        <w:t xml:space="preserve"> </w:t>
      </w:r>
      <w:r>
        <w:rPr>
          <w:color w:val="000000"/>
          <w:spacing w:val="-5"/>
          <w:position w:val="-1"/>
        </w:rPr>
        <w:t>g</w:t>
      </w:r>
      <w:r>
        <w:rPr>
          <w:color w:val="000000"/>
          <w:position w:val="-1"/>
        </w:rPr>
        <w:t>, o</w:t>
      </w:r>
      <w:r>
        <w:rPr>
          <w:color w:val="000000"/>
          <w:spacing w:val="-1"/>
          <w:position w:val="-1"/>
        </w:rPr>
        <w:t xml:space="preserve"> </w:t>
      </w:r>
      <w:r>
        <w:rPr>
          <w:color w:val="000000"/>
          <w:spacing w:val="5"/>
          <w:position w:val="-1"/>
        </w:rPr>
        <w:t>t</w:t>
      </w:r>
      <w:r>
        <w:rPr>
          <w:color w:val="000000"/>
          <w:spacing w:val="-1"/>
          <w:position w:val="-1"/>
        </w:rPr>
        <w:t>a</w:t>
      </w:r>
      <w:r>
        <w:rPr>
          <w:color w:val="000000"/>
          <w:position w:val="-1"/>
        </w:rPr>
        <w:t>i</w:t>
      </w:r>
      <w:r>
        <w:rPr>
          <w:color w:val="000000"/>
          <w:spacing w:val="-7"/>
          <w:position w:val="-1"/>
        </w:rPr>
        <w:t xml:space="preserve"> </w:t>
      </w:r>
      <w:r>
        <w:rPr>
          <w:color w:val="000000"/>
          <w:position w:val="-1"/>
        </w:rPr>
        <w:t>g</w:t>
      </w:r>
      <w:r>
        <w:rPr>
          <w:color w:val="000000"/>
          <w:spacing w:val="4"/>
          <w:position w:val="-1"/>
        </w:rPr>
        <w:t>a</w:t>
      </w:r>
      <w:r>
        <w:rPr>
          <w:color w:val="000000"/>
          <w:spacing w:val="-4"/>
          <w:position w:val="-1"/>
        </w:rPr>
        <w:t>l</w:t>
      </w:r>
      <w:r>
        <w:rPr>
          <w:color w:val="000000"/>
          <w:spacing w:val="-1"/>
          <w:position w:val="-1"/>
        </w:rPr>
        <w:t>ė</w:t>
      </w:r>
      <w:r>
        <w:rPr>
          <w:color w:val="000000"/>
          <w:spacing w:val="5"/>
          <w:position w:val="-1"/>
        </w:rPr>
        <w:t>t</w:t>
      </w:r>
      <w:r>
        <w:rPr>
          <w:color w:val="000000"/>
          <w:position w:val="-1"/>
        </w:rPr>
        <w:t>ų</w:t>
      </w:r>
      <w:r>
        <w:rPr>
          <w:color w:val="000000"/>
          <w:spacing w:val="2"/>
          <w:position w:val="-1"/>
        </w:rPr>
        <w:t xml:space="preserve"> </w:t>
      </w:r>
      <w:r>
        <w:rPr>
          <w:color w:val="000000"/>
          <w:spacing w:val="-3"/>
          <w:position w:val="-1"/>
        </w:rPr>
        <w:t>r</w:t>
      </w:r>
      <w:r>
        <w:rPr>
          <w:color w:val="000000"/>
          <w:spacing w:val="5"/>
          <w:position w:val="-1"/>
        </w:rPr>
        <w:t>o</w:t>
      </w:r>
      <w:r>
        <w:rPr>
          <w:color w:val="000000"/>
          <w:position w:val="-1"/>
        </w:rPr>
        <w:t>d</w:t>
      </w:r>
      <w:r>
        <w:rPr>
          <w:color w:val="000000"/>
          <w:spacing w:val="-10"/>
          <w:position w:val="-1"/>
        </w:rPr>
        <w:t>y</w:t>
      </w:r>
      <w:r>
        <w:rPr>
          <w:color w:val="000000"/>
          <w:spacing w:val="10"/>
          <w:position w:val="-1"/>
        </w:rPr>
        <w:t>t</w:t>
      </w:r>
      <w:r>
        <w:rPr>
          <w:color w:val="000000"/>
          <w:spacing w:val="-9"/>
          <w:position w:val="-1"/>
        </w:rPr>
        <w:t>i</w:t>
      </w:r>
      <w:r>
        <w:rPr>
          <w:color w:val="000000"/>
          <w:position w:val="-1"/>
        </w:rPr>
        <w:t>,</w:t>
      </w:r>
      <w:r>
        <w:rPr>
          <w:color w:val="000000"/>
          <w:spacing w:val="4"/>
          <w:position w:val="-1"/>
        </w:rPr>
        <w:t xml:space="preserve"> </w:t>
      </w:r>
      <w:r>
        <w:rPr>
          <w:color w:val="000000"/>
          <w:position w:val="-1"/>
        </w:rPr>
        <w:t>k</w:t>
      </w:r>
      <w:r>
        <w:rPr>
          <w:color w:val="000000"/>
          <w:spacing w:val="-1"/>
          <w:position w:val="-1"/>
        </w:rPr>
        <w:t>a</w:t>
      </w:r>
      <w:r>
        <w:rPr>
          <w:color w:val="000000"/>
          <w:position w:val="-1"/>
        </w:rPr>
        <w:t>d</w:t>
      </w:r>
      <w:r>
        <w:rPr>
          <w:color w:val="000000"/>
          <w:spacing w:val="2"/>
          <w:position w:val="-1"/>
        </w:rPr>
        <w:t xml:space="preserve"> </w:t>
      </w:r>
      <w:r>
        <w:rPr>
          <w:color w:val="000000"/>
          <w:spacing w:val="-5"/>
          <w:position w:val="-1"/>
        </w:rPr>
        <w:t>n</w:t>
      </w:r>
      <w:r>
        <w:rPr>
          <w:color w:val="000000"/>
          <w:spacing w:val="-1"/>
          <w:position w:val="-1"/>
        </w:rPr>
        <w:t>a</w:t>
      </w:r>
      <w:r>
        <w:rPr>
          <w:color w:val="000000"/>
          <w:spacing w:val="1"/>
          <w:position w:val="-1"/>
        </w:rPr>
        <w:t>r</w:t>
      </w:r>
      <w:r>
        <w:rPr>
          <w:color w:val="000000"/>
          <w:position w:val="-1"/>
        </w:rPr>
        <w:t>ko</w:t>
      </w:r>
      <w:r>
        <w:rPr>
          <w:color w:val="000000"/>
          <w:spacing w:val="5"/>
          <w:position w:val="-1"/>
        </w:rPr>
        <w:t>t</w:t>
      </w:r>
      <w:r>
        <w:rPr>
          <w:color w:val="000000"/>
          <w:spacing w:val="-9"/>
          <w:position w:val="-1"/>
        </w:rPr>
        <w:t>i</w:t>
      </w:r>
      <w:r>
        <w:rPr>
          <w:color w:val="000000"/>
          <w:position w:val="-1"/>
        </w:rPr>
        <w:t>kų</w:t>
      </w:r>
      <w:r>
        <w:rPr>
          <w:color w:val="000000"/>
          <w:spacing w:val="2"/>
          <w:position w:val="-1"/>
        </w:rPr>
        <w:t xml:space="preserve"> </w:t>
      </w:r>
      <w:r>
        <w:rPr>
          <w:color w:val="000000"/>
          <w:spacing w:val="6"/>
          <w:position w:val="-1"/>
        </w:rPr>
        <w:t>r</w:t>
      </w:r>
      <w:r>
        <w:rPr>
          <w:color w:val="000000"/>
          <w:spacing w:val="-4"/>
          <w:position w:val="-1"/>
        </w:rPr>
        <w:t>i</w:t>
      </w:r>
      <w:r>
        <w:rPr>
          <w:color w:val="000000"/>
          <w:spacing w:val="-5"/>
          <w:position w:val="-1"/>
        </w:rPr>
        <w:t>n</w:t>
      </w:r>
      <w:r>
        <w:rPr>
          <w:color w:val="000000"/>
          <w:position w:val="-1"/>
        </w:rPr>
        <w:t>ka</w:t>
      </w:r>
      <w:r>
        <w:rPr>
          <w:color w:val="000000"/>
          <w:spacing w:val="1"/>
          <w:position w:val="-1"/>
        </w:rPr>
        <w:t xml:space="preserve"> </w:t>
      </w:r>
      <w:r>
        <w:rPr>
          <w:color w:val="000000"/>
          <w:spacing w:val="2"/>
          <w:position w:val="-1"/>
        </w:rPr>
        <w:t>š</w:t>
      </w:r>
      <w:r>
        <w:rPr>
          <w:color w:val="000000"/>
          <w:spacing w:val="4"/>
          <w:position w:val="-1"/>
        </w:rPr>
        <w:t>a</w:t>
      </w:r>
      <w:r>
        <w:rPr>
          <w:color w:val="000000"/>
          <w:spacing w:val="-4"/>
          <w:position w:val="-1"/>
        </w:rPr>
        <w:t>l</w:t>
      </w:r>
      <w:r>
        <w:rPr>
          <w:color w:val="000000"/>
          <w:position w:val="-1"/>
        </w:rPr>
        <w:t>y</w:t>
      </w:r>
      <w:r>
        <w:rPr>
          <w:color w:val="000000"/>
          <w:spacing w:val="-4"/>
          <w:position w:val="-1"/>
        </w:rPr>
        <w:t>j</w:t>
      </w:r>
      <w:r>
        <w:rPr>
          <w:color w:val="000000"/>
          <w:position w:val="-1"/>
        </w:rPr>
        <w:t>e</w:t>
      </w:r>
      <w:r>
        <w:rPr>
          <w:color w:val="000000"/>
          <w:spacing w:val="6"/>
          <w:position w:val="-1"/>
        </w:rPr>
        <w:t xml:space="preserve"> </w:t>
      </w:r>
      <w:r>
        <w:rPr>
          <w:color w:val="000000"/>
          <w:spacing w:val="-5"/>
          <w:position w:val="-1"/>
        </w:rPr>
        <w:t>n</w:t>
      </w:r>
      <w:r>
        <w:rPr>
          <w:color w:val="000000"/>
          <w:spacing w:val="-1"/>
          <w:position w:val="-1"/>
        </w:rPr>
        <w:t>ė</w:t>
      </w:r>
      <w:r>
        <w:rPr>
          <w:color w:val="000000"/>
          <w:spacing w:val="1"/>
          <w:position w:val="-1"/>
        </w:rPr>
        <w:t>r</w:t>
      </w:r>
      <w:r>
        <w:rPr>
          <w:color w:val="000000"/>
          <w:position w:val="-1"/>
        </w:rPr>
        <w:t>a</w:t>
      </w:r>
      <w:r>
        <w:rPr>
          <w:color w:val="000000"/>
          <w:spacing w:val="1"/>
          <w:position w:val="-1"/>
        </w:rPr>
        <w:t xml:space="preserve"> </w:t>
      </w:r>
      <w:r>
        <w:rPr>
          <w:color w:val="000000"/>
          <w:spacing w:val="5"/>
          <w:position w:val="-1"/>
        </w:rPr>
        <w:t>d</w:t>
      </w:r>
      <w:r>
        <w:rPr>
          <w:color w:val="000000"/>
          <w:spacing w:val="-9"/>
          <w:position w:val="-1"/>
        </w:rPr>
        <w:t>i</w:t>
      </w:r>
      <w:r>
        <w:rPr>
          <w:color w:val="000000"/>
          <w:position w:val="-1"/>
        </w:rPr>
        <w:t>d</w:t>
      </w:r>
      <w:r>
        <w:rPr>
          <w:color w:val="000000"/>
          <w:spacing w:val="4"/>
          <w:position w:val="-1"/>
        </w:rPr>
        <w:t>e</w:t>
      </w:r>
      <w:r>
        <w:rPr>
          <w:color w:val="000000"/>
          <w:spacing w:val="-4"/>
          <w:position w:val="-1"/>
        </w:rPr>
        <w:t>l</w:t>
      </w:r>
      <w:r>
        <w:rPr>
          <w:color w:val="000000"/>
          <w:spacing w:val="-1"/>
          <w:position w:val="-1"/>
        </w:rPr>
        <w:t>ė</w:t>
      </w:r>
      <w:r>
        <w:rPr>
          <w:color w:val="000000"/>
          <w:position w:val="-1"/>
        </w:rPr>
        <w:t>.</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8" w:line="220" w:lineRule="exact"/>
        <w:rPr>
          <w:color w:val="000000"/>
        </w:rPr>
      </w:pPr>
    </w:p>
    <w:p w:rsidR="004F7425" w:rsidRDefault="004F7425" w:rsidP="004F7425">
      <w:pPr>
        <w:widowControl w:val="0"/>
        <w:autoSpaceDE w:val="0"/>
        <w:autoSpaceDN w:val="0"/>
        <w:adjustRightInd w:val="0"/>
        <w:spacing w:before="38" w:line="301" w:lineRule="exact"/>
        <w:ind w:left="120" w:right="-20"/>
        <w:rPr>
          <w:color w:val="000000"/>
          <w:sz w:val="20"/>
        </w:rPr>
      </w:pPr>
      <w:r>
        <w:rPr>
          <w:noProof/>
          <w:lang w:eastAsia="lt-LT"/>
        </w:rPr>
        <mc:AlternateContent>
          <mc:Choice Requires="wps">
            <w:drawing>
              <wp:anchor distT="0" distB="0" distL="114300" distR="114300" simplePos="0" relativeHeight="251745280" behindDoc="1" locked="0" layoutInCell="0" allowOverlap="1">
                <wp:simplePos x="0" y="0"/>
                <wp:positionH relativeFrom="page">
                  <wp:posOffset>1078865</wp:posOffset>
                </wp:positionH>
                <wp:positionV relativeFrom="paragraph">
                  <wp:posOffset>-24130</wp:posOffset>
                </wp:positionV>
                <wp:extent cx="1830070" cy="12700"/>
                <wp:effectExtent l="0" t="0" r="17780" b="6350"/>
                <wp:wrapNone/>
                <wp:docPr id="251" name="Laisva forma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12700"/>
                        </a:xfrm>
                        <a:custGeom>
                          <a:avLst/>
                          <a:gdLst>
                            <a:gd name="T0" fmla="*/ 0 w 2882"/>
                            <a:gd name="T1" fmla="*/ 0 h 20"/>
                            <a:gd name="T2" fmla="*/ 2881 w 2882"/>
                            <a:gd name="T3" fmla="*/ 0 h 20"/>
                          </a:gdLst>
                          <a:ahLst/>
                          <a:cxnLst>
                            <a:cxn ang="0">
                              <a:pos x="T0" y="T1"/>
                            </a:cxn>
                            <a:cxn ang="0">
                              <a:pos x="T2" y="T3"/>
                            </a:cxn>
                          </a:cxnLst>
                          <a:rect l="0" t="0" r="r" b="b"/>
                          <a:pathLst>
                            <a:path w="2882" h="20">
                              <a:moveTo>
                                <a:pt x="0" y="0"/>
                              </a:moveTo>
                              <a:lnTo>
                                <a:pt x="288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Laisva forma 251" o:spid="_x0000_s1026" style="position:absolute;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4.95pt,-1.9pt,229pt,-1.9pt" coordsize="28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" o:allowincell="f" filled="f" strokeweight=".20458mm">
                <v:path arrowok="t" o:connecttype="custom" o:connectlocs="0,0;1829435,0" o:connectangles="0,0"/>
                <w10:wrap anchorx="page"/>
              </v:polyline>
            </w:pict>
          </mc:Fallback>
        </mc:AlternateContent>
      </w:r>
      <w:r>
        <w:rPr>
          <w:color w:val="000000"/>
          <w:position w:val="9"/>
          <w:sz w:val="16"/>
          <w:szCs w:val="16"/>
        </w:rPr>
        <w:t>1</w:t>
      </w:r>
      <w:r>
        <w:rPr>
          <w:color w:val="000000"/>
          <w:spacing w:val="23"/>
          <w:position w:val="9"/>
          <w:sz w:val="16"/>
          <w:szCs w:val="16"/>
        </w:rPr>
        <w:t xml:space="preserve"> </w:t>
      </w:r>
      <w:r>
        <w:rPr>
          <w:color w:val="000000"/>
          <w:spacing w:val="-2"/>
          <w:position w:val="-2"/>
          <w:sz w:val="20"/>
        </w:rPr>
        <w:t>V</w:t>
      </w:r>
      <w:r>
        <w:rPr>
          <w:color w:val="000000"/>
          <w:spacing w:val="1"/>
          <w:position w:val="-2"/>
          <w:sz w:val="20"/>
        </w:rPr>
        <w:t>al</w:t>
      </w:r>
      <w:r>
        <w:rPr>
          <w:color w:val="000000"/>
          <w:spacing w:val="-6"/>
          <w:position w:val="-2"/>
          <w:sz w:val="20"/>
        </w:rPr>
        <w:t>s</w:t>
      </w:r>
      <w:r>
        <w:rPr>
          <w:color w:val="000000"/>
          <w:spacing w:val="1"/>
          <w:position w:val="-2"/>
          <w:sz w:val="20"/>
        </w:rPr>
        <w:t>t</w:t>
      </w:r>
      <w:r>
        <w:rPr>
          <w:color w:val="000000"/>
          <w:spacing w:val="-5"/>
          <w:position w:val="-2"/>
          <w:sz w:val="20"/>
        </w:rPr>
        <w:t>y</w:t>
      </w:r>
      <w:r>
        <w:rPr>
          <w:color w:val="000000"/>
          <w:position w:val="-2"/>
          <w:sz w:val="20"/>
        </w:rPr>
        <w:t>b</w:t>
      </w:r>
      <w:r>
        <w:rPr>
          <w:color w:val="000000"/>
          <w:spacing w:val="-3"/>
          <w:position w:val="-2"/>
          <w:sz w:val="20"/>
        </w:rPr>
        <w:t>ė</w:t>
      </w:r>
      <w:r>
        <w:rPr>
          <w:color w:val="000000"/>
          <w:position w:val="-2"/>
          <w:sz w:val="20"/>
        </w:rPr>
        <w:t>s</w:t>
      </w:r>
      <w:r>
        <w:rPr>
          <w:color w:val="000000"/>
          <w:spacing w:val="1"/>
          <w:position w:val="-2"/>
          <w:sz w:val="20"/>
        </w:rPr>
        <w:t xml:space="preserve"> </w:t>
      </w:r>
      <w:r>
        <w:rPr>
          <w:color w:val="000000"/>
          <w:spacing w:val="-2"/>
          <w:position w:val="-2"/>
          <w:sz w:val="20"/>
        </w:rPr>
        <w:t>s</w:t>
      </w:r>
      <w:r>
        <w:rPr>
          <w:color w:val="000000"/>
          <w:spacing w:val="1"/>
          <w:position w:val="-2"/>
          <w:sz w:val="20"/>
        </w:rPr>
        <w:t>i</w:t>
      </w:r>
      <w:r>
        <w:rPr>
          <w:color w:val="000000"/>
          <w:spacing w:val="-3"/>
          <w:position w:val="-2"/>
          <w:sz w:val="20"/>
        </w:rPr>
        <w:t>e</w:t>
      </w:r>
      <w:r>
        <w:rPr>
          <w:color w:val="000000"/>
          <w:spacing w:val="5"/>
          <w:position w:val="-2"/>
          <w:sz w:val="20"/>
        </w:rPr>
        <w:t>n</w:t>
      </w:r>
      <w:r>
        <w:rPr>
          <w:color w:val="000000"/>
          <w:spacing w:val="-5"/>
          <w:position w:val="-2"/>
          <w:sz w:val="20"/>
        </w:rPr>
        <w:t>o</w:t>
      </w:r>
      <w:r>
        <w:rPr>
          <w:color w:val="000000"/>
          <w:position w:val="-2"/>
          <w:sz w:val="20"/>
        </w:rPr>
        <w:t>s</w:t>
      </w:r>
      <w:r>
        <w:rPr>
          <w:color w:val="000000"/>
          <w:spacing w:val="1"/>
          <w:position w:val="-2"/>
          <w:sz w:val="20"/>
        </w:rPr>
        <w:t xml:space="preserve"> a</w:t>
      </w:r>
      <w:r>
        <w:rPr>
          <w:color w:val="000000"/>
          <w:position w:val="-2"/>
          <w:sz w:val="20"/>
        </w:rPr>
        <w:t>p</w:t>
      </w:r>
      <w:r>
        <w:rPr>
          <w:color w:val="000000"/>
          <w:spacing w:val="-2"/>
          <w:position w:val="-2"/>
          <w:sz w:val="20"/>
        </w:rPr>
        <w:t>s</w:t>
      </w:r>
      <w:r>
        <w:rPr>
          <w:color w:val="000000"/>
          <w:spacing w:val="1"/>
          <w:position w:val="-2"/>
          <w:sz w:val="20"/>
        </w:rPr>
        <w:t>a</w:t>
      </w:r>
      <w:r>
        <w:rPr>
          <w:color w:val="000000"/>
          <w:spacing w:val="-5"/>
          <w:position w:val="-2"/>
          <w:sz w:val="20"/>
        </w:rPr>
        <w:t>u</w:t>
      </w:r>
      <w:r>
        <w:rPr>
          <w:color w:val="000000"/>
          <w:position w:val="-2"/>
          <w:sz w:val="20"/>
        </w:rPr>
        <w:t>g</w:t>
      </w:r>
      <w:r>
        <w:rPr>
          <w:color w:val="000000"/>
          <w:spacing w:val="-5"/>
          <w:position w:val="-2"/>
          <w:sz w:val="20"/>
        </w:rPr>
        <w:t>o</w:t>
      </w:r>
      <w:r>
        <w:rPr>
          <w:color w:val="000000"/>
          <w:position w:val="-2"/>
          <w:sz w:val="20"/>
        </w:rPr>
        <w:t>s</w:t>
      </w:r>
      <w:r>
        <w:rPr>
          <w:color w:val="000000"/>
          <w:spacing w:val="1"/>
          <w:position w:val="-2"/>
          <w:sz w:val="20"/>
        </w:rPr>
        <w:t xml:space="preserve"> t</w:t>
      </w:r>
      <w:r>
        <w:rPr>
          <w:color w:val="000000"/>
          <w:spacing w:val="-3"/>
          <w:position w:val="-2"/>
          <w:sz w:val="20"/>
        </w:rPr>
        <w:t>a</w:t>
      </w:r>
      <w:r>
        <w:rPr>
          <w:color w:val="000000"/>
          <w:position w:val="-2"/>
          <w:sz w:val="20"/>
        </w:rPr>
        <w:t>r</w:t>
      </w:r>
      <w:r>
        <w:rPr>
          <w:color w:val="000000"/>
          <w:spacing w:val="5"/>
          <w:position w:val="-2"/>
          <w:sz w:val="20"/>
        </w:rPr>
        <w:t>n</w:t>
      </w:r>
      <w:r>
        <w:rPr>
          <w:color w:val="000000"/>
          <w:spacing w:val="-10"/>
          <w:position w:val="-2"/>
          <w:sz w:val="20"/>
        </w:rPr>
        <w:t>y</w:t>
      </w:r>
      <w:r>
        <w:rPr>
          <w:color w:val="000000"/>
          <w:position w:val="-2"/>
          <w:sz w:val="20"/>
        </w:rPr>
        <w:t>b</w:t>
      </w:r>
      <w:r>
        <w:rPr>
          <w:color w:val="000000"/>
          <w:spacing w:val="-5"/>
          <w:position w:val="-2"/>
          <w:sz w:val="20"/>
        </w:rPr>
        <w:t>o</w:t>
      </w:r>
      <w:r>
        <w:rPr>
          <w:color w:val="000000"/>
          <w:position w:val="-2"/>
          <w:sz w:val="20"/>
        </w:rPr>
        <w:t>s</w:t>
      </w:r>
      <w:r>
        <w:rPr>
          <w:color w:val="000000"/>
          <w:spacing w:val="1"/>
          <w:position w:val="-2"/>
          <w:sz w:val="20"/>
        </w:rPr>
        <w:t xml:space="preserve"> </w:t>
      </w:r>
      <w:r>
        <w:rPr>
          <w:color w:val="000000"/>
          <w:position w:val="-2"/>
          <w:sz w:val="20"/>
        </w:rPr>
        <w:t>2012</w:t>
      </w:r>
      <w:r>
        <w:rPr>
          <w:color w:val="000000"/>
          <w:spacing w:val="3"/>
          <w:position w:val="-2"/>
          <w:sz w:val="20"/>
        </w:rPr>
        <w:t xml:space="preserve"> </w:t>
      </w:r>
      <w:r>
        <w:rPr>
          <w:color w:val="000000"/>
          <w:spacing w:val="-3"/>
          <w:position w:val="-2"/>
          <w:sz w:val="20"/>
        </w:rPr>
        <w:t>m</w:t>
      </w:r>
      <w:r>
        <w:rPr>
          <w:color w:val="000000"/>
          <w:position w:val="-2"/>
          <w:sz w:val="20"/>
        </w:rPr>
        <w:t>.</w:t>
      </w:r>
      <w:r>
        <w:rPr>
          <w:color w:val="000000"/>
          <w:spacing w:val="5"/>
          <w:position w:val="-2"/>
          <w:sz w:val="20"/>
        </w:rPr>
        <w:t xml:space="preserve"> </w:t>
      </w:r>
      <w:r>
        <w:rPr>
          <w:color w:val="000000"/>
          <w:spacing w:val="-5"/>
          <w:position w:val="-2"/>
          <w:sz w:val="20"/>
        </w:rPr>
        <w:t>d</w:t>
      </w:r>
      <w:r>
        <w:rPr>
          <w:color w:val="000000"/>
          <w:position w:val="-2"/>
          <w:sz w:val="20"/>
        </w:rPr>
        <w:t>u</w:t>
      </w:r>
      <w:r>
        <w:rPr>
          <w:color w:val="000000"/>
          <w:spacing w:val="-5"/>
          <w:position w:val="-2"/>
          <w:sz w:val="20"/>
        </w:rPr>
        <w:t>o</w:t>
      </w:r>
      <w:r>
        <w:rPr>
          <w:color w:val="000000"/>
          <w:spacing w:val="1"/>
          <w:position w:val="-2"/>
          <w:sz w:val="20"/>
        </w:rPr>
        <w:t>m</w:t>
      </w:r>
      <w:r>
        <w:rPr>
          <w:color w:val="000000"/>
          <w:spacing w:val="-3"/>
          <w:position w:val="-2"/>
          <w:sz w:val="20"/>
        </w:rPr>
        <w:t>e</w:t>
      </w:r>
      <w:r>
        <w:rPr>
          <w:color w:val="000000"/>
          <w:spacing w:val="5"/>
          <w:position w:val="-2"/>
          <w:sz w:val="20"/>
        </w:rPr>
        <w:t>n</w:t>
      </w:r>
      <w:r>
        <w:rPr>
          <w:color w:val="000000"/>
          <w:spacing w:val="-10"/>
          <w:position w:val="-2"/>
          <w:sz w:val="20"/>
        </w:rPr>
        <w:t>y</w:t>
      </w:r>
      <w:r>
        <w:rPr>
          <w:color w:val="000000"/>
          <w:position w:val="-2"/>
          <w:sz w:val="20"/>
        </w:rPr>
        <w:t>s</w:t>
      </w:r>
    </w:p>
    <w:p w:rsidR="004F7425" w:rsidRDefault="004F7425" w:rsidP="004F7425">
      <w:pPr>
        <w:widowControl w:val="0"/>
        <w:autoSpaceDE w:val="0"/>
        <w:autoSpaceDN w:val="0"/>
        <w:adjustRightInd w:val="0"/>
        <w:spacing w:line="233" w:lineRule="exact"/>
        <w:ind w:left="120" w:right="-20"/>
        <w:rPr>
          <w:color w:val="000000"/>
          <w:sz w:val="20"/>
        </w:rPr>
      </w:pPr>
      <w:r>
        <w:rPr>
          <w:color w:val="000000"/>
          <w:position w:val="8"/>
          <w:sz w:val="13"/>
          <w:szCs w:val="13"/>
        </w:rPr>
        <w:t>2</w:t>
      </w:r>
      <w:r>
        <w:rPr>
          <w:color w:val="000000"/>
          <w:spacing w:val="22"/>
          <w:position w:val="8"/>
          <w:sz w:val="13"/>
          <w:szCs w:val="13"/>
        </w:rPr>
        <w:t xml:space="preserve"> </w:t>
      </w:r>
      <w:r>
        <w:rPr>
          <w:color w:val="000000"/>
          <w:spacing w:val="-2"/>
          <w:position w:val="-1"/>
          <w:sz w:val="20"/>
        </w:rPr>
        <w:t>M</w:t>
      </w:r>
      <w:r>
        <w:rPr>
          <w:color w:val="000000"/>
          <w:position w:val="-1"/>
          <w:sz w:val="20"/>
        </w:rPr>
        <w:t>u</w:t>
      </w:r>
      <w:r>
        <w:rPr>
          <w:color w:val="000000"/>
          <w:spacing w:val="-3"/>
          <w:position w:val="-1"/>
          <w:sz w:val="20"/>
        </w:rPr>
        <w:t>i</w:t>
      </w:r>
      <w:r>
        <w:rPr>
          <w:color w:val="000000"/>
          <w:spacing w:val="1"/>
          <w:position w:val="-1"/>
          <w:sz w:val="20"/>
        </w:rPr>
        <w:t>t</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1"/>
          <w:position w:val="-1"/>
          <w:sz w:val="20"/>
        </w:rPr>
        <w:t xml:space="preserve"> </w:t>
      </w:r>
      <w:r>
        <w:rPr>
          <w:color w:val="000000"/>
          <w:spacing w:val="-5"/>
          <w:position w:val="-1"/>
          <w:sz w:val="20"/>
        </w:rPr>
        <w:t>k</w:t>
      </w:r>
      <w:r>
        <w:rPr>
          <w:color w:val="000000"/>
          <w:position w:val="-1"/>
          <w:sz w:val="20"/>
        </w:rPr>
        <w:t>r</w:t>
      </w:r>
      <w:r>
        <w:rPr>
          <w:color w:val="000000"/>
          <w:spacing w:val="1"/>
          <w:position w:val="-1"/>
          <w:sz w:val="20"/>
        </w:rPr>
        <w:t>i</w:t>
      </w:r>
      <w:r>
        <w:rPr>
          <w:color w:val="000000"/>
          <w:spacing w:val="-3"/>
          <w:position w:val="-1"/>
          <w:sz w:val="20"/>
        </w:rPr>
        <w:t>mi</w:t>
      </w:r>
      <w:r>
        <w:rPr>
          <w:color w:val="000000"/>
          <w:spacing w:val="5"/>
          <w:position w:val="-1"/>
          <w:sz w:val="20"/>
        </w:rPr>
        <w:t>n</w:t>
      </w:r>
      <w:r>
        <w:rPr>
          <w:color w:val="000000"/>
          <w:spacing w:val="-3"/>
          <w:position w:val="-1"/>
          <w:sz w:val="20"/>
        </w:rPr>
        <w:t>a</w:t>
      </w:r>
      <w:r>
        <w:rPr>
          <w:color w:val="000000"/>
          <w:spacing w:val="1"/>
          <w:position w:val="-1"/>
          <w:sz w:val="20"/>
        </w:rPr>
        <w:t>l</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4"/>
          <w:position w:val="-1"/>
          <w:sz w:val="20"/>
        </w:rPr>
        <w:t xml:space="preserve"> </w:t>
      </w:r>
      <w:r>
        <w:rPr>
          <w:color w:val="000000"/>
          <w:spacing w:val="1"/>
          <w:position w:val="-1"/>
          <w:sz w:val="20"/>
        </w:rPr>
        <w:t>t</w:t>
      </w:r>
      <w:r>
        <w:rPr>
          <w:color w:val="000000"/>
          <w:spacing w:val="-3"/>
          <w:position w:val="-1"/>
          <w:sz w:val="20"/>
        </w:rPr>
        <w:t>a</w:t>
      </w:r>
      <w:r>
        <w:rPr>
          <w:color w:val="000000"/>
          <w:position w:val="-1"/>
          <w:sz w:val="20"/>
        </w:rPr>
        <w:t>r</w:t>
      </w:r>
      <w:r>
        <w:rPr>
          <w:color w:val="000000"/>
          <w:spacing w:val="5"/>
          <w:position w:val="-1"/>
          <w:sz w:val="20"/>
        </w:rPr>
        <w:t>n</w:t>
      </w:r>
      <w:r>
        <w:rPr>
          <w:color w:val="000000"/>
          <w:spacing w:val="-10"/>
          <w:position w:val="-1"/>
          <w:sz w:val="20"/>
        </w:rPr>
        <w:t>y</w:t>
      </w:r>
      <w:r>
        <w:rPr>
          <w:color w:val="000000"/>
          <w:position w:val="-1"/>
          <w:sz w:val="20"/>
        </w:rPr>
        <w:t>b</w:t>
      </w:r>
      <w:r>
        <w:rPr>
          <w:color w:val="000000"/>
          <w:spacing w:val="-5"/>
          <w:position w:val="-1"/>
          <w:sz w:val="20"/>
        </w:rPr>
        <w:t>o</w:t>
      </w:r>
      <w:r>
        <w:rPr>
          <w:color w:val="000000"/>
          <w:position w:val="-1"/>
          <w:sz w:val="20"/>
        </w:rPr>
        <w:t>s</w:t>
      </w:r>
      <w:r>
        <w:rPr>
          <w:color w:val="000000"/>
          <w:spacing w:val="1"/>
          <w:position w:val="-1"/>
          <w:sz w:val="20"/>
        </w:rPr>
        <w:t xml:space="preserve"> </w:t>
      </w:r>
      <w:r>
        <w:rPr>
          <w:color w:val="000000"/>
          <w:position w:val="-1"/>
          <w:sz w:val="20"/>
        </w:rPr>
        <w:t>2012</w:t>
      </w:r>
      <w:r>
        <w:rPr>
          <w:color w:val="000000"/>
          <w:spacing w:val="3"/>
          <w:position w:val="-1"/>
          <w:sz w:val="20"/>
        </w:rPr>
        <w:t xml:space="preserve"> </w:t>
      </w:r>
      <w:r>
        <w:rPr>
          <w:color w:val="000000"/>
          <w:spacing w:val="-3"/>
          <w:position w:val="-1"/>
          <w:sz w:val="20"/>
        </w:rPr>
        <w:t>m</w:t>
      </w:r>
      <w:r>
        <w:rPr>
          <w:color w:val="000000"/>
          <w:position w:val="-1"/>
          <w:sz w:val="20"/>
        </w:rPr>
        <w:t>. p</w:t>
      </w:r>
      <w:r>
        <w:rPr>
          <w:color w:val="000000"/>
          <w:spacing w:val="-3"/>
          <w:position w:val="-1"/>
          <w:sz w:val="20"/>
        </w:rPr>
        <w:t>a</w:t>
      </w:r>
      <w:r>
        <w:rPr>
          <w:color w:val="000000"/>
          <w:spacing w:val="1"/>
          <w:position w:val="-1"/>
          <w:sz w:val="20"/>
        </w:rPr>
        <w:t>ž</w:t>
      </w:r>
      <w:r>
        <w:rPr>
          <w:color w:val="000000"/>
          <w:spacing w:val="-10"/>
          <w:position w:val="-1"/>
          <w:sz w:val="20"/>
        </w:rPr>
        <w:t>y</w:t>
      </w:r>
      <w:r>
        <w:rPr>
          <w:color w:val="000000"/>
          <w:spacing w:val="1"/>
          <w:position w:val="-1"/>
          <w:sz w:val="20"/>
        </w:rPr>
        <w:t>m</w:t>
      </w:r>
      <w:r>
        <w:rPr>
          <w:color w:val="000000"/>
          <w:position w:val="-1"/>
          <w:sz w:val="20"/>
        </w:rPr>
        <w:t>a</w:t>
      </w:r>
    </w:p>
    <w:p w:rsidR="004F7425" w:rsidRDefault="004F7425" w:rsidP="004F7425">
      <w:pPr>
        <w:widowControl w:val="0"/>
        <w:autoSpaceDE w:val="0"/>
        <w:autoSpaceDN w:val="0"/>
        <w:adjustRightInd w:val="0"/>
        <w:spacing w:line="231" w:lineRule="exact"/>
        <w:ind w:left="120" w:right="-20"/>
        <w:rPr>
          <w:color w:val="000000"/>
          <w:sz w:val="20"/>
        </w:rPr>
      </w:pPr>
      <w:r>
        <w:rPr>
          <w:color w:val="000000"/>
          <w:position w:val="8"/>
          <w:sz w:val="13"/>
          <w:szCs w:val="13"/>
        </w:rPr>
        <w:t>3</w:t>
      </w:r>
      <w:r>
        <w:rPr>
          <w:color w:val="000000"/>
          <w:spacing w:val="22"/>
          <w:position w:val="8"/>
          <w:sz w:val="13"/>
          <w:szCs w:val="13"/>
        </w:rPr>
        <w:t xml:space="preserve"> </w:t>
      </w:r>
      <w:r>
        <w:rPr>
          <w:color w:val="000000"/>
          <w:spacing w:val="-2"/>
          <w:position w:val="-1"/>
          <w:sz w:val="20"/>
        </w:rPr>
        <w:t>M</w:t>
      </w:r>
      <w:r>
        <w:rPr>
          <w:color w:val="000000"/>
          <w:position w:val="-1"/>
          <w:sz w:val="20"/>
        </w:rPr>
        <w:t>u</w:t>
      </w:r>
      <w:r>
        <w:rPr>
          <w:color w:val="000000"/>
          <w:spacing w:val="-3"/>
          <w:position w:val="-1"/>
          <w:sz w:val="20"/>
        </w:rPr>
        <w:t>i</w:t>
      </w:r>
      <w:r>
        <w:rPr>
          <w:color w:val="000000"/>
          <w:spacing w:val="1"/>
          <w:position w:val="-1"/>
          <w:sz w:val="20"/>
        </w:rPr>
        <w:t>t</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1"/>
          <w:position w:val="-1"/>
          <w:sz w:val="20"/>
        </w:rPr>
        <w:t xml:space="preserve"> </w:t>
      </w:r>
      <w:r>
        <w:rPr>
          <w:color w:val="000000"/>
          <w:spacing w:val="-5"/>
          <w:position w:val="-1"/>
          <w:sz w:val="20"/>
        </w:rPr>
        <w:t>k</w:t>
      </w:r>
      <w:r>
        <w:rPr>
          <w:color w:val="000000"/>
          <w:position w:val="-1"/>
          <w:sz w:val="20"/>
        </w:rPr>
        <w:t>r</w:t>
      </w:r>
      <w:r>
        <w:rPr>
          <w:color w:val="000000"/>
          <w:spacing w:val="1"/>
          <w:position w:val="-1"/>
          <w:sz w:val="20"/>
        </w:rPr>
        <w:t>i</w:t>
      </w:r>
      <w:r>
        <w:rPr>
          <w:color w:val="000000"/>
          <w:spacing w:val="-3"/>
          <w:position w:val="-1"/>
          <w:sz w:val="20"/>
        </w:rPr>
        <w:t>mi</w:t>
      </w:r>
      <w:r>
        <w:rPr>
          <w:color w:val="000000"/>
          <w:spacing w:val="5"/>
          <w:position w:val="-1"/>
          <w:sz w:val="20"/>
        </w:rPr>
        <w:t>n</w:t>
      </w:r>
      <w:r>
        <w:rPr>
          <w:color w:val="000000"/>
          <w:spacing w:val="-3"/>
          <w:position w:val="-1"/>
          <w:sz w:val="20"/>
        </w:rPr>
        <w:t>a</w:t>
      </w:r>
      <w:r>
        <w:rPr>
          <w:color w:val="000000"/>
          <w:spacing w:val="1"/>
          <w:position w:val="-1"/>
          <w:sz w:val="20"/>
        </w:rPr>
        <w:t>l</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4"/>
          <w:position w:val="-1"/>
          <w:sz w:val="20"/>
        </w:rPr>
        <w:t xml:space="preserve"> </w:t>
      </w:r>
      <w:r>
        <w:rPr>
          <w:color w:val="000000"/>
          <w:spacing w:val="1"/>
          <w:position w:val="-1"/>
          <w:sz w:val="20"/>
        </w:rPr>
        <w:t>t</w:t>
      </w:r>
      <w:r>
        <w:rPr>
          <w:color w:val="000000"/>
          <w:spacing w:val="-3"/>
          <w:position w:val="-1"/>
          <w:sz w:val="20"/>
        </w:rPr>
        <w:t>a</w:t>
      </w:r>
      <w:r>
        <w:rPr>
          <w:color w:val="000000"/>
          <w:position w:val="-1"/>
          <w:sz w:val="20"/>
        </w:rPr>
        <w:t>r</w:t>
      </w:r>
      <w:r>
        <w:rPr>
          <w:color w:val="000000"/>
          <w:spacing w:val="5"/>
          <w:position w:val="-1"/>
          <w:sz w:val="20"/>
        </w:rPr>
        <w:t>n</w:t>
      </w:r>
      <w:r>
        <w:rPr>
          <w:color w:val="000000"/>
          <w:spacing w:val="-10"/>
          <w:position w:val="-1"/>
          <w:sz w:val="20"/>
        </w:rPr>
        <w:t>y</w:t>
      </w:r>
      <w:r>
        <w:rPr>
          <w:color w:val="000000"/>
          <w:position w:val="-1"/>
          <w:sz w:val="20"/>
        </w:rPr>
        <w:t>b</w:t>
      </w:r>
      <w:r>
        <w:rPr>
          <w:color w:val="000000"/>
          <w:spacing w:val="-5"/>
          <w:position w:val="-1"/>
          <w:sz w:val="20"/>
        </w:rPr>
        <w:t>o</w:t>
      </w:r>
      <w:r>
        <w:rPr>
          <w:color w:val="000000"/>
          <w:position w:val="-1"/>
          <w:sz w:val="20"/>
        </w:rPr>
        <w:t>s</w:t>
      </w:r>
      <w:r>
        <w:rPr>
          <w:color w:val="000000"/>
          <w:spacing w:val="1"/>
          <w:position w:val="-1"/>
          <w:sz w:val="20"/>
        </w:rPr>
        <w:t xml:space="preserve"> </w:t>
      </w:r>
      <w:r>
        <w:rPr>
          <w:color w:val="000000"/>
          <w:position w:val="-1"/>
          <w:sz w:val="20"/>
        </w:rPr>
        <w:t>2012</w:t>
      </w:r>
      <w:r>
        <w:rPr>
          <w:color w:val="000000"/>
          <w:spacing w:val="3"/>
          <w:position w:val="-1"/>
          <w:sz w:val="20"/>
        </w:rPr>
        <w:t xml:space="preserve"> </w:t>
      </w:r>
      <w:r>
        <w:rPr>
          <w:color w:val="000000"/>
          <w:spacing w:val="-3"/>
          <w:position w:val="-1"/>
          <w:sz w:val="20"/>
        </w:rPr>
        <w:t>m</w:t>
      </w:r>
      <w:r>
        <w:rPr>
          <w:color w:val="000000"/>
          <w:position w:val="-1"/>
          <w:sz w:val="20"/>
        </w:rPr>
        <w:t>. p</w:t>
      </w:r>
      <w:r>
        <w:rPr>
          <w:color w:val="000000"/>
          <w:spacing w:val="-3"/>
          <w:position w:val="-1"/>
          <w:sz w:val="20"/>
        </w:rPr>
        <w:t>a</w:t>
      </w:r>
      <w:r>
        <w:rPr>
          <w:color w:val="000000"/>
          <w:spacing w:val="1"/>
          <w:position w:val="-1"/>
          <w:sz w:val="20"/>
        </w:rPr>
        <w:t>ž</w:t>
      </w:r>
      <w:r>
        <w:rPr>
          <w:color w:val="000000"/>
          <w:spacing w:val="-10"/>
          <w:position w:val="-1"/>
          <w:sz w:val="20"/>
        </w:rPr>
        <w:t>y</w:t>
      </w:r>
      <w:r>
        <w:rPr>
          <w:color w:val="000000"/>
          <w:spacing w:val="1"/>
          <w:position w:val="-1"/>
          <w:sz w:val="20"/>
        </w:rPr>
        <w:t>m</w:t>
      </w:r>
      <w:r>
        <w:rPr>
          <w:color w:val="000000"/>
          <w:position w:val="-1"/>
          <w:sz w:val="20"/>
        </w:rPr>
        <w:t>a</w:t>
      </w:r>
    </w:p>
    <w:p w:rsidR="004F7425" w:rsidRDefault="004F7425" w:rsidP="004F7425">
      <w:pPr>
        <w:widowControl w:val="0"/>
        <w:autoSpaceDE w:val="0"/>
        <w:autoSpaceDN w:val="0"/>
        <w:adjustRightInd w:val="0"/>
        <w:spacing w:line="231" w:lineRule="exact"/>
        <w:ind w:left="120" w:right="-20"/>
        <w:rPr>
          <w:color w:val="000000"/>
          <w:sz w:val="20"/>
        </w:rPr>
      </w:pPr>
      <w:r>
        <w:rPr>
          <w:color w:val="000000"/>
          <w:position w:val="8"/>
          <w:sz w:val="13"/>
          <w:szCs w:val="13"/>
        </w:rPr>
        <w:t>4</w:t>
      </w:r>
      <w:r>
        <w:rPr>
          <w:color w:val="000000"/>
          <w:spacing w:val="22"/>
          <w:position w:val="8"/>
          <w:sz w:val="13"/>
          <w:szCs w:val="13"/>
        </w:rPr>
        <w:t xml:space="preserve"> </w:t>
      </w:r>
      <w:r>
        <w:rPr>
          <w:color w:val="000000"/>
          <w:spacing w:val="-2"/>
          <w:position w:val="-1"/>
          <w:sz w:val="20"/>
        </w:rPr>
        <w:t>M</w:t>
      </w:r>
      <w:r>
        <w:rPr>
          <w:color w:val="000000"/>
          <w:position w:val="-1"/>
          <w:sz w:val="20"/>
        </w:rPr>
        <w:t>u</w:t>
      </w:r>
      <w:r>
        <w:rPr>
          <w:color w:val="000000"/>
          <w:spacing w:val="-3"/>
          <w:position w:val="-1"/>
          <w:sz w:val="20"/>
        </w:rPr>
        <w:t>i</w:t>
      </w:r>
      <w:r>
        <w:rPr>
          <w:color w:val="000000"/>
          <w:spacing w:val="1"/>
          <w:position w:val="-1"/>
          <w:sz w:val="20"/>
        </w:rPr>
        <w:t>t</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1"/>
          <w:position w:val="-1"/>
          <w:sz w:val="20"/>
        </w:rPr>
        <w:t xml:space="preserve"> </w:t>
      </w:r>
      <w:r>
        <w:rPr>
          <w:color w:val="000000"/>
          <w:spacing w:val="-5"/>
          <w:position w:val="-1"/>
          <w:sz w:val="20"/>
        </w:rPr>
        <w:t>k</w:t>
      </w:r>
      <w:r>
        <w:rPr>
          <w:color w:val="000000"/>
          <w:position w:val="-1"/>
          <w:sz w:val="20"/>
        </w:rPr>
        <w:t>r</w:t>
      </w:r>
      <w:r>
        <w:rPr>
          <w:color w:val="000000"/>
          <w:spacing w:val="1"/>
          <w:position w:val="-1"/>
          <w:sz w:val="20"/>
        </w:rPr>
        <w:t>i</w:t>
      </w:r>
      <w:r>
        <w:rPr>
          <w:color w:val="000000"/>
          <w:spacing w:val="-3"/>
          <w:position w:val="-1"/>
          <w:sz w:val="20"/>
        </w:rPr>
        <w:t>mi</w:t>
      </w:r>
      <w:r>
        <w:rPr>
          <w:color w:val="000000"/>
          <w:spacing w:val="5"/>
          <w:position w:val="-1"/>
          <w:sz w:val="20"/>
        </w:rPr>
        <w:t>n</w:t>
      </w:r>
      <w:r>
        <w:rPr>
          <w:color w:val="000000"/>
          <w:spacing w:val="-3"/>
          <w:position w:val="-1"/>
          <w:sz w:val="20"/>
        </w:rPr>
        <w:t>a</w:t>
      </w:r>
      <w:r>
        <w:rPr>
          <w:color w:val="000000"/>
          <w:spacing w:val="1"/>
          <w:position w:val="-1"/>
          <w:sz w:val="20"/>
        </w:rPr>
        <w:t>l</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4"/>
          <w:position w:val="-1"/>
          <w:sz w:val="20"/>
        </w:rPr>
        <w:t xml:space="preserve"> </w:t>
      </w:r>
      <w:r>
        <w:rPr>
          <w:color w:val="000000"/>
          <w:spacing w:val="1"/>
          <w:position w:val="-1"/>
          <w:sz w:val="20"/>
        </w:rPr>
        <w:t>t</w:t>
      </w:r>
      <w:r>
        <w:rPr>
          <w:color w:val="000000"/>
          <w:spacing w:val="-3"/>
          <w:position w:val="-1"/>
          <w:sz w:val="20"/>
        </w:rPr>
        <w:t>a</w:t>
      </w:r>
      <w:r>
        <w:rPr>
          <w:color w:val="000000"/>
          <w:position w:val="-1"/>
          <w:sz w:val="20"/>
        </w:rPr>
        <w:t>r</w:t>
      </w:r>
      <w:r>
        <w:rPr>
          <w:color w:val="000000"/>
          <w:spacing w:val="5"/>
          <w:position w:val="-1"/>
          <w:sz w:val="20"/>
        </w:rPr>
        <w:t>n</w:t>
      </w:r>
      <w:r>
        <w:rPr>
          <w:color w:val="000000"/>
          <w:spacing w:val="-10"/>
          <w:position w:val="-1"/>
          <w:sz w:val="20"/>
        </w:rPr>
        <w:t>y</w:t>
      </w:r>
      <w:r>
        <w:rPr>
          <w:color w:val="000000"/>
          <w:position w:val="-1"/>
          <w:sz w:val="20"/>
        </w:rPr>
        <w:t>b</w:t>
      </w:r>
      <w:r>
        <w:rPr>
          <w:color w:val="000000"/>
          <w:spacing w:val="-5"/>
          <w:position w:val="-1"/>
          <w:sz w:val="20"/>
        </w:rPr>
        <w:t>o</w:t>
      </w:r>
      <w:r>
        <w:rPr>
          <w:color w:val="000000"/>
          <w:position w:val="-1"/>
          <w:sz w:val="20"/>
        </w:rPr>
        <w:t>s</w:t>
      </w:r>
      <w:r>
        <w:rPr>
          <w:color w:val="000000"/>
          <w:spacing w:val="1"/>
          <w:position w:val="-1"/>
          <w:sz w:val="20"/>
        </w:rPr>
        <w:t xml:space="preserve"> </w:t>
      </w:r>
      <w:r>
        <w:rPr>
          <w:color w:val="000000"/>
          <w:position w:val="-1"/>
          <w:sz w:val="20"/>
        </w:rPr>
        <w:t>2012</w:t>
      </w:r>
      <w:r>
        <w:rPr>
          <w:color w:val="000000"/>
          <w:spacing w:val="3"/>
          <w:position w:val="-1"/>
          <w:sz w:val="20"/>
        </w:rPr>
        <w:t xml:space="preserve"> </w:t>
      </w:r>
      <w:r>
        <w:rPr>
          <w:color w:val="000000"/>
          <w:spacing w:val="-3"/>
          <w:position w:val="-1"/>
          <w:sz w:val="20"/>
        </w:rPr>
        <w:t>m</w:t>
      </w:r>
      <w:r>
        <w:rPr>
          <w:color w:val="000000"/>
          <w:position w:val="-1"/>
          <w:sz w:val="20"/>
        </w:rPr>
        <w:t>. p</w:t>
      </w:r>
      <w:r>
        <w:rPr>
          <w:color w:val="000000"/>
          <w:spacing w:val="-3"/>
          <w:position w:val="-1"/>
          <w:sz w:val="20"/>
        </w:rPr>
        <w:t>a</w:t>
      </w:r>
      <w:r>
        <w:rPr>
          <w:color w:val="000000"/>
          <w:spacing w:val="1"/>
          <w:position w:val="-1"/>
          <w:sz w:val="20"/>
        </w:rPr>
        <w:t>ž</w:t>
      </w:r>
      <w:r>
        <w:rPr>
          <w:color w:val="000000"/>
          <w:spacing w:val="-10"/>
          <w:position w:val="-1"/>
          <w:sz w:val="20"/>
        </w:rPr>
        <w:t>y</w:t>
      </w:r>
      <w:r>
        <w:rPr>
          <w:color w:val="000000"/>
          <w:spacing w:val="1"/>
          <w:position w:val="-1"/>
          <w:sz w:val="20"/>
        </w:rPr>
        <w:t>m</w:t>
      </w:r>
      <w:r>
        <w:rPr>
          <w:color w:val="000000"/>
          <w:position w:val="-1"/>
          <w:sz w:val="20"/>
        </w:rPr>
        <w:t>a</w:t>
      </w:r>
    </w:p>
    <w:p w:rsidR="004F7425" w:rsidRPr="00AC6684" w:rsidRDefault="004F7425" w:rsidP="004F7425">
      <w:pPr>
        <w:widowControl w:val="0"/>
        <w:autoSpaceDE w:val="0"/>
        <w:autoSpaceDN w:val="0"/>
        <w:adjustRightInd w:val="0"/>
        <w:spacing w:line="235" w:lineRule="exact"/>
        <w:ind w:left="120" w:right="-20"/>
        <w:rPr>
          <w:color w:val="000000"/>
          <w:sz w:val="20"/>
        </w:rPr>
      </w:pPr>
      <w:r>
        <w:rPr>
          <w:color w:val="000000"/>
          <w:position w:val="9"/>
          <w:sz w:val="13"/>
          <w:szCs w:val="13"/>
        </w:rPr>
        <w:t>5</w:t>
      </w:r>
      <w:r>
        <w:rPr>
          <w:color w:val="000000"/>
          <w:spacing w:val="22"/>
          <w:position w:val="9"/>
          <w:sz w:val="13"/>
          <w:szCs w:val="13"/>
        </w:rPr>
        <w:t xml:space="preserve"> </w:t>
      </w:r>
      <w:r>
        <w:rPr>
          <w:color w:val="000000"/>
          <w:spacing w:val="-2"/>
          <w:sz w:val="20"/>
        </w:rPr>
        <w:t>M</w:t>
      </w:r>
      <w:r>
        <w:rPr>
          <w:color w:val="000000"/>
          <w:sz w:val="20"/>
        </w:rPr>
        <w:t>u</w:t>
      </w:r>
      <w:r>
        <w:rPr>
          <w:color w:val="000000"/>
          <w:spacing w:val="-3"/>
          <w:sz w:val="20"/>
        </w:rPr>
        <w:t>i</w:t>
      </w:r>
      <w:r>
        <w:rPr>
          <w:color w:val="000000"/>
          <w:spacing w:val="1"/>
          <w:sz w:val="20"/>
        </w:rPr>
        <w:t>t</w:t>
      </w:r>
      <w:r>
        <w:rPr>
          <w:color w:val="000000"/>
          <w:spacing w:val="-3"/>
          <w:sz w:val="20"/>
        </w:rPr>
        <w:t>i</w:t>
      </w:r>
      <w:r>
        <w:rPr>
          <w:color w:val="000000"/>
          <w:spacing w:val="5"/>
          <w:sz w:val="20"/>
        </w:rPr>
        <w:t>n</w:t>
      </w:r>
      <w:r>
        <w:rPr>
          <w:color w:val="000000"/>
          <w:spacing w:val="-3"/>
          <w:sz w:val="20"/>
        </w:rPr>
        <w:t>ė</w:t>
      </w:r>
      <w:r>
        <w:rPr>
          <w:color w:val="000000"/>
          <w:sz w:val="20"/>
        </w:rPr>
        <w:t>s</w:t>
      </w:r>
      <w:r>
        <w:rPr>
          <w:color w:val="000000"/>
          <w:spacing w:val="1"/>
          <w:sz w:val="20"/>
        </w:rPr>
        <w:t xml:space="preserve"> </w:t>
      </w:r>
      <w:r>
        <w:rPr>
          <w:color w:val="000000"/>
          <w:spacing w:val="-5"/>
          <w:sz w:val="20"/>
        </w:rPr>
        <w:t>k</w:t>
      </w:r>
      <w:r>
        <w:rPr>
          <w:color w:val="000000"/>
          <w:sz w:val="20"/>
        </w:rPr>
        <w:t>r</w:t>
      </w:r>
      <w:r>
        <w:rPr>
          <w:color w:val="000000"/>
          <w:spacing w:val="1"/>
          <w:sz w:val="20"/>
        </w:rPr>
        <w:t>i</w:t>
      </w:r>
      <w:r>
        <w:rPr>
          <w:color w:val="000000"/>
          <w:spacing w:val="-3"/>
          <w:sz w:val="20"/>
        </w:rPr>
        <w:t>mi</w:t>
      </w:r>
      <w:r>
        <w:rPr>
          <w:color w:val="000000"/>
          <w:spacing w:val="5"/>
          <w:sz w:val="20"/>
        </w:rPr>
        <w:t>n</w:t>
      </w:r>
      <w:r>
        <w:rPr>
          <w:color w:val="000000"/>
          <w:spacing w:val="-3"/>
          <w:sz w:val="20"/>
        </w:rPr>
        <w:t>a</w:t>
      </w:r>
      <w:r>
        <w:rPr>
          <w:color w:val="000000"/>
          <w:spacing w:val="1"/>
          <w:sz w:val="20"/>
        </w:rPr>
        <w:t>l</w:t>
      </w:r>
      <w:r>
        <w:rPr>
          <w:color w:val="000000"/>
          <w:spacing w:val="-3"/>
          <w:sz w:val="20"/>
        </w:rPr>
        <w:t>i</w:t>
      </w:r>
      <w:r>
        <w:rPr>
          <w:color w:val="000000"/>
          <w:spacing w:val="5"/>
          <w:sz w:val="20"/>
        </w:rPr>
        <w:t>n</w:t>
      </w:r>
      <w:r>
        <w:rPr>
          <w:color w:val="000000"/>
          <w:spacing w:val="-3"/>
          <w:sz w:val="20"/>
        </w:rPr>
        <w:t>ė</w:t>
      </w:r>
      <w:r>
        <w:rPr>
          <w:color w:val="000000"/>
          <w:sz w:val="20"/>
        </w:rPr>
        <w:t>s</w:t>
      </w:r>
      <w:r>
        <w:rPr>
          <w:color w:val="000000"/>
          <w:spacing w:val="-4"/>
          <w:sz w:val="20"/>
        </w:rPr>
        <w:t xml:space="preserve"> </w:t>
      </w:r>
      <w:r>
        <w:rPr>
          <w:color w:val="000000"/>
          <w:spacing w:val="1"/>
          <w:sz w:val="20"/>
        </w:rPr>
        <w:t>t</w:t>
      </w:r>
      <w:r>
        <w:rPr>
          <w:color w:val="000000"/>
          <w:spacing w:val="-3"/>
          <w:sz w:val="20"/>
        </w:rPr>
        <w:t>a</w:t>
      </w:r>
      <w:r>
        <w:rPr>
          <w:color w:val="000000"/>
          <w:sz w:val="20"/>
        </w:rPr>
        <w:t>r</w:t>
      </w:r>
      <w:r>
        <w:rPr>
          <w:color w:val="000000"/>
          <w:spacing w:val="5"/>
          <w:sz w:val="20"/>
        </w:rPr>
        <w:t>n</w:t>
      </w:r>
      <w:r>
        <w:rPr>
          <w:color w:val="000000"/>
          <w:spacing w:val="-10"/>
          <w:sz w:val="20"/>
        </w:rPr>
        <w:t>y</w:t>
      </w:r>
      <w:r>
        <w:rPr>
          <w:color w:val="000000"/>
          <w:sz w:val="20"/>
        </w:rPr>
        <w:t>b</w:t>
      </w:r>
      <w:r>
        <w:rPr>
          <w:color w:val="000000"/>
          <w:spacing w:val="-5"/>
          <w:sz w:val="20"/>
        </w:rPr>
        <w:t>o</w:t>
      </w:r>
      <w:r>
        <w:rPr>
          <w:color w:val="000000"/>
          <w:sz w:val="20"/>
        </w:rPr>
        <w:t>s</w:t>
      </w:r>
      <w:r>
        <w:rPr>
          <w:color w:val="000000"/>
          <w:spacing w:val="1"/>
          <w:sz w:val="20"/>
        </w:rPr>
        <w:t xml:space="preserve"> </w:t>
      </w:r>
      <w:r>
        <w:rPr>
          <w:color w:val="000000"/>
          <w:sz w:val="20"/>
        </w:rPr>
        <w:t>2012</w:t>
      </w:r>
      <w:r>
        <w:rPr>
          <w:color w:val="000000"/>
          <w:spacing w:val="3"/>
          <w:sz w:val="20"/>
        </w:rPr>
        <w:t xml:space="preserve"> </w:t>
      </w:r>
      <w:r>
        <w:rPr>
          <w:color w:val="000000"/>
          <w:spacing w:val="-3"/>
          <w:sz w:val="20"/>
        </w:rPr>
        <w:t>m</w:t>
      </w:r>
      <w:r>
        <w:rPr>
          <w:color w:val="000000"/>
          <w:sz w:val="20"/>
        </w:rPr>
        <w:t>. p</w:t>
      </w:r>
      <w:r>
        <w:rPr>
          <w:color w:val="000000"/>
          <w:spacing w:val="-3"/>
          <w:sz w:val="20"/>
        </w:rPr>
        <w:t>a</w:t>
      </w:r>
      <w:r>
        <w:rPr>
          <w:color w:val="000000"/>
          <w:spacing w:val="1"/>
          <w:sz w:val="20"/>
        </w:rPr>
        <w:t>ž</w:t>
      </w:r>
      <w:r>
        <w:rPr>
          <w:color w:val="000000"/>
          <w:spacing w:val="-10"/>
          <w:sz w:val="20"/>
        </w:rPr>
        <w:t>y</w:t>
      </w:r>
      <w:r>
        <w:rPr>
          <w:color w:val="000000"/>
          <w:spacing w:val="1"/>
          <w:sz w:val="20"/>
        </w:rPr>
        <w:t>ma</w:t>
      </w: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line="235" w:lineRule="exact"/>
        <w:ind w:right="-20"/>
        <w:rPr>
          <w:b/>
          <w:bCs/>
          <w:color w:val="974705"/>
          <w:spacing w:val="1"/>
          <w:sz w:val="28"/>
          <w:szCs w:val="28"/>
        </w:rPr>
      </w:pPr>
    </w:p>
    <w:p w:rsidR="004F7425" w:rsidRDefault="004F7425" w:rsidP="004F7425">
      <w:pPr>
        <w:widowControl w:val="0"/>
        <w:autoSpaceDE w:val="0"/>
        <w:autoSpaceDN w:val="0"/>
        <w:adjustRightInd w:val="0"/>
        <w:spacing w:before="22"/>
        <w:ind w:left="280" w:right="-20"/>
        <w:rPr>
          <w:color w:val="000000"/>
          <w:sz w:val="28"/>
          <w:szCs w:val="28"/>
        </w:rPr>
      </w:pPr>
      <w:r>
        <w:rPr>
          <w:b/>
          <w:bCs/>
          <w:i/>
          <w:iCs/>
          <w:color w:val="933634"/>
          <w:spacing w:val="1"/>
          <w:sz w:val="28"/>
          <w:szCs w:val="28"/>
        </w:rPr>
        <w:t>K</w:t>
      </w:r>
      <w:r>
        <w:rPr>
          <w:b/>
          <w:bCs/>
          <w:i/>
          <w:iCs/>
          <w:color w:val="933634"/>
          <w:sz w:val="28"/>
          <w:szCs w:val="28"/>
        </w:rPr>
        <w:t>a</w:t>
      </w:r>
      <w:r>
        <w:rPr>
          <w:b/>
          <w:bCs/>
          <w:i/>
          <w:iCs/>
          <w:color w:val="933634"/>
          <w:spacing w:val="-1"/>
          <w:sz w:val="28"/>
          <w:szCs w:val="28"/>
        </w:rPr>
        <w:t>n</w:t>
      </w:r>
      <w:r>
        <w:rPr>
          <w:b/>
          <w:bCs/>
          <w:i/>
          <w:iCs/>
          <w:color w:val="933634"/>
          <w:sz w:val="28"/>
          <w:szCs w:val="28"/>
        </w:rPr>
        <w:t>ap</w:t>
      </w:r>
      <w:r>
        <w:rPr>
          <w:b/>
          <w:bCs/>
          <w:i/>
          <w:iCs/>
          <w:color w:val="933634"/>
          <w:spacing w:val="1"/>
          <w:sz w:val="28"/>
          <w:szCs w:val="28"/>
        </w:rPr>
        <w:t>ė</w:t>
      </w:r>
      <w:r>
        <w:rPr>
          <w:b/>
          <w:bCs/>
          <w:i/>
          <w:iCs/>
          <w:color w:val="933634"/>
          <w:sz w:val="28"/>
          <w:szCs w:val="28"/>
        </w:rPr>
        <w:t>s</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000" w:right="-20"/>
        <w:rPr>
          <w:color w:val="000000"/>
        </w:rPr>
      </w:pPr>
      <w:r>
        <w:rPr>
          <w:color w:val="000000"/>
          <w:spacing w:val="-5"/>
        </w:rPr>
        <w:t>K</w:t>
      </w:r>
      <w:r>
        <w:rPr>
          <w:color w:val="000000"/>
          <w:spacing w:val="4"/>
        </w:rPr>
        <w:t>a</w:t>
      </w:r>
      <w:r>
        <w:rPr>
          <w:color w:val="000000"/>
          <w:spacing w:val="-4"/>
        </w:rPr>
        <w:t>i</w:t>
      </w:r>
      <w:r>
        <w:rPr>
          <w:color w:val="000000"/>
        </w:rPr>
        <w:t xml:space="preserve">p </w:t>
      </w:r>
      <w:r>
        <w:rPr>
          <w:color w:val="000000"/>
          <w:spacing w:val="24"/>
        </w:rPr>
        <w:t xml:space="preserve"> </w:t>
      </w:r>
      <w:r>
        <w:rPr>
          <w:color w:val="000000"/>
          <w:spacing w:val="-4"/>
        </w:rPr>
        <w:t>i</w:t>
      </w:r>
      <w:r>
        <w:rPr>
          <w:color w:val="000000"/>
        </w:rPr>
        <w:t xml:space="preserve">r </w:t>
      </w:r>
      <w:r>
        <w:rPr>
          <w:color w:val="000000"/>
          <w:spacing w:val="20"/>
        </w:rPr>
        <w:t xml:space="preserve"> </w:t>
      </w:r>
      <w:r>
        <w:rPr>
          <w:color w:val="000000"/>
          <w:spacing w:val="4"/>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 xml:space="preserve">s </w:t>
      </w:r>
      <w:r>
        <w:rPr>
          <w:color w:val="000000"/>
          <w:spacing w:val="22"/>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spacing w:val="-2"/>
        </w:rPr>
        <w:t>s</w:t>
      </w:r>
      <w:r>
        <w:rPr>
          <w:color w:val="000000"/>
        </w:rPr>
        <w:t xml:space="preserve">, </w:t>
      </w:r>
      <w:r>
        <w:rPr>
          <w:color w:val="000000"/>
          <w:spacing w:val="21"/>
        </w:rPr>
        <w:t xml:space="preserve"> </w:t>
      </w:r>
      <w:r>
        <w:rPr>
          <w:color w:val="000000"/>
          <w:spacing w:val="5"/>
        </w:rPr>
        <w:t>t</w:t>
      </w:r>
      <w:r>
        <w:rPr>
          <w:color w:val="000000"/>
          <w:spacing w:val="-1"/>
        </w:rPr>
        <w:t>a</w:t>
      </w:r>
      <w:r>
        <w:rPr>
          <w:color w:val="000000"/>
          <w:spacing w:val="-9"/>
        </w:rPr>
        <w:t>i</w:t>
      </w:r>
      <w:r>
        <w:rPr>
          <w:color w:val="000000"/>
        </w:rPr>
        <w:t xml:space="preserve">p </w:t>
      </w:r>
      <w:r>
        <w:rPr>
          <w:color w:val="000000"/>
          <w:spacing w:val="24"/>
        </w:rPr>
        <w:t xml:space="preserve"> </w:t>
      </w:r>
      <w:r>
        <w:rPr>
          <w:color w:val="000000"/>
          <w:spacing w:val="-4"/>
        </w:rPr>
        <w:t>i</w:t>
      </w:r>
      <w:r>
        <w:rPr>
          <w:color w:val="000000"/>
        </w:rPr>
        <w:t xml:space="preserve">r </w:t>
      </w:r>
      <w:r>
        <w:rPr>
          <w:color w:val="000000"/>
          <w:spacing w:val="20"/>
        </w:rPr>
        <w:t xml:space="preserve"> </w:t>
      </w:r>
      <w:r>
        <w:rPr>
          <w:color w:val="000000"/>
        </w:rPr>
        <w:t xml:space="preserve">2012 </w:t>
      </w:r>
      <w:r>
        <w:rPr>
          <w:color w:val="000000"/>
          <w:spacing w:val="24"/>
        </w:rPr>
        <w:t xml:space="preserve"> </w:t>
      </w:r>
      <w:r>
        <w:rPr>
          <w:color w:val="000000"/>
          <w:spacing w:val="-9"/>
        </w:rPr>
        <w:t>m</w:t>
      </w:r>
      <w:r>
        <w:rPr>
          <w:color w:val="000000"/>
        </w:rPr>
        <w:t xml:space="preserve">. </w:t>
      </w:r>
      <w:r>
        <w:rPr>
          <w:color w:val="000000"/>
          <w:spacing w:val="26"/>
        </w:rPr>
        <w:t xml:space="preserve"> </w:t>
      </w:r>
      <w:r>
        <w:rPr>
          <w:color w:val="000000"/>
        </w:rPr>
        <w:t>k</w:t>
      </w:r>
      <w:r>
        <w:rPr>
          <w:color w:val="000000"/>
          <w:spacing w:val="-1"/>
        </w:rPr>
        <w:t>a</w:t>
      </w:r>
      <w:r>
        <w:rPr>
          <w:color w:val="000000"/>
          <w:spacing w:val="-5"/>
        </w:rPr>
        <w:t>n</w:t>
      </w:r>
      <w:r>
        <w:rPr>
          <w:color w:val="000000"/>
          <w:spacing w:val="-1"/>
        </w:rPr>
        <w:t>a</w:t>
      </w:r>
      <w:r>
        <w:rPr>
          <w:color w:val="000000"/>
          <w:spacing w:val="5"/>
        </w:rPr>
        <w:t>p</w:t>
      </w:r>
      <w:r>
        <w:rPr>
          <w:color w:val="000000"/>
          <w:spacing w:val="-1"/>
        </w:rPr>
        <w:t>ė</w:t>
      </w:r>
      <w:r>
        <w:rPr>
          <w:color w:val="000000"/>
        </w:rPr>
        <w:t xml:space="preserve">s </w:t>
      </w:r>
      <w:r>
        <w:rPr>
          <w:color w:val="000000"/>
          <w:spacing w:val="22"/>
        </w:rPr>
        <w:t xml:space="preserve"> </w:t>
      </w:r>
      <w:r>
        <w:rPr>
          <w:color w:val="000000"/>
          <w:spacing w:val="-4"/>
        </w:rPr>
        <w:t>i</w:t>
      </w:r>
      <w:r>
        <w:rPr>
          <w:color w:val="000000"/>
          <w:spacing w:val="2"/>
        </w:rPr>
        <w:t>š</w:t>
      </w:r>
      <w:r>
        <w:rPr>
          <w:color w:val="000000"/>
        </w:rPr>
        <w:t>l</w:t>
      </w:r>
      <w:r>
        <w:rPr>
          <w:color w:val="000000"/>
          <w:spacing w:val="-4"/>
        </w:rPr>
        <w:t>i</w:t>
      </w:r>
      <w:r>
        <w:rPr>
          <w:color w:val="000000"/>
          <w:spacing w:val="-1"/>
        </w:rPr>
        <w:t>e</w:t>
      </w:r>
      <w:r>
        <w:rPr>
          <w:color w:val="000000"/>
          <w:spacing w:val="5"/>
        </w:rPr>
        <w:t>k</w:t>
      </w:r>
      <w:r>
        <w:rPr>
          <w:color w:val="000000"/>
        </w:rPr>
        <w:t xml:space="preserve">a </w:t>
      </w:r>
      <w:r>
        <w:rPr>
          <w:color w:val="000000"/>
          <w:spacing w:val="18"/>
        </w:rPr>
        <w:t xml:space="preserve"> </w:t>
      </w:r>
      <w:r>
        <w:rPr>
          <w:color w:val="000000"/>
        </w:rPr>
        <w:t>p</w:t>
      </w:r>
      <w:r>
        <w:rPr>
          <w:color w:val="000000"/>
          <w:spacing w:val="5"/>
        </w:rPr>
        <w:t>o</w:t>
      </w:r>
      <w:r>
        <w:rPr>
          <w:color w:val="000000"/>
        </w:rPr>
        <w:t>pu</w:t>
      </w:r>
      <w:r>
        <w:rPr>
          <w:color w:val="000000"/>
          <w:spacing w:val="-4"/>
        </w:rPr>
        <w:t>li</w:t>
      </w:r>
      <w:r>
        <w:rPr>
          <w:color w:val="000000"/>
          <w:spacing w:val="-1"/>
        </w:rPr>
        <w:t>a</w:t>
      </w:r>
      <w:r>
        <w:rPr>
          <w:color w:val="000000"/>
          <w:spacing w:val="6"/>
        </w:rPr>
        <w:t>r</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rPr>
        <w:t xml:space="preserve">u </w:t>
      </w:r>
      <w:r>
        <w:rPr>
          <w:color w:val="000000"/>
          <w:spacing w:val="24"/>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spacing w:val="5"/>
        </w:rPr>
        <w:t>k</w:t>
      </w:r>
      <w:r>
        <w:rPr>
          <w:color w:val="000000"/>
        </w:rPr>
        <w:t>u</w:t>
      </w:r>
    </w:p>
    <w:p w:rsidR="004F7425" w:rsidRDefault="004F7425" w:rsidP="004F7425">
      <w:pPr>
        <w:widowControl w:val="0"/>
        <w:autoSpaceDE w:val="0"/>
        <w:autoSpaceDN w:val="0"/>
        <w:adjustRightInd w:val="0"/>
        <w:spacing w:before="41"/>
        <w:ind w:left="5245" w:right="3727"/>
        <w:jc w:val="center"/>
        <w:rPr>
          <w:color w:val="000000"/>
        </w:rPr>
      </w:pPr>
      <w:r>
        <w:rPr>
          <w:noProof/>
          <w:lang w:eastAsia="lt-LT"/>
        </w:rPr>
        <mc:AlternateContent>
          <mc:Choice Requires="wps">
            <w:drawing>
              <wp:anchor distT="0" distB="0" distL="114300" distR="114300" simplePos="0" relativeHeight="251746304" behindDoc="1" locked="0" layoutInCell="0" allowOverlap="1">
                <wp:simplePos x="0" y="0"/>
                <wp:positionH relativeFrom="page">
                  <wp:posOffset>976630</wp:posOffset>
                </wp:positionH>
                <wp:positionV relativeFrom="paragraph">
                  <wp:posOffset>128905</wp:posOffset>
                </wp:positionV>
                <wp:extent cx="3162300" cy="1993900"/>
                <wp:effectExtent l="0" t="4445" r="4445" b="1905"/>
                <wp:wrapNone/>
                <wp:docPr id="250" name="Stačiakampis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2300" cy="199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3140" w:lineRule="atLeast"/>
                            </w:pPr>
                            <w:r>
                              <w:rPr>
                                <w:noProof/>
                                <w:lang w:eastAsia="lt-LT"/>
                              </w:rPr>
                              <w:drawing>
                                <wp:inline distT="0" distB="0" distL="0" distR="0" wp14:anchorId="370E39EC" wp14:editId="37D0E35C">
                                  <wp:extent cx="3143250" cy="2000250"/>
                                  <wp:effectExtent l="0" t="0" r="0" b="0"/>
                                  <wp:docPr id="249" name="Paveikslėlis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143250" cy="20002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50" o:spid="_x0000_s1053" style="position:absolute;left:0;text-align:left;margin-left:76.9pt;margin-top:10.15pt;width:249pt;height:157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" o:allowincell="f" filled="f" stroked="f">
                <v:textbox inset="0,0,0,0">
                  <w:txbxContent>
                    <w:p w:rsidR="004F7425" w:rsidRDefault="004F7425" w:rsidP="004F7425">
                      <w:pPr>
                        <w:spacing w:line="3140" w:lineRule="atLeast"/>
                      </w:pPr>
                      <w:r>
                        <w:rPr>
                          <w:noProof/>
                          <w:lang w:eastAsia="lt-LT"/>
                        </w:rPr>
                        <w:drawing>
                          <wp:inline distT="0" distB="0" distL="0" distR="0" wp14:anchorId="370E39EC" wp14:editId="37D0E35C">
                            <wp:extent cx="3143250" cy="2000250"/>
                            <wp:effectExtent l="0" t="0" r="0" b="0"/>
                            <wp:docPr id="249" name="Paveikslėlis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143250" cy="20002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spacing w:val="-1"/>
        </w:rPr>
        <w:t>e</w:t>
      </w:r>
      <w:r>
        <w:rPr>
          <w:color w:val="000000"/>
        </w:rPr>
        <w:t>.</w:t>
      </w:r>
    </w:p>
    <w:p w:rsidR="004F7425" w:rsidRDefault="004F7425" w:rsidP="004F7425">
      <w:pPr>
        <w:widowControl w:val="0"/>
        <w:tabs>
          <w:tab w:val="left" w:pos="6680"/>
          <w:tab w:val="left" w:pos="7140"/>
          <w:tab w:val="left" w:pos="8260"/>
          <w:tab w:val="left" w:pos="8960"/>
          <w:tab w:val="left" w:pos="9740"/>
        </w:tabs>
        <w:autoSpaceDE w:val="0"/>
        <w:autoSpaceDN w:val="0"/>
        <w:adjustRightInd w:val="0"/>
        <w:spacing w:before="41" w:line="275" w:lineRule="auto"/>
        <w:ind w:left="5283" w:right="68" w:firstLine="711"/>
        <w:rPr>
          <w:color w:val="000000"/>
        </w:rPr>
      </w:pPr>
      <w:r>
        <w:rPr>
          <w:color w:val="000000"/>
        </w:rPr>
        <w:t>2012</w:t>
      </w:r>
      <w:r>
        <w:rPr>
          <w:color w:val="000000"/>
        </w:rPr>
        <w:tab/>
      </w:r>
      <w:r>
        <w:rPr>
          <w:color w:val="000000"/>
          <w:spacing w:val="-9"/>
        </w:rPr>
        <w:t>m</w:t>
      </w:r>
      <w:r>
        <w:rPr>
          <w:color w:val="000000"/>
        </w:rPr>
        <w:t>.</w:t>
      </w:r>
      <w:r>
        <w:rPr>
          <w:color w:val="000000"/>
        </w:rPr>
        <w:tab/>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rPr>
        <w:tab/>
      </w:r>
      <w:r>
        <w:rPr>
          <w:color w:val="000000"/>
          <w:spacing w:val="-5"/>
        </w:rPr>
        <w:t>b</w:t>
      </w:r>
      <w:r>
        <w:rPr>
          <w:color w:val="000000"/>
          <w:spacing w:val="5"/>
        </w:rPr>
        <w:t>u</w:t>
      </w:r>
      <w:r>
        <w:rPr>
          <w:color w:val="000000"/>
          <w:spacing w:val="-5"/>
        </w:rPr>
        <w:t>v</w:t>
      </w:r>
      <w:r>
        <w:rPr>
          <w:color w:val="000000"/>
        </w:rPr>
        <w:t>o</w:t>
      </w:r>
      <w:r>
        <w:rPr>
          <w:color w:val="000000"/>
        </w:rPr>
        <w:tab/>
      </w:r>
      <w:r>
        <w:rPr>
          <w:color w:val="000000"/>
          <w:spacing w:val="-9"/>
        </w:rPr>
        <w:t>i</w:t>
      </w:r>
      <w:r>
        <w:rPr>
          <w:color w:val="000000"/>
          <w:spacing w:val="2"/>
        </w:rPr>
        <w:t>š</w:t>
      </w:r>
      <w:r>
        <w:rPr>
          <w:color w:val="000000"/>
        </w:rPr>
        <w:t>i</w:t>
      </w:r>
      <w:r>
        <w:rPr>
          <w:color w:val="000000"/>
          <w:spacing w:val="-9"/>
        </w:rPr>
        <w:t>m</w:t>
      </w:r>
      <w:r>
        <w:rPr>
          <w:color w:val="000000"/>
          <w:spacing w:val="5"/>
        </w:rPr>
        <w:t>t</w:t>
      </w:r>
      <w:r>
        <w:rPr>
          <w:color w:val="000000"/>
        </w:rPr>
        <w:t>a</w:t>
      </w:r>
      <w:r>
        <w:rPr>
          <w:color w:val="000000"/>
        </w:rPr>
        <w:tab/>
      </w:r>
      <w:r>
        <w:rPr>
          <w:color w:val="000000"/>
          <w:spacing w:val="-4"/>
        </w:rPr>
        <w:t>i</w:t>
      </w:r>
      <w:r>
        <w:rPr>
          <w:color w:val="000000"/>
        </w:rPr>
        <w:t xml:space="preserve">š </w:t>
      </w:r>
      <w:r>
        <w:rPr>
          <w:color w:val="000000"/>
          <w:spacing w:val="-5"/>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rPr>
        <w:t>s</w:t>
      </w:r>
      <w:r>
        <w:rPr>
          <w:color w:val="000000"/>
          <w:spacing w:val="10"/>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to</w:t>
      </w:r>
      <w:r>
        <w:rPr>
          <w:color w:val="000000"/>
        </w:rPr>
        <w:t>s</w:t>
      </w:r>
      <w:r>
        <w:rPr>
          <w:color w:val="000000"/>
          <w:spacing w:val="10"/>
        </w:rPr>
        <w:t xml:space="preserve"> </w:t>
      </w:r>
      <w:r>
        <w:rPr>
          <w:color w:val="000000"/>
          <w:spacing w:val="-5"/>
        </w:rPr>
        <w:t>b</w:t>
      </w:r>
      <w:r>
        <w:rPr>
          <w:color w:val="000000"/>
          <w:spacing w:val="-1"/>
        </w:rPr>
        <w:t>e</w:t>
      </w:r>
      <w:r>
        <w:rPr>
          <w:color w:val="000000"/>
          <w:spacing w:val="-5"/>
        </w:rPr>
        <w:t>v</w:t>
      </w:r>
      <w:r>
        <w:rPr>
          <w:color w:val="000000"/>
          <w:spacing w:val="4"/>
        </w:rPr>
        <w:t>e</w:t>
      </w:r>
      <w:r>
        <w:rPr>
          <w:color w:val="000000"/>
          <w:spacing w:val="-4"/>
        </w:rPr>
        <w:t>i</w:t>
      </w:r>
      <w:r>
        <w:rPr>
          <w:color w:val="000000"/>
        </w:rPr>
        <w:t>k</w:t>
      </w:r>
      <w:r>
        <w:rPr>
          <w:color w:val="000000"/>
          <w:spacing w:val="12"/>
        </w:rPr>
        <w:t xml:space="preserve"> </w:t>
      </w:r>
      <w:r>
        <w:rPr>
          <w:color w:val="000000"/>
        </w:rPr>
        <w:t>96</w:t>
      </w:r>
      <w:r>
        <w:rPr>
          <w:color w:val="000000"/>
          <w:spacing w:val="12"/>
        </w:rPr>
        <w:t xml:space="preserve"> </w:t>
      </w:r>
      <w:r>
        <w:rPr>
          <w:color w:val="000000"/>
        </w:rPr>
        <w:t>kg</w:t>
      </w:r>
      <w:r>
        <w:rPr>
          <w:color w:val="000000"/>
          <w:spacing w:val="12"/>
        </w:rPr>
        <w:t xml:space="preserve"> </w:t>
      </w:r>
      <w:r>
        <w:rPr>
          <w:color w:val="000000"/>
          <w:spacing w:val="5"/>
        </w:rPr>
        <w:t>k</w:t>
      </w:r>
      <w:r>
        <w:rPr>
          <w:color w:val="000000"/>
          <w:spacing w:val="4"/>
        </w:rPr>
        <w:t>a</w:t>
      </w:r>
      <w:r>
        <w:rPr>
          <w:color w:val="000000"/>
          <w:spacing w:val="-5"/>
        </w:rPr>
        <w:t>n</w:t>
      </w:r>
      <w:r>
        <w:rPr>
          <w:color w:val="000000"/>
          <w:spacing w:val="-1"/>
        </w:rPr>
        <w:t>a</w:t>
      </w:r>
      <w:r>
        <w:rPr>
          <w:color w:val="000000"/>
          <w:spacing w:val="5"/>
        </w:rPr>
        <w:t>p</w:t>
      </w:r>
      <w:r>
        <w:rPr>
          <w:color w:val="000000"/>
          <w:spacing w:val="-4"/>
        </w:rPr>
        <w:t>i</w:t>
      </w:r>
      <w:r>
        <w:rPr>
          <w:color w:val="000000"/>
        </w:rPr>
        <w:t>ų</w:t>
      </w:r>
      <w:r>
        <w:rPr>
          <w:color w:val="000000"/>
          <w:spacing w:val="17"/>
        </w:rPr>
        <w:t xml:space="preserve"> </w:t>
      </w:r>
      <w:r>
        <w:rPr>
          <w:color w:val="000000"/>
          <w:spacing w:val="-4"/>
        </w:rPr>
        <w:t>i</w:t>
      </w:r>
      <w:r>
        <w:rPr>
          <w:color w:val="000000"/>
        </w:rPr>
        <w:t>š</w:t>
      </w:r>
      <w:r>
        <w:rPr>
          <w:color w:val="000000"/>
          <w:spacing w:val="14"/>
        </w:rPr>
        <w:t xml:space="preserve"> </w:t>
      </w:r>
      <w:r>
        <w:rPr>
          <w:color w:val="000000"/>
          <w:spacing w:val="-4"/>
        </w:rPr>
        <w:t>j</w:t>
      </w:r>
      <w:r>
        <w:rPr>
          <w:color w:val="000000"/>
        </w:rPr>
        <w:t>ų</w:t>
      </w:r>
    </w:p>
    <w:p w:rsidR="004F7425" w:rsidRDefault="004F7425" w:rsidP="004F7425">
      <w:pPr>
        <w:widowControl w:val="0"/>
        <w:autoSpaceDE w:val="0"/>
        <w:autoSpaceDN w:val="0"/>
        <w:adjustRightInd w:val="0"/>
        <w:spacing w:before="1"/>
        <w:ind w:left="5283" w:right="58"/>
        <w:jc w:val="both"/>
        <w:rPr>
          <w:color w:val="000000"/>
        </w:rPr>
      </w:pPr>
      <w:r>
        <w:rPr>
          <w:color w:val="000000"/>
        </w:rPr>
        <w:t xml:space="preserve">53  </w:t>
      </w:r>
      <w:r>
        <w:rPr>
          <w:color w:val="000000"/>
          <w:spacing w:val="3"/>
        </w:rPr>
        <w:t xml:space="preserve"> </w:t>
      </w:r>
      <w:r>
        <w:rPr>
          <w:color w:val="000000"/>
        </w:rPr>
        <w:t xml:space="preserve">kg  </w:t>
      </w:r>
      <w:r>
        <w:rPr>
          <w:color w:val="000000"/>
          <w:spacing w:val="8"/>
        </w:rPr>
        <w:t xml:space="preserve"> </w:t>
      </w:r>
      <w:r>
        <w:rPr>
          <w:color w:val="000000"/>
          <w:spacing w:val="-9"/>
        </w:rPr>
        <w:t>i</w:t>
      </w:r>
      <w:r>
        <w:rPr>
          <w:color w:val="000000"/>
        </w:rPr>
        <w:t xml:space="preserve">š  </w:t>
      </w:r>
      <w:r>
        <w:rPr>
          <w:color w:val="000000"/>
          <w:spacing w:val="5"/>
        </w:rPr>
        <w:t xml:space="preserve"> </w:t>
      </w:r>
      <w:r>
        <w:rPr>
          <w:color w:val="000000"/>
          <w:spacing w:val="-5"/>
        </w:rPr>
        <w:t>n</w:t>
      </w:r>
      <w:r>
        <w:rPr>
          <w:color w:val="000000"/>
          <w:spacing w:val="4"/>
        </w:rPr>
        <w:t>e</w:t>
      </w:r>
      <w:r>
        <w:rPr>
          <w:color w:val="000000"/>
          <w:spacing w:val="-4"/>
        </w:rPr>
        <w:t>l</w:t>
      </w:r>
      <w:r>
        <w:rPr>
          <w:color w:val="000000"/>
          <w:spacing w:val="4"/>
        </w:rPr>
        <w:t>e</w:t>
      </w:r>
      <w:r>
        <w:rPr>
          <w:color w:val="000000"/>
        </w:rPr>
        <w:t>g</w:t>
      </w:r>
      <w:r>
        <w:rPr>
          <w:color w:val="000000"/>
          <w:spacing w:val="4"/>
        </w:rPr>
        <w:t>a</w:t>
      </w:r>
      <w:r>
        <w:rPr>
          <w:color w:val="000000"/>
          <w:spacing w:val="-4"/>
        </w:rPr>
        <w:t>l</w:t>
      </w:r>
      <w:r>
        <w:rPr>
          <w:color w:val="000000"/>
          <w:spacing w:val="-1"/>
        </w:rPr>
        <w:t>a</w:t>
      </w:r>
      <w:r>
        <w:rPr>
          <w:color w:val="000000"/>
        </w:rPr>
        <w:t xml:space="preserve">us   </w:t>
      </w:r>
      <w:r>
        <w:rPr>
          <w:color w:val="000000"/>
          <w:spacing w:val="-1"/>
        </w:rPr>
        <w:t>a</w:t>
      </w:r>
      <w:r>
        <w:rPr>
          <w:color w:val="000000"/>
        </w:rPr>
        <w:t>u</w:t>
      </w:r>
      <w:r>
        <w:rPr>
          <w:color w:val="000000"/>
          <w:spacing w:val="5"/>
        </w:rPr>
        <w:t>g</w:t>
      </w:r>
      <w:r>
        <w:rPr>
          <w:color w:val="000000"/>
          <w:spacing w:val="-4"/>
        </w:rPr>
        <w:t>i</w:t>
      </w:r>
      <w:r>
        <w:rPr>
          <w:color w:val="000000"/>
          <w:spacing w:val="5"/>
        </w:rPr>
        <w:t>n</w:t>
      </w:r>
      <w:r>
        <w:rPr>
          <w:color w:val="000000"/>
        </w:rPr>
        <w:t>i</w:t>
      </w:r>
      <w:r>
        <w:rPr>
          <w:color w:val="000000"/>
          <w:spacing w:val="-9"/>
        </w:rPr>
        <w:t>m</w:t>
      </w:r>
      <w:r>
        <w:rPr>
          <w:color w:val="000000"/>
          <w:spacing w:val="5"/>
        </w:rPr>
        <w:t>o</w:t>
      </w:r>
      <w:r>
        <w:rPr>
          <w:color w:val="000000"/>
        </w:rPr>
        <w:t xml:space="preserve">,  </w:t>
      </w:r>
      <w:r>
        <w:rPr>
          <w:color w:val="000000"/>
          <w:spacing w:val="5"/>
        </w:rPr>
        <w:t xml:space="preserve"> </w:t>
      </w:r>
      <w:r>
        <w:rPr>
          <w:color w:val="000000"/>
        </w:rPr>
        <w:t xml:space="preserve">21  </w:t>
      </w:r>
      <w:r>
        <w:rPr>
          <w:color w:val="000000"/>
          <w:spacing w:val="3"/>
        </w:rPr>
        <w:t xml:space="preserve"> </w:t>
      </w:r>
      <w:r>
        <w:rPr>
          <w:color w:val="000000"/>
        </w:rPr>
        <w:t xml:space="preserve">kg  </w:t>
      </w:r>
      <w:r>
        <w:rPr>
          <w:color w:val="000000"/>
          <w:spacing w:val="7"/>
        </w:rPr>
        <w:t xml:space="preserve"> </w:t>
      </w:r>
      <w:r>
        <w:rPr>
          <w:color w:val="000000"/>
          <w:spacing w:val="-4"/>
        </w:rPr>
        <w:t>i</w:t>
      </w:r>
      <w:r>
        <w:rPr>
          <w:color w:val="000000"/>
        </w:rPr>
        <w:t xml:space="preserve">š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to</w:t>
      </w:r>
      <w:r>
        <w:rPr>
          <w:color w:val="000000"/>
        </w:rPr>
        <w:t>s p</w:t>
      </w:r>
      <w:r>
        <w:rPr>
          <w:color w:val="000000"/>
          <w:spacing w:val="1"/>
        </w:rPr>
        <w:t>r</w:t>
      </w:r>
      <w:r>
        <w:rPr>
          <w:color w:val="000000"/>
          <w:spacing w:val="-1"/>
        </w:rPr>
        <w:t>e</w:t>
      </w:r>
      <w:r>
        <w:rPr>
          <w:color w:val="000000"/>
        </w:rPr>
        <w:t>k</w:t>
      </w:r>
      <w:r>
        <w:rPr>
          <w:color w:val="000000"/>
          <w:spacing w:val="-5"/>
        </w:rPr>
        <w:t>yb</w:t>
      </w:r>
      <w:r>
        <w:rPr>
          <w:color w:val="000000"/>
          <w:spacing w:val="5"/>
        </w:rPr>
        <w:t>o</w:t>
      </w:r>
      <w:r>
        <w:rPr>
          <w:color w:val="000000"/>
          <w:spacing w:val="-2"/>
        </w:rPr>
        <w:t>s</w:t>
      </w:r>
      <w:r>
        <w:rPr>
          <w:color w:val="000000"/>
        </w:rPr>
        <w:t>,</w:t>
      </w:r>
      <w:r>
        <w:rPr>
          <w:color w:val="000000"/>
          <w:spacing w:val="5"/>
        </w:rPr>
        <w:t xml:space="preserve"> </w:t>
      </w:r>
      <w:r>
        <w:rPr>
          <w:color w:val="000000"/>
        </w:rPr>
        <w:t>20</w:t>
      </w:r>
      <w:r>
        <w:rPr>
          <w:color w:val="000000"/>
          <w:spacing w:val="3"/>
        </w:rPr>
        <w:t xml:space="preserve"> </w:t>
      </w:r>
      <w:r>
        <w:rPr>
          <w:color w:val="000000"/>
        </w:rPr>
        <w:t>kg</w:t>
      </w:r>
      <w:r>
        <w:rPr>
          <w:color w:val="000000"/>
          <w:spacing w:val="3"/>
        </w:rPr>
        <w:t xml:space="preserve"> </w:t>
      </w:r>
      <w:r>
        <w:rPr>
          <w:color w:val="000000"/>
          <w:spacing w:val="-4"/>
        </w:rPr>
        <w:t>i</w:t>
      </w:r>
      <w:r>
        <w:rPr>
          <w:color w:val="000000"/>
        </w:rPr>
        <w:t>š</w:t>
      </w:r>
      <w:r>
        <w:rPr>
          <w:color w:val="000000"/>
          <w:spacing w:val="5"/>
        </w:rPr>
        <w:t xml:space="preserve"> </w:t>
      </w:r>
      <w:r>
        <w:rPr>
          <w:color w:val="000000"/>
          <w:spacing w:val="-4"/>
        </w:rPr>
        <w:t>l</w:t>
      </w:r>
      <w:r>
        <w:rPr>
          <w:color w:val="000000"/>
          <w:spacing w:val="4"/>
        </w:rPr>
        <w:t>a</w:t>
      </w:r>
      <w:r>
        <w:rPr>
          <w:color w:val="000000"/>
          <w:spacing w:val="-4"/>
        </w:rPr>
        <w:t>i</w:t>
      </w:r>
      <w:r>
        <w:rPr>
          <w:color w:val="000000"/>
          <w:spacing w:val="5"/>
        </w:rPr>
        <w:t>k</w:t>
      </w:r>
      <w:r>
        <w:rPr>
          <w:color w:val="000000"/>
          <w:spacing w:val="-5"/>
        </w:rPr>
        <w:t>y</w:t>
      </w:r>
      <w:r>
        <w:rPr>
          <w:color w:val="000000"/>
          <w:spacing w:val="-9"/>
        </w:rPr>
        <w:t>m</w:t>
      </w:r>
      <w:r>
        <w:rPr>
          <w:color w:val="000000"/>
        </w:rPr>
        <w:t>o</w:t>
      </w:r>
      <w:r>
        <w:rPr>
          <w:color w:val="000000"/>
          <w:spacing w:val="12"/>
        </w:rPr>
        <w:t xml:space="preserve"> </w:t>
      </w:r>
      <w:r>
        <w:rPr>
          <w:color w:val="000000"/>
          <w:spacing w:val="-4"/>
        </w:rPr>
        <w:t>i</w:t>
      </w:r>
      <w:r>
        <w:rPr>
          <w:color w:val="000000"/>
        </w:rPr>
        <w:t>r 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rPr>
        <w:t>d</w:t>
      </w:r>
      <w:r>
        <w:rPr>
          <w:color w:val="000000"/>
          <w:spacing w:val="5"/>
        </w:rPr>
        <w:t>o</w:t>
      </w:r>
      <w:r>
        <w:rPr>
          <w:color w:val="000000"/>
          <w:spacing w:val="-2"/>
        </w:rPr>
        <w:t>s</w:t>
      </w:r>
      <w:r>
        <w:rPr>
          <w:color w:val="000000"/>
        </w:rPr>
        <w:t xml:space="preserve">.  </w:t>
      </w:r>
      <w:r>
        <w:rPr>
          <w:color w:val="000000"/>
          <w:spacing w:val="3"/>
        </w:rPr>
        <w:t xml:space="preserve"> </w:t>
      </w:r>
      <w:r>
        <w:rPr>
          <w:color w:val="000000"/>
        </w:rPr>
        <w:t xml:space="preserve">57%  </w:t>
      </w:r>
      <w:r>
        <w:rPr>
          <w:color w:val="000000"/>
          <w:spacing w:val="2"/>
        </w:rPr>
        <w:t xml:space="preserve"> </w:t>
      </w:r>
      <w:r>
        <w:rPr>
          <w:color w:val="000000"/>
        </w:rPr>
        <w:t>v</w:t>
      </w:r>
      <w:r>
        <w:rPr>
          <w:color w:val="000000"/>
          <w:spacing w:val="-4"/>
        </w:rPr>
        <w:t>i</w:t>
      </w:r>
      <w:r>
        <w:rPr>
          <w:color w:val="000000"/>
          <w:spacing w:val="-2"/>
        </w:rPr>
        <w:t>s</w:t>
      </w:r>
      <w:r>
        <w:rPr>
          <w:color w:val="000000"/>
        </w:rPr>
        <w:t xml:space="preserve">ų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 xml:space="preserve">ų   </w:t>
      </w:r>
      <w:r>
        <w:rPr>
          <w:color w:val="000000"/>
          <w:spacing w:val="-2"/>
        </w:rPr>
        <w:t>s</w:t>
      </w:r>
      <w:r>
        <w:rPr>
          <w:color w:val="000000"/>
        </w:rPr>
        <w:t>ud</w:t>
      </w:r>
      <w:r>
        <w:rPr>
          <w:color w:val="000000"/>
          <w:spacing w:val="-1"/>
        </w:rPr>
        <w:t>a</w:t>
      </w:r>
      <w:r>
        <w:rPr>
          <w:color w:val="000000"/>
          <w:spacing w:val="1"/>
        </w:rPr>
        <w:t>r</w:t>
      </w:r>
      <w:r>
        <w:rPr>
          <w:color w:val="000000"/>
        </w:rPr>
        <w:t xml:space="preserve">o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rPr>
        <w:t xml:space="preserve">s </w:t>
      </w:r>
      <w:r>
        <w:rPr>
          <w:color w:val="000000"/>
          <w:spacing w:val="12"/>
        </w:rPr>
        <w:t xml:space="preserve"> </w:t>
      </w:r>
      <w:r>
        <w:rPr>
          <w:color w:val="000000"/>
          <w:spacing w:val="-4"/>
        </w:rPr>
        <w:t>m</w:t>
      </w:r>
      <w:r>
        <w:rPr>
          <w:color w:val="000000"/>
          <w:spacing w:val="-1"/>
        </w:rPr>
        <w:t>až</w:t>
      </w:r>
      <w:r>
        <w:rPr>
          <w:color w:val="000000"/>
          <w:spacing w:val="4"/>
        </w:rPr>
        <w:t>e</w:t>
      </w:r>
      <w:r>
        <w:rPr>
          <w:color w:val="000000"/>
          <w:spacing w:val="2"/>
        </w:rPr>
        <w:t>s</w:t>
      </w:r>
      <w:r>
        <w:rPr>
          <w:color w:val="000000"/>
        </w:rPr>
        <w:t>n</w:t>
      </w:r>
      <w:r>
        <w:rPr>
          <w:color w:val="000000"/>
          <w:spacing w:val="-4"/>
        </w:rPr>
        <w:t>i</w:t>
      </w:r>
      <w:r>
        <w:rPr>
          <w:color w:val="000000"/>
        </w:rPr>
        <w:t xml:space="preserve">s </w:t>
      </w:r>
      <w:r>
        <w:rPr>
          <w:color w:val="000000"/>
          <w:spacing w:val="12"/>
        </w:rPr>
        <w:t xml:space="preserve"> </w:t>
      </w:r>
      <w:r>
        <w:rPr>
          <w:color w:val="000000"/>
          <w:spacing w:val="-5"/>
        </w:rPr>
        <w:t>n</w:t>
      </w:r>
      <w:r>
        <w:rPr>
          <w:color w:val="000000"/>
          <w:spacing w:val="4"/>
        </w:rPr>
        <w:t>e</w:t>
      </w:r>
      <w:r>
        <w:rPr>
          <w:color w:val="000000"/>
        </w:rPr>
        <w:t xml:space="preserve">i  1 </w:t>
      </w:r>
      <w:r>
        <w:rPr>
          <w:color w:val="000000"/>
          <w:spacing w:val="9"/>
        </w:rPr>
        <w:t xml:space="preserve"> </w:t>
      </w:r>
      <w:r>
        <w:rPr>
          <w:color w:val="000000"/>
        </w:rPr>
        <w:t xml:space="preserve">g, </w:t>
      </w:r>
      <w:r>
        <w:rPr>
          <w:color w:val="000000"/>
          <w:spacing w:val="12"/>
        </w:rPr>
        <w:t xml:space="preserve"> </w:t>
      </w:r>
      <w:r>
        <w:rPr>
          <w:color w:val="000000"/>
        </w:rPr>
        <w:t xml:space="preserve">29 </w:t>
      </w:r>
      <w:r>
        <w:rPr>
          <w:color w:val="000000"/>
          <w:spacing w:val="9"/>
        </w:rPr>
        <w:t xml:space="preserve"> </w:t>
      </w:r>
      <w:r>
        <w:rPr>
          <w:color w:val="000000"/>
        </w:rPr>
        <w:t xml:space="preserve">% </w:t>
      </w:r>
      <w:r>
        <w:rPr>
          <w:color w:val="000000"/>
          <w:spacing w:val="11"/>
        </w:rPr>
        <w:t xml:space="preserve"> </w:t>
      </w:r>
      <w:r>
        <w:rPr>
          <w:color w:val="000000"/>
        </w:rPr>
        <w:t xml:space="preserve">- </w:t>
      </w:r>
      <w:r>
        <w:rPr>
          <w:color w:val="000000"/>
          <w:spacing w:val="11"/>
        </w:rPr>
        <w:t xml:space="preserve"> </w:t>
      </w:r>
      <w:r>
        <w:rPr>
          <w:color w:val="000000"/>
          <w:spacing w:val="-2"/>
        </w:rPr>
        <w:t>s</w:t>
      </w:r>
      <w:r>
        <w:rPr>
          <w:color w:val="000000"/>
        </w:rPr>
        <w:t>u</w:t>
      </w:r>
      <w:r>
        <w:rPr>
          <w:color w:val="000000"/>
          <w:spacing w:val="-9"/>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spacing w:val="8"/>
        </w:rPr>
        <w:t>a</w:t>
      </w:r>
      <w:r>
        <w:rPr>
          <w:color w:val="000000"/>
        </w:rPr>
        <w:t xml:space="preserve">i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rPr>
        <w:t>s</w:t>
      </w:r>
      <w:r>
        <w:rPr>
          <w:color w:val="000000"/>
          <w:spacing w:val="38"/>
        </w:rPr>
        <w:t xml:space="preserve"> </w:t>
      </w:r>
      <w:r>
        <w:rPr>
          <w:color w:val="000000"/>
          <w:spacing w:val="-5"/>
        </w:rPr>
        <w:t>n</w:t>
      </w:r>
      <w:r>
        <w:rPr>
          <w:color w:val="000000"/>
        </w:rPr>
        <w:t>uo</w:t>
      </w:r>
      <w:r>
        <w:rPr>
          <w:color w:val="000000"/>
          <w:spacing w:val="40"/>
        </w:rPr>
        <w:t xml:space="preserve"> </w:t>
      </w:r>
      <w:r>
        <w:rPr>
          <w:color w:val="000000"/>
        </w:rPr>
        <w:t>10</w:t>
      </w:r>
      <w:r>
        <w:rPr>
          <w:color w:val="000000"/>
          <w:spacing w:val="38"/>
        </w:rPr>
        <w:t xml:space="preserve"> </w:t>
      </w:r>
      <w:r>
        <w:rPr>
          <w:color w:val="000000"/>
        </w:rPr>
        <w:t>g</w:t>
      </w:r>
      <w:r>
        <w:rPr>
          <w:color w:val="000000"/>
          <w:spacing w:val="41"/>
        </w:rPr>
        <w:t xml:space="preserve"> </w:t>
      </w:r>
      <w:r>
        <w:rPr>
          <w:color w:val="000000"/>
          <w:spacing w:val="-9"/>
        </w:rPr>
        <w:t>i</w:t>
      </w:r>
      <w:r>
        <w:rPr>
          <w:color w:val="000000"/>
          <w:spacing w:val="5"/>
        </w:rPr>
        <w:t>k</w:t>
      </w:r>
      <w:r>
        <w:rPr>
          <w:color w:val="000000"/>
        </w:rPr>
        <w:t>i</w:t>
      </w:r>
      <w:r>
        <w:rPr>
          <w:color w:val="000000"/>
          <w:spacing w:val="27"/>
        </w:rPr>
        <w:t xml:space="preserve"> </w:t>
      </w:r>
      <w:r>
        <w:rPr>
          <w:color w:val="000000"/>
        </w:rPr>
        <w:t>1</w:t>
      </w:r>
      <w:r>
        <w:rPr>
          <w:color w:val="000000"/>
          <w:spacing w:val="36"/>
        </w:rPr>
        <w:t xml:space="preserve"> </w:t>
      </w:r>
      <w:r>
        <w:rPr>
          <w:color w:val="000000"/>
        </w:rPr>
        <w:t>kg</w:t>
      </w:r>
      <w:r>
        <w:rPr>
          <w:color w:val="000000"/>
          <w:spacing w:val="41"/>
        </w:rPr>
        <w:t xml:space="preserve"> </w:t>
      </w:r>
      <w:r>
        <w:rPr>
          <w:color w:val="000000"/>
          <w:spacing w:val="-9"/>
        </w:rPr>
        <w:t>i</w:t>
      </w:r>
      <w:r>
        <w:rPr>
          <w:color w:val="000000"/>
        </w:rPr>
        <w:t>r</w:t>
      </w:r>
      <w:r>
        <w:rPr>
          <w:color w:val="000000"/>
          <w:spacing w:val="37"/>
        </w:rPr>
        <w:t xml:space="preserve"> </w:t>
      </w:r>
      <w:r>
        <w:rPr>
          <w:color w:val="000000"/>
          <w:spacing w:val="10"/>
        </w:rPr>
        <w:t>t</w:t>
      </w:r>
      <w:r>
        <w:rPr>
          <w:color w:val="000000"/>
          <w:spacing w:val="-9"/>
        </w:rPr>
        <w:t>i</w:t>
      </w:r>
      <w:r>
        <w:rPr>
          <w:color w:val="000000"/>
        </w:rPr>
        <w:t>k</w:t>
      </w:r>
      <w:r>
        <w:rPr>
          <w:color w:val="000000"/>
          <w:spacing w:val="36"/>
        </w:rPr>
        <w:t xml:space="preserve"> </w:t>
      </w:r>
      <w:r>
        <w:rPr>
          <w:color w:val="000000"/>
        </w:rPr>
        <w:t>0</w:t>
      </w:r>
      <w:r>
        <w:rPr>
          <w:color w:val="000000"/>
          <w:spacing w:val="2"/>
        </w:rPr>
        <w:t>,</w:t>
      </w:r>
      <w:r>
        <w:rPr>
          <w:color w:val="000000"/>
        </w:rPr>
        <w:t>81%</w:t>
      </w:r>
      <w:r>
        <w:rPr>
          <w:color w:val="000000"/>
          <w:spacing w:val="37"/>
        </w:rPr>
        <w:t xml:space="preserve"> </w:t>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rPr>
        <w:t xml:space="preserve">u </w:t>
      </w:r>
      <w:r>
        <w:rPr>
          <w:color w:val="000000"/>
          <w:spacing w:val="-5"/>
        </w:rPr>
        <w:t>n</w:t>
      </w:r>
      <w:r>
        <w:rPr>
          <w:color w:val="000000"/>
          <w:spacing w:val="4"/>
        </w:rPr>
        <w:t>e</w:t>
      </w:r>
      <w:r>
        <w:rPr>
          <w:color w:val="000000"/>
        </w:rPr>
        <w:t>i 10</w:t>
      </w:r>
      <w:r>
        <w:rPr>
          <w:color w:val="000000"/>
          <w:spacing w:val="5"/>
        </w:rPr>
        <w:t xml:space="preserve"> </w:t>
      </w:r>
      <w:r>
        <w:rPr>
          <w:color w:val="000000"/>
        </w:rPr>
        <w:t>kg.</w:t>
      </w:r>
      <w:r>
        <w:rPr>
          <w:color w:val="000000"/>
          <w:spacing w:val="7"/>
        </w:rPr>
        <w:t xml:space="preserve"> </w:t>
      </w:r>
      <w:r>
        <w:rPr>
          <w:color w:val="000000"/>
          <w:spacing w:val="2"/>
        </w:rPr>
        <w:t>T</w:t>
      </w:r>
      <w:r>
        <w:rPr>
          <w:color w:val="000000"/>
          <w:spacing w:val="4"/>
        </w:rPr>
        <w:t>a</w:t>
      </w:r>
      <w:r>
        <w:rPr>
          <w:color w:val="000000"/>
          <w:spacing w:val="-4"/>
        </w:rPr>
        <w:t>i</w:t>
      </w:r>
      <w:r>
        <w:rPr>
          <w:color w:val="000000"/>
          <w:spacing w:val="5"/>
        </w:rPr>
        <w:t>g</w:t>
      </w:r>
      <w:r>
        <w:rPr>
          <w:color w:val="000000"/>
          <w:spacing w:val="-9"/>
        </w:rPr>
        <w:t>i</w:t>
      </w:r>
      <w:r>
        <w:rPr>
          <w:color w:val="000000"/>
        </w:rPr>
        <w:t>,</w:t>
      </w:r>
      <w:r>
        <w:rPr>
          <w:color w:val="000000"/>
          <w:spacing w:val="7"/>
        </w:rPr>
        <w:t xml:space="preserve"> </w:t>
      </w:r>
      <w:r>
        <w:rPr>
          <w:color w:val="000000"/>
          <w:spacing w:val="5"/>
        </w:rPr>
        <w:t>d</w:t>
      </w:r>
      <w:r>
        <w:rPr>
          <w:color w:val="000000"/>
          <w:spacing w:val="-4"/>
        </w:rPr>
        <w:t>i</w:t>
      </w:r>
      <w:r>
        <w:rPr>
          <w:color w:val="000000"/>
        </w:rPr>
        <w:t>d</w:t>
      </w:r>
      <w:r>
        <w:rPr>
          <w:color w:val="000000"/>
          <w:spacing w:val="4"/>
        </w:rPr>
        <w:t>ž</w:t>
      </w:r>
      <w:r>
        <w:rPr>
          <w:color w:val="000000"/>
          <w:spacing w:val="-4"/>
        </w:rPr>
        <w:t>i</w:t>
      </w:r>
      <w:r>
        <w:rPr>
          <w:color w:val="000000"/>
          <w:spacing w:val="4"/>
        </w:rPr>
        <w:t>a</w:t>
      </w:r>
      <w:r>
        <w:rPr>
          <w:color w:val="000000"/>
        </w:rPr>
        <w:t>u</w:t>
      </w:r>
      <w:r>
        <w:rPr>
          <w:color w:val="000000"/>
          <w:spacing w:val="2"/>
        </w:rPr>
        <w:t>s</w:t>
      </w:r>
      <w:r>
        <w:rPr>
          <w:color w:val="000000"/>
          <w:spacing w:val="-4"/>
        </w:rPr>
        <w:t>i</w:t>
      </w:r>
      <w:r>
        <w:rPr>
          <w:color w:val="000000"/>
        </w:rPr>
        <w:t>ą</w:t>
      </w:r>
      <w:r>
        <w:rPr>
          <w:color w:val="000000"/>
          <w:spacing w:val="4"/>
        </w:rPr>
        <w:t xml:space="preserve"> </w:t>
      </w:r>
      <w:r>
        <w:rPr>
          <w:color w:val="000000"/>
        </w:rPr>
        <w:t>d</w:t>
      </w:r>
      <w:r>
        <w:rPr>
          <w:color w:val="000000"/>
          <w:spacing w:val="4"/>
        </w:rPr>
        <w:t>a</w:t>
      </w:r>
      <w:r>
        <w:rPr>
          <w:color w:val="000000"/>
        </w:rPr>
        <w:t>lį</w:t>
      </w:r>
      <w:r>
        <w:rPr>
          <w:color w:val="000000"/>
          <w:spacing w:val="6"/>
        </w:rPr>
        <w:t xml:space="preserve"> </w:t>
      </w:r>
      <w:r>
        <w:rPr>
          <w:color w:val="000000"/>
          <w:spacing w:val="-4"/>
        </w:rPr>
        <w:t>i</w:t>
      </w:r>
      <w:r>
        <w:rPr>
          <w:color w:val="000000"/>
          <w:spacing w:val="7"/>
        </w:rPr>
        <w:t>š</w:t>
      </w:r>
      <w:r>
        <w:rPr>
          <w:color w:val="000000"/>
        </w:rPr>
        <w:t>i</w:t>
      </w:r>
      <w:r>
        <w:rPr>
          <w:color w:val="000000"/>
          <w:spacing w:val="-9"/>
        </w:rPr>
        <w:t>m</w:t>
      </w:r>
      <w:r>
        <w:rPr>
          <w:color w:val="000000"/>
          <w:spacing w:val="5"/>
        </w:rPr>
        <w:t>t</w:t>
      </w:r>
      <w:r>
        <w:rPr>
          <w:color w:val="000000"/>
        </w:rPr>
        <w:t>ų</w:t>
      </w:r>
      <w:r>
        <w:rPr>
          <w:color w:val="000000"/>
          <w:spacing w:val="5"/>
        </w:rPr>
        <w:t xml:space="preserve"> </w:t>
      </w:r>
      <w:r>
        <w:rPr>
          <w:color w:val="000000"/>
        </w:rPr>
        <w:t>k</w:t>
      </w:r>
      <w:r>
        <w:rPr>
          <w:color w:val="000000"/>
          <w:spacing w:val="4"/>
        </w:rPr>
        <w:t>a</w:t>
      </w:r>
      <w:r>
        <w:rPr>
          <w:color w:val="000000"/>
          <w:spacing w:val="-5"/>
        </w:rPr>
        <w:t>n</w:t>
      </w:r>
      <w:r>
        <w:rPr>
          <w:color w:val="000000"/>
          <w:spacing w:val="-1"/>
        </w:rPr>
        <w:t>a</w:t>
      </w:r>
      <w:r>
        <w:rPr>
          <w:color w:val="000000"/>
          <w:spacing w:val="5"/>
        </w:rPr>
        <w:t>p</w:t>
      </w:r>
      <w:r>
        <w:rPr>
          <w:color w:val="000000"/>
          <w:spacing w:val="-4"/>
        </w:rPr>
        <w:t>i</w:t>
      </w:r>
      <w:r>
        <w:rPr>
          <w:color w:val="000000"/>
        </w:rPr>
        <w:t xml:space="preserve">ų </w:t>
      </w:r>
      <w:r>
        <w:rPr>
          <w:color w:val="000000"/>
          <w:spacing w:val="1"/>
        </w:rPr>
        <w:t>(</w:t>
      </w:r>
      <w:r>
        <w:rPr>
          <w:color w:val="000000"/>
        </w:rPr>
        <w:t>8</w:t>
      </w:r>
      <w:r>
        <w:rPr>
          <w:color w:val="000000"/>
          <w:spacing w:val="1"/>
        </w:rPr>
        <w:t>6%</w:t>
      </w:r>
      <w:r>
        <w:rPr>
          <w:color w:val="000000"/>
        </w:rPr>
        <w:t>)</w:t>
      </w:r>
      <w:r>
        <w:rPr>
          <w:color w:val="000000"/>
          <w:spacing w:val="1"/>
        </w:rPr>
        <w:t xml:space="preserve"> </w:t>
      </w:r>
      <w:r>
        <w:rPr>
          <w:color w:val="000000"/>
          <w:spacing w:val="-2"/>
        </w:rPr>
        <w:t>s</w:t>
      </w:r>
      <w:r>
        <w:rPr>
          <w:color w:val="000000"/>
        </w:rPr>
        <w:t>ud</w:t>
      </w:r>
      <w:r>
        <w:rPr>
          <w:color w:val="000000"/>
          <w:spacing w:val="-1"/>
        </w:rPr>
        <w:t>a</w:t>
      </w:r>
      <w:r>
        <w:rPr>
          <w:color w:val="000000"/>
          <w:spacing w:val="1"/>
        </w:rPr>
        <w:t>r</w:t>
      </w:r>
      <w:r>
        <w:rPr>
          <w:color w:val="000000"/>
        </w:rPr>
        <w:t>o</w:t>
      </w:r>
      <w:r>
        <w:rPr>
          <w:color w:val="000000"/>
          <w:spacing w:val="4"/>
        </w:rPr>
        <w:t xml:space="preserve"> </w:t>
      </w:r>
      <w:r>
        <w:rPr>
          <w:color w:val="000000"/>
          <w:spacing w:val="-6"/>
        </w:rPr>
        <w:t>a</w:t>
      </w:r>
      <w:r>
        <w:rPr>
          <w:color w:val="000000"/>
          <w:spacing w:val="5"/>
        </w:rPr>
        <w:t>t</w:t>
      </w:r>
      <w:r>
        <w:rPr>
          <w:color w:val="000000"/>
          <w:spacing w:val="-5"/>
        </w:rPr>
        <w:t>v</w:t>
      </w:r>
      <w:r>
        <w:rPr>
          <w:color w:val="000000"/>
          <w:spacing w:val="4"/>
        </w:rPr>
        <w:t>e</w:t>
      </w:r>
      <w:r>
        <w:rPr>
          <w:color w:val="000000"/>
          <w:spacing w:val="-9"/>
        </w:rPr>
        <w:t>j</w:t>
      </w:r>
      <w:r>
        <w:rPr>
          <w:color w:val="000000"/>
          <w:spacing w:val="4"/>
        </w:rPr>
        <w:t>a</w:t>
      </w:r>
      <w:r>
        <w:rPr>
          <w:color w:val="000000"/>
          <w:spacing w:val="-4"/>
        </w:rPr>
        <w:t>i</w:t>
      </w:r>
      <w:r>
        <w:rPr>
          <w:color w:val="000000"/>
        </w:rPr>
        <w:t>,</w:t>
      </w:r>
      <w:r>
        <w:rPr>
          <w:color w:val="000000"/>
          <w:spacing w:val="2"/>
        </w:rPr>
        <w:t xml:space="preserve"> </w:t>
      </w:r>
      <w:r>
        <w:rPr>
          <w:color w:val="000000"/>
        </w:rPr>
        <w:t>k</w:t>
      </w:r>
      <w:r>
        <w:rPr>
          <w:color w:val="000000"/>
          <w:spacing w:val="4"/>
        </w:rPr>
        <w:t>a</w:t>
      </w:r>
      <w:r>
        <w:rPr>
          <w:color w:val="000000"/>
        </w:rPr>
        <w:t xml:space="preserve">i </w:t>
      </w:r>
      <w:r>
        <w:rPr>
          <w:color w:val="000000"/>
          <w:spacing w:val="-4"/>
        </w:rPr>
        <w:t>i</w:t>
      </w:r>
      <w:r>
        <w:rPr>
          <w:color w:val="000000"/>
          <w:spacing w:val="7"/>
        </w:rPr>
        <w:t>š</w:t>
      </w:r>
      <w:r>
        <w:rPr>
          <w:color w:val="000000"/>
        </w:rPr>
        <w:t>i</w:t>
      </w:r>
      <w:r>
        <w:rPr>
          <w:color w:val="000000"/>
          <w:spacing w:val="-9"/>
        </w:rPr>
        <w:t>m</w:t>
      </w:r>
      <w:r>
        <w:rPr>
          <w:color w:val="000000"/>
          <w:spacing w:val="5"/>
        </w:rPr>
        <w:t>t</w:t>
      </w:r>
      <w:r>
        <w:rPr>
          <w:color w:val="000000"/>
        </w:rPr>
        <w:t>ų k</w:t>
      </w:r>
      <w:r>
        <w:rPr>
          <w:color w:val="000000"/>
          <w:spacing w:val="4"/>
        </w:rPr>
        <w:t>a</w:t>
      </w:r>
      <w:r>
        <w:rPr>
          <w:color w:val="000000"/>
          <w:spacing w:val="-5"/>
        </w:rPr>
        <w:t>n</w:t>
      </w:r>
      <w:r>
        <w:rPr>
          <w:color w:val="000000"/>
          <w:spacing w:val="-1"/>
        </w:rPr>
        <w:t>a</w:t>
      </w:r>
      <w:r>
        <w:rPr>
          <w:color w:val="000000"/>
          <w:spacing w:val="5"/>
        </w:rPr>
        <w:t>p</w:t>
      </w:r>
      <w:r>
        <w:rPr>
          <w:color w:val="000000"/>
          <w:spacing w:val="-4"/>
        </w:rPr>
        <w:t>i</w:t>
      </w:r>
      <w:r>
        <w:rPr>
          <w:color w:val="000000"/>
        </w:rPr>
        <w:t xml:space="preserve">ų </w:t>
      </w:r>
      <w:r>
        <w:rPr>
          <w:color w:val="000000"/>
          <w:spacing w:val="5"/>
        </w:rPr>
        <w:t>k</w:t>
      </w:r>
      <w:r>
        <w:rPr>
          <w:color w:val="000000"/>
          <w:spacing w:val="-4"/>
        </w:rPr>
        <w:t>i</w:t>
      </w:r>
      <w:r>
        <w:rPr>
          <w:color w:val="000000"/>
          <w:spacing w:val="4"/>
        </w:rPr>
        <w:t>e</w:t>
      </w:r>
      <w:r>
        <w:rPr>
          <w:color w:val="000000"/>
          <w:spacing w:val="5"/>
        </w:rPr>
        <w:t>k</w:t>
      </w:r>
      <w:r>
        <w:rPr>
          <w:color w:val="000000"/>
          <w:spacing w:val="-4"/>
        </w:rPr>
        <w:t>i</w:t>
      </w:r>
      <w:r>
        <w:rPr>
          <w:color w:val="000000"/>
        </w:rPr>
        <w:t xml:space="preserve">s </w:t>
      </w:r>
      <w:r>
        <w:rPr>
          <w:color w:val="000000"/>
          <w:spacing w:val="-5"/>
        </w:rPr>
        <w:t>n</w:t>
      </w:r>
      <w:r>
        <w:rPr>
          <w:color w:val="000000"/>
          <w:spacing w:val="4"/>
        </w:rPr>
        <w:t>e</w:t>
      </w:r>
      <w:r>
        <w:rPr>
          <w:color w:val="000000"/>
        </w:rPr>
        <w:t>v</w:t>
      </w:r>
      <w:r>
        <w:rPr>
          <w:color w:val="000000"/>
          <w:spacing w:val="-4"/>
        </w:rPr>
        <w:t>i</w:t>
      </w:r>
      <w:r>
        <w:rPr>
          <w:color w:val="000000"/>
          <w:spacing w:val="1"/>
        </w:rPr>
        <w:t>r</w:t>
      </w:r>
      <w:r>
        <w:rPr>
          <w:color w:val="000000"/>
          <w:spacing w:val="2"/>
        </w:rPr>
        <w:t>š</w:t>
      </w:r>
      <w:r>
        <w:rPr>
          <w:color w:val="000000"/>
        </w:rPr>
        <w:t>i</w:t>
      </w:r>
      <w:r>
        <w:rPr>
          <w:color w:val="000000"/>
          <w:spacing w:val="-9"/>
        </w:rPr>
        <w:t>j</w:t>
      </w:r>
      <w:r>
        <w:rPr>
          <w:color w:val="000000"/>
        </w:rPr>
        <w:t xml:space="preserve">o  </w:t>
      </w:r>
      <w:r>
        <w:rPr>
          <w:color w:val="000000"/>
          <w:spacing w:val="2"/>
        </w:rPr>
        <w:t xml:space="preserve"> </w:t>
      </w:r>
      <w:r>
        <w:rPr>
          <w:color w:val="000000"/>
        </w:rPr>
        <w:t xml:space="preserve">10 </w:t>
      </w:r>
      <w:r>
        <w:rPr>
          <w:color w:val="000000"/>
          <w:spacing w:val="57"/>
        </w:rPr>
        <w:t xml:space="preserve"> </w:t>
      </w:r>
      <w:r>
        <w:rPr>
          <w:color w:val="000000"/>
        </w:rPr>
        <w:t>g.   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53"/>
        </w:rPr>
        <w:t xml:space="preserve"> </w:t>
      </w:r>
      <w:r>
        <w:rPr>
          <w:color w:val="000000"/>
        </w:rPr>
        <w:t>k</w:t>
      </w:r>
      <w:r>
        <w:rPr>
          <w:color w:val="000000"/>
          <w:spacing w:val="4"/>
        </w:rPr>
        <w:t>a</w:t>
      </w:r>
      <w:r>
        <w:rPr>
          <w:color w:val="000000"/>
          <w:spacing w:val="-5"/>
        </w:rPr>
        <w:t>n</w:t>
      </w:r>
      <w:r>
        <w:rPr>
          <w:color w:val="000000"/>
          <w:spacing w:val="-1"/>
        </w:rPr>
        <w:t>a</w:t>
      </w:r>
      <w:r>
        <w:rPr>
          <w:color w:val="000000"/>
          <w:spacing w:val="5"/>
        </w:rPr>
        <w:t>p</w:t>
      </w:r>
      <w:r>
        <w:rPr>
          <w:color w:val="000000"/>
          <w:spacing w:val="-4"/>
        </w:rPr>
        <w:t>i</w:t>
      </w:r>
      <w:r>
        <w:rPr>
          <w:color w:val="000000"/>
        </w:rPr>
        <w:t xml:space="preserve">ų  </w:t>
      </w:r>
      <w:r>
        <w:rPr>
          <w:color w:val="000000"/>
          <w:spacing w:val="2"/>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rPr>
        <w:t>a</w:t>
      </w:r>
    </w:p>
    <w:p w:rsidR="004F7425" w:rsidRDefault="004F7425" w:rsidP="004F7425">
      <w:pPr>
        <w:widowControl w:val="0"/>
        <w:autoSpaceDE w:val="0"/>
        <w:autoSpaceDN w:val="0"/>
        <w:adjustRightInd w:val="0"/>
        <w:ind w:left="280" w:right="-20"/>
        <w:rPr>
          <w:color w:val="000000"/>
        </w:rPr>
      </w:pPr>
      <w:r>
        <w:rPr>
          <w:color w:val="000000"/>
          <w:spacing w:val="-5"/>
        </w:rPr>
        <w:t>K</w:t>
      </w:r>
      <w:r>
        <w:rPr>
          <w:color w:val="000000"/>
          <w:spacing w:val="-1"/>
        </w:rPr>
        <w:t>a</w:t>
      </w:r>
      <w:r>
        <w:rPr>
          <w:color w:val="000000"/>
          <w:spacing w:val="5"/>
        </w:rPr>
        <w:t>u</w:t>
      </w:r>
      <w:r>
        <w:rPr>
          <w:color w:val="000000"/>
          <w:spacing w:val="-5"/>
        </w:rPr>
        <w:t>n</w:t>
      </w:r>
      <w:r>
        <w:rPr>
          <w:color w:val="000000"/>
        </w:rPr>
        <w:t>o</w:t>
      </w:r>
      <w:r>
        <w:rPr>
          <w:color w:val="000000"/>
          <w:spacing w:val="7"/>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5"/>
        </w:rPr>
        <w:t>y</w:t>
      </w:r>
      <w:r>
        <w:rPr>
          <w:color w:val="000000"/>
          <w:spacing w:val="-4"/>
        </w:rPr>
        <w:t>j</w:t>
      </w:r>
      <w:r>
        <w:rPr>
          <w:color w:val="000000"/>
        </w:rPr>
        <w:t>e</w:t>
      </w:r>
      <w:r>
        <w:rPr>
          <w:color w:val="000000"/>
          <w:spacing w:val="4"/>
        </w:rPr>
        <w:t xml:space="preserve"> </w:t>
      </w:r>
      <w:r>
        <w:rPr>
          <w:color w:val="000000"/>
        </w:rPr>
        <w:t>–</w:t>
      </w:r>
      <w:r>
        <w:rPr>
          <w:color w:val="000000"/>
          <w:spacing w:val="2"/>
        </w:rPr>
        <w:t xml:space="preserve"> </w:t>
      </w:r>
      <w:r>
        <w:rPr>
          <w:color w:val="000000"/>
        </w:rPr>
        <w:t>38</w:t>
      </w:r>
      <w:r>
        <w:rPr>
          <w:color w:val="000000"/>
          <w:spacing w:val="2"/>
        </w:rPr>
        <w:t>,</w:t>
      </w:r>
      <w:r>
        <w:rPr>
          <w:color w:val="000000"/>
        </w:rPr>
        <w:t>9</w:t>
      </w:r>
      <w:r>
        <w:rPr>
          <w:color w:val="000000"/>
          <w:spacing w:val="2"/>
        </w:rPr>
        <w:t xml:space="preserve"> </w:t>
      </w:r>
      <w:r>
        <w:rPr>
          <w:color w:val="000000"/>
        </w:rPr>
        <w:t>kg</w:t>
      </w:r>
      <w:r>
        <w:rPr>
          <w:color w:val="000000"/>
          <w:spacing w:val="-3"/>
        </w:rPr>
        <w:t xml:space="preserve"> </w:t>
      </w:r>
      <w:r>
        <w:rPr>
          <w:color w:val="000000"/>
          <w:spacing w:val="-9"/>
        </w:rPr>
        <w:t>i</w:t>
      </w:r>
      <w:r>
        <w:rPr>
          <w:color w:val="000000"/>
        </w:rPr>
        <w:t>r</w:t>
      </w:r>
      <w:r>
        <w:rPr>
          <w:color w:val="000000"/>
          <w:spacing w:val="8"/>
        </w:rPr>
        <w:t xml:space="preserve"> </w:t>
      </w:r>
      <w:r>
        <w:rPr>
          <w:color w:val="000000"/>
        </w:rPr>
        <w:t>K</w:t>
      </w:r>
      <w:r>
        <w:rPr>
          <w:color w:val="000000"/>
          <w:spacing w:val="-5"/>
        </w:rPr>
        <w:t>l</w:t>
      </w:r>
      <w:r>
        <w:rPr>
          <w:color w:val="000000"/>
          <w:spacing w:val="4"/>
        </w:rPr>
        <w:t>a</w:t>
      </w:r>
      <w:r>
        <w:rPr>
          <w:color w:val="000000"/>
          <w:spacing w:val="-9"/>
        </w:rPr>
        <w:t>i</w:t>
      </w:r>
      <w:r>
        <w:rPr>
          <w:color w:val="000000"/>
          <w:spacing w:val="5"/>
        </w:rPr>
        <w:t>p</w:t>
      </w:r>
      <w:r>
        <w:rPr>
          <w:color w:val="000000"/>
          <w:spacing w:val="-1"/>
        </w:rPr>
        <w:t>ė</w:t>
      </w:r>
      <w:r>
        <w:rPr>
          <w:color w:val="000000"/>
        </w:rPr>
        <w:t>d</w:t>
      </w:r>
      <w:r>
        <w:rPr>
          <w:color w:val="000000"/>
          <w:spacing w:val="5"/>
        </w:rPr>
        <w:t>o</w:t>
      </w:r>
      <w:r>
        <w:rPr>
          <w:color w:val="000000"/>
        </w:rPr>
        <w:t xml:space="preserve">s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5"/>
        </w:rPr>
        <w:t>y</w:t>
      </w:r>
      <w:r>
        <w:rPr>
          <w:color w:val="000000"/>
          <w:spacing w:val="-4"/>
        </w:rPr>
        <w:t>j</w:t>
      </w:r>
      <w:r>
        <w:rPr>
          <w:color w:val="000000"/>
        </w:rPr>
        <w:t>e</w:t>
      </w:r>
      <w:r>
        <w:rPr>
          <w:color w:val="000000"/>
          <w:spacing w:val="5"/>
        </w:rPr>
        <w:t xml:space="preserve"> </w:t>
      </w:r>
      <w:r>
        <w:rPr>
          <w:color w:val="000000"/>
        </w:rPr>
        <w:t>–</w:t>
      </w:r>
      <w:r>
        <w:rPr>
          <w:color w:val="000000"/>
          <w:spacing w:val="3"/>
        </w:rPr>
        <w:t xml:space="preserve"> </w:t>
      </w:r>
      <w:r>
        <w:rPr>
          <w:color w:val="000000"/>
        </w:rPr>
        <w:t>11</w:t>
      </w:r>
      <w:r>
        <w:rPr>
          <w:color w:val="000000"/>
          <w:spacing w:val="2"/>
        </w:rPr>
        <w:t>,</w:t>
      </w:r>
      <w:r>
        <w:rPr>
          <w:color w:val="000000"/>
        </w:rPr>
        <w:t>6</w:t>
      </w:r>
      <w:r>
        <w:rPr>
          <w:color w:val="000000"/>
          <w:spacing w:val="-3"/>
        </w:rPr>
        <w:t xml:space="preserve"> </w:t>
      </w:r>
      <w:r>
        <w:rPr>
          <w:color w:val="000000"/>
        </w:rPr>
        <w:t>kg.</w:t>
      </w:r>
    </w:p>
    <w:p w:rsidR="004F7425" w:rsidRDefault="004F7425" w:rsidP="004F7425">
      <w:pPr>
        <w:widowControl w:val="0"/>
        <w:autoSpaceDE w:val="0"/>
        <w:autoSpaceDN w:val="0"/>
        <w:adjustRightInd w:val="0"/>
        <w:spacing w:before="45" w:line="275" w:lineRule="auto"/>
        <w:ind w:left="280" w:right="70" w:firstLine="721"/>
        <w:jc w:val="both"/>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w:t>
      </w:r>
      <w:r>
        <w:rPr>
          <w:color w:val="000000"/>
          <w:spacing w:val="1"/>
        </w:rPr>
        <w:t xml:space="preserve"> </w:t>
      </w:r>
      <w:r>
        <w:rPr>
          <w:color w:val="000000"/>
        </w:rPr>
        <w:t>2012</w:t>
      </w:r>
      <w:r>
        <w:rPr>
          <w:color w:val="000000"/>
          <w:spacing w:val="7"/>
        </w:rPr>
        <w:t xml:space="preserve"> </w:t>
      </w:r>
      <w:r>
        <w:rPr>
          <w:color w:val="000000"/>
          <w:spacing w:val="-9"/>
        </w:rPr>
        <w:t>m</w:t>
      </w:r>
      <w:r>
        <w:rPr>
          <w:color w:val="000000"/>
        </w:rPr>
        <w:t>.</w:t>
      </w:r>
      <w:r>
        <w:rPr>
          <w:color w:val="000000"/>
          <w:spacing w:val="9"/>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1"/>
        </w:rPr>
        <w:t>a</w:t>
      </w:r>
      <w:r>
        <w:rPr>
          <w:color w:val="000000"/>
          <w:spacing w:val="-5"/>
        </w:rPr>
        <w:t>p</w:t>
      </w:r>
      <w:r>
        <w:rPr>
          <w:color w:val="000000"/>
          <w:spacing w:val="5"/>
        </w:rPr>
        <w:t>t</w:t>
      </w:r>
      <w:r>
        <w:rPr>
          <w:color w:val="000000"/>
          <w:spacing w:val="-9"/>
        </w:rPr>
        <w:t>i</w:t>
      </w:r>
      <w:r>
        <w:rPr>
          <w:color w:val="000000"/>
        </w:rPr>
        <w:t>k</w:t>
      </w:r>
      <w:r>
        <w:rPr>
          <w:color w:val="000000"/>
          <w:spacing w:val="5"/>
        </w:rPr>
        <w:t>to</w:t>
      </w:r>
      <w:r>
        <w:rPr>
          <w:color w:val="000000"/>
        </w:rPr>
        <w:t>s d</w:t>
      </w:r>
      <w:r>
        <w:rPr>
          <w:color w:val="000000"/>
          <w:spacing w:val="-1"/>
        </w:rPr>
        <w:t>e</w:t>
      </w:r>
      <w:r>
        <w:rPr>
          <w:color w:val="000000"/>
        </w:rPr>
        <w:t>v</w:t>
      </w:r>
      <w:r>
        <w:rPr>
          <w:color w:val="000000"/>
          <w:spacing w:val="-5"/>
        </w:rPr>
        <w:t>y</w:t>
      </w:r>
      <w:r>
        <w:rPr>
          <w:color w:val="000000"/>
          <w:spacing w:val="5"/>
        </w:rPr>
        <w:t>n</w:t>
      </w:r>
      <w:r>
        <w:rPr>
          <w:color w:val="000000"/>
          <w:spacing w:val="-9"/>
        </w:rPr>
        <w:t>i</w:t>
      </w:r>
      <w:r>
        <w:rPr>
          <w:color w:val="000000"/>
          <w:spacing w:val="5"/>
        </w:rPr>
        <w:t>o</w:t>
      </w:r>
      <w:r>
        <w:rPr>
          <w:color w:val="000000"/>
        </w:rPr>
        <w:t>s</w:t>
      </w:r>
      <w:r>
        <w:rPr>
          <w:color w:val="000000"/>
          <w:spacing w:val="5"/>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to</w:t>
      </w:r>
      <w:r>
        <w:rPr>
          <w:color w:val="000000"/>
        </w:rPr>
        <w:t>s k</w:t>
      </w:r>
      <w:r>
        <w:rPr>
          <w:color w:val="000000"/>
          <w:spacing w:val="-1"/>
        </w:rPr>
        <w:t>a</w:t>
      </w:r>
      <w:r>
        <w:rPr>
          <w:color w:val="000000"/>
          <w:spacing w:val="-5"/>
        </w:rPr>
        <w:t>n</w:t>
      </w:r>
      <w:r>
        <w:rPr>
          <w:color w:val="000000"/>
          <w:spacing w:val="-1"/>
        </w:rPr>
        <w:t>a</w:t>
      </w:r>
      <w:r>
        <w:rPr>
          <w:color w:val="000000"/>
          <w:spacing w:val="5"/>
        </w:rPr>
        <w:t>p</w:t>
      </w:r>
      <w:r>
        <w:rPr>
          <w:color w:val="000000"/>
          <w:spacing w:val="-4"/>
        </w:rPr>
        <w:t>i</w:t>
      </w:r>
      <w:r>
        <w:rPr>
          <w:color w:val="000000"/>
        </w:rPr>
        <w:t>ų</w:t>
      </w:r>
      <w:r>
        <w:rPr>
          <w:color w:val="000000"/>
          <w:spacing w:val="2"/>
        </w:rPr>
        <w:t xml:space="preserve"> </w:t>
      </w:r>
      <w:r>
        <w:rPr>
          <w:color w:val="000000"/>
          <w:spacing w:val="-1"/>
        </w:rPr>
        <w:t>a</w:t>
      </w:r>
      <w:r>
        <w:rPr>
          <w:color w:val="000000"/>
        </w:rPr>
        <w:t>u</w:t>
      </w:r>
      <w:r>
        <w:rPr>
          <w:color w:val="000000"/>
          <w:spacing w:val="5"/>
        </w:rPr>
        <w:t>g</w:t>
      </w:r>
      <w:r>
        <w:rPr>
          <w:color w:val="000000"/>
          <w:spacing w:val="-4"/>
        </w:rPr>
        <w:t>i</w:t>
      </w:r>
      <w:r>
        <w:rPr>
          <w:color w:val="000000"/>
        </w:rPr>
        <w:t>ni</w:t>
      </w:r>
      <w:r>
        <w:rPr>
          <w:color w:val="000000"/>
          <w:spacing w:val="-9"/>
        </w:rPr>
        <w:t>m</w:t>
      </w:r>
      <w:r>
        <w:rPr>
          <w:color w:val="000000"/>
        </w:rPr>
        <w:t>o</w:t>
      </w:r>
      <w:r>
        <w:rPr>
          <w:color w:val="000000"/>
          <w:spacing w:val="12"/>
        </w:rPr>
        <w:t xml:space="preserve"> </w:t>
      </w:r>
      <w:r>
        <w:rPr>
          <w:color w:val="000000"/>
        </w:rPr>
        <w:t>v</w:t>
      </w:r>
      <w:r>
        <w:rPr>
          <w:color w:val="000000"/>
          <w:spacing w:val="-4"/>
        </w:rPr>
        <w:t>i</w:t>
      </w:r>
      <w:r>
        <w:rPr>
          <w:color w:val="000000"/>
          <w:spacing w:val="-1"/>
        </w:rPr>
        <w:t>e</w:t>
      </w:r>
      <w:r>
        <w:rPr>
          <w:color w:val="000000"/>
          <w:spacing w:val="5"/>
        </w:rPr>
        <w:t>to</w:t>
      </w:r>
      <w:r>
        <w:rPr>
          <w:color w:val="000000"/>
          <w:spacing w:val="-2"/>
        </w:rPr>
        <w:t>s</w:t>
      </w:r>
      <w:r>
        <w:rPr>
          <w:color w:val="000000"/>
        </w:rPr>
        <w:t>:</w:t>
      </w:r>
      <w:r>
        <w:rPr>
          <w:color w:val="000000"/>
          <w:spacing w:val="3"/>
        </w:rPr>
        <w:t xml:space="preserve"> </w:t>
      </w:r>
      <w:r>
        <w:rPr>
          <w:color w:val="000000"/>
          <w:spacing w:val="-5"/>
        </w:rPr>
        <w:t>n</w:t>
      </w:r>
      <w:r>
        <w:rPr>
          <w:color w:val="000000"/>
        </w:rPr>
        <w:t>uo</w:t>
      </w:r>
      <w:r>
        <w:rPr>
          <w:color w:val="000000"/>
          <w:spacing w:val="7"/>
        </w:rPr>
        <w:t xml:space="preserve"> </w:t>
      </w:r>
      <w:r>
        <w:rPr>
          <w:color w:val="000000"/>
        </w:rPr>
        <w:t>p</w:t>
      </w:r>
      <w:r>
        <w:rPr>
          <w:color w:val="000000"/>
          <w:spacing w:val="-1"/>
        </w:rPr>
        <w:t>a</w:t>
      </w:r>
      <w:r>
        <w:rPr>
          <w:color w:val="000000"/>
        </w:rPr>
        <w:t>p</w:t>
      </w:r>
      <w:r>
        <w:rPr>
          <w:color w:val="000000"/>
          <w:spacing w:val="1"/>
        </w:rPr>
        <w:t>r</w:t>
      </w:r>
      <w:r>
        <w:rPr>
          <w:color w:val="000000"/>
          <w:spacing w:val="-1"/>
        </w:rPr>
        <w:t>a</w:t>
      </w:r>
      <w:r>
        <w:rPr>
          <w:color w:val="000000"/>
          <w:spacing w:val="-2"/>
        </w:rPr>
        <w:t>s</w:t>
      </w:r>
      <w:r>
        <w:rPr>
          <w:color w:val="000000"/>
          <w:spacing w:val="5"/>
        </w:rPr>
        <w:t>t</w:t>
      </w:r>
      <w:r>
        <w:rPr>
          <w:color w:val="000000"/>
          <w:spacing w:val="-5"/>
        </w:rPr>
        <w:t>ų</w:t>
      </w:r>
      <w:r>
        <w:rPr>
          <w:color w:val="000000"/>
        </w:rPr>
        <w:t xml:space="preserve">, </w:t>
      </w:r>
      <w:r>
        <w:rPr>
          <w:color w:val="000000"/>
          <w:spacing w:val="-5"/>
        </w:rPr>
        <w:t>n</w:t>
      </w:r>
      <w:r>
        <w:rPr>
          <w:color w:val="000000"/>
          <w:spacing w:val="4"/>
        </w:rPr>
        <w:t>a</w:t>
      </w:r>
      <w:r>
        <w:rPr>
          <w:color w:val="000000"/>
        </w:rPr>
        <w:t>m</w:t>
      </w:r>
      <w:r>
        <w:rPr>
          <w:color w:val="000000"/>
          <w:spacing w:val="-4"/>
        </w:rPr>
        <w:t>i</w:t>
      </w:r>
      <w:r>
        <w:rPr>
          <w:color w:val="000000"/>
        </w:rPr>
        <w:t>n</w:t>
      </w:r>
      <w:r>
        <w:rPr>
          <w:color w:val="000000"/>
          <w:spacing w:val="4"/>
        </w:rPr>
        <w:t>ė</w:t>
      </w:r>
      <w:r>
        <w:rPr>
          <w:color w:val="000000"/>
        </w:rPr>
        <w:t xml:space="preserve">m </w:t>
      </w:r>
      <w:r>
        <w:rPr>
          <w:color w:val="000000"/>
          <w:spacing w:val="-2"/>
        </w:rPr>
        <w:t>s</w:t>
      </w:r>
      <w:r>
        <w:rPr>
          <w:color w:val="000000"/>
          <w:spacing w:val="4"/>
        </w:rPr>
        <w:t>ą</w:t>
      </w:r>
      <w:r>
        <w:rPr>
          <w:color w:val="000000"/>
        </w:rPr>
        <w:t>l</w:t>
      </w:r>
      <w:r>
        <w:rPr>
          <w:color w:val="000000"/>
          <w:spacing w:val="-4"/>
        </w:rPr>
        <w:t>y</w:t>
      </w:r>
      <w:r>
        <w:rPr>
          <w:color w:val="000000"/>
        </w:rPr>
        <w:t>g</w:t>
      </w:r>
      <w:r>
        <w:rPr>
          <w:color w:val="000000"/>
          <w:spacing w:val="9"/>
        </w:rPr>
        <w:t>o</w:t>
      </w:r>
      <w:r>
        <w:rPr>
          <w:color w:val="000000"/>
          <w:spacing w:val="-7"/>
        </w:rPr>
        <w:t>m</w:t>
      </w:r>
      <w:r>
        <w:rPr>
          <w:color w:val="000000"/>
        </w:rPr>
        <w:t>,</w:t>
      </w:r>
      <w:r>
        <w:rPr>
          <w:color w:val="000000"/>
          <w:spacing w:val="6"/>
        </w:rPr>
        <w:t xml:space="preserve"> </w:t>
      </w:r>
      <w:r>
        <w:rPr>
          <w:color w:val="000000"/>
          <w:spacing w:val="-9"/>
        </w:rPr>
        <w:t>i</w:t>
      </w:r>
      <w:r>
        <w:rPr>
          <w:color w:val="000000"/>
          <w:spacing w:val="5"/>
        </w:rPr>
        <w:t>k</w:t>
      </w:r>
      <w:r>
        <w:rPr>
          <w:color w:val="000000"/>
        </w:rPr>
        <w:t xml:space="preserve">i </w:t>
      </w:r>
      <w:r>
        <w:rPr>
          <w:color w:val="000000"/>
          <w:spacing w:val="-2"/>
        </w:rPr>
        <w:t>s</w:t>
      </w:r>
      <w:r>
        <w:rPr>
          <w:color w:val="000000"/>
        </w:rPr>
        <w:t>p</w:t>
      </w:r>
      <w:r>
        <w:rPr>
          <w:color w:val="000000"/>
          <w:spacing w:val="-1"/>
        </w:rPr>
        <w:t>e</w:t>
      </w:r>
      <w:r>
        <w:rPr>
          <w:color w:val="000000"/>
          <w:spacing w:val="4"/>
        </w:rPr>
        <w:t>c</w:t>
      </w:r>
      <w:r>
        <w:rPr>
          <w:color w:val="000000"/>
          <w:spacing w:val="-4"/>
        </w:rPr>
        <w:t>i</w:t>
      </w:r>
      <w:r>
        <w:rPr>
          <w:color w:val="000000"/>
          <w:spacing w:val="4"/>
        </w:rPr>
        <w:t>a</w:t>
      </w:r>
      <w:r>
        <w:rPr>
          <w:color w:val="000000"/>
        </w:rPr>
        <w:t>l</w:t>
      </w:r>
      <w:r>
        <w:rPr>
          <w:color w:val="000000"/>
          <w:spacing w:val="-4"/>
        </w:rPr>
        <w:t>i</w:t>
      </w:r>
      <w:r>
        <w:rPr>
          <w:color w:val="000000"/>
          <w:spacing w:val="4"/>
        </w:rPr>
        <w:t>a</w:t>
      </w:r>
      <w:r>
        <w:rPr>
          <w:color w:val="000000"/>
        </w:rPr>
        <w:t xml:space="preserve">i </w:t>
      </w:r>
      <w:r>
        <w:rPr>
          <w:color w:val="000000"/>
          <w:spacing w:val="-4"/>
        </w:rPr>
        <w:t>į</w:t>
      </w:r>
      <w:r>
        <w:rPr>
          <w:color w:val="000000"/>
          <w:spacing w:val="1"/>
        </w:rPr>
        <w:t>r</w:t>
      </w:r>
      <w:r>
        <w:rPr>
          <w:color w:val="000000"/>
          <w:spacing w:val="4"/>
        </w:rPr>
        <w:t>e</w:t>
      </w:r>
      <w:r>
        <w:rPr>
          <w:color w:val="000000"/>
          <w:spacing w:val="-5"/>
        </w:rPr>
        <w:t>n</w:t>
      </w:r>
      <w:r>
        <w:rPr>
          <w:color w:val="000000"/>
        </w:rPr>
        <w:t>g</w:t>
      </w:r>
      <w:r>
        <w:rPr>
          <w:color w:val="000000"/>
          <w:spacing w:val="5"/>
        </w:rPr>
        <w:t>t</w:t>
      </w:r>
      <w:r>
        <w:rPr>
          <w:color w:val="000000"/>
        </w:rPr>
        <w:t>ų</w:t>
      </w:r>
      <w:r>
        <w:rPr>
          <w:color w:val="000000"/>
          <w:spacing w:val="4"/>
        </w:rPr>
        <w:t xml:space="preserve"> </w:t>
      </w:r>
      <w:r>
        <w:rPr>
          <w:color w:val="000000"/>
          <w:spacing w:val="-9"/>
        </w:rPr>
        <w:t>l</w:t>
      </w:r>
      <w:r>
        <w:rPr>
          <w:color w:val="000000"/>
          <w:spacing w:val="4"/>
        </w:rPr>
        <w:t>a</w:t>
      </w:r>
      <w:r>
        <w:rPr>
          <w:color w:val="000000"/>
          <w:spacing w:val="-5"/>
        </w:rPr>
        <w:t>b</w:t>
      </w:r>
      <w:r>
        <w:rPr>
          <w:color w:val="000000"/>
          <w:spacing w:val="5"/>
        </w:rPr>
        <w:t>o</w:t>
      </w:r>
      <w:r>
        <w:rPr>
          <w:color w:val="000000"/>
          <w:spacing w:val="1"/>
        </w:rPr>
        <w:t>r</w:t>
      </w:r>
      <w:r>
        <w:rPr>
          <w:color w:val="000000"/>
          <w:spacing w:val="-1"/>
        </w:rPr>
        <w:t>a</w:t>
      </w:r>
      <w:r>
        <w:rPr>
          <w:color w:val="000000"/>
        </w:rPr>
        <w:t>t</w:t>
      </w:r>
      <w:r>
        <w:rPr>
          <w:color w:val="000000"/>
          <w:spacing w:val="5"/>
        </w:rPr>
        <w:t>o</w:t>
      </w:r>
      <w:r>
        <w:rPr>
          <w:color w:val="000000"/>
          <w:spacing w:val="1"/>
        </w:rPr>
        <w:t>r</w:t>
      </w:r>
      <w:r>
        <w:rPr>
          <w:color w:val="000000"/>
          <w:spacing w:val="-4"/>
        </w:rPr>
        <w:t>i</w:t>
      </w:r>
      <w:r>
        <w:rPr>
          <w:color w:val="000000"/>
          <w:spacing w:val="-9"/>
        </w:rPr>
        <w:t>j</w:t>
      </w:r>
      <w:r>
        <w:rPr>
          <w:color w:val="000000"/>
        </w:rPr>
        <w:t>ų</w:t>
      </w:r>
      <w:r>
        <w:rPr>
          <w:color w:val="000000"/>
          <w:spacing w:val="4"/>
        </w:rPr>
        <w:t xml:space="preserve"> </w:t>
      </w:r>
      <w:r>
        <w:rPr>
          <w:color w:val="000000"/>
          <w:spacing w:val="-2"/>
        </w:rPr>
        <w:t>s</w:t>
      </w:r>
      <w:r>
        <w:rPr>
          <w:color w:val="000000"/>
        </w:rPr>
        <w:t>u</w:t>
      </w:r>
      <w:r>
        <w:rPr>
          <w:color w:val="000000"/>
          <w:spacing w:val="4"/>
        </w:rPr>
        <w:t xml:space="preserve"> </w:t>
      </w:r>
      <w:r>
        <w:rPr>
          <w:color w:val="000000"/>
          <w:spacing w:val="-2"/>
        </w:rPr>
        <w:t>s</w:t>
      </w:r>
      <w:r>
        <w:rPr>
          <w:color w:val="000000"/>
        </w:rPr>
        <w:t>p</w:t>
      </w:r>
      <w:r>
        <w:rPr>
          <w:color w:val="000000"/>
          <w:spacing w:val="-1"/>
        </w:rPr>
        <w:t>e</w:t>
      </w:r>
      <w:r>
        <w:rPr>
          <w:color w:val="000000"/>
          <w:spacing w:val="4"/>
        </w:rPr>
        <w:t>c</w:t>
      </w:r>
      <w:r>
        <w:rPr>
          <w:color w:val="000000"/>
          <w:spacing w:val="-4"/>
        </w:rPr>
        <w:t>i</w:t>
      </w:r>
      <w:r>
        <w:rPr>
          <w:color w:val="000000"/>
          <w:spacing w:val="4"/>
        </w:rPr>
        <w:t>a</w:t>
      </w:r>
      <w:r>
        <w:rPr>
          <w:color w:val="000000"/>
        </w:rPr>
        <w:t>l</w:t>
      </w:r>
      <w:r>
        <w:rPr>
          <w:color w:val="000000"/>
          <w:spacing w:val="-4"/>
        </w:rPr>
        <w:t>i</w:t>
      </w:r>
      <w:r>
        <w:rPr>
          <w:color w:val="000000"/>
        </w:rPr>
        <w:t>a</w:t>
      </w:r>
      <w:r>
        <w:rPr>
          <w:color w:val="000000"/>
          <w:spacing w:val="3"/>
        </w:rPr>
        <w:t xml:space="preserve"> </w:t>
      </w:r>
      <w:r>
        <w:rPr>
          <w:color w:val="000000"/>
          <w:spacing w:val="-4"/>
        </w:rPr>
        <w:t>į</w:t>
      </w:r>
      <w:r>
        <w:rPr>
          <w:color w:val="000000"/>
          <w:spacing w:val="1"/>
        </w:rPr>
        <w:t>r</w:t>
      </w:r>
      <w:r>
        <w:rPr>
          <w:color w:val="000000"/>
          <w:spacing w:val="4"/>
        </w:rPr>
        <w:t>a</w:t>
      </w:r>
      <w:r>
        <w:rPr>
          <w:color w:val="000000"/>
          <w:spacing w:val="-5"/>
        </w:rPr>
        <w:t>n</w:t>
      </w:r>
      <w:r>
        <w:rPr>
          <w:color w:val="000000"/>
        </w:rPr>
        <w:t>g</w:t>
      </w:r>
      <w:r>
        <w:rPr>
          <w:color w:val="000000"/>
          <w:spacing w:val="-1"/>
        </w:rPr>
        <w:t>a</w:t>
      </w:r>
      <w:r>
        <w:rPr>
          <w:color w:val="000000"/>
        </w:rPr>
        <w:t>.</w:t>
      </w:r>
      <w:r>
        <w:rPr>
          <w:color w:val="000000"/>
          <w:spacing w:val="2"/>
        </w:rPr>
        <w:t xml:space="preserve"> </w:t>
      </w:r>
      <w:r>
        <w:rPr>
          <w:color w:val="000000"/>
          <w:spacing w:val="4"/>
        </w:rPr>
        <w:t>D</w:t>
      </w:r>
      <w:r>
        <w:rPr>
          <w:color w:val="000000"/>
          <w:spacing w:val="-4"/>
        </w:rPr>
        <w:t>i</w:t>
      </w:r>
      <w:r>
        <w:rPr>
          <w:color w:val="000000"/>
        </w:rPr>
        <w:t>d</w:t>
      </w:r>
      <w:r>
        <w:rPr>
          <w:color w:val="000000"/>
          <w:spacing w:val="4"/>
        </w:rPr>
        <w:t>ž</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rPr>
        <w:t>a</w:t>
      </w:r>
      <w:r>
        <w:rPr>
          <w:color w:val="000000"/>
          <w:spacing w:val="3"/>
        </w:rPr>
        <w:t xml:space="preserve"> </w:t>
      </w:r>
      <w:r>
        <w:rPr>
          <w:color w:val="000000"/>
          <w:spacing w:val="-4"/>
        </w:rPr>
        <w:t>l</w:t>
      </w:r>
      <w:r>
        <w:rPr>
          <w:color w:val="000000"/>
          <w:spacing w:val="4"/>
        </w:rPr>
        <w:t>a</w:t>
      </w:r>
      <w:r>
        <w:rPr>
          <w:color w:val="000000"/>
          <w:spacing w:val="-5"/>
        </w:rPr>
        <w:t>b</w:t>
      </w:r>
      <w:r>
        <w:rPr>
          <w:color w:val="000000"/>
          <w:spacing w:val="5"/>
        </w:rPr>
        <w:t>o</w:t>
      </w:r>
      <w:r>
        <w:rPr>
          <w:color w:val="000000"/>
          <w:spacing w:val="1"/>
        </w:rPr>
        <w:t>r</w:t>
      </w:r>
      <w:r>
        <w:rPr>
          <w:color w:val="000000"/>
          <w:spacing w:val="-1"/>
        </w:rPr>
        <w:t>a</w:t>
      </w:r>
      <w:r>
        <w:rPr>
          <w:color w:val="000000"/>
        </w:rPr>
        <w:t>t</w:t>
      </w:r>
      <w:r>
        <w:rPr>
          <w:color w:val="000000"/>
          <w:spacing w:val="5"/>
        </w:rPr>
        <w:t>o</w:t>
      </w:r>
      <w:r>
        <w:rPr>
          <w:color w:val="000000"/>
          <w:spacing w:val="1"/>
        </w:rPr>
        <w:t>r</w:t>
      </w:r>
      <w:r>
        <w:rPr>
          <w:color w:val="000000"/>
          <w:spacing w:val="-4"/>
        </w:rPr>
        <w:t>ij</w:t>
      </w:r>
      <w:r>
        <w:rPr>
          <w:color w:val="000000"/>
        </w:rPr>
        <w:t xml:space="preserve">a </w:t>
      </w:r>
      <w:r>
        <w:rPr>
          <w:color w:val="000000"/>
          <w:spacing w:val="-1"/>
        </w:rPr>
        <w:t>a</w:t>
      </w:r>
      <w:r>
        <w:rPr>
          <w:color w:val="000000"/>
        </w:rPr>
        <w:t>p</w:t>
      </w:r>
      <w:r>
        <w:rPr>
          <w:color w:val="000000"/>
          <w:spacing w:val="5"/>
        </w:rPr>
        <w:t>t</w:t>
      </w:r>
      <w:r>
        <w:rPr>
          <w:color w:val="000000"/>
          <w:spacing w:val="-9"/>
        </w:rPr>
        <w:t>i</w:t>
      </w:r>
      <w:r>
        <w:rPr>
          <w:color w:val="000000"/>
        </w:rPr>
        <w:t>k</w:t>
      </w:r>
      <w:r>
        <w:rPr>
          <w:color w:val="000000"/>
          <w:spacing w:val="5"/>
        </w:rPr>
        <w:t>t</w:t>
      </w:r>
      <w:r>
        <w:rPr>
          <w:color w:val="000000"/>
        </w:rPr>
        <w:t>a</w:t>
      </w:r>
      <w:r>
        <w:rPr>
          <w:color w:val="000000"/>
          <w:spacing w:val="20"/>
        </w:rPr>
        <w:t xml:space="preserve"> </w:t>
      </w:r>
      <w:r>
        <w:rPr>
          <w:color w:val="000000"/>
          <w:spacing w:val="-2"/>
        </w:rPr>
        <w:t>M</w:t>
      </w:r>
      <w:r>
        <w:rPr>
          <w:color w:val="000000"/>
          <w:spacing w:val="-1"/>
        </w:rPr>
        <w:t>a</w:t>
      </w:r>
      <w:r>
        <w:rPr>
          <w:color w:val="000000"/>
          <w:spacing w:val="6"/>
        </w:rPr>
        <w:t>r</w:t>
      </w:r>
      <w:r>
        <w:rPr>
          <w:color w:val="000000"/>
        </w:rPr>
        <w:t>i</w:t>
      </w:r>
      <w:r>
        <w:rPr>
          <w:color w:val="000000"/>
          <w:spacing w:val="-4"/>
        </w:rPr>
        <w:t>j</w:t>
      </w:r>
      <w:r>
        <w:rPr>
          <w:color w:val="000000"/>
          <w:spacing w:val="4"/>
        </w:rPr>
        <w:t>a</w:t>
      </w:r>
      <w:r>
        <w:rPr>
          <w:color w:val="000000"/>
          <w:spacing w:val="-4"/>
        </w:rPr>
        <w:t>m</w:t>
      </w:r>
      <w:r>
        <w:rPr>
          <w:color w:val="000000"/>
        </w:rPr>
        <w:t>p</w:t>
      </w:r>
      <w:r>
        <w:rPr>
          <w:color w:val="000000"/>
          <w:spacing w:val="5"/>
        </w:rPr>
        <w:t>o</w:t>
      </w:r>
      <w:r>
        <w:rPr>
          <w:color w:val="000000"/>
          <w:spacing w:val="-4"/>
        </w:rPr>
        <w:t>l</w:t>
      </w:r>
      <w:r>
        <w:rPr>
          <w:color w:val="000000"/>
          <w:spacing w:val="-1"/>
        </w:rPr>
        <w:t>ė</w:t>
      </w:r>
      <w:r>
        <w:rPr>
          <w:color w:val="000000"/>
        </w:rPr>
        <w:t>s</w:t>
      </w:r>
      <w:r>
        <w:rPr>
          <w:color w:val="000000"/>
          <w:spacing w:val="24"/>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rPr>
        <w:t>y</w:t>
      </w:r>
      <w:r>
        <w:rPr>
          <w:color w:val="000000"/>
          <w:spacing w:val="-4"/>
        </w:rPr>
        <w:t>j</w:t>
      </w:r>
      <w:r>
        <w:rPr>
          <w:color w:val="000000"/>
          <w:spacing w:val="-1"/>
        </w:rPr>
        <w:t>e</w:t>
      </w:r>
      <w:r>
        <w:rPr>
          <w:color w:val="000000"/>
        </w:rPr>
        <w:t>.</w:t>
      </w:r>
      <w:r>
        <w:rPr>
          <w:color w:val="000000"/>
          <w:spacing w:val="24"/>
        </w:rPr>
        <w:t xml:space="preserve"> </w:t>
      </w:r>
      <w:r>
        <w:rPr>
          <w:color w:val="000000"/>
          <w:spacing w:val="1"/>
        </w:rPr>
        <w:t>S</w:t>
      </w:r>
      <w:r>
        <w:rPr>
          <w:color w:val="000000"/>
        </w:rPr>
        <w:t>p</w:t>
      </w:r>
      <w:r>
        <w:rPr>
          <w:color w:val="000000"/>
          <w:spacing w:val="-1"/>
        </w:rPr>
        <w:t>e</w:t>
      </w:r>
      <w:r>
        <w:rPr>
          <w:color w:val="000000"/>
          <w:spacing w:val="4"/>
        </w:rPr>
        <w:t>c</w:t>
      </w:r>
      <w:r>
        <w:rPr>
          <w:color w:val="000000"/>
          <w:spacing w:val="-4"/>
        </w:rPr>
        <w:t>i</w:t>
      </w:r>
      <w:r>
        <w:rPr>
          <w:color w:val="000000"/>
          <w:spacing w:val="4"/>
        </w:rPr>
        <w:t>a</w:t>
      </w:r>
      <w:r>
        <w:rPr>
          <w:color w:val="000000"/>
        </w:rPr>
        <w:t>l</w:t>
      </w:r>
      <w:r>
        <w:rPr>
          <w:color w:val="000000"/>
          <w:spacing w:val="-4"/>
        </w:rPr>
        <w:t>i</w:t>
      </w:r>
      <w:r>
        <w:rPr>
          <w:color w:val="000000"/>
          <w:spacing w:val="4"/>
        </w:rPr>
        <w:t>a</w:t>
      </w:r>
      <w:r>
        <w:rPr>
          <w:color w:val="000000"/>
        </w:rPr>
        <w:t>i</w:t>
      </w:r>
      <w:r>
        <w:rPr>
          <w:color w:val="000000"/>
          <w:spacing w:val="22"/>
        </w:rPr>
        <w:t xml:space="preserve"> </w:t>
      </w:r>
      <w:r>
        <w:rPr>
          <w:color w:val="000000"/>
          <w:spacing w:val="-4"/>
        </w:rPr>
        <w:t>į</w:t>
      </w:r>
      <w:r>
        <w:rPr>
          <w:color w:val="000000"/>
          <w:spacing w:val="1"/>
        </w:rPr>
        <w:t>r</w:t>
      </w:r>
      <w:r>
        <w:rPr>
          <w:color w:val="000000"/>
          <w:spacing w:val="4"/>
        </w:rPr>
        <w:t>e</w:t>
      </w:r>
      <w:r>
        <w:rPr>
          <w:color w:val="000000"/>
          <w:spacing w:val="-5"/>
        </w:rPr>
        <w:t>n</w:t>
      </w:r>
      <w:r>
        <w:rPr>
          <w:color w:val="000000"/>
        </w:rPr>
        <w:t>g</w:t>
      </w:r>
      <w:r>
        <w:rPr>
          <w:color w:val="000000"/>
          <w:spacing w:val="5"/>
        </w:rPr>
        <w:t>to</w:t>
      </w:r>
      <w:r>
        <w:rPr>
          <w:color w:val="000000"/>
          <w:spacing w:val="-2"/>
        </w:rPr>
        <w:t>s</w:t>
      </w:r>
      <w:r>
        <w:rPr>
          <w:color w:val="000000"/>
        </w:rPr>
        <w:t>e</w:t>
      </w:r>
      <w:r>
        <w:rPr>
          <w:color w:val="000000"/>
          <w:spacing w:val="20"/>
        </w:rPr>
        <w:t xml:space="preserve"> </w:t>
      </w:r>
      <w:r>
        <w:rPr>
          <w:color w:val="000000"/>
        </w:rPr>
        <w:t>p</w:t>
      </w:r>
      <w:r>
        <w:rPr>
          <w:color w:val="000000"/>
          <w:spacing w:val="-1"/>
        </w:rPr>
        <w:t>a</w:t>
      </w:r>
      <w:r>
        <w:rPr>
          <w:color w:val="000000"/>
          <w:spacing w:val="5"/>
        </w:rPr>
        <w:t>t</w:t>
      </w:r>
      <w:r>
        <w:rPr>
          <w:color w:val="000000"/>
          <w:spacing w:val="-1"/>
        </w:rPr>
        <w:t>a</w:t>
      </w:r>
      <w:r>
        <w:rPr>
          <w:color w:val="000000"/>
          <w:spacing w:val="-9"/>
        </w:rPr>
        <w:t>l</w:t>
      </w:r>
      <w:r>
        <w:rPr>
          <w:color w:val="000000"/>
        </w:rPr>
        <w:t>p</w:t>
      </w:r>
      <w:r>
        <w:rPr>
          <w:color w:val="000000"/>
          <w:spacing w:val="5"/>
        </w:rPr>
        <w:t>o</w:t>
      </w:r>
      <w:r>
        <w:rPr>
          <w:color w:val="000000"/>
          <w:spacing w:val="-2"/>
        </w:rPr>
        <w:t>s</w:t>
      </w:r>
      <w:r>
        <w:rPr>
          <w:color w:val="000000"/>
        </w:rPr>
        <w:t>e</w:t>
      </w:r>
      <w:r>
        <w:rPr>
          <w:color w:val="000000"/>
          <w:spacing w:val="20"/>
        </w:rPr>
        <w:t xml:space="preserve"> </w:t>
      </w:r>
      <w:r>
        <w:rPr>
          <w:color w:val="000000"/>
          <w:spacing w:val="1"/>
        </w:rPr>
        <w:t>r</w:t>
      </w:r>
      <w:r>
        <w:rPr>
          <w:color w:val="000000"/>
          <w:spacing w:val="4"/>
        </w:rPr>
        <w:t>a</w:t>
      </w:r>
      <w:r>
        <w:rPr>
          <w:color w:val="000000"/>
          <w:spacing w:val="-2"/>
        </w:rPr>
        <w:t>s</w:t>
      </w:r>
      <w:r>
        <w:rPr>
          <w:color w:val="000000"/>
          <w:spacing w:val="5"/>
        </w:rPr>
        <w:t>t</w:t>
      </w:r>
      <w:r>
        <w:rPr>
          <w:color w:val="000000"/>
        </w:rPr>
        <w:t>a</w:t>
      </w:r>
      <w:r>
        <w:rPr>
          <w:color w:val="000000"/>
          <w:spacing w:val="20"/>
        </w:rPr>
        <w:t xml:space="preserve"> </w:t>
      </w:r>
      <w:r>
        <w:rPr>
          <w:color w:val="000000"/>
        </w:rPr>
        <w:t>2557</w:t>
      </w:r>
      <w:r>
        <w:rPr>
          <w:color w:val="000000"/>
          <w:spacing w:val="26"/>
        </w:rPr>
        <w:t xml:space="preserve"> </w:t>
      </w:r>
      <w:r>
        <w:rPr>
          <w:color w:val="000000"/>
        </w:rPr>
        <w:t>v</w:t>
      </w:r>
      <w:r>
        <w:rPr>
          <w:color w:val="000000"/>
          <w:spacing w:val="-5"/>
        </w:rPr>
        <w:t>n</w:t>
      </w:r>
      <w:r>
        <w:rPr>
          <w:color w:val="000000"/>
          <w:spacing w:val="5"/>
        </w:rPr>
        <w:t>t</w:t>
      </w:r>
      <w:r>
        <w:rPr>
          <w:color w:val="000000"/>
        </w:rPr>
        <w:t>.</w:t>
      </w:r>
      <w:r>
        <w:rPr>
          <w:color w:val="000000"/>
          <w:spacing w:val="24"/>
        </w:rPr>
        <w:t xml:space="preserve"> </w:t>
      </w:r>
      <w:r>
        <w:rPr>
          <w:color w:val="000000"/>
        </w:rPr>
        <w:t>k</w:t>
      </w:r>
      <w:r>
        <w:rPr>
          <w:color w:val="000000"/>
          <w:spacing w:val="-1"/>
        </w:rPr>
        <w:t>a</w:t>
      </w:r>
      <w:r>
        <w:rPr>
          <w:color w:val="000000"/>
          <w:spacing w:val="-5"/>
        </w:rPr>
        <w:t>n</w:t>
      </w:r>
      <w:r>
        <w:rPr>
          <w:color w:val="000000"/>
          <w:spacing w:val="-1"/>
        </w:rPr>
        <w:t>a</w:t>
      </w:r>
      <w:r>
        <w:rPr>
          <w:color w:val="000000"/>
          <w:spacing w:val="5"/>
        </w:rPr>
        <w:t>p</w:t>
      </w:r>
      <w:r>
        <w:rPr>
          <w:color w:val="000000"/>
          <w:spacing w:val="-4"/>
        </w:rPr>
        <w:t>i</w:t>
      </w:r>
      <w:r>
        <w:rPr>
          <w:color w:val="000000"/>
        </w:rPr>
        <w:t>ų</w:t>
      </w:r>
      <w:r>
        <w:rPr>
          <w:color w:val="000000"/>
          <w:spacing w:val="21"/>
        </w:rPr>
        <w:t xml:space="preserve"> </w:t>
      </w:r>
      <w:r>
        <w:rPr>
          <w:color w:val="000000"/>
          <w:spacing w:val="-1"/>
        </w:rPr>
        <w:t>a</w:t>
      </w:r>
      <w:r>
        <w:rPr>
          <w:color w:val="000000"/>
        </w:rPr>
        <w:t>ug</w:t>
      </w:r>
      <w:r>
        <w:rPr>
          <w:color w:val="000000"/>
          <w:spacing w:val="4"/>
        </w:rPr>
        <w:t>a</w:t>
      </w:r>
      <w:r>
        <w:rPr>
          <w:color w:val="000000"/>
          <w:spacing w:val="-4"/>
        </w:rPr>
        <w:t>l</w:t>
      </w:r>
      <w:r>
        <w:rPr>
          <w:color w:val="000000"/>
        </w:rPr>
        <w:t>ų</w:t>
      </w:r>
      <w:r>
        <w:rPr>
          <w:color w:val="000000"/>
          <w:spacing w:val="31"/>
        </w:rPr>
        <w:t xml:space="preserve"> </w:t>
      </w:r>
      <w:r>
        <w:rPr>
          <w:color w:val="000000"/>
          <w:spacing w:val="-5"/>
        </w:rPr>
        <w:t>b</w:t>
      </w:r>
      <w:r>
        <w:rPr>
          <w:color w:val="000000"/>
          <w:spacing w:val="8"/>
        </w:rPr>
        <w:t>e</w:t>
      </w:r>
      <w:r>
        <w:rPr>
          <w:color w:val="000000"/>
        </w:rPr>
        <w:t>i v</w:t>
      </w:r>
      <w:r>
        <w:rPr>
          <w:color w:val="000000"/>
          <w:spacing w:val="-4"/>
        </w:rPr>
        <w:t>i</w:t>
      </w:r>
      <w:r>
        <w:rPr>
          <w:color w:val="000000"/>
          <w:spacing w:val="2"/>
        </w:rPr>
        <w:t>s</w:t>
      </w:r>
      <w:r>
        <w:rPr>
          <w:color w:val="000000"/>
        </w:rPr>
        <w:t>a</w:t>
      </w:r>
      <w:r>
        <w:rPr>
          <w:color w:val="000000"/>
          <w:spacing w:val="1"/>
        </w:rPr>
        <w:t xml:space="preserve"> r</w:t>
      </w:r>
      <w:r>
        <w:rPr>
          <w:color w:val="000000"/>
          <w:spacing w:val="4"/>
        </w:rPr>
        <w:t>e</w:t>
      </w:r>
      <w:r>
        <w:rPr>
          <w:color w:val="000000"/>
          <w:spacing w:val="-9"/>
        </w:rPr>
        <w:t>i</w:t>
      </w:r>
      <w:r>
        <w:rPr>
          <w:color w:val="000000"/>
        </w:rPr>
        <w:t>k</w:t>
      </w:r>
      <w:r>
        <w:rPr>
          <w:color w:val="000000"/>
          <w:spacing w:val="4"/>
        </w:rPr>
        <w:t>a</w:t>
      </w:r>
      <w:r>
        <w:rPr>
          <w:color w:val="000000"/>
        </w:rPr>
        <w:t>l</w:t>
      </w:r>
      <w:r>
        <w:rPr>
          <w:color w:val="000000"/>
          <w:spacing w:val="-4"/>
        </w:rPr>
        <w:t>i</w:t>
      </w:r>
      <w:r>
        <w:rPr>
          <w:color w:val="000000"/>
        </w:rPr>
        <w:t>nga</w:t>
      </w:r>
      <w:r>
        <w:rPr>
          <w:color w:val="000000"/>
          <w:spacing w:val="1"/>
        </w:rPr>
        <w:t xml:space="preserve"> </w:t>
      </w:r>
      <w:r>
        <w:rPr>
          <w:color w:val="000000"/>
          <w:spacing w:val="-1"/>
        </w:rPr>
        <w:t>a</w:t>
      </w:r>
      <w:r>
        <w:rPr>
          <w:color w:val="000000"/>
        </w:rPr>
        <w:t>u</w:t>
      </w:r>
      <w:r>
        <w:rPr>
          <w:color w:val="000000"/>
          <w:spacing w:val="5"/>
        </w:rPr>
        <w:t>g</w:t>
      </w:r>
      <w:r>
        <w:rPr>
          <w:color w:val="000000"/>
          <w:spacing w:val="-4"/>
        </w:rPr>
        <w:t>i</w:t>
      </w:r>
      <w:r>
        <w:rPr>
          <w:color w:val="000000"/>
        </w:rPr>
        <w:t>ni</w:t>
      </w:r>
      <w:r>
        <w:rPr>
          <w:color w:val="000000"/>
          <w:spacing w:val="-9"/>
        </w:rPr>
        <w:t>m</w:t>
      </w:r>
      <w:r>
        <w:rPr>
          <w:color w:val="000000"/>
        </w:rPr>
        <w:t>o</w:t>
      </w:r>
      <w:r>
        <w:rPr>
          <w:color w:val="000000"/>
          <w:spacing w:val="12"/>
        </w:rPr>
        <w:t xml:space="preserve"> </w:t>
      </w:r>
      <w:r>
        <w:rPr>
          <w:color w:val="000000"/>
          <w:spacing w:val="-9"/>
        </w:rPr>
        <w:t>į</w:t>
      </w:r>
      <w:r>
        <w:rPr>
          <w:color w:val="000000"/>
          <w:spacing w:val="1"/>
        </w:rPr>
        <w:t>r</w:t>
      </w:r>
      <w:r>
        <w:rPr>
          <w:color w:val="000000"/>
          <w:spacing w:val="4"/>
        </w:rPr>
        <w:t>a</w:t>
      </w:r>
      <w:r>
        <w:rPr>
          <w:color w:val="000000"/>
          <w:spacing w:val="-5"/>
        </w:rPr>
        <w:t>n</w:t>
      </w:r>
      <w:r>
        <w:rPr>
          <w:color w:val="000000"/>
          <w:spacing w:val="5"/>
        </w:rPr>
        <w:t>g</w:t>
      </w:r>
      <w:r>
        <w:rPr>
          <w:color w:val="000000"/>
          <w:spacing w:val="-1"/>
        </w:rPr>
        <w:t>a</w:t>
      </w:r>
      <w:r>
        <w:rPr>
          <w:color w:val="000000"/>
        </w:rPr>
        <w:t>:</w:t>
      </w:r>
      <w:r>
        <w:rPr>
          <w:color w:val="000000"/>
          <w:spacing w:val="3"/>
        </w:rPr>
        <w:t xml:space="preserve"> </w:t>
      </w:r>
      <w:r>
        <w:rPr>
          <w:color w:val="000000"/>
          <w:spacing w:val="4"/>
        </w:rPr>
        <w:t>e</w:t>
      </w:r>
      <w:r>
        <w:rPr>
          <w:color w:val="000000"/>
          <w:spacing w:val="-9"/>
        </w:rPr>
        <w:t>l</w:t>
      </w:r>
      <w:r>
        <w:rPr>
          <w:color w:val="000000"/>
          <w:spacing w:val="-1"/>
        </w:rPr>
        <w:t>e</w:t>
      </w:r>
      <w:r>
        <w:rPr>
          <w:color w:val="000000"/>
        </w:rPr>
        <w:t>k</w:t>
      </w:r>
      <w:r>
        <w:rPr>
          <w:color w:val="000000"/>
          <w:spacing w:val="5"/>
        </w:rPr>
        <w:t>t</w:t>
      </w:r>
      <w:r>
        <w:rPr>
          <w:color w:val="000000"/>
          <w:spacing w:val="1"/>
        </w:rPr>
        <w:t>r</w:t>
      </w:r>
      <w:r>
        <w:rPr>
          <w:color w:val="000000"/>
          <w:spacing w:val="5"/>
        </w:rPr>
        <w:t>o</w:t>
      </w:r>
      <w:r>
        <w:rPr>
          <w:color w:val="000000"/>
        </w:rPr>
        <w:t>n</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2"/>
        </w:rPr>
        <w:t xml:space="preserve"> </w:t>
      </w:r>
      <w:r>
        <w:rPr>
          <w:color w:val="000000"/>
          <w:spacing w:val="2"/>
        </w:rPr>
        <w:t>š</w:t>
      </w:r>
      <w:r>
        <w:rPr>
          <w:color w:val="000000"/>
          <w:spacing w:val="-4"/>
        </w:rPr>
        <w:t>il</w:t>
      </w:r>
      <w:r>
        <w:rPr>
          <w:color w:val="000000"/>
          <w:spacing w:val="5"/>
        </w:rPr>
        <w:t>d</w:t>
      </w:r>
      <w:r>
        <w:rPr>
          <w:color w:val="000000"/>
        </w:rPr>
        <w:t>y</w:t>
      </w:r>
      <w:r>
        <w:rPr>
          <w:color w:val="000000"/>
          <w:spacing w:val="-9"/>
        </w:rPr>
        <w:t>m</w:t>
      </w:r>
      <w:r>
        <w:rPr>
          <w:color w:val="000000"/>
          <w:spacing w:val="5"/>
        </w:rPr>
        <w:t>o</w:t>
      </w:r>
      <w:r>
        <w:rPr>
          <w:color w:val="000000"/>
        </w:rPr>
        <w:t>,</w:t>
      </w:r>
      <w:r>
        <w:rPr>
          <w:color w:val="000000"/>
          <w:spacing w:val="12"/>
        </w:rPr>
        <w:t xml:space="preserve"> </w:t>
      </w:r>
      <w:r>
        <w:rPr>
          <w:color w:val="000000"/>
          <w:spacing w:val="-1"/>
        </w:rPr>
        <w:t>a</w:t>
      </w:r>
      <w:r>
        <w:rPr>
          <w:color w:val="000000"/>
        </w:rPr>
        <w:t>u</w:t>
      </w:r>
      <w:r>
        <w:rPr>
          <w:color w:val="000000"/>
          <w:spacing w:val="2"/>
        </w:rPr>
        <w:t>š</w:t>
      </w:r>
      <w:r>
        <w:rPr>
          <w:color w:val="000000"/>
          <w:spacing w:val="-4"/>
        </w:rPr>
        <w:t>i</w:t>
      </w:r>
      <w:r>
        <w:rPr>
          <w:color w:val="000000"/>
        </w:rPr>
        <w:t>ni</w:t>
      </w:r>
      <w:r>
        <w:rPr>
          <w:color w:val="000000"/>
          <w:spacing w:val="-9"/>
        </w:rPr>
        <w:t>m</w:t>
      </w:r>
      <w:r>
        <w:rPr>
          <w:color w:val="000000"/>
          <w:spacing w:val="5"/>
        </w:rPr>
        <w:t>o</w:t>
      </w:r>
      <w:r>
        <w:rPr>
          <w:color w:val="000000"/>
        </w:rPr>
        <w:t>,</w:t>
      </w:r>
      <w:r>
        <w:rPr>
          <w:color w:val="000000"/>
          <w:spacing w:val="6"/>
        </w:rPr>
        <w:t xml:space="preserve"> </w:t>
      </w:r>
      <w:r>
        <w:rPr>
          <w:color w:val="000000"/>
        </w:rPr>
        <w:t>d</w:t>
      </w:r>
      <w:r>
        <w:rPr>
          <w:color w:val="000000"/>
          <w:spacing w:val="1"/>
        </w:rPr>
        <w:t>r</w:t>
      </w:r>
      <w:r>
        <w:rPr>
          <w:color w:val="000000"/>
          <w:spacing w:val="-1"/>
        </w:rPr>
        <w:t>ė</w:t>
      </w:r>
      <w:r>
        <w:rPr>
          <w:color w:val="000000"/>
          <w:spacing w:val="5"/>
        </w:rPr>
        <w:t>k</w:t>
      </w:r>
      <w:r>
        <w:rPr>
          <w:color w:val="000000"/>
          <w:spacing w:val="-4"/>
        </w:rPr>
        <w:t>i</w:t>
      </w:r>
      <w:r>
        <w:rPr>
          <w:color w:val="000000"/>
        </w:rPr>
        <w:t>ni</w:t>
      </w:r>
      <w:r>
        <w:rPr>
          <w:color w:val="000000"/>
          <w:spacing w:val="-8"/>
        </w:rPr>
        <w:t>m</w:t>
      </w:r>
      <w:r>
        <w:rPr>
          <w:color w:val="000000"/>
        </w:rPr>
        <w:t>o</w:t>
      </w:r>
      <w:r>
        <w:rPr>
          <w:color w:val="000000"/>
          <w:spacing w:val="12"/>
        </w:rPr>
        <w:t xml:space="preserve"> </w:t>
      </w:r>
      <w:r>
        <w:rPr>
          <w:color w:val="000000"/>
          <w:spacing w:val="-9"/>
        </w:rPr>
        <w:t>į</w:t>
      </w:r>
      <w:r>
        <w:rPr>
          <w:color w:val="000000"/>
          <w:spacing w:val="1"/>
        </w:rPr>
        <w:t>r</w:t>
      </w:r>
      <w:r>
        <w:rPr>
          <w:color w:val="000000"/>
          <w:spacing w:val="4"/>
        </w:rPr>
        <w:t>e</w:t>
      </w:r>
      <w:r>
        <w:rPr>
          <w:color w:val="000000"/>
          <w:spacing w:val="-5"/>
        </w:rPr>
        <w:t>n</w:t>
      </w:r>
      <w:r>
        <w:rPr>
          <w:color w:val="000000"/>
          <w:spacing w:val="5"/>
        </w:rPr>
        <w:t>g</w:t>
      </w:r>
      <w:r>
        <w:rPr>
          <w:color w:val="000000"/>
          <w:spacing w:val="-4"/>
        </w:rPr>
        <w:t>i</w:t>
      </w:r>
      <w:r>
        <w:rPr>
          <w:color w:val="000000"/>
          <w:spacing w:val="5"/>
        </w:rPr>
        <w:t>n</w:t>
      </w:r>
      <w:r>
        <w:rPr>
          <w:color w:val="000000"/>
          <w:spacing w:val="-4"/>
        </w:rPr>
        <w:t>i</w:t>
      </w:r>
      <w:r>
        <w:rPr>
          <w:color w:val="000000"/>
          <w:spacing w:val="4"/>
        </w:rPr>
        <w:t>a</w:t>
      </w:r>
      <w:r>
        <w:rPr>
          <w:color w:val="000000"/>
          <w:spacing w:val="-9"/>
        </w:rPr>
        <w:t>i</w:t>
      </w:r>
      <w:r>
        <w:rPr>
          <w:color w:val="000000"/>
        </w:rPr>
        <w:t>.</w:t>
      </w:r>
    </w:p>
    <w:p w:rsidR="004F7425" w:rsidRDefault="004F7425" w:rsidP="004F7425">
      <w:pPr>
        <w:widowControl w:val="0"/>
        <w:autoSpaceDE w:val="0"/>
        <w:autoSpaceDN w:val="0"/>
        <w:adjustRightInd w:val="0"/>
        <w:spacing w:before="2" w:line="275" w:lineRule="auto"/>
        <w:ind w:left="280" w:right="65" w:firstLine="721"/>
        <w:jc w:val="both"/>
        <w:rPr>
          <w:color w:val="000000"/>
        </w:rPr>
      </w:pPr>
      <w:r>
        <w:rPr>
          <w:color w:val="000000"/>
        </w:rPr>
        <w:t>2012</w:t>
      </w:r>
      <w:r>
        <w:rPr>
          <w:color w:val="000000"/>
          <w:spacing w:val="12"/>
        </w:rPr>
        <w:t xml:space="preserve"> </w:t>
      </w:r>
      <w:r>
        <w:rPr>
          <w:color w:val="000000"/>
        </w:rPr>
        <w:t>m</w:t>
      </w:r>
      <w:r>
        <w:rPr>
          <w:color w:val="000000"/>
          <w:spacing w:val="7"/>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w:t>
      </w:r>
      <w:r>
        <w:rPr>
          <w:color w:val="000000"/>
          <w:spacing w:val="16"/>
        </w:rPr>
        <w:t xml:space="preserve"> </w:t>
      </w:r>
      <w:r>
        <w:rPr>
          <w:color w:val="000000"/>
          <w:spacing w:val="-9"/>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5"/>
        </w:rPr>
        <w:t>n</w:t>
      </w:r>
      <w:r>
        <w:rPr>
          <w:color w:val="000000"/>
          <w:spacing w:val="10"/>
        </w:rPr>
        <w:t>t</w:t>
      </w:r>
      <w:r>
        <w:rPr>
          <w:color w:val="000000"/>
        </w:rPr>
        <w:t>i</w:t>
      </w:r>
      <w:r>
        <w:rPr>
          <w:color w:val="000000"/>
          <w:spacing w:val="3"/>
        </w:rPr>
        <w:t xml:space="preserve"> </w:t>
      </w:r>
      <w:r>
        <w:rPr>
          <w:color w:val="000000"/>
        </w:rPr>
        <w:t>23</w:t>
      </w:r>
      <w:r>
        <w:rPr>
          <w:color w:val="000000"/>
          <w:spacing w:val="12"/>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spacing w:val="-4"/>
        </w:rPr>
        <w:t>i</w:t>
      </w:r>
      <w:r>
        <w:rPr>
          <w:color w:val="000000"/>
        </w:rPr>
        <w:t>,</w:t>
      </w:r>
      <w:r>
        <w:rPr>
          <w:color w:val="000000"/>
          <w:spacing w:val="14"/>
        </w:rPr>
        <w:t xml:space="preserve"> </w:t>
      </w:r>
      <w:r>
        <w:rPr>
          <w:color w:val="000000"/>
        </w:rPr>
        <w:t>ku</w:t>
      </w:r>
      <w:r>
        <w:rPr>
          <w:color w:val="000000"/>
          <w:spacing w:val="5"/>
        </w:rPr>
        <w:t>o</w:t>
      </w:r>
      <w:r>
        <w:rPr>
          <w:color w:val="000000"/>
          <w:spacing w:val="-9"/>
        </w:rPr>
        <w:t>m</w:t>
      </w:r>
      <w:r>
        <w:rPr>
          <w:color w:val="000000"/>
          <w:spacing w:val="-1"/>
        </w:rPr>
        <w:t>e</w:t>
      </w:r>
      <w:r>
        <w:rPr>
          <w:color w:val="000000"/>
        </w:rPr>
        <w:t>t</w:t>
      </w:r>
      <w:r>
        <w:rPr>
          <w:color w:val="000000"/>
          <w:spacing w:val="22"/>
        </w:rPr>
        <w:t xml:space="preserve"> </w:t>
      </w:r>
      <w:r>
        <w:rPr>
          <w:color w:val="000000"/>
          <w:spacing w:val="-9"/>
        </w:rPr>
        <w:t>i</w:t>
      </w:r>
      <w:r>
        <w:rPr>
          <w:color w:val="000000"/>
        </w:rPr>
        <w:t>š</w:t>
      </w:r>
      <w:r>
        <w:rPr>
          <w:color w:val="000000"/>
          <w:spacing w:val="14"/>
        </w:rPr>
        <w:t xml:space="preserve"> </w:t>
      </w:r>
      <w:r>
        <w:rPr>
          <w:color w:val="000000"/>
          <w:spacing w:val="-5"/>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rPr>
        <w:t>s</w:t>
      </w:r>
      <w:r>
        <w:rPr>
          <w:color w:val="000000"/>
          <w:spacing w:val="10"/>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rPr>
        <w:t>t</w:t>
      </w:r>
      <w:r>
        <w:rPr>
          <w:color w:val="000000"/>
          <w:spacing w:val="5"/>
        </w:rPr>
        <w:t>o</w:t>
      </w:r>
      <w:r>
        <w:rPr>
          <w:color w:val="000000"/>
        </w:rPr>
        <w:t>s</w:t>
      </w:r>
      <w:r>
        <w:rPr>
          <w:color w:val="000000"/>
          <w:spacing w:val="10"/>
        </w:rPr>
        <w:t xml:space="preserve"> </w:t>
      </w:r>
      <w:r>
        <w:rPr>
          <w:color w:val="000000"/>
          <w:spacing w:val="-5"/>
        </w:rPr>
        <w:t>b</w:t>
      </w:r>
      <w:r>
        <w:rPr>
          <w:color w:val="000000"/>
        </w:rPr>
        <w:t>u</w:t>
      </w:r>
      <w:r>
        <w:rPr>
          <w:color w:val="000000"/>
          <w:spacing w:val="-5"/>
        </w:rPr>
        <w:t>v</w:t>
      </w:r>
      <w:r>
        <w:rPr>
          <w:color w:val="000000"/>
        </w:rPr>
        <w:t>o</w:t>
      </w:r>
      <w:r>
        <w:rPr>
          <w:color w:val="000000"/>
          <w:spacing w:val="21"/>
        </w:rPr>
        <w:t xml:space="preserve"> </w:t>
      </w:r>
      <w:r>
        <w:rPr>
          <w:color w:val="000000"/>
          <w:spacing w:val="-9"/>
        </w:rPr>
        <w:t>i</w:t>
      </w:r>
      <w:r>
        <w:rPr>
          <w:color w:val="000000"/>
          <w:spacing w:val="2"/>
        </w:rPr>
        <w:t>š</w:t>
      </w:r>
      <w:r>
        <w:rPr>
          <w:color w:val="000000"/>
        </w:rPr>
        <w:t>i</w:t>
      </w:r>
      <w:r>
        <w:rPr>
          <w:color w:val="000000"/>
          <w:spacing w:val="-9"/>
        </w:rPr>
        <w:t>m</w:t>
      </w:r>
      <w:r>
        <w:rPr>
          <w:color w:val="000000"/>
          <w:spacing w:val="5"/>
        </w:rPr>
        <w:t>t</w:t>
      </w:r>
      <w:r>
        <w:rPr>
          <w:color w:val="000000"/>
          <w:spacing w:val="-1"/>
        </w:rPr>
        <w:t>a</w:t>
      </w:r>
      <w:r>
        <w:rPr>
          <w:color w:val="000000"/>
        </w:rPr>
        <w:t>s</w:t>
      </w:r>
      <w:r>
        <w:rPr>
          <w:color w:val="000000"/>
          <w:spacing w:val="14"/>
        </w:rPr>
        <w:t xml:space="preserve"> </w:t>
      </w:r>
      <w:r>
        <w:rPr>
          <w:color w:val="000000"/>
          <w:spacing w:val="-5"/>
        </w:rPr>
        <w:t>h</w:t>
      </w:r>
      <w:r>
        <w:rPr>
          <w:color w:val="000000"/>
          <w:spacing w:val="4"/>
        </w:rPr>
        <w:t>a</w:t>
      </w:r>
      <w:r>
        <w:rPr>
          <w:color w:val="000000"/>
          <w:spacing w:val="2"/>
        </w:rPr>
        <w:t>š</w:t>
      </w:r>
      <w:r>
        <w:rPr>
          <w:color w:val="000000"/>
          <w:spacing w:val="-4"/>
        </w:rPr>
        <w:t>i</w:t>
      </w:r>
      <w:r>
        <w:rPr>
          <w:color w:val="000000"/>
          <w:spacing w:val="-2"/>
        </w:rPr>
        <w:t>š</w:t>
      </w:r>
      <w:r>
        <w:rPr>
          <w:color w:val="000000"/>
          <w:spacing w:val="4"/>
        </w:rPr>
        <w:t>a</w:t>
      </w:r>
      <w:r>
        <w:rPr>
          <w:color w:val="000000"/>
          <w:spacing w:val="-2"/>
        </w:rPr>
        <w:t>s</w:t>
      </w:r>
      <w:r>
        <w:rPr>
          <w:color w:val="000000"/>
        </w:rPr>
        <w:t xml:space="preserve">. </w:t>
      </w:r>
      <w:r>
        <w:rPr>
          <w:color w:val="000000"/>
          <w:spacing w:val="1"/>
        </w:rPr>
        <w:t>I</w:t>
      </w:r>
      <w:r>
        <w:rPr>
          <w:color w:val="000000"/>
        </w:rPr>
        <w:t>š</w:t>
      </w:r>
      <w:r>
        <w:rPr>
          <w:color w:val="000000"/>
          <w:spacing w:val="3"/>
        </w:rPr>
        <w:t xml:space="preserve"> </w:t>
      </w:r>
      <w:r>
        <w:rPr>
          <w:color w:val="000000"/>
        </w:rPr>
        <w:t>v</w:t>
      </w:r>
      <w:r>
        <w:rPr>
          <w:color w:val="000000"/>
          <w:spacing w:val="-4"/>
        </w:rPr>
        <w:t>i</w:t>
      </w:r>
      <w:r>
        <w:rPr>
          <w:color w:val="000000"/>
          <w:spacing w:val="-2"/>
        </w:rPr>
        <w:t>s</w:t>
      </w:r>
      <w:r>
        <w:rPr>
          <w:color w:val="000000"/>
        </w:rPr>
        <w:t>o</w:t>
      </w:r>
      <w:r>
        <w:rPr>
          <w:color w:val="000000"/>
          <w:spacing w:val="11"/>
        </w:rPr>
        <w:t xml:space="preserve"> </w:t>
      </w:r>
      <w:r>
        <w:rPr>
          <w:color w:val="000000"/>
          <w:spacing w:val="-5"/>
        </w:rPr>
        <w:t>b</w:t>
      </w:r>
      <w:r>
        <w:rPr>
          <w:color w:val="000000"/>
          <w:spacing w:val="5"/>
        </w:rPr>
        <w:t>u</w:t>
      </w:r>
      <w:r>
        <w:rPr>
          <w:color w:val="000000"/>
          <w:spacing w:val="-5"/>
        </w:rPr>
        <w:t>v</w:t>
      </w:r>
      <w:r>
        <w:rPr>
          <w:color w:val="000000"/>
        </w:rPr>
        <w:t>o</w:t>
      </w:r>
      <w:r>
        <w:rPr>
          <w:color w:val="000000"/>
          <w:spacing w:val="14"/>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rPr>
        <w:t>a</w:t>
      </w:r>
      <w:r>
        <w:rPr>
          <w:color w:val="000000"/>
          <w:spacing w:val="4"/>
        </w:rPr>
        <w:t xml:space="preserve"> </w:t>
      </w:r>
      <w:r>
        <w:rPr>
          <w:color w:val="000000"/>
        </w:rPr>
        <w:t>424</w:t>
      </w:r>
      <w:r>
        <w:rPr>
          <w:color w:val="000000"/>
          <w:spacing w:val="5"/>
        </w:rPr>
        <w:t xml:space="preserve"> </w:t>
      </w:r>
      <w:r>
        <w:rPr>
          <w:color w:val="000000"/>
        </w:rPr>
        <w:t>kg,</w:t>
      </w:r>
      <w:r>
        <w:rPr>
          <w:color w:val="000000"/>
          <w:spacing w:val="7"/>
        </w:rPr>
        <w:t xml:space="preserve"> </w:t>
      </w:r>
      <w:r>
        <w:rPr>
          <w:color w:val="000000"/>
          <w:spacing w:val="5"/>
        </w:rPr>
        <w:t>t</w:t>
      </w:r>
      <w:r>
        <w:rPr>
          <w:color w:val="000000"/>
          <w:spacing w:val="-1"/>
        </w:rPr>
        <w:t>ač</w:t>
      </w:r>
      <w:r>
        <w:rPr>
          <w:color w:val="000000"/>
          <w:spacing w:val="-9"/>
        </w:rPr>
        <w:t>i</w:t>
      </w:r>
      <w:r>
        <w:rPr>
          <w:color w:val="000000"/>
          <w:spacing w:val="-1"/>
        </w:rPr>
        <w:t>a</w:t>
      </w:r>
      <w:r>
        <w:rPr>
          <w:color w:val="000000"/>
        </w:rPr>
        <w:t>u</w:t>
      </w:r>
      <w:r>
        <w:rPr>
          <w:color w:val="000000"/>
          <w:spacing w:val="10"/>
        </w:rPr>
        <w:t xml:space="preserve"> </w:t>
      </w:r>
      <w:r>
        <w:rPr>
          <w:color w:val="000000"/>
          <w:spacing w:val="-4"/>
        </w:rPr>
        <w:t>i</w:t>
      </w:r>
      <w:r>
        <w:rPr>
          <w:color w:val="000000"/>
        </w:rPr>
        <w:t>š</w:t>
      </w:r>
      <w:r>
        <w:rPr>
          <w:color w:val="000000"/>
          <w:spacing w:val="12"/>
        </w:rPr>
        <w:t xml:space="preserve"> </w:t>
      </w:r>
      <w:r>
        <w:rPr>
          <w:color w:val="000000"/>
          <w:spacing w:val="-4"/>
        </w:rPr>
        <w:t>j</w:t>
      </w:r>
      <w:r>
        <w:rPr>
          <w:color w:val="000000"/>
        </w:rPr>
        <w:t>ų</w:t>
      </w:r>
      <w:r>
        <w:rPr>
          <w:color w:val="000000"/>
          <w:spacing w:val="5"/>
        </w:rPr>
        <w:t xml:space="preserve"> </w:t>
      </w:r>
      <w:r>
        <w:rPr>
          <w:color w:val="000000"/>
        </w:rPr>
        <w:t>17</w:t>
      </w:r>
      <w:r>
        <w:rPr>
          <w:color w:val="000000"/>
          <w:spacing w:val="5"/>
        </w:rPr>
        <w:t xml:space="preserve"> </w:t>
      </w:r>
      <w:r>
        <w:rPr>
          <w:color w:val="000000"/>
          <w:spacing w:val="-2"/>
        </w:rPr>
        <w:t>s</w:t>
      </w:r>
      <w:r>
        <w:rPr>
          <w:color w:val="000000"/>
          <w:spacing w:val="5"/>
        </w:rPr>
        <w:t>u</w:t>
      </w:r>
      <w:r>
        <w:rPr>
          <w:color w:val="000000"/>
          <w:spacing w:val="-4"/>
        </w:rPr>
        <w:t>l</w:t>
      </w:r>
      <w:r>
        <w:rPr>
          <w:color w:val="000000"/>
          <w:spacing w:val="4"/>
        </w:rPr>
        <w:t>a</w:t>
      </w:r>
      <w:r>
        <w:rPr>
          <w:color w:val="000000"/>
        </w:rPr>
        <w:t>i</w:t>
      </w:r>
      <w:r>
        <w:rPr>
          <w:color w:val="000000"/>
          <w:spacing w:val="5"/>
        </w:rPr>
        <w:t>k</w:t>
      </w:r>
      <w:r>
        <w:rPr>
          <w:color w:val="000000"/>
          <w:spacing w:val="-5"/>
        </w:rPr>
        <w:t>y</w:t>
      </w:r>
      <w:r>
        <w:rPr>
          <w:color w:val="000000"/>
          <w:spacing w:val="-9"/>
        </w:rPr>
        <w:t>m</w:t>
      </w:r>
      <w:r>
        <w:rPr>
          <w:color w:val="000000"/>
        </w:rPr>
        <w:t>o</w:t>
      </w:r>
      <w:r>
        <w:rPr>
          <w:color w:val="000000"/>
          <w:spacing w:val="9"/>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spacing w:val="-4"/>
        </w:rPr>
        <w:t>i</w:t>
      </w:r>
      <w:r>
        <w:rPr>
          <w:color w:val="000000"/>
        </w:rPr>
        <w:t>,</w:t>
      </w:r>
      <w:r>
        <w:rPr>
          <w:color w:val="000000"/>
          <w:spacing w:val="7"/>
        </w:rPr>
        <w:t xml:space="preserve"> </w:t>
      </w:r>
      <w:r>
        <w:rPr>
          <w:color w:val="000000"/>
        </w:rPr>
        <w:t>k</w:t>
      </w:r>
      <w:r>
        <w:rPr>
          <w:color w:val="000000"/>
          <w:spacing w:val="4"/>
        </w:rPr>
        <w:t>a</w:t>
      </w:r>
      <w:r>
        <w:rPr>
          <w:color w:val="000000"/>
        </w:rPr>
        <w:t xml:space="preserve">i </w:t>
      </w:r>
      <w:r>
        <w:rPr>
          <w:color w:val="000000"/>
          <w:spacing w:val="5"/>
        </w:rPr>
        <w:t>k</w:t>
      </w:r>
      <w:r>
        <w:rPr>
          <w:color w:val="000000"/>
          <w:spacing w:val="-4"/>
        </w:rPr>
        <w:t>i</w:t>
      </w:r>
      <w:r>
        <w:rPr>
          <w:color w:val="000000"/>
          <w:spacing w:val="-1"/>
        </w:rPr>
        <w:t>e</w:t>
      </w:r>
      <w:r>
        <w:rPr>
          <w:color w:val="000000"/>
          <w:spacing w:val="5"/>
        </w:rPr>
        <w:t>k</w:t>
      </w:r>
      <w:r>
        <w:rPr>
          <w:color w:val="000000"/>
          <w:spacing w:val="-4"/>
        </w:rPr>
        <w:t>i</w:t>
      </w:r>
      <w:r>
        <w:rPr>
          <w:color w:val="000000"/>
        </w:rPr>
        <w:t>s</w:t>
      </w:r>
      <w:r>
        <w:rPr>
          <w:color w:val="000000"/>
          <w:spacing w:val="7"/>
        </w:rPr>
        <w:t xml:space="preserve"> </w:t>
      </w:r>
      <w:r>
        <w:rPr>
          <w:color w:val="000000"/>
          <w:spacing w:val="-5"/>
        </w:rPr>
        <w:t>n</w:t>
      </w:r>
      <w:r>
        <w:rPr>
          <w:color w:val="000000"/>
          <w:spacing w:val="4"/>
        </w:rPr>
        <w:t>e</w:t>
      </w:r>
      <w:r>
        <w:rPr>
          <w:color w:val="000000"/>
        </w:rPr>
        <w:t>v</w:t>
      </w:r>
      <w:r>
        <w:rPr>
          <w:color w:val="000000"/>
          <w:spacing w:val="-4"/>
        </w:rPr>
        <w:t>i</w:t>
      </w:r>
      <w:r>
        <w:rPr>
          <w:color w:val="000000"/>
          <w:spacing w:val="1"/>
        </w:rPr>
        <w:t>r</w:t>
      </w:r>
      <w:r>
        <w:rPr>
          <w:color w:val="000000"/>
          <w:spacing w:val="2"/>
        </w:rPr>
        <w:t>š</w:t>
      </w:r>
      <w:r>
        <w:rPr>
          <w:color w:val="000000"/>
        </w:rPr>
        <w:t>i</w:t>
      </w:r>
      <w:r>
        <w:rPr>
          <w:color w:val="000000"/>
          <w:spacing w:val="-4"/>
        </w:rPr>
        <w:t>j</w:t>
      </w:r>
      <w:r>
        <w:rPr>
          <w:color w:val="000000"/>
        </w:rPr>
        <w:t>a</w:t>
      </w:r>
      <w:r>
        <w:rPr>
          <w:color w:val="000000"/>
          <w:spacing w:val="4"/>
        </w:rPr>
        <w:t xml:space="preserve"> </w:t>
      </w:r>
      <w:r>
        <w:rPr>
          <w:color w:val="000000"/>
        </w:rPr>
        <w:t>4</w:t>
      </w:r>
      <w:r>
        <w:rPr>
          <w:color w:val="000000"/>
          <w:spacing w:val="5"/>
        </w:rPr>
        <w:t xml:space="preserve"> </w:t>
      </w:r>
      <w:r>
        <w:rPr>
          <w:color w:val="000000"/>
        </w:rPr>
        <w:t>g.</w:t>
      </w:r>
      <w:r>
        <w:rPr>
          <w:color w:val="000000"/>
          <w:spacing w:val="7"/>
        </w:rPr>
        <w:t xml:space="preserve"> </w:t>
      </w:r>
      <w:r>
        <w:rPr>
          <w:color w:val="000000"/>
          <w:spacing w:val="-2"/>
        </w:rPr>
        <w:t>M</w:t>
      </w:r>
      <w:r>
        <w:rPr>
          <w:color w:val="000000"/>
          <w:spacing w:val="5"/>
        </w:rPr>
        <w:t>u</w:t>
      </w:r>
      <w:r>
        <w:rPr>
          <w:color w:val="000000"/>
          <w:spacing w:val="-9"/>
        </w:rPr>
        <w:t>i</w:t>
      </w:r>
      <w:r>
        <w:rPr>
          <w:color w:val="000000"/>
          <w:spacing w:val="10"/>
        </w:rPr>
        <w:t>t</w:t>
      </w:r>
      <w:r>
        <w:rPr>
          <w:color w:val="000000"/>
          <w:spacing w:val="-4"/>
        </w:rPr>
        <w:t>i</w:t>
      </w:r>
      <w:r>
        <w:rPr>
          <w:color w:val="000000"/>
        </w:rPr>
        <w:t>n</w:t>
      </w:r>
      <w:r>
        <w:rPr>
          <w:color w:val="000000"/>
          <w:spacing w:val="4"/>
        </w:rPr>
        <w:t>ė</w:t>
      </w:r>
      <w:r>
        <w:rPr>
          <w:color w:val="000000"/>
        </w:rPr>
        <w:t>s k</w:t>
      </w:r>
      <w:r>
        <w:rPr>
          <w:color w:val="000000"/>
          <w:spacing w:val="6"/>
        </w:rPr>
        <w:t>r</w:t>
      </w:r>
      <w:r>
        <w:rPr>
          <w:color w:val="000000"/>
          <w:spacing w:val="-4"/>
        </w:rPr>
        <w:t>imi</w:t>
      </w:r>
      <w:r>
        <w:rPr>
          <w:color w:val="000000"/>
        </w:rPr>
        <w:t>n</w:t>
      </w:r>
      <w:r>
        <w:rPr>
          <w:color w:val="000000"/>
          <w:spacing w:val="4"/>
        </w:rPr>
        <w:t>a</w:t>
      </w:r>
      <w:r>
        <w:rPr>
          <w:color w:val="000000"/>
        </w:rPr>
        <w:t>l</w:t>
      </w:r>
      <w:r>
        <w:rPr>
          <w:color w:val="000000"/>
          <w:spacing w:val="-4"/>
        </w:rPr>
        <w:t>i</w:t>
      </w:r>
      <w:r>
        <w:rPr>
          <w:color w:val="000000"/>
        </w:rPr>
        <w:t>n</w:t>
      </w:r>
      <w:r>
        <w:rPr>
          <w:color w:val="000000"/>
          <w:spacing w:val="4"/>
        </w:rPr>
        <w:t>ė</w:t>
      </w:r>
      <w:r>
        <w:rPr>
          <w:color w:val="000000"/>
        </w:rPr>
        <w:t>s</w:t>
      </w:r>
      <w:r>
        <w:rPr>
          <w:color w:val="000000"/>
          <w:spacing w:val="7"/>
        </w:rPr>
        <w:t xml:space="preserve"> </w:t>
      </w:r>
      <w:r>
        <w:rPr>
          <w:color w:val="000000"/>
          <w:spacing w:val="5"/>
        </w:rPr>
        <w:t>t</w:t>
      </w:r>
      <w:r>
        <w:rPr>
          <w:color w:val="000000"/>
          <w:spacing w:val="-1"/>
        </w:rPr>
        <w:t>a</w:t>
      </w:r>
      <w:r>
        <w:rPr>
          <w:color w:val="000000"/>
          <w:spacing w:val="1"/>
        </w:rPr>
        <w:t>r</w:t>
      </w:r>
      <w:r>
        <w:rPr>
          <w:color w:val="000000"/>
        </w:rPr>
        <w:t>n</w:t>
      </w:r>
      <w:r>
        <w:rPr>
          <w:color w:val="000000"/>
          <w:spacing w:val="-5"/>
        </w:rPr>
        <w:t>yb</w:t>
      </w:r>
      <w:r>
        <w:rPr>
          <w:color w:val="000000"/>
          <w:spacing w:val="5"/>
        </w:rPr>
        <w:t>o</w:t>
      </w:r>
      <w:r>
        <w:rPr>
          <w:color w:val="000000"/>
        </w:rPr>
        <w:t>s</w:t>
      </w:r>
      <w:r>
        <w:rPr>
          <w:color w:val="000000"/>
          <w:spacing w:val="7"/>
        </w:rPr>
        <w:t xml:space="preserve"> </w:t>
      </w:r>
      <w:r>
        <w:rPr>
          <w:color w:val="000000"/>
        </w:rPr>
        <w:t>p</w:t>
      </w:r>
      <w:r>
        <w:rPr>
          <w:color w:val="000000"/>
          <w:spacing w:val="-1"/>
        </w:rPr>
        <w:t>a</w:t>
      </w:r>
      <w:r>
        <w:rPr>
          <w:color w:val="000000"/>
          <w:spacing w:val="1"/>
        </w:rPr>
        <w:t>r</w:t>
      </w:r>
      <w:r>
        <w:rPr>
          <w:color w:val="000000"/>
          <w:spacing w:val="4"/>
        </w:rPr>
        <w:t>e</w:t>
      </w:r>
      <w:r>
        <w:rPr>
          <w:color w:val="000000"/>
          <w:spacing w:val="-4"/>
        </w:rPr>
        <w:t>i</w:t>
      </w:r>
      <w:r>
        <w:rPr>
          <w:color w:val="000000"/>
        </w:rPr>
        <w:t>g</w:t>
      </w:r>
      <w:r>
        <w:rPr>
          <w:color w:val="000000"/>
          <w:spacing w:val="5"/>
        </w:rPr>
        <w:t>ū</w:t>
      </w:r>
      <w:r>
        <w:rPr>
          <w:color w:val="000000"/>
          <w:spacing w:val="-5"/>
        </w:rPr>
        <w:t>n</w:t>
      </w:r>
      <w:r>
        <w:rPr>
          <w:color w:val="000000"/>
          <w:spacing w:val="4"/>
        </w:rPr>
        <w:t>a</w:t>
      </w:r>
      <w:r>
        <w:rPr>
          <w:color w:val="000000"/>
        </w:rPr>
        <w:t>i</w:t>
      </w:r>
      <w:r>
        <w:rPr>
          <w:color w:val="000000"/>
          <w:spacing w:val="10"/>
        </w:rPr>
        <w:t xml:space="preserve"> </w:t>
      </w:r>
      <w:r>
        <w:rPr>
          <w:color w:val="000000"/>
          <w:spacing w:val="-4"/>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5"/>
        </w:rPr>
        <w:t>n</w:t>
      </w:r>
      <w:r>
        <w:rPr>
          <w:color w:val="000000"/>
        </w:rPr>
        <w:t>o</w:t>
      </w:r>
      <w:r>
        <w:rPr>
          <w:color w:val="000000"/>
          <w:spacing w:val="14"/>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1"/>
        </w:rPr>
        <w:t>a</w:t>
      </w:r>
      <w:r>
        <w:rPr>
          <w:color w:val="000000"/>
          <w:spacing w:val="-5"/>
        </w:rPr>
        <w:t>n</w:t>
      </w:r>
      <w:r>
        <w:rPr>
          <w:color w:val="000000"/>
        </w:rPr>
        <w:t>d</w:t>
      </w:r>
      <w:r>
        <w:rPr>
          <w:color w:val="000000"/>
          <w:spacing w:val="5"/>
        </w:rPr>
        <w:t>o</w:t>
      </w:r>
      <w:r>
        <w:rPr>
          <w:color w:val="000000"/>
        </w:rPr>
        <w:t>s</w:t>
      </w:r>
      <w:r>
        <w:rPr>
          <w:color w:val="000000"/>
          <w:spacing w:val="7"/>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į</w:t>
      </w:r>
      <w:r>
        <w:rPr>
          <w:color w:val="000000"/>
          <w:spacing w:val="10"/>
        </w:rPr>
        <w:t xml:space="preserve"> </w:t>
      </w:r>
      <w:r>
        <w:rPr>
          <w:color w:val="000000"/>
          <w:spacing w:val="2"/>
        </w:rPr>
        <w:t>k</w:t>
      </w:r>
      <w:r>
        <w:rPr>
          <w:color w:val="000000"/>
        </w:rPr>
        <w:t>u</w:t>
      </w:r>
      <w:r>
        <w:rPr>
          <w:color w:val="000000"/>
          <w:spacing w:val="5"/>
        </w:rPr>
        <w:t>o</w:t>
      </w:r>
      <w:r>
        <w:rPr>
          <w:color w:val="000000"/>
          <w:spacing w:val="-4"/>
        </w:rPr>
        <w:t>m</w:t>
      </w:r>
      <w:r>
        <w:rPr>
          <w:color w:val="000000"/>
          <w:spacing w:val="-1"/>
        </w:rPr>
        <w:t>e</w:t>
      </w:r>
      <w:r>
        <w:rPr>
          <w:color w:val="000000"/>
        </w:rPr>
        <w:t>t</w:t>
      </w:r>
      <w:r>
        <w:rPr>
          <w:color w:val="000000"/>
          <w:spacing w:val="21"/>
        </w:rPr>
        <w:t xml:space="preserve"> </w:t>
      </w:r>
      <w:r>
        <w:rPr>
          <w:color w:val="000000"/>
        </w:rPr>
        <w:t xml:space="preserve">į </w:t>
      </w:r>
      <w:r>
        <w:rPr>
          <w:color w:val="000000"/>
          <w:spacing w:val="-2"/>
        </w:rPr>
        <w:t>B</w:t>
      </w:r>
      <w:r>
        <w:rPr>
          <w:color w:val="000000"/>
          <w:spacing w:val="4"/>
        </w:rPr>
        <w:t>a</w:t>
      </w:r>
      <w:r>
        <w:rPr>
          <w:color w:val="000000"/>
          <w:spacing w:val="-9"/>
        </w:rPr>
        <w:t>l</w:t>
      </w:r>
      <w:r>
        <w:rPr>
          <w:color w:val="000000"/>
          <w:spacing w:val="5"/>
        </w:rPr>
        <w:t>t</w:t>
      </w:r>
      <w:r>
        <w:rPr>
          <w:color w:val="000000"/>
          <w:spacing w:val="-1"/>
        </w:rPr>
        <w:t>a</w:t>
      </w:r>
      <w:r>
        <w:rPr>
          <w:color w:val="000000"/>
          <w:spacing w:val="1"/>
        </w:rPr>
        <w:t>r</w:t>
      </w:r>
      <w:r>
        <w:rPr>
          <w:color w:val="000000"/>
        </w:rPr>
        <w:t>u</w:t>
      </w:r>
      <w:r>
        <w:rPr>
          <w:color w:val="000000"/>
          <w:spacing w:val="2"/>
        </w:rPr>
        <w:t>s</w:t>
      </w:r>
      <w:r>
        <w:rPr>
          <w:color w:val="000000"/>
        </w:rPr>
        <w:t>i</w:t>
      </w:r>
      <w:r>
        <w:rPr>
          <w:color w:val="000000"/>
          <w:spacing w:val="-4"/>
        </w:rPr>
        <w:t>j</w:t>
      </w:r>
      <w:r>
        <w:rPr>
          <w:color w:val="000000"/>
        </w:rPr>
        <w:t>ą</w:t>
      </w:r>
      <w:r>
        <w:rPr>
          <w:color w:val="000000"/>
          <w:spacing w:val="13"/>
        </w:rPr>
        <w:t xml:space="preserve"> </w:t>
      </w:r>
      <w:r>
        <w:rPr>
          <w:color w:val="000000"/>
        </w:rPr>
        <w:t>v</w:t>
      </w:r>
      <w:r>
        <w:rPr>
          <w:color w:val="000000"/>
          <w:spacing w:val="-4"/>
        </w:rPr>
        <w:t>i</w:t>
      </w:r>
      <w:r>
        <w:rPr>
          <w:color w:val="000000"/>
          <w:spacing w:val="4"/>
        </w:rPr>
        <w:t>e</w:t>
      </w:r>
      <w:r>
        <w:rPr>
          <w:color w:val="000000"/>
          <w:spacing w:val="2"/>
        </w:rPr>
        <w:t>n</w:t>
      </w:r>
      <w:r>
        <w:rPr>
          <w:color w:val="000000"/>
        </w:rPr>
        <w:t xml:space="preserve">u </w:t>
      </w:r>
      <w:r>
        <w:rPr>
          <w:color w:val="000000"/>
          <w:spacing w:val="-1"/>
        </w:rPr>
        <w:t>a</w:t>
      </w:r>
      <w:r>
        <w:rPr>
          <w:color w:val="000000"/>
        </w:rPr>
        <w:t>ut</w:t>
      </w:r>
      <w:r>
        <w:rPr>
          <w:color w:val="000000"/>
          <w:spacing w:val="5"/>
        </w:rPr>
        <w:t>o</w:t>
      </w:r>
      <w:r>
        <w:rPr>
          <w:color w:val="000000"/>
          <w:spacing w:val="-9"/>
        </w:rPr>
        <w:t>m</w:t>
      </w:r>
      <w:r>
        <w:rPr>
          <w:color w:val="000000"/>
          <w:spacing w:val="5"/>
        </w:rPr>
        <w:t>o</w:t>
      </w:r>
      <w:r>
        <w:rPr>
          <w:color w:val="000000"/>
        </w:rPr>
        <w:t>bi</w:t>
      </w:r>
      <w:r>
        <w:rPr>
          <w:color w:val="000000"/>
          <w:spacing w:val="1"/>
        </w:rPr>
        <w:t>l</w:t>
      </w:r>
      <w:r>
        <w:rPr>
          <w:color w:val="000000"/>
          <w:spacing w:val="-3"/>
        </w:rPr>
        <w:t>i</w:t>
      </w:r>
      <w:r>
        <w:rPr>
          <w:color w:val="000000"/>
        </w:rPr>
        <w:t xml:space="preserve">u </w:t>
      </w:r>
      <w:r>
        <w:rPr>
          <w:color w:val="000000"/>
          <w:spacing w:val="5"/>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5"/>
        </w:rPr>
        <w:t>t</w:t>
      </w:r>
      <w:r>
        <w:rPr>
          <w:color w:val="000000"/>
        </w:rPr>
        <w:t xml:space="preserve">a </w:t>
      </w:r>
      <w:r>
        <w:rPr>
          <w:color w:val="000000"/>
          <w:spacing w:val="3"/>
        </w:rPr>
        <w:t xml:space="preserve"> </w:t>
      </w:r>
      <w:r>
        <w:rPr>
          <w:color w:val="000000"/>
        </w:rPr>
        <w:t>412</w:t>
      </w:r>
      <w:r>
        <w:rPr>
          <w:color w:val="000000"/>
          <w:spacing w:val="2"/>
        </w:rPr>
        <w:t>,</w:t>
      </w:r>
      <w:r>
        <w:rPr>
          <w:color w:val="000000"/>
        </w:rPr>
        <w:t xml:space="preserve">60 </w:t>
      </w:r>
      <w:r>
        <w:rPr>
          <w:color w:val="000000"/>
          <w:spacing w:val="4"/>
        </w:rPr>
        <w:t xml:space="preserve"> </w:t>
      </w:r>
      <w:r>
        <w:rPr>
          <w:color w:val="000000"/>
        </w:rPr>
        <w:t xml:space="preserve">kg </w:t>
      </w:r>
      <w:r>
        <w:rPr>
          <w:color w:val="000000"/>
          <w:spacing w:val="4"/>
        </w:rPr>
        <w:t xml:space="preserve"> </w:t>
      </w:r>
      <w:r>
        <w:rPr>
          <w:color w:val="000000"/>
          <w:spacing w:val="-5"/>
        </w:rPr>
        <w:t>h</w:t>
      </w:r>
      <w:r>
        <w:rPr>
          <w:color w:val="000000"/>
          <w:spacing w:val="-1"/>
        </w:rPr>
        <w:t>a</w:t>
      </w:r>
      <w:r>
        <w:rPr>
          <w:color w:val="000000"/>
          <w:spacing w:val="2"/>
        </w:rPr>
        <w:t>š</w:t>
      </w:r>
      <w:r>
        <w:rPr>
          <w:color w:val="000000"/>
          <w:spacing w:val="-4"/>
        </w:rPr>
        <w:t>i</w:t>
      </w:r>
      <w:r>
        <w:rPr>
          <w:color w:val="000000"/>
          <w:spacing w:val="-2"/>
        </w:rPr>
        <w:t>š</w:t>
      </w:r>
      <w:r>
        <w:rPr>
          <w:color w:val="000000"/>
          <w:spacing w:val="5"/>
        </w:rPr>
        <w:t>o</w:t>
      </w:r>
      <w:r>
        <w:rPr>
          <w:color w:val="000000"/>
        </w:rPr>
        <w:t xml:space="preserve">. </w:t>
      </w:r>
      <w:r>
        <w:rPr>
          <w:color w:val="000000"/>
          <w:spacing w:val="7"/>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4"/>
        </w:rPr>
        <w:t>a</w:t>
      </w:r>
      <w:r>
        <w:rPr>
          <w:color w:val="000000"/>
        </w:rPr>
        <w:t>u</w:t>
      </w:r>
      <w:r>
        <w:rPr>
          <w:color w:val="000000"/>
          <w:spacing w:val="2"/>
        </w:rPr>
        <w:t>s</w:t>
      </w:r>
      <w:r>
        <w:rPr>
          <w:color w:val="000000"/>
          <w:spacing w:val="-4"/>
        </w:rPr>
        <w:t>i</w:t>
      </w:r>
      <w:r>
        <w:rPr>
          <w:color w:val="000000"/>
          <w:spacing w:val="4"/>
        </w:rPr>
        <w:t>a</w:t>
      </w:r>
      <w:r>
        <w:rPr>
          <w:color w:val="000000"/>
        </w:rPr>
        <w:t>i  h</w:t>
      </w:r>
      <w:r>
        <w:rPr>
          <w:color w:val="000000"/>
          <w:spacing w:val="-1"/>
        </w:rPr>
        <w:t>a</w:t>
      </w:r>
      <w:r>
        <w:rPr>
          <w:color w:val="000000"/>
          <w:spacing w:val="2"/>
        </w:rPr>
        <w:t>š</w:t>
      </w:r>
      <w:r>
        <w:rPr>
          <w:color w:val="000000"/>
          <w:spacing w:val="-4"/>
        </w:rPr>
        <w:t>i</w:t>
      </w:r>
      <w:r>
        <w:rPr>
          <w:color w:val="000000"/>
          <w:spacing w:val="-2"/>
        </w:rPr>
        <w:t>š</w:t>
      </w:r>
      <w:r>
        <w:rPr>
          <w:color w:val="000000"/>
        </w:rPr>
        <w:t xml:space="preserve">o </w:t>
      </w:r>
      <w:r>
        <w:rPr>
          <w:color w:val="000000"/>
          <w:spacing w:val="9"/>
        </w:rPr>
        <w:t xml:space="preserve"> </w:t>
      </w:r>
      <w:r>
        <w:rPr>
          <w:color w:val="000000"/>
        </w:rPr>
        <w:t>k</w:t>
      </w:r>
      <w:r>
        <w:rPr>
          <w:color w:val="000000"/>
          <w:spacing w:val="5"/>
        </w:rPr>
        <w:t>o</w:t>
      </w:r>
      <w:r>
        <w:rPr>
          <w:color w:val="000000"/>
        </w:rPr>
        <w:t>n</w:t>
      </w:r>
      <w:r>
        <w:rPr>
          <w:color w:val="000000"/>
          <w:spacing w:val="-3"/>
        </w:rPr>
        <w:t>f</w:t>
      </w:r>
      <w:r>
        <w:rPr>
          <w:color w:val="000000"/>
          <w:spacing w:val="-4"/>
        </w:rPr>
        <w:t>i</w:t>
      </w:r>
      <w:r>
        <w:rPr>
          <w:color w:val="000000"/>
          <w:spacing w:val="2"/>
        </w:rPr>
        <w:t>s</w:t>
      </w:r>
      <w:r>
        <w:rPr>
          <w:color w:val="000000"/>
        </w:rPr>
        <w:t>kuo</w:t>
      </w:r>
      <w:r>
        <w:rPr>
          <w:color w:val="000000"/>
          <w:spacing w:val="5"/>
        </w:rPr>
        <w:t>t</w:t>
      </w:r>
      <w:r>
        <w:rPr>
          <w:color w:val="000000"/>
        </w:rPr>
        <w:t xml:space="preserve">a </w:t>
      </w:r>
      <w:r>
        <w:rPr>
          <w:color w:val="000000"/>
          <w:spacing w:val="3"/>
        </w:rPr>
        <w:t xml:space="preserve"> </w:t>
      </w:r>
      <w:r>
        <w:rPr>
          <w:color w:val="000000"/>
        </w:rPr>
        <w:t>K</w:t>
      </w:r>
      <w:r>
        <w:rPr>
          <w:color w:val="000000"/>
          <w:spacing w:val="-5"/>
        </w:rPr>
        <w:t>l</w:t>
      </w:r>
      <w:r>
        <w:rPr>
          <w:color w:val="000000"/>
          <w:spacing w:val="4"/>
        </w:rPr>
        <w:t>a</w:t>
      </w:r>
      <w:r>
        <w:rPr>
          <w:color w:val="000000"/>
          <w:spacing w:val="-4"/>
        </w:rPr>
        <w:t>i</w:t>
      </w:r>
      <w:r>
        <w:rPr>
          <w:color w:val="000000"/>
        </w:rPr>
        <w:t>p</w:t>
      </w:r>
      <w:r>
        <w:rPr>
          <w:color w:val="000000"/>
          <w:spacing w:val="-1"/>
        </w:rPr>
        <w:t>ė</w:t>
      </w:r>
      <w:r>
        <w:rPr>
          <w:color w:val="000000"/>
        </w:rPr>
        <w:t>d</w:t>
      </w:r>
      <w:r>
        <w:rPr>
          <w:color w:val="000000"/>
          <w:spacing w:val="5"/>
        </w:rPr>
        <w:t>o</w:t>
      </w:r>
      <w:r>
        <w:rPr>
          <w:color w:val="000000"/>
          <w:spacing w:val="-2"/>
        </w:rPr>
        <w:t>s</w:t>
      </w:r>
      <w:r>
        <w:rPr>
          <w:color w:val="000000"/>
        </w:rPr>
        <w:t xml:space="preserve">, </w:t>
      </w:r>
      <w:r>
        <w:rPr>
          <w:color w:val="000000"/>
          <w:spacing w:val="7"/>
        </w:rPr>
        <w:t xml:space="preserve"> </w:t>
      </w:r>
      <w:r>
        <w:rPr>
          <w:color w:val="000000"/>
          <w:spacing w:val="4"/>
        </w:rPr>
        <w:t>V</w:t>
      </w:r>
      <w:r>
        <w:rPr>
          <w:color w:val="000000"/>
          <w:spacing w:val="-4"/>
        </w:rPr>
        <w:t>il</w:t>
      </w:r>
      <w:r>
        <w:rPr>
          <w:color w:val="000000"/>
          <w:spacing w:val="5"/>
        </w:rPr>
        <w:t>n</w:t>
      </w:r>
      <w:r>
        <w:rPr>
          <w:color w:val="000000"/>
          <w:spacing w:val="-4"/>
        </w:rPr>
        <w:t>i</w:t>
      </w:r>
      <w:r>
        <w:rPr>
          <w:color w:val="000000"/>
          <w:spacing w:val="-1"/>
        </w:rPr>
        <w:t>a</w:t>
      </w:r>
      <w:r>
        <w:rPr>
          <w:color w:val="000000"/>
        </w:rPr>
        <w:t xml:space="preserve">us </w:t>
      </w:r>
      <w:r>
        <w:rPr>
          <w:color w:val="000000"/>
          <w:spacing w:val="7"/>
        </w:rPr>
        <w:t xml:space="preserve"> </w:t>
      </w:r>
      <w:r>
        <w:rPr>
          <w:color w:val="000000"/>
          <w:spacing w:val="-4"/>
        </w:rPr>
        <w:t>i</w:t>
      </w:r>
      <w:r>
        <w:rPr>
          <w:color w:val="000000"/>
        </w:rPr>
        <w:t xml:space="preserve">r </w:t>
      </w:r>
      <w:r>
        <w:rPr>
          <w:color w:val="000000"/>
          <w:spacing w:val="6"/>
        </w:rPr>
        <w:t>Š</w:t>
      </w:r>
      <w:r>
        <w:rPr>
          <w:color w:val="000000"/>
          <w:spacing w:val="-9"/>
        </w:rPr>
        <w:t>i</w:t>
      </w:r>
      <w:r>
        <w:rPr>
          <w:color w:val="000000"/>
          <w:spacing w:val="-1"/>
        </w:rPr>
        <w:t>a</w:t>
      </w:r>
      <w:r>
        <w:rPr>
          <w:color w:val="000000"/>
          <w:spacing w:val="5"/>
        </w:rPr>
        <w:t>u</w:t>
      </w:r>
      <w:r>
        <w:rPr>
          <w:color w:val="000000"/>
        </w:rPr>
        <w:t>l</w:t>
      </w:r>
      <w:r>
        <w:rPr>
          <w:color w:val="000000"/>
          <w:spacing w:val="-4"/>
        </w:rPr>
        <w:t>i</w:t>
      </w:r>
      <w:r>
        <w:rPr>
          <w:color w:val="000000"/>
        </w:rPr>
        <w:t>ų</w:t>
      </w:r>
      <w:r>
        <w:rPr>
          <w:color w:val="000000"/>
          <w:spacing w:val="2"/>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5"/>
        </w:rPr>
        <w:t>y</w:t>
      </w:r>
      <w:r>
        <w:rPr>
          <w:color w:val="000000"/>
          <w:spacing w:val="-2"/>
        </w:rPr>
        <w:t>s</w:t>
      </w:r>
      <w:r>
        <w:rPr>
          <w:color w:val="000000"/>
          <w:spacing w:val="-1"/>
        </w:rPr>
        <w:t>e</w:t>
      </w:r>
      <w:r>
        <w:rPr>
          <w:color w:val="000000"/>
        </w:rPr>
        <w:t>.</w:t>
      </w:r>
    </w:p>
    <w:p w:rsidR="004F7425" w:rsidRDefault="004F7425" w:rsidP="004F7425">
      <w:pPr>
        <w:widowControl w:val="0"/>
        <w:autoSpaceDE w:val="0"/>
        <w:autoSpaceDN w:val="0"/>
        <w:adjustRightInd w:val="0"/>
        <w:spacing w:before="9" w:line="120" w:lineRule="exact"/>
        <w:rPr>
          <w:color w:val="000000"/>
          <w:sz w:val="12"/>
          <w:szCs w:val="12"/>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280" w:right="-20"/>
        <w:rPr>
          <w:color w:val="000000"/>
          <w:sz w:val="28"/>
          <w:szCs w:val="28"/>
        </w:rPr>
      </w:pPr>
      <w:r>
        <w:rPr>
          <w:b/>
          <w:bCs/>
          <w:i/>
          <w:iCs/>
          <w:color w:val="933634"/>
          <w:spacing w:val="1"/>
          <w:sz w:val="28"/>
          <w:szCs w:val="28"/>
        </w:rPr>
        <w:t>A</w:t>
      </w:r>
      <w:r>
        <w:rPr>
          <w:b/>
          <w:bCs/>
          <w:i/>
          <w:iCs/>
          <w:color w:val="933634"/>
          <w:spacing w:val="4"/>
          <w:sz w:val="28"/>
          <w:szCs w:val="28"/>
        </w:rPr>
        <w:t>m</w:t>
      </w:r>
      <w:r>
        <w:rPr>
          <w:b/>
          <w:bCs/>
          <w:i/>
          <w:iCs/>
          <w:color w:val="933634"/>
          <w:spacing w:val="-1"/>
          <w:sz w:val="28"/>
          <w:szCs w:val="28"/>
        </w:rPr>
        <w:t>f</w:t>
      </w:r>
      <w:r>
        <w:rPr>
          <w:b/>
          <w:bCs/>
          <w:i/>
          <w:iCs/>
          <w:color w:val="933634"/>
          <w:spacing w:val="1"/>
          <w:sz w:val="28"/>
          <w:szCs w:val="28"/>
        </w:rPr>
        <w:t>e</w:t>
      </w:r>
      <w:r>
        <w:rPr>
          <w:b/>
          <w:bCs/>
          <w:i/>
          <w:iCs/>
          <w:color w:val="933634"/>
          <w:sz w:val="28"/>
          <w:szCs w:val="28"/>
        </w:rPr>
        <w:t>ta</w:t>
      </w:r>
      <w:r>
        <w:rPr>
          <w:b/>
          <w:bCs/>
          <w:i/>
          <w:iCs/>
          <w:color w:val="933634"/>
          <w:spacing w:val="3"/>
          <w:sz w:val="28"/>
          <w:szCs w:val="28"/>
        </w:rPr>
        <w:t>m</w:t>
      </w:r>
      <w:r>
        <w:rPr>
          <w:b/>
          <w:bCs/>
          <w:i/>
          <w:iCs/>
          <w:color w:val="933634"/>
          <w:sz w:val="28"/>
          <w:szCs w:val="28"/>
        </w:rPr>
        <w:t>i</w:t>
      </w:r>
      <w:r>
        <w:rPr>
          <w:b/>
          <w:bCs/>
          <w:i/>
          <w:iCs/>
          <w:color w:val="933634"/>
          <w:spacing w:val="-2"/>
          <w:sz w:val="28"/>
          <w:szCs w:val="28"/>
        </w:rPr>
        <w:t>n</w:t>
      </w:r>
      <w:r>
        <w:rPr>
          <w:b/>
          <w:bCs/>
          <w:i/>
          <w:iCs/>
          <w:color w:val="933634"/>
          <w:sz w:val="28"/>
          <w:szCs w:val="28"/>
        </w:rPr>
        <w:t>o</w:t>
      </w:r>
      <w:r>
        <w:rPr>
          <w:b/>
          <w:bCs/>
          <w:i/>
          <w:iCs/>
          <w:color w:val="933634"/>
          <w:spacing w:val="-12"/>
          <w:sz w:val="28"/>
          <w:szCs w:val="28"/>
        </w:rPr>
        <w:t xml:space="preserve"> </w:t>
      </w:r>
      <w:r>
        <w:rPr>
          <w:b/>
          <w:bCs/>
          <w:i/>
          <w:iCs/>
          <w:color w:val="933634"/>
          <w:sz w:val="28"/>
          <w:szCs w:val="28"/>
        </w:rPr>
        <w:t>t</w:t>
      </w:r>
      <w:r>
        <w:rPr>
          <w:b/>
          <w:bCs/>
          <w:i/>
          <w:iCs/>
          <w:color w:val="933634"/>
          <w:spacing w:val="-1"/>
          <w:sz w:val="28"/>
          <w:szCs w:val="28"/>
        </w:rPr>
        <w:t>i</w:t>
      </w:r>
      <w:r>
        <w:rPr>
          <w:b/>
          <w:bCs/>
          <w:i/>
          <w:iCs/>
          <w:color w:val="933634"/>
          <w:sz w:val="28"/>
          <w:szCs w:val="28"/>
        </w:rPr>
        <w:t>po</w:t>
      </w:r>
      <w:r>
        <w:rPr>
          <w:b/>
          <w:bCs/>
          <w:i/>
          <w:iCs/>
          <w:color w:val="933634"/>
          <w:spacing w:val="-2"/>
          <w:sz w:val="28"/>
          <w:szCs w:val="28"/>
        </w:rPr>
        <w:t xml:space="preserve"> </w:t>
      </w:r>
      <w:r>
        <w:rPr>
          <w:b/>
          <w:bCs/>
          <w:i/>
          <w:iCs/>
          <w:color w:val="933634"/>
          <w:spacing w:val="2"/>
          <w:sz w:val="28"/>
          <w:szCs w:val="28"/>
        </w:rPr>
        <w:t>s</w:t>
      </w:r>
      <w:r>
        <w:rPr>
          <w:b/>
          <w:bCs/>
          <w:i/>
          <w:iCs/>
          <w:color w:val="933634"/>
          <w:sz w:val="28"/>
          <w:szCs w:val="28"/>
        </w:rPr>
        <w:t>t</w:t>
      </w:r>
      <w:r>
        <w:rPr>
          <w:b/>
          <w:bCs/>
          <w:i/>
          <w:iCs/>
          <w:color w:val="933634"/>
          <w:spacing w:val="-1"/>
          <w:sz w:val="28"/>
          <w:szCs w:val="28"/>
        </w:rPr>
        <w:t>i</w:t>
      </w:r>
      <w:r>
        <w:rPr>
          <w:b/>
          <w:bCs/>
          <w:i/>
          <w:iCs/>
          <w:color w:val="933634"/>
          <w:spacing w:val="4"/>
          <w:sz w:val="28"/>
          <w:szCs w:val="28"/>
        </w:rPr>
        <w:t>m</w:t>
      </w:r>
      <w:r>
        <w:rPr>
          <w:b/>
          <w:bCs/>
          <w:i/>
          <w:iCs/>
          <w:color w:val="933634"/>
          <w:spacing w:val="-1"/>
          <w:sz w:val="28"/>
          <w:szCs w:val="28"/>
        </w:rPr>
        <w:t>u</w:t>
      </w:r>
      <w:r>
        <w:rPr>
          <w:b/>
          <w:bCs/>
          <w:i/>
          <w:iCs/>
          <w:color w:val="933634"/>
          <w:sz w:val="28"/>
          <w:szCs w:val="28"/>
        </w:rPr>
        <w:t>l</w:t>
      </w:r>
      <w:r>
        <w:rPr>
          <w:b/>
          <w:bCs/>
          <w:i/>
          <w:iCs/>
          <w:color w:val="933634"/>
          <w:spacing w:val="-1"/>
          <w:sz w:val="28"/>
          <w:szCs w:val="28"/>
        </w:rPr>
        <w:t>iu</w:t>
      </w:r>
      <w:r>
        <w:rPr>
          <w:b/>
          <w:bCs/>
          <w:i/>
          <w:iCs/>
          <w:color w:val="933634"/>
          <w:sz w:val="28"/>
          <w:szCs w:val="28"/>
        </w:rPr>
        <w:t>oj</w:t>
      </w:r>
      <w:r>
        <w:rPr>
          <w:b/>
          <w:bCs/>
          <w:i/>
          <w:iCs/>
          <w:color w:val="933634"/>
          <w:spacing w:val="4"/>
          <w:sz w:val="28"/>
          <w:szCs w:val="28"/>
        </w:rPr>
        <w:t>a</w:t>
      </w:r>
      <w:r>
        <w:rPr>
          <w:b/>
          <w:bCs/>
          <w:i/>
          <w:iCs/>
          <w:color w:val="933634"/>
          <w:spacing w:val="-1"/>
          <w:sz w:val="28"/>
          <w:szCs w:val="28"/>
        </w:rPr>
        <w:t>n</w:t>
      </w:r>
      <w:r>
        <w:rPr>
          <w:b/>
          <w:bCs/>
          <w:i/>
          <w:iCs/>
          <w:color w:val="933634"/>
          <w:spacing w:val="1"/>
          <w:sz w:val="28"/>
          <w:szCs w:val="28"/>
        </w:rPr>
        <w:t>č</w:t>
      </w:r>
      <w:r>
        <w:rPr>
          <w:b/>
          <w:bCs/>
          <w:i/>
          <w:iCs/>
          <w:color w:val="933634"/>
          <w:sz w:val="28"/>
          <w:szCs w:val="28"/>
        </w:rPr>
        <w:t>ios</w:t>
      </w:r>
      <w:r>
        <w:rPr>
          <w:b/>
          <w:bCs/>
          <w:i/>
          <w:iCs/>
          <w:color w:val="933634"/>
          <w:spacing w:val="-16"/>
          <w:sz w:val="28"/>
          <w:szCs w:val="28"/>
        </w:rPr>
        <w:t xml:space="preserve"> </w:t>
      </w:r>
      <w:r>
        <w:rPr>
          <w:b/>
          <w:bCs/>
          <w:i/>
          <w:iCs/>
          <w:color w:val="933634"/>
          <w:spacing w:val="4"/>
          <w:sz w:val="28"/>
          <w:szCs w:val="28"/>
        </w:rPr>
        <w:t>m</w:t>
      </w:r>
      <w:r>
        <w:rPr>
          <w:b/>
          <w:bCs/>
          <w:i/>
          <w:iCs/>
          <w:color w:val="933634"/>
          <w:spacing w:val="1"/>
          <w:sz w:val="28"/>
          <w:szCs w:val="28"/>
        </w:rPr>
        <w:t>e</w:t>
      </w:r>
      <w:r>
        <w:rPr>
          <w:b/>
          <w:bCs/>
          <w:i/>
          <w:iCs/>
          <w:color w:val="933634"/>
          <w:sz w:val="28"/>
          <w:szCs w:val="28"/>
        </w:rPr>
        <w:t>d</w:t>
      </w:r>
      <w:r>
        <w:rPr>
          <w:b/>
          <w:bCs/>
          <w:i/>
          <w:iCs/>
          <w:color w:val="933634"/>
          <w:spacing w:val="2"/>
          <w:sz w:val="28"/>
          <w:szCs w:val="28"/>
        </w:rPr>
        <w:t>ž</w:t>
      </w:r>
      <w:r>
        <w:rPr>
          <w:b/>
          <w:bCs/>
          <w:i/>
          <w:iCs/>
          <w:color w:val="933634"/>
          <w:sz w:val="28"/>
          <w:szCs w:val="28"/>
        </w:rPr>
        <w:t>iagos</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280" w:right="65" w:firstLine="721"/>
        <w:jc w:val="both"/>
        <w:rPr>
          <w:color w:val="000000"/>
        </w:rPr>
      </w:pPr>
      <w:r>
        <w:rPr>
          <w:color w:val="000000"/>
        </w:rPr>
        <w:t>Am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6"/>
        </w:rPr>
        <w:t xml:space="preserve"> </w:t>
      </w:r>
      <w:r>
        <w:rPr>
          <w:color w:val="000000"/>
          <w:spacing w:val="10"/>
        </w:rPr>
        <w:t>t</w:t>
      </w:r>
      <w:r>
        <w:rPr>
          <w:color w:val="000000"/>
          <w:spacing w:val="-9"/>
        </w:rPr>
        <w:t>i</w:t>
      </w:r>
      <w:r>
        <w:rPr>
          <w:color w:val="000000"/>
        </w:rPr>
        <w:t>po</w:t>
      </w:r>
      <w:r>
        <w:rPr>
          <w:color w:val="000000"/>
          <w:spacing w:val="6"/>
        </w:rPr>
        <w:t xml:space="preserve"> </w:t>
      </w:r>
      <w:r>
        <w:rPr>
          <w:color w:val="000000"/>
          <w:spacing w:val="-2"/>
        </w:rPr>
        <w:t>s</w:t>
      </w:r>
      <w:r>
        <w:rPr>
          <w:color w:val="000000"/>
          <w:spacing w:val="5"/>
        </w:rPr>
        <w:t>t</w:t>
      </w:r>
      <w:r>
        <w:rPr>
          <w:color w:val="000000"/>
          <w:spacing w:val="-4"/>
        </w:rPr>
        <w:t>im</w:t>
      </w:r>
      <w:r>
        <w:rPr>
          <w:color w:val="000000"/>
          <w:spacing w:val="5"/>
        </w:rPr>
        <w:t>u</w:t>
      </w:r>
      <w:r>
        <w:rPr>
          <w:color w:val="000000"/>
        </w:rPr>
        <w:t>l</w:t>
      </w:r>
      <w:r>
        <w:rPr>
          <w:color w:val="000000"/>
          <w:spacing w:val="-4"/>
        </w:rPr>
        <w:t>i</w:t>
      </w:r>
      <w:r>
        <w:rPr>
          <w:color w:val="000000"/>
        </w:rPr>
        <w:t>u</w:t>
      </w:r>
      <w:r>
        <w:rPr>
          <w:color w:val="000000"/>
          <w:spacing w:val="9"/>
        </w:rPr>
        <w:t>o</w:t>
      </w:r>
      <w:r>
        <w:rPr>
          <w:color w:val="000000"/>
          <w:spacing w:val="-9"/>
        </w:rPr>
        <w:t>j</w:t>
      </w:r>
      <w:r>
        <w:rPr>
          <w:color w:val="000000"/>
          <w:spacing w:val="4"/>
        </w:rPr>
        <w:t>a</w:t>
      </w:r>
      <w:r>
        <w:rPr>
          <w:color w:val="000000"/>
          <w:spacing w:val="-5"/>
        </w:rPr>
        <w:t>n</w:t>
      </w:r>
      <w:r>
        <w:rPr>
          <w:color w:val="000000"/>
          <w:spacing w:val="4"/>
        </w:rPr>
        <w:t>č</w:t>
      </w:r>
      <w:r>
        <w:rPr>
          <w:color w:val="000000"/>
          <w:spacing w:val="-9"/>
        </w:rPr>
        <w:t>i</w:t>
      </w:r>
      <w:r>
        <w:rPr>
          <w:color w:val="000000"/>
          <w:spacing w:val="5"/>
        </w:rPr>
        <w:t>o</w:t>
      </w:r>
      <w:r>
        <w:rPr>
          <w:color w:val="000000"/>
        </w:rPr>
        <w:t>s</w:t>
      </w:r>
      <w:r>
        <w:rPr>
          <w:color w:val="000000"/>
          <w:spacing w:val="9"/>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 xml:space="preserve">s </w:t>
      </w:r>
      <w:r>
        <w:rPr>
          <w:color w:val="000000"/>
          <w:spacing w:val="1"/>
        </w:rPr>
        <w:t>(</w:t>
      </w:r>
      <w:r>
        <w:rPr>
          <w:color w:val="000000"/>
        </w:rPr>
        <w:t>t</w:t>
      </w:r>
      <w:r>
        <w:rPr>
          <w:color w:val="000000"/>
          <w:spacing w:val="5"/>
        </w:rPr>
        <w:t>o</w:t>
      </w:r>
      <w:r>
        <w:rPr>
          <w:color w:val="000000"/>
          <w:spacing w:val="-4"/>
        </w:rPr>
        <w:t>li</w:t>
      </w:r>
      <w:r>
        <w:rPr>
          <w:color w:val="000000"/>
          <w:spacing w:val="-1"/>
        </w:rPr>
        <w:t>a</w:t>
      </w:r>
      <w:r>
        <w:rPr>
          <w:color w:val="000000"/>
        </w:rPr>
        <w:t>u</w:t>
      </w:r>
      <w:r>
        <w:rPr>
          <w:color w:val="000000"/>
          <w:spacing w:val="9"/>
        </w:rPr>
        <w:t xml:space="preserve"> </w:t>
      </w:r>
      <w:r>
        <w:rPr>
          <w:color w:val="000000"/>
        </w:rPr>
        <w:t>–</w:t>
      </w:r>
      <w:r>
        <w:rPr>
          <w:color w:val="000000"/>
          <w:spacing w:val="7"/>
        </w:rPr>
        <w:t xml:space="preserve"> </w:t>
      </w:r>
      <w:r>
        <w:rPr>
          <w:color w:val="000000"/>
          <w:spacing w:val="-5"/>
        </w:rPr>
        <w:t>A</w:t>
      </w:r>
      <w:r>
        <w:rPr>
          <w:color w:val="000000"/>
          <w:spacing w:val="2"/>
        </w:rPr>
        <w:t>T</w:t>
      </w:r>
      <w:r>
        <w:rPr>
          <w:color w:val="000000"/>
          <w:spacing w:val="1"/>
        </w:rPr>
        <w:t>S</w:t>
      </w:r>
      <w:r>
        <w:rPr>
          <w:color w:val="000000"/>
        </w:rPr>
        <w:t>)</w:t>
      </w:r>
      <w:r>
        <w:rPr>
          <w:color w:val="000000"/>
          <w:spacing w:val="3"/>
        </w:rPr>
        <w:t xml:space="preserve"> </w:t>
      </w:r>
      <w:r>
        <w:rPr>
          <w:color w:val="000000"/>
          <w:spacing w:val="1"/>
        </w:rPr>
        <w:t>p</w:t>
      </w:r>
      <w:r>
        <w:rPr>
          <w:color w:val="000000"/>
        </w:rPr>
        <w:t>o</w:t>
      </w:r>
      <w:r>
        <w:rPr>
          <w:color w:val="000000"/>
          <w:spacing w:val="6"/>
        </w:rPr>
        <w:t xml:space="preserve"> </w:t>
      </w:r>
      <w:r>
        <w:rPr>
          <w:color w:val="000000"/>
        </w:rPr>
        <w:t>k</w:t>
      </w:r>
      <w:r>
        <w:rPr>
          <w:color w:val="000000"/>
          <w:spacing w:val="-1"/>
        </w:rPr>
        <w:t>a</w:t>
      </w:r>
      <w:r>
        <w:rPr>
          <w:color w:val="000000"/>
          <w:spacing w:val="-5"/>
        </w:rPr>
        <w:t>n</w:t>
      </w:r>
      <w:r>
        <w:rPr>
          <w:color w:val="000000"/>
          <w:spacing w:val="-1"/>
        </w:rPr>
        <w:t>a</w:t>
      </w:r>
      <w:r>
        <w:rPr>
          <w:color w:val="000000"/>
          <w:spacing w:val="5"/>
        </w:rPr>
        <w:t>p</w:t>
      </w:r>
      <w:r>
        <w:rPr>
          <w:color w:val="000000"/>
          <w:spacing w:val="-4"/>
        </w:rPr>
        <w:t>i</w:t>
      </w:r>
      <w:r>
        <w:rPr>
          <w:color w:val="000000"/>
        </w:rPr>
        <w:t>ų</w:t>
      </w:r>
      <w:r>
        <w:rPr>
          <w:color w:val="000000"/>
          <w:spacing w:val="11"/>
        </w:rPr>
        <w:t xml:space="preserve"> </w:t>
      </w:r>
      <w:r>
        <w:rPr>
          <w:color w:val="000000"/>
          <w:spacing w:val="-10"/>
        </w:rPr>
        <w:t>y</w:t>
      </w:r>
      <w:r>
        <w:rPr>
          <w:color w:val="000000"/>
          <w:spacing w:val="1"/>
        </w:rPr>
        <w:t>r</w:t>
      </w:r>
      <w:r>
        <w:rPr>
          <w:color w:val="000000"/>
        </w:rPr>
        <w:t>a</w:t>
      </w:r>
      <w:r>
        <w:rPr>
          <w:color w:val="000000"/>
          <w:spacing w:val="10"/>
        </w:rPr>
        <w:t xml:space="preserve"> </w:t>
      </w:r>
      <w:r>
        <w:rPr>
          <w:color w:val="000000"/>
          <w:spacing w:val="-4"/>
        </w:rPr>
        <w:t>l</w:t>
      </w:r>
      <w:r>
        <w:rPr>
          <w:color w:val="000000"/>
          <w:spacing w:val="4"/>
        </w:rPr>
        <w:t>a</w:t>
      </w:r>
      <w:r>
        <w:rPr>
          <w:color w:val="000000"/>
        </w:rPr>
        <w:t>b</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8"/>
        </w:rPr>
        <w:t>a</w:t>
      </w:r>
      <w:r>
        <w:rPr>
          <w:color w:val="000000"/>
        </w:rPr>
        <w:t>i p</w:t>
      </w:r>
      <w:r>
        <w:rPr>
          <w:color w:val="000000"/>
          <w:spacing w:val="-1"/>
        </w:rPr>
        <w:t>a</w:t>
      </w:r>
      <w:r>
        <w:rPr>
          <w:color w:val="000000"/>
          <w:spacing w:val="5"/>
        </w:rPr>
        <w:t>p</w:t>
      </w:r>
      <w:r>
        <w:rPr>
          <w:color w:val="000000"/>
          <w:spacing w:val="-4"/>
        </w:rPr>
        <w:t>l</w:t>
      </w:r>
      <w:r>
        <w:rPr>
          <w:color w:val="000000"/>
          <w:spacing w:val="-9"/>
        </w:rPr>
        <w:t>i</w:t>
      </w:r>
      <w:r>
        <w:rPr>
          <w:color w:val="000000"/>
          <w:spacing w:val="5"/>
        </w:rPr>
        <w:t>t</w:t>
      </w:r>
      <w:r>
        <w:rPr>
          <w:color w:val="000000"/>
        </w:rPr>
        <w:t>u</w:t>
      </w:r>
      <w:r>
        <w:rPr>
          <w:color w:val="000000"/>
          <w:spacing w:val="2"/>
        </w:rPr>
        <w:t>s</w:t>
      </w:r>
      <w:r>
        <w:rPr>
          <w:color w:val="000000"/>
          <w:spacing w:val="-9"/>
        </w:rPr>
        <w:t>i</w:t>
      </w:r>
      <w:r>
        <w:rPr>
          <w:color w:val="000000"/>
          <w:spacing w:val="9"/>
        </w:rPr>
        <w:t>o</w:t>
      </w:r>
      <w:r>
        <w:rPr>
          <w:color w:val="000000"/>
        </w:rPr>
        <w:t>s</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2"/>
        </w:rPr>
        <w:t xml:space="preserve"> 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spacing w:val="-1"/>
        </w:rPr>
        <w:t>e</w:t>
      </w:r>
      <w:r>
        <w:rPr>
          <w:color w:val="000000"/>
        </w:rPr>
        <w:t>.</w:t>
      </w:r>
      <w:r>
        <w:rPr>
          <w:color w:val="000000"/>
          <w:spacing w:val="7"/>
        </w:rPr>
        <w:t xml:space="preserve"> </w:t>
      </w:r>
      <w:r>
        <w:rPr>
          <w:color w:val="000000"/>
          <w:spacing w:val="2"/>
        </w:rPr>
        <w:t>T</w:t>
      </w:r>
      <w:r>
        <w:rPr>
          <w:color w:val="000000"/>
          <w:spacing w:val="4"/>
        </w:rPr>
        <w:t>a</w:t>
      </w:r>
      <w:r>
        <w:rPr>
          <w:color w:val="000000"/>
        </w:rPr>
        <w:t xml:space="preserve">i </w:t>
      </w:r>
      <w:r>
        <w:rPr>
          <w:color w:val="000000"/>
          <w:spacing w:val="-1"/>
        </w:rPr>
        <w:t>c</w:t>
      </w:r>
      <w:r>
        <w:rPr>
          <w:color w:val="000000"/>
          <w:spacing w:val="4"/>
        </w:rPr>
        <w:t>e</w:t>
      </w:r>
      <w:r>
        <w:rPr>
          <w:color w:val="000000"/>
          <w:spacing w:val="-5"/>
        </w:rPr>
        <w:t>n</w:t>
      </w:r>
      <w:r>
        <w:rPr>
          <w:color w:val="000000"/>
          <w:spacing w:val="5"/>
        </w:rPr>
        <w:t>t</w:t>
      </w:r>
      <w:r>
        <w:rPr>
          <w:color w:val="000000"/>
          <w:spacing w:val="1"/>
        </w:rPr>
        <w:t>r</w:t>
      </w:r>
      <w:r>
        <w:rPr>
          <w:color w:val="000000"/>
          <w:spacing w:val="-4"/>
        </w:rPr>
        <w:t>i</w:t>
      </w:r>
      <w:r>
        <w:rPr>
          <w:color w:val="000000"/>
        </w:rPr>
        <w:t>nę</w:t>
      </w:r>
      <w:r>
        <w:rPr>
          <w:color w:val="000000"/>
          <w:spacing w:val="8"/>
        </w:rPr>
        <w:t xml:space="preserve"> </w:t>
      </w:r>
      <w:r>
        <w:rPr>
          <w:color w:val="000000"/>
          <w:spacing w:val="-5"/>
        </w:rPr>
        <w:t>n</w:t>
      </w:r>
      <w:r>
        <w:rPr>
          <w:color w:val="000000"/>
          <w:spacing w:val="4"/>
        </w:rPr>
        <w:t>e</w:t>
      </w:r>
      <w:r>
        <w:rPr>
          <w:color w:val="000000"/>
          <w:spacing w:val="1"/>
        </w:rPr>
        <w:t>r</w:t>
      </w:r>
      <w:r>
        <w:rPr>
          <w:color w:val="000000"/>
          <w:spacing w:val="-5"/>
        </w:rPr>
        <w:t>v</w:t>
      </w:r>
      <w:r>
        <w:rPr>
          <w:color w:val="000000"/>
        </w:rPr>
        <w:t>ų</w:t>
      </w:r>
      <w:r>
        <w:rPr>
          <w:color w:val="000000"/>
          <w:spacing w:val="5"/>
        </w:rPr>
        <w:t xml:space="preserve"> </w:t>
      </w:r>
      <w:r>
        <w:rPr>
          <w:color w:val="000000"/>
          <w:spacing w:val="2"/>
        </w:rPr>
        <w:t>s</w:t>
      </w:r>
      <w:r>
        <w:rPr>
          <w:color w:val="000000"/>
          <w:spacing w:val="-4"/>
        </w:rPr>
        <w:t>i</w:t>
      </w:r>
      <w:r>
        <w:rPr>
          <w:color w:val="000000"/>
          <w:spacing w:val="-2"/>
        </w:rPr>
        <w:t>s</w:t>
      </w:r>
      <w:r>
        <w:rPr>
          <w:color w:val="000000"/>
          <w:spacing w:val="5"/>
        </w:rPr>
        <w:t>t</w:t>
      </w:r>
      <w:r>
        <w:rPr>
          <w:color w:val="000000"/>
          <w:spacing w:val="4"/>
        </w:rPr>
        <w:t>e</w:t>
      </w:r>
      <w:r>
        <w:rPr>
          <w:color w:val="000000"/>
          <w:spacing w:val="-4"/>
        </w:rPr>
        <w:t>m</w:t>
      </w:r>
      <w:r>
        <w:rPr>
          <w:color w:val="000000"/>
        </w:rPr>
        <w:t>ą</w:t>
      </w:r>
      <w:r>
        <w:rPr>
          <w:color w:val="000000"/>
          <w:spacing w:val="8"/>
        </w:rPr>
        <w:t xml:space="preserve"> </w:t>
      </w:r>
      <w:r>
        <w:rPr>
          <w:color w:val="000000"/>
          <w:spacing w:val="-5"/>
        </w:rPr>
        <w:t>v</w:t>
      </w:r>
      <w:r>
        <w:rPr>
          <w:color w:val="000000"/>
          <w:spacing w:val="4"/>
        </w:rPr>
        <w:t>e</w:t>
      </w:r>
      <w:r>
        <w:rPr>
          <w:color w:val="000000"/>
          <w:spacing w:val="-4"/>
        </w:rPr>
        <w:t>i</w:t>
      </w:r>
      <w:r>
        <w:rPr>
          <w:color w:val="000000"/>
          <w:spacing w:val="5"/>
        </w:rPr>
        <w:t>k</w:t>
      </w:r>
      <w:r>
        <w:rPr>
          <w:color w:val="000000"/>
          <w:spacing w:val="-4"/>
        </w:rPr>
        <w:t>i</w:t>
      </w:r>
      <w:r>
        <w:rPr>
          <w:color w:val="000000"/>
          <w:spacing w:val="4"/>
        </w:rPr>
        <w:t>a</w:t>
      </w:r>
      <w:r>
        <w:rPr>
          <w:color w:val="000000"/>
          <w:spacing w:val="-5"/>
        </w:rPr>
        <w:t>n</w:t>
      </w:r>
      <w:r>
        <w:rPr>
          <w:color w:val="000000"/>
          <w:spacing w:val="10"/>
        </w:rPr>
        <w:t>t</w:t>
      </w:r>
      <w:r>
        <w:rPr>
          <w:color w:val="000000"/>
          <w:spacing w:val="-10"/>
        </w:rPr>
        <w:t>y</w:t>
      </w:r>
      <w:r>
        <w:rPr>
          <w:color w:val="000000"/>
        </w:rPr>
        <w:t>s</w:t>
      </w:r>
      <w:r>
        <w:rPr>
          <w:color w:val="000000"/>
          <w:spacing w:val="7"/>
        </w:rPr>
        <w:t xml:space="preserve"> </w:t>
      </w:r>
      <w:r>
        <w:rPr>
          <w:color w:val="000000"/>
          <w:spacing w:val="-2"/>
        </w:rPr>
        <w:t>s</w:t>
      </w:r>
      <w:r>
        <w:rPr>
          <w:color w:val="000000"/>
          <w:spacing w:val="10"/>
        </w:rPr>
        <w:t>t</w:t>
      </w:r>
      <w:r>
        <w:rPr>
          <w:color w:val="000000"/>
          <w:spacing w:val="-4"/>
        </w:rPr>
        <w:t>im</w:t>
      </w:r>
      <w:r>
        <w:rPr>
          <w:color w:val="000000"/>
          <w:spacing w:val="5"/>
        </w:rPr>
        <w:t>u</w:t>
      </w:r>
      <w:r>
        <w:rPr>
          <w:color w:val="000000"/>
          <w:spacing w:val="-4"/>
        </w:rPr>
        <w:t>li</w:t>
      </w:r>
      <w:r>
        <w:rPr>
          <w:color w:val="000000"/>
          <w:spacing w:val="-1"/>
        </w:rPr>
        <w:t>a</w:t>
      </w:r>
      <w:r>
        <w:rPr>
          <w:color w:val="000000"/>
          <w:spacing w:val="5"/>
        </w:rPr>
        <w:t>to</w:t>
      </w:r>
      <w:r>
        <w:rPr>
          <w:color w:val="000000"/>
          <w:spacing w:val="1"/>
        </w:rPr>
        <w:t>r</w:t>
      </w:r>
      <w:r>
        <w:rPr>
          <w:color w:val="000000"/>
          <w:spacing w:val="-9"/>
        </w:rPr>
        <w:t>i</w:t>
      </w:r>
      <w:r>
        <w:rPr>
          <w:color w:val="000000"/>
          <w:spacing w:val="4"/>
        </w:rPr>
        <w:t>a</w:t>
      </w:r>
      <w:r>
        <w:rPr>
          <w:color w:val="000000"/>
          <w:spacing w:val="-9"/>
        </w:rPr>
        <w:t>i</w:t>
      </w:r>
      <w:r>
        <w:rPr>
          <w:color w:val="000000"/>
        </w:rPr>
        <w:t>,</w:t>
      </w:r>
      <w:r>
        <w:rPr>
          <w:color w:val="000000"/>
          <w:spacing w:val="12"/>
        </w:rPr>
        <w:t xml:space="preserve"> </w:t>
      </w:r>
      <w:r>
        <w:rPr>
          <w:color w:val="000000"/>
        </w:rPr>
        <w:t>t</w:t>
      </w:r>
      <w:r>
        <w:rPr>
          <w:color w:val="000000"/>
          <w:spacing w:val="5"/>
        </w:rPr>
        <w:t>o</w:t>
      </w:r>
      <w:r>
        <w:rPr>
          <w:color w:val="000000"/>
        </w:rPr>
        <w:t>k</w:t>
      </w:r>
      <w:r>
        <w:rPr>
          <w:color w:val="000000"/>
          <w:spacing w:val="-4"/>
        </w:rPr>
        <w:t>i</w:t>
      </w:r>
      <w:r>
        <w:rPr>
          <w:color w:val="000000"/>
        </w:rPr>
        <w:t>e</w:t>
      </w:r>
      <w:r>
        <w:rPr>
          <w:color w:val="000000"/>
          <w:spacing w:val="4"/>
        </w:rPr>
        <w:t xml:space="preserve"> </w:t>
      </w:r>
      <w:r>
        <w:rPr>
          <w:color w:val="000000"/>
        </w:rPr>
        <w:t>k</w:t>
      </w:r>
      <w:r>
        <w:rPr>
          <w:color w:val="000000"/>
          <w:spacing w:val="4"/>
        </w:rPr>
        <w:t>a</w:t>
      </w:r>
      <w:r>
        <w:rPr>
          <w:color w:val="000000"/>
          <w:spacing w:val="-4"/>
        </w:rPr>
        <w:t>i</w:t>
      </w:r>
      <w:r>
        <w:rPr>
          <w:color w:val="000000"/>
        </w:rPr>
        <w:t xml:space="preserve">p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a</w:t>
      </w:r>
      <w:r>
        <w:rPr>
          <w:color w:val="000000"/>
          <w:spacing w:val="-2"/>
        </w:rPr>
        <w:t>s</w:t>
      </w:r>
      <w:r>
        <w:rPr>
          <w:color w:val="000000"/>
        </w:rPr>
        <w:t>,</w:t>
      </w:r>
      <w:r>
        <w:rPr>
          <w:color w:val="000000"/>
          <w:spacing w:val="33"/>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2"/>
        </w:rPr>
        <w:t>s</w:t>
      </w:r>
      <w:r>
        <w:rPr>
          <w:color w:val="000000"/>
        </w:rPr>
        <w:t>,</w:t>
      </w:r>
      <w:r>
        <w:rPr>
          <w:color w:val="000000"/>
          <w:spacing w:val="28"/>
        </w:rPr>
        <w:t xml:space="preserve"> </w:t>
      </w:r>
      <w:r>
        <w:rPr>
          <w:color w:val="000000"/>
          <w:spacing w:val="-1"/>
        </w:rPr>
        <w:t>ec</w:t>
      </w:r>
      <w:r>
        <w:rPr>
          <w:color w:val="000000"/>
          <w:spacing w:val="-2"/>
        </w:rPr>
        <w:t>s</w:t>
      </w:r>
      <w:r>
        <w:rPr>
          <w:color w:val="000000"/>
          <w:spacing w:val="5"/>
        </w:rPr>
        <w:t>t</w:t>
      </w:r>
      <w:r>
        <w:rPr>
          <w:color w:val="000000"/>
          <w:spacing w:val="-1"/>
        </w:rPr>
        <w:t>a</w:t>
      </w:r>
      <w:r>
        <w:rPr>
          <w:color w:val="000000"/>
          <w:spacing w:val="2"/>
        </w:rPr>
        <w:t>s</w:t>
      </w:r>
      <w:r>
        <w:rPr>
          <w:color w:val="000000"/>
        </w:rPr>
        <w:t>y</w:t>
      </w:r>
      <w:r>
        <w:rPr>
          <w:color w:val="000000"/>
          <w:spacing w:val="26"/>
        </w:rPr>
        <w:t xml:space="preserve"> </w:t>
      </w:r>
      <w:r>
        <w:rPr>
          <w:color w:val="000000"/>
          <w:spacing w:val="-4"/>
        </w:rPr>
        <w:t>i</w:t>
      </w:r>
      <w:r>
        <w:rPr>
          <w:color w:val="000000"/>
        </w:rPr>
        <w:t>r</w:t>
      </w:r>
      <w:r>
        <w:rPr>
          <w:color w:val="000000"/>
          <w:spacing w:val="28"/>
        </w:rPr>
        <w:t xml:space="preserve"> </w:t>
      </w:r>
      <w:r>
        <w:rPr>
          <w:color w:val="000000"/>
          <w:spacing w:val="5"/>
        </w:rPr>
        <w:t>k</w:t>
      </w:r>
      <w:r>
        <w:rPr>
          <w:color w:val="000000"/>
          <w:spacing w:val="-9"/>
        </w:rPr>
        <w:t>i</w:t>
      </w:r>
      <w:r>
        <w:rPr>
          <w:color w:val="000000"/>
          <w:spacing w:val="10"/>
        </w:rPr>
        <w:t>t</w:t>
      </w:r>
      <w:r>
        <w:rPr>
          <w:color w:val="000000"/>
          <w:spacing w:val="-9"/>
        </w:rPr>
        <w:t>i</w:t>
      </w:r>
      <w:r>
        <w:rPr>
          <w:color w:val="000000"/>
        </w:rPr>
        <w:t>.</w:t>
      </w:r>
      <w:r>
        <w:rPr>
          <w:color w:val="000000"/>
          <w:spacing w:val="33"/>
        </w:rPr>
        <w:t xml:space="preserve"> </w:t>
      </w:r>
      <w:r>
        <w:rPr>
          <w:color w:val="000000"/>
          <w:spacing w:val="-2"/>
        </w:rPr>
        <w:t>R</w:t>
      </w:r>
      <w:r>
        <w:rPr>
          <w:color w:val="000000"/>
          <w:spacing w:val="4"/>
        </w:rPr>
        <w:t>e</w:t>
      </w:r>
      <w:r>
        <w:rPr>
          <w:color w:val="000000"/>
        </w:rPr>
        <w:t>m</w:t>
      </w:r>
      <w:r>
        <w:rPr>
          <w:color w:val="000000"/>
          <w:spacing w:val="-4"/>
        </w:rPr>
        <w:t>i</w:t>
      </w:r>
      <w:r>
        <w:rPr>
          <w:color w:val="000000"/>
          <w:spacing w:val="4"/>
        </w:rPr>
        <w:t>a</w:t>
      </w:r>
      <w:r>
        <w:rPr>
          <w:color w:val="000000"/>
          <w:spacing w:val="-5"/>
        </w:rPr>
        <w:t>n</w:t>
      </w:r>
      <w:r>
        <w:rPr>
          <w:color w:val="000000"/>
          <w:spacing w:val="10"/>
        </w:rPr>
        <w:t>t</w:t>
      </w:r>
      <w:r>
        <w:rPr>
          <w:color w:val="000000"/>
          <w:spacing w:val="-9"/>
        </w:rPr>
        <w:t>i</w:t>
      </w:r>
      <w:r>
        <w:rPr>
          <w:color w:val="000000"/>
        </w:rPr>
        <w:t>s</w:t>
      </w:r>
      <w:r>
        <w:rPr>
          <w:color w:val="000000"/>
          <w:spacing w:val="2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24"/>
        </w:rPr>
        <w:t xml:space="preserve"> </w:t>
      </w:r>
      <w:r>
        <w:rPr>
          <w:color w:val="000000"/>
        </w:rPr>
        <w:t>p</w:t>
      </w:r>
      <w:r>
        <w:rPr>
          <w:color w:val="000000"/>
          <w:spacing w:val="9"/>
        </w:rPr>
        <w:t>o</w:t>
      </w:r>
      <w:r>
        <w:rPr>
          <w:color w:val="000000"/>
          <w:spacing w:val="-4"/>
        </w:rPr>
        <w:t>li</w:t>
      </w:r>
      <w:r>
        <w:rPr>
          <w:color w:val="000000"/>
          <w:spacing w:val="4"/>
        </w:rPr>
        <w:t>c</w:t>
      </w:r>
      <w:r>
        <w:rPr>
          <w:color w:val="000000"/>
        </w:rPr>
        <w:t>i</w:t>
      </w:r>
      <w:r>
        <w:rPr>
          <w:color w:val="000000"/>
          <w:spacing w:val="-9"/>
        </w:rPr>
        <w:t>j</w:t>
      </w:r>
      <w:r>
        <w:rPr>
          <w:color w:val="000000"/>
          <w:spacing w:val="5"/>
        </w:rPr>
        <w:t>o</w:t>
      </w:r>
      <w:r>
        <w:rPr>
          <w:color w:val="000000"/>
        </w:rPr>
        <w:t>s</w:t>
      </w:r>
      <w:r>
        <w:rPr>
          <w:color w:val="000000"/>
          <w:spacing w:val="24"/>
        </w:rPr>
        <w:t xml:space="preserve"> </w:t>
      </w:r>
      <w:r>
        <w:rPr>
          <w:color w:val="000000"/>
        </w:rPr>
        <w:t>k</w:t>
      </w:r>
      <w:r>
        <w:rPr>
          <w:color w:val="000000"/>
          <w:spacing w:val="6"/>
        </w:rPr>
        <w:t>r</w:t>
      </w:r>
      <w:r>
        <w:rPr>
          <w:color w:val="000000"/>
        </w:rPr>
        <w:t>i</w:t>
      </w:r>
      <w:r>
        <w:rPr>
          <w:color w:val="000000"/>
          <w:spacing w:val="1"/>
        </w:rPr>
        <w:t>m</w:t>
      </w:r>
      <w:r>
        <w:rPr>
          <w:color w:val="000000"/>
          <w:spacing w:val="-4"/>
        </w:rPr>
        <w:t>i</w:t>
      </w:r>
      <w:r>
        <w:rPr>
          <w:color w:val="000000"/>
        </w:rPr>
        <w:t>n</w:t>
      </w:r>
      <w:r>
        <w:rPr>
          <w:color w:val="000000"/>
          <w:spacing w:val="4"/>
        </w:rPr>
        <w:t>a</w:t>
      </w:r>
      <w:r>
        <w:rPr>
          <w:color w:val="000000"/>
        </w:rPr>
        <w:t>l</w:t>
      </w:r>
      <w:r>
        <w:rPr>
          <w:color w:val="000000"/>
          <w:spacing w:val="-4"/>
        </w:rPr>
        <w:t>i</w:t>
      </w:r>
      <w:r>
        <w:rPr>
          <w:color w:val="000000"/>
          <w:spacing w:val="-2"/>
        </w:rPr>
        <w:t>s</w:t>
      </w:r>
      <w:r>
        <w:rPr>
          <w:color w:val="000000"/>
          <w:spacing w:val="10"/>
        </w:rPr>
        <w:t>t</w:t>
      </w:r>
      <w:r>
        <w:rPr>
          <w:color w:val="000000"/>
          <w:spacing w:val="-4"/>
        </w:rPr>
        <w:t>i</w:t>
      </w:r>
      <w:r>
        <w:rPr>
          <w:color w:val="000000"/>
        </w:rPr>
        <w:t>n</w:t>
      </w:r>
      <w:r>
        <w:rPr>
          <w:color w:val="000000"/>
          <w:spacing w:val="-4"/>
        </w:rPr>
        <w:t>i</w:t>
      </w:r>
      <w:r>
        <w:rPr>
          <w:color w:val="000000"/>
        </w:rPr>
        <w:t>ų</w:t>
      </w:r>
      <w:r>
        <w:rPr>
          <w:color w:val="000000"/>
          <w:spacing w:val="26"/>
        </w:rPr>
        <w:t xml:space="preserve"> </w:t>
      </w:r>
      <w:r>
        <w:rPr>
          <w:color w:val="000000"/>
          <w:spacing w:val="10"/>
        </w:rPr>
        <w:t>t</w:t>
      </w:r>
      <w:r>
        <w:rPr>
          <w:color w:val="000000"/>
          <w:spacing w:val="-10"/>
        </w:rPr>
        <w:t>y</w:t>
      </w:r>
      <w:r>
        <w:rPr>
          <w:color w:val="000000"/>
          <w:spacing w:val="6"/>
        </w:rPr>
        <w:t>r</w:t>
      </w:r>
      <w:r>
        <w:rPr>
          <w:color w:val="000000"/>
          <w:spacing w:val="-4"/>
        </w:rPr>
        <w:t>i</w:t>
      </w:r>
      <w:r>
        <w:rPr>
          <w:color w:val="000000"/>
        </w:rPr>
        <w:t xml:space="preserve">mų </w:t>
      </w:r>
      <w:r>
        <w:rPr>
          <w:color w:val="000000"/>
          <w:spacing w:val="-1"/>
        </w:rPr>
        <w:t>ce</w:t>
      </w:r>
      <w:r>
        <w:rPr>
          <w:color w:val="000000"/>
          <w:spacing w:val="-5"/>
        </w:rPr>
        <w:t>n</w:t>
      </w:r>
      <w:r>
        <w:rPr>
          <w:color w:val="000000"/>
          <w:spacing w:val="5"/>
        </w:rPr>
        <w:t>t</w:t>
      </w:r>
      <w:r>
        <w:rPr>
          <w:color w:val="000000"/>
          <w:spacing w:val="1"/>
        </w:rPr>
        <w:t>r</w:t>
      </w:r>
      <w:r>
        <w:rPr>
          <w:color w:val="000000"/>
        </w:rPr>
        <w:t>o</w:t>
      </w:r>
      <w:r>
        <w:rPr>
          <w:color w:val="000000"/>
          <w:spacing w:val="4"/>
        </w:rPr>
        <w:t xml:space="preserve"> </w:t>
      </w:r>
      <w:r>
        <w:rPr>
          <w:color w:val="000000"/>
          <w:spacing w:val="-6"/>
        </w:rPr>
        <w:t>a</w:t>
      </w:r>
      <w:r>
        <w:rPr>
          <w:color w:val="000000"/>
          <w:spacing w:val="5"/>
        </w:rPr>
        <w:t>t</w:t>
      </w:r>
      <w:r>
        <w:rPr>
          <w:color w:val="000000"/>
          <w:spacing w:val="-4"/>
        </w:rPr>
        <w:t>li</w:t>
      </w:r>
      <w:r>
        <w:rPr>
          <w:color w:val="000000"/>
        </w:rPr>
        <w:t>k</w:t>
      </w:r>
      <w:r>
        <w:rPr>
          <w:color w:val="000000"/>
          <w:spacing w:val="5"/>
        </w:rPr>
        <w:t>t</w:t>
      </w:r>
      <w:r>
        <w:rPr>
          <w:color w:val="000000"/>
          <w:spacing w:val="4"/>
        </w:rPr>
        <w:t>a</w:t>
      </w:r>
      <w:r>
        <w:rPr>
          <w:color w:val="000000"/>
          <w:spacing w:val="-9"/>
        </w:rPr>
        <w:t>i</w:t>
      </w:r>
      <w:r>
        <w:rPr>
          <w:color w:val="000000"/>
        </w:rPr>
        <w:t>s</w:t>
      </w:r>
      <w:r>
        <w:rPr>
          <w:color w:val="000000"/>
          <w:spacing w:val="1"/>
        </w:rPr>
        <w:t xml:space="preserve"> </w:t>
      </w:r>
      <w:r>
        <w:rPr>
          <w:color w:val="000000"/>
          <w:spacing w:val="10"/>
        </w:rPr>
        <w:t>t</w:t>
      </w:r>
      <w:r>
        <w:rPr>
          <w:color w:val="000000"/>
          <w:spacing w:val="-10"/>
        </w:rPr>
        <w:t>y</w:t>
      </w:r>
      <w:r>
        <w:rPr>
          <w:color w:val="000000"/>
          <w:spacing w:val="6"/>
        </w:rPr>
        <w:t>r</w:t>
      </w:r>
      <w:r>
        <w:rPr>
          <w:color w:val="000000"/>
          <w:spacing w:val="-4"/>
        </w:rPr>
        <w:t>im</w:t>
      </w:r>
      <w:r>
        <w:rPr>
          <w:color w:val="000000"/>
          <w:spacing w:val="4"/>
        </w:rPr>
        <w:t>a</w:t>
      </w:r>
      <w:r>
        <w:rPr>
          <w:color w:val="000000"/>
          <w:spacing w:val="-4"/>
        </w:rPr>
        <w:t>i</w:t>
      </w:r>
      <w:r>
        <w:rPr>
          <w:color w:val="000000"/>
        </w:rPr>
        <w:t>s</w:t>
      </w:r>
      <w:r>
        <w:rPr>
          <w:color w:val="000000"/>
          <w:spacing w:val="1"/>
        </w:rPr>
        <w:t xml:space="preserve"> </w:t>
      </w:r>
      <w:r>
        <w:rPr>
          <w:color w:val="000000"/>
        </w:rPr>
        <w:t>2012</w:t>
      </w:r>
      <w:r>
        <w:rPr>
          <w:color w:val="000000"/>
          <w:spacing w:val="4"/>
        </w:rPr>
        <w:t xml:space="preserve"> </w:t>
      </w:r>
      <w:r>
        <w:rPr>
          <w:color w:val="000000"/>
          <w:spacing w:val="-4"/>
        </w:rPr>
        <w:t>m</w:t>
      </w:r>
      <w:r>
        <w:rPr>
          <w:color w:val="000000"/>
        </w:rPr>
        <w:t>.</w:t>
      </w:r>
      <w:r>
        <w:rPr>
          <w:color w:val="000000"/>
          <w:spacing w:val="1"/>
        </w:rPr>
        <w:t xml:space="preserve"> </w:t>
      </w:r>
      <w:r>
        <w:rPr>
          <w:color w:val="000000"/>
          <w:spacing w:val="8"/>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3"/>
        </w:rPr>
        <w:t xml:space="preserve"> </w:t>
      </w:r>
      <w:r>
        <w:rPr>
          <w:color w:val="000000"/>
        </w:rPr>
        <w:t>k</w:t>
      </w:r>
      <w:r>
        <w:rPr>
          <w:color w:val="000000"/>
          <w:spacing w:val="4"/>
        </w:rPr>
        <w:t>a</w:t>
      </w:r>
      <w:r>
        <w:rPr>
          <w:color w:val="000000"/>
          <w:spacing w:val="-4"/>
        </w:rPr>
        <w:t>i</w:t>
      </w:r>
      <w:r>
        <w:rPr>
          <w:color w:val="000000"/>
        </w:rPr>
        <w:t>p</w:t>
      </w:r>
      <w:r>
        <w:rPr>
          <w:color w:val="000000"/>
          <w:spacing w:val="8"/>
        </w:rPr>
        <w:t xml:space="preserve"> </w:t>
      </w:r>
      <w:r>
        <w:rPr>
          <w:color w:val="000000"/>
          <w:spacing w:val="-9"/>
        </w:rPr>
        <w:t>i</w:t>
      </w:r>
      <w:r>
        <w:rPr>
          <w:color w:val="000000"/>
        </w:rPr>
        <w:t>r 201</w:t>
      </w:r>
      <w:r>
        <w:rPr>
          <w:color w:val="000000"/>
          <w:spacing w:val="3"/>
        </w:rPr>
        <w:t>0</w:t>
      </w:r>
      <w:r>
        <w:rPr>
          <w:color w:val="000000"/>
        </w:rPr>
        <w:t>–2011</w:t>
      </w:r>
      <w:r>
        <w:rPr>
          <w:color w:val="000000"/>
          <w:spacing w:val="4"/>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spacing w:val="-1"/>
        </w:rPr>
        <w:t>s</w:t>
      </w:r>
      <w:r>
        <w:rPr>
          <w:color w:val="000000"/>
        </w:rPr>
        <w:t>,</w:t>
      </w:r>
      <w:r>
        <w:rPr>
          <w:color w:val="000000"/>
          <w:spacing w:val="6"/>
        </w:rPr>
        <w:t xml:space="preserve"> </w:t>
      </w:r>
      <w:r>
        <w:rPr>
          <w:color w:val="000000"/>
          <w:spacing w:val="-4"/>
        </w:rPr>
        <w:t>i</w:t>
      </w:r>
      <w:r>
        <w:rPr>
          <w:color w:val="000000"/>
        </w:rPr>
        <w:t>š</w:t>
      </w:r>
      <w:r>
        <w:rPr>
          <w:color w:val="000000"/>
          <w:spacing w:val="2"/>
        </w:rPr>
        <w:t xml:space="preserve"> </w:t>
      </w:r>
      <w:r>
        <w:rPr>
          <w:color w:val="000000"/>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5"/>
        </w:rPr>
        <w:t>o</w:t>
      </w:r>
      <w:r>
        <w:rPr>
          <w:color w:val="000000"/>
        </w:rPr>
        <w:t>s</w:t>
      </w:r>
      <w:r>
        <w:rPr>
          <w:color w:val="000000"/>
          <w:spacing w:val="2"/>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4"/>
        </w:rPr>
        <w:t>i</w:t>
      </w:r>
      <w:r>
        <w:rPr>
          <w:color w:val="000000"/>
        </w:rPr>
        <w:t xml:space="preserve">ų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7"/>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to</w:t>
      </w:r>
      <w:r>
        <w:rPr>
          <w:color w:val="000000"/>
        </w:rPr>
        <w:t xml:space="preserve">s </w:t>
      </w:r>
      <w:r>
        <w:rPr>
          <w:color w:val="000000"/>
          <w:spacing w:val="5"/>
        </w:rPr>
        <w:t>t</w:t>
      </w:r>
      <w:r>
        <w:rPr>
          <w:color w:val="000000"/>
          <w:spacing w:val="-1"/>
        </w:rPr>
        <w:t>e</w:t>
      </w:r>
      <w:r>
        <w:rPr>
          <w:color w:val="000000"/>
          <w:spacing w:val="-4"/>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5"/>
        </w:rPr>
        <w:t>o</w:t>
      </w:r>
      <w:r>
        <w:rPr>
          <w:color w:val="000000"/>
        </w:rPr>
        <w:t>s</w:t>
      </w:r>
      <w:r>
        <w:rPr>
          <w:color w:val="000000"/>
          <w:spacing w:val="10"/>
        </w:rPr>
        <w:t xml:space="preserve"> </w:t>
      </w:r>
      <w:r>
        <w:rPr>
          <w:color w:val="000000"/>
          <w:spacing w:val="-4"/>
        </w:rPr>
        <w:t>i</w:t>
      </w:r>
      <w:r>
        <w:rPr>
          <w:color w:val="000000"/>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w:t>
      </w:r>
      <w:r>
        <w:rPr>
          <w:color w:val="000000"/>
          <w:spacing w:val="-9"/>
        </w:rPr>
        <w:t>j</w:t>
      </w:r>
      <w:r>
        <w:rPr>
          <w:color w:val="000000"/>
          <w:spacing w:val="5"/>
        </w:rPr>
        <w:t>o</w:t>
      </w:r>
      <w:r>
        <w:rPr>
          <w:color w:val="000000"/>
        </w:rPr>
        <w:t>s</w:t>
      </w:r>
      <w:r>
        <w:rPr>
          <w:color w:val="000000"/>
          <w:spacing w:val="5"/>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rPr>
        <w:t>u</w:t>
      </w:r>
      <w:r>
        <w:rPr>
          <w:color w:val="000000"/>
          <w:spacing w:val="12"/>
        </w:rPr>
        <w:t xml:space="preserve"> </w:t>
      </w:r>
      <w:r>
        <w:rPr>
          <w:color w:val="000000"/>
          <w:spacing w:val="-4"/>
        </w:rPr>
        <w:t>i</w:t>
      </w:r>
      <w:r>
        <w:rPr>
          <w:color w:val="000000"/>
          <w:spacing w:val="-2"/>
        </w:rPr>
        <w:t>š</w:t>
      </w:r>
      <w:r>
        <w:rPr>
          <w:color w:val="000000"/>
          <w:spacing w:val="4"/>
        </w:rPr>
        <w:t>ė</w:t>
      </w:r>
      <w:r>
        <w:rPr>
          <w:color w:val="000000"/>
          <w:spacing w:val="-4"/>
        </w:rPr>
        <w:t>m</w:t>
      </w:r>
      <w:r>
        <w:rPr>
          <w:color w:val="000000"/>
        </w:rPr>
        <w:t>ė</w:t>
      </w:r>
      <w:r>
        <w:rPr>
          <w:color w:val="000000"/>
          <w:spacing w:val="11"/>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ą</w:t>
      </w:r>
      <w:r>
        <w:rPr>
          <w:color w:val="000000"/>
        </w:rPr>
        <w:t>,</w:t>
      </w:r>
      <w:r>
        <w:rPr>
          <w:color w:val="000000"/>
          <w:spacing w:val="9"/>
        </w:rPr>
        <w:t xml:space="preserve"> </w:t>
      </w:r>
      <w:r>
        <w:rPr>
          <w:color w:val="000000"/>
          <w:spacing w:val="-5"/>
        </w:rPr>
        <w:t>n</w:t>
      </w:r>
      <w:r>
        <w:rPr>
          <w:color w:val="000000"/>
          <w:spacing w:val="-1"/>
        </w:rPr>
        <w:t>e</w:t>
      </w:r>
      <w:r>
        <w:rPr>
          <w:color w:val="000000"/>
        </w:rPr>
        <w:t>gu</w:t>
      </w:r>
      <w:r>
        <w:rPr>
          <w:color w:val="000000"/>
          <w:spacing w:val="7"/>
        </w:rPr>
        <w:t xml:space="preserve"> </w:t>
      </w:r>
      <w:r>
        <w:rPr>
          <w:color w:val="000000"/>
          <w:spacing w:val="4"/>
        </w:rPr>
        <w:t>a</w:t>
      </w:r>
      <w:r>
        <w:rPr>
          <w:color w:val="000000"/>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ną</w:t>
      </w:r>
      <w:r>
        <w:rPr>
          <w:color w:val="000000"/>
          <w:spacing w:val="6"/>
        </w:rPr>
        <w:t xml:space="preserve"> </w:t>
      </w:r>
      <w:r>
        <w:rPr>
          <w:color w:val="000000"/>
          <w:spacing w:val="-1"/>
        </w:rPr>
        <w:t>a</w:t>
      </w:r>
      <w:r>
        <w:rPr>
          <w:color w:val="000000"/>
        </w:rPr>
        <w:t xml:space="preserve">r </w:t>
      </w:r>
      <w:r>
        <w:rPr>
          <w:color w:val="000000"/>
          <w:spacing w:val="-1"/>
        </w:rPr>
        <w:t>ec</w:t>
      </w:r>
      <w:r>
        <w:rPr>
          <w:color w:val="000000"/>
          <w:spacing w:val="-2"/>
        </w:rPr>
        <w:t>s</w:t>
      </w:r>
      <w:r>
        <w:rPr>
          <w:color w:val="000000"/>
          <w:spacing w:val="5"/>
        </w:rPr>
        <w:t>t</w:t>
      </w:r>
      <w:r>
        <w:rPr>
          <w:color w:val="000000"/>
          <w:spacing w:val="-1"/>
        </w:rPr>
        <w:t>a</w:t>
      </w:r>
      <w:r>
        <w:rPr>
          <w:color w:val="000000"/>
          <w:spacing w:val="2"/>
        </w:rPr>
        <w:t>s</w:t>
      </w:r>
      <w:r>
        <w:rPr>
          <w:color w:val="000000"/>
          <w:spacing w:val="-10"/>
        </w:rPr>
        <w:t>y</w:t>
      </w:r>
      <w:r>
        <w:rPr>
          <w:color w:val="000000"/>
        </w:rPr>
        <w:t>.</w:t>
      </w:r>
      <w:r>
        <w:rPr>
          <w:color w:val="000000"/>
          <w:spacing w:val="24"/>
        </w:rPr>
        <w:t xml:space="preserve"> </w:t>
      </w:r>
      <w:r>
        <w:rPr>
          <w:color w:val="000000"/>
          <w:spacing w:val="2"/>
        </w:rPr>
        <w:t>T</w:t>
      </w:r>
      <w:r>
        <w:rPr>
          <w:color w:val="000000"/>
          <w:spacing w:val="-1"/>
        </w:rPr>
        <w:t>a</w:t>
      </w:r>
      <w:r>
        <w:rPr>
          <w:color w:val="000000"/>
          <w:spacing w:val="4"/>
        </w:rPr>
        <w:t>č</w:t>
      </w:r>
      <w:r>
        <w:rPr>
          <w:color w:val="000000"/>
          <w:spacing w:val="-4"/>
        </w:rPr>
        <w:t>i</w:t>
      </w:r>
      <w:r>
        <w:rPr>
          <w:color w:val="000000"/>
          <w:spacing w:val="-1"/>
        </w:rPr>
        <w:t>a</w:t>
      </w:r>
      <w:r>
        <w:rPr>
          <w:color w:val="000000"/>
        </w:rPr>
        <w:t>u</w:t>
      </w:r>
      <w:r>
        <w:rPr>
          <w:color w:val="000000"/>
          <w:spacing w:val="26"/>
        </w:rPr>
        <w:t xml:space="preserve"> </w:t>
      </w:r>
      <w:r>
        <w:rPr>
          <w:color w:val="000000"/>
          <w:spacing w:val="1"/>
        </w:rPr>
        <w:t>r</w:t>
      </w:r>
      <w:r>
        <w:rPr>
          <w:color w:val="000000"/>
          <w:spacing w:val="4"/>
        </w:rPr>
        <w:t>e</w:t>
      </w:r>
      <w:r>
        <w:rPr>
          <w:color w:val="000000"/>
          <w:spacing w:val="-4"/>
        </w:rPr>
        <w:t>i</w:t>
      </w:r>
      <w:r>
        <w:rPr>
          <w:color w:val="000000"/>
        </w:rPr>
        <w:t>k</w:t>
      </w:r>
      <w:r>
        <w:rPr>
          <w:color w:val="000000"/>
          <w:spacing w:val="-1"/>
        </w:rPr>
        <w:t>ė</w:t>
      </w:r>
      <w:r>
        <w:rPr>
          <w:color w:val="000000"/>
          <w:spacing w:val="5"/>
        </w:rPr>
        <w:t>t</w:t>
      </w:r>
      <w:r>
        <w:rPr>
          <w:color w:val="000000"/>
        </w:rPr>
        <w:t>ų</w:t>
      </w:r>
      <w:r>
        <w:rPr>
          <w:color w:val="000000"/>
          <w:spacing w:val="21"/>
        </w:rPr>
        <w:t xml:space="preserve"> </w:t>
      </w:r>
      <w:r>
        <w:rPr>
          <w:color w:val="000000"/>
          <w:spacing w:val="-1"/>
        </w:rPr>
        <w:t>a</w:t>
      </w:r>
      <w:r>
        <w:rPr>
          <w:color w:val="000000"/>
          <w:spacing w:val="5"/>
        </w:rPr>
        <w:t>t</w:t>
      </w:r>
      <w:r>
        <w:rPr>
          <w:color w:val="000000"/>
        </w:rPr>
        <w:t>k</w:t>
      </w:r>
      <w:r>
        <w:rPr>
          <w:color w:val="000000"/>
          <w:spacing w:val="1"/>
        </w:rPr>
        <w:t>r</w:t>
      </w:r>
      <w:r>
        <w:rPr>
          <w:color w:val="000000"/>
          <w:spacing w:val="-1"/>
        </w:rPr>
        <w:t>e</w:t>
      </w:r>
      <w:r>
        <w:rPr>
          <w:color w:val="000000"/>
          <w:spacing w:val="-9"/>
        </w:rPr>
        <w:t>i</w:t>
      </w:r>
      <w:r>
        <w:rPr>
          <w:color w:val="000000"/>
        </w:rPr>
        <w:t>p</w:t>
      </w:r>
      <w:r>
        <w:rPr>
          <w:color w:val="000000"/>
          <w:spacing w:val="10"/>
        </w:rPr>
        <w:t>t</w:t>
      </w:r>
      <w:r>
        <w:rPr>
          <w:color w:val="000000"/>
        </w:rPr>
        <w:t>i</w:t>
      </w:r>
      <w:r>
        <w:rPr>
          <w:color w:val="000000"/>
          <w:spacing w:val="12"/>
        </w:rPr>
        <w:t xml:space="preserve"> </w:t>
      </w:r>
      <w:r>
        <w:rPr>
          <w:color w:val="000000"/>
        </w:rPr>
        <w:t>d</w:t>
      </w:r>
      <w:r>
        <w:rPr>
          <w:color w:val="000000"/>
          <w:spacing w:val="4"/>
        </w:rPr>
        <w:t>ė</w:t>
      </w:r>
      <w:r>
        <w:rPr>
          <w:color w:val="000000"/>
          <w:spacing w:val="-4"/>
        </w:rPr>
        <w:t>m</w:t>
      </w:r>
      <w:r>
        <w:rPr>
          <w:color w:val="000000"/>
          <w:spacing w:val="4"/>
        </w:rPr>
        <w:t>e</w:t>
      </w:r>
      <w:r>
        <w:rPr>
          <w:color w:val="000000"/>
          <w:spacing w:val="2"/>
        </w:rPr>
        <w:t>s</w:t>
      </w:r>
      <w:r>
        <w:rPr>
          <w:color w:val="000000"/>
        </w:rPr>
        <w:t>į</w:t>
      </w:r>
      <w:r>
        <w:rPr>
          <w:color w:val="000000"/>
          <w:spacing w:val="22"/>
        </w:rPr>
        <w:t xml:space="preserve"> </w:t>
      </w:r>
      <w:r>
        <w:rPr>
          <w:color w:val="000000"/>
        </w:rPr>
        <w:t>į</w:t>
      </w:r>
      <w:r>
        <w:rPr>
          <w:color w:val="000000"/>
          <w:spacing w:val="17"/>
        </w:rPr>
        <w:t xml:space="preserve"> </w:t>
      </w:r>
      <w:r>
        <w:rPr>
          <w:color w:val="000000"/>
          <w:spacing w:val="5"/>
        </w:rPr>
        <w:t>t</w:t>
      </w:r>
      <w:r>
        <w:rPr>
          <w:color w:val="000000"/>
          <w:spacing w:val="4"/>
        </w:rPr>
        <w:t>a</w:t>
      </w:r>
      <w:r>
        <w:rPr>
          <w:color w:val="000000"/>
          <w:spacing w:val="-9"/>
        </w:rPr>
        <w:t>i</w:t>
      </w:r>
      <w:r>
        <w:rPr>
          <w:color w:val="000000"/>
        </w:rPr>
        <w:t>,</w:t>
      </w:r>
      <w:r>
        <w:rPr>
          <w:color w:val="000000"/>
          <w:spacing w:val="28"/>
        </w:rPr>
        <w:t xml:space="preserve"> </w:t>
      </w:r>
      <w:r>
        <w:rPr>
          <w:color w:val="000000"/>
        </w:rPr>
        <w:t>k</w:t>
      </w:r>
      <w:r>
        <w:rPr>
          <w:color w:val="000000"/>
          <w:spacing w:val="-1"/>
        </w:rPr>
        <w:t>a</w:t>
      </w:r>
      <w:r>
        <w:rPr>
          <w:color w:val="000000"/>
        </w:rPr>
        <w:t>d</w:t>
      </w:r>
      <w:r>
        <w:rPr>
          <w:color w:val="000000"/>
          <w:spacing w:val="26"/>
        </w:rPr>
        <w:t xml:space="preserve"> </w:t>
      </w:r>
      <w:r>
        <w:rPr>
          <w:color w:val="000000"/>
        </w:rPr>
        <w:t>k</w:t>
      </w:r>
      <w:r>
        <w:rPr>
          <w:color w:val="000000"/>
          <w:spacing w:val="-1"/>
        </w:rPr>
        <w:t>a</w:t>
      </w:r>
      <w:r>
        <w:rPr>
          <w:color w:val="000000"/>
          <w:spacing w:val="1"/>
        </w:rPr>
        <w:t>r</w:t>
      </w:r>
      <w:r>
        <w:rPr>
          <w:color w:val="000000"/>
          <w:spacing w:val="5"/>
        </w:rPr>
        <w:t>t</w:t>
      </w:r>
      <w:r>
        <w:rPr>
          <w:color w:val="000000"/>
          <w:spacing w:val="-1"/>
        </w:rPr>
        <w:t>a</w:t>
      </w:r>
      <w:r>
        <w:rPr>
          <w:color w:val="000000"/>
          <w:spacing w:val="-4"/>
        </w:rPr>
        <w:t>i</w:t>
      </w:r>
      <w:r>
        <w:rPr>
          <w:color w:val="000000"/>
        </w:rPr>
        <w:t>s</w:t>
      </w:r>
      <w:r>
        <w:rPr>
          <w:color w:val="000000"/>
          <w:spacing w:val="19"/>
        </w:rPr>
        <w:t xml:space="preserve"> </w:t>
      </w:r>
      <w:r>
        <w:rPr>
          <w:color w:val="000000"/>
        </w:rPr>
        <w:t>d</w:t>
      </w:r>
      <w:r>
        <w:rPr>
          <w:color w:val="000000"/>
          <w:spacing w:val="4"/>
        </w:rPr>
        <w:t>ė</w:t>
      </w:r>
      <w:r>
        <w:rPr>
          <w:color w:val="000000"/>
        </w:rPr>
        <w:t>l</w:t>
      </w:r>
      <w:r>
        <w:rPr>
          <w:color w:val="000000"/>
          <w:spacing w:val="22"/>
        </w:rPr>
        <w:t xml:space="preserve"> </w:t>
      </w:r>
      <w:r>
        <w:rPr>
          <w:color w:val="000000"/>
        </w:rPr>
        <w:t>p</w:t>
      </w:r>
      <w:r>
        <w:rPr>
          <w:color w:val="000000"/>
          <w:spacing w:val="4"/>
        </w:rPr>
        <w:t>a</w:t>
      </w:r>
      <w:r>
        <w:rPr>
          <w:color w:val="000000"/>
          <w:spacing w:val="-5"/>
        </w:rPr>
        <w:t>n</w:t>
      </w:r>
      <w:r>
        <w:rPr>
          <w:color w:val="000000"/>
          <w:spacing w:val="4"/>
        </w:rPr>
        <w:t>a</w:t>
      </w:r>
      <w:r>
        <w:rPr>
          <w:color w:val="000000"/>
          <w:spacing w:val="-2"/>
        </w:rPr>
        <w:t>š</w:t>
      </w:r>
      <w:r>
        <w:rPr>
          <w:color w:val="000000"/>
          <w:spacing w:val="-1"/>
        </w:rPr>
        <w:t>a</w:t>
      </w:r>
      <w:r>
        <w:rPr>
          <w:color w:val="000000"/>
        </w:rPr>
        <w:t>us</w:t>
      </w:r>
      <w:r>
        <w:rPr>
          <w:color w:val="000000"/>
          <w:spacing w:val="24"/>
        </w:rPr>
        <w:t xml:space="preserve"> </w:t>
      </w:r>
      <w:r>
        <w:rPr>
          <w:color w:val="000000"/>
        </w:rPr>
        <w:t>p</w:t>
      </w:r>
      <w:r>
        <w:rPr>
          <w:color w:val="000000"/>
          <w:spacing w:val="5"/>
        </w:rPr>
        <w:t>o</w:t>
      </w:r>
      <w:r>
        <w:rPr>
          <w:color w:val="000000"/>
          <w:spacing w:val="-5"/>
        </w:rPr>
        <w:t>v</w:t>
      </w:r>
      <w:r>
        <w:rPr>
          <w:color w:val="000000"/>
          <w:spacing w:val="4"/>
        </w:rPr>
        <w:t>e</w:t>
      </w:r>
      <w:r>
        <w:rPr>
          <w:color w:val="000000"/>
          <w:spacing w:val="-4"/>
        </w:rPr>
        <w:t>i</w:t>
      </w:r>
      <w:r>
        <w:rPr>
          <w:color w:val="000000"/>
          <w:spacing w:val="5"/>
        </w:rPr>
        <w:t>k</w:t>
      </w:r>
      <w:r>
        <w:rPr>
          <w:color w:val="000000"/>
          <w:spacing w:val="-9"/>
        </w:rPr>
        <w:t>i</w:t>
      </w:r>
      <w:r>
        <w:rPr>
          <w:color w:val="000000"/>
        </w:rPr>
        <w:t>o</w:t>
      </w:r>
      <w:r>
        <w:rPr>
          <w:color w:val="000000"/>
          <w:spacing w:val="31"/>
        </w:rPr>
        <w:t xml:space="preserve"> </w:t>
      </w:r>
      <w:r>
        <w:rPr>
          <w:color w:val="000000"/>
          <w:spacing w:val="-4"/>
        </w:rPr>
        <w:t>i</w:t>
      </w:r>
      <w:r>
        <w:rPr>
          <w:color w:val="000000"/>
        </w:rPr>
        <w:t>r</w:t>
      </w:r>
      <w:r>
        <w:rPr>
          <w:color w:val="000000"/>
          <w:spacing w:val="28"/>
        </w:rPr>
        <w:t xml:space="preserve"> </w:t>
      </w:r>
      <w:r>
        <w:rPr>
          <w:color w:val="000000"/>
          <w:spacing w:val="-5"/>
        </w:rPr>
        <w:t>b</w:t>
      </w:r>
      <w:r>
        <w:rPr>
          <w:color w:val="000000"/>
          <w:spacing w:val="4"/>
        </w:rPr>
        <w:t>e</w:t>
      </w:r>
      <w:r>
        <w:rPr>
          <w:color w:val="000000"/>
          <w:spacing w:val="-5"/>
        </w:rPr>
        <w:t>v</w:t>
      </w:r>
      <w:r>
        <w:rPr>
          <w:color w:val="000000"/>
          <w:spacing w:val="4"/>
        </w:rPr>
        <w:t>e</w:t>
      </w:r>
      <w:r>
        <w:rPr>
          <w:color w:val="000000"/>
          <w:spacing w:val="-4"/>
        </w:rPr>
        <w:t>i</w:t>
      </w:r>
      <w:r>
        <w:rPr>
          <w:color w:val="000000"/>
        </w:rPr>
        <w:t>k</w:t>
      </w:r>
      <w:r>
        <w:rPr>
          <w:color w:val="000000"/>
          <w:spacing w:val="31"/>
        </w:rPr>
        <w:t xml:space="preserve"> </w:t>
      </w:r>
      <w:r>
        <w:rPr>
          <w:color w:val="000000"/>
        </w:rPr>
        <w:t>v</w:t>
      </w:r>
      <w:r>
        <w:rPr>
          <w:color w:val="000000"/>
          <w:spacing w:val="-4"/>
        </w:rPr>
        <w:t>i</w:t>
      </w:r>
      <w:r>
        <w:rPr>
          <w:color w:val="000000"/>
          <w:spacing w:val="4"/>
        </w:rPr>
        <w:t>e</w:t>
      </w:r>
      <w:r>
        <w:rPr>
          <w:color w:val="000000"/>
          <w:spacing w:val="-5"/>
        </w:rPr>
        <w:t>n</w:t>
      </w:r>
      <w:r>
        <w:rPr>
          <w:color w:val="000000"/>
          <w:spacing w:val="5"/>
        </w:rPr>
        <w:t>o</w:t>
      </w:r>
      <w:r>
        <w:rPr>
          <w:color w:val="000000"/>
        </w:rPr>
        <w:t>dų k</w:t>
      </w:r>
      <w:r>
        <w:rPr>
          <w:color w:val="000000"/>
          <w:spacing w:val="4"/>
        </w:rPr>
        <w:t>a</w:t>
      </w:r>
      <w:r>
        <w:rPr>
          <w:color w:val="000000"/>
          <w:spacing w:val="-4"/>
        </w:rPr>
        <w:t>in</w:t>
      </w:r>
      <w:r>
        <w:rPr>
          <w:color w:val="000000"/>
        </w:rPr>
        <w:t>ų</w:t>
      </w:r>
      <w:r>
        <w:rPr>
          <w:color w:val="000000"/>
          <w:spacing w:val="7"/>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spacing w:val="4"/>
        </w:rPr>
        <w:t>a</w:t>
      </w:r>
      <w:r>
        <w:rPr>
          <w:color w:val="000000"/>
        </w:rPr>
        <w:t>i</w:t>
      </w:r>
      <w:r>
        <w:rPr>
          <w:color w:val="000000"/>
          <w:spacing w:val="-2"/>
        </w:rPr>
        <w:t xml:space="preserve"> </w:t>
      </w:r>
      <w:r>
        <w:rPr>
          <w:color w:val="000000"/>
        </w:rPr>
        <w:t>g</w:t>
      </w:r>
      <w:r>
        <w:rPr>
          <w:color w:val="000000"/>
          <w:spacing w:val="4"/>
        </w:rPr>
        <w:t>a</w:t>
      </w:r>
      <w:r>
        <w:rPr>
          <w:color w:val="000000"/>
        </w:rPr>
        <w:t>li</w:t>
      </w:r>
      <w:r>
        <w:rPr>
          <w:color w:val="000000"/>
          <w:spacing w:val="3"/>
        </w:rPr>
        <w:t xml:space="preserve"> </w:t>
      </w:r>
      <w:r>
        <w:rPr>
          <w:color w:val="000000"/>
          <w:spacing w:val="-4"/>
        </w:rPr>
        <w:t>i</w:t>
      </w:r>
      <w:r>
        <w:rPr>
          <w:color w:val="000000"/>
        </w:rPr>
        <w:t>r</w:t>
      </w:r>
      <w:r>
        <w:rPr>
          <w:color w:val="000000"/>
          <w:spacing w:val="8"/>
        </w:rPr>
        <w:t xml:space="preserve"> </w:t>
      </w:r>
      <w:r>
        <w:rPr>
          <w:color w:val="000000"/>
          <w:spacing w:val="-5"/>
        </w:rPr>
        <w:t>n</w:t>
      </w:r>
      <w:r>
        <w:rPr>
          <w:color w:val="000000"/>
          <w:spacing w:val="-1"/>
        </w:rPr>
        <w:t>ea</w:t>
      </w:r>
      <w:r>
        <w:rPr>
          <w:color w:val="000000"/>
          <w:spacing w:val="5"/>
        </w:rPr>
        <w:t>t</w:t>
      </w:r>
      <w:r>
        <w:rPr>
          <w:color w:val="000000"/>
          <w:spacing w:val="-2"/>
        </w:rPr>
        <w:t>s</w:t>
      </w:r>
      <w:r>
        <w:rPr>
          <w:color w:val="000000"/>
          <w:spacing w:val="5"/>
        </w:rPr>
        <w:t>k</w:t>
      </w:r>
      <w:r>
        <w:rPr>
          <w:color w:val="000000"/>
          <w:spacing w:val="-9"/>
        </w:rPr>
        <w:t>i</w:t>
      </w:r>
      <w:r>
        <w:rPr>
          <w:color w:val="000000"/>
          <w:spacing w:val="1"/>
        </w:rPr>
        <w:t>r</w:t>
      </w:r>
      <w:r>
        <w:rPr>
          <w:color w:val="000000"/>
          <w:spacing w:val="10"/>
        </w:rPr>
        <w:t>t</w:t>
      </w:r>
      <w:r>
        <w:rPr>
          <w:color w:val="000000"/>
        </w:rPr>
        <w:t>i</w:t>
      </w:r>
      <w:r>
        <w:rPr>
          <w:color w:val="000000"/>
          <w:spacing w:val="-7"/>
        </w:rPr>
        <w:t xml:space="preserve"> </w:t>
      </w:r>
      <w:r>
        <w:rPr>
          <w:color w:val="000000"/>
        </w:rPr>
        <w:t>ką</w:t>
      </w:r>
      <w:r>
        <w:rPr>
          <w:color w:val="000000"/>
          <w:spacing w:val="6"/>
        </w:rPr>
        <w:t xml:space="preserve"> </w:t>
      </w:r>
      <w:r>
        <w:rPr>
          <w:color w:val="000000"/>
        </w:rPr>
        <w:t>v</w:t>
      </w:r>
      <w:r>
        <w:rPr>
          <w:color w:val="000000"/>
          <w:spacing w:val="-1"/>
        </w:rPr>
        <w:t>a</w:t>
      </w:r>
      <w:r>
        <w:rPr>
          <w:color w:val="000000"/>
          <w:spacing w:val="1"/>
        </w:rPr>
        <w:t>r</w:t>
      </w:r>
      <w:r>
        <w:rPr>
          <w:color w:val="000000"/>
        </w:rPr>
        <w:t>t</w:t>
      </w:r>
      <w:r>
        <w:rPr>
          <w:color w:val="000000"/>
          <w:spacing w:val="5"/>
        </w:rPr>
        <w:t>o</w:t>
      </w:r>
      <w:r>
        <w:rPr>
          <w:color w:val="000000"/>
          <w:spacing w:val="-9"/>
        </w:rPr>
        <w:t>j</w:t>
      </w:r>
      <w:r>
        <w:rPr>
          <w:color w:val="000000"/>
        </w:rPr>
        <w:t>a</w:t>
      </w:r>
      <w:r>
        <w:rPr>
          <w:color w:val="000000"/>
          <w:spacing w:val="7"/>
        </w:rPr>
        <w:t xml:space="preserve"> </w:t>
      </w:r>
      <w:r>
        <w:rPr>
          <w:color w:val="000000"/>
        </w:rPr>
        <w:t>–</w:t>
      </w:r>
      <w:r>
        <w:rPr>
          <w:color w:val="000000"/>
          <w:spacing w:val="7"/>
        </w:rPr>
        <w:t xml:space="preserve"> </w:t>
      </w:r>
      <w:r>
        <w:rPr>
          <w:color w:val="000000"/>
          <w:spacing w:val="-4"/>
        </w:rPr>
        <w:t>m</w:t>
      </w:r>
      <w:r>
        <w:rPr>
          <w:color w:val="000000"/>
          <w:spacing w:val="-1"/>
        </w:rPr>
        <w:t>e</w:t>
      </w:r>
      <w:r>
        <w:rPr>
          <w:color w:val="000000"/>
          <w:spacing w:val="5"/>
        </w:rPr>
        <w:t>t</w:t>
      </w:r>
      <w:r>
        <w:rPr>
          <w:color w:val="000000"/>
          <w:spacing w:val="4"/>
        </w:rPr>
        <w:t>a</w:t>
      </w:r>
      <w:r>
        <w:rPr>
          <w:color w:val="000000"/>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ną</w:t>
      </w:r>
      <w:r>
        <w:rPr>
          <w:color w:val="000000"/>
          <w:spacing w:val="1"/>
        </w:rPr>
        <w:t xml:space="preserve"> </w:t>
      </w:r>
      <w:r>
        <w:rPr>
          <w:color w:val="000000"/>
          <w:spacing w:val="-1"/>
        </w:rPr>
        <w:t>a</w:t>
      </w:r>
      <w:r>
        <w:rPr>
          <w:color w:val="000000"/>
        </w:rPr>
        <w:t>r</w:t>
      </w:r>
      <w:r>
        <w:rPr>
          <w:color w:val="000000"/>
          <w:spacing w:val="4"/>
        </w:rPr>
        <w:t xml:space="preserve"> a</w:t>
      </w:r>
      <w:r>
        <w:rPr>
          <w:color w:val="000000"/>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ą</w:t>
      </w:r>
      <w:r>
        <w:rPr>
          <w:color w:val="000000"/>
        </w:rPr>
        <w:t>.</w:t>
      </w:r>
      <w:r>
        <w:rPr>
          <w:color w:val="000000"/>
          <w:spacing w:val="8"/>
        </w:rPr>
        <w:t xml:space="preserve"> </w:t>
      </w:r>
      <w:r>
        <w:rPr>
          <w:color w:val="000000"/>
          <w:spacing w:val="2"/>
        </w:rPr>
        <w:t>T</w:t>
      </w:r>
      <w:r>
        <w:rPr>
          <w:color w:val="000000"/>
          <w:spacing w:val="4"/>
        </w:rPr>
        <w:t>a</w:t>
      </w:r>
      <w:r>
        <w:rPr>
          <w:color w:val="000000"/>
        </w:rPr>
        <w:t>i</w:t>
      </w:r>
      <w:r>
        <w:rPr>
          <w:color w:val="000000"/>
          <w:spacing w:val="-7"/>
        </w:rPr>
        <w:t xml:space="preserve"> </w:t>
      </w:r>
      <w:r>
        <w:rPr>
          <w:color w:val="000000"/>
          <w:spacing w:val="5"/>
        </w:rPr>
        <w:t>p</w:t>
      </w:r>
      <w:r>
        <w:rPr>
          <w:color w:val="000000"/>
          <w:spacing w:val="-1"/>
        </w:rPr>
        <w:t>a</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rPr>
        <w:t>na</w:t>
      </w:r>
      <w:r>
        <w:rPr>
          <w:color w:val="000000"/>
          <w:spacing w:val="1"/>
        </w:rPr>
        <w:t xml:space="preserve"> </w:t>
      </w:r>
      <w:r>
        <w:rPr>
          <w:color w:val="000000"/>
          <w:spacing w:val="-1"/>
        </w:rPr>
        <w:t>a</w:t>
      </w:r>
      <w:r>
        <w:rPr>
          <w:color w:val="000000"/>
        </w:rPr>
        <w:t>p</w:t>
      </w:r>
      <w:r>
        <w:rPr>
          <w:color w:val="000000"/>
          <w:spacing w:val="5"/>
        </w:rPr>
        <w:t>k</w:t>
      </w:r>
      <w:r>
        <w:rPr>
          <w:color w:val="000000"/>
          <w:spacing w:val="-4"/>
        </w:rPr>
        <w:t>l</w:t>
      </w:r>
      <w:r>
        <w:rPr>
          <w:color w:val="000000"/>
          <w:spacing w:val="4"/>
        </w:rPr>
        <w:t>a</w:t>
      </w:r>
      <w:r>
        <w:rPr>
          <w:color w:val="000000"/>
        </w:rPr>
        <w:t>u</w:t>
      </w:r>
      <w:r>
        <w:rPr>
          <w:color w:val="000000"/>
          <w:spacing w:val="-2"/>
        </w:rPr>
        <w:t>s</w:t>
      </w:r>
      <w:r>
        <w:rPr>
          <w:color w:val="000000"/>
        </w:rPr>
        <w:t>ų d</w:t>
      </w:r>
      <w:r>
        <w:rPr>
          <w:color w:val="000000"/>
          <w:spacing w:val="4"/>
        </w:rPr>
        <w:t>ė</w:t>
      </w:r>
      <w:r>
        <w:rPr>
          <w:color w:val="000000"/>
        </w:rPr>
        <w:t xml:space="preserve">l </w:t>
      </w:r>
      <w:r>
        <w:rPr>
          <w:color w:val="000000"/>
          <w:spacing w:val="-5"/>
        </w:rPr>
        <w:t>v</w:t>
      </w:r>
      <w:r>
        <w:rPr>
          <w:color w:val="000000"/>
          <w:spacing w:val="-1"/>
        </w:rPr>
        <w:t>a</w:t>
      </w:r>
      <w:r>
        <w:rPr>
          <w:color w:val="000000"/>
          <w:spacing w:val="1"/>
        </w:rPr>
        <w:t>r</w:t>
      </w:r>
      <w:r>
        <w:rPr>
          <w:color w:val="000000"/>
          <w:spacing w:val="5"/>
        </w:rPr>
        <w:t>to</w:t>
      </w:r>
      <w:r>
        <w:rPr>
          <w:color w:val="000000"/>
          <w:spacing w:val="-4"/>
        </w:rPr>
        <w:t>ji</w:t>
      </w:r>
      <w:r>
        <w:rPr>
          <w:color w:val="000000"/>
          <w:spacing w:val="-9"/>
        </w:rPr>
        <w:t>m</w:t>
      </w:r>
      <w:r>
        <w:rPr>
          <w:color w:val="000000"/>
        </w:rPr>
        <w:t>o</w:t>
      </w:r>
      <w:r>
        <w:rPr>
          <w:color w:val="000000"/>
          <w:spacing w:val="9"/>
        </w:rPr>
        <w:t xml:space="preserve"> </w:t>
      </w:r>
      <w:r>
        <w:rPr>
          <w:color w:val="000000"/>
        </w:rPr>
        <w:t>du</w:t>
      </w:r>
      <w:r>
        <w:rPr>
          <w:color w:val="000000"/>
          <w:spacing w:val="9"/>
        </w:rPr>
        <w:t>o</w:t>
      </w:r>
      <w:r>
        <w:rPr>
          <w:color w:val="000000"/>
          <w:spacing w:val="-9"/>
        </w:rPr>
        <w:t>m</w:t>
      </w:r>
      <w:r>
        <w:rPr>
          <w:color w:val="000000"/>
          <w:spacing w:val="4"/>
        </w:rPr>
        <w:t>e</w:t>
      </w:r>
      <w:r>
        <w:rPr>
          <w:color w:val="000000"/>
        </w:rPr>
        <w:t>n</w:t>
      </w:r>
      <w:r>
        <w:rPr>
          <w:color w:val="000000"/>
          <w:spacing w:val="-4"/>
        </w:rPr>
        <w:t>i</w:t>
      </w:r>
      <w:r>
        <w:rPr>
          <w:color w:val="000000"/>
          <w:spacing w:val="-2"/>
        </w:rPr>
        <w:t>s</w:t>
      </w:r>
      <w:r>
        <w:rPr>
          <w:color w:val="000000"/>
        </w:rPr>
        <w:t>,</w:t>
      </w:r>
      <w:r>
        <w:rPr>
          <w:color w:val="000000"/>
          <w:spacing w:val="7"/>
        </w:rPr>
        <w:t xml:space="preserve"> </w:t>
      </w:r>
      <w:r>
        <w:rPr>
          <w:color w:val="000000"/>
        </w:rPr>
        <w:t>ku</w:t>
      </w:r>
      <w:r>
        <w:rPr>
          <w:color w:val="000000"/>
          <w:spacing w:val="6"/>
        </w:rPr>
        <w:t>r</w:t>
      </w:r>
      <w:r>
        <w:rPr>
          <w:color w:val="000000"/>
          <w:spacing w:val="-9"/>
        </w:rPr>
        <w:t>i</w:t>
      </w:r>
      <w:r>
        <w:rPr>
          <w:color w:val="000000"/>
          <w:spacing w:val="4"/>
        </w:rPr>
        <w:t>a</w:t>
      </w:r>
      <w:r>
        <w:rPr>
          <w:color w:val="000000"/>
          <w:spacing w:val="-4"/>
        </w:rPr>
        <w:t>i</w:t>
      </w:r>
      <w:r>
        <w:rPr>
          <w:color w:val="000000"/>
        </w:rPr>
        <w:t>s</w:t>
      </w:r>
      <w:r>
        <w:rPr>
          <w:color w:val="000000"/>
          <w:spacing w:val="7"/>
        </w:rPr>
        <w:t xml:space="preserve"> </w:t>
      </w:r>
      <w:r>
        <w:rPr>
          <w:color w:val="000000"/>
          <w:spacing w:val="1"/>
        </w:rPr>
        <w:t>r</w:t>
      </w:r>
      <w:r>
        <w:rPr>
          <w:color w:val="000000"/>
          <w:spacing w:val="4"/>
        </w:rPr>
        <w:t>e</w:t>
      </w:r>
      <w:r>
        <w:rPr>
          <w:color w:val="000000"/>
          <w:spacing w:val="-4"/>
        </w:rPr>
        <w:t>mi</w:t>
      </w:r>
      <w:r>
        <w:rPr>
          <w:color w:val="000000"/>
          <w:spacing w:val="4"/>
        </w:rPr>
        <w:t>a</w:t>
      </w:r>
      <w:r>
        <w:rPr>
          <w:color w:val="000000"/>
          <w:spacing w:val="-5"/>
        </w:rPr>
        <w:t>n</w:t>
      </w:r>
      <w:r>
        <w:rPr>
          <w:color w:val="000000"/>
          <w:spacing w:val="10"/>
        </w:rPr>
        <w:t>t</w:t>
      </w:r>
      <w:r>
        <w:rPr>
          <w:color w:val="000000"/>
          <w:spacing w:val="-4"/>
        </w:rPr>
        <w:t>i</w:t>
      </w:r>
      <w:r>
        <w:rPr>
          <w:color w:val="000000"/>
        </w:rPr>
        <w:t>s</w:t>
      </w:r>
      <w:r>
        <w:rPr>
          <w:color w:val="000000"/>
          <w:spacing w:val="2"/>
        </w:rPr>
        <w:t xml:space="preserve"> </w:t>
      </w:r>
      <w:r>
        <w:rPr>
          <w:color w:val="000000"/>
          <w:spacing w:val="4"/>
        </w:rPr>
        <w:t>a</w:t>
      </w:r>
      <w:r>
        <w:rPr>
          <w:color w:val="000000"/>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9"/>
        </w:rPr>
        <w:t xml:space="preserve"> </w:t>
      </w:r>
      <w:r>
        <w:rPr>
          <w:color w:val="000000"/>
        </w:rPr>
        <w:t>v</w:t>
      </w:r>
      <w:r>
        <w:rPr>
          <w:color w:val="000000"/>
          <w:spacing w:val="-1"/>
        </w:rPr>
        <w:t>a</w:t>
      </w:r>
      <w:r>
        <w:rPr>
          <w:color w:val="000000"/>
          <w:spacing w:val="1"/>
        </w:rPr>
        <w:t>r</w:t>
      </w:r>
      <w:r>
        <w:rPr>
          <w:color w:val="000000"/>
        </w:rPr>
        <w:t>t</w:t>
      </w:r>
      <w:r>
        <w:rPr>
          <w:color w:val="000000"/>
          <w:spacing w:val="5"/>
        </w:rPr>
        <w:t>o</w:t>
      </w:r>
      <w:r>
        <w:rPr>
          <w:color w:val="000000"/>
          <w:spacing w:val="-4"/>
        </w:rPr>
        <w:t>j</w:t>
      </w:r>
      <w:r>
        <w:rPr>
          <w:color w:val="000000"/>
        </w:rPr>
        <w:t>i</w:t>
      </w:r>
      <w:r>
        <w:rPr>
          <w:color w:val="000000"/>
          <w:spacing w:val="-9"/>
        </w:rPr>
        <w:t>m</w:t>
      </w:r>
      <w:r>
        <w:rPr>
          <w:color w:val="000000"/>
        </w:rPr>
        <w:t>o</w:t>
      </w:r>
      <w:r>
        <w:rPr>
          <w:color w:val="000000"/>
          <w:spacing w:val="14"/>
        </w:rPr>
        <w:t xml:space="preserve"> </w:t>
      </w:r>
      <w:r>
        <w:rPr>
          <w:color w:val="000000"/>
          <w:spacing w:val="-4"/>
        </w:rPr>
        <w:t>l</w:t>
      </w:r>
      <w:r>
        <w:rPr>
          <w:color w:val="000000"/>
          <w:spacing w:val="-5"/>
        </w:rPr>
        <w:t>y</w:t>
      </w:r>
      <w:r>
        <w:rPr>
          <w:color w:val="000000"/>
          <w:spacing w:val="5"/>
        </w:rPr>
        <w:t>g</w:t>
      </w:r>
      <w:r>
        <w:rPr>
          <w:color w:val="000000"/>
          <w:spacing w:val="-4"/>
        </w:rPr>
        <w:t>i</w:t>
      </w:r>
      <w:r>
        <w:rPr>
          <w:color w:val="000000"/>
        </w:rPr>
        <w:t>s</w:t>
      </w:r>
      <w:r>
        <w:rPr>
          <w:color w:val="000000"/>
          <w:spacing w:val="12"/>
        </w:rPr>
        <w:t xml:space="preserve"> </w:t>
      </w:r>
      <w:r>
        <w:rPr>
          <w:color w:val="000000"/>
          <w:spacing w:val="-10"/>
        </w:rPr>
        <w:t>y</w:t>
      </w:r>
      <w:r>
        <w:rPr>
          <w:color w:val="000000"/>
          <w:spacing w:val="1"/>
        </w:rPr>
        <w:t>r</w:t>
      </w:r>
      <w:r>
        <w:rPr>
          <w:color w:val="000000"/>
        </w:rPr>
        <w:t>a</w:t>
      </w:r>
      <w:r>
        <w:rPr>
          <w:color w:val="000000"/>
          <w:spacing w:val="3"/>
        </w:rPr>
        <w:t xml:space="preserve"> </w:t>
      </w:r>
      <w:r>
        <w:rPr>
          <w:color w:val="000000"/>
          <w:spacing w:val="5"/>
        </w:rPr>
        <w:t>d</w:t>
      </w:r>
      <w:r>
        <w:rPr>
          <w:color w:val="000000"/>
          <w:spacing w:val="-4"/>
        </w:rPr>
        <w:t>i</w:t>
      </w:r>
      <w:r>
        <w:rPr>
          <w:color w:val="000000"/>
        </w:rPr>
        <w:t>d</w:t>
      </w:r>
      <w:r>
        <w:rPr>
          <w:color w:val="000000"/>
          <w:spacing w:val="4"/>
        </w:rPr>
        <w:t>e</w:t>
      </w:r>
      <w:r>
        <w:rPr>
          <w:color w:val="000000"/>
          <w:spacing w:val="2"/>
        </w:rPr>
        <w:t>s</w:t>
      </w:r>
      <w:r>
        <w:rPr>
          <w:color w:val="000000"/>
        </w:rPr>
        <w:t>n</w:t>
      </w:r>
      <w:r>
        <w:rPr>
          <w:color w:val="000000"/>
          <w:spacing w:val="-4"/>
        </w:rPr>
        <w:t>i</w:t>
      </w:r>
      <w:r>
        <w:rPr>
          <w:color w:val="000000"/>
        </w:rPr>
        <w:t>s</w:t>
      </w:r>
      <w:r>
        <w:rPr>
          <w:color w:val="000000"/>
          <w:spacing w:val="7"/>
        </w:rPr>
        <w:t xml:space="preserve"> </w:t>
      </w:r>
      <w:r>
        <w:rPr>
          <w:color w:val="000000"/>
          <w:spacing w:val="-5"/>
        </w:rPr>
        <w:t>n</w:t>
      </w:r>
      <w:r>
        <w:rPr>
          <w:color w:val="000000"/>
          <w:spacing w:val="-1"/>
        </w:rPr>
        <w:t>e</w:t>
      </w:r>
      <w:r>
        <w:rPr>
          <w:color w:val="000000"/>
        </w:rPr>
        <w:t xml:space="preserve">gu </w:t>
      </w:r>
      <w:r>
        <w:rPr>
          <w:color w:val="000000"/>
          <w:spacing w:val="-4"/>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spacing w:val="5"/>
        </w:rPr>
        <w:t>o</w:t>
      </w:r>
      <w:r>
        <w:rPr>
          <w:color w:val="000000"/>
        </w:rPr>
        <w:t>.</w:t>
      </w:r>
      <w:r>
        <w:rPr>
          <w:color w:val="000000"/>
          <w:spacing w:val="17"/>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10"/>
        </w:rPr>
        <w:t xml:space="preserve"> </w:t>
      </w:r>
      <w:r>
        <w:rPr>
          <w:color w:val="000000"/>
        </w:rPr>
        <w:t>p</w:t>
      </w:r>
      <w:r>
        <w:rPr>
          <w:color w:val="000000"/>
          <w:spacing w:val="9"/>
        </w:rPr>
        <w:t>o</w:t>
      </w:r>
      <w:r>
        <w:rPr>
          <w:color w:val="000000"/>
          <w:spacing w:val="-4"/>
        </w:rPr>
        <w:t>li</w:t>
      </w:r>
      <w:r>
        <w:rPr>
          <w:color w:val="000000"/>
          <w:spacing w:val="4"/>
        </w:rPr>
        <w:t>c</w:t>
      </w:r>
      <w:r>
        <w:rPr>
          <w:color w:val="000000"/>
          <w:spacing w:val="-4"/>
        </w:rPr>
        <w:t>i</w:t>
      </w:r>
      <w:r>
        <w:rPr>
          <w:color w:val="000000"/>
          <w:spacing w:val="-9"/>
        </w:rPr>
        <w:t>j</w:t>
      </w:r>
      <w:r>
        <w:rPr>
          <w:color w:val="000000"/>
          <w:spacing w:val="9"/>
        </w:rPr>
        <w:t>o</w:t>
      </w:r>
      <w:r>
        <w:rPr>
          <w:color w:val="000000"/>
        </w:rPr>
        <w:t>s</w:t>
      </w:r>
      <w:r>
        <w:rPr>
          <w:color w:val="000000"/>
          <w:spacing w:val="10"/>
        </w:rPr>
        <w:t xml:space="preserve"> </w:t>
      </w:r>
      <w:r>
        <w:rPr>
          <w:color w:val="000000"/>
        </w:rPr>
        <w:t>k</w:t>
      </w:r>
      <w:r>
        <w:rPr>
          <w:color w:val="000000"/>
          <w:spacing w:val="6"/>
        </w:rPr>
        <w:t>r</w:t>
      </w:r>
      <w:r>
        <w:rPr>
          <w:color w:val="000000"/>
        </w:rPr>
        <w:t>i</w:t>
      </w:r>
      <w:r>
        <w:rPr>
          <w:color w:val="000000"/>
          <w:spacing w:val="-4"/>
        </w:rPr>
        <w:t>mi</w:t>
      </w:r>
      <w:r>
        <w:rPr>
          <w:color w:val="000000"/>
        </w:rPr>
        <w:t>n</w:t>
      </w:r>
      <w:r>
        <w:rPr>
          <w:color w:val="000000"/>
          <w:spacing w:val="8"/>
        </w:rPr>
        <w:t>a</w:t>
      </w:r>
      <w:r>
        <w:rPr>
          <w:color w:val="000000"/>
          <w:spacing w:val="-4"/>
        </w:rPr>
        <w:t>li</w:t>
      </w:r>
      <w:r>
        <w:rPr>
          <w:color w:val="000000"/>
          <w:spacing w:val="-2"/>
        </w:rPr>
        <w:t>s</w:t>
      </w:r>
      <w:r>
        <w:rPr>
          <w:color w:val="000000"/>
          <w:spacing w:val="10"/>
        </w:rPr>
        <w:t>t</w:t>
      </w:r>
      <w:r>
        <w:rPr>
          <w:color w:val="000000"/>
          <w:spacing w:val="-4"/>
        </w:rPr>
        <w:t>i</w:t>
      </w:r>
      <w:r>
        <w:rPr>
          <w:color w:val="000000"/>
          <w:spacing w:val="5"/>
        </w:rPr>
        <w:t>n</w:t>
      </w:r>
      <w:r>
        <w:rPr>
          <w:color w:val="000000"/>
          <w:spacing w:val="-4"/>
        </w:rPr>
        <w:t>i</w:t>
      </w:r>
      <w:r>
        <w:rPr>
          <w:color w:val="000000"/>
        </w:rPr>
        <w:t>ų</w:t>
      </w:r>
      <w:r>
        <w:rPr>
          <w:color w:val="000000"/>
          <w:spacing w:val="16"/>
        </w:rPr>
        <w:t xml:space="preserve"> </w:t>
      </w:r>
      <w:r>
        <w:rPr>
          <w:color w:val="000000"/>
          <w:spacing w:val="5"/>
        </w:rPr>
        <w:t>t</w:t>
      </w:r>
      <w:r>
        <w:rPr>
          <w:color w:val="000000"/>
          <w:spacing w:val="-10"/>
        </w:rPr>
        <w:t>y</w:t>
      </w:r>
      <w:r>
        <w:rPr>
          <w:color w:val="000000"/>
          <w:spacing w:val="6"/>
        </w:rPr>
        <w:t>r</w:t>
      </w:r>
      <w:r>
        <w:rPr>
          <w:color w:val="000000"/>
        </w:rPr>
        <w:t>i</w:t>
      </w:r>
      <w:r>
        <w:rPr>
          <w:color w:val="000000"/>
          <w:spacing w:val="-4"/>
        </w:rPr>
        <w:t>m</w:t>
      </w:r>
      <w:r>
        <w:rPr>
          <w:color w:val="000000"/>
        </w:rPr>
        <w:t>ų</w:t>
      </w:r>
      <w:r>
        <w:rPr>
          <w:color w:val="000000"/>
          <w:spacing w:val="12"/>
        </w:rPr>
        <w:t xml:space="preserve"> </w:t>
      </w:r>
      <w:r>
        <w:rPr>
          <w:color w:val="000000"/>
          <w:spacing w:val="-1"/>
        </w:rPr>
        <w:t>c</w:t>
      </w:r>
      <w:r>
        <w:rPr>
          <w:color w:val="000000"/>
          <w:spacing w:val="4"/>
        </w:rPr>
        <w:t>e</w:t>
      </w:r>
      <w:r>
        <w:rPr>
          <w:color w:val="000000"/>
          <w:spacing w:val="-5"/>
        </w:rPr>
        <w:t>n</w:t>
      </w:r>
      <w:r>
        <w:rPr>
          <w:color w:val="000000"/>
          <w:spacing w:val="5"/>
        </w:rPr>
        <w:t>t</w:t>
      </w:r>
      <w:r>
        <w:rPr>
          <w:color w:val="000000"/>
          <w:spacing w:val="1"/>
        </w:rPr>
        <w:t>r</w:t>
      </w:r>
      <w:r>
        <w:rPr>
          <w:color w:val="000000"/>
        </w:rPr>
        <w:t>o</w:t>
      </w:r>
      <w:r>
        <w:rPr>
          <w:color w:val="000000"/>
          <w:spacing w:val="16"/>
        </w:rPr>
        <w:t xml:space="preserve"> </w:t>
      </w:r>
      <w:r>
        <w:rPr>
          <w:color w:val="000000"/>
          <w:spacing w:val="-6"/>
        </w:rPr>
        <w:t>a</w:t>
      </w:r>
      <w:r>
        <w:rPr>
          <w:color w:val="000000"/>
          <w:spacing w:val="5"/>
        </w:rPr>
        <w:t>t</w:t>
      </w:r>
      <w:r>
        <w:rPr>
          <w:color w:val="000000"/>
          <w:spacing w:val="-4"/>
        </w:rPr>
        <w:t>li</w:t>
      </w:r>
      <w:r>
        <w:rPr>
          <w:color w:val="000000"/>
        </w:rPr>
        <w:t>kt</w:t>
      </w:r>
      <w:r>
        <w:rPr>
          <w:color w:val="000000"/>
          <w:spacing w:val="-42"/>
        </w:rPr>
        <w:t xml:space="preserve"> </w:t>
      </w:r>
      <w:r>
        <w:rPr>
          <w:color w:val="000000"/>
        </w:rPr>
        <w:t>i</w:t>
      </w:r>
      <w:r>
        <w:rPr>
          <w:color w:val="000000"/>
          <w:spacing w:val="3"/>
        </w:rPr>
        <w:t xml:space="preserve"> </w:t>
      </w:r>
      <w:r>
        <w:rPr>
          <w:color w:val="000000"/>
          <w:spacing w:val="10"/>
        </w:rPr>
        <w:t>t</w:t>
      </w:r>
      <w:r>
        <w:rPr>
          <w:color w:val="000000"/>
          <w:spacing w:val="-10"/>
        </w:rPr>
        <w:t>y</w:t>
      </w:r>
      <w:r>
        <w:rPr>
          <w:color w:val="000000"/>
          <w:spacing w:val="6"/>
        </w:rPr>
        <w:t>r</w:t>
      </w:r>
      <w:r>
        <w:rPr>
          <w:color w:val="000000"/>
          <w:spacing w:val="-4"/>
        </w:rPr>
        <w:t>im</w:t>
      </w:r>
      <w:r>
        <w:rPr>
          <w:color w:val="000000"/>
          <w:spacing w:val="4"/>
        </w:rPr>
        <w:t>a</w:t>
      </w:r>
      <w:r>
        <w:rPr>
          <w:color w:val="000000"/>
        </w:rPr>
        <w:t>i</w:t>
      </w:r>
      <w:r>
        <w:rPr>
          <w:color w:val="000000"/>
          <w:spacing w:val="9"/>
        </w:rPr>
        <w:t xml:space="preserve"> </w:t>
      </w:r>
      <w:r>
        <w:rPr>
          <w:color w:val="000000"/>
          <w:spacing w:val="1"/>
        </w:rPr>
        <w:t>r</w:t>
      </w:r>
      <w:r>
        <w:rPr>
          <w:color w:val="000000"/>
          <w:spacing w:val="5"/>
        </w:rPr>
        <w:t>o</w:t>
      </w:r>
      <w:r>
        <w:rPr>
          <w:color w:val="000000"/>
        </w:rPr>
        <w:t>d</w:t>
      </w:r>
      <w:r>
        <w:rPr>
          <w:color w:val="000000"/>
          <w:spacing w:val="5"/>
        </w:rPr>
        <w:t>o</w:t>
      </w:r>
      <w:r>
        <w:rPr>
          <w:color w:val="000000"/>
        </w:rPr>
        <w:t>,</w:t>
      </w:r>
      <w:r>
        <w:rPr>
          <w:color w:val="000000"/>
          <w:spacing w:val="14"/>
        </w:rPr>
        <w:t xml:space="preserve"> </w:t>
      </w:r>
      <w:r>
        <w:rPr>
          <w:color w:val="000000"/>
        </w:rPr>
        <w:t>k</w:t>
      </w:r>
      <w:r>
        <w:rPr>
          <w:color w:val="000000"/>
          <w:spacing w:val="-1"/>
        </w:rPr>
        <w:t>a</w:t>
      </w:r>
      <w:r>
        <w:rPr>
          <w:color w:val="000000"/>
        </w:rPr>
        <w:t>d</w:t>
      </w:r>
      <w:r>
        <w:rPr>
          <w:color w:val="000000"/>
          <w:spacing w:val="12"/>
        </w:rPr>
        <w:t xml:space="preserve"> </w:t>
      </w:r>
      <w:r>
        <w:rPr>
          <w:color w:val="000000"/>
          <w:spacing w:val="2"/>
        </w:rPr>
        <w:t>L</w:t>
      </w:r>
      <w:r>
        <w:rPr>
          <w:color w:val="000000"/>
          <w:spacing w:val="-9"/>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 p</w:t>
      </w:r>
      <w:r>
        <w:rPr>
          <w:color w:val="000000"/>
          <w:spacing w:val="-1"/>
        </w:rPr>
        <w:t>a</w:t>
      </w:r>
      <w:r>
        <w:rPr>
          <w:color w:val="000000"/>
          <w:spacing w:val="2"/>
        </w:rPr>
        <w:t>s</w:t>
      </w:r>
      <w:r>
        <w:rPr>
          <w:color w:val="000000"/>
          <w:spacing w:val="-9"/>
        </w:rPr>
        <w:t>i</w:t>
      </w:r>
      <w:r>
        <w:rPr>
          <w:color w:val="000000"/>
          <w:spacing w:val="5"/>
        </w:rPr>
        <w:t>t</w:t>
      </w:r>
      <w:r>
        <w:rPr>
          <w:color w:val="000000"/>
          <w:spacing w:val="4"/>
        </w:rPr>
        <w:t>a</w:t>
      </w:r>
      <w:r>
        <w:rPr>
          <w:color w:val="000000"/>
          <w:spacing w:val="-9"/>
        </w:rPr>
        <w:t>i</w:t>
      </w:r>
      <w:r>
        <w:rPr>
          <w:color w:val="000000"/>
          <w:spacing w:val="5"/>
        </w:rPr>
        <w:t>k</w:t>
      </w:r>
      <w:r>
        <w:rPr>
          <w:color w:val="000000"/>
        </w:rPr>
        <w:t>ė</w:t>
      </w:r>
      <w:r>
        <w:rPr>
          <w:color w:val="000000"/>
          <w:spacing w:val="4"/>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7"/>
        </w:rPr>
        <w:t xml:space="preserve"> </w:t>
      </w:r>
      <w:r>
        <w:rPr>
          <w:color w:val="000000"/>
        </w:rPr>
        <w:t>k</w:t>
      </w:r>
      <w:r>
        <w:rPr>
          <w:color w:val="000000"/>
          <w:spacing w:val="4"/>
        </w:rPr>
        <w:t>a</w:t>
      </w:r>
      <w:r>
        <w:rPr>
          <w:color w:val="000000"/>
        </w:rPr>
        <w:t>i</w:t>
      </w:r>
      <w:r>
        <w:rPr>
          <w:color w:val="000000"/>
          <w:spacing w:val="1"/>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rPr>
        <w:t>s</w:t>
      </w:r>
      <w:r>
        <w:rPr>
          <w:color w:val="000000"/>
          <w:spacing w:val="3"/>
        </w:rPr>
        <w:t xml:space="preserve"> </w:t>
      </w:r>
      <w:r>
        <w:rPr>
          <w:color w:val="000000"/>
          <w:spacing w:val="-5"/>
        </w:rPr>
        <w:t>b</w:t>
      </w:r>
      <w:r>
        <w:rPr>
          <w:color w:val="000000"/>
          <w:spacing w:val="5"/>
        </w:rPr>
        <w:t>u</w:t>
      </w:r>
      <w:r>
        <w:rPr>
          <w:color w:val="000000"/>
          <w:spacing w:val="-5"/>
        </w:rPr>
        <w:t>v</w:t>
      </w:r>
      <w:r>
        <w:rPr>
          <w:color w:val="000000"/>
        </w:rPr>
        <w:t>o</w:t>
      </w:r>
      <w:r>
        <w:rPr>
          <w:color w:val="000000"/>
          <w:spacing w:val="10"/>
        </w:rPr>
        <w:t xml:space="preserve"> </w:t>
      </w:r>
      <w:r>
        <w:rPr>
          <w:color w:val="000000"/>
          <w:spacing w:val="-4"/>
        </w:rPr>
        <w:t>i</w:t>
      </w:r>
      <w:r>
        <w:rPr>
          <w:color w:val="000000"/>
          <w:spacing w:val="2"/>
        </w:rPr>
        <w:t>š</w:t>
      </w:r>
      <w:r>
        <w:rPr>
          <w:color w:val="000000"/>
        </w:rPr>
        <w:t>i</w:t>
      </w:r>
      <w:r>
        <w:rPr>
          <w:color w:val="000000"/>
          <w:spacing w:val="-4"/>
        </w:rPr>
        <w:t>m</w:t>
      </w:r>
      <w:r>
        <w:rPr>
          <w:color w:val="000000"/>
          <w:spacing w:val="4"/>
        </w:rPr>
        <w:t>a</w:t>
      </w:r>
      <w:r>
        <w:rPr>
          <w:color w:val="000000"/>
          <w:spacing w:val="-4"/>
        </w:rPr>
        <w:t>m</w:t>
      </w:r>
      <w:r>
        <w:rPr>
          <w:color w:val="000000"/>
          <w:spacing w:val="-1"/>
        </w:rPr>
        <w:t>a</w:t>
      </w:r>
      <w:r>
        <w:rPr>
          <w:color w:val="000000"/>
        </w:rPr>
        <w:t>s</w:t>
      </w:r>
      <w:r>
        <w:rPr>
          <w:color w:val="000000"/>
          <w:spacing w:val="8"/>
        </w:rPr>
        <w:t xml:space="preserve"> </w:t>
      </w:r>
      <w:r>
        <w:rPr>
          <w:color w:val="000000"/>
        </w:rPr>
        <w:t>m</w:t>
      </w:r>
      <w:r>
        <w:rPr>
          <w:color w:val="000000"/>
          <w:spacing w:val="-4"/>
        </w:rPr>
        <w:t>i</w:t>
      </w:r>
      <w:r>
        <w:rPr>
          <w:color w:val="000000"/>
          <w:spacing w:val="2"/>
        </w:rPr>
        <w:t>š</w:t>
      </w:r>
      <w:r>
        <w:rPr>
          <w:color w:val="000000"/>
          <w:spacing w:val="-4"/>
        </w:rPr>
        <w:t>i</w:t>
      </w:r>
      <w:r>
        <w:rPr>
          <w:color w:val="000000"/>
          <w:spacing w:val="5"/>
        </w:rPr>
        <w:t>n</w:t>
      </w:r>
      <w:r>
        <w:rPr>
          <w:color w:val="000000"/>
          <w:spacing w:val="-4"/>
        </w:rPr>
        <w:t>i</w:t>
      </w:r>
      <w:r>
        <w:rPr>
          <w:color w:val="000000"/>
        </w:rPr>
        <w:t>u</w:t>
      </w:r>
      <w:r>
        <w:rPr>
          <w:color w:val="000000"/>
          <w:spacing w:val="5"/>
        </w:rPr>
        <w:t>o</w:t>
      </w:r>
      <w:r>
        <w:rPr>
          <w:color w:val="000000"/>
          <w:spacing w:val="-2"/>
        </w:rPr>
        <w:t>s</w:t>
      </w:r>
      <w:r>
        <w:rPr>
          <w:color w:val="000000"/>
        </w:rPr>
        <w:t>e</w:t>
      </w:r>
      <w:r>
        <w:rPr>
          <w:color w:val="000000"/>
          <w:spacing w:val="4"/>
        </w:rPr>
        <w:t xml:space="preserve"> </w:t>
      </w:r>
      <w:r>
        <w:rPr>
          <w:color w:val="000000"/>
          <w:spacing w:val="-2"/>
        </w:rPr>
        <w:t>s</w:t>
      </w:r>
      <w:r>
        <w:rPr>
          <w:color w:val="000000"/>
        </w:rPr>
        <w:t>u</w:t>
      </w:r>
      <w:r>
        <w:rPr>
          <w:color w:val="000000"/>
          <w:spacing w:val="5"/>
        </w:rPr>
        <w:t xml:space="preserve"> </w:t>
      </w:r>
      <w:r>
        <w:rPr>
          <w:color w:val="000000"/>
          <w:spacing w:val="1"/>
        </w:rPr>
        <w:t>P</w:t>
      </w:r>
      <w:r>
        <w:rPr>
          <w:color w:val="000000"/>
          <w:spacing w:val="-2"/>
        </w:rPr>
        <w:t>M</w:t>
      </w:r>
      <w:r>
        <w:rPr>
          <w:color w:val="000000"/>
          <w:spacing w:val="2"/>
        </w:rPr>
        <w:t>M</w:t>
      </w:r>
      <w:r>
        <w:rPr>
          <w:color w:val="000000"/>
        </w:rPr>
        <w:t xml:space="preserve">A </w:t>
      </w:r>
      <w:r>
        <w:rPr>
          <w:color w:val="000000"/>
          <w:spacing w:val="1"/>
        </w:rPr>
        <w:t>(</w:t>
      </w:r>
      <w:r>
        <w:rPr>
          <w:color w:val="000000"/>
        </w:rPr>
        <w:t>p</w:t>
      </w:r>
      <w:r>
        <w:rPr>
          <w:color w:val="000000"/>
          <w:spacing w:val="-1"/>
        </w:rPr>
        <w:t>a</w:t>
      </w:r>
      <w:r>
        <w:rPr>
          <w:color w:val="000000"/>
          <w:spacing w:val="1"/>
        </w:rPr>
        <w:t>r</w:t>
      </w:r>
      <w:r>
        <w:rPr>
          <w:color w:val="000000"/>
          <w:spacing w:val="11"/>
        </w:rPr>
        <w:t>a</w:t>
      </w:r>
      <w:r>
        <w:rPr>
          <w:color w:val="000000"/>
        </w:rPr>
        <w:t xml:space="preserve">– </w:t>
      </w:r>
      <w:r>
        <w:rPr>
          <w:color w:val="000000"/>
          <w:spacing w:val="-4"/>
        </w:rPr>
        <w:t>m</w:t>
      </w:r>
      <w:r>
        <w:rPr>
          <w:color w:val="000000"/>
          <w:spacing w:val="-1"/>
        </w:rPr>
        <w:t>e</w:t>
      </w:r>
      <w:r>
        <w:rPr>
          <w:color w:val="000000"/>
          <w:spacing w:val="5"/>
        </w:rPr>
        <w:t>t</w:t>
      </w:r>
      <w:r>
        <w:rPr>
          <w:color w:val="000000"/>
          <w:spacing w:val="-5"/>
        </w:rPr>
        <w:t>h</w:t>
      </w:r>
      <w:r>
        <w:rPr>
          <w:color w:val="000000"/>
          <w:spacing w:val="5"/>
        </w:rPr>
        <w:t>o</w:t>
      </w:r>
      <w:r>
        <w:rPr>
          <w:color w:val="000000"/>
        </w:rPr>
        <w:t>xy</w:t>
      </w:r>
      <w:r>
        <w:rPr>
          <w:color w:val="000000"/>
          <w:spacing w:val="-4"/>
        </w:rPr>
        <w:t>m</w:t>
      </w:r>
      <w:r>
        <w:rPr>
          <w:color w:val="000000"/>
          <w:spacing w:val="-1"/>
        </w:rPr>
        <w:t>e</w:t>
      </w:r>
      <w:r>
        <w:rPr>
          <w:color w:val="000000"/>
          <w:spacing w:val="5"/>
        </w:rPr>
        <w:t>t</w:t>
      </w:r>
      <w:r>
        <w:rPr>
          <w:color w:val="000000"/>
        </w:rPr>
        <w:t>hy</w:t>
      </w:r>
      <w:r>
        <w:rPr>
          <w:color w:val="000000"/>
          <w:spacing w:val="-4"/>
        </w:rPr>
        <w:t>l</w:t>
      </w:r>
      <w:r>
        <w:rPr>
          <w:color w:val="000000"/>
          <w:spacing w:val="4"/>
        </w:rPr>
        <w:t>a</w:t>
      </w:r>
      <w:r>
        <w:rPr>
          <w:color w:val="000000"/>
          <w:spacing w:val="-4"/>
        </w:rPr>
        <w:t>m</w:t>
      </w:r>
      <w:r>
        <w:rPr>
          <w:color w:val="000000"/>
          <w:spacing w:val="5"/>
        </w:rPr>
        <w:t>p</w:t>
      </w:r>
      <w:r>
        <w:rPr>
          <w:color w:val="000000"/>
          <w:spacing w:val="-5"/>
        </w:rPr>
        <w:t>h</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e</w:t>
      </w:r>
      <w:r>
        <w:rPr>
          <w:color w:val="000000"/>
          <w:spacing w:val="1"/>
        </w:rPr>
        <w:t>)</w:t>
      </w:r>
      <w:r>
        <w:rPr>
          <w:color w:val="000000"/>
        </w:rPr>
        <w:t>.</w:t>
      </w:r>
      <w:r>
        <w:rPr>
          <w:color w:val="000000"/>
          <w:spacing w:val="12"/>
        </w:rPr>
        <w:t xml:space="preserve"> </w:t>
      </w:r>
      <w:r>
        <w:rPr>
          <w:color w:val="000000"/>
        </w:rPr>
        <w:t>N</w:t>
      </w:r>
      <w:r>
        <w:rPr>
          <w:color w:val="000000"/>
          <w:spacing w:val="3"/>
        </w:rPr>
        <w:t>e</w:t>
      </w:r>
      <w:r>
        <w:rPr>
          <w:color w:val="000000"/>
          <w:spacing w:val="-5"/>
        </w:rPr>
        <w:t>n</w:t>
      </w:r>
      <w:r>
        <w:rPr>
          <w:color w:val="000000"/>
        </w:rPr>
        <w:t>u</w:t>
      </w:r>
      <w:r>
        <w:rPr>
          <w:color w:val="000000"/>
          <w:spacing w:val="-2"/>
        </w:rPr>
        <w:t>s</w:t>
      </w:r>
      <w:r>
        <w:rPr>
          <w:color w:val="000000"/>
          <w:spacing w:val="5"/>
        </w:rPr>
        <w:t>t</w:t>
      </w:r>
      <w:r>
        <w:rPr>
          <w:color w:val="000000"/>
          <w:spacing w:val="-1"/>
        </w:rPr>
        <w:t>a</w:t>
      </w:r>
      <w:r>
        <w:rPr>
          <w:color w:val="000000"/>
          <w:spacing w:val="5"/>
        </w:rPr>
        <w:t>t</w:t>
      </w:r>
      <w:r>
        <w:rPr>
          <w:color w:val="000000"/>
          <w:spacing w:val="-10"/>
        </w:rPr>
        <w:t>y</w:t>
      </w:r>
      <w:r>
        <w:rPr>
          <w:color w:val="000000"/>
          <w:spacing w:val="5"/>
        </w:rPr>
        <w:t>t</w:t>
      </w:r>
      <w:r>
        <w:rPr>
          <w:color w:val="000000"/>
          <w:spacing w:val="-1"/>
        </w:rPr>
        <w:t>a</w:t>
      </w:r>
      <w:r>
        <w:rPr>
          <w:color w:val="000000"/>
        </w:rPr>
        <w:t>,</w:t>
      </w:r>
      <w:r>
        <w:rPr>
          <w:color w:val="000000"/>
          <w:spacing w:val="12"/>
        </w:rPr>
        <w:t xml:space="preserve"> </w:t>
      </w:r>
      <w:r>
        <w:rPr>
          <w:color w:val="000000"/>
          <w:spacing w:val="-1"/>
        </w:rPr>
        <w:t>a</w:t>
      </w:r>
      <w:r>
        <w:rPr>
          <w:color w:val="000000"/>
        </w:rPr>
        <w:t>r</w:t>
      </w:r>
      <w:r>
        <w:rPr>
          <w:color w:val="000000"/>
          <w:spacing w:val="11"/>
        </w:rPr>
        <w:t xml:space="preserve"> </w:t>
      </w:r>
      <w:r>
        <w:rPr>
          <w:color w:val="000000"/>
          <w:spacing w:val="2"/>
        </w:rPr>
        <w:t>š</w:t>
      </w:r>
      <w:r>
        <w:rPr>
          <w:color w:val="000000"/>
        </w:rPr>
        <w:t>i</w:t>
      </w:r>
      <w:r>
        <w:rPr>
          <w:color w:val="000000"/>
          <w:spacing w:val="10"/>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rPr>
        <w:t>a</w:t>
      </w:r>
      <w:r>
        <w:rPr>
          <w:color w:val="000000"/>
          <w:spacing w:val="9"/>
        </w:rPr>
        <w:t xml:space="preserve"> </w:t>
      </w:r>
      <w:r>
        <w:rPr>
          <w:color w:val="000000"/>
        </w:rPr>
        <w:t>g</w:t>
      </w:r>
      <w:r>
        <w:rPr>
          <w:color w:val="000000"/>
          <w:spacing w:val="4"/>
        </w:rPr>
        <w:t>a</w:t>
      </w:r>
      <w:r>
        <w:rPr>
          <w:color w:val="000000"/>
        </w:rPr>
        <w:t>li</w:t>
      </w:r>
      <w:r>
        <w:rPr>
          <w:color w:val="000000"/>
          <w:spacing w:val="11"/>
        </w:rPr>
        <w:t xml:space="preserve"> </w:t>
      </w:r>
      <w:r>
        <w:rPr>
          <w:color w:val="000000"/>
          <w:spacing w:val="-5"/>
        </w:rPr>
        <w:t>b</w:t>
      </w:r>
      <w:r>
        <w:rPr>
          <w:color w:val="000000"/>
        </w:rPr>
        <w:t>ū</w:t>
      </w:r>
      <w:r>
        <w:rPr>
          <w:color w:val="000000"/>
          <w:spacing w:val="10"/>
        </w:rPr>
        <w:t>t</w:t>
      </w:r>
      <w:r>
        <w:rPr>
          <w:color w:val="000000"/>
        </w:rPr>
        <w:t>i g</w:t>
      </w:r>
      <w:r>
        <w:rPr>
          <w:color w:val="000000"/>
          <w:spacing w:val="4"/>
        </w:rPr>
        <w:t>a</w:t>
      </w:r>
      <w:r>
        <w:rPr>
          <w:color w:val="000000"/>
        </w:rPr>
        <w:t>m</w:t>
      </w:r>
      <w:r>
        <w:rPr>
          <w:color w:val="000000"/>
          <w:spacing w:val="-4"/>
        </w:rPr>
        <w:t>i</w:t>
      </w:r>
      <w:r>
        <w:rPr>
          <w:color w:val="000000"/>
        </w:rPr>
        <w:t>n</w:t>
      </w:r>
      <w:r>
        <w:rPr>
          <w:color w:val="000000"/>
          <w:spacing w:val="4"/>
        </w:rPr>
        <w:t>a</w:t>
      </w:r>
      <w:r>
        <w:rPr>
          <w:color w:val="000000"/>
          <w:spacing w:val="-4"/>
        </w:rPr>
        <w:t>m</w:t>
      </w:r>
      <w:r>
        <w:rPr>
          <w:color w:val="000000"/>
        </w:rPr>
        <w:t>a</w:t>
      </w:r>
      <w:r>
        <w:rPr>
          <w:color w:val="000000"/>
          <w:spacing w:val="13"/>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spacing w:val="-1"/>
        </w:rPr>
        <w:t>e</w:t>
      </w:r>
      <w:r>
        <w:rPr>
          <w:color w:val="000000"/>
        </w:rPr>
        <w:t>,</w:t>
      </w:r>
      <w:r>
        <w:rPr>
          <w:color w:val="000000"/>
          <w:spacing w:val="12"/>
        </w:rPr>
        <w:t xml:space="preserve"> </w:t>
      </w:r>
      <w:r>
        <w:rPr>
          <w:color w:val="000000"/>
          <w:spacing w:val="-1"/>
        </w:rPr>
        <w:t>a</w:t>
      </w:r>
      <w:r>
        <w:rPr>
          <w:color w:val="000000"/>
        </w:rPr>
        <w:t>r</w:t>
      </w:r>
      <w:r>
        <w:rPr>
          <w:color w:val="000000"/>
          <w:spacing w:val="16"/>
        </w:rPr>
        <w:t xml:space="preserve"> </w:t>
      </w:r>
      <w:r>
        <w:rPr>
          <w:color w:val="000000"/>
          <w:spacing w:val="-5"/>
        </w:rPr>
        <w:t>y</w:t>
      </w:r>
      <w:r>
        <w:rPr>
          <w:color w:val="000000"/>
          <w:spacing w:val="1"/>
        </w:rPr>
        <w:t>r</w:t>
      </w:r>
      <w:r>
        <w:rPr>
          <w:color w:val="000000"/>
        </w:rPr>
        <w:t xml:space="preserve">a </w:t>
      </w:r>
      <w:r>
        <w:rPr>
          <w:color w:val="000000"/>
          <w:spacing w:val="-4"/>
        </w:rPr>
        <w:t>į</w:t>
      </w:r>
      <w:r>
        <w:rPr>
          <w:color w:val="000000"/>
        </w:rPr>
        <w:t>v</w:t>
      </w:r>
      <w:r>
        <w:rPr>
          <w:color w:val="000000"/>
          <w:spacing w:val="-1"/>
        </w:rPr>
        <w:t>ež</w:t>
      </w:r>
      <w:r>
        <w:rPr>
          <w:color w:val="000000"/>
          <w:spacing w:val="4"/>
        </w:rPr>
        <w:t>a</w:t>
      </w:r>
      <w:r>
        <w:rPr>
          <w:color w:val="000000"/>
          <w:spacing w:val="-4"/>
        </w:rPr>
        <w:t>m</w:t>
      </w:r>
      <w:r>
        <w:rPr>
          <w:color w:val="000000"/>
        </w:rPr>
        <w:t>a</w:t>
      </w:r>
      <w:r>
        <w:rPr>
          <w:color w:val="000000"/>
          <w:spacing w:val="6"/>
        </w:rPr>
        <w:t xml:space="preserve"> </w:t>
      </w:r>
      <w:r>
        <w:rPr>
          <w:color w:val="000000"/>
          <w:spacing w:val="-4"/>
        </w:rPr>
        <w:t>i</w:t>
      </w:r>
      <w:r>
        <w:rPr>
          <w:color w:val="000000"/>
        </w:rPr>
        <w:t>š u</w:t>
      </w:r>
      <w:r>
        <w:rPr>
          <w:color w:val="000000"/>
          <w:spacing w:val="4"/>
        </w:rPr>
        <w:t>ž</w:t>
      </w:r>
      <w:r>
        <w:rPr>
          <w:color w:val="000000"/>
          <w:spacing w:val="2"/>
        </w:rPr>
        <w:t>s</w:t>
      </w:r>
      <w:r>
        <w:rPr>
          <w:color w:val="000000"/>
          <w:spacing w:val="-4"/>
        </w:rPr>
        <w:t>i</w:t>
      </w:r>
      <w:r>
        <w:rPr>
          <w:color w:val="000000"/>
          <w:spacing w:val="4"/>
        </w:rPr>
        <w:t>e</w:t>
      </w:r>
      <w:r>
        <w:rPr>
          <w:color w:val="000000"/>
        </w:rPr>
        <w:t>n</w:t>
      </w:r>
      <w:r>
        <w:rPr>
          <w:color w:val="000000"/>
          <w:spacing w:val="-9"/>
        </w:rPr>
        <w:t>i</w:t>
      </w:r>
      <w:r>
        <w:rPr>
          <w:color w:val="000000"/>
          <w:spacing w:val="5"/>
        </w:rPr>
        <w:t>o</w:t>
      </w:r>
      <w:r>
        <w:rPr>
          <w:color w:val="000000"/>
        </w:rPr>
        <w:t>,</w:t>
      </w:r>
      <w:r>
        <w:rPr>
          <w:color w:val="000000"/>
          <w:spacing w:val="4"/>
        </w:rPr>
        <w:t xml:space="preserve"> </w:t>
      </w:r>
      <w:r>
        <w:rPr>
          <w:color w:val="000000"/>
          <w:spacing w:val="-5"/>
        </w:rPr>
        <w:t>n</w:t>
      </w:r>
      <w:r>
        <w:rPr>
          <w:color w:val="000000"/>
          <w:spacing w:val="-1"/>
        </w:rPr>
        <w:t>ė</w:t>
      </w:r>
      <w:r>
        <w:rPr>
          <w:color w:val="000000"/>
          <w:spacing w:val="1"/>
        </w:rPr>
        <w:t>r</w:t>
      </w:r>
      <w:r>
        <w:rPr>
          <w:color w:val="000000"/>
        </w:rPr>
        <w:t>a</w:t>
      </w:r>
      <w:r>
        <w:rPr>
          <w:color w:val="000000"/>
          <w:spacing w:val="1"/>
        </w:rPr>
        <w:t xml:space="preserve"> </w:t>
      </w:r>
      <w:r>
        <w:rPr>
          <w:color w:val="000000"/>
        </w:rPr>
        <w:t>g</w:t>
      </w:r>
      <w:r>
        <w:rPr>
          <w:color w:val="000000"/>
          <w:spacing w:val="-1"/>
        </w:rPr>
        <w:t>a</w:t>
      </w:r>
      <w:r>
        <w:rPr>
          <w:color w:val="000000"/>
        </w:rPr>
        <w:t>u</w:t>
      </w:r>
      <w:r>
        <w:rPr>
          <w:color w:val="000000"/>
          <w:spacing w:val="5"/>
        </w:rPr>
        <w:t>t</w:t>
      </w:r>
      <w:r>
        <w:rPr>
          <w:color w:val="000000"/>
        </w:rPr>
        <w:t>a</w:t>
      </w:r>
      <w:r>
        <w:rPr>
          <w:color w:val="000000"/>
          <w:spacing w:val="1"/>
        </w:rPr>
        <w:t xml:space="preserve"> </w:t>
      </w:r>
      <w:r>
        <w:rPr>
          <w:color w:val="000000"/>
        </w:rPr>
        <w:t>d</w:t>
      </w:r>
      <w:r>
        <w:rPr>
          <w:color w:val="000000"/>
          <w:spacing w:val="-5"/>
        </w:rPr>
        <w:t>u</w:t>
      </w:r>
      <w:r>
        <w:rPr>
          <w:color w:val="000000"/>
          <w:spacing w:val="5"/>
        </w:rPr>
        <w:t>o</w:t>
      </w:r>
      <w:r>
        <w:rPr>
          <w:color w:val="000000"/>
          <w:spacing w:val="-9"/>
        </w:rPr>
        <w:t>m</w:t>
      </w:r>
      <w:r>
        <w:rPr>
          <w:color w:val="000000"/>
          <w:spacing w:val="4"/>
        </w:rPr>
        <w:t>e</w:t>
      </w:r>
      <w:r>
        <w:rPr>
          <w:color w:val="000000"/>
          <w:spacing w:val="-5"/>
        </w:rPr>
        <w:t>n</w:t>
      </w:r>
      <w:r>
        <w:rPr>
          <w:color w:val="000000"/>
        </w:rPr>
        <w:t>ų</w:t>
      </w:r>
      <w:r>
        <w:rPr>
          <w:color w:val="000000"/>
          <w:spacing w:val="7"/>
        </w:rPr>
        <w:t xml:space="preserve"> </w:t>
      </w:r>
      <w:r>
        <w:rPr>
          <w:color w:val="000000"/>
          <w:spacing w:val="-9"/>
        </w:rPr>
        <w:t>i</w:t>
      </w:r>
      <w:r>
        <w:rPr>
          <w:color w:val="000000"/>
        </w:rPr>
        <w:t>r</w:t>
      </w:r>
      <w:r>
        <w:rPr>
          <w:color w:val="000000"/>
          <w:spacing w:val="4"/>
        </w:rPr>
        <w:t xml:space="preserve"> </w:t>
      </w:r>
      <w:r>
        <w:rPr>
          <w:color w:val="000000"/>
          <w:spacing w:val="-1"/>
        </w:rPr>
        <w:t>a</w:t>
      </w:r>
      <w:r>
        <w:rPr>
          <w:color w:val="000000"/>
          <w:spacing w:val="5"/>
        </w:rPr>
        <w:t>p</w:t>
      </w:r>
      <w:r>
        <w:rPr>
          <w:color w:val="000000"/>
          <w:spacing w:val="-4"/>
        </w:rPr>
        <w:t>i</w:t>
      </w:r>
      <w:r>
        <w:rPr>
          <w:color w:val="000000"/>
        </w:rPr>
        <w:t>e</w:t>
      </w:r>
      <w:r>
        <w:rPr>
          <w:color w:val="000000"/>
          <w:spacing w:val="1"/>
        </w:rPr>
        <w:t xml:space="preserve"> </w:t>
      </w:r>
      <w:r>
        <w:rPr>
          <w:color w:val="000000"/>
          <w:spacing w:val="2"/>
        </w:rPr>
        <w:t>š</w:t>
      </w:r>
      <w:r>
        <w:rPr>
          <w:color w:val="000000"/>
          <w:spacing w:val="-4"/>
        </w:rPr>
        <w:t>i</w:t>
      </w:r>
      <w:r>
        <w:rPr>
          <w:color w:val="000000"/>
          <w:spacing w:val="5"/>
        </w:rPr>
        <w:t>o</w:t>
      </w:r>
      <w:r>
        <w:rPr>
          <w:color w:val="000000"/>
        </w:rPr>
        <w:t xml:space="preserve">s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8"/>
        </w:rPr>
        <w:t>g</w:t>
      </w:r>
      <w:r>
        <w:rPr>
          <w:color w:val="000000"/>
          <w:spacing w:val="5"/>
        </w:rPr>
        <w:t>o</w:t>
      </w:r>
      <w:r>
        <w:rPr>
          <w:color w:val="000000"/>
        </w:rPr>
        <w:t>s k</w:t>
      </w:r>
      <w:r>
        <w:rPr>
          <w:color w:val="000000"/>
          <w:spacing w:val="4"/>
        </w:rPr>
        <w:t>a</w:t>
      </w:r>
      <w:r>
        <w:rPr>
          <w:color w:val="000000"/>
          <w:spacing w:val="-4"/>
        </w:rPr>
        <w:t>i</w:t>
      </w:r>
      <w:r>
        <w:rPr>
          <w:color w:val="000000"/>
          <w:spacing w:val="-5"/>
        </w:rPr>
        <w:t>n</w:t>
      </w:r>
      <w:r>
        <w:rPr>
          <w:color w:val="000000"/>
          <w:spacing w:val="4"/>
        </w:rPr>
        <w:t>a</w:t>
      </w:r>
      <w:r>
        <w:rPr>
          <w:color w:val="000000"/>
        </w:rPr>
        <w:t>s 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spacing w:val="-4"/>
        </w:rPr>
        <w:t>j</w:t>
      </w:r>
      <w:r>
        <w:rPr>
          <w:color w:val="000000"/>
        </w:rPr>
        <w:t>e</w:t>
      </w:r>
      <w:r>
        <w:rPr>
          <w:color w:val="000000"/>
          <w:spacing w:val="1"/>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rPr>
        <w:t>t</w:t>
      </w:r>
      <w:r>
        <w:rPr>
          <w:color w:val="000000"/>
          <w:spacing w:val="5"/>
        </w:rPr>
        <w:t>o</w:t>
      </w:r>
      <w:r>
        <w:rPr>
          <w:color w:val="000000"/>
          <w:spacing w:val="-9"/>
        </w:rPr>
        <w:t>j</w:t>
      </w:r>
      <w:r>
        <w:rPr>
          <w:color w:val="000000"/>
          <w:spacing w:val="-1"/>
        </w:rPr>
        <w:t>e</w:t>
      </w:r>
      <w:r>
        <w:rPr>
          <w:color w:val="000000"/>
        </w:rPr>
        <w:t>.</w:t>
      </w:r>
    </w:p>
    <w:p w:rsidR="004F7425" w:rsidRDefault="004F7425" w:rsidP="004F7425">
      <w:pPr>
        <w:widowControl w:val="0"/>
        <w:autoSpaceDE w:val="0"/>
        <w:autoSpaceDN w:val="0"/>
        <w:adjustRightInd w:val="0"/>
        <w:spacing w:before="1" w:line="277" w:lineRule="auto"/>
        <w:ind w:left="280" w:right="70" w:firstLine="721"/>
        <w:jc w:val="both"/>
        <w:rPr>
          <w:color w:val="000000"/>
        </w:rPr>
      </w:pPr>
      <w:r>
        <w:rPr>
          <w:color w:val="000000"/>
        </w:rPr>
        <w:t>Į</w:t>
      </w:r>
      <w:r>
        <w:rPr>
          <w:color w:val="000000"/>
          <w:spacing w:val="4"/>
        </w:rPr>
        <w:t xml:space="preserve"> </w:t>
      </w:r>
      <w:r>
        <w:rPr>
          <w:color w:val="000000"/>
          <w:spacing w:val="2"/>
        </w:rPr>
        <w:t>L</w:t>
      </w:r>
      <w:r>
        <w:rPr>
          <w:color w:val="000000"/>
          <w:spacing w:val="-9"/>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6"/>
        </w:rPr>
        <w:t xml:space="preserve"> </w:t>
      </w:r>
      <w:r>
        <w:rPr>
          <w:color w:val="000000"/>
          <w:spacing w:val="-5"/>
        </w:rPr>
        <w:t>A</w:t>
      </w:r>
      <w:r>
        <w:rPr>
          <w:color w:val="000000"/>
          <w:spacing w:val="2"/>
        </w:rPr>
        <w:t>T</w:t>
      </w:r>
      <w:r>
        <w:rPr>
          <w:color w:val="000000"/>
        </w:rPr>
        <w:t>S</w:t>
      </w:r>
      <w:r>
        <w:rPr>
          <w:color w:val="000000"/>
          <w:spacing w:val="8"/>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5"/>
        </w:rPr>
        <w:t xml:space="preserve"> </w:t>
      </w:r>
      <w:r>
        <w:rPr>
          <w:color w:val="000000"/>
          <w:spacing w:val="-10"/>
        </w:rPr>
        <w:t>y</w:t>
      </w:r>
      <w:r>
        <w:rPr>
          <w:color w:val="000000"/>
          <w:spacing w:val="6"/>
        </w:rPr>
        <w:t>r</w:t>
      </w:r>
      <w:r>
        <w:rPr>
          <w:color w:val="000000"/>
        </w:rPr>
        <w:t>a</w:t>
      </w:r>
      <w:r>
        <w:rPr>
          <w:color w:val="000000"/>
          <w:spacing w:val="6"/>
        </w:rPr>
        <w:t xml:space="preserve"> </w:t>
      </w:r>
      <w:r>
        <w:rPr>
          <w:color w:val="000000"/>
          <w:spacing w:val="-4"/>
        </w:rPr>
        <w:t>į</w:t>
      </w:r>
      <w:r>
        <w:rPr>
          <w:color w:val="000000"/>
        </w:rPr>
        <w:t>v</w:t>
      </w:r>
      <w:r>
        <w:rPr>
          <w:color w:val="000000"/>
          <w:spacing w:val="-1"/>
        </w:rPr>
        <w:t>ež</w:t>
      </w:r>
      <w:r>
        <w:rPr>
          <w:color w:val="000000"/>
          <w:spacing w:val="4"/>
        </w:rPr>
        <w:t>a</w:t>
      </w:r>
      <w:r>
        <w:rPr>
          <w:color w:val="000000"/>
          <w:spacing w:val="-9"/>
        </w:rPr>
        <w:t>m</w:t>
      </w:r>
      <w:r>
        <w:rPr>
          <w:color w:val="000000"/>
          <w:spacing w:val="5"/>
        </w:rPr>
        <w:t>o</w:t>
      </w:r>
      <w:r>
        <w:rPr>
          <w:color w:val="000000"/>
        </w:rPr>
        <w:t>s</w:t>
      </w:r>
      <w:r>
        <w:rPr>
          <w:color w:val="000000"/>
          <w:spacing w:val="5"/>
        </w:rPr>
        <w:t xml:space="preserve"> </w:t>
      </w:r>
      <w:r>
        <w:rPr>
          <w:color w:val="000000"/>
          <w:spacing w:val="-4"/>
        </w:rPr>
        <w:t>i</w:t>
      </w:r>
      <w:r>
        <w:rPr>
          <w:color w:val="000000"/>
        </w:rPr>
        <w:t>š</w:t>
      </w:r>
      <w:r>
        <w:rPr>
          <w:color w:val="000000"/>
          <w:spacing w:val="5"/>
        </w:rPr>
        <w:t xml:space="preserve"> </w:t>
      </w:r>
      <w:r>
        <w:rPr>
          <w:color w:val="000000"/>
        </w:rPr>
        <w:t>V</w:t>
      </w:r>
      <w:r>
        <w:rPr>
          <w:color w:val="000000"/>
          <w:spacing w:val="-1"/>
        </w:rPr>
        <w:t>a</w:t>
      </w:r>
      <w:r>
        <w:rPr>
          <w:color w:val="000000"/>
        </w:rPr>
        <w:t>k</w:t>
      </w:r>
      <w:r>
        <w:rPr>
          <w:color w:val="000000"/>
          <w:spacing w:val="-1"/>
        </w:rPr>
        <w:t>a</w:t>
      </w:r>
      <w:r>
        <w:rPr>
          <w:color w:val="000000"/>
          <w:spacing w:val="6"/>
        </w:rPr>
        <w:t>r</w:t>
      </w:r>
      <w:r>
        <w:rPr>
          <w:color w:val="000000"/>
        </w:rPr>
        <w:t>ų</w:t>
      </w:r>
      <w:r>
        <w:rPr>
          <w:color w:val="000000"/>
          <w:spacing w:val="2"/>
        </w:rPr>
        <w:t xml:space="preserve"> 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spacing w:val="-2"/>
        </w:rPr>
        <w:t>s</w:t>
      </w:r>
      <w:r>
        <w:rPr>
          <w:color w:val="000000"/>
        </w:rPr>
        <w:t xml:space="preserve">, </w:t>
      </w:r>
      <w:r>
        <w:rPr>
          <w:color w:val="000000"/>
          <w:spacing w:val="5"/>
        </w:rPr>
        <w:t>t</w:t>
      </w:r>
      <w:r>
        <w:rPr>
          <w:color w:val="000000"/>
          <w:spacing w:val="-1"/>
        </w:rPr>
        <w:t>ač</w:t>
      </w:r>
      <w:r>
        <w:rPr>
          <w:color w:val="000000"/>
          <w:spacing w:val="-4"/>
        </w:rPr>
        <w:t>i</w:t>
      </w:r>
      <w:r>
        <w:rPr>
          <w:color w:val="000000"/>
          <w:spacing w:val="-1"/>
        </w:rPr>
        <w:t>a</w:t>
      </w:r>
      <w:r>
        <w:rPr>
          <w:color w:val="000000"/>
        </w:rPr>
        <w:t>u</w:t>
      </w:r>
      <w:r>
        <w:rPr>
          <w:color w:val="000000"/>
          <w:spacing w:val="7"/>
        </w:rPr>
        <w:t xml:space="preserve"> </w:t>
      </w:r>
      <w:r>
        <w:rPr>
          <w:color w:val="000000"/>
          <w:spacing w:val="-9"/>
        </w:rPr>
        <w:t>i</w:t>
      </w:r>
      <w:r>
        <w:rPr>
          <w:color w:val="000000"/>
        </w:rPr>
        <w:t>r</w:t>
      </w:r>
      <w:r>
        <w:rPr>
          <w:color w:val="000000"/>
          <w:spacing w:val="9"/>
        </w:rPr>
        <w:t xml:space="preserve"> </w:t>
      </w:r>
      <w:r>
        <w:rPr>
          <w:color w:val="000000"/>
          <w:spacing w:val="-2"/>
        </w:rPr>
        <w:t>š</w:t>
      </w:r>
      <w:r>
        <w:rPr>
          <w:color w:val="000000"/>
          <w:spacing w:val="4"/>
        </w:rPr>
        <w:t>a</w:t>
      </w:r>
      <w:r>
        <w:rPr>
          <w:color w:val="000000"/>
        </w:rPr>
        <w:t>ly</w:t>
      </w:r>
      <w:r>
        <w:rPr>
          <w:color w:val="000000"/>
          <w:spacing w:val="-4"/>
        </w:rPr>
        <w:t>j</w:t>
      </w:r>
      <w:r>
        <w:rPr>
          <w:color w:val="000000"/>
        </w:rPr>
        <w:t>e</w:t>
      </w:r>
      <w:r>
        <w:rPr>
          <w:color w:val="000000"/>
          <w:spacing w:val="1"/>
        </w:rPr>
        <w:t xml:space="preserve"> </w:t>
      </w:r>
      <w:r>
        <w:rPr>
          <w:color w:val="000000"/>
          <w:spacing w:val="5"/>
        </w:rPr>
        <w:t>o</w:t>
      </w:r>
      <w:r>
        <w:rPr>
          <w:color w:val="000000"/>
          <w:spacing w:val="1"/>
        </w:rPr>
        <w:t>r</w:t>
      </w:r>
      <w:r>
        <w:rPr>
          <w:color w:val="000000"/>
        </w:rPr>
        <w:t>g</w:t>
      </w:r>
      <w:r>
        <w:rPr>
          <w:color w:val="000000"/>
          <w:spacing w:val="-1"/>
        </w:rPr>
        <w:t>a</w:t>
      </w:r>
      <w:r>
        <w:rPr>
          <w:color w:val="000000"/>
        </w:rPr>
        <w:t>n</w:t>
      </w:r>
      <w:r>
        <w:rPr>
          <w:color w:val="000000"/>
          <w:spacing w:val="-4"/>
        </w:rPr>
        <w:t>i</w:t>
      </w:r>
      <w:r>
        <w:rPr>
          <w:color w:val="000000"/>
          <w:spacing w:val="-1"/>
        </w:rPr>
        <w:t>z</w:t>
      </w:r>
      <w:r>
        <w:rPr>
          <w:color w:val="000000"/>
        </w:rPr>
        <w:t>u</w:t>
      </w:r>
      <w:r>
        <w:rPr>
          <w:color w:val="000000"/>
          <w:spacing w:val="9"/>
        </w:rPr>
        <w:t>o</w:t>
      </w:r>
      <w:r>
        <w:rPr>
          <w:color w:val="000000"/>
          <w:spacing w:val="-9"/>
        </w:rPr>
        <w:t>j</w:t>
      </w:r>
      <w:r>
        <w:rPr>
          <w:color w:val="000000"/>
          <w:spacing w:val="4"/>
        </w:rPr>
        <w:t>a</w:t>
      </w:r>
      <w:r>
        <w:rPr>
          <w:color w:val="000000"/>
          <w:spacing w:val="-4"/>
        </w:rPr>
        <w:t>m</w:t>
      </w:r>
      <w:r>
        <w:rPr>
          <w:color w:val="000000"/>
        </w:rPr>
        <w:t xml:space="preserve">a </w:t>
      </w:r>
      <w:r>
        <w:rPr>
          <w:color w:val="000000"/>
          <w:spacing w:val="-5"/>
        </w:rPr>
        <w:t>n</w:t>
      </w:r>
      <w:r>
        <w:rPr>
          <w:color w:val="000000"/>
          <w:spacing w:val="-1"/>
        </w:rPr>
        <w:t>e</w:t>
      </w:r>
      <w:r>
        <w:rPr>
          <w:color w:val="000000"/>
          <w:spacing w:val="5"/>
        </w:rPr>
        <w:t>d</w:t>
      </w:r>
      <w:r>
        <w:rPr>
          <w:color w:val="000000"/>
          <w:spacing w:val="-4"/>
        </w:rPr>
        <w:t>i</w:t>
      </w:r>
      <w:r>
        <w:rPr>
          <w:color w:val="000000"/>
        </w:rPr>
        <w:t>d</w:t>
      </w:r>
      <w:r>
        <w:rPr>
          <w:color w:val="000000"/>
          <w:spacing w:val="4"/>
        </w:rPr>
        <w:t>e</w:t>
      </w:r>
      <w:r>
        <w:rPr>
          <w:color w:val="000000"/>
          <w:spacing w:val="-4"/>
        </w:rPr>
        <w:t>l</w:t>
      </w:r>
      <w:r>
        <w:rPr>
          <w:color w:val="000000"/>
          <w:spacing w:val="4"/>
        </w:rPr>
        <w:t>ė</w:t>
      </w:r>
      <w:r>
        <w:rPr>
          <w:color w:val="000000"/>
        </w:rPr>
        <w:t>s</w:t>
      </w:r>
      <w:r>
        <w:rPr>
          <w:color w:val="000000"/>
          <w:spacing w:val="19"/>
        </w:rPr>
        <w:t xml:space="preserve"> </w:t>
      </w:r>
      <w:r>
        <w:rPr>
          <w:color w:val="000000"/>
          <w:spacing w:val="-1"/>
        </w:rPr>
        <w:t>a</w:t>
      </w:r>
      <w:r>
        <w:rPr>
          <w:color w:val="000000"/>
          <w:spacing w:val="5"/>
        </w:rPr>
        <w:t>p</w:t>
      </w:r>
      <w:r>
        <w:rPr>
          <w:color w:val="000000"/>
        </w:rPr>
        <w:t>i</w:t>
      </w:r>
      <w:r>
        <w:rPr>
          <w:color w:val="000000"/>
          <w:spacing w:val="-9"/>
        </w:rPr>
        <w:t>m</w:t>
      </w:r>
      <w:r>
        <w:rPr>
          <w:color w:val="000000"/>
          <w:spacing w:val="10"/>
        </w:rPr>
        <w:t>t</w:t>
      </w:r>
      <w:r>
        <w:rPr>
          <w:color w:val="000000"/>
          <w:spacing w:val="-4"/>
        </w:rPr>
        <w:t>i</w:t>
      </w:r>
      <w:r>
        <w:rPr>
          <w:color w:val="000000"/>
          <w:spacing w:val="-1"/>
        </w:rPr>
        <w:t>e</w:t>
      </w:r>
      <w:r>
        <w:rPr>
          <w:color w:val="000000"/>
        </w:rPr>
        <w:t>s</w:t>
      </w:r>
      <w:r>
        <w:rPr>
          <w:color w:val="000000"/>
          <w:spacing w:val="24"/>
        </w:rPr>
        <w:t xml:space="preserve">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31"/>
        </w:rPr>
        <w:t xml:space="preserve"> </w:t>
      </w:r>
      <w:r>
        <w:rPr>
          <w:color w:val="000000"/>
          <w:spacing w:val="-5"/>
        </w:rPr>
        <w:t>b</w:t>
      </w:r>
      <w:r>
        <w:rPr>
          <w:color w:val="000000"/>
          <w:spacing w:val="4"/>
        </w:rPr>
        <w:t>e</w:t>
      </w:r>
      <w:r>
        <w:rPr>
          <w:color w:val="000000"/>
        </w:rPr>
        <w:t>i</w:t>
      </w:r>
      <w:r>
        <w:rPr>
          <w:color w:val="000000"/>
          <w:spacing w:val="22"/>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26"/>
        </w:rPr>
        <w:t xml:space="preserve"> </w:t>
      </w:r>
      <w:r>
        <w:rPr>
          <w:color w:val="000000"/>
        </w:rPr>
        <w:t>g</w:t>
      </w:r>
      <w:r>
        <w:rPr>
          <w:color w:val="000000"/>
          <w:spacing w:val="-1"/>
        </w:rPr>
        <w:t>a</w:t>
      </w:r>
      <w:r>
        <w:rPr>
          <w:color w:val="000000"/>
          <w:spacing w:val="-4"/>
        </w:rPr>
        <w:t>m</w:t>
      </w:r>
      <w:r>
        <w:rPr>
          <w:color w:val="000000"/>
          <w:spacing w:val="-5"/>
        </w:rPr>
        <w:t>y</w:t>
      </w:r>
      <w:r>
        <w:rPr>
          <w:color w:val="000000"/>
        </w:rPr>
        <w:t>b</w:t>
      </w:r>
      <w:r>
        <w:rPr>
          <w:color w:val="000000"/>
          <w:spacing w:val="-1"/>
        </w:rPr>
        <w:t>a</w:t>
      </w:r>
      <w:r>
        <w:rPr>
          <w:color w:val="000000"/>
        </w:rPr>
        <w:t>,</w:t>
      </w:r>
      <w:r>
        <w:rPr>
          <w:color w:val="000000"/>
          <w:spacing w:val="24"/>
        </w:rPr>
        <w:t xml:space="preserve"> </w:t>
      </w:r>
      <w:r>
        <w:rPr>
          <w:color w:val="000000"/>
        </w:rPr>
        <w:t>ku</w:t>
      </w:r>
      <w:r>
        <w:rPr>
          <w:color w:val="000000"/>
          <w:spacing w:val="6"/>
        </w:rPr>
        <w:t>r</w:t>
      </w:r>
      <w:r>
        <w:rPr>
          <w:color w:val="000000"/>
        </w:rPr>
        <w:t>i</w:t>
      </w:r>
      <w:r>
        <w:rPr>
          <w:color w:val="000000"/>
          <w:spacing w:val="17"/>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2"/>
        </w:rPr>
        <w:t xml:space="preserve"> </w:t>
      </w:r>
      <w:r>
        <w:rPr>
          <w:color w:val="000000"/>
          <w:spacing w:val="-2"/>
        </w:rPr>
        <w:t>s</w:t>
      </w:r>
      <w:r>
        <w:rPr>
          <w:color w:val="000000"/>
          <w:spacing w:val="5"/>
        </w:rPr>
        <w:t>k</w:t>
      </w:r>
      <w:r>
        <w:rPr>
          <w:color w:val="000000"/>
          <w:spacing w:val="-9"/>
        </w:rPr>
        <w:t>i</w:t>
      </w:r>
      <w:r>
        <w:rPr>
          <w:color w:val="000000"/>
          <w:spacing w:val="1"/>
        </w:rPr>
        <w:t>r</w:t>
      </w:r>
      <w:r>
        <w:rPr>
          <w:color w:val="000000"/>
          <w:spacing w:val="5"/>
        </w:rPr>
        <w:t>t</w:t>
      </w:r>
      <w:r>
        <w:rPr>
          <w:color w:val="000000"/>
        </w:rPr>
        <w:t>a</w:t>
      </w:r>
      <w:r>
        <w:rPr>
          <w:color w:val="000000"/>
          <w:spacing w:val="20"/>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spacing w:val="5"/>
        </w:rPr>
        <w:t>d</w:t>
      </w:r>
      <w:r>
        <w:rPr>
          <w:color w:val="000000"/>
          <w:spacing w:val="4"/>
        </w:rPr>
        <w:t>a</w:t>
      </w:r>
      <w:r>
        <w:rPr>
          <w:color w:val="000000"/>
        </w:rPr>
        <w:t>i</w:t>
      </w:r>
      <w:r>
        <w:rPr>
          <w:color w:val="000000"/>
          <w:spacing w:val="27"/>
        </w:rPr>
        <w:t xml:space="preserve"> </w:t>
      </w:r>
      <w:r>
        <w:rPr>
          <w:color w:val="000000"/>
        </w:rPr>
        <w:t xml:space="preserve">į </w:t>
      </w:r>
      <w:r>
        <w:rPr>
          <w:color w:val="000000"/>
          <w:spacing w:val="5"/>
        </w:rPr>
        <w:t>k</w:t>
      </w:r>
      <w:r>
        <w:rPr>
          <w:color w:val="000000"/>
          <w:spacing w:val="-9"/>
        </w:rPr>
        <w:t>i</w:t>
      </w:r>
      <w:r>
        <w:rPr>
          <w:color w:val="000000"/>
          <w:spacing w:val="5"/>
        </w:rPr>
        <w:t>t</w:t>
      </w:r>
      <w:r>
        <w:rPr>
          <w:color w:val="000000"/>
          <w:spacing w:val="-1"/>
        </w:rPr>
        <w:t>a</w:t>
      </w:r>
      <w:r>
        <w:rPr>
          <w:color w:val="000000"/>
          <w:spacing w:val="-2"/>
        </w:rPr>
        <w:t>s</w:t>
      </w:r>
      <w:r>
        <w:rPr>
          <w:color w:val="000000"/>
        </w:rPr>
        <w:t>,</w:t>
      </w:r>
      <w:r>
        <w:rPr>
          <w:color w:val="000000"/>
          <w:spacing w:val="4"/>
        </w:rPr>
        <w:t xml:space="preserve"> </w:t>
      </w:r>
      <w:r>
        <w:rPr>
          <w:color w:val="000000"/>
          <w:spacing w:val="-10"/>
        </w:rPr>
        <w:t>y</w:t>
      </w:r>
      <w:r>
        <w:rPr>
          <w:color w:val="000000"/>
          <w:spacing w:val="5"/>
        </w:rPr>
        <w:t>p</w:t>
      </w:r>
      <w:r>
        <w:rPr>
          <w:color w:val="000000"/>
          <w:spacing w:val="-1"/>
        </w:rPr>
        <w:t>a</w:t>
      </w:r>
      <w:r>
        <w:rPr>
          <w:color w:val="000000"/>
        </w:rPr>
        <w:t>č</w:t>
      </w:r>
      <w:r>
        <w:rPr>
          <w:color w:val="000000"/>
          <w:spacing w:val="1"/>
        </w:rPr>
        <w:t xml:space="preserve"> S</w:t>
      </w:r>
      <w:r>
        <w:rPr>
          <w:color w:val="000000"/>
        </w:rPr>
        <w:t>k</w:t>
      </w:r>
      <w:r>
        <w:rPr>
          <w:color w:val="000000"/>
          <w:spacing w:val="-1"/>
        </w:rPr>
        <w:t>a</w:t>
      </w:r>
      <w:r>
        <w:rPr>
          <w:color w:val="000000"/>
          <w:spacing w:val="-5"/>
        </w:rPr>
        <w:t>n</w:t>
      </w:r>
      <w:r>
        <w:rPr>
          <w:color w:val="000000"/>
          <w:spacing w:val="5"/>
        </w:rPr>
        <w:t>d</w:t>
      </w:r>
      <w:r>
        <w:rPr>
          <w:color w:val="000000"/>
          <w:spacing w:val="-4"/>
        </w:rPr>
        <w:t>i</w:t>
      </w:r>
      <w:r>
        <w:rPr>
          <w:color w:val="000000"/>
        </w:rPr>
        <w:t>n</w:t>
      </w:r>
      <w:r>
        <w:rPr>
          <w:color w:val="000000"/>
          <w:spacing w:val="4"/>
        </w:rPr>
        <w:t>a</w:t>
      </w:r>
      <w:r>
        <w:rPr>
          <w:color w:val="000000"/>
        </w:rPr>
        <w:t>vi</w:t>
      </w:r>
      <w:r>
        <w:rPr>
          <w:color w:val="000000"/>
          <w:spacing w:val="-9"/>
        </w:rPr>
        <w:t>j</w:t>
      </w:r>
      <w:r>
        <w:rPr>
          <w:color w:val="000000"/>
          <w:spacing w:val="9"/>
        </w:rPr>
        <w:t>o</w:t>
      </w:r>
      <w:r>
        <w:rPr>
          <w:color w:val="000000"/>
        </w:rPr>
        <w:t xml:space="preserve">s </w:t>
      </w:r>
      <w:r>
        <w:rPr>
          <w:color w:val="000000"/>
          <w:spacing w:val="-2"/>
        </w:rPr>
        <w:t>š</w:t>
      </w:r>
      <w:r>
        <w:rPr>
          <w:color w:val="000000"/>
          <w:spacing w:val="4"/>
        </w:rPr>
        <w:t>a</w:t>
      </w:r>
      <w:r>
        <w:rPr>
          <w:color w:val="000000"/>
          <w:spacing w:val="-4"/>
        </w:rPr>
        <w:t>li</w:t>
      </w:r>
      <w:r>
        <w:rPr>
          <w:color w:val="000000"/>
        </w:rPr>
        <w:t>s</w:t>
      </w:r>
      <w:r>
        <w:rPr>
          <w:color w:val="000000"/>
          <w:spacing w:val="5"/>
        </w:rPr>
        <w:t xml:space="preserve"> </w:t>
      </w:r>
      <w:r>
        <w:rPr>
          <w:color w:val="000000"/>
        </w:rPr>
        <w:t>b</w:t>
      </w:r>
      <w:r>
        <w:rPr>
          <w:color w:val="000000"/>
          <w:spacing w:val="4"/>
        </w:rPr>
        <w:t>e</w:t>
      </w:r>
      <w:r>
        <w:rPr>
          <w:color w:val="000000"/>
        </w:rPr>
        <w:t>i</w:t>
      </w:r>
      <w:r>
        <w:rPr>
          <w:color w:val="000000"/>
          <w:spacing w:val="-7"/>
        </w:rPr>
        <w:t xml:space="preserve"> </w:t>
      </w:r>
      <w:r>
        <w:rPr>
          <w:color w:val="000000"/>
          <w:spacing w:val="2"/>
        </w:rPr>
        <w:t>s</w:t>
      </w:r>
      <w:r>
        <w:rPr>
          <w:color w:val="000000"/>
          <w:spacing w:val="-4"/>
        </w:rPr>
        <w:t>i</w:t>
      </w:r>
      <w:r>
        <w:rPr>
          <w:color w:val="000000"/>
          <w:spacing w:val="4"/>
        </w:rPr>
        <w:t>e</w:t>
      </w:r>
      <w:r>
        <w:rPr>
          <w:color w:val="000000"/>
          <w:spacing w:val="1"/>
        </w:rPr>
        <w:t>j</w:t>
      </w:r>
      <w:r>
        <w:rPr>
          <w:color w:val="000000"/>
          <w:spacing w:val="8"/>
        </w:rPr>
        <w:t>a</w:t>
      </w:r>
      <w:r>
        <w:rPr>
          <w:color w:val="000000"/>
          <w:spacing w:val="-4"/>
        </w:rPr>
        <w:t>m</w:t>
      </w:r>
      <w:r>
        <w:rPr>
          <w:color w:val="000000"/>
        </w:rPr>
        <w:t>a</w:t>
      </w:r>
      <w:r>
        <w:rPr>
          <w:color w:val="000000"/>
          <w:spacing w:val="1"/>
        </w:rPr>
        <w:t xml:space="preserve"> </w:t>
      </w:r>
      <w:r>
        <w:rPr>
          <w:color w:val="000000"/>
          <w:spacing w:val="-2"/>
        </w:rPr>
        <w:t>s</w:t>
      </w:r>
      <w:r>
        <w:rPr>
          <w:color w:val="000000"/>
        </w:rPr>
        <w:t>u</w:t>
      </w:r>
      <w:r>
        <w:rPr>
          <w:color w:val="000000"/>
          <w:spacing w:val="2"/>
        </w:rPr>
        <w:t xml:space="preserve"> </w:t>
      </w:r>
      <w:r>
        <w:rPr>
          <w:color w:val="000000"/>
          <w:spacing w:val="5"/>
        </w:rPr>
        <w:t>o</w:t>
      </w:r>
      <w:r>
        <w:rPr>
          <w:color w:val="000000"/>
          <w:spacing w:val="1"/>
        </w:rPr>
        <w:t>r</w:t>
      </w:r>
      <w:r>
        <w:rPr>
          <w:color w:val="000000"/>
        </w:rPr>
        <w:t>g</w:t>
      </w:r>
      <w:r>
        <w:rPr>
          <w:color w:val="000000"/>
          <w:spacing w:val="-6"/>
        </w:rPr>
        <w:t>a</w:t>
      </w:r>
      <w:r>
        <w:rPr>
          <w:color w:val="000000"/>
        </w:rPr>
        <w:t>n</w:t>
      </w:r>
      <w:r>
        <w:rPr>
          <w:color w:val="000000"/>
          <w:spacing w:val="-4"/>
        </w:rPr>
        <w:t>i</w:t>
      </w:r>
      <w:r>
        <w:rPr>
          <w:color w:val="000000"/>
          <w:spacing w:val="-1"/>
        </w:rPr>
        <w:t>z</w:t>
      </w:r>
      <w:r>
        <w:rPr>
          <w:color w:val="000000"/>
        </w:rPr>
        <w:t>u</w:t>
      </w:r>
      <w:r>
        <w:rPr>
          <w:color w:val="000000"/>
          <w:spacing w:val="5"/>
        </w:rPr>
        <w:t>ot</w:t>
      </w:r>
      <w:r>
        <w:rPr>
          <w:color w:val="000000"/>
        </w:rPr>
        <w:t>u</w:t>
      </w:r>
      <w:r>
        <w:rPr>
          <w:color w:val="000000"/>
          <w:spacing w:val="-3"/>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u</w:t>
      </w:r>
      <w:r>
        <w:rPr>
          <w:color w:val="000000"/>
          <w:spacing w:val="-4"/>
        </w:rPr>
        <w:t>m</w:t>
      </w:r>
      <w:r>
        <w:rPr>
          <w:color w:val="000000"/>
        </w:rPr>
        <w:t>u.</w:t>
      </w:r>
    </w:p>
    <w:p w:rsidR="004F7425" w:rsidRDefault="004F7425" w:rsidP="004F7425">
      <w:pPr>
        <w:widowControl w:val="0"/>
        <w:autoSpaceDE w:val="0"/>
        <w:autoSpaceDN w:val="0"/>
        <w:adjustRightInd w:val="0"/>
        <w:spacing w:line="275" w:lineRule="exact"/>
        <w:ind w:left="640" w:right="-20"/>
        <w:rPr>
          <w:color w:val="000000"/>
        </w:rPr>
      </w:pPr>
      <w:r>
        <w:rPr>
          <w:color w:val="000000"/>
        </w:rPr>
        <w:t>2012</w:t>
      </w:r>
      <w:r>
        <w:rPr>
          <w:color w:val="000000"/>
          <w:spacing w:val="2"/>
        </w:rPr>
        <w:t xml:space="preserve"> </w:t>
      </w:r>
      <w:r>
        <w:rPr>
          <w:color w:val="000000"/>
          <w:spacing w:val="-9"/>
        </w:rPr>
        <w:t>m</w:t>
      </w:r>
      <w:r>
        <w:rPr>
          <w:color w:val="000000"/>
        </w:rPr>
        <w:t>.</w:t>
      </w:r>
      <w:r>
        <w:rPr>
          <w:color w:val="000000"/>
          <w:spacing w:val="4"/>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1"/>
        </w:rPr>
        <w:t xml:space="preserve"> </w:t>
      </w:r>
      <w:r>
        <w:rPr>
          <w:color w:val="000000"/>
        </w:rPr>
        <w:t>p</w:t>
      </w:r>
      <w:r>
        <w:rPr>
          <w:color w:val="000000"/>
          <w:spacing w:val="5"/>
        </w:rPr>
        <w:t>o</w:t>
      </w:r>
      <w:r>
        <w:rPr>
          <w:color w:val="000000"/>
          <w:spacing w:val="-4"/>
        </w:rPr>
        <w:t>li</w:t>
      </w:r>
      <w:r>
        <w:rPr>
          <w:color w:val="000000"/>
          <w:spacing w:val="4"/>
        </w:rPr>
        <w:t>c</w:t>
      </w:r>
      <w:r>
        <w:rPr>
          <w:color w:val="000000"/>
        </w:rPr>
        <w:t>i</w:t>
      </w:r>
      <w:r>
        <w:rPr>
          <w:color w:val="000000"/>
          <w:spacing w:val="-4"/>
        </w:rPr>
        <w:t>j</w:t>
      </w:r>
      <w:r>
        <w:rPr>
          <w:color w:val="000000"/>
        </w:rPr>
        <w:t>a</w:t>
      </w:r>
      <w:r>
        <w:rPr>
          <w:color w:val="000000"/>
          <w:spacing w:val="1"/>
        </w:rPr>
        <w:t xml:space="preserve"> </w:t>
      </w:r>
      <w:r>
        <w:rPr>
          <w:color w:val="000000"/>
          <w:spacing w:val="-1"/>
        </w:rPr>
        <w:t>a</w:t>
      </w:r>
      <w:r>
        <w:rPr>
          <w:color w:val="000000"/>
          <w:spacing w:val="5"/>
        </w:rPr>
        <w:t>t</w:t>
      </w:r>
      <w:r>
        <w:rPr>
          <w:color w:val="000000"/>
          <w:spacing w:val="-2"/>
        </w:rPr>
        <w:t>s</w:t>
      </w:r>
      <w:r>
        <w:rPr>
          <w:color w:val="000000"/>
          <w:spacing w:val="5"/>
        </w:rPr>
        <w:t>k</w:t>
      </w:r>
      <w:r>
        <w:rPr>
          <w:color w:val="000000"/>
          <w:spacing w:val="-9"/>
        </w:rPr>
        <w:t>l</w:t>
      </w:r>
      <w:r>
        <w:rPr>
          <w:color w:val="000000"/>
          <w:spacing w:val="4"/>
        </w:rPr>
        <w:t>e</w:t>
      </w:r>
      <w:r>
        <w:rPr>
          <w:color w:val="000000"/>
          <w:spacing w:val="-4"/>
        </w:rPr>
        <w:t>i</w:t>
      </w:r>
      <w:r>
        <w:rPr>
          <w:color w:val="000000"/>
          <w:spacing w:val="5"/>
        </w:rPr>
        <w:t>d</w:t>
      </w:r>
      <w:r>
        <w:rPr>
          <w:color w:val="000000"/>
        </w:rPr>
        <w:t>ė</w:t>
      </w:r>
      <w:r>
        <w:rPr>
          <w:color w:val="000000"/>
          <w:spacing w:val="1"/>
        </w:rPr>
        <w:t xml:space="preserve"> </w:t>
      </w:r>
      <w:r>
        <w:rPr>
          <w:color w:val="000000"/>
          <w:spacing w:val="5"/>
        </w:rPr>
        <w:t>t</w:t>
      </w:r>
      <w:r>
        <w:rPr>
          <w:color w:val="000000"/>
          <w:spacing w:val="1"/>
        </w:rPr>
        <w:t>r</w:t>
      </w:r>
      <w:r>
        <w:rPr>
          <w:color w:val="000000"/>
          <w:spacing w:val="-9"/>
        </w:rPr>
        <w:t>i</w:t>
      </w:r>
      <w:r>
        <w:rPr>
          <w:color w:val="000000"/>
        </w:rPr>
        <w:t xml:space="preserve">s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u</w:t>
      </w:r>
      <w:r>
        <w:rPr>
          <w:color w:val="000000"/>
          <w:spacing w:val="-2"/>
        </w:rPr>
        <w:t>s</w:t>
      </w:r>
      <w:r>
        <w:rPr>
          <w:color w:val="000000"/>
        </w:rPr>
        <w:t>,</w:t>
      </w:r>
      <w:r>
        <w:rPr>
          <w:color w:val="000000"/>
          <w:spacing w:val="4"/>
        </w:rPr>
        <w:t xml:space="preserve"> </w:t>
      </w:r>
      <w:r>
        <w:rPr>
          <w:color w:val="000000"/>
        </w:rPr>
        <w:t>ku</w:t>
      </w:r>
      <w:r>
        <w:rPr>
          <w:color w:val="000000"/>
          <w:spacing w:val="5"/>
        </w:rPr>
        <w:t>o</w:t>
      </w:r>
      <w:r>
        <w:rPr>
          <w:color w:val="000000"/>
          <w:spacing w:val="-9"/>
        </w:rPr>
        <w:t>m</w:t>
      </w:r>
      <w:r>
        <w:rPr>
          <w:color w:val="000000"/>
          <w:spacing w:val="-1"/>
        </w:rPr>
        <w:t>e</w:t>
      </w:r>
      <w:r>
        <w:rPr>
          <w:color w:val="000000"/>
        </w:rPr>
        <w:t>t</w:t>
      </w:r>
      <w:r>
        <w:rPr>
          <w:color w:val="000000"/>
          <w:spacing w:val="7"/>
        </w:rPr>
        <w:t xml:space="preserve"> </w:t>
      </w:r>
      <w:r>
        <w:rPr>
          <w:color w:val="000000"/>
          <w:spacing w:val="-5"/>
        </w:rPr>
        <w:t>b</w:t>
      </w:r>
      <w:r>
        <w:rPr>
          <w:color w:val="000000"/>
        </w:rPr>
        <w:t>u</w:t>
      </w:r>
      <w:r>
        <w:rPr>
          <w:color w:val="000000"/>
          <w:spacing w:val="-5"/>
        </w:rPr>
        <w:t>v</w:t>
      </w:r>
      <w:r>
        <w:rPr>
          <w:color w:val="000000"/>
        </w:rPr>
        <w:t>o</w:t>
      </w:r>
      <w:r>
        <w:rPr>
          <w:color w:val="000000"/>
          <w:spacing w:val="7"/>
        </w:rPr>
        <w:t xml:space="preserve"> </w:t>
      </w:r>
      <w:r>
        <w:rPr>
          <w:color w:val="000000"/>
        </w:rPr>
        <w:t>g</w:t>
      </w:r>
      <w:r>
        <w:rPr>
          <w:color w:val="000000"/>
          <w:spacing w:val="4"/>
        </w:rPr>
        <w:t>a</w:t>
      </w:r>
      <w:r>
        <w:rPr>
          <w:color w:val="000000"/>
          <w:spacing w:val="-4"/>
        </w:rPr>
        <w:t>mi</w:t>
      </w:r>
      <w:r>
        <w:rPr>
          <w:color w:val="000000"/>
        </w:rPr>
        <w:t>n</w:t>
      </w:r>
      <w:r>
        <w:rPr>
          <w:color w:val="000000"/>
          <w:spacing w:val="4"/>
        </w:rPr>
        <w:t>a</w:t>
      </w:r>
      <w:r>
        <w:rPr>
          <w:color w:val="000000"/>
          <w:spacing w:val="-9"/>
        </w:rPr>
        <w:t>m</w:t>
      </w:r>
      <w:r>
        <w:rPr>
          <w:color w:val="000000"/>
          <w:spacing w:val="5"/>
        </w:rPr>
        <w:t>o</w:t>
      </w:r>
      <w:r>
        <w:rPr>
          <w:color w:val="000000"/>
        </w:rPr>
        <w:t>s</w:t>
      </w:r>
      <w:r>
        <w:rPr>
          <w:color w:val="000000"/>
          <w:spacing w:val="5"/>
        </w:rPr>
        <w:t xml:space="preserve"> </w:t>
      </w:r>
      <w:r>
        <w:rPr>
          <w:color w:val="000000"/>
          <w:spacing w:val="-5"/>
        </w:rPr>
        <w:t>A</w:t>
      </w:r>
      <w:r>
        <w:rPr>
          <w:color w:val="000000"/>
          <w:spacing w:val="2"/>
        </w:rPr>
        <w:t>T</w:t>
      </w:r>
      <w:r>
        <w:rPr>
          <w:color w:val="000000"/>
        </w:rPr>
        <w:t>S</w:t>
      </w:r>
      <w:r>
        <w:rPr>
          <w:color w:val="000000"/>
          <w:spacing w:val="8"/>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p>
    <w:p w:rsidR="004F7425" w:rsidRDefault="004F7425" w:rsidP="004F7425">
      <w:pPr>
        <w:widowControl w:val="0"/>
        <w:tabs>
          <w:tab w:val="left" w:pos="980"/>
        </w:tabs>
        <w:autoSpaceDE w:val="0"/>
        <w:autoSpaceDN w:val="0"/>
        <w:adjustRightInd w:val="0"/>
        <w:spacing w:before="41"/>
        <w:ind w:left="640" w:right="-20"/>
        <w:rPr>
          <w:color w:val="000000"/>
        </w:rPr>
      </w:pPr>
      <w:r>
        <w:rPr>
          <w:color w:val="000000"/>
        </w:rPr>
        <w:t>-</w:t>
      </w:r>
      <w:r>
        <w:rPr>
          <w:color w:val="000000"/>
        </w:rPr>
        <w:tab/>
      </w:r>
      <w:r>
        <w:rPr>
          <w:color w:val="000000"/>
          <w:spacing w:val="2"/>
        </w:rPr>
        <w:t>T</w:t>
      </w:r>
      <w:r>
        <w:rPr>
          <w:color w:val="000000"/>
          <w:spacing w:val="4"/>
        </w:rPr>
        <w:t>e</w:t>
      </w:r>
      <w:r>
        <w:rPr>
          <w:color w:val="000000"/>
          <w:spacing w:val="-9"/>
        </w:rPr>
        <w:t>l</w:t>
      </w:r>
      <w:r>
        <w:rPr>
          <w:color w:val="000000"/>
          <w:spacing w:val="2"/>
        </w:rPr>
        <w:t>š</w:t>
      </w:r>
      <w:r>
        <w:rPr>
          <w:color w:val="000000"/>
          <w:spacing w:val="-4"/>
        </w:rPr>
        <w:t>i</w:t>
      </w:r>
      <w:r>
        <w:rPr>
          <w:color w:val="000000"/>
        </w:rPr>
        <w:t xml:space="preserve">ų </w:t>
      </w:r>
      <w:r>
        <w:rPr>
          <w:color w:val="000000"/>
          <w:spacing w:val="48"/>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rPr>
        <w:t>y</w:t>
      </w:r>
      <w:r>
        <w:rPr>
          <w:color w:val="000000"/>
          <w:spacing w:val="-4"/>
        </w:rPr>
        <w:t>j</w:t>
      </w:r>
      <w:r>
        <w:rPr>
          <w:color w:val="000000"/>
          <w:spacing w:val="-1"/>
        </w:rPr>
        <w:t>e</w:t>
      </w:r>
      <w:r>
        <w:rPr>
          <w:color w:val="000000"/>
        </w:rPr>
        <w:t xml:space="preserve">, </w:t>
      </w:r>
      <w:r>
        <w:rPr>
          <w:color w:val="000000"/>
          <w:spacing w:val="50"/>
        </w:rPr>
        <w:t xml:space="preserve"> </w:t>
      </w:r>
      <w:r>
        <w:rPr>
          <w:color w:val="000000"/>
          <w:spacing w:val="-1"/>
        </w:rPr>
        <w:t>a</w:t>
      </w:r>
      <w:r>
        <w:rPr>
          <w:color w:val="000000"/>
        </w:rPr>
        <w:t>t</w:t>
      </w:r>
      <w:r>
        <w:rPr>
          <w:color w:val="000000"/>
          <w:spacing w:val="5"/>
        </w:rPr>
        <w:t>o</w:t>
      </w:r>
      <w:r>
        <w:rPr>
          <w:color w:val="000000"/>
        </w:rPr>
        <w:t>k</w:t>
      </w:r>
      <w:r>
        <w:rPr>
          <w:color w:val="000000"/>
          <w:spacing w:val="-9"/>
        </w:rPr>
        <w:t>i</w:t>
      </w:r>
      <w:r>
        <w:rPr>
          <w:color w:val="000000"/>
          <w:spacing w:val="9"/>
        </w:rPr>
        <w:t>o</w:t>
      </w:r>
      <w:r>
        <w:rPr>
          <w:color w:val="000000"/>
          <w:spacing w:val="-9"/>
        </w:rPr>
        <w:t>j</w:t>
      </w:r>
      <w:r>
        <w:rPr>
          <w:color w:val="000000"/>
        </w:rPr>
        <w:t xml:space="preserve">e </w:t>
      </w:r>
      <w:r>
        <w:rPr>
          <w:color w:val="000000"/>
          <w:spacing w:val="47"/>
        </w:rPr>
        <w:t xml:space="preserve"> </w:t>
      </w:r>
      <w:r>
        <w:rPr>
          <w:color w:val="000000"/>
          <w:spacing w:val="-2"/>
        </w:rPr>
        <w:t>s</w:t>
      </w:r>
      <w:r>
        <w:rPr>
          <w:color w:val="000000"/>
          <w:spacing w:val="5"/>
        </w:rPr>
        <w:t>od</w:t>
      </w:r>
      <w:r>
        <w:rPr>
          <w:color w:val="000000"/>
          <w:spacing w:val="-5"/>
        </w:rPr>
        <w:t>yb</w:t>
      </w:r>
      <w:r>
        <w:rPr>
          <w:color w:val="000000"/>
          <w:spacing w:val="9"/>
        </w:rPr>
        <w:t>o</w:t>
      </w:r>
      <w:r>
        <w:rPr>
          <w:color w:val="000000"/>
          <w:spacing w:val="-9"/>
        </w:rPr>
        <w:t>j</w:t>
      </w:r>
      <w:r>
        <w:rPr>
          <w:color w:val="000000"/>
          <w:spacing w:val="-1"/>
        </w:rPr>
        <w:t>e</w:t>
      </w:r>
      <w:r>
        <w:rPr>
          <w:color w:val="000000"/>
        </w:rPr>
        <w:t xml:space="preserve">, </w:t>
      </w:r>
      <w:r>
        <w:rPr>
          <w:color w:val="000000"/>
          <w:spacing w:val="55"/>
        </w:rPr>
        <w:t xml:space="preserve"> </w:t>
      </w:r>
      <w:r>
        <w:rPr>
          <w:color w:val="000000"/>
          <w:spacing w:val="-4"/>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5"/>
        </w:rPr>
        <w:t>n</w:t>
      </w:r>
      <w:r>
        <w:rPr>
          <w:color w:val="000000"/>
          <w:spacing w:val="5"/>
        </w:rPr>
        <w:t>t</w:t>
      </w:r>
      <w:r>
        <w:rPr>
          <w:color w:val="000000"/>
        </w:rPr>
        <w:t xml:space="preserve">a </w:t>
      </w:r>
      <w:r>
        <w:rPr>
          <w:color w:val="000000"/>
          <w:spacing w:val="56"/>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1"/>
        </w:rPr>
        <w:t>a</w:t>
      </w:r>
      <w:r>
        <w:rPr>
          <w:color w:val="000000"/>
          <w:spacing w:val="-4"/>
        </w:rPr>
        <w:t>mi</w:t>
      </w:r>
      <w:r>
        <w:rPr>
          <w:color w:val="000000"/>
          <w:spacing w:val="-5"/>
        </w:rPr>
        <w:t>n</w:t>
      </w:r>
      <w:r>
        <w:rPr>
          <w:color w:val="000000"/>
        </w:rPr>
        <w:t xml:space="preserve">o </w:t>
      </w:r>
      <w:r>
        <w:rPr>
          <w:color w:val="000000"/>
          <w:spacing w:val="52"/>
        </w:rPr>
        <w:t xml:space="preserve"> </w:t>
      </w:r>
      <w:r>
        <w:rPr>
          <w:color w:val="000000"/>
        </w:rPr>
        <w:t>g</w:t>
      </w:r>
      <w:r>
        <w:rPr>
          <w:color w:val="000000"/>
          <w:spacing w:val="4"/>
        </w:rPr>
        <w:t>a</w:t>
      </w:r>
      <w:r>
        <w:rPr>
          <w:color w:val="000000"/>
        </w:rPr>
        <w:t>m</w:t>
      </w:r>
      <w:r>
        <w:rPr>
          <w:color w:val="000000"/>
          <w:spacing w:val="-4"/>
        </w:rPr>
        <w:t>y</w:t>
      </w:r>
      <w:r>
        <w:rPr>
          <w:color w:val="000000"/>
          <w:spacing w:val="-5"/>
        </w:rPr>
        <w:t>b</w:t>
      </w:r>
      <w:r>
        <w:rPr>
          <w:color w:val="000000"/>
          <w:spacing w:val="9"/>
        </w:rPr>
        <w:t>o</w:t>
      </w:r>
      <w:r>
        <w:rPr>
          <w:color w:val="000000"/>
        </w:rPr>
        <w:t xml:space="preserve">s </w:t>
      </w:r>
      <w:r>
        <w:rPr>
          <w:color w:val="000000"/>
          <w:spacing w:val="46"/>
        </w:rPr>
        <w:t xml:space="preserve"> </w:t>
      </w:r>
      <w:r>
        <w:rPr>
          <w:color w:val="000000"/>
        </w:rPr>
        <w:t>v</w:t>
      </w:r>
      <w:r>
        <w:rPr>
          <w:color w:val="000000"/>
          <w:spacing w:val="-4"/>
        </w:rPr>
        <w:t>i</w:t>
      </w:r>
      <w:r>
        <w:rPr>
          <w:color w:val="000000"/>
          <w:spacing w:val="-1"/>
        </w:rPr>
        <w:t>e</w:t>
      </w:r>
      <w:r>
        <w:rPr>
          <w:color w:val="000000"/>
          <w:spacing w:val="5"/>
        </w:rPr>
        <w:t>t</w:t>
      </w:r>
      <w:r>
        <w:rPr>
          <w:color w:val="000000"/>
        </w:rPr>
        <w:t xml:space="preserve">a </w:t>
      </w:r>
      <w:r>
        <w:rPr>
          <w:color w:val="000000"/>
          <w:spacing w:val="58"/>
        </w:rPr>
        <w:t xml:space="preserve"> </w:t>
      </w:r>
      <w:r>
        <w:rPr>
          <w:color w:val="000000"/>
          <w:spacing w:val="6"/>
        </w:rPr>
        <w:t>(</w:t>
      </w:r>
      <w:r>
        <w:rPr>
          <w:color w:val="000000"/>
          <w:spacing w:val="-9"/>
        </w:rPr>
        <w:t>l</w:t>
      </w:r>
      <w:r>
        <w:rPr>
          <w:color w:val="000000"/>
          <w:spacing w:val="4"/>
        </w:rPr>
        <w:t>a</w:t>
      </w:r>
      <w:r>
        <w:rPr>
          <w:color w:val="000000"/>
          <w:spacing w:val="-5"/>
        </w:rPr>
        <w:t>b</w:t>
      </w:r>
      <w:r>
        <w:rPr>
          <w:color w:val="000000"/>
          <w:spacing w:val="8"/>
        </w:rPr>
        <w:t>a</w:t>
      </w:r>
      <w:r>
        <w:rPr>
          <w:color w:val="000000"/>
        </w:rPr>
        <w:t>i</w:t>
      </w:r>
    </w:p>
    <w:p w:rsidR="004F7425" w:rsidRDefault="004F7425" w:rsidP="004F7425">
      <w:pPr>
        <w:widowControl w:val="0"/>
        <w:autoSpaceDE w:val="0"/>
        <w:autoSpaceDN w:val="0"/>
        <w:adjustRightInd w:val="0"/>
        <w:spacing w:before="41"/>
        <w:ind w:left="280" w:right="-20"/>
        <w:rPr>
          <w:color w:val="000000"/>
        </w:rPr>
      </w:pPr>
      <w:r>
        <w:rPr>
          <w:color w:val="000000"/>
        </w:rPr>
        <w:t>p</w:t>
      </w:r>
      <w:r>
        <w:rPr>
          <w:color w:val="000000"/>
          <w:spacing w:val="6"/>
        </w:rPr>
        <w:t>r</w:t>
      </w:r>
      <w:r>
        <w:rPr>
          <w:color w:val="000000"/>
          <w:spacing w:val="-4"/>
        </w:rPr>
        <w:t>im</w:t>
      </w:r>
      <w:r>
        <w:rPr>
          <w:color w:val="000000"/>
          <w:spacing w:val="-9"/>
        </w:rPr>
        <w:t>i</w:t>
      </w:r>
      <w:r>
        <w:rPr>
          <w:color w:val="000000"/>
          <w:spacing w:val="10"/>
        </w:rPr>
        <w:t>t</w:t>
      </w:r>
      <w:r>
        <w:rPr>
          <w:color w:val="000000"/>
          <w:spacing w:val="-5"/>
        </w:rPr>
        <w:t>y</w:t>
      </w:r>
      <w:r>
        <w:rPr>
          <w:color w:val="000000"/>
          <w:spacing w:val="5"/>
        </w:rPr>
        <w:t>v</w:t>
      </w:r>
      <w:r>
        <w:rPr>
          <w:color w:val="000000"/>
          <w:spacing w:val="-9"/>
        </w:rPr>
        <w:t>i</w:t>
      </w:r>
      <w:r>
        <w:rPr>
          <w:color w:val="000000"/>
          <w:spacing w:val="9"/>
        </w:rPr>
        <w:t>o</w:t>
      </w:r>
      <w:r>
        <w:rPr>
          <w:color w:val="000000"/>
        </w:rPr>
        <w:t xml:space="preserve">s </w:t>
      </w:r>
      <w:r>
        <w:rPr>
          <w:color w:val="000000"/>
          <w:spacing w:val="-2"/>
        </w:rPr>
        <w:t>s</w:t>
      </w:r>
      <w:r>
        <w:rPr>
          <w:color w:val="000000"/>
          <w:spacing w:val="4"/>
        </w:rPr>
        <w:t>ą</w:t>
      </w:r>
      <w:r>
        <w:rPr>
          <w:color w:val="000000"/>
        </w:rPr>
        <w:t>l</w:t>
      </w:r>
      <w:r>
        <w:rPr>
          <w:color w:val="000000"/>
          <w:spacing w:val="-4"/>
        </w:rPr>
        <w:t>y</w:t>
      </w:r>
      <w:r>
        <w:rPr>
          <w:color w:val="000000"/>
        </w:rPr>
        <w:t>g</w:t>
      </w:r>
      <w:r>
        <w:rPr>
          <w:color w:val="000000"/>
          <w:spacing w:val="5"/>
        </w:rPr>
        <w:t>o</w:t>
      </w:r>
      <w:r>
        <w:rPr>
          <w:color w:val="000000"/>
          <w:spacing w:val="-2"/>
        </w:rPr>
        <w:t>s</w:t>
      </w:r>
      <w:r>
        <w:rPr>
          <w:color w:val="000000"/>
        </w:rPr>
        <w:t>,</w:t>
      </w:r>
      <w:r>
        <w:rPr>
          <w:color w:val="000000"/>
          <w:spacing w:val="4"/>
        </w:rPr>
        <w:t xml:space="preserve"> </w:t>
      </w:r>
      <w:r>
        <w:rPr>
          <w:color w:val="000000"/>
          <w:spacing w:val="-7"/>
        </w:rPr>
        <w:t>s</w:t>
      </w:r>
      <w:r>
        <w:rPr>
          <w:color w:val="000000"/>
          <w:spacing w:val="5"/>
        </w:rPr>
        <w:t>o</w:t>
      </w:r>
      <w:r>
        <w:rPr>
          <w:color w:val="000000"/>
        </w:rPr>
        <w:t>d</w:t>
      </w:r>
      <w:r>
        <w:rPr>
          <w:color w:val="000000"/>
          <w:spacing w:val="-5"/>
        </w:rPr>
        <w:t>yb</w:t>
      </w:r>
      <w:r>
        <w:rPr>
          <w:color w:val="000000"/>
          <w:spacing w:val="9"/>
        </w:rPr>
        <w:t>o</w:t>
      </w:r>
      <w:r>
        <w:rPr>
          <w:color w:val="000000"/>
          <w:spacing w:val="-4"/>
        </w:rPr>
        <w:t>j</w:t>
      </w:r>
      <w:r>
        <w:rPr>
          <w:color w:val="000000"/>
        </w:rPr>
        <w:t>e</w:t>
      </w:r>
      <w:r>
        <w:rPr>
          <w:color w:val="000000"/>
          <w:spacing w:val="1"/>
        </w:rPr>
        <w:t xml:space="preserve"> </w:t>
      </w:r>
      <w:r>
        <w:rPr>
          <w:color w:val="000000"/>
          <w:spacing w:val="-5"/>
        </w:rPr>
        <w:t>n</w:t>
      </w:r>
      <w:r>
        <w:rPr>
          <w:color w:val="000000"/>
          <w:spacing w:val="4"/>
        </w:rPr>
        <w:t>e</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4"/>
        </w:rPr>
        <w:t>e</w:t>
      </w:r>
      <w:r>
        <w:rPr>
          <w:color w:val="000000"/>
          <w:spacing w:val="-9"/>
        </w:rPr>
        <w:t>l</w:t>
      </w:r>
      <w:r>
        <w:rPr>
          <w:color w:val="000000"/>
          <w:spacing w:val="-1"/>
        </w:rPr>
        <w:t>e</w:t>
      </w:r>
      <w:r>
        <w:rPr>
          <w:color w:val="000000"/>
        </w:rPr>
        <w:t>k</w:t>
      </w:r>
      <w:r>
        <w:rPr>
          <w:color w:val="000000"/>
          <w:spacing w:val="5"/>
        </w:rPr>
        <w:t>t</w:t>
      </w:r>
      <w:r>
        <w:rPr>
          <w:color w:val="000000"/>
          <w:spacing w:val="-3"/>
        </w:rPr>
        <w:t>r</w:t>
      </w:r>
      <w:r>
        <w:rPr>
          <w:color w:val="000000"/>
          <w:spacing w:val="5"/>
        </w:rPr>
        <w:t>o</w:t>
      </w:r>
      <w:r>
        <w:rPr>
          <w:color w:val="000000"/>
        </w:rPr>
        <w:t xml:space="preserve">s </w:t>
      </w:r>
      <w:r>
        <w:rPr>
          <w:color w:val="000000"/>
          <w:spacing w:val="-1"/>
        </w:rPr>
        <w:t>e</w:t>
      </w:r>
      <w:r>
        <w:rPr>
          <w:color w:val="000000"/>
          <w:spacing w:val="-5"/>
        </w:rPr>
        <w:t>n</w:t>
      </w:r>
      <w:r>
        <w:rPr>
          <w:color w:val="000000"/>
          <w:spacing w:val="11"/>
        </w:rPr>
        <w:t>e</w:t>
      </w:r>
      <w:r>
        <w:rPr>
          <w:color w:val="000000"/>
          <w:spacing w:val="1"/>
        </w:rPr>
        <w:t>r</w:t>
      </w:r>
      <w:r>
        <w:rPr>
          <w:color w:val="000000"/>
          <w:spacing w:val="5"/>
        </w:rPr>
        <w:t>g</w:t>
      </w:r>
      <w:r>
        <w:rPr>
          <w:color w:val="000000"/>
          <w:spacing w:val="-4"/>
        </w:rPr>
        <w:t>i</w:t>
      </w:r>
      <w:r>
        <w:rPr>
          <w:color w:val="000000"/>
          <w:spacing w:val="-9"/>
        </w:rPr>
        <w:t>j</w:t>
      </w:r>
      <w:r>
        <w:rPr>
          <w:color w:val="000000"/>
          <w:spacing w:val="5"/>
        </w:rPr>
        <w:t>o</w:t>
      </w:r>
      <w:r>
        <w:rPr>
          <w:color w:val="000000"/>
        </w:rPr>
        <w:t>s</w:t>
      </w:r>
      <w:r>
        <w:rPr>
          <w:color w:val="000000"/>
          <w:spacing w:val="5"/>
        </w:rPr>
        <w:t xml:space="preserve"> </w:t>
      </w:r>
      <w:r>
        <w:rPr>
          <w:color w:val="000000"/>
          <w:spacing w:val="-9"/>
        </w:rPr>
        <w:t>i</w:t>
      </w:r>
      <w:r>
        <w:rPr>
          <w:color w:val="000000"/>
        </w:rPr>
        <w:t>r</w:t>
      </w:r>
      <w:r>
        <w:rPr>
          <w:color w:val="000000"/>
          <w:spacing w:val="4"/>
        </w:rPr>
        <w:t xml:space="preserve"> </w:t>
      </w:r>
      <w:r>
        <w:rPr>
          <w:color w:val="000000"/>
        </w:rPr>
        <w:t>p</w:t>
      </w:r>
      <w:r>
        <w:rPr>
          <w:color w:val="000000"/>
          <w:spacing w:val="4"/>
        </w:rPr>
        <w:t>a</w:t>
      </w:r>
      <w:r>
        <w:rPr>
          <w:color w:val="000000"/>
          <w:spacing w:val="-5"/>
        </w:rPr>
        <w:t>n</w:t>
      </w:r>
      <w:r>
        <w:rPr>
          <w:color w:val="000000"/>
          <w:spacing w:val="2"/>
        </w:rPr>
        <w:t>.</w:t>
      </w:r>
      <w:r>
        <w:rPr>
          <w:color w:val="000000"/>
          <w:spacing w:val="4"/>
        </w:rPr>
        <w:t>)</w:t>
      </w:r>
      <w:r>
        <w:rPr>
          <w:color w:val="000000"/>
        </w:rPr>
        <w:t>;</w:t>
      </w:r>
    </w:p>
    <w:p w:rsidR="004F7425" w:rsidRDefault="004F7425" w:rsidP="004F7425">
      <w:pPr>
        <w:widowControl w:val="0"/>
        <w:autoSpaceDE w:val="0"/>
        <w:autoSpaceDN w:val="0"/>
        <w:adjustRightInd w:val="0"/>
        <w:spacing w:before="41"/>
        <w:ind w:left="280" w:right="-20"/>
        <w:rPr>
          <w:color w:val="000000"/>
        </w:rPr>
        <w:sectPr w:rsidR="004F7425">
          <w:headerReference w:type="default" r:id="rId269"/>
          <w:pgSz w:w="11920" w:h="16840"/>
          <w:pgMar w:top="960" w:right="440" w:bottom="280" w:left="1420" w:header="734" w:footer="0" w:gutter="0"/>
          <w:cols w:space="1296" w:equalWidth="0">
            <w:col w:w="1006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tabs>
          <w:tab w:val="left" w:pos="840"/>
        </w:tabs>
        <w:autoSpaceDE w:val="0"/>
        <w:autoSpaceDN w:val="0"/>
        <w:adjustRightInd w:val="0"/>
        <w:spacing w:before="29" w:line="275" w:lineRule="auto"/>
        <w:ind w:left="840" w:right="46" w:hanging="360"/>
        <w:jc w:val="both"/>
        <w:rPr>
          <w:color w:val="000000"/>
        </w:rPr>
      </w:pPr>
      <w:r>
        <w:rPr>
          <w:color w:val="000000"/>
        </w:rPr>
        <w:t>-</w:t>
      </w:r>
      <w:r>
        <w:rPr>
          <w:color w:val="000000"/>
        </w:rPr>
        <w:tab/>
      </w:r>
      <w:r>
        <w:rPr>
          <w:color w:val="000000"/>
          <w:spacing w:val="1"/>
        </w:rPr>
        <w:t>P</w:t>
      </w:r>
      <w:r>
        <w:rPr>
          <w:color w:val="000000"/>
          <w:spacing w:val="-1"/>
        </w:rPr>
        <w:t>a</w:t>
      </w:r>
      <w:r>
        <w:rPr>
          <w:color w:val="000000"/>
          <w:spacing w:val="-5"/>
        </w:rPr>
        <w:t>n</w:t>
      </w:r>
      <w:r>
        <w:rPr>
          <w:color w:val="000000"/>
          <w:spacing w:val="4"/>
        </w:rPr>
        <w:t>e</w:t>
      </w:r>
      <w:r>
        <w:rPr>
          <w:color w:val="000000"/>
          <w:spacing w:val="-5"/>
        </w:rPr>
        <w:t>v</w:t>
      </w:r>
      <w:r>
        <w:rPr>
          <w:color w:val="000000"/>
          <w:spacing w:val="4"/>
        </w:rPr>
        <w:t>ėž</w:t>
      </w:r>
      <w:r>
        <w:rPr>
          <w:color w:val="000000"/>
          <w:spacing w:val="-9"/>
        </w:rPr>
        <w:t>i</w:t>
      </w:r>
      <w:r>
        <w:rPr>
          <w:color w:val="000000"/>
        </w:rPr>
        <w:t>o</w:t>
      </w:r>
      <w:r>
        <w:rPr>
          <w:color w:val="000000"/>
          <w:spacing w:val="21"/>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5"/>
        </w:rPr>
        <w:t>y</w:t>
      </w:r>
      <w:r>
        <w:rPr>
          <w:color w:val="000000"/>
          <w:spacing w:val="-4"/>
        </w:rPr>
        <w:t>j</w:t>
      </w:r>
      <w:r>
        <w:rPr>
          <w:color w:val="000000"/>
          <w:spacing w:val="-1"/>
        </w:rPr>
        <w:t>e</w:t>
      </w:r>
      <w:r>
        <w:rPr>
          <w:color w:val="000000"/>
        </w:rPr>
        <w:t>,</w:t>
      </w:r>
      <w:r>
        <w:rPr>
          <w:color w:val="000000"/>
          <w:spacing w:val="19"/>
        </w:rPr>
        <w:t xml:space="preserve"> </w:t>
      </w:r>
      <w:r>
        <w:rPr>
          <w:color w:val="000000"/>
          <w:spacing w:val="-1"/>
        </w:rPr>
        <w:t>a</w:t>
      </w:r>
      <w:r>
        <w:rPr>
          <w:color w:val="000000"/>
          <w:spacing w:val="5"/>
        </w:rPr>
        <w:t>p</w:t>
      </w:r>
      <w:r>
        <w:rPr>
          <w:color w:val="000000"/>
          <w:spacing w:val="-4"/>
        </w:rPr>
        <w:t>l</w:t>
      </w:r>
      <w:r>
        <w:rPr>
          <w:color w:val="000000"/>
          <w:spacing w:val="4"/>
        </w:rPr>
        <w:t>e</w:t>
      </w:r>
      <w:r>
        <w:rPr>
          <w:color w:val="000000"/>
          <w:spacing w:val="-4"/>
        </w:rPr>
        <w:t>i</w:t>
      </w:r>
      <w:r>
        <w:rPr>
          <w:color w:val="000000"/>
          <w:spacing w:val="-2"/>
        </w:rPr>
        <w:t>s</w:t>
      </w:r>
      <w:r>
        <w:rPr>
          <w:color w:val="000000"/>
          <w:spacing w:val="5"/>
        </w:rPr>
        <w:t>t</w:t>
      </w:r>
      <w:r>
        <w:rPr>
          <w:color w:val="000000"/>
          <w:spacing w:val="4"/>
        </w:rPr>
        <w:t>a</w:t>
      </w:r>
      <w:r>
        <w:rPr>
          <w:color w:val="000000"/>
          <w:spacing w:val="-4"/>
        </w:rPr>
        <w:t>m</w:t>
      </w:r>
      <w:r>
        <w:rPr>
          <w:color w:val="000000"/>
        </w:rPr>
        <w:t>e</w:t>
      </w:r>
      <w:r>
        <w:rPr>
          <w:color w:val="000000"/>
          <w:spacing w:val="20"/>
        </w:rPr>
        <w:t xml:space="preserve"> </w:t>
      </w:r>
      <w:r>
        <w:rPr>
          <w:color w:val="000000"/>
        </w:rPr>
        <w:t>v</w:t>
      </w:r>
      <w:r>
        <w:rPr>
          <w:color w:val="000000"/>
          <w:spacing w:val="-4"/>
        </w:rPr>
        <w:t>i</w:t>
      </w:r>
      <w:r>
        <w:rPr>
          <w:color w:val="000000"/>
          <w:spacing w:val="4"/>
        </w:rPr>
        <w:t>e</w:t>
      </w:r>
      <w:r>
        <w:rPr>
          <w:color w:val="000000"/>
          <w:spacing w:val="-5"/>
        </w:rPr>
        <w:t>n</w:t>
      </w:r>
      <w:r>
        <w:rPr>
          <w:color w:val="000000"/>
          <w:spacing w:val="5"/>
        </w:rPr>
        <w:t>k</w:t>
      </w:r>
      <w:r>
        <w:rPr>
          <w:color w:val="000000"/>
          <w:spacing w:val="-4"/>
        </w:rPr>
        <w:t>i</w:t>
      </w:r>
      <w:r>
        <w:rPr>
          <w:color w:val="000000"/>
          <w:spacing w:val="4"/>
        </w:rPr>
        <w:t>e</w:t>
      </w:r>
      <w:r>
        <w:rPr>
          <w:color w:val="000000"/>
        </w:rPr>
        <w:t>my</w:t>
      </w:r>
      <w:r>
        <w:rPr>
          <w:color w:val="000000"/>
          <w:spacing w:val="-4"/>
        </w:rPr>
        <w:t>j</w:t>
      </w:r>
      <w:r>
        <w:rPr>
          <w:color w:val="000000"/>
        </w:rPr>
        <w:t>e</w:t>
      </w:r>
      <w:r>
        <w:rPr>
          <w:color w:val="000000"/>
          <w:spacing w:val="22"/>
        </w:rPr>
        <w:t xml:space="preserve"> </w:t>
      </w:r>
      <w:r>
        <w:rPr>
          <w:color w:val="000000"/>
        </w:rPr>
        <w:t>–</w:t>
      </w:r>
      <w:r>
        <w:rPr>
          <w:color w:val="000000"/>
          <w:spacing w:val="17"/>
        </w:rPr>
        <w:t xml:space="preserve"> </w:t>
      </w:r>
      <w:r>
        <w:rPr>
          <w:color w:val="000000"/>
          <w:spacing w:val="4"/>
        </w:rPr>
        <w:t>a</w:t>
      </w:r>
      <w:r>
        <w:rPr>
          <w:color w:val="000000"/>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21"/>
        </w:rPr>
        <w:t xml:space="preserve"> </w:t>
      </w:r>
      <w:r>
        <w:rPr>
          <w:color w:val="000000"/>
        </w:rPr>
        <w:t>g</w:t>
      </w:r>
      <w:r>
        <w:rPr>
          <w:color w:val="000000"/>
          <w:spacing w:val="4"/>
        </w:rPr>
        <w:t>a</w:t>
      </w:r>
      <w:r>
        <w:rPr>
          <w:color w:val="000000"/>
        </w:rPr>
        <w:t>m</w:t>
      </w:r>
      <w:r>
        <w:rPr>
          <w:color w:val="000000"/>
          <w:spacing w:val="-4"/>
        </w:rPr>
        <w:t>y</w:t>
      </w:r>
      <w:r>
        <w:rPr>
          <w:color w:val="000000"/>
          <w:spacing w:val="-5"/>
        </w:rPr>
        <w:t>b</w:t>
      </w:r>
      <w:r>
        <w:rPr>
          <w:color w:val="000000"/>
          <w:spacing w:val="5"/>
        </w:rPr>
        <w:t>o</w:t>
      </w:r>
      <w:r>
        <w:rPr>
          <w:color w:val="000000"/>
        </w:rPr>
        <w:t>s</w:t>
      </w:r>
      <w:r>
        <w:rPr>
          <w:color w:val="000000"/>
          <w:spacing w:val="19"/>
        </w:rPr>
        <w:t xml:space="preserve"> </w:t>
      </w:r>
      <w:r>
        <w:rPr>
          <w:color w:val="000000"/>
        </w:rPr>
        <w:t>v</w:t>
      </w:r>
      <w:r>
        <w:rPr>
          <w:color w:val="000000"/>
          <w:spacing w:val="-4"/>
        </w:rPr>
        <w:t>i</w:t>
      </w:r>
      <w:r>
        <w:rPr>
          <w:color w:val="000000"/>
          <w:spacing w:val="-1"/>
        </w:rPr>
        <w:t>e</w:t>
      </w:r>
      <w:r>
        <w:rPr>
          <w:color w:val="000000"/>
          <w:spacing w:val="5"/>
        </w:rPr>
        <w:t>t</w:t>
      </w:r>
      <w:r>
        <w:rPr>
          <w:color w:val="000000"/>
          <w:spacing w:val="2"/>
        </w:rPr>
        <w:t>a</w:t>
      </w:r>
      <w:r>
        <w:rPr>
          <w:color w:val="000000"/>
        </w:rPr>
        <w:t>,</w:t>
      </w:r>
      <w:r>
        <w:rPr>
          <w:color w:val="000000"/>
          <w:spacing w:val="19"/>
        </w:rPr>
        <w:t xml:space="preserve"> </w:t>
      </w:r>
      <w:r>
        <w:rPr>
          <w:color w:val="000000"/>
          <w:spacing w:val="-5"/>
        </w:rPr>
        <w:t>n</w:t>
      </w:r>
      <w:r>
        <w:rPr>
          <w:color w:val="000000"/>
          <w:spacing w:val="-1"/>
        </w:rPr>
        <w:t>e</w:t>
      </w:r>
      <w:r>
        <w:rPr>
          <w:color w:val="000000"/>
        </w:rPr>
        <w:t>p</w:t>
      </w:r>
      <w:r>
        <w:rPr>
          <w:color w:val="000000"/>
          <w:spacing w:val="1"/>
        </w:rPr>
        <w:t>r</w:t>
      </w:r>
      <w:r>
        <w:rPr>
          <w:color w:val="000000"/>
          <w:spacing w:val="5"/>
        </w:rPr>
        <w:t>o</w:t>
      </w:r>
      <w:r>
        <w:rPr>
          <w:color w:val="000000"/>
          <w:spacing w:val="-8"/>
        </w:rPr>
        <w:t>f</w:t>
      </w:r>
      <w:r>
        <w:rPr>
          <w:color w:val="000000"/>
          <w:spacing w:val="4"/>
        </w:rPr>
        <w:t>e</w:t>
      </w:r>
      <w:r>
        <w:rPr>
          <w:color w:val="000000"/>
          <w:spacing w:val="2"/>
        </w:rPr>
        <w:t>s</w:t>
      </w:r>
      <w:r>
        <w:rPr>
          <w:color w:val="000000"/>
          <w:spacing w:val="-9"/>
        </w:rPr>
        <w:t>i</w:t>
      </w:r>
      <w:r>
        <w:rPr>
          <w:color w:val="000000"/>
          <w:spacing w:val="9"/>
        </w:rPr>
        <w:t>o</w:t>
      </w:r>
      <w:r>
        <w:rPr>
          <w:color w:val="000000"/>
          <w:spacing w:val="-5"/>
        </w:rPr>
        <w:t>n</w:t>
      </w:r>
      <w:r>
        <w:rPr>
          <w:color w:val="000000"/>
          <w:spacing w:val="4"/>
        </w:rPr>
        <w:t>a</w:t>
      </w:r>
      <w:r>
        <w:rPr>
          <w:color w:val="000000"/>
        </w:rPr>
        <w:t>l</w:t>
      </w:r>
      <w:r>
        <w:rPr>
          <w:color w:val="000000"/>
          <w:spacing w:val="-4"/>
        </w:rPr>
        <w:t>i</w:t>
      </w:r>
      <w:r>
        <w:rPr>
          <w:color w:val="000000"/>
        </w:rPr>
        <w:t>: g</w:t>
      </w:r>
      <w:r>
        <w:rPr>
          <w:color w:val="000000"/>
          <w:spacing w:val="4"/>
        </w:rPr>
        <w:t>a</w:t>
      </w:r>
      <w:r>
        <w:rPr>
          <w:color w:val="000000"/>
          <w:spacing w:val="-4"/>
        </w:rPr>
        <w:t>m</w:t>
      </w:r>
      <w:r>
        <w:rPr>
          <w:color w:val="000000"/>
          <w:spacing w:val="-5"/>
        </w:rPr>
        <w:t>yb</w:t>
      </w:r>
      <w:r>
        <w:rPr>
          <w:color w:val="000000"/>
          <w:spacing w:val="9"/>
        </w:rPr>
        <w:t>o</w:t>
      </w:r>
      <w:r>
        <w:rPr>
          <w:color w:val="000000"/>
        </w:rPr>
        <w:t>s</w:t>
      </w:r>
      <w:r>
        <w:rPr>
          <w:color w:val="000000"/>
          <w:spacing w:val="1"/>
        </w:rPr>
        <w:t xml:space="preserve"> </w:t>
      </w:r>
      <w:r>
        <w:rPr>
          <w:color w:val="000000"/>
        </w:rPr>
        <w:t>v</w:t>
      </w:r>
      <w:r>
        <w:rPr>
          <w:color w:val="000000"/>
          <w:spacing w:val="-4"/>
        </w:rPr>
        <w:t>i</w:t>
      </w:r>
      <w:r>
        <w:rPr>
          <w:color w:val="000000"/>
          <w:spacing w:val="-1"/>
        </w:rPr>
        <w:t>e</w:t>
      </w:r>
      <w:r>
        <w:rPr>
          <w:color w:val="000000"/>
          <w:spacing w:val="5"/>
        </w:rPr>
        <w:t>to</w:t>
      </w:r>
      <w:r>
        <w:rPr>
          <w:color w:val="000000"/>
          <w:spacing w:val="-9"/>
        </w:rPr>
        <w:t>j</w:t>
      </w:r>
      <w:r>
        <w:rPr>
          <w:color w:val="000000"/>
        </w:rPr>
        <w:t>e</w:t>
      </w:r>
      <w:r>
        <w:rPr>
          <w:color w:val="000000"/>
          <w:spacing w:val="2"/>
        </w:rPr>
        <w:t xml:space="preserve"> </w:t>
      </w:r>
      <w:r>
        <w:rPr>
          <w:color w:val="000000"/>
        </w:rPr>
        <w:t>p</w:t>
      </w:r>
      <w:r>
        <w:rPr>
          <w:color w:val="000000"/>
          <w:spacing w:val="-1"/>
        </w:rPr>
        <w:t>a</w:t>
      </w:r>
      <w:r>
        <w:rPr>
          <w:color w:val="000000"/>
        </w:rPr>
        <w:t>g</w:t>
      </w:r>
      <w:r>
        <w:rPr>
          <w:color w:val="000000"/>
          <w:spacing w:val="4"/>
        </w:rPr>
        <w:t>a</w:t>
      </w:r>
      <w:r>
        <w:rPr>
          <w:color w:val="000000"/>
        </w:rPr>
        <w:t>m</w:t>
      </w:r>
      <w:r>
        <w:rPr>
          <w:color w:val="000000"/>
          <w:spacing w:val="-4"/>
        </w:rPr>
        <w:t>i</w:t>
      </w:r>
      <w:r>
        <w:rPr>
          <w:color w:val="000000"/>
          <w:spacing w:val="-5"/>
        </w:rPr>
        <w:t>n</w:t>
      </w:r>
      <w:r>
        <w:rPr>
          <w:color w:val="000000"/>
          <w:spacing w:val="5"/>
        </w:rPr>
        <w:t>t</w:t>
      </w:r>
      <w:r>
        <w:rPr>
          <w:color w:val="000000"/>
        </w:rPr>
        <w:t>o</w:t>
      </w:r>
      <w:r>
        <w:rPr>
          <w:color w:val="000000"/>
          <w:spacing w:val="8"/>
        </w:rPr>
        <w:t xml:space="preserve">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8"/>
        </w:rPr>
        <w:t xml:space="preserve"> </w:t>
      </w:r>
      <w:r>
        <w:rPr>
          <w:color w:val="000000"/>
          <w:spacing w:val="1"/>
        </w:rPr>
        <w:t>(</w:t>
      </w:r>
      <w:r>
        <w:rPr>
          <w:color w:val="000000"/>
        </w:rPr>
        <w:t>20</w:t>
      </w:r>
      <w:r>
        <w:rPr>
          <w:color w:val="000000"/>
          <w:spacing w:val="3"/>
        </w:rPr>
        <w:t xml:space="preserve"> </w:t>
      </w:r>
      <w:r>
        <w:rPr>
          <w:color w:val="000000"/>
        </w:rPr>
        <w:t>kg) k</w:t>
      </w:r>
      <w:r>
        <w:rPr>
          <w:color w:val="000000"/>
          <w:spacing w:val="5"/>
        </w:rPr>
        <w:t>o</w:t>
      </w:r>
      <w:r>
        <w:rPr>
          <w:color w:val="000000"/>
          <w:spacing w:val="-5"/>
        </w:rPr>
        <w:t>n</w:t>
      </w:r>
      <w:r>
        <w:rPr>
          <w:color w:val="000000"/>
          <w:spacing w:val="-1"/>
        </w:rPr>
        <w:t>ce</w:t>
      </w:r>
      <w:r>
        <w:rPr>
          <w:color w:val="000000"/>
          <w:spacing w:val="-5"/>
        </w:rPr>
        <w:t>n</w:t>
      </w:r>
      <w:r>
        <w:rPr>
          <w:color w:val="000000"/>
          <w:spacing w:val="5"/>
        </w:rPr>
        <w:t>t</w:t>
      </w:r>
      <w:r>
        <w:rPr>
          <w:color w:val="000000"/>
          <w:spacing w:val="1"/>
        </w:rPr>
        <w:t>r</w:t>
      </w:r>
      <w:r>
        <w:rPr>
          <w:color w:val="000000"/>
          <w:spacing w:val="-1"/>
        </w:rPr>
        <w:t>a</w:t>
      </w:r>
      <w:r>
        <w:rPr>
          <w:color w:val="000000"/>
          <w:spacing w:val="4"/>
        </w:rPr>
        <w:t>c</w:t>
      </w:r>
      <w:r>
        <w:rPr>
          <w:color w:val="000000"/>
          <w:spacing w:val="-4"/>
        </w:rPr>
        <w:t>ij</w:t>
      </w:r>
      <w:r>
        <w:rPr>
          <w:color w:val="000000"/>
        </w:rPr>
        <w:t>a</w:t>
      </w:r>
      <w:r>
        <w:rPr>
          <w:color w:val="000000"/>
          <w:spacing w:val="2"/>
        </w:rPr>
        <w:t xml:space="preserve"> </w:t>
      </w:r>
      <w:r>
        <w:rPr>
          <w:color w:val="000000"/>
          <w:spacing w:val="5"/>
        </w:rPr>
        <w:t>t</w:t>
      </w:r>
      <w:r>
        <w:rPr>
          <w:color w:val="000000"/>
          <w:spacing w:val="-1"/>
        </w:rPr>
        <w:t>e</w:t>
      </w:r>
      <w:r>
        <w:rPr>
          <w:color w:val="000000"/>
          <w:spacing w:val="2"/>
        </w:rPr>
        <w:t>s</w:t>
      </w:r>
      <w:r>
        <w:rPr>
          <w:color w:val="000000"/>
          <w:spacing w:val="-9"/>
        </w:rPr>
        <w:t>i</w:t>
      </w:r>
      <w:r>
        <w:rPr>
          <w:color w:val="000000"/>
          <w:spacing w:val="-1"/>
        </w:rPr>
        <w:t>e</w:t>
      </w:r>
      <w:r>
        <w:rPr>
          <w:color w:val="000000"/>
          <w:spacing w:val="5"/>
        </w:rPr>
        <w:t>k</w:t>
      </w:r>
      <w:r>
        <w:rPr>
          <w:color w:val="000000"/>
        </w:rPr>
        <w:t>ė</w:t>
      </w:r>
      <w:r>
        <w:rPr>
          <w:color w:val="000000"/>
          <w:spacing w:val="2"/>
        </w:rPr>
        <w:t xml:space="preserve"> </w:t>
      </w:r>
      <w:r>
        <w:rPr>
          <w:color w:val="000000"/>
        </w:rPr>
        <w:t>28</w:t>
      </w:r>
      <w:r>
        <w:rPr>
          <w:color w:val="000000"/>
          <w:spacing w:val="3"/>
        </w:rPr>
        <w:t xml:space="preserve"> </w:t>
      </w:r>
      <w:r>
        <w:rPr>
          <w:color w:val="000000"/>
        </w:rPr>
        <w:t>p</w:t>
      </w:r>
      <w:r>
        <w:rPr>
          <w:color w:val="000000"/>
          <w:spacing w:val="1"/>
        </w:rPr>
        <w:t>r</w:t>
      </w:r>
      <w:r>
        <w:rPr>
          <w:color w:val="000000"/>
          <w:spacing w:val="5"/>
        </w:rPr>
        <w:t>o</w:t>
      </w:r>
      <w:r>
        <w:rPr>
          <w:color w:val="000000"/>
          <w:spacing w:val="4"/>
        </w:rPr>
        <w:t>c</w:t>
      </w:r>
      <w:r>
        <w:rPr>
          <w:color w:val="000000"/>
        </w:rPr>
        <w:t>,</w:t>
      </w:r>
      <w:r>
        <w:rPr>
          <w:color w:val="000000"/>
          <w:spacing w:val="5"/>
        </w:rPr>
        <w:t xml:space="preserve"> </w:t>
      </w:r>
      <w:r>
        <w:rPr>
          <w:color w:val="000000"/>
        </w:rPr>
        <w:t>g</w:t>
      </w:r>
      <w:r>
        <w:rPr>
          <w:color w:val="000000"/>
          <w:spacing w:val="-1"/>
        </w:rPr>
        <w:t>a</w:t>
      </w:r>
      <w:r>
        <w:rPr>
          <w:color w:val="000000"/>
          <w:spacing w:val="-4"/>
        </w:rPr>
        <w:t>mi</w:t>
      </w:r>
      <w:r>
        <w:rPr>
          <w:color w:val="000000"/>
          <w:spacing w:val="-5"/>
        </w:rPr>
        <w:t>n</w:t>
      </w:r>
      <w:r>
        <w:rPr>
          <w:color w:val="000000"/>
          <w:spacing w:val="10"/>
        </w:rPr>
        <w:t>t</w:t>
      </w:r>
      <w:r>
        <w:rPr>
          <w:color w:val="000000"/>
        </w:rPr>
        <w:t xml:space="preserve">a </w:t>
      </w:r>
      <w:r>
        <w:rPr>
          <w:color w:val="000000"/>
          <w:spacing w:val="-5"/>
        </w:rPr>
        <w:t>n</w:t>
      </w:r>
      <w:r>
        <w:rPr>
          <w:color w:val="000000"/>
          <w:spacing w:val="4"/>
        </w:rPr>
        <w:t>e</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spacing w:val="-5"/>
        </w:rPr>
        <w:t>n</w:t>
      </w:r>
      <w:r>
        <w:rPr>
          <w:color w:val="000000"/>
        </w:rPr>
        <w:t>t</w:t>
      </w:r>
      <w:r>
        <w:rPr>
          <w:color w:val="000000"/>
          <w:spacing w:val="7"/>
        </w:rPr>
        <w:t xml:space="preserve"> </w:t>
      </w:r>
      <w:r>
        <w:rPr>
          <w:color w:val="000000"/>
          <w:spacing w:val="-2"/>
        </w:rPr>
        <w:t>B</w:t>
      </w:r>
      <w:r>
        <w:rPr>
          <w:color w:val="000000"/>
          <w:spacing w:val="2"/>
        </w:rPr>
        <w:t>M</w:t>
      </w:r>
      <w:r>
        <w:rPr>
          <w:color w:val="000000"/>
        </w:rPr>
        <w:t>K</w:t>
      </w:r>
      <w:r>
        <w:rPr>
          <w:color w:val="000000"/>
          <w:spacing w:val="-3"/>
        </w:rPr>
        <w:t xml:space="preserve"> </w:t>
      </w:r>
      <w:r>
        <w:rPr>
          <w:color w:val="000000"/>
          <w:spacing w:val="1"/>
        </w:rPr>
        <w:t>(</w:t>
      </w:r>
      <w:r>
        <w:rPr>
          <w:color w:val="000000"/>
          <w:spacing w:val="5"/>
        </w:rPr>
        <w:t>p</w:t>
      </w:r>
      <w:r>
        <w:rPr>
          <w:color w:val="000000"/>
          <w:spacing w:val="-9"/>
        </w:rPr>
        <w:t>l</w:t>
      </w:r>
      <w:r>
        <w:rPr>
          <w:color w:val="000000"/>
          <w:spacing w:val="-1"/>
        </w:rPr>
        <w:t>a</w:t>
      </w:r>
      <w:r>
        <w:rPr>
          <w:color w:val="000000"/>
          <w:spacing w:val="4"/>
        </w:rPr>
        <w:t>č</w:t>
      </w:r>
      <w:r>
        <w:rPr>
          <w:color w:val="000000"/>
          <w:spacing w:val="-4"/>
        </w:rPr>
        <w:t>i</w:t>
      </w:r>
      <w:r>
        <w:rPr>
          <w:color w:val="000000"/>
          <w:spacing w:val="-1"/>
        </w:rPr>
        <w:t>a</w:t>
      </w:r>
      <w:r>
        <w:rPr>
          <w:color w:val="000000"/>
        </w:rPr>
        <w:t>u</w:t>
      </w:r>
      <w:r>
        <w:rPr>
          <w:color w:val="000000"/>
          <w:spacing w:val="2"/>
        </w:rPr>
        <w:t xml:space="preserve"> </w:t>
      </w:r>
      <w:r>
        <w:rPr>
          <w:color w:val="000000"/>
          <w:spacing w:val="5"/>
        </w:rPr>
        <w:t>k</w:t>
      </w:r>
      <w:r>
        <w:rPr>
          <w:color w:val="000000"/>
          <w:spacing w:val="-9"/>
        </w:rPr>
        <w:t>i</w:t>
      </w:r>
      <w:r>
        <w:rPr>
          <w:color w:val="000000"/>
          <w:spacing w:val="5"/>
        </w:rPr>
        <w:t>t</w:t>
      </w:r>
      <w:r>
        <w:rPr>
          <w:color w:val="000000"/>
          <w:spacing w:val="4"/>
        </w:rPr>
        <w:t>a</w:t>
      </w:r>
      <w:r>
        <w:rPr>
          <w:color w:val="000000"/>
          <w:spacing w:val="-4"/>
        </w:rPr>
        <w:t>m</w:t>
      </w:r>
      <w:r>
        <w:rPr>
          <w:color w:val="000000"/>
        </w:rPr>
        <w:t>e</w:t>
      </w:r>
      <w:r>
        <w:rPr>
          <w:color w:val="000000"/>
          <w:spacing w:val="1"/>
        </w:rPr>
        <w:t xml:space="preserve"> </w:t>
      </w:r>
      <w:r>
        <w:rPr>
          <w:color w:val="000000"/>
          <w:spacing w:val="-5"/>
        </w:rPr>
        <w:t>A</w:t>
      </w:r>
      <w:r>
        <w:rPr>
          <w:color w:val="000000"/>
          <w:spacing w:val="5"/>
        </w:rPr>
        <w:t>p</w:t>
      </w:r>
      <w:r>
        <w:rPr>
          <w:color w:val="000000"/>
          <w:spacing w:val="4"/>
        </w:rPr>
        <w:t>ž</w:t>
      </w:r>
      <w:r>
        <w:rPr>
          <w:color w:val="000000"/>
          <w:spacing w:val="-5"/>
        </w:rPr>
        <w:t>v</w:t>
      </w:r>
      <w:r>
        <w:rPr>
          <w:color w:val="000000"/>
          <w:spacing w:val="4"/>
        </w:rPr>
        <w:t>a</w:t>
      </w:r>
      <w:r>
        <w:rPr>
          <w:color w:val="000000"/>
          <w:spacing w:val="-4"/>
        </w:rPr>
        <w:t>l</w:t>
      </w:r>
      <w:r>
        <w:rPr>
          <w:color w:val="000000"/>
        </w:rPr>
        <w:t>g</w:t>
      </w:r>
      <w:r>
        <w:rPr>
          <w:color w:val="000000"/>
          <w:spacing w:val="5"/>
        </w:rPr>
        <w:t>o</w:t>
      </w:r>
      <w:r>
        <w:rPr>
          <w:color w:val="000000"/>
        </w:rPr>
        <w:t xml:space="preserve">s </w:t>
      </w:r>
      <w:r>
        <w:rPr>
          <w:color w:val="000000"/>
          <w:spacing w:val="-2"/>
        </w:rPr>
        <w:t>s</w:t>
      </w:r>
      <w:r>
        <w:rPr>
          <w:color w:val="000000"/>
          <w:spacing w:val="5"/>
        </w:rPr>
        <w:t>k</w:t>
      </w:r>
      <w:r>
        <w:rPr>
          <w:color w:val="000000"/>
          <w:spacing w:val="-9"/>
        </w:rPr>
        <w:t>i</w:t>
      </w:r>
      <w:r>
        <w:rPr>
          <w:color w:val="000000"/>
          <w:spacing w:val="6"/>
        </w:rPr>
        <w:t>r</w:t>
      </w:r>
      <w:r>
        <w:rPr>
          <w:color w:val="000000"/>
          <w:spacing w:val="-2"/>
        </w:rPr>
        <w:t>s</w:t>
      </w:r>
      <w:r>
        <w:rPr>
          <w:color w:val="000000"/>
        </w:rPr>
        <w:t>ny</w:t>
      </w:r>
      <w:r>
        <w:rPr>
          <w:color w:val="000000"/>
          <w:spacing w:val="-4"/>
        </w:rPr>
        <w:t>j</w:t>
      </w:r>
      <w:r>
        <w:rPr>
          <w:color w:val="000000"/>
          <w:spacing w:val="-1"/>
        </w:rPr>
        <w:t>e</w:t>
      </w:r>
      <w:r>
        <w:rPr>
          <w:color w:val="000000"/>
          <w:spacing w:val="9"/>
        </w:rPr>
        <w:t>)</w:t>
      </w:r>
      <w:r>
        <w:rPr>
          <w:color w:val="000000"/>
          <w:spacing w:val="7"/>
        </w:rPr>
        <w:t>.</w:t>
      </w:r>
      <w:r>
        <w:rPr>
          <w:color w:val="000000"/>
        </w:rPr>
        <w:t>;</w:t>
      </w:r>
    </w:p>
    <w:p w:rsidR="004F7425" w:rsidRDefault="004F7425" w:rsidP="004F7425">
      <w:pPr>
        <w:widowControl w:val="0"/>
        <w:tabs>
          <w:tab w:val="left" w:pos="840"/>
        </w:tabs>
        <w:autoSpaceDE w:val="0"/>
        <w:autoSpaceDN w:val="0"/>
        <w:adjustRightInd w:val="0"/>
        <w:spacing w:before="2"/>
        <w:ind w:left="480" w:right="-20"/>
        <w:rPr>
          <w:color w:val="000000"/>
        </w:rPr>
      </w:pPr>
      <w:r>
        <w:rPr>
          <w:color w:val="000000"/>
        </w:rPr>
        <w:t>-</w:t>
      </w:r>
      <w:r>
        <w:rPr>
          <w:color w:val="000000"/>
        </w:rPr>
        <w:tab/>
      </w:r>
      <w:r>
        <w:rPr>
          <w:color w:val="000000"/>
          <w:spacing w:val="4"/>
        </w:rPr>
        <w:t>V</w:t>
      </w:r>
      <w:r>
        <w:rPr>
          <w:color w:val="000000"/>
          <w:spacing w:val="-4"/>
        </w:rPr>
        <w:t>il</w:t>
      </w:r>
      <w:r>
        <w:rPr>
          <w:color w:val="000000"/>
          <w:spacing w:val="5"/>
        </w:rPr>
        <w:t>n</w:t>
      </w:r>
      <w:r>
        <w:rPr>
          <w:color w:val="000000"/>
          <w:spacing w:val="-4"/>
        </w:rPr>
        <w:t>i</w:t>
      </w:r>
      <w:r>
        <w:rPr>
          <w:color w:val="000000"/>
          <w:spacing w:val="-1"/>
        </w:rPr>
        <w:t>a</w:t>
      </w:r>
      <w:r>
        <w:rPr>
          <w:color w:val="000000"/>
        </w:rPr>
        <w:t>us</w:t>
      </w:r>
      <w:r>
        <w:rPr>
          <w:color w:val="000000"/>
          <w:spacing w:val="6"/>
        </w:rPr>
        <w:t xml:space="preserve"> </w:t>
      </w:r>
      <w:r>
        <w:rPr>
          <w:color w:val="000000"/>
        </w:rPr>
        <w:t>m</w:t>
      </w:r>
      <w:r>
        <w:rPr>
          <w:color w:val="000000"/>
          <w:spacing w:val="-4"/>
        </w:rPr>
        <w:t>i</w:t>
      </w:r>
      <w:r>
        <w:rPr>
          <w:color w:val="000000"/>
          <w:spacing w:val="-1"/>
        </w:rPr>
        <w:t>e</w:t>
      </w:r>
      <w:r>
        <w:rPr>
          <w:color w:val="000000"/>
          <w:spacing w:val="-2"/>
        </w:rPr>
        <w:t>s</w:t>
      </w:r>
      <w:r>
        <w:rPr>
          <w:color w:val="000000"/>
          <w:spacing w:val="5"/>
        </w:rPr>
        <w:t>t</w:t>
      </w:r>
      <w:r>
        <w:rPr>
          <w:color w:val="000000"/>
        </w:rPr>
        <w:t>e</w:t>
      </w:r>
      <w:r>
        <w:rPr>
          <w:color w:val="000000"/>
          <w:spacing w:val="2"/>
        </w:rPr>
        <w:t xml:space="preserve"> </w:t>
      </w:r>
      <w:r>
        <w:rPr>
          <w:color w:val="000000"/>
        </w:rPr>
        <w:t>–</w:t>
      </w:r>
      <w:r>
        <w:rPr>
          <w:color w:val="000000"/>
          <w:spacing w:val="2"/>
        </w:rPr>
        <w:t xml:space="preserve"> </w:t>
      </w:r>
      <w:r>
        <w:rPr>
          <w:color w:val="000000"/>
          <w:spacing w:val="-1"/>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7"/>
        </w:rPr>
        <w:t xml:space="preserve"> </w:t>
      </w:r>
      <w:r>
        <w:rPr>
          <w:color w:val="000000"/>
        </w:rPr>
        <w:t>g</w:t>
      </w:r>
      <w:r>
        <w:rPr>
          <w:color w:val="000000"/>
          <w:spacing w:val="4"/>
        </w:rPr>
        <w:t>a</w:t>
      </w:r>
      <w:r>
        <w:rPr>
          <w:color w:val="000000"/>
        </w:rPr>
        <w:t>m</w:t>
      </w:r>
      <w:r>
        <w:rPr>
          <w:color w:val="000000"/>
          <w:spacing w:val="-4"/>
        </w:rPr>
        <w:t>y</w:t>
      </w:r>
      <w:r>
        <w:rPr>
          <w:color w:val="000000"/>
          <w:spacing w:val="-5"/>
        </w:rPr>
        <w:t>b</w:t>
      </w:r>
      <w:r>
        <w:rPr>
          <w:color w:val="000000"/>
          <w:spacing w:val="5"/>
        </w:rPr>
        <w:t>o</w:t>
      </w:r>
      <w:r>
        <w:rPr>
          <w:color w:val="000000"/>
        </w:rPr>
        <w:t>s</w:t>
      </w:r>
      <w:r>
        <w:rPr>
          <w:color w:val="000000"/>
          <w:spacing w:val="5"/>
        </w:rPr>
        <w:t xml:space="preserve"> </w:t>
      </w:r>
      <w:r>
        <w:rPr>
          <w:color w:val="000000"/>
        </w:rPr>
        <w:t>v</w:t>
      </w:r>
      <w:r>
        <w:rPr>
          <w:color w:val="000000"/>
          <w:spacing w:val="-4"/>
        </w:rPr>
        <w:t>i</w:t>
      </w:r>
      <w:r>
        <w:rPr>
          <w:color w:val="000000"/>
          <w:spacing w:val="-1"/>
        </w:rPr>
        <w:t>e</w:t>
      </w:r>
      <w:r>
        <w:rPr>
          <w:color w:val="000000"/>
          <w:spacing w:val="5"/>
        </w:rPr>
        <w:t>t</w:t>
      </w:r>
      <w:r>
        <w:rPr>
          <w:color w:val="000000"/>
          <w:spacing w:val="-1"/>
        </w:rPr>
        <w:t>a</w:t>
      </w:r>
      <w:r>
        <w:rPr>
          <w:color w:val="000000"/>
        </w:rPr>
        <w:t>.</w:t>
      </w:r>
    </w:p>
    <w:p w:rsidR="004F7425" w:rsidRDefault="004F7425" w:rsidP="004F7425">
      <w:pPr>
        <w:widowControl w:val="0"/>
        <w:autoSpaceDE w:val="0"/>
        <w:autoSpaceDN w:val="0"/>
        <w:adjustRightInd w:val="0"/>
        <w:spacing w:before="41"/>
        <w:ind w:left="480" w:right="-20"/>
        <w:rPr>
          <w:color w:val="000000"/>
        </w:rPr>
      </w:pPr>
      <w:r>
        <w:rPr>
          <w:color w:val="000000"/>
          <w:spacing w:val="2"/>
        </w:rPr>
        <w:t>T</w:t>
      </w:r>
      <w:r>
        <w:rPr>
          <w:color w:val="000000"/>
          <w:spacing w:val="4"/>
        </w:rPr>
        <w:t>a</w:t>
      </w:r>
      <w:r>
        <w:rPr>
          <w:color w:val="000000"/>
        </w:rPr>
        <w:t>i</w:t>
      </w:r>
      <w:r>
        <w:rPr>
          <w:color w:val="000000"/>
          <w:spacing w:val="-7"/>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5"/>
        </w:rPr>
        <w:t>n</w:t>
      </w:r>
      <w:r>
        <w:rPr>
          <w:color w:val="000000"/>
          <w:spacing w:val="-1"/>
        </w:rPr>
        <w:t>e</w:t>
      </w:r>
      <w:r>
        <w:rPr>
          <w:color w:val="000000"/>
          <w:spacing w:val="5"/>
        </w:rPr>
        <w:t>d</w:t>
      </w:r>
      <w:r>
        <w:rPr>
          <w:color w:val="000000"/>
          <w:spacing w:val="-4"/>
        </w:rPr>
        <w:t>i</w:t>
      </w:r>
      <w:r>
        <w:rPr>
          <w:color w:val="000000"/>
        </w:rPr>
        <w:t>d</w:t>
      </w:r>
      <w:r>
        <w:rPr>
          <w:color w:val="000000"/>
          <w:spacing w:val="4"/>
        </w:rPr>
        <w:t>e</w:t>
      </w:r>
      <w:r>
        <w:rPr>
          <w:color w:val="000000"/>
        </w:rPr>
        <w:t>l</w:t>
      </w:r>
      <w:r>
        <w:rPr>
          <w:color w:val="000000"/>
          <w:spacing w:val="-9"/>
        </w:rPr>
        <w:t>i</w:t>
      </w:r>
      <w:r>
        <w:rPr>
          <w:color w:val="000000"/>
        </w:rPr>
        <w:t>o</w:t>
      </w:r>
      <w:r>
        <w:rPr>
          <w:color w:val="000000"/>
          <w:spacing w:val="7"/>
        </w:rPr>
        <w:t xml:space="preserve"> </w:t>
      </w:r>
      <w:r>
        <w:rPr>
          <w:color w:val="000000"/>
        </w:rPr>
        <w:t>p</w:t>
      </w:r>
      <w:r>
        <w:rPr>
          <w:color w:val="000000"/>
          <w:spacing w:val="4"/>
        </w:rPr>
        <w:t>a</w:t>
      </w:r>
      <w:r>
        <w:rPr>
          <w:color w:val="000000"/>
          <w:spacing w:val="-9"/>
        </w:rPr>
        <w:t>j</w:t>
      </w:r>
      <w:r>
        <w:rPr>
          <w:color w:val="000000"/>
          <w:spacing w:val="-1"/>
        </w:rPr>
        <w:t>ė</w:t>
      </w:r>
      <w:r>
        <w:rPr>
          <w:color w:val="000000"/>
        </w:rPr>
        <w:t>g</w:t>
      </w:r>
      <w:r>
        <w:rPr>
          <w:color w:val="000000"/>
          <w:spacing w:val="5"/>
        </w:rPr>
        <w:t>u</w:t>
      </w:r>
      <w:r>
        <w:rPr>
          <w:color w:val="000000"/>
          <w:spacing w:val="-9"/>
        </w:rPr>
        <w:t>m</w:t>
      </w:r>
      <w:r>
        <w:rPr>
          <w:color w:val="000000"/>
        </w:rPr>
        <w:t>o</w:t>
      </w:r>
      <w:r>
        <w:rPr>
          <w:color w:val="000000"/>
          <w:spacing w:val="12"/>
        </w:rPr>
        <w:t xml:space="preserve"> </w:t>
      </w:r>
      <w:r>
        <w:rPr>
          <w:color w:val="000000"/>
          <w:spacing w:val="-9"/>
        </w:rPr>
        <w:t>i</w:t>
      </w:r>
      <w:r>
        <w:rPr>
          <w:color w:val="000000"/>
        </w:rPr>
        <w:t>r</w:t>
      </w:r>
      <w:r>
        <w:rPr>
          <w:color w:val="000000"/>
          <w:spacing w:val="8"/>
        </w:rPr>
        <w:t xml:space="preserve"> </w:t>
      </w:r>
      <w:r>
        <w:rPr>
          <w:color w:val="000000"/>
          <w:spacing w:val="-5"/>
        </w:rPr>
        <w:t>n</w:t>
      </w:r>
      <w:r>
        <w:rPr>
          <w:color w:val="000000"/>
          <w:spacing w:val="-1"/>
        </w:rPr>
        <w:t>e</w:t>
      </w:r>
      <w:r>
        <w:rPr>
          <w:color w:val="000000"/>
        </w:rPr>
        <w:t>p</w:t>
      </w:r>
      <w:r>
        <w:rPr>
          <w:color w:val="000000"/>
          <w:spacing w:val="1"/>
        </w:rPr>
        <w:t>r</w:t>
      </w:r>
      <w:r>
        <w:rPr>
          <w:color w:val="000000"/>
          <w:spacing w:val="5"/>
        </w:rPr>
        <w:t>o</w:t>
      </w:r>
      <w:r>
        <w:rPr>
          <w:color w:val="000000"/>
          <w:spacing w:val="-8"/>
        </w:rPr>
        <w:t>f</w:t>
      </w:r>
      <w:r>
        <w:rPr>
          <w:color w:val="000000"/>
          <w:spacing w:val="4"/>
        </w:rPr>
        <w:t>e</w:t>
      </w:r>
      <w:r>
        <w:rPr>
          <w:color w:val="000000"/>
          <w:spacing w:val="2"/>
        </w:rPr>
        <w:t>s</w:t>
      </w:r>
      <w:r>
        <w:rPr>
          <w:color w:val="000000"/>
          <w:spacing w:val="-9"/>
        </w:rPr>
        <w:t>i</w:t>
      </w:r>
      <w:r>
        <w:rPr>
          <w:color w:val="000000"/>
          <w:spacing w:val="9"/>
        </w:rPr>
        <w:t>o</w:t>
      </w:r>
      <w:r>
        <w:rPr>
          <w:color w:val="000000"/>
          <w:spacing w:val="-5"/>
        </w:rPr>
        <w:t>n</w:t>
      </w:r>
      <w:r>
        <w:rPr>
          <w:color w:val="000000"/>
          <w:spacing w:val="4"/>
        </w:rPr>
        <w:t>a</w:t>
      </w:r>
      <w:r>
        <w:rPr>
          <w:color w:val="000000"/>
        </w:rPr>
        <w:t>l</w:t>
      </w:r>
      <w:r>
        <w:rPr>
          <w:color w:val="000000"/>
          <w:spacing w:val="-9"/>
        </w:rPr>
        <w:t>i</w:t>
      </w:r>
      <w:r>
        <w:rPr>
          <w:color w:val="000000"/>
          <w:spacing w:val="5"/>
        </w:rPr>
        <w:t>o</w:t>
      </w:r>
      <w:r>
        <w:rPr>
          <w:color w:val="000000"/>
        </w:rPr>
        <w:t>s</w:t>
      </w:r>
      <w:r>
        <w:rPr>
          <w:color w:val="000000"/>
          <w:spacing w:val="5"/>
        </w:rPr>
        <w:t xml:space="preserve"> </w:t>
      </w:r>
      <w:r>
        <w:rPr>
          <w:color w:val="000000"/>
          <w:spacing w:val="-4"/>
        </w:rPr>
        <w:t>l</w:t>
      </w:r>
      <w:r>
        <w:rPr>
          <w:color w:val="000000"/>
          <w:spacing w:val="4"/>
        </w:rPr>
        <w:t>a</w:t>
      </w:r>
      <w:r>
        <w:rPr>
          <w:color w:val="000000"/>
          <w:spacing w:val="-5"/>
        </w:rPr>
        <w:t>b</w:t>
      </w:r>
      <w:r>
        <w:rPr>
          <w:color w:val="000000"/>
          <w:spacing w:val="5"/>
        </w:rPr>
        <w:t>o</w:t>
      </w:r>
      <w:r>
        <w:rPr>
          <w:color w:val="000000"/>
          <w:spacing w:val="1"/>
        </w:rPr>
        <w:t>r</w:t>
      </w:r>
      <w:r>
        <w:rPr>
          <w:color w:val="000000"/>
          <w:spacing w:val="-1"/>
        </w:rPr>
        <w:t>a</w:t>
      </w:r>
      <w:r>
        <w:rPr>
          <w:color w:val="000000"/>
        </w:rPr>
        <w:t>to</w:t>
      </w:r>
      <w:r>
        <w:rPr>
          <w:color w:val="000000"/>
          <w:spacing w:val="2"/>
        </w:rPr>
        <w:t>r</w:t>
      </w:r>
      <w:r>
        <w:rPr>
          <w:color w:val="000000"/>
          <w:spacing w:val="-4"/>
        </w:rPr>
        <w:t>i</w:t>
      </w:r>
      <w:r>
        <w:rPr>
          <w:color w:val="000000"/>
          <w:spacing w:val="-9"/>
        </w:rPr>
        <w:t>j</w:t>
      </w:r>
      <w:r>
        <w:rPr>
          <w:color w:val="000000"/>
          <w:spacing w:val="9"/>
        </w:rPr>
        <w:t>o</w:t>
      </w:r>
      <w:r>
        <w:rPr>
          <w:color w:val="000000"/>
          <w:spacing w:val="-2"/>
        </w:rPr>
        <w:t>s</w:t>
      </w:r>
      <w:r>
        <w:rPr>
          <w:color w:val="000000"/>
        </w:rPr>
        <w:t>.</w:t>
      </w:r>
    </w:p>
    <w:p w:rsidR="004F7425" w:rsidRDefault="004F7425" w:rsidP="004F7425">
      <w:pPr>
        <w:widowControl w:val="0"/>
        <w:autoSpaceDE w:val="0"/>
        <w:autoSpaceDN w:val="0"/>
        <w:adjustRightInd w:val="0"/>
        <w:spacing w:before="41"/>
        <w:ind w:right="96"/>
        <w:jc w:val="right"/>
        <w:rPr>
          <w:color w:val="000000"/>
        </w:rPr>
      </w:pPr>
      <w:r>
        <w:rPr>
          <w:color w:val="000000"/>
          <w:spacing w:val="-5"/>
        </w:rPr>
        <w:t>K</w:t>
      </w:r>
      <w:r>
        <w:rPr>
          <w:color w:val="000000"/>
          <w:spacing w:val="4"/>
        </w:rPr>
        <w:t>a</w:t>
      </w:r>
      <w:r>
        <w:rPr>
          <w:color w:val="000000"/>
          <w:spacing w:val="-4"/>
        </w:rPr>
        <w:t>i</w:t>
      </w:r>
      <w:r>
        <w:rPr>
          <w:color w:val="000000"/>
        </w:rPr>
        <w:t>p</w:t>
      </w:r>
      <w:r>
        <w:rPr>
          <w:color w:val="000000"/>
          <w:spacing w:val="26"/>
        </w:rPr>
        <w:t xml:space="preserve"> </w:t>
      </w:r>
      <w:r>
        <w:rPr>
          <w:color w:val="000000"/>
          <w:spacing w:val="-4"/>
        </w:rPr>
        <w:t>i</w:t>
      </w:r>
      <w:r>
        <w:rPr>
          <w:color w:val="000000"/>
        </w:rPr>
        <w:t>r</w:t>
      </w:r>
      <w:r>
        <w:rPr>
          <w:color w:val="000000"/>
          <w:spacing w:val="23"/>
        </w:rPr>
        <w:t xml:space="preserve"> </w:t>
      </w:r>
      <w:r>
        <w:rPr>
          <w:color w:val="000000"/>
          <w:spacing w:val="4"/>
        </w:rPr>
        <w:t>a</w:t>
      </w:r>
      <w:r>
        <w:rPr>
          <w:color w:val="000000"/>
          <w:spacing w:val="-5"/>
        </w:rPr>
        <w:t>n</w:t>
      </w:r>
      <w:r>
        <w:rPr>
          <w:color w:val="000000"/>
          <w:spacing w:val="5"/>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29"/>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rPr>
        <w:t>s</w:t>
      </w:r>
      <w:r>
        <w:rPr>
          <w:color w:val="000000"/>
          <w:spacing w:val="1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25"/>
        </w:rPr>
        <w:t xml:space="preserve"> </w:t>
      </w:r>
      <w:r>
        <w:rPr>
          <w:color w:val="000000"/>
          <w:spacing w:val="-1"/>
        </w:rPr>
        <w:t>e</w:t>
      </w:r>
      <w:r>
        <w:rPr>
          <w:color w:val="000000"/>
          <w:spacing w:val="4"/>
        </w:rPr>
        <w:t>c</w:t>
      </w:r>
      <w:r>
        <w:rPr>
          <w:color w:val="000000"/>
          <w:spacing w:val="-2"/>
        </w:rPr>
        <w:t>s</w:t>
      </w:r>
      <w:r>
        <w:rPr>
          <w:color w:val="000000"/>
          <w:spacing w:val="5"/>
        </w:rPr>
        <w:t>t</w:t>
      </w:r>
      <w:r>
        <w:rPr>
          <w:color w:val="000000"/>
          <w:spacing w:val="-1"/>
        </w:rPr>
        <w:t>a</w:t>
      </w:r>
      <w:r>
        <w:rPr>
          <w:color w:val="000000"/>
          <w:spacing w:val="2"/>
        </w:rPr>
        <w:t>s</w:t>
      </w:r>
      <w:r>
        <w:rPr>
          <w:color w:val="000000"/>
        </w:rPr>
        <w:t>y</w:t>
      </w:r>
      <w:r>
        <w:rPr>
          <w:color w:val="000000"/>
          <w:spacing w:val="17"/>
        </w:rPr>
        <w:t xml:space="preserve"> </w:t>
      </w:r>
      <w:r>
        <w:rPr>
          <w:color w:val="000000"/>
          <w:spacing w:val="-5"/>
        </w:rPr>
        <w:t>n</w:t>
      </w:r>
      <w:r>
        <w:rPr>
          <w:color w:val="000000"/>
          <w:spacing w:val="4"/>
        </w:rPr>
        <w:t>e</w:t>
      </w:r>
      <w:r>
        <w:rPr>
          <w:color w:val="000000"/>
          <w:spacing w:val="-4"/>
        </w:rPr>
        <w:t>l</w:t>
      </w:r>
      <w:r>
        <w:rPr>
          <w:color w:val="000000"/>
          <w:spacing w:val="8"/>
        </w:rPr>
        <w:t>e</w:t>
      </w:r>
      <w:r>
        <w:rPr>
          <w:color w:val="000000"/>
        </w:rPr>
        <w:t>g</w:t>
      </w:r>
      <w:r>
        <w:rPr>
          <w:color w:val="000000"/>
          <w:spacing w:val="4"/>
        </w:rPr>
        <w:t>a</w:t>
      </w:r>
      <w:r>
        <w:rPr>
          <w:color w:val="000000"/>
          <w:spacing w:val="-4"/>
        </w:rPr>
        <w:t>l</w:t>
      </w:r>
      <w:r>
        <w:rPr>
          <w:color w:val="000000"/>
        </w:rPr>
        <w:t>i</w:t>
      </w:r>
      <w:r>
        <w:rPr>
          <w:color w:val="000000"/>
          <w:spacing w:val="17"/>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a</w:t>
      </w:r>
      <w:r>
        <w:rPr>
          <w:color w:val="000000"/>
          <w:spacing w:val="25"/>
        </w:rPr>
        <w:t xml:space="preserve"> </w:t>
      </w:r>
      <w:r>
        <w:rPr>
          <w:color w:val="000000"/>
          <w:spacing w:val="-4"/>
        </w:rPr>
        <w:t>i</w:t>
      </w:r>
      <w:r>
        <w:rPr>
          <w:color w:val="000000"/>
          <w:spacing w:val="2"/>
        </w:rPr>
        <w:t>š</w:t>
      </w:r>
      <w:r>
        <w:rPr>
          <w:color w:val="000000"/>
        </w:rPr>
        <w:t>l</w:t>
      </w:r>
      <w:r>
        <w:rPr>
          <w:color w:val="000000"/>
          <w:spacing w:val="-4"/>
        </w:rPr>
        <w:t>i</w:t>
      </w:r>
      <w:r>
        <w:rPr>
          <w:color w:val="000000"/>
          <w:spacing w:val="-1"/>
        </w:rPr>
        <w:t>e</w:t>
      </w:r>
      <w:r>
        <w:rPr>
          <w:color w:val="000000"/>
        </w:rPr>
        <w:t>ka</w:t>
      </w:r>
      <w:r>
        <w:rPr>
          <w:color w:val="000000"/>
          <w:spacing w:val="25"/>
        </w:rPr>
        <w:t xml:space="preserve"> </w:t>
      </w:r>
      <w:r>
        <w:rPr>
          <w:color w:val="000000"/>
        </w:rPr>
        <w:t>n</w:t>
      </w:r>
      <w:r>
        <w:rPr>
          <w:color w:val="000000"/>
          <w:spacing w:val="-1"/>
        </w:rPr>
        <w:t>e</w:t>
      </w:r>
      <w:r>
        <w:rPr>
          <w:color w:val="000000"/>
          <w:spacing w:val="5"/>
        </w:rPr>
        <w:t>d</w:t>
      </w:r>
      <w:r>
        <w:rPr>
          <w:color w:val="000000"/>
          <w:spacing w:val="-9"/>
        </w:rPr>
        <w:t>i</w:t>
      </w:r>
      <w:r>
        <w:rPr>
          <w:color w:val="000000"/>
          <w:spacing w:val="5"/>
        </w:rPr>
        <w:t>d</w:t>
      </w:r>
      <w:r>
        <w:rPr>
          <w:color w:val="000000"/>
          <w:spacing w:val="4"/>
        </w:rPr>
        <w:t>e</w:t>
      </w:r>
      <w:r>
        <w:rPr>
          <w:color w:val="000000"/>
          <w:spacing w:val="-4"/>
        </w:rPr>
        <w:t>l</w:t>
      </w:r>
      <w:r>
        <w:rPr>
          <w:color w:val="000000"/>
          <w:spacing w:val="-1"/>
        </w:rPr>
        <w:t>ė</w:t>
      </w:r>
      <w:r>
        <w:rPr>
          <w:color w:val="000000"/>
        </w:rPr>
        <w:t>.</w:t>
      </w:r>
      <w:r>
        <w:rPr>
          <w:color w:val="000000"/>
          <w:spacing w:val="24"/>
        </w:rPr>
        <w:t xml:space="preserve"> </w:t>
      </w:r>
      <w:r>
        <w:rPr>
          <w:color w:val="000000"/>
          <w:spacing w:val="6"/>
        </w:rPr>
        <w:t>Š</w:t>
      </w:r>
      <w:r>
        <w:rPr>
          <w:color w:val="000000"/>
        </w:rPr>
        <w:t>i</w:t>
      </w:r>
      <w:r>
        <w:rPr>
          <w:color w:val="000000"/>
          <w:spacing w:val="17"/>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ga</w:t>
      </w:r>
      <w:r>
        <w:rPr>
          <w:color w:val="000000"/>
          <w:spacing w:val="25"/>
        </w:rPr>
        <w:t xml:space="preserve"> </w:t>
      </w:r>
      <w:r>
        <w:rPr>
          <w:color w:val="000000"/>
        </w:rPr>
        <w:t>į</w:t>
      </w:r>
    </w:p>
    <w:p w:rsidR="004F7425" w:rsidRDefault="004F7425" w:rsidP="004F7425">
      <w:pPr>
        <w:widowControl w:val="0"/>
        <w:autoSpaceDE w:val="0"/>
        <w:autoSpaceDN w:val="0"/>
        <w:adjustRightInd w:val="0"/>
        <w:spacing w:before="41"/>
        <w:ind w:left="120" w:right="5813"/>
        <w:jc w:val="both"/>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6"/>
        </w:rPr>
        <w:t xml:space="preserve"> </w:t>
      </w:r>
      <w:r>
        <w:rPr>
          <w:color w:val="000000"/>
          <w:spacing w:val="-10"/>
        </w:rPr>
        <w:t>y</w:t>
      </w:r>
      <w:r>
        <w:rPr>
          <w:color w:val="000000"/>
          <w:spacing w:val="1"/>
        </w:rPr>
        <w:t>r</w:t>
      </w:r>
      <w:r>
        <w:rPr>
          <w:color w:val="000000"/>
        </w:rPr>
        <w:t>a</w:t>
      </w:r>
      <w:r>
        <w:rPr>
          <w:color w:val="000000"/>
          <w:spacing w:val="6"/>
        </w:rPr>
        <w:t xml:space="preserve"> </w:t>
      </w:r>
      <w:r>
        <w:rPr>
          <w:color w:val="000000"/>
          <w:spacing w:val="-4"/>
        </w:rPr>
        <w:t>į</w:t>
      </w:r>
      <w:r>
        <w:rPr>
          <w:color w:val="000000"/>
        </w:rPr>
        <w:t>v</w:t>
      </w:r>
      <w:r>
        <w:rPr>
          <w:color w:val="000000"/>
          <w:spacing w:val="-1"/>
        </w:rPr>
        <w:t>ež</w:t>
      </w:r>
      <w:r>
        <w:rPr>
          <w:color w:val="000000"/>
          <w:spacing w:val="4"/>
        </w:rPr>
        <w:t>a</w:t>
      </w:r>
      <w:r>
        <w:rPr>
          <w:color w:val="000000"/>
          <w:spacing w:val="-4"/>
        </w:rPr>
        <w:t>m</w:t>
      </w:r>
      <w:r>
        <w:rPr>
          <w:color w:val="000000"/>
        </w:rPr>
        <w:t>a</w:t>
      </w:r>
      <w:r>
        <w:rPr>
          <w:color w:val="000000"/>
          <w:spacing w:val="6"/>
        </w:rPr>
        <w:t xml:space="preserve"> </w:t>
      </w:r>
      <w:r>
        <w:rPr>
          <w:color w:val="000000"/>
          <w:spacing w:val="-4"/>
        </w:rPr>
        <w:t>i</w:t>
      </w:r>
      <w:r>
        <w:rPr>
          <w:color w:val="000000"/>
        </w:rPr>
        <w:t>š V</w:t>
      </w:r>
      <w:r>
        <w:rPr>
          <w:color w:val="000000"/>
          <w:spacing w:val="-1"/>
        </w:rPr>
        <w:t>a</w:t>
      </w:r>
      <w:r>
        <w:rPr>
          <w:color w:val="000000"/>
        </w:rPr>
        <w:t>k</w:t>
      </w:r>
      <w:r>
        <w:rPr>
          <w:color w:val="000000"/>
          <w:spacing w:val="-1"/>
        </w:rPr>
        <w:t>a</w:t>
      </w:r>
      <w:r>
        <w:rPr>
          <w:color w:val="000000"/>
          <w:spacing w:val="1"/>
        </w:rPr>
        <w:t>r</w:t>
      </w:r>
      <w:r>
        <w:rPr>
          <w:color w:val="000000"/>
        </w:rPr>
        <w:t>ų</w:t>
      </w:r>
      <w:r>
        <w:rPr>
          <w:color w:val="000000"/>
          <w:spacing w:val="2"/>
        </w:rPr>
        <w:t xml:space="preserve"> 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spacing w:val="-2"/>
        </w:rPr>
        <w:t>s</w:t>
      </w:r>
      <w:r>
        <w:rPr>
          <w:color w:val="000000"/>
        </w:rPr>
        <w:t>.</w:t>
      </w:r>
    </w:p>
    <w:p w:rsidR="004F7425" w:rsidRDefault="004F7425" w:rsidP="004F7425">
      <w:pPr>
        <w:widowControl w:val="0"/>
        <w:autoSpaceDE w:val="0"/>
        <w:autoSpaceDN w:val="0"/>
        <w:adjustRightInd w:val="0"/>
        <w:spacing w:before="9" w:line="160" w:lineRule="exact"/>
        <w:rPr>
          <w:color w:val="000000"/>
          <w:sz w:val="16"/>
          <w:szCs w:val="16"/>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8600"/>
        <w:jc w:val="both"/>
        <w:rPr>
          <w:color w:val="000000"/>
          <w:sz w:val="28"/>
          <w:szCs w:val="28"/>
        </w:rPr>
      </w:pPr>
      <w:r>
        <w:rPr>
          <w:b/>
          <w:bCs/>
          <w:i/>
          <w:iCs/>
          <w:color w:val="933634"/>
          <w:spacing w:val="1"/>
          <w:sz w:val="28"/>
          <w:szCs w:val="28"/>
        </w:rPr>
        <w:t>K</w:t>
      </w:r>
      <w:r>
        <w:rPr>
          <w:b/>
          <w:bCs/>
          <w:i/>
          <w:iCs/>
          <w:color w:val="933634"/>
          <w:sz w:val="28"/>
          <w:szCs w:val="28"/>
        </w:rPr>
        <w:t>okai</w:t>
      </w:r>
      <w:r>
        <w:rPr>
          <w:b/>
          <w:bCs/>
          <w:i/>
          <w:iCs/>
          <w:color w:val="933634"/>
          <w:spacing w:val="-2"/>
          <w:sz w:val="28"/>
          <w:szCs w:val="28"/>
        </w:rPr>
        <w:t>n</w:t>
      </w:r>
      <w:r>
        <w:rPr>
          <w:b/>
          <w:bCs/>
          <w:i/>
          <w:iCs/>
          <w:color w:val="933634"/>
          <w:sz w:val="28"/>
          <w:szCs w:val="28"/>
        </w:rPr>
        <w:t>as</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3565" w:firstLine="721"/>
        <w:jc w:val="both"/>
        <w:rPr>
          <w:color w:val="000000"/>
        </w:rPr>
      </w:pPr>
      <w:r>
        <w:rPr>
          <w:noProof/>
          <w:lang w:eastAsia="lt-LT"/>
        </w:rPr>
        <mc:AlternateContent>
          <mc:Choice Requires="wps">
            <w:drawing>
              <wp:anchor distT="0" distB="0" distL="114300" distR="114300" simplePos="0" relativeHeight="251748352" behindDoc="1" locked="0" layoutInCell="0" allowOverlap="1">
                <wp:simplePos x="0" y="0"/>
                <wp:positionH relativeFrom="page">
                  <wp:posOffset>5080635</wp:posOffset>
                </wp:positionH>
                <wp:positionV relativeFrom="paragraph">
                  <wp:posOffset>-43180</wp:posOffset>
                </wp:positionV>
                <wp:extent cx="2120900" cy="1587500"/>
                <wp:effectExtent l="3810" t="3810" r="0" b="0"/>
                <wp:wrapNone/>
                <wp:docPr id="248" name="Stačiakampis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158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2500" w:lineRule="atLeast"/>
                            </w:pPr>
                            <w:r>
                              <w:rPr>
                                <w:noProof/>
                                <w:lang w:eastAsia="lt-LT"/>
                              </w:rPr>
                              <w:drawing>
                                <wp:inline distT="0" distB="0" distL="0" distR="0" wp14:anchorId="71932987" wp14:editId="35AD1D53">
                                  <wp:extent cx="2114550" cy="1581150"/>
                                  <wp:effectExtent l="0" t="0" r="0" b="0"/>
                                  <wp:docPr id="247" name="Paveikslėlis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114550" cy="15811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48" o:spid="_x0000_s1054" style="position:absolute;left:0;text-align:left;margin-left:400.05pt;margin-top:-3.4pt;width:167pt;height:125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" o:allowincell="f" filled="f" stroked="f">
                <v:textbox inset="0,0,0,0">
                  <w:txbxContent>
                    <w:p w:rsidR="004F7425" w:rsidRDefault="004F7425" w:rsidP="004F7425">
                      <w:pPr>
                        <w:spacing w:line="2500" w:lineRule="atLeast"/>
                      </w:pPr>
                      <w:r>
                        <w:rPr>
                          <w:noProof/>
                          <w:lang w:eastAsia="lt-LT"/>
                        </w:rPr>
                        <w:drawing>
                          <wp:inline distT="0" distB="0" distL="0" distR="0" wp14:anchorId="71932987" wp14:editId="35AD1D53">
                            <wp:extent cx="2114550" cy="1581150"/>
                            <wp:effectExtent l="0" t="0" r="0" b="0"/>
                            <wp:docPr id="247" name="Paveikslėlis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114550" cy="15811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rPr>
        <w:t>N</w:t>
      </w:r>
      <w:r>
        <w:rPr>
          <w:color w:val="000000"/>
          <w:spacing w:val="4"/>
        </w:rPr>
        <w:t>o</w:t>
      </w:r>
      <w:r>
        <w:rPr>
          <w:color w:val="000000"/>
          <w:spacing w:val="1"/>
        </w:rPr>
        <w:t>r</w:t>
      </w:r>
      <w:r>
        <w:rPr>
          <w:color w:val="000000"/>
        </w:rPr>
        <w:t>s</w:t>
      </w:r>
      <w:r>
        <w:rPr>
          <w:color w:val="000000"/>
          <w:spacing w:val="3"/>
        </w:rPr>
        <w:t xml:space="preserve"> </w:t>
      </w:r>
      <w:r>
        <w:rPr>
          <w:color w:val="000000"/>
        </w:rPr>
        <w:t>d</w:t>
      </w:r>
      <w:r>
        <w:rPr>
          <w:color w:val="000000"/>
          <w:spacing w:val="-1"/>
        </w:rPr>
        <w:t>a</w:t>
      </w:r>
      <w:r>
        <w:rPr>
          <w:color w:val="000000"/>
        </w:rPr>
        <w:t>u</w:t>
      </w:r>
      <w:r>
        <w:rPr>
          <w:color w:val="000000"/>
          <w:spacing w:val="1"/>
        </w:rPr>
        <w:t>g</w:t>
      </w:r>
      <w:r>
        <w:rPr>
          <w:color w:val="000000"/>
          <w:spacing w:val="-9"/>
        </w:rPr>
        <w:t>i</w:t>
      </w:r>
      <w:r>
        <w:rPr>
          <w:color w:val="000000"/>
          <w:spacing w:val="-1"/>
        </w:rPr>
        <w:t>a</w:t>
      </w:r>
      <w:r>
        <w:rPr>
          <w:color w:val="000000"/>
        </w:rPr>
        <w:t>u</w:t>
      </w:r>
      <w:r>
        <w:rPr>
          <w:color w:val="000000"/>
          <w:spacing w:val="2"/>
        </w:rPr>
        <w:t>s</w:t>
      </w:r>
      <w:r>
        <w:rPr>
          <w:color w:val="000000"/>
          <w:spacing w:val="-4"/>
        </w:rPr>
        <w:t>i</w:t>
      </w:r>
      <w:r>
        <w:rPr>
          <w:color w:val="000000"/>
        </w:rPr>
        <w:t>a</w:t>
      </w:r>
      <w:r>
        <w:rPr>
          <w:color w:val="000000"/>
          <w:spacing w:val="4"/>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9"/>
        </w:rPr>
        <w:t xml:space="preserve"> </w:t>
      </w:r>
      <w:r>
        <w:rPr>
          <w:color w:val="000000"/>
          <w:spacing w:val="-2"/>
        </w:rPr>
        <w:t>s</w:t>
      </w:r>
      <w:r>
        <w:rPr>
          <w:color w:val="000000"/>
        </w:rPr>
        <w:t>u</w:t>
      </w:r>
      <w:r>
        <w:rPr>
          <w:color w:val="000000"/>
          <w:spacing w:val="-5"/>
        </w:rPr>
        <w:t>v</w:t>
      </w:r>
      <w:r>
        <w:rPr>
          <w:color w:val="000000"/>
          <w:spacing w:val="-1"/>
        </w:rPr>
        <w:t>a</w:t>
      </w:r>
      <w:r>
        <w:rPr>
          <w:color w:val="000000"/>
          <w:spacing w:val="1"/>
        </w:rPr>
        <w:t>r</w:t>
      </w:r>
      <w:r>
        <w:rPr>
          <w:color w:val="000000"/>
          <w:spacing w:val="5"/>
        </w:rPr>
        <w:t>to</w:t>
      </w:r>
      <w:r>
        <w:rPr>
          <w:color w:val="000000"/>
          <w:spacing w:val="-9"/>
        </w:rPr>
        <w:t>j</w:t>
      </w:r>
      <w:r>
        <w:rPr>
          <w:color w:val="000000"/>
          <w:spacing w:val="4"/>
        </w:rPr>
        <w:t>a</w:t>
      </w:r>
      <w:r>
        <w:rPr>
          <w:color w:val="000000"/>
          <w:spacing w:val="-4"/>
        </w:rPr>
        <w:t>m</w:t>
      </w:r>
      <w:r>
        <w:rPr>
          <w:color w:val="000000"/>
        </w:rPr>
        <w:t>a</w:t>
      </w:r>
      <w:r>
        <w:rPr>
          <w:color w:val="000000"/>
          <w:spacing w:val="4"/>
        </w:rPr>
        <w:t xml:space="preserve"> </w:t>
      </w:r>
      <w:r>
        <w:rPr>
          <w:color w:val="000000"/>
          <w:spacing w:val="5"/>
        </w:rPr>
        <w:t>t</w:t>
      </w:r>
      <w:r>
        <w:rPr>
          <w:color w:val="000000"/>
          <w:spacing w:val="-9"/>
        </w:rPr>
        <w:t>i</w:t>
      </w:r>
      <w:r>
        <w:rPr>
          <w:color w:val="000000"/>
        </w:rPr>
        <w:t>k</w:t>
      </w:r>
      <w:r>
        <w:rPr>
          <w:color w:val="000000"/>
          <w:spacing w:val="5"/>
        </w:rPr>
        <w:t xml:space="preserve"> </w:t>
      </w:r>
      <w:r>
        <w:rPr>
          <w:color w:val="000000"/>
        </w:rPr>
        <w:t>k</w:t>
      </w:r>
      <w:r>
        <w:rPr>
          <w:color w:val="000000"/>
          <w:spacing w:val="4"/>
        </w:rPr>
        <w:t>a</w:t>
      </w:r>
      <w:r>
        <w:rPr>
          <w:color w:val="000000"/>
        </w:rPr>
        <w:t xml:space="preserve">i </w:t>
      </w:r>
      <w:r>
        <w:rPr>
          <w:color w:val="000000"/>
          <w:spacing w:val="5"/>
        </w:rPr>
        <w:t>k</w:t>
      </w:r>
      <w:r>
        <w:rPr>
          <w:color w:val="000000"/>
        </w:rPr>
        <w:t>u</w:t>
      </w:r>
      <w:r>
        <w:rPr>
          <w:color w:val="000000"/>
          <w:spacing w:val="6"/>
        </w:rPr>
        <w:t>r</w:t>
      </w:r>
      <w:r>
        <w:rPr>
          <w:color w:val="000000"/>
          <w:spacing w:val="-9"/>
        </w:rPr>
        <w:t>i</w:t>
      </w:r>
      <w:r>
        <w:rPr>
          <w:color w:val="000000"/>
          <w:spacing w:val="5"/>
        </w:rPr>
        <w:t>o</w:t>
      </w:r>
      <w:r>
        <w:rPr>
          <w:color w:val="000000"/>
          <w:spacing w:val="-2"/>
        </w:rPr>
        <w:t>s</w:t>
      </w:r>
      <w:r>
        <w:rPr>
          <w:color w:val="000000"/>
        </w:rPr>
        <w:t xml:space="preserve">e </w:t>
      </w:r>
      <w:r>
        <w:rPr>
          <w:color w:val="000000"/>
          <w:spacing w:val="2"/>
        </w:rPr>
        <w:t>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rPr>
        <w:t xml:space="preserve">s </w:t>
      </w:r>
      <w:r>
        <w:rPr>
          <w:color w:val="000000"/>
          <w:spacing w:val="41"/>
        </w:rPr>
        <w:t xml:space="preserve"> </w:t>
      </w:r>
      <w:r>
        <w:rPr>
          <w:color w:val="000000"/>
          <w:spacing w:val="5"/>
        </w:rPr>
        <w:t>p</w:t>
      </w:r>
      <w:r>
        <w:rPr>
          <w:color w:val="000000"/>
          <w:spacing w:val="-9"/>
        </w:rPr>
        <w:t>i</w:t>
      </w:r>
      <w:r>
        <w:rPr>
          <w:color w:val="000000"/>
          <w:spacing w:val="-1"/>
        </w:rPr>
        <w:t>e</w:t>
      </w:r>
      <w:r>
        <w:rPr>
          <w:color w:val="000000"/>
          <w:spacing w:val="5"/>
        </w:rPr>
        <w:t>t</w:t>
      </w:r>
      <w:r>
        <w:rPr>
          <w:color w:val="000000"/>
        </w:rPr>
        <w:t xml:space="preserve">ų </w:t>
      </w:r>
      <w:r>
        <w:rPr>
          <w:color w:val="000000"/>
          <w:spacing w:val="48"/>
        </w:rPr>
        <w:t xml:space="preserve"> </w:t>
      </w:r>
      <w:r>
        <w:rPr>
          <w:color w:val="000000"/>
          <w:spacing w:val="-9"/>
        </w:rPr>
        <w:t>i</w:t>
      </w:r>
      <w:r>
        <w:rPr>
          <w:color w:val="000000"/>
        </w:rPr>
        <w:t xml:space="preserve">r </w:t>
      </w:r>
      <w:r>
        <w:rPr>
          <w:color w:val="000000"/>
          <w:spacing w:val="49"/>
        </w:rPr>
        <w:t xml:space="preserve"> </w:t>
      </w:r>
      <w:r>
        <w:rPr>
          <w:color w:val="000000"/>
          <w:spacing w:val="-5"/>
        </w:rPr>
        <w:t>v</w:t>
      </w:r>
      <w:r>
        <w:rPr>
          <w:color w:val="000000"/>
          <w:spacing w:val="-1"/>
        </w:rPr>
        <w:t>a</w:t>
      </w:r>
      <w:r>
        <w:rPr>
          <w:color w:val="000000"/>
          <w:spacing w:val="5"/>
        </w:rPr>
        <w:t>k</w:t>
      </w:r>
      <w:r>
        <w:rPr>
          <w:color w:val="000000"/>
          <w:spacing w:val="-1"/>
        </w:rPr>
        <w:t>a</w:t>
      </w:r>
      <w:r>
        <w:rPr>
          <w:color w:val="000000"/>
          <w:spacing w:val="1"/>
        </w:rPr>
        <w:t>r</w:t>
      </w:r>
      <w:r>
        <w:rPr>
          <w:color w:val="000000"/>
        </w:rPr>
        <w:t xml:space="preserve">ų </w:t>
      </w:r>
      <w:r>
        <w:rPr>
          <w:color w:val="000000"/>
          <w:spacing w:val="43"/>
        </w:rPr>
        <w:t xml:space="preserve"> </w:t>
      </w:r>
      <w:r>
        <w:rPr>
          <w:color w:val="000000"/>
          <w:spacing w:val="-2"/>
        </w:rPr>
        <w:t>š</w:t>
      </w:r>
      <w:r>
        <w:rPr>
          <w:color w:val="000000"/>
          <w:spacing w:val="4"/>
        </w:rPr>
        <w:t>a</w:t>
      </w:r>
      <w:r>
        <w:rPr>
          <w:color w:val="000000"/>
        </w:rPr>
        <w:t>l</w:t>
      </w:r>
      <w:r>
        <w:rPr>
          <w:color w:val="000000"/>
          <w:spacing w:val="-4"/>
        </w:rPr>
        <w:t>y</w:t>
      </w:r>
      <w:r>
        <w:rPr>
          <w:color w:val="000000"/>
          <w:spacing w:val="2"/>
        </w:rPr>
        <w:t>s</w:t>
      </w:r>
      <w:r>
        <w:rPr>
          <w:color w:val="000000"/>
          <w:spacing w:val="-1"/>
        </w:rPr>
        <w:t>e</w:t>
      </w:r>
      <w:r>
        <w:rPr>
          <w:color w:val="000000"/>
        </w:rPr>
        <w:t xml:space="preserve">, </w:t>
      </w:r>
      <w:r>
        <w:rPr>
          <w:color w:val="000000"/>
          <w:spacing w:val="50"/>
        </w:rPr>
        <w:t xml:space="preserve"> </w:t>
      </w:r>
      <w:r>
        <w:rPr>
          <w:color w:val="000000"/>
        </w:rPr>
        <w:t>v</w:t>
      </w:r>
      <w:r>
        <w:rPr>
          <w:color w:val="000000"/>
          <w:spacing w:val="-4"/>
        </w:rPr>
        <w:t>i</w:t>
      </w:r>
      <w:r>
        <w:rPr>
          <w:color w:val="000000"/>
        </w:rPr>
        <w:t xml:space="preserve">s </w:t>
      </w:r>
      <w:r>
        <w:rPr>
          <w:color w:val="000000"/>
          <w:spacing w:val="45"/>
        </w:rPr>
        <w:t xml:space="preserve"> </w:t>
      </w:r>
      <w:r>
        <w:rPr>
          <w:color w:val="000000"/>
        </w:rPr>
        <w:t>d</w:t>
      </w:r>
      <w:r>
        <w:rPr>
          <w:color w:val="000000"/>
          <w:spacing w:val="4"/>
        </w:rPr>
        <w:t>ė</w:t>
      </w:r>
      <w:r>
        <w:rPr>
          <w:color w:val="000000"/>
          <w:spacing w:val="-9"/>
        </w:rPr>
        <w:t>l</w:t>
      </w:r>
      <w:r>
        <w:rPr>
          <w:color w:val="000000"/>
          <w:spacing w:val="5"/>
        </w:rPr>
        <w:t>t</w:t>
      </w:r>
      <w:r>
        <w:rPr>
          <w:color w:val="000000"/>
        </w:rPr>
        <w:t xml:space="preserve">o </w:t>
      </w:r>
      <w:r>
        <w:rPr>
          <w:color w:val="000000"/>
          <w:spacing w:val="48"/>
        </w:rPr>
        <w:t xml:space="preserve"> </w:t>
      </w:r>
      <w:r>
        <w:rPr>
          <w:color w:val="000000"/>
          <w:spacing w:val="2"/>
        </w:rPr>
        <w:t>š</w:t>
      </w:r>
      <w:r>
        <w:rPr>
          <w:color w:val="000000"/>
          <w:spacing w:val="-4"/>
        </w:rPr>
        <w:t>i</w:t>
      </w:r>
      <w:r>
        <w:rPr>
          <w:color w:val="000000"/>
        </w:rPr>
        <w:t xml:space="preserve">s </w:t>
      </w:r>
      <w:r>
        <w:rPr>
          <w:color w:val="000000"/>
          <w:spacing w:val="45"/>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w:t>
      </w:r>
      <w:r>
        <w:rPr>
          <w:color w:val="000000"/>
          <w:spacing w:val="4"/>
        </w:rPr>
        <w:t>a</w:t>
      </w:r>
      <w:r>
        <w:rPr>
          <w:color w:val="000000"/>
          <w:spacing w:val="-2"/>
        </w:rPr>
        <w:t>s</w:t>
      </w:r>
      <w:r>
        <w:rPr>
          <w:color w:val="000000"/>
        </w:rPr>
        <w:t xml:space="preserve">, </w:t>
      </w:r>
      <w:r>
        <w:rPr>
          <w:color w:val="000000"/>
          <w:spacing w:val="-5"/>
        </w:rPr>
        <w:t>v</w:t>
      </w:r>
      <w:r>
        <w:rPr>
          <w:color w:val="000000"/>
          <w:spacing w:val="-1"/>
        </w:rPr>
        <w:t>e</w:t>
      </w:r>
      <w:r>
        <w:rPr>
          <w:color w:val="000000"/>
          <w:spacing w:val="1"/>
        </w:rPr>
        <w:t>r</w:t>
      </w:r>
      <w:r>
        <w:rPr>
          <w:color w:val="000000"/>
          <w:spacing w:val="10"/>
        </w:rPr>
        <w:t>t</w:t>
      </w:r>
      <w:r>
        <w:rPr>
          <w:color w:val="000000"/>
          <w:spacing w:val="-4"/>
        </w:rPr>
        <w:t>i</w:t>
      </w:r>
      <w:r>
        <w:rPr>
          <w:color w:val="000000"/>
          <w:spacing w:val="-5"/>
        </w:rPr>
        <w:t>n</w:t>
      </w:r>
      <w:r>
        <w:rPr>
          <w:color w:val="000000"/>
          <w:spacing w:val="4"/>
        </w:rPr>
        <w:t>a</w:t>
      </w:r>
      <w:r>
        <w:rPr>
          <w:color w:val="000000"/>
          <w:spacing w:val="-5"/>
        </w:rPr>
        <w:t>n</w:t>
      </w:r>
      <w:r>
        <w:rPr>
          <w:color w:val="000000"/>
        </w:rPr>
        <w:t>t</w:t>
      </w:r>
      <w:r>
        <w:rPr>
          <w:color w:val="000000"/>
          <w:spacing w:val="7"/>
        </w:rPr>
        <w:t xml:space="preserve"> </w:t>
      </w:r>
      <w:r>
        <w:rPr>
          <w:color w:val="000000"/>
          <w:spacing w:val="-5"/>
        </w:rPr>
        <w:t>b</w:t>
      </w:r>
      <w:r>
        <w:rPr>
          <w:color w:val="000000"/>
          <w:spacing w:val="4"/>
        </w:rPr>
        <w:t>e</w:t>
      </w:r>
      <w:r>
        <w:rPr>
          <w:color w:val="000000"/>
          <w:spacing w:val="-5"/>
        </w:rPr>
        <w:t>n</w:t>
      </w:r>
      <w:r>
        <w:rPr>
          <w:color w:val="000000"/>
        </w:rPr>
        <w:t>d</w:t>
      </w:r>
      <w:r>
        <w:rPr>
          <w:color w:val="000000"/>
          <w:spacing w:val="1"/>
        </w:rPr>
        <w:t>r</w:t>
      </w:r>
      <w:r>
        <w:rPr>
          <w:color w:val="000000"/>
        </w:rPr>
        <w:t xml:space="preserve">us </w:t>
      </w:r>
      <w:r>
        <w:rPr>
          <w:color w:val="000000"/>
          <w:spacing w:val="1"/>
        </w:rPr>
        <w:t>r</w:t>
      </w:r>
      <w:r>
        <w:rPr>
          <w:color w:val="000000"/>
          <w:spacing w:val="5"/>
        </w:rPr>
        <w:t>o</w:t>
      </w:r>
      <w:r>
        <w:rPr>
          <w:color w:val="000000"/>
        </w:rPr>
        <w:t>d</w:t>
      </w:r>
      <w:r>
        <w:rPr>
          <w:color w:val="000000"/>
          <w:spacing w:val="-9"/>
        </w:rPr>
        <w:t>i</w:t>
      </w:r>
      <w:r>
        <w:rPr>
          <w:color w:val="000000"/>
          <w:spacing w:val="5"/>
        </w:rPr>
        <w:t>k</w:t>
      </w:r>
      <w:r>
        <w:rPr>
          <w:color w:val="000000"/>
        </w:rPr>
        <w:t>l</w:t>
      </w:r>
      <w:r>
        <w:rPr>
          <w:color w:val="000000"/>
          <w:spacing w:val="-4"/>
        </w:rPr>
        <w:t>i</w:t>
      </w:r>
      <w:r>
        <w:rPr>
          <w:color w:val="000000"/>
        </w:rPr>
        <w:t>u</w:t>
      </w:r>
      <w:r>
        <w:rPr>
          <w:color w:val="000000"/>
          <w:spacing w:val="-2"/>
        </w:rPr>
        <w:t>s</w:t>
      </w:r>
      <w:r>
        <w:rPr>
          <w:color w:val="000000"/>
        </w:rPr>
        <w:t>,</w:t>
      </w:r>
      <w:r>
        <w:rPr>
          <w:color w:val="000000"/>
          <w:spacing w:val="4"/>
        </w:rPr>
        <w:t xml:space="preserve"> </w:t>
      </w:r>
      <w:r>
        <w:rPr>
          <w:color w:val="000000"/>
          <w:spacing w:val="5"/>
        </w:rPr>
        <w:t>t</w:t>
      </w:r>
      <w:r>
        <w:rPr>
          <w:color w:val="000000"/>
          <w:spacing w:val="-1"/>
        </w:rPr>
        <w:t>e</w:t>
      </w:r>
      <w:r>
        <w:rPr>
          <w:color w:val="000000"/>
          <w:spacing w:val="-5"/>
        </w:rPr>
        <w:t>b</w:t>
      </w:r>
      <w:r>
        <w:rPr>
          <w:color w:val="000000"/>
          <w:spacing w:val="-1"/>
        </w:rPr>
        <w:t>ė</w:t>
      </w:r>
      <w:r>
        <w:rPr>
          <w:color w:val="000000"/>
          <w:spacing w:val="1"/>
        </w:rPr>
        <w:t>r</w:t>
      </w:r>
      <w:r>
        <w:rPr>
          <w:color w:val="000000"/>
        </w:rPr>
        <w:t>a</w:t>
      </w:r>
      <w:r>
        <w:rPr>
          <w:color w:val="000000"/>
          <w:spacing w:val="1"/>
        </w:rPr>
        <w:t xml:space="preserve"> </w:t>
      </w:r>
      <w:r>
        <w:rPr>
          <w:color w:val="000000"/>
          <w:spacing w:val="5"/>
        </w:rPr>
        <w:t>p</w:t>
      </w:r>
      <w:r>
        <w:rPr>
          <w:color w:val="000000"/>
          <w:spacing w:val="-9"/>
        </w:rPr>
        <w:t>l</w:t>
      </w:r>
      <w:r>
        <w:rPr>
          <w:color w:val="000000"/>
          <w:spacing w:val="-1"/>
        </w:rPr>
        <w:t>a</w:t>
      </w:r>
      <w:r>
        <w:rPr>
          <w:color w:val="000000"/>
          <w:spacing w:val="4"/>
        </w:rPr>
        <w:t>č</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w:t>
      </w:r>
      <w:r>
        <w:rPr>
          <w:color w:val="000000"/>
          <w:spacing w:val="-5"/>
        </w:rPr>
        <w:t>v</w:t>
      </w:r>
      <w:r>
        <w:rPr>
          <w:color w:val="000000"/>
          <w:spacing w:val="-1"/>
        </w:rPr>
        <w:t>a</w:t>
      </w:r>
      <w:r>
        <w:rPr>
          <w:color w:val="000000"/>
          <w:spacing w:val="1"/>
        </w:rPr>
        <w:t>r</w:t>
      </w:r>
      <w:r>
        <w:rPr>
          <w:color w:val="000000"/>
        </w:rPr>
        <w:t>t</w:t>
      </w:r>
      <w:r>
        <w:rPr>
          <w:color w:val="000000"/>
          <w:spacing w:val="5"/>
        </w:rPr>
        <w:t>o</w:t>
      </w:r>
      <w:r>
        <w:rPr>
          <w:color w:val="000000"/>
          <w:spacing w:val="-9"/>
        </w:rPr>
        <w:t>j</w:t>
      </w:r>
      <w:r>
        <w:rPr>
          <w:color w:val="000000"/>
          <w:spacing w:val="4"/>
        </w:rPr>
        <w:t>a</w:t>
      </w:r>
      <w:r>
        <w:rPr>
          <w:color w:val="000000"/>
          <w:spacing w:val="-4"/>
        </w:rPr>
        <w:t>m</w:t>
      </w:r>
      <w:r>
        <w:rPr>
          <w:color w:val="000000"/>
          <w:spacing w:val="4"/>
        </w:rPr>
        <w:t>a</w:t>
      </w:r>
      <w:r>
        <w:rPr>
          <w:color w:val="000000"/>
        </w:rPr>
        <w:t xml:space="preserve">s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spacing w:val="-1"/>
        </w:rPr>
        <w:t>a</w:t>
      </w:r>
      <w:r>
        <w:rPr>
          <w:color w:val="000000"/>
        </w:rPr>
        <w:t>s</w:t>
      </w:r>
      <w:r>
        <w:rPr>
          <w:color w:val="000000"/>
          <w:spacing w:val="7"/>
        </w:rPr>
        <w:t xml:space="preserve"> </w:t>
      </w:r>
      <w:r>
        <w:rPr>
          <w:color w:val="000000"/>
          <w:spacing w:val="-2"/>
        </w:rPr>
        <w:t>s</w:t>
      </w:r>
      <w:r>
        <w:rPr>
          <w:color w:val="000000"/>
          <w:spacing w:val="5"/>
        </w:rPr>
        <w:t>t</w:t>
      </w:r>
      <w:r>
        <w:rPr>
          <w:color w:val="000000"/>
          <w:spacing w:val="-4"/>
        </w:rPr>
        <w:t>im</w:t>
      </w:r>
      <w:r>
        <w:rPr>
          <w:color w:val="000000"/>
          <w:spacing w:val="5"/>
        </w:rPr>
        <w:t>u</w:t>
      </w:r>
      <w:r>
        <w:rPr>
          <w:color w:val="000000"/>
        </w:rPr>
        <w:t>l</w:t>
      </w:r>
      <w:r>
        <w:rPr>
          <w:color w:val="000000"/>
          <w:spacing w:val="-4"/>
        </w:rPr>
        <w:t>i</w:t>
      </w:r>
      <w:r>
        <w:rPr>
          <w:color w:val="000000"/>
          <w:spacing w:val="4"/>
        </w:rPr>
        <w:t>a</w:t>
      </w:r>
      <w:r>
        <w:rPr>
          <w:color w:val="000000"/>
          <w:spacing w:val="-5"/>
        </w:rPr>
        <w:t>n</w:t>
      </w:r>
      <w:r>
        <w:rPr>
          <w:color w:val="000000"/>
          <w:spacing w:val="5"/>
        </w:rPr>
        <w:t>t</w:t>
      </w:r>
      <w:r>
        <w:rPr>
          <w:color w:val="000000"/>
          <w:spacing w:val="-1"/>
        </w:rPr>
        <w:t>a</w:t>
      </w:r>
      <w:r>
        <w:rPr>
          <w:color w:val="000000"/>
        </w:rPr>
        <w:t>s</w:t>
      </w:r>
      <w:r>
        <w:rPr>
          <w:color w:val="000000"/>
          <w:spacing w:val="7"/>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spacing w:val="-9"/>
        </w:rPr>
        <w:t>j</w:t>
      </w:r>
      <w:r>
        <w:rPr>
          <w:color w:val="000000"/>
          <w:spacing w:val="-1"/>
        </w:rPr>
        <w:t>e</w:t>
      </w:r>
      <w:r>
        <w:rPr>
          <w:color w:val="000000"/>
        </w:rPr>
        <w:t>.</w:t>
      </w:r>
      <w:r>
        <w:rPr>
          <w:color w:val="000000"/>
          <w:spacing w:val="11"/>
        </w:rPr>
        <w:t xml:space="preserve"> </w:t>
      </w:r>
      <w:r>
        <w:rPr>
          <w:color w:val="000000"/>
        </w:rPr>
        <w:t>D</w:t>
      </w:r>
      <w:r>
        <w:rPr>
          <w:color w:val="000000"/>
          <w:spacing w:val="-1"/>
        </w:rPr>
        <w:t>a</w:t>
      </w:r>
      <w:r>
        <w:rPr>
          <w:color w:val="000000"/>
          <w:spacing w:val="-5"/>
        </w:rPr>
        <w:t>b</w:t>
      </w:r>
      <w:r>
        <w:rPr>
          <w:color w:val="000000"/>
          <w:spacing w:val="-1"/>
        </w:rPr>
        <w:t>a</w:t>
      </w:r>
      <w:r>
        <w:rPr>
          <w:color w:val="000000"/>
        </w:rPr>
        <w:t>r</w:t>
      </w:r>
      <w:r>
        <w:rPr>
          <w:color w:val="000000"/>
          <w:spacing w:val="15"/>
        </w:rPr>
        <w:t xml:space="preserve"> </w:t>
      </w:r>
      <w:r>
        <w:rPr>
          <w:color w:val="000000"/>
          <w:spacing w:val="-5"/>
        </w:rPr>
        <w:t>n</w:t>
      </w:r>
      <w:r>
        <w:rPr>
          <w:color w:val="000000"/>
          <w:spacing w:val="-1"/>
        </w:rPr>
        <w:t>a</w:t>
      </w:r>
      <w:r>
        <w:rPr>
          <w:color w:val="000000"/>
          <w:spacing w:val="5"/>
        </w:rPr>
        <w:t>u</w:t>
      </w:r>
      <w:r>
        <w:rPr>
          <w:color w:val="000000"/>
          <w:spacing w:val="-4"/>
        </w:rPr>
        <w:t>j</w:t>
      </w:r>
      <w:r>
        <w:rPr>
          <w:color w:val="000000"/>
          <w:spacing w:val="-1"/>
        </w:rPr>
        <w:t>a</w:t>
      </w:r>
      <w:r>
        <w:rPr>
          <w:color w:val="000000"/>
          <w:spacing w:val="5"/>
        </w:rPr>
        <w:t>u</w:t>
      </w:r>
      <w:r>
        <w:rPr>
          <w:color w:val="000000"/>
          <w:spacing w:val="2"/>
        </w:rPr>
        <w:t>s</w:t>
      </w:r>
      <w:r>
        <w:rPr>
          <w:color w:val="000000"/>
        </w:rPr>
        <w:t>i du</w:t>
      </w:r>
      <w:r>
        <w:rPr>
          <w:color w:val="000000"/>
          <w:spacing w:val="9"/>
        </w:rPr>
        <w:t>o</w:t>
      </w:r>
      <w:r>
        <w:rPr>
          <w:color w:val="000000"/>
          <w:spacing w:val="-9"/>
        </w:rPr>
        <w:t>m</w:t>
      </w:r>
      <w:r>
        <w:rPr>
          <w:color w:val="000000"/>
          <w:spacing w:val="4"/>
        </w:rPr>
        <w:t>e</w:t>
      </w:r>
      <w:r>
        <w:rPr>
          <w:color w:val="000000"/>
        </w:rPr>
        <w:t xml:space="preserve">nys </w:t>
      </w:r>
      <w:r>
        <w:rPr>
          <w:color w:val="000000"/>
          <w:spacing w:val="1"/>
        </w:rPr>
        <w:t>r</w:t>
      </w:r>
      <w:r>
        <w:rPr>
          <w:color w:val="000000"/>
          <w:spacing w:val="5"/>
        </w:rPr>
        <w:t>o</w:t>
      </w:r>
      <w:r>
        <w:rPr>
          <w:color w:val="000000"/>
          <w:spacing w:val="-5"/>
        </w:rPr>
        <w:t>d</w:t>
      </w:r>
      <w:r>
        <w:rPr>
          <w:color w:val="000000"/>
        </w:rPr>
        <w:t>o,</w:t>
      </w:r>
      <w:r>
        <w:rPr>
          <w:color w:val="000000"/>
          <w:spacing w:val="4"/>
        </w:rPr>
        <w:t xml:space="preserve"> </w:t>
      </w:r>
      <w:r>
        <w:rPr>
          <w:color w:val="000000"/>
        </w:rPr>
        <w:t>k</w:t>
      </w:r>
      <w:r>
        <w:rPr>
          <w:color w:val="000000"/>
          <w:spacing w:val="-1"/>
        </w:rPr>
        <w:t>a</w:t>
      </w:r>
      <w:r>
        <w:rPr>
          <w:color w:val="000000"/>
        </w:rPr>
        <w:t>d,</w:t>
      </w:r>
      <w:r>
        <w:rPr>
          <w:color w:val="000000"/>
          <w:spacing w:val="4"/>
        </w:rPr>
        <w:t xml:space="preserve"> </w:t>
      </w:r>
      <w:r>
        <w:rPr>
          <w:color w:val="000000"/>
          <w:spacing w:val="-5"/>
        </w:rPr>
        <w:t>p</w:t>
      </w:r>
      <w:r>
        <w:rPr>
          <w:color w:val="000000"/>
          <w:spacing w:val="1"/>
        </w:rPr>
        <w:t>r</w:t>
      </w:r>
      <w:r>
        <w:rPr>
          <w:color w:val="000000"/>
          <w:spacing w:val="-1"/>
        </w:rPr>
        <w:t>a</w:t>
      </w:r>
      <w:r>
        <w:rPr>
          <w:color w:val="000000"/>
          <w:spacing w:val="4"/>
        </w:rPr>
        <w:t>ė</w:t>
      </w:r>
      <w:r>
        <w:rPr>
          <w:color w:val="000000"/>
          <w:spacing w:val="-9"/>
        </w:rPr>
        <w:t>j</w:t>
      </w:r>
      <w:r>
        <w:rPr>
          <w:color w:val="000000"/>
        </w:rPr>
        <w:t xml:space="preserve">us </w:t>
      </w:r>
      <w:r>
        <w:rPr>
          <w:color w:val="000000"/>
          <w:spacing w:val="5"/>
        </w:rPr>
        <w:t>d</w:t>
      </w:r>
      <w:r>
        <w:rPr>
          <w:color w:val="000000"/>
          <w:spacing w:val="-4"/>
        </w:rPr>
        <w:t>i</w:t>
      </w:r>
      <w:r>
        <w:rPr>
          <w:color w:val="000000"/>
        </w:rPr>
        <w:t>d</w:t>
      </w:r>
      <w:r>
        <w:rPr>
          <w:color w:val="000000"/>
          <w:spacing w:val="4"/>
        </w:rPr>
        <w:t>ė</w:t>
      </w:r>
      <w:r>
        <w:rPr>
          <w:color w:val="000000"/>
          <w:spacing w:val="-4"/>
        </w:rPr>
        <w:t>j</w:t>
      </w:r>
      <w:r>
        <w:rPr>
          <w:color w:val="000000"/>
          <w:spacing w:val="4"/>
        </w:rPr>
        <w:t>a</w:t>
      </w:r>
      <w:r>
        <w:rPr>
          <w:color w:val="000000"/>
          <w:spacing w:val="-5"/>
        </w:rPr>
        <w:t>n</w:t>
      </w:r>
      <w:r>
        <w:rPr>
          <w:color w:val="000000"/>
          <w:spacing w:val="4"/>
        </w:rPr>
        <w:t>č</w:t>
      </w:r>
      <w:r>
        <w:rPr>
          <w:color w:val="000000"/>
          <w:spacing w:val="-9"/>
        </w:rPr>
        <w:t>i</w:t>
      </w:r>
      <w:r>
        <w:rPr>
          <w:color w:val="000000"/>
        </w:rPr>
        <w:t>o</w:t>
      </w:r>
      <w:r>
        <w:rPr>
          <w:color w:val="000000"/>
          <w:spacing w:val="7"/>
        </w:rPr>
        <w:t xml:space="preserve"> </w:t>
      </w:r>
      <w:r>
        <w:rPr>
          <w:color w:val="000000"/>
        </w:rPr>
        <w:t>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8"/>
        </w:rPr>
        <w:t>r</w:t>
      </w:r>
      <w:r>
        <w:rPr>
          <w:color w:val="000000"/>
          <w:spacing w:val="5"/>
        </w:rPr>
        <w:t>u</w:t>
      </w:r>
      <w:r>
        <w:rPr>
          <w:color w:val="000000"/>
          <w:spacing w:val="-9"/>
        </w:rPr>
        <w:t>m</w:t>
      </w:r>
      <w:r>
        <w:rPr>
          <w:color w:val="000000"/>
        </w:rPr>
        <w:t>o</w:t>
      </w:r>
      <w:r>
        <w:rPr>
          <w:color w:val="000000"/>
          <w:spacing w:val="7"/>
        </w:rPr>
        <w:t xml:space="preserve"> </w:t>
      </w:r>
      <w:r>
        <w:rPr>
          <w:color w:val="000000"/>
        </w:rPr>
        <w:t>d</w:t>
      </w:r>
      <w:r>
        <w:rPr>
          <w:color w:val="000000"/>
          <w:spacing w:val="-1"/>
        </w:rPr>
        <w:t>e</w:t>
      </w:r>
      <w:r>
        <w:rPr>
          <w:color w:val="000000"/>
          <w:spacing w:val="2"/>
        </w:rPr>
        <w:t>š</w:t>
      </w:r>
      <w:r>
        <w:rPr>
          <w:color w:val="000000"/>
        </w:rPr>
        <w:t>i</w:t>
      </w:r>
      <w:r>
        <w:rPr>
          <w:color w:val="000000"/>
          <w:spacing w:val="-9"/>
        </w:rPr>
        <w:t>m</w:t>
      </w:r>
      <w:r>
        <w:rPr>
          <w:color w:val="000000"/>
          <w:spacing w:val="10"/>
        </w:rPr>
        <w:t>t</w:t>
      </w:r>
      <w:r>
        <w:rPr>
          <w:color w:val="000000"/>
          <w:spacing w:val="-4"/>
        </w:rPr>
        <w:t>m</w:t>
      </w:r>
      <w:r>
        <w:rPr>
          <w:color w:val="000000"/>
          <w:spacing w:val="-1"/>
        </w:rPr>
        <w:t>e</w:t>
      </w:r>
      <w:r>
        <w:rPr>
          <w:color w:val="000000"/>
          <w:spacing w:val="4"/>
        </w:rPr>
        <w:t>č</w:t>
      </w:r>
      <w:r>
        <w:rPr>
          <w:color w:val="000000"/>
          <w:spacing w:val="-4"/>
        </w:rPr>
        <w:t>i</w:t>
      </w:r>
      <w:r>
        <w:rPr>
          <w:color w:val="000000"/>
          <w:spacing w:val="5"/>
        </w:rPr>
        <w:t>u</w:t>
      </w:r>
      <w:r>
        <w:rPr>
          <w:color w:val="000000"/>
          <w:spacing w:val="-9"/>
        </w:rPr>
        <w:t>i</w:t>
      </w:r>
      <w:r>
        <w:rPr>
          <w:color w:val="000000"/>
        </w:rPr>
        <w:t>,</w:t>
      </w:r>
      <w:r>
        <w:rPr>
          <w:color w:val="000000"/>
          <w:spacing w:val="9"/>
        </w:rPr>
        <w:t xml:space="preserve"> </w:t>
      </w:r>
      <w:r>
        <w:rPr>
          <w:color w:val="000000"/>
          <w:spacing w:val="2"/>
        </w:rPr>
        <w:t>š</w:t>
      </w:r>
      <w:r>
        <w:rPr>
          <w:color w:val="000000"/>
          <w:spacing w:val="-9"/>
        </w:rPr>
        <w:t>i</w:t>
      </w:r>
      <w:r>
        <w:rPr>
          <w:color w:val="000000"/>
        </w:rPr>
        <w:t xml:space="preserve">o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ko</w:t>
      </w:r>
      <w:r>
        <w:rPr>
          <w:color w:val="000000"/>
          <w:spacing w:val="6"/>
        </w:rPr>
        <w:t xml:space="preserve"> </w:t>
      </w:r>
      <w:r>
        <w:rPr>
          <w:color w:val="000000"/>
          <w:spacing w:val="-5"/>
        </w:rPr>
        <w:t>v</w:t>
      </w:r>
      <w:r>
        <w:rPr>
          <w:color w:val="000000"/>
          <w:spacing w:val="-1"/>
        </w:rPr>
        <w:t>a</w:t>
      </w:r>
      <w:r>
        <w:rPr>
          <w:color w:val="000000"/>
          <w:spacing w:val="1"/>
        </w:rPr>
        <w:t>r</w:t>
      </w:r>
      <w:r>
        <w:rPr>
          <w:color w:val="000000"/>
        </w:rPr>
        <w:t>t</w:t>
      </w:r>
      <w:r>
        <w:rPr>
          <w:color w:val="000000"/>
          <w:spacing w:val="5"/>
        </w:rPr>
        <w:t>o</w:t>
      </w:r>
      <w:r>
        <w:rPr>
          <w:color w:val="000000"/>
          <w:spacing w:val="-4"/>
        </w:rPr>
        <w:t>j</w:t>
      </w:r>
      <w:r>
        <w:rPr>
          <w:color w:val="000000"/>
        </w:rPr>
        <w:t>i</w:t>
      </w:r>
      <w:r>
        <w:rPr>
          <w:color w:val="000000"/>
          <w:spacing w:val="-4"/>
        </w:rPr>
        <w:t>m</w:t>
      </w:r>
      <w:r>
        <w:rPr>
          <w:color w:val="000000"/>
          <w:spacing w:val="-1"/>
        </w:rPr>
        <w:t>a</w:t>
      </w:r>
      <w:r>
        <w:rPr>
          <w:color w:val="000000"/>
        </w:rPr>
        <w:t>s</w:t>
      </w:r>
      <w:r>
        <w:rPr>
          <w:color w:val="000000"/>
          <w:spacing w:val="4"/>
        </w:rPr>
        <w:t xml:space="preserve"> </w:t>
      </w:r>
      <w:r>
        <w:rPr>
          <w:color w:val="000000"/>
          <w:spacing w:val="-4"/>
        </w:rPr>
        <w:t>m</w:t>
      </w:r>
      <w:r>
        <w:rPr>
          <w:color w:val="000000"/>
          <w:spacing w:val="-1"/>
        </w:rPr>
        <w:t>až</w:t>
      </w:r>
      <w:r>
        <w:rPr>
          <w:color w:val="000000"/>
          <w:spacing w:val="4"/>
        </w:rPr>
        <w:t>ė</w:t>
      </w:r>
      <w:r>
        <w:rPr>
          <w:color w:val="000000"/>
          <w:spacing w:val="-4"/>
        </w:rPr>
        <w:t>j</w:t>
      </w:r>
      <w:r>
        <w:rPr>
          <w:color w:val="000000"/>
          <w:spacing w:val="-1"/>
        </w:rPr>
        <w:t>a</w:t>
      </w:r>
      <w:r>
        <w:rPr>
          <w:color w:val="000000"/>
        </w:rPr>
        <w:t>.</w:t>
      </w:r>
      <w:r>
        <w:rPr>
          <w:color w:val="000000"/>
          <w:spacing w:val="3"/>
        </w:rPr>
        <w:t xml:space="preserve"> </w:t>
      </w:r>
      <w:r>
        <w:rPr>
          <w:color w:val="000000"/>
          <w:spacing w:val="-5"/>
        </w:rPr>
        <w:t>K</w:t>
      </w:r>
      <w:r>
        <w:rPr>
          <w:color w:val="000000"/>
          <w:spacing w:val="5"/>
        </w:rPr>
        <w:t>o</w:t>
      </w:r>
      <w:r>
        <w:rPr>
          <w:color w:val="000000"/>
        </w:rPr>
        <w:t>k</w:t>
      </w:r>
      <w:r>
        <w:rPr>
          <w:color w:val="000000"/>
          <w:spacing w:val="4"/>
        </w:rPr>
        <w:t>a</w:t>
      </w:r>
      <w:r>
        <w:rPr>
          <w:color w:val="000000"/>
          <w:spacing w:val="-4"/>
        </w:rPr>
        <w:t>i</w:t>
      </w:r>
      <w:r>
        <w:rPr>
          <w:color w:val="000000"/>
        </w:rPr>
        <w:t>n</w:t>
      </w:r>
      <w:r>
        <w:rPr>
          <w:color w:val="000000"/>
          <w:spacing w:val="-1"/>
        </w:rPr>
        <w:t>a</w:t>
      </w:r>
      <w:r>
        <w:rPr>
          <w:color w:val="000000"/>
        </w:rPr>
        <w:t>s</w:t>
      </w:r>
      <w:r>
        <w:rPr>
          <w:color w:val="000000"/>
          <w:spacing w:val="4"/>
        </w:rPr>
        <w:t xml:space="preserve"> </w:t>
      </w:r>
      <w:r>
        <w:rPr>
          <w:color w:val="000000"/>
          <w:spacing w:val="-4"/>
        </w:rPr>
        <w:t>i</w:t>
      </w:r>
      <w:r>
        <w:rPr>
          <w:color w:val="000000"/>
          <w:spacing w:val="2"/>
        </w:rPr>
        <w:t>š</w:t>
      </w:r>
      <w:r>
        <w:rPr>
          <w:color w:val="000000"/>
        </w:rPr>
        <w:t>l</w:t>
      </w:r>
      <w:r>
        <w:rPr>
          <w:color w:val="000000"/>
          <w:spacing w:val="-4"/>
        </w:rPr>
        <w:t>i</w:t>
      </w:r>
      <w:r>
        <w:rPr>
          <w:color w:val="000000"/>
          <w:spacing w:val="-1"/>
        </w:rPr>
        <w:t>e</w:t>
      </w:r>
      <w:r>
        <w:rPr>
          <w:color w:val="000000"/>
          <w:spacing w:val="5"/>
        </w:rPr>
        <w:t>k</w:t>
      </w:r>
      <w:r>
        <w:rPr>
          <w:color w:val="000000"/>
        </w:rPr>
        <w:t>a p</w:t>
      </w:r>
      <w:r>
        <w:rPr>
          <w:color w:val="000000"/>
          <w:spacing w:val="5"/>
        </w:rPr>
        <w:t>o</w:t>
      </w:r>
      <w:r>
        <w:rPr>
          <w:color w:val="000000"/>
        </w:rPr>
        <w:t>pu</w:t>
      </w:r>
      <w:r>
        <w:rPr>
          <w:color w:val="000000"/>
          <w:spacing w:val="-4"/>
        </w:rPr>
        <w:t>li</w:t>
      </w:r>
      <w:r>
        <w:rPr>
          <w:color w:val="000000"/>
          <w:spacing w:val="-1"/>
        </w:rPr>
        <w:t>a</w:t>
      </w:r>
      <w:r>
        <w:rPr>
          <w:color w:val="000000"/>
          <w:spacing w:val="1"/>
        </w:rPr>
        <w:t>r</w:t>
      </w:r>
      <w:r>
        <w:rPr>
          <w:color w:val="000000"/>
        </w:rPr>
        <w:t xml:space="preserve">us </w:t>
      </w:r>
      <w:r>
        <w:rPr>
          <w:color w:val="000000"/>
          <w:spacing w:val="-2"/>
        </w:rPr>
        <w:t>J</w:t>
      </w:r>
      <w:r>
        <w:rPr>
          <w:color w:val="000000"/>
        </w:rPr>
        <w:t>u</w:t>
      </w:r>
      <w:r>
        <w:rPr>
          <w:color w:val="000000"/>
          <w:spacing w:val="-5"/>
        </w:rPr>
        <w:t>n</w:t>
      </w:r>
      <w:r>
        <w:rPr>
          <w:color w:val="000000"/>
        </w:rPr>
        <w:t>g</w:t>
      </w:r>
      <w:r>
        <w:rPr>
          <w:color w:val="000000"/>
          <w:spacing w:val="10"/>
        </w:rPr>
        <w:t>t</w:t>
      </w:r>
      <w:r>
        <w:rPr>
          <w:color w:val="000000"/>
          <w:spacing w:val="-4"/>
        </w:rPr>
        <w:t>i</w:t>
      </w:r>
      <w:r>
        <w:rPr>
          <w:color w:val="000000"/>
          <w:spacing w:val="-5"/>
        </w:rPr>
        <w:t>n</w:t>
      </w:r>
      <w:r>
        <w:rPr>
          <w:color w:val="000000"/>
          <w:spacing w:val="4"/>
        </w:rPr>
        <w:t>ė</w:t>
      </w:r>
      <w:r>
        <w:rPr>
          <w:color w:val="000000"/>
          <w:spacing w:val="-4"/>
        </w:rPr>
        <w:t>j</w:t>
      </w:r>
      <w:r>
        <w:rPr>
          <w:color w:val="000000"/>
        </w:rPr>
        <w:t>e</w:t>
      </w:r>
      <w:r>
        <w:rPr>
          <w:color w:val="000000"/>
          <w:spacing w:val="7"/>
        </w:rPr>
        <w:t xml:space="preserve"> </w:t>
      </w:r>
      <w:r>
        <w:rPr>
          <w:color w:val="000000"/>
          <w:spacing w:val="-5"/>
        </w:rPr>
        <w:t>K</w:t>
      </w:r>
      <w:r>
        <w:rPr>
          <w:color w:val="000000"/>
          <w:spacing w:val="-1"/>
        </w:rPr>
        <w:t>a</w:t>
      </w:r>
      <w:r>
        <w:rPr>
          <w:color w:val="000000"/>
          <w:spacing w:val="1"/>
        </w:rPr>
        <w:t>r</w:t>
      </w:r>
      <w:r>
        <w:rPr>
          <w:color w:val="000000"/>
          <w:spacing w:val="4"/>
        </w:rPr>
        <w:t>a</w:t>
      </w:r>
      <w:r>
        <w:rPr>
          <w:color w:val="000000"/>
        </w:rPr>
        <w:t>l</w:t>
      </w:r>
      <w:r>
        <w:rPr>
          <w:color w:val="000000"/>
          <w:spacing w:val="-4"/>
        </w:rPr>
        <w:t>y</w:t>
      </w:r>
      <w:r>
        <w:rPr>
          <w:color w:val="000000"/>
          <w:spacing w:val="-2"/>
        </w:rPr>
        <w:t>s</w:t>
      </w:r>
      <w:r>
        <w:rPr>
          <w:color w:val="000000"/>
          <w:spacing w:val="5"/>
        </w:rPr>
        <w:t>t</w:t>
      </w:r>
      <w:r>
        <w:rPr>
          <w:color w:val="000000"/>
          <w:spacing w:val="4"/>
        </w:rPr>
        <w:t>ė</w:t>
      </w:r>
      <w:r>
        <w:rPr>
          <w:color w:val="000000"/>
          <w:spacing w:val="-9"/>
        </w:rPr>
        <w:t>j</w:t>
      </w:r>
      <w:r>
        <w:rPr>
          <w:color w:val="000000"/>
          <w:spacing w:val="-1"/>
        </w:rPr>
        <w:t>e</w:t>
      </w:r>
      <w:r>
        <w:rPr>
          <w:color w:val="000000"/>
        </w:rPr>
        <w:t>,</w:t>
      </w:r>
      <w:r>
        <w:rPr>
          <w:color w:val="000000"/>
          <w:spacing w:val="6"/>
        </w:rPr>
        <w:t xml:space="preserve"> </w:t>
      </w:r>
      <w:r>
        <w:rPr>
          <w:color w:val="000000"/>
        </w:rPr>
        <w:t>A</w:t>
      </w:r>
      <w:r>
        <w:rPr>
          <w:color w:val="000000"/>
          <w:spacing w:val="-5"/>
        </w:rPr>
        <w:t>i</w:t>
      </w:r>
      <w:r>
        <w:rPr>
          <w:color w:val="000000"/>
          <w:spacing w:val="6"/>
        </w:rPr>
        <w:t>r</w:t>
      </w:r>
      <w:r>
        <w:rPr>
          <w:color w:val="000000"/>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1"/>
        </w:rPr>
        <w:t xml:space="preserve"> I</w:t>
      </w:r>
      <w:r>
        <w:rPr>
          <w:color w:val="000000"/>
          <w:spacing w:val="-2"/>
        </w:rPr>
        <w:t>s</w:t>
      </w:r>
      <w:r>
        <w:rPr>
          <w:color w:val="000000"/>
        </w:rPr>
        <w:t>p</w:t>
      </w:r>
      <w:r>
        <w:rPr>
          <w:color w:val="000000"/>
          <w:spacing w:val="4"/>
        </w:rPr>
        <w:t>a</w:t>
      </w:r>
      <w:r>
        <w:rPr>
          <w:color w:val="000000"/>
        </w:rPr>
        <w:t>ni</w:t>
      </w:r>
      <w:r>
        <w:rPr>
          <w:color w:val="000000"/>
          <w:spacing w:val="-9"/>
        </w:rPr>
        <w:t>j</w:t>
      </w:r>
      <w:r>
        <w:rPr>
          <w:color w:val="000000"/>
          <w:spacing w:val="9"/>
        </w:rPr>
        <w:t>o</w:t>
      </w:r>
      <w:r>
        <w:rPr>
          <w:color w:val="000000"/>
          <w:spacing w:val="-4"/>
        </w:rPr>
        <w:t>j</w:t>
      </w:r>
      <w:r>
        <w:rPr>
          <w:color w:val="000000"/>
        </w:rPr>
        <w:t>e</w:t>
      </w:r>
      <w:r>
        <w:rPr>
          <w:color w:val="000000"/>
          <w:spacing w:val="3"/>
        </w:rPr>
        <w:t xml:space="preserve"> </w:t>
      </w:r>
      <w:r>
        <w:rPr>
          <w:color w:val="000000"/>
          <w:spacing w:val="-4"/>
        </w:rPr>
        <w:t>i</w:t>
      </w:r>
      <w:r>
        <w:rPr>
          <w:color w:val="000000"/>
        </w:rPr>
        <w:t xml:space="preserve">r </w:t>
      </w:r>
      <w:r>
        <w:rPr>
          <w:color w:val="000000"/>
          <w:spacing w:val="1"/>
        </w:rPr>
        <w:t>I</w:t>
      </w:r>
      <w:r>
        <w:rPr>
          <w:color w:val="000000"/>
          <w:spacing w:val="5"/>
        </w:rPr>
        <w:t>t</w:t>
      </w:r>
      <w:r>
        <w:rPr>
          <w:color w:val="000000"/>
          <w:spacing w:val="-1"/>
        </w:rPr>
        <w:t>a</w:t>
      </w:r>
      <w:r>
        <w:rPr>
          <w:color w:val="000000"/>
        </w:rPr>
        <w:t>l</w:t>
      </w:r>
      <w:r>
        <w:rPr>
          <w:color w:val="000000"/>
          <w:spacing w:val="1"/>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1"/>
        </w:rPr>
        <w:t xml:space="preserve"> </w:t>
      </w:r>
      <w:r>
        <w:rPr>
          <w:color w:val="000000"/>
          <w:spacing w:val="5"/>
        </w:rPr>
        <w:t>t</w:t>
      </w:r>
      <w:r>
        <w:rPr>
          <w:color w:val="000000"/>
          <w:spacing w:val="-1"/>
        </w:rPr>
        <w:t>a</w:t>
      </w:r>
      <w:r>
        <w:rPr>
          <w:color w:val="000000"/>
          <w:spacing w:val="4"/>
        </w:rPr>
        <w:t>č</w:t>
      </w:r>
      <w:r>
        <w:rPr>
          <w:color w:val="000000"/>
          <w:spacing w:val="-9"/>
        </w:rPr>
        <w:t>i</w:t>
      </w:r>
      <w:r>
        <w:rPr>
          <w:color w:val="000000"/>
          <w:spacing w:val="-1"/>
        </w:rPr>
        <w:t>a</w:t>
      </w:r>
      <w:r>
        <w:rPr>
          <w:color w:val="000000"/>
        </w:rPr>
        <w:t>u d</w:t>
      </w:r>
      <w:r>
        <w:rPr>
          <w:color w:val="000000"/>
          <w:spacing w:val="-1"/>
        </w:rPr>
        <w:t>a</w:t>
      </w:r>
      <w:r>
        <w:rPr>
          <w:color w:val="000000"/>
        </w:rPr>
        <w:t>ug</w:t>
      </w:r>
      <w:r>
        <w:rPr>
          <w:color w:val="000000"/>
          <w:spacing w:val="5"/>
        </w:rPr>
        <w:t>u</w:t>
      </w:r>
      <w:r>
        <w:rPr>
          <w:color w:val="000000"/>
          <w:spacing w:val="-9"/>
        </w:rPr>
        <w:t>m</w:t>
      </w:r>
      <w:r>
        <w:rPr>
          <w:color w:val="000000"/>
        </w:rPr>
        <w:t>a</w:t>
      </w:r>
      <w:r>
        <w:rPr>
          <w:color w:val="000000"/>
          <w:spacing w:val="20"/>
        </w:rPr>
        <w:t xml:space="preserve"> </w:t>
      </w:r>
      <w:r>
        <w:rPr>
          <w:color w:val="000000"/>
          <w:spacing w:val="4"/>
        </w:rPr>
        <w:t>V</w:t>
      </w:r>
      <w:r>
        <w:rPr>
          <w:color w:val="000000"/>
          <w:spacing w:val="-4"/>
        </w:rPr>
        <w:t>i</w:t>
      </w:r>
      <w:r>
        <w:rPr>
          <w:color w:val="000000"/>
        </w:rPr>
        <w:t>du</w:t>
      </w:r>
      <w:r>
        <w:rPr>
          <w:color w:val="000000"/>
          <w:spacing w:val="6"/>
        </w:rPr>
        <w:t>r</w:t>
      </w:r>
      <w:r>
        <w:rPr>
          <w:color w:val="000000"/>
          <w:spacing w:val="-9"/>
        </w:rPr>
        <w:t>i</w:t>
      </w:r>
      <w:r>
        <w:rPr>
          <w:color w:val="000000"/>
        </w:rPr>
        <w:t>o</w:t>
      </w:r>
      <w:r>
        <w:rPr>
          <w:color w:val="000000"/>
          <w:spacing w:val="31"/>
        </w:rPr>
        <w:t xml:space="preserve"> </w:t>
      </w:r>
      <w:r>
        <w:rPr>
          <w:color w:val="000000"/>
          <w:spacing w:val="-9"/>
        </w:rPr>
        <w:t>i</w:t>
      </w:r>
      <w:r>
        <w:rPr>
          <w:color w:val="000000"/>
        </w:rPr>
        <w:t>r</w:t>
      </w:r>
      <w:r>
        <w:rPr>
          <w:color w:val="000000"/>
          <w:spacing w:val="23"/>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s</w:t>
      </w:r>
      <w:r>
        <w:rPr>
          <w:color w:val="000000"/>
          <w:spacing w:val="19"/>
        </w:rPr>
        <w:t xml:space="preserve"> </w:t>
      </w:r>
      <w:r>
        <w:rPr>
          <w:color w:val="000000"/>
          <w:spacing w:val="-2"/>
        </w:rPr>
        <w:t>š</w:t>
      </w:r>
      <w:r>
        <w:rPr>
          <w:color w:val="000000"/>
          <w:spacing w:val="4"/>
        </w:rPr>
        <w:t>a</w:t>
      </w:r>
      <w:r>
        <w:rPr>
          <w:color w:val="000000"/>
          <w:spacing w:val="-4"/>
        </w:rPr>
        <w:t>li</w:t>
      </w:r>
      <w:r>
        <w:rPr>
          <w:color w:val="000000"/>
        </w:rPr>
        <w:t>ų,</w:t>
      </w:r>
      <w:r>
        <w:rPr>
          <w:color w:val="000000"/>
          <w:spacing w:val="24"/>
        </w:rPr>
        <w:t xml:space="preserve"> </w:t>
      </w:r>
      <w:r>
        <w:rPr>
          <w:color w:val="000000"/>
          <w:spacing w:val="-5"/>
        </w:rPr>
        <w:t>n</w:t>
      </w:r>
      <w:r>
        <w:rPr>
          <w:color w:val="000000"/>
        </w:rPr>
        <w:t>u</w:t>
      </w:r>
      <w:r>
        <w:rPr>
          <w:color w:val="000000"/>
          <w:spacing w:val="1"/>
        </w:rPr>
        <w:t>r</w:t>
      </w:r>
      <w:r>
        <w:rPr>
          <w:color w:val="000000"/>
          <w:spacing w:val="5"/>
        </w:rPr>
        <w:t>o</w:t>
      </w:r>
      <w:r>
        <w:rPr>
          <w:color w:val="000000"/>
        </w:rPr>
        <w:t>do</w:t>
      </w:r>
      <w:r>
        <w:rPr>
          <w:color w:val="000000"/>
          <w:spacing w:val="26"/>
        </w:rPr>
        <w:t xml:space="preserve"> </w:t>
      </w:r>
      <w:r>
        <w:rPr>
          <w:color w:val="000000"/>
          <w:spacing w:val="-9"/>
        </w:rPr>
        <w:t>m</w:t>
      </w:r>
      <w:r>
        <w:rPr>
          <w:color w:val="000000"/>
          <w:spacing w:val="-1"/>
        </w:rPr>
        <w:t>až</w:t>
      </w:r>
      <w:r>
        <w:rPr>
          <w:color w:val="000000"/>
        </w:rPr>
        <w:t>ą</w:t>
      </w:r>
      <w:r>
        <w:rPr>
          <w:color w:val="000000"/>
          <w:spacing w:val="25"/>
        </w:rPr>
        <w:t xml:space="preserve"> </w:t>
      </w:r>
      <w:r>
        <w:rPr>
          <w:color w:val="000000"/>
          <w:spacing w:val="2"/>
        </w:rPr>
        <w:t>š</w:t>
      </w:r>
      <w:r>
        <w:rPr>
          <w:color w:val="000000"/>
          <w:spacing w:val="-9"/>
        </w:rPr>
        <w:t>i</w:t>
      </w:r>
      <w:r>
        <w:rPr>
          <w:color w:val="000000"/>
        </w:rPr>
        <w:t>o</w:t>
      </w:r>
      <w:r>
        <w:rPr>
          <w:color w:val="000000"/>
          <w:spacing w:val="26"/>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ko</w:t>
      </w:r>
    </w:p>
    <w:p w:rsidR="004F7425" w:rsidRDefault="004F7425" w:rsidP="004F7425">
      <w:pPr>
        <w:widowControl w:val="0"/>
        <w:autoSpaceDE w:val="0"/>
        <w:autoSpaceDN w:val="0"/>
        <w:adjustRightInd w:val="0"/>
        <w:spacing w:line="277" w:lineRule="exact"/>
        <w:ind w:left="120" w:right="44"/>
        <w:jc w:val="both"/>
        <w:rPr>
          <w:color w:val="000000"/>
        </w:rPr>
      </w:pPr>
      <w:r>
        <w:rPr>
          <w:color w:val="000000"/>
          <w:spacing w:val="-5"/>
        </w:rPr>
        <w:t>v</w:t>
      </w:r>
      <w:r>
        <w:rPr>
          <w:color w:val="000000"/>
          <w:spacing w:val="-1"/>
        </w:rPr>
        <w:t>a</w:t>
      </w:r>
      <w:r>
        <w:rPr>
          <w:color w:val="000000"/>
          <w:spacing w:val="1"/>
        </w:rPr>
        <w:t>r</w:t>
      </w:r>
      <w:r>
        <w:rPr>
          <w:color w:val="000000"/>
          <w:spacing w:val="5"/>
        </w:rPr>
        <w:t>to</w:t>
      </w:r>
      <w:r>
        <w:rPr>
          <w:color w:val="000000"/>
          <w:spacing w:val="-4"/>
        </w:rPr>
        <w:t>jim</w:t>
      </w:r>
      <w:r>
        <w:rPr>
          <w:color w:val="000000"/>
          <w:spacing w:val="10"/>
        </w:rPr>
        <w:t>ą</w:t>
      </w:r>
      <w:r>
        <w:rPr>
          <w:color w:val="000000"/>
          <w:spacing w:val="2"/>
          <w:position w:val="11"/>
          <w:sz w:val="16"/>
          <w:szCs w:val="16"/>
        </w:rPr>
        <w:t>6</w:t>
      </w:r>
      <w:r>
        <w:rPr>
          <w:color w:val="000000"/>
        </w:rPr>
        <w:t>.</w:t>
      </w:r>
      <w:r>
        <w:rPr>
          <w:color w:val="000000"/>
          <w:spacing w:val="13"/>
        </w:rPr>
        <w:t xml:space="preserve"> </w:t>
      </w:r>
      <w:r>
        <w:rPr>
          <w:color w:val="000000"/>
          <w:spacing w:val="-5"/>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4"/>
        </w:rPr>
        <w:t>a</w:t>
      </w:r>
      <w:r>
        <w:rPr>
          <w:color w:val="000000"/>
        </w:rPr>
        <w:t>s</w:t>
      </w:r>
      <w:r>
        <w:rPr>
          <w:color w:val="000000"/>
          <w:spacing w:val="14"/>
        </w:rPr>
        <w:t xml:space="preserve"> </w:t>
      </w:r>
      <w:r>
        <w:rPr>
          <w:color w:val="000000"/>
          <w:spacing w:val="-5"/>
        </w:rPr>
        <w:t>n</w:t>
      </w:r>
      <w:r>
        <w:rPr>
          <w:color w:val="000000"/>
          <w:spacing w:val="-1"/>
        </w:rPr>
        <w:t>ė</w:t>
      </w:r>
      <w:r>
        <w:rPr>
          <w:color w:val="000000"/>
          <w:spacing w:val="1"/>
        </w:rPr>
        <w:t>r</w:t>
      </w:r>
      <w:r>
        <w:rPr>
          <w:color w:val="000000"/>
        </w:rPr>
        <w:t>a</w:t>
      </w:r>
      <w:r>
        <w:rPr>
          <w:color w:val="000000"/>
          <w:spacing w:val="11"/>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11"/>
        </w:rPr>
        <w:t xml:space="preserve"> </w:t>
      </w:r>
      <w:r>
        <w:rPr>
          <w:color w:val="000000"/>
        </w:rPr>
        <w:t>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1"/>
        </w:rPr>
        <w:t>r</w:t>
      </w:r>
      <w:r>
        <w:rPr>
          <w:color w:val="000000"/>
        </w:rPr>
        <w:t>us</w:t>
      </w:r>
      <w:r>
        <w:rPr>
          <w:color w:val="000000"/>
          <w:spacing w:val="19"/>
        </w:rPr>
        <w:t xml:space="preserve"> </w:t>
      </w:r>
      <w:r>
        <w:rPr>
          <w:color w:val="000000"/>
          <w:spacing w:val="-5"/>
        </w:rPr>
        <w:t>n</w:t>
      </w:r>
      <w:r>
        <w:rPr>
          <w:color w:val="000000"/>
          <w:spacing w:val="-1"/>
        </w:rPr>
        <w:t>a</w:t>
      </w:r>
      <w:r>
        <w:rPr>
          <w:color w:val="000000"/>
          <w:spacing w:val="6"/>
        </w:rPr>
        <w:t>r</w:t>
      </w:r>
      <w:r>
        <w:rPr>
          <w:color w:val="000000"/>
          <w:spacing w:val="1"/>
        </w:rPr>
        <w:t>k</w:t>
      </w:r>
      <w:r>
        <w:rPr>
          <w:color w:val="000000"/>
        </w:rPr>
        <w:t>o</w:t>
      </w:r>
      <w:r>
        <w:rPr>
          <w:color w:val="000000"/>
          <w:spacing w:val="5"/>
        </w:rPr>
        <w:t>t</w:t>
      </w:r>
      <w:r>
        <w:rPr>
          <w:color w:val="000000"/>
          <w:spacing w:val="-9"/>
        </w:rPr>
        <w:t>i</w:t>
      </w:r>
      <w:r>
        <w:rPr>
          <w:color w:val="000000"/>
        </w:rPr>
        <w:t>k</w:t>
      </w:r>
      <w:r>
        <w:rPr>
          <w:color w:val="000000"/>
          <w:spacing w:val="-1"/>
        </w:rPr>
        <w:t>a</w:t>
      </w:r>
      <w:r>
        <w:rPr>
          <w:color w:val="000000"/>
          <w:spacing w:val="-2"/>
        </w:rPr>
        <w:t>s</w:t>
      </w:r>
      <w:r>
        <w:rPr>
          <w:color w:val="000000"/>
        </w:rPr>
        <w:t>.</w:t>
      </w:r>
      <w:r>
        <w:rPr>
          <w:color w:val="000000"/>
          <w:spacing w:val="19"/>
        </w:rPr>
        <w:t xml:space="preserve"> </w:t>
      </w:r>
      <w:r>
        <w:rPr>
          <w:color w:val="000000"/>
          <w:spacing w:val="-5"/>
        </w:rPr>
        <w:t>K</w:t>
      </w:r>
      <w:r>
        <w:rPr>
          <w:color w:val="000000"/>
          <w:spacing w:val="4"/>
        </w:rPr>
        <w:t>a</w:t>
      </w:r>
      <w:r>
        <w:rPr>
          <w:color w:val="000000"/>
          <w:spacing w:val="-4"/>
        </w:rPr>
        <w:t>i</w:t>
      </w:r>
      <w:r>
        <w:rPr>
          <w:color w:val="000000"/>
        </w:rPr>
        <w:t>p</w:t>
      </w:r>
      <w:r>
        <w:rPr>
          <w:color w:val="000000"/>
          <w:spacing w:val="17"/>
        </w:rPr>
        <w:t xml:space="preserve"> </w:t>
      </w:r>
      <w:r>
        <w:rPr>
          <w:color w:val="000000"/>
          <w:spacing w:val="-9"/>
        </w:rPr>
        <w:t>i</w:t>
      </w:r>
      <w:r>
        <w:rPr>
          <w:color w:val="000000"/>
        </w:rPr>
        <w:t>r</w:t>
      </w:r>
      <w:r>
        <w:rPr>
          <w:color w:val="000000"/>
          <w:spacing w:val="13"/>
        </w:rPr>
        <w:t xml:space="preserve"> </w:t>
      </w:r>
      <w:r>
        <w:rPr>
          <w:color w:val="000000"/>
          <w:spacing w:val="4"/>
        </w:rPr>
        <w:t>a</w:t>
      </w:r>
      <w:r>
        <w:rPr>
          <w:color w:val="000000"/>
          <w:spacing w:val="-5"/>
        </w:rPr>
        <w:t>n</w:t>
      </w:r>
      <w:r>
        <w:rPr>
          <w:color w:val="000000"/>
          <w:spacing w:val="5"/>
        </w:rPr>
        <w:t>k</w:t>
      </w:r>
      <w:r>
        <w:rPr>
          <w:color w:val="000000"/>
          <w:spacing w:val="-2"/>
        </w:rPr>
        <w:t>s</w:t>
      </w:r>
      <w:r>
        <w:rPr>
          <w:color w:val="000000"/>
          <w:spacing w:val="4"/>
        </w:rPr>
        <w:t>č</w:t>
      </w:r>
      <w:r>
        <w:rPr>
          <w:color w:val="000000"/>
          <w:spacing w:val="-4"/>
        </w:rPr>
        <w:t>i</w:t>
      </w:r>
      <w:r>
        <w:rPr>
          <w:color w:val="000000"/>
          <w:spacing w:val="-1"/>
        </w:rPr>
        <w:t>a</w:t>
      </w:r>
      <w:r>
        <w:rPr>
          <w:color w:val="000000"/>
        </w:rPr>
        <w:t>u,</w:t>
      </w:r>
      <w:r>
        <w:rPr>
          <w:color w:val="000000"/>
          <w:spacing w:val="18"/>
        </w:rPr>
        <w:t xml:space="preserve"> </w:t>
      </w:r>
      <w:r>
        <w:rPr>
          <w:color w:val="000000"/>
        </w:rPr>
        <w:t>g</w:t>
      </w:r>
      <w:r>
        <w:rPr>
          <w:color w:val="000000"/>
          <w:spacing w:val="-1"/>
        </w:rPr>
        <w:t>e</w:t>
      </w:r>
      <w:r>
        <w:rPr>
          <w:color w:val="000000"/>
          <w:spacing w:val="1"/>
        </w:rPr>
        <w:t>r</w:t>
      </w:r>
      <w:r>
        <w:rPr>
          <w:color w:val="000000"/>
          <w:spacing w:val="5"/>
        </w:rPr>
        <w:t>o</w:t>
      </w:r>
      <w:r>
        <w:rPr>
          <w:color w:val="000000"/>
        </w:rPr>
        <w:t>k</w:t>
      </w:r>
      <w:r>
        <w:rPr>
          <w:color w:val="000000"/>
          <w:spacing w:val="-1"/>
        </w:rPr>
        <w:t>a</w:t>
      </w:r>
      <w:r>
        <w:rPr>
          <w:color w:val="000000"/>
        </w:rPr>
        <w:t>i</w:t>
      </w:r>
      <w:r>
        <w:rPr>
          <w:color w:val="000000"/>
          <w:spacing w:val="3"/>
        </w:rPr>
        <w:t xml:space="preserve"> </w:t>
      </w:r>
      <w:r>
        <w:rPr>
          <w:color w:val="000000"/>
        </w:rPr>
        <w:t>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1"/>
        </w:rPr>
        <w:t>r</w:t>
      </w:r>
      <w:r>
        <w:rPr>
          <w:color w:val="000000"/>
          <w:spacing w:val="4"/>
        </w:rPr>
        <w:t>e</w:t>
      </w:r>
      <w:r>
        <w:rPr>
          <w:color w:val="000000"/>
          <w:spacing w:val="2"/>
        </w:rPr>
        <w:t>s</w:t>
      </w:r>
      <w:r>
        <w:rPr>
          <w:color w:val="000000"/>
          <w:spacing w:val="-5"/>
        </w:rPr>
        <w:t>n</w:t>
      </w:r>
      <w:r>
        <w:rPr>
          <w:color w:val="000000"/>
          <w:spacing w:val="-1"/>
        </w:rPr>
        <w:t>ė</w:t>
      </w:r>
      <w:r>
        <w:rPr>
          <w:color w:val="000000"/>
        </w:rPr>
        <w:t>s</w:t>
      </w:r>
    </w:p>
    <w:p w:rsidR="004F7425" w:rsidRDefault="004F7425" w:rsidP="004F7425">
      <w:pPr>
        <w:widowControl w:val="0"/>
        <w:autoSpaceDE w:val="0"/>
        <w:autoSpaceDN w:val="0"/>
        <w:adjustRightInd w:val="0"/>
        <w:spacing w:before="41" w:line="275" w:lineRule="auto"/>
        <w:ind w:left="78" w:right="88"/>
        <w:jc w:val="right"/>
        <w:rPr>
          <w:color w:val="000000"/>
        </w:rPr>
      </w:pPr>
      <w:r>
        <w:rPr>
          <w:noProof/>
          <w:lang w:eastAsia="lt-LT"/>
        </w:rPr>
        <mc:AlternateContent>
          <mc:Choice Requires="wps">
            <w:drawing>
              <wp:anchor distT="0" distB="0" distL="114300" distR="114300" simplePos="0" relativeHeight="251749376" behindDoc="1" locked="0" layoutInCell="0" allowOverlap="1">
                <wp:simplePos x="0" y="0"/>
                <wp:positionH relativeFrom="page">
                  <wp:posOffset>1080135</wp:posOffset>
                </wp:positionH>
                <wp:positionV relativeFrom="paragraph">
                  <wp:posOffset>683260</wp:posOffset>
                </wp:positionV>
                <wp:extent cx="1447800" cy="1930400"/>
                <wp:effectExtent l="3810" t="2540" r="0" b="635"/>
                <wp:wrapNone/>
                <wp:docPr id="246" name="Stačiakampis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193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3040" w:lineRule="atLeast"/>
                            </w:pPr>
                            <w:r>
                              <w:rPr>
                                <w:noProof/>
                                <w:lang w:eastAsia="lt-LT"/>
                              </w:rPr>
                              <w:drawing>
                                <wp:inline distT="0" distB="0" distL="0" distR="0" wp14:anchorId="2B0CDCED" wp14:editId="27842BBE">
                                  <wp:extent cx="1457325" cy="1943100"/>
                                  <wp:effectExtent l="0" t="0" r="9525" b="0"/>
                                  <wp:docPr id="245" name="Paveikslėlis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457325" cy="194310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46" o:spid="_x0000_s1055" style="position:absolute;left:0;text-align:left;margin-left:85.05pt;margin-top:53.8pt;width:114pt;height:152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" o:allowincell="f" filled="f" stroked="f">
                <v:textbox inset="0,0,0,0">
                  <w:txbxContent>
                    <w:p w:rsidR="004F7425" w:rsidRDefault="004F7425" w:rsidP="004F7425">
                      <w:pPr>
                        <w:spacing w:line="3040" w:lineRule="atLeast"/>
                      </w:pPr>
                      <w:r>
                        <w:rPr>
                          <w:noProof/>
                          <w:lang w:eastAsia="lt-LT"/>
                        </w:rPr>
                        <w:drawing>
                          <wp:inline distT="0" distB="0" distL="0" distR="0" wp14:anchorId="2B0CDCED" wp14:editId="27842BBE">
                            <wp:extent cx="1457325" cy="1943100"/>
                            <wp:effectExtent l="0" t="0" r="9525" b="0"/>
                            <wp:docPr id="245" name="Paveikslėlis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57325" cy="194310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spacing w:val="-5"/>
        </w:rPr>
        <w:t>y</w:t>
      </w:r>
      <w:r>
        <w:rPr>
          <w:color w:val="000000"/>
          <w:spacing w:val="1"/>
        </w:rPr>
        <w:t>r</w:t>
      </w:r>
      <w:r>
        <w:rPr>
          <w:color w:val="000000"/>
        </w:rPr>
        <w:t>a</w:t>
      </w:r>
      <w:r>
        <w:rPr>
          <w:color w:val="000000"/>
          <w:spacing w:val="1"/>
        </w:rPr>
        <w:t xml:space="preserve">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7"/>
        </w:rPr>
        <w:t xml:space="preserve"> </w:t>
      </w:r>
      <w:r>
        <w:rPr>
          <w:color w:val="000000"/>
          <w:spacing w:val="10"/>
        </w:rPr>
        <w:t>t</w:t>
      </w:r>
      <w:r>
        <w:rPr>
          <w:color w:val="000000"/>
          <w:spacing w:val="-9"/>
        </w:rPr>
        <w:t>i</w:t>
      </w:r>
      <w:r>
        <w:rPr>
          <w:color w:val="000000"/>
        </w:rPr>
        <w:t>po</w:t>
      </w:r>
      <w:r>
        <w:rPr>
          <w:color w:val="000000"/>
          <w:spacing w:val="7"/>
        </w:rPr>
        <w:t xml:space="preserve"> </w:t>
      </w:r>
      <w:r>
        <w:rPr>
          <w:color w:val="000000"/>
          <w:spacing w:val="-2"/>
        </w:rPr>
        <w:t>s</w:t>
      </w:r>
      <w:r>
        <w:rPr>
          <w:color w:val="000000"/>
          <w:spacing w:val="5"/>
        </w:rPr>
        <w:t>t</w:t>
      </w:r>
      <w:r>
        <w:rPr>
          <w:color w:val="000000"/>
          <w:spacing w:val="-4"/>
        </w:rPr>
        <w:t>im</w:t>
      </w:r>
      <w:r>
        <w:rPr>
          <w:color w:val="000000"/>
          <w:spacing w:val="5"/>
        </w:rPr>
        <w:t>u</w:t>
      </w:r>
      <w:r>
        <w:rPr>
          <w:color w:val="000000"/>
        </w:rPr>
        <w:t>l</w:t>
      </w:r>
      <w:r>
        <w:rPr>
          <w:color w:val="000000"/>
          <w:spacing w:val="-4"/>
        </w:rPr>
        <w:t>i</w:t>
      </w:r>
      <w:r>
        <w:rPr>
          <w:color w:val="000000"/>
        </w:rPr>
        <w:t>u</w:t>
      </w:r>
      <w:r>
        <w:rPr>
          <w:color w:val="000000"/>
          <w:spacing w:val="9"/>
        </w:rPr>
        <w:t>o</w:t>
      </w:r>
      <w:r>
        <w:rPr>
          <w:color w:val="000000"/>
          <w:spacing w:val="-9"/>
        </w:rPr>
        <w:t>j</w:t>
      </w:r>
      <w:r>
        <w:rPr>
          <w:color w:val="000000"/>
          <w:spacing w:val="4"/>
        </w:rPr>
        <w:t>a</w:t>
      </w:r>
      <w:r>
        <w:rPr>
          <w:color w:val="000000"/>
          <w:spacing w:val="-5"/>
        </w:rPr>
        <w:t>n</w:t>
      </w:r>
      <w:r>
        <w:rPr>
          <w:color w:val="000000"/>
          <w:spacing w:val="4"/>
        </w:rPr>
        <w:t>č</w:t>
      </w:r>
      <w:r>
        <w:rPr>
          <w:color w:val="000000"/>
          <w:spacing w:val="-9"/>
        </w:rPr>
        <w:t>i</w:t>
      </w:r>
      <w:r>
        <w:rPr>
          <w:color w:val="000000"/>
          <w:spacing w:val="5"/>
        </w:rPr>
        <w:t>o</w:t>
      </w:r>
      <w:r>
        <w:rPr>
          <w:color w:val="000000"/>
        </w:rPr>
        <w:t>s</w:t>
      </w:r>
      <w:r>
        <w:rPr>
          <w:color w:val="000000"/>
          <w:spacing w:val="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7"/>
        </w:rPr>
        <w:t xml:space="preserve"> </w:t>
      </w:r>
      <w:r>
        <w:rPr>
          <w:color w:val="000000"/>
        </w:rPr>
        <w:t>–</w:t>
      </w:r>
      <w:r>
        <w:rPr>
          <w:color w:val="000000"/>
          <w:spacing w:val="7"/>
        </w:rPr>
        <w:t xml:space="preserve">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a</w:t>
      </w:r>
      <w:r>
        <w:rPr>
          <w:color w:val="000000"/>
        </w:rPr>
        <w:t>s</w:t>
      </w:r>
      <w:r>
        <w:rPr>
          <w:color w:val="000000"/>
          <w:spacing w:val="5"/>
        </w:rPr>
        <w:t xml:space="preserve"> </w:t>
      </w:r>
      <w:r>
        <w:rPr>
          <w:color w:val="000000"/>
          <w:spacing w:val="-4"/>
        </w:rPr>
        <w:t>i</w:t>
      </w:r>
      <w:r>
        <w:rPr>
          <w:color w:val="000000"/>
        </w:rPr>
        <w:t>r</w:t>
      </w:r>
      <w:r>
        <w:rPr>
          <w:color w:val="000000"/>
          <w:spacing w:val="8"/>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2"/>
        </w:rPr>
        <w:t>s</w:t>
      </w:r>
      <w:r>
        <w:rPr>
          <w:color w:val="000000"/>
        </w:rPr>
        <w:t>.</w:t>
      </w:r>
      <w:r>
        <w:rPr>
          <w:color w:val="000000"/>
          <w:spacing w:val="4"/>
        </w:rPr>
        <w:t xml:space="preserve"> </w:t>
      </w:r>
      <w:r>
        <w:rPr>
          <w:color w:val="000000"/>
          <w:spacing w:val="-2"/>
        </w:rPr>
        <w:t>M</w:t>
      </w:r>
      <w:r>
        <w:rPr>
          <w:color w:val="000000"/>
          <w:spacing w:val="4"/>
        </w:rPr>
        <w:t>a</w:t>
      </w:r>
      <w:r>
        <w:rPr>
          <w:color w:val="000000"/>
        </w:rPr>
        <w:t>n</w:t>
      </w:r>
      <w:r>
        <w:rPr>
          <w:color w:val="000000"/>
          <w:spacing w:val="-10"/>
        </w:rPr>
        <w:t>y</w:t>
      </w:r>
      <w:r>
        <w:rPr>
          <w:color w:val="000000"/>
          <w:spacing w:val="5"/>
        </w:rPr>
        <w:t>tu</w:t>
      </w:r>
      <w:r>
        <w:rPr>
          <w:color w:val="000000"/>
          <w:spacing w:val="-4"/>
        </w:rPr>
        <w:t>m</w:t>
      </w:r>
      <w:r>
        <w:rPr>
          <w:color w:val="000000"/>
          <w:spacing w:val="-1"/>
        </w:rPr>
        <w:t>e</w:t>
      </w:r>
      <w:r>
        <w:rPr>
          <w:color w:val="000000"/>
        </w:rPr>
        <w:t>,</w:t>
      </w:r>
      <w:r>
        <w:rPr>
          <w:color w:val="000000"/>
          <w:spacing w:val="4"/>
        </w:rPr>
        <w:t xml:space="preserve"> </w:t>
      </w:r>
      <w:r>
        <w:rPr>
          <w:color w:val="000000"/>
        </w:rPr>
        <w:t>k</w:t>
      </w:r>
      <w:r>
        <w:rPr>
          <w:color w:val="000000"/>
          <w:spacing w:val="-1"/>
        </w:rPr>
        <w:t>a</w:t>
      </w:r>
      <w:r>
        <w:rPr>
          <w:color w:val="000000"/>
        </w:rPr>
        <w:t>d 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1"/>
        </w:rPr>
        <w:t>ą</w:t>
      </w:r>
      <w:r>
        <w:rPr>
          <w:color w:val="000000"/>
        </w:rPr>
        <w:t xml:space="preserve">, </w:t>
      </w:r>
      <w:r>
        <w:rPr>
          <w:color w:val="000000"/>
          <w:spacing w:val="21"/>
        </w:rPr>
        <w:t xml:space="preserve"> </w:t>
      </w:r>
      <w:r>
        <w:rPr>
          <w:color w:val="000000"/>
        </w:rPr>
        <w:t>d</w:t>
      </w:r>
      <w:r>
        <w:rPr>
          <w:color w:val="000000"/>
          <w:spacing w:val="4"/>
        </w:rPr>
        <w:t>ė</w:t>
      </w:r>
      <w:r>
        <w:rPr>
          <w:color w:val="000000"/>
        </w:rPr>
        <w:t xml:space="preserve">l </w:t>
      </w:r>
      <w:r>
        <w:rPr>
          <w:color w:val="000000"/>
          <w:spacing w:val="15"/>
        </w:rPr>
        <w:t xml:space="preserve"> </w:t>
      </w:r>
      <w:r>
        <w:rPr>
          <w:color w:val="000000"/>
          <w:spacing w:val="-9"/>
        </w:rPr>
        <w:t>j</w:t>
      </w:r>
      <w:r>
        <w:rPr>
          <w:color w:val="000000"/>
        </w:rPr>
        <w:t xml:space="preserve">o </w:t>
      </w:r>
      <w:r>
        <w:rPr>
          <w:color w:val="000000"/>
          <w:spacing w:val="24"/>
        </w:rPr>
        <w:t xml:space="preserve"> </w:t>
      </w:r>
      <w:r>
        <w:rPr>
          <w:color w:val="000000"/>
          <w:spacing w:val="-1"/>
        </w:rPr>
        <w:t>a</w:t>
      </w:r>
      <w:r>
        <w:rPr>
          <w:color w:val="000000"/>
        </w:rPr>
        <w:t>uk</w:t>
      </w:r>
      <w:r>
        <w:rPr>
          <w:color w:val="000000"/>
          <w:spacing w:val="-2"/>
        </w:rPr>
        <w:t>š</w:t>
      </w:r>
      <w:r>
        <w:rPr>
          <w:color w:val="000000"/>
          <w:spacing w:val="5"/>
        </w:rPr>
        <w:t>to</w:t>
      </w:r>
      <w:r>
        <w:rPr>
          <w:color w:val="000000"/>
        </w:rPr>
        <w:t xml:space="preserve">s </w:t>
      </w:r>
      <w:r>
        <w:rPr>
          <w:color w:val="000000"/>
          <w:spacing w:val="17"/>
        </w:rPr>
        <w:t xml:space="preserve"> </w:t>
      </w:r>
      <w:r>
        <w:rPr>
          <w:color w:val="000000"/>
        </w:rPr>
        <w:t>k</w:t>
      </w:r>
      <w:r>
        <w:rPr>
          <w:color w:val="000000"/>
          <w:spacing w:val="-1"/>
        </w:rPr>
        <w:t>a</w:t>
      </w:r>
      <w:r>
        <w:rPr>
          <w:color w:val="000000"/>
          <w:spacing w:val="-4"/>
        </w:rPr>
        <w:t>i</w:t>
      </w:r>
      <w:r>
        <w:rPr>
          <w:color w:val="000000"/>
          <w:spacing w:val="-5"/>
        </w:rPr>
        <w:t>n</w:t>
      </w:r>
      <w:r>
        <w:rPr>
          <w:color w:val="000000"/>
          <w:spacing w:val="5"/>
        </w:rPr>
        <w:t>o</w:t>
      </w:r>
      <w:r>
        <w:rPr>
          <w:color w:val="000000"/>
          <w:spacing w:val="-2"/>
        </w:rPr>
        <w:t>s</w:t>
      </w:r>
      <w:r>
        <w:rPr>
          <w:color w:val="000000"/>
        </w:rPr>
        <w:t xml:space="preserve">, </w:t>
      </w:r>
      <w:r>
        <w:rPr>
          <w:color w:val="000000"/>
          <w:spacing w:val="21"/>
        </w:rPr>
        <w:t xml:space="preserve"> </w:t>
      </w:r>
      <w:r>
        <w:rPr>
          <w:color w:val="000000"/>
          <w:spacing w:val="-5"/>
        </w:rPr>
        <w:t>v</w:t>
      </w:r>
      <w:r>
        <w:rPr>
          <w:color w:val="000000"/>
          <w:spacing w:val="-1"/>
        </w:rPr>
        <w:t>a</w:t>
      </w:r>
      <w:r>
        <w:rPr>
          <w:color w:val="000000"/>
          <w:spacing w:val="1"/>
        </w:rPr>
        <w:t>r</w:t>
      </w:r>
      <w:r>
        <w:rPr>
          <w:color w:val="000000"/>
          <w:spacing w:val="5"/>
        </w:rPr>
        <w:t>to</w:t>
      </w:r>
      <w:r>
        <w:rPr>
          <w:color w:val="000000"/>
          <w:spacing w:val="-9"/>
        </w:rPr>
        <w:t>j</w:t>
      </w:r>
      <w:r>
        <w:rPr>
          <w:color w:val="000000"/>
        </w:rPr>
        <w:t xml:space="preserve">a </w:t>
      </w:r>
      <w:r>
        <w:rPr>
          <w:color w:val="000000"/>
          <w:spacing w:val="18"/>
        </w:rPr>
        <w:t xml:space="preserve"> </w:t>
      </w:r>
      <w:r>
        <w:rPr>
          <w:color w:val="000000"/>
        </w:rPr>
        <w:t>g</w:t>
      </w:r>
      <w:r>
        <w:rPr>
          <w:color w:val="000000"/>
          <w:spacing w:val="-1"/>
        </w:rPr>
        <w:t>e</w:t>
      </w:r>
      <w:r>
        <w:rPr>
          <w:color w:val="000000"/>
          <w:spacing w:val="6"/>
        </w:rPr>
        <w:t>r</w:t>
      </w:r>
      <w:r>
        <w:rPr>
          <w:color w:val="000000"/>
          <w:spacing w:val="-9"/>
        </w:rPr>
        <w:t>i</w:t>
      </w:r>
      <w:r>
        <w:rPr>
          <w:color w:val="000000"/>
          <w:spacing w:val="-1"/>
        </w:rPr>
        <w:t>a</w:t>
      </w:r>
      <w:r>
        <w:rPr>
          <w:color w:val="000000"/>
        </w:rPr>
        <w:t xml:space="preserve">u </w:t>
      </w:r>
      <w:r>
        <w:rPr>
          <w:color w:val="000000"/>
          <w:spacing w:val="24"/>
        </w:rPr>
        <w:t xml:space="preserve"> </w:t>
      </w:r>
      <w:r>
        <w:rPr>
          <w:color w:val="000000"/>
          <w:spacing w:val="-2"/>
        </w:rPr>
        <w:t>s</w:t>
      </w:r>
      <w:r>
        <w:rPr>
          <w:color w:val="000000"/>
          <w:spacing w:val="5"/>
        </w:rPr>
        <w:t>o</w:t>
      </w:r>
      <w:r>
        <w:rPr>
          <w:color w:val="000000"/>
          <w:spacing w:val="-1"/>
        </w:rPr>
        <w:t>c</w:t>
      </w:r>
      <w:r>
        <w:rPr>
          <w:color w:val="000000"/>
          <w:spacing w:val="-9"/>
        </w:rPr>
        <w:t>i</w:t>
      </w:r>
      <w:r>
        <w:rPr>
          <w:color w:val="000000"/>
          <w:spacing w:val="4"/>
        </w:rPr>
        <w:t>a</w:t>
      </w:r>
      <w:r>
        <w:rPr>
          <w:color w:val="000000"/>
        </w:rPr>
        <w:t>l</w:t>
      </w:r>
      <w:r>
        <w:rPr>
          <w:color w:val="000000"/>
          <w:spacing w:val="-4"/>
        </w:rPr>
        <w:t>i</w:t>
      </w:r>
      <w:r>
        <w:rPr>
          <w:color w:val="000000"/>
          <w:spacing w:val="4"/>
        </w:rPr>
        <w:t>a</w:t>
      </w:r>
      <w:r>
        <w:rPr>
          <w:color w:val="000000"/>
        </w:rPr>
        <w:t xml:space="preserve">i </w:t>
      </w:r>
      <w:r>
        <w:rPr>
          <w:color w:val="000000"/>
          <w:spacing w:val="19"/>
        </w:rPr>
        <w:t xml:space="preserve"> </w:t>
      </w:r>
      <w:r>
        <w:rPr>
          <w:color w:val="000000"/>
          <w:spacing w:val="-4"/>
        </w:rPr>
        <w:t>i</w:t>
      </w:r>
      <w:r>
        <w:rPr>
          <w:color w:val="000000"/>
          <w:spacing w:val="-5"/>
        </w:rPr>
        <w:t>n</w:t>
      </w:r>
      <w:r>
        <w:rPr>
          <w:color w:val="000000"/>
          <w:spacing w:val="5"/>
        </w:rPr>
        <w:t>t</w:t>
      </w:r>
      <w:r>
        <w:rPr>
          <w:color w:val="000000"/>
          <w:spacing w:val="-1"/>
        </w:rPr>
        <w:t>e</w:t>
      </w:r>
      <w:r>
        <w:rPr>
          <w:color w:val="000000"/>
        </w:rPr>
        <w:t>g</w:t>
      </w:r>
      <w:r>
        <w:rPr>
          <w:color w:val="000000"/>
          <w:spacing w:val="1"/>
        </w:rPr>
        <w:t>r</w:t>
      </w:r>
      <w:r>
        <w:rPr>
          <w:color w:val="000000"/>
        </w:rPr>
        <w:t>uo</w:t>
      </w:r>
      <w:r>
        <w:rPr>
          <w:color w:val="000000"/>
          <w:spacing w:val="5"/>
        </w:rPr>
        <w:t>t</w:t>
      </w:r>
      <w:r>
        <w:rPr>
          <w:color w:val="000000"/>
        </w:rPr>
        <w:t xml:space="preserve">i </w:t>
      </w:r>
      <w:r>
        <w:rPr>
          <w:color w:val="000000"/>
          <w:spacing w:val="10"/>
        </w:rPr>
        <w:t xml:space="preserve"> </w:t>
      </w:r>
      <w:r>
        <w:rPr>
          <w:color w:val="000000"/>
          <w:spacing w:val="4"/>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rPr>
        <w:t xml:space="preserve">s </w:t>
      </w:r>
      <w:r>
        <w:rPr>
          <w:color w:val="000000"/>
          <w:spacing w:val="17"/>
        </w:rPr>
        <w:t xml:space="preserve"> </w:t>
      </w:r>
      <w:r>
        <w:rPr>
          <w:color w:val="000000"/>
          <w:spacing w:val="1"/>
        </w:rPr>
        <w:t>(</w:t>
      </w:r>
      <w:r>
        <w:rPr>
          <w:color w:val="000000"/>
        </w:rPr>
        <w:t>pv</w:t>
      </w:r>
      <w:r>
        <w:rPr>
          <w:color w:val="000000"/>
          <w:spacing w:val="-1"/>
        </w:rPr>
        <w:t>z</w:t>
      </w:r>
      <w:r>
        <w:rPr>
          <w:color w:val="000000"/>
          <w:spacing w:val="2"/>
        </w:rPr>
        <w:t>.</w:t>
      </w:r>
      <w:r>
        <w:rPr>
          <w:color w:val="000000"/>
        </w:rPr>
        <w:t xml:space="preserve">; </w:t>
      </w:r>
      <w:r>
        <w:rPr>
          <w:color w:val="000000"/>
          <w:spacing w:val="19"/>
        </w:rPr>
        <w:t xml:space="preserve"> </w:t>
      </w:r>
      <w:r>
        <w:rPr>
          <w:color w:val="000000"/>
          <w:spacing w:val="-3"/>
        </w:rPr>
        <w:t>f</w:t>
      </w:r>
      <w:r>
        <w:rPr>
          <w:color w:val="000000"/>
          <w:spacing w:val="-4"/>
        </w:rPr>
        <w:t>i</w:t>
      </w:r>
      <w:r>
        <w:rPr>
          <w:color w:val="000000"/>
        </w:rPr>
        <w:t>n</w:t>
      </w:r>
      <w:r>
        <w:rPr>
          <w:color w:val="000000"/>
          <w:spacing w:val="4"/>
        </w:rPr>
        <w:t>a</w:t>
      </w:r>
      <w:r>
        <w:rPr>
          <w:color w:val="000000"/>
        </w:rPr>
        <w:t>n</w:t>
      </w:r>
      <w:r>
        <w:rPr>
          <w:color w:val="000000"/>
          <w:spacing w:val="2"/>
        </w:rPr>
        <w:t>s</w:t>
      </w:r>
      <w:r>
        <w:rPr>
          <w:color w:val="000000"/>
          <w:spacing w:val="-4"/>
        </w:rPr>
        <w:t>i</w:t>
      </w:r>
      <w:r>
        <w:rPr>
          <w:color w:val="000000"/>
          <w:spacing w:val="-2"/>
        </w:rPr>
        <w:t>š</w:t>
      </w:r>
      <w:r>
        <w:rPr>
          <w:color w:val="000000"/>
        </w:rPr>
        <w:t>k</w:t>
      </w:r>
      <w:r>
        <w:rPr>
          <w:color w:val="000000"/>
          <w:spacing w:val="8"/>
        </w:rPr>
        <w:t>a</w:t>
      </w:r>
      <w:r>
        <w:rPr>
          <w:color w:val="000000"/>
        </w:rPr>
        <w:t xml:space="preserve">i </w:t>
      </w:r>
      <w:r>
        <w:rPr>
          <w:color w:val="000000"/>
          <w:spacing w:val="5"/>
        </w:rPr>
        <w:t>t</w:t>
      </w:r>
      <w:r>
        <w:rPr>
          <w:color w:val="000000"/>
        </w:rPr>
        <w:t>u</w:t>
      </w:r>
      <w:r>
        <w:rPr>
          <w:color w:val="000000"/>
          <w:spacing w:val="-3"/>
        </w:rPr>
        <w:t>r</w:t>
      </w:r>
      <w:r>
        <w:rPr>
          <w:color w:val="000000"/>
          <w:spacing w:val="5"/>
        </w:rPr>
        <w:t>t</w:t>
      </w:r>
      <w:r>
        <w:rPr>
          <w:color w:val="000000"/>
          <w:spacing w:val="-9"/>
        </w:rPr>
        <w:t>i</w:t>
      </w:r>
      <w:r>
        <w:rPr>
          <w:color w:val="000000"/>
          <w:spacing w:val="-5"/>
        </w:rPr>
        <w:t>n</w:t>
      </w:r>
      <w:r>
        <w:rPr>
          <w:color w:val="000000"/>
        </w:rPr>
        <w:t>g</w:t>
      </w:r>
      <w:r>
        <w:rPr>
          <w:color w:val="000000"/>
          <w:spacing w:val="4"/>
        </w:rPr>
        <w:t>e</w:t>
      </w:r>
      <w:r>
        <w:rPr>
          <w:color w:val="000000"/>
          <w:spacing w:val="2"/>
        </w:rPr>
        <w:t>s</w:t>
      </w:r>
      <w:r>
        <w:rPr>
          <w:color w:val="000000"/>
        </w:rPr>
        <w:t>n</w:t>
      </w:r>
      <w:r>
        <w:rPr>
          <w:color w:val="000000"/>
          <w:spacing w:val="-9"/>
        </w:rPr>
        <w:t>i</w:t>
      </w:r>
      <w:r>
        <w:rPr>
          <w:color w:val="000000"/>
        </w:rPr>
        <w:t xml:space="preserve">,  </w:t>
      </w:r>
      <w:r>
        <w:rPr>
          <w:color w:val="000000"/>
          <w:spacing w:val="4"/>
        </w:rPr>
        <w:t xml:space="preserve"> </w:t>
      </w:r>
      <w:r>
        <w:rPr>
          <w:color w:val="000000"/>
          <w:spacing w:val="-5"/>
        </w:rPr>
        <w:t>v</w:t>
      </w:r>
      <w:r>
        <w:rPr>
          <w:color w:val="000000"/>
          <w:spacing w:val="-1"/>
        </w:rPr>
        <w:t>a</w:t>
      </w:r>
      <w:r>
        <w:rPr>
          <w:color w:val="000000"/>
          <w:spacing w:val="5"/>
        </w:rPr>
        <w:t>k</w:t>
      </w:r>
      <w:r>
        <w:rPr>
          <w:color w:val="000000"/>
          <w:spacing w:val="-1"/>
        </w:rPr>
        <w:t>a</w:t>
      </w:r>
      <w:r>
        <w:rPr>
          <w:color w:val="000000"/>
          <w:spacing w:val="1"/>
        </w:rPr>
        <w:t>r</w:t>
      </w:r>
      <w:r>
        <w:rPr>
          <w:color w:val="000000"/>
          <w:spacing w:val="7"/>
        </w:rPr>
        <w:t>ė</w:t>
      </w:r>
      <w:r>
        <w:rPr>
          <w:color w:val="000000"/>
          <w:spacing w:val="-4"/>
        </w:rPr>
        <w:t>li</w:t>
      </w:r>
      <w:r>
        <w:rPr>
          <w:color w:val="000000"/>
        </w:rPr>
        <w:t xml:space="preserve">ų  </w:t>
      </w:r>
      <w:r>
        <w:rPr>
          <w:color w:val="000000"/>
          <w:spacing w:val="2"/>
        </w:rPr>
        <w:t xml:space="preserve"> </w:t>
      </w:r>
      <w:r>
        <w:rPr>
          <w:color w:val="000000"/>
          <w:spacing w:val="-4"/>
        </w:rPr>
        <w:t>m</w:t>
      </w:r>
      <w:r>
        <w:rPr>
          <w:color w:val="000000"/>
          <w:spacing w:val="-1"/>
        </w:rPr>
        <w:t>e</w:t>
      </w:r>
      <w:r>
        <w:rPr>
          <w:color w:val="000000"/>
          <w:spacing w:val="5"/>
        </w:rPr>
        <w:t>t</w:t>
      </w:r>
      <w:r>
        <w:rPr>
          <w:color w:val="000000"/>
        </w:rPr>
        <w:t xml:space="preserve">u,   </w:t>
      </w:r>
      <w:r>
        <w:rPr>
          <w:color w:val="000000"/>
          <w:spacing w:val="-2"/>
        </w:rPr>
        <w:t>s</w:t>
      </w:r>
      <w:r>
        <w:rPr>
          <w:color w:val="000000"/>
          <w:spacing w:val="-1"/>
        </w:rPr>
        <w:t>a</w:t>
      </w:r>
      <w:r>
        <w:rPr>
          <w:color w:val="000000"/>
          <w:spacing w:val="-5"/>
        </w:rPr>
        <w:t>v</w:t>
      </w:r>
      <w:r>
        <w:rPr>
          <w:color w:val="000000"/>
          <w:spacing w:val="4"/>
        </w:rPr>
        <w:t>a</w:t>
      </w:r>
      <w:r>
        <w:rPr>
          <w:color w:val="000000"/>
          <w:spacing w:val="-9"/>
        </w:rPr>
        <w:t>i</w:t>
      </w:r>
      <w:r>
        <w:rPr>
          <w:color w:val="000000"/>
          <w:spacing w:val="5"/>
        </w:rPr>
        <w:t>t</w:t>
      </w:r>
      <w:r>
        <w:rPr>
          <w:color w:val="000000"/>
        </w:rPr>
        <w:t>g</w:t>
      </w:r>
      <w:r>
        <w:rPr>
          <w:color w:val="000000"/>
          <w:spacing w:val="4"/>
        </w:rPr>
        <w:t>a</w:t>
      </w:r>
      <w:r>
        <w:rPr>
          <w:color w:val="000000"/>
        </w:rPr>
        <w:t>l</w:t>
      </w:r>
      <w:r>
        <w:rPr>
          <w:color w:val="000000"/>
          <w:spacing w:val="-4"/>
        </w:rPr>
        <w:t>i</w:t>
      </w:r>
      <w:r>
        <w:rPr>
          <w:color w:val="000000"/>
          <w:spacing w:val="4"/>
        </w:rPr>
        <w:t>a</w:t>
      </w:r>
      <w:r>
        <w:rPr>
          <w:color w:val="000000"/>
          <w:spacing w:val="-4"/>
        </w:rPr>
        <w:t>i</w:t>
      </w:r>
      <w:r>
        <w:rPr>
          <w:color w:val="000000"/>
        </w:rPr>
        <w:t xml:space="preserve">s   </w:t>
      </w:r>
      <w:r>
        <w:rPr>
          <w:color w:val="000000"/>
          <w:spacing w:val="-1"/>
        </w:rPr>
        <w:t>a</w:t>
      </w:r>
      <w:r>
        <w:rPr>
          <w:color w:val="000000"/>
        </w:rPr>
        <w:t xml:space="preserve">r </w:t>
      </w:r>
      <w:r>
        <w:rPr>
          <w:color w:val="000000"/>
          <w:spacing w:val="59"/>
        </w:rPr>
        <w:t xml:space="preserve"> </w:t>
      </w:r>
      <w:r>
        <w:rPr>
          <w:color w:val="000000"/>
        </w:rPr>
        <w:t>k</w:t>
      </w:r>
      <w:r>
        <w:rPr>
          <w:color w:val="000000"/>
          <w:spacing w:val="-9"/>
        </w:rPr>
        <w:t>i</w:t>
      </w:r>
      <w:r>
        <w:rPr>
          <w:color w:val="000000"/>
          <w:spacing w:val="5"/>
        </w:rPr>
        <w:t>t</w:t>
      </w:r>
      <w:r>
        <w:rPr>
          <w:color w:val="000000"/>
          <w:spacing w:val="9"/>
        </w:rPr>
        <w:t>o</w:t>
      </w:r>
      <w:r>
        <w:rPr>
          <w:color w:val="000000"/>
          <w:spacing w:val="-4"/>
        </w:rPr>
        <w:t>mi</w:t>
      </w:r>
      <w:r>
        <w:rPr>
          <w:color w:val="000000"/>
        </w:rPr>
        <w:t xml:space="preserve">s   </w:t>
      </w:r>
      <w:r>
        <w:rPr>
          <w:color w:val="000000"/>
          <w:spacing w:val="-5"/>
        </w:rPr>
        <w:t>y</w:t>
      </w:r>
      <w:r>
        <w:rPr>
          <w:color w:val="000000"/>
        </w:rPr>
        <w:t>p</w:t>
      </w:r>
      <w:r>
        <w:rPr>
          <w:color w:val="000000"/>
          <w:spacing w:val="-1"/>
        </w:rPr>
        <w:t>a</w:t>
      </w:r>
      <w:r>
        <w:rPr>
          <w:color w:val="000000"/>
          <w:spacing w:val="10"/>
        </w:rPr>
        <w:t>t</w:t>
      </w:r>
      <w:r>
        <w:rPr>
          <w:color w:val="000000"/>
          <w:spacing w:val="-4"/>
        </w:rPr>
        <w:t>i</w:t>
      </w:r>
      <w:r>
        <w:rPr>
          <w:color w:val="000000"/>
          <w:spacing w:val="-5"/>
        </w:rPr>
        <w:t>n</w:t>
      </w:r>
      <w:r>
        <w:rPr>
          <w:color w:val="000000"/>
        </w:rPr>
        <w:t>g</w:t>
      </w:r>
      <w:r>
        <w:rPr>
          <w:color w:val="000000"/>
          <w:spacing w:val="9"/>
        </w:rPr>
        <w:t>o</w:t>
      </w:r>
      <w:r>
        <w:rPr>
          <w:color w:val="000000"/>
          <w:spacing w:val="-4"/>
        </w:rPr>
        <w:t>mi</w:t>
      </w:r>
      <w:r>
        <w:rPr>
          <w:color w:val="000000"/>
        </w:rPr>
        <w:t xml:space="preserve">s </w:t>
      </w:r>
      <w:r>
        <w:rPr>
          <w:color w:val="000000"/>
          <w:spacing w:val="55"/>
        </w:rPr>
        <w:t xml:space="preserve"> </w:t>
      </w:r>
      <w:r>
        <w:rPr>
          <w:color w:val="000000"/>
        </w:rPr>
        <w:t>p</w:t>
      </w:r>
      <w:r>
        <w:rPr>
          <w:color w:val="000000"/>
          <w:spacing w:val="1"/>
        </w:rPr>
        <w:t>r</w:t>
      </w:r>
      <w:r>
        <w:rPr>
          <w:color w:val="000000"/>
          <w:spacing w:val="5"/>
        </w:rPr>
        <w:t>o</w:t>
      </w:r>
      <w:r>
        <w:rPr>
          <w:color w:val="000000"/>
        </w:rPr>
        <w:t>g</w:t>
      </w:r>
      <w:r>
        <w:rPr>
          <w:color w:val="000000"/>
          <w:spacing w:val="5"/>
        </w:rPr>
        <w:t>o</w:t>
      </w:r>
      <w:r>
        <w:rPr>
          <w:color w:val="000000"/>
          <w:spacing w:val="-4"/>
        </w:rPr>
        <w:t>mi</w:t>
      </w:r>
      <w:r>
        <w:rPr>
          <w:color w:val="000000"/>
          <w:spacing w:val="-2"/>
        </w:rPr>
        <w:t>s</w:t>
      </w:r>
      <w:r>
        <w:rPr>
          <w:color w:val="000000"/>
          <w:spacing w:val="1"/>
        </w:rPr>
        <w:t>)</w:t>
      </w:r>
      <w:r>
        <w:rPr>
          <w:color w:val="000000"/>
        </w:rPr>
        <w:t xml:space="preserve">.   </w:t>
      </w:r>
      <w:r>
        <w:rPr>
          <w:color w:val="000000"/>
          <w:spacing w:val="1"/>
        </w:rPr>
        <w:t>Š</w:t>
      </w:r>
      <w:r>
        <w:rPr>
          <w:color w:val="000000"/>
          <w:spacing w:val="4"/>
        </w:rPr>
        <w:t>a</w:t>
      </w:r>
      <w:r>
        <w:rPr>
          <w:color w:val="000000"/>
          <w:spacing w:val="-4"/>
        </w:rPr>
        <w:t>li</w:t>
      </w:r>
      <w:r>
        <w:rPr>
          <w:color w:val="000000"/>
          <w:spacing w:val="-1"/>
        </w:rPr>
        <w:t>e</w:t>
      </w:r>
      <w:r>
        <w:rPr>
          <w:color w:val="000000"/>
        </w:rPr>
        <w:t>s   v</w:t>
      </w:r>
      <w:r>
        <w:rPr>
          <w:color w:val="000000"/>
          <w:spacing w:val="-4"/>
        </w:rPr>
        <w:t>i</w:t>
      </w:r>
      <w:r>
        <w:rPr>
          <w:color w:val="000000"/>
        </w:rPr>
        <w:t>d</w:t>
      </w:r>
      <w:r>
        <w:rPr>
          <w:color w:val="000000"/>
          <w:spacing w:val="-1"/>
        </w:rPr>
        <w:t>a</w:t>
      </w:r>
      <w:r>
        <w:rPr>
          <w:color w:val="000000"/>
          <w:spacing w:val="5"/>
        </w:rPr>
        <w:t>u</w:t>
      </w:r>
      <w:r>
        <w:rPr>
          <w:color w:val="000000"/>
        </w:rPr>
        <w:t xml:space="preserve">s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to</w:t>
      </w:r>
      <w:r>
        <w:rPr>
          <w:color w:val="000000"/>
          <w:spacing w:val="-9"/>
        </w:rPr>
        <w:t>j</w:t>
      </w:r>
      <w:r>
        <w:rPr>
          <w:color w:val="000000"/>
        </w:rPr>
        <w:t>e</w:t>
      </w:r>
      <w:r>
        <w:rPr>
          <w:color w:val="000000"/>
          <w:spacing w:val="20"/>
        </w:rPr>
        <w:t xml:space="preserve"> </w:t>
      </w:r>
      <w:r>
        <w:rPr>
          <w:color w:val="000000"/>
        </w:rPr>
        <w:t>d</w:t>
      </w:r>
      <w:r>
        <w:rPr>
          <w:color w:val="000000"/>
          <w:spacing w:val="4"/>
        </w:rPr>
        <w:t>až</w:t>
      </w:r>
      <w:r>
        <w:rPr>
          <w:color w:val="000000"/>
        </w:rPr>
        <w:t>n</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2"/>
        </w:rPr>
        <w:t xml:space="preserve"> </w:t>
      </w:r>
      <w:r>
        <w:rPr>
          <w:color w:val="000000"/>
          <w:spacing w:val="-5"/>
        </w:rPr>
        <w:t>y</w:t>
      </w:r>
      <w:r>
        <w:rPr>
          <w:color w:val="000000"/>
          <w:spacing w:val="1"/>
        </w:rPr>
        <w:t>r</w:t>
      </w:r>
      <w:r>
        <w:rPr>
          <w:color w:val="000000"/>
        </w:rPr>
        <w:t>a</w:t>
      </w:r>
      <w:r>
        <w:rPr>
          <w:color w:val="000000"/>
          <w:spacing w:val="25"/>
        </w:rPr>
        <w:t xml:space="preserve"> </w:t>
      </w:r>
      <w:r>
        <w:rPr>
          <w:color w:val="000000"/>
          <w:spacing w:val="-4"/>
        </w:rPr>
        <w:t>i</w:t>
      </w:r>
      <w:r>
        <w:rPr>
          <w:color w:val="000000"/>
          <w:spacing w:val="7"/>
        </w:rPr>
        <w:t>š</w:t>
      </w:r>
      <w:r>
        <w:rPr>
          <w:color w:val="000000"/>
          <w:spacing w:val="-4"/>
        </w:rPr>
        <w:t>im</w:t>
      </w:r>
      <w:r>
        <w:rPr>
          <w:color w:val="000000"/>
          <w:spacing w:val="8"/>
        </w:rPr>
        <w:t>a</w:t>
      </w:r>
      <w:r>
        <w:rPr>
          <w:color w:val="000000"/>
          <w:spacing w:val="-4"/>
        </w:rPr>
        <w:t>m</w:t>
      </w:r>
      <w:r>
        <w:rPr>
          <w:color w:val="000000"/>
        </w:rPr>
        <w:t>i</w:t>
      </w:r>
      <w:r>
        <w:rPr>
          <w:color w:val="000000"/>
          <w:spacing w:val="27"/>
        </w:rPr>
        <w:t xml:space="preserve"> </w:t>
      </w:r>
      <w:r>
        <w:rPr>
          <w:color w:val="000000"/>
          <w:spacing w:val="-4"/>
        </w:rPr>
        <w:t>m</w:t>
      </w:r>
      <w:r>
        <w:rPr>
          <w:color w:val="000000"/>
          <w:spacing w:val="-1"/>
        </w:rPr>
        <w:t>a</w:t>
      </w:r>
      <w:r>
        <w:rPr>
          <w:color w:val="000000"/>
          <w:spacing w:val="4"/>
        </w:rPr>
        <w:t>ž</w:t>
      </w:r>
      <w:r>
        <w:rPr>
          <w:color w:val="000000"/>
        </w:rPr>
        <w:t>i</w:t>
      </w:r>
      <w:r>
        <w:rPr>
          <w:color w:val="000000"/>
          <w:spacing w:val="17"/>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26"/>
        </w:rPr>
        <w:t xml:space="preserve">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spacing w:val="4"/>
        </w:rPr>
        <w:t>a</w:t>
      </w:r>
      <w:r>
        <w:rPr>
          <w:color w:val="000000"/>
        </w:rPr>
        <w:t>i</w:t>
      </w:r>
      <w:r>
        <w:rPr>
          <w:color w:val="000000"/>
          <w:spacing w:val="25"/>
        </w:rPr>
        <w:t xml:space="preserve"> </w:t>
      </w:r>
      <w:r>
        <w:rPr>
          <w:color w:val="000000"/>
        </w:rPr>
        <w:t>–</w:t>
      </w:r>
      <w:r>
        <w:rPr>
          <w:color w:val="000000"/>
          <w:spacing w:val="26"/>
        </w:rPr>
        <w:t xml:space="preserve"> </w:t>
      </w:r>
      <w:r>
        <w:rPr>
          <w:color w:val="000000"/>
          <w:spacing w:val="-4"/>
        </w:rPr>
        <w:t>i</w:t>
      </w:r>
      <w:r>
        <w:rPr>
          <w:color w:val="000000"/>
          <w:spacing w:val="5"/>
        </w:rPr>
        <w:t>k</w:t>
      </w:r>
      <w:r>
        <w:rPr>
          <w:color w:val="000000"/>
        </w:rPr>
        <w:t>i</w:t>
      </w:r>
      <w:r>
        <w:rPr>
          <w:color w:val="000000"/>
          <w:spacing w:val="17"/>
        </w:rPr>
        <w:t xml:space="preserve"> </w:t>
      </w:r>
      <w:r>
        <w:rPr>
          <w:color w:val="000000"/>
        </w:rPr>
        <w:t>20</w:t>
      </w:r>
      <w:r>
        <w:rPr>
          <w:color w:val="000000"/>
          <w:spacing w:val="26"/>
        </w:rPr>
        <w:t xml:space="preserve"> </w:t>
      </w:r>
      <w:r>
        <w:rPr>
          <w:color w:val="000000"/>
        </w:rPr>
        <w:t>g</w:t>
      </w:r>
      <w:r>
        <w:rPr>
          <w:color w:val="000000"/>
          <w:spacing w:val="1"/>
        </w:rPr>
        <w:t>r</w:t>
      </w:r>
      <w:r>
        <w:rPr>
          <w:color w:val="000000"/>
          <w:spacing w:val="4"/>
        </w:rPr>
        <w:t>a</w:t>
      </w:r>
      <w:r>
        <w:rPr>
          <w:color w:val="000000"/>
          <w:spacing w:val="-9"/>
        </w:rPr>
        <w:t>m</w:t>
      </w:r>
      <w:r>
        <w:rPr>
          <w:color w:val="000000"/>
        </w:rPr>
        <w:t>ų.</w:t>
      </w:r>
    </w:p>
    <w:p w:rsidR="004F7425" w:rsidRDefault="004F7425" w:rsidP="004F7425">
      <w:pPr>
        <w:widowControl w:val="0"/>
        <w:autoSpaceDE w:val="0"/>
        <w:autoSpaceDN w:val="0"/>
        <w:adjustRightInd w:val="0"/>
        <w:spacing w:before="1"/>
        <w:ind w:left="2583" w:right="42"/>
        <w:jc w:val="both"/>
        <w:rPr>
          <w:color w:val="000000"/>
        </w:rPr>
      </w:pPr>
      <w:r>
        <w:rPr>
          <w:color w:val="000000"/>
        </w:rPr>
        <w:t>2012</w:t>
      </w:r>
      <w:r>
        <w:rPr>
          <w:color w:val="000000"/>
          <w:spacing w:val="7"/>
        </w:rPr>
        <w:t xml:space="preserve"> </w:t>
      </w:r>
      <w:r>
        <w:rPr>
          <w:color w:val="000000"/>
          <w:spacing w:val="-9"/>
        </w:rPr>
        <w:t>m</w:t>
      </w:r>
      <w:r>
        <w:rPr>
          <w:color w:val="000000"/>
        </w:rPr>
        <w:t>.</w:t>
      </w:r>
      <w:r>
        <w:rPr>
          <w:color w:val="000000"/>
          <w:spacing w:val="9"/>
        </w:rPr>
        <w:t xml:space="preserve"> </w:t>
      </w:r>
      <w:r>
        <w:rPr>
          <w:color w:val="000000"/>
          <w:spacing w:val="-4"/>
        </w:rPr>
        <w:t>i</w:t>
      </w:r>
      <w:r>
        <w:rPr>
          <w:color w:val="000000"/>
        </w:rPr>
        <w:t>š v</w:t>
      </w:r>
      <w:r>
        <w:rPr>
          <w:color w:val="000000"/>
          <w:spacing w:val="-4"/>
        </w:rPr>
        <w:t>i</w:t>
      </w:r>
      <w:r>
        <w:rPr>
          <w:color w:val="000000"/>
          <w:spacing w:val="2"/>
        </w:rPr>
        <w:t>s</w:t>
      </w:r>
      <w:r>
        <w:rPr>
          <w:color w:val="000000"/>
        </w:rPr>
        <w:t>ų</w:t>
      </w:r>
      <w:r>
        <w:rPr>
          <w:color w:val="000000"/>
          <w:spacing w:val="2"/>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7"/>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ų,</w:t>
      </w:r>
      <w:r>
        <w:rPr>
          <w:color w:val="000000"/>
          <w:spacing w:val="10"/>
        </w:rPr>
        <w:t xml:space="preserve"> </w:t>
      </w:r>
      <w:r>
        <w:rPr>
          <w:color w:val="000000"/>
        </w:rPr>
        <w:t>81</w:t>
      </w:r>
      <w:r>
        <w:rPr>
          <w:color w:val="000000"/>
          <w:spacing w:val="2"/>
        </w:rPr>
        <w:t xml:space="preserve"> </w:t>
      </w:r>
      <w:r>
        <w:rPr>
          <w:color w:val="000000"/>
        </w:rPr>
        <w:t>%</w:t>
      </w:r>
      <w:r>
        <w:rPr>
          <w:color w:val="000000"/>
          <w:spacing w:val="5"/>
        </w:rPr>
        <w:t xml:space="preserve"> </w:t>
      </w:r>
      <w:r>
        <w:rPr>
          <w:color w:val="000000"/>
          <w:spacing w:val="-2"/>
        </w:rPr>
        <w:t>s</w:t>
      </w:r>
      <w:r>
        <w:rPr>
          <w:color w:val="000000"/>
        </w:rPr>
        <w:t>ud</w:t>
      </w:r>
      <w:r>
        <w:rPr>
          <w:color w:val="000000"/>
          <w:spacing w:val="-1"/>
        </w:rPr>
        <w:t>a</w:t>
      </w:r>
      <w:r>
        <w:rPr>
          <w:color w:val="000000"/>
          <w:spacing w:val="1"/>
        </w:rPr>
        <w:t>r</w:t>
      </w:r>
      <w:r>
        <w:rPr>
          <w:color w:val="000000"/>
        </w:rPr>
        <w:t>ė</w:t>
      </w:r>
      <w:r>
        <w:rPr>
          <w:color w:val="000000"/>
          <w:spacing w:val="1"/>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spacing w:val="4"/>
        </w:rPr>
        <w:t>a</w:t>
      </w:r>
      <w:r>
        <w:rPr>
          <w:color w:val="000000"/>
          <w:spacing w:val="-4"/>
        </w:rPr>
        <w:t>i</w:t>
      </w:r>
      <w:r>
        <w:rPr>
          <w:color w:val="000000"/>
        </w:rPr>
        <w:t>,</w:t>
      </w:r>
      <w:r>
        <w:rPr>
          <w:color w:val="000000"/>
          <w:spacing w:val="5"/>
        </w:rPr>
        <w:t xml:space="preserve"> </w:t>
      </w:r>
      <w:r>
        <w:rPr>
          <w:color w:val="000000"/>
        </w:rPr>
        <w:t>ku</w:t>
      </w:r>
      <w:r>
        <w:rPr>
          <w:color w:val="000000"/>
          <w:spacing w:val="6"/>
        </w:rPr>
        <w:t>r</w:t>
      </w:r>
      <w:r>
        <w:rPr>
          <w:color w:val="000000"/>
          <w:spacing w:val="-9"/>
        </w:rPr>
        <w:t>i</w:t>
      </w:r>
      <w:r>
        <w:rPr>
          <w:color w:val="000000"/>
        </w:rPr>
        <w:t>u</w:t>
      </w:r>
      <w:r>
        <w:rPr>
          <w:color w:val="000000"/>
          <w:spacing w:val="5"/>
        </w:rPr>
        <w:t>o</w:t>
      </w:r>
      <w:r>
        <w:rPr>
          <w:color w:val="000000"/>
          <w:spacing w:val="-2"/>
        </w:rPr>
        <w:t>s</w:t>
      </w:r>
      <w:r>
        <w:rPr>
          <w:color w:val="000000"/>
        </w:rPr>
        <w:t>e 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o</w:t>
      </w:r>
      <w:r>
        <w:rPr>
          <w:color w:val="000000"/>
          <w:spacing w:val="7"/>
        </w:rPr>
        <w:t xml:space="preserve">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rPr>
        <w:t>s</w:t>
      </w:r>
      <w:r>
        <w:rPr>
          <w:color w:val="000000"/>
          <w:spacing w:val="5"/>
        </w:rPr>
        <w:t xml:space="preserve"> </w:t>
      </w:r>
      <w:r>
        <w:rPr>
          <w:color w:val="000000"/>
          <w:spacing w:val="-5"/>
        </w:rPr>
        <w:t>n</w:t>
      </w:r>
      <w:r>
        <w:rPr>
          <w:color w:val="000000"/>
          <w:spacing w:val="4"/>
        </w:rPr>
        <w:t>e</w:t>
      </w:r>
      <w:r>
        <w:rPr>
          <w:color w:val="000000"/>
        </w:rPr>
        <w:t>v</w:t>
      </w:r>
      <w:r>
        <w:rPr>
          <w:color w:val="000000"/>
          <w:spacing w:val="-4"/>
        </w:rPr>
        <w:t>i</w:t>
      </w:r>
      <w:r>
        <w:rPr>
          <w:color w:val="000000"/>
          <w:spacing w:val="1"/>
        </w:rPr>
        <w:t>r</w:t>
      </w:r>
      <w:r>
        <w:rPr>
          <w:color w:val="000000"/>
          <w:spacing w:val="2"/>
        </w:rPr>
        <w:t>š</w:t>
      </w:r>
      <w:r>
        <w:rPr>
          <w:color w:val="000000"/>
        </w:rPr>
        <w:t>i</w:t>
      </w:r>
      <w:r>
        <w:rPr>
          <w:color w:val="000000"/>
          <w:spacing w:val="-9"/>
        </w:rPr>
        <w:t>j</w:t>
      </w:r>
      <w:r>
        <w:rPr>
          <w:color w:val="000000"/>
        </w:rPr>
        <w:t>o</w:t>
      </w:r>
      <w:r>
        <w:rPr>
          <w:color w:val="000000"/>
          <w:spacing w:val="7"/>
        </w:rPr>
        <w:t xml:space="preserve"> </w:t>
      </w:r>
      <w:r>
        <w:rPr>
          <w:color w:val="000000"/>
        </w:rPr>
        <w:t>5</w:t>
      </w:r>
      <w:r>
        <w:rPr>
          <w:color w:val="000000"/>
          <w:spacing w:val="2"/>
        </w:rPr>
        <w:t xml:space="preserve"> </w:t>
      </w:r>
      <w:r>
        <w:rPr>
          <w:color w:val="000000"/>
        </w:rPr>
        <w:t>g</w:t>
      </w:r>
      <w:r>
        <w:rPr>
          <w:color w:val="000000"/>
          <w:spacing w:val="1"/>
        </w:rPr>
        <w:t>r</w:t>
      </w:r>
      <w:r>
        <w:rPr>
          <w:color w:val="000000"/>
          <w:spacing w:val="4"/>
        </w:rPr>
        <w:t>a</w:t>
      </w:r>
      <w:r>
        <w:rPr>
          <w:color w:val="000000"/>
          <w:spacing w:val="-9"/>
        </w:rPr>
        <w:t>m</w:t>
      </w:r>
      <w:r>
        <w:rPr>
          <w:color w:val="000000"/>
          <w:spacing w:val="5"/>
        </w:rPr>
        <w:t>ų</w:t>
      </w:r>
      <w:r>
        <w:rPr>
          <w:color w:val="000000"/>
        </w:rPr>
        <w:t>.</w:t>
      </w:r>
      <w:r>
        <w:rPr>
          <w:color w:val="000000"/>
          <w:spacing w:val="4"/>
        </w:rPr>
        <w:t xml:space="preserve"> </w:t>
      </w:r>
      <w:r>
        <w:rPr>
          <w:color w:val="000000"/>
          <w:spacing w:val="-2"/>
        </w:rPr>
        <w:t>J</w:t>
      </w:r>
      <w:r>
        <w:rPr>
          <w:color w:val="000000"/>
          <w:spacing w:val="4"/>
        </w:rPr>
        <w:t>e</w:t>
      </w:r>
      <w:r>
        <w:rPr>
          <w:color w:val="000000"/>
          <w:spacing w:val="-4"/>
        </w:rPr>
        <w:t>i</w:t>
      </w:r>
      <w:r>
        <w:rPr>
          <w:color w:val="000000"/>
        </w:rPr>
        <w:t>gu</w:t>
      </w:r>
      <w:r>
        <w:rPr>
          <w:color w:val="000000"/>
          <w:spacing w:val="2"/>
        </w:rPr>
        <w:t xml:space="preserve"> </w:t>
      </w:r>
      <w:r>
        <w:rPr>
          <w:color w:val="000000"/>
          <w:spacing w:val="5"/>
        </w:rPr>
        <w:t>t</w:t>
      </w:r>
      <w:r>
        <w:rPr>
          <w:color w:val="000000"/>
          <w:spacing w:val="4"/>
        </w:rPr>
        <w:t>e</w:t>
      </w:r>
      <w:r>
        <w:rPr>
          <w:color w:val="000000"/>
          <w:spacing w:val="-9"/>
        </w:rPr>
        <w:t>i</w:t>
      </w:r>
      <w:r>
        <w:rPr>
          <w:color w:val="000000"/>
        </w:rPr>
        <w:t>s</w:t>
      </w:r>
      <w:r>
        <w:rPr>
          <w:color w:val="000000"/>
          <w:spacing w:val="4"/>
        </w:rPr>
        <w:t>ė</w:t>
      </w:r>
      <w:r>
        <w:rPr>
          <w:color w:val="000000"/>
          <w:spacing w:val="2"/>
        </w:rPr>
        <w:t>s</w:t>
      </w:r>
      <w:r>
        <w:rPr>
          <w:color w:val="000000"/>
          <w:spacing w:val="-1"/>
        </w:rPr>
        <w:t>a</w:t>
      </w:r>
      <w:r>
        <w:rPr>
          <w:color w:val="000000"/>
        </w:rPr>
        <w:t>ug</w:t>
      </w:r>
      <w:r>
        <w:rPr>
          <w:color w:val="000000"/>
          <w:spacing w:val="5"/>
        </w:rPr>
        <w:t>o</w:t>
      </w:r>
      <w:r>
        <w:rPr>
          <w:color w:val="000000"/>
        </w:rPr>
        <w:t>s p</w:t>
      </w:r>
      <w:r>
        <w:rPr>
          <w:color w:val="000000"/>
          <w:spacing w:val="-1"/>
        </w:rPr>
        <w:t>a</w:t>
      </w:r>
      <w:r>
        <w:rPr>
          <w:color w:val="000000"/>
          <w:spacing w:val="1"/>
        </w:rPr>
        <w:t>r</w:t>
      </w:r>
      <w:r>
        <w:rPr>
          <w:color w:val="000000"/>
          <w:spacing w:val="-1"/>
        </w:rPr>
        <w:t>e</w:t>
      </w:r>
      <w:r>
        <w:rPr>
          <w:color w:val="000000"/>
          <w:spacing w:val="-9"/>
        </w:rPr>
        <w:t>i</w:t>
      </w:r>
      <w:r>
        <w:rPr>
          <w:color w:val="000000"/>
        </w:rPr>
        <w:t>g</w:t>
      </w:r>
      <w:r>
        <w:rPr>
          <w:color w:val="000000"/>
          <w:spacing w:val="5"/>
        </w:rPr>
        <w:t>ū</w:t>
      </w:r>
      <w:r>
        <w:rPr>
          <w:color w:val="000000"/>
          <w:spacing w:val="-5"/>
        </w:rPr>
        <w:t>n</w:t>
      </w:r>
      <w:r>
        <w:rPr>
          <w:color w:val="000000"/>
          <w:spacing w:val="4"/>
        </w:rPr>
        <w:t>a</w:t>
      </w:r>
      <w:r>
        <w:rPr>
          <w:color w:val="000000"/>
        </w:rPr>
        <w:t>i</w:t>
      </w:r>
      <w:r>
        <w:rPr>
          <w:color w:val="000000"/>
          <w:spacing w:val="3"/>
        </w:rPr>
        <w:t xml:space="preserve"> </w:t>
      </w:r>
      <w:r>
        <w:rPr>
          <w:color w:val="000000"/>
          <w:spacing w:val="-4"/>
        </w:rPr>
        <w:t>i</w:t>
      </w:r>
      <w:r>
        <w:rPr>
          <w:color w:val="000000"/>
          <w:spacing w:val="2"/>
        </w:rPr>
        <w:t>š</w:t>
      </w:r>
      <w:r>
        <w:rPr>
          <w:color w:val="000000"/>
        </w:rPr>
        <w:t>i</w:t>
      </w:r>
      <w:r>
        <w:rPr>
          <w:color w:val="000000"/>
          <w:spacing w:val="-4"/>
        </w:rPr>
        <w:t>m</w:t>
      </w:r>
      <w:r>
        <w:rPr>
          <w:color w:val="000000"/>
        </w:rPr>
        <w:t xml:space="preserve">a </w:t>
      </w:r>
      <w:r>
        <w:rPr>
          <w:color w:val="000000"/>
          <w:spacing w:val="5"/>
        </w:rPr>
        <w:t>d</w:t>
      </w:r>
      <w:r>
        <w:rPr>
          <w:color w:val="000000"/>
          <w:spacing w:val="-9"/>
        </w:rPr>
        <w:t>i</w:t>
      </w:r>
      <w:r>
        <w:rPr>
          <w:color w:val="000000"/>
        </w:rPr>
        <w:t>d</w:t>
      </w:r>
      <w:r>
        <w:rPr>
          <w:color w:val="000000"/>
          <w:spacing w:val="4"/>
        </w:rPr>
        <w:t>e</w:t>
      </w:r>
      <w:r>
        <w:rPr>
          <w:color w:val="000000"/>
          <w:spacing w:val="2"/>
        </w:rPr>
        <w:t>s</w:t>
      </w:r>
      <w:r>
        <w:rPr>
          <w:color w:val="000000"/>
        </w:rPr>
        <w:t>n</w:t>
      </w:r>
      <w:r>
        <w:rPr>
          <w:color w:val="000000"/>
          <w:spacing w:val="-9"/>
        </w:rPr>
        <w:t>i</w:t>
      </w:r>
      <w:r>
        <w:rPr>
          <w:color w:val="000000"/>
          <w:spacing w:val="5"/>
        </w:rPr>
        <w:t>u</w:t>
      </w:r>
      <w:r>
        <w:rPr>
          <w:color w:val="000000"/>
        </w:rPr>
        <w:t>s</w:t>
      </w:r>
      <w:r>
        <w:rPr>
          <w:color w:val="000000"/>
          <w:spacing w:val="2"/>
        </w:rPr>
        <w:t xml:space="preserve"> š</w:t>
      </w:r>
      <w:r>
        <w:rPr>
          <w:color w:val="000000"/>
          <w:spacing w:val="-9"/>
        </w:rPr>
        <w:t>i</w:t>
      </w:r>
      <w:r>
        <w:rPr>
          <w:color w:val="000000"/>
        </w:rPr>
        <w:t>o</w:t>
      </w:r>
      <w:r>
        <w:rPr>
          <w:color w:val="000000"/>
          <w:spacing w:val="9"/>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ko</w:t>
      </w:r>
      <w:r>
        <w:rPr>
          <w:color w:val="000000"/>
          <w:spacing w:val="4"/>
        </w:rPr>
        <w:t xml:space="preserve">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rPr>
        <w:t>us</w:t>
      </w:r>
      <w:r>
        <w:rPr>
          <w:color w:val="000000"/>
          <w:spacing w:val="7"/>
        </w:rPr>
        <w:t xml:space="preserve"> </w:t>
      </w:r>
      <w:r>
        <w:rPr>
          <w:color w:val="000000"/>
        </w:rPr>
        <w:t>– k</w:t>
      </w:r>
      <w:r>
        <w:rPr>
          <w:color w:val="000000"/>
          <w:spacing w:val="4"/>
        </w:rPr>
        <w:t>e</w:t>
      </w:r>
      <w:r>
        <w:rPr>
          <w:color w:val="000000"/>
        </w:rPr>
        <w:t>l</w:t>
      </w:r>
      <w:r>
        <w:rPr>
          <w:color w:val="000000"/>
          <w:spacing w:val="-4"/>
        </w:rPr>
        <w:t>i</w:t>
      </w:r>
      <w:r>
        <w:rPr>
          <w:color w:val="000000"/>
        </w:rPr>
        <w:t>s</w:t>
      </w:r>
      <w:r>
        <w:rPr>
          <w:color w:val="000000"/>
          <w:spacing w:val="2"/>
        </w:rPr>
        <w:t xml:space="preserve"> </w:t>
      </w:r>
      <w:r>
        <w:rPr>
          <w:color w:val="000000"/>
          <w:spacing w:val="-1"/>
        </w:rPr>
        <w:t>a</w:t>
      </w:r>
      <w:r>
        <w:rPr>
          <w:color w:val="000000"/>
        </w:rPr>
        <w:t>r</w:t>
      </w:r>
      <w:r>
        <w:rPr>
          <w:color w:val="000000"/>
          <w:spacing w:val="1"/>
        </w:rPr>
        <w:t xml:space="preserve"> </w:t>
      </w:r>
      <w:r>
        <w:rPr>
          <w:color w:val="000000"/>
        </w:rPr>
        <w:t>k</w:t>
      </w:r>
      <w:r>
        <w:rPr>
          <w:color w:val="000000"/>
          <w:spacing w:val="4"/>
        </w:rPr>
        <w:t>e</w:t>
      </w:r>
      <w:r>
        <w:rPr>
          <w:color w:val="000000"/>
        </w:rPr>
        <w:t>l</w:t>
      </w:r>
      <w:r>
        <w:rPr>
          <w:color w:val="000000"/>
          <w:spacing w:val="-4"/>
        </w:rPr>
        <w:t>i</w:t>
      </w:r>
      <w:r>
        <w:rPr>
          <w:color w:val="000000"/>
          <w:spacing w:val="-1"/>
        </w:rPr>
        <w:t>a</w:t>
      </w:r>
      <w:r>
        <w:rPr>
          <w:color w:val="000000"/>
          <w:spacing w:val="2"/>
        </w:rPr>
        <w:t>s</w:t>
      </w:r>
      <w:r>
        <w:rPr>
          <w:color w:val="000000"/>
        </w:rPr>
        <w:t>d</w:t>
      </w:r>
      <w:r>
        <w:rPr>
          <w:color w:val="000000"/>
          <w:spacing w:val="-1"/>
        </w:rPr>
        <w:t>e</w:t>
      </w:r>
      <w:r>
        <w:rPr>
          <w:color w:val="000000"/>
          <w:spacing w:val="2"/>
        </w:rPr>
        <w:t>š</w:t>
      </w:r>
      <w:r>
        <w:rPr>
          <w:color w:val="000000"/>
          <w:spacing w:val="-4"/>
        </w:rPr>
        <w:t>i</w:t>
      </w:r>
      <w:r>
        <w:rPr>
          <w:color w:val="000000"/>
          <w:spacing w:val="-9"/>
        </w:rPr>
        <w:t>m</w:t>
      </w:r>
      <w:r>
        <w:rPr>
          <w:color w:val="000000"/>
        </w:rPr>
        <w:t>t</w:t>
      </w:r>
      <w:r>
        <w:rPr>
          <w:color w:val="000000"/>
          <w:spacing w:val="9"/>
        </w:rPr>
        <w:t xml:space="preserve"> </w:t>
      </w:r>
      <w:r>
        <w:rPr>
          <w:color w:val="000000"/>
          <w:spacing w:val="5"/>
        </w:rPr>
        <w:t>k</w:t>
      </w:r>
      <w:r>
        <w:rPr>
          <w:color w:val="000000"/>
          <w:spacing w:val="-4"/>
        </w:rPr>
        <w:t>i</w:t>
      </w:r>
      <w:r>
        <w:rPr>
          <w:color w:val="000000"/>
          <w:spacing w:val="-9"/>
        </w:rPr>
        <w:t>l</w:t>
      </w:r>
      <w:r>
        <w:rPr>
          <w:color w:val="000000"/>
          <w:spacing w:val="5"/>
        </w:rPr>
        <w:t>o</w:t>
      </w:r>
      <w:r>
        <w:rPr>
          <w:color w:val="000000"/>
        </w:rPr>
        <w:t>g</w:t>
      </w:r>
      <w:r>
        <w:rPr>
          <w:color w:val="000000"/>
          <w:spacing w:val="1"/>
        </w:rPr>
        <w:t>r</w:t>
      </w:r>
      <w:r>
        <w:rPr>
          <w:color w:val="000000"/>
          <w:spacing w:val="4"/>
        </w:rPr>
        <w:t>a</w:t>
      </w:r>
      <w:r>
        <w:rPr>
          <w:color w:val="000000"/>
          <w:spacing w:val="-4"/>
        </w:rPr>
        <w:t>m</w:t>
      </w:r>
      <w:r>
        <w:rPr>
          <w:color w:val="000000"/>
        </w:rPr>
        <w:t>ų</w:t>
      </w:r>
      <w:r>
        <w:rPr>
          <w:color w:val="000000"/>
          <w:spacing w:val="5"/>
        </w:rPr>
        <w:t xml:space="preserve"> </w:t>
      </w:r>
      <w:r>
        <w:rPr>
          <w:color w:val="000000"/>
        </w:rPr>
        <w:t>–</w:t>
      </w:r>
      <w:r>
        <w:rPr>
          <w:color w:val="000000"/>
          <w:spacing w:val="9"/>
        </w:rPr>
        <w:t xml:space="preserve"> </w:t>
      </w:r>
      <w:r>
        <w:rPr>
          <w:color w:val="000000"/>
        </w:rPr>
        <w:t>j</w:t>
      </w:r>
      <w:r>
        <w:rPr>
          <w:color w:val="000000"/>
          <w:spacing w:val="-4"/>
        </w:rPr>
        <w:t>i</w:t>
      </w:r>
      <w:r>
        <w:rPr>
          <w:color w:val="000000"/>
        </w:rPr>
        <w:t>e p</w:t>
      </w:r>
      <w:r>
        <w:rPr>
          <w:color w:val="000000"/>
          <w:spacing w:val="-1"/>
        </w:rPr>
        <w:t>a</w:t>
      </w:r>
      <w:r>
        <w:rPr>
          <w:color w:val="000000"/>
        </w:rPr>
        <w:t>p</w:t>
      </w:r>
      <w:r>
        <w:rPr>
          <w:color w:val="000000"/>
          <w:spacing w:val="1"/>
        </w:rPr>
        <w:t>r</w:t>
      </w:r>
      <w:r>
        <w:rPr>
          <w:color w:val="000000"/>
          <w:spacing w:val="-1"/>
        </w:rPr>
        <w:t>a</w:t>
      </w:r>
      <w:r>
        <w:rPr>
          <w:color w:val="000000"/>
          <w:spacing w:val="-2"/>
        </w:rPr>
        <w:t>s</w:t>
      </w:r>
      <w:r>
        <w:rPr>
          <w:color w:val="000000"/>
          <w:spacing w:val="5"/>
        </w:rPr>
        <w:t>t</w:t>
      </w:r>
      <w:r>
        <w:rPr>
          <w:color w:val="000000"/>
          <w:spacing w:val="-1"/>
        </w:rPr>
        <w:t>a</w:t>
      </w:r>
      <w:r>
        <w:rPr>
          <w:color w:val="000000"/>
        </w:rPr>
        <w:t>i</w:t>
      </w:r>
      <w:r>
        <w:rPr>
          <w:color w:val="000000"/>
          <w:spacing w:val="2"/>
        </w:rPr>
        <w:t xml:space="preserve"> </w:t>
      </w:r>
      <w:r>
        <w:rPr>
          <w:color w:val="000000"/>
          <w:spacing w:val="-5"/>
        </w:rPr>
        <w:t>b</w:t>
      </w:r>
      <w:r>
        <w:rPr>
          <w:color w:val="000000"/>
          <w:spacing w:val="5"/>
        </w:rPr>
        <w:t>ū</w:t>
      </w:r>
      <w:r>
        <w:rPr>
          <w:color w:val="000000"/>
          <w:spacing w:val="-5"/>
        </w:rPr>
        <w:t>n</w:t>
      </w:r>
      <w:r>
        <w:rPr>
          <w:color w:val="000000"/>
        </w:rPr>
        <w:t>a</w:t>
      </w:r>
      <w:r>
        <w:rPr>
          <w:color w:val="000000"/>
          <w:spacing w:val="5"/>
        </w:rPr>
        <w:t xml:space="preserve"> </w:t>
      </w:r>
      <w:r>
        <w:rPr>
          <w:color w:val="000000"/>
          <w:spacing w:val="-2"/>
        </w:rPr>
        <w:t>s</w:t>
      </w:r>
      <w:r>
        <w:rPr>
          <w:color w:val="000000"/>
          <w:spacing w:val="5"/>
        </w:rPr>
        <w:t>k</w:t>
      </w:r>
      <w:r>
        <w:rPr>
          <w:color w:val="000000"/>
          <w:spacing w:val="-4"/>
        </w:rPr>
        <w:t>i</w:t>
      </w:r>
      <w:r>
        <w:rPr>
          <w:color w:val="000000"/>
          <w:spacing w:val="1"/>
        </w:rPr>
        <w:t>r</w:t>
      </w:r>
      <w:r>
        <w:rPr>
          <w:color w:val="000000"/>
          <w:spacing w:val="5"/>
        </w:rPr>
        <w:t>t</w:t>
      </w:r>
      <w:r>
        <w:rPr>
          <w:color w:val="000000"/>
        </w:rPr>
        <w:t>i</w:t>
      </w:r>
      <w:r>
        <w:rPr>
          <w:color w:val="000000"/>
          <w:spacing w:val="2"/>
        </w:rPr>
        <w:t xml:space="preserve"> </w:t>
      </w:r>
      <w:r>
        <w:rPr>
          <w:color w:val="000000"/>
          <w:spacing w:val="-5"/>
        </w:rPr>
        <w:t>n</w:t>
      </w:r>
      <w:r>
        <w:rPr>
          <w:color w:val="000000"/>
        </w:rPr>
        <w:t>e</w:t>
      </w:r>
      <w:r>
        <w:rPr>
          <w:color w:val="000000"/>
          <w:spacing w:val="6"/>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6"/>
        </w:rPr>
        <w:t>r</w:t>
      </w:r>
      <w:r>
        <w:rPr>
          <w:color w:val="000000"/>
          <w:spacing w:val="-4"/>
        </w:rPr>
        <w:t>i</w:t>
      </w:r>
      <w:r>
        <w:rPr>
          <w:color w:val="000000"/>
          <w:spacing w:val="-5"/>
        </w:rPr>
        <w:t>n</w:t>
      </w:r>
      <w:r>
        <w:rPr>
          <w:color w:val="000000"/>
        </w:rPr>
        <w:t>k</w:t>
      </w:r>
      <w:r>
        <w:rPr>
          <w:color w:val="000000"/>
          <w:spacing w:val="4"/>
        </w:rPr>
        <w:t>a</w:t>
      </w:r>
      <w:r>
        <w:rPr>
          <w:color w:val="000000"/>
          <w:spacing w:val="-4"/>
        </w:rPr>
        <w:t>i</w:t>
      </w:r>
      <w:r>
        <w:rPr>
          <w:color w:val="000000"/>
        </w:rPr>
        <w:t>.</w:t>
      </w:r>
      <w:r>
        <w:rPr>
          <w:color w:val="000000"/>
          <w:spacing w:val="9"/>
        </w:rPr>
        <w:t xml:space="preserve"> </w:t>
      </w:r>
      <w:r>
        <w:rPr>
          <w:color w:val="000000"/>
          <w:spacing w:val="-2"/>
        </w:rPr>
        <w:t>J</w:t>
      </w:r>
      <w:r>
        <w:rPr>
          <w:color w:val="000000"/>
          <w:spacing w:val="-1"/>
        </w:rPr>
        <w:t>a</w:t>
      </w:r>
      <w:r>
        <w:rPr>
          <w:color w:val="000000"/>
        </w:rPr>
        <w:t>u</w:t>
      </w:r>
      <w:r>
        <w:rPr>
          <w:color w:val="000000"/>
          <w:spacing w:val="2"/>
        </w:rPr>
        <w:t xml:space="preserve"> </w:t>
      </w:r>
      <w:r>
        <w:rPr>
          <w:color w:val="000000"/>
          <w:spacing w:val="5"/>
        </w:rPr>
        <w:t>t</w:t>
      </w:r>
      <w:r>
        <w:rPr>
          <w:color w:val="000000"/>
          <w:spacing w:val="1"/>
        </w:rPr>
        <w:t>r</w:t>
      </w:r>
      <w:r>
        <w:rPr>
          <w:color w:val="000000"/>
          <w:spacing w:val="-1"/>
        </w:rPr>
        <w:t>a</w:t>
      </w:r>
      <w:r>
        <w:rPr>
          <w:color w:val="000000"/>
          <w:spacing w:val="5"/>
        </w:rPr>
        <w:t>d</w:t>
      </w:r>
      <w:r>
        <w:rPr>
          <w:color w:val="000000"/>
          <w:spacing w:val="-9"/>
        </w:rPr>
        <w:t>i</w:t>
      </w:r>
      <w:r>
        <w:rPr>
          <w:color w:val="000000"/>
          <w:spacing w:val="4"/>
        </w:rPr>
        <w:t>c</w:t>
      </w:r>
      <w:r>
        <w:rPr>
          <w:color w:val="000000"/>
          <w:spacing w:val="-4"/>
        </w:rPr>
        <w:t>i</w:t>
      </w:r>
      <w:r>
        <w:rPr>
          <w:color w:val="000000"/>
          <w:spacing w:val="2"/>
        </w:rPr>
        <w:t>š</w:t>
      </w:r>
      <w:r>
        <w:rPr>
          <w:color w:val="000000"/>
        </w:rPr>
        <w:t>k</w:t>
      </w:r>
      <w:r>
        <w:rPr>
          <w:color w:val="000000"/>
          <w:spacing w:val="4"/>
        </w:rPr>
        <w:t>a</w:t>
      </w:r>
      <w:r>
        <w:rPr>
          <w:color w:val="000000"/>
          <w:spacing w:val="-9"/>
        </w:rPr>
        <w:t>i</w:t>
      </w:r>
      <w:r>
        <w:rPr>
          <w:color w:val="000000"/>
        </w:rPr>
        <w:t>,</w:t>
      </w:r>
      <w:r>
        <w:rPr>
          <w:color w:val="000000"/>
          <w:spacing w:val="9"/>
        </w:rPr>
        <w:t xml:space="preserve"> </w:t>
      </w:r>
      <w:r>
        <w:rPr>
          <w:color w:val="000000"/>
          <w:spacing w:val="5"/>
        </w:rPr>
        <w:t>d</w:t>
      </w:r>
      <w:r>
        <w:rPr>
          <w:color w:val="000000"/>
          <w:spacing w:val="-4"/>
        </w:rPr>
        <w:t>i</w:t>
      </w:r>
      <w:r>
        <w:rPr>
          <w:color w:val="000000"/>
        </w:rPr>
        <w:t>d</w:t>
      </w:r>
      <w:r>
        <w:rPr>
          <w:color w:val="000000"/>
          <w:spacing w:val="4"/>
        </w:rPr>
        <w:t>ž</w:t>
      </w:r>
      <w:r>
        <w:rPr>
          <w:color w:val="000000"/>
          <w:spacing w:val="-9"/>
        </w:rPr>
        <w:t>i</w:t>
      </w:r>
      <w:r>
        <w:rPr>
          <w:color w:val="000000"/>
          <w:spacing w:val="9"/>
        </w:rPr>
        <w:t>o</w:t>
      </w:r>
      <w:r>
        <w:rPr>
          <w:color w:val="000000"/>
          <w:spacing w:val="-4"/>
        </w:rPr>
        <w:t>j</w:t>
      </w:r>
      <w:r>
        <w:rPr>
          <w:color w:val="000000"/>
        </w:rPr>
        <w:t>i</w:t>
      </w:r>
      <w:r>
        <w:rPr>
          <w:color w:val="000000"/>
          <w:spacing w:val="2"/>
        </w:rPr>
        <w:t xml:space="preserve"> </w:t>
      </w:r>
      <w:r>
        <w:rPr>
          <w:color w:val="000000"/>
        </w:rPr>
        <w:t>d</w:t>
      </w:r>
      <w:r>
        <w:rPr>
          <w:color w:val="000000"/>
          <w:spacing w:val="4"/>
        </w:rPr>
        <w:t>a</w:t>
      </w:r>
      <w:r>
        <w:rPr>
          <w:color w:val="000000"/>
        </w:rPr>
        <w:t>l</w:t>
      </w:r>
      <w:r>
        <w:rPr>
          <w:color w:val="000000"/>
          <w:spacing w:val="-4"/>
        </w:rPr>
        <w:t>i</w:t>
      </w:r>
      <w:r>
        <w:rPr>
          <w:color w:val="000000"/>
        </w:rPr>
        <w:t>s 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o</w:t>
      </w:r>
      <w:r>
        <w:rPr>
          <w:color w:val="000000"/>
          <w:spacing w:val="6"/>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ų</w:t>
      </w:r>
      <w:r>
        <w:rPr>
          <w:color w:val="000000"/>
          <w:spacing w:val="6"/>
        </w:rPr>
        <w:t xml:space="preserve"> </w:t>
      </w:r>
      <w:r>
        <w:rPr>
          <w:color w:val="000000"/>
          <w:spacing w:val="-5"/>
        </w:rPr>
        <w:t>b</w:t>
      </w:r>
      <w:r>
        <w:rPr>
          <w:color w:val="000000"/>
          <w:spacing w:val="5"/>
        </w:rPr>
        <w:t>u</w:t>
      </w:r>
      <w:r>
        <w:rPr>
          <w:color w:val="000000"/>
          <w:spacing w:val="-5"/>
        </w:rPr>
        <w:t>v</w:t>
      </w:r>
      <w:r>
        <w:rPr>
          <w:color w:val="000000"/>
        </w:rPr>
        <w:t>o</w:t>
      </w:r>
      <w:r>
        <w:rPr>
          <w:color w:val="000000"/>
          <w:spacing w:val="6"/>
        </w:rPr>
        <w:t xml:space="preserve"> </w:t>
      </w:r>
      <w:r>
        <w:rPr>
          <w:color w:val="000000"/>
          <w:spacing w:val="-1"/>
        </w:rPr>
        <w:t>a</w:t>
      </w:r>
      <w:r>
        <w:rPr>
          <w:color w:val="000000"/>
          <w:spacing w:val="10"/>
        </w:rPr>
        <w:t>t</w:t>
      </w:r>
      <w:r>
        <w:rPr>
          <w:color w:val="000000"/>
          <w:spacing w:val="-4"/>
        </w:rPr>
        <w:t>li</w:t>
      </w:r>
      <w:r>
        <w:rPr>
          <w:color w:val="000000"/>
        </w:rPr>
        <w:t>k</w:t>
      </w:r>
      <w:r>
        <w:rPr>
          <w:color w:val="000000"/>
          <w:spacing w:val="5"/>
        </w:rPr>
        <w:t>t</w:t>
      </w:r>
      <w:r>
        <w:rPr>
          <w:color w:val="000000"/>
        </w:rPr>
        <w:t xml:space="preserve">a </w:t>
      </w:r>
      <w:r>
        <w:rPr>
          <w:color w:val="000000"/>
          <w:spacing w:val="5"/>
        </w:rPr>
        <w:t>d</w:t>
      </w:r>
      <w:r>
        <w:rPr>
          <w:color w:val="000000"/>
          <w:spacing w:val="-9"/>
        </w:rPr>
        <w:t>i</w:t>
      </w:r>
      <w:r>
        <w:rPr>
          <w:color w:val="000000"/>
        </w:rPr>
        <w:t>d</w:t>
      </w:r>
      <w:r>
        <w:rPr>
          <w:color w:val="000000"/>
          <w:spacing w:val="4"/>
        </w:rPr>
        <w:t>ž</w:t>
      </w:r>
      <w:r>
        <w:rPr>
          <w:color w:val="000000"/>
          <w:spacing w:val="-4"/>
        </w:rPr>
        <w:t>i</w:t>
      </w:r>
      <w:r>
        <w:rPr>
          <w:color w:val="000000"/>
        </w:rPr>
        <w:t>u</w:t>
      </w:r>
      <w:r>
        <w:rPr>
          <w:color w:val="000000"/>
          <w:spacing w:val="5"/>
        </w:rPr>
        <w:t>o</w:t>
      </w:r>
      <w:r>
        <w:rPr>
          <w:color w:val="000000"/>
          <w:spacing w:val="2"/>
        </w:rPr>
        <w:t>s</w:t>
      </w:r>
      <w:r>
        <w:rPr>
          <w:color w:val="000000"/>
          <w:spacing w:val="-4"/>
        </w:rPr>
        <w:t>i</w:t>
      </w:r>
      <w:r>
        <w:rPr>
          <w:color w:val="000000"/>
        </w:rPr>
        <w:t>u</w:t>
      </w:r>
      <w:r>
        <w:rPr>
          <w:color w:val="000000"/>
          <w:spacing w:val="5"/>
        </w:rPr>
        <w:t>o</w:t>
      </w:r>
      <w:r>
        <w:rPr>
          <w:color w:val="000000"/>
          <w:spacing w:val="-2"/>
        </w:rPr>
        <w:t>s</w:t>
      </w:r>
      <w:r>
        <w:rPr>
          <w:color w:val="000000"/>
        </w:rPr>
        <w:t xml:space="preserve">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4"/>
        </w:rPr>
        <w:t xml:space="preserve"> </w:t>
      </w:r>
      <w:r>
        <w:rPr>
          <w:color w:val="000000"/>
        </w:rPr>
        <w:t>m</w:t>
      </w:r>
      <w:r>
        <w:rPr>
          <w:color w:val="000000"/>
          <w:spacing w:val="-4"/>
        </w:rPr>
        <w:t>i</w:t>
      </w:r>
      <w:r>
        <w:rPr>
          <w:color w:val="000000"/>
          <w:spacing w:val="-1"/>
        </w:rPr>
        <w:t>e</w:t>
      </w:r>
      <w:r>
        <w:rPr>
          <w:color w:val="000000"/>
          <w:spacing w:val="-2"/>
        </w:rPr>
        <w:t>s</w:t>
      </w:r>
      <w:r>
        <w:rPr>
          <w:color w:val="000000"/>
          <w:spacing w:val="5"/>
        </w:rPr>
        <w:t>t</w:t>
      </w:r>
      <w:r>
        <w:rPr>
          <w:color w:val="000000"/>
        </w:rPr>
        <w:t>u</w:t>
      </w:r>
      <w:r>
        <w:rPr>
          <w:color w:val="000000"/>
          <w:spacing w:val="5"/>
        </w:rPr>
        <w:t>o</w:t>
      </w:r>
      <w:r>
        <w:rPr>
          <w:color w:val="000000"/>
          <w:spacing w:val="-2"/>
        </w:rPr>
        <w:t>s</w:t>
      </w:r>
      <w:r>
        <w:rPr>
          <w:color w:val="000000"/>
        </w:rPr>
        <w:t>e</w:t>
      </w:r>
      <w:r>
        <w:rPr>
          <w:color w:val="000000"/>
          <w:spacing w:val="9"/>
        </w:rPr>
        <w:t xml:space="preserve"> </w:t>
      </w:r>
      <w:r>
        <w:rPr>
          <w:color w:val="000000"/>
        </w:rPr>
        <w:t xml:space="preserve">- </w:t>
      </w:r>
      <w:r>
        <w:rPr>
          <w:color w:val="000000"/>
          <w:spacing w:val="4"/>
        </w:rPr>
        <w:t>V</w:t>
      </w:r>
      <w:r>
        <w:rPr>
          <w:color w:val="000000"/>
          <w:spacing w:val="-4"/>
        </w:rPr>
        <w:t>il</w:t>
      </w:r>
      <w:r>
        <w:rPr>
          <w:color w:val="000000"/>
          <w:spacing w:val="5"/>
        </w:rPr>
        <w:t>n</w:t>
      </w:r>
      <w:r>
        <w:rPr>
          <w:color w:val="000000"/>
          <w:spacing w:val="-4"/>
        </w:rPr>
        <w:t>i</w:t>
      </w:r>
      <w:r>
        <w:rPr>
          <w:color w:val="000000"/>
          <w:spacing w:val="5"/>
        </w:rPr>
        <w:t>u</w:t>
      </w:r>
      <w:r>
        <w:rPr>
          <w:color w:val="000000"/>
          <w:spacing w:val="-4"/>
        </w:rPr>
        <w:t>j</w:t>
      </w:r>
      <w:r>
        <w:rPr>
          <w:color w:val="000000"/>
          <w:spacing w:val="-1"/>
        </w:rPr>
        <w:t>e</w:t>
      </w:r>
      <w:r>
        <w:rPr>
          <w:color w:val="000000"/>
        </w:rPr>
        <w:t>,</w:t>
      </w:r>
      <w:r>
        <w:rPr>
          <w:color w:val="000000"/>
          <w:spacing w:val="6"/>
        </w:rPr>
        <w:t xml:space="preserve"> </w:t>
      </w:r>
      <w:r>
        <w:rPr>
          <w:color w:val="000000"/>
        </w:rPr>
        <w:t>K</w:t>
      </w:r>
      <w:r>
        <w:rPr>
          <w:color w:val="000000"/>
          <w:spacing w:val="-1"/>
        </w:rPr>
        <w:t>a</w:t>
      </w:r>
      <w:r>
        <w:rPr>
          <w:color w:val="000000"/>
          <w:spacing w:val="5"/>
        </w:rPr>
        <w:t>u</w:t>
      </w:r>
      <w:r>
        <w:rPr>
          <w:color w:val="000000"/>
          <w:spacing w:val="-5"/>
        </w:rPr>
        <w:t>n</w:t>
      </w:r>
      <w:r>
        <w:rPr>
          <w:color w:val="000000"/>
        </w:rPr>
        <w:t>e</w:t>
      </w:r>
      <w:r>
        <w:rPr>
          <w:color w:val="000000"/>
          <w:spacing w:val="8"/>
        </w:rPr>
        <w:t xml:space="preserve"> </w:t>
      </w:r>
      <w:r>
        <w:rPr>
          <w:color w:val="000000"/>
          <w:spacing w:val="-6"/>
        </w:rPr>
        <w:t>i</w:t>
      </w:r>
      <w:r>
        <w:rPr>
          <w:color w:val="000000"/>
        </w:rPr>
        <w:t>r</w:t>
      </w:r>
      <w:r>
        <w:rPr>
          <w:color w:val="000000"/>
          <w:spacing w:val="10"/>
        </w:rPr>
        <w:t xml:space="preserve"> </w:t>
      </w:r>
      <w:r>
        <w:rPr>
          <w:color w:val="000000"/>
        </w:rPr>
        <w:t>K</w:t>
      </w:r>
      <w:r>
        <w:rPr>
          <w:color w:val="000000"/>
          <w:spacing w:val="-5"/>
        </w:rPr>
        <w:t>l</w:t>
      </w:r>
      <w:r>
        <w:rPr>
          <w:color w:val="000000"/>
          <w:spacing w:val="4"/>
        </w:rPr>
        <w:t>a</w:t>
      </w:r>
      <w:r>
        <w:rPr>
          <w:color w:val="000000"/>
          <w:spacing w:val="-4"/>
        </w:rPr>
        <w:t>i</w:t>
      </w:r>
      <w:r>
        <w:rPr>
          <w:color w:val="000000"/>
        </w:rPr>
        <w:t>p</w:t>
      </w:r>
      <w:r>
        <w:rPr>
          <w:color w:val="000000"/>
          <w:spacing w:val="-1"/>
        </w:rPr>
        <w:t>ė</w:t>
      </w:r>
      <w:r>
        <w:rPr>
          <w:color w:val="000000"/>
        </w:rPr>
        <w:t>d</w:t>
      </w:r>
      <w:r>
        <w:rPr>
          <w:color w:val="000000"/>
          <w:spacing w:val="9"/>
        </w:rPr>
        <w:t>o</w:t>
      </w:r>
      <w:r>
        <w:rPr>
          <w:color w:val="000000"/>
          <w:spacing w:val="-9"/>
        </w:rPr>
        <w:t>j</w:t>
      </w:r>
      <w:r>
        <w:rPr>
          <w:color w:val="000000"/>
          <w:spacing w:val="-1"/>
        </w:rPr>
        <w:t>e</w:t>
      </w:r>
      <w:r>
        <w:rPr>
          <w:color w:val="000000"/>
        </w:rPr>
        <w:t>.</w:t>
      </w:r>
      <w:r>
        <w:rPr>
          <w:color w:val="000000"/>
          <w:spacing w:val="6"/>
        </w:rPr>
        <w:t xml:space="preserve"> </w:t>
      </w:r>
      <w:r>
        <w:rPr>
          <w:color w:val="000000"/>
          <w:spacing w:val="1"/>
        </w:rPr>
        <w:t>P</w:t>
      </w:r>
      <w:r>
        <w:rPr>
          <w:color w:val="000000"/>
          <w:spacing w:val="4"/>
        </w:rPr>
        <w:t>a</w:t>
      </w:r>
      <w:r>
        <w:rPr>
          <w:color w:val="000000"/>
        </w:rPr>
        <w:t>v</w:t>
      </w:r>
      <w:r>
        <w:rPr>
          <w:color w:val="000000"/>
          <w:spacing w:val="-4"/>
        </w:rPr>
        <w:t>i</w:t>
      </w:r>
      <w:r>
        <w:rPr>
          <w:color w:val="000000"/>
          <w:spacing w:val="4"/>
        </w:rPr>
        <w:t>e</w:t>
      </w:r>
      <w:r>
        <w:rPr>
          <w:color w:val="000000"/>
        </w:rPr>
        <w:t>n</w:t>
      </w:r>
      <w:r>
        <w:rPr>
          <w:color w:val="000000"/>
          <w:spacing w:val="-4"/>
        </w:rPr>
        <w:t>i</w:t>
      </w:r>
      <w:r>
        <w:rPr>
          <w:color w:val="000000"/>
          <w:spacing w:val="4"/>
        </w:rPr>
        <w:t>a</w:t>
      </w:r>
      <w:r>
        <w:rPr>
          <w:color w:val="000000"/>
        </w:rPr>
        <w:t>i 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o</w:t>
      </w:r>
      <w:r>
        <w:rPr>
          <w:color w:val="000000"/>
          <w:spacing w:val="9"/>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o</w:t>
      </w:r>
      <w:r>
        <w:rPr>
          <w:color w:val="000000"/>
          <w:spacing w:val="9"/>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rPr>
        <w:t>i u</w:t>
      </w:r>
      <w:r>
        <w:rPr>
          <w:color w:val="000000"/>
          <w:spacing w:val="4"/>
        </w:rPr>
        <w:t>ž</w:t>
      </w:r>
      <w:r>
        <w:rPr>
          <w:color w:val="000000"/>
          <w:spacing w:val="-3"/>
        </w:rPr>
        <w:t>f</w:t>
      </w:r>
      <w:r>
        <w:rPr>
          <w:color w:val="000000"/>
          <w:spacing w:val="-4"/>
        </w:rPr>
        <w:t>i</w:t>
      </w:r>
      <w:r>
        <w:rPr>
          <w:color w:val="000000"/>
        </w:rPr>
        <w:t>k</w:t>
      </w:r>
      <w:r>
        <w:rPr>
          <w:color w:val="000000"/>
          <w:spacing w:val="-2"/>
        </w:rPr>
        <w:t>s</w:t>
      </w:r>
      <w:r>
        <w:rPr>
          <w:color w:val="000000"/>
        </w:rPr>
        <w:t>u</w:t>
      </w:r>
      <w:r>
        <w:rPr>
          <w:color w:val="000000"/>
          <w:spacing w:val="5"/>
        </w:rPr>
        <w:t>ot</w:t>
      </w:r>
      <w:r>
        <w:rPr>
          <w:color w:val="000000"/>
        </w:rPr>
        <w:t xml:space="preserve">i </w:t>
      </w:r>
      <w:r>
        <w:rPr>
          <w:color w:val="000000"/>
          <w:spacing w:val="6"/>
        </w:rPr>
        <w:t>Š</w:t>
      </w:r>
      <w:r>
        <w:rPr>
          <w:color w:val="000000"/>
          <w:spacing w:val="-4"/>
        </w:rPr>
        <w:t>i</w:t>
      </w:r>
      <w:r>
        <w:rPr>
          <w:color w:val="000000"/>
          <w:spacing w:val="-1"/>
        </w:rPr>
        <w:t>a</w:t>
      </w:r>
      <w:r>
        <w:rPr>
          <w:color w:val="000000"/>
          <w:spacing w:val="5"/>
        </w:rPr>
        <w:t>u</w:t>
      </w:r>
      <w:r>
        <w:rPr>
          <w:color w:val="000000"/>
        </w:rPr>
        <w:t>l</w:t>
      </w:r>
      <w:r>
        <w:rPr>
          <w:color w:val="000000"/>
          <w:spacing w:val="-4"/>
        </w:rPr>
        <w:t>i</w:t>
      </w:r>
      <w:r>
        <w:rPr>
          <w:color w:val="000000"/>
        </w:rPr>
        <w:t>ų,</w:t>
      </w:r>
      <w:r>
        <w:rPr>
          <w:color w:val="000000"/>
          <w:spacing w:val="12"/>
        </w:rPr>
        <w:t xml:space="preserve"> </w:t>
      </w:r>
      <w:r>
        <w:rPr>
          <w:color w:val="000000"/>
          <w:spacing w:val="1"/>
        </w:rPr>
        <w:t>P</w:t>
      </w:r>
      <w:r>
        <w:rPr>
          <w:color w:val="000000"/>
          <w:spacing w:val="-1"/>
        </w:rPr>
        <w:t>a</w:t>
      </w:r>
      <w:r>
        <w:rPr>
          <w:color w:val="000000"/>
          <w:spacing w:val="-5"/>
        </w:rPr>
        <w:t>n</w:t>
      </w:r>
      <w:r>
        <w:rPr>
          <w:color w:val="000000"/>
          <w:spacing w:val="4"/>
        </w:rPr>
        <w:t>e</w:t>
      </w:r>
      <w:r>
        <w:rPr>
          <w:color w:val="000000"/>
        </w:rPr>
        <w:t>v</w:t>
      </w:r>
      <w:r>
        <w:rPr>
          <w:color w:val="000000"/>
          <w:spacing w:val="-1"/>
        </w:rPr>
        <w:t>ė</w:t>
      </w:r>
      <w:r>
        <w:rPr>
          <w:color w:val="000000"/>
          <w:spacing w:val="4"/>
        </w:rPr>
        <w:t>ž</w:t>
      </w:r>
      <w:r>
        <w:rPr>
          <w:color w:val="000000"/>
          <w:spacing w:val="-9"/>
        </w:rPr>
        <w:t>i</w:t>
      </w:r>
      <w:r>
        <w:rPr>
          <w:color w:val="000000"/>
          <w:spacing w:val="5"/>
        </w:rPr>
        <w:t>o</w:t>
      </w:r>
      <w:r>
        <w:rPr>
          <w:color w:val="000000"/>
        </w:rPr>
        <w:t>,</w:t>
      </w:r>
      <w:r>
        <w:rPr>
          <w:color w:val="000000"/>
          <w:spacing w:val="12"/>
        </w:rPr>
        <w:t xml:space="preserve"> </w:t>
      </w:r>
      <w:r>
        <w:rPr>
          <w:color w:val="000000"/>
          <w:spacing w:val="-2"/>
        </w:rPr>
        <w:t>M</w:t>
      </w:r>
      <w:r>
        <w:rPr>
          <w:color w:val="000000"/>
          <w:spacing w:val="-1"/>
        </w:rPr>
        <w:t>a</w:t>
      </w:r>
      <w:r>
        <w:rPr>
          <w:color w:val="000000"/>
          <w:spacing w:val="6"/>
        </w:rPr>
        <w:t>r</w:t>
      </w:r>
      <w:r>
        <w:rPr>
          <w:color w:val="000000"/>
          <w:spacing w:val="-4"/>
        </w:rPr>
        <w:t>ij</w:t>
      </w:r>
      <w:r>
        <w:rPr>
          <w:color w:val="000000"/>
          <w:spacing w:val="4"/>
        </w:rPr>
        <w:t>a</w:t>
      </w:r>
      <w:r>
        <w:rPr>
          <w:color w:val="000000"/>
          <w:spacing w:val="-4"/>
        </w:rPr>
        <w:t>m</w:t>
      </w:r>
      <w:r>
        <w:rPr>
          <w:color w:val="000000"/>
        </w:rPr>
        <w:t>p</w:t>
      </w:r>
      <w:r>
        <w:rPr>
          <w:color w:val="000000"/>
          <w:spacing w:val="9"/>
        </w:rPr>
        <w:t>o</w:t>
      </w:r>
      <w:r>
        <w:rPr>
          <w:color w:val="000000"/>
          <w:spacing w:val="-4"/>
        </w:rPr>
        <w:t>l</w:t>
      </w:r>
      <w:r>
        <w:rPr>
          <w:color w:val="000000"/>
          <w:spacing w:val="-1"/>
        </w:rPr>
        <w:t>ė</w:t>
      </w:r>
      <w:r>
        <w:rPr>
          <w:color w:val="000000"/>
        </w:rPr>
        <w:t>s</w:t>
      </w:r>
      <w:r>
        <w:rPr>
          <w:color w:val="000000"/>
          <w:spacing w:val="12"/>
        </w:rPr>
        <w:t xml:space="preserve"> </w:t>
      </w:r>
      <w:r>
        <w:rPr>
          <w:color w:val="000000"/>
        </w:rPr>
        <w:t>ir</w:t>
      </w:r>
      <w:r>
        <w:rPr>
          <w:color w:val="000000"/>
          <w:spacing w:val="11"/>
        </w:rPr>
        <w:t xml:space="preserve"> </w:t>
      </w:r>
      <w:r>
        <w:rPr>
          <w:color w:val="000000"/>
          <w:spacing w:val="2"/>
        </w:rPr>
        <w:t>T</w:t>
      </w:r>
      <w:r>
        <w:rPr>
          <w:color w:val="000000"/>
          <w:spacing w:val="-1"/>
        </w:rPr>
        <w:t>a</w:t>
      </w:r>
      <w:r>
        <w:rPr>
          <w:color w:val="000000"/>
        </w:rPr>
        <w:t>u</w:t>
      </w:r>
      <w:r>
        <w:rPr>
          <w:color w:val="000000"/>
          <w:spacing w:val="1"/>
        </w:rPr>
        <w:t>r</w:t>
      </w:r>
      <w:r>
        <w:rPr>
          <w:color w:val="000000"/>
          <w:spacing w:val="-1"/>
        </w:rPr>
        <w:t>a</w:t>
      </w:r>
      <w:r>
        <w:rPr>
          <w:color w:val="000000"/>
        </w:rPr>
        <w:t>g</w:t>
      </w:r>
      <w:r>
        <w:rPr>
          <w:color w:val="000000"/>
          <w:spacing w:val="-1"/>
        </w:rPr>
        <w:t>ė</w:t>
      </w:r>
      <w:r>
        <w:rPr>
          <w:color w:val="000000"/>
        </w:rPr>
        <w:t>s</w:t>
      </w:r>
      <w:r>
        <w:rPr>
          <w:color w:val="000000"/>
          <w:spacing w:val="7"/>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5"/>
        </w:rPr>
        <w:t>y</w:t>
      </w:r>
      <w:r>
        <w:rPr>
          <w:color w:val="000000"/>
          <w:spacing w:val="-2"/>
        </w:rPr>
        <w:t>s</w:t>
      </w:r>
      <w:r>
        <w:rPr>
          <w:color w:val="000000"/>
          <w:spacing w:val="-1"/>
        </w:rPr>
        <w:t>e</w:t>
      </w:r>
      <w:r>
        <w:rPr>
          <w:color w:val="000000"/>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 xml:space="preserve">a </w:t>
      </w:r>
      <w:r>
        <w:rPr>
          <w:color w:val="000000"/>
          <w:spacing w:val="6"/>
        </w:rPr>
        <w:t xml:space="preserve"> </w:t>
      </w:r>
      <w:r>
        <w:rPr>
          <w:color w:val="000000"/>
          <w:spacing w:val="-9"/>
        </w:rPr>
        <w:t>i</w:t>
      </w:r>
      <w:r>
        <w:rPr>
          <w:color w:val="000000"/>
        </w:rPr>
        <w:t xml:space="preserve">r </w:t>
      </w:r>
      <w:r>
        <w:rPr>
          <w:color w:val="000000"/>
          <w:spacing w:val="4"/>
        </w:rPr>
        <w:t xml:space="preserve"> </w:t>
      </w:r>
      <w:r>
        <w:rPr>
          <w:color w:val="000000"/>
        </w:rPr>
        <w:t>t</w:t>
      </w:r>
      <w:r>
        <w:rPr>
          <w:color w:val="000000"/>
          <w:spacing w:val="5"/>
        </w:rPr>
        <w:t>o</w:t>
      </w:r>
      <w:r>
        <w:rPr>
          <w:color w:val="000000"/>
          <w:spacing w:val="-4"/>
        </w:rPr>
        <w:t>li</w:t>
      </w:r>
      <w:r>
        <w:rPr>
          <w:color w:val="000000"/>
          <w:spacing w:val="-1"/>
        </w:rPr>
        <w:t>a</w:t>
      </w:r>
      <w:r>
        <w:rPr>
          <w:color w:val="000000"/>
        </w:rPr>
        <w:t xml:space="preserve">u </w:t>
      </w:r>
      <w:r>
        <w:rPr>
          <w:color w:val="000000"/>
          <w:spacing w:val="7"/>
        </w:rPr>
        <w:t xml:space="preserve"> </w:t>
      </w:r>
      <w:r>
        <w:rPr>
          <w:color w:val="000000"/>
          <w:spacing w:val="-4"/>
        </w:rPr>
        <w:t>i</w:t>
      </w:r>
      <w:r>
        <w:rPr>
          <w:color w:val="000000"/>
          <w:spacing w:val="2"/>
        </w:rPr>
        <w:t>š</w:t>
      </w:r>
      <w:r>
        <w:rPr>
          <w:color w:val="000000"/>
        </w:rPr>
        <w:t>l</w:t>
      </w:r>
      <w:r>
        <w:rPr>
          <w:color w:val="000000"/>
          <w:spacing w:val="-4"/>
        </w:rPr>
        <w:t>i</w:t>
      </w:r>
      <w:r>
        <w:rPr>
          <w:color w:val="000000"/>
          <w:spacing w:val="-1"/>
        </w:rPr>
        <w:t>e</w:t>
      </w:r>
      <w:r>
        <w:rPr>
          <w:color w:val="000000"/>
        </w:rPr>
        <w:t xml:space="preserve">ka </w:t>
      </w:r>
      <w:r>
        <w:rPr>
          <w:color w:val="000000"/>
          <w:spacing w:val="6"/>
        </w:rPr>
        <w:t xml:space="preserve"> </w:t>
      </w:r>
      <w:r>
        <w:rPr>
          <w:color w:val="000000"/>
        </w:rPr>
        <w:t>v</w:t>
      </w:r>
      <w:r>
        <w:rPr>
          <w:color w:val="000000"/>
          <w:spacing w:val="-4"/>
        </w:rPr>
        <w:t>i</w:t>
      </w:r>
      <w:r>
        <w:rPr>
          <w:color w:val="000000"/>
          <w:spacing w:val="4"/>
        </w:rPr>
        <w:t>e</w:t>
      </w:r>
      <w:r>
        <w:rPr>
          <w:color w:val="000000"/>
          <w:spacing w:val="-5"/>
        </w:rPr>
        <w:t>n</w:t>
      </w:r>
      <w:r>
        <w:rPr>
          <w:color w:val="000000"/>
        </w:rPr>
        <w:t xml:space="preserve">u </w:t>
      </w:r>
      <w:r>
        <w:rPr>
          <w:color w:val="000000"/>
          <w:spacing w:val="7"/>
        </w:rPr>
        <w:t xml:space="preserve"> </w:t>
      </w:r>
      <w:r>
        <w:rPr>
          <w:color w:val="000000"/>
          <w:spacing w:val="-4"/>
        </w:rPr>
        <w:t>i</w:t>
      </w:r>
      <w:r>
        <w:rPr>
          <w:color w:val="000000"/>
        </w:rPr>
        <w:t xml:space="preserve">š  </w:t>
      </w:r>
      <w:r>
        <w:rPr>
          <w:color w:val="000000"/>
          <w:spacing w:val="5"/>
        </w:rPr>
        <w:t>t</w:t>
      </w:r>
      <w:r>
        <w:rPr>
          <w:color w:val="000000"/>
          <w:spacing w:val="1"/>
        </w:rPr>
        <w:t>r</w:t>
      </w:r>
      <w:r>
        <w:rPr>
          <w:color w:val="000000"/>
          <w:spacing w:val="-1"/>
        </w:rPr>
        <w:t>a</w:t>
      </w:r>
      <w:r>
        <w:rPr>
          <w:color w:val="000000"/>
          <w:spacing w:val="-5"/>
        </w:rPr>
        <w:t>n</w:t>
      </w:r>
      <w:r>
        <w:rPr>
          <w:color w:val="000000"/>
          <w:spacing w:val="4"/>
        </w:rPr>
        <w:t>z</w:t>
      </w:r>
      <w:r>
        <w:rPr>
          <w:color w:val="000000"/>
          <w:spacing w:val="-9"/>
        </w:rPr>
        <w:t>i</w:t>
      </w:r>
      <w:r>
        <w:rPr>
          <w:color w:val="000000"/>
          <w:spacing w:val="10"/>
        </w:rPr>
        <w:t>t</w:t>
      </w:r>
      <w:r>
        <w:rPr>
          <w:color w:val="000000"/>
          <w:spacing w:val="-4"/>
        </w:rPr>
        <w:t>i</w:t>
      </w:r>
      <w:r>
        <w:rPr>
          <w:color w:val="000000"/>
        </w:rPr>
        <w:t>n</w:t>
      </w:r>
      <w:r>
        <w:rPr>
          <w:color w:val="000000"/>
          <w:spacing w:val="-4"/>
        </w:rPr>
        <w:t>i</w:t>
      </w:r>
      <w:r>
        <w:rPr>
          <w:color w:val="000000"/>
        </w:rPr>
        <w:t xml:space="preserve">ų </w:t>
      </w:r>
      <w:r>
        <w:rPr>
          <w:color w:val="000000"/>
          <w:spacing w:val="2"/>
        </w:rPr>
        <w:t xml:space="preserve"> </w:t>
      </w:r>
      <w:r>
        <w:rPr>
          <w:color w:val="000000"/>
        </w:rPr>
        <w:t>k</w:t>
      </w:r>
      <w:r>
        <w:rPr>
          <w:color w:val="000000"/>
          <w:spacing w:val="-1"/>
        </w:rPr>
        <w:t>e</w:t>
      </w:r>
      <w:r>
        <w:rPr>
          <w:color w:val="000000"/>
        </w:rPr>
        <w:t>l</w:t>
      </w:r>
      <w:r>
        <w:rPr>
          <w:color w:val="000000"/>
          <w:spacing w:val="-4"/>
        </w:rPr>
        <w:t>i</w:t>
      </w:r>
      <w:r>
        <w:rPr>
          <w:color w:val="000000"/>
        </w:rPr>
        <w:t xml:space="preserve">ų </w:t>
      </w:r>
      <w:r>
        <w:rPr>
          <w:color w:val="000000"/>
          <w:spacing w:val="2"/>
        </w:rPr>
        <w:t xml:space="preserve"> </w:t>
      </w:r>
      <w:r>
        <w:rPr>
          <w:color w:val="000000"/>
        </w:rPr>
        <w:t>g</w:t>
      </w:r>
      <w:r>
        <w:rPr>
          <w:color w:val="000000"/>
          <w:spacing w:val="-1"/>
        </w:rPr>
        <w:t>a</w:t>
      </w:r>
      <w:r>
        <w:rPr>
          <w:color w:val="000000"/>
        </w:rPr>
        <w:t>b</w:t>
      </w:r>
      <w:r>
        <w:rPr>
          <w:color w:val="000000"/>
          <w:spacing w:val="4"/>
        </w:rPr>
        <w:t>e</w:t>
      </w:r>
      <w:r>
        <w:rPr>
          <w:color w:val="000000"/>
          <w:spacing w:val="-5"/>
        </w:rPr>
        <w:t>n</w:t>
      </w:r>
      <w:r>
        <w:rPr>
          <w:color w:val="000000"/>
          <w:spacing w:val="4"/>
        </w:rPr>
        <w:t>a</w:t>
      </w:r>
      <w:r>
        <w:rPr>
          <w:color w:val="000000"/>
          <w:spacing w:val="-5"/>
        </w:rPr>
        <w:t>n</w:t>
      </w:r>
      <w:r>
        <w:rPr>
          <w:color w:val="000000"/>
        </w:rPr>
        <w:t xml:space="preserve">t </w:t>
      </w:r>
      <w:r>
        <w:rPr>
          <w:color w:val="000000"/>
          <w:spacing w:val="7"/>
        </w:rPr>
        <w:t xml:space="preserve"> </w:t>
      </w:r>
      <w:r>
        <w:rPr>
          <w:color w:val="000000"/>
          <w:spacing w:val="-5"/>
        </w:rPr>
        <w:t>k</w:t>
      </w:r>
      <w:r>
        <w:rPr>
          <w:color w:val="000000"/>
          <w:spacing w:val="5"/>
        </w:rPr>
        <w:t>o</w:t>
      </w:r>
      <w:r>
        <w:rPr>
          <w:color w:val="000000"/>
        </w:rPr>
        <w:t>k</w:t>
      </w:r>
      <w:r>
        <w:rPr>
          <w:color w:val="000000"/>
          <w:spacing w:val="-1"/>
        </w:rPr>
        <w:t>a</w:t>
      </w:r>
      <w:r>
        <w:rPr>
          <w:color w:val="000000"/>
          <w:spacing w:val="-4"/>
        </w:rPr>
        <w:t>i</w:t>
      </w:r>
      <w:r>
        <w:rPr>
          <w:color w:val="000000"/>
        </w:rPr>
        <w:t xml:space="preserve">ną </w:t>
      </w:r>
      <w:r>
        <w:rPr>
          <w:color w:val="000000"/>
          <w:spacing w:val="6"/>
        </w:rPr>
        <w:t xml:space="preserve"> </w:t>
      </w:r>
      <w:r>
        <w:rPr>
          <w:color w:val="000000"/>
        </w:rPr>
        <w:t xml:space="preserve">į </w:t>
      </w:r>
      <w:r>
        <w:rPr>
          <w:color w:val="000000"/>
          <w:spacing w:val="-2"/>
        </w:rPr>
        <w:t>R</w:t>
      </w:r>
      <w:r>
        <w:rPr>
          <w:color w:val="000000"/>
        </w:rPr>
        <w:t>u</w:t>
      </w:r>
      <w:r>
        <w:rPr>
          <w:color w:val="000000"/>
          <w:spacing w:val="2"/>
        </w:rPr>
        <w:t>s</w:t>
      </w:r>
      <w:r>
        <w:rPr>
          <w:color w:val="000000"/>
        </w:rPr>
        <w:t>i</w:t>
      </w:r>
      <w:r>
        <w:rPr>
          <w:color w:val="000000"/>
          <w:spacing w:val="-4"/>
        </w:rPr>
        <w:t>j</w:t>
      </w:r>
      <w:r>
        <w:rPr>
          <w:color w:val="000000"/>
        </w:rPr>
        <w:t xml:space="preserve">ą </w:t>
      </w:r>
      <w:r>
        <w:rPr>
          <w:color w:val="000000"/>
          <w:spacing w:val="47"/>
        </w:rPr>
        <w:t xml:space="preserve"> </w:t>
      </w:r>
      <w:r>
        <w:rPr>
          <w:color w:val="000000"/>
          <w:spacing w:val="-9"/>
        </w:rPr>
        <w:t>i</w:t>
      </w:r>
      <w:r>
        <w:rPr>
          <w:color w:val="000000"/>
        </w:rPr>
        <w:t xml:space="preserve">r </w:t>
      </w:r>
      <w:r>
        <w:rPr>
          <w:color w:val="000000"/>
          <w:spacing w:val="44"/>
        </w:rPr>
        <w:t xml:space="preserve"> </w:t>
      </w:r>
      <w:r>
        <w:rPr>
          <w:color w:val="000000"/>
        </w:rPr>
        <w:t xml:space="preserve">V. </w:t>
      </w:r>
      <w:r>
        <w:rPr>
          <w:color w:val="000000"/>
          <w:spacing w:val="45"/>
        </w:rPr>
        <w:t xml:space="preserve"> </w:t>
      </w:r>
      <w:r>
        <w:rPr>
          <w:color w:val="000000"/>
          <w:spacing w:val="2"/>
        </w:rPr>
        <w:t>E</w:t>
      </w:r>
      <w:r>
        <w:rPr>
          <w:color w:val="000000"/>
        </w:rPr>
        <w:t>u</w:t>
      </w:r>
      <w:r>
        <w:rPr>
          <w:color w:val="000000"/>
          <w:spacing w:val="-3"/>
        </w:rPr>
        <w:t>r</w:t>
      </w:r>
      <w:r>
        <w:rPr>
          <w:color w:val="000000"/>
          <w:spacing w:val="5"/>
        </w:rPr>
        <w:t>o</w:t>
      </w:r>
      <w:r>
        <w:rPr>
          <w:color w:val="000000"/>
        </w:rPr>
        <w:t>p</w:t>
      </w:r>
      <w:r>
        <w:rPr>
          <w:color w:val="000000"/>
          <w:spacing w:val="-1"/>
        </w:rPr>
        <w:t>ą</w:t>
      </w:r>
      <w:r>
        <w:rPr>
          <w:color w:val="000000"/>
        </w:rPr>
        <w:t xml:space="preserve">. </w:t>
      </w:r>
      <w:r>
        <w:rPr>
          <w:color w:val="000000"/>
          <w:spacing w:val="45"/>
        </w:rPr>
        <w:t xml:space="preserve"> </w:t>
      </w:r>
      <w:r>
        <w:rPr>
          <w:color w:val="000000"/>
          <w:spacing w:val="-5"/>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4"/>
        </w:rPr>
        <w:t>a</w:t>
      </w:r>
      <w:r>
        <w:rPr>
          <w:color w:val="000000"/>
        </w:rPr>
        <w:t xml:space="preserve">s </w:t>
      </w:r>
      <w:r>
        <w:rPr>
          <w:color w:val="000000"/>
          <w:spacing w:val="41"/>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spacing w:val="4"/>
        </w:rPr>
        <w:t>a</w:t>
      </w:r>
      <w:r>
        <w:rPr>
          <w:color w:val="000000"/>
        </w:rPr>
        <w:t xml:space="preserve">s </w:t>
      </w:r>
      <w:r>
        <w:rPr>
          <w:color w:val="000000"/>
          <w:spacing w:val="46"/>
        </w:rPr>
        <w:t xml:space="preserve"> </w:t>
      </w:r>
      <w:r>
        <w:rPr>
          <w:color w:val="000000"/>
          <w:spacing w:val="-4"/>
        </w:rPr>
        <w:t>į</w:t>
      </w:r>
      <w:r>
        <w:rPr>
          <w:color w:val="000000"/>
        </w:rPr>
        <w:t>v</w:t>
      </w:r>
      <w:r>
        <w:rPr>
          <w:color w:val="000000"/>
          <w:spacing w:val="4"/>
        </w:rPr>
        <w:t>a</w:t>
      </w:r>
      <w:r>
        <w:rPr>
          <w:color w:val="000000"/>
          <w:spacing w:val="-9"/>
        </w:rPr>
        <w:t>i</w:t>
      </w:r>
      <w:r>
        <w:rPr>
          <w:color w:val="000000"/>
          <w:spacing w:val="6"/>
        </w:rPr>
        <w:t>r</w:t>
      </w:r>
      <w:r>
        <w:rPr>
          <w:color w:val="000000"/>
          <w:spacing w:val="-4"/>
        </w:rPr>
        <w:t>i</w:t>
      </w:r>
      <w:r>
        <w:rPr>
          <w:color w:val="000000"/>
          <w:spacing w:val="4"/>
        </w:rPr>
        <w:t>a</w:t>
      </w:r>
      <w:r>
        <w:rPr>
          <w:color w:val="000000"/>
          <w:spacing w:val="-4"/>
        </w:rPr>
        <w:t>i</w:t>
      </w:r>
      <w:r>
        <w:rPr>
          <w:color w:val="000000"/>
        </w:rPr>
        <w:t xml:space="preserve">s </w:t>
      </w:r>
      <w:r>
        <w:rPr>
          <w:color w:val="000000"/>
          <w:spacing w:val="46"/>
        </w:rPr>
        <w:t xml:space="preserve"> </w:t>
      </w:r>
      <w:r>
        <w:rPr>
          <w:color w:val="000000"/>
          <w:spacing w:val="-5"/>
        </w:rPr>
        <w:t>b</w:t>
      </w:r>
      <w:r>
        <w:rPr>
          <w:color w:val="000000"/>
        </w:rPr>
        <w:t>ūd</w:t>
      </w:r>
      <w:r>
        <w:rPr>
          <w:color w:val="000000"/>
          <w:spacing w:val="4"/>
        </w:rPr>
        <w:t>a</w:t>
      </w:r>
      <w:r>
        <w:rPr>
          <w:color w:val="000000"/>
          <w:spacing w:val="-4"/>
        </w:rPr>
        <w:t>i</w:t>
      </w:r>
      <w:r>
        <w:rPr>
          <w:color w:val="000000"/>
          <w:spacing w:val="-2"/>
        </w:rPr>
        <w:t>s</w:t>
      </w:r>
      <w:r>
        <w:rPr>
          <w:color w:val="000000"/>
        </w:rPr>
        <w:t xml:space="preserve">: </w:t>
      </w:r>
      <w:r>
        <w:rPr>
          <w:color w:val="000000"/>
          <w:spacing w:val="48"/>
        </w:rPr>
        <w:t xml:space="preserve"> </w:t>
      </w:r>
      <w:r>
        <w:rPr>
          <w:color w:val="000000"/>
          <w:spacing w:val="-4"/>
        </w:rPr>
        <w:t>j</w:t>
      </w:r>
      <w:r>
        <w:rPr>
          <w:color w:val="000000"/>
        </w:rPr>
        <w:t>ū</w:t>
      </w:r>
      <w:r>
        <w:rPr>
          <w:color w:val="000000"/>
          <w:spacing w:val="1"/>
        </w:rPr>
        <w:t>r</w:t>
      </w:r>
      <w:r>
        <w:rPr>
          <w:color w:val="000000"/>
        </w:rPr>
        <w:t xml:space="preserve">ų </w:t>
      </w:r>
      <w:r>
        <w:rPr>
          <w:color w:val="000000"/>
          <w:spacing w:val="48"/>
        </w:rPr>
        <w:t xml:space="preserve"> </w:t>
      </w:r>
      <w:r>
        <w:rPr>
          <w:color w:val="000000"/>
          <w:spacing w:val="-9"/>
        </w:rPr>
        <w:t>i</w:t>
      </w:r>
      <w:r>
        <w:rPr>
          <w:color w:val="000000"/>
        </w:rPr>
        <w:t>r</w:t>
      </w:r>
    </w:p>
    <w:p w:rsidR="004F7425" w:rsidRDefault="004F7425" w:rsidP="004F7425">
      <w:pPr>
        <w:widowControl w:val="0"/>
        <w:autoSpaceDE w:val="0"/>
        <w:autoSpaceDN w:val="0"/>
        <w:adjustRightInd w:val="0"/>
        <w:spacing w:before="5" w:line="275" w:lineRule="auto"/>
        <w:ind w:left="120" w:right="48"/>
        <w:jc w:val="both"/>
        <w:rPr>
          <w:color w:val="000000"/>
        </w:rPr>
      </w:pPr>
      <w:r>
        <w:rPr>
          <w:color w:val="000000"/>
          <w:spacing w:val="-2"/>
        </w:rPr>
        <w:t>s</w:t>
      </w:r>
      <w:r>
        <w:rPr>
          <w:color w:val="000000"/>
          <w:spacing w:val="-1"/>
        </w:rPr>
        <w:t>a</w:t>
      </w:r>
      <w:r>
        <w:rPr>
          <w:color w:val="000000"/>
        </w:rPr>
        <w:t>u</w:t>
      </w:r>
      <w:r>
        <w:rPr>
          <w:color w:val="000000"/>
          <w:spacing w:val="-2"/>
        </w:rPr>
        <w:t>s</w:t>
      </w:r>
      <w:r>
        <w:rPr>
          <w:color w:val="000000"/>
          <w:spacing w:val="5"/>
        </w:rPr>
        <w:t>u</w:t>
      </w:r>
      <w:r>
        <w:rPr>
          <w:color w:val="000000"/>
          <w:spacing w:val="-9"/>
        </w:rPr>
        <w:t>m</w:t>
      </w:r>
      <w:r>
        <w:rPr>
          <w:color w:val="000000"/>
          <w:spacing w:val="5"/>
        </w:rPr>
        <w:t>o</w:t>
      </w:r>
      <w:r>
        <w:rPr>
          <w:color w:val="000000"/>
        </w:rPr>
        <w:t>s</w:t>
      </w:r>
      <w:r>
        <w:rPr>
          <w:color w:val="000000"/>
          <w:spacing w:val="5"/>
        </w:rPr>
        <w:t xml:space="preserve"> </w:t>
      </w:r>
      <w:r>
        <w:rPr>
          <w:color w:val="000000"/>
        </w:rPr>
        <w:t>k</w:t>
      </w:r>
      <w:r>
        <w:rPr>
          <w:color w:val="000000"/>
          <w:spacing w:val="4"/>
        </w:rPr>
        <w:t>e</w:t>
      </w:r>
      <w:r>
        <w:rPr>
          <w:color w:val="000000"/>
        </w:rPr>
        <w:t>l</w:t>
      </w:r>
      <w:r>
        <w:rPr>
          <w:color w:val="000000"/>
          <w:spacing w:val="-4"/>
        </w:rPr>
        <w:t>i</w:t>
      </w:r>
      <w:r>
        <w:rPr>
          <w:color w:val="000000"/>
          <w:spacing w:val="4"/>
        </w:rPr>
        <w:t>a</w:t>
      </w:r>
      <w:r>
        <w:rPr>
          <w:color w:val="000000"/>
          <w:spacing w:val="-4"/>
        </w:rPr>
        <w:t>i</w:t>
      </w:r>
      <w:r>
        <w:rPr>
          <w:color w:val="000000"/>
          <w:spacing w:val="-2"/>
        </w:rPr>
        <w:t>s</w:t>
      </w:r>
      <w:r>
        <w:rPr>
          <w:color w:val="000000"/>
        </w:rPr>
        <w:t>,</w:t>
      </w:r>
      <w:r>
        <w:rPr>
          <w:color w:val="000000"/>
          <w:spacing w:val="9"/>
        </w:rPr>
        <w:t xml:space="preserve"> </w:t>
      </w:r>
      <w:r>
        <w:rPr>
          <w:color w:val="000000"/>
          <w:spacing w:val="-4"/>
        </w:rPr>
        <w:t>l</w:t>
      </w:r>
      <w:r>
        <w:rPr>
          <w:color w:val="000000"/>
          <w:spacing w:val="-1"/>
        </w:rPr>
        <w:t>ė</w:t>
      </w:r>
      <w:r>
        <w:rPr>
          <w:color w:val="000000"/>
        </w:rPr>
        <w:t>k</w:t>
      </w:r>
      <w:r>
        <w:rPr>
          <w:color w:val="000000"/>
          <w:spacing w:val="5"/>
        </w:rPr>
        <w:t>t</w:t>
      </w:r>
      <w:r>
        <w:rPr>
          <w:color w:val="000000"/>
        </w:rPr>
        <w:t>u</w:t>
      </w:r>
      <w:r>
        <w:rPr>
          <w:color w:val="000000"/>
          <w:spacing w:val="-5"/>
        </w:rPr>
        <w:t>v</w:t>
      </w:r>
      <w:r>
        <w:rPr>
          <w:color w:val="000000"/>
          <w:spacing w:val="4"/>
        </w:rPr>
        <w:t>a</w:t>
      </w:r>
      <w:r>
        <w:rPr>
          <w:color w:val="000000"/>
          <w:spacing w:val="-4"/>
        </w:rPr>
        <w:t>i</w:t>
      </w:r>
      <w:r>
        <w:rPr>
          <w:color w:val="000000"/>
        </w:rPr>
        <w:t>s</w:t>
      </w:r>
      <w:r>
        <w:rPr>
          <w:color w:val="000000"/>
          <w:spacing w:val="10"/>
        </w:rPr>
        <w:t xml:space="preserve"> </w:t>
      </w:r>
      <w:r>
        <w:rPr>
          <w:color w:val="000000"/>
          <w:spacing w:val="-4"/>
        </w:rPr>
        <w:t>i</w:t>
      </w:r>
      <w:r>
        <w:rPr>
          <w:color w:val="000000"/>
        </w:rPr>
        <w:t>r</w:t>
      </w:r>
      <w:r>
        <w:rPr>
          <w:color w:val="000000"/>
          <w:spacing w:val="4"/>
        </w:rPr>
        <w:t xml:space="preserve"> </w:t>
      </w:r>
      <w:r>
        <w:rPr>
          <w:color w:val="000000"/>
        </w:rPr>
        <w:t>p</w:t>
      </w:r>
      <w:r>
        <w:rPr>
          <w:color w:val="000000"/>
          <w:spacing w:val="4"/>
        </w:rPr>
        <w:t>a</w:t>
      </w:r>
      <w:r>
        <w:rPr>
          <w:color w:val="000000"/>
          <w:spacing w:val="-2"/>
        </w:rPr>
        <w:t>š</w:t>
      </w:r>
      <w:r>
        <w:rPr>
          <w:color w:val="000000"/>
          <w:spacing w:val="5"/>
        </w:rPr>
        <w:t>t</w:t>
      </w:r>
      <w:r>
        <w:rPr>
          <w:color w:val="000000"/>
        </w:rPr>
        <w:t>o</w:t>
      </w:r>
      <w:r>
        <w:rPr>
          <w:color w:val="000000"/>
          <w:spacing w:val="7"/>
        </w:rPr>
        <w:t xml:space="preserve"> </w:t>
      </w:r>
      <w:r>
        <w:rPr>
          <w:color w:val="000000"/>
          <w:spacing w:val="2"/>
        </w:rPr>
        <w:t>s</w:t>
      </w:r>
      <w:r>
        <w:rPr>
          <w:color w:val="000000"/>
          <w:spacing w:val="-9"/>
        </w:rPr>
        <w:t>i</w:t>
      </w:r>
      <w:r>
        <w:rPr>
          <w:color w:val="000000"/>
          <w:spacing w:val="5"/>
        </w:rPr>
        <w:t>u</w:t>
      </w:r>
      <w:r>
        <w:rPr>
          <w:color w:val="000000"/>
          <w:spacing w:val="-5"/>
        </w:rPr>
        <w:t>n</w:t>
      </w:r>
      <w:r>
        <w:rPr>
          <w:color w:val="000000"/>
        </w:rPr>
        <w:t>t</w:t>
      </w:r>
      <w:r>
        <w:rPr>
          <w:color w:val="000000"/>
          <w:spacing w:val="5"/>
        </w:rPr>
        <w:t>o</w:t>
      </w:r>
      <w:r>
        <w:rPr>
          <w:color w:val="000000"/>
          <w:spacing w:val="-4"/>
        </w:rPr>
        <w:t>mi</w:t>
      </w:r>
      <w:r>
        <w:rPr>
          <w:color w:val="000000"/>
          <w:spacing w:val="-2"/>
        </w:rPr>
        <w:t>s</w:t>
      </w:r>
      <w:r>
        <w:rPr>
          <w:color w:val="000000"/>
        </w:rPr>
        <w:t>.</w:t>
      </w:r>
      <w:r>
        <w:rPr>
          <w:color w:val="000000"/>
          <w:spacing w:val="9"/>
        </w:rPr>
        <w:t xml:space="preserve"> </w:t>
      </w:r>
      <w:r>
        <w:rPr>
          <w:color w:val="000000"/>
        </w:rPr>
        <w:t>Nu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s g</w:t>
      </w:r>
      <w:r>
        <w:rPr>
          <w:color w:val="000000"/>
          <w:spacing w:val="1"/>
        </w:rPr>
        <w:t>r</w:t>
      </w:r>
      <w:r>
        <w:rPr>
          <w:color w:val="000000"/>
        </w:rPr>
        <w:t>upu</w:t>
      </w:r>
      <w:r>
        <w:rPr>
          <w:color w:val="000000"/>
          <w:spacing w:val="5"/>
        </w:rPr>
        <w:t>ot</w:t>
      </w:r>
      <w:r>
        <w:rPr>
          <w:color w:val="000000"/>
          <w:spacing w:val="-1"/>
        </w:rPr>
        <w:t>ė</w:t>
      </w:r>
      <w:r>
        <w:rPr>
          <w:color w:val="000000"/>
        </w:rPr>
        <w:t>s g</w:t>
      </w:r>
      <w:r>
        <w:rPr>
          <w:color w:val="000000"/>
          <w:spacing w:val="-1"/>
        </w:rPr>
        <w:t>a</w:t>
      </w:r>
      <w:r>
        <w:rPr>
          <w:color w:val="000000"/>
          <w:spacing w:val="-5"/>
        </w:rPr>
        <w:t>b</w:t>
      </w:r>
      <w:r>
        <w:rPr>
          <w:color w:val="000000"/>
          <w:spacing w:val="4"/>
        </w:rPr>
        <w:t>e</w:t>
      </w:r>
      <w:r>
        <w:rPr>
          <w:color w:val="000000"/>
          <w:spacing w:val="-5"/>
        </w:rPr>
        <w:t>n</w:t>
      </w:r>
      <w:r>
        <w:rPr>
          <w:color w:val="000000"/>
        </w:rPr>
        <w:t>d</w:t>
      </w:r>
      <w:r>
        <w:rPr>
          <w:color w:val="000000"/>
          <w:spacing w:val="4"/>
        </w:rPr>
        <w:t>a</w:t>
      </w:r>
      <w:r>
        <w:rPr>
          <w:color w:val="000000"/>
          <w:spacing w:val="-9"/>
        </w:rPr>
        <w:t>m</w:t>
      </w:r>
      <w:r>
        <w:rPr>
          <w:color w:val="000000"/>
          <w:spacing w:val="9"/>
        </w:rPr>
        <w:t>o</w:t>
      </w:r>
      <w:r>
        <w:rPr>
          <w:color w:val="000000"/>
        </w:rPr>
        <w:t>s k</w:t>
      </w:r>
      <w:r>
        <w:rPr>
          <w:color w:val="000000"/>
          <w:spacing w:val="5"/>
        </w:rPr>
        <w:t>o</w:t>
      </w:r>
      <w:r>
        <w:rPr>
          <w:color w:val="000000"/>
        </w:rPr>
        <w:t>k</w:t>
      </w:r>
      <w:r>
        <w:rPr>
          <w:color w:val="000000"/>
          <w:spacing w:val="4"/>
        </w:rPr>
        <w:t>a</w:t>
      </w:r>
      <w:r>
        <w:rPr>
          <w:color w:val="000000"/>
          <w:spacing w:val="-4"/>
        </w:rPr>
        <w:t>i</w:t>
      </w:r>
      <w:r>
        <w:rPr>
          <w:color w:val="000000"/>
        </w:rPr>
        <w:t xml:space="preserve">ną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rPr>
        <w:t>a</w:t>
      </w:r>
      <w:r>
        <w:rPr>
          <w:color w:val="000000"/>
          <w:spacing w:val="13"/>
        </w:rPr>
        <w:t xml:space="preserve"> </w:t>
      </w:r>
      <w:r>
        <w:rPr>
          <w:color w:val="000000"/>
          <w:spacing w:val="-9"/>
        </w:rPr>
        <w:t>i</w:t>
      </w:r>
      <w:r>
        <w:rPr>
          <w:color w:val="000000"/>
        </w:rPr>
        <w:t>r</w:t>
      </w:r>
      <w:r>
        <w:rPr>
          <w:color w:val="000000"/>
          <w:spacing w:val="15"/>
        </w:rPr>
        <w:t xml:space="preserve"> </w:t>
      </w:r>
      <w:r>
        <w:rPr>
          <w:color w:val="000000"/>
          <w:spacing w:val="-4"/>
        </w:rPr>
        <w:t>į</w:t>
      </w:r>
      <w:r>
        <w:rPr>
          <w:color w:val="000000"/>
        </w:rPr>
        <w:t>v</w:t>
      </w:r>
      <w:r>
        <w:rPr>
          <w:color w:val="000000"/>
          <w:spacing w:val="4"/>
        </w:rPr>
        <w:t>a</w:t>
      </w:r>
      <w:r>
        <w:rPr>
          <w:color w:val="000000"/>
          <w:spacing w:val="-4"/>
        </w:rPr>
        <w:t>i</w:t>
      </w:r>
      <w:r>
        <w:rPr>
          <w:color w:val="000000"/>
          <w:spacing w:val="6"/>
        </w:rPr>
        <w:t>r</w:t>
      </w:r>
      <w:r>
        <w:rPr>
          <w:color w:val="000000"/>
          <w:spacing w:val="-4"/>
        </w:rPr>
        <w:t>i</w:t>
      </w:r>
      <w:r>
        <w:rPr>
          <w:color w:val="000000"/>
        </w:rPr>
        <w:t>us</w:t>
      </w:r>
      <w:r>
        <w:rPr>
          <w:color w:val="000000"/>
          <w:spacing w:val="11"/>
        </w:rPr>
        <w:t xml:space="preserve"> </w:t>
      </w:r>
      <w:r>
        <w:rPr>
          <w:color w:val="000000"/>
          <w:spacing w:val="-9"/>
        </w:rPr>
        <w:t>j</w:t>
      </w:r>
      <w:r>
        <w:rPr>
          <w:color w:val="000000"/>
        </w:rPr>
        <w:t>o</w:t>
      </w:r>
      <w:r>
        <w:rPr>
          <w:color w:val="000000"/>
          <w:spacing w:val="13"/>
        </w:rPr>
        <w:t xml:space="preserve"> </w:t>
      </w:r>
      <w:r>
        <w:rPr>
          <w:color w:val="000000"/>
          <w:spacing w:val="2"/>
        </w:rPr>
        <w:t>s</w:t>
      </w:r>
      <w:r>
        <w:rPr>
          <w:color w:val="000000"/>
          <w:spacing w:val="-4"/>
        </w:rPr>
        <w:t>l</w:t>
      </w:r>
      <w:r>
        <w:rPr>
          <w:color w:val="000000"/>
          <w:spacing w:val="-1"/>
        </w:rPr>
        <w:t>ė</w:t>
      </w:r>
      <w:r>
        <w:rPr>
          <w:color w:val="000000"/>
          <w:spacing w:val="5"/>
        </w:rPr>
        <w:t>p</w:t>
      </w:r>
      <w:r>
        <w:rPr>
          <w:color w:val="000000"/>
        </w:rPr>
        <w:t>i</w:t>
      </w:r>
      <w:r>
        <w:rPr>
          <w:color w:val="000000"/>
          <w:spacing w:val="-9"/>
        </w:rPr>
        <w:t>m</w:t>
      </w:r>
      <w:r>
        <w:rPr>
          <w:color w:val="000000"/>
        </w:rPr>
        <w:t>o</w:t>
      </w:r>
      <w:r>
        <w:rPr>
          <w:color w:val="000000"/>
          <w:spacing w:val="13"/>
        </w:rPr>
        <w:t xml:space="preserve"> </w:t>
      </w:r>
      <w:r>
        <w:rPr>
          <w:color w:val="000000"/>
          <w:spacing w:val="-5"/>
        </w:rPr>
        <w:t>b</w:t>
      </w:r>
      <w:r>
        <w:rPr>
          <w:color w:val="000000"/>
        </w:rPr>
        <w:t>ūd</w:t>
      </w:r>
      <w:r>
        <w:rPr>
          <w:color w:val="000000"/>
          <w:spacing w:val="5"/>
        </w:rPr>
        <w:t>u</w:t>
      </w:r>
      <w:r>
        <w:rPr>
          <w:color w:val="000000"/>
          <w:spacing w:val="3"/>
        </w:rPr>
        <w:t>s</w:t>
      </w:r>
      <w:r>
        <w:rPr>
          <w:color w:val="000000"/>
        </w:rPr>
        <w:t>:</w:t>
      </w:r>
      <w:r>
        <w:rPr>
          <w:color w:val="000000"/>
          <w:spacing w:val="9"/>
        </w:rPr>
        <w:t xml:space="preserve"> </w:t>
      </w:r>
      <w:r>
        <w:rPr>
          <w:color w:val="000000"/>
        </w:rPr>
        <w:t>g</w:t>
      </w:r>
      <w:r>
        <w:rPr>
          <w:color w:val="000000"/>
          <w:spacing w:val="-1"/>
        </w:rPr>
        <w:t>a</w:t>
      </w:r>
      <w:r>
        <w:rPr>
          <w:color w:val="000000"/>
          <w:spacing w:val="-5"/>
        </w:rPr>
        <w:t>b</w:t>
      </w:r>
      <w:r>
        <w:rPr>
          <w:color w:val="000000"/>
          <w:spacing w:val="4"/>
        </w:rPr>
        <w:t>e</w:t>
      </w:r>
      <w:r>
        <w:rPr>
          <w:color w:val="000000"/>
        </w:rPr>
        <w:t>na</w:t>
      </w:r>
      <w:r>
        <w:rPr>
          <w:color w:val="000000"/>
          <w:spacing w:val="8"/>
        </w:rPr>
        <w:t xml:space="preserve"> </w:t>
      </w:r>
      <w:r>
        <w:rPr>
          <w:color w:val="000000"/>
          <w:spacing w:val="5"/>
        </w:rPr>
        <w:t>t</w:t>
      </w:r>
      <w:r>
        <w:rPr>
          <w:color w:val="000000"/>
          <w:spacing w:val="-1"/>
        </w:rPr>
        <w:t>a</w:t>
      </w:r>
      <w:r>
        <w:rPr>
          <w:color w:val="000000"/>
          <w:spacing w:val="1"/>
        </w:rPr>
        <w:t>r</w:t>
      </w:r>
      <w:r>
        <w:rPr>
          <w:color w:val="000000"/>
        </w:rPr>
        <w:t>p</w:t>
      </w:r>
      <w:r>
        <w:rPr>
          <w:color w:val="000000"/>
          <w:spacing w:val="4"/>
        </w:rPr>
        <w:t xml:space="preserve"> </w:t>
      </w:r>
      <w:r>
        <w:rPr>
          <w:color w:val="000000"/>
        </w:rPr>
        <w:t>g</w:t>
      </w:r>
      <w:r>
        <w:rPr>
          <w:color w:val="000000"/>
          <w:spacing w:val="1"/>
        </w:rPr>
        <w:t>r</w:t>
      </w:r>
      <w:r>
        <w:rPr>
          <w:color w:val="000000"/>
          <w:spacing w:val="4"/>
        </w:rPr>
        <w:t>e</w:t>
      </w:r>
      <w:r>
        <w:rPr>
          <w:color w:val="000000"/>
          <w:spacing w:val="-9"/>
        </w:rPr>
        <w:t>i</w:t>
      </w:r>
      <w:r>
        <w:rPr>
          <w:color w:val="000000"/>
          <w:spacing w:val="5"/>
        </w:rPr>
        <w:t>t</w:t>
      </w:r>
      <w:r>
        <w:rPr>
          <w:color w:val="000000"/>
          <w:spacing w:val="4"/>
        </w:rPr>
        <w:t>a</w:t>
      </w:r>
      <w:r>
        <w:rPr>
          <w:color w:val="000000"/>
        </w:rPr>
        <w:t>i g</w:t>
      </w:r>
      <w:r>
        <w:rPr>
          <w:color w:val="000000"/>
          <w:spacing w:val="4"/>
        </w:rPr>
        <w:t>e</w:t>
      </w:r>
      <w:r>
        <w:rPr>
          <w:color w:val="000000"/>
          <w:spacing w:val="-5"/>
        </w:rPr>
        <w:t>n</w:t>
      </w:r>
      <w:r>
        <w:rPr>
          <w:color w:val="000000"/>
        </w:rPr>
        <w:t>d</w:t>
      </w:r>
      <w:r>
        <w:rPr>
          <w:color w:val="000000"/>
          <w:spacing w:val="4"/>
        </w:rPr>
        <w:t>a</w:t>
      </w:r>
      <w:r>
        <w:rPr>
          <w:color w:val="000000"/>
          <w:spacing w:val="-5"/>
        </w:rPr>
        <w:t>n</w:t>
      </w:r>
      <w:r>
        <w:rPr>
          <w:color w:val="000000"/>
          <w:spacing w:val="4"/>
        </w:rPr>
        <w:t>č</w:t>
      </w:r>
      <w:r>
        <w:rPr>
          <w:color w:val="000000"/>
          <w:spacing w:val="-4"/>
        </w:rPr>
        <w:t>i</w:t>
      </w:r>
      <w:r>
        <w:rPr>
          <w:color w:val="000000"/>
        </w:rPr>
        <w:t>ų</w:t>
      </w:r>
      <w:r>
        <w:rPr>
          <w:color w:val="000000"/>
          <w:spacing w:val="9"/>
        </w:rPr>
        <w:t xml:space="preserve"> </w:t>
      </w:r>
      <w:r>
        <w:rPr>
          <w:color w:val="000000"/>
          <w:spacing w:val="-1"/>
        </w:rPr>
        <w:t>a</w:t>
      </w:r>
      <w:r>
        <w:rPr>
          <w:color w:val="000000"/>
        </w:rPr>
        <w:t>r</w:t>
      </w:r>
      <w:r>
        <w:rPr>
          <w:color w:val="000000"/>
          <w:spacing w:val="16"/>
        </w:rPr>
        <w:t xml:space="preserve"> </w:t>
      </w:r>
      <w:r>
        <w:rPr>
          <w:color w:val="000000"/>
          <w:spacing w:val="-2"/>
        </w:rPr>
        <w:t>š</w:t>
      </w:r>
      <w:r>
        <w:rPr>
          <w:color w:val="000000"/>
          <w:spacing w:val="4"/>
        </w:rPr>
        <w:t>a</w:t>
      </w:r>
      <w:r>
        <w:rPr>
          <w:color w:val="000000"/>
          <w:spacing w:val="-9"/>
        </w:rPr>
        <w:t>l</w:t>
      </w:r>
      <w:r>
        <w:rPr>
          <w:color w:val="000000"/>
          <w:spacing w:val="5"/>
        </w:rPr>
        <w:t>d</w:t>
      </w:r>
      <w:r>
        <w:rPr>
          <w:color w:val="000000"/>
          <w:spacing w:val="-10"/>
        </w:rPr>
        <w:t>y</w:t>
      </w:r>
      <w:r>
        <w:rPr>
          <w:color w:val="000000"/>
          <w:spacing w:val="5"/>
        </w:rPr>
        <w:t>t</w:t>
      </w:r>
      <w:r>
        <w:rPr>
          <w:color w:val="000000"/>
        </w:rPr>
        <w:t>ų</w:t>
      </w:r>
      <w:r>
        <w:rPr>
          <w:color w:val="000000"/>
          <w:spacing w:val="9"/>
        </w:rPr>
        <w:t xml:space="preserve"> </w:t>
      </w:r>
      <w:r>
        <w:rPr>
          <w:color w:val="000000"/>
        </w:rPr>
        <w:t>p</w:t>
      </w:r>
      <w:r>
        <w:rPr>
          <w:color w:val="000000"/>
          <w:spacing w:val="1"/>
        </w:rPr>
        <w:t>r</w:t>
      </w:r>
      <w:r>
        <w:rPr>
          <w:color w:val="000000"/>
          <w:spacing w:val="5"/>
        </w:rPr>
        <w:t>o</w:t>
      </w:r>
      <w:r>
        <w:rPr>
          <w:color w:val="000000"/>
        </w:rPr>
        <w:t>du</w:t>
      </w:r>
      <w:r>
        <w:rPr>
          <w:color w:val="000000"/>
          <w:spacing w:val="-5"/>
        </w:rPr>
        <w:t>k</w:t>
      </w:r>
      <w:r>
        <w:rPr>
          <w:color w:val="000000"/>
          <w:spacing w:val="5"/>
        </w:rPr>
        <w:t>t</w:t>
      </w:r>
      <w:r>
        <w:rPr>
          <w:color w:val="000000"/>
        </w:rPr>
        <w:t>ų,</w:t>
      </w:r>
      <w:r>
        <w:rPr>
          <w:color w:val="000000"/>
          <w:spacing w:val="11"/>
        </w:rPr>
        <w:t xml:space="preserve"> </w:t>
      </w:r>
      <w:r>
        <w:rPr>
          <w:color w:val="000000"/>
          <w:spacing w:val="-2"/>
        </w:rPr>
        <w:t>s</w:t>
      </w:r>
      <w:r>
        <w:rPr>
          <w:color w:val="000000"/>
        </w:rPr>
        <w:t>p</w:t>
      </w:r>
      <w:r>
        <w:rPr>
          <w:color w:val="000000"/>
          <w:spacing w:val="-1"/>
        </w:rPr>
        <w:t>ec</w:t>
      </w:r>
      <w:r>
        <w:rPr>
          <w:color w:val="000000"/>
          <w:spacing w:val="-4"/>
        </w:rPr>
        <w:t>i</w:t>
      </w:r>
      <w:r>
        <w:rPr>
          <w:color w:val="000000"/>
          <w:spacing w:val="4"/>
        </w:rPr>
        <w:t>a</w:t>
      </w:r>
      <w:r>
        <w:rPr>
          <w:color w:val="000000"/>
          <w:spacing w:val="-4"/>
        </w:rPr>
        <w:t>l</w:t>
      </w:r>
      <w:r>
        <w:rPr>
          <w:color w:val="000000"/>
          <w:spacing w:val="-9"/>
        </w:rPr>
        <w:t>i</w:t>
      </w:r>
      <w:r>
        <w:rPr>
          <w:color w:val="000000"/>
          <w:spacing w:val="9"/>
        </w:rPr>
        <w:t>o</w:t>
      </w:r>
      <w:r>
        <w:rPr>
          <w:color w:val="000000"/>
          <w:spacing w:val="-2"/>
        </w:rPr>
        <w:t>s</w:t>
      </w:r>
      <w:r>
        <w:rPr>
          <w:color w:val="000000"/>
        </w:rPr>
        <w:t xml:space="preserve">e </w:t>
      </w:r>
      <w:r>
        <w:rPr>
          <w:color w:val="000000"/>
          <w:spacing w:val="2"/>
        </w:rPr>
        <w:t>s</w:t>
      </w:r>
      <w:r>
        <w:rPr>
          <w:color w:val="000000"/>
          <w:spacing w:val="-4"/>
        </w:rPr>
        <w:t>l</w:t>
      </w:r>
      <w:r>
        <w:rPr>
          <w:color w:val="000000"/>
          <w:spacing w:val="-1"/>
        </w:rPr>
        <w:t>ė</w:t>
      </w:r>
      <w:r>
        <w:rPr>
          <w:color w:val="000000"/>
        </w:rPr>
        <w:t>p</w:t>
      </w:r>
      <w:r>
        <w:rPr>
          <w:color w:val="000000"/>
          <w:spacing w:val="5"/>
        </w:rPr>
        <w:t>t</w:t>
      </w:r>
      <w:r>
        <w:rPr>
          <w:color w:val="000000"/>
        </w:rPr>
        <w:t>u</w:t>
      </w:r>
      <w:r>
        <w:rPr>
          <w:color w:val="000000"/>
          <w:spacing w:val="-5"/>
        </w:rPr>
        <w:t>v</w:t>
      </w:r>
      <w:r>
        <w:rPr>
          <w:color w:val="000000"/>
          <w:spacing w:val="-1"/>
        </w:rPr>
        <w:t>ė</w:t>
      </w:r>
      <w:r>
        <w:rPr>
          <w:color w:val="000000"/>
          <w:spacing w:val="-2"/>
        </w:rPr>
        <w:t>s</w:t>
      </w:r>
      <w:r>
        <w:rPr>
          <w:color w:val="000000"/>
          <w:spacing w:val="-1"/>
        </w:rPr>
        <w:t>e</w:t>
      </w:r>
      <w:r>
        <w:rPr>
          <w:color w:val="000000"/>
        </w:rPr>
        <w:t>,</w:t>
      </w:r>
      <w:r>
        <w:rPr>
          <w:color w:val="000000"/>
          <w:spacing w:val="9"/>
        </w:rPr>
        <w:t xml:space="preserve"> </w:t>
      </w:r>
      <w:r>
        <w:rPr>
          <w:color w:val="000000"/>
          <w:spacing w:val="-2"/>
        </w:rPr>
        <w:t>s</w:t>
      </w:r>
      <w:r>
        <w:rPr>
          <w:color w:val="000000"/>
          <w:spacing w:val="5"/>
        </w:rPr>
        <w:t>k</w:t>
      </w:r>
      <w:r>
        <w:rPr>
          <w:color w:val="000000"/>
          <w:spacing w:val="-5"/>
        </w:rPr>
        <w:t>y</w:t>
      </w:r>
      <w:r>
        <w:rPr>
          <w:color w:val="000000"/>
          <w:spacing w:val="-2"/>
        </w:rPr>
        <w:t>s</w:t>
      </w:r>
      <w:r>
        <w:rPr>
          <w:color w:val="000000"/>
          <w:spacing w:val="5"/>
        </w:rPr>
        <w:t>t</w:t>
      </w:r>
      <w:r>
        <w:rPr>
          <w:color w:val="000000"/>
          <w:spacing w:val="4"/>
        </w:rPr>
        <w:t>a</w:t>
      </w:r>
      <w:r>
        <w:rPr>
          <w:color w:val="000000"/>
          <w:spacing w:val="-9"/>
        </w:rPr>
        <w:t>m</w:t>
      </w:r>
      <w:r>
        <w:rPr>
          <w:color w:val="000000"/>
        </w:rPr>
        <w:t>e</w:t>
      </w:r>
      <w:r>
        <w:rPr>
          <w:color w:val="000000"/>
          <w:spacing w:val="6"/>
        </w:rPr>
        <w:t xml:space="preserve"> </w:t>
      </w:r>
      <w:r>
        <w:rPr>
          <w:color w:val="000000"/>
        </w:rPr>
        <w:t>p</w:t>
      </w:r>
      <w:r>
        <w:rPr>
          <w:color w:val="000000"/>
          <w:spacing w:val="4"/>
        </w:rPr>
        <w:t>a</w:t>
      </w:r>
      <w:r>
        <w:rPr>
          <w:color w:val="000000"/>
        </w:rPr>
        <w:t>v</w:t>
      </w:r>
      <w:r>
        <w:rPr>
          <w:color w:val="000000"/>
          <w:spacing w:val="-4"/>
        </w:rPr>
        <w:t>i</w:t>
      </w:r>
      <w:r>
        <w:rPr>
          <w:color w:val="000000"/>
        </w:rPr>
        <w:t>d</w:t>
      </w:r>
      <w:r>
        <w:rPr>
          <w:color w:val="000000"/>
          <w:spacing w:val="4"/>
        </w:rPr>
        <w:t>a</w:t>
      </w:r>
      <w:r>
        <w:rPr>
          <w:color w:val="000000"/>
          <w:spacing w:val="-4"/>
        </w:rPr>
        <w:t>l</w:t>
      </w:r>
      <w:r>
        <w:rPr>
          <w:color w:val="000000"/>
        </w:rPr>
        <w:t>e</w:t>
      </w:r>
      <w:r>
        <w:rPr>
          <w:color w:val="000000"/>
          <w:spacing w:val="11"/>
        </w:rPr>
        <w:t xml:space="preserve"> </w:t>
      </w:r>
      <w:r>
        <w:rPr>
          <w:color w:val="000000"/>
          <w:spacing w:val="-4"/>
        </w:rPr>
        <w:t>i</w:t>
      </w:r>
      <w:r>
        <w:rPr>
          <w:color w:val="000000"/>
        </w:rPr>
        <w:t>r</w:t>
      </w:r>
      <w:r>
        <w:rPr>
          <w:color w:val="000000"/>
          <w:spacing w:val="8"/>
        </w:rPr>
        <w:t xml:space="preserve"> </w:t>
      </w:r>
      <w:r>
        <w:rPr>
          <w:color w:val="000000"/>
        </w:rPr>
        <w:t>p</w:t>
      </w:r>
      <w:r>
        <w:rPr>
          <w:color w:val="000000"/>
          <w:spacing w:val="4"/>
        </w:rPr>
        <w:t>a</w:t>
      </w:r>
      <w:r>
        <w:rPr>
          <w:color w:val="000000"/>
          <w:spacing w:val="-5"/>
        </w:rPr>
        <w:t>n</w:t>
      </w:r>
      <w:r>
        <w:rPr>
          <w:color w:val="000000"/>
        </w:rPr>
        <w:t>.</w:t>
      </w:r>
      <w:r>
        <w:rPr>
          <w:color w:val="000000"/>
          <w:spacing w:val="9"/>
        </w:rPr>
        <w:t xml:space="preserve"> </w:t>
      </w:r>
      <w:r>
        <w:rPr>
          <w:color w:val="000000"/>
        </w:rPr>
        <w:t>2012</w:t>
      </w:r>
      <w:r>
        <w:rPr>
          <w:color w:val="000000"/>
          <w:spacing w:val="7"/>
        </w:rPr>
        <w:t xml:space="preserve"> </w:t>
      </w:r>
      <w:r>
        <w:rPr>
          <w:color w:val="000000"/>
          <w:spacing w:val="-9"/>
        </w:rPr>
        <w:t>m</w:t>
      </w:r>
      <w:r>
        <w:rPr>
          <w:color w:val="000000"/>
        </w:rPr>
        <w:t>.</w:t>
      </w:r>
      <w:r>
        <w:rPr>
          <w:color w:val="000000"/>
          <w:spacing w:val="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6"/>
        </w:rPr>
        <w:t xml:space="preserve"> </w:t>
      </w:r>
      <w:r>
        <w:rPr>
          <w:color w:val="000000"/>
          <w:spacing w:val="-1"/>
        </w:rPr>
        <w:t>a</w:t>
      </w:r>
      <w:r>
        <w:rPr>
          <w:color w:val="000000"/>
          <w:spacing w:val="10"/>
        </w:rPr>
        <w:t>t</w:t>
      </w:r>
      <w:r>
        <w:rPr>
          <w:color w:val="000000"/>
          <w:spacing w:val="-4"/>
        </w:rPr>
        <w:t>li</w:t>
      </w:r>
      <w:r>
        <w:rPr>
          <w:color w:val="000000"/>
        </w:rPr>
        <w:t>k</w:t>
      </w:r>
      <w:r>
        <w:rPr>
          <w:color w:val="000000"/>
          <w:spacing w:val="5"/>
        </w:rPr>
        <w:t>t</w:t>
      </w:r>
      <w:r>
        <w:rPr>
          <w:color w:val="000000"/>
        </w:rPr>
        <w:t>i</w:t>
      </w:r>
      <w:r>
        <w:rPr>
          <w:color w:val="000000"/>
          <w:spacing w:val="6"/>
        </w:rPr>
        <w:t xml:space="preserve"> </w:t>
      </w:r>
      <w:r>
        <w:rPr>
          <w:color w:val="000000"/>
        </w:rPr>
        <w:t>du</w:t>
      </w:r>
      <w:r>
        <w:rPr>
          <w:color w:val="000000"/>
          <w:spacing w:val="7"/>
        </w:rPr>
        <w:t xml:space="preserve"> </w:t>
      </w:r>
      <w:r>
        <w:rPr>
          <w:color w:val="000000"/>
          <w:spacing w:val="5"/>
        </w:rPr>
        <w:t>d</w:t>
      </w:r>
      <w:r>
        <w:rPr>
          <w:color w:val="000000"/>
          <w:spacing w:val="-4"/>
        </w:rPr>
        <w:t>i</w:t>
      </w:r>
      <w:r>
        <w:rPr>
          <w:color w:val="000000"/>
        </w:rPr>
        <w:t>d</w:t>
      </w:r>
      <w:r>
        <w:rPr>
          <w:color w:val="000000"/>
          <w:spacing w:val="4"/>
        </w:rPr>
        <w:t>e</w:t>
      </w:r>
      <w:r>
        <w:rPr>
          <w:color w:val="000000"/>
        </w:rPr>
        <w:t>li</w:t>
      </w:r>
      <w:r>
        <w:rPr>
          <w:color w:val="000000"/>
          <w:spacing w:val="-2"/>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12"/>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o</w:t>
      </w:r>
      <w:r>
        <w:rPr>
          <w:color w:val="000000"/>
          <w:spacing w:val="12"/>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spacing w:val="-4"/>
        </w:rPr>
        <w:t>i</w:t>
      </w:r>
      <w:r>
        <w:rPr>
          <w:color w:val="000000"/>
        </w:rPr>
        <w:t>, v</w:t>
      </w:r>
      <w:r>
        <w:rPr>
          <w:color w:val="000000"/>
          <w:spacing w:val="-4"/>
        </w:rPr>
        <w:t>i</w:t>
      </w:r>
      <w:r>
        <w:rPr>
          <w:color w:val="000000"/>
          <w:spacing w:val="4"/>
        </w:rPr>
        <w:t>e</w:t>
      </w:r>
      <w:r>
        <w:rPr>
          <w:color w:val="000000"/>
          <w:spacing w:val="-5"/>
        </w:rPr>
        <w:t>n</w:t>
      </w:r>
      <w:r>
        <w:rPr>
          <w:color w:val="000000"/>
        </w:rPr>
        <w:t>u</w:t>
      </w:r>
      <w:r>
        <w:rPr>
          <w:color w:val="000000"/>
          <w:spacing w:val="7"/>
        </w:rPr>
        <w:t xml:space="preserve"> </w:t>
      </w:r>
      <w:r>
        <w:rPr>
          <w:color w:val="000000"/>
          <w:spacing w:val="-9"/>
        </w:rPr>
        <w:t>j</w:t>
      </w:r>
      <w:r>
        <w:rPr>
          <w:color w:val="000000"/>
        </w:rPr>
        <w:t>ų</w:t>
      </w:r>
      <w:r>
        <w:rPr>
          <w:color w:val="000000"/>
          <w:spacing w:val="3"/>
        </w:rPr>
        <w:t xml:space="preserve"> </w:t>
      </w:r>
      <w:r>
        <w:rPr>
          <w:color w:val="000000"/>
        </w:rPr>
        <w:t>–</w:t>
      </w:r>
      <w:r>
        <w:rPr>
          <w:color w:val="000000"/>
          <w:spacing w:val="7"/>
        </w:rPr>
        <w:t xml:space="preserve"> </w:t>
      </w:r>
      <w:r>
        <w:rPr>
          <w:color w:val="000000"/>
        </w:rPr>
        <w:t>K</w:t>
      </w:r>
      <w:r>
        <w:rPr>
          <w:color w:val="000000"/>
          <w:spacing w:val="-5"/>
        </w:rPr>
        <w:t>l</w:t>
      </w:r>
      <w:r>
        <w:rPr>
          <w:color w:val="000000"/>
          <w:spacing w:val="4"/>
        </w:rPr>
        <w:t>a</w:t>
      </w:r>
      <w:r>
        <w:rPr>
          <w:color w:val="000000"/>
          <w:spacing w:val="-4"/>
        </w:rPr>
        <w:t>i</w:t>
      </w:r>
      <w:r>
        <w:rPr>
          <w:color w:val="000000"/>
        </w:rPr>
        <w:t>p</w:t>
      </w:r>
      <w:r>
        <w:rPr>
          <w:color w:val="000000"/>
          <w:spacing w:val="-1"/>
        </w:rPr>
        <w:t>ė</w:t>
      </w:r>
      <w:r>
        <w:rPr>
          <w:color w:val="000000"/>
        </w:rPr>
        <w:t>d</w:t>
      </w:r>
      <w:r>
        <w:rPr>
          <w:color w:val="000000"/>
          <w:spacing w:val="9"/>
        </w:rPr>
        <w:t>o</w:t>
      </w:r>
      <w:r>
        <w:rPr>
          <w:color w:val="000000"/>
          <w:spacing w:val="-9"/>
        </w:rPr>
        <w:t>j</w:t>
      </w:r>
      <w:r>
        <w:rPr>
          <w:color w:val="000000"/>
        </w:rPr>
        <w:t>e</w:t>
      </w:r>
      <w:r>
        <w:rPr>
          <w:color w:val="000000"/>
          <w:spacing w:val="6"/>
        </w:rPr>
        <w:t xml:space="preserve"> </w:t>
      </w:r>
      <w:r>
        <w:rPr>
          <w:color w:val="000000"/>
          <w:spacing w:val="-4"/>
        </w:rPr>
        <w:t>i</w:t>
      </w:r>
      <w:r>
        <w:rPr>
          <w:color w:val="000000"/>
          <w:spacing w:val="2"/>
        </w:rPr>
        <w:t>š</w:t>
      </w:r>
      <w:r>
        <w:rPr>
          <w:color w:val="000000"/>
          <w:spacing w:val="-4"/>
        </w:rPr>
        <w:t>i</w:t>
      </w:r>
      <w:r>
        <w:rPr>
          <w:color w:val="000000"/>
          <w:spacing w:val="-9"/>
        </w:rPr>
        <w:t>m</w:t>
      </w:r>
      <w:r>
        <w:rPr>
          <w:color w:val="000000"/>
          <w:spacing w:val="5"/>
        </w:rPr>
        <w:t>t</w:t>
      </w:r>
      <w:r>
        <w:rPr>
          <w:color w:val="000000"/>
        </w:rPr>
        <w:t>a</w:t>
      </w:r>
      <w:r>
        <w:rPr>
          <w:color w:val="000000"/>
          <w:spacing w:val="1"/>
        </w:rPr>
        <w:t xml:space="preserve"> </w:t>
      </w:r>
      <w:r>
        <w:rPr>
          <w:color w:val="000000"/>
          <w:spacing w:val="-1"/>
        </w:rPr>
        <w:t>a</w:t>
      </w:r>
      <w:r>
        <w:rPr>
          <w:color w:val="000000"/>
          <w:spacing w:val="5"/>
        </w:rPr>
        <w:t>p</w:t>
      </w:r>
      <w:r>
        <w:rPr>
          <w:color w:val="000000"/>
          <w:spacing w:val="-4"/>
        </w:rPr>
        <w:t>i</w:t>
      </w:r>
      <w:r>
        <w:rPr>
          <w:color w:val="000000"/>
        </w:rPr>
        <w:t>e</w:t>
      </w:r>
      <w:r>
        <w:rPr>
          <w:color w:val="000000"/>
          <w:spacing w:val="1"/>
        </w:rPr>
        <w:t xml:space="preserve"> </w:t>
      </w:r>
      <w:r>
        <w:rPr>
          <w:color w:val="000000"/>
        </w:rPr>
        <w:t>68</w:t>
      </w:r>
      <w:r>
        <w:rPr>
          <w:color w:val="000000"/>
          <w:spacing w:val="2"/>
        </w:rPr>
        <w:t xml:space="preserve"> </w:t>
      </w:r>
      <w:r>
        <w:rPr>
          <w:color w:val="000000"/>
        </w:rPr>
        <w:t>kg,</w:t>
      </w:r>
      <w:r>
        <w:rPr>
          <w:color w:val="000000"/>
          <w:spacing w:val="4"/>
        </w:rPr>
        <w:t xml:space="preserve"> </w:t>
      </w:r>
      <w:r>
        <w:rPr>
          <w:color w:val="000000"/>
        </w:rPr>
        <w:t>k</w:t>
      </w:r>
      <w:r>
        <w:rPr>
          <w:color w:val="000000"/>
          <w:spacing w:val="-9"/>
        </w:rPr>
        <w:t>i</w:t>
      </w:r>
      <w:r>
        <w:rPr>
          <w:color w:val="000000"/>
          <w:spacing w:val="5"/>
        </w:rPr>
        <w:t>t</w:t>
      </w:r>
      <w:r>
        <w:rPr>
          <w:color w:val="000000"/>
        </w:rPr>
        <w:t>u</w:t>
      </w:r>
      <w:r>
        <w:rPr>
          <w:color w:val="000000"/>
          <w:spacing w:val="7"/>
        </w:rPr>
        <w:t xml:space="preserve"> </w:t>
      </w:r>
      <w:r>
        <w:rPr>
          <w:color w:val="000000"/>
        </w:rPr>
        <w:t>–</w:t>
      </w:r>
      <w:r>
        <w:rPr>
          <w:color w:val="000000"/>
          <w:spacing w:val="2"/>
        </w:rPr>
        <w:t xml:space="preserve"> </w:t>
      </w:r>
      <w:r>
        <w:rPr>
          <w:color w:val="000000"/>
          <w:spacing w:val="1"/>
        </w:rPr>
        <w:t>Š</w:t>
      </w:r>
      <w:r>
        <w:rPr>
          <w:color w:val="000000"/>
          <w:spacing w:val="-9"/>
        </w:rPr>
        <w:t>i</w:t>
      </w:r>
      <w:r>
        <w:rPr>
          <w:color w:val="000000"/>
          <w:spacing w:val="4"/>
        </w:rPr>
        <w:t>a</w:t>
      </w:r>
      <w:r>
        <w:rPr>
          <w:color w:val="000000"/>
          <w:spacing w:val="5"/>
        </w:rPr>
        <w:t>u</w:t>
      </w:r>
      <w:r>
        <w:rPr>
          <w:color w:val="000000"/>
          <w:spacing w:val="-4"/>
        </w:rPr>
        <w:t>li</w:t>
      </w:r>
      <w:r>
        <w:rPr>
          <w:color w:val="000000"/>
        </w:rPr>
        <w:t>u</w:t>
      </w:r>
      <w:r>
        <w:rPr>
          <w:color w:val="000000"/>
          <w:spacing w:val="5"/>
        </w:rPr>
        <w:t>o</w:t>
      </w:r>
      <w:r>
        <w:rPr>
          <w:color w:val="000000"/>
          <w:spacing w:val="-2"/>
        </w:rPr>
        <w:t>s</w:t>
      </w:r>
      <w:r>
        <w:rPr>
          <w:color w:val="000000"/>
        </w:rPr>
        <w:t>e</w:t>
      </w:r>
      <w:r>
        <w:rPr>
          <w:color w:val="000000"/>
          <w:spacing w:val="6"/>
        </w:rPr>
        <w:t xml:space="preserve"> </w:t>
      </w:r>
      <w:r>
        <w:rPr>
          <w:color w:val="000000"/>
          <w:spacing w:val="-9"/>
        </w:rPr>
        <w:t>i</w:t>
      </w:r>
      <w:r>
        <w:rPr>
          <w:color w:val="000000"/>
        </w:rPr>
        <w:t>r</w:t>
      </w:r>
      <w:r>
        <w:rPr>
          <w:color w:val="000000"/>
          <w:spacing w:val="4"/>
        </w:rPr>
        <w:t xml:space="preserve"> </w:t>
      </w:r>
      <w:r>
        <w:rPr>
          <w:color w:val="000000"/>
          <w:spacing w:val="-5"/>
        </w:rPr>
        <w:t>K</w:t>
      </w:r>
      <w:r>
        <w:rPr>
          <w:color w:val="000000"/>
          <w:spacing w:val="-1"/>
        </w:rPr>
        <w:t>a</w:t>
      </w:r>
      <w:r>
        <w:rPr>
          <w:color w:val="000000"/>
          <w:spacing w:val="5"/>
        </w:rPr>
        <w:t>u</w:t>
      </w:r>
      <w:r>
        <w:rPr>
          <w:color w:val="000000"/>
          <w:spacing w:val="-5"/>
        </w:rPr>
        <w:t>n</w:t>
      </w:r>
      <w:r>
        <w:rPr>
          <w:color w:val="000000"/>
        </w:rPr>
        <w:t>e</w:t>
      </w:r>
      <w:r>
        <w:rPr>
          <w:color w:val="000000"/>
          <w:spacing w:val="1"/>
        </w:rPr>
        <w:t xml:space="preserve"> </w:t>
      </w:r>
      <w:r>
        <w:rPr>
          <w:color w:val="000000"/>
          <w:spacing w:val="-1"/>
        </w:rPr>
        <w:t>a</w:t>
      </w:r>
      <w:r>
        <w:rPr>
          <w:color w:val="000000"/>
          <w:spacing w:val="5"/>
        </w:rPr>
        <w:t>p</w:t>
      </w:r>
      <w:r>
        <w:rPr>
          <w:color w:val="000000"/>
          <w:spacing w:val="-4"/>
        </w:rPr>
        <w:t>i</w:t>
      </w:r>
      <w:r>
        <w:rPr>
          <w:color w:val="000000"/>
        </w:rPr>
        <w:t>e</w:t>
      </w:r>
      <w:r>
        <w:rPr>
          <w:color w:val="000000"/>
          <w:spacing w:val="1"/>
        </w:rPr>
        <w:t xml:space="preserve"> </w:t>
      </w:r>
      <w:r>
        <w:rPr>
          <w:color w:val="000000"/>
        </w:rPr>
        <w:t>36</w:t>
      </w:r>
      <w:r>
        <w:rPr>
          <w:color w:val="000000"/>
          <w:spacing w:val="2"/>
        </w:rPr>
        <w:t xml:space="preserve"> </w:t>
      </w:r>
      <w:r>
        <w:rPr>
          <w:color w:val="000000"/>
        </w:rPr>
        <w:t>kg</w:t>
      </w:r>
      <w:r>
        <w:rPr>
          <w:color w:val="000000"/>
          <w:spacing w:val="2"/>
        </w:rPr>
        <w:t xml:space="preserve"> </w:t>
      </w:r>
      <w:r>
        <w:rPr>
          <w:color w:val="000000"/>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10"/>
        </w:rPr>
        <w:t>o</w:t>
      </w:r>
      <w:r>
        <w:rPr>
          <w:color w:val="000000"/>
        </w:rPr>
        <w:t>.</w:t>
      </w:r>
    </w:p>
    <w:p w:rsidR="004F7425" w:rsidRDefault="004F7425" w:rsidP="004F7425">
      <w:pPr>
        <w:widowControl w:val="0"/>
        <w:autoSpaceDE w:val="0"/>
        <w:autoSpaceDN w:val="0"/>
        <w:adjustRightInd w:val="0"/>
        <w:spacing w:before="1"/>
        <w:ind w:left="120" w:right="43" w:firstLine="721"/>
        <w:jc w:val="both"/>
        <w:rPr>
          <w:color w:val="000000"/>
        </w:rPr>
      </w:pPr>
      <w:r>
        <w:rPr>
          <w:color w:val="000000"/>
        </w:rPr>
        <w:t>Ab</w:t>
      </w:r>
      <w:r>
        <w:rPr>
          <w:color w:val="000000"/>
          <w:spacing w:val="-5"/>
        </w:rPr>
        <w:t>i</w:t>
      </w:r>
      <w:r>
        <w:rPr>
          <w:color w:val="000000"/>
          <w:spacing w:val="4"/>
        </w:rPr>
        <w:t>e</w:t>
      </w:r>
      <w:r>
        <w:rPr>
          <w:color w:val="000000"/>
        </w:rPr>
        <w:t xml:space="preserve">m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spacing w:val="-4"/>
        </w:rPr>
        <w:t>i</w:t>
      </w:r>
      <w:r>
        <w:rPr>
          <w:color w:val="000000"/>
        </w:rPr>
        <w:t>s</w:t>
      </w:r>
      <w:r>
        <w:rPr>
          <w:color w:val="000000"/>
          <w:spacing w:val="7"/>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1"/>
        </w:rPr>
        <w:t>a</w:t>
      </w:r>
      <w:r>
        <w:rPr>
          <w:color w:val="000000"/>
        </w:rPr>
        <w:t>s</w:t>
      </w:r>
      <w:r>
        <w:rPr>
          <w:color w:val="000000"/>
          <w:spacing w:val="7"/>
        </w:rPr>
        <w:t xml:space="preserve"> </w:t>
      </w:r>
      <w:r>
        <w:rPr>
          <w:color w:val="000000"/>
        </w:rPr>
        <w:t xml:space="preserve">į </w:t>
      </w:r>
      <w:r>
        <w:rPr>
          <w:color w:val="000000"/>
          <w:spacing w:val="2"/>
        </w:rPr>
        <w:t>L</w:t>
      </w:r>
      <w:r>
        <w:rPr>
          <w:color w:val="000000"/>
          <w:spacing w:val="-4"/>
        </w:rPr>
        <w:t>i</w:t>
      </w:r>
      <w:r>
        <w:rPr>
          <w:color w:val="000000"/>
          <w:spacing w:val="-1"/>
        </w:rPr>
        <w:t>e</w:t>
      </w:r>
      <w:r>
        <w:rPr>
          <w:color w:val="000000"/>
          <w:spacing w:val="5"/>
        </w:rPr>
        <w:t>t</w:t>
      </w:r>
      <w:r>
        <w:rPr>
          <w:color w:val="000000"/>
        </w:rPr>
        <w:t>uvą</w:t>
      </w:r>
      <w:r>
        <w:rPr>
          <w:color w:val="000000"/>
          <w:spacing w:val="4"/>
        </w:rPr>
        <w:t xml:space="preserve"> </w:t>
      </w:r>
      <w:r>
        <w:rPr>
          <w:color w:val="000000"/>
        </w:rPr>
        <w:t>p</w:t>
      </w:r>
      <w:r>
        <w:rPr>
          <w:color w:val="000000"/>
          <w:spacing w:val="-1"/>
        </w:rPr>
        <w:t>a</w:t>
      </w:r>
      <w:r>
        <w:rPr>
          <w:color w:val="000000"/>
          <w:spacing w:val="5"/>
        </w:rPr>
        <w:t>t</w:t>
      </w:r>
      <w:r>
        <w:rPr>
          <w:color w:val="000000"/>
          <w:spacing w:val="-1"/>
        </w:rPr>
        <w:t>e</w:t>
      </w:r>
      <w:r>
        <w:rPr>
          <w:color w:val="000000"/>
        </w:rPr>
        <w:t>ko</w:t>
      </w:r>
      <w:r>
        <w:rPr>
          <w:color w:val="000000"/>
          <w:spacing w:val="5"/>
        </w:rPr>
        <w:t xml:space="preserve"> </w:t>
      </w:r>
      <w:r>
        <w:rPr>
          <w:color w:val="000000"/>
        </w:rPr>
        <w:t>t</w:t>
      </w:r>
      <w:r>
        <w:rPr>
          <w:color w:val="000000"/>
          <w:spacing w:val="-4"/>
        </w:rPr>
        <w:t>u</w:t>
      </w:r>
      <w:r>
        <w:rPr>
          <w:color w:val="000000"/>
        </w:rPr>
        <w:t>o</w:t>
      </w:r>
      <w:r>
        <w:rPr>
          <w:color w:val="000000"/>
          <w:spacing w:val="5"/>
        </w:rPr>
        <w:t xml:space="preserve"> </w:t>
      </w:r>
      <w:r>
        <w:rPr>
          <w:color w:val="000000"/>
        </w:rPr>
        <w:t>p</w:t>
      </w:r>
      <w:r>
        <w:rPr>
          <w:color w:val="000000"/>
          <w:spacing w:val="-1"/>
        </w:rPr>
        <w:t>a</w:t>
      </w:r>
      <w:r>
        <w:rPr>
          <w:color w:val="000000"/>
          <w:spacing w:val="4"/>
        </w:rPr>
        <w:t>č</w:t>
      </w:r>
      <w:r>
        <w:rPr>
          <w:color w:val="000000"/>
          <w:spacing w:val="-9"/>
        </w:rPr>
        <w:t>i</w:t>
      </w:r>
      <w:r>
        <w:rPr>
          <w:color w:val="000000"/>
        </w:rPr>
        <w:t>u</w:t>
      </w:r>
      <w:r>
        <w:rPr>
          <w:color w:val="000000"/>
          <w:spacing w:val="10"/>
        </w:rPr>
        <w:t xml:space="preserve"> </w:t>
      </w:r>
      <w:r>
        <w:rPr>
          <w:color w:val="000000"/>
          <w:spacing w:val="-5"/>
        </w:rPr>
        <w:t>b</w:t>
      </w:r>
      <w:r>
        <w:rPr>
          <w:color w:val="000000"/>
        </w:rPr>
        <w:t>ūdu</w:t>
      </w:r>
      <w:r>
        <w:rPr>
          <w:color w:val="000000"/>
          <w:spacing w:val="12"/>
        </w:rPr>
        <w:t xml:space="preserve"> </w:t>
      </w:r>
      <w:r>
        <w:rPr>
          <w:color w:val="000000"/>
        </w:rPr>
        <w:t>–</w:t>
      </w:r>
      <w:r>
        <w:rPr>
          <w:color w:val="000000"/>
          <w:spacing w:val="10"/>
        </w:rPr>
        <w:t xml:space="preserve"> </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4"/>
        </w:rPr>
        <w:t>i</w:t>
      </w:r>
      <w:r>
        <w:rPr>
          <w:color w:val="000000"/>
          <w:spacing w:val="4"/>
        </w:rPr>
        <w:t>a</w:t>
      </w:r>
      <w:r>
        <w:rPr>
          <w:color w:val="000000"/>
        </w:rPr>
        <w:t>i</w:t>
      </w:r>
      <w:r>
        <w:rPr>
          <w:color w:val="000000"/>
          <w:spacing w:val="5"/>
        </w:rPr>
        <w:t xml:space="preserve"> </w:t>
      </w:r>
      <w:r>
        <w:rPr>
          <w:color w:val="000000"/>
          <w:spacing w:val="-5"/>
        </w:rPr>
        <w:t>b</w:t>
      </w:r>
      <w:r>
        <w:rPr>
          <w:color w:val="000000"/>
          <w:spacing w:val="4"/>
        </w:rPr>
        <w:t>a</w:t>
      </w:r>
      <w:r>
        <w:rPr>
          <w:color w:val="000000"/>
          <w:spacing w:val="-5"/>
        </w:rPr>
        <w:t>n</w:t>
      </w:r>
      <w:r>
        <w:rPr>
          <w:color w:val="000000"/>
          <w:spacing w:val="4"/>
        </w:rPr>
        <w:t>a</w:t>
      </w:r>
      <w:r>
        <w:rPr>
          <w:color w:val="000000"/>
          <w:spacing w:val="-5"/>
        </w:rPr>
        <w:t>n</w:t>
      </w:r>
      <w:r>
        <w:rPr>
          <w:color w:val="000000"/>
        </w:rPr>
        <w:t>ų</w:t>
      </w:r>
      <w:r>
        <w:rPr>
          <w:color w:val="000000"/>
          <w:spacing w:val="5"/>
        </w:rPr>
        <w:t xml:space="preserve"> </w:t>
      </w:r>
      <w:r>
        <w:rPr>
          <w:color w:val="000000"/>
        </w:rPr>
        <w:t>k</w:t>
      </w:r>
      <w:r>
        <w:rPr>
          <w:color w:val="000000"/>
          <w:spacing w:val="1"/>
        </w:rPr>
        <w:t>r</w:t>
      </w:r>
      <w:r>
        <w:rPr>
          <w:color w:val="000000"/>
          <w:spacing w:val="5"/>
        </w:rPr>
        <w:t>o</w:t>
      </w:r>
      <w:r>
        <w:rPr>
          <w:color w:val="000000"/>
        </w:rPr>
        <w:t>v</w:t>
      </w:r>
      <w:r>
        <w:rPr>
          <w:color w:val="000000"/>
          <w:spacing w:val="-4"/>
        </w:rPr>
        <w:t>i</w:t>
      </w:r>
      <w:r>
        <w:rPr>
          <w:color w:val="000000"/>
          <w:spacing w:val="5"/>
        </w:rPr>
        <w:t>n</w:t>
      </w:r>
      <w:r>
        <w:rPr>
          <w:color w:val="000000"/>
        </w:rPr>
        <w:t>y</w:t>
      </w:r>
      <w:r>
        <w:rPr>
          <w:color w:val="000000"/>
          <w:spacing w:val="-4"/>
        </w:rPr>
        <w:t>j</w:t>
      </w:r>
      <w:r>
        <w:rPr>
          <w:color w:val="000000"/>
          <w:spacing w:val="-1"/>
        </w:rPr>
        <w:t>e</w:t>
      </w:r>
      <w:r>
        <w:rPr>
          <w:color w:val="000000"/>
        </w:rPr>
        <w:t xml:space="preserve">. </w:t>
      </w:r>
      <w:r>
        <w:rPr>
          <w:color w:val="000000"/>
          <w:spacing w:val="4"/>
        </w:rPr>
        <w:t>D</w:t>
      </w:r>
      <w:r>
        <w:rPr>
          <w:color w:val="000000"/>
          <w:spacing w:val="-9"/>
        </w:rPr>
        <w:t>i</w:t>
      </w:r>
      <w:r>
        <w:rPr>
          <w:color w:val="000000"/>
          <w:spacing w:val="5"/>
        </w:rPr>
        <w:t>d</w:t>
      </w:r>
      <w:r>
        <w:rPr>
          <w:color w:val="000000"/>
          <w:spacing w:val="-4"/>
        </w:rPr>
        <w:t>m</w:t>
      </w:r>
      <w:r>
        <w:rPr>
          <w:color w:val="000000"/>
          <w:spacing w:val="4"/>
        </w:rPr>
        <w:t>e</w:t>
      </w:r>
      <w:r>
        <w:rPr>
          <w:color w:val="000000"/>
        </w:rPr>
        <w:t>n</w:t>
      </w:r>
      <w:r>
        <w:rPr>
          <w:color w:val="000000"/>
          <w:spacing w:val="-4"/>
        </w:rPr>
        <w:t>i</w:t>
      </w:r>
      <w:r>
        <w:rPr>
          <w:color w:val="000000"/>
          <w:spacing w:val="5"/>
        </w:rPr>
        <w:t>n</w:t>
      </w:r>
      <w:r>
        <w:rPr>
          <w:color w:val="000000"/>
          <w:spacing w:val="-4"/>
        </w:rPr>
        <w:t>i</w:t>
      </w:r>
      <w:r>
        <w:rPr>
          <w:color w:val="000000"/>
        </w:rPr>
        <w:t>ų</w:t>
      </w:r>
      <w:r>
        <w:rPr>
          <w:color w:val="000000"/>
          <w:spacing w:val="2"/>
        </w:rPr>
        <w:t xml:space="preserve"> </w:t>
      </w:r>
      <w:r>
        <w:rPr>
          <w:color w:val="000000"/>
        </w:rPr>
        <w:t>p</w:t>
      </w:r>
      <w:r>
        <w:rPr>
          <w:color w:val="000000"/>
          <w:spacing w:val="1"/>
        </w:rPr>
        <w:t>r</w:t>
      </w:r>
      <w:r>
        <w:rPr>
          <w:color w:val="000000"/>
          <w:spacing w:val="-1"/>
        </w:rPr>
        <w:t>e</w:t>
      </w:r>
      <w:r>
        <w:rPr>
          <w:color w:val="000000"/>
          <w:spacing w:val="5"/>
        </w:rPr>
        <w:t>k</w:t>
      </w:r>
      <w:r>
        <w:rPr>
          <w:color w:val="000000"/>
          <w:spacing w:val="-5"/>
        </w:rPr>
        <w:t>yb</w:t>
      </w:r>
      <w:r>
        <w:rPr>
          <w:color w:val="000000"/>
          <w:spacing w:val="5"/>
        </w:rPr>
        <w:t>o</w:t>
      </w:r>
      <w:r>
        <w:rPr>
          <w:color w:val="000000"/>
        </w:rPr>
        <w:t>s v</w:t>
      </w:r>
      <w:r>
        <w:rPr>
          <w:color w:val="000000"/>
          <w:spacing w:val="4"/>
        </w:rPr>
        <w:t>a</w:t>
      </w:r>
      <w:r>
        <w:rPr>
          <w:color w:val="000000"/>
          <w:spacing w:val="-4"/>
        </w:rPr>
        <w:t>i</w:t>
      </w:r>
      <w:r>
        <w:rPr>
          <w:color w:val="000000"/>
          <w:spacing w:val="2"/>
        </w:rPr>
        <w:t>s</w:t>
      </w:r>
      <w:r>
        <w:rPr>
          <w:color w:val="000000"/>
          <w:spacing w:val="-4"/>
        </w:rPr>
        <w:t>i</w:t>
      </w:r>
      <w:r>
        <w:rPr>
          <w:color w:val="000000"/>
          <w:spacing w:val="4"/>
        </w:rPr>
        <w:t>a</w:t>
      </w:r>
      <w:r>
        <w:rPr>
          <w:color w:val="000000"/>
          <w:spacing w:val="-4"/>
        </w:rPr>
        <w:t>i</w:t>
      </w:r>
      <w:r>
        <w:rPr>
          <w:color w:val="000000"/>
        </w:rPr>
        <w:t>s</w:t>
      </w:r>
      <w:r>
        <w:rPr>
          <w:color w:val="000000"/>
          <w:spacing w:val="5"/>
        </w:rPr>
        <w:t xml:space="preserve"> </w:t>
      </w:r>
      <w:r>
        <w:rPr>
          <w:color w:val="000000"/>
          <w:spacing w:val="-4"/>
        </w:rPr>
        <w:t>i</w:t>
      </w:r>
      <w:r>
        <w:rPr>
          <w:color w:val="000000"/>
        </w:rPr>
        <w:t>r</w:t>
      </w:r>
      <w:r>
        <w:rPr>
          <w:color w:val="000000"/>
          <w:spacing w:val="4"/>
        </w:rPr>
        <w:t xml:space="preserve"> </w:t>
      </w:r>
      <w:r>
        <w:rPr>
          <w:color w:val="000000"/>
        </w:rPr>
        <w:t>d</w:t>
      </w:r>
      <w:r>
        <w:rPr>
          <w:color w:val="000000"/>
          <w:spacing w:val="-1"/>
        </w:rPr>
        <w:t>a</w:t>
      </w:r>
      <w:r>
        <w:rPr>
          <w:color w:val="000000"/>
          <w:spacing w:val="1"/>
        </w:rPr>
        <w:t>r</w:t>
      </w:r>
      <w:r>
        <w:rPr>
          <w:color w:val="000000"/>
          <w:spacing w:val="-1"/>
        </w:rPr>
        <w:t>ž</w:t>
      </w:r>
      <w:r>
        <w:rPr>
          <w:color w:val="000000"/>
          <w:spacing w:val="5"/>
        </w:rPr>
        <w:t>o</w:t>
      </w:r>
      <w:r>
        <w:rPr>
          <w:color w:val="000000"/>
          <w:spacing w:val="-5"/>
        </w:rPr>
        <w:t>v</w:t>
      </w:r>
      <w:r>
        <w:rPr>
          <w:color w:val="000000"/>
          <w:spacing w:val="4"/>
        </w:rPr>
        <w:t>ė</w:t>
      </w:r>
      <w:r>
        <w:rPr>
          <w:color w:val="000000"/>
          <w:spacing w:val="-4"/>
        </w:rPr>
        <w:t>mi</w:t>
      </w:r>
      <w:r>
        <w:rPr>
          <w:color w:val="000000"/>
        </w:rPr>
        <w:t>s</w:t>
      </w:r>
      <w:r>
        <w:rPr>
          <w:color w:val="000000"/>
          <w:spacing w:val="5"/>
        </w:rPr>
        <w:t xml:space="preserve"> </w:t>
      </w:r>
      <w:r>
        <w:rPr>
          <w:color w:val="000000"/>
          <w:spacing w:val="1"/>
        </w:rPr>
        <w:t>f</w:t>
      </w:r>
      <w:r>
        <w:rPr>
          <w:color w:val="000000"/>
          <w:spacing w:val="-4"/>
        </w:rPr>
        <w:t>i</w:t>
      </w:r>
      <w:r>
        <w:rPr>
          <w:color w:val="000000"/>
          <w:spacing w:val="13"/>
        </w:rPr>
        <w:t>r</w:t>
      </w:r>
      <w:r>
        <w:rPr>
          <w:color w:val="000000"/>
          <w:spacing w:val="-4"/>
        </w:rPr>
        <w:t>m</w:t>
      </w:r>
      <w:r>
        <w:rPr>
          <w:color w:val="000000"/>
        </w:rPr>
        <w:t>ų</w:t>
      </w:r>
      <w:r>
        <w:rPr>
          <w:color w:val="000000"/>
          <w:spacing w:val="2"/>
        </w:rPr>
        <w:t xml:space="preserve"> </w:t>
      </w:r>
      <w:r>
        <w:rPr>
          <w:color w:val="000000"/>
          <w:spacing w:val="4"/>
        </w:rPr>
        <w:t>N</w:t>
      </w:r>
      <w:r>
        <w:rPr>
          <w:color w:val="000000"/>
          <w:spacing w:val="-10"/>
        </w:rPr>
        <w:t>y</w:t>
      </w:r>
      <w:r>
        <w:rPr>
          <w:color w:val="000000"/>
        </w:rPr>
        <w:t>d</w:t>
      </w:r>
      <w:r>
        <w:rPr>
          <w:color w:val="000000"/>
          <w:spacing w:val="-1"/>
        </w:rPr>
        <w:t>e</w:t>
      </w:r>
      <w:r>
        <w:rPr>
          <w:color w:val="000000"/>
          <w:spacing w:val="6"/>
        </w:rPr>
        <w:t>r</w:t>
      </w:r>
      <w:r>
        <w:rPr>
          <w:color w:val="000000"/>
          <w:spacing w:val="-4"/>
        </w:rPr>
        <w:t>l</w:t>
      </w:r>
      <w:r>
        <w:rPr>
          <w:color w:val="000000"/>
          <w:spacing w:val="4"/>
        </w:rPr>
        <w:t>a</w:t>
      </w:r>
      <w:r>
        <w:rPr>
          <w:color w:val="000000"/>
          <w:spacing w:val="-5"/>
        </w:rPr>
        <w:t>n</w:t>
      </w:r>
      <w:r>
        <w:rPr>
          <w:color w:val="000000"/>
        </w:rPr>
        <w:t>du</w:t>
      </w:r>
      <w:r>
        <w:rPr>
          <w:color w:val="000000"/>
          <w:spacing w:val="5"/>
        </w:rPr>
        <w:t>o</w:t>
      </w:r>
      <w:r>
        <w:rPr>
          <w:color w:val="000000"/>
          <w:spacing w:val="-2"/>
        </w:rPr>
        <w:t>s</w:t>
      </w:r>
      <w:r>
        <w:rPr>
          <w:color w:val="000000"/>
        </w:rPr>
        <w:t>e</w:t>
      </w:r>
      <w:r>
        <w:rPr>
          <w:color w:val="000000"/>
          <w:spacing w:val="6"/>
        </w:rPr>
        <w:t xml:space="preserve"> </w:t>
      </w:r>
      <w:r>
        <w:rPr>
          <w:color w:val="000000"/>
          <w:spacing w:val="-9"/>
        </w:rPr>
        <w:t>į</w:t>
      </w:r>
      <w:r>
        <w:rPr>
          <w:color w:val="000000"/>
          <w:spacing w:val="2"/>
        </w:rPr>
        <w:t>s</w:t>
      </w:r>
      <w:r>
        <w:rPr>
          <w:color w:val="000000"/>
          <w:spacing w:val="-4"/>
        </w:rPr>
        <w:t>i</w:t>
      </w:r>
      <w:r>
        <w:rPr>
          <w:color w:val="000000"/>
          <w:spacing w:val="5"/>
        </w:rPr>
        <w:t>g</w:t>
      </w:r>
      <w:r>
        <w:rPr>
          <w:color w:val="000000"/>
          <w:spacing w:val="-10"/>
        </w:rPr>
        <w:t>y</w:t>
      </w:r>
      <w:r>
        <w:rPr>
          <w:color w:val="000000"/>
          <w:spacing w:val="10"/>
        </w:rPr>
        <w:t>t</w:t>
      </w:r>
      <w:r>
        <w:rPr>
          <w:color w:val="000000"/>
        </w:rPr>
        <w:t>i</w:t>
      </w:r>
      <w:r>
        <w:rPr>
          <w:color w:val="000000"/>
          <w:spacing w:val="3"/>
        </w:rPr>
        <w:t xml:space="preserve"> </w:t>
      </w:r>
      <w:r>
        <w:rPr>
          <w:color w:val="000000"/>
          <w:spacing w:val="-5"/>
        </w:rPr>
        <w:t>b</w:t>
      </w:r>
      <w:r>
        <w:rPr>
          <w:color w:val="000000"/>
          <w:spacing w:val="4"/>
        </w:rPr>
        <w:t>a</w:t>
      </w:r>
      <w:r>
        <w:rPr>
          <w:color w:val="000000"/>
          <w:spacing w:val="-5"/>
        </w:rPr>
        <w:t>n</w:t>
      </w:r>
      <w:r>
        <w:rPr>
          <w:color w:val="000000"/>
          <w:spacing w:val="4"/>
        </w:rPr>
        <w:t>a</w:t>
      </w:r>
      <w:r>
        <w:rPr>
          <w:color w:val="000000"/>
          <w:spacing w:val="-5"/>
        </w:rPr>
        <w:t>n</w:t>
      </w:r>
      <w:r>
        <w:rPr>
          <w:color w:val="000000"/>
          <w:spacing w:val="4"/>
        </w:rPr>
        <w:t>a</w:t>
      </w:r>
      <w:r>
        <w:rPr>
          <w:color w:val="000000"/>
        </w:rPr>
        <w:t>i</w:t>
      </w:r>
      <w:r>
        <w:rPr>
          <w:color w:val="000000"/>
          <w:spacing w:val="3"/>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6"/>
        </w:rPr>
        <w:t>a</w:t>
      </w:r>
      <w:r>
        <w:rPr>
          <w:color w:val="000000"/>
          <w:spacing w:val="5"/>
        </w:rPr>
        <w:t>t</w:t>
      </w:r>
      <w:r>
        <w:rPr>
          <w:color w:val="000000"/>
        </w:rPr>
        <w:t>g</w:t>
      </w:r>
      <w:r>
        <w:rPr>
          <w:color w:val="000000"/>
          <w:spacing w:val="-1"/>
        </w:rPr>
        <w:t>a</w:t>
      </w:r>
      <w:r>
        <w:rPr>
          <w:color w:val="000000"/>
          <w:spacing w:val="-5"/>
        </w:rPr>
        <w:t>b</w:t>
      </w:r>
      <w:r>
        <w:rPr>
          <w:color w:val="000000"/>
          <w:spacing w:val="4"/>
        </w:rPr>
        <w:t>e</w:t>
      </w:r>
      <w:r>
        <w:rPr>
          <w:color w:val="000000"/>
          <w:spacing w:val="-5"/>
        </w:rPr>
        <w:t>n</w:t>
      </w:r>
      <w:r>
        <w:rPr>
          <w:color w:val="000000"/>
          <w:spacing w:val="10"/>
        </w:rPr>
        <w:t>t</w:t>
      </w:r>
      <w:r>
        <w:rPr>
          <w:color w:val="000000"/>
        </w:rPr>
        <w:t>i</w:t>
      </w:r>
      <w:r>
        <w:rPr>
          <w:color w:val="000000"/>
          <w:spacing w:val="3"/>
        </w:rPr>
        <w:t xml:space="preserve"> </w:t>
      </w:r>
      <w:r>
        <w:rPr>
          <w:color w:val="000000"/>
        </w:rPr>
        <w:t xml:space="preserve">į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1"/>
        </w:rPr>
        <w:t>ą</w:t>
      </w:r>
      <w:r>
        <w:rPr>
          <w:color w:val="000000"/>
        </w:rPr>
        <w:t>,</w:t>
      </w:r>
      <w:r>
        <w:rPr>
          <w:color w:val="000000"/>
          <w:spacing w:val="11"/>
        </w:rPr>
        <w:t xml:space="preserve"> </w:t>
      </w:r>
      <w:r>
        <w:rPr>
          <w:color w:val="000000"/>
        </w:rPr>
        <w:t>p</w:t>
      </w:r>
      <w:r>
        <w:rPr>
          <w:color w:val="000000"/>
          <w:spacing w:val="-1"/>
        </w:rPr>
        <w:t>a</w:t>
      </w:r>
      <w:r>
        <w:rPr>
          <w:color w:val="000000"/>
          <w:spacing w:val="5"/>
        </w:rPr>
        <w:t>t</w:t>
      </w:r>
      <w:r>
        <w:rPr>
          <w:color w:val="000000"/>
          <w:spacing w:val="-1"/>
        </w:rPr>
        <w:t>a</w:t>
      </w:r>
      <w:r>
        <w:rPr>
          <w:color w:val="000000"/>
          <w:spacing w:val="-9"/>
        </w:rPr>
        <w:t>l</w:t>
      </w:r>
      <w:r>
        <w:rPr>
          <w:color w:val="000000"/>
          <w:spacing w:val="5"/>
        </w:rPr>
        <w:t>p</w:t>
      </w:r>
      <w:r>
        <w:rPr>
          <w:color w:val="000000"/>
          <w:spacing w:val="-4"/>
        </w:rPr>
        <w:t>i</w:t>
      </w:r>
      <w:r>
        <w:rPr>
          <w:color w:val="000000"/>
          <w:spacing w:val="-5"/>
        </w:rPr>
        <w:t>n</w:t>
      </w:r>
      <w:r>
        <w:rPr>
          <w:color w:val="000000"/>
          <w:spacing w:val="10"/>
        </w:rPr>
        <w:t>t</w:t>
      </w:r>
      <w:r>
        <w:rPr>
          <w:color w:val="000000"/>
        </w:rPr>
        <w:t>i</w:t>
      </w:r>
      <w:r>
        <w:rPr>
          <w:color w:val="000000"/>
          <w:spacing w:val="4"/>
        </w:rPr>
        <w:t xml:space="preserve"> </w:t>
      </w:r>
      <w:r>
        <w:rPr>
          <w:color w:val="000000"/>
          <w:spacing w:val="-2"/>
        </w:rPr>
        <w:t>s</w:t>
      </w:r>
      <w:r>
        <w:rPr>
          <w:color w:val="000000"/>
          <w:spacing w:val="4"/>
        </w:rPr>
        <w:t>a</w:t>
      </w:r>
      <w:r>
        <w:rPr>
          <w:color w:val="000000"/>
          <w:spacing w:val="-5"/>
        </w:rPr>
        <w:t>n</w:t>
      </w:r>
      <w:r>
        <w:rPr>
          <w:color w:val="000000"/>
          <w:spacing w:val="5"/>
        </w:rPr>
        <w:t>d</w:t>
      </w:r>
      <w:r>
        <w:rPr>
          <w:color w:val="000000"/>
          <w:spacing w:val="4"/>
        </w:rPr>
        <w:t>ė</w:t>
      </w:r>
      <w:r>
        <w:rPr>
          <w:color w:val="000000"/>
          <w:spacing w:val="-4"/>
        </w:rPr>
        <w:t>li</w:t>
      </w:r>
      <w:r>
        <w:rPr>
          <w:color w:val="000000"/>
        </w:rPr>
        <w:t>u</w:t>
      </w:r>
      <w:r>
        <w:rPr>
          <w:color w:val="000000"/>
          <w:spacing w:val="5"/>
        </w:rPr>
        <w:t>o</w:t>
      </w:r>
      <w:r>
        <w:rPr>
          <w:color w:val="000000"/>
          <w:spacing w:val="-2"/>
        </w:rPr>
        <w:t>s</w:t>
      </w:r>
      <w:r>
        <w:rPr>
          <w:color w:val="000000"/>
          <w:spacing w:val="-1"/>
        </w:rPr>
        <w:t>e</w:t>
      </w:r>
      <w:r>
        <w:rPr>
          <w:color w:val="000000"/>
        </w:rPr>
        <w:t>,</w:t>
      </w:r>
      <w:r>
        <w:rPr>
          <w:color w:val="000000"/>
          <w:spacing w:val="16"/>
        </w:rPr>
        <w:t xml:space="preserve"> </w:t>
      </w:r>
      <w:r>
        <w:rPr>
          <w:color w:val="000000"/>
          <w:spacing w:val="-9"/>
        </w:rPr>
        <w:t>i</w:t>
      </w:r>
      <w:r>
        <w:rPr>
          <w:color w:val="000000"/>
        </w:rPr>
        <w:t>r</w:t>
      </w:r>
      <w:r>
        <w:rPr>
          <w:color w:val="000000"/>
          <w:spacing w:val="10"/>
        </w:rPr>
        <w:t xml:space="preserve"> </w:t>
      </w:r>
      <w:r>
        <w:rPr>
          <w:color w:val="000000"/>
        </w:rPr>
        <w:t>g</w:t>
      </w:r>
      <w:r>
        <w:rPr>
          <w:color w:val="000000"/>
          <w:spacing w:val="1"/>
        </w:rPr>
        <w:t>r</w:t>
      </w:r>
      <w:r>
        <w:rPr>
          <w:color w:val="000000"/>
          <w:spacing w:val="4"/>
        </w:rPr>
        <w:t>e</w:t>
      </w:r>
      <w:r>
        <w:rPr>
          <w:color w:val="000000"/>
          <w:spacing w:val="-4"/>
        </w:rPr>
        <w:t>i</w:t>
      </w:r>
      <w:r>
        <w:rPr>
          <w:color w:val="000000"/>
          <w:spacing w:val="4"/>
        </w:rPr>
        <w:t>č</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9"/>
        </w:rPr>
        <w:t xml:space="preserve"> </w:t>
      </w:r>
      <w:r>
        <w:rPr>
          <w:color w:val="000000"/>
          <w:spacing w:val="-5"/>
        </w:rPr>
        <w:t>b</w:t>
      </w:r>
      <w:r>
        <w:rPr>
          <w:color w:val="000000"/>
          <w:spacing w:val="5"/>
        </w:rPr>
        <w:t>u</w:t>
      </w:r>
      <w:r>
        <w:rPr>
          <w:color w:val="000000"/>
        </w:rPr>
        <w:t>vo</w:t>
      </w:r>
      <w:r>
        <w:rPr>
          <w:color w:val="000000"/>
          <w:spacing w:val="13"/>
        </w:rPr>
        <w:t xml:space="preserve"> </w:t>
      </w:r>
      <w:r>
        <w:rPr>
          <w:color w:val="000000"/>
          <w:spacing w:val="-2"/>
        </w:rPr>
        <w:t>s</w:t>
      </w:r>
      <w:r>
        <w:rPr>
          <w:color w:val="000000"/>
        </w:rPr>
        <w:t>k</w:t>
      </w:r>
      <w:r>
        <w:rPr>
          <w:color w:val="000000"/>
          <w:spacing w:val="-9"/>
        </w:rPr>
        <w:t>i</w:t>
      </w:r>
      <w:r>
        <w:rPr>
          <w:color w:val="000000"/>
          <w:spacing w:val="1"/>
        </w:rPr>
        <w:t>r</w:t>
      </w:r>
      <w:r>
        <w:rPr>
          <w:color w:val="000000"/>
          <w:spacing w:val="10"/>
        </w:rPr>
        <w:t>t</w:t>
      </w:r>
      <w:r>
        <w:rPr>
          <w:color w:val="000000"/>
        </w:rPr>
        <w:t>i v</w:t>
      </w:r>
      <w:r>
        <w:rPr>
          <w:color w:val="000000"/>
          <w:spacing w:val="-4"/>
        </w:rPr>
        <w:t>i</w:t>
      </w:r>
      <w:r>
        <w:rPr>
          <w:color w:val="000000"/>
          <w:spacing w:val="5"/>
        </w:rPr>
        <w:t>d</w:t>
      </w:r>
      <w:r>
        <w:rPr>
          <w:color w:val="000000"/>
          <w:spacing w:val="-1"/>
        </w:rPr>
        <w:t>a</w:t>
      </w:r>
      <w:r>
        <w:rPr>
          <w:color w:val="000000"/>
        </w:rPr>
        <w:t>us</w:t>
      </w:r>
      <w:r>
        <w:rPr>
          <w:color w:val="000000"/>
          <w:spacing w:val="7"/>
        </w:rPr>
        <w:t xml:space="preserve"> </w:t>
      </w:r>
      <w:r>
        <w:rPr>
          <w:color w:val="000000"/>
          <w:spacing w:val="6"/>
        </w:rPr>
        <w:t>r</w:t>
      </w:r>
      <w:r>
        <w:rPr>
          <w:color w:val="000000"/>
          <w:spacing w:val="-4"/>
        </w:rPr>
        <w:t>i</w:t>
      </w:r>
      <w:r>
        <w:rPr>
          <w:color w:val="000000"/>
          <w:spacing w:val="-5"/>
        </w:rPr>
        <w:t>n</w:t>
      </w:r>
      <w:r>
        <w:rPr>
          <w:color w:val="000000"/>
          <w:spacing w:val="5"/>
        </w:rPr>
        <w:t>k</w:t>
      </w:r>
      <w:r>
        <w:rPr>
          <w:color w:val="000000"/>
          <w:spacing w:val="4"/>
        </w:rPr>
        <w:t>a</w:t>
      </w:r>
      <w:r>
        <w:rPr>
          <w:color w:val="000000"/>
          <w:spacing w:val="-9"/>
        </w:rPr>
        <w:t>i</w:t>
      </w:r>
      <w:r>
        <w:rPr>
          <w:color w:val="000000"/>
        </w:rPr>
        <w:t>.</w:t>
      </w:r>
      <w:r>
        <w:rPr>
          <w:color w:val="000000"/>
          <w:spacing w:val="11"/>
        </w:rPr>
        <w:t xml:space="preserve"> </w:t>
      </w:r>
      <w:r>
        <w:rPr>
          <w:color w:val="000000"/>
          <w:spacing w:val="4"/>
        </w:rPr>
        <w:t>V</w:t>
      </w:r>
      <w:r>
        <w:rPr>
          <w:color w:val="000000"/>
          <w:spacing w:val="-4"/>
        </w:rPr>
        <w:t>i</w:t>
      </w:r>
      <w:r>
        <w:rPr>
          <w:color w:val="000000"/>
          <w:spacing w:val="4"/>
        </w:rPr>
        <w:t>e</w:t>
      </w:r>
      <w:r>
        <w:rPr>
          <w:color w:val="000000"/>
          <w:spacing w:val="-5"/>
        </w:rPr>
        <w:t>n</w:t>
      </w:r>
      <w:r>
        <w:rPr>
          <w:color w:val="000000"/>
        </w:rPr>
        <w:t>u</w:t>
      </w:r>
      <w:r>
        <w:rPr>
          <w:color w:val="000000"/>
          <w:spacing w:val="9"/>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u</w:t>
      </w:r>
      <w:r>
        <w:rPr>
          <w:color w:val="000000"/>
          <w:spacing w:val="9"/>
        </w:rPr>
        <w:t xml:space="preserve"> </w:t>
      </w:r>
      <w:r>
        <w:rPr>
          <w:color w:val="000000"/>
        </w:rPr>
        <w:t>d</w:t>
      </w:r>
      <w:r>
        <w:rPr>
          <w:color w:val="000000"/>
          <w:spacing w:val="4"/>
        </w:rPr>
        <w:t>a</w:t>
      </w:r>
      <w:r>
        <w:rPr>
          <w:color w:val="000000"/>
        </w:rPr>
        <w:t>l</w:t>
      </w:r>
      <w:r>
        <w:rPr>
          <w:color w:val="000000"/>
          <w:spacing w:val="-4"/>
        </w:rPr>
        <w:t>i</w:t>
      </w:r>
      <w:r>
        <w:rPr>
          <w:color w:val="000000"/>
        </w:rPr>
        <w:t>s</w:t>
      </w:r>
      <w:r>
        <w:rPr>
          <w:color w:val="000000"/>
          <w:spacing w:val="7"/>
        </w:rPr>
        <w:t xml:space="preserve"> </w:t>
      </w:r>
      <w:r>
        <w:rPr>
          <w:color w:val="000000"/>
        </w:rPr>
        <w:t>d</w:t>
      </w:r>
      <w:r>
        <w:rPr>
          <w:color w:val="000000"/>
          <w:spacing w:val="-1"/>
        </w:rPr>
        <w:t>ė</w:t>
      </w:r>
      <w:r>
        <w:rPr>
          <w:color w:val="000000"/>
          <w:spacing w:val="4"/>
        </w:rPr>
        <w:t>ž</w:t>
      </w:r>
      <w:r>
        <w:rPr>
          <w:color w:val="000000"/>
          <w:spacing w:val="-4"/>
        </w:rPr>
        <w:t>i</w:t>
      </w:r>
      <w:r>
        <w:rPr>
          <w:color w:val="000000"/>
        </w:rPr>
        <w:t>ų</w:t>
      </w:r>
      <w:r>
        <w:rPr>
          <w:color w:val="000000"/>
          <w:spacing w:val="14"/>
        </w:rPr>
        <w:t xml:space="preserve"> </w:t>
      </w:r>
      <w:r>
        <w:rPr>
          <w:color w:val="000000"/>
          <w:spacing w:val="-2"/>
        </w:rPr>
        <w:t>s</w:t>
      </w:r>
      <w:r>
        <w:rPr>
          <w:color w:val="000000"/>
        </w:rPr>
        <w:t xml:space="preserve">u </w:t>
      </w:r>
      <w:r>
        <w:rPr>
          <w:color w:val="000000"/>
          <w:spacing w:val="-5"/>
        </w:rPr>
        <w:t>b</w:t>
      </w:r>
      <w:r>
        <w:rPr>
          <w:color w:val="000000"/>
          <w:spacing w:val="4"/>
        </w:rPr>
        <w:t>a</w:t>
      </w:r>
      <w:r>
        <w:rPr>
          <w:color w:val="000000"/>
          <w:spacing w:val="-5"/>
        </w:rPr>
        <w:t>n</w:t>
      </w:r>
      <w:r>
        <w:rPr>
          <w:color w:val="000000"/>
          <w:spacing w:val="4"/>
        </w:rPr>
        <w:t>a</w:t>
      </w:r>
      <w:r>
        <w:rPr>
          <w:color w:val="000000"/>
        </w:rPr>
        <w:t>n</w:t>
      </w:r>
      <w:r>
        <w:rPr>
          <w:color w:val="000000"/>
          <w:spacing w:val="4"/>
        </w:rPr>
        <w:t>a</w:t>
      </w:r>
      <w:r>
        <w:rPr>
          <w:color w:val="000000"/>
          <w:spacing w:val="-4"/>
        </w:rPr>
        <w:t>i</w:t>
      </w:r>
      <w:r>
        <w:rPr>
          <w:color w:val="000000"/>
          <w:spacing w:val="-2"/>
        </w:rPr>
        <w:t>s</w:t>
      </w:r>
      <w:r>
        <w:rPr>
          <w:color w:val="000000"/>
        </w:rPr>
        <w:t>,</w:t>
      </w:r>
      <w:r>
        <w:rPr>
          <w:color w:val="000000"/>
          <w:spacing w:val="48"/>
        </w:rPr>
        <w:t xml:space="preserve"> </w:t>
      </w:r>
      <w:r>
        <w:rPr>
          <w:color w:val="000000"/>
          <w:spacing w:val="5"/>
        </w:rPr>
        <w:t>t</w:t>
      </w:r>
      <w:r>
        <w:rPr>
          <w:color w:val="000000"/>
          <w:spacing w:val="-1"/>
        </w:rPr>
        <w:t>a</w:t>
      </w:r>
      <w:r>
        <w:rPr>
          <w:color w:val="000000"/>
          <w:spacing w:val="1"/>
        </w:rPr>
        <w:t>r</w:t>
      </w:r>
      <w:r>
        <w:rPr>
          <w:color w:val="000000"/>
        </w:rPr>
        <w:t>p</w:t>
      </w:r>
      <w:r>
        <w:rPr>
          <w:color w:val="000000"/>
          <w:spacing w:val="45"/>
        </w:rPr>
        <w:t xml:space="preserve"> </w:t>
      </w:r>
      <w:r>
        <w:rPr>
          <w:color w:val="000000"/>
        </w:rPr>
        <w:t>ku</w:t>
      </w:r>
      <w:r>
        <w:rPr>
          <w:color w:val="000000"/>
          <w:spacing w:val="1"/>
        </w:rPr>
        <w:t>r</w:t>
      </w:r>
      <w:r>
        <w:rPr>
          <w:color w:val="000000"/>
          <w:spacing w:val="-9"/>
        </w:rPr>
        <w:t>i</w:t>
      </w:r>
      <w:r>
        <w:rPr>
          <w:color w:val="000000"/>
        </w:rPr>
        <w:t>ų,</w:t>
      </w:r>
      <w:r>
        <w:rPr>
          <w:color w:val="000000"/>
          <w:spacing w:val="48"/>
        </w:rPr>
        <w:t xml:space="preserve"> </w:t>
      </w:r>
      <w:r>
        <w:rPr>
          <w:color w:val="000000"/>
        </w:rPr>
        <w:t>k</w:t>
      </w:r>
      <w:r>
        <w:rPr>
          <w:color w:val="000000"/>
          <w:spacing w:val="4"/>
        </w:rPr>
        <w:t>a</w:t>
      </w:r>
      <w:r>
        <w:rPr>
          <w:color w:val="000000"/>
          <w:spacing w:val="-4"/>
        </w:rPr>
        <w:t>i</w:t>
      </w:r>
      <w:r>
        <w:rPr>
          <w:color w:val="000000"/>
        </w:rPr>
        <w:t>p</w:t>
      </w:r>
      <w:r>
        <w:rPr>
          <w:color w:val="000000"/>
          <w:spacing w:val="50"/>
        </w:rPr>
        <w:t xml:space="preserve"> </w:t>
      </w:r>
      <w:r>
        <w:rPr>
          <w:color w:val="000000"/>
          <w:spacing w:val="-5"/>
        </w:rPr>
        <w:t>v</w:t>
      </w:r>
      <w:r>
        <w:rPr>
          <w:color w:val="000000"/>
          <w:spacing w:val="4"/>
        </w:rPr>
        <w:t>ė</w:t>
      </w:r>
      <w:r>
        <w:rPr>
          <w:color w:val="000000"/>
        </w:rPr>
        <w:t>l</w:t>
      </w:r>
      <w:r>
        <w:rPr>
          <w:color w:val="000000"/>
          <w:spacing w:val="-4"/>
        </w:rPr>
        <w:t>i</w:t>
      </w:r>
      <w:r>
        <w:rPr>
          <w:color w:val="000000"/>
          <w:spacing w:val="-1"/>
        </w:rPr>
        <w:t>a</w:t>
      </w:r>
      <w:r>
        <w:rPr>
          <w:color w:val="000000"/>
        </w:rPr>
        <w:t>u</w:t>
      </w:r>
      <w:r>
        <w:rPr>
          <w:color w:val="000000"/>
          <w:spacing w:val="45"/>
        </w:rPr>
        <w:t xml:space="preserve"> </w:t>
      </w:r>
      <w:r>
        <w:rPr>
          <w:color w:val="000000"/>
        </w:rPr>
        <w:t>p</w:t>
      </w:r>
      <w:r>
        <w:rPr>
          <w:color w:val="000000"/>
          <w:spacing w:val="-1"/>
        </w:rPr>
        <w:t>a</w:t>
      </w:r>
      <w:r>
        <w:rPr>
          <w:color w:val="000000"/>
          <w:spacing w:val="4"/>
        </w:rPr>
        <w:t>a</w:t>
      </w:r>
      <w:r>
        <w:rPr>
          <w:color w:val="000000"/>
          <w:spacing w:val="-4"/>
        </w:rPr>
        <w:t>i</w:t>
      </w:r>
      <w:r>
        <w:rPr>
          <w:color w:val="000000"/>
          <w:spacing w:val="2"/>
        </w:rPr>
        <w:t>š</w:t>
      </w:r>
      <w:r>
        <w:rPr>
          <w:color w:val="000000"/>
        </w:rPr>
        <w:t>k</w:t>
      </w:r>
      <w:r>
        <w:rPr>
          <w:color w:val="000000"/>
          <w:spacing w:val="4"/>
        </w:rPr>
        <w:t>ė</w:t>
      </w:r>
      <w:r>
        <w:rPr>
          <w:color w:val="000000"/>
          <w:spacing w:val="-9"/>
        </w:rPr>
        <w:t>j</w:t>
      </w:r>
      <w:r>
        <w:rPr>
          <w:color w:val="000000"/>
        </w:rPr>
        <w:t>o</w:t>
      </w:r>
      <w:r>
        <w:rPr>
          <w:color w:val="000000"/>
          <w:spacing w:val="55"/>
        </w:rPr>
        <w:t xml:space="preserve"> </w:t>
      </w:r>
      <w:r>
        <w:rPr>
          <w:color w:val="000000"/>
          <w:spacing w:val="-5"/>
        </w:rPr>
        <w:t>b</w:t>
      </w:r>
      <w:r>
        <w:rPr>
          <w:color w:val="000000"/>
          <w:spacing w:val="5"/>
        </w:rPr>
        <w:t>u</w:t>
      </w:r>
      <w:r>
        <w:rPr>
          <w:color w:val="000000"/>
          <w:spacing w:val="-5"/>
        </w:rPr>
        <w:t>v</w:t>
      </w:r>
      <w:r>
        <w:rPr>
          <w:color w:val="000000"/>
        </w:rPr>
        <w:t>o</w:t>
      </w:r>
      <w:r>
        <w:rPr>
          <w:color w:val="000000"/>
          <w:spacing w:val="50"/>
        </w:rPr>
        <w:t xml:space="preserve"> </w:t>
      </w:r>
      <w:r>
        <w:rPr>
          <w:color w:val="000000"/>
        </w:rPr>
        <w:t>p</w:t>
      </w:r>
      <w:r>
        <w:rPr>
          <w:color w:val="000000"/>
          <w:spacing w:val="-1"/>
        </w:rPr>
        <w:t>a</w:t>
      </w:r>
      <w:r>
        <w:rPr>
          <w:color w:val="000000"/>
          <w:spacing w:val="2"/>
        </w:rPr>
        <w:t>s</w:t>
      </w:r>
      <w:r>
        <w:rPr>
          <w:color w:val="000000"/>
          <w:spacing w:val="-4"/>
        </w:rPr>
        <w:t>l</w:t>
      </w:r>
      <w:r>
        <w:rPr>
          <w:color w:val="000000"/>
          <w:spacing w:val="-1"/>
        </w:rPr>
        <w:t>ė</w:t>
      </w:r>
      <w:r>
        <w:rPr>
          <w:color w:val="000000"/>
        </w:rPr>
        <w:t>p</w:t>
      </w:r>
      <w:r>
        <w:rPr>
          <w:color w:val="000000"/>
          <w:spacing w:val="5"/>
        </w:rPr>
        <w:t>t</w:t>
      </w:r>
      <w:r>
        <w:rPr>
          <w:color w:val="000000"/>
        </w:rPr>
        <w:t>a</w:t>
      </w:r>
      <w:r>
        <w:rPr>
          <w:color w:val="000000"/>
          <w:spacing w:val="49"/>
        </w:rPr>
        <w:t xml:space="preserve"> </w:t>
      </w:r>
      <w:r>
        <w:rPr>
          <w:color w:val="000000"/>
          <w:spacing w:val="-9"/>
        </w:rPr>
        <w:t>i</w:t>
      </w:r>
      <w:r>
        <w:rPr>
          <w:color w:val="000000"/>
        </w:rPr>
        <w:t>r</w:t>
      </w:r>
      <w:r>
        <w:rPr>
          <w:color w:val="000000"/>
          <w:spacing w:val="47"/>
        </w:rPr>
        <w:t xml:space="preserve"> </w:t>
      </w:r>
      <w:r>
        <w:rPr>
          <w:color w:val="000000"/>
        </w:rPr>
        <w:t>d</w:t>
      </w:r>
      <w:r>
        <w:rPr>
          <w:color w:val="000000"/>
          <w:spacing w:val="4"/>
        </w:rPr>
        <w:t>a</w:t>
      </w:r>
      <w:r>
        <w:rPr>
          <w:color w:val="000000"/>
        </w:rPr>
        <w:t>l</w:t>
      </w:r>
      <w:r>
        <w:rPr>
          <w:color w:val="000000"/>
          <w:spacing w:val="-4"/>
        </w:rPr>
        <w:t>i</w:t>
      </w:r>
      <w:r>
        <w:rPr>
          <w:color w:val="000000"/>
        </w:rPr>
        <w:t>s</w:t>
      </w:r>
      <w:r>
        <w:rPr>
          <w:color w:val="000000"/>
          <w:spacing w:val="43"/>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5"/>
        </w:rPr>
        <w:t>o</w:t>
      </w:r>
      <w:r>
        <w:rPr>
          <w:color w:val="000000"/>
        </w:rPr>
        <w:t>,</w:t>
      </w:r>
      <w:r>
        <w:rPr>
          <w:color w:val="000000"/>
          <w:spacing w:val="52"/>
        </w:rPr>
        <w:t xml:space="preserve"> </w:t>
      </w:r>
      <w:r>
        <w:rPr>
          <w:color w:val="000000"/>
          <w:spacing w:val="-9"/>
        </w:rPr>
        <w:t>j</w:t>
      </w:r>
      <w:r>
        <w:rPr>
          <w:color w:val="000000"/>
          <w:spacing w:val="-1"/>
        </w:rPr>
        <w:t>a</w:t>
      </w:r>
      <w:r>
        <w:rPr>
          <w:color w:val="000000"/>
        </w:rPr>
        <w:t>u</w:t>
      </w:r>
      <w:r>
        <w:rPr>
          <w:color w:val="000000"/>
          <w:spacing w:val="50"/>
        </w:rPr>
        <w:t xml:space="preserve"> </w:t>
      </w:r>
      <w:r>
        <w:rPr>
          <w:color w:val="000000"/>
          <w:spacing w:val="-5"/>
        </w:rPr>
        <w:t>b</w:t>
      </w:r>
      <w:r>
        <w:rPr>
          <w:color w:val="000000"/>
          <w:spacing w:val="5"/>
        </w:rPr>
        <w:t>u</w:t>
      </w:r>
      <w:r>
        <w:rPr>
          <w:color w:val="000000"/>
          <w:spacing w:val="-5"/>
        </w:rPr>
        <w:t>v</w:t>
      </w:r>
      <w:r>
        <w:rPr>
          <w:color w:val="000000"/>
        </w:rPr>
        <w:t>o</w:t>
      </w:r>
      <w:r>
        <w:rPr>
          <w:color w:val="000000"/>
          <w:spacing w:val="50"/>
        </w:rPr>
        <w:t xml:space="preserve"> </w:t>
      </w:r>
      <w:r>
        <w:rPr>
          <w:color w:val="000000"/>
        </w:rPr>
        <w:t>p</w:t>
      </w:r>
      <w:r>
        <w:rPr>
          <w:color w:val="000000"/>
          <w:spacing w:val="-1"/>
        </w:rPr>
        <w:t>a</w:t>
      </w:r>
      <w:r>
        <w:rPr>
          <w:color w:val="000000"/>
          <w:spacing w:val="-2"/>
        </w:rPr>
        <w:t>s</w:t>
      </w:r>
      <w:r>
        <w:rPr>
          <w:color w:val="000000"/>
          <w:spacing w:val="5"/>
        </w:rPr>
        <w:t>k</w:t>
      </w:r>
      <w:r>
        <w:rPr>
          <w:color w:val="000000"/>
          <w:spacing w:val="-9"/>
        </w:rPr>
        <w:t>i</w:t>
      </w:r>
      <w:r>
        <w:rPr>
          <w:color w:val="000000"/>
          <w:spacing w:val="6"/>
        </w:rPr>
        <w:t>r</w:t>
      </w:r>
      <w:r>
        <w:rPr>
          <w:color w:val="000000"/>
          <w:spacing w:val="-2"/>
        </w:rPr>
        <w:t>s</w:t>
      </w:r>
      <w:r>
        <w:rPr>
          <w:color w:val="000000"/>
          <w:spacing w:val="10"/>
        </w:rPr>
        <w:t>t</w:t>
      </w:r>
      <w:r>
        <w:rPr>
          <w:color w:val="000000"/>
          <w:spacing w:val="-10"/>
        </w:rPr>
        <w:t>y</w:t>
      </w:r>
      <w:r>
        <w:rPr>
          <w:color w:val="000000"/>
          <w:spacing w:val="5"/>
        </w:rPr>
        <w:t>t</w:t>
      </w:r>
      <w:r>
        <w:rPr>
          <w:color w:val="000000"/>
        </w:rPr>
        <w:t>a m</w:t>
      </w:r>
      <w:r>
        <w:rPr>
          <w:color w:val="000000"/>
          <w:spacing w:val="-4"/>
        </w:rPr>
        <w:t>i</w:t>
      </w:r>
      <w:r>
        <w:rPr>
          <w:color w:val="000000"/>
          <w:spacing w:val="-1"/>
        </w:rPr>
        <w:t>e</w:t>
      </w:r>
      <w:r>
        <w:rPr>
          <w:color w:val="000000"/>
          <w:spacing w:val="-2"/>
        </w:rPr>
        <w:t>s</w:t>
      </w:r>
      <w:r>
        <w:rPr>
          <w:color w:val="000000"/>
          <w:spacing w:val="6"/>
        </w:rPr>
        <w:t>t</w:t>
      </w:r>
      <w:r>
        <w:rPr>
          <w:color w:val="000000"/>
        </w:rPr>
        <w:t>ų</w:t>
      </w:r>
      <w:r>
        <w:rPr>
          <w:color w:val="000000"/>
          <w:spacing w:val="36"/>
        </w:rPr>
        <w:t xml:space="preserve"> </w:t>
      </w:r>
      <w:r>
        <w:rPr>
          <w:color w:val="000000"/>
        </w:rPr>
        <w:t>p</w:t>
      </w:r>
      <w:r>
        <w:rPr>
          <w:color w:val="000000"/>
          <w:spacing w:val="1"/>
        </w:rPr>
        <w:t>r</w:t>
      </w:r>
      <w:r>
        <w:rPr>
          <w:color w:val="000000"/>
          <w:spacing w:val="-1"/>
        </w:rPr>
        <w:t>e</w:t>
      </w:r>
      <w:r>
        <w:rPr>
          <w:color w:val="000000"/>
          <w:spacing w:val="5"/>
        </w:rPr>
        <w:t>k</w:t>
      </w:r>
      <w:r>
        <w:rPr>
          <w:color w:val="000000"/>
          <w:spacing w:val="-5"/>
        </w:rPr>
        <w:t>yb</w:t>
      </w:r>
      <w:r>
        <w:rPr>
          <w:color w:val="000000"/>
          <w:spacing w:val="5"/>
        </w:rPr>
        <w:t>o</w:t>
      </w:r>
      <w:r>
        <w:rPr>
          <w:color w:val="000000"/>
        </w:rPr>
        <w:t>s</w:t>
      </w:r>
      <w:r>
        <w:rPr>
          <w:color w:val="000000"/>
          <w:spacing w:val="34"/>
        </w:rPr>
        <w:t xml:space="preserve"> </w:t>
      </w:r>
      <w:r>
        <w:rPr>
          <w:color w:val="000000"/>
          <w:spacing w:val="5"/>
        </w:rPr>
        <w:t>t</w:t>
      </w:r>
      <w:r>
        <w:rPr>
          <w:color w:val="000000"/>
          <w:spacing w:val="-4"/>
        </w:rPr>
        <w:t>i</w:t>
      </w:r>
      <w:r>
        <w:rPr>
          <w:color w:val="000000"/>
          <w:spacing w:val="-5"/>
        </w:rPr>
        <w:t>n</w:t>
      </w:r>
      <w:r>
        <w:rPr>
          <w:color w:val="000000"/>
          <w:spacing w:val="5"/>
        </w:rPr>
        <w:t>k</w:t>
      </w:r>
      <w:r>
        <w:rPr>
          <w:color w:val="000000"/>
          <w:spacing w:val="-4"/>
        </w:rPr>
        <w:t>l</w:t>
      </w:r>
      <w:r>
        <w:rPr>
          <w:color w:val="000000"/>
        </w:rPr>
        <w:t>u</w:t>
      </w:r>
      <w:r>
        <w:rPr>
          <w:color w:val="000000"/>
          <w:spacing w:val="5"/>
        </w:rPr>
        <w:t>o</w:t>
      </w:r>
      <w:r>
        <w:rPr>
          <w:color w:val="000000"/>
          <w:spacing w:val="-2"/>
        </w:rPr>
        <w:t>s</w:t>
      </w:r>
      <w:r>
        <w:rPr>
          <w:color w:val="000000"/>
          <w:spacing w:val="-1"/>
        </w:rPr>
        <w:t>e</w:t>
      </w:r>
      <w:r>
        <w:rPr>
          <w:color w:val="000000"/>
        </w:rPr>
        <w:t>.</w:t>
      </w:r>
      <w:r>
        <w:rPr>
          <w:color w:val="000000"/>
          <w:spacing w:val="38"/>
        </w:rPr>
        <w:t xml:space="preserve"> </w:t>
      </w:r>
      <w:r>
        <w:rPr>
          <w:color w:val="000000"/>
          <w:spacing w:val="-2"/>
        </w:rPr>
        <w:t>J</w:t>
      </w:r>
      <w:r>
        <w:rPr>
          <w:color w:val="000000"/>
        </w:rPr>
        <w:t>u</w:t>
      </w:r>
      <w:r>
        <w:rPr>
          <w:color w:val="000000"/>
          <w:spacing w:val="5"/>
        </w:rPr>
        <w:t>o</w:t>
      </w:r>
      <w:r>
        <w:rPr>
          <w:color w:val="000000"/>
          <w:spacing w:val="-2"/>
        </w:rPr>
        <w:t>s</w:t>
      </w:r>
      <w:r>
        <w:rPr>
          <w:color w:val="000000"/>
        </w:rPr>
        <w:t>e</w:t>
      </w:r>
      <w:r>
        <w:rPr>
          <w:color w:val="000000"/>
          <w:spacing w:val="35"/>
        </w:rPr>
        <w:t xml:space="preserve"> </w:t>
      </w:r>
      <w:r>
        <w:rPr>
          <w:color w:val="000000"/>
          <w:spacing w:val="1"/>
        </w:rPr>
        <w:t>r</w:t>
      </w:r>
      <w:r>
        <w:rPr>
          <w:color w:val="000000"/>
          <w:spacing w:val="-1"/>
        </w:rPr>
        <w:t>a</w:t>
      </w:r>
      <w:r>
        <w:rPr>
          <w:color w:val="000000"/>
          <w:spacing w:val="-7"/>
        </w:rPr>
        <w:t>s</w:t>
      </w:r>
      <w:r>
        <w:rPr>
          <w:color w:val="000000"/>
          <w:spacing w:val="5"/>
        </w:rPr>
        <w:t>t</w:t>
      </w:r>
      <w:r>
        <w:rPr>
          <w:color w:val="000000"/>
        </w:rPr>
        <w:t>a</w:t>
      </w:r>
      <w:r>
        <w:rPr>
          <w:color w:val="000000"/>
          <w:spacing w:val="35"/>
        </w:rPr>
        <w:t xml:space="preserve"> </w:t>
      </w:r>
      <w:r>
        <w:rPr>
          <w:color w:val="000000"/>
          <w:spacing w:val="-9"/>
        </w:rPr>
        <w:t>i</w:t>
      </w:r>
      <w:r>
        <w:rPr>
          <w:color w:val="000000"/>
        </w:rPr>
        <w:t>r</w:t>
      </w:r>
      <w:r>
        <w:rPr>
          <w:color w:val="000000"/>
          <w:spacing w:val="37"/>
        </w:rPr>
        <w:t xml:space="preserve"> </w:t>
      </w:r>
      <w:r>
        <w:rPr>
          <w:color w:val="000000"/>
        </w:rPr>
        <w:t>p</w:t>
      </w:r>
      <w:r>
        <w:rPr>
          <w:color w:val="000000"/>
          <w:spacing w:val="4"/>
        </w:rPr>
        <w:t>a</w:t>
      </w:r>
      <w:r>
        <w:rPr>
          <w:color w:val="000000"/>
          <w:spacing w:val="-4"/>
        </w:rPr>
        <w:t>i</w:t>
      </w:r>
      <w:r>
        <w:rPr>
          <w:color w:val="000000"/>
          <w:spacing w:val="-9"/>
        </w:rPr>
        <w:t>m</w:t>
      </w:r>
      <w:r>
        <w:rPr>
          <w:color w:val="000000"/>
          <w:spacing w:val="5"/>
        </w:rPr>
        <w:t>t</w:t>
      </w:r>
      <w:r>
        <w:rPr>
          <w:color w:val="000000"/>
        </w:rPr>
        <w:t>a</w:t>
      </w:r>
      <w:r>
        <w:rPr>
          <w:color w:val="000000"/>
          <w:spacing w:val="40"/>
        </w:rPr>
        <w:t xml:space="preserve"> </w:t>
      </w:r>
      <w:r>
        <w:rPr>
          <w:color w:val="000000"/>
          <w:spacing w:val="-1"/>
        </w:rPr>
        <w:t>a</w:t>
      </w:r>
      <w:r>
        <w:rPr>
          <w:color w:val="000000"/>
          <w:spacing w:val="5"/>
        </w:rPr>
        <w:t>p</w:t>
      </w:r>
      <w:r>
        <w:rPr>
          <w:color w:val="000000"/>
          <w:spacing w:val="-9"/>
        </w:rPr>
        <w:t>i</w:t>
      </w:r>
      <w:r>
        <w:rPr>
          <w:color w:val="000000"/>
        </w:rPr>
        <w:t>e</w:t>
      </w:r>
      <w:r>
        <w:rPr>
          <w:color w:val="000000"/>
          <w:spacing w:val="35"/>
        </w:rPr>
        <w:t xml:space="preserve"> </w:t>
      </w:r>
      <w:r>
        <w:rPr>
          <w:color w:val="000000"/>
        </w:rPr>
        <w:t>24</w:t>
      </w:r>
      <w:r>
        <w:rPr>
          <w:color w:val="000000"/>
          <w:spacing w:val="36"/>
        </w:rPr>
        <w:t xml:space="preserve"> </w:t>
      </w:r>
      <w:r>
        <w:rPr>
          <w:color w:val="000000"/>
        </w:rPr>
        <w:t>kg</w:t>
      </w:r>
      <w:r>
        <w:rPr>
          <w:color w:val="000000"/>
          <w:spacing w:val="36"/>
        </w:rPr>
        <w:t xml:space="preserve"> </w:t>
      </w:r>
      <w:r>
        <w:rPr>
          <w:color w:val="000000"/>
          <w:spacing w:val="2"/>
        </w:rPr>
        <w:t>š</w:t>
      </w:r>
      <w:r>
        <w:rPr>
          <w:color w:val="000000"/>
          <w:spacing w:val="-9"/>
        </w:rPr>
        <w:t>i</w:t>
      </w:r>
      <w:r>
        <w:rPr>
          <w:color w:val="000000"/>
        </w:rPr>
        <w:t>o</w:t>
      </w:r>
      <w:r>
        <w:rPr>
          <w:color w:val="000000"/>
          <w:spacing w:val="40"/>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w:t>
      </w:r>
      <w:r>
        <w:rPr>
          <w:color w:val="000000"/>
          <w:spacing w:val="5"/>
        </w:rPr>
        <w:t>o</w:t>
      </w:r>
      <w:r>
        <w:rPr>
          <w:color w:val="000000"/>
        </w:rPr>
        <w:t>.</w:t>
      </w:r>
      <w:r>
        <w:rPr>
          <w:color w:val="000000"/>
          <w:spacing w:val="38"/>
        </w:rPr>
        <w:t xml:space="preserve"> </w:t>
      </w:r>
      <w:r>
        <w:rPr>
          <w:color w:val="000000"/>
          <w:spacing w:val="-3"/>
        </w:rPr>
        <w:t>L</w:t>
      </w:r>
      <w:r>
        <w:rPr>
          <w:color w:val="000000"/>
          <w:spacing w:val="-9"/>
        </w:rPr>
        <w:t>i</w:t>
      </w:r>
      <w:r>
        <w:rPr>
          <w:color w:val="000000"/>
        </w:rPr>
        <w:t>k</w:t>
      </w:r>
      <w:r>
        <w:rPr>
          <w:color w:val="000000"/>
          <w:spacing w:val="4"/>
        </w:rPr>
        <w:t>ę</w:t>
      </w:r>
      <w:r>
        <w:rPr>
          <w:color w:val="000000"/>
        </w:rPr>
        <w:t>s</w:t>
      </w:r>
      <w:r>
        <w:rPr>
          <w:color w:val="000000"/>
          <w:spacing w:val="34"/>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1"/>
        </w:rPr>
        <w:t>a</w:t>
      </w:r>
      <w:r>
        <w:rPr>
          <w:color w:val="000000"/>
        </w:rPr>
        <w:t>s</w:t>
      </w:r>
      <w:r>
        <w:rPr>
          <w:color w:val="000000"/>
          <w:spacing w:val="34"/>
        </w:rPr>
        <w:t xml:space="preserve"> </w:t>
      </w:r>
      <w:r>
        <w:rPr>
          <w:color w:val="000000"/>
          <w:spacing w:val="1"/>
        </w:rPr>
        <w:t>r</w:t>
      </w:r>
      <w:r>
        <w:rPr>
          <w:color w:val="000000"/>
          <w:spacing w:val="-1"/>
        </w:rPr>
        <w:t>a</w:t>
      </w:r>
      <w:r>
        <w:rPr>
          <w:color w:val="000000"/>
          <w:spacing w:val="-2"/>
        </w:rPr>
        <w:t>s</w:t>
      </w:r>
      <w:r>
        <w:rPr>
          <w:color w:val="000000"/>
          <w:spacing w:val="5"/>
        </w:rPr>
        <w:t>t</w:t>
      </w:r>
      <w:r>
        <w:rPr>
          <w:color w:val="000000"/>
          <w:spacing w:val="-1"/>
        </w:rPr>
        <w:t>a</w:t>
      </w:r>
      <w:r>
        <w:rPr>
          <w:color w:val="000000"/>
        </w:rPr>
        <w:t xml:space="preserve">s </w:t>
      </w:r>
      <w:r>
        <w:rPr>
          <w:color w:val="000000"/>
          <w:spacing w:val="1"/>
        </w:rPr>
        <w:t>f</w:t>
      </w:r>
      <w:r>
        <w:rPr>
          <w:color w:val="000000"/>
          <w:spacing w:val="-9"/>
        </w:rPr>
        <w:t>i</w:t>
      </w:r>
      <w:r>
        <w:rPr>
          <w:color w:val="000000"/>
          <w:spacing w:val="6"/>
        </w:rPr>
        <w:t>r</w:t>
      </w:r>
      <w:r>
        <w:rPr>
          <w:color w:val="000000"/>
          <w:spacing w:val="-4"/>
        </w:rPr>
        <w:t>m</w:t>
      </w:r>
      <w:r>
        <w:rPr>
          <w:color w:val="000000"/>
        </w:rPr>
        <w:t>ų</w:t>
      </w:r>
      <w:r>
        <w:rPr>
          <w:color w:val="000000"/>
          <w:spacing w:val="5"/>
        </w:rPr>
        <w:t xml:space="preserve"> </w:t>
      </w:r>
      <w:r>
        <w:rPr>
          <w:color w:val="000000"/>
          <w:spacing w:val="-2"/>
        </w:rPr>
        <w:t>s</w:t>
      </w:r>
      <w:r>
        <w:rPr>
          <w:color w:val="000000"/>
          <w:spacing w:val="4"/>
        </w:rPr>
        <w:t>a</w:t>
      </w:r>
      <w:r>
        <w:rPr>
          <w:color w:val="000000"/>
          <w:spacing w:val="-5"/>
        </w:rPr>
        <w:t>n</w:t>
      </w:r>
      <w:r>
        <w:rPr>
          <w:color w:val="000000"/>
        </w:rPr>
        <w:t>d</w:t>
      </w:r>
      <w:r>
        <w:rPr>
          <w:color w:val="000000"/>
          <w:spacing w:val="4"/>
        </w:rPr>
        <w:t>ė</w:t>
      </w:r>
      <w:r>
        <w:rPr>
          <w:color w:val="000000"/>
        </w:rPr>
        <w:t>l</w:t>
      </w:r>
      <w:r>
        <w:rPr>
          <w:color w:val="000000"/>
          <w:spacing w:val="-4"/>
        </w:rPr>
        <w:t>i</w:t>
      </w:r>
      <w:r>
        <w:rPr>
          <w:color w:val="000000"/>
        </w:rPr>
        <w:t>u</w:t>
      </w:r>
      <w:r>
        <w:rPr>
          <w:color w:val="000000"/>
          <w:spacing w:val="5"/>
        </w:rPr>
        <w:t>o</w:t>
      </w:r>
      <w:r>
        <w:rPr>
          <w:color w:val="000000"/>
          <w:spacing w:val="-2"/>
        </w:rPr>
        <w:t>s</w:t>
      </w:r>
      <w:r>
        <w:rPr>
          <w:color w:val="000000"/>
        </w:rPr>
        <w:t>e</w:t>
      </w:r>
      <w:r>
        <w:rPr>
          <w:color w:val="000000"/>
          <w:spacing w:val="4"/>
        </w:rPr>
        <w:t xml:space="preserve"> </w:t>
      </w:r>
      <w:r>
        <w:rPr>
          <w:color w:val="000000"/>
          <w:spacing w:val="5"/>
        </w:rPr>
        <w:t>t</w:t>
      </w:r>
      <w:r>
        <w:rPr>
          <w:color w:val="000000"/>
          <w:spacing w:val="-1"/>
        </w:rPr>
        <w:t>a</w:t>
      </w:r>
      <w:r>
        <w:rPr>
          <w:color w:val="000000"/>
          <w:spacing w:val="1"/>
        </w:rPr>
        <w:t>r</w:t>
      </w:r>
      <w:r>
        <w:rPr>
          <w:color w:val="000000"/>
        </w:rPr>
        <w:t xml:space="preserve">p </w:t>
      </w:r>
      <w:r>
        <w:rPr>
          <w:color w:val="000000"/>
          <w:spacing w:val="5"/>
        </w:rPr>
        <w:t>t</w:t>
      </w:r>
      <w:r>
        <w:rPr>
          <w:color w:val="000000"/>
          <w:spacing w:val="-1"/>
        </w:rPr>
        <w:t>e</w:t>
      </w:r>
      <w:r>
        <w:rPr>
          <w:color w:val="000000"/>
        </w:rPr>
        <w:t xml:space="preserve">n </w:t>
      </w:r>
      <w:r>
        <w:rPr>
          <w:color w:val="000000"/>
          <w:spacing w:val="-9"/>
        </w:rPr>
        <w:t>l</w:t>
      </w:r>
      <w:r>
        <w:rPr>
          <w:color w:val="000000"/>
          <w:spacing w:val="4"/>
        </w:rPr>
        <w:t>a</w:t>
      </w:r>
      <w:r>
        <w:rPr>
          <w:color w:val="000000"/>
          <w:spacing w:val="-4"/>
        </w:rPr>
        <w:t>i</w:t>
      </w:r>
      <w:r>
        <w:rPr>
          <w:color w:val="000000"/>
        </w:rPr>
        <w:t>k</w:t>
      </w:r>
      <w:r>
        <w:rPr>
          <w:color w:val="000000"/>
          <w:spacing w:val="9"/>
        </w:rPr>
        <w:t>o</w:t>
      </w:r>
      <w:r>
        <w:rPr>
          <w:color w:val="000000"/>
          <w:spacing w:val="-9"/>
        </w:rPr>
        <w:t>m</w:t>
      </w:r>
      <w:r>
        <w:rPr>
          <w:color w:val="000000"/>
        </w:rPr>
        <w:t>ų</w:t>
      </w:r>
      <w:r>
        <w:rPr>
          <w:color w:val="000000"/>
          <w:spacing w:val="10"/>
        </w:rPr>
        <w:t xml:space="preserve"> </w:t>
      </w:r>
      <w:r>
        <w:rPr>
          <w:color w:val="000000"/>
          <w:spacing w:val="-5"/>
        </w:rPr>
        <w:t>b</w:t>
      </w:r>
      <w:r>
        <w:rPr>
          <w:color w:val="000000"/>
          <w:spacing w:val="4"/>
        </w:rPr>
        <w:t>a</w:t>
      </w:r>
      <w:r>
        <w:rPr>
          <w:color w:val="000000"/>
          <w:spacing w:val="-5"/>
        </w:rPr>
        <w:t>n</w:t>
      </w:r>
      <w:r>
        <w:rPr>
          <w:color w:val="000000"/>
          <w:spacing w:val="4"/>
        </w:rPr>
        <w:t>a</w:t>
      </w:r>
      <w:r>
        <w:rPr>
          <w:color w:val="000000"/>
          <w:spacing w:val="-5"/>
        </w:rPr>
        <w:t>n</w:t>
      </w:r>
      <w:r>
        <w:rPr>
          <w:color w:val="000000"/>
        </w:rPr>
        <w:t>ų.</w:t>
      </w:r>
      <w:r>
        <w:rPr>
          <w:color w:val="000000"/>
          <w:spacing w:val="7"/>
        </w:rPr>
        <w:t xml:space="preserve"> </w:t>
      </w:r>
      <w:r>
        <w:rPr>
          <w:color w:val="000000"/>
          <w:spacing w:val="1"/>
        </w:rPr>
        <w:t>P</w:t>
      </w:r>
      <w:r>
        <w:rPr>
          <w:color w:val="000000"/>
          <w:spacing w:val="4"/>
        </w:rPr>
        <w:t>a</w:t>
      </w:r>
      <w:r>
        <w:rPr>
          <w:color w:val="000000"/>
          <w:spacing w:val="-4"/>
        </w:rPr>
        <w:t>i</w:t>
      </w:r>
      <w:r>
        <w:rPr>
          <w:color w:val="000000"/>
          <w:spacing w:val="-9"/>
        </w:rPr>
        <w:t>m</w:t>
      </w:r>
      <w:r>
        <w:rPr>
          <w:color w:val="000000"/>
          <w:spacing w:val="5"/>
        </w:rPr>
        <w:t>t</w:t>
      </w:r>
      <w:r>
        <w:rPr>
          <w:color w:val="000000"/>
          <w:spacing w:val="-1"/>
        </w:rPr>
        <w:t>a</w:t>
      </w:r>
      <w:r>
        <w:rPr>
          <w:color w:val="000000"/>
        </w:rPr>
        <w:t>s</w:t>
      </w:r>
      <w:r>
        <w:rPr>
          <w:color w:val="000000"/>
          <w:spacing w:val="3"/>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4"/>
        </w:rPr>
        <w:t>a</w:t>
      </w:r>
      <w:r>
        <w:rPr>
          <w:color w:val="000000"/>
        </w:rPr>
        <w:t>s</w:t>
      </w:r>
      <w:r>
        <w:rPr>
          <w:color w:val="000000"/>
          <w:spacing w:val="3"/>
        </w:rPr>
        <w:t xml:space="preserve"> </w:t>
      </w:r>
      <w:r>
        <w:rPr>
          <w:color w:val="000000"/>
          <w:spacing w:val="-5"/>
        </w:rPr>
        <w:t>b</w:t>
      </w:r>
      <w:r>
        <w:rPr>
          <w:color w:val="000000"/>
          <w:spacing w:val="5"/>
        </w:rPr>
        <w:t>u</w:t>
      </w:r>
      <w:r>
        <w:rPr>
          <w:color w:val="000000"/>
          <w:spacing w:val="-5"/>
        </w:rPr>
        <w:t>v</w:t>
      </w:r>
      <w:r>
        <w:rPr>
          <w:color w:val="000000"/>
        </w:rPr>
        <w:t>o</w:t>
      </w:r>
      <w:r>
        <w:rPr>
          <w:color w:val="000000"/>
          <w:spacing w:val="10"/>
        </w:rPr>
        <w:t xml:space="preserve"> </w:t>
      </w:r>
      <w:r>
        <w:rPr>
          <w:color w:val="000000"/>
        </w:rPr>
        <w:t>g</w:t>
      </w:r>
      <w:r>
        <w:rPr>
          <w:color w:val="000000"/>
          <w:spacing w:val="-1"/>
        </w:rPr>
        <w:t>a</w:t>
      </w:r>
      <w:r>
        <w:rPr>
          <w:color w:val="000000"/>
          <w:spacing w:val="-5"/>
        </w:rPr>
        <w:t>n</w:t>
      </w:r>
      <w:r>
        <w:rPr>
          <w:color w:val="000000"/>
        </w:rPr>
        <w:t>a</w:t>
      </w:r>
      <w:r>
        <w:rPr>
          <w:color w:val="000000"/>
          <w:spacing w:val="4"/>
        </w:rPr>
        <w:t xml:space="preserve"> </w:t>
      </w:r>
      <w:r>
        <w:rPr>
          <w:color w:val="000000"/>
          <w:spacing w:val="-1"/>
        </w:rPr>
        <w:t>a</w:t>
      </w:r>
      <w:r>
        <w:rPr>
          <w:color w:val="000000"/>
        </w:rPr>
        <w:t>uk</w:t>
      </w:r>
      <w:r>
        <w:rPr>
          <w:color w:val="000000"/>
          <w:spacing w:val="-2"/>
        </w:rPr>
        <w:t>š</w:t>
      </w:r>
      <w:r>
        <w:rPr>
          <w:color w:val="000000"/>
          <w:spacing w:val="5"/>
        </w:rPr>
        <w:t>to</w:t>
      </w:r>
      <w:r>
        <w:rPr>
          <w:color w:val="000000"/>
        </w:rPr>
        <w:t>s</w:t>
      </w:r>
      <w:r>
        <w:rPr>
          <w:color w:val="000000"/>
          <w:spacing w:val="3"/>
        </w:rPr>
        <w:t xml:space="preserve"> </w:t>
      </w:r>
      <w:r>
        <w:rPr>
          <w:color w:val="000000"/>
          <w:spacing w:val="-5"/>
        </w:rPr>
        <w:t>k</w:t>
      </w:r>
      <w:r>
        <w:rPr>
          <w:color w:val="000000"/>
          <w:spacing w:val="5"/>
        </w:rPr>
        <w:t>o</w:t>
      </w:r>
      <w:r>
        <w:rPr>
          <w:color w:val="000000"/>
        </w:rPr>
        <w:t>k</w:t>
      </w:r>
      <w:r>
        <w:rPr>
          <w:color w:val="000000"/>
          <w:spacing w:val="-5"/>
        </w:rPr>
        <w:t>yb</w:t>
      </w:r>
      <w:r>
        <w:rPr>
          <w:color w:val="000000"/>
          <w:spacing w:val="4"/>
        </w:rPr>
        <w:t>ė</w:t>
      </w:r>
      <w:r>
        <w:rPr>
          <w:color w:val="000000"/>
        </w:rPr>
        <w:t>s</w:t>
      </w:r>
      <w:r>
        <w:rPr>
          <w:color w:val="000000"/>
          <w:spacing w:val="16"/>
        </w:rPr>
        <w:t xml:space="preserve"> </w:t>
      </w:r>
      <w:r>
        <w:rPr>
          <w:color w:val="000000"/>
        </w:rPr>
        <w:t>–</w:t>
      </w:r>
      <w:r>
        <w:rPr>
          <w:color w:val="000000"/>
          <w:spacing w:val="10"/>
        </w:rPr>
        <w:t xml:space="preserve"> </w:t>
      </w:r>
      <w:r>
        <w:rPr>
          <w:color w:val="000000"/>
          <w:spacing w:val="-9"/>
        </w:rPr>
        <w:t>j</w:t>
      </w:r>
      <w:r>
        <w:rPr>
          <w:color w:val="000000"/>
        </w:rPr>
        <w:t>o g</w:t>
      </w:r>
      <w:r>
        <w:rPr>
          <w:color w:val="000000"/>
          <w:spacing w:val="6"/>
        </w:rPr>
        <w:t>r</w:t>
      </w:r>
      <w:r>
        <w:rPr>
          <w:color w:val="000000"/>
          <w:spacing w:val="-5"/>
        </w:rPr>
        <w:t>yn</w:t>
      </w:r>
      <w:r>
        <w:rPr>
          <w:color w:val="000000"/>
          <w:spacing w:val="5"/>
        </w:rPr>
        <w:t>u</w:t>
      </w:r>
      <w:r>
        <w:rPr>
          <w:color w:val="000000"/>
          <w:spacing w:val="-4"/>
        </w:rPr>
        <w:t>m</w:t>
      </w:r>
      <w:r>
        <w:rPr>
          <w:color w:val="000000"/>
          <w:spacing w:val="-1"/>
        </w:rPr>
        <w:t>a</w:t>
      </w:r>
      <w:r>
        <w:rPr>
          <w:color w:val="000000"/>
        </w:rPr>
        <w:t>s</w:t>
      </w:r>
      <w:r>
        <w:rPr>
          <w:color w:val="000000"/>
          <w:spacing w:val="43"/>
        </w:rPr>
        <w:t xml:space="preserve"> </w:t>
      </w:r>
      <w:r>
        <w:rPr>
          <w:color w:val="000000"/>
        </w:rPr>
        <w:t>v</w:t>
      </w:r>
      <w:r>
        <w:rPr>
          <w:color w:val="000000"/>
          <w:spacing w:val="-4"/>
        </w:rPr>
        <w:t>i</w:t>
      </w:r>
      <w:r>
        <w:rPr>
          <w:color w:val="000000"/>
        </w:rPr>
        <w:t>du</w:t>
      </w:r>
      <w:r>
        <w:rPr>
          <w:color w:val="000000"/>
          <w:spacing w:val="10"/>
        </w:rPr>
        <w:t>t</w:t>
      </w:r>
      <w:r>
        <w:rPr>
          <w:color w:val="000000"/>
          <w:spacing w:val="-4"/>
        </w:rPr>
        <w:t>i</w:t>
      </w:r>
      <w:r>
        <w:rPr>
          <w:color w:val="000000"/>
        </w:rPr>
        <w:t>n</w:t>
      </w:r>
      <w:r>
        <w:rPr>
          <w:color w:val="000000"/>
          <w:spacing w:val="-4"/>
        </w:rPr>
        <w:t>i</w:t>
      </w:r>
      <w:r>
        <w:rPr>
          <w:color w:val="000000"/>
          <w:spacing w:val="-2"/>
        </w:rPr>
        <w:t>š</w:t>
      </w:r>
      <w:r>
        <w:rPr>
          <w:color w:val="000000"/>
        </w:rPr>
        <w:t>k</w:t>
      </w:r>
      <w:r>
        <w:rPr>
          <w:color w:val="000000"/>
          <w:spacing w:val="4"/>
        </w:rPr>
        <w:t>a</w:t>
      </w:r>
      <w:r>
        <w:rPr>
          <w:color w:val="000000"/>
        </w:rPr>
        <w:t>i</w:t>
      </w:r>
      <w:r>
        <w:rPr>
          <w:color w:val="000000"/>
          <w:spacing w:val="41"/>
        </w:rPr>
        <w:t xml:space="preserve"> </w:t>
      </w:r>
      <w:r>
        <w:rPr>
          <w:color w:val="000000"/>
          <w:spacing w:val="2"/>
        </w:rPr>
        <w:t>s</w:t>
      </w:r>
      <w:r>
        <w:rPr>
          <w:color w:val="000000"/>
          <w:spacing w:val="-4"/>
        </w:rPr>
        <w:t>i</w:t>
      </w:r>
      <w:r>
        <w:rPr>
          <w:color w:val="000000"/>
          <w:spacing w:val="-1"/>
        </w:rPr>
        <w:t>e</w:t>
      </w:r>
      <w:r>
        <w:rPr>
          <w:color w:val="000000"/>
        </w:rPr>
        <w:t>kė</w:t>
      </w:r>
      <w:r>
        <w:rPr>
          <w:color w:val="000000"/>
          <w:spacing w:val="40"/>
        </w:rPr>
        <w:t xml:space="preserve"> </w:t>
      </w:r>
      <w:r>
        <w:rPr>
          <w:color w:val="000000"/>
          <w:spacing w:val="-1"/>
        </w:rPr>
        <w:t>a</w:t>
      </w:r>
      <w:r>
        <w:rPr>
          <w:color w:val="000000"/>
          <w:spacing w:val="5"/>
        </w:rPr>
        <w:t>p</w:t>
      </w:r>
      <w:r>
        <w:rPr>
          <w:color w:val="000000"/>
          <w:spacing w:val="-4"/>
        </w:rPr>
        <w:t>i</w:t>
      </w:r>
      <w:r>
        <w:rPr>
          <w:color w:val="000000"/>
        </w:rPr>
        <w:t>e</w:t>
      </w:r>
      <w:r>
        <w:rPr>
          <w:color w:val="000000"/>
          <w:spacing w:val="44"/>
        </w:rPr>
        <w:t xml:space="preserve"> </w:t>
      </w:r>
      <w:r>
        <w:rPr>
          <w:color w:val="000000"/>
        </w:rPr>
        <w:t>70</w:t>
      </w:r>
      <w:r>
        <w:rPr>
          <w:color w:val="000000"/>
          <w:spacing w:val="41"/>
        </w:rPr>
        <w:t xml:space="preserve"> </w:t>
      </w:r>
      <w:r>
        <w:rPr>
          <w:color w:val="000000"/>
          <w:spacing w:val="2"/>
        </w:rPr>
        <w:t>%</w:t>
      </w:r>
      <w:r>
        <w:rPr>
          <w:color w:val="000000"/>
        </w:rPr>
        <w:t>.</w:t>
      </w:r>
      <w:r>
        <w:rPr>
          <w:color w:val="000000"/>
          <w:spacing w:val="43"/>
        </w:rPr>
        <w:t xml:space="preserve"> </w:t>
      </w:r>
      <w:r>
        <w:rPr>
          <w:color w:val="000000"/>
          <w:spacing w:val="-2"/>
        </w:rPr>
        <w:t>M</w:t>
      </w:r>
      <w:r>
        <w:rPr>
          <w:color w:val="000000"/>
          <w:spacing w:val="4"/>
        </w:rPr>
        <w:t>a</w:t>
      </w:r>
      <w:r>
        <w:rPr>
          <w:color w:val="000000"/>
          <w:spacing w:val="-5"/>
        </w:rPr>
        <w:t>n</w:t>
      </w:r>
      <w:r>
        <w:rPr>
          <w:color w:val="000000"/>
          <w:spacing w:val="9"/>
        </w:rPr>
        <w:t>o</w:t>
      </w:r>
      <w:r>
        <w:rPr>
          <w:color w:val="000000"/>
          <w:spacing w:val="-4"/>
        </w:rPr>
        <w:t>m</w:t>
      </w:r>
      <w:r>
        <w:rPr>
          <w:color w:val="000000"/>
          <w:spacing w:val="-1"/>
        </w:rPr>
        <w:t>a</w:t>
      </w:r>
      <w:r>
        <w:rPr>
          <w:color w:val="000000"/>
        </w:rPr>
        <w:t>,</w:t>
      </w:r>
      <w:r>
        <w:rPr>
          <w:color w:val="000000"/>
          <w:spacing w:val="43"/>
        </w:rPr>
        <w:t xml:space="preserve"> </w:t>
      </w:r>
      <w:r>
        <w:rPr>
          <w:color w:val="000000"/>
        </w:rPr>
        <w:t>k</w:t>
      </w:r>
      <w:r>
        <w:rPr>
          <w:color w:val="000000"/>
          <w:spacing w:val="-1"/>
        </w:rPr>
        <w:t>a</w:t>
      </w:r>
      <w:r>
        <w:rPr>
          <w:color w:val="000000"/>
        </w:rPr>
        <w:t>d</w:t>
      </w:r>
      <w:r>
        <w:rPr>
          <w:color w:val="000000"/>
          <w:spacing w:val="41"/>
        </w:rPr>
        <w:t xml:space="preserve"> </w:t>
      </w:r>
      <w:r>
        <w:rPr>
          <w:color w:val="000000"/>
          <w:spacing w:val="2"/>
        </w:rPr>
        <w:t>š</w:t>
      </w:r>
      <w:r>
        <w:rPr>
          <w:color w:val="000000"/>
          <w:spacing w:val="-4"/>
        </w:rPr>
        <w:t>i</w:t>
      </w:r>
      <w:r>
        <w:rPr>
          <w:color w:val="000000"/>
        </w:rPr>
        <w:t>s</w:t>
      </w:r>
      <w:r>
        <w:rPr>
          <w:color w:val="000000"/>
          <w:spacing w:val="38"/>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1"/>
        </w:rPr>
        <w:t>a</w:t>
      </w:r>
      <w:r>
        <w:rPr>
          <w:color w:val="000000"/>
        </w:rPr>
        <w:t>s</w:t>
      </w:r>
      <w:r>
        <w:rPr>
          <w:color w:val="000000"/>
          <w:spacing w:val="43"/>
        </w:rPr>
        <w:t xml:space="preserve"> </w:t>
      </w:r>
      <w:r>
        <w:rPr>
          <w:color w:val="000000"/>
          <w:spacing w:val="-5"/>
        </w:rPr>
        <w:t>b</w:t>
      </w:r>
      <w:r>
        <w:rPr>
          <w:color w:val="000000"/>
          <w:spacing w:val="5"/>
        </w:rPr>
        <w:t>u</w:t>
      </w:r>
      <w:r>
        <w:rPr>
          <w:color w:val="000000"/>
          <w:spacing w:val="-5"/>
        </w:rPr>
        <w:t>v</w:t>
      </w:r>
      <w:r>
        <w:rPr>
          <w:color w:val="000000"/>
        </w:rPr>
        <w:t>o</w:t>
      </w:r>
      <w:r>
        <w:rPr>
          <w:color w:val="000000"/>
          <w:spacing w:val="45"/>
        </w:rPr>
        <w:t xml:space="preserve"> </w:t>
      </w:r>
      <w:r>
        <w:rPr>
          <w:color w:val="000000"/>
          <w:spacing w:val="-2"/>
        </w:rPr>
        <w:t>s</w:t>
      </w:r>
      <w:r>
        <w:rPr>
          <w:color w:val="000000"/>
          <w:spacing w:val="5"/>
        </w:rPr>
        <w:t>k</w:t>
      </w:r>
      <w:r>
        <w:rPr>
          <w:color w:val="000000"/>
          <w:spacing w:val="-9"/>
        </w:rPr>
        <w:t>i</w:t>
      </w:r>
      <w:r>
        <w:rPr>
          <w:color w:val="000000"/>
          <w:spacing w:val="7"/>
        </w:rPr>
        <w:t>r</w:t>
      </w:r>
      <w:r>
        <w:rPr>
          <w:color w:val="000000"/>
          <w:spacing w:val="5"/>
        </w:rPr>
        <w:t>t</w:t>
      </w:r>
      <w:r>
        <w:rPr>
          <w:color w:val="000000"/>
          <w:spacing w:val="-1"/>
        </w:rPr>
        <w:t>a</w:t>
      </w:r>
      <w:r>
        <w:rPr>
          <w:color w:val="000000"/>
        </w:rPr>
        <w:t>s</w:t>
      </w:r>
      <w:r>
        <w:rPr>
          <w:color w:val="000000"/>
          <w:spacing w:val="43"/>
        </w:rPr>
        <w:t xml:space="preserve"> </w:t>
      </w:r>
      <w:r>
        <w:rPr>
          <w:color w:val="000000"/>
          <w:spacing w:val="-5"/>
        </w:rPr>
        <w:t>n</w:t>
      </w:r>
      <w:r>
        <w:rPr>
          <w:color w:val="000000"/>
        </w:rPr>
        <w:t>e</w:t>
      </w:r>
      <w:r>
        <w:rPr>
          <w:color w:val="000000"/>
          <w:spacing w:val="44"/>
        </w:rPr>
        <w:t xml:space="preserve"> </w:t>
      </w:r>
      <w:r>
        <w:rPr>
          <w:color w:val="000000"/>
          <w:spacing w:val="-4"/>
        </w:rPr>
        <w:t>m</w:t>
      </w:r>
      <w:r>
        <w:rPr>
          <w:color w:val="000000"/>
          <w:spacing w:val="5"/>
        </w:rPr>
        <w:t>ū</w:t>
      </w:r>
      <w:r>
        <w:rPr>
          <w:color w:val="000000"/>
          <w:spacing w:val="-2"/>
        </w:rPr>
        <w:t>s</w:t>
      </w:r>
      <w:r>
        <w:rPr>
          <w:color w:val="000000"/>
        </w:rPr>
        <w:t>ų</w:t>
      </w:r>
      <w:r>
        <w:rPr>
          <w:color w:val="000000"/>
          <w:spacing w:val="41"/>
        </w:rPr>
        <w:t xml:space="preserve"> </w:t>
      </w:r>
      <w:r>
        <w:rPr>
          <w:color w:val="000000"/>
          <w:spacing w:val="-2"/>
        </w:rPr>
        <w:t>š</w:t>
      </w:r>
      <w:r>
        <w:rPr>
          <w:color w:val="000000"/>
          <w:spacing w:val="4"/>
        </w:rPr>
        <w:t>a</w:t>
      </w:r>
      <w:r>
        <w:rPr>
          <w:color w:val="000000"/>
        </w:rPr>
        <w:t>l</w:t>
      </w:r>
      <w:r>
        <w:rPr>
          <w:color w:val="000000"/>
          <w:spacing w:val="-4"/>
        </w:rPr>
        <w:t>i</w:t>
      </w:r>
      <w:r>
        <w:rPr>
          <w:color w:val="000000"/>
          <w:spacing w:val="4"/>
        </w:rPr>
        <w:t>e</w:t>
      </w:r>
      <w:r>
        <w:rPr>
          <w:color w:val="000000"/>
        </w:rPr>
        <w:t>s</w:t>
      </w:r>
    </w:p>
    <w:p w:rsidR="004F7425" w:rsidRDefault="004F7425" w:rsidP="004F7425">
      <w:pPr>
        <w:widowControl w:val="0"/>
        <w:autoSpaceDE w:val="0"/>
        <w:autoSpaceDN w:val="0"/>
        <w:adjustRightInd w:val="0"/>
        <w:spacing w:line="271" w:lineRule="exact"/>
        <w:ind w:left="120" w:right="57"/>
        <w:jc w:val="both"/>
        <w:rPr>
          <w:color w:val="000000"/>
        </w:rPr>
      </w:pPr>
      <w:r>
        <w:rPr>
          <w:color w:val="000000"/>
          <w:spacing w:val="6"/>
          <w:position w:val="-1"/>
        </w:rPr>
        <w:t>r</w:t>
      </w:r>
      <w:r>
        <w:rPr>
          <w:color w:val="000000"/>
          <w:spacing w:val="-4"/>
          <w:position w:val="-1"/>
        </w:rPr>
        <w:t>i</w:t>
      </w:r>
      <w:r>
        <w:rPr>
          <w:color w:val="000000"/>
          <w:spacing w:val="-5"/>
          <w:position w:val="-1"/>
        </w:rPr>
        <w:t>n</w:t>
      </w:r>
      <w:r>
        <w:rPr>
          <w:color w:val="000000"/>
          <w:position w:val="-1"/>
        </w:rPr>
        <w:t>k</w:t>
      </w:r>
      <w:r>
        <w:rPr>
          <w:color w:val="000000"/>
          <w:spacing w:val="4"/>
          <w:position w:val="-1"/>
        </w:rPr>
        <w:t>a</w:t>
      </w:r>
      <w:r>
        <w:rPr>
          <w:color w:val="000000"/>
          <w:spacing w:val="-9"/>
          <w:position w:val="-1"/>
        </w:rPr>
        <w:t>i</w:t>
      </w:r>
      <w:r>
        <w:rPr>
          <w:color w:val="000000"/>
          <w:position w:val="-1"/>
        </w:rPr>
        <w:t>.</w:t>
      </w:r>
      <w:r>
        <w:rPr>
          <w:color w:val="000000"/>
          <w:spacing w:val="19"/>
          <w:position w:val="-1"/>
        </w:rPr>
        <w:t xml:space="preserve"> </w:t>
      </w:r>
      <w:r>
        <w:rPr>
          <w:color w:val="000000"/>
          <w:position w:val="-1"/>
        </w:rPr>
        <w:t>G</w:t>
      </w:r>
      <w:r>
        <w:rPr>
          <w:color w:val="000000"/>
          <w:spacing w:val="1"/>
          <w:position w:val="-1"/>
        </w:rPr>
        <w:t>r</w:t>
      </w:r>
      <w:r>
        <w:rPr>
          <w:color w:val="000000"/>
          <w:spacing w:val="4"/>
          <w:position w:val="-1"/>
        </w:rPr>
        <w:t>e</w:t>
      </w:r>
      <w:r>
        <w:rPr>
          <w:color w:val="000000"/>
          <w:spacing w:val="-4"/>
          <w:position w:val="-1"/>
        </w:rPr>
        <w:t>i</w:t>
      </w:r>
      <w:r>
        <w:rPr>
          <w:color w:val="000000"/>
          <w:spacing w:val="4"/>
          <w:position w:val="-1"/>
        </w:rPr>
        <w:t>č</w:t>
      </w:r>
      <w:r>
        <w:rPr>
          <w:color w:val="000000"/>
          <w:spacing w:val="-4"/>
          <w:position w:val="-1"/>
        </w:rPr>
        <w:t>i</w:t>
      </w:r>
      <w:r>
        <w:rPr>
          <w:color w:val="000000"/>
          <w:spacing w:val="-1"/>
          <w:position w:val="-1"/>
        </w:rPr>
        <w:t>a</w:t>
      </w:r>
      <w:r>
        <w:rPr>
          <w:color w:val="000000"/>
          <w:position w:val="-1"/>
        </w:rPr>
        <w:t>u</w:t>
      </w:r>
      <w:r>
        <w:rPr>
          <w:color w:val="000000"/>
          <w:spacing w:val="2"/>
          <w:position w:val="-1"/>
        </w:rPr>
        <w:t>s</w:t>
      </w:r>
      <w:r>
        <w:rPr>
          <w:color w:val="000000"/>
          <w:spacing w:val="-4"/>
          <w:position w:val="-1"/>
        </w:rPr>
        <w:t>i</w:t>
      </w:r>
      <w:r>
        <w:rPr>
          <w:color w:val="000000"/>
          <w:spacing w:val="4"/>
          <w:position w:val="-1"/>
        </w:rPr>
        <w:t>a</w:t>
      </w:r>
      <w:r>
        <w:rPr>
          <w:color w:val="000000"/>
          <w:position w:val="-1"/>
        </w:rPr>
        <w:t>i</w:t>
      </w:r>
      <w:r>
        <w:rPr>
          <w:color w:val="000000"/>
          <w:spacing w:val="12"/>
          <w:position w:val="-1"/>
        </w:rPr>
        <w:t xml:space="preserve"> </w:t>
      </w:r>
      <w:r>
        <w:rPr>
          <w:color w:val="000000"/>
          <w:spacing w:val="-1"/>
          <w:position w:val="-1"/>
        </w:rPr>
        <w:t>a</w:t>
      </w:r>
      <w:r>
        <w:rPr>
          <w:color w:val="000000"/>
          <w:spacing w:val="5"/>
          <w:position w:val="-1"/>
        </w:rPr>
        <w:t>t</w:t>
      </w:r>
      <w:r>
        <w:rPr>
          <w:color w:val="000000"/>
          <w:spacing w:val="2"/>
          <w:position w:val="-1"/>
        </w:rPr>
        <w:t>s</w:t>
      </w:r>
      <w:r>
        <w:rPr>
          <w:color w:val="000000"/>
          <w:spacing w:val="-9"/>
          <w:position w:val="-1"/>
        </w:rPr>
        <w:t>i</w:t>
      </w:r>
      <w:r>
        <w:rPr>
          <w:color w:val="000000"/>
          <w:spacing w:val="10"/>
          <w:position w:val="-1"/>
        </w:rPr>
        <w:t>t</w:t>
      </w:r>
      <w:r>
        <w:rPr>
          <w:color w:val="000000"/>
          <w:spacing w:val="-9"/>
          <w:position w:val="-1"/>
        </w:rPr>
        <w:t>i</w:t>
      </w:r>
      <w:r>
        <w:rPr>
          <w:color w:val="000000"/>
          <w:position w:val="-1"/>
        </w:rPr>
        <w:t>ko</w:t>
      </w:r>
      <w:r>
        <w:rPr>
          <w:color w:val="000000"/>
          <w:spacing w:val="21"/>
          <w:position w:val="-1"/>
        </w:rPr>
        <w:t xml:space="preserve"> </w:t>
      </w:r>
      <w:r>
        <w:rPr>
          <w:color w:val="000000"/>
          <w:spacing w:val="5"/>
          <w:position w:val="-1"/>
        </w:rPr>
        <w:t>t</w:t>
      </w:r>
      <w:r>
        <w:rPr>
          <w:color w:val="000000"/>
          <w:spacing w:val="-1"/>
          <w:position w:val="-1"/>
        </w:rPr>
        <w:t>a</w:t>
      </w:r>
      <w:r>
        <w:rPr>
          <w:color w:val="000000"/>
          <w:spacing w:val="-9"/>
          <w:position w:val="-1"/>
        </w:rPr>
        <w:t>i</w:t>
      </w:r>
      <w:r>
        <w:rPr>
          <w:color w:val="000000"/>
          <w:position w:val="-1"/>
        </w:rPr>
        <w:t>p,</w:t>
      </w:r>
      <w:r>
        <w:rPr>
          <w:color w:val="000000"/>
          <w:spacing w:val="19"/>
          <w:position w:val="-1"/>
        </w:rPr>
        <w:t xml:space="preserve"> </w:t>
      </w:r>
      <w:r>
        <w:rPr>
          <w:color w:val="000000"/>
          <w:position w:val="-1"/>
        </w:rPr>
        <w:t>k</w:t>
      </w:r>
      <w:r>
        <w:rPr>
          <w:color w:val="000000"/>
          <w:spacing w:val="-1"/>
          <w:position w:val="-1"/>
        </w:rPr>
        <w:t>a</w:t>
      </w:r>
      <w:r>
        <w:rPr>
          <w:color w:val="000000"/>
          <w:position w:val="-1"/>
        </w:rPr>
        <w:t>d</w:t>
      </w:r>
      <w:r>
        <w:rPr>
          <w:color w:val="000000"/>
          <w:spacing w:val="17"/>
          <w:position w:val="-1"/>
        </w:rPr>
        <w:t xml:space="preserve"> </w:t>
      </w:r>
      <w:r>
        <w:rPr>
          <w:color w:val="000000"/>
          <w:position w:val="-1"/>
        </w:rPr>
        <w:t>k</w:t>
      </w:r>
      <w:r>
        <w:rPr>
          <w:color w:val="000000"/>
          <w:spacing w:val="5"/>
          <w:position w:val="-1"/>
        </w:rPr>
        <w:t>o</w:t>
      </w:r>
      <w:r>
        <w:rPr>
          <w:color w:val="000000"/>
          <w:position w:val="-1"/>
        </w:rPr>
        <w:t>k</w:t>
      </w:r>
      <w:r>
        <w:rPr>
          <w:color w:val="000000"/>
          <w:spacing w:val="-1"/>
          <w:position w:val="-1"/>
        </w:rPr>
        <w:t>a</w:t>
      </w:r>
      <w:r>
        <w:rPr>
          <w:color w:val="000000"/>
          <w:spacing w:val="-4"/>
          <w:position w:val="-1"/>
        </w:rPr>
        <w:t>i</w:t>
      </w:r>
      <w:r>
        <w:rPr>
          <w:color w:val="000000"/>
          <w:spacing w:val="-5"/>
          <w:position w:val="-1"/>
        </w:rPr>
        <w:t>n</w:t>
      </w:r>
      <w:r>
        <w:rPr>
          <w:color w:val="000000"/>
          <w:position w:val="-1"/>
        </w:rPr>
        <w:t>o</w:t>
      </w:r>
      <w:r>
        <w:rPr>
          <w:color w:val="000000"/>
          <w:spacing w:val="21"/>
          <w:position w:val="-1"/>
        </w:rPr>
        <w:t xml:space="preserve"> </w:t>
      </w:r>
      <w:r>
        <w:rPr>
          <w:color w:val="000000"/>
          <w:position w:val="-1"/>
        </w:rPr>
        <w:t>k</w:t>
      </w:r>
      <w:r>
        <w:rPr>
          <w:color w:val="000000"/>
          <w:spacing w:val="5"/>
          <w:position w:val="-1"/>
        </w:rPr>
        <w:t>o</w:t>
      </w:r>
      <w:r>
        <w:rPr>
          <w:color w:val="000000"/>
          <w:spacing w:val="-5"/>
          <w:position w:val="-1"/>
        </w:rPr>
        <w:t>n</w:t>
      </w:r>
      <w:r>
        <w:rPr>
          <w:color w:val="000000"/>
          <w:position w:val="-1"/>
        </w:rPr>
        <w:t>t</w:t>
      </w:r>
      <w:r>
        <w:rPr>
          <w:color w:val="000000"/>
          <w:spacing w:val="2"/>
          <w:position w:val="-1"/>
        </w:rPr>
        <w:t>r</w:t>
      </w:r>
      <w:r>
        <w:rPr>
          <w:color w:val="000000"/>
          <w:spacing w:val="-1"/>
          <w:position w:val="-1"/>
        </w:rPr>
        <w:t>a</w:t>
      </w:r>
      <w:r>
        <w:rPr>
          <w:color w:val="000000"/>
          <w:spacing w:val="-5"/>
          <w:position w:val="-1"/>
        </w:rPr>
        <w:t>b</w:t>
      </w:r>
      <w:r>
        <w:rPr>
          <w:color w:val="000000"/>
          <w:spacing w:val="4"/>
          <w:position w:val="-1"/>
        </w:rPr>
        <w:t>a</w:t>
      </w:r>
      <w:r>
        <w:rPr>
          <w:color w:val="000000"/>
          <w:spacing w:val="-5"/>
          <w:position w:val="-1"/>
        </w:rPr>
        <w:t>n</w:t>
      </w:r>
      <w:r>
        <w:rPr>
          <w:color w:val="000000"/>
          <w:position w:val="-1"/>
        </w:rPr>
        <w:t>dą</w:t>
      </w:r>
      <w:r>
        <w:rPr>
          <w:color w:val="000000"/>
          <w:spacing w:val="16"/>
          <w:position w:val="-1"/>
        </w:rPr>
        <w:t xml:space="preserve"> </w:t>
      </w:r>
      <w:r>
        <w:rPr>
          <w:color w:val="000000"/>
          <w:spacing w:val="5"/>
          <w:position w:val="-1"/>
        </w:rPr>
        <w:t>o</w:t>
      </w:r>
      <w:r>
        <w:rPr>
          <w:color w:val="000000"/>
          <w:spacing w:val="1"/>
          <w:position w:val="-1"/>
        </w:rPr>
        <w:t>r</w:t>
      </w:r>
      <w:r>
        <w:rPr>
          <w:color w:val="000000"/>
          <w:position w:val="-1"/>
        </w:rPr>
        <w:t>g</w:t>
      </w:r>
      <w:r>
        <w:rPr>
          <w:color w:val="000000"/>
          <w:spacing w:val="-1"/>
          <w:position w:val="-1"/>
        </w:rPr>
        <w:t>a</w:t>
      </w:r>
      <w:r>
        <w:rPr>
          <w:color w:val="000000"/>
          <w:position w:val="-1"/>
        </w:rPr>
        <w:t>n</w:t>
      </w:r>
      <w:r>
        <w:rPr>
          <w:color w:val="000000"/>
          <w:spacing w:val="-4"/>
          <w:position w:val="-1"/>
        </w:rPr>
        <w:t>i</w:t>
      </w:r>
      <w:r>
        <w:rPr>
          <w:color w:val="000000"/>
          <w:spacing w:val="-1"/>
          <w:position w:val="-1"/>
        </w:rPr>
        <w:t>z</w:t>
      </w:r>
      <w:r>
        <w:rPr>
          <w:color w:val="000000"/>
          <w:spacing w:val="4"/>
          <w:position w:val="-1"/>
        </w:rPr>
        <w:t>a</w:t>
      </w:r>
      <w:r>
        <w:rPr>
          <w:color w:val="000000"/>
          <w:spacing w:val="-5"/>
          <w:position w:val="-1"/>
        </w:rPr>
        <w:t>v</w:t>
      </w:r>
      <w:r>
        <w:rPr>
          <w:color w:val="000000"/>
          <w:position w:val="-1"/>
        </w:rPr>
        <w:t>u</w:t>
      </w:r>
      <w:r>
        <w:rPr>
          <w:color w:val="000000"/>
          <w:spacing w:val="2"/>
          <w:position w:val="-1"/>
        </w:rPr>
        <w:t>s</w:t>
      </w:r>
      <w:r>
        <w:rPr>
          <w:color w:val="000000"/>
          <w:spacing w:val="-9"/>
          <w:position w:val="-1"/>
        </w:rPr>
        <w:t>i</w:t>
      </w:r>
      <w:r>
        <w:rPr>
          <w:color w:val="000000"/>
          <w:spacing w:val="9"/>
          <w:position w:val="-1"/>
        </w:rPr>
        <w:t>o</w:t>
      </w:r>
      <w:r>
        <w:rPr>
          <w:color w:val="000000"/>
          <w:position w:val="-1"/>
        </w:rPr>
        <w:t>s</w:t>
      </w:r>
      <w:r>
        <w:rPr>
          <w:color w:val="000000"/>
          <w:spacing w:val="19"/>
          <w:position w:val="-1"/>
        </w:rPr>
        <w:t xml:space="preserve"> </w:t>
      </w:r>
      <w:r>
        <w:rPr>
          <w:color w:val="000000"/>
          <w:spacing w:val="-5"/>
          <w:position w:val="-1"/>
        </w:rPr>
        <w:t>n</w:t>
      </w:r>
      <w:r>
        <w:rPr>
          <w:color w:val="000000"/>
          <w:position w:val="-1"/>
        </w:rPr>
        <w:t>u</w:t>
      </w:r>
      <w:r>
        <w:rPr>
          <w:color w:val="000000"/>
          <w:spacing w:val="2"/>
          <w:position w:val="-1"/>
        </w:rPr>
        <w:t>s</w:t>
      </w:r>
      <w:r>
        <w:rPr>
          <w:color w:val="000000"/>
          <w:spacing w:val="-4"/>
          <w:position w:val="-1"/>
        </w:rPr>
        <w:t>i</w:t>
      </w:r>
      <w:r>
        <w:rPr>
          <w:color w:val="000000"/>
          <w:position w:val="-1"/>
        </w:rPr>
        <w:t>k</w:t>
      </w:r>
      <w:r>
        <w:rPr>
          <w:color w:val="000000"/>
          <w:spacing w:val="4"/>
          <w:position w:val="-1"/>
        </w:rPr>
        <w:t>a</w:t>
      </w:r>
      <w:r>
        <w:rPr>
          <w:color w:val="000000"/>
          <w:spacing w:val="-4"/>
          <w:position w:val="-1"/>
        </w:rPr>
        <w:t>l</w:t>
      </w:r>
      <w:r>
        <w:rPr>
          <w:color w:val="000000"/>
          <w:spacing w:val="-2"/>
          <w:position w:val="-1"/>
        </w:rPr>
        <w:t>s</w:t>
      </w:r>
      <w:r>
        <w:rPr>
          <w:color w:val="000000"/>
          <w:spacing w:val="5"/>
          <w:position w:val="-1"/>
        </w:rPr>
        <w:t>t</w:t>
      </w:r>
      <w:r>
        <w:rPr>
          <w:color w:val="000000"/>
          <w:spacing w:val="4"/>
          <w:position w:val="-1"/>
        </w:rPr>
        <w:t>a</w:t>
      </w:r>
      <w:r>
        <w:rPr>
          <w:color w:val="000000"/>
          <w:spacing w:val="-9"/>
          <w:position w:val="-1"/>
        </w:rPr>
        <w:t>m</w:t>
      </w:r>
      <w:r>
        <w:rPr>
          <w:color w:val="000000"/>
          <w:spacing w:val="5"/>
          <w:position w:val="-1"/>
        </w:rPr>
        <w:t>o</w:t>
      </w:r>
      <w:r>
        <w:rPr>
          <w:color w:val="000000"/>
          <w:position w:val="-1"/>
        </w:rPr>
        <w:t>s</w:t>
      </w:r>
      <w:r>
        <w:rPr>
          <w:color w:val="000000"/>
          <w:spacing w:val="14"/>
          <w:position w:val="-1"/>
        </w:rPr>
        <w:t xml:space="preserve"> </w:t>
      </w:r>
      <w:r>
        <w:rPr>
          <w:color w:val="000000"/>
          <w:position w:val="-1"/>
        </w:rPr>
        <w:t>g</w:t>
      </w:r>
      <w:r>
        <w:rPr>
          <w:color w:val="000000"/>
          <w:spacing w:val="1"/>
          <w:position w:val="-1"/>
        </w:rPr>
        <w:t>r</w:t>
      </w:r>
      <w:r>
        <w:rPr>
          <w:color w:val="000000"/>
          <w:position w:val="-1"/>
        </w:rPr>
        <w:t>upuo</w:t>
      </w:r>
      <w:r>
        <w:rPr>
          <w:color w:val="000000"/>
          <w:spacing w:val="5"/>
          <w:position w:val="-1"/>
        </w:rPr>
        <w:t>t</w:t>
      </w:r>
      <w:r>
        <w:rPr>
          <w:color w:val="000000"/>
          <w:spacing w:val="-1"/>
          <w:position w:val="-1"/>
        </w:rPr>
        <w:t>ė</w:t>
      </w:r>
      <w:r>
        <w:rPr>
          <w:color w:val="000000"/>
          <w:position w:val="-1"/>
        </w:rPr>
        <w:t>s</w:t>
      </w:r>
    </w:p>
    <w:p w:rsidR="004F7425" w:rsidRDefault="004F7425" w:rsidP="004F7425">
      <w:pPr>
        <w:widowControl w:val="0"/>
        <w:autoSpaceDE w:val="0"/>
        <w:autoSpaceDN w:val="0"/>
        <w:adjustRightInd w:val="0"/>
        <w:spacing w:before="2" w:line="120" w:lineRule="exact"/>
        <w:rPr>
          <w:color w:val="000000"/>
          <w:sz w:val="12"/>
          <w:szCs w:val="12"/>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44"/>
        <w:ind w:left="120" w:right="-20"/>
        <w:rPr>
          <w:color w:val="000000"/>
          <w:sz w:val="20"/>
        </w:rPr>
      </w:pPr>
      <w:r>
        <w:rPr>
          <w:noProof/>
          <w:lang w:eastAsia="lt-LT"/>
        </w:rPr>
        <mc:AlternateContent>
          <mc:Choice Requires="wps">
            <w:drawing>
              <wp:anchor distT="0" distB="0" distL="114300" distR="114300" simplePos="0" relativeHeight="251747328" behindDoc="1" locked="0" layoutInCell="0" allowOverlap="1">
                <wp:simplePos x="0" y="0"/>
                <wp:positionH relativeFrom="page">
                  <wp:posOffset>1078865</wp:posOffset>
                </wp:positionH>
                <wp:positionV relativeFrom="paragraph">
                  <wp:posOffset>-26670</wp:posOffset>
                </wp:positionV>
                <wp:extent cx="1830070" cy="12700"/>
                <wp:effectExtent l="12065" t="5080" r="5715" b="1270"/>
                <wp:wrapNone/>
                <wp:docPr id="244" name="Laisva forma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12700"/>
                        </a:xfrm>
                        <a:custGeom>
                          <a:avLst/>
                          <a:gdLst>
                            <a:gd name="T0" fmla="*/ 0 w 2882"/>
                            <a:gd name="T1" fmla="*/ 0 h 20"/>
                            <a:gd name="T2" fmla="*/ 2881 w 2882"/>
                            <a:gd name="T3" fmla="*/ 0 h 20"/>
                          </a:gdLst>
                          <a:ahLst/>
                          <a:cxnLst>
                            <a:cxn ang="0">
                              <a:pos x="T0" y="T1"/>
                            </a:cxn>
                            <a:cxn ang="0">
                              <a:pos x="T2" y="T3"/>
                            </a:cxn>
                          </a:cxnLst>
                          <a:rect l="0" t="0" r="r" b="b"/>
                          <a:pathLst>
                            <a:path w="2882" h="20">
                              <a:moveTo>
                                <a:pt x="0" y="0"/>
                              </a:moveTo>
                              <a:lnTo>
                                <a:pt x="288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Laisva forma 244" o:spid="_x0000_s1026" style="position:absolute;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4.95pt,-2.1pt,229pt,-2.1pt" coordsize="28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" o:allowincell="f" filled="f" strokeweight=".58pt">
                <v:path arrowok="t" o:connecttype="custom" o:connectlocs="0,0;1829435,0" o:connectangles="0,0"/>
                <w10:wrap anchorx="page"/>
              </v:polyline>
            </w:pict>
          </mc:Fallback>
        </mc:AlternateContent>
      </w:r>
      <w:r>
        <w:rPr>
          <w:color w:val="000000"/>
          <w:position w:val="9"/>
          <w:sz w:val="13"/>
          <w:szCs w:val="13"/>
        </w:rPr>
        <w:t>6</w:t>
      </w:r>
      <w:r>
        <w:rPr>
          <w:color w:val="000000"/>
          <w:spacing w:val="22"/>
          <w:position w:val="9"/>
          <w:sz w:val="13"/>
          <w:szCs w:val="13"/>
        </w:rPr>
        <w:t xml:space="preserve"> </w:t>
      </w:r>
      <w:r>
        <w:rPr>
          <w:color w:val="000000"/>
          <w:spacing w:val="1"/>
          <w:sz w:val="20"/>
        </w:rPr>
        <w:t>E</w:t>
      </w:r>
      <w:r>
        <w:rPr>
          <w:color w:val="000000"/>
          <w:spacing w:val="-2"/>
          <w:sz w:val="20"/>
        </w:rPr>
        <w:t>M</w:t>
      </w:r>
      <w:r>
        <w:rPr>
          <w:color w:val="000000"/>
          <w:sz w:val="20"/>
        </w:rPr>
        <w:t>C</w:t>
      </w:r>
      <w:r>
        <w:rPr>
          <w:color w:val="000000"/>
          <w:spacing w:val="-2"/>
          <w:sz w:val="20"/>
        </w:rPr>
        <w:t>DD</w:t>
      </w:r>
      <w:r>
        <w:rPr>
          <w:color w:val="000000"/>
          <w:sz w:val="20"/>
        </w:rPr>
        <w:t>A</w:t>
      </w:r>
      <w:r>
        <w:rPr>
          <w:color w:val="000000"/>
          <w:spacing w:val="-4"/>
          <w:sz w:val="20"/>
        </w:rPr>
        <w:t xml:space="preserve"> </w:t>
      </w:r>
      <w:r>
        <w:rPr>
          <w:color w:val="000000"/>
          <w:spacing w:val="-2"/>
          <w:sz w:val="20"/>
        </w:rPr>
        <w:t>N</w:t>
      </w:r>
      <w:r>
        <w:rPr>
          <w:color w:val="000000"/>
          <w:spacing w:val="-3"/>
          <w:sz w:val="20"/>
        </w:rPr>
        <w:t>a</w:t>
      </w:r>
      <w:r>
        <w:rPr>
          <w:color w:val="000000"/>
          <w:spacing w:val="5"/>
          <w:sz w:val="20"/>
        </w:rPr>
        <w:t>r</w:t>
      </w:r>
      <w:r>
        <w:rPr>
          <w:color w:val="000000"/>
          <w:sz w:val="20"/>
        </w:rPr>
        <w:t>k</w:t>
      </w:r>
      <w:r>
        <w:rPr>
          <w:color w:val="000000"/>
          <w:spacing w:val="-5"/>
          <w:sz w:val="20"/>
        </w:rPr>
        <w:t>o</w:t>
      </w:r>
      <w:r>
        <w:rPr>
          <w:color w:val="000000"/>
          <w:spacing w:val="1"/>
          <w:sz w:val="20"/>
        </w:rPr>
        <w:t>t</w:t>
      </w:r>
      <w:r>
        <w:rPr>
          <w:color w:val="000000"/>
          <w:spacing w:val="-3"/>
          <w:sz w:val="20"/>
        </w:rPr>
        <w:t>i</w:t>
      </w:r>
      <w:r>
        <w:rPr>
          <w:color w:val="000000"/>
          <w:sz w:val="20"/>
        </w:rPr>
        <w:t>kų</w:t>
      </w:r>
      <w:r>
        <w:rPr>
          <w:color w:val="000000"/>
          <w:spacing w:val="3"/>
          <w:sz w:val="20"/>
        </w:rPr>
        <w:t xml:space="preserve"> </w:t>
      </w:r>
      <w:r>
        <w:rPr>
          <w:color w:val="000000"/>
          <w:spacing w:val="-5"/>
          <w:sz w:val="20"/>
        </w:rPr>
        <w:t>p</w:t>
      </w:r>
      <w:r>
        <w:rPr>
          <w:color w:val="000000"/>
          <w:spacing w:val="5"/>
          <w:sz w:val="20"/>
        </w:rPr>
        <w:t>r</w:t>
      </w:r>
      <w:r>
        <w:rPr>
          <w:color w:val="000000"/>
          <w:spacing w:val="-5"/>
          <w:sz w:val="20"/>
        </w:rPr>
        <w:t>ob</w:t>
      </w:r>
      <w:r>
        <w:rPr>
          <w:color w:val="000000"/>
          <w:spacing w:val="1"/>
          <w:sz w:val="20"/>
        </w:rPr>
        <w:t>l</w:t>
      </w:r>
      <w:r>
        <w:rPr>
          <w:color w:val="000000"/>
          <w:spacing w:val="-3"/>
          <w:sz w:val="20"/>
        </w:rPr>
        <w:t>e</w:t>
      </w:r>
      <w:r>
        <w:rPr>
          <w:color w:val="000000"/>
          <w:spacing w:val="1"/>
          <w:sz w:val="20"/>
        </w:rPr>
        <w:t>m</w:t>
      </w:r>
      <w:r>
        <w:rPr>
          <w:color w:val="000000"/>
          <w:sz w:val="20"/>
        </w:rPr>
        <w:t xml:space="preserve">a </w:t>
      </w:r>
      <w:r>
        <w:rPr>
          <w:color w:val="000000"/>
          <w:spacing w:val="1"/>
          <w:sz w:val="20"/>
        </w:rPr>
        <w:t>E</w:t>
      </w:r>
      <w:r>
        <w:rPr>
          <w:color w:val="000000"/>
          <w:spacing w:val="-5"/>
          <w:sz w:val="20"/>
        </w:rPr>
        <w:t>u</w:t>
      </w:r>
      <w:r>
        <w:rPr>
          <w:color w:val="000000"/>
          <w:spacing w:val="5"/>
          <w:sz w:val="20"/>
        </w:rPr>
        <w:t>r</w:t>
      </w:r>
      <w:r>
        <w:rPr>
          <w:color w:val="000000"/>
          <w:spacing w:val="-5"/>
          <w:sz w:val="20"/>
        </w:rPr>
        <w:t>o</w:t>
      </w:r>
      <w:r>
        <w:rPr>
          <w:color w:val="000000"/>
          <w:sz w:val="20"/>
        </w:rPr>
        <w:t>p</w:t>
      </w:r>
      <w:r>
        <w:rPr>
          <w:color w:val="000000"/>
          <w:spacing w:val="-5"/>
          <w:sz w:val="20"/>
        </w:rPr>
        <w:t>o</w:t>
      </w:r>
      <w:r>
        <w:rPr>
          <w:color w:val="000000"/>
          <w:spacing w:val="-3"/>
          <w:sz w:val="20"/>
        </w:rPr>
        <w:t>je</w:t>
      </w:r>
      <w:r>
        <w:rPr>
          <w:color w:val="000000"/>
          <w:sz w:val="20"/>
        </w:rPr>
        <w:t>,</w:t>
      </w:r>
      <w:r>
        <w:rPr>
          <w:color w:val="000000"/>
          <w:spacing w:val="5"/>
          <w:sz w:val="20"/>
        </w:rPr>
        <w:t xml:space="preserve"> </w:t>
      </w:r>
      <w:r>
        <w:rPr>
          <w:color w:val="000000"/>
          <w:sz w:val="20"/>
        </w:rPr>
        <w:t>2012</w:t>
      </w:r>
      <w:r>
        <w:rPr>
          <w:color w:val="000000"/>
          <w:spacing w:val="-2"/>
          <w:sz w:val="20"/>
        </w:rPr>
        <w:t xml:space="preserve"> </w:t>
      </w:r>
      <w:r>
        <w:rPr>
          <w:color w:val="000000"/>
          <w:spacing w:val="1"/>
          <w:sz w:val="20"/>
        </w:rPr>
        <w:t>m</w:t>
      </w:r>
      <w:r>
        <w:rPr>
          <w:color w:val="000000"/>
          <w:sz w:val="20"/>
        </w:rPr>
        <w:t>.</w:t>
      </w:r>
      <w:r>
        <w:rPr>
          <w:color w:val="000000"/>
          <w:spacing w:val="-4"/>
          <w:sz w:val="20"/>
        </w:rPr>
        <w:t xml:space="preserve"> </w:t>
      </w:r>
      <w:r>
        <w:rPr>
          <w:color w:val="000000"/>
          <w:spacing w:val="1"/>
          <w:sz w:val="20"/>
        </w:rPr>
        <w:t>m</w:t>
      </w:r>
      <w:r>
        <w:rPr>
          <w:color w:val="000000"/>
          <w:spacing w:val="-3"/>
          <w:sz w:val="20"/>
        </w:rPr>
        <w:t>e</w:t>
      </w:r>
      <w:r>
        <w:rPr>
          <w:color w:val="000000"/>
          <w:spacing w:val="1"/>
          <w:sz w:val="20"/>
        </w:rPr>
        <w:t>t</w:t>
      </w:r>
      <w:r>
        <w:rPr>
          <w:color w:val="000000"/>
          <w:spacing w:val="-3"/>
          <w:sz w:val="20"/>
        </w:rPr>
        <w:t>i</w:t>
      </w:r>
      <w:r>
        <w:rPr>
          <w:color w:val="000000"/>
          <w:spacing w:val="5"/>
          <w:sz w:val="20"/>
        </w:rPr>
        <w:t>n</w:t>
      </w:r>
      <w:r>
        <w:rPr>
          <w:color w:val="000000"/>
          <w:sz w:val="20"/>
        </w:rPr>
        <w:t>ė</w:t>
      </w:r>
      <w:r>
        <w:rPr>
          <w:color w:val="000000"/>
          <w:spacing w:val="-5"/>
          <w:sz w:val="20"/>
        </w:rPr>
        <w:t xml:space="preserve"> </w:t>
      </w:r>
      <w:r>
        <w:rPr>
          <w:color w:val="000000"/>
          <w:spacing w:val="1"/>
          <w:sz w:val="20"/>
        </w:rPr>
        <w:t>a</w:t>
      </w:r>
      <w:r>
        <w:rPr>
          <w:color w:val="000000"/>
          <w:spacing w:val="-3"/>
          <w:sz w:val="20"/>
        </w:rPr>
        <w:t>t</w:t>
      </w:r>
      <w:r>
        <w:rPr>
          <w:color w:val="000000"/>
          <w:spacing w:val="1"/>
          <w:sz w:val="20"/>
        </w:rPr>
        <w:t>a</w:t>
      </w:r>
      <w:r>
        <w:rPr>
          <w:color w:val="000000"/>
          <w:spacing w:val="-2"/>
          <w:sz w:val="20"/>
        </w:rPr>
        <w:t>s</w:t>
      </w:r>
      <w:r>
        <w:rPr>
          <w:color w:val="000000"/>
          <w:sz w:val="20"/>
        </w:rPr>
        <w:t>k</w:t>
      </w:r>
      <w:r>
        <w:rPr>
          <w:color w:val="000000"/>
          <w:spacing w:val="1"/>
          <w:sz w:val="20"/>
        </w:rPr>
        <w:t>a</w:t>
      </w:r>
      <w:r>
        <w:rPr>
          <w:color w:val="000000"/>
          <w:spacing w:val="-3"/>
          <w:sz w:val="20"/>
        </w:rPr>
        <w:t>i</w:t>
      </w:r>
      <w:r>
        <w:rPr>
          <w:color w:val="000000"/>
          <w:spacing w:val="1"/>
          <w:sz w:val="20"/>
        </w:rPr>
        <w:t>t</w:t>
      </w:r>
      <w:r>
        <w:rPr>
          <w:color w:val="000000"/>
          <w:sz w:val="20"/>
        </w:rPr>
        <w:t>a</w:t>
      </w:r>
    </w:p>
    <w:p w:rsidR="004F7425" w:rsidRDefault="004F7425" w:rsidP="004F7425">
      <w:pPr>
        <w:widowControl w:val="0"/>
        <w:autoSpaceDE w:val="0"/>
        <w:autoSpaceDN w:val="0"/>
        <w:adjustRightInd w:val="0"/>
        <w:spacing w:before="44"/>
        <w:ind w:left="120" w:right="-20"/>
        <w:rPr>
          <w:color w:val="000000"/>
          <w:sz w:val="20"/>
        </w:rPr>
        <w:sectPr w:rsidR="004F7425">
          <w:headerReference w:type="default" r:id="rId274"/>
          <w:pgSz w:w="11920" w:h="16840"/>
          <w:pgMar w:top="960" w:right="460" w:bottom="280" w:left="1580" w:header="734" w:footer="0" w:gutter="0"/>
          <w:pgNumType w:start="12"/>
          <w:cols w:space="1296" w:equalWidth="0">
            <w:col w:w="988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line="275" w:lineRule="auto"/>
        <w:ind w:left="120" w:right="48"/>
        <w:jc w:val="both"/>
        <w:rPr>
          <w:color w:val="000000"/>
        </w:rPr>
      </w:pPr>
      <w:r>
        <w:rPr>
          <w:color w:val="000000"/>
        </w:rPr>
        <w:t>k</w:t>
      </w:r>
      <w:r>
        <w:rPr>
          <w:color w:val="000000"/>
          <w:spacing w:val="-1"/>
        </w:rPr>
        <w:t>až</w:t>
      </w:r>
      <w:r>
        <w:rPr>
          <w:color w:val="000000"/>
        </w:rPr>
        <w:t>ku</w:t>
      </w:r>
      <w:r>
        <w:rPr>
          <w:color w:val="000000"/>
          <w:spacing w:val="6"/>
        </w:rPr>
        <w:t>r</w:t>
      </w:r>
      <w:r>
        <w:rPr>
          <w:color w:val="000000"/>
          <w:spacing w:val="-9"/>
        </w:rPr>
        <w:t>i</w:t>
      </w:r>
      <w:r>
        <w:rPr>
          <w:color w:val="000000"/>
          <w:spacing w:val="9"/>
        </w:rPr>
        <w:t>o</w:t>
      </w:r>
      <w:r>
        <w:rPr>
          <w:color w:val="000000"/>
          <w:spacing w:val="-9"/>
        </w:rPr>
        <w:t>j</w:t>
      </w:r>
      <w:r>
        <w:rPr>
          <w:color w:val="000000"/>
        </w:rPr>
        <w:t>e</w:t>
      </w:r>
      <w:r>
        <w:rPr>
          <w:color w:val="000000"/>
          <w:spacing w:val="9"/>
        </w:rPr>
        <w:t xml:space="preserve"> </w:t>
      </w:r>
      <w:r>
        <w:rPr>
          <w:color w:val="000000"/>
          <w:spacing w:val="5"/>
        </w:rPr>
        <w:t>t</w:t>
      </w:r>
      <w:r>
        <w:rPr>
          <w:color w:val="000000"/>
          <w:spacing w:val="4"/>
        </w:rPr>
        <w:t>a</w:t>
      </w:r>
      <w:r>
        <w:rPr>
          <w:color w:val="000000"/>
        </w:rPr>
        <w:t>i 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10"/>
        </w:rPr>
        <w:t xml:space="preserve"> </w:t>
      </w:r>
      <w:r>
        <w:rPr>
          <w:color w:val="000000"/>
        </w:rPr>
        <w:t>g</w:t>
      </w:r>
      <w:r>
        <w:rPr>
          <w:color w:val="000000"/>
          <w:spacing w:val="4"/>
        </w:rPr>
        <w:t>a</w:t>
      </w:r>
      <w:r>
        <w:rPr>
          <w:color w:val="000000"/>
          <w:spacing w:val="-5"/>
        </w:rPr>
        <w:t>b</w:t>
      </w:r>
      <w:r>
        <w:rPr>
          <w:color w:val="000000"/>
          <w:spacing w:val="4"/>
        </w:rPr>
        <w:t>e</w:t>
      </w:r>
      <w:r>
        <w:rPr>
          <w:color w:val="000000"/>
        </w:rPr>
        <w:t>ni</w:t>
      </w:r>
      <w:r>
        <w:rPr>
          <w:color w:val="000000"/>
          <w:spacing w:val="-9"/>
        </w:rPr>
        <w:t>m</w:t>
      </w:r>
      <w:r>
        <w:rPr>
          <w:color w:val="000000"/>
        </w:rPr>
        <w:t>o</w:t>
      </w:r>
      <w:r>
        <w:rPr>
          <w:color w:val="000000"/>
          <w:spacing w:val="14"/>
        </w:rPr>
        <w:t xml:space="preserve"> </w:t>
      </w:r>
      <w:r>
        <w:rPr>
          <w:color w:val="000000"/>
          <w:spacing w:val="-2"/>
        </w:rPr>
        <w:t>s</w:t>
      </w:r>
      <w:r>
        <w:rPr>
          <w:color w:val="000000"/>
          <w:spacing w:val="5"/>
        </w:rPr>
        <w:t>t</w:t>
      </w:r>
      <w:r>
        <w:rPr>
          <w:color w:val="000000"/>
          <w:spacing w:val="-1"/>
        </w:rPr>
        <w:t>a</w:t>
      </w:r>
      <w:r>
        <w:rPr>
          <w:color w:val="000000"/>
          <w:spacing w:val="5"/>
        </w:rPr>
        <w:t>d</w:t>
      </w:r>
      <w:r>
        <w:rPr>
          <w:color w:val="000000"/>
          <w:spacing w:val="-4"/>
        </w:rPr>
        <w:t>i</w:t>
      </w:r>
      <w:r>
        <w:rPr>
          <w:color w:val="000000"/>
          <w:spacing w:val="-9"/>
        </w:rPr>
        <w:t>j</w:t>
      </w:r>
      <w:r>
        <w:rPr>
          <w:color w:val="000000"/>
          <w:spacing w:val="9"/>
        </w:rPr>
        <w:t>o</w:t>
      </w:r>
      <w:r>
        <w:rPr>
          <w:color w:val="000000"/>
          <w:spacing w:val="-4"/>
        </w:rPr>
        <w:t>j</w:t>
      </w:r>
      <w:r>
        <w:rPr>
          <w:color w:val="000000"/>
        </w:rPr>
        <w:t>e</w:t>
      </w:r>
      <w:r>
        <w:rPr>
          <w:color w:val="000000"/>
          <w:spacing w:val="9"/>
        </w:rPr>
        <w:t xml:space="preserve"> </w:t>
      </w:r>
      <w:r>
        <w:rPr>
          <w:color w:val="000000"/>
          <w:spacing w:val="-2"/>
        </w:rPr>
        <w:t>s</w:t>
      </w:r>
      <w:r>
        <w:rPr>
          <w:color w:val="000000"/>
        </w:rPr>
        <w:t>u</w:t>
      </w:r>
      <w:r>
        <w:rPr>
          <w:color w:val="000000"/>
          <w:spacing w:val="5"/>
        </w:rPr>
        <w:t>k</w:t>
      </w:r>
      <w:r>
        <w:rPr>
          <w:color w:val="000000"/>
        </w:rPr>
        <w:t>lydo</w:t>
      </w:r>
      <w:r>
        <w:rPr>
          <w:color w:val="000000"/>
          <w:spacing w:val="15"/>
        </w:rPr>
        <w:t xml:space="preserve"> </w:t>
      </w:r>
      <w:r>
        <w:rPr>
          <w:color w:val="000000"/>
          <w:spacing w:val="-9"/>
        </w:rPr>
        <w:t>i</w:t>
      </w:r>
      <w:r>
        <w:rPr>
          <w:color w:val="000000"/>
        </w:rPr>
        <w:t>r</w:t>
      </w:r>
      <w:r>
        <w:rPr>
          <w:color w:val="000000"/>
          <w:spacing w:val="16"/>
        </w:rPr>
        <w:t xml:space="preserve"> </w:t>
      </w:r>
      <w:r>
        <w:rPr>
          <w:color w:val="000000"/>
          <w:spacing w:val="-4"/>
        </w:rPr>
        <w:t>ji</w:t>
      </w:r>
      <w:r>
        <w:rPr>
          <w:color w:val="000000"/>
        </w:rPr>
        <w:t>s</w:t>
      </w:r>
      <w:r>
        <w:rPr>
          <w:color w:val="000000"/>
          <w:spacing w:val="7"/>
        </w:rPr>
        <w:t xml:space="preserve"> </w:t>
      </w:r>
      <w:r>
        <w:rPr>
          <w:color w:val="000000"/>
        </w:rPr>
        <w:t>p</w:t>
      </w:r>
      <w:r>
        <w:rPr>
          <w:color w:val="000000"/>
          <w:spacing w:val="-1"/>
        </w:rPr>
        <w:t>e</w:t>
      </w:r>
      <w:r>
        <w:rPr>
          <w:color w:val="000000"/>
        </w:rPr>
        <w:t>r</w:t>
      </w:r>
      <w:r>
        <w:rPr>
          <w:color w:val="000000"/>
          <w:spacing w:val="11"/>
        </w:rPr>
        <w:t xml:space="preserve"> </w:t>
      </w:r>
      <w:r>
        <w:rPr>
          <w:color w:val="000000"/>
          <w:spacing w:val="5"/>
        </w:rPr>
        <w:t>k</w:t>
      </w:r>
      <w:r>
        <w:rPr>
          <w:color w:val="000000"/>
          <w:spacing w:val="-4"/>
        </w:rPr>
        <w:t>l</w:t>
      </w:r>
      <w:r>
        <w:rPr>
          <w:color w:val="000000"/>
          <w:spacing w:val="4"/>
        </w:rPr>
        <w:t>a</w:t>
      </w:r>
      <w:r>
        <w:rPr>
          <w:color w:val="000000"/>
          <w:spacing w:val="-4"/>
        </w:rPr>
        <w:t>i</w:t>
      </w:r>
      <w:r>
        <w:rPr>
          <w:color w:val="000000"/>
        </w:rPr>
        <w:t>dą</w:t>
      </w:r>
      <w:r>
        <w:rPr>
          <w:color w:val="000000"/>
          <w:spacing w:val="9"/>
        </w:rPr>
        <w:t xml:space="preserve"> </w:t>
      </w:r>
      <w:r>
        <w:rPr>
          <w:color w:val="000000"/>
        </w:rPr>
        <w:t>p</w:t>
      </w:r>
      <w:r>
        <w:rPr>
          <w:color w:val="000000"/>
          <w:spacing w:val="-1"/>
        </w:rPr>
        <w:t>a</w:t>
      </w:r>
      <w:r>
        <w:rPr>
          <w:color w:val="000000"/>
          <w:spacing w:val="5"/>
        </w:rPr>
        <w:t>t</w:t>
      </w:r>
      <w:r>
        <w:rPr>
          <w:color w:val="000000"/>
          <w:spacing w:val="-1"/>
        </w:rPr>
        <w:t>e</w:t>
      </w:r>
      <w:r>
        <w:rPr>
          <w:color w:val="000000"/>
        </w:rPr>
        <w:t>ko</w:t>
      </w:r>
      <w:r>
        <w:rPr>
          <w:color w:val="000000"/>
          <w:spacing w:val="14"/>
        </w:rPr>
        <w:t xml:space="preserve"> </w:t>
      </w:r>
      <w:r>
        <w:rPr>
          <w:color w:val="000000"/>
        </w:rPr>
        <w:t>į p</w:t>
      </w:r>
      <w:r>
        <w:rPr>
          <w:color w:val="000000"/>
          <w:spacing w:val="1"/>
        </w:rPr>
        <w:t>r</w:t>
      </w:r>
      <w:r>
        <w:rPr>
          <w:color w:val="000000"/>
          <w:spacing w:val="-1"/>
        </w:rPr>
        <w:t>e</w:t>
      </w:r>
      <w:r>
        <w:rPr>
          <w:color w:val="000000"/>
          <w:spacing w:val="5"/>
        </w:rPr>
        <w:t>k</w:t>
      </w:r>
      <w:r>
        <w:rPr>
          <w:color w:val="000000"/>
          <w:spacing w:val="-5"/>
        </w:rPr>
        <w:t>yb</w:t>
      </w:r>
      <w:r>
        <w:rPr>
          <w:color w:val="000000"/>
        </w:rPr>
        <w:t>ą</w:t>
      </w:r>
      <w:r>
        <w:rPr>
          <w:color w:val="000000"/>
          <w:spacing w:val="13"/>
        </w:rPr>
        <w:t xml:space="preserve"> </w:t>
      </w:r>
      <w:r>
        <w:rPr>
          <w:color w:val="000000"/>
          <w:spacing w:val="-4"/>
        </w:rPr>
        <w:t>m</w:t>
      </w:r>
      <w:r>
        <w:rPr>
          <w:color w:val="000000"/>
        </w:rPr>
        <w:t>ū</w:t>
      </w:r>
      <w:r>
        <w:rPr>
          <w:color w:val="000000"/>
          <w:spacing w:val="-2"/>
        </w:rPr>
        <w:t>s</w:t>
      </w:r>
      <w:r>
        <w:rPr>
          <w:color w:val="000000"/>
        </w:rPr>
        <w:t>ų</w:t>
      </w:r>
      <w:r>
        <w:rPr>
          <w:color w:val="000000"/>
          <w:spacing w:val="14"/>
        </w:rPr>
        <w:t xml:space="preserve"> </w:t>
      </w:r>
      <w:r>
        <w:rPr>
          <w:color w:val="000000"/>
          <w:spacing w:val="-2"/>
        </w:rPr>
        <w:t>š</w:t>
      </w:r>
      <w:r>
        <w:rPr>
          <w:color w:val="000000"/>
          <w:spacing w:val="4"/>
        </w:rPr>
        <w:t>a</w:t>
      </w:r>
      <w:r>
        <w:rPr>
          <w:color w:val="000000"/>
        </w:rPr>
        <w:t>ly</w:t>
      </w:r>
      <w:r>
        <w:rPr>
          <w:color w:val="000000"/>
          <w:spacing w:val="-4"/>
        </w:rPr>
        <w:t>j</w:t>
      </w:r>
      <w:r>
        <w:rPr>
          <w:color w:val="000000"/>
          <w:spacing w:val="-1"/>
        </w:rPr>
        <w:t>e</w:t>
      </w:r>
      <w:r>
        <w:rPr>
          <w:color w:val="000000"/>
        </w:rPr>
        <w:t>. N</w:t>
      </w:r>
      <w:r>
        <w:rPr>
          <w:color w:val="000000"/>
          <w:spacing w:val="-1"/>
        </w:rPr>
        <w:t>ea</w:t>
      </w:r>
      <w:r>
        <w:rPr>
          <w:color w:val="000000"/>
          <w:spacing w:val="5"/>
        </w:rPr>
        <w:t>t</w:t>
      </w:r>
      <w:r>
        <w:rPr>
          <w:color w:val="000000"/>
          <w:spacing w:val="-9"/>
        </w:rPr>
        <w:t>m</w:t>
      </w:r>
      <w:r>
        <w:rPr>
          <w:color w:val="000000"/>
          <w:spacing w:val="4"/>
        </w:rPr>
        <w:t>e</w:t>
      </w:r>
      <w:r>
        <w:rPr>
          <w:color w:val="000000"/>
          <w:spacing w:val="-2"/>
        </w:rPr>
        <w:t>s</w:t>
      </w:r>
      <w:r>
        <w:rPr>
          <w:color w:val="000000"/>
          <w:spacing w:val="10"/>
        </w:rPr>
        <w:t>t</w:t>
      </w:r>
      <w:r>
        <w:rPr>
          <w:color w:val="000000"/>
          <w:spacing w:val="-4"/>
        </w:rPr>
        <w:t>i</w:t>
      </w:r>
      <w:r>
        <w:rPr>
          <w:color w:val="000000"/>
          <w:spacing w:val="-5"/>
        </w:rPr>
        <w:t>n</w:t>
      </w:r>
      <w:r>
        <w:rPr>
          <w:color w:val="000000"/>
        </w:rPr>
        <w:t xml:space="preserve">a </w:t>
      </w:r>
      <w:r>
        <w:rPr>
          <w:color w:val="000000"/>
          <w:spacing w:val="3"/>
        </w:rPr>
        <w:t xml:space="preserve"> </w:t>
      </w:r>
      <w:r>
        <w:rPr>
          <w:color w:val="000000"/>
        </w:rPr>
        <w:t>g</w:t>
      </w:r>
      <w:r>
        <w:rPr>
          <w:color w:val="000000"/>
          <w:spacing w:val="4"/>
        </w:rPr>
        <w:t>a</w:t>
      </w:r>
      <w:r>
        <w:rPr>
          <w:color w:val="000000"/>
        </w:rPr>
        <w:t>l</w:t>
      </w:r>
      <w:r>
        <w:rPr>
          <w:color w:val="000000"/>
          <w:spacing w:val="1"/>
        </w:rPr>
        <w:t>i</w:t>
      </w:r>
      <w:r>
        <w:rPr>
          <w:color w:val="000000"/>
        </w:rPr>
        <w:t>m</w:t>
      </w:r>
      <w:r>
        <w:rPr>
          <w:color w:val="000000"/>
          <w:spacing w:val="-4"/>
        </w:rPr>
        <w:t>y</w:t>
      </w:r>
      <w:r>
        <w:rPr>
          <w:color w:val="000000"/>
        </w:rPr>
        <w:t>b</w:t>
      </w:r>
      <w:r>
        <w:rPr>
          <w:color w:val="000000"/>
          <w:spacing w:val="-1"/>
        </w:rPr>
        <w:t>ė</w:t>
      </w:r>
      <w:r>
        <w:rPr>
          <w:color w:val="000000"/>
        </w:rPr>
        <w:t xml:space="preserve">, </w:t>
      </w:r>
      <w:r>
        <w:rPr>
          <w:color w:val="000000"/>
          <w:spacing w:val="7"/>
        </w:rPr>
        <w:t xml:space="preserve"> </w:t>
      </w:r>
      <w:r>
        <w:rPr>
          <w:color w:val="000000"/>
        </w:rPr>
        <w:t>k</w:t>
      </w:r>
      <w:r>
        <w:rPr>
          <w:color w:val="000000"/>
          <w:spacing w:val="-1"/>
        </w:rPr>
        <w:t>a</w:t>
      </w:r>
      <w:r>
        <w:rPr>
          <w:color w:val="000000"/>
        </w:rPr>
        <w:t xml:space="preserve">d </w:t>
      </w:r>
      <w:r>
        <w:rPr>
          <w:color w:val="000000"/>
          <w:spacing w:val="9"/>
        </w:rPr>
        <w:t xml:space="preserve"> </w:t>
      </w:r>
      <w:r>
        <w:rPr>
          <w:color w:val="000000"/>
          <w:spacing w:val="-5"/>
        </w:rPr>
        <w:t>b</w:t>
      </w:r>
      <w:r>
        <w:rPr>
          <w:color w:val="000000"/>
          <w:spacing w:val="4"/>
        </w:rPr>
        <w:t>a</w:t>
      </w:r>
      <w:r>
        <w:rPr>
          <w:color w:val="000000"/>
          <w:spacing w:val="-5"/>
        </w:rPr>
        <w:t>n</w:t>
      </w:r>
      <w:r>
        <w:rPr>
          <w:color w:val="000000"/>
          <w:spacing w:val="4"/>
        </w:rPr>
        <w:t>a</w:t>
      </w:r>
      <w:r>
        <w:rPr>
          <w:color w:val="000000"/>
          <w:spacing w:val="-5"/>
        </w:rPr>
        <w:t>n</w:t>
      </w:r>
      <w:r>
        <w:rPr>
          <w:color w:val="000000"/>
        </w:rPr>
        <w:t xml:space="preserve">ų </w:t>
      </w:r>
      <w:r>
        <w:rPr>
          <w:color w:val="000000"/>
          <w:spacing w:val="9"/>
        </w:rPr>
        <w:t xml:space="preserve"> </w:t>
      </w:r>
      <w:r>
        <w:rPr>
          <w:color w:val="000000"/>
        </w:rPr>
        <w:t>k</w:t>
      </w:r>
      <w:r>
        <w:rPr>
          <w:color w:val="000000"/>
          <w:spacing w:val="1"/>
        </w:rPr>
        <w:t>r</w:t>
      </w:r>
      <w:r>
        <w:rPr>
          <w:color w:val="000000"/>
          <w:spacing w:val="5"/>
        </w:rPr>
        <w:t>o</w:t>
      </w:r>
      <w:r>
        <w:rPr>
          <w:color w:val="000000"/>
        </w:rPr>
        <w:t>v</w:t>
      </w:r>
      <w:r>
        <w:rPr>
          <w:color w:val="000000"/>
          <w:spacing w:val="1"/>
        </w:rPr>
        <w:t>i</w:t>
      </w:r>
      <w:r>
        <w:rPr>
          <w:color w:val="000000"/>
        </w:rPr>
        <w:t>n</w:t>
      </w:r>
      <w:r>
        <w:rPr>
          <w:color w:val="000000"/>
          <w:spacing w:val="-4"/>
        </w:rPr>
        <w:t>i</w:t>
      </w:r>
      <w:r>
        <w:rPr>
          <w:color w:val="000000"/>
        </w:rPr>
        <w:t>u</w:t>
      </w:r>
      <w:r>
        <w:rPr>
          <w:color w:val="000000"/>
          <w:spacing w:val="5"/>
        </w:rPr>
        <w:t>o</w:t>
      </w:r>
      <w:r>
        <w:rPr>
          <w:color w:val="000000"/>
          <w:spacing w:val="-2"/>
        </w:rPr>
        <w:t>s</w:t>
      </w:r>
      <w:r>
        <w:rPr>
          <w:color w:val="000000"/>
        </w:rPr>
        <w:t xml:space="preserve">e </w:t>
      </w:r>
      <w:r>
        <w:rPr>
          <w:color w:val="000000"/>
          <w:spacing w:val="8"/>
        </w:rPr>
        <w:t xml:space="preserve"> </w:t>
      </w:r>
      <w:r>
        <w:rPr>
          <w:color w:val="000000"/>
        </w:rPr>
        <w:t>p</w:t>
      </w:r>
      <w:r>
        <w:rPr>
          <w:color w:val="000000"/>
          <w:spacing w:val="-1"/>
        </w:rPr>
        <w:t>a</w:t>
      </w:r>
      <w:r>
        <w:rPr>
          <w:color w:val="000000"/>
          <w:spacing w:val="2"/>
        </w:rPr>
        <w:t>s</w:t>
      </w:r>
      <w:r>
        <w:rPr>
          <w:color w:val="000000"/>
          <w:spacing w:val="-4"/>
        </w:rPr>
        <w:t>l</w:t>
      </w:r>
      <w:r>
        <w:rPr>
          <w:color w:val="000000"/>
          <w:spacing w:val="-1"/>
        </w:rPr>
        <w:t>ė</w:t>
      </w:r>
      <w:r>
        <w:rPr>
          <w:color w:val="000000"/>
        </w:rPr>
        <w:t>p</w:t>
      </w:r>
      <w:r>
        <w:rPr>
          <w:color w:val="000000"/>
          <w:spacing w:val="5"/>
        </w:rPr>
        <w:t>t</w:t>
      </w:r>
      <w:r>
        <w:rPr>
          <w:color w:val="000000"/>
          <w:spacing w:val="-1"/>
        </w:rPr>
        <w:t>a</w:t>
      </w:r>
      <w:r>
        <w:rPr>
          <w:color w:val="000000"/>
        </w:rPr>
        <w:t xml:space="preserve">s </w:t>
      </w:r>
      <w:r>
        <w:rPr>
          <w:color w:val="000000"/>
          <w:spacing w:val="2"/>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1"/>
        </w:rPr>
        <w:t>a</w:t>
      </w:r>
      <w:r>
        <w:rPr>
          <w:color w:val="000000"/>
        </w:rPr>
        <w:t xml:space="preserve">s </w:t>
      </w:r>
      <w:r>
        <w:rPr>
          <w:color w:val="000000"/>
          <w:spacing w:val="7"/>
        </w:rPr>
        <w:t xml:space="preserve"> </w:t>
      </w:r>
      <w:r>
        <w:rPr>
          <w:color w:val="000000"/>
          <w:spacing w:val="-4"/>
        </w:rPr>
        <w:t>i</w:t>
      </w:r>
      <w:r>
        <w:rPr>
          <w:color w:val="000000"/>
        </w:rPr>
        <w:t xml:space="preserve">š </w:t>
      </w:r>
      <w:r>
        <w:rPr>
          <w:color w:val="000000"/>
          <w:spacing w:val="12"/>
        </w:rPr>
        <w:t xml:space="preserve"> </w:t>
      </w:r>
      <w:r>
        <w:rPr>
          <w:color w:val="000000"/>
        </w:rPr>
        <w:t>v</w:t>
      </w:r>
      <w:r>
        <w:rPr>
          <w:color w:val="000000"/>
          <w:spacing w:val="-4"/>
        </w:rPr>
        <w:t>i</w:t>
      </w:r>
      <w:r>
        <w:rPr>
          <w:color w:val="000000"/>
          <w:spacing w:val="-2"/>
        </w:rPr>
        <w:t>s</w:t>
      </w:r>
      <w:r>
        <w:rPr>
          <w:color w:val="000000"/>
        </w:rPr>
        <w:t xml:space="preserve">o </w:t>
      </w:r>
      <w:r>
        <w:rPr>
          <w:color w:val="000000"/>
          <w:spacing w:val="9"/>
        </w:rPr>
        <w:t xml:space="preserve"> </w:t>
      </w:r>
      <w:r>
        <w:rPr>
          <w:color w:val="000000"/>
        </w:rPr>
        <w:t>n</w:t>
      </w:r>
      <w:r>
        <w:rPr>
          <w:color w:val="000000"/>
          <w:spacing w:val="-1"/>
        </w:rPr>
        <w:t>e</w:t>
      </w:r>
      <w:r>
        <w:rPr>
          <w:color w:val="000000"/>
          <w:spacing w:val="5"/>
        </w:rPr>
        <w:t>t</w:t>
      </w:r>
      <w:r>
        <w:rPr>
          <w:color w:val="000000"/>
        </w:rPr>
        <w:t>u</w:t>
      </w:r>
      <w:r>
        <w:rPr>
          <w:color w:val="000000"/>
          <w:spacing w:val="1"/>
        </w:rPr>
        <w:t>r</w:t>
      </w:r>
      <w:r>
        <w:rPr>
          <w:color w:val="000000"/>
          <w:spacing w:val="-1"/>
        </w:rPr>
        <w:t>ė</w:t>
      </w:r>
      <w:r>
        <w:rPr>
          <w:color w:val="000000"/>
          <w:spacing w:val="-9"/>
        </w:rPr>
        <w:t>j</w:t>
      </w:r>
      <w:r>
        <w:rPr>
          <w:color w:val="000000"/>
        </w:rPr>
        <w:t xml:space="preserve">o </w:t>
      </w:r>
      <w:r>
        <w:rPr>
          <w:color w:val="000000"/>
          <w:spacing w:val="9"/>
        </w:rPr>
        <w:t xml:space="preserve"> </w:t>
      </w:r>
      <w:r>
        <w:rPr>
          <w:color w:val="000000"/>
        </w:rPr>
        <w:t>p</w:t>
      </w:r>
      <w:r>
        <w:rPr>
          <w:color w:val="000000"/>
          <w:spacing w:val="-1"/>
        </w:rPr>
        <w:t>a</w:t>
      </w:r>
      <w:r>
        <w:rPr>
          <w:color w:val="000000"/>
          <w:spacing w:val="5"/>
        </w:rPr>
        <w:t>k</w:t>
      </w:r>
      <w:r>
        <w:rPr>
          <w:color w:val="000000"/>
          <w:spacing w:val="-4"/>
        </w:rPr>
        <w:t>li</w:t>
      </w:r>
      <w:r>
        <w:rPr>
          <w:color w:val="000000"/>
        </w:rPr>
        <w:t>ū</w:t>
      </w:r>
      <w:r>
        <w:rPr>
          <w:color w:val="000000"/>
          <w:spacing w:val="10"/>
        </w:rPr>
        <w:t>t</w:t>
      </w:r>
      <w:r>
        <w:rPr>
          <w:color w:val="000000"/>
        </w:rPr>
        <w:t xml:space="preserve">i  į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1"/>
        </w:rPr>
        <w:t>ą</w:t>
      </w:r>
      <w:r>
        <w:rPr>
          <w:color w:val="000000"/>
        </w:rPr>
        <w:t>.</w:t>
      </w:r>
      <w:r>
        <w:rPr>
          <w:color w:val="000000"/>
          <w:spacing w:val="5"/>
        </w:rPr>
        <w:t xml:space="preserve"> </w:t>
      </w:r>
      <w:r>
        <w:rPr>
          <w:color w:val="000000"/>
          <w:spacing w:val="6"/>
        </w:rPr>
        <w:t>Š</w:t>
      </w:r>
      <w:r>
        <w:rPr>
          <w:color w:val="000000"/>
          <w:spacing w:val="-9"/>
        </w:rPr>
        <w:t>i</w:t>
      </w:r>
      <w:r>
        <w:rPr>
          <w:color w:val="000000"/>
        </w:rPr>
        <w:t>ą</w:t>
      </w:r>
      <w:r>
        <w:rPr>
          <w:color w:val="000000"/>
          <w:spacing w:val="1"/>
        </w:rPr>
        <w:t xml:space="preserve"> </w:t>
      </w:r>
      <w:r>
        <w:rPr>
          <w:color w:val="000000"/>
        </w:rPr>
        <w:t>p</w:t>
      </w:r>
      <w:r>
        <w:rPr>
          <w:color w:val="000000"/>
          <w:spacing w:val="6"/>
        </w:rPr>
        <w:t>r</w:t>
      </w:r>
      <w:r>
        <w:rPr>
          <w:color w:val="000000"/>
          <w:spacing w:val="-4"/>
        </w:rPr>
        <w:t>i</w:t>
      </w:r>
      <w:r>
        <w:rPr>
          <w:color w:val="000000"/>
          <w:spacing w:val="4"/>
        </w:rPr>
        <w:t>e</w:t>
      </w:r>
      <w:r>
        <w:rPr>
          <w:color w:val="000000"/>
          <w:spacing w:val="-4"/>
        </w:rPr>
        <w:t>l</w:t>
      </w:r>
      <w:r>
        <w:rPr>
          <w:color w:val="000000"/>
          <w:spacing w:val="4"/>
        </w:rPr>
        <w:t>a</w:t>
      </w:r>
      <w:r>
        <w:rPr>
          <w:color w:val="000000"/>
          <w:spacing w:val="-4"/>
        </w:rPr>
        <w:t>i</w:t>
      </w:r>
      <w:r>
        <w:rPr>
          <w:color w:val="000000"/>
        </w:rPr>
        <w:t>dą</w:t>
      </w:r>
      <w:r>
        <w:rPr>
          <w:color w:val="000000"/>
          <w:spacing w:val="1"/>
        </w:rPr>
        <w:t xml:space="preserve"> </w:t>
      </w:r>
      <w:r>
        <w:rPr>
          <w:color w:val="000000"/>
        </w:rPr>
        <w:t>p</w:t>
      </w:r>
      <w:r>
        <w:rPr>
          <w:color w:val="000000"/>
          <w:spacing w:val="-1"/>
        </w:rPr>
        <w:t>a</w:t>
      </w:r>
      <w:r>
        <w:rPr>
          <w:color w:val="000000"/>
          <w:spacing w:val="5"/>
        </w:rPr>
        <w:t>t</w:t>
      </w:r>
      <w:r>
        <w:rPr>
          <w:color w:val="000000"/>
        </w:rPr>
        <w:t>v</w:t>
      </w:r>
      <w:r>
        <w:rPr>
          <w:color w:val="000000"/>
          <w:spacing w:val="-4"/>
        </w:rPr>
        <w:t>i</w:t>
      </w:r>
      <w:r>
        <w:rPr>
          <w:color w:val="000000"/>
          <w:spacing w:val="1"/>
        </w:rPr>
        <w:t>r</w:t>
      </w:r>
      <w:r>
        <w:rPr>
          <w:color w:val="000000"/>
          <w:spacing w:val="10"/>
        </w:rPr>
        <w:t>t</w:t>
      </w:r>
      <w:r>
        <w:rPr>
          <w:color w:val="000000"/>
          <w:spacing w:val="-4"/>
        </w:rPr>
        <w:t>i</w:t>
      </w:r>
      <w:r>
        <w:rPr>
          <w:color w:val="000000"/>
          <w:spacing w:val="-5"/>
        </w:rPr>
        <w:t>n</w:t>
      </w:r>
      <w:r>
        <w:rPr>
          <w:color w:val="000000"/>
        </w:rPr>
        <w:t>a</w:t>
      </w:r>
      <w:r>
        <w:rPr>
          <w:color w:val="000000"/>
          <w:spacing w:val="1"/>
        </w:rPr>
        <w:t xml:space="preserve"> </w:t>
      </w:r>
      <w:r>
        <w:rPr>
          <w:color w:val="000000"/>
          <w:spacing w:val="4"/>
        </w:rPr>
        <w:t>a</w:t>
      </w:r>
      <w:r>
        <w:rPr>
          <w:color w:val="000000"/>
          <w:spacing w:val="-5"/>
        </w:rPr>
        <w:t>n</w:t>
      </w:r>
      <w:r>
        <w:rPr>
          <w:color w:val="000000"/>
          <w:spacing w:val="4"/>
        </w:rPr>
        <w:t>a</w:t>
      </w:r>
      <w:r>
        <w:rPr>
          <w:color w:val="000000"/>
          <w:spacing w:val="-9"/>
        </w:rPr>
        <w:t>l</w:t>
      </w:r>
      <w:r>
        <w:rPr>
          <w:color w:val="000000"/>
          <w:spacing w:val="5"/>
        </w:rPr>
        <w:t>og</w:t>
      </w:r>
      <w:r>
        <w:rPr>
          <w:color w:val="000000"/>
          <w:spacing w:val="-4"/>
        </w:rPr>
        <w:t>i</w:t>
      </w:r>
      <w:r>
        <w:rPr>
          <w:color w:val="000000"/>
          <w:spacing w:val="2"/>
        </w:rPr>
        <w:t>š</w:t>
      </w:r>
      <w:r>
        <w:rPr>
          <w:color w:val="000000"/>
        </w:rPr>
        <w:t>k</w:t>
      </w:r>
      <w:r>
        <w:rPr>
          <w:color w:val="000000"/>
          <w:spacing w:val="-1"/>
        </w:rPr>
        <w:t>a</w:t>
      </w:r>
      <w:r>
        <w:rPr>
          <w:color w:val="000000"/>
        </w:rPr>
        <w:t xml:space="preserve">s </w:t>
      </w:r>
      <w:r>
        <w:rPr>
          <w:color w:val="000000"/>
          <w:spacing w:val="4"/>
        </w:rPr>
        <w:t>a</w:t>
      </w:r>
      <w:r>
        <w:rPr>
          <w:color w:val="000000"/>
          <w:spacing w:val="5"/>
        </w:rPr>
        <w:t>t</w:t>
      </w:r>
      <w:r>
        <w:rPr>
          <w:color w:val="000000"/>
          <w:spacing w:val="-5"/>
        </w:rPr>
        <w:t>v</w:t>
      </w:r>
      <w:r>
        <w:rPr>
          <w:color w:val="000000"/>
          <w:spacing w:val="4"/>
        </w:rPr>
        <w:t>e</w:t>
      </w:r>
      <w:r>
        <w:rPr>
          <w:color w:val="000000"/>
          <w:spacing w:val="-4"/>
        </w:rPr>
        <w:t>ji</w:t>
      </w:r>
      <w:r>
        <w:rPr>
          <w:color w:val="000000"/>
        </w:rPr>
        <w:t>s</w:t>
      </w:r>
      <w:r>
        <w:rPr>
          <w:color w:val="000000"/>
          <w:spacing w:val="5"/>
        </w:rPr>
        <w:t xml:space="preserve"> </w:t>
      </w:r>
      <w:r>
        <w:rPr>
          <w:color w:val="000000"/>
          <w:spacing w:val="-3"/>
        </w:rPr>
        <w:t>L</w:t>
      </w:r>
      <w:r>
        <w:rPr>
          <w:color w:val="000000"/>
          <w:spacing w:val="4"/>
        </w:rPr>
        <w:t>e</w:t>
      </w:r>
      <w:r>
        <w:rPr>
          <w:color w:val="000000"/>
          <w:spacing w:val="-5"/>
        </w:rPr>
        <w:t>n</w:t>
      </w:r>
      <w:r>
        <w:rPr>
          <w:color w:val="000000"/>
          <w:spacing w:val="5"/>
        </w:rPr>
        <w:t>k</w:t>
      </w:r>
      <w:r>
        <w:rPr>
          <w:color w:val="000000"/>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5"/>
        </w:rPr>
        <w:t xml:space="preserve"> </w:t>
      </w:r>
      <w:r>
        <w:rPr>
          <w:color w:val="000000"/>
          <w:spacing w:val="4"/>
        </w:rPr>
        <w:t>V</w:t>
      </w:r>
      <w:r>
        <w:rPr>
          <w:color w:val="000000"/>
          <w:spacing w:val="-4"/>
        </w:rPr>
        <w:t>i</w:t>
      </w:r>
      <w:r>
        <w:rPr>
          <w:color w:val="000000"/>
          <w:spacing w:val="-1"/>
        </w:rPr>
        <w:t>e</w:t>
      </w:r>
      <w:r>
        <w:rPr>
          <w:color w:val="000000"/>
          <w:spacing w:val="-2"/>
        </w:rPr>
        <w:t>š</w:t>
      </w:r>
      <w:r>
        <w:rPr>
          <w:color w:val="000000"/>
          <w:spacing w:val="5"/>
        </w:rPr>
        <w:t>ų</w:t>
      </w:r>
      <w:r>
        <w:rPr>
          <w:color w:val="000000"/>
          <w:spacing w:val="-4"/>
        </w:rPr>
        <w:t>j</w:t>
      </w:r>
      <w:r>
        <w:rPr>
          <w:color w:val="000000"/>
        </w:rPr>
        <w:t>ų</w:t>
      </w:r>
      <w:r>
        <w:rPr>
          <w:color w:val="000000"/>
          <w:spacing w:val="7"/>
        </w:rPr>
        <w:t xml:space="preserve">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9"/>
        </w:rPr>
        <w:t>m</w:t>
      </w:r>
      <w:r>
        <w:rPr>
          <w:color w:val="000000"/>
          <w:spacing w:val="4"/>
        </w:rPr>
        <w:t>ac</w:t>
      </w:r>
      <w:r>
        <w:rPr>
          <w:color w:val="000000"/>
          <w:spacing w:val="-4"/>
        </w:rPr>
        <w:t>i</w:t>
      </w:r>
      <w:r>
        <w:rPr>
          <w:color w:val="000000"/>
          <w:spacing w:val="-9"/>
        </w:rPr>
        <w:t>j</w:t>
      </w:r>
      <w:r>
        <w:rPr>
          <w:color w:val="000000"/>
          <w:spacing w:val="9"/>
        </w:rPr>
        <w:t>o</w:t>
      </w:r>
      <w:r>
        <w:rPr>
          <w:color w:val="000000"/>
        </w:rPr>
        <w:t xml:space="preserve">s </w:t>
      </w:r>
      <w:r>
        <w:rPr>
          <w:color w:val="000000"/>
          <w:spacing w:val="2"/>
        </w:rPr>
        <w:t>š</w:t>
      </w:r>
      <w:r>
        <w:rPr>
          <w:color w:val="000000"/>
          <w:spacing w:val="4"/>
        </w:rPr>
        <w:t>a</w:t>
      </w:r>
      <w:r>
        <w:rPr>
          <w:color w:val="000000"/>
          <w:spacing w:val="-9"/>
        </w:rPr>
        <w:t>l</w:t>
      </w:r>
      <w:r>
        <w:rPr>
          <w:color w:val="000000"/>
          <w:spacing w:val="10"/>
        </w:rPr>
        <w:t>t</w:t>
      </w:r>
      <w:r>
        <w:rPr>
          <w:color w:val="000000"/>
          <w:spacing w:val="-4"/>
        </w:rPr>
        <w:t>i</w:t>
      </w:r>
      <w:r>
        <w:rPr>
          <w:color w:val="000000"/>
        </w:rPr>
        <w:t>nių du</w:t>
      </w:r>
      <w:r>
        <w:rPr>
          <w:color w:val="000000"/>
          <w:spacing w:val="5"/>
        </w:rPr>
        <w:t>o</w:t>
      </w:r>
      <w:r>
        <w:rPr>
          <w:color w:val="000000"/>
          <w:spacing w:val="-9"/>
        </w:rPr>
        <w:t>m</w:t>
      </w:r>
      <w:r>
        <w:rPr>
          <w:color w:val="000000"/>
          <w:spacing w:val="4"/>
        </w:rPr>
        <w:t>e</w:t>
      </w:r>
      <w:r>
        <w:rPr>
          <w:color w:val="000000"/>
        </w:rPr>
        <w:t>ni</w:t>
      </w:r>
      <w:r>
        <w:rPr>
          <w:color w:val="000000"/>
          <w:spacing w:val="1"/>
        </w:rPr>
        <w:t>m</w:t>
      </w:r>
      <w:r>
        <w:rPr>
          <w:color w:val="000000"/>
          <w:spacing w:val="-4"/>
        </w:rPr>
        <w:t>i</w:t>
      </w:r>
      <w:r>
        <w:rPr>
          <w:color w:val="000000"/>
          <w:spacing w:val="-2"/>
        </w:rPr>
        <w:t>s</w:t>
      </w:r>
      <w:r>
        <w:rPr>
          <w:color w:val="000000"/>
        </w:rPr>
        <w:t>,</w:t>
      </w:r>
      <w:r>
        <w:rPr>
          <w:color w:val="000000"/>
          <w:spacing w:val="3"/>
        </w:rPr>
        <w:t xml:space="preserve"> </w:t>
      </w:r>
      <w:r>
        <w:rPr>
          <w:color w:val="000000"/>
        </w:rPr>
        <w:t>2012</w:t>
      </w:r>
      <w:r>
        <w:rPr>
          <w:color w:val="000000"/>
          <w:spacing w:val="5"/>
        </w:rPr>
        <w:t xml:space="preserve"> </w:t>
      </w:r>
      <w:r>
        <w:rPr>
          <w:color w:val="000000"/>
          <w:spacing w:val="-9"/>
        </w:rPr>
        <w:t>m</w:t>
      </w:r>
      <w:r>
        <w:rPr>
          <w:color w:val="000000"/>
        </w:rPr>
        <w:t>.</w:t>
      </w:r>
      <w:r>
        <w:rPr>
          <w:color w:val="000000"/>
          <w:spacing w:val="3"/>
        </w:rPr>
        <w:t xml:space="preserve"> </w:t>
      </w:r>
      <w:r>
        <w:rPr>
          <w:color w:val="000000"/>
          <w:spacing w:val="-5"/>
        </w:rPr>
        <w:t>b</w:t>
      </w:r>
      <w:r>
        <w:rPr>
          <w:color w:val="000000"/>
          <w:spacing w:val="4"/>
        </w:rPr>
        <w:t>a</w:t>
      </w:r>
      <w:r>
        <w:rPr>
          <w:color w:val="000000"/>
          <w:spacing w:val="-4"/>
        </w:rPr>
        <w:t>l</w:t>
      </w:r>
      <w:r>
        <w:rPr>
          <w:color w:val="000000"/>
          <w:spacing w:val="4"/>
        </w:rPr>
        <w:t>a</w:t>
      </w:r>
      <w:r>
        <w:rPr>
          <w:color w:val="000000"/>
          <w:spacing w:val="-5"/>
        </w:rPr>
        <w:t>n</w:t>
      </w:r>
      <w:r>
        <w:rPr>
          <w:color w:val="000000"/>
        </w:rPr>
        <w:t>d</w:t>
      </w:r>
      <w:r>
        <w:rPr>
          <w:color w:val="000000"/>
          <w:spacing w:val="4"/>
        </w:rPr>
        <w:t>ž</w:t>
      </w:r>
      <w:r>
        <w:rPr>
          <w:color w:val="000000"/>
          <w:spacing w:val="-9"/>
        </w:rPr>
        <w:t>i</w:t>
      </w:r>
      <w:r>
        <w:rPr>
          <w:color w:val="000000"/>
        </w:rPr>
        <w:t>o</w:t>
      </w:r>
      <w:r>
        <w:rPr>
          <w:color w:val="000000"/>
          <w:spacing w:val="10"/>
        </w:rPr>
        <w:t xml:space="preserve"> </w:t>
      </w:r>
      <w:r>
        <w:rPr>
          <w:color w:val="000000"/>
          <w:spacing w:val="-4"/>
        </w:rPr>
        <w:t>m</w:t>
      </w:r>
      <w:r>
        <w:rPr>
          <w:color w:val="000000"/>
          <w:spacing w:val="4"/>
        </w:rPr>
        <w:t>ė</w:t>
      </w:r>
      <w:r>
        <w:rPr>
          <w:color w:val="000000"/>
          <w:spacing w:val="-5"/>
        </w:rPr>
        <w:t>n</w:t>
      </w:r>
      <w:r>
        <w:rPr>
          <w:color w:val="000000"/>
        </w:rPr>
        <w:t>.</w:t>
      </w:r>
      <w:r>
        <w:rPr>
          <w:color w:val="000000"/>
          <w:spacing w:val="3"/>
        </w:rPr>
        <w:t xml:space="preserve"> </w:t>
      </w:r>
      <w:r>
        <w:rPr>
          <w:color w:val="000000"/>
          <w:spacing w:val="-1"/>
        </w:rPr>
        <w:t>a</w:t>
      </w:r>
      <w:r>
        <w:rPr>
          <w:color w:val="000000"/>
          <w:spacing w:val="5"/>
        </w:rPr>
        <w:t>p</w:t>
      </w:r>
      <w:r>
        <w:rPr>
          <w:color w:val="000000"/>
          <w:spacing w:val="-9"/>
        </w:rPr>
        <w:t>i</w:t>
      </w:r>
      <w:r>
        <w:rPr>
          <w:color w:val="000000"/>
        </w:rPr>
        <w:t>e 100</w:t>
      </w:r>
      <w:r>
        <w:rPr>
          <w:color w:val="000000"/>
          <w:spacing w:val="5"/>
        </w:rPr>
        <w:t xml:space="preserve"> </w:t>
      </w:r>
      <w:r>
        <w:rPr>
          <w:color w:val="000000"/>
        </w:rPr>
        <w:t>kg</w:t>
      </w:r>
      <w:r>
        <w:rPr>
          <w:color w:val="000000"/>
          <w:spacing w:val="1"/>
        </w:rPr>
        <w:t xml:space="preserve"> </w:t>
      </w:r>
      <w:r>
        <w:rPr>
          <w:color w:val="000000"/>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 xml:space="preserve">o </w:t>
      </w:r>
      <w:r>
        <w:rPr>
          <w:color w:val="000000"/>
          <w:spacing w:val="5"/>
        </w:rPr>
        <w:t>t</w:t>
      </w:r>
      <w:r>
        <w:rPr>
          <w:color w:val="000000"/>
          <w:spacing w:val="-1"/>
        </w:rPr>
        <w:t>a</w:t>
      </w:r>
      <w:r>
        <w:rPr>
          <w:color w:val="000000"/>
          <w:spacing w:val="-9"/>
        </w:rPr>
        <w:t>i</w:t>
      </w:r>
      <w:r>
        <w:rPr>
          <w:color w:val="000000"/>
        </w:rPr>
        <w:t>p</w:t>
      </w:r>
      <w:r>
        <w:rPr>
          <w:color w:val="000000"/>
          <w:spacing w:val="1"/>
        </w:rPr>
        <w:t xml:space="preserve"> </w:t>
      </w:r>
      <w:r>
        <w:rPr>
          <w:color w:val="000000"/>
        </w:rPr>
        <w:t>p</w:t>
      </w:r>
      <w:r>
        <w:rPr>
          <w:color w:val="000000"/>
          <w:spacing w:val="-1"/>
        </w:rPr>
        <w:t>a</w:t>
      </w:r>
      <w:r>
        <w:rPr>
          <w:color w:val="000000"/>
        </w:rPr>
        <w:t>t</w:t>
      </w:r>
      <w:r>
        <w:rPr>
          <w:color w:val="000000"/>
          <w:spacing w:val="6"/>
        </w:rPr>
        <w:t xml:space="preserve"> </w:t>
      </w:r>
      <w:r>
        <w:rPr>
          <w:color w:val="000000"/>
          <w:spacing w:val="-5"/>
        </w:rPr>
        <w:t>b</w:t>
      </w:r>
      <w:r>
        <w:rPr>
          <w:color w:val="000000"/>
          <w:spacing w:val="5"/>
        </w:rPr>
        <w:t>u</w:t>
      </w:r>
      <w:r>
        <w:rPr>
          <w:color w:val="000000"/>
          <w:spacing w:val="-5"/>
        </w:rPr>
        <w:t>v</w:t>
      </w:r>
      <w:r>
        <w:rPr>
          <w:color w:val="000000"/>
        </w:rPr>
        <w:t>o</w:t>
      </w:r>
      <w:r>
        <w:rPr>
          <w:color w:val="000000"/>
          <w:spacing w:val="5"/>
        </w:rPr>
        <w:t xml:space="preserve"> </w:t>
      </w:r>
      <w:r>
        <w:rPr>
          <w:color w:val="000000"/>
          <w:spacing w:val="1"/>
        </w:rPr>
        <w:t>r</w:t>
      </w:r>
      <w:r>
        <w:rPr>
          <w:color w:val="000000"/>
          <w:spacing w:val="-1"/>
        </w:rPr>
        <w:t>a</w:t>
      </w:r>
      <w:r>
        <w:rPr>
          <w:color w:val="000000"/>
          <w:spacing w:val="-7"/>
        </w:rPr>
        <w:t>s</w:t>
      </w:r>
      <w:r>
        <w:rPr>
          <w:color w:val="000000"/>
          <w:spacing w:val="5"/>
        </w:rPr>
        <w:t>t</w:t>
      </w:r>
      <w:r>
        <w:rPr>
          <w:color w:val="000000"/>
        </w:rPr>
        <w:t xml:space="preserve">a </w:t>
      </w:r>
      <w:r>
        <w:rPr>
          <w:color w:val="000000"/>
          <w:spacing w:val="-5"/>
        </w:rPr>
        <w:t>b</w:t>
      </w:r>
      <w:r>
        <w:rPr>
          <w:color w:val="000000"/>
          <w:spacing w:val="-1"/>
        </w:rPr>
        <w:t>a</w:t>
      </w:r>
      <w:r>
        <w:rPr>
          <w:color w:val="000000"/>
        </w:rPr>
        <w:t>n</w:t>
      </w:r>
      <w:r>
        <w:rPr>
          <w:color w:val="000000"/>
          <w:spacing w:val="4"/>
        </w:rPr>
        <w:t>a</w:t>
      </w:r>
      <w:r>
        <w:rPr>
          <w:color w:val="000000"/>
          <w:spacing w:val="-5"/>
        </w:rPr>
        <w:t>n</w:t>
      </w:r>
      <w:r>
        <w:rPr>
          <w:color w:val="000000"/>
        </w:rPr>
        <w:t>ų</w:t>
      </w:r>
      <w:r>
        <w:rPr>
          <w:color w:val="000000"/>
          <w:spacing w:val="1"/>
        </w:rPr>
        <w:t xml:space="preserve"> </w:t>
      </w:r>
      <w:r>
        <w:rPr>
          <w:color w:val="000000"/>
          <w:spacing w:val="2"/>
        </w:rPr>
        <w:t>s</w:t>
      </w:r>
      <w:r>
        <w:rPr>
          <w:color w:val="000000"/>
          <w:spacing w:val="-4"/>
        </w:rPr>
        <w:t>i</w:t>
      </w:r>
      <w:r>
        <w:rPr>
          <w:color w:val="000000"/>
          <w:spacing w:val="5"/>
        </w:rPr>
        <w:t>u</w:t>
      </w:r>
      <w:r>
        <w:rPr>
          <w:color w:val="000000"/>
          <w:spacing w:val="-5"/>
        </w:rPr>
        <w:t>n</w:t>
      </w:r>
      <w:r>
        <w:rPr>
          <w:color w:val="000000"/>
        </w:rPr>
        <w:t>t</w:t>
      </w:r>
      <w:r>
        <w:rPr>
          <w:color w:val="000000"/>
          <w:spacing w:val="5"/>
        </w:rPr>
        <w:t>o</w:t>
      </w:r>
      <w:r>
        <w:rPr>
          <w:color w:val="000000"/>
          <w:spacing w:val="-4"/>
        </w:rPr>
        <w:t>j</w:t>
      </w:r>
      <w:r>
        <w:rPr>
          <w:color w:val="000000"/>
          <w:spacing w:val="-1"/>
        </w:rPr>
        <w:t>e</w:t>
      </w:r>
      <w:r>
        <w:rPr>
          <w:color w:val="000000"/>
        </w:rPr>
        <w:t xml:space="preserve">, </w:t>
      </w:r>
      <w:r>
        <w:rPr>
          <w:color w:val="000000"/>
          <w:spacing w:val="-1"/>
        </w:rPr>
        <w:t>a</w:t>
      </w:r>
      <w:r>
        <w:rPr>
          <w:color w:val="000000"/>
          <w:spacing w:val="5"/>
        </w:rPr>
        <w:t>t</w:t>
      </w:r>
      <w:r>
        <w:rPr>
          <w:color w:val="000000"/>
          <w:spacing w:val="-5"/>
        </w:rPr>
        <w:t>v</w:t>
      </w:r>
      <w:r>
        <w:rPr>
          <w:color w:val="000000"/>
          <w:spacing w:val="-1"/>
        </w:rPr>
        <w:t>ež</w:t>
      </w:r>
      <w:r>
        <w:rPr>
          <w:color w:val="000000"/>
        </w:rPr>
        <w:t>t</w:t>
      </w:r>
      <w:r>
        <w:rPr>
          <w:color w:val="000000"/>
          <w:spacing w:val="5"/>
        </w:rPr>
        <w:t>o</w:t>
      </w:r>
      <w:r>
        <w:rPr>
          <w:color w:val="000000"/>
          <w:spacing w:val="-9"/>
        </w:rPr>
        <w:t>j</w:t>
      </w:r>
      <w:r>
        <w:rPr>
          <w:color w:val="000000"/>
        </w:rPr>
        <w:t>e</w:t>
      </w:r>
      <w:r>
        <w:rPr>
          <w:color w:val="000000"/>
          <w:spacing w:val="13"/>
        </w:rPr>
        <w:t xml:space="preserve"> </w:t>
      </w:r>
      <w:r>
        <w:rPr>
          <w:color w:val="000000"/>
        </w:rPr>
        <w:t>į</w:t>
      </w:r>
      <w:r>
        <w:rPr>
          <w:color w:val="000000"/>
          <w:spacing w:val="5"/>
        </w:rPr>
        <w:t xml:space="preserve"> p</w:t>
      </w:r>
      <w:r>
        <w:rPr>
          <w:color w:val="000000"/>
          <w:spacing w:val="-4"/>
        </w:rPr>
        <w:t>i</w:t>
      </w:r>
      <w:r>
        <w:rPr>
          <w:color w:val="000000"/>
          <w:spacing w:val="1"/>
        </w:rPr>
        <w:t>e</w:t>
      </w:r>
      <w:r>
        <w:rPr>
          <w:color w:val="000000"/>
          <w:spacing w:val="5"/>
        </w:rPr>
        <w:t>t</w:t>
      </w:r>
      <w:r>
        <w:rPr>
          <w:color w:val="000000"/>
        </w:rPr>
        <w:t>ų</w:t>
      </w:r>
      <w:r>
        <w:rPr>
          <w:color w:val="000000"/>
          <w:spacing w:val="9"/>
        </w:rPr>
        <w:t xml:space="preserve"> </w:t>
      </w:r>
      <w:r>
        <w:rPr>
          <w:color w:val="000000"/>
          <w:spacing w:val="-3"/>
        </w:rPr>
        <w:t>L</w:t>
      </w:r>
      <w:r>
        <w:rPr>
          <w:color w:val="000000"/>
          <w:spacing w:val="-1"/>
        </w:rPr>
        <w:t>e</w:t>
      </w:r>
      <w:r>
        <w:rPr>
          <w:color w:val="000000"/>
          <w:spacing w:val="-5"/>
        </w:rPr>
        <w:t>n</w:t>
      </w:r>
      <w:r>
        <w:rPr>
          <w:color w:val="000000"/>
          <w:spacing w:val="5"/>
        </w:rPr>
        <w:t>k</w:t>
      </w:r>
      <w:r>
        <w:rPr>
          <w:color w:val="000000"/>
        </w:rPr>
        <w:t>i</w:t>
      </w:r>
      <w:r>
        <w:rPr>
          <w:color w:val="000000"/>
          <w:spacing w:val="-9"/>
        </w:rPr>
        <w:t>j</w:t>
      </w:r>
      <w:r>
        <w:rPr>
          <w:color w:val="000000"/>
          <w:spacing w:val="9"/>
        </w:rPr>
        <w:t>o</w:t>
      </w:r>
      <w:r>
        <w:rPr>
          <w:color w:val="000000"/>
          <w:spacing w:val="-4"/>
        </w:rPr>
        <w:t>j</w:t>
      </w:r>
      <w:r>
        <w:rPr>
          <w:color w:val="000000"/>
        </w:rPr>
        <w:t>e</w:t>
      </w:r>
      <w:r>
        <w:rPr>
          <w:color w:val="000000"/>
          <w:spacing w:val="8"/>
        </w:rPr>
        <w:t xml:space="preserve"> </w:t>
      </w:r>
      <w:r>
        <w:rPr>
          <w:color w:val="000000"/>
          <w:spacing w:val="4"/>
        </w:rPr>
        <w:t>e</w:t>
      </w:r>
      <w:r>
        <w:rPr>
          <w:color w:val="000000"/>
          <w:spacing w:val="-2"/>
        </w:rPr>
        <w:t>s</w:t>
      </w:r>
      <w:r>
        <w:rPr>
          <w:color w:val="000000"/>
          <w:spacing w:val="4"/>
        </w:rPr>
        <w:t>a</w:t>
      </w:r>
      <w:r>
        <w:rPr>
          <w:color w:val="000000"/>
          <w:spacing w:val="-5"/>
        </w:rPr>
        <w:t>n</w:t>
      </w:r>
      <w:r>
        <w:rPr>
          <w:color w:val="000000"/>
          <w:spacing w:val="4"/>
        </w:rPr>
        <w:t>č</w:t>
      </w:r>
      <w:r>
        <w:rPr>
          <w:color w:val="000000"/>
          <w:spacing w:val="-4"/>
        </w:rPr>
        <w:t>i</w:t>
      </w:r>
      <w:r>
        <w:rPr>
          <w:color w:val="000000"/>
        </w:rPr>
        <w:t>us</w:t>
      </w:r>
      <w:r>
        <w:rPr>
          <w:color w:val="000000"/>
          <w:spacing w:val="7"/>
        </w:rPr>
        <w:t xml:space="preserve"> </w:t>
      </w:r>
      <w:r>
        <w:rPr>
          <w:color w:val="000000"/>
        </w:rPr>
        <w:t>du</w:t>
      </w:r>
      <w:r>
        <w:rPr>
          <w:color w:val="000000"/>
          <w:spacing w:val="9"/>
        </w:rPr>
        <w:t xml:space="preserve"> </w:t>
      </w:r>
      <w:r>
        <w:rPr>
          <w:color w:val="000000"/>
        </w:rPr>
        <w:t>p</w:t>
      </w:r>
      <w:r>
        <w:rPr>
          <w:color w:val="000000"/>
          <w:spacing w:val="1"/>
        </w:rPr>
        <w:t>r</w:t>
      </w:r>
      <w:r>
        <w:rPr>
          <w:color w:val="000000"/>
          <w:spacing w:val="-1"/>
        </w:rPr>
        <w:t>e</w:t>
      </w:r>
      <w:r>
        <w:rPr>
          <w:color w:val="000000"/>
          <w:spacing w:val="5"/>
        </w:rPr>
        <w:t>k</w:t>
      </w:r>
      <w:r>
        <w:rPr>
          <w:color w:val="000000"/>
        </w:rPr>
        <w:t>y</w:t>
      </w:r>
      <w:r>
        <w:rPr>
          <w:color w:val="000000"/>
          <w:spacing w:val="-5"/>
        </w:rPr>
        <w:t>b</w:t>
      </w:r>
      <w:r>
        <w:rPr>
          <w:color w:val="000000"/>
          <w:spacing w:val="5"/>
        </w:rPr>
        <w:t>o</w:t>
      </w:r>
      <w:r>
        <w:rPr>
          <w:color w:val="000000"/>
        </w:rPr>
        <w:t>s</w:t>
      </w:r>
      <w:r>
        <w:rPr>
          <w:color w:val="000000"/>
          <w:spacing w:val="7"/>
        </w:rPr>
        <w:t xml:space="preserve"> </w:t>
      </w:r>
      <w:r>
        <w:rPr>
          <w:color w:val="000000"/>
          <w:spacing w:val="-1"/>
        </w:rPr>
        <w:t>c</w:t>
      </w:r>
      <w:r>
        <w:rPr>
          <w:color w:val="000000"/>
          <w:spacing w:val="4"/>
        </w:rPr>
        <w:t>e</w:t>
      </w:r>
      <w:r>
        <w:rPr>
          <w:color w:val="000000"/>
          <w:spacing w:val="-5"/>
        </w:rPr>
        <w:t>n</w:t>
      </w:r>
      <w:r>
        <w:rPr>
          <w:color w:val="000000"/>
          <w:spacing w:val="5"/>
        </w:rPr>
        <w:t>t</w:t>
      </w:r>
      <w:r>
        <w:rPr>
          <w:color w:val="000000"/>
          <w:spacing w:val="1"/>
        </w:rPr>
        <w:t>r</w:t>
      </w:r>
      <w:r>
        <w:rPr>
          <w:color w:val="000000"/>
        </w:rPr>
        <w:t>u</w:t>
      </w:r>
      <w:r>
        <w:rPr>
          <w:color w:val="000000"/>
          <w:spacing w:val="-2"/>
        </w:rPr>
        <w:t>s</w:t>
      </w:r>
      <w:r>
        <w:rPr>
          <w:color w:val="000000"/>
        </w:rPr>
        <w:t>,</w:t>
      </w:r>
      <w:r>
        <w:rPr>
          <w:color w:val="000000"/>
          <w:spacing w:val="12"/>
        </w:rPr>
        <w:t xml:space="preserve"> </w:t>
      </w:r>
      <w:r>
        <w:rPr>
          <w:color w:val="000000"/>
        </w:rPr>
        <w:t>p</w:t>
      </w:r>
      <w:r>
        <w:rPr>
          <w:color w:val="000000"/>
          <w:spacing w:val="1"/>
        </w:rPr>
        <w:t>r</w:t>
      </w:r>
      <w:r>
        <w:rPr>
          <w:color w:val="000000"/>
          <w:spacing w:val="-9"/>
        </w:rPr>
        <w:t>i</w:t>
      </w:r>
      <w:r>
        <w:rPr>
          <w:color w:val="000000"/>
          <w:spacing w:val="5"/>
        </w:rPr>
        <w:t>k</w:t>
      </w:r>
      <w:r>
        <w:rPr>
          <w:color w:val="000000"/>
          <w:spacing w:val="-4"/>
        </w:rPr>
        <w:t>l</w:t>
      </w:r>
      <w:r>
        <w:rPr>
          <w:color w:val="000000"/>
          <w:spacing w:val="-1"/>
        </w:rPr>
        <w:t>a</w:t>
      </w:r>
      <w:r>
        <w:rPr>
          <w:color w:val="000000"/>
        </w:rPr>
        <w:t>u</w:t>
      </w:r>
      <w:r>
        <w:rPr>
          <w:color w:val="000000"/>
          <w:spacing w:val="-2"/>
        </w:rPr>
        <w:t>s</w:t>
      </w:r>
      <w:r>
        <w:rPr>
          <w:color w:val="000000"/>
          <w:spacing w:val="4"/>
        </w:rPr>
        <w:t>a</w:t>
      </w:r>
      <w:r>
        <w:rPr>
          <w:color w:val="000000"/>
          <w:spacing w:val="-5"/>
        </w:rPr>
        <w:t>n</w:t>
      </w:r>
      <w:r>
        <w:rPr>
          <w:color w:val="000000"/>
          <w:spacing w:val="4"/>
        </w:rPr>
        <w:t>č</w:t>
      </w:r>
      <w:r>
        <w:rPr>
          <w:color w:val="000000"/>
          <w:spacing w:val="-4"/>
        </w:rPr>
        <w:t>i</w:t>
      </w:r>
      <w:r>
        <w:rPr>
          <w:color w:val="000000"/>
          <w:spacing w:val="5"/>
        </w:rPr>
        <w:t>u</w:t>
      </w:r>
      <w:r>
        <w:rPr>
          <w:color w:val="000000"/>
        </w:rPr>
        <w:t>s</w:t>
      </w:r>
      <w:r>
        <w:rPr>
          <w:color w:val="000000"/>
          <w:spacing w:val="12"/>
        </w:rPr>
        <w:t xml:space="preserve"> </w:t>
      </w:r>
      <w:r>
        <w:rPr>
          <w:color w:val="000000"/>
        </w:rPr>
        <w:t>v</w:t>
      </w:r>
      <w:r>
        <w:rPr>
          <w:color w:val="000000"/>
          <w:spacing w:val="-4"/>
        </w:rPr>
        <w:t>i</w:t>
      </w:r>
      <w:r>
        <w:rPr>
          <w:color w:val="000000"/>
          <w:spacing w:val="4"/>
        </w:rPr>
        <w:t>e</w:t>
      </w:r>
      <w:r>
        <w:rPr>
          <w:color w:val="000000"/>
          <w:spacing w:val="-5"/>
        </w:rPr>
        <w:t>n</w:t>
      </w:r>
      <w:r>
        <w:rPr>
          <w:color w:val="000000"/>
          <w:spacing w:val="4"/>
        </w:rPr>
        <w:t>a</w:t>
      </w:r>
      <w:r>
        <w:rPr>
          <w:color w:val="000000"/>
        </w:rPr>
        <w:t xml:space="preserve">i </w:t>
      </w:r>
      <w:r>
        <w:rPr>
          <w:color w:val="000000"/>
          <w:spacing w:val="1"/>
        </w:rPr>
        <w:t>Pr</w:t>
      </w:r>
      <w:r>
        <w:rPr>
          <w:color w:val="000000"/>
          <w:spacing w:val="4"/>
        </w:rPr>
        <w:t>a</w:t>
      </w:r>
      <w:r>
        <w:rPr>
          <w:color w:val="000000"/>
          <w:spacing w:val="-5"/>
        </w:rPr>
        <w:t>n</w:t>
      </w:r>
      <w:r>
        <w:rPr>
          <w:color w:val="000000"/>
          <w:spacing w:val="-1"/>
        </w:rPr>
        <w:t>c</w:t>
      </w:r>
      <w:r>
        <w:rPr>
          <w:color w:val="000000"/>
        </w:rPr>
        <w:t>ū</w:t>
      </w:r>
      <w:r>
        <w:rPr>
          <w:color w:val="000000"/>
          <w:spacing w:val="4"/>
        </w:rPr>
        <w:t>z</w:t>
      </w:r>
      <w:r>
        <w:rPr>
          <w:color w:val="000000"/>
        </w:rPr>
        <w:t>i</w:t>
      </w:r>
      <w:r>
        <w:rPr>
          <w:color w:val="000000"/>
          <w:spacing w:val="-9"/>
        </w:rPr>
        <w:t>j</w:t>
      </w:r>
      <w:r>
        <w:rPr>
          <w:color w:val="000000"/>
          <w:spacing w:val="9"/>
        </w:rPr>
        <w:t>o</w:t>
      </w:r>
      <w:r>
        <w:rPr>
          <w:color w:val="000000"/>
        </w:rPr>
        <w:t xml:space="preserve">s </w:t>
      </w:r>
      <w:r>
        <w:rPr>
          <w:color w:val="000000"/>
          <w:spacing w:val="-5"/>
        </w:rPr>
        <w:t>b</w:t>
      </w:r>
      <w:r>
        <w:rPr>
          <w:color w:val="000000"/>
          <w:spacing w:val="4"/>
        </w:rPr>
        <w:t>e</w:t>
      </w:r>
      <w:r>
        <w:rPr>
          <w:color w:val="000000"/>
          <w:spacing w:val="-5"/>
        </w:rPr>
        <w:t>n</w:t>
      </w:r>
      <w:r>
        <w:rPr>
          <w:color w:val="000000"/>
        </w:rPr>
        <w:t>d</w:t>
      </w:r>
      <w:r>
        <w:rPr>
          <w:color w:val="000000"/>
          <w:spacing w:val="1"/>
        </w:rPr>
        <w:t>r</w:t>
      </w:r>
      <w:r>
        <w:rPr>
          <w:color w:val="000000"/>
          <w:spacing w:val="5"/>
        </w:rPr>
        <w:t>o</w:t>
      </w:r>
      <w:r>
        <w:rPr>
          <w:color w:val="000000"/>
          <w:spacing w:val="-5"/>
        </w:rPr>
        <w:t>v</w:t>
      </w:r>
      <w:r>
        <w:rPr>
          <w:color w:val="000000"/>
          <w:spacing w:val="4"/>
        </w:rPr>
        <w:t>e</w:t>
      </w:r>
      <w:r>
        <w:rPr>
          <w:color w:val="000000"/>
          <w:spacing w:val="-9"/>
        </w:rPr>
        <w:t>i</w:t>
      </w:r>
      <w:r>
        <w:rPr>
          <w:color w:val="000000"/>
        </w:rPr>
        <w:t>.</w:t>
      </w:r>
      <w:r>
        <w:rPr>
          <w:color w:val="000000"/>
          <w:spacing w:val="52"/>
        </w:rPr>
        <w:t xml:space="preserve"> </w:t>
      </w:r>
      <w:r>
        <w:rPr>
          <w:color w:val="000000"/>
          <w:spacing w:val="-2"/>
        </w:rPr>
        <w:t>M</w:t>
      </w:r>
      <w:r>
        <w:rPr>
          <w:color w:val="000000"/>
          <w:spacing w:val="4"/>
        </w:rPr>
        <w:t>a</w:t>
      </w:r>
      <w:r>
        <w:rPr>
          <w:color w:val="000000"/>
          <w:spacing w:val="-5"/>
        </w:rPr>
        <w:t>n</w:t>
      </w:r>
      <w:r>
        <w:rPr>
          <w:color w:val="000000"/>
          <w:spacing w:val="9"/>
        </w:rPr>
        <w:t>o</w:t>
      </w:r>
      <w:r>
        <w:rPr>
          <w:color w:val="000000"/>
          <w:spacing w:val="-9"/>
        </w:rPr>
        <w:t>m</w:t>
      </w:r>
      <w:r>
        <w:rPr>
          <w:color w:val="000000"/>
          <w:spacing w:val="-1"/>
        </w:rPr>
        <w:t>a</w:t>
      </w:r>
      <w:r>
        <w:rPr>
          <w:color w:val="000000"/>
        </w:rPr>
        <w:t>,</w:t>
      </w:r>
      <w:r>
        <w:rPr>
          <w:color w:val="000000"/>
          <w:spacing w:val="48"/>
        </w:rPr>
        <w:t xml:space="preserve"> </w:t>
      </w:r>
      <w:r>
        <w:rPr>
          <w:color w:val="000000"/>
        </w:rPr>
        <w:t>k</w:t>
      </w:r>
      <w:r>
        <w:rPr>
          <w:color w:val="000000"/>
          <w:spacing w:val="-1"/>
        </w:rPr>
        <w:t>a</w:t>
      </w:r>
      <w:r>
        <w:rPr>
          <w:color w:val="000000"/>
        </w:rPr>
        <w:t>d</w:t>
      </w:r>
      <w:r>
        <w:rPr>
          <w:color w:val="000000"/>
          <w:spacing w:val="50"/>
        </w:rPr>
        <w:t xml:space="preserve"> </w:t>
      </w:r>
      <w:r>
        <w:rPr>
          <w:color w:val="000000"/>
          <w:spacing w:val="2"/>
        </w:rPr>
        <w:t>š</w:t>
      </w:r>
      <w:r>
        <w:rPr>
          <w:color w:val="000000"/>
          <w:spacing w:val="-4"/>
        </w:rPr>
        <w:t>i</w:t>
      </w:r>
      <w:r>
        <w:rPr>
          <w:color w:val="000000"/>
        </w:rPr>
        <w:t>e</w:t>
      </w:r>
      <w:r>
        <w:rPr>
          <w:color w:val="000000"/>
          <w:spacing w:val="54"/>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w:t>
      </w:r>
      <w:r>
        <w:rPr>
          <w:color w:val="000000"/>
          <w:spacing w:val="4"/>
        </w:rPr>
        <w:t>a</w:t>
      </w:r>
      <w:r>
        <w:rPr>
          <w:color w:val="000000"/>
        </w:rPr>
        <w:t>i</w:t>
      </w:r>
      <w:r>
        <w:rPr>
          <w:color w:val="000000"/>
          <w:spacing w:val="46"/>
        </w:rPr>
        <w:t xml:space="preserve"> </w:t>
      </w:r>
      <w:r>
        <w:rPr>
          <w:color w:val="000000"/>
        </w:rPr>
        <w:t>b</w:t>
      </w:r>
      <w:r>
        <w:rPr>
          <w:color w:val="000000"/>
          <w:spacing w:val="5"/>
        </w:rPr>
        <w:t>u</w:t>
      </w:r>
      <w:r>
        <w:rPr>
          <w:color w:val="000000"/>
          <w:spacing w:val="-5"/>
        </w:rPr>
        <w:t>v</w:t>
      </w:r>
      <w:r>
        <w:rPr>
          <w:color w:val="000000"/>
        </w:rPr>
        <w:t>o</w:t>
      </w:r>
      <w:r>
        <w:rPr>
          <w:color w:val="000000"/>
          <w:spacing w:val="50"/>
        </w:rPr>
        <w:t xml:space="preserve"> </w:t>
      </w:r>
      <w:r>
        <w:rPr>
          <w:color w:val="000000"/>
          <w:spacing w:val="-1"/>
        </w:rPr>
        <w:t>a</w:t>
      </w:r>
      <w:r>
        <w:rPr>
          <w:color w:val="000000"/>
        </w:rPr>
        <w:t>t</w:t>
      </w:r>
      <w:r>
        <w:rPr>
          <w:color w:val="000000"/>
          <w:spacing w:val="-4"/>
        </w:rPr>
        <w:t>v</w:t>
      </w:r>
      <w:r>
        <w:rPr>
          <w:color w:val="000000"/>
          <w:spacing w:val="-1"/>
        </w:rPr>
        <w:t>ež</w:t>
      </w:r>
      <w:r>
        <w:rPr>
          <w:color w:val="000000"/>
          <w:spacing w:val="10"/>
        </w:rPr>
        <w:t>t</w:t>
      </w:r>
      <w:r>
        <w:rPr>
          <w:color w:val="000000"/>
        </w:rPr>
        <w:t>i</w:t>
      </w:r>
      <w:r>
        <w:rPr>
          <w:color w:val="000000"/>
          <w:spacing w:val="41"/>
        </w:rPr>
        <w:t xml:space="preserve"> </w:t>
      </w:r>
      <w:r>
        <w:rPr>
          <w:color w:val="000000"/>
          <w:spacing w:val="-4"/>
        </w:rPr>
        <w:t>i</w:t>
      </w:r>
      <w:r>
        <w:rPr>
          <w:color w:val="000000"/>
        </w:rPr>
        <w:t>š</w:t>
      </w:r>
      <w:r>
        <w:rPr>
          <w:color w:val="000000"/>
          <w:spacing w:val="48"/>
        </w:rPr>
        <w:t xml:space="preserve"> </w:t>
      </w:r>
      <w:r>
        <w:rPr>
          <w:color w:val="000000"/>
          <w:spacing w:val="2"/>
        </w:rPr>
        <w:t>E</w:t>
      </w:r>
      <w:r>
        <w:rPr>
          <w:color w:val="000000"/>
          <w:spacing w:val="5"/>
        </w:rPr>
        <w:t>k</w:t>
      </w:r>
      <w:r>
        <w:rPr>
          <w:color w:val="000000"/>
          <w:spacing w:val="-5"/>
        </w:rPr>
        <w:t>v</w:t>
      </w:r>
      <w:r>
        <w:rPr>
          <w:color w:val="000000"/>
          <w:spacing w:val="-1"/>
        </w:rPr>
        <w:t>a</w:t>
      </w:r>
      <w:r>
        <w:rPr>
          <w:color w:val="000000"/>
        </w:rPr>
        <w:t>d</w:t>
      </w:r>
      <w:r>
        <w:rPr>
          <w:color w:val="000000"/>
          <w:spacing w:val="5"/>
        </w:rPr>
        <w:t>o</w:t>
      </w:r>
      <w:r>
        <w:rPr>
          <w:color w:val="000000"/>
          <w:spacing w:val="1"/>
        </w:rPr>
        <w:t>r</w:t>
      </w:r>
      <w:r>
        <w:rPr>
          <w:color w:val="000000"/>
        </w:rPr>
        <w:t>o</w:t>
      </w:r>
      <w:r>
        <w:rPr>
          <w:color w:val="000000"/>
          <w:spacing w:val="50"/>
        </w:rPr>
        <w:t xml:space="preserve"> </w:t>
      </w:r>
      <w:r>
        <w:rPr>
          <w:color w:val="000000"/>
        </w:rPr>
        <w:t>p</w:t>
      </w:r>
      <w:r>
        <w:rPr>
          <w:color w:val="000000"/>
          <w:spacing w:val="-1"/>
        </w:rPr>
        <w:t>e</w:t>
      </w:r>
      <w:r>
        <w:rPr>
          <w:color w:val="000000"/>
        </w:rPr>
        <w:t>r</w:t>
      </w:r>
      <w:r>
        <w:rPr>
          <w:color w:val="000000"/>
          <w:spacing w:val="47"/>
        </w:rPr>
        <w:t xml:space="preserve"> </w:t>
      </w:r>
      <w:r>
        <w:rPr>
          <w:color w:val="000000"/>
          <w:spacing w:val="-2"/>
        </w:rPr>
        <w:t>B</w:t>
      </w:r>
      <w:r>
        <w:rPr>
          <w:color w:val="000000"/>
          <w:spacing w:val="-1"/>
        </w:rPr>
        <w:t>e</w:t>
      </w:r>
      <w:r>
        <w:rPr>
          <w:color w:val="000000"/>
          <w:spacing w:val="-9"/>
        </w:rPr>
        <w:t>l</w:t>
      </w:r>
      <w:r>
        <w:rPr>
          <w:color w:val="000000"/>
          <w:spacing w:val="5"/>
        </w:rPr>
        <w:t>g</w:t>
      </w:r>
      <w:r>
        <w:rPr>
          <w:color w:val="000000"/>
        </w:rPr>
        <w:t>i</w:t>
      </w:r>
      <w:r>
        <w:rPr>
          <w:color w:val="000000"/>
          <w:spacing w:val="-4"/>
        </w:rPr>
        <w:t>j</w:t>
      </w:r>
      <w:r>
        <w:rPr>
          <w:color w:val="000000"/>
        </w:rPr>
        <w:t>ą</w:t>
      </w:r>
      <w:r>
        <w:rPr>
          <w:color w:val="000000"/>
          <w:spacing w:val="49"/>
        </w:rPr>
        <w:t xml:space="preserve"> </w:t>
      </w:r>
      <w:r>
        <w:rPr>
          <w:color w:val="000000"/>
          <w:spacing w:val="2"/>
        </w:rPr>
        <w:t>s</w:t>
      </w:r>
      <w:r>
        <w:rPr>
          <w:color w:val="000000"/>
          <w:spacing w:val="-4"/>
        </w:rPr>
        <w:t>i</w:t>
      </w:r>
      <w:r>
        <w:rPr>
          <w:color w:val="000000"/>
          <w:spacing w:val="5"/>
        </w:rPr>
        <w:t>u</w:t>
      </w:r>
      <w:r>
        <w:rPr>
          <w:color w:val="000000"/>
          <w:spacing w:val="-5"/>
        </w:rPr>
        <w:t>n</w:t>
      </w:r>
      <w:r>
        <w:rPr>
          <w:color w:val="000000"/>
          <w:spacing w:val="5"/>
        </w:rPr>
        <w:t>to</w:t>
      </w:r>
      <w:r>
        <w:rPr>
          <w:color w:val="000000"/>
          <w:spacing w:val="-9"/>
        </w:rPr>
        <w:t>j</w:t>
      </w:r>
      <w:r>
        <w:rPr>
          <w:color w:val="000000"/>
          <w:spacing w:val="-1"/>
        </w:rPr>
        <w:t>e</w:t>
      </w:r>
      <w:r>
        <w:rPr>
          <w:color w:val="000000"/>
        </w:rPr>
        <w:t>,</w:t>
      </w:r>
      <w:r>
        <w:rPr>
          <w:color w:val="000000"/>
          <w:spacing w:val="48"/>
        </w:rPr>
        <w:t xml:space="preserve"> </w:t>
      </w:r>
      <w:r>
        <w:rPr>
          <w:color w:val="000000"/>
        </w:rPr>
        <w:t>ku</w:t>
      </w:r>
      <w:r>
        <w:rPr>
          <w:color w:val="000000"/>
          <w:spacing w:val="6"/>
        </w:rPr>
        <w:t>r</w:t>
      </w:r>
      <w:r>
        <w:rPr>
          <w:color w:val="000000"/>
        </w:rPr>
        <w:t>i</w:t>
      </w:r>
      <w:r>
        <w:rPr>
          <w:color w:val="000000"/>
          <w:spacing w:val="41"/>
        </w:rPr>
        <w:t xml:space="preserve"> </w:t>
      </w:r>
      <w:r>
        <w:rPr>
          <w:color w:val="000000"/>
        </w:rPr>
        <w:t>p</w:t>
      </w:r>
      <w:r>
        <w:rPr>
          <w:color w:val="000000"/>
          <w:spacing w:val="-1"/>
        </w:rPr>
        <w:t>e</w:t>
      </w:r>
      <w:r>
        <w:rPr>
          <w:color w:val="000000"/>
        </w:rPr>
        <w:t xml:space="preserve">r </w:t>
      </w:r>
      <w:r>
        <w:rPr>
          <w:color w:val="000000"/>
          <w:spacing w:val="5"/>
        </w:rPr>
        <w:t>k</w:t>
      </w:r>
      <w:r>
        <w:rPr>
          <w:color w:val="000000"/>
          <w:spacing w:val="-9"/>
        </w:rPr>
        <w:t>l</w:t>
      </w:r>
      <w:r>
        <w:rPr>
          <w:color w:val="000000"/>
          <w:spacing w:val="4"/>
        </w:rPr>
        <w:t>a</w:t>
      </w:r>
      <w:r>
        <w:rPr>
          <w:color w:val="000000"/>
          <w:spacing w:val="-4"/>
        </w:rPr>
        <w:t>i</w:t>
      </w:r>
      <w:r>
        <w:rPr>
          <w:color w:val="000000"/>
        </w:rPr>
        <w:t>dą</w:t>
      </w:r>
      <w:r>
        <w:rPr>
          <w:color w:val="000000"/>
          <w:spacing w:val="6"/>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rPr>
        <w:t>p</w:t>
      </w:r>
      <w:r>
        <w:rPr>
          <w:color w:val="000000"/>
          <w:spacing w:val="-1"/>
        </w:rPr>
        <w:t>a</w:t>
      </w:r>
      <w:r>
        <w:rPr>
          <w:color w:val="000000"/>
          <w:spacing w:val="2"/>
        </w:rPr>
        <w:t>s</w:t>
      </w:r>
      <w:r>
        <w:rPr>
          <w:color w:val="000000"/>
          <w:spacing w:val="-9"/>
        </w:rPr>
        <w:t>i</w:t>
      </w:r>
      <w:r>
        <w:rPr>
          <w:color w:val="000000"/>
        </w:rPr>
        <w:t>ų</w:t>
      </w:r>
      <w:r>
        <w:rPr>
          <w:color w:val="000000"/>
          <w:spacing w:val="-2"/>
        </w:rPr>
        <w:t>s</w:t>
      </w:r>
      <w:r>
        <w:rPr>
          <w:color w:val="000000"/>
          <w:spacing w:val="5"/>
        </w:rPr>
        <w:t>t</w:t>
      </w:r>
      <w:r>
        <w:rPr>
          <w:color w:val="000000"/>
        </w:rPr>
        <w:t>a</w:t>
      </w:r>
      <w:r>
        <w:rPr>
          <w:color w:val="000000"/>
          <w:spacing w:val="6"/>
        </w:rPr>
        <w:t xml:space="preserve"> </w:t>
      </w:r>
      <w:r>
        <w:rPr>
          <w:color w:val="000000"/>
        </w:rPr>
        <w:t>į</w:t>
      </w:r>
      <w:r>
        <w:rPr>
          <w:color w:val="000000"/>
          <w:spacing w:val="-7"/>
        </w:rPr>
        <w:t xml:space="preserve"> </w:t>
      </w:r>
      <w:r>
        <w:rPr>
          <w:color w:val="000000"/>
          <w:spacing w:val="-3"/>
        </w:rPr>
        <w:t>L</w:t>
      </w:r>
      <w:r>
        <w:rPr>
          <w:color w:val="000000"/>
          <w:spacing w:val="4"/>
        </w:rPr>
        <w:t>e</w:t>
      </w:r>
      <w:r>
        <w:rPr>
          <w:color w:val="000000"/>
          <w:spacing w:val="-5"/>
        </w:rPr>
        <w:t>n</w:t>
      </w:r>
      <w:r>
        <w:rPr>
          <w:color w:val="000000"/>
          <w:spacing w:val="5"/>
        </w:rPr>
        <w:t>k</w:t>
      </w:r>
      <w:r>
        <w:rPr>
          <w:color w:val="000000"/>
        </w:rPr>
        <w:t>i</w:t>
      </w:r>
      <w:r>
        <w:rPr>
          <w:color w:val="000000"/>
          <w:spacing w:val="-4"/>
        </w:rPr>
        <w:t>j</w:t>
      </w:r>
      <w:r>
        <w:rPr>
          <w:color w:val="000000"/>
          <w:spacing w:val="-1"/>
        </w:rPr>
        <w:t>ą</w:t>
      </w:r>
      <w:r>
        <w:rPr>
          <w:color w:val="000000"/>
        </w:rPr>
        <w:t>.</w:t>
      </w:r>
    </w:p>
    <w:p w:rsidR="004F7425" w:rsidRDefault="004F7425" w:rsidP="004F7425">
      <w:pPr>
        <w:widowControl w:val="0"/>
        <w:autoSpaceDE w:val="0"/>
        <w:autoSpaceDN w:val="0"/>
        <w:adjustRightInd w:val="0"/>
        <w:spacing w:before="6" w:line="275" w:lineRule="auto"/>
        <w:ind w:left="120" w:right="47" w:firstLine="721"/>
        <w:jc w:val="both"/>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uv</w:t>
      </w:r>
      <w:r>
        <w:rPr>
          <w:color w:val="000000"/>
          <w:spacing w:val="-4"/>
        </w:rPr>
        <w:t>i</w:t>
      </w:r>
      <w:r>
        <w:rPr>
          <w:color w:val="000000"/>
          <w:spacing w:val="4"/>
        </w:rPr>
        <w:t>a</w:t>
      </w:r>
      <w:r>
        <w:rPr>
          <w:color w:val="000000"/>
        </w:rPr>
        <w:t>i</w:t>
      </w:r>
      <w:r>
        <w:rPr>
          <w:color w:val="000000"/>
          <w:spacing w:val="1"/>
        </w:rPr>
        <w:t xml:space="preserve"> </w:t>
      </w:r>
      <w:r>
        <w:rPr>
          <w:color w:val="000000"/>
          <w:spacing w:val="-9"/>
        </w:rPr>
        <w:t>i</w:t>
      </w:r>
      <w:r>
        <w:rPr>
          <w:color w:val="000000"/>
        </w:rPr>
        <w:t>r</w:t>
      </w:r>
      <w:r>
        <w:rPr>
          <w:color w:val="000000"/>
          <w:spacing w:val="7"/>
        </w:rPr>
        <w:t xml:space="preserve"> </w:t>
      </w:r>
      <w:r>
        <w:rPr>
          <w:color w:val="000000"/>
        </w:rPr>
        <w:t>t</w:t>
      </w:r>
      <w:r>
        <w:rPr>
          <w:color w:val="000000"/>
          <w:spacing w:val="5"/>
        </w:rPr>
        <w:t>o</w:t>
      </w:r>
      <w:r>
        <w:rPr>
          <w:color w:val="000000"/>
          <w:spacing w:val="-4"/>
        </w:rPr>
        <w:t>li</w:t>
      </w:r>
      <w:r>
        <w:rPr>
          <w:color w:val="000000"/>
          <w:spacing w:val="-1"/>
        </w:rPr>
        <w:t>a</w:t>
      </w:r>
      <w:r>
        <w:rPr>
          <w:color w:val="000000"/>
        </w:rPr>
        <w:t>u,</w:t>
      </w:r>
      <w:r>
        <w:rPr>
          <w:color w:val="000000"/>
          <w:spacing w:val="8"/>
        </w:rPr>
        <w:t xml:space="preserve"> </w:t>
      </w:r>
      <w:r>
        <w:rPr>
          <w:color w:val="000000"/>
        </w:rPr>
        <w:t>v</w:t>
      </w:r>
      <w:r>
        <w:rPr>
          <w:color w:val="000000"/>
          <w:spacing w:val="-4"/>
        </w:rPr>
        <w:t>i</w:t>
      </w:r>
      <w:r>
        <w:rPr>
          <w:color w:val="000000"/>
          <w:spacing w:val="-1"/>
        </w:rPr>
        <w:t>e</w:t>
      </w:r>
      <w:r>
        <w:rPr>
          <w:color w:val="000000"/>
          <w:spacing w:val="10"/>
        </w:rPr>
        <w:t>t</w:t>
      </w:r>
      <w:r>
        <w:rPr>
          <w:color w:val="000000"/>
          <w:spacing w:val="-4"/>
        </w:rPr>
        <w:t>i</w:t>
      </w:r>
      <w:r>
        <w:rPr>
          <w:color w:val="000000"/>
        </w:rPr>
        <w:t>n</w:t>
      </w:r>
      <w:r>
        <w:rPr>
          <w:color w:val="000000"/>
          <w:spacing w:val="-4"/>
        </w:rPr>
        <w:t>i</w:t>
      </w:r>
      <w:r>
        <w:rPr>
          <w:color w:val="000000"/>
        </w:rPr>
        <w:t>ų</w:t>
      </w:r>
      <w:r>
        <w:rPr>
          <w:color w:val="000000"/>
          <w:spacing w:val="1"/>
        </w:rPr>
        <w:t xml:space="preserve"> </w:t>
      </w:r>
      <w:r>
        <w:rPr>
          <w:color w:val="000000"/>
          <w:spacing w:val="-1"/>
        </w:rPr>
        <w:t>a</w:t>
      </w:r>
      <w:r>
        <w:rPr>
          <w:color w:val="000000"/>
        </w:rPr>
        <w:t>r</w:t>
      </w:r>
      <w:r>
        <w:rPr>
          <w:color w:val="000000"/>
          <w:spacing w:val="2"/>
        </w:rPr>
        <w:t xml:space="preserve"> </w:t>
      </w:r>
      <w:r>
        <w:rPr>
          <w:color w:val="000000"/>
        </w:rPr>
        <w:t>u</w:t>
      </w:r>
      <w:r>
        <w:rPr>
          <w:color w:val="000000"/>
          <w:spacing w:val="4"/>
        </w:rPr>
        <w:t>ž</w:t>
      </w:r>
      <w:r>
        <w:rPr>
          <w:color w:val="000000"/>
          <w:spacing w:val="2"/>
        </w:rPr>
        <w:t>s</w:t>
      </w:r>
      <w:r>
        <w:rPr>
          <w:color w:val="000000"/>
          <w:spacing w:val="-4"/>
        </w:rPr>
        <w:t>i</w:t>
      </w:r>
      <w:r>
        <w:rPr>
          <w:color w:val="000000"/>
          <w:spacing w:val="4"/>
        </w:rPr>
        <w:t>e</w:t>
      </w:r>
      <w:r>
        <w:rPr>
          <w:color w:val="000000"/>
        </w:rPr>
        <w:t>n</w:t>
      </w:r>
      <w:r>
        <w:rPr>
          <w:color w:val="000000"/>
          <w:spacing w:val="-9"/>
        </w:rPr>
        <w:t>i</w:t>
      </w:r>
      <w:r>
        <w:rPr>
          <w:color w:val="000000"/>
        </w:rPr>
        <w:t>o</w:t>
      </w:r>
      <w:r>
        <w:rPr>
          <w:color w:val="000000"/>
          <w:spacing w:val="10"/>
        </w:rPr>
        <w:t xml:space="preserve">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w:t>
      </w:r>
      <w:r>
        <w:rPr>
          <w:color w:val="000000"/>
        </w:rPr>
        <w:t>bių</w:t>
      </w:r>
      <w:r>
        <w:rPr>
          <w:color w:val="000000"/>
          <w:spacing w:val="1"/>
        </w:rPr>
        <w:t xml:space="preserve"> </w:t>
      </w:r>
      <w:r>
        <w:rPr>
          <w:color w:val="000000"/>
          <w:spacing w:val="2"/>
        </w:rPr>
        <w:t>n</w:t>
      </w:r>
      <w:r>
        <w:rPr>
          <w:color w:val="000000"/>
          <w:spacing w:val="5"/>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rPr>
        <w:t>ų</w:t>
      </w:r>
      <w:r>
        <w:rPr>
          <w:color w:val="000000"/>
          <w:spacing w:val="1"/>
        </w:rPr>
        <w:t xml:space="preserve"> </w:t>
      </w:r>
      <w:r>
        <w:rPr>
          <w:color w:val="000000"/>
        </w:rPr>
        <w:t>g</w:t>
      </w:r>
      <w:r>
        <w:rPr>
          <w:color w:val="000000"/>
          <w:spacing w:val="1"/>
        </w:rPr>
        <w:t>r</w:t>
      </w:r>
      <w:r>
        <w:rPr>
          <w:color w:val="000000"/>
        </w:rPr>
        <w:t>upu</w:t>
      </w:r>
      <w:r>
        <w:rPr>
          <w:color w:val="000000"/>
          <w:spacing w:val="5"/>
        </w:rPr>
        <w:t>o</w:t>
      </w:r>
      <w:r>
        <w:rPr>
          <w:color w:val="000000"/>
          <w:spacing w:val="4"/>
        </w:rPr>
        <w:t>č</w:t>
      </w:r>
      <w:r>
        <w:rPr>
          <w:color w:val="000000"/>
          <w:spacing w:val="-9"/>
        </w:rPr>
        <w:t>i</w:t>
      </w:r>
      <w:r>
        <w:rPr>
          <w:color w:val="000000"/>
        </w:rPr>
        <w:t>ų,</w:t>
      </w:r>
      <w:r>
        <w:rPr>
          <w:color w:val="000000"/>
          <w:spacing w:val="8"/>
        </w:rPr>
        <w:t xml:space="preserve"> </w:t>
      </w:r>
      <w:r>
        <w:rPr>
          <w:color w:val="000000"/>
          <w:spacing w:val="-10"/>
        </w:rPr>
        <w:t>y</w:t>
      </w:r>
      <w:r>
        <w:rPr>
          <w:color w:val="000000"/>
          <w:spacing w:val="6"/>
        </w:rPr>
        <w:t>r</w:t>
      </w:r>
      <w:r>
        <w:rPr>
          <w:color w:val="000000"/>
        </w:rPr>
        <w:t xml:space="preserve">a </w:t>
      </w:r>
      <w:r>
        <w:rPr>
          <w:color w:val="000000"/>
          <w:spacing w:val="2"/>
        </w:rPr>
        <w:t>s</w:t>
      </w:r>
      <w:r>
        <w:rPr>
          <w:color w:val="000000"/>
          <w:spacing w:val="4"/>
        </w:rPr>
        <w:t>a</w:t>
      </w:r>
      <w:r>
        <w:rPr>
          <w:color w:val="000000"/>
          <w:spacing w:val="-9"/>
        </w:rPr>
        <w:t>m</w:t>
      </w:r>
      <w:r>
        <w:rPr>
          <w:color w:val="000000"/>
        </w:rPr>
        <w:t>d</w:t>
      </w:r>
      <w:r>
        <w:rPr>
          <w:color w:val="000000"/>
          <w:spacing w:val="9"/>
        </w:rPr>
        <w:t>o</w:t>
      </w:r>
      <w:r>
        <w:rPr>
          <w:color w:val="000000"/>
        </w:rPr>
        <w:t>mi ku</w:t>
      </w:r>
      <w:r>
        <w:rPr>
          <w:color w:val="000000"/>
          <w:spacing w:val="6"/>
        </w:rPr>
        <w:t>r</w:t>
      </w:r>
      <w:r>
        <w:rPr>
          <w:color w:val="000000"/>
          <w:spacing w:val="-9"/>
        </w:rPr>
        <w:t>j</w:t>
      </w:r>
      <w:r>
        <w:rPr>
          <w:color w:val="000000"/>
          <w:spacing w:val="-1"/>
        </w:rPr>
        <w:t>e</w:t>
      </w:r>
      <w:r>
        <w:rPr>
          <w:color w:val="000000"/>
          <w:spacing w:val="6"/>
        </w:rPr>
        <w:t>r</w:t>
      </w:r>
      <w:r>
        <w:rPr>
          <w:color w:val="000000"/>
          <w:spacing w:val="-9"/>
        </w:rPr>
        <w:t>i</w:t>
      </w:r>
      <w:r>
        <w:rPr>
          <w:color w:val="000000"/>
          <w:spacing w:val="4"/>
        </w:rPr>
        <w:t>a</w:t>
      </w:r>
      <w:r>
        <w:rPr>
          <w:color w:val="000000"/>
          <w:spacing w:val="-4"/>
        </w:rPr>
        <w:t>i</w:t>
      </w:r>
      <w:r>
        <w:rPr>
          <w:color w:val="000000"/>
        </w:rPr>
        <w:t>s</w:t>
      </w:r>
      <w:r>
        <w:rPr>
          <w:color w:val="000000"/>
          <w:spacing w:val="5"/>
        </w:rPr>
        <w:t xml:space="preserve"> </w:t>
      </w:r>
      <w:r>
        <w:rPr>
          <w:color w:val="000000"/>
        </w:rPr>
        <w:t>p</w:t>
      </w:r>
      <w:r>
        <w:rPr>
          <w:color w:val="000000"/>
          <w:spacing w:val="-1"/>
        </w:rPr>
        <w:t>e</w:t>
      </w:r>
      <w:r>
        <w:rPr>
          <w:color w:val="000000"/>
          <w:spacing w:val="6"/>
        </w:rPr>
        <w:t>r</w:t>
      </w:r>
      <w:r>
        <w:rPr>
          <w:color w:val="000000"/>
          <w:spacing w:val="-5"/>
        </w:rPr>
        <w:t>v</w:t>
      </w:r>
      <w:r>
        <w:rPr>
          <w:color w:val="000000"/>
          <w:spacing w:val="-1"/>
        </w:rPr>
        <w:t>e</w:t>
      </w:r>
      <w:r>
        <w:rPr>
          <w:color w:val="000000"/>
          <w:spacing w:val="4"/>
        </w:rPr>
        <w:t>ža</w:t>
      </w:r>
      <w:r>
        <w:rPr>
          <w:color w:val="000000"/>
          <w:spacing w:val="-5"/>
        </w:rPr>
        <w:t>n</w:t>
      </w:r>
      <w:r>
        <w:rPr>
          <w:color w:val="000000"/>
        </w:rPr>
        <w:t>t</w:t>
      </w:r>
      <w:r>
        <w:rPr>
          <w:color w:val="000000"/>
          <w:spacing w:val="7"/>
        </w:rPr>
        <w:t xml:space="preserve"> </w:t>
      </w:r>
      <w:r>
        <w:rPr>
          <w:color w:val="000000"/>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ą</w:t>
      </w:r>
      <w:r>
        <w:rPr>
          <w:color w:val="000000"/>
          <w:spacing w:val="11"/>
        </w:rPr>
        <w:t xml:space="preserve"> </w:t>
      </w:r>
      <w:r>
        <w:rPr>
          <w:color w:val="000000"/>
          <w:spacing w:val="-4"/>
        </w:rPr>
        <w:t>i</w:t>
      </w:r>
      <w:r>
        <w:rPr>
          <w:color w:val="000000"/>
        </w:rPr>
        <w:t xml:space="preserve">š </w:t>
      </w:r>
      <w:r>
        <w:rPr>
          <w:color w:val="000000"/>
          <w:spacing w:val="6"/>
        </w:rPr>
        <w:t>P</w:t>
      </w:r>
      <w:r>
        <w:rPr>
          <w:color w:val="000000"/>
          <w:spacing w:val="-4"/>
        </w:rPr>
        <w:t>i</w:t>
      </w:r>
      <w:r>
        <w:rPr>
          <w:color w:val="000000"/>
          <w:spacing w:val="-1"/>
        </w:rPr>
        <w:t>e</w:t>
      </w:r>
      <w:r>
        <w:rPr>
          <w:color w:val="000000"/>
          <w:spacing w:val="5"/>
        </w:rPr>
        <w:t>t</w:t>
      </w:r>
      <w:r>
        <w:rPr>
          <w:color w:val="000000"/>
        </w:rPr>
        <w:t>ų</w:t>
      </w:r>
      <w:r>
        <w:rPr>
          <w:color w:val="000000"/>
          <w:spacing w:val="7"/>
        </w:rPr>
        <w:t xml:space="preserve"> </w:t>
      </w:r>
      <w:r>
        <w:rPr>
          <w:color w:val="000000"/>
          <w:spacing w:val="-9"/>
        </w:rPr>
        <w:t>i</w:t>
      </w:r>
      <w:r>
        <w:rPr>
          <w:color w:val="000000"/>
        </w:rPr>
        <w:t>r</w:t>
      </w:r>
      <w:r>
        <w:rPr>
          <w:color w:val="000000"/>
          <w:spacing w:val="8"/>
        </w:rPr>
        <w:t xml:space="preserve"> </w:t>
      </w:r>
      <w:r>
        <w:rPr>
          <w:color w:val="000000"/>
          <w:spacing w:val="-2"/>
        </w:rPr>
        <w:t>C</w:t>
      </w:r>
      <w:r>
        <w:rPr>
          <w:color w:val="000000"/>
          <w:spacing w:val="4"/>
        </w:rPr>
        <w:t>e</w:t>
      </w:r>
      <w:r>
        <w:rPr>
          <w:color w:val="000000"/>
          <w:spacing w:val="-5"/>
        </w:rPr>
        <w:t>n</w:t>
      </w:r>
      <w:r>
        <w:rPr>
          <w:color w:val="000000"/>
          <w:spacing w:val="5"/>
        </w:rPr>
        <w:t>t</w:t>
      </w:r>
      <w:r>
        <w:rPr>
          <w:color w:val="000000"/>
          <w:spacing w:val="1"/>
        </w:rPr>
        <w:t>r</w:t>
      </w:r>
      <w:r>
        <w:rPr>
          <w:color w:val="000000"/>
          <w:spacing w:val="-4"/>
        </w:rPr>
        <w:t>i</w:t>
      </w:r>
      <w:r>
        <w:rPr>
          <w:color w:val="000000"/>
          <w:spacing w:val="-5"/>
        </w:rPr>
        <w:t>n</w:t>
      </w:r>
      <w:r>
        <w:rPr>
          <w:color w:val="000000"/>
          <w:spacing w:val="4"/>
        </w:rPr>
        <w:t>ė</w:t>
      </w:r>
      <w:r>
        <w:rPr>
          <w:color w:val="000000"/>
        </w:rPr>
        <w:t>s</w:t>
      </w:r>
      <w:r>
        <w:rPr>
          <w:color w:val="000000"/>
          <w:spacing w:val="5"/>
        </w:rPr>
        <w:t xml:space="preserve"> </w:t>
      </w:r>
      <w:r>
        <w:rPr>
          <w:color w:val="000000"/>
        </w:rPr>
        <w:t>A</w:t>
      </w:r>
      <w:r>
        <w:rPr>
          <w:color w:val="000000"/>
          <w:spacing w:val="-5"/>
        </w:rPr>
        <w:t>m</w:t>
      </w:r>
      <w:r>
        <w:rPr>
          <w:color w:val="000000"/>
          <w:spacing w:val="-1"/>
        </w:rPr>
        <w:t>e</w:t>
      </w:r>
      <w:r>
        <w:rPr>
          <w:color w:val="000000"/>
          <w:spacing w:val="6"/>
        </w:rPr>
        <w:t>r</w:t>
      </w:r>
      <w:r>
        <w:rPr>
          <w:color w:val="000000"/>
          <w:spacing w:val="-4"/>
        </w:rPr>
        <w:t>i</w:t>
      </w:r>
      <w:r>
        <w:rPr>
          <w:color w:val="000000"/>
        </w:rPr>
        <w:t>k</w:t>
      </w:r>
      <w:r>
        <w:rPr>
          <w:color w:val="000000"/>
          <w:spacing w:val="5"/>
        </w:rPr>
        <w:t>o</w:t>
      </w:r>
      <w:r>
        <w:rPr>
          <w:color w:val="000000"/>
        </w:rPr>
        <w:t>s</w:t>
      </w:r>
      <w:r>
        <w:rPr>
          <w:color w:val="000000"/>
          <w:spacing w:val="5"/>
        </w:rPr>
        <w:t xml:space="preserve">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w:t>
      </w:r>
      <w:r>
        <w:rPr>
          <w:color w:val="000000"/>
        </w:rPr>
        <w:t>b</w:t>
      </w:r>
      <w:r>
        <w:rPr>
          <w:color w:val="000000"/>
          <w:spacing w:val="-4"/>
        </w:rPr>
        <w:t>i</w:t>
      </w:r>
      <w:r>
        <w:rPr>
          <w:color w:val="000000"/>
        </w:rPr>
        <w:t>ų</w:t>
      </w:r>
      <w:r>
        <w:rPr>
          <w:color w:val="000000"/>
          <w:spacing w:val="7"/>
        </w:rPr>
        <w:t xml:space="preserve"> </w:t>
      </w:r>
      <w:r>
        <w:rPr>
          <w:color w:val="000000"/>
        </w:rPr>
        <w:t>į</w:t>
      </w:r>
      <w:r>
        <w:rPr>
          <w:color w:val="000000"/>
          <w:spacing w:val="-2"/>
        </w:rPr>
        <w:t xml:space="preserve"> </w:t>
      </w:r>
      <w:r>
        <w:rPr>
          <w:color w:val="000000"/>
          <w:spacing w:val="2"/>
        </w:rPr>
        <w:t>E</w:t>
      </w:r>
      <w:r>
        <w:rPr>
          <w:color w:val="000000"/>
        </w:rPr>
        <w:t>u</w:t>
      </w:r>
      <w:r>
        <w:rPr>
          <w:color w:val="000000"/>
          <w:spacing w:val="1"/>
        </w:rPr>
        <w:t>r</w:t>
      </w:r>
      <w:r>
        <w:rPr>
          <w:color w:val="000000"/>
          <w:spacing w:val="5"/>
        </w:rPr>
        <w:t>o</w:t>
      </w:r>
      <w:r>
        <w:rPr>
          <w:color w:val="000000"/>
        </w:rPr>
        <w:t>p</w:t>
      </w:r>
      <w:r>
        <w:rPr>
          <w:color w:val="000000"/>
          <w:spacing w:val="-1"/>
        </w:rPr>
        <w:t>ą</w:t>
      </w:r>
      <w:r>
        <w:rPr>
          <w:color w:val="000000"/>
        </w:rPr>
        <w:t>,</w:t>
      </w:r>
      <w:r>
        <w:rPr>
          <w:color w:val="000000"/>
          <w:spacing w:val="4"/>
        </w:rPr>
        <w:t xml:space="preserve"> </w:t>
      </w:r>
      <w:r>
        <w:rPr>
          <w:color w:val="000000"/>
          <w:spacing w:val="-1"/>
        </w:rPr>
        <w:t>a</w:t>
      </w:r>
      <w:r>
        <w:rPr>
          <w:color w:val="000000"/>
        </w:rPr>
        <w:t>r</w:t>
      </w:r>
      <w:r>
        <w:rPr>
          <w:color w:val="000000"/>
          <w:spacing w:val="8"/>
        </w:rPr>
        <w:t xml:space="preserve"> </w:t>
      </w:r>
      <w:r>
        <w:rPr>
          <w:color w:val="000000"/>
          <w:spacing w:val="-9"/>
        </w:rPr>
        <w:t>i</w:t>
      </w:r>
      <w:r>
        <w:rPr>
          <w:color w:val="000000"/>
        </w:rPr>
        <w:t>š</w:t>
      </w:r>
      <w:r>
        <w:rPr>
          <w:color w:val="000000"/>
          <w:spacing w:val="9"/>
        </w:rPr>
        <w:t xml:space="preserve"> </w:t>
      </w:r>
      <w:r>
        <w:rPr>
          <w:color w:val="000000"/>
        </w:rPr>
        <w:t>v</w:t>
      </w:r>
      <w:r>
        <w:rPr>
          <w:color w:val="000000"/>
          <w:spacing w:val="-4"/>
        </w:rPr>
        <w:t>i</w:t>
      </w:r>
      <w:r>
        <w:rPr>
          <w:color w:val="000000"/>
          <w:spacing w:val="4"/>
        </w:rPr>
        <w:t>e</w:t>
      </w:r>
      <w:r>
        <w:rPr>
          <w:color w:val="000000"/>
          <w:spacing w:val="-5"/>
        </w:rPr>
        <w:t>n</w:t>
      </w:r>
      <w:r>
        <w:rPr>
          <w:color w:val="000000"/>
          <w:spacing w:val="5"/>
        </w:rPr>
        <w:t>o</w:t>
      </w:r>
      <w:r>
        <w:rPr>
          <w:color w:val="000000"/>
        </w:rPr>
        <w:t xml:space="preserve">s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 xml:space="preserve">s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w:t>
      </w:r>
      <w:r>
        <w:rPr>
          <w:color w:val="000000"/>
        </w:rPr>
        <w:t>b</w:t>
      </w:r>
      <w:r>
        <w:rPr>
          <w:color w:val="000000"/>
          <w:spacing w:val="-1"/>
        </w:rPr>
        <w:t>ė</w:t>
      </w:r>
      <w:r>
        <w:rPr>
          <w:color w:val="000000"/>
        </w:rPr>
        <w:t>s</w:t>
      </w:r>
      <w:r>
        <w:rPr>
          <w:color w:val="000000"/>
          <w:spacing w:val="33"/>
        </w:rPr>
        <w:t xml:space="preserve"> </w:t>
      </w:r>
      <w:r>
        <w:rPr>
          <w:color w:val="000000"/>
        </w:rPr>
        <w:t>į</w:t>
      </w:r>
      <w:r>
        <w:rPr>
          <w:color w:val="000000"/>
          <w:spacing w:val="22"/>
        </w:rPr>
        <w:t xml:space="preserve"> </w:t>
      </w:r>
      <w:r>
        <w:rPr>
          <w:color w:val="000000"/>
          <w:spacing w:val="5"/>
        </w:rPr>
        <w:t>k</w:t>
      </w:r>
      <w:r>
        <w:rPr>
          <w:color w:val="000000"/>
          <w:spacing w:val="-9"/>
        </w:rPr>
        <w:t>i</w:t>
      </w:r>
      <w:r>
        <w:rPr>
          <w:color w:val="000000"/>
          <w:spacing w:val="5"/>
        </w:rPr>
        <w:t>t</w:t>
      </w:r>
      <w:r>
        <w:rPr>
          <w:color w:val="000000"/>
          <w:spacing w:val="-1"/>
        </w:rPr>
        <w:t>ą</w:t>
      </w:r>
      <w:r>
        <w:rPr>
          <w:color w:val="000000"/>
        </w:rPr>
        <w:t>.</w:t>
      </w:r>
      <w:r>
        <w:rPr>
          <w:color w:val="000000"/>
          <w:spacing w:val="28"/>
        </w:rPr>
        <w:t xml:space="preserve"> </w:t>
      </w:r>
      <w:r>
        <w:rPr>
          <w:color w:val="000000"/>
          <w:spacing w:val="2"/>
        </w:rPr>
        <w:t>T</w:t>
      </w:r>
      <w:r>
        <w:rPr>
          <w:color w:val="000000"/>
          <w:spacing w:val="1"/>
        </w:rPr>
        <w:t>r</w:t>
      </w:r>
      <w:r>
        <w:rPr>
          <w:color w:val="000000"/>
          <w:spacing w:val="-1"/>
        </w:rPr>
        <w:t>a</w:t>
      </w:r>
      <w:r>
        <w:rPr>
          <w:color w:val="000000"/>
          <w:spacing w:val="5"/>
        </w:rPr>
        <w:t>d</w:t>
      </w:r>
      <w:r>
        <w:rPr>
          <w:color w:val="000000"/>
          <w:spacing w:val="-9"/>
        </w:rPr>
        <w:t>i</w:t>
      </w:r>
      <w:r>
        <w:rPr>
          <w:color w:val="000000"/>
          <w:spacing w:val="4"/>
        </w:rPr>
        <w:t>c</w:t>
      </w:r>
      <w:r>
        <w:rPr>
          <w:color w:val="000000"/>
          <w:spacing w:val="-4"/>
        </w:rPr>
        <w:t>i</w:t>
      </w:r>
      <w:r>
        <w:rPr>
          <w:color w:val="000000"/>
          <w:spacing w:val="2"/>
        </w:rPr>
        <w:t>š</w:t>
      </w:r>
      <w:r>
        <w:rPr>
          <w:color w:val="000000"/>
        </w:rPr>
        <w:t>k</w:t>
      </w:r>
      <w:r>
        <w:rPr>
          <w:color w:val="000000"/>
          <w:spacing w:val="4"/>
        </w:rPr>
        <w:t>a</w:t>
      </w:r>
      <w:r>
        <w:rPr>
          <w:color w:val="000000"/>
        </w:rPr>
        <w:t>i</w:t>
      </w:r>
      <w:r>
        <w:rPr>
          <w:color w:val="000000"/>
          <w:spacing w:val="22"/>
        </w:rPr>
        <w:t xml:space="preserve"> </w:t>
      </w:r>
      <w:r>
        <w:rPr>
          <w:color w:val="000000"/>
          <w:spacing w:val="5"/>
        </w:rPr>
        <w:t>t</w:t>
      </w:r>
      <w:r>
        <w:rPr>
          <w:color w:val="000000"/>
          <w:spacing w:val="4"/>
        </w:rPr>
        <w:t>a</w:t>
      </w:r>
      <w:r>
        <w:rPr>
          <w:color w:val="000000"/>
        </w:rPr>
        <w:t>m</w:t>
      </w:r>
      <w:r>
        <w:rPr>
          <w:color w:val="000000"/>
          <w:spacing w:val="27"/>
        </w:rPr>
        <w:t xml:space="preserve"> </w:t>
      </w:r>
      <w:r>
        <w:rPr>
          <w:color w:val="000000"/>
          <w:spacing w:val="-10"/>
        </w:rPr>
        <w:t>y</w:t>
      </w:r>
      <w:r>
        <w:rPr>
          <w:color w:val="000000"/>
          <w:spacing w:val="6"/>
        </w:rPr>
        <w:t>r</w:t>
      </w:r>
      <w:r>
        <w:rPr>
          <w:color w:val="000000"/>
        </w:rPr>
        <w:t>a</w:t>
      </w:r>
      <w:r>
        <w:rPr>
          <w:color w:val="000000"/>
          <w:spacing w:val="30"/>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rPr>
        <w:t>mi</w:t>
      </w:r>
      <w:r>
        <w:rPr>
          <w:color w:val="000000"/>
          <w:spacing w:val="22"/>
        </w:rPr>
        <w:t xml:space="preserve"> </w:t>
      </w:r>
      <w:r>
        <w:rPr>
          <w:color w:val="000000"/>
          <w:spacing w:val="9"/>
        </w:rPr>
        <w:t>o</w:t>
      </w:r>
      <w:r>
        <w:rPr>
          <w:color w:val="000000"/>
          <w:spacing w:val="1"/>
        </w:rPr>
        <w:t>r</w:t>
      </w:r>
      <w:r>
        <w:rPr>
          <w:color w:val="000000"/>
        </w:rPr>
        <w:t>o</w:t>
      </w:r>
      <w:r>
        <w:rPr>
          <w:color w:val="000000"/>
          <w:spacing w:val="31"/>
        </w:rPr>
        <w:t xml:space="preserve"> </w:t>
      </w:r>
      <w:r>
        <w:rPr>
          <w:color w:val="000000"/>
          <w:spacing w:val="1"/>
        </w:rPr>
        <w:t>(</w:t>
      </w:r>
      <w:r>
        <w:rPr>
          <w:color w:val="000000"/>
        </w:rPr>
        <w:t>g</w:t>
      </w:r>
      <w:r>
        <w:rPr>
          <w:color w:val="000000"/>
          <w:spacing w:val="-1"/>
        </w:rPr>
        <w:t>a</w:t>
      </w:r>
      <w:r>
        <w:rPr>
          <w:color w:val="000000"/>
          <w:spacing w:val="-5"/>
        </w:rPr>
        <w:t>b</w:t>
      </w:r>
      <w:r>
        <w:rPr>
          <w:color w:val="000000"/>
          <w:spacing w:val="-1"/>
        </w:rPr>
        <w:t>e</w:t>
      </w:r>
      <w:r>
        <w:rPr>
          <w:color w:val="000000"/>
          <w:spacing w:val="-5"/>
        </w:rPr>
        <w:t>n</w:t>
      </w:r>
      <w:r>
        <w:rPr>
          <w:color w:val="000000"/>
          <w:spacing w:val="4"/>
        </w:rPr>
        <w:t>a</w:t>
      </w:r>
      <w:r>
        <w:rPr>
          <w:color w:val="000000"/>
          <w:spacing w:val="-5"/>
        </w:rPr>
        <w:t>n</w:t>
      </w:r>
      <w:r>
        <w:rPr>
          <w:color w:val="000000"/>
        </w:rPr>
        <w:t>t</w:t>
      </w:r>
      <w:r>
        <w:rPr>
          <w:color w:val="000000"/>
          <w:spacing w:val="31"/>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ą</w:t>
      </w:r>
      <w:r>
        <w:rPr>
          <w:color w:val="000000"/>
          <w:spacing w:val="25"/>
        </w:rPr>
        <w:t xml:space="preserve"> </w:t>
      </w:r>
      <w:r>
        <w:rPr>
          <w:color w:val="000000"/>
          <w:spacing w:val="5"/>
        </w:rPr>
        <w:t>o</w:t>
      </w:r>
      <w:r>
        <w:rPr>
          <w:color w:val="000000"/>
          <w:spacing w:val="1"/>
        </w:rPr>
        <w:t>r</w:t>
      </w:r>
      <w:r>
        <w:rPr>
          <w:color w:val="000000"/>
        </w:rPr>
        <w:t>g</w:t>
      </w:r>
      <w:r>
        <w:rPr>
          <w:color w:val="000000"/>
          <w:spacing w:val="-1"/>
        </w:rPr>
        <w:t>a</w:t>
      </w:r>
      <w:r>
        <w:rPr>
          <w:color w:val="000000"/>
        </w:rPr>
        <w:t>n</w:t>
      </w:r>
      <w:r>
        <w:rPr>
          <w:color w:val="000000"/>
          <w:spacing w:val="-4"/>
        </w:rPr>
        <w:t>i</w:t>
      </w:r>
      <w:r>
        <w:rPr>
          <w:color w:val="000000"/>
          <w:spacing w:val="4"/>
        </w:rPr>
        <w:t>z</w:t>
      </w:r>
      <w:r>
        <w:rPr>
          <w:color w:val="000000"/>
          <w:spacing w:val="-4"/>
        </w:rPr>
        <w:t>m</w:t>
      </w:r>
      <w:r>
        <w:rPr>
          <w:color w:val="000000"/>
        </w:rPr>
        <w:t>e</w:t>
      </w:r>
      <w:r>
        <w:rPr>
          <w:color w:val="000000"/>
          <w:spacing w:val="30"/>
        </w:rPr>
        <w:t xml:space="preserve"> </w:t>
      </w:r>
      <w:r>
        <w:rPr>
          <w:color w:val="000000"/>
          <w:spacing w:val="-1"/>
        </w:rPr>
        <w:t>a</w:t>
      </w:r>
      <w:r>
        <w:rPr>
          <w:color w:val="000000"/>
        </w:rPr>
        <w:t>r</w:t>
      </w:r>
      <w:r>
        <w:rPr>
          <w:color w:val="000000"/>
          <w:spacing w:val="32"/>
        </w:rPr>
        <w:t xml:space="preserve"> </w:t>
      </w:r>
      <w:r>
        <w:rPr>
          <w:color w:val="000000"/>
          <w:spacing w:val="2"/>
        </w:rPr>
        <w:t>s</w:t>
      </w:r>
      <w:r>
        <w:rPr>
          <w:color w:val="000000"/>
          <w:spacing w:val="-4"/>
        </w:rPr>
        <w:t>l</w:t>
      </w:r>
      <w:r>
        <w:rPr>
          <w:color w:val="000000"/>
          <w:spacing w:val="-1"/>
        </w:rPr>
        <w:t>e</w:t>
      </w:r>
      <w:r>
        <w:rPr>
          <w:color w:val="000000"/>
          <w:spacing w:val="5"/>
        </w:rPr>
        <w:t>p</w:t>
      </w:r>
      <w:r>
        <w:rPr>
          <w:color w:val="000000"/>
          <w:spacing w:val="-4"/>
        </w:rPr>
        <w:t>i</w:t>
      </w:r>
      <w:r>
        <w:rPr>
          <w:color w:val="000000"/>
          <w:spacing w:val="4"/>
        </w:rPr>
        <w:t>a</w:t>
      </w:r>
      <w:r>
        <w:rPr>
          <w:color w:val="000000"/>
          <w:spacing w:val="-5"/>
        </w:rPr>
        <w:t>n</w:t>
      </w:r>
      <w:r>
        <w:rPr>
          <w:color w:val="000000"/>
        </w:rPr>
        <w:t>t</w:t>
      </w:r>
      <w:r>
        <w:rPr>
          <w:color w:val="000000"/>
          <w:spacing w:val="31"/>
        </w:rPr>
        <w:t xml:space="preserve"> </w:t>
      </w:r>
      <w:r>
        <w:rPr>
          <w:color w:val="000000"/>
          <w:spacing w:val="5"/>
        </w:rPr>
        <w:t>t</w:t>
      </w:r>
      <w:r>
        <w:rPr>
          <w:color w:val="000000"/>
          <w:spacing w:val="-1"/>
        </w:rPr>
        <w:t>a</w:t>
      </w:r>
      <w:r>
        <w:rPr>
          <w:color w:val="000000"/>
          <w:spacing w:val="1"/>
        </w:rPr>
        <w:t>r</w:t>
      </w:r>
      <w:r>
        <w:rPr>
          <w:color w:val="000000"/>
        </w:rPr>
        <w:t>p d</w:t>
      </w:r>
      <w:r>
        <w:rPr>
          <w:color w:val="000000"/>
          <w:spacing w:val="4"/>
        </w:rPr>
        <w:t>a</w:t>
      </w:r>
      <w:r>
        <w:rPr>
          <w:color w:val="000000"/>
          <w:spacing w:val="-9"/>
        </w:rPr>
        <w:t>i</w:t>
      </w:r>
      <w:r>
        <w:rPr>
          <w:color w:val="000000"/>
        </w:rPr>
        <w:t>k</w:t>
      </w:r>
      <w:r>
        <w:rPr>
          <w:color w:val="000000"/>
          <w:spacing w:val="5"/>
        </w:rPr>
        <w:t>t</w:t>
      </w:r>
      <w:r>
        <w:rPr>
          <w:color w:val="000000"/>
        </w:rPr>
        <w:t xml:space="preserve">ų) </w:t>
      </w:r>
      <w:r>
        <w:rPr>
          <w:color w:val="000000"/>
          <w:spacing w:val="1"/>
        </w:rPr>
        <w:t xml:space="preserve"> </w:t>
      </w:r>
      <w:r>
        <w:rPr>
          <w:color w:val="000000"/>
          <w:spacing w:val="-9"/>
        </w:rPr>
        <w:t>i</w:t>
      </w:r>
      <w:r>
        <w:rPr>
          <w:color w:val="000000"/>
        </w:rPr>
        <w:t xml:space="preserve">r </w:t>
      </w:r>
      <w:r>
        <w:rPr>
          <w:color w:val="000000"/>
          <w:spacing w:val="1"/>
        </w:rPr>
        <w:t xml:space="preserve"> </w:t>
      </w:r>
      <w:r>
        <w:rPr>
          <w:color w:val="000000"/>
          <w:spacing w:val="2"/>
        </w:rPr>
        <w:t>s</w:t>
      </w:r>
      <w:r>
        <w:rPr>
          <w:color w:val="000000"/>
          <w:spacing w:val="-1"/>
        </w:rPr>
        <w:t>a</w:t>
      </w:r>
      <w:r>
        <w:rPr>
          <w:color w:val="000000"/>
        </w:rPr>
        <w:t>u</w:t>
      </w:r>
      <w:r>
        <w:rPr>
          <w:color w:val="000000"/>
          <w:spacing w:val="-2"/>
        </w:rPr>
        <w:t>s</w:t>
      </w:r>
      <w:r>
        <w:rPr>
          <w:color w:val="000000"/>
          <w:spacing w:val="5"/>
        </w:rPr>
        <w:t>u</w:t>
      </w:r>
      <w:r>
        <w:rPr>
          <w:color w:val="000000"/>
          <w:spacing w:val="-9"/>
        </w:rPr>
        <w:t>m</w:t>
      </w:r>
      <w:r>
        <w:rPr>
          <w:color w:val="000000"/>
          <w:spacing w:val="5"/>
        </w:rPr>
        <w:t>o</w:t>
      </w:r>
      <w:r>
        <w:rPr>
          <w:color w:val="000000"/>
        </w:rPr>
        <w:t>s</w:t>
      </w:r>
      <w:r>
        <w:rPr>
          <w:color w:val="000000"/>
          <w:spacing w:val="58"/>
        </w:rPr>
        <w:t xml:space="preserve"> </w:t>
      </w:r>
      <w:r>
        <w:rPr>
          <w:color w:val="000000"/>
          <w:spacing w:val="1"/>
        </w:rPr>
        <w:t>(</w:t>
      </w:r>
      <w:r>
        <w:rPr>
          <w:color w:val="000000"/>
          <w:spacing w:val="2"/>
        </w:rPr>
        <w:t>E</w:t>
      </w:r>
      <w:r>
        <w:rPr>
          <w:color w:val="000000"/>
          <w:spacing w:val="4"/>
        </w:rPr>
        <w:t>u</w:t>
      </w:r>
      <w:r>
        <w:rPr>
          <w:color w:val="000000"/>
          <w:spacing w:val="1"/>
        </w:rPr>
        <w:t>r</w:t>
      </w:r>
      <w:r>
        <w:rPr>
          <w:color w:val="000000"/>
          <w:spacing w:val="5"/>
        </w:rPr>
        <w:t>o</w:t>
      </w:r>
      <w:r>
        <w:rPr>
          <w:color w:val="000000"/>
          <w:spacing w:val="-5"/>
        </w:rPr>
        <w:t>p</w:t>
      </w:r>
      <w:r>
        <w:rPr>
          <w:color w:val="000000"/>
          <w:spacing w:val="5"/>
        </w:rPr>
        <w:t>o</w:t>
      </w:r>
      <w:r>
        <w:rPr>
          <w:color w:val="000000"/>
          <w:spacing w:val="-9"/>
        </w:rPr>
        <w:t>j</w:t>
      </w:r>
      <w:r>
        <w:rPr>
          <w:color w:val="000000"/>
        </w:rPr>
        <w:t>e</w:t>
      </w:r>
      <w:r>
        <w:rPr>
          <w:color w:val="000000"/>
          <w:spacing w:val="59"/>
        </w:rPr>
        <w:t xml:space="preserve"> </w:t>
      </w:r>
      <w:r>
        <w:rPr>
          <w:color w:val="000000"/>
          <w:spacing w:val="-1"/>
        </w:rPr>
        <w:t>a</w:t>
      </w:r>
      <w:r>
        <w:rPr>
          <w:color w:val="000000"/>
        </w:rPr>
        <w:t>u</w:t>
      </w:r>
      <w:r>
        <w:rPr>
          <w:color w:val="000000"/>
          <w:spacing w:val="5"/>
        </w:rPr>
        <w:t>to</w:t>
      </w:r>
      <w:r>
        <w:rPr>
          <w:color w:val="000000"/>
          <w:spacing w:val="-9"/>
        </w:rPr>
        <w:t>m</w:t>
      </w:r>
      <w:r>
        <w:rPr>
          <w:color w:val="000000"/>
          <w:spacing w:val="5"/>
        </w:rPr>
        <w:t>o</w:t>
      </w:r>
      <w:r>
        <w:rPr>
          <w:color w:val="000000"/>
        </w:rPr>
        <w:t>bi</w:t>
      </w:r>
      <w:r>
        <w:rPr>
          <w:color w:val="000000"/>
          <w:spacing w:val="1"/>
        </w:rPr>
        <w:t>l</w:t>
      </w:r>
      <w:r>
        <w:rPr>
          <w:color w:val="000000"/>
          <w:spacing w:val="-4"/>
        </w:rPr>
        <w:t>i</w:t>
      </w:r>
      <w:r>
        <w:rPr>
          <w:color w:val="000000"/>
          <w:spacing w:val="4"/>
        </w:rPr>
        <w:t>a</w:t>
      </w:r>
      <w:r>
        <w:rPr>
          <w:color w:val="000000"/>
          <w:spacing w:val="-4"/>
        </w:rPr>
        <w:t>i</w:t>
      </w:r>
      <w:r>
        <w:rPr>
          <w:color w:val="000000"/>
        </w:rPr>
        <w:t xml:space="preserve">s </w:t>
      </w:r>
      <w:r>
        <w:rPr>
          <w:color w:val="000000"/>
          <w:spacing w:val="2"/>
        </w:rPr>
        <w:t xml:space="preserve"> </w:t>
      </w:r>
      <w:r>
        <w:rPr>
          <w:color w:val="000000"/>
          <w:spacing w:val="-5"/>
        </w:rPr>
        <w:t>v</w:t>
      </w:r>
      <w:r>
        <w:rPr>
          <w:color w:val="000000"/>
          <w:spacing w:val="4"/>
        </w:rPr>
        <w:t>e</w:t>
      </w:r>
      <w:r>
        <w:rPr>
          <w:color w:val="000000"/>
          <w:spacing w:val="-1"/>
        </w:rPr>
        <w:t>ža</w:t>
      </w:r>
      <w:r>
        <w:rPr>
          <w:color w:val="000000"/>
          <w:spacing w:val="-5"/>
        </w:rPr>
        <w:t>n</w:t>
      </w:r>
      <w:r>
        <w:rPr>
          <w:color w:val="000000"/>
        </w:rPr>
        <w:t xml:space="preserve">t </w:t>
      </w:r>
      <w:r>
        <w:rPr>
          <w:color w:val="000000"/>
          <w:spacing w:val="10"/>
        </w:rPr>
        <w:t xml:space="preserve"> </w:t>
      </w:r>
      <w:r>
        <w:rPr>
          <w:color w:val="000000"/>
          <w:spacing w:val="-9"/>
        </w:rPr>
        <w:t>i</w:t>
      </w:r>
      <w:r>
        <w:rPr>
          <w:color w:val="000000"/>
        </w:rPr>
        <w:t xml:space="preserve">š </w:t>
      </w:r>
      <w:r>
        <w:rPr>
          <w:color w:val="000000"/>
          <w:spacing w:val="2"/>
        </w:rPr>
        <w:t xml:space="preserve"> </w:t>
      </w:r>
      <w:r>
        <w:rPr>
          <w:color w:val="000000"/>
        </w:rPr>
        <w:t>v</w:t>
      </w:r>
      <w:r>
        <w:rPr>
          <w:color w:val="000000"/>
          <w:spacing w:val="-4"/>
        </w:rPr>
        <w:t>i</w:t>
      </w:r>
      <w:r>
        <w:rPr>
          <w:color w:val="000000"/>
          <w:spacing w:val="4"/>
        </w:rPr>
        <w:t>e</w:t>
      </w:r>
      <w:r>
        <w:rPr>
          <w:color w:val="000000"/>
          <w:spacing w:val="-5"/>
        </w:rPr>
        <w:t>n</w:t>
      </w:r>
      <w:r>
        <w:rPr>
          <w:color w:val="000000"/>
          <w:spacing w:val="5"/>
        </w:rPr>
        <w:t>o</w:t>
      </w:r>
      <w:r>
        <w:rPr>
          <w:color w:val="000000"/>
        </w:rPr>
        <w:t>s</w:t>
      </w:r>
      <w:r>
        <w:rPr>
          <w:color w:val="000000"/>
          <w:spacing w:val="58"/>
        </w:rPr>
        <w:t xml:space="preserve"> </w:t>
      </w:r>
      <w:r>
        <w:rPr>
          <w:color w:val="000000"/>
          <w:spacing w:val="-2"/>
        </w:rPr>
        <w:t>š</w:t>
      </w:r>
      <w:r>
        <w:rPr>
          <w:color w:val="000000"/>
          <w:spacing w:val="4"/>
        </w:rPr>
        <w:t>a</w:t>
      </w:r>
      <w:r>
        <w:rPr>
          <w:color w:val="000000"/>
        </w:rPr>
        <w:t>l</w:t>
      </w:r>
      <w:r>
        <w:rPr>
          <w:color w:val="000000"/>
          <w:spacing w:val="-4"/>
        </w:rPr>
        <w:t>i</w:t>
      </w:r>
      <w:r>
        <w:rPr>
          <w:color w:val="000000"/>
          <w:spacing w:val="4"/>
        </w:rPr>
        <w:t>e</w:t>
      </w:r>
      <w:r>
        <w:rPr>
          <w:color w:val="000000"/>
        </w:rPr>
        <w:t xml:space="preserve">s </w:t>
      </w:r>
      <w:r>
        <w:rPr>
          <w:color w:val="000000"/>
          <w:spacing w:val="2"/>
        </w:rPr>
        <w:t xml:space="preserve"> </w:t>
      </w:r>
      <w:r>
        <w:rPr>
          <w:color w:val="000000"/>
        </w:rPr>
        <w:t>į</w:t>
      </w:r>
      <w:r>
        <w:rPr>
          <w:color w:val="000000"/>
          <w:spacing w:val="51"/>
        </w:rPr>
        <w:t xml:space="preserve"> </w:t>
      </w:r>
      <w:r>
        <w:rPr>
          <w:color w:val="000000"/>
          <w:spacing w:val="5"/>
        </w:rPr>
        <w:t>k</w:t>
      </w:r>
      <w:r>
        <w:rPr>
          <w:color w:val="000000"/>
          <w:spacing w:val="-9"/>
        </w:rPr>
        <w:t>i</w:t>
      </w:r>
      <w:r>
        <w:rPr>
          <w:color w:val="000000"/>
          <w:spacing w:val="5"/>
        </w:rPr>
        <w:t>t</w:t>
      </w:r>
      <w:r>
        <w:rPr>
          <w:color w:val="000000"/>
          <w:spacing w:val="-1"/>
        </w:rPr>
        <w:t>ą</w:t>
      </w:r>
      <w:r>
        <w:rPr>
          <w:color w:val="000000"/>
        </w:rPr>
        <w:t xml:space="preserve">) </w:t>
      </w:r>
      <w:r>
        <w:rPr>
          <w:color w:val="000000"/>
          <w:spacing w:val="1"/>
        </w:rPr>
        <w:t xml:space="preserve"> </w:t>
      </w:r>
      <w:r>
        <w:rPr>
          <w:color w:val="000000"/>
        </w:rPr>
        <w:t>k</w:t>
      </w:r>
      <w:r>
        <w:rPr>
          <w:color w:val="000000"/>
          <w:spacing w:val="4"/>
        </w:rPr>
        <w:t>e</w:t>
      </w:r>
      <w:r>
        <w:rPr>
          <w:color w:val="000000"/>
        </w:rPr>
        <w:t>l</w:t>
      </w:r>
      <w:r>
        <w:rPr>
          <w:color w:val="000000"/>
          <w:spacing w:val="-4"/>
        </w:rPr>
        <w:t>i</w:t>
      </w:r>
      <w:r>
        <w:rPr>
          <w:color w:val="000000"/>
          <w:spacing w:val="4"/>
        </w:rPr>
        <w:t>a</w:t>
      </w:r>
      <w:r>
        <w:rPr>
          <w:color w:val="000000"/>
          <w:spacing w:val="-4"/>
        </w:rPr>
        <w:t>i</w:t>
      </w:r>
      <w:r>
        <w:rPr>
          <w:color w:val="000000"/>
        </w:rPr>
        <w:t xml:space="preserve">. </w:t>
      </w:r>
      <w:r>
        <w:rPr>
          <w:color w:val="000000"/>
          <w:spacing w:val="2"/>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8"/>
        </w:rPr>
        <w:t>a</w:t>
      </w:r>
      <w:r>
        <w:rPr>
          <w:color w:val="000000"/>
        </w:rPr>
        <w:t>i l</w:t>
      </w:r>
      <w:r>
        <w:rPr>
          <w:color w:val="000000"/>
          <w:spacing w:val="-4"/>
        </w:rPr>
        <w:t>i</w:t>
      </w:r>
      <w:r>
        <w:rPr>
          <w:color w:val="000000"/>
          <w:spacing w:val="-1"/>
        </w:rPr>
        <w:t>e</w:t>
      </w:r>
      <w:r>
        <w:rPr>
          <w:color w:val="000000"/>
          <w:spacing w:val="5"/>
        </w:rPr>
        <w:t>t</w:t>
      </w:r>
      <w:r>
        <w:rPr>
          <w:color w:val="000000"/>
        </w:rPr>
        <w:t>uv</w:t>
      </w:r>
      <w:r>
        <w:rPr>
          <w:color w:val="000000"/>
          <w:spacing w:val="-4"/>
        </w:rPr>
        <w:t>i</w:t>
      </w:r>
      <w:r>
        <w:rPr>
          <w:color w:val="000000"/>
        </w:rPr>
        <w:t>ų</w:t>
      </w:r>
      <w:r>
        <w:rPr>
          <w:color w:val="000000"/>
          <w:spacing w:val="2"/>
        </w:rPr>
        <w:t xml:space="preserve"> </w:t>
      </w:r>
      <w:r>
        <w:rPr>
          <w:color w:val="000000"/>
        </w:rPr>
        <w:t>g</w:t>
      </w:r>
      <w:r>
        <w:rPr>
          <w:color w:val="000000"/>
          <w:spacing w:val="-1"/>
        </w:rPr>
        <w:t>a</w:t>
      </w:r>
      <w:r>
        <w:rPr>
          <w:color w:val="000000"/>
        </w:rPr>
        <w:t>b</w:t>
      </w:r>
      <w:r>
        <w:rPr>
          <w:color w:val="000000"/>
          <w:spacing w:val="4"/>
        </w:rPr>
        <w:t>e</w:t>
      </w:r>
      <w:r>
        <w:rPr>
          <w:color w:val="000000"/>
          <w:spacing w:val="-5"/>
        </w:rPr>
        <w:t>n</w:t>
      </w:r>
      <w:r>
        <w:rPr>
          <w:color w:val="000000"/>
          <w:spacing w:val="4"/>
        </w:rPr>
        <w:t>a</w:t>
      </w:r>
      <w:r>
        <w:rPr>
          <w:color w:val="000000"/>
          <w:spacing w:val="-4"/>
        </w:rPr>
        <w:t>m</w:t>
      </w:r>
      <w:r>
        <w:rPr>
          <w:color w:val="000000"/>
          <w:spacing w:val="-1"/>
        </w:rPr>
        <w:t>a</w:t>
      </w:r>
      <w:r>
        <w:rPr>
          <w:color w:val="000000"/>
        </w:rPr>
        <w:t>s 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spacing w:val="4"/>
        </w:rPr>
        <w:t>a</w:t>
      </w:r>
      <w:r>
        <w:rPr>
          <w:color w:val="000000"/>
        </w:rPr>
        <w:t xml:space="preserve">s </w:t>
      </w:r>
      <w:r>
        <w:rPr>
          <w:color w:val="000000"/>
          <w:spacing w:val="-5"/>
        </w:rPr>
        <w:t>b</w:t>
      </w:r>
      <w:r>
        <w:rPr>
          <w:color w:val="000000"/>
          <w:spacing w:val="5"/>
        </w:rPr>
        <w:t>ū</w:t>
      </w:r>
      <w:r>
        <w:rPr>
          <w:color w:val="000000"/>
          <w:spacing w:val="-5"/>
        </w:rPr>
        <w:t>n</w:t>
      </w:r>
      <w:r>
        <w:rPr>
          <w:color w:val="000000"/>
        </w:rPr>
        <w:t>a</w:t>
      </w:r>
      <w:r>
        <w:rPr>
          <w:color w:val="000000"/>
          <w:spacing w:val="1"/>
        </w:rPr>
        <w:t xml:space="preserve"> </w:t>
      </w:r>
      <w:r>
        <w:rPr>
          <w:color w:val="000000"/>
          <w:spacing w:val="-2"/>
        </w:rPr>
        <w:t>s</w:t>
      </w:r>
      <w:r>
        <w:rPr>
          <w:color w:val="000000"/>
          <w:spacing w:val="5"/>
        </w:rPr>
        <w:t>k</w:t>
      </w:r>
      <w:r>
        <w:rPr>
          <w:color w:val="000000"/>
          <w:spacing w:val="-4"/>
        </w:rPr>
        <w:t>i</w:t>
      </w:r>
      <w:r>
        <w:rPr>
          <w:color w:val="000000"/>
          <w:spacing w:val="1"/>
        </w:rPr>
        <w:t>r</w:t>
      </w:r>
      <w:r>
        <w:rPr>
          <w:color w:val="000000"/>
          <w:spacing w:val="5"/>
        </w:rPr>
        <w:t>t</w:t>
      </w:r>
      <w:r>
        <w:rPr>
          <w:color w:val="000000"/>
          <w:spacing w:val="-1"/>
        </w:rPr>
        <w:t>a</w:t>
      </w:r>
      <w:r>
        <w:rPr>
          <w:color w:val="000000"/>
        </w:rPr>
        <w:t xml:space="preserve">s </w:t>
      </w:r>
      <w:r>
        <w:rPr>
          <w:color w:val="000000"/>
          <w:spacing w:val="-2"/>
        </w:rPr>
        <w:t>J</w:t>
      </w:r>
      <w:r>
        <w:rPr>
          <w:color w:val="000000"/>
        </w:rPr>
        <w:t>u</w:t>
      </w:r>
      <w:r>
        <w:rPr>
          <w:color w:val="000000"/>
          <w:spacing w:val="-5"/>
        </w:rPr>
        <w:t>n</w:t>
      </w:r>
      <w:r>
        <w:rPr>
          <w:color w:val="000000"/>
        </w:rPr>
        <w:t>g</w:t>
      </w:r>
      <w:r>
        <w:rPr>
          <w:color w:val="000000"/>
          <w:spacing w:val="10"/>
        </w:rPr>
        <w:t>t</w:t>
      </w:r>
      <w:r>
        <w:rPr>
          <w:color w:val="000000"/>
          <w:spacing w:val="-4"/>
        </w:rPr>
        <w:t>i</w:t>
      </w:r>
      <w:r>
        <w:rPr>
          <w:color w:val="000000"/>
          <w:spacing w:val="-5"/>
        </w:rPr>
        <w:t>n</w:t>
      </w:r>
      <w:r>
        <w:rPr>
          <w:color w:val="000000"/>
          <w:spacing w:val="4"/>
        </w:rPr>
        <w:t>ė</w:t>
      </w:r>
      <w:r>
        <w:rPr>
          <w:color w:val="000000"/>
        </w:rPr>
        <w:t xml:space="preserve">s </w:t>
      </w:r>
      <w:r>
        <w:rPr>
          <w:color w:val="000000"/>
          <w:spacing w:val="-5"/>
        </w:rPr>
        <w:t>K</w:t>
      </w:r>
      <w:r>
        <w:rPr>
          <w:color w:val="000000"/>
          <w:spacing w:val="-1"/>
        </w:rPr>
        <w:t>a</w:t>
      </w:r>
      <w:r>
        <w:rPr>
          <w:color w:val="000000"/>
          <w:spacing w:val="1"/>
        </w:rPr>
        <w:t>r</w:t>
      </w:r>
      <w:r>
        <w:rPr>
          <w:color w:val="000000"/>
          <w:spacing w:val="4"/>
        </w:rPr>
        <w:t>a</w:t>
      </w:r>
      <w:r>
        <w:rPr>
          <w:color w:val="000000"/>
        </w:rPr>
        <w:t>l</w:t>
      </w:r>
      <w:r>
        <w:rPr>
          <w:color w:val="000000"/>
          <w:spacing w:val="-4"/>
        </w:rPr>
        <w:t>y</w:t>
      </w:r>
      <w:r>
        <w:rPr>
          <w:color w:val="000000"/>
          <w:spacing w:val="-2"/>
        </w:rPr>
        <w:t>s</w:t>
      </w:r>
      <w:r>
        <w:rPr>
          <w:color w:val="000000"/>
          <w:spacing w:val="5"/>
        </w:rPr>
        <w:t>t</w:t>
      </w:r>
      <w:r>
        <w:rPr>
          <w:color w:val="000000"/>
          <w:spacing w:val="-1"/>
        </w:rPr>
        <w:t>ė</w:t>
      </w:r>
      <w:r>
        <w:rPr>
          <w:color w:val="000000"/>
          <w:spacing w:val="-2"/>
        </w:rPr>
        <w:t>s</w:t>
      </w:r>
      <w:r>
        <w:rPr>
          <w:color w:val="000000"/>
        </w:rPr>
        <w:t>,</w:t>
      </w:r>
      <w:r>
        <w:rPr>
          <w:color w:val="000000"/>
          <w:spacing w:val="4"/>
        </w:rPr>
        <w:t xml:space="preserve"> N</w:t>
      </w:r>
      <w:r>
        <w:rPr>
          <w:color w:val="000000"/>
          <w:spacing w:val="-10"/>
        </w:rPr>
        <w:t>y</w:t>
      </w:r>
      <w:r>
        <w:rPr>
          <w:color w:val="000000"/>
        </w:rPr>
        <w:t>d</w:t>
      </w:r>
      <w:r>
        <w:rPr>
          <w:color w:val="000000"/>
          <w:spacing w:val="-1"/>
        </w:rPr>
        <w:t>e</w:t>
      </w:r>
      <w:r>
        <w:rPr>
          <w:color w:val="000000"/>
          <w:spacing w:val="6"/>
        </w:rPr>
        <w:t>r</w:t>
      </w:r>
      <w:r>
        <w:rPr>
          <w:color w:val="000000"/>
          <w:spacing w:val="-4"/>
        </w:rPr>
        <w:t>l</w:t>
      </w:r>
      <w:r>
        <w:rPr>
          <w:color w:val="000000"/>
          <w:spacing w:val="4"/>
        </w:rPr>
        <w:t>a</w:t>
      </w:r>
      <w:r>
        <w:rPr>
          <w:color w:val="000000"/>
          <w:spacing w:val="-5"/>
        </w:rPr>
        <w:t>n</w:t>
      </w:r>
      <w:r>
        <w:rPr>
          <w:color w:val="000000"/>
        </w:rPr>
        <w:t>dų</w:t>
      </w:r>
      <w:r>
        <w:rPr>
          <w:color w:val="000000"/>
          <w:spacing w:val="2"/>
        </w:rPr>
        <w:t xml:space="preserve"> </w:t>
      </w:r>
      <w:r>
        <w:rPr>
          <w:color w:val="000000"/>
          <w:spacing w:val="-1"/>
        </w:rPr>
        <w:t>a</w:t>
      </w:r>
      <w:r>
        <w:rPr>
          <w:color w:val="000000"/>
        </w:rPr>
        <w:t>r</w:t>
      </w:r>
      <w:r>
        <w:rPr>
          <w:color w:val="000000"/>
          <w:spacing w:val="4"/>
        </w:rPr>
        <w:t xml:space="preserve"> </w:t>
      </w:r>
      <w:r>
        <w:rPr>
          <w:color w:val="000000"/>
          <w:spacing w:val="-2"/>
        </w:rPr>
        <w:t>B</w:t>
      </w:r>
      <w:r>
        <w:rPr>
          <w:color w:val="000000"/>
          <w:spacing w:val="4"/>
        </w:rPr>
        <w:t>e</w:t>
      </w:r>
      <w:r>
        <w:rPr>
          <w:color w:val="000000"/>
          <w:spacing w:val="-9"/>
        </w:rPr>
        <w:t>l</w:t>
      </w:r>
      <w:r>
        <w:rPr>
          <w:color w:val="000000"/>
          <w:spacing w:val="5"/>
        </w:rPr>
        <w:t>g</w:t>
      </w:r>
      <w:r>
        <w:rPr>
          <w:color w:val="000000"/>
        </w:rPr>
        <w:t>i</w:t>
      </w:r>
      <w:r>
        <w:rPr>
          <w:color w:val="000000"/>
          <w:spacing w:val="-9"/>
        </w:rPr>
        <w:t>j</w:t>
      </w:r>
      <w:r>
        <w:rPr>
          <w:color w:val="000000"/>
          <w:spacing w:val="5"/>
        </w:rPr>
        <w:t>o</w:t>
      </w:r>
      <w:r>
        <w:rPr>
          <w:color w:val="000000"/>
        </w:rPr>
        <w:t xml:space="preserve">s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4"/>
        </w:rPr>
        <w:t>m</w:t>
      </w:r>
      <w:r>
        <w:rPr>
          <w:color w:val="000000"/>
          <w:spacing w:val="-2"/>
        </w:rPr>
        <w:t>s</w:t>
      </w:r>
      <w:r>
        <w:rPr>
          <w:color w:val="000000"/>
        </w:rPr>
        <w:t>.</w:t>
      </w:r>
    </w:p>
    <w:p w:rsidR="004F7425" w:rsidRDefault="004F7425" w:rsidP="004F7425">
      <w:pPr>
        <w:widowControl w:val="0"/>
        <w:autoSpaceDE w:val="0"/>
        <w:autoSpaceDN w:val="0"/>
        <w:adjustRightInd w:val="0"/>
        <w:spacing w:before="5" w:line="120" w:lineRule="exact"/>
        <w:rPr>
          <w:color w:val="000000"/>
          <w:sz w:val="12"/>
          <w:szCs w:val="12"/>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8614"/>
        <w:jc w:val="both"/>
        <w:rPr>
          <w:color w:val="000000"/>
          <w:sz w:val="28"/>
          <w:szCs w:val="28"/>
        </w:rPr>
      </w:pPr>
      <w:r>
        <w:rPr>
          <w:b/>
          <w:bCs/>
          <w:i/>
          <w:iCs/>
          <w:color w:val="C0504D"/>
          <w:sz w:val="28"/>
          <w:szCs w:val="28"/>
        </w:rPr>
        <w:t>He</w:t>
      </w:r>
      <w:r>
        <w:rPr>
          <w:b/>
          <w:bCs/>
          <w:i/>
          <w:iCs/>
          <w:color w:val="C0504D"/>
          <w:spacing w:val="3"/>
          <w:sz w:val="28"/>
          <w:szCs w:val="28"/>
        </w:rPr>
        <w:t>r</w:t>
      </w:r>
      <w:r>
        <w:rPr>
          <w:b/>
          <w:bCs/>
          <w:i/>
          <w:iCs/>
          <w:color w:val="C0504D"/>
          <w:sz w:val="28"/>
          <w:szCs w:val="28"/>
        </w:rPr>
        <w:t>oi</w:t>
      </w:r>
      <w:r>
        <w:rPr>
          <w:b/>
          <w:bCs/>
          <w:i/>
          <w:iCs/>
          <w:color w:val="C0504D"/>
          <w:spacing w:val="-2"/>
          <w:sz w:val="28"/>
          <w:szCs w:val="28"/>
        </w:rPr>
        <w:t>n</w:t>
      </w:r>
      <w:r>
        <w:rPr>
          <w:b/>
          <w:bCs/>
          <w:i/>
          <w:iCs/>
          <w:color w:val="C0504D"/>
          <w:sz w:val="28"/>
          <w:szCs w:val="28"/>
        </w:rPr>
        <w:t>as</w:t>
      </w:r>
    </w:p>
    <w:p w:rsidR="004F7425" w:rsidRDefault="004F7425" w:rsidP="004F7425">
      <w:pPr>
        <w:widowControl w:val="0"/>
        <w:autoSpaceDE w:val="0"/>
        <w:autoSpaceDN w:val="0"/>
        <w:adjustRightInd w:val="0"/>
        <w:spacing w:before="3" w:line="160" w:lineRule="exact"/>
        <w:rPr>
          <w:color w:val="000000"/>
          <w:sz w:val="16"/>
          <w:szCs w:val="16"/>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5" w:lineRule="auto"/>
        <w:ind w:left="120" w:right="40" w:firstLine="711"/>
        <w:jc w:val="both"/>
        <w:rPr>
          <w:color w:val="000000"/>
        </w:rPr>
      </w:pPr>
      <w:r>
        <w:rPr>
          <w:color w:val="000000"/>
          <w:spacing w:val="2"/>
        </w:rPr>
        <w:t>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rPr>
        <w:t xml:space="preserve">s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7"/>
        </w:rPr>
        <w:t xml:space="preserve"> </w:t>
      </w:r>
      <w:r>
        <w:rPr>
          <w:color w:val="000000"/>
          <w:spacing w:val="-9"/>
        </w:rPr>
        <w:t>i</w:t>
      </w:r>
      <w:r>
        <w:rPr>
          <w:color w:val="000000"/>
        </w:rPr>
        <w:t>r</w:t>
      </w:r>
      <w:r>
        <w:rPr>
          <w:color w:val="000000"/>
          <w:spacing w:val="4"/>
        </w:rPr>
        <w:t xml:space="preserve"> </w:t>
      </w:r>
      <w:r>
        <w:rPr>
          <w:color w:val="000000"/>
        </w:rPr>
        <w:t>n</w:t>
      </w:r>
      <w:r>
        <w:rPr>
          <w:color w:val="000000"/>
          <w:spacing w:val="-1"/>
        </w:rPr>
        <w:t>a</w:t>
      </w:r>
      <w:r>
        <w:rPr>
          <w:color w:val="000000"/>
          <w:spacing w:val="1"/>
        </w:rPr>
        <w:t>r</w:t>
      </w:r>
      <w:r>
        <w:rPr>
          <w:color w:val="000000"/>
        </w:rPr>
        <w:t>k</w:t>
      </w:r>
      <w:r>
        <w:rPr>
          <w:color w:val="000000"/>
          <w:spacing w:val="5"/>
        </w:rPr>
        <w:t>o</w:t>
      </w:r>
      <w:r>
        <w:rPr>
          <w:color w:val="000000"/>
          <w:spacing w:val="-9"/>
        </w:rPr>
        <w:t>m</w:t>
      </w:r>
      <w:r>
        <w:rPr>
          <w:color w:val="000000"/>
          <w:spacing w:val="4"/>
        </w:rPr>
        <w:t>a</w:t>
      </w:r>
      <w:r>
        <w:rPr>
          <w:color w:val="000000"/>
        </w:rPr>
        <w:t>ni</w:t>
      </w:r>
      <w:r>
        <w:rPr>
          <w:color w:val="000000"/>
          <w:spacing w:val="-9"/>
        </w:rPr>
        <w:t>j</w:t>
      </w:r>
      <w:r>
        <w:rPr>
          <w:color w:val="000000"/>
          <w:spacing w:val="9"/>
        </w:rPr>
        <w:t>o</w:t>
      </w:r>
      <w:r>
        <w:rPr>
          <w:color w:val="000000"/>
        </w:rPr>
        <w:t xml:space="preserve">s </w:t>
      </w:r>
      <w:r>
        <w:rPr>
          <w:color w:val="000000"/>
          <w:spacing w:val="-2"/>
        </w:rPr>
        <w:t>s</w:t>
      </w:r>
      <w:r>
        <w:rPr>
          <w:color w:val="000000"/>
          <w:spacing w:val="5"/>
        </w:rPr>
        <w:t>t</w:t>
      </w:r>
      <w:r>
        <w:rPr>
          <w:color w:val="000000"/>
          <w:spacing w:val="-1"/>
        </w:rPr>
        <w:t>e</w:t>
      </w:r>
      <w:r>
        <w:rPr>
          <w:color w:val="000000"/>
          <w:spacing w:val="-5"/>
        </w:rPr>
        <w:t>b</w:t>
      </w:r>
      <w:r>
        <w:rPr>
          <w:color w:val="000000"/>
          <w:spacing w:val="-1"/>
        </w:rPr>
        <w:t>ė</w:t>
      </w:r>
      <w:r>
        <w:rPr>
          <w:color w:val="000000"/>
          <w:spacing w:val="2"/>
        </w:rPr>
        <w:t>s</w:t>
      </w:r>
      <w:r>
        <w:rPr>
          <w:color w:val="000000"/>
          <w:spacing w:val="4"/>
        </w:rPr>
        <w:t>e</w:t>
      </w:r>
      <w:r>
        <w:rPr>
          <w:color w:val="000000"/>
          <w:spacing w:val="-5"/>
        </w:rPr>
        <w:t>n</w:t>
      </w:r>
      <w:r>
        <w:rPr>
          <w:color w:val="000000"/>
          <w:spacing w:val="5"/>
        </w:rPr>
        <w:t>o</w:t>
      </w:r>
      <w:r>
        <w:rPr>
          <w:color w:val="000000"/>
        </w:rPr>
        <w:t xml:space="preserve">s </w:t>
      </w:r>
      <w:r>
        <w:rPr>
          <w:color w:val="000000"/>
          <w:spacing w:val="-1"/>
        </w:rPr>
        <w:t>ce</w:t>
      </w:r>
      <w:r>
        <w:rPr>
          <w:color w:val="000000"/>
          <w:spacing w:val="-5"/>
        </w:rPr>
        <w:t>n</w:t>
      </w:r>
      <w:r>
        <w:rPr>
          <w:color w:val="000000"/>
          <w:spacing w:val="5"/>
        </w:rPr>
        <w:t>t</w:t>
      </w:r>
      <w:r>
        <w:rPr>
          <w:color w:val="000000"/>
          <w:spacing w:val="1"/>
        </w:rPr>
        <w:t>r</w:t>
      </w:r>
      <w:r>
        <w:rPr>
          <w:color w:val="000000"/>
        </w:rPr>
        <w:t>o</w:t>
      </w:r>
      <w:r>
        <w:rPr>
          <w:color w:val="000000"/>
          <w:spacing w:val="2"/>
        </w:rPr>
        <w:t xml:space="preserve"> </w:t>
      </w:r>
      <w:r>
        <w:rPr>
          <w:color w:val="000000"/>
          <w:spacing w:val="-3"/>
        </w:rPr>
        <w:t>(</w:t>
      </w:r>
      <w:r>
        <w:rPr>
          <w:color w:val="000000"/>
        </w:rPr>
        <w:t>t</w:t>
      </w:r>
      <w:r>
        <w:rPr>
          <w:color w:val="000000"/>
          <w:spacing w:val="5"/>
        </w:rPr>
        <w:t>o</w:t>
      </w:r>
      <w:r>
        <w:rPr>
          <w:color w:val="000000"/>
          <w:spacing w:val="-4"/>
        </w:rPr>
        <w:t>li</w:t>
      </w:r>
      <w:r>
        <w:rPr>
          <w:color w:val="000000"/>
          <w:spacing w:val="-1"/>
        </w:rPr>
        <w:t>a</w:t>
      </w:r>
      <w:r>
        <w:rPr>
          <w:color w:val="000000"/>
        </w:rPr>
        <w:t>u</w:t>
      </w:r>
      <w:r>
        <w:rPr>
          <w:color w:val="000000"/>
          <w:spacing w:val="10"/>
        </w:rPr>
        <w:t xml:space="preserve"> </w:t>
      </w:r>
      <w:r>
        <w:rPr>
          <w:color w:val="000000"/>
        </w:rPr>
        <w:t>–</w:t>
      </w:r>
      <w:r>
        <w:rPr>
          <w:color w:val="000000"/>
          <w:spacing w:val="2"/>
        </w:rPr>
        <w:t xml:space="preserve"> E</w:t>
      </w:r>
      <w:r>
        <w:rPr>
          <w:color w:val="000000"/>
          <w:spacing w:val="-2"/>
        </w:rPr>
        <w:t>MC</w:t>
      </w:r>
      <w:r>
        <w:rPr>
          <w:color w:val="000000"/>
        </w:rPr>
        <w:t>D</w:t>
      </w:r>
      <w:r>
        <w:rPr>
          <w:color w:val="000000"/>
          <w:spacing w:val="4"/>
        </w:rPr>
        <w:t>D</w:t>
      </w:r>
      <w:r>
        <w:rPr>
          <w:color w:val="000000"/>
          <w:spacing w:val="-5"/>
        </w:rPr>
        <w:t>A</w:t>
      </w:r>
      <w:r>
        <w:rPr>
          <w:color w:val="000000"/>
        </w:rPr>
        <w:t>)</w:t>
      </w:r>
      <w:r>
        <w:rPr>
          <w:color w:val="000000"/>
          <w:spacing w:val="4"/>
        </w:rPr>
        <w:t xml:space="preserve"> </w:t>
      </w:r>
      <w:r>
        <w:rPr>
          <w:color w:val="000000"/>
        </w:rPr>
        <w:t>du</w:t>
      </w:r>
      <w:r>
        <w:rPr>
          <w:color w:val="000000"/>
          <w:spacing w:val="5"/>
        </w:rPr>
        <w:t>o</w:t>
      </w:r>
      <w:r>
        <w:rPr>
          <w:color w:val="000000"/>
          <w:spacing w:val="-9"/>
        </w:rPr>
        <w:t>m</w:t>
      </w:r>
      <w:r>
        <w:rPr>
          <w:color w:val="000000"/>
          <w:spacing w:val="4"/>
        </w:rPr>
        <w:t>e</w:t>
      </w:r>
      <w:r>
        <w:rPr>
          <w:color w:val="000000"/>
          <w:spacing w:val="2"/>
        </w:rPr>
        <w:t>n</w:t>
      </w:r>
      <w:r>
        <w:rPr>
          <w:color w:val="000000"/>
        </w:rPr>
        <w:t>i</w:t>
      </w:r>
      <w:r>
        <w:rPr>
          <w:color w:val="000000"/>
          <w:spacing w:val="-4"/>
        </w:rPr>
        <w:t>mi</w:t>
      </w:r>
      <w:r>
        <w:rPr>
          <w:color w:val="000000"/>
          <w:spacing w:val="-2"/>
        </w:rPr>
        <w:t>s</w:t>
      </w:r>
      <w:r>
        <w:rPr>
          <w:color w:val="000000"/>
        </w:rPr>
        <w:t>,</w:t>
      </w:r>
      <w:r>
        <w:rPr>
          <w:color w:val="000000"/>
          <w:spacing w:val="9"/>
        </w:rPr>
        <w:t xml:space="preserve"> </w:t>
      </w:r>
      <w:r>
        <w:rPr>
          <w:color w:val="000000"/>
          <w:spacing w:val="-5"/>
        </w:rPr>
        <w:t>n</w:t>
      </w:r>
      <w:r>
        <w:rPr>
          <w:color w:val="000000"/>
          <w:spacing w:val="5"/>
        </w:rPr>
        <w:t>o</w:t>
      </w:r>
      <w:r>
        <w:rPr>
          <w:color w:val="000000"/>
          <w:spacing w:val="1"/>
        </w:rPr>
        <w:t>r</w:t>
      </w:r>
      <w:r>
        <w:rPr>
          <w:color w:val="000000"/>
        </w:rPr>
        <w:t xml:space="preserve">s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spacing w:val="-1"/>
        </w:rPr>
        <w:t>a</w:t>
      </w:r>
      <w:r>
        <w:rPr>
          <w:color w:val="000000"/>
        </w:rPr>
        <w:t xml:space="preserve">s </w:t>
      </w:r>
      <w:r>
        <w:rPr>
          <w:color w:val="000000"/>
          <w:spacing w:val="7"/>
        </w:rPr>
        <w:t xml:space="preserve"> </w:t>
      </w:r>
      <w:r>
        <w:rPr>
          <w:color w:val="000000"/>
          <w:spacing w:val="5"/>
        </w:rPr>
        <w:t>t</w:t>
      </w:r>
      <w:r>
        <w:rPr>
          <w:color w:val="000000"/>
        </w:rPr>
        <w:t>u</w:t>
      </w:r>
      <w:r>
        <w:rPr>
          <w:color w:val="000000"/>
          <w:spacing w:val="1"/>
        </w:rPr>
        <w:t>r</w:t>
      </w:r>
      <w:r>
        <w:rPr>
          <w:color w:val="000000"/>
        </w:rPr>
        <w:t>i</w:t>
      </w:r>
      <w:r>
        <w:rPr>
          <w:color w:val="000000"/>
          <w:spacing w:val="55"/>
        </w:rPr>
        <w:t xml:space="preserve"> </w:t>
      </w:r>
      <w:r>
        <w:rPr>
          <w:color w:val="000000"/>
          <w:spacing w:val="5"/>
        </w:rPr>
        <w:t>d</w:t>
      </w:r>
      <w:r>
        <w:rPr>
          <w:color w:val="000000"/>
          <w:spacing w:val="-4"/>
        </w:rPr>
        <w:t>i</w:t>
      </w:r>
      <w:r>
        <w:rPr>
          <w:color w:val="000000"/>
        </w:rPr>
        <w:t>d</w:t>
      </w:r>
      <w:r>
        <w:rPr>
          <w:color w:val="000000"/>
          <w:spacing w:val="4"/>
        </w:rPr>
        <w:t>ž</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rPr>
        <w:t xml:space="preserve">ą </w:t>
      </w:r>
      <w:r>
        <w:rPr>
          <w:color w:val="000000"/>
          <w:spacing w:val="8"/>
        </w:rPr>
        <w:t xml:space="preserve"> </w:t>
      </w:r>
      <w:r>
        <w:rPr>
          <w:color w:val="000000"/>
          <w:spacing w:val="-9"/>
        </w:rPr>
        <w:t>į</w:t>
      </w:r>
      <w:r>
        <w:rPr>
          <w:color w:val="000000"/>
          <w:spacing w:val="5"/>
        </w:rPr>
        <w:t>t</w:t>
      </w:r>
      <w:r>
        <w:rPr>
          <w:color w:val="000000"/>
          <w:spacing w:val="-1"/>
        </w:rPr>
        <w:t>a</w:t>
      </w:r>
      <w:r>
        <w:rPr>
          <w:color w:val="000000"/>
        </w:rPr>
        <w:t xml:space="preserve">ką </w:t>
      </w:r>
      <w:r>
        <w:rPr>
          <w:color w:val="000000"/>
          <w:spacing w:val="8"/>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spacing w:val="-9"/>
        </w:rPr>
        <w:t>j</w:t>
      </w:r>
      <w:r>
        <w:rPr>
          <w:color w:val="000000"/>
        </w:rPr>
        <w:t xml:space="preserve">e </w:t>
      </w:r>
      <w:r>
        <w:rPr>
          <w:color w:val="000000"/>
          <w:spacing w:val="8"/>
        </w:rPr>
        <w:t xml:space="preserve"> </w:t>
      </w:r>
      <w:r>
        <w:rPr>
          <w:color w:val="000000"/>
          <w:spacing w:val="-2"/>
        </w:rPr>
        <w:t>s</w:t>
      </w:r>
      <w:r>
        <w:rPr>
          <w:color w:val="000000"/>
        </w:rPr>
        <w:t>u</w:t>
      </w:r>
      <w:r>
        <w:rPr>
          <w:color w:val="000000"/>
          <w:spacing w:val="2"/>
        </w:rPr>
        <w:t>s</w:t>
      </w:r>
      <w:r>
        <w:rPr>
          <w:color w:val="000000"/>
          <w:spacing w:val="-4"/>
        </w:rPr>
        <w:t>i</w:t>
      </w:r>
      <w:r>
        <w:rPr>
          <w:color w:val="000000"/>
          <w:spacing w:val="5"/>
        </w:rPr>
        <w:t>k</w:t>
      </w:r>
      <w:r>
        <w:rPr>
          <w:color w:val="000000"/>
          <w:spacing w:val="-9"/>
        </w:rPr>
        <w:t>l</w:t>
      </w:r>
      <w:r>
        <w:rPr>
          <w:color w:val="000000"/>
          <w:spacing w:val="5"/>
        </w:rPr>
        <w:t>o</w:t>
      </w:r>
      <w:r>
        <w:rPr>
          <w:color w:val="000000"/>
          <w:spacing w:val="2"/>
        </w:rPr>
        <w:t>s</w:t>
      </w:r>
      <w:r>
        <w:rPr>
          <w:color w:val="000000"/>
          <w:spacing w:val="4"/>
        </w:rPr>
        <w:t>č</w:t>
      </w:r>
      <w:r>
        <w:rPr>
          <w:color w:val="000000"/>
          <w:spacing w:val="-9"/>
        </w:rPr>
        <w:t>i</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 xml:space="preserve">kų </w:t>
      </w:r>
      <w:r>
        <w:rPr>
          <w:color w:val="000000"/>
          <w:spacing w:val="14"/>
        </w:rPr>
        <w:t xml:space="preserve"> </w:t>
      </w:r>
      <w:r>
        <w:rPr>
          <w:color w:val="000000"/>
          <w:spacing w:val="-5"/>
        </w:rPr>
        <w:t>v</w:t>
      </w:r>
      <w:r>
        <w:rPr>
          <w:color w:val="000000"/>
          <w:spacing w:val="-1"/>
        </w:rPr>
        <w:t>a</w:t>
      </w:r>
      <w:r>
        <w:rPr>
          <w:color w:val="000000"/>
          <w:spacing w:val="1"/>
        </w:rPr>
        <w:t>r</w:t>
      </w:r>
      <w:r>
        <w:rPr>
          <w:color w:val="000000"/>
        </w:rPr>
        <w:t>t</w:t>
      </w:r>
      <w:r>
        <w:rPr>
          <w:color w:val="000000"/>
          <w:spacing w:val="5"/>
        </w:rPr>
        <w:t>o</w:t>
      </w:r>
      <w:r>
        <w:rPr>
          <w:color w:val="000000"/>
          <w:spacing w:val="-4"/>
        </w:rPr>
        <w:t>j</w:t>
      </w:r>
      <w:r>
        <w:rPr>
          <w:color w:val="000000"/>
        </w:rPr>
        <w:t>i</w:t>
      </w:r>
      <w:r>
        <w:rPr>
          <w:color w:val="000000"/>
          <w:spacing w:val="-9"/>
        </w:rPr>
        <w:t>m</w:t>
      </w:r>
      <w:r>
        <w:rPr>
          <w:color w:val="000000"/>
        </w:rPr>
        <w:t xml:space="preserve">o </w:t>
      </w:r>
      <w:r>
        <w:rPr>
          <w:color w:val="000000"/>
          <w:spacing w:val="9"/>
        </w:rPr>
        <w:t xml:space="preserve"> </w:t>
      </w:r>
      <w:r>
        <w:rPr>
          <w:color w:val="000000"/>
        </w:rPr>
        <w:t>p</w:t>
      </w:r>
      <w:r>
        <w:rPr>
          <w:color w:val="000000"/>
          <w:spacing w:val="-1"/>
        </w:rPr>
        <w:t>a</w:t>
      </w:r>
      <w:r>
        <w:rPr>
          <w:color w:val="000000"/>
          <w:spacing w:val="5"/>
        </w:rPr>
        <w:t>d</w:t>
      </w:r>
      <w:r>
        <w:rPr>
          <w:color w:val="000000"/>
          <w:spacing w:val="-1"/>
        </w:rPr>
        <w:t>ė</w:t>
      </w:r>
      <w:r>
        <w:rPr>
          <w:color w:val="000000"/>
          <w:spacing w:val="4"/>
        </w:rPr>
        <w:t>č</w:t>
      </w:r>
      <w:r>
        <w:rPr>
          <w:color w:val="000000"/>
          <w:spacing w:val="-4"/>
        </w:rPr>
        <w:t>i</w:t>
      </w:r>
      <w:r>
        <w:rPr>
          <w:color w:val="000000"/>
          <w:spacing w:val="4"/>
        </w:rPr>
        <w:t>a</w:t>
      </w:r>
      <w:r>
        <w:rPr>
          <w:color w:val="000000"/>
        </w:rPr>
        <w:t xml:space="preserve">i </w:t>
      </w:r>
      <w:r>
        <w:rPr>
          <w:color w:val="000000"/>
          <w:spacing w:val="5"/>
        </w:rPr>
        <w:t xml:space="preserve"> </w:t>
      </w:r>
      <w:r>
        <w:rPr>
          <w:color w:val="000000"/>
          <w:spacing w:val="-4"/>
        </w:rPr>
        <w:t>i</w:t>
      </w:r>
      <w:r>
        <w:rPr>
          <w:color w:val="000000"/>
        </w:rPr>
        <w:t xml:space="preserve">r </w:t>
      </w:r>
      <w:r>
        <w:rPr>
          <w:color w:val="000000"/>
          <w:spacing w:val="11"/>
        </w:rPr>
        <w:t xml:space="preserve"> </w:t>
      </w:r>
      <w:r>
        <w:rPr>
          <w:color w:val="000000"/>
        </w:rPr>
        <w:t>v</w:t>
      </w:r>
      <w:r>
        <w:rPr>
          <w:color w:val="000000"/>
          <w:spacing w:val="-4"/>
        </w:rPr>
        <w:t>i</w:t>
      </w:r>
      <w:r>
        <w:rPr>
          <w:color w:val="000000"/>
        </w:rPr>
        <w:t xml:space="preserve">s </w:t>
      </w:r>
      <w:r>
        <w:rPr>
          <w:color w:val="000000"/>
          <w:spacing w:val="2"/>
        </w:rPr>
        <w:t xml:space="preserve"> </w:t>
      </w:r>
      <w:r>
        <w:rPr>
          <w:color w:val="000000"/>
          <w:spacing w:val="5"/>
        </w:rPr>
        <w:t>d</w:t>
      </w:r>
      <w:r>
        <w:rPr>
          <w:color w:val="000000"/>
          <w:spacing w:val="-1"/>
        </w:rPr>
        <w:t>a</w:t>
      </w:r>
      <w:r>
        <w:rPr>
          <w:color w:val="000000"/>
        </w:rPr>
        <w:t xml:space="preserve">r </w:t>
      </w:r>
      <w:r>
        <w:rPr>
          <w:color w:val="000000"/>
          <w:spacing w:val="-2"/>
        </w:rPr>
        <w:t>s</w:t>
      </w:r>
      <w:r>
        <w:rPr>
          <w:color w:val="000000"/>
        </w:rPr>
        <w:t>uk</w:t>
      </w:r>
      <w:r>
        <w:rPr>
          <w:color w:val="000000"/>
          <w:spacing w:val="4"/>
        </w:rPr>
        <w:t>e</w:t>
      </w:r>
      <w:r>
        <w:rPr>
          <w:color w:val="000000"/>
          <w:spacing w:val="-4"/>
        </w:rPr>
        <w:t>li</w:t>
      </w:r>
      <w:r>
        <w:rPr>
          <w:color w:val="000000"/>
        </w:rPr>
        <w:t>a</w:t>
      </w:r>
      <w:r>
        <w:rPr>
          <w:color w:val="000000"/>
          <w:spacing w:val="5"/>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w:t>
      </w:r>
      <w:r>
        <w:rPr>
          <w:color w:val="000000"/>
          <w:spacing w:val="-2"/>
        </w:rPr>
        <w:t>s</w:t>
      </w:r>
      <w:r>
        <w:rPr>
          <w:color w:val="000000"/>
        </w:rPr>
        <w:t>u</w:t>
      </w:r>
      <w:r>
        <w:rPr>
          <w:color w:val="000000"/>
          <w:spacing w:val="7"/>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7"/>
        </w:rPr>
        <w:t xml:space="preserve"> </w:t>
      </w:r>
      <w:r>
        <w:rPr>
          <w:color w:val="000000"/>
          <w:spacing w:val="-5"/>
        </w:rPr>
        <w:t>v</w:t>
      </w:r>
      <w:r>
        <w:rPr>
          <w:color w:val="000000"/>
          <w:spacing w:val="-1"/>
        </w:rPr>
        <w:t>a</w:t>
      </w:r>
      <w:r>
        <w:rPr>
          <w:color w:val="000000"/>
          <w:spacing w:val="1"/>
        </w:rPr>
        <w:t>r</w:t>
      </w:r>
      <w:r>
        <w:rPr>
          <w:color w:val="000000"/>
          <w:spacing w:val="5"/>
        </w:rPr>
        <w:t>to</w:t>
      </w:r>
      <w:r>
        <w:rPr>
          <w:color w:val="000000"/>
          <w:spacing w:val="-4"/>
        </w:rPr>
        <w:t>j</w:t>
      </w:r>
      <w:r>
        <w:rPr>
          <w:color w:val="000000"/>
        </w:rPr>
        <w:t>i</w:t>
      </w:r>
      <w:r>
        <w:rPr>
          <w:color w:val="000000"/>
          <w:spacing w:val="-4"/>
        </w:rPr>
        <w:t>m</w:t>
      </w:r>
      <w:r>
        <w:rPr>
          <w:color w:val="000000"/>
        </w:rPr>
        <w:t>u</w:t>
      </w:r>
      <w:r>
        <w:rPr>
          <w:color w:val="000000"/>
          <w:spacing w:val="7"/>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spacing w:val="5"/>
        </w:rPr>
        <w:t>u</w:t>
      </w:r>
      <w:r>
        <w:rPr>
          <w:color w:val="000000"/>
          <w:spacing w:val="2"/>
        </w:rPr>
        <w:t>s</w:t>
      </w:r>
      <w:r>
        <w:rPr>
          <w:color w:val="000000"/>
          <w:spacing w:val="-9"/>
        </w:rPr>
        <w:t>i</w:t>
      </w:r>
      <w:r>
        <w:rPr>
          <w:color w:val="000000"/>
        </w:rPr>
        <w:t>ų</w:t>
      </w:r>
      <w:r>
        <w:rPr>
          <w:color w:val="000000"/>
          <w:spacing w:val="11"/>
        </w:rPr>
        <w:t xml:space="preserve"> </w:t>
      </w:r>
      <w:r>
        <w:rPr>
          <w:color w:val="000000"/>
        </w:rPr>
        <w:t>l</w:t>
      </w:r>
      <w:r>
        <w:rPr>
          <w:color w:val="000000"/>
          <w:spacing w:val="-4"/>
        </w:rPr>
        <w:t>i</w:t>
      </w:r>
      <w:r>
        <w:rPr>
          <w:color w:val="000000"/>
        </w:rPr>
        <w:t>gų</w:t>
      </w:r>
      <w:r>
        <w:rPr>
          <w:color w:val="000000"/>
          <w:spacing w:val="7"/>
        </w:rPr>
        <w:t xml:space="preserve"> </w:t>
      </w:r>
      <w:r>
        <w:rPr>
          <w:color w:val="000000"/>
          <w:spacing w:val="-4"/>
        </w:rPr>
        <w:t>i</w:t>
      </w:r>
      <w:r>
        <w:rPr>
          <w:color w:val="000000"/>
        </w:rPr>
        <w:t>r</w:t>
      </w:r>
      <w:r>
        <w:rPr>
          <w:color w:val="000000"/>
          <w:spacing w:val="8"/>
        </w:rPr>
        <w:t xml:space="preserve"> </w:t>
      </w:r>
      <w:r>
        <w:rPr>
          <w:color w:val="000000"/>
        </w:rPr>
        <w:t>m</w:t>
      </w:r>
      <w:r>
        <w:rPr>
          <w:color w:val="000000"/>
          <w:spacing w:val="-9"/>
        </w:rPr>
        <w:t>i</w:t>
      </w:r>
      <w:r>
        <w:rPr>
          <w:color w:val="000000"/>
          <w:spacing w:val="1"/>
        </w:rPr>
        <w:t>r</w:t>
      </w:r>
      <w:r>
        <w:rPr>
          <w:color w:val="000000"/>
          <w:spacing w:val="10"/>
        </w:rPr>
        <w:t>t</w:t>
      </w:r>
      <w:r>
        <w:rPr>
          <w:color w:val="000000"/>
          <w:spacing w:val="-9"/>
        </w:rPr>
        <w:t>i</w:t>
      </w:r>
      <w:r>
        <w:rPr>
          <w:color w:val="000000"/>
          <w:spacing w:val="4"/>
        </w:rPr>
        <w:t>e</w:t>
      </w:r>
      <w:r>
        <w:rPr>
          <w:color w:val="000000"/>
        </w:rPr>
        <w:t>s</w:t>
      </w:r>
      <w:r>
        <w:rPr>
          <w:color w:val="000000"/>
          <w:spacing w:val="4"/>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2"/>
        </w:rPr>
        <w:t xml:space="preserve"> 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 xml:space="preserve">s </w:t>
      </w:r>
      <w:r>
        <w:rPr>
          <w:color w:val="000000"/>
          <w:spacing w:val="1"/>
        </w:rPr>
        <w:t>S</w:t>
      </w:r>
      <w:r>
        <w:rPr>
          <w:color w:val="000000"/>
          <w:spacing w:val="4"/>
        </w:rPr>
        <w:t>ą</w:t>
      </w:r>
      <w:r>
        <w:rPr>
          <w:color w:val="000000"/>
          <w:spacing w:val="-9"/>
        </w:rPr>
        <w:t>j</w:t>
      </w:r>
      <w:r>
        <w:rPr>
          <w:color w:val="000000"/>
          <w:spacing w:val="5"/>
        </w:rPr>
        <w:t>u</w:t>
      </w:r>
      <w:r>
        <w:rPr>
          <w:color w:val="000000"/>
          <w:spacing w:val="-5"/>
        </w:rPr>
        <w:t>n</w:t>
      </w:r>
      <w:r>
        <w:rPr>
          <w:color w:val="000000"/>
        </w:rPr>
        <w:t>g</w:t>
      </w:r>
      <w:r>
        <w:rPr>
          <w:color w:val="000000"/>
          <w:spacing w:val="9"/>
        </w:rPr>
        <w:t>o</w:t>
      </w:r>
      <w:r>
        <w:rPr>
          <w:color w:val="000000"/>
          <w:spacing w:val="-9"/>
        </w:rPr>
        <w:t>j</w:t>
      </w:r>
      <w:r>
        <w:rPr>
          <w:color w:val="000000"/>
          <w:spacing w:val="-1"/>
        </w:rPr>
        <w:t>e</w:t>
      </w:r>
      <w:r>
        <w:rPr>
          <w:color w:val="000000"/>
        </w:rPr>
        <w:t>,</w:t>
      </w:r>
      <w:r>
        <w:rPr>
          <w:color w:val="000000"/>
          <w:spacing w:val="9"/>
        </w:rPr>
        <w:t xml:space="preserve"> </w:t>
      </w:r>
      <w:r>
        <w:rPr>
          <w:color w:val="000000"/>
          <w:spacing w:val="-9"/>
        </w:rPr>
        <w:t>j</w:t>
      </w:r>
      <w:r>
        <w:rPr>
          <w:color w:val="000000"/>
        </w:rPr>
        <w:t xml:space="preserve">o </w:t>
      </w:r>
      <w:r>
        <w:rPr>
          <w:color w:val="000000"/>
          <w:spacing w:val="-5"/>
        </w:rPr>
        <w:t>v</w:t>
      </w:r>
      <w:r>
        <w:rPr>
          <w:color w:val="000000"/>
          <w:spacing w:val="-1"/>
        </w:rPr>
        <w:t>a</w:t>
      </w:r>
      <w:r>
        <w:rPr>
          <w:color w:val="000000"/>
          <w:spacing w:val="1"/>
        </w:rPr>
        <w:t>r</w:t>
      </w:r>
      <w:r>
        <w:rPr>
          <w:color w:val="000000"/>
          <w:spacing w:val="5"/>
        </w:rPr>
        <w:t>to</w:t>
      </w:r>
      <w:r>
        <w:rPr>
          <w:color w:val="000000"/>
          <w:spacing w:val="-4"/>
        </w:rPr>
        <w:t>jim</w:t>
      </w:r>
      <w:r>
        <w:rPr>
          <w:color w:val="000000"/>
          <w:spacing w:val="4"/>
        </w:rPr>
        <w:t>a</w:t>
      </w:r>
      <w:r>
        <w:rPr>
          <w:color w:val="000000"/>
        </w:rPr>
        <w:t>s</w:t>
      </w:r>
      <w:r>
        <w:rPr>
          <w:color w:val="000000"/>
          <w:spacing w:val="24"/>
        </w:rPr>
        <w:t xml:space="preserve"> </w:t>
      </w:r>
      <w:r>
        <w:rPr>
          <w:color w:val="000000"/>
        </w:rPr>
        <w:t>p</w:t>
      </w:r>
      <w:r>
        <w:rPr>
          <w:color w:val="000000"/>
          <w:spacing w:val="4"/>
        </w:rPr>
        <w:t>a</w:t>
      </w:r>
      <w:r>
        <w:rPr>
          <w:color w:val="000000"/>
          <w:spacing w:val="-2"/>
        </w:rPr>
        <w:t>s</w:t>
      </w:r>
      <w:r>
        <w:rPr>
          <w:color w:val="000000"/>
          <w:spacing w:val="5"/>
        </w:rPr>
        <w:t>t</w:t>
      </w:r>
      <w:r>
        <w:rPr>
          <w:color w:val="000000"/>
          <w:spacing w:val="-1"/>
        </w:rPr>
        <w:t>a</w:t>
      </w:r>
      <w:r>
        <w:rPr>
          <w:color w:val="000000"/>
          <w:spacing w:val="1"/>
        </w:rPr>
        <w:t>r</w:t>
      </w:r>
      <w:r>
        <w:rPr>
          <w:color w:val="000000"/>
          <w:spacing w:val="-5"/>
        </w:rPr>
        <w:t>u</w:t>
      </w:r>
      <w:r>
        <w:rPr>
          <w:color w:val="000000"/>
          <w:spacing w:val="5"/>
        </w:rPr>
        <w:t>o</w:t>
      </w:r>
      <w:r>
        <w:rPr>
          <w:color w:val="000000"/>
          <w:spacing w:val="-9"/>
        </w:rPr>
        <w:t>j</w:t>
      </w:r>
      <w:r>
        <w:rPr>
          <w:color w:val="000000"/>
        </w:rPr>
        <w:t>u</w:t>
      </w:r>
      <w:r>
        <w:rPr>
          <w:color w:val="000000"/>
          <w:spacing w:val="31"/>
        </w:rPr>
        <w:t xml:space="preserve"> </w:t>
      </w:r>
      <w:r>
        <w:rPr>
          <w:color w:val="000000"/>
          <w:spacing w:val="-4"/>
        </w:rPr>
        <w:t>m</w:t>
      </w:r>
      <w:r>
        <w:rPr>
          <w:color w:val="000000"/>
          <w:spacing w:val="-1"/>
        </w:rPr>
        <w:t>e</w:t>
      </w:r>
      <w:r>
        <w:rPr>
          <w:color w:val="000000"/>
          <w:spacing w:val="5"/>
        </w:rPr>
        <w:t>t</w:t>
      </w:r>
      <w:r>
        <w:rPr>
          <w:color w:val="000000"/>
        </w:rPr>
        <w:t>u</w:t>
      </w:r>
      <w:r>
        <w:rPr>
          <w:color w:val="000000"/>
          <w:spacing w:val="26"/>
        </w:rPr>
        <w:t xml:space="preserve"> </w:t>
      </w:r>
      <w:r>
        <w:rPr>
          <w:color w:val="000000"/>
        </w:rPr>
        <w:t>k</w:t>
      </w:r>
      <w:r>
        <w:rPr>
          <w:color w:val="000000"/>
          <w:spacing w:val="4"/>
        </w:rPr>
        <w:t>e</w:t>
      </w:r>
      <w:r>
        <w:rPr>
          <w:color w:val="000000"/>
          <w:spacing w:val="-4"/>
        </w:rPr>
        <w:t>li</w:t>
      </w:r>
      <w:r>
        <w:rPr>
          <w:color w:val="000000"/>
        </w:rPr>
        <w:t>a</w:t>
      </w:r>
      <w:r>
        <w:rPr>
          <w:color w:val="000000"/>
          <w:spacing w:val="30"/>
        </w:rPr>
        <w:t xml:space="preserve"> </w:t>
      </w:r>
      <w:r>
        <w:rPr>
          <w:color w:val="000000"/>
          <w:spacing w:val="-4"/>
        </w:rPr>
        <w:t>m</w:t>
      </w:r>
      <w:r>
        <w:rPr>
          <w:color w:val="000000"/>
          <w:spacing w:val="-1"/>
        </w:rPr>
        <w:t>a</w:t>
      </w:r>
      <w:r>
        <w:rPr>
          <w:color w:val="000000"/>
          <w:spacing w:val="4"/>
        </w:rPr>
        <w:t>ž</w:t>
      </w:r>
      <w:r>
        <w:rPr>
          <w:color w:val="000000"/>
          <w:spacing w:val="-4"/>
        </w:rPr>
        <w:t>i</w:t>
      </w:r>
      <w:r>
        <w:rPr>
          <w:color w:val="000000"/>
          <w:spacing w:val="-1"/>
        </w:rPr>
        <w:t>a</w:t>
      </w:r>
      <w:r>
        <w:rPr>
          <w:color w:val="000000"/>
        </w:rPr>
        <w:t>u</w:t>
      </w:r>
      <w:r>
        <w:rPr>
          <w:color w:val="000000"/>
          <w:spacing w:val="26"/>
        </w:rPr>
        <w:t xml:space="preserve"> </w:t>
      </w:r>
      <w:r>
        <w:rPr>
          <w:color w:val="000000"/>
        </w:rPr>
        <w:t>p</w:t>
      </w:r>
      <w:r>
        <w:rPr>
          <w:color w:val="000000"/>
          <w:spacing w:val="1"/>
        </w:rPr>
        <w:t>r</w:t>
      </w:r>
      <w:r>
        <w:rPr>
          <w:color w:val="000000"/>
          <w:spacing w:val="5"/>
        </w:rPr>
        <w:t>o</w:t>
      </w:r>
      <w:r>
        <w:rPr>
          <w:color w:val="000000"/>
        </w:rPr>
        <w:t>b</w:t>
      </w:r>
      <w:r>
        <w:rPr>
          <w:color w:val="000000"/>
          <w:spacing w:val="-4"/>
        </w:rPr>
        <w:t>l</w:t>
      </w:r>
      <w:r>
        <w:rPr>
          <w:color w:val="000000"/>
          <w:spacing w:val="4"/>
        </w:rPr>
        <w:t>e</w:t>
      </w:r>
      <w:r>
        <w:rPr>
          <w:color w:val="000000"/>
        </w:rPr>
        <w:t>mų.</w:t>
      </w:r>
      <w:r>
        <w:rPr>
          <w:color w:val="000000"/>
          <w:spacing w:val="29"/>
        </w:rPr>
        <w:t xml:space="preserve"> </w:t>
      </w:r>
      <w:r>
        <w:rPr>
          <w:color w:val="000000"/>
          <w:spacing w:val="7"/>
        </w:rPr>
        <w:t>H</w:t>
      </w:r>
      <w:r>
        <w:rPr>
          <w:color w:val="000000"/>
          <w:spacing w:val="-1"/>
        </w:rPr>
        <w:t>e</w:t>
      </w:r>
      <w:r>
        <w:rPr>
          <w:color w:val="000000"/>
          <w:spacing w:val="-3"/>
        </w:rPr>
        <w:t>r</w:t>
      </w:r>
      <w:r>
        <w:rPr>
          <w:color w:val="000000"/>
          <w:spacing w:val="5"/>
        </w:rPr>
        <w:t>o</w:t>
      </w:r>
      <w:r>
        <w:rPr>
          <w:color w:val="000000"/>
          <w:spacing w:val="-4"/>
        </w:rPr>
        <w:t>i</w:t>
      </w:r>
      <w:r>
        <w:rPr>
          <w:color w:val="000000"/>
          <w:spacing w:val="-5"/>
        </w:rPr>
        <w:t>n</w:t>
      </w:r>
      <w:r>
        <w:rPr>
          <w:color w:val="000000"/>
          <w:spacing w:val="4"/>
        </w:rPr>
        <w:t>a</w:t>
      </w:r>
      <w:r>
        <w:rPr>
          <w:color w:val="000000"/>
        </w:rPr>
        <w:t>s</w:t>
      </w:r>
      <w:r>
        <w:rPr>
          <w:color w:val="000000"/>
          <w:spacing w:val="24"/>
        </w:rPr>
        <w:t xml:space="preserve"> </w:t>
      </w:r>
      <w:r>
        <w:rPr>
          <w:color w:val="000000"/>
        </w:rPr>
        <w:t>d</w:t>
      </w:r>
      <w:r>
        <w:rPr>
          <w:color w:val="000000"/>
          <w:spacing w:val="4"/>
        </w:rPr>
        <w:t>ė</w:t>
      </w:r>
      <w:r>
        <w:rPr>
          <w:color w:val="000000"/>
        </w:rPr>
        <w:t>l</w:t>
      </w:r>
      <w:r>
        <w:rPr>
          <w:color w:val="000000"/>
          <w:spacing w:val="22"/>
        </w:rPr>
        <w:t xml:space="preserve"> </w:t>
      </w:r>
      <w:r>
        <w:rPr>
          <w:color w:val="000000"/>
          <w:spacing w:val="-2"/>
        </w:rPr>
        <w:t>s</w:t>
      </w:r>
      <w:r>
        <w:rPr>
          <w:color w:val="000000"/>
          <w:spacing w:val="-1"/>
        </w:rPr>
        <w:t>ė</w:t>
      </w:r>
      <w:r>
        <w:rPr>
          <w:color w:val="000000"/>
          <w:spacing w:val="5"/>
        </w:rPr>
        <w:t>k</w:t>
      </w:r>
      <w:r>
        <w:rPr>
          <w:color w:val="000000"/>
        </w:rPr>
        <w:t>m</w:t>
      </w:r>
      <w:r>
        <w:rPr>
          <w:color w:val="000000"/>
          <w:spacing w:val="-4"/>
        </w:rPr>
        <w:t>i</w:t>
      </w:r>
      <w:r>
        <w:rPr>
          <w:color w:val="000000"/>
        </w:rPr>
        <w:t>ngo</w:t>
      </w:r>
      <w:r>
        <w:rPr>
          <w:color w:val="000000"/>
          <w:spacing w:val="31"/>
        </w:rPr>
        <w:t xml:space="preserve"> </w:t>
      </w:r>
      <w:r>
        <w:rPr>
          <w:color w:val="000000"/>
          <w:spacing w:val="5"/>
        </w:rPr>
        <w:t>t</w:t>
      </w:r>
      <w:r>
        <w:rPr>
          <w:color w:val="000000"/>
          <w:spacing w:val="-1"/>
        </w:rPr>
        <w:t>e</w:t>
      </w:r>
      <w:r>
        <w:rPr>
          <w:color w:val="000000"/>
          <w:spacing w:val="-4"/>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5"/>
        </w:rPr>
        <w:t>o</w:t>
      </w:r>
      <w:r>
        <w:rPr>
          <w:color w:val="000000"/>
        </w:rPr>
        <w:t>s</w:t>
      </w:r>
      <w:r>
        <w:rPr>
          <w:color w:val="000000"/>
          <w:spacing w:val="29"/>
        </w:rPr>
        <w:t xml:space="preserve"> </w:t>
      </w:r>
      <w:r>
        <w:rPr>
          <w:color w:val="000000"/>
          <w:spacing w:val="-4"/>
        </w:rPr>
        <w:t>i</w:t>
      </w:r>
      <w:r>
        <w:rPr>
          <w:color w:val="000000"/>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ij</w:t>
      </w:r>
      <w:r>
        <w:rPr>
          <w:color w:val="000000"/>
        </w:rPr>
        <w:t>ų d</w:t>
      </w:r>
      <w:r>
        <w:rPr>
          <w:color w:val="000000"/>
          <w:spacing w:val="-1"/>
        </w:rPr>
        <w:t>a</w:t>
      </w:r>
      <w:r>
        <w:rPr>
          <w:color w:val="000000"/>
          <w:spacing w:val="1"/>
        </w:rPr>
        <w:t>r</w:t>
      </w:r>
      <w:r>
        <w:rPr>
          <w:color w:val="000000"/>
          <w:spacing w:val="-5"/>
        </w:rPr>
        <w:t>b</w:t>
      </w:r>
      <w:r>
        <w:rPr>
          <w:color w:val="000000"/>
          <w:spacing w:val="5"/>
        </w:rPr>
        <w:t>o</w:t>
      </w:r>
      <w:r>
        <w:rPr>
          <w:color w:val="000000"/>
        </w:rPr>
        <w:t>,</w:t>
      </w:r>
      <w:r>
        <w:rPr>
          <w:color w:val="000000"/>
          <w:spacing w:val="7"/>
        </w:rPr>
        <w:t xml:space="preserve"> </w:t>
      </w:r>
      <w:r>
        <w:rPr>
          <w:color w:val="000000"/>
          <w:spacing w:val="-1"/>
        </w:rPr>
        <w:t>a</w:t>
      </w:r>
      <w:r>
        <w:rPr>
          <w:color w:val="000000"/>
          <w:spacing w:val="5"/>
        </w:rPr>
        <w:t>t</w:t>
      </w:r>
      <w:r>
        <w:rPr>
          <w:color w:val="000000"/>
          <w:spacing w:val="-9"/>
        </w:rPr>
        <w:t>i</w:t>
      </w:r>
      <w:r>
        <w:rPr>
          <w:color w:val="000000"/>
          <w:spacing w:val="5"/>
        </w:rPr>
        <w:t>t</w:t>
      </w:r>
      <w:r>
        <w:rPr>
          <w:color w:val="000000"/>
          <w:spacing w:val="-4"/>
        </w:rPr>
        <w:t>i</w:t>
      </w:r>
      <w:r>
        <w:rPr>
          <w:color w:val="000000"/>
          <w:spacing w:val="-5"/>
        </w:rPr>
        <w:t>n</w:t>
      </w:r>
      <w:r>
        <w:rPr>
          <w:color w:val="000000"/>
          <w:spacing w:val="5"/>
        </w:rPr>
        <w:t>k</w:t>
      </w:r>
      <w:r>
        <w:rPr>
          <w:color w:val="000000"/>
          <w:spacing w:val="4"/>
        </w:rPr>
        <w:t>a</w:t>
      </w:r>
      <w:r>
        <w:rPr>
          <w:color w:val="000000"/>
          <w:spacing w:val="-4"/>
        </w:rPr>
        <w:t>m</w:t>
      </w:r>
      <w:r>
        <w:rPr>
          <w:color w:val="000000"/>
        </w:rPr>
        <w:t>ų</w:t>
      </w:r>
      <w:r>
        <w:rPr>
          <w:color w:val="000000"/>
          <w:spacing w:val="5"/>
        </w:rPr>
        <w:t xml:space="preserve"> </w:t>
      </w:r>
      <w:r>
        <w:rPr>
          <w:color w:val="000000"/>
        </w:rPr>
        <w:t>p</w:t>
      </w:r>
      <w:r>
        <w:rPr>
          <w:color w:val="000000"/>
          <w:spacing w:val="9"/>
        </w:rPr>
        <w:t>o</w:t>
      </w:r>
      <w:r>
        <w:rPr>
          <w:color w:val="000000"/>
          <w:spacing w:val="-4"/>
        </w:rPr>
        <w:t>l</w:t>
      </w:r>
      <w:r>
        <w:rPr>
          <w:color w:val="000000"/>
          <w:spacing w:val="-9"/>
        </w:rPr>
        <w:t>i</w:t>
      </w:r>
      <w:r>
        <w:rPr>
          <w:color w:val="000000"/>
          <w:spacing w:val="10"/>
        </w:rPr>
        <w:t>t</w:t>
      </w:r>
      <w:r>
        <w:rPr>
          <w:color w:val="000000"/>
          <w:spacing w:val="-4"/>
        </w:rPr>
        <w:t>i</w:t>
      </w:r>
      <w:r>
        <w:rPr>
          <w:color w:val="000000"/>
        </w:rPr>
        <w:t>n</w:t>
      </w:r>
      <w:r>
        <w:rPr>
          <w:color w:val="000000"/>
          <w:spacing w:val="-4"/>
        </w:rPr>
        <w:t>i</w:t>
      </w:r>
      <w:r>
        <w:rPr>
          <w:color w:val="000000"/>
        </w:rPr>
        <w:t>ų</w:t>
      </w:r>
      <w:r>
        <w:rPr>
          <w:color w:val="000000"/>
          <w:spacing w:val="14"/>
        </w:rPr>
        <w:t xml:space="preserve"> </w:t>
      </w:r>
      <w:r>
        <w:rPr>
          <w:color w:val="000000"/>
          <w:spacing w:val="-5"/>
        </w:rPr>
        <w:t>b</w:t>
      </w:r>
      <w:r>
        <w:rPr>
          <w:color w:val="000000"/>
          <w:spacing w:val="4"/>
        </w:rPr>
        <w:t>e</w:t>
      </w:r>
      <w:r>
        <w:rPr>
          <w:color w:val="000000"/>
        </w:rPr>
        <w:t xml:space="preserve">i </w:t>
      </w:r>
      <w:r>
        <w:rPr>
          <w:color w:val="000000"/>
          <w:spacing w:val="5"/>
        </w:rPr>
        <w:t>t</w:t>
      </w:r>
      <w:r>
        <w:rPr>
          <w:color w:val="000000"/>
          <w:spacing w:val="4"/>
        </w:rPr>
        <w:t>e</w:t>
      </w:r>
      <w:r>
        <w:rPr>
          <w:color w:val="000000"/>
          <w:spacing w:val="-4"/>
        </w:rPr>
        <w:t>i</w:t>
      </w:r>
      <w:r>
        <w:rPr>
          <w:color w:val="000000"/>
          <w:spacing w:val="2"/>
        </w:rPr>
        <w:t>s</w:t>
      </w:r>
      <w:r>
        <w:rPr>
          <w:color w:val="000000"/>
          <w:spacing w:val="-4"/>
        </w:rPr>
        <w:t>i</w:t>
      </w:r>
      <w:r>
        <w:rPr>
          <w:color w:val="000000"/>
        </w:rPr>
        <w:t>n</w:t>
      </w:r>
      <w:r>
        <w:rPr>
          <w:color w:val="000000"/>
          <w:spacing w:val="-4"/>
        </w:rPr>
        <w:t>i</w:t>
      </w:r>
      <w:r>
        <w:rPr>
          <w:color w:val="000000"/>
        </w:rPr>
        <w:t>ų</w:t>
      </w:r>
      <w:r>
        <w:rPr>
          <w:color w:val="000000"/>
          <w:spacing w:val="9"/>
        </w:rPr>
        <w:t xml:space="preserve"> </w:t>
      </w:r>
      <w:r>
        <w:rPr>
          <w:color w:val="000000"/>
          <w:spacing w:val="-2"/>
        </w:rPr>
        <w:t>s</w:t>
      </w:r>
      <w:r>
        <w:rPr>
          <w:color w:val="000000"/>
        </w:rPr>
        <w:t>p</w:t>
      </w:r>
      <w:r>
        <w:rPr>
          <w:color w:val="000000"/>
          <w:spacing w:val="1"/>
        </w:rPr>
        <w:t>r</w:t>
      </w:r>
      <w:r>
        <w:rPr>
          <w:color w:val="000000"/>
          <w:spacing w:val="4"/>
        </w:rPr>
        <w:t>e</w:t>
      </w:r>
      <w:r>
        <w:rPr>
          <w:color w:val="000000"/>
          <w:spacing w:val="-5"/>
        </w:rPr>
        <w:t>n</w:t>
      </w:r>
      <w:r>
        <w:rPr>
          <w:color w:val="000000"/>
          <w:spacing w:val="5"/>
        </w:rPr>
        <w:t>d</w:t>
      </w:r>
      <w:r>
        <w:rPr>
          <w:color w:val="000000"/>
        </w:rPr>
        <w:t>i</w:t>
      </w:r>
      <w:r>
        <w:rPr>
          <w:color w:val="000000"/>
          <w:spacing w:val="-4"/>
        </w:rPr>
        <w:t>m</w:t>
      </w:r>
      <w:r>
        <w:rPr>
          <w:color w:val="000000"/>
        </w:rPr>
        <w:t>ų</w:t>
      </w:r>
      <w:r>
        <w:rPr>
          <w:color w:val="000000"/>
          <w:spacing w:val="9"/>
        </w:rPr>
        <w:t xml:space="preserve"> </w:t>
      </w:r>
      <w:r>
        <w:rPr>
          <w:color w:val="000000"/>
          <w:spacing w:val="1"/>
        </w:rPr>
        <w:t>(</w:t>
      </w:r>
      <w:r>
        <w:rPr>
          <w:color w:val="000000"/>
        </w:rPr>
        <w:t>p</w:t>
      </w:r>
      <w:r>
        <w:rPr>
          <w:color w:val="000000"/>
          <w:spacing w:val="-5"/>
        </w:rPr>
        <w:t>v</w:t>
      </w:r>
      <w:r>
        <w:rPr>
          <w:color w:val="000000"/>
          <w:spacing w:val="-1"/>
        </w:rPr>
        <w:t>z</w:t>
      </w:r>
      <w:r>
        <w:rPr>
          <w:color w:val="000000"/>
          <w:spacing w:val="7"/>
        </w:rPr>
        <w:t>.</w:t>
      </w:r>
      <w:r>
        <w:rPr>
          <w:color w:val="000000"/>
        </w:rPr>
        <w:t>; g</w:t>
      </w:r>
      <w:r>
        <w:rPr>
          <w:color w:val="000000"/>
          <w:spacing w:val="4"/>
        </w:rPr>
        <w:t>a</w:t>
      </w:r>
      <w:r>
        <w:rPr>
          <w:color w:val="000000"/>
        </w:rPr>
        <w:t>l</w:t>
      </w:r>
      <w:r>
        <w:rPr>
          <w:color w:val="000000"/>
          <w:spacing w:val="1"/>
        </w:rPr>
        <w:t>i</w:t>
      </w:r>
      <w:r>
        <w:rPr>
          <w:color w:val="000000"/>
        </w:rPr>
        <w:t>m</w:t>
      </w:r>
      <w:r>
        <w:rPr>
          <w:color w:val="000000"/>
          <w:spacing w:val="-4"/>
        </w:rPr>
        <w:t>y</w:t>
      </w:r>
      <w:r>
        <w:rPr>
          <w:color w:val="000000"/>
        </w:rPr>
        <w:t>bė</w:t>
      </w:r>
      <w:r>
        <w:rPr>
          <w:color w:val="000000"/>
          <w:spacing w:val="4"/>
        </w:rPr>
        <w:t xml:space="preserve"> </w:t>
      </w:r>
      <w:r>
        <w:rPr>
          <w:color w:val="000000"/>
          <w:spacing w:val="5"/>
        </w:rPr>
        <w:t>g</w:t>
      </w:r>
      <w:r>
        <w:rPr>
          <w:color w:val="000000"/>
          <w:spacing w:val="-5"/>
        </w:rPr>
        <w:t>y</w:t>
      </w:r>
      <w:r>
        <w:rPr>
          <w:color w:val="000000"/>
          <w:spacing w:val="5"/>
        </w:rPr>
        <w:t>d</w:t>
      </w:r>
      <w:r>
        <w:rPr>
          <w:color w:val="000000"/>
          <w:spacing w:val="-10"/>
        </w:rPr>
        <w:t>y</w:t>
      </w:r>
      <w:r>
        <w:rPr>
          <w:color w:val="000000"/>
          <w:spacing w:val="10"/>
        </w:rPr>
        <w:t>t</w:t>
      </w:r>
      <w:r>
        <w:rPr>
          <w:color w:val="000000"/>
          <w:spacing w:val="-4"/>
        </w:rPr>
        <w:t>i</w:t>
      </w:r>
      <w:r>
        <w:rPr>
          <w:color w:val="000000"/>
        </w:rPr>
        <w:t>s</w:t>
      </w:r>
      <w:r>
        <w:rPr>
          <w:color w:val="000000"/>
          <w:spacing w:val="7"/>
        </w:rPr>
        <w:t xml:space="preserve"> </w:t>
      </w:r>
      <w:r>
        <w:rPr>
          <w:color w:val="000000"/>
        </w:rPr>
        <w:t>p</w:t>
      </w:r>
      <w:r>
        <w:rPr>
          <w:color w:val="000000"/>
          <w:spacing w:val="-1"/>
        </w:rPr>
        <w:t>a</w:t>
      </w:r>
      <w:r>
        <w:rPr>
          <w:color w:val="000000"/>
        </w:rPr>
        <w:t>k</w:t>
      </w:r>
      <w:r>
        <w:rPr>
          <w:color w:val="000000"/>
          <w:spacing w:val="4"/>
        </w:rPr>
        <w:t>a</w:t>
      </w:r>
      <w:r>
        <w:rPr>
          <w:color w:val="000000"/>
          <w:spacing w:val="-9"/>
        </w:rPr>
        <w:t>i</w:t>
      </w:r>
      <w:r>
        <w:rPr>
          <w:color w:val="000000"/>
          <w:spacing w:val="10"/>
        </w:rPr>
        <w:t>t</w:t>
      </w:r>
      <w:r>
        <w:rPr>
          <w:color w:val="000000"/>
          <w:spacing w:val="-4"/>
        </w:rPr>
        <w:t>i</w:t>
      </w:r>
      <w:r>
        <w:rPr>
          <w:color w:val="000000"/>
          <w:spacing w:val="5"/>
        </w:rPr>
        <w:t>n</w:t>
      </w:r>
      <w:r>
        <w:rPr>
          <w:color w:val="000000"/>
          <w:spacing w:val="-4"/>
        </w:rPr>
        <w:t>i</w:t>
      </w:r>
      <w:r>
        <w:rPr>
          <w:color w:val="000000"/>
          <w:spacing w:val="4"/>
        </w:rPr>
        <w:t>a</w:t>
      </w:r>
      <w:r>
        <w:rPr>
          <w:color w:val="000000"/>
          <w:spacing w:val="-4"/>
        </w:rPr>
        <w:t>i</w:t>
      </w:r>
      <w:r>
        <w:rPr>
          <w:color w:val="000000"/>
        </w:rPr>
        <w:t>s</w:t>
      </w:r>
      <w:r>
        <w:rPr>
          <w:color w:val="000000"/>
          <w:spacing w:val="7"/>
        </w:rPr>
        <w:t xml:space="preserve"> </w:t>
      </w:r>
      <w:r>
        <w:rPr>
          <w:color w:val="000000"/>
          <w:spacing w:val="5"/>
        </w:rPr>
        <w:t>op</w:t>
      </w:r>
      <w:r>
        <w:rPr>
          <w:color w:val="000000"/>
          <w:spacing w:val="-9"/>
        </w:rPr>
        <w:t>i</w:t>
      </w:r>
      <w:r>
        <w:rPr>
          <w:color w:val="000000"/>
          <w:spacing w:val="9"/>
        </w:rPr>
        <w:t>o</w:t>
      </w:r>
      <w:r>
        <w:rPr>
          <w:color w:val="000000"/>
          <w:spacing w:val="-9"/>
        </w:rPr>
        <w:t>i</w:t>
      </w:r>
      <w:r>
        <w:rPr>
          <w:color w:val="000000"/>
          <w:spacing w:val="5"/>
        </w:rPr>
        <w:t>d</w:t>
      </w:r>
      <w:r>
        <w:rPr>
          <w:color w:val="000000"/>
          <w:spacing w:val="-4"/>
        </w:rPr>
        <w:t>i</w:t>
      </w:r>
      <w:r>
        <w:rPr>
          <w:color w:val="000000"/>
        </w:rPr>
        <w:t>n</w:t>
      </w:r>
      <w:r>
        <w:rPr>
          <w:color w:val="000000"/>
          <w:spacing w:val="-4"/>
        </w:rPr>
        <w:t>i</w:t>
      </w:r>
      <w:r>
        <w:rPr>
          <w:color w:val="000000"/>
          <w:spacing w:val="4"/>
        </w:rPr>
        <w:t>a</w:t>
      </w:r>
      <w:r>
        <w:rPr>
          <w:color w:val="000000"/>
        </w:rPr>
        <w:t>is p</w:t>
      </w:r>
      <w:r>
        <w:rPr>
          <w:color w:val="000000"/>
          <w:spacing w:val="1"/>
        </w:rPr>
        <w:t>r</w:t>
      </w:r>
      <w:r>
        <w:rPr>
          <w:color w:val="000000"/>
          <w:spacing w:val="-1"/>
        </w:rPr>
        <w:t>e</w:t>
      </w:r>
      <w:r>
        <w:rPr>
          <w:color w:val="000000"/>
        </w:rPr>
        <w:t>p</w:t>
      </w:r>
      <w:r>
        <w:rPr>
          <w:color w:val="000000"/>
          <w:spacing w:val="-1"/>
        </w:rPr>
        <w:t>a</w:t>
      </w:r>
      <w:r>
        <w:rPr>
          <w:color w:val="000000"/>
          <w:spacing w:val="1"/>
        </w:rPr>
        <w:t>r</w:t>
      </w:r>
      <w:r>
        <w:rPr>
          <w:color w:val="000000"/>
          <w:spacing w:val="-1"/>
        </w:rPr>
        <w:t>a</w:t>
      </w:r>
      <w:r>
        <w:rPr>
          <w:color w:val="000000"/>
          <w:spacing w:val="5"/>
        </w:rPr>
        <w:t>t</w:t>
      </w:r>
      <w:r>
        <w:rPr>
          <w:color w:val="000000"/>
          <w:spacing w:val="-1"/>
        </w:rPr>
        <w:t>a</w:t>
      </w:r>
      <w:r>
        <w:rPr>
          <w:color w:val="000000"/>
          <w:spacing w:val="-9"/>
        </w:rPr>
        <w:t>i</w:t>
      </w:r>
      <w:r>
        <w:rPr>
          <w:color w:val="000000"/>
          <w:spacing w:val="-2"/>
        </w:rPr>
        <w:t>s</w:t>
      </w:r>
      <w:r>
        <w:rPr>
          <w:color w:val="000000"/>
        </w:rPr>
        <w:t>)</w:t>
      </w:r>
      <w:r>
        <w:rPr>
          <w:color w:val="000000"/>
          <w:spacing w:val="10"/>
        </w:rPr>
        <w:t xml:space="preserve"> </w:t>
      </w:r>
      <w:r>
        <w:rPr>
          <w:color w:val="000000"/>
          <w:spacing w:val="-5"/>
        </w:rPr>
        <w:t>b</w:t>
      </w:r>
      <w:r>
        <w:rPr>
          <w:color w:val="000000"/>
          <w:spacing w:val="4"/>
        </w:rPr>
        <w:t>e</w:t>
      </w:r>
      <w:r>
        <w:rPr>
          <w:color w:val="000000"/>
        </w:rPr>
        <w:t>i</w:t>
      </w:r>
      <w:r>
        <w:rPr>
          <w:color w:val="000000"/>
          <w:spacing w:val="4"/>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13"/>
        </w:rPr>
        <w:t xml:space="preserve"> </w:t>
      </w:r>
      <w:r>
        <w:rPr>
          <w:color w:val="000000"/>
          <w:spacing w:val="-5"/>
        </w:rPr>
        <w:t>v</w:t>
      </w:r>
      <w:r>
        <w:rPr>
          <w:color w:val="000000"/>
          <w:spacing w:val="-1"/>
        </w:rPr>
        <w:t>a</w:t>
      </w:r>
      <w:r>
        <w:rPr>
          <w:color w:val="000000"/>
          <w:spacing w:val="1"/>
        </w:rPr>
        <w:t>r</w:t>
      </w:r>
      <w:r>
        <w:rPr>
          <w:color w:val="000000"/>
        </w:rPr>
        <w:t>t</w:t>
      </w:r>
      <w:r>
        <w:rPr>
          <w:color w:val="000000"/>
          <w:spacing w:val="5"/>
        </w:rPr>
        <w:t>o</w:t>
      </w:r>
      <w:r>
        <w:rPr>
          <w:color w:val="000000"/>
          <w:spacing w:val="-4"/>
        </w:rPr>
        <w:t>j</w:t>
      </w:r>
      <w:r>
        <w:rPr>
          <w:color w:val="000000"/>
        </w:rPr>
        <w:t>i</w:t>
      </w:r>
      <w:r>
        <w:rPr>
          <w:color w:val="000000"/>
          <w:spacing w:val="-9"/>
        </w:rPr>
        <w:t>m</w:t>
      </w:r>
      <w:r>
        <w:rPr>
          <w:color w:val="000000"/>
        </w:rPr>
        <w:t>o</w:t>
      </w:r>
      <w:r>
        <w:rPr>
          <w:color w:val="000000"/>
          <w:spacing w:val="13"/>
        </w:rPr>
        <w:t xml:space="preserve"> </w:t>
      </w:r>
      <w:r>
        <w:rPr>
          <w:color w:val="000000"/>
          <w:spacing w:val="-5"/>
        </w:rPr>
        <w:t>b</w:t>
      </w:r>
      <w:r>
        <w:rPr>
          <w:color w:val="000000"/>
        </w:rPr>
        <w:t>ūdo</w:t>
      </w:r>
      <w:r>
        <w:rPr>
          <w:color w:val="000000"/>
          <w:spacing w:val="9"/>
        </w:rPr>
        <w:t xml:space="preserve"> </w:t>
      </w:r>
      <w:r>
        <w:rPr>
          <w:color w:val="000000"/>
        </w:rPr>
        <w:t>p</w:t>
      </w:r>
      <w:r>
        <w:rPr>
          <w:color w:val="000000"/>
          <w:spacing w:val="5"/>
        </w:rPr>
        <w:t>ok</w:t>
      </w:r>
      <w:r>
        <w:rPr>
          <w:color w:val="000000"/>
          <w:spacing w:val="-10"/>
        </w:rPr>
        <w:t>y</w:t>
      </w:r>
      <w:r>
        <w:rPr>
          <w:color w:val="000000"/>
          <w:spacing w:val="4"/>
        </w:rPr>
        <w:t>č</w:t>
      </w:r>
      <w:r>
        <w:rPr>
          <w:color w:val="000000"/>
          <w:spacing w:val="-4"/>
        </w:rPr>
        <w:t>i</w:t>
      </w:r>
      <w:r>
        <w:rPr>
          <w:color w:val="000000"/>
          <w:spacing w:val="5"/>
        </w:rPr>
        <w:t>ų</w:t>
      </w:r>
      <w:r>
        <w:rPr>
          <w:color w:val="000000"/>
        </w:rPr>
        <w:t>,</w:t>
      </w:r>
      <w:r>
        <w:rPr>
          <w:color w:val="000000"/>
          <w:spacing w:val="6"/>
        </w:rPr>
        <w:t xml:space="preserve"> </w:t>
      </w:r>
      <w:r>
        <w:rPr>
          <w:color w:val="000000"/>
          <w:spacing w:val="5"/>
        </w:rPr>
        <w:t>t</w:t>
      </w:r>
      <w:r>
        <w:rPr>
          <w:color w:val="000000"/>
          <w:spacing w:val="-1"/>
        </w:rPr>
        <w:t>a</w:t>
      </w:r>
      <w:r>
        <w:rPr>
          <w:color w:val="000000"/>
          <w:spacing w:val="-5"/>
        </w:rPr>
        <w:t>p</w:t>
      </w:r>
      <w:r>
        <w:rPr>
          <w:color w:val="000000"/>
        </w:rPr>
        <w:t>o</w:t>
      </w:r>
      <w:r>
        <w:rPr>
          <w:color w:val="000000"/>
          <w:spacing w:val="9"/>
        </w:rPr>
        <w:t xml:space="preserve"> </w:t>
      </w:r>
      <w:r>
        <w:rPr>
          <w:color w:val="000000"/>
          <w:spacing w:val="-9"/>
        </w:rPr>
        <w:t>m</w:t>
      </w:r>
      <w:r>
        <w:rPr>
          <w:color w:val="000000"/>
          <w:spacing w:val="4"/>
        </w:rPr>
        <w:t>až</w:t>
      </w:r>
      <w:r>
        <w:rPr>
          <w:color w:val="000000"/>
          <w:spacing w:val="-4"/>
        </w:rPr>
        <w:t>i</w:t>
      </w:r>
      <w:r>
        <w:rPr>
          <w:color w:val="000000"/>
          <w:spacing w:val="-1"/>
        </w:rPr>
        <w:t>a</w:t>
      </w:r>
      <w:r>
        <w:rPr>
          <w:color w:val="000000"/>
        </w:rPr>
        <w:t>u</w:t>
      </w:r>
      <w:r>
        <w:rPr>
          <w:color w:val="000000"/>
          <w:spacing w:val="4"/>
        </w:rPr>
        <w:t xml:space="preserve"> </w:t>
      </w:r>
      <w:r>
        <w:rPr>
          <w:color w:val="000000"/>
        </w:rPr>
        <w:t>p</w:t>
      </w:r>
      <w:r>
        <w:rPr>
          <w:color w:val="000000"/>
          <w:spacing w:val="6"/>
        </w:rPr>
        <w:t>r</w:t>
      </w:r>
      <w:r>
        <w:rPr>
          <w:color w:val="000000"/>
          <w:spacing w:val="-4"/>
        </w:rPr>
        <w:t>i</w:t>
      </w:r>
      <w:r>
        <w:rPr>
          <w:color w:val="000000"/>
          <w:spacing w:val="4"/>
        </w:rPr>
        <w:t>e</w:t>
      </w:r>
      <w:r>
        <w:rPr>
          <w:color w:val="000000"/>
          <w:spacing w:val="-4"/>
        </w:rPr>
        <w:t>i</w:t>
      </w:r>
      <w:r>
        <w:rPr>
          <w:color w:val="000000"/>
        </w:rPr>
        <w:t>n</w:t>
      </w:r>
      <w:r>
        <w:rPr>
          <w:color w:val="000000"/>
          <w:spacing w:val="4"/>
        </w:rPr>
        <w:t>a</w:t>
      </w:r>
      <w:r>
        <w:rPr>
          <w:color w:val="000000"/>
          <w:spacing w:val="-4"/>
        </w:rPr>
        <w:t>m</w:t>
      </w:r>
      <w:r>
        <w:rPr>
          <w:color w:val="000000"/>
          <w:spacing w:val="-1"/>
        </w:rPr>
        <w:t>a</w:t>
      </w:r>
      <w:r>
        <w:rPr>
          <w:color w:val="000000"/>
        </w:rPr>
        <w:t>s</w:t>
      </w:r>
      <w:r>
        <w:rPr>
          <w:color w:val="000000"/>
          <w:spacing w:val="6"/>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spacing w:val="-9"/>
        </w:rPr>
        <w:t>j</w:t>
      </w:r>
      <w:r>
        <w:rPr>
          <w:color w:val="000000"/>
          <w:spacing w:val="-1"/>
        </w:rPr>
        <w:t>e</w:t>
      </w:r>
      <w:r>
        <w:rPr>
          <w:color w:val="000000"/>
        </w:rPr>
        <w:t>,</w:t>
      </w:r>
      <w:r>
        <w:rPr>
          <w:color w:val="000000"/>
          <w:spacing w:val="6"/>
        </w:rPr>
        <w:t xml:space="preserve"> </w:t>
      </w:r>
      <w:r>
        <w:rPr>
          <w:color w:val="000000"/>
        </w:rPr>
        <w:t>o</w:t>
      </w:r>
      <w:r>
        <w:rPr>
          <w:color w:val="000000"/>
          <w:spacing w:val="9"/>
        </w:rPr>
        <w:t xml:space="preserve"> </w:t>
      </w:r>
      <w:r>
        <w:rPr>
          <w:color w:val="000000"/>
        </w:rPr>
        <w:t>k</w:t>
      </w:r>
      <w:r>
        <w:rPr>
          <w:color w:val="000000"/>
          <w:spacing w:val="4"/>
        </w:rPr>
        <w:t>a</w:t>
      </w:r>
      <w:r>
        <w:rPr>
          <w:color w:val="000000"/>
        </w:rPr>
        <w:t>i ku</w:t>
      </w:r>
      <w:r>
        <w:rPr>
          <w:color w:val="000000"/>
          <w:spacing w:val="6"/>
        </w:rPr>
        <w:t>r</w:t>
      </w:r>
      <w:r>
        <w:rPr>
          <w:color w:val="000000"/>
          <w:spacing w:val="-9"/>
        </w:rPr>
        <w:t>i</w:t>
      </w:r>
      <w:r>
        <w:rPr>
          <w:color w:val="000000"/>
          <w:spacing w:val="5"/>
        </w:rPr>
        <w:t>o</w:t>
      </w:r>
      <w:r>
        <w:rPr>
          <w:color w:val="000000"/>
          <w:spacing w:val="-2"/>
        </w:rPr>
        <w:t>s</w:t>
      </w:r>
      <w:r>
        <w:rPr>
          <w:color w:val="000000"/>
        </w:rPr>
        <w:t xml:space="preserve">e </w:t>
      </w:r>
      <w:r>
        <w:rPr>
          <w:color w:val="000000"/>
          <w:spacing w:val="-2"/>
        </w:rPr>
        <w:t>š</w:t>
      </w:r>
      <w:r>
        <w:rPr>
          <w:color w:val="000000"/>
          <w:spacing w:val="4"/>
        </w:rPr>
        <w:t>a</w:t>
      </w:r>
      <w:r>
        <w:rPr>
          <w:color w:val="000000"/>
        </w:rPr>
        <w:t>l</w:t>
      </w:r>
      <w:r>
        <w:rPr>
          <w:color w:val="000000"/>
          <w:spacing w:val="-4"/>
        </w:rPr>
        <w:t>y</w:t>
      </w:r>
      <w:r>
        <w:rPr>
          <w:color w:val="000000"/>
          <w:spacing w:val="-2"/>
        </w:rPr>
        <w:t>s</w:t>
      </w:r>
      <w:r>
        <w:rPr>
          <w:color w:val="000000"/>
        </w:rPr>
        <w:t>e</w:t>
      </w:r>
      <w:r>
        <w:rPr>
          <w:color w:val="000000"/>
          <w:spacing w:val="30"/>
        </w:rPr>
        <w:t xml:space="preserve"> </w:t>
      </w:r>
      <w:r>
        <w:rPr>
          <w:color w:val="000000"/>
          <w:spacing w:val="-4"/>
        </w:rPr>
        <w:t>j</w:t>
      </w:r>
      <w:r>
        <w:rPr>
          <w:color w:val="000000"/>
        </w:rPr>
        <w:t>į</w:t>
      </w:r>
      <w:r>
        <w:rPr>
          <w:color w:val="000000"/>
          <w:spacing w:val="22"/>
        </w:rPr>
        <w:t xml:space="preserve"> </w:t>
      </w:r>
      <w:r>
        <w:rPr>
          <w:color w:val="000000"/>
        </w:rPr>
        <w:t>p</w:t>
      </w:r>
      <w:r>
        <w:rPr>
          <w:color w:val="000000"/>
          <w:spacing w:val="1"/>
        </w:rPr>
        <w:t>a</w:t>
      </w:r>
      <w:r>
        <w:rPr>
          <w:color w:val="000000"/>
        </w:rPr>
        <w:t>k</w:t>
      </w:r>
      <w:r>
        <w:rPr>
          <w:color w:val="000000"/>
          <w:spacing w:val="4"/>
        </w:rPr>
        <w:t>e</w:t>
      </w:r>
      <w:r>
        <w:rPr>
          <w:color w:val="000000"/>
          <w:spacing w:val="-9"/>
        </w:rPr>
        <w:t>i</w:t>
      </w:r>
      <w:r>
        <w:rPr>
          <w:color w:val="000000"/>
          <w:spacing w:val="5"/>
        </w:rPr>
        <w:t>t</w:t>
      </w:r>
      <w:r>
        <w:rPr>
          <w:color w:val="000000"/>
        </w:rPr>
        <w:t>ė</w:t>
      </w:r>
      <w:r>
        <w:rPr>
          <w:color w:val="000000"/>
          <w:spacing w:val="25"/>
        </w:rPr>
        <w:t xml:space="preserve"> </w:t>
      </w:r>
      <w:r>
        <w:rPr>
          <w:color w:val="000000"/>
          <w:spacing w:val="5"/>
        </w:rPr>
        <w:t>k</w:t>
      </w:r>
      <w:r>
        <w:rPr>
          <w:color w:val="000000"/>
          <w:spacing w:val="-9"/>
        </w:rPr>
        <w:t>i</w:t>
      </w:r>
      <w:r>
        <w:rPr>
          <w:color w:val="000000"/>
          <w:spacing w:val="5"/>
        </w:rPr>
        <w:t>to</w:t>
      </w:r>
      <w:r>
        <w:rPr>
          <w:color w:val="000000"/>
        </w:rPr>
        <w:t>s</w:t>
      </w:r>
      <w:r>
        <w:rPr>
          <w:color w:val="000000"/>
          <w:spacing w:val="24"/>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g</w:t>
      </w:r>
      <w:r>
        <w:rPr>
          <w:color w:val="000000"/>
          <w:spacing w:val="5"/>
        </w:rPr>
        <w:t>o</w:t>
      </w:r>
      <w:r>
        <w:rPr>
          <w:color w:val="000000"/>
          <w:spacing w:val="-2"/>
        </w:rPr>
        <w:t>s</w:t>
      </w:r>
      <w:r>
        <w:rPr>
          <w:color w:val="000000"/>
        </w:rPr>
        <w:t>,</w:t>
      </w:r>
      <w:r>
        <w:rPr>
          <w:color w:val="000000"/>
          <w:spacing w:val="24"/>
        </w:rPr>
        <w:t xml:space="preserve"> </w:t>
      </w:r>
      <w:r>
        <w:rPr>
          <w:color w:val="000000"/>
          <w:spacing w:val="5"/>
        </w:rPr>
        <w:t>t</w:t>
      </w:r>
      <w:r>
        <w:rPr>
          <w:color w:val="000000"/>
          <w:spacing w:val="-1"/>
        </w:rPr>
        <w:t>a</w:t>
      </w:r>
      <w:r>
        <w:rPr>
          <w:color w:val="000000"/>
          <w:spacing w:val="1"/>
        </w:rPr>
        <w:t>r</w:t>
      </w:r>
      <w:r>
        <w:rPr>
          <w:color w:val="000000"/>
        </w:rPr>
        <w:t>p</w:t>
      </w:r>
      <w:r>
        <w:rPr>
          <w:color w:val="000000"/>
          <w:spacing w:val="21"/>
        </w:rPr>
        <w:t xml:space="preserve"> </w:t>
      </w:r>
      <w:r>
        <w:rPr>
          <w:color w:val="000000"/>
          <w:spacing w:val="-9"/>
        </w:rPr>
        <w:t>j</w:t>
      </w:r>
      <w:r>
        <w:rPr>
          <w:color w:val="000000"/>
        </w:rPr>
        <w:t>ų</w:t>
      </w:r>
      <w:r>
        <w:rPr>
          <w:color w:val="000000"/>
          <w:spacing w:val="21"/>
        </w:rPr>
        <w:t xml:space="preserve"> </w:t>
      </w:r>
      <w:r>
        <w:rPr>
          <w:color w:val="000000"/>
          <w:spacing w:val="5"/>
        </w:rPr>
        <w:t>k</w:t>
      </w:r>
      <w:r>
        <w:rPr>
          <w:color w:val="000000"/>
          <w:spacing w:val="-1"/>
        </w:rPr>
        <w:t>a</w:t>
      </w:r>
      <w:r>
        <w:rPr>
          <w:color w:val="000000"/>
          <w:spacing w:val="5"/>
        </w:rPr>
        <w:t>t</w:t>
      </w:r>
      <w:r>
        <w:rPr>
          <w:color w:val="000000"/>
          <w:spacing w:val="-4"/>
        </w:rPr>
        <w:t>i</w:t>
      </w:r>
      <w:r>
        <w:rPr>
          <w:color w:val="000000"/>
          <w:spacing w:val="-5"/>
        </w:rPr>
        <w:t>n</w:t>
      </w:r>
      <w:r>
        <w:rPr>
          <w:color w:val="000000"/>
          <w:spacing w:val="5"/>
        </w:rPr>
        <w:t>o</w:t>
      </w:r>
      <w:r>
        <w:rPr>
          <w:color w:val="000000"/>
        </w:rPr>
        <w:t>n</w:t>
      </w:r>
      <w:r>
        <w:rPr>
          <w:color w:val="000000"/>
          <w:spacing w:val="4"/>
        </w:rPr>
        <w:t>a</w:t>
      </w:r>
      <w:r>
        <w:rPr>
          <w:color w:val="000000"/>
        </w:rPr>
        <w:t>i</w:t>
      </w:r>
      <w:r>
        <w:rPr>
          <w:color w:val="000000"/>
          <w:spacing w:val="17"/>
        </w:rPr>
        <w:t xml:space="preserve"> </w:t>
      </w:r>
      <w:r>
        <w:rPr>
          <w:color w:val="000000"/>
          <w:spacing w:val="-1"/>
        </w:rPr>
        <w:t>a</w:t>
      </w:r>
      <w:r>
        <w:rPr>
          <w:color w:val="000000"/>
        </w:rPr>
        <w:t>r</w:t>
      </w:r>
      <w:r>
        <w:rPr>
          <w:color w:val="000000"/>
          <w:spacing w:val="23"/>
        </w:rPr>
        <w:t xml:space="preserve">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10"/>
        </w:rPr>
        <w:t>t</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17"/>
        </w:rPr>
        <w:t xml:space="preserve"> </w:t>
      </w:r>
      <w:r>
        <w:rPr>
          <w:color w:val="000000"/>
          <w:spacing w:val="5"/>
        </w:rPr>
        <w:t>op</w:t>
      </w:r>
      <w:r>
        <w:rPr>
          <w:color w:val="000000"/>
          <w:spacing w:val="-9"/>
        </w:rPr>
        <w:t>i</w:t>
      </w:r>
      <w:r>
        <w:rPr>
          <w:color w:val="000000"/>
          <w:spacing w:val="9"/>
        </w:rPr>
        <w:t>o</w:t>
      </w:r>
      <w:r>
        <w:rPr>
          <w:color w:val="000000"/>
          <w:spacing w:val="-9"/>
        </w:rPr>
        <w:t>i</w:t>
      </w:r>
      <w:r>
        <w:rPr>
          <w:color w:val="000000"/>
        </w:rPr>
        <w:t>d</w:t>
      </w:r>
      <w:r>
        <w:rPr>
          <w:color w:val="000000"/>
          <w:spacing w:val="4"/>
        </w:rPr>
        <w:t>a</w:t>
      </w:r>
      <w:r>
        <w:rPr>
          <w:color w:val="000000"/>
          <w:spacing w:val="-4"/>
        </w:rPr>
        <w:t>i</w:t>
      </w:r>
      <w:r>
        <w:rPr>
          <w:color w:val="000000"/>
        </w:rPr>
        <w:t>,</w:t>
      </w:r>
      <w:r>
        <w:rPr>
          <w:color w:val="000000"/>
          <w:spacing w:val="24"/>
        </w:rPr>
        <w:t xml:space="preserve"> </w:t>
      </w:r>
      <w:r>
        <w:rPr>
          <w:color w:val="000000"/>
        </w:rPr>
        <w:t>p</w:t>
      </w:r>
      <w:r>
        <w:rPr>
          <w:color w:val="000000"/>
          <w:spacing w:val="4"/>
        </w:rPr>
        <w:t>a</w:t>
      </w:r>
      <w:r>
        <w:rPr>
          <w:color w:val="000000"/>
        </w:rPr>
        <w:t>v</w:t>
      </w:r>
      <w:r>
        <w:rPr>
          <w:color w:val="000000"/>
          <w:spacing w:val="-5"/>
        </w:rPr>
        <w:t>y</w:t>
      </w:r>
      <w:r>
        <w:rPr>
          <w:color w:val="000000"/>
          <w:spacing w:val="-1"/>
        </w:rPr>
        <w:t>z</w:t>
      </w:r>
      <w:r>
        <w:rPr>
          <w:color w:val="000000"/>
          <w:spacing w:val="5"/>
        </w:rPr>
        <w:t>d</w:t>
      </w:r>
      <w:r>
        <w:rPr>
          <w:color w:val="000000"/>
          <w:spacing w:val="4"/>
        </w:rPr>
        <w:t>ž</w:t>
      </w:r>
      <w:r>
        <w:rPr>
          <w:color w:val="000000"/>
          <w:spacing w:val="-4"/>
        </w:rPr>
        <w:t>i</w:t>
      </w:r>
      <w:r>
        <w:rPr>
          <w:color w:val="000000"/>
          <w:spacing w:val="5"/>
        </w:rPr>
        <w:t>u</w:t>
      </w:r>
      <w:r>
        <w:rPr>
          <w:color w:val="000000"/>
          <w:spacing w:val="-9"/>
        </w:rPr>
        <w:t>i</w:t>
      </w:r>
      <w:r>
        <w:rPr>
          <w:color w:val="000000"/>
        </w:rPr>
        <w:t>,</w:t>
      </w:r>
      <w:r>
        <w:rPr>
          <w:color w:val="000000"/>
          <w:spacing w:val="28"/>
        </w:rPr>
        <w:t xml:space="preserve"> </w:t>
      </w:r>
      <w:r>
        <w:rPr>
          <w:color w:val="000000"/>
          <w:spacing w:val="-3"/>
        </w:rPr>
        <w:t>f</w:t>
      </w:r>
      <w:r>
        <w:rPr>
          <w:color w:val="000000"/>
          <w:spacing w:val="4"/>
        </w:rPr>
        <w:t>e</w:t>
      </w:r>
      <w:r>
        <w:rPr>
          <w:color w:val="000000"/>
          <w:spacing w:val="-5"/>
        </w:rPr>
        <w:t>n</w:t>
      </w:r>
      <w:r>
        <w:rPr>
          <w:color w:val="000000"/>
          <w:spacing w:val="5"/>
        </w:rPr>
        <w:t>t</w:t>
      </w:r>
      <w:r>
        <w:rPr>
          <w:color w:val="000000"/>
          <w:spacing w:val="-1"/>
        </w:rPr>
        <w:t>a</w:t>
      </w:r>
      <w:r>
        <w:rPr>
          <w:color w:val="000000"/>
        </w:rPr>
        <w:t>ni</w:t>
      </w:r>
      <w:r>
        <w:rPr>
          <w:color w:val="000000"/>
          <w:spacing w:val="1"/>
        </w:rPr>
        <w:t>l</w:t>
      </w:r>
      <w:r>
        <w:rPr>
          <w:color w:val="000000"/>
          <w:spacing w:val="-4"/>
        </w:rPr>
        <w:t>i</w:t>
      </w:r>
      <w:r>
        <w:rPr>
          <w:color w:val="000000"/>
        </w:rPr>
        <w:t>s</w:t>
      </w:r>
      <w:r>
        <w:rPr>
          <w:color w:val="000000"/>
          <w:spacing w:val="29"/>
        </w:rPr>
        <w:t xml:space="preserve"> </w:t>
      </w:r>
      <w:r>
        <w:rPr>
          <w:color w:val="000000"/>
          <w:spacing w:val="-4"/>
        </w:rPr>
        <w:t>i</w:t>
      </w:r>
      <w:r>
        <w:rPr>
          <w:color w:val="000000"/>
        </w:rPr>
        <w:t>r</w:t>
      </w:r>
    </w:p>
    <w:p w:rsidR="004F7425" w:rsidRDefault="004F7425" w:rsidP="004F7425">
      <w:pPr>
        <w:widowControl w:val="0"/>
        <w:autoSpaceDE w:val="0"/>
        <w:autoSpaceDN w:val="0"/>
        <w:adjustRightInd w:val="0"/>
        <w:spacing w:line="277" w:lineRule="exact"/>
        <w:ind w:left="120" w:right="8209"/>
        <w:jc w:val="both"/>
        <w:rPr>
          <w:color w:val="000000"/>
        </w:rPr>
      </w:pPr>
      <w:r>
        <w:rPr>
          <w:color w:val="000000"/>
          <w:spacing w:val="-5"/>
        </w:rPr>
        <w:t>b</w:t>
      </w:r>
      <w:r>
        <w:rPr>
          <w:color w:val="000000"/>
        </w:rPr>
        <w:t>up</w:t>
      </w:r>
      <w:r>
        <w:rPr>
          <w:color w:val="000000"/>
          <w:spacing w:val="1"/>
        </w:rPr>
        <w:t>r</w:t>
      </w:r>
      <w:r>
        <w:rPr>
          <w:color w:val="000000"/>
          <w:spacing w:val="4"/>
        </w:rPr>
        <w:t>e</w:t>
      </w:r>
      <w:r>
        <w:rPr>
          <w:color w:val="000000"/>
          <w:spacing w:val="-5"/>
        </w:rPr>
        <w:t>n</w:t>
      </w:r>
      <w:r>
        <w:rPr>
          <w:color w:val="000000"/>
          <w:spacing w:val="5"/>
        </w:rPr>
        <w:t>o</w:t>
      </w:r>
      <w:r>
        <w:rPr>
          <w:color w:val="000000"/>
          <w:spacing w:val="1"/>
        </w:rPr>
        <w:t>r</w:t>
      </w:r>
      <w:r>
        <w:rPr>
          <w:color w:val="000000"/>
          <w:spacing w:val="-3"/>
        </w:rPr>
        <w:t>f</w:t>
      </w:r>
      <w:r>
        <w:rPr>
          <w:color w:val="000000"/>
          <w:spacing w:val="-4"/>
        </w:rPr>
        <w:t>i</w:t>
      </w:r>
      <w:r>
        <w:rPr>
          <w:color w:val="000000"/>
        </w:rPr>
        <w:t>n</w:t>
      </w:r>
      <w:r>
        <w:rPr>
          <w:color w:val="000000"/>
          <w:spacing w:val="4"/>
        </w:rPr>
        <w:t>a</w:t>
      </w:r>
      <w:r>
        <w:rPr>
          <w:color w:val="000000"/>
        </w:rPr>
        <w:t>s</w:t>
      </w:r>
      <w:r>
        <w:rPr>
          <w:color w:val="000000"/>
          <w:spacing w:val="3"/>
          <w:position w:val="11"/>
          <w:sz w:val="16"/>
          <w:szCs w:val="16"/>
        </w:rPr>
        <w:t>2</w:t>
      </w:r>
      <w:r>
        <w:rPr>
          <w:color w:val="000000"/>
        </w:rPr>
        <w:t>.</w:t>
      </w:r>
    </w:p>
    <w:p w:rsidR="004F7425" w:rsidRDefault="004F7425" w:rsidP="004F7425">
      <w:pPr>
        <w:widowControl w:val="0"/>
        <w:autoSpaceDE w:val="0"/>
        <w:autoSpaceDN w:val="0"/>
        <w:adjustRightInd w:val="0"/>
        <w:spacing w:before="41" w:line="277" w:lineRule="auto"/>
        <w:ind w:left="120" w:right="53" w:firstLine="711"/>
        <w:jc w:val="both"/>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 p</w:t>
      </w:r>
      <w:r>
        <w:rPr>
          <w:color w:val="000000"/>
          <w:spacing w:val="-1"/>
        </w:rPr>
        <w:t>a</w:t>
      </w:r>
      <w:r>
        <w:rPr>
          <w:color w:val="000000"/>
        </w:rPr>
        <w:t>g</w:t>
      </w:r>
      <w:r>
        <w:rPr>
          <w:color w:val="000000"/>
          <w:spacing w:val="6"/>
        </w:rPr>
        <w:t>r</w:t>
      </w:r>
      <w:r>
        <w:rPr>
          <w:color w:val="000000"/>
          <w:spacing w:val="-4"/>
        </w:rPr>
        <w:t>i</w:t>
      </w:r>
      <w:r>
        <w:rPr>
          <w:color w:val="000000"/>
        </w:rPr>
        <w:t>n</w:t>
      </w:r>
      <w:r>
        <w:rPr>
          <w:color w:val="000000"/>
          <w:spacing w:val="5"/>
        </w:rPr>
        <w:t>d</w:t>
      </w:r>
      <w:r>
        <w:rPr>
          <w:color w:val="000000"/>
          <w:spacing w:val="-4"/>
        </w:rPr>
        <w:t>i</w:t>
      </w:r>
      <w:r>
        <w:rPr>
          <w:color w:val="000000"/>
        </w:rPr>
        <w:t>n</w:t>
      </w:r>
      <w:r>
        <w:rPr>
          <w:color w:val="000000"/>
          <w:spacing w:val="-1"/>
        </w:rPr>
        <w:t>ė</w:t>
      </w:r>
      <w:r>
        <w:rPr>
          <w:color w:val="000000"/>
        </w:rPr>
        <w:t>s</w:t>
      </w:r>
      <w:r>
        <w:rPr>
          <w:color w:val="000000"/>
          <w:spacing w:val="8"/>
        </w:rPr>
        <w:t xml:space="preserve"> </w:t>
      </w:r>
      <w:r>
        <w:rPr>
          <w:color w:val="000000"/>
          <w:spacing w:val="-5"/>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rPr>
        <w:t>o</w:t>
      </w:r>
      <w:r>
        <w:rPr>
          <w:color w:val="000000"/>
          <w:spacing w:val="10"/>
        </w:rPr>
        <w:t xml:space="preserve"> </w:t>
      </w:r>
      <w:r>
        <w:rPr>
          <w:color w:val="000000"/>
          <w:spacing w:val="-5"/>
        </w:rPr>
        <w:t>v</w:t>
      </w:r>
      <w:r>
        <w:rPr>
          <w:color w:val="000000"/>
          <w:spacing w:val="-1"/>
        </w:rPr>
        <w:t>a</w:t>
      </w:r>
      <w:r>
        <w:rPr>
          <w:color w:val="000000"/>
          <w:spacing w:val="1"/>
        </w:rPr>
        <w:t>r</w:t>
      </w:r>
      <w:r>
        <w:rPr>
          <w:color w:val="000000"/>
        </w:rPr>
        <w:t>t</w:t>
      </w:r>
      <w:r>
        <w:rPr>
          <w:color w:val="000000"/>
          <w:spacing w:val="5"/>
        </w:rPr>
        <w:t>o</w:t>
      </w:r>
      <w:r>
        <w:rPr>
          <w:color w:val="000000"/>
          <w:spacing w:val="-4"/>
        </w:rPr>
        <w:t>j</w:t>
      </w:r>
      <w:r>
        <w:rPr>
          <w:color w:val="000000"/>
        </w:rPr>
        <w:t>i</w:t>
      </w:r>
      <w:r>
        <w:rPr>
          <w:color w:val="000000"/>
          <w:spacing w:val="-9"/>
        </w:rPr>
        <w:t>m</w:t>
      </w:r>
      <w:r>
        <w:rPr>
          <w:color w:val="000000"/>
        </w:rPr>
        <w:t>o</w:t>
      </w:r>
      <w:r>
        <w:rPr>
          <w:color w:val="000000"/>
          <w:spacing w:val="10"/>
        </w:rPr>
        <w:t xml:space="preserve"> </w:t>
      </w:r>
      <w:r>
        <w:rPr>
          <w:color w:val="000000"/>
          <w:spacing w:val="5"/>
        </w:rPr>
        <w:t>t</w:t>
      </w:r>
      <w:r>
        <w:rPr>
          <w:color w:val="000000"/>
          <w:spacing w:val="-1"/>
        </w:rPr>
        <w:t>e</w:t>
      </w:r>
      <w:r>
        <w:rPr>
          <w:color w:val="000000"/>
          <w:spacing w:val="-5"/>
        </w:rPr>
        <w:t>n</w:t>
      </w:r>
      <w:r>
        <w:rPr>
          <w:color w:val="000000"/>
        </w:rPr>
        <w:t>d</w:t>
      </w:r>
      <w:r>
        <w:rPr>
          <w:color w:val="000000"/>
          <w:spacing w:val="4"/>
        </w:rPr>
        <w:t>e</w:t>
      </w:r>
      <w:r>
        <w:rPr>
          <w:color w:val="000000"/>
        </w:rPr>
        <w:t>n</w:t>
      </w:r>
      <w:r>
        <w:rPr>
          <w:color w:val="000000"/>
          <w:spacing w:val="4"/>
        </w:rPr>
        <w:t>c</w:t>
      </w:r>
      <w:r>
        <w:rPr>
          <w:color w:val="000000"/>
          <w:spacing w:val="-4"/>
        </w:rPr>
        <w:t>i</w:t>
      </w:r>
      <w:r>
        <w:rPr>
          <w:color w:val="000000"/>
          <w:spacing w:val="-9"/>
        </w:rPr>
        <w:t>j</w:t>
      </w:r>
      <w:r>
        <w:rPr>
          <w:color w:val="000000"/>
          <w:spacing w:val="5"/>
        </w:rPr>
        <w:t>o</w:t>
      </w:r>
      <w:r>
        <w:rPr>
          <w:color w:val="000000"/>
        </w:rPr>
        <w:t>s</w:t>
      </w:r>
      <w:r>
        <w:rPr>
          <w:color w:val="000000"/>
          <w:spacing w:val="8"/>
        </w:rPr>
        <w:t xml:space="preserve"> </w:t>
      </w:r>
      <w:r>
        <w:rPr>
          <w:color w:val="000000"/>
          <w:spacing w:val="-4"/>
        </w:rPr>
        <w:t>j</w:t>
      </w:r>
      <w:r>
        <w:rPr>
          <w:color w:val="000000"/>
          <w:spacing w:val="-1"/>
        </w:rPr>
        <w:t>a</w:t>
      </w:r>
      <w:r>
        <w:rPr>
          <w:color w:val="000000"/>
        </w:rPr>
        <w:t>u</w:t>
      </w:r>
      <w:r>
        <w:rPr>
          <w:color w:val="000000"/>
          <w:spacing w:val="1"/>
        </w:rPr>
        <w:t xml:space="preserve"> </w:t>
      </w:r>
      <w:r>
        <w:rPr>
          <w:color w:val="000000"/>
        </w:rPr>
        <w:t>ku</w:t>
      </w:r>
      <w:r>
        <w:rPr>
          <w:color w:val="000000"/>
          <w:spacing w:val="6"/>
        </w:rPr>
        <w:t>r</w:t>
      </w:r>
      <w:r>
        <w:rPr>
          <w:color w:val="000000"/>
        </w:rPr>
        <w:t>į</w:t>
      </w:r>
      <w:r>
        <w:rPr>
          <w:color w:val="000000"/>
          <w:spacing w:val="1"/>
        </w:rPr>
        <w:t xml:space="preserve"> </w:t>
      </w:r>
      <w:r>
        <w:rPr>
          <w:color w:val="000000"/>
          <w:spacing w:val="-4"/>
        </w:rPr>
        <w:t>l</w:t>
      </w:r>
      <w:r>
        <w:rPr>
          <w:color w:val="000000"/>
          <w:spacing w:val="4"/>
        </w:rPr>
        <w:t>a</w:t>
      </w:r>
      <w:r>
        <w:rPr>
          <w:color w:val="000000"/>
          <w:spacing w:val="-4"/>
        </w:rPr>
        <w:t>i</w:t>
      </w:r>
      <w:r>
        <w:rPr>
          <w:color w:val="000000"/>
        </w:rPr>
        <w:t>ką</w:t>
      </w:r>
      <w:r>
        <w:rPr>
          <w:color w:val="000000"/>
          <w:spacing w:val="9"/>
        </w:rPr>
        <w:t xml:space="preserve"> </w:t>
      </w:r>
      <w:r>
        <w:rPr>
          <w:color w:val="000000"/>
          <w:spacing w:val="-5"/>
        </w:rPr>
        <w:t>n</w:t>
      </w:r>
      <w:r>
        <w:rPr>
          <w:color w:val="000000"/>
          <w:spacing w:val="-1"/>
        </w:rPr>
        <w:t>e</w:t>
      </w:r>
      <w:r>
        <w:rPr>
          <w:color w:val="000000"/>
          <w:spacing w:val="2"/>
        </w:rPr>
        <w:t>s</w:t>
      </w:r>
      <w:r>
        <w:rPr>
          <w:color w:val="000000"/>
          <w:spacing w:val="-4"/>
        </w:rPr>
        <w:t>i</w:t>
      </w:r>
      <w:r>
        <w:rPr>
          <w:color w:val="000000"/>
          <w:spacing w:val="5"/>
        </w:rPr>
        <w:t>k</w:t>
      </w:r>
      <w:r>
        <w:rPr>
          <w:color w:val="000000"/>
          <w:spacing w:val="4"/>
        </w:rPr>
        <w:t>e</w:t>
      </w:r>
      <w:r>
        <w:rPr>
          <w:color w:val="000000"/>
          <w:spacing w:val="-4"/>
        </w:rPr>
        <w:t>i</w:t>
      </w:r>
      <w:r>
        <w:rPr>
          <w:color w:val="000000"/>
          <w:spacing w:val="4"/>
        </w:rPr>
        <w:t>č</w:t>
      </w:r>
      <w:r>
        <w:rPr>
          <w:color w:val="000000"/>
          <w:spacing w:val="-4"/>
        </w:rPr>
        <w:t>i</w:t>
      </w:r>
      <w:r>
        <w:rPr>
          <w:color w:val="000000"/>
          <w:spacing w:val="-1"/>
        </w:rPr>
        <w:t>a</w:t>
      </w:r>
      <w:r>
        <w:rPr>
          <w:color w:val="000000"/>
        </w:rPr>
        <w:t>.</w:t>
      </w:r>
      <w:r>
        <w:rPr>
          <w:color w:val="000000"/>
          <w:spacing w:val="3"/>
        </w:rPr>
        <w:t xml:space="preserve"> </w:t>
      </w:r>
      <w:r>
        <w:rPr>
          <w:color w:val="000000"/>
        </w:rPr>
        <w:t>H</w:t>
      </w:r>
      <w:r>
        <w:rPr>
          <w:color w:val="000000"/>
          <w:spacing w:val="-1"/>
        </w:rPr>
        <w:t>e</w:t>
      </w:r>
      <w:r>
        <w:rPr>
          <w:color w:val="000000"/>
          <w:spacing w:val="1"/>
        </w:rPr>
        <w:t>r</w:t>
      </w:r>
      <w:r>
        <w:rPr>
          <w:color w:val="000000"/>
          <w:spacing w:val="5"/>
        </w:rPr>
        <w:t>o</w:t>
      </w:r>
      <w:r>
        <w:rPr>
          <w:color w:val="000000"/>
          <w:spacing w:val="-4"/>
        </w:rPr>
        <w:t>i</w:t>
      </w:r>
      <w:r>
        <w:rPr>
          <w:color w:val="000000"/>
        </w:rPr>
        <w:t>n</w:t>
      </w:r>
      <w:r>
        <w:rPr>
          <w:color w:val="000000"/>
          <w:spacing w:val="-1"/>
        </w:rPr>
        <w:t>a</w:t>
      </w:r>
      <w:r>
        <w:rPr>
          <w:color w:val="000000"/>
        </w:rPr>
        <w:t xml:space="preserve">s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w:t>
      </w:r>
      <w:r>
        <w:rPr>
          <w:color w:val="000000"/>
          <w:spacing w:val="5"/>
        </w:rPr>
        <w:t xml:space="preserve"> </w:t>
      </w:r>
      <w:r>
        <w:rPr>
          <w:color w:val="000000"/>
          <w:spacing w:val="-9"/>
        </w:rPr>
        <w:t>i</w:t>
      </w:r>
      <w:r>
        <w:rPr>
          <w:color w:val="000000"/>
        </w:rPr>
        <w:t>r</w:t>
      </w:r>
      <w:r>
        <w:rPr>
          <w:color w:val="000000"/>
          <w:spacing w:val="2"/>
        </w:rPr>
        <w:t xml:space="preserve"> </w:t>
      </w:r>
      <w:r>
        <w:rPr>
          <w:color w:val="000000"/>
        </w:rPr>
        <w:t>t</w:t>
      </w:r>
      <w:r>
        <w:rPr>
          <w:color w:val="000000"/>
          <w:spacing w:val="5"/>
        </w:rPr>
        <w:t>o</w:t>
      </w:r>
      <w:r>
        <w:rPr>
          <w:color w:val="000000"/>
          <w:spacing w:val="-4"/>
        </w:rPr>
        <w:t>li</w:t>
      </w:r>
      <w:r>
        <w:rPr>
          <w:color w:val="000000"/>
          <w:spacing w:val="-1"/>
        </w:rPr>
        <w:t>a</w:t>
      </w:r>
      <w:r>
        <w:rPr>
          <w:color w:val="000000"/>
        </w:rPr>
        <w:t>u</w:t>
      </w:r>
      <w:r>
        <w:rPr>
          <w:color w:val="000000"/>
          <w:spacing w:val="6"/>
        </w:rPr>
        <w:t xml:space="preserve"> </w:t>
      </w:r>
      <w:r>
        <w:rPr>
          <w:color w:val="000000"/>
          <w:spacing w:val="-4"/>
        </w:rPr>
        <w:t>i</w:t>
      </w:r>
      <w:r>
        <w:rPr>
          <w:color w:val="000000"/>
          <w:spacing w:val="2"/>
        </w:rPr>
        <w:t>š</w:t>
      </w:r>
      <w:r>
        <w:rPr>
          <w:color w:val="000000"/>
        </w:rPr>
        <w:t>l</w:t>
      </w:r>
      <w:r>
        <w:rPr>
          <w:color w:val="000000"/>
          <w:spacing w:val="-4"/>
        </w:rPr>
        <w:t>i</w:t>
      </w:r>
      <w:r>
        <w:rPr>
          <w:color w:val="000000"/>
          <w:spacing w:val="-1"/>
        </w:rPr>
        <w:t>e</w:t>
      </w:r>
      <w:r>
        <w:rPr>
          <w:color w:val="000000"/>
          <w:spacing w:val="5"/>
        </w:rPr>
        <w:t>k</w:t>
      </w:r>
      <w:r>
        <w:rPr>
          <w:color w:val="000000"/>
        </w:rPr>
        <w:t>a p</w:t>
      </w:r>
      <w:r>
        <w:rPr>
          <w:color w:val="000000"/>
          <w:spacing w:val="5"/>
        </w:rPr>
        <w:t>o</w:t>
      </w:r>
      <w:r>
        <w:rPr>
          <w:color w:val="000000"/>
        </w:rPr>
        <w:t>pu</w:t>
      </w:r>
      <w:r>
        <w:rPr>
          <w:color w:val="000000"/>
          <w:spacing w:val="-4"/>
        </w:rPr>
        <w:t>li</w:t>
      </w:r>
      <w:r>
        <w:rPr>
          <w:color w:val="000000"/>
          <w:spacing w:val="-1"/>
        </w:rPr>
        <w:t>a</w:t>
      </w:r>
      <w:r>
        <w:rPr>
          <w:color w:val="000000"/>
          <w:spacing w:val="6"/>
        </w:rPr>
        <w:t>r</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rPr>
        <w:t>u</w:t>
      </w:r>
      <w:r>
        <w:rPr>
          <w:color w:val="000000"/>
          <w:spacing w:val="6"/>
        </w:rPr>
        <w:t xml:space="preserve"> </w:t>
      </w:r>
      <w:r>
        <w:rPr>
          <w:color w:val="000000"/>
          <w:spacing w:val="-4"/>
        </w:rPr>
        <w:t>i</w:t>
      </w:r>
      <w:r>
        <w:rPr>
          <w:color w:val="000000"/>
          <w:spacing w:val="-5"/>
        </w:rPr>
        <w:t>n</w:t>
      </w:r>
      <w:r>
        <w:rPr>
          <w:color w:val="000000"/>
          <w:spacing w:val="5"/>
        </w:rPr>
        <w:t>t</w:t>
      </w:r>
      <w:r>
        <w:rPr>
          <w:color w:val="000000"/>
          <w:spacing w:val="1"/>
        </w:rPr>
        <w:t>r</w:t>
      </w:r>
      <w:r>
        <w:rPr>
          <w:color w:val="000000"/>
          <w:spacing w:val="4"/>
        </w:rPr>
        <w:t>a</w:t>
      </w:r>
      <w:r>
        <w:rPr>
          <w:color w:val="000000"/>
        </w:rPr>
        <w:t>v</w:t>
      </w:r>
      <w:r>
        <w:rPr>
          <w:color w:val="000000"/>
          <w:spacing w:val="-1"/>
        </w:rPr>
        <w:t>e</w:t>
      </w:r>
      <w:r>
        <w:rPr>
          <w:color w:val="000000"/>
        </w:rPr>
        <w:t>n</w:t>
      </w:r>
      <w:r>
        <w:rPr>
          <w:color w:val="000000"/>
          <w:spacing w:val="-4"/>
        </w:rPr>
        <w:t>i</w:t>
      </w:r>
      <w:r>
        <w:rPr>
          <w:color w:val="000000"/>
          <w:spacing w:val="5"/>
        </w:rPr>
        <w:t>n</w:t>
      </w:r>
      <w:r>
        <w:rPr>
          <w:color w:val="000000"/>
          <w:spacing w:val="-4"/>
        </w:rPr>
        <w:t>i</w:t>
      </w:r>
      <w:r>
        <w:rPr>
          <w:color w:val="000000"/>
        </w:rPr>
        <w:t>u</w:t>
      </w:r>
      <w:r>
        <w:rPr>
          <w:color w:val="000000"/>
          <w:spacing w:val="13"/>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ku.</w:t>
      </w:r>
      <w:r>
        <w:rPr>
          <w:color w:val="000000"/>
          <w:spacing w:val="8"/>
        </w:rPr>
        <w:t xml:space="preserve"> </w:t>
      </w:r>
      <w:r>
        <w:rPr>
          <w:color w:val="000000"/>
          <w:spacing w:val="-5"/>
        </w:rPr>
        <w:t>K</w:t>
      </w:r>
      <w:r>
        <w:rPr>
          <w:color w:val="000000"/>
          <w:spacing w:val="4"/>
        </w:rPr>
        <w:t>a</w:t>
      </w:r>
      <w:r>
        <w:rPr>
          <w:color w:val="000000"/>
          <w:spacing w:val="-4"/>
        </w:rPr>
        <w:t>i</w:t>
      </w:r>
      <w:r>
        <w:rPr>
          <w:color w:val="000000"/>
        </w:rPr>
        <w:t>p</w:t>
      </w:r>
      <w:r>
        <w:rPr>
          <w:color w:val="000000"/>
          <w:spacing w:val="6"/>
        </w:rPr>
        <w:t xml:space="preserve"> </w:t>
      </w:r>
      <w:r>
        <w:rPr>
          <w:color w:val="000000"/>
          <w:spacing w:val="-9"/>
        </w:rPr>
        <w:t>i</w:t>
      </w:r>
      <w:r>
        <w:rPr>
          <w:color w:val="000000"/>
        </w:rPr>
        <w:t>r</w:t>
      </w:r>
      <w:r>
        <w:rPr>
          <w:color w:val="000000"/>
          <w:spacing w:val="2"/>
        </w:rPr>
        <w:t xml:space="preserve"> </w:t>
      </w:r>
      <w:r>
        <w:rPr>
          <w:color w:val="000000"/>
          <w:spacing w:val="4"/>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3"/>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spacing w:val="-2"/>
        </w:rPr>
        <w:t>s</w:t>
      </w:r>
      <w:r>
        <w:rPr>
          <w:color w:val="000000"/>
        </w:rPr>
        <w:t>, d</w:t>
      </w:r>
      <w:r>
        <w:rPr>
          <w:color w:val="000000"/>
          <w:spacing w:val="-1"/>
        </w:rPr>
        <w:t>až</w:t>
      </w:r>
      <w:r>
        <w:rPr>
          <w:color w:val="000000"/>
        </w:rPr>
        <w:t>n</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7"/>
        </w:rPr>
        <w:t xml:space="preserve"> </w:t>
      </w:r>
      <w:r>
        <w:rPr>
          <w:color w:val="000000"/>
          <w:spacing w:val="-5"/>
        </w:rPr>
        <w:t>n</w:t>
      </w:r>
      <w:r>
        <w:rPr>
          <w:color w:val="000000"/>
          <w:spacing w:val="4"/>
        </w:rPr>
        <w:t>e</w:t>
      </w:r>
      <w:r>
        <w:rPr>
          <w:color w:val="000000"/>
          <w:spacing w:val="-4"/>
        </w:rPr>
        <w:t>l</w:t>
      </w:r>
      <w:r>
        <w:rPr>
          <w:color w:val="000000"/>
          <w:spacing w:val="4"/>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spacing w:val="-4"/>
        </w:rPr>
        <w:t>j</w:t>
      </w:r>
      <w:r>
        <w:rPr>
          <w:color w:val="000000"/>
        </w:rPr>
        <w:t>e</w:t>
      </w:r>
      <w:r>
        <w:rPr>
          <w:color w:val="000000"/>
          <w:spacing w:val="6"/>
        </w:rPr>
        <w:t xml:space="preserve"> r</w:t>
      </w:r>
      <w:r>
        <w:rPr>
          <w:color w:val="000000"/>
          <w:spacing w:val="-4"/>
        </w:rPr>
        <w:t>i</w:t>
      </w:r>
      <w:r>
        <w:rPr>
          <w:color w:val="000000"/>
        </w:rPr>
        <w:t>nk</w:t>
      </w:r>
      <w:r>
        <w:rPr>
          <w:color w:val="000000"/>
          <w:spacing w:val="5"/>
        </w:rPr>
        <w:t>o</w:t>
      </w:r>
      <w:r>
        <w:rPr>
          <w:color w:val="000000"/>
          <w:spacing w:val="-4"/>
        </w:rPr>
        <w:t>j</w:t>
      </w:r>
      <w:r>
        <w:rPr>
          <w:color w:val="000000"/>
        </w:rPr>
        <w:t>e</w:t>
      </w:r>
      <w:r>
        <w:rPr>
          <w:color w:val="000000"/>
          <w:spacing w:val="11"/>
        </w:rPr>
        <w:t xml:space="preserve"> </w:t>
      </w:r>
      <w:r>
        <w:rPr>
          <w:color w:val="000000"/>
          <w:spacing w:val="-4"/>
        </w:rPr>
        <w:t>i</w:t>
      </w:r>
      <w:r>
        <w:rPr>
          <w:color w:val="000000"/>
          <w:spacing w:val="2"/>
        </w:rPr>
        <w:t>š</w:t>
      </w:r>
      <w:r>
        <w:rPr>
          <w:color w:val="000000"/>
        </w:rPr>
        <w:t>i</w:t>
      </w:r>
      <w:r>
        <w:rPr>
          <w:color w:val="000000"/>
          <w:spacing w:val="-4"/>
        </w:rPr>
        <w:t>m</w:t>
      </w:r>
      <w:r>
        <w:rPr>
          <w:color w:val="000000"/>
          <w:spacing w:val="4"/>
        </w:rPr>
        <w:t>a</w:t>
      </w:r>
      <w:r>
        <w:rPr>
          <w:color w:val="000000"/>
        </w:rPr>
        <w:t>mi</w:t>
      </w:r>
      <w:r>
        <w:rPr>
          <w:color w:val="000000"/>
          <w:spacing w:val="8"/>
        </w:rPr>
        <w:t xml:space="preserve"> </w:t>
      </w:r>
      <w:r>
        <w:rPr>
          <w:color w:val="000000"/>
          <w:spacing w:val="2"/>
        </w:rPr>
        <w:t>š</w:t>
      </w:r>
      <w:r>
        <w:rPr>
          <w:color w:val="000000"/>
          <w:spacing w:val="-9"/>
        </w:rPr>
        <w:t>i</w:t>
      </w:r>
      <w:r>
        <w:rPr>
          <w:color w:val="000000"/>
          <w:spacing w:val="5"/>
        </w:rPr>
        <w:t>o</w:t>
      </w:r>
      <w:r>
        <w:rPr>
          <w:color w:val="000000"/>
        </w:rPr>
        <w:t>s</w:t>
      </w:r>
      <w:r>
        <w:rPr>
          <w:color w:val="000000"/>
          <w:spacing w:val="14"/>
        </w:rPr>
        <w:t xml:space="preserve"> </w:t>
      </w:r>
      <w:r>
        <w:rPr>
          <w:color w:val="000000"/>
          <w:spacing w:val="-4"/>
        </w:rPr>
        <w:t>m</w:t>
      </w:r>
      <w:r>
        <w:rPr>
          <w:color w:val="000000"/>
          <w:spacing w:val="-1"/>
        </w:rPr>
        <w:t>e</w:t>
      </w:r>
      <w:r>
        <w:rPr>
          <w:color w:val="000000"/>
        </w:rPr>
        <w:t>d</w:t>
      </w:r>
      <w:r>
        <w:rPr>
          <w:color w:val="000000"/>
          <w:spacing w:val="4"/>
        </w:rPr>
        <w:t>ž</w:t>
      </w:r>
      <w:r>
        <w:rPr>
          <w:color w:val="000000"/>
        </w:rPr>
        <w:t>iag</w:t>
      </w:r>
      <w:r>
        <w:rPr>
          <w:color w:val="000000"/>
          <w:spacing w:val="4"/>
        </w:rPr>
        <w:t>o</w:t>
      </w:r>
      <w:r>
        <w:rPr>
          <w:color w:val="000000"/>
        </w:rPr>
        <w:t>s</w:t>
      </w:r>
      <w:r>
        <w:rPr>
          <w:color w:val="000000"/>
          <w:spacing w:val="5"/>
        </w:rPr>
        <w:t xml:space="preserve"> k</w:t>
      </w:r>
      <w:r>
        <w:rPr>
          <w:color w:val="000000"/>
          <w:spacing w:val="-9"/>
        </w:rPr>
        <w:t>i</w:t>
      </w:r>
      <w:r>
        <w:rPr>
          <w:color w:val="000000"/>
          <w:spacing w:val="-1"/>
        </w:rPr>
        <w:t>e</w:t>
      </w:r>
      <w:r>
        <w:rPr>
          <w:color w:val="000000"/>
          <w:spacing w:val="5"/>
        </w:rPr>
        <w:t>k</w:t>
      </w:r>
      <w:r>
        <w:rPr>
          <w:color w:val="000000"/>
          <w:spacing w:val="-4"/>
        </w:rPr>
        <w:t>i</w:t>
      </w:r>
      <w:r>
        <w:rPr>
          <w:color w:val="000000"/>
          <w:spacing w:val="4"/>
        </w:rPr>
        <w:t>a</w:t>
      </w:r>
      <w:r>
        <w:rPr>
          <w:color w:val="000000"/>
        </w:rPr>
        <w:t>i</w:t>
      </w:r>
      <w:r>
        <w:rPr>
          <w:color w:val="000000"/>
          <w:spacing w:val="7"/>
        </w:rPr>
        <w:t xml:space="preserve"> </w:t>
      </w:r>
      <w:r>
        <w:rPr>
          <w:color w:val="000000"/>
        </w:rPr>
        <w:t>n</w:t>
      </w:r>
      <w:r>
        <w:rPr>
          <w:color w:val="000000"/>
          <w:spacing w:val="4"/>
        </w:rPr>
        <w:t>e</w:t>
      </w:r>
      <w:r>
        <w:rPr>
          <w:color w:val="000000"/>
        </w:rPr>
        <w:t>v</w:t>
      </w:r>
      <w:r>
        <w:rPr>
          <w:color w:val="000000"/>
          <w:spacing w:val="-9"/>
        </w:rPr>
        <w:t>i</w:t>
      </w:r>
      <w:r>
        <w:rPr>
          <w:color w:val="000000"/>
          <w:spacing w:val="6"/>
        </w:rPr>
        <w:t>r</w:t>
      </w:r>
      <w:r>
        <w:rPr>
          <w:color w:val="000000"/>
          <w:spacing w:val="2"/>
        </w:rPr>
        <w:t>š</w:t>
      </w:r>
      <w:r>
        <w:rPr>
          <w:color w:val="000000"/>
          <w:spacing w:val="-4"/>
        </w:rPr>
        <w:t>ij</w:t>
      </w:r>
      <w:r>
        <w:rPr>
          <w:color w:val="000000"/>
        </w:rPr>
        <w:t>a</w:t>
      </w:r>
      <w:r>
        <w:rPr>
          <w:color w:val="000000"/>
          <w:spacing w:val="11"/>
        </w:rPr>
        <w:t xml:space="preserve"> </w:t>
      </w:r>
      <w:r>
        <w:rPr>
          <w:color w:val="000000"/>
        </w:rPr>
        <w:t>1</w:t>
      </w:r>
      <w:r>
        <w:rPr>
          <w:color w:val="000000"/>
          <w:spacing w:val="12"/>
        </w:rPr>
        <w:t xml:space="preserve"> </w:t>
      </w:r>
      <w:r>
        <w:rPr>
          <w:color w:val="000000"/>
        </w:rPr>
        <w:t>g</w:t>
      </w:r>
      <w:r>
        <w:rPr>
          <w:color w:val="000000"/>
          <w:spacing w:val="7"/>
        </w:rPr>
        <w:t xml:space="preserve"> </w:t>
      </w:r>
      <w:r>
        <w:rPr>
          <w:color w:val="000000"/>
          <w:spacing w:val="1"/>
        </w:rPr>
        <w:t>(</w:t>
      </w:r>
      <w:r>
        <w:rPr>
          <w:color w:val="000000"/>
        </w:rPr>
        <w:t>2012</w:t>
      </w:r>
      <w:r>
        <w:rPr>
          <w:color w:val="000000"/>
          <w:spacing w:val="12"/>
        </w:rPr>
        <w:t xml:space="preserve"> </w:t>
      </w:r>
      <w:r>
        <w:rPr>
          <w:color w:val="000000"/>
          <w:spacing w:val="-9"/>
        </w:rPr>
        <w:t>m</w:t>
      </w:r>
      <w:r>
        <w:rPr>
          <w:color w:val="000000"/>
        </w:rPr>
        <w:t>.</w:t>
      </w:r>
      <w:r>
        <w:rPr>
          <w:color w:val="000000"/>
          <w:spacing w:val="14"/>
        </w:rPr>
        <w:t xml:space="preserve"> </w:t>
      </w:r>
      <w:r>
        <w:rPr>
          <w:color w:val="000000"/>
          <w:spacing w:val="5"/>
        </w:rPr>
        <w:t>to</w:t>
      </w:r>
      <w:r>
        <w:rPr>
          <w:color w:val="000000"/>
        </w:rPr>
        <w:t>k</w:t>
      </w:r>
      <w:r>
        <w:rPr>
          <w:color w:val="000000"/>
          <w:spacing w:val="-9"/>
        </w:rPr>
        <w:t>i</w:t>
      </w:r>
      <w:r>
        <w:rPr>
          <w:color w:val="000000"/>
        </w:rPr>
        <w:t>ų</w:t>
      </w:r>
      <w:r>
        <w:rPr>
          <w:color w:val="000000"/>
          <w:spacing w:val="12"/>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w:t>
      </w:r>
    </w:p>
    <w:p w:rsidR="004F7425" w:rsidRDefault="004F7425" w:rsidP="004F7425">
      <w:pPr>
        <w:widowControl w:val="0"/>
        <w:autoSpaceDE w:val="0"/>
        <w:autoSpaceDN w:val="0"/>
        <w:adjustRightInd w:val="0"/>
        <w:spacing w:line="270" w:lineRule="exact"/>
        <w:ind w:left="120" w:right="4157"/>
        <w:jc w:val="both"/>
        <w:rPr>
          <w:color w:val="000000"/>
        </w:rPr>
      </w:pPr>
      <w:r>
        <w:rPr>
          <w:noProof/>
          <w:lang w:eastAsia="lt-LT"/>
        </w:rPr>
        <mc:AlternateContent>
          <mc:Choice Requires="wpg">
            <w:drawing>
              <wp:anchor distT="0" distB="0" distL="114300" distR="114300" simplePos="0" relativeHeight="251750400" behindDoc="1" locked="0" layoutInCell="0" allowOverlap="1">
                <wp:simplePos x="0" y="0"/>
                <wp:positionH relativeFrom="page">
                  <wp:posOffset>1129030</wp:posOffset>
                </wp:positionH>
                <wp:positionV relativeFrom="paragraph">
                  <wp:posOffset>322580</wp:posOffset>
                </wp:positionV>
                <wp:extent cx="6083300" cy="1908175"/>
                <wp:effectExtent l="5080" t="7620" r="7620" b="8255"/>
                <wp:wrapNone/>
                <wp:docPr id="230" name="Grupė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3300" cy="1908175"/>
                          <a:chOff x="1778" y="508"/>
                          <a:chExt cx="9580" cy="3005"/>
                        </a:xfrm>
                      </wpg:grpSpPr>
                      <wps:wsp>
                        <wps:cNvPr id="231" name="Rectangle 224"/>
                        <wps:cNvSpPr>
                          <a:spLocks/>
                        </wps:cNvSpPr>
                        <wps:spPr bwMode="auto">
                          <a:xfrm>
                            <a:off x="2441" y="2661"/>
                            <a:ext cx="325" cy="363"/>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Rectangle 225"/>
                        <wps:cNvSpPr>
                          <a:spLocks/>
                        </wps:cNvSpPr>
                        <wps:spPr bwMode="auto">
                          <a:xfrm>
                            <a:off x="3254" y="2924"/>
                            <a:ext cx="325" cy="100"/>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Rectangle 226"/>
                        <wps:cNvSpPr>
                          <a:spLocks/>
                        </wps:cNvSpPr>
                        <wps:spPr bwMode="auto">
                          <a:xfrm>
                            <a:off x="4067" y="2674"/>
                            <a:ext cx="325" cy="350"/>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Rectangle 227"/>
                        <wps:cNvSpPr>
                          <a:spLocks/>
                        </wps:cNvSpPr>
                        <wps:spPr bwMode="auto">
                          <a:xfrm>
                            <a:off x="4880" y="2799"/>
                            <a:ext cx="324" cy="225"/>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Rectangle 228"/>
                        <wps:cNvSpPr>
                          <a:spLocks/>
                        </wps:cNvSpPr>
                        <wps:spPr bwMode="auto">
                          <a:xfrm>
                            <a:off x="5692" y="2448"/>
                            <a:ext cx="325" cy="575"/>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Rectangle 229"/>
                        <wps:cNvSpPr>
                          <a:spLocks/>
                        </wps:cNvSpPr>
                        <wps:spPr bwMode="auto">
                          <a:xfrm>
                            <a:off x="6505" y="2248"/>
                            <a:ext cx="325" cy="776"/>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Rectangle 230"/>
                        <wps:cNvSpPr>
                          <a:spLocks/>
                        </wps:cNvSpPr>
                        <wps:spPr bwMode="auto">
                          <a:xfrm>
                            <a:off x="7318" y="1334"/>
                            <a:ext cx="325" cy="1690"/>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231"/>
                        <wps:cNvSpPr>
                          <a:spLocks/>
                        </wps:cNvSpPr>
                        <wps:spPr bwMode="auto">
                          <a:xfrm>
                            <a:off x="8131" y="2574"/>
                            <a:ext cx="325" cy="450"/>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Rectangle 232"/>
                        <wps:cNvSpPr>
                          <a:spLocks/>
                        </wps:cNvSpPr>
                        <wps:spPr bwMode="auto">
                          <a:xfrm>
                            <a:off x="8944" y="1785"/>
                            <a:ext cx="325" cy="1239"/>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233"/>
                        <wps:cNvSpPr>
                          <a:spLocks/>
                        </wps:cNvSpPr>
                        <wps:spPr bwMode="auto">
                          <a:xfrm>
                            <a:off x="9757" y="2148"/>
                            <a:ext cx="325" cy="876"/>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Rectangle 234"/>
                        <wps:cNvSpPr>
                          <a:spLocks/>
                        </wps:cNvSpPr>
                        <wps:spPr bwMode="auto">
                          <a:xfrm>
                            <a:off x="10570" y="2899"/>
                            <a:ext cx="324" cy="125"/>
                          </a:xfrm>
                          <a:prstGeom prst="rect">
                            <a:avLst/>
                          </a:prstGeom>
                          <a:solidFill>
                            <a:srgbClr val="9747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Freeform 235"/>
                        <wps:cNvSpPr>
                          <a:spLocks/>
                        </wps:cNvSpPr>
                        <wps:spPr bwMode="auto">
                          <a:xfrm>
                            <a:off x="2197" y="3031"/>
                            <a:ext cx="8942" cy="20"/>
                          </a:xfrm>
                          <a:custGeom>
                            <a:avLst/>
                            <a:gdLst>
                              <a:gd name="T0" fmla="*/ 0 w 8942"/>
                              <a:gd name="T1" fmla="*/ 0 h 20"/>
                              <a:gd name="T2" fmla="*/ 8941 w 8942"/>
                              <a:gd name="T3" fmla="*/ 0 h 20"/>
                            </a:gdLst>
                            <a:ahLst/>
                            <a:cxnLst>
                              <a:cxn ang="0">
                                <a:pos x="T0" y="T1"/>
                              </a:cxn>
                              <a:cxn ang="0">
                                <a:pos x="T2" y="T3"/>
                              </a:cxn>
                            </a:cxnLst>
                            <a:rect l="0" t="0" r="r" b="b"/>
                            <a:pathLst>
                              <a:path w="8942" h="20">
                                <a:moveTo>
                                  <a:pt x="0" y="0"/>
                                </a:moveTo>
                                <a:lnTo>
                                  <a:pt x="8941" y="0"/>
                                </a:lnTo>
                              </a:path>
                            </a:pathLst>
                          </a:custGeom>
                          <a:noFill/>
                          <a:ln w="7950">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Rectangle 236"/>
                        <wps:cNvSpPr>
                          <a:spLocks/>
                        </wps:cNvSpPr>
                        <wps:spPr bwMode="auto">
                          <a:xfrm>
                            <a:off x="1784" y="514"/>
                            <a:ext cx="9567" cy="2992"/>
                          </a:xfrm>
                          <a:prstGeom prst="rect">
                            <a:avLst/>
                          </a:prstGeom>
                          <a:noFill/>
                          <a:ln w="7957">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230" o:spid="_x0000_s1026" style="position:absolute;margin-left:88.9pt;margin-top:25.4pt;width:479pt;height:150.25pt;z-index:-251566080;mso-position-horizontal-relative:page" coordorigin="1778,508" coordsize="9580,3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" o:allowincell="f">
                <v:rect id="Rectangle 224" o:spid="_x0000_s1027" style="position:absolute;left:2441;top:2661;width:325;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AdaMQA&#10;AADcAAAADwAAAGRycy9kb3ducmV2LnhtbESPQWsCMRSE70L/Q3iF3jSrQpGtUURYsK2X2oVeX5Pn&#10;btjNy5Kkuv33plDwOMzMN8x6O7peXChE61nBfFaAINbeWG4U1J/VdAUiJmSDvWdS8EsRtpuHyRpL&#10;46/8QZdTakSGcCxRQZvSUEoZdUsO48wPxNk7++AwZRkaaQJeM9z1clEUz9Kh5bzQ4kD7lnR3+nEK&#10;zFvdvR6t/q6+qn1YdjYcvH5X6ulx3L2ASDSme/i/fTAKFss5/J3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wHWjEAAAA3AAAAA8AAAAAAAAAAAAAAAAAmAIAAGRycy9k&#10;b3ducmV2LnhtbFBLBQYAAAAABAAEAPUAAACJAwAAAAA=&#10;" fillcolor="#974707" stroked="f">
                  <v:path arrowok="t"/>
                </v:rect>
                <v:rect id="Rectangle 225" o:spid="_x0000_s1028" style="position:absolute;left:3254;top:2924;width:325;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KDH8QA&#10;AADcAAAADwAAAGRycy9kb3ducmV2LnhtbESPzWrDMBCE74G+g9hCb4lcB0pwo4QSMKRtLvmBXrfS&#10;1ha2VkZSE/fto0Igx2FmvmGW69H14kwhWs8KnmcFCGLtjeVGwelYTxcgYkI22HsmBX8UYb16mCyx&#10;Mv7CezofUiMyhGOFCtqUhkrKqFtyGGd+IM7ejw8OU5ahkSbgJcNdL8uieJEOLeeFFgfatKS7w69T&#10;YD5O3fvO6u/6q96EeWfD1utPpZ4ex7dXEInGdA/f2lujoJyX8H8mHw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igx/EAAAA3AAAAA8AAAAAAAAAAAAAAAAAmAIAAGRycy9k&#10;b3ducmV2LnhtbFBLBQYAAAAABAAEAPUAAACJAwAAAAA=&#10;" fillcolor="#974707" stroked="f">
                  <v:path arrowok="t"/>
                </v:rect>
                <v:rect id="Rectangle 226" o:spid="_x0000_s1029" style="position:absolute;left:4067;top:2674;width:325;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4mhMQA&#10;AADcAAAADwAAAGRycy9kb3ducmV2LnhtbESPQWsCMRSE74X+h/AK3mpWF6RsjSLCgrW9VIVen8lz&#10;N+zmZUlS3f77Rij0OMzMN8xyPbpeXClE61nBbFqAINbeWG4UnI718wuImJAN9p5JwQ9FWK8eH5ZY&#10;GX/jT7oeUiMyhGOFCtqUhkrKqFtyGKd+IM7exQeHKcvQSBPwluGul/OiWEiHlvNCiwNtW9Ld4dsp&#10;MPtT9/Zh9bn+qreh7GzYef2u1ORp3LyCSDSm//Bfe2cUzMsS7mfy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uJoTEAAAA3AAAAA8AAAAAAAAAAAAAAAAAmAIAAGRycy9k&#10;b3ducmV2LnhtbFBLBQYAAAAABAAEAPUAAACJAwAAAAA=&#10;" fillcolor="#974707" stroked="f">
                  <v:path arrowok="t"/>
                </v:rect>
                <v:rect id="Rectangle 227" o:spid="_x0000_s1030" style="position:absolute;left:4880;top:2799;width:324;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e+8MQA&#10;AADcAAAADwAAAGRycy9kb3ducmV2LnhtbESPQWsCMRSE70L/Q3iF3jRbLVJWoxRhwbZetEKvr8lz&#10;N+zmZUlS3f77RhA8DjPzDbNcD64TZwrRelbwPClAEGtvLNcKjl/V+BVETMgGO8+k4I8irFcPoyWW&#10;xl94T+dDqkWGcCxRQZNSX0oZdUMO48T3xNk7+eAwZRlqaQJeMtx1cloUc+nQcl5osKdNQ7o9/DoF&#10;5uPYvu+s/qm+q02YtTZsvf5U6ulxeFuASDSke/jW3hoF09kLXM/k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HvvDEAAAA3AAAAA8AAAAAAAAAAAAAAAAAmAIAAGRycy9k&#10;b3ducmV2LnhtbFBLBQYAAAAABAAEAPUAAACJAwAAAAA=&#10;" fillcolor="#974707" stroked="f">
                  <v:path arrowok="t"/>
                </v:rect>
                <v:rect id="Rectangle 228" o:spid="_x0000_s1031" style="position:absolute;left:5692;top:2448;width:325;height: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sba8QA&#10;AADcAAAADwAAAGRycy9kb3ducmV2LnhtbESPQWsCMRSE70L/Q3iF3jRbpVJWoxRhwbZetEKvr8lz&#10;N+zmZUlS3f77RhA8DjPzDbNcD64TZwrRelbwPClAEGtvLNcKjl/V+BVETMgGO8+k4I8irFcPoyWW&#10;xl94T+dDqkWGcCxRQZNSX0oZdUMO48T3xNk7+eAwZRlqaQJeMtx1cloUc+nQcl5osKdNQ7o9/DoF&#10;5uPYvu+s/qm+q02YtTZsvf5U6ulxeFuASDSke/jW3hoF09kLXM/k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LG2vEAAAA3AAAAA8AAAAAAAAAAAAAAAAAmAIAAGRycy9k&#10;b3ducmV2LnhtbFBLBQYAAAAABAAEAPUAAACJAwAAAAA=&#10;" fillcolor="#974707" stroked="f">
                  <v:path arrowok="t"/>
                </v:rect>
                <v:rect id="Rectangle 229" o:spid="_x0000_s1032" style="position:absolute;left:6505;top:2248;width:325;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FHMQA&#10;AADcAAAADwAAAGRycy9kb3ducmV2LnhtbESPT2sCMRTE70K/Q3iF3jRbBZGtUURYsH8u1QWvr8lz&#10;N+zmZUlS3X77plDwOMzMb5j1dnS9uFKI1rOC51kBglh7Y7lRUJ+q6QpETMgGe8+k4IcibDcPkzWW&#10;xt/4k67H1IgM4ViigjaloZQy6pYcxpkfiLN38cFhyjI00gS8Zbjr5bwoltKh5bzQ4kD7lnR3/HYK&#10;zFvdvX5Y/VWdq31YdDYcvH5X6ulx3L2ASDSme/i/fTAK5osl/J3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ZhRzEAAAA3AAAAA8AAAAAAAAAAAAAAAAAmAIAAGRycy9k&#10;b3ducmV2LnhtbFBLBQYAAAAABAAEAPUAAACJAwAAAAA=&#10;" fillcolor="#974707" stroked="f">
                  <v:path arrowok="t"/>
                </v:rect>
                <v:rect id="Rectangle 230" o:spid="_x0000_s1033" style="position:absolute;left:7318;top:1334;width:325;height:1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Ugh8QA&#10;AADcAAAADwAAAGRycy9kb3ducmV2LnhtbESPQWsCMRSE70L/Q3iF3jRbhVpWoxRhwbZetEKvr8lz&#10;N+zmZUlS3f77RhA8DjPzDbNcD64TZwrRelbwPClAEGtvLNcKjl/V+BVETMgGO8+k4I8irFcPoyWW&#10;xl94T+dDqkWGcCxRQZNSX0oZdUMO48T3xNk7+eAwZRlqaQJeMtx1cloUL9Kh5bzQYE+bhnR7+HUK&#10;zMexfd9Z/VN9V5swa23Yev2p1NPj8LYAkWhI9/CtvTUKprM5XM/k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VIIfEAAAA3AAAAA8AAAAAAAAAAAAAAAAAmAIAAGRycy9k&#10;b3ducmV2LnhtbFBLBQYAAAAABAAEAPUAAACJAwAAAAA=&#10;" fillcolor="#974707" stroked="f">
                  <v:path arrowok="t"/>
                </v:rect>
                <v:rect id="Rectangle 231" o:spid="_x0000_s1034" style="position:absolute;left:8131;top:2574;width:325;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q09cAA&#10;AADcAAAADwAAAGRycy9kb3ducmV2LnhtbERPTWsCMRC9F/wPYQRvNatCKVujFGHB1l6qgtdpMt0N&#10;u5ksSdT135uD4PHxvpfrwXXiQiFazwpm0wIEsfbGcq3geKhe30HEhGyw80wKbhRhvRq9LLE0/sq/&#10;dNmnWuQQjiUqaFLqSymjbshhnPqeOHP/PjhMGYZamoDXHO46OS+KN+nQcm5osKdNQ7rdn50C831s&#10;v36s/qtO1SYsWhu2Xu+UmoyHzw8QiYb0FD/cW6Ngvshr85l8BOTq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q09cAAAADcAAAADwAAAAAAAAAAAAAAAACYAgAAZHJzL2Rvd25y&#10;ZXYueG1sUEsFBgAAAAAEAAQA9QAAAIUDAAAAAA==&#10;" fillcolor="#974707" stroked="f">
                  <v:path arrowok="t"/>
                </v:rect>
                <v:rect id="Rectangle 232" o:spid="_x0000_s1035" style="position:absolute;left:8944;top:1785;width:325;height:1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YRbsQA&#10;AADcAAAADwAAAGRycy9kb3ducmV2LnhtbESPQWsCMRSE70L/Q3iF3jRbhWJXoxRhwbZetEKvr8lz&#10;N+zmZUlS3f77RhA8DjPzDbNcD64TZwrRelbwPClAEGtvLNcKjl/VeA4iJmSDnWdS8EcR1quH0RJL&#10;4y+8p/Mh1SJDOJaooEmpL6WMuiGHceJ74uydfHCYsgy1NAEvGe46OS2KF+nQcl5osKdNQ7o9/DoF&#10;5uPYvu+s/qm+q02YtTZsvf5U6ulxeFuASDSke/jW3hoF09krXM/k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EW7EAAAA3AAAAA8AAAAAAAAAAAAAAAAAmAIAAGRycy9k&#10;b3ducmV2LnhtbFBLBQYAAAAABAAEAPUAAACJAwAAAAA=&#10;" fillcolor="#974707" stroked="f">
                  <v:path arrowok="t"/>
                </v:rect>
                <v:rect id="Rectangle 233" o:spid="_x0000_s1036" style="position:absolute;left:9757;top:2148;width:325;height: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rLjsEA&#10;AADcAAAADwAAAGRycy9kb3ducmV2LnhtbERPz2vCMBS+D/Y/hDfwNtPpEOmMMoSCul2swq5vyVsb&#10;2ryUJGr975fDYMeP7/dqM7peXClE61nBy7QAQay9sdwoOJ+q5yWImJAN9p5JwZ0ibNaPDyssjb/x&#10;ka51akQO4ViigjaloZQy6pYcxqkfiDP344PDlGFopAl4y+Gul7OiWEiHlnNDiwNtW9JdfXEKzOHc&#10;7T+t/q6+qm2YdzbsvP5QavI0vr+BSDSmf/Gfe2cUzF7z/HwmHw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6y47BAAAA3AAAAA8AAAAAAAAAAAAAAAAAmAIAAGRycy9kb3du&#10;cmV2LnhtbFBLBQYAAAAABAAEAPUAAACGAwAAAAA=&#10;" fillcolor="#974707" stroked="f">
                  <v:path arrowok="t"/>
                </v:rect>
                <v:rect id="Rectangle 234" o:spid="_x0000_s1037" style="position:absolute;left:10570;top:2899;width:324;height:1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ZuFcQA&#10;AADcAAAADwAAAGRycy9kb3ducmV2LnhtbESPQWsCMRSE74X+h/AK3mpWK0VWoxRhwWovVaHX1+S5&#10;G3bzsiSpbv99UxA8DjPzDbNcD64TFwrRelYwGRcgiLU3lmsFp2P1PAcRE7LBzjMp+KUI69XjwxJL&#10;46/8SZdDqkWGcCxRQZNSX0oZdUMO49j3xNk7++AwZRlqaQJeM9x1cloUr9Kh5bzQYE+bhnR7+HEK&#10;zO7Uvn9Y/V19VZvw0tqw9Xqv1OhpeFuASDSke/jW3hoF09kE/s/k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2bhXEAAAA3AAAAA8AAAAAAAAAAAAAAAAAmAIAAGRycy9k&#10;b3ducmV2LnhtbFBLBQYAAAAABAAEAPUAAACJAwAAAAA=&#10;" fillcolor="#974707" stroked="f">
                  <v:path arrowok="t"/>
                </v:rect>
                <v:shape id="Freeform 235" o:spid="_x0000_s1038" style="position:absolute;left:2197;top:3031;width:8942;height:20;visibility:visible;mso-wrap-style:square;v-text-anchor:top" coordsize="89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xG9cUA&#10;AADcAAAADwAAAGRycy9kb3ducmV2LnhtbESPQWsCMRSE70L/Q3iCN826Wmm3RmlFq0gvtRWvj83r&#10;7tLNy5JE3frrTUHwOMzMN8x03ppanMj5yrKC4SABQZxbXXGh4Ptr1X8C4QOyxtoyKfgjD/PZQ2eK&#10;mbZn/qTTLhQiQthnqKAMocmk9HlJBv3ANsTR+7HOYIjSFVI7PEe4qWWaJBNpsOK4UGJDi5Ly393R&#10;KFjjdrQP++fDgZbLx4t7zzf09qFUr9u+voAI1IZ7+NbeaAXpOIX/M/EI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Eb1xQAAANwAAAAPAAAAAAAAAAAAAAAAAJgCAABkcnMv&#10;ZG93bnJldi54bWxQSwUGAAAAAAQABAD1AAAAigMAAAAA&#10;" path="m,l8941,e" filled="f" strokecolor="#858585" strokeweight=".22083mm">
                  <v:path arrowok="t" o:connecttype="custom" o:connectlocs="0,0;8941,0" o:connectangles="0,0"/>
                </v:shape>
                <v:rect id="Rectangle 236" o:spid="_x0000_s1039" style="position:absolute;left:1784;top:514;width:9567;height:29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miW8YA&#10;AADcAAAADwAAAGRycy9kb3ducmV2LnhtbESPQWvCQBSE74L/YXlCL1I3sRokdRURCqWYg1oQb4/s&#10;axLMvg3ZNcZ/3xUEj8PMfMMs172pRUetqywriCcRCOLc6ooLBb/Hr/cFCOeRNdaWScGdHKxXw8ES&#10;U21vvKfu4AsRIOxSVFB636RSurwkg25iG+Lg/dnWoA+yLaRu8RbgppbTKEqkwYrDQokNbUvKL4er&#10;UbA93Xd5PB93pzhrxpufJDsnmVfqbdRvPkF46v0r/Gx/awXT2Qc8zo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miW8YAAADcAAAADwAAAAAAAAAAAAAAAACYAgAAZHJz&#10;L2Rvd25yZXYueG1sUEsFBgAAAAAEAAQA9QAAAIsDAAAAAA==&#10;" filled="f" strokecolor="#858585" strokeweight=".22103mm">
                  <v:path arrowok="t"/>
                </v:rect>
                <w10:wrap anchorx="page"/>
              </v:group>
            </w:pict>
          </mc:Fallback>
        </mc:AlternateContent>
      </w:r>
      <w:r>
        <w:rPr>
          <w:color w:val="000000"/>
          <w:spacing w:val="-2"/>
          <w:position w:val="-1"/>
        </w:rPr>
        <w:t>s</w:t>
      </w:r>
      <w:r>
        <w:rPr>
          <w:color w:val="000000"/>
          <w:spacing w:val="5"/>
          <w:position w:val="-1"/>
        </w:rPr>
        <w:t>u</w:t>
      </w:r>
      <w:r>
        <w:rPr>
          <w:color w:val="000000"/>
          <w:spacing w:val="-4"/>
          <w:position w:val="-1"/>
        </w:rPr>
        <w:t>l</w:t>
      </w:r>
      <w:r>
        <w:rPr>
          <w:color w:val="000000"/>
          <w:spacing w:val="4"/>
          <w:position w:val="-1"/>
        </w:rPr>
        <w:t>a</w:t>
      </w:r>
      <w:r>
        <w:rPr>
          <w:color w:val="000000"/>
          <w:spacing w:val="-9"/>
          <w:position w:val="-1"/>
        </w:rPr>
        <w:t>i</w:t>
      </w:r>
      <w:r>
        <w:rPr>
          <w:color w:val="000000"/>
          <w:spacing w:val="5"/>
          <w:position w:val="-1"/>
        </w:rPr>
        <w:t>k</w:t>
      </w:r>
      <w:r>
        <w:rPr>
          <w:color w:val="000000"/>
          <w:position w:val="-1"/>
        </w:rPr>
        <w:t>y</w:t>
      </w:r>
      <w:r>
        <w:rPr>
          <w:color w:val="000000"/>
          <w:spacing w:val="-4"/>
          <w:position w:val="-1"/>
        </w:rPr>
        <w:t>m</w:t>
      </w:r>
      <w:r>
        <w:rPr>
          <w:color w:val="000000"/>
          <w:position w:val="-1"/>
        </w:rPr>
        <w:t>ų</w:t>
      </w:r>
      <w:r>
        <w:rPr>
          <w:color w:val="000000"/>
          <w:spacing w:val="7"/>
          <w:position w:val="-1"/>
        </w:rPr>
        <w:t xml:space="preserve"> </w:t>
      </w:r>
      <w:r>
        <w:rPr>
          <w:color w:val="000000"/>
          <w:spacing w:val="-5"/>
          <w:position w:val="-1"/>
        </w:rPr>
        <w:t>b</w:t>
      </w:r>
      <w:r>
        <w:rPr>
          <w:color w:val="000000"/>
          <w:spacing w:val="5"/>
          <w:position w:val="-1"/>
        </w:rPr>
        <w:t>u</w:t>
      </w:r>
      <w:r>
        <w:rPr>
          <w:color w:val="000000"/>
          <w:spacing w:val="-5"/>
          <w:position w:val="-1"/>
        </w:rPr>
        <w:t>v</w:t>
      </w:r>
      <w:r>
        <w:rPr>
          <w:color w:val="000000"/>
          <w:position w:val="-1"/>
        </w:rPr>
        <w:t>o</w:t>
      </w:r>
      <w:r>
        <w:rPr>
          <w:color w:val="000000"/>
          <w:spacing w:val="9"/>
          <w:position w:val="-1"/>
        </w:rPr>
        <w:t xml:space="preserve"> </w:t>
      </w:r>
      <w:r>
        <w:rPr>
          <w:color w:val="000000"/>
          <w:position w:val="-1"/>
        </w:rPr>
        <w:t>73</w:t>
      </w:r>
      <w:r>
        <w:rPr>
          <w:color w:val="000000"/>
          <w:spacing w:val="-2"/>
          <w:position w:val="-1"/>
        </w:rPr>
        <w:t xml:space="preserve"> </w:t>
      </w:r>
      <w:r>
        <w:rPr>
          <w:color w:val="000000"/>
          <w:spacing w:val="2"/>
          <w:position w:val="-1"/>
        </w:rPr>
        <w:t>%</w:t>
      </w:r>
      <w:r>
        <w:rPr>
          <w:color w:val="000000"/>
          <w:position w:val="-1"/>
        </w:rPr>
        <w:t>, 2011</w:t>
      </w:r>
      <w:r>
        <w:rPr>
          <w:color w:val="000000"/>
          <w:spacing w:val="2"/>
          <w:position w:val="-1"/>
        </w:rPr>
        <w:t xml:space="preserve"> </w:t>
      </w:r>
      <w:r>
        <w:rPr>
          <w:color w:val="000000"/>
          <w:spacing w:val="-9"/>
          <w:position w:val="-1"/>
        </w:rPr>
        <w:t>m</w:t>
      </w:r>
      <w:r>
        <w:rPr>
          <w:color w:val="000000"/>
          <w:position w:val="-1"/>
        </w:rPr>
        <w:t>.</w:t>
      </w:r>
      <w:r>
        <w:rPr>
          <w:color w:val="000000"/>
          <w:spacing w:val="6"/>
          <w:position w:val="-1"/>
        </w:rPr>
        <w:t xml:space="preserve"> </w:t>
      </w:r>
      <w:r>
        <w:rPr>
          <w:color w:val="000000"/>
          <w:position w:val="-1"/>
        </w:rPr>
        <w:t>–</w:t>
      </w:r>
      <w:r>
        <w:rPr>
          <w:color w:val="000000"/>
          <w:spacing w:val="2"/>
          <w:position w:val="-1"/>
        </w:rPr>
        <w:t xml:space="preserve"> </w:t>
      </w:r>
      <w:r>
        <w:rPr>
          <w:color w:val="000000"/>
          <w:position w:val="-1"/>
        </w:rPr>
        <w:t>74</w:t>
      </w:r>
      <w:r>
        <w:rPr>
          <w:color w:val="000000"/>
          <w:spacing w:val="-2"/>
          <w:position w:val="-1"/>
        </w:rPr>
        <w:t xml:space="preserve"> </w:t>
      </w:r>
      <w:r>
        <w:rPr>
          <w:color w:val="000000"/>
          <w:spacing w:val="2"/>
          <w:position w:val="-1"/>
        </w:rPr>
        <w:t>%</w:t>
      </w:r>
      <w:r>
        <w:rPr>
          <w:color w:val="000000"/>
          <w:position w:val="-1"/>
        </w:rPr>
        <w:t>, 2010</w:t>
      </w:r>
      <w:r>
        <w:rPr>
          <w:color w:val="000000"/>
          <w:spacing w:val="2"/>
          <w:position w:val="-1"/>
        </w:rPr>
        <w:t xml:space="preserve"> </w:t>
      </w:r>
      <w:r>
        <w:rPr>
          <w:color w:val="000000"/>
          <w:spacing w:val="-9"/>
          <w:position w:val="-1"/>
        </w:rPr>
        <w:t>m</w:t>
      </w:r>
      <w:r>
        <w:rPr>
          <w:color w:val="000000"/>
          <w:position w:val="-1"/>
        </w:rPr>
        <w:t>.</w:t>
      </w:r>
      <w:r>
        <w:rPr>
          <w:color w:val="000000"/>
          <w:spacing w:val="6"/>
          <w:position w:val="-1"/>
        </w:rPr>
        <w:t xml:space="preserve"> </w:t>
      </w:r>
      <w:r>
        <w:rPr>
          <w:color w:val="000000"/>
          <w:position w:val="-1"/>
        </w:rPr>
        <w:t>–</w:t>
      </w:r>
      <w:r>
        <w:rPr>
          <w:color w:val="000000"/>
          <w:spacing w:val="-2"/>
          <w:position w:val="-1"/>
        </w:rPr>
        <w:t xml:space="preserve"> </w:t>
      </w:r>
      <w:r>
        <w:rPr>
          <w:color w:val="000000"/>
          <w:position w:val="-1"/>
        </w:rPr>
        <w:t>73</w:t>
      </w:r>
      <w:r>
        <w:rPr>
          <w:color w:val="000000"/>
          <w:spacing w:val="2"/>
          <w:position w:val="-1"/>
        </w:rPr>
        <w:t xml:space="preserve"> %</w:t>
      </w:r>
      <w:r>
        <w:rPr>
          <w:color w:val="000000"/>
          <w:spacing w:val="-3"/>
          <w:position w:val="-1"/>
        </w:rPr>
        <w:t>).</w:t>
      </w:r>
    </w:p>
    <w:p w:rsidR="004F7425" w:rsidRDefault="004F7425" w:rsidP="004F7425">
      <w:pPr>
        <w:widowControl w:val="0"/>
        <w:autoSpaceDE w:val="0"/>
        <w:autoSpaceDN w:val="0"/>
        <w:adjustRightInd w:val="0"/>
        <w:spacing w:before="7" w:line="160" w:lineRule="exact"/>
        <w:rPr>
          <w:color w:val="000000"/>
          <w:sz w:val="16"/>
          <w:szCs w:val="16"/>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31"/>
        <w:ind w:left="1627" w:right="-20"/>
        <w:rPr>
          <w:color w:val="000000"/>
          <w:sz w:val="27"/>
          <w:szCs w:val="27"/>
        </w:rPr>
      </w:pPr>
      <w:r>
        <w:rPr>
          <w:b/>
          <w:bCs/>
          <w:color w:val="974707"/>
          <w:spacing w:val="3"/>
          <w:sz w:val="27"/>
          <w:szCs w:val="27"/>
        </w:rPr>
        <w:t>L</w:t>
      </w:r>
      <w:r>
        <w:rPr>
          <w:b/>
          <w:bCs/>
          <w:color w:val="974707"/>
          <w:spacing w:val="-2"/>
          <w:sz w:val="27"/>
          <w:szCs w:val="27"/>
        </w:rPr>
        <w:t>i</w:t>
      </w:r>
      <w:r>
        <w:rPr>
          <w:b/>
          <w:bCs/>
          <w:color w:val="974707"/>
          <w:spacing w:val="2"/>
          <w:sz w:val="27"/>
          <w:szCs w:val="27"/>
        </w:rPr>
        <w:t>e</w:t>
      </w:r>
      <w:r>
        <w:rPr>
          <w:b/>
          <w:bCs/>
          <w:color w:val="974707"/>
          <w:spacing w:val="-4"/>
          <w:sz w:val="27"/>
          <w:szCs w:val="27"/>
        </w:rPr>
        <w:t>tu</w:t>
      </w:r>
      <w:r>
        <w:rPr>
          <w:b/>
          <w:bCs/>
          <w:color w:val="974707"/>
          <w:spacing w:val="11"/>
          <w:sz w:val="27"/>
          <w:szCs w:val="27"/>
        </w:rPr>
        <w:t>v</w:t>
      </w:r>
      <w:r>
        <w:rPr>
          <w:b/>
          <w:bCs/>
          <w:color w:val="974707"/>
          <w:sz w:val="27"/>
          <w:szCs w:val="27"/>
        </w:rPr>
        <w:t>o</w:t>
      </w:r>
      <w:r>
        <w:rPr>
          <w:b/>
          <w:bCs/>
          <w:color w:val="974707"/>
          <w:spacing w:val="-5"/>
          <w:sz w:val="27"/>
          <w:szCs w:val="27"/>
        </w:rPr>
        <w:t>j</w:t>
      </w:r>
      <w:r>
        <w:rPr>
          <w:b/>
          <w:bCs/>
          <w:color w:val="974707"/>
          <w:sz w:val="27"/>
          <w:szCs w:val="27"/>
        </w:rPr>
        <w:t>e</w:t>
      </w:r>
      <w:r>
        <w:rPr>
          <w:b/>
          <w:bCs/>
          <w:color w:val="974707"/>
          <w:spacing w:val="32"/>
          <w:sz w:val="27"/>
          <w:szCs w:val="27"/>
        </w:rPr>
        <w:t xml:space="preserve"> </w:t>
      </w:r>
      <w:r>
        <w:rPr>
          <w:b/>
          <w:bCs/>
          <w:color w:val="974707"/>
          <w:spacing w:val="-2"/>
          <w:sz w:val="27"/>
          <w:szCs w:val="27"/>
        </w:rPr>
        <w:t>i</w:t>
      </w:r>
      <w:r>
        <w:rPr>
          <w:b/>
          <w:bCs/>
          <w:color w:val="974707"/>
          <w:sz w:val="27"/>
          <w:szCs w:val="27"/>
        </w:rPr>
        <w:t>š</w:t>
      </w:r>
      <w:r>
        <w:rPr>
          <w:b/>
          <w:bCs/>
          <w:color w:val="974707"/>
          <w:spacing w:val="16"/>
          <w:sz w:val="27"/>
          <w:szCs w:val="27"/>
        </w:rPr>
        <w:t xml:space="preserve"> </w:t>
      </w:r>
      <w:r>
        <w:rPr>
          <w:b/>
          <w:bCs/>
          <w:color w:val="974707"/>
          <w:spacing w:val="-4"/>
          <w:sz w:val="27"/>
          <w:szCs w:val="27"/>
        </w:rPr>
        <w:t>n</w:t>
      </w:r>
      <w:r>
        <w:rPr>
          <w:b/>
          <w:bCs/>
          <w:color w:val="974707"/>
          <w:spacing w:val="2"/>
          <w:sz w:val="27"/>
          <w:szCs w:val="27"/>
        </w:rPr>
        <w:t>e</w:t>
      </w:r>
      <w:r>
        <w:rPr>
          <w:b/>
          <w:bCs/>
          <w:color w:val="974707"/>
          <w:spacing w:val="-4"/>
          <w:sz w:val="27"/>
          <w:szCs w:val="27"/>
        </w:rPr>
        <w:t>t</w:t>
      </w:r>
      <w:r>
        <w:rPr>
          <w:b/>
          <w:bCs/>
          <w:color w:val="974707"/>
          <w:spacing w:val="2"/>
          <w:sz w:val="27"/>
          <w:szCs w:val="27"/>
        </w:rPr>
        <w:t>e</w:t>
      </w:r>
      <w:r>
        <w:rPr>
          <w:b/>
          <w:bCs/>
          <w:color w:val="974707"/>
          <w:spacing w:val="-2"/>
          <w:sz w:val="27"/>
          <w:szCs w:val="27"/>
        </w:rPr>
        <w:t>i</w:t>
      </w:r>
      <w:r>
        <w:rPr>
          <w:b/>
          <w:bCs/>
          <w:color w:val="974707"/>
          <w:spacing w:val="5"/>
          <w:sz w:val="27"/>
          <w:szCs w:val="27"/>
        </w:rPr>
        <w:t>s</w:t>
      </w:r>
      <w:r>
        <w:rPr>
          <w:b/>
          <w:bCs/>
          <w:color w:val="974707"/>
          <w:spacing w:val="2"/>
          <w:sz w:val="27"/>
          <w:szCs w:val="27"/>
        </w:rPr>
        <w:t>ė</w:t>
      </w:r>
      <w:r>
        <w:rPr>
          <w:b/>
          <w:bCs/>
          <w:color w:val="974707"/>
          <w:spacing w:val="-4"/>
          <w:sz w:val="27"/>
          <w:szCs w:val="27"/>
        </w:rPr>
        <w:t>t</w:t>
      </w:r>
      <w:r>
        <w:rPr>
          <w:b/>
          <w:bCs/>
          <w:color w:val="974707"/>
          <w:sz w:val="27"/>
          <w:szCs w:val="27"/>
        </w:rPr>
        <w:t>os</w:t>
      </w:r>
      <w:r>
        <w:rPr>
          <w:b/>
          <w:bCs/>
          <w:color w:val="974707"/>
          <w:spacing w:val="34"/>
          <w:sz w:val="27"/>
          <w:szCs w:val="27"/>
        </w:rPr>
        <w:t xml:space="preserve"> </w:t>
      </w:r>
      <w:r>
        <w:rPr>
          <w:b/>
          <w:bCs/>
          <w:color w:val="974707"/>
          <w:sz w:val="27"/>
          <w:szCs w:val="27"/>
        </w:rPr>
        <w:t>a</w:t>
      </w:r>
      <w:r>
        <w:rPr>
          <w:b/>
          <w:bCs/>
          <w:color w:val="974707"/>
          <w:spacing w:val="-4"/>
          <w:sz w:val="27"/>
          <w:szCs w:val="27"/>
        </w:rPr>
        <w:t>p</w:t>
      </w:r>
      <w:r>
        <w:rPr>
          <w:b/>
          <w:bCs/>
          <w:color w:val="974707"/>
          <w:spacing w:val="-13"/>
          <w:sz w:val="27"/>
          <w:szCs w:val="27"/>
        </w:rPr>
        <w:t>y</w:t>
      </w:r>
      <w:r>
        <w:rPr>
          <w:b/>
          <w:bCs/>
          <w:color w:val="974707"/>
          <w:spacing w:val="11"/>
          <w:sz w:val="27"/>
          <w:szCs w:val="27"/>
        </w:rPr>
        <w:t>v</w:t>
      </w:r>
      <w:r>
        <w:rPr>
          <w:b/>
          <w:bCs/>
          <w:color w:val="974707"/>
          <w:sz w:val="27"/>
          <w:szCs w:val="27"/>
        </w:rPr>
        <w:t>a</w:t>
      </w:r>
      <w:r>
        <w:rPr>
          <w:b/>
          <w:bCs/>
          <w:color w:val="974707"/>
          <w:spacing w:val="-11"/>
          <w:sz w:val="27"/>
          <w:szCs w:val="27"/>
        </w:rPr>
        <w:t>r</w:t>
      </w:r>
      <w:r>
        <w:rPr>
          <w:b/>
          <w:bCs/>
          <w:color w:val="974707"/>
          <w:spacing w:val="-4"/>
          <w:sz w:val="27"/>
          <w:szCs w:val="27"/>
        </w:rPr>
        <w:t>t</w:t>
      </w:r>
      <w:r>
        <w:rPr>
          <w:b/>
          <w:bCs/>
          <w:color w:val="974707"/>
          <w:sz w:val="27"/>
          <w:szCs w:val="27"/>
        </w:rPr>
        <w:t>os</w:t>
      </w:r>
      <w:r>
        <w:rPr>
          <w:b/>
          <w:bCs/>
          <w:color w:val="974707"/>
          <w:spacing w:val="59"/>
          <w:sz w:val="27"/>
          <w:szCs w:val="27"/>
        </w:rPr>
        <w:t xml:space="preserve"> </w:t>
      </w:r>
      <w:r>
        <w:rPr>
          <w:b/>
          <w:bCs/>
          <w:color w:val="974707"/>
          <w:spacing w:val="-2"/>
          <w:sz w:val="27"/>
          <w:szCs w:val="27"/>
        </w:rPr>
        <w:t>i</w:t>
      </w:r>
      <w:r>
        <w:rPr>
          <w:b/>
          <w:bCs/>
          <w:color w:val="974707"/>
          <w:spacing w:val="5"/>
          <w:sz w:val="27"/>
          <w:szCs w:val="27"/>
        </w:rPr>
        <w:t>š</w:t>
      </w:r>
      <w:r>
        <w:rPr>
          <w:b/>
          <w:bCs/>
          <w:color w:val="974707"/>
          <w:spacing w:val="-2"/>
          <w:sz w:val="27"/>
          <w:szCs w:val="27"/>
        </w:rPr>
        <w:t>i</w:t>
      </w:r>
      <w:r>
        <w:rPr>
          <w:b/>
          <w:bCs/>
          <w:color w:val="974707"/>
          <w:spacing w:val="-6"/>
          <w:sz w:val="27"/>
          <w:szCs w:val="27"/>
        </w:rPr>
        <w:t>m</w:t>
      </w:r>
      <w:r>
        <w:rPr>
          <w:b/>
          <w:bCs/>
          <w:color w:val="974707"/>
          <w:spacing w:val="-4"/>
          <w:sz w:val="27"/>
          <w:szCs w:val="27"/>
        </w:rPr>
        <w:t>t</w:t>
      </w:r>
      <w:r>
        <w:rPr>
          <w:b/>
          <w:bCs/>
          <w:color w:val="974707"/>
          <w:sz w:val="27"/>
          <w:szCs w:val="27"/>
        </w:rPr>
        <w:t>o</w:t>
      </w:r>
      <w:r>
        <w:rPr>
          <w:b/>
          <w:bCs/>
          <w:color w:val="974707"/>
          <w:spacing w:val="34"/>
          <w:sz w:val="27"/>
          <w:szCs w:val="27"/>
        </w:rPr>
        <w:t xml:space="preserve"> </w:t>
      </w:r>
      <w:r>
        <w:rPr>
          <w:b/>
          <w:bCs/>
          <w:color w:val="974707"/>
          <w:spacing w:val="-4"/>
          <w:sz w:val="27"/>
          <w:szCs w:val="27"/>
        </w:rPr>
        <w:t>h</w:t>
      </w:r>
      <w:r>
        <w:rPr>
          <w:b/>
          <w:bCs/>
          <w:color w:val="974707"/>
          <w:spacing w:val="2"/>
          <w:sz w:val="27"/>
          <w:szCs w:val="27"/>
        </w:rPr>
        <w:t>e</w:t>
      </w:r>
      <w:r>
        <w:rPr>
          <w:b/>
          <w:bCs/>
          <w:color w:val="974707"/>
          <w:spacing w:val="-10"/>
          <w:sz w:val="27"/>
          <w:szCs w:val="27"/>
        </w:rPr>
        <w:t>r</w:t>
      </w:r>
      <w:r>
        <w:rPr>
          <w:b/>
          <w:bCs/>
          <w:color w:val="974707"/>
          <w:sz w:val="27"/>
          <w:szCs w:val="27"/>
        </w:rPr>
        <w:t>o</w:t>
      </w:r>
      <w:r>
        <w:rPr>
          <w:b/>
          <w:bCs/>
          <w:color w:val="974707"/>
          <w:spacing w:val="-2"/>
          <w:sz w:val="27"/>
          <w:szCs w:val="27"/>
        </w:rPr>
        <w:t>i</w:t>
      </w:r>
      <w:r>
        <w:rPr>
          <w:b/>
          <w:bCs/>
          <w:color w:val="974707"/>
          <w:spacing w:val="-4"/>
          <w:sz w:val="27"/>
          <w:szCs w:val="27"/>
        </w:rPr>
        <w:t>n</w:t>
      </w:r>
      <w:r>
        <w:rPr>
          <w:b/>
          <w:bCs/>
          <w:color w:val="974707"/>
          <w:sz w:val="27"/>
          <w:szCs w:val="27"/>
        </w:rPr>
        <w:t>o</w:t>
      </w:r>
      <w:r>
        <w:rPr>
          <w:b/>
          <w:bCs/>
          <w:color w:val="974707"/>
          <w:spacing w:val="50"/>
          <w:sz w:val="27"/>
          <w:szCs w:val="27"/>
        </w:rPr>
        <w:t xml:space="preserve"> </w:t>
      </w:r>
      <w:r>
        <w:rPr>
          <w:b/>
          <w:bCs/>
          <w:color w:val="974707"/>
          <w:spacing w:val="-4"/>
          <w:sz w:val="27"/>
          <w:szCs w:val="27"/>
        </w:rPr>
        <w:t>k</w:t>
      </w:r>
      <w:r>
        <w:rPr>
          <w:b/>
          <w:bCs/>
          <w:color w:val="974707"/>
          <w:spacing w:val="-2"/>
          <w:sz w:val="27"/>
          <w:szCs w:val="27"/>
        </w:rPr>
        <w:t>i</w:t>
      </w:r>
      <w:r>
        <w:rPr>
          <w:b/>
          <w:bCs/>
          <w:color w:val="974707"/>
          <w:spacing w:val="2"/>
          <w:sz w:val="27"/>
          <w:szCs w:val="27"/>
        </w:rPr>
        <w:t>e</w:t>
      </w:r>
      <w:r>
        <w:rPr>
          <w:b/>
          <w:bCs/>
          <w:color w:val="974707"/>
          <w:spacing w:val="-4"/>
          <w:sz w:val="27"/>
          <w:szCs w:val="27"/>
        </w:rPr>
        <w:t>k</w:t>
      </w:r>
      <w:r>
        <w:rPr>
          <w:b/>
          <w:bCs/>
          <w:color w:val="974707"/>
          <w:spacing w:val="-2"/>
          <w:sz w:val="27"/>
          <w:szCs w:val="27"/>
        </w:rPr>
        <w:t>i</w:t>
      </w:r>
      <w:r>
        <w:rPr>
          <w:b/>
          <w:bCs/>
          <w:color w:val="974707"/>
          <w:sz w:val="27"/>
          <w:szCs w:val="27"/>
        </w:rPr>
        <w:t>ai</w:t>
      </w:r>
      <w:r>
        <w:rPr>
          <w:b/>
          <w:bCs/>
          <w:color w:val="974707"/>
          <w:spacing w:val="34"/>
          <w:sz w:val="27"/>
          <w:szCs w:val="27"/>
        </w:rPr>
        <w:t xml:space="preserve"> </w:t>
      </w:r>
      <w:r>
        <w:rPr>
          <w:b/>
          <w:bCs/>
          <w:color w:val="974707"/>
          <w:spacing w:val="-4"/>
          <w:w w:val="102"/>
          <w:sz w:val="27"/>
          <w:szCs w:val="27"/>
        </w:rPr>
        <w:t>(k</w:t>
      </w:r>
      <w:r>
        <w:rPr>
          <w:b/>
          <w:bCs/>
          <w:color w:val="974707"/>
          <w:w w:val="102"/>
          <w:sz w:val="27"/>
          <w:szCs w:val="27"/>
        </w:rPr>
        <w:t>g)</w:t>
      </w:r>
    </w:p>
    <w:p w:rsidR="004F7425" w:rsidRDefault="004F7425" w:rsidP="004F7425">
      <w:pPr>
        <w:widowControl w:val="0"/>
        <w:autoSpaceDE w:val="0"/>
        <w:autoSpaceDN w:val="0"/>
        <w:adjustRightInd w:val="0"/>
        <w:spacing w:before="28" w:line="241" w:lineRule="exact"/>
        <w:ind w:left="5769" w:right="3804"/>
        <w:jc w:val="center"/>
        <w:rPr>
          <w:rFonts w:ascii="Calibri" w:hAnsi="Calibri" w:cs="Calibri"/>
          <w:color w:val="000000"/>
          <w:sz w:val="20"/>
        </w:rPr>
      </w:pPr>
      <w:r>
        <w:rPr>
          <w:rFonts w:ascii="Calibri" w:hAnsi="Calibri" w:cs="Calibri"/>
          <w:color w:val="000000"/>
          <w:spacing w:val="-2"/>
          <w:sz w:val="20"/>
        </w:rPr>
        <w:t>14</w:t>
      </w:r>
    </w:p>
    <w:p w:rsidR="004F7425" w:rsidRDefault="004F7425" w:rsidP="004F7425">
      <w:pPr>
        <w:widowControl w:val="0"/>
        <w:autoSpaceDE w:val="0"/>
        <w:autoSpaceDN w:val="0"/>
        <w:adjustRightInd w:val="0"/>
        <w:spacing w:before="8" w:line="180" w:lineRule="exact"/>
        <w:rPr>
          <w:rFonts w:ascii="Calibri" w:hAnsi="Calibri" w:cs="Calibri"/>
          <w:color w:val="000000"/>
          <w:sz w:val="18"/>
          <w:szCs w:val="18"/>
        </w:rPr>
      </w:pPr>
    </w:p>
    <w:p w:rsidR="004F7425" w:rsidRDefault="004F7425" w:rsidP="004F7425">
      <w:pPr>
        <w:widowControl w:val="0"/>
        <w:autoSpaceDE w:val="0"/>
        <w:autoSpaceDN w:val="0"/>
        <w:adjustRightInd w:val="0"/>
        <w:spacing w:before="8" w:line="180" w:lineRule="exact"/>
        <w:rPr>
          <w:rFonts w:ascii="Calibri" w:hAnsi="Calibri" w:cs="Calibri"/>
          <w:color w:val="000000"/>
          <w:sz w:val="18"/>
          <w:szCs w:val="18"/>
        </w:rPr>
        <w:sectPr w:rsidR="004F7425">
          <w:pgSz w:w="11920" w:h="16840"/>
          <w:pgMar w:top="960" w:right="460" w:bottom="280" w:left="1580" w:header="734" w:footer="0" w:gutter="0"/>
          <w:cols w:space="1296"/>
          <w:noEndnote/>
        </w:sectPr>
      </w:pPr>
    </w:p>
    <w:p w:rsidR="004F7425" w:rsidRDefault="004F7425" w:rsidP="004F7425">
      <w:pPr>
        <w:widowControl w:val="0"/>
        <w:autoSpaceDE w:val="0"/>
        <w:autoSpaceDN w:val="0"/>
        <w:adjustRightInd w:val="0"/>
        <w:spacing w:before="8" w:line="100" w:lineRule="exact"/>
        <w:rPr>
          <w:rFonts w:ascii="Calibri" w:hAnsi="Calibri" w:cs="Calibri"/>
          <w:color w:val="000000"/>
          <w:sz w:val="10"/>
          <w:szCs w:val="1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ind w:left="931" w:right="835"/>
        <w:jc w:val="center"/>
        <w:rPr>
          <w:rFonts w:ascii="Calibri" w:hAnsi="Calibri" w:cs="Calibri"/>
          <w:color w:val="000000"/>
          <w:sz w:val="20"/>
        </w:rPr>
      </w:pPr>
      <w:r>
        <w:rPr>
          <w:rFonts w:ascii="Calibri" w:hAnsi="Calibri" w:cs="Calibri"/>
          <w:color w:val="000000"/>
          <w:sz w:val="20"/>
        </w:rPr>
        <w:t>3</w:t>
      </w:r>
    </w:p>
    <w:p w:rsidR="004F7425" w:rsidRDefault="004F7425" w:rsidP="004F7425">
      <w:pPr>
        <w:widowControl w:val="0"/>
        <w:autoSpaceDE w:val="0"/>
        <w:autoSpaceDN w:val="0"/>
        <w:adjustRightInd w:val="0"/>
        <w:spacing w:before="23" w:line="241" w:lineRule="exact"/>
        <w:ind w:right="-20"/>
        <w:jc w:val="right"/>
        <w:rPr>
          <w:rFonts w:ascii="Calibri" w:hAnsi="Calibri" w:cs="Calibri"/>
          <w:color w:val="000000"/>
          <w:sz w:val="20"/>
        </w:rPr>
      </w:pPr>
      <w:r>
        <w:rPr>
          <w:rFonts w:ascii="Calibri" w:hAnsi="Calibri" w:cs="Calibri"/>
          <w:color w:val="000000"/>
          <w:spacing w:val="-2"/>
          <w:sz w:val="20"/>
        </w:rPr>
        <w:t>0</w:t>
      </w:r>
      <w:r>
        <w:rPr>
          <w:rFonts w:ascii="Calibri" w:hAnsi="Calibri" w:cs="Calibri"/>
          <w:color w:val="000000"/>
          <w:sz w:val="20"/>
        </w:rPr>
        <w:t>,8</w:t>
      </w:r>
    </w:p>
    <w:p w:rsidR="004F7425" w:rsidRDefault="004F7425" w:rsidP="004F7425">
      <w:pPr>
        <w:widowControl w:val="0"/>
        <w:autoSpaceDE w:val="0"/>
        <w:autoSpaceDN w:val="0"/>
        <w:adjustRightInd w:val="0"/>
        <w:spacing w:line="120" w:lineRule="exact"/>
        <w:rPr>
          <w:rFonts w:ascii="Calibri" w:hAnsi="Calibri" w:cs="Calibri"/>
          <w:color w:val="000000"/>
          <w:sz w:val="12"/>
          <w:szCs w:val="12"/>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tabs>
          <w:tab w:val="left" w:pos="800"/>
        </w:tabs>
        <w:autoSpaceDE w:val="0"/>
        <w:autoSpaceDN w:val="0"/>
        <w:adjustRightInd w:val="0"/>
        <w:ind w:right="-88"/>
        <w:rPr>
          <w:rFonts w:ascii="Calibri" w:hAnsi="Calibri" w:cs="Calibri"/>
          <w:color w:val="000000"/>
          <w:sz w:val="20"/>
        </w:rPr>
      </w:pPr>
      <w:r>
        <w:rPr>
          <w:rFonts w:ascii="Calibri" w:hAnsi="Calibri" w:cs="Calibri"/>
          <w:color w:val="000000"/>
          <w:spacing w:val="-2"/>
          <w:sz w:val="20"/>
        </w:rPr>
        <w:t>2</w:t>
      </w:r>
      <w:r>
        <w:rPr>
          <w:rFonts w:ascii="Calibri" w:hAnsi="Calibri" w:cs="Calibri"/>
          <w:color w:val="000000"/>
          <w:sz w:val="20"/>
        </w:rPr>
        <w:t>,9</w:t>
      </w:r>
      <w:r>
        <w:rPr>
          <w:rFonts w:ascii="Calibri" w:hAnsi="Calibri" w:cs="Calibri"/>
          <w:color w:val="000000"/>
          <w:sz w:val="20"/>
        </w:rPr>
        <w:tab/>
      </w:r>
      <w:r>
        <w:rPr>
          <w:rFonts w:ascii="Calibri" w:hAnsi="Calibri" w:cs="Calibri"/>
          <w:color w:val="000000"/>
          <w:spacing w:val="-2"/>
          <w:position w:val="-12"/>
          <w:sz w:val="20"/>
        </w:rPr>
        <w:t>1</w:t>
      </w:r>
      <w:r>
        <w:rPr>
          <w:rFonts w:ascii="Calibri" w:hAnsi="Calibri" w:cs="Calibri"/>
          <w:color w:val="000000"/>
          <w:position w:val="-12"/>
          <w:sz w:val="20"/>
        </w:rPr>
        <w:t>,9</w:t>
      </w:r>
    </w:p>
    <w:p w:rsidR="004F7425" w:rsidRDefault="004F7425" w:rsidP="004F7425">
      <w:pPr>
        <w:widowControl w:val="0"/>
        <w:autoSpaceDE w:val="0"/>
        <w:autoSpaceDN w:val="0"/>
        <w:adjustRightInd w:val="0"/>
        <w:spacing w:line="200" w:lineRule="exact"/>
        <w:rPr>
          <w:rFonts w:ascii="Calibri" w:hAnsi="Calibri" w:cs="Calibri"/>
          <w:color w:val="000000"/>
          <w:sz w:val="20"/>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before="10" w:line="280" w:lineRule="exact"/>
        <w:rPr>
          <w:rFonts w:ascii="Calibri" w:hAnsi="Calibri" w:cs="Calibri"/>
          <w:color w:val="000000"/>
          <w:sz w:val="28"/>
          <w:szCs w:val="28"/>
        </w:rPr>
      </w:pPr>
    </w:p>
    <w:p w:rsidR="004F7425" w:rsidRDefault="004F7425" w:rsidP="004F7425">
      <w:pPr>
        <w:widowControl w:val="0"/>
        <w:autoSpaceDE w:val="0"/>
        <w:autoSpaceDN w:val="0"/>
        <w:adjustRightInd w:val="0"/>
        <w:ind w:right="-70"/>
        <w:rPr>
          <w:rFonts w:ascii="Calibri" w:hAnsi="Calibri" w:cs="Calibri"/>
          <w:color w:val="000000"/>
          <w:sz w:val="20"/>
        </w:rPr>
      </w:pPr>
      <w:r>
        <w:rPr>
          <w:rFonts w:ascii="Calibri" w:hAnsi="Calibri" w:cs="Calibri"/>
          <w:color w:val="000000"/>
          <w:spacing w:val="-2"/>
          <w:sz w:val="20"/>
        </w:rPr>
        <w:t>4</w:t>
      </w:r>
      <w:r>
        <w:rPr>
          <w:rFonts w:ascii="Calibri" w:hAnsi="Calibri" w:cs="Calibri"/>
          <w:color w:val="000000"/>
          <w:sz w:val="20"/>
        </w:rPr>
        <w:t>,8</w:t>
      </w:r>
    </w:p>
    <w:p w:rsidR="004F7425" w:rsidRDefault="004F7425" w:rsidP="004F7425">
      <w:pPr>
        <w:widowControl w:val="0"/>
        <w:autoSpaceDE w:val="0"/>
        <w:autoSpaceDN w:val="0"/>
        <w:adjustRightInd w:val="0"/>
        <w:spacing w:line="200" w:lineRule="exact"/>
        <w:rPr>
          <w:rFonts w:ascii="Calibri" w:hAnsi="Calibri" w:cs="Calibri"/>
          <w:color w:val="000000"/>
          <w:sz w:val="20"/>
        </w:rPr>
      </w:pPr>
      <w:r>
        <w:rPr>
          <w:rFonts w:ascii="Calibri" w:hAnsi="Calibri" w:cs="Calibri"/>
          <w:color w:val="000000"/>
          <w:sz w:val="20"/>
        </w:rPr>
        <w:br w:type="column"/>
      </w:r>
    </w:p>
    <w:p w:rsidR="004F7425" w:rsidRDefault="004F7425" w:rsidP="004F7425">
      <w:pPr>
        <w:widowControl w:val="0"/>
        <w:autoSpaceDE w:val="0"/>
        <w:autoSpaceDN w:val="0"/>
        <w:adjustRightInd w:val="0"/>
        <w:spacing w:before="15" w:line="280" w:lineRule="exact"/>
        <w:rPr>
          <w:rFonts w:ascii="Calibri" w:hAnsi="Calibri" w:cs="Calibri"/>
          <w:color w:val="000000"/>
          <w:sz w:val="28"/>
          <w:szCs w:val="28"/>
        </w:rPr>
      </w:pPr>
    </w:p>
    <w:p w:rsidR="004F7425" w:rsidRDefault="004F7425" w:rsidP="004F7425">
      <w:pPr>
        <w:widowControl w:val="0"/>
        <w:autoSpaceDE w:val="0"/>
        <w:autoSpaceDN w:val="0"/>
        <w:adjustRightInd w:val="0"/>
        <w:ind w:right="-70"/>
        <w:rPr>
          <w:rFonts w:ascii="Calibri" w:hAnsi="Calibri" w:cs="Calibri"/>
          <w:color w:val="000000"/>
          <w:sz w:val="20"/>
        </w:rPr>
      </w:pPr>
      <w:r>
        <w:rPr>
          <w:rFonts w:ascii="Calibri" w:hAnsi="Calibri" w:cs="Calibri"/>
          <w:color w:val="000000"/>
          <w:spacing w:val="-2"/>
          <w:sz w:val="20"/>
        </w:rPr>
        <w:t>6</w:t>
      </w:r>
      <w:r>
        <w:rPr>
          <w:rFonts w:ascii="Calibri" w:hAnsi="Calibri" w:cs="Calibri"/>
          <w:color w:val="000000"/>
          <w:sz w:val="20"/>
        </w:rPr>
        <w:t>,4</w:t>
      </w:r>
    </w:p>
    <w:p w:rsidR="004F7425" w:rsidRDefault="004F7425" w:rsidP="004F7425">
      <w:pPr>
        <w:widowControl w:val="0"/>
        <w:autoSpaceDE w:val="0"/>
        <w:autoSpaceDN w:val="0"/>
        <w:adjustRightInd w:val="0"/>
        <w:spacing w:line="200" w:lineRule="exact"/>
        <w:rPr>
          <w:rFonts w:ascii="Calibri" w:hAnsi="Calibri" w:cs="Calibri"/>
          <w:color w:val="000000"/>
          <w:sz w:val="20"/>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before="3" w:line="220" w:lineRule="exact"/>
        <w:rPr>
          <w:rFonts w:ascii="Calibri" w:hAnsi="Calibri" w:cs="Calibri"/>
          <w:color w:val="000000"/>
        </w:rPr>
      </w:pPr>
    </w:p>
    <w:p w:rsidR="004F7425" w:rsidRDefault="004F7425" w:rsidP="004F7425">
      <w:pPr>
        <w:widowControl w:val="0"/>
        <w:autoSpaceDE w:val="0"/>
        <w:autoSpaceDN w:val="0"/>
        <w:adjustRightInd w:val="0"/>
        <w:ind w:right="-70"/>
        <w:rPr>
          <w:rFonts w:ascii="Calibri" w:hAnsi="Calibri" w:cs="Calibri"/>
          <w:color w:val="000000"/>
          <w:sz w:val="20"/>
        </w:rPr>
      </w:pPr>
      <w:r>
        <w:rPr>
          <w:rFonts w:ascii="Calibri" w:hAnsi="Calibri" w:cs="Calibri"/>
          <w:color w:val="000000"/>
          <w:spacing w:val="-2"/>
          <w:sz w:val="20"/>
        </w:rPr>
        <w:t>3</w:t>
      </w:r>
      <w:r>
        <w:rPr>
          <w:rFonts w:ascii="Calibri" w:hAnsi="Calibri" w:cs="Calibri"/>
          <w:color w:val="000000"/>
          <w:sz w:val="20"/>
        </w:rPr>
        <w:t>,7</w:t>
      </w:r>
    </w:p>
    <w:p w:rsidR="004F7425" w:rsidRDefault="004F7425" w:rsidP="004F7425">
      <w:pPr>
        <w:widowControl w:val="0"/>
        <w:autoSpaceDE w:val="0"/>
        <w:autoSpaceDN w:val="0"/>
        <w:adjustRightInd w:val="0"/>
        <w:spacing w:before="21"/>
        <w:ind w:right="-70"/>
        <w:rPr>
          <w:rFonts w:ascii="Calibri" w:hAnsi="Calibri" w:cs="Calibri"/>
          <w:color w:val="000000"/>
          <w:sz w:val="20"/>
        </w:rPr>
      </w:pPr>
      <w:r>
        <w:rPr>
          <w:rFonts w:ascii="Calibri" w:hAnsi="Calibri" w:cs="Calibri"/>
          <w:color w:val="000000"/>
          <w:sz w:val="20"/>
        </w:rPr>
        <w:br w:type="column"/>
      </w:r>
      <w:r>
        <w:rPr>
          <w:rFonts w:ascii="Calibri" w:hAnsi="Calibri" w:cs="Calibri"/>
          <w:color w:val="000000"/>
          <w:spacing w:val="-2"/>
          <w:sz w:val="20"/>
        </w:rPr>
        <w:lastRenderedPageBreak/>
        <w:t>10</w:t>
      </w:r>
      <w:r>
        <w:rPr>
          <w:rFonts w:ascii="Calibri" w:hAnsi="Calibri" w:cs="Calibri"/>
          <w:color w:val="000000"/>
          <w:sz w:val="20"/>
        </w:rPr>
        <w:t>,3</w:t>
      </w:r>
    </w:p>
    <w:p w:rsidR="004F7425" w:rsidRDefault="004F7425" w:rsidP="004F7425">
      <w:pPr>
        <w:widowControl w:val="0"/>
        <w:autoSpaceDE w:val="0"/>
        <w:autoSpaceDN w:val="0"/>
        <w:adjustRightInd w:val="0"/>
        <w:spacing w:before="6" w:line="180" w:lineRule="exact"/>
        <w:rPr>
          <w:rFonts w:ascii="Calibri" w:hAnsi="Calibri" w:cs="Calibri"/>
          <w:color w:val="000000"/>
          <w:sz w:val="18"/>
          <w:szCs w:val="18"/>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ind w:right="-20"/>
        <w:rPr>
          <w:rFonts w:ascii="Calibri" w:hAnsi="Calibri" w:cs="Calibri"/>
          <w:color w:val="000000"/>
          <w:sz w:val="20"/>
        </w:rPr>
      </w:pPr>
      <w:r>
        <w:rPr>
          <w:rFonts w:ascii="Calibri" w:hAnsi="Calibri" w:cs="Calibri"/>
          <w:color w:val="000000"/>
          <w:spacing w:val="-2"/>
          <w:sz w:val="20"/>
        </w:rPr>
        <w:t>7</w:t>
      </w:r>
      <w:r>
        <w:rPr>
          <w:rFonts w:ascii="Calibri" w:hAnsi="Calibri" w:cs="Calibri"/>
          <w:color w:val="000000"/>
          <w:sz w:val="20"/>
        </w:rPr>
        <w:t>,3</w:t>
      </w:r>
    </w:p>
    <w:p w:rsidR="004F7425" w:rsidRDefault="004F7425" w:rsidP="004F7425">
      <w:pPr>
        <w:widowControl w:val="0"/>
        <w:autoSpaceDE w:val="0"/>
        <w:autoSpaceDN w:val="0"/>
        <w:adjustRightInd w:val="0"/>
        <w:spacing w:before="2" w:line="120" w:lineRule="exact"/>
        <w:rPr>
          <w:rFonts w:ascii="Calibri" w:hAnsi="Calibri" w:cs="Calibri"/>
          <w:color w:val="000000"/>
          <w:sz w:val="12"/>
          <w:szCs w:val="12"/>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ind w:left="855" w:right="593"/>
        <w:jc w:val="center"/>
        <w:rPr>
          <w:rFonts w:ascii="Calibri" w:hAnsi="Calibri" w:cs="Calibri"/>
          <w:color w:val="000000"/>
          <w:sz w:val="20"/>
        </w:rPr>
      </w:pPr>
      <w:r>
        <w:rPr>
          <w:rFonts w:ascii="Calibri" w:hAnsi="Calibri" w:cs="Calibri"/>
          <w:color w:val="000000"/>
          <w:sz w:val="20"/>
        </w:rPr>
        <w:t>1</w:t>
      </w:r>
    </w:p>
    <w:p w:rsidR="004F7425" w:rsidRDefault="004F7425" w:rsidP="004F7425">
      <w:pPr>
        <w:widowControl w:val="0"/>
        <w:autoSpaceDE w:val="0"/>
        <w:autoSpaceDN w:val="0"/>
        <w:adjustRightInd w:val="0"/>
        <w:ind w:left="855" w:right="593"/>
        <w:jc w:val="center"/>
        <w:rPr>
          <w:rFonts w:ascii="Calibri" w:hAnsi="Calibri" w:cs="Calibri"/>
          <w:color w:val="000000"/>
          <w:sz w:val="20"/>
        </w:rPr>
        <w:sectPr w:rsidR="004F7425">
          <w:type w:val="continuous"/>
          <w:pgSz w:w="11920" w:h="16840"/>
          <w:pgMar w:top="1540" w:right="460" w:bottom="280" w:left="1580" w:header="567" w:footer="567" w:gutter="0"/>
          <w:cols w:num="7" w:space="1296" w:equalWidth="0">
            <w:col w:w="1959" w:space="561"/>
            <w:col w:w="1068" w:space="561"/>
            <w:col w:w="254" w:space="560"/>
            <w:col w:w="254" w:space="1376"/>
            <w:col w:w="253" w:space="512"/>
            <w:col w:w="355" w:space="510"/>
            <w:col w:w="1657"/>
          </w:cols>
          <w:noEndnote/>
        </w:sectPr>
      </w:pPr>
    </w:p>
    <w:p w:rsidR="004F7425" w:rsidRDefault="004F7425" w:rsidP="004F7425">
      <w:pPr>
        <w:widowControl w:val="0"/>
        <w:autoSpaceDE w:val="0"/>
        <w:autoSpaceDN w:val="0"/>
        <w:adjustRightInd w:val="0"/>
        <w:spacing w:line="100" w:lineRule="exact"/>
        <w:rPr>
          <w:rFonts w:ascii="Calibri" w:hAnsi="Calibri" w:cs="Calibri"/>
          <w:color w:val="000000"/>
          <w:sz w:val="10"/>
          <w:szCs w:val="1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before="21"/>
        <w:ind w:left="694" w:right="-20"/>
        <w:rPr>
          <w:rFonts w:ascii="Calibri" w:hAnsi="Calibri" w:cs="Calibri"/>
          <w:color w:val="000000"/>
          <w:sz w:val="20"/>
        </w:rPr>
      </w:pPr>
      <w:r>
        <w:rPr>
          <w:rFonts w:ascii="Calibri" w:hAnsi="Calibri" w:cs="Calibri"/>
          <w:color w:val="000000"/>
          <w:spacing w:val="-2"/>
          <w:sz w:val="20"/>
        </w:rPr>
        <w:t>200</w:t>
      </w:r>
      <w:r>
        <w:rPr>
          <w:rFonts w:ascii="Calibri" w:hAnsi="Calibri" w:cs="Calibri"/>
          <w:color w:val="000000"/>
          <w:sz w:val="20"/>
        </w:rPr>
        <w:t>2</w:t>
      </w:r>
      <w:r>
        <w:rPr>
          <w:rFonts w:ascii="Calibri" w:hAnsi="Calibri" w:cs="Calibri"/>
          <w:color w:val="000000"/>
          <w:spacing w:val="2"/>
          <w:sz w:val="20"/>
        </w:rPr>
        <w:t xml:space="preserve"> m</w:t>
      </w:r>
      <w:r>
        <w:rPr>
          <w:rFonts w:ascii="Calibri" w:hAnsi="Calibri" w:cs="Calibri"/>
          <w:color w:val="000000"/>
          <w:sz w:val="20"/>
        </w:rPr>
        <w:t xml:space="preserve">.  </w:t>
      </w:r>
      <w:r>
        <w:rPr>
          <w:rFonts w:ascii="Calibri" w:hAnsi="Calibri" w:cs="Calibri"/>
          <w:color w:val="000000"/>
          <w:spacing w:val="16"/>
          <w:sz w:val="20"/>
        </w:rPr>
        <w:t xml:space="preserve"> </w:t>
      </w:r>
      <w:r>
        <w:rPr>
          <w:rFonts w:ascii="Calibri" w:hAnsi="Calibri" w:cs="Calibri"/>
          <w:color w:val="000000"/>
          <w:spacing w:val="-2"/>
          <w:sz w:val="20"/>
        </w:rPr>
        <w:t>200</w:t>
      </w:r>
      <w:r>
        <w:rPr>
          <w:rFonts w:ascii="Calibri" w:hAnsi="Calibri" w:cs="Calibri"/>
          <w:color w:val="000000"/>
          <w:sz w:val="20"/>
        </w:rPr>
        <w:t>3</w:t>
      </w:r>
      <w:r>
        <w:rPr>
          <w:rFonts w:ascii="Calibri" w:hAnsi="Calibri" w:cs="Calibri"/>
          <w:color w:val="000000"/>
          <w:spacing w:val="2"/>
          <w:sz w:val="20"/>
        </w:rPr>
        <w:t xml:space="preserve"> </w:t>
      </w:r>
      <w:r>
        <w:rPr>
          <w:rFonts w:ascii="Calibri" w:hAnsi="Calibri" w:cs="Calibri"/>
          <w:color w:val="000000"/>
          <w:spacing w:val="1"/>
          <w:sz w:val="20"/>
        </w:rPr>
        <w:t>m</w:t>
      </w:r>
      <w:r>
        <w:rPr>
          <w:rFonts w:ascii="Calibri" w:hAnsi="Calibri" w:cs="Calibri"/>
          <w:color w:val="000000"/>
          <w:sz w:val="20"/>
        </w:rPr>
        <w:t xml:space="preserve">.  </w:t>
      </w:r>
      <w:r>
        <w:rPr>
          <w:rFonts w:ascii="Calibri" w:hAnsi="Calibri" w:cs="Calibri"/>
          <w:color w:val="000000"/>
          <w:spacing w:val="16"/>
          <w:sz w:val="20"/>
        </w:rPr>
        <w:t xml:space="preserve"> </w:t>
      </w:r>
      <w:r>
        <w:rPr>
          <w:rFonts w:ascii="Calibri" w:hAnsi="Calibri" w:cs="Calibri"/>
          <w:color w:val="000000"/>
          <w:spacing w:val="-2"/>
          <w:sz w:val="20"/>
        </w:rPr>
        <w:t>200</w:t>
      </w:r>
      <w:r>
        <w:rPr>
          <w:rFonts w:ascii="Calibri" w:hAnsi="Calibri" w:cs="Calibri"/>
          <w:color w:val="000000"/>
          <w:sz w:val="20"/>
        </w:rPr>
        <w:t>4</w:t>
      </w:r>
      <w:r>
        <w:rPr>
          <w:rFonts w:ascii="Calibri" w:hAnsi="Calibri" w:cs="Calibri"/>
          <w:color w:val="000000"/>
          <w:spacing w:val="3"/>
          <w:sz w:val="20"/>
        </w:rPr>
        <w:t xml:space="preserve"> </w:t>
      </w:r>
      <w:r>
        <w:rPr>
          <w:rFonts w:ascii="Calibri" w:hAnsi="Calibri" w:cs="Calibri"/>
          <w:color w:val="000000"/>
          <w:spacing w:val="2"/>
          <w:sz w:val="20"/>
        </w:rPr>
        <w:t>m</w:t>
      </w:r>
      <w:r>
        <w:rPr>
          <w:rFonts w:ascii="Calibri" w:hAnsi="Calibri" w:cs="Calibri"/>
          <w:color w:val="000000"/>
          <w:sz w:val="20"/>
        </w:rPr>
        <w:t xml:space="preserve">.  </w:t>
      </w:r>
      <w:r>
        <w:rPr>
          <w:rFonts w:ascii="Calibri" w:hAnsi="Calibri" w:cs="Calibri"/>
          <w:color w:val="000000"/>
          <w:spacing w:val="14"/>
          <w:sz w:val="20"/>
        </w:rPr>
        <w:t xml:space="preserve"> </w:t>
      </w:r>
      <w:r>
        <w:rPr>
          <w:rFonts w:ascii="Calibri" w:hAnsi="Calibri" w:cs="Calibri"/>
          <w:color w:val="000000"/>
          <w:spacing w:val="-2"/>
          <w:sz w:val="20"/>
        </w:rPr>
        <w:t>200</w:t>
      </w:r>
      <w:r>
        <w:rPr>
          <w:rFonts w:ascii="Calibri" w:hAnsi="Calibri" w:cs="Calibri"/>
          <w:color w:val="000000"/>
          <w:sz w:val="20"/>
        </w:rPr>
        <w:t>5</w:t>
      </w:r>
      <w:r>
        <w:rPr>
          <w:rFonts w:ascii="Calibri" w:hAnsi="Calibri" w:cs="Calibri"/>
          <w:color w:val="000000"/>
          <w:spacing w:val="2"/>
          <w:sz w:val="20"/>
        </w:rPr>
        <w:t xml:space="preserve"> m</w:t>
      </w:r>
      <w:r>
        <w:rPr>
          <w:rFonts w:ascii="Calibri" w:hAnsi="Calibri" w:cs="Calibri"/>
          <w:color w:val="000000"/>
          <w:sz w:val="20"/>
        </w:rPr>
        <w:t xml:space="preserve">.  </w:t>
      </w:r>
      <w:r>
        <w:rPr>
          <w:rFonts w:ascii="Calibri" w:hAnsi="Calibri" w:cs="Calibri"/>
          <w:color w:val="000000"/>
          <w:spacing w:val="16"/>
          <w:sz w:val="20"/>
        </w:rPr>
        <w:t xml:space="preserve"> </w:t>
      </w:r>
      <w:r>
        <w:rPr>
          <w:rFonts w:ascii="Calibri" w:hAnsi="Calibri" w:cs="Calibri"/>
          <w:color w:val="000000"/>
          <w:spacing w:val="-2"/>
          <w:sz w:val="20"/>
        </w:rPr>
        <w:t>200</w:t>
      </w:r>
      <w:r>
        <w:rPr>
          <w:rFonts w:ascii="Calibri" w:hAnsi="Calibri" w:cs="Calibri"/>
          <w:color w:val="000000"/>
          <w:sz w:val="20"/>
        </w:rPr>
        <w:t>6</w:t>
      </w:r>
      <w:r>
        <w:rPr>
          <w:rFonts w:ascii="Calibri" w:hAnsi="Calibri" w:cs="Calibri"/>
          <w:color w:val="000000"/>
          <w:spacing w:val="2"/>
          <w:sz w:val="20"/>
        </w:rPr>
        <w:t xml:space="preserve"> </w:t>
      </w:r>
      <w:r>
        <w:rPr>
          <w:rFonts w:ascii="Calibri" w:hAnsi="Calibri" w:cs="Calibri"/>
          <w:color w:val="000000"/>
          <w:spacing w:val="1"/>
          <w:sz w:val="20"/>
        </w:rPr>
        <w:t>m</w:t>
      </w:r>
      <w:r>
        <w:rPr>
          <w:rFonts w:ascii="Calibri" w:hAnsi="Calibri" w:cs="Calibri"/>
          <w:color w:val="000000"/>
          <w:sz w:val="20"/>
        </w:rPr>
        <w:t xml:space="preserve">.  </w:t>
      </w:r>
      <w:r>
        <w:rPr>
          <w:rFonts w:ascii="Calibri" w:hAnsi="Calibri" w:cs="Calibri"/>
          <w:color w:val="000000"/>
          <w:spacing w:val="16"/>
          <w:sz w:val="20"/>
        </w:rPr>
        <w:t xml:space="preserve"> </w:t>
      </w:r>
      <w:r>
        <w:rPr>
          <w:rFonts w:ascii="Calibri" w:hAnsi="Calibri" w:cs="Calibri"/>
          <w:color w:val="000000"/>
          <w:spacing w:val="-2"/>
          <w:sz w:val="20"/>
        </w:rPr>
        <w:t>200</w:t>
      </w:r>
      <w:r>
        <w:rPr>
          <w:rFonts w:ascii="Calibri" w:hAnsi="Calibri" w:cs="Calibri"/>
          <w:color w:val="000000"/>
          <w:sz w:val="20"/>
        </w:rPr>
        <w:t>7</w:t>
      </w:r>
      <w:r>
        <w:rPr>
          <w:rFonts w:ascii="Calibri" w:hAnsi="Calibri" w:cs="Calibri"/>
          <w:color w:val="000000"/>
          <w:spacing w:val="4"/>
          <w:sz w:val="20"/>
        </w:rPr>
        <w:t xml:space="preserve"> </w:t>
      </w:r>
      <w:r>
        <w:rPr>
          <w:rFonts w:ascii="Calibri" w:hAnsi="Calibri" w:cs="Calibri"/>
          <w:color w:val="000000"/>
          <w:spacing w:val="2"/>
          <w:sz w:val="20"/>
        </w:rPr>
        <w:t>m</w:t>
      </w:r>
      <w:r>
        <w:rPr>
          <w:rFonts w:ascii="Calibri" w:hAnsi="Calibri" w:cs="Calibri"/>
          <w:color w:val="000000"/>
          <w:sz w:val="20"/>
        </w:rPr>
        <w:t xml:space="preserve">.  </w:t>
      </w:r>
      <w:r>
        <w:rPr>
          <w:rFonts w:ascii="Calibri" w:hAnsi="Calibri" w:cs="Calibri"/>
          <w:color w:val="000000"/>
          <w:spacing w:val="13"/>
          <w:sz w:val="20"/>
        </w:rPr>
        <w:t xml:space="preserve"> </w:t>
      </w:r>
      <w:r>
        <w:rPr>
          <w:rFonts w:ascii="Calibri" w:hAnsi="Calibri" w:cs="Calibri"/>
          <w:color w:val="000000"/>
          <w:spacing w:val="-2"/>
          <w:sz w:val="20"/>
        </w:rPr>
        <w:t>200</w:t>
      </w:r>
      <w:r>
        <w:rPr>
          <w:rFonts w:ascii="Calibri" w:hAnsi="Calibri" w:cs="Calibri"/>
          <w:color w:val="000000"/>
          <w:sz w:val="20"/>
        </w:rPr>
        <w:t>8</w:t>
      </w:r>
      <w:r>
        <w:rPr>
          <w:rFonts w:ascii="Calibri" w:hAnsi="Calibri" w:cs="Calibri"/>
          <w:color w:val="000000"/>
          <w:spacing w:val="2"/>
          <w:sz w:val="20"/>
        </w:rPr>
        <w:t xml:space="preserve"> m</w:t>
      </w:r>
      <w:r>
        <w:rPr>
          <w:rFonts w:ascii="Calibri" w:hAnsi="Calibri" w:cs="Calibri"/>
          <w:color w:val="000000"/>
          <w:sz w:val="20"/>
        </w:rPr>
        <w:t xml:space="preserve">.  </w:t>
      </w:r>
      <w:r>
        <w:rPr>
          <w:rFonts w:ascii="Calibri" w:hAnsi="Calibri" w:cs="Calibri"/>
          <w:color w:val="000000"/>
          <w:spacing w:val="16"/>
          <w:sz w:val="20"/>
        </w:rPr>
        <w:t xml:space="preserve"> </w:t>
      </w:r>
      <w:r>
        <w:rPr>
          <w:rFonts w:ascii="Calibri" w:hAnsi="Calibri" w:cs="Calibri"/>
          <w:color w:val="000000"/>
          <w:spacing w:val="-2"/>
          <w:sz w:val="20"/>
        </w:rPr>
        <w:t>200</w:t>
      </w:r>
      <w:r>
        <w:rPr>
          <w:rFonts w:ascii="Calibri" w:hAnsi="Calibri" w:cs="Calibri"/>
          <w:color w:val="000000"/>
          <w:sz w:val="20"/>
        </w:rPr>
        <w:t>9</w:t>
      </w:r>
      <w:r>
        <w:rPr>
          <w:rFonts w:ascii="Calibri" w:hAnsi="Calibri" w:cs="Calibri"/>
          <w:color w:val="000000"/>
          <w:spacing w:val="2"/>
          <w:sz w:val="20"/>
        </w:rPr>
        <w:t xml:space="preserve"> m</w:t>
      </w:r>
      <w:r>
        <w:rPr>
          <w:rFonts w:ascii="Calibri" w:hAnsi="Calibri" w:cs="Calibri"/>
          <w:color w:val="000000"/>
          <w:sz w:val="20"/>
        </w:rPr>
        <w:t xml:space="preserve">.  </w:t>
      </w:r>
      <w:r>
        <w:rPr>
          <w:rFonts w:ascii="Calibri" w:hAnsi="Calibri" w:cs="Calibri"/>
          <w:color w:val="000000"/>
          <w:spacing w:val="15"/>
          <w:sz w:val="20"/>
        </w:rPr>
        <w:t xml:space="preserve"> </w:t>
      </w:r>
      <w:r>
        <w:rPr>
          <w:rFonts w:ascii="Calibri" w:hAnsi="Calibri" w:cs="Calibri"/>
          <w:color w:val="000000"/>
          <w:spacing w:val="-2"/>
          <w:sz w:val="20"/>
        </w:rPr>
        <w:t>201</w:t>
      </w:r>
      <w:r>
        <w:rPr>
          <w:rFonts w:ascii="Calibri" w:hAnsi="Calibri" w:cs="Calibri"/>
          <w:color w:val="000000"/>
          <w:sz w:val="20"/>
        </w:rPr>
        <w:t>0</w:t>
      </w:r>
      <w:r>
        <w:rPr>
          <w:rFonts w:ascii="Calibri" w:hAnsi="Calibri" w:cs="Calibri"/>
          <w:color w:val="000000"/>
          <w:spacing w:val="4"/>
          <w:sz w:val="20"/>
        </w:rPr>
        <w:t xml:space="preserve"> </w:t>
      </w:r>
      <w:r>
        <w:rPr>
          <w:rFonts w:ascii="Calibri" w:hAnsi="Calibri" w:cs="Calibri"/>
          <w:color w:val="000000"/>
          <w:spacing w:val="2"/>
          <w:sz w:val="20"/>
        </w:rPr>
        <w:t>m</w:t>
      </w:r>
      <w:r>
        <w:rPr>
          <w:rFonts w:ascii="Calibri" w:hAnsi="Calibri" w:cs="Calibri"/>
          <w:color w:val="000000"/>
          <w:sz w:val="20"/>
        </w:rPr>
        <w:t xml:space="preserve">.  </w:t>
      </w:r>
      <w:r>
        <w:rPr>
          <w:rFonts w:ascii="Calibri" w:hAnsi="Calibri" w:cs="Calibri"/>
          <w:color w:val="000000"/>
          <w:spacing w:val="13"/>
          <w:sz w:val="20"/>
        </w:rPr>
        <w:t xml:space="preserve"> </w:t>
      </w:r>
      <w:r>
        <w:rPr>
          <w:rFonts w:ascii="Calibri" w:hAnsi="Calibri" w:cs="Calibri"/>
          <w:color w:val="000000"/>
          <w:spacing w:val="-2"/>
          <w:sz w:val="20"/>
        </w:rPr>
        <w:t>201</w:t>
      </w:r>
      <w:r>
        <w:rPr>
          <w:rFonts w:ascii="Calibri" w:hAnsi="Calibri" w:cs="Calibri"/>
          <w:color w:val="000000"/>
          <w:sz w:val="20"/>
        </w:rPr>
        <w:t>1</w:t>
      </w:r>
      <w:r>
        <w:rPr>
          <w:rFonts w:ascii="Calibri" w:hAnsi="Calibri" w:cs="Calibri"/>
          <w:color w:val="000000"/>
          <w:spacing w:val="3"/>
          <w:sz w:val="20"/>
        </w:rPr>
        <w:t xml:space="preserve"> </w:t>
      </w:r>
      <w:r>
        <w:rPr>
          <w:rFonts w:ascii="Calibri" w:hAnsi="Calibri" w:cs="Calibri"/>
          <w:color w:val="000000"/>
          <w:spacing w:val="2"/>
          <w:sz w:val="20"/>
        </w:rPr>
        <w:t>m</w:t>
      </w:r>
      <w:r>
        <w:rPr>
          <w:rFonts w:ascii="Calibri" w:hAnsi="Calibri" w:cs="Calibri"/>
          <w:color w:val="000000"/>
          <w:sz w:val="20"/>
        </w:rPr>
        <w:t xml:space="preserve">.  </w:t>
      </w:r>
      <w:r>
        <w:rPr>
          <w:rFonts w:ascii="Calibri" w:hAnsi="Calibri" w:cs="Calibri"/>
          <w:color w:val="000000"/>
          <w:spacing w:val="13"/>
          <w:sz w:val="20"/>
        </w:rPr>
        <w:t xml:space="preserve"> </w:t>
      </w:r>
      <w:r>
        <w:rPr>
          <w:rFonts w:ascii="Calibri" w:hAnsi="Calibri" w:cs="Calibri"/>
          <w:color w:val="000000"/>
          <w:spacing w:val="-2"/>
          <w:sz w:val="20"/>
        </w:rPr>
        <w:t>201</w:t>
      </w:r>
      <w:r>
        <w:rPr>
          <w:rFonts w:ascii="Calibri" w:hAnsi="Calibri" w:cs="Calibri"/>
          <w:color w:val="000000"/>
          <w:sz w:val="20"/>
        </w:rPr>
        <w:t>2</w:t>
      </w:r>
      <w:r>
        <w:rPr>
          <w:rFonts w:ascii="Calibri" w:hAnsi="Calibri" w:cs="Calibri"/>
          <w:color w:val="000000"/>
          <w:spacing w:val="2"/>
          <w:sz w:val="20"/>
        </w:rPr>
        <w:t xml:space="preserve"> m</w:t>
      </w:r>
      <w:r>
        <w:rPr>
          <w:rFonts w:ascii="Calibri" w:hAnsi="Calibri" w:cs="Calibri"/>
          <w:color w:val="000000"/>
          <w:sz w:val="20"/>
        </w:rPr>
        <w:t>.</w:t>
      </w:r>
    </w:p>
    <w:p w:rsidR="004F7425" w:rsidRDefault="004F7425" w:rsidP="004F7425">
      <w:pPr>
        <w:widowControl w:val="0"/>
        <w:autoSpaceDE w:val="0"/>
        <w:autoSpaceDN w:val="0"/>
        <w:adjustRightInd w:val="0"/>
        <w:spacing w:before="3" w:line="160" w:lineRule="exact"/>
        <w:rPr>
          <w:rFonts w:ascii="Calibri" w:hAnsi="Calibri" w:cs="Calibri"/>
          <w:color w:val="000000"/>
          <w:sz w:val="16"/>
          <w:szCs w:val="16"/>
        </w:rPr>
      </w:pPr>
    </w:p>
    <w:p w:rsidR="004F7425" w:rsidRDefault="004F7425" w:rsidP="004F7425">
      <w:pPr>
        <w:widowControl w:val="0"/>
        <w:autoSpaceDE w:val="0"/>
        <w:autoSpaceDN w:val="0"/>
        <w:adjustRightInd w:val="0"/>
        <w:ind w:left="120" w:right="46" w:firstLine="711"/>
        <w:jc w:val="both"/>
        <w:rPr>
          <w:color w:val="000000"/>
        </w:rPr>
      </w:pPr>
      <w:r>
        <w:rPr>
          <w:color w:val="000000"/>
          <w:spacing w:val="1"/>
        </w:rPr>
        <w:t>P</w:t>
      </w:r>
      <w:r>
        <w:rPr>
          <w:color w:val="000000"/>
          <w:spacing w:val="-1"/>
        </w:rPr>
        <w:t>a</w:t>
      </w:r>
      <w:r>
        <w:rPr>
          <w:color w:val="000000"/>
          <w:spacing w:val="-2"/>
        </w:rPr>
        <w:t>s</w:t>
      </w:r>
      <w:r>
        <w:rPr>
          <w:color w:val="000000"/>
          <w:spacing w:val="5"/>
        </w:rPr>
        <w:t>t</w:t>
      </w:r>
      <w:r>
        <w:rPr>
          <w:color w:val="000000"/>
          <w:spacing w:val="-1"/>
        </w:rPr>
        <w:t>e</w:t>
      </w:r>
      <w:r>
        <w:rPr>
          <w:color w:val="000000"/>
        </w:rPr>
        <w:t>b</w:t>
      </w:r>
      <w:r>
        <w:rPr>
          <w:color w:val="000000"/>
          <w:spacing w:val="-4"/>
        </w:rPr>
        <w:t>im</w:t>
      </w:r>
      <w:r>
        <w:rPr>
          <w:color w:val="000000"/>
          <w:spacing w:val="-1"/>
        </w:rPr>
        <w:t>a</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7"/>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1"/>
        </w:rPr>
        <w:t xml:space="preserve"> </w:t>
      </w:r>
      <w:r>
        <w:rPr>
          <w:color w:val="000000"/>
        </w:rPr>
        <w:t>p</w:t>
      </w:r>
      <w:r>
        <w:rPr>
          <w:color w:val="000000"/>
          <w:spacing w:val="4"/>
        </w:rPr>
        <w:t>a</w:t>
      </w:r>
      <w:r>
        <w:rPr>
          <w:color w:val="000000"/>
          <w:spacing w:val="-2"/>
        </w:rPr>
        <w:t>s</w:t>
      </w:r>
      <w:r>
        <w:rPr>
          <w:color w:val="000000"/>
          <w:spacing w:val="5"/>
        </w:rPr>
        <w:t>t</w:t>
      </w:r>
      <w:r>
        <w:rPr>
          <w:color w:val="000000"/>
          <w:spacing w:val="-1"/>
        </w:rPr>
        <w:t>a</w:t>
      </w:r>
      <w:r>
        <w:rPr>
          <w:color w:val="000000"/>
          <w:spacing w:val="1"/>
        </w:rPr>
        <w:t>r</w:t>
      </w:r>
      <w:r>
        <w:rPr>
          <w:color w:val="000000"/>
          <w:spacing w:val="-5"/>
        </w:rPr>
        <w:t>u</w:t>
      </w:r>
      <w:r>
        <w:rPr>
          <w:color w:val="000000"/>
          <w:spacing w:val="5"/>
        </w:rPr>
        <w:t>o</w:t>
      </w:r>
      <w:r>
        <w:rPr>
          <w:color w:val="000000"/>
          <w:spacing w:val="2"/>
        </w:rPr>
        <w:t>s</w:t>
      </w:r>
      <w:r>
        <w:rPr>
          <w:color w:val="000000"/>
          <w:spacing w:val="-9"/>
        </w:rPr>
        <w:t>i</w:t>
      </w:r>
      <w:r>
        <w:rPr>
          <w:color w:val="000000"/>
        </w:rPr>
        <w:t>us 3</w:t>
      </w:r>
      <w:r>
        <w:rPr>
          <w:color w:val="000000"/>
          <w:spacing w:val="12"/>
        </w:rPr>
        <w:t xml:space="preserve"> </w:t>
      </w:r>
      <w:r>
        <w:rPr>
          <w:color w:val="000000"/>
          <w:spacing w:val="-4"/>
        </w:rPr>
        <w:t>m</w:t>
      </w:r>
      <w:r>
        <w:rPr>
          <w:color w:val="000000"/>
          <w:spacing w:val="-1"/>
        </w:rPr>
        <w:t>e</w:t>
      </w:r>
      <w:r>
        <w:rPr>
          <w:color w:val="000000"/>
          <w:spacing w:val="5"/>
        </w:rPr>
        <w:t>t</w:t>
      </w:r>
      <w:r>
        <w:rPr>
          <w:color w:val="000000"/>
        </w:rPr>
        <w:t xml:space="preserve">us </w:t>
      </w:r>
      <w:r>
        <w:rPr>
          <w:color w:val="000000"/>
          <w:spacing w:val="-4"/>
        </w:rPr>
        <w:t>i</w:t>
      </w:r>
      <w:r>
        <w:rPr>
          <w:color w:val="000000"/>
        </w:rPr>
        <w:t>š</w:t>
      </w:r>
      <w:r>
        <w:rPr>
          <w:color w:val="000000"/>
          <w:spacing w:val="5"/>
        </w:rPr>
        <w:t xml:space="preserve"> </w:t>
      </w:r>
      <w:r>
        <w:rPr>
          <w:color w:val="000000"/>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5"/>
        </w:rPr>
        <w:t>o</w:t>
      </w:r>
      <w:r>
        <w:rPr>
          <w:color w:val="000000"/>
        </w:rPr>
        <w:t xml:space="preserve">s </w:t>
      </w:r>
      <w:r>
        <w:rPr>
          <w:color w:val="000000"/>
          <w:spacing w:val="-1"/>
        </w:rPr>
        <w:t>a</w:t>
      </w:r>
      <w:r>
        <w:rPr>
          <w:color w:val="000000"/>
          <w:spacing w:val="5"/>
        </w:rPr>
        <w:t>p</w:t>
      </w:r>
      <w:r>
        <w:rPr>
          <w:color w:val="000000"/>
          <w:spacing w:val="-5"/>
        </w:rPr>
        <w:t>y</w:t>
      </w:r>
      <w:r>
        <w:rPr>
          <w:color w:val="000000"/>
          <w:spacing w:val="8"/>
        </w:rPr>
        <w:t>v</w:t>
      </w:r>
      <w:r>
        <w:rPr>
          <w:color w:val="000000"/>
          <w:spacing w:val="-1"/>
        </w:rPr>
        <w:t>a</w:t>
      </w:r>
      <w:r>
        <w:rPr>
          <w:color w:val="000000"/>
          <w:spacing w:val="1"/>
        </w:rPr>
        <w:t>r</w:t>
      </w:r>
      <w:r>
        <w:rPr>
          <w:color w:val="000000"/>
          <w:spacing w:val="5"/>
        </w:rPr>
        <w:t>to</w:t>
      </w:r>
      <w:r>
        <w:rPr>
          <w:color w:val="000000"/>
        </w:rPr>
        <w:t>s</w:t>
      </w:r>
      <w:r>
        <w:rPr>
          <w:color w:val="000000"/>
          <w:spacing w:val="5"/>
        </w:rPr>
        <w:t xml:space="preserve"> </w:t>
      </w:r>
      <w:r>
        <w:rPr>
          <w:color w:val="000000"/>
          <w:spacing w:val="-9"/>
        </w:rPr>
        <w:t>i</w:t>
      </w:r>
      <w:r>
        <w:rPr>
          <w:color w:val="000000"/>
          <w:spacing w:val="2"/>
        </w:rPr>
        <w:t>š</w:t>
      </w:r>
      <w:r>
        <w:rPr>
          <w:color w:val="000000"/>
        </w:rPr>
        <w:t>i</w:t>
      </w:r>
      <w:r>
        <w:rPr>
          <w:color w:val="000000"/>
          <w:spacing w:val="-4"/>
        </w:rPr>
        <w:t>m</w:t>
      </w:r>
      <w:r>
        <w:rPr>
          <w:color w:val="000000"/>
          <w:spacing w:val="4"/>
        </w:rPr>
        <w:t>a</w:t>
      </w:r>
      <w:r>
        <w:rPr>
          <w:color w:val="000000"/>
          <w:spacing w:val="-9"/>
        </w:rPr>
        <w:t>m</w:t>
      </w:r>
      <w:r>
        <w:rPr>
          <w:color w:val="000000"/>
        </w:rPr>
        <w:t>o</w:t>
      </w:r>
      <w:r>
        <w:rPr>
          <w:color w:val="000000"/>
          <w:spacing w:val="12"/>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 xml:space="preserve">o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spacing w:val="4"/>
        </w:rPr>
        <w:t>a</w:t>
      </w:r>
      <w:r>
        <w:rPr>
          <w:color w:val="000000"/>
        </w:rPr>
        <w:t>i</w:t>
      </w:r>
      <w:r>
        <w:rPr>
          <w:color w:val="000000"/>
          <w:spacing w:val="51"/>
        </w:rPr>
        <w:t xml:space="preserve"> </w:t>
      </w:r>
      <w:r>
        <w:rPr>
          <w:color w:val="000000"/>
          <w:spacing w:val="-4"/>
        </w:rPr>
        <w:t>m</w:t>
      </w:r>
      <w:r>
        <w:rPr>
          <w:color w:val="000000"/>
          <w:spacing w:val="-1"/>
        </w:rPr>
        <w:t>a</w:t>
      </w:r>
      <w:r>
        <w:rPr>
          <w:color w:val="000000"/>
          <w:spacing w:val="4"/>
        </w:rPr>
        <w:t>žė</w:t>
      </w:r>
      <w:r>
        <w:rPr>
          <w:color w:val="000000"/>
          <w:spacing w:val="-4"/>
        </w:rPr>
        <w:t>j</w:t>
      </w:r>
      <w:r>
        <w:rPr>
          <w:color w:val="000000"/>
          <w:spacing w:val="-1"/>
        </w:rPr>
        <w:t>a</w:t>
      </w:r>
      <w:r>
        <w:rPr>
          <w:color w:val="000000"/>
        </w:rPr>
        <w:t>.</w:t>
      </w:r>
      <w:r>
        <w:rPr>
          <w:color w:val="000000"/>
          <w:spacing w:val="52"/>
        </w:rPr>
        <w:t xml:space="preserve"> </w:t>
      </w:r>
      <w:r>
        <w:rPr>
          <w:color w:val="000000"/>
          <w:spacing w:val="2"/>
        </w:rPr>
        <w:t>T</w:t>
      </w:r>
      <w:r>
        <w:rPr>
          <w:color w:val="000000"/>
          <w:spacing w:val="-1"/>
        </w:rPr>
        <w:t>a</w:t>
      </w:r>
      <w:r>
        <w:rPr>
          <w:color w:val="000000"/>
          <w:spacing w:val="4"/>
        </w:rPr>
        <w:t>č</w:t>
      </w:r>
      <w:r>
        <w:rPr>
          <w:color w:val="000000"/>
          <w:spacing w:val="-9"/>
        </w:rPr>
        <w:t>i</w:t>
      </w:r>
      <w:r>
        <w:rPr>
          <w:color w:val="000000"/>
          <w:spacing w:val="-1"/>
        </w:rPr>
        <w:t>a</w:t>
      </w:r>
      <w:r>
        <w:rPr>
          <w:color w:val="000000"/>
        </w:rPr>
        <w:t>u</w:t>
      </w:r>
      <w:r>
        <w:rPr>
          <w:color w:val="000000"/>
          <w:spacing w:val="55"/>
        </w:rPr>
        <w:t xml:space="preserve"> </w:t>
      </w:r>
      <w:r>
        <w:rPr>
          <w:color w:val="000000"/>
          <w:spacing w:val="5"/>
        </w:rPr>
        <w:t>t</w:t>
      </w:r>
      <w:r>
        <w:rPr>
          <w:color w:val="000000"/>
          <w:spacing w:val="4"/>
        </w:rPr>
        <w:t>a</w:t>
      </w:r>
      <w:r>
        <w:rPr>
          <w:color w:val="000000"/>
        </w:rPr>
        <w:t>i</w:t>
      </w:r>
      <w:r>
        <w:rPr>
          <w:color w:val="000000"/>
          <w:spacing w:val="46"/>
        </w:rPr>
        <w:t xml:space="preserve"> </w:t>
      </w:r>
      <w:r>
        <w:rPr>
          <w:color w:val="000000"/>
          <w:spacing w:val="-5"/>
        </w:rPr>
        <w:t>n</w:t>
      </w:r>
      <w:r>
        <w:rPr>
          <w:color w:val="000000"/>
          <w:spacing w:val="-1"/>
        </w:rPr>
        <w:t>e</w:t>
      </w:r>
      <w:r>
        <w:rPr>
          <w:color w:val="000000"/>
          <w:spacing w:val="1"/>
        </w:rPr>
        <w:t>r</w:t>
      </w:r>
      <w:r>
        <w:rPr>
          <w:color w:val="000000"/>
          <w:spacing w:val="4"/>
        </w:rPr>
        <w:t>e</w:t>
      </w:r>
      <w:r>
        <w:rPr>
          <w:color w:val="000000"/>
          <w:spacing w:val="-4"/>
        </w:rPr>
        <w:t>i</w:t>
      </w:r>
      <w:r>
        <w:rPr>
          <w:color w:val="000000"/>
          <w:spacing w:val="-2"/>
        </w:rPr>
        <w:t>š</w:t>
      </w:r>
      <w:r>
        <w:rPr>
          <w:color w:val="000000"/>
          <w:spacing w:val="5"/>
        </w:rPr>
        <w:t>k</w:t>
      </w:r>
      <w:r>
        <w:rPr>
          <w:color w:val="000000"/>
          <w:spacing w:val="-4"/>
        </w:rPr>
        <w:t>i</w:t>
      </w:r>
      <w:r>
        <w:rPr>
          <w:color w:val="000000"/>
          <w:spacing w:val="-1"/>
        </w:rPr>
        <w:t>a</w:t>
      </w:r>
      <w:r>
        <w:rPr>
          <w:color w:val="000000"/>
        </w:rPr>
        <w:t>,</w:t>
      </w:r>
      <w:r>
        <w:rPr>
          <w:color w:val="000000"/>
          <w:spacing w:val="52"/>
        </w:rPr>
        <w:t xml:space="preserve"> </w:t>
      </w:r>
      <w:r>
        <w:rPr>
          <w:color w:val="000000"/>
        </w:rPr>
        <w:t>k</w:t>
      </w:r>
      <w:r>
        <w:rPr>
          <w:color w:val="000000"/>
          <w:spacing w:val="-1"/>
        </w:rPr>
        <w:t>a</w:t>
      </w:r>
      <w:r>
        <w:rPr>
          <w:color w:val="000000"/>
        </w:rPr>
        <w:t>d</w:t>
      </w:r>
      <w:r>
        <w:rPr>
          <w:color w:val="000000"/>
          <w:spacing w:val="50"/>
        </w:rPr>
        <w:t xml:space="preserve"> </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2"/>
        </w:rPr>
        <w:t>s</w:t>
      </w:r>
      <w:r>
        <w:rPr>
          <w:color w:val="000000"/>
          <w:spacing w:val="4"/>
        </w:rPr>
        <w:t>a</w:t>
      </w:r>
      <w:r>
        <w:rPr>
          <w:color w:val="000000"/>
        </w:rPr>
        <w:t>ug</w:t>
      </w:r>
      <w:r>
        <w:rPr>
          <w:color w:val="000000"/>
          <w:spacing w:val="5"/>
        </w:rPr>
        <w:t>o</w:t>
      </w:r>
      <w:r>
        <w:rPr>
          <w:color w:val="000000"/>
        </w:rPr>
        <w:t>s</w:t>
      </w:r>
      <w:r>
        <w:rPr>
          <w:color w:val="000000"/>
          <w:spacing w:val="48"/>
        </w:rPr>
        <w:t xml:space="preserve"> </w:t>
      </w:r>
      <w:r>
        <w:rPr>
          <w:color w:val="000000"/>
          <w:spacing w:val="-4"/>
        </w:rPr>
        <w:t>i</w:t>
      </w:r>
      <w:r>
        <w:rPr>
          <w:color w:val="000000"/>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w:t>
      </w:r>
      <w:r>
        <w:rPr>
          <w:color w:val="000000"/>
          <w:spacing w:val="-9"/>
        </w:rPr>
        <w:t>j</w:t>
      </w:r>
      <w:r>
        <w:rPr>
          <w:color w:val="000000"/>
          <w:spacing w:val="5"/>
        </w:rPr>
        <w:t>o</w:t>
      </w:r>
      <w:r>
        <w:rPr>
          <w:color w:val="000000"/>
        </w:rPr>
        <w:t>s</w:t>
      </w:r>
      <w:r>
        <w:rPr>
          <w:color w:val="000000"/>
          <w:spacing w:val="48"/>
        </w:rPr>
        <w:t xml:space="preserve"> </w:t>
      </w:r>
      <w:r>
        <w:rPr>
          <w:color w:val="000000"/>
          <w:spacing w:val="5"/>
        </w:rPr>
        <w:t>t</w:t>
      </w:r>
      <w:r>
        <w:rPr>
          <w:color w:val="000000"/>
          <w:spacing w:val="4"/>
        </w:rPr>
        <w:t>a</w:t>
      </w:r>
      <w:r>
        <w:rPr>
          <w:color w:val="000000"/>
        </w:rPr>
        <w:t>m</w:t>
      </w:r>
      <w:r>
        <w:rPr>
          <w:color w:val="000000"/>
          <w:spacing w:val="46"/>
        </w:rPr>
        <w:t xml:space="preserve"> </w:t>
      </w:r>
      <w:r>
        <w:rPr>
          <w:color w:val="000000"/>
        </w:rPr>
        <w:t>n</w:t>
      </w:r>
      <w:r>
        <w:rPr>
          <w:color w:val="000000"/>
          <w:spacing w:val="-1"/>
        </w:rPr>
        <w:t>e</w:t>
      </w:r>
      <w:r>
        <w:rPr>
          <w:color w:val="000000"/>
          <w:spacing w:val="-2"/>
        </w:rPr>
        <w:t>s</w:t>
      </w:r>
      <w:r>
        <w:rPr>
          <w:color w:val="000000"/>
        </w:rPr>
        <w:t>k</w:t>
      </w:r>
      <w:r>
        <w:rPr>
          <w:color w:val="000000"/>
          <w:spacing w:val="-44"/>
        </w:rPr>
        <w:t xml:space="preserve"> </w:t>
      </w:r>
      <w:r>
        <w:rPr>
          <w:color w:val="000000"/>
          <w:spacing w:val="-9"/>
        </w:rPr>
        <w:t>i</w:t>
      </w:r>
      <w:r>
        <w:rPr>
          <w:color w:val="000000"/>
          <w:spacing w:val="6"/>
        </w:rPr>
        <w:t>r</w:t>
      </w:r>
      <w:r>
        <w:rPr>
          <w:color w:val="000000"/>
          <w:spacing w:val="-4"/>
        </w:rPr>
        <w:t>i</w:t>
      </w:r>
      <w:r>
        <w:rPr>
          <w:color w:val="000000"/>
        </w:rPr>
        <w:t>a</w:t>
      </w:r>
      <w:r>
        <w:rPr>
          <w:color w:val="000000"/>
          <w:spacing w:val="54"/>
        </w:rPr>
        <w:t xml:space="preserve"> </w:t>
      </w:r>
      <w:r>
        <w:rPr>
          <w:color w:val="000000"/>
        </w:rPr>
        <w:t>d</w:t>
      </w:r>
      <w:r>
        <w:rPr>
          <w:color w:val="000000"/>
          <w:spacing w:val="4"/>
        </w:rPr>
        <w:t>ė</w:t>
      </w:r>
      <w:r>
        <w:rPr>
          <w:color w:val="000000"/>
          <w:spacing w:val="-4"/>
        </w:rPr>
        <w:t>m</w:t>
      </w:r>
      <w:r>
        <w:rPr>
          <w:color w:val="000000"/>
          <w:spacing w:val="-1"/>
        </w:rPr>
        <w:t>e</w:t>
      </w:r>
      <w:r>
        <w:rPr>
          <w:color w:val="000000"/>
          <w:spacing w:val="2"/>
        </w:rPr>
        <w:t>s</w:t>
      </w:r>
      <w:r>
        <w:rPr>
          <w:color w:val="000000"/>
          <w:spacing w:val="-9"/>
        </w:rPr>
        <w:t>i</w:t>
      </w:r>
      <w:r>
        <w:rPr>
          <w:color w:val="000000"/>
        </w:rPr>
        <w:t xml:space="preserve">o  </w:t>
      </w:r>
      <w:r>
        <w:rPr>
          <w:color w:val="000000"/>
          <w:spacing w:val="-1"/>
        </w:rPr>
        <w:t>a</w:t>
      </w:r>
      <w:r>
        <w:rPr>
          <w:color w:val="000000"/>
        </w:rPr>
        <w:t>r</w:t>
      </w:r>
      <w:r>
        <w:rPr>
          <w:color w:val="000000"/>
          <w:spacing w:val="52"/>
        </w:rPr>
        <w:t xml:space="preserve"> </w:t>
      </w:r>
      <w:r>
        <w:rPr>
          <w:color w:val="000000"/>
          <w:spacing w:val="5"/>
        </w:rPr>
        <w:t>d</w:t>
      </w:r>
      <w:r>
        <w:rPr>
          <w:color w:val="000000"/>
          <w:spacing w:val="-9"/>
        </w:rPr>
        <w:t>i</w:t>
      </w:r>
      <w:r>
        <w:rPr>
          <w:color w:val="000000"/>
          <w:spacing w:val="6"/>
        </w:rPr>
        <w:t>r</w:t>
      </w:r>
      <w:r>
        <w:rPr>
          <w:color w:val="000000"/>
        </w:rPr>
        <w:t>ba p</w:t>
      </w:r>
      <w:r>
        <w:rPr>
          <w:color w:val="000000"/>
          <w:spacing w:val="1"/>
        </w:rPr>
        <w:t>r</w:t>
      </w:r>
      <w:r>
        <w:rPr>
          <w:color w:val="000000"/>
          <w:spacing w:val="-1"/>
        </w:rPr>
        <w:t>a</w:t>
      </w:r>
      <w:r>
        <w:rPr>
          <w:color w:val="000000"/>
          <w:spacing w:val="-2"/>
        </w:rPr>
        <w:t>s</w:t>
      </w:r>
      <w:r>
        <w:rPr>
          <w:color w:val="000000"/>
          <w:spacing w:val="4"/>
        </w:rPr>
        <w:t>č</w:t>
      </w:r>
      <w:r>
        <w:rPr>
          <w:color w:val="000000"/>
          <w:spacing w:val="-4"/>
        </w:rPr>
        <w:t>i</w:t>
      </w:r>
      <w:r>
        <w:rPr>
          <w:color w:val="000000"/>
          <w:spacing w:val="-1"/>
        </w:rPr>
        <w:t>a</w:t>
      </w:r>
      <w:r>
        <w:rPr>
          <w:color w:val="000000"/>
        </w:rPr>
        <w:t>u,</w:t>
      </w:r>
      <w:r>
        <w:rPr>
          <w:color w:val="000000"/>
          <w:spacing w:val="30"/>
        </w:rPr>
        <w:t xml:space="preserve"> </w:t>
      </w:r>
      <w:r>
        <w:rPr>
          <w:color w:val="000000"/>
        </w:rPr>
        <w:t>p</w:t>
      </w:r>
      <w:r>
        <w:rPr>
          <w:color w:val="000000"/>
          <w:spacing w:val="-1"/>
        </w:rPr>
        <w:t>e</w:t>
      </w:r>
      <w:r>
        <w:rPr>
          <w:color w:val="000000"/>
          <w:spacing w:val="1"/>
        </w:rPr>
        <w:t>r</w:t>
      </w:r>
      <w:r>
        <w:rPr>
          <w:color w:val="000000"/>
          <w:spacing w:val="-5"/>
        </w:rPr>
        <w:t>n</w:t>
      </w:r>
      <w:r>
        <w:rPr>
          <w:color w:val="000000"/>
          <w:spacing w:val="4"/>
        </w:rPr>
        <w:t>a</w:t>
      </w:r>
      <w:r>
        <w:rPr>
          <w:color w:val="000000"/>
        </w:rPr>
        <w:t>i</w:t>
      </w:r>
      <w:r>
        <w:rPr>
          <w:color w:val="000000"/>
          <w:spacing w:val="31"/>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spacing w:val="-2"/>
        </w:rPr>
        <w:t>s</w:t>
      </w:r>
      <w:r>
        <w:rPr>
          <w:color w:val="000000"/>
        </w:rPr>
        <w:t>,</w:t>
      </w:r>
      <w:r>
        <w:rPr>
          <w:color w:val="000000"/>
          <w:spacing w:val="33"/>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24"/>
        </w:rPr>
        <w:t xml:space="preserve"> </w:t>
      </w:r>
      <w:r>
        <w:rPr>
          <w:color w:val="000000"/>
        </w:rPr>
        <w:t>p</w:t>
      </w:r>
      <w:r>
        <w:rPr>
          <w:color w:val="000000"/>
          <w:spacing w:val="5"/>
        </w:rPr>
        <w:t>o</w:t>
      </w:r>
      <w:r>
        <w:rPr>
          <w:color w:val="000000"/>
          <w:spacing w:val="-4"/>
        </w:rPr>
        <w:t>li</w:t>
      </w:r>
      <w:r>
        <w:rPr>
          <w:color w:val="000000"/>
          <w:spacing w:val="4"/>
        </w:rPr>
        <w:t>c</w:t>
      </w:r>
      <w:r>
        <w:rPr>
          <w:color w:val="000000"/>
        </w:rPr>
        <w:t>i</w:t>
      </w:r>
      <w:r>
        <w:rPr>
          <w:color w:val="000000"/>
          <w:spacing w:val="-9"/>
        </w:rPr>
        <w:t>j</w:t>
      </w:r>
      <w:r>
        <w:rPr>
          <w:color w:val="000000"/>
          <w:spacing w:val="9"/>
        </w:rPr>
        <w:t>o</w:t>
      </w:r>
      <w:r>
        <w:rPr>
          <w:color w:val="000000"/>
        </w:rPr>
        <w:t>s</w:t>
      </w:r>
      <w:r>
        <w:rPr>
          <w:color w:val="000000"/>
          <w:spacing w:val="24"/>
        </w:rPr>
        <w:t xml:space="preserve"> </w:t>
      </w:r>
      <w:r>
        <w:rPr>
          <w:color w:val="000000"/>
        </w:rPr>
        <w:t>p</w:t>
      </w:r>
      <w:r>
        <w:rPr>
          <w:color w:val="000000"/>
          <w:spacing w:val="-1"/>
        </w:rPr>
        <w:t>a</w:t>
      </w:r>
      <w:r>
        <w:rPr>
          <w:color w:val="000000"/>
          <w:spacing w:val="1"/>
        </w:rPr>
        <w:t>r</w:t>
      </w:r>
      <w:r>
        <w:rPr>
          <w:color w:val="000000"/>
          <w:spacing w:val="4"/>
        </w:rPr>
        <w:t>e</w:t>
      </w:r>
      <w:r>
        <w:rPr>
          <w:color w:val="000000"/>
          <w:spacing w:val="-4"/>
        </w:rPr>
        <w:t>i</w:t>
      </w:r>
      <w:r>
        <w:rPr>
          <w:color w:val="000000"/>
          <w:spacing w:val="5"/>
        </w:rPr>
        <w:t>g</w:t>
      </w:r>
      <w:r>
        <w:rPr>
          <w:color w:val="000000"/>
        </w:rPr>
        <w:t>ū</w:t>
      </w:r>
      <w:r>
        <w:rPr>
          <w:color w:val="000000"/>
          <w:spacing w:val="-5"/>
        </w:rPr>
        <w:t>n</w:t>
      </w:r>
      <w:r>
        <w:rPr>
          <w:color w:val="000000"/>
          <w:spacing w:val="4"/>
        </w:rPr>
        <w:t>a</w:t>
      </w:r>
      <w:r>
        <w:rPr>
          <w:color w:val="000000"/>
          <w:spacing w:val="-4"/>
        </w:rPr>
        <w:t>m</w:t>
      </w:r>
      <w:r>
        <w:rPr>
          <w:color w:val="000000"/>
        </w:rPr>
        <w:t>s</w:t>
      </w:r>
      <w:r>
        <w:rPr>
          <w:color w:val="000000"/>
          <w:spacing w:val="33"/>
        </w:rPr>
        <w:t xml:space="preserve"> </w:t>
      </w:r>
      <w:r>
        <w:rPr>
          <w:color w:val="000000"/>
          <w:spacing w:val="-5"/>
        </w:rPr>
        <w:t>b</w:t>
      </w:r>
      <w:r>
        <w:rPr>
          <w:color w:val="000000"/>
          <w:spacing w:val="4"/>
        </w:rPr>
        <w:t>e</w:t>
      </w:r>
      <w:r>
        <w:rPr>
          <w:color w:val="000000"/>
          <w:spacing w:val="-5"/>
        </w:rPr>
        <w:t>n</w:t>
      </w:r>
      <w:r>
        <w:rPr>
          <w:color w:val="000000"/>
        </w:rPr>
        <w:t>d</w:t>
      </w:r>
      <w:r>
        <w:rPr>
          <w:color w:val="000000"/>
          <w:spacing w:val="1"/>
        </w:rPr>
        <w:t>r</w:t>
      </w:r>
      <w:r>
        <w:rPr>
          <w:color w:val="000000"/>
          <w:spacing w:val="-1"/>
        </w:rPr>
        <w:t>a</w:t>
      </w:r>
      <w:r>
        <w:rPr>
          <w:color w:val="000000"/>
        </w:rPr>
        <w:t>d</w:t>
      </w:r>
      <w:r>
        <w:rPr>
          <w:color w:val="000000"/>
          <w:spacing w:val="-1"/>
        </w:rPr>
        <w:t>a</w:t>
      </w:r>
      <w:r>
        <w:rPr>
          <w:color w:val="000000"/>
          <w:spacing w:val="6"/>
        </w:rPr>
        <w:t>r</w:t>
      </w:r>
      <w:r>
        <w:rPr>
          <w:color w:val="000000"/>
        </w:rPr>
        <w:t>b</w:t>
      </w:r>
      <w:r>
        <w:rPr>
          <w:color w:val="000000"/>
          <w:spacing w:val="-4"/>
        </w:rPr>
        <w:t>i</w:t>
      </w:r>
      <w:r>
        <w:rPr>
          <w:color w:val="000000"/>
          <w:spacing w:val="-1"/>
        </w:rPr>
        <w:t>a</w:t>
      </w:r>
      <w:r>
        <w:rPr>
          <w:color w:val="000000"/>
          <w:spacing w:val="5"/>
        </w:rPr>
        <w:t>u</w:t>
      </w:r>
      <w:r>
        <w:rPr>
          <w:color w:val="000000"/>
          <w:spacing w:val="-4"/>
        </w:rPr>
        <w:t>j</w:t>
      </w:r>
      <w:r>
        <w:rPr>
          <w:color w:val="000000"/>
          <w:spacing w:val="4"/>
        </w:rPr>
        <w:t>a</w:t>
      </w:r>
      <w:r>
        <w:rPr>
          <w:color w:val="000000"/>
          <w:spacing w:val="-5"/>
        </w:rPr>
        <w:t>n</w:t>
      </w:r>
      <w:r>
        <w:rPr>
          <w:color w:val="000000"/>
        </w:rPr>
        <w:t>t</w:t>
      </w:r>
      <w:r>
        <w:rPr>
          <w:color w:val="000000"/>
          <w:spacing w:val="31"/>
        </w:rPr>
        <w:t xml:space="preserve"> </w:t>
      </w:r>
      <w:r>
        <w:rPr>
          <w:color w:val="000000"/>
          <w:spacing w:val="-2"/>
        </w:rPr>
        <w:t>s</w:t>
      </w:r>
      <w:r>
        <w:rPr>
          <w:color w:val="000000"/>
        </w:rPr>
        <w:t>u</w:t>
      </w:r>
      <w:r>
        <w:rPr>
          <w:color w:val="000000"/>
          <w:spacing w:val="26"/>
        </w:rPr>
        <w:t xml:space="preserve"> </w:t>
      </w:r>
      <w:r>
        <w:rPr>
          <w:color w:val="000000"/>
        </w:rPr>
        <w:t>u</w:t>
      </w:r>
      <w:r>
        <w:rPr>
          <w:color w:val="000000"/>
          <w:spacing w:val="4"/>
        </w:rPr>
        <w:t>ž</w:t>
      </w:r>
      <w:r>
        <w:rPr>
          <w:color w:val="000000"/>
          <w:spacing w:val="2"/>
        </w:rPr>
        <w:t>s</w:t>
      </w:r>
      <w:r>
        <w:rPr>
          <w:color w:val="000000"/>
          <w:spacing w:val="-4"/>
        </w:rPr>
        <w:t>i</w:t>
      </w:r>
      <w:r>
        <w:rPr>
          <w:color w:val="000000"/>
          <w:spacing w:val="4"/>
        </w:rPr>
        <w:t>e</w:t>
      </w:r>
      <w:r>
        <w:rPr>
          <w:color w:val="000000"/>
        </w:rPr>
        <w:t>n</w:t>
      </w:r>
      <w:r>
        <w:rPr>
          <w:color w:val="000000"/>
          <w:spacing w:val="-9"/>
        </w:rPr>
        <w:t>i</w:t>
      </w:r>
      <w:r>
        <w:rPr>
          <w:color w:val="000000"/>
        </w:rPr>
        <w:t>o</w:t>
      </w:r>
      <w:r>
        <w:rPr>
          <w:color w:val="000000"/>
          <w:spacing w:val="31"/>
        </w:rPr>
        <w:t xml:space="preserve"> </w:t>
      </w:r>
      <w:r>
        <w:rPr>
          <w:color w:val="000000"/>
        </w:rPr>
        <w:t>k</w:t>
      </w:r>
      <w:r>
        <w:rPr>
          <w:color w:val="000000"/>
          <w:spacing w:val="9"/>
        </w:rPr>
        <w:t>o</w:t>
      </w:r>
      <w:r>
        <w:rPr>
          <w:color w:val="000000"/>
          <w:spacing w:val="-9"/>
        </w:rPr>
        <w:t>l</w:t>
      </w:r>
      <w:r>
        <w:rPr>
          <w:color w:val="000000"/>
          <w:spacing w:val="-1"/>
        </w:rPr>
        <w:t>e</w:t>
      </w:r>
      <w:r>
        <w:rPr>
          <w:color w:val="000000"/>
        </w:rPr>
        <w:t>g</w:t>
      </w:r>
      <w:r>
        <w:rPr>
          <w:color w:val="000000"/>
          <w:spacing w:val="9"/>
        </w:rPr>
        <w:t>o</w:t>
      </w:r>
      <w:r>
        <w:rPr>
          <w:color w:val="000000"/>
          <w:spacing w:val="-4"/>
        </w:rPr>
        <w:t>mi</w:t>
      </w:r>
      <w:r>
        <w:rPr>
          <w:color w:val="000000"/>
          <w:spacing w:val="-2"/>
        </w:rPr>
        <w:t>s</w:t>
      </w:r>
      <w:r>
        <w:rPr>
          <w:color w:val="000000"/>
        </w:rPr>
        <w:t xml:space="preserve">, </w:t>
      </w:r>
      <w:r>
        <w:rPr>
          <w:color w:val="000000"/>
          <w:spacing w:val="5"/>
        </w:rPr>
        <w:t>k</w:t>
      </w:r>
      <w:r>
        <w:rPr>
          <w:color w:val="000000"/>
          <w:spacing w:val="-9"/>
        </w:rPr>
        <w:t>i</w:t>
      </w:r>
      <w:r>
        <w:rPr>
          <w:color w:val="000000"/>
          <w:spacing w:val="5"/>
        </w:rPr>
        <w:t>to</w:t>
      </w:r>
      <w:r>
        <w:rPr>
          <w:color w:val="000000"/>
          <w:spacing w:val="-2"/>
        </w:rPr>
        <w:t>s</w:t>
      </w:r>
      <w:r>
        <w:rPr>
          <w:color w:val="000000"/>
        </w:rPr>
        <w:t>e</w:t>
      </w:r>
      <w:r>
        <w:rPr>
          <w:color w:val="000000"/>
          <w:spacing w:val="11"/>
        </w:rPr>
        <w:t xml:space="preserve">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yb</w:t>
      </w:r>
      <w:r>
        <w:rPr>
          <w:color w:val="000000"/>
          <w:spacing w:val="4"/>
        </w:rPr>
        <w:t>ė</w:t>
      </w:r>
      <w:r>
        <w:rPr>
          <w:color w:val="000000"/>
          <w:spacing w:val="-2"/>
        </w:rPr>
        <w:t>s</w:t>
      </w:r>
      <w:r>
        <w:rPr>
          <w:color w:val="000000"/>
        </w:rPr>
        <w:t>e</w:t>
      </w:r>
      <w:r>
        <w:rPr>
          <w:color w:val="000000"/>
          <w:spacing w:val="20"/>
        </w:rPr>
        <w:t xml:space="preserve"> </w:t>
      </w:r>
      <w:r>
        <w:rPr>
          <w:color w:val="000000"/>
          <w:spacing w:val="-5"/>
        </w:rPr>
        <w:t>b</w:t>
      </w:r>
      <w:r>
        <w:rPr>
          <w:color w:val="000000"/>
          <w:spacing w:val="5"/>
        </w:rPr>
        <w:t>u</w:t>
      </w:r>
      <w:r>
        <w:rPr>
          <w:color w:val="000000"/>
          <w:spacing w:val="-5"/>
        </w:rPr>
        <w:t>v</w:t>
      </w:r>
      <w:r>
        <w:rPr>
          <w:color w:val="000000"/>
        </w:rPr>
        <w:t>o</w:t>
      </w:r>
      <w:r>
        <w:rPr>
          <w:color w:val="000000"/>
          <w:spacing w:val="21"/>
        </w:rPr>
        <w:t xml:space="preserve"> </w:t>
      </w:r>
      <w:r>
        <w:rPr>
          <w:color w:val="000000"/>
          <w:spacing w:val="-9"/>
        </w:rPr>
        <w:t>i</w:t>
      </w:r>
      <w:r>
        <w:rPr>
          <w:color w:val="000000"/>
          <w:spacing w:val="2"/>
        </w:rPr>
        <w:t>š</w:t>
      </w:r>
      <w:r>
        <w:rPr>
          <w:color w:val="000000"/>
        </w:rPr>
        <w:t>i</w:t>
      </w:r>
      <w:r>
        <w:rPr>
          <w:color w:val="000000"/>
          <w:spacing w:val="-9"/>
        </w:rPr>
        <w:t>m</w:t>
      </w:r>
      <w:r>
        <w:rPr>
          <w:color w:val="000000"/>
          <w:spacing w:val="5"/>
        </w:rPr>
        <w:t>t</w:t>
      </w:r>
      <w:r>
        <w:rPr>
          <w:color w:val="000000"/>
        </w:rPr>
        <w:t>a</w:t>
      </w:r>
      <w:r>
        <w:rPr>
          <w:color w:val="000000"/>
          <w:spacing w:val="15"/>
        </w:rPr>
        <w:t xml:space="preserve"> </w:t>
      </w:r>
      <w:r>
        <w:rPr>
          <w:color w:val="000000"/>
          <w:spacing w:val="-1"/>
        </w:rPr>
        <w:t>a</w:t>
      </w:r>
      <w:r>
        <w:rPr>
          <w:color w:val="000000"/>
          <w:spacing w:val="5"/>
        </w:rPr>
        <w:t>p</w:t>
      </w:r>
      <w:r>
        <w:rPr>
          <w:color w:val="000000"/>
          <w:spacing w:val="-4"/>
        </w:rPr>
        <w:t>i</w:t>
      </w:r>
      <w:r>
        <w:rPr>
          <w:color w:val="000000"/>
        </w:rPr>
        <w:t>e</w:t>
      </w:r>
      <w:r>
        <w:rPr>
          <w:color w:val="000000"/>
          <w:spacing w:val="11"/>
        </w:rPr>
        <w:t xml:space="preserve"> </w:t>
      </w:r>
      <w:r>
        <w:rPr>
          <w:color w:val="000000"/>
        </w:rPr>
        <w:t>5</w:t>
      </w:r>
      <w:r>
        <w:rPr>
          <w:color w:val="000000"/>
          <w:spacing w:val="16"/>
        </w:rPr>
        <w:t xml:space="preserve"> </w:t>
      </w:r>
      <w:r>
        <w:rPr>
          <w:color w:val="000000"/>
        </w:rPr>
        <w:t>kg</w:t>
      </w:r>
      <w:r>
        <w:rPr>
          <w:color w:val="000000"/>
          <w:spacing w:val="24"/>
        </w:rPr>
        <w:t xml:space="preserve"> </w:t>
      </w:r>
      <w:r>
        <w:rPr>
          <w:color w:val="000000"/>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spacing w:val="5"/>
        </w:rPr>
        <w:t>o</w:t>
      </w:r>
      <w:r>
        <w:rPr>
          <w:color w:val="000000"/>
        </w:rPr>
        <w:t>.</w:t>
      </w:r>
      <w:r>
        <w:rPr>
          <w:color w:val="000000"/>
          <w:spacing w:val="15"/>
        </w:rPr>
        <w:t xml:space="preserve"> </w:t>
      </w:r>
      <w:r>
        <w:rPr>
          <w:color w:val="000000"/>
        </w:rPr>
        <w:t>N</w:t>
      </w:r>
      <w:r>
        <w:rPr>
          <w:color w:val="000000"/>
          <w:spacing w:val="3"/>
        </w:rPr>
        <w:t>e</w:t>
      </w:r>
      <w:r>
        <w:rPr>
          <w:color w:val="000000"/>
          <w:spacing w:val="-9"/>
        </w:rPr>
        <w:t>j</w:t>
      </w:r>
      <w:r>
        <w:rPr>
          <w:color w:val="000000"/>
          <w:spacing w:val="-1"/>
        </w:rPr>
        <w:t>a</w:t>
      </w:r>
      <w:r>
        <w:rPr>
          <w:color w:val="000000"/>
          <w:spacing w:val="5"/>
        </w:rPr>
        <w:t>u</w:t>
      </w:r>
      <w:r>
        <w:rPr>
          <w:color w:val="000000"/>
          <w:spacing w:val="4"/>
        </w:rPr>
        <w:t>č</w:t>
      </w:r>
      <w:r>
        <w:rPr>
          <w:color w:val="000000"/>
          <w:spacing w:val="-4"/>
        </w:rPr>
        <w:t>i</w:t>
      </w:r>
      <w:r>
        <w:rPr>
          <w:color w:val="000000"/>
          <w:spacing w:val="4"/>
        </w:rPr>
        <w:t>a</w:t>
      </w:r>
      <w:r>
        <w:rPr>
          <w:color w:val="000000"/>
          <w:spacing w:val="-4"/>
        </w:rPr>
        <w:t>m</w:t>
      </w:r>
      <w:r>
        <w:rPr>
          <w:color w:val="000000"/>
          <w:spacing w:val="-1"/>
        </w:rPr>
        <w:t>a</w:t>
      </w:r>
      <w:r>
        <w:rPr>
          <w:color w:val="000000"/>
        </w:rPr>
        <w:t>s</w:t>
      </w:r>
      <w:r>
        <w:rPr>
          <w:color w:val="000000"/>
          <w:spacing w:val="19"/>
        </w:rPr>
        <w:t xml:space="preserve"> </w:t>
      </w:r>
      <w:r>
        <w:rPr>
          <w:color w:val="000000"/>
          <w:spacing w:val="-9"/>
        </w:rPr>
        <w:t>i</w:t>
      </w:r>
      <w:r>
        <w:rPr>
          <w:color w:val="000000"/>
        </w:rPr>
        <w:t>r</w:t>
      </w:r>
      <w:r>
        <w:rPr>
          <w:color w:val="000000"/>
          <w:spacing w:val="18"/>
        </w:rPr>
        <w:t xml:space="preserve"> </w:t>
      </w:r>
      <w:r>
        <w:rPr>
          <w:color w:val="000000"/>
          <w:spacing w:val="2"/>
        </w:rPr>
        <w:t>š</w:t>
      </w:r>
      <w:r>
        <w:rPr>
          <w:color w:val="000000"/>
          <w:spacing w:val="-9"/>
        </w:rPr>
        <w:t>i</w:t>
      </w:r>
      <w:r>
        <w:rPr>
          <w:color w:val="000000"/>
        </w:rPr>
        <w:t>o</w:t>
      </w:r>
      <w:r>
        <w:rPr>
          <w:color w:val="000000"/>
          <w:spacing w:val="2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ko</w:t>
      </w:r>
      <w:r>
        <w:rPr>
          <w:color w:val="000000"/>
          <w:spacing w:val="16"/>
        </w:rPr>
        <w:t xml:space="preserve"> </w:t>
      </w:r>
      <w:r>
        <w:rPr>
          <w:color w:val="000000"/>
          <w:spacing w:val="-2"/>
        </w:rPr>
        <w:t>s</w:t>
      </w:r>
      <w:r>
        <w:rPr>
          <w:color w:val="000000"/>
          <w:spacing w:val="10"/>
        </w:rPr>
        <w:t>t</w:t>
      </w:r>
      <w:r>
        <w:rPr>
          <w:color w:val="000000"/>
          <w:spacing w:val="-10"/>
        </w:rPr>
        <w:t>y</w:t>
      </w:r>
      <w:r>
        <w:rPr>
          <w:color w:val="000000"/>
          <w:spacing w:val="5"/>
        </w:rPr>
        <w:t>g</w:t>
      </w:r>
      <w:r>
        <w:rPr>
          <w:color w:val="000000"/>
          <w:spacing w:val="-4"/>
        </w:rPr>
        <w:t>i</w:t>
      </w:r>
      <w:r>
        <w:rPr>
          <w:color w:val="000000"/>
        </w:rPr>
        <w:t>us</w:t>
      </w:r>
      <w:r>
        <w:rPr>
          <w:color w:val="000000"/>
          <w:spacing w:val="19"/>
        </w:rPr>
        <w:t xml:space="preserve"> </w:t>
      </w:r>
      <w:r>
        <w:rPr>
          <w:color w:val="000000"/>
          <w:spacing w:val="-4"/>
        </w:rPr>
        <w:t>m</w:t>
      </w:r>
      <w:r>
        <w:rPr>
          <w:color w:val="000000"/>
        </w:rPr>
        <w:t>ū</w:t>
      </w:r>
      <w:r>
        <w:rPr>
          <w:color w:val="000000"/>
          <w:spacing w:val="-2"/>
        </w:rPr>
        <w:t>s</w:t>
      </w:r>
      <w:r>
        <w:rPr>
          <w:color w:val="000000"/>
        </w:rPr>
        <w:t>ų</w:t>
      </w:r>
      <w:r>
        <w:rPr>
          <w:color w:val="000000"/>
          <w:spacing w:val="17"/>
        </w:rPr>
        <w:t xml:space="preserve"> </w:t>
      </w:r>
      <w:r>
        <w:rPr>
          <w:color w:val="000000"/>
          <w:spacing w:val="-2"/>
        </w:rPr>
        <w:t>š</w:t>
      </w:r>
      <w:r>
        <w:rPr>
          <w:color w:val="000000"/>
          <w:spacing w:val="4"/>
        </w:rPr>
        <w:t>a</w:t>
      </w:r>
      <w:r>
        <w:rPr>
          <w:color w:val="000000"/>
        </w:rPr>
        <w:t>ly</w:t>
      </w:r>
      <w:r>
        <w:rPr>
          <w:color w:val="000000"/>
          <w:spacing w:val="-4"/>
        </w:rPr>
        <w:t>j</w:t>
      </w:r>
      <w:r>
        <w:rPr>
          <w:color w:val="000000"/>
          <w:spacing w:val="-1"/>
        </w:rPr>
        <w:t>e</w:t>
      </w:r>
      <w:r>
        <w:rPr>
          <w:color w:val="000000"/>
        </w:rPr>
        <w:t xml:space="preserve">. </w:t>
      </w:r>
      <w:r>
        <w:rPr>
          <w:color w:val="000000"/>
          <w:spacing w:val="2"/>
        </w:rPr>
        <w:t>T</w:t>
      </w:r>
      <w:r>
        <w:rPr>
          <w:color w:val="000000"/>
        </w:rPr>
        <w:t xml:space="preserve">o </w:t>
      </w:r>
      <w:r>
        <w:rPr>
          <w:color w:val="000000"/>
          <w:spacing w:val="48"/>
        </w:rPr>
        <w:t xml:space="preserve"> </w:t>
      </w:r>
      <w:r>
        <w:rPr>
          <w:color w:val="000000"/>
        </w:rPr>
        <w:t>p</w:t>
      </w:r>
      <w:r>
        <w:rPr>
          <w:color w:val="000000"/>
          <w:spacing w:val="1"/>
        </w:rPr>
        <w:t>r</w:t>
      </w:r>
      <w:r>
        <w:rPr>
          <w:color w:val="000000"/>
          <w:spacing w:val="-9"/>
        </w:rPr>
        <w:t>i</w:t>
      </w:r>
      <w:r>
        <w:rPr>
          <w:color w:val="000000"/>
          <w:spacing w:val="-1"/>
        </w:rPr>
        <w:t>ež</w:t>
      </w:r>
      <w:r>
        <w:rPr>
          <w:color w:val="000000"/>
          <w:spacing w:val="4"/>
        </w:rPr>
        <w:t>a</w:t>
      </w:r>
      <w:r>
        <w:rPr>
          <w:color w:val="000000"/>
          <w:spacing w:val="-2"/>
        </w:rPr>
        <w:t>s</w:t>
      </w:r>
      <w:r>
        <w:rPr>
          <w:color w:val="000000"/>
          <w:spacing w:val="5"/>
        </w:rPr>
        <w:t>t</w:t>
      </w:r>
      <w:r>
        <w:rPr>
          <w:color w:val="000000"/>
          <w:spacing w:val="-4"/>
        </w:rPr>
        <w:t>i</w:t>
      </w:r>
      <w:r>
        <w:rPr>
          <w:color w:val="000000"/>
        </w:rPr>
        <w:t xml:space="preserve">s </w:t>
      </w:r>
      <w:r>
        <w:rPr>
          <w:color w:val="000000"/>
          <w:spacing w:val="46"/>
        </w:rPr>
        <w:t xml:space="preserve"> </w:t>
      </w:r>
      <w:r>
        <w:rPr>
          <w:color w:val="000000"/>
        </w:rPr>
        <w:t>g</w:t>
      </w:r>
      <w:r>
        <w:rPr>
          <w:color w:val="000000"/>
          <w:spacing w:val="1"/>
        </w:rPr>
        <w:t>r</w:t>
      </w:r>
      <w:r>
        <w:rPr>
          <w:color w:val="000000"/>
          <w:spacing w:val="4"/>
        </w:rPr>
        <w:t>e</w:t>
      </w:r>
      <w:r>
        <w:rPr>
          <w:color w:val="000000"/>
          <w:spacing w:val="-9"/>
        </w:rPr>
        <w:t>i</w:t>
      </w:r>
      <w:r>
        <w:rPr>
          <w:color w:val="000000"/>
          <w:spacing w:val="4"/>
        </w:rPr>
        <w:t>č</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48"/>
        </w:rPr>
        <w:t xml:space="preserve"> </w:t>
      </w:r>
      <w:r>
        <w:rPr>
          <w:color w:val="000000"/>
          <w:spacing w:val="-10"/>
        </w:rPr>
        <w:t>y</w:t>
      </w:r>
      <w:r>
        <w:rPr>
          <w:color w:val="000000"/>
          <w:spacing w:val="1"/>
        </w:rPr>
        <w:t>r</w:t>
      </w:r>
      <w:r>
        <w:rPr>
          <w:color w:val="000000"/>
        </w:rPr>
        <w:t xml:space="preserve">a </w:t>
      </w:r>
      <w:r>
        <w:rPr>
          <w:color w:val="000000"/>
          <w:spacing w:val="47"/>
        </w:rPr>
        <w:t xml:space="preserve"> </w:t>
      </w:r>
      <w:r>
        <w:rPr>
          <w:color w:val="000000"/>
          <w:spacing w:val="5"/>
        </w:rPr>
        <w:t>t</w:t>
      </w:r>
      <w:r>
        <w:rPr>
          <w:color w:val="000000"/>
          <w:spacing w:val="-1"/>
        </w:rPr>
        <w:t>a</w:t>
      </w:r>
      <w:r>
        <w:rPr>
          <w:color w:val="000000"/>
        </w:rPr>
        <w:t xml:space="preserve">, </w:t>
      </w:r>
      <w:r>
        <w:rPr>
          <w:color w:val="000000"/>
          <w:spacing w:val="50"/>
        </w:rPr>
        <w:t xml:space="preserve"> </w:t>
      </w:r>
      <w:r>
        <w:rPr>
          <w:color w:val="000000"/>
        </w:rPr>
        <w:t>k</w:t>
      </w:r>
      <w:r>
        <w:rPr>
          <w:color w:val="000000"/>
          <w:spacing w:val="-1"/>
        </w:rPr>
        <w:t>a</w:t>
      </w:r>
      <w:r>
        <w:rPr>
          <w:color w:val="000000"/>
        </w:rPr>
        <w:t xml:space="preserve">d </w:t>
      </w:r>
      <w:r>
        <w:rPr>
          <w:color w:val="000000"/>
          <w:spacing w:val="48"/>
        </w:rPr>
        <w:t xml:space="preserve"> </w:t>
      </w:r>
      <w:r>
        <w:rPr>
          <w:color w:val="000000"/>
          <w:spacing w:val="-3"/>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o</w:t>
      </w:r>
      <w:r>
        <w:rPr>
          <w:color w:val="000000"/>
          <w:spacing w:val="-4"/>
        </w:rPr>
        <w:t>j</w:t>
      </w:r>
      <w:r>
        <w:rPr>
          <w:color w:val="000000"/>
        </w:rPr>
        <w:t xml:space="preserve">e </w:t>
      </w:r>
      <w:r>
        <w:rPr>
          <w:color w:val="000000"/>
          <w:spacing w:val="52"/>
        </w:rPr>
        <w:t xml:space="preserve"> </w:t>
      </w:r>
      <w:r>
        <w:rPr>
          <w:color w:val="000000"/>
          <w:spacing w:val="-5"/>
        </w:rPr>
        <w:t>h</w:t>
      </w:r>
      <w:r>
        <w:rPr>
          <w:color w:val="000000"/>
          <w:spacing w:val="-1"/>
        </w:rPr>
        <w:t>e</w:t>
      </w:r>
      <w:r>
        <w:rPr>
          <w:color w:val="000000"/>
          <w:spacing w:val="1"/>
        </w:rPr>
        <w:t>r</w:t>
      </w:r>
      <w:r>
        <w:rPr>
          <w:color w:val="000000"/>
          <w:spacing w:val="5"/>
        </w:rPr>
        <w:t>o</w:t>
      </w:r>
      <w:r>
        <w:rPr>
          <w:color w:val="000000"/>
          <w:spacing w:val="-4"/>
        </w:rPr>
        <w:t>i</w:t>
      </w:r>
      <w:r>
        <w:rPr>
          <w:color w:val="000000"/>
        </w:rPr>
        <w:t>n</w:t>
      </w:r>
      <w:r>
        <w:rPr>
          <w:color w:val="000000"/>
          <w:spacing w:val="-1"/>
        </w:rPr>
        <w:t>a</w:t>
      </w:r>
      <w:r>
        <w:rPr>
          <w:color w:val="000000"/>
        </w:rPr>
        <w:t xml:space="preserve">s </w:t>
      </w:r>
      <w:r>
        <w:rPr>
          <w:color w:val="000000"/>
          <w:spacing w:val="54"/>
        </w:rPr>
        <w:t xml:space="preserve"> </w:t>
      </w:r>
      <w:r>
        <w:rPr>
          <w:color w:val="000000"/>
        </w:rPr>
        <w:t>p</w:t>
      </w:r>
      <w:r>
        <w:rPr>
          <w:color w:val="000000"/>
          <w:spacing w:val="5"/>
        </w:rPr>
        <w:t>o</w:t>
      </w:r>
      <w:r>
        <w:rPr>
          <w:color w:val="000000"/>
        </w:rPr>
        <w:t>pu</w:t>
      </w:r>
      <w:r>
        <w:rPr>
          <w:color w:val="000000"/>
          <w:spacing w:val="-4"/>
        </w:rPr>
        <w:t>li</w:t>
      </w:r>
      <w:r>
        <w:rPr>
          <w:color w:val="000000"/>
          <w:spacing w:val="-1"/>
        </w:rPr>
        <w:t>a</w:t>
      </w:r>
      <w:r>
        <w:rPr>
          <w:color w:val="000000"/>
          <w:spacing w:val="6"/>
        </w:rPr>
        <w:t>r</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1"/>
        </w:rPr>
        <w:t>a</w:t>
      </w:r>
      <w:r>
        <w:rPr>
          <w:color w:val="000000"/>
        </w:rPr>
        <w:t xml:space="preserve">s </w:t>
      </w:r>
      <w:r>
        <w:rPr>
          <w:color w:val="000000"/>
          <w:spacing w:val="48"/>
        </w:rPr>
        <w:t xml:space="preserve"> </w:t>
      </w:r>
      <w:r>
        <w:rPr>
          <w:color w:val="000000"/>
          <w:spacing w:val="5"/>
        </w:rPr>
        <w:t>t</w:t>
      </w:r>
      <w:r>
        <w:rPr>
          <w:color w:val="000000"/>
          <w:spacing w:val="-1"/>
        </w:rPr>
        <w:t>a</w:t>
      </w:r>
      <w:r>
        <w:rPr>
          <w:color w:val="000000"/>
          <w:spacing w:val="1"/>
        </w:rPr>
        <w:t>r</w:t>
      </w:r>
      <w:r>
        <w:rPr>
          <w:color w:val="000000"/>
        </w:rPr>
        <w:t xml:space="preserve">p </w:t>
      </w:r>
      <w:r>
        <w:rPr>
          <w:color w:val="000000"/>
          <w:spacing w:val="48"/>
        </w:rPr>
        <w:t xml:space="preserve"> </w:t>
      </w:r>
      <w:r>
        <w:rPr>
          <w:color w:val="000000"/>
          <w:spacing w:val="-4"/>
        </w:rPr>
        <w:t>i</w:t>
      </w:r>
      <w:r>
        <w:rPr>
          <w:color w:val="000000"/>
          <w:spacing w:val="-5"/>
        </w:rPr>
        <w:t>n</w:t>
      </w:r>
      <w:r>
        <w:rPr>
          <w:color w:val="000000"/>
          <w:spacing w:val="5"/>
        </w:rPr>
        <w:t>t</w:t>
      </w:r>
      <w:r>
        <w:rPr>
          <w:color w:val="000000"/>
          <w:spacing w:val="1"/>
        </w:rPr>
        <w:t>r</w:t>
      </w:r>
      <w:r>
        <w:rPr>
          <w:color w:val="000000"/>
          <w:spacing w:val="-1"/>
        </w:rPr>
        <w:t>a</w:t>
      </w:r>
      <w:r>
        <w:rPr>
          <w:color w:val="000000"/>
          <w:spacing w:val="-5"/>
        </w:rPr>
        <w:t>v</w:t>
      </w:r>
      <w:r>
        <w:rPr>
          <w:color w:val="000000"/>
          <w:spacing w:val="4"/>
        </w:rPr>
        <w:t>e</w:t>
      </w:r>
      <w:r>
        <w:rPr>
          <w:color w:val="000000"/>
        </w:rPr>
        <w:t>n</w:t>
      </w:r>
      <w:r>
        <w:rPr>
          <w:color w:val="000000"/>
          <w:spacing w:val="-4"/>
        </w:rPr>
        <w:t>i</w:t>
      </w:r>
      <w:r>
        <w:rPr>
          <w:color w:val="000000"/>
          <w:spacing w:val="5"/>
        </w:rPr>
        <w:t>n</w:t>
      </w:r>
      <w:r>
        <w:rPr>
          <w:color w:val="000000"/>
          <w:spacing w:val="-4"/>
        </w:rPr>
        <w:t>i</w:t>
      </w:r>
      <w:r>
        <w:rPr>
          <w:color w:val="000000"/>
          <w:spacing w:val="5"/>
        </w:rPr>
        <w:t>u</w:t>
      </w:r>
      <w:r>
        <w:rPr>
          <w:color w:val="000000"/>
        </w:rPr>
        <w:t xml:space="preserve">s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kus</w:t>
      </w:r>
      <w:r>
        <w:rPr>
          <w:color w:val="000000"/>
          <w:spacing w:val="2"/>
        </w:rPr>
        <w:t xml:space="preserve"> </w:t>
      </w:r>
      <w:r>
        <w:rPr>
          <w:color w:val="000000"/>
          <w:spacing w:val="-5"/>
        </w:rPr>
        <w:t>v</w:t>
      </w:r>
      <w:r>
        <w:rPr>
          <w:color w:val="000000"/>
          <w:spacing w:val="-1"/>
        </w:rPr>
        <w:t>a</w:t>
      </w:r>
      <w:r>
        <w:rPr>
          <w:color w:val="000000"/>
          <w:spacing w:val="1"/>
        </w:rPr>
        <w:t>r</w:t>
      </w:r>
      <w:r>
        <w:rPr>
          <w:color w:val="000000"/>
          <w:spacing w:val="5"/>
        </w:rPr>
        <w:t>to</w:t>
      </w:r>
      <w:r>
        <w:rPr>
          <w:color w:val="000000"/>
          <w:spacing w:val="-9"/>
        </w:rPr>
        <w:t>j</w:t>
      </w:r>
      <w:r>
        <w:rPr>
          <w:color w:val="000000"/>
          <w:spacing w:val="4"/>
        </w:rPr>
        <w:t>a</w:t>
      </w:r>
      <w:r>
        <w:rPr>
          <w:color w:val="000000"/>
          <w:spacing w:val="-5"/>
        </w:rPr>
        <w:t>n</w:t>
      </w:r>
      <w:r>
        <w:rPr>
          <w:color w:val="000000"/>
          <w:spacing w:val="4"/>
        </w:rPr>
        <w:t>č</w:t>
      </w:r>
      <w:r>
        <w:rPr>
          <w:color w:val="000000"/>
          <w:spacing w:val="-4"/>
        </w:rPr>
        <w:t>i</w:t>
      </w:r>
      <w:r>
        <w:rPr>
          <w:color w:val="000000"/>
        </w:rPr>
        <w:t xml:space="preserve">ų </w:t>
      </w:r>
      <w:r>
        <w:rPr>
          <w:color w:val="000000"/>
          <w:spacing w:val="-1"/>
        </w:rPr>
        <w:t>a</w:t>
      </w:r>
      <w:r>
        <w:rPr>
          <w:color w:val="000000"/>
          <w:spacing w:val="2"/>
        </w:rPr>
        <w:t>s</w:t>
      </w:r>
      <w:r>
        <w:rPr>
          <w:color w:val="000000"/>
          <w:spacing w:val="-4"/>
        </w:rPr>
        <w:t>m</w:t>
      </w:r>
      <w:r>
        <w:rPr>
          <w:color w:val="000000"/>
          <w:spacing w:val="4"/>
        </w:rPr>
        <w:t>e</w:t>
      </w:r>
      <w:r>
        <w:rPr>
          <w:color w:val="000000"/>
          <w:spacing w:val="-5"/>
        </w:rPr>
        <w:t>n</w:t>
      </w:r>
      <w:r>
        <w:rPr>
          <w:color w:val="000000"/>
        </w:rPr>
        <w:t>ų,</w:t>
      </w:r>
      <w:r>
        <w:rPr>
          <w:color w:val="000000"/>
          <w:spacing w:val="2"/>
        </w:rPr>
        <w:t xml:space="preserve"> </w:t>
      </w:r>
      <w:r>
        <w:rPr>
          <w:color w:val="000000"/>
          <w:spacing w:val="5"/>
        </w:rPr>
        <w:t>t</w:t>
      </w:r>
      <w:r>
        <w:rPr>
          <w:color w:val="000000"/>
        </w:rPr>
        <w:t>.</w:t>
      </w:r>
      <w:r>
        <w:rPr>
          <w:color w:val="000000"/>
          <w:spacing w:val="2"/>
        </w:rPr>
        <w:t xml:space="preserve"> </w:t>
      </w:r>
      <w:r>
        <w:rPr>
          <w:color w:val="000000"/>
          <w:spacing w:val="-10"/>
        </w:rPr>
        <w:t>y</w:t>
      </w:r>
      <w:r>
        <w:rPr>
          <w:color w:val="000000"/>
        </w:rPr>
        <w:t>.</w:t>
      </w:r>
      <w:r>
        <w:rPr>
          <w:color w:val="000000"/>
          <w:spacing w:val="2"/>
        </w:rPr>
        <w:t xml:space="preserve"> </w:t>
      </w:r>
      <w:r>
        <w:rPr>
          <w:color w:val="000000"/>
          <w:spacing w:val="5"/>
        </w:rPr>
        <w:t>t</w:t>
      </w:r>
      <w:r>
        <w:rPr>
          <w:color w:val="000000"/>
          <w:spacing w:val="-1"/>
        </w:rPr>
        <w:t>a</w:t>
      </w:r>
      <w:r>
        <w:rPr>
          <w:color w:val="000000"/>
          <w:spacing w:val="1"/>
        </w:rPr>
        <w:t>r</w:t>
      </w:r>
      <w:r>
        <w:rPr>
          <w:color w:val="000000"/>
        </w:rPr>
        <w:t xml:space="preserve">p </w:t>
      </w:r>
      <w:r>
        <w:rPr>
          <w:color w:val="000000"/>
          <w:spacing w:val="-5"/>
        </w:rPr>
        <w:t>p</w:t>
      </w:r>
      <w:r>
        <w:rPr>
          <w:color w:val="000000"/>
          <w:spacing w:val="-3"/>
        </w:rPr>
        <w:t>r</w:t>
      </w:r>
      <w:r>
        <w:rPr>
          <w:color w:val="000000"/>
          <w:spacing w:val="5"/>
        </w:rPr>
        <w:t>o</w:t>
      </w:r>
      <w:r>
        <w:rPr>
          <w:color w:val="000000"/>
          <w:spacing w:val="-5"/>
        </w:rPr>
        <w:t>b</w:t>
      </w:r>
      <w:r>
        <w:rPr>
          <w:color w:val="000000"/>
          <w:spacing w:val="-4"/>
        </w:rPr>
        <w:t>l</w:t>
      </w:r>
      <w:r>
        <w:rPr>
          <w:color w:val="000000"/>
          <w:spacing w:val="4"/>
        </w:rPr>
        <w:t>e</w:t>
      </w:r>
      <w:r>
        <w:rPr>
          <w:color w:val="000000"/>
        </w:rPr>
        <w:t>m</w:t>
      </w:r>
      <w:r>
        <w:rPr>
          <w:color w:val="000000"/>
          <w:spacing w:val="-4"/>
        </w:rPr>
        <w:t>i</w:t>
      </w:r>
      <w:r>
        <w:rPr>
          <w:color w:val="000000"/>
          <w:spacing w:val="5"/>
        </w:rPr>
        <w:t>n</w:t>
      </w:r>
      <w:r>
        <w:rPr>
          <w:color w:val="000000"/>
          <w:spacing w:val="-4"/>
        </w:rPr>
        <w:t>i</w:t>
      </w:r>
      <w:r>
        <w:rPr>
          <w:color w:val="000000"/>
        </w:rPr>
        <w:t>ų</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5"/>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rPr>
        <w:t>ų.</w:t>
      </w:r>
      <w:r>
        <w:rPr>
          <w:color w:val="000000"/>
          <w:spacing w:val="2"/>
        </w:rPr>
        <w:t xml:space="preserve"> J</w:t>
      </w:r>
      <w:r>
        <w:rPr>
          <w:color w:val="000000"/>
          <w:spacing w:val="-4"/>
        </w:rPr>
        <w:t>i</w:t>
      </w:r>
      <w:r>
        <w:rPr>
          <w:color w:val="000000"/>
        </w:rPr>
        <w:t>s</w:t>
      </w:r>
      <w:r>
        <w:rPr>
          <w:color w:val="000000"/>
          <w:spacing w:val="2"/>
        </w:rPr>
        <w:t xml:space="preserve"> </w:t>
      </w:r>
      <w:r>
        <w:rPr>
          <w:color w:val="000000"/>
          <w:spacing w:val="-10"/>
        </w:rPr>
        <w:t>y</w:t>
      </w:r>
      <w:r>
        <w:rPr>
          <w:color w:val="000000"/>
          <w:spacing w:val="1"/>
        </w:rPr>
        <w:t>r</w:t>
      </w:r>
      <w:r>
        <w:rPr>
          <w:color w:val="000000"/>
        </w:rPr>
        <w:t>a</w:t>
      </w:r>
      <w:r>
        <w:rPr>
          <w:color w:val="000000"/>
          <w:spacing w:val="4"/>
        </w:rPr>
        <w:t xml:space="preserve"> </w:t>
      </w:r>
      <w:r>
        <w:rPr>
          <w:color w:val="000000"/>
        </w:rPr>
        <w:t>v</w:t>
      </w:r>
      <w:r>
        <w:rPr>
          <w:color w:val="000000"/>
          <w:spacing w:val="-4"/>
        </w:rPr>
        <w:t>i</w:t>
      </w:r>
      <w:r>
        <w:rPr>
          <w:color w:val="000000"/>
          <w:spacing w:val="4"/>
        </w:rPr>
        <w:t>e</w:t>
      </w:r>
      <w:r>
        <w:rPr>
          <w:color w:val="000000"/>
          <w:spacing w:val="-5"/>
        </w:rPr>
        <w:t>n</w:t>
      </w:r>
      <w:r>
        <w:rPr>
          <w:color w:val="000000"/>
          <w:spacing w:val="4"/>
        </w:rPr>
        <w:t>a</w:t>
      </w:r>
      <w:r>
        <w:rPr>
          <w:color w:val="000000"/>
        </w:rPr>
        <w:t>s</w:t>
      </w:r>
      <w:r>
        <w:rPr>
          <w:color w:val="000000"/>
          <w:spacing w:val="2"/>
        </w:rPr>
        <w:t xml:space="preserve"> </w:t>
      </w:r>
      <w:r>
        <w:rPr>
          <w:color w:val="000000"/>
        </w:rPr>
        <w:t>iš p</w:t>
      </w:r>
      <w:r>
        <w:rPr>
          <w:color w:val="000000"/>
          <w:spacing w:val="5"/>
        </w:rPr>
        <w:t>o</w:t>
      </w:r>
      <w:r>
        <w:rPr>
          <w:color w:val="000000"/>
        </w:rPr>
        <w:t>pu</w:t>
      </w:r>
      <w:r>
        <w:rPr>
          <w:color w:val="000000"/>
          <w:spacing w:val="-4"/>
        </w:rPr>
        <w:t>li</w:t>
      </w:r>
      <w:r>
        <w:rPr>
          <w:color w:val="000000"/>
          <w:spacing w:val="-1"/>
        </w:rPr>
        <w:t>a</w:t>
      </w:r>
      <w:r>
        <w:rPr>
          <w:color w:val="000000"/>
          <w:spacing w:val="6"/>
        </w:rPr>
        <w:t>r</w:t>
      </w:r>
      <w:r>
        <w:rPr>
          <w:color w:val="000000"/>
          <w:spacing w:val="-4"/>
        </w:rPr>
        <w:t>i</w:t>
      </w:r>
      <w:r>
        <w:rPr>
          <w:color w:val="000000"/>
          <w:spacing w:val="-1"/>
        </w:rPr>
        <w:t>a</w:t>
      </w:r>
      <w:r>
        <w:rPr>
          <w:color w:val="000000"/>
          <w:spacing w:val="1"/>
        </w:rPr>
        <w:t>u</w:t>
      </w:r>
      <w:r>
        <w:rPr>
          <w:color w:val="000000"/>
          <w:spacing w:val="2"/>
        </w:rPr>
        <w:t>s</w:t>
      </w:r>
      <w:r>
        <w:rPr>
          <w:color w:val="000000"/>
          <w:spacing w:val="-4"/>
        </w:rPr>
        <w:t>i</w:t>
      </w:r>
      <w:r>
        <w:rPr>
          <w:color w:val="000000"/>
        </w:rPr>
        <w:t xml:space="preserve">ų </w:t>
      </w:r>
      <w:r>
        <w:rPr>
          <w:color w:val="000000"/>
          <w:spacing w:val="33"/>
        </w:rPr>
        <w:t xml:space="preserve"> </w:t>
      </w:r>
      <w:r>
        <w:rPr>
          <w:color w:val="000000"/>
        </w:rPr>
        <w:t>d</w:t>
      </w:r>
      <w:r>
        <w:rPr>
          <w:color w:val="000000"/>
          <w:spacing w:val="5"/>
        </w:rPr>
        <w:t>o</w:t>
      </w:r>
      <w:r>
        <w:rPr>
          <w:color w:val="000000"/>
          <w:spacing w:val="-1"/>
        </w:rPr>
        <w:t>z</w:t>
      </w:r>
      <w:r>
        <w:rPr>
          <w:color w:val="000000"/>
          <w:spacing w:val="4"/>
        </w:rPr>
        <w:t>ė</w:t>
      </w:r>
      <w:r>
        <w:rPr>
          <w:color w:val="000000"/>
        </w:rPr>
        <w:t>m</w:t>
      </w:r>
      <w:r>
        <w:rPr>
          <w:color w:val="000000"/>
          <w:spacing w:val="-4"/>
        </w:rPr>
        <w:t>i</w:t>
      </w:r>
      <w:r>
        <w:rPr>
          <w:color w:val="000000"/>
        </w:rPr>
        <w:t xml:space="preserve">s </w:t>
      </w:r>
      <w:r>
        <w:rPr>
          <w:color w:val="000000"/>
          <w:spacing w:val="36"/>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rPr>
        <w:t>k</w:t>
      </w:r>
      <w:r>
        <w:rPr>
          <w:color w:val="000000"/>
          <w:spacing w:val="9"/>
        </w:rPr>
        <w:t>o</w:t>
      </w:r>
      <w:r>
        <w:rPr>
          <w:color w:val="000000"/>
          <w:spacing w:val="-9"/>
        </w:rPr>
        <w:t>m</w:t>
      </w:r>
      <w:r>
        <w:rPr>
          <w:color w:val="000000"/>
        </w:rPr>
        <w:t xml:space="preserve">ų </w:t>
      </w:r>
      <w:r>
        <w:rPr>
          <w:color w:val="000000"/>
          <w:spacing w:val="38"/>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 xml:space="preserve">kų </w:t>
      </w:r>
      <w:r>
        <w:rPr>
          <w:color w:val="000000"/>
          <w:spacing w:val="33"/>
        </w:rPr>
        <w:t xml:space="preserve"> </w:t>
      </w:r>
      <w:r>
        <w:rPr>
          <w:color w:val="000000"/>
          <w:spacing w:val="4"/>
        </w:rPr>
        <w:t>V</w:t>
      </w:r>
      <w:r>
        <w:rPr>
          <w:color w:val="000000"/>
        </w:rPr>
        <w:t>i</w:t>
      </w:r>
      <w:r>
        <w:rPr>
          <w:color w:val="000000"/>
          <w:spacing w:val="-4"/>
        </w:rPr>
        <w:t>l</w:t>
      </w:r>
      <w:r>
        <w:rPr>
          <w:color w:val="000000"/>
          <w:spacing w:val="5"/>
        </w:rPr>
        <w:t>n</w:t>
      </w:r>
      <w:r>
        <w:rPr>
          <w:color w:val="000000"/>
          <w:spacing w:val="-4"/>
        </w:rPr>
        <w:t>i</w:t>
      </w:r>
      <w:r>
        <w:rPr>
          <w:color w:val="000000"/>
          <w:spacing w:val="5"/>
        </w:rPr>
        <w:t>u</w:t>
      </w:r>
      <w:r>
        <w:rPr>
          <w:color w:val="000000"/>
          <w:spacing w:val="-4"/>
        </w:rPr>
        <w:t>j</w:t>
      </w:r>
      <w:r>
        <w:rPr>
          <w:color w:val="000000"/>
          <w:spacing w:val="-1"/>
        </w:rPr>
        <w:t>e</w:t>
      </w:r>
      <w:r>
        <w:rPr>
          <w:color w:val="000000"/>
        </w:rPr>
        <w:t xml:space="preserve">, </w:t>
      </w:r>
      <w:r>
        <w:rPr>
          <w:color w:val="000000"/>
          <w:spacing w:val="40"/>
        </w:rPr>
        <w:t xml:space="preserve"> </w:t>
      </w:r>
      <w:r>
        <w:rPr>
          <w:color w:val="000000"/>
        </w:rPr>
        <w:t>K</w:t>
      </w:r>
      <w:r>
        <w:rPr>
          <w:color w:val="000000"/>
          <w:spacing w:val="-5"/>
        </w:rPr>
        <w:t>l</w:t>
      </w:r>
      <w:r>
        <w:rPr>
          <w:color w:val="000000"/>
          <w:spacing w:val="4"/>
        </w:rPr>
        <w:t>a</w:t>
      </w:r>
      <w:r>
        <w:rPr>
          <w:color w:val="000000"/>
          <w:spacing w:val="-4"/>
        </w:rPr>
        <w:t>i</w:t>
      </w:r>
      <w:r>
        <w:rPr>
          <w:color w:val="000000"/>
        </w:rPr>
        <w:t>p</w:t>
      </w:r>
      <w:r>
        <w:rPr>
          <w:color w:val="000000"/>
          <w:spacing w:val="-1"/>
        </w:rPr>
        <w:t>ė</w:t>
      </w:r>
      <w:r>
        <w:rPr>
          <w:color w:val="000000"/>
        </w:rPr>
        <w:t>d</w:t>
      </w:r>
      <w:r>
        <w:rPr>
          <w:color w:val="000000"/>
          <w:spacing w:val="9"/>
        </w:rPr>
        <w:t>o</w:t>
      </w:r>
      <w:r>
        <w:rPr>
          <w:color w:val="000000"/>
          <w:spacing w:val="-9"/>
        </w:rPr>
        <w:t>j</w:t>
      </w:r>
      <w:r>
        <w:rPr>
          <w:color w:val="000000"/>
        </w:rPr>
        <w:t xml:space="preserve">e </w:t>
      </w:r>
      <w:r>
        <w:rPr>
          <w:color w:val="000000"/>
          <w:spacing w:val="37"/>
        </w:rPr>
        <w:t xml:space="preserve"> </w:t>
      </w:r>
      <w:r>
        <w:rPr>
          <w:color w:val="000000"/>
          <w:spacing w:val="-4"/>
        </w:rPr>
        <w:t>i</w:t>
      </w:r>
      <w:r>
        <w:rPr>
          <w:color w:val="000000"/>
        </w:rPr>
        <w:t xml:space="preserve">r </w:t>
      </w:r>
      <w:r>
        <w:rPr>
          <w:color w:val="000000"/>
          <w:spacing w:val="35"/>
        </w:rPr>
        <w:t xml:space="preserve"> </w:t>
      </w:r>
      <w:r>
        <w:rPr>
          <w:color w:val="000000"/>
        </w:rPr>
        <w:t>U</w:t>
      </w:r>
      <w:r>
        <w:rPr>
          <w:color w:val="000000"/>
          <w:spacing w:val="5"/>
        </w:rPr>
        <w:t>t</w:t>
      </w:r>
      <w:r>
        <w:rPr>
          <w:color w:val="000000"/>
          <w:spacing w:val="-1"/>
        </w:rPr>
        <w:t>e</w:t>
      </w:r>
      <w:r>
        <w:rPr>
          <w:color w:val="000000"/>
          <w:spacing w:val="-5"/>
        </w:rPr>
        <w:t>n</w:t>
      </w:r>
      <w:r>
        <w:rPr>
          <w:color w:val="000000"/>
          <w:spacing w:val="9"/>
        </w:rPr>
        <w:t>o</w:t>
      </w:r>
      <w:r>
        <w:rPr>
          <w:color w:val="000000"/>
          <w:spacing w:val="-4"/>
        </w:rPr>
        <w:t>j</w:t>
      </w:r>
      <w:r>
        <w:rPr>
          <w:color w:val="000000"/>
          <w:spacing w:val="-1"/>
        </w:rPr>
        <w:t>e</w:t>
      </w:r>
      <w:r>
        <w:rPr>
          <w:color w:val="000000"/>
        </w:rPr>
        <w:t xml:space="preserve">. </w:t>
      </w:r>
      <w:r>
        <w:rPr>
          <w:color w:val="000000"/>
          <w:spacing w:val="45"/>
        </w:rPr>
        <w:t xml:space="preserve"> </w:t>
      </w:r>
      <w:r>
        <w:rPr>
          <w:color w:val="000000"/>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spacing w:val="4"/>
        </w:rPr>
        <w:t>a</w:t>
      </w:r>
      <w:r>
        <w:rPr>
          <w:color w:val="000000"/>
        </w:rPr>
        <w:t xml:space="preserve">s </w:t>
      </w:r>
      <w:r>
        <w:rPr>
          <w:color w:val="000000"/>
          <w:spacing w:val="36"/>
        </w:rPr>
        <w:t xml:space="preserve"> </w:t>
      </w:r>
      <w:r>
        <w:rPr>
          <w:color w:val="000000"/>
        </w:rPr>
        <w:t>n</w:t>
      </w:r>
      <w:r>
        <w:rPr>
          <w:color w:val="000000"/>
          <w:spacing w:val="-1"/>
        </w:rPr>
        <w:t>ė</w:t>
      </w:r>
      <w:r>
        <w:rPr>
          <w:color w:val="000000"/>
          <w:spacing w:val="1"/>
        </w:rPr>
        <w:t>r</w:t>
      </w:r>
      <w:r>
        <w:rPr>
          <w:color w:val="000000"/>
        </w:rPr>
        <w:t>a</w:t>
      </w:r>
    </w:p>
    <w:p w:rsidR="004F7425" w:rsidRDefault="004F7425" w:rsidP="004F7425">
      <w:pPr>
        <w:widowControl w:val="0"/>
        <w:autoSpaceDE w:val="0"/>
        <w:autoSpaceDN w:val="0"/>
        <w:adjustRightInd w:val="0"/>
        <w:spacing w:before="1"/>
        <w:ind w:left="120" w:right="-20"/>
        <w:rPr>
          <w:color w:val="000000"/>
        </w:rPr>
      </w:pPr>
      <w:r>
        <w:rPr>
          <w:color w:val="000000"/>
          <w:spacing w:val="-6"/>
        </w:rPr>
        <w:t>„</w:t>
      </w:r>
      <w:r>
        <w:rPr>
          <w:color w:val="000000"/>
          <w:spacing w:val="5"/>
        </w:rPr>
        <w:t>k</w:t>
      </w:r>
      <w:r>
        <w:rPr>
          <w:color w:val="000000"/>
          <w:spacing w:val="-4"/>
        </w:rPr>
        <w:t>l</w:t>
      </w:r>
      <w:r>
        <w:rPr>
          <w:color w:val="000000"/>
          <w:spacing w:val="5"/>
        </w:rPr>
        <w:t>u</w:t>
      </w:r>
      <w:r>
        <w:rPr>
          <w:color w:val="000000"/>
        </w:rPr>
        <w:t>b</w:t>
      </w:r>
      <w:r>
        <w:rPr>
          <w:color w:val="000000"/>
          <w:spacing w:val="-4"/>
        </w:rPr>
        <w:t>i</w:t>
      </w:r>
      <w:r>
        <w:rPr>
          <w:color w:val="000000"/>
          <w:spacing w:val="5"/>
        </w:rPr>
        <w:t>n</w:t>
      </w:r>
      <w:r>
        <w:rPr>
          <w:color w:val="000000"/>
          <w:spacing w:val="-4"/>
        </w:rPr>
        <w:t>i</w:t>
      </w:r>
      <w:r>
        <w:rPr>
          <w:color w:val="000000"/>
          <w:spacing w:val="2"/>
        </w:rPr>
        <w:t>s</w:t>
      </w:r>
      <w:r>
        <w:rPr>
          <w:color w:val="000000"/>
        </w:rPr>
        <w:t xml:space="preserve">“ </w:t>
      </w:r>
      <w:r>
        <w:rPr>
          <w:color w:val="000000"/>
          <w:spacing w:val="23"/>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w:t>
      </w:r>
      <w:r>
        <w:rPr>
          <w:color w:val="000000"/>
          <w:spacing w:val="-1"/>
        </w:rPr>
        <w:t>a</w:t>
      </w:r>
      <w:r>
        <w:rPr>
          <w:color w:val="000000"/>
          <w:spacing w:val="-2"/>
        </w:rPr>
        <w:t>s</w:t>
      </w:r>
      <w:r>
        <w:rPr>
          <w:color w:val="000000"/>
        </w:rPr>
        <w:t xml:space="preserve">. </w:t>
      </w:r>
      <w:r>
        <w:rPr>
          <w:color w:val="000000"/>
          <w:spacing w:val="26"/>
        </w:rPr>
        <w:t xml:space="preserve"> </w:t>
      </w:r>
      <w:r>
        <w:rPr>
          <w:color w:val="000000"/>
        </w:rPr>
        <w:t xml:space="preserve">2012 </w:t>
      </w:r>
      <w:r>
        <w:rPr>
          <w:color w:val="000000"/>
          <w:spacing w:val="29"/>
        </w:rPr>
        <w:t xml:space="preserve"> </w:t>
      </w:r>
      <w:r>
        <w:rPr>
          <w:color w:val="000000"/>
          <w:spacing w:val="-9"/>
        </w:rPr>
        <w:t>m</w:t>
      </w:r>
      <w:r>
        <w:rPr>
          <w:color w:val="000000"/>
        </w:rPr>
        <w:t xml:space="preserve">. </w:t>
      </w:r>
      <w:r>
        <w:rPr>
          <w:color w:val="000000"/>
          <w:spacing w:val="26"/>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 xml:space="preserve">e </w:t>
      </w:r>
      <w:r>
        <w:rPr>
          <w:color w:val="000000"/>
          <w:spacing w:val="23"/>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28"/>
        </w:rPr>
        <w:t xml:space="preserve"> </w:t>
      </w:r>
      <w:r>
        <w:rPr>
          <w:color w:val="000000"/>
        </w:rPr>
        <w:t>p</w:t>
      </w:r>
      <w:r>
        <w:rPr>
          <w:color w:val="000000"/>
          <w:spacing w:val="1"/>
        </w:rPr>
        <w:t>r</w:t>
      </w:r>
      <w:r>
        <w:rPr>
          <w:color w:val="000000"/>
          <w:spacing w:val="-1"/>
        </w:rPr>
        <w:t>a</w:t>
      </w:r>
      <w:r>
        <w:rPr>
          <w:color w:val="000000"/>
        </w:rPr>
        <w:t>d</w:t>
      </w:r>
      <w:r>
        <w:rPr>
          <w:color w:val="000000"/>
          <w:spacing w:val="-1"/>
        </w:rPr>
        <w:t>ė</w:t>
      </w:r>
      <w:r>
        <w:rPr>
          <w:color w:val="000000"/>
          <w:spacing w:val="5"/>
        </w:rPr>
        <w:t>t</w:t>
      </w:r>
      <w:r>
        <w:rPr>
          <w:color w:val="000000"/>
        </w:rPr>
        <w:t xml:space="preserve">i </w:t>
      </w:r>
      <w:r>
        <w:rPr>
          <w:color w:val="000000"/>
          <w:spacing w:val="15"/>
        </w:rPr>
        <w:t xml:space="preserve"> </w:t>
      </w:r>
      <w:r>
        <w:rPr>
          <w:color w:val="000000"/>
          <w:spacing w:val="5"/>
        </w:rPr>
        <w:t>t</w:t>
      </w:r>
      <w:r>
        <w:rPr>
          <w:color w:val="000000"/>
          <w:spacing w:val="-9"/>
        </w:rPr>
        <w:t>i</w:t>
      </w:r>
      <w:r>
        <w:rPr>
          <w:color w:val="000000"/>
        </w:rPr>
        <w:t xml:space="preserve">k </w:t>
      </w:r>
      <w:r>
        <w:rPr>
          <w:color w:val="000000"/>
          <w:spacing w:val="24"/>
        </w:rPr>
        <w:t xml:space="preserve"> </w:t>
      </w:r>
      <w:r>
        <w:rPr>
          <w:color w:val="000000"/>
        </w:rPr>
        <w:t xml:space="preserve">5 </w:t>
      </w:r>
      <w:r>
        <w:rPr>
          <w:color w:val="000000"/>
          <w:spacing w:val="29"/>
        </w:rPr>
        <w:t xml:space="preserve"> </w:t>
      </w:r>
      <w:r>
        <w:rPr>
          <w:color w:val="000000"/>
          <w:spacing w:val="-9"/>
        </w:rPr>
        <w:t>i</w:t>
      </w:r>
      <w:r>
        <w:rPr>
          <w:color w:val="000000"/>
          <w:spacing w:val="5"/>
        </w:rPr>
        <w:t>k</w:t>
      </w:r>
      <w:r>
        <w:rPr>
          <w:color w:val="000000"/>
          <w:spacing w:val="-9"/>
        </w:rPr>
        <w:t>i</w:t>
      </w:r>
      <w:r>
        <w:rPr>
          <w:color w:val="000000"/>
          <w:spacing w:val="5"/>
        </w:rPr>
        <w:t>t</w:t>
      </w:r>
      <w:r>
        <w:rPr>
          <w:color w:val="000000"/>
          <w:spacing w:val="4"/>
        </w:rPr>
        <w:t>e</w:t>
      </w:r>
      <w:r>
        <w:rPr>
          <w:color w:val="000000"/>
          <w:spacing w:val="-4"/>
        </w:rPr>
        <w:t>i</w:t>
      </w:r>
      <w:r>
        <w:rPr>
          <w:color w:val="000000"/>
          <w:spacing w:val="2"/>
        </w:rPr>
        <w:t>s</w:t>
      </w:r>
      <w:r>
        <w:rPr>
          <w:color w:val="000000"/>
        </w:rPr>
        <w:t>m</w:t>
      </w:r>
      <w:r>
        <w:rPr>
          <w:color w:val="000000"/>
          <w:spacing w:val="-4"/>
        </w:rPr>
        <w:t>i</w:t>
      </w:r>
      <w:r>
        <w:rPr>
          <w:color w:val="000000"/>
          <w:spacing w:val="5"/>
        </w:rPr>
        <w:t>n</w:t>
      </w:r>
      <w:r>
        <w:rPr>
          <w:color w:val="000000"/>
          <w:spacing w:val="-4"/>
        </w:rPr>
        <w:t>i</w:t>
      </w:r>
      <w:r>
        <w:rPr>
          <w:color w:val="000000"/>
          <w:spacing w:val="4"/>
        </w:rPr>
        <w:t>a</w:t>
      </w:r>
      <w:r>
        <w:rPr>
          <w:color w:val="000000"/>
        </w:rPr>
        <w:t xml:space="preserve">i </w:t>
      </w:r>
      <w:r>
        <w:rPr>
          <w:color w:val="000000"/>
          <w:spacing w:val="19"/>
        </w:rPr>
        <w:t xml:space="preserve"> </w:t>
      </w:r>
      <w:r>
        <w:rPr>
          <w:color w:val="000000"/>
          <w:spacing w:val="5"/>
        </w:rPr>
        <w:t>t</w:t>
      </w:r>
      <w:r>
        <w:rPr>
          <w:color w:val="000000"/>
          <w:spacing w:val="-10"/>
        </w:rPr>
        <w:t>y</w:t>
      </w:r>
      <w:r>
        <w:rPr>
          <w:color w:val="000000"/>
          <w:spacing w:val="6"/>
        </w:rPr>
        <w:t>r</w:t>
      </w:r>
      <w:r>
        <w:rPr>
          <w:color w:val="000000"/>
        </w:rPr>
        <w:t>i</w:t>
      </w:r>
      <w:r>
        <w:rPr>
          <w:color w:val="000000"/>
          <w:spacing w:val="-4"/>
        </w:rPr>
        <w:t>m</w:t>
      </w:r>
      <w:r>
        <w:rPr>
          <w:color w:val="000000"/>
          <w:spacing w:val="4"/>
        </w:rPr>
        <w:t>a</w:t>
      </w:r>
      <w:r>
        <w:rPr>
          <w:color w:val="000000"/>
        </w:rPr>
        <w:t xml:space="preserve">i </w:t>
      </w:r>
      <w:r>
        <w:rPr>
          <w:color w:val="000000"/>
          <w:spacing w:val="19"/>
        </w:rPr>
        <w:t xml:space="preserve"> </w:t>
      </w:r>
      <w:r>
        <w:rPr>
          <w:color w:val="000000"/>
        </w:rPr>
        <w:t>p</w:t>
      </w:r>
      <w:r>
        <w:rPr>
          <w:color w:val="000000"/>
          <w:spacing w:val="-1"/>
        </w:rPr>
        <w:t>a</w:t>
      </w:r>
      <w:r>
        <w:rPr>
          <w:color w:val="000000"/>
        </w:rPr>
        <w:t>g</w:t>
      </w:r>
      <w:r>
        <w:rPr>
          <w:color w:val="000000"/>
          <w:spacing w:val="4"/>
        </w:rPr>
        <w:t>a</w:t>
      </w:r>
      <w:r>
        <w:rPr>
          <w:color w:val="000000"/>
        </w:rPr>
        <w:t xml:space="preserve">l </w:t>
      </w:r>
      <w:r>
        <w:rPr>
          <w:color w:val="000000"/>
          <w:spacing w:val="19"/>
        </w:rPr>
        <w:t xml:space="preserve"> </w:t>
      </w:r>
      <w:r>
        <w:rPr>
          <w:color w:val="000000"/>
          <w:spacing w:val="2"/>
        </w:rPr>
        <w:t>L</w:t>
      </w:r>
      <w:r>
        <w:rPr>
          <w:color w:val="000000"/>
        </w:rPr>
        <w:t>R</w:t>
      </w:r>
    </w:p>
    <w:p w:rsidR="004F7425" w:rsidRDefault="004F7425" w:rsidP="004F7425">
      <w:pPr>
        <w:widowControl w:val="0"/>
        <w:autoSpaceDE w:val="0"/>
        <w:autoSpaceDN w:val="0"/>
        <w:adjustRightInd w:val="0"/>
        <w:spacing w:before="1"/>
        <w:ind w:left="120" w:right="-20"/>
        <w:rPr>
          <w:color w:val="000000"/>
        </w:rPr>
        <w:sectPr w:rsidR="004F7425">
          <w:type w:val="continuous"/>
          <w:pgSz w:w="11920" w:h="16840"/>
          <w:pgMar w:top="1540" w:right="460" w:bottom="280" w:left="1580" w:header="567" w:footer="567" w:gutter="0"/>
          <w:cols w:space="1296" w:equalWidth="0">
            <w:col w:w="988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ind w:left="280" w:right="-20"/>
        <w:rPr>
          <w:color w:val="000000"/>
        </w:rPr>
      </w:pPr>
      <w:r>
        <w:rPr>
          <w:color w:val="000000"/>
          <w:spacing w:val="-2"/>
        </w:rPr>
        <w:t>B</w:t>
      </w:r>
      <w:r>
        <w:rPr>
          <w:color w:val="000000"/>
          <w:spacing w:val="-1"/>
        </w:rPr>
        <w:t>a</w:t>
      </w:r>
      <w:r>
        <w:rPr>
          <w:color w:val="000000"/>
        </w:rPr>
        <w:t>ud</w:t>
      </w:r>
      <w:r>
        <w:rPr>
          <w:color w:val="000000"/>
          <w:spacing w:val="4"/>
        </w:rPr>
        <w:t>ž</w:t>
      </w:r>
      <w:r>
        <w:rPr>
          <w:color w:val="000000"/>
          <w:spacing w:val="-4"/>
        </w:rPr>
        <w:t>i</w:t>
      </w:r>
      <w:r>
        <w:rPr>
          <w:color w:val="000000"/>
          <w:spacing w:val="4"/>
        </w:rPr>
        <w:t>a</w:t>
      </w:r>
      <w:r>
        <w:rPr>
          <w:color w:val="000000"/>
          <w:spacing w:val="-9"/>
        </w:rPr>
        <w:t>m</w:t>
      </w:r>
      <w:r>
        <w:rPr>
          <w:color w:val="000000"/>
          <w:spacing w:val="9"/>
        </w:rPr>
        <w:t>o</w:t>
      </w:r>
      <w:r>
        <w:rPr>
          <w:color w:val="000000"/>
          <w:spacing w:val="-9"/>
        </w:rPr>
        <w:t>j</w:t>
      </w:r>
      <w:r>
        <w:rPr>
          <w:color w:val="000000"/>
        </w:rPr>
        <w:t xml:space="preserve">o </w:t>
      </w:r>
      <w:r>
        <w:rPr>
          <w:color w:val="000000"/>
          <w:spacing w:val="57"/>
        </w:rPr>
        <w:t xml:space="preserve"> </w:t>
      </w:r>
      <w:r>
        <w:rPr>
          <w:color w:val="000000"/>
        </w:rPr>
        <w:t>k</w:t>
      </w:r>
      <w:r>
        <w:rPr>
          <w:color w:val="000000"/>
          <w:spacing w:val="5"/>
        </w:rPr>
        <w:t>o</w:t>
      </w:r>
      <w:r>
        <w:rPr>
          <w:color w:val="000000"/>
        </w:rPr>
        <w:t>d</w:t>
      </w:r>
      <w:r>
        <w:rPr>
          <w:color w:val="000000"/>
          <w:spacing w:val="-1"/>
        </w:rPr>
        <w:t>e</w:t>
      </w:r>
      <w:r>
        <w:rPr>
          <w:color w:val="000000"/>
        </w:rPr>
        <w:t>k</w:t>
      </w:r>
      <w:r>
        <w:rPr>
          <w:color w:val="000000"/>
          <w:spacing w:val="-2"/>
        </w:rPr>
        <w:t>s</w:t>
      </w:r>
      <w:r>
        <w:rPr>
          <w:color w:val="000000"/>
        </w:rPr>
        <w:t xml:space="preserve">o </w:t>
      </w:r>
      <w:r>
        <w:rPr>
          <w:color w:val="000000"/>
          <w:spacing w:val="57"/>
        </w:rPr>
        <w:t xml:space="preserve"> </w:t>
      </w:r>
      <w:r>
        <w:rPr>
          <w:color w:val="000000"/>
        </w:rPr>
        <w:t xml:space="preserve">260 </w:t>
      </w:r>
      <w:r>
        <w:rPr>
          <w:color w:val="000000"/>
          <w:spacing w:val="53"/>
        </w:rPr>
        <w:t xml:space="preserve"> </w:t>
      </w:r>
      <w:r>
        <w:rPr>
          <w:color w:val="000000"/>
          <w:spacing w:val="-2"/>
        </w:rPr>
        <w:t>s</w:t>
      </w:r>
      <w:r>
        <w:rPr>
          <w:color w:val="000000"/>
        </w:rPr>
        <w:t>t</w:t>
      </w:r>
      <w:r>
        <w:rPr>
          <w:color w:val="000000"/>
          <w:spacing w:val="2"/>
        </w:rPr>
        <w:t>r</w:t>
      </w:r>
      <w:r>
        <w:rPr>
          <w:color w:val="000000"/>
        </w:rPr>
        <w:t xml:space="preserve">. </w:t>
      </w:r>
      <w:r>
        <w:rPr>
          <w:color w:val="000000"/>
          <w:spacing w:val="55"/>
        </w:rPr>
        <w:t xml:space="preserve"> </w:t>
      </w:r>
      <w:r>
        <w:rPr>
          <w:color w:val="000000"/>
        </w:rPr>
        <w:t xml:space="preserve">3 </w:t>
      </w:r>
      <w:r>
        <w:rPr>
          <w:color w:val="000000"/>
          <w:spacing w:val="53"/>
        </w:rPr>
        <w:t xml:space="preserve"> </w:t>
      </w:r>
      <w:r>
        <w:rPr>
          <w:color w:val="000000"/>
        </w:rPr>
        <w:t xml:space="preserve">d. </w:t>
      </w:r>
      <w:r>
        <w:rPr>
          <w:color w:val="000000"/>
          <w:spacing w:val="50"/>
        </w:rPr>
        <w:t xml:space="preserve"> </w:t>
      </w:r>
      <w:r>
        <w:rPr>
          <w:color w:val="000000"/>
          <w:spacing w:val="1"/>
        </w:rPr>
        <w:t>(</w:t>
      </w:r>
      <w:r>
        <w:rPr>
          <w:color w:val="000000"/>
        </w:rPr>
        <w:t>N</w:t>
      </w:r>
      <w:r>
        <w:rPr>
          <w:color w:val="000000"/>
          <w:spacing w:val="-1"/>
        </w:rPr>
        <w:t>e</w:t>
      </w:r>
      <w:r>
        <w:rPr>
          <w:color w:val="000000"/>
          <w:spacing w:val="5"/>
        </w:rPr>
        <w:t>t</w:t>
      </w:r>
      <w:r>
        <w:rPr>
          <w:color w:val="000000"/>
          <w:spacing w:val="-1"/>
        </w:rPr>
        <w:t>e</w:t>
      </w:r>
      <w:r>
        <w:rPr>
          <w:color w:val="000000"/>
          <w:spacing w:val="-9"/>
        </w:rPr>
        <w:t>i</w:t>
      </w:r>
      <w:r>
        <w:rPr>
          <w:color w:val="000000"/>
          <w:spacing w:val="-2"/>
        </w:rPr>
        <w:t>s</w:t>
      </w:r>
      <w:r>
        <w:rPr>
          <w:color w:val="000000"/>
          <w:spacing w:val="4"/>
        </w:rPr>
        <w:t>ė</w:t>
      </w:r>
      <w:r>
        <w:rPr>
          <w:color w:val="000000"/>
          <w:spacing w:val="5"/>
        </w:rPr>
        <w:t>t</w:t>
      </w:r>
      <w:r>
        <w:rPr>
          <w:color w:val="000000"/>
          <w:spacing w:val="-1"/>
        </w:rPr>
        <w:t>a</w:t>
      </w:r>
      <w:r>
        <w:rPr>
          <w:color w:val="000000"/>
        </w:rPr>
        <w:t xml:space="preserve">s </w:t>
      </w:r>
      <w:r>
        <w:rPr>
          <w:color w:val="000000"/>
          <w:spacing w:val="50"/>
        </w:rPr>
        <w:t xml:space="preserve"> </w:t>
      </w:r>
      <w:r>
        <w:rPr>
          <w:color w:val="000000"/>
          <w:spacing w:val="5"/>
        </w:rPr>
        <w:t>d</w:t>
      </w:r>
      <w:r>
        <w:rPr>
          <w:color w:val="000000"/>
          <w:spacing w:val="-9"/>
        </w:rPr>
        <w:t>i</w:t>
      </w:r>
      <w:r>
        <w:rPr>
          <w:color w:val="000000"/>
          <w:spacing w:val="-2"/>
        </w:rPr>
        <w:t>s</w:t>
      </w:r>
      <w:r>
        <w:rPr>
          <w:color w:val="000000"/>
        </w:rPr>
        <w:t>p</w:t>
      </w:r>
      <w:r>
        <w:rPr>
          <w:color w:val="000000"/>
          <w:spacing w:val="5"/>
        </w:rPr>
        <w:t>o</w:t>
      </w:r>
      <w:r>
        <w:rPr>
          <w:color w:val="000000"/>
          <w:spacing w:val="-5"/>
        </w:rPr>
        <w:t>n</w:t>
      </w:r>
      <w:r>
        <w:rPr>
          <w:color w:val="000000"/>
          <w:spacing w:val="4"/>
        </w:rPr>
        <w:t>a</w:t>
      </w:r>
      <w:r>
        <w:rPr>
          <w:color w:val="000000"/>
        </w:rPr>
        <w:t>vi</w:t>
      </w:r>
      <w:r>
        <w:rPr>
          <w:color w:val="000000"/>
          <w:spacing w:val="-4"/>
        </w:rPr>
        <w:t>m</w:t>
      </w:r>
      <w:r>
        <w:rPr>
          <w:color w:val="000000"/>
          <w:spacing w:val="4"/>
        </w:rPr>
        <w:t>a</w:t>
      </w:r>
      <w:r>
        <w:rPr>
          <w:color w:val="000000"/>
        </w:rPr>
        <w:t xml:space="preserve">s </w:t>
      </w:r>
      <w:r>
        <w:rPr>
          <w:color w:val="000000"/>
          <w:spacing w:val="55"/>
        </w:rPr>
        <w:t xml:space="preserve"> </w:t>
      </w:r>
      <w:r>
        <w:rPr>
          <w:color w:val="000000"/>
          <w:spacing w:val="-4"/>
        </w:rPr>
        <w:t>l</w:t>
      </w:r>
      <w:r>
        <w:rPr>
          <w:color w:val="000000"/>
          <w:spacing w:val="4"/>
        </w:rPr>
        <w:t>a</w:t>
      </w:r>
      <w:r>
        <w:rPr>
          <w:color w:val="000000"/>
          <w:spacing w:val="-5"/>
        </w:rPr>
        <w:t>b</w:t>
      </w:r>
      <w:r>
        <w:rPr>
          <w:color w:val="000000"/>
          <w:spacing w:val="4"/>
        </w:rPr>
        <w:t>a</w:t>
      </w:r>
      <w:r>
        <w:rPr>
          <w:color w:val="000000"/>
        </w:rPr>
        <w:t xml:space="preserve">i </w:t>
      </w:r>
      <w:r>
        <w:rPr>
          <w:color w:val="000000"/>
          <w:spacing w:val="48"/>
        </w:rPr>
        <w:t xml:space="preserve"> </w:t>
      </w:r>
      <w:r>
        <w:rPr>
          <w:color w:val="000000"/>
          <w:spacing w:val="5"/>
        </w:rPr>
        <w:t>d</w:t>
      </w:r>
      <w:r>
        <w:rPr>
          <w:color w:val="000000"/>
          <w:spacing w:val="-4"/>
        </w:rPr>
        <w:t>i</w:t>
      </w:r>
      <w:r>
        <w:rPr>
          <w:color w:val="000000"/>
        </w:rPr>
        <w:t>d</w:t>
      </w:r>
      <w:r>
        <w:rPr>
          <w:color w:val="000000"/>
          <w:spacing w:val="4"/>
        </w:rPr>
        <w:t>e</w:t>
      </w:r>
      <w:r>
        <w:rPr>
          <w:color w:val="000000"/>
        </w:rPr>
        <w:t>l</w:t>
      </w:r>
      <w:r>
        <w:rPr>
          <w:color w:val="000000"/>
          <w:spacing w:val="-4"/>
        </w:rPr>
        <w:t>i</w:t>
      </w:r>
      <w:r>
        <w:rPr>
          <w:color w:val="000000"/>
        </w:rPr>
        <w:t xml:space="preserve">u </w:t>
      </w:r>
      <w:r>
        <w:rPr>
          <w:color w:val="000000"/>
          <w:spacing w:val="57"/>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n</w:t>
      </w:r>
      <w:r>
        <w:rPr>
          <w:color w:val="000000"/>
          <w:spacing w:val="-4"/>
        </w:rPr>
        <w:t>i</w:t>
      </w:r>
      <w:r>
        <w:rPr>
          <w:color w:val="000000"/>
        </w:rPr>
        <w:t xml:space="preserve">ų </w:t>
      </w:r>
      <w:r>
        <w:rPr>
          <w:color w:val="000000"/>
          <w:spacing w:val="57"/>
        </w:rPr>
        <w:t xml:space="preserve"> </w:t>
      </w:r>
      <w:r>
        <w:rPr>
          <w:color w:val="000000"/>
          <w:spacing w:val="-1"/>
        </w:rPr>
        <w:t>a</w:t>
      </w:r>
      <w:r>
        <w:rPr>
          <w:color w:val="000000"/>
        </w:rPr>
        <w:t>r</w:t>
      </w:r>
    </w:p>
    <w:p w:rsidR="004F7425" w:rsidRDefault="004F7425" w:rsidP="004F7425">
      <w:pPr>
        <w:widowControl w:val="0"/>
        <w:autoSpaceDE w:val="0"/>
        <w:autoSpaceDN w:val="0"/>
        <w:adjustRightInd w:val="0"/>
        <w:spacing w:before="41" w:line="271" w:lineRule="exact"/>
        <w:ind w:left="280" w:right="-20"/>
        <w:rPr>
          <w:color w:val="000000"/>
        </w:rPr>
      </w:pPr>
      <w:r>
        <w:rPr>
          <w:noProof/>
          <w:lang w:eastAsia="lt-LT"/>
        </w:rPr>
        <mc:AlternateContent>
          <mc:Choice Requires="wpg">
            <w:drawing>
              <wp:anchor distT="0" distB="0" distL="114300" distR="114300" simplePos="0" relativeHeight="251752448" behindDoc="1" locked="0" layoutInCell="0" allowOverlap="1">
                <wp:simplePos x="0" y="0"/>
                <wp:positionH relativeFrom="page">
                  <wp:posOffset>4150360</wp:posOffset>
                </wp:positionH>
                <wp:positionV relativeFrom="paragraph">
                  <wp:posOffset>123190</wp:posOffset>
                </wp:positionV>
                <wp:extent cx="3030855" cy="1764665"/>
                <wp:effectExtent l="6985" t="635" r="635" b="6350"/>
                <wp:wrapNone/>
                <wp:docPr id="214" name="Grupė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0855" cy="1764665"/>
                          <a:chOff x="6536" y="194"/>
                          <a:chExt cx="4773" cy="2779"/>
                        </a:xfrm>
                      </wpg:grpSpPr>
                      <wps:wsp>
                        <wps:cNvPr id="215" name="Rectangle 239"/>
                        <wps:cNvSpPr>
                          <a:spLocks noChangeArrowheads="1"/>
                        </wps:cNvSpPr>
                        <wps:spPr bwMode="auto">
                          <a:xfrm>
                            <a:off x="6701" y="1222"/>
                            <a:ext cx="2900"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1580" w:lineRule="atLeast"/>
                              </w:pPr>
                              <w:r>
                                <w:rPr>
                                  <w:noProof/>
                                  <w:lang w:eastAsia="lt-LT"/>
                                </w:rPr>
                                <w:drawing>
                                  <wp:inline distT="0" distB="0" distL="0" distR="0" wp14:anchorId="7533EB92" wp14:editId="63E131EE">
                                    <wp:extent cx="1838325" cy="1000125"/>
                                    <wp:effectExtent l="0" t="0" r="0" b="9525"/>
                                    <wp:docPr id="399" name="Paveikslėlis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838325" cy="10001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wps:wsp>
                        <wps:cNvPr id="216" name="Freeform 240"/>
                        <wps:cNvSpPr>
                          <a:spLocks/>
                        </wps:cNvSpPr>
                        <wps:spPr bwMode="auto">
                          <a:xfrm>
                            <a:off x="8358" y="1095"/>
                            <a:ext cx="89" cy="168"/>
                          </a:xfrm>
                          <a:custGeom>
                            <a:avLst/>
                            <a:gdLst>
                              <a:gd name="T0" fmla="*/ 0 w 89"/>
                              <a:gd name="T1" fmla="*/ 168 h 168"/>
                              <a:gd name="T2" fmla="*/ 89 w 89"/>
                              <a:gd name="T3" fmla="*/ 0 h 168"/>
                            </a:gdLst>
                            <a:ahLst/>
                            <a:cxnLst>
                              <a:cxn ang="0">
                                <a:pos x="T0" y="T1"/>
                              </a:cxn>
                              <a:cxn ang="0">
                                <a:pos x="T2" y="T3"/>
                              </a:cxn>
                            </a:cxnLst>
                            <a:rect l="0" t="0" r="r" b="b"/>
                            <a:pathLst>
                              <a:path w="89" h="168">
                                <a:moveTo>
                                  <a:pt x="0" y="168"/>
                                </a:moveTo>
                                <a:lnTo>
                                  <a:pt x="89" y="0"/>
                                </a:lnTo>
                              </a:path>
                            </a:pathLst>
                          </a:custGeom>
                          <a:noFill/>
                          <a:ln w="97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 name="Freeform 241"/>
                        <wps:cNvSpPr>
                          <a:spLocks/>
                        </wps:cNvSpPr>
                        <wps:spPr bwMode="auto">
                          <a:xfrm>
                            <a:off x="8447" y="1095"/>
                            <a:ext cx="90" cy="20"/>
                          </a:xfrm>
                          <a:custGeom>
                            <a:avLst/>
                            <a:gdLst>
                              <a:gd name="T0" fmla="*/ 0 w 90"/>
                              <a:gd name="T1" fmla="*/ 0 h 20"/>
                              <a:gd name="T2" fmla="*/ 89 w 90"/>
                              <a:gd name="T3" fmla="*/ 0 h 20"/>
                            </a:gdLst>
                            <a:ahLst/>
                            <a:cxnLst>
                              <a:cxn ang="0">
                                <a:pos x="T0" y="T1"/>
                              </a:cxn>
                              <a:cxn ang="0">
                                <a:pos x="T2" y="T3"/>
                              </a:cxn>
                            </a:cxnLst>
                            <a:rect l="0" t="0" r="r" b="b"/>
                            <a:pathLst>
                              <a:path w="90" h="20">
                                <a:moveTo>
                                  <a:pt x="0" y="0"/>
                                </a:moveTo>
                                <a:lnTo>
                                  <a:pt x="89" y="0"/>
                                </a:lnTo>
                              </a:path>
                            </a:pathLst>
                          </a:custGeom>
                          <a:noFill/>
                          <a:ln w="107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Freeform 242"/>
                        <wps:cNvSpPr>
                          <a:spLocks/>
                        </wps:cNvSpPr>
                        <wps:spPr bwMode="auto">
                          <a:xfrm>
                            <a:off x="9295" y="1465"/>
                            <a:ext cx="20" cy="236"/>
                          </a:xfrm>
                          <a:custGeom>
                            <a:avLst/>
                            <a:gdLst>
                              <a:gd name="T0" fmla="*/ 0 w 20"/>
                              <a:gd name="T1" fmla="*/ 0 h 236"/>
                              <a:gd name="T2" fmla="*/ 0 w 20"/>
                              <a:gd name="T3" fmla="*/ 235 h 236"/>
                            </a:gdLst>
                            <a:ahLst/>
                            <a:cxnLst>
                              <a:cxn ang="0">
                                <a:pos x="T0" y="T1"/>
                              </a:cxn>
                              <a:cxn ang="0">
                                <a:pos x="T2" y="T3"/>
                              </a:cxn>
                            </a:cxnLst>
                            <a:rect l="0" t="0" r="r" b="b"/>
                            <a:pathLst>
                              <a:path w="20" h="236">
                                <a:moveTo>
                                  <a:pt x="0" y="0"/>
                                </a:moveTo>
                                <a:lnTo>
                                  <a:pt x="0" y="235"/>
                                </a:lnTo>
                              </a:path>
                            </a:pathLst>
                          </a:custGeom>
                          <a:noFill/>
                          <a:ln w="3775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Freeform 243"/>
                        <wps:cNvSpPr>
                          <a:spLocks/>
                        </wps:cNvSpPr>
                        <wps:spPr bwMode="auto">
                          <a:xfrm>
                            <a:off x="7124" y="2442"/>
                            <a:ext cx="20" cy="371"/>
                          </a:xfrm>
                          <a:custGeom>
                            <a:avLst/>
                            <a:gdLst>
                              <a:gd name="T0" fmla="*/ 0 w 20"/>
                              <a:gd name="T1" fmla="*/ 0 h 371"/>
                              <a:gd name="T2" fmla="*/ 0 w 20"/>
                              <a:gd name="T3" fmla="*/ 370 h 371"/>
                            </a:gdLst>
                            <a:ahLst/>
                            <a:cxnLst>
                              <a:cxn ang="0">
                                <a:pos x="T0" y="T1"/>
                              </a:cxn>
                              <a:cxn ang="0">
                                <a:pos x="T2" y="T3"/>
                              </a:cxn>
                            </a:cxnLst>
                            <a:rect l="0" t="0" r="r" b="b"/>
                            <a:pathLst>
                              <a:path w="20" h="371">
                                <a:moveTo>
                                  <a:pt x="0" y="0"/>
                                </a:moveTo>
                                <a:lnTo>
                                  <a:pt x="0" y="370"/>
                                </a:lnTo>
                              </a:path>
                            </a:pathLst>
                          </a:custGeom>
                          <a:noFill/>
                          <a:ln w="566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Freeform 244"/>
                        <wps:cNvSpPr>
                          <a:spLocks/>
                        </wps:cNvSpPr>
                        <wps:spPr bwMode="auto">
                          <a:xfrm>
                            <a:off x="6991" y="2813"/>
                            <a:ext cx="89" cy="20"/>
                          </a:xfrm>
                          <a:custGeom>
                            <a:avLst/>
                            <a:gdLst>
                              <a:gd name="T0" fmla="*/ 89 w 89"/>
                              <a:gd name="T1" fmla="*/ 0 h 20"/>
                              <a:gd name="T2" fmla="*/ 0 w 89"/>
                              <a:gd name="T3" fmla="*/ 0 h 20"/>
                            </a:gdLst>
                            <a:ahLst/>
                            <a:cxnLst>
                              <a:cxn ang="0">
                                <a:pos x="T0" y="T1"/>
                              </a:cxn>
                              <a:cxn ang="0">
                                <a:pos x="T2" y="T3"/>
                              </a:cxn>
                            </a:cxnLst>
                            <a:rect l="0" t="0" r="r" b="b"/>
                            <a:pathLst>
                              <a:path w="89" h="20">
                                <a:moveTo>
                                  <a:pt x="89" y="0"/>
                                </a:moveTo>
                                <a:lnTo>
                                  <a:pt x="0" y="0"/>
                                </a:lnTo>
                              </a:path>
                            </a:pathLst>
                          </a:custGeom>
                          <a:noFill/>
                          <a:ln w="107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Freeform 245"/>
                        <wps:cNvSpPr>
                          <a:spLocks/>
                        </wps:cNvSpPr>
                        <wps:spPr bwMode="auto">
                          <a:xfrm>
                            <a:off x="7615" y="1112"/>
                            <a:ext cx="148" cy="185"/>
                          </a:xfrm>
                          <a:custGeom>
                            <a:avLst/>
                            <a:gdLst>
                              <a:gd name="T0" fmla="*/ 148 w 148"/>
                              <a:gd name="T1" fmla="*/ 185 h 185"/>
                              <a:gd name="T2" fmla="*/ 0 w 148"/>
                              <a:gd name="T3" fmla="*/ 0 h 185"/>
                            </a:gdLst>
                            <a:ahLst/>
                            <a:cxnLst>
                              <a:cxn ang="0">
                                <a:pos x="T0" y="T1"/>
                              </a:cxn>
                              <a:cxn ang="0">
                                <a:pos x="T2" y="T3"/>
                              </a:cxn>
                            </a:cxnLst>
                            <a:rect l="0" t="0" r="r" b="b"/>
                            <a:pathLst>
                              <a:path w="148" h="185">
                                <a:moveTo>
                                  <a:pt x="148" y="185"/>
                                </a:moveTo>
                                <a:lnTo>
                                  <a:pt x="0" y="0"/>
                                </a:lnTo>
                              </a:path>
                            </a:pathLst>
                          </a:custGeom>
                          <a:noFill/>
                          <a:ln w="99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Freeform 246"/>
                        <wps:cNvSpPr>
                          <a:spLocks/>
                        </wps:cNvSpPr>
                        <wps:spPr bwMode="auto">
                          <a:xfrm>
                            <a:off x="7526" y="1112"/>
                            <a:ext cx="89" cy="20"/>
                          </a:xfrm>
                          <a:custGeom>
                            <a:avLst/>
                            <a:gdLst>
                              <a:gd name="T0" fmla="*/ 89 w 89"/>
                              <a:gd name="T1" fmla="*/ 0 h 20"/>
                              <a:gd name="T2" fmla="*/ 0 w 89"/>
                              <a:gd name="T3" fmla="*/ 0 h 20"/>
                            </a:gdLst>
                            <a:ahLst/>
                            <a:cxnLst>
                              <a:cxn ang="0">
                                <a:pos x="T0" y="T1"/>
                              </a:cxn>
                              <a:cxn ang="0">
                                <a:pos x="T2" y="T3"/>
                              </a:cxn>
                            </a:cxnLst>
                            <a:rect l="0" t="0" r="r" b="b"/>
                            <a:pathLst>
                              <a:path w="89" h="20">
                                <a:moveTo>
                                  <a:pt x="89" y="0"/>
                                </a:moveTo>
                                <a:lnTo>
                                  <a:pt x="0" y="0"/>
                                </a:lnTo>
                              </a:path>
                            </a:pathLst>
                          </a:custGeom>
                          <a:noFill/>
                          <a:ln w="107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Freeform 247"/>
                        <wps:cNvSpPr>
                          <a:spLocks/>
                        </wps:cNvSpPr>
                        <wps:spPr bwMode="auto">
                          <a:xfrm>
                            <a:off x="8090" y="1095"/>
                            <a:ext cx="20" cy="168"/>
                          </a:xfrm>
                          <a:custGeom>
                            <a:avLst/>
                            <a:gdLst>
                              <a:gd name="T0" fmla="*/ 0 w 20"/>
                              <a:gd name="T1" fmla="*/ 0 h 168"/>
                              <a:gd name="T2" fmla="*/ 0 w 20"/>
                              <a:gd name="T3" fmla="*/ 168 h 168"/>
                            </a:gdLst>
                            <a:ahLst/>
                            <a:cxnLst>
                              <a:cxn ang="0">
                                <a:pos x="T0" y="T1"/>
                              </a:cxn>
                              <a:cxn ang="0">
                                <a:pos x="T2" y="T3"/>
                              </a:cxn>
                            </a:cxnLst>
                            <a:rect l="0" t="0" r="r" b="b"/>
                            <a:pathLst>
                              <a:path w="20" h="168">
                                <a:moveTo>
                                  <a:pt x="0" y="0"/>
                                </a:moveTo>
                                <a:lnTo>
                                  <a:pt x="0" y="168"/>
                                </a:lnTo>
                              </a:path>
                            </a:pathLst>
                          </a:custGeom>
                          <a:noFill/>
                          <a:ln w="94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Rectangle 248"/>
                        <wps:cNvSpPr>
                          <a:spLocks/>
                        </wps:cNvSpPr>
                        <wps:spPr bwMode="auto">
                          <a:xfrm>
                            <a:off x="10105" y="1053"/>
                            <a:ext cx="118" cy="13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Rectangle 249"/>
                        <wps:cNvSpPr>
                          <a:spLocks/>
                        </wps:cNvSpPr>
                        <wps:spPr bwMode="auto">
                          <a:xfrm>
                            <a:off x="10105" y="1423"/>
                            <a:ext cx="118" cy="13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50"/>
                        <wps:cNvSpPr>
                          <a:spLocks/>
                        </wps:cNvSpPr>
                        <wps:spPr bwMode="auto">
                          <a:xfrm>
                            <a:off x="10105" y="1794"/>
                            <a:ext cx="118" cy="134"/>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Rectangle 251"/>
                        <wps:cNvSpPr>
                          <a:spLocks/>
                        </wps:cNvSpPr>
                        <wps:spPr bwMode="auto">
                          <a:xfrm>
                            <a:off x="10105" y="2164"/>
                            <a:ext cx="118" cy="134"/>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Rectangle 252"/>
                        <wps:cNvSpPr>
                          <a:spLocks/>
                        </wps:cNvSpPr>
                        <wps:spPr bwMode="auto">
                          <a:xfrm>
                            <a:off x="10105" y="2535"/>
                            <a:ext cx="118" cy="134"/>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53"/>
                        <wps:cNvSpPr>
                          <a:spLocks/>
                        </wps:cNvSpPr>
                        <wps:spPr bwMode="auto">
                          <a:xfrm>
                            <a:off x="6545" y="202"/>
                            <a:ext cx="4756" cy="2762"/>
                          </a:xfrm>
                          <a:prstGeom prst="rect">
                            <a:avLst/>
                          </a:prstGeom>
                          <a:noFill/>
                          <a:ln w="10389">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214" o:spid="_x0000_s1056" style="position:absolute;left:0;text-align:left;margin-left:326.8pt;margin-top:9.7pt;width:238.65pt;height:138.95pt;z-index:-251564032;mso-position-horizontal-relative:page" coordorigin="6536,194" coordsize="4773,2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" o:allowincell="f">
                <v:rect id="Rectangle 239" o:spid="_x0000_s1057" style="position:absolute;left:6701;top:1222;width:2900;height:1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C4c8QA&#10;AADcAAAADwAAAGRycy9kb3ducmV2LnhtbESPQYvCMBSE74L/ITxhb5oqKFqNIrqix10rqLdH82yL&#10;zUtpsrbrr98sCB6HmfmGWaxaU4oH1a6wrGA4iEAQp1YXnCk4Jbv+FITzyBpLy6Tglxyslt3OAmNt&#10;G/6mx9FnIkDYxagg976KpXRpTgbdwFbEwbvZ2qAPss6krrEJcFPKURRNpMGCw0KOFW1ySu/HH6Ng&#10;P63Wl4N9Nln5ed2fv86zbTLzSn302vUchKfWv8Ov9kErGA3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wuHPEAAAA3AAAAA8AAAAAAAAAAAAAAAAAmAIAAGRycy9k&#10;b3ducmV2LnhtbFBLBQYAAAAABAAEAPUAAACJAwAAAAA=&#10;" filled="f" stroked="f">
                  <v:textbox inset="0,0,0,0">
                    <w:txbxContent>
                      <w:p w:rsidR="004F7425" w:rsidRDefault="004F7425" w:rsidP="004F7425">
                        <w:pPr>
                          <w:spacing w:line="1580" w:lineRule="atLeast"/>
                        </w:pPr>
                        <w:r>
                          <w:rPr>
                            <w:noProof/>
                            <w:lang w:eastAsia="lt-LT"/>
                          </w:rPr>
                          <w:drawing>
                            <wp:inline distT="0" distB="0" distL="0" distR="0" wp14:anchorId="7533EB92" wp14:editId="63E131EE">
                              <wp:extent cx="1838325" cy="1000125"/>
                              <wp:effectExtent l="0" t="0" r="0" b="9525"/>
                              <wp:docPr id="399" name="Paveikslėlis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838325" cy="10001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v:rect>
                <v:shape id="Freeform 240" o:spid="_x0000_s1058" style="position:absolute;left:8358;top:1095;width:89;height:168;visibility:visible;mso-wrap-style:square;v-text-anchor:top" coordsize="89,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l+ccQA&#10;AADcAAAADwAAAGRycy9kb3ducmV2LnhtbESPzWrDMBCE74W+g9hCbo0cH9ziRDEmIaGXHJqE0uNi&#10;rX+ItRKWajtvHxUKPQ4z8w2zKWbTi5EG31lWsFomIIgrqztuFFwvh9d3ED4ga+wtk4I7eSi2z08b&#10;zLWd+JPGc2hEhLDPUUEbgsul9FVLBv3SOuLo1XYwGKIcGqkHnCLc9DJNkkwa7DgutOho11J1O/8Y&#10;Bacvd7lON0qP9Te+pc7U5f4olVq8zOUaRKA5/If/2h9aQbrK4PdMP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pfnHEAAAA3AAAAA8AAAAAAAAAAAAAAAAAmAIAAGRycy9k&#10;b3ducmV2LnhtbFBLBQYAAAAABAAEAPUAAACJAwAAAAA=&#10;" path="m,168l89,e" filled="f" strokeweight=".27011mm">
                  <v:path arrowok="t" o:connecttype="custom" o:connectlocs="0,168;89,0" o:connectangles="0,0"/>
                </v:shape>
                <v:shape id="Freeform 241" o:spid="_x0000_s1059" style="position:absolute;left:8447;top:1095;width:90;height:20;visibility:visible;mso-wrap-style:square;v-text-anchor:top" coordsize="9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Hit8UA&#10;AADcAAAADwAAAGRycy9kb3ducmV2LnhtbESPQWvCQBSE7wX/w/IEb3UTD7akrlIUMUIvVbEeH9nX&#10;TWL2bciuJv77bqHQ4zAz3zCL1WAbcafOV44VpNMEBHHhdMVGwem4fX4F4QOyxsYxKXiQh9Vy9LTA&#10;TLueP+l+CEZECPsMFZQhtJmUvijJop+6ljh6366zGKLsjNQd9hFuGzlLkrm0WHFcKLGldUnF9XCz&#10;Cs61eRR1f/mqzSbfy0vud/v0Q6nJeHh/AxFoCP/hv3auFczSF/g9E4+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weK3xQAAANwAAAAPAAAAAAAAAAAAAAAAAJgCAABkcnMv&#10;ZG93bnJldi54bWxQSwUGAAAAAAQABAD1AAAAigMAAAAA&#10;" path="m,l89,e" filled="f" strokeweight=".29739mm">
                  <v:path arrowok="t" o:connecttype="custom" o:connectlocs="0,0;89,0" o:connectangles="0,0"/>
                </v:shape>
                <v:shape id="Freeform 242" o:spid="_x0000_s1060" style="position:absolute;left:9295;top:1465;width:20;height:236;visibility:visible;mso-wrap-style:square;v-text-anchor:top" coordsize="20,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girsAA&#10;AADcAAAADwAAAGRycy9kb3ducmV2LnhtbERPzYqDMBC+L/Qdwiz0stTYHpbFGktbKCz0tOoDDGaq&#10;opm4SVrdt28OhT1+fP/5YTGjeJDzvWUF2yQFQdxY3XOroK4umy8QPiBrHC2Tgj/ycChWbzlm2s78&#10;Q48ytCKGsM9QQRfClEnpm44M+sROxJG7WWcwROhaqR3OMdyMcpemn9Jgz7Ghw4nOHTVDeTcKbtqy&#10;q3+v1ek8f1R4Kut7xYNS6/fluAcRaAn/4pf7WyvYbePaeCYeAVk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QgirsAAAADcAAAADwAAAAAAAAAAAAAAAACYAgAAZHJzL2Rvd25y&#10;ZXYueG1sUEsFBgAAAAAEAAQA9QAAAIUDAAAAAA==&#10;" path="m,l,235e" filled="f" strokeweight="1.0487mm">
                  <v:path arrowok="t" o:connecttype="custom" o:connectlocs="0,0;0,235" o:connectangles="0,0"/>
                </v:shape>
                <v:shape id="Freeform 243" o:spid="_x0000_s1061" style="position:absolute;left:7124;top:2442;width:20;height:371;visibility:visible;mso-wrap-style:square;v-text-anchor:top" coordsize="20,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l2ncQA&#10;AADcAAAADwAAAGRycy9kb3ducmV2LnhtbESPQWvCQBSE74X+h+UVequbCC0aXaWUlvakNAbPj+wz&#10;G82+DdlXTf99VxB6HGbmG2a5Hn2nzjTENrCBfJKBIq6DbbkxUO0+nmagoiBb7AKTgV+KsF7d3y2x&#10;sOHC33QupVEJwrFAA06kL7SOtSOPcRJ64uQdwuBRkhwabQe8JLjv9DTLXrTHltOCw57eHNWn8scb&#10;eK+OWxm3e9rkm095Luez6KramMeH8XUBSmiU//Ct/WUNTPM5XM+kI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Zdp3EAAAA3AAAAA8AAAAAAAAAAAAAAAAAmAIAAGRycy9k&#10;b3ducmV2LnhtbFBLBQYAAAAABAAEAPUAAACJAwAAAAA=&#10;" path="m,l,370e" filled="f" strokeweight="1.57308mm">
                  <v:path arrowok="t" o:connecttype="custom" o:connectlocs="0,0;0,370" o:connectangles="0,0"/>
                </v:shape>
                <v:shape id="Freeform 244" o:spid="_x0000_s1062" style="position:absolute;left:6991;top:2813;width:89;height:20;visibility:visible;mso-wrap-style:square;v-text-anchor:top" coordsize="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iCsQA&#10;AADcAAAADwAAAGRycy9kb3ducmV2LnhtbERPy2rCQBTdF/oPwy10U3RiCq1EJ1IEoTZgqXXj7pK5&#10;TUIyd0Jm8tCvdxZCl4fzXm8m04iBOldZVrCYRyCIc6srLhScfnezJQjnkTU2lknBhRxs0seHNSba&#10;jvxDw9EXIoSwS1BB6X2bSOnykgy6uW2JA/dnO4M+wK6QusMxhJtGxlH0Jg1WHBpKbGlbUl4fe6Ng&#10;LxffX2Ta90N97quX7Lp8zYpcqeen6WMFwtPk/8V396dWEMdhfjgTjoB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CIgrEAAAA3AAAAA8AAAAAAAAAAAAAAAAAmAIAAGRycy9k&#10;b3ducmV2LnhtbFBLBQYAAAAABAAEAPUAAACJAwAAAAA=&#10;" path="m89,l,e" filled="f" strokeweight=".29739mm">
                  <v:path arrowok="t" o:connecttype="custom" o:connectlocs="89,0;0,0" o:connectangles="0,0"/>
                </v:shape>
                <v:shape id="Freeform 245" o:spid="_x0000_s1063" style="position:absolute;left:7615;top:1112;width:148;height:185;visibility:visible;mso-wrap-style:square;v-text-anchor:top" coordsize="148,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DFGsQA&#10;AADcAAAADwAAAGRycy9kb3ducmV2LnhtbESP0WqDQBRE3wP9h+UW8pasWihiXUMihBQqNE3zARf3&#10;ViXuXXE30fx9t1DI4zAzZ5h8M5te3Gh0nWUF8ToCQVxb3XGj4Py9X6UgnEfW2FsmBXdysCmeFjlm&#10;2k78RbeTb0SAsMtQQev9kEnp6pYMurUdiIP3Y0eDPsixkXrEKcBNL5MoepUGOw4LLQ5UtlRfTlej&#10;oDrsXqr0ao+fH9ynZ24uJblIqeXzvH0D4Wn2j/B/+10rSJIY/s6EI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AxRrEAAAA3AAAAA8AAAAAAAAAAAAAAAAAmAIAAGRycy9k&#10;b3ducmV2LnhtbFBLBQYAAAAABAAEAPUAAACJAwAAAAA=&#10;" path="m148,185l,e" filled="f" strokeweight=".27611mm">
                  <v:path arrowok="t" o:connecttype="custom" o:connectlocs="148,185;0,0" o:connectangles="0,0"/>
                </v:shape>
                <v:shape id="Freeform 246" o:spid="_x0000_s1064" style="position:absolute;left:7526;top:1112;width:89;height:20;visibility:visible;mso-wrap-style:square;v-text-anchor:top" coordsize="8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wZ5sUA&#10;AADcAAAADwAAAGRycy9kb3ducmV2LnhtbESPQYvCMBSE74L/ITxhL7KmVnClaxQRBFdB2a4Xb4/m&#10;bVtsXkoTtfrrjSB4HGbmG2Y6b00lLtS40rKC4SACQZxZXXKu4PC3+pyAcB5ZY2WZFNzIwXzW7Uwx&#10;0fbKv3RJfS4ChF2CCgrv60RKlxVk0A1sTRy8f9sY9EE2udQNXgPcVDKOorE0WHJYKLCmZUHZKT0b&#10;BT9yuN+Qqb92p+O57G/vk9E2z5T66LWLbxCeWv8Ov9prrSCOY3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nBnmxQAAANwAAAAPAAAAAAAAAAAAAAAAAJgCAABkcnMv&#10;ZG93bnJldi54bWxQSwUGAAAAAAQABAD1AAAAigMAAAAA&#10;" path="m89,l,e" filled="f" strokeweight=".29739mm">
                  <v:path arrowok="t" o:connecttype="custom" o:connectlocs="89,0;0,0" o:connectangles="0,0"/>
                </v:shape>
                <v:shape id="Freeform 247" o:spid="_x0000_s1065" style="position:absolute;left:8090;top:1095;width:20;height:168;visibility:visible;mso-wrap-style:square;v-text-anchor:top" coordsize="20,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Q9bsYA&#10;AADcAAAADwAAAGRycy9kb3ducmV2LnhtbESPT2vCQBTE74V+h+UVvNVNI0iJboIW/HOQgrZQvT12&#10;n0kw+zZk1xj76buFQo/DzPyGmReDbURPna8dK3gZJyCItTM1lwo+P1bPryB8QDbYOCYFd/JQ5I8P&#10;c8yMu/Ge+kMoRYSwz1BBFUKbSel1RRb92LXE0Tu7zmKIsiul6fAW4baRaZJMpcWa40KFLb1VpC+H&#10;q1Vg1/5r6PX3cT+R+r1eri6b0y5RavQ0LGYgAg3hP/zX3hoFaTqB3zPxCMj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Q9bsYAAADcAAAADwAAAAAAAAAAAAAAAACYAgAAZHJz&#10;L2Rvd25yZXYueG1sUEsFBgAAAAAEAAQA9QAAAIsDAAAAAA==&#10;" path="m,l,168e" filled="f" strokeweight=".26242mm">
                  <v:path arrowok="t" o:connecttype="custom" o:connectlocs="0,0;0,168" o:connectangles="0,0"/>
                </v:shape>
                <v:rect id="Rectangle 248" o:spid="_x0000_s1066" style="position:absolute;left:10105;top:1053;width:118;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Jl8cA&#10;AADcAAAADwAAAGRycy9kb3ducmV2LnhtbESP3UoDMRSE7wXfIRyhN9JmXUsp26ZFl2qlRUt/HuCw&#10;Od0sbk6WJLbr2xtB8HKYmW+Y+bK3rbiQD41jBQ+jDARx5XTDtYLT8WU4BREissbWMSn4pgDLxe3N&#10;HAvtrrynyyHWIkE4FKjAxNgVUobKkMUwch1x8s7OW4xJ+lpqj9cEt63Ms2wiLTacFgx2VBqqPg9f&#10;VkG78a9ejlfP5ce2PJnd/fr9vH5UanDXP81AROrjf/iv/aYV5PkYfs+k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jyZfHAAAA3AAAAA8AAAAAAAAAAAAAAAAAmAIAAGRy&#10;cy9kb3ducmV2LnhtbFBLBQYAAAAABAAEAPUAAACMAwAAAAA=&#10;" fillcolor="#4f81bc" stroked="f">
                  <v:path arrowok="t"/>
                </v:rect>
                <v:rect id="Rectangle 249" o:spid="_x0000_s1067" style="position:absolute;left:10105;top:1423;width:118;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BTl8QA&#10;AADcAAAADwAAAGRycy9kb3ducmV2LnhtbESP3YrCMBSE7wXfIRzBuzW14F/XKCq4iCiyug9wtjm2&#10;xeakNlmtb2+EBS+HmfmGmc4bU4ob1a6wrKDfi0AQp1YXnCn4Oa0/xiCcR9ZYWiYFD3Iwn7VbU0y0&#10;vfM33Y4+EwHCLkEFufdVIqVLczLoerYiDt7Z1gZ9kHUmdY33ADeljKNoKA0WHBZyrGiVU3o5/plA&#10;yfq4tHZ0+tr8LnfXbbQfTg4TpbqdZvEJwlPj3+H/9kYriOMBvM6EI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U5fEAAAA3AAAAA8AAAAAAAAAAAAAAAAAmAIAAGRycy9k&#10;b3ducmV2LnhtbFBLBQYAAAAABAAEAPUAAACJAwAAAAA=&#10;" fillcolor="#c0504d" stroked="f">
                  <v:path arrowok="t"/>
                </v:rect>
                <v:rect id="Rectangle 250" o:spid="_x0000_s1068" style="position:absolute;left:10105;top:1794;width:118;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26AcQA&#10;AADcAAAADwAAAGRycy9kb3ducmV2LnhtbESP3WrCQBSE7wt9h+UI3pRmY6BBohsRS6E3Evx5gNPs&#10;MQlmz4bsxsS3d4WCl8PMfMOsN5NpxY1611hWsIhiEMSl1Q1XCs6nn88lCOeRNbaWScGdHGzy97c1&#10;ZtqOfKDb0VciQNhlqKD2vsukdGVNBl1kO+LgXWxv0AfZV1L3OAa4aWUSx6k02HBYqLGjXU3l9TgY&#10;BXt73y2+hj8vaUyKD11svwc3KjWfTdsVCE+Tf4X/279aQZKk8DwTjoD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dugHEAAAA3AAAAA8AAAAAAAAAAAAAAAAAmAIAAGRycy9k&#10;b3ducmV2LnhtbFBLBQYAAAAABAAEAPUAAACJAwAAAAA=&#10;" fillcolor="#9bba58" stroked="f">
                  <v:path arrowok="t"/>
                </v:rect>
                <v:rect id="Rectangle 251" o:spid="_x0000_s1069" style="position:absolute;left:10105;top:2164;width:118;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wx1MYA&#10;AADcAAAADwAAAGRycy9kb3ducmV2LnhtbESPQWvCQBSE7wX/w/KE3urGHGyIrqJCUWgvtUHx9sg+&#10;k5Ds2zS7Jml/fbdQ6HGYmW+Y1WY0jeipc5VlBfNZBII4t7riQkH28fKUgHAeWWNjmRR8kYPNevKw&#10;wlTbgd+pP/lCBAi7FBWU3replC4vyaCb2ZY4eDfbGfRBdoXUHQ4BbhoZR9FCGqw4LJTY0r6kvD7d&#10;jYLzd62zz6QeZH+9ZodLk7zu8jelHqfjdgnC0+j/w3/to1YQx8/weyYc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wx1MYAAADcAAAADwAAAAAAAAAAAAAAAACYAgAAZHJz&#10;L2Rvd25yZXYueG1sUEsFBgAAAAAEAAQA9QAAAIsDAAAAAA==&#10;" fillcolor="#8063a1" stroked="f">
                  <v:path arrowok="t"/>
                </v:rect>
                <v:rect id="Rectangle 252" o:spid="_x0000_s1070" style="position:absolute;left:10105;top:2535;width:118;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i74A&#10;AADcAAAADwAAAGRycy9kb3ducmV2LnhtbERPTWvCQBC9F/wPywi91U1ykBJdRQUhPWoFr2N2TKLZ&#10;2ZAdk/Tfdw+FHh/ve72dXKsG6kPj2UC6SEARl942XBm4fB8/PkEFQbbYeiYDPxRgu5m9rTG3fuQT&#10;DWepVAzhkKOBWqTLtQ5lTQ7DwnfEkbv73qFE2Ffa9jjGcNfqLEmW2mHDsaHGjg41lc/zyxkQpsd+&#10;EDqmzXi9cZp+HYqiM+Z9Pu1WoIQm+Rf/uQtrIMvi2ngmHgG9+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0hPou+AAAA3AAAAA8AAAAAAAAAAAAAAAAAmAIAAGRycy9kb3ducmV2&#10;LnhtbFBLBQYAAAAABAAEAPUAAACDAwAAAAA=&#10;" fillcolor="#4aacc5" stroked="f">
                  <v:path arrowok="t"/>
                </v:rect>
                <v:rect id="Rectangle 253" o:spid="_x0000_s1071" style="position:absolute;left:6545;top:202;width:4756;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aM1sQA&#10;AADcAAAADwAAAGRycy9kb3ducmV2LnhtbESP0WrCQBRE3wv9h+UWfKsbA7U2uooEClLwwcQPuGZv&#10;k2D2bthdY/Tru4LQx2FmzjCrzWg6MZDzrWUFs2kCgriyuuVawbH8fl+A8AFZY2eZFNzIw2b9+rLC&#10;TNsrH2goQi0ihH2GCpoQ+kxKXzVk0E9tTxy9X+sMhihdLbXDa4SbTqZJMpcGW44LDfaUN1Sdi4tR&#10;8HEqzYyHU3Fv5/3uU7rbPv/JlZq8jdsliEBj+A8/2zutIE2/4HE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mjNbEAAAA3AAAAA8AAAAAAAAAAAAAAAAAmAIAAGRycy9k&#10;b3ducmV2LnhtbFBLBQYAAAAABAAEAPUAAACJAwAAAAA=&#10;" filled="f" strokecolor="#858585" strokeweight=".28858mm">
                  <v:path arrowok="t"/>
                </v:rect>
                <w10:wrap anchorx="page"/>
              </v:group>
            </w:pict>
          </mc:Fallback>
        </mc:AlternateContent>
      </w:r>
      <w:r>
        <w:rPr>
          <w:color w:val="000000"/>
          <w:position w:val="-1"/>
        </w:rPr>
        <w:t>p</w:t>
      </w:r>
      <w:r>
        <w:rPr>
          <w:color w:val="000000"/>
          <w:spacing w:val="2"/>
          <w:position w:val="-1"/>
        </w:rPr>
        <w:t>s</w:t>
      </w:r>
      <w:r>
        <w:rPr>
          <w:color w:val="000000"/>
          <w:spacing w:val="-4"/>
          <w:position w:val="-1"/>
        </w:rPr>
        <w:t>i</w:t>
      </w:r>
      <w:r>
        <w:rPr>
          <w:color w:val="000000"/>
          <w:spacing w:val="4"/>
          <w:position w:val="-1"/>
        </w:rPr>
        <w:t>c</w:t>
      </w:r>
      <w:r>
        <w:rPr>
          <w:color w:val="000000"/>
          <w:spacing w:val="-5"/>
          <w:position w:val="-1"/>
        </w:rPr>
        <w:t>h</w:t>
      </w:r>
      <w:r>
        <w:rPr>
          <w:color w:val="000000"/>
          <w:position w:val="-1"/>
        </w:rPr>
        <w:t>o</w:t>
      </w:r>
      <w:r>
        <w:rPr>
          <w:color w:val="000000"/>
          <w:spacing w:val="5"/>
          <w:position w:val="-1"/>
        </w:rPr>
        <w:t>t</w:t>
      </w:r>
      <w:r>
        <w:rPr>
          <w:color w:val="000000"/>
          <w:spacing w:val="-3"/>
          <w:position w:val="-1"/>
        </w:rPr>
        <w:t>r</w:t>
      </w:r>
      <w:r>
        <w:rPr>
          <w:color w:val="000000"/>
          <w:spacing w:val="5"/>
          <w:position w:val="-1"/>
        </w:rPr>
        <w:t>o</w:t>
      </w:r>
      <w:r>
        <w:rPr>
          <w:color w:val="000000"/>
          <w:position w:val="-1"/>
        </w:rPr>
        <w:t>p</w:t>
      </w:r>
      <w:r>
        <w:rPr>
          <w:color w:val="000000"/>
          <w:spacing w:val="-4"/>
          <w:position w:val="-1"/>
        </w:rPr>
        <w:t>i</w:t>
      </w:r>
      <w:r>
        <w:rPr>
          <w:color w:val="000000"/>
          <w:position w:val="-1"/>
        </w:rPr>
        <w:t>n</w:t>
      </w:r>
      <w:r>
        <w:rPr>
          <w:color w:val="000000"/>
          <w:spacing w:val="-4"/>
          <w:position w:val="-1"/>
        </w:rPr>
        <w:t>i</w:t>
      </w:r>
      <w:r>
        <w:rPr>
          <w:color w:val="000000"/>
          <w:position w:val="-1"/>
        </w:rPr>
        <w:t>ų</w:t>
      </w:r>
      <w:r>
        <w:rPr>
          <w:color w:val="000000"/>
          <w:spacing w:val="41"/>
          <w:position w:val="-1"/>
        </w:rPr>
        <w:t xml:space="preserve"> </w:t>
      </w:r>
      <w:r>
        <w:rPr>
          <w:color w:val="000000"/>
          <w:spacing w:val="-4"/>
          <w:position w:val="-1"/>
        </w:rPr>
        <w:t>m</w:t>
      </w:r>
      <w:r>
        <w:rPr>
          <w:color w:val="000000"/>
          <w:spacing w:val="-1"/>
          <w:position w:val="-1"/>
        </w:rPr>
        <w:t>e</w:t>
      </w:r>
      <w:r>
        <w:rPr>
          <w:color w:val="000000"/>
          <w:position w:val="-1"/>
        </w:rPr>
        <w:t>d</w:t>
      </w:r>
      <w:r>
        <w:rPr>
          <w:color w:val="000000"/>
          <w:spacing w:val="4"/>
          <w:position w:val="-1"/>
        </w:rPr>
        <w:t>ž</w:t>
      </w:r>
      <w:r>
        <w:rPr>
          <w:color w:val="000000"/>
          <w:spacing w:val="-4"/>
          <w:position w:val="-1"/>
        </w:rPr>
        <w:t>i</w:t>
      </w:r>
      <w:r>
        <w:rPr>
          <w:color w:val="000000"/>
          <w:spacing w:val="-1"/>
          <w:position w:val="-1"/>
        </w:rPr>
        <w:t>a</w:t>
      </w:r>
      <w:r>
        <w:rPr>
          <w:color w:val="000000"/>
          <w:position w:val="-1"/>
        </w:rPr>
        <w:t>gų</w:t>
      </w:r>
      <w:r>
        <w:rPr>
          <w:color w:val="000000"/>
          <w:spacing w:val="36"/>
          <w:position w:val="-1"/>
        </w:rPr>
        <w:t xml:space="preserve"> </w:t>
      </w:r>
      <w:r>
        <w:rPr>
          <w:color w:val="000000"/>
          <w:spacing w:val="5"/>
          <w:position w:val="-1"/>
        </w:rPr>
        <w:t>k</w:t>
      </w:r>
      <w:r>
        <w:rPr>
          <w:color w:val="000000"/>
          <w:spacing w:val="-4"/>
          <w:position w:val="-1"/>
        </w:rPr>
        <w:t>i</w:t>
      </w:r>
      <w:r>
        <w:rPr>
          <w:color w:val="000000"/>
          <w:spacing w:val="-1"/>
          <w:position w:val="-1"/>
        </w:rPr>
        <w:t>e</w:t>
      </w:r>
      <w:r>
        <w:rPr>
          <w:color w:val="000000"/>
          <w:spacing w:val="5"/>
          <w:position w:val="-1"/>
        </w:rPr>
        <w:t>k</w:t>
      </w:r>
      <w:r>
        <w:rPr>
          <w:color w:val="000000"/>
          <w:spacing w:val="-4"/>
          <w:position w:val="-1"/>
        </w:rPr>
        <w:t>i</w:t>
      </w:r>
      <w:r>
        <w:rPr>
          <w:color w:val="000000"/>
          <w:position w:val="-1"/>
        </w:rPr>
        <w:t>u</w:t>
      </w:r>
      <w:r>
        <w:rPr>
          <w:color w:val="000000"/>
          <w:spacing w:val="1"/>
          <w:position w:val="-1"/>
        </w:rPr>
        <w:t>)</w:t>
      </w:r>
      <w:r>
        <w:rPr>
          <w:color w:val="000000"/>
          <w:position w:val="-1"/>
        </w:rPr>
        <w:t>,</w:t>
      </w:r>
      <w:r>
        <w:rPr>
          <w:color w:val="000000"/>
          <w:spacing w:val="38"/>
          <w:position w:val="-1"/>
        </w:rPr>
        <w:t xml:space="preserve"> </w:t>
      </w:r>
      <w:r>
        <w:rPr>
          <w:color w:val="000000"/>
          <w:position w:val="-1"/>
        </w:rPr>
        <w:t>o</w:t>
      </w:r>
      <w:r>
        <w:rPr>
          <w:color w:val="000000"/>
          <w:spacing w:val="40"/>
          <w:position w:val="-1"/>
        </w:rPr>
        <w:t xml:space="preserve"> </w:t>
      </w:r>
      <w:r>
        <w:rPr>
          <w:color w:val="000000"/>
          <w:position w:val="-1"/>
        </w:rPr>
        <w:t>d</w:t>
      </w:r>
      <w:r>
        <w:rPr>
          <w:color w:val="000000"/>
          <w:spacing w:val="-9"/>
          <w:position w:val="-1"/>
        </w:rPr>
        <w:t>i</w:t>
      </w:r>
      <w:r>
        <w:rPr>
          <w:color w:val="000000"/>
          <w:position w:val="-1"/>
        </w:rPr>
        <w:t>d</w:t>
      </w:r>
      <w:r>
        <w:rPr>
          <w:color w:val="000000"/>
          <w:spacing w:val="4"/>
          <w:position w:val="-1"/>
        </w:rPr>
        <w:t>ž</w:t>
      </w:r>
      <w:r>
        <w:rPr>
          <w:color w:val="000000"/>
          <w:spacing w:val="-4"/>
          <w:position w:val="-1"/>
        </w:rPr>
        <w:t>i</w:t>
      </w:r>
      <w:r>
        <w:rPr>
          <w:color w:val="000000"/>
          <w:spacing w:val="-1"/>
          <w:position w:val="-1"/>
        </w:rPr>
        <w:t>a</w:t>
      </w:r>
      <w:r>
        <w:rPr>
          <w:color w:val="000000"/>
          <w:spacing w:val="5"/>
          <w:position w:val="-1"/>
        </w:rPr>
        <w:t>u</w:t>
      </w:r>
      <w:r>
        <w:rPr>
          <w:color w:val="000000"/>
          <w:spacing w:val="2"/>
          <w:position w:val="-1"/>
        </w:rPr>
        <w:t>s</w:t>
      </w:r>
      <w:r>
        <w:rPr>
          <w:color w:val="000000"/>
          <w:spacing w:val="-4"/>
          <w:position w:val="-1"/>
        </w:rPr>
        <w:t>i</w:t>
      </w:r>
      <w:r>
        <w:rPr>
          <w:color w:val="000000"/>
          <w:spacing w:val="-1"/>
          <w:position w:val="-1"/>
        </w:rPr>
        <w:t>a</w:t>
      </w:r>
      <w:r>
        <w:rPr>
          <w:color w:val="000000"/>
          <w:position w:val="-1"/>
        </w:rPr>
        <w:t>s</w:t>
      </w:r>
    </w:p>
    <w:p w:rsidR="004F7425" w:rsidRDefault="004F7425" w:rsidP="004F7425">
      <w:pPr>
        <w:widowControl w:val="0"/>
        <w:autoSpaceDE w:val="0"/>
        <w:autoSpaceDN w:val="0"/>
        <w:adjustRightInd w:val="0"/>
        <w:spacing w:before="41" w:line="271" w:lineRule="exact"/>
        <w:ind w:left="280" w:right="-20"/>
        <w:rPr>
          <w:color w:val="000000"/>
        </w:rPr>
        <w:sectPr w:rsidR="004F7425">
          <w:pgSz w:w="11920" w:h="16840"/>
          <w:pgMar w:top="960" w:right="460" w:bottom="280" w:left="1420" w:header="734" w:footer="0" w:gutter="0"/>
          <w:cols w:space="1296" w:equalWidth="0">
            <w:col w:w="10040"/>
          </w:cols>
          <w:noEndnote/>
        </w:sectPr>
      </w:pPr>
    </w:p>
    <w:p w:rsidR="004F7425" w:rsidRDefault="004F7425" w:rsidP="004F7425">
      <w:pPr>
        <w:widowControl w:val="0"/>
        <w:autoSpaceDE w:val="0"/>
        <w:autoSpaceDN w:val="0"/>
        <w:adjustRightInd w:val="0"/>
        <w:spacing w:before="12" w:line="310" w:lineRule="atLeast"/>
        <w:ind w:left="280" w:right="-61"/>
        <w:rPr>
          <w:color w:val="000000"/>
        </w:rPr>
      </w:pPr>
      <w:r>
        <w:rPr>
          <w:color w:val="000000"/>
          <w:spacing w:val="-4"/>
        </w:rPr>
        <w:lastRenderedPageBreak/>
        <w:t>i</w:t>
      </w:r>
      <w:r>
        <w:rPr>
          <w:color w:val="000000"/>
          <w:spacing w:val="2"/>
        </w:rPr>
        <w:t>š</w:t>
      </w:r>
      <w:r>
        <w:rPr>
          <w:color w:val="000000"/>
        </w:rPr>
        <w:t>i</w:t>
      </w:r>
      <w:r>
        <w:rPr>
          <w:color w:val="000000"/>
          <w:spacing w:val="-9"/>
        </w:rPr>
        <w:t>m</w:t>
      </w:r>
      <w:r>
        <w:rPr>
          <w:color w:val="000000"/>
          <w:spacing w:val="5"/>
        </w:rPr>
        <w:t>t</w:t>
      </w:r>
      <w:r>
        <w:rPr>
          <w:color w:val="000000"/>
          <w:spacing w:val="4"/>
        </w:rPr>
        <w:t>a</w:t>
      </w:r>
      <w:r>
        <w:rPr>
          <w:color w:val="000000"/>
        </w:rPr>
        <w:t>s</w:t>
      </w:r>
      <w:r>
        <w:rPr>
          <w:color w:val="000000"/>
          <w:spacing w:val="5"/>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w:t>
      </w:r>
      <w:r>
        <w:rPr>
          <w:color w:val="000000"/>
          <w:spacing w:val="7"/>
        </w:rPr>
        <w:t xml:space="preserve"> </w:t>
      </w:r>
      <w:r>
        <w:rPr>
          <w:color w:val="000000"/>
          <w:spacing w:val="5"/>
        </w:rPr>
        <w:t>k</w:t>
      </w:r>
      <w:r>
        <w:rPr>
          <w:color w:val="000000"/>
          <w:spacing w:val="-9"/>
        </w:rPr>
        <w:t>i</w:t>
      </w:r>
      <w:r>
        <w:rPr>
          <w:color w:val="000000"/>
          <w:spacing w:val="-1"/>
        </w:rPr>
        <w:t>e</w:t>
      </w:r>
      <w:r>
        <w:rPr>
          <w:color w:val="000000"/>
          <w:spacing w:val="5"/>
        </w:rPr>
        <w:t>k</w:t>
      </w:r>
      <w:r>
        <w:rPr>
          <w:color w:val="000000"/>
          <w:spacing w:val="-4"/>
        </w:rPr>
        <w:t>i</w:t>
      </w:r>
      <w:r>
        <w:rPr>
          <w:color w:val="000000"/>
        </w:rPr>
        <w:t>s</w:t>
      </w:r>
      <w:r>
        <w:rPr>
          <w:color w:val="000000"/>
          <w:spacing w:val="8"/>
        </w:rPr>
        <w:t xml:space="preserve"> </w:t>
      </w:r>
      <w:r>
        <w:rPr>
          <w:color w:val="000000"/>
        </w:rPr>
        <w:t>–</w:t>
      </w:r>
      <w:r>
        <w:rPr>
          <w:color w:val="000000"/>
          <w:spacing w:val="7"/>
        </w:rPr>
        <w:t xml:space="preserve"> </w:t>
      </w:r>
      <w:r>
        <w:rPr>
          <w:color w:val="000000"/>
        </w:rPr>
        <w:t>150</w:t>
      </w:r>
      <w:r>
        <w:rPr>
          <w:color w:val="000000"/>
          <w:spacing w:val="2"/>
        </w:rPr>
        <w:t xml:space="preserve"> </w:t>
      </w:r>
      <w:r>
        <w:rPr>
          <w:color w:val="000000"/>
        </w:rPr>
        <w:t>g</w:t>
      </w:r>
      <w:r>
        <w:rPr>
          <w:color w:val="000000"/>
          <w:spacing w:val="1"/>
        </w:rPr>
        <w:t>r</w:t>
      </w:r>
      <w:r>
        <w:rPr>
          <w:color w:val="000000"/>
          <w:spacing w:val="4"/>
        </w:rPr>
        <w:t>a</w:t>
      </w:r>
      <w:r>
        <w:rPr>
          <w:color w:val="000000"/>
          <w:spacing w:val="-4"/>
        </w:rPr>
        <w:t>m</w:t>
      </w:r>
      <w:r>
        <w:rPr>
          <w:color w:val="000000"/>
        </w:rPr>
        <w:t>ų.</w:t>
      </w:r>
      <w:r>
        <w:rPr>
          <w:color w:val="000000"/>
          <w:spacing w:val="4"/>
        </w:rPr>
        <w:t xml:space="preserve"> </w:t>
      </w:r>
      <w:r>
        <w:rPr>
          <w:color w:val="000000"/>
          <w:spacing w:val="2"/>
        </w:rPr>
        <w:t>M</w:t>
      </w:r>
      <w:r>
        <w:rPr>
          <w:color w:val="000000"/>
          <w:spacing w:val="4"/>
        </w:rPr>
        <w:t>a</w:t>
      </w:r>
      <w:r>
        <w:rPr>
          <w:color w:val="000000"/>
        </w:rPr>
        <w:t>n</w:t>
      </w:r>
      <w:r>
        <w:rPr>
          <w:color w:val="000000"/>
          <w:spacing w:val="-10"/>
        </w:rPr>
        <w:t>y</w:t>
      </w:r>
      <w:r>
        <w:rPr>
          <w:color w:val="000000"/>
          <w:spacing w:val="5"/>
        </w:rPr>
        <w:t>tu</w:t>
      </w:r>
      <w:r>
        <w:rPr>
          <w:color w:val="000000"/>
          <w:spacing w:val="-4"/>
        </w:rPr>
        <w:t>m</w:t>
      </w:r>
      <w:r>
        <w:rPr>
          <w:color w:val="000000"/>
          <w:spacing w:val="-1"/>
        </w:rPr>
        <w:t>e</w:t>
      </w:r>
      <w:r>
        <w:rPr>
          <w:color w:val="000000"/>
        </w:rPr>
        <w:t>, k</w:t>
      </w:r>
      <w:r>
        <w:rPr>
          <w:color w:val="000000"/>
          <w:spacing w:val="-1"/>
        </w:rPr>
        <w:t>a</w:t>
      </w:r>
      <w:r>
        <w:rPr>
          <w:color w:val="000000"/>
        </w:rPr>
        <w:t xml:space="preserve">d </w:t>
      </w:r>
      <w:r>
        <w:rPr>
          <w:color w:val="000000"/>
          <w:spacing w:val="9"/>
        </w:rPr>
        <w:t xml:space="preserve"> </w:t>
      </w:r>
      <w:r>
        <w:rPr>
          <w:color w:val="000000"/>
          <w:spacing w:val="-9"/>
        </w:rPr>
        <w:t>m</w:t>
      </w:r>
      <w:r>
        <w:rPr>
          <w:color w:val="000000"/>
        </w:rPr>
        <w:t>ū</w:t>
      </w:r>
      <w:r>
        <w:rPr>
          <w:color w:val="000000"/>
          <w:spacing w:val="-2"/>
        </w:rPr>
        <w:t>s</w:t>
      </w:r>
      <w:r>
        <w:rPr>
          <w:color w:val="000000"/>
        </w:rPr>
        <w:t xml:space="preserve">ų </w:t>
      </w:r>
      <w:r>
        <w:rPr>
          <w:color w:val="000000"/>
          <w:spacing w:val="9"/>
        </w:rPr>
        <w:t xml:space="preserve"> </w:t>
      </w:r>
      <w:r>
        <w:rPr>
          <w:color w:val="000000"/>
          <w:spacing w:val="-2"/>
        </w:rPr>
        <w:t>š</w:t>
      </w:r>
      <w:r>
        <w:rPr>
          <w:color w:val="000000"/>
          <w:spacing w:val="4"/>
        </w:rPr>
        <w:t>a</w:t>
      </w:r>
      <w:r>
        <w:rPr>
          <w:color w:val="000000"/>
        </w:rPr>
        <w:t>ly</w:t>
      </w:r>
      <w:r>
        <w:rPr>
          <w:color w:val="000000"/>
          <w:spacing w:val="-4"/>
        </w:rPr>
        <w:t>j</w:t>
      </w:r>
      <w:r>
        <w:rPr>
          <w:color w:val="000000"/>
        </w:rPr>
        <w:t xml:space="preserve">e </w:t>
      </w:r>
      <w:r>
        <w:rPr>
          <w:color w:val="000000"/>
          <w:spacing w:val="8"/>
        </w:rPr>
        <w:t xml:space="preserve"> </w:t>
      </w:r>
      <w:r>
        <w:rPr>
          <w:color w:val="000000"/>
          <w:spacing w:val="-5"/>
        </w:rPr>
        <w:t>y</w:t>
      </w:r>
      <w:r>
        <w:rPr>
          <w:color w:val="000000"/>
          <w:spacing w:val="1"/>
        </w:rPr>
        <w:t>r</w:t>
      </w:r>
      <w:r>
        <w:rPr>
          <w:color w:val="000000"/>
        </w:rPr>
        <w:t xml:space="preserve">a </w:t>
      </w:r>
      <w:r>
        <w:rPr>
          <w:color w:val="000000"/>
          <w:spacing w:val="4"/>
        </w:rPr>
        <w:t xml:space="preserve"> </w:t>
      </w:r>
      <w:r>
        <w:rPr>
          <w:color w:val="000000"/>
          <w:spacing w:val="-2"/>
        </w:rPr>
        <w:t>s</w:t>
      </w:r>
      <w:r>
        <w:rPr>
          <w:color w:val="000000"/>
          <w:spacing w:val="5"/>
        </w:rPr>
        <w:t>u</w:t>
      </w:r>
      <w:r>
        <w:rPr>
          <w:color w:val="000000"/>
          <w:spacing w:val="2"/>
        </w:rPr>
        <w:t>s</w:t>
      </w:r>
      <w:r>
        <w:rPr>
          <w:color w:val="000000"/>
          <w:spacing w:val="-4"/>
        </w:rPr>
        <w:t>i</w:t>
      </w:r>
      <w:r>
        <w:rPr>
          <w:color w:val="000000"/>
          <w:spacing w:val="-8"/>
        </w:rPr>
        <w:t>f</w:t>
      </w:r>
      <w:r>
        <w:rPr>
          <w:color w:val="000000"/>
          <w:spacing w:val="5"/>
        </w:rPr>
        <w:t>o</w:t>
      </w:r>
      <w:r>
        <w:rPr>
          <w:color w:val="000000"/>
          <w:spacing w:val="6"/>
        </w:rPr>
        <w:t>r</w:t>
      </w:r>
      <w:r>
        <w:rPr>
          <w:color w:val="000000"/>
          <w:spacing w:val="-4"/>
        </w:rPr>
        <w:t>m</w:t>
      </w:r>
      <w:r>
        <w:rPr>
          <w:color w:val="000000"/>
          <w:spacing w:val="4"/>
        </w:rPr>
        <w:t>a</w:t>
      </w:r>
      <w:r>
        <w:rPr>
          <w:color w:val="000000"/>
          <w:spacing w:val="-5"/>
        </w:rPr>
        <w:t>v</w:t>
      </w:r>
      <w:r>
        <w:rPr>
          <w:color w:val="000000"/>
        </w:rPr>
        <w:t>u</w:t>
      </w:r>
      <w:r>
        <w:rPr>
          <w:color w:val="000000"/>
          <w:spacing w:val="2"/>
        </w:rPr>
        <w:t>s</w:t>
      </w:r>
      <w:r>
        <w:rPr>
          <w:color w:val="000000"/>
        </w:rPr>
        <w:t xml:space="preserve">i  </w:t>
      </w:r>
      <w:r>
        <w:rPr>
          <w:color w:val="000000"/>
          <w:spacing w:val="5"/>
        </w:rPr>
        <w:t>t</w:t>
      </w:r>
      <w:r>
        <w:rPr>
          <w:color w:val="000000"/>
          <w:spacing w:val="4"/>
        </w:rPr>
        <w:t>a</w:t>
      </w:r>
      <w:r>
        <w:rPr>
          <w:color w:val="000000"/>
        </w:rPr>
        <w:t>m</w:t>
      </w:r>
      <w:r>
        <w:rPr>
          <w:color w:val="000000"/>
          <w:spacing w:val="55"/>
        </w:rPr>
        <w:t xml:space="preserve"> </w:t>
      </w:r>
      <w:r>
        <w:rPr>
          <w:color w:val="000000"/>
          <w:spacing w:val="10"/>
        </w:rPr>
        <w:t>t</w:t>
      </w:r>
      <w:r>
        <w:rPr>
          <w:color w:val="000000"/>
          <w:spacing w:val="-9"/>
        </w:rPr>
        <w:t>i</w:t>
      </w:r>
      <w:r>
        <w:rPr>
          <w:color w:val="000000"/>
        </w:rPr>
        <w:t>k</w:t>
      </w:r>
      <w:r>
        <w:rPr>
          <w:color w:val="000000"/>
          <w:spacing w:val="1"/>
        </w:rPr>
        <w:t>r</w:t>
      </w:r>
      <w:r>
        <w:rPr>
          <w:color w:val="000000"/>
        </w:rPr>
        <w:t>a</w:t>
      </w:r>
    </w:p>
    <w:p w:rsidR="004F7425" w:rsidRDefault="004F7425" w:rsidP="004F7425">
      <w:pPr>
        <w:widowControl w:val="0"/>
        <w:autoSpaceDE w:val="0"/>
        <w:autoSpaceDN w:val="0"/>
        <w:adjustRightInd w:val="0"/>
        <w:spacing w:before="44"/>
        <w:ind w:right="-20"/>
        <w:rPr>
          <w:color w:val="000000"/>
          <w:sz w:val="32"/>
          <w:szCs w:val="32"/>
        </w:rPr>
      </w:pPr>
      <w:r>
        <w:rPr>
          <w:color w:val="000000"/>
        </w:rPr>
        <w:br w:type="column"/>
      </w:r>
      <w:r>
        <w:rPr>
          <w:b/>
          <w:bCs/>
          <w:color w:val="974707"/>
          <w:spacing w:val="-5"/>
          <w:w w:val="88"/>
          <w:sz w:val="32"/>
          <w:szCs w:val="32"/>
        </w:rPr>
        <w:lastRenderedPageBreak/>
        <w:t>Iš</w:t>
      </w:r>
      <w:r>
        <w:rPr>
          <w:b/>
          <w:bCs/>
          <w:color w:val="974707"/>
          <w:spacing w:val="-4"/>
          <w:w w:val="88"/>
          <w:sz w:val="32"/>
          <w:szCs w:val="32"/>
        </w:rPr>
        <w:t>i</w:t>
      </w:r>
      <w:r>
        <w:rPr>
          <w:b/>
          <w:bCs/>
          <w:color w:val="974707"/>
          <w:spacing w:val="1"/>
          <w:w w:val="88"/>
          <w:sz w:val="32"/>
          <w:szCs w:val="32"/>
        </w:rPr>
        <w:t>m</w:t>
      </w:r>
      <w:r>
        <w:rPr>
          <w:b/>
          <w:bCs/>
          <w:color w:val="974707"/>
          <w:spacing w:val="-4"/>
          <w:w w:val="88"/>
          <w:sz w:val="32"/>
          <w:szCs w:val="32"/>
        </w:rPr>
        <w:t>t</w:t>
      </w:r>
      <w:r>
        <w:rPr>
          <w:b/>
          <w:bCs/>
          <w:color w:val="974707"/>
          <w:w w:val="88"/>
          <w:sz w:val="32"/>
          <w:szCs w:val="32"/>
        </w:rPr>
        <w:t>o</w:t>
      </w:r>
      <w:r>
        <w:rPr>
          <w:b/>
          <w:bCs/>
          <w:color w:val="974707"/>
          <w:spacing w:val="2"/>
          <w:w w:val="88"/>
          <w:sz w:val="32"/>
          <w:szCs w:val="32"/>
        </w:rPr>
        <w:t xml:space="preserve"> </w:t>
      </w:r>
      <w:r>
        <w:rPr>
          <w:b/>
          <w:bCs/>
          <w:color w:val="974707"/>
          <w:spacing w:val="4"/>
          <w:w w:val="88"/>
          <w:sz w:val="32"/>
          <w:szCs w:val="32"/>
        </w:rPr>
        <w:t>h</w:t>
      </w:r>
      <w:r>
        <w:rPr>
          <w:b/>
          <w:bCs/>
          <w:color w:val="974707"/>
          <w:spacing w:val="-6"/>
          <w:w w:val="88"/>
          <w:sz w:val="32"/>
          <w:szCs w:val="32"/>
        </w:rPr>
        <w:t>er</w:t>
      </w:r>
      <w:r>
        <w:rPr>
          <w:b/>
          <w:bCs/>
          <w:color w:val="974707"/>
          <w:spacing w:val="5"/>
          <w:w w:val="88"/>
          <w:sz w:val="32"/>
          <w:szCs w:val="32"/>
        </w:rPr>
        <w:t>o</w:t>
      </w:r>
      <w:r>
        <w:rPr>
          <w:b/>
          <w:bCs/>
          <w:color w:val="974707"/>
          <w:spacing w:val="-4"/>
          <w:w w:val="88"/>
          <w:sz w:val="32"/>
          <w:szCs w:val="32"/>
        </w:rPr>
        <w:t>i</w:t>
      </w:r>
      <w:r>
        <w:rPr>
          <w:b/>
          <w:bCs/>
          <w:color w:val="974707"/>
          <w:spacing w:val="4"/>
          <w:w w:val="88"/>
          <w:sz w:val="32"/>
          <w:szCs w:val="32"/>
        </w:rPr>
        <w:t>n</w:t>
      </w:r>
      <w:r>
        <w:rPr>
          <w:b/>
          <w:bCs/>
          <w:color w:val="974707"/>
          <w:w w:val="88"/>
          <w:sz w:val="32"/>
          <w:szCs w:val="32"/>
        </w:rPr>
        <w:t>o</w:t>
      </w:r>
      <w:r>
        <w:rPr>
          <w:b/>
          <w:bCs/>
          <w:color w:val="974707"/>
          <w:spacing w:val="-9"/>
          <w:w w:val="88"/>
          <w:sz w:val="32"/>
          <w:szCs w:val="32"/>
        </w:rPr>
        <w:t xml:space="preserve"> </w:t>
      </w:r>
      <w:r>
        <w:rPr>
          <w:b/>
          <w:bCs/>
          <w:color w:val="974707"/>
          <w:spacing w:val="6"/>
          <w:sz w:val="32"/>
          <w:szCs w:val="32"/>
        </w:rPr>
        <w:t>g</w:t>
      </w:r>
      <w:r>
        <w:rPr>
          <w:b/>
          <w:bCs/>
          <w:color w:val="974707"/>
          <w:spacing w:val="-7"/>
          <w:sz w:val="32"/>
          <w:szCs w:val="32"/>
        </w:rPr>
        <w:t>r</w:t>
      </w:r>
      <w:r>
        <w:rPr>
          <w:b/>
          <w:bCs/>
          <w:color w:val="974707"/>
          <w:spacing w:val="6"/>
          <w:sz w:val="32"/>
          <w:szCs w:val="32"/>
        </w:rPr>
        <w:t>y</w:t>
      </w:r>
      <w:r>
        <w:rPr>
          <w:b/>
          <w:bCs/>
          <w:color w:val="974707"/>
          <w:spacing w:val="5"/>
          <w:sz w:val="32"/>
          <w:szCs w:val="32"/>
        </w:rPr>
        <w:t>nu</w:t>
      </w:r>
      <w:r>
        <w:rPr>
          <w:b/>
          <w:bCs/>
          <w:color w:val="974707"/>
          <w:spacing w:val="1"/>
          <w:sz w:val="32"/>
          <w:szCs w:val="32"/>
        </w:rPr>
        <w:t>m</w:t>
      </w:r>
      <w:r>
        <w:rPr>
          <w:b/>
          <w:bCs/>
          <w:color w:val="974707"/>
          <w:spacing w:val="6"/>
          <w:sz w:val="32"/>
          <w:szCs w:val="32"/>
        </w:rPr>
        <w:t>a</w:t>
      </w:r>
      <w:r>
        <w:rPr>
          <w:b/>
          <w:bCs/>
          <w:color w:val="974707"/>
          <w:sz w:val="32"/>
          <w:szCs w:val="32"/>
        </w:rPr>
        <w:t>s</w:t>
      </w:r>
    </w:p>
    <w:p w:rsidR="004F7425" w:rsidRDefault="004F7425" w:rsidP="004F7425">
      <w:pPr>
        <w:widowControl w:val="0"/>
        <w:autoSpaceDE w:val="0"/>
        <w:autoSpaceDN w:val="0"/>
        <w:adjustRightInd w:val="0"/>
        <w:spacing w:before="44"/>
        <w:ind w:right="-20"/>
        <w:rPr>
          <w:color w:val="000000"/>
          <w:sz w:val="32"/>
          <w:szCs w:val="32"/>
        </w:rPr>
        <w:sectPr w:rsidR="004F7425">
          <w:type w:val="continuous"/>
          <w:pgSz w:w="11920" w:h="16840"/>
          <w:pgMar w:top="1540" w:right="460" w:bottom="280" w:left="1420" w:header="567" w:footer="567" w:gutter="0"/>
          <w:cols w:num="2" w:space="1296" w:equalWidth="0">
            <w:col w:w="4904" w:space="1082"/>
            <w:col w:w="4054"/>
          </w:cols>
          <w:noEndnote/>
        </w:sectPr>
      </w:pPr>
    </w:p>
    <w:p w:rsidR="004F7425" w:rsidRDefault="004F7425" w:rsidP="004F7425">
      <w:pPr>
        <w:widowControl w:val="0"/>
        <w:autoSpaceDE w:val="0"/>
        <w:autoSpaceDN w:val="0"/>
        <w:adjustRightInd w:val="0"/>
        <w:spacing w:before="41"/>
        <w:ind w:left="280" w:right="-61"/>
        <w:jc w:val="both"/>
        <w:rPr>
          <w:color w:val="000000"/>
        </w:rPr>
      </w:pPr>
      <w:r>
        <w:rPr>
          <w:color w:val="000000"/>
          <w:spacing w:val="-5"/>
        </w:rPr>
        <w:lastRenderedPageBreak/>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li</w:t>
      </w:r>
      <w:r>
        <w:rPr>
          <w:color w:val="000000"/>
          <w:spacing w:val="2"/>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w:t>
      </w:r>
      <w:r>
        <w:rPr>
          <w:color w:val="000000"/>
          <w:spacing w:val="6"/>
        </w:rPr>
        <w:t xml:space="preserve"> </w:t>
      </w:r>
      <w:r>
        <w:rPr>
          <w:color w:val="000000"/>
          <w:spacing w:val="1"/>
        </w:rPr>
        <w:t>r</w:t>
      </w:r>
      <w:r>
        <w:rPr>
          <w:color w:val="000000"/>
          <w:spacing w:val="-4"/>
        </w:rPr>
        <w:t>i</w:t>
      </w:r>
      <w:r>
        <w:rPr>
          <w:color w:val="000000"/>
          <w:spacing w:val="-5"/>
        </w:rPr>
        <w:t>n</w:t>
      </w:r>
      <w:r>
        <w:rPr>
          <w:color w:val="000000"/>
        </w:rPr>
        <w:t>k</w:t>
      </w:r>
      <w:r>
        <w:rPr>
          <w:color w:val="000000"/>
          <w:spacing w:val="-1"/>
        </w:rPr>
        <w:t>a</w:t>
      </w:r>
      <w:r>
        <w:rPr>
          <w:color w:val="000000"/>
        </w:rPr>
        <w:t>,</w:t>
      </w:r>
      <w:r>
        <w:rPr>
          <w:color w:val="000000"/>
          <w:spacing w:val="3"/>
        </w:rPr>
        <w:t xml:space="preserve"> </w:t>
      </w:r>
      <w:r>
        <w:rPr>
          <w:color w:val="000000"/>
          <w:spacing w:val="-1"/>
        </w:rPr>
        <w:t>„</w:t>
      </w:r>
      <w:r>
        <w:rPr>
          <w:color w:val="000000"/>
          <w:spacing w:val="-2"/>
        </w:rPr>
        <w:t>s</w:t>
      </w:r>
      <w:r>
        <w:rPr>
          <w:color w:val="000000"/>
        </w:rPr>
        <w:t>u</w:t>
      </w:r>
      <w:r>
        <w:rPr>
          <w:color w:val="000000"/>
          <w:spacing w:val="1"/>
        </w:rPr>
        <w:t>r</w:t>
      </w:r>
      <w:r>
        <w:rPr>
          <w:color w:val="000000"/>
          <w:spacing w:val="-1"/>
        </w:rPr>
        <w:t>a</w:t>
      </w:r>
      <w:r>
        <w:rPr>
          <w:color w:val="000000"/>
        </w:rPr>
        <w:t>du</w:t>
      </w:r>
      <w:r>
        <w:rPr>
          <w:color w:val="000000"/>
          <w:spacing w:val="2"/>
        </w:rPr>
        <w:t>s</w:t>
      </w:r>
      <w:r>
        <w:rPr>
          <w:color w:val="000000"/>
          <w:spacing w:val="-4"/>
        </w:rPr>
        <w:t>i</w:t>
      </w:r>
      <w:r>
        <w:rPr>
          <w:color w:val="000000"/>
        </w:rPr>
        <w:t xml:space="preserve">“ </w:t>
      </w:r>
      <w:r>
        <w:rPr>
          <w:color w:val="000000"/>
          <w:spacing w:val="-2"/>
        </w:rPr>
        <w:t>s</w:t>
      </w:r>
      <w:r>
        <w:rPr>
          <w:color w:val="000000"/>
          <w:spacing w:val="4"/>
        </w:rPr>
        <w:t>a</w:t>
      </w:r>
      <w:r>
        <w:rPr>
          <w:color w:val="000000"/>
          <w:spacing w:val="-5"/>
        </w:rPr>
        <w:t>v</w:t>
      </w:r>
      <w:r>
        <w:rPr>
          <w:color w:val="000000"/>
        </w:rPr>
        <w:t xml:space="preserve">o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rPr>
        <w:t>u</w:t>
      </w:r>
      <w:r>
        <w:rPr>
          <w:color w:val="000000"/>
          <w:spacing w:val="-2"/>
        </w:rPr>
        <w:t>s</w:t>
      </w:r>
      <w:r>
        <w:rPr>
          <w:color w:val="000000"/>
        </w:rPr>
        <w:t>,</w:t>
      </w:r>
      <w:r>
        <w:rPr>
          <w:color w:val="000000"/>
          <w:spacing w:val="16"/>
        </w:rPr>
        <w:t xml:space="preserve"> </w:t>
      </w:r>
      <w:r>
        <w:rPr>
          <w:color w:val="000000"/>
          <w:spacing w:val="-9"/>
        </w:rPr>
        <w:t>i</w:t>
      </w:r>
      <w:r>
        <w:rPr>
          <w:color w:val="000000"/>
        </w:rPr>
        <w:t>r</w:t>
      </w:r>
      <w:r>
        <w:rPr>
          <w:color w:val="000000"/>
          <w:spacing w:val="20"/>
        </w:rPr>
        <w:t xml:space="preserve"> </w:t>
      </w:r>
      <w:r>
        <w:rPr>
          <w:color w:val="000000"/>
          <w:spacing w:val="-4"/>
        </w:rPr>
        <w:t>j</w:t>
      </w:r>
      <w:r>
        <w:rPr>
          <w:color w:val="000000"/>
          <w:spacing w:val="4"/>
        </w:rPr>
        <w:t>e</w:t>
      </w:r>
      <w:r>
        <w:rPr>
          <w:color w:val="000000"/>
          <w:spacing w:val="-4"/>
        </w:rPr>
        <w:t>i</w:t>
      </w:r>
      <w:r>
        <w:rPr>
          <w:color w:val="000000"/>
        </w:rPr>
        <w:t>gu</w:t>
      </w:r>
      <w:r>
        <w:rPr>
          <w:color w:val="000000"/>
          <w:spacing w:val="14"/>
        </w:rPr>
        <w:t xml:space="preserve"> </w:t>
      </w:r>
      <w:r>
        <w:rPr>
          <w:color w:val="000000"/>
        </w:rPr>
        <w:t>ji</w:t>
      </w:r>
      <w:r>
        <w:rPr>
          <w:color w:val="000000"/>
          <w:spacing w:val="6"/>
        </w:rPr>
        <w:t xml:space="preserve"> </w:t>
      </w:r>
      <w:r>
        <w:rPr>
          <w:color w:val="000000"/>
        </w:rPr>
        <w:t>k</w:t>
      </w:r>
      <w:r>
        <w:rPr>
          <w:color w:val="000000"/>
          <w:spacing w:val="4"/>
        </w:rPr>
        <w:t>e</w:t>
      </w:r>
      <w:r>
        <w:rPr>
          <w:color w:val="000000"/>
          <w:spacing w:val="-4"/>
        </w:rPr>
        <w:t>i</w:t>
      </w:r>
      <w:r>
        <w:rPr>
          <w:color w:val="000000"/>
          <w:spacing w:val="4"/>
        </w:rPr>
        <w:t>č</w:t>
      </w:r>
      <w:r>
        <w:rPr>
          <w:color w:val="000000"/>
          <w:spacing w:val="-4"/>
        </w:rPr>
        <w:t>i</w:t>
      </w:r>
      <w:r>
        <w:rPr>
          <w:color w:val="000000"/>
          <w:spacing w:val="4"/>
        </w:rPr>
        <w:t>a</w:t>
      </w:r>
      <w:r>
        <w:rPr>
          <w:color w:val="000000"/>
          <w:spacing w:val="2"/>
        </w:rPr>
        <w:t>s</w:t>
      </w:r>
      <w:r>
        <w:rPr>
          <w:color w:val="000000"/>
          <w:spacing w:val="-9"/>
        </w:rPr>
        <w:t>i</w:t>
      </w:r>
      <w:r>
        <w:rPr>
          <w:color w:val="000000"/>
        </w:rPr>
        <w:t>,</w:t>
      </w:r>
      <w:r>
        <w:rPr>
          <w:color w:val="000000"/>
          <w:spacing w:val="16"/>
        </w:rPr>
        <w:t xml:space="preserve"> </w:t>
      </w:r>
      <w:r>
        <w:rPr>
          <w:color w:val="000000"/>
          <w:spacing w:val="5"/>
        </w:rPr>
        <w:t>t</w:t>
      </w:r>
      <w:r>
        <w:rPr>
          <w:color w:val="000000"/>
          <w:spacing w:val="4"/>
        </w:rPr>
        <w:t>a</w:t>
      </w:r>
      <w:r>
        <w:rPr>
          <w:color w:val="000000"/>
        </w:rPr>
        <w:t>i k</w:t>
      </w:r>
      <w:r>
        <w:rPr>
          <w:color w:val="000000"/>
          <w:spacing w:val="4"/>
        </w:rPr>
        <w:t>e</w:t>
      </w:r>
      <w:r>
        <w:rPr>
          <w:color w:val="000000"/>
          <w:spacing w:val="-4"/>
        </w:rPr>
        <w:t>i</w:t>
      </w:r>
      <w:r>
        <w:rPr>
          <w:color w:val="000000"/>
          <w:spacing w:val="4"/>
        </w:rPr>
        <w:t>č</w:t>
      </w:r>
      <w:r>
        <w:rPr>
          <w:color w:val="000000"/>
          <w:spacing w:val="-4"/>
        </w:rPr>
        <w:t>i</w:t>
      </w:r>
      <w:r>
        <w:rPr>
          <w:color w:val="000000"/>
          <w:spacing w:val="4"/>
        </w:rPr>
        <w:t>a</w:t>
      </w:r>
      <w:r>
        <w:rPr>
          <w:color w:val="000000"/>
          <w:spacing w:val="7"/>
        </w:rPr>
        <w:t>s</w:t>
      </w:r>
      <w:r>
        <w:rPr>
          <w:color w:val="000000"/>
        </w:rPr>
        <w:t xml:space="preserve">i </w:t>
      </w:r>
      <w:r>
        <w:rPr>
          <w:color w:val="000000"/>
          <w:spacing w:val="-5"/>
        </w:rPr>
        <w:t>n</w:t>
      </w:r>
      <w:r>
        <w:rPr>
          <w:color w:val="000000"/>
          <w:spacing w:val="-1"/>
        </w:rPr>
        <w:t>e</w:t>
      </w:r>
      <w:r>
        <w:rPr>
          <w:color w:val="000000"/>
          <w:spacing w:val="4"/>
        </w:rPr>
        <w:t>ž</w:t>
      </w:r>
      <w:r>
        <w:rPr>
          <w:color w:val="000000"/>
        </w:rPr>
        <w:t>ym</w:t>
      </w:r>
      <w:r>
        <w:rPr>
          <w:color w:val="000000"/>
          <w:spacing w:val="-4"/>
        </w:rPr>
        <w:t>i</w:t>
      </w:r>
      <w:r>
        <w:rPr>
          <w:color w:val="000000"/>
          <w:spacing w:val="4"/>
        </w:rPr>
        <w:t>a</w:t>
      </w:r>
      <w:r>
        <w:rPr>
          <w:color w:val="000000"/>
          <w:spacing w:val="-4"/>
        </w:rPr>
        <w:t>i</w:t>
      </w:r>
      <w:r>
        <w:rPr>
          <w:color w:val="000000"/>
        </w:rPr>
        <w:t>.</w:t>
      </w:r>
      <w:r>
        <w:rPr>
          <w:color w:val="000000"/>
          <w:spacing w:val="11"/>
        </w:rPr>
        <w:t xml:space="preserve"> </w:t>
      </w:r>
      <w:r>
        <w:rPr>
          <w:color w:val="000000"/>
          <w:spacing w:val="2"/>
        </w:rPr>
        <w:t>T</w:t>
      </w:r>
      <w:r>
        <w:rPr>
          <w:color w:val="000000"/>
          <w:spacing w:val="-1"/>
        </w:rPr>
        <w:t>a</w:t>
      </w:r>
      <w:r>
        <w:rPr>
          <w:color w:val="000000"/>
          <w:spacing w:val="4"/>
        </w:rPr>
        <w:t>č</w:t>
      </w:r>
      <w:r>
        <w:rPr>
          <w:color w:val="000000"/>
          <w:spacing w:val="-4"/>
        </w:rPr>
        <w:t>i</w:t>
      </w:r>
      <w:r>
        <w:rPr>
          <w:color w:val="000000"/>
          <w:spacing w:val="-1"/>
        </w:rPr>
        <w:t>a</w:t>
      </w:r>
      <w:r>
        <w:rPr>
          <w:color w:val="000000"/>
        </w:rPr>
        <w:t>u,</w:t>
      </w:r>
      <w:r>
        <w:rPr>
          <w:color w:val="000000"/>
          <w:spacing w:val="11"/>
        </w:rPr>
        <w:t xml:space="preserve"> </w:t>
      </w:r>
      <w:r>
        <w:rPr>
          <w:color w:val="000000"/>
          <w:spacing w:val="-1"/>
        </w:rPr>
        <w:t>a</w:t>
      </w:r>
      <w:r>
        <w:rPr>
          <w:color w:val="000000"/>
          <w:spacing w:val="5"/>
        </w:rPr>
        <w:t>t</w:t>
      </w:r>
      <w:r>
        <w:rPr>
          <w:color w:val="000000"/>
          <w:spacing w:val="2"/>
        </w:rPr>
        <w:t>s</w:t>
      </w:r>
      <w:r>
        <w:rPr>
          <w:color w:val="000000"/>
          <w:spacing w:val="-4"/>
        </w:rPr>
        <w:t>i</w:t>
      </w:r>
      <w:r>
        <w:rPr>
          <w:color w:val="000000"/>
          <w:spacing w:val="4"/>
        </w:rPr>
        <w:t>ž</w:t>
      </w:r>
      <w:r>
        <w:rPr>
          <w:color w:val="000000"/>
          <w:spacing w:val="-5"/>
        </w:rPr>
        <w:t>v</w:t>
      </w:r>
      <w:r>
        <w:rPr>
          <w:color w:val="000000"/>
          <w:spacing w:val="4"/>
        </w:rPr>
        <w:t>e</w:t>
      </w:r>
      <w:r>
        <w:rPr>
          <w:color w:val="000000"/>
          <w:spacing w:val="-4"/>
        </w:rPr>
        <w:t>l</w:t>
      </w:r>
      <w:r>
        <w:rPr>
          <w:color w:val="000000"/>
          <w:spacing w:val="5"/>
        </w:rPr>
        <w:t>g</w:t>
      </w:r>
      <w:r>
        <w:rPr>
          <w:color w:val="000000"/>
          <w:spacing w:val="-4"/>
        </w:rPr>
        <w:t>i</w:t>
      </w:r>
      <w:r>
        <w:rPr>
          <w:color w:val="000000"/>
          <w:spacing w:val="4"/>
        </w:rPr>
        <w:t>a</w:t>
      </w:r>
      <w:r>
        <w:rPr>
          <w:color w:val="000000"/>
          <w:spacing w:val="-5"/>
        </w:rPr>
        <w:t>n</w:t>
      </w:r>
      <w:r>
        <w:rPr>
          <w:color w:val="000000"/>
        </w:rPr>
        <w:t>t</w:t>
      </w:r>
      <w:r>
        <w:rPr>
          <w:color w:val="000000"/>
          <w:spacing w:val="24"/>
        </w:rPr>
        <w:t xml:space="preserve"> </w:t>
      </w:r>
      <w:r>
        <w:rPr>
          <w:color w:val="000000"/>
        </w:rPr>
        <w:t xml:space="preserve">į </w:t>
      </w:r>
      <w:r>
        <w:rPr>
          <w:color w:val="000000"/>
          <w:spacing w:val="-1"/>
        </w:rPr>
        <w:t>e</w:t>
      </w:r>
      <w:r>
        <w:rPr>
          <w:color w:val="000000"/>
        </w:rPr>
        <w:t>u</w:t>
      </w:r>
      <w:r>
        <w:rPr>
          <w:color w:val="000000"/>
          <w:spacing w:val="1"/>
        </w:rPr>
        <w:t>r</w:t>
      </w:r>
      <w:r>
        <w:rPr>
          <w:color w:val="000000"/>
          <w:spacing w:val="5"/>
        </w:rPr>
        <w:t>op</w:t>
      </w:r>
      <w:r>
        <w:rPr>
          <w:color w:val="000000"/>
          <w:spacing w:val="-4"/>
        </w:rPr>
        <w:t>i</w:t>
      </w:r>
      <w:r>
        <w:rPr>
          <w:color w:val="000000"/>
          <w:spacing w:val="-5"/>
        </w:rPr>
        <w:t>n</w:t>
      </w:r>
      <w:r>
        <w:rPr>
          <w:color w:val="000000"/>
          <w:spacing w:val="4"/>
        </w:rPr>
        <w:t>e</w:t>
      </w:r>
      <w:r>
        <w:rPr>
          <w:color w:val="000000"/>
        </w:rPr>
        <w:t xml:space="preserve">s </w:t>
      </w:r>
      <w:r>
        <w:rPr>
          <w:color w:val="000000"/>
          <w:spacing w:val="5"/>
        </w:rPr>
        <w:t>t</w:t>
      </w:r>
      <w:r>
        <w:rPr>
          <w:color w:val="000000"/>
          <w:spacing w:val="-1"/>
        </w:rPr>
        <w:t>e</w:t>
      </w:r>
      <w:r>
        <w:rPr>
          <w:color w:val="000000"/>
          <w:spacing w:val="-5"/>
        </w:rPr>
        <w:t>n</w:t>
      </w:r>
      <w:r>
        <w:rPr>
          <w:color w:val="000000"/>
        </w:rPr>
        <w:t>d</w:t>
      </w:r>
      <w:r>
        <w:rPr>
          <w:color w:val="000000"/>
          <w:spacing w:val="-1"/>
        </w:rPr>
        <w:t>e</w:t>
      </w:r>
      <w:r>
        <w:rPr>
          <w:color w:val="000000"/>
          <w:spacing w:val="-5"/>
        </w:rPr>
        <w:t>n</w:t>
      </w:r>
      <w:r>
        <w:rPr>
          <w:color w:val="000000"/>
          <w:spacing w:val="4"/>
        </w:rPr>
        <w:t>c</w:t>
      </w:r>
      <w:r>
        <w:rPr>
          <w:color w:val="000000"/>
        </w:rPr>
        <w:t>i</w:t>
      </w:r>
      <w:r>
        <w:rPr>
          <w:color w:val="000000"/>
          <w:spacing w:val="-4"/>
        </w:rPr>
        <w:t>j</w:t>
      </w:r>
      <w:r>
        <w:rPr>
          <w:color w:val="000000"/>
          <w:spacing w:val="4"/>
        </w:rPr>
        <w:t>a</w:t>
      </w:r>
      <w:r>
        <w:rPr>
          <w:color w:val="000000"/>
          <w:spacing w:val="-2"/>
        </w:rPr>
        <w:t>s</w:t>
      </w:r>
      <w:r>
        <w:rPr>
          <w:color w:val="000000"/>
        </w:rPr>
        <w:t>,</w:t>
      </w:r>
      <w:r>
        <w:rPr>
          <w:color w:val="000000"/>
          <w:spacing w:val="11"/>
        </w:rPr>
        <w:t xml:space="preserve"> </w:t>
      </w:r>
      <w:r>
        <w:rPr>
          <w:color w:val="000000"/>
        </w:rPr>
        <w:t>g</w:t>
      </w:r>
      <w:r>
        <w:rPr>
          <w:color w:val="000000"/>
          <w:spacing w:val="4"/>
        </w:rPr>
        <w:t>a</w:t>
      </w:r>
      <w:r>
        <w:rPr>
          <w:color w:val="000000"/>
          <w:spacing w:val="-4"/>
        </w:rPr>
        <w:t>l</w:t>
      </w:r>
      <w:r>
        <w:rPr>
          <w:color w:val="000000"/>
        </w:rPr>
        <w:t>i</w:t>
      </w:r>
      <w:r>
        <w:rPr>
          <w:color w:val="000000"/>
          <w:spacing w:val="-4"/>
        </w:rPr>
        <w:t>m</w:t>
      </w:r>
      <w:r>
        <w:rPr>
          <w:color w:val="000000"/>
        </w:rPr>
        <w:t>a</w:t>
      </w:r>
      <w:r>
        <w:rPr>
          <w:color w:val="000000"/>
          <w:spacing w:val="13"/>
        </w:rPr>
        <w:t xml:space="preserve"> </w:t>
      </w:r>
      <w:r>
        <w:rPr>
          <w:color w:val="000000"/>
          <w:spacing w:val="-5"/>
        </w:rPr>
        <w:t>b</w:t>
      </w:r>
      <w:r>
        <w:rPr>
          <w:color w:val="000000"/>
        </w:rPr>
        <w:t>ū</w:t>
      </w:r>
      <w:r>
        <w:rPr>
          <w:color w:val="000000"/>
          <w:spacing w:val="5"/>
        </w:rPr>
        <w:t>t</w:t>
      </w:r>
      <w:r>
        <w:rPr>
          <w:color w:val="000000"/>
        </w:rPr>
        <w:t>ų</w:t>
      </w:r>
      <w:r>
        <w:rPr>
          <w:color w:val="000000"/>
          <w:spacing w:val="9"/>
        </w:rPr>
        <w:t xml:space="preserve"> </w:t>
      </w:r>
      <w:r>
        <w:rPr>
          <w:color w:val="000000"/>
        </w:rPr>
        <w:t>d</w:t>
      </w:r>
      <w:r>
        <w:rPr>
          <w:color w:val="000000"/>
          <w:spacing w:val="-1"/>
        </w:rPr>
        <w:t>a</w:t>
      </w:r>
      <w:r>
        <w:rPr>
          <w:color w:val="000000"/>
          <w:spacing w:val="1"/>
        </w:rPr>
        <w:t>r</w:t>
      </w:r>
      <w:r>
        <w:rPr>
          <w:color w:val="000000"/>
          <w:spacing w:val="-10"/>
        </w:rPr>
        <w:t>y</w:t>
      </w:r>
      <w:r>
        <w:rPr>
          <w:color w:val="000000"/>
          <w:spacing w:val="10"/>
        </w:rPr>
        <w:t>t</w:t>
      </w:r>
      <w:r>
        <w:rPr>
          <w:color w:val="000000"/>
        </w:rPr>
        <w:t>i p</w:t>
      </w:r>
      <w:r>
        <w:rPr>
          <w:color w:val="000000"/>
          <w:spacing w:val="6"/>
        </w:rPr>
        <w:t>r</w:t>
      </w:r>
      <w:r>
        <w:rPr>
          <w:color w:val="000000"/>
          <w:spacing w:val="-4"/>
        </w:rPr>
        <w:t>i</w:t>
      </w:r>
      <w:r>
        <w:rPr>
          <w:color w:val="000000"/>
          <w:spacing w:val="4"/>
        </w:rPr>
        <w:t>e</w:t>
      </w:r>
      <w:r>
        <w:rPr>
          <w:color w:val="000000"/>
          <w:spacing w:val="-4"/>
        </w:rPr>
        <w:t>l</w:t>
      </w:r>
      <w:r>
        <w:rPr>
          <w:color w:val="000000"/>
          <w:spacing w:val="4"/>
        </w:rPr>
        <w:t>a</w:t>
      </w:r>
      <w:r>
        <w:rPr>
          <w:color w:val="000000"/>
          <w:spacing w:val="-4"/>
        </w:rPr>
        <w:t>i</w:t>
      </w:r>
      <w:r>
        <w:rPr>
          <w:color w:val="000000"/>
        </w:rPr>
        <w:t>d</w:t>
      </w:r>
      <w:r>
        <w:rPr>
          <w:color w:val="000000"/>
          <w:spacing w:val="-1"/>
        </w:rPr>
        <w:t>ą</w:t>
      </w:r>
      <w:r>
        <w:rPr>
          <w:color w:val="000000"/>
        </w:rPr>
        <w:t>,</w:t>
      </w:r>
      <w:r>
        <w:rPr>
          <w:color w:val="000000"/>
          <w:spacing w:val="11"/>
        </w:rPr>
        <w:t xml:space="preserve"> </w:t>
      </w:r>
      <w:r>
        <w:rPr>
          <w:color w:val="000000"/>
        </w:rPr>
        <w:t>k</w:t>
      </w:r>
      <w:r>
        <w:rPr>
          <w:color w:val="000000"/>
          <w:spacing w:val="-1"/>
        </w:rPr>
        <w:t>a</w:t>
      </w:r>
      <w:r>
        <w:rPr>
          <w:color w:val="000000"/>
        </w:rPr>
        <w:t xml:space="preserve">d </w:t>
      </w:r>
      <w:r>
        <w:rPr>
          <w:color w:val="000000"/>
          <w:spacing w:val="-1"/>
        </w:rPr>
        <w:t>a</w:t>
      </w:r>
      <w:r>
        <w:rPr>
          <w:color w:val="000000"/>
          <w:spacing w:val="5"/>
        </w:rPr>
        <w:t>t</w:t>
      </w:r>
      <w:r>
        <w:rPr>
          <w:color w:val="000000"/>
          <w:spacing w:val="-1"/>
        </w:rPr>
        <w:t>e</w:t>
      </w:r>
      <w:r>
        <w:rPr>
          <w:color w:val="000000"/>
          <w:spacing w:val="-9"/>
        </w:rPr>
        <w:t>i</w:t>
      </w:r>
      <w:r>
        <w:rPr>
          <w:color w:val="000000"/>
          <w:spacing w:val="10"/>
        </w:rPr>
        <w:t>t</w:t>
      </w:r>
      <w:r>
        <w:rPr>
          <w:color w:val="000000"/>
          <w:spacing w:val="-5"/>
        </w:rPr>
        <w:t>y</w:t>
      </w:r>
      <w:r>
        <w:rPr>
          <w:color w:val="000000"/>
          <w:spacing w:val="-4"/>
        </w:rPr>
        <w:t>j</w:t>
      </w:r>
      <w:r>
        <w:rPr>
          <w:color w:val="000000"/>
        </w:rPr>
        <w:t>e</w:t>
      </w:r>
      <w:r>
        <w:rPr>
          <w:color w:val="000000"/>
          <w:spacing w:val="5"/>
        </w:rPr>
        <w:t xml:space="preserve"> t</w:t>
      </w:r>
      <w:r>
        <w:rPr>
          <w:color w:val="000000"/>
        </w:rPr>
        <w:t xml:space="preserve">a </w:t>
      </w:r>
      <w:r>
        <w:rPr>
          <w:color w:val="000000"/>
          <w:spacing w:val="6"/>
        </w:rPr>
        <w:t>r</w:t>
      </w:r>
      <w:r>
        <w:rPr>
          <w:color w:val="000000"/>
          <w:spacing w:val="-4"/>
        </w:rPr>
        <w:t>i</w:t>
      </w:r>
      <w:r>
        <w:rPr>
          <w:color w:val="000000"/>
          <w:spacing w:val="-5"/>
        </w:rPr>
        <w:t>n</w:t>
      </w:r>
      <w:r>
        <w:rPr>
          <w:color w:val="000000"/>
        </w:rPr>
        <w:t xml:space="preserve">ka </w:t>
      </w:r>
      <w:r>
        <w:rPr>
          <w:color w:val="000000"/>
          <w:spacing w:val="5"/>
        </w:rPr>
        <w:t>g</w:t>
      </w:r>
      <w:r>
        <w:rPr>
          <w:color w:val="000000"/>
          <w:spacing w:val="4"/>
        </w:rPr>
        <w:t>a</w:t>
      </w:r>
      <w:r>
        <w:rPr>
          <w:color w:val="000000"/>
          <w:spacing w:val="-4"/>
        </w:rPr>
        <w:t>l</w:t>
      </w:r>
      <w:r>
        <w:rPr>
          <w:color w:val="000000"/>
          <w:spacing w:val="-1"/>
        </w:rPr>
        <w:t>ė</w:t>
      </w:r>
      <w:r>
        <w:rPr>
          <w:color w:val="000000"/>
          <w:spacing w:val="5"/>
        </w:rPr>
        <w:t>t</w:t>
      </w:r>
      <w:r>
        <w:rPr>
          <w:color w:val="000000"/>
        </w:rPr>
        <w:t>ų</w:t>
      </w:r>
      <w:r>
        <w:rPr>
          <w:color w:val="000000"/>
          <w:spacing w:val="1"/>
        </w:rPr>
        <w:t xml:space="preserve"> </w:t>
      </w:r>
      <w:r>
        <w:rPr>
          <w:color w:val="000000"/>
          <w:spacing w:val="5"/>
        </w:rPr>
        <w:t>k</w:t>
      </w:r>
      <w:r>
        <w:rPr>
          <w:color w:val="000000"/>
          <w:spacing w:val="-9"/>
        </w:rPr>
        <w:t>i</w:t>
      </w:r>
      <w:r>
        <w:rPr>
          <w:color w:val="000000"/>
          <w:spacing w:val="-2"/>
        </w:rPr>
        <w:t>s</w:t>
      </w:r>
      <w:r>
        <w:rPr>
          <w:color w:val="000000"/>
          <w:spacing w:val="10"/>
        </w:rPr>
        <w:t>t</w:t>
      </w:r>
      <w:r>
        <w:rPr>
          <w:color w:val="000000"/>
          <w:spacing w:val="-9"/>
        </w:rPr>
        <w:t>i</w:t>
      </w:r>
      <w:r>
        <w:rPr>
          <w:color w:val="000000"/>
        </w:rPr>
        <w:t>,</w:t>
      </w:r>
      <w:r>
        <w:rPr>
          <w:color w:val="000000"/>
          <w:spacing w:val="3"/>
        </w:rPr>
        <w:t xml:space="preserve"> </w:t>
      </w:r>
      <w:r>
        <w:rPr>
          <w:color w:val="000000"/>
        </w:rPr>
        <w:t>k</w:t>
      </w:r>
      <w:r>
        <w:rPr>
          <w:color w:val="000000"/>
          <w:spacing w:val="4"/>
        </w:rPr>
        <w:t>e</w:t>
      </w:r>
      <w:r>
        <w:rPr>
          <w:color w:val="000000"/>
          <w:spacing w:val="-4"/>
        </w:rPr>
        <w:t>i</w:t>
      </w:r>
      <w:r>
        <w:rPr>
          <w:color w:val="000000"/>
          <w:spacing w:val="4"/>
        </w:rPr>
        <w:t>č</w:t>
      </w:r>
      <w:r>
        <w:rPr>
          <w:color w:val="000000"/>
          <w:spacing w:val="-4"/>
        </w:rPr>
        <w:t>i</w:t>
      </w:r>
      <w:r>
        <w:rPr>
          <w:color w:val="000000"/>
          <w:spacing w:val="4"/>
        </w:rPr>
        <w:t>a</w:t>
      </w:r>
      <w:r>
        <w:rPr>
          <w:color w:val="000000"/>
          <w:spacing w:val="-5"/>
        </w:rPr>
        <w:t>n</w:t>
      </w:r>
      <w:r>
        <w:rPr>
          <w:color w:val="000000"/>
        </w:rPr>
        <w:t>t</w:t>
      </w:r>
      <w:r>
        <w:rPr>
          <w:color w:val="000000"/>
          <w:spacing w:val="11"/>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 xml:space="preserve">ą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spacing w:val="4"/>
        </w:rPr>
        <w:t>a</w:t>
      </w:r>
      <w:r>
        <w:rPr>
          <w:color w:val="000000"/>
          <w:spacing w:val="-4"/>
        </w:rPr>
        <w:t>i</w:t>
      </w:r>
      <w:r>
        <w:rPr>
          <w:color w:val="000000"/>
        </w:rPr>
        <w:t>s p</w:t>
      </w:r>
      <w:r>
        <w:rPr>
          <w:color w:val="000000"/>
          <w:spacing w:val="-1"/>
        </w:rPr>
        <w:t>a</w:t>
      </w:r>
      <w:r>
        <w:rPr>
          <w:color w:val="000000"/>
        </w:rPr>
        <w:t>k</w:t>
      </w:r>
      <w:r>
        <w:rPr>
          <w:color w:val="000000"/>
          <w:spacing w:val="4"/>
        </w:rPr>
        <w:t>a</w:t>
      </w:r>
      <w:r>
        <w:rPr>
          <w:color w:val="000000"/>
          <w:spacing w:val="-9"/>
        </w:rPr>
        <w:t>i</w:t>
      </w:r>
      <w:r>
        <w:rPr>
          <w:color w:val="000000"/>
          <w:spacing w:val="5"/>
        </w:rPr>
        <w:t>t</w:t>
      </w:r>
      <w:r>
        <w:rPr>
          <w:color w:val="000000"/>
          <w:spacing w:val="4"/>
        </w:rPr>
        <w:t>a</w:t>
      </w:r>
      <w:r>
        <w:rPr>
          <w:color w:val="000000"/>
          <w:spacing w:val="-4"/>
        </w:rPr>
        <w:t>l</w:t>
      </w:r>
      <w:r>
        <w:rPr>
          <w:color w:val="000000"/>
          <w:spacing w:val="4"/>
        </w:rPr>
        <w:t>a</w:t>
      </w:r>
      <w:r>
        <w:rPr>
          <w:color w:val="000000"/>
          <w:spacing w:val="-4"/>
        </w:rPr>
        <w:t>i</w:t>
      </w:r>
      <w:r>
        <w:rPr>
          <w:color w:val="000000"/>
          <w:spacing w:val="-2"/>
        </w:rPr>
        <w:t>s</w:t>
      </w:r>
      <w:r>
        <w:rPr>
          <w:color w:val="000000"/>
        </w:rPr>
        <w:t>.</w:t>
      </w:r>
    </w:p>
    <w:p w:rsidR="004F7425" w:rsidRDefault="004F7425" w:rsidP="004F7425">
      <w:pPr>
        <w:widowControl w:val="0"/>
        <w:autoSpaceDE w:val="0"/>
        <w:autoSpaceDN w:val="0"/>
        <w:adjustRightInd w:val="0"/>
        <w:spacing w:line="271" w:lineRule="exact"/>
        <w:ind w:left="1000" w:right="-62"/>
        <w:rPr>
          <w:color w:val="000000"/>
        </w:rPr>
      </w:pPr>
      <w:r>
        <w:rPr>
          <w:color w:val="000000"/>
          <w:spacing w:val="1"/>
          <w:position w:val="-1"/>
        </w:rPr>
        <w:t>P</w:t>
      </w:r>
      <w:r>
        <w:rPr>
          <w:color w:val="000000"/>
          <w:spacing w:val="-1"/>
          <w:position w:val="-1"/>
        </w:rPr>
        <w:t>e</w:t>
      </w:r>
      <w:r>
        <w:rPr>
          <w:color w:val="000000"/>
          <w:spacing w:val="1"/>
          <w:position w:val="-1"/>
        </w:rPr>
        <w:t>r</w:t>
      </w:r>
      <w:r>
        <w:rPr>
          <w:color w:val="000000"/>
          <w:spacing w:val="-5"/>
          <w:position w:val="-1"/>
        </w:rPr>
        <w:t>n</w:t>
      </w:r>
      <w:r>
        <w:rPr>
          <w:color w:val="000000"/>
          <w:spacing w:val="4"/>
          <w:position w:val="-1"/>
        </w:rPr>
        <w:t>a</w:t>
      </w:r>
      <w:r>
        <w:rPr>
          <w:color w:val="000000"/>
          <w:position w:val="-1"/>
        </w:rPr>
        <w:t xml:space="preserve">i  </w:t>
      </w:r>
      <w:r>
        <w:rPr>
          <w:color w:val="000000"/>
          <w:spacing w:val="3"/>
          <w:position w:val="-1"/>
        </w:rPr>
        <w:t xml:space="preserve"> </w:t>
      </w:r>
      <w:r>
        <w:rPr>
          <w:color w:val="000000"/>
          <w:spacing w:val="-4"/>
          <w:position w:val="-1"/>
        </w:rPr>
        <w:t>m</w:t>
      </w:r>
      <w:r>
        <w:rPr>
          <w:color w:val="000000"/>
          <w:spacing w:val="-1"/>
          <w:position w:val="-1"/>
        </w:rPr>
        <w:t>e</w:t>
      </w:r>
      <w:r>
        <w:rPr>
          <w:color w:val="000000"/>
          <w:spacing w:val="5"/>
          <w:position w:val="-1"/>
        </w:rPr>
        <w:t>t</w:t>
      </w:r>
      <w:r>
        <w:rPr>
          <w:color w:val="000000"/>
          <w:spacing w:val="4"/>
          <w:position w:val="-1"/>
        </w:rPr>
        <w:t>a</w:t>
      </w:r>
      <w:r>
        <w:rPr>
          <w:color w:val="000000"/>
          <w:spacing w:val="-9"/>
          <w:position w:val="-1"/>
        </w:rPr>
        <w:t>i</w:t>
      </w:r>
      <w:r>
        <w:rPr>
          <w:color w:val="000000"/>
          <w:spacing w:val="-2"/>
          <w:position w:val="-1"/>
        </w:rPr>
        <w:t>s</w:t>
      </w:r>
      <w:r>
        <w:rPr>
          <w:color w:val="000000"/>
          <w:position w:val="-1"/>
        </w:rPr>
        <w:t xml:space="preserve">,  </w:t>
      </w:r>
      <w:r>
        <w:rPr>
          <w:color w:val="000000"/>
          <w:spacing w:val="4"/>
          <w:position w:val="-1"/>
        </w:rPr>
        <w:t xml:space="preserve"> </w:t>
      </w:r>
      <w:r>
        <w:rPr>
          <w:color w:val="000000"/>
          <w:position w:val="-1"/>
        </w:rPr>
        <w:t>k</w:t>
      </w:r>
      <w:r>
        <w:rPr>
          <w:color w:val="000000"/>
          <w:spacing w:val="4"/>
          <w:position w:val="-1"/>
        </w:rPr>
        <w:t>a</w:t>
      </w:r>
      <w:r>
        <w:rPr>
          <w:color w:val="000000"/>
          <w:spacing w:val="-9"/>
          <w:position w:val="-1"/>
        </w:rPr>
        <w:t>i</w:t>
      </w:r>
      <w:r>
        <w:rPr>
          <w:color w:val="000000"/>
          <w:position w:val="-1"/>
        </w:rPr>
        <w:t xml:space="preserve">p  </w:t>
      </w:r>
      <w:r>
        <w:rPr>
          <w:color w:val="000000"/>
          <w:spacing w:val="7"/>
          <w:position w:val="-1"/>
        </w:rPr>
        <w:t xml:space="preserve"> </w:t>
      </w:r>
      <w:r>
        <w:rPr>
          <w:color w:val="000000"/>
          <w:spacing w:val="-4"/>
          <w:position w:val="-1"/>
        </w:rPr>
        <w:t>i</w:t>
      </w:r>
      <w:r>
        <w:rPr>
          <w:color w:val="000000"/>
          <w:position w:val="-1"/>
        </w:rPr>
        <w:t xml:space="preserve">r  </w:t>
      </w:r>
      <w:r>
        <w:rPr>
          <w:color w:val="000000"/>
          <w:spacing w:val="4"/>
          <w:position w:val="-1"/>
        </w:rPr>
        <w:t xml:space="preserve"> </w:t>
      </w:r>
      <w:r>
        <w:rPr>
          <w:color w:val="000000"/>
          <w:position w:val="-1"/>
        </w:rPr>
        <w:t xml:space="preserve">2011  </w:t>
      </w:r>
      <w:r>
        <w:rPr>
          <w:color w:val="000000"/>
          <w:spacing w:val="7"/>
          <w:position w:val="-1"/>
        </w:rPr>
        <w:t xml:space="preserve"> </w:t>
      </w:r>
      <w:r>
        <w:rPr>
          <w:color w:val="000000"/>
          <w:spacing w:val="-9"/>
          <w:position w:val="-1"/>
        </w:rPr>
        <w:t>m</w:t>
      </w:r>
      <w:r>
        <w:rPr>
          <w:color w:val="000000"/>
          <w:spacing w:val="2"/>
          <w:position w:val="-1"/>
        </w:rPr>
        <w:t>.</w:t>
      </w:r>
      <w:r>
        <w:rPr>
          <w:color w:val="000000"/>
          <w:position w:val="-1"/>
        </w:rPr>
        <w:t xml:space="preserve">,  </w:t>
      </w:r>
      <w:r>
        <w:rPr>
          <w:color w:val="000000"/>
          <w:spacing w:val="9"/>
          <w:position w:val="-1"/>
        </w:rPr>
        <w:t xml:space="preserve"> </w:t>
      </w:r>
      <w:r>
        <w:rPr>
          <w:color w:val="000000"/>
          <w:spacing w:val="-9"/>
          <w:position w:val="-1"/>
        </w:rPr>
        <w:t>i</w:t>
      </w:r>
      <w:r>
        <w:rPr>
          <w:color w:val="000000"/>
          <w:position w:val="-1"/>
        </w:rPr>
        <w:t>š</w:t>
      </w:r>
    </w:p>
    <w:p w:rsidR="004F7425" w:rsidRDefault="004F7425" w:rsidP="004F7425">
      <w:pPr>
        <w:widowControl w:val="0"/>
        <w:autoSpaceDE w:val="0"/>
        <w:autoSpaceDN w:val="0"/>
        <w:adjustRightInd w:val="0"/>
        <w:spacing w:line="200" w:lineRule="exact"/>
        <w:rPr>
          <w:color w:val="000000"/>
          <w:sz w:val="20"/>
        </w:rPr>
      </w:pPr>
      <w:r>
        <w:rPr>
          <w:color w:val="000000"/>
        </w:rPr>
        <w:br w:type="column"/>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1" w:line="280" w:lineRule="exact"/>
        <w:rPr>
          <w:color w:val="000000"/>
          <w:sz w:val="28"/>
          <w:szCs w:val="28"/>
        </w:rPr>
      </w:pPr>
    </w:p>
    <w:p w:rsidR="004F7425" w:rsidRDefault="004F7425" w:rsidP="004F7425">
      <w:pPr>
        <w:widowControl w:val="0"/>
        <w:autoSpaceDE w:val="0"/>
        <w:autoSpaceDN w:val="0"/>
        <w:adjustRightInd w:val="0"/>
        <w:ind w:right="-73"/>
        <w:rPr>
          <w:rFonts w:ascii="Calibri" w:hAnsi="Calibri" w:cs="Calibri"/>
          <w:color w:val="000000"/>
        </w:rPr>
      </w:pPr>
      <w:r>
        <w:rPr>
          <w:rFonts w:ascii="Calibri" w:hAnsi="Calibri" w:cs="Calibri"/>
          <w:color w:val="000000"/>
          <w:spacing w:val="6"/>
        </w:rPr>
        <w:t>49%</w:t>
      </w:r>
    </w:p>
    <w:p w:rsidR="004F7425" w:rsidRDefault="004F7425" w:rsidP="004F7425">
      <w:pPr>
        <w:widowControl w:val="0"/>
        <w:tabs>
          <w:tab w:val="left" w:pos="660"/>
          <w:tab w:val="left" w:pos="1300"/>
        </w:tabs>
        <w:autoSpaceDE w:val="0"/>
        <w:autoSpaceDN w:val="0"/>
        <w:adjustRightInd w:val="0"/>
        <w:spacing w:line="230" w:lineRule="exact"/>
        <w:ind w:right="-84"/>
        <w:rPr>
          <w:rFonts w:ascii="Calibri" w:hAnsi="Calibri" w:cs="Calibri"/>
          <w:color w:val="000000"/>
        </w:rPr>
      </w:pPr>
      <w:r>
        <w:rPr>
          <w:rFonts w:ascii="Calibri" w:hAnsi="Calibri" w:cs="Calibri"/>
          <w:color w:val="000000"/>
        </w:rPr>
        <w:br w:type="column"/>
      </w:r>
      <w:r>
        <w:rPr>
          <w:rFonts w:ascii="Calibri" w:hAnsi="Calibri" w:cs="Calibri"/>
          <w:color w:val="000000"/>
          <w:spacing w:val="6"/>
          <w:position w:val="1"/>
        </w:rPr>
        <w:lastRenderedPageBreak/>
        <w:t>9</w:t>
      </w:r>
      <w:r>
        <w:rPr>
          <w:rFonts w:ascii="Calibri" w:hAnsi="Calibri" w:cs="Calibri"/>
          <w:color w:val="000000"/>
          <w:position w:val="1"/>
        </w:rPr>
        <w:t>%</w:t>
      </w:r>
      <w:r>
        <w:rPr>
          <w:rFonts w:ascii="Calibri" w:hAnsi="Calibri" w:cs="Calibri"/>
          <w:color w:val="000000"/>
          <w:position w:val="1"/>
        </w:rPr>
        <w:tab/>
      </w:r>
      <w:r>
        <w:rPr>
          <w:rFonts w:ascii="Calibri" w:hAnsi="Calibri" w:cs="Calibri"/>
          <w:color w:val="000000"/>
          <w:spacing w:val="6"/>
          <w:position w:val="8"/>
        </w:rPr>
        <w:t>2</w:t>
      </w:r>
      <w:r>
        <w:rPr>
          <w:rFonts w:ascii="Calibri" w:hAnsi="Calibri" w:cs="Calibri"/>
          <w:color w:val="000000"/>
          <w:position w:val="8"/>
        </w:rPr>
        <w:t>%</w:t>
      </w:r>
      <w:r>
        <w:rPr>
          <w:rFonts w:ascii="Calibri" w:hAnsi="Calibri" w:cs="Calibri"/>
          <w:color w:val="000000"/>
          <w:position w:val="8"/>
        </w:rPr>
        <w:tab/>
      </w:r>
      <w:r>
        <w:rPr>
          <w:rFonts w:ascii="Calibri" w:hAnsi="Calibri" w:cs="Calibri"/>
          <w:color w:val="000000"/>
          <w:spacing w:val="6"/>
          <w:position w:val="4"/>
        </w:rPr>
        <w:t>7%</w:t>
      </w:r>
    </w:p>
    <w:p w:rsidR="004F7425" w:rsidRDefault="004F7425" w:rsidP="004F7425">
      <w:pPr>
        <w:widowControl w:val="0"/>
        <w:autoSpaceDE w:val="0"/>
        <w:autoSpaceDN w:val="0"/>
        <w:adjustRightInd w:val="0"/>
        <w:spacing w:before="2" w:line="120" w:lineRule="exact"/>
        <w:rPr>
          <w:rFonts w:ascii="Calibri" w:hAnsi="Calibri" w:cs="Calibri"/>
          <w:color w:val="000000"/>
          <w:sz w:val="12"/>
          <w:szCs w:val="12"/>
        </w:rPr>
      </w:pPr>
      <w:r>
        <w:rPr>
          <w:rFonts w:ascii="Calibri" w:hAnsi="Calibri" w:cs="Calibri"/>
          <w:color w:val="00000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ind w:right="-73"/>
        <w:rPr>
          <w:rFonts w:ascii="Calibri" w:hAnsi="Calibri" w:cs="Calibri"/>
          <w:color w:val="000000"/>
        </w:rPr>
      </w:pPr>
      <w:r>
        <w:rPr>
          <w:rFonts w:ascii="Calibri" w:hAnsi="Calibri" w:cs="Calibri"/>
          <w:color w:val="000000"/>
          <w:spacing w:val="6"/>
        </w:rPr>
        <w:t>33%</w:t>
      </w:r>
    </w:p>
    <w:p w:rsidR="004F7425" w:rsidRDefault="004F7425" w:rsidP="004F7425">
      <w:pPr>
        <w:widowControl w:val="0"/>
        <w:autoSpaceDE w:val="0"/>
        <w:autoSpaceDN w:val="0"/>
        <w:adjustRightInd w:val="0"/>
        <w:spacing w:before="42"/>
        <w:ind w:right="-20"/>
        <w:rPr>
          <w:rFonts w:ascii="Calibri" w:hAnsi="Calibri" w:cs="Calibri"/>
          <w:color w:val="000000"/>
        </w:rPr>
      </w:pPr>
      <w:r>
        <w:rPr>
          <w:rFonts w:ascii="Calibri" w:hAnsi="Calibri" w:cs="Calibri"/>
          <w:color w:val="000000"/>
        </w:rPr>
        <w:br w:type="column"/>
      </w:r>
      <w:r>
        <w:rPr>
          <w:rFonts w:ascii="Calibri" w:hAnsi="Calibri" w:cs="Calibri"/>
          <w:color w:val="000000"/>
        </w:rPr>
        <w:lastRenderedPageBreak/>
        <w:t>&lt;</w:t>
      </w:r>
      <w:r>
        <w:rPr>
          <w:rFonts w:ascii="Calibri" w:hAnsi="Calibri" w:cs="Calibri"/>
          <w:color w:val="000000"/>
          <w:spacing w:val="-10"/>
        </w:rPr>
        <w:t xml:space="preserve"> </w:t>
      </w:r>
      <w:r>
        <w:rPr>
          <w:rFonts w:ascii="Calibri" w:hAnsi="Calibri" w:cs="Calibri"/>
          <w:color w:val="000000"/>
          <w:spacing w:val="-9"/>
        </w:rPr>
        <w:t>1</w:t>
      </w:r>
      <w:r>
        <w:rPr>
          <w:rFonts w:ascii="Calibri" w:hAnsi="Calibri" w:cs="Calibri"/>
          <w:color w:val="000000"/>
          <w:spacing w:val="6"/>
        </w:rPr>
        <w:t>0</w:t>
      </w:r>
      <w:r>
        <w:rPr>
          <w:rFonts w:ascii="Calibri" w:hAnsi="Calibri" w:cs="Calibri"/>
          <w:color w:val="000000"/>
        </w:rPr>
        <w:t>%</w:t>
      </w:r>
    </w:p>
    <w:p w:rsidR="004F7425" w:rsidRDefault="004F7425" w:rsidP="004F7425">
      <w:pPr>
        <w:widowControl w:val="0"/>
        <w:autoSpaceDE w:val="0"/>
        <w:autoSpaceDN w:val="0"/>
        <w:adjustRightInd w:val="0"/>
        <w:spacing w:before="7" w:line="100" w:lineRule="exact"/>
        <w:rPr>
          <w:rFonts w:ascii="Calibri" w:hAnsi="Calibri" w:cs="Calibri"/>
          <w:color w:val="000000"/>
          <w:sz w:val="10"/>
          <w:szCs w:val="10"/>
        </w:rPr>
      </w:pPr>
    </w:p>
    <w:p w:rsidR="004F7425" w:rsidRDefault="004F7425" w:rsidP="004F7425">
      <w:pPr>
        <w:widowControl w:val="0"/>
        <w:autoSpaceDE w:val="0"/>
        <w:autoSpaceDN w:val="0"/>
        <w:adjustRightInd w:val="0"/>
        <w:ind w:right="-20"/>
        <w:rPr>
          <w:rFonts w:ascii="Calibri" w:hAnsi="Calibri" w:cs="Calibri"/>
          <w:color w:val="000000"/>
        </w:rPr>
      </w:pPr>
      <w:r>
        <w:rPr>
          <w:rFonts w:ascii="Calibri" w:hAnsi="Calibri" w:cs="Calibri"/>
          <w:color w:val="000000"/>
          <w:spacing w:val="6"/>
        </w:rPr>
        <w:t>10</w:t>
      </w:r>
      <w:r>
        <w:rPr>
          <w:rFonts w:ascii="Calibri" w:hAnsi="Calibri" w:cs="Calibri"/>
          <w:color w:val="000000"/>
          <w:spacing w:val="-5"/>
        </w:rPr>
        <w:t>%</w:t>
      </w:r>
      <w:r>
        <w:rPr>
          <w:rFonts w:ascii="Calibri" w:hAnsi="Calibri" w:cs="Calibri"/>
          <w:color w:val="000000"/>
        </w:rPr>
        <w:t>-</w:t>
      </w:r>
      <w:r>
        <w:rPr>
          <w:rFonts w:ascii="Calibri" w:hAnsi="Calibri" w:cs="Calibri"/>
          <w:color w:val="000000"/>
          <w:spacing w:val="6"/>
        </w:rPr>
        <w:t>20</w:t>
      </w:r>
      <w:r>
        <w:rPr>
          <w:rFonts w:ascii="Calibri" w:hAnsi="Calibri" w:cs="Calibri"/>
          <w:color w:val="000000"/>
        </w:rPr>
        <w:t>%</w:t>
      </w:r>
    </w:p>
    <w:p w:rsidR="004F7425" w:rsidRDefault="004F7425" w:rsidP="004F7425">
      <w:pPr>
        <w:widowControl w:val="0"/>
        <w:autoSpaceDE w:val="0"/>
        <w:autoSpaceDN w:val="0"/>
        <w:adjustRightInd w:val="0"/>
        <w:spacing w:before="6" w:line="100" w:lineRule="exact"/>
        <w:rPr>
          <w:rFonts w:ascii="Calibri" w:hAnsi="Calibri" w:cs="Calibri"/>
          <w:color w:val="000000"/>
          <w:sz w:val="10"/>
          <w:szCs w:val="10"/>
        </w:rPr>
      </w:pPr>
    </w:p>
    <w:p w:rsidR="004F7425" w:rsidRDefault="004F7425" w:rsidP="004F7425">
      <w:pPr>
        <w:widowControl w:val="0"/>
        <w:autoSpaceDE w:val="0"/>
        <w:autoSpaceDN w:val="0"/>
        <w:adjustRightInd w:val="0"/>
        <w:ind w:right="-20"/>
        <w:rPr>
          <w:rFonts w:ascii="Calibri" w:hAnsi="Calibri" w:cs="Calibri"/>
          <w:color w:val="000000"/>
        </w:rPr>
      </w:pPr>
      <w:r>
        <w:rPr>
          <w:rFonts w:ascii="Calibri" w:hAnsi="Calibri" w:cs="Calibri"/>
          <w:color w:val="000000"/>
          <w:spacing w:val="6"/>
        </w:rPr>
        <w:t>20</w:t>
      </w:r>
      <w:r>
        <w:rPr>
          <w:rFonts w:ascii="Calibri" w:hAnsi="Calibri" w:cs="Calibri"/>
          <w:color w:val="000000"/>
          <w:spacing w:val="-5"/>
        </w:rPr>
        <w:t>%</w:t>
      </w:r>
      <w:r>
        <w:rPr>
          <w:rFonts w:ascii="Calibri" w:hAnsi="Calibri" w:cs="Calibri"/>
          <w:color w:val="000000"/>
        </w:rPr>
        <w:t>-</w:t>
      </w:r>
      <w:r>
        <w:rPr>
          <w:rFonts w:ascii="Calibri" w:hAnsi="Calibri" w:cs="Calibri"/>
          <w:color w:val="000000"/>
          <w:spacing w:val="6"/>
        </w:rPr>
        <w:t>30</w:t>
      </w:r>
      <w:r>
        <w:rPr>
          <w:rFonts w:ascii="Calibri" w:hAnsi="Calibri" w:cs="Calibri"/>
          <w:color w:val="000000"/>
        </w:rPr>
        <w:t>%</w:t>
      </w:r>
    </w:p>
    <w:p w:rsidR="004F7425" w:rsidRDefault="004F7425" w:rsidP="004F7425">
      <w:pPr>
        <w:widowControl w:val="0"/>
        <w:autoSpaceDE w:val="0"/>
        <w:autoSpaceDN w:val="0"/>
        <w:adjustRightInd w:val="0"/>
        <w:spacing w:before="7" w:line="100" w:lineRule="exact"/>
        <w:rPr>
          <w:rFonts w:ascii="Calibri" w:hAnsi="Calibri" w:cs="Calibri"/>
          <w:color w:val="000000"/>
          <w:sz w:val="10"/>
          <w:szCs w:val="10"/>
        </w:rPr>
      </w:pPr>
    </w:p>
    <w:p w:rsidR="004F7425" w:rsidRDefault="004F7425" w:rsidP="004F7425">
      <w:pPr>
        <w:widowControl w:val="0"/>
        <w:autoSpaceDE w:val="0"/>
        <w:autoSpaceDN w:val="0"/>
        <w:adjustRightInd w:val="0"/>
        <w:ind w:right="-20"/>
        <w:rPr>
          <w:rFonts w:ascii="Calibri" w:hAnsi="Calibri" w:cs="Calibri"/>
          <w:color w:val="000000"/>
        </w:rPr>
      </w:pPr>
      <w:r>
        <w:rPr>
          <w:rFonts w:ascii="Calibri" w:hAnsi="Calibri" w:cs="Calibri"/>
          <w:color w:val="000000"/>
          <w:spacing w:val="6"/>
        </w:rPr>
        <w:t>30</w:t>
      </w:r>
      <w:r>
        <w:rPr>
          <w:rFonts w:ascii="Calibri" w:hAnsi="Calibri" w:cs="Calibri"/>
          <w:color w:val="000000"/>
          <w:spacing w:val="-5"/>
        </w:rPr>
        <w:t>%</w:t>
      </w:r>
      <w:r>
        <w:rPr>
          <w:rFonts w:ascii="Calibri" w:hAnsi="Calibri" w:cs="Calibri"/>
          <w:color w:val="000000"/>
        </w:rPr>
        <w:t>-</w:t>
      </w:r>
      <w:r>
        <w:rPr>
          <w:rFonts w:ascii="Calibri" w:hAnsi="Calibri" w:cs="Calibri"/>
          <w:color w:val="000000"/>
          <w:spacing w:val="6"/>
        </w:rPr>
        <w:t>40</w:t>
      </w:r>
      <w:r>
        <w:rPr>
          <w:rFonts w:ascii="Calibri" w:hAnsi="Calibri" w:cs="Calibri"/>
          <w:color w:val="000000"/>
        </w:rPr>
        <w:t>%</w:t>
      </w:r>
    </w:p>
    <w:p w:rsidR="004F7425" w:rsidRDefault="004F7425" w:rsidP="004F7425">
      <w:pPr>
        <w:widowControl w:val="0"/>
        <w:autoSpaceDE w:val="0"/>
        <w:autoSpaceDN w:val="0"/>
        <w:adjustRightInd w:val="0"/>
        <w:spacing w:before="7" w:line="100" w:lineRule="exact"/>
        <w:rPr>
          <w:rFonts w:ascii="Calibri" w:hAnsi="Calibri" w:cs="Calibri"/>
          <w:color w:val="000000"/>
          <w:sz w:val="10"/>
          <w:szCs w:val="10"/>
        </w:rPr>
      </w:pPr>
    </w:p>
    <w:p w:rsidR="004F7425" w:rsidRDefault="004F7425" w:rsidP="004F7425">
      <w:pPr>
        <w:widowControl w:val="0"/>
        <w:autoSpaceDE w:val="0"/>
        <w:autoSpaceDN w:val="0"/>
        <w:adjustRightInd w:val="0"/>
        <w:ind w:right="-20"/>
        <w:rPr>
          <w:rFonts w:ascii="Calibri" w:hAnsi="Calibri" w:cs="Calibri"/>
          <w:color w:val="000000"/>
        </w:rPr>
      </w:pPr>
      <w:r>
        <w:rPr>
          <w:rFonts w:ascii="Calibri" w:hAnsi="Calibri" w:cs="Calibri"/>
          <w:color w:val="000000"/>
        </w:rPr>
        <w:t>&gt;</w:t>
      </w:r>
      <w:r>
        <w:rPr>
          <w:rFonts w:ascii="Calibri" w:hAnsi="Calibri" w:cs="Calibri"/>
          <w:color w:val="000000"/>
          <w:spacing w:val="-10"/>
        </w:rPr>
        <w:t xml:space="preserve"> 4</w:t>
      </w:r>
      <w:r>
        <w:rPr>
          <w:rFonts w:ascii="Calibri" w:hAnsi="Calibri" w:cs="Calibri"/>
          <w:color w:val="000000"/>
          <w:spacing w:val="6"/>
        </w:rPr>
        <w:t>0</w:t>
      </w:r>
      <w:r>
        <w:rPr>
          <w:rFonts w:ascii="Calibri" w:hAnsi="Calibri" w:cs="Calibri"/>
          <w:color w:val="000000"/>
        </w:rPr>
        <w:t>%</w:t>
      </w:r>
    </w:p>
    <w:p w:rsidR="004F7425" w:rsidRDefault="004F7425" w:rsidP="004F7425">
      <w:pPr>
        <w:widowControl w:val="0"/>
        <w:autoSpaceDE w:val="0"/>
        <w:autoSpaceDN w:val="0"/>
        <w:adjustRightInd w:val="0"/>
        <w:ind w:right="-20"/>
        <w:rPr>
          <w:rFonts w:ascii="Calibri" w:hAnsi="Calibri" w:cs="Calibri"/>
          <w:color w:val="000000"/>
        </w:rPr>
        <w:sectPr w:rsidR="004F7425">
          <w:type w:val="continuous"/>
          <w:pgSz w:w="11920" w:h="16840"/>
          <w:pgMar w:top="1540" w:right="460" w:bottom="280" w:left="1420" w:header="567" w:footer="567" w:gutter="0"/>
          <w:cols w:num="5" w:space="1296" w:equalWidth="0">
            <w:col w:w="4901" w:space="286"/>
            <w:col w:w="355" w:space="309"/>
            <w:col w:w="1563" w:space="525"/>
            <w:col w:w="355" w:space="573"/>
            <w:col w:w="1173"/>
          </w:cols>
          <w:noEndnote/>
        </w:sectPr>
      </w:pPr>
    </w:p>
    <w:p w:rsidR="004F7425" w:rsidRDefault="004F7425" w:rsidP="004F7425">
      <w:pPr>
        <w:widowControl w:val="0"/>
        <w:autoSpaceDE w:val="0"/>
        <w:autoSpaceDN w:val="0"/>
        <w:adjustRightInd w:val="0"/>
        <w:spacing w:before="46" w:line="275" w:lineRule="auto"/>
        <w:ind w:left="280" w:right="41"/>
        <w:jc w:val="both"/>
        <w:rPr>
          <w:color w:val="000000"/>
        </w:rPr>
      </w:pPr>
      <w:r>
        <w:rPr>
          <w:color w:val="000000"/>
          <w:spacing w:val="-5"/>
        </w:rPr>
        <w:lastRenderedPageBreak/>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rPr>
        <w:t>s</w:t>
      </w:r>
      <w:r>
        <w:rPr>
          <w:color w:val="000000"/>
          <w:spacing w:val="43"/>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rPr>
        <w:t>t</w:t>
      </w:r>
      <w:r>
        <w:rPr>
          <w:color w:val="000000"/>
          <w:spacing w:val="5"/>
        </w:rPr>
        <w:t>o</w:t>
      </w:r>
      <w:r>
        <w:rPr>
          <w:color w:val="000000"/>
        </w:rPr>
        <w:t>s</w:t>
      </w:r>
      <w:r>
        <w:rPr>
          <w:color w:val="000000"/>
          <w:spacing w:val="43"/>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spacing w:val="-1"/>
        </w:rPr>
        <w:t>a</w:t>
      </w:r>
      <w:r>
        <w:rPr>
          <w:color w:val="000000"/>
        </w:rPr>
        <w:t>s</w:t>
      </w:r>
      <w:r>
        <w:rPr>
          <w:color w:val="000000"/>
          <w:spacing w:val="48"/>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spacing w:val="-1"/>
        </w:rPr>
        <w:t>a</w:t>
      </w:r>
      <w:r>
        <w:rPr>
          <w:color w:val="000000"/>
        </w:rPr>
        <w:t>s</w:t>
      </w:r>
      <w:r>
        <w:rPr>
          <w:color w:val="000000"/>
          <w:spacing w:val="48"/>
        </w:rPr>
        <w:t xml:space="preserve"> </w:t>
      </w:r>
      <w:r>
        <w:rPr>
          <w:color w:val="000000"/>
          <w:spacing w:val="-5"/>
        </w:rPr>
        <w:t>b</w:t>
      </w:r>
      <w:r>
        <w:rPr>
          <w:color w:val="000000"/>
          <w:spacing w:val="5"/>
        </w:rPr>
        <w:t>u</w:t>
      </w:r>
      <w:r>
        <w:rPr>
          <w:color w:val="000000"/>
          <w:spacing w:val="-5"/>
        </w:rPr>
        <w:t>v</w:t>
      </w:r>
      <w:r>
        <w:rPr>
          <w:color w:val="000000"/>
        </w:rPr>
        <w:t>o</w:t>
      </w:r>
      <w:r>
        <w:rPr>
          <w:color w:val="000000"/>
          <w:spacing w:val="50"/>
        </w:rPr>
        <w:t xml:space="preserve"> </w:t>
      </w:r>
      <w:r>
        <w:rPr>
          <w:color w:val="000000"/>
        </w:rPr>
        <w:t>p</w:t>
      </w:r>
      <w:r>
        <w:rPr>
          <w:color w:val="000000"/>
          <w:spacing w:val="1"/>
        </w:rPr>
        <w:t>r</w:t>
      </w:r>
      <w:r>
        <w:rPr>
          <w:color w:val="000000"/>
          <w:spacing w:val="-1"/>
        </w:rPr>
        <w:t>a</w:t>
      </w:r>
      <w:r>
        <w:rPr>
          <w:color w:val="000000"/>
          <w:spacing w:val="-2"/>
        </w:rPr>
        <w:t>s</w:t>
      </w:r>
      <w:r>
        <w:rPr>
          <w:color w:val="000000"/>
        </w:rPr>
        <w:t>t</w:t>
      </w:r>
      <w:r>
        <w:rPr>
          <w:color w:val="000000"/>
          <w:spacing w:val="5"/>
        </w:rPr>
        <w:t>o</w:t>
      </w:r>
      <w:r>
        <w:rPr>
          <w:color w:val="000000"/>
        </w:rPr>
        <w:t>s</w:t>
      </w:r>
      <w:r>
        <w:rPr>
          <w:color w:val="000000"/>
          <w:spacing w:val="43"/>
        </w:rPr>
        <w:t xml:space="preserve"> </w:t>
      </w:r>
      <w:r>
        <w:rPr>
          <w:color w:val="000000"/>
          <w:spacing w:val="-5"/>
        </w:rPr>
        <w:t>k</w:t>
      </w:r>
      <w:r>
        <w:rPr>
          <w:color w:val="000000"/>
          <w:spacing w:val="5"/>
        </w:rPr>
        <w:t>o</w:t>
      </w:r>
      <w:r>
        <w:rPr>
          <w:color w:val="000000"/>
        </w:rPr>
        <w:t>k</w:t>
      </w:r>
      <w:r>
        <w:rPr>
          <w:color w:val="000000"/>
          <w:spacing w:val="-5"/>
        </w:rPr>
        <w:t>yb</w:t>
      </w:r>
      <w:r>
        <w:rPr>
          <w:color w:val="000000"/>
          <w:spacing w:val="4"/>
        </w:rPr>
        <w:t>ė</w:t>
      </w:r>
      <w:r>
        <w:rPr>
          <w:color w:val="000000"/>
          <w:spacing w:val="-2"/>
        </w:rPr>
        <w:t>s</w:t>
      </w:r>
      <w:r>
        <w:rPr>
          <w:color w:val="000000"/>
        </w:rPr>
        <w:t>.</w:t>
      </w:r>
      <w:r>
        <w:rPr>
          <w:color w:val="000000"/>
          <w:spacing w:val="48"/>
        </w:rPr>
        <w:t xml:space="preserve"> </w:t>
      </w:r>
      <w:r>
        <w:rPr>
          <w:color w:val="000000"/>
        </w:rPr>
        <w:t>2012</w:t>
      </w:r>
      <w:r>
        <w:rPr>
          <w:color w:val="000000"/>
          <w:spacing w:val="50"/>
        </w:rPr>
        <w:t xml:space="preserve"> </w:t>
      </w:r>
      <w:r>
        <w:rPr>
          <w:color w:val="000000"/>
          <w:spacing w:val="-9"/>
        </w:rPr>
        <w:t>m</w:t>
      </w:r>
      <w:r>
        <w:rPr>
          <w:color w:val="000000"/>
        </w:rPr>
        <w:t>.</w:t>
      </w:r>
      <w:r>
        <w:rPr>
          <w:color w:val="000000"/>
          <w:spacing w:val="48"/>
        </w:rPr>
        <w:t xml:space="preserve"> </w:t>
      </w:r>
      <w:r>
        <w:rPr>
          <w:color w:val="000000"/>
          <w:spacing w:val="-5"/>
        </w:rPr>
        <w:t>n</w:t>
      </w:r>
      <w:r>
        <w:rPr>
          <w:color w:val="000000"/>
          <w:spacing w:val="-1"/>
        </w:rPr>
        <w:t>e</w:t>
      </w:r>
      <w:r>
        <w:rPr>
          <w:color w:val="000000"/>
        </w:rPr>
        <w:t xml:space="preserve">t </w:t>
      </w:r>
      <w:r>
        <w:rPr>
          <w:color w:val="000000"/>
          <w:spacing w:val="1"/>
        </w:rPr>
        <w:t xml:space="preserve"> </w:t>
      </w:r>
      <w:r>
        <w:rPr>
          <w:color w:val="000000"/>
        </w:rPr>
        <w:t>89</w:t>
      </w:r>
      <w:r>
        <w:rPr>
          <w:color w:val="000000"/>
          <w:spacing w:val="46"/>
        </w:rPr>
        <w:t xml:space="preserve"> </w:t>
      </w:r>
      <w:r>
        <w:rPr>
          <w:color w:val="000000"/>
        </w:rPr>
        <w:t>%</w:t>
      </w:r>
      <w:r>
        <w:rPr>
          <w:color w:val="000000"/>
          <w:spacing w:val="47"/>
        </w:rPr>
        <w:t xml:space="preserve"> </w:t>
      </w:r>
      <w:r>
        <w:rPr>
          <w:color w:val="000000"/>
        </w:rPr>
        <w:t>v</w:t>
      </w:r>
      <w:r>
        <w:rPr>
          <w:color w:val="000000"/>
          <w:spacing w:val="-9"/>
        </w:rPr>
        <w:t>i</w:t>
      </w:r>
      <w:r>
        <w:rPr>
          <w:color w:val="000000"/>
          <w:spacing w:val="-2"/>
        </w:rPr>
        <w:t>s</w:t>
      </w:r>
      <w:r>
        <w:rPr>
          <w:color w:val="000000"/>
        </w:rPr>
        <w:t>ų</w:t>
      </w:r>
      <w:r>
        <w:rPr>
          <w:color w:val="000000"/>
          <w:spacing w:val="50"/>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 xml:space="preserve">o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7"/>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rPr>
        <w:t>o</w:t>
      </w:r>
      <w:r>
        <w:rPr>
          <w:color w:val="000000"/>
          <w:spacing w:val="7"/>
        </w:rPr>
        <w:t xml:space="preserve"> </w:t>
      </w:r>
      <w:r>
        <w:rPr>
          <w:color w:val="000000"/>
          <w:spacing w:val="-5"/>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rPr>
        <w:t>o</w:t>
      </w:r>
      <w:r>
        <w:rPr>
          <w:color w:val="000000"/>
          <w:spacing w:val="7"/>
        </w:rPr>
        <w:t xml:space="preserve"> </w:t>
      </w:r>
      <w:r>
        <w:rPr>
          <w:color w:val="000000"/>
        </w:rPr>
        <w:t>g</w:t>
      </w:r>
      <w:r>
        <w:rPr>
          <w:color w:val="000000"/>
          <w:spacing w:val="6"/>
        </w:rPr>
        <w:t>r</w:t>
      </w:r>
      <w:r>
        <w:rPr>
          <w:color w:val="000000"/>
          <w:spacing w:val="-5"/>
        </w:rPr>
        <w:t>yn</w:t>
      </w:r>
      <w:r>
        <w:rPr>
          <w:color w:val="000000"/>
          <w:spacing w:val="5"/>
        </w:rPr>
        <w:t>u</w:t>
      </w:r>
      <w:r>
        <w:rPr>
          <w:color w:val="000000"/>
          <w:spacing w:val="-4"/>
        </w:rPr>
        <w:t>m</w:t>
      </w:r>
      <w:r>
        <w:rPr>
          <w:color w:val="000000"/>
          <w:spacing w:val="-1"/>
        </w:rPr>
        <w:t>a</w:t>
      </w:r>
      <w:r>
        <w:rPr>
          <w:color w:val="000000"/>
        </w:rPr>
        <w:t>s</w:t>
      </w:r>
      <w:r>
        <w:rPr>
          <w:color w:val="000000"/>
          <w:spacing w:val="5"/>
        </w:rPr>
        <w:t xml:space="preserve"> </w:t>
      </w:r>
      <w:r>
        <w:rPr>
          <w:color w:val="000000"/>
          <w:spacing w:val="-5"/>
        </w:rPr>
        <w:t>b</w:t>
      </w:r>
      <w:r>
        <w:rPr>
          <w:color w:val="000000"/>
          <w:spacing w:val="5"/>
        </w:rPr>
        <w:t>u</w:t>
      </w:r>
      <w:r>
        <w:rPr>
          <w:color w:val="000000"/>
          <w:spacing w:val="-5"/>
        </w:rPr>
        <w:t>v</w:t>
      </w:r>
      <w:r>
        <w:rPr>
          <w:color w:val="000000"/>
        </w:rPr>
        <w:t>o</w:t>
      </w:r>
      <w:r>
        <w:rPr>
          <w:color w:val="000000"/>
          <w:spacing w:val="11"/>
        </w:rPr>
        <w:t xml:space="preserve"> </w:t>
      </w:r>
      <w:r>
        <w:rPr>
          <w:color w:val="000000"/>
          <w:spacing w:val="-9"/>
        </w:rPr>
        <w:t>m</w:t>
      </w:r>
      <w:r>
        <w:rPr>
          <w:color w:val="000000"/>
          <w:spacing w:val="-1"/>
        </w:rPr>
        <w:t>až</w:t>
      </w:r>
      <w:r>
        <w:rPr>
          <w:color w:val="000000"/>
          <w:spacing w:val="4"/>
        </w:rPr>
        <w:t>e</w:t>
      </w:r>
      <w:r>
        <w:rPr>
          <w:color w:val="000000"/>
          <w:spacing w:val="2"/>
        </w:rPr>
        <w:t>s</w:t>
      </w:r>
      <w:r>
        <w:rPr>
          <w:color w:val="000000"/>
        </w:rPr>
        <w:t>n</w:t>
      </w:r>
      <w:r>
        <w:rPr>
          <w:color w:val="000000"/>
          <w:spacing w:val="-4"/>
        </w:rPr>
        <w:t>i</w:t>
      </w:r>
      <w:r>
        <w:rPr>
          <w:color w:val="000000"/>
        </w:rPr>
        <w:t>s</w:t>
      </w:r>
      <w:r>
        <w:rPr>
          <w:color w:val="000000"/>
          <w:spacing w:val="5"/>
        </w:rPr>
        <w:t xml:space="preserve"> </w:t>
      </w:r>
      <w:r>
        <w:rPr>
          <w:color w:val="000000"/>
          <w:spacing w:val="-5"/>
        </w:rPr>
        <w:t>n</w:t>
      </w:r>
      <w:r>
        <w:rPr>
          <w:color w:val="000000"/>
          <w:spacing w:val="4"/>
        </w:rPr>
        <w:t>e</w:t>
      </w:r>
      <w:r>
        <w:rPr>
          <w:color w:val="000000"/>
        </w:rPr>
        <w:t>i</w:t>
      </w:r>
      <w:r>
        <w:rPr>
          <w:color w:val="000000"/>
          <w:spacing w:val="5"/>
        </w:rPr>
        <w:t xml:space="preserve"> </w:t>
      </w:r>
      <w:r>
        <w:rPr>
          <w:color w:val="000000"/>
        </w:rPr>
        <w:t>30</w:t>
      </w:r>
      <w:r>
        <w:rPr>
          <w:color w:val="000000"/>
          <w:spacing w:val="2"/>
        </w:rPr>
        <w:t xml:space="preserve"> </w:t>
      </w:r>
      <w:r>
        <w:rPr>
          <w:color w:val="000000"/>
        </w:rPr>
        <w:t>%</w:t>
      </w:r>
      <w:r>
        <w:rPr>
          <w:color w:val="000000"/>
          <w:spacing w:val="5"/>
        </w:rPr>
        <w:t xml:space="preserve"> </w:t>
      </w:r>
      <w:r>
        <w:rPr>
          <w:color w:val="000000"/>
          <w:spacing w:val="1"/>
        </w:rPr>
        <w:t>(</w:t>
      </w:r>
      <w:r>
        <w:rPr>
          <w:color w:val="000000"/>
        </w:rPr>
        <w:t>2011</w:t>
      </w:r>
      <w:r>
        <w:rPr>
          <w:color w:val="000000"/>
          <w:spacing w:val="2"/>
        </w:rPr>
        <w:t xml:space="preserve"> </w:t>
      </w:r>
      <w:r>
        <w:rPr>
          <w:color w:val="000000"/>
          <w:spacing w:val="-9"/>
        </w:rPr>
        <w:t>m</w:t>
      </w:r>
      <w:r>
        <w:rPr>
          <w:color w:val="000000"/>
        </w:rPr>
        <w:t>.</w:t>
      </w:r>
      <w:r>
        <w:rPr>
          <w:color w:val="000000"/>
          <w:spacing w:val="4"/>
        </w:rPr>
        <w:t xml:space="preserve"> </w:t>
      </w:r>
      <w:r>
        <w:rPr>
          <w:color w:val="000000"/>
        </w:rPr>
        <w:t>t</w:t>
      </w:r>
      <w:r>
        <w:rPr>
          <w:color w:val="000000"/>
          <w:spacing w:val="5"/>
        </w:rPr>
        <w:t>o</w:t>
      </w:r>
      <w:r>
        <w:rPr>
          <w:color w:val="000000"/>
        </w:rPr>
        <w:t>ks g</w:t>
      </w:r>
      <w:r>
        <w:rPr>
          <w:color w:val="000000"/>
          <w:spacing w:val="1"/>
        </w:rPr>
        <w:t>r</w:t>
      </w:r>
      <w:r>
        <w:rPr>
          <w:color w:val="000000"/>
          <w:spacing w:val="-5"/>
        </w:rPr>
        <w:t>yn</w:t>
      </w:r>
      <w:r>
        <w:rPr>
          <w:color w:val="000000"/>
          <w:spacing w:val="5"/>
        </w:rPr>
        <w:t>u</w:t>
      </w:r>
      <w:r>
        <w:rPr>
          <w:color w:val="000000"/>
          <w:spacing w:val="-4"/>
        </w:rPr>
        <w:t>m</w:t>
      </w:r>
      <w:r>
        <w:rPr>
          <w:color w:val="000000"/>
          <w:spacing w:val="4"/>
        </w:rPr>
        <w:t>a</w:t>
      </w:r>
      <w:r>
        <w:rPr>
          <w:color w:val="000000"/>
        </w:rPr>
        <w:t xml:space="preserve">s </w:t>
      </w:r>
      <w:r>
        <w:rPr>
          <w:color w:val="000000"/>
          <w:spacing w:val="-2"/>
        </w:rPr>
        <w:t>s</w:t>
      </w:r>
      <w:r>
        <w:rPr>
          <w:color w:val="000000"/>
        </w:rPr>
        <w:t>ud</w:t>
      </w:r>
      <w:r>
        <w:rPr>
          <w:color w:val="000000"/>
          <w:spacing w:val="-1"/>
        </w:rPr>
        <w:t>a</w:t>
      </w:r>
      <w:r>
        <w:rPr>
          <w:color w:val="000000"/>
          <w:spacing w:val="1"/>
        </w:rPr>
        <w:t>r</w:t>
      </w:r>
      <w:r>
        <w:rPr>
          <w:color w:val="000000"/>
        </w:rPr>
        <w:t>ė</w:t>
      </w:r>
      <w:r>
        <w:rPr>
          <w:color w:val="000000"/>
          <w:spacing w:val="5"/>
        </w:rPr>
        <w:t xml:space="preserve"> </w:t>
      </w:r>
      <w:r>
        <w:rPr>
          <w:color w:val="000000"/>
        </w:rPr>
        <w:t>85</w:t>
      </w:r>
      <w:r>
        <w:rPr>
          <w:color w:val="000000"/>
          <w:spacing w:val="2"/>
        </w:rPr>
        <w:t xml:space="preserve"> </w:t>
      </w:r>
      <w:r>
        <w:rPr>
          <w:color w:val="000000"/>
        </w:rPr>
        <w:t>%</w:t>
      </w:r>
      <w:r>
        <w:rPr>
          <w:color w:val="000000"/>
          <w:spacing w:val="5"/>
        </w:rPr>
        <w:t xml:space="preserve"> </w:t>
      </w:r>
      <w:r>
        <w:rPr>
          <w:color w:val="000000"/>
        </w:rPr>
        <w:t>v</w:t>
      </w:r>
      <w:r>
        <w:rPr>
          <w:color w:val="000000"/>
          <w:spacing w:val="-4"/>
        </w:rPr>
        <w:t>i</w:t>
      </w:r>
      <w:r>
        <w:rPr>
          <w:color w:val="000000"/>
          <w:spacing w:val="2"/>
        </w:rPr>
        <w:t>s</w:t>
      </w:r>
      <w:r>
        <w:rPr>
          <w:color w:val="000000"/>
        </w:rPr>
        <w:t xml:space="preserve">ų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rPr>
        <w:t>y</w:t>
      </w:r>
      <w:r>
        <w:rPr>
          <w:color w:val="000000"/>
          <w:spacing w:val="-9"/>
        </w:rPr>
        <w:t>m</w:t>
      </w:r>
      <w:r>
        <w:rPr>
          <w:color w:val="000000"/>
        </w:rPr>
        <w:t>o</w:t>
      </w:r>
      <w:r>
        <w:rPr>
          <w:color w:val="000000"/>
          <w:spacing w:val="36"/>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1"/>
        </w:rPr>
        <w:t>)</w:t>
      </w:r>
      <w:r>
        <w:rPr>
          <w:color w:val="000000"/>
        </w:rPr>
        <w:t>.</w:t>
      </w:r>
      <w:r>
        <w:rPr>
          <w:color w:val="000000"/>
          <w:spacing w:val="28"/>
        </w:rPr>
        <w:t xml:space="preserve"> </w:t>
      </w:r>
      <w:r>
        <w:rPr>
          <w:color w:val="000000"/>
        </w:rPr>
        <w:t>G</w:t>
      </w:r>
      <w:r>
        <w:rPr>
          <w:color w:val="000000"/>
          <w:spacing w:val="3"/>
        </w:rPr>
        <w:t>a</w:t>
      </w:r>
      <w:r>
        <w:rPr>
          <w:color w:val="000000"/>
          <w:spacing w:val="-4"/>
        </w:rPr>
        <w:t>l</w:t>
      </w:r>
      <w:r>
        <w:rPr>
          <w:color w:val="000000"/>
        </w:rPr>
        <w:t>i</w:t>
      </w:r>
      <w:r>
        <w:rPr>
          <w:color w:val="000000"/>
          <w:spacing w:val="-4"/>
        </w:rPr>
        <w:t>m</w:t>
      </w:r>
      <w:r>
        <w:rPr>
          <w:color w:val="000000"/>
        </w:rPr>
        <w:t>a</w:t>
      </w:r>
      <w:r>
        <w:rPr>
          <w:color w:val="000000"/>
          <w:spacing w:val="35"/>
        </w:rPr>
        <w:t xml:space="preserve"> </w:t>
      </w:r>
      <w:r>
        <w:rPr>
          <w:color w:val="000000"/>
          <w:spacing w:val="-5"/>
        </w:rPr>
        <w:t>b</w:t>
      </w:r>
      <w:r>
        <w:rPr>
          <w:color w:val="000000"/>
        </w:rPr>
        <w:t>ū</w:t>
      </w:r>
      <w:r>
        <w:rPr>
          <w:color w:val="000000"/>
          <w:spacing w:val="5"/>
        </w:rPr>
        <w:t>t</w:t>
      </w:r>
      <w:r>
        <w:rPr>
          <w:color w:val="000000"/>
        </w:rPr>
        <w:t>ų</w:t>
      </w:r>
      <w:r>
        <w:rPr>
          <w:color w:val="000000"/>
          <w:spacing w:val="26"/>
        </w:rPr>
        <w:t xml:space="preserve"> </w:t>
      </w:r>
      <w:r>
        <w:rPr>
          <w:color w:val="000000"/>
        </w:rPr>
        <w:t>p</w:t>
      </w:r>
      <w:r>
        <w:rPr>
          <w:color w:val="000000"/>
          <w:spacing w:val="1"/>
        </w:rPr>
        <w:t>r</w:t>
      </w:r>
      <w:r>
        <w:rPr>
          <w:color w:val="000000"/>
          <w:spacing w:val="-4"/>
        </w:rPr>
        <w:t>i</w:t>
      </w:r>
      <w:r>
        <w:rPr>
          <w:color w:val="000000"/>
        </w:rPr>
        <w:t>m</w:t>
      </w:r>
      <w:r>
        <w:rPr>
          <w:color w:val="000000"/>
          <w:spacing w:val="-4"/>
        </w:rPr>
        <w:t>i</w:t>
      </w:r>
      <w:r>
        <w:rPr>
          <w:color w:val="000000"/>
          <w:spacing w:val="-5"/>
        </w:rPr>
        <w:t>n</w:t>
      </w:r>
      <w:r>
        <w:rPr>
          <w:color w:val="000000"/>
          <w:spacing w:val="10"/>
        </w:rPr>
        <w:t>t</w:t>
      </w:r>
      <w:r>
        <w:rPr>
          <w:color w:val="000000"/>
          <w:spacing w:val="-4"/>
        </w:rPr>
        <w:t>i</w:t>
      </w:r>
      <w:r>
        <w:rPr>
          <w:color w:val="000000"/>
        </w:rPr>
        <w:t>,</w:t>
      </w:r>
      <w:r>
        <w:rPr>
          <w:color w:val="000000"/>
          <w:spacing w:val="28"/>
        </w:rPr>
        <w:t xml:space="preserve"> </w:t>
      </w:r>
      <w:r>
        <w:rPr>
          <w:color w:val="000000"/>
        </w:rPr>
        <w:t>k</w:t>
      </w:r>
      <w:r>
        <w:rPr>
          <w:color w:val="000000"/>
          <w:spacing w:val="-1"/>
        </w:rPr>
        <w:t>a</w:t>
      </w:r>
      <w:r>
        <w:rPr>
          <w:color w:val="000000"/>
        </w:rPr>
        <w:t>d</w:t>
      </w:r>
      <w:r>
        <w:rPr>
          <w:color w:val="000000"/>
          <w:spacing w:val="26"/>
        </w:rPr>
        <w:t xml:space="preserve"> </w:t>
      </w:r>
      <w:r>
        <w:rPr>
          <w:color w:val="000000"/>
        </w:rPr>
        <w:t>2</w:t>
      </w:r>
      <w:r>
        <w:rPr>
          <w:color w:val="000000"/>
          <w:spacing w:val="5"/>
        </w:rPr>
        <w:t>0</w:t>
      </w:r>
      <w:r>
        <w:rPr>
          <w:color w:val="000000"/>
        </w:rPr>
        <w:t>10</w:t>
      </w:r>
      <w:r>
        <w:rPr>
          <w:color w:val="000000"/>
          <w:spacing w:val="31"/>
        </w:rPr>
        <w:t xml:space="preserve"> </w:t>
      </w:r>
      <w:r>
        <w:rPr>
          <w:color w:val="000000"/>
          <w:spacing w:val="-9"/>
        </w:rPr>
        <w:t>m</w:t>
      </w:r>
      <w:r>
        <w:rPr>
          <w:color w:val="000000"/>
        </w:rPr>
        <w:t>.</w:t>
      </w:r>
      <w:r>
        <w:rPr>
          <w:color w:val="000000"/>
          <w:spacing w:val="28"/>
        </w:rPr>
        <w:t xml:space="preserve"> </w:t>
      </w:r>
      <w:r>
        <w:rPr>
          <w:color w:val="000000"/>
          <w:spacing w:val="10"/>
        </w:rPr>
        <w:t>t</w:t>
      </w:r>
      <w:r>
        <w:rPr>
          <w:color w:val="000000"/>
          <w:spacing w:val="-9"/>
        </w:rPr>
        <w:t>i</w:t>
      </w:r>
      <w:r>
        <w:rPr>
          <w:color w:val="000000"/>
        </w:rPr>
        <w:t>k</w:t>
      </w:r>
      <w:r>
        <w:rPr>
          <w:color w:val="000000"/>
          <w:spacing w:val="35"/>
        </w:rPr>
        <w:t xml:space="preserve"> </w:t>
      </w:r>
      <w:r>
        <w:rPr>
          <w:color w:val="000000"/>
        </w:rPr>
        <w:t>14</w:t>
      </w:r>
      <w:r>
        <w:rPr>
          <w:color w:val="000000"/>
          <w:spacing w:val="26"/>
        </w:rPr>
        <w:t xml:space="preserve"> </w:t>
      </w:r>
      <w:r>
        <w:rPr>
          <w:color w:val="000000"/>
        </w:rPr>
        <w:t>%</w:t>
      </w:r>
      <w:r>
        <w:rPr>
          <w:color w:val="000000"/>
          <w:spacing w:val="34"/>
        </w:rPr>
        <w:t xml:space="preserve"> </w:t>
      </w:r>
      <w:r>
        <w:rPr>
          <w:color w:val="000000"/>
        </w:rPr>
        <w:t>v</w:t>
      </w:r>
      <w:r>
        <w:rPr>
          <w:color w:val="000000"/>
          <w:spacing w:val="-4"/>
        </w:rPr>
        <w:t>i</w:t>
      </w:r>
      <w:r>
        <w:rPr>
          <w:color w:val="000000"/>
          <w:spacing w:val="2"/>
        </w:rPr>
        <w:t>s</w:t>
      </w:r>
      <w:r>
        <w:rPr>
          <w:color w:val="000000"/>
        </w:rPr>
        <w:t>ų</w:t>
      </w:r>
      <w:r>
        <w:rPr>
          <w:color w:val="000000"/>
          <w:spacing w:val="31"/>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5"/>
        </w:rPr>
        <w:t>y</w:t>
      </w:r>
      <w:r>
        <w:rPr>
          <w:color w:val="000000"/>
          <w:spacing w:val="-9"/>
        </w:rPr>
        <w:t>m</w:t>
      </w:r>
      <w:r>
        <w:rPr>
          <w:color w:val="000000"/>
        </w:rPr>
        <w:t>o</w:t>
      </w:r>
      <w:r>
        <w:rPr>
          <w:color w:val="000000"/>
          <w:spacing w:val="36"/>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31"/>
        </w:rPr>
        <w:t xml:space="preserve"> </w:t>
      </w:r>
      <w:r>
        <w:rPr>
          <w:color w:val="000000"/>
          <w:spacing w:val="-5"/>
        </w:rPr>
        <w:t>n</w:t>
      </w:r>
      <w:r>
        <w:rPr>
          <w:color w:val="000000"/>
          <w:spacing w:val="5"/>
        </w:rPr>
        <w:t>u</w:t>
      </w:r>
      <w:r>
        <w:rPr>
          <w:color w:val="000000"/>
          <w:spacing w:val="-2"/>
        </w:rPr>
        <w:t>s</w:t>
      </w:r>
      <w:r>
        <w:rPr>
          <w:color w:val="000000"/>
          <w:spacing w:val="5"/>
        </w:rPr>
        <w:t>t</w:t>
      </w:r>
      <w:r>
        <w:rPr>
          <w:color w:val="000000"/>
          <w:spacing w:val="-1"/>
        </w:rPr>
        <w:t>a</w:t>
      </w:r>
      <w:r>
        <w:rPr>
          <w:color w:val="000000"/>
          <w:spacing w:val="5"/>
        </w:rPr>
        <w:t>t</w:t>
      </w:r>
      <w:r>
        <w:rPr>
          <w:color w:val="000000"/>
          <w:spacing w:val="-10"/>
        </w:rPr>
        <w:t>y</w:t>
      </w:r>
      <w:r>
        <w:rPr>
          <w:color w:val="000000"/>
          <w:spacing w:val="5"/>
        </w:rPr>
        <w:t>t</w:t>
      </w:r>
      <w:r>
        <w:rPr>
          <w:color w:val="000000"/>
          <w:spacing w:val="-1"/>
        </w:rPr>
        <w:t>a</w:t>
      </w:r>
      <w:r>
        <w:rPr>
          <w:color w:val="000000"/>
        </w:rPr>
        <w:t xml:space="preserve">s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 g</w:t>
      </w:r>
      <w:r>
        <w:rPr>
          <w:color w:val="000000"/>
          <w:spacing w:val="6"/>
        </w:rPr>
        <w:t>r</w:t>
      </w:r>
      <w:r>
        <w:rPr>
          <w:color w:val="000000"/>
          <w:spacing w:val="-5"/>
        </w:rPr>
        <w:t>yn</w:t>
      </w:r>
      <w:r>
        <w:rPr>
          <w:color w:val="000000"/>
          <w:spacing w:val="5"/>
        </w:rPr>
        <w:t>u</w:t>
      </w:r>
      <w:r>
        <w:rPr>
          <w:color w:val="000000"/>
          <w:spacing w:val="-4"/>
        </w:rPr>
        <w:t>m</w:t>
      </w:r>
      <w:r>
        <w:rPr>
          <w:color w:val="000000"/>
          <w:spacing w:val="4"/>
        </w:rPr>
        <w:t>a</w:t>
      </w:r>
      <w:r>
        <w:rPr>
          <w:color w:val="000000"/>
        </w:rPr>
        <w:t>s</w:t>
      </w:r>
      <w:r>
        <w:rPr>
          <w:color w:val="000000"/>
          <w:spacing w:val="5"/>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4"/>
        </w:rPr>
        <w:t>m</w:t>
      </w:r>
      <w:r>
        <w:rPr>
          <w:color w:val="000000"/>
          <w:spacing w:val="-1"/>
        </w:rPr>
        <w:t>aže</w:t>
      </w:r>
      <w:r>
        <w:rPr>
          <w:color w:val="000000"/>
          <w:spacing w:val="2"/>
        </w:rPr>
        <w:t>s</w:t>
      </w:r>
      <w:r>
        <w:rPr>
          <w:color w:val="000000"/>
        </w:rPr>
        <w:t>n</w:t>
      </w:r>
      <w:r>
        <w:rPr>
          <w:color w:val="000000"/>
          <w:spacing w:val="-4"/>
        </w:rPr>
        <w:t>i</w:t>
      </w:r>
      <w:r>
        <w:rPr>
          <w:color w:val="000000"/>
        </w:rPr>
        <w:t>s</w:t>
      </w:r>
      <w:r>
        <w:rPr>
          <w:color w:val="000000"/>
          <w:spacing w:val="9"/>
        </w:rPr>
        <w:t xml:space="preserve"> </w:t>
      </w:r>
      <w:r>
        <w:rPr>
          <w:color w:val="000000"/>
          <w:spacing w:val="-5"/>
        </w:rPr>
        <w:t>n</w:t>
      </w:r>
      <w:r>
        <w:rPr>
          <w:color w:val="000000"/>
          <w:spacing w:val="4"/>
        </w:rPr>
        <w:t>e</w:t>
      </w:r>
      <w:r>
        <w:rPr>
          <w:color w:val="000000"/>
        </w:rPr>
        <w:t>i</w:t>
      </w:r>
      <w:r>
        <w:rPr>
          <w:color w:val="000000"/>
          <w:spacing w:val="3"/>
        </w:rPr>
        <w:t xml:space="preserve"> </w:t>
      </w:r>
      <w:r>
        <w:rPr>
          <w:color w:val="000000"/>
        </w:rPr>
        <w:t>20</w:t>
      </w:r>
      <w:r>
        <w:rPr>
          <w:color w:val="000000"/>
          <w:spacing w:val="2"/>
        </w:rPr>
        <w:t xml:space="preserve"> %</w:t>
      </w:r>
      <w:r>
        <w:rPr>
          <w:color w:val="000000"/>
        </w:rPr>
        <w:t>, o</w:t>
      </w:r>
      <w:r>
        <w:rPr>
          <w:color w:val="000000"/>
          <w:spacing w:val="7"/>
        </w:rPr>
        <w:t xml:space="preserve"> </w:t>
      </w:r>
      <w:r>
        <w:rPr>
          <w:color w:val="000000"/>
          <w:spacing w:val="-5"/>
        </w:rPr>
        <w:t>d</w:t>
      </w:r>
      <w:r>
        <w:rPr>
          <w:color w:val="000000"/>
          <w:spacing w:val="-4"/>
        </w:rPr>
        <w:t>i</w:t>
      </w:r>
      <w:r>
        <w:rPr>
          <w:color w:val="000000"/>
        </w:rPr>
        <w:t>d</w:t>
      </w:r>
      <w:r>
        <w:rPr>
          <w:color w:val="000000"/>
          <w:spacing w:val="4"/>
        </w:rPr>
        <w:t>es</w:t>
      </w:r>
      <w:r>
        <w:rPr>
          <w:color w:val="000000"/>
          <w:spacing w:val="-5"/>
        </w:rPr>
        <w:t>n</w:t>
      </w:r>
      <w:r>
        <w:rPr>
          <w:color w:val="000000"/>
        </w:rPr>
        <w:t>ė</w:t>
      </w:r>
      <w:r>
        <w:rPr>
          <w:color w:val="000000"/>
          <w:spacing w:val="1"/>
        </w:rPr>
        <w:t xml:space="preserve"> </w:t>
      </w:r>
      <w:r>
        <w:rPr>
          <w:color w:val="000000"/>
        </w:rPr>
        <w:t>d</w:t>
      </w:r>
      <w:r>
        <w:rPr>
          <w:color w:val="000000"/>
          <w:spacing w:val="4"/>
        </w:rPr>
        <w:t>a</w:t>
      </w:r>
      <w:r>
        <w:rPr>
          <w:color w:val="000000"/>
        </w:rPr>
        <w:t>l</w:t>
      </w:r>
      <w:r>
        <w:rPr>
          <w:color w:val="000000"/>
          <w:spacing w:val="-4"/>
        </w:rPr>
        <w:t>i</w:t>
      </w:r>
      <w:r>
        <w:rPr>
          <w:color w:val="000000"/>
        </w:rPr>
        <w:t>s</w:t>
      </w:r>
      <w:r>
        <w:rPr>
          <w:color w:val="000000"/>
          <w:spacing w:val="5"/>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rPr>
        <w:t>o</w:t>
      </w:r>
      <w:r>
        <w:rPr>
          <w:color w:val="000000"/>
          <w:spacing w:val="7"/>
        </w:rPr>
        <w:t xml:space="preserve"> </w:t>
      </w:r>
      <w:r>
        <w:rPr>
          <w:color w:val="000000"/>
          <w:spacing w:val="-5"/>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rPr>
        <w:t>o</w:t>
      </w:r>
      <w:r>
        <w:rPr>
          <w:color w:val="000000"/>
          <w:spacing w:val="7"/>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rPr>
        <w:t>u</w:t>
      </w:r>
      <w:r>
        <w:rPr>
          <w:color w:val="000000"/>
          <w:spacing w:val="7"/>
        </w:rPr>
        <w:t xml:space="preserve"> </w:t>
      </w:r>
      <w:r>
        <w:rPr>
          <w:color w:val="000000"/>
          <w:spacing w:val="-5"/>
        </w:rPr>
        <w:t>n</w:t>
      </w:r>
      <w:r>
        <w:rPr>
          <w:color w:val="000000"/>
          <w:spacing w:val="-1"/>
        </w:rPr>
        <w:t>e</w:t>
      </w:r>
      <w:r>
        <w:rPr>
          <w:color w:val="000000"/>
        </w:rPr>
        <w:t>gu</w:t>
      </w:r>
      <w:r>
        <w:rPr>
          <w:color w:val="000000"/>
          <w:spacing w:val="8"/>
        </w:rPr>
        <w:t xml:space="preserve"> </w:t>
      </w:r>
      <w:r>
        <w:rPr>
          <w:color w:val="000000"/>
          <w:spacing w:val="5"/>
        </w:rPr>
        <w:t>30</w:t>
      </w:r>
    </w:p>
    <w:p w:rsidR="004F7425" w:rsidRDefault="004F7425" w:rsidP="004F7425">
      <w:pPr>
        <w:widowControl w:val="0"/>
        <w:autoSpaceDE w:val="0"/>
        <w:autoSpaceDN w:val="0"/>
        <w:adjustRightInd w:val="0"/>
        <w:spacing w:before="1"/>
        <w:ind w:left="280" w:right="8505"/>
        <w:jc w:val="both"/>
        <w:rPr>
          <w:color w:val="000000"/>
        </w:rPr>
      </w:pPr>
      <w:r>
        <w:rPr>
          <w:color w:val="000000"/>
        </w:rPr>
        <w:t>%</w:t>
      </w:r>
      <w:r>
        <w:rPr>
          <w:color w:val="000000"/>
          <w:spacing w:val="5"/>
        </w:rPr>
        <w:t xml:space="preserve"> </w:t>
      </w:r>
      <w:r>
        <w:rPr>
          <w:color w:val="000000"/>
        </w:rPr>
        <w:t>g</w:t>
      </w:r>
      <w:r>
        <w:rPr>
          <w:color w:val="000000"/>
          <w:spacing w:val="1"/>
        </w:rPr>
        <w:t>r</w:t>
      </w:r>
      <w:r>
        <w:rPr>
          <w:color w:val="000000"/>
          <w:spacing w:val="-5"/>
        </w:rPr>
        <w:t>yn</w:t>
      </w:r>
      <w:r>
        <w:rPr>
          <w:color w:val="000000"/>
          <w:spacing w:val="5"/>
        </w:rPr>
        <w:t>u</w:t>
      </w:r>
      <w:r>
        <w:rPr>
          <w:color w:val="000000"/>
          <w:spacing w:val="-9"/>
        </w:rPr>
        <w:t>m</w:t>
      </w:r>
      <w:r>
        <w:rPr>
          <w:color w:val="000000"/>
          <w:spacing w:val="5"/>
        </w:rPr>
        <w:t>o</w:t>
      </w:r>
      <w:r>
        <w:rPr>
          <w:color w:val="000000"/>
        </w:rPr>
        <w:t>.</w:t>
      </w:r>
    </w:p>
    <w:p w:rsidR="004F7425" w:rsidRDefault="004F7425" w:rsidP="004F7425">
      <w:pPr>
        <w:widowControl w:val="0"/>
        <w:autoSpaceDE w:val="0"/>
        <w:autoSpaceDN w:val="0"/>
        <w:adjustRightInd w:val="0"/>
        <w:spacing w:before="45" w:line="275" w:lineRule="auto"/>
        <w:ind w:left="280" w:right="43" w:firstLine="721"/>
        <w:jc w:val="both"/>
        <w:rPr>
          <w:color w:val="000000"/>
        </w:rPr>
      </w:pPr>
      <w:r>
        <w:rPr>
          <w:color w:val="000000"/>
        </w:rPr>
        <w:t>2012</w:t>
      </w:r>
      <w:r>
        <w:rPr>
          <w:color w:val="000000"/>
          <w:spacing w:val="5"/>
        </w:rPr>
        <w:t xml:space="preserve"> </w:t>
      </w:r>
      <w:r>
        <w:rPr>
          <w:color w:val="000000"/>
          <w:spacing w:val="-9"/>
        </w:rPr>
        <w:t>m</w:t>
      </w:r>
      <w:r>
        <w:rPr>
          <w:color w:val="000000"/>
        </w:rPr>
        <w:t>.</w:t>
      </w:r>
      <w:r>
        <w:rPr>
          <w:color w:val="000000"/>
          <w:spacing w:val="7"/>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rPr>
        <w:t>o</w:t>
      </w:r>
      <w:r>
        <w:rPr>
          <w:color w:val="000000"/>
          <w:spacing w:val="9"/>
        </w:rPr>
        <w:t xml:space="preserve"> </w:t>
      </w:r>
      <w:r>
        <w:rPr>
          <w:color w:val="000000"/>
          <w:spacing w:val="-5"/>
        </w:rPr>
        <w:t>h</w:t>
      </w:r>
      <w:r>
        <w:rPr>
          <w:color w:val="000000"/>
          <w:spacing w:val="-1"/>
        </w:rPr>
        <w:t>e</w:t>
      </w:r>
      <w:r>
        <w:rPr>
          <w:color w:val="000000"/>
          <w:spacing w:val="1"/>
        </w:rPr>
        <w:t>r</w:t>
      </w:r>
      <w:r>
        <w:rPr>
          <w:color w:val="000000"/>
          <w:spacing w:val="5"/>
        </w:rPr>
        <w:t>o</w:t>
      </w:r>
      <w:r>
        <w:rPr>
          <w:color w:val="000000"/>
          <w:spacing w:val="-4"/>
        </w:rPr>
        <w:t>i</w:t>
      </w:r>
      <w:r>
        <w:rPr>
          <w:color w:val="000000"/>
          <w:spacing w:val="-5"/>
        </w:rPr>
        <w:t>n</w:t>
      </w:r>
      <w:r>
        <w:rPr>
          <w:color w:val="000000"/>
        </w:rPr>
        <w:t>o</w:t>
      </w:r>
      <w:r>
        <w:rPr>
          <w:color w:val="000000"/>
          <w:spacing w:val="4"/>
        </w:rPr>
        <w:t xml:space="preserve"> </w:t>
      </w:r>
      <w:r>
        <w:rPr>
          <w:color w:val="000000"/>
        </w:rPr>
        <w:t>g</w:t>
      </w:r>
      <w:r>
        <w:rPr>
          <w:color w:val="000000"/>
          <w:spacing w:val="6"/>
        </w:rPr>
        <w:t>r</w:t>
      </w:r>
      <w:r>
        <w:rPr>
          <w:color w:val="000000"/>
          <w:spacing w:val="-5"/>
        </w:rPr>
        <w:t>yn</w:t>
      </w:r>
      <w:r>
        <w:rPr>
          <w:color w:val="000000"/>
          <w:spacing w:val="5"/>
        </w:rPr>
        <w:t>u</w:t>
      </w:r>
      <w:r>
        <w:rPr>
          <w:color w:val="000000"/>
          <w:spacing w:val="-4"/>
        </w:rPr>
        <w:t>m</w:t>
      </w:r>
      <w:r>
        <w:rPr>
          <w:color w:val="000000"/>
          <w:spacing w:val="4"/>
        </w:rPr>
        <w:t>a</w:t>
      </w:r>
      <w:r>
        <w:rPr>
          <w:color w:val="000000"/>
        </w:rPr>
        <w:t>s</w:t>
      </w:r>
      <w:r>
        <w:rPr>
          <w:color w:val="000000"/>
          <w:spacing w:val="2"/>
        </w:rPr>
        <w:t xml:space="preserve"> </w:t>
      </w:r>
      <w:r>
        <w:rPr>
          <w:color w:val="000000"/>
        </w:rPr>
        <w:t>v</w:t>
      </w:r>
      <w:r>
        <w:rPr>
          <w:color w:val="000000"/>
          <w:spacing w:val="-4"/>
        </w:rPr>
        <w:t>i</w:t>
      </w:r>
      <w:r>
        <w:rPr>
          <w:color w:val="000000"/>
        </w:rPr>
        <w:t>du</w:t>
      </w:r>
      <w:r>
        <w:rPr>
          <w:color w:val="000000"/>
          <w:spacing w:val="10"/>
        </w:rPr>
        <w:t>t</w:t>
      </w:r>
      <w:r>
        <w:rPr>
          <w:color w:val="000000"/>
          <w:spacing w:val="-4"/>
        </w:rPr>
        <w:t>i</w:t>
      </w:r>
      <w:r>
        <w:rPr>
          <w:color w:val="000000"/>
        </w:rPr>
        <w:t>n</w:t>
      </w:r>
      <w:r>
        <w:rPr>
          <w:color w:val="000000"/>
          <w:spacing w:val="-4"/>
        </w:rPr>
        <w:t>i</w:t>
      </w:r>
      <w:r>
        <w:rPr>
          <w:color w:val="000000"/>
          <w:spacing w:val="-2"/>
        </w:rPr>
        <w:t>š</w:t>
      </w:r>
      <w:r>
        <w:rPr>
          <w:color w:val="000000"/>
        </w:rPr>
        <w:t>k</w:t>
      </w:r>
      <w:r>
        <w:rPr>
          <w:color w:val="000000"/>
          <w:spacing w:val="4"/>
        </w:rPr>
        <w:t>a</w:t>
      </w:r>
      <w:r>
        <w:rPr>
          <w:color w:val="000000"/>
        </w:rPr>
        <w:t xml:space="preserve">i </w:t>
      </w:r>
      <w:r>
        <w:rPr>
          <w:color w:val="000000"/>
          <w:spacing w:val="2"/>
        </w:rPr>
        <w:t>s</w:t>
      </w:r>
      <w:r>
        <w:rPr>
          <w:color w:val="000000"/>
          <w:spacing w:val="-4"/>
        </w:rPr>
        <w:t>i</w:t>
      </w:r>
      <w:r>
        <w:rPr>
          <w:color w:val="000000"/>
          <w:spacing w:val="4"/>
        </w:rPr>
        <w:t>e</w:t>
      </w:r>
      <w:r>
        <w:rPr>
          <w:color w:val="000000"/>
        </w:rPr>
        <w:t>kė</w:t>
      </w:r>
      <w:r>
        <w:rPr>
          <w:color w:val="000000"/>
          <w:spacing w:val="6"/>
        </w:rPr>
        <w:t xml:space="preserve"> </w:t>
      </w:r>
      <w:r>
        <w:rPr>
          <w:color w:val="000000"/>
        </w:rPr>
        <w:t>22 %</w:t>
      </w:r>
      <w:r>
        <w:rPr>
          <w:color w:val="000000"/>
          <w:spacing w:val="3"/>
        </w:rPr>
        <w:t xml:space="preserve"> </w:t>
      </w:r>
      <w:r>
        <w:rPr>
          <w:color w:val="000000"/>
        </w:rPr>
        <w:t>p</w:t>
      </w:r>
      <w:r>
        <w:rPr>
          <w:color w:val="000000"/>
          <w:spacing w:val="1"/>
        </w:rPr>
        <w:t>r</w:t>
      </w:r>
      <w:r>
        <w:rPr>
          <w:color w:val="000000"/>
          <w:spacing w:val="5"/>
        </w:rPr>
        <w:t>o</w:t>
      </w:r>
      <w:r>
        <w:rPr>
          <w:color w:val="000000"/>
          <w:spacing w:val="-1"/>
        </w:rPr>
        <w:t>c</w:t>
      </w:r>
      <w:r>
        <w:rPr>
          <w:color w:val="000000"/>
        </w:rPr>
        <w:t>.</w:t>
      </w:r>
      <w:r>
        <w:rPr>
          <w:color w:val="000000"/>
          <w:spacing w:val="2"/>
        </w:rPr>
        <w:t xml:space="preserve"> </w:t>
      </w:r>
      <w:r>
        <w:rPr>
          <w:color w:val="000000"/>
        </w:rPr>
        <w:t>V</w:t>
      </w:r>
      <w:r>
        <w:rPr>
          <w:color w:val="000000"/>
          <w:spacing w:val="-1"/>
        </w:rPr>
        <w:t>a</w:t>
      </w:r>
      <w:r>
        <w:rPr>
          <w:color w:val="000000"/>
          <w:spacing w:val="5"/>
        </w:rPr>
        <w:t>d</w:t>
      </w:r>
      <w:r>
        <w:rPr>
          <w:color w:val="000000"/>
          <w:spacing w:val="-4"/>
        </w:rPr>
        <w:t>i</w:t>
      </w:r>
      <w:r>
        <w:rPr>
          <w:color w:val="000000"/>
          <w:spacing w:val="-5"/>
        </w:rPr>
        <w:t>n</w:t>
      </w:r>
      <w:r>
        <w:rPr>
          <w:color w:val="000000"/>
          <w:spacing w:val="-1"/>
        </w:rPr>
        <w:t>a</w:t>
      </w:r>
      <w:r>
        <w:rPr>
          <w:color w:val="000000"/>
          <w:spacing w:val="2"/>
        </w:rPr>
        <w:t>s</w:t>
      </w:r>
      <w:r>
        <w:rPr>
          <w:color w:val="000000"/>
          <w:spacing w:val="-4"/>
        </w:rPr>
        <w:t>i</w:t>
      </w:r>
      <w:r>
        <w:rPr>
          <w:color w:val="000000"/>
        </w:rPr>
        <w:t>,</w:t>
      </w:r>
      <w:r>
        <w:rPr>
          <w:color w:val="000000"/>
          <w:spacing w:val="7"/>
        </w:rPr>
        <w:t xml:space="preserve"> </w:t>
      </w:r>
      <w:r>
        <w:rPr>
          <w:color w:val="000000"/>
          <w:spacing w:val="-4"/>
        </w:rPr>
        <w:t>i</w:t>
      </w:r>
      <w:r>
        <w:rPr>
          <w:color w:val="000000"/>
          <w:spacing w:val="2"/>
        </w:rPr>
        <w:t>š</w:t>
      </w:r>
      <w:r>
        <w:rPr>
          <w:color w:val="000000"/>
        </w:rPr>
        <w:t>i</w:t>
      </w:r>
      <w:r>
        <w:rPr>
          <w:color w:val="000000"/>
          <w:spacing w:val="-4"/>
        </w:rPr>
        <w:t>m</w:t>
      </w:r>
      <w:r>
        <w:rPr>
          <w:color w:val="000000"/>
          <w:spacing w:val="4"/>
        </w:rPr>
        <w:t>a</w:t>
      </w:r>
      <w:r>
        <w:rPr>
          <w:color w:val="000000"/>
          <w:spacing w:val="-9"/>
        </w:rPr>
        <w:t>m</w:t>
      </w:r>
      <w:r>
        <w:rPr>
          <w:color w:val="000000"/>
        </w:rPr>
        <w:t>o</w:t>
      </w:r>
      <w:r>
        <w:rPr>
          <w:color w:val="000000"/>
          <w:spacing w:val="14"/>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 k</w:t>
      </w:r>
      <w:r>
        <w:rPr>
          <w:color w:val="000000"/>
          <w:spacing w:val="5"/>
        </w:rPr>
        <w:t>o</w:t>
      </w:r>
      <w:r>
        <w:rPr>
          <w:color w:val="000000"/>
        </w:rPr>
        <w:t>k</w:t>
      </w:r>
      <w:r>
        <w:rPr>
          <w:color w:val="000000"/>
          <w:spacing w:val="-5"/>
        </w:rPr>
        <w:t>yb</w:t>
      </w:r>
      <w:r>
        <w:rPr>
          <w:color w:val="000000"/>
        </w:rPr>
        <w:t>ė</w:t>
      </w:r>
      <w:r>
        <w:rPr>
          <w:color w:val="000000"/>
          <w:spacing w:val="25"/>
        </w:rPr>
        <w:t xml:space="preserve"> </w:t>
      </w:r>
      <w:r>
        <w:rPr>
          <w:color w:val="000000"/>
          <w:spacing w:val="4"/>
        </w:rPr>
        <w:t>a</w:t>
      </w:r>
      <w:r>
        <w:rPr>
          <w:color w:val="000000"/>
          <w:spacing w:val="-5"/>
        </w:rPr>
        <w:t>n</w:t>
      </w:r>
      <w:r>
        <w:rPr>
          <w:color w:val="000000"/>
          <w:spacing w:val="5"/>
        </w:rPr>
        <w:t>t</w:t>
      </w:r>
      <w:r>
        <w:rPr>
          <w:color w:val="000000"/>
          <w:spacing w:val="1"/>
        </w:rPr>
        <w:t>r</w:t>
      </w:r>
      <w:r>
        <w:rPr>
          <w:color w:val="000000"/>
        </w:rPr>
        <w:t>i</w:t>
      </w:r>
      <w:r>
        <w:rPr>
          <w:color w:val="000000"/>
          <w:spacing w:val="22"/>
        </w:rPr>
        <w:t xml:space="preserve"> </w:t>
      </w:r>
      <w:r>
        <w:rPr>
          <w:color w:val="000000"/>
          <w:spacing w:val="-4"/>
        </w:rPr>
        <w:t>m</w:t>
      </w:r>
      <w:r>
        <w:rPr>
          <w:color w:val="000000"/>
          <w:spacing w:val="-1"/>
        </w:rPr>
        <w:t>e</w:t>
      </w:r>
      <w:r>
        <w:rPr>
          <w:color w:val="000000"/>
          <w:spacing w:val="5"/>
        </w:rPr>
        <w:t>t</w:t>
      </w:r>
      <w:r>
        <w:rPr>
          <w:color w:val="000000"/>
          <w:spacing w:val="4"/>
        </w:rPr>
        <w:t>a</w:t>
      </w:r>
      <w:r>
        <w:rPr>
          <w:color w:val="000000"/>
        </w:rPr>
        <w:t>i</w:t>
      </w:r>
      <w:r>
        <w:rPr>
          <w:color w:val="000000"/>
          <w:spacing w:val="22"/>
        </w:rPr>
        <w:t xml:space="preserve"> </w:t>
      </w:r>
      <w:r>
        <w:rPr>
          <w:color w:val="000000"/>
          <w:spacing w:val="-4"/>
        </w:rPr>
        <w:t>i</w:t>
      </w:r>
      <w:r>
        <w:rPr>
          <w:color w:val="000000"/>
        </w:rPr>
        <w:t>š</w:t>
      </w:r>
      <w:r>
        <w:rPr>
          <w:color w:val="000000"/>
          <w:spacing w:val="24"/>
        </w:rPr>
        <w:t xml:space="preserve"> </w:t>
      </w:r>
      <w:r>
        <w:rPr>
          <w:color w:val="000000"/>
          <w:spacing w:val="4"/>
        </w:rPr>
        <w:t>e</w:t>
      </w:r>
      <w:r>
        <w:rPr>
          <w:color w:val="000000"/>
        </w:rPr>
        <w:t>i</w:t>
      </w:r>
      <w:r>
        <w:rPr>
          <w:color w:val="000000"/>
          <w:spacing w:val="-4"/>
        </w:rPr>
        <w:t>l</w:t>
      </w:r>
      <w:r>
        <w:rPr>
          <w:color w:val="000000"/>
          <w:spacing w:val="-1"/>
        </w:rPr>
        <w:t>ė</w:t>
      </w:r>
      <w:r>
        <w:rPr>
          <w:color w:val="000000"/>
        </w:rPr>
        <w:t>s</w:t>
      </w:r>
      <w:r>
        <w:rPr>
          <w:color w:val="000000"/>
          <w:spacing w:val="24"/>
        </w:rPr>
        <w:t xml:space="preserve"> </w:t>
      </w:r>
      <w:r>
        <w:rPr>
          <w:color w:val="000000"/>
          <w:spacing w:val="10"/>
        </w:rPr>
        <w:t>t</w:t>
      </w:r>
      <w:r>
        <w:rPr>
          <w:color w:val="000000"/>
          <w:spacing w:val="-9"/>
        </w:rPr>
        <w:t>i</w:t>
      </w:r>
      <w:r>
        <w:rPr>
          <w:color w:val="000000"/>
        </w:rPr>
        <w:t>k</w:t>
      </w:r>
      <w:r>
        <w:rPr>
          <w:color w:val="000000"/>
          <w:spacing w:val="31"/>
        </w:rPr>
        <w:t xml:space="preserve"> </w:t>
      </w:r>
      <w:r>
        <w:rPr>
          <w:color w:val="000000"/>
          <w:spacing w:val="-9"/>
        </w:rPr>
        <w:t>m</w:t>
      </w:r>
      <w:r>
        <w:rPr>
          <w:color w:val="000000"/>
          <w:spacing w:val="4"/>
        </w:rPr>
        <w:t>a</w:t>
      </w:r>
      <w:r>
        <w:rPr>
          <w:color w:val="000000"/>
          <w:spacing w:val="-1"/>
        </w:rPr>
        <w:t>ž</w:t>
      </w:r>
      <w:r>
        <w:rPr>
          <w:color w:val="000000"/>
          <w:spacing w:val="4"/>
        </w:rPr>
        <w:t>ė</w:t>
      </w:r>
      <w:r>
        <w:rPr>
          <w:color w:val="000000"/>
          <w:spacing w:val="-4"/>
        </w:rPr>
        <w:t>j</w:t>
      </w:r>
      <w:r>
        <w:rPr>
          <w:color w:val="000000"/>
          <w:spacing w:val="-1"/>
        </w:rPr>
        <w:t>a</w:t>
      </w:r>
      <w:r>
        <w:rPr>
          <w:color w:val="000000"/>
        </w:rPr>
        <w:t>.</w:t>
      </w:r>
      <w:r>
        <w:rPr>
          <w:color w:val="000000"/>
          <w:spacing w:val="28"/>
        </w:rPr>
        <w:t xml:space="preserve"> </w:t>
      </w:r>
      <w:r>
        <w:rPr>
          <w:color w:val="000000"/>
          <w:spacing w:val="-5"/>
        </w:rPr>
        <w:t>A</w:t>
      </w:r>
      <w:r>
        <w:rPr>
          <w:color w:val="000000"/>
          <w:spacing w:val="5"/>
        </w:rPr>
        <w:t>p</w:t>
      </w:r>
      <w:r>
        <w:rPr>
          <w:color w:val="000000"/>
          <w:spacing w:val="-2"/>
        </w:rPr>
        <w:t>s</w:t>
      </w:r>
      <w:r>
        <w:rPr>
          <w:color w:val="000000"/>
        </w:rPr>
        <w:t>k</w:t>
      </w:r>
      <w:r>
        <w:rPr>
          <w:color w:val="000000"/>
          <w:spacing w:val="6"/>
        </w:rPr>
        <w:t>r</w:t>
      </w:r>
      <w:r>
        <w:rPr>
          <w:color w:val="000000"/>
          <w:spacing w:val="-9"/>
        </w:rPr>
        <w:t>i</w:t>
      </w:r>
      <w:r>
        <w:rPr>
          <w:color w:val="000000"/>
          <w:spacing w:val="5"/>
        </w:rPr>
        <w:t>t</w:t>
      </w:r>
      <w:r>
        <w:rPr>
          <w:color w:val="000000"/>
          <w:spacing w:val="4"/>
        </w:rPr>
        <w:t>a</w:t>
      </w:r>
      <w:r>
        <w:rPr>
          <w:color w:val="000000"/>
        </w:rPr>
        <w:t>i</w:t>
      </w:r>
      <w:r>
        <w:rPr>
          <w:color w:val="000000"/>
          <w:spacing w:val="22"/>
        </w:rPr>
        <w:t xml:space="preserve"> </w:t>
      </w:r>
      <w:r>
        <w:rPr>
          <w:color w:val="000000"/>
        </w:rPr>
        <w:t>p</w:t>
      </w:r>
      <w:r>
        <w:rPr>
          <w:color w:val="000000"/>
          <w:spacing w:val="-1"/>
        </w:rPr>
        <w:t>e</w:t>
      </w:r>
      <w:r>
        <w:rPr>
          <w:color w:val="000000"/>
          <w:spacing w:val="1"/>
        </w:rPr>
        <w:t>r</w:t>
      </w:r>
      <w:r>
        <w:rPr>
          <w:color w:val="000000"/>
          <w:spacing w:val="-5"/>
        </w:rPr>
        <w:t>n</w:t>
      </w:r>
      <w:r>
        <w:rPr>
          <w:color w:val="000000"/>
          <w:spacing w:val="4"/>
        </w:rPr>
        <w:t>a</w:t>
      </w:r>
      <w:r>
        <w:rPr>
          <w:color w:val="000000"/>
        </w:rPr>
        <w:t>i</w:t>
      </w:r>
      <w:r>
        <w:rPr>
          <w:color w:val="000000"/>
          <w:spacing w:val="27"/>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rPr>
        <w:t>s</w:t>
      </w:r>
      <w:r>
        <w:rPr>
          <w:color w:val="000000"/>
          <w:spacing w:val="29"/>
        </w:rPr>
        <w:t xml:space="preserve"> </w:t>
      </w:r>
      <w:r>
        <w:rPr>
          <w:color w:val="000000"/>
          <w:spacing w:val="-5"/>
        </w:rPr>
        <w:t>b</w:t>
      </w:r>
      <w:r>
        <w:rPr>
          <w:color w:val="000000"/>
          <w:spacing w:val="5"/>
        </w:rPr>
        <w:t>u</w:t>
      </w:r>
      <w:r>
        <w:rPr>
          <w:color w:val="000000"/>
          <w:spacing w:val="-5"/>
        </w:rPr>
        <w:t>v</w:t>
      </w:r>
      <w:r>
        <w:rPr>
          <w:color w:val="000000"/>
        </w:rPr>
        <w:t>o</w:t>
      </w:r>
      <w:r>
        <w:rPr>
          <w:color w:val="000000"/>
          <w:spacing w:val="26"/>
        </w:rPr>
        <w:t xml:space="preserve"> </w:t>
      </w:r>
      <w:r>
        <w:rPr>
          <w:color w:val="000000"/>
          <w:spacing w:val="5"/>
        </w:rPr>
        <w:t>t</w:t>
      </w:r>
      <w:r>
        <w:rPr>
          <w:color w:val="000000"/>
          <w:spacing w:val="-9"/>
        </w:rPr>
        <w:t>i</w:t>
      </w:r>
      <w:r>
        <w:rPr>
          <w:color w:val="000000"/>
        </w:rPr>
        <w:t>k</w:t>
      </w:r>
      <w:r>
        <w:rPr>
          <w:color w:val="000000"/>
          <w:spacing w:val="26"/>
        </w:rPr>
        <w:t xml:space="preserve"> </w:t>
      </w:r>
      <w:r>
        <w:rPr>
          <w:color w:val="000000"/>
        </w:rPr>
        <w:t>5</w:t>
      </w:r>
      <w:r>
        <w:rPr>
          <w:color w:val="000000"/>
          <w:spacing w:val="26"/>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o</w:t>
      </w:r>
      <w:r>
        <w:rPr>
          <w:color w:val="000000"/>
          <w:spacing w:val="31"/>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rPr>
        <w:t>i</w:t>
      </w:r>
      <w:r>
        <w:rPr>
          <w:color w:val="000000"/>
          <w:spacing w:val="17"/>
        </w:rPr>
        <w:t xml:space="preserve"> </w:t>
      </w:r>
      <w:r>
        <w:rPr>
          <w:color w:val="000000"/>
        </w:rPr>
        <w:t>(</w:t>
      </w:r>
      <w:r>
        <w:rPr>
          <w:color w:val="000000"/>
          <w:spacing w:val="-44"/>
        </w:rPr>
        <w:t xml:space="preserve"> </w:t>
      </w:r>
      <w:r>
        <w:rPr>
          <w:color w:val="000000"/>
        </w:rPr>
        <w:t>2</w:t>
      </w:r>
      <w:r>
        <w:rPr>
          <w:color w:val="000000"/>
          <w:spacing w:val="26"/>
        </w:rPr>
        <w:t xml:space="preserve"> </w:t>
      </w:r>
      <w:r>
        <w:rPr>
          <w:color w:val="000000"/>
        </w:rPr>
        <w:t>% v</w:t>
      </w:r>
      <w:r>
        <w:rPr>
          <w:color w:val="000000"/>
          <w:spacing w:val="-4"/>
        </w:rPr>
        <w:t>i</w:t>
      </w:r>
      <w:r>
        <w:rPr>
          <w:color w:val="000000"/>
          <w:spacing w:val="-2"/>
        </w:rPr>
        <w:t>s</w:t>
      </w:r>
      <w:r>
        <w:rPr>
          <w:color w:val="000000"/>
        </w:rPr>
        <w:t>ų</w:t>
      </w:r>
      <w:r>
        <w:rPr>
          <w:color w:val="000000"/>
          <w:spacing w:val="6"/>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1"/>
        </w:rPr>
        <w:t>)</w:t>
      </w:r>
      <w:r>
        <w:rPr>
          <w:color w:val="000000"/>
        </w:rPr>
        <w:t>,</w:t>
      </w:r>
      <w:r>
        <w:rPr>
          <w:color w:val="000000"/>
          <w:spacing w:val="5"/>
        </w:rPr>
        <w:t xml:space="preserve"> </w:t>
      </w:r>
      <w:r>
        <w:rPr>
          <w:color w:val="000000"/>
        </w:rPr>
        <w:t>k</w:t>
      </w:r>
      <w:r>
        <w:rPr>
          <w:color w:val="000000"/>
          <w:spacing w:val="4"/>
        </w:rPr>
        <w:t>a</w:t>
      </w:r>
      <w:r>
        <w:rPr>
          <w:color w:val="000000"/>
        </w:rPr>
        <w:t>i</w:t>
      </w:r>
      <w:r>
        <w:rPr>
          <w:color w:val="000000"/>
          <w:spacing w:val="1"/>
        </w:rPr>
        <w:t xml:space="preserve"> </w:t>
      </w:r>
      <w:r>
        <w:rPr>
          <w:color w:val="000000"/>
          <w:spacing w:val="-4"/>
        </w:rPr>
        <w:t>i</w:t>
      </w:r>
      <w:r>
        <w:rPr>
          <w:color w:val="000000"/>
          <w:spacing w:val="2"/>
        </w:rPr>
        <w:t>š</w:t>
      </w:r>
      <w:r>
        <w:rPr>
          <w:color w:val="000000"/>
        </w:rPr>
        <w:t>i</w:t>
      </w:r>
      <w:r>
        <w:rPr>
          <w:color w:val="000000"/>
          <w:spacing w:val="-9"/>
        </w:rPr>
        <w:t>m</w:t>
      </w:r>
      <w:r>
        <w:rPr>
          <w:color w:val="000000"/>
          <w:spacing w:val="5"/>
        </w:rPr>
        <w:t>t</w:t>
      </w:r>
      <w:r>
        <w:rPr>
          <w:color w:val="000000"/>
        </w:rPr>
        <w:t>o</w:t>
      </w:r>
      <w:r>
        <w:rPr>
          <w:color w:val="000000"/>
          <w:spacing w:val="6"/>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w:t>
      </w:r>
      <w:r>
        <w:rPr>
          <w:color w:val="000000"/>
          <w:spacing w:val="6"/>
        </w:rPr>
        <w:t xml:space="preserve"> </w:t>
      </w:r>
      <w:r>
        <w:rPr>
          <w:color w:val="000000"/>
        </w:rPr>
        <w:t>g</w:t>
      </w:r>
      <w:r>
        <w:rPr>
          <w:color w:val="000000"/>
          <w:spacing w:val="6"/>
        </w:rPr>
        <w:t>r</w:t>
      </w:r>
      <w:r>
        <w:rPr>
          <w:color w:val="000000"/>
          <w:spacing w:val="-5"/>
        </w:rPr>
        <w:t>yn</w:t>
      </w:r>
      <w:r>
        <w:rPr>
          <w:color w:val="000000"/>
          <w:spacing w:val="5"/>
        </w:rPr>
        <w:t>u</w:t>
      </w:r>
      <w:r>
        <w:rPr>
          <w:color w:val="000000"/>
          <w:spacing w:val="-4"/>
        </w:rPr>
        <w:t>m</w:t>
      </w:r>
      <w:r>
        <w:rPr>
          <w:color w:val="000000"/>
          <w:spacing w:val="-1"/>
        </w:rPr>
        <w:t>a</w:t>
      </w:r>
      <w:r>
        <w:rPr>
          <w:color w:val="000000"/>
        </w:rPr>
        <w:t>s</w:t>
      </w:r>
      <w:r>
        <w:rPr>
          <w:color w:val="000000"/>
          <w:spacing w:val="4"/>
        </w:rPr>
        <w:t xml:space="preserve"> </w:t>
      </w:r>
      <w:r>
        <w:rPr>
          <w:color w:val="000000"/>
        </w:rPr>
        <w:t>v</w:t>
      </w:r>
      <w:r>
        <w:rPr>
          <w:color w:val="000000"/>
          <w:spacing w:val="-4"/>
        </w:rPr>
        <w:t>i</w:t>
      </w:r>
      <w:r>
        <w:rPr>
          <w:color w:val="000000"/>
          <w:spacing w:val="1"/>
        </w:rPr>
        <w:t>r</w:t>
      </w:r>
      <w:r>
        <w:rPr>
          <w:color w:val="000000"/>
          <w:spacing w:val="2"/>
        </w:rPr>
        <w:t>š</w:t>
      </w:r>
      <w:r>
        <w:rPr>
          <w:color w:val="000000"/>
        </w:rPr>
        <w:t>i</w:t>
      </w:r>
      <w:r>
        <w:rPr>
          <w:color w:val="000000"/>
          <w:spacing w:val="1"/>
        </w:rPr>
        <w:t>j</w:t>
      </w:r>
      <w:r>
        <w:rPr>
          <w:color w:val="000000"/>
        </w:rPr>
        <w:t>o</w:t>
      </w:r>
      <w:r>
        <w:rPr>
          <w:color w:val="000000"/>
          <w:spacing w:val="12"/>
        </w:rPr>
        <w:t xml:space="preserve"> </w:t>
      </w:r>
      <w:r>
        <w:rPr>
          <w:color w:val="000000"/>
        </w:rPr>
        <w:t>40</w:t>
      </w:r>
      <w:r>
        <w:rPr>
          <w:color w:val="000000"/>
          <w:spacing w:val="1"/>
        </w:rPr>
        <w:t xml:space="preserve"> </w:t>
      </w:r>
      <w:r>
        <w:rPr>
          <w:color w:val="000000"/>
          <w:spacing w:val="2"/>
        </w:rPr>
        <w:t>%</w:t>
      </w:r>
      <w:r>
        <w:rPr>
          <w:color w:val="000000"/>
        </w:rPr>
        <w:t>,</w:t>
      </w:r>
      <w:r>
        <w:rPr>
          <w:color w:val="000000"/>
          <w:spacing w:val="3"/>
        </w:rPr>
        <w:t xml:space="preserve"> </w:t>
      </w:r>
      <w:r>
        <w:rPr>
          <w:color w:val="000000"/>
          <w:spacing w:val="-9"/>
        </w:rPr>
        <w:t>i</w:t>
      </w:r>
      <w:r>
        <w:rPr>
          <w:color w:val="000000"/>
        </w:rPr>
        <w:t>r</w:t>
      </w:r>
      <w:r>
        <w:rPr>
          <w:color w:val="000000"/>
          <w:spacing w:val="7"/>
        </w:rPr>
        <w:t xml:space="preserve"> </w:t>
      </w:r>
      <w:r>
        <w:rPr>
          <w:color w:val="000000"/>
          <w:spacing w:val="-5"/>
        </w:rPr>
        <w:t>n</w:t>
      </w:r>
      <w:r>
        <w:rPr>
          <w:color w:val="000000"/>
          <w:spacing w:val="-1"/>
        </w:rPr>
        <w:t>e</w:t>
      </w:r>
      <w:r>
        <w:rPr>
          <w:color w:val="000000"/>
        </w:rPr>
        <w:t>u</w:t>
      </w:r>
      <w:r>
        <w:rPr>
          <w:color w:val="000000"/>
          <w:spacing w:val="4"/>
        </w:rPr>
        <w:t>ž</w:t>
      </w:r>
      <w:r>
        <w:rPr>
          <w:color w:val="000000"/>
          <w:spacing w:val="1"/>
        </w:rPr>
        <w:t>f</w:t>
      </w:r>
      <w:r>
        <w:rPr>
          <w:color w:val="000000"/>
          <w:spacing w:val="-4"/>
        </w:rPr>
        <w:t>i</w:t>
      </w:r>
      <w:r>
        <w:rPr>
          <w:color w:val="000000"/>
        </w:rPr>
        <w:t>k</w:t>
      </w:r>
      <w:r>
        <w:rPr>
          <w:color w:val="000000"/>
          <w:spacing w:val="-2"/>
        </w:rPr>
        <w:t>s</w:t>
      </w:r>
      <w:r>
        <w:rPr>
          <w:color w:val="000000"/>
        </w:rPr>
        <w:t>u</w:t>
      </w:r>
      <w:r>
        <w:rPr>
          <w:color w:val="000000"/>
          <w:spacing w:val="5"/>
        </w:rPr>
        <w:t>ot</w:t>
      </w:r>
      <w:r>
        <w:rPr>
          <w:color w:val="000000"/>
        </w:rPr>
        <w:t xml:space="preserve">a </w:t>
      </w:r>
      <w:r>
        <w:rPr>
          <w:color w:val="000000"/>
          <w:spacing w:val="-5"/>
        </w:rPr>
        <w:t>n</w:t>
      </w:r>
      <w:r>
        <w:rPr>
          <w:color w:val="000000"/>
          <w:spacing w:val="4"/>
        </w:rPr>
        <w:t>e</w:t>
      </w:r>
      <w:r>
        <w:rPr>
          <w:color w:val="000000"/>
        </w:rPr>
        <w:t>i</w:t>
      </w:r>
      <w:r>
        <w:rPr>
          <w:color w:val="000000"/>
          <w:spacing w:val="1"/>
        </w:rPr>
        <w:t xml:space="preserve"> </w:t>
      </w:r>
      <w:r>
        <w:rPr>
          <w:color w:val="000000"/>
        </w:rPr>
        <w:t>v</w:t>
      </w:r>
      <w:r>
        <w:rPr>
          <w:color w:val="000000"/>
          <w:spacing w:val="-4"/>
        </w:rPr>
        <w:t>i</w:t>
      </w:r>
      <w:r>
        <w:rPr>
          <w:color w:val="000000"/>
          <w:spacing w:val="4"/>
        </w:rPr>
        <w:t>e</w:t>
      </w:r>
      <w:r>
        <w:rPr>
          <w:color w:val="000000"/>
          <w:spacing w:val="-5"/>
        </w:rPr>
        <w:t>n</w:t>
      </w:r>
      <w:r>
        <w:rPr>
          <w:color w:val="000000"/>
        </w:rPr>
        <w:t>o</w:t>
      </w:r>
      <w:r>
        <w:rPr>
          <w:color w:val="000000"/>
          <w:spacing w:val="6"/>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spacing w:val="5"/>
        </w:rPr>
        <w:t>o</w:t>
      </w:r>
      <w:r>
        <w:rPr>
          <w:color w:val="000000"/>
        </w:rPr>
        <w:t>,</w:t>
      </w:r>
      <w:r>
        <w:rPr>
          <w:color w:val="000000"/>
          <w:spacing w:val="3"/>
        </w:rPr>
        <w:t xml:space="preserve"> </w:t>
      </w:r>
      <w:r>
        <w:rPr>
          <w:color w:val="000000"/>
        </w:rPr>
        <w:t>k</w:t>
      </w:r>
      <w:r>
        <w:rPr>
          <w:color w:val="000000"/>
          <w:spacing w:val="-1"/>
        </w:rPr>
        <w:t>a</w:t>
      </w:r>
      <w:r>
        <w:rPr>
          <w:color w:val="000000"/>
        </w:rPr>
        <w:t xml:space="preserve">d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2"/>
        </w:rPr>
        <w:t xml:space="preserve"> </w:t>
      </w:r>
      <w:r>
        <w:rPr>
          <w:color w:val="000000"/>
        </w:rPr>
        <w:t>g</w:t>
      </w:r>
      <w:r>
        <w:rPr>
          <w:color w:val="000000"/>
          <w:spacing w:val="6"/>
        </w:rPr>
        <w:t>r</w:t>
      </w:r>
      <w:r>
        <w:rPr>
          <w:color w:val="000000"/>
          <w:spacing w:val="-5"/>
        </w:rPr>
        <w:t>y</w:t>
      </w:r>
      <w:r>
        <w:rPr>
          <w:color w:val="000000"/>
        </w:rPr>
        <w:t>n</w:t>
      </w:r>
      <w:r>
        <w:rPr>
          <w:color w:val="000000"/>
          <w:spacing w:val="5"/>
        </w:rPr>
        <w:t>u</w:t>
      </w:r>
      <w:r>
        <w:rPr>
          <w:color w:val="000000"/>
          <w:spacing w:val="-4"/>
        </w:rPr>
        <w:t>m</w:t>
      </w:r>
      <w:r>
        <w:rPr>
          <w:color w:val="000000"/>
          <w:spacing w:val="-1"/>
        </w:rPr>
        <w:t>a</w:t>
      </w:r>
      <w:r>
        <w:rPr>
          <w:color w:val="000000"/>
        </w:rPr>
        <w:t>s</w:t>
      </w:r>
      <w:r>
        <w:rPr>
          <w:color w:val="000000"/>
          <w:spacing w:val="7"/>
        </w:rPr>
        <w:t xml:space="preserve"> </w:t>
      </w:r>
      <w:r>
        <w:rPr>
          <w:color w:val="000000"/>
          <w:spacing w:val="-5"/>
        </w:rPr>
        <w:t>b</w:t>
      </w:r>
      <w:r>
        <w:rPr>
          <w:color w:val="000000"/>
        </w:rPr>
        <w:t>ū</w:t>
      </w:r>
      <w:r>
        <w:rPr>
          <w:color w:val="000000"/>
          <w:spacing w:val="5"/>
        </w:rPr>
        <w:t>t</w:t>
      </w:r>
      <w:r>
        <w:rPr>
          <w:color w:val="000000"/>
        </w:rPr>
        <w:t>ų</w:t>
      </w:r>
      <w:r>
        <w:rPr>
          <w:color w:val="000000"/>
          <w:spacing w:val="5"/>
        </w:rPr>
        <w:t xml:space="preserve"> d</w:t>
      </w:r>
      <w:r>
        <w:rPr>
          <w:color w:val="000000"/>
          <w:spacing w:val="-9"/>
        </w:rPr>
        <w:t>i</w:t>
      </w:r>
      <w:r>
        <w:rPr>
          <w:color w:val="000000"/>
        </w:rPr>
        <w:t>d</w:t>
      </w:r>
      <w:r>
        <w:rPr>
          <w:color w:val="000000"/>
          <w:spacing w:val="4"/>
        </w:rPr>
        <w:t>e</w:t>
      </w:r>
      <w:r>
        <w:rPr>
          <w:color w:val="000000"/>
          <w:spacing w:val="2"/>
        </w:rPr>
        <w:t>s</w:t>
      </w:r>
      <w:r>
        <w:rPr>
          <w:color w:val="000000"/>
        </w:rPr>
        <w:t>n</w:t>
      </w:r>
      <w:r>
        <w:rPr>
          <w:color w:val="000000"/>
          <w:spacing w:val="-4"/>
        </w:rPr>
        <w:t>i</w:t>
      </w:r>
      <w:r>
        <w:rPr>
          <w:color w:val="000000"/>
        </w:rPr>
        <w:t>s</w:t>
      </w:r>
      <w:r>
        <w:rPr>
          <w:color w:val="000000"/>
          <w:spacing w:val="7"/>
        </w:rPr>
        <w:t xml:space="preserve"> </w:t>
      </w:r>
      <w:r>
        <w:rPr>
          <w:color w:val="000000"/>
          <w:spacing w:val="-5"/>
        </w:rPr>
        <w:t>n</w:t>
      </w:r>
      <w:r>
        <w:rPr>
          <w:color w:val="000000"/>
          <w:spacing w:val="4"/>
        </w:rPr>
        <w:t>e</w:t>
      </w:r>
      <w:r>
        <w:rPr>
          <w:color w:val="000000"/>
        </w:rPr>
        <w:t>i</w:t>
      </w:r>
      <w:r>
        <w:rPr>
          <w:color w:val="000000"/>
          <w:spacing w:val="6"/>
        </w:rPr>
        <w:t xml:space="preserve"> </w:t>
      </w:r>
      <w:r>
        <w:rPr>
          <w:color w:val="000000"/>
        </w:rPr>
        <w:t>50</w:t>
      </w:r>
      <w:r>
        <w:rPr>
          <w:color w:val="000000"/>
          <w:spacing w:val="9"/>
        </w:rPr>
        <w:t xml:space="preserve"> </w:t>
      </w:r>
      <w:r>
        <w:rPr>
          <w:color w:val="000000"/>
          <w:spacing w:val="2"/>
        </w:rPr>
        <w:t>%</w:t>
      </w:r>
      <w:r>
        <w:rPr>
          <w:color w:val="000000"/>
        </w:rPr>
        <w:t>.</w:t>
      </w:r>
      <w:r>
        <w:rPr>
          <w:color w:val="000000"/>
          <w:spacing w:val="7"/>
        </w:rPr>
        <w:t xml:space="preserve"> </w:t>
      </w:r>
      <w:r>
        <w:rPr>
          <w:color w:val="000000"/>
          <w:spacing w:val="2"/>
        </w:rPr>
        <w:t>T</w:t>
      </w:r>
      <w:r>
        <w:rPr>
          <w:color w:val="000000"/>
          <w:spacing w:val="-1"/>
        </w:rPr>
        <w:t>a</w:t>
      </w:r>
      <w:r>
        <w:rPr>
          <w:color w:val="000000"/>
        </w:rPr>
        <w:t>i by</w:t>
      </w:r>
      <w:r>
        <w:rPr>
          <w:color w:val="000000"/>
          <w:spacing w:val="-9"/>
        </w:rPr>
        <w:t>l</w:t>
      </w:r>
      <w:r>
        <w:rPr>
          <w:color w:val="000000"/>
          <w:spacing w:val="9"/>
        </w:rPr>
        <w:t>o</w:t>
      </w:r>
      <w:r>
        <w:rPr>
          <w:color w:val="000000"/>
          <w:spacing w:val="-4"/>
        </w:rPr>
        <w:t>j</w:t>
      </w:r>
      <w:r>
        <w:rPr>
          <w:color w:val="000000"/>
          <w:spacing w:val="-1"/>
        </w:rPr>
        <w:t>a</w:t>
      </w:r>
      <w:r>
        <w:rPr>
          <w:color w:val="000000"/>
        </w:rPr>
        <w:t>,</w:t>
      </w:r>
      <w:r>
        <w:rPr>
          <w:color w:val="000000"/>
          <w:spacing w:val="7"/>
        </w:rPr>
        <w:t xml:space="preserve"> </w:t>
      </w:r>
      <w:r>
        <w:rPr>
          <w:color w:val="000000"/>
        </w:rPr>
        <w:t>k</w:t>
      </w:r>
      <w:r>
        <w:rPr>
          <w:color w:val="000000"/>
          <w:spacing w:val="-1"/>
        </w:rPr>
        <w:t>a</w:t>
      </w:r>
      <w:r>
        <w:rPr>
          <w:color w:val="000000"/>
        </w:rPr>
        <w:t>d</w:t>
      </w:r>
      <w:r>
        <w:rPr>
          <w:color w:val="000000"/>
          <w:spacing w:val="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w:t>
      </w:r>
      <w:r>
        <w:rPr>
          <w:color w:val="000000"/>
          <w:spacing w:val="4"/>
        </w:rPr>
        <w:t xml:space="preserve"> </w:t>
      </w:r>
      <w:r>
        <w:rPr>
          <w:color w:val="000000"/>
        </w:rPr>
        <w:t>2012</w:t>
      </w:r>
      <w:r>
        <w:rPr>
          <w:color w:val="000000"/>
          <w:spacing w:val="9"/>
        </w:rPr>
        <w:t xml:space="preserve"> </w:t>
      </w:r>
      <w:r>
        <w:rPr>
          <w:color w:val="000000"/>
          <w:spacing w:val="-9"/>
        </w:rPr>
        <w:t>m</w:t>
      </w:r>
      <w:r>
        <w:rPr>
          <w:color w:val="000000"/>
        </w:rPr>
        <w:t>.</w:t>
      </w:r>
      <w:r>
        <w:rPr>
          <w:color w:val="000000"/>
          <w:spacing w:val="7"/>
        </w:rPr>
        <w:t xml:space="preserve"> </w:t>
      </w:r>
      <w:r>
        <w:rPr>
          <w:color w:val="000000"/>
          <w:spacing w:val="1"/>
        </w:rPr>
        <w:t>(</w:t>
      </w:r>
      <w:r>
        <w:rPr>
          <w:color w:val="000000"/>
        </w:rPr>
        <w:t>k</w:t>
      </w:r>
      <w:r>
        <w:rPr>
          <w:color w:val="000000"/>
          <w:spacing w:val="4"/>
        </w:rPr>
        <w:t>a</w:t>
      </w:r>
      <w:r>
        <w:rPr>
          <w:color w:val="000000"/>
          <w:spacing w:val="-4"/>
        </w:rPr>
        <w:t>i</w:t>
      </w:r>
      <w:r>
        <w:rPr>
          <w:color w:val="000000"/>
        </w:rPr>
        <w:t>p</w:t>
      </w:r>
      <w:r>
        <w:rPr>
          <w:color w:val="000000"/>
          <w:spacing w:val="9"/>
        </w:rPr>
        <w:t xml:space="preserve"> </w:t>
      </w:r>
      <w:r>
        <w:rPr>
          <w:color w:val="000000"/>
          <w:spacing w:val="-4"/>
        </w:rPr>
        <w:t>i</w:t>
      </w:r>
      <w:r>
        <w:rPr>
          <w:color w:val="000000"/>
        </w:rPr>
        <w:t>r</w:t>
      </w:r>
      <w:r>
        <w:rPr>
          <w:color w:val="000000"/>
          <w:spacing w:val="6"/>
        </w:rPr>
        <w:t xml:space="preserve"> </w:t>
      </w:r>
      <w:r>
        <w:rPr>
          <w:color w:val="000000"/>
        </w:rPr>
        <w:t>2011</w:t>
      </w:r>
      <w:r>
        <w:rPr>
          <w:color w:val="000000"/>
          <w:spacing w:val="9"/>
        </w:rPr>
        <w:t xml:space="preserve"> </w:t>
      </w:r>
      <w:r>
        <w:rPr>
          <w:color w:val="000000"/>
          <w:spacing w:val="-9"/>
        </w:rPr>
        <w:t>m</w:t>
      </w:r>
      <w:r>
        <w:rPr>
          <w:color w:val="000000"/>
          <w:spacing w:val="7"/>
        </w:rPr>
        <w:t>.</w:t>
      </w:r>
      <w:r>
        <w:rPr>
          <w:color w:val="000000"/>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w:t>
      </w:r>
      <w:r>
        <w:rPr>
          <w:color w:val="000000"/>
          <w:spacing w:val="9"/>
        </w:rPr>
        <w:t xml:space="preserve"> </w:t>
      </w:r>
      <w:r>
        <w:rPr>
          <w:color w:val="000000"/>
        </w:rPr>
        <w:t>p</w:t>
      </w:r>
      <w:r>
        <w:rPr>
          <w:color w:val="000000"/>
          <w:spacing w:val="-1"/>
        </w:rPr>
        <w:t>a</w:t>
      </w:r>
      <w:r>
        <w:rPr>
          <w:color w:val="000000"/>
          <w:spacing w:val="2"/>
        </w:rPr>
        <w:t>s</w:t>
      </w:r>
      <w:r>
        <w:rPr>
          <w:color w:val="000000"/>
          <w:spacing w:val="-9"/>
        </w:rPr>
        <w:t>i</w:t>
      </w:r>
      <w:r>
        <w:rPr>
          <w:color w:val="000000"/>
          <w:spacing w:val="5"/>
        </w:rPr>
        <w:t>ū</w:t>
      </w:r>
      <w:r>
        <w:rPr>
          <w:color w:val="000000"/>
          <w:spacing w:val="-4"/>
        </w:rPr>
        <w:t>l</w:t>
      </w:r>
      <w:r>
        <w:rPr>
          <w:color w:val="000000"/>
        </w:rPr>
        <w:t>a</w:t>
      </w:r>
      <w:r>
        <w:rPr>
          <w:color w:val="000000"/>
          <w:spacing w:val="4"/>
        </w:rPr>
        <w:t xml:space="preserve"> </w:t>
      </w:r>
      <w:r>
        <w:rPr>
          <w:color w:val="000000"/>
          <w:spacing w:val="-5"/>
        </w:rPr>
        <w:t>b</w:t>
      </w:r>
      <w:r>
        <w:rPr>
          <w:color w:val="000000"/>
          <w:spacing w:val="5"/>
        </w:rPr>
        <w:t>u</w:t>
      </w:r>
      <w:r>
        <w:rPr>
          <w:color w:val="000000"/>
          <w:spacing w:val="-5"/>
        </w:rPr>
        <w:t>v</w:t>
      </w:r>
      <w:r>
        <w:rPr>
          <w:color w:val="000000"/>
        </w:rPr>
        <w:t>o</w:t>
      </w:r>
      <w:r>
        <w:rPr>
          <w:color w:val="000000"/>
          <w:spacing w:val="9"/>
        </w:rPr>
        <w:t xml:space="preserve"> </w:t>
      </w:r>
      <w:r>
        <w:rPr>
          <w:color w:val="000000"/>
        </w:rPr>
        <w:t>g</w:t>
      </w:r>
      <w:r>
        <w:rPr>
          <w:color w:val="000000"/>
          <w:spacing w:val="-1"/>
        </w:rPr>
        <w:t>a</w:t>
      </w:r>
      <w:r>
        <w:rPr>
          <w:color w:val="000000"/>
          <w:spacing w:val="-5"/>
        </w:rPr>
        <w:t>n</w:t>
      </w:r>
      <w:r>
        <w:rPr>
          <w:color w:val="000000"/>
        </w:rPr>
        <w:t>a</w:t>
      </w:r>
      <w:r>
        <w:rPr>
          <w:color w:val="000000"/>
          <w:spacing w:val="4"/>
        </w:rPr>
        <w:t xml:space="preserve"> </w:t>
      </w:r>
      <w:r>
        <w:rPr>
          <w:color w:val="000000"/>
          <w:spacing w:val="6"/>
        </w:rPr>
        <w:t>r</w:t>
      </w:r>
      <w:r>
        <w:rPr>
          <w:color w:val="000000"/>
          <w:spacing w:val="-4"/>
        </w:rPr>
        <w:t>i</w:t>
      </w:r>
      <w:r>
        <w:rPr>
          <w:color w:val="000000"/>
          <w:spacing w:val="-5"/>
        </w:rPr>
        <w:t>b</w:t>
      </w:r>
      <w:r>
        <w:rPr>
          <w:color w:val="000000"/>
          <w:spacing w:val="5"/>
        </w:rPr>
        <w:t>ot</w:t>
      </w:r>
      <w:r>
        <w:rPr>
          <w:color w:val="000000"/>
          <w:spacing w:val="-1"/>
        </w:rPr>
        <w:t>a</w:t>
      </w:r>
      <w:r>
        <w:rPr>
          <w:color w:val="000000"/>
        </w:rPr>
        <w:t>.</w:t>
      </w:r>
      <w:r>
        <w:rPr>
          <w:color w:val="000000"/>
          <w:spacing w:val="2"/>
        </w:rPr>
        <w:t xml:space="preserve"> </w:t>
      </w:r>
      <w:r>
        <w:rPr>
          <w:color w:val="000000"/>
          <w:spacing w:val="-3"/>
        </w:rPr>
        <w:t>T</w:t>
      </w:r>
      <w:r>
        <w:rPr>
          <w:color w:val="000000"/>
          <w:spacing w:val="5"/>
        </w:rPr>
        <w:t>o</w:t>
      </w:r>
      <w:r>
        <w:rPr>
          <w:color w:val="000000"/>
        </w:rPr>
        <w:t>d</w:t>
      </w:r>
      <w:r>
        <w:rPr>
          <w:color w:val="000000"/>
          <w:spacing w:val="-1"/>
        </w:rPr>
        <w:t>ė</w:t>
      </w:r>
      <w:r>
        <w:rPr>
          <w:color w:val="000000"/>
        </w:rPr>
        <w:t xml:space="preserve">l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rPr>
        <w:t>no</w:t>
      </w:r>
      <w:r>
        <w:rPr>
          <w:color w:val="000000"/>
          <w:spacing w:val="9"/>
        </w:rPr>
        <w:t xml:space="preserve"> </w:t>
      </w:r>
      <w:r>
        <w:rPr>
          <w:color w:val="000000"/>
        </w:rPr>
        <w:t>p</w:t>
      </w:r>
      <w:r>
        <w:rPr>
          <w:color w:val="000000"/>
          <w:spacing w:val="-9"/>
        </w:rPr>
        <w:t>l</w:t>
      </w:r>
      <w:r>
        <w:rPr>
          <w:color w:val="000000"/>
          <w:spacing w:val="-1"/>
        </w:rPr>
        <w:t>a</w:t>
      </w:r>
      <w:r>
        <w:rPr>
          <w:color w:val="000000"/>
          <w:spacing w:val="5"/>
        </w:rPr>
        <w:t>t</w:t>
      </w:r>
      <w:r>
        <w:rPr>
          <w:color w:val="000000"/>
          <w:spacing w:val="-4"/>
        </w:rPr>
        <w:t>i</w:t>
      </w:r>
      <w:r>
        <w:rPr>
          <w:color w:val="000000"/>
          <w:spacing w:val="-5"/>
        </w:rPr>
        <w:t>n</w:t>
      </w:r>
      <w:r>
        <w:rPr>
          <w:color w:val="000000"/>
          <w:spacing w:val="5"/>
        </w:rPr>
        <w:t>to</w:t>
      </w:r>
      <w:r>
        <w:rPr>
          <w:color w:val="000000"/>
          <w:spacing w:val="-9"/>
        </w:rPr>
        <w:t>j</w:t>
      </w:r>
      <w:r>
        <w:rPr>
          <w:color w:val="000000"/>
          <w:spacing w:val="4"/>
        </w:rPr>
        <w:t>a</w:t>
      </w:r>
      <w:r>
        <w:rPr>
          <w:color w:val="000000"/>
        </w:rPr>
        <w:t>i p</w:t>
      </w:r>
      <w:r>
        <w:rPr>
          <w:color w:val="000000"/>
          <w:spacing w:val="6"/>
        </w:rPr>
        <w:t>r</w:t>
      </w:r>
      <w:r>
        <w:rPr>
          <w:color w:val="000000"/>
          <w:spacing w:val="-4"/>
        </w:rPr>
        <w:t>i</w:t>
      </w:r>
      <w:r>
        <w:rPr>
          <w:color w:val="000000"/>
        </w:rPr>
        <w:t>v</w:t>
      </w:r>
      <w:r>
        <w:rPr>
          <w:color w:val="000000"/>
          <w:spacing w:val="-1"/>
        </w:rPr>
        <w:t>e</w:t>
      </w:r>
      <w:r>
        <w:rPr>
          <w:color w:val="000000"/>
          <w:spacing w:val="1"/>
        </w:rPr>
        <w:t>r</w:t>
      </w:r>
      <w:r>
        <w:rPr>
          <w:color w:val="000000"/>
          <w:spacing w:val="-2"/>
        </w:rPr>
        <w:t>s</w:t>
      </w:r>
      <w:r>
        <w:rPr>
          <w:color w:val="000000"/>
          <w:spacing w:val="5"/>
        </w:rPr>
        <w:t>t</w:t>
      </w:r>
      <w:r>
        <w:rPr>
          <w:color w:val="000000"/>
        </w:rPr>
        <w:t xml:space="preserve">i </w:t>
      </w:r>
      <w:r>
        <w:rPr>
          <w:color w:val="000000"/>
          <w:spacing w:val="-4"/>
        </w:rPr>
        <w:t>m</w:t>
      </w:r>
      <w:r>
        <w:rPr>
          <w:color w:val="000000"/>
          <w:spacing w:val="4"/>
        </w:rPr>
        <w:t>a</w:t>
      </w:r>
      <w:r>
        <w:rPr>
          <w:color w:val="000000"/>
          <w:spacing w:val="-4"/>
        </w:rPr>
        <w:t>i</w:t>
      </w:r>
      <w:r>
        <w:rPr>
          <w:color w:val="000000"/>
          <w:spacing w:val="2"/>
        </w:rPr>
        <w:t>š</w:t>
      </w:r>
      <w:r>
        <w:rPr>
          <w:color w:val="000000"/>
          <w:spacing w:val="-10"/>
        </w:rPr>
        <w:t>y</w:t>
      </w:r>
      <w:r>
        <w:rPr>
          <w:color w:val="000000"/>
          <w:spacing w:val="10"/>
        </w:rPr>
        <w:t>t</w:t>
      </w:r>
      <w:r>
        <w:rPr>
          <w:color w:val="000000"/>
        </w:rPr>
        <w:t>i</w:t>
      </w:r>
      <w:r>
        <w:rPr>
          <w:color w:val="000000"/>
          <w:spacing w:val="5"/>
        </w:rPr>
        <w:t xml:space="preserve"> </w:t>
      </w:r>
      <w:r>
        <w:rPr>
          <w:color w:val="000000"/>
        </w:rPr>
        <w:t>jį</w:t>
      </w:r>
      <w:r>
        <w:rPr>
          <w:color w:val="000000"/>
          <w:spacing w:val="13"/>
        </w:rPr>
        <w:t xml:space="preserve"> </w:t>
      </w:r>
      <w:r>
        <w:rPr>
          <w:color w:val="000000"/>
          <w:spacing w:val="-2"/>
        </w:rPr>
        <w:t>s</w:t>
      </w:r>
      <w:r>
        <w:rPr>
          <w:color w:val="000000"/>
        </w:rPr>
        <w:t>u</w:t>
      </w:r>
      <w:r>
        <w:rPr>
          <w:color w:val="000000"/>
          <w:spacing w:val="5"/>
        </w:rPr>
        <w:t xml:space="preserve"> </w:t>
      </w:r>
      <w:r>
        <w:rPr>
          <w:color w:val="000000"/>
        </w:rPr>
        <w:t>p</w:t>
      </w:r>
      <w:r>
        <w:rPr>
          <w:color w:val="000000"/>
          <w:spacing w:val="-1"/>
        </w:rPr>
        <w:t>a</w:t>
      </w:r>
      <w:r>
        <w:rPr>
          <w:color w:val="000000"/>
        </w:rPr>
        <w:t>n</w:t>
      </w:r>
      <w:r>
        <w:rPr>
          <w:color w:val="000000"/>
          <w:spacing w:val="-1"/>
        </w:rPr>
        <w:t>a</w:t>
      </w:r>
      <w:r>
        <w:rPr>
          <w:color w:val="000000"/>
          <w:spacing w:val="2"/>
        </w:rPr>
        <w:t>š</w:t>
      </w:r>
      <w:r>
        <w:rPr>
          <w:color w:val="000000"/>
          <w:spacing w:val="-9"/>
        </w:rPr>
        <w:t>i</w:t>
      </w:r>
      <w:r>
        <w:rPr>
          <w:color w:val="000000"/>
          <w:spacing w:val="9"/>
        </w:rPr>
        <w:t>o</w:t>
      </w:r>
      <w:r>
        <w:rPr>
          <w:color w:val="000000"/>
        </w:rPr>
        <w:t>m</w:t>
      </w:r>
      <w:r>
        <w:rPr>
          <w:color w:val="000000"/>
          <w:spacing w:val="-4"/>
        </w:rPr>
        <w:t>i</w:t>
      </w:r>
      <w:r>
        <w:rPr>
          <w:color w:val="000000"/>
        </w:rPr>
        <w:t>s p</w:t>
      </w:r>
      <w:r>
        <w:rPr>
          <w:color w:val="000000"/>
          <w:spacing w:val="-1"/>
        </w:rPr>
        <w:t>a</w:t>
      </w:r>
      <w:r>
        <w:rPr>
          <w:color w:val="000000"/>
          <w:spacing w:val="-2"/>
        </w:rPr>
        <w:t>š</w:t>
      </w:r>
      <w:r>
        <w:rPr>
          <w:color w:val="000000"/>
          <w:spacing w:val="4"/>
        </w:rPr>
        <w:t>a</w:t>
      </w:r>
      <w:r>
        <w:rPr>
          <w:color w:val="000000"/>
        </w:rPr>
        <w:t>l</w:t>
      </w:r>
      <w:r>
        <w:rPr>
          <w:color w:val="000000"/>
          <w:spacing w:val="-4"/>
        </w:rPr>
        <w:t>i</w:t>
      </w:r>
      <w:r>
        <w:rPr>
          <w:color w:val="000000"/>
        </w:rPr>
        <w:t>n</w:t>
      </w:r>
      <w:r>
        <w:rPr>
          <w:color w:val="000000"/>
          <w:spacing w:val="4"/>
        </w:rPr>
        <w:t>ė</w:t>
      </w:r>
      <w:r>
        <w:rPr>
          <w:color w:val="000000"/>
        </w:rPr>
        <w:t>m</w:t>
      </w:r>
      <w:r>
        <w:rPr>
          <w:color w:val="000000"/>
          <w:spacing w:val="-4"/>
        </w:rPr>
        <w:t>i</w:t>
      </w:r>
      <w:r>
        <w:rPr>
          <w:color w:val="000000"/>
        </w:rPr>
        <w:t>s</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9"/>
        </w:rPr>
        <w:t>o</w:t>
      </w:r>
      <w:r>
        <w:rPr>
          <w:color w:val="000000"/>
          <w:spacing w:val="-4"/>
        </w:rPr>
        <w:t>mi</w:t>
      </w:r>
      <w:r>
        <w:rPr>
          <w:color w:val="000000"/>
          <w:spacing w:val="-2"/>
        </w:rPr>
        <w:t>s</w:t>
      </w:r>
      <w:r>
        <w:rPr>
          <w:color w:val="000000"/>
        </w:rPr>
        <w:t>.</w:t>
      </w:r>
      <w:r>
        <w:rPr>
          <w:color w:val="000000"/>
          <w:spacing w:val="6"/>
        </w:rPr>
        <w:t xml:space="preserve"> </w:t>
      </w:r>
      <w:r>
        <w:rPr>
          <w:color w:val="000000"/>
          <w:spacing w:val="2"/>
        </w:rPr>
        <w:t>T</w:t>
      </w:r>
      <w:r>
        <w:rPr>
          <w:color w:val="000000"/>
          <w:spacing w:val="4"/>
        </w:rPr>
        <w:t>a</w:t>
      </w:r>
      <w:r>
        <w:rPr>
          <w:color w:val="000000"/>
        </w:rPr>
        <w:t>i</w:t>
      </w:r>
      <w:r>
        <w:rPr>
          <w:color w:val="000000"/>
          <w:spacing w:val="5"/>
        </w:rPr>
        <w:t xml:space="preserve"> </w:t>
      </w:r>
      <w:r>
        <w:rPr>
          <w:color w:val="000000"/>
          <w:spacing w:val="-10"/>
        </w:rPr>
        <w:t>y</w:t>
      </w:r>
      <w:r>
        <w:rPr>
          <w:color w:val="000000"/>
          <w:spacing w:val="6"/>
        </w:rPr>
        <w:t>r</w:t>
      </w:r>
      <w:r>
        <w:rPr>
          <w:color w:val="000000"/>
        </w:rPr>
        <w:t>a</w:t>
      </w:r>
      <w:r>
        <w:rPr>
          <w:color w:val="000000"/>
          <w:spacing w:val="3"/>
        </w:rPr>
        <w:t xml:space="preserve"> </w:t>
      </w:r>
      <w:r>
        <w:rPr>
          <w:color w:val="000000"/>
        </w:rPr>
        <w:t>d</w:t>
      </w:r>
      <w:r>
        <w:rPr>
          <w:color w:val="000000"/>
          <w:spacing w:val="-1"/>
        </w:rPr>
        <w:t>a</w:t>
      </w:r>
      <w:r>
        <w:rPr>
          <w:color w:val="000000"/>
        </w:rPr>
        <w:t>r</w:t>
      </w:r>
      <w:r>
        <w:rPr>
          <w:color w:val="000000"/>
          <w:spacing w:val="6"/>
        </w:rPr>
        <w:t xml:space="preserve"> </w:t>
      </w:r>
      <w:r>
        <w:rPr>
          <w:color w:val="000000"/>
        </w:rPr>
        <w:t>v</w:t>
      </w:r>
      <w:r>
        <w:rPr>
          <w:color w:val="000000"/>
          <w:spacing w:val="-4"/>
        </w:rPr>
        <w:t>i</w:t>
      </w:r>
      <w:r>
        <w:rPr>
          <w:color w:val="000000"/>
          <w:spacing w:val="4"/>
        </w:rPr>
        <w:t>e</w:t>
      </w:r>
      <w:r>
        <w:rPr>
          <w:color w:val="000000"/>
        </w:rPr>
        <w:t>na</w:t>
      </w:r>
      <w:r>
        <w:rPr>
          <w:color w:val="000000"/>
          <w:spacing w:val="8"/>
        </w:rPr>
        <w:t xml:space="preserve"> </w:t>
      </w:r>
      <w:r>
        <w:rPr>
          <w:color w:val="000000"/>
          <w:spacing w:val="-4"/>
        </w:rPr>
        <w:t>i</w:t>
      </w:r>
      <w:r>
        <w:rPr>
          <w:color w:val="000000"/>
        </w:rPr>
        <w:t>š</w:t>
      </w:r>
      <w:r>
        <w:rPr>
          <w:color w:val="000000"/>
          <w:spacing w:val="7"/>
        </w:rPr>
        <w:t xml:space="preserve"> </w:t>
      </w:r>
      <w:r>
        <w:rPr>
          <w:color w:val="000000"/>
        </w:rPr>
        <w:t>p</w:t>
      </w:r>
      <w:r>
        <w:rPr>
          <w:color w:val="000000"/>
          <w:spacing w:val="6"/>
        </w:rPr>
        <w:t>r</w:t>
      </w:r>
      <w:r>
        <w:rPr>
          <w:color w:val="000000"/>
          <w:spacing w:val="-9"/>
        </w:rPr>
        <w:t>i</w:t>
      </w:r>
      <w:r>
        <w:rPr>
          <w:color w:val="000000"/>
          <w:spacing w:val="-1"/>
        </w:rPr>
        <w:t>ež</w:t>
      </w:r>
      <w:r>
        <w:rPr>
          <w:color w:val="000000"/>
          <w:spacing w:val="4"/>
        </w:rPr>
        <w:t>a</w:t>
      </w:r>
      <w:r>
        <w:rPr>
          <w:color w:val="000000"/>
          <w:spacing w:val="-2"/>
        </w:rPr>
        <w:t>s</w:t>
      </w:r>
      <w:r>
        <w:rPr>
          <w:color w:val="000000"/>
          <w:spacing w:val="4"/>
        </w:rPr>
        <w:t>č</w:t>
      </w:r>
      <w:r>
        <w:rPr>
          <w:color w:val="000000"/>
          <w:spacing w:val="-4"/>
        </w:rPr>
        <w:t>i</w:t>
      </w:r>
      <w:r>
        <w:rPr>
          <w:color w:val="000000"/>
        </w:rPr>
        <w:t>ų,</w:t>
      </w:r>
      <w:r>
        <w:rPr>
          <w:color w:val="000000"/>
          <w:spacing w:val="6"/>
        </w:rPr>
        <w:t xml:space="preserve"> </w:t>
      </w:r>
      <w:r>
        <w:rPr>
          <w:color w:val="000000"/>
        </w:rPr>
        <w:t>k</w:t>
      </w:r>
      <w:r>
        <w:rPr>
          <w:color w:val="000000"/>
          <w:spacing w:val="5"/>
        </w:rPr>
        <w:t>o</w:t>
      </w:r>
      <w:r>
        <w:rPr>
          <w:color w:val="000000"/>
        </w:rPr>
        <w:t>d</w:t>
      </w:r>
      <w:r>
        <w:rPr>
          <w:color w:val="000000"/>
          <w:spacing w:val="-1"/>
        </w:rPr>
        <w:t>ė</w:t>
      </w:r>
      <w:r>
        <w:rPr>
          <w:color w:val="000000"/>
        </w:rPr>
        <w:t xml:space="preserve">l </w:t>
      </w:r>
      <w:r>
        <w:rPr>
          <w:color w:val="000000"/>
          <w:spacing w:val="-5"/>
        </w:rPr>
        <w:t>n</w:t>
      </w:r>
      <w:r>
        <w:rPr>
          <w:color w:val="000000"/>
          <w:spacing w:val="4"/>
        </w:rPr>
        <w:t>e</w:t>
      </w:r>
      <w:r>
        <w:rPr>
          <w:color w:val="000000"/>
          <w:spacing w:val="-4"/>
        </w:rPr>
        <w:t>l</w:t>
      </w:r>
      <w:r>
        <w:rPr>
          <w:color w:val="000000"/>
          <w:spacing w:val="-1"/>
        </w:rPr>
        <w:t>e</w:t>
      </w:r>
      <w:r>
        <w:rPr>
          <w:color w:val="000000"/>
          <w:spacing w:val="5"/>
        </w:rPr>
        <w:t>g</w:t>
      </w:r>
      <w:r>
        <w:rPr>
          <w:color w:val="000000"/>
          <w:spacing w:val="4"/>
        </w:rPr>
        <w:t>a</w:t>
      </w:r>
      <w:r>
        <w:rPr>
          <w:color w:val="000000"/>
          <w:spacing w:val="-4"/>
        </w:rPr>
        <w:t>l</w:t>
      </w:r>
      <w:r>
        <w:rPr>
          <w:color w:val="000000"/>
          <w:spacing w:val="-9"/>
        </w:rPr>
        <w:t>i</w:t>
      </w:r>
      <w:r>
        <w:rPr>
          <w:color w:val="000000"/>
          <w:spacing w:val="9"/>
        </w:rPr>
        <w:t>o</w:t>
      </w:r>
      <w:r>
        <w:rPr>
          <w:color w:val="000000"/>
          <w:spacing w:val="-4"/>
        </w:rPr>
        <w:t>j</w:t>
      </w:r>
      <w:r>
        <w:rPr>
          <w:color w:val="000000"/>
        </w:rPr>
        <w:t>e</w:t>
      </w:r>
      <w:r>
        <w:rPr>
          <w:color w:val="000000"/>
          <w:spacing w:val="8"/>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rPr>
        <w:t>t</w:t>
      </w:r>
      <w:r>
        <w:rPr>
          <w:color w:val="000000"/>
          <w:spacing w:val="5"/>
        </w:rPr>
        <w:t>o</w:t>
      </w:r>
      <w:r>
        <w:rPr>
          <w:color w:val="000000"/>
          <w:spacing w:val="-9"/>
        </w:rPr>
        <w:t>j</w:t>
      </w:r>
      <w:r>
        <w:rPr>
          <w:color w:val="000000"/>
        </w:rPr>
        <w:t>e</w:t>
      </w:r>
      <w:r>
        <w:rPr>
          <w:color w:val="000000"/>
          <w:spacing w:val="8"/>
        </w:rPr>
        <w:t xml:space="preserve"> </w:t>
      </w:r>
      <w:r>
        <w:rPr>
          <w:color w:val="000000"/>
        </w:rPr>
        <w:t>n</w:t>
      </w:r>
      <w:r>
        <w:rPr>
          <w:color w:val="000000"/>
          <w:spacing w:val="4"/>
        </w:rPr>
        <w:t>e</w:t>
      </w:r>
      <w:r>
        <w:rPr>
          <w:color w:val="000000"/>
          <w:spacing w:val="-5"/>
        </w:rPr>
        <w:t>b</w:t>
      </w:r>
      <w:r>
        <w:rPr>
          <w:color w:val="000000"/>
          <w:spacing w:val="5"/>
        </w:rPr>
        <w:t>u</w:t>
      </w:r>
      <w:r>
        <w:rPr>
          <w:color w:val="000000"/>
          <w:spacing w:val="-5"/>
        </w:rPr>
        <w:t>v</w:t>
      </w:r>
      <w:r>
        <w:rPr>
          <w:color w:val="000000"/>
        </w:rPr>
        <w:t xml:space="preserve">o </w:t>
      </w:r>
      <w:r>
        <w:rPr>
          <w:color w:val="000000"/>
          <w:spacing w:val="-4"/>
        </w:rPr>
        <w:t>j</w:t>
      </w:r>
      <w:r>
        <w:rPr>
          <w:color w:val="000000"/>
          <w:spacing w:val="5"/>
        </w:rPr>
        <w:t>u</w:t>
      </w:r>
      <w:r>
        <w:rPr>
          <w:color w:val="000000"/>
          <w:spacing w:val="-5"/>
        </w:rPr>
        <w:t>n</w:t>
      </w:r>
      <w:r>
        <w:rPr>
          <w:color w:val="000000"/>
          <w:spacing w:val="5"/>
        </w:rPr>
        <w:t>t</w:t>
      </w:r>
      <w:r>
        <w:rPr>
          <w:color w:val="000000"/>
          <w:spacing w:val="4"/>
        </w:rPr>
        <w:t>a</w:t>
      </w:r>
      <w:r>
        <w:rPr>
          <w:color w:val="000000"/>
          <w:spacing w:val="-9"/>
        </w:rPr>
        <w:t>m</w:t>
      </w:r>
      <w:r>
        <w:rPr>
          <w:color w:val="000000"/>
          <w:spacing w:val="-1"/>
        </w:rPr>
        <w:t>a</w:t>
      </w:r>
      <w:r>
        <w:rPr>
          <w:color w:val="000000"/>
        </w:rPr>
        <w:t>s</w:t>
      </w:r>
      <w:r>
        <w:rPr>
          <w:color w:val="000000"/>
          <w:spacing w:val="5"/>
        </w:rPr>
        <w:t xml:space="preserve"> </w:t>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rPr>
        <w:t>o</w:t>
      </w:r>
      <w:r>
        <w:rPr>
          <w:color w:val="000000"/>
          <w:spacing w:val="2"/>
        </w:rPr>
        <w:t xml:space="preserve"> </w:t>
      </w:r>
      <w:r>
        <w:rPr>
          <w:color w:val="000000"/>
          <w:spacing w:val="5"/>
        </w:rPr>
        <w:t>t</w:t>
      </w:r>
      <w:r>
        <w:rPr>
          <w:color w:val="000000"/>
          <w:spacing w:val="1"/>
        </w:rPr>
        <w:t>r</w:t>
      </w:r>
      <w:r>
        <w:rPr>
          <w:color w:val="000000"/>
        </w:rPr>
        <w:t>ūku</w:t>
      </w:r>
      <w:r>
        <w:rPr>
          <w:color w:val="000000"/>
          <w:spacing w:val="-9"/>
        </w:rPr>
        <w:t>m</w:t>
      </w:r>
      <w:r>
        <w:rPr>
          <w:color w:val="000000"/>
          <w:spacing w:val="-1"/>
        </w:rPr>
        <w:t>a</w:t>
      </w:r>
      <w:r>
        <w:rPr>
          <w:color w:val="000000"/>
          <w:spacing w:val="-2"/>
        </w:rPr>
        <w:t>s</w:t>
      </w:r>
      <w:r>
        <w:rPr>
          <w:color w:val="000000"/>
        </w:rPr>
        <w:t>.</w:t>
      </w:r>
    </w:p>
    <w:p w:rsidR="004F7425" w:rsidRDefault="004F7425" w:rsidP="004F7425">
      <w:pPr>
        <w:widowControl w:val="0"/>
        <w:autoSpaceDE w:val="0"/>
        <w:autoSpaceDN w:val="0"/>
        <w:adjustRightInd w:val="0"/>
        <w:spacing w:before="1"/>
        <w:ind w:left="1000" w:right="-20"/>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w:t>
      </w:r>
      <w:r>
        <w:rPr>
          <w:color w:val="000000"/>
          <w:spacing w:val="12"/>
        </w:rPr>
        <w:t xml:space="preserve"> </w:t>
      </w:r>
      <w:r>
        <w:rPr>
          <w:color w:val="000000"/>
          <w:spacing w:val="-4"/>
        </w:rPr>
        <w:t>j</w:t>
      </w:r>
      <w:r>
        <w:rPr>
          <w:color w:val="000000"/>
          <w:spacing w:val="-1"/>
        </w:rPr>
        <w:t>a</w:t>
      </w:r>
      <w:r>
        <w:rPr>
          <w:color w:val="000000"/>
        </w:rPr>
        <w:t>u</w:t>
      </w:r>
      <w:r>
        <w:rPr>
          <w:color w:val="000000"/>
          <w:spacing w:val="7"/>
        </w:rPr>
        <w:t xml:space="preserve"> </w:t>
      </w:r>
      <w:r>
        <w:rPr>
          <w:color w:val="000000"/>
          <w:spacing w:val="4"/>
        </w:rPr>
        <w:t>e</w:t>
      </w:r>
      <w:r>
        <w:rPr>
          <w:color w:val="000000"/>
          <w:spacing w:val="-4"/>
        </w:rPr>
        <w:t>il</w:t>
      </w:r>
      <w:r>
        <w:rPr>
          <w:color w:val="000000"/>
        </w:rPr>
        <w:t>ė</w:t>
      </w:r>
      <w:r>
        <w:rPr>
          <w:color w:val="000000"/>
          <w:spacing w:val="11"/>
        </w:rPr>
        <w:t xml:space="preserve"> </w:t>
      </w:r>
      <w:r>
        <w:rPr>
          <w:color w:val="000000"/>
          <w:spacing w:val="-4"/>
        </w:rPr>
        <w:t>m</w:t>
      </w:r>
      <w:r>
        <w:rPr>
          <w:color w:val="000000"/>
          <w:spacing w:val="-1"/>
        </w:rPr>
        <w:t>e</w:t>
      </w:r>
      <w:r>
        <w:rPr>
          <w:color w:val="000000"/>
          <w:spacing w:val="5"/>
        </w:rPr>
        <w:t>t</w:t>
      </w:r>
      <w:r>
        <w:rPr>
          <w:color w:val="000000"/>
        </w:rPr>
        <w:t>ų</w:t>
      </w:r>
      <w:r>
        <w:rPr>
          <w:color w:val="000000"/>
          <w:spacing w:val="9"/>
        </w:rPr>
        <w:t xml:space="preserve"> </w:t>
      </w:r>
      <w:r>
        <w:rPr>
          <w:b/>
          <w:bCs/>
          <w:color w:val="974705"/>
        </w:rPr>
        <w:t>ag</w:t>
      </w:r>
      <w:r>
        <w:rPr>
          <w:b/>
          <w:bCs/>
          <w:color w:val="974705"/>
          <w:spacing w:val="1"/>
        </w:rPr>
        <w:t>u</w:t>
      </w:r>
      <w:r>
        <w:rPr>
          <w:b/>
          <w:bCs/>
          <w:color w:val="974705"/>
        </w:rPr>
        <w:t>o</w:t>
      </w:r>
      <w:r>
        <w:rPr>
          <w:b/>
          <w:bCs/>
          <w:color w:val="974705"/>
          <w:spacing w:val="1"/>
        </w:rPr>
        <w:t>n</w:t>
      </w:r>
      <w:r>
        <w:rPr>
          <w:b/>
          <w:bCs/>
          <w:color w:val="974705"/>
        </w:rPr>
        <w:t>os</w:t>
      </w:r>
      <w:r>
        <w:rPr>
          <w:b/>
          <w:bCs/>
          <w:color w:val="974705"/>
          <w:spacing w:val="5"/>
        </w:rPr>
        <w:t xml:space="preserve"> </w:t>
      </w:r>
      <w:r>
        <w:rPr>
          <w:b/>
          <w:bCs/>
          <w:color w:val="974705"/>
        </w:rPr>
        <w:t>ir</w:t>
      </w:r>
      <w:r>
        <w:rPr>
          <w:b/>
          <w:bCs/>
          <w:color w:val="974705"/>
          <w:spacing w:val="2"/>
        </w:rPr>
        <w:t xml:space="preserve"> </w:t>
      </w:r>
      <w:r>
        <w:rPr>
          <w:b/>
          <w:bCs/>
          <w:color w:val="974705"/>
          <w:spacing w:val="1"/>
        </w:rPr>
        <w:t>j</w:t>
      </w:r>
      <w:r>
        <w:rPr>
          <w:b/>
          <w:bCs/>
          <w:color w:val="974705"/>
        </w:rPr>
        <w:t>ų</w:t>
      </w:r>
      <w:r>
        <w:rPr>
          <w:b/>
          <w:bCs/>
          <w:color w:val="974705"/>
          <w:spacing w:val="8"/>
        </w:rPr>
        <w:t xml:space="preserve"> </w:t>
      </w:r>
      <w:r>
        <w:rPr>
          <w:b/>
          <w:bCs/>
          <w:color w:val="974705"/>
          <w:spacing w:val="1"/>
        </w:rPr>
        <w:t>d</w:t>
      </w:r>
      <w:r>
        <w:rPr>
          <w:b/>
          <w:bCs/>
          <w:color w:val="974705"/>
        </w:rPr>
        <w:t>a</w:t>
      </w:r>
      <w:r>
        <w:rPr>
          <w:b/>
          <w:bCs/>
          <w:color w:val="974705"/>
          <w:spacing w:val="-4"/>
        </w:rPr>
        <w:t>l</w:t>
      </w:r>
      <w:r>
        <w:rPr>
          <w:b/>
          <w:bCs/>
          <w:color w:val="974705"/>
        </w:rPr>
        <w:t>ių</w:t>
      </w:r>
      <w:r>
        <w:rPr>
          <w:b/>
          <w:bCs/>
          <w:color w:val="974705"/>
          <w:spacing w:val="8"/>
        </w:rPr>
        <w:t xml:space="preserve"> </w:t>
      </w:r>
      <w:r>
        <w:rPr>
          <w:b/>
          <w:bCs/>
          <w:color w:val="974705"/>
          <w:spacing w:val="-4"/>
        </w:rPr>
        <w:t>k</w:t>
      </w:r>
      <w:r>
        <w:rPr>
          <w:b/>
          <w:bCs/>
          <w:color w:val="974705"/>
        </w:rPr>
        <w:t>o</w:t>
      </w:r>
      <w:r>
        <w:rPr>
          <w:b/>
          <w:bCs/>
          <w:color w:val="974705"/>
          <w:spacing w:val="1"/>
        </w:rPr>
        <w:t>n</w:t>
      </w:r>
      <w:r>
        <w:rPr>
          <w:b/>
          <w:bCs/>
          <w:color w:val="974705"/>
          <w:spacing w:val="4"/>
        </w:rPr>
        <w:t>c</w:t>
      </w:r>
      <w:r>
        <w:rPr>
          <w:b/>
          <w:bCs/>
          <w:color w:val="974705"/>
          <w:spacing w:val="-1"/>
        </w:rPr>
        <w:t>e</w:t>
      </w:r>
      <w:r>
        <w:rPr>
          <w:b/>
          <w:bCs/>
          <w:color w:val="974705"/>
          <w:spacing w:val="1"/>
        </w:rPr>
        <w:t>nt</w:t>
      </w:r>
      <w:r>
        <w:rPr>
          <w:b/>
          <w:bCs/>
          <w:color w:val="974705"/>
          <w:spacing w:val="-6"/>
        </w:rPr>
        <w:t>r</w:t>
      </w:r>
      <w:r>
        <w:rPr>
          <w:b/>
          <w:bCs/>
          <w:color w:val="974705"/>
        </w:rPr>
        <w:t>a</w:t>
      </w:r>
      <w:r>
        <w:rPr>
          <w:b/>
          <w:bCs/>
          <w:color w:val="974705"/>
          <w:spacing w:val="1"/>
        </w:rPr>
        <w:t>t</w:t>
      </w:r>
      <w:r>
        <w:rPr>
          <w:b/>
          <w:bCs/>
          <w:color w:val="974705"/>
        </w:rPr>
        <w:t>as</w:t>
      </w:r>
      <w:r>
        <w:rPr>
          <w:b/>
          <w:bCs/>
          <w:color w:val="974705"/>
          <w:spacing w:val="15"/>
        </w:rPr>
        <w:t xml:space="preserve"> </w:t>
      </w:r>
      <w:r>
        <w:rPr>
          <w:color w:val="000000"/>
          <w:spacing w:val="-5"/>
        </w:rPr>
        <w:t>b</w:t>
      </w:r>
      <w:r>
        <w:rPr>
          <w:color w:val="000000"/>
          <w:spacing w:val="4"/>
        </w:rPr>
        <w:t>e</w:t>
      </w:r>
      <w:r>
        <w:rPr>
          <w:color w:val="000000"/>
          <w:spacing w:val="-5"/>
        </w:rPr>
        <w:t>v</w:t>
      </w:r>
      <w:r>
        <w:rPr>
          <w:color w:val="000000"/>
          <w:spacing w:val="4"/>
        </w:rPr>
        <w:t>e</w:t>
      </w:r>
      <w:r>
        <w:rPr>
          <w:color w:val="000000"/>
          <w:spacing w:val="-4"/>
        </w:rPr>
        <w:t>i</w:t>
      </w:r>
      <w:r>
        <w:rPr>
          <w:color w:val="000000"/>
        </w:rPr>
        <w:t>k</w:t>
      </w:r>
      <w:r>
        <w:rPr>
          <w:color w:val="000000"/>
          <w:spacing w:val="12"/>
        </w:rPr>
        <w:t xml:space="preserve"> </w:t>
      </w:r>
      <w:r>
        <w:rPr>
          <w:color w:val="000000"/>
          <w:spacing w:val="-5"/>
        </w:rPr>
        <w:t>n</w:t>
      </w:r>
      <w:r>
        <w:rPr>
          <w:color w:val="000000"/>
          <w:spacing w:val="-1"/>
        </w:rPr>
        <w:t>e</w:t>
      </w:r>
      <w:r>
        <w:rPr>
          <w:color w:val="000000"/>
          <w:spacing w:val="5"/>
        </w:rPr>
        <w:t>t</w:t>
      </w:r>
      <w:r>
        <w:rPr>
          <w:color w:val="000000"/>
        </w:rPr>
        <w:t>u</w:t>
      </w:r>
      <w:r>
        <w:rPr>
          <w:color w:val="000000"/>
          <w:spacing w:val="6"/>
        </w:rPr>
        <w:t>r</w:t>
      </w:r>
      <w:r>
        <w:rPr>
          <w:color w:val="000000"/>
        </w:rPr>
        <w:t>i</w:t>
      </w:r>
      <w:r>
        <w:rPr>
          <w:color w:val="000000"/>
          <w:spacing w:val="-2"/>
        </w:rPr>
        <w:t xml:space="preserve"> </w:t>
      </w:r>
      <w:r>
        <w:rPr>
          <w:color w:val="000000"/>
        </w:rPr>
        <w:t>p</w:t>
      </w:r>
      <w:r>
        <w:rPr>
          <w:color w:val="000000"/>
          <w:spacing w:val="-1"/>
        </w:rPr>
        <w:t>a</w:t>
      </w:r>
      <w:r>
        <w:rPr>
          <w:color w:val="000000"/>
          <w:spacing w:val="5"/>
        </w:rPr>
        <w:t>k</w:t>
      </w:r>
      <w:r>
        <w:rPr>
          <w:color w:val="000000"/>
          <w:spacing w:val="-4"/>
        </w:rPr>
        <w:t>l</w:t>
      </w:r>
      <w:r>
        <w:rPr>
          <w:color w:val="000000"/>
          <w:spacing w:val="-1"/>
        </w:rPr>
        <w:t>a</w:t>
      </w:r>
      <w:r>
        <w:rPr>
          <w:color w:val="000000"/>
        </w:rPr>
        <w:t>u</w:t>
      </w:r>
      <w:r>
        <w:rPr>
          <w:color w:val="000000"/>
          <w:spacing w:val="-2"/>
        </w:rPr>
        <w:t>s</w:t>
      </w:r>
      <w:r>
        <w:rPr>
          <w:color w:val="000000"/>
          <w:spacing w:val="5"/>
        </w:rPr>
        <w:t>o</w:t>
      </w:r>
      <w:r>
        <w:rPr>
          <w:color w:val="000000"/>
          <w:spacing w:val="-2"/>
        </w:rPr>
        <w:t>s</w:t>
      </w:r>
      <w:r>
        <w:rPr>
          <w:color w:val="000000"/>
        </w:rPr>
        <w:t>.</w:t>
      </w:r>
      <w:r>
        <w:rPr>
          <w:color w:val="000000"/>
          <w:spacing w:val="9"/>
        </w:rPr>
        <w:t xml:space="preserve"> </w:t>
      </w:r>
      <w:r>
        <w:rPr>
          <w:color w:val="000000"/>
        </w:rPr>
        <w:t>2012</w:t>
      </w:r>
      <w:r>
        <w:rPr>
          <w:color w:val="000000"/>
          <w:spacing w:val="12"/>
        </w:rPr>
        <w:t xml:space="preserve"> </w:t>
      </w:r>
      <w:r>
        <w:rPr>
          <w:color w:val="000000"/>
          <w:spacing w:val="-9"/>
        </w:rPr>
        <w:t>m</w:t>
      </w:r>
      <w:r>
        <w:rPr>
          <w:color w:val="000000"/>
        </w:rPr>
        <w:t>.</w:t>
      </w:r>
    </w:p>
    <w:p w:rsidR="004F7425" w:rsidRDefault="004F7425" w:rsidP="004F7425">
      <w:pPr>
        <w:widowControl w:val="0"/>
        <w:autoSpaceDE w:val="0"/>
        <w:autoSpaceDN w:val="0"/>
        <w:adjustRightInd w:val="0"/>
        <w:spacing w:before="46"/>
        <w:ind w:left="280" w:right="53"/>
        <w:jc w:val="both"/>
        <w:rPr>
          <w:color w:val="000000"/>
        </w:rPr>
      </w:pP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5"/>
        </w:rPr>
        <w:t>n</w:t>
      </w:r>
      <w:r>
        <w:rPr>
          <w:color w:val="000000"/>
          <w:spacing w:val="5"/>
        </w:rPr>
        <w:t>u</w:t>
      </w:r>
      <w:r>
        <w:rPr>
          <w:color w:val="000000"/>
          <w:spacing w:val="-2"/>
        </w:rPr>
        <w:t>s</w:t>
      </w:r>
      <w:r>
        <w:rPr>
          <w:color w:val="000000"/>
          <w:spacing w:val="5"/>
        </w:rPr>
        <w:t>t</w:t>
      </w:r>
      <w:r>
        <w:rPr>
          <w:color w:val="000000"/>
          <w:spacing w:val="-1"/>
        </w:rPr>
        <w:t>a</w:t>
      </w:r>
      <w:r>
        <w:rPr>
          <w:color w:val="000000"/>
          <w:spacing w:val="5"/>
        </w:rPr>
        <w:t>t</w:t>
      </w:r>
      <w:r>
        <w:rPr>
          <w:color w:val="000000"/>
          <w:spacing w:val="-10"/>
        </w:rPr>
        <w:t>y</w:t>
      </w:r>
      <w:r>
        <w:rPr>
          <w:color w:val="000000"/>
          <w:spacing w:val="10"/>
        </w:rPr>
        <w:t>t</w:t>
      </w:r>
      <w:r>
        <w:rPr>
          <w:color w:val="000000"/>
        </w:rPr>
        <w:t>i</w:t>
      </w:r>
      <w:r>
        <w:rPr>
          <w:color w:val="000000"/>
          <w:spacing w:val="-7"/>
        </w:rPr>
        <w:t xml:space="preserve"> </w:t>
      </w:r>
      <w:r>
        <w:rPr>
          <w:color w:val="000000"/>
          <w:spacing w:val="10"/>
        </w:rPr>
        <w:t>t</w:t>
      </w:r>
      <w:r>
        <w:rPr>
          <w:color w:val="000000"/>
          <w:spacing w:val="-9"/>
        </w:rPr>
        <w:t>i</w:t>
      </w:r>
      <w:r>
        <w:rPr>
          <w:color w:val="000000"/>
        </w:rPr>
        <w:t>k</w:t>
      </w:r>
      <w:r>
        <w:rPr>
          <w:color w:val="000000"/>
          <w:spacing w:val="2"/>
        </w:rPr>
        <w:t xml:space="preserve"> </w:t>
      </w:r>
      <w:r>
        <w:rPr>
          <w:color w:val="000000"/>
        </w:rPr>
        <w:t>7</w:t>
      </w:r>
      <w:r>
        <w:rPr>
          <w:color w:val="000000"/>
          <w:spacing w:val="2"/>
        </w:rPr>
        <w:t xml:space="preserve"> </w:t>
      </w:r>
      <w:r>
        <w:rPr>
          <w:color w:val="000000"/>
          <w:spacing w:val="-1"/>
        </w:rPr>
        <w:t>a</w:t>
      </w:r>
      <w:r>
        <w:rPr>
          <w:color w:val="000000"/>
        </w:rPr>
        <w:t>gu</w:t>
      </w:r>
      <w:r>
        <w:rPr>
          <w:color w:val="000000"/>
          <w:spacing w:val="5"/>
        </w:rPr>
        <w:t>o</w:t>
      </w:r>
      <w:r>
        <w:rPr>
          <w:color w:val="000000"/>
          <w:spacing w:val="-5"/>
        </w:rPr>
        <w:t>n</w:t>
      </w:r>
      <w:r>
        <w:rPr>
          <w:color w:val="000000"/>
        </w:rPr>
        <w:t>ų</w:t>
      </w:r>
      <w:r>
        <w:rPr>
          <w:color w:val="000000"/>
          <w:spacing w:val="7"/>
        </w:rPr>
        <w:t xml:space="preserve"> </w:t>
      </w:r>
      <w:r>
        <w:rPr>
          <w:color w:val="000000"/>
          <w:spacing w:val="3"/>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o</w:t>
      </w:r>
      <w:r>
        <w:rPr>
          <w:color w:val="000000"/>
          <w:spacing w:val="12"/>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spacing w:val="-9"/>
        </w:rPr>
        <w:t>i</w:t>
      </w:r>
      <w:r>
        <w:rPr>
          <w:color w:val="000000"/>
        </w:rPr>
        <w:t>,</w:t>
      </w:r>
      <w:r>
        <w:rPr>
          <w:color w:val="000000"/>
          <w:spacing w:val="14"/>
        </w:rPr>
        <w:t xml:space="preserve"> </w:t>
      </w:r>
      <w:r>
        <w:rPr>
          <w:color w:val="000000"/>
          <w:spacing w:val="-4"/>
        </w:rPr>
        <w:t>i</w:t>
      </w:r>
      <w:r>
        <w:rPr>
          <w:color w:val="000000"/>
        </w:rPr>
        <w:t>š</w:t>
      </w:r>
      <w:r>
        <w:rPr>
          <w:color w:val="000000"/>
          <w:spacing w:val="5"/>
        </w:rPr>
        <w:t xml:space="preserve"> </w:t>
      </w:r>
      <w:r>
        <w:rPr>
          <w:color w:val="000000"/>
        </w:rPr>
        <w:t>jų</w:t>
      </w:r>
      <w:r>
        <w:rPr>
          <w:color w:val="000000"/>
          <w:spacing w:val="3"/>
        </w:rPr>
        <w:t xml:space="preserve"> </w:t>
      </w:r>
      <w:r>
        <w:rPr>
          <w:color w:val="000000"/>
        </w:rPr>
        <w:t>4</w:t>
      </w:r>
      <w:r>
        <w:rPr>
          <w:color w:val="000000"/>
          <w:spacing w:val="2"/>
        </w:rPr>
        <w:t xml:space="preserve"> </w:t>
      </w:r>
      <w:r>
        <w:rPr>
          <w:color w:val="000000"/>
          <w:spacing w:val="4"/>
        </w:rPr>
        <w:t>V</w:t>
      </w:r>
      <w:r>
        <w:rPr>
          <w:color w:val="000000"/>
        </w:rPr>
        <w:t>i</w:t>
      </w:r>
      <w:r>
        <w:rPr>
          <w:color w:val="000000"/>
          <w:spacing w:val="-4"/>
        </w:rPr>
        <w:t>l</w:t>
      </w:r>
      <w:r>
        <w:rPr>
          <w:color w:val="000000"/>
        </w:rPr>
        <w:t>n</w:t>
      </w:r>
      <w:r>
        <w:rPr>
          <w:color w:val="000000"/>
          <w:spacing w:val="-4"/>
        </w:rPr>
        <w:t>i</w:t>
      </w:r>
      <w:r>
        <w:rPr>
          <w:color w:val="000000"/>
          <w:spacing w:val="5"/>
        </w:rPr>
        <w:t>u</w:t>
      </w:r>
      <w:r>
        <w:rPr>
          <w:color w:val="000000"/>
          <w:spacing w:val="-4"/>
        </w:rPr>
        <w:t>j</w:t>
      </w:r>
      <w:r>
        <w:rPr>
          <w:color w:val="000000"/>
        </w:rPr>
        <w:t>e</w:t>
      </w:r>
      <w:r>
        <w:rPr>
          <w:color w:val="000000"/>
          <w:spacing w:val="6"/>
        </w:rPr>
        <w:t xml:space="preserve"> </w:t>
      </w:r>
      <w:r>
        <w:rPr>
          <w:color w:val="000000"/>
          <w:spacing w:val="-1"/>
        </w:rPr>
        <w:t>a</w:t>
      </w:r>
      <w:r>
        <w:rPr>
          <w:color w:val="000000"/>
        </w:rPr>
        <w:t>r</w:t>
      </w:r>
      <w:r>
        <w:rPr>
          <w:color w:val="000000"/>
          <w:spacing w:val="8"/>
        </w:rPr>
        <w:t xml:space="preserve"> </w:t>
      </w:r>
      <w:r>
        <w:rPr>
          <w:color w:val="000000"/>
          <w:spacing w:val="-9"/>
        </w:rPr>
        <w:t>j</w:t>
      </w:r>
      <w:r>
        <w:rPr>
          <w:color w:val="000000"/>
        </w:rPr>
        <w:t>o</w:t>
      </w:r>
      <w:r>
        <w:rPr>
          <w:color w:val="000000"/>
          <w:spacing w:val="7"/>
        </w:rPr>
        <w:t xml:space="preserve"> </w:t>
      </w:r>
      <w:r>
        <w:rPr>
          <w:color w:val="000000"/>
          <w:spacing w:val="1"/>
        </w:rPr>
        <w:t>r</w:t>
      </w:r>
      <w:r>
        <w:rPr>
          <w:color w:val="000000"/>
          <w:spacing w:val="4"/>
        </w:rPr>
        <w:t>a</w:t>
      </w:r>
      <w:r>
        <w:rPr>
          <w:color w:val="000000"/>
          <w:spacing w:val="-9"/>
        </w:rPr>
        <w:t>j</w:t>
      </w:r>
      <w:r>
        <w:rPr>
          <w:color w:val="000000"/>
          <w:spacing w:val="9"/>
        </w:rPr>
        <w:t>o</w:t>
      </w:r>
      <w:r>
        <w:rPr>
          <w:color w:val="000000"/>
          <w:spacing w:val="-5"/>
        </w:rPr>
        <w:t>n</w:t>
      </w:r>
      <w:r>
        <w:rPr>
          <w:color w:val="000000"/>
          <w:spacing w:val="-1"/>
        </w:rPr>
        <w:t>e</w:t>
      </w:r>
      <w:r>
        <w:rPr>
          <w:color w:val="000000"/>
        </w:rPr>
        <w:t>,</w:t>
      </w:r>
      <w:r>
        <w:rPr>
          <w:color w:val="000000"/>
          <w:spacing w:val="4"/>
        </w:rPr>
        <w:t xml:space="preserve"> </w:t>
      </w:r>
      <w:r>
        <w:rPr>
          <w:color w:val="000000"/>
        </w:rPr>
        <w:t>2</w:t>
      </w:r>
      <w:r>
        <w:rPr>
          <w:color w:val="000000"/>
          <w:spacing w:val="10"/>
        </w:rPr>
        <w:t xml:space="preserve"> </w:t>
      </w:r>
      <w:r>
        <w:rPr>
          <w:color w:val="000000"/>
        </w:rPr>
        <w:t>–</w:t>
      </w:r>
      <w:r>
        <w:rPr>
          <w:color w:val="000000"/>
          <w:spacing w:val="12"/>
        </w:rPr>
        <w:t xml:space="preserve"> </w:t>
      </w:r>
      <w:r>
        <w:rPr>
          <w:color w:val="000000"/>
        </w:rPr>
        <w:t>Al</w:t>
      </w:r>
      <w:r>
        <w:rPr>
          <w:color w:val="000000"/>
          <w:spacing w:val="-10"/>
        </w:rPr>
        <w:t>y</w:t>
      </w:r>
      <w:r>
        <w:rPr>
          <w:color w:val="000000"/>
          <w:spacing w:val="5"/>
        </w:rPr>
        <w:t>t</w:t>
      </w:r>
      <w:r>
        <w:rPr>
          <w:color w:val="000000"/>
          <w:spacing w:val="-1"/>
        </w:rPr>
        <w:t>a</w:t>
      </w:r>
      <w:r>
        <w:rPr>
          <w:color w:val="000000"/>
        </w:rPr>
        <w:t>us</w:t>
      </w:r>
      <w:r>
        <w:rPr>
          <w:color w:val="000000"/>
          <w:spacing w:val="5"/>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5"/>
        </w:rPr>
        <w:t>y</w:t>
      </w:r>
      <w:r>
        <w:rPr>
          <w:color w:val="000000"/>
          <w:spacing w:val="-4"/>
        </w:rPr>
        <w:t>j</w:t>
      </w:r>
      <w:r>
        <w:rPr>
          <w:color w:val="000000"/>
          <w:spacing w:val="-1"/>
        </w:rPr>
        <w:t>e</w:t>
      </w:r>
      <w:r>
        <w:rPr>
          <w:color w:val="000000"/>
        </w:rPr>
        <w:t>,</w:t>
      </w:r>
      <w:r>
        <w:rPr>
          <w:color w:val="000000"/>
          <w:spacing w:val="9"/>
        </w:rPr>
        <w:t xml:space="preserve"> </w:t>
      </w:r>
      <w:r>
        <w:rPr>
          <w:color w:val="000000"/>
        </w:rPr>
        <w:t>1</w:t>
      </w:r>
    </w:p>
    <w:p w:rsidR="004F7425" w:rsidRDefault="004F7425" w:rsidP="004F7425">
      <w:pPr>
        <w:widowControl w:val="0"/>
        <w:autoSpaceDE w:val="0"/>
        <w:autoSpaceDN w:val="0"/>
        <w:adjustRightInd w:val="0"/>
        <w:spacing w:before="41" w:line="275" w:lineRule="auto"/>
        <w:ind w:left="280" w:right="56"/>
        <w:jc w:val="both"/>
        <w:rPr>
          <w:color w:val="000000"/>
        </w:rPr>
      </w:pPr>
      <w:r>
        <w:rPr>
          <w:color w:val="000000"/>
        </w:rPr>
        <w:t>–</w:t>
      </w:r>
      <w:r>
        <w:rPr>
          <w:color w:val="000000"/>
          <w:spacing w:val="41"/>
        </w:rPr>
        <w:t xml:space="preserve"> </w:t>
      </w:r>
      <w:r>
        <w:rPr>
          <w:color w:val="000000"/>
          <w:spacing w:val="2"/>
        </w:rPr>
        <w:t>T</w:t>
      </w:r>
      <w:r>
        <w:rPr>
          <w:color w:val="000000"/>
          <w:spacing w:val="-1"/>
        </w:rPr>
        <w:t>a</w:t>
      </w:r>
      <w:r>
        <w:rPr>
          <w:color w:val="000000"/>
        </w:rPr>
        <w:t>u</w:t>
      </w:r>
      <w:r>
        <w:rPr>
          <w:color w:val="000000"/>
          <w:spacing w:val="1"/>
        </w:rPr>
        <w:t>r</w:t>
      </w:r>
      <w:r>
        <w:rPr>
          <w:color w:val="000000"/>
          <w:spacing w:val="-1"/>
        </w:rPr>
        <w:t>a</w:t>
      </w:r>
      <w:r>
        <w:rPr>
          <w:color w:val="000000"/>
        </w:rPr>
        <w:t>g</w:t>
      </w:r>
      <w:r>
        <w:rPr>
          <w:color w:val="000000"/>
          <w:spacing w:val="4"/>
        </w:rPr>
        <w:t>ė</w:t>
      </w:r>
      <w:r>
        <w:rPr>
          <w:color w:val="000000"/>
          <w:spacing w:val="-9"/>
        </w:rPr>
        <w:t>j</w:t>
      </w:r>
      <w:r>
        <w:rPr>
          <w:color w:val="000000"/>
          <w:spacing w:val="-1"/>
        </w:rPr>
        <w:t>e</w:t>
      </w:r>
      <w:r>
        <w:rPr>
          <w:color w:val="000000"/>
        </w:rPr>
        <w:t>.</w:t>
      </w:r>
      <w:r>
        <w:rPr>
          <w:color w:val="000000"/>
          <w:spacing w:val="43"/>
        </w:rPr>
        <w:t xml:space="preserve"> </w:t>
      </w:r>
      <w:r>
        <w:rPr>
          <w:color w:val="000000"/>
        </w:rPr>
        <w:t>D</w:t>
      </w:r>
      <w:r>
        <w:rPr>
          <w:color w:val="000000"/>
          <w:spacing w:val="-1"/>
        </w:rPr>
        <w:t>a</w:t>
      </w:r>
      <w:r>
        <w:rPr>
          <w:color w:val="000000"/>
          <w:spacing w:val="1"/>
        </w:rPr>
        <w:t>r</w:t>
      </w:r>
      <w:r>
        <w:rPr>
          <w:color w:val="000000"/>
          <w:spacing w:val="5"/>
        </w:rPr>
        <w:t>o</w:t>
      </w:r>
      <w:r>
        <w:rPr>
          <w:color w:val="000000"/>
          <w:spacing w:val="-9"/>
        </w:rPr>
        <w:t>m</w:t>
      </w:r>
      <w:r>
        <w:rPr>
          <w:color w:val="000000"/>
        </w:rPr>
        <w:t>a</w:t>
      </w:r>
      <w:r>
        <w:rPr>
          <w:color w:val="000000"/>
          <w:spacing w:val="40"/>
        </w:rPr>
        <w:t xml:space="preserve"> </w:t>
      </w:r>
      <w:r>
        <w:rPr>
          <w:color w:val="000000"/>
        </w:rPr>
        <w:t>p</w:t>
      </w:r>
      <w:r>
        <w:rPr>
          <w:color w:val="000000"/>
          <w:spacing w:val="6"/>
        </w:rPr>
        <w:t>r</w:t>
      </w:r>
      <w:r>
        <w:rPr>
          <w:color w:val="000000"/>
          <w:spacing w:val="-4"/>
        </w:rPr>
        <w:t>i</w:t>
      </w:r>
      <w:r>
        <w:rPr>
          <w:color w:val="000000"/>
          <w:spacing w:val="4"/>
        </w:rPr>
        <w:t>e</w:t>
      </w:r>
      <w:r>
        <w:rPr>
          <w:color w:val="000000"/>
          <w:spacing w:val="-4"/>
        </w:rPr>
        <w:t>l</w:t>
      </w:r>
      <w:r>
        <w:rPr>
          <w:color w:val="000000"/>
          <w:spacing w:val="4"/>
        </w:rPr>
        <w:t>a</w:t>
      </w:r>
      <w:r>
        <w:rPr>
          <w:color w:val="000000"/>
          <w:spacing w:val="-4"/>
        </w:rPr>
        <w:t>i</w:t>
      </w:r>
      <w:r>
        <w:rPr>
          <w:color w:val="000000"/>
        </w:rPr>
        <w:t>d</w:t>
      </w:r>
      <w:r>
        <w:rPr>
          <w:color w:val="000000"/>
          <w:spacing w:val="-1"/>
        </w:rPr>
        <w:t>a</w:t>
      </w:r>
      <w:r>
        <w:rPr>
          <w:color w:val="000000"/>
        </w:rPr>
        <w:t>,</w:t>
      </w:r>
      <w:r>
        <w:rPr>
          <w:color w:val="000000"/>
          <w:spacing w:val="43"/>
        </w:rPr>
        <w:t xml:space="preserve"> </w:t>
      </w:r>
      <w:r>
        <w:rPr>
          <w:color w:val="000000"/>
        </w:rPr>
        <w:t>k</w:t>
      </w:r>
      <w:r>
        <w:rPr>
          <w:color w:val="000000"/>
          <w:spacing w:val="-1"/>
        </w:rPr>
        <w:t>a</w:t>
      </w:r>
      <w:r>
        <w:rPr>
          <w:color w:val="000000"/>
        </w:rPr>
        <w:t>d</w:t>
      </w:r>
      <w:r>
        <w:rPr>
          <w:color w:val="000000"/>
          <w:spacing w:val="41"/>
        </w:rPr>
        <w:t xml:space="preserve"> </w:t>
      </w:r>
      <w:r>
        <w:rPr>
          <w:color w:val="000000"/>
          <w:spacing w:val="2"/>
        </w:rPr>
        <w:t>š</w:t>
      </w:r>
      <w:r>
        <w:rPr>
          <w:color w:val="000000"/>
        </w:rPr>
        <w:t>i</w:t>
      </w:r>
      <w:r>
        <w:rPr>
          <w:color w:val="000000"/>
          <w:spacing w:val="41"/>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rPr>
        <w:t>a</w:t>
      </w:r>
      <w:r>
        <w:rPr>
          <w:color w:val="000000"/>
          <w:spacing w:val="49"/>
        </w:rPr>
        <w:t xml:space="preserve"> </w:t>
      </w:r>
      <w:r>
        <w:rPr>
          <w:color w:val="000000"/>
          <w:spacing w:val="-10"/>
        </w:rPr>
        <w:t>y</w:t>
      </w:r>
      <w:r>
        <w:rPr>
          <w:color w:val="000000"/>
          <w:spacing w:val="1"/>
        </w:rPr>
        <w:t>r</w:t>
      </w:r>
      <w:r>
        <w:rPr>
          <w:color w:val="000000"/>
        </w:rPr>
        <w:t>a</w:t>
      </w:r>
      <w:r>
        <w:rPr>
          <w:color w:val="000000"/>
          <w:spacing w:val="44"/>
        </w:rPr>
        <w:t xml:space="preserve"> </w:t>
      </w:r>
      <w:r>
        <w:rPr>
          <w:color w:val="000000"/>
          <w:spacing w:val="-5"/>
        </w:rPr>
        <w:t>v</w:t>
      </w:r>
      <w:r>
        <w:rPr>
          <w:color w:val="000000"/>
          <w:spacing w:val="-1"/>
        </w:rPr>
        <w:t>a</w:t>
      </w:r>
      <w:r>
        <w:rPr>
          <w:color w:val="000000"/>
          <w:spacing w:val="1"/>
        </w:rPr>
        <w:t>r</w:t>
      </w:r>
      <w:r>
        <w:rPr>
          <w:color w:val="000000"/>
        </w:rPr>
        <w:t>t</w:t>
      </w:r>
      <w:r>
        <w:rPr>
          <w:color w:val="000000"/>
          <w:spacing w:val="5"/>
        </w:rPr>
        <w:t>o</w:t>
      </w:r>
      <w:r>
        <w:rPr>
          <w:color w:val="000000"/>
          <w:spacing w:val="-4"/>
        </w:rPr>
        <w:t>j</w:t>
      </w:r>
      <w:r>
        <w:rPr>
          <w:color w:val="000000"/>
          <w:spacing w:val="4"/>
        </w:rPr>
        <w:t>a</w:t>
      </w:r>
      <w:r>
        <w:rPr>
          <w:color w:val="000000"/>
          <w:spacing w:val="-4"/>
        </w:rPr>
        <w:t>m</w:t>
      </w:r>
      <w:r>
        <w:rPr>
          <w:color w:val="000000"/>
        </w:rPr>
        <w:t>a</w:t>
      </w:r>
      <w:r>
        <w:rPr>
          <w:color w:val="000000"/>
          <w:spacing w:val="40"/>
        </w:rPr>
        <w:t xml:space="preserve"> </w:t>
      </w:r>
      <w:r>
        <w:rPr>
          <w:color w:val="000000"/>
          <w:spacing w:val="5"/>
        </w:rPr>
        <w:t>t</w:t>
      </w:r>
      <w:r>
        <w:rPr>
          <w:color w:val="000000"/>
          <w:spacing w:val="-9"/>
        </w:rPr>
        <w:t>i</w:t>
      </w:r>
      <w:r>
        <w:rPr>
          <w:color w:val="000000"/>
        </w:rPr>
        <w:t>k</w:t>
      </w:r>
      <w:r>
        <w:rPr>
          <w:color w:val="000000"/>
          <w:spacing w:val="41"/>
        </w:rPr>
        <w:t xml:space="preserve"> </w:t>
      </w:r>
      <w:r>
        <w:rPr>
          <w:color w:val="000000"/>
          <w:spacing w:val="5"/>
        </w:rPr>
        <w:t>p</w:t>
      </w:r>
      <w:r>
        <w:rPr>
          <w:color w:val="000000"/>
          <w:spacing w:val="4"/>
        </w:rPr>
        <w:t>a</w:t>
      </w:r>
      <w:r>
        <w:rPr>
          <w:color w:val="000000"/>
        </w:rPr>
        <w:t>v</w:t>
      </w:r>
      <w:r>
        <w:rPr>
          <w:color w:val="000000"/>
          <w:spacing w:val="-4"/>
        </w:rPr>
        <w:t>i</w:t>
      </w:r>
      <w:r>
        <w:rPr>
          <w:color w:val="000000"/>
          <w:spacing w:val="4"/>
        </w:rPr>
        <w:t>e</w:t>
      </w:r>
      <w:r>
        <w:rPr>
          <w:color w:val="000000"/>
        </w:rPr>
        <w:t>n</w:t>
      </w:r>
      <w:r>
        <w:rPr>
          <w:color w:val="000000"/>
          <w:spacing w:val="-4"/>
        </w:rPr>
        <w:t>i</w:t>
      </w:r>
      <w:r>
        <w:rPr>
          <w:color w:val="000000"/>
        </w:rPr>
        <w:t>ų</w:t>
      </w:r>
      <w:r>
        <w:rPr>
          <w:color w:val="000000"/>
          <w:spacing w:val="4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45"/>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rPr>
        <w:t>ų, ku</w:t>
      </w:r>
      <w:r>
        <w:rPr>
          <w:color w:val="000000"/>
          <w:spacing w:val="6"/>
        </w:rPr>
        <w:t>r</w:t>
      </w:r>
      <w:r>
        <w:rPr>
          <w:color w:val="000000"/>
          <w:spacing w:val="-9"/>
        </w:rPr>
        <w:t>i</w:t>
      </w:r>
      <w:r>
        <w:rPr>
          <w:color w:val="000000"/>
        </w:rPr>
        <w:t>e</w:t>
      </w:r>
      <w:r>
        <w:rPr>
          <w:color w:val="000000"/>
          <w:spacing w:val="1"/>
        </w:rPr>
        <w:t xml:space="preserve"> </w:t>
      </w:r>
      <w:r>
        <w:rPr>
          <w:color w:val="000000"/>
        </w:rPr>
        <w:t>g</w:t>
      </w:r>
      <w:r>
        <w:rPr>
          <w:color w:val="000000"/>
          <w:spacing w:val="4"/>
        </w:rPr>
        <w:t>a</w:t>
      </w:r>
      <w:r>
        <w:rPr>
          <w:color w:val="000000"/>
          <w:spacing w:val="-4"/>
        </w:rPr>
        <w:t>mi</w:t>
      </w:r>
      <w:r>
        <w:rPr>
          <w:color w:val="000000"/>
        </w:rPr>
        <w:t>na</w:t>
      </w:r>
      <w:r>
        <w:rPr>
          <w:color w:val="000000"/>
          <w:spacing w:val="1"/>
        </w:rPr>
        <w:t xml:space="preserve"> </w:t>
      </w:r>
      <w:r>
        <w:rPr>
          <w:color w:val="000000"/>
          <w:spacing w:val="-1"/>
        </w:rPr>
        <w:t>a</w:t>
      </w:r>
      <w:r>
        <w:rPr>
          <w:color w:val="000000"/>
        </w:rPr>
        <w:t>gu</w:t>
      </w:r>
      <w:r>
        <w:rPr>
          <w:color w:val="000000"/>
          <w:spacing w:val="5"/>
        </w:rPr>
        <w:t>o</w:t>
      </w:r>
      <w:r>
        <w:rPr>
          <w:color w:val="000000"/>
          <w:spacing w:val="-5"/>
        </w:rPr>
        <w:t>n</w:t>
      </w:r>
      <w:r>
        <w:rPr>
          <w:color w:val="000000"/>
        </w:rPr>
        <w:t>ų</w:t>
      </w:r>
      <w:r>
        <w:rPr>
          <w:color w:val="000000"/>
          <w:spacing w:val="2"/>
        </w:rPr>
        <w:t xml:space="preserve"> </w:t>
      </w:r>
      <w:r>
        <w:rPr>
          <w:color w:val="000000"/>
        </w:rPr>
        <w:t>k</w:t>
      </w:r>
      <w:r>
        <w:rPr>
          <w:color w:val="000000"/>
          <w:spacing w:val="5"/>
        </w:rPr>
        <w:t>o</w:t>
      </w:r>
      <w:r>
        <w:rPr>
          <w:color w:val="000000"/>
          <w:spacing w:val="-5"/>
        </w:rPr>
        <w:t>n</w:t>
      </w:r>
      <w:r>
        <w:rPr>
          <w:color w:val="000000"/>
          <w:spacing w:val="-1"/>
        </w:rPr>
        <w:t>c</w:t>
      </w:r>
      <w:r>
        <w:rPr>
          <w:color w:val="000000"/>
          <w:spacing w:val="4"/>
        </w:rPr>
        <w:t>e</w:t>
      </w:r>
      <w:r>
        <w:rPr>
          <w:color w:val="000000"/>
          <w:spacing w:val="-5"/>
        </w:rPr>
        <w:t>n</w:t>
      </w:r>
      <w:r>
        <w:rPr>
          <w:color w:val="000000"/>
          <w:spacing w:val="5"/>
        </w:rPr>
        <w:t>t</w:t>
      </w:r>
      <w:r>
        <w:rPr>
          <w:color w:val="000000"/>
          <w:spacing w:val="1"/>
        </w:rPr>
        <w:t>r</w:t>
      </w:r>
      <w:r>
        <w:rPr>
          <w:color w:val="000000"/>
          <w:spacing w:val="-1"/>
        </w:rPr>
        <w:t>a</w:t>
      </w:r>
      <w:r>
        <w:rPr>
          <w:color w:val="000000"/>
          <w:spacing w:val="5"/>
        </w:rPr>
        <w:t>t</w:t>
      </w:r>
      <w:r>
        <w:rPr>
          <w:color w:val="000000"/>
        </w:rPr>
        <w:t>ą</w:t>
      </w:r>
      <w:r>
        <w:rPr>
          <w:color w:val="000000"/>
          <w:spacing w:val="-4"/>
        </w:rPr>
        <w:t xml:space="preserve"> </w:t>
      </w:r>
      <w:r>
        <w:rPr>
          <w:color w:val="000000"/>
          <w:spacing w:val="-5"/>
        </w:rPr>
        <w:t>n</w:t>
      </w:r>
      <w:r>
        <w:rPr>
          <w:color w:val="000000"/>
          <w:spacing w:val="4"/>
        </w:rPr>
        <w:t>a</w:t>
      </w:r>
      <w:r>
        <w:rPr>
          <w:color w:val="000000"/>
          <w:spacing w:val="-9"/>
        </w:rPr>
        <w:t>m</w:t>
      </w:r>
      <w:r>
        <w:rPr>
          <w:color w:val="000000"/>
        </w:rPr>
        <w:t>ų</w:t>
      </w:r>
      <w:r>
        <w:rPr>
          <w:color w:val="000000"/>
          <w:spacing w:val="2"/>
        </w:rPr>
        <w:t xml:space="preserve"> </w:t>
      </w:r>
      <w:r>
        <w:rPr>
          <w:color w:val="000000"/>
          <w:spacing w:val="-2"/>
        </w:rPr>
        <w:t>s</w:t>
      </w:r>
      <w:r>
        <w:rPr>
          <w:color w:val="000000"/>
          <w:spacing w:val="4"/>
        </w:rPr>
        <w:t>ą</w:t>
      </w:r>
      <w:r>
        <w:rPr>
          <w:color w:val="000000"/>
        </w:rPr>
        <w:t>l</w:t>
      </w:r>
      <w:r>
        <w:rPr>
          <w:color w:val="000000"/>
          <w:spacing w:val="-4"/>
        </w:rPr>
        <w:t>y</w:t>
      </w:r>
      <w:r>
        <w:rPr>
          <w:color w:val="000000"/>
        </w:rPr>
        <w:t>g</w:t>
      </w:r>
      <w:r>
        <w:rPr>
          <w:color w:val="000000"/>
          <w:spacing w:val="9"/>
        </w:rPr>
        <w:t>o</w:t>
      </w:r>
      <w:r>
        <w:rPr>
          <w:color w:val="000000"/>
          <w:spacing w:val="-4"/>
        </w:rPr>
        <w:t>mi</w:t>
      </w:r>
      <w:r>
        <w:rPr>
          <w:color w:val="000000"/>
        </w:rPr>
        <w:t>s</w:t>
      </w:r>
      <w:r>
        <w:rPr>
          <w:color w:val="000000"/>
          <w:spacing w:val="5"/>
        </w:rPr>
        <w:t xml:space="preserve"> </w:t>
      </w:r>
      <w:r>
        <w:rPr>
          <w:color w:val="000000"/>
          <w:spacing w:val="-2"/>
        </w:rPr>
        <w:t>s</w:t>
      </w:r>
      <w:r>
        <w:rPr>
          <w:color w:val="000000"/>
          <w:spacing w:val="4"/>
        </w:rPr>
        <w:t>a</w:t>
      </w:r>
      <w:r>
        <w:rPr>
          <w:color w:val="000000"/>
          <w:spacing w:val="-5"/>
        </w:rPr>
        <w:t>v</w:t>
      </w:r>
      <w:r>
        <w:rPr>
          <w:color w:val="000000"/>
          <w:spacing w:val="9"/>
        </w:rPr>
        <w:t>o</w:t>
      </w:r>
      <w:r>
        <w:rPr>
          <w:color w:val="000000"/>
          <w:spacing w:val="-2"/>
        </w:rPr>
        <w:t>m</w:t>
      </w:r>
      <w:r>
        <w:rPr>
          <w:color w:val="000000"/>
        </w:rPr>
        <w:t xml:space="preserve">s </w:t>
      </w:r>
      <w:r>
        <w:rPr>
          <w:color w:val="000000"/>
          <w:spacing w:val="1"/>
        </w:rPr>
        <w:t>r</w:t>
      </w:r>
      <w:r>
        <w:rPr>
          <w:color w:val="000000"/>
          <w:spacing w:val="4"/>
        </w:rPr>
        <w:t>e</w:t>
      </w:r>
      <w:r>
        <w:rPr>
          <w:color w:val="000000"/>
          <w:spacing w:val="-9"/>
        </w:rPr>
        <w:t>i</w:t>
      </w:r>
      <w:r>
        <w:rPr>
          <w:color w:val="000000"/>
          <w:spacing w:val="5"/>
        </w:rPr>
        <w:t>k</w:t>
      </w:r>
      <w:r>
        <w:rPr>
          <w:color w:val="000000"/>
          <w:spacing w:val="-4"/>
        </w:rPr>
        <w:t>m</w:t>
      </w:r>
      <w:r>
        <w:rPr>
          <w:color w:val="000000"/>
          <w:spacing w:val="4"/>
        </w:rPr>
        <w:t>ė</w:t>
      </w:r>
      <w:r>
        <w:rPr>
          <w:color w:val="000000"/>
          <w:spacing w:val="-4"/>
        </w:rPr>
        <w:t>m</w:t>
      </w:r>
      <w:r>
        <w:rPr>
          <w:color w:val="000000"/>
          <w:spacing w:val="-2"/>
        </w:rPr>
        <w:t>s</w:t>
      </w:r>
      <w:r>
        <w:rPr>
          <w:color w:val="000000"/>
        </w:rPr>
        <w:t>.</w:t>
      </w:r>
    </w:p>
    <w:p w:rsidR="004F7425" w:rsidRDefault="004F7425" w:rsidP="004F7425">
      <w:pPr>
        <w:widowControl w:val="0"/>
        <w:autoSpaceDE w:val="0"/>
        <w:autoSpaceDN w:val="0"/>
        <w:adjustRightInd w:val="0"/>
        <w:spacing w:before="4" w:line="120" w:lineRule="exact"/>
        <w:rPr>
          <w:color w:val="000000"/>
          <w:sz w:val="12"/>
          <w:szCs w:val="12"/>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280" w:right="2353"/>
        <w:jc w:val="both"/>
        <w:rPr>
          <w:color w:val="000000"/>
          <w:sz w:val="28"/>
          <w:szCs w:val="28"/>
        </w:rPr>
      </w:pPr>
      <w:r>
        <w:rPr>
          <w:b/>
          <w:bCs/>
          <w:i/>
          <w:iCs/>
          <w:color w:val="974705"/>
          <w:sz w:val="28"/>
          <w:szCs w:val="28"/>
        </w:rPr>
        <w:t>Na</w:t>
      </w:r>
      <w:r>
        <w:rPr>
          <w:b/>
          <w:bCs/>
          <w:i/>
          <w:iCs/>
          <w:color w:val="974705"/>
          <w:spacing w:val="3"/>
          <w:sz w:val="28"/>
          <w:szCs w:val="28"/>
        </w:rPr>
        <w:t>r</w:t>
      </w:r>
      <w:r>
        <w:rPr>
          <w:b/>
          <w:bCs/>
          <w:i/>
          <w:iCs/>
          <w:color w:val="974705"/>
          <w:sz w:val="28"/>
          <w:szCs w:val="28"/>
        </w:rPr>
        <w:t>kot</w:t>
      </w:r>
      <w:r>
        <w:rPr>
          <w:b/>
          <w:bCs/>
          <w:i/>
          <w:iCs/>
          <w:color w:val="974705"/>
          <w:spacing w:val="-1"/>
          <w:sz w:val="28"/>
          <w:szCs w:val="28"/>
        </w:rPr>
        <w:t>in</w:t>
      </w:r>
      <w:r>
        <w:rPr>
          <w:b/>
          <w:bCs/>
          <w:i/>
          <w:iCs/>
          <w:color w:val="974705"/>
          <w:spacing w:val="4"/>
          <w:sz w:val="28"/>
          <w:szCs w:val="28"/>
        </w:rPr>
        <w:t>i</w:t>
      </w:r>
      <w:r>
        <w:rPr>
          <w:b/>
          <w:bCs/>
          <w:i/>
          <w:iCs/>
          <w:color w:val="974705"/>
          <w:sz w:val="28"/>
          <w:szCs w:val="28"/>
        </w:rPr>
        <w:t>ų</w:t>
      </w:r>
      <w:r>
        <w:rPr>
          <w:b/>
          <w:bCs/>
          <w:i/>
          <w:iCs/>
          <w:color w:val="974705"/>
          <w:spacing w:val="-12"/>
          <w:sz w:val="28"/>
          <w:szCs w:val="28"/>
        </w:rPr>
        <w:t xml:space="preserve"> </w:t>
      </w:r>
      <w:r>
        <w:rPr>
          <w:b/>
          <w:bCs/>
          <w:i/>
          <w:iCs/>
          <w:color w:val="974705"/>
          <w:sz w:val="28"/>
          <w:szCs w:val="28"/>
        </w:rPr>
        <w:t>ir</w:t>
      </w:r>
      <w:r>
        <w:rPr>
          <w:b/>
          <w:bCs/>
          <w:i/>
          <w:iCs/>
          <w:color w:val="974705"/>
          <w:spacing w:val="1"/>
          <w:sz w:val="28"/>
          <w:szCs w:val="28"/>
        </w:rPr>
        <w:t xml:space="preserve"> </w:t>
      </w:r>
      <w:r>
        <w:rPr>
          <w:b/>
          <w:bCs/>
          <w:i/>
          <w:iCs/>
          <w:color w:val="974705"/>
          <w:sz w:val="28"/>
          <w:szCs w:val="28"/>
        </w:rPr>
        <w:t>p</w:t>
      </w:r>
      <w:r>
        <w:rPr>
          <w:b/>
          <w:bCs/>
          <w:i/>
          <w:iCs/>
          <w:color w:val="974705"/>
          <w:spacing w:val="2"/>
          <w:sz w:val="28"/>
          <w:szCs w:val="28"/>
        </w:rPr>
        <w:t>s</w:t>
      </w:r>
      <w:r>
        <w:rPr>
          <w:b/>
          <w:bCs/>
          <w:i/>
          <w:iCs/>
          <w:color w:val="974705"/>
          <w:sz w:val="28"/>
          <w:szCs w:val="28"/>
        </w:rPr>
        <w:t>icho</w:t>
      </w:r>
      <w:r>
        <w:rPr>
          <w:b/>
          <w:bCs/>
          <w:i/>
          <w:iCs/>
          <w:color w:val="974705"/>
          <w:spacing w:val="1"/>
          <w:sz w:val="28"/>
          <w:szCs w:val="28"/>
        </w:rPr>
        <w:t>t</w:t>
      </w:r>
      <w:r>
        <w:rPr>
          <w:b/>
          <w:bCs/>
          <w:i/>
          <w:iCs/>
          <w:color w:val="974705"/>
          <w:spacing w:val="2"/>
          <w:sz w:val="28"/>
          <w:szCs w:val="28"/>
        </w:rPr>
        <w:t>r</w:t>
      </w:r>
      <w:r>
        <w:rPr>
          <w:b/>
          <w:bCs/>
          <w:i/>
          <w:iCs/>
          <w:color w:val="974705"/>
          <w:sz w:val="28"/>
          <w:szCs w:val="28"/>
        </w:rPr>
        <w:t>opi</w:t>
      </w:r>
      <w:r>
        <w:rPr>
          <w:b/>
          <w:bCs/>
          <w:i/>
          <w:iCs/>
          <w:color w:val="974705"/>
          <w:spacing w:val="-2"/>
          <w:sz w:val="28"/>
          <w:szCs w:val="28"/>
        </w:rPr>
        <w:t>n</w:t>
      </w:r>
      <w:r>
        <w:rPr>
          <w:b/>
          <w:bCs/>
          <w:i/>
          <w:iCs/>
          <w:color w:val="974705"/>
          <w:spacing w:val="4"/>
          <w:sz w:val="28"/>
          <w:szCs w:val="28"/>
        </w:rPr>
        <w:t>i</w:t>
      </w:r>
      <w:r>
        <w:rPr>
          <w:b/>
          <w:bCs/>
          <w:i/>
          <w:iCs/>
          <w:color w:val="974705"/>
          <w:sz w:val="28"/>
          <w:szCs w:val="28"/>
        </w:rPr>
        <w:t>ų</w:t>
      </w:r>
      <w:r>
        <w:rPr>
          <w:b/>
          <w:bCs/>
          <w:i/>
          <w:iCs/>
          <w:color w:val="974705"/>
          <w:spacing w:val="-16"/>
          <w:sz w:val="28"/>
          <w:szCs w:val="28"/>
        </w:rPr>
        <w:t xml:space="preserve"> </w:t>
      </w:r>
      <w:r>
        <w:rPr>
          <w:b/>
          <w:bCs/>
          <w:i/>
          <w:iCs/>
          <w:color w:val="974705"/>
          <w:spacing w:val="4"/>
          <w:sz w:val="28"/>
          <w:szCs w:val="28"/>
        </w:rPr>
        <w:t>m</w:t>
      </w:r>
      <w:r>
        <w:rPr>
          <w:b/>
          <w:bCs/>
          <w:i/>
          <w:iCs/>
          <w:color w:val="974705"/>
          <w:spacing w:val="1"/>
          <w:sz w:val="28"/>
          <w:szCs w:val="28"/>
        </w:rPr>
        <w:t>e</w:t>
      </w:r>
      <w:r>
        <w:rPr>
          <w:b/>
          <w:bCs/>
          <w:i/>
          <w:iCs/>
          <w:color w:val="974705"/>
          <w:sz w:val="28"/>
          <w:szCs w:val="28"/>
        </w:rPr>
        <w:t>d</w:t>
      </w:r>
      <w:r>
        <w:rPr>
          <w:b/>
          <w:bCs/>
          <w:i/>
          <w:iCs/>
          <w:color w:val="974705"/>
          <w:spacing w:val="2"/>
          <w:sz w:val="28"/>
          <w:szCs w:val="28"/>
        </w:rPr>
        <w:t>ž</w:t>
      </w:r>
      <w:r>
        <w:rPr>
          <w:b/>
          <w:bCs/>
          <w:i/>
          <w:iCs/>
          <w:color w:val="974705"/>
          <w:sz w:val="28"/>
          <w:szCs w:val="28"/>
        </w:rPr>
        <w:t>iagų</w:t>
      </w:r>
      <w:r>
        <w:rPr>
          <w:b/>
          <w:bCs/>
          <w:i/>
          <w:iCs/>
          <w:color w:val="974705"/>
          <w:spacing w:val="-11"/>
          <w:sz w:val="28"/>
          <w:szCs w:val="28"/>
        </w:rPr>
        <w:t xml:space="preserve"> </w:t>
      </w:r>
      <w:r>
        <w:rPr>
          <w:b/>
          <w:bCs/>
          <w:i/>
          <w:iCs/>
          <w:color w:val="974705"/>
          <w:sz w:val="28"/>
          <w:szCs w:val="28"/>
        </w:rPr>
        <w:t>pi</w:t>
      </w:r>
      <w:r>
        <w:rPr>
          <w:b/>
          <w:bCs/>
          <w:i/>
          <w:iCs/>
          <w:color w:val="974705"/>
          <w:spacing w:val="1"/>
          <w:sz w:val="28"/>
          <w:szCs w:val="28"/>
        </w:rPr>
        <w:t>r</w:t>
      </w:r>
      <w:r>
        <w:rPr>
          <w:b/>
          <w:bCs/>
          <w:i/>
          <w:iCs/>
          <w:color w:val="974705"/>
          <w:spacing w:val="4"/>
          <w:sz w:val="28"/>
          <w:szCs w:val="28"/>
        </w:rPr>
        <w:t>m</w:t>
      </w:r>
      <w:r>
        <w:rPr>
          <w:b/>
          <w:bCs/>
          <w:i/>
          <w:iCs/>
          <w:color w:val="974705"/>
          <w:sz w:val="28"/>
          <w:szCs w:val="28"/>
        </w:rPr>
        <w:t>takai</w:t>
      </w:r>
      <w:r>
        <w:rPr>
          <w:b/>
          <w:bCs/>
          <w:i/>
          <w:iCs/>
          <w:color w:val="974705"/>
          <w:spacing w:val="-10"/>
          <w:sz w:val="28"/>
          <w:szCs w:val="28"/>
        </w:rPr>
        <w:t xml:space="preserve"> </w:t>
      </w:r>
      <w:r>
        <w:rPr>
          <w:b/>
          <w:bCs/>
          <w:i/>
          <w:iCs/>
          <w:color w:val="974705"/>
          <w:spacing w:val="-1"/>
          <w:sz w:val="28"/>
          <w:szCs w:val="28"/>
        </w:rPr>
        <w:t>(</w:t>
      </w:r>
      <w:r>
        <w:rPr>
          <w:b/>
          <w:bCs/>
          <w:i/>
          <w:iCs/>
          <w:color w:val="974705"/>
          <w:sz w:val="28"/>
          <w:szCs w:val="28"/>
        </w:rPr>
        <w:t>p</w:t>
      </w:r>
      <w:r>
        <w:rPr>
          <w:b/>
          <w:bCs/>
          <w:i/>
          <w:iCs/>
          <w:color w:val="974705"/>
          <w:spacing w:val="2"/>
          <w:sz w:val="28"/>
          <w:szCs w:val="28"/>
        </w:rPr>
        <w:t>r</w:t>
      </w:r>
      <w:r>
        <w:rPr>
          <w:b/>
          <w:bCs/>
          <w:i/>
          <w:iCs/>
          <w:color w:val="974705"/>
          <w:spacing w:val="1"/>
          <w:sz w:val="28"/>
          <w:szCs w:val="28"/>
        </w:rPr>
        <w:t>e</w:t>
      </w:r>
      <w:r>
        <w:rPr>
          <w:b/>
          <w:bCs/>
          <w:i/>
          <w:iCs/>
          <w:color w:val="974705"/>
          <w:sz w:val="28"/>
          <w:szCs w:val="28"/>
        </w:rPr>
        <w:t>k</w:t>
      </w:r>
      <w:r>
        <w:rPr>
          <w:b/>
          <w:bCs/>
          <w:i/>
          <w:iCs/>
          <w:color w:val="974705"/>
          <w:spacing w:val="-1"/>
          <w:sz w:val="28"/>
          <w:szCs w:val="28"/>
        </w:rPr>
        <w:t>u</w:t>
      </w:r>
      <w:r>
        <w:rPr>
          <w:b/>
          <w:bCs/>
          <w:i/>
          <w:iCs/>
          <w:color w:val="974705"/>
          <w:spacing w:val="2"/>
          <w:sz w:val="28"/>
          <w:szCs w:val="28"/>
        </w:rPr>
        <w:t>rs</w:t>
      </w:r>
      <w:r>
        <w:rPr>
          <w:b/>
          <w:bCs/>
          <w:i/>
          <w:iCs/>
          <w:color w:val="974705"/>
          <w:sz w:val="28"/>
          <w:szCs w:val="28"/>
        </w:rPr>
        <w:t>o</w:t>
      </w:r>
      <w:r>
        <w:rPr>
          <w:b/>
          <w:bCs/>
          <w:i/>
          <w:iCs/>
          <w:color w:val="974705"/>
          <w:spacing w:val="2"/>
          <w:sz w:val="28"/>
          <w:szCs w:val="28"/>
        </w:rPr>
        <w:t>r</w:t>
      </w:r>
      <w:r>
        <w:rPr>
          <w:b/>
          <w:bCs/>
          <w:i/>
          <w:iCs/>
          <w:color w:val="974705"/>
          <w:sz w:val="28"/>
          <w:szCs w:val="28"/>
        </w:rPr>
        <w:t>ia</w:t>
      </w:r>
      <w:r>
        <w:rPr>
          <w:b/>
          <w:bCs/>
          <w:i/>
          <w:iCs/>
          <w:color w:val="974705"/>
          <w:spacing w:val="-1"/>
          <w:sz w:val="28"/>
          <w:szCs w:val="28"/>
        </w:rPr>
        <w:t>i</w:t>
      </w:r>
      <w:r>
        <w:rPr>
          <w:b/>
          <w:bCs/>
          <w:i/>
          <w:iCs/>
          <w:color w:val="974705"/>
          <w:sz w:val="28"/>
          <w:szCs w:val="28"/>
        </w:rPr>
        <w:t>)</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280" w:right="50" w:firstLine="721"/>
        <w:jc w:val="both"/>
        <w:rPr>
          <w:color w:val="000000"/>
        </w:rPr>
      </w:pPr>
      <w:r>
        <w:rPr>
          <w:color w:val="000000"/>
        </w:rPr>
        <w:t>Am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rPr>
        <w:t>o</w:t>
      </w:r>
      <w:r>
        <w:rPr>
          <w:color w:val="000000"/>
          <w:spacing w:val="4"/>
        </w:rPr>
        <w:t xml:space="preserve"> </w:t>
      </w:r>
      <w:r>
        <w:rPr>
          <w:color w:val="000000"/>
          <w:spacing w:val="5"/>
        </w:rPr>
        <w:t>t</w:t>
      </w:r>
      <w:r>
        <w:rPr>
          <w:color w:val="000000"/>
          <w:spacing w:val="-9"/>
        </w:rPr>
        <w:t>i</w:t>
      </w:r>
      <w:r>
        <w:rPr>
          <w:color w:val="000000"/>
        </w:rPr>
        <w:t>po</w:t>
      </w:r>
      <w:r>
        <w:rPr>
          <w:color w:val="000000"/>
          <w:spacing w:val="4"/>
        </w:rPr>
        <w:t xml:space="preserve"> </w:t>
      </w:r>
      <w:r>
        <w:rPr>
          <w:color w:val="000000"/>
          <w:spacing w:val="-2"/>
        </w:rPr>
        <w:t>s</w:t>
      </w:r>
      <w:r>
        <w:rPr>
          <w:color w:val="000000"/>
          <w:spacing w:val="10"/>
        </w:rPr>
        <w:t>t</w:t>
      </w:r>
      <w:r>
        <w:rPr>
          <w:color w:val="000000"/>
          <w:spacing w:val="-4"/>
        </w:rPr>
        <w:t>im</w:t>
      </w:r>
      <w:r>
        <w:rPr>
          <w:color w:val="000000"/>
          <w:spacing w:val="5"/>
        </w:rPr>
        <w:t>u</w:t>
      </w:r>
      <w:r>
        <w:rPr>
          <w:color w:val="000000"/>
          <w:spacing w:val="-4"/>
        </w:rPr>
        <w:t>li</w:t>
      </w:r>
      <w:r>
        <w:rPr>
          <w:color w:val="000000"/>
          <w:spacing w:val="3"/>
        </w:rPr>
        <w:t>u</w:t>
      </w:r>
      <w:r>
        <w:rPr>
          <w:color w:val="000000"/>
          <w:spacing w:val="9"/>
        </w:rPr>
        <w:t>o</w:t>
      </w:r>
      <w:r>
        <w:rPr>
          <w:color w:val="000000"/>
          <w:spacing w:val="-9"/>
        </w:rPr>
        <w:t>j</w:t>
      </w:r>
      <w:r>
        <w:rPr>
          <w:color w:val="000000"/>
          <w:spacing w:val="4"/>
        </w:rPr>
        <w:t>a</w:t>
      </w:r>
      <w:r>
        <w:rPr>
          <w:color w:val="000000"/>
        </w:rPr>
        <w:t>n</w:t>
      </w:r>
      <w:r>
        <w:rPr>
          <w:color w:val="000000"/>
          <w:spacing w:val="4"/>
        </w:rPr>
        <w:t>č</w:t>
      </w:r>
      <w:r>
        <w:rPr>
          <w:color w:val="000000"/>
          <w:spacing w:val="-4"/>
        </w:rPr>
        <w:t>i</w:t>
      </w:r>
      <w:r>
        <w:rPr>
          <w:color w:val="000000"/>
        </w:rPr>
        <w:t>ų</w:t>
      </w:r>
      <w:r>
        <w:rPr>
          <w:color w:val="000000"/>
          <w:spacing w:val="4"/>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 g</w:t>
      </w:r>
      <w:r>
        <w:rPr>
          <w:color w:val="000000"/>
          <w:spacing w:val="4"/>
        </w:rPr>
        <w:t>a</w:t>
      </w:r>
      <w:r>
        <w:rPr>
          <w:color w:val="000000"/>
        </w:rPr>
        <w:t>my</w:t>
      </w:r>
      <w:r>
        <w:rPr>
          <w:color w:val="000000"/>
          <w:spacing w:val="-4"/>
        </w:rPr>
        <w:t>b</w:t>
      </w:r>
      <w:r>
        <w:rPr>
          <w:color w:val="000000"/>
          <w:spacing w:val="4"/>
        </w:rPr>
        <w:t>a</w:t>
      </w:r>
      <w:r>
        <w:rPr>
          <w:color w:val="000000"/>
        </w:rPr>
        <w:t>i</w:t>
      </w:r>
      <w:r>
        <w:rPr>
          <w:color w:val="000000"/>
          <w:spacing w:val="3"/>
        </w:rPr>
        <w:t xml:space="preserve"> </w:t>
      </w:r>
      <w:r>
        <w:rPr>
          <w:color w:val="000000"/>
          <w:spacing w:val="-5"/>
        </w:rPr>
        <w:t>y</w:t>
      </w:r>
      <w:r>
        <w:rPr>
          <w:color w:val="000000"/>
          <w:spacing w:val="1"/>
        </w:rPr>
        <w:t>r</w:t>
      </w:r>
      <w:r>
        <w:rPr>
          <w:color w:val="000000"/>
        </w:rPr>
        <w:t>a</w:t>
      </w:r>
      <w:r>
        <w:rPr>
          <w:color w:val="000000"/>
          <w:spacing w:val="3"/>
        </w:rPr>
        <w:t xml:space="preserve"> </w:t>
      </w:r>
      <w:r>
        <w:rPr>
          <w:color w:val="000000"/>
          <w:spacing w:val="-5"/>
        </w:rPr>
        <w:t>b</w:t>
      </w:r>
      <w:r>
        <w:rPr>
          <w:color w:val="000000"/>
        </w:rPr>
        <w:t>ū</w:t>
      </w:r>
      <w:r>
        <w:rPr>
          <w:color w:val="000000"/>
          <w:spacing w:val="10"/>
        </w:rPr>
        <w:t>t</w:t>
      </w:r>
      <w:r>
        <w:rPr>
          <w:color w:val="000000"/>
          <w:spacing w:val="-4"/>
        </w:rPr>
        <w:t>i</w:t>
      </w:r>
      <w:r>
        <w:rPr>
          <w:color w:val="000000"/>
        </w:rPr>
        <w:t xml:space="preserve">ni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rPr>
        <w:t>n</w:t>
      </w:r>
      <w:r>
        <w:rPr>
          <w:color w:val="000000"/>
          <w:spacing w:val="-4"/>
        </w:rPr>
        <w:t>i</w:t>
      </w:r>
      <w:r>
        <w:rPr>
          <w:color w:val="000000"/>
        </w:rPr>
        <w:t>ų</w:t>
      </w:r>
      <w:r>
        <w:rPr>
          <w:color w:val="000000"/>
          <w:spacing w:val="4"/>
        </w:rPr>
        <w:t xml:space="preserve"> </w:t>
      </w:r>
      <w:r>
        <w:rPr>
          <w:color w:val="000000"/>
          <w:spacing w:val="-4"/>
        </w:rPr>
        <w:t>i</w:t>
      </w:r>
      <w:r>
        <w:rPr>
          <w:color w:val="000000"/>
        </w:rPr>
        <w:t>r</w:t>
      </w:r>
      <w:r>
        <w:rPr>
          <w:color w:val="000000"/>
          <w:spacing w:val="1"/>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 xml:space="preserve">ų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55"/>
        </w:rPr>
        <w:t xml:space="preserve"> </w:t>
      </w:r>
      <w:r>
        <w:rPr>
          <w:color w:val="000000"/>
          <w:spacing w:val="5"/>
        </w:rPr>
        <w:t>p</w:t>
      </w:r>
      <w:r>
        <w:rPr>
          <w:color w:val="000000"/>
          <w:spacing w:val="-9"/>
        </w:rPr>
        <w:t>i</w:t>
      </w:r>
      <w:r>
        <w:rPr>
          <w:color w:val="000000"/>
          <w:spacing w:val="6"/>
        </w:rPr>
        <w:t>r</w:t>
      </w:r>
      <w:r>
        <w:rPr>
          <w:color w:val="000000"/>
          <w:spacing w:val="-9"/>
        </w:rPr>
        <w:t>m</w:t>
      </w:r>
      <w:r>
        <w:rPr>
          <w:color w:val="000000"/>
          <w:spacing w:val="5"/>
        </w:rPr>
        <w:t>t</w:t>
      </w:r>
      <w:r>
        <w:rPr>
          <w:color w:val="000000"/>
          <w:spacing w:val="-1"/>
        </w:rPr>
        <w:t>a</w:t>
      </w:r>
      <w:r>
        <w:rPr>
          <w:color w:val="000000"/>
          <w:spacing w:val="5"/>
        </w:rPr>
        <w:t>k</w:t>
      </w:r>
      <w:r>
        <w:rPr>
          <w:color w:val="000000"/>
          <w:spacing w:val="4"/>
        </w:rPr>
        <w:t>a</w:t>
      </w:r>
      <w:r>
        <w:rPr>
          <w:color w:val="000000"/>
        </w:rPr>
        <w:t>i</w:t>
      </w:r>
      <w:r>
        <w:rPr>
          <w:color w:val="000000"/>
          <w:spacing w:val="46"/>
        </w:rPr>
        <w:t xml:space="preserve"> </w:t>
      </w:r>
      <w:r>
        <w:rPr>
          <w:color w:val="000000"/>
          <w:spacing w:val="1"/>
        </w:rPr>
        <w:t>(</w:t>
      </w:r>
      <w:r>
        <w:rPr>
          <w:color w:val="000000"/>
        </w:rPr>
        <w:t>p</w:t>
      </w:r>
      <w:r>
        <w:rPr>
          <w:color w:val="000000"/>
          <w:spacing w:val="1"/>
        </w:rPr>
        <w:t>r</w:t>
      </w:r>
      <w:r>
        <w:rPr>
          <w:color w:val="000000"/>
          <w:spacing w:val="-1"/>
        </w:rPr>
        <w:t>e</w:t>
      </w:r>
      <w:r>
        <w:rPr>
          <w:color w:val="000000"/>
        </w:rPr>
        <w:t>ku</w:t>
      </w:r>
      <w:r>
        <w:rPr>
          <w:color w:val="000000"/>
          <w:spacing w:val="1"/>
        </w:rPr>
        <w:t>r</w:t>
      </w:r>
      <w:r>
        <w:rPr>
          <w:color w:val="000000"/>
          <w:spacing w:val="-2"/>
        </w:rPr>
        <w:t>s</w:t>
      </w:r>
      <w:r>
        <w:rPr>
          <w:color w:val="000000"/>
          <w:spacing w:val="5"/>
        </w:rPr>
        <w:t>o</w:t>
      </w:r>
      <w:r>
        <w:rPr>
          <w:color w:val="000000"/>
          <w:spacing w:val="1"/>
        </w:rPr>
        <w:t>r</w:t>
      </w:r>
      <w:r>
        <w:rPr>
          <w:color w:val="000000"/>
          <w:spacing w:val="-9"/>
        </w:rPr>
        <w:t>i</w:t>
      </w:r>
      <w:r>
        <w:rPr>
          <w:color w:val="000000"/>
          <w:spacing w:val="4"/>
        </w:rPr>
        <w:t>a</w:t>
      </w:r>
      <w:r>
        <w:rPr>
          <w:color w:val="000000"/>
          <w:spacing w:val="-4"/>
        </w:rPr>
        <w:t>i</w:t>
      </w:r>
      <w:r>
        <w:rPr>
          <w:color w:val="000000"/>
        </w:rPr>
        <w:t>)</w:t>
      </w:r>
      <w:r>
        <w:rPr>
          <w:color w:val="000000"/>
          <w:spacing w:val="52"/>
        </w:rPr>
        <w:t xml:space="preserve"> </w:t>
      </w:r>
      <w:r>
        <w:rPr>
          <w:color w:val="000000"/>
          <w:spacing w:val="1"/>
        </w:rPr>
        <w:t>(</w:t>
      </w:r>
      <w:r>
        <w:rPr>
          <w:color w:val="000000"/>
          <w:spacing w:val="5"/>
        </w:rPr>
        <w:t>to</w:t>
      </w:r>
      <w:r>
        <w:rPr>
          <w:color w:val="000000"/>
          <w:spacing w:val="-4"/>
        </w:rPr>
        <w:t>li</w:t>
      </w:r>
      <w:r>
        <w:rPr>
          <w:color w:val="000000"/>
          <w:spacing w:val="-1"/>
        </w:rPr>
        <w:t>a</w:t>
      </w:r>
      <w:r>
        <w:rPr>
          <w:color w:val="000000"/>
        </w:rPr>
        <w:t>u</w:t>
      </w:r>
      <w:r>
        <w:rPr>
          <w:color w:val="000000"/>
          <w:spacing w:val="57"/>
        </w:rPr>
        <w:t xml:space="preserve"> </w:t>
      </w:r>
      <w:r>
        <w:rPr>
          <w:color w:val="000000"/>
        </w:rPr>
        <w:t>–</w:t>
      </w:r>
      <w:r>
        <w:rPr>
          <w:color w:val="000000"/>
          <w:spacing w:val="55"/>
        </w:rPr>
        <w:t xml:space="preserve"> </w:t>
      </w:r>
      <w:r>
        <w:rPr>
          <w:color w:val="000000"/>
        </w:rPr>
        <w:t>p</w:t>
      </w:r>
      <w:r>
        <w:rPr>
          <w:color w:val="000000"/>
          <w:spacing w:val="1"/>
        </w:rPr>
        <w:t>r</w:t>
      </w:r>
      <w:r>
        <w:rPr>
          <w:color w:val="000000"/>
          <w:spacing w:val="-1"/>
        </w:rPr>
        <w:t>e</w:t>
      </w:r>
      <w:r>
        <w:rPr>
          <w:color w:val="000000"/>
          <w:spacing w:val="5"/>
        </w:rPr>
        <w:t>k</w:t>
      </w:r>
      <w:r>
        <w:rPr>
          <w:color w:val="000000"/>
        </w:rPr>
        <w:t>u</w:t>
      </w:r>
      <w:r>
        <w:rPr>
          <w:color w:val="000000"/>
          <w:spacing w:val="1"/>
        </w:rPr>
        <w:t>r</w:t>
      </w:r>
      <w:r>
        <w:rPr>
          <w:color w:val="000000"/>
          <w:spacing w:val="-2"/>
        </w:rPr>
        <w:t>s</w:t>
      </w:r>
      <w:r>
        <w:rPr>
          <w:color w:val="000000"/>
          <w:spacing w:val="5"/>
        </w:rPr>
        <w:t>o</w:t>
      </w:r>
      <w:r>
        <w:rPr>
          <w:color w:val="000000"/>
          <w:spacing w:val="1"/>
        </w:rPr>
        <w:t>r</w:t>
      </w:r>
      <w:r>
        <w:rPr>
          <w:color w:val="000000"/>
          <w:spacing w:val="-9"/>
        </w:rPr>
        <w:t>i</w:t>
      </w:r>
      <w:r>
        <w:rPr>
          <w:color w:val="000000"/>
          <w:spacing w:val="4"/>
        </w:rPr>
        <w:t>a</w:t>
      </w:r>
      <w:r>
        <w:rPr>
          <w:color w:val="000000"/>
          <w:spacing w:val="-9"/>
        </w:rPr>
        <w:t>i</w:t>
      </w:r>
      <w:r>
        <w:rPr>
          <w:color w:val="000000"/>
        </w:rPr>
        <w:t xml:space="preserve">) </w:t>
      </w:r>
      <w:r>
        <w:rPr>
          <w:color w:val="000000"/>
          <w:spacing w:val="1"/>
        </w:rPr>
        <w:t xml:space="preserve"> </w:t>
      </w:r>
      <w:r>
        <w:rPr>
          <w:color w:val="000000"/>
          <w:spacing w:val="-5"/>
        </w:rPr>
        <w:t>b</w:t>
      </w:r>
      <w:r>
        <w:rPr>
          <w:color w:val="000000"/>
          <w:spacing w:val="4"/>
        </w:rPr>
        <w:t>e</w:t>
      </w:r>
      <w:r>
        <w:rPr>
          <w:color w:val="000000"/>
        </w:rPr>
        <w:t>i</w:t>
      </w:r>
      <w:r>
        <w:rPr>
          <w:color w:val="000000"/>
          <w:spacing w:val="51"/>
        </w:rPr>
        <w:t xml:space="preserve"> </w:t>
      </w:r>
      <w:r>
        <w:rPr>
          <w:color w:val="000000"/>
        </w:rPr>
        <w:t>n</w:t>
      </w:r>
      <w:r>
        <w:rPr>
          <w:color w:val="000000"/>
          <w:spacing w:val="4"/>
        </w:rPr>
        <w:t>e</w:t>
      </w:r>
      <w:r>
        <w:rPr>
          <w:color w:val="000000"/>
          <w:spacing w:val="-4"/>
        </w:rPr>
        <w:t>m</w:t>
      </w:r>
      <w:r>
        <w:rPr>
          <w:color w:val="000000"/>
          <w:spacing w:val="-1"/>
        </w:rPr>
        <w:t>až</w:t>
      </w:r>
      <w:r>
        <w:rPr>
          <w:color w:val="000000"/>
          <w:spacing w:val="4"/>
        </w:rPr>
        <w:t>a</w:t>
      </w:r>
      <w:r>
        <w:rPr>
          <w:color w:val="000000"/>
        </w:rPr>
        <w:t>i</w:t>
      </w:r>
      <w:r>
        <w:rPr>
          <w:color w:val="000000"/>
          <w:spacing w:val="46"/>
        </w:rPr>
        <w:t xml:space="preserve"> </w:t>
      </w:r>
      <w:r>
        <w:rPr>
          <w:color w:val="000000"/>
          <w:spacing w:val="5"/>
        </w:rPr>
        <w:t>k</w:t>
      </w:r>
      <w:r>
        <w:rPr>
          <w:color w:val="000000"/>
          <w:spacing w:val="-9"/>
        </w:rPr>
        <w:t>i</w:t>
      </w:r>
      <w:r>
        <w:rPr>
          <w:color w:val="000000"/>
          <w:spacing w:val="5"/>
        </w:rPr>
        <w:t>t</w:t>
      </w:r>
      <w:r>
        <w:rPr>
          <w:color w:val="000000"/>
        </w:rPr>
        <w:t>ų</w:t>
      </w:r>
      <w:r>
        <w:rPr>
          <w:color w:val="000000"/>
          <w:spacing w:val="55"/>
        </w:rPr>
        <w:t xml:space="preserve"> </w:t>
      </w:r>
      <w:r>
        <w:rPr>
          <w:color w:val="000000"/>
          <w:spacing w:val="4"/>
        </w:rPr>
        <w:t>c</w:t>
      </w:r>
      <w:r>
        <w:rPr>
          <w:color w:val="000000"/>
          <w:spacing w:val="-5"/>
        </w:rPr>
        <w:t>h</w:t>
      </w:r>
      <w:r>
        <w:rPr>
          <w:color w:val="000000"/>
          <w:spacing w:val="4"/>
        </w:rPr>
        <w:t>e</w:t>
      </w:r>
      <w:r>
        <w:rPr>
          <w:color w:val="000000"/>
        </w:rPr>
        <w:t>m</w:t>
      </w:r>
      <w:r>
        <w:rPr>
          <w:color w:val="000000"/>
          <w:spacing w:val="-4"/>
        </w:rPr>
        <w:t>i</w:t>
      </w:r>
      <w:r>
        <w:rPr>
          <w:color w:val="000000"/>
          <w:spacing w:val="5"/>
        </w:rPr>
        <w:t>n</w:t>
      </w:r>
      <w:r>
        <w:rPr>
          <w:color w:val="000000"/>
          <w:spacing w:val="-4"/>
        </w:rPr>
        <w:t>i</w:t>
      </w:r>
      <w:r>
        <w:rPr>
          <w:color w:val="000000"/>
        </w:rPr>
        <w:t>ų</w:t>
      </w:r>
      <w:r>
        <w:rPr>
          <w:color w:val="000000"/>
          <w:spacing w:val="5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 xml:space="preserve">gų. </w:t>
      </w:r>
      <w:r>
        <w:rPr>
          <w:color w:val="000000"/>
          <w:spacing w:val="2"/>
        </w:rPr>
        <w:t>T</w:t>
      </w:r>
      <w:r>
        <w:rPr>
          <w:color w:val="000000"/>
          <w:spacing w:val="5"/>
        </w:rPr>
        <w:t>o</w:t>
      </w:r>
      <w:r>
        <w:rPr>
          <w:color w:val="000000"/>
        </w:rPr>
        <w:t>d</w:t>
      </w:r>
      <w:r>
        <w:rPr>
          <w:color w:val="000000"/>
          <w:spacing w:val="-1"/>
        </w:rPr>
        <w:t>ė</w:t>
      </w:r>
      <w:r>
        <w:rPr>
          <w:color w:val="000000"/>
        </w:rPr>
        <w:t>l</w:t>
      </w:r>
      <w:r>
        <w:rPr>
          <w:color w:val="000000"/>
          <w:spacing w:val="-2"/>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s g</w:t>
      </w:r>
      <w:r>
        <w:rPr>
          <w:color w:val="000000"/>
          <w:spacing w:val="1"/>
        </w:rPr>
        <w:t>r</w:t>
      </w:r>
      <w:r>
        <w:rPr>
          <w:color w:val="000000"/>
        </w:rPr>
        <w:t>upu</w:t>
      </w:r>
      <w:r>
        <w:rPr>
          <w:color w:val="000000"/>
          <w:spacing w:val="5"/>
        </w:rPr>
        <w:t>ot</w:t>
      </w:r>
      <w:r>
        <w:rPr>
          <w:color w:val="000000"/>
          <w:spacing w:val="-1"/>
        </w:rPr>
        <w:t>ė</w:t>
      </w:r>
      <w:r>
        <w:rPr>
          <w:color w:val="000000"/>
          <w:spacing w:val="-2"/>
        </w:rPr>
        <w:t>s</w:t>
      </w:r>
      <w:r>
        <w:rPr>
          <w:color w:val="000000"/>
        </w:rPr>
        <w:t>,</w:t>
      </w:r>
      <w:r>
        <w:rPr>
          <w:color w:val="000000"/>
          <w:spacing w:val="9"/>
        </w:rPr>
        <w:t xml:space="preserve"> </w:t>
      </w:r>
      <w:r>
        <w:rPr>
          <w:color w:val="000000"/>
        </w:rPr>
        <w:t>u</w:t>
      </w:r>
      <w:r>
        <w:rPr>
          <w:color w:val="000000"/>
          <w:spacing w:val="-1"/>
        </w:rPr>
        <w:t>ž</w:t>
      </w:r>
      <w:r>
        <w:rPr>
          <w:color w:val="000000"/>
          <w:spacing w:val="2"/>
        </w:rPr>
        <w:t>s</w:t>
      </w:r>
      <w:r>
        <w:rPr>
          <w:color w:val="000000"/>
          <w:spacing w:val="-4"/>
        </w:rPr>
        <w:t>iim</w:t>
      </w:r>
      <w:r>
        <w:rPr>
          <w:color w:val="000000"/>
          <w:spacing w:val="4"/>
        </w:rPr>
        <w:t>a</w:t>
      </w:r>
      <w:r>
        <w:rPr>
          <w:color w:val="000000"/>
        </w:rPr>
        <w:t>n</w:t>
      </w:r>
      <w:r>
        <w:rPr>
          <w:color w:val="000000"/>
          <w:spacing w:val="4"/>
        </w:rPr>
        <w:t>č</w:t>
      </w:r>
      <w:r>
        <w:rPr>
          <w:color w:val="000000"/>
          <w:spacing w:val="-9"/>
        </w:rPr>
        <w:t>i</w:t>
      </w:r>
      <w:r>
        <w:rPr>
          <w:color w:val="000000"/>
          <w:spacing w:val="5"/>
        </w:rPr>
        <w:t>o</w:t>
      </w:r>
      <w:r>
        <w:rPr>
          <w:color w:val="000000"/>
        </w:rPr>
        <w:t>s</w:t>
      </w:r>
      <w:r>
        <w:rPr>
          <w:color w:val="000000"/>
          <w:spacing w:val="5"/>
        </w:rPr>
        <w:t xml:space="preserve"> </w:t>
      </w:r>
      <w:r>
        <w:rPr>
          <w:color w:val="000000"/>
          <w:spacing w:val="-5"/>
        </w:rPr>
        <w:t>n</w:t>
      </w:r>
      <w:r>
        <w:rPr>
          <w:color w:val="000000"/>
          <w:spacing w:val="-1"/>
        </w:rPr>
        <w:t>a</w:t>
      </w:r>
      <w:r>
        <w:rPr>
          <w:color w:val="000000"/>
          <w:spacing w:val="1"/>
        </w:rPr>
        <w:t>r</w:t>
      </w:r>
      <w:r>
        <w:rPr>
          <w:color w:val="000000"/>
          <w:spacing w:val="5"/>
        </w:rPr>
        <w:t>k</w:t>
      </w:r>
      <w:r>
        <w:rPr>
          <w:color w:val="000000"/>
        </w:rPr>
        <w:t>o</w:t>
      </w:r>
      <w:r>
        <w:rPr>
          <w:color w:val="000000"/>
          <w:spacing w:val="5"/>
        </w:rPr>
        <w:t>t</w:t>
      </w:r>
      <w:r>
        <w:rPr>
          <w:color w:val="000000"/>
          <w:spacing w:val="-9"/>
        </w:rPr>
        <w:t>i</w:t>
      </w:r>
      <w:r>
        <w:rPr>
          <w:color w:val="000000"/>
        </w:rPr>
        <w:t>kų</w:t>
      </w:r>
      <w:r>
        <w:rPr>
          <w:color w:val="000000"/>
          <w:spacing w:val="2"/>
        </w:rPr>
        <w:t xml:space="preserve"> </w:t>
      </w:r>
      <w:r>
        <w:rPr>
          <w:color w:val="000000"/>
        </w:rPr>
        <w:t>g</w:t>
      </w:r>
      <w:r>
        <w:rPr>
          <w:color w:val="000000"/>
          <w:spacing w:val="4"/>
        </w:rPr>
        <w:t>a</w:t>
      </w:r>
      <w:r>
        <w:rPr>
          <w:color w:val="000000"/>
        </w:rPr>
        <w:t>m</w:t>
      </w:r>
      <w:r>
        <w:rPr>
          <w:color w:val="000000"/>
          <w:spacing w:val="-4"/>
        </w:rPr>
        <w:t>y</w:t>
      </w:r>
      <w:r>
        <w:rPr>
          <w:color w:val="000000"/>
        </w:rPr>
        <w:t>b</w:t>
      </w:r>
      <w:r>
        <w:rPr>
          <w:color w:val="000000"/>
          <w:spacing w:val="-1"/>
        </w:rPr>
        <w:t>a</w:t>
      </w:r>
      <w:r>
        <w:rPr>
          <w:color w:val="000000"/>
        </w:rPr>
        <w:t>,</w:t>
      </w:r>
      <w:r>
        <w:rPr>
          <w:color w:val="000000"/>
          <w:spacing w:val="9"/>
        </w:rPr>
        <w:t xml:space="preserve"> </w:t>
      </w:r>
      <w:r>
        <w:rPr>
          <w:color w:val="000000"/>
          <w:spacing w:val="-4"/>
        </w:rPr>
        <w:t>į</w:t>
      </w:r>
      <w:r>
        <w:rPr>
          <w:color w:val="000000"/>
        </w:rPr>
        <w:t>v</w:t>
      </w:r>
      <w:r>
        <w:rPr>
          <w:color w:val="000000"/>
          <w:spacing w:val="4"/>
        </w:rPr>
        <w:t>a</w:t>
      </w:r>
      <w:r>
        <w:rPr>
          <w:color w:val="000000"/>
          <w:spacing w:val="-9"/>
        </w:rPr>
        <w:t>i</w:t>
      </w:r>
      <w:r>
        <w:rPr>
          <w:color w:val="000000"/>
          <w:spacing w:val="6"/>
        </w:rPr>
        <w:t>r</w:t>
      </w:r>
      <w:r>
        <w:rPr>
          <w:color w:val="000000"/>
          <w:spacing w:val="-4"/>
        </w:rPr>
        <w:t>i</w:t>
      </w:r>
      <w:r>
        <w:rPr>
          <w:color w:val="000000"/>
          <w:spacing w:val="4"/>
        </w:rPr>
        <w:t>a</w:t>
      </w:r>
      <w:r>
        <w:rPr>
          <w:color w:val="000000"/>
          <w:spacing w:val="-4"/>
        </w:rPr>
        <w:t>i</w:t>
      </w:r>
      <w:r>
        <w:rPr>
          <w:color w:val="000000"/>
        </w:rPr>
        <w:t>s</w:t>
      </w:r>
      <w:r>
        <w:rPr>
          <w:color w:val="000000"/>
          <w:spacing w:val="9"/>
        </w:rPr>
        <w:t xml:space="preserve"> </w:t>
      </w:r>
      <w:r>
        <w:rPr>
          <w:color w:val="000000"/>
          <w:spacing w:val="-5"/>
        </w:rPr>
        <w:t>b</w:t>
      </w:r>
      <w:r>
        <w:rPr>
          <w:color w:val="000000"/>
        </w:rPr>
        <w:t>ūd</w:t>
      </w:r>
      <w:r>
        <w:rPr>
          <w:color w:val="000000"/>
          <w:spacing w:val="4"/>
        </w:rPr>
        <w:t>a</w:t>
      </w:r>
      <w:r>
        <w:rPr>
          <w:color w:val="000000"/>
          <w:spacing w:val="-4"/>
        </w:rPr>
        <w:t>i</w:t>
      </w:r>
      <w:r>
        <w:rPr>
          <w:color w:val="000000"/>
        </w:rPr>
        <w:t>s</w:t>
      </w:r>
      <w:r>
        <w:rPr>
          <w:color w:val="000000"/>
          <w:spacing w:val="5"/>
        </w:rPr>
        <w:t xml:space="preserve"> </w:t>
      </w:r>
      <w:r>
        <w:rPr>
          <w:color w:val="000000"/>
          <w:spacing w:val="-2"/>
        </w:rPr>
        <w:t>s</w:t>
      </w:r>
      <w:r>
        <w:rPr>
          <w:color w:val="000000"/>
          <w:spacing w:val="5"/>
        </w:rPr>
        <w:t>t</w:t>
      </w:r>
      <w:r>
        <w:rPr>
          <w:color w:val="000000"/>
          <w:spacing w:val="-1"/>
        </w:rPr>
        <w:t>e</w:t>
      </w:r>
      <w:r>
        <w:rPr>
          <w:color w:val="000000"/>
          <w:spacing w:val="-5"/>
        </w:rPr>
        <w:t>n</w:t>
      </w:r>
      <w:r>
        <w:rPr>
          <w:color w:val="000000"/>
          <w:spacing w:val="5"/>
        </w:rPr>
        <w:t>g</w:t>
      </w:r>
      <w:r>
        <w:rPr>
          <w:color w:val="000000"/>
          <w:spacing w:val="-4"/>
        </w:rPr>
        <w:t>i</w:t>
      </w:r>
      <w:r>
        <w:rPr>
          <w:color w:val="000000"/>
          <w:spacing w:val="4"/>
        </w:rPr>
        <w:t>a</w:t>
      </w:r>
      <w:r>
        <w:rPr>
          <w:color w:val="000000"/>
          <w:spacing w:val="2"/>
        </w:rPr>
        <w:t>s</w:t>
      </w:r>
      <w:r>
        <w:rPr>
          <w:color w:val="000000"/>
        </w:rPr>
        <w:t>i</w:t>
      </w:r>
      <w:r>
        <w:rPr>
          <w:color w:val="000000"/>
          <w:spacing w:val="3"/>
        </w:rPr>
        <w:t xml:space="preserve"> </w:t>
      </w:r>
      <w:r>
        <w:rPr>
          <w:color w:val="000000"/>
          <w:spacing w:val="-4"/>
        </w:rPr>
        <w:t>j</w:t>
      </w:r>
      <w:r>
        <w:rPr>
          <w:color w:val="000000"/>
        </w:rPr>
        <w:t>ų</w:t>
      </w:r>
      <w:r>
        <w:rPr>
          <w:color w:val="000000"/>
          <w:spacing w:val="7"/>
        </w:rPr>
        <w:t xml:space="preserve"> </w:t>
      </w:r>
      <w:r>
        <w:rPr>
          <w:color w:val="000000"/>
          <w:spacing w:val="-4"/>
        </w:rPr>
        <w:t>į</w:t>
      </w:r>
      <w:r>
        <w:rPr>
          <w:color w:val="000000"/>
          <w:spacing w:val="2"/>
        </w:rPr>
        <w:t>s</w:t>
      </w:r>
      <w:r>
        <w:rPr>
          <w:color w:val="000000"/>
          <w:spacing w:val="-4"/>
        </w:rPr>
        <w:t>i</w:t>
      </w:r>
      <w:r>
        <w:rPr>
          <w:color w:val="000000"/>
          <w:spacing w:val="5"/>
        </w:rPr>
        <w:t>g</w:t>
      </w:r>
      <w:r>
        <w:rPr>
          <w:color w:val="000000"/>
          <w:spacing w:val="-10"/>
        </w:rPr>
        <w:t>y</w:t>
      </w:r>
      <w:r>
        <w:rPr>
          <w:color w:val="000000"/>
          <w:spacing w:val="10"/>
        </w:rPr>
        <w:t>t</w:t>
      </w:r>
      <w:r>
        <w:rPr>
          <w:color w:val="000000"/>
          <w:spacing w:val="-4"/>
        </w:rPr>
        <w:t>i</w:t>
      </w:r>
      <w:r>
        <w:rPr>
          <w:color w:val="000000"/>
        </w:rPr>
        <w:t>. D</w:t>
      </w:r>
      <w:r>
        <w:rPr>
          <w:color w:val="000000"/>
          <w:spacing w:val="-1"/>
        </w:rPr>
        <w:t>až</w:t>
      </w:r>
      <w:r>
        <w:rPr>
          <w:color w:val="000000"/>
        </w:rPr>
        <w:t>n</w:t>
      </w:r>
      <w:r>
        <w:rPr>
          <w:color w:val="000000"/>
          <w:spacing w:val="-4"/>
        </w:rPr>
        <w:t>i</w:t>
      </w:r>
      <w:r>
        <w:rPr>
          <w:color w:val="000000"/>
          <w:spacing w:val="4"/>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36"/>
        </w:rPr>
        <w:t xml:space="preserve"> </w:t>
      </w:r>
      <w:r>
        <w:rPr>
          <w:color w:val="000000"/>
          <w:spacing w:val="-4"/>
        </w:rPr>
        <w:t>ji</w:t>
      </w:r>
      <w:r>
        <w:rPr>
          <w:color w:val="000000"/>
        </w:rPr>
        <w:t>e</w:t>
      </w:r>
      <w:r>
        <w:rPr>
          <w:color w:val="000000"/>
          <w:spacing w:val="35"/>
        </w:rPr>
        <w:t xml:space="preserve"> </w:t>
      </w:r>
      <w:r>
        <w:rPr>
          <w:color w:val="000000"/>
          <w:spacing w:val="5"/>
        </w:rPr>
        <w:t>t</w:t>
      </w:r>
      <w:r>
        <w:rPr>
          <w:color w:val="000000"/>
          <w:spacing w:val="4"/>
        </w:rPr>
        <w:t>a</w:t>
      </w:r>
      <w:r>
        <w:rPr>
          <w:color w:val="000000"/>
        </w:rPr>
        <w:t>i</w:t>
      </w:r>
      <w:r>
        <w:rPr>
          <w:color w:val="000000"/>
          <w:spacing w:val="27"/>
        </w:rPr>
        <w:t xml:space="preserve"> </w:t>
      </w:r>
      <w:r>
        <w:rPr>
          <w:color w:val="000000"/>
        </w:rPr>
        <w:t>d</w:t>
      </w:r>
      <w:r>
        <w:rPr>
          <w:color w:val="000000"/>
          <w:spacing w:val="-1"/>
        </w:rPr>
        <w:t>a</w:t>
      </w:r>
      <w:r>
        <w:rPr>
          <w:color w:val="000000"/>
          <w:spacing w:val="1"/>
        </w:rPr>
        <w:t>r</w:t>
      </w:r>
      <w:r>
        <w:rPr>
          <w:color w:val="000000"/>
        </w:rPr>
        <w:t>o</w:t>
      </w:r>
      <w:r>
        <w:rPr>
          <w:color w:val="000000"/>
          <w:spacing w:val="40"/>
        </w:rPr>
        <w:t xml:space="preserve"> </w:t>
      </w:r>
      <w:r>
        <w:rPr>
          <w:color w:val="000000"/>
          <w:spacing w:val="-4"/>
        </w:rPr>
        <w:t>į</w:t>
      </w:r>
      <w:r>
        <w:rPr>
          <w:color w:val="000000"/>
        </w:rPr>
        <w:t>v</w:t>
      </w:r>
      <w:r>
        <w:rPr>
          <w:color w:val="000000"/>
          <w:spacing w:val="-1"/>
        </w:rPr>
        <w:t>ež</w:t>
      </w:r>
      <w:r>
        <w:rPr>
          <w:color w:val="000000"/>
        </w:rPr>
        <w:t>d</w:t>
      </w:r>
      <w:r>
        <w:rPr>
          <w:color w:val="000000"/>
          <w:spacing w:val="4"/>
        </w:rPr>
        <w:t>a</w:t>
      </w:r>
      <w:r>
        <w:rPr>
          <w:color w:val="000000"/>
        </w:rPr>
        <w:t>mi</w:t>
      </w:r>
      <w:r>
        <w:rPr>
          <w:color w:val="000000"/>
          <w:spacing w:val="37"/>
        </w:rPr>
        <w:t xml:space="preserve"> </w:t>
      </w:r>
      <w:r>
        <w:rPr>
          <w:color w:val="000000"/>
          <w:spacing w:val="-4"/>
        </w:rPr>
        <w:t>j</w:t>
      </w:r>
      <w:r>
        <w:rPr>
          <w:color w:val="000000"/>
          <w:spacing w:val="-1"/>
        </w:rPr>
        <w:t>a</w:t>
      </w:r>
      <w:r>
        <w:rPr>
          <w:color w:val="000000"/>
        </w:rPr>
        <w:t>s</w:t>
      </w:r>
      <w:r>
        <w:rPr>
          <w:color w:val="000000"/>
          <w:spacing w:val="34"/>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4"/>
        </w:rPr>
        <w:t>a</w:t>
      </w:r>
      <w:r>
        <w:rPr>
          <w:color w:val="000000"/>
          <w:spacing w:val="-5"/>
        </w:rPr>
        <w:t>n</w:t>
      </w:r>
      <w:r>
        <w:rPr>
          <w:color w:val="000000"/>
          <w:spacing w:val="5"/>
        </w:rPr>
        <w:t>d</w:t>
      </w:r>
      <w:r>
        <w:rPr>
          <w:color w:val="000000"/>
          <w:spacing w:val="-1"/>
        </w:rPr>
        <w:t>a</w:t>
      </w:r>
      <w:r>
        <w:rPr>
          <w:color w:val="000000"/>
        </w:rPr>
        <w:t>,</w:t>
      </w:r>
      <w:r>
        <w:rPr>
          <w:color w:val="000000"/>
          <w:spacing w:val="38"/>
        </w:rPr>
        <w:t xml:space="preserve"> </w:t>
      </w:r>
      <w:r>
        <w:rPr>
          <w:color w:val="000000"/>
          <w:spacing w:val="-5"/>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4"/>
        </w:rPr>
        <w:t>i</w:t>
      </w:r>
      <w:r>
        <w:rPr>
          <w:color w:val="000000"/>
          <w:spacing w:val="4"/>
        </w:rPr>
        <w:t>a</w:t>
      </w:r>
      <w:r>
        <w:rPr>
          <w:color w:val="000000"/>
        </w:rPr>
        <w:t>i</w:t>
      </w:r>
      <w:r>
        <w:rPr>
          <w:color w:val="000000"/>
          <w:spacing w:val="31"/>
        </w:rPr>
        <w:t xml:space="preserve"> </w:t>
      </w:r>
      <w:r>
        <w:rPr>
          <w:color w:val="000000"/>
          <w:spacing w:val="-4"/>
        </w:rPr>
        <w:t>į</w:t>
      </w:r>
      <w:r>
        <w:rPr>
          <w:color w:val="000000"/>
          <w:spacing w:val="7"/>
        </w:rPr>
        <w:t>s</w:t>
      </w:r>
      <w:r>
        <w:rPr>
          <w:color w:val="000000"/>
          <w:spacing w:val="-4"/>
        </w:rPr>
        <w:t>i</w:t>
      </w:r>
      <w:r>
        <w:rPr>
          <w:color w:val="000000"/>
          <w:spacing w:val="5"/>
        </w:rPr>
        <w:t>g</w:t>
      </w:r>
      <w:r>
        <w:rPr>
          <w:color w:val="000000"/>
          <w:spacing w:val="-5"/>
        </w:rPr>
        <w:t>y</w:t>
      </w:r>
      <w:r>
        <w:rPr>
          <w:color w:val="000000"/>
        </w:rPr>
        <w:t>d</w:t>
      </w:r>
      <w:r>
        <w:rPr>
          <w:color w:val="000000"/>
          <w:spacing w:val="4"/>
        </w:rPr>
        <w:t>a</w:t>
      </w:r>
      <w:r>
        <w:rPr>
          <w:color w:val="000000"/>
        </w:rPr>
        <w:t>mi</w:t>
      </w:r>
      <w:r>
        <w:rPr>
          <w:color w:val="000000"/>
          <w:spacing w:val="32"/>
        </w:rPr>
        <w:t xml:space="preserve"> </w:t>
      </w:r>
      <w:r>
        <w:rPr>
          <w:color w:val="000000"/>
          <w:spacing w:val="-4"/>
        </w:rPr>
        <w:t>i</w:t>
      </w:r>
      <w:r>
        <w:rPr>
          <w:color w:val="000000"/>
        </w:rPr>
        <w:t>r</w:t>
      </w:r>
      <w:r>
        <w:rPr>
          <w:color w:val="000000"/>
          <w:spacing w:val="42"/>
        </w:rPr>
        <w:t xml:space="preserve"> </w:t>
      </w:r>
      <w:r>
        <w:rPr>
          <w:color w:val="000000"/>
          <w:spacing w:val="-5"/>
        </w:rPr>
        <w:t>n</w:t>
      </w:r>
      <w:r>
        <w:rPr>
          <w:color w:val="000000"/>
          <w:spacing w:val="-1"/>
        </w:rPr>
        <w:t>a</w:t>
      </w:r>
      <w:r>
        <w:rPr>
          <w:color w:val="000000"/>
        </w:rPr>
        <w:t>ud</w:t>
      </w:r>
      <w:r>
        <w:rPr>
          <w:color w:val="000000"/>
          <w:spacing w:val="5"/>
        </w:rPr>
        <w:t>o</w:t>
      </w:r>
      <w:r>
        <w:rPr>
          <w:color w:val="000000"/>
        </w:rPr>
        <w:t>d</w:t>
      </w:r>
      <w:r>
        <w:rPr>
          <w:color w:val="000000"/>
          <w:spacing w:val="4"/>
        </w:rPr>
        <w:t>a</w:t>
      </w:r>
      <w:r>
        <w:rPr>
          <w:color w:val="000000"/>
          <w:spacing w:val="-4"/>
        </w:rPr>
        <w:t>m</w:t>
      </w:r>
      <w:r>
        <w:rPr>
          <w:color w:val="000000"/>
        </w:rPr>
        <w:t>i</w:t>
      </w:r>
      <w:r>
        <w:rPr>
          <w:color w:val="000000"/>
          <w:spacing w:val="31"/>
        </w:rPr>
        <w:t xml:space="preserve"> </w:t>
      </w:r>
      <w:r>
        <w:rPr>
          <w:color w:val="000000"/>
          <w:spacing w:val="-4"/>
        </w:rPr>
        <w:t>m</w:t>
      </w:r>
      <w:r>
        <w:rPr>
          <w:color w:val="000000"/>
          <w:spacing w:val="4"/>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1"/>
        </w:rPr>
        <w:t>a</w:t>
      </w:r>
      <w:r>
        <w:rPr>
          <w:color w:val="000000"/>
          <w:spacing w:val="-2"/>
        </w:rPr>
        <w:t>s</w:t>
      </w:r>
      <w:r>
        <w:rPr>
          <w:color w:val="000000"/>
        </w:rPr>
        <w:t>, ku</w:t>
      </w:r>
      <w:r>
        <w:rPr>
          <w:color w:val="000000"/>
          <w:spacing w:val="6"/>
        </w:rPr>
        <w:t>r</w:t>
      </w:r>
      <w:r>
        <w:rPr>
          <w:color w:val="000000"/>
          <w:spacing w:val="-9"/>
        </w:rPr>
        <w:t>i</w:t>
      </w:r>
      <w:r>
        <w:rPr>
          <w:color w:val="000000"/>
          <w:spacing w:val="5"/>
        </w:rPr>
        <w:t>o</w:t>
      </w:r>
      <w:r>
        <w:rPr>
          <w:color w:val="000000"/>
          <w:spacing w:val="-4"/>
        </w:rPr>
        <w:t>mi</w:t>
      </w:r>
      <w:r>
        <w:rPr>
          <w:color w:val="000000"/>
        </w:rPr>
        <w:t>s p</w:t>
      </w:r>
      <w:r>
        <w:rPr>
          <w:color w:val="000000"/>
          <w:spacing w:val="1"/>
        </w:rPr>
        <w:t>r</w:t>
      </w:r>
      <w:r>
        <w:rPr>
          <w:color w:val="000000"/>
          <w:spacing w:val="-1"/>
        </w:rPr>
        <w:t>e</w:t>
      </w:r>
      <w:r>
        <w:rPr>
          <w:color w:val="000000"/>
          <w:spacing w:val="5"/>
        </w:rPr>
        <w:t>k</w:t>
      </w:r>
      <w:r>
        <w:rPr>
          <w:color w:val="000000"/>
          <w:spacing w:val="-4"/>
        </w:rPr>
        <w:t>i</w:t>
      </w:r>
      <w:r>
        <w:rPr>
          <w:color w:val="000000"/>
          <w:spacing w:val="-1"/>
        </w:rPr>
        <w:t>a</w:t>
      </w:r>
      <w:r>
        <w:rPr>
          <w:color w:val="000000"/>
          <w:spacing w:val="5"/>
        </w:rPr>
        <w:t>u</w:t>
      </w:r>
      <w:r>
        <w:rPr>
          <w:color w:val="000000"/>
          <w:spacing w:val="-4"/>
        </w:rPr>
        <w:t>j</w:t>
      </w:r>
      <w:r>
        <w:rPr>
          <w:color w:val="000000"/>
          <w:spacing w:val="4"/>
        </w:rPr>
        <w:t>a</w:t>
      </w:r>
      <w:r>
        <w:rPr>
          <w:color w:val="000000"/>
          <w:spacing w:val="-4"/>
        </w:rPr>
        <w:t>m</w:t>
      </w:r>
      <w:r>
        <w:rPr>
          <w:color w:val="000000"/>
        </w:rPr>
        <w:t>a</w:t>
      </w:r>
      <w:r>
        <w:rPr>
          <w:color w:val="000000"/>
          <w:spacing w:val="1"/>
        </w:rPr>
        <w:t xml:space="preserve"> </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spacing w:val="4"/>
        </w:rPr>
        <w:t>a</w:t>
      </w:r>
      <w:r>
        <w:rPr>
          <w:color w:val="000000"/>
          <w:spacing w:val="-9"/>
        </w:rPr>
        <w:t>i</w:t>
      </w:r>
      <w:r>
        <w:rPr>
          <w:color w:val="000000"/>
        </w:rPr>
        <w:t>,</w:t>
      </w:r>
      <w:r>
        <w:rPr>
          <w:color w:val="000000"/>
          <w:spacing w:val="4"/>
        </w:rPr>
        <w:t xml:space="preserve"> </w:t>
      </w:r>
      <w:r>
        <w:rPr>
          <w:color w:val="000000"/>
          <w:spacing w:val="-1"/>
        </w:rPr>
        <w:t>a</w:t>
      </w:r>
      <w:r>
        <w:rPr>
          <w:color w:val="000000"/>
          <w:spacing w:val="1"/>
        </w:rPr>
        <w:t>r</w:t>
      </w:r>
      <w:r>
        <w:rPr>
          <w:color w:val="000000"/>
          <w:spacing w:val="-5"/>
        </w:rPr>
        <w:t>b</w:t>
      </w:r>
      <w:r>
        <w:rPr>
          <w:color w:val="000000"/>
        </w:rPr>
        <w:t>a</w:t>
      </w:r>
      <w:r>
        <w:rPr>
          <w:color w:val="000000"/>
          <w:spacing w:val="1"/>
        </w:rPr>
        <w:t xml:space="preserve"> </w:t>
      </w:r>
      <w:r>
        <w:rPr>
          <w:color w:val="000000"/>
        </w:rPr>
        <w:t>p</w:t>
      </w:r>
      <w:r>
        <w:rPr>
          <w:color w:val="000000"/>
          <w:spacing w:val="-1"/>
        </w:rPr>
        <w:t>a</w:t>
      </w:r>
      <w:r>
        <w:rPr>
          <w:color w:val="000000"/>
          <w:spacing w:val="10"/>
        </w:rPr>
        <w:t>t</w:t>
      </w:r>
      <w:r>
        <w:rPr>
          <w:color w:val="000000"/>
          <w:spacing w:val="-10"/>
        </w:rPr>
        <w:t>y</w:t>
      </w:r>
      <w:r>
        <w:rPr>
          <w:color w:val="000000"/>
        </w:rPr>
        <w:t>s g</w:t>
      </w:r>
      <w:r>
        <w:rPr>
          <w:color w:val="000000"/>
          <w:spacing w:val="4"/>
        </w:rPr>
        <w:t>a</w:t>
      </w:r>
      <w:r>
        <w:rPr>
          <w:color w:val="000000"/>
        </w:rPr>
        <w:t>m</w:t>
      </w:r>
      <w:r>
        <w:rPr>
          <w:color w:val="000000"/>
          <w:spacing w:val="-4"/>
        </w:rPr>
        <w:t>i</w:t>
      </w:r>
      <w:r>
        <w:rPr>
          <w:color w:val="000000"/>
        </w:rPr>
        <w:t>nd</w:t>
      </w:r>
      <w:r>
        <w:rPr>
          <w:color w:val="000000"/>
          <w:spacing w:val="4"/>
        </w:rPr>
        <w:t>a</w:t>
      </w:r>
      <w:r>
        <w:rPr>
          <w:color w:val="000000"/>
        </w:rPr>
        <w:t>mi</w:t>
      </w:r>
      <w:r>
        <w:rPr>
          <w:color w:val="000000"/>
          <w:spacing w:val="-2"/>
        </w:rPr>
        <w:t xml:space="preserve"> </w:t>
      </w:r>
      <w:r>
        <w:rPr>
          <w:color w:val="000000"/>
          <w:spacing w:val="2"/>
        </w:rPr>
        <w:t>š</w:t>
      </w:r>
      <w:r>
        <w:rPr>
          <w:color w:val="000000"/>
          <w:spacing w:val="-4"/>
        </w:rPr>
        <w:t>i</w:t>
      </w:r>
      <w:r>
        <w:rPr>
          <w:color w:val="000000"/>
          <w:spacing w:val="-1"/>
        </w:rPr>
        <w:t>a</w:t>
      </w:r>
      <w:r>
        <w:rPr>
          <w:color w:val="000000"/>
        </w:rPr>
        <w:t>s</w:t>
      </w:r>
      <w:r>
        <w:rPr>
          <w:color w:val="000000"/>
          <w:spacing w:val="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4"/>
        </w:rPr>
        <w:t>a</w:t>
      </w:r>
      <w:r>
        <w:rPr>
          <w:color w:val="000000"/>
          <w:spacing w:val="-2"/>
        </w:rPr>
        <w:t>s</w:t>
      </w:r>
      <w:r>
        <w:rPr>
          <w:color w:val="000000"/>
        </w:rPr>
        <w:t>.</w:t>
      </w:r>
    </w:p>
    <w:p w:rsidR="004F7425" w:rsidRDefault="004F7425" w:rsidP="004F7425">
      <w:pPr>
        <w:widowControl w:val="0"/>
        <w:autoSpaceDE w:val="0"/>
        <w:autoSpaceDN w:val="0"/>
        <w:adjustRightInd w:val="0"/>
        <w:ind w:left="4078" w:right="43" w:firstLine="778"/>
        <w:jc w:val="both"/>
        <w:rPr>
          <w:color w:val="000000"/>
        </w:rPr>
      </w:pPr>
      <w:r>
        <w:rPr>
          <w:noProof/>
          <w:lang w:eastAsia="lt-LT"/>
        </w:rPr>
        <mc:AlternateContent>
          <mc:Choice Requires="wps">
            <w:drawing>
              <wp:anchor distT="0" distB="0" distL="114300" distR="114300" simplePos="0" relativeHeight="251751424" behindDoc="1" locked="0" layoutInCell="0" allowOverlap="1">
                <wp:simplePos x="0" y="0"/>
                <wp:positionH relativeFrom="page">
                  <wp:posOffset>965835</wp:posOffset>
                </wp:positionH>
                <wp:positionV relativeFrom="paragraph">
                  <wp:posOffset>60325</wp:posOffset>
                </wp:positionV>
                <wp:extent cx="2413000" cy="1803400"/>
                <wp:effectExtent l="3810" t="4445" r="2540" b="1905"/>
                <wp:wrapNone/>
                <wp:docPr id="213" name="Stačiakampis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180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2840" w:lineRule="atLeast"/>
                            </w:pPr>
                            <w:r>
                              <w:rPr>
                                <w:noProof/>
                                <w:lang w:eastAsia="lt-LT"/>
                              </w:rPr>
                              <w:drawing>
                                <wp:inline distT="0" distB="0" distL="0" distR="0" wp14:anchorId="28EE1616" wp14:editId="50D203E9">
                                  <wp:extent cx="2409825" cy="1800225"/>
                                  <wp:effectExtent l="0" t="0" r="9525" b="9525"/>
                                  <wp:docPr id="212" name="Paveikslėlis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409825" cy="18002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13" o:spid="_x0000_s1072" style="position:absolute;left:0;text-align:left;margin-left:76.05pt;margin-top:4.75pt;width:190pt;height:142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" o:allowincell="f" filled="f" stroked="f">
                <v:textbox inset="0,0,0,0">
                  <w:txbxContent>
                    <w:p w:rsidR="004F7425" w:rsidRDefault="004F7425" w:rsidP="004F7425">
                      <w:pPr>
                        <w:spacing w:line="2840" w:lineRule="atLeast"/>
                      </w:pPr>
                      <w:r>
                        <w:rPr>
                          <w:noProof/>
                          <w:lang w:eastAsia="lt-LT"/>
                        </w:rPr>
                        <w:drawing>
                          <wp:inline distT="0" distB="0" distL="0" distR="0" wp14:anchorId="28EE1616" wp14:editId="50D203E9">
                            <wp:extent cx="2409825" cy="1800225"/>
                            <wp:effectExtent l="0" t="0" r="9525" b="9525"/>
                            <wp:docPr id="212" name="Paveikslėlis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409825" cy="18002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rPr>
        <w:t>2012</w:t>
      </w:r>
      <w:r>
        <w:rPr>
          <w:color w:val="000000"/>
          <w:spacing w:val="31"/>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rPr>
        <w:t>s</w:t>
      </w:r>
      <w:r>
        <w:rPr>
          <w:color w:val="000000"/>
          <w:spacing w:val="29"/>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12"/>
        </w:rPr>
        <w:t>o</w:t>
      </w:r>
      <w:r>
        <w:rPr>
          <w:color w:val="000000"/>
          <w:spacing w:val="-9"/>
        </w:rPr>
        <w:t>j</w:t>
      </w:r>
      <w:r>
        <w:rPr>
          <w:color w:val="000000"/>
        </w:rPr>
        <w:t>e</w:t>
      </w:r>
      <w:r>
        <w:rPr>
          <w:color w:val="000000"/>
          <w:spacing w:val="35"/>
        </w:rPr>
        <w:t xml:space="preserve"> </w:t>
      </w:r>
      <w:r>
        <w:rPr>
          <w:color w:val="000000"/>
          <w:spacing w:val="-5"/>
        </w:rPr>
        <w:t>b</w:t>
      </w:r>
      <w:r>
        <w:rPr>
          <w:color w:val="000000"/>
          <w:spacing w:val="5"/>
        </w:rPr>
        <w:t>u</w:t>
      </w:r>
      <w:r>
        <w:rPr>
          <w:color w:val="000000"/>
          <w:spacing w:val="-5"/>
        </w:rPr>
        <w:t>v</w:t>
      </w:r>
      <w:r>
        <w:rPr>
          <w:color w:val="000000"/>
        </w:rPr>
        <w:t>o</w:t>
      </w:r>
      <w:r>
        <w:rPr>
          <w:color w:val="000000"/>
          <w:spacing w:val="36"/>
        </w:rPr>
        <w:t xml:space="preserve"> </w:t>
      </w:r>
      <w:r>
        <w:rPr>
          <w:color w:val="000000"/>
          <w:spacing w:val="-9"/>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spacing w:val="-5"/>
        </w:rPr>
        <w:t>n</w:t>
      </w:r>
      <w:r>
        <w:rPr>
          <w:color w:val="000000"/>
          <w:spacing w:val="5"/>
        </w:rPr>
        <w:t>to</w:t>
      </w:r>
      <w:r>
        <w:rPr>
          <w:color w:val="000000"/>
        </w:rPr>
        <w:t>s</w:t>
      </w:r>
      <w:r>
        <w:rPr>
          <w:color w:val="000000"/>
          <w:spacing w:val="24"/>
        </w:rPr>
        <w:t xml:space="preserve"> </w:t>
      </w:r>
      <w:r>
        <w:rPr>
          <w:color w:val="000000"/>
        </w:rPr>
        <w:t>3</w:t>
      </w:r>
      <w:r>
        <w:rPr>
          <w:color w:val="000000"/>
          <w:spacing w:val="31"/>
        </w:rPr>
        <w:t xml:space="preserve">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rPr>
        <w:t xml:space="preserve">ų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 g</w:t>
      </w:r>
      <w:r>
        <w:rPr>
          <w:color w:val="000000"/>
          <w:spacing w:val="4"/>
        </w:rPr>
        <w:t>a</w:t>
      </w:r>
      <w:r>
        <w:rPr>
          <w:color w:val="000000"/>
        </w:rPr>
        <w:t>m</w:t>
      </w:r>
      <w:r>
        <w:rPr>
          <w:color w:val="000000"/>
          <w:spacing w:val="-4"/>
        </w:rPr>
        <w:t>y</w:t>
      </w:r>
      <w:r>
        <w:rPr>
          <w:color w:val="000000"/>
          <w:spacing w:val="-5"/>
        </w:rPr>
        <w:t>b</w:t>
      </w:r>
      <w:r>
        <w:rPr>
          <w:color w:val="000000"/>
          <w:spacing w:val="5"/>
        </w:rPr>
        <w:t>o</w:t>
      </w:r>
      <w:r>
        <w:rPr>
          <w:color w:val="000000"/>
        </w:rPr>
        <w:t>s</w:t>
      </w:r>
      <w:r>
        <w:rPr>
          <w:color w:val="000000"/>
          <w:spacing w:val="7"/>
        </w:rPr>
        <w:t xml:space="preserve"> </w:t>
      </w:r>
      <w:r>
        <w:rPr>
          <w:color w:val="000000"/>
        </w:rPr>
        <w:t>v</w:t>
      </w:r>
      <w:r>
        <w:rPr>
          <w:color w:val="000000"/>
          <w:spacing w:val="-4"/>
        </w:rPr>
        <w:t>i</w:t>
      </w:r>
      <w:r>
        <w:rPr>
          <w:color w:val="000000"/>
          <w:spacing w:val="-1"/>
        </w:rPr>
        <w:t>e</w:t>
      </w:r>
      <w:r>
        <w:rPr>
          <w:color w:val="000000"/>
          <w:spacing w:val="5"/>
        </w:rPr>
        <w:t>to</w:t>
      </w:r>
      <w:r>
        <w:rPr>
          <w:color w:val="000000"/>
          <w:spacing w:val="-2"/>
        </w:rPr>
        <w:t>s</w:t>
      </w:r>
      <w:r>
        <w:rPr>
          <w:color w:val="000000"/>
        </w:rPr>
        <w:t>.</w:t>
      </w:r>
      <w:r>
        <w:rPr>
          <w:color w:val="000000"/>
          <w:spacing w:val="2"/>
        </w:rPr>
        <w:t xml:space="preserve"> </w:t>
      </w:r>
      <w:r>
        <w:rPr>
          <w:color w:val="000000"/>
        </w:rPr>
        <w:t>Dv</w:t>
      </w:r>
      <w:r>
        <w:rPr>
          <w:color w:val="000000"/>
          <w:spacing w:val="-10"/>
        </w:rPr>
        <w:t>i</w:t>
      </w:r>
      <w:r>
        <w:rPr>
          <w:color w:val="000000"/>
          <w:spacing w:val="4"/>
        </w:rPr>
        <w:t>e</w:t>
      </w:r>
      <w:r>
        <w:rPr>
          <w:color w:val="000000"/>
          <w:spacing w:val="-9"/>
        </w:rPr>
        <w:t>j</w:t>
      </w:r>
      <w:r>
        <w:rPr>
          <w:color w:val="000000"/>
          <w:spacing w:val="9"/>
        </w:rPr>
        <w:t>o</w:t>
      </w:r>
      <w:r>
        <w:rPr>
          <w:color w:val="000000"/>
          <w:spacing w:val="-2"/>
        </w:rPr>
        <w:t>s</w:t>
      </w:r>
      <w:r>
        <w:rPr>
          <w:color w:val="000000"/>
        </w:rPr>
        <w:t>e</w:t>
      </w:r>
      <w:r>
        <w:rPr>
          <w:color w:val="000000"/>
          <w:spacing w:val="4"/>
        </w:rPr>
        <w:t xml:space="preserve"> </w:t>
      </w:r>
      <w:r>
        <w:rPr>
          <w:color w:val="000000"/>
          <w:spacing w:val="-4"/>
        </w:rPr>
        <w:t>i</w:t>
      </w:r>
      <w:r>
        <w:rPr>
          <w:color w:val="000000"/>
        </w:rPr>
        <w:t>š</w:t>
      </w:r>
      <w:r>
        <w:rPr>
          <w:color w:val="000000"/>
          <w:spacing w:val="7"/>
        </w:rPr>
        <w:t xml:space="preserve"> </w:t>
      </w:r>
      <w:r>
        <w:rPr>
          <w:color w:val="000000"/>
          <w:spacing w:val="-4"/>
        </w:rPr>
        <w:t>j</w:t>
      </w:r>
      <w:r>
        <w:rPr>
          <w:color w:val="000000"/>
        </w:rPr>
        <w:t>ų</w:t>
      </w:r>
      <w:r>
        <w:rPr>
          <w:color w:val="000000"/>
          <w:spacing w:val="5"/>
        </w:rPr>
        <w:t xml:space="preserve"> </w:t>
      </w:r>
      <w:r>
        <w:rPr>
          <w:color w:val="000000"/>
          <w:spacing w:val="-5"/>
        </w:rPr>
        <w:t>b</w:t>
      </w:r>
      <w:r>
        <w:rPr>
          <w:color w:val="000000"/>
          <w:spacing w:val="5"/>
        </w:rPr>
        <w:t>u</w:t>
      </w:r>
      <w:r>
        <w:rPr>
          <w:color w:val="000000"/>
          <w:spacing w:val="-5"/>
        </w:rPr>
        <w:t>v</w:t>
      </w:r>
      <w:r>
        <w:rPr>
          <w:color w:val="000000"/>
        </w:rPr>
        <w:t>o</w:t>
      </w:r>
      <w:r>
        <w:rPr>
          <w:color w:val="000000"/>
          <w:spacing w:val="5"/>
        </w:rPr>
        <w:t xml:space="preserve"> </w:t>
      </w:r>
      <w:r>
        <w:rPr>
          <w:color w:val="000000"/>
        </w:rPr>
        <w:t>g</w:t>
      </w:r>
      <w:r>
        <w:rPr>
          <w:color w:val="000000"/>
          <w:spacing w:val="4"/>
        </w:rPr>
        <w:t>a</w:t>
      </w:r>
      <w:r>
        <w:rPr>
          <w:color w:val="000000"/>
          <w:spacing w:val="-4"/>
        </w:rPr>
        <w:t>mi</w:t>
      </w:r>
      <w:r>
        <w:rPr>
          <w:color w:val="000000"/>
        </w:rPr>
        <w:t>n</w:t>
      </w:r>
      <w:r>
        <w:rPr>
          <w:color w:val="000000"/>
          <w:spacing w:val="4"/>
        </w:rPr>
        <w:t>a</w:t>
      </w:r>
      <w:r>
        <w:rPr>
          <w:color w:val="000000"/>
          <w:spacing w:val="-4"/>
        </w:rPr>
        <w:t>m</w:t>
      </w:r>
      <w:r>
        <w:rPr>
          <w:color w:val="000000"/>
          <w:spacing w:val="4"/>
        </w:rPr>
        <w:t>a</w:t>
      </w:r>
      <w:r>
        <w:rPr>
          <w:color w:val="000000"/>
        </w:rPr>
        <w:t xml:space="preserve">s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a</w:t>
      </w:r>
      <w:r>
        <w:rPr>
          <w:color w:val="000000"/>
          <w:spacing w:val="-2"/>
        </w:rPr>
        <w:t>s</w:t>
      </w:r>
      <w:r>
        <w:rPr>
          <w:color w:val="000000"/>
        </w:rPr>
        <w:t>,</w:t>
      </w:r>
      <w:r>
        <w:rPr>
          <w:color w:val="000000"/>
          <w:spacing w:val="9"/>
        </w:rPr>
        <w:t xml:space="preserve"> </w:t>
      </w:r>
      <w:r>
        <w:rPr>
          <w:color w:val="000000"/>
          <w:spacing w:val="5"/>
        </w:rPr>
        <w:t>t</w:t>
      </w:r>
      <w:r>
        <w:rPr>
          <w:color w:val="000000"/>
          <w:spacing w:val="1"/>
        </w:rPr>
        <w:t>r</w:t>
      </w:r>
      <w:r>
        <w:rPr>
          <w:color w:val="000000"/>
          <w:spacing w:val="-1"/>
        </w:rPr>
        <w:t>eč</w:t>
      </w:r>
      <w:r>
        <w:rPr>
          <w:color w:val="000000"/>
          <w:spacing w:val="-9"/>
        </w:rPr>
        <w:t>i</w:t>
      </w:r>
      <w:r>
        <w:rPr>
          <w:color w:val="000000"/>
          <w:spacing w:val="9"/>
        </w:rPr>
        <w:t>o</w:t>
      </w:r>
      <w:r>
        <w:rPr>
          <w:color w:val="000000"/>
          <w:spacing w:val="-9"/>
        </w:rPr>
        <w:t>j</w:t>
      </w:r>
      <w:r>
        <w:rPr>
          <w:color w:val="000000"/>
        </w:rPr>
        <w:t>e</w:t>
      </w:r>
      <w:r>
        <w:rPr>
          <w:color w:val="000000"/>
          <w:spacing w:val="9"/>
        </w:rPr>
        <w:t xml:space="preserve"> </w:t>
      </w:r>
      <w:r>
        <w:rPr>
          <w:color w:val="000000"/>
        </w:rPr>
        <w:t>–</w:t>
      </w:r>
      <w:r>
        <w:rPr>
          <w:color w:val="000000"/>
          <w:spacing w:val="13"/>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2"/>
        </w:rPr>
        <w:t>s</w:t>
      </w:r>
      <w:r>
        <w:rPr>
          <w:color w:val="000000"/>
        </w:rPr>
        <w:t>.</w:t>
      </w:r>
      <w:r>
        <w:rPr>
          <w:color w:val="000000"/>
          <w:spacing w:val="9"/>
        </w:rPr>
        <w:t xml:space="preserve"> </w:t>
      </w:r>
      <w:r>
        <w:rPr>
          <w:color w:val="000000"/>
          <w:spacing w:val="1"/>
        </w:rPr>
        <w:t>I</w:t>
      </w:r>
      <w:r>
        <w:rPr>
          <w:color w:val="000000"/>
        </w:rPr>
        <w:t xml:space="preserve">š </w:t>
      </w:r>
      <w:r>
        <w:rPr>
          <w:color w:val="000000"/>
          <w:spacing w:val="-5"/>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rPr>
        <w:t xml:space="preserve">s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to</w:t>
      </w:r>
      <w:r>
        <w:rPr>
          <w:color w:val="000000"/>
        </w:rPr>
        <w:t>s</w:t>
      </w:r>
      <w:r>
        <w:rPr>
          <w:color w:val="000000"/>
          <w:spacing w:val="2"/>
        </w:rPr>
        <w:t xml:space="preserve"> </w:t>
      </w:r>
      <w:r>
        <w:rPr>
          <w:color w:val="000000"/>
          <w:spacing w:val="-4"/>
        </w:rPr>
        <w:t>i</w:t>
      </w:r>
      <w:r>
        <w:rPr>
          <w:color w:val="000000"/>
          <w:spacing w:val="2"/>
        </w:rPr>
        <w:t>š</w:t>
      </w:r>
      <w:r>
        <w:rPr>
          <w:color w:val="000000"/>
          <w:spacing w:val="-4"/>
        </w:rPr>
        <w:t>i</w:t>
      </w:r>
      <w:r>
        <w:rPr>
          <w:color w:val="000000"/>
          <w:spacing w:val="-9"/>
        </w:rPr>
        <w:t>m</w:t>
      </w:r>
      <w:r>
        <w:rPr>
          <w:color w:val="000000"/>
          <w:spacing w:val="10"/>
        </w:rPr>
        <w:t>t</w:t>
      </w:r>
      <w:r>
        <w:rPr>
          <w:color w:val="000000"/>
        </w:rPr>
        <w:t>i</w:t>
      </w:r>
      <w:r>
        <w:rPr>
          <w:color w:val="000000"/>
          <w:spacing w:val="4"/>
        </w:rPr>
        <w:t xml:space="preserve"> </w:t>
      </w:r>
      <w:r>
        <w:rPr>
          <w:color w:val="000000"/>
          <w:spacing w:val="-5"/>
        </w:rPr>
        <w:t>n</w:t>
      </w:r>
      <w:r>
        <w:rPr>
          <w:color w:val="000000"/>
          <w:spacing w:val="4"/>
        </w:rPr>
        <w:t>e</w:t>
      </w:r>
      <w:r>
        <w:rPr>
          <w:color w:val="000000"/>
          <w:spacing w:val="-4"/>
        </w:rPr>
        <w:t>m</w:t>
      </w:r>
      <w:r>
        <w:rPr>
          <w:color w:val="000000"/>
          <w:spacing w:val="-1"/>
        </w:rPr>
        <w:t>a</w:t>
      </w:r>
      <w:r>
        <w:rPr>
          <w:color w:val="000000"/>
          <w:spacing w:val="4"/>
        </w:rPr>
        <w:t>ž</w:t>
      </w:r>
      <w:r>
        <w:rPr>
          <w:color w:val="000000"/>
        </w:rPr>
        <w:t xml:space="preserve">i </w:t>
      </w:r>
      <w:r>
        <w:rPr>
          <w:color w:val="000000"/>
          <w:spacing w:val="5"/>
        </w:rPr>
        <w:t>k</w:t>
      </w:r>
      <w:r>
        <w:rPr>
          <w:color w:val="000000"/>
          <w:spacing w:val="-4"/>
        </w:rPr>
        <w:t>i</w:t>
      </w:r>
      <w:r>
        <w:rPr>
          <w:color w:val="000000"/>
          <w:spacing w:val="-1"/>
        </w:rPr>
        <w:t>e</w:t>
      </w:r>
      <w:r>
        <w:rPr>
          <w:color w:val="000000"/>
          <w:spacing w:val="5"/>
        </w:rPr>
        <w:t>k</w:t>
      </w:r>
      <w:r>
        <w:rPr>
          <w:color w:val="000000"/>
          <w:spacing w:val="-4"/>
        </w:rPr>
        <w:t>i</w:t>
      </w:r>
      <w:r>
        <w:rPr>
          <w:color w:val="000000"/>
          <w:spacing w:val="4"/>
        </w:rPr>
        <w:t>a</w:t>
      </w:r>
      <w:r>
        <w:rPr>
          <w:color w:val="000000"/>
        </w:rPr>
        <w:t xml:space="preserve">i </w:t>
      </w:r>
      <w:r>
        <w:rPr>
          <w:color w:val="000000"/>
          <w:spacing w:val="1"/>
        </w:rPr>
        <w:t>(</w:t>
      </w:r>
      <w:r>
        <w:rPr>
          <w:color w:val="000000"/>
        </w:rPr>
        <w:t>p</w:t>
      </w:r>
      <w:r>
        <w:rPr>
          <w:color w:val="000000"/>
          <w:spacing w:val="1"/>
        </w:rPr>
        <w:t>r</w:t>
      </w:r>
      <w:r>
        <w:rPr>
          <w:color w:val="000000"/>
          <w:spacing w:val="-1"/>
        </w:rPr>
        <w:t>e</w:t>
      </w:r>
      <w:r>
        <w:rPr>
          <w:color w:val="000000"/>
        </w:rPr>
        <w:t>ku</w:t>
      </w:r>
      <w:r>
        <w:rPr>
          <w:color w:val="000000"/>
          <w:spacing w:val="1"/>
        </w:rPr>
        <w:t>r</w:t>
      </w:r>
      <w:r>
        <w:rPr>
          <w:color w:val="000000"/>
          <w:spacing w:val="-2"/>
        </w:rPr>
        <w:t>s</w:t>
      </w:r>
      <w:r>
        <w:rPr>
          <w:color w:val="000000"/>
          <w:spacing w:val="5"/>
        </w:rPr>
        <w:t>o</w:t>
      </w:r>
      <w:r>
        <w:rPr>
          <w:color w:val="000000"/>
          <w:spacing w:val="1"/>
        </w:rPr>
        <w:t>r</w:t>
      </w:r>
      <w:r>
        <w:rPr>
          <w:color w:val="000000"/>
          <w:spacing w:val="-9"/>
        </w:rPr>
        <w:t>i</w:t>
      </w:r>
      <w:r>
        <w:rPr>
          <w:color w:val="000000"/>
        </w:rPr>
        <w:t>ų)</w:t>
      </w:r>
      <w:r>
        <w:rPr>
          <w:color w:val="000000"/>
          <w:spacing w:val="10"/>
        </w:rPr>
        <w:t xml:space="preserve"> </w:t>
      </w:r>
      <w:r>
        <w:rPr>
          <w:color w:val="000000"/>
        </w:rPr>
        <w:t>b</w:t>
      </w:r>
      <w:r>
        <w:rPr>
          <w:color w:val="000000"/>
          <w:spacing w:val="4"/>
        </w:rPr>
        <w:t>e</w:t>
      </w:r>
      <w:r>
        <w:rPr>
          <w:color w:val="000000"/>
        </w:rPr>
        <w:t xml:space="preserve">i </w:t>
      </w:r>
      <w:r>
        <w:rPr>
          <w:color w:val="000000"/>
          <w:spacing w:val="-4"/>
        </w:rPr>
        <w:t>į</w:t>
      </w:r>
      <w:r>
        <w:rPr>
          <w:color w:val="000000"/>
        </w:rPr>
        <w:t>v</w:t>
      </w:r>
      <w:r>
        <w:rPr>
          <w:color w:val="000000"/>
          <w:spacing w:val="4"/>
        </w:rPr>
        <w:t>a</w:t>
      </w:r>
      <w:r>
        <w:rPr>
          <w:color w:val="000000"/>
          <w:spacing w:val="-4"/>
        </w:rPr>
        <w:t>i</w:t>
      </w:r>
      <w:r>
        <w:rPr>
          <w:color w:val="000000"/>
          <w:spacing w:val="6"/>
        </w:rPr>
        <w:t>r</w:t>
      </w:r>
      <w:r>
        <w:rPr>
          <w:color w:val="000000"/>
          <w:spacing w:val="-9"/>
        </w:rPr>
        <w:t>i</w:t>
      </w:r>
      <w:r>
        <w:rPr>
          <w:color w:val="000000"/>
        </w:rPr>
        <w:t xml:space="preserve">ų </w:t>
      </w:r>
      <w:r>
        <w:rPr>
          <w:color w:val="000000"/>
          <w:spacing w:val="-1"/>
        </w:rPr>
        <w:t>c</w:t>
      </w:r>
      <w:r>
        <w:rPr>
          <w:color w:val="000000"/>
          <w:spacing w:val="-5"/>
        </w:rPr>
        <w:t>h</w:t>
      </w:r>
      <w:r>
        <w:rPr>
          <w:color w:val="000000"/>
          <w:spacing w:val="4"/>
        </w:rPr>
        <w:t>e</w:t>
      </w:r>
      <w:r>
        <w:rPr>
          <w:color w:val="000000"/>
        </w:rPr>
        <w:t>m</w:t>
      </w:r>
      <w:r>
        <w:rPr>
          <w:color w:val="000000"/>
          <w:spacing w:val="-4"/>
        </w:rPr>
        <w:t>i</w:t>
      </w:r>
      <w:r>
        <w:rPr>
          <w:color w:val="000000"/>
          <w:spacing w:val="5"/>
        </w:rPr>
        <w:t>n</w:t>
      </w:r>
      <w:r>
        <w:rPr>
          <w:color w:val="000000"/>
          <w:spacing w:val="-4"/>
        </w:rPr>
        <w:t>i</w:t>
      </w:r>
      <w:r>
        <w:rPr>
          <w:color w:val="000000"/>
        </w:rPr>
        <w:t>ų</w:t>
      </w:r>
      <w:r>
        <w:rPr>
          <w:color w:val="000000"/>
          <w:spacing w:val="6"/>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1"/>
        </w:rPr>
        <w:t xml:space="preserve"> (</w:t>
      </w:r>
      <w:r>
        <w:rPr>
          <w:color w:val="000000"/>
          <w:spacing w:val="-1"/>
        </w:rPr>
        <w:t>a</w:t>
      </w:r>
      <w:r>
        <w:rPr>
          <w:color w:val="000000"/>
          <w:spacing w:val="5"/>
        </w:rPr>
        <w:t>p</w:t>
      </w:r>
      <w:r>
        <w:rPr>
          <w:color w:val="000000"/>
          <w:spacing w:val="-4"/>
        </w:rPr>
        <w:t>i</w:t>
      </w:r>
      <w:r>
        <w:rPr>
          <w:color w:val="000000"/>
        </w:rPr>
        <w:t>e 15</w:t>
      </w:r>
      <w:r>
        <w:rPr>
          <w:color w:val="000000"/>
          <w:spacing w:val="1"/>
        </w:rPr>
        <w:t xml:space="preserve"> </w:t>
      </w:r>
      <w:r>
        <w:rPr>
          <w:color w:val="000000"/>
        </w:rPr>
        <w:t>kg</w:t>
      </w:r>
      <w:r>
        <w:rPr>
          <w:color w:val="000000"/>
          <w:spacing w:val="6"/>
        </w:rPr>
        <w:t xml:space="preserve"> </w:t>
      </w:r>
      <w:r>
        <w:rPr>
          <w:color w:val="000000"/>
          <w:spacing w:val="-2"/>
        </w:rPr>
        <w:t>B</w:t>
      </w:r>
      <w:r>
        <w:rPr>
          <w:color w:val="000000"/>
          <w:spacing w:val="2"/>
        </w:rPr>
        <w:t>M</w:t>
      </w:r>
      <w:r>
        <w:rPr>
          <w:color w:val="000000"/>
          <w:spacing w:val="-5"/>
        </w:rPr>
        <w:t>K</w:t>
      </w:r>
      <w:r>
        <w:rPr>
          <w:color w:val="000000"/>
        </w:rPr>
        <w:t>,</w:t>
      </w:r>
      <w:r>
        <w:rPr>
          <w:color w:val="000000"/>
          <w:spacing w:val="8"/>
        </w:rPr>
        <w:t xml:space="preserve"> </w:t>
      </w:r>
      <w:r>
        <w:rPr>
          <w:color w:val="000000"/>
          <w:spacing w:val="-1"/>
        </w:rPr>
        <w:t>a</w:t>
      </w:r>
      <w:r>
        <w:rPr>
          <w:color w:val="000000"/>
          <w:spacing w:val="5"/>
        </w:rPr>
        <w:t>p</w:t>
      </w:r>
      <w:r>
        <w:rPr>
          <w:color w:val="000000"/>
          <w:spacing w:val="-4"/>
        </w:rPr>
        <w:t>i</w:t>
      </w:r>
      <w:r>
        <w:rPr>
          <w:color w:val="000000"/>
        </w:rPr>
        <w:t>e 900</w:t>
      </w:r>
      <w:r>
        <w:rPr>
          <w:color w:val="000000"/>
          <w:spacing w:val="11"/>
        </w:rPr>
        <w:t xml:space="preserve"> </w:t>
      </w:r>
      <w:r>
        <w:rPr>
          <w:color w:val="000000"/>
        </w:rPr>
        <w:t xml:space="preserve">l </w:t>
      </w:r>
      <w:r>
        <w:rPr>
          <w:color w:val="000000"/>
          <w:spacing w:val="-5"/>
        </w:rPr>
        <w:t>b</w:t>
      </w:r>
      <w:r>
        <w:rPr>
          <w:color w:val="000000"/>
          <w:spacing w:val="4"/>
        </w:rPr>
        <w:t>e</w:t>
      </w:r>
      <w:r>
        <w:rPr>
          <w:color w:val="000000"/>
          <w:spacing w:val="-5"/>
        </w:rPr>
        <w:t>n</w:t>
      </w:r>
      <w:r>
        <w:rPr>
          <w:color w:val="000000"/>
          <w:spacing w:val="4"/>
        </w:rPr>
        <w:t>za</w:t>
      </w:r>
      <w:r>
        <w:rPr>
          <w:color w:val="000000"/>
          <w:spacing w:val="-9"/>
        </w:rPr>
        <w:t>l</w:t>
      </w:r>
      <w:r>
        <w:rPr>
          <w:color w:val="000000"/>
          <w:spacing w:val="5"/>
        </w:rPr>
        <w:t>d</w:t>
      </w:r>
      <w:r>
        <w:rPr>
          <w:color w:val="000000"/>
          <w:spacing w:val="4"/>
        </w:rPr>
        <w:t>e</w:t>
      </w:r>
      <w:r>
        <w:rPr>
          <w:color w:val="000000"/>
          <w:spacing w:val="2"/>
        </w:rPr>
        <w:t>h</w:t>
      </w:r>
      <w:r>
        <w:rPr>
          <w:color w:val="000000"/>
          <w:spacing w:val="-4"/>
        </w:rPr>
        <w:t>i</w:t>
      </w:r>
      <w:r>
        <w:rPr>
          <w:color w:val="000000"/>
        </w:rPr>
        <w:t>d</w:t>
      </w:r>
      <w:r>
        <w:rPr>
          <w:color w:val="000000"/>
          <w:spacing w:val="5"/>
        </w:rPr>
        <w:t>o</w:t>
      </w:r>
      <w:r>
        <w:rPr>
          <w:color w:val="000000"/>
        </w:rPr>
        <w:t xml:space="preserve">, </w:t>
      </w:r>
      <w:r>
        <w:rPr>
          <w:color w:val="000000"/>
          <w:spacing w:val="45"/>
        </w:rPr>
        <w:t xml:space="preserve"> </w:t>
      </w:r>
      <w:r>
        <w:rPr>
          <w:color w:val="000000"/>
        </w:rPr>
        <w:t xml:space="preserve">600 </w:t>
      </w:r>
      <w:r>
        <w:rPr>
          <w:color w:val="000000"/>
          <w:spacing w:val="38"/>
        </w:rPr>
        <w:t xml:space="preserve"> </w:t>
      </w:r>
      <w:r>
        <w:rPr>
          <w:color w:val="000000"/>
        </w:rPr>
        <w:t xml:space="preserve">l </w:t>
      </w:r>
      <w:r>
        <w:rPr>
          <w:color w:val="000000"/>
          <w:spacing w:val="39"/>
        </w:rPr>
        <w:t xml:space="preserve"> </w:t>
      </w:r>
      <w:r>
        <w:rPr>
          <w:color w:val="000000"/>
        </w:rPr>
        <w:t>n</w:t>
      </w:r>
      <w:r>
        <w:rPr>
          <w:color w:val="000000"/>
          <w:spacing w:val="-9"/>
        </w:rPr>
        <w:t>i</w:t>
      </w:r>
      <w:r>
        <w:rPr>
          <w:color w:val="000000"/>
          <w:spacing w:val="5"/>
        </w:rPr>
        <w:t>t</w:t>
      </w:r>
      <w:r>
        <w:rPr>
          <w:color w:val="000000"/>
          <w:spacing w:val="1"/>
        </w:rPr>
        <w:t>r</w:t>
      </w:r>
      <w:r>
        <w:rPr>
          <w:color w:val="000000"/>
          <w:spacing w:val="5"/>
        </w:rPr>
        <w:t>o</w:t>
      </w:r>
      <w:r>
        <w:rPr>
          <w:color w:val="000000"/>
          <w:spacing w:val="-6"/>
        </w:rPr>
        <w:t>e</w:t>
      </w:r>
      <w:r>
        <w:rPr>
          <w:color w:val="000000"/>
          <w:spacing w:val="5"/>
        </w:rPr>
        <w:t>t</w:t>
      </w:r>
      <w:r>
        <w:rPr>
          <w:color w:val="000000"/>
          <w:spacing w:val="-1"/>
        </w:rPr>
        <w:t>a</w:t>
      </w:r>
      <w:r>
        <w:rPr>
          <w:color w:val="000000"/>
          <w:spacing w:val="-5"/>
        </w:rPr>
        <w:t>n</w:t>
      </w:r>
      <w:r>
        <w:rPr>
          <w:color w:val="000000"/>
          <w:spacing w:val="5"/>
        </w:rPr>
        <w:t>o</w:t>
      </w:r>
      <w:r>
        <w:rPr>
          <w:color w:val="000000"/>
        </w:rPr>
        <w:t xml:space="preserve">, </w:t>
      </w:r>
      <w:r>
        <w:rPr>
          <w:color w:val="000000"/>
          <w:spacing w:val="45"/>
        </w:rPr>
        <w:t xml:space="preserve"> </w:t>
      </w:r>
      <w:r>
        <w:rPr>
          <w:color w:val="000000"/>
          <w:spacing w:val="-1"/>
        </w:rPr>
        <w:t>a</w:t>
      </w:r>
      <w:r>
        <w:rPr>
          <w:color w:val="000000"/>
          <w:spacing w:val="-6"/>
        </w:rPr>
        <w:t>c</w:t>
      </w:r>
      <w:r>
        <w:rPr>
          <w:color w:val="000000"/>
        </w:rPr>
        <w:t xml:space="preserve">to, </w:t>
      </w:r>
      <w:r>
        <w:rPr>
          <w:color w:val="000000"/>
          <w:spacing w:val="46"/>
        </w:rPr>
        <w:t xml:space="preserve"> </w:t>
      </w:r>
      <w:r>
        <w:rPr>
          <w:color w:val="000000"/>
        </w:rPr>
        <w:t>d</w:t>
      </w:r>
      <w:r>
        <w:rPr>
          <w:color w:val="000000"/>
          <w:spacing w:val="1"/>
        </w:rPr>
        <w:t>r</w:t>
      </w:r>
      <w:r>
        <w:rPr>
          <w:color w:val="000000"/>
        </w:rPr>
        <w:t>u</w:t>
      </w:r>
      <w:r>
        <w:rPr>
          <w:color w:val="000000"/>
          <w:spacing w:val="-2"/>
        </w:rPr>
        <w:t>s</w:t>
      </w:r>
      <w:r>
        <w:rPr>
          <w:color w:val="000000"/>
          <w:spacing w:val="-5"/>
        </w:rPr>
        <w:t>k</w:t>
      </w:r>
      <w:r>
        <w:rPr>
          <w:color w:val="000000"/>
          <w:spacing w:val="5"/>
        </w:rPr>
        <w:t>o</w:t>
      </w:r>
      <w:r>
        <w:rPr>
          <w:color w:val="000000"/>
        </w:rPr>
        <w:t xml:space="preserve">s </w:t>
      </w:r>
      <w:r>
        <w:rPr>
          <w:color w:val="000000"/>
          <w:spacing w:val="46"/>
        </w:rPr>
        <w:t xml:space="preserve"> </w:t>
      </w:r>
      <w:r>
        <w:rPr>
          <w:color w:val="000000"/>
          <w:spacing w:val="-9"/>
        </w:rPr>
        <w:t>i</w:t>
      </w:r>
      <w:r>
        <w:rPr>
          <w:color w:val="000000"/>
        </w:rPr>
        <w:t xml:space="preserve">r </w:t>
      </w:r>
      <w:r>
        <w:rPr>
          <w:color w:val="000000"/>
          <w:spacing w:val="44"/>
        </w:rPr>
        <w:t xml:space="preserve"> </w:t>
      </w:r>
      <w:r>
        <w:rPr>
          <w:color w:val="000000"/>
          <w:spacing w:val="2"/>
        </w:rPr>
        <w:t>s</w:t>
      </w:r>
      <w:r>
        <w:rPr>
          <w:color w:val="000000"/>
          <w:spacing w:val="-9"/>
        </w:rPr>
        <w:t>i</w:t>
      </w:r>
      <w:r>
        <w:rPr>
          <w:color w:val="000000"/>
          <w:spacing w:val="-1"/>
        </w:rPr>
        <w:t>e</w:t>
      </w:r>
      <w:r>
        <w:rPr>
          <w:color w:val="000000"/>
          <w:spacing w:val="1"/>
        </w:rPr>
        <w:t>r</w:t>
      </w:r>
      <w:r>
        <w:rPr>
          <w:color w:val="000000"/>
          <w:spacing w:val="5"/>
        </w:rPr>
        <w:t>o</w:t>
      </w:r>
      <w:r>
        <w:rPr>
          <w:color w:val="000000"/>
        </w:rPr>
        <w:t xml:space="preserve">s </w:t>
      </w:r>
      <w:r>
        <w:rPr>
          <w:color w:val="000000"/>
          <w:spacing w:val="1"/>
        </w:rPr>
        <w:t>r</w:t>
      </w:r>
      <w:r>
        <w:rPr>
          <w:color w:val="000000"/>
        </w:rPr>
        <w:t>ūg</w:t>
      </w:r>
      <w:r>
        <w:rPr>
          <w:color w:val="000000"/>
          <w:spacing w:val="-2"/>
        </w:rPr>
        <w:t>š</w:t>
      </w:r>
      <w:r>
        <w:rPr>
          <w:color w:val="000000"/>
          <w:spacing w:val="4"/>
        </w:rPr>
        <w:t>č</w:t>
      </w:r>
      <w:r>
        <w:rPr>
          <w:color w:val="000000"/>
          <w:spacing w:val="-9"/>
        </w:rPr>
        <w:t>i</w:t>
      </w:r>
      <w:r>
        <w:rPr>
          <w:color w:val="000000"/>
        </w:rPr>
        <w:t>ų,</w:t>
      </w:r>
      <w:r>
        <w:rPr>
          <w:color w:val="000000"/>
          <w:spacing w:val="7"/>
        </w:rPr>
        <w:t xml:space="preserve"> </w:t>
      </w:r>
      <w:r>
        <w:rPr>
          <w:color w:val="000000"/>
          <w:spacing w:val="-5"/>
        </w:rPr>
        <w:t>n</w:t>
      </w:r>
      <w:r>
        <w:rPr>
          <w:color w:val="000000"/>
          <w:spacing w:val="-1"/>
        </w:rPr>
        <w:t>a</w:t>
      </w:r>
      <w:r>
        <w:rPr>
          <w:color w:val="000000"/>
          <w:spacing w:val="5"/>
        </w:rPr>
        <w:t>t</w:t>
      </w:r>
      <w:r>
        <w:rPr>
          <w:color w:val="000000"/>
          <w:spacing w:val="6"/>
        </w:rPr>
        <w:t>r</w:t>
      </w:r>
      <w:r>
        <w:rPr>
          <w:color w:val="000000"/>
          <w:spacing w:val="-9"/>
        </w:rPr>
        <w:t>i</w:t>
      </w:r>
      <w:r>
        <w:rPr>
          <w:color w:val="000000"/>
        </w:rPr>
        <w:t>o</w:t>
      </w:r>
      <w:r>
        <w:rPr>
          <w:color w:val="000000"/>
          <w:spacing w:val="5"/>
        </w:rPr>
        <w:t xml:space="preserve"> </w:t>
      </w:r>
      <w:r>
        <w:rPr>
          <w:color w:val="000000"/>
          <w:spacing w:val="-2"/>
        </w:rPr>
        <w:t>š</w:t>
      </w:r>
      <w:r>
        <w:rPr>
          <w:color w:val="000000"/>
          <w:spacing w:val="-1"/>
        </w:rPr>
        <w:t>a</w:t>
      </w:r>
      <w:r>
        <w:rPr>
          <w:color w:val="000000"/>
          <w:spacing w:val="6"/>
        </w:rPr>
        <w:t>r</w:t>
      </w:r>
      <w:r>
        <w:rPr>
          <w:color w:val="000000"/>
          <w:spacing w:val="-9"/>
        </w:rPr>
        <w:t>m</w:t>
      </w:r>
      <w:r>
        <w:rPr>
          <w:color w:val="000000"/>
          <w:spacing w:val="5"/>
        </w:rPr>
        <w:t>o</w:t>
      </w:r>
      <w:r>
        <w:rPr>
          <w:color w:val="000000"/>
        </w:rPr>
        <w:t>,</w:t>
      </w:r>
      <w:r>
        <w:rPr>
          <w:color w:val="000000"/>
          <w:spacing w:val="2"/>
        </w:rPr>
        <w:t xml:space="preserve"> </w:t>
      </w:r>
      <w:r>
        <w:rPr>
          <w:color w:val="000000"/>
          <w:spacing w:val="-2"/>
        </w:rPr>
        <w:t>s</w:t>
      </w:r>
      <w:r>
        <w:rPr>
          <w:color w:val="000000"/>
          <w:spacing w:val="5"/>
        </w:rPr>
        <w:t>o</w:t>
      </w:r>
      <w:r>
        <w:rPr>
          <w:color w:val="000000"/>
          <w:spacing w:val="-5"/>
        </w:rPr>
        <w:t>d</w:t>
      </w:r>
      <w:r>
        <w:rPr>
          <w:color w:val="000000"/>
          <w:spacing w:val="5"/>
        </w:rPr>
        <w:t>o</w:t>
      </w:r>
      <w:r>
        <w:rPr>
          <w:color w:val="000000"/>
        </w:rPr>
        <w:t>s</w:t>
      </w:r>
      <w:r>
        <w:rPr>
          <w:color w:val="000000"/>
          <w:spacing w:val="3"/>
        </w:rPr>
        <w:t xml:space="preserve"> </w:t>
      </w:r>
      <w:r>
        <w:rPr>
          <w:color w:val="000000"/>
          <w:spacing w:val="-9"/>
        </w:rPr>
        <w:t>i</w:t>
      </w:r>
      <w:r>
        <w:rPr>
          <w:color w:val="000000"/>
        </w:rPr>
        <w:t>r</w:t>
      </w:r>
      <w:r>
        <w:rPr>
          <w:color w:val="000000"/>
          <w:spacing w:val="1"/>
        </w:rPr>
        <w:t xml:space="preserve"> </w:t>
      </w:r>
      <w:r>
        <w:rPr>
          <w:color w:val="000000"/>
          <w:spacing w:val="5"/>
        </w:rPr>
        <w:t>t</w:t>
      </w:r>
      <w:r>
        <w:rPr>
          <w:color w:val="000000"/>
          <w:spacing w:val="-2"/>
        </w:rPr>
        <w:t>.</w:t>
      </w:r>
      <w:r>
        <w:rPr>
          <w:color w:val="000000"/>
          <w:spacing w:val="5"/>
        </w:rPr>
        <w:t>t</w:t>
      </w:r>
      <w:r>
        <w:rPr>
          <w:color w:val="000000"/>
          <w:spacing w:val="-2"/>
        </w:rPr>
        <w:t>.</w:t>
      </w:r>
      <w:r>
        <w:rPr>
          <w:color w:val="000000"/>
          <w:spacing w:val="1"/>
        </w:rPr>
        <w:t>)</w:t>
      </w:r>
      <w:r>
        <w:rPr>
          <w:color w:val="000000"/>
        </w:rPr>
        <w:t>.</w:t>
      </w:r>
      <w:r>
        <w:rPr>
          <w:color w:val="000000"/>
          <w:spacing w:val="2"/>
        </w:rPr>
        <w:t xml:space="preserve"> </w:t>
      </w:r>
      <w:r>
        <w:rPr>
          <w:color w:val="000000"/>
          <w:spacing w:val="1"/>
        </w:rPr>
        <w:t>Į</w:t>
      </w:r>
      <w:r>
        <w:rPr>
          <w:color w:val="000000"/>
          <w:spacing w:val="-5"/>
        </w:rPr>
        <w:t>d</w:t>
      </w:r>
      <w:r>
        <w:rPr>
          <w:color w:val="000000"/>
          <w:spacing w:val="5"/>
        </w:rPr>
        <w:t>o</w:t>
      </w:r>
      <w:r>
        <w:rPr>
          <w:color w:val="000000"/>
          <w:spacing w:val="-9"/>
        </w:rPr>
        <w:t>m</w:t>
      </w:r>
      <w:r>
        <w:rPr>
          <w:color w:val="000000"/>
        </w:rPr>
        <w:t xml:space="preserve">u </w:t>
      </w:r>
      <w:r>
        <w:rPr>
          <w:color w:val="000000"/>
          <w:spacing w:val="5"/>
        </w:rPr>
        <w:t>t</w:t>
      </w:r>
      <w:r>
        <w:rPr>
          <w:color w:val="000000"/>
          <w:spacing w:val="4"/>
        </w:rPr>
        <w:t>a</w:t>
      </w:r>
      <w:r>
        <w:rPr>
          <w:color w:val="000000"/>
          <w:spacing w:val="-9"/>
        </w:rPr>
        <w:t>i</w:t>
      </w:r>
      <w:r>
        <w:rPr>
          <w:color w:val="000000"/>
        </w:rPr>
        <w:t>,</w:t>
      </w:r>
      <w:r>
        <w:rPr>
          <w:color w:val="000000"/>
          <w:spacing w:val="2"/>
        </w:rPr>
        <w:t xml:space="preserve"> </w:t>
      </w:r>
      <w:r>
        <w:rPr>
          <w:color w:val="000000"/>
        </w:rPr>
        <w:t>k</w:t>
      </w:r>
      <w:r>
        <w:rPr>
          <w:color w:val="000000"/>
          <w:spacing w:val="-1"/>
        </w:rPr>
        <w:t>a</w:t>
      </w:r>
      <w:r>
        <w:rPr>
          <w:color w:val="000000"/>
        </w:rPr>
        <w:t>d</w:t>
      </w:r>
      <w:r>
        <w:rPr>
          <w:color w:val="000000"/>
          <w:spacing w:val="5"/>
        </w:rPr>
        <w:t xml:space="preserve"> </w:t>
      </w:r>
      <w:r>
        <w:rPr>
          <w:color w:val="000000"/>
        </w:rPr>
        <w:t>g</w:t>
      </w:r>
      <w:r>
        <w:rPr>
          <w:color w:val="000000"/>
          <w:spacing w:val="4"/>
        </w:rPr>
        <w:t>a</w:t>
      </w:r>
      <w:r>
        <w:rPr>
          <w:color w:val="000000"/>
          <w:spacing w:val="-4"/>
        </w:rPr>
        <w:t>mi</w:t>
      </w:r>
      <w:r>
        <w:rPr>
          <w:color w:val="000000"/>
        </w:rPr>
        <w:t>n</w:t>
      </w:r>
      <w:r>
        <w:rPr>
          <w:color w:val="000000"/>
          <w:spacing w:val="4"/>
        </w:rPr>
        <w:t>a</w:t>
      </w:r>
      <w:r>
        <w:rPr>
          <w:color w:val="000000"/>
          <w:spacing w:val="-5"/>
        </w:rPr>
        <w:t>n</w:t>
      </w:r>
      <w:r>
        <w:rPr>
          <w:color w:val="000000"/>
        </w:rPr>
        <w:t xml:space="preserve">t </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ą</w:t>
      </w:r>
      <w:r>
        <w:rPr>
          <w:color w:val="000000"/>
        </w:rPr>
        <w:t>,</w:t>
      </w:r>
      <w:r>
        <w:rPr>
          <w:color w:val="000000"/>
          <w:spacing w:val="11"/>
        </w:rPr>
        <w:t xml:space="preserve"> </w:t>
      </w:r>
      <w:r>
        <w:rPr>
          <w:color w:val="000000"/>
          <w:spacing w:val="-5"/>
        </w:rPr>
        <w:t>n</w:t>
      </w:r>
      <w:r>
        <w:rPr>
          <w:color w:val="000000"/>
          <w:spacing w:val="5"/>
        </w:rPr>
        <w:t>u</w:t>
      </w:r>
      <w:r>
        <w:rPr>
          <w:color w:val="000000"/>
          <w:spacing w:val="2"/>
        </w:rPr>
        <w:t>s</w:t>
      </w:r>
      <w:r>
        <w:rPr>
          <w:color w:val="000000"/>
          <w:spacing w:val="-4"/>
        </w:rPr>
        <w:t>i</w:t>
      </w:r>
      <w:r>
        <w:rPr>
          <w:color w:val="000000"/>
        </w:rPr>
        <w:t>k</w:t>
      </w:r>
      <w:r>
        <w:rPr>
          <w:color w:val="000000"/>
          <w:spacing w:val="4"/>
        </w:rPr>
        <w:t>a</w:t>
      </w:r>
      <w:r>
        <w:rPr>
          <w:color w:val="000000"/>
          <w:spacing w:val="-9"/>
        </w:rPr>
        <w:t>l</w:t>
      </w:r>
      <w:r>
        <w:rPr>
          <w:color w:val="000000"/>
          <w:spacing w:val="5"/>
        </w:rPr>
        <w:t>t</w:t>
      </w:r>
      <w:r>
        <w:rPr>
          <w:color w:val="000000"/>
          <w:spacing w:val="4"/>
        </w:rPr>
        <w:t>ė</w:t>
      </w:r>
      <w:r>
        <w:rPr>
          <w:color w:val="000000"/>
        </w:rPr>
        <w:t>l</w:t>
      </w:r>
      <w:r>
        <w:rPr>
          <w:color w:val="000000"/>
          <w:spacing w:val="-4"/>
        </w:rPr>
        <w:t>i</w:t>
      </w:r>
      <w:r>
        <w:rPr>
          <w:color w:val="000000"/>
          <w:spacing w:val="4"/>
        </w:rPr>
        <w:t>a</w:t>
      </w:r>
      <w:r>
        <w:rPr>
          <w:color w:val="000000"/>
        </w:rPr>
        <w:t>i g</w:t>
      </w:r>
      <w:r>
        <w:rPr>
          <w:color w:val="000000"/>
          <w:spacing w:val="1"/>
        </w:rPr>
        <w:t>r</w:t>
      </w:r>
      <w:r>
        <w:rPr>
          <w:color w:val="000000"/>
          <w:spacing w:val="4"/>
        </w:rPr>
        <w:t>e</w:t>
      </w:r>
      <w:r>
        <w:rPr>
          <w:color w:val="000000"/>
          <w:spacing w:val="-4"/>
        </w:rPr>
        <w:t>i</w:t>
      </w:r>
      <w:r>
        <w:rPr>
          <w:color w:val="000000"/>
          <w:spacing w:val="4"/>
        </w:rPr>
        <w:t>č</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10"/>
        </w:rPr>
        <w:t xml:space="preserve"> </w:t>
      </w:r>
      <w:r>
        <w:rPr>
          <w:color w:val="000000"/>
          <w:spacing w:val="-5"/>
        </w:rPr>
        <w:t>n</w:t>
      </w:r>
      <w:r>
        <w:rPr>
          <w:color w:val="000000"/>
          <w:spacing w:val="4"/>
        </w:rPr>
        <w:t>e</w:t>
      </w:r>
      <w:r>
        <w:rPr>
          <w:color w:val="000000"/>
          <w:spacing w:val="-5"/>
        </w:rPr>
        <w:t>n</w:t>
      </w:r>
      <w:r>
        <w:rPr>
          <w:color w:val="000000"/>
          <w:spacing w:val="-1"/>
        </w:rPr>
        <w:t>a</w:t>
      </w:r>
      <w:r>
        <w:rPr>
          <w:color w:val="000000"/>
        </w:rPr>
        <w:t>u</w:t>
      </w:r>
      <w:r>
        <w:rPr>
          <w:color w:val="000000"/>
          <w:spacing w:val="5"/>
        </w:rPr>
        <w:t>do</w:t>
      </w:r>
      <w:r>
        <w:rPr>
          <w:color w:val="000000"/>
          <w:spacing w:val="-9"/>
        </w:rPr>
        <w:t>j</w:t>
      </w:r>
      <w:r>
        <w:rPr>
          <w:color w:val="000000"/>
        </w:rPr>
        <w:t>o</w:t>
      </w:r>
      <w:r>
        <w:rPr>
          <w:color w:val="000000"/>
          <w:spacing w:val="14"/>
        </w:rPr>
        <w:t xml:space="preserve"> </w:t>
      </w:r>
      <w:r>
        <w:rPr>
          <w:color w:val="000000"/>
          <w:spacing w:val="2"/>
        </w:rPr>
        <w:t>š</w:t>
      </w:r>
      <w:r>
        <w:rPr>
          <w:color w:val="000000"/>
          <w:spacing w:val="-9"/>
        </w:rPr>
        <w:t>i</w:t>
      </w:r>
      <w:r>
        <w:rPr>
          <w:color w:val="000000"/>
          <w:spacing w:val="4"/>
        </w:rPr>
        <w:t>a</w:t>
      </w:r>
      <w:r>
        <w:rPr>
          <w:color w:val="000000"/>
        </w:rPr>
        <w:t xml:space="preserve">m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w:t>
      </w:r>
      <w:r>
        <w:rPr>
          <w:color w:val="000000"/>
          <w:spacing w:val="5"/>
        </w:rPr>
        <w:t>u</w:t>
      </w:r>
      <w:r>
        <w:rPr>
          <w:color w:val="000000"/>
        </w:rPr>
        <w:t>i g</w:t>
      </w:r>
      <w:r>
        <w:rPr>
          <w:color w:val="000000"/>
          <w:spacing w:val="4"/>
        </w:rPr>
        <w:t>a</w:t>
      </w:r>
      <w:r>
        <w:rPr>
          <w:color w:val="000000"/>
        </w:rPr>
        <w:t>m</w:t>
      </w:r>
      <w:r>
        <w:rPr>
          <w:color w:val="000000"/>
          <w:spacing w:val="-4"/>
        </w:rPr>
        <w:t>i</w:t>
      </w:r>
      <w:r>
        <w:rPr>
          <w:color w:val="000000"/>
          <w:spacing w:val="-5"/>
        </w:rPr>
        <w:t>n</w:t>
      </w:r>
      <w:r>
        <w:rPr>
          <w:color w:val="000000"/>
          <w:spacing w:val="10"/>
        </w:rPr>
        <w:t>t</w:t>
      </w:r>
      <w:r>
        <w:rPr>
          <w:color w:val="000000"/>
        </w:rPr>
        <w:t>i</w:t>
      </w:r>
      <w:r>
        <w:rPr>
          <w:color w:val="000000"/>
          <w:spacing w:val="4"/>
        </w:rPr>
        <w:t xml:space="preserve"> </w:t>
      </w:r>
      <w:r>
        <w:rPr>
          <w:color w:val="000000"/>
          <w:spacing w:val="-5"/>
        </w:rPr>
        <w:t>b</w:t>
      </w:r>
      <w:r>
        <w:rPr>
          <w:color w:val="000000"/>
        </w:rPr>
        <w:t>ū</w:t>
      </w:r>
      <w:r>
        <w:rPr>
          <w:color w:val="000000"/>
          <w:spacing w:val="10"/>
        </w:rPr>
        <w:t>t</w:t>
      </w:r>
      <w:r>
        <w:rPr>
          <w:color w:val="000000"/>
          <w:spacing w:val="-4"/>
        </w:rPr>
        <w:t>i</w:t>
      </w:r>
      <w:r>
        <w:rPr>
          <w:color w:val="000000"/>
          <w:spacing w:val="-5"/>
        </w:rPr>
        <w:t>n</w:t>
      </w:r>
      <w:r>
        <w:rPr>
          <w:color w:val="000000"/>
        </w:rPr>
        <w:t>o</w:t>
      </w:r>
      <w:r>
        <w:rPr>
          <w:color w:val="000000"/>
          <w:spacing w:val="13"/>
        </w:rPr>
        <w:t xml:space="preserve"> </w:t>
      </w:r>
      <w:r>
        <w:rPr>
          <w:color w:val="000000"/>
          <w:spacing w:val="-9"/>
        </w:rPr>
        <w:t>i</w:t>
      </w:r>
      <w:r>
        <w:rPr>
          <w:color w:val="000000"/>
        </w:rPr>
        <w:t>r</w:t>
      </w:r>
      <w:r>
        <w:rPr>
          <w:color w:val="000000"/>
          <w:spacing w:val="10"/>
        </w:rPr>
        <w:t xml:space="preserve"> </w:t>
      </w:r>
      <w:r>
        <w:rPr>
          <w:color w:val="000000"/>
          <w:spacing w:val="-4"/>
        </w:rPr>
        <w:t>į</w:t>
      </w:r>
      <w:r>
        <w:rPr>
          <w:color w:val="000000"/>
        </w:rPr>
        <w:t>p</w:t>
      </w:r>
      <w:r>
        <w:rPr>
          <w:color w:val="000000"/>
          <w:spacing w:val="1"/>
        </w:rPr>
        <w:t>r</w:t>
      </w:r>
      <w:r>
        <w:rPr>
          <w:color w:val="000000"/>
          <w:spacing w:val="-1"/>
        </w:rPr>
        <w:t>a</w:t>
      </w:r>
      <w:r>
        <w:rPr>
          <w:color w:val="000000"/>
          <w:spacing w:val="-2"/>
        </w:rPr>
        <w:t>s</w:t>
      </w:r>
      <w:r>
        <w:rPr>
          <w:color w:val="000000"/>
          <w:spacing w:val="5"/>
        </w:rPr>
        <w:t>t</w:t>
      </w:r>
      <w:r>
        <w:rPr>
          <w:color w:val="000000"/>
        </w:rPr>
        <w:t>o</w:t>
      </w:r>
      <w:r>
        <w:rPr>
          <w:color w:val="000000"/>
          <w:spacing w:val="9"/>
        </w:rPr>
        <w:t xml:space="preserve"> </w:t>
      </w:r>
      <w:r>
        <w:rPr>
          <w:color w:val="000000"/>
        </w:rPr>
        <w:t>I</w:t>
      </w:r>
      <w:r>
        <w:rPr>
          <w:color w:val="000000"/>
          <w:spacing w:val="5"/>
        </w:rPr>
        <w:t xml:space="preserve"> </w:t>
      </w:r>
      <w:r>
        <w:rPr>
          <w:color w:val="000000"/>
          <w:spacing w:val="-5"/>
        </w:rPr>
        <w:t>k</w:t>
      </w:r>
      <w:r>
        <w:rPr>
          <w:color w:val="000000"/>
          <w:spacing w:val="-1"/>
        </w:rPr>
        <w:t>a</w:t>
      </w:r>
      <w:r>
        <w:rPr>
          <w:color w:val="000000"/>
          <w:spacing w:val="5"/>
        </w:rPr>
        <w:t>t</w:t>
      </w:r>
      <w:r>
        <w:rPr>
          <w:color w:val="000000"/>
          <w:spacing w:val="-1"/>
        </w:rPr>
        <w:t>e</w:t>
      </w:r>
      <w:r>
        <w:rPr>
          <w:color w:val="000000"/>
          <w:spacing w:val="-5"/>
        </w:rPr>
        <w:t>g</w:t>
      </w:r>
      <w:r>
        <w:rPr>
          <w:color w:val="000000"/>
          <w:spacing w:val="5"/>
        </w:rPr>
        <w:t>o</w:t>
      </w:r>
      <w:r>
        <w:rPr>
          <w:color w:val="000000"/>
          <w:spacing w:val="1"/>
        </w:rPr>
        <w:t>r</w:t>
      </w:r>
      <w:r>
        <w:rPr>
          <w:color w:val="000000"/>
          <w:spacing w:val="-4"/>
        </w:rPr>
        <w:t>i</w:t>
      </w:r>
      <w:r>
        <w:rPr>
          <w:color w:val="000000"/>
          <w:spacing w:val="-9"/>
        </w:rPr>
        <w:t>j</w:t>
      </w:r>
      <w:r>
        <w:rPr>
          <w:color w:val="000000"/>
          <w:spacing w:val="5"/>
        </w:rPr>
        <w:t>o</w:t>
      </w:r>
      <w:r>
        <w:rPr>
          <w:color w:val="000000"/>
        </w:rPr>
        <w:t>s p</w:t>
      </w:r>
      <w:r>
        <w:rPr>
          <w:color w:val="000000"/>
          <w:spacing w:val="1"/>
        </w:rPr>
        <w:t>r</w:t>
      </w:r>
      <w:r>
        <w:rPr>
          <w:color w:val="000000"/>
          <w:spacing w:val="-1"/>
        </w:rPr>
        <w:t>e</w:t>
      </w:r>
      <w:r>
        <w:rPr>
          <w:color w:val="000000"/>
        </w:rPr>
        <w:t>ku</w:t>
      </w:r>
      <w:r>
        <w:rPr>
          <w:color w:val="000000"/>
          <w:spacing w:val="1"/>
        </w:rPr>
        <w:t>r</w:t>
      </w:r>
      <w:r>
        <w:rPr>
          <w:color w:val="000000"/>
          <w:spacing w:val="-2"/>
        </w:rPr>
        <w:t>s</w:t>
      </w:r>
      <w:r>
        <w:rPr>
          <w:color w:val="000000"/>
          <w:spacing w:val="5"/>
        </w:rPr>
        <w:t>o</w:t>
      </w:r>
      <w:r>
        <w:rPr>
          <w:color w:val="000000"/>
          <w:spacing w:val="1"/>
        </w:rPr>
        <w:t>r</w:t>
      </w:r>
      <w:r>
        <w:rPr>
          <w:color w:val="000000"/>
          <w:spacing w:val="-9"/>
        </w:rPr>
        <w:t>i</w:t>
      </w:r>
      <w:r>
        <w:rPr>
          <w:color w:val="000000"/>
          <w:spacing w:val="-1"/>
        </w:rPr>
        <w:t>a</w:t>
      </w:r>
      <w:r>
        <w:rPr>
          <w:color w:val="000000"/>
        </w:rPr>
        <w:t xml:space="preserve">us </w:t>
      </w:r>
      <w:r>
        <w:rPr>
          <w:color w:val="000000"/>
          <w:spacing w:val="12"/>
        </w:rPr>
        <w:t xml:space="preserve"> </w:t>
      </w:r>
      <w:r>
        <w:rPr>
          <w:color w:val="000000"/>
          <w:spacing w:val="3"/>
        </w:rPr>
        <w:t>B</w:t>
      </w:r>
      <w:r>
        <w:rPr>
          <w:color w:val="000000"/>
          <w:spacing w:val="2"/>
        </w:rPr>
        <w:t>M</w:t>
      </w:r>
      <w:r>
        <w:rPr>
          <w:color w:val="000000"/>
          <w:spacing w:val="-5"/>
        </w:rPr>
        <w:t>K</w:t>
      </w:r>
      <w:r>
        <w:rPr>
          <w:color w:val="000000"/>
        </w:rPr>
        <w:t xml:space="preserve">. </w:t>
      </w:r>
      <w:r>
        <w:rPr>
          <w:color w:val="000000"/>
          <w:spacing w:val="16"/>
        </w:rPr>
        <w:t xml:space="preserve"> </w:t>
      </w:r>
      <w:r>
        <w:rPr>
          <w:color w:val="000000"/>
          <w:spacing w:val="4"/>
        </w:rPr>
        <w:t>V</w:t>
      </w:r>
      <w:r>
        <w:rPr>
          <w:color w:val="000000"/>
          <w:spacing w:val="-9"/>
        </w:rPr>
        <w:t>i</w:t>
      </w:r>
      <w:r>
        <w:rPr>
          <w:color w:val="000000"/>
          <w:spacing w:val="-1"/>
        </w:rPr>
        <w:t>e</w:t>
      </w:r>
      <w:r>
        <w:rPr>
          <w:color w:val="000000"/>
          <w:spacing w:val="5"/>
        </w:rPr>
        <w:t>to</w:t>
      </w:r>
      <w:r>
        <w:rPr>
          <w:color w:val="000000"/>
        </w:rPr>
        <w:t xml:space="preserve">j </w:t>
      </w:r>
      <w:r>
        <w:rPr>
          <w:color w:val="000000"/>
          <w:spacing w:val="10"/>
        </w:rPr>
        <w:t xml:space="preserve"> </w:t>
      </w:r>
      <w:r>
        <w:rPr>
          <w:color w:val="000000"/>
          <w:spacing w:val="-9"/>
        </w:rPr>
        <w:t>j</w:t>
      </w:r>
      <w:r>
        <w:rPr>
          <w:color w:val="000000"/>
        </w:rPr>
        <w:t xml:space="preserve">o </w:t>
      </w:r>
      <w:r>
        <w:rPr>
          <w:color w:val="000000"/>
          <w:spacing w:val="19"/>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19"/>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10"/>
        </w:rPr>
        <w:t>a</w:t>
      </w:r>
      <w:r>
        <w:rPr>
          <w:color w:val="000000"/>
          <w:spacing w:val="-4"/>
        </w:rPr>
        <w:t>m</w:t>
      </w:r>
      <w:r>
        <w:rPr>
          <w:color w:val="000000"/>
        </w:rPr>
        <w:t xml:space="preserve">a </w:t>
      </w:r>
      <w:r>
        <w:rPr>
          <w:color w:val="000000"/>
          <w:spacing w:val="18"/>
        </w:rPr>
        <w:t xml:space="preserve"> </w:t>
      </w:r>
      <w:r>
        <w:rPr>
          <w:color w:val="000000"/>
          <w:spacing w:val="-1"/>
        </w:rPr>
        <w:t>c</w:t>
      </w:r>
      <w:r>
        <w:rPr>
          <w:color w:val="000000"/>
          <w:spacing w:val="-5"/>
        </w:rPr>
        <w:t>h</w:t>
      </w:r>
      <w:r>
        <w:rPr>
          <w:color w:val="000000"/>
          <w:spacing w:val="4"/>
        </w:rPr>
        <w:t>e</w:t>
      </w:r>
      <w:r>
        <w:rPr>
          <w:color w:val="000000"/>
        </w:rPr>
        <w:t>m</w:t>
      </w:r>
      <w:r>
        <w:rPr>
          <w:color w:val="000000"/>
          <w:spacing w:val="-4"/>
        </w:rPr>
        <w:t>i</w:t>
      </w:r>
      <w:r>
        <w:rPr>
          <w:color w:val="000000"/>
        </w:rPr>
        <w:t>nė</w:t>
      </w:r>
    </w:p>
    <w:p w:rsidR="004F7425" w:rsidRDefault="004F7425" w:rsidP="004F7425">
      <w:pPr>
        <w:widowControl w:val="0"/>
        <w:autoSpaceDE w:val="0"/>
        <w:autoSpaceDN w:val="0"/>
        <w:adjustRightInd w:val="0"/>
        <w:ind w:left="4078" w:right="43" w:firstLine="778"/>
        <w:jc w:val="both"/>
        <w:rPr>
          <w:color w:val="000000"/>
        </w:rPr>
        <w:sectPr w:rsidR="004F7425">
          <w:type w:val="continuous"/>
          <w:pgSz w:w="11920" w:h="16840"/>
          <w:pgMar w:top="1540" w:right="460" w:bottom="280" w:left="1420" w:header="567" w:footer="567" w:gutter="0"/>
          <w:cols w:space="1296" w:equalWidth="0">
            <w:col w:w="1004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ind w:left="3947" w:right="65"/>
        <w:jc w:val="both"/>
        <w:rPr>
          <w:color w:val="000000"/>
        </w:rPr>
      </w:pPr>
      <w:r>
        <w:rPr>
          <w:noProof/>
          <w:lang w:eastAsia="lt-LT"/>
        </w:rPr>
        <mc:AlternateContent>
          <mc:Choice Requires="wps">
            <w:drawing>
              <wp:anchor distT="0" distB="0" distL="114300" distR="114300" simplePos="0" relativeHeight="251754496" behindDoc="1" locked="0" layoutInCell="0" allowOverlap="1">
                <wp:simplePos x="0" y="0"/>
                <wp:positionH relativeFrom="page">
                  <wp:posOffset>1067435</wp:posOffset>
                </wp:positionH>
                <wp:positionV relativeFrom="paragraph">
                  <wp:posOffset>122555</wp:posOffset>
                </wp:positionV>
                <wp:extent cx="2324100" cy="1739900"/>
                <wp:effectExtent l="635" t="0" r="0" b="0"/>
                <wp:wrapNone/>
                <wp:docPr id="211" name="Stačiakampis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173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2740" w:lineRule="atLeast"/>
                            </w:pPr>
                            <w:r>
                              <w:rPr>
                                <w:noProof/>
                                <w:lang w:eastAsia="lt-LT"/>
                              </w:rPr>
                              <w:drawing>
                                <wp:inline distT="0" distB="0" distL="0" distR="0" wp14:anchorId="1DD7E062" wp14:editId="7DC7DF66">
                                  <wp:extent cx="2343150" cy="1752600"/>
                                  <wp:effectExtent l="0" t="0" r="0" b="0"/>
                                  <wp:docPr id="210" name="Paveikslėlis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343150" cy="175260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11" o:spid="_x0000_s1073" style="position:absolute;left:0;text-align:left;margin-left:84.05pt;margin-top:9.65pt;width:183pt;height:137pt;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" o:allowincell="f" filled="f" stroked="f">
                <v:textbox inset="0,0,0,0">
                  <w:txbxContent>
                    <w:p w:rsidR="004F7425" w:rsidRDefault="004F7425" w:rsidP="004F7425">
                      <w:pPr>
                        <w:spacing w:line="2740" w:lineRule="atLeast"/>
                      </w:pPr>
                      <w:r>
                        <w:rPr>
                          <w:noProof/>
                          <w:lang w:eastAsia="lt-LT"/>
                        </w:rPr>
                        <w:drawing>
                          <wp:inline distT="0" distB="0" distL="0" distR="0" wp14:anchorId="1DD7E062" wp14:editId="7DC7DF66">
                            <wp:extent cx="2343150" cy="1752600"/>
                            <wp:effectExtent l="0" t="0" r="0" b="0"/>
                            <wp:docPr id="210" name="Paveikslėlis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343150" cy="175260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rPr>
        <w:t>a</w:t>
      </w:r>
      <w:r>
        <w:rPr>
          <w:color w:val="000000"/>
          <w:spacing w:val="2"/>
        </w:rPr>
        <w:t xml:space="preserve"> </w:t>
      </w:r>
      <w:r>
        <w:rPr>
          <w:color w:val="000000"/>
        </w:rPr>
        <w:t>–</w:t>
      </w:r>
      <w:r>
        <w:rPr>
          <w:color w:val="000000"/>
          <w:spacing w:val="8"/>
        </w:rPr>
        <w:t xml:space="preserve"> </w:t>
      </w:r>
      <w:r>
        <w:rPr>
          <w:color w:val="000000"/>
          <w:spacing w:val="-3"/>
        </w:rPr>
        <w:t>f</w:t>
      </w:r>
      <w:r>
        <w:rPr>
          <w:color w:val="000000"/>
          <w:spacing w:val="4"/>
        </w:rPr>
        <w:t>e</w:t>
      </w:r>
      <w:r>
        <w:rPr>
          <w:color w:val="000000"/>
        </w:rPr>
        <w:t>ni</w:t>
      </w:r>
      <w:r>
        <w:rPr>
          <w:color w:val="000000"/>
          <w:spacing w:val="-4"/>
        </w:rPr>
        <w:t>l</w:t>
      </w:r>
      <w:r>
        <w:rPr>
          <w:color w:val="000000"/>
          <w:spacing w:val="5"/>
        </w:rPr>
        <w:t>n</w:t>
      </w:r>
      <w:r>
        <w:rPr>
          <w:color w:val="000000"/>
          <w:spacing w:val="-9"/>
        </w:rPr>
        <w:t>i</w:t>
      </w:r>
      <w:r>
        <w:rPr>
          <w:color w:val="000000"/>
          <w:spacing w:val="5"/>
        </w:rPr>
        <w:t>t</w:t>
      </w:r>
      <w:r>
        <w:rPr>
          <w:color w:val="000000"/>
          <w:spacing w:val="1"/>
        </w:rPr>
        <w:t>r</w:t>
      </w:r>
      <w:r>
        <w:rPr>
          <w:color w:val="000000"/>
          <w:spacing w:val="5"/>
        </w:rPr>
        <w:t>o</w:t>
      </w:r>
      <w:r>
        <w:rPr>
          <w:color w:val="000000"/>
        </w:rPr>
        <w:t>p</w:t>
      </w:r>
      <w:r>
        <w:rPr>
          <w:color w:val="000000"/>
          <w:spacing w:val="-3"/>
        </w:rPr>
        <w:t>r</w:t>
      </w:r>
      <w:r>
        <w:rPr>
          <w:color w:val="000000"/>
          <w:spacing w:val="5"/>
        </w:rPr>
        <w:t>o</w:t>
      </w:r>
      <w:r>
        <w:rPr>
          <w:color w:val="000000"/>
        </w:rPr>
        <w:t>p</w:t>
      </w:r>
      <w:r>
        <w:rPr>
          <w:color w:val="000000"/>
          <w:spacing w:val="-1"/>
        </w:rPr>
        <w:t>e</w:t>
      </w:r>
      <w:r>
        <w:rPr>
          <w:color w:val="000000"/>
          <w:spacing w:val="-5"/>
        </w:rPr>
        <w:t>n</w:t>
      </w:r>
      <w:r>
        <w:rPr>
          <w:color w:val="000000"/>
          <w:spacing w:val="-1"/>
        </w:rPr>
        <w:t>a</w:t>
      </w:r>
      <w:r>
        <w:rPr>
          <w:color w:val="000000"/>
        </w:rPr>
        <w:t xml:space="preserve">s </w:t>
      </w:r>
      <w:r>
        <w:rPr>
          <w:color w:val="000000"/>
          <w:spacing w:val="4"/>
        </w:rPr>
        <w:t>(</w:t>
      </w:r>
      <w:r>
        <w:rPr>
          <w:i/>
          <w:iCs/>
          <w:color w:val="000000"/>
        </w:rPr>
        <w:t>ph</w:t>
      </w:r>
      <w:r>
        <w:rPr>
          <w:i/>
          <w:iCs/>
          <w:color w:val="000000"/>
          <w:spacing w:val="-1"/>
        </w:rPr>
        <w:t>e</w:t>
      </w:r>
      <w:r>
        <w:rPr>
          <w:i/>
          <w:iCs/>
          <w:color w:val="000000"/>
        </w:rPr>
        <w:t>n</w:t>
      </w:r>
      <w:r>
        <w:rPr>
          <w:i/>
          <w:iCs/>
          <w:color w:val="000000"/>
          <w:spacing w:val="-1"/>
        </w:rPr>
        <w:t>y</w:t>
      </w:r>
      <w:r>
        <w:rPr>
          <w:i/>
          <w:iCs/>
          <w:color w:val="000000"/>
        </w:rPr>
        <w:t>ln</w:t>
      </w:r>
      <w:r>
        <w:rPr>
          <w:i/>
          <w:iCs/>
          <w:color w:val="000000"/>
          <w:spacing w:val="1"/>
        </w:rPr>
        <w:t>i</w:t>
      </w:r>
      <w:r>
        <w:rPr>
          <w:i/>
          <w:iCs/>
          <w:color w:val="000000"/>
        </w:rPr>
        <w:t>t</w:t>
      </w:r>
      <w:r>
        <w:rPr>
          <w:i/>
          <w:iCs/>
          <w:color w:val="000000"/>
          <w:spacing w:val="-2"/>
        </w:rPr>
        <w:t>r</w:t>
      </w:r>
      <w:r>
        <w:rPr>
          <w:i/>
          <w:iCs/>
          <w:color w:val="000000"/>
        </w:rPr>
        <w:t>op</w:t>
      </w:r>
      <w:r>
        <w:rPr>
          <w:i/>
          <w:iCs/>
          <w:color w:val="000000"/>
          <w:spacing w:val="-2"/>
        </w:rPr>
        <w:t>r</w:t>
      </w:r>
      <w:r>
        <w:rPr>
          <w:i/>
          <w:iCs/>
          <w:color w:val="000000"/>
        </w:rPr>
        <w:t>o</w:t>
      </w:r>
      <w:r>
        <w:rPr>
          <w:i/>
          <w:iCs/>
          <w:color w:val="000000"/>
          <w:spacing w:val="5"/>
        </w:rPr>
        <w:t>p</w:t>
      </w:r>
      <w:r>
        <w:rPr>
          <w:i/>
          <w:iCs/>
          <w:color w:val="000000"/>
          <w:spacing w:val="4"/>
        </w:rPr>
        <w:t>e</w:t>
      </w:r>
      <w:r>
        <w:rPr>
          <w:i/>
          <w:iCs/>
          <w:color w:val="000000"/>
        </w:rPr>
        <w:t>n</w:t>
      </w:r>
      <w:r>
        <w:rPr>
          <w:i/>
          <w:iCs/>
          <w:color w:val="000000"/>
          <w:spacing w:val="1"/>
        </w:rPr>
        <w:t>e</w:t>
      </w:r>
      <w:r>
        <w:rPr>
          <w:color w:val="000000"/>
          <w:spacing w:val="1"/>
        </w:rPr>
        <w:t>)</w:t>
      </w:r>
      <w:r>
        <w:rPr>
          <w:color w:val="000000"/>
        </w:rPr>
        <w:t>,</w:t>
      </w:r>
      <w:r>
        <w:rPr>
          <w:color w:val="000000"/>
          <w:spacing w:val="5"/>
        </w:rPr>
        <w:t xml:space="preserve"> </w:t>
      </w:r>
      <w:r>
        <w:rPr>
          <w:color w:val="000000"/>
        </w:rPr>
        <w:t>ku</w:t>
      </w:r>
      <w:r>
        <w:rPr>
          <w:color w:val="000000"/>
          <w:spacing w:val="1"/>
        </w:rPr>
        <w:t>r</w:t>
      </w:r>
      <w:r>
        <w:rPr>
          <w:color w:val="000000"/>
          <w:spacing w:val="-9"/>
        </w:rPr>
        <w:t>i</w:t>
      </w:r>
      <w:r>
        <w:rPr>
          <w:color w:val="000000"/>
        </w:rPr>
        <w:t>ą j</w:t>
      </w:r>
      <w:r>
        <w:rPr>
          <w:color w:val="000000"/>
          <w:spacing w:val="-4"/>
        </w:rPr>
        <w:t>i</w:t>
      </w:r>
      <w:r>
        <w:rPr>
          <w:color w:val="000000"/>
        </w:rPr>
        <w:t>e</w:t>
      </w:r>
      <w:r>
        <w:rPr>
          <w:color w:val="000000"/>
          <w:spacing w:val="9"/>
        </w:rPr>
        <w:t xml:space="preserve"> </w:t>
      </w:r>
      <w:r>
        <w:rPr>
          <w:color w:val="000000"/>
        </w:rPr>
        <w:t>g</w:t>
      </w:r>
      <w:r>
        <w:rPr>
          <w:color w:val="000000"/>
          <w:spacing w:val="4"/>
        </w:rPr>
        <w:t>a</w:t>
      </w:r>
      <w:r>
        <w:rPr>
          <w:color w:val="000000"/>
        </w:rPr>
        <w:t>m</w:t>
      </w:r>
      <w:r>
        <w:rPr>
          <w:color w:val="000000"/>
          <w:spacing w:val="-4"/>
        </w:rPr>
        <w:t>i</w:t>
      </w:r>
      <w:r>
        <w:rPr>
          <w:color w:val="000000"/>
          <w:spacing w:val="-5"/>
        </w:rPr>
        <w:t>n</w:t>
      </w:r>
      <w:r>
        <w:rPr>
          <w:color w:val="000000"/>
          <w:spacing w:val="5"/>
        </w:rPr>
        <w:t>o</w:t>
      </w:r>
      <w:r>
        <w:rPr>
          <w:color w:val="000000"/>
          <w:spacing w:val="2"/>
        </w:rPr>
        <w:t>s</w:t>
      </w:r>
      <w:r>
        <w:rPr>
          <w:color w:val="000000"/>
        </w:rPr>
        <w:t>i</w:t>
      </w:r>
      <w:r>
        <w:rPr>
          <w:color w:val="000000"/>
          <w:spacing w:val="10"/>
        </w:rPr>
        <w:t xml:space="preserve"> </w:t>
      </w:r>
      <w:r>
        <w:rPr>
          <w:color w:val="000000"/>
        </w:rPr>
        <w:t>v</w:t>
      </w:r>
      <w:r>
        <w:rPr>
          <w:color w:val="000000"/>
          <w:spacing w:val="-4"/>
        </w:rPr>
        <w:t>i</w:t>
      </w:r>
      <w:r>
        <w:rPr>
          <w:color w:val="000000"/>
          <w:spacing w:val="-1"/>
        </w:rPr>
        <w:t>e</w:t>
      </w:r>
      <w:r>
        <w:rPr>
          <w:color w:val="000000"/>
          <w:spacing w:val="5"/>
        </w:rPr>
        <w:t>to</w:t>
      </w:r>
      <w:r>
        <w:rPr>
          <w:color w:val="000000"/>
          <w:spacing w:val="-9"/>
        </w:rPr>
        <w:t>j</w:t>
      </w:r>
      <w:r>
        <w:rPr>
          <w:color w:val="000000"/>
          <w:spacing w:val="-1"/>
        </w:rPr>
        <w:t>e</w:t>
      </w:r>
      <w:r>
        <w:rPr>
          <w:color w:val="000000"/>
        </w:rPr>
        <w:t>.</w:t>
      </w:r>
      <w:r>
        <w:rPr>
          <w:color w:val="000000"/>
          <w:spacing w:val="12"/>
        </w:rPr>
        <w:t xml:space="preserve"> </w:t>
      </w:r>
      <w:r>
        <w:rPr>
          <w:color w:val="000000"/>
          <w:spacing w:val="2"/>
        </w:rPr>
        <w:t>T</w:t>
      </w:r>
      <w:r>
        <w:rPr>
          <w:color w:val="000000"/>
          <w:spacing w:val="-1"/>
        </w:rPr>
        <w:t>a</w:t>
      </w:r>
      <w:r>
        <w:rPr>
          <w:color w:val="000000"/>
        </w:rPr>
        <w:t xml:space="preserve">i </w:t>
      </w:r>
      <w:r>
        <w:rPr>
          <w:color w:val="000000"/>
          <w:spacing w:val="1"/>
        </w:rPr>
        <w:t>r</w:t>
      </w:r>
      <w:r>
        <w:rPr>
          <w:color w:val="000000"/>
          <w:spacing w:val="5"/>
        </w:rPr>
        <w:t>o</w:t>
      </w:r>
      <w:r>
        <w:rPr>
          <w:color w:val="000000"/>
        </w:rPr>
        <w:t>do,</w:t>
      </w:r>
      <w:r>
        <w:rPr>
          <w:color w:val="000000"/>
          <w:spacing w:val="12"/>
        </w:rPr>
        <w:t xml:space="preserve"> </w:t>
      </w:r>
      <w:r>
        <w:rPr>
          <w:color w:val="000000"/>
        </w:rPr>
        <w:t>k</w:t>
      </w:r>
      <w:r>
        <w:rPr>
          <w:color w:val="000000"/>
          <w:spacing w:val="-1"/>
        </w:rPr>
        <w:t>a</w:t>
      </w:r>
      <w:r>
        <w:rPr>
          <w:color w:val="000000"/>
        </w:rPr>
        <w:t>d</w:t>
      </w:r>
      <w:r>
        <w:rPr>
          <w:color w:val="000000"/>
          <w:spacing w:val="10"/>
        </w:rPr>
        <w:t xml:space="preserve"> </w:t>
      </w:r>
      <w:r>
        <w:rPr>
          <w:color w:val="000000"/>
          <w:spacing w:val="-5"/>
        </w:rPr>
        <w:t>n</w:t>
      </w:r>
      <w:r>
        <w:rPr>
          <w:color w:val="000000"/>
        </w:rPr>
        <w:t>u</w:t>
      </w:r>
      <w:r>
        <w:rPr>
          <w:color w:val="000000"/>
          <w:spacing w:val="2"/>
        </w:rPr>
        <w:t>s</w:t>
      </w:r>
      <w:r>
        <w:rPr>
          <w:color w:val="000000"/>
          <w:spacing w:val="-9"/>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4"/>
        </w:rPr>
        <w:t>m</w:t>
      </w:r>
      <w:r>
        <w:rPr>
          <w:color w:val="000000"/>
          <w:spacing w:val="4"/>
        </w:rPr>
        <w:t>a</w:t>
      </w:r>
      <w:r>
        <w:rPr>
          <w:color w:val="000000"/>
        </w:rPr>
        <w:t>s</w:t>
      </w:r>
      <w:r>
        <w:rPr>
          <w:color w:val="000000"/>
          <w:spacing w:val="7"/>
        </w:rPr>
        <w:t xml:space="preserve"> </w:t>
      </w:r>
      <w:r>
        <w:rPr>
          <w:color w:val="000000"/>
        </w:rPr>
        <w:t>p</w:t>
      </w:r>
      <w:r>
        <w:rPr>
          <w:color w:val="000000"/>
          <w:spacing w:val="-1"/>
        </w:rPr>
        <w:t>a</w:t>
      </w:r>
      <w:r>
        <w:rPr>
          <w:color w:val="000000"/>
          <w:spacing w:val="-2"/>
        </w:rPr>
        <w:t>s</w:t>
      </w:r>
      <w:r>
        <w:rPr>
          <w:color w:val="000000"/>
          <w:spacing w:val="-1"/>
        </w:rPr>
        <w:t>a</w:t>
      </w:r>
      <w:r>
        <w:rPr>
          <w:color w:val="000000"/>
          <w:spacing w:val="5"/>
        </w:rPr>
        <w:t>u</w:t>
      </w:r>
      <w:r>
        <w:rPr>
          <w:color w:val="000000"/>
        </w:rPr>
        <w:t>l</w:t>
      </w:r>
      <w:r>
        <w:rPr>
          <w:color w:val="000000"/>
          <w:spacing w:val="-4"/>
        </w:rPr>
        <w:t>i</w:t>
      </w:r>
      <w:r>
        <w:rPr>
          <w:color w:val="000000"/>
        </w:rPr>
        <w:t xml:space="preserve">s </w:t>
      </w:r>
      <w:r>
        <w:rPr>
          <w:color w:val="000000"/>
          <w:spacing w:val="-5"/>
        </w:rPr>
        <w:t>n</w:t>
      </w:r>
      <w:r>
        <w:rPr>
          <w:color w:val="000000"/>
        </w:rPr>
        <w:t>u</w:t>
      </w:r>
      <w:r>
        <w:rPr>
          <w:color w:val="000000"/>
          <w:spacing w:val="9"/>
        </w:rPr>
        <w:t>o</w:t>
      </w:r>
      <w:r>
        <w:rPr>
          <w:color w:val="000000"/>
          <w:spacing w:val="-9"/>
        </w:rPr>
        <w:t>l</w:t>
      </w:r>
      <w:r>
        <w:rPr>
          <w:color w:val="000000"/>
          <w:spacing w:val="-1"/>
        </w:rPr>
        <w:t>a</w:t>
      </w:r>
      <w:r>
        <w:rPr>
          <w:color w:val="000000"/>
        </w:rPr>
        <w:t>t</w:t>
      </w:r>
      <w:r>
        <w:rPr>
          <w:color w:val="000000"/>
          <w:spacing w:val="11"/>
        </w:rPr>
        <w:t xml:space="preserve"> </w:t>
      </w:r>
      <w:r>
        <w:rPr>
          <w:color w:val="000000"/>
          <w:spacing w:val="-9"/>
        </w:rPr>
        <w:t>i</w:t>
      </w:r>
      <w:r>
        <w:rPr>
          <w:color w:val="000000"/>
          <w:spacing w:val="4"/>
        </w:rPr>
        <w:t>e</w:t>
      </w:r>
      <w:r>
        <w:rPr>
          <w:color w:val="000000"/>
          <w:spacing w:val="-2"/>
        </w:rPr>
        <w:t>š</w:t>
      </w:r>
      <w:r>
        <w:rPr>
          <w:color w:val="000000"/>
        </w:rPr>
        <w:t>ko</w:t>
      </w:r>
      <w:r>
        <w:rPr>
          <w:color w:val="000000"/>
          <w:spacing w:val="8"/>
        </w:rPr>
        <w:t xml:space="preserve"> </w:t>
      </w:r>
      <w:r>
        <w:rPr>
          <w:color w:val="000000"/>
          <w:spacing w:val="-5"/>
        </w:rPr>
        <w:t>b</w:t>
      </w:r>
      <w:r>
        <w:rPr>
          <w:color w:val="000000"/>
        </w:rPr>
        <w:t>ūdų</w:t>
      </w:r>
      <w:r>
        <w:rPr>
          <w:color w:val="000000"/>
          <w:spacing w:val="1"/>
        </w:rPr>
        <w:t xml:space="preserve"> </w:t>
      </w:r>
      <w:r>
        <w:rPr>
          <w:color w:val="000000"/>
        </w:rPr>
        <w:t>k</w:t>
      </w:r>
      <w:r>
        <w:rPr>
          <w:color w:val="000000"/>
          <w:spacing w:val="4"/>
        </w:rPr>
        <w:t>a</w:t>
      </w:r>
      <w:r>
        <w:rPr>
          <w:color w:val="000000"/>
          <w:spacing w:val="-4"/>
        </w:rPr>
        <w:t>i</w:t>
      </w:r>
      <w:r>
        <w:rPr>
          <w:color w:val="000000"/>
        </w:rPr>
        <w:t>p</w:t>
      </w:r>
      <w:r>
        <w:rPr>
          <w:color w:val="000000"/>
          <w:spacing w:val="6"/>
        </w:rPr>
        <w:t xml:space="preserve"> </w:t>
      </w:r>
      <w:r>
        <w:rPr>
          <w:color w:val="000000"/>
          <w:spacing w:val="-5"/>
        </w:rPr>
        <w:t>b</w:t>
      </w:r>
      <w:r>
        <w:rPr>
          <w:color w:val="000000"/>
        </w:rPr>
        <w:t>ū</w:t>
      </w:r>
      <w:r>
        <w:rPr>
          <w:color w:val="000000"/>
          <w:spacing w:val="5"/>
        </w:rPr>
        <w:t>t</w:t>
      </w:r>
      <w:r>
        <w:rPr>
          <w:color w:val="000000"/>
        </w:rPr>
        <w:t>ų</w:t>
      </w:r>
      <w:r>
        <w:rPr>
          <w:color w:val="000000"/>
          <w:spacing w:val="1"/>
        </w:rPr>
        <w:t xml:space="preserve"> </w:t>
      </w:r>
      <w:r>
        <w:rPr>
          <w:color w:val="000000"/>
        </w:rPr>
        <w:t>g</w:t>
      </w:r>
      <w:r>
        <w:rPr>
          <w:color w:val="000000"/>
          <w:spacing w:val="4"/>
        </w:rPr>
        <w:t>a</w:t>
      </w:r>
      <w:r>
        <w:rPr>
          <w:color w:val="000000"/>
          <w:spacing w:val="-4"/>
        </w:rPr>
        <w:t>l</w:t>
      </w:r>
      <w:r>
        <w:rPr>
          <w:color w:val="000000"/>
        </w:rPr>
        <w:t>i</w:t>
      </w:r>
      <w:r>
        <w:rPr>
          <w:color w:val="000000"/>
          <w:spacing w:val="-4"/>
        </w:rPr>
        <w:t>m</w:t>
      </w:r>
      <w:r>
        <w:rPr>
          <w:color w:val="000000"/>
        </w:rPr>
        <w:t>a g</w:t>
      </w:r>
      <w:r>
        <w:rPr>
          <w:color w:val="000000"/>
          <w:spacing w:val="1"/>
        </w:rPr>
        <w:t>r</w:t>
      </w:r>
      <w:r>
        <w:rPr>
          <w:color w:val="000000"/>
          <w:spacing w:val="4"/>
        </w:rPr>
        <w:t>e</w:t>
      </w:r>
      <w:r>
        <w:rPr>
          <w:color w:val="000000"/>
          <w:spacing w:val="-4"/>
        </w:rPr>
        <w:t>i</w:t>
      </w:r>
      <w:r>
        <w:rPr>
          <w:color w:val="000000"/>
          <w:spacing w:val="4"/>
        </w:rPr>
        <w:t>č</w:t>
      </w:r>
      <w:r>
        <w:rPr>
          <w:color w:val="000000"/>
          <w:spacing w:val="-4"/>
        </w:rPr>
        <w:t>i</w:t>
      </w:r>
      <w:r>
        <w:rPr>
          <w:color w:val="000000"/>
          <w:spacing w:val="-1"/>
        </w:rPr>
        <w:t>a</w:t>
      </w:r>
      <w:r>
        <w:rPr>
          <w:color w:val="000000"/>
        </w:rPr>
        <w:t>u</w:t>
      </w:r>
      <w:r>
        <w:rPr>
          <w:color w:val="000000"/>
          <w:spacing w:val="6"/>
        </w:rPr>
        <w:t xml:space="preserve"> </w:t>
      </w:r>
      <w:r>
        <w:rPr>
          <w:color w:val="000000"/>
        </w:rPr>
        <w:t>ir</w:t>
      </w:r>
      <w:r>
        <w:rPr>
          <w:color w:val="000000"/>
          <w:spacing w:val="3"/>
        </w:rPr>
        <w:t xml:space="preserve"> </w:t>
      </w:r>
      <w:r>
        <w:rPr>
          <w:color w:val="000000"/>
          <w:spacing w:val="-2"/>
        </w:rPr>
        <w:t>s</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 p</w:t>
      </w:r>
      <w:r>
        <w:rPr>
          <w:color w:val="000000"/>
          <w:spacing w:val="-1"/>
        </w:rPr>
        <w:t>a</w:t>
      </w:r>
      <w:r>
        <w:rPr>
          <w:color w:val="000000"/>
        </w:rPr>
        <w:t>g</w:t>
      </w:r>
      <w:r>
        <w:rPr>
          <w:color w:val="000000"/>
          <w:spacing w:val="4"/>
        </w:rPr>
        <w:t>a</w:t>
      </w:r>
      <w:r>
        <w:rPr>
          <w:color w:val="000000"/>
          <w:spacing w:val="-4"/>
        </w:rPr>
        <w:t>mi</w:t>
      </w:r>
      <w:r>
        <w:rPr>
          <w:color w:val="000000"/>
          <w:spacing w:val="-5"/>
        </w:rPr>
        <w:t>n</w:t>
      </w:r>
      <w:r>
        <w:rPr>
          <w:color w:val="000000"/>
          <w:spacing w:val="10"/>
        </w:rPr>
        <w:t>t</w:t>
      </w:r>
      <w:r>
        <w:rPr>
          <w:color w:val="000000"/>
        </w:rPr>
        <w:t xml:space="preserve">i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spacing w:val="5"/>
        </w:rPr>
        <w:t>u</w:t>
      </w:r>
      <w:r>
        <w:rPr>
          <w:color w:val="000000"/>
        </w:rPr>
        <w:t>s</w:t>
      </w:r>
      <w:r>
        <w:rPr>
          <w:color w:val="000000"/>
          <w:spacing w:val="2"/>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w:t>
      </w:r>
      <w:r>
        <w:rPr>
          <w:color w:val="000000"/>
          <w:spacing w:val="5"/>
        </w:rPr>
        <w:t>u</w:t>
      </w:r>
      <w:r>
        <w:rPr>
          <w:color w:val="000000"/>
          <w:spacing w:val="-2"/>
        </w:rPr>
        <w:t>s</w:t>
      </w:r>
      <w:r>
        <w:rPr>
          <w:color w:val="000000"/>
        </w:rPr>
        <w:t>,</w:t>
      </w:r>
      <w:r>
        <w:rPr>
          <w:color w:val="000000"/>
          <w:spacing w:val="1"/>
        </w:rPr>
        <w:t xml:space="preserve"> </w:t>
      </w:r>
      <w:r>
        <w:rPr>
          <w:color w:val="000000"/>
          <w:spacing w:val="-1"/>
        </w:rPr>
        <w:t>a</w:t>
      </w:r>
      <w:r>
        <w:rPr>
          <w:color w:val="000000"/>
        </w:rPr>
        <w:t>p</w:t>
      </w:r>
      <w:r>
        <w:rPr>
          <w:color w:val="000000"/>
          <w:spacing w:val="-2"/>
        </w:rPr>
        <w:t>s</w:t>
      </w:r>
      <w:r>
        <w:rPr>
          <w:color w:val="000000"/>
          <w:spacing w:val="5"/>
        </w:rPr>
        <w:t>u</w:t>
      </w:r>
      <w:r>
        <w:rPr>
          <w:color w:val="000000"/>
          <w:spacing w:val="-5"/>
        </w:rPr>
        <w:t>n</w:t>
      </w:r>
      <w:r>
        <w:rPr>
          <w:color w:val="000000"/>
          <w:spacing w:val="5"/>
        </w:rPr>
        <w:t>k</w:t>
      </w:r>
      <w:r>
        <w:rPr>
          <w:color w:val="000000"/>
          <w:spacing w:val="-4"/>
        </w:rPr>
        <w:t>i</w:t>
      </w:r>
      <w:r>
        <w:rPr>
          <w:color w:val="000000"/>
        </w:rPr>
        <w:t>n</w:t>
      </w:r>
      <w:r>
        <w:rPr>
          <w:color w:val="000000"/>
          <w:spacing w:val="4"/>
        </w:rPr>
        <w:t>a</w:t>
      </w:r>
      <w:r>
        <w:rPr>
          <w:color w:val="000000"/>
          <w:spacing w:val="-5"/>
        </w:rPr>
        <w:t>n</w:t>
      </w:r>
      <w:r>
        <w:rPr>
          <w:color w:val="000000"/>
        </w:rPr>
        <w:t>t</w:t>
      </w:r>
      <w:r>
        <w:rPr>
          <w:color w:val="000000"/>
          <w:spacing w:val="4"/>
        </w:rPr>
        <w:t xml:space="preserve"> </w:t>
      </w:r>
      <w:r>
        <w:rPr>
          <w:color w:val="000000"/>
          <w:spacing w:val="5"/>
        </w:rPr>
        <w:t>t</w:t>
      </w:r>
      <w:r>
        <w:rPr>
          <w:color w:val="000000"/>
          <w:spacing w:val="-6"/>
        </w:rPr>
        <w:t>e</w:t>
      </w:r>
      <w:r>
        <w:rPr>
          <w:color w:val="000000"/>
          <w:spacing w:val="-4"/>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5"/>
        </w:rPr>
        <w:t>o</w:t>
      </w:r>
      <w:r>
        <w:rPr>
          <w:color w:val="000000"/>
        </w:rPr>
        <w:t xml:space="preserve">s </w:t>
      </w:r>
      <w:r>
        <w:rPr>
          <w:color w:val="000000"/>
          <w:spacing w:val="-4"/>
        </w:rPr>
        <w:t>i</w:t>
      </w:r>
      <w:r>
        <w:rPr>
          <w:color w:val="000000"/>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ij</w:t>
      </w:r>
      <w:r>
        <w:rPr>
          <w:color w:val="000000"/>
        </w:rPr>
        <w:t>ų d</w:t>
      </w:r>
      <w:r>
        <w:rPr>
          <w:color w:val="000000"/>
          <w:spacing w:val="-1"/>
        </w:rPr>
        <w:t>a</w:t>
      </w:r>
      <w:r>
        <w:rPr>
          <w:color w:val="000000"/>
          <w:spacing w:val="8"/>
        </w:rPr>
        <w:t>r</w:t>
      </w:r>
      <w:r>
        <w:rPr>
          <w:color w:val="000000"/>
          <w:spacing w:val="-5"/>
        </w:rPr>
        <w:t>b</w:t>
      </w:r>
      <w:r>
        <w:rPr>
          <w:color w:val="000000"/>
        </w:rPr>
        <w:t>ą</w:t>
      </w:r>
      <w:r>
        <w:rPr>
          <w:color w:val="000000"/>
          <w:spacing w:val="3"/>
        </w:rPr>
        <w:t xml:space="preserve"> </w:t>
      </w:r>
      <w:r>
        <w:rPr>
          <w:color w:val="000000"/>
          <w:spacing w:val="-4"/>
        </w:rPr>
        <w:t>i</w:t>
      </w:r>
      <w:r>
        <w:rPr>
          <w:color w:val="000000"/>
          <w:spacing w:val="2"/>
        </w:rPr>
        <w:t>š</w:t>
      </w:r>
      <w:r>
        <w:rPr>
          <w:color w:val="000000"/>
          <w:spacing w:val="4"/>
        </w:rPr>
        <w:t>a</w:t>
      </w:r>
      <w:r>
        <w:rPr>
          <w:color w:val="000000"/>
          <w:spacing w:val="-4"/>
        </w:rPr>
        <w:t>i</w:t>
      </w:r>
      <w:r>
        <w:rPr>
          <w:color w:val="000000"/>
          <w:spacing w:val="-2"/>
        </w:rPr>
        <w:t>š</w:t>
      </w:r>
      <w:r>
        <w:rPr>
          <w:color w:val="000000"/>
          <w:spacing w:val="5"/>
        </w:rPr>
        <w:t>k</w:t>
      </w:r>
      <w:r>
        <w:rPr>
          <w:color w:val="000000"/>
          <w:spacing w:val="-4"/>
        </w:rPr>
        <w:t>i</w:t>
      </w:r>
      <w:r>
        <w:rPr>
          <w:color w:val="000000"/>
        </w:rPr>
        <w:t>n</w:t>
      </w:r>
      <w:r>
        <w:rPr>
          <w:color w:val="000000"/>
          <w:spacing w:val="4"/>
        </w:rPr>
        <w:t>a</w:t>
      </w:r>
      <w:r>
        <w:rPr>
          <w:color w:val="000000"/>
          <w:spacing w:val="-5"/>
        </w:rPr>
        <w:t>n</w:t>
      </w:r>
      <w:r>
        <w:rPr>
          <w:color w:val="000000"/>
        </w:rPr>
        <w:t>t</w:t>
      </w:r>
      <w:r>
        <w:rPr>
          <w:color w:val="000000"/>
          <w:spacing w:val="5"/>
        </w:rPr>
        <w:t xml:space="preserve"> </w:t>
      </w:r>
      <w:r>
        <w:rPr>
          <w:color w:val="000000"/>
        </w:rPr>
        <w:t>t</w:t>
      </w:r>
      <w:r>
        <w:rPr>
          <w:color w:val="000000"/>
          <w:spacing w:val="5"/>
        </w:rPr>
        <w:t>o</w:t>
      </w:r>
      <w:r>
        <w:rPr>
          <w:color w:val="000000"/>
        </w:rPr>
        <w:t>k</w:t>
      </w:r>
      <w:r>
        <w:rPr>
          <w:color w:val="000000"/>
          <w:spacing w:val="-9"/>
        </w:rPr>
        <w:t>i</w:t>
      </w:r>
      <w:r>
        <w:rPr>
          <w:color w:val="000000"/>
          <w:spacing w:val="-1"/>
        </w:rPr>
        <w:t>a</w:t>
      </w:r>
      <w:r>
        <w:rPr>
          <w:color w:val="000000"/>
        </w:rPr>
        <w:t>s</w:t>
      </w:r>
      <w:r>
        <w:rPr>
          <w:color w:val="000000"/>
          <w:spacing w:val="2"/>
        </w:rPr>
        <w:t xml:space="preserve"> </w:t>
      </w:r>
      <w:r>
        <w:rPr>
          <w:color w:val="000000"/>
          <w:spacing w:val="-4"/>
        </w:rPr>
        <w:t>l</w:t>
      </w:r>
      <w:r>
        <w:rPr>
          <w:color w:val="000000"/>
          <w:spacing w:val="4"/>
        </w:rPr>
        <w:t>a</w:t>
      </w:r>
      <w:r>
        <w:rPr>
          <w:color w:val="000000"/>
          <w:spacing w:val="5"/>
        </w:rPr>
        <w:t>bo</w:t>
      </w:r>
      <w:r>
        <w:rPr>
          <w:color w:val="000000"/>
          <w:spacing w:val="1"/>
        </w:rPr>
        <w:t>r</w:t>
      </w:r>
      <w:r>
        <w:rPr>
          <w:color w:val="000000"/>
          <w:spacing w:val="-6"/>
        </w:rPr>
        <w:t>a</w:t>
      </w:r>
      <w:r>
        <w:rPr>
          <w:color w:val="000000"/>
        </w:rPr>
        <w:t>to</w:t>
      </w:r>
      <w:r>
        <w:rPr>
          <w:color w:val="000000"/>
          <w:spacing w:val="2"/>
        </w:rPr>
        <w:t>r</w:t>
      </w:r>
      <w:r>
        <w:rPr>
          <w:color w:val="000000"/>
          <w:spacing w:val="-4"/>
        </w:rPr>
        <w:t>ij</w:t>
      </w:r>
      <w:r>
        <w:rPr>
          <w:color w:val="000000"/>
          <w:spacing w:val="4"/>
        </w:rPr>
        <w:t>a</w:t>
      </w:r>
      <w:r>
        <w:rPr>
          <w:color w:val="000000"/>
          <w:spacing w:val="-2"/>
        </w:rPr>
        <w:t>s</w:t>
      </w:r>
      <w:r>
        <w:rPr>
          <w:color w:val="000000"/>
        </w:rPr>
        <w:t xml:space="preserve">. </w:t>
      </w:r>
      <w:r>
        <w:rPr>
          <w:color w:val="000000"/>
          <w:spacing w:val="-4"/>
        </w:rPr>
        <w:t>F</w:t>
      </w:r>
      <w:r>
        <w:rPr>
          <w:color w:val="000000"/>
          <w:spacing w:val="4"/>
        </w:rPr>
        <w:t>e</w:t>
      </w:r>
      <w:r>
        <w:rPr>
          <w:color w:val="000000"/>
        </w:rPr>
        <w:t>ni</w:t>
      </w:r>
      <w:r>
        <w:rPr>
          <w:color w:val="000000"/>
          <w:spacing w:val="-4"/>
        </w:rPr>
        <w:t>l</w:t>
      </w:r>
      <w:r>
        <w:rPr>
          <w:color w:val="000000"/>
          <w:spacing w:val="5"/>
        </w:rPr>
        <w:t>n</w:t>
      </w:r>
      <w:r>
        <w:rPr>
          <w:color w:val="000000"/>
          <w:spacing w:val="-9"/>
        </w:rPr>
        <w:t>i</w:t>
      </w:r>
      <w:r>
        <w:rPr>
          <w:color w:val="000000"/>
          <w:spacing w:val="5"/>
        </w:rPr>
        <w:t>t</w:t>
      </w:r>
      <w:r>
        <w:rPr>
          <w:color w:val="000000"/>
          <w:spacing w:val="1"/>
        </w:rPr>
        <w:t>r</w:t>
      </w:r>
      <w:r>
        <w:rPr>
          <w:color w:val="000000"/>
          <w:spacing w:val="5"/>
        </w:rPr>
        <w:t>o</w:t>
      </w:r>
      <w:r>
        <w:rPr>
          <w:color w:val="000000"/>
        </w:rPr>
        <w:t>p</w:t>
      </w:r>
      <w:r>
        <w:rPr>
          <w:color w:val="000000"/>
          <w:spacing w:val="-3"/>
        </w:rPr>
        <w:t>r</w:t>
      </w:r>
      <w:r>
        <w:rPr>
          <w:color w:val="000000"/>
          <w:spacing w:val="5"/>
        </w:rPr>
        <w:t>o</w:t>
      </w:r>
      <w:r>
        <w:rPr>
          <w:color w:val="000000"/>
        </w:rPr>
        <w:t>p</w:t>
      </w:r>
      <w:r>
        <w:rPr>
          <w:color w:val="000000"/>
          <w:spacing w:val="-1"/>
        </w:rPr>
        <w:t>e</w:t>
      </w:r>
      <w:r>
        <w:rPr>
          <w:color w:val="000000"/>
          <w:spacing w:val="-5"/>
        </w:rPr>
        <w:t>n</w:t>
      </w:r>
      <w:r>
        <w:rPr>
          <w:color w:val="000000"/>
          <w:spacing w:val="-1"/>
        </w:rPr>
        <w:t>a</w:t>
      </w:r>
      <w:r>
        <w:rPr>
          <w:color w:val="000000"/>
        </w:rPr>
        <w:t xml:space="preserve">s </w:t>
      </w:r>
      <w:r>
        <w:rPr>
          <w:color w:val="000000"/>
          <w:spacing w:val="2"/>
        </w:rPr>
        <w:t>š</w:t>
      </w:r>
      <w:r>
        <w:rPr>
          <w:color w:val="000000"/>
          <w:spacing w:val="-4"/>
        </w:rPr>
        <w:t>i</w:t>
      </w:r>
      <w:r>
        <w:rPr>
          <w:color w:val="000000"/>
        </w:rPr>
        <w:t>uo</w:t>
      </w:r>
      <w:r>
        <w:rPr>
          <w:color w:val="000000"/>
          <w:spacing w:val="12"/>
        </w:rPr>
        <w:t xml:space="preserve"> </w:t>
      </w:r>
      <w:r>
        <w:rPr>
          <w:color w:val="000000"/>
          <w:spacing w:val="-4"/>
        </w:rPr>
        <w:t>m</w:t>
      </w:r>
      <w:r>
        <w:rPr>
          <w:color w:val="000000"/>
          <w:spacing w:val="-1"/>
        </w:rPr>
        <w:t>e</w:t>
      </w:r>
      <w:r>
        <w:rPr>
          <w:color w:val="000000"/>
          <w:spacing w:val="5"/>
        </w:rPr>
        <w:t>t</w:t>
      </w:r>
      <w:r>
        <w:rPr>
          <w:color w:val="000000"/>
        </w:rPr>
        <w:t>u</w:t>
      </w:r>
      <w:r>
        <w:rPr>
          <w:color w:val="000000"/>
          <w:spacing w:val="7"/>
        </w:rPr>
        <w:t xml:space="preserve"> </w:t>
      </w:r>
      <w:r>
        <w:rPr>
          <w:color w:val="000000"/>
          <w:spacing w:val="-10"/>
        </w:rPr>
        <w:t>y</w:t>
      </w:r>
      <w:r>
        <w:rPr>
          <w:color w:val="000000"/>
          <w:spacing w:val="1"/>
        </w:rPr>
        <w:t>r</w:t>
      </w:r>
      <w:r>
        <w:rPr>
          <w:color w:val="000000"/>
        </w:rPr>
        <w:t>a</w:t>
      </w:r>
      <w:r>
        <w:rPr>
          <w:color w:val="000000"/>
          <w:spacing w:val="6"/>
        </w:rPr>
        <w:t xml:space="preserve"> </w:t>
      </w:r>
      <w:r>
        <w:rPr>
          <w:color w:val="000000"/>
          <w:spacing w:val="-5"/>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5"/>
        </w:rPr>
        <w:t>o</w:t>
      </w:r>
      <w:r>
        <w:rPr>
          <w:color w:val="000000"/>
          <w:spacing w:val="-4"/>
        </w:rPr>
        <w:t>li</w:t>
      </w:r>
      <w:r>
        <w:rPr>
          <w:color w:val="000000"/>
        </w:rPr>
        <w:t>u</w:t>
      </w:r>
      <w:r>
        <w:rPr>
          <w:color w:val="000000"/>
          <w:spacing w:val="9"/>
        </w:rPr>
        <w:t>o</w:t>
      </w:r>
      <w:r>
        <w:rPr>
          <w:color w:val="000000"/>
          <w:spacing w:val="-9"/>
        </w:rPr>
        <w:t>j</w:t>
      </w:r>
      <w:r>
        <w:rPr>
          <w:color w:val="000000"/>
          <w:spacing w:val="4"/>
        </w:rPr>
        <w:t>a</w:t>
      </w:r>
      <w:r>
        <w:rPr>
          <w:color w:val="000000"/>
          <w:spacing w:val="-4"/>
        </w:rPr>
        <w:t>m</w:t>
      </w:r>
      <w:r>
        <w:rPr>
          <w:color w:val="000000"/>
        </w:rPr>
        <w:t xml:space="preserve">a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spacing w:val="-1"/>
        </w:rPr>
        <w:t>a</w:t>
      </w:r>
      <w:r>
        <w:rPr>
          <w:color w:val="000000"/>
        </w:rPr>
        <w:t>.</w:t>
      </w:r>
      <w:r>
        <w:rPr>
          <w:color w:val="000000"/>
          <w:spacing w:val="4"/>
        </w:rPr>
        <w:t xml:space="preserve"> </w:t>
      </w:r>
      <w:r>
        <w:rPr>
          <w:color w:val="000000"/>
          <w:spacing w:val="-2"/>
        </w:rPr>
        <w:t>J</w:t>
      </w:r>
      <w:r>
        <w:rPr>
          <w:color w:val="000000"/>
          <w:spacing w:val="5"/>
        </w:rPr>
        <w:t>o</w:t>
      </w:r>
      <w:r>
        <w:rPr>
          <w:color w:val="000000"/>
        </w:rPr>
        <w:t>s p</w:t>
      </w:r>
      <w:r>
        <w:rPr>
          <w:color w:val="000000"/>
          <w:spacing w:val="1"/>
        </w:rPr>
        <w:t>r</w:t>
      </w:r>
      <w:r>
        <w:rPr>
          <w:color w:val="000000"/>
          <w:spacing w:val="-1"/>
        </w:rPr>
        <w:t>a</w:t>
      </w:r>
      <w:r>
        <w:rPr>
          <w:color w:val="000000"/>
          <w:spacing w:val="5"/>
        </w:rPr>
        <w:t>d</w:t>
      </w:r>
      <w:r>
        <w:rPr>
          <w:color w:val="000000"/>
          <w:spacing w:val="-4"/>
        </w:rPr>
        <w:t>i</w:t>
      </w:r>
      <w:r>
        <w:rPr>
          <w:color w:val="000000"/>
          <w:spacing w:val="-5"/>
        </w:rPr>
        <w:t>n</w:t>
      </w:r>
      <w:r>
        <w:rPr>
          <w:color w:val="000000"/>
          <w:spacing w:val="4"/>
        </w:rPr>
        <w:t>ė</w:t>
      </w:r>
      <w:r>
        <w:rPr>
          <w:color w:val="000000"/>
        </w:rPr>
        <w:t xml:space="preserve">s   </w:t>
      </w:r>
      <w:r>
        <w:rPr>
          <w:color w:val="000000"/>
          <w:spacing w:val="31"/>
        </w:rPr>
        <w:t xml:space="preserve"> </w:t>
      </w:r>
      <w:r>
        <w:rPr>
          <w:color w:val="000000"/>
          <w:spacing w:val="1"/>
        </w:rPr>
        <w:t>(</w:t>
      </w:r>
      <w:r>
        <w:rPr>
          <w:color w:val="000000"/>
        </w:rPr>
        <w:t>p</w:t>
      </w:r>
      <w:r>
        <w:rPr>
          <w:color w:val="000000"/>
          <w:spacing w:val="4"/>
        </w:rPr>
        <w:t>a</w:t>
      </w:r>
      <w:r>
        <w:rPr>
          <w:color w:val="000000"/>
          <w:spacing w:val="-4"/>
        </w:rPr>
        <w:t>m</w:t>
      </w:r>
      <w:r>
        <w:rPr>
          <w:color w:val="000000"/>
          <w:spacing w:val="-1"/>
        </w:rPr>
        <w:t>a</w:t>
      </w:r>
      <w:r>
        <w:rPr>
          <w:color w:val="000000"/>
          <w:spacing w:val="5"/>
        </w:rPr>
        <w:t>t</w:t>
      </w:r>
      <w:r>
        <w:rPr>
          <w:color w:val="000000"/>
          <w:spacing w:val="-4"/>
        </w:rPr>
        <w:t>i</w:t>
      </w:r>
      <w:r>
        <w:rPr>
          <w:color w:val="000000"/>
          <w:spacing w:val="-5"/>
        </w:rPr>
        <w:t>n</w:t>
      </w:r>
      <w:r>
        <w:rPr>
          <w:color w:val="000000"/>
          <w:spacing w:val="4"/>
        </w:rPr>
        <w:t>ė</w:t>
      </w:r>
      <w:r>
        <w:rPr>
          <w:color w:val="000000"/>
          <w:spacing w:val="-2"/>
        </w:rPr>
        <w:t>s</w:t>
      </w:r>
      <w:r>
        <w:rPr>
          <w:color w:val="000000"/>
        </w:rPr>
        <w:t>)</w:t>
      </w:r>
      <w:r>
        <w:rPr>
          <w:color w:val="000000"/>
          <w:spacing w:val="8"/>
        </w:rPr>
        <w:t xml:space="preserve"> </w:t>
      </w:r>
      <w:r>
        <w:rPr>
          <w:color w:val="000000"/>
          <w:spacing w:val="-4"/>
        </w:rPr>
        <w:t>m</w:t>
      </w:r>
      <w:r>
        <w:rPr>
          <w:color w:val="000000"/>
          <w:spacing w:val="-1"/>
        </w:rPr>
        <w:t>e</w:t>
      </w:r>
      <w:r>
        <w:rPr>
          <w:color w:val="000000"/>
        </w:rPr>
        <w:t>d</w:t>
      </w:r>
      <w:r>
        <w:rPr>
          <w:color w:val="000000"/>
          <w:spacing w:val="4"/>
        </w:rPr>
        <w:t>ž</w:t>
      </w:r>
      <w:r>
        <w:rPr>
          <w:color w:val="000000"/>
        </w:rPr>
        <w:t>iag</w:t>
      </w:r>
      <w:r>
        <w:rPr>
          <w:color w:val="000000"/>
          <w:spacing w:val="4"/>
        </w:rPr>
        <w:t>o</w:t>
      </w:r>
      <w:r>
        <w:rPr>
          <w:color w:val="000000"/>
        </w:rPr>
        <w:t>s</w:t>
      </w:r>
      <w:r>
        <w:rPr>
          <w:color w:val="000000"/>
          <w:spacing w:val="5"/>
        </w:rPr>
        <w:t xml:space="preserve"> </w:t>
      </w:r>
      <w:r>
        <w:rPr>
          <w:color w:val="000000"/>
          <w:spacing w:val="-10"/>
        </w:rPr>
        <w:t>y</w:t>
      </w:r>
      <w:r>
        <w:rPr>
          <w:color w:val="000000"/>
          <w:spacing w:val="1"/>
        </w:rPr>
        <w:t>r</w:t>
      </w:r>
      <w:r>
        <w:rPr>
          <w:color w:val="000000"/>
        </w:rPr>
        <w:t>a n</w:t>
      </w:r>
      <w:r>
        <w:rPr>
          <w:color w:val="000000"/>
          <w:spacing w:val="-9"/>
        </w:rPr>
        <w:t>i</w:t>
      </w:r>
      <w:r>
        <w:rPr>
          <w:color w:val="000000"/>
          <w:spacing w:val="5"/>
        </w:rPr>
        <w:t>t</w:t>
      </w:r>
      <w:r>
        <w:rPr>
          <w:color w:val="000000"/>
          <w:spacing w:val="1"/>
        </w:rPr>
        <w:t>r</w:t>
      </w:r>
      <w:r>
        <w:rPr>
          <w:color w:val="000000"/>
          <w:spacing w:val="5"/>
        </w:rPr>
        <w:t>o</w:t>
      </w:r>
      <w:r>
        <w:rPr>
          <w:color w:val="000000"/>
          <w:spacing w:val="-6"/>
        </w:rPr>
        <w:t>e</w:t>
      </w:r>
      <w:r>
        <w:rPr>
          <w:color w:val="000000"/>
          <w:spacing w:val="5"/>
        </w:rPr>
        <w:t>t</w:t>
      </w:r>
      <w:r>
        <w:rPr>
          <w:color w:val="000000"/>
          <w:spacing w:val="-1"/>
        </w:rPr>
        <w:t>a</w:t>
      </w:r>
      <w:r>
        <w:rPr>
          <w:color w:val="000000"/>
          <w:spacing w:val="-5"/>
        </w:rPr>
        <w:t>n</w:t>
      </w:r>
      <w:r>
        <w:rPr>
          <w:color w:val="000000"/>
          <w:spacing w:val="-1"/>
        </w:rPr>
        <w:t>a</w:t>
      </w:r>
      <w:r>
        <w:rPr>
          <w:color w:val="000000"/>
        </w:rPr>
        <w:t xml:space="preserve">s </w:t>
      </w:r>
      <w:r>
        <w:rPr>
          <w:color w:val="000000"/>
          <w:spacing w:val="6"/>
        </w:rPr>
        <w:t>(</w:t>
      </w:r>
      <w:r>
        <w:rPr>
          <w:color w:val="000000"/>
          <w:spacing w:val="2"/>
        </w:rPr>
        <w:t>n</w:t>
      </w:r>
      <w:r>
        <w:rPr>
          <w:color w:val="000000"/>
          <w:spacing w:val="-9"/>
        </w:rPr>
        <w:t>i</w:t>
      </w:r>
      <w:r>
        <w:rPr>
          <w:color w:val="000000"/>
          <w:spacing w:val="5"/>
        </w:rPr>
        <w:t>t</w:t>
      </w:r>
      <w:r>
        <w:rPr>
          <w:color w:val="000000"/>
          <w:spacing w:val="1"/>
        </w:rPr>
        <w:t>r</w:t>
      </w:r>
      <w:r>
        <w:rPr>
          <w:color w:val="000000"/>
          <w:spacing w:val="5"/>
        </w:rPr>
        <w:t>o</w:t>
      </w:r>
      <w:r>
        <w:rPr>
          <w:color w:val="000000"/>
          <w:spacing w:val="-6"/>
        </w:rPr>
        <w:t>e</w:t>
      </w:r>
      <w:r>
        <w:rPr>
          <w:color w:val="000000"/>
          <w:spacing w:val="5"/>
        </w:rPr>
        <w:t>t</w:t>
      </w:r>
      <w:r>
        <w:rPr>
          <w:color w:val="000000"/>
          <w:spacing w:val="-5"/>
        </w:rPr>
        <w:t>h</w:t>
      </w:r>
      <w:r>
        <w:rPr>
          <w:color w:val="000000"/>
          <w:spacing w:val="-1"/>
        </w:rPr>
        <w:t>a</w:t>
      </w:r>
      <w:r>
        <w:rPr>
          <w:color w:val="000000"/>
        </w:rPr>
        <w:t>n</w:t>
      </w:r>
      <w:r>
        <w:rPr>
          <w:color w:val="000000"/>
          <w:spacing w:val="-1"/>
        </w:rPr>
        <w:t>e</w:t>
      </w:r>
      <w:r>
        <w:rPr>
          <w:color w:val="000000"/>
        </w:rPr>
        <w:t>)</w:t>
      </w:r>
      <w:r>
        <w:rPr>
          <w:color w:val="000000"/>
          <w:spacing w:val="10"/>
        </w:rPr>
        <w:t xml:space="preserve"> </w:t>
      </w:r>
      <w:r>
        <w:rPr>
          <w:color w:val="000000"/>
          <w:spacing w:val="-9"/>
        </w:rPr>
        <w:t>i</w:t>
      </w:r>
      <w:r>
        <w:rPr>
          <w:color w:val="000000"/>
        </w:rPr>
        <w:t>r</w:t>
      </w:r>
      <w:r>
        <w:rPr>
          <w:color w:val="000000"/>
          <w:spacing w:val="3"/>
        </w:rPr>
        <w:t xml:space="preserve"> </w:t>
      </w:r>
      <w:r>
        <w:rPr>
          <w:color w:val="000000"/>
        </w:rPr>
        <w:t>b</w:t>
      </w:r>
      <w:r>
        <w:rPr>
          <w:color w:val="000000"/>
          <w:spacing w:val="4"/>
        </w:rPr>
        <w:t>e</w:t>
      </w:r>
      <w:r>
        <w:rPr>
          <w:color w:val="000000"/>
          <w:spacing w:val="-5"/>
        </w:rPr>
        <w:t>n</w:t>
      </w:r>
      <w:r>
        <w:rPr>
          <w:color w:val="000000"/>
          <w:spacing w:val="-1"/>
        </w:rPr>
        <w:t>z</w:t>
      </w:r>
      <w:r>
        <w:rPr>
          <w:color w:val="000000"/>
          <w:spacing w:val="4"/>
        </w:rPr>
        <w:t>a</w:t>
      </w:r>
      <w:r>
        <w:rPr>
          <w:color w:val="000000"/>
          <w:spacing w:val="-4"/>
        </w:rPr>
        <w:t>l</w:t>
      </w:r>
      <w:r>
        <w:rPr>
          <w:color w:val="000000"/>
        </w:rPr>
        <w:t>d</w:t>
      </w:r>
      <w:r>
        <w:rPr>
          <w:color w:val="000000"/>
          <w:spacing w:val="4"/>
        </w:rPr>
        <w:t>e</w:t>
      </w:r>
      <w:r>
        <w:rPr>
          <w:color w:val="000000"/>
        </w:rPr>
        <w:t>h</w:t>
      </w:r>
      <w:r>
        <w:rPr>
          <w:color w:val="000000"/>
          <w:spacing w:val="-4"/>
        </w:rPr>
        <w:t>i</w:t>
      </w:r>
      <w:r>
        <w:rPr>
          <w:color w:val="000000"/>
        </w:rPr>
        <w:t>d</w:t>
      </w:r>
      <w:r>
        <w:rPr>
          <w:color w:val="000000"/>
          <w:spacing w:val="-1"/>
        </w:rPr>
        <w:t>a</w:t>
      </w:r>
      <w:r>
        <w:rPr>
          <w:color w:val="000000"/>
        </w:rPr>
        <w:t xml:space="preserve">s </w:t>
      </w:r>
      <w:r>
        <w:rPr>
          <w:color w:val="000000"/>
          <w:spacing w:val="6"/>
        </w:rPr>
        <w:t>(</w:t>
      </w:r>
      <w:r>
        <w:rPr>
          <w:color w:val="000000"/>
          <w:spacing w:val="-3"/>
        </w:rPr>
        <w:t>b</w:t>
      </w:r>
      <w:r>
        <w:rPr>
          <w:color w:val="000000"/>
          <w:spacing w:val="4"/>
        </w:rPr>
        <w:t>e</w:t>
      </w:r>
      <w:r>
        <w:rPr>
          <w:color w:val="000000"/>
          <w:spacing w:val="-5"/>
        </w:rPr>
        <w:t>n</w:t>
      </w:r>
      <w:r>
        <w:rPr>
          <w:color w:val="000000"/>
          <w:spacing w:val="-1"/>
        </w:rPr>
        <w:t>z</w:t>
      </w:r>
      <w:r>
        <w:rPr>
          <w:color w:val="000000"/>
          <w:spacing w:val="4"/>
        </w:rPr>
        <w:t>a</w:t>
      </w:r>
      <w:r>
        <w:rPr>
          <w:color w:val="000000"/>
          <w:spacing w:val="-4"/>
        </w:rPr>
        <w:t>l</w:t>
      </w:r>
      <w:r>
        <w:rPr>
          <w:color w:val="000000"/>
        </w:rPr>
        <w:t>d</w:t>
      </w:r>
      <w:r>
        <w:rPr>
          <w:color w:val="000000"/>
          <w:spacing w:val="4"/>
        </w:rPr>
        <w:t>e</w:t>
      </w:r>
      <w:r>
        <w:rPr>
          <w:color w:val="000000"/>
        </w:rPr>
        <w:t>h</w:t>
      </w:r>
      <w:r>
        <w:rPr>
          <w:color w:val="000000"/>
          <w:spacing w:val="-5"/>
        </w:rPr>
        <w:t>y</w:t>
      </w:r>
      <w:r>
        <w:rPr>
          <w:color w:val="000000"/>
        </w:rPr>
        <w:t>d</w:t>
      </w:r>
      <w:r>
        <w:rPr>
          <w:color w:val="000000"/>
          <w:spacing w:val="-1"/>
        </w:rPr>
        <w:t>e</w:t>
      </w:r>
      <w:r>
        <w:rPr>
          <w:color w:val="000000"/>
          <w:spacing w:val="3"/>
        </w:rPr>
        <w:t>)</w:t>
      </w:r>
      <w:r>
        <w:rPr>
          <w:color w:val="000000"/>
        </w:rPr>
        <w:t>, ku</w:t>
      </w:r>
      <w:r>
        <w:rPr>
          <w:color w:val="000000"/>
          <w:spacing w:val="6"/>
        </w:rPr>
        <w:t>r</w:t>
      </w:r>
      <w:r>
        <w:rPr>
          <w:color w:val="000000"/>
          <w:spacing w:val="-9"/>
        </w:rPr>
        <w:t>i</w:t>
      </w:r>
      <w:r>
        <w:rPr>
          <w:color w:val="000000"/>
        </w:rPr>
        <w:t xml:space="preserve">ų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a</w:t>
      </w:r>
      <w:r>
        <w:rPr>
          <w:color w:val="000000"/>
          <w:spacing w:val="4"/>
        </w:rPr>
        <w:t xml:space="preserve"> </w:t>
      </w:r>
      <w:r>
        <w:rPr>
          <w:color w:val="000000"/>
          <w:spacing w:val="-5"/>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4"/>
        </w:rPr>
        <w:t>li</w:t>
      </w:r>
      <w:r>
        <w:rPr>
          <w:color w:val="000000"/>
        </w:rPr>
        <w:t>u</w:t>
      </w:r>
      <w:r>
        <w:rPr>
          <w:color w:val="000000"/>
          <w:spacing w:val="9"/>
        </w:rPr>
        <w:t>o</w:t>
      </w:r>
      <w:r>
        <w:rPr>
          <w:color w:val="000000"/>
          <w:spacing w:val="-9"/>
        </w:rPr>
        <w:t>j</w:t>
      </w:r>
      <w:r>
        <w:rPr>
          <w:color w:val="000000"/>
          <w:spacing w:val="4"/>
        </w:rPr>
        <w:t>a</w:t>
      </w:r>
      <w:r>
        <w:rPr>
          <w:color w:val="000000"/>
          <w:spacing w:val="-9"/>
        </w:rPr>
        <w:t>m</w:t>
      </w:r>
      <w:r>
        <w:rPr>
          <w:color w:val="000000"/>
          <w:spacing w:val="5"/>
        </w:rPr>
        <w:t>o</w:t>
      </w:r>
      <w:r>
        <w:rPr>
          <w:color w:val="000000"/>
        </w:rPr>
        <w:t>s</w:t>
      </w:r>
      <w:r>
        <w:rPr>
          <w:color w:val="000000"/>
          <w:spacing w:val="7"/>
        </w:rPr>
        <w:t xml:space="preserve"> </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rPr>
        <w:t>s</w:t>
      </w:r>
      <w:r>
        <w:rPr>
          <w:color w:val="000000"/>
          <w:spacing w:val="2"/>
        </w:rPr>
        <w:t xml:space="preserve"> </w:t>
      </w:r>
      <w:r>
        <w:rPr>
          <w:color w:val="000000"/>
          <w:spacing w:val="-1"/>
        </w:rPr>
        <w:t>a</w:t>
      </w:r>
      <w:r>
        <w:rPr>
          <w:color w:val="000000"/>
        </w:rPr>
        <w:t>k</w:t>
      </w:r>
      <w:r>
        <w:rPr>
          <w:color w:val="000000"/>
          <w:spacing w:val="5"/>
        </w:rPr>
        <w:t>t</w:t>
      </w:r>
      <w:r>
        <w:rPr>
          <w:color w:val="000000"/>
          <w:spacing w:val="4"/>
        </w:rPr>
        <w:t>a</w:t>
      </w:r>
      <w:r>
        <w:rPr>
          <w:color w:val="000000"/>
          <w:spacing w:val="-4"/>
        </w:rPr>
        <w:t>i</w:t>
      </w:r>
      <w:r>
        <w:rPr>
          <w:color w:val="000000"/>
          <w:spacing w:val="-2"/>
        </w:rPr>
        <w:t>s</w:t>
      </w:r>
      <w:r>
        <w:rPr>
          <w:color w:val="000000"/>
        </w:rPr>
        <w:t>.</w:t>
      </w:r>
      <w:r>
        <w:rPr>
          <w:color w:val="000000"/>
          <w:spacing w:val="2"/>
        </w:rPr>
        <w:t xml:space="preserve"> </w:t>
      </w:r>
      <w:r>
        <w:rPr>
          <w:color w:val="000000"/>
          <w:spacing w:val="7"/>
        </w:rPr>
        <w:t>T</w:t>
      </w:r>
      <w:r>
        <w:rPr>
          <w:color w:val="000000"/>
          <w:spacing w:val="-9"/>
        </w:rPr>
        <w:t>i</w:t>
      </w:r>
      <w:r>
        <w:rPr>
          <w:color w:val="000000"/>
          <w:spacing w:val="4"/>
        </w:rPr>
        <w:t>e</w:t>
      </w:r>
      <w:r>
        <w:rPr>
          <w:color w:val="000000"/>
          <w:spacing w:val="-2"/>
        </w:rPr>
        <w:t>s</w:t>
      </w:r>
      <w:r>
        <w:rPr>
          <w:color w:val="000000"/>
          <w:spacing w:val="-1"/>
        </w:rPr>
        <w:t>a</w:t>
      </w:r>
      <w:r>
        <w:rPr>
          <w:color w:val="000000"/>
        </w:rPr>
        <w:t>, p</w:t>
      </w:r>
      <w:r>
        <w:rPr>
          <w:color w:val="000000"/>
          <w:spacing w:val="-1"/>
        </w:rPr>
        <w:t>a</w:t>
      </w:r>
      <w:r>
        <w:rPr>
          <w:color w:val="000000"/>
          <w:spacing w:val="-2"/>
        </w:rPr>
        <w:t>s</w:t>
      </w:r>
      <w:r>
        <w:rPr>
          <w:color w:val="000000"/>
          <w:spacing w:val="5"/>
        </w:rPr>
        <w:t>t</w:t>
      </w:r>
      <w:r>
        <w:rPr>
          <w:color w:val="000000"/>
          <w:spacing w:val="-1"/>
        </w:rPr>
        <w:t>a</w:t>
      </w:r>
      <w:r>
        <w:rPr>
          <w:color w:val="000000"/>
          <w:spacing w:val="-3"/>
        </w:rPr>
        <w:t>r</w:t>
      </w:r>
      <w:r>
        <w:rPr>
          <w:color w:val="000000"/>
          <w:spacing w:val="5"/>
        </w:rPr>
        <w:t>o</w:t>
      </w:r>
      <w:r>
        <w:rPr>
          <w:color w:val="000000"/>
          <w:spacing w:val="2"/>
        </w:rPr>
        <w:t>s</w:t>
      </w:r>
      <w:r>
        <w:rPr>
          <w:color w:val="000000"/>
          <w:spacing w:val="-9"/>
        </w:rPr>
        <w:t>i</w:t>
      </w:r>
      <w:r>
        <w:rPr>
          <w:color w:val="000000"/>
          <w:spacing w:val="5"/>
        </w:rPr>
        <w:t>o</w:t>
      </w:r>
      <w:r>
        <w:rPr>
          <w:color w:val="000000"/>
        </w:rPr>
        <w:t xml:space="preserve">s  </w:t>
      </w:r>
      <w:r>
        <w:rPr>
          <w:color w:val="000000"/>
          <w:spacing w:val="58"/>
        </w:rPr>
        <w:t xml:space="preserve"> </w:t>
      </w:r>
      <w:r>
        <w:rPr>
          <w:color w:val="000000"/>
        </w:rPr>
        <w:t xml:space="preserve">dvi    </w:t>
      </w:r>
      <w:r>
        <w:rPr>
          <w:color w:val="000000"/>
          <w:spacing w:val="-5"/>
        </w:rPr>
        <w:t>y</w:t>
      </w:r>
      <w:r>
        <w:rPr>
          <w:color w:val="000000"/>
          <w:spacing w:val="1"/>
        </w:rPr>
        <w:t>r</w:t>
      </w:r>
      <w:r>
        <w:rPr>
          <w:color w:val="000000"/>
        </w:rPr>
        <w:t xml:space="preserve">a   </w:t>
      </w:r>
      <w:r>
        <w:rPr>
          <w:color w:val="000000"/>
          <w:spacing w:val="4"/>
        </w:rPr>
        <w:t xml:space="preserve"> </w:t>
      </w:r>
      <w:r>
        <w:rPr>
          <w:color w:val="000000"/>
          <w:spacing w:val="-9"/>
        </w:rPr>
        <w:t>į</w:t>
      </w:r>
      <w:r>
        <w:rPr>
          <w:color w:val="000000"/>
          <w:spacing w:val="5"/>
        </w:rPr>
        <w:t>t</w:t>
      </w:r>
      <w:r>
        <w:rPr>
          <w:color w:val="000000"/>
          <w:spacing w:val="1"/>
        </w:rPr>
        <w:t>r</w:t>
      </w:r>
      <w:r>
        <w:rPr>
          <w:color w:val="000000"/>
          <w:spacing w:val="-1"/>
        </w:rPr>
        <w:t>a</w:t>
      </w:r>
      <w:r>
        <w:rPr>
          <w:color w:val="000000"/>
        </w:rPr>
        <w:t>ukt</w:t>
      </w:r>
      <w:r>
        <w:rPr>
          <w:color w:val="000000"/>
          <w:spacing w:val="5"/>
        </w:rPr>
        <w:t>o</w:t>
      </w:r>
      <w:r>
        <w:rPr>
          <w:color w:val="000000"/>
        </w:rPr>
        <w:t xml:space="preserve">s   </w:t>
      </w:r>
      <w:r>
        <w:rPr>
          <w:color w:val="000000"/>
          <w:spacing w:val="2"/>
        </w:rPr>
        <w:t xml:space="preserve"> </w:t>
      </w:r>
      <w:r>
        <w:rPr>
          <w:color w:val="000000"/>
        </w:rPr>
        <w:t xml:space="preserve">į  </w:t>
      </w:r>
      <w:r>
        <w:rPr>
          <w:color w:val="000000"/>
          <w:spacing w:val="55"/>
        </w:rPr>
        <w:t xml:space="preserve"> </w:t>
      </w:r>
      <w:r>
        <w:rPr>
          <w:color w:val="000000"/>
          <w:spacing w:val="-6"/>
        </w:rPr>
        <w:t>„</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 xml:space="preserve">s  </w:t>
      </w:r>
      <w:r>
        <w:rPr>
          <w:color w:val="000000"/>
          <w:spacing w:val="58"/>
        </w:rPr>
        <w:t xml:space="preserve"> </w:t>
      </w:r>
      <w:r>
        <w:rPr>
          <w:color w:val="000000"/>
          <w:spacing w:val="1"/>
        </w:rPr>
        <w:t>S</w:t>
      </w:r>
      <w:r>
        <w:rPr>
          <w:color w:val="000000"/>
          <w:spacing w:val="4"/>
        </w:rPr>
        <w:t>ą</w:t>
      </w:r>
      <w:r>
        <w:rPr>
          <w:color w:val="000000"/>
          <w:spacing w:val="-9"/>
        </w:rPr>
        <w:t>j</w:t>
      </w:r>
      <w:r>
        <w:rPr>
          <w:color w:val="000000"/>
          <w:spacing w:val="5"/>
        </w:rPr>
        <w:t>u</w:t>
      </w:r>
      <w:r>
        <w:rPr>
          <w:color w:val="000000"/>
          <w:spacing w:val="-5"/>
        </w:rPr>
        <w:t>n</w:t>
      </w:r>
      <w:r>
        <w:rPr>
          <w:color w:val="000000"/>
        </w:rPr>
        <w:t>g</w:t>
      </w:r>
      <w:r>
        <w:rPr>
          <w:color w:val="000000"/>
          <w:spacing w:val="5"/>
        </w:rPr>
        <w:t>o</w:t>
      </w:r>
      <w:r>
        <w:rPr>
          <w:color w:val="000000"/>
        </w:rPr>
        <w:t>s</w:t>
      </w:r>
    </w:p>
    <w:p w:rsidR="004F7425" w:rsidRDefault="004F7425" w:rsidP="004F7425">
      <w:pPr>
        <w:widowControl w:val="0"/>
        <w:autoSpaceDE w:val="0"/>
        <w:autoSpaceDN w:val="0"/>
        <w:adjustRightInd w:val="0"/>
        <w:spacing w:before="1"/>
        <w:ind w:left="120" w:right="70"/>
        <w:jc w:val="both"/>
        <w:rPr>
          <w:color w:val="000000"/>
        </w:rPr>
      </w:pPr>
      <w:r>
        <w:rPr>
          <w:color w:val="000000"/>
          <w:spacing w:val="-2"/>
        </w:rPr>
        <w:t>s</w:t>
      </w:r>
      <w:r>
        <w:rPr>
          <w:color w:val="000000"/>
          <w:spacing w:val="4"/>
        </w:rPr>
        <w:t>a</w:t>
      </w:r>
      <w:r>
        <w:rPr>
          <w:color w:val="000000"/>
          <w:spacing w:val="-5"/>
        </w:rPr>
        <w:t>v</w:t>
      </w:r>
      <w:r>
        <w:rPr>
          <w:color w:val="000000"/>
          <w:spacing w:val="4"/>
        </w:rPr>
        <w:t>a</w:t>
      </w:r>
      <w:r>
        <w:rPr>
          <w:color w:val="000000"/>
          <w:spacing w:val="-5"/>
        </w:rPr>
        <w:t>n</w:t>
      </w:r>
      <w:r>
        <w:rPr>
          <w:color w:val="000000"/>
          <w:spacing w:val="5"/>
        </w:rPr>
        <w:t>o</w:t>
      </w:r>
      <w:r>
        <w:rPr>
          <w:color w:val="000000"/>
          <w:spacing w:val="1"/>
        </w:rPr>
        <w:t>r</w:t>
      </w:r>
      <w:r>
        <w:rPr>
          <w:color w:val="000000"/>
          <w:spacing w:val="-4"/>
        </w:rPr>
        <w:t>i</w:t>
      </w:r>
      <w:r>
        <w:rPr>
          <w:color w:val="000000"/>
          <w:spacing w:val="-2"/>
        </w:rPr>
        <w:t>š</w:t>
      </w:r>
      <w:r>
        <w:rPr>
          <w:color w:val="000000"/>
        </w:rPr>
        <w:t>k</w:t>
      </w:r>
      <w:r>
        <w:rPr>
          <w:color w:val="000000"/>
          <w:spacing w:val="5"/>
        </w:rPr>
        <w:t>o</w:t>
      </w:r>
      <w:r>
        <w:rPr>
          <w:color w:val="000000"/>
        </w:rPr>
        <w:t>s</w:t>
      </w:r>
      <w:r>
        <w:rPr>
          <w:color w:val="000000"/>
          <w:spacing w:val="38"/>
        </w:rPr>
        <w:t xml:space="preserve"> </w:t>
      </w:r>
      <w:r>
        <w:rPr>
          <w:color w:val="000000"/>
          <w:spacing w:val="-2"/>
        </w:rPr>
        <w:t>s</w:t>
      </w:r>
      <w:r>
        <w:rPr>
          <w:color w:val="000000"/>
          <w:spacing w:val="5"/>
        </w:rPr>
        <w:t>t</w:t>
      </w:r>
      <w:r>
        <w:rPr>
          <w:color w:val="000000"/>
          <w:spacing w:val="-1"/>
        </w:rPr>
        <w:t>e</w:t>
      </w:r>
      <w:r>
        <w:rPr>
          <w:color w:val="000000"/>
          <w:spacing w:val="-5"/>
        </w:rPr>
        <w:t>b</w:t>
      </w:r>
      <w:r>
        <w:rPr>
          <w:color w:val="000000"/>
          <w:spacing w:val="-1"/>
        </w:rPr>
        <w:t>ė</w:t>
      </w:r>
      <w:r>
        <w:rPr>
          <w:color w:val="000000"/>
          <w:spacing w:val="-2"/>
        </w:rPr>
        <w:t>s</w:t>
      </w:r>
      <w:r>
        <w:rPr>
          <w:color w:val="000000"/>
          <w:spacing w:val="4"/>
        </w:rPr>
        <w:t>e</w:t>
      </w:r>
      <w:r>
        <w:rPr>
          <w:color w:val="000000"/>
          <w:spacing w:val="-5"/>
        </w:rPr>
        <w:t>n</w:t>
      </w:r>
      <w:r>
        <w:rPr>
          <w:color w:val="000000"/>
          <w:spacing w:val="5"/>
        </w:rPr>
        <w:t>o</w:t>
      </w:r>
      <w:r>
        <w:rPr>
          <w:color w:val="000000"/>
        </w:rPr>
        <w:t>s</w:t>
      </w:r>
      <w:r>
        <w:rPr>
          <w:color w:val="000000"/>
          <w:spacing w:val="38"/>
        </w:rPr>
        <w:t xml:space="preserve"> </w:t>
      </w:r>
      <w:r>
        <w:rPr>
          <w:color w:val="000000"/>
          <w:spacing w:val="-2"/>
        </w:rPr>
        <w:t>s</w:t>
      </w:r>
      <w:r>
        <w:rPr>
          <w:color w:val="000000"/>
          <w:spacing w:val="-1"/>
        </w:rPr>
        <w:t>ą</w:t>
      </w:r>
      <w:r>
        <w:rPr>
          <w:color w:val="000000"/>
          <w:spacing w:val="1"/>
        </w:rPr>
        <w:t>r</w:t>
      </w:r>
      <w:r>
        <w:rPr>
          <w:color w:val="000000"/>
          <w:spacing w:val="-1"/>
        </w:rPr>
        <w:t>a</w:t>
      </w:r>
      <w:r>
        <w:rPr>
          <w:color w:val="000000"/>
          <w:spacing w:val="2"/>
        </w:rPr>
        <w:t>š</w:t>
      </w:r>
      <w:r>
        <w:rPr>
          <w:color w:val="000000"/>
          <w:spacing w:val="4"/>
        </w:rPr>
        <w:t>ą</w:t>
      </w:r>
      <w:r>
        <w:rPr>
          <w:color w:val="000000"/>
          <w:spacing w:val="-6"/>
        </w:rPr>
        <w:t>“</w:t>
      </w:r>
      <w:r>
        <w:rPr>
          <w:color w:val="000000"/>
        </w:rPr>
        <w:t>.</w:t>
      </w:r>
      <w:r>
        <w:rPr>
          <w:color w:val="000000"/>
          <w:spacing w:val="43"/>
        </w:rPr>
        <w:t xml:space="preserve"> </w:t>
      </w:r>
      <w:r>
        <w:rPr>
          <w:color w:val="000000"/>
        </w:rPr>
        <w:t>O</w:t>
      </w:r>
      <w:r>
        <w:rPr>
          <w:color w:val="000000"/>
          <w:spacing w:val="40"/>
        </w:rPr>
        <w:t xml:space="preserve"> </w:t>
      </w:r>
      <w:r>
        <w:rPr>
          <w:color w:val="000000"/>
          <w:spacing w:val="5"/>
        </w:rPr>
        <w:t>t</w:t>
      </w:r>
      <w:r>
        <w:rPr>
          <w:color w:val="000000"/>
          <w:spacing w:val="-1"/>
        </w:rPr>
        <w:t>a</w:t>
      </w:r>
      <w:r>
        <w:rPr>
          <w:color w:val="000000"/>
        </w:rPr>
        <w:t>i</w:t>
      </w:r>
      <w:r>
        <w:rPr>
          <w:color w:val="000000"/>
          <w:spacing w:val="31"/>
        </w:rPr>
        <w:t xml:space="preserve"> </w:t>
      </w:r>
      <w:r>
        <w:rPr>
          <w:color w:val="000000"/>
          <w:spacing w:val="1"/>
        </w:rPr>
        <w:t>r</w:t>
      </w:r>
      <w:r>
        <w:rPr>
          <w:color w:val="000000"/>
          <w:spacing w:val="4"/>
        </w:rPr>
        <w:t>e</w:t>
      </w:r>
      <w:r>
        <w:rPr>
          <w:color w:val="000000"/>
          <w:spacing w:val="-4"/>
        </w:rPr>
        <w:t>i</w:t>
      </w:r>
      <w:r>
        <w:rPr>
          <w:color w:val="000000"/>
          <w:spacing w:val="-2"/>
        </w:rPr>
        <w:t>š</w:t>
      </w:r>
      <w:r>
        <w:rPr>
          <w:color w:val="000000"/>
          <w:spacing w:val="5"/>
        </w:rPr>
        <w:t>k</w:t>
      </w:r>
      <w:r>
        <w:rPr>
          <w:color w:val="000000"/>
          <w:spacing w:val="-4"/>
        </w:rPr>
        <w:t>i</w:t>
      </w:r>
      <w:r>
        <w:rPr>
          <w:color w:val="000000"/>
          <w:spacing w:val="-1"/>
        </w:rPr>
        <w:t>a</w:t>
      </w:r>
      <w:r>
        <w:rPr>
          <w:color w:val="000000"/>
        </w:rPr>
        <w:t>,</w:t>
      </w:r>
      <w:r>
        <w:rPr>
          <w:color w:val="000000"/>
          <w:spacing w:val="43"/>
        </w:rPr>
        <w:t xml:space="preserve"> </w:t>
      </w:r>
      <w:r>
        <w:rPr>
          <w:color w:val="000000"/>
        </w:rPr>
        <w:t>k</w:t>
      </w:r>
      <w:r>
        <w:rPr>
          <w:color w:val="000000"/>
          <w:spacing w:val="-1"/>
        </w:rPr>
        <w:t>a</w:t>
      </w:r>
      <w:r>
        <w:rPr>
          <w:color w:val="000000"/>
        </w:rPr>
        <w:t>d</w:t>
      </w:r>
      <w:r>
        <w:rPr>
          <w:color w:val="000000"/>
          <w:spacing w:val="41"/>
        </w:rPr>
        <w:t xml:space="preserve"> </w:t>
      </w:r>
      <w:r>
        <w:rPr>
          <w:color w:val="000000"/>
        </w:rPr>
        <w:t>ū</w:t>
      </w:r>
      <w:r>
        <w:rPr>
          <w:color w:val="000000"/>
          <w:spacing w:val="5"/>
        </w:rPr>
        <w:t>k</w:t>
      </w:r>
      <w:r>
        <w:rPr>
          <w:color w:val="000000"/>
          <w:spacing w:val="-9"/>
        </w:rPr>
        <w:t>i</w:t>
      </w:r>
      <w:r>
        <w:rPr>
          <w:color w:val="000000"/>
        </w:rPr>
        <w:t>o</w:t>
      </w:r>
      <w:r>
        <w:rPr>
          <w:color w:val="000000"/>
          <w:spacing w:val="45"/>
        </w:rPr>
        <w:t xml:space="preserve"> </w:t>
      </w:r>
      <w:r>
        <w:rPr>
          <w:color w:val="000000"/>
          <w:spacing w:val="-2"/>
        </w:rPr>
        <w:t>s</w:t>
      </w:r>
      <w:r>
        <w:rPr>
          <w:color w:val="000000"/>
        </w:rPr>
        <w:t>ub</w:t>
      </w:r>
      <w:r>
        <w:rPr>
          <w:color w:val="000000"/>
          <w:spacing w:val="-4"/>
        </w:rPr>
        <w:t>j</w:t>
      </w:r>
      <w:r>
        <w:rPr>
          <w:color w:val="000000"/>
          <w:spacing w:val="-1"/>
        </w:rPr>
        <w:t>e</w:t>
      </w:r>
      <w:r>
        <w:rPr>
          <w:color w:val="000000"/>
        </w:rPr>
        <w:t>k</w:t>
      </w:r>
      <w:r>
        <w:rPr>
          <w:color w:val="000000"/>
          <w:spacing w:val="5"/>
        </w:rPr>
        <w:t>t</w:t>
      </w:r>
      <w:r>
        <w:rPr>
          <w:color w:val="000000"/>
          <w:spacing w:val="4"/>
        </w:rPr>
        <w:t>a</w:t>
      </w:r>
      <w:r>
        <w:rPr>
          <w:color w:val="000000"/>
        </w:rPr>
        <w:t>i</w:t>
      </w:r>
      <w:r>
        <w:rPr>
          <w:color w:val="000000"/>
          <w:spacing w:val="31"/>
        </w:rPr>
        <w:t xml:space="preserve"> </w:t>
      </w:r>
      <w:r>
        <w:rPr>
          <w:color w:val="000000"/>
          <w:spacing w:val="1"/>
        </w:rPr>
        <w:t>r</w:t>
      </w:r>
      <w:r>
        <w:rPr>
          <w:color w:val="000000"/>
          <w:spacing w:val="-1"/>
        </w:rPr>
        <w:t>a</w:t>
      </w:r>
      <w:r>
        <w:rPr>
          <w:color w:val="000000"/>
          <w:spacing w:val="5"/>
        </w:rPr>
        <w:t>g</w:t>
      </w:r>
      <w:r>
        <w:rPr>
          <w:color w:val="000000"/>
          <w:spacing w:val="-4"/>
        </w:rPr>
        <w:t>i</w:t>
      </w:r>
      <w:r>
        <w:rPr>
          <w:color w:val="000000"/>
        </w:rPr>
        <w:t>n</w:t>
      </w:r>
      <w:r>
        <w:rPr>
          <w:color w:val="000000"/>
          <w:spacing w:val="4"/>
        </w:rPr>
        <w:t>a</w:t>
      </w:r>
      <w:r>
        <w:rPr>
          <w:color w:val="000000"/>
          <w:spacing w:val="-4"/>
        </w:rPr>
        <w:t>m</w:t>
      </w:r>
      <w:r>
        <w:rPr>
          <w:color w:val="000000"/>
        </w:rPr>
        <w:t>i</w:t>
      </w:r>
      <w:r>
        <w:rPr>
          <w:color w:val="000000"/>
          <w:spacing w:val="41"/>
        </w:rPr>
        <w:t xml:space="preserve"> </w:t>
      </w:r>
      <w:r>
        <w:rPr>
          <w:color w:val="000000"/>
          <w:spacing w:val="-2"/>
        </w:rPr>
        <w:t>s</w:t>
      </w:r>
      <w:r>
        <w:rPr>
          <w:color w:val="000000"/>
          <w:spacing w:val="4"/>
        </w:rPr>
        <w:t>a</w:t>
      </w:r>
      <w:r>
        <w:rPr>
          <w:color w:val="000000"/>
          <w:spacing w:val="-5"/>
        </w:rPr>
        <w:t>v</w:t>
      </w:r>
      <w:r>
        <w:rPr>
          <w:color w:val="000000"/>
        </w:rPr>
        <w:t>o</w:t>
      </w:r>
      <w:r>
        <w:rPr>
          <w:color w:val="000000"/>
          <w:spacing w:val="45"/>
        </w:rPr>
        <w:t xml:space="preserve"> </w:t>
      </w:r>
      <w:r>
        <w:rPr>
          <w:color w:val="000000"/>
          <w:spacing w:val="-5"/>
        </w:rPr>
        <w:t>n</w:t>
      </w:r>
      <w:r>
        <w:rPr>
          <w:color w:val="000000"/>
          <w:spacing w:val="5"/>
        </w:rPr>
        <w:t>o</w:t>
      </w:r>
      <w:r>
        <w:rPr>
          <w:color w:val="000000"/>
          <w:spacing w:val="1"/>
        </w:rPr>
        <w:t>r</w:t>
      </w:r>
      <w:r>
        <w:rPr>
          <w:color w:val="000000"/>
        </w:rPr>
        <w:t>u</w:t>
      </w:r>
      <w:r>
        <w:rPr>
          <w:color w:val="000000"/>
          <w:spacing w:val="41"/>
        </w:rPr>
        <w:t xml:space="preserve"> </w:t>
      </w:r>
      <w:r>
        <w:rPr>
          <w:color w:val="000000"/>
          <w:spacing w:val="-7"/>
        </w:rPr>
        <w:t>s</w:t>
      </w:r>
      <w:r>
        <w:rPr>
          <w:color w:val="000000"/>
          <w:spacing w:val="5"/>
        </w:rPr>
        <w:t>t</w:t>
      </w:r>
      <w:r>
        <w:rPr>
          <w:color w:val="000000"/>
          <w:spacing w:val="-1"/>
        </w:rPr>
        <w:t>e</w:t>
      </w:r>
      <w:r>
        <w:rPr>
          <w:color w:val="000000"/>
          <w:spacing w:val="-5"/>
        </w:rPr>
        <w:t>b</w:t>
      </w:r>
      <w:r>
        <w:rPr>
          <w:color w:val="000000"/>
          <w:spacing w:val="-1"/>
        </w:rPr>
        <w:t>ė</w:t>
      </w:r>
      <w:r>
        <w:rPr>
          <w:color w:val="000000"/>
          <w:spacing w:val="5"/>
        </w:rPr>
        <w:t>t</w:t>
      </w:r>
      <w:r>
        <w:rPr>
          <w:color w:val="000000"/>
        </w:rPr>
        <w:t>i</w:t>
      </w:r>
      <w:r>
        <w:rPr>
          <w:color w:val="000000"/>
          <w:spacing w:val="36"/>
        </w:rPr>
        <w:t xml:space="preserve"> </w:t>
      </w:r>
      <w:r>
        <w:rPr>
          <w:color w:val="000000"/>
          <w:spacing w:val="-2"/>
        </w:rPr>
        <w:t>s</w:t>
      </w:r>
      <w:r>
        <w:rPr>
          <w:color w:val="000000"/>
        </w:rPr>
        <w:t xml:space="preserve">u </w:t>
      </w:r>
      <w:r>
        <w:rPr>
          <w:color w:val="000000"/>
          <w:spacing w:val="-9"/>
        </w:rPr>
        <w:t>j</w:t>
      </w:r>
      <w:r>
        <w:rPr>
          <w:color w:val="000000"/>
          <w:spacing w:val="9"/>
        </w:rPr>
        <w:t>o</w:t>
      </w:r>
      <w:r>
        <w:rPr>
          <w:color w:val="000000"/>
        </w:rPr>
        <w:t>m</w:t>
      </w:r>
      <w:r>
        <w:rPr>
          <w:color w:val="000000"/>
          <w:spacing w:val="-4"/>
        </w:rPr>
        <w:t>i</w:t>
      </w:r>
      <w:r>
        <w:rPr>
          <w:color w:val="000000"/>
        </w:rPr>
        <w:t>s</w:t>
      </w:r>
      <w:r>
        <w:rPr>
          <w:color w:val="000000"/>
          <w:spacing w:val="9"/>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spacing w:val="5"/>
        </w:rPr>
        <w:t>u</w:t>
      </w:r>
      <w:r>
        <w:rPr>
          <w:color w:val="000000"/>
          <w:spacing w:val="2"/>
        </w:rPr>
        <w:t>s</w:t>
      </w:r>
      <w:r>
        <w:rPr>
          <w:color w:val="000000"/>
          <w:spacing w:val="-4"/>
        </w:rPr>
        <w:t>i</w:t>
      </w:r>
      <w:r>
        <w:rPr>
          <w:color w:val="000000"/>
        </w:rPr>
        <w:t>us</w:t>
      </w:r>
      <w:r>
        <w:rPr>
          <w:color w:val="000000"/>
          <w:spacing w:val="10"/>
        </w:rPr>
        <w:t xml:space="preserve"> </w:t>
      </w:r>
      <w:r>
        <w:rPr>
          <w:color w:val="000000"/>
          <w:spacing w:val="-2"/>
        </w:rPr>
        <w:t>s</w:t>
      </w:r>
      <w:r>
        <w:rPr>
          <w:color w:val="000000"/>
          <w:spacing w:val="4"/>
        </w:rPr>
        <w:t>a</w:t>
      </w:r>
      <w:r>
        <w:rPr>
          <w:color w:val="000000"/>
          <w:spacing w:val="-5"/>
        </w:rPr>
        <w:t>n</w:t>
      </w:r>
      <w:r>
        <w:rPr>
          <w:color w:val="000000"/>
        </w:rPr>
        <w:t>d</w:t>
      </w:r>
      <w:r>
        <w:rPr>
          <w:color w:val="000000"/>
          <w:spacing w:val="5"/>
        </w:rPr>
        <w:t>o</w:t>
      </w:r>
      <w:r>
        <w:rPr>
          <w:color w:val="000000"/>
          <w:spacing w:val="6"/>
        </w:rPr>
        <w:t>r</w:t>
      </w:r>
      <w:r>
        <w:rPr>
          <w:color w:val="000000"/>
          <w:spacing w:val="-9"/>
        </w:rPr>
        <w:t>i</w:t>
      </w:r>
      <w:r>
        <w:rPr>
          <w:color w:val="000000"/>
        </w:rPr>
        <w:t>us</w:t>
      </w:r>
      <w:r>
        <w:rPr>
          <w:color w:val="000000"/>
          <w:spacing w:val="10"/>
        </w:rPr>
        <w:t xml:space="preserve"> </w:t>
      </w:r>
      <w:r>
        <w:rPr>
          <w:color w:val="000000"/>
          <w:spacing w:val="-4"/>
        </w:rPr>
        <w:t>i</w:t>
      </w:r>
      <w:r>
        <w:rPr>
          <w:color w:val="000000"/>
        </w:rPr>
        <w:t>r</w:t>
      </w:r>
      <w:r>
        <w:rPr>
          <w:color w:val="000000"/>
          <w:spacing w:val="13"/>
        </w:rPr>
        <w:t xml:space="preserve"> </w:t>
      </w:r>
      <w:r>
        <w:rPr>
          <w:color w:val="000000"/>
          <w:spacing w:val="-1"/>
        </w:rPr>
        <w:t>e</w:t>
      </w:r>
      <w:r>
        <w:rPr>
          <w:color w:val="000000"/>
          <w:spacing w:val="-2"/>
        </w:rPr>
        <w:t>s</w:t>
      </w:r>
      <w:r>
        <w:rPr>
          <w:color w:val="000000"/>
          <w:spacing w:val="4"/>
        </w:rPr>
        <w:t>a</w:t>
      </w:r>
      <w:r>
        <w:rPr>
          <w:color w:val="000000"/>
          <w:spacing w:val="-5"/>
        </w:rPr>
        <w:t>n</w:t>
      </w:r>
      <w:r>
        <w:rPr>
          <w:color w:val="000000"/>
        </w:rPr>
        <w:t>t</w:t>
      </w:r>
      <w:r>
        <w:rPr>
          <w:color w:val="000000"/>
          <w:spacing w:val="12"/>
        </w:rPr>
        <w:t xml:space="preserve"> </w:t>
      </w:r>
      <w:r>
        <w:rPr>
          <w:color w:val="000000"/>
        </w:rPr>
        <w:t>p</w:t>
      </w:r>
      <w:r>
        <w:rPr>
          <w:color w:val="000000"/>
          <w:spacing w:val="-1"/>
        </w:rPr>
        <w:t>a</w:t>
      </w:r>
      <w:r>
        <w:rPr>
          <w:color w:val="000000"/>
        </w:rPr>
        <w:t>g</w:t>
      </w:r>
      <w:r>
        <w:rPr>
          <w:color w:val="000000"/>
          <w:spacing w:val="6"/>
        </w:rPr>
        <w:t>r</w:t>
      </w:r>
      <w:r>
        <w:rPr>
          <w:color w:val="000000"/>
          <w:spacing w:val="-4"/>
        </w:rPr>
        <w:t>i</w:t>
      </w:r>
      <w:r>
        <w:rPr>
          <w:color w:val="000000"/>
          <w:spacing w:val="-5"/>
        </w:rPr>
        <w:t>n</w:t>
      </w:r>
      <w:r>
        <w:rPr>
          <w:color w:val="000000"/>
        </w:rPr>
        <w:t>do</w:t>
      </w:r>
      <w:r>
        <w:rPr>
          <w:color w:val="000000"/>
          <w:spacing w:val="16"/>
        </w:rPr>
        <w:t xml:space="preserve"> </w:t>
      </w:r>
      <w:r>
        <w:rPr>
          <w:color w:val="000000"/>
          <w:spacing w:val="-9"/>
        </w:rPr>
        <w:t>į</w:t>
      </w:r>
      <w:r>
        <w:rPr>
          <w:color w:val="000000"/>
          <w:spacing w:val="5"/>
        </w:rPr>
        <w:t>t</w:t>
      </w:r>
      <w:r>
        <w:rPr>
          <w:color w:val="000000"/>
          <w:spacing w:val="-1"/>
        </w:rPr>
        <w:t>a</w:t>
      </w:r>
      <w:r>
        <w:rPr>
          <w:color w:val="000000"/>
          <w:spacing w:val="1"/>
        </w:rPr>
        <w:t>r</w:t>
      </w:r>
      <w:r>
        <w:rPr>
          <w:color w:val="000000"/>
          <w:spacing w:val="5"/>
        </w:rPr>
        <w:t>t</w:t>
      </w:r>
      <w:r>
        <w:rPr>
          <w:color w:val="000000"/>
          <w:spacing w:val="-9"/>
        </w:rPr>
        <w:t>i</w:t>
      </w:r>
      <w:r>
        <w:rPr>
          <w:color w:val="000000"/>
        </w:rPr>
        <w:t>,</w:t>
      </w:r>
      <w:r>
        <w:rPr>
          <w:color w:val="000000"/>
          <w:spacing w:val="14"/>
        </w:rPr>
        <w:t xml:space="preserve"> </w:t>
      </w:r>
      <w:r>
        <w:rPr>
          <w:color w:val="000000"/>
        </w:rPr>
        <w:t>k</w:t>
      </w:r>
      <w:r>
        <w:rPr>
          <w:color w:val="000000"/>
          <w:spacing w:val="-1"/>
        </w:rPr>
        <w:t>a</w:t>
      </w:r>
      <w:r>
        <w:rPr>
          <w:color w:val="000000"/>
        </w:rPr>
        <w:t>d</w:t>
      </w:r>
      <w:r>
        <w:rPr>
          <w:color w:val="000000"/>
          <w:spacing w:val="1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10"/>
        </w:rPr>
        <w:t xml:space="preserve"> </w:t>
      </w:r>
      <w:r>
        <w:rPr>
          <w:color w:val="000000"/>
          <w:spacing w:val="-4"/>
        </w:rPr>
        <w:t>i</w:t>
      </w:r>
      <w:r>
        <w:rPr>
          <w:color w:val="000000"/>
        </w:rPr>
        <w:t>š</w:t>
      </w:r>
      <w:r>
        <w:rPr>
          <w:color w:val="000000"/>
          <w:spacing w:val="14"/>
        </w:rPr>
        <w:t xml:space="preserve"> </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5"/>
        </w:rPr>
        <w:t>o</w:t>
      </w:r>
      <w:r>
        <w:rPr>
          <w:color w:val="000000"/>
        </w:rPr>
        <w:t>s</w:t>
      </w:r>
      <w:r>
        <w:rPr>
          <w:color w:val="000000"/>
          <w:spacing w:val="10"/>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rPr>
        <w:t>t</w:t>
      </w:r>
      <w:r>
        <w:rPr>
          <w:color w:val="000000"/>
          <w:spacing w:val="5"/>
        </w:rPr>
        <w:t>o</w:t>
      </w:r>
      <w:r>
        <w:rPr>
          <w:color w:val="000000"/>
        </w:rPr>
        <w:t>s</w:t>
      </w:r>
      <w:r>
        <w:rPr>
          <w:color w:val="000000"/>
          <w:spacing w:val="5"/>
        </w:rPr>
        <w:t xml:space="preserve"> </w:t>
      </w:r>
      <w:r>
        <w:rPr>
          <w:color w:val="000000"/>
        </w:rPr>
        <w:t>g</w:t>
      </w:r>
      <w:r>
        <w:rPr>
          <w:color w:val="000000"/>
          <w:spacing w:val="4"/>
        </w:rPr>
        <w:t>a</w:t>
      </w:r>
      <w:r>
        <w:rPr>
          <w:color w:val="000000"/>
          <w:spacing w:val="-4"/>
        </w:rPr>
        <w:t>l</w:t>
      </w:r>
      <w:r>
        <w:rPr>
          <w:color w:val="000000"/>
        </w:rPr>
        <w:t>i</w:t>
      </w:r>
      <w:r>
        <w:rPr>
          <w:color w:val="000000"/>
          <w:spacing w:val="7"/>
        </w:rPr>
        <w:t xml:space="preserve"> </w:t>
      </w:r>
      <w:r>
        <w:rPr>
          <w:color w:val="000000"/>
        </w:rPr>
        <w:t>nu</w:t>
      </w:r>
      <w:r>
        <w:rPr>
          <w:color w:val="000000"/>
          <w:spacing w:val="5"/>
        </w:rPr>
        <w:t>t</w:t>
      </w:r>
      <w:r>
        <w:rPr>
          <w:color w:val="000000"/>
          <w:spacing w:val="-1"/>
        </w:rPr>
        <w:t>e</w:t>
      </w:r>
      <w:r>
        <w:rPr>
          <w:color w:val="000000"/>
        </w:rPr>
        <w:t>k</w:t>
      </w:r>
      <w:r>
        <w:rPr>
          <w:color w:val="000000"/>
          <w:spacing w:val="-1"/>
        </w:rPr>
        <w:t>ė</w:t>
      </w:r>
      <w:r>
        <w:rPr>
          <w:color w:val="000000"/>
          <w:spacing w:val="5"/>
        </w:rPr>
        <w:t>t</w:t>
      </w:r>
      <w:r>
        <w:rPr>
          <w:color w:val="000000"/>
        </w:rPr>
        <w:t>i į</w:t>
      </w:r>
      <w:r>
        <w:rPr>
          <w:color w:val="000000"/>
          <w:spacing w:val="9"/>
        </w:rPr>
        <w:t xml:space="preserve"> </w:t>
      </w:r>
      <w:r>
        <w:rPr>
          <w:color w:val="000000"/>
          <w:spacing w:val="-5"/>
        </w:rPr>
        <w:t>n</w:t>
      </w:r>
      <w:r>
        <w:rPr>
          <w:color w:val="000000"/>
          <w:spacing w:val="4"/>
        </w:rPr>
        <w:t>e</w:t>
      </w:r>
      <w:r>
        <w:rPr>
          <w:color w:val="000000"/>
          <w:spacing w:val="-4"/>
        </w:rPr>
        <w:t>l</w:t>
      </w:r>
      <w:r>
        <w:rPr>
          <w:color w:val="000000"/>
          <w:spacing w:val="-1"/>
        </w:rPr>
        <w:t>e</w:t>
      </w:r>
      <w:r>
        <w:rPr>
          <w:color w:val="000000"/>
          <w:spacing w:val="5"/>
        </w:rPr>
        <w:t>g</w:t>
      </w:r>
      <w:r>
        <w:rPr>
          <w:color w:val="000000"/>
          <w:spacing w:val="4"/>
        </w:rPr>
        <w:t>a</w:t>
      </w:r>
      <w:r>
        <w:rPr>
          <w:color w:val="000000"/>
          <w:spacing w:val="-4"/>
        </w:rPr>
        <w:t>li</w:t>
      </w:r>
      <w:r>
        <w:rPr>
          <w:color w:val="000000"/>
          <w:spacing w:val="1"/>
        </w:rPr>
        <w:t>ą</w:t>
      </w:r>
      <w:r>
        <w:rPr>
          <w:color w:val="000000"/>
        </w:rPr>
        <w:t>,</w:t>
      </w:r>
      <w:r>
        <w:rPr>
          <w:color w:val="000000"/>
          <w:spacing w:val="16"/>
        </w:rPr>
        <w:t xml:space="preserve">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9"/>
        </w:rPr>
        <w:t>m</w:t>
      </w:r>
      <w:r>
        <w:rPr>
          <w:color w:val="000000"/>
        </w:rPr>
        <w:t>u</w:t>
      </w:r>
      <w:r>
        <w:rPr>
          <w:color w:val="000000"/>
          <w:spacing w:val="5"/>
        </w:rPr>
        <w:t>ot</w:t>
      </w:r>
      <w:r>
        <w:rPr>
          <w:color w:val="000000"/>
        </w:rPr>
        <w:t xml:space="preserve">i </w:t>
      </w:r>
      <w:r>
        <w:rPr>
          <w:color w:val="000000"/>
          <w:spacing w:val="-1"/>
        </w:rPr>
        <w:t>a</w:t>
      </w:r>
      <w:r>
        <w:rPr>
          <w:color w:val="000000"/>
          <w:spacing w:val="5"/>
        </w:rPr>
        <w:t>p</w:t>
      </w:r>
      <w:r>
        <w:rPr>
          <w:color w:val="000000"/>
          <w:spacing w:val="-4"/>
        </w:rPr>
        <w:t>i</w:t>
      </w:r>
      <w:r>
        <w:rPr>
          <w:color w:val="000000"/>
        </w:rPr>
        <w:t>e</w:t>
      </w:r>
      <w:r>
        <w:rPr>
          <w:color w:val="000000"/>
          <w:spacing w:val="13"/>
        </w:rPr>
        <w:t xml:space="preserve"> </w:t>
      </w:r>
      <w:r>
        <w:rPr>
          <w:color w:val="000000"/>
          <w:spacing w:val="5"/>
        </w:rPr>
        <w:t>t</w:t>
      </w:r>
      <w:r>
        <w:rPr>
          <w:color w:val="000000"/>
          <w:spacing w:val="4"/>
        </w:rPr>
        <w:t>a</w:t>
      </w:r>
      <w:r>
        <w:rPr>
          <w:color w:val="000000"/>
        </w:rPr>
        <w:t xml:space="preserve">i </w:t>
      </w:r>
      <w:r>
        <w:rPr>
          <w:color w:val="000000"/>
          <w:spacing w:val="-1"/>
        </w:rPr>
        <w:t>a</w:t>
      </w:r>
      <w:r>
        <w:rPr>
          <w:color w:val="000000"/>
          <w:spacing w:val="5"/>
        </w:rPr>
        <w:t>t</w:t>
      </w:r>
      <w:r>
        <w:rPr>
          <w:color w:val="000000"/>
          <w:spacing w:val="-2"/>
        </w:rPr>
        <w:t>s</w:t>
      </w:r>
      <w:r>
        <w:rPr>
          <w:color w:val="000000"/>
          <w:spacing w:val="-1"/>
        </w:rPr>
        <w:t>a</w:t>
      </w:r>
      <w:r>
        <w:rPr>
          <w:color w:val="000000"/>
          <w:spacing w:val="5"/>
        </w:rPr>
        <w:t>k</w:t>
      </w:r>
      <w:r>
        <w:rPr>
          <w:color w:val="000000"/>
          <w:spacing w:val="-4"/>
        </w:rPr>
        <w:t>i</w:t>
      </w:r>
      <w:r>
        <w:rPr>
          <w:color w:val="000000"/>
          <w:spacing w:val="-5"/>
        </w:rPr>
        <w:t>n</w:t>
      </w:r>
      <w:r>
        <w:rPr>
          <w:color w:val="000000"/>
          <w:spacing w:val="5"/>
        </w:rPr>
        <w:t>g</w:t>
      </w:r>
      <w:r>
        <w:rPr>
          <w:color w:val="000000"/>
          <w:spacing w:val="-1"/>
        </w:rPr>
        <w:t>a</w:t>
      </w:r>
      <w:r>
        <w:rPr>
          <w:color w:val="000000"/>
        </w:rPr>
        <w:t>s</w:t>
      </w:r>
      <w:r>
        <w:rPr>
          <w:color w:val="000000"/>
          <w:spacing w:val="12"/>
        </w:rPr>
        <w:t xml:space="preserve"> </w:t>
      </w:r>
      <w:r>
        <w:rPr>
          <w:color w:val="000000"/>
          <w:spacing w:val="-4"/>
        </w:rPr>
        <w:t>i</w:t>
      </w:r>
      <w:r>
        <w:rPr>
          <w:color w:val="000000"/>
        </w:rPr>
        <w:t>n</w:t>
      </w:r>
      <w:r>
        <w:rPr>
          <w:color w:val="000000"/>
          <w:spacing w:val="-2"/>
        </w:rPr>
        <w:t>s</w:t>
      </w:r>
      <w:r>
        <w:rPr>
          <w:color w:val="000000"/>
          <w:spacing w:val="10"/>
        </w:rPr>
        <w:t>t</w:t>
      </w:r>
      <w:r>
        <w:rPr>
          <w:color w:val="000000"/>
          <w:spacing w:val="-4"/>
        </w:rPr>
        <w:t>i</w:t>
      </w:r>
      <w:r>
        <w:rPr>
          <w:color w:val="000000"/>
          <w:spacing w:val="5"/>
        </w:rPr>
        <w:t>t</w:t>
      </w:r>
      <w:r>
        <w:rPr>
          <w:color w:val="000000"/>
        </w:rPr>
        <w:t>u</w:t>
      </w:r>
      <w:r>
        <w:rPr>
          <w:color w:val="000000"/>
          <w:spacing w:val="-1"/>
        </w:rPr>
        <w:t>c</w:t>
      </w:r>
      <w:r>
        <w:rPr>
          <w:color w:val="000000"/>
          <w:spacing w:val="-4"/>
        </w:rPr>
        <w:t>ij</w:t>
      </w:r>
      <w:r>
        <w:rPr>
          <w:color w:val="000000"/>
          <w:spacing w:val="-1"/>
        </w:rPr>
        <w:t>a</w:t>
      </w:r>
      <w:r>
        <w:rPr>
          <w:color w:val="000000"/>
          <w:spacing w:val="-2"/>
        </w:rPr>
        <w:t>s</w:t>
      </w:r>
      <w:r>
        <w:rPr>
          <w:color w:val="000000"/>
        </w:rPr>
        <w:t>.</w:t>
      </w:r>
      <w:r>
        <w:rPr>
          <w:color w:val="000000"/>
          <w:spacing w:val="11"/>
        </w:rPr>
        <w:t xml:space="preserve"> </w:t>
      </w:r>
      <w:r>
        <w:rPr>
          <w:color w:val="000000"/>
          <w:spacing w:val="2"/>
        </w:rPr>
        <w:t>T</w:t>
      </w:r>
      <w:r>
        <w:rPr>
          <w:color w:val="000000"/>
          <w:spacing w:val="-1"/>
        </w:rPr>
        <w:t>a</w:t>
      </w:r>
      <w:r>
        <w:rPr>
          <w:color w:val="000000"/>
          <w:spacing w:val="4"/>
        </w:rPr>
        <w:t>č</w:t>
      </w:r>
      <w:r>
        <w:rPr>
          <w:color w:val="000000"/>
          <w:spacing w:val="-4"/>
        </w:rPr>
        <w:t>i</w:t>
      </w:r>
      <w:r>
        <w:rPr>
          <w:color w:val="000000"/>
          <w:spacing w:val="-1"/>
        </w:rPr>
        <w:t>a</w:t>
      </w:r>
      <w:r>
        <w:rPr>
          <w:color w:val="000000"/>
        </w:rPr>
        <w:t>u</w:t>
      </w:r>
      <w:r>
        <w:rPr>
          <w:color w:val="000000"/>
          <w:spacing w:val="9"/>
        </w:rPr>
        <w:t xml:space="preserve"> </w:t>
      </w:r>
      <w:r>
        <w:rPr>
          <w:color w:val="000000"/>
        </w:rPr>
        <w:t>ū</w:t>
      </w:r>
      <w:r>
        <w:rPr>
          <w:color w:val="000000"/>
          <w:spacing w:val="5"/>
        </w:rPr>
        <w:t>k</w:t>
      </w:r>
      <w:r>
        <w:rPr>
          <w:color w:val="000000"/>
          <w:spacing w:val="-9"/>
        </w:rPr>
        <w:t>i</w:t>
      </w:r>
      <w:r>
        <w:rPr>
          <w:color w:val="000000"/>
        </w:rPr>
        <w:t>o</w:t>
      </w:r>
      <w:r>
        <w:rPr>
          <w:color w:val="000000"/>
          <w:spacing w:val="18"/>
        </w:rPr>
        <w:t xml:space="preserve"> </w:t>
      </w:r>
      <w:r>
        <w:rPr>
          <w:color w:val="000000"/>
          <w:spacing w:val="-2"/>
        </w:rPr>
        <w:t>s</w:t>
      </w:r>
      <w:r>
        <w:rPr>
          <w:color w:val="000000"/>
          <w:spacing w:val="5"/>
        </w:rPr>
        <w:t>u</w:t>
      </w:r>
      <w:r>
        <w:rPr>
          <w:color w:val="000000"/>
        </w:rPr>
        <w:t>b</w:t>
      </w:r>
      <w:r>
        <w:rPr>
          <w:color w:val="000000"/>
          <w:spacing w:val="-4"/>
        </w:rPr>
        <w:t>j</w:t>
      </w:r>
      <w:r>
        <w:rPr>
          <w:color w:val="000000"/>
          <w:spacing w:val="-1"/>
        </w:rPr>
        <w:t>e</w:t>
      </w:r>
      <w:r>
        <w:rPr>
          <w:color w:val="000000"/>
        </w:rPr>
        <w:t>k</w:t>
      </w:r>
      <w:r>
        <w:rPr>
          <w:color w:val="000000"/>
          <w:spacing w:val="5"/>
        </w:rPr>
        <w:t>t</w:t>
      </w:r>
      <w:r>
        <w:rPr>
          <w:color w:val="000000"/>
          <w:spacing w:val="4"/>
        </w:rPr>
        <w:t>a</w:t>
      </w:r>
      <w:r>
        <w:rPr>
          <w:color w:val="000000"/>
          <w:spacing w:val="-9"/>
        </w:rPr>
        <w:t>m</w:t>
      </w:r>
      <w:r>
        <w:rPr>
          <w:color w:val="000000"/>
        </w:rPr>
        <w:t>s</w:t>
      </w:r>
      <w:r>
        <w:rPr>
          <w:color w:val="000000"/>
          <w:spacing w:val="12"/>
        </w:rPr>
        <w:t xml:space="preserve"> </w:t>
      </w:r>
      <w:r>
        <w:rPr>
          <w:color w:val="000000"/>
        </w:rPr>
        <w:t>n</w:t>
      </w:r>
      <w:r>
        <w:rPr>
          <w:color w:val="000000"/>
          <w:spacing w:val="4"/>
        </w:rPr>
        <w:t>e</w:t>
      </w:r>
      <w:r>
        <w:rPr>
          <w:color w:val="000000"/>
          <w:spacing w:val="-4"/>
        </w:rPr>
        <w:t>i</w:t>
      </w:r>
      <w:r>
        <w:rPr>
          <w:color w:val="000000"/>
        </w:rPr>
        <w:t>n</w:t>
      </w:r>
      <w:r>
        <w:rPr>
          <w:color w:val="000000"/>
          <w:spacing w:val="-8"/>
        </w:rPr>
        <w:t>f</w:t>
      </w:r>
      <w:r>
        <w:rPr>
          <w:color w:val="000000"/>
          <w:spacing w:val="5"/>
        </w:rPr>
        <w:t>o</w:t>
      </w:r>
      <w:r>
        <w:rPr>
          <w:color w:val="000000"/>
          <w:spacing w:val="6"/>
        </w:rPr>
        <w:t>r</w:t>
      </w:r>
      <w:r>
        <w:rPr>
          <w:color w:val="000000"/>
          <w:spacing w:val="-4"/>
        </w:rPr>
        <w:t>m</w:t>
      </w:r>
      <w:r>
        <w:rPr>
          <w:color w:val="000000"/>
          <w:spacing w:val="4"/>
        </w:rPr>
        <w:t>a</w:t>
      </w:r>
      <w:r>
        <w:rPr>
          <w:color w:val="000000"/>
          <w:spacing w:val="-5"/>
        </w:rPr>
        <w:t>v</w:t>
      </w:r>
      <w:r>
        <w:rPr>
          <w:color w:val="000000"/>
          <w:spacing w:val="5"/>
        </w:rPr>
        <w:t>u</w:t>
      </w:r>
      <w:r>
        <w:rPr>
          <w:color w:val="000000"/>
        </w:rPr>
        <w:t xml:space="preserve">s </w:t>
      </w:r>
      <w:r>
        <w:rPr>
          <w:color w:val="000000"/>
          <w:spacing w:val="-1"/>
        </w:rPr>
        <w:t>a</w:t>
      </w:r>
      <w:r>
        <w:rPr>
          <w:color w:val="000000"/>
          <w:spacing w:val="5"/>
        </w:rPr>
        <w:t>t</w:t>
      </w:r>
      <w:r>
        <w:rPr>
          <w:color w:val="000000"/>
          <w:spacing w:val="-2"/>
        </w:rPr>
        <w:t>s</w:t>
      </w:r>
      <w:r>
        <w:rPr>
          <w:color w:val="000000"/>
          <w:spacing w:val="-1"/>
        </w:rPr>
        <w:t>a</w:t>
      </w:r>
      <w:r>
        <w:rPr>
          <w:color w:val="000000"/>
          <w:spacing w:val="5"/>
        </w:rPr>
        <w:t>k</w:t>
      </w:r>
      <w:r>
        <w:rPr>
          <w:color w:val="000000"/>
          <w:spacing w:val="-4"/>
        </w:rPr>
        <w:t>i</w:t>
      </w:r>
      <w:r>
        <w:rPr>
          <w:color w:val="000000"/>
          <w:spacing w:val="-5"/>
        </w:rPr>
        <w:t>n</w:t>
      </w:r>
      <w:r>
        <w:rPr>
          <w:color w:val="000000"/>
        </w:rPr>
        <w:t>gų</w:t>
      </w:r>
      <w:r>
        <w:rPr>
          <w:color w:val="000000"/>
          <w:spacing w:val="41"/>
        </w:rPr>
        <w:t xml:space="preserve"> </w:t>
      </w:r>
      <w:r>
        <w:rPr>
          <w:color w:val="000000"/>
          <w:spacing w:val="-4"/>
        </w:rPr>
        <w:t>i</w:t>
      </w:r>
      <w:r>
        <w:rPr>
          <w:color w:val="000000"/>
          <w:spacing w:val="-5"/>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ij</w:t>
      </w:r>
      <w:r>
        <w:rPr>
          <w:color w:val="000000"/>
        </w:rPr>
        <w:t>ų</w:t>
      </w:r>
      <w:r>
        <w:rPr>
          <w:color w:val="000000"/>
          <w:spacing w:val="36"/>
        </w:rPr>
        <w:t xml:space="preserve"> </w:t>
      </w:r>
      <w:r>
        <w:rPr>
          <w:color w:val="000000"/>
          <w:spacing w:val="-1"/>
        </w:rPr>
        <w:t>a</w:t>
      </w:r>
      <w:r>
        <w:rPr>
          <w:color w:val="000000"/>
          <w:spacing w:val="5"/>
        </w:rPr>
        <w:t>p</w:t>
      </w:r>
      <w:r>
        <w:rPr>
          <w:color w:val="000000"/>
          <w:spacing w:val="-4"/>
        </w:rPr>
        <w:t>i</w:t>
      </w:r>
      <w:r>
        <w:rPr>
          <w:color w:val="000000"/>
        </w:rPr>
        <w:t>e</w:t>
      </w:r>
      <w:r>
        <w:rPr>
          <w:color w:val="000000"/>
          <w:spacing w:val="35"/>
        </w:rPr>
        <w:t xml:space="preserve"> </w:t>
      </w:r>
      <w:r>
        <w:rPr>
          <w:color w:val="000000"/>
        </w:rPr>
        <w:t>t</w:t>
      </w:r>
      <w:r>
        <w:rPr>
          <w:color w:val="000000"/>
          <w:spacing w:val="5"/>
        </w:rPr>
        <w:t>o</w:t>
      </w:r>
      <w:r>
        <w:rPr>
          <w:color w:val="000000"/>
        </w:rPr>
        <w:t>k</w:t>
      </w:r>
      <w:r>
        <w:rPr>
          <w:color w:val="000000"/>
          <w:spacing w:val="-9"/>
        </w:rPr>
        <w:t>i</w:t>
      </w:r>
      <w:r>
        <w:rPr>
          <w:color w:val="000000"/>
          <w:spacing w:val="5"/>
        </w:rPr>
        <w:t>u</w:t>
      </w:r>
      <w:r>
        <w:rPr>
          <w:color w:val="000000"/>
        </w:rPr>
        <w:t>s</w:t>
      </w:r>
      <w:r>
        <w:rPr>
          <w:color w:val="000000"/>
          <w:spacing w:val="34"/>
        </w:rPr>
        <w:t xml:space="preserve"> </w:t>
      </w:r>
      <w:r>
        <w:rPr>
          <w:color w:val="000000"/>
          <w:spacing w:val="-2"/>
        </w:rPr>
        <w:t>s</w:t>
      </w:r>
      <w:r>
        <w:rPr>
          <w:color w:val="000000"/>
          <w:spacing w:val="4"/>
        </w:rPr>
        <w:t>a</w:t>
      </w:r>
      <w:r>
        <w:rPr>
          <w:color w:val="000000"/>
          <w:spacing w:val="-5"/>
        </w:rPr>
        <w:t>n</w:t>
      </w:r>
      <w:r>
        <w:rPr>
          <w:color w:val="000000"/>
        </w:rPr>
        <w:t>d</w:t>
      </w:r>
      <w:r>
        <w:rPr>
          <w:color w:val="000000"/>
          <w:spacing w:val="5"/>
        </w:rPr>
        <w:t>o</w:t>
      </w:r>
      <w:r>
        <w:rPr>
          <w:color w:val="000000"/>
          <w:spacing w:val="1"/>
        </w:rPr>
        <w:t>r</w:t>
      </w:r>
      <w:r>
        <w:rPr>
          <w:color w:val="000000"/>
          <w:spacing w:val="-9"/>
        </w:rPr>
        <w:t>i</w:t>
      </w:r>
      <w:r>
        <w:rPr>
          <w:color w:val="000000"/>
          <w:spacing w:val="5"/>
        </w:rPr>
        <w:t>u</w:t>
      </w:r>
      <w:r>
        <w:rPr>
          <w:color w:val="000000"/>
          <w:spacing w:val="-2"/>
        </w:rPr>
        <w:t>s</w:t>
      </w:r>
      <w:r>
        <w:rPr>
          <w:color w:val="000000"/>
        </w:rPr>
        <w:t>,</w:t>
      </w:r>
      <w:r>
        <w:rPr>
          <w:color w:val="000000"/>
          <w:spacing w:val="38"/>
        </w:rPr>
        <w:t xml:space="preserve"> </w:t>
      </w:r>
      <w:r>
        <w:rPr>
          <w:color w:val="000000"/>
        </w:rPr>
        <w:t>k</w:t>
      </w:r>
      <w:r>
        <w:rPr>
          <w:color w:val="000000"/>
          <w:spacing w:val="5"/>
        </w:rPr>
        <w:t>o</w:t>
      </w:r>
      <w:r>
        <w:rPr>
          <w:color w:val="000000"/>
        </w:rPr>
        <w:t>l</w:t>
      </w:r>
      <w:r>
        <w:rPr>
          <w:color w:val="000000"/>
          <w:spacing w:val="27"/>
        </w:rPr>
        <w:t xml:space="preserve"> </w:t>
      </w:r>
      <w:r>
        <w:rPr>
          <w:color w:val="000000"/>
        </w:rPr>
        <w:t>k</w:t>
      </w:r>
      <w:r>
        <w:rPr>
          <w:color w:val="000000"/>
          <w:spacing w:val="-1"/>
        </w:rPr>
        <w:t>a</w:t>
      </w:r>
      <w:r>
        <w:rPr>
          <w:color w:val="000000"/>
        </w:rPr>
        <w:t>s</w:t>
      </w:r>
      <w:r>
        <w:rPr>
          <w:color w:val="000000"/>
          <w:spacing w:val="34"/>
        </w:rPr>
        <w:t xml:space="preserve"> </w:t>
      </w:r>
      <w:r>
        <w:rPr>
          <w:color w:val="000000"/>
          <w:spacing w:val="-5"/>
        </w:rPr>
        <w:t>n</w:t>
      </w:r>
      <w:r>
        <w:rPr>
          <w:color w:val="000000"/>
          <w:spacing w:val="-1"/>
        </w:rPr>
        <w:t>ė</w:t>
      </w:r>
      <w:r>
        <w:rPr>
          <w:color w:val="000000"/>
          <w:spacing w:val="1"/>
        </w:rPr>
        <w:t>r</w:t>
      </w:r>
      <w:r>
        <w:rPr>
          <w:color w:val="000000"/>
        </w:rPr>
        <w:t>a</w:t>
      </w:r>
      <w:r>
        <w:rPr>
          <w:color w:val="000000"/>
          <w:spacing w:val="35"/>
        </w:rPr>
        <w:t xml:space="preserve"> </w:t>
      </w:r>
      <w:r>
        <w:rPr>
          <w:color w:val="000000"/>
          <w:spacing w:val="4"/>
        </w:rPr>
        <w:t>e</w:t>
      </w:r>
      <w:r>
        <w:rPr>
          <w:color w:val="000000"/>
          <w:spacing w:val="-3"/>
        </w:rPr>
        <w:t>f</w:t>
      </w:r>
      <w:r>
        <w:rPr>
          <w:color w:val="000000"/>
          <w:spacing w:val="-1"/>
        </w:rPr>
        <w:t>e</w:t>
      </w:r>
      <w:r>
        <w:rPr>
          <w:color w:val="000000"/>
        </w:rPr>
        <w:t>k</w:t>
      </w:r>
      <w:r>
        <w:rPr>
          <w:color w:val="000000"/>
          <w:spacing w:val="10"/>
        </w:rPr>
        <w:t>t</w:t>
      </w:r>
      <w:r>
        <w:rPr>
          <w:color w:val="000000"/>
          <w:spacing w:val="-5"/>
        </w:rPr>
        <w:t>y</w:t>
      </w:r>
      <w:r>
        <w:rPr>
          <w:color w:val="000000"/>
        </w:rPr>
        <w:t>v</w:t>
      </w:r>
      <w:r>
        <w:rPr>
          <w:color w:val="000000"/>
          <w:spacing w:val="-4"/>
        </w:rPr>
        <w:t>i</w:t>
      </w:r>
      <w:r>
        <w:rPr>
          <w:color w:val="000000"/>
        </w:rPr>
        <w:t>ų</w:t>
      </w:r>
      <w:r>
        <w:rPr>
          <w:color w:val="000000"/>
          <w:spacing w:val="36"/>
        </w:rPr>
        <w:t xml:space="preserve"> </w:t>
      </w:r>
      <w:r>
        <w:rPr>
          <w:color w:val="000000"/>
          <w:spacing w:val="5"/>
        </w:rPr>
        <w:t>t</w:t>
      </w:r>
      <w:r>
        <w:rPr>
          <w:color w:val="000000"/>
          <w:spacing w:val="-1"/>
        </w:rPr>
        <w:t>e</w:t>
      </w:r>
      <w:r>
        <w:rPr>
          <w:color w:val="000000"/>
          <w:spacing w:val="-9"/>
        </w:rPr>
        <w:t>i</w:t>
      </w:r>
      <w:r>
        <w:rPr>
          <w:color w:val="000000"/>
          <w:spacing w:val="2"/>
        </w:rPr>
        <w:t>s</w:t>
      </w:r>
      <w:r>
        <w:rPr>
          <w:color w:val="000000"/>
          <w:spacing w:val="-4"/>
        </w:rPr>
        <w:t>i</w:t>
      </w:r>
      <w:r>
        <w:rPr>
          <w:color w:val="000000"/>
          <w:spacing w:val="5"/>
        </w:rPr>
        <w:t>n</w:t>
      </w:r>
      <w:r>
        <w:rPr>
          <w:color w:val="000000"/>
          <w:spacing w:val="-4"/>
        </w:rPr>
        <w:t>i</w:t>
      </w:r>
      <w:r>
        <w:rPr>
          <w:color w:val="000000"/>
        </w:rPr>
        <w:t>ų</w:t>
      </w:r>
      <w:r>
        <w:rPr>
          <w:color w:val="000000"/>
          <w:spacing w:val="41"/>
        </w:rPr>
        <w:t xml:space="preserve"> </w:t>
      </w:r>
      <w:r>
        <w:rPr>
          <w:color w:val="000000"/>
          <w:spacing w:val="-5"/>
        </w:rPr>
        <w:t>b</w:t>
      </w:r>
      <w:r>
        <w:rPr>
          <w:color w:val="000000"/>
        </w:rPr>
        <w:t>ūdų</w:t>
      </w:r>
      <w:r>
        <w:rPr>
          <w:color w:val="000000"/>
          <w:spacing w:val="36"/>
        </w:rPr>
        <w:t xml:space="preserve"> </w:t>
      </w:r>
      <w:r>
        <w:rPr>
          <w:color w:val="000000"/>
        </w:rPr>
        <w:t>p</w:t>
      </w:r>
      <w:r>
        <w:rPr>
          <w:color w:val="000000"/>
          <w:spacing w:val="6"/>
        </w:rPr>
        <w:t>r</w:t>
      </w:r>
      <w:r>
        <w:rPr>
          <w:color w:val="000000"/>
          <w:spacing w:val="-4"/>
        </w:rPr>
        <w:t>i</w:t>
      </w:r>
      <w:r>
        <w:rPr>
          <w:color w:val="000000"/>
          <w:spacing w:val="-5"/>
        </w:rPr>
        <w:t>v</w:t>
      </w:r>
      <w:r>
        <w:rPr>
          <w:color w:val="000000"/>
          <w:spacing w:val="-1"/>
        </w:rPr>
        <w:t>e</w:t>
      </w:r>
      <w:r>
        <w:rPr>
          <w:color w:val="000000"/>
          <w:spacing w:val="1"/>
        </w:rPr>
        <w:t>r</w:t>
      </w:r>
      <w:r>
        <w:rPr>
          <w:color w:val="000000"/>
          <w:spacing w:val="-2"/>
        </w:rPr>
        <w:t>s</w:t>
      </w:r>
      <w:r>
        <w:rPr>
          <w:color w:val="000000"/>
          <w:spacing w:val="10"/>
        </w:rPr>
        <w:t>t</w:t>
      </w:r>
      <w:r>
        <w:rPr>
          <w:color w:val="000000"/>
        </w:rPr>
        <w:t>i</w:t>
      </w:r>
      <w:r>
        <w:rPr>
          <w:color w:val="000000"/>
          <w:spacing w:val="31"/>
        </w:rPr>
        <w:t xml:space="preserve"> </w:t>
      </w:r>
      <w:r>
        <w:rPr>
          <w:color w:val="000000"/>
          <w:spacing w:val="-9"/>
        </w:rPr>
        <w:t>j</w:t>
      </w:r>
      <w:r>
        <w:rPr>
          <w:color w:val="000000"/>
        </w:rPr>
        <w:t>u</w:t>
      </w:r>
      <w:r>
        <w:rPr>
          <w:color w:val="000000"/>
          <w:spacing w:val="5"/>
        </w:rPr>
        <w:t>o</w:t>
      </w:r>
      <w:r>
        <w:rPr>
          <w:color w:val="000000"/>
        </w:rPr>
        <w:t>s</w:t>
      </w:r>
      <w:r>
        <w:rPr>
          <w:color w:val="000000"/>
          <w:spacing w:val="34"/>
        </w:rPr>
        <w:t xml:space="preserve"> </w:t>
      </w:r>
      <w:r>
        <w:rPr>
          <w:color w:val="000000"/>
          <w:spacing w:val="5"/>
        </w:rPr>
        <w:t>t</w:t>
      </w:r>
      <w:r>
        <w:rPr>
          <w:color w:val="000000"/>
          <w:spacing w:val="4"/>
        </w:rPr>
        <w:t>a</w:t>
      </w:r>
      <w:r>
        <w:rPr>
          <w:color w:val="000000"/>
        </w:rPr>
        <w:t>i d</w:t>
      </w:r>
      <w:r>
        <w:rPr>
          <w:color w:val="000000"/>
          <w:spacing w:val="-1"/>
        </w:rPr>
        <w:t>a</w:t>
      </w:r>
      <w:r>
        <w:rPr>
          <w:color w:val="000000"/>
          <w:spacing w:val="6"/>
        </w:rPr>
        <w:t>r</w:t>
      </w:r>
      <w:r>
        <w:rPr>
          <w:color w:val="000000"/>
          <w:spacing w:val="-10"/>
        </w:rPr>
        <w:t>y</w:t>
      </w:r>
      <w:r>
        <w:rPr>
          <w:color w:val="000000"/>
          <w:spacing w:val="10"/>
        </w:rPr>
        <w:t>t</w:t>
      </w:r>
      <w:r>
        <w:rPr>
          <w:color w:val="000000"/>
          <w:spacing w:val="-9"/>
        </w:rPr>
        <w:t>i</w:t>
      </w:r>
      <w:r>
        <w:rPr>
          <w:color w:val="000000"/>
        </w:rPr>
        <w:t>.</w:t>
      </w:r>
      <w:r>
        <w:rPr>
          <w:color w:val="000000"/>
          <w:spacing w:val="4"/>
        </w:rPr>
        <w:t xml:space="preserve"> </w:t>
      </w:r>
      <w:r>
        <w:rPr>
          <w:color w:val="000000"/>
          <w:spacing w:val="1"/>
        </w:rPr>
        <w:t>I</w:t>
      </w:r>
      <w:r>
        <w:rPr>
          <w:color w:val="000000"/>
        </w:rPr>
        <w:t>r</w:t>
      </w:r>
      <w:r>
        <w:rPr>
          <w:color w:val="000000"/>
          <w:spacing w:val="4"/>
        </w:rPr>
        <w:t xml:space="preserve"> </w:t>
      </w:r>
      <w:r>
        <w:rPr>
          <w:color w:val="000000"/>
        </w:rPr>
        <w:t>k</w:t>
      </w:r>
      <w:r>
        <w:rPr>
          <w:color w:val="000000"/>
          <w:spacing w:val="-1"/>
        </w:rPr>
        <w:t>a</w:t>
      </w:r>
      <w:r>
        <w:rPr>
          <w:color w:val="000000"/>
          <w:spacing w:val="-9"/>
        </w:rPr>
        <w:t>i</w:t>
      </w:r>
      <w:r>
        <w:rPr>
          <w:color w:val="000000"/>
        </w:rPr>
        <w:t>p</w:t>
      </w:r>
      <w:r>
        <w:rPr>
          <w:color w:val="000000"/>
          <w:spacing w:val="2"/>
        </w:rPr>
        <w:t xml:space="preserve"> </w:t>
      </w:r>
      <w:r>
        <w:rPr>
          <w:color w:val="000000"/>
        </w:rPr>
        <w:t>p</w:t>
      </w:r>
      <w:r>
        <w:rPr>
          <w:color w:val="000000"/>
          <w:spacing w:val="1"/>
        </w:rPr>
        <w:t>r</w:t>
      </w:r>
      <w:r>
        <w:rPr>
          <w:color w:val="000000"/>
          <w:spacing w:val="-1"/>
        </w:rPr>
        <w:t>a</w:t>
      </w:r>
      <w:r>
        <w:rPr>
          <w:color w:val="000000"/>
        </w:rPr>
        <w:t>k</w:t>
      </w:r>
      <w:r>
        <w:rPr>
          <w:color w:val="000000"/>
          <w:spacing w:val="10"/>
        </w:rPr>
        <w:t>t</w:t>
      </w:r>
      <w:r>
        <w:rPr>
          <w:color w:val="000000"/>
          <w:spacing w:val="-9"/>
        </w:rPr>
        <w:t>i</w:t>
      </w:r>
      <w:r>
        <w:rPr>
          <w:color w:val="000000"/>
        </w:rPr>
        <w:t>ka</w:t>
      </w:r>
      <w:r>
        <w:rPr>
          <w:color w:val="000000"/>
          <w:spacing w:val="1"/>
        </w:rPr>
        <w:t xml:space="preserve"> r</w:t>
      </w:r>
      <w:r>
        <w:rPr>
          <w:color w:val="000000"/>
          <w:spacing w:val="5"/>
        </w:rPr>
        <w:t>o</w:t>
      </w:r>
      <w:r>
        <w:rPr>
          <w:color w:val="000000"/>
          <w:spacing w:val="-5"/>
        </w:rPr>
        <w:t>d</w:t>
      </w:r>
      <w:r>
        <w:rPr>
          <w:color w:val="000000"/>
          <w:spacing w:val="5"/>
        </w:rPr>
        <w:t>o</w:t>
      </w:r>
      <w:r>
        <w:rPr>
          <w:color w:val="000000"/>
        </w:rPr>
        <w:t xml:space="preserve">, </w:t>
      </w:r>
      <w:r>
        <w:rPr>
          <w:color w:val="000000"/>
          <w:spacing w:val="5"/>
        </w:rPr>
        <w:t>t</w:t>
      </w:r>
      <w:r>
        <w:rPr>
          <w:color w:val="000000"/>
          <w:spacing w:val="-9"/>
        </w:rPr>
        <w:t>i</w:t>
      </w:r>
      <w:r>
        <w:rPr>
          <w:color w:val="000000"/>
          <w:spacing w:val="-1"/>
        </w:rPr>
        <w:t>e</w:t>
      </w:r>
      <w:r>
        <w:rPr>
          <w:color w:val="000000"/>
        </w:rPr>
        <w:t>k</w:t>
      </w:r>
      <w:r>
        <w:rPr>
          <w:color w:val="000000"/>
          <w:spacing w:val="2"/>
        </w:rPr>
        <w:t xml:space="preserve"> </w:t>
      </w:r>
      <w:r>
        <w:rPr>
          <w:color w:val="000000"/>
        </w:rPr>
        <w:t>ū</w:t>
      </w:r>
      <w:r>
        <w:rPr>
          <w:color w:val="000000"/>
          <w:spacing w:val="5"/>
        </w:rPr>
        <w:t>k</w:t>
      </w:r>
      <w:r>
        <w:rPr>
          <w:color w:val="000000"/>
          <w:spacing w:val="-9"/>
        </w:rPr>
        <w:t>i</w:t>
      </w:r>
      <w:r>
        <w:rPr>
          <w:color w:val="000000"/>
        </w:rPr>
        <w:t>o</w:t>
      </w:r>
      <w:r>
        <w:rPr>
          <w:color w:val="000000"/>
          <w:spacing w:val="7"/>
        </w:rPr>
        <w:t xml:space="preserve"> </w:t>
      </w:r>
      <w:r>
        <w:rPr>
          <w:color w:val="000000"/>
          <w:spacing w:val="-2"/>
        </w:rPr>
        <w:t>s</w:t>
      </w:r>
      <w:r>
        <w:rPr>
          <w:color w:val="000000"/>
          <w:spacing w:val="5"/>
        </w:rPr>
        <w:t>u</w:t>
      </w:r>
      <w:r>
        <w:rPr>
          <w:color w:val="000000"/>
        </w:rPr>
        <w:t>b</w:t>
      </w:r>
      <w:r>
        <w:rPr>
          <w:color w:val="000000"/>
          <w:spacing w:val="-4"/>
        </w:rPr>
        <w:t>j</w:t>
      </w:r>
      <w:r>
        <w:rPr>
          <w:color w:val="000000"/>
          <w:spacing w:val="-1"/>
        </w:rPr>
        <w:t>e</w:t>
      </w:r>
      <w:r>
        <w:rPr>
          <w:color w:val="000000"/>
        </w:rPr>
        <w:t>k</w:t>
      </w:r>
      <w:r>
        <w:rPr>
          <w:color w:val="000000"/>
          <w:spacing w:val="5"/>
        </w:rPr>
        <w:t>t</w:t>
      </w:r>
      <w:r>
        <w:rPr>
          <w:color w:val="000000"/>
          <w:spacing w:val="4"/>
        </w:rPr>
        <w:t>a</w:t>
      </w:r>
      <w:r>
        <w:rPr>
          <w:color w:val="000000"/>
          <w:spacing w:val="-9"/>
        </w:rPr>
        <w:t>m</w:t>
      </w:r>
      <w:r>
        <w:rPr>
          <w:color w:val="000000"/>
          <w:spacing w:val="-2"/>
        </w:rPr>
        <w:t>s</w:t>
      </w:r>
      <w:r>
        <w:rPr>
          <w:color w:val="000000"/>
        </w:rPr>
        <w:t>,</w:t>
      </w:r>
      <w:r>
        <w:rPr>
          <w:color w:val="000000"/>
          <w:spacing w:val="9"/>
        </w:rPr>
        <w:t xml:space="preserve"> </w:t>
      </w:r>
      <w:r>
        <w:rPr>
          <w:color w:val="000000"/>
          <w:spacing w:val="5"/>
        </w:rPr>
        <w:t>t</w:t>
      </w:r>
      <w:r>
        <w:rPr>
          <w:color w:val="000000"/>
          <w:spacing w:val="-9"/>
        </w:rPr>
        <w:t>i</w:t>
      </w:r>
      <w:r>
        <w:rPr>
          <w:color w:val="000000"/>
          <w:spacing w:val="-1"/>
        </w:rPr>
        <w:t>e</w:t>
      </w:r>
      <w:r>
        <w:rPr>
          <w:color w:val="000000"/>
        </w:rPr>
        <w:t>k</w:t>
      </w:r>
      <w:r>
        <w:rPr>
          <w:color w:val="000000"/>
          <w:spacing w:val="7"/>
        </w:rPr>
        <w:t xml:space="preserve"> </w:t>
      </w:r>
      <w:r>
        <w:rPr>
          <w:color w:val="000000"/>
          <w:spacing w:val="-9"/>
        </w:rPr>
        <w:t>i</w:t>
      </w:r>
      <w:r>
        <w:rPr>
          <w:color w:val="000000"/>
        </w:rPr>
        <w:t>r</w:t>
      </w:r>
      <w:r>
        <w:rPr>
          <w:color w:val="000000"/>
          <w:spacing w:val="4"/>
        </w:rPr>
        <w:t xml:space="preserve"> </w:t>
      </w:r>
      <w:r>
        <w:rPr>
          <w:color w:val="000000"/>
          <w:spacing w:val="-1"/>
        </w:rPr>
        <w:t>a</w:t>
      </w:r>
      <w:r>
        <w:rPr>
          <w:color w:val="000000"/>
          <w:spacing w:val="5"/>
        </w:rPr>
        <w:t>t</w:t>
      </w:r>
      <w:r>
        <w:rPr>
          <w:color w:val="000000"/>
          <w:spacing w:val="-2"/>
        </w:rPr>
        <w:t>s</w:t>
      </w:r>
      <w:r>
        <w:rPr>
          <w:color w:val="000000"/>
          <w:spacing w:val="-1"/>
        </w:rPr>
        <w:t>a</w:t>
      </w:r>
      <w:r>
        <w:rPr>
          <w:color w:val="000000"/>
          <w:spacing w:val="5"/>
        </w:rPr>
        <w:t>k</w:t>
      </w:r>
      <w:r>
        <w:rPr>
          <w:color w:val="000000"/>
          <w:spacing w:val="-4"/>
        </w:rPr>
        <w:t>i</w:t>
      </w:r>
      <w:r>
        <w:rPr>
          <w:color w:val="000000"/>
        </w:rPr>
        <w:t>ng</w:t>
      </w:r>
      <w:r>
        <w:rPr>
          <w:color w:val="000000"/>
          <w:spacing w:val="9"/>
        </w:rPr>
        <w:t>o</w:t>
      </w:r>
      <w:r>
        <w:rPr>
          <w:color w:val="000000"/>
          <w:spacing w:val="-9"/>
        </w:rPr>
        <w:t>m</w:t>
      </w:r>
      <w:r>
        <w:rPr>
          <w:color w:val="000000"/>
        </w:rPr>
        <w:t>s</w:t>
      </w:r>
      <w:r>
        <w:rPr>
          <w:color w:val="000000"/>
          <w:spacing w:val="16"/>
        </w:rPr>
        <w:t xml:space="preserve"> </w:t>
      </w:r>
      <w:r>
        <w:rPr>
          <w:color w:val="000000"/>
          <w:spacing w:val="-4"/>
        </w:rPr>
        <w:t>i</w:t>
      </w:r>
      <w:r>
        <w:rPr>
          <w:color w:val="000000"/>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w:t>
      </w:r>
      <w:r>
        <w:rPr>
          <w:color w:val="000000"/>
          <w:spacing w:val="-9"/>
        </w:rPr>
        <w:t>j</w:t>
      </w:r>
      <w:r>
        <w:rPr>
          <w:color w:val="000000"/>
          <w:spacing w:val="9"/>
        </w:rPr>
        <w:t>o</w:t>
      </w:r>
      <w:r>
        <w:rPr>
          <w:color w:val="000000"/>
          <w:spacing w:val="-4"/>
        </w:rPr>
        <w:t>m</w:t>
      </w:r>
      <w:r>
        <w:rPr>
          <w:color w:val="000000"/>
        </w:rPr>
        <w:t>s</w:t>
      </w:r>
      <w:r>
        <w:rPr>
          <w:color w:val="000000"/>
          <w:spacing w:val="5"/>
        </w:rPr>
        <w:t xml:space="preserve"> </w:t>
      </w:r>
      <w:r>
        <w:rPr>
          <w:color w:val="000000"/>
          <w:spacing w:val="-5"/>
        </w:rPr>
        <w:t>y</w:t>
      </w:r>
      <w:r>
        <w:rPr>
          <w:color w:val="000000"/>
          <w:spacing w:val="1"/>
        </w:rPr>
        <w:t>r</w:t>
      </w:r>
      <w:r>
        <w:rPr>
          <w:color w:val="000000"/>
        </w:rPr>
        <w:t>a</w:t>
      </w:r>
      <w:r>
        <w:rPr>
          <w:color w:val="000000"/>
          <w:spacing w:val="1"/>
        </w:rPr>
        <w:t xml:space="preserve"> </w:t>
      </w:r>
      <w:r>
        <w:rPr>
          <w:color w:val="000000"/>
        </w:rPr>
        <w:t>kur</w:t>
      </w:r>
      <w:r>
        <w:rPr>
          <w:color w:val="000000"/>
          <w:spacing w:val="4"/>
        </w:rPr>
        <w:t xml:space="preserve"> </w:t>
      </w:r>
      <w:r>
        <w:rPr>
          <w:color w:val="000000"/>
        </w:rPr>
        <w:t>t</w:t>
      </w:r>
      <w:r>
        <w:rPr>
          <w:color w:val="000000"/>
          <w:spacing w:val="5"/>
        </w:rPr>
        <w:t>o</w:t>
      </w:r>
      <w:r>
        <w:rPr>
          <w:color w:val="000000"/>
          <w:spacing w:val="-5"/>
        </w:rPr>
        <w:t>b</w:t>
      </w:r>
      <w:r>
        <w:rPr>
          <w:color w:val="000000"/>
          <w:spacing w:val="5"/>
        </w:rPr>
        <w:t>u</w:t>
      </w:r>
      <w:r>
        <w:rPr>
          <w:color w:val="000000"/>
          <w:spacing w:val="-4"/>
        </w:rPr>
        <w:t>l</w:t>
      </w:r>
      <w:r>
        <w:rPr>
          <w:color w:val="000000"/>
          <w:spacing w:val="-1"/>
        </w:rPr>
        <w:t>ė</w:t>
      </w:r>
      <w:r>
        <w:rPr>
          <w:color w:val="000000"/>
          <w:spacing w:val="5"/>
        </w:rPr>
        <w:t>t</w:t>
      </w:r>
      <w:r>
        <w:rPr>
          <w:color w:val="000000"/>
          <w:spacing w:val="-9"/>
        </w:rPr>
        <w:t>i</w:t>
      </w:r>
      <w:r>
        <w:rPr>
          <w:color w:val="000000"/>
        </w:rPr>
        <w:t>, t</w:t>
      </w:r>
      <w:r>
        <w:rPr>
          <w:color w:val="000000"/>
          <w:spacing w:val="3"/>
        </w:rPr>
        <w:t>.</w:t>
      </w:r>
      <w:r>
        <w:rPr>
          <w:color w:val="000000"/>
          <w:spacing w:val="-10"/>
        </w:rPr>
        <w:t>y</w:t>
      </w:r>
      <w:r>
        <w:rPr>
          <w:color w:val="000000"/>
        </w:rPr>
        <w:t>.</w:t>
      </w:r>
      <w:r>
        <w:rPr>
          <w:color w:val="000000"/>
          <w:spacing w:val="6"/>
        </w:rPr>
        <w:t xml:space="preserve"> </w:t>
      </w:r>
      <w:r>
        <w:rPr>
          <w:color w:val="000000"/>
          <w:spacing w:val="-5"/>
        </w:rPr>
        <w:t>b</w:t>
      </w:r>
      <w:r>
        <w:rPr>
          <w:color w:val="000000"/>
        </w:rPr>
        <w:t>ū</w:t>
      </w:r>
      <w:r>
        <w:rPr>
          <w:color w:val="000000"/>
          <w:spacing w:val="10"/>
        </w:rPr>
        <w:t>t</w:t>
      </w:r>
      <w:r>
        <w:rPr>
          <w:color w:val="000000"/>
          <w:spacing w:val="-4"/>
        </w:rPr>
        <w:t>i</w:t>
      </w:r>
      <w:r>
        <w:rPr>
          <w:color w:val="000000"/>
          <w:spacing w:val="-5"/>
        </w:rPr>
        <w:t>n</w:t>
      </w:r>
      <w:r>
        <w:rPr>
          <w:color w:val="000000"/>
          <w:spacing w:val="-1"/>
        </w:rPr>
        <w:t>a</w:t>
      </w:r>
      <w:r>
        <w:rPr>
          <w:color w:val="000000"/>
        </w:rPr>
        <w:t>s</w:t>
      </w:r>
      <w:r>
        <w:rPr>
          <w:color w:val="000000"/>
          <w:spacing w:val="1"/>
        </w:rPr>
        <w:t xml:space="preserve"> </w:t>
      </w:r>
      <w:r>
        <w:rPr>
          <w:color w:val="000000"/>
          <w:spacing w:val="4"/>
        </w:rPr>
        <w:t>a</w:t>
      </w:r>
      <w:r>
        <w:rPr>
          <w:color w:val="000000"/>
        </w:rPr>
        <w:t>b</w:t>
      </w:r>
      <w:r>
        <w:rPr>
          <w:color w:val="000000"/>
          <w:spacing w:val="-4"/>
        </w:rPr>
        <w:t>i</w:t>
      </w:r>
      <w:r>
        <w:rPr>
          <w:color w:val="000000"/>
        </w:rPr>
        <w:t>pu</w:t>
      </w:r>
      <w:r>
        <w:rPr>
          <w:color w:val="000000"/>
          <w:spacing w:val="2"/>
        </w:rPr>
        <w:t>s</w:t>
      </w:r>
      <w:r>
        <w:rPr>
          <w:color w:val="000000"/>
          <w:spacing w:val="-4"/>
        </w:rPr>
        <w:t>i</w:t>
      </w:r>
      <w:r>
        <w:rPr>
          <w:color w:val="000000"/>
        </w:rPr>
        <w:t>s</w:t>
      </w:r>
      <w:r>
        <w:rPr>
          <w:color w:val="000000"/>
          <w:spacing w:val="1"/>
        </w:rPr>
        <w:t xml:space="preserve"> </w:t>
      </w:r>
      <w:r>
        <w:rPr>
          <w:color w:val="000000"/>
          <w:spacing w:val="-2"/>
        </w:rPr>
        <w:t>s</w:t>
      </w:r>
      <w:r>
        <w:rPr>
          <w:color w:val="000000"/>
          <w:spacing w:val="4"/>
        </w:rPr>
        <w:t>a</w:t>
      </w:r>
      <w:r>
        <w:rPr>
          <w:color w:val="000000"/>
        </w:rPr>
        <w:t>v</w:t>
      </w:r>
      <w:r>
        <w:rPr>
          <w:color w:val="000000"/>
          <w:spacing w:val="-9"/>
        </w:rPr>
        <w:t>i</w:t>
      </w:r>
      <w:r>
        <w:rPr>
          <w:color w:val="000000"/>
          <w:spacing w:val="5"/>
        </w:rPr>
        <w:t>t</w:t>
      </w:r>
      <w:r>
        <w:rPr>
          <w:color w:val="000000"/>
          <w:spacing w:val="-1"/>
        </w:rPr>
        <w:t>a</w:t>
      </w:r>
      <w:r>
        <w:rPr>
          <w:color w:val="000000"/>
          <w:spacing w:val="1"/>
        </w:rPr>
        <w:t>r</w:t>
      </w:r>
      <w:r>
        <w:rPr>
          <w:color w:val="000000"/>
          <w:spacing w:val="5"/>
        </w:rPr>
        <w:t>p</w:t>
      </w:r>
      <w:r>
        <w:rPr>
          <w:color w:val="000000"/>
          <w:spacing w:val="-9"/>
        </w:rPr>
        <w:t>i</w:t>
      </w:r>
      <w:r>
        <w:rPr>
          <w:color w:val="000000"/>
        </w:rPr>
        <w:t>o</w:t>
      </w:r>
      <w:r>
        <w:rPr>
          <w:color w:val="000000"/>
          <w:spacing w:val="3"/>
        </w:rPr>
        <w:t xml:space="preserve"> </w:t>
      </w:r>
      <w:r>
        <w:rPr>
          <w:color w:val="000000"/>
          <w:spacing w:val="6"/>
        </w:rPr>
        <w:t>r</w:t>
      </w:r>
      <w:r>
        <w:rPr>
          <w:color w:val="000000"/>
          <w:spacing w:val="-5"/>
        </w:rPr>
        <w:t>y</w:t>
      </w:r>
      <w:r>
        <w:rPr>
          <w:color w:val="000000"/>
          <w:spacing w:val="2"/>
        </w:rPr>
        <w:t>š</w:t>
      </w:r>
      <w:r>
        <w:rPr>
          <w:color w:val="000000"/>
          <w:spacing w:val="-5"/>
        </w:rPr>
        <w:t>y</w:t>
      </w:r>
      <w:r>
        <w:rPr>
          <w:color w:val="000000"/>
        </w:rPr>
        <w:t>s</w:t>
      </w:r>
      <w:r>
        <w:rPr>
          <w:color w:val="000000"/>
          <w:spacing w:val="1"/>
        </w:rPr>
        <w:t xml:space="preserve"> </w:t>
      </w:r>
      <w:r>
        <w:rPr>
          <w:color w:val="000000"/>
          <w:spacing w:val="-4"/>
        </w:rPr>
        <w:t>i</w:t>
      </w:r>
      <w:r>
        <w:rPr>
          <w:color w:val="000000"/>
        </w:rPr>
        <w:t xml:space="preserve">r </w:t>
      </w:r>
      <w:r>
        <w:rPr>
          <w:color w:val="000000"/>
          <w:spacing w:val="-2"/>
        </w:rPr>
        <w:t>s</w:t>
      </w:r>
      <w:r>
        <w:rPr>
          <w:color w:val="000000"/>
        </w:rPr>
        <w:t>u</w:t>
      </w:r>
      <w:r>
        <w:rPr>
          <w:color w:val="000000"/>
          <w:spacing w:val="5"/>
        </w:rPr>
        <w:t>p</w:t>
      </w:r>
      <w:r>
        <w:rPr>
          <w:color w:val="000000"/>
          <w:spacing w:val="1"/>
        </w:rPr>
        <w:t>r</w:t>
      </w:r>
      <w:r>
        <w:rPr>
          <w:color w:val="000000"/>
          <w:spacing w:val="-1"/>
        </w:rPr>
        <w:t>a</w:t>
      </w:r>
      <w:r>
        <w:rPr>
          <w:color w:val="000000"/>
          <w:spacing w:val="5"/>
        </w:rPr>
        <w:t>t</w:t>
      </w:r>
      <w:r>
        <w:rPr>
          <w:color w:val="000000"/>
          <w:spacing w:val="-4"/>
        </w:rPr>
        <w:t>im</w:t>
      </w:r>
      <w:r>
        <w:rPr>
          <w:color w:val="000000"/>
          <w:spacing w:val="-1"/>
        </w:rPr>
        <w:t>a</w:t>
      </w:r>
      <w:r>
        <w:rPr>
          <w:color w:val="000000"/>
          <w:spacing w:val="-2"/>
        </w:rPr>
        <w:t>s</w:t>
      </w:r>
      <w:r>
        <w:rPr>
          <w:color w:val="000000"/>
        </w:rPr>
        <w:t>,</w:t>
      </w:r>
      <w:r>
        <w:rPr>
          <w:color w:val="000000"/>
          <w:spacing w:val="6"/>
        </w:rPr>
        <w:t xml:space="preserve"> </w:t>
      </w:r>
      <w:r>
        <w:rPr>
          <w:color w:val="000000"/>
          <w:spacing w:val="-5"/>
        </w:rPr>
        <w:t>n</w:t>
      </w:r>
      <w:r>
        <w:rPr>
          <w:color w:val="000000"/>
          <w:spacing w:val="-1"/>
        </w:rPr>
        <w:t>e</w:t>
      </w:r>
      <w:r>
        <w:rPr>
          <w:color w:val="000000"/>
        </w:rPr>
        <w:t>p</w:t>
      </w:r>
      <w:r>
        <w:rPr>
          <w:color w:val="000000"/>
          <w:spacing w:val="-1"/>
        </w:rPr>
        <w:t>a</w:t>
      </w:r>
      <w:r>
        <w:rPr>
          <w:color w:val="000000"/>
        </w:rPr>
        <w:t>k</w:t>
      </w:r>
      <w:r>
        <w:rPr>
          <w:color w:val="000000"/>
          <w:spacing w:val="4"/>
        </w:rPr>
        <w:t>a</w:t>
      </w:r>
      <w:r>
        <w:rPr>
          <w:color w:val="000000"/>
          <w:spacing w:val="-5"/>
        </w:rPr>
        <w:t>n</w:t>
      </w:r>
      <w:r>
        <w:rPr>
          <w:color w:val="000000"/>
          <w:spacing w:val="5"/>
        </w:rPr>
        <w:t>tu</w:t>
      </w:r>
      <w:r>
        <w:rPr>
          <w:color w:val="000000"/>
          <w:spacing w:val="-9"/>
        </w:rPr>
        <w:t>m</w:t>
      </w:r>
      <w:r>
        <w:rPr>
          <w:color w:val="000000"/>
          <w:spacing w:val="4"/>
        </w:rPr>
        <w:t>a</w:t>
      </w:r>
      <w:r>
        <w:rPr>
          <w:color w:val="000000"/>
        </w:rPr>
        <w:t>s</w:t>
      </w:r>
      <w:r>
        <w:rPr>
          <w:color w:val="000000"/>
          <w:spacing w:val="1"/>
        </w:rPr>
        <w:t xml:space="preserve"> </w:t>
      </w:r>
      <w:r>
        <w:rPr>
          <w:color w:val="000000"/>
          <w:spacing w:val="-9"/>
        </w:rPr>
        <w:t>į</w:t>
      </w:r>
      <w:r>
        <w:rPr>
          <w:color w:val="000000"/>
          <w:spacing w:val="5"/>
        </w:rPr>
        <w:t>t</w:t>
      </w:r>
      <w:r>
        <w:rPr>
          <w:color w:val="000000"/>
          <w:spacing w:val="-1"/>
        </w:rPr>
        <w:t>a</w:t>
      </w:r>
      <w:r>
        <w:rPr>
          <w:color w:val="000000"/>
          <w:spacing w:val="1"/>
        </w:rPr>
        <w:t>r</w:t>
      </w:r>
      <w:r>
        <w:rPr>
          <w:color w:val="000000"/>
          <w:spacing w:val="5"/>
        </w:rPr>
        <w:t>t</w:t>
      </w:r>
      <w:r>
        <w:rPr>
          <w:color w:val="000000"/>
          <w:spacing w:val="-4"/>
        </w:rPr>
        <w:t>i</w:t>
      </w:r>
      <w:r>
        <w:rPr>
          <w:color w:val="000000"/>
        </w:rPr>
        <w:t>n</w:t>
      </w:r>
      <w:r>
        <w:rPr>
          <w:color w:val="000000"/>
          <w:spacing w:val="-4"/>
        </w:rPr>
        <w:t>i</w:t>
      </w:r>
      <w:r>
        <w:rPr>
          <w:color w:val="000000"/>
          <w:spacing w:val="4"/>
        </w:rPr>
        <w:t>e</w:t>
      </w:r>
      <w:r>
        <w:rPr>
          <w:color w:val="000000"/>
          <w:spacing w:val="-4"/>
        </w:rPr>
        <w:t>m</w:t>
      </w:r>
      <w:r>
        <w:rPr>
          <w:color w:val="000000"/>
          <w:spacing w:val="-2"/>
        </w:rPr>
        <w:t>s</w:t>
      </w:r>
      <w:r>
        <w:rPr>
          <w:color w:val="000000"/>
          <w:spacing w:val="5"/>
        </w:rPr>
        <w:t>/</w:t>
      </w:r>
      <w:r>
        <w:rPr>
          <w:color w:val="000000"/>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4"/>
        </w:rPr>
        <w:t>i</w:t>
      </w:r>
      <w:r>
        <w:rPr>
          <w:color w:val="000000"/>
          <w:spacing w:val="4"/>
        </w:rPr>
        <w:t>e</w:t>
      </w:r>
      <w:r>
        <w:rPr>
          <w:color w:val="000000"/>
        </w:rPr>
        <w:t xml:space="preserve">ms </w:t>
      </w:r>
      <w:r>
        <w:rPr>
          <w:color w:val="000000"/>
          <w:spacing w:val="-2"/>
        </w:rPr>
        <w:t>s</w:t>
      </w:r>
      <w:r>
        <w:rPr>
          <w:color w:val="000000"/>
          <w:spacing w:val="4"/>
        </w:rPr>
        <w:t>a</w:t>
      </w:r>
      <w:r>
        <w:rPr>
          <w:color w:val="000000"/>
          <w:spacing w:val="-5"/>
        </w:rPr>
        <w:t>n</w:t>
      </w:r>
      <w:r>
        <w:rPr>
          <w:color w:val="000000"/>
        </w:rPr>
        <w:t>d</w:t>
      </w:r>
      <w:r>
        <w:rPr>
          <w:color w:val="000000"/>
          <w:spacing w:val="5"/>
        </w:rPr>
        <w:t>o</w:t>
      </w:r>
      <w:r>
        <w:rPr>
          <w:color w:val="000000"/>
          <w:spacing w:val="1"/>
        </w:rPr>
        <w:t>r</w:t>
      </w:r>
      <w:r>
        <w:rPr>
          <w:color w:val="000000"/>
          <w:spacing w:val="-9"/>
        </w:rPr>
        <w:t>i</w:t>
      </w:r>
      <w:r>
        <w:rPr>
          <w:color w:val="000000"/>
          <w:spacing w:val="4"/>
        </w:rPr>
        <w:t>a</w:t>
      </w:r>
      <w:r>
        <w:rPr>
          <w:color w:val="000000"/>
          <w:spacing w:val="-4"/>
        </w:rPr>
        <w:t>m</w:t>
      </w:r>
      <w:r>
        <w:rPr>
          <w:color w:val="000000"/>
          <w:spacing w:val="-2"/>
        </w:rPr>
        <w:t>s</w:t>
      </w:r>
      <w:r>
        <w:rPr>
          <w:color w:val="000000"/>
        </w:rPr>
        <w:t>,</w:t>
      </w:r>
      <w:r>
        <w:rPr>
          <w:color w:val="000000"/>
          <w:spacing w:val="4"/>
        </w:rPr>
        <w:t xml:space="preserve"> </w:t>
      </w:r>
      <w:r>
        <w:rPr>
          <w:color w:val="000000"/>
        </w:rPr>
        <w:t>ku</w:t>
      </w:r>
      <w:r>
        <w:rPr>
          <w:color w:val="000000"/>
          <w:spacing w:val="6"/>
        </w:rPr>
        <w:t>r</w:t>
      </w:r>
      <w:r>
        <w:rPr>
          <w:color w:val="000000"/>
          <w:spacing w:val="-9"/>
        </w:rPr>
        <w:t>i</w:t>
      </w:r>
      <w:r>
        <w:rPr>
          <w:color w:val="000000"/>
          <w:spacing w:val="4"/>
        </w:rPr>
        <w:t>a</w:t>
      </w:r>
      <w:r>
        <w:rPr>
          <w:color w:val="000000"/>
          <w:spacing w:val="-4"/>
        </w:rPr>
        <w:t>i</w:t>
      </w:r>
      <w:r>
        <w:rPr>
          <w:color w:val="000000"/>
        </w:rPr>
        <w:t>s d</w:t>
      </w:r>
      <w:r>
        <w:rPr>
          <w:color w:val="000000"/>
          <w:spacing w:val="-1"/>
        </w:rPr>
        <w:t>a</w:t>
      </w:r>
      <w:r>
        <w:rPr>
          <w:color w:val="000000"/>
          <w:spacing w:val="1"/>
        </w:rPr>
        <w:t>r</w:t>
      </w:r>
      <w:r>
        <w:rPr>
          <w:color w:val="000000"/>
          <w:spacing w:val="9"/>
        </w:rPr>
        <w:t>o</w:t>
      </w:r>
      <w:r>
        <w:rPr>
          <w:color w:val="000000"/>
          <w:spacing w:val="-9"/>
        </w:rPr>
        <w:t>m</w:t>
      </w:r>
      <w:r>
        <w:rPr>
          <w:color w:val="000000"/>
        </w:rPr>
        <w:t>a</w:t>
      </w:r>
      <w:r>
        <w:rPr>
          <w:color w:val="000000"/>
          <w:spacing w:val="6"/>
        </w:rPr>
        <w:t xml:space="preserve"> </w:t>
      </w:r>
      <w:r>
        <w:rPr>
          <w:color w:val="000000"/>
          <w:spacing w:val="-4"/>
        </w:rPr>
        <w:t>m</w:t>
      </w:r>
      <w:r>
        <w:rPr>
          <w:color w:val="000000"/>
        </w:rPr>
        <w:t>i</w:t>
      </w:r>
      <w:r>
        <w:rPr>
          <w:color w:val="000000"/>
          <w:spacing w:val="-4"/>
        </w:rPr>
        <w:t>l</w:t>
      </w:r>
      <w:r>
        <w:rPr>
          <w:color w:val="000000"/>
          <w:spacing w:val="4"/>
        </w:rPr>
        <w:t>ž</w:t>
      </w:r>
      <w:r>
        <w:rPr>
          <w:color w:val="000000"/>
          <w:spacing w:val="-4"/>
        </w:rPr>
        <w:t>i</w:t>
      </w:r>
      <w:r>
        <w:rPr>
          <w:color w:val="000000"/>
          <w:spacing w:val="5"/>
        </w:rPr>
        <w:t>n</w:t>
      </w:r>
      <w:r>
        <w:rPr>
          <w:color w:val="000000"/>
          <w:spacing w:val="-4"/>
        </w:rPr>
        <w:t>i</w:t>
      </w:r>
      <w:r>
        <w:rPr>
          <w:color w:val="000000"/>
          <w:spacing w:val="2"/>
        </w:rPr>
        <w:t>š</w:t>
      </w:r>
      <w:r>
        <w:rPr>
          <w:color w:val="000000"/>
        </w:rPr>
        <w:t>ka</w:t>
      </w:r>
      <w:r>
        <w:rPr>
          <w:color w:val="000000"/>
          <w:spacing w:val="1"/>
        </w:rPr>
        <w:t xml:space="preserve"> </w:t>
      </w:r>
      <w:r>
        <w:rPr>
          <w:color w:val="000000"/>
          <w:spacing w:val="-1"/>
        </w:rPr>
        <w:t>ž</w:t>
      </w:r>
      <w:r>
        <w:rPr>
          <w:color w:val="000000"/>
          <w:spacing w:val="4"/>
        </w:rPr>
        <w:t>a</w:t>
      </w:r>
      <w:r>
        <w:rPr>
          <w:color w:val="000000"/>
          <w:spacing w:val="-4"/>
        </w:rPr>
        <w:t>l</w:t>
      </w:r>
      <w:r>
        <w:rPr>
          <w:color w:val="000000"/>
        </w:rPr>
        <w:t>a</w:t>
      </w:r>
      <w:r>
        <w:rPr>
          <w:color w:val="000000"/>
          <w:spacing w:val="1"/>
        </w:rPr>
        <w:t xml:space="preserve"> </w:t>
      </w:r>
      <w:r>
        <w:rPr>
          <w:color w:val="000000"/>
        </w:rPr>
        <w:t>v</w:t>
      </w:r>
      <w:r>
        <w:rPr>
          <w:color w:val="000000"/>
          <w:spacing w:val="-4"/>
        </w:rPr>
        <w:t>i</w:t>
      </w:r>
      <w:r>
        <w:rPr>
          <w:color w:val="000000"/>
          <w:spacing w:val="2"/>
        </w:rPr>
        <w:t>s</w:t>
      </w:r>
      <w:r>
        <w:rPr>
          <w:color w:val="000000"/>
        </w:rPr>
        <w:t>u</w:t>
      </w:r>
      <w:r>
        <w:rPr>
          <w:color w:val="000000"/>
          <w:spacing w:val="5"/>
        </w:rPr>
        <w:t>o</w:t>
      </w:r>
      <w:r>
        <w:rPr>
          <w:color w:val="000000"/>
          <w:spacing w:val="-4"/>
        </w:rPr>
        <w:t>m</w:t>
      </w:r>
      <w:r>
        <w:rPr>
          <w:color w:val="000000"/>
          <w:spacing w:val="4"/>
        </w:rPr>
        <w:t>e</w:t>
      </w:r>
      <w:r>
        <w:rPr>
          <w:color w:val="000000"/>
          <w:spacing w:val="-5"/>
        </w:rPr>
        <w:t>n</w:t>
      </w:r>
      <w:r>
        <w:rPr>
          <w:color w:val="000000"/>
          <w:spacing w:val="4"/>
        </w:rPr>
        <w:t>e</w:t>
      </w:r>
      <w:r>
        <w:rPr>
          <w:color w:val="000000"/>
        </w:rPr>
        <w:t>i</w:t>
      </w:r>
      <w:r>
        <w:rPr>
          <w:color w:val="000000"/>
          <w:spacing w:val="-2"/>
        </w:rPr>
        <w:t xml:space="preserve"> </w:t>
      </w:r>
      <w:r>
        <w:rPr>
          <w:color w:val="000000"/>
          <w:spacing w:val="-1"/>
        </w:rPr>
        <w:t>a</w:t>
      </w:r>
      <w:r>
        <w:rPr>
          <w:color w:val="000000"/>
        </w:rPr>
        <w:t>r</w:t>
      </w:r>
      <w:r>
        <w:rPr>
          <w:color w:val="000000"/>
          <w:spacing w:val="4"/>
        </w:rPr>
        <w:t xml:space="preserve"> </w:t>
      </w:r>
      <w:r>
        <w:rPr>
          <w:color w:val="000000"/>
          <w:spacing w:val="-5"/>
        </w:rPr>
        <w:t>n</w:t>
      </w:r>
      <w:r>
        <w:rPr>
          <w:color w:val="000000"/>
          <w:spacing w:val="-1"/>
        </w:rPr>
        <w:t>e</w:t>
      </w:r>
      <w:r>
        <w:rPr>
          <w:color w:val="000000"/>
        </w:rPr>
        <w:t>t</w:t>
      </w:r>
      <w:r>
        <w:rPr>
          <w:color w:val="000000"/>
          <w:spacing w:val="7"/>
        </w:rPr>
        <w:t xml:space="preserve">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yb</w:t>
      </w:r>
      <w:r>
        <w:rPr>
          <w:color w:val="000000"/>
          <w:spacing w:val="4"/>
        </w:rPr>
        <w:t>e</w:t>
      </w:r>
      <w:r>
        <w:rPr>
          <w:color w:val="000000"/>
          <w:spacing w:val="-4"/>
        </w:rPr>
        <w:t>i</w:t>
      </w:r>
      <w:r>
        <w:rPr>
          <w:color w:val="000000"/>
        </w:rPr>
        <w:t>.</w:t>
      </w:r>
    </w:p>
    <w:p w:rsidR="004F7425" w:rsidRDefault="004F7425" w:rsidP="004F7425">
      <w:pPr>
        <w:widowControl w:val="0"/>
        <w:autoSpaceDE w:val="0"/>
        <w:autoSpaceDN w:val="0"/>
        <w:adjustRightInd w:val="0"/>
        <w:spacing w:line="275" w:lineRule="auto"/>
        <w:ind w:left="120" w:right="59" w:firstLine="721"/>
        <w:jc w:val="both"/>
        <w:rPr>
          <w:color w:val="000000"/>
        </w:rPr>
      </w:pPr>
      <w:r>
        <w:rPr>
          <w:color w:val="000000"/>
        </w:rPr>
        <w:t>2012</w:t>
      </w:r>
      <w:r>
        <w:rPr>
          <w:color w:val="000000"/>
          <w:spacing w:val="7"/>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9"/>
        </w:rPr>
        <w:t>i</w:t>
      </w:r>
      <w:r>
        <w:rPr>
          <w:color w:val="000000"/>
        </w:rPr>
        <w:t xml:space="preserve">s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spacing w:val="-9"/>
        </w:rPr>
        <w:t>j</w:t>
      </w:r>
      <w:r>
        <w:rPr>
          <w:color w:val="000000"/>
        </w:rPr>
        <w:t>e</w:t>
      </w:r>
      <w:r>
        <w:rPr>
          <w:color w:val="000000"/>
          <w:spacing w:val="1"/>
        </w:rPr>
        <w:t xml:space="preserve"> </w:t>
      </w:r>
      <w:r>
        <w:rPr>
          <w:color w:val="000000"/>
          <w:spacing w:val="5"/>
        </w:rPr>
        <w:t>p</w:t>
      </w:r>
      <w:r>
        <w:rPr>
          <w:color w:val="000000"/>
          <w:spacing w:val="-1"/>
        </w:rPr>
        <w:t>a</w:t>
      </w:r>
      <w:r>
        <w:rPr>
          <w:color w:val="000000"/>
          <w:spacing w:val="-2"/>
        </w:rPr>
        <w:t>s</w:t>
      </w:r>
      <w:r>
        <w:rPr>
          <w:color w:val="000000"/>
          <w:spacing w:val="5"/>
        </w:rPr>
        <w:t>t</w:t>
      </w:r>
      <w:r>
        <w:rPr>
          <w:color w:val="000000"/>
          <w:spacing w:val="-1"/>
        </w:rPr>
        <w:t>e</w:t>
      </w:r>
      <w:r>
        <w:rPr>
          <w:color w:val="000000"/>
          <w:spacing w:val="-5"/>
        </w:rPr>
        <w:t>b</w:t>
      </w:r>
      <w:r>
        <w:rPr>
          <w:color w:val="000000"/>
          <w:spacing w:val="-1"/>
        </w:rPr>
        <w:t>ė</w:t>
      </w:r>
      <w:r>
        <w:rPr>
          <w:color w:val="000000"/>
          <w:spacing w:val="5"/>
        </w:rPr>
        <w:t>t</w:t>
      </w:r>
      <w:r>
        <w:rPr>
          <w:color w:val="000000"/>
          <w:spacing w:val="-1"/>
        </w:rPr>
        <w:t>a</w:t>
      </w:r>
      <w:r>
        <w:rPr>
          <w:color w:val="000000"/>
        </w:rPr>
        <w:t>s p</w:t>
      </w:r>
      <w:r>
        <w:rPr>
          <w:color w:val="000000"/>
          <w:spacing w:val="-1"/>
        </w:rPr>
        <w:t>a</w:t>
      </w:r>
      <w:r>
        <w:rPr>
          <w:color w:val="000000"/>
          <w:spacing w:val="5"/>
        </w:rPr>
        <w:t>d</w:t>
      </w:r>
      <w:r>
        <w:rPr>
          <w:color w:val="000000"/>
          <w:spacing w:val="-4"/>
        </w:rPr>
        <w:t>i</w:t>
      </w:r>
      <w:r>
        <w:rPr>
          <w:color w:val="000000"/>
        </w:rPr>
        <w:t>d</w:t>
      </w:r>
      <w:r>
        <w:rPr>
          <w:color w:val="000000"/>
          <w:spacing w:val="4"/>
        </w:rPr>
        <w:t>ė</w:t>
      </w:r>
      <w:r>
        <w:rPr>
          <w:color w:val="000000"/>
          <w:spacing w:val="-4"/>
        </w:rPr>
        <w:t>j</w:t>
      </w:r>
      <w:r>
        <w:rPr>
          <w:color w:val="000000"/>
          <w:spacing w:val="-1"/>
        </w:rPr>
        <w:t>ę</w:t>
      </w:r>
      <w:r>
        <w:rPr>
          <w:color w:val="000000"/>
        </w:rPr>
        <w:t xml:space="preserve">s </w:t>
      </w:r>
      <w:r>
        <w:rPr>
          <w:color w:val="000000"/>
          <w:spacing w:val="4"/>
        </w:rPr>
        <w:t>c</w:t>
      </w:r>
      <w:r>
        <w:rPr>
          <w:color w:val="000000"/>
        </w:rPr>
        <w:t>h</w:t>
      </w:r>
      <w:r>
        <w:rPr>
          <w:color w:val="000000"/>
          <w:spacing w:val="4"/>
        </w:rPr>
        <w:t>e</w:t>
      </w:r>
      <w:r>
        <w:rPr>
          <w:color w:val="000000"/>
        </w:rPr>
        <w:t>m</w:t>
      </w:r>
      <w:r>
        <w:rPr>
          <w:color w:val="000000"/>
          <w:spacing w:val="-4"/>
        </w:rPr>
        <w:t>i</w:t>
      </w:r>
      <w:r>
        <w:rPr>
          <w:color w:val="000000"/>
        </w:rPr>
        <w:t>n</w:t>
      </w:r>
      <w:r>
        <w:rPr>
          <w:color w:val="000000"/>
          <w:spacing w:val="-1"/>
        </w:rPr>
        <w:t>ė</w:t>
      </w:r>
      <w:r>
        <w:rPr>
          <w:color w:val="000000"/>
        </w:rPr>
        <w:t>s</w:t>
      </w:r>
      <w:r>
        <w:rPr>
          <w:color w:val="000000"/>
          <w:spacing w:val="5"/>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spacing w:val="7"/>
        </w:rPr>
        <w:t>g</w:t>
      </w:r>
      <w:r>
        <w:rPr>
          <w:color w:val="000000"/>
          <w:spacing w:val="5"/>
        </w:rPr>
        <w:t>o</w:t>
      </w:r>
      <w:r>
        <w:rPr>
          <w:color w:val="000000"/>
        </w:rPr>
        <w:t>s α</w:t>
      </w:r>
      <w:r>
        <w:rPr>
          <w:color w:val="000000"/>
          <w:spacing w:val="2"/>
        </w:rPr>
        <w:t>-</w:t>
      </w:r>
      <w:r>
        <w:rPr>
          <w:color w:val="000000"/>
        </w:rPr>
        <w:t>p</w:t>
      </w:r>
      <w:r>
        <w:rPr>
          <w:color w:val="000000"/>
          <w:spacing w:val="-5"/>
        </w:rPr>
        <w:t>h</w:t>
      </w:r>
      <w:r>
        <w:rPr>
          <w:color w:val="000000"/>
          <w:spacing w:val="4"/>
        </w:rPr>
        <w:t>e</w:t>
      </w:r>
      <w:r>
        <w:rPr>
          <w:color w:val="000000"/>
        </w:rPr>
        <w:t>ny</w:t>
      </w:r>
      <w:r>
        <w:rPr>
          <w:color w:val="000000"/>
          <w:spacing w:val="-4"/>
        </w:rPr>
        <w:t>l</w:t>
      </w:r>
      <w:r>
        <w:rPr>
          <w:color w:val="000000"/>
          <w:spacing w:val="-1"/>
        </w:rPr>
        <w:t>ace</w:t>
      </w:r>
      <w:r>
        <w:rPr>
          <w:color w:val="000000"/>
          <w:spacing w:val="5"/>
        </w:rPr>
        <w:t>to</w:t>
      </w:r>
      <w:r>
        <w:rPr>
          <w:color w:val="000000"/>
          <w:spacing w:val="-1"/>
        </w:rPr>
        <w:t>ace</w:t>
      </w:r>
      <w:r>
        <w:rPr>
          <w:color w:val="000000"/>
        </w:rPr>
        <w:t>t</w:t>
      </w:r>
      <w:r>
        <w:rPr>
          <w:color w:val="000000"/>
          <w:spacing w:val="5"/>
        </w:rPr>
        <w:t>o</w:t>
      </w:r>
      <w:r>
        <w:rPr>
          <w:color w:val="000000"/>
        </w:rPr>
        <w:t>n</w:t>
      </w:r>
      <w:r>
        <w:rPr>
          <w:color w:val="000000"/>
          <w:spacing w:val="-9"/>
        </w:rPr>
        <w:t>i</w:t>
      </w:r>
      <w:r>
        <w:rPr>
          <w:color w:val="000000"/>
          <w:spacing w:val="5"/>
        </w:rPr>
        <w:t>t</w:t>
      </w:r>
      <w:r>
        <w:rPr>
          <w:color w:val="000000"/>
          <w:spacing w:val="1"/>
        </w:rPr>
        <w:t>r</w:t>
      </w:r>
      <w:r>
        <w:rPr>
          <w:color w:val="000000"/>
        </w:rPr>
        <w:t xml:space="preserve">il </w:t>
      </w:r>
      <w:r>
        <w:rPr>
          <w:color w:val="000000"/>
          <w:spacing w:val="1"/>
        </w:rPr>
        <w:t>(</w:t>
      </w:r>
      <w:r>
        <w:rPr>
          <w:color w:val="000000"/>
          <w:spacing w:val="-5"/>
        </w:rPr>
        <w:t>A</w:t>
      </w:r>
      <w:r>
        <w:rPr>
          <w:color w:val="000000"/>
          <w:spacing w:val="6"/>
        </w:rPr>
        <w:t>P</w:t>
      </w:r>
      <w:r>
        <w:rPr>
          <w:color w:val="000000"/>
        </w:rPr>
        <w:t>A</w:t>
      </w:r>
      <w:r>
        <w:rPr>
          <w:color w:val="000000"/>
          <w:spacing w:val="-6"/>
        </w:rPr>
        <w:t>A</w:t>
      </w:r>
      <w:r>
        <w:rPr>
          <w:color w:val="000000"/>
        </w:rPr>
        <w:t>N)</w:t>
      </w:r>
      <w:r>
        <w:rPr>
          <w:color w:val="000000"/>
          <w:spacing w:val="5"/>
        </w:rPr>
        <w:t xml:space="preserve"> </w:t>
      </w:r>
      <w:r>
        <w:rPr>
          <w:color w:val="000000"/>
        </w:rPr>
        <w:t>g</w:t>
      </w:r>
      <w:r>
        <w:rPr>
          <w:color w:val="000000"/>
          <w:spacing w:val="4"/>
        </w:rPr>
        <w:t>a</w:t>
      </w:r>
      <w:r>
        <w:rPr>
          <w:color w:val="000000"/>
          <w:spacing w:val="-5"/>
        </w:rPr>
        <w:t>b</w:t>
      </w:r>
      <w:r>
        <w:rPr>
          <w:color w:val="000000"/>
          <w:spacing w:val="4"/>
        </w:rPr>
        <w:t>e</w:t>
      </w:r>
      <w:r>
        <w:rPr>
          <w:color w:val="000000"/>
        </w:rPr>
        <w:t>ni</w:t>
      </w:r>
      <w:r>
        <w:rPr>
          <w:color w:val="000000"/>
          <w:spacing w:val="-9"/>
        </w:rPr>
        <w:t>m</w:t>
      </w:r>
      <w:r>
        <w:rPr>
          <w:color w:val="000000"/>
        </w:rPr>
        <w:t>o</w:t>
      </w:r>
      <w:r>
        <w:rPr>
          <w:color w:val="000000"/>
          <w:spacing w:val="9"/>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4"/>
        </w:rPr>
        <w:t xml:space="preserve"> </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rPr>
        <w:t>u</w:t>
      </w:r>
      <w:r>
        <w:rPr>
          <w:color w:val="000000"/>
          <w:spacing w:val="-2"/>
        </w:rPr>
        <w:t>s</w:t>
      </w:r>
      <w:r>
        <w:rPr>
          <w:color w:val="000000"/>
        </w:rPr>
        <w:t>.</w:t>
      </w:r>
      <w:r>
        <w:rPr>
          <w:color w:val="000000"/>
          <w:spacing w:val="7"/>
        </w:rPr>
        <w:t xml:space="preserve"> </w:t>
      </w:r>
      <w:r>
        <w:rPr>
          <w:color w:val="000000"/>
          <w:spacing w:val="6"/>
        </w:rPr>
        <w:t>Š</w:t>
      </w:r>
      <w:r>
        <w:rPr>
          <w:color w:val="000000"/>
        </w:rPr>
        <w:t xml:space="preserve">i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4"/>
        </w:rPr>
        <w:t>a</w:t>
      </w:r>
      <w:r>
        <w:rPr>
          <w:color w:val="000000"/>
        </w:rPr>
        <w:t>ga</w:t>
      </w:r>
      <w:r>
        <w:rPr>
          <w:color w:val="000000"/>
          <w:spacing w:val="8"/>
        </w:rPr>
        <w:t xml:space="preserve"> </w:t>
      </w:r>
      <w:r>
        <w:rPr>
          <w:color w:val="000000"/>
          <w:spacing w:val="-10"/>
        </w:rPr>
        <w:t>y</w:t>
      </w:r>
      <w:r>
        <w:rPr>
          <w:color w:val="000000"/>
          <w:spacing w:val="1"/>
        </w:rPr>
        <w:t>r</w:t>
      </w:r>
      <w:r>
        <w:rPr>
          <w:color w:val="000000"/>
        </w:rPr>
        <w:t>a</w:t>
      </w:r>
      <w:r>
        <w:rPr>
          <w:color w:val="000000"/>
          <w:spacing w:val="8"/>
        </w:rPr>
        <w:t xml:space="preserve"> </w:t>
      </w:r>
      <w:r>
        <w:rPr>
          <w:color w:val="000000"/>
          <w:spacing w:val="-5"/>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4"/>
        </w:rPr>
        <w:t>li</w:t>
      </w:r>
      <w:r>
        <w:rPr>
          <w:color w:val="000000"/>
        </w:rPr>
        <w:t>u</w:t>
      </w:r>
      <w:r>
        <w:rPr>
          <w:color w:val="000000"/>
          <w:spacing w:val="9"/>
        </w:rPr>
        <w:t>o</w:t>
      </w:r>
      <w:r>
        <w:rPr>
          <w:color w:val="000000"/>
          <w:spacing w:val="-9"/>
        </w:rPr>
        <w:t>j</w:t>
      </w:r>
      <w:r>
        <w:rPr>
          <w:color w:val="000000"/>
          <w:spacing w:val="4"/>
        </w:rPr>
        <w:t>a</w:t>
      </w:r>
      <w:r>
        <w:rPr>
          <w:color w:val="000000"/>
          <w:spacing w:val="-4"/>
        </w:rPr>
        <w:t>m</w:t>
      </w:r>
      <w:r>
        <w:rPr>
          <w:color w:val="000000"/>
          <w:spacing w:val="-1"/>
        </w:rPr>
        <w:t>a</w:t>
      </w:r>
      <w:r>
        <w:rPr>
          <w:color w:val="000000"/>
        </w:rPr>
        <w:t>,</w:t>
      </w:r>
      <w:r>
        <w:rPr>
          <w:color w:val="000000"/>
          <w:spacing w:val="11"/>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spacing w:val="-4"/>
        </w:rPr>
        <w:t>m</w:t>
      </w:r>
      <w:r>
        <w:rPr>
          <w:color w:val="000000"/>
        </w:rPr>
        <w:t>a</w:t>
      </w:r>
      <w:r>
        <w:rPr>
          <w:color w:val="000000"/>
          <w:spacing w:val="3"/>
        </w:rPr>
        <w:t xml:space="preserve">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10"/>
        </w:rPr>
        <w:t>t</w:t>
      </w:r>
      <w:r>
        <w:rPr>
          <w:color w:val="000000"/>
          <w:spacing w:val="-4"/>
        </w:rPr>
        <w:t>i</w:t>
      </w:r>
      <w:r>
        <w:rPr>
          <w:color w:val="000000"/>
        </w:rPr>
        <w:t>n</w:t>
      </w:r>
      <w:r>
        <w:rPr>
          <w:color w:val="000000"/>
          <w:spacing w:val="-4"/>
        </w:rPr>
        <w:t>i</w:t>
      </w:r>
      <w:r>
        <w:rPr>
          <w:color w:val="000000"/>
        </w:rPr>
        <w:t xml:space="preserve">ų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31"/>
        </w:rPr>
        <w:t xml:space="preserve"> </w:t>
      </w:r>
      <w:r>
        <w:rPr>
          <w:color w:val="000000"/>
          <w:spacing w:val="5"/>
        </w:rPr>
        <w:t>p</w:t>
      </w:r>
      <w:r>
        <w:rPr>
          <w:color w:val="000000"/>
          <w:spacing w:val="-9"/>
        </w:rPr>
        <w:t>i</w:t>
      </w:r>
      <w:r>
        <w:rPr>
          <w:color w:val="000000"/>
          <w:spacing w:val="6"/>
        </w:rPr>
        <w:t>r</w:t>
      </w:r>
      <w:r>
        <w:rPr>
          <w:color w:val="000000"/>
          <w:spacing w:val="-9"/>
        </w:rPr>
        <w:t>m</w:t>
      </w:r>
      <w:r>
        <w:rPr>
          <w:color w:val="000000"/>
          <w:spacing w:val="5"/>
        </w:rPr>
        <w:t>t</w:t>
      </w:r>
      <w:r>
        <w:rPr>
          <w:color w:val="000000"/>
          <w:spacing w:val="-1"/>
        </w:rPr>
        <w:t>a</w:t>
      </w:r>
      <w:r>
        <w:rPr>
          <w:color w:val="000000"/>
        </w:rPr>
        <w:t>ko</w:t>
      </w:r>
      <w:r>
        <w:rPr>
          <w:color w:val="000000"/>
          <w:spacing w:val="36"/>
        </w:rPr>
        <w:t xml:space="preserve"> </w:t>
      </w:r>
      <w:r>
        <w:rPr>
          <w:color w:val="000000"/>
          <w:spacing w:val="-2"/>
        </w:rPr>
        <w:t>BM</w:t>
      </w:r>
      <w:r>
        <w:rPr>
          <w:color w:val="000000"/>
        </w:rPr>
        <w:t>K</w:t>
      </w:r>
      <w:r>
        <w:rPr>
          <w:color w:val="000000"/>
          <w:spacing w:val="26"/>
        </w:rPr>
        <w:t xml:space="preserve"> </w:t>
      </w:r>
      <w:r>
        <w:rPr>
          <w:color w:val="000000"/>
        </w:rPr>
        <w:t>g</w:t>
      </w:r>
      <w:r>
        <w:rPr>
          <w:color w:val="000000"/>
          <w:spacing w:val="4"/>
        </w:rPr>
        <w:t>a</w:t>
      </w:r>
      <w:r>
        <w:rPr>
          <w:color w:val="000000"/>
        </w:rPr>
        <w:t>m</w:t>
      </w:r>
      <w:r>
        <w:rPr>
          <w:color w:val="000000"/>
          <w:spacing w:val="-4"/>
        </w:rPr>
        <w:t>y</w:t>
      </w:r>
      <w:r>
        <w:rPr>
          <w:color w:val="000000"/>
        </w:rPr>
        <w:t>b</w:t>
      </w:r>
      <w:r>
        <w:rPr>
          <w:color w:val="000000"/>
          <w:spacing w:val="4"/>
        </w:rPr>
        <w:t>a</w:t>
      </w:r>
      <w:r>
        <w:rPr>
          <w:color w:val="000000"/>
          <w:spacing w:val="-4"/>
        </w:rPr>
        <w:t>i</w:t>
      </w:r>
      <w:r>
        <w:rPr>
          <w:color w:val="000000"/>
        </w:rPr>
        <w:t>.</w:t>
      </w:r>
      <w:r>
        <w:rPr>
          <w:color w:val="000000"/>
          <w:spacing w:val="33"/>
        </w:rPr>
        <w:t xml:space="preserve"> </w:t>
      </w:r>
      <w:r>
        <w:rPr>
          <w:color w:val="000000"/>
          <w:spacing w:val="2"/>
        </w:rPr>
        <w:t>J</w:t>
      </w:r>
      <w:r>
        <w:rPr>
          <w:color w:val="000000"/>
        </w:rPr>
        <w:t>i</w:t>
      </w:r>
      <w:r>
        <w:rPr>
          <w:color w:val="000000"/>
          <w:spacing w:val="31"/>
        </w:rPr>
        <w:t xml:space="preserve"> </w:t>
      </w:r>
      <w:r>
        <w:rPr>
          <w:color w:val="000000"/>
        </w:rPr>
        <w:t>į</w:t>
      </w:r>
      <w:r>
        <w:rPr>
          <w:color w:val="000000"/>
          <w:spacing w:val="22"/>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s</w:t>
      </w:r>
      <w:r>
        <w:rPr>
          <w:color w:val="000000"/>
          <w:spacing w:val="29"/>
        </w:rPr>
        <w:t xml:space="preserve"> </w:t>
      </w:r>
      <w:r>
        <w:rPr>
          <w:color w:val="000000"/>
          <w:spacing w:val="1"/>
        </w:rPr>
        <w:t>S</w:t>
      </w:r>
      <w:r>
        <w:rPr>
          <w:color w:val="000000"/>
          <w:spacing w:val="4"/>
        </w:rPr>
        <w:t>ą</w:t>
      </w:r>
      <w:r>
        <w:rPr>
          <w:color w:val="000000"/>
          <w:spacing w:val="-9"/>
        </w:rPr>
        <w:t>j</w:t>
      </w:r>
      <w:r>
        <w:rPr>
          <w:color w:val="000000"/>
          <w:spacing w:val="5"/>
        </w:rPr>
        <w:t>u</w:t>
      </w:r>
      <w:r>
        <w:rPr>
          <w:color w:val="000000"/>
          <w:spacing w:val="-5"/>
        </w:rPr>
        <w:t>n</w:t>
      </w:r>
      <w:r>
        <w:rPr>
          <w:color w:val="000000"/>
        </w:rPr>
        <w:t>gą</w:t>
      </w:r>
      <w:r>
        <w:rPr>
          <w:color w:val="000000"/>
          <w:spacing w:val="30"/>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rPr>
        <w:t>a</w:t>
      </w:r>
      <w:r>
        <w:rPr>
          <w:color w:val="000000"/>
          <w:spacing w:val="35"/>
        </w:rPr>
        <w:t xml:space="preserve"> </w:t>
      </w:r>
      <w:r>
        <w:rPr>
          <w:color w:val="000000"/>
          <w:spacing w:val="-4"/>
        </w:rPr>
        <w:t>i</w:t>
      </w:r>
      <w:r>
        <w:rPr>
          <w:color w:val="000000"/>
        </w:rPr>
        <w:t>š</w:t>
      </w:r>
      <w:r>
        <w:rPr>
          <w:color w:val="000000"/>
          <w:spacing w:val="34"/>
        </w:rPr>
        <w:t xml:space="preserve"> </w:t>
      </w:r>
      <w:r>
        <w:rPr>
          <w:color w:val="000000"/>
        </w:rPr>
        <w:t>K</w:t>
      </w:r>
      <w:r>
        <w:rPr>
          <w:color w:val="000000"/>
          <w:spacing w:val="-5"/>
        </w:rPr>
        <w:t>i</w:t>
      </w:r>
      <w:r>
        <w:rPr>
          <w:color w:val="000000"/>
          <w:spacing w:val="5"/>
        </w:rPr>
        <w:t>n</w:t>
      </w:r>
      <w:r>
        <w:rPr>
          <w:color w:val="000000"/>
        </w:rPr>
        <w:t>i</w:t>
      </w:r>
      <w:r>
        <w:rPr>
          <w:color w:val="000000"/>
          <w:spacing w:val="-9"/>
        </w:rPr>
        <w:t>j</w:t>
      </w:r>
      <w:r>
        <w:rPr>
          <w:color w:val="000000"/>
          <w:spacing w:val="5"/>
        </w:rPr>
        <w:t>o</w:t>
      </w:r>
      <w:r>
        <w:rPr>
          <w:color w:val="000000"/>
          <w:spacing w:val="-2"/>
        </w:rPr>
        <w:t>s</w:t>
      </w:r>
      <w:r>
        <w:rPr>
          <w:color w:val="000000"/>
        </w:rPr>
        <w:t>.</w:t>
      </w:r>
      <w:r>
        <w:rPr>
          <w:color w:val="000000"/>
          <w:spacing w:val="33"/>
        </w:rPr>
        <w:t xml:space="preserve"> </w:t>
      </w:r>
      <w:r>
        <w:rPr>
          <w:color w:val="000000"/>
        </w:rPr>
        <w:t>G</w:t>
      </w:r>
      <w:r>
        <w:rPr>
          <w:color w:val="000000"/>
          <w:spacing w:val="3"/>
        </w:rPr>
        <w:t>a</w:t>
      </w:r>
      <w:r>
        <w:rPr>
          <w:color w:val="000000"/>
          <w:spacing w:val="-5"/>
        </w:rPr>
        <w:t>b</w:t>
      </w:r>
      <w:r>
        <w:rPr>
          <w:color w:val="000000"/>
          <w:spacing w:val="4"/>
        </w:rPr>
        <w:t>e</w:t>
      </w:r>
      <w:r>
        <w:rPr>
          <w:color w:val="000000"/>
          <w:spacing w:val="-5"/>
        </w:rPr>
        <w:t>n</w:t>
      </w:r>
      <w:r>
        <w:rPr>
          <w:color w:val="000000"/>
          <w:spacing w:val="4"/>
        </w:rPr>
        <w:t>a</w:t>
      </w:r>
      <w:r>
        <w:rPr>
          <w:color w:val="000000"/>
        </w:rPr>
        <w:t>mi</w:t>
      </w:r>
      <w:r>
        <w:rPr>
          <w:color w:val="000000"/>
          <w:spacing w:val="27"/>
        </w:rPr>
        <w:t xml:space="preserve"> </w:t>
      </w:r>
      <w:r>
        <w:rPr>
          <w:color w:val="000000"/>
          <w:spacing w:val="5"/>
        </w:rPr>
        <w:t>k</w:t>
      </w:r>
      <w:r>
        <w:rPr>
          <w:color w:val="000000"/>
          <w:spacing w:val="-4"/>
        </w:rPr>
        <w:t>i</w:t>
      </w:r>
      <w:r>
        <w:rPr>
          <w:color w:val="000000"/>
          <w:spacing w:val="-1"/>
        </w:rPr>
        <w:t>e</w:t>
      </w:r>
      <w:r>
        <w:rPr>
          <w:color w:val="000000"/>
          <w:spacing w:val="5"/>
        </w:rPr>
        <w:t>k</w:t>
      </w:r>
      <w:r>
        <w:rPr>
          <w:color w:val="000000"/>
          <w:spacing w:val="-4"/>
        </w:rPr>
        <w:t>i</w:t>
      </w:r>
      <w:r>
        <w:rPr>
          <w:color w:val="000000"/>
          <w:spacing w:val="8"/>
        </w:rPr>
        <w:t>a</w:t>
      </w:r>
      <w:r>
        <w:rPr>
          <w:color w:val="000000"/>
        </w:rPr>
        <w:t xml:space="preserve">i </w:t>
      </w:r>
      <w:r>
        <w:rPr>
          <w:color w:val="000000"/>
          <w:spacing w:val="-5"/>
        </w:rPr>
        <w:t>y</w:t>
      </w:r>
      <w:r>
        <w:rPr>
          <w:color w:val="000000"/>
          <w:spacing w:val="1"/>
        </w:rPr>
        <w:t>r</w:t>
      </w:r>
      <w:r>
        <w:rPr>
          <w:color w:val="000000"/>
        </w:rPr>
        <w:t>a</w:t>
      </w:r>
      <w:r>
        <w:rPr>
          <w:color w:val="000000"/>
          <w:spacing w:val="3"/>
        </w:rPr>
        <w:t xml:space="preserve"> </w:t>
      </w:r>
      <w:r>
        <w:rPr>
          <w:color w:val="000000"/>
          <w:spacing w:val="-4"/>
        </w:rPr>
        <w:t>į</w:t>
      </w:r>
      <w:r>
        <w:rPr>
          <w:color w:val="000000"/>
        </w:rPr>
        <w:t>v</w:t>
      </w:r>
      <w:r>
        <w:rPr>
          <w:color w:val="000000"/>
          <w:spacing w:val="4"/>
        </w:rPr>
        <w:t>a</w:t>
      </w:r>
      <w:r>
        <w:rPr>
          <w:color w:val="000000"/>
          <w:spacing w:val="-4"/>
        </w:rPr>
        <w:t>i</w:t>
      </w:r>
      <w:r>
        <w:rPr>
          <w:color w:val="000000"/>
          <w:spacing w:val="1"/>
        </w:rPr>
        <w:t>r</w:t>
      </w:r>
      <w:r>
        <w:rPr>
          <w:color w:val="000000"/>
        </w:rPr>
        <w:t>ūs</w:t>
      </w:r>
      <w:r>
        <w:rPr>
          <w:color w:val="000000"/>
          <w:spacing w:val="2"/>
        </w:rPr>
        <w:t xml:space="preserve"> </w:t>
      </w:r>
      <w:r>
        <w:rPr>
          <w:color w:val="000000"/>
          <w:spacing w:val="5"/>
        </w:rPr>
        <w:t>t</w:t>
      </w:r>
      <w:r>
        <w:rPr>
          <w:color w:val="000000"/>
          <w:spacing w:val="2"/>
        </w:rPr>
        <w:t>.</w:t>
      </w:r>
      <w:r>
        <w:rPr>
          <w:color w:val="000000"/>
          <w:spacing w:val="-10"/>
        </w:rPr>
        <w:t>y</w:t>
      </w:r>
      <w:r>
        <w:rPr>
          <w:color w:val="000000"/>
        </w:rPr>
        <w:t>.</w:t>
      </w:r>
      <w:r>
        <w:rPr>
          <w:color w:val="000000"/>
          <w:spacing w:val="7"/>
        </w:rPr>
        <w:t xml:space="preserve"> </w:t>
      </w:r>
      <w:r>
        <w:rPr>
          <w:color w:val="000000"/>
          <w:spacing w:val="-5"/>
        </w:rPr>
        <w:t>n</w:t>
      </w:r>
      <w:r>
        <w:rPr>
          <w:color w:val="000000"/>
        </w:rPr>
        <w:t>uo</w:t>
      </w:r>
      <w:r>
        <w:rPr>
          <w:color w:val="000000"/>
          <w:spacing w:val="4"/>
        </w:rPr>
        <w:t xml:space="preserve"> </w:t>
      </w:r>
      <w:r>
        <w:rPr>
          <w:color w:val="000000"/>
        </w:rPr>
        <w:t>k</w:t>
      </w:r>
      <w:r>
        <w:rPr>
          <w:color w:val="000000"/>
          <w:spacing w:val="4"/>
        </w:rPr>
        <w:t>e</w:t>
      </w:r>
      <w:r>
        <w:rPr>
          <w:color w:val="000000"/>
        </w:rPr>
        <w:t>l</w:t>
      </w:r>
      <w:r>
        <w:rPr>
          <w:color w:val="000000"/>
          <w:spacing w:val="-4"/>
        </w:rPr>
        <w:t>i</w:t>
      </w:r>
      <w:r>
        <w:rPr>
          <w:color w:val="000000"/>
        </w:rPr>
        <w:t xml:space="preserve">ų </w:t>
      </w:r>
      <w:r>
        <w:rPr>
          <w:color w:val="000000"/>
          <w:spacing w:val="2"/>
        </w:rPr>
        <w:t>š</w:t>
      </w:r>
      <w:r>
        <w:rPr>
          <w:color w:val="000000"/>
        </w:rPr>
        <w:t>i</w:t>
      </w:r>
      <w:r>
        <w:rPr>
          <w:color w:val="000000"/>
          <w:spacing w:val="-9"/>
        </w:rPr>
        <w:t>m</w:t>
      </w:r>
      <w:r>
        <w:rPr>
          <w:color w:val="000000"/>
          <w:spacing w:val="5"/>
        </w:rPr>
        <w:t>t</w:t>
      </w:r>
      <w:r>
        <w:rPr>
          <w:color w:val="000000"/>
        </w:rPr>
        <w:t>ų</w:t>
      </w:r>
      <w:r>
        <w:rPr>
          <w:color w:val="000000"/>
          <w:spacing w:val="4"/>
        </w:rPr>
        <w:t xml:space="preserve"> </w:t>
      </w:r>
      <w:r>
        <w:rPr>
          <w:color w:val="000000"/>
          <w:spacing w:val="5"/>
        </w:rPr>
        <w:t>k</w:t>
      </w:r>
      <w:r>
        <w:rPr>
          <w:color w:val="000000"/>
          <w:spacing w:val="-4"/>
        </w:rPr>
        <w:t>i</w:t>
      </w:r>
      <w:r>
        <w:rPr>
          <w:color w:val="000000"/>
          <w:spacing w:val="-9"/>
        </w:rPr>
        <w:t>l</w:t>
      </w:r>
      <w:r>
        <w:rPr>
          <w:color w:val="000000"/>
          <w:spacing w:val="5"/>
        </w:rPr>
        <w:t>o</w:t>
      </w:r>
      <w:r>
        <w:rPr>
          <w:color w:val="000000"/>
        </w:rPr>
        <w:t>g</w:t>
      </w:r>
      <w:r>
        <w:rPr>
          <w:color w:val="000000"/>
          <w:spacing w:val="1"/>
        </w:rPr>
        <w:t>r</w:t>
      </w:r>
      <w:r>
        <w:rPr>
          <w:color w:val="000000"/>
          <w:spacing w:val="4"/>
        </w:rPr>
        <w:t>a</w:t>
      </w:r>
      <w:r>
        <w:rPr>
          <w:color w:val="000000"/>
          <w:spacing w:val="-4"/>
        </w:rPr>
        <w:t>m</w:t>
      </w:r>
      <w:r>
        <w:rPr>
          <w:color w:val="000000"/>
        </w:rPr>
        <w:t>ų</w:t>
      </w:r>
      <w:r>
        <w:rPr>
          <w:color w:val="000000"/>
          <w:spacing w:val="9"/>
        </w:rPr>
        <w:t xml:space="preserve"> </w:t>
      </w:r>
      <w:r>
        <w:rPr>
          <w:color w:val="000000"/>
          <w:spacing w:val="-9"/>
        </w:rPr>
        <w:t>i</w:t>
      </w:r>
      <w:r>
        <w:rPr>
          <w:color w:val="000000"/>
          <w:spacing w:val="5"/>
        </w:rPr>
        <w:t>k</w:t>
      </w:r>
      <w:r>
        <w:rPr>
          <w:color w:val="000000"/>
        </w:rPr>
        <w:t xml:space="preserve">i </w:t>
      </w:r>
      <w:r>
        <w:rPr>
          <w:color w:val="000000"/>
          <w:spacing w:val="13"/>
        </w:rPr>
        <w:t>k</w:t>
      </w:r>
      <w:r>
        <w:rPr>
          <w:color w:val="000000"/>
          <w:spacing w:val="4"/>
        </w:rPr>
        <w:t>e</w:t>
      </w:r>
      <w:r>
        <w:rPr>
          <w:color w:val="000000"/>
          <w:spacing w:val="-4"/>
        </w:rPr>
        <w:t>li</w:t>
      </w:r>
      <w:r>
        <w:rPr>
          <w:color w:val="000000"/>
        </w:rPr>
        <w:t xml:space="preserve">ų </w:t>
      </w:r>
      <w:r>
        <w:rPr>
          <w:color w:val="000000"/>
          <w:spacing w:val="5"/>
        </w:rPr>
        <w:t>to</w:t>
      </w:r>
      <w:r>
        <w:rPr>
          <w:color w:val="000000"/>
          <w:spacing w:val="-5"/>
        </w:rPr>
        <w:t>n</w:t>
      </w:r>
      <w:r>
        <w:rPr>
          <w:color w:val="000000"/>
        </w:rPr>
        <w:t>ų.</w:t>
      </w:r>
      <w:r>
        <w:rPr>
          <w:color w:val="000000"/>
          <w:spacing w:val="2"/>
        </w:rPr>
        <w:t xml:space="preserve"> T</w:t>
      </w:r>
      <w:r>
        <w:rPr>
          <w:color w:val="000000"/>
        </w:rPr>
        <w:t>u</w:t>
      </w:r>
      <w:r>
        <w:rPr>
          <w:color w:val="000000"/>
          <w:spacing w:val="1"/>
        </w:rPr>
        <w:t>r</w:t>
      </w:r>
      <w:r>
        <w:rPr>
          <w:color w:val="000000"/>
          <w:spacing w:val="-4"/>
        </w:rPr>
        <w:t>im</w:t>
      </w:r>
      <w:r>
        <w:rPr>
          <w:color w:val="000000"/>
          <w:spacing w:val="4"/>
        </w:rPr>
        <w:t>a</w:t>
      </w:r>
      <w:r>
        <w:rPr>
          <w:color w:val="000000"/>
          <w:spacing w:val="-4"/>
        </w:rPr>
        <w:t>i</w:t>
      </w:r>
      <w:r>
        <w:rPr>
          <w:color w:val="000000"/>
        </w:rPr>
        <w:t>s</w:t>
      </w:r>
      <w:r>
        <w:rPr>
          <w:color w:val="000000"/>
          <w:spacing w:val="2"/>
        </w:rPr>
        <w:t xml:space="preserve"> </w:t>
      </w:r>
      <w:r>
        <w:rPr>
          <w:color w:val="000000"/>
        </w:rPr>
        <w:t>du</w:t>
      </w:r>
      <w:r>
        <w:rPr>
          <w:color w:val="000000"/>
          <w:spacing w:val="9"/>
        </w:rPr>
        <w:t>o</w:t>
      </w:r>
      <w:r>
        <w:rPr>
          <w:color w:val="000000"/>
          <w:spacing w:val="-9"/>
        </w:rPr>
        <w:t>m</w:t>
      </w:r>
      <w:r>
        <w:rPr>
          <w:color w:val="000000"/>
          <w:spacing w:val="4"/>
        </w:rPr>
        <w:t>e</w:t>
      </w:r>
      <w:r>
        <w:rPr>
          <w:color w:val="000000"/>
        </w:rPr>
        <w:t>ni</w:t>
      </w:r>
      <w:r>
        <w:rPr>
          <w:color w:val="000000"/>
          <w:spacing w:val="1"/>
        </w:rPr>
        <w:t>m</w:t>
      </w:r>
      <w:r>
        <w:rPr>
          <w:color w:val="000000"/>
          <w:spacing w:val="-4"/>
        </w:rPr>
        <w:t>i</w:t>
      </w:r>
      <w:r>
        <w:rPr>
          <w:color w:val="000000"/>
        </w:rPr>
        <w:t>s</w:t>
      </w:r>
      <w:r>
        <w:rPr>
          <w:color w:val="000000"/>
          <w:spacing w:val="2"/>
        </w:rPr>
        <w:t xml:space="preserve"> š</w:t>
      </w:r>
      <w:r>
        <w:rPr>
          <w:color w:val="000000"/>
          <w:spacing w:val="-9"/>
        </w:rPr>
        <w:t>i</w:t>
      </w:r>
      <w:r>
        <w:rPr>
          <w:color w:val="000000"/>
          <w:spacing w:val="9"/>
        </w:rPr>
        <w:t>o</w:t>
      </w:r>
      <w:r>
        <w:rPr>
          <w:color w:val="000000"/>
        </w:rPr>
        <w:t>s</w:t>
      </w:r>
      <w:r>
        <w:rPr>
          <w:color w:val="000000"/>
          <w:spacing w:val="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 g</w:t>
      </w:r>
      <w:r>
        <w:rPr>
          <w:color w:val="000000"/>
          <w:spacing w:val="-1"/>
        </w:rPr>
        <w:t>a</w:t>
      </w:r>
      <w:r>
        <w:rPr>
          <w:color w:val="000000"/>
          <w:spacing w:val="-5"/>
        </w:rPr>
        <w:t>b</w:t>
      </w:r>
      <w:r>
        <w:rPr>
          <w:color w:val="000000"/>
          <w:spacing w:val="4"/>
        </w:rPr>
        <w:t>e</w:t>
      </w:r>
      <w:r>
        <w:rPr>
          <w:color w:val="000000"/>
        </w:rPr>
        <w:t>ni</w:t>
      </w:r>
      <w:r>
        <w:rPr>
          <w:color w:val="000000"/>
          <w:spacing w:val="-9"/>
        </w:rPr>
        <w:t>m</w:t>
      </w:r>
      <w:r>
        <w:rPr>
          <w:color w:val="000000"/>
        </w:rPr>
        <w:t>o</w:t>
      </w:r>
      <w:r>
        <w:rPr>
          <w:color w:val="000000"/>
          <w:spacing w:val="36"/>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rPr>
        <w:t>i</w:t>
      </w:r>
      <w:r>
        <w:rPr>
          <w:color w:val="000000"/>
          <w:spacing w:val="31"/>
        </w:rPr>
        <w:t xml:space="preserve"> </w:t>
      </w:r>
      <w:r>
        <w:rPr>
          <w:color w:val="000000"/>
        </w:rPr>
        <w:t>į</w:t>
      </w:r>
      <w:r>
        <w:rPr>
          <w:color w:val="000000"/>
          <w:spacing w:val="27"/>
        </w:rPr>
        <w:t xml:space="preserve"> </w:t>
      </w:r>
      <w:r>
        <w:rPr>
          <w:color w:val="000000"/>
          <w:spacing w:val="2"/>
        </w:rPr>
        <w:t>E</w:t>
      </w:r>
      <w:r>
        <w:rPr>
          <w:color w:val="000000"/>
        </w:rPr>
        <w:t>S</w:t>
      </w:r>
      <w:r>
        <w:rPr>
          <w:color w:val="000000"/>
          <w:spacing w:val="32"/>
        </w:rPr>
        <w:t xml:space="preserve"> </w:t>
      </w:r>
      <w:r>
        <w:rPr>
          <w:color w:val="000000"/>
          <w:spacing w:val="-5"/>
        </w:rPr>
        <w:t>b</w:t>
      </w:r>
      <w:r>
        <w:rPr>
          <w:color w:val="000000"/>
          <w:spacing w:val="5"/>
        </w:rPr>
        <w:t>u</w:t>
      </w:r>
      <w:r>
        <w:rPr>
          <w:color w:val="000000"/>
          <w:spacing w:val="-5"/>
        </w:rPr>
        <w:t>v</w:t>
      </w:r>
      <w:r>
        <w:rPr>
          <w:color w:val="000000"/>
        </w:rPr>
        <w:t>o</w:t>
      </w:r>
      <w:r>
        <w:rPr>
          <w:color w:val="000000"/>
          <w:spacing w:val="40"/>
        </w:rPr>
        <w:t xml:space="preserve"> </w:t>
      </w:r>
      <w:r>
        <w:rPr>
          <w:color w:val="000000"/>
          <w:spacing w:val="-3"/>
        </w:rPr>
        <w:t>f</w:t>
      </w:r>
      <w:r>
        <w:rPr>
          <w:color w:val="000000"/>
          <w:spacing w:val="-4"/>
        </w:rPr>
        <w:t>i</w:t>
      </w:r>
      <w:r>
        <w:rPr>
          <w:color w:val="000000"/>
        </w:rPr>
        <w:t>k</w:t>
      </w:r>
      <w:r>
        <w:rPr>
          <w:color w:val="000000"/>
          <w:spacing w:val="-2"/>
        </w:rPr>
        <w:t>s</w:t>
      </w:r>
      <w:r>
        <w:rPr>
          <w:color w:val="000000"/>
        </w:rPr>
        <w:t>u</w:t>
      </w:r>
      <w:r>
        <w:rPr>
          <w:color w:val="000000"/>
          <w:spacing w:val="5"/>
        </w:rPr>
        <w:t>ot</w:t>
      </w:r>
      <w:r>
        <w:rPr>
          <w:color w:val="000000"/>
        </w:rPr>
        <w:t>i</w:t>
      </w:r>
      <w:r>
        <w:rPr>
          <w:color w:val="000000"/>
          <w:spacing w:val="22"/>
        </w:rPr>
        <w:t xml:space="preserve"> </w:t>
      </w:r>
      <w:r>
        <w:rPr>
          <w:color w:val="000000"/>
          <w:spacing w:val="1"/>
        </w:rPr>
        <w:t>S</w:t>
      </w:r>
      <w:r>
        <w:rPr>
          <w:color w:val="000000"/>
        </w:rPr>
        <w:t>u</w:t>
      </w:r>
      <w:r>
        <w:rPr>
          <w:color w:val="000000"/>
          <w:spacing w:val="9"/>
        </w:rPr>
        <w:t>o</w:t>
      </w:r>
      <w:r>
        <w:rPr>
          <w:color w:val="000000"/>
          <w:spacing w:val="-4"/>
        </w:rPr>
        <w:t>mi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38"/>
        </w:rPr>
        <w:t xml:space="preserve"> </w:t>
      </w:r>
      <w:r>
        <w:rPr>
          <w:color w:val="000000"/>
          <w:spacing w:val="-3"/>
        </w:rPr>
        <w:t>L</w:t>
      </w:r>
      <w:r>
        <w:rPr>
          <w:color w:val="000000"/>
          <w:spacing w:val="-1"/>
        </w:rPr>
        <w:t>a</w:t>
      </w:r>
      <w:r>
        <w:rPr>
          <w:color w:val="000000"/>
          <w:spacing w:val="5"/>
        </w:rPr>
        <w:t>t</w:t>
      </w:r>
      <w:r>
        <w:rPr>
          <w:color w:val="000000"/>
        </w:rPr>
        <w:t>v</w:t>
      </w:r>
      <w:r>
        <w:rPr>
          <w:color w:val="000000"/>
          <w:spacing w:val="-4"/>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33"/>
        </w:rPr>
        <w:t xml:space="preserve"> </w:t>
      </w:r>
      <w:r>
        <w:rPr>
          <w:color w:val="000000"/>
        </w:rPr>
        <w:t>V</w:t>
      </w:r>
      <w:r>
        <w:rPr>
          <w:color w:val="000000"/>
          <w:spacing w:val="4"/>
        </w:rPr>
        <w:t>o</w:t>
      </w:r>
      <w:r>
        <w:rPr>
          <w:color w:val="000000"/>
          <w:spacing w:val="5"/>
        </w:rPr>
        <w:t>k</w:t>
      </w:r>
      <w:r>
        <w:rPr>
          <w:color w:val="000000"/>
          <w:spacing w:val="-9"/>
        </w:rPr>
        <w:t>i</w:t>
      </w:r>
      <w:r>
        <w:rPr>
          <w:color w:val="000000"/>
          <w:spacing w:val="-1"/>
        </w:rPr>
        <w:t>e</w:t>
      </w:r>
      <w:r>
        <w:rPr>
          <w:color w:val="000000"/>
          <w:spacing w:val="10"/>
        </w:rPr>
        <w:t>t</w:t>
      </w:r>
      <w:r>
        <w:rPr>
          <w:color w:val="000000"/>
          <w:spacing w:val="-4"/>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33"/>
        </w:rPr>
        <w:t xml:space="preserve"> </w:t>
      </w:r>
      <w:r>
        <w:rPr>
          <w:color w:val="000000"/>
          <w:spacing w:val="-2"/>
        </w:rPr>
        <w:t>B</w:t>
      </w:r>
      <w:r>
        <w:rPr>
          <w:color w:val="000000"/>
          <w:spacing w:val="5"/>
        </w:rPr>
        <w:t>u</w:t>
      </w:r>
      <w:r>
        <w:rPr>
          <w:color w:val="000000"/>
          <w:spacing w:val="-9"/>
        </w:rPr>
        <w:t>l</w:t>
      </w:r>
      <w:r>
        <w:rPr>
          <w:color w:val="000000"/>
          <w:spacing w:val="5"/>
        </w:rPr>
        <w:t>g</w:t>
      </w:r>
      <w:r>
        <w:rPr>
          <w:color w:val="000000"/>
          <w:spacing w:val="-1"/>
        </w:rPr>
        <w:t>a</w:t>
      </w:r>
      <w:r>
        <w:rPr>
          <w:color w:val="000000"/>
          <w:spacing w:val="6"/>
        </w:rPr>
        <w:t>r</w:t>
      </w:r>
      <w:r>
        <w:rPr>
          <w:color w:val="000000"/>
          <w:spacing w:val="-4"/>
        </w:rPr>
        <w:t>i</w:t>
      </w:r>
      <w:r>
        <w:rPr>
          <w:color w:val="000000"/>
          <w:spacing w:val="-9"/>
        </w:rPr>
        <w:t>j</w:t>
      </w:r>
      <w:r>
        <w:rPr>
          <w:color w:val="000000"/>
          <w:spacing w:val="9"/>
        </w:rPr>
        <w:t>o</w:t>
      </w:r>
      <w:r>
        <w:rPr>
          <w:color w:val="000000"/>
          <w:spacing w:val="-4"/>
        </w:rPr>
        <w:t>j</w:t>
      </w:r>
      <w:r>
        <w:rPr>
          <w:color w:val="000000"/>
        </w:rPr>
        <w:t>e</w:t>
      </w:r>
      <w:r>
        <w:rPr>
          <w:color w:val="000000"/>
          <w:spacing w:val="35"/>
        </w:rPr>
        <w:t xml:space="preserve"> </w:t>
      </w:r>
      <w:r>
        <w:rPr>
          <w:color w:val="000000"/>
          <w:spacing w:val="-4"/>
        </w:rPr>
        <w:t>i</w:t>
      </w:r>
      <w:r>
        <w:rPr>
          <w:color w:val="000000"/>
        </w:rPr>
        <w:t>r</w:t>
      </w:r>
      <w:r>
        <w:rPr>
          <w:color w:val="000000"/>
          <w:spacing w:val="32"/>
        </w:rPr>
        <w:t xml:space="preserve"> </w:t>
      </w:r>
      <w:r>
        <w:rPr>
          <w:color w:val="000000"/>
          <w:spacing w:val="6"/>
        </w:rPr>
        <w:t>S</w:t>
      </w:r>
      <w:r>
        <w:rPr>
          <w:color w:val="000000"/>
          <w:spacing w:val="-9"/>
        </w:rPr>
        <w:t>l</w:t>
      </w:r>
      <w:r>
        <w:rPr>
          <w:color w:val="000000"/>
          <w:spacing w:val="5"/>
        </w:rPr>
        <w:t>o</w:t>
      </w:r>
      <w:r>
        <w:rPr>
          <w:color w:val="000000"/>
          <w:spacing w:val="-5"/>
        </w:rPr>
        <w:t>v</w:t>
      </w:r>
      <w:r>
        <w:rPr>
          <w:color w:val="000000"/>
          <w:spacing w:val="4"/>
        </w:rPr>
        <w:t>ė</w:t>
      </w:r>
      <w:r>
        <w:rPr>
          <w:color w:val="000000"/>
        </w:rPr>
        <w:t>ni</w:t>
      </w:r>
      <w:r>
        <w:rPr>
          <w:color w:val="000000"/>
          <w:spacing w:val="-9"/>
        </w:rPr>
        <w:t>j</w:t>
      </w:r>
      <w:r>
        <w:rPr>
          <w:color w:val="000000"/>
          <w:spacing w:val="9"/>
        </w:rPr>
        <w:t>o</w:t>
      </w:r>
      <w:r>
        <w:rPr>
          <w:color w:val="000000"/>
          <w:spacing w:val="-4"/>
        </w:rPr>
        <w:t>j</w:t>
      </w:r>
      <w:r>
        <w:rPr>
          <w:color w:val="000000"/>
          <w:spacing w:val="-1"/>
        </w:rPr>
        <w:t>e</w:t>
      </w:r>
      <w:r>
        <w:rPr>
          <w:color w:val="000000"/>
        </w:rPr>
        <w:t>.</w:t>
      </w:r>
    </w:p>
    <w:p w:rsidR="004F7425" w:rsidRDefault="004F7425" w:rsidP="004F7425">
      <w:pPr>
        <w:widowControl w:val="0"/>
        <w:autoSpaceDE w:val="0"/>
        <w:autoSpaceDN w:val="0"/>
        <w:adjustRightInd w:val="0"/>
        <w:spacing w:before="1" w:line="262" w:lineRule="auto"/>
        <w:ind w:left="120" w:right="64"/>
        <w:jc w:val="both"/>
        <w:rPr>
          <w:color w:val="000000"/>
        </w:rPr>
      </w:pPr>
      <w:r>
        <w:rPr>
          <w:color w:val="000000"/>
        </w:rPr>
        <w:t>2012</w:t>
      </w:r>
      <w:r>
        <w:rPr>
          <w:color w:val="000000"/>
          <w:spacing w:val="7"/>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rPr>
        <w:t>s</w:t>
      </w:r>
      <w:r>
        <w:rPr>
          <w:color w:val="000000"/>
          <w:spacing w:val="5"/>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11"/>
        </w:rPr>
        <w:t xml:space="preserve"> </w:t>
      </w:r>
      <w:r>
        <w:rPr>
          <w:color w:val="000000"/>
          <w:spacing w:val="-5"/>
        </w:rPr>
        <w:t>b</w:t>
      </w:r>
      <w:r>
        <w:rPr>
          <w:color w:val="000000"/>
          <w:spacing w:val="5"/>
        </w:rPr>
        <w:t>u</w:t>
      </w:r>
      <w:r>
        <w:rPr>
          <w:color w:val="000000"/>
          <w:spacing w:val="-5"/>
        </w:rPr>
        <w:t>v</w:t>
      </w:r>
      <w:r>
        <w:rPr>
          <w:color w:val="000000"/>
        </w:rPr>
        <w:t>o</w:t>
      </w:r>
      <w:r>
        <w:rPr>
          <w:color w:val="000000"/>
          <w:spacing w:val="12"/>
        </w:rPr>
        <w:t xml:space="preserve"> </w:t>
      </w:r>
      <w:r>
        <w:rPr>
          <w:color w:val="000000"/>
          <w:spacing w:val="-2"/>
        </w:rPr>
        <w:t>s</w:t>
      </w:r>
      <w:r>
        <w:rPr>
          <w:color w:val="000000"/>
        </w:rPr>
        <w:t>u</w:t>
      </w:r>
      <w:r>
        <w:rPr>
          <w:color w:val="000000"/>
          <w:spacing w:val="-2"/>
        </w:rPr>
        <w:t>s</w:t>
      </w:r>
      <w:r>
        <w:rPr>
          <w:color w:val="000000"/>
          <w:spacing w:val="5"/>
        </w:rPr>
        <w:t>t</w:t>
      </w:r>
      <w:r>
        <w:rPr>
          <w:color w:val="000000"/>
          <w:spacing w:val="-1"/>
        </w:rPr>
        <w:t>a</w:t>
      </w:r>
      <w:r>
        <w:rPr>
          <w:color w:val="000000"/>
          <w:spacing w:val="-5"/>
        </w:rPr>
        <w:t>b</w:t>
      </w:r>
      <w:r>
        <w:rPr>
          <w:color w:val="000000"/>
          <w:spacing w:val="5"/>
        </w:rPr>
        <w:t>d</w:t>
      </w:r>
      <w:r>
        <w:rPr>
          <w:color w:val="000000"/>
          <w:spacing w:val="-10"/>
        </w:rPr>
        <w:t>y</w:t>
      </w:r>
      <w:r>
        <w:rPr>
          <w:color w:val="000000"/>
          <w:spacing w:val="5"/>
        </w:rPr>
        <w:t>t</w:t>
      </w:r>
      <w:r>
        <w:rPr>
          <w:color w:val="000000"/>
        </w:rPr>
        <w:t>a</w:t>
      </w:r>
      <w:r>
        <w:rPr>
          <w:color w:val="000000"/>
          <w:spacing w:val="6"/>
        </w:rPr>
        <w:t xml:space="preserve"> </w:t>
      </w:r>
      <w:r>
        <w:rPr>
          <w:color w:val="000000"/>
        </w:rPr>
        <w:t>300</w:t>
      </w:r>
      <w:r>
        <w:rPr>
          <w:color w:val="000000"/>
          <w:spacing w:val="7"/>
        </w:rPr>
        <w:t xml:space="preserve"> </w:t>
      </w:r>
      <w:r>
        <w:rPr>
          <w:color w:val="000000"/>
        </w:rPr>
        <w:t>kg</w:t>
      </w:r>
      <w:r>
        <w:rPr>
          <w:color w:val="000000"/>
          <w:spacing w:val="7"/>
        </w:rPr>
        <w:t xml:space="preserve"> </w:t>
      </w:r>
      <w:r>
        <w:rPr>
          <w:color w:val="000000"/>
          <w:spacing w:val="-5"/>
        </w:rPr>
        <w:t>A</w:t>
      </w:r>
      <w:r>
        <w:rPr>
          <w:color w:val="000000"/>
          <w:spacing w:val="1"/>
        </w:rPr>
        <w:t>P</w:t>
      </w:r>
      <w:r>
        <w:rPr>
          <w:color w:val="000000"/>
        </w:rPr>
        <w:t>A</w:t>
      </w:r>
      <w:r>
        <w:rPr>
          <w:color w:val="000000"/>
          <w:spacing w:val="-6"/>
        </w:rPr>
        <w:t>A</w:t>
      </w:r>
      <w:r>
        <w:rPr>
          <w:color w:val="000000"/>
        </w:rPr>
        <w:t>N</w:t>
      </w:r>
      <w:r>
        <w:rPr>
          <w:color w:val="000000"/>
          <w:spacing w:val="6"/>
        </w:rPr>
        <w:t xml:space="preserve"> </w:t>
      </w:r>
      <w:r>
        <w:rPr>
          <w:color w:val="000000"/>
          <w:spacing w:val="2"/>
        </w:rPr>
        <w:t>s</w:t>
      </w:r>
      <w:r>
        <w:rPr>
          <w:color w:val="000000"/>
          <w:spacing w:val="-4"/>
        </w:rPr>
        <w:t>i</w:t>
      </w:r>
      <w:r>
        <w:rPr>
          <w:color w:val="000000"/>
          <w:spacing w:val="5"/>
        </w:rPr>
        <w:t>u</w:t>
      </w:r>
      <w:r>
        <w:rPr>
          <w:color w:val="000000"/>
          <w:spacing w:val="-5"/>
        </w:rPr>
        <w:t>n</w:t>
      </w:r>
      <w:r>
        <w:rPr>
          <w:color w:val="000000"/>
          <w:spacing w:val="5"/>
        </w:rPr>
        <w:t>t</w:t>
      </w:r>
      <w:r>
        <w:rPr>
          <w:color w:val="000000"/>
          <w:spacing w:val="-1"/>
        </w:rPr>
        <w:t>a</w:t>
      </w:r>
      <w:r>
        <w:rPr>
          <w:color w:val="000000"/>
        </w:rPr>
        <w:t>,</w:t>
      </w:r>
      <w:r>
        <w:rPr>
          <w:color w:val="000000"/>
          <w:spacing w:val="9"/>
        </w:rPr>
        <w:t xml:space="preserve"> </w:t>
      </w:r>
      <w:r>
        <w:rPr>
          <w:color w:val="000000"/>
        </w:rPr>
        <w:t>ku</w:t>
      </w:r>
      <w:r>
        <w:rPr>
          <w:color w:val="000000"/>
          <w:spacing w:val="1"/>
        </w:rPr>
        <w:t>r</w:t>
      </w:r>
      <w:r>
        <w:rPr>
          <w:color w:val="000000"/>
        </w:rPr>
        <w:t>i</w:t>
      </w:r>
      <w:r>
        <w:rPr>
          <w:color w:val="000000"/>
          <w:spacing w:val="-2"/>
        </w:rPr>
        <w:t xml:space="preserve"> </w:t>
      </w:r>
      <w:r>
        <w:rPr>
          <w:color w:val="000000"/>
          <w:spacing w:val="-5"/>
        </w:rPr>
        <w:t>b</w:t>
      </w:r>
      <w:r>
        <w:rPr>
          <w:color w:val="000000"/>
          <w:spacing w:val="5"/>
        </w:rPr>
        <w:t>u</w:t>
      </w:r>
      <w:r>
        <w:rPr>
          <w:color w:val="000000"/>
          <w:spacing w:val="-5"/>
        </w:rPr>
        <w:t>v</w:t>
      </w:r>
      <w:r>
        <w:rPr>
          <w:color w:val="000000"/>
        </w:rPr>
        <w:t>o</w:t>
      </w:r>
      <w:r>
        <w:rPr>
          <w:color w:val="000000"/>
          <w:spacing w:val="16"/>
        </w:rPr>
        <w:t xml:space="preserve"> </w:t>
      </w:r>
      <w:r>
        <w:rPr>
          <w:color w:val="000000"/>
          <w:spacing w:val="-4"/>
        </w:rPr>
        <w:t>im</w:t>
      </w:r>
      <w:r>
        <w:rPr>
          <w:color w:val="000000"/>
        </w:rPr>
        <w:t>p</w:t>
      </w:r>
      <w:r>
        <w:rPr>
          <w:color w:val="000000"/>
          <w:spacing w:val="5"/>
        </w:rPr>
        <w:t>o</w:t>
      </w:r>
      <w:r>
        <w:rPr>
          <w:color w:val="000000"/>
          <w:spacing w:val="-3"/>
        </w:rPr>
        <w:t>r</w:t>
      </w:r>
      <w:r>
        <w:rPr>
          <w:color w:val="000000"/>
          <w:spacing w:val="5"/>
        </w:rPr>
        <w:t>t</w:t>
      </w:r>
      <w:r>
        <w:rPr>
          <w:color w:val="000000"/>
          <w:spacing w:val="-5"/>
        </w:rPr>
        <w:t>u</w:t>
      </w:r>
      <w:r>
        <w:rPr>
          <w:color w:val="000000"/>
          <w:spacing w:val="5"/>
        </w:rPr>
        <w:t>o</w:t>
      </w:r>
      <w:r>
        <w:rPr>
          <w:color w:val="000000"/>
          <w:spacing w:val="-9"/>
        </w:rPr>
        <w:t>j</w:t>
      </w:r>
      <w:r>
        <w:rPr>
          <w:color w:val="000000"/>
          <w:spacing w:val="4"/>
        </w:rPr>
        <w:t>a</w:t>
      </w:r>
      <w:r>
        <w:rPr>
          <w:color w:val="000000"/>
          <w:spacing w:val="-4"/>
        </w:rPr>
        <w:t>m</w:t>
      </w:r>
      <w:r>
        <w:rPr>
          <w:color w:val="000000"/>
        </w:rPr>
        <w:t>a</w:t>
      </w:r>
      <w:r>
        <w:rPr>
          <w:color w:val="000000"/>
          <w:spacing w:val="11"/>
        </w:rPr>
        <w:t xml:space="preserve"> </w:t>
      </w:r>
      <w:r>
        <w:rPr>
          <w:color w:val="000000"/>
          <w:spacing w:val="-4"/>
        </w:rPr>
        <w:t>i</w:t>
      </w:r>
      <w:r>
        <w:rPr>
          <w:color w:val="000000"/>
        </w:rPr>
        <w:t>š</w:t>
      </w:r>
      <w:r>
        <w:rPr>
          <w:color w:val="000000"/>
          <w:spacing w:val="10"/>
        </w:rPr>
        <w:t xml:space="preserve"> </w:t>
      </w:r>
      <w:r>
        <w:rPr>
          <w:color w:val="000000"/>
        </w:rPr>
        <w:t>K</w:t>
      </w:r>
      <w:r>
        <w:rPr>
          <w:color w:val="000000"/>
          <w:spacing w:val="-5"/>
        </w:rPr>
        <w:t>i</w:t>
      </w:r>
      <w:r>
        <w:rPr>
          <w:color w:val="000000"/>
          <w:spacing w:val="5"/>
        </w:rPr>
        <w:t>n</w:t>
      </w:r>
      <w:r>
        <w:rPr>
          <w:color w:val="000000"/>
        </w:rPr>
        <w:t>i</w:t>
      </w:r>
      <w:r>
        <w:rPr>
          <w:color w:val="000000"/>
          <w:spacing w:val="-9"/>
        </w:rPr>
        <w:t>j</w:t>
      </w:r>
      <w:r>
        <w:rPr>
          <w:color w:val="000000"/>
          <w:spacing w:val="5"/>
        </w:rPr>
        <w:t>o</w:t>
      </w:r>
      <w:r>
        <w:rPr>
          <w:color w:val="000000"/>
        </w:rPr>
        <w:t>s</w:t>
      </w:r>
      <w:r>
        <w:rPr>
          <w:color w:val="000000"/>
          <w:spacing w:val="14"/>
        </w:rPr>
        <w:t xml:space="preserve"> </w:t>
      </w:r>
      <w:r>
        <w:rPr>
          <w:color w:val="000000"/>
        </w:rPr>
        <w:t xml:space="preserve">į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1"/>
        </w:rPr>
        <w:t>ą</w:t>
      </w:r>
      <w:r>
        <w:rPr>
          <w:color w:val="000000"/>
        </w:rPr>
        <w:t>.</w:t>
      </w:r>
      <w:r>
        <w:rPr>
          <w:color w:val="000000"/>
          <w:spacing w:val="11"/>
        </w:rPr>
        <w:t xml:space="preserve"> </w:t>
      </w:r>
      <w:r>
        <w:rPr>
          <w:color w:val="000000"/>
          <w:spacing w:val="6"/>
        </w:rPr>
        <w:t>S</w:t>
      </w:r>
      <w:r>
        <w:rPr>
          <w:color w:val="000000"/>
          <w:spacing w:val="-9"/>
        </w:rPr>
        <w:t>i</w:t>
      </w:r>
      <w:r>
        <w:rPr>
          <w:color w:val="000000"/>
          <w:spacing w:val="5"/>
        </w:rPr>
        <w:t>u</w:t>
      </w:r>
      <w:r>
        <w:rPr>
          <w:color w:val="000000"/>
          <w:spacing w:val="-5"/>
        </w:rPr>
        <w:t>n</w:t>
      </w:r>
      <w:r>
        <w:rPr>
          <w:color w:val="000000"/>
          <w:spacing w:val="5"/>
        </w:rPr>
        <w:t>to</w:t>
      </w:r>
      <w:r>
        <w:rPr>
          <w:color w:val="000000"/>
        </w:rPr>
        <w:t>s</w:t>
      </w:r>
      <w:r>
        <w:rPr>
          <w:color w:val="000000"/>
          <w:spacing w:val="10"/>
        </w:rPr>
        <w:t xml:space="preserve"> </w:t>
      </w:r>
      <w:r>
        <w:rPr>
          <w:color w:val="000000"/>
        </w:rPr>
        <w:t>g</w:t>
      </w:r>
      <w:r>
        <w:rPr>
          <w:color w:val="000000"/>
          <w:spacing w:val="-1"/>
        </w:rPr>
        <w:t>a</w:t>
      </w:r>
      <w:r>
        <w:rPr>
          <w:color w:val="000000"/>
          <w:spacing w:val="-5"/>
        </w:rPr>
        <w:t>v</w:t>
      </w:r>
      <w:r>
        <w:rPr>
          <w:color w:val="000000"/>
          <w:spacing w:val="4"/>
        </w:rPr>
        <w:t>ė</w:t>
      </w:r>
      <w:r>
        <w:rPr>
          <w:color w:val="000000"/>
          <w:spacing w:val="-4"/>
        </w:rPr>
        <w:t>j</w:t>
      </w:r>
      <w:r>
        <w:rPr>
          <w:color w:val="000000"/>
          <w:spacing w:val="-1"/>
        </w:rPr>
        <w:t>a</w:t>
      </w:r>
      <w:r>
        <w:rPr>
          <w:color w:val="000000"/>
        </w:rPr>
        <w:t>s</w:t>
      </w:r>
      <w:r>
        <w:rPr>
          <w:color w:val="000000"/>
          <w:spacing w:val="12"/>
        </w:rPr>
        <w:t xml:space="preserve"> </w:t>
      </w:r>
      <w:r>
        <w:rPr>
          <w:color w:val="000000"/>
          <w:spacing w:val="-5"/>
        </w:rPr>
        <w:t>b</w:t>
      </w:r>
      <w:r>
        <w:rPr>
          <w:color w:val="000000"/>
          <w:spacing w:val="5"/>
        </w:rPr>
        <w:t>u</w:t>
      </w:r>
      <w:r>
        <w:rPr>
          <w:color w:val="000000"/>
          <w:spacing w:val="-5"/>
        </w:rPr>
        <w:t>v</w:t>
      </w:r>
      <w:r>
        <w:rPr>
          <w:color w:val="000000"/>
        </w:rPr>
        <w:t>o</w:t>
      </w:r>
      <w:r>
        <w:rPr>
          <w:color w:val="000000"/>
          <w:spacing w:val="14"/>
        </w:rPr>
        <w:t xml:space="preserve"> </w:t>
      </w:r>
      <w:r>
        <w:rPr>
          <w:color w:val="000000"/>
        </w:rPr>
        <w:t>p</w:t>
      </w:r>
      <w:r>
        <w:rPr>
          <w:color w:val="000000"/>
          <w:spacing w:val="6"/>
        </w:rPr>
        <w:t>r</w:t>
      </w:r>
      <w:r>
        <w:rPr>
          <w:color w:val="000000"/>
          <w:spacing w:val="-4"/>
        </w:rPr>
        <w:t>i</w:t>
      </w:r>
      <w:r>
        <w:rPr>
          <w:color w:val="000000"/>
          <w:spacing w:val="-5"/>
        </w:rPr>
        <w:t>v</w:t>
      </w:r>
      <w:r>
        <w:rPr>
          <w:color w:val="000000"/>
          <w:spacing w:val="-1"/>
        </w:rPr>
        <w:t>a</w:t>
      </w:r>
      <w:r>
        <w:rPr>
          <w:color w:val="000000"/>
          <w:spacing w:val="10"/>
        </w:rPr>
        <w:t>t</w:t>
      </w:r>
      <w:r>
        <w:rPr>
          <w:color w:val="000000"/>
        </w:rPr>
        <w:t>i k</w:t>
      </w:r>
      <w:r>
        <w:rPr>
          <w:color w:val="000000"/>
          <w:spacing w:val="5"/>
        </w:rPr>
        <w:t>o</w:t>
      </w:r>
      <w:r>
        <w:rPr>
          <w:color w:val="000000"/>
          <w:spacing w:val="-9"/>
        </w:rPr>
        <w:t>m</w:t>
      </w:r>
      <w:r>
        <w:rPr>
          <w:color w:val="000000"/>
          <w:spacing w:val="5"/>
        </w:rPr>
        <w:t>p</w:t>
      </w:r>
      <w:r>
        <w:rPr>
          <w:color w:val="000000"/>
          <w:spacing w:val="4"/>
        </w:rPr>
        <w:t>a</w:t>
      </w:r>
      <w:r>
        <w:rPr>
          <w:color w:val="000000"/>
        </w:rPr>
        <w:t>n</w:t>
      </w:r>
      <w:r>
        <w:rPr>
          <w:color w:val="000000"/>
          <w:spacing w:val="-4"/>
        </w:rPr>
        <w:t>ij</w:t>
      </w:r>
      <w:r>
        <w:rPr>
          <w:color w:val="000000"/>
          <w:spacing w:val="8"/>
        </w:rPr>
        <w:t>a</w:t>
      </w:r>
      <w:r>
        <w:rPr>
          <w:color w:val="000000"/>
        </w:rPr>
        <w:t>,</w:t>
      </w:r>
      <w:r>
        <w:rPr>
          <w:color w:val="000000"/>
          <w:spacing w:val="11"/>
        </w:rPr>
        <w:t xml:space="preserve"> </w:t>
      </w:r>
      <w:r>
        <w:rPr>
          <w:color w:val="000000"/>
        </w:rPr>
        <w:t>ku</w:t>
      </w:r>
      <w:r>
        <w:rPr>
          <w:color w:val="000000"/>
          <w:spacing w:val="1"/>
        </w:rPr>
        <w:t>r</w:t>
      </w:r>
      <w:r>
        <w:rPr>
          <w:color w:val="000000"/>
          <w:spacing w:val="-9"/>
        </w:rPr>
        <w:t>i</w:t>
      </w:r>
      <w:r>
        <w:rPr>
          <w:color w:val="000000"/>
          <w:spacing w:val="5"/>
        </w:rPr>
        <w:t>o</w:t>
      </w:r>
      <w:r>
        <w:rPr>
          <w:color w:val="000000"/>
        </w:rPr>
        <w:t>s</w:t>
      </w:r>
      <w:r>
        <w:rPr>
          <w:color w:val="000000"/>
          <w:spacing w:val="7"/>
        </w:rPr>
        <w:t xml:space="preserve"> </w:t>
      </w:r>
      <w:r>
        <w:rPr>
          <w:color w:val="000000"/>
        </w:rPr>
        <w:t>v</w:t>
      </w:r>
      <w:r>
        <w:rPr>
          <w:color w:val="000000"/>
          <w:spacing w:val="4"/>
        </w:rPr>
        <w:t>e</w:t>
      </w:r>
      <w:r>
        <w:rPr>
          <w:color w:val="000000"/>
          <w:spacing w:val="-4"/>
        </w:rPr>
        <w:t>i</w:t>
      </w:r>
      <w:r>
        <w:rPr>
          <w:color w:val="000000"/>
          <w:spacing w:val="5"/>
        </w:rPr>
        <w:t>k</w:t>
      </w:r>
      <w:r>
        <w:rPr>
          <w:color w:val="000000"/>
          <w:spacing w:val="-4"/>
        </w:rPr>
        <w:t>l</w:t>
      </w:r>
      <w:r>
        <w:rPr>
          <w:color w:val="000000"/>
        </w:rPr>
        <w:t>a</w:t>
      </w:r>
      <w:r>
        <w:rPr>
          <w:color w:val="000000"/>
          <w:spacing w:val="8"/>
        </w:rPr>
        <w:t xml:space="preserve"> </w:t>
      </w:r>
      <w:r>
        <w:rPr>
          <w:color w:val="000000"/>
          <w:spacing w:val="5"/>
        </w:rPr>
        <w:t>t</w:t>
      </w:r>
      <w:r>
        <w:rPr>
          <w:color w:val="000000"/>
          <w:spacing w:val="-4"/>
        </w:rPr>
        <w:t>i</w:t>
      </w:r>
      <w:r>
        <w:rPr>
          <w:color w:val="000000"/>
          <w:spacing w:val="-1"/>
        </w:rPr>
        <w:t>e</w:t>
      </w:r>
      <w:r>
        <w:rPr>
          <w:color w:val="000000"/>
          <w:spacing w:val="2"/>
        </w:rPr>
        <w:t>s</w:t>
      </w:r>
      <w:r>
        <w:rPr>
          <w:color w:val="000000"/>
          <w:spacing w:val="-9"/>
        </w:rPr>
        <w:t>i</w:t>
      </w:r>
      <w:r>
        <w:rPr>
          <w:color w:val="000000"/>
          <w:spacing w:val="5"/>
        </w:rPr>
        <w:t>og</w:t>
      </w:r>
      <w:r>
        <w:rPr>
          <w:color w:val="000000"/>
          <w:spacing w:val="-4"/>
        </w:rPr>
        <w:t>i</w:t>
      </w:r>
      <w:r>
        <w:rPr>
          <w:color w:val="000000"/>
          <w:spacing w:val="4"/>
        </w:rPr>
        <w:t>a</w:t>
      </w:r>
      <w:r>
        <w:rPr>
          <w:color w:val="000000"/>
        </w:rPr>
        <w:t>i</w:t>
      </w:r>
      <w:r>
        <w:rPr>
          <w:color w:val="000000"/>
          <w:spacing w:val="10"/>
        </w:rPr>
        <w:t xml:space="preserve"> </w:t>
      </w:r>
      <w:r>
        <w:rPr>
          <w:color w:val="000000"/>
          <w:spacing w:val="-5"/>
        </w:rPr>
        <w:t>n</w:t>
      </w:r>
      <w:r>
        <w:rPr>
          <w:color w:val="000000"/>
          <w:spacing w:val="-1"/>
        </w:rPr>
        <w:t>e</w:t>
      </w:r>
      <w:r>
        <w:rPr>
          <w:color w:val="000000"/>
          <w:spacing w:val="2"/>
        </w:rPr>
        <w:t>s</w:t>
      </w:r>
      <w:r>
        <w:rPr>
          <w:color w:val="000000"/>
          <w:spacing w:val="-4"/>
        </w:rPr>
        <w:t>i</w:t>
      </w:r>
      <w:r>
        <w:rPr>
          <w:color w:val="000000"/>
          <w:spacing w:val="4"/>
        </w:rPr>
        <w:t>e</w:t>
      </w:r>
      <w:r>
        <w:rPr>
          <w:color w:val="000000"/>
          <w:spacing w:val="-4"/>
        </w:rPr>
        <w:t>j</w:t>
      </w:r>
      <w:r>
        <w:rPr>
          <w:color w:val="000000"/>
          <w:spacing w:val="4"/>
        </w:rPr>
        <w:t>a</w:t>
      </w:r>
      <w:r>
        <w:rPr>
          <w:color w:val="000000"/>
          <w:spacing w:val="-4"/>
        </w:rPr>
        <w:t>m</w:t>
      </w:r>
      <w:r>
        <w:rPr>
          <w:color w:val="000000"/>
        </w:rPr>
        <w:t>a</w:t>
      </w:r>
      <w:r>
        <w:rPr>
          <w:color w:val="000000"/>
          <w:spacing w:val="13"/>
        </w:rPr>
        <w:t xml:space="preserve"> </w:t>
      </w:r>
      <w:r>
        <w:rPr>
          <w:color w:val="000000"/>
          <w:spacing w:val="-2"/>
        </w:rPr>
        <w:t>s</w:t>
      </w:r>
      <w:r>
        <w:rPr>
          <w:color w:val="000000"/>
        </w:rPr>
        <w:t>u</w:t>
      </w:r>
      <w:r>
        <w:rPr>
          <w:color w:val="000000"/>
          <w:spacing w:val="9"/>
        </w:rPr>
        <w:t xml:space="preserve"> </w:t>
      </w:r>
      <w:r>
        <w:rPr>
          <w:color w:val="000000"/>
        </w:rPr>
        <w:t>p</w:t>
      </w:r>
      <w:r>
        <w:rPr>
          <w:color w:val="000000"/>
          <w:spacing w:val="1"/>
        </w:rPr>
        <w:t>r</w:t>
      </w:r>
      <w:r>
        <w:rPr>
          <w:color w:val="000000"/>
          <w:spacing w:val="-1"/>
        </w:rPr>
        <w:t>e</w:t>
      </w:r>
      <w:r>
        <w:rPr>
          <w:color w:val="000000"/>
          <w:spacing w:val="5"/>
        </w:rPr>
        <w:t>k</w:t>
      </w:r>
      <w:r>
        <w:rPr>
          <w:color w:val="000000"/>
          <w:spacing w:val="-5"/>
        </w:rPr>
        <w:t>y</w:t>
      </w:r>
      <w:r>
        <w:rPr>
          <w:color w:val="000000"/>
        </w:rPr>
        <w:t xml:space="preserve">ba </w:t>
      </w:r>
      <w:r>
        <w:rPr>
          <w:color w:val="000000"/>
          <w:spacing w:val="-1"/>
        </w:rPr>
        <w:t>c</w:t>
      </w:r>
      <w:r>
        <w:rPr>
          <w:color w:val="000000"/>
          <w:spacing w:val="-5"/>
        </w:rPr>
        <w:t>h</w:t>
      </w:r>
      <w:r>
        <w:rPr>
          <w:color w:val="000000"/>
          <w:spacing w:val="4"/>
        </w:rPr>
        <w:t>e</w:t>
      </w:r>
      <w:r>
        <w:rPr>
          <w:color w:val="000000"/>
        </w:rPr>
        <w:t>m</w:t>
      </w:r>
      <w:r>
        <w:rPr>
          <w:color w:val="000000"/>
          <w:spacing w:val="-4"/>
        </w:rPr>
        <w:t>i</w:t>
      </w:r>
      <w:r>
        <w:rPr>
          <w:color w:val="000000"/>
        </w:rPr>
        <w:t>n</w:t>
      </w:r>
      <w:r>
        <w:rPr>
          <w:color w:val="000000"/>
          <w:spacing w:val="4"/>
        </w:rPr>
        <w:t>ė</w:t>
      </w:r>
      <w:r>
        <w:rPr>
          <w:color w:val="000000"/>
        </w:rPr>
        <w:t>m</w:t>
      </w:r>
      <w:r>
        <w:rPr>
          <w:color w:val="000000"/>
          <w:spacing w:val="-4"/>
        </w:rPr>
        <w:t>i</w:t>
      </w:r>
      <w:r>
        <w:rPr>
          <w:color w:val="000000"/>
        </w:rPr>
        <w:t>s</w:t>
      </w:r>
      <w:r>
        <w:rPr>
          <w:color w:val="000000"/>
          <w:spacing w:val="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9"/>
        </w:rPr>
        <w:t>o</w:t>
      </w:r>
      <w:r>
        <w:rPr>
          <w:color w:val="000000"/>
          <w:spacing w:val="-4"/>
        </w:rPr>
        <w:t>mi</w:t>
      </w:r>
      <w:r>
        <w:rPr>
          <w:color w:val="000000"/>
          <w:spacing w:val="10"/>
        </w:rPr>
        <w:t>s</w:t>
      </w:r>
      <w:r>
        <w:rPr>
          <w:color w:val="000000"/>
          <w:spacing w:val="2"/>
          <w:position w:val="11"/>
          <w:sz w:val="16"/>
          <w:szCs w:val="16"/>
        </w:rPr>
        <w:t>7</w:t>
      </w:r>
      <w:r>
        <w:rPr>
          <w:color w:val="000000"/>
        </w:rPr>
        <w:t>.</w:t>
      </w:r>
    </w:p>
    <w:p w:rsidR="004F7425" w:rsidRDefault="004F7425" w:rsidP="004F7425">
      <w:pPr>
        <w:widowControl w:val="0"/>
        <w:autoSpaceDE w:val="0"/>
        <w:autoSpaceDN w:val="0"/>
        <w:adjustRightInd w:val="0"/>
        <w:spacing w:before="5" w:line="130" w:lineRule="exact"/>
        <w:rPr>
          <w:color w:val="000000"/>
          <w:sz w:val="13"/>
          <w:szCs w:val="13"/>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20" w:right="6097"/>
        <w:jc w:val="both"/>
        <w:rPr>
          <w:color w:val="000000"/>
          <w:sz w:val="28"/>
          <w:szCs w:val="28"/>
        </w:rPr>
      </w:pPr>
      <w:r>
        <w:rPr>
          <w:b/>
          <w:bCs/>
          <w:i/>
          <w:iCs/>
          <w:color w:val="974705"/>
          <w:spacing w:val="1"/>
          <w:sz w:val="28"/>
          <w:szCs w:val="28"/>
        </w:rPr>
        <w:t>K</w:t>
      </w:r>
      <w:r>
        <w:rPr>
          <w:b/>
          <w:bCs/>
          <w:i/>
          <w:iCs/>
          <w:color w:val="974705"/>
          <w:sz w:val="28"/>
          <w:szCs w:val="28"/>
        </w:rPr>
        <w:t>i</w:t>
      </w:r>
      <w:r>
        <w:rPr>
          <w:b/>
          <w:bCs/>
          <w:i/>
          <w:iCs/>
          <w:color w:val="974705"/>
          <w:spacing w:val="-1"/>
          <w:sz w:val="28"/>
          <w:szCs w:val="28"/>
        </w:rPr>
        <w:t>t</w:t>
      </w:r>
      <w:r>
        <w:rPr>
          <w:b/>
          <w:bCs/>
          <w:i/>
          <w:iCs/>
          <w:color w:val="974705"/>
          <w:sz w:val="28"/>
          <w:szCs w:val="28"/>
        </w:rPr>
        <w:t>os</w:t>
      </w:r>
      <w:r>
        <w:rPr>
          <w:b/>
          <w:bCs/>
          <w:i/>
          <w:iCs/>
          <w:color w:val="974705"/>
          <w:spacing w:val="-2"/>
          <w:sz w:val="28"/>
          <w:szCs w:val="28"/>
        </w:rPr>
        <w:t xml:space="preserve"> </w:t>
      </w:r>
      <w:r>
        <w:rPr>
          <w:b/>
          <w:bCs/>
          <w:i/>
          <w:iCs/>
          <w:color w:val="974705"/>
          <w:sz w:val="28"/>
          <w:szCs w:val="28"/>
        </w:rPr>
        <w:t>p</w:t>
      </w:r>
      <w:r>
        <w:rPr>
          <w:b/>
          <w:bCs/>
          <w:i/>
          <w:iCs/>
          <w:color w:val="974705"/>
          <w:spacing w:val="2"/>
          <w:sz w:val="28"/>
          <w:szCs w:val="28"/>
        </w:rPr>
        <w:t>s</w:t>
      </w:r>
      <w:r>
        <w:rPr>
          <w:b/>
          <w:bCs/>
          <w:i/>
          <w:iCs/>
          <w:color w:val="974705"/>
          <w:sz w:val="28"/>
          <w:szCs w:val="28"/>
        </w:rPr>
        <w:t>ichoak</w:t>
      </w:r>
      <w:r>
        <w:rPr>
          <w:b/>
          <w:bCs/>
          <w:i/>
          <w:iCs/>
          <w:color w:val="974705"/>
          <w:spacing w:val="-1"/>
          <w:sz w:val="28"/>
          <w:szCs w:val="28"/>
        </w:rPr>
        <w:t>t</w:t>
      </w:r>
      <w:r>
        <w:rPr>
          <w:b/>
          <w:bCs/>
          <w:i/>
          <w:iCs/>
          <w:color w:val="974705"/>
          <w:spacing w:val="1"/>
          <w:sz w:val="28"/>
          <w:szCs w:val="28"/>
        </w:rPr>
        <w:t>yv</w:t>
      </w:r>
      <w:r>
        <w:rPr>
          <w:b/>
          <w:bCs/>
          <w:i/>
          <w:iCs/>
          <w:color w:val="974705"/>
          <w:sz w:val="28"/>
          <w:szCs w:val="28"/>
        </w:rPr>
        <w:t>ios</w:t>
      </w:r>
      <w:r>
        <w:rPr>
          <w:b/>
          <w:bCs/>
          <w:i/>
          <w:iCs/>
          <w:color w:val="974705"/>
          <w:spacing w:val="-14"/>
          <w:sz w:val="28"/>
          <w:szCs w:val="28"/>
        </w:rPr>
        <w:t xml:space="preserve"> </w:t>
      </w:r>
      <w:r>
        <w:rPr>
          <w:b/>
          <w:bCs/>
          <w:i/>
          <w:iCs/>
          <w:color w:val="974705"/>
          <w:spacing w:val="4"/>
          <w:sz w:val="28"/>
          <w:szCs w:val="28"/>
        </w:rPr>
        <w:t>m</w:t>
      </w:r>
      <w:r>
        <w:rPr>
          <w:b/>
          <w:bCs/>
          <w:i/>
          <w:iCs/>
          <w:color w:val="974705"/>
          <w:spacing w:val="1"/>
          <w:sz w:val="28"/>
          <w:szCs w:val="28"/>
        </w:rPr>
        <w:t>e</w:t>
      </w:r>
      <w:r>
        <w:rPr>
          <w:b/>
          <w:bCs/>
          <w:i/>
          <w:iCs/>
          <w:color w:val="974705"/>
          <w:sz w:val="28"/>
          <w:szCs w:val="28"/>
        </w:rPr>
        <w:t>d</w:t>
      </w:r>
      <w:r>
        <w:rPr>
          <w:b/>
          <w:bCs/>
          <w:i/>
          <w:iCs/>
          <w:color w:val="974705"/>
          <w:spacing w:val="2"/>
          <w:sz w:val="28"/>
          <w:szCs w:val="28"/>
        </w:rPr>
        <w:t>ž</w:t>
      </w:r>
      <w:r>
        <w:rPr>
          <w:b/>
          <w:bCs/>
          <w:i/>
          <w:iCs/>
          <w:color w:val="974705"/>
          <w:sz w:val="28"/>
          <w:szCs w:val="28"/>
        </w:rPr>
        <w:t>iagos</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67" w:lineRule="auto"/>
        <w:ind w:left="120" w:right="58" w:firstLine="721"/>
        <w:jc w:val="both"/>
        <w:rPr>
          <w:color w:val="000000"/>
        </w:rPr>
      </w:pPr>
      <w:r>
        <w:rPr>
          <w:color w:val="000000"/>
          <w:spacing w:val="2"/>
        </w:rPr>
        <w:t>E</w:t>
      </w:r>
      <w:r>
        <w:rPr>
          <w:color w:val="000000"/>
        </w:rPr>
        <w:t>u</w:t>
      </w:r>
      <w:r>
        <w:rPr>
          <w:color w:val="000000"/>
          <w:spacing w:val="-3"/>
        </w:rPr>
        <w:t>r</w:t>
      </w:r>
      <w:r>
        <w:rPr>
          <w:color w:val="000000"/>
          <w:spacing w:val="5"/>
        </w:rPr>
        <w:t>o</w:t>
      </w:r>
      <w:r>
        <w:rPr>
          <w:color w:val="000000"/>
          <w:spacing w:val="-5"/>
        </w:rPr>
        <w:t>p</w:t>
      </w:r>
      <w:r>
        <w:rPr>
          <w:color w:val="000000"/>
          <w:spacing w:val="5"/>
        </w:rPr>
        <w:t>o</w:t>
      </w:r>
      <w:r>
        <w:rPr>
          <w:color w:val="000000"/>
          <w:spacing w:val="-9"/>
        </w:rPr>
        <w:t>j</w:t>
      </w:r>
      <w:r>
        <w:rPr>
          <w:color w:val="000000"/>
        </w:rPr>
        <w:t>e</w:t>
      </w:r>
      <w:r>
        <w:rPr>
          <w:color w:val="000000"/>
          <w:spacing w:val="6"/>
        </w:rPr>
        <w:t xml:space="preserve"> </w:t>
      </w:r>
      <w:r>
        <w:rPr>
          <w:color w:val="000000"/>
          <w:spacing w:val="-9"/>
        </w:rPr>
        <w:t>i</w:t>
      </w:r>
      <w:r>
        <w:rPr>
          <w:color w:val="000000"/>
        </w:rPr>
        <w:t>r</w:t>
      </w:r>
      <w:r>
        <w:rPr>
          <w:color w:val="000000"/>
          <w:spacing w:val="8"/>
        </w:rPr>
        <w:t xml:space="preserve"> </w:t>
      </w:r>
      <w:r>
        <w:rPr>
          <w:color w:val="000000"/>
        </w:rPr>
        <w:t>v</w:t>
      </w:r>
      <w:r>
        <w:rPr>
          <w:color w:val="000000"/>
          <w:spacing w:val="-4"/>
        </w:rPr>
        <w:t>i</w:t>
      </w:r>
      <w:r>
        <w:rPr>
          <w:color w:val="000000"/>
          <w:spacing w:val="-2"/>
        </w:rPr>
        <w:t>s</w:t>
      </w:r>
      <w:r>
        <w:rPr>
          <w:color w:val="000000"/>
          <w:spacing w:val="4"/>
        </w:rPr>
        <w:t>a</w:t>
      </w:r>
      <w:r>
        <w:rPr>
          <w:color w:val="000000"/>
          <w:spacing w:val="-4"/>
        </w:rPr>
        <w:t>m</w:t>
      </w:r>
      <w:r>
        <w:rPr>
          <w:color w:val="000000"/>
        </w:rPr>
        <w:t>e</w:t>
      </w:r>
      <w:r>
        <w:rPr>
          <w:color w:val="000000"/>
          <w:spacing w:val="1"/>
        </w:rPr>
        <w:t xml:space="preserve"> </w:t>
      </w:r>
      <w:r>
        <w:rPr>
          <w:color w:val="000000"/>
        </w:rPr>
        <w:t>p</w:t>
      </w:r>
      <w:r>
        <w:rPr>
          <w:color w:val="000000"/>
          <w:spacing w:val="-1"/>
        </w:rPr>
        <w:t>a</w:t>
      </w:r>
      <w:r>
        <w:rPr>
          <w:color w:val="000000"/>
          <w:spacing w:val="2"/>
        </w:rPr>
        <w:t>s</w:t>
      </w:r>
      <w:r>
        <w:rPr>
          <w:color w:val="000000"/>
          <w:spacing w:val="-1"/>
        </w:rPr>
        <w:t>a</w:t>
      </w:r>
      <w:r>
        <w:rPr>
          <w:color w:val="000000"/>
          <w:spacing w:val="5"/>
        </w:rPr>
        <w:t>u</w:t>
      </w:r>
      <w:r>
        <w:rPr>
          <w:color w:val="000000"/>
          <w:spacing w:val="-4"/>
        </w:rPr>
        <w:t>l</w:t>
      </w:r>
      <w:r>
        <w:rPr>
          <w:color w:val="000000"/>
        </w:rPr>
        <w:t>y</w:t>
      </w:r>
      <w:r>
        <w:rPr>
          <w:color w:val="000000"/>
          <w:spacing w:val="-4"/>
        </w:rPr>
        <w:t>j</w:t>
      </w:r>
      <w:r>
        <w:rPr>
          <w:color w:val="000000"/>
        </w:rPr>
        <w:t>e</w:t>
      </w:r>
      <w:r>
        <w:rPr>
          <w:color w:val="000000"/>
          <w:spacing w:val="6"/>
        </w:rPr>
        <w:t xml:space="preserve"> </w:t>
      </w:r>
      <w:r>
        <w:rPr>
          <w:color w:val="000000"/>
        </w:rPr>
        <w:t>v</w:t>
      </w:r>
      <w:r>
        <w:rPr>
          <w:color w:val="000000"/>
          <w:spacing w:val="-4"/>
        </w:rPr>
        <w:t>i</w:t>
      </w:r>
      <w:r>
        <w:rPr>
          <w:color w:val="000000"/>
        </w:rPr>
        <w:t>s 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w:t>
      </w:r>
      <w:r>
        <w:rPr>
          <w:color w:val="000000"/>
          <w:spacing w:val="2"/>
        </w:rPr>
        <w:t xml:space="preserve"> </w:t>
      </w:r>
      <w:r>
        <w:rPr>
          <w:color w:val="000000"/>
        </w:rPr>
        <w:t>p</w:t>
      </w:r>
      <w:r>
        <w:rPr>
          <w:color w:val="000000"/>
          <w:spacing w:val="5"/>
        </w:rPr>
        <w:t>o</w:t>
      </w:r>
      <w:r>
        <w:rPr>
          <w:color w:val="000000"/>
          <w:spacing w:val="-4"/>
        </w:rPr>
        <w:t>l</w:t>
      </w:r>
      <w:r>
        <w:rPr>
          <w:color w:val="000000"/>
          <w:spacing w:val="-9"/>
        </w:rPr>
        <w:t>i</w:t>
      </w:r>
      <w:r>
        <w:rPr>
          <w:color w:val="000000"/>
          <w:spacing w:val="10"/>
        </w:rPr>
        <w:t>t</w:t>
      </w:r>
      <w:r>
        <w:rPr>
          <w:color w:val="000000"/>
        </w:rPr>
        <w:t xml:space="preserve">ikų, </w:t>
      </w:r>
      <w:r>
        <w:rPr>
          <w:color w:val="000000"/>
          <w:spacing w:val="4"/>
        </w:rPr>
        <w:t>ž</w:t>
      </w:r>
      <w:r>
        <w:rPr>
          <w:color w:val="000000"/>
          <w:spacing w:val="-4"/>
        </w:rPr>
        <w:t>i</w:t>
      </w:r>
      <w:r>
        <w:rPr>
          <w:color w:val="000000"/>
        </w:rPr>
        <w:t>n</w:t>
      </w:r>
      <w:r>
        <w:rPr>
          <w:color w:val="000000"/>
          <w:spacing w:val="-4"/>
        </w:rPr>
        <w:t>i</w:t>
      </w:r>
      <w:r>
        <w:rPr>
          <w:color w:val="000000"/>
          <w:spacing w:val="4"/>
        </w:rPr>
        <w:t>a</w:t>
      </w:r>
      <w:r>
        <w:rPr>
          <w:color w:val="000000"/>
          <w:spacing w:val="-2"/>
        </w:rPr>
        <w:t>s</w:t>
      </w:r>
      <w:r>
        <w:rPr>
          <w:color w:val="000000"/>
          <w:spacing w:val="5"/>
        </w:rPr>
        <w:t>k</w:t>
      </w:r>
      <w:r>
        <w:rPr>
          <w:color w:val="000000"/>
          <w:spacing w:val="-4"/>
        </w:rPr>
        <w:t>l</w:t>
      </w:r>
      <w:r>
        <w:rPr>
          <w:color w:val="000000"/>
          <w:spacing w:val="4"/>
        </w:rPr>
        <w:t>a</w:t>
      </w:r>
      <w:r>
        <w:rPr>
          <w:color w:val="000000"/>
          <w:spacing w:val="-4"/>
        </w:rPr>
        <w:t>i</w:t>
      </w:r>
      <w:r>
        <w:rPr>
          <w:color w:val="000000"/>
        </w:rPr>
        <w:t>d</w:t>
      </w:r>
      <w:r>
        <w:rPr>
          <w:color w:val="000000"/>
          <w:spacing w:val="5"/>
        </w:rPr>
        <w:t>o</w:t>
      </w:r>
      <w:r>
        <w:rPr>
          <w:color w:val="000000"/>
        </w:rPr>
        <w:t xml:space="preserve">s </w:t>
      </w:r>
      <w:r>
        <w:rPr>
          <w:color w:val="000000"/>
          <w:spacing w:val="-9"/>
        </w:rPr>
        <w:t>i</w:t>
      </w:r>
      <w:r>
        <w:rPr>
          <w:color w:val="000000"/>
        </w:rPr>
        <w:t>r</w:t>
      </w:r>
      <w:r>
        <w:rPr>
          <w:color w:val="000000"/>
          <w:spacing w:val="3"/>
        </w:rPr>
        <w:t xml:space="preserve"> </w:t>
      </w:r>
      <w:r>
        <w:rPr>
          <w:color w:val="000000"/>
        </w:rPr>
        <w:t>v</w:t>
      </w:r>
      <w:r>
        <w:rPr>
          <w:color w:val="000000"/>
          <w:spacing w:val="-4"/>
        </w:rPr>
        <w:t>i</w:t>
      </w:r>
      <w:r>
        <w:rPr>
          <w:color w:val="000000"/>
          <w:spacing w:val="2"/>
        </w:rPr>
        <w:t>s</w:t>
      </w:r>
      <w:r>
        <w:rPr>
          <w:color w:val="000000"/>
        </w:rPr>
        <w:t>u</w:t>
      </w:r>
      <w:r>
        <w:rPr>
          <w:color w:val="000000"/>
          <w:spacing w:val="9"/>
        </w:rPr>
        <w:t>o</w:t>
      </w:r>
      <w:r>
        <w:rPr>
          <w:color w:val="000000"/>
          <w:spacing w:val="-9"/>
        </w:rPr>
        <w:t>m</w:t>
      </w:r>
      <w:r>
        <w:rPr>
          <w:color w:val="000000"/>
          <w:spacing w:val="4"/>
        </w:rPr>
        <w:t>e</w:t>
      </w:r>
      <w:r>
        <w:rPr>
          <w:color w:val="000000"/>
          <w:spacing w:val="-5"/>
        </w:rPr>
        <w:t>n</w:t>
      </w:r>
      <w:r>
        <w:rPr>
          <w:color w:val="000000"/>
          <w:spacing w:val="-1"/>
        </w:rPr>
        <w:t>ė</w:t>
      </w:r>
      <w:r>
        <w:rPr>
          <w:color w:val="000000"/>
        </w:rPr>
        <w:t>s d</w:t>
      </w:r>
      <w:r>
        <w:rPr>
          <w:color w:val="000000"/>
          <w:spacing w:val="4"/>
        </w:rPr>
        <w:t>ė</w:t>
      </w:r>
      <w:r>
        <w:rPr>
          <w:color w:val="000000"/>
          <w:spacing w:val="-4"/>
        </w:rPr>
        <w:t>m</w:t>
      </w:r>
      <w:r>
        <w:rPr>
          <w:color w:val="000000"/>
          <w:spacing w:val="4"/>
        </w:rPr>
        <w:t>e</w:t>
      </w:r>
      <w:r>
        <w:rPr>
          <w:color w:val="000000"/>
          <w:spacing w:val="2"/>
        </w:rPr>
        <w:t>s</w:t>
      </w:r>
      <w:r>
        <w:rPr>
          <w:color w:val="000000"/>
          <w:spacing w:val="-9"/>
        </w:rPr>
        <w:t>i</w:t>
      </w:r>
      <w:r>
        <w:rPr>
          <w:color w:val="000000"/>
        </w:rPr>
        <w:t xml:space="preserve">o </w:t>
      </w:r>
      <w:r>
        <w:rPr>
          <w:color w:val="000000"/>
          <w:spacing w:val="-2"/>
        </w:rPr>
        <w:t>s</w:t>
      </w:r>
      <w:r>
        <w:rPr>
          <w:color w:val="000000"/>
          <w:spacing w:val="5"/>
        </w:rPr>
        <w:t>u</w:t>
      </w:r>
      <w:r>
        <w:rPr>
          <w:color w:val="000000"/>
          <w:spacing w:val="-4"/>
        </w:rPr>
        <w:t>l</w:t>
      </w:r>
      <w:r>
        <w:rPr>
          <w:color w:val="000000"/>
          <w:spacing w:val="-1"/>
        </w:rPr>
        <w:t>a</w:t>
      </w:r>
      <w:r>
        <w:rPr>
          <w:color w:val="000000"/>
        </w:rPr>
        <w:t>u</w:t>
      </w:r>
      <w:r>
        <w:rPr>
          <w:color w:val="000000"/>
          <w:spacing w:val="5"/>
        </w:rPr>
        <w:t>k</w:t>
      </w:r>
      <w:r>
        <w:rPr>
          <w:color w:val="000000"/>
          <w:spacing w:val="-4"/>
        </w:rPr>
        <w:t>i</w:t>
      </w:r>
      <w:r>
        <w:rPr>
          <w:color w:val="000000"/>
        </w:rPr>
        <w:t>a</w:t>
      </w:r>
      <w:r>
        <w:rPr>
          <w:color w:val="000000"/>
          <w:spacing w:val="8"/>
        </w:rPr>
        <w:t xml:space="preserve"> </w:t>
      </w:r>
      <w:r>
        <w:rPr>
          <w:color w:val="000000"/>
          <w:spacing w:val="-5"/>
        </w:rPr>
        <w:t>n</w:t>
      </w:r>
      <w:r>
        <w:rPr>
          <w:color w:val="000000"/>
          <w:spacing w:val="-1"/>
        </w:rPr>
        <w:t>a</w:t>
      </w:r>
      <w:r>
        <w:rPr>
          <w:color w:val="000000"/>
          <w:spacing w:val="5"/>
        </w:rPr>
        <w:t>u</w:t>
      </w:r>
      <w:r>
        <w:rPr>
          <w:color w:val="000000"/>
        </w:rPr>
        <w:t>ji</w:t>
      </w:r>
      <w:r>
        <w:rPr>
          <w:color w:val="000000"/>
          <w:spacing w:val="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w:t>
      </w:r>
      <w:r>
        <w:rPr>
          <w:color w:val="000000"/>
          <w:spacing w:val="4"/>
        </w:rPr>
        <w:t>a</w:t>
      </w:r>
      <w:r>
        <w:rPr>
          <w:color w:val="000000"/>
        </w:rPr>
        <w:t>i</w:t>
      </w:r>
      <w:r>
        <w:rPr>
          <w:color w:val="000000"/>
          <w:spacing w:val="5"/>
        </w:rPr>
        <w:t xml:space="preserve"> </w:t>
      </w:r>
      <w:r>
        <w:rPr>
          <w:color w:val="000000"/>
          <w:spacing w:val="-4"/>
        </w:rPr>
        <w:t>i</w:t>
      </w:r>
      <w:r>
        <w:rPr>
          <w:color w:val="000000"/>
        </w:rPr>
        <w:t>r</w:t>
      </w:r>
      <w:r>
        <w:rPr>
          <w:color w:val="000000"/>
          <w:spacing w:val="11"/>
        </w:rPr>
        <w:t xml:space="preserve"> </w:t>
      </w:r>
      <w:r>
        <w:rPr>
          <w:color w:val="000000"/>
          <w:spacing w:val="-5"/>
        </w:rPr>
        <w:t>n</w:t>
      </w:r>
      <w:r>
        <w:rPr>
          <w:color w:val="000000"/>
          <w:spacing w:val="3"/>
        </w:rPr>
        <w:t>a</w:t>
      </w:r>
      <w:r>
        <w:rPr>
          <w:color w:val="000000"/>
          <w:spacing w:val="5"/>
        </w:rPr>
        <w:t>u</w:t>
      </w:r>
      <w:r>
        <w:rPr>
          <w:color w:val="000000"/>
        </w:rPr>
        <w:t>ji</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9"/>
        </w:rPr>
        <w:t xml:space="preserve"> </w:t>
      </w:r>
      <w:r>
        <w:rPr>
          <w:color w:val="000000"/>
          <w:spacing w:val="-5"/>
        </w:rPr>
        <w:t>v</w:t>
      </w:r>
      <w:r>
        <w:rPr>
          <w:color w:val="000000"/>
          <w:spacing w:val="-1"/>
        </w:rPr>
        <w:t>a</w:t>
      </w:r>
      <w:r>
        <w:rPr>
          <w:color w:val="000000"/>
          <w:spacing w:val="6"/>
        </w:rPr>
        <w:t>r</w:t>
      </w:r>
      <w:r>
        <w:rPr>
          <w:color w:val="000000"/>
        </w:rPr>
        <w:t>t</w:t>
      </w:r>
      <w:r>
        <w:rPr>
          <w:color w:val="000000"/>
          <w:spacing w:val="5"/>
        </w:rPr>
        <w:t>o</w:t>
      </w:r>
      <w:r>
        <w:rPr>
          <w:color w:val="000000"/>
          <w:spacing w:val="-4"/>
        </w:rPr>
        <w:t>j</w:t>
      </w:r>
      <w:r>
        <w:rPr>
          <w:color w:val="000000"/>
        </w:rPr>
        <w:t>i</w:t>
      </w:r>
      <w:r>
        <w:rPr>
          <w:color w:val="000000"/>
          <w:spacing w:val="-9"/>
        </w:rPr>
        <w:t>m</w:t>
      </w:r>
      <w:r>
        <w:rPr>
          <w:color w:val="000000"/>
        </w:rPr>
        <w:t>o</w:t>
      </w:r>
      <w:r>
        <w:rPr>
          <w:color w:val="000000"/>
          <w:spacing w:val="14"/>
        </w:rPr>
        <w:t xml:space="preserve"> </w:t>
      </w:r>
      <w:r>
        <w:rPr>
          <w:color w:val="000000"/>
          <w:spacing w:val="-5"/>
        </w:rPr>
        <w:t>b</w:t>
      </w:r>
      <w:r>
        <w:rPr>
          <w:color w:val="000000"/>
        </w:rPr>
        <w:t>ūd</w:t>
      </w:r>
      <w:r>
        <w:rPr>
          <w:color w:val="000000"/>
          <w:spacing w:val="4"/>
        </w:rPr>
        <w:t>a</w:t>
      </w:r>
      <w:r>
        <w:rPr>
          <w:color w:val="000000"/>
          <w:spacing w:val="-9"/>
        </w:rPr>
        <w:t>i</w:t>
      </w:r>
      <w:r>
        <w:rPr>
          <w:color w:val="000000"/>
        </w:rPr>
        <w:t>.</w:t>
      </w:r>
      <w:r>
        <w:rPr>
          <w:color w:val="000000"/>
          <w:spacing w:val="7"/>
        </w:rPr>
        <w:t xml:space="preserve"> </w:t>
      </w:r>
      <w:r>
        <w:rPr>
          <w:color w:val="000000"/>
          <w:spacing w:val="1"/>
        </w:rPr>
        <w:t>I</w:t>
      </w:r>
      <w:r>
        <w:rPr>
          <w:color w:val="000000"/>
        </w:rPr>
        <w:t>š</w:t>
      </w:r>
      <w:r>
        <w:rPr>
          <w:color w:val="000000"/>
          <w:spacing w:val="2"/>
        </w:rPr>
        <w:t xml:space="preserve"> </w:t>
      </w:r>
      <w:r>
        <w:rPr>
          <w:color w:val="000000"/>
        </w:rPr>
        <w:t>d</w:t>
      </w:r>
      <w:r>
        <w:rPr>
          <w:color w:val="000000"/>
          <w:spacing w:val="4"/>
        </w:rPr>
        <w:t>a</w:t>
      </w:r>
      <w:r>
        <w:rPr>
          <w:color w:val="000000"/>
        </w:rPr>
        <w:t>l</w:t>
      </w:r>
      <w:r>
        <w:rPr>
          <w:color w:val="000000"/>
          <w:spacing w:val="-4"/>
        </w:rPr>
        <w:t>i</w:t>
      </w:r>
      <w:r>
        <w:rPr>
          <w:color w:val="000000"/>
          <w:spacing w:val="4"/>
        </w:rPr>
        <w:t>e</w:t>
      </w:r>
      <w:r>
        <w:rPr>
          <w:color w:val="000000"/>
        </w:rPr>
        <w:t>s</w:t>
      </w:r>
      <w:r>
        <w:rPr>
          <w:color w:val="000000"/>
          <w:spacing w:val="2"/>
        </w:rPr>
        <w:t xml:space="preserve"> </w:t>
      </w:r>
      <w:r>
        <w:rPr>
          <w:color w:val="000000"/>
          <w:spacing w:val="5"/>
        </w:rPr>
        <w:t>t</w:t>
      </w:r>
      <w:r>
        <w:rPr>
          <w:color w:val="000000"/>
          <w:spacing w:val="4"/>
        </w:rPr>
        <w:t>a</w:t>
      </w:r>
      <w:r>
        <w:rPr>
          <w:color w:val="000000"/>
        </w:rPr>
        <w:t xml:space="preserve">i </w:t>
      </w:r>
      <w:r>
        <w:rPr>
          <w:color w:val="000000"/>
          <w:spacing w:val="-4"/>
        </w:rPr>
        <w:t>l</w:t>
      </w:r>
      <w:r>
        <w:rPr>
          <w:color w:val="000000"/>
          <w:spacing w:val="4"/>
        </w:rPr>
        <w:t>ė</w:t>
      </w:r>
      <w:r>
        <w:rPr>
          <w:color w:val="000000"/>
          <w:spacing w:val="-4"/>
        </w:rPr>
        <w:t>m</w:t>
      </w:r>
      <w:r>
        <w:rPr>
          <w:color w:val="000000"/>
        </w:rPr>
        <w:t>ė</w:t>
      </w:r>
      <w:r>
        <w:rPr>
          <w:color w:val="000000"/>
          <w:spacing w:val="3"/>
        </w:rPr>
        <w:t xml:space="preserve"> </w:t>
      </w:r>
      <w:r>
        <w:rPr>
          <w:color w:val="000000"/>
        </w:rPr>
        <w:t>k</w:t>
      </w:r>
      <w:r>
        <w:rPr>
          <w:color w:val="000000"/>
          <w:spacing w:val="9"/>
        </w:rPr>
        <w:t>o</w:t>
      </w:r>
      <w:r>
        <w:rPr>
          <w:color w:val="000000"/>
          <w:spacing w:val="-9"/>
        </w:rPr>
        <w:t>m</w:t>
      </w:r>
      <w:r>
        <w:rPr>
          <w:color w:val="000000"/>
          <w:spacing w:val="5"/>
        </w:rPr>
        <w:t>u</w:t>
      </w:r>
      <w:r>
        <w:rPr>
          <w:color w:val="000000"/>
        </w:rPr>
        <w:t>n</w:t>
      </w:r>
      <w:r>
        <w:rPr>
          <w:color w:val="000000"/>
          <w:spacing w:val="-9"/>
        </w:rPr>
        <w:t>i</w:t>
      </w:r>
      <w:r>
        <w:rPr>
          <w:color w:val="000000"/>
          <w:spacing w:val="5"/>
        </w:rPr>
        <w:t>k</w:t>
      </w:r>
      <w:r>
        <w:rPr>
          <w:color w:val="000000"/>
          <w:spacing w:val="-1"/>
        </w:rPr>
        <w:t>a</w:t>
      </w:r>
      <w:r>
        <w:rPr>
          <w:color w:val="000000"/>
          <w:spacing w:val="4"/>
        </w:rPr>
        <w:t>c</w:t>
      </w:r>
      <w:r>
        <w:rPr>
          <w:color w:val="000000"/>
        </w:rPr>
        <w:t>i</w:t>
      </w:r>
      <w:r>
        <w:rPr>
          <w:color w:val="000000"/>
          <w:spacing w:val="-4"/>
        </w:rPr>
        <w:t>j</w:t>
      </w:r>
      <w:r>
        <w:rPr>
          <w:color w:val="000000"/>
        </w:rPr>
        <w:t xml:space="preserve">ų </w:t>
      </w:r>
      <w:r>
        <w:rPr>
          <w:color w:val="000000"/>
          <w:spacing w:val="5"/>
        </w:rPr>
        <w:t>t</w:t>
      </w:r>
      <w:r>
        <w:rPr>
          <w:color w:val="000000"/>
          <w:spacing w:val="-1"/>
        </w:rPr>
        <w:t>ec</w:t>
      </w:r>
      <w:r>
        <w:rPr>
          <w:color w:val="000000"/>
          <w:spacing w:val="-5"/>
        </w:rPr>
        <w:t>hn</w:t>
      </w:r>
      <w:r>
        <w:rPr>
          <w:color w:val="000000"/>
          <w:spacing w:val="9"/>
        </w:rPr>
        <w:t>o</w:t>
      </w:r>
      <w:r>
        <w:rPr>
          <w:color w:val="000000"/>
          <w:spacing w:val="-9"/>
        </w:rPr>
        <w:t>l</w:t>
      </w:r>
      <w:r>
        <w:rPr>
          <w:color w:val="000000"/>
          <w:spacing w:val="5"/>
        </w:rPr>
        <w:t>og</w:t>
      </w:r>
      <w:r>
        <w:rPr>
          <w:color w:val="000000"/>
          <w:spacing w:val="-4"/>
        </w:rPr>
        <w:t>ij</w:t>
      </w:r>
      <w:r>
        <w:rPr>
          <w:color w:val="000000"/>
        </w:rPr>
        <w:t>ų p</w:t>
      </w:r>
      <w:r>
        <w:rPr>
          <w:color w:val="000000"/>
          <w:spacing w:val="5"/>
        </w:rPr>
        <w:t>ok</w:t>
      </w:r>
      <w:r>
        <w:rPr>
          <w:color w:val="000000"/>
          <w:spacing w:val="-5"/>
        </w:rPr>
        <w:t>y</w:t>
      </w:r>
      <w:r>
        <w:rPr>
          <w:color w:val="000000"/>
          <w:spacing w:val="4"/>
        </w:rPr>
        <w:t>č</w:t>
      </w:r>
      <w:r>
        <w:rPr>
          <w:color w:val="000000"/>
          <w:spacing w:val="-4"/>
        </w:rPr>
        <w:t>i</w:t>
      </w:r>
      <w:r>
        <w:rPr>
          <w:color w:val="000000"/>
          <w:spacing w:val="4"/>
        </w:rPr>
        <w:t>a</w:t>
      </w:r>
      <w:r>
        <w:rPr>
          <w:color w:val="000000"/>
          <w:spacing w:val="-9"/>
        </w:rPr>
        <w:t>i</w:t>
      </w:r>
      <w:r>
        <w:rPr>
          <w:color w:val="000000"/>
        </w:rPr>
        <w:t>,</w:t>
      </w:r>
      <w:r>
        <w:rPr>
          <w:color w:val="000000"/>
          <w:spacing w:val="7"/>
        </w:rPr>
        <w:t xml:space="preserve"> </w:t>
      </w:r>
      <w:r>
        <w:rPr>
          <w:color w:val="000000"/>
          <w:spacing w:val="5"/>
        </w:rPr>
        <w:t>t</w:t>
      </w:r>
      <w:r>
        <w:rPr>
          <w:color w:val="000000"/>
        </w:rPr>
        <w:t>u</w:t>
      </w:r>
      <w:r>
        <w:rPr>
          <w:color w:val="000000"/>
          <w:spacing w:val="1"/>
        </w:rPr>
        <w:t>r</w:t>
      </w:r>
      <w:r>
        <w:rPr>
          <w:color w:val="000000"/>
          <w:spacing w:val="-1"/>
        </w:rPr>
        <w:t>ė</w:t>
      </w:r>
      <w:r>
        <w:rPr>
          <w:color w:val="000000"/>
          <w:spacing w:val="-9"/>
        </w:rPr>
        <w:t>j</w:t>
      </w:r>
      <w:r>
        <w:rPr>
          <w:color w:val="000000"/>
        </w:rPr>
        <w:t>ę</w:t>
      </w:r>
      <w:r>
        <w:rPr>
          <w:color w:val="000000"/>
          <w:spacing w:val="4"/>
        </w:rPr>
        <w:t xml:space="preserve"> </w:t>
      </w:r>
      <w:r>
        <w:rPr>
          <w:color w:val="000000"/>
        </w:rPr>
        <w:t>p</w:t>
      </w:r>
      <w:r>
        <w:rPr>
          <w:color w:val="000000"/>
          <w:spacing w:val="5"/>
        </w:rPr>
        <w:t>o</w:t>
      </w:r>
      <w:r>
        <w:rPr>
          <w:color w:val="000000"/>
          <w:spacing w:val="-5"/>
        </w:rPr>
        <w:t>v</w:t>
      </w:r>
      <w:r>
        <w:rPr>
          <w:color w:val="000000"/>
          <w:spacing w:val="4"/>
        </w:rPr>
        <w:t>e</w:t>
      </w:r>
      <w:r>
        <w:rPr>
          <w:color w:val="000000"/>
          <w:spacing w:val="-4"/>
        </w:rPr>
        <w:t>i</w:t>
      </w:r>
      <w:r>
        <w:rPr>
          <w:color w:val="000000"/>
          <w:spacing w:val="5"/>
        </w:rPr>
        <w:t>k</w:t>
      </w:r>
      <w:r>
        <w:rPr>
          <w:color w:val="000000"/>
        </w:rPr>
        <w:t>į</w:t>
      </w:r>
      <w:r>
        <w:rPr>
          <w:color w:val="000000"/>
          <w:spacing w:val="1"/>
        </w:rPr>
        <w:t xml:space="preserve"> </w:t>
      </w:r>
      <w:r>
        <w:rPr>
          <w:color w:val="000000"/>
        </w:rPr>
        <w:t>v</w:t>
      </w:r>
      <w:r>
        <w:rPr>
          <w:color w:val="000000"/>
          <w:spacing w:val="-4"/>
        </w:rPr>
        <w:t>i</w:t>
      </w:r>
      <w:r>
        <w:rPr>
          <w:color w:val="000000"/>
          <w:spacing w:val="7"/>
        </w:rPr>
        <w:t>s</w:t>
      </w:r>
      <w:r>
        <w:rPr>
          <w:color w:val="000000"/>
          <w:spacing w:val="-4"/>
        </w:rPr>
        <w:t>i</w:t>
      </w:r>
      <w:r>
        <w:rPr>
          <w:color w:val="000000"/>
          <w:spacing w:val="4"/>
        </w:rPr>
        <w:t>e</w:t>
      </w:r>
      <w:r>
        <w:rPr>
          <w:color w:val="000000"/>
          <w:spacing w:val="-4"/>
        </w:rPr>
        <w:t>m</w:t>
      </w:r>
      <w:r>
        <w:rPr>
          <w:color w:val="000000"/>
        </w:rPr>
        <w:t>s</w:t>
      </w:r>
      <w:r>
        <w:rPr>
          <w:color w:val="000000"/>
          <w:spacing w:val="7"/>
        </w:rPr>
        <w:t xml:space="preserve"> </w:t>
      </w:r>
      <w:r>
        <w:rPr>
          <w:color w:val="000000"/>
          <w:spacing w:val="2"/>
        </w:rPr>
        <w:t>š</w:t>
      </w:r>
      <w:r>
        <w:rPr>
          <w:color w:val="000000"/>
          <w:spacing w:val="-9"/>
        </w:rPr>
        <w:t>i</w:t>
      </w:r>
      <w:r>
        <w:rPr>
          <w:color w:val="000000"/>
        </w:rPr>
        <w:t>u</w:t>
      </w:r>
      <w:r>
        <w:rPr>
          <w:color w:val="000000"/>
          <w:spacing w:val="9"/>
        </w:rPr>
        <w:t>o</w:t>
      </w:r>
      <w:r>
        <w:rPr>
          <w:color w:val="000000"/>
          <w:spacing w:val="-9"/>
        </w:rPr>
        <w:t>l</w:t>
      </w:r>
      <w:r>
        <w:rPr>
          <w:color w:val="000000"/>
          <w:spacing w:val="4"/>
        </w:rPr>
        <w:t>a</w:t>
      </w:r>
      <w:r>
        <w:rPr>
          <w:color w:val="000000"/>
          <w:spacing w:val="-4"/>
        </w:rPr>
        <w:t>i</w:t>
      </w:r>
      <w:r>
        <w:rPr>
          <w:color w:val="000000"/>
          <w:spacing w:val="5"/>
        </w:rPr>
        <w:t>k</w:t>
      </w:r>
      <w:r>
        <w:rPr>
          <w:color w:val="000000"/>
          <w:spacing w:val="-4"/>
        </w:rPr>
        <w:t>i</w:t>
      </w:r>
      <w:r>
        <w:rPr>
          <w:color w:val="000000"/>
          <w:spacing w:val="5"/>
        </w:rPr>
        <w:t>n</w:t>
      </w:r>
      <w:r>
        <w:rPr>
          <w:color w:val="000000"/>
          <w:spacing w:val="-9"/>
        </w:rPr>
        <w:t>i</w:t>
      </w:r>
      <w:r>
        <w:rPr>
          <w:color w:val="000000"/>
        </w:rPr>
        <w:t>o</w:t>
      </w:r>
      <w:r>
        <w:rPr>
          <w:color w:val="000000"/>
          <w:spacing w:val="10"/>
        </w:rPr>
        <w:t xml:space="preserve"> </w:t>
      </w:r>
      <w:r>
        <w:rPr>
          <w:color w:val="000000"/>
          <w:spacing w:val="5"/>
        </w:rPr>
        <w:t>g</w:t>
      </w:r>
      <w:r>
        <w:rPr>
          <w:color w:val="000000"/>
          <w:spacing w:val="-5"/>
        </w:rPr>
        <w:t>y</w:t>
      </w:r>
      <w:r>
        <w:rPr>
          <w:color w:val="000000"/>
        </w:rPr>
        <w:t>v</w:t>
      </w:r>
      <w:r>
        <w:rPr>
          <w:color w:val="000000"/>
          <w:spacing w:val="4"/>
        </w:rPr>
        <w:t>e</w:t>
      </w:r>
      <w:r>
        <w:rPr>
          <w:color w:val="000000"/>
        </w:rPr>
        <w:t>ni</w:t>
      </w:r>
      <w:r>
        <w:rPr>
          <w:color w:val="000000"/>
          <w:spacing w:val="-9"/>
        </w:rPr>
        <w:t>m</w:t>
      </w:r>
      <w:r>
        <w:rPr>
          <w:color w:val="000000"/>
        </w:rPr>
        <w:t>o</w:t>
      </w:r>
      <w:r>
        <w:rPr>
          <w:color w:val="000000"/>
          <w:spacing w:val="5"/>
        </w:rPr>
        <w:t xml:space="preserve"> </w:t>
      </w:r>
      <w:r>
        <w:rPr>
          <w:color w:val="000000"/>
          <w:spacing w:val="4"/>
        </w:rPr>
        <w:t>a</w:t>
      </w:r>
      <w:r>
        <w:rPr>
          <w:color w:val="000000"/>
          <w:spacing w:val="-2"/>
        </w:rPr>
        <w:t>s</w:t>
      </w:r>
      <w:r>
        <w:rPr>
          <w:color w:val="000000"/>
        </w:rPr>
        <w:t>p</w:t>
      </w:r>
      <w:r>
        <w:rPr>
          <w:color w:val="000000"/>
          <w:spacing w:val="-1"/>
        </w:rPr>
        <w:t>e</w:t>
      </w:r>
      <w:r>
        <w:rPr>
          <w:color w:val="000000"/>
        </w:rPr>
        <w:t>k</w:t>
      </w:r>
      <w:r>
        <w:rPr>
          <w:color w:val="000000"/>
          <w:spacing w:val="5"/>
        </w:rPr>
        <w:t>t</w:t>
      </w:r>
      <w:r>
        <w:rPr>
          <w:color w:val="000000"/>
          <w:spacing w:val="4"/>
        </w:rPr>
        <w:t>a</w:t>
      </w:r>
      <w:r>
        <w:rPr>
          <w:color w:val="000000"/>
          <w:spacing w:val="-9"/>
        </w:rPr>
        <w:t>m</w:t>
      </w:r>
      <w:r>
        <w:rPr>
          <w:color w:val="000000"/>
          <w:spacing w:val="-2"/>
        </w:rPr>
        <w:t>s</w:t>
      </w:r>
      <w:r>
        <w:rPr>
          <w:color w:val="000000"/>
        </w:rPr>
        <w:t>,</w:t>
      </w:r>
      <w:r>
        <w:rPr>
          <w:color w:val="000000"/>
          <w:spacing w:val="2"/>
        </w:rPr>
        <w:t xml:space="preserve"> </w:t>
      </w:r>
      <w:r>
        <w:rPr>
          <w:color w:val="000000"/>
        </w:rPr>
        <w:t>p</w:t>
      </w:r>
      <w:r>
        <w:rPr>
          <w:color w:val="000000"/>
          <w:spacing w:val="4"/>
        </w:rPr>
        <w:t>a</w:t>
      </w:r>
      <w:r>
        <w:rPr>
          <w:color w:val="000000"/>
        </w:rPr>
        <w:t>v</w:t>
      </w:r>
      <w:r>
        <w:rPr>
          <w:color w:val="000000"/>
          <w:spacing w:val="-5"/>
        </w:rPr>
        <w:t>y</w:t>
      </w:r>
      <w:r>
        <w:rPr>
          <w:color w:val="000000"/>
          <w:spacing w:val="4"/>
        </w:rPr>
        <w:t>z</w:t>
      </w:r>
      <w:r>
        <w:rPr>
          <w:color w:val="000000"/>
        </w:rPr>
        <w:t>d</w:t>
      </w:r>
      <w:r>
        <w:rPr>
          <w:color w:val="000000"/>
          <w:spacing w:val="4"/>
        </w:rPr>
        <w:t>ž</w:t>
      </w:r>
      <w:r>
        <w:rPr>
          <w:color w:val="000000"/>
          <w:spacing w:val="-4"/>
        </w:rPr>
        <w:t>i</w:t>
      </w:r>
      <w:r>
        <w:rPr>
          <w:color w:val="000000"/>
          <w:spacing w:val="5"/>
        </w:rPr>
        <w:t>u</w:t>
      </w:r>
      <w:r>
        <w:rPr>
          <w:color w:val="000000"/>
          <w:spacing w:val="-9"/>
        </w:rPr>
        <w:t>i</w:t>
      </w:r>
      <w:r>
        <w:rPr>
          <w:color w:val="000000"/>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6"/>
        </w:rPr>
        <w:t xml:space="preserve"> r</w:t>
      </w:r>
      <w:r>
        <w:rPr>
          <w:color w:val="000000"/>
          <w:spacing w:val="-4"/>
        </w:rPr>
        <w:t>i</w:t>
      </w:r>
      <w:r>
        <w:rPr>
          <w:color w:val="000000"/>
          <w:spacing w:val="-5"/>
        </w:rPr>
        <w:t>n</w:t>
      </w:r>
      <w:r>
        <w:rPr>
          <w:color w:val="000000"/>
        </w:rPr>
        <w:t>k</w:t>
      </w:r>
      <w:r>
        <w:rPr>
          <w:color w:val="000000"/>
          <w:spacing w:val="5"/>
        </w:rPr>
        <w:t>o</w:t>
      </w:r>
      <w:r>
        <w:rPr>
          <w:color w:val="000000"/>
        </w:rPr>
        <w:t>s</w:t>
      </w:r>
      <w:r>
        <w:rPr>
          <w:color w:val="000000"/>
          <w:spacing w:val="4"/>
        </w:rPr>
        <w:t xml:space="preserve"> </w:t>
      </w:r>
      <w:r>
        <w:rPr>
          <w:color w:val="000000"/>
        </w:rPr>
        <w:t>p</w:t>
      </w:r>
      <w:r>
        <w:rPr>
          <w:color w:val="000000"/>
          <w:spacing w:val="5"/>
        </w:rPr>
        <w:t>o</w:t>
      </w:r>
      <w:r>
        <w:rPr>
          <w:color w:val="000000"/>
          <w:spacing w:val="-5"/>
        </w:rPr>
        <w:t>b</w:t>
      </w:r>
      <w:r>
        <w:rPr>
          <w:color w:val="000000"/>
        </w:rPr>
        <w:t>ūd</w:t>
      </w:r>
      <w:r>
        <w:rPr>
          <w:color w:val="000000"/>
          <w:spacing w:val="4"/>
        </w:rPr>
        <w:t>ž</w:t>
      </w:r>
      <w:r>
        <w:rPr>
          <w:color w:val="000000"/>
          <w:spacing w:val="-9"/>
        </w:rPr>
        <w:t>i</w:t>
      </w:r>
      <w:r>
        <w:rPr>
          <w:color w:val="000000"/>
          <w:spacing w:val="5"/>
        </w:rPr>
        <w:t>u</w:t>
      </w:r>
      <w:r>
        <w:rPr>
          <w:color w:val="000000"/>
        </w:rPr>
        <w:t>i</w:t>
      </w:r>
      <w:r>
        <w:rPr>
          <w:color w:val="000000"/>
          <w:spacing w:val="1"/>
        </w:rPr>
        <w:t xml:space="preserve"> </w:t>
      </w:r>
      <w:r>
        <w:rPr>
          <w:color w:val="000000"/>
          <w:spacing w:val="-4"/>
        </w:rPr>
        <w:t>i</w:t>
      </w:r>
      <w:r>
        <w:rPr>
          <w:color w:val="000000"/>
        </w:rPr>
        <w:t>r</w:t>
      </w:r>
      <w:r>
        <w:rPr>
          <w:color w:val="000000"/>
          <w:spacing w:val="7"/>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rPr>
        <w:t>ų</w:t>
      </w:r>
      <w:r>
        <w:rPr>
          <w:color w:val="000000"/>
          <w:spacing w:val="6"/>
        </w:rPr>
        <w:t xml:space="preserve"> </w:t>
      </w:r>
      <w:r>
        <w:rPr>
          <w:color w:val="000000"/>
        </w:rPr>
        <w:t>p</w:t>
      </w:r>
      <w:r>
        <w:rPr>
          <w:color w:val="000000"/>
          <w:spacing w:val="-1"/>
        </w:rPr>
        <w:t>a</w:t>
      </w:r>
      <w:r>
        <w:rPr>
          <w:color w:val="000000"/>
          <w:spacing w:val="5"/>
        </w:rPr>
        <w:t>k</w:t>
      </w:r>
      <w:r>
        <w:rPr>
          <w:color w:val="000000"/>
          <w:spacing w:val="-4"/>
        </w:rPr>
        <w:t>l</w:t>
      </w:r>
      <w:r>
        <w:rPr>
          <w:color w:val="000000"/>
          <w:spacing w:val="-1"/>
        </w:rPr>
        <w:t>a</w:t>
      </w:r>
      <w:r>
        <w:rPr>
          <w:color w:val="000000"/>
        </w:rPr>
        <w:t>u</w:t>
      </w:r>
      <w:r>
        <w:rPr>
          <w:color w:val="000000"/>
          <w:spacing w:val="2"/>
        </w:rPr>
        <w:t>s</w:t>
      </w:r>
      <w:r>
        <w:rPr>
          <w:color w:val="000000"/>
          <w:spacing w:val="4"/>
        </w:rPr>
        <w:t>a</w:t>
      </w:r>
      <w:r>
        <w:rPr>
          <w:color w:val="000000"/>
          <w:spacing w:val="2"/>
        </w:rPr>
        <w:t>i</w:t>
      </w:r>
      <w:r>
        <w:rPr>
          <w:color w:val="000000"/>
          <w:spacing w:val="3"/>
          <w:position w:val="11"/>
          <w:sz w:val="16"/>
          <w:szCs w:val="16"/>
        </w:rPr>
        <w:t>8</w:t>
      </w:r>
      <w:r>
        <w:rPr>
          <w:color w:val="000000"/>
        </w:rPr>
        <w:t>.</w:t>
      </w:r>
      <w:r>
        <w:rPr>
          <w:color w:val="000000"/>
          <w:spacing w:val="6"/>
        </w:rPr>
        <w:t xml:space="preserve"> </w:t>
      </w:r>
      <w:r>
        <w:rPr>
          <w:color w:val="000000"/>
          <w:spacing w:val="2"/>
        </w:rPr>
        <w:t>E</w:t>
      </w:r>
      <w:r>
        <w:rPr>
          <w:color w:val="000000"/>
          <w:spacing w:val="-2"/>
        </w:rPr>
        <w:t>MC</w:t>
      </w:r>
      <w:r>
        <w:rPr>
          <w:color w:val="000000"/>
        </w:rPr>
        <w:t>D</w:t>
      </w:r>
      <w:r>
        <w:rPr>
          <w:color w:val="000000"/>
          <w:spacing w:val="-1"/>
        </w:rPr>
        <w:t>D</w:t>
      </w:r>
      <w:r>
        <w:rPr>
          <w:color w:val="000000"/>
        </w:rPr>
        <w:t>A du</w:t>
      </w:r>
      <w:r>
        <w:rPr>
          <w:color w:val="000000"/>
          <w:spacing w:val="5"/>
        </w:rPr>
        <w:t>o</w:t>
      </w:r>
      <w:r>
        <w:rPr>
          <w:color w:val="000000"/>
          <w:spacing w:val="-9"/>
        </w:rPr>
        <w:t>m</w:t>
      </w:r>
      <w:r>
        <w:rPr>
          <w:color w:val="000000"/>
          <w:spacing w:val="4"/>
        </w:rPr>
        <w:t>e</w:t>
      </w:r>
      <w:r>
        <w:rPr>
          <w:color w:val="000000"/>
        </w:rPr>
        <w:t>ni</w:t>
      </w:r>
      <w:r>
        <w:rPr>
          <w:color w:val="000000"/>
          <w:spacing w:val="1"/>
        </w:rPr>
        <w:t>m</w:t>
      </w:r>
      <w:r>
        <w:rPr>
          <w:color w:val="000000"/>
          <w:spacing w:val="-4"/>
        </w:rPr>
        <w:t>i</w:t>
      </w:r>
      <w:r>
        <w:rPr>
          <w:color w:val="000000"/>
          <w:spacing w:val="-2"/>
        </w:rPr>
        <w:t>s</w:t>
      </w:r>
      <w:r>
        <w:rPr>
          <w:color w:val="000000"/>
        </w:rPr>
        <w:t>,</w:t>
      </w:r>
      <w:r>
        <w:rPr>
          <w:color w:val="000000"/>
          <w:spacing w:val="8"/>
        </w:rPr>
        <w:t xml:space="preserve"> </w:t>
      </w:r>
      <w:r>
        <w:rPr>
          <w:color w:val="000000"/>
        </w:rPr>
        <w:t>200</w:t>
      </w:r>
      <w:r>
        <w:rPr>
          <w:color w:val="000000"/>
          <w:spacing w:val="3"/>
        </w:rPr>
        <w:t>5</w:t>
      </w:r>
      <w:r>
        <w:rPr>
          <w:color w:val="000000"/>
        </w:rPr>
        <w:t>–2011</w:t>
      </w:r>
      <w:r>
        <w:rPr>
          <w:color w:val="000000"/>
          <w:spacing w:val="11"/>
        </w:rPr>
        <w:t xml:space="preserve"> </w:t>
      </w:r>
      <w:r>
        <w:rPr>
          <w:color w:val="000000"/>
          <w:spacing w:val="-9"/>
        </w:rPr>
        <w:t>m</w:t>
      </w:r>
      <w:r>
        <w:rPr>
          <w:color w:val="000000"/>
        </w:rPr>
        <w:t>.</w:t>
      </w:r>
      <w:r>
        <w:rPr>
          <w:color w:val="000000"/>
          <w:spacing w:val="8"/>
        </w:rPr>
        <w:t xml:space="preserve"> </w:t>
      </w:r>
      <w:r>
        <w:rPr>
          <w:color w:val="000000"/>
        </w:rPr>
        <w:t>p</w:t>
      </w:r>
      <w:r>
        <w:rPr>
          <w:color w:val="000000"/>
          <w:spacing w:val="-1"/>
        </w:rPr>
        <w:t>e</w:t>
      </w:r>
      <w:r>
        <w:rPr>
          <w:color w:val="000000"/>
        </w:rPr>
        <w:t xml:space="preserve">r </w:t>
      </w:r>
      <w:r>
        <w:rPr>
          <w:color w:val="000000"/>
          <w:spacing w:val="-1"/>
        </w:rPr>
        <w:t>a</w:t>
      </w:r>
      <w:r>
        <w:rPr>
          <w:color w:val="000000"/>
          <w:spacing w:val="-5"/>
        </w:rPr>
        <w:t>n</w:t>
      </w:r>
      <w:r>
        <w:rPr>
          <w:color w:val="000000"/>
          <w:spacing w:val="5"/>
        </w:rPr>
        <w:t>k</w:t>
      </w:r>
      <w:r>
        <w:rPr>
          <w:color w:val="000000"/>
          <w:spacing w:val="-2"/>
        </w:rPr>
        <w:t>s</w:t>
      </w:r>
      <w:r>
        <w:rPr>
          <w:color w:val="000000"/>
          <w:spacing w:val="10"/>
        </w:rPr>
        <w:t>t</w:t>
      </w:r>
      <w:r>
        <w:rPr>
          <w:color w:val="000000"/>
          <w:spacing w:val="-5"/>
        </w:rPr>
        <w:t>yv</w:t>
      </w:r>
      <w:r>
        <w:rPr>
          <w:color w:val="000000"/>
          <w:spacing w:val="5"/>
        </w:rPr>
        <w:t>o</w:t>
      </w:r>
      <w:r>
        <w:rPr>
          <w:color w:val="000000"/>
          <w:spacing w:val="-9"/>
        </w:rPr>
        <w:t>j</w:t>
      </w:r>
      <w:r>
        <w:rPr>
          <w:color w:val="000000"/>
        </w:rPr>
        <w:t>o  p</w:t>
      </w:r>
      <w:r>
        <w:rPr>
          <w:color w:val="000000"/>
          <w:spacing w:val="-1"/>
        </w:rPr>
        <w:t>e</w:t>
      </w:r>
      <w:r>
        <w:rPr>
          <w:color w:val="000000"/>
          <w:spacing w:val="4"/>
        </w:rPr>
        <w:t>r</w:t>
      </w:r>
      <w:r>
        <w:rPr>
          <w:color w:val="000000"/>
          <w:spacing w:val="-2"/>
        </w:rPr>
        <w:t>s</w:t>
      </w:r>
      <w:r>
        <w:rPr>
          <w:color w:val="000000"/>
        </w:rPr>
        <w:t>p</w:t>
      </w:r>
      <w:r>
        <w:rPr>
          <w:color w:val="000000"/>
          <w:spacing w:val="4"/>
        </w:rPr>
        <w:t>ė</w:t>
      </w:r>
      <w:r>
        <w:rPr>
          <w:color w:val="000000"/>
        </w:rPr>
        <w:t>j</w:t>
      </w:r>
      <w:r>
        <w:rPr>
          <w:color w:val="000000"/>
          <w:spacing w:val="1"/>
        </w:rPr>
        <w:t>i</w:t>
      </w:r>
      <w:r>
        <w:rPr>
          <w:color w:val="000000"/>
          <w:spacing w:val="-9"/>
        </w:rPr>
        <w:t>m</w:t>
      </w:r>
      <w:r>
        <w:rPr>
          <w:color w:val="000000"/>
        </w:rPr>
        <w:t xml:space="preserve">o </w:t>
      </w:r>
      <w:r>
        <w:rPr>
          <w:color w:val="000000"/>
          <w:spacing w:val="4"/>
        </w:rPr>
        <w:t xml:space="preserve"> </w:t>
      </w:r>
      <w:r>
        <w:rPr>
          <w:color w:val="000000"/>
          <w:spacing w:val="2"/>
        </w:rPr>
        <w:t>s</w:t>
      </w:r>
      <w:r>
        <w:rPr>
          <w:color w:val="000000"/>
          <w:spacing w:val="-4"/>
        </w:rPr>
        <w:t>i</w:t>
      </w:r>
      <w:r>
        <w:rPr>
          <w:color w:val="000000"/>
          <w:spacing w:val="-2"/>
        </w:rPr>
        <w:t>s</w:t>
      </w:r>
      <w:r>
        <w:rPr>
          <w:color w:val="000000"/>
          <w:spacing w:val="5"/>
        </w:rPr>
        <w:t>t</w:t>
      </w:r>
      <w:r>
        <w:rPr>
          <w:color w:val="000000"/>
          <w:spacing w:val="4"/>
        </w:rPr>
        <w:t>e</w:t>
      </w:r>
      <w:r>
        <w:rPr>
          <w:color w:val="000000"/>
          <w:spacing w:val="-9"/>
        </w:rPr>
        <w:t>m</w:t>
      </w:r>
      <w:r>
        <w:rPr>
          <w:color w:val="000000"/>
        </w:rPr>
        <w:t>ą</w:t>
      </w:r>
      <w:r>
        <w:rPr>
          <w:color w:val="000000"/>
          <w:spacing w:val="59"/>
        </w:rPr>
        <w:t xml:space="preserve"> </w:t>
      </w:r>
      <w:r>
        <w:rPr>
          <w:color w:val="000000"/>
          <w:spacing w:val="5"/>
        </w:rPr>
        <w:t>o</w:t>
      </w:r>
      <w:r>
        <w:rPr>
          <w:color w:val="000000"/>
          <w:spacing w:val="-3"/>
        </w:rPr>
        <w:t>f</w:t>
      </w:r>
      <w:r>
        <w:rPr>
          <w:color w:val="000000"/>
          <w:spacing w:val="-4"/>
        </w:rPr>
        <w:t>i</w:t>
      </w:r>
      <w:r>
        <w:rPr>
          <w:color w:val="000000"/>
          <w:spacing w:val="4"/>
        </w:rPr>
        <w:t>c</w:t>
      </w:r>
      <w:r>
        <w:rPr>
          <w:color w:val="000000"/>
          <w:spacing w:val="-4"/>
        </w:rPr>
        <w:t>i</w:t>
      </w:r>
      <w:r>
        <w:rPr>
          <w:color w:val="000000"/>
          <w:spacing w:val="8"/>
        </w:rPr>
        <w:t>a</w:t>
      </w:r>
      <w:r>
        <w:rPr>
          <w:color w:val="000000"/>
          <w:spacing w:val="-4"/>
        </w:rPr>
        <w:t>li</w:t>
      </w:r>
      <w:r>
        <w:rPr>
          <w:color w:val="000000"/>
          <w:spacing w:val="4"/>
        </w:rPr>
        <w:t>a</w:t>
      </w:r>
      <w:r>
        <w:rPr>
          <w:color w:val="000000"/>
        </w:rPr>
        <w:t>i</w:t>
      </w:r>
      <w:r>
        <w:rPr>
          <w:color w:val="000000"/>
          <w:spacing w:val="55"/>
        </w:rPr>
        <w:t xml:space="preserve"> </w:t>
      </w:r>
      <w:r>
        <w:rPr>
          <w:color w:val="000000"/>
        </w:rPr>
        <w:t>p</w:t>
      </w:r>
      <w:r>
        <w:rPr>
          <w:color w:val="000000"/>
          <w:spacing w:val="1"/>
        </w:rPr>
        <w:t>r</w:t>
      </w:r>
      <w:r>
        <w:rPr>
          <w:color w:val="000000"/>
          <w:spacing w:val="4"/>
        </w:rPr>
        <w:t>a</w:t>
      </w:r>
      <w:r>
        <w:rPr>
          <w:color w:val="000000"/>
          <w:spacing w:val="-5"/>
        </w:rPr>
        <w:t>n</w:t>
      </w:r>
      <w:r>
        <w:rPr>
          <w:color w:val="000000"/>
          <w:spacing w:val="-1"/>
        </w:rPr>
        <w:t>e</w:t>
      </w:r>
      <w:r>
        <w:rPr>
          <w:color w:val="000000"/>
          <w:spacing w:val="-2"/>
        </w:rPr>
        <w:t>š</w:t>
      </w:r>
      <w:r>
        <w:rPr>
          <w:color w:val="000000"/>
          <w:spacing w:val="5"/>
        </w:rPr>
        <w:t>t</w:t>
      </w:r>
      <w:r>
        <w:rPr>
          <w:color w:val="000000"/>
        </w:rPr>
        <w:t>a</w:t>
      </w:r>
      <w:r>
        <w:rPr>
          <w:color w:val="000000"/>
          <w:spacing w:val="54"/>
        </w:rPr>
        <w:t xml:space="preserve"> </w:t>
      </w:r>
      <w:r>
        <w:rPr>
          <w:color w:val="000000"/>
          <w:spacing w:val="-1"/>
        </w:rPr>
        <w:t>a</w:t>
      </w:r>
      <w:r>
        <w:rPr>
          <w:color w:val="000000"/>
          <w:spacing w:val="5"/>
        </w:rPr>
        <w:t>p</w:t>
      </w:r>
      <w:r>
        <w:rPr>
          <w:color w:val="000000"/>
          <w:spacing w:val="-4"/>
        </w:rPr>
        <w:t>i</w:t>
      </w:r>
      <w:r>
        <w:rPr>
          <w:color w:val="000000"/>
        </w:rPr>
        <w:t>e</w:t>
      </w:r>
      <w:r>
        <w:rPr>
          <w:color w:val="000000"/>
          <w:spacing w:val="54"/>
        </w:rPr>
        <w:t xml:space="preserve"> </w:t>
      </w:r>
      <w:r>
        <w:rPr>
          <w:color w:val="000000"/>
          <w:spacing w:val="5"/>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w:t>
      </w:r>
      <w:r>
        <w:rPr>
          <w:color w:val="000000"/>
          <w:spacing w:val="55"/>
        </w:rPr>
        <w:t xml:space="preserve"> </w:t>
      </w:r>
      <w:r>
        <w:rPr>
          <w:color w:val="000000"/>
        </w:rPr>
        <w:t>k</w:t>
      </w:r>
      <w:r>
        <w:rPr>
          <w:color w:val="000000"/>
          <w:spacing w:val="4"/>
        </w:rPr>
        <w:t>a</w:t>
      </w:r>
      <w:r>
        <w:rPr>
          <w:color w:val="000000"/>
          <w:spacing w:val="-4"/>
        </w:rPr>
        <w:t>i</w:t>
      </w:r>
      <w:r>
        <w:rPr>
          <w:color w:val="000000"/>
        </w:rPr>
        <w:t xml:space="preserve">p  164  </w:t>
      </w:r>
      <w:r>
        <w:rPr>
          <w:color w:val="000000"/>
          <w:spacing w:val="-5"/>
        </w:rPr>
        <w:t>n</w:t>
      </w:r>
      <w:r>
        <w:rPr>
          <w:color w:val="000000"/>
          <w:spacing w:val="-1"/>
        </w:rPr>
        <w:t>a</w:t>
      </w:r>
      <w:r>
        <w:rPr>
          <w:color w:val="000000"/>
          <w:spacing w:val="5"/>
        </w:rPr>
        <w:t>u</w:t>
      </w:r>
      <w:r>
        <w:rPr>
          <w:color w:val="000000"/>
          <w:spacing w:val="-4"/>
        </w:rPr>
        <w:t>j</w:t>
      </w:r>
      <w:r>
        <w:rPr>
          <w:color w:val="000000"/>
          <w:spacing w:val="4"/>
        </w:rPr>
        <w:t>a</w:t>
      </w:r>
      <w:r>
        <w:rPr>
          <w:color w:val="000000"/>
        </w:rPr>
        <w:t>s</w:t>
      </w:r>
      <w:r>
        <w:rPr>
          <w:color w:val="000000"/>
          <w:spacing w:val="53"/>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spacing w:val="4"/>
        </w:rPr>
        <w:t>a</w:t>
      </w:r>
      <w:r>
        <w:rPr>
          <w:color w:val="000000"/>
        </w:rPr>
        <w:t>s</w:t>
      </w:r>
    </w:p>
    <w:p w:rsidR="004F7425" w:rsidRDefault="004F7425" w:rsidP="004F7425">
      <w:pPr>
        <w:widowControl w:val="0"/>
        <w:autoSpaceDE w:val="0"/>
        <w:autoSpaceDN w:val="0"/>
        <w:adjustRightInd w:val="0"/>
        <w:spacing w:before="10" w:line="275" w:lineRule="auto"/>
        <w:ind w:left="120" w:right="65"/>
        <w:jc w:val="both"/>
        <w:rPr>
          <w:color w:val="000000"/>
        </w:rPr>
      </w:pP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spacing w:val="-1"/>
        </w:rPr>
        <w:t>a</w:t>
      </w:r>
      <w:r>
        <w:rPr>
          <w:color w:val="000000"/>
          <w:spacing w:val="-2"/>
        </w:rPr>
        <w:t>s</w:t>
      </w:r>
      <w:r>
        <w:rPr>
          <w:color w:val="000000"/>
        </w:rPr>
        <w:t>.</w:t>
      </w:r>
      <w:r>
        <w:rPr>
          <w:color w:val="000000"/>
          <w:spacing w:val="12"/>
        </w:rPr>
        <w:t xml:space="preserve"> </w:t>
      </w:r>
      <w:r>
        <w:rPr>
          <w:color w:val="000000"/>
        </w:rPr>
        <w:t>2011</w:t>
      </w:r>
      <w:r>
        <w:rPr>
          <w:color w:val="000000"/>
          <w:spacing w:val="14"/>
        </w:rPr>
        <w:t xml:space="preserve"> </w:t>
      </w:r>
      <w:r>
        <w:rPr>
          <w:color w:val="000000"/>
          <w:spacing w:val="-9"/>
        </w:rPr>
        <w:t>m</w:t>
      </w:r>
      <w:r>
        <w:rPr>
          <w:color w:val="000000"/>
        </w:rPr>
        <w:t>.</w:t>
      </w:r>
      <w:r>
        <w:rPr>
          <w:color w:val="000000"/>
          <w:spacing w:val="12"/>
        </w:rPr>
        <w:t xml:space="preserve"> </w:t>
      </w:r>
      <w:r>
        <w:rPr>
          <w:color w:val="000000"/>
        </w:rPr>
        <w:t>u</w:t>
      </w:r>
      <w:r>
        <w:rPr>
          <w:color w:val="000000"/>
          <w:spacing w:val="-1"/>
        </w:rPr>
        <w:t>ž</w:t>
      </w:r>
      <w:r>
        <w:rPr>
          <w:color w:val="000000"/>
          <w:spacing w:val="1"/>
        </w:rPr>
        <w:t>r</w:t>
      </w:r>
      <w:r>
        <w:rPr>
          <w:color w:val="000000"/>
          <w:spacing w:val="-1"/>
        </w:rPr>
        <w:t>e</w:t>
      </w:r>
      <w:r>
        <w:rPr>
          <w:color w:val="000000"/>
          <w:spacing w:val="5"/>
        </w:rPr>
        <w:t>g</w:t>
      </w:r>
      <w:r>
        <w:rPr>
          <w:color w:val="000000"/>
          <w:spacing w:val="-9"/>
        </w:rPr>
        <w:t>i</w:t>
      </w:r>
      <w:r>
        <w:rPr>
          <w:color w:val="000000"/>
          <w:spacing w:val="-2"/>
        </w:rPr>
        <w:t>s</w:t>
      </w:r>
      <w:r>
        <w:rPr>
          <w:color w:val="000000"/>
          <w:spacing w:val="5"/>
        </w:rPr>
        <w:t>t</w:t>
      </w:r>
      <w:r>
        <w:rPr>
          <w:color w:val="000000"/>
          <w:spacing w:val="1"/>
        </w:rPr>
        <w:t>r</w:t>
      </w:r>
      <w:r>
        <w:rPr>
          <w:color w:val="000000"/>
        </w:rPr>
        <w:t>uo</w:t>
      </w:r>
      <w:r>
        <w:rPr>
          <w:color w:val="000000"/>
          <w:spacing w:val="5"/>
        </w:rPr>
        <w:t>t</w:t>
      </w:r>
      <w:r>
        <w:rPr>
          <w:color w:val="000000"/>
        </w:rPr>
        <w:t>a</w:t>
      </w:r>
      <w:r>
        <w:rPr>
          <w:color w:val="000000"/>
          <w:spacing w:val="4"/>
        </w:rPr>
        <w:t xml:space="preserve"> </w:t>
      </w:r>
      <w:r>
        <w:rPr>
          <w:color w:val="000000"/>
        </w:rPr>
        <w:t>dv</w:t>
      </w:r>
      <w:r>
        <w:rPr>
          <w:color w:val="000000"/>
          <w:spacing w:val="-9"/>
        </w:rPr>
        <w:t>i</w:t>
      </w:r>
      <w:r>
        <w:rPr>
          <w:color w:val="000000"/>
        </w:rPr>
        <w:t>g</w:t>
      </w:r>
      <w:r>
        <w:rPr>
          <w:color w:val="000000"/>
          <w:spacing w:val="5"/>
        </w:rPr>
        <w:t>u</w:t>
      </w:r>
      <w:r>
        <w:rPr>
          <w:color w:val="000000"/>
        </w:rPr>
        <w:t>b</w:t>
      </w:r>
      <w:r>
        <w:rPr>
          <w:color w:val="000000"/>
          <w:spacing w:val="4"/>
        </w:rPr>
        <w:t>a</w:t>
      </w:r>
      <w:r>
        <w:rPr>
          <w:color w:val="000000"/>
        </w:rPr>
        <w:t>i d</w:t>
      </w:r>
      <w:r>
        <w:rPr>
          <w:color w:val="000000"/>
          <w:spacing w:val="-1"/>
        </w:rPr>
        <w:t>a</w:t>
      </w:r>
      <w:r>
        <w:rPr>
          <w:color w:val="000000"/>
        </w:rPr>
        <w:t>u</w:t>
      </w:r>
      <w:r>
        <w:rPr>
          <w:color w:val="000000"/>
          <w:spacing w:val="5"/>
        </w:rPr>
        <w:t>g</w:t>
      </w:r>
      <w:r>
        <w:rPr>
          <w:color w:val="000000"/>
          <w:spacing w:val="-4"/>
        </w:rPr>
        <w:t>i</w:t>
      </w:r>
      <w:r>
        <w:rPr>
          <w:color w:val="000000"/>
          <w:spacing w:val="4"/>
        </w:rPr>
        <w:t>a</w:t>
      </w:r>
      <w:r>
        <w:rPr>
          <w:color w:val="000000"/>
        </w:rPr>
        <w:t>u</w:t>
      </w:r>
      <w:r>
        <w:rPr>
          <w:color w:val="000000"/>
          <w:spacing w:val="10"/>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10"/>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14"/>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10"/>
        </w:rPr>
        <w:t xml:space="preserve"> </w:t>
      </w:r>
      <w:r>
        <w:rPr>
          <w:color w:val="000000"/>
          <w:spacing w:val="1"/>
        </w:rPr>
        <w:t>(</w:t>
      </w:r>
      <w:r>
        <w:rPr>
          <w:color w:val="000000"/>
        </w:rPr>
        <w:t>49)</w:t>
      </w:r>
      <w:r>
        <w:rPr>
          <w:color w:val="000000"/>
          <w:spacing w:val="11"/>
        </w:rPr>
        <w:t xml:space="preserve"> </w:t>
      </w:r>
      <w:r>
        <w:rPr>
          <w:color w:val="000000"/>
          <w:spacing w:val="-5"/>
        </w:rPr>
        <w:t>n</w:t>
      </w:r>
      <w:r>
        <w:rPr>
          <w:color w:val="000000"/>
          <w:spacing w:val="-1"/>
        </w:rPr>
        <w:t>e</w:t>
      </w:r>
      <w:r>
        <w:rPr>
          <w:color w:val="000000"/>
        </w:rPr>
        <w:t>gu</w:t>
      </w:r>
      <w:r>
        <w:rPr>
          <w:color w:val="000000"/>
          <w:spacing w:val="10"/>
        </w:rPr>
        <w:t xml:space="preserve"> </w:t>
      </w:r>
      <w:r>
        <w:rPr>
          <w:color w:val="000000"/>
        </w:rPr>
        <w:t xml:space="preserve">2009 </w:t>
      </w:r>
      <w:r>
        <w:rPr>
          <w:color w:val="000000"/>
          <w:spacing w:val="-9"/>
        </w:rPr>
        <w:t>m</w:t>
      </w:r>
      <w:r>
        <w:rPr>
          <w:color w:val="000000"/>
        </w:rPr>
        <w:t>.</w:t>
      </w:r>
      <w:r>
        <w:rPr>
          <w:color w:val="000000"/>
          <w:spacing w:val="7"/>
        </w:rPr>
        <w:t xml:space="preserve"> </w:t>
      </w:r>
      <w:r>
        <w:rPr>
          <w:color w:val="000000"/>
          <w:spacing w:val="1"/>
        </w:rPr>
        <w:t>(</w:t>
      </w:r>
      <w:r>
        <w:rPr>
          <w:color w:val="000000"/>
        </w:rPr>
        <w:t>24</w:t>
      </w:r>
      <w:r>
        <w:rPr>
          <w:color w:val="000000"/>
          <w:spacing w:val="1"/>
        </w:rPr>
        <w:t>)</w:t>
      </w:r>
      <w:r>
        <w:rPr>
          <w:color w:val="000000"/>
        </w:rPr>
        <w:t>.</w:t>
      </w:r>
      <w:r>
        <w:rPr>
          <w:color w:val="000000"/>
          <w:spacing w:val="7"/>
        </w:rPr>
        <w:t xml:space="preserve"> </w:t>
      </w:r>
      <w:r>
        <w:rPr>
          <w:color w:val="000000"/>
          <w:spacing w:val="4"/>
        </w:rPr>
        <w:t>D</w:t>
      </w:r>
      <w:r>
        <w:rPr>
          <w:color w:val="000000"/>
          <w:spacing w:val="-9"/>
        </w:rPr>
        <w:t>i</w:t>
      </w:r>
      <w:r>
        <w:rPr>
          <w:color w:val="000000"/>
          <w:spacing w:val="5"/>
        </w:rPr>
        <w:t>d</w:t>
      </w:r>
      <w:r>
        <w:rPr>
          <w:color w:val="000000"/>
          <w:spacing w:val="4"/>
        </w:rPr>
        <w:t>ž</w:t>
      </w:r>
      <w:r>
        <w:rPr>
          <w:color w:val="000000"/>
          <w:spacing w:val="-9"/>
        </w:rPr>
        <w:t>i</w:t>
      </w:r>
      <w:r>
        <w:rPr>
          <w:color w:val="000000"/>
          <w:spacing w:val="9"/>
        </w:rPr>
        <w:t>o</w:t>
      </w:r>
      <w:r>
        <w:rPr>
          <w:color w:val="000000"/>
          <w:spacing w:val="-4"/>
        </w:rPr>
        <w:t>j</w:t>
      </w:r>
      <w:r>
        <w:rPr>
          <w:color w:val="000000"/>
        </w:rPr>
        <w:t>i d</w:t>
      </w:r>
      <w:r>
        <w:rPr>
          <w:color w:val="000000"/>
          <w:spacing w:val="4"/>
        </w:rPr>
        <w:t>a</w:t>
      </w:r>
      <w:r>
        <w:rPr>
          <w:color w:val="000000"/>
        </w:rPr>
        <w:t>l</w:t>
      </w:r>
      <w:r>
        <w:rPr>
          <w:color w:val="000000"/>
          <w:spacing w:val="-4"/>
        </w:rPr>
        <w:t>i</w:t>
      </w:r>
      <w:r>
        <w:rPr>
          <w:color w:val="000000"/>
        </w:rPr>
        <w:t>s</w:t>
      </w:r>
      <w:r>
        <w:rPr>
          <w:color w:val="000000"/>
          <w:spacing w:val="12"/>
        </w:rPr>
        <w:t xml:space="preserve"> </w:t>
      </w:r>
      <w:r>
        <w:rPr>
          <w:color w:val="000000"/>
        </w:rPr>
        <w:t xml:space="preserve">į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s</w:t>
      </w:r>
      <w:r>
        <w:rPr>
          <w:color w:val="000000"/>
          <w:spacing w:val="3"/>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ų</w:t>
      </w:r>
      <w:r>
        <w:rPr>
          <w:color w:val="000000"/>
          <w:spacing w:val="5"/>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5"/>
        </w:rPr>
        <w:t xml:space="preserve"> </w:t>
      </w:r>
      <w:r>
        <w:rPr>
          <w:color w:val="000000"/>
          <w:spacing w:val="6"/>
        </w:rPr>
        <w:t>r</w:t>
      </w:r>
      <w:r>
        <w:rPr>
          <w:color w:val="000000"/>
          <w:spacing w:val="-4"/>
        </w:rPr>
        <w:t>i</w:t>
      </w:r>
      <w:r>
        <w:rPr>
          <w:color w:val="000000"/>
          <w:spacing w:val="-5"/>
        </w:rPr>
        <w:t>n</w:t>
      </w:r>
      <w:r>
        <w:rPr>
          <w:color w:val="000000"/>
          <w:spacing w:val="5"/>
        </w:rPr>
        <w:t>k</w:t>
      </w:r>
      <w:r>
        <w:rPr>
          <w:color w:val="000000"/>
        </w:rPr>
        <w:t>ą</w:t>
      </w:r>
      <w:r>
        <w:rPr>
          <w:color w:val="000000"/>
          <w:spacing w:val="4"/>
        </w:rPr>
        <w:t xml:space="preserve"> </w:t>
      </w:r>
      <w:r>
        <w:rPr>
          <w:color w:val="000000"/>
        </w:rPr>
        <w:t>p</w:t>
      </w:r>
      <w:r>
        <w:rPr>
          <w:color w:val="000000"/>
          <w:spacing w:val="-1"/>
        </w:rPr>
        <w:t>a</w:t>
      </w:r>
      <w:r>
        <w:rPr>
          <w:color w:val="000000"/>
          <w:spacing w:val="5"/>
        </w:rPr>
        <w:t>t</w:t>
      </w:r>
      <w:r>
        <w:rPr>
          <w:color w:val="000000"/>
          <w:spacing w:val="-1"/>
        </w:rPr>
        <w:t>e</w:t>
      </w:r>
      <w:r>
        <w:rPr>
          <w:color w:val="000000"/>
          <w:spacing w:val="-5"/>
        </w:rPr>
        <w:t>n</w:t>
      </w:r>
      <w:r>
        <w:rPr>
          <w:color w:val="000000"/>
        </w:rPr>
        <w:t>k</w:t>
      </w:r>
      <w:r>
        <w:rPr>
          <w:color w:val="000000"/>
          <w:spacing w:val="4"/>
        </w:rPr>
        <w:t>a</w:t>
      </w:r>
      <w:r>
        <w:rPr>
          <w:color w:val="000000"/>
          <w:spacing w:val="-5"/>
        </w:rPr>
        <w:t>n</w:t>
      </w:r>
      <w:r>
        <w:rPr>
          <w:color w:val="000000"/>
          <w:spacing w:val="4"/>
        </w:rPr>
        <w:t>č</w:t>
      </w:r>
      <w:r>
        <w:rPr>
          <w:color w:val="000000"/>
          <w:spacing w:val="-4"/>
        </w:rPr>
        <w:t>i</w:t>
      </w:r>
      <w:r>
        <w:rPr>
          <w:color w:val="000000"/>
        </w:rPr>
        <w:t>ų</w:t>
      </w:r>
      <w:r>
        <w:rPr>
          <w:color w:val="000000"/>
          <w:spacing w:val="5"/>
        </w:rPr>
        <w:t xml:space="preserve"> 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8"/>
        </w:rPr>
        <w:t>y</w:t>
      </w:r>
      <w:r>
        <w:rPr>
          <w:color w:val="000000"/>
        </w:rPr>
        <w:t>v</w:t>
      </w:r>
      <w:r>
        <w:rPr>
          <w:color w:val="000000"/>
          <w:spacing w:val="-4"/>
        </w:rPr>
        <w:t>i</w:t>
      </w:r>
      <w:r>
        <w:rPr>
          <w:color w:val="000000"/>
        </w:rPr>
        <w:t>ų</w:t>
      </w:r>
      <w:r>
        <w:rPr>
          <w:color w:val="000000"/>
          <w:spacing w:val="10"/>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 xml:space="preserve">gų,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spacing w:val="-5"/>
        </w:rPr>
        <w:t>n</w:t>
      </w:r>
      <w:r>
        <w:rPr>
          <w:color w:val="000000"/>
          <w:spacing w:val="4"/>
        </w:rPr>
        <w:t>a</w:t>
      </w:r>
      <w:r>
        <w:rPr>
          <w:color w:val="000000"/>
          <w:spacing w:val="-9"/>
        </w:rPr>
        <w:t>m</w:t>
      </w:r>
      <w:r>
        <w:rPr>
          <w:color w:val="000000"/>
          <w:spacing w:val="9"/>
        </w:rPr>
        <w:t>o</w:t>
      </w:r>
      <w:r>
        <w:rPr>
          <w:color w:val="000000"/>
        </w:rPr>
        <w:t xml:space="preserve">s </w:t>
      </w:r>
      <w:r>
        <w:rPr>
          <w:color w:val="000000"/>
          <w:spacing w:val="2"/>
        </w:rPr>
        <w:t xml:space="preserve"> </w:t>
      </w:r>
      <w:r>
        <w:rPr>
          <w:color w:val="000000"/>
        </w:rPr>
        <w:t xml:space="preserve">už </w:t>
      </w:r>
      <w:r>
        <w:rPr>
          <w:color w:val="000000"/>
          <w:spacing w:val="3"/>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 xml:space="preserve">s </w:t>
      </w:r>
      <w:r>
        <w:rPr>
          <w:color w:val="000000"/>
          <w:spacing w:val="2"/>
        </w:rPr>
        <w:t xml:space="preserve"> </w:t>
      </w:r>
      <w:r>
        <w:rPr>
          <w:color w:val="000000"/>
          <w:spacing w:val="6"/>
        </w:rPr>
        <w:t>r</w:t>
      </w:r>
      <w:r>
        <w:rPr>
          <w:color w:val="000000"/>
          <w:spacing w:val="-4"/>
        </w:rPr>
        <w:t>i</w:t>
      </w:r>
      <w:r>
        <w:rPr>
          <w:color w:val="000000"/>
          <w:spacing w:val="-5"/>
        </w:rPr>
        <w:t>b</w:t>
      </w:r>
      <w:r>
        <w:rPr>
          <w:color w:val="000000"/>
        </w:rPr>
        <w:t xml:space="preserve">ų. </w:t>
      </w:r>
      <w:r>
        <w:rPr>
          <w:color w:val="000000"/>
          <w:spacing w:val="7"/>
        </w:rPr>
        <w:t xml:space="preserve"> </w:t>
      </w:r>
      <w:r>
        <w:rPr>
          <w:color w:val="000000"/>
          <w:spacing w:val="-2"/>
        </w:rPr>
        <w:t>M</w:t>
      </w:r>
      <w:r>
        <w:rPr>
          <w:color w:val="000000"/>
          <w:spacing w:val="4"/>
        </w:rPr>
        <w:t>a</w:t>
      </w:r>
      <w:r>
        <w:rPr>
          <w:color w:val="000000"/>
          <w:spacing w:val="-5"/>
        </w:rPr>
        <w:t>n</w:t>
      </w:r>
      <w:r>
        <w:rPr>
          <w:color w:val="000000"/>
          <w:spacing w:val="9"/>
        </w:rPr>
        <w:t>o</w:t>
      </w:r>
      <w:r>
        <w:rPr>
          <w:color w:val="000000"/>
          <w:spacing w:val="-9"/>
        </w:rPr>
        <w:t>m</w:t>
      </w:r>
      <w:r>
        <w:rPr>
          <w:color w:val="000000"/>
          <w:spacing w:val="-1"/>
        </w:rPr>
        <w:t>a</w:t>
      </w:r>
      <w:r>
        <w:rPr>
          <w:color w:val="000000"/>
        </w:rPr>
        <w:t xml:space="preserve">, </w:t>
      </w:r>
      <w:r>
        <w:rPr>
          <w:color w:val="000000"/>
          <w:spacing w:val="7"/>
        </w:rPr>
        <w:t xml:space="preserve"> </w:t>
      </w:r>
      <w:r>
        <w:rPr>
          <w:color w:val="000000"/>
        </w:rPr>
        <w:t>k</w:t>
      </w:r>
      <w:r>
        <w:rPr>
          <w:color w:val="000000"/>
          <w:spacing w:val="-1"/>
        </w:rPr>
        <w:t>a</w:t>
      </w:r>
      <w:r>
        <w:rPr>
          <w:color w:val="000000"/>
        </w:rPr>
        <w:t xml:space="preserve">d </w:t>
      </w:r>
      <w:r>
        <w:rPr>
          <w:color w:val="000000"/>
          <w:spacing w:val="4"/>
        </w:rPr>
        <w:t xml:space="preserve"> </w:t>
      </w:r>
      <w:r>
        <w:rPr>
          <w:color w:val="000000"/>
          <w:spacing w:val="5"/>
        </w:rPr>
        <w:t>t</w:t>
      </w:r>
      <w:r>
        <w:rPr>
          <w:color w:val="000000"/>
          <w:spacing w:val="-1"/>
        </w:rPr>
        <w:t>a</w:t>
      </w:r>
      <w:r>
        <w:rPr>
          <w:color w:val="000000"/>
        </w:rPr>
        <w:t>i  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  d</w:t>
      </w:r>
      <w:r>
        <w:rPr>
          <w:color w:val="000000"/>
          <w:spacing w:val="-1"/>
        </w:rPr>
        <w:t>a</w:t>
      </w:r>
      <w:r>
        <w:rPr>
          <w:color w:val="000000"/>
          <w:spacing w:val="1"/>
        </w:rPr>
        <w:t>r</w:t>
      </w:r>
      <w:r>
        <w:rPr>
          <w:color w:val="000000"/>
          <w:spacing w:val="9"/>
        </w:rPr>
        <w:t>o</w:t>
      </w:r>
      <w:r>
        <w:rPr>
          <w:color w:val="000000"/>
          <w:spacing w:val="-9"/>
        </w:rPr>
        <w:t>m</w:t>
      </w:r>
      <w:r>
        <w:rPr>
          <w:color w:val="000000"/>
        </w:rPr>
        <w:t xml:space="preserve">a </w:t>
      </w:r>
      <w:r>
        <w:rPr>
          <w:color w:val="000000"/>
          <w:spacing w:val="8"/>
        </w:rPr>
        <w:t xml:space="preserve"> </w:t>
      </w:r>
      <w:r>
        <w:rPr>
          <w:color w:val="000000"/>
        </w:rPr>
        <w:t>K</w:t>
      </w:r>
      <w:r>
        <w:rPr>
          <w:color w:val="000000"/>
          <w:spacing w:val="-5"/>
        </w:rPr>
        <w:t>i</w:t>
      </w:r>
      <w:r>
        <w:rPr>
          <w:color w:val="000000"/>
          <w:spacing w:val="5"/>
        </w:rPr>
        <w:t>n</w:t>
      </w:r>
      <w:r>
        <w:rPr>
          <w:color w:val="000000"/>
        </w:rPr>
        <w:t>i</w:t>
      </w:r>
      <w:r>
        <w:rPr>
          <w:color w:val="000000"/>
          <w:spacing w:val="-9"/>
        </w:rPr>
        <w:t>j</w:t>
      </w:r>
      <w:r>
        <w:rPr>
          <w:color w:val="000000"/>
          <w:spacing w:val="9"/>
        </w:rPr>
        <w:t>o</w:t>
      </w:r>
      <w:r>
        <w:rPr>
          <w:color w:val="000000"/>
          <w:spacing w:val="-4"/>
        </w:rPr>
        <w:t>j</w:t>
      </w:r>
      <w:r>
        <w:rPr>
          <w:color w:val="000000"/>
          <w:spacing w:val="-1"/>
        </w:rPr>
        <w:t>e</w:t>
      </w:r>
      <w:r>
        <w:rPr>
          <w:color w:val="000000"/>
        </w:rPr>
        <w:t xml:space="preserve">, </w:t>
      </w:r>
      <w:r>
        <w:rPr>
          <w:color w:val="000000"/>
          <w:spacing w:val="7"/>
        </w:rPr>
        <w:t xml:space="preserve"> </w:t>
      </w:r>
      <w:r>
        <w:rPr>
          <w:color w:val="000000"/>
          <w:spacing w:val="5"/>
        </w:rPr>
        <w:t>k</w:t>
      </w:r>
      <w:r>
        <w:rPr>
          <w:color w:val="000000"/>
          <w:spacing w:val="-4"/>
        </w:rPr>
        <w:t>i</w:t>
      </w:r>
      <w:r>
        <w:rPr>
          <w:color w:val="000000"/>
          <w:spacing w:val="-1"/>
        </w:rPr>
        <w:t>e</w:t>
      </w:r>
      <w:r>
        <w:rPr>
          <w:color w:val="000000"/>
        </w:rPr>
        <w:t xml:space="preserve">k </w:t>
      </w:r>
      <w:r>
        <w:rPr>
          <w:color w:val="000000"/>
          <w:spacing w:val="9"/>
        </w:rPr>
        <w:t xml:space="preserve"> </w:t>
      </w:r>
      <w:r>
        <w:rPr>
          <w:color w:val="000000"/>
          <w:spacing w:val="-4"/>
        </w:rPr>
        <w:t>m</w:t>
      </w:r>
      <w:r>
        <w:rPr>
          <w:color w:val="000000"/>
          <w:spacing w:val="-1"/>
        </w:rPr>
        <w:t>a</w:t>
      </w:r>
      <w:r>
        <w:rPr>
          <w:color w:val="000000"/>
          <w:spacing w:val="4"/>
        </w:rPr>
        <w:t>ž</w:t>
      </w:r>
      <w:r>
        <w:rPr>
          <w:color w:val="000000"/>
          <w:spacing w:val="-4"/>
        </w:rPr>
        <w:t>i</w:t>
      </w:r>
      <w:r>
        <w:rPr>
          <w:color w:val="000000"/>
          <w:spacing w:val="-1"/>
        </w:rPr>
        <w:t>a</w:t>
      </w:r>
      <w:r>
        <w:rPr>
          <w:color w:val="000000"/>
        </w:rPr>
        <w:t xml:space="preserve">u </w:t>
      </w:r>
      <w:r>
        <w:rPr>
          <w:color w:val="000000"/>
          <w:spacing w:val="22"/>
        </w:rPr>
        <w:t xml:space="preserve"> </w:t>
      </w:r>
      <w:r>
        <w:rPr>
          <w:color w:val="000000"/>
        </w:rPr>
        <w:t xml:space="preserve">– </w:t>
      </w:r>
      <w:r>
        <w:rPr>
          <w:color w:val="000000"/>
          <w:spacing w:val="1"/>
        </w:rPr>
        <w:t>I</w:t>
      </w:r>
      <w:r>
        <w:rPr>
          <w:color w:val="000000"/>
          <w:spacing w:val="-5"/>
        </w:rPr>
        <w:t>n</w:t>
      </w:r>
      <w:r>
        <w:rPr>
          <w:color w:val="000000"/>
          <w:spacing w:val="5"/>
        </w:rPr>
        <w:t>d</w:t>
      </w:r>
      <w:r>
        <w:rPr>
          <w:color w:val="000000"/>
          <w:spacing w:val="-4"/>
        </w:rPr>
        <w:t>i</w:t>
      </w:r>
      <w:r>
        <w:rPr>
          <w:color w:val="000000"/>
          <w:spacing w:val="-9"/>
        </w:rPr>
        <w:t>j</w:t>
      </w:r>
      <w:r>
        <w:rPr>
          <w:color w:val="000000"/>
          <w:spacing w:val="9"/>
        </w:rPr>
        <w:t>o</w:t>
      </w:r>
      <w:r>
        <w:rPr>
          <w:color w:val="000000"/>
          <w:spacing w:val="-4"/>
        </w:rPr>
        <w:t>j</w:t>
      </w:r>
      <w:r>
        <w:rPr>
          <w:color w:val="000000"/>
          <w:spacing w:val="-1"/>
        </w:rPr>
        <w:t>e</w:t>
      </w:r>
      <w:r>
        <w:rPr>
          <w:color w:val="000000"/>
        </w:rPr>
        <w:t>.</w:t>
      </w:r>
    </w:p>
    <w:p w:rsidR="004F7425" w:rsidRDefault="004F7425" w:rsidP="004F7425">
      <w:pPr>
        <w:widowControl w:val="0"/>
        <w:autoSpaceDE w:val="0"/>
        <w:autoSpaceDN w:val="0"/>
        <w:adjustRightInd w:val="0"/>
        <w:spacing w:before="1"/>
        <w:ind w:left="120" w:right="60" w:firstLine="721"/>
        <w:jc w:val="both"/>
        <w:rPr>
          <w:color w:val="000000"/>
        </w:rPr>
      </w:pPr>
      <w:r>
        <w:rPr>
          <w:color w:val="000000"/>
          <w:spacing w:val="-2"/>
        </w:rPr>
        <w:t>J</w:t>
      </w:r>
      <w:r>
        <w:rPr>
          <w:color w:val="000000"/>
        </w:rPr>
        <w:t>u</w:t>
      </w:r>
      <w:r>
        <w:rPr>
          <w:color w:val="000000"/>
          <w:spacing w:val="-5"/>
        </w:rPr>
        <w:t>n</w:t>
      </w:r>
      <w:r>
        <w:rPr>
          <w:color w:val="000000"/>
        </w:rPr>
        <w:t>g</w:t>
      </w:r>
      <w:r>
        <w:rPr>
          <w:color w:val="000000"/>
          <w:spacing w:val="10"/>
        </w:rPr>
        <w:t>t</w:t>
      </w:r>
      <w:r>
        <w:rPr>
          <w:color w:val="000000"/>
          <w:spacing w:val="-4"/>
        </w:rPr>
        <w:t>i</w:t>
      </w:r>
      <w:r>
        <w:rPr>
          <w:color w:val="000000"/>
          <w:spacing w:val="-5"/>
        </w:rPr>
        <w:t>n</w:t>
      </w:r>
      <w:r>
        <w:rPr>
          <w:color w:val="000000"/>
          <w:spacing w:val="4"/>
        </w:rPr>
        <w:t>ė</w:t>
      </w:r>
      <w:r>
        <w:rPr>
          <w:color w:val="000000"/>
          <w:spacing w:val="-4"/>
        </w:rPr>
        <w:t>j</w:t>
      </w:r>
      <w:r>
        <w:rPr>
          <w:color w:val="000000"/>
        </w:rPr>
        <w:t>e</w:t>
      </w:r>
      <w:r>
        <w:rPr>
          <w:color w:val="000000"/>
          <w:spacing w:val="12"/>
        </w:rPr>
        <w:t xml:space="preserve"> </w:t>
      </w:r>
      <w:r>
        <w:rPr>
          <w:color w:val="000000"/>
          <w:spacing w:val="-5"/>
        </w:rPr>
        <w:t>K</w:t>
      </w:r>
      <w:r>
        <w:rPr>
          <w:color w:val="000000"/>
          <w:spacing w:val="-1"/>
        </w:rPr>
        <w:t>a</w:t>
      </w:r>
      <w:r>
        <w:rPr>
          <w:color w:val="000000"/>
          <w:spacing w:val="1"/>
        </w:rPr>
        <w:t>r</w:t>
      </w:r>
      <w:r>
        <w:rPr>
          <w:color w:val="000000"/>
          <w:spacing w:val="4"/>
        </w:rPr>
        <w:t>a</w:t>
      </w:r>
      <w:r>
        <w:rPr>
          <w:color w:val="000000"/>
        </w:rPr>
        <w:t>l</w:t>
      </w:r>
      <w:r>
        <w:rPr>
          <w:color w:val="000000"/>
          <w:spacing w:val="-4"/>
        </w:rPr>
        <w:t>y</w:t>
      </w:r>
      <w:r>
        <w:rPr>
          <w:color w:val="000000"/>
          <w:spacing w:val="-2"/>
        </w:rPr>
        <w:t>s</w:t>
      </w:r>
      <w:r>
        <w:rPr>
          <w:color w:val="000000"/>
          <w:spacing w:val="5"/>
        </w:rPr>
        <w:t>t</w:t>
      </w:r>
      <w:r>
        <w:rPr>
          <w:color w:val="000000"/>
          <w:spacing w:val="4"/>
        </w:rPr>
        <w:t>ė</w:t>
      </w:r>
      <w:r>
        <w:rPr>
          <w:color w:val="000000"/>
          <w:spacing w:val="-4"/>
        </w:rPr>
        <w:t>j</w:t>
      </w:r>
      <w:r>
        <w:rPr>
          <w:color w:val="000000"/>
        </w:rPr>
        <w:t>e</w:t>
      </w:r>
      <w:r>
        <w:rPr>
          <w:color w:val="000000"/>
          <w:spacing w:val="3"/>
        </w:rPr>
        <w:t xml:space="preserve"> </w:t>
      </w:r>
      <w:r>
        <w:rPr>
          <w:color w:val="000000"/>
        </w:rPr>
        <w:t>p</w:t>
      </w:r>
      <w:r>
        <w:rPr>
          <w:color w:val="000000"/>
          <w:spacing w:val="6"/>
        </w:rPr>
        <w:t>r</w:t>
      </w:r>
      <w:r>
        <w:rPr>
          <w:color w:val="000000"/>
          <w:spacing w:val="-4"/>
        </w:rPr>
        <w:t>i</w:t>
      </w:r>
      <w:r>
        <w:rPr>
          <w:color w:val="000000"/>
        </w:rPr>
        <w:t>i</w:t>
      </w:r>
      <w:r>
        <w:rPr>
          <w:color w:val="000000"/>
          <w:spacing w:val="-9"/>
        </w:rPr>
        <w:t>m</w:t>
      </w:r>
      <w:r>
        <w:rPr>
          <w:color w:val="000000"/>
          <w:spacing w:val="10"/>
        </w:rPr>
        <w:t>t</w:t>
      </w:r>
      <w:r>
        <w:rPr>
          <w:color w:val="000000"/>
        </w:rPr>
        <w:t>i</w:t>
      </w:r>
      <w:r>
        <w:rPr>
          <w:color w:val="000000"/>
          <w:spacing w:val="4"/>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13"/>
        </w:rPr>
        <w:t xml:space="preserve"> </w:t>
      </w:r>
      <w:r>
        <w:rPr>
          <w:color w:val="000000"/>
          <w:spacing w:val="-4"/>
        </w:rPr>
        <w:t>l</w:t>
      </w:r>
      <w:r>
        <w:rPr>
          <w:color w:val="000000"/>
          <w:spacing w:val="4"/>
        </w:rPr>
        <w:t>a</w:t>
      </w:r>
      <w:r>
        <w:rPr>
          <w:color w:val="000000"/>
          <w:spacing w:val="-4"/>
        </w:rPr>
        <w:t>i</w:t>
      </w:r>
      <w:r>
        <w:rPr>
          <w:color w:val="000000"/>
          <w:spacing w:val="5"/>
        </w:rPr>
        <w:t>k</w:t>
      </w:r>
      <w:r>
        <w:rPr>
          <w:color w:val="000000"/>
          <w:spacing w:val="-4"/>
        </w:rPr>
        <w:t>i</w:t>
      </w:r>
      <w:r>
        <w:rPr>
          <w:color w:val="000000"/>
          <w:spacing w:val="-5"/>
        </w:rPr>
        <w:t>n</w:t>
      </w:r>
      <w:r>
        <w:rPr>
          <w:color w:val="000000"/>
        </w:rPr>
        <w:t>o</w:t>
      </w:r>
      <w:r>
        <w:rPr>
          <w:color w:val="000000"/>
          <w:spacing w:val="18"/>
        </w:rPr>
        <w:t xml:space="preserve"> </w:t>
      </w:r>
      <w:r>
        <w:rPr>
          <w:color w:val="000000"/>
          <w:spacing w:val="-9"/>
        </w:rPr>
        <w:t>į</w:t>
      </w:r>
      <w:r>
        <w:rPr>
          <w:color w:val="000000"/>
          <w:spacing w:val="1"/>
        </w:rPr>
        <w:t>r</w:t>
      </w:r>
      <w:r>
        <w:rPr>
          <w:color w:val="000000"/>
          <w:spacing w:val="4"/>
        </w:rPr>
        <w:t>a</w:t>
      </w:r>
      <w:r>
        <w:rPr>
          <w:color w:val="000000"/>
          <w:spacing w:val="2"/>
        </w:rPr>
        <w:t>š</w:t>
      </w:r>
      <w:r>
        <w:rPr>
          <w:color w:val="000000"/>
        </w:rPr>
        <w:t>y</w:t>
      </w:r>
      <w:r>
        <w:rPr>
          <w:color w:val="000000"/>
          <w:spacing w:val="-9"/>
        </w:rPr>
        <w:t>m</w:t>
      </w:r>
      <w:r>
        <w:rPr>
          <w:color w:val="000000"/>
        </w:rPr>
        <w:t>o</w:t>
      </w:r>
      <w:r>
        <w:rPr>
          <w:color w:val="000000"/>
          <w:spacing w:val="13"/>
        </w:rPr>
        <w:t xml:space="preserve"> </w:t>
      </w:r>
      <w:r>
        <w:rPr>
          <w:color w:val="000000"/>
          <w:spacing w:val="-4"/>
        </w:rPr>
        <w:t>į</w:t>
      </w:r>
      <w:r>
        <w:rPr>
          <w:color w:val="000000"/>
          <w:spacing w:val="2"/>
        </w:rPr>
        <w:t>s</w:t>
      </w:r>
      <w:r>
        <w:rPr>
          <w:color w:val="000000"/>
          <w:spacing w:val="-1"/>
        </w:rPr>
        <w:t>a</w:t>
      </w:r>
      <w:r>
        <w:rPr>
          <w:color w:val="000000"/>
          <w:spacing w:val="5"/>
        </w:rPr>
        <w:t>k</w:t>
      </w:r>
      <w:r>
        <w:rPr>
          <w:color w:val="000000"/>
          <w:spacing w:val="-5"/>
        </w:rPr>
        <w:t>y</w:t>
      </w:r>
      <w:r>
        <w:rPr>
          <w:color w:val="000000"/>
          <w:spacing w:val="-4"/>
        </w:rPr>
        <w:t>m</w:t>
      </w:r>
      <w:r>
        <w:rPr>
          <w:color w:val="000000"/>
          <w:spacing w:val="4"/>
        </w:rPr>
        <w:t>a</w:t>
      </w:r>
      <w:r>
        <w:rPr>
          <w:color w:val="000000"/>
          <w:spacing w:val="-4"/>
        </w:rPr>
        <w:t>i</w:t>
      </w:r>
      <w:r>
        <w:rPr>
          <w:color w:val="000000"/>
        </w:rPr>
        <w:t>,</w:t>
      </w:r>
      <w:r>
        <w:rPr>
          <w:color w:val="000000"/>
          <w:spacing w:val="6"/>
        </w:rPr>
        <w:t xml:space="preserve"> </w:t>
      </w:r>
      <w:r>
        <w:rPr>
          <w:color w:val="000000"/>
          <w:spacing w:val="5"/>
        </w:rPr>
        <w:t>p</w:t>
      </w:r>
      <w:r>
        <w:rPr>
          <w:color w:val="000000"/>
          <w:spacing w:val="-1"/>
        </w:rPr>
        <w:t>a</w:t>
      </w:r>
      <w:r>
        <w:rPr>
          <w:color w:val="000000"/>
        </w:rPr>
        <w:t>g</w:t>
      </w:r>
      <w:r>
        <w:rPr>
          <w:color w:val="000000"/>
          <w:spacing w:val="4"/>
        </w:rPr>
        <w:t>a</w:t>
      </w:r>
      <w:r>
        <w:rPr>
          <w:color w:val="000000"/>
        </w:rPr>
        <w:t>l ku</w:t>
      </w:r>
      <w:r>
        <w:rPr>
          <w:color w:val="000000"/>
          <w:spacing w:val="6"/>
        </w:rPr>
        <w:t>r</w:t>
      </w:r>
      <w:r>
        <w:rPr>
          <w:color w:val="000000"/>
          <w:spacing w:val="-4"/>
        </w:rPr>
        <w:t>i</w:t>
      </w:r>
      <w:r>
        <w:rPr>
          <w:color w:val="000000"/>
        </w:rPr>
        <w:t>ų</w:t>
      </w:r>
      <w:r>
        <w:rPr>
          <w:color w:val="000000"/>
          <w:spacing w:val="4"/>
        </w:rPr>
        <w:t xml:space="preserve"> </w:t>
      </w:r>
      <w:r>
        <w:rPr>
          <w:color w:val="000000"/>
          <w:spacing w:val="5"/>
        </w:rPr>
        <w:t>t</w:t>
      </w:r>
      <w:r>
        <w:rPr>
          <w:color w:val="000000"/>
          <w:spacing w:val="-5"/>
        </w:rPr>
        <w:t>v</w:t>
      </w:r>
      <w:r>
        <w:rPr>
          <w:color w:val="000000"/>
          <w:spacing w:val="-1"/>
        </w:rPr>
        <w:t>a</w:t>
      </w:r>
      <w:r>
        <w:rPr>
          <w:color w:val="000000"/>
          <w:spacing w:val="1"/>
        </w:rPr>
        <w:t>r</w:t>
      </w:r>
      <w:r>
        <w:rPr>
          <w:color w:val="000000"/>
        </w:rPr>
        <w:t xml:space="preserve">ką </w:t>
      </w:r>
      <w:r>
        <w:rPr>
          <w:color w:val="000000"/>
          <w:spacing w:val="-5"/>
        </w:rPr>
        <w:t>n</w:t>
      </w:r>
      <w:r>
        <w:rPr>
          <w:color w:val="000000"/>
        </w:rPr>
        <w:t>u</w:t>
      </w:r>
      <w:r>
        <w:rPr>
          <w:color w:val="000000"/>
          <w:spacing w:val="1"/>
        </w:rPr>
        <w:t>r</w:t>
      </w:r>
      <w:r>
        <w:rPr>
          <w:color w:val="000000"/>
          <w:spacing w:val="5"/>
        </w:rPr>
        <w:t>od</w:t>
      </w:r>
      <w:r>
        <w:rPr>
          <w:color w:val="000000"/>
          <w:spacing w:val="-10"/>
        </w:rPr>
        <w:t>y</w:t>
      </w:r>
      <w:r>
        <w:rPr>
          <w:color w:val="000000"/>
          <w:spacing w:val="5"/>
        </w:rPr>
        <w:t>to</w:t>
      </w:r>
      <w:r>
        <w:rPr>
          <w:color w:val="000000"/>
          <w:spacing w:val="-9"/>
        </w:rPr>
        <w:t>m</w:t>
      </w:r>
      <w:r>
        <w:rPr>
          <w:color w:val="000000"/>
        </w:rPr>
        <w:t>s</w:t>
      </w:r>
      <w:r>
        <w:rPr>
          <w:color w:val="000000"/>
          <w:spacing w:val="7"/>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spacing w:val="-5"/>
        </w:rPr>
        <w:t>n</w:t>
      </w:r>
      <w:r>
        <w:rPr>
          <w:color w:val="000000"/>
          <w:spacing w:val="4"/>
        </w:rPr>
        <w:t>ė</w:t>
      </w:r>
      <w:r>
        <w:rPr>
          <w:color w:val="000000"/>
          <w:spacing w:val="-4"/>
        </w:rPr>
        <w:t>m</w:t>
      </w:r>
      <w:r>
        <w:rPr>
          <w:color w:val="000000"/>
        </w:rPr>
        <w:t>s</w:t>
      </w:r>
      <w:r>
        <w:rPr>
          <w:color w:val="000000"/>
          <w:spacing w:val="1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9"/>
        </w:rPr>
        <w:t>o</w:t>
      </w:r>
      <w:r>
        <w:rPr>
          <w:color w:val="000000"/>
          <w:spacing w:val="-4"/>
        </w:rPr>
        <w:t>m</w:t>
      </w:r>
      <w:r>
        <w:rPr>
          <w:color w:val="000000"/>
        </w:rPr>
        <w:t>s</w:t>
      </w:r>
      <w:r>
        <w:rPr>
          <w:color w:val="000000"/>
          <w:spacing w:val="7"/>
        </w:rPr>
        <w:t xml:space="preserve"> </w:t>
      </w:r>
      <w:r>
        <w:rPr>
          <w:color w:val="000000"/>
        </w:rPr>
        <w:t>g</w:t>
      </w:r>
      <w:r>
        <w:rPr>
          <w:color w:val="000000"/>
          <w:spacing w:val="4"/>
        </w:rPr>
        <w:t>a</w:t>
      </w:r>
      <w:r>
        <w:rPr>
          <w:color w:val="000000"/>
          <w:spacing w:val="-4"/>
        </w:rPr>
        <w:t>l</w:t>
      </w:r>
      <w:r>
        <w:rPr>
          <w:color w:val="000000"/>
        </w:rPr>
        <w:t>i</w:t>
      </w:r>
      <w:r>
        <w:rPr>
          <w:color w:val="000000"/>
          <w:spacing w:val="-4"/>
        </w:rPr>
        <w:t>m</w:t>
      </w:r>
      <w:r>
        <w:rPr>
          <w:color w:val="000000"/>
        </w:rPr>
        <w:t>a</w:t>
      </w:r>
      <w:r>
        <w:rPr>
          <w:color w:val="000000"/>
          <w:spacing w:val="8"/>
        </w:rPr>
        <w:t xml:space="preserve"> </w:t>
      </w:r>
      <w:r>
        <w:rPr>
          <w:color w:val="000000"/>
          <w:spacing w:val="5"/>
        </w:rPr>
        <w:t>t</w:t>
      </w:r>
      <w:r>
        <w:rPr>
          <w:color w:val="000000"/>
          <w:spacing w:val="4"/>
        </w:rPr>
        <w:t>a</w:t>
      </w:r>
      <w:r>
        <w:rPr>
          <w:color w:val="000000"/>
          <w:spacing w:val="-9"/>
        </w:rPr>
        <w:t>i</w:t>
      </w:r>
      <w:r>
        <w:rPr>
          <w:color w:val="000000"/>
          <w:spacing w:val="5"/>
        </w:rPr>
        <w:t>k</w:t>
      </w:r>
      <w:r>
        <w:rPr>
          <w:color w:val="000000"/>
          <w:spacing w:val="-10"/>
        </w:rPr>
        <w:t>y</w:t>
      </w:r>
      <w:r>
        <w:rPr>
          <w:color w:val="000000"/>
          <w:spacing w:val="10"/>
        </w:rPr>
        <w:t>t</w:t>
      </w:r>
      <w:r>
        <w:rPr>
          <w:color w:val="000000"/>
        </w:rPr>
        <w:t>i k</w:t>
      </w:r>
      <w:r>
        <w:rPr>
          <w:color w:val="000000"/>
          <w:spacing w:val="5"/>
        </w:rPr>
        <w:t>o</w:t>
      </w:r>
      <w:r>
        <w:rPr>
          <w:color w:val="000000"/>
          <w:spacing w:val="-5"/>
        </w:rPr>
        <w:t>n</w:t>
      </w:r>
      <w:r>
        <w:rPr>
          <w:color w:val="000000"/>
          <w:spacing w:val="5"/>
        </w:rPr>
        <w:t>t</w:t>
      </w:r>
      <w:r>
        <w:rPr>
          <w:color w:val="000000"/>
          <w:spacing w:val="1"/>
        </w:rPr>
        <w:t>r</w:t>
      </w:r>
      <w:r>
        <w:rPr>
          <w:color w:val="000000"/>
          <w:spacing w:val="5"/>
        </w:rPr>
        <w:t>o</w:t>
      </w:r>
      <w:r>
        <w:rPr>
          <w:color w:val="000000"/>
          <w:spacing w:val="-1"/>
        </w:rPr>
        <w:t>lė</w:t>
      </w:r>
      <w:r>
        <w:rPr>
          <w:color w:val="000000"/>
        </w:rPr>
        <w:t>s</w:t>
      </w:r>
      <w:r>
        <w:rPr>
          <w:color w:val="000000"/>
          <w:spacing w:val="7"/>
        </w:rPr>
        <w:t xml:space="preserve"> </w:t>
      </w:r>
      <w:r>
        <w:rPr>
          <w:color w:val="000000"/>
        </w:rPr>
        <w:t>p</w:t>
      </w:r>
      <w:r>
        <w:rPr>
          <w:color w:val="000000"/>
          <w:spacing w:val="6"/>
        </w:rPr>
        <w:t>r</w:t>
      </w:r>
      <w:r>
        <w:rPr>
          <w:color w:val="000000"/>
          <w:spacing w:val="-4"/>
        </w:rPr>
        <w:t>i</w:t>
      </w:r>
      <w:r>
        <w:rPr>
          <w:color w:val="000000"/>
          <w:spacing w:val="4"/>
        </w:rPr>
        <w:t>e</w:t>
      </w:r>
      <w:r>
        <w:rPr>
          <w:color w:val="000000"/>
          <w:spacing w:val="-9"/>
        </w:rPr>
        <w:t>m</w:t>
      </w:r>
      <w:r>
        <w:rPr>
          <w:color w:val="000000"/>
          <w:spacing w:val="9"/>
        </w:rPr>
        <w:t>o</w:t>
      </w:r>
      <w:r>
        <w:rPr>
          <w:color w:val="000000"/>
          <w:spacing w:val="-5"/>
        </w:rPr>
        <w:t>n</w:t>
      </w:r>
      <w:r>
        <w:rPr>
          <w:color w:val="000000"/>
          <w:spacing w:val="-1"/>
        </w:rPr>
        <w:t>e</w:t>
      </w:r>
      <w:r>
        <w:rPr>
          <w:color w:val="000000"/>
        </w:rPr>
        <w:t>s</w:t>
      </w:r>
      <w:r>
        <w:rPr>
          <w:color w:val="000000"/>
          <w:spacing w:val="12"/>
        </w:rPr>
        <w:t xml:space="preserve"> </w:t>
      </w:r>
      <w:r>
        <w:rPr>
          <w:color w:val="000000"/>
          <w:spacing w:val="-4"/>
        </w:rPr>
        <w:t>i</w:t>
      </w:r>
      <w:r>
        <w:rPr>
          <w:color w:val="000000"/>
          <w:spacing w:val="5"/>
        </w:rPr>
        <w:t>k</w:t>
      </w:r>
      <w:r>
        <w:rPr>
          <w:color w:val="000000"/>
        </w:rPr>
        <w:t>i</w:t>
      </w:r>
      <w:r>
        <w:rPr>
          <w:color w:val="000000"/>
          <w:spacing w:val="5"/>
        </w:rPr>
        <w:t xml:space="preserve"> </w:t>
      </w:r>
      <w:r>
        <w:rPr>
          <w:color w:val="000000"/>
        </w:rPr>
        <w:t>v</w:t>
      </w:r>
      <w:r>
        <w:rPr>
          <w:color w:val="000000"/>
          <w:spacing w:val="-4"/>
        </w:rPr>
        <w:t>i</w:t>
      </w:r>
      <w:r>
        <w:rPr>
          <w:color w:val="000000"/>
          <w:spacing w:val="4"/>
        </w:rPr>
        <w:t>e</w:t>
      </w:r>
      <w:r>
        <w:rPr>
          <w:color w:val="000000"/>
          <w:spacing w:val="-5"/>
        </w:rPr>
        <w:t>n</w:t>
      </w:r>
      <w:r>
        <w:rPr>
          <w:color w:val="000000"/>
          <w:spacing w:val="-1"/>
        </w:rPr>
        <w:t>e</w:t>
      </w:r>
      <w:r>
        <w:rPr>
          <w:color w:val="000000"/>
          <w:spacing w:val="6"/>
        </w:rPr>
        <w:t>r</w:t>
      </w:r>
      <w:r>
        <w:rPr>
          <w:color w:val="000000"/>
          <w:spacing w:val="-4"/>
        </w:rPr>
        <w:t>i</w:t>
      </w:r>
      <w:r>
        <w:rPr>
          <w:color w:val="000000"/>
        </w:rPr>
        <w:t>ų</w:t>
      </w:r>
      <w:r>
        <w:rPr>
          <w:color w:val="000000"/>
          <w:spacing w:val="14"/>
        </w:rPr>
        <w:t xml:space="preserve"> </w:t>
      </w:r>
      <w:r>
        <w:rPr>
          <w:color w:val="000000"/>
          <w:spacing w:val="-9"/>
        </w:rPr>
        <w:t>m</w:t>
      </w:r>
      <w:r>
        <w:rPr>
          <w:color w:val="000000"/>
          <w:spacing w:val="-1"/>
        </w:rPr>
        <w:t>e</w:t>
      </w:r>
      <w:r>
        <w:rPr>
          <w:color w:val="000000"/>
          <w:spacing w:val="5"/>
        </w:rPr>
        <w:t>t</w:t>
      </w:r>
      <w:r>
        <w:rPr>
          <w:color w:val="000000"/>
        </w:rPr>
        <w:t>ų,</w:t>
      </w:r>
      <w:r>
        <w:rPr>
          <w:color w:val="000000"/>
          <w:spacing w:val="12"/>
        </w:rPr>
        <w:t xml:space="preserve"> </w:t>
      </w:r>
      <w:r>
        <w:rPr>
          <w:color w:val="000000"/>
        </w:rPr>
        <w:t>p</w:t>
      </w:r>
      <w:r>
        <w:rPr>
          <w:color w:val="000000"/>
          <w:spacing w:val="-1"/>
        </w:rPr>
        <w:t>e</w:t>
      </w:r>
      <w:r>
        <w:rPr>
          <w:color w:val="000000"/>
        </w:rPr>
        <w:t>r</w:t>
      </w:r>
      <w:r>
        <w:rPr>
          <w:color w:val="000000"/>
          <w:spacing w:val="6"/>
        </w:rPr>
        <w:t xml:space="preserve"> </w:t>
      </w:r>
      <w:r>
        <w:rPr>
          <w:color w:val="000000"/>
          <w:spacing w:val="5"/>
        </w:rPr>
        <w:t>t</w:t>
      </w:r>
      <w:r>
        <w:rPr>
          <w:color w:val="000000"/>
        </w:rPr>
        <w:t xml:space="preserve">ą </w:t>
      </w:r>
      <w:r>
        <w:rPr>
          <w:color w:val="000000"/>
          <w:spacing w:val="-4"/>
        </w:rPr>
        <w:t>l</w:t>
      </w:r>
      <w:r>
        <w:rPr>
          <w:color w:val="000000"/>
          <w:spacing w:val="4"/>
        </w:rPr>
        <w:t>a</w:t>
      </w:r>
      <w:r>
        <w:rPr>
          <w:color w:val="000000"/>
          <w:spacing w:val="-4"/>
        </w:rPr>
        <w:t>i</w:t>
      </w:r>
      <w:r>
        <w:rPr>
          <w:color w:val="000000"/>
        </w:rPr>
        <w:t>ką</w:t>
      </w:r>
      <w:r>
        <w:rPr>
          <w:color w:val="000000"/>
          <w:spacing w:val="35"/>
        </w:rPr>
        <w:t xml:space="preserve"> </w:t>
      </w:r>
      <w:r>
        <w:rPr>
          <w:color w:val="000000"/>
        </w:rPr>
        <w:t>g</w:t>
      </w:r>
      <w:r>
        <w:rPr>
          <w:color w:val="000000"/>
          <w:spacing w:val="4"/>
        </w:rPr>
        <w:t>a</w:t>
      </w:r>
      <w:r>
        <w:rPr>
          <w:color w:val="000000"/>
        </w:rPr>
        <w:t>l</w:t>
      </w:r>
      <w:r>
        <w:rPr>
          <w:color w:val="000000"/>
          <w:spacing w:val="1"/>
        </w:rPr>
        <w:t>i</w:t>
      </w:r>
      <w:r>
        <w:rPr>
          <w:color w:val="000000"/>
          <w:spacing w:val="-4"/>
        </w:rPr>
        <w:t>m</w:t>
      </w:r>
      <w:r>
        <w:rPr>
          <w:color w:val="000000"/>
        </w:rPr>
        <w:t>a</w:t>
      </w:r>
      <w:r>
        <w:rPr>
          <w:color w:val="000000"/>
          <w:spacing w:val="35"/>
        </w:rPr>
        <w:t xml:space="preserve"> </w:t>
      </w:r>
      <w:r>
        <w:rPr>
          <w:color w:val="000000"/>
          <w:spacing w:val="-1"/>
        </w:rPr>
        <w:t>a</w:t>
      </w:r>
      <w:r>
        <w:rPr>
          <w:color w:val="000000"/>
          <w:spacing w:val="5"/>
        </w:rPr>
        <w:t>t</w:t>
      </w:r>
      <w:r>
        <w:rPr>
          <w:color w:val="000000"/>
          <w:spacing w:val="-4"/>
        </w:rPr>
        <w:t>li</w:t>
      </w:r>
      <w:r>
        <w:rPr>
          <w:color w:val="000000"/>
        </w:rPr>
        <w:t>k</w:t>
      </w:r>
      <w:r>
        <w:rPr>
          <w:color w:val="000000"/>
          <w:spacing w:val="10"/>
        </w:rPr>
        <w:t>t</w:t>
      </w:r>
      <w:r>
        <w:rPr>
          <w:color w:val="000000"/>
        </w:rPr>
        <w:t>i</w:t>
      </w:r>
      <w:r>
        <w:rPr>
          <w:color w:val="000000"/>
          <w:spacing w:val="27"/>
        </w:rPr>
        <w:t xml:space="preserve"> </w:t>
      </w:r>
      <w:r>
        <w:rPr>
          <w:color w:val="000000"/>
          <w:spacing w:val="-5"/>
        </w:rPr>
        <w:t>n</w:t>
      </w:r>
      <w:r>
        <w:rPr>
          <w:color w:val="000000"/>
        </w:rPr>
        <w:t>u</w:t>
      </w:r>
      <w:r>
        <w:rPr>
          <w:color w:val="000000"/>
          <w:spacing w:val="9"/>
        </w:rPr>
        <w:t>o</w:t>
      </w:r>
      <w:r>
        <w:rPr>
          <w:color w:val="000000"/>
          <w:spacing w:val="-4"/>
        </w:rPr>
        <w:t>l</w:t>
      </w:r>
      <w:r>
        <w:rPr>
          <w:color w:val="000000"/>
          <w:spacing w:val="-1"/>
        </w:rPr>
        <w:t>a</w:t>
      </w:r>
      <w:r>
        <w:rPr>
          <w:color w:val="000000"/>
          <w:spacing w:val="5"/>
        </w:rPr>
        <w:t>t</w:t>
      </w:r>
      <w:r>
        <w:rPr>
          <w:color w:val="000000"/>
          <w:spacing w:val="-4"/>
        </w:rPr>
        <w:t>i</w:t>
      </w:r>
      <w:r>
        <w:rPr>
          <w:color w:val="000000"/>
        </w:rPr>
        <w:t>n</w:t>
      </w:r>
      <w:r>
        <w:rPr>
          <w:color w:val="000000"/>
          <w:spacing w:val="-1"/>
        </w:rPr>
        <w:t>ė</w:t>
      </w:r>
      <w:r>
        <w:rPr>
          <w:color w:val="000000"/>
        </w:rPr>
        <w:t>s</w:t>
      </w:r>
      <w:r>
        <w:rPr>
          <w:color w:val="000000"/>
          <w:spacing w:val="34"/>
        </w:rPr>
        <w:t xml:space="preserve"> </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9"/>
        </w:rPr>
        <w:t>l</w:t>
      </w:r>
      <w:r>
        <w:rPr>
          <w:color w:val="000000"/>
          <w:spacing w:val="4"/>
        </w:rPr>
        <w:t>ė</w:t>
      </w:r>
      <w:r>
        <w:rPr>
          <w:color w:val="000000"/>
        </w:rPr>
        <w:t>s</w:t>
      </w:r>
      <w:r>
        <w:rPr>
          <w:color w:val="000000"/>
          <w:spacing w:val="34"/>
        </w:rPr>
        <w:t xml:space="preserve"> </w:t>
      </w:r>
      <w:r>
        <w:rPr>
          <w:color w:val="000000"/>
        </w:rPr>
        <w:t>p</w:t>
      </w:r>
      <w:r>
        <w:rPr>
          <w:color w:val="000000"/>
          <w:spacing w:val="5"/>
        </w:rPr>
        <w:t>o</w:t>
      </w:r>
      <w:r>
        <w:rPr>
          <w:color w:val="000000"/>
          <w:spacing w:val="1"/>
        </w:rPr>
        <w:t>r</w:t>
      </w:r>
      <w:r>
        <w:rPr>
          <w:color w:val="000000"/>
          <w:spacing w:val="-1"/>
        </w:rPr>
        <w:t>e</w:t>
      </w:r>
      <w:r>
        <w:rPr>
          <w:color w:val="000000"/>
          <w:spacing w:val="-9"/>
        </w:rPr>
        <w:t>i</w:t>
      </w:r>
      <w:r>
        <w:rPr>
          <w:color w:val="000000"/>
          <w:spacing w:val="5"/>
        </w:rPr>
        <w:t>k</w:t>
      </w:r>
      <w:r>
        <w:rPr>
          <w:color w:val="000000"/>
          <w:spacing w:val="-9"/>
        </w:rPr>
        <w:t>i</w:t>
      </w:r>
      <w:r>
        <w:rPr>
          <w:color w:val="000000"/>
        </w:rPr>
        <w:t>o</w:t>
      </w:r>
      <w:r>
        <w:rPr>
          <w:color w:val="000000"/>
          <w:spacing w:val="40"/>
        </w:rPr>
        <w:t xml:space="preserve"> </w:t>
      </w:r>
      <w:r>
        <w:rPr>
          <w:color w:val="000000"/>
          <w:spacing w:val="5"/>
        </w:rPr>
        <w:t>t</w:t>
      </w:r>
      <w:r>
        <w:rPr>
          <w:color w:val="000000"/>
          <w:spacing w:val="-10"/>
        </w:rPr>
        <w:t>y</w:t>
      </w:r>
      <w:r>
        <w:rPr>
          <w:color w:val="000000"/>
          <w:spacing w:val="6"/>
        </w:rPr>
        <w:t>r</w:t>
      </w:r>
      <w:r>
        <w:rPr>
          <w:color w:val="000000"/>
        </w:rPr>
        <w:t>i</w:t>
      </w:r>
      <w:r>
        <w:rPr>
          <w:color w:val="000000"/>
          <w:spacing w:val="-4"/>
        </w:rPr>
        <w:t>m</w:t>
      </w:r>
      <w:r>
        <w:rPr>
          <w:color w:val="000000"/>
          <w:spacing w:val="-1"/>
        </w:rPr>
        <w:t>ą</w:t>
      </w:r>
      <w:r>
        <w:rPr>
          <w:color w:val="000000"/>
        </w:rPr>
        <w:t>.</w:t>
      </w:r>
      <w:r>
        <w:rPr>
          <w:color w:val="000000"/>
          <w:spacing w:val="38"/>
        </w:rPr>
        <w:t xml:space="preserve"> </w:t>
      </w:r>
      <w:r>
        <w:rPr>
          <w:color w:val="000000"/>
          <w:spacing w:val="1"/>
        </w:rPr>
        <w:t>Pr</w:t>
      </w:r>
      <w:r>
        <w:rPr>
          <w:color w:val="000000"/>
          <w:spacing w:val="-4"/>
        </w:rPr>
        <w:t>i</w:t>
      </w:r>
      <w:r>
        <w:rPr>
          <w:color w:val="000000"/>
        </w:rPr>
        <w:t>m</w:t>
      </w:r>
      <w:r>
        <w:rPr>
          <w:color w:val="000000"/>
          <w:spacing w:val="-4"/>
        </w:rPr>
        <w:t>i</w:t>
      </w:r>
      <w:r>
        <w:rPr>
          <w:color w:val="000000"/>
        </w:rPr>
        <w:t>n</w:t>
      </w:r>
      <w:r>
        <w:rPr>
          <w:color w:val="000000"/>
          <w:spacing w:val="7"/>
        </w:rPr>
        <w:t>s</w:t>
      </w:r>
      <w:r>
        <w:rPr>
          <w:color w:val="000000"/>
          <w:spacing w:val="-4"/>
        </w:rPr>
        <w:t>im</w:t>
      </w:r>
      <w:r>
        <w:rPr>
          <w:color w:val="000000"/>
          <w:spacing w:val="-1"/>
        </w:rPr>
        <w:t>e</w:t>
      </w:r>
      <w:r>
        <w:rPr>
          <w:color w:val="000000"/>
        </w:rPr>
        <w:t>,</w:t>
      </w:r>
      <w:r>
        <w:rPr>
          <w:color w:val="000000"/>
          <w:spacing w:val="38"/>
        </w:rPr>
        <w:t xml:space="preserve"> </w:t>
      </w:r>
      <w:r>
        <w:rPr>
          <w:color w:val="000000"/>
        </w:rPr>
        <w:t>k</w:t>
      </w:r>
      <w:r>
        <w:rPr>
          <w:color w:val="000000"/>
          <w:spacing w:val="-1"/>
        </w:rPr>
        <w:t>a</w:t>
      </w:r>
      <w:r>
        <w:rPr>
          <w:color w:val="000000"/>
        </w:rPr>
        <w:t>d</w:t>
      </w:r>
      <w:r>
        <w:rPr>
          <w:color w:val="000000"/>
          <w:spacing w:val="36"/>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35"/>
        </w:rPr>
        <w:t xml:space="preserve"> </w:t>
      </w:r>
      <w:r>
        <w:rPr>
          <w:color w:val="000000"/>
        </w:rPr>
        <w:t>d</w:t>
      </w:r>
      <w:r>
        <w:rPr>
          <w:color w:val="000000"/>
          <w:spacing w:val="-1"/>
        </w:rPr>
        <w:t>a</w:t>
      </w:r>
      <w:r>
        <w:rPr>
          <w:color w:val="000000"/>
        </w:rPr>
        <w:t>r</w:t>
      </w:r>
      <w:r>
        <w:rPr>
          <w:color w:val="000000"/>
          <w:spacing w:val="37"/>
        </w:rPr>
        <w:t xml:space="preserve"> </w:t>
      </w:r>
      <w:r>
        <w:rPr>
          <w:color w:val="000000"/>
        </w:rPr>
        <w:t>2010</w:t>
      </w:r>
      <w:r>
        <w:rPr>
          <w:color w:val="000000"/>
          <w:spacing w:val="36"/>
        </w:rPr>
        <w:t xml:space="preserve"> </w:t>
      </w:r>
      <w:r>
        <w:rPr>
          <w:color w:val="000000"/>
          <w:spacing w:val="-9"/>
        </w:rPr>
        <w:t>m</w:t>
      </w:r>
      <w:r>
        <w:rPr>
          <w:color w:val="000000"/>
        </w:rPr>
        <w:t>. p</w:t>
      </w:r>
      <w:r>
        <w:rPr>
          <w:color w:val="000000"/>
          <w:spacing w:val="6"/>
        </w:rPr>
        <w:t>r</w:t>
      </w:r>
      <w:r>
        <w:rPr>
          <w:color w:val="000000"/>
          <w:spacing w:val="-4"/>
        </w:rPr>
        <w:t>ii</w:t>
      </w:r>
      <w:r>
        <w:rPr>
          <w:color w:val="000000"/>
          <w:spacing w:val="-9"/>
        </w:rPr>
        <w:t>m</w:t>
      </w:r>
      <w:r>
        <w:rPr>
          <w:color w:val="000000"/>
          <w:spacing w:val="10"/>
        </w:rPr>
        <w:t>t</w:t>
      </w:r>
      <w:r>
        <w:rPr>
          <w:color w:val="000000"/>
        </w:rPr>
        <w:t>i</w:t>
      </w:r>
      <w:r>
        <w:rPr>
          <w:color w:val="000000"/>
          <w:spacing w:val="7"/>
        </w:rPr>
        <w:t xml:space="preserve"> </w:t>
      </w:r>
      <w:r>
        <w:rPr>
          <w:color w:val="000000"/>
          <w:spacing w:val="5"/>
        </w:rPr>
        <w:t>t</w:t>
      </w:r>
      <w:r>
        <w:rPr>
          <w:color w:val="000000"/>
          <w:spacing w:val="4"/>
        </w:rPr>
        <w:t>e</w:t>
      </w:r>
      <w:r>
        <w:rPr>
          <w:color w:val="000000"/>
          <w:spacing w:val="-9"/>
        </w:rPr>
        <w:t>i</w:t>
      </w:r>
      <w:r>
        <w:rPr>
          <w:color w:val="000000"/>
          <w:spacing w:val="2"/>
        </w:rPr>
        <w:t>s</w:t>
      </w:r>
      <w:r>
        <w:rPr>
          <w:color w:val="000000"/>
          <w:spacing w:val="-4"/>
        </w:rPr>
        <w:t>i</w:t>
      </w:r>
      <w:r>
        <w:rPr>
          <w:color w:val="000000"/>
        </w:rPr>
        <w:t>n</w:t>
      </w:r>
      <w:r>
        <w:rPr>
          <w:color w:val="000000"/>
          <w:spacing w:val="4"/>
        </w:rPr>
        <w:t>ė</w:t>
      </w:r>
      <w:r>
        <w:rPr>
          <w:color w:val="000000"/>
        </w:rPr>
        <w:t>s</w:t>
      </w:r>
      <w:r>
        <w:rPr>
          <w:color w:val="000000"/>
          <w:spacing w:val="14"/>
        </w:rPr>
        <w:t xml:space="preserve"> </w:t>
      </w:r>
      <w:r>
        <w:rPr>
          <w:color w:val="000000"/>
          <w:spacing w:val="-5"/>
        </w:rPr>
        <w:t>b</w:t>
      </w:r>
      <w:r>
        <w:rPr>
          <w:color w:val="000000"/>
          <w:spacing w:val="-1"/>
        </w:rPr>
        <w:t>az</w:t>
      </w:r>
      <w:r>
        <w:rPr>
          <w:color w:val="000000"/>
          <w:spacing w:val="4"/>
        </w:rPr>
        <w:t>ė</w:t>
      </w:r>
      <w:r>
        <w:rPr>
          <w:color w:val="000000"/>
        </w:rPr>
        <w:t>s</w:t>
      </w:r>
      <w:r>
        <w:rPr>
          <w:color w:val="000000"/>
          <w:spacing w:val="10"/>
        </w:rPr>
        <w:t xml:space="preserve"> </w:t>
      </w:r>
      <w:r>
        <w:rPr>
          <w:color w:val="000000"/>
        </w:rPr>
        <w:t>p</w:t>
      </w:r>
      <w:r>
        <w:rPr>
          <w:color w:val="000000"/>
          <w:spacing w:val="-1"/>
        </w:rPr>
        <w:t>a</w:t>
      </w:r>
      <w:r>
        <w:rPr>
          <w:color w:val="000000"/>
        </w:rPr>
        <w:t>k</w:t>
      </w:r>
      <w:r>
        <w:rPr>
          <w:color w:val="000000"/>
          <w:spacing w:val="4"/>
        </w:rPr>
        <w:t>e</w:t>
      </w:r>
      <w:r>
        <w:rPr>
          <w:color w:val="000000"/>
          <w:spacing w:val="-9"/>
        </w:rPr>
        <w:t>i</w:t>
      </w:r>
      <w:r>
        <w:rPr>
          <w:color w:val="000000"/>
          <w:spacing w:val="10"/>
        </w:rPr>
        <w:t>t</w:t>
      </w:r>
      <w:r>
        <w:rPr>
          <w:color w:val="000000"/>
        </w:rPr>
        <w:t>i</w:t>
      </w:r>
      <w:r>
        <w:rPr>
          <w:color w:val="000000"/>
          <w:spacing w:val="-4"/>
        </w:rPr>
        <w:t>m</w:t>
      </w:r>
      <w:r>
        <w:rPr>
          <w:color w:val="000000"/>
          <w:spacing w:val="4"/>
        </w:rPr>
        <w:t>a</w:t>
      </w:r>
      <w:r>
        <w:rPr>
          <w:color w:val="000000"/>
          <w:spacing w:val="-9"/>
        </w:rPr>
        <w:t>i</w:t>
      </w:r>
      <w:r>
        <w:rPr>
          <w:color w:val="000000"/>
        </w:rPr>
        <w:t>,</w:t>
      </w:r>
      <w:r>
        <w:rPr>
          <w:color w:val="000000"/>
          <w:spacing w:val="14"/>
        </w:rPr>
        <w:t xml:space="preserve"> </w:t>
      </w:r>
      <w:r>
        <w:rPr>
          <w:color w:val="000000"/>
        </w:rPr>
        <w:t>ku</w:t>
      </w:r>
      <w:r>
        <w:rPr>
          <w:color w:val="000000"/>
          <w:spacing w:val="6"/>
        </w:rPr>
        <w:t>r</w:t>
      </w:r>
      <w:r>
        <w:rPr>
          <w:color w:val="000000"/>
          <w:spacing w:val="-4"/>
        </w:rPr>
        <w:t>i</w:t>
      </w:r>
      <w:r>
        <w:rPr>
          <w:color w:val="000000"/>
          <w:spacing w:val="4"/>
        </w:rPr>
        <w:t>a</w:t>
      </w:r>
      <w:r>
        <w:rPr>
          <w:color w:val="000000"/>
          <w:spacing w:val="-4"/>
        </w:rPr>
        <w:t>i</w:t>
      </w:r>
      <w:r>
        <w:rPr>
          <w:color w:val="000000"/>
        </w:rPr>
        <w:t>s</w:t>
      </w:r>
      <w:r>
        <w:rPr>
          <w:color w:val="000000"/>
          <w:spacing w:val="14"/>
        </w:rPr>
        <w:t xml:space="preserve"> </w:t>
      </w:r>
      <w:r>
        <w:rPr>
          <w:color w:val="000000"/>
          <w:spacing w:val="-9"/>
        </w:rPr>
        <w:t>į</w:t>
      </w:r>
      <w:r>
        <w:rPr>
          <w:color w:val="000000"/>
          <w:spacing w:val="10"/>
        </w:rPr>
        <w:t>t</w:t>
      </w:r>
      <w:r>
        <w:rPr>
          <w:color w:val="000000"/>
        </w:rPr>
        <w:t>v</w:t>
      </w:r>
      <w:r>
        <w:rPr>
          <w:color w:val="000000"/>
          <w:spacing w:val="-9"/>
        </w:rPr>
        <w:t>i</w:t>
      </w:r>
      <w:r>
        <w:rPr>
          <w:color w:val="000000"/>
          <w:spacing w:val="1"/>
        </w:rPr>
        <w:t>r</w:t>
      </w:r>
      <w:r>
        <w:rPr>
          <w:color w:val="000000"/>
          <w:spacing w:val="10"/>
        </w:rPr>
        <w:t>t</w:t>
      </w:r>
      <w:r>
        <w:rPr>
          <w:color w:val="000000"/>
          <w:spacing w:val="-4"/>
        </w:rPr>
        <w:t>i</w:t>
      </w:r>
      <w:r>
        <w:rPr>
          <w:color w:val="000000"/>
          <w:spacing w:val="-5"/>
        </w:rPr>
        <w:t>n</w:t>
      </w:r>
      <w:r>
        <w:rPr>
          <w:color w:val="000000"/>
          <w:spacing w:val="4"/>
        </w:rPr>
        <w:t>a</w:t>
      </w:r>
      <w:r>
        <w:rPr>
          <w:color w:val="000000"/>
          <w:spacing w:val="-9"/>
        </w:rPr>
        <w:t>m</w:t>
      </w:r>
      <w:r>
        <w:rPr>
          <w:color w:val="000000"/>
          <w:spacing w:val="5"/>
        </w:rPr>
        <w:t>o</w:t>
      </w:r>
      <w:r>
        <w:rPr>
          <w:color w:val="000000"/>
        </w:rPr>
        <w:t>s</w:t>
      </w:r>
      <w:r>
        <w:rPr>
          <w:color w:val="000000"/>
          <w:spacing w:val="14"/>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4"/>
        </w:rPr>
        <w:t>i</w:t>
      </w:r>
      <w:r>
        <w:rPr>
          <w:color w:val="000000"/>
        </w:rPr>
        <w:t>ų</w:t>
      </w:r>
      <w:r>
        <w:rPr>
          <w:color w:val="000000"/>
          <w:spacing w:val="17"/>
        </w:rPr>
        <w:t xml:space="preserve"> </w:t>
      </w:r>
      <w:r>
        <w:rPr>
          <w:color w:val="000000"/>
          <w:spacing w:val="-9"/>
        </w:rPr>
        <w:t>i</w:t>
      </w:r>
      <w:r>
        <w:rPr>
          <w:color w:val="000000"/>
        </w:rPr>
        <w:t>r</w:t>
      </w:r>
      <w:r>
        <w:rPr>
          <w:color w:val="000000"/>
          <w:spacing w:val="13"/>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1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12"/>
        </w:rPr>
        <w:t xml:space="preserve"> </w:t>
      </w:r>
      <w:r>
        <w:rPr>
          <w:color w:val="000000"/>
        </w:rPr>
        <w:t>d</w:t>
      </w:r>
      <w:r>
        <w:rPr>
          <w:color w:val="000000"/>
          <w:spacing w:val="-1"/>
        </w:rPr>
        <w:t>a</w:t>
      </w:r>
      <w:r>
        <w:rPr>
          <w:color w:val="000000"/>
          <w:spacing w:val="6"/>
        </w:rPr>
        <w:t>r</w:t>
      </w:r>
      <w:r>
        <w:rPr>
          <w:color w:val="000000"/>
          <w:spacing w:val="-4"/>
        </w:rPr>
        <w:t>i</w:t>
      </w:r>
      <w:r>
        <w:rPr>
          <w:color w:val="000000"/>
        </w:rPr>
        <w:t>n</w:t>
      </w:r>
      <w:r>
        <w:rPr>
          <w:color w:val="000000"/>
          <w:spacing w:val="-4"/>
        </w:rPr>
        <w:t>i</w:t>
      </w:r>
      <w:r>
        <w:rPr>
          <w:color w:val="000000"/>
        </w:rPr>
        <w:t xml:space="preserve">ų </w:t>
      </w:r>
      <w:r>
        <w:rPr>
          <w:color w:val="000000"/>
          <w:spacing w:val="-4"/>
        </w:rPr>
        <w:t>i</w:t>
      </w:r>
      <w:r>
        <w:rPr>
          <w:color w:val="000000"/>
        </w:rPr>
        <w:t>r</w:t>
      </w:r>
      <w:r>
        <w:rPr>
          <w:color w:val="000000"/>
          <w:spacing w:val="4"/>
        </w:rPr>
        <w:t xml:space="preserve"> </w:t>
      </w:r>
      <w:r>
        <w:rPr>
          <w:color w:val="000000"/>
        </w:rPr>
        <w:t>d</w:t>
      </w:r>
      <w:r>
        <w:rPr>
          <w:color w:val="000000"/>
          <w:spacing w:val="-1"/>
        </w:rPr>
        <w:t>a</w:t>
      </w:r>
      <w:r>
        <w:rPr>
          <w:color w:val="000000"/>
          <w:spacing w:val="6"/>
        </w:rPr>
        <w:t>r</w:t>
      </w:r>
      <w:r>
        <w:rPr>
          <w:color w:val="000000"/>
          <w:spacing w:val="-4"/>
        </w:rPr>
        <w:t>i</w:t>
      </w:r>
      <w:r>
        <w:rPr>
          <w:color w:val="000000"/>
        </w:rPr>
        <w:t>n</w:t>
      </w:r>
      <w:r>
        <w:rPr>
          <w:color w:val="000000"/>
          <w:spacing w:val="-4"/>
        </w:rPr>
        <w:t>i</w:t>
      </w:r>
      <w:r>
        <w:rPr>
          <w:color w:val="000000"/>
        </w:rPr>
        <w:t>ų</w:t>
      </w:r>
      <w:r>
        <w:rPr>
          <w:color w:val="000000"/>
          <w:spacing w:val="2"/>
        </w:rPr>
        <w:t xml:space="preserve"> </w:t>
      </w:r>
      <w:r>
        <w:rPr>
          <w:color w:val="000000"/>
        </w:rPr>
        <w:t>g</w:t>
      </w:r>
      <w:r>
        <w:rPr>
          <w:color w:val="000000"/>
          <w:spacing w:val="1"/>
        </w:rPr>
        <w:t>r</w:t>
      </w:r>
      <w:r>
        <w:rPr>
          <w:color w:val="000000"/>
        </w:rPr>
        <w:t>up</w:t>
      </w:r>
      <w:r>
        <w:rPr>
          <w:color w:val="000000"/>
          <w:spacing w:val="-1"/>
        </w:rPr>
        <w:t>ė</w:t>
      </w:r>
      <w:r>
        <w:rPr>
          <w:color w:val="000000"/>
        </w:rPr>
        <w:t>s</w:t>
      </w:r>
      <w:r>
        <w:rPr>
          <w:color w:val="000000"/>
          <w:spacing w:val="2"/>
        </w:rPr>
        <w:t xml:space="preserve"> </w:t>
      </w:r>
      <w:r>
        <w:rPr>
          <w:color w:val="000000"/>
          <w:spacing w:val="-2"/>
        </w:rPr>
        <w:t>s</w:t>
      </w:r>
      <w:r>
        <w:rPr>
          <w:color w:val="000000"/>
          <w:spacing w:val="4"/>
        </w:rPr>
        <w:t>ą</w:t>
      </w:r>
      <w:r>
        <w:rPr>
          <w:color w:val="000000"/>
          <w:spacing w:val="-5"/>
        </w:rPr>
        <w:t>v</w:t>
      </w:r>
      <w:r>
        <w:rPr>
          <w:color w:val="000000"/>
          <w:spacing w:val="5"/>
        </w:rPr>
        <w:t>o</w:t>
      </w:r>
      <w:r>
        <w:rPr>
          <w:color w:val="000000"/>
        </w:rPr>
        <w:t>k</w:t>
      </w:r>
      <w:r>
        <w:rPr>
          <w:color w:val="000000"/>
          <w:spacing w:val="5"/>
        </w:rPr>
        <w:t>o</w:t>
      </w:r>
      <w:r>
        <w:rPr>
          <w:color w:val="000000"/>
          <w:spacing w:val="-2"/>
        </w:rPr>
        <w:t>s</w:t>
      </w:r>
      <w:r>
        <w:rPr>
          <w:color w:val="000000"/>
        </w:rPr>
        <w:t>. 2012</w:t>
      </w:r>
      <w:r>
        <w:rPr>
          <w:color w:val="000000"/>
          <w:spacing w:val="2"/>
        </w:rPr>
        <w:t xml:space="preserve"> </w:t>
      </w:r>
      <w:r>
        <w:rPr>
          <w:color w:val="000000"/>
          <w:spacing w:val="-9"/>
        </w:rPr>
        <w:t>m</w:t>
      </w:r>
      <w:r>
        <w:rPr>
          <w:color w:val="000000"/>
        </w:rPr>
        <w:t>.</w:t>
      </w:r>
      <w:r>
        <w:rPr>
          <w:color w:val="000000"/>
          <w:spacing w:val="4"/>
        </w:rPr>
        <w:t xml:space="preserve"> </w:t>
      </w:r>
      <w:r>
        <w:rPr>
          <w:color w:val="000000"/>
        </w:rPr>
        <w:t>g</w:t>
      </w:r>
      <w:r>
        <w:rPr>
          <w:color w:val="000000"/>
          <w:spacing w:val="-1"/>
        </w:rPr>
        <w:t>e</w:t>
      </w:r>
      <w:r>
        <w:rPr>
          <w:color w:val="000000"/>
        </w:rPr>
        <w:t>gu</w:t>
      </w:r>
      <w:r>
        <w:rPr>
          <w:color w:val="000000"/>
          <w:spacing w:val="-1"/>
        </w:rPr>
        <w:t>žė</w:t>
      </w:r>
      <w:r>
        <w:rPr>
          <w:color w:val="000000"/>
        </w:rPr>
        <w:t>s</w:t>
      </w:r>
      <w:r>
        <w:rPr>
          <w:color w:val="000000"/>
          <w:spacing w:val="5"/>
        </w:rPr>
        <w:t xml:space="preserve"> </w:t>
      </w:r>
      <w:r>
        <w:rPr>
          <w:color w:val="000000"/>
          <w:spacing w:val="-4"/>
        </w:rPr>
        <w:t>m</w:t>
      </w:r>
      <w:r>
        <w:rPr>
          <w:color w:val="000000"/>
          <w:spacing w:val="4"/>
        </w:rPr>
        <w:t>ė</w:t>
      </w:r>
      <w:r>
        <w:rPr>
          <w:color w:val="000000"/>
          <w:spacing w:val="-5"/>
        </w:rPr>
        <w:t>n</w:t>
      </w:r>
      <w:r>
        <w:rPr>
          <w:color w:val="000000"/>
          <w:spacing w:val="-1"/>
        </w:rPr>
        <w:t>e</w:t>
      </w:r>
      <w:r>
        <w:rPr>
          <w:color w:val="000000"/>
          <w:spacing w:val="2"/>
        </w:rPr>
        <w:t>s</w:t>
      </w:r>
      <w:r>
        <w:rPr>
          <w:color w:val="000000"/>
        </w:rPr>
        <w:t>į</w:t>
      </w:r>
      <w:r>
        <w:rPr>
          <w:color w:val="000000"/>
          <w:spacing w:val="3"/>
        </w:rPr>
        <w:t xml:space="preserve"> </w:t>
      </w:r>
      <w:r>
        <w:rPr>
          <w:color w:val="000000"/>
          <w:spacing w:val="1"/>
        </w:rPr>
        <w:t>S</w:t>
      </w:r>
      <w:r>
        <w:rPr>
          <w:color w:val="000000"/>
          <w:spacing w:val="-5"/>
        </w:rPr>
        <w:t>v</w:t>
      </w:r>
      <w:r>
        <w:rPr>
          <w:color w:val="000000"/>
          <w:spacing w:val="4"/>
        </w:rPr>
        <w:t>e</w:t>
      </w:r>
      <w:r>
        <w:rPr>
          <w:color w:val="000000"/>
          <w:spacing w:val="-9"/>
        </w:rPr>
        <w:t>i</w:t>
      </w:r>
      <w:r>
        <w:rPr>
          <w:color w:val="000000"/>
          <w:spacing w:val="5"/>
        </w:rPr>
        <w:t>k</w:t>
      </w:r>
      <w:r>
        <w:rPr>
          <w:color w:val="000000"/>
          <w:spacing w:val="-1"/>
        </w:rPr>
        <w:t>a</w:t>
      </w:r>
      <w:r>
        <w:rPr>
          <w:color w:val="000000"/>
          <w:spacing w:val="5"/>
        </w:rPr>
        <w:t>to</w:t>
      </w:r>
      <w:r>
        <w:rPr>
          <w:color w:val="000000"/>
        </w:rPr>
        <w:t xml:space="preserve">s </w:t>
      </w:r>
      <w:r>
        <w:rPr>
          <w:color w:val="000000"/>
          <w:spacing w:val="-1"/>
        </w:rPr>
        <w:t>a</w:t>
      </w:r>
      <w:r>
        <w:rPr>
          <w:color w:val="000000"/>
        </w:rPr>
        <w:t>p</w:t>
      </w:r>
      <w:r>
        <w:rPr>
          <w:color w:val="000000"/>
          <w:spacing w:val="-2"/>
        </w:rPr>
        <w:t>s</w:t>
      </w:r>
      <w:r>
        <w:rPr>
          <w:color w:val="000000"/>
          <w:spacing w:val="-1"/>
        </w:rPr>
        <w:t>a</w:t>
      </w:r>
      <w:r>
        <w:rPr>
          <w:color w:val="000000"/>
        </w:rPr>
        <w:t>u</w:t>
      </w:r>
      <w:r>
        <w:rPr>
          <w:color w:val="000000"/>
          <w:spacing w:val="-5"/>
        </w:rPr>
        <w:t>g</w:t>
      </w:r>
      <w:r>
        <w:rPr>
          <w:color w:val="000000"/>
          <w:spacing w:val="5"/>
        </w:rPr>
        <w:t>o</w:t>
      </w:r>
      <w:r>
        <w:rPr>
          <w:color w:val="000000"/>
        </w:rPr>
        <w:t xml:space="preserve">s </w:t>
      </w:r>
      <w:r>
        <w:rPr>
          <w:color w:val="000000"/>
          <w:spacing w:val="-4"/>
        </w:rPr>
        <w:t>mi</w:t>
      </w:r>
      <w:r>
        <w:rPr>
          <w:color w:val="000000"/>
          <w:spacing w:val="5"/>
        </w:rPr>
        <w:t>n</w:t>
      </w:r>
      <w:r>
        <w:rPr>
          <w:color w:val="000000"/>
          <w:spacing w:val="-4"/>
        </w:rPr>
        <w:t>i</w:t>
      </w:r>
      <w:r>
        <w:rPr>
          <w:color w:val="000000"/>
          <w:spacing w:val="-2"/>
        </w:rPr>
        <w:t>s</w:t>
      </w:r>
      <w:r>
        <w:rPr>
          <w:color w:val="000000"/>
          <w:spacing w:val="5"/>
        </w:rPr>
        <w:t>t</w:t>
      </w:r>
      <w:r>
        <w:rPr>
          <w:color w:val="000000"/>
          <w:spacing w:val="1"/>
        </w:rPr>
        <w:t>r</w:t>
      </w:r>
      <w:r>
        <w:rPr>
          <w:color w:val="000000"/>
        </w:rPr>
        <w:t>o</w:t>
      </w:r>
      <w:r>
        <w:rPr>
          <w:color w:val="000000"/>
          <w:spacing w:val="7"/>
        </w:rPr>
        <w:t xml:space="preserve"> </w:t>
      </w:r>
      <w:r>
        <w:rPr>
          <w:color w:val="000000"/>
          <w:spacing w:val="-9"/>
        </w:rPr>
        <w:t>į</w:t>
      </w:r>
      <w:r>
        <w:rPr>
          <w:color w:val="000000"/>
          <w:spacing w:val="-2"/>
        </w:rPr>
        <w:t>s</w:t>
      </w:r>
      <w:r>
        <w:rPr>
          <w:color w:val="000000"/>
          <w:spacing w:val="-1"/>
        </w:rPr>
        <w:t>a</w:t>
      </w:r>
      <w:r>
        <w:rPr>
          <w:color w:val="000000"/>
          <w:spacing w:val="5"/>
        </w:rPr>
        <w:t>k</w:t>
      </w:r>
      <w:r>
        <w:rPr>
          <w:color w:val="000000"/>
        </w:rPr>
        <w:t>y</w:t>
      </w:r>
      <w:r>
        <w:rPr>
          <w:color w:val="000000"/>
          <w:spacing w:val="-4"/>
        </w:rPr>
        <w:t>m</w:t>
      </w:r>
      <w:r>
        <w:rPr>
          <w:color w:val="000000"/>
        </w:rPr>
        <w:t>u</w:t>
      </w:r>
      <w:r>
        <w:rPr>
          <w:color w:val="000000"/>
          <w:spacing w:val="2"/>
        </w:rPr>
        <w:t xml:space="preserve"> </w:t>
      </w:r>
      <w:r>
        <w:rPr>
          <w:color w:val="000000"/>
        </w:rPr>
        <w:t>N</w:t>
      </w:r>
      <w:r>
        <w:rPr>
          <w:color w:val="000000"/>
          <w:spacing w:val="1"/>
        </w:rPr>
        <w:t>r</w:t>
      </w:r>
      <w:r>
        <w:rPr>
          <w:color w:val="000000"/>
        </w:rPr>
        <w:t>.</w:t>
      </w:r>
      <w:r>
        <w:rPr>
          <w:color w:val="000000"/>
          <w:spacing w:val="4"/>
        </w:rPr>
        <w:t xml:space="preserve"> </w:t>
      </w:r>
      <w:r>
        <w:rPr>
          <w:color w:val="000000"/>
        </w:rPr>
        <w:t>5</w:t>
      </w:r>
      <w:r>
        <w:rPr>
          <w:color w:val="000000"/>
          <w:spacing w:val="2"/>
        </w:rPr>
        <w:t xml:space="preserve"> </w:t>
      </w:r>
      <w:r>
        <w:rPr>
          <w:color w:val="000000"/>
          <w:spacing w:val="-6"/>
        </w:rPr>
        <w:t>„</w:t>
      </w:r>
      <w:r>
        <w:rPr>
          <w:color w:val="000000"/>
        </w:rPr>
        <w:t>D</w:t>
      </w:r>
      <w:r>
        <w:rPr>
          <w:color w:val="000000"/>
          <w:spacing w:val="8"/>
        </w:rPr>
        <w:t>ė</w:t>
      </w:r>
      <w:r>
        <w:rPr>
          <w:color w:val="000000"/>
        </w:rPr>
        <w:t>l</w:t>
      </w:r>
    </w:p>
    <w:p w:rsidR="004F7425" w:rsidRDefault="004F7425" w:rsidP="004F7425">
      <w:pPr>
        <w:widowControl w:val="0"/>
        <w:autoSpaceDE w:val="0"/>
        <w:autoSpaceDN w:val="0"/>
        <w:adjustRightInd w:val="0"/>
        <w:spacing w:line="271" w:lineRule="exact"/>
        <w:ind w:left="120" w:right="64"/>
        <w:jc w:val="both"/>
        <w:rPr>
          <w:color w:val="000000"/>
        </w:rPr>
      </w:pPr>
      <w:r>
        <w:rPr>
          <w:color w:val="000000"/>
          <w:spacing w:val="-5"/>
          <w:position w:val="-1"/>
        </w:rPr>
        <w:t>n</w:t>
      </w:r>
      <w:r>
        <w:rPr>
          <w:color w:val="000000"/>
          <w:spacing w:val="-1"/>
          <w:position w:val="-1"/>
        </w:rPr>
        <w:t>a</w:t>
      </w:r>
      <w:r>
        <w:rPr>
          <w:color w:val="000000"/>
          <w:spacing w:val="1"/>
          <w:position w:val="-1"/>
        </w:rPr>
        <w:t>r</w:t>
      </w:r>
      <w:r>
        <w:rPr>
          <w:color w:val="000000"/>
          <w:position w:val="-1"/>
        </w:rPr>
        <w:t>k</w:t>
      </w:r>
      <w:r>
        <w:rPr>
          <w:color w:val="000000"/>
          <w:spacing w:val="5"/>
          <w:position w:val="-1"/>
        </w:rPr>
        <w:t>ot</w:t>
      </w:r>
      <w:r>
        <w:rPr>
          <w:color w:val="000000"/>
          <w:spacing w:val="-4"/>
          <w:position w:val="-1"/>
        </w:rPr>
        <w:t>i</w:t>
      </w:r>
      <w:r>
        <w:rPr>
          <w:color w:val="000000"/>
          <w:position w:val="-1"/>
        </w:rPr>
        <w:t>n</w:t>
      </w:r>
      <w:r>
        <w:rPr>
          <w:color w:val="000000"/>
          <w:spacing w:val="-9"/>
          <w:position w:val="-1"/>
        </w:rPr>
        <w:t>i</w:t>
      </w:r>
      <w:r>
        <w:rPr>
          <w:color w:val="000000"/>
          <w:position w:val="-1"/>
        </w:rPr>
        <w:t>ų</w:t>
      </w:r>
      <w:r>
        <w:rPr>
          <w:color w:val="000000"/>
          <w:spacing w:val="45"/>
          <w:position w:val="-1"/>
        </w:rPr>
        <w:t xml:space="preserve"> </w:t>
      </w:r>
      <w:r>
        <w:rPr>
          <w:color w:val="000000"/>
          <w:spacing w:val="-9"/>
          <w:position w:val="-1"/>
        </w:rPr>
        <w:t>i</w:t>
      </w:r>
      <w:r>
        <w:rPr>
          <w:color w:val="000000"/>
          <w:position w:val="-1"/>
        </w:rPr>
        <w:t>r</w:t>
      </w:r>
      <w:r>
        <w:rPr>
          <w:color w:val="000000"/>
          <w:spacing w:val="37"/>
          <w:position w:val="-1"/>
        </w:rPr>
        <w:t xml:space="preserve"> </w:t>
      </w:r>
      <w:r>
        <w:rPr>
          <w:color w:val="000000"/>
          <w:spacing w:val="5"/>
          <w:position w:val="-1"/>
        </w:rPr>
        <w:t>p</w:t>
      </w:r>
      <w:r>
        <w:rPr>
          <w:color w:val="000000"/>
          <w:spacing w:val="2"/>
          <w:position w:val="-1"/>
        </w:rPr>
        <w:t>s</w:t>
      </w:r>
      <w:r>
        <w:rPr>
          <w:color w:val="000000"/>
          <w:spacing w:val="-4"/>
          <w:position w:val="-1"/>
        </w:rPr>
        <w:t>i</w:t>
      </w:r>
      <w:r>
        <w:rPr>
          <w:color w:val="000000"/>
          <w:spacing w:val="4"/>
          <w:position w:val="-1"/>
        </w:rPr>
        <w:t>c</w:t>
      </w:r>
      <w:r>
        <w:rPr>
          <w:color w:val="000000"/>
          <w:spacing w:val="-5"/>
          <w:position w:val="-1"/>
        </w:rPr>
        <w:t>h</w:t>
      </w:r>
      <w:r>
        <w:rPr>
          <w:color w:val="000000"/>
          <w:spacing w:val="5"/>
          <w:position w:val="-1"/>
        </w:rPr>
        <w:t>o</w:t>
      </w:r>
      <w:r>
        <w:rPr>
          <w:color w:val="000000"/>
          <w:position w:val="-1"/>
        </w:rPr>
        <w:t>t</w:t>
      </w:r>
      <w:r>
        <w:rPr>
          <w:color w:val="000000"/>
          <w:spacing w:val="-3"/>
          <w:position w:val="-1"/>
        </w:rPr>
        <w:t>r</w:t>
      </w:r>
      <w:r>
        <w:rPr>
          <w:color w:val="000000"/>
          <w:spacing w:val="5"/>
          <w:position w:val="-1"/>
        </w:rPr>
        <w:t>o</w:t>
      </w:r>
      <w:r>
        <w:rPr>
          <w:color w:val="000000"/>
          <w:position w:val="-1"/>
        </w:rPr>
        <w:t>p</w:t>
      </w:r>
      <w:r>
        <w:rPr>
          <w:color w:val="000000"/>
          <w:spacing w:val="-4"/>
          <w:position w:val="-1"/>
        </w:rPr>
        <w:t>i</w:t>
      </w:r>
      <w:r>
        <w:rPr>
          <w:color w:val="000000"/>
          <w:position w:val="-1"/>
        </w:rPr>
        <w:t>n</w:t>
      </w:r>
      <w:r>
        <w:rPr>
          <w:color w:val="000000"/>
          <w:spacing w:val="-4"/>
          <w:position w:val="-1"/>
        </w:rPr>
        <w:t>i</w:t>
      </w:r>
      <w:r>
        <w:rPr>
          <w:color w:val="000000"/>
          <w:position w:val="-1"/>
        </w:rPr>
        <w:t>ų</w:t>
      </w:r>
      <w:r>
        <w:rPr>
          <w:color w:val="000000"/>
          <w:spacing w:val="41"/>
          <w:position w:val="-1"/>
        </w:rPr>
        <w:t xml:space="preserve"> </w:t>
      </w:r>
      <w:r>
        <w:rPr>
          <w:color w:val="000000"/>
          <w:spacing w:val="-4"/>
          <w:position w:val="-1"/>
        </w:rPr>
        <w:t>m</w:t>
      </w:r>
      <w:r>
        <w:rPr>
          <w:color w:val="000000"/>
          <w:spacing w:val="-1"/>
          <w:position w:val="-1"/>
        </w:rPr>
        <w:t>e</w:t>
      </w:r>
      <w:r>
        <w:rPr>
          <w:color w:val="000000"/>
          <w:spacing w:val="5"/>
          <w:position w:val="-1"/>
        </w:rPr>
        <w:t>d</w:t>
      </w:r>
      <w:r>
        <w:rPr>
          <w:color w:val="000000"/>
          <w:spacing w:val="4"/>
          <w:position w:val="-1"/>
        </w:rPr>
        <w:t>ž</w:t>
      </w:r>
      <w:r>
        <w:rPr>
          <w:color w:val="000000"/>
          <w:spacing w:val="-4"/>
          <w:position w:val="-1"/>
        </w:rPr>
        <w:t>i</w:t>
      </w:r>
      <w:r>
        <w:rPr>
          <w:color w:val="000000"/>
          <w:spacing w:val="-1"/>
          <w:position w:val="-1"/>
        </w:rPr>
        <w:t>a</w:t>
      </w:r>
      <w:r>
        <w:rPr>
          <w:color w:val="000000"/>
          <w:position w:val="-1"/>
        </w:rPr>
        <w:t>gų</w:t>
      </w:r>
      <w:r>
        <w:rPr>
          <w:color w:val="000000"/>
          <w:spacing w:val="36"/>
          <w:position w:val="-1"/>
        </w:rPr>
        <w:t xml:space="preserve"> </w:t>
      </w:r>
      <w:r>
        <w:rPr>
          <w:color w:val="000000"/>
          <w:spacing w:val="-2"/>
          <w:position w:val="-1"/>
        </w:rPr>
        <w:t>s</w:t>
      </w:r>
      <w:r>
        <w:rPr>
          <w:color w:val="000000"/>
          <w:spacing w:val="-1"/>
          <w:position w:val="-1"/>
        </w:rPr>
        <w:t>ą</w:t>
      </w:r>
      <w:r>
        <w:rPr>
          <w:color w:val="000000"/>
          <w:spacing w:val="1"/>
          <w:position w:val="-1"/>
        </w:rPr>
        <w:t>r</w:t>
      </w:r>
      <w:r>
        <w:rPr>
          <w:color w:val="000000"/>
          <w:spacing w:val="4"/>
          <w:position w:val="-1"/>
        </w:rPr>
        <w:t>a</w:t>
      </w:r>
      <w:r>
        <w:rPr>
          <w:color w:val="000000"/>
          <w:spacing w:val="-2"/>
          <w:position w:val="-1"/>
        </w:rPr>
        <w:t>š</w:t>
      </w:r>
      <w:r>
        <w:rPr>
          <w:color w:val="000000"/>
          <w:position w:val="-1"/>
        </w:rPr>
        <w:t>ų</w:t>
      </w:r>
      <w:r>
        <w:rPr>
          <w:color w:val="000000"/>
          <w:spacing w:val="36"/>
          <w:position w:val="-1"/>
        </w:rPr>
        <w:t xml:space="preserve"> </w:t>
      </w:r>
      <w:r>
        <w:rPr>
          <w:color w:val="000000"/>
          <w:position w:val="-1"/>
        </w:rPr>
        <w:t>p</w:t>
      </w:r>
      <w:r>
        <w:rPr>
          <w:color w:val="000000"/>
          <w:spacing w:val="-1"/>
          <w:position w:val="-1"/>
        </w:rPr>
        <w:t>a</w:t>
      </w:r>
      <w:r>
        <w:rPr>
          <w:color w:val="000000"/>
          <w:spacing w:val="5"/>
          <w:position w:val="-1"/>
        </w:rPr>
        <w:t>t</w:t>
      </w:r>
      <w:r>
        <w:rPr>
          <w:color w:val="000000"/>
          <w:position w:val="-1"/>
        </w:rPr>
        <w:t>v</w:t>
      </w:r>
      <w:r>
        <w:rPr>
          <w:color w:val="000000"/>
          <w:spacing w:val="-4"/>
          <w:position w:val="-1"/>
        </w:rPr>
        <w:t>i</w:t>
      </w:r>
      <w:r>
        <w:rPr>
          <w:color w:val="000000"/>
          <w:spacing w:val="1"/>
          <w:position w:val="-1"/>
        </w:rPr>
        <w:t>r</w:t>
      </w:r>
      <w:r>
        <w:rPr>
          <w:color w:val="000000"/>
          <w:spacing w:val="5"/>
          <w:position w:val="-1"/>
        </w:rPr>
        <w:t>t</w:t>
      </w:r>
      <w:r>
        <w:rPr>
          <w:color w:val="000000"/>
          <w:spacing w:val="-4"/>
          <w:position w:val="-1"/>
        </w:rPr>
        <w:t>i</w:t>
      </w:r>
      <w:r>
        <w:rPr>
          <w:color w:val="000000"/>
          <w:position w:val="-1"/>
        </w:rPr>
        <w:t>ni</w:t>
      </w:r>
      <w:r>
        <w:rPr>
          <w:color w:val="000000"/>
          <w:spacing w:val="-9"/>
          <w:position w:val="-1"/>
        </w:rPr>
        <w:t>m</w:t>
      </w:r>
      <w:r>
        <w:rPr>
          <w:color w:val="000000"/>
          <w:spacing w:val="9"/>
          <w:position w:val="-1"/>
        </w:rPr>
        <w:t>o</w:t>
      </w:r>
      <w:r>
        <w:rPr>
          <w:color w:val="000000"/>
          <w:position w:val="-1"/>
        </w:rPr>
        <w:t>“</w:t>
      </w:r>
      <w:r>
        <w:rPr>
          <w:color w:val="000000"/>
          <w:spacing w:val="30"/>
          <w:position w:val="-1"/>
        </w:rPr>
        <w:t xml:space="preserve"> </w:t>
      </w:r>
      <w:r>
        <w:rPr>
          <w:color w:val="000000"/>
          <w:spacing w:val="5"/>
          <w:position w:val="-1"/>
        </w:rPr>
        <w:t>p</w:t>
      </w:r>
      <w:r>
        <w:rPr>
          <w:color w:val="000000"/>
          <w:spacing w:val="-1"/>
          <w:position w:val="-1"/>
        </w:rPr>
        <w:t>a</w:t>
      </w:r>
      <w:r>
        <w:rPr>
          <w:color w:val="000000"/>
          <w:position w:val="-1"/>
        </w:rPr>
        <w:t>k</w:t>
      </w:r>
      <w:r>
        <w:rPr>
          <w:color w:val="000000"/>
          <w:spacing w:val="4"/>
          <w:position w:val="-1"/>
        </w:rPr>
        <w:t>e</w:t>
      </w:r>
      <w:r>
        <w:rPr>
          <w:color w:val="000000"/>
          <w:spacing w:val="-9"/>
          <w:position w:val="-1"/>
        </w:rPr>
        <w:t>i</w:t>
      </w:r>
      <w:r>
        <w:rPr>
          <w:color w:val="000000"/>
          <w:spacing w:val="10"/>
          <w:position w:val="-1"/>
        </w:rPr>
        <w:t>t</w:t>
      </w:r>
      <w:r>
        <w:rPr>
          <w:color w:val="000000"/>
          <w:spacing w:val="-4"/>
          <w:position w:val="-1"/>
        </w:rPr>
        <w:t>i</w:t>
      </w:r>
      <w:r>
        <w:rPr>
          <w:color w:val="000000"/>
          <w:spacing w:val="-9"/>
          <w:position w:val="-1"/>
        </w:rPr>
        <w:t>m</w:t>
      </w:r>
      <w:r>
        <w:rPr>
          <w:color w:val="000000"/>
          <w:position w:val="-1"/>
        </w:rPr>
        <w:t>o</w:t>
      </w:r>
      <w:r>
        <w:rPr>
          <w:color w:val="000000"/>
          <w:spacing w:val="40"/>
          <w:position w:val="-1"/>
        </w:rPr>
        <w:t xml:space="preserve"> </w:t>
      </w:r>
      <w:r>
        <w:rPr>
          <w:color w:val="000000"/>
          <w:spacing w:val="6"/>
          <w:position w:val="-1"/>
        </w:rPr>
        <w:t>(</w:t>
      </w:r>
      <w:r>
        <w:rPr>
          <w:color w:val="000000"/>
          <w:spacing w:val="2"/>
          <w:position w:val="-1"/>
        </w:rPr>
        <w:t>Ž</w:t>
      </w:r>
      <w:r>
        <w:rPr>
          <w:color w:val="000000"/>
          <w:spacing w:val="-4"/>
          <w:position w:val="-1"/>
        </w:rPr>
        <w:t>i</w:t>
      </w:r>
      <w:r>
        <w:rPr>
          <w:color w:val="000000"/>
          <w:spacing w:val="-5"/>
          <w:position w:val="-1"/>
        </w:rPr>
        <w:t>n</w:t>
      </w:r>
      <w:r>
        <w:rPr>
          <w:color w:val="000000"/>
          <w:spacing w:val="2"/>
          <w:position w:val="-1"/>
        </w:rPr>
        <w:t>.</w:t>
      </w:r>
      <w:r>
        <w:rPr>
          <w:color w:val="000000"/>
          <w:position w:val="-1"/>
        </w:rPr>
        <w:t>,</w:t>
      </w:r>
      <w:r>
        <w:rPr>
          <w:color w:val="000000"/>
          <w:spacing w:val="38"/>
          <w:position w:val="-1"/>
        </w:rPr>
        <w:t xml:space="preserve"> </w:t>
      </w:r>
      <w:r>
        <w:rPr>
          <w:color w:val="000000"/>
          <w:position w:val="-1"/>
        </w:rPr>
        <w:t>2012,</w:t>
      </w:r>
      <w:r>
        <w:rPr>
          <w:color w:val="000000"/>
          <w:spacing w:val="38"/>
          <w:position w:val="-1"/>
        </w:rPr>
        <w:t xml:space="preserve"> </w:t>
      </w:r>
      <w:r>
        <w:rPr>
          <w:color w:val="000000"/>
          <w:position w:val="-1"/>
        </w:rPr>
        <w:t>N</w:t>
      </w:r>
      <w:r>
        <w:rPr>
          <w:color w:val="000000"/>
          <w:spacing w:val="1"/>
          <w:position w:val="-1"/>
        </w:rPr>
        <w:t>r</w:t>
      </w:r>
      <w:r>
        <w:rPr>
          <w:color w:val="000000"/>
          <w:position w:val="-1"/>
        </w:rPr>
        <w:t>.</w:t>
      </w:r>
      <w:r>
        <w:rPr>
          <w:color w:val="000000"/>
          <w:spacing w:val="38"/>
          <w:position w:val="-1"/>
        </w:rPr>
        <w:t xml:space="preserve"> </w:t>
      </w:r>
      <w:r>
        <w:rPr>
          <w:color w:val="000000"/>
          <w:position w:val="-1"/>
        </w:rPr>
        <w:t>5</w:t>
      </w:r>
      <w:r>
        <w:rPr>
          <w:color w:val="000000"/>
          <w:spacing w:val="13"/>
          <w:position w:val="-1"/>
        </w:rPr>
        <w:t>9</w:t>
      </w:r>
      <w:r>
        <w:rPr>
          <w:color w:val="000000"/>
          <w:position w:val="-1"/>
        </w:rPr>
        <w:t>–2945</w:t>
      </w:r>
      <w:r>
        <w:rPr>
          <w:color w:val="000000"/>
          <w:spacing w:val="1"/>
          <w:position w:val="-1"/>
        </w:rPr>
        <w:t>)</w:t>
      </w:r>
      <w:r>
        <w:rPr>
          <w:color w:val="000000"/>
          <w:position w:val="-1"/>
        </w:rPr>
        <w:t>,</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9" w:line="200" w:lineRule="exact"/>
        <w:rPr>
          <w:color w:val="000000"/>
          <w:sz w:val="20"/>
        </w:rPr>
      </w:pPr>
    </w:p>
    <w:p w:rsidR="004F7425" w:rsidRDefault="004F7425" w:rsidP="004F7425">
      <w:pPr>
        <w:widowControl w:val="0"/>
        <w:autoSpaceDE w:val="0"/>
        <w:autoSpaceDN w:val="0"/>
        <w:adjustRightInd w:val="0"/>
        <w:spacing w:before="44" w:line="250" w:lineRule="exact"/>
        <w:ind w:left="120" w:right="-20"/>
        <w:rPr>
          <w:color w:val="000000"/>
          <w:sz w:val="20"/>
        </w:rPr>
      </w:pPr>
      <w:r>
        <w:rPr>
          <w:noProof/>
          <w:lang w:eastAsia="lt-LT"/>
        </w:rPr>
        <mc:AlternateContent>
          <mc:Choice Requires="wps">
            <w:drawing>
              <wp:anchor distT="0" distB="0" distL="114300" distR="114300" simplePos="0" relativeHeight="251753472" behindDoc="1" locked="0" layoutInCell="0" allowOverlap="1">
                <wp:simplePos x="0" y="0"/>
                <wp:positionH relativeFrom="page">
                  <wp:posOffset>1078865</wp:posOffset>
                </wp:positionH>
                <wp:positionV relativeFrom="paragraph">
                  <wp:posOffset>-26670</wp:posOffset>
                </wp:positionV>
                <wp:extent cx="1830070" cy="12700"/>
                <wp:effectExtent l="12065" t="6350" r="5715" b="0"/>
                <wp:wrapNone/>
                <wp:docPr id="209" name="Laisva forma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12700"/>
                        </a:xfrm>
                        <a:custGeom>
                          <a:avLst/>
                          <a:gdLst>
                            <a:gd name="T0" fmla="*/ 0 w 2882"/>
                            <a:gd name="T1" fmla="*/ 0 h 20"/>
                            <a:gd name="T2" fmla="*/ 2881 w 2882"/>
                            <a:gd name="T3" fmla="*/ 0 h 20"/>
                          </a:gdLst>
                          <a:ahLst/>
                          <a:cxnLst>
                            <a:cxn ang="0">
                              <a:pos x="T0" y="T1"/>
                            </a:cxn>
                            <a:cxn ang="0">
                              <a:pos x="T2" y="T3"/>
                            </a:cxn>
                          </a:cxnLst>
                          <a:rect l="0" t="0" r="r" b="b"/>
                          <a:pathLst>
                            <a:path w="2882" h="20">
                              <a:moveTo>
                                <a:pt x="0" y="0"/>
                              </a:moveTo>
                              <a:lnTo>
                                <a:pt x="2881"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Laisva forma 209" o:spid="_x0000_s1026" style="position:absolute;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4.95pt,-2.1pt,229pt,-2.1pt" coordsize="288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" o:allowincell="f" filled="f" strokeweight=".20458mm">
                <v:path arrowok="t" o:connecttype="custom" o:connectlocs="0,0;1829435,0" o:connectangles="0,0"/>
                <w10:wrap anchorx="page"/>
              </v:polyline>
            </w:pict>
          </mc:Fallback>
        </mc:AlternateContent>
      </w:r>
      <w:r>
        <w:rPr>
          <w:color w:val="000000"/>
          <w:position w:val="8"/>
          <w:sz w:val="13"/>
          <w:szCs w:val="13"/>
        </w:rPr>
        <w:t>7</w:t>
      </w:r>
      <w:r>
        <w:rPr>
          <w:color w:val="000000"/>
          <w:spacing w:val="22"/>
          <w:position w:val="8"/>
          <w:sz w:val="13"/>
          <w:szCs w:val="13"/>
        </w:rPr>
        <w:t xml:space="preserve"> </w:t>
      </w:r>
      <w:r>
        <w:rPr>
          <w:color w:val="000000"/>
          <w:spacing w:val="-2"/>
          <w:position w:val="-1"/>
          <w:sz w:val="20"/>
        </w:rPr>
        <w:t>M</w:t>
      </w:r>
      <w:r>
        <w:rPr>
          <w:color w:val="000000"/>
          <w:position w:val="-1"/>
          <w:sz w:val="20"/>
        </w:rPr>
        <w:t>u</w:t>
      </w:r>
      <w:r>
        <w:rPr>
          <w:color w:val="000000"/>
          <w:spacing w:val="-3"/>
          <w:position w:val="-1"/>
          <w:sz w:val="20"/>
        </w:rPr>
        <w:t>i</w:t>
      </w:r>
      <w:r>
        <w:rPr>
          <w:color w:val="000000"/>
          <w:spacing w:val="2"/>
          <w:position w:val="-1"/>
          <w:sz w:val="20"/>
        </w:rPr>
        <w:t>t</w:t>
      </w:r>
      <w:r>
        <w:rPr>
          <w:color w:val="000000"/>
          <w:spacing w:val="-3"/>
          <w:position w:val="-1"/>
          <w:sz w:val="20"/>
        </w:rPr>
        <w:t>i</w:t>
      </w:r>
      <w:r>
        <w:rPr>
          <w:color w:val="000000"/>
          <w:spacing w:val="5"/>
          <w:position w:val="-1"/>
          <w:sz w:val="20"/>
        </w:rPr>
        <w:t>n</w:t>
      </w:r>
      <w:r>
        <w:rPr>
          <w:color w:val="000000"/>
          <w:spacing w:val="-3"/>
          <w:position w:val="-1"/>
          <w:sz w:val="20"/>
        </w:rPr>
        <w:t>ė</w:t>
      </w:r>
      <w:r>
        <w:rPr>
          <w:color w:val="000000"/>
          <w:position w:val="-1"/>
          <w:sz w:val="20"/>
        </w:rPr>
        <w:t>s</w:t>
      </w:r>
      <w:r>
        <w:rPr>
          <w:color w:val="000000"/>
          <w:spacing w:val="1"/>
          <w:position w:val="-1"/>
          <w:sz w:val="20"/>
        </w:rPr>
        <w:t xml:space="preserve"> </w:t>
      </w:r>
      <w:r>
        <w:rPr>
          <w:color w:val="000000"/>
          <w:spacing w:val="-5"/>
          <w:position w:val="-1"/>
          <w:sz w:val="20"/>
        </w:rPr>
        <w:t>k</w:t>
      </w:r>
      <w:r>
        <w:rPr>
          <w:color w:val="000000"/>
          <w:position w:val="-1"/>
          <w:sz w:val="20"/>
        </w:rPr>
        <w:t>r</w:t>
      </w:r>
      <w:r>
        <w:rPr>
          <w:color w:val="000000"/>
          <w:spacing w:val="1"/>
          <w:position w:val="-1"/>
          <w:sz w:val="20"/>
        </w:rPr>
        <w:t>i</w:t>
      </w:r>
      <w:r>
        <w:rPr>
          <w:color w:val="000000"/>
          <w:spacing w:val="-3"/>
          <w:position w:val="-1"/>
          <w:sz w:val="20"/>
        </w:rPr>
        <w:t>mi</w:t>
      </w:r>
      <w:r>
        <w:rPr>
          <w:color w:val="000000"/>
          <w:spacing w:val="5"/>
          <w:position w:val="-1"/>
          <w:sz w:val="20"/>
        </w:rPr>
        <w:t>n</w:t>
      </w:r>
      <w:r>
        <w:rPr>
          <w:color w:val="000000"/>
          <w:spacing w:val="-3"/>
          <w:position w:val="-1"/>
          <w:sz w:val="20"/>
        </w:rPr>
        <w:t>a</w:t>
      </w:r>
      <w:r>
        <w:rPr>
          <w:color w:val="000000"/>
          <w:spacing w:val="1"/>
          <w:position w:val="-1"/>
          <w:sz w:val="20"/>
        </w:rPr>
        <w:t>l</w:t>
      </w:r>
      <w:r>
        <w:rPr>
          <w:color w:val="000000"/>
          <w:spacing w:val="-3"/>
          <w:position w:val="-1"/>
          <w:sz w:val="20"/>
        </w:rPr>
        <w:t>i</w:t>
      </w:r>
      <w:r>
        <w:rPr>
          <w:color w:val="000000"/>
          <w:spacing w:val="5"/>
          <w:position w:val="-1"/>
          <w:sz w:val="20"/>
        </w:rPr>
        <w:t>n</w:t>
      </w:r>
      <w:r>
        <w:rPr>
          <w:color w:val="000000"/>
          <w:position w:val="-1"/>
          <w:sz w:val="20"/>
        </w:rPr>
        <w:t>ė</w:t>
      </w:r>
      <w:r>
        <w:rPr>
          <w:color w:val="000000"/>
          <w:spacing w:val="-5"/>
          <w:position w:val="-1"/>
          <w:sz w:val="20"/>
        </w:rPr>
        <w:t xml:space="preserve"> </w:t>
      </w:r>
      <w:r>
        <w:rPr>
          <w:color w:val="000000"/>
          <w:spacing w:val="-3"/>
          <w:position w:val="-1"/>
          <w:sz w:val="20"/>
        </w:rPr>
        <w:t>ta</w:t>
      </w:r>
      <w:r>
        <w:rPr>
          <w:color w:val="000000"/>
          <w:position w:val="-1"/>
          <w:sz w:val="20"/>
        </w:rPr>
        <w:t>r</w:t>
      </w:r>
      <w:r>
        <w:rPr>
          <w:color w:val="000000"/>
          <w:spacing w:val="5"/>
          <w:position w:val="-1"/>
          <w:sz w:val="20"/>
        </w:rPr>
        <w:t>n</w:t>
      </w:r>
      <w:r>
        <w:rPr>
          <w:color w:val="000000"/>
          <w:spacing w:val="-5"/>
          <w:position w:val="-1"/>
          <w:sz w:val="20"/>
        </w:rPr>
        <w:t>yb</w:t>
      </w:r>
      <w:r>
        <w:rPr>
          <w:color w:val="000000"/>
          <w:spacing w:val="1"/>
          <w:position w:val="-1"/>
          <w:sz w:val="20"/>
        </w:rPr>
        <w:t>a</w:t>
      </w:r>
      <w:r>
        <w:rPr>
          <w:color w:val="000000"/>
          <w:position w:val="-1"/>
          <w:sz w:val="20"/>
        </w:rPr>
        <w:t>,</w:t>
      </w:r>
      <w:r>
        <w:rPr>
          <w:color w:val="000000"/>
          <w:spacing w:val="5"/>
          <w:position w:val="-1"/>
          <w:sz w:val="20"/>
        </w:rPr>
        <w:t xml:space="preserve"> </w:t>
      </w:r>
      <w:r>
        <w:rPr>
          <w:color w:val="000000"/>
          <w:position w:val="-1"/>
          <w:sz w:val="20"/>
        </w:rPr>
        <w:t>20</w:t>
      </w:r>
      <w:r>
        <w:rPr>
          <w:color w:val="000000"/>
          <w:spacing w:val="-5"/>
          <w:position w:val="-1"/>
          <w:sz w:val="20"/>
        </w:rPr>
        <w:t>1</w:t>
      </w:r>
      <w:r>
        <w:rPr>
          <w:color w:val="000000"/>
          <w:position w:val="-1"/>
          <w:sz w:val="20"/>
        </w:rPr>
        <w:t>2</w:t>
      </w:r>
      <w:r>
        <w:rPr>
          <w:color w:val="000000"/>
          <w:spacing w:val="-2"/>
          <w:position w:val="-1"/>
          <w:sz w:val="20"/>
        </w:rPr>
        <w:t xml:space="preserve"> </w:t>
      </w:r>
      <w:r>
        <w:rPr>
          <w:color w:val="000000"/>
          <w:spacing w:val="1"/>
          <w:position w:val="-1"/>
          <w:sz w:val="20"/>
        </w:rPr>
        <w:t>m</w:t>
      </w:r>
      <w:r>
        <w:rPr>
          <w:color w:val="000000"/>
          <w:position w:val="-1"/>
          <w:sz w:val="20"/>
        </w:rPr>
        <w:t xml:space="preserve">. </w:t>
      </w:r>
      <w:r>
        <w:rPr>
          <w:color w:val="000000"/>
          <w:spacing w:val="-5"/>
          <w:position w:val="-1"/>
          <w:sz w:val="20"/>
        </w:rPr>
        <w:t>p</w:t>
      </w:r>
      <w:r>
        <w:rPr>
          <w:color w:val="000000"/>
          <w:spacing w:val="1"/>
          <w:position w:val="-1"/>
          <w:sz w:val="20"/>
        </w:rPr>
        <w:t>až</w:t>
      </w:r>
      <w:r>
        <w:rPr>
          <w:color w:val="000000"/>
          <w:spacing w:val="-10"/>
          <w:position w:val="-1"/>
          <w:sz w:val="20"/>
        </w:rPr>
        <w:t>y</w:t>
      </w:r>
      <w:r>
        <w:rPr>
          <w:color w:val="000000"/>
          <w:spacing w:val="1"/>
          <w:position w:val="-1"/>
          <w:sz w:val="20"/>
        </w:rPr>
        <w:t>m</w:t>
      </w:r>
      <w:r>
        <w:rPr>
          <w:color w:val="000000"/>
          <w:position w:val="-1"/>
          <w:sz w:val="20"/>
        </w:rPr>
        <w:t>a</w:t>
      </w:r>
      <w:r>
        <w:rPr>
          <w:color w:val="000000"/>
          <w:spacing w:val="4"/>
          <w:position w:val="-1"/>
          <w:sz w:val="20"/>
        </w:rPr>
        <w:t xml:space="preserve"> </w:t>
      </w:r>
      <w:r>
        <w:rPr>
          <w:color w:val="000000"/>
          <w:spacing w:val="-3"/>
          <w:position w:val="-1"/>
          <w:sz w:val="20"/>
        </w:rPr>
        <w:t>a</w:t>
      </w:r>
      <w:r>
        <w:rPr>
          <w:color w:val="000000"/>
          <w:position w:val="-1"/>
          <w:sz w:val="20"/>
        </w:rPr>
        <w:t>p</w:t>
      </w:r>
      <w:r>
        <w:rPr>
          <w:color w:val="000000"/>
          <w:spacing w:val="1"/>
          <w:position w:val="-1"/>
          <w:sz w:val="20"/>
        </w:rPr>
        <w:t>i</w:t>
      </w:r>
      <w:r>
        <w:rPr>
          <w:color w:val="000000"/>
          <w:position w:val="-1"/>
          <w:sz w:val="20"/>
        </w:rPr>
        <w:t>e</w:t>
      </w:r>
      <w:r>
        <w:rPr>
          <w:color w:val="000000"/>
          <w:spacing w:val="-5"/>
          <w:position w:val="-1"/>
          <w:sz w:val="20"/>
        </w:rPr>
        <w:t xml:space="preserve"> </w:t>
      </w:r>
      <w:r>
        <w:rPr>
          <w:color w:val="000000"/>
          <w:spacing w:val="5"/>
          <w:position w:val="-1"/>
          <w:sz w:val="20"/>
        </w:rPr>
        <w:t>n</w:t>
      </w:r>
      <w:r>
        <w:rPr>
          <w:color w:val="000000"/>
          <w:spacing w:val="-3"/>
          <w:position w:val="-1"/>
          <w:sz w:val="20"/>
        </w:rPr>
        <w:t>e</w:t>
      </w:r>
      <w:r>
        <w:rPr>
          <w:color w:val="000000"/>
          <w:spacing w:val="1"/>
          <w:position w:val="-1"/>
          <w:sz w:val="20"/>
        </w:rPr>
        <w:t>t</w:t>
      </w:r>
      <w:r>
        <w:rPr>
          <w:color w:val="000000"/>
          <w:spacing w:val="-3"/>
          <w:position w:val="-1"/>
          <w:sz w:val="20"/>
        </w:rPr>
        <w:t>e</w:t>
      </w:r>
      <w:r>
        <w:rPr>
          <w:color w:val="000000"/>
          <w:spacing w:val="1"/>
          <w:position w:val="-1"/>
          <w:sz w:val="20"/>
        </w:rPr>
        <w:t>i</w:t>
      </w:r>
      <w:r>
        <w:rPr>
          <w:color w:val="000000"/>
          <w:spacing w:val="-2"/>
          <w:position w:val="-1"/>
          <w:sz w:val="20"/>
        </w:rPr>
        <w:t>s</w:t>
      </w:r>
      <w:r>
        <w:rPr>
          <w:color w:val="000000"/>
          <w:spacing w:val="-3"/>
          <w:position w:val="-1"/>
          <w:sz w:val="20"/>
        </w:rPr>
        <w:t>ėt</w:t>
      </w:r>
      <w:r>
        <w:rPr>
          <w:color w:val="000000"/>
          <w:spacing w:val="-5"/>
          <w:position w:val="-1"/>
          <w:sz w:val="20"/>
        </w:rPr>
        <w:t>o</w:t>
      </w:r>
      <w:r>
        <w:rPr>
          <w:color w:val="000000"/>
          <w:position w:val="-1"/>
          <w:sz w:val="20"/>
        </w:rPr>
        <w:t>s</w:t>
      </w:r>
      <w:r>
        <w:rPr>
          <w:color w:val="000000"/>
          <w:spacing w:val="1"/>
          <w:position w:val="-1"/>
          <w:sz w:val="20"/>
        </w:rPr>
        <w:t xml:space="preserve"> </w:t>
      </w:r>
      <w:r>
        <w:rPr>
          <w:color w:val="000000"/>
          <w:spacing w:val="5"/>
          <w:position w:val="-1"/>
          <w:sz w:val="20"/>
        </w:rPr>
        <w:t>n</w:t>
      </w:r>
      <w:r>
        <w:rPr>
          <w:color w:val="000000"/>
          <w:spacing w:val="-3"/>
          <w:position w:val="-1"/>
          <w:sz w:val="20"/>
        </w:rPr>
        <w:t>a</w:t>
      </w:r>
      <w:r>
        <w:rPr>
          <w:color w:val="000000"/>
          <w:position w:val="-1"/>
          <w:sz w:val="20"/>
        </w:rPr>
        <w:t>rk</w:t>
      </w:r>
      <w:r>
        <w:rPr>
          <w:color w:val="000000"/>
          <w:spacing w:val="-5"/>
          <w:position w:val="-1"/>
          <w:sz w:val="20"/>
        </w:rPr>
        <w:t>o</w:t>
      </w:r>
      <w:r>
        <w:rPr>
          <w:color w:val="000000"/>
          <w:spacing w:val="1"/>
          <w:position w:val="-1"/>
          <w:sz w:val="20"/>
        </w:rPr>
        <w:t>ti</w:t>
      </w:r>
      <w:r>
        <w:rPr>
          <w:color w:val="000000"/>
          <w:position w:val="-1"/>
          <w:sz w:val="20"/>
        </w:rPr>
        <w:t>kų</w:t>
      </w:r>
      <w:r>
        <w:rPr>
          <w:color w:val="000000"/>
          <w:spacing w:val="-2"/>
          <w:position w:val="-1"/>
          <w:sz w:val="20"/>
        </w:rPr>
        <w:t xml:space="preserve"> </w:t>
      </w:r>
      <w:r>
        <w:rPr>
          <w:color w:val="000000"/>
          <w:spacing w:val="1"/>
          <w:position w:val="-1"/>
          <w:sz w:val="20"/>
        </w:rPr>
        <w:t>a</w:t>
      </w:r>
      <w:r>
        <w:rPr>
          <w:color w:val="000000"/>
          <w:position w:val="-1"/>
          <w:sz w:val="20"/>
        </w:rPr>
        <w:t>p</w:t>
      </w:r>
      <w:r>
        <w:rPr>
          <w:color w:val="000000"/>
          <w:spacing w:val="-5"/>
          <w:position w:val="-1"/>
          <w:sz w:val="20"/>
        </w:rPr>
        <w:t>yv</w:t>
      </w:r>
      <w:r>
        <w:rPr>
          <w:color w:val="000000"/>
          <w:spacing w:val="1"/>
          <w:position w:val="-1"/>
          <w:sz w:val="20"/>
        </w:rPr>
        <w:t>a</w:t>
      </w:r>
      <w:r>
        <w:rPr>
          <w:color w:val="000000"/>
          <w:position w:val="-1"/>
          <w:sz w:val="20"/>
        </w:rPr>
        <w:t>r</w:t>
      </w:r>
      <w:r>
        <w:rPr>
          <w:color w:val="000000"/>
          <w:spacing w:val="1"/>
          <w:position w:val="-1"/>
          <w:sz w:val="20"/>
        </w:rPr>
        <w:t>t</w:t>
      </w:r>
      <w:r>
        <w:rPr>
          <w:color w:val="000000"/>
          <w:spacing w:val="-5"/>
          <w:position w:val="-1"/>
          <w:sz w:val="20"/>
        </w:rPr>
        <w:t>o</w:t>
      </w:r>
      <w:r>
        <w:rPr>
          <w:color w:val="000000"/>
          <w:position w:val="-1"/>
          <w:sz w:val="20"/>
        </w:rPr>
        <w:t>s</w:t>
      </w:r>
      <w:r>
        <w:rPr>
          <w:color w:val="000000"/>
          <w:spacing w:val="1"/>
          <w:position w:val="-1"/>
          <w:sz w:val="20"/>
        </w:rPr>
        <w:t xml:space="preserve"> </w:t>
      </w:r>
      <w:r>
        <w:rPr>
          <w:color w:val="000000"/>
          <w:position w:val="-1"/>
          <w:sz w:val="20"/>
        </w:rPr>
        <w:t>k</w:t>
      </w:r>
      <w:r>
        <w:rPr>
          <w:color w:val="000000"/>
          <w:spacing w:val="-5"/>
          <w:position w:val="-1"/>
          <w:sz w:val="20"/>
        </w:rPr>
        <w:t>o</w:t>
      </w:r>
      <w:r>
        <w:rPr>
          <w:color w:val="000000"/>
          <w:spacing w:val="5"/>
          <w:position w:val="-1"/>
          <w:sz w:val="20"/>
        </w:rPr>
        <w:t>n</w:t>
      </w:r>
      <w:r>
        <w:rPr>
          <w:color w:val="000000"/>
          <w:spacing w:val="-3"/>
          <w:position w:val="-1"/>
          <w:sz w:val="20"/>
        </w:rPr>
        <w:t>t</w:t>
      </w:r>
      <w:r>
        <w:rPr>
          <w:color w:val="000000"/>
          <w:spacing w:val="5"/>
          <w:position w:val="-1"/>
          <w:sz w:val="20"/>
        </w:rPr>
        <w:t>r</w:t>
      </w:r>
      <w:r>
        <w:rPr>
          <w:color w:val="000000"/>
          <w:spacing w:val="-5"/>
          <w:position w:val="-1"/>
          <w:sz w:val="20"/>
        </w:rPr>
        <w:t>o</w:t>
      </w:r>
      <w:r>
        <w:rPr>
          <w:color w:val="000000"/>
          <w:spacing w:val="1"/>
          <w:position w:val="-1"/>
          <w:sz w:val="20"/>
        </w:rPr>
        <w:t>l</w:t>
      </w:r>
      <w:r>
        <w:rPr>
          <w:color w:val="000000"/>
          <w:position w:val="-1"/>
          <w:sz w:val="20"/>
        </w:rPr>
        <w:t xml:space="preserve">ę </w:t>
      </w:r>
      <w:r>
        <w:rPr>
          <w:color w:val="000000"/>
          <w:spacing w:val="-3"/>
          <w:position w:val="-1"/>
          <w:sz w:val="20"/>
        </w:rPr>
        <w:t>L</w:t>
      </w:r>
      <w:r>
        <w:rPr>
          <w:color w:val="000000"/>
          <w:spacing w:val="1"/>
          <w:position w:val="-1"/>
          <w:sz w:val="20"/>
        </w:rPr>
        <w:t>i</w:t>
      </w:r>
      <w:r>
        <w:rPr>
          <w:color w:val="000000"/>
          <w:spacing w:val="-3"/>
          <w:position w:val="-1"/>
          <w:sz w:val="20"/>
        </w:rPr>
        <w:t>e</w:t>
      </w:r>
      <w:r>
        <w:rPr>
          <w:color w:val="000000"/>
          <w:spacing w:val="1"/>
          <w:position w:val="-1"/>
          <w:sz w:val="20"/>
        </w:rPr>
        <w:t>t</w:t>
      </w:r>
      <w:r>
        <w:rPr>
          <w:color w:val="000000"/>
          <w:position w:val="-1"/>
          <w:sz w:val="20"/>
        </w:rPr>
        <w:t>u</w:t>
      </w:r>
      <w:r>
        <w:rPr>
          <w:color w:val="000000"/>
          <w:spacing w:val="-5"/>
          <w:position w:val="-1"/>
          <w:sz w:val="20"/>
        </w:rPr>
        <w:t>vo</w:t>
      </w:r>
      <w:r>
        <w:rPr>
          <w:color w:val="000000"/>
          <w:spacing w:val="1"/>
          <w:position w:val="-1"/>
          <w:sz w:val="20"/>
        </w:rPr>
        <w:t>j</w:t>
      </w:r>
      <w:r>
        <w:rPr>
          <w:color w:val="000000"/>
          <w:position w:val="-1"/>
          <w:sz w:val="20"/>
        </w:rPr>
        <w:t>e</w:t>
      </w:r>
    </w:p>
    <w:p w:rsidR="004F7425" w:rsidRDefault="004F7425" w:rsidP="004F7425">
      <w:pPr>
        <w:widowControl w:val="0"/>
        <w:autoSpaceDE w:val="0"/>
        <w:autoSpaceDN w:val="0"/>
        <w:adjustRightInd w:val="0"/>
        <w:spacing w:line="235" w:lineRule="exact"/>
        <w:ind w:left="120" w:right="-20"/>
        <w:rPr>
          <w:color w:val="000000"/>
          <w:sz w:val="20"/>
        </w:rPr>
      </w:pPr>
      <w:r>
        <w:rPr>
          <w:color w:val="000000"/>
          <w:position w:val="9"/>
          <w:sz w:val="13"/>
          <w:szCs w:val="13"/>
        </w:rPr>
        <w:t>8</w:t>
      </w:r>
      <w:r>
        <w:rPr>
          <w:color w:val="000000"/>
          <w:spacing w:val="22"/>
          <w:position w:val="9"/>
          <w:sz w:val="13"/>
          <w:szCs w:val="13"/>
        </w:rPr>
        <w:t xml:space="preserve"> </w:t>
      </w:r>
      <w:r>
        <w:rPr>
          <w:color w:val="000000"/>
          <w:spacing w:val="1"/>
          <w:sz w:val="20"/>
        </w:rPr>
        <w:t>E</w:t>
      </w:r>
      <w:r>
        <w:rPr>
          <w:color w:val="000000"/>
          <w:spacing w:val="-2"/>
          <w:sz w:val="20"/>
        </w:rPr>
        <w:t>M</w:t>
      </w:r>
      <w:r>
        <w:rPr>
          <w:color w:val="000000"/>
          <w:sz w:val="20"/>
        </w:rPr>
        <w:t>C</w:t>
      </w:r>
      <w:r>
        <w:rPr>
          <w:color w:val="000000"/>
          <w:spacing w:val="-2"/>
          <w:sz w:val="20"/>
        </w:rPr>
        <w:t>DD</w:t>
      </w:r>
      <w:r>
        <w:rPr>
          <w:color w:val="000000"/>
          <w:sz w:val="20"/>
        </w:rPr>
        <w:t>A</w:t>
      </w:r>
      <w:r>
        <w:rPr>
          <w:color w:val="000000"/>
          <w:spacing w:val="-4"/>
          <w:sz w:val="20"/>
        </w:rPr>
        <w:t xml:space="preserve"> </w:t>
      </w:r>
      <w:r>
        <w:rPr>
          <w:color w:val="000000"/>
          <w:spacing w:val="-2"/>
          <w:sz w:val="20"/>
        </w:rPr>
        <w:t>N</w:t>
      </w:r>
      <w:r>
        <w:rPr>
          <w:color w:val="000000"/>
          <w:spacing w:val="-3"/>
          <w:sz w:val="20"/>
        </w:rPr>
        <w:t>a</w:t>
      </w:r>
      <w:r>
        <w:rPr>
          <w:color w:val="000000"/>
          <w:spacing w:val="5"/>
          <w:sz w:val="20"/>
        </w:rPr>
        <w:t>r</w:t>
      </w:r>
      <w:r>
        <w:rPr>
          <w:color w:val="000000"/>
          <w:sz w:val="20"/>
        </w:rPr>
        <w:t>k</w:t>
      </w:r>
      <w:r>
        <w:rPr>
          <w:color w:val="000000"/>
          <w:spacing w:val="-5"/>
          <w:sz w:val="20"/>
        </w:rPr>
        <w:t>o</w:t>
      </w:r>
      <w:r>
        <w:rPr>
          <w:color w:val="000000"/>
          <w:spacing w:val="1"/>
          <w:sz w:val="20"/>
        </w:rPr>
        <w:t>t</w:t>
      </w:r>
      <w:r>
        <w:rPr>
          <w:color w:val="000000"/>
          <w:spacing w:val="-3"/>
          <w:sz w:val="20"/>
        </w:rPr>
        <w:t>i</w:t>
      </w:r>
      <w:r>
        <w:rPr>
          <w:color w:val="000000"/>
          <w:sz w:val="20"/>
        </w:rPr>
        <w:t>kų</w:t>
      </w:r>
      <w:r>
        <w:rPr>
          <w:color w:val="000000"/>
          <w:spacing w:val="3"/>
          <w:sz w:val="20"/>
        </w:rPr>
        <w:t xml:space="preserve"> </w:t>
      </w:r>
      <w:r>
        <w:rPr>
          <w:color w:val="000000"/>
          <w:spacing w:val="-5"/>
          <w:sz w:val="20"/>
        </w:rPr>
        <w:t>p</w:t>
      </w:r>
      <w:r>
        <w:rPr>
          <w:color w:val="000000"/>
          <w:spacing w:val="5"/>
          <w:sz w:val="20"/>
        </w:rPr>
        <w:t>r</w:t>
      </w:r>
      <w:r>
        <w:rPr>
          <w:color w:val="000000"/>
          <w:spacing w:val="-5"/>
          <w:sz w:val="20"/>
        </w:rPr>
        <w:t>ob</w:t>
      </w:r>
      <w:r>
        <w:rPr>
          <w:color w:val="000000"/>
          <w:spacing w:val="1"/>
          <w:sz w:val="20"/>
        </w:rPr>
        <w:t>l</w:t>
      </w:r>
      <w:r>
        <w:rPr>
          <w:color w:val="000000"/>
          <w:spacing w:val="-3"/>
          <w:sz w:val="20"/>
        </w:rPr>
        <w:t>e</w:t>
      </w:r>
      <w:r>
        <w:rPr>
          <w:color w:val="000000"/>
          <w:spacing w:val="1"/>
          <w:sz w:val="20"/>
        </w:rPr>
        <w:t>m</w:t>
      </w:r>
      <w:r>
        <w:rPr>
          <w:color w:val="000000"/>
          <w:sz w:val="20"/>
        </w:rPr>
        <w:t xml:space="preserve">a </w:t>
      </w:r>
      <w:r>
        <w:rPr>
          <w:color w:val="000000"/>
          <w:spacing w:val="1"/>
          <w:sz w:val="20"/>
        </w:rPr>
        <w:t>E</w:t>
      </w:r>
      <w:r>
        <w:rPr>
          <w:color w:val="000000"/>
          <w:spacing w:val="-5"/>
          <w:sz w:val="20"/>
        </w:rPr>
        <w:t>u</w:t>
      </w:r>
      <w:r>
        <w:rPr>
          <w:color w:val="000000"/>
          <w:spacing w:val="5"/>
          <w:sz w:val="20"/>
        </w:rPr>
        <w:t>r</w:t>
      </w:r>
      <w:r>
        <w:rPr>
          <w:color w:val="000000"/>
          <w:spacing w:val="-5"/>
          <w:sz w:val="20"/>
        </w:rPr>
        <w:t>o</w:t>
      </w:r>
      <w:r>
        <w:rPr>
          <w:color w:val="000000"/>
          <w:sz w:val="20"/>
        </w:rPr>
        <w:t>p</w:t>
      </w:r>
      <w:r>
        <w:rPr>
          <w:color w:val="000000"/>
          <w:spacing w:val="-5"/>
          <w:sz w:val="20"/>
        </w:rPr>
        <w:t>o</w:t>
      </w:r>
      <w:r>
        <w:rPr>
          <w:color w:val="000000"/>
          <w:spacing w:val="-3"/>
          <w:sz w:val="20"/>
        </w:rPr>
        <w:t>je</w:t>
      </w:r>
      <w:r>
        <w:rPr>
          <w:color w:val="000000"/>
          <w:sz w:val="20"/>
        </w:rPr>
        <w:t>,</w:t>
      </w:r>
      <w:r>
        <w:rPr>
          <w:color w:val="000000"/>
          <w:spacing w:val="5"/>
          <w:sz w:val="20"/>
        </w:rPr>
        <w:t xml:space="preserve"> </w:t>
      </w:r>
      <w:r>
        <w:rPr>
          <w:color w:val="000000"/>
          <w:sz w:val="20"/>
        </w:rPr>
        <w:t>2012</w:t>
      </w:r>
      <w:r>
        <w:rPr>
          <w:color w:val="000000"/>
          <w:spacing w:val="-2"/>
          <w:sz w:val="20"/>
        </w:rPr>
        <w:t xml:space="preserve"> </w:t>
      </w:r>
      <w:r>
        <w:rPr>
          <w:color w:val="000000"/>
          <w:spacing w:val="1"/>
          <w:sz w:val="20"/>
        </w:rPr>
        <w:t>m</w:t>
      </w:r>
      <w:r>
        <w:rPr>
          <w:color w:val="000000"/>
          <w:sz w:val="20"/>
        </w:rPr>
        <w:t>.</w:t>
      </w:r>
      <w:r>
        <w:rPr>
          <w:color w:val="000000"/>
          <w:spacing w:val="-4"/>
          <w:sz w:val="20"/>
        </w:rPr>
        <w:t xml:space="preserve"> </w:t>
      </w:r>
      <w:r>
        <w:rPr>
          <w:color w:val="000000"/>
          <w:spacing w:val="1"/>
          <w:sz w:val="20"/>
        </w:rPr>
        <w:t>m</w:t>
      </w:r>
      <w:r>
        <w:rPr>
          <w:color w:val="000000"/>
          <w:spacing w:val="-3"/>
          <w:sz w:val="20"/>
        </w:rPr>
        <w:t>e</w:t>
      </w:r>
      <w:r>
        <w:rPr>
          <w:color w:val="000000"/>
          <w:spacing w:val="1"/>
          <w:sz w:val="20"/>
        </w:rPr>
        <w:t>t</w:t>
      </w:r>
      <w:r>
        <w:rPr>
          <w:color w:val="000000"/>
          <w:spacing w:val="-3"/>
          <w:sz w:val="20"/>
        </w:rPr>
        <w:t>i</w:t>
      </w:r>
      <w:r>
        <w:rPr>
          <w:color w:val="000000"/>
          <w:spacing w:val="5"/>
          <w:sz w:val="20"/>
        </w:rPr>
        <w:t>n</w:t>
      </w:r>
      <w:r>
        <w:rPr>
          <w:color w:val="000000"/>
          <w:sz w:val="20"/>
        </w:rPr>
        <w:t>ė</w:t>
      </w:r>
      <w:r>
        <w:rPr>
          <w:color w:val="000000"/>
          <w:spacing w:val="-5"/>
          <w:sz w:val="20"/>
        </w:rPr>
        <w:t xml:space="preserve"> </w:t>
      </w:r>
      <w:r>
        <w:rPr>
          <w:color w:val="000000"/>
          <w:spacing w:val="1"/>
          <w:sz w:val="20"/>
        </w:rPr>
        <w:t>a</w:t>
      </w:r>
      <w:r>
        <w:rPr>
          <w:color w:val="000000"/>
          <w:spacing w:val="-3"/>
          <w:sz w:val="20"/>
        </w:rPr>
        <w:t>t</w:t>
      </w:r>
      <w:r>
        <w:rPr>
          <w:color w:val="000000"/>
          <w:spacing w:val="1"/>
          <w:sz w:val="20"/>
        </w:rPr>
        <w:t>a</w:t>
      </w:r>
      <w:r>
        <w:rPr>
          <w:color w:val="000000"/>
          <w:spacing w:val="-2"/>
          <w:sz w:val="20"/>
        </w:rPr>
        <w:t>s</w:t>
      </w:r>
      <w:r>
        <w:rPr>
          <w:color w:val="000000"/>
          <w:sz w:val="20"/>
        </w:rPr>
        <w:t>k</w:t>
      </w:r>
      <w:r>
        <w:rPr>
          <w:color w:val="000000"/>
          <w:spacing w:val="1"/>
          <w:sz w:val="20"/>
        </w:rPr>
        <w:t>a</w:t>
      </w:r>
      <w:r>
        <w:rPr>
          <w:color w:val="000000"/>
          <w:spacing w:val="-3"/>
          <w:sz w:val="20"/>
        </w:rPr>
        <w:t>i</w:t>
      </w:r>
      <w:r>
        <w:rPr>
          <w:color w:val="000000"/>
          <w:spacing w:val="1"/>
          <w:sz w:val="20"/>
        </w:rPr>
        <w:t>t</w:t>
      </w:r>
      <w:r>
        <w:rPr>
          <w:color w:val="000000"/>
          <w:sz w:val="20"/>
        </w:rPr>
        <w:t>a</w:t>
      </w:r>
    </w:p>
    <w:p w:rsidR="004F7425" w:rsidRDefault="004F7425" w:rsidP="004F7425">
      <w:pPr>
        <w:widowControl w:val="0"/>
        <w:autoSpaceDE w:val="0"/>
        <w:autoSpaceDN w:val="0"/>
        <w:adjustRightInd w:val="0"/>
        <w:spacing w:line="235" w:lineRule="exact"/>
        <w:ind w:left="120" w:right="-20"/>
        <w:rPr>
          <w:color w:val="000000"/>
          <w:sz w:val="20"/>
        </w:rPr>
        <w:sectPr w:rsidR="004F7425">
          <w:pgSz w:w="11920" w:h="16840"/>
          <w:pgMar w:top="960" w:right="440" w:bottom="280" w:left="1580" w:header="734" w:footer="0" w:gutter="0"/>
          <w:cols w:space="1296" w:equalWidth="0">
            <w:col w:w="990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line="275" w:lineRule="auto"/>
        <w:ind w:left="120" w:right="4162"/>
        <w:jc w:val="both"/>
        <w:rPr>
          <w:color w:val="000000"/>
        </w:rPr>
      </w:pPr>
      <w:r>
        <w:rPr>
          <w:noProof/>
          <w:lang w:eastAsia="lt-LT"/>
        </w:rPr>
        <mc:AlternateContent>
          <mc:Choice Requires="wps">
            <w:drawing>
              <wp:anchor distT="0" distB="0" distL="114300" distR="114300" simplePos="0" relativeHeight="251755520" behindDoc="1" locked="0" layoutInCell="0" allowOverlap="1">
                <wp:simplePos x="0" y="0"/>
                <wp:positionH relativeFrom="page">
                  <wp:posOffset>4719955</wp:posOffset>
                </wp:positionH>
                <wp:positionV relativeFrom="paragraph">
                  <wp:posOffset>33020</wp:posOffset>
                </wp:positionV>
                <wp:extent cx="2336800" cy="1739900"/>
                <wp:effectExtent l="0" t="2540" r="1270" b="635"/>
                <wp:wrapNone/>
                <wp:docPr id="208" name="Stačiakampis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0" cy="1739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2740" w:lineRule="atLeast"/>
                            </w:pPr>
                            <w:r>
                              <w:rPr>
                                <w:noProof/>
                                <w:lang w:eastAsia="lt-LT"/>
                              </w:rPr>
                              <w:drawing>
                                <wp:inline distT="0" distB="0" distL="0" distR="0" wp14:anchorId="73A617B5" wp14:editId="45E87F60">
                                  <wp:extent cx="2343150" cy="1743075"/>
                                  <wp:effectExtent l="0" t="0" r="0" b="9525"/>
                                  <wp:docPr id="207" name="Paveikslėlis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343150" cy="174307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08" o:spid="_x0000_s1074" style="position:absolute;left:0;text-align:left;margin-left:371.65pt;margin-top:2.6pt;width:184pt;height:137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" o:allowincell="f" filled="f" stroked="f">
                <v:textbox inset="0,0,0,0">
                  <w:txbxContent>
                    <w:p w:rsidR="004F7425" w:rsidRDefault="004F7425" w:rsidP="004F7425">
                      <w:pPr>
                        <w:spacing w:line="2740" w:lineRule="atLeast"/>
                      </w:pPr>
                      <w:r>
                        <w:rPr>
                          <w:noProof/>
                          <w:lang w:eastAsia="lt-LT"/>
                        </w:rPr>
                        <w:drawing>
                          <wp:inline distT="0" distB="0" distL="0" distR="0" wp14:anchorId="73A617B5" wp14:editId="45E87F60">
                            <wp:extent cx="2343150" cy="1743075"/>
                            <wp:effectExtent l="0" t="0" r="0" b="9525"/>
                            <wp:docPr id="207" name="Paveikslėlis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343150" cy="174307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9"/>
        </w:rPr>
        <w:t>i</w:t>
      </w:r>
      <w:r>
        <w:rPr>
          <w:color w:val="000000"/>
        </w:rPr>
        <w:t>ų</w:t>
      </w:r>
      <w:r>
        <w:rPr>
          <w:color w:val="000000"/>
          <w:spacing w:val="9"/>
        </w:rPr>
        <w:t xml:space="preserve"> </w:t>
      </w:r>
      <w:r>
        <w:rPr>
          <w:color w:val="000000"/>
          <w:spacing w:val="-9"/>
        </w:rPr>
        <w:t>i</w:t>
      </w:r>
      <w:r>
        <w:rPr>
          <w:color w:val="000000"/>
        </w:rPr>
        <w:t>r</w:t>
      </w:r>
      <w:r>
        <w:rPr>
          <w:color w:val="000000"/>
          <w:spacing w:val="1"/>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5"/>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 xml:space="preserve">gų </w:t>
      </w:r>
      <w:r>
        <w:rPr>
          <w:color w:val="000000"/>
          <w:spacing w:val="2"/>
        </w:rPr>
        <w:t>s</w:t>
      </w:r>
      <w:r>
        <w:rPr>
          <w:color w:val="000000"/>
          <w:spacing w:val="-1"/>
        </w:rPr>
        <w:t>ą</w:t>
      </w:r>
      <w:r>
        <w:rPr>
          <w:color w:val="000000"/>
          <w:spacing w:val="1"/>
        </w:rPr>
        <w:t>r</w:t>
      </w:r>
      <w:r>
        <w:rPr>
          <w:color w:val="000000"/>
          <w:spacing w:val="-1"/>
        </w:rPr>
        <w:t>a</w:t>
      </w:r>
      <w:r>
        <w:rPr>
          <w:color w:val="000000"/>
          <w:spacing w:val="-2"/>
        </w:rPr>
        <w:t>š</w:t>
      </w:r>
      <w:r>
        <w:rPr>
          <w:color w:val="000000"/>
          <w:spacing w:val="4"/>
        </w:rPr>
        <w:t>a</w:t>
      </w:r>
      <w:r>
        <w:rPr>
          <w:color w:val="000000"/>
        </w:rPr>
        <w:t xml:space="preserve">i </w:t>
      </w:r>
      <w:r>
        <w:rPr>
          <w:color w:val="000000"/>
          <w:spacing w:val="-5"/>
        </w:rPr>
        <w:t>b</w:t>
      </w:r>
      <w:r>
        <w:rPr>
          <w:color w:val="000000"/>
          <w:spacing w:val="5"/>
        </w:rPr>
        <w:t>u</w:t>
      </w:r>
      <w:r>
        <w:rPr>
          <w:color w:val="000000"/>
          <w:spacing w:val="-5"/>
        </w:rPr>
        <w:t>v</w:t>
      </w:r>
      <w:r>
        <w:rPr>
          <w:color w:val="000000"/>
        </w:rPr>
        <w:t>o p</w:t>
      </w:r>
      <w:r>
        <w:rPr>
          <w:color w:val="000000"/>
          <w:spacing w:val="-1"/>
        </w:rPr>
        <w:t>a</w:t>
      </w:r>
      <w:r>
        <w:rPr>
          <w:color w:val="000000"/>
          <w:spacing w:val="5"/>
        </w:rPr>
        <w:t>p</w:t>
      </w:r>
      <w:r>
        <w:rPr>
          <w:color w:val="000000"/>
          <w:spacing w:val="-4"/>
        </w:rPr>
        <w:t>il</w:t>
      </w:r>
      <w:r>
        <w:rPr>
          <w:color w:val="000000"/>
          <w:spacing w:val="5"/>
        </w:rPr>
        <w:t>d</w:t>
      </w:r>
      <w:r>
        <w:rPr>
          <w:color w:val="000000"/>
          <w:spacing w:val="-10"/>
        </w:rPr>
        <w:t>y</w:t>
      </w:r>
      <w:r>
        <w:rPr>
          <w:color w:val="000000"/>
          <w:spacing w:val="10"/>
        </w:rPr>
        <w:t>t</w:t>
      </w:r>
      <w:r>
        <w:rPr>
          <w:color w:val="000000"/>
        </w:rPr>
        <w:t xml:space="preserve">i </w:t>
      </w:r>
      <w:r>
        <w:rPr>
          <w:color w:val="000000"/>
          <w:spacing w:val="4"/>
        </w:rPr>
        <w:t>a</w:t>
      </w:r>
      <w:r>
        <w:rPr>
          <w:color w:val="000000"/>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spacing w:val="5"/>
        </w:rPr>
        <w:t>o</w:t>
      </w:r>
      <w:r>
        <w:rPr>
          <w:color w:val="000000"/>
        </w:rPr>
        <w:t>,</w:t>
      </w:r>
      <w:r>
        <w:rPr>
          <w:color w:val="000000"/>
          <w:spacing w:val="6"/>
        </w:rPr>
        <w:t xml:space="preserve"> </w:t>
      </w:r>
      <w:r>
        <w:rPr>
          <w:color w:val="000000"/>
          <w:spacing w:val="5"/>
        </w:rPr>
        <w:t>p</w:t>
      </w:r>
      <w:r>
        <w:rPr>
          <w:color w:val="000000"/>
          <w:spacing w:val="-4"/>
        </w:rPr>
        <w:t>i</w:t>
      </w:r>
      <w:r>
        <w:rPr>
          <w:color w:val="000000"/>
        </w:rPr>
        <w:t>p</w:t>
      </w:r>
      <w:r>
        <w:rPr>
          <w:color w:val="000000"/>
          <w:spacing w:val="-1"/>
        </w:rPr>
        <w:t>e</w:t>
      </w:r>
      <w:r>
        <w:rPr>
          <w:color w:val="000000"/>
          <w:spacing w:val="1"/>
        </w:rPr>
        <w:t>r</w:t>
      </w:r>
      <w:r>
        <w:rPr>
          <w:color w:val="000000"/>
          <w:spacing w:val="-1"/>
        </w:rPr>
        <w:t>a</w:t>
      </w:r>
      <w:r>
        <w:rPr>
          <w:color w:val="000000"/>
          <w:spacing w:val="4"/>
        </w:rPr>
        <w:t>z</w:t>
      </w:r>
      <w:r>
        <w:rPr>
          <w:color w:val="000000"/>
        </w:rPr>
        <w:t>i</w:t>
      </w:r>
      <w:r>
        <w:rPr>
          <w:color w:val="000000"/>
          <w:spacing w:val="-5"/>
        </w:rPr>
        <w:t>n</w:t>
      </w:r>
      <w:r>
        <w:rPr>
          <w:color w:val="000000"/>
          <w:spacing w:val="5"/>
        </w:rPr>
        <w:t>o</w:t>
      </w:r>
      <w:r>
        <w:rPr>
          <w:color w:val="000000"/>
        </w:rPr>
        <w:t>,</w:t>
      </w:r>
      <w:r>
        <w:rPr>
          <w:color w:val="000000"/>
          <w:spacing w:val="6"/>
        </w:rPr>
        <w:t xml:space="preserve"> </w:t>
      </w:r>
      <w:r>
        <w:rPr>
          <w:color w:val="000000"/>
          <w:spacing w:val="5"/>
        </w:rPr>
        <w:t>p</w:t>
      </w:r>
      <w:r>
        <w:rPr>
          <w:color w:val="000000"/>
          <w:spacing w:val="-9"/>
        </w:rPr>
        <w:t>i</w:t>
      </w:r>
      <w:r>
        <w:rPr>
          <w:color w:val="000000"/>
          <w:spacing w:val="1"/>
        </w:rPr>
        <w:t>r</w:t>
      </w:r>
      <w:r>
        <w:rPr>
          <w:color w:val="000000"/>
          <w:spacing w:val="5"/>
        </w:rPr>
        <w:t>o</w:t>
      </w:r>
      <w:r>
        <w:rPr>
          <w:color w:val="000000"/>
          <w:spacing w:val="-5"/>
        </w:rPr>
        <w:t>v</w:t>
      </w:r>
      <w:r>
        <w:rPr>
          <w:color w:val="000000"/>
          <w:spacing w:val="4"/>
        </w:rPr>
        <w:t>a</w:t>
      </w:r>
      <w:r>
        <w:rPr>
          <w:color w:val="000000"/>
          <w:spacing w:val="-4"/>
        </w:rPr>
        <w:t>l</w:t>
      </w:r>
      <w:r>
        <w:rPr>
          <w:color w:val="000000"/>
          <w:spacing w:val="-1"/>
        </w:rPr>
        <w:t>e</w:t>
      </w:r>
      <w:r>
        <w:rPr>
          <w:color w:val="000000"/>
          <w:spacing w:val="1"/>
        </w:rPr>
        <w:t>r</w:t>
      </w:r>
      <w:r>
        <w:rPr>
          <w:color w:val="000000"/>
          <w:spacing w:val="5"/>
        </w:rPr>
        <w:t>o</w:t>
      </w:r>
      <w:r>
        <w:rPr>
          <w:color w:val="000000"/>
          <w:spacing w:val="-5"/>
        </w:rPr>
        <w:t>n</w:t>
      </w:r>
      <w:r>
        <w:rPr>
          <w:color w:val="000000"/>
        </w:rPr>
        <w:t>o</w:t>
      </w:r>
      <w:r>
        <w:rPr>
          <w:color w:val="000000"/>
          <w:spacing w:val="13"/>
        </w:rPr>
        <w:t xml:space="preserve"> </w:t>
      </w:r>
      <w:r>
        <w:rPr>
          <w:color w:val="000000"/>
          <w:spacing w:val="-9"/>
        </w:rPr>
        <w:t>i</w:t>
      </w:r>
      <w:r>
        <w:rPr>
          <w:color w:val="000000"/>
        </w:rPr>
        <w:t xml:space="preserve">r </w:t>
      </w:r>
      <w:r>
        <w:rPr>
          <w:color w:val="000000"/>
          <w:spacing w:val="5"/>
        </w:rPr>
        <w:t>t</w:t>
      </w:r>
      <w:r>
        <w:rPr>
          <w:color w:val="000000"/>
          <w:spacing w:val="1"/>
        </w:rPr>
        <w:t>r</w:t>
      </w:r>
      <w:r>
        <w:rPr>
          <w:color w:val="000000"/>
          <w:spacing w:val="-9"/>
        </w:rPr>
        <w:t>i</w:t>
      </w:r>
      <w:r>
        <w:rPr>
          <w:color w:val="000000"/>
        </w:rPr>
        <w:t>p</w:t>
      </w:r>
      <w:r>
        <w:rPr>
          <w:color w:val="000000"/>
          <w:spacing w:val="5"/>
        </w:rPr>
        <w:t>t</w:t>
      </w:r>
      <w:r>
        <w:rPr>
          <w:color w:val="000000"/>
          <w:spacing w:val="-1"/>
        </w:rPr>
        <w:t>a</w:t>
      </w:r>
      <w:r>
        <w:rPr>
          <w:color w:val="000000"/>
          <w:spacing w:val="-4"/>
        </w:rPr>
        <w:t>mi</w:t>
      </w:r>
      <w:r>
        <w:rPr>
          <w:color w:val="000000"/>
          <w:spacing w:val="-5"/>
        </w:rPr>
        <w:t>n</w:t>
      </w:r>
      <w:r>
        <w:rPr>
          <w:color w:val="000000"/>
        </w:rPr>
        <w:t>o</w:t>
      </w:r>
      <w:r>
        <w:rPr>
          <w:color w:val="000000"/>
          <w:spacing w:val="7"/>
        </w:rPr>
        <w:t xml:space="preserve"> </w:t>
      </w:r>
      <w:r>
        <w:rPr>
          <w:color w:val="000000"/>
        </w:rPr>
        <w:t>d</w:t>
      </w:r>
      <w:r>
        <w:rPr>
          <w:color w:val="000000"/>
          <w:spacing w:val="-1"/>
        </w:rPr>
        <w:t>a</w:t>
      </w:r>
      <w:r>
        <w:rPr>
          <w:color w:val="000000"/>
          <w:spacing w:val="6"/>
        </w:rPr>
        <w:t>r</w:t>
      </w:r>
      <w:r>
        <w:rPr>
          <w:color w:val="000000"/>
          <w:spacing w:val="-4"/>
        </w:rPr>
        <w:t>i</w:t>
      </w:r>
      <w:r>
        <w:rPr>
          <w:color w:val="000000"/>
        </w:rPr>
        <w:t>n</w:t>
      </w:r>
      <w:r>
        <w:rPr>
          <w:color w:val="000000"/>
          <w:spacing w:val="-4"/>
        </w:rPr>
        <w:t>i</w:t>
      </w:r>
      <w:r>
        <w:rPr>
          <w:color w:val="000000"/>
        </w:rPr>
        <w:t>ų</w:t>
      </w:r>
      <w:r>
        <w:rPr>
          <w:color w:val="000000"/>
          <w:spacing w:val="2"/>
        </w:rPr>
        <w:t xml:space="preserve"> </w:t>
      </w:r>
      <w:r>
        <w:rPr>
          <w:color w:val="000000"/>
        </w:rPr>
        <w:t>g</w:t>
      </w:r>
      <w:r>
        <w:rPr>
          <w:color w:val="000000"/>
          <w:spacing w:val="1"/>
        </w:rPr>
        <w:t>r</w:t>
      </w:r>
      <w:r>
        <w:rPr>
          <w:color w:val="000000"/>
        </w:rPr>
        <w:t>up</w:t>
      </w:r>
      <w:r>
        <w:rPr>
          <w:color w:val="000000"/>
          <w:spacing w:val="4"/>
        </w:rPr>
        <w:t>ė</w:t>
      </w:r>
      <w:r>
        <w:rPr>
          <w:color w:val="000000"/>
          <w:spacing w:val="-4"/>
        </w:rPr>
        <w:t>mi</w:t>
      </w:r>
      <w:r>
        <w:rPr>
          <w:color w:val="000000"/>
          <w:spacing w:val="-2"/>
        </w:rPr>
        <w:t>s</w:t>
      </w:r>
      <w:r>
        <w:rPr>
          <w:color w:val="000000"/>
        </w:rPr>
        <w:t>.</w:t>
      </w:r>
    </w:p>
    <w:p w:rsidR="004F7425" w:rsidRDefault="004F7425" w:rsidP="004F7425">
      <w:pPr>
        <w:widowControl w:val="0"/>
        <w:autoSpaceDE w:val="0"/>
        <w:autoSpaceDN w:val="0"/>
        <w:adjustRightInd w:val="0"/>
        <w:spacing w:before="2"/>
        <w:ind w:left="120" w:right="4150" w:firstLine="721"/>
        <w:jc w:val="both"/>
        <w:rPr>
          <w:color w:val="000000"/>
        </w:rPr>
      </w:pPr>
      <w:r>
        <w:rPr>
          <w:color w:val="000000"/>
        </w:rPr>
        <w:t>D</w:t>
      </w:r>
      <w:r>
        <w:rPr>
          <w:color w:val="000000"/>
          <w:spacing w:val="3"/>
        </w:rPr>
        <w:t>ė</w:t>
      </w:r>
      <w:r>
        <w:rPr>
          <w:color w:val="000000"/>
        </w:rPr>
        <w:t xml:space="preserve">l </w:t>
      </w:r>
      <w:r>
        <w:rPr>
          <w:color w:val="000000"/>
          <w:spacing w:val="2"/>
        </w:rPr>
        <w:t>š</w:t>
      </w:r>
      <w:r>
        <w:rPr>
          <w:color w:val="000000"/>
          <w:spacing w:val="-4"/>
        </w:rPr>
        <w:t>i</w:t>
      </w:r>
      <w:r>
        <w:rPr>
          <w:color w:val="000000"/>
        </w:rPr>
        <w:t>ų</w:t>
      </w:r>
      <w:r>
        <w:rPr>
          <w:color w:val="000000"/>
          <w:spacing w:val="5"/>
        </w:rPr>
        <w:t xml:space="preserve"> t</w:t>
      </w:r>
      <w:r>
        <w:rPr>
          <w:color w:val="000000"/>
          <w:spacing w:val="4"/>
        </w:rPr>
        <w:t>e</w:t>
      </w:r>
      <w:r>
        <w:rPr>
          <w:color w:val="000000"/>
          <w:spacing w:val="-4"/>
        </w:rPr>
        <w:t>i</w:t>
      </w:r>
      <w:r>
        <w:rPr>
          <w:color w:val="000000"/>
          <w:spacing w:val="-2"/>
        </w:rPr>
        <w:t>s</w:t>
      </w:r>
      <w:r>
        <w:rPr>
          <w:color w:val="000000"/>
          <w:spacing w:val="-1"/>
        </w:rPr>
        <w:t>ė</w:t>
      </w:r>
      <w:r>
        <w:rPr>
          <w:color w:val="000000"/>
        </w:rPr>
        <w:t>s</w:t>
      </w:r>
      <w:r>
        <w:rPr>
          <w:color w:val="000000"/>
          <w:spacing w:val="7"/>
        </w:rPr>
        <w:t xml:space="preserve"> </w:t>
      </w:r>
      <w:r>
        <w:rPr>
          <w:color w:val="000000"/>
          <w:spacing w:val="-1"/>
        </w:rPr>
        <w:t>a</w:t>
      </w:r>
      <w:r>
        <w:rPr>
          <w:color w:val="000000"/>
        </w:rPr>
        <w:t>k</w:t>
      </w:r>
      <w:r>
        <w:rPr>
          <w:color w:val="000000"/>
          <w:spacing w:val="5"/>
        </w:rPr>
        <w:t>t</w:t>
      </w:r>
      <w:r>
        <w:rPr>
          <w:color w:val="000000"/>
        </w:rPr>
        <w:t>ų</w:t>
      </w:r>
      <w:r>
        <w:rPr>
          <w:color w:val="000000"/>
          <w:spacing w:val="5"/>
        </w:rPr>
        <w:t xml:space="preserve"> </w:t>
      </w:r>
      <w:r>
        <w:rPr>
          <w:color w:val="000000"/>
        </w:rPr>
        <w:t>p</w:t>
      </w:r>
      <w:r>
        <w:rPr>
          <w:color w:val="000000"/>
          <w:spacing w:val="-1"/>
        </w:rPr>
        <w:t>a</w:t>
      </w:r>
      <w:r>
        <w:rPr>
          <w:color w:val="000000"/>
        </w:rPr>
        <w:t>k</w:t>
      </w:r>
      <w:r>
        <w:rPr>
          <w:color w:val="000000"/>
          <w:spacing w:val="4"/>
        </w:rPr>
        <w:t>e</w:t>
      </w:r>
      <w:r>
        <w:rPr>
          <w:color w:val="000000"/>
          <w:spacing w:val="-9"/>
        </w:rPr>
        <w:t>i</w:t>
      </w:r>
      <w:r>
        <w:rPr>
          <w:color w:val="000000"/>
          <w:spacing w:val="10"/>
        </w:rPr>
        <w:t>t</w:t>
      </w:r>
      <w:r>
        <w:rPr>
          <w:color w:val="000000"/>
          <w:spacing w:val="-4"/>
        </w:rPr>
        <w:t>i</w:t>
      </w:r>
      <w:r>
        <w:rPr>
          <w:color w:val="000000"/>
          <w:spacing w:val="-9"/>
        </w:rPr>
        <w:t>m</w:t>
      </w:r>
      <w:r>
        <w:rPr>
          <w:color w:val="000000"/>
          <w:spacing w:val="5"/>
        </w:rPr>
        <w:t>o</w:t>
      </w:r>
      <w:r>
        <w:rPr>
          <w:color w:val="000000"/>
        </w:rPr>
        <w:t>,</w:t>
      </w:r>
      <w:r>
        <w:rPr>
          <w:color w:val="000000"/>
          <w:spacing w:val="12"/>
        </w:rPr>
        <w:t xml:space="preserve"> </w:t>
      </w:r>
      <w:r>
        <w:rPr>
          <w:color w:val="000000"/>
          <w:spacing w:val="-4"/>
        </w:rPr>
        <w:t>j</w:t>
      </w:r>
      <w:r>
        <w:rPr>
          <w:color w:val="000000"/>
          <w:spacing w:val="-1"/>
        </w:rPr>
        <w:t>a</w:t>
      </w:r>
      <w:r>
        <w:rPr>
          <w:color w:val="000000"/>
        </w:rPr>
        <w:t>u</w:t>
      </w:r>
      <w:r>
        <w:rPr>
          <w:color w:val="000000"/>
          <w:spacing w:val="5"/>
        </w:rPr>
        <w:t xml:space="preserve"> p</w:t>
      </w:r>
      <w:r>
        <w:rPr>
          <w:color w:val="000000"/>
          <w:spacing w:val="-1"/>
        </w:rPr>
        <w:t>e</w:t>
      </w:r>
      <w:r>
        <w:rPr>
          <w:color w:val="000000"/>
          <w:spacing w:val="1"/>
        </w:rPr>
        <w:t>r</w:t>
      </w:r>
      <w:r>
        <w:rPr>
          <w:color w:val="000000"/>
          <w:spacing w:val="-5"/>
        </w:rPr>
        <w:t>n</w:t>
      </w:r>
      <w:r>
        <w:rPr>
          <w:color w:val="000000"/>
          <w:spacing w:val="4"/>
        </w:rPr>
        <w:t>a</w:t>
      </w:r>
      <w:r>
        <w:rPr>
          <w:color w:val="000000"/>
        </w:rPr>
        <w:t>i</w:t>
      </w:r>
      <w:r>
        <w:rPr>
          <w:color w:val="000000"/>
          <w:spacing w:val="5"/>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rPr>
        <w:t>s p</w:t>
      </w:r>
      <w:r>
        <w:rPr>
          <w:color w:val="000000"/>
          <w:spacing w:val="1"/>
        </w:rPr>
        <w:t>r</w:t>
      </w:r>
      <w:r>
        <w:rPr>
          <w:color w:val="000000"/>
          <w:spacing w:val="5"/>
        </w:rPr>
        <w:t>o</w:t>
      </w:r>
      <w:r>
        <w:rPr>
          <w:color w:val="000000"/>
        </w:rPr>
        <w:t>g</w:t>
      </w:r>
      <w:r>
        <w:rPr>
          <w:color w:val="000000"/>
          <w:spacing w:val="-5"/>
        </w:rPr>
        <w:t>n</w:t>
      </w:r>
      <w:r>
        <w:rPr>
          <w:color w:val="000000"/>
          <w:spacing w:val="5"/>
        </w:rPr>
        <w:t>o</w:t>
      </w:r>
      <w:r>
        <w:rPr>
          <w:color w:val="000000"/>
          <w:spacing w:val="-1"/>
        </w:rPr>
        <w:t>za</w:t>
      </w:r>
      <w:r>
        <w:rPr>
          <w:color w:val="000000"/>
          <w:spacing w:val="-5"/>
        </w:rPr>
        <w:t>v</w:t>
      </w:r>
      <w:r>
        <w:rPr>
          <w:color w:val="000000"/>
          <w:spacing w:val="5"/>
        </w:rPr>
        <w:t>o</w:t>
      </w:r>
      <w:r>
        <w:rPr>
          <w:color w:val="000000"/>
          <w:spacing w:val="-9"/>
        </w:rPr>
        <w:t>m</w:t>
      </w:r>
      <w:r>
        <w:rPr>
          <w:color w:val="000000"/>
          <w:spacing w:val="-1"/>
        </w:rPr>
        <w:t>e</w:t>
      </w:r>
      <w:r>
        <w:rPr>
          <w:color w:val="000000"/>
        </w:rPr>
        <w:t>,</w:t>
      </w:r>
      <w:r>
        <w:rPr>
          <w:color w:val="000000"/>
          <w:spacing w:val="19"/>
        </w:rPr>
        <w:t xml:space="preserve"> </w:t>
      </w:r>
      <w:r>
        <w:rPr>
          <w:color w:val="000000"/>
        </w:rPr>
        <w:t>k</w:t>
      </w:r>
      <w:r>
        <w:rPr>
          <w:color w:val="000000"/>
          <w:spacing w:val="-1"/>
        </w:rPr>
        <w:t>a</w:t>
      </w:r>
      <w:r>
        <w:rPr>
          <w:color w:val="000000"/>
        </w:rPr>
        <w:t>d</w:t>
      </w:r>
      <w:r>
        <w:rPr>
          <w:color w:val="000000"/>
          <w:spacing w:val="17"/>
        </w:rPr>
        <w:t xml:space="preserve"> </w:t>
      </w:r>
      <w:r>
        <w:rPr>
          <w:color w:val="000000"/>
          <w:spacing w:val="5"/>
        </w:rPr>
        <w:t>t</w:t>
      </w:r>
      <w:r>
        <w:rPr>
          <w:color w:val="000000"/>
          <w:spacing w:val="-1"/>
        </w:rPr>
        <w:t>a</w:t>
      </w:r>
      <w:r>
        <w:rPr>
          <w:color w:val="000000"/>
        </w:rPr>
        <w:t>i</w:t>
      </w:r>
      <w:r>
        <w:rPr>
          <w:color w:val="000000"/>
          <w:spacing w:val="7"/>
        </w:rPr>
        <w:t xml:space="preserve"> </w:t>
      </w:r>
      <w:r>
        <w:rPr>
          <w:color w:val="000000"/>
          <w:spacing w:val="5"/>
        </w:rPr>
        <w:t>t</w:t>
      </w:r>
      <w:r>
        <w:rPr>
          <w:color w:val="000000"/>
        </w:rPr>
        <w:t>u</w:t>
      </w:r>
      <w:r>
        <w:rPr>
          <w:color w:val="000000"/>
          <w:spacing w:val="1"/>
        </w:rPr>
        <w:t>r</w:t>
      </w:r>
      <w:r>
        <w:rPr>
          <w:color w:val="000000"/>
          <w:spacing w:val="-1"/>
        </w:rPr>
        <w:t>ė</w:t>
      </w:r>
      <w:r>
        <w:rPr>
          <w:color w:val="000000"/>
        </w:rPr>
        <w:t>s</w:t>
      </w:r>
      <w:r>
        <w:rPr>
          <w:color w:val="000000"/>
          <w:spacing w:val="14"/>
        </w:rPr>
        <w:t xml:space="preserve"> </w:t>
      </w:r>
      <w:r>
        <w:rPr>
          <w:color w:val="000000"/>
          <w:spacing w:val="-5"/>
        </w:rPr>
        <w:t>n</w:t>
      </w:r>
      <w:r>
        <w:rPr>
          <w:color w:val="000000"/>
        </w:rPr>
        <w:t>e</w:t>
      </w:r>
      <w:r>
        <w:rPr>
          <w:color w:val="000000"/>
          <w:spacing w:val="16"/>
        </w:rPr>
        <w:t xml:space="preserve"> </w:t>
      </w:r>
      <w:r>
        <w:rPr>
          <w:color w:val="000000"/>
          <w:spacing w:val="10"/>
        </w:rPr>
        <w:t>t</w:t>
      </w:r>
      <w:r>
        <w:rPr>
          <w:color w:val="000000"/>
          <w:spacing w:val="-9"/>
        </w:rPr>
        <w:t>i</w:t>
      </w:r>
      <w:r>
        <w:rPr>
          <w:color w:val="000000"/>
        </w:rPr>
        <w:t>k</w:t>
      </w:r>
      <w:r>
        <w:rPr>
          <w:color w:val="000000"/>
          <w:spacing w:val="17"/>
        </w:rPr>
        <w:t xml:space="preserve"> </w:t>
      </w:r>
      <w:r>
        <w:rPr>
          <w:color w:val="000000"/>
          <w:spacing w:val="5"/>
        </w:rPr>
        <w:t>t</w:t>
      </w:r>
      <w:r>
        <w:rPr>
          <w:color w:val="000000"/>
          <w:spacing w:val="-1"/>
        </w:rPr>
        <w:t>e</w:t>
      </w:r>
      <w:r>
        <w:rPr>
          <w:color w:val="000000"/>
          <w:spacing w:val="-9"/>
        </w:rPr>
        <w:t>i</w:t>
      </w:r>
      <w:r>
        <w:rPr>
          <w:color w:val="000000"/>
          <w:spacing w:val="5"/>
        </w:rPr>
        <w:t>g</w:t>
      </w:r>
      <w:r>
        <w:rPr>
          <w:color w:val="000000"/>
          <w:spacing w:val="-4"/>
        </w:rPr>
        <w:t>i</w:t>
      </w:r>
      <w:r>
        <w:rPr>
          <w:color w:val="000000"/>
          <w:spacing w:val="4"/>
        </w:rPr>
        <w:t>a</w:t>
      </w:r>
      <w:r>
        <w:rPr>
          <w:color w:val="000000"/>
          <w:spacing w:val="-4"/>
        </w:rPr>
        <w:t>m</w:t>
      </w:r>
      <w:r>
        <w:rPr>
          <w:color w:val="000000"/>
        </w:rPr>
        <w:t>ų</w:t>
      </w:r>
      <w:r>
        <w:rPr>
          <w:color w:val="000000"/>
          <w:spacing w:val="17"/>
        </w:rPr>
        <w:t xml:space="preserve"> </w:t>
      </w:r>
      <w:r>
        <w:rPr>
          <w:color w:val="000000"/>
          <w:spacing w:val="4"/>
        </w:rPr>
        <w:t>a</w:t>
      </w:r>
      <w:r>
        <w:rPr>
          <w:color w:val="000000"/>
          <w:spacing w:val="-2"/>
        </w:rPr>
        <w:t>s</w:t>
      </w:r>
      <w:r>
        <w:rPr>
          <w:color w:val="000000"/>
        </w:rPr>
        <w:t>p</w:t>
      </w:r>
      <w:r>
        <w:rPr>
          <w:color w:val="000000"/>
          <w:spacing w:val="4"/>
        </w:rPr>
        <w:t>e</w:t>
      </w:r>
      <w:r>
        <w:rPr>
          <w:color w:val="000000"/>
        </w:rPr>
        <w:t>k</w:t>
      </w:r>
      <w:r>
        <w:rPr>
          <w:color w:val="000000"/>
          <w:spacing w:val="5"/>
        </w:rPr>
        <w:t>t</w:t>
      </w:r>
      <w:r>
        <w:rPr>
          <w:color w:val="000000"/>
          <w:spacing w:val="-5"/>
        </w:rPr>
        <w:t>ų</w:t>
      </w:r>
      <w:r>
        <w:rPr>
          <w:color w:val="000000"/>
        </w:rPr>
        <w:t>,</w:t>
      </w:r>
      <w:r>
        <w:rPr>
          <w:color w:val="000000"/>
          <w:spacing w:val="19"/>
        </w:rPr>
        <w:t xml:space="preserve"> </w:t>
      </w:r>
      <w:r>
        <w:rPr>
          <w:color w:val="000000"/>
          <w:spacing w:val="-5"/>
        </w:rPr>
        <w:t>b</w:t>
      </w:r>
      <w:r>
        <w:rPr>
          <w:color w:val="000000"/>
          <w:spacing w:val="-1"/>
        </w:rPr>
        <w:t>e</w:t>
      </w:r>
      <w:r>
        <w:rPr>
          <w:color w:val="000000"/>
        </w:rPr>
        <w:t xml:space="preserve">t </w:t>
      </w:r>
      <w:r>
        <w:rPr>
          <w:color w:val="000000"/>
          <w:spacing w:val="-4"/>
        </w:rPr>
        <w:t>i</w:t>
      </w:r>
      <w:r>
        <w:rPr>
          <w:color w:val="000000"/>
        </w:rPr>
        <w:t>r</w:t>
      </w:r>
      <w:r>
        <w:rPr>
          <w:color w:val="000000"/>
          <w:spacing w:val="32"/>
        </w:rPr>
        <w:t xml:space="preserve"> </w:t>
      </w:r>
      <w:r>
        <w:rPr>
          <w:color w:val="000000"/>
          <w:spacing w:val="-5"/>
        </w:rPr>
        <w:t>n</w:t>
      </w:r>
      <w:r>
        <w:rPr>
          <w:color w:val="000000"/>
          <w:spacing w:val="4"/>
        </w:rPr>
        <w:t>e</w:t>
      </w:r>
      <w:r>
        <w:rPr>
          <w:color w:val="000000"/>
          <w:spacing w:val="-4"/>
        </w:rPr>
        <w:t>i</w:t>
      </w:r>
      <w:r>
        <w:rPr>
          <w:color w:val="000000"/>
          <w:spacing w:val="5"/>
        </w:rPr>
        <w:t>g</w:t>
      </w:r>
      <w:r>
        <w:rPr>
          <w:color w:val="000000"/>
          <w:spacing w:val="-4"/>
        </w:rPr>
        <w:t>i</w:t>
      </w:r>
      <w:r>
        <w:rPr>
          <w:color w:val="000000"/>
          <w:spacing w:val="4"/>
        </w:rPr>
        <w:t>a</w:t>
      </w:r>
      <w:r>
        <w:rPr>
          <w:color w:val="000000"/>
          <w:spacing w:val="-4"/>
        </w:rPr>
        <w:t>m</w:t>
      </w:r>
      <w:r>
        <w:rPr>
          <w:color w:val="000000"/>
        </w:rPr>
        <w:t>ų</w:t>
      </w:r>
      <w:r>
        <w:rPr>
          <w:color w:val="000000"/>
          <w:spacing w:val="31"/>
        </w:rPr>
        <w:t xml:space="preserve"> </w:t>
      </w:r>
      <w:r>
        <w:rPr>
          <w:color w:val="000000"/>
        </w:rPr>
        <w:t>d</w:t>
      </w:r>
      <w:r>
        <w:rPr>
          <w:color w:val="000000"/>
          <w:spacing w:val="4"/>
        </w:rPr>
        <w:t>a</w:t>
      </w:r>
      <w:r>
        <w:rPr>
          <w:color w:val="000000"/>
        </w:rPr>
        <w:t>l</w:t>
      </w:r>
      <w:r>
        <w:rPr>
          <w:color w:val="000000"/>
          <w:spacing w:val="-4"/>
        </w:rPr>
        <w:t>y</w:t>
      </w:r>
      <w:r>
        <w:rPr>
          <w:color w:val="000000"/>
        </w:rPr>
        <w:t>kų.</w:t>
      </w:r>
      <w:r>
        <w:rPr>
          <w:color w:val="000000"/>
          <w:spacing w:val="33"/>
        </w:rPr>
        <w:t xml:space="preserve"> </w:t>
      </w:r>
      <w:r>
        <w:rPr>
          <w:color w:val="000000"/>
          <w:spacing w:val="2"/>
        </w:rPr>
        <w:t>T</w:t>
      </w:r>
      <w:r>
        <w:rPr>
          <w:color w:val="000000"/>
          <w:spacing w:val="4"/>
        </w:rPr>
        <w:t>a</w:t>
      </w:r>
      <w:r>
        <w:rPr>
          <w:color w:val="000000"/>
          <w:spacing w:val="-9"/>
        </w:rPr>
        <w:t>i</w:t>
      </w:r>
      <w:r>
        <w:rPr>
          <w:color w:val="000000"/>
        </w:rPr>
        <w:t>p</w:t>
      </w:r>
      <w:r>
        <w:rPr>
          <w:color w:val="000000"/>
          <w:spacing w:val="36"/>
        </w:rPr>
        <w:t xml:space="preserve"> </w:t>
      </w:r>
      <w:r>
        <w:rPr>
          <w:color w:val="000000"/>
          <w:spacing w:val="-9"/>
        </w:rPr>
        <w:t>i</w:t>
      </w:r>
      <w:r>
        <w:rPr>
          <w:color w:val="000000"/>
        </w:rPr>
        <w:t>r</w:t>
      </w:r>
      <w:r>
        <w:rPr>
          <w:color w:val="000000"/>
          <w:spacing w:val="32"/>
        </w:rPr>
        <w:t xml:space="preserve"> </w:t>
      </w:r>
      <w:r>
        <w:rPr>
          <w:color w:val="000000"/>
          <w:spacing w:val="-1"/>
        </w:rPr>
        <w:t>a</w:t>
      </w:r>
      <w:r>
        <w:rPr>
          <w:color w:val="000000"/>
          <w:spacing w:val="5"/>
        </w:rPr>
        <w:t>t</w:t>
      </w:r>
      <w:r>
        <w:rPr>
          <w:color w:val="000000"/>
          <w:spacing w:val="2"/>
        </w:rPr>
        <w:t>s</w:t>
      </w:r>
      <w:r>
        <w:rPr>
          <w:color w:val="000000"/>
          <w:spacing w:val="-9"/>
        </w:rPr>
        <w:t>i</w:t>
      </w:r>
      <w:r>
        <w:rPr>
          <w:color w:val="000000"/>
          <w:spacing w:val="10"/>
        </w:rPr>
        <w:t>t</w:t>
      </w:r>
      <w:r>
        <w:rPr>
          <w:color w:val="000000"/>
          <w:spacing w:val="-9"/>
        </w:rPr>
        <w:t>i</w:t>
      </w:r>
      <w:r>
        <w:rPr>
          <w:color w:val="000000"/>
        </w:rPr>
        <w:t>ko</w:t>
      </w:r>
      <w:r>
        <w:rPr>
          <w:color w:val="000000"/>
          <w:spacing w:val="42"/>
        </w:rPr>
        <w:t xml:space="preserve"> </w:t>
      </w:r>
      <w:r>
        <w:rPr>
          <w:color w:val="000000"/>
        </w:rPr>
        <w:t>–</w:t>
      </w:r>
      <w:r>
        <w:rPr>
          <w:color w:val="000000"/>
          <w:spacing w:val="31"/>
        </w:rPr>
        <w:t xml:space="preserve"> </w:t>
      </w:r>
      <w:r>
        <w:rPr>
          <w:color w:val="000000"/>
          <w:spacing w:val="2"/>
        </w:rPr>
        <w:t>L</w:t>
      </w:r>
      <w:r>
        <w:rPr>
          <w:color w:val="000000"/>
          <w:spacing w:val="-9"/>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29"/>
        </w:rPr>
        <w:t xml:space="preserve"> </w:t>
      </w:r>
      <w:r>
        <w:rPr>
          <w:color w:val="000000"/>
        </w:rPr>
        <w:t>p</w:t>
      </w:r>
      <w:r>
        <w:rPr>
          <w:color w:val="000000"/>
          <w:spacing w:val="5"/>
        </w:rPr>
        <w:t>o</w:t>
      </w:r>
      <w:r>
        <w:rPr>
          <w:color w:val="000000"/>
          <w:spacing w:val="-4"/>
        </w:rPr>
        <w:t>li</w:t>
      </w:r>
      <w:r>
        <w:rPr>
          <w:color w:val="000000"/>
          <w:spacing w:val="4"/>
        </w:rPr>
        <w:t>c</w:t>
      </w:r>
      <w:r>
        <w:rPr>
          <w:color w:val="000000"/>
        </w:rPr>
        <w:t>i</w:t>
      </w:r>
      <w:r>
        <w:rPr>
          <w:color w:val="000000"/>
          <w:spacing w:val="-9"/>
        </w:rPr>
        <w:t>j</w:t>
      </w:r>
      <w:r>
        <w:rPr>
          <w:color w:val="000000"/>
          <w:spacing w:val="5"/>
        </w:rPr>
        <w:t>o</w:t>
      </w:r>
      <w:r>
        <w:rPr>
          <w:color w:val="000000"/>
        </w:rPr>
        <w:t>s k</w:t>
      </w:r>
      <w:r>
        <w:rPr>
          <w:color w:val="000000"/>
          <w:spacing w:val="6"/>
        </w:rPr>
        <w:t>r</w:t>
      </w:r>
      <w:r>
        <w:rPr>
          <w:color w:val="000000"/>
          <w:spacing w:val="-4"/>
        </w:rPr>
        <w:t>imi</w:t>
      </w:r>
      <w:r>
        <w:rPr>
          <w:color w:val="000000"/>
        </w:rPr>
        <w:t>n</w:t>
      </w:r>
      <w:r>
        <w:rPr>
          <w:color w:val="000000"/>
          <w:spacing w:val="4"/>
        </w:rPr>
        <w:t>a</w:t>
      </w:r>
      <w:r>
        <w:rPr>
          <w:color w:val="000000"/>
        </w:rPr>
        <w:t>l</w:t>
      </w:r>
      <w:r>
        <w:rPr>
          <w:color w:val="000000"/>
          <w:spacing w:val="-4"/>
        </w:rPr>
        <w:t>i</w:t>
      </w:r>
      <w:r>
        <w:rPr>
          <w:color w:val="000000"/>
          <w:spacing w:val="-2"/>
        </w:rPr>
        <w:t>s</w:t>
      </w:r>
      <w:r>
        <w:rPr>
          <w:color w:val="000000"/>
          <w:spacing w:val="10"/>
        </w:rPr>
        <w:t>t</w:t>
      </w:r>
      <w:r>
        <w:rPr>
          <w:color w:val="000000"/>
          <w:spacing w:val="-4"/>
        </w:rPr>
        <w:t>i</w:t>
      </w:r>
      <w:r>
        <w:rPr>
          <w:color w:val="000000"/>
        </w:rPr>
        <w:t>n</w:t>
      </w:r>
      <w:r>
        <w:rPr>
          <w:color w:val="000000"/>
          <w:spacing w:val="-4"/>
        </w:rPr>
        <w:t>i</w:t>
      </w:r>
      <w:r>
        <w:rPr>
          <w:color w:val="000000"/>
        </w:rPr>
        <w:t>ų</w:t>
      </w:r>
      <w:r>
        <w:rPr>
          <w:color w:val="000000"/>
          <w:spacing w:val="4"/>
        </w:rPr>
        <w:t xml:space="preserve"> </w:t>
      </w:r>
      <w:r>
        <w:rPr>
          <w:color w:val="000000"/>
          <w:spacing w:val="10"/>
        </w:rPr>
        <w:t>t</w:t>
      </w:r>
      <w:r>
        <w:rPr>
          <w:color w:val="000000"/>
          <w:spacing w:val="-10"/>
        </w:rPr>
        <w:t>y</w:t>
      </w:r>
      <w:r>
        <w:rPr>
          <w:color w:val="000000"/>
          <w:spacing w:val="6"/>
        </w:rPr>
        <w:t>r</w:t>
      </w:r>
      <w:r>
        <w:rPr>
          <w:color w:val="000000"/>
          <w:spacing w:val="-4"/>
        </w:rPr>
        <w:t>im</w:t>
      </w:r>
      <w:r>
        <w:rPr>
          <w:color w:val="000000"/>
        </w:rPr>
        <w:t>ų</w:t>
      </w:r>
      <w:r>
        <w:rPr>
          <w:color w:val="000000"/>
          <w:spacing w:val="4"/>
        </w:rPr>
        <w:t xml:space="preserve"> </w:t>
      </w:r>
      <w:r>
        <w:rPr>
          <w:color w:val="000000"/>
          <w:spacing w:val="-1"/>
        </w:rPr>
        <w:t>c</w:t>
      </w:r>
      <w:r>
        <w:rPr>
          <w:color w:val="000000"/>
          <w:spacing w:val="4"/>
        </w:rPr>
        <w:t>e</w:t>
      </w:r>
      <w:r>
        <w:rPr>
          <w:color w:val="000000"/>
          <w:spacing w:val="-5"/>
        </w:rPr>
        <w:t>n</w:t>
      </w:r>
      <w:r>
        <w:rPr>
          <w:color w:val="000000"/>
          <w:spacing w:val="5"/>
        </w:rPr>
        <w:t>t</w:t>
      </w:r>
      <w:r>
        <w:rPr>
          <w:color w:val="000000"/>
          <w:spacing w:val="-3"/>
        </w:rPr>
        <w:t>r</w:t>
      </w:r>
      <w:r>
        <w:rPr>
          <w:color w:val="000000"/>
        </w:rPr>
        <w:t>o</w:t>
      </w:r>
      <w:r>
        <w:rPr>
          <w:color w:val="000000"/>
          <w:spacing w:val="9"/>
        </w:rPr>
        <w:t xml:space="preserve"> </w:t>
      </w:r>
      <w:r>
        <w:rPr>
          <w:color w:val="000000"/>
          <w:spacing w:val="-3"/>
        </w:rPr>
        <w:t>(</w:t>
      </w:r>
      <w:r>
        <w:rPr>
          <w:color w:val="000000"/>
        </w:rPr>
        <w:t>t</w:t>
      </w:r>
      <w:r>
        <w:rPr>
          <w:color w:val="000000"/>
          <w:spacing w:val="5"/>
        </w:rPr>
        <w:t>o</w:t>
      </w:r>
      <w:r>
        <w:rPr>
          <w:color w:val="000000"/>
          <w:spacing w:val="-4"/>
        </w:rPr>
        <w:t>li</w:t>
      </w:r>
      <w:r>
        <w:rPr>
          <w:color w:val="000000"/>
          <w:spacing w:val="-1"/>
        </w:rPr>
        <w:t>a</w:t>
      </w:r>
      <w:r>
        <w:rPr>
          <w:color w:val="000000"/>
        </w:rPr>
        <w:t>u</w:t>
      </w:r>
      <w:r>
        <w:rPr>
          <w:color w:val="000000"/>
          <w:spacing w:val="5"/>
        </w:rPr>
        <w:t xml:space="preserve"> </w:t>
      </w:r>
      <w:r>
        <w:rPr>
          <w:color w:val="000000"/>
        </w:rPr>
        <w:t xml:space="preserve">– </w:t>
      </w:r>
      <w:r>
        <w:rPr>
          <w:color w:val="000000"/>
          <w:spacing w:val="-2"/>
        </w:rPr>
        <w:t>C</w:t>
      </w:r>
      <w:r>
        <w:rPr>
          <w:color w:val="000000"/>
          <w:spacing w:val="4"/>
        </w:rPr>
        <w:t>e</w:t>
      </w:r>
      <w:r>
        <w:rPr>
          <w:color w:val="000000"/>
          <w:spacing w:val="-5"/>
        </w:rPr>
        <w:t>n</w:t>
      </w:r>
      <w:r>
        <w:rPr>
          <w:color w:val="000000"/>
          <w:spacing w:val="5"/>
        </w:rPr>
        <w:t>t</w:t>
      </w:r>
      <w:r>
        <w:rPr>
          <w:color w:val="000000"/>
          <w:spacing w:val="1"/>
        </w:rPr>
        <w:t>r</w:t>
      </w:r>
      <w:r>
        <w:rPr>
          <w:color w:val="000000"/>
          <w:spacing w:val="-1"/>
        </w:rPr>
        <w:t>a</w:t>
      </w:r>
      <w:r>
        <w:rPr>
          <w:color w:val="000000"/>
          <w:spacing w:val="-2"/>
        </w:rPr>
        <w:t>s</w:t>
      </w:r>
      <w:r>
        <w:rPr>
          <w:color w:val="000000"/>
        </w:rPr>
        <w:t>)</w:t>
      </w:r>
      <w:r>
        <w:rPr>
          <w:color w:val="000000"/>
          <w:spacing w:val="1"/>
        </w:rPr>
        <w:t xml:space="preserve"> </w:t>
      </w:r>
      <w:r>
        <w:rPr>
          <w:color w:val="000000"/>
          <w:spacing w:val="-1"/>
        </w:rPr>
        <w:t>e</w:t>
      </w:r>
      <w:r>
        <w:rPr>
          <w:color w:val="000000"/>
          <w:spacing w:val="5"/>
        </w:rPr>
        <w:t>k</w:t>
      </w:r>
      <w:r>
        <w:rPr>
          <w:color w:val="000000"/>
          <w:spacing w:val="-2"/>
        </w:rPr>
        <w:t>s</w:t>
      </w:r>
      <w:r>
        <w:rPr>
          <w:color w:val="000000"/>
        </w:rPr>
        <w:t>p</w:t>
      </w:r>
      <w:r>
        <w:rPr>
          <w:color w:val="000000"/>
          <w:spacing w:val="-1"/>
        </w:rPr>
        <w:t>e</w:t>
      </w:r>
      <w:r>
        <w:rPr>
          <w:color w:val="000000"/>
          <w:spacing w:val="1"/>
        </w:rPr>
        <w:t>r</w:t>
      </w:r>
      <w:r>
        <w:rPr>
          <w:color w:val="000000"/>
          <w:spacing w:val="5"/>
        </w:rPr>
        <w:t>t</w:t>
      </w:r>
      <w:r>
        <w:rPr>
          <w:color w:val="000000"/>
          <w:spacing w:val="-1"/>
        </w:rPr>
        <w:t>a</w:t>
      </w:r>
      <w:r>
        <w:rPr>
          <w:color w:val="000000"/>
        </w:rPr>
        <w:t xml:space="preserve">i </w:t>
      </w:r>
      <w:r>
        <w:rPr>
          <w:color w:val="000000"/>
          <w:spacing w:val="-5"/>
        </w:rPr>
        <w:t>n</w:t>
      </w:r>
      <w:r>
        <w:rPr>
          <w:color w:val="000000"/>
          <w:spacing w:val="-1"/>
        </w:rPr>
        <w:t>e</w:t>
      </w:r>
      <w:r>
        <w:rPr>
          <w:color w:val="000000"/>
        </w:rPr>
        <w:t>g</w:t>
      </w:r>
      <w:r>
        <w:rPr>
          <w:color w:val="000000"/>
          <w:spacing w:val="4"/>
        </w:rPr>
        <w:t>a</w:t>
      </w:r>
      <w:r>
        <w:rPr>
          <w:color w:val="000000"/>
          <w:spacing w:val="-4"/>
        </w:rPr>
        <w:t>l</w:t>
      </w:r>
      <w:r>
        <w:rPr>
          <w:color w:val="000000"/>
          <w:spacing w:val="4"/>
        </w:rPr>
        <w:t>ė</w:t>
      </w:r>
      <w:r>
        <w:rPr>
          <w:color w:val="000000"/>
          <w:spacing w:val="-9"/>
        </w:rPr>
        <w:t>j</w:t>
      </w:r>
      <w:r>
        <w:rPr>
          <w:color w:val="000000"/>
        </w:rPr>
        <w:t>o</w:t>
      </w:r>
      <w:r>
        <w:rPr>
          <w:color w:val="000000"/>
          <w:spacing w:val="18"/>
        </w:rPr>
        <w:t xml:space="preserve"> </w:t>
      </w:r>
      <w:r>
        <w:rPr>
          <w:color w:val="000000"/>
          <w:spacing w:val="-5"/>
        </w:rPr>
        <w:t>n</w:t>
      </w:r>
      <w:r>
        <w:rPr>
          <w:color w:val="000000"/>
        </w:rPr>
        <w:t>u</w:t>
      </w:r>
      <w:r>
        <w:rPr>
          <w:color w:val="000000"/>
          <w:spacing w:val="-2"/>
        </w:rPr>
        <w:t>s</w:t>
      </w:r>
      <w:r>
        <w:rPr>
          <w:color w:val="000000"/>
          <w:spacing w:val="5"/>
        </w:rPr>
        <w:t>t</w:t>
      </w:r>
      <w:r>
        <w:rPr>
          <w:color w:val="000000"/>
          <w:spacing w:val="-1"/>
        </w:rPr>
        <w:t>a</w:t>
      </w:r>
      <w:r>
        <w:rPr>
          <w:color w:val="000000"/>
          <w:spacing w:val="5"/>
        </w:rPr>
        <w:t>t</w:t>
      </w:r>
      <w:r>
        <w:rPr>
          <w:color w:val="000000"/>
          <w:spacing w:val="-10"/>
        </w:rPr>
        <w:t>y</w:t>
      </w:r>
      <w:r>
        <w:rPr>
          <w:color w:val="000000"/>
          <w:spacing w:val="10"/>
        </w:rPr>
        <w:t>t</w:t>
      </w:r>
      <w:r>
        <w:rPr>
          <w:color w:val="000000"/>
        </w:rPr>
        <w:t>i d</w:t>
      </w:r>
      <w:r>
        <w:rPr>
          <w:color w:val="000000"/>
          <w:spacing w:val="-1"/>
        </w:rPr>
        <w:t>a</w:t>
      </w:r>
      <w:r>
        <w:rPr>
          <w:color w:val="000000"/>
        </w:rPr>
        <w:t>ug</w:t>
      </w:r>
      <w:r>
        <w:rPr>
          <w:color w:val="000000"/>
          <w:spacing w:val="4"/>
        </w:rPr>
        <w:t>e</w:t>
      </w:r>
      <w:r>
        <w:rPr>
          <w:color w:val="000000"/>
        </w:rPr>
        <w:t>l</w:t>
      </w:r>
      <w:r>
        <w:rPr>
          <w:color w:val="000000"/>
          <w:spacing w:val="-9"/>
        </w:rPr>
        <w:t>i</w:t>
      </w:r>
      <w:r>
        <w:rPr>
          <w:color w:val="000000"/>
        </w:rPr>
        <w:t>o</w:t>
      </w:r>
      <w:r>
        <w:rPr>
          <w:color w:val="000000"/>
          <w:spacing w:val="18"/>
        </w:rPr>
        <w:t xml:space="preserve"> </w:t>
      </w:r>
      <w:r>
        <w:rPr>
          <w:color w:val="000000"/>
          <w:spacing w:val="-4"/>
        </w:rPr>
        <w:t>ji</w:t>
      </w:r>
      <w:r>
        <w:rPr>
          <w:color w:val="000000"/>
          <w:spacing w:val="4"/>
        </w:rPr>
        <w:t>e</w:t>
      </w:r>
      <w:r>
        <w:rPr>
          <w:color w:val="000000"/>
          <w:spacing w:val="-4"/>
        </w:rPr>
        <w:t>m</w:t>
      </w:r>
      <w:r>
        <w:rPr>
          <w:color w:val="000000"/>
        </w:rPr>
        <w:t>s</w:t>
      </w:r>
      <w:r>
        <w:rPr>
          <w:color w:val="000000"/>
          <w:spacing w:val="7"/>
        </w:rPr>
        <w:t xml:space="preserve"> </w:t>
      </w:r>
      <w:r>
        <w:rPr>
          <w:color w:val="000000"/>
          <w:spacing w:val="5"/>
        </w:rPr>
        <w:t>p</w:t>
      </w:r>
      <w:r>
        <w:rPr>
          <w:color w:val="000000"/>
          <w:spacing w:val="-1"/>
        </w:rPr>
        <w:t>a</w:t>
      </w:r>
      <w:r>
        <w:rPr>
          <w:color w:val="000000"/>
          <w:spacing w:val="5"/>
        </w:rPr>
        <w:t>t</w:t>
      </w:r>
      <w:r>
        <w:rPr>
          <w:color w:val="000000"/>
          <w:spacing w:val="4"/>
        </w:rPr>
        <w:t>e</w:t>
      </w:r>
      <w:r>
        <w:rPr>
          <w:color w:val="000000"/>
          <w:spacing w:val="-9"/>
        </w:rPr>
        <w:t>i</w:t>
      </w:r>
      <w:r>
        <w:rPr>
          <w:color w:val="000000"/>
          <w:spacing w:val="5"/>
        </w:rPr>
        <w:t>k</w:t>
      </w:r>
      <w:r>
        <w:rPr>
          <w:color w:val="000000"/>
          <w:spacing w:val="-4"/>
        </w:rPr>
        <w:t>i</w:t>
      </w:r>
      <w:r>
        <w:rPr>
          <w:color w:val="000000"/>
          <w:spacing w:val="4"/>
        </w:rPr>
        <w:t>a</w:t>
      </w:r>
      <w:r>
        <w:rPr>
          <w:color w:val="000000"/>
          <w:spacing w:val="-4"/>
        </w:rPr>
        <w:t>m</w:t>
      </w:r>
      <w:r>
        <w:rPr>
          <w:color w:val="000000"/>
        </w:rPr>
        <w:t>ų</w:t>
      </w:r>
      <w:r>
        <w:rPr>
          <w:color w:val="000000"/>
          <w:spacing w:val="9"/>
        </w:rPr>
        <w:t xml:space="preserve"> </w:t>
      </w:r>
      <w:r>
        <w:rPr>
          <w:color w:val="000000"/>
          <w:spacing w:val="5"/>
        </w:rPr>
        <w:t>t</w:t>
      </w:r>
      <w:r>
        <w:rPr>
          <w:color w:val="000000"/>
          <w:spacing w:val="-10"/>
        </w:rPr>
        <w:t>y</w:t>
      </w:r>
      <w:r>
        <w:rPr>
          <w:color w:val="000000"/>
          <w:spacing w:val="6"/>
        </w:rPr>
        <w:t>r</w:t>
      </w:r>
      <w:r>
        <w:rPr>
          <w:color w:val="000000"/>
        </w:rPr>
        <w:t>i</w:t>
      </w:r>
      <w:r>
        <w:rPr>
          <w:color w:val="000000"/>
          <w:spacing w:val="-4"/>
        </w:rPr>
        <w:t>m</w:t>
      </w:r>
      <w:r>
        <w:rPr>
          <w:color w:val="000000"/>
          <w:spacing w:val="4"/>
        </w:rPr>
        <w:t>a</w:t>
      </w:r>
      <w:r>
        <w:rPr>
          <w:color w:val="000000"/>
          <w:spacing w:val="-4"/>
        </w:rPr>
        <w:t>m</w:t>
      </w:r>
      <w:r>
        <w:rPr>
          <w:color w:val="000000"/>
        </w:rPr>
        <w:t xml:space="preserve">s </w:t>
      </w:r>
      <w:r>
        <w:rPr>
          <w:color w:val="000000"/>
          <w:spacing w:val="-5"/>
        </w:rPr>
        <w:t>n</w:t>
      </w:r>
      <w:r>
        <w:rPr>
          <w:color w:val="000000"/>
          <w:spacing w:val="-1"/>
        </w:rPr>
        <w:t>a</w:t>
      </w:r>
      <w:r>
        <w:rPr>
          <w:color w:val="000000"/>
          <w:spacing w:val="5"/>
        </w:rPr>
        <w:t>u</w:t>
      </w:r>
      <w:r>
        <w:rPr>
          <w:color w:val="000000"/>
          <w:spacing w:val="-4"/>
        </w:rPr>
        <w:t>j</w:t>
      </w:r>
      <w:r>
        <w:rPr>
          <w:color w:val="000000"/>
        </w:rPr>
        <w:t xml:space="preserve">ų   </w:t>
      </w:r>
      <w:r>
        <w:rPr>
          <w:color w:val="000000"/>
          <w:spacing w:val="19"/>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 xml:space="preserve">ų   </w:t>
      </w:r>
      <w:r>
        <w:rPr>
          <w:color w:val="000000"/>
          <w:spacing w:val="24"/>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 xml:space="preserve">gų,   </w:t>
      </w:r>
      <w:r>
        <w:rPr>
          <w:color w:val="000000"/>
          <w:spacing w:val="26"/>
        </w:rPr>
        <w:t xml:space="preserve"> </w:t>
      </w:r>
      <w:r>
        <w:rPr>
          <w:color w:val="000000"/>
          <w:spacing w:val="-5"/>
        </w:rPr>
        <w:t>n</w:t>
      </w:r>
      <w:r>
        <w:rPr>
          <w:color w:val="000000"/>
          <w:spacing w:val="-1"/>
        </w:rPr>
        <w:t>e</w:t>
      </w:r>
      <w:r>
        <w:rPr>
          <w:color w:val="000000"/>
        </w:rPr>
        <w:t xml:space="preserve">s   </w:t>
      </w:r>
      <w:r>
        <w:rPr>
          <w:color w:val="000000"/>
          <w:spacing w:val="22"/>
        </w:rPr>
        <w:t xml:space="preserve"> </w:t>
      </w:r>
      <w:r>
        <w:rPr>
          <w:color w:val="000000"/>
          <w:spacing w:val="-5"/>
        </w:rPr>
        <w:t>n</w:t>
      </w:r>
      <w:r>
        <w:rPr>
          <w:color w:val="000000"/>
          <w:spacing w:val="-1"/>
        </w:rPr>
        <w:t>e</w:t>
      </w:r>
      <w:r>
        <w:rPr>
          <w:color w:val="000000"/>
          <w:spacing w:val="5"/>
        </w:rPr>
        <w:t>t</w:t>
      </w:r>
      <w:r>
        <w:rPr>
          <w:color w:val="000000"/>
        </w:rPr>
        <w:t>u</w:t>
      </w:r>
      <w:r>
        <w:rPr>
          <w:color w:val="000000"/>
          <w:spacing w:val="1"/>
        </w:rPr>
        <w:t>r</w:t>
      </w:r>
      <w:r>
        <w:rPr>
          <w:color w:val="000000"/>
          <w:spacing w:val="4"/>
        </w:rPr>
        <w:t>ė</w:t>
      </w:r>
      <w:r>
        <w:rPr>
          <w:color w:val="000000"/>
          <w:spacing w:val="-4"/>
        </w:rPr>
        <w:t>j</w:t>
      </w:r>
      <w:r>
        <w:rPr>
          <w:color w:val="000000"/>
        </w:rPr>
        <w:t xml:space="preserve">o   </w:t>
      </w:r>
      <w:r>
        <w:rPr>
          <w:color w:val="000000"/>
          <w:spacing w:val="24"/>
        </w:rPr>
        <w:t xml:space="preserve"> </w:t>
      </w:r>
      <w:r>
        <w:rPr>
          <w:color w:val="000000"/>
          <w:spacing w:val="-2"/>
        </w:rPr>
        <w:t>š</w:t>
      </w:r>
      <w:r>
        <w:rPr>
          <w:color w:val="000000"/>
          <w:spacing w:val="-9"/>
        </w:rPr>
        <w:t>i</w:t>
      </w:r>
      <w:r>
        <w:rPr>
          <w:color w:val="000000"/>
        </w:rPr>
        <w:t>ų</w:t>
      </w:r>
    </w:p>
    <w:p w:rsidR="004F7425" w:rsidRDefault="004F7425" w:rsidP="004F7425">
      <w:pPr>
        <w:widowControl w:val="0"/>
        <w:autoSpaceDE w:val="0"/>
        <w:autoSpaceDN w:val="0"/>
        <w:adjustRightInd w:val="0"/>
        <w:spacing w:before="1" w:line="275" w:lineRule="auto"/>
        <w:ind w:left="120" w:right="66"/>
        <w:jc w:val="both"/>
        <w:rPr>
          <w:color w:val="000000"/>
        </w:rPr>
      </w:pPr>
      <w:r>
        <w:rPr>
          <w:color w:val="000000"/>
        </w:rPr>
        <w:t>p</w:t>
      </w:r>
      <w:r>
        <w:rPr>
          <w:color w:val="000000"/>
          <w:spacing w:val="4"/>
        </w:rPr>
        <w:t>a</w:t>
      </w:r>
      <w:r>
        <w:rPr>
          <w:color w:val="000000"/>
          <w:spacing w:val="-9"/>
        </w:rPr>
        <w:t>m</w:t>
      </w:r>
      <w:r>
        <w:rPr>
          <w:color w:val="000000"/>
          <w:spacing w:val="-1"/>
        </w:rPr>
        <w:t>a</w:t>
      </w:r>
      <w:r>
        <w:rPr>
          <w:color w:val="000000"/>
          <w:spacing w:val="10"/>
        </w:rPr>
        <w:t>t</w:t>
      </w:r>
      <w:r>
        <w:rPr>
          <w:color w:val="000000"/>
          <w:spacing w:val="-4"/>
        </w:rPr>
        <w:t>i</w:t>
      </w:r>
      <w:r>
        <w:rPr>
          <w:color w:val="000000"/>
        </w:rPr>
        <w:t>n</w:t>
      </w:r>
      <w:r>
        <w:rPr>
          <w:color w:val="000000"/>
          <w:spacing w:val="-4"/>
        </w:rPr>
        <w:t>i</w:t>
      </w:r>
      <w:r>
        <w:rPr>
          <w:color w:val="000000"/>
        </w:rPr>
        <w:t xml:space="preserve">ų </w:t>
      </w:r>
      <w:r>
        <w:rPr>
          <w:color w:val="000000"/>
          <w:spacing w:val="48"/>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 xml:space="preserve">gų </w:t>
      </w:r>
      <w:r>
        <w:rPr>
          <w:color w:val="000000"/>
          <w:spacing w:val="43"/>
        </w:rPr>
        <w:t xml:space="preserve"> </w:t>
      </w:r>
      <w:r>
        <w:rPr>
          <w:color w:val="000000"/>
          <w:spacing w:val="1"/>
        </w:rPr>
        <w:t>(</w:t>
      </w:r>
      <w:r>
        <w:rPr>
          <w:color w:val="000000"/>
          <w:spacing w:val="-2"/>
        </w:rPr>
        <w:t>s</w:t>
      </w:r>
      <w:r>
        <w:rPr>
          <w:color w:val="000000"/>
          <w:spacing w:val="5"/>
        </w:rPr>
        <w:t>t</w:t>
      </w:r>
      <w:r>
        <w:rPr>
          <w:color w:val="000000"/>
          <w:spacing w:val="-1"/>
        </w:rPr>
        <w:t>a</w:t>
      </w:r>
      <w:r>
        <w:rPr>
          <w:color w:val="000000"/>
          <w:spacing w:val="-5"/>
        </w:rPr>
        <w:t>n</w:t>
      </w:r>
      <w:r>
        <w:rPr>
          <w:color w:val="000000"/>
        </w:rPr>
        <w:t>d</w:t>
      </w:r>
      <w:r>
        <w:rPr>
          <w:color w:val="000000"/>
          <w:spacing w:val="-1"/>
        </w:rPr>
        <w:t>a</w:t>
      </w:r>
      <w:r>
        <w:rPr>
          <w:color w:val="000000"/>
          <w:spacing w:val="1"/>
        </w:rPr>
        <w:t>r</w:t>
      </w:r>
      <w:r>
        <w:rPr>
          <w:color w:val="000000"/>
          <w:spacing w:val="5"/>
        </w:rPr>
        <w:t>t</w:t>
      </w:r>
      <w:r>
        <w:rPr>
          <w:color w:val="000000"/>
        </w:rPr>
        <w:t>ų</w:t>
      </w:r>
      <w:r>
        <w:rPr>
          <w:color w:val="000000"/>
          <w:spacing w:val="1"/>
        </w:rPr>
        <w:t>)</w:t>
      </w:r>
      <w:r>
        <w:rPr>
          <w:color w:val="000000"/>
        </w:rPr>
        <w:t xml:space="preserve">. </w:t>
      </w:r>
      <w:r>
        <w:rPr>
          <w:color w:val="000000"/>
          <w:spacing w:val="40"/>
        </w:rPr>
        <w:t xml:space="preserve"> </w:t>
      </w:r>
      <w:r>
        <w:rPr>
          <w:color w:val="000000"/>
          <w:spacing w:val="2"/>
        </w:rPr>
        <w:t>T</w:t>
      </w:r>
      <w:r>
        <w:rPr>
          <w:color w:val="000000"/>
          <w:spacing w:val="-5"/>
        </w:rPr>
        <w:t>u</w:t>
      </w:r>
      <w:r>
        <w:rPr>
          <w:color w:val="000000"/>
          <w:spacing w:val="5"/>
        </w:rPr>
        <w:t>o</w:t>
      </w:r>
      <w:r>
        <w:rPr>
          <w:color w:val="000000"/>
          <w:spacing w:val="-9"/>
        </w:rPr>
        <w:t>m</w:t>
      </w:r>
      <w:r>
        <w:rPr>
          <w:color w:val="000000"/>
          <w:spacing w:val="-1"/>
        </w:rPr>
        <w:t>e</w:t>
      </w:r>
      <w:r>
        <w:rPr>
          <w:color w:val="000000"/>
        </w:rPr>
        <w:t xml:space="preserve">t </w:t>
      </w:r>
      <w:r>
        <w:rPr>
          <w:color w:val="000000"/>
          <w:spacing w:val="48"/>
        </w:rPr>
        <w:t xml:space="preserve"> </w:t>
      </w:r>
      <w:r>
        <w:rPr>
          <w:color w:val="000000"/>
          <w:spacing w:val="-2"/>
        </w:rPr>
        <w:t>C</w:t>
      </w:r>
      <w:r>
        <w:rPr>
          <w:color w:val="000000"/>
          <w:spacing w:val="4"/>
        </w:rPr>
        <w:t>e</w:t>
      </w:r>
      <w:r>
        <w:rPr>
          <w:color w:val="000000"/>
          <w:spacing w:val="-5"/>
        </w:rPr>
        <w:t>n</w:t>
      </w:r>
      <w:r>
        <w:rPr>
          <w:color w:val="000000"/>
        </w:rPr>
        <w:t>t</w:t>
      </w:r>
      <w:r>
        <w:rPr>
          <w:color w:val="000000"/>
          <w:spacing w:val="2"/>
        </w:rPr>
        <w:t>r</w:t>
      </w:r>
      <w:r>
        <w:rPr>
          <w:color w:val="000000"/>
          <w:spacing w:val="-1"/>
        </w:rPr>
        <w:t>a</w:t>
      </w:r>
      <w:r>
        <w:rPr>
          <w:color w:val="000000"/>
        </w:rPr>
        <w:t xml:space="preserve">s </w:t>
      </w:r>
      <w:r>
        <w:rPr>
          <w:color w:val="000000"/>
          <w:spacing w:val="46"/>
        </w:rPr>
        <w:t xml:space="preserve"> </w:t>
      </w:r>
      <w:r>
        <w:rPr>
          <w:color w:val="000000"/>
          <w:spacing w:val="-9"/>
        </w:rPr>
        <w:t>į</w:t>
      </w:r>
      <w:r>
        <w:rPr>
          <w:color w:val="000000"/>
          <w:spacing w:val="2"/>
        </w:rPr>
        <w:t>s</w:t>
      </w:r>
      <w:r>
        <w:rPr>
          <w:color w:val="000000"/>
          <w:spacing w:val="-4"/>
        </w:rPr>
        <w:t>i</w:t>
      </w:r>
      <w:r>
        <w:rPr>
          <w:color w:val="000000"/>
          <w:spacing w:val="5"/>
        </w:rPr>
        <w:t>g</w:t>
      </w:r>
      <w:r>
        <w:rPr>
          <w:color w:val="000000"/>
        </w:rPr>
        <w:t>i</w:t>
      </w:r>
      <w:r>
        <w:rPr>
          <w:color w:val="000000"/>
          <w:spacing w:val="-9"/>
        </w:rPr>
        <w:t>j</w:t>
      </w:r>
      <w:r>
        <w:rPr>
          <w:color w:val="000000"/>
        </w:rPr>
        <w:t xml:space="preserve">o </w:t>
      </w:r>
      <w:r>
        <w:rPr>
          <w:color w:val="000000"/>
          <w:spacing w:val="48"/>
        </w:rPr>
        <w:t xml:space="preserve"> </w:t>
      </w:r>
      <w:r>
        <w:rPr>
          <w:color w:val="000000"/>
        </w:rPr>
        <w:t>k</w:t>
      </w:r>
      <w:r>
        <w:rPr>
          <w:color w:val="000000"/>
          <w:spacing w:val="4"/>
        </w:rPr>
        <w:t>a</w:t>
      </w:r>
      <w:r>
        <w:rPr>
          <w:color w:val="000000"/>
        </w:rPr>
        <w:t xml:space="preserve">i </w:t>
      </w:r>
      <w:r>
        <w:rPr>
          <w:color w:val="000000"/>
          <w:spacing w:val="39"/>
        </w:rPr>
        <w:t xml:space="preserve"> </w:t>
      </w:r>
      <w:r>
        <w:rPr>
          <w:color w:val="000000"/>
        </w:rPr>
        <w:t>ku</w:t>
      </w:r>
      <w:r>
        <w:rPr>
          <w:color w:val="000000"/>
          <w:spacing w:val="6"/>
        </w:rPr>
        <w:t>r</w:t>
      </w:r>
      <w:r>
        <w:rPr>
          <w:color w:val="000000"/>
          <w:spacing w:val="-9"/>
        </w:rPr>
        <w:t>i</w:t>
      </w:r>
      <w:r>
        <w:rPr>
          <w:color w:val="000000"/>
        </w:rPr>
        <w:t xml:space="preserve">ų, </w:t>
      </w:r>
      <w:r>
        <w:rPr>
          <w:color w:val="000000"/>
          <w:spacing w:val="50"/>
        </w:rPr>
        <w:t xml:space="preserve"> </w:t>
      </w:r>
      <w:r>
        <w:rPr>
          <w:color w:val="000000"/>
          <w:spacing w:val="-4"/>
        </w:rPr>
        <w:t>l</w:t>
      </w:r>
      <w:r>
        <w:rPr>
          <w:color w:val="000000"/>
          <w:spacing w:val="4"/>
        </w:rPr>
        <w:t>a</w:t>
      </w:r>
      <w:r>
        <w:rPr>
          <w:color w:val="000000"/>
        </w:rPr>
        <w:t>b</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 xml:space="preserve">i </w:t>
      </w:r>
      <w:r>
        <w:rPr>
          <w:color w:val="000000"/>
          <w:spacing w:val="39"/>
        </w:rPr>
        <w:t xml:space="preserve"> </w:t>
      </w:r>
      <w:r>
        <w:rPr>
          <w:color w:val="000000"/>
        </w:rPr>
        <w:t>p</w:t>
      </w:r>
      <w:r>
        <w:rPr>
          <w:color w:val="000000"/>
          <w:spacing w:val="4"/>
        </w:rPr>
        <w:t>a</w:t>
      </w:r>
      <w:r>
        <w:rPr>
          <w:color w:val="000000"/>
          <w:spacing w:val="2"/>
        </w:rPr>
        <w:t>s</w:t>
      </w:r>
      <w:r>
        <w:rPr>
          <w:color w:val="000000"/>
          <w:spacing w:val="-9"/>
        </w:rPr>
        <w:t>i</w:t>
      </w:r>
      <w:r>
        <w:rPr>
          <w:color w:val="000000"/>
          <w:spacing w:val="5"/>
        </w:rPr>
        <w:t>t</w:t>
      </w:r>
      <w:r>
        <w:rPr>
          <w:color w:val="000000"/>
          <w:spacing w:val="4"/>
        </w:rPr>
        <w:t>a</w:t>
      </w:r>
      <w:r>
        <w:rPr>
          <w:color w:val="000000"/>
          <w:spacing w:val="-9"/>
        </w:rPr>
        <w:t>i</w:t>
      </w:r>
      <w:r>
        <w:rPr>
          <w:color w:val="000000"/>
          <w:spacing w:val="5"/>
        </w:rPr>
        <w:t>k</w:t>
      </w:r>
      <w:r>
        <w:rPr>
          <w:color w:val="000000"/>
          <w:spacing w:val="4"/>
        </w:rPr>
        <w:t>a</w:t>
      </w:r>
      <w:r>
        <w:rPr>
          <w:color w:val="000000"/>
          <w:spacing w:val="-5"/>
        </w:rPr>
        <w:t>n</w:t>
      </w:r>
      <w:r>
        <w:rPr>
          <w:color w:val="000000"/>
          <w:spacing w:val="4"/>
        </w:rPr>
        <w:t>č</w:t>
      </w:r>
      <w:r>
        <w:rPr>
          <w:color w:val="000000"/>
          <w:spacing w:val="-4"/>
        </w:rPr>
        <w:t>i</w:t>
      </w:r>
      <w:r>
        <w:rPr>
          <w:color w:val="000000"/>
        </w:rPr>
        <w:t xml:space="preserve">ų,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7"/>
        </w:rPr>
        <w:t xml:space="preserve"> </w:t>
      </w:r>
      <w:r>
        <w:rPr>
          <w:color w:val="000000"/>
          <w:spacing w:val="-2"/>
        </w:rPr>
        <w:t>s</w:t>
      </w:r>
      <w:r>
        <w:rPr>
          <w:color w:val="000000"/>
          <w:spacing w:val="5"/>
        </w:rPr>
        <w:t>t</w:t>
      </w:r>
      <w:r>
        <w:rPr>
          <w:color w:val="000000"/>
          <w:spacing w:val="-1"/>
        </w:rPr>
        <w:t>a</w:t>
      </w:r>
      <w:r>
        <w:rPr>
          <w:color w:val="000000"/>
          <w:spacing w:val="-5"/>
        </w:rPr>
        <w:t>n</w:t>
      </w:r>
      <w:r>
        <w:rPr>
          <w:color w:val="000000"/>
        </w:rPr>
        <w:t>d</w:t>
      </w:r>
      <w:r>
        <w:rPr>
          <w:color w:val="000000"/>
          <w:spacing w:val="-1"/>
        </w:rPr>
        <w:t>a</w:t>
      </w:r>
      <w:r>
        <w:rPr>
          <w:color w:val="000000"/>
          <w:spacing w:val="1"/>
        </w:rPr>
        <w:t>r</w:t>
      </w:r>
      <w:r>
        <w:rPr>
          <w:color w:val="000000"/>
          <w:spacing w:val="5"/>
        </w:rPr>
        <w:t>t</w:t>
      </w:r>
      <w:r>
        <w:rPr>
          <w:color w:val="000000"/>
        </w:rPr>
        <w:t>ų.</w:t>
      </w:r>
      <w:r>
        <w:rPr>
          <w:color w:val="000000"/>
          <w:spacing w:val="5"/>
        </w:rPr>
        <w:t xml:space="preserve"> </w:t>
      </w:r>
      <w:r>
        <w:rPr>
          <w:color w:val="000000"/>
          <w:spacing w:val="2"/>
        </w:rPr>
        <w:t>T</w:t>
      </w:r>
      <w:r>
        <w:rPr>
          <w:color w:val="000000"/>
          <w:spacing w:val="-1"/>
        </w:rPr>
        <w:t>a</w:t>
      </w:r>
      <w:r>
        <w:rPr>
          <w:color w:val="000000"/>
          <w:spacing w:val="4"/>
        </w:rPr>
        <w:t>č</w:t>
      </w:r>
      <w:r>
        <w:rPr>
          <w:color w:val="000000"/>
          <w:spacing w:val="-9"/>
        </w:rPr>
        <w:t>i</w:t>
      </w:r>
      <w:r>
        <w:rPr>
          <w:color w:val="000000"/>
          <w:spacing w:val="-1"/>
        </w:rPr>
        <w:t>a</w:t>
      </w:r>
      <w:r>
        <w:rPr>
          <w:color w:val="000000"/>
        </w:rPr>
        <w:t>u</w:t>
      </w:r>
      <w:r>
        <w:rPr>
          <w:color w:val="000000"/>
          <w:spacing w:val="7"/>
        </w:rPr>
        <w:t xml:space="preserve"> </w:t>
      </w:r>
      <w:r>
        <w:rPr>
          <w:color w:val="000000"/>
        </w:rPr>
        <w:t>v</w:t>
      </w:r>
      <w:r>
        <w:rPr>
          <w:color w:val="000000"/>
          <w:spacing w:val="-4"/>
        </w:rPr>
        <w:t>i</w:t>
      </w:r>
      <w:r>
        <w:rPr>
          <w:color w:val="000000"/>
        </w:rPr>
        <w:t>d</w:t>
      </w:r>
      <w:r>
        <w:rPr>
          <w:color w:val="000000"/>
          <w:spacing w:val="-1"/>
        </w:rPr>
        <w:t>a</w:t>
      </w:r>
      <w:r>
        <w:rPr>
          <w:color w:val="000000"/>
          <w:spacing w:val="5"/>
        </w:rPr>
        <w:t>u</w:t>
      </w:r>
      <w:r>
        <w:rPr>
          <w:color w:val="000000"/>
        </w:rPr>
        <w:t xml:space="preserve">s </w:t>
      </w:r>
      <w:r>
        <w:rPr>
          <w:color w:val="000000"/>
          <w:spacing w:val="6"/>
        </w:rPr>
        <w:t>r</w:t>
      </w:r>
      <w:r>
        <w:rPr>
          <w:color w:val="000000"/>
          <w:spacing w:val="-4"/>
        </w:rPr>
        <w:t>i</w:t>
      </w:r>
      <w:r>
        <w:rPr>
          <w:color w:val="000000"/>
        </w:rPr>
        <w:t>nk</w:t>
      </w:r>
      <w:r>
        <w:rPr>
          <w:color w:val="000000"/>
          <w:spacing w:val="9"/>
        </w:rPr>
        <w:t>o</w:t>
      </w:r>
      <w:r>
        <w:rPr>
          <w:color w:val="000000"/>
          <w:spacing w:val="-9"/>
        </w:rPr>
        <w:t>j</w:t>
      </w:r>
      <w:r>
        <w:rPr>
          <w:color w:val="000000"/>
        </w:rPr>
        <w:t>e</w:t>
      </w:r>
      <w:r>
        <w:rPr>
          <w:color w:val="000000"/>
          <w:spacing w:val="2"/>
        </w:rPr>
        <w:t xml:space="preserve"> </w:t>
      </w:r>
      <w:r>
        <w:rPr>
          <w:color w:val="000000"/>
        </w:rPr>
        <w:t>p</w:t>
      </w:r>
      <w:r>
        <w:rPr>
          <w:color w:val="000000"/>
          <w:spacing w:val="4"/>
        </w:rPr>
        <w:t>a</w:t>
      </w:r>
      <w:r>
        <w:rPr>
          <w:color w:val="000000"/>
          <w:spacing w:val="2"/>
        </w:rPr>
        <w:t>s</w:t>
      </w:r>
      <w:r>
        <w:rPr>
          <w:color w:val="000000"/>
          <w:spacing w:val="-3"/>
        </w:rPr>
        <w:t>i</w:t>
      </w:r>
      <w:r>
        <w:rPr>
          <w:color w:val="000000"/>
          <w:spacing w:val="1"/>
        </w:rPr>
        <w:t>r</w:t>
      </w:r>
      <w:r>
        <w:rPr>
          <w:color w:val="000000"/>
          <w:spacing w:val="5"/>
        </w:rPr>
        <w:t>o</w:t>
      </w:r>
      <w:r>
        <w:rPr>
          <w:color w:val="000000"/>
        </w:rPr>
        <w:t>dė</w:t>
      </w:r>
      <w:r>
        <w:rPr>
          <w:color w:val="000000"/>
          <w:spacing w:val="6"/>
        </w:rPr>
        <w:t xml:space="preserve"> </w:t>
      </w:r>
      <w:r>
        <w:rPr>
          <w:color w:val="000000"/>
          <w:spacing w:val="-5"/>
        </w:rPr>
        <w:t>n</w:t>
      </w:r>
      <w:r>
        <w:rPr>
          <w:color w:val="000000"/>
          <w:spacing w:val="-1"/>
        </w:rPr>
        <w:t>a</w:t>
      </w:r>
      <w:r>
        <w:rPr>
          <w:color w:val="000000"/>
          <w:spacing w:val="5"/>
        </w:rPr>
        <w:t>u</w:t>
      </w:r>
      <w:r>
        <w:rPr>
          <w:color w:val="000000"/>
          <w:spacing w:val="-9"/>
        </w:rPr>
        <w:t>j</w:t>
      </w:r>
      <w:r>
        <w:rPr>
          <w:color w:val="000000"/>
          <w:spacing w:val="5"/>
        </w:rPr>
        <w:t>o</w:t>
      </w:r>
      <w:r>
        <w:rPr>
          <w:color w:val="000000"/>
        </w:rPr>
        <w:t>s</w:t>
      </w:r>
      <w:r>
        <w:rPr>
          <w:color w:val="000000"/>
          <w:spacing w:val="5"/>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9"/>
        </w:rPr>
        <w:t>i</w:t>
      </w:r>
      <w:r>
        <w:rPr>
          <w:color w:val="000000"/>
          <w:spacing w:val="5"/>
        </w:rPr>
        <w:t>o</w:t>
      </w:r>
      <w:r>
        <w:rPr>
          <w:color w:val="000000"/>
        </w:rPr>
        <w:t>s</w:t>
      </w:r>
      <w:r>
        <w:rPr>
          <w:color w:val="000000"/>
          <w:spacing w:val="10"/>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r>
        <w:rPr>
          <w:color w:val="000000"/>
          <w:spacing w:val="10"/>
        </w:rPr>
        <w:t xml:space="preserve"> </w:t>
      </w:r>
      <w:r>
        <w:rPr>
          <w:color w:val="000000"/>
          <w:spacing w:val="-9"/>
        </w:rPr>
        <w:t>i</w:t>
      </w:r>
      <w:r>
        <w:rPr>
          <w:color w:val="000000"/>
        </w:rPr>
        <w:t>r</w:t>
      </w:r>
      <w:r>
        <w:rPr>
          <w:color w:val="000000"/>
          <w:spacing w:val="14"/>
        </w:rPr>
        <w:t xml:space="preserve"> </w:t>
      </w:r>
      <w:r>
        <w:rPr>
          <w:color w:val="000000"/>
          <w:spacing w:val="-5"/>
        </w:rPr>
        <w:t>v</w:t>
      </w:r>
      <w:r>
        <w:rPr>
          <w:color w:val="000000"/>
          <w:spacing w:val="4"/>
        </w:rPr>
        <w:t>ė</w:t>
      </w:r>
      <w:r>
        <w:rPr>
          <w:color w:val="000000"/>
        </w:rPr>
        <w:t>l</w:t>
      </w:r>
      <w:r>
        <w:rPr>
          <w:color w:val="000000"/>
          <w:spacing w:val="3"/>
        </w:rPr>
        <w:t xml:space="preserve"> </w:t>
      </w:r>
      <w:r>
        <w:rPr>
          <w:color w:val="000000"/>
          <w:spacing w:val="-4"/>
        </w:rPr>
        <w:t>i</w:t>
      </w:r>
      <w:r>
        <w:rPr>
          <w:color w:val="000000"/>
          <w:spacing w:val="-2"/>
        </w:rPr>
        <w:t>š</w:t>
      </w:r>
      <w:r>
        <w:rPr>
          <w:color w:val="000000"/>
          <w:spacing w:val="5"/>
        </w:rPr>
        <w:t>k</w:t>
      </w:r>
      <w:r>
        <w:rPr>
          <w:color w:val="000000"/>
        </w:rPr>
        <w:t>i</w:t>
      </w:r>
      <w:r>
        <w:rPr>
          <w:color w:val="000000"/>
          <w:spacing w:val="-4"/>
        </w:rPr>
        <w:t>l</w:t>
      </w:r>
      <w:r>
        <w:rPr>
          <w:color w:val="000000"/>
        </w:rPr>
        <w:t>o p</w:t>
      </w:r>
      <w:r>
        <w:rPr>
          <w:color w:val="000000"/>
          <w:spacing w:val="1"/>
        </w:rPr>
        <w:t>r</w:t>
      </w:r>
      <w:r>
        <w:rPr>
          <w:color w:val="000000"/>
          <w:spacing w:val="5"/>
        </w:rPr>
        <w:t>o</w:t>
      </w:r>
      <w:r>
        <w:rPr>
          <w:color w:val="000000"/>
        </w:rPr>
        <w:t>b</w:t>
      </w:r>
      <w:r>
        <w:rPr>
          <w:color w:val="000000"/>
          <w:spacing w:val="-9"/>
        </w:rPr>
        <w:t>l</w:t>
      </w:r>
      <w:r>
        <w:rPr>
          <w:color w:val="000000"/>
          <w:spacing w:val="4"/>
        </w:rPr>
        <w:t>e</w:t>
      </w:r>
      <w:r>
        <w:rPr>
          <w:color w:val="000000"/>
          <w:spacing w:val="-4"/>
        </w:rPr>
        <w:t>m</w:t>
      </w:r>
      <w:r>
        <w:rPr>
          <w:color w:val="000000"/>
        </w:rPr>
        <w:t>ų</w:t>
      </w:r>
      <w:r>
        <w:rPr>
          <w:color w:val="000000"/>
          <w:spacing w:val="7"/>
        </w:rPr>
        <w:t xml:space="preserve"> </w:t>
      </w:r>
      <w:r>
        <w:rPr>
          <w:color w:val="000000"/>
          <w:spacing w:val="-9"/>
        </w:rPr>
        <w:t>i</w:t>
      </w:r>
      <w:r>
        <w:rPr>
          <w:color w:val="000000"/>
        </w:rPr>
        <w:t>d</w:t>
      </w:r>
      <w:r>
        <w:rPr>
          <w:color w:val="000000"/>
          <w:spacing w:val="4"/>
        </w:rPr>
        <w:t>e</w:t>
      </w:r>
      <w:r>
        <w:rPr>
          <w:color w:val="000000"/>
          <w:spacing w:val="-5"/>
        </w:rPr>
        <w:t>n</w:t>
      </w:r>
      <w:r>
        <w:rPr>
          <w:color w:val="000000"/>
          <w:spacing w:val="10"/>
        </w:rPr>
        <w:t>t</w:t>
      </w:r>
      <w:r>
        <w:rPr>
          <w:color w:val="000000"/>
          <w:spacing w:val="-4"/>
        </w:rPr>
        <w:t>i</w:t>
      </w:r>
      <w:r>
        <w:rPr>
          <w:color w:val="000000"/>
          <w:spacing w:val="1"/>
        </w:rPr>
        <w:t>f</w:t>
      </w:r>
      <w:r>
        <w:rPr>
          <w:color w:val="000000"/>
          <w:spacing w:val="-4"/>
        </w:rPr>
        <w:t>i</w:t>
      </w:r>
      <w:r>
        <w:rPr>
          <w:color w:val="000000"/>
        </w:rPr>
        <w:t>ku</w:t>
      </w:r>
      <w:r>
        <w:rPr>
          <w:color w:val="000000"/>
          <w:spacing w:val="9"/>
        </w:rPr>
        <w:t>o</w:t>
      </w:r>
      <w:r>
        <w:rPr>
          <w:color w:val="000000"/>
          <w:spacing w:val="-9"/>
        </w:rPr>
        <w:t>j</w:t>
      </w:r>
      <w:r>
        <w:rPr>
          <w:color w:val="000000"/>
          <w:spacing w:val="4"/>
        </w:rPr>
        <w:t>a</w:t>
      </w:r>
      <w:r>
        <w:rPr>
          <w:color w:val="000000"/>
          <w:spacing w:val="-5"/>
        </w:rPr>
        <w:t>n</w:t>
      </w:r>
      <w:r>
        <w:rPr>
          <w:color w:val="000000"/>
        </w:rPr>
        <w:t>t</w:t>
      </w:r>
      <w:r>
        <w:rPr>
          <w:color w:val="000000"/>
          <w:spacing w:val="2"/>
        </w:rPr>
        <w:t xml:space="preserve"> </w:t>
      </w:r>
      <w:r>
        <w:rPr>
          <w:color w:val="000000"/>
        </w:rPr>
        <w:t>t</w:t>
      </w:r>
      <w:r>
        <w:rPr>
          <w:color w:val="000000"/>
          <w:spacing w:val="5"/>
        </w:rPr>
        <w:t>o</w:t>
      </w:r>
      <w:r>
        <w:rPr>
          <w:color w:val="000000"/>
        </w:rPr>
        <w:t>k</w:t>
      </w:r>
      <w:r>
        <w:rPr>
          <w:color w:val="000000"/>
          <w:spacing w:val="-9"/>
        </w:rPr>
        <w:t>i</w:t>
      </w:r>
      <w:r>
        <w:rPr>
          <w:color w:val="000000"/>
          <w:spacing w:val="4"/>
        </w:rPr>
        <w:t>a</w:t>
      </w:r>
      <w:r>
        <w:rPr>
          <w:color w:val="000000"/>
        </w:rPr>
        <w:t>s</w:t>
      </w:r>
      <w:r>
        <w:rPr>
          <w:color w:val="000000"/>
          <w:spacing w:val="9"/>
        </w:rPr>
        <w:t xml:space="preserve"> </w:t>
      </w:r>
      <w:r>
        <w:rPr>
          <w:color w:val="000000"/>
          <w:spacing w:val="-9"/>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w:t>
      </w:r>
      <w:r>
        <w:rPr>
          <w:color w:val="000000"/>
          <w:spacing w:val="-1"/>
        </w:rPr>
        <w:t>a</w:t>
      </w:r>
      <w:r>
        <w:rPr>
          <w:color w:val="000000"/>
          <w:spacing w:val="-2"/>
        </w:rPr>
        <w:t>s</w:t>
      </w:r>
      <w:r>
        <w:rPr>
          <w:color w:val="000000"/>
        </w:rPr>
        <w:t>.</w:t>
      </w:r>
      <w:r>
        <w:rPr>
          <w:color w:val="000000"/>
          <w:spacing w:val="4"/>
        </w:rPr>
        <w:t xml:space="preserve"> </w:t>
      </w:r>
      <w:r>
        <w:rPr>
          <w:color w:val="000000"/>
          <w:spacing w:val="1"/>
        </w:rPr>
        <w:t>P</w:t>
      </w:r>
      <w:r>
        <w:rPr>
          <w:color w:val="000000"/>
          <w:spacing w:val="-1"/>
        </w:rPr>
        <w:t>a</w:t>
      </w:r>
      <w:r>
        <w:rPr>
          <w:color w:val="000000"/>
        </w:rPr>
        <w:t>n</w:t>
      </w:r>
      <w:r>
        <w:rPr>
          <w:color w:val="000000"/>
          <w:spacing w:val="-1"/>
        </w:rPr>
        <w:t>a</w:t>
      </w:r>
      <w:r>
        <w:rPr>
          <w:color w:val="000000"/>
          <w:spacing w:val="2"/>
        </w:rPr>
        <w:t>š</w:t>
      </w:r>
      <w:r>
        <w:rPr>
          <w:color w:val="000000"/>
        </w:rPr>
        <w:t>i</w:t>
      </w:r>
      <w:r>
        <w:rPr>
          <w:color w:val="000000"/>
          <w:spacing w:val="5"/>
        </w:rPr>
        <w:t xml:space="preserve"> </w:t>
      </w:r>
      <w:r>
        <w:rPr>
          <w:color w:val="000000"/>
        </w:rPr>
        <w:t>p</w:t>
      </w:r>
      <w:r>
        <w:rPr>
          <w:color w:val="000000"/>
          <w:spacing w:val="-1"/>
        </w:rPr>
        <w:t>a</w:t>
      </w:r>
      <w:r>
        <w:rPr>
          <w:color w:val="000000"/>
        </w:rPr>
        <w:t>d</w:t>
      </w:r>
      <w:r>
        <w:rPr>
          <w:color w:val="000000"/>
          <w:spacing w:val="-1"/>
        </w:rPr>
        <w:t>ė</w:t>
      </w:r>
      <w:r>
        <w:rPr>
          <w:color w:val="000000"/>
          <w:spacing w:val="5"/>
        </w:rPr>
        <w:t>t</w:t>
      </w:r>
      <w:r>
        <w:rPr>
          <w:color w:val="000000"/>
          <w:spacing w:val="-9"/>
        </w:rPr>
        <w:t>i</w:t>
      </w:r>
      <w:r>
        <w:rPr>
          <w:color w:val="000000"/>
        </w:rPr>
        <w:t>s g</w:t>
      </w:r>
      <w:r>
        <w:rPr>
          <w:color w:val="000000"/>
          <w:spacing w:val="1"/>
        </w:rPr>
        <w:t>r</w:t>
      </w:r>
      <w:r>
        <w:rPr>
          <w:color w:val="000000"/>
          <w:spacing w:val="4"/>
        </w:rPr>
        <w:t>e</w:t>
      </w:r>
      <w:r>
        <w:rPr>
          <w:color w:val="000000"/>
          <w:spacing w:val="-4"/>
        </w:rPr>
        <w:t>i</w:t>
      </w:r>
      <w:r>
        <w:rPr>
          <w:color w:val="000000"/>
          <w:spacing w:val="4"/>
        </w:rPr>
        <w:t>č</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w:t>
      </w:r>
      <w:r>
        <w:rPr>
          <w:color w:val="000000"/>
          <w:spacing w:val="-4"/>
        </w:rPr>
        <w:t>i</w:t>
      </w:r>
      <w:r>
        <w:rPr>
          <w:color w:val="000000"/>
          <w:spacing w:val="2"/>
        </w:rPr>
        <w:t>š</w:t>
      </w:r>
      <w:r>
        <w:rPr>
          <w:color w:val="000000"/>
        </w:rPr>
        <w:t>l</w:t>
      </w:r>
      <w:r>
        <w:rPr>
          <w:color w:val="000000"/>
          <w:spacing w:val="-4"/>
        </w:rPr>
        <w:t>i</w:t>
      </w:r>
      <w:r>
        <w:rPr>
          <w:color w:val="000000"/>
          <w:spacing w:val="5"/>
        </w:rPr>
        <w:t>k</w:t>
      </w:r>
      <w:r>
        <w:rPr>
          <w:color w:val="000000"/>
        </w:rPr>
        <w:t>s</w:t>
      </w:r>
      <w:r>
        <w:rPr>
          <w:color w:val="000000"/>
          <w:spacing w:val="5"/>
        </w:rPr>
        <w:t xml:space="preserve"> </w:t>
      </w:r>
      <w:r>
        <w:rPr>
          <w:color w:val="000000"/>
          <w:spacing w:val="-9"/>
        </w:rPr>
        <w:t>i</w:t>
      </w:r>
      <w:r>
        <w:rPr>
          <w:color w:val="000000"/>
        </w:rPr>
        <w:t>r</w:t>
      </w:r>
      <w:r>
        <w:rPr>
          <w:color w:val="000000"/>
          <w:spacing w:val="3"/>
        </w:rPr>
        <w:t xml:space="preserve"> </w:t>
      </w:r>
      <w:r>
        <w:rPr>
          <w:color w:val="000000"/>
          <w:spacing w:val="-1"/>
        </w:rPr>
        <w:t>a</w:t>
      </w:r>
      <w:r>
        <w:rPr>
          <w:color w:val="000000"/>
          <w:spacing w:val="5"/>
        </w:rPr>
        <w:t>t</w:t>
      </w:r>
      <w:r>
        <w:rPr>
          <w:color w:val="000000"/>
          <w:spacing w:val="-1"/>
        </w:rPr>
        <w:t>e</w:t>
      </w:r>
      <w:r>
        <w:rPr>
          <w:color w:val="000000"/>
          <w:spacing w:val="-9"/>
        </w:rPr>
        <w:t>i</w:t>
      </w:r>
      <w:r>
        <w:rPr>
          <w:color w:val="000000"/>
          <w:spacing w:val="10"/>
        </w:rPr>
        <w:t>t</w:t>
      </w:r>
      <w:r>
        <w:rPr>
          <w:color w:val="000000"/>
          <w:spacing w:val="-5"/>
        </w:rPr>
        <w:t>y</w:t>
      </w:r>
      <w:r>
        <w:rPr>
          <w:color w:val="000000"/>
          <w:spacing w:val="-4"/>
        </w:rPr>
        <w:t>j</w:t>
      </w:r>
      <w:r>
        <w:rPr>
          <w:color w:val="000000"/>
          <w:spacing w:val="-1"/>
        </w:rPr>
        <w:t>e</w:t>
      </w:r>
      <w:r>
        <w:rPr>
          <w:color w:val="000000"/>
        </w:rPr>
        <w:t>.</w:t>
      </w:r>
      <w:r>
        <w:rPr>
          <w:color w:val="000000"/>
          <w:spacing w:val="4"/>
        </w:rPr>
        <w:t xml:space="preserve"> </w:t>
      </w:r>
      <w:r>
        <w:rPr>
          <w:color w:val="000000"/>
        </w:rPr>
        <w:t>N</w:t>
      </w:r>
      <w:r>
        <w:rPr>
          <w:color w:val="000000"/>
          <w:spacing w:val="-1"/>
        </w:rPr>
        <w:t>e</w:t>
      </w:r>
      <w:r>
        <w:rPr>
          <w:color w:val="000000"/>
        </w:rPr>
        <w:t xml:space="preserve">s </w:t>
      </w:r>
      <w:r>
        <w:rPr>
          <w:color w:val="000000"/>
          <w:spacing w:val="3"/>
        </w:rPr>
        <w:t>C</w:t>
      </w:r>
      <w:r>
        <w:rPr>
          <w:color w:val="000000"/>
          <w:spacing w:val="4"/>
        </w:rPr>
        <w:t>e</w:t>
      </w:r>
      <w:r>
        <w:rPr>
          <w:color w:val="000000"/>
          <w:spacing w:val="-5"/>
        </w:rPr>
        <w:t>n</w:t>
      </w:r>
      <w:r>
        <w:rPr>
          <w:color w:val="000000"/>
          <w:spacing w:val="5"/>
        </w:rPr>
        <w:t>t</w:t>
      </w:r>
      <w:r>
        <w:rPr>
          <w:color w:val="000000"/>
          <w:spacing w:val="1"/>
        </w:rPr>
        <w:t>r</w:t>
      </w:r>
      <w:r>
        <w:rPr>
          <w:color w:val="000000"/>
          <w:spacing w:val="-1"/>
        </w:rPr>
        <w:t>a</w:t>
      </w:r>
      <w:r>
        <w:rPr>
          <w:color w:val="000000"/>
        </w:rPr>
        <w:t>s d</w:t>
      </w:r>
      <w:r>
        <w:rPr>
          <w:color w:val="000000"/>
          <w:spacing w:val="4"/>
        </w:rPr>
        <w:t>ė</w:t>
      </w:r>
      <w:r>
        <w:rPr>
          <w:color w:val="000000"/>
        </w:rPr>
        <w:t>l g</w:t>
      </w:r>
      <w:r>
        <w:rPr>
          <w:color w:val="000000"/>
          <w:spacing w:val="1"/>
        </w:rPr>
        <w:t>r</w:t>
      </w:r>
      <w:r>
        <w:rPr>
          <w:color w:val="000000"/>
          <w:spacing w:val="4"/>
        </w:rPr>
        <w:t>e</w:t>
      </w:r>
      <w:r>
        <w:rPr>
          <w:color w:val="000000"/>
          <w:spacing w:val="-9"/>
        </w:rPr>
        <w:t>i</w:t>
      </w:r>
      <w:r>
        <w:rPr>
          <w:color w:val="000000"/>
          <w:spacing w:val="5"/>
        </w:rPr>
        <w:t>t</w:t>
      </w:r>
      <w:r>
        <w:rPr>
          <w:color w:val="000000"/>
          <w:spacing w:val="4"/>
        </w:rPr>
        <w:t>a</w:t>
      </w:r>
      <w:r>
        <w:rPr>
          <w:color w:val="000000"/>
        </w:rPr>
        <w:t>i</w:t>
      </w:r>
      <w:r>
        <w:rPr>
          <w:color w:val="000000"/>
          <w:spacing w:val="5"/>
        </w:rPr>
        <w:t xml:space="preserve"> </w:t>
      </w:r>
      <w:r>
        <w:rPr>
          <w:color w:val="000000"/>
          <w:spacing w:val="-5"/>
        </w:rPr>
        <w:t>b</w:t>
      </w:r>
      <w:r>
        <w:rPr>
          <w:color w:val="000000"/>
          <w:spacing w:val="4"/>
        </w:rPr>
        <w:t>e</w:t>
      </w:r>
      <w:r>
        <w:rPr>
          <w:color w:val="000000"/>
          <w:spacing w:val="2"/>
        </w:rPr>
        <w:t>s</w:t>
      </w:r>
      <w:r>
        <w:rPr>
          <w:color w:val="000000"/>
          <w:spacing w:val="-4"/>
        </w:rPr>
        <w:t>i</w:t>
      </w:r>
      <w:r>
        <w:rPr>
          <w:color w:val="000000"/>
        </w:rPr>
        <w:t>k</w:t>
      </w:r>
      <w:r>
        <w:rPr>
          <w:color w:val="000000"/>
          <w:spacing w:val="4"/>
        </w:rPr>
        <w:t>e</w:t>
      </w:r>
      <w:r>
        <w:rPr>
          <w:color w:val="000000"/>
          <w:spacing w:val="-4"/>
        </w:rPr>
        <w:t>i</w:t>
      </w:r>
      <w:r>
        <w:rPr>
          <w:color w:val="000000"/>
          <w:spacing w:val="4"/>
        </w:rPr>
        <w:t>č</w:t>
      </w:r>
      <w:r>
        <w:rPr>
          <w:color w:val="000000"/>
          <w:spacing w:val="-4"/>
        </w:rPr>
        <w:t>i</w:t>
      </w:r>
      <w:r>
        <w:rPr>
          <w:color w:val="000000"/>
          <w:spacing w:val="4"/>
        </w:rPr>
        <w:t>a</w:t>
      </w:r>
      <w:r>
        <w:rPr>
          <w:color w:val="000000"/>
          <w:spacing w:val="-5"/>
        </w:rPr>
        <w:t>n</w:t>
      </w:r>
      <w:r>
        <w:rPr>
          <w:color w:val="000000"/>
          <w:spacing w:val="4"/>
        </w:rPr>
        <w:t>č</w:t>
      </w:r>
      <w:r>
        <w:rPr>
          <w:color w:val="000000"/>
          <w:spacing w:val="-9"/>
        </w:rPr>
        <w:t>i</w:t>
      </w:r>
      <w:r>
        <w:rPr>
          <w:color w:val="000000"/>
          <w:spacing w:val="9"/>
        </w:rPr>
        <w:t>o</w:t>
      </w:r>
      <w:r>
        <w:rPr>
          <w:color w:val="000000"/>
        </w:rPr>
        <w:t>s</w:t>
      </w:r>
      <w:r>
        <w:rPr>
          <w:color w:val="000000"/>
          <w:spacing w:val="7"/>
        </w:rPr>
        <w:t xml:space="preserve"> </w:t>
      </w:r>
      <w:r>
        <w:rPr>
          <w:color w:val="000000"/>
          <w:spacing w:val="2"/>
        </w:rPr>
        <w:t>s</w:t>
      </w:r>
      <w:r>
        <w:rPr>
          <w:color w:val="000000"/>
          <w:spacing w:val="-9"/>
        </w:rPr>
        <w:t>i</w:t>
      </w:r>
      <w:r>
        <w:rPr>
          <w:color w:val="000000"/>
          <w:spacing w:val="5"/>
        </w:rPr>
        <w:t>t</w:t>
      </w:r>
      <w:r>
        <w:rPr>
          <w:color w:val="000000"/>
        </w:rPr>
        <w:t>u</w:t>
      </w:r>
      <w:r>
        <w:rPr>
          <w:color w:val="000000"/>
          <w:spacing w:val="-1"/>
        </w:rPr>
        <w:t>a</w:t>
      </w:r>
      <w:r>
        <w:rPr>
          <w:color w:val="000000"/>
          <w:spacing w:val="4"/>
        </w:rPr>
        <w:t>c</w:t>
      </w:r>
      <w:r>
        <w:rPr>
          <w:color w:val="000000"/>
        </w:rPr>
        <w:t>i</w:t>
      </w:r>
      <w:r>
        <w:rPr>
          <w:color w:val="000000"/>
          <w:spacing w:val="-9"/>
        </w:rPr>
        <w:t>j</w:t>
      </w:r>
      <w:r>
        <w:rPr>
          <w:color w:val="000000"/>
          <w:spacing w:val="5"/>
        </w:rPr>
        <w:t>o</w:t>
      </w:r>
      <w:r>
        <w:rPr>
          <w:color w:val="000000"/>
        </w:rPr>
        <w:t>s</w:t>
      </w:r>
      <w:r>
        <w:rPr>
          <w:color w:val="000000"/>
          <w:spacing w:val="7"/>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10"/>
        </w:rPr>
        <w:t>t</w:t>
      </w:r>
      <w:r>
        <w:rPr>
          <w:color w:val="000000"/>
          <w:spacing w:val="-5"/>
        </w:rPr>
        <w:t>y</w:t>
      </w:r>
      <w:r>
        <w:rPr>
          <w:color w:val="000000"/>
        </w:rPr>
        <w:t>v</w:t>
      </w:r>
      <w:r>
        <w:rPr>
          <w:color w:val="000000"/>
          <w:spacing w:val="-4"/>
        </w:rPr>
        <w:t>i</w:t>
      </w:r>
      <w:r>
        <w:rPr>
          <w:color w:val="000000"/>
        </w:rPr>
        <w:t>ų</w:t>
      </w:r>
      <w:r>
        <w:rPr>
          <w:color w:val="000000"/>
          <w:spacing w:val="14"/>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9"/>
        </w:rPr>
        <w:t xml:space="preserve">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9"/>
        </w:rPr>
        <w:t>j</w:t>
      </w:r>
      <w:r>
        <w:rPr>
          <w:color w:val="000000"/>
        </w:rPr>
        <w:t>e</w:t>
      </w:r>
      <w:r>
        <w:rPr>
          <w:color w:val="000000"/>
          <w:spacing w:val="13"/>
        </w:rPr>
        <w:t xml:space="preserve"> </w:t>
      </w:r>
      <w:r>
        <w:rPr>
          <w:color w:val="000000"/>
          <w:spacing w:val="-5"/>
        </w:rPr>
        <w:t>b</w:t>
      </w:r>
      <w:r>
        <w:rPr>
          <w:color w:val="000000"/>
          <w:spacing w:val="4"/>
        </w:rPr>
        <w:t>e</w:t>
      </w:r>
      <w:r>
        <w:rPr>
          <w:color w:val="000000"/>
        </w:rPr>
        <w:t>i</w:t>
      </w:r>
      <w:r>
        <w:rPr>
          <w:color w:val="000000"/>
          <w:spacing w:val="5"/>
        </w:rPr>
        <w:t xml:space="preserve"> </w:t>
      </w:r>
      <w:r>
        <w:rPr>
          <w:color w:val="000000"/>
        </w:rPr>
        <w:t>d</w:t>
      </w:r>
      <w:r>
        <w:rPr>
          <w:color w:val="000000"/>
          <w:spacing w:val="4"/>
        </w:rPr>
        <w:t>ė</w:t>
      </w:r>
      <w:r>
        <w:rPr>
          <w:color w:val="000000"/>
        </w:rPr>
        <w:t>l</w:t>
      </w:r>
      <w:r>
        <w:rPr>
          <w:color w:val="000000"/>
          <w:spacing w:val="9"/>
        </w:rPr>
        <w:t xml:space="preserve"> </w:t>
      </w:r>
      <w:r>
        <w:rPr>
          <w:color w:val="000000"/>
          <w:spacing w:val="-3"/>
        </w:rPr>
        <w:t>f</w:t>
      </w:r>
      <w:r>
        <w:rPr>
          <w:color w:val="000000"/>
          <w:spacing w:val="-4"/>
        </w:rPr>
        <w:t>i</w:t>
      </w:r>
      <w:r>
        <w:rPr>
          <w:color w:val="000000"/>
        </w:rPr>
        <w:t>n</w:t>
      </w:r>
      <w:r>
        <w:rPr>
          <w:color w:val="000000"/>
          <w:spacing w:val="4"/>
        </w:rPr>
        <w:t>a</w:t>
      </w:r>
      <w:r>
        <w:rPr>
          <w:color w:val="000000"/>
        </w:rPr>
        <w:t>n</w:t>
      </w:r>
      <w:r>
        <w:rPr>
          <w:color w:val="000000"/>
          <w:spacing w:val="2"/>
        </w:rPr>
        <w:t>s</w:t>
      </w:r>
      <w:r>
        <w:rPr>
          <w:color w:val="000000"/>
          <w:spacing w:val="-4"/>
        </w:rPr>
        <w:t>i</w:t>
      </w:r>
      <w:r>
        <w:rPr>
          <w:color w:val="000000"/>
          <w:spacing w:val="5"/>
        </w:rPr>
        <w:t>n</w:t>
      </w:r>
      <w:r>
        <w:rPr>
          <w:color w:val="000000"/>
          <w:spacing w:val="-4"/>
        </w:rPr>
        <w:t>i</w:t>
      </w:r>
      <w:r>
        <w:rPr>
          <w:color w:val="000000"/>
        </w:rPr>
        <w:t>ų</w:t>
      </w:r>
      <w:r>
        <w:rPr>
          <w:color w:val="000000"/>
          <w:spacing w:val="9"/>
        </w:rPr>
        <w:t xml:space="preserve"> </w:t>
      </w:r>
      <w:r>
        <w:rPr>
          <w:color w:val="000000"/>
        </w:rPr>
        <w:t>d</w:t>
      </w:r>
      <w:r>
        <w:rPr>
          <w:color w:val="000000"/>
          <w:spacing w:val="4"/>
        </w:rPr>
        <w:t>a</w:t>
      </w:r>
      <w:r>
        <w:rPr>
          <w:color w:val="000000"/>
        </w:rPr>
        <w:t>l</w:t>
      </w:r>
      <w:r>
        <w:rPr>
          <w:color w:val="000000"/>
          <w:spacing w:val="-4"/>
        </w:rPr>
        <w:t>y</w:t>
      </w:r>
      <w:r>
        <w:rPr>
          <w:color w:val="000000"/>
        </w:rPr>
        <w:t xml:space="preserve">kų, </w:t>
      </w:r>
      <w:r>
        <w:rPr>
          <w:color w:val="000000"/>
          <w:spacing w:val="5"/>
        </w:rPr>
        <w:t>t</w:t>
      </w:r>
      <w:r>
        <w:rPr>
          <w:color w:val="000000"/>
          <w:spacing w:val="-9"/>
        </w:rPr>
        <w:t>i</w:t>
      </w:r>
      <w:r>
        <w:rPr>
          <w:color w:val="000000"/>
          <w:spacing w:val="-1"/>
        </w:rPr>
        <w:t>e</w:t>
      </w:r>
      <w:r>
        <w:rPr>
          <w:color w:val="000000"/>
          <w:spacing w:val="3"/>
        </w:rPr>
        <w:t>s</w:t>
      </w:r>
      <w:r>
        <w:rPr>
          <w:color w:val="000000"/>
          <w:spacing w:val="-9"/>
        </w:rPr>
        <w:t>i</w:t>
      </w:r>
      <w:r>
        <w:rPr>
          <w:color w:val="000000"/>
          <w:spacing w:val="5"/>
        </w:rPr>
        <w:t>o</w:t>
      </w:r>
      <w:r>
        <w:rPr>
          <w:color w:val="000000"/>
        </w:rPr>
        <w:t>g</w:t>
      </w:r>
      <w:r>
        <w:rPr>
          <w:color w:val="000000"/>
          <w:spacing w:val="7"/>
        </w:rPr>
        <w:t xml:space="preserve"> </w:t>
      </w:r>
      <w:r>
        <w:rPr>
          <w:color w:val="000000"/>
          <w:spacing w:val="-5"/>
        </w:rPr>
        <w:t>b</w:t>
      </w:r>
      <w:r>
        <w:rPr>
          <w:color w:val="000000"/>
        </w:rPr>
        <w:t>us</w:t>
      </w:r>
      <w:r>
        <w:rPr>
          <w:color w:val="000000"/>
          <w:spacing w:val="5"/>
        </w:rPr>
        <w:t xml:space="preserve"> </w:t>
      </w:r>
      <w:r>
        <w:rPr>
          <w:color w:val="000000"/>
          <w:spacing w:val="-5"/>
        </w:rPr>
        <w:t>n</w:t>
      </w:r>
      <w:r>
        <w:rPr>
          <w:color w:val="000000"/>
          <w:spacing w:val="-1"/>
        </w:rPr>
        <w:t>e</w:t>
      </w:r>
      <w:r>
        <w:rPr>
          <w:color w:val="000000"/>
        </w:rPr>
        <w:t>p</w:t>
      </w:r>
      <w:r>
        <w:rPr>
          <w:color w:val="000000"/>
          <w:spacing w:val="4"/>
        </w:rPr>
        <w:t>a</w:t>
      </w:r>
      <w:r>
        <w:rPr>
          <w:color w:val="000000"/>
          <w:spacing w:val="-4"/>
        </w:rPr>
        <w:t>j</w:t>
      </w:r>
      <w:r>
        <w:rPr>
          <w:color w:val="000000"/>
          <w:spacing w:val="-1"/>
        </w:rPr>
        <w:t>ė</w:t>
      </w:r>
      <w:r>
        <w:rPr>
          <w:color w:val="000000"/>
        </w:rPr>
        <w:t>g</w:t>
      </w:r>
      <w:r>
        <w:rPr>
          <w:color w:val="000000"/>
          <w:spacing w:val="5"/>
        </w:rPr>
        <w:t>u</w:t>
      </w:r>
      <w:r>
        <w:rPr>
          <w:color w:val="000000"/>
        </w:rPr>
        <w:t>s</w:t>
      </w:r>
      <w:r>
        <w:rPr>
          <w:color w:val="000000"/>
          <w:spacing w:val="2"/>
        </w:rPr>
        <w:t xml:space="preserve"> </w:t>
      </w:r>
      <w:r>
        <w:rPr>
          <w:color w:val="000000"/>
        </w:rPr>
        <w:t>v</w:t>
      </w:r>
      <w:r>
        <w:rPr>
          <w:color w:val="000000"/>
          <w:spacing w:val="-4"/>
        </w:rPr>
        <w:t>i</w:t>
      </w:r>
      <w:r>
        <w:rPr>
          <w:color w:val="000000"/>
          <w:spacing w:val="2"/>
        </w:rPr>
        <w:t>s</w:t>
      </w:r>
      <w:r>
        <w:rPr>
          <w:color w:val="000000"/>
          <w:spacing w:val="-4"/>
        </w:rPr>
        <w:t>i</w:t>
      </w:r>
      <w:r>
        <w:rPr>
          <w:color w:val="000000"/>
          <w:spacing w:val="2"/>
        </w:rPr>
        <w:t>š</w:t>
      </w:r>
      <w:r>
        <w:rPr>
          <w:color w:val="000000"/>
        </w:rPr>
        <w:t>k</w:t>
      </w:r>
      <w:r>
        <w:rPr>
          <w:color w:val="000000"/>
          <w:spacing w:val="4"/>
        </w:rPr>
        <w:t>a</w:t>
      </w:r>
      <w:r>
        <w:rPr>
          <w:color w:val="000000"/>
        </w:rPr>
        <w:t>i</w:t>
      </w:r>
      <w:r>
        <w:rPr>
          <w:color w:val="000000"/>
          <w:spacing w:val="-5"/>
        </w:rPr>
        <w:t xml:space="preserve"> </w:t>
      </w:r>
      <w:r>
        <w:rPr>
          <w:color w:val="000000"/>
          <w:spacing w:val="5"/>
        </w:rPr>
        <w:t>u</w:t>
      </w:r>
      <w:r>
        <w:rPr>
          <w:color w:val="000000"/>
          <w:spacing w:val="-1"/>
        </w:rPr>
        <w:t>ž</w:t>
      </w:r>
      <w:r>
        <w:rPr>
          <w:color w:val="000000"/>
          <w:spacing w:val="5"/>
        </w:rPr>
        <w:t>t</w:t>
      </w:r>
      <w:r>
        <w:rPr>
          <w:color w:val="000000"/>
          <w:spacing w:val="-9"/>
        </w:rPr>
        <w:t>i</w:t>
      </w:r>
      <w:r>
        <w:rPr>
          <w:color w:val="000000"/>
        </w:rPr>
        <w:t>k</w:t>
      </w:r>
      <w:r>
        <w:rPr>
          <w:color w:val="000000"/>
          <w:spacing w:val="6"/>
        </w:rPr>
        <w:t>r</w:t>
      </w:r>
      <w:r>
        <w:rPr>
          <w:color w:val="000000"/>
          <w:spacing w:val="-4"/>
        </w:rPr>
        <w:t>i</w:t>
      </w:r>
      <w:r>
        <w:rPr>
          <w:color w:val="000000"/>
          <w:spacing w:val="-5"/>
        </w:rPr>
        <w:t>n</w:t>
      </w:r>
      <w:r>
        <w:rPr>
          <w:color w:val="000000"/>
          <w:spacing w:val="10"/>
        </w:rPr>
        <w:t>t</w:t>
      </w:r>
      <w:r>
        <w:rPr>
          <w:color w:val="000000"/>
        </w:rPr>
        <w:t>i</w:t>
      </w:r>
      <w:r>
        <w:rPr>
          <w:color w:val="000000"/>
          <w:spacing w:val="-7"/>
        </w:rPr>
        <w:t xml:space="preserve"> </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5"/>
        </w:rPr>
        <w:t>o</w:t>
      </w:r>
      <w:r>
        <w:rPr>
          <w:color w:val="000000"/>
        </w:rPr>
        <w:t>s</w:t>
      </w:r>
      <w:r>
        <w:rPr>
          <w:color w:val="000000"/>
          <w:spacing w:val="5"/>
        </w:rPr>
        <w:t xml:space="preserve"> </w:t>
      </w:r>
      <w:r>
        <w:rPr>
          <w:color w:val="000000"/>
          <w:spacing w:val="-4"/>
        </w:rPr>
        <w:t>i</w:t>
      </w:r>
      <w:r>
        <w:rPr>
          <w:color w:val="000000"/>
          <w:spacing w:val="-5"/>
        </w:rPr>
        <w:t>n</w:t>
      </w:r>
      <w:r>
        <w:rPr>
          <w:color w:val="000000"/>
          <w:spacing w:val="-2"/>
        </w:rPr>
        <w:t>s</w:t>
      </w:r>
      <w:r>
        <w:rPr>
          <w:color w:val="000000"/>
          <w:spacing w:val="10"/>
        </w:rPr>
        <w:t>t</w:t>
      </w:r>
      <w:r>
        <w:rPr>
          <w:color w:val="000000"/>
          <w:spacing w:val="-9"/>
        </w:rPr>
        <w:t>i</w:t>
      </w:r>
      <w:r>
        <w:rPr>
          <w:color w:val="000000"/>
          <w:spacing w:val="5"/>
        </w:rPr>
        <w:t>t</w:t>
      </w:r>
      <w:r>
        <w:rPr>
          <w:color w:val="000000"/>
        </w:rPr>
        <w:t>u</w:t>
      </w:r>
      <w:r>
        <w:rPr>
          <w:color w:val="000000"/>
          <w:spacing w:val="4"/>
        </w:rPr>
        <w:t>c</w:t>
      </w:r>
      <w:r>
        <w:rPr>
          <w:color w:val="000000"/>
          <w:spacing w:val="-4"/>
        </w:rPr>
        <w:t>ij</w:t>
      </w:r>
      <w:r>
        <w:rPr>
          <w:color w:val="000000"/>
        </w:rPr>
        <w:t>ų</w:t>
      </w:r>
      <w:r>
        <w:rPr>
          <w:color w:val="000000"/>
          <w:spacing w:val="2"/>
        </w:rPr>
        <w:t xml:space="preserve"> </w:t>
      </w:r>
      <w:r>
        <w:rPr>
          <w:color w:val="000000"/>
        </w:rPr>
        <w:t>p</w:t>
      </w:r>
      <w:r>
        <w:rPr>
          <w:color w:val="000000"/>
          <w:spacing w:val="5"/>
        </w:rPr>
        <w:t>o</w:t>
      </w:r>
      <w:r>
        <w:rPr>
          <w:color w:val="000000"/>
          <w:spacing w:val="1"/>
        </w:rPr>
        <w:t>r</w:t>
      </w:r>
      <w:r>
        <w:rPr>
          <w:color w:val="000000"/>
          <w:spacing w:val="-1"/>
        </w:rPr>
        <w:t>e</w:t>
      </w:r>
      <w:r>
        <w:rPr>
          <w:color w:val="000000"/>
          <w:spacing w:val="-9"/>
        </w:rPr>
        <w:t>i</w:t>
      </w:r>
      <w:r>
        <w:rPr>
          <w:color w:val="000000"/>
          <w:spacing w:val="5"/>
        </w:rPr>
        <w:t>k</w:t>
      </w:r>
      <w:r>
        <w:rPr>
          <w:color w:val="000000"/>
          <w:spacing w:val="-4"/>
        </w:rPr>
        <w:t>i</w:t>
      </w:r>
      <w:r>
        <w:rPr>
          <w:color w:val="000000"/>
        </w:rPr>
        <w:t xml:space="preserve">us </w:t>
      </w:r>
      <w:r>
        <w:rPr>
          <w:color w:val="000000"/>
          <w:spacing w:val="10"/>
        </w:rPr>
        <w:t>t</w:t>
      </w:r>
      <w:r>
        <w:rPr>
          <w:color w:val="000000"/>
          <w:spacing w:val="-9"/>
        </w:rPr>
        <w:t>i</w:t>
      </w:r>
      <w:r>
        <w:rPr>
          <w:color w:val="000000"/>
          <w:spacing w:val="6"/>
        </w:rPr>
        <w:t>r</w:t>
      </w:r>
      <w:r>
        <w:rPr>
          <w:color w:val="000000"/>
          <w:spacing w:val="-9"/>
        </w:rPr>
        <w:t>i</w:t>
      </w:r>
      <w:r>
        <w:rPr>
          <w:color w:val="000000"/>
          <w:spacing w:val="4"/>
        </w:rPr>
        <w:t>a</w:t>
      </w:r>
      <w:r>
        <w:rPr>
          <w:color w:val="000000"/>
          <w:spacing w:val="-5"/>
        </w:rPr>
        <w:t>n</w:t>
      </w:r>
      <w:r>
        <w:rPr>
          <w:color w:val="000000"/>
        </w:rPr>
        <w:t>t</w:t>
      </w:r>
      <w:r>
        <w:rPr>
          <w:color w:val="000000"/>
          <w:spacing w:val="7"/>
        </w:rPr>
        <w:t xml:space="preserve"> </w:t>
      </w:r>
      <w:r>
        <w:rPr>
          <w:color w:val="000000"/>
          <w:spacing w:val="-5"/>
        </w:rPr>
        <w:t>n</w:t>
      </w:r>
      <w:r>
        <w:rPr>
          <w:color w:val="000000"/>
          <w:spacing w:val="-1"/>
        </w:rPr>
        <w:t>a</w:t>
      </w:r>
      <w:r>
        <w:rPr>
          <w:color w:val="000000"/>
          <w:spacing w:val="5"/>
        </w:rPr>
        <w:t>u</w:t>
      </w:r>
      <w:r>
        <w:rPr>
          <w:color w:val="000000"/>
          <w:spacing w:val="-4"/>
        </w:rPr>
        <w:t>j</w:t>
      </w:r>
      <w:r>
        <w:rPr>
          <w:color w:val="000000"/>
          <w:spacing w:val="4"/>
        </w:rPr>
        <w:t>a</w:t>
      </w:r>
      <w:r>
        <w:rPr>
          <w:color w:val="000000"/>
        </w:rPr>
        <w:t>s</w:t>
      </w:r>
      <w:r>
        <w:rPr>
          <w:color w:val="000000"/>
          <w:spacing w:val="5"/>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spacing w:val="-1"/>
        </w:rPr>
        <w:t>a</w:t>
      </w:r>
      <w:r>
        <w:rPr>
          <w:color w:val="000000"/>
          <w:spacing w:val="-2"/>
        </w:rPr>
        <w:t>s</w:t>
      </w:r>
      <w:r>
        <w:rPr>
          <w:color w:val="000000"/>
        </w:rPr>
        <w:t>.</w:t>
      </w:r>
    </w:p>
    <w:p w:rsidR="004F7425" w:rsidRDefault="004F7425" w:rsidP="004F7425">
      <w:pPr>
        <w:widowControl w:val="0"/>
        <w:autoSpaceDE w:val="0"/>
        <w:autoSpaceDN w:val="0"/>
        <w:adjustRightInd w:val="0"/>
        <w:spacing w:before="2"/>
        <w:ind w:left="120" w:right="62" w:firstLine="711"/>
        <w:jc w:val="both"/>
        <w:rPr>
          <w:color w:val="000000"/>
        </w:rPr>
      </w:pPr>
      <w:r>
        <w:rPr>
          <w:color w:val="000000"/>
          <w:spacing w:val="-2"/>
        </w:rPr>
        <w:t>J</w:t>
      </w:r>
      <w:r>
        <w:rPr>
          <w:color w:val="000000"/>
          <w:spacing w:val="4"/>
        </w:rPr>
        <w:t>e</w:t>
      </w:r>
      <w:r>
        <w:rPr>
          <w:color w:val="000000"/>
          <w:spacing w:val="-4"/>
        </w:rPr>
        <w:t>i</w:t>
      </w:r>
      <w:r>
        <w:rPr>
          <w:color w:val="000000"/>
        </w:rPr>
        <w:t>gu</w:t>
      </w:r>
      <w:r>
        <w:rPr>
          <w:color w:val="000000"/>
          <w:spacing w:val="26"/>
        </w:rPr>
        <w:t xml:space="preserve"> </w:t>
      </w:r>
      <w:r>
        <w:rPr>
          <w:color w:val="000000"/>
          <w:spacing w:val="-1"/>
        </w:rPr>
        <w:t>a</w:t>
      </w:r>
      <w:r>
        <w:rPr>
          <w:color w:val="000000"/>
          <w:spacing w:val="-5"/>
        </w:rPr>
        <w:t>n</w:t>
      </w:r>
      <w:r>
        <w:rPr>
          <w:color w:val="000000"/>
          <w:spacing w:val="5"/>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29"/>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rPr>
        <w:t>s</w:t>
      </w:r>
      <w:r>
        <w:rPr>
          <w:color w:val="000000"/>
          <w:spacing w:val="24"/>
        </w:rPr>
        <w:t xml:space="preserve"> </w:t>
      </w:r>
      <w:r>
        <w:rPr>
          <w:color w:val="000000"/>
          <w:spacing w:val="1"/>
        </w:rPr>
        <w:t>(</w:t>
      </w:r>
      <w:r>
        <w:rPr>
          <w:color w:val="000000"/>
        </w:rPr>
        <w:t>2010</w:t>
      </w:r>
      <w:r>
        <w:rPr>
          <w:color w:val="000000"/>
          <w:spacing w:val="31"/>
        </w:rPr>
        <w:t xml:space="preserve"> </w:t>
      </w:r>
      <w:r>
        <w:rPr>
          <w:color w:val="000000"/>
          <w:spacing w:val="-9"/>
        </w:rPr>
        <w:t>m</w:t>
      </w:r>
      <w:r>
        <w:rPr>
          <w:color w:val="000000"/>
        </w:rPr>
        <w:t>.</w:t>
      </w:r>
      <w:r>
        <w:rPr>
          <w:color w:val="000000"/>
          <w:spacing w:val="33"/>
        </w:rPr>
        <w:t xml:space="preserve"> </w:t>
      </w:r>
      <w:r>
        <w:rPr>
          <w:color w:val="000000"/>
        </w:rPr>
        <w:t>-</w:t>
      </w:r>
      <w:r>
        <w:rPr>
          <w:color w:val="000000"/>
          <w:spacing w:val="28"/>
        </w:rPr>
        <w:t xml:space="preserve"> </w:t>
      </w:r>
      <w:r>
        <w:rPr>
          <w:color w:val="000000"/>
        </w:rPr>
        <w:t>2011</w:t>
      </w:r>
      <w:r>
        <w:rPr>
          <w:color w:val="000000"/>
          <w:spacing w:val="26"/>
        </w:rPr>
        <w:t xml:space="preserve"> </w:t>
      </w:r>
      <w:r>
        <w:rPr>
          <w:color w:val="000000"/>
          <w:spacing w:val="-9"/>
        </w:rPr>
        <w:t>m</w:t>
      </w:r>
      <w:r>
        <w:rPr>
          <w:color w:val="000000"/>
          <w:spacing w:val="2"/>
        </w:rPr>
        <w:t>.</w:t>
      </w:r>
      <w:r>
        <w:rPr>
          <w:color w:val="000000"/>
        </w:rPr>
        <w:t>)</w:t>
      </w:r>
      <w:r>
        <w:rPr>
          <w:color w:val="000000"/>
          <w:spacing w:val="29"/>
        </w:rPr>
        <w:t xml:space="preserve"> </w:t>
      </w:r>
      <w:r>
        <w:rPr>
          <w:color w:val="974705"/>
        </w:rPr>
        <w:t>p</w:t>
      </w:r>
      <w:r>
        <w:rPr>
          <w:color w:val="974705"/>
          <w:spacing w:val="-2"/>
        </w:rPr>
        <w:t>s</w:t>
      </w:r>
      <w:r>
        <w:rPr>
          <w:color w:val="974705"/>
          <w:spacing w:val="-4"/>
        </w:rPr>
        <w:t>i</w:t>
      </w:r>
      <w:r>
        <w:rPr>
          <w:color w:val="974705"/>
          <w:spacing w:val="4"/>
        </w:rPr>
        <w:t>c</w:t>
      </w:r>
      <w:r>
        <w:rPr>
          <w:color w:val="974705"/>
          <w:spacing w:val="-5"/>
        </w:rPr>
        <w:t>h</w:t>
      </w:r>
      <w:r>
        <w:rPr>
          <w:color w:val="974705"/>
          <w:spacing w:val="5"/>
        </w:rPr>
        <w:t>o</w:t>
      </w:r>
      <w:r>
        <w:rPr>
          <w:color w:val="974705"/>
          <w:spacing w:val="-1"/>
        </w:rPr>
        <w:t>a</w:t>
      </w:r>
      <w:r>
        <w:rPr>
          <w:color w:val="974705"/>
        </w:rPr>
        <w:t>k</w:t>
      </w:r>
      <w:r>
        <w:rPr>
          <w:color w:val="974705"/>
          <w:spacing w:val="5"/>
        </w:rPr>
        <w:t>t</w:t>
      </w:r>
      <w:r>
        <w:rPr>
          <w:color w:val="974705"/>
          <w:spacing w:val="-5"/>
        </w:rPr>
        <w:t>y</w:t>
      </w:r>
      <w:r>
        <w:rPr>
          <w:color w:val="974705"/>
        </w:rPr>
        <w:t>v</w:t>
      </w:r>
      <w:r>
        <w:rPr>
          <w:color w:val="974705"/>
          <w:spacing w:val="-9"/>
        </w:rPr>
        <w:t>i</w:t>
      </w:r>
      <w:r>
        <w:rPr>
          <w:color w:val="974705"/>
          <w:spacing w:val="5"/>
        </w:rPr>
        <w:t>o</w:t>
      </w:r>
      <w:r>
        <w:rPr>
          <w:color w:val="974705"/>
        </w:rPr>
        <w:t>s</w:t>
      </w:r>
      <w:r>
        <w:rPr>
          <w:color w:val="974705"/>
          <w:spacing w:val="29"/>
        </w:rPr>
        <w:t xml:space="preserve"> </w:t>
      </w:r>
      <w:r>
        <w:rPr>
          <w:color w:val="974705"/>
          <w:spacing w:val="-4"/>
        </w:rPr>
        <w:t>m</w:t>
      </w:r>
      <w:r>
        <w:rPr>
          <w:color w:val="974705"/>
          <w:spacing w:val="-1"/>
        </w:rPr>
        <w:t>e</w:t>
      </w:r>
      <w:r>
        <w:rPr>
          <w:color w:val="974705"/>
        </w:rPr>
        <w:t>d</w:t>
      </w:r>
      <w:r>
        <w:rPr>
          <w:color w:val="974705"/>
          <w:spacing w:val="4"/>
        </w:rPr>
        <w:t>ž</w:t>
      </w:r>
      <w:r>
        <w:rPr>
          <w:color w:val="974705"/>
          <w:spacing w:val="-4"/>
        </w:rPr>
        <w:t>i</w:t>
      </w:r>
      <w:r>
        <w:rPr>
          <w:color w:val="974705"/>
          <w:spacing w:val="-1"/>
        </w:rPr>
        <w:t>a</w:t>
      </w:r>
      <w:r>
        <w:rPr>
          <w:color w:val="974705"/>
        </w:rPr>
        <w:t>g</w:t>
      </w:r>
      <w:r>
        <w:rPr>
          <w:color w:val="974705"/>
          <w:spacing w:val="5"/>
        </w:rPr>
        <w:t>o</w:t>
      </w:r>
      <w:r>
        <w:rPr>
          <w:color w:val="974705"/>
        </w:rPr>
        <w:t>s</w:t>
      </w:r>
      <w:r>
        <w:rPr>
          <w:color w:val="974705"/>
          <w:spacing w:val="24"/>
        </w:rPr>
        <w:t xml:space="preserve"> </w:t>
      </w:r>
      <w:r>
        <w:rPr>
          <w:color w:val="974705"/>
          <w:spacing w:val="2"/>
        </w:rPr>
        <w:t>L</w:t>
      </w:r>
      <w:r>
        <w:rPr>
          <w:color w:val="974705"/>
          <w:spacing w:val="-4"/>
        </w:rPr>
        <w:t>i</w:t>
      </w:r>
      <w:r>
        <w:rPr>
          <w:color w:val="974705"/>
          <w:spacing w:val="-1"/>
        </w:rPr>
        <w:t>e</w:t>
      </w:r>
      <w:r>
        <w:rPr>
          <w:color w:val="974705"/>
          <w:spacing w:val="5"/>
        </w:rPr>
        <w:t>t</w:t>
      </w:r>
      <w:r>
        <w:rPr>
          <w:color w:val="974705"/>
        </w:rPr>
        <w:t>u</w:t>
      </w:r>
      <w:r>
        <w:rPr>
          <w:color w:val="974705"/>
          <w:spacing w:val="-5"/>
        </w:rPr>
        <w:t>v</w:t>
      </w:r>
      <w:r>
        <w:rPr>
          <w:color w:val="974705"/>
          <w:spacing w:val="9"/>
        </w:rPr>
        <w:t>o</w:t>
      </w:r>
      <w:r>
        <w:rPr>
          <w:color w:val="974705"/>
          <w:spacing w:val="-9"/>
        </w:rPr>
        <w:t>j</w:t>
      </w:r>
      <w:r>
        <w:rPr>
          <w:color w:val="974705"/>
        </w:rPr>
        <w:t>e</w:t>
      </w:r>
      <w:r>
        <w:rPr>
          <w:color w:val="974705"/>
          <w:spacing w:val="30"/>
        </w:rPr>
        <w:t xml:space="preserve"> </w:t>
      </w:r>
      <w:r>
        <w:rPr>
          <w:color w:val="000000"/>
        </w:rPr>
        <w:t>d</w:t>
      </w:r>
      <w:r>
        <w:rPr>
          <w:color w:val="000000"/>
          <w:spacing w:val="-1"/>
        </w:rPr>
        <w:t>a</w:t>
      </w:r>
      <w:r>
        <w:rPr>
          <w:color w:val="000000"/>
          <w:spacing w:val="4"/>
        </w:rPr>
        <w:t>ž</w:t>
      </w:r>
      <w:r>
        <w:rPr>
          <w:color w:val="000000"/>
          <w:spacing w:val="-5"/>
        </w:rPr>
        <w:t>n</w:t>
      </w:r>
      <w:r>
        <w:rPr>
          <w:color w:val="000000"/>
          <w:spacing w:val="4"/>
        </w:rPr>
        <w:t>a</w:t>
      </w:r>
      <w:r>
        <w:rPr>
          <w:color w:val="000000"/>
        </w:rPr>
        <w:t xml:space="preserve">i </w:t>
      </w:r>
      <w:r>
        <w:rPr>
          <w:color w:val="000000"/>
          <w:spacing w:val="-5"/>
        </w:rPr>
        <w:t>b</w:t>
      </w:r>
      <w:r>
        <w:rPr>
          <w:color w:val="000000"/>
        </w:rPr>
        <w:t>ūd</w:t>
      </w:r>
      <w:r>
        <w:rPr>
          <w:color w:val="000000"/>
          <w:spacing w:val="4"/>
        </w:rPr>
        <w:t>a</w:t>
      </w:r>
      <w:r>
        <w:rPr>
          <w:color w:val="000000"/>
          <w:spacing w:val="-5"/>
        </w:rPr>
        <w:t>v</w:t>
      </w:r>
      <w:r>
        <w:rPr>
          <w:color w:val="000000"/>
        </w:rPr>
        <w:t>o</w:t>
      </w:r>
      <w:r>
        <w:rPr>
          <w:color w:val="000000"/>
          <w:spacing w:val="6"/>
        </w:rPr>
        <w:t xml:space="preserve"> </w:t>
      </w:r>
      <w:r>
        <w:rPr>
          <w:color w:val="000000"/>
          <w:spacing w:val="5"/>
        </w:rPr>
        <w:t>p</w:t>
      </w:r>
      <w:r>
        <w:rPr>
          <w:color w:val="000000"/>
          <w:spacing w:val="-4"/>
        </w:rPr>
        <w:t>l</w:t>
      </w:r>
      <w:r>
        <w:rPr>
          <w:color w:val="000000"/>
          <w:spacing w:val="-1"/>
        </w:rPr>
        <w:t>a</w:t>
      </w:r>
      <w:r>
        <w:rPr>
          <w:color w:val="000000"/>
          <w:spacing w:val="5"/>
        </w:rPr>
        <w:t>t</w:t>
      </w:r>
      <w:r>
        <w:rPr>
          <w:color w:val="000000"/>
          <w:spacing w:val="-4"/>
        </w:rPr>
        <w:t>i</w:t>
      </w:r>
      <w:r>
        <w:rPr>
          <w:color w:val="000000"/>
        </w:rPr>
        <w:t>n</w:t>
      </w:r>
      <w:r>
        <w:rPr>
          <w:color w:val="000000"/>
          <w:spacing w:val="4"/>
        </w:rPr>
        <w:t>a</w:t>
      </w:r>
      <w:r>
        <w:rPr>
          <w:color w:val="000000"/>
          <w:spacing w:val="-9"/>
        </w:rPr>
        <w:t>m</w:t>
      </w:r>
      <w:r>
        <w:rPr>
          <w:color w:val="000000"/>
          <w:spacing w:val="5"/>
        </w:rPr>
        <w:t>o</w:t>
      </w:r>
      <w:r>
        <w:rPr>
          <w:color w:val="000000"/>
        </w:rPr>
        <w:t>s</w:t>
      </w:r>
      <w:r>
        <w:rPr>
          <w:color w:val="000000"/>
          <w:spacing w:val="4"/>
        </w:rPr>
        <w:t xml:space="preserve"> </w:t>
      </w:r>
      <w:r>
        <w:rPr>
          <w:color w:val="000000"/>
          <w:spacing w:val="-4"/>
        </w:rPr>
        <w:t>i</w:t>
      </w:r>
      <w:r>
        <w:rPr>
          <w:color w:val="000000"/>
          <w:spacing w:val="-5"/>
        </w:rPr>
        <w:t>n</w:t>
      </w:r>
      <w:r>
        <w:rPr>
          <w:color w:val="000000"/>
          <w:spacing w:val="5"/>
        </w:rPr>
        <w:t>t</w:t>
      </w:r>
      <w:r>
        <w:rPr>
          <w:color w:val="000000"/>
          <w:spacing w:val="-1"/>
        </w:rPr>
        <w:t>e</w:t>
      </w:r>
      <w:r>
        <w:rPr>
          <w:color w:val="000000"/>
          <w:spacing w:val="6"/>
        </w:rPr>
        <w:t>r</w:t>
      </w:r>
      <w:r>
        <w:rPr>
          <w:color w:val="000000"/>
          <w:spacing w:val="-5"/>
        </w:rPr>
        <w:t>n</w:t>
      </w:r>
      <w:r>
        <w:rPr>
          <w:color w:val="000000"/>
          <w:spacing w:val="-1"/>
        </w:rPr>
        <w:t>e</w:t>
      </w:r>
      <w:r>
        <w:rPr>
          <w:color w:val="000000"/>
          <w:spacing w:val="5"/>
        </w:rPr>
        <w:t>t</w:t>
      </w:r>
      <w:r>
        <w:rPr>
          <w:color w:val="000000"/>
        </w:rPr>
        <w:t>u</w:t>
      </w:r>
      <w:r>
        <w:rPr>
          <w:color w:val="000000"/>
          <w:spacing w:val="1"/>
        </w:rPr>
        <w:t xml:space="preserve"> </w:t>
      </w:r>
      <w:r>
        <w:rPr>
          <w:color w:val="000000"/>
          <w:spacing w:val="-1"/>
        </w:rPr>
        <w:t>a</w:t>
      </w:r>
      <w:r>
        <w:rPr>
          <w:color w:val="000000"/>
        </w:rPr>
        <w:t>r</w:t>
      </w:r>
      <w:r>
        <w:rPr>
          <w:color w:val="000000"/>
          <w:spacing w:val="2"/>
        </w:rPr>
        <w:t xml:space="preserve"> </w:t>
      </w:r>
      <w:r>
        <w:rPr>
          <w:color w:val="000000"/>
        </w:rPr>
        <w:t>p</w:t>
      </w:r>
      <w:r>
        <w:rPr>
          <w:color w:val="000000"/>
          <w:spacing w:val="-1"/>
        </w:rPr>
        <w:t>a</w:t>
      </w:r>
      <w:r>
        <w:rPr>
          <w:color w:val="000000"/>
          <w:spacing w:val="1"/>
        </w:rPr>
        <w:t>r</w:t>
      </w:r>
      <w:r>
        <w:rPr>
          <w:color w:val="000000"/>
        </w:rPr>
        <w:t>d</w:t>
      </w:r>
      <w:r>
        <w:rPr>
          <w:color w:val="000000"/>
          <w:spacing w:val="4"/>
        </w:rPr>
        <w:t>a</w:t>
      </w:r>
      <w:r>
        <w:rPr>
          <w:color w:val="000000"/>
        </w:rPr>
        <w:t>v</w:t>
      </w:r>
      <w:r>
        <w:rPr>
          <w:color w:val="000000"/>
          <w:spacing w:val="-4"/>
        </w:rPr>
        <w:t>i</w:t>
      </w:r>
      <w:r>
        <w:rPr>
          <w:color w:val="000000"/>
        </w:rPr>
        <w:t>n</w:t>
      </w:r>
      <w:r>
        <w:rPr>
          <w:color w:val="000000"/>
          <w:spacing w:val="4"/>
        </w:rPr>
        <w:t>ė</w:t>
      </w:r>
      <w:r>
        <w:rPr>
          <w:color w:val="000000"/>
          <w:spacing w:val="-4"/>
        </w:rPr>
        <w:t>j</w:t>
      </w:r>
      <w:r>
        <w:rPr>
          <w:color w:val="000000"/>
          <w:spacing w:val="4"/>
        </w:rPr>
        <w:t>a</w:t>
      </w:r>
      <w:r>
        <w:rPr>
          <w:color w:val="000000"/>
          <w:spacing w:val="-9"/>
        </w:rPr>
        <w:t>m</w:t>
      </w:r>
      <w:r>
        <w:rPr>
          <w:color w:val="000000"/>
          <w:spacing w:val="5"/>
        </w:rPr>
        <w:t>o</w:t>
      </w:r>
      <w:r>
        <w:rPr>
          <w:color w:val="000000"/>
        </w:rPr>
        <w:t>s</w:t>
      </w:r>
      <w:r>
        <w:rPr>
          <w:color w:val="000000"/>
          <w:spacing w:val="3"/>
        </w:rPr>
        <w:t xml:space="preserve"> </w:t>
      </w:r>
      <w:r>
        <w:rPr>
          <w:color w:val="000000"/>
          <w:spacing w:val="-2"/>
        </w:rPr>
        <w:t>s</w:t>
      </w:r>
      <w:r>
        <w:rPr>
          <w:color w:val="000000"/>
        </w:rPr>
        <w:t>p</w:t>
      </w:r>
      <w:r>
        <w:rPr>
          <w:color w:val="000000"/>
          <w:spacing w:val="4"/>
        </w:rPr>
        <w:t>ec</w:t>
      </w:r>
      <w:r>
        <w:rPr>
          <w:color w:val="000000"/>
          <w:spacing w:val="-4"/>
        </w:rPr>
        <w:t>i</w:t>
      </w:r>
      <w:r>
        <w:rPr>
          <w:color w:val="000000"/>
          <w:spacing w:val="4"/>
        </w:rPr>
        <w:t>a</w:t>
      </w:r>
      <w:r>
        <w:rPr>
          <w:color w:val="000000"/>
          <w:spacing w:val="-4"/>
        </w:rPr>
        <w:t>li</w:t>
      </w:r>
      <w:r>
        <w:rPr>
          <w:color w:val="000000"/>
          <w:spacing w:val="4"/>
        </w:rPr>
        <w:t>z</w:t>
      </w:r>
      <w:r>
        <w:rPr>
          <w:color w:val="000000"/>
        </w:rPr>
        <w:t>u</w:t>
      </w:r>
      <w:r>
        <w:rPr>
          <w:color w:val="000000"/>
          <w:spacing w:val="5"/>
        </w:rPr>
        <w:t>o</w:t>
      </w:r>
      <w:r>
        <w:rPr>
          <w:color w:val="000000"/>
        </w:rPr>
        <w:t>t</w:t>
      </w:r>
      <w:r>
        <w:rPr>
          <w:color w:val="000000"/>
          <w:spacing w:val="5"/>
        </w:rPr>
        <w:t>o</w:t>
      </w:r>
      <w:r>
        <w:rPr>
          <w:color w:val="000000"/>
          <w:spacing w:val="-2"/>
        </w:rPr>
        <w:t>s</w:t>
      </w:r>
      <w:r>
        <w:rPr>
          <w:color w:val="000000"/>
        </w:rPr>
        <w:t>e p</w:t>
      </w:r>
      <w:r>
        <w:rPr>
          <w:color w:val="000000"/>
          <w:spacing w:val="9"/>
        </w:rPr>
        <w:t>a</w:t>
      </w:r>
      <w:r>
        <w:rPr>
          <w:color w:val="000000"/>
          <w:spacing w:val="1"/>
        </w:rPr>
        <w:t>r</w:t>
      </w:r>
      <w:r>
        <w:rPr>
          <w:color w:val="000000"/>
        </w:rPr>
        <w:t>d</w:t>
      </w:r>
      <w:r>
        <w:rPr>
          <w:color w:val="000000"/>
          <w:spacing w:val="-5"/>
        </w:rPr>
        <w:t>u</w:t>
      </w:r>
      <w:r>
        <w:rPr>
          <w:color w:val="000000"/>
        </w:rPr>
        <w:t>o</w:t>
      </w:r>
      <w:r>
        <w:rPr>
          <w:color w:val="000000"/>
          <w:spacing w:val="5"/>
        </w:rPr>
        <w:t>t</w:t>
      </w:r>
      <w:r>
        <w:rPr>
          <w:color w:val="000000"/>
        </w:rPr>
        <w:t>u</w:t>
      </w:r>
      <w:r>
        <w:rPr>
          <w:color w:val="000000"/>
          <w:spacing w:val="-5"/>
        </w:rPr>
        <w:t>v</w:t>
      </w:r>
      <w:r>
        <w:rPr>
          <w:color w:val="000000"/>
          <w:spacing w:val="-1"/>
        </w:rPr>
        <w:t>ė</w:t>
      </w:r>
      <w:r>
        <w:rPr>
          <w:color w:val="000000"/>
          <w:spacing w:val="-2"/>
        </w:rPr>
        <w:t>s</w:t>
      </w:r>
      <w:r>
        <w:rPr>
          <w:color w:val="000000"/>
        </w:rPr>
        <w:t>e</w:t>
      </w:r>
      <w:r>
        <w:rPr>
          <w:color w:val="000000"/>
          <w:spacing w:val="6"/>
        </w:rPr>
        <w:t xml:space="preserve"> </w:t>
      </w:r>
      <w:r>
        <w:rPr>
          <w:color w:val="000000"/>
          <w:spacing w:val="1"/>
        </w:rPr>
        <w:t>(</w:t>
      </w:r>
      <w:r>
        <w:rPr>
          <w:color w:val="000000"/>
        </w:rPr>
        <w:t>d</w:t>
      </w:r>
      <w:r>
        <w:rPr>
          <w:color w:val="000000"/>
          <w:spacing w:val="-1"/>
        </w:rPr>
        <w:t>a</w:t>
      </w:r>
      <w:r>
        <w:rPr>
          <w:color w:val="000000"/>
        </w:rPr>
        <w:t>r</w:t>
      </w:r>
      <w:r>
        <w:rPr>
          <w:color w:val="000000"/>
          <w:spacing w:val="7"/>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5"/>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5"/>
        </w:rPr>
        <w:t>o</w:t>
      </w:r>
      <w:r>
        <w:rPr>
          <w:color w:val="000000"/>
          <w:spacing w:val="-4"/>
        </w:rPr>
        <w:t>l</w:t>
      </w:r>
      <w:r>
        <w:rPr>
          <w:color w:val="000000"/>
          <w:spacing w:val="-9"/>
        </w:rPr>
        <w:t>i</w:t>
      </w:r>
      <w:r>
        <w:rPr>
          <w:color w:val="000000"/>
        </w:rPr>
        <w:t>u</w:t>
      </w:r>
      <w:r>
        <w:rPr>
          <w:color w:val="000000"/>
          <w:spacing w:val="9"/>
        </w:rPr>
        <w:t>o</w:t>
      </w:r>
      <w:r>
        <w:rPr>
          <w:color w:val="000000"/>
          <w:spacing w:val="-4"/>
        </w:rPr>
        <w:t>j</w:t>
      </w:r>
      <w:r>
        <w:rPr>
          <w:color w:val="000000"/>
          <w:spacing w:val="4"/>
        </w:rPr>
        <w:t>a</w:t>
      </w:r>
      <w:r>
        <w:rPr>
          <w:color w:val="000000"/>
          <w:spacing w:val="-9"/>
        </w:rPr>
        <w:t>m</w:t>
      </w:r>
      <w:r>
        <w:rPr>
          <w:color w:val="000000"/>
          <w:spacing w:val="5"/>
        </w:rPr>
        <w:t>o</w:t>
      </w:r>
      <w:r>
        <w:rPr>
          <w:color w:val="000000"/>
        </w:rPr>
        <w:t>s</w:t>
      </w:r>
      <w:r>
        <w:rPr>
          <w:color w:val="000000"/>
          <w:spacing w:val="12"/>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spacing w:val="6"/>
        </w:rPr>
        <w:t>)</w:t>
      </w:r>
      <w:r>
        <w:rPr>
          <w:color w:val="000000"/>
        </w:rPr>
        <w:t>,</w:t>
      </w:r>
      <w:r>
        <w:rPr>
          <w:color w:val="000000"/>
          <w:spacing w:val="12"/>
        </w:rPr>
        <w:t xml:space="preserve"> </w:t>
      </w:r>
      <w:r>
        <w:rPr>
          <w:color w:val="000000"/>
          <w:spacing w:val="5"/>
        </w:rPr>
        <w:t>t</w:t>
      </w:r>
      <w:r>
        <w:rPr>
          <w:color w:val="000000"/>
          <w:spacing w:val="-1"/>
        </w:rPr>
        <w:t>a</w:t>
      </w:r>
      <w:r>
        <w:rPr>
          <w:color w:val="000000"/>
        </w:rPr>
        <w:t>i 2012</w:t>
      </w:r>
      <w:r>
        <w:rPr>
          <w:color w:val="000000"/>
          <w:spacing w:val="19"/>
        </w:rPr>
        <w:t xml:space="preserve"> </w:t>
      </w:r>
      <w:r>
        <w:rPr>
          <w:color w:val="000000"/>
          <w:spacing w:val="-9"/>
        </w:rPr>
        <w:t>m</w:t>
      </w:r>
      <w:r>
        <w:rPr>
          <w:color w:val="000000"/>
        </w:rPr>
        <w:t>.</w:t>
      </w:r>
      <w:r>
        <w:rPr>
          <w:color w:val="000000"/>
          <w:spacing w:val="17"/>
        </w:rPr>
        <w:t xml:space="preserve"> </w:t>
      </w:r>
      <w:r>
        <w:rPr>
          <w:color w:val="000000"/>
          <w:spacing w:val="-9"/>
        </w:rPr>
        <w:t>j</w:t>
      </w:r>
      <w:r>
        <w:rPr>
          <w:color w:val="000000"/>
          <w:spacing w:val="9"/>
        </w:rPr>
        <w:t>o</w:t>
      </w:r>
      <w:r>
        <w:rPr>
          <w:color w:val="000000"/>
        </w:rPr>
        <w:t>s</w:t>
      </w:r>
      <w:r>
        <w:rPr>
          <w:color w:val="000000"/>
          <w:spacing w:val="12"/>
        </w:rPr>
        <w:t xml:space="preserve"> </w:t>
      </w:r>
      <w:r>
        <w:rPr>
          <w:color w:val="000000"/>
        </w:rPr>
        <w:t>d</w:t>
      </w:r>
      <w:r>
        <w:rPr>
          <w:color w:val="000000"/>
          <w:spacing w:val="-1"/>
        </w:rPr>
        <w:t>až</w:t>
      </w:r>
      <w:r>
        <w:rPr>
          <w:color w:val="000000"/>
        </w:rPr>
        <w:t>n</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10"/>
        </w:rPr>
        <w:t xml:space="preserve"> </w:t>
      </w:r>
      <w:r>
        <w:rPr>
          <w:color w:val="000000"/>
          <w:spacing w:val="-4"/>
        </w:rPr>
        <w:t>j</w:t>
      </w:r>
      <w:r>
        <w:rPr>
          <w:color w:val="000000"/>
          <w:spacing w:val="-1"/>
        </w:rPr>
        <w:t>a</w:t>
      </w:r>
      <w:r>
        <w:rPr>
          <w:color w:val="000000"/>
        </w:rPr>
        <w:t>u</w:t>
      </w:r>
      <w:r>
        <w:rPr>
          <w:color w:val="000000"/>
          <w:spacing w:val="19"/>
        </w:rPr>
        <w:t xml:space="preserve"> </w:t>
      </w:r>
      <w:r>
        <w:rPr>
          <w:color w:val="000000"/>
          <w:spacing w:val="-5"/>
        </w:rPr>
        <w:t>b</w:t>
      </w:r>
      <w:r>
        <w:rPr>
          <w:color w:val="000000"/>
          <w:spacing w:val="5"/>
        </w:rPr>
        <w:t>u</w:t>
      </w:r>
      <w:r>
        <w:rPr>
          <w:color w:val="000000"/>
          <w:spacing w:val="-5"/>
        </w:rPr>
        <w:t>v</w:t>
      </w:r>
      <w:r>
        <w:rPr>
          <w:color w:val="000000"/>
        </w:rPr>
        <w:t>o</w:t>
      </w:r>
      <w:r>
        <w:rPr>
          <w:color w:val="000000"/>
          <w:spacing w:val="14"/>
        </w:rPr>
        <w:t xml:space="preserve"> </w:t>
      </w:r>
      <w:r>
        <w:rPr>
          <w:color w:val="000000"/>
          <w:spacing w:val="5"/>
        </w:rPr>
        <w:t>p</w:t>
      </w:r>
      <w:r>
        <w:rPr>
          <w:color w:val="000000"/>
          <w:spacing w:val="-9"/>
        </w:rPr>
        <w:t>l</w:t>
      </w:r>
      <w:r>
        <w:rPr>
          <w:color w:val="000000"/>
          <w:spacing w:val="-1"/>
        </w:rPr>
        <w:t>a</w:t>
      </w:r>
      <w:r>
        <w:rPr>
          <w:color w:val="000000"/>
          <w:spacing w:val="10"/>
        </w:rPr>
        <w:t>t</w:t>
      </w:r>
      <w:r>
        <w:rPr>
          <w:color w:val="000000"/>
          <w:spacing w:val="-4"/>
        </w:rPr>
        <w:t>i</w:t>
      </w:r>
      <w:r>
        <w:rPr>
          <w:color w:val="000000"/>
          <w:spacing w:val="-5"/>
        </w:rPr>
        <w:t>n</w:t>
      </w:r>
      <w:r>
        <w:rPr>
          <w:color w:val="000000"/>
          <w:spacing w:val="4"/>
        </w:rPr>
        <w:t>a</w:t>
      </w:r>
      <w:r>
        <w:rPr>
          <w:color w:val="000000"/>
          <w:spacing w:val="-9"/>
        </w:rPr>
        <w:t>m</w:t>
      </w:r>
      <w:r>
        <w:rPr>
          <w:color w:val="000000"/>
          <w:spacing w:val="9"/>
        </w:rPr>
        <w:t>o</w:t>
      </w:r>
      <w:r>
        <w:rPr>
          <w:color w:val="000000"/>
        </w:rPr>
        <w:t>s</w:t>
      </w:r>
      <w:r>
        <w:rPr>
          <w:color w:val="000000"/>
          <w:spacing w:val="15"/>
        </w:rPr>
        <w:t xml:space="preserve"> </w:t>
      </w:r>
      <w:r>
        <w:rPr>
          <w:color w:val="000000"/>
        </w:rPr>
        <w:t>k</w:t>
      </w:r>
      <w:r>
        <w:rPr>
          <w:color w:val="000000"/>
          <w:spacing w:val="4"/>
        </w:rPr>
        <w:t>a</w:t>
      </w:r>
      <w:r>
        <w:rPr>
          <w:color w:val="000000"/>
          <w:spacing w:val="-4"/>
        </w:rPr>
        <w:t>i</w:t>
      </w:r>
      <w:r>
        <w:rPr>
          <w:color w:val="000000"/>
        </w:rPr>
        <w:t>p</w:t>
      </w:r>
      <w:r>
        <w:rPr>
          <w:color w:val="000000"/>
          <w:spacing w:val="14"/>
        </w:rPr>
        <w:t xml:space="preserve"> </w:t>
      </w:r>
      <w:r>
        <w:rPr>
          <w:color w:val="000000"/>
          <w:spacing w:val="5"/>
        </w:rPr>
        <w:t>t</w:t>
      </w:r>
      <w:r>
        <w:rPr>
          <w:color w:val="000000"/>
          <w:spacing w:val="1"/>
        </w:rPr>
        <w:t>r</w:t>
      </w:r>
      <w:r>
        <w:rPr>
          <w:color w:val="000000"/>
          <w:spacing w:val="-1"/>
        </w:rPr>
        <w:t>a</w:t>
      </w:r>
      <w:r>
        <w:rPr>
          <w:color w:val="000000"/>
        </w:rPr>
        <w:t>d</w:t>
      </w:r>
      <w:r>
        <w:rPr>
          <w:color w:val="000000"/>
          <w:spacing w:val="-9"/>
        </w:rPr>
        <w:t>i</w:t>
      </w:r>
      <w:r>
        <w:rPr>
          <w:color w:val="000000"/>
          <w:spacing w:val="4"/>
        </w:rPr>
        <w:t>c</w:t>
      </w:r>
      <w:r>
        <w:rPr>
          <w:color w:val="000000"/>
          <w:spacing w:val="-4"/>
        </w:rPr>
        <w:t>i</w:t>
      </w:r>
      <w:r>
        <w:rPr>
          <w:color w:val="000000"/>
          <w:spacing w:val="5"/>
        </w:rPr>
        <w:t>n</w:t>
      </w:r>
      <w:r>
        <w:rPr>
          <w:color w:val="000000"/>
          <w:spacing w:val="-4"/>
        </w:rPr>
        <w:t>i</w:t>
      </w:r>
      <w:r>
        <w:rPr>
          <w:color w:val="000000"/>
          <w:spacing w:val="8"/>
        </w:rPr>
        <w:t>a</w:t>
      </w:r>
      <w:r>
        <w:rPr>
          <w:color w:val="000000"/>
        </w:rPr>
        <w:t xml:space="preserve">i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w:t>
      </w:r>
      <w:r>
        <w:rPr>
          <w:color w:val="000000"/>
          <w:spacing w:val="4"/>
        </w:rPr>
        <w:t>a</w:t>
      </w:r>
      <w:r>
        <w:rPr>
          <w:color w:val="000000"/>
          <w:spacing w:val="-9"/>
        </w:rPr>
        <w:t>i</w:t>
      </w:r>
      <w:r>
        <w:rPr>
          <w:color w:val="000000"/>
        </w:rPr>
        <w:t xml:space="preserve">. </w:t>
      </w:r>
      <w:r>
        <w:rPr>
          <w:color w:val="000000"/>
          <w:spacing w:val="33"/>
        </w:rPr>
        <w:t xml:space="preserve"> </w:t>
      </w:r>
      <w:r>
        <w:rPr>
          <w:color w:val="000000"/>
          <w:spacing w:val="4"/>
        </w:rPr>
        <w:t>V</w:t>
      </w:r>
      <w:r>
        <w:rPr>
          <w:color w:val="000000"/>
          <w:spacing w:val="-4"/>
        </w:rPr>
        <w:t>i</w:t>
      </w:r>
      <w:r>
        <w:rPr>
          <w:color w:val="000000"/>
          <w:spacing w:val="4"/>
        </w:rPr>
        <w:t>e</w:t>
      </w:r>
      <w:r>
        <w:rPr>
          <w:color w:val="000000"/>
          <w:spacing w:val="-5"/>
        </w:rPr>
        <w:t>n</w:t>
      </w:r>
      <w:r>
        <w:rPr>
          <w:color w:val="000000"/>
          <w:spacing w:val="5"/>
        </w:rPr>
        <w:t>o</w:t>
      </w:r>
      <w:r>
        <w:rPr>
          <w:color w:val="000000"/>
        </w:rPr>
        <w:t xml:space="preserve">s </w:t>
      </w:r>
      <w:r>
        <w:rPr>
          <w:color w:val="000000"/>
          <w:spacing w:val="26"/>
        </w:rPr>
        <w:t xml:space="preserve"> </w:t>
      </w:r>
      <w:r>
        <w:rPr>
          <w:color w:val="000000"/>
          <w:spacing w:val="-9"/>
        </w:rPr>
        <w:t>j</w:t>
      </w:r>
      <w:r>
        <w:rPr>
          <w:color w:val="000000"/>
        </w:rPr>
        <w:t xml:space="preserve">ų, </w:t>
      </w:r>
      <w:r>
        <w:rPr>
          <w:color w:val="000000"/>
          <w:spacing w:val="26"/>
        </w:rPr>
        <w:t xml:space="preserve"> </w:t>
      </w:r>
      <w:r>
        <w:rPr>
          <w:color w:val="000000"/>
          <w:spacing w:val="5"/>
        </w:rPr>
        <w:t>to</w:t>
      </w:r>
      <w:r>
        <w:rPr>
          <w:color w:val="000000"/>
        </w:rPr>
        <w:t>k</w:t>
      </w:r>
      <w:r>
        <w:rPr>
          <w:color w:val="000000"/>
          <w:spacing w:val="-9"/>
        </w:rPr>
        <w:t>i</w:t>
      </w:r>
      <w:r>
        <w:rPr>
          <w:color w:val="000000"/>
          <w:spacing w:val="5"/>
        </w:rPr>
        <w:t>o</w:t>
      </w:r>
      <w:r>
        <w:rPr>
          <w:color w:val="000000"/>
        </w:rPr>
        <w:t xml:space="preserve">s </w:t>
      </w:r>
      <w:r>
        <w:rPr>
          <w:color w:val="000000"/>
          <w:spacing w:val="22"/>
        </w:rPr>
        <w:t xml:space="preserve"> </w:t>
      </w:r>
      <w:r>
        <w:rPr>
          <w:color w:val="000000"/>
        </w:rPr>
        <w:t>k</w:t>
      </w:r>
      <w:r>
        <w:rPr>
          <w:color w:val="000000"/>
          <w:spacing w:val="4"/>
        </w:rPr>
        <w:t>a</w:t>
      </w:r>
      <w:r>
        <w:rPr>
          <w:color w:val="000000"/>
          <w:spacing w:val="-4"/>
        </w:rPr>
        <w:t>i</w:t>
      </w:r>
      <w:r>
        <w:rPr>
          <w:color w:val="000000"/>
        </w:rPr>
        <w:t xml:space="preserve">p </w:t>
      </w:r>
      <w:r>
        <w:rPr>
          <w:color w:val="000000"/>
          <w:spacing w:val="24"/>
        </w:rPr>
        <w:t xml:space="preserve"> </w:t>
      </w:r>
      <w:r>
        <w:rPr>
          <w:color w:val="000000"/>
          <w:spacing w:val="4"/>
        </w:rPr>
        <w:t>4</w:t>
      </w:r>
      <w:r>
        <w:rPr>
          <w:color w:val="000000"/>
          <w:spacing w:val="7"/>
        </w:rPr>
        <w:t>-</w:t>
      </w:r>
      <w:r>
        <w:rPr>
          <w:color w:val="000000"/>
          <w:spacing w:val="-2"/>
        </w:rPr>
        <w:t>M</w:t>
      </w:r>
      <w:r>
        <w:rPr>
          <w:color w:val="000000"/>
          <w:spacing w:val="2"/>
        </w:rPr>
        <w:t>E</w:t>
      </w:r>
      <w:r>
        <w:rPr>
          <w:color w:val="000000"/>
          <w:spacing w:val="-2"/>
        </w:rPr>
        <w:t>C</w:t>
      </w:r>
      <w:r>
        <w:rPr>
          <w:color w:val="000000"/>
        </w:rPr>
        <w:t xml:space="preserve">, </w:t>
      </w:r>
      <w:r>
        <w:rPr>
          <w:color w:val="000000"/>
          <w:spacing w:val="26"/>
        </w:rPr>
        <w:t xml:space="preserve"> </w:t>
      </w:r>
      <w:r>
        <w:rPr>
          <w:color w:val="000000"/>
          <w:spacing w:val="5"/>
        </w:rPr>
        <w:t>p</w:t>
      </w:r>
      <w:r>
        <w:rPr>
          <w:color w:val="000000"/>
          <w:spacing w:val="-9"/>
        </w:rPr>
        <w:t>l</w:t>
      </w:r>
      <w:r>
        <w:rPr>
          <w:color w:val="000000"/>
          <w:spacing w:val="4"/>
        </w:rPr>
        <w:t>a</w:t>
      </w:r>
      <w:r>
        <w:rPr>
          <w:color w:val="000000"/>
          <w:spacing w:val="5"/>
        </w:rPr>
        <w:t>t</w:t>
      </w:r>
      <w:r>
        <w:rPr>
          <w:color w:val="000000"/>
          <w:spacing w:val="-4"/>
        </w:rPr>
        <w:t>i</w:t>
      </w:r>
      <w:r>
        <w:rPr>
          <w:color w:val="000000"/>
          <w:spacing w:val="-5"/>
        </w:rPr>
        <w:t>n</w:t>
      </w:r>
      <w:r>
        <w:rPr>
          <w:color w:val="000000"/>
          <w:spacing w:val="5"/>
        </w:rPr>
        <w:t>to</w:t>
      </w:r>
      <w:r>
        <w:rPr>
          <w:color w:val="000000"/>
          <w:spacing w:val="-9"/>
        </w:rPr>
        <w:t>j</w:t>
      </w:r>
      <w:r>
        <w:rPr>
          <w:color w:val="000000"/>
        </w:rPr>
        <w:t xml:space="preserve">ų </w:t>
      </w:r>
      <w:r>
        <w:rPr>
          <w:color w:val="000000"/>
          <w:spacing w:val="29"/>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28"/>
        </w:rPr>
        <w:t xml:space="preserve"> </w:t>
      </w:r>
      <w:r>
        <w:rPr>
          <w:color w:val="000000"/>
        </w:rPr>
        <w:t>p</w:t>
      </w:r>
      <w:r>
        <w:rPr>
          <w:color w:val="000000"/>
          <w:spacing w:val="-1"/>
        </w:rPr>
        <w:t>a</w:t>
      </w:r>
      <w:r>
        <w:rPr>
          <w:color w:val="000000"/>
          <w:spacing w:val="1"/>
        </w:rPr>
        <w:t>r</w:t>
      </w:r>
      <w:r>
        <w:rPr>
          <w:color w:val="000000"/>
        </w:rPr>
        <w:t>d</w:t>
      </w:r>
      <w:r>
        <w:rPr>
          <w:color w:val="000000"/>
          <w:spacing w:val="-1"/>
        </w:rPr>
        <w:t>a</w:t>
      </w:r>
      <w:r>
        <w:rPr>
          <w:color w:val="000000"/>
        </w:rPr>
        <w:t>v</w:t>
      </w:r>
      <w:r>
        <w:rPr>
          <w:color w:val="000000"/>
          <w:spacing w:val="-4"/>
        </w:rPr>
        <w:t>i</w:t>
      </w:r>
      <w:r>
        <w:rPr>
          <w:color w:val="000000"/>
        </w:rPr>
        <w:t>n</w:t>
      </w:r>
      <w:r>
        <w:rPr>
          <w:color w:val="000000"/>
          <w:spacing w:val="4"/>
        </w:rPr>
        <w:t>ė</w:t>
      </w:r>
      <w:r>
        <w:rPr>
          <w:color w:val="000000"/>
          <w:spacing w:val="-4"/>
        </w:rPr>
        <w:t>j</w:t>
      </w:r>
      <w:r>
        <w:rPr>
          <w:color w:val="000000"/>
          <w:spacing w:val="4"/>
        </w:rPr>
        <w:t>a</w:t>
      </w:r>
      <w:r>
        <w:rPr>
          <w:color w:val="000000"/>
          <w:spacing w:val="-9"/>
        </w:rPr>
        <w:t>m</w:t>
      </w:r>
      <w:r>
        <w:rPr>
          <w:color w:val="000000"/>
          <w:spacing w:val="9"/>
        </w:rPr>
        <w:t>o</w:t>
      </w:r>
      <w:r>
        <w:rPr>
          <w:color w:val="000000"/>
        </w:rPr>
        <w:t xml:space="preserve">s </w:t>
      </w:r>
      <w:r>
        <w:rPr>
          <w:color w:val="000000"/>
          <w:spacing w:val="26"/>
        </w:rPr>
        <w:t xml:space="preserve"> </w:t>
      </w:r>
      <w:r>
        <w:rPr>
          <w:color w:val="000000"/>
          <w:spacing w:val="-4"/>
        </w:rPr>
        <w:t>į</w:t>
      </w:r>
      <w:r>
        <w:rPr>
          <w:color w:val="000000"/>
        </w:rPr>
        <w:t>v</w:t>
      </w:r>
      <w:r>
        <w:rPr>
          <w:color w:val="000000"/>
          <w:spacing w:val="4"/>
        </w:rPr>
        <w:t>a</w:t>
      </w:r>
      <w:r>
        <w:rPr>
          <w:color w:val="000000"/>
          <w:spacing w:val="-4"/>
        </w:rPr>
        <w:t>i</w:t>
      </w:r>
      <w:r>
        <w:rPr>
          <w:color w:val="000000"/>
          <w:spacing w:val="6"/>
        </w:rPr>
        <w:t>r</w:t>
      </w:r>
      <w:r>
        <w:rPr>
          <w:color w:val="000000"/>
          <w:spacing w:val="-4"/>
        </w:rPr>
        <w:t>i</w:t>
      </w:r>
      <w:r>
        <w:rPr>
          <w:color w:val="000000"/>
          <w:spacing w:val="4"/>
        </w:rPr>
        <w:t>a</w:t>
      </w:r>
      <w:r>
        <w:rPr>
          <w:color w:val="000000"/>
          <w:spacing w:val="-4"/>
        </w:rPr>
        <w:t>i</w:t>
      </w:r>
      <w:r>
        <w:rPr>
          <w:color w:val="000000"/>
        </w:rPr>
        <w:t xml:space="preserve">s </w:t>
      </w:r>
      <w:r>
        <w:rPr>
          <w:color w:val="000000"/>
          <w:spacing w:val="26"/>
        </w:rPr>
        <w:t xml:space="preserve"> </w:t>
      </w:r>
      <w:r>
        <w:rPr>
          <w:color w:val="000000"/>
          <w:spacing w:val="5"/>
        </w:rPr>
        <w:t>k</w:t>
      </w:r>
      <w:r>
        <w:rPr>
          <w:color w:val="000000"/>
          <w:spacing w:val="-4"/>
        </w:rPr>
        <w:t>i</w:t>
      </w:r>
      <w:r>
        <w:rPr>
          <w:color w:val="000000"/>
          <w:spacing w:val="-1"/>
        </w:rPr>
        <w:t>e</w:t>
      </w:r>
      <w:r>
        <w:rPr>
          <w:color w:val="000000"/>
          <w:spacing w:val="5"/>
        </w:rPr>
        <w:t>k</w:t>
      </w:r>
      <w:r>
        <w:rPr>
          <w:color w:val="000000"/>
          <w:spacing w:val="-4"/>
        </w:rPr>
        <w:t>i</w:t>
      </w:r>
      <w:r>
        <w:rPr>
          <w:color w:val="000000"/>
          <w:spacing w:val="4"/>
        </w:rPr>
        <w:t>a</w:t>
      </w:r>
      <w:r>
        <w:rPr>
          <w:color w:val="000000"/>
        </w:rPr>
        <w:t xml:space="preserve">is </w:t>
      </w:r>
      <w:r>
        <w:rPr>
          <w:color w:val="000000"/>
          <w:spacing w:val="1"/>
        </w:rPr>
        <w:t>(</w:t>
      </w:r>
      <w:r>
        <w:rPr>
          <w:color w:val="000000"/>
        </w:rPr>
        <w:t>d</w:t>
      </w:r>
      <w:r>
        <w:rPr>
          <w:color w:val="000000"/>
          <w:spacing w:val="5"/>
        </w:rPr>
        <w:t>o</w:t>
      </w:r>
      <w:r>
        <w:rPr>
          <w:color w:val="000000"/>
          <w:spacing w:val="-1"/>
        </w:rPr>
        <w:t>zė</w:t>
      </w:r>
      <w:r>
        <w:rPr>
          <w:color w:val="000000"/>
          <w:spacing w:val="-4"/>
        </w:rPr>
        <w:t>mi</w:t>
      </w:r>
      <w:r>
        <w:rPr>
          <w:color w:val="000000"/>
        </w:rPr>
        <w:t>s</w:t>
      </w:r>
      <w:r>
        <w:rPr>
          <w:color w:val="000000"/>
          <w:spacing w:val="43"/>
        </w:rPr>
        <w:t xml:space="preserve"> </w:t>
      </w:r>
      <w:r>
        <w:rPr>
          <w:color w:val="000000"/>
          <w:spacing w:val="-1"/>
        </w:rPr>
        <w:t>a</w:t>
      </w:r>
      <w:r>
        <w:rPr>
          <w:color w:val="000000"/>
        </w:rPr>
        <w:t>r</w:t>
      </w:r>
      <w:r>
        <w:rPr>
          <w:color w:val="000000"/>
          <w:spacing w:val="42"/>
        </w:rPr>
        <w:t xml:space="preserve"> </w:t>
      </w:r>
      <w:r>
        <w:rPr>
          <w:color w:val="000000"/>
          <w:spacing w:val="2"/>
        </w:rPr>
        <w:t>š</w:t>
      </w:r>
      <w:r>
        <w:rPr>
          <w:color w:val="000000"/>
        </w:rPr>
        <w:t>i</w:t>
      </w:r>
      <w:r>
        <w:rPr>
          <w:color w:val="000000"/>
          <w:spacing w:val="-9"/>
        </w:rPr>
        <w:t>m</w:t>
      </w:r>
      <w:r>
        <w:rPr>
          <w:color w:val="000000"/>
          <w:spacing w:val="5"/>
        </w:rPr>
        <w:t>t</w:t>
      </w:r>
      <w:r>
        <w:rPr>
          <w:color w:val="000000"/>
          <w:spacing w:val="4"/>
        </w:rPr>
        <w:t>a</w:t>
      </w:r>
      <w:r>
        <w:rPr>
          <w:color w:val="000000"/>
          <w:spacing w:val="-4"/>
        </w:rPr>
        <w:t>i</w:t>
      </w:r>
      <w:r>
        <w:rPr>
          <w:color w:val="000000"/>
        </w:rPr>
        <w:t>s</w:t>
      </w:r>
      <w:r>
        <w:rPr>
          <w:color w:val="000000"/>
          <w:spacing w:val="43"/>
        </w:rPr>
        <w:t xml:space="preserve"> </w:t>
      </w:r>
      <w:r>
        <w:rPr>
          <w:color w:val="000000"/>
        </w:rPr>
        <w:t>g</w:t>
      </w:r>
      <w:r>
        <w:rPr>
          <w:color w:val="000000"/>
          <w:spacing w:val="1"/>
        </w:rPr>
        <w:t>r</w:t>
      </w:r>
      <w:r>
        <w:rPr>
          <w:color w:val="000000"/>
          <w:spacing w:val="4"/>
        </w:rPr>
        <w:t>a</w:t>
      </w:r>
      <w:r>
        <w:rPr>
          <w:color w:val="000000"/>
          <w:spacing w:val="-9"/>
        </w:rPr>
        <w:t>m</w:t>
      </w:r>
      <w:r>
        <w:rPr>
          <w:color w:val="000000"/>
        </w:rPr>
        <w:t>ų</w:t>
      </w:r>
      <w:r>
        <w:rPr>
          <w:color w:val="000000"/>
          <w:spacing w:val="1"/>
        </w:rPr>
        <w:t>)</w:t>
      </w:r>
      <w:r>
        <w:rPr>
          <w:color w:val="000000"/>
        </w:rPr>
        <w:t>,</w:t>
      </w:r>
      <w:r>
        <w:rPr>
          <w:color w:val="000000"/>
          <w:spacing w:val="43"/>
        </w:rPr>
        <w:t xml:space="preserve"> </w:t>
      </w:r>
      <w:r>
        <w:rPr>
          <w:color w:val="000000"/>
          <w:spacing w:val="5"/>
        </w:rPr>
        <w:t>k</w:t>
      </w:r>
      <w:r>
        <w:rPr>
          <w:color w:val="000000"/>
          <w:spacing w:val="-9"/>
        </w:rPr>
        <w:t>i</w:t>
      </w:r>
      <w:r>
        <w:rPr>
          <w:color w:val="000000"/>
          <w:spacing w:val="5"/>
        </w:rPr>
        <w:t>to</w:t>
      </w:r>
      <w:r>
        <w:rPr>
          <w:color w:val="000000"/>
        </w:rPr>
        <w:t>s</w:t>
      </w:r>
      <w:r>
        <w:rPr>
          <w:color w:val="000000"/>
          <w:spacing w:val="45"/>
        </w:rPr>
        <w:t xml:space="preserve"> </w:t>
      </w:r>
      <w:r>
        <w:rPr>
          <w:color w:val="000000"/>
        </w:rPr>
        <w:t>–</w:t>
      </w:r>
      <w:r>
        <w:rPr>
          <w:color w:val="000000"/>
          <w:spacing w:val="41"/>
        </w:rPr>
        <w:t xml:space="preserve">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10"/>
        </w:rPr>
        <w:t>t</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38"/>
        </w:rPr>
        <w:t xml:space="preserve"> </w:t>
      </w:r>
      <w:r>
        <w:rPr>
          <w:color w:val="000000"/>
          <w:spacing w:val="5"/>
        </w:rPr>
        <w:t>k</w:t>
      </w:r>
      <w:r>
        <w:rPr>
          <w:color w:val="000000"/>
          <w:spacing w:val="-1"/>
        </w:rPr>
        <w:t>a</w:t>
      </w:r>
      <w:r>
        <w:rPr>
          <w:color w:val="000000"/>
          <w:spacing w:val="-5"/>
        </w:rPr>
        <w:t>n</w:t>
      </w:r>
      <w:r>
        <w:rPr>
          <w:color w:val="000000"/>
          <w:spacing w:val="4"/>
        </w:rPr>
        <w:t>a</w:t>
      </w:r>
      <w:r>
        <w:rPr>
          <w:color w:val="000000"/>
        </w:rPr>
        <w:t>b</w:t>
      </w:r>
      <w:r>
        <w:rPr>
          <w:color w:val="000000"/>
          <w:spacing w:val="-4"/>
        </w:rPr>
        <w:t>i</w:t>
      </w:r>
      <w:r>
        <w:rPr>
          <w:color w:val="000000"/>
          <w:spacing w:val="-5"/>
        </w:rPr>
        <w:t>n</w:t>
      </w:r>
      <w:r>
        <w:rPr>
          <w:color w:val="000000"/>
          <w:spacing w:val="9"/>
        </w:rPr>
        <w:t>o</w:t>
      </w:r>
      <w:r>
        <w:rPr>
          <w:color w:val="000000"/>
          <w:spacing w:val="-4"/>
        </w:rPr>
        <w:t>i</w:t>
      </w:r>
      <w:r>
        <w:rPr>
          <w:color w:val="000000"/>
        </w:rPr>
        <w:t>d</w:t>
      </w:r>
      <w:r>
        <w:rPr>
          <w:color w:val="000000"/>
          <w:spacing w:val="4"/>
        </w:rPr>
        <w:t>a</w:t>
      </w:r>
      <w:r>
        <w:rPr>
          <w:color w:val="000000"/>
        </w:rPr>
        <w:t>i</w:t>
      </w:r>
      <w:r>
        <w:rPr>
          <w:color w:val="000000"/>
          <w:spacing w:val="36"/>
        </w:rPr>
        <w:t xml:space="preserve"> </w:t>
      </w:r>
      <w:r>
        <w:rPr>
          <w:color w:val="000000"/>
          <w:spacing w:val="6"/>
        </w:rPr>
        <w:t>(</w:t>
      </w:r>
      <w:r>
        <w:rPr>
          <w:color w:val="000000"/>
          <w:spacing w:val="2"/>
        </w:rPr>
        <w:t>J</w:t>
      </w:r>
      <w:r>
        <w:rPr>
          <w:color w:val="000000"/>
          <w:spacing w:val="-6"/>
        </w:rPr>
        <w:t>W</w:t>
      </w:r>
      <w:r>
        <w:rPr>
          <w:color w:val="000000"/>
        </w:rPr>
        <w:t>H,</w:t>
      </w:r>
      <w:r>
        <w:rPr>
          <w:color w:val="000000"/>
          <w:spacing w:val="42"/>
        </w:rPr>
        <w:t xml:space="preserve"> </w:t>
      </w:r>
      <w:r>
        <w:rPr>
          <w:color w:val="000000"/>
        </w:rPr>
        <w:t>U</w:t>
      </w:r>
      <w:r>
        <w:rPr>
          <w:color w:val="000000"/>
          <w:spacing w:val="1"/>
        </w:rPr>
        <w:t>R</w:t>
      </w:r>
      <w:r>
        <w:rPr>
          <w:color w:val="000000"/>
          <w:spacing w:val="2"/>
        </w:rPr>
        <w:t>-</w:t>
      </w:r>
      <w:r>
        <w:rPr>
          <w:color w:val="000000"/>
        </w:rPr>
        <w:t>144,</w:t>
      </w:r>
      <w:r>
        <w:rPr>
          <w:color w:val="000000"/>
          <w:spacing w:val="48"/>
        </w:rPr>
        <w:t xml:space="preserve"> </w:t>
      </w:r>
      <w:r>
        <w:rPr>
          <w:color w:val="000000"/>
          <w:spacing w:val="-5"/>
        </w:rPr>
        <w:t>A</w:t>
      </w:r>
      <w:r>
        <w:rPr>
          <w:color w:val="000000"/>
          <w:spacing w:val="-1"/>
        </w:rPr>
        <w:t>M</w:t>
      </w:r>
      <w:r>
        <w:rPr>
          <w:color w:val="000000"/>
          <w:spacing w:val="2"/>
        </w:rPr>
        <w:t>-</w:t>
      </w:r>
      <w:r>
        <w:rPr>
          <w:color w:val="000000"/>
        </w:rPr>
        <w:t>2201)</w:t>
      </w:r>
      <w:r>
        <w:rPr>
          <w:color w:val="000000"/>
          <w:spacing w:val="42"/>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4"/>
        </w:rPr>
        <w:t>a</w:t>
      </w:r>
      <w:r>
        <w:rPr>
          <w:color w:val="000000"/>
        </w:rPr>
        <w:t xml:space="preserve">u </w:t>
      </w:r>
      <w:r>
        <w:rPr>
          <w:color w:val="000000"/>
          <w:spacing w:val="-5"/>
        </w:rPr>
        <w:t>b</w:t>
      </w:r>
      <w:r>
        <w:rPr>
          <w:color w:val="000000"/>
          <w:spacing w:val="5"/>
        </w:rPr>
        <w:t>u</w:t>
      </w:r>
      <w:r>
        <w:rPr>
          <w:color w:val="000000"/>
          <w:spacing w:val="-5"/>
        </w:rPr>
        <w:t>v</w:t>
      </w:r>
      <w:r>
        <w:rPr>
          <w:color w:val="000000"/>
        </w:rPr>
        <w:t>o</w:t>
      </w:r>
      <w:r>
        <w:rPr>
          <w:color w:val="000000"/>
          <w:spacing w:val="45"/>
        </w:rPr>
        <w:t xml:space="preserve"> </w:t>
      </w:r>
      <w:r>
        <w:rPr>
          <w:color w:val="000000"/>
          <w:spacing w:val="5"/>
        </w:rPr>
        <w:t>p</w:t>
      </w:r>
      <w:r>
        <w:rPr>
          <w:color w:val="000000"/>
          <w:spacing w:val="-9"/>
        </w:rPr>
        <w:t>l</w:t>
      </w:r>
      <w:r>
        <w:rPr>
          <w:color w:val="000000"/>
          <w:spacing w:val="-1"/>
        </w:rPr>
        <w:t>a</w:t>
      </w:r>
      <w:r>
        <w:rPr>
          <w:color w:val="000000"/>
          <w:spacing w:val="10"/>
        </w:rPr>
        <w:t>t</w:t>
      </w:r>
      <w:r>
        <w:rPr>
          <w:color w:val="000000"/>
          <w:spacing w:val="-4"/>
        </w:rPr>
        <w:t>i</w:t>
      </w:r>
      <w:r>
        <w:rPr>
          <w:color w:val="000000"/>
          <w:spacing w:val="-5"/>
        </w:rPr>
        <w:t>n</w:t>
      </w:r>
      <w:r>
        <w:rPr>
          <w:color w:val="000000"/>
          <w:spacing w:val="4"/>
        </w:rPr>
        <w:t>a</w:t>
      </w:r>
      <w:r>
        <w:rPr>
          <w:color w:val="000000"/>
        </w:rPr>
        <w:t>mi</w:t>
      </w:r>
      <w:r>
        <w:rPr>
          <w:color w:val="000000"/>
          <w:spacing w:val="32"/>
        </w:rPr>
        <w:t xml:space="preserve"> </w:t>
      </w:r>
      <w:r>
        <w:rPr>
          <w:color w:val="000000"/>
        </w:rPr>
        <w:t>d</w:t>
      </w:r>
      <w:r>
        <w:rPr>
          <w:color w:val="000000"/>
          <w:spacing w:val="5"/>
        </w:rPr>
        <w:t>o</w:t>
      </w:r>
      <w:r>
        <w:rPr>
          <w:color w:val="000000"/>
          <w:spacing w:val="-1"/>
        </w:rPr>
        <w:t>z</w:t>
      </w:r>
      <w:r>
        <w:rPr>
          <w:color w:val="000000"/>
          <w:spacing w:val="4"/>
        </w:rPr>
        <w:t>ė</w:t>
      </w:r>
      <w:r>
        <w:rPr>
          <w:color w:val="000000"/>
        </w:rPr>
        <w:t>m</w:t>
      </w:r>
      <w:r>
        <w:rPr>
          <w:color w:val="000000"/>
          <w:spacing w:val="-4"/>
        </w:rPr>
        <w:t>i</w:t>
      </w:r>
      <w:r>
        <w:rPr>
          <w:color w:val="000000"/>
          <w:spacing w:val="-2"/>
        </w:rPr>
        <w:t>s</w:t>
      </w:r>
      <w:r>
        <w:rPr>
          <w:color w:val="000000"/>
        </w:rPr>
        <w:t>,</w:t>
      </w:r>
      <w:r>
        <w:rPr>
          <w:color w:val="000000"/>
          <w:spacing w:val="43"/>
        </w:rPr>
        <w:t xml:space="preserve"> </w:t>
      </w:r>
      <w:r>
        <w:rPr>
          <w:color w:val="000000"/>
        </w:rPr>
        <w:t>pv</w:t>
      </w:r>
      <w:r>
        <w:rPr>
          <w:color w:val="000000"/>
          <w:spacing w:val="-1"/>
        </w:rPr>
        <w:t>z</w:t>
      </w:r>
      <w:r>
        <w:rPr>
          <w:color w:val="000000"/>
          <w:spacing w:val="2"/>
        </w:rPr>
        <w:t>.</w:t>
      </w:r>
      <w:r>
        <w:rPr>
          <w:color w:val="000000"/>
        </w:rPr>
        <w:t>;</w:t>
      </w:r>
      <w:r>
        <w:rPr>
          <w:color w:val="000000"/>
          <w:spacing w:val="41"/>
        </w:rPr>
        <w:t xml:space="preserve"> </w:t>
      </w:r>
      <w:r>
        <w:rPr>
          <w:color w:val="000000"/>
          <w:spacing w:val="-4"/>
        </w:rPr>
        <w:t>i</w:t>
      </w:r>
      <w:r>
        <w:rPr>
          <w:color w:val="000000"/>
          <w:spacing w:val="-2"/>
        </w:rPr>
        <w:t>š</w:t>
      </w:r>
      <w:r>
        <w:rPr>
          <w:color w:val="000000"/>
        </w:rPr>
        <w:t>pu</w:t>
      </w:r>
      <w:r>
        <w:rPr>
          <w:color w:val="000000"/>
          <w:spacing w:val="1"/>
        </w:rPr>
        <w:t>r</w:t>
      </w:r>
      <w:r>
        <w:rPr>
          <w:color w:val="000000"/>
          <w:spacing w:val="-2"/>
        </w:rPr>
        <w:t>š</w:t>
      </w:r>
      <w:r>
        <w:rPr>
          <w:color w:val="000000"/>
          <w:spacing w:val="5"/>
        </w:rPr>
        <w:t>k</w:t>
      </w:r>
      <w:r>
        <w:rPr>
          <w:color w:val="000000"/>
          <w:spacing w:val="-4"/>
        </w:rPr>
        <w:t>i</w:t>
      </w:r>
      <w:r>
        <w:rPr>
          <w:color w:val="000000"/>
          <w:spacing w:val="4"/>
        </w:rPr>
        <w:t>a</w:t>
      </w:r>
      <w:r>
        <w:rPr>
          <w:color w:val="000000"/>
          <w:spacing w:val="-5"/>
        </w:rPr>
        <w:t>n</w:t>
      </w:r>
      <w:r>
        <w:rPr>
          <w:color w:val="000000"/>
        </w:rPr>
        <w:t>t</w:t>
      </w:r>
      <w:r>
        <w:rPr>
          <w:color w:val="000000"/>
          <w:spacing w:val="50"/>
        </w:rPr>
        <w:t xml:space="preserve"> </w:t>
      </w:r>
      <w:r>
        <w:rPr>
          <w:color w:val="000000"/>
          <w:spacing w:val="-9"/>
        </w:rPr>
        <w:t>j</w:t>
      </w:r>
      <w:r>
        <w:rPr>
          <w:color w:val="000000"/>
          <w:spacing w:val="4"/>
        </w:rPr>
        <w:t>a</w:t>
      </w:r>
      <w:r>
        <w:rPr>
          <w:color w:val="000000"/>
          <w:spacing w:val="-4"/>
        </w:rPr>
        <w:t>i</w:t>
      </w:r>
      <w:r>
        <w:rPr>
          <w:color w:val="000000"/>
        </w:rPr>
        <w:t>s</w:t>
      </w:r>
      <w:r>
        <w:rPr>
          <w:color w:val="000000"/>
          <w:spacing w:val="38"/>
        </w:rPr>
        <w:t xml:space="preserve"> </w:t>
      </w:r>
      <w:r>
        <w:rPr>
          <w:color w:val="000000"/>
          <w:spacing w:val="1"/>
        </w:rPr>
        <w:t>r</w:t>
      </w:r>
      <w:r>
        <w:rPr>
          <w:color w:val="000000"/>
          <w:spacing w:val="5"/>
        </w:rPr>
        <w:t>ū</w:t>
      </w:r>
      <w:r>
        <w:rPr>
          <w:color w:val="000000"/>
        </w:rPr>
        <w:t>k</w:t>
      </w:r>
      <w:r>
        <w:rPr>
          <w:color w:val="000000"/>
          <w:spacing w:val="5"/>
        </w:rPr>
        <w:t>o</w:t>
      </w:r>
      <w:r>
        <w:rPr>
          <w:color w:val="000000"/>
          <w:spacing w:val="-9"/>
        </w:rPr>
        <w:t>m</w:t>
      </w:r>
      <w:r>
        <w:rPr>
          <w:color w:val="000000"/>
          <w:spacing w:val="4"/>
        </w:rPr>
        <w:t>ą</w:t>
      </w:r>
      <w:r>
        <w:rPr>
          <w:color w:val="000000"/>
        </w:rPr>
        <w:t>jį</w:t>
      </w:r>
      <w:r>
        <w:rPr>
          <w:color w:val="000000"/>
          <w:spacing w:val="37"/>
        </w:rPr>
        <w:t xml:space="preserve"> </w:t>
      </w:r>
      <w:r>
        <w:rPr>
          <w:color w:val="000000"/>
          <w:spacing w:val="5"/>
        </w:rPr>
        <w:t>t</w:t>
      </w:r>
      <w:r>
        <w:rPr>
          <w:color w:val="000000"/>
          <w:spacing w:val="-1"/>
        </w:rPr>
        <w:t>a</w:t>
      </w:r>
      <w:r>
        <w:rPr>
          <w:color w:val="000000"/>
          <w:spacing w:val="-5"/>
        </w:rPr>
        <w:t>b</w:t>
      </w:r>
      <w:r>
        <w:rPr>
          <w:color w:val="000000"/>
          <w:spacing w:val="-1"/>
        </w:rPr>
        <w:t>a</w:t>
      </w:r>
      <w:r>
        <w:rPr>
          <w:color w:val="000000"/>
        </w:rPr>
        <w:t>k</w:t>
      </w:r>
      <w:r>
        <w:rPr>
          <w:color w:val="000000"/>
          <w:spacing w:val="-1"/>
        </w:rPr>
        <w:t>ą</w:t>
      </w:r>
      <w:r>
        <w:rPr>
          <w:color w:val="000000"/>
        </w:rPr>
        <w:t>.</w:t>
      </w:r>
      <w:r>
        <w:rPr>
          <w:color w:val="000000"/>
          <w:spacing w:val="43"/>
        </w:rPr>
        <w:t xml:space="preserve"> </w:t>
      </w:r>
      <w:r>
        <w:rPr>
          <w:color w:val="000000"/>
          <w:spacing w:val="1"/>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9"/>
        </w:rPr>
        <w:t>i</w:t>
      </w:r>
      <w:r>
        <w:rPr>
          <w:color w:val="000000"/>
          <w:spacing w:val="5"/>
        </w:rPr>
        <w:t>o</w:t>
      </w:r>
      <w:r>
        <w:rPr>
          <w:color w:val="000000"/>
        </w:rPr>
        <w:t>s</w:t>
      </w:r>
      <w:r>
        <w:rPr>
          <w:color w:val="000000"/>
          <w:spacing w:val="43"/>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43"/>
        </w:rPr>
        <w:t xml:space="preserve"> </w:t>
      </w:r>
      <w:r>
        <w:rPr>
          <w:color w:val="000000"/>
        </w:rPr>
        <w:t>į</w:t>
      </w:r>
      <w:r>
        <w:rPr>
          <w:color w:val="000000"/>
          <w:spacing w:val="36"/>
        </w:rPr>
        <w:t xml:space="preserve"> </w:t>
      </w:r>
      <w:r>
        <w:rPr>
          <w:color w:val="000000"/>
          <w:spacing w:val="-2"/>
        </w:rPr>
        <w:t>š</w:t>
      </w:r>
      <w:r>
        <w:rPr>
          <w:color w:val="000000"/>
          <w:spacing w:val="4"/>
        </w:rPr>
        <w:t>a</w:t>
      </w:r>
      <w:r>
        <w:rPr>
          <w:color w:val="000000"/>
          <w:spacing w:val="5"/>
        </w:rPr>
        <w:t>l</w:t>
      </w:r>
      <w:r>
        <w:rPr>
          <w:color w:val="000000"/>
        </w:rPr>
        <w:t xml:space="preserve">į </w:t>
      </w:r>
      <w:r>
        <w:rPr>
          <w:color w:val="000000"/>
          <w:spacing w:val="-5"/>
        </w:rPr>
        <w:t>b</w:t>
      </w:r>
      <w:r>
        <w:rPr>
          <w:color w:val="000000"/>
          <w:spacing w:val="5"/>
        </w:rPr>
        <w:t>u</w:t>
      </w:r>
      <w:r>
        <w:rPr>
          <w:color w:val="000000"/>
          <w:spacing w:val="-5"/>
        </w:rPr>
        <w:t>v</w:t>
      </w:r>
      <w:r>
        <w:rPr>
          <w:color w:val="000000"/>
        </w:rPr>
        <w:t>o</w:t>
      </w:r>
      <w:r>
        <w:rPr>
          <w:color w:val="000000"/>
          <w:spacing w:val="14"/>
        </w:rPr>
        <w:t xml:space="preserve"> </w:t>
      </w:r>
      <w:r>
        <w:rPr>
          <w:color w:val="000000"/>
          <w:spacing w:val="-4"/>
        </w:rPr>
        <w:t>į</w:t>
      </w:r>
      <w:r>
        <w:rPr>
          <w:color w:val="000000"/>
        </w:rPr>
        <w:t>v</w:t>
      </w:r>
      <w:r>
        <w:rPr>
          <w:color w:val="000000"/>
          <w:spacing w:val="-1"/>
        </w:rPr>
        <w:t>ež</w:t>
      </w:r>
      <w:r>
        <w:rPr>
          <w:color w:val="000000"/>
          <w:spacing w:val="4"/>
        </w:rPr>
        <w:t>a</w:t>
      </w:r>
      <w:r>
        <w:rPr>
          <w:color w:val="000000"/>
          <w:spacing w:val="-9"/>
        </w:rPr>
        <w:t>m</w:t>
      </w:r>
      <w:r>
        <w:rPr>
          <w:color w:val="000000"/>
          <w:spacing w:val="5"/>
        </w:rPr>
        <w:t>o</w:t>
      </w:r>
      <w:r>
        <w:rPr>
          <w:color w:val="000000"/>
        </w:rPr>
        <w:t>s</w:t>
      </w:r>
      <w:r>
        <w:rPr>
          <w:color w:val="000000"/>
          <w:spacing w:val="7"/>
        </w:rPr>
        <w:t xml:space="preserve"> </w:t>
      </w:r>
      <w:r>
        <w:rPr>
          <w:color w:val="000000"/>
          <w:spacing w:val="-1"/>
        </w:rPr>
        <w:t>a</w:t>
      </w:r>
      <w:r>
        <w:rPr>
          <w:color w:val="000000"/>
        </w:rPr>
        <w:t>u</w:t>
      </w:r>
      <w:r>
        <w:rPr>
          <w:color w:val="000000"/>
          <w:spacing w:val="5"/>
        </w:rPr>
        <w:t>to</w:t>
      </w:r>
      <w:r>
        <w:rPr>
          <w:color w:val="000000"/>
          <w:spacing w:val="-9"/>
        </w:rPr>
        <w:t>m</w:t>
      </w:r>
      <w:r>
        <w:rPr>
          <w:color w:val="000000"/>
          <w:spacing w:val="5"/>
        </w:rPr>
        <w:t>o</w:t>
      </w:r>
      <w:r>
        <w:rPr>
          <w:color w:val="000000"/>
        </w:rPr>
        <w:t>bi</w:t>
      </w:r>
      <w:r>
        <w:rPr>
          <w:color w:val="000000"/>
          <w:spacing w:val="-4"/>
        </w:rPr>
        <w:t>li</w:t>
      </w:r>
      <w:r>
        <w:rPr>
          <w:color w:val="000000"/>
          <w:spacing w:val="8"/>
        </w:rPr>
        <w:t>a</w:t>
      </w:r>
      <w:r>
        <w:rPr>
          <w:color w:val="000000"/>
          <w:spacing w:val="-4"/>
        </w:rPr>
        <w:t>i</w:t>
      </w:r>
      <w:r>
        <w:rPr>
          <w:color w:val="000000"/>
        </w:rPr>
        <w:t>s</w:t>
      </w:r>
      <w:r>
        <w:rPr>
          <w:color w:val="000000"/>
          <w:spacing w:val="7"/>
        </w:rPr>
        <w:t xml:space="preserve"> </w:t>
      </w:r>
      <w:r>
        <w:rPr>
          <w:color w:val="000000"/>
          <w:spacing w:val="6"/>
        </w:rPr>
        <w:t>(</w:t>
      </w:r>
      <w:r>
        <w:rPr>
          <w:color w:val="000000"/>
          <w:spacing w:val="-9"/>
        </w:rPr>
        <w:t>i</w:t>
      </w:r>
      <w:r>
        <w:rPr>
          <w:color w:val="000000"/>
        </w:rPr>
        <w:t>š</w:t>
      </w:r>
      <w:r>
        <w:rPr>
          <w:color w:val="000000"/>
          <w:spacing w:val="7"/>
        </w:rPr>
        <w:t xml:space="preserve"> </w:t>
      </w:r>
      <w:r>
        <w:rPr>
          <w:color w:val="000000"/>
          <w:spacing w:val="3"/>
        </w:rPr>
        <w:t>Č</w:t>
      </w:r>
      <w:r>
        <w:rPr>
          <w:color w:val="000000"/>
          <w:spacing w:val="-1"/>
        </w:rPr>
        <w:t>e</w:t>
      </w:r>
      <w:r>
        <w:rPr>
          <w:color w:val="000000"/>
          <w:spacing w:val="5"/>
        </w:rPr>
        <w:t>k</w:t>
      </w:r>
      <w:r>
        <w:rPr>
          <w:color w:val="000000"/>
          <w:spacing w:val="-4"/>
        </w:rPr>
        <w:t>i</w:t>
      </w:r>
      <w:r>
        <w:rPr>
          <w:color w:val="000000"/>
          <w:spacing w:val="-9"/>
        </w:rPr>
        <w:t>j</w:t>
      </w:r>
      <w:r>
        <w:rPr>
          <w:color w:val="000000"/>
          <w:spacing w:val="9"/>
        </w:rPr>
        <w:t>o</w:t>
      </w:r>
      <w:r>
        <w:rPr>
          <w:color w:val="000000"/>
          <w:spacing w:val="-2"/>
        </w:rPr>
        <w:t>s</w:t>
      </w:r>
      <w:r>
        <w:rPr>
          <w:color w:val="000000"/>
          <w:spacing w:val="1"/>
        </w:rPr>
        <w:t>)</w:t>
      </w:r>
      <w:r>
        <w:rPr>
          <w:color w:val="000000"/>
        </w:rPr>
        <w:t>,</w:t>
      </w:r>
      <w:r>
        <w:rPr>
          <w:color w:val="000000"/>
          <w:spacing w:val="12"/>
        </w:rPr>
        <w:t xml:space="preserve"> </w:t>
      </w:r>
      <w:r>
        <w:rPr>
          <w:color w:val="000000"/>
          <w:spacing w:val="-5"/>
        </w:rPr>
        <w:t>b</w:t>
      </w:r>
      <w:r>
        <w:rPr>
          <w:color w:val="000000"/>
          <w:spacing w:val="-1"/>
        </w:rPr>
        <w:t>e</w:t>
      </w:r>
      <w:r>
        <w:rPr>
          <w:color w:val="000000"/>
        </w:rPr>
        <w:t>t</w:t>
      </w:r>
      <w:r>
        <w:rPr>
          <w:color w:val="000000"/>
          <w:spacing w:val="14"/>
        </w:rPr>
        <w:t xml:space="preserve"> </w:t>
      </w:r>
      <w:r>
        <w:rPr>
          <w:color w:val="000000"/>
        </w:rPr>
        <w:t>d</w:t>
      </w:r>
      <w:r>
        <w:rPr>
          <w:color w:val="000000"/>
          <w:spacing w:val="-1"/>
        </w:rPr>
        <w:t>a</w:t>
      </w:r>
      <w:r>
        <w:rPr>
          <w:color w:val="000000"/>
          <w:spacing w:val="-6"/>
        </w:rPr>
        <w:t>ž</w:t>
      </w:r>
      <w:r>
        <w:rPr>
          <w:color w:val="000000"/>
        </w:rPr>
        <w:t>n</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2"/>
        </w:rPr>
        <w:t>s</w:t>
      </w:r>
      <w:r>
        <w:rPr>
          <w:color w:val="000000"/>
          <w:spacing w:val="-4"/>
        </w:rPr>
        <w:t>i</w:t>
      </w:r>
      <w:r>
        <w:rPr>
          <w:color w:val="000000"/>
          <w:spacing w:val="5"/>
        </w:rPr>
        <w:t>u</w:t>
      </w:r>
      <w:r>
        <w:rPr>
          <w:color w:val="000000"/>
        </w:rPr>
        <w:t>n</w:t>
      </w:r>
      <w:r>
        <w:rPr>
          <w:color w:val="000000"/>
          <w:spacing w:val="4"/>
        </w:rPr>
        <w:t>č</w:t>
      </w:r>
      <w:r>
        <w:rPr>
          <w:color w:val="000000"/>
          <w:spacing w:val="-4"/>
        </w:rPr>
        <w:t>i</w:t>
      </w:r>
      <w:r>
        <w:rPr>
          <w:color w:val="000000"/>
          <w:spacing w:val="4"/>
        </w:rPr>
        <w:t>a</w:t>
      </w:r>
      <w:r>
        <w:rPr>
          <w:color w:val="000000"/>
          <w:spacing w:val="-9"/>
        </w:rPr>
        <w:t>m</w:t>
      </w:r>
      <w:r>
        <w:rPr>
          <w:color w:val="000000"/>
          <w:spacing w:val="5"/>
        </w:rPr>
        <w:t>o</w:t>
      </w:r>
      <w:r>
        <w:rPr>
          <w:color w:val="000000"/>
        </w:rPr>
        <w:t>s</w:t>
      </w:r>
      <w:r>
        <w:rPr>
          <w:color w:val="000000"/>
          <w:spacing w:val="7"/>
        </w:rPr>
        <w:t xml:space="preserve"> </w:t>
      </w:r>
      <w:r>
        <w:rPr>
          <w:color w:val="000000"/>
        </w:rPr>
        <w:t>p</w:t>
      </w:r>
      <w:r>
        <w:rPr>
          <w:color w:val="000000"/>
          <w:spacing w:val="-1"/>
        </w:rPr>
        <w:t>a</w:t>
      </w:r>
      <w:r>
        <w:rPr>
          <w:color w:val="000000"/>
          <w:spacing w:val="-2"/>
        </w:rPr>
        <w:t>š</w:t>
      </w:r>
      <w:r>
        <w:rPr>
          <w:color w:val="000000"/>
          <w:spacing w:val="5"/>
        </w:rPr>
        <w:t>t</w:t>
      </w:r>
      <w:r>
        <w:rPr>
          <w:color w:val="000000"/>
        </w:rPr>
        <w:t>u</w:t>
      </w:r>
      <w:r>
        <w:rPr>
          <w:color w:val="000000"/>
          <w:spacing w:val="9"/>
        </w:rPr>
        <w:t xml:space="preserve"> </w:t>
      </w:r>
      <w:r>
        <w:rPr>
          <w:color w:val="000000"/>
          <w:spacing w:val="1"/>
        </w:rPr>
        <w:t>(</w:t>
      </w:r>
      <w:r>
        <w:rPr>
          <w:color w:val="000000"/>
          <w:spacing w:val="-4"/>
        </w:rPr>
        <w:t>i</w:t>
      </w:r>
      <w:r>
        <w:rPr>
          <w:color w:val="000000"/>
        </w:rPr>
        <w:t>š</w:t>
      </w:r>
      <w:r>
        <w:rPr>
          <w:color w:val="000000"/>
          <w:spacing w:val="7"/>
        </w:rPr>
        <w:t xml:space="preserve"> </w:t>
      </w:r>
      <w:r>
        <w:rPr>
          <w:color w:val="000000"/>
        </w:rPr>
        <w:t>K</w:t>
      </w:r>
      <w:r>
        <w:rPr>
          <w:color w:val="000000"/>
          <w:spacing w:val="-5"/>
        </w:rPr>
        <w:t>i</w:t>
      </w:r>
      <w:r>
        <w:rPr>
          <w:color w:val="000000"/>
          <w:spacing w:val="5"/>
        </w:rPr>
        <w:t>n</w:t>
      </w:r>
      <w:r>
        <w:rPr>
          <w:color w:val="000000"/>
        </w:rPr>
        <w:t>i</w:t>
      </w:r>
      <w:r>
        <w:rPr>
          <w:color w:val="000000"/>
          <w:spacing w:val="-9"/>
        </w:rPr>
        <w:t>j</w:t>
      </w:r>
      <w:r>
        <w:rPr>
          <w:color w:val="000000"/>
          <w:spacing w:val="5"/>
        </w:rPr>
        <w:t>o</w:t>
      </w:r>
      <w:r>
        <w:rPr>
          <w:color w:val="000000"/>
          <w:spacing w:val="-2"/>
        </w:rPr>
        <w:t>s</w:t>
      </w:r>
      <w:r>
        <w:rPr>
          <w:color w:val="000000"/>
        </w:rPr>
        <w:t>,</w:t>
      </w:r>
      <w:r>
        <w:rPr>
          <w:color w:val="000000"/>
          <w:spacing w:val="12"/>
        </w:rPr>
        <w:t xml:space="preserve"> </w:t>
      </w:r>
      <w:r>
        <w:rPr>
          <w:color w:val="000000"/>
          <w:spacing w:val="-2"/>
        </w:rPr>
        <w:t>B</w:t>
      </w:r>
      <w:r>
        <w:rPr>
          <w:color w:val="000000"/>
          <w:spacing w:val="1"/>
        </w:rPr>
        <w:t>r</w:t>
      </w:r>
      <w:r>
        <w:rPr>
          <w:color w:val="000000"/>
          <w:spacing w:val="-1"/>
        </w:rPr>
        <w:t>a</w:t>
      </w:r>
      <w:r>
        <w:rPr>
          <w:color w:val="000000"/>
          <w:spacing w:val="4"/>
        </w:rPr>
        <w:t>z</w:t>
      </w:r>
      <w:r>
        <w:rPr>
          <w:color w:val="000000"/>
          <w:spacing w:val="-4"/>
        </w:rPr>
        <w:t>i</w:t>
      </w:r>
      <w:r>
        <w:rPr>
          <w:color w:val="000000"/>
        </w:rPr>
        <w:t>l</w:t>
      </w:r>
      <w:r>
        <w:rPr>
          <w:color w:val="000000"/>
          <w:spacing w:val="1"/>
        </w:rPr>
        <w:t>i</w:t>
      </w:r>
      <w:r>
        <w:rPr>
          <w:color w:val="000000"/>
          <w:spacing w:val="-9"/>
        </w:rPr>
        <w:t>j</w:t>
      </w:r>
      <w:r>
        <w:rPr>
          <w:color w:val="000000"/>
          <w:spacing w:val="9"/>
        </w:rPr>
        <w:t>o</w:t>
      </w:r>
      <w:r>
        <w:rPr>
          <w:color w:val="000000"/>
          <w:spacing w:val="-2"/>
        </w:rPr>
        <w:t>s</w:t>
      </w:r>
      <w:r>
        <w:rPr>
          <w:color w:val="000000"/>
        </w:rPr>
        <w:t xml:space="preserve">, </w:t>
      </w:r>
      <w:r>
        <w:rPr>
          <w:color w:val="000000"/>
          <w:spacing w:val="2"/>
        </w:rPr>
        <w:t>J</w:t>
      </w:r>
      <w:r>
        <w:rPr>
          <w:color w:val="000000"/>
          <w:spacing w:val="-5"/>
        </w:rPr>
        <w:t>A</w:t>
      </w:r>
      <w:r>
        <w:rPr>
          <w:color w:val="000000"/>
        </w:rPr>
        <w:t>V,</w:t>
      </w:r>
      <w:r>
        <w:rPr>
          <w:color w:val="000000"/>
          <w:spacing w:val="4"/>
        </w:rPr>
        <w:t xml:space="preserve"> </w:t>
      </w:r>
      <w:r>
        <w:rPr>
          <w:color w:val="000000"/>
          <w:spacing w:val="-5"/>
        </w:rPr>
        <w:t>K</w:t>
      </w:r>
      <w:r>
        <w:rPr>
          <w:color w:val="000000"/>
          <w:spacing w:val="4"/>
        </w:rPr>
        <w:t>a</w:t>
      </w:r>
      <w:r>
        <w:rPr>
          <w:color w:val="000000"/>
          <w:spacing w:val="-5"/>
        </w:rPr>
        <w:t>n</w:t>
      </w:r>
      <w:r>
        <w:rPr>
          <w:color w:val="000000"/>
          <w:spacing w:val="-1"/>
        </w:rPr>
        <w:t>a</w:t>
      </w:r>
      <w:r>
        <w:rPr>
          <w:color w:val="000000"/>
        </w:rPr>
        <w:t>d</w:t>
      </w:r>
      <w:r>
        <w:rPr>
          <w:color w:val="000000"/>
          <w:spacing w:val="5"/>
        </w:rPr>
        <w:t>o</w:t>
      </w:r>
      <w:r>
        <w:rPr>
          <w:color w:val="000000"/>
          <w:spacing w:val="-2"/>
        </w:rPr>
        <w:t>s</w:t>
      </w:r>
      <w:r>
        <w:rPr>
          <w:color w:val="000000"/>
        </w:rPr>
        <w:t>,</w:t>
      </w:r>
      <w:r>
        <w:rPr>
          <w:color w:val="000000"/>
          <w:spacing w:val="5"/>
        </w:rPr>
        <w:t xml:space="preserve"> </w:t>
      </w:r>
      <w:r>
        <w:rPr>
          <w:color w:val="000000"/>
          <w:spacing w:val="-2"/>
        </w:rPr>
        <w:t>J</w:t>
      </w:r>
      <w:r>
        <w:rPr>
          <w:color w:val="000000"/>
          <w:spacing w:val="3"/>
        </w:rPr>
        <w:t>u</w:t>
      </w:r>
      <w:r>
        <w:rPr>
          <w:color w:val="000000"/>
          <w:spacing w:val="-5"/>
        </w:rPr>
        <w:t>n</w:t>
      </w:r>
      <w:r>
        <w:rPr>
          <w:color w:val="000000"/>
        </w:rPr>
        <w:t>g</w:t>
      </w:r>
      <w:r>
        <w:rPr>
          <w:color w:val="000000"/>
          <w:spacing w:val="10"/>
        </w:rPr>
        <w:t>t</w:t>
      </w:r>
      <w:r>
        <w:rPr>
          <w:color w:val="000000"/>
          <w:spacing w:val="-4"/>
        </w:rPr>
        <w:t>i</w:t>
      </w:r>
      <w:r>
        <w:rPr>
          <w:color w:val="000000"/>
          <w:spacing w:val="-5"/>
        </w:rPr>
        <w:t>n</w:t>
      </w:r>
      <w:r>
        <w:rPr>
          <w:color w:val="000000"/>
          <w:spacing w:val="4"/>
        </w:rPr>
        <w:t>ė</w:t>
      </w:r>
      <w:r>
        <w:rPr>
          <w:color w:val="000000"/>
        </w:rPr>
        <w:t xml:space="preserve">s </w:t>
      </w:r>
      <w:r>
        <w:rPr>
          <w:color w:val="000000"/>
          <w:spacing w:val="-5"/>
        </w:rPr>
        <w:t>K</w:t>
      </w:r>
      <w:r>
        <w:rPr>
          <w:color w:val="000000"/>
          <w:spacing w:val="-1"/>
        </w:rPr>
        <w:t>a</w:t>
      </w:r>
      <w:r>
        <w:rPr>
          <w:color w:val="000000"/>
          <w:spacing w:val="1"/>
        </w:rPr>
        <w:t>r</w:t>
      </w:r>
      <w:r>
        <w:rPr>
          <w:color w:val="000000"/>
          <w:spacing w:val="4"/>
        </w:rPr>
        <w:t>a</w:t>
      </w:r>
      <w:r>
        <w:rPr>
          <w:color w:val="000000"/>
        </w:rPr>
        <w:t>l</w:t>
      </w:r>
      <w:r>
        <w:rPr>
          <w:color w:val="000000"/>
          <w:spacing w:val="-4"/>
        </w:rPr>
        <w:t>y</w:t>
      </w:r>
      <w:r>
        <w:rPr>
          <w:color w:val="000000"/>
          <w:spacing w:val="-2"/>
        </w:rPr>
        <w:t>s</w:t>
      </w:r>
      <w:r>
        <w:rPr>
          <w:color w:val="000000"/>
          <w:spacing w:val="5"/>
        </w:rPr>
        <w:t>t</w:t>
      </w:r>
      <w:r>
        <w:rPr>
          <w:color w:val="000000"/>
          <w:spacing w:val="-1"/>
        </w:rPr>
        <w:t>ė</w:t>
      </w:r>
      <w:r>
        <w:rPr>
          <w:color w:val="000000"/>
          <w:spacing w:val="-2"/>
        </w:rPr>
        <w:t>s</w:t>
      </w:r>
      <w:r>
        <w:rPr>
          <w:color w:val="000000"/>
        </w:rPr>
        <w:t>,</w:t>
      </w:r>
      <w:r>
        <w:rPr>
          <w:color w:val="000000"/>
          <w:spacing w:val="5"/>
        </w:rPr>
        <w:t xml:space="preserve"> </w:t>
      </w:r>
      <w:r>
        <w:rPr>
          <w:color w:val="000000"/>
          <w:spacing w:val="1"/>
        </w:rPr>
        <w:t>P</w:t>
      </w:r>
      <w:r>
        <w:rPr>
          <w:color w:val="000000"/>
          <w:spacing w:val="5"/>
        </w:rPr>
        <w:t>o</w:t>
      </w:r>
      <w:r>
        <w:rPr>
          <w:color w:val="000000"/>
          <w:spacing w:val="-3"/>
        </w:rPr>
        <w:t>r</w:t>
      </w:r>
      <w:r>
        <w:rPr>
          <w:color w:val="000000"/>
          <w:spacing w:val="5"/>
        </w:rPr>
        <w:t>t</w:t>
      </w:r>
      <w:r>
        <w:rPr>
          <w:color w:val="000000"/>
        </w:rPr>
        <w:t>ug</w:t>
      </w:r>
      <w:r>
        <w:rPr>
          <w:color w:val="000000"/>
          <w:spacing w:val="-1"/>
        </w:rPr>
        <w:t>a</w:t>
      </w:r>
      <w:r>
        <w:rPr>
          <w:color w:val="000000"/>
          <w:spacing w:val="-4"/>
        </w:rPr>
        <w:t>li</w:t>
      </w:r>
      <w:r>
        <w:rPr>
          <w:color w:val="000000"/>
          <w:spacing w:val="-9"/>
        </w:rPr>
        <w:t>j</w:t>
      </w:r>
      <w:r>
        <w:rPr>
          <w:color w:val="000000"/>
          <w:spacing w:val="9"/>
        </w:rPr>
        <w:t>o</w:t>
      </w:r>
      <w:r>
        <w:rPr>
          <w:color w:val="000000"/>
          <w:spacing w:val="2"/>
        </w:rPr>
        <w:t>s</w:t>
      </w:r>
      <w:r>
        <w:rPr>
          <w:color w:val="000000"/>
          <w:spacing w:val="1"/>
        </w:rPr>
        <w:t>)</w:t>
      </w:r>
      <w:r>
        <w:rPr>
          <w:color w:val="000000"/>
        </w:rPr>
        <w:t>.</w:t>
      </w:r>
      <w:r>
        <w:rPr>
          <w:color w:val="000000"/>
          <w:spacing w:val="5"/>
        </w:rPr>
        <w:t xml:space="preserve"> </w:t>
      </w:r>
      <w:r>
        <w:rPr>
          <w:color w:val="000000"/>
          <w:spacing w:val="-2"/>
        </w:rPr>
        <w:t>M</w:t>
      </w:r>
      <w:r>
        <w:rPr>
          <w:color w:val="000000"/>
        </w:rPr>
        <w:t>u</w:t>
      </w:r>
      <w:r>
        <w:rPr>
          <w:color w:val="000000"/>
          <w:spacing w:val="-9"/>
        </w:rPr>
        <w:t>i</w:t>
      </w:r>
      <w:r>
        <w:rPr>
          <w:color w:val="000000"/>
          <w:spacing w:val="10"/>
        </w:rPr>
        <w:t>t</w:t>
      </w:r>
      <w:r>
        <w:rPr>
          <w:color w:val="000000"/>
          <w:spacing w:val="-4"/>
        </w:rPr>
        <w:t>i</w:t>
      </w:r>
      <w:r>
        <w:rPr>
          <w:color w:val="000000"/>
          <w:spacing w:val="-5"/>
        </w:rPr>
        <w:t>n</w:t>
      </w:r>
      <w:r>
        <w:rPr>
          <w:color w:val="000000"/>
          <w:spacing w:val="-1"/>
        </w:rPr>
        <w:t>ė</w:t>
      </w:r>
      <w:r>
        <w:rPr>
          <w:color w:val="000000"/>
        </w:rPr>
        <w:t>s k</w:t>
      </w:r>
      <w:r>
        <w:rPr>
          <w:color w:val="000000"/>
          <w:spacing w:val="6"/>
        </w:rPr>
        <w:t>r</w:t>
      </w:r>
      <w:r>
        <w:rPr>
          <w:color w:val="000000"/>
          <w:spacing w:val="-4"/>
        </w:rPr>
        <w:t>i</w:t>
      </w:r>
      <w:r>
        <w:rPr>
          <w:color w:val="000000"/>
        </w:rPr>
        <w:t>m</w:t>
      </w:r>
      <w:r>
        <w:rPr>
          <w:color w:val="000000"/>
          <w:spacing w:val="-4"/>
        </w:rPr>
        <w:t>i</w:t>
      </w:r>
      <w:r>
        <w:rPr>
          <w:color w:val="000000"/>
        </w:rPr>
        <w:t>n</w:t>
      </w:r>
      <w:r>
        <w:rPr>
          <w:color w:val="000000"/>
          <w:spacing w:val="4"/>
        </w:rPr>
        <w:t>a</w:t>
      </w:r>
      <w:r>
        <w:rPr>
          <w:color w:val="000000"/>
        </w:rPr>
        <w:t>l</w:t>
      </w:r>
      <w:r>
        <w:rPr>
          <w:color w:val="000000"/>
          <w:spacing w:val="-4"/>
        </w:rPr>
        <w:t>i</w:t>
      </w:r>
      <w:r>
        <w:rPr>
          <w:color w:val="000000"/>
        </w:rPr>
        <w:t>nė</w:t>
      </w:r>
      <w:r>
        <w:rPr>
          <w:color w:val="000000"/>
          <w:spacing w:val="2"/>
        </w:rPr>
        <w:t xml:space="preserve"> </w:t>
      </w:r>
      <w:r>
        <w:rPr>
          <w:color w:val="000000"/>
          <w:spacing w:val="5"/>
        </w:rPr>
        <w:t>t</w:t>
      </w:r>
      <w:r>
        <w:rPr>
          <w:color w:val="000000"/>
          <w:spacing w:val="-1"/>
        </w:rPr>
        <w:t>a</w:t>
      </w:r>
      <w:r>
        <w:rPr>
          <w:color w:val="000000"/>
          <w:spacing w:val="1"/>
        </w:rPr>
        <w:t>r</w:t>
      </w:r>
      <w:r>
        <w:rPr>
          <w:color w:val="000000"/>
        </w:rPr>
        <w:t>n</w:t>
      </w:r>
      <w:r>
        <w:rPr>
          <w:color w:val="000000"/>
          <w:spacing w:val="-5"/>
        </w:rPr>
        <w:t>y</w:t>
      </w:r>
      <w:r>
        <w:rPr>
          <w:color w:val="000000"/>
        </w:rPr>
        <w:t>ba</w:t>
      </w:r>
      <w:r>
        <w:rPr>
          <w:color w:val="000000"/>
          <w:spacing w:val="2"/>
        </w:rPr>
        <w:t xml:space="preserve"> </w:t>
      </w:r>
      <w:r>
        <w:rPr>
          <w:color w:val="000000"/>
        </w:rPr>
        <w:t>p</w:t>
      </w:r>
      <w:r>
        <w:rPr>
          <w:color w:val="000000"/>
          <w:spacing w:val="1"/>
        </w:rPr>
        <w:t>r</w:t>
      </w:r>
      <w:r>
        <w:rPr>
          <w:color w:val="000000"/>
          <w:spacing w:val="5"/>
        </w:rPr>
        <w:t>o</w:t>
      </w:r>
      <w:r>
        <w:rPr>
          <w:color w:val="000000"/>
        </w:rPr>
        <w:t>g</w:t>
      </w:r>
      <w:r>
        <w:rPr>
          <w:color w:val="000000"/>
          <w:spacing w:val="-5"/>
        </w:rPr>
        <w:t>n</w:t>
      </w:r>
      <w:r>
        <w:rPr>
          <w:color w:val="000000"/>
          <w:spacing w:val="5"/>
        </w:rPr>
        <w:t>o</w:t>
      </w:r>
      <w:r>
        <w:rPr>
          <w:color w:val="000000"/>
          <w:spacing w:val="-1"/>
        </w:rPr>
        <w:t>z</w:t>
      </w:r>
      <w:r>
        <w:rPr>
          <w:color w:val="000000"/>
          <w:spacing w:val="-5"/>
        </w:rPr>
        <w:t>u</w:t>
      </w:r>
      <w:r>
        <w:rPr>
          <w:color w:val="000000"/>
          <w:spacing w:val="5"/>
        </w:rPr>
        <w:t>o</w:t>
      </w:r>
      <w:r>
        <w:rPr>
          <w:color w:val="000000"/>
          <w:spacing w:val="-9"/>
        </w:rPr>
        <w:t>j</w:t>
      </w:r>
      <w:r>
        <w:rPr>
          <w:color w:val="000000"/>
          <w:spacing w:val="-1"/>
        </w:rPr>
        <w:t>a</w:t>
      </w:r>
      <w:r>
        <w:rPr>
          <w:color w:val="000000"/>
        </w:rPr>
        <w:t>,</w:t>
      </w:r>
      <w:r>
        <w:rPr>
          <w:color w:val="000000"/>
          <w:spacing w:val="5"/>
        </w:rPr>
        <w:t xml:space="preserve"> </w:t>
      </w:r>
      <w:r>
        <w:rPr>
          <w:color w:val="000000"/>
        </w:rPr>
        <w:t>k</w:t>
      </w:r>
      <w:r>
        <w:rPr>
          <w:color w:val="000000"/>
          <w:spacing w:val="-1"/>
        </w:rPr>
        <w:t>a</w:t>
      </w:r>
      <w:r>
        <w:rPr>
          <w:color w:val="000000"/>
        </w:rPr>
        <w:t>d p</w:t>
      </w:r>
      <w:r>
        <w:rPr>
          <w:color w:val="000000"/>
          <w:spacing w:val="1"/>
        </w:rPr>
        <w:t>r</w:t>
      </w:r>
      <w:r>
        <w:rPr>
          <w:color w:val="000000"/>
          <w:spacing w:val="-1"/>
        </w:rPr>
        <w:t>a</w:t>
      </w:r>
      <w:r>
        <w:rPr>
          <w:color w:val="000000"/>
        </w:rPr>
        <w:t>d</w:t>
      </w:r>
      <w:r>
        <w:rPr>
          <w:color w:val="000000"/>
          <w:spacing w:val="4"/>
        </w:rPr>
        <w:t>ė</w:t>
      </w:r>
      <w:r>
        <w:rPr>
          <w:color w:val="000000"/>
          <w:spacing w:val="-9"/>
        </w:rPr>
        <w:t>j</w:t>
      </w:r>
      <w:r>
        <w:rPr>
          <w:color w:val="000000"/>
        </w:rPr>
        <w:t>us</w:t>
      </w:r>
      <w:r>
        <w:rPr>
          <w:color w:val="000000"/>
          <w:spacing w:val="7"/>
        </w:rPr>
        <w:t xml:space="preserve"> </w:t>
      </w:r>
      <w:r>
        <w:rPr>
          <w:color w:val="000000"/>
          <w:spacing w:val="4"/>
        </w:rPr>
        <w:t>e</w:t>
      </w:r>
      <w:r>
        <w:rPr>
          <w:color w:val="000000"/>
          <w:spacing w:val="-3"/>
        </w:rPr>
        <w:t>f</w:t>
      </w:r>
      <w:r>
        <w:rPr>
          <w:color w:val="000000"/>
          <w:spacing w:val="-1"/>
        </w:rPr>
        <w:t>e</w:t>
      </w:r>
      <w:r>
        <w:rPr>
          <w:color w:val="000000"/>
        </w:rPr>
        <w:t>k</w:t>
      </w:r>
      <w:r>
        <w:rPr>
          <w:color w:val="000000"/>
          <w:spacing w:val="10"/>
        </w:rPr>
        <w:t>t</w:t>
      </w:r>
      <w:r>
        <w:rPr>
          <w:color w:val="000000"/>
          <w:spacing w:val="-5"/>
        </w:rPr>
        <w:t>y</w:t>
      </w:r>
      <w:r>
        <w:rPr>
          <w:color w:val="000000"/>
        </w:rPr>
        <w:t>v</w:t>
      </w:r>
      <w:r>
        <w:rPr>
          <w:color w:val="000000"/>
          <w:spacing w:val="-4"/>
        </w:rPr>
        <w:t>i</w:t>
      </w:r>
      <w:r>
        <w:rPr>
          <w:color w:val="000000"/>
          <w:spacing w:val="-1"/>
        </w:rPr>
        <w:t>a</w:t>
      </w:r>
      <w:r>
        <w:rPr>
          <w:color w:val="000000"/>
        </w:rPr>
        <w:t>u</w:t>
      </w:r>
      <w:r>
        <w:rPr>
          <w:color w:val="000000"/>
          <w:spacing w:val="9"/>
        </w:rPr>
        <w:t xml:space="preserve"> </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4"/>
        </w:rPr>
        <w:t>li</w:t>
      </w:r>
      <w:r>
        <w:rPr>
          <w:color w:val="000000"/>
        </w:rPr>
        <w:t>u</w:t>
      </w:r>
      <w:r>
        <w:rPr>
          <w:color w:val="000000"/>
          <w:spacing w:val="5"/>
        </w:rPr>
        <w:t>ot</w:t>
      </w:r>
      <w:r>
        <w:rPr>
          <w:color w:val="000000"/>
        </w:rPr>
        <w:t xml:space="preserve">i </w:t>
      </w:r>
      <w:r>
        <w:rPr>
          <w:color w:val="000000"/>
          <w:spacing w:val="2"/>
        </w:rPr>
        <w:t>s</w:t>
      </w:r>
      <w:r>
        <w:rPr>
          <w:color w:val="000000"/>
          <w:spacing w:val="-4"/>
        </w:rPr>
        <w:t>i</w:t>
      </w:r>
      <w:r>
        <w:rPr>
          <w:color w:val="000000"/>
          <w:spacing w:val="5"/>
        </w:rPr>
        <w:t>u</w:t>
      </w:r>
      <w:r>
        <w:rPr>
          <w:color w:val="000000"/>
          <w:spacing w:val="-5"/>
        </w:rPr>
        <w:t>n</w:t>
      </w:r>
      <w:r>
        <w:rPr>
          <w:color w:val="000000"/>
          <w:spacing w:val="5"/>
        </w:rPr>
        <w:t>t</w:t>
      </w:r>
      <w:r>
        <w:rPr>
          <w:color w:val="000000"/>
          <w:spacing w:val="-1"/>
        </w:rPr>
        <w:t>a</w:t>
      </w:r>
      <w:r>
        <w:rPr>
          <w:color w:val="000000"/>
          <w:spacing w:val="-2"/>
        </w:rPr>
        <w:t>s</w:t>
      </w:r>
      <w:r>
        <w:rPr>
          <w:color w:val="000000"/>
        </w:rPr>
        <w:t>,</w:t>
      </w:r>
      <w:r>
        <w:rPr>
          <w:color w:val="000000"/>
          <w:spacing w:val="12"/>
        </w:rPr>
        <w:t xml:space="preserve"> </w:t>
      </w:r>
      <w:r>
        <w:rPr>
          <w:color w:val="000000"/>
          <w:spacing w:val="-1"/>
        </w:rPr>
        <w:t>a</w:t>
      </w:r>
      <w:r>
        <w:rPr>
          <w:color w:val="000000"/>
          <w:spacing w:val="5"/>
        </w:rPr>
        <w:t>t</w:t>
      </w:r>
      <w:r>
        <w:rPr>
          <w:color w:val="000000"/>
          <w:spacing w:val="-1"/>
        </w:rPr>
        <w:t>e</w:t>
      </w:r>
      <w:r>
        <w:rPr>
          <w:color w:val="000000"/>
          <w:spacing w:val="-9"/>
        </w:rPr>
        <w:t>i</w:t>
      </w:r>
      <w:r>
        <w:rPr>
          <w:color w:val="000000"/>
          <w:spacing w:val="10"/>
        </w:rPr>
        <w:t>t</w:t>
      </w:r>
      <w:r>
        <w:rPr>
          <w:color w:val="000000"/>
          <w:spacing w:val="-5"/>
        </w:rPr>
        <w:t>y</w:t>
      </w:r>
      <w:r>
        <w:rPr>
          <w:color w:val="000000"/>
          <w:spacing w:val="-4"/>
        </w:rPr>
        <w:t>j</w:t>
      </w:r>
      <w:r>
        <w:rPr>
          <w:color w:val="000000"/>
        </w:rPr>
        <w:t>e</w:t>
      </w:r>
      <w:r>
        <w:rPr>
          <w:color w:val="000000"/>
          <w:spacing w:val="13"/>
        </w:rPr>
        <w:t xml:space="preserve"> </w:t>
      </w:r>
      <w:r>
        <w:rPr>
          <w:color w:val="000000"/>
        </w:rPr>
        <w:t>g</w:t>
      </w:r>
      <w:r>
        <w:rPr>
          <w:color w:val="000000"/>
          <w:spacing w:val="4"/>
        </w:rPr>
        <w:t>a</w:t>
      </w:r>
      <w:r>
        <w:rPr>
          <w:color w:val="000000"/>
          <w:spacing w:val="-4"/>
        </w:rPr>
        <w:t>l</w:t>
      </w:r>
      <w:r>
        <w:rPr>
          <w:color w:val="000000"/>
        </w:rPr>
        <w:t xml:space="preserve">i </w:t>
      </w:r>
      <w:r>
        <w:rPr>
          <w:color w:val="000000"/>
          <w:spacing w:val="5"/>
        </w:rPr>
        <w:t>d</w:t>
      </w:r>
      <w:r>
        <w:rPr>
          <w:color w:val="000000"/>
          <w:spacing w:val="-1"/>
        </w:rPr>
        <w:t>a</w:t>
      </w:r>
      <w:r>
        <w:rPr>
          <w:color w:val="000000"/>
        </w:rPr>
        <w:t>ug</w:t>
      </w:r>
      <w:r>
        <w:rPr>
          <w:color w:val="000000"/>
          <w:spacing w:val="-1"/>
        </w:rPr>
        <w:t>ė</w:t>
      </w:r>
      <w:r>
        <w:rPr>
          <w:color w:val="000000"/>
          <w:spacing w:val="10"/>
        </w:rPr>
        <w:t>t</w:t>
      </w:r>
      <w:r>
        <w:rPr>
          <w:color w:val="000000"/>
        </w:rPr>
        <w:t xml:space="preserve">i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12"/>
        </w:rPr>
        <w:t xml:space="preserve"> </w:t>
      </w:r>
      <w:r>
        <w:rPr>
          <w:color w:val="000000"/>
        </w:rPr>
        <w:t>k</w:t>
      </w:r>
      <w:r>
        <w:rPr>
          <w:color w:val="000000"/>
          <w:spacing w:val="4"/>
        </w:rPr>
        <w:t>a</w:t>
      </w:r>
      <w:r>
        <w:rPr>
          <w:color w:val="000000"/>
        </w:rPr>
        <w:t xml:space="preserve">i </w:t>
      </w:r>
      <w:r>
        <w:rPr>
          <w:color w:val="000000"/>
          <w:spacing w:val="5"/>
        </w:rPr>
        <w:t>d</w:t>
      </w:r>
      <w:r>
        <w:rPr>
          <w:color w:val="000000"/>
          <w:spacing w:val="-4"/>
        </w:rPr>
        <w:t>i</w:t>
      </w:r>
      <w:r>
        <w:rPr>
          <w:color w:val="000000"/>
        </w:rPr>
        <w:t>d</w:t>
      </w:r>
      <w:r>
        <w:rPr>
          <w:color w:val="000000"/>
          <w:spacing w:val="-1"/>
        </w:rPr>
        <w:t>e</w:t>
      </w:r>
      <w:r>
        <w:rPr>
          <w:color w:val="000000"/>
          <w:spacing w:val="2"/>
        </w:rPr>
        <w:t>s</w:t>
      </w:r>
      <w:r>
        <w:rPr>
          <w:color w:val="000000"/>
        </w:rPr>
        <w:t>ni</w:t>
      </w:r>
      <w:r>
        <w:rPr>
          <w:color w:val="000000"/>
          <w:spacing w:val="10"/>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n</w:t>
      </w:r>
      <w:r>
        <w:rPr>
          <w:color w:val="000000"/>
          <w:spacing w:val="-4"/>
        </w:rPr>
        <w:t>i</w:t>
      </w:r>
      <w:r>
        <w:rPr>
          <w:color w:val="000000"/>
        </w:rPr>
        <w:t>ų</w:t>
      </w:r>
      <w:r>
        <w:rPr>
          <w:color w:val="000000"/>
          <w:spacing w:val="14"/>
        </w:rPr>
        <w:t xml:space="preserve"> </w:t>
      </w:r>
      <w:r>
        <w:rPr>
          <w:color w:val="000000"/>
          <w:spacing w:val="-4"/>
        </w:rPr>
        <w:t>i</w:t>
      </w:r>
      <w:r>
        <w:rPr>
          <w:color w:val="000000"/>
        </w:rPr>
        <w:t>r p</w:t>
      </w:r>
      <w:r>
        <w:rPr>
          <w:color w:val="000000"/>
          <w:spacing w:val="2"/>
        </w:rPr>
        <w:t>s</w:t>
      </w:r>
      <w:r>
        <w:rPr>
          <w:color w:val="000000"/>
          <w:spacing w:val="-4"/>
        </w:rPr>
        <w:t>i</w:t>
      </w:r>
      <w:r>
        <w:rPr>
          <w:color w:val="000000"/>
          <w:spacing w:val="4"/>
        </w:rPr>
        <w:t>c</w:t>
      </w:r>
      <w:r>
        <w:rPr>
          <w:color w:val="000000"/>
          <w:spacing w:val="-5"/>
        </w:rPr>
        <w:t>h</w:t>
      </w:r>
      <w:r>
        <w:rPr>
          <w:color w:val="000000"/>
        </w:rPr>
        <w:t>o</w:t>
      </w:r>
      <w:r>
        <w:rPr>
          <w:color w:val="000000"/>
          <w:spacing w:val="5"/>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1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7"/>
        </w:rPr>
        <w:t xml:space="preserve"> </w:t>
      </w:r>
      <w:r>
        <w:rPr>
          <w:color w:val="000000"/>
          <w:spacing w:val="5"/>
        </w:rPr>
        <w:t>k</w:t>
      </w:r>
      <w:r>
        <w:rPr>
          <w:color w:val="000000"/>
          <w:spacing w:val="-4"/>
        </w:rPr>
        <w:t>i</w:t>
      </w:r>
      <w:r>
        <w:rPr>
          <w:color w:val="000000"/>
          <w:spacing w:val="-1"/>
        </w:rPr>
        <w:t>e</w:t>
      </w:r>
      <w:r>
        <w:rPr>
          <w:color w:val="000000"/>
          <w:spacing w:val="5"/>
        </w:rPr>
        <w:t>k</w:t>
      </w:r>
      <w:r>
        <w:rPr>
          <w:color w:val="000000"/>
          <w:spacing w:val="-4"/>
        </w:rPr>
        <w:t>i</w:t>
      </w:r>
      <w:r>
        <w:rPr>
          <w:color w:val="000000"/>
          <w:spacing w:val="4"/>
        </w:rPr>
        <w:t>a</w:t>
      </w:r>
      <w:r>
        <w:rPr>
          <w:color w:val="000000"/>
        </w:rPr>
        <w:t>i</w:t>
      </w:r>
      <w:r>
        <w:rPr>
          <w:color w:val="000000"/>
          <w:spacing w:val="3"/>
        </w:rPr>
        <w:t xml:space="preserve"> </w:t>
      </w:r>
      <w:r>
        <w:rPr>
          <w:color w:val="000000"/>
          <w:spacing w:val="-4"/>
        </w:rPr>
        <w:t>i</w:t>
      </w:r>
      <w:r>
        <w:rPr>
          <w:color w:val="000000"/>
        </w:rPr>
        <w:t>š</w:t>
      </w:r>
      <w:r>
        <w:rPr>
          <w:color w:val="000000"/>
          <w:spacing w:val="10"/>
        </w:rPr>
        <w:t xml:space="preserve"> </w:t>
      </w:r>
      <w:r>
        <w:rPr>
          <w:color w:val="000000"/>
        </w:rPr>
        <w:t>K</w:t>
      </w:r>
      <w:r>
        <w:rPr>
          <w:color w:val="000000"/>
          <w:spacing w:val="-5"/>
        </w:rPr>
        <w:t>i</w:t>
      </w:r>
      <w:r>
        <w:rPr>
          <w:color w:val="000000"/>
          <w:spacing w:val="5"/>
        </w:rPr>
        <w:t>n</w:t>
      </w:r>
      <w:r>
        <w:rPr>
          <w:color w:val="000000"/>
        </w:rPr>
        <w:t>i</w:t>
      </w:r>
      <w:r>
        <w:rPr>
          <w:color w:val="000000"/>
          <w:spacing w:val="-9"/>
        </w:rPr>
        <w:t>j</w:t>
      </w:r>
      <w:r>
        <w:rPr>
          <w:color w:val="000000"/>
          <w:spacing w:val="5"/>
        </w:rPr>
        <w:t>o</w:t>
      </w:r>
      <w:r>
        <w:rPr>
          <w:color w:val="000000"/>
        </w:rPr>
        <w:t>s</w:t>
      </w:r>
      <w:r>
        <w:rPr>
          <w:color w:val="000000"/>
          <w:spacing w:val="10"/>
        </w:rPr>
        <w:t xml:space="preserve"> </w:t>
      </w:r>
      <w:r>
        <w:rPr>
          <w:color w:val="000000"/>
          <w:spacing w:val="-5"/>
        </w:rPr>
        <w:t>b</w:t>
      </w:r>
      <w:r>
        <w:rPr>
          <w:color w:val="000000"/>
          <w:spacing w:val="5"/>
        </w:rPr>
        <w:t>u</w:t>
      </w:r>
      <w:r>
        <w:rPr>
          <w:color w:val="000000"/>
        </w:rPr>
        <w:t>s</w:t>
      </w:r>
      <w:r>
        <w:rPr>
          <w:color w:val="000000"/>
          <w:spacing w:val="5"/>
        </w:rPr>
        <w:t xml:space="preserve"> </w:t>
      </w:r>
      <w:r>
        <w:rPr>
          <w:color w:val="000000"/>
          <w:spacing w:val="2"/>
        </w:rPr>
        <w:t>s</w:t>
      </w:r>
      <w:r>
        <w:rPr>
          <w:color w:val="000000"/>
          <w:spacing w:val="-4"/>
        </w:rPr>
        <w:t>i</w:t>
      </w:r>
      <w:r>
        <w:rPr>
          <w:color w:val="000000"/>
          <w:spacing w:val="5"/>
        </w:rPr>
        <w:t>u</w:t>
      </w:r>
      <w:r>
        <w:rPr>
          <w:color w:val="000000"/>
          <w:spacing w:val="-5"/>
        </w:rPr>
        <w:t>n</w:t>
      </w:r>
      <w:r>
        <w:rPr>
          <w:color w:val="000000"/>
          <w:spacing w:val="4"/>
        </w:rPr>
        <w:t>č</w:t>
      </w:r>
      <w:r>
        <w:rPr>
          <w:color w:val="000000"/>
          <w:spacing w:val="-4"/>
        </w:rPr>
        <w:t>i</w:t>
      </w:r>
      <w:r>
        <w:rPr>
          <w:color w:val="000000"/>
          <w:spacing w:val="4"/>
        </w:rPr>
        <w:t>a</w:t>
      </w:r>
      <w:r>
        <w:rPr>
          <w:color w:val="000000"/>
        </w:rPr>
        <w:t>mi</w:t>
      </w:r>
      <w:r>
        <w:rPr>
          <w:color w:val="000000"/>
          <w:spacing w:val="8"/>
        </w:rPr>
        <w:t xml:space="preserve"> </w:t>
      </w:r>
      <w:r>
        <w:rPr>
          <w:color w:val="000000"/>
        </w:rPr>
        <w:t>į</w:t>
      </w:r>
      <w:r>
        <w:rPr>
          <w:color w:val="000000"/>
          <w:spacing w:val="-2"/>
        </w:rPr>
        <w:t xml:space="preserve"> </w:t>
      </w:r>
      <w:r>
        <w:rPr>
          <w:color w:val="000000"/>
          <w:spacing w:val="5"/>
        </w:rPr>
        <w:t>t</w:t>
      </w:r>
      <w:r>
        <w:rPr>
          <w:color w:val="000000"/>
          <w:spacing w:val="-1"/>
        </w:rPr>
        <w:t>a</w:t>
      </w:r>
      <w:r>
        <w:rPr>
          <w:color w:val="000000"/>
        </w:rPr>
        <w:t>s</w:t>
      </w:r>
      <w:r>
        <w:rPr>
          <w:color w:val="000000"/>
          <w:spacing w:val="5"/>
        </w:rPr>
        <w:t xml:space="preserve"> </w:t>
      </w:r>
      <w:r>
        <w:rPr>
          <w:color w:val="000000"/>
          <w:spacing w:val="2"/>
        </w:rPr>
        <w:t>E</w:t>
      </w:r>
      <w:r>
        <w:rPr>
          <w:color w:val="000000"/>
        </w:rPr>
        <w:t>S</w:t>
      </w:r>
      <w:r>
        <w:rPr>
          <w:color w:val="000000"/>
          <w:spacing w:val="8"/>
        </w:rPr>
        <w:t xml:space="preserve"> </w:t>
      </w:r>
      <w:r>
        <w:rPr>
          <w:color w:val="000000"/>
          <w:spacing w:val="-2"/>
        </w:rPr>
        <w:t>š</w:t>
      </w:r>
      <w:r>
        <w:rPr>
          <w:color w:val="000000"/>
          <w:spacing w:val="4"/>
        </w:rPr>
        <w:t>a</w:t>
      </w:r>
      <w:r>
        <w:rPr>
          <w:color w:val="000000"/>
          <w:spacing w:val="-4"/>
        </w:rPr>
        <w:t>li</w:t>
      </w:r>
      <w:r>
        <w:rPr>
          <w:color w:val="000000"/>
          <w:spacing w:val="-2"/>
        </w:rPr>
        <w:t>s</w:t>
      </w:r>
      <w:r>
        <w:rPr>
          <w:color w:val="000000"/>
        </w:rPr>
        <w:t>,</w:t>
      </w:r>
      <w:r>
        <w:rPr>
          <w:color w:val="000000"/>
          <w:spacing w:val="9"/>
        </w:rPr>
        <w:t xml:space="preserve"> </w:t>
      </w:r>
      <w:r>
        <w:rPr>
          <w:color w:val="000000"/>
        </w:rPr>
        <w:t>ku</w:t>
      </w:r>
      <w:r>
        <w:rPr>
          <w:color w:val="000000"/>
          <w:spacing w:val="6"/>
        </w:rPr>
        <w:t>r</w:t>
      </w:r>
      <w:r>
        <w:rPr>
          <w:color w:val="000000"/>
          <w:spacing w:val="1"/>
        </w:rPr>
        <w:t>i</w:t>
      </w:r>
      <w:r>
        <w:rPr>
          <w:color w:val="000000"/>
          <w:spacing w:val="5"/>
        </w:rPr>
        <w:t>o</w:t>
      </w:r>
      <w:r>
        <w:rPr>
          <w:color w:val="000000"/>
          <w:spacing w:val="-2"/>
        </w:rPr>
        <w:t>s</w:t>
      </w:r>
      <w:r>
        <w:rPr>
          <w:color w:val="000000"/>
        </w:rPr>
        <w:t>e</w:t>
      </w:r>
      <w:r>
        <w:rPr>
          <w:color w:val="000000"/>
          <w:spacing w:val="11"/>
        </w:rPr>
        <w:t xml:space="preserve"> </w:t>
      </w:r>
      <w:r>
        <w:rPr>
          <w:color w:val="000000"/>
          <w:spacing w:val="-4"/>
        </w:rPr>
        <w:t>m</w:t>
      </w:r>
      <w:r>
        <w:rPr>
          <w:color w:val="000000"/>
          <w:spacing w:val="-1"/>
        </w:rPr>
        <w:t>aže</w:t>
      </w:r>
      <w:r>
        <w:rPr>
          <w:color w:val="000000"/>
          <w:spacing w:val="2"/>
        </w:rPr>
        <w:t>s</w:t>
      </w:r>
      <w:r>
        <w:rPr>
          <w:color w:val="000000"/>
        </w:rPr>
        <w:t>nė</w:t>
      </w:r>
      <w:r>
        <w:rPr>
          <w:color w:val="000000"/>
          <w:spacing w:val="6"/>
        </w:rPr>
        <w:t xml:space="preserve"> </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9"/>
        </w:rPr>
        <w:t>l</w:t>
      </w:r>
      <w:r>
        <w:rPr>
          <w:color w:val="000000"/>
          <w:spacing w:val="-1"/>
        </w:rPr>
        <w:t>ė</w:t>
      </w:r>
      <w:r>
        <w:rPr>
          <w:color w:val="000000"/>
        </w:rPr>
        <w:t>,</w:t>
      </w:r>
      <w:r>
        <w:rPr>
          <w:color w:val="000000"/>
          <w:spacing w:val="9"/>
        </w:rPr>
        <w:t xml:space="preserve"> </w:t>
      </w:r>
      <w:r>
        <w:rPr>
          <w:color w:val="000000"/>
        </w:rPr>
        <w:t>o po</w:t>
      </w:r>
      <w:r>
        <w:rPr>
          <w:color w:val="000000"/>
          <w:spacing w:val="26"/>
        </w:rPr>
        <w:t xml:space="preserve"> </w:t>
      </w:r>
      <w:r>
        <w:rPr>
          <w:color w:val="000000"/>
        </w:rPr>
        <w:t>to</w:t>
      </w:r>
      <w:r>
        <w:rPr>
          <w:color w:val="000000"/>
          <w:spacing w:val="36"/>
        </w:rPr>
        <w:t xml:space="preserve"> </w:t>
      </w:r>
      <w:r>
        <w:rPr>
          <w:color w:val="000000"/>
          <w:spacing w:val="-9"/>
        </w:rPr>
        <w:t>j</w:t>
      </w:r>
      <w:r>
        <w:rPr>
          <w:color w:val="000000"/>
          <w:spacing w:val="-1"/>
        </w:rPr>
        <w:t>a</w:t>
      </w:r>
      <w:r>
        <w:rPr>
          <w:color w:val="000000"/>
        </w:rPr>
        <w:t>s</w:t>
      </w:r>
      <w:r>
        <w:rPr>
          <w:color w:val="000000"/>
          <w:spacing w:val="29"/>
        </w:rPr>
        <w:t xml:space="preserve"> </w:t>
      </w:r>
      <w:r>
        <w:rPr>
          <w:color w:val="000000"/>
        </w:rPr>
        <w:t>p</w:t>
      </w:r>
      <w:r>
        <w:rPr>
          <w:color w:val="000000"/>
          <w:spacing w:val="4"/>
        </w:rPr>
        <w:t>a</w:t>
      </w:r>
      <w:r>
        <w:rPr>
          <w:color w:val="000000"/>
          <w:spacing w:val="2"/>
        </w:rPr>
        <w:t>s</w:t>
      </w:r>
      <w:r>
        <w:rPr>
          <w:color w:val="000000"/>
          <w:spacing w:val="-4"/>
        </w:rPr>
        <w:t>l</w:t>
      </w:r>
      <w:r>
        <w:rPr>
          <w:color w:val="000000"/>
          <w:spacing w:val="-1"/>
        </w:rPr>
        <w:t>ė</w:t>
      </w:r>
      <w:r>
        <w:rPr>
          <w:color w:val="000000"/>
        </w:rPr>
        <w:t>pu</w:t>
      </w:r>
      <w:r>
        <w:rPr>
          <w:color w:val="000000"/>
          <w:spacing w:val="-2"/>
        </w:rPr>
        <w:t>s</w:t>
      </w:r>
      <w:r>
        <w:rPr>
          <w:color w:val="000000"/>
        </w:rPr>
        <w:t>,</w:t>
      </w:r>
      <w:r>
        <w:rPr>
          <w:color w:val="000000"/>
          <w:spacing w:val="33"/>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29"/>
        </w:rPr>
        <w:t xml:space="preserve"> </w:t>
      </w:r>
      <w:r>
        <w:rPr>
          <w:color w:val="000000"/>
          <w:spacing w:val="-5"/>
        </w:rPr>
        <w:t>b</w:t>
      </w:r>
      <w:r>
        <w:rPr>
          <w:color w:val="000000"/>
          <w:spacing w:val="5"/>
        </w:rPr>
        <w:t>u</w:t>
      </w:r>
      <w:r>
        <w:rPr>
          <w:color w:val="000000"/>
        </w:rPr>
        <w:t>s</w:t>
      </w:r>
      <w:r>
        <w:rPr>
          <w:color w:val="000000"/>
          <w:spacing w:val="24"/>
        </w:rPr>
        <w:t xml:space="preserve"> </w:t>
      </w:r>
      <w:r>
        <w:rPr>
          <w:color w:val="000000"/>
        </w:rPr>
        <w:t>p</w:t>
      </w:r>
      <w:r>
        <w:rPr>
          <w:color w:val="000000"/>
          <w:spacing w:val="-1"/>
        </w:rPr>
        <w:t>e</w:t>
      </w:r>
      <w:r>
        <w:rPr>
          <w:color w:val="000000"/>
          <w:spacing w:val="1"/>
        </w:rPr>
        <w:t>r</w:t>
      </w:r>
      <w:r>
        <w:rPr>
          <w:color w:val="000000"/>
          <w:spacing w:val="2"/>
        </w:rPr>
        <w:t>s</w:t>
      </w:r>
      <w:r>
        <w:rPr>
          <w:color w:val="000000"/>
          <w:spacing w:val="-4"/>
        </w:rPr>
        <w:t>i</w:t>
      </w:r>
      <w:r>
        <w:rPr>
          <w:color w:val="000000"/>
          <w:spacing w:val="5"/>
        </w:rPr>
        <w:t>u</w:t>
      </w:r>
      <w:r>
        <w:rPr>
          <w:color w:val="000000"/>
        </w:rPr>
        <w:t>n</w:t>
      </w:r>
      <w:r>
        <w:rPr>
          <w:color w:val="000000"/>
          <w:spacing w:val="4"/>
        </w:rPr>
        <w:t>č</w:t>
      </w:r>
      <w:r>
        <w:rPr>
          <w:color w:val="000000"/>
          <w:spacing w:val="-4"/>
        </w:rPr>
        <w:t>i</w:t>
      </w:r>
      <w:r>
        <w:rPr>
          <w:color w:val="000000"/>
          <w:spacing w:val="4"/>
        </w:rPr>
        <w:t>a</w:t>
      </w:r>
      <w:r>
        <w:rPr>
          <w:color w:val="000000"/>
          <w:spacing w:val="-9"/>
        </w:rPr>
        <w:t>m</w:t>
      </w:r>
      <w:r>
        <w:rPr>
          <w:color w:val="000000"/>
          <w:spacing w:val="5"/>
        </w:rPr>
        <w:t>o</w:t>
      </w:r>
      <w:r>
        <w:rPr>
          <w:color w:val="000000"/>
        </w:rPr>
        <w:t>s</w:t>
      </w:r>
      <w:r>
        <w:rPr>
          <w:color w:val="000000"/>
          <w:spacing w:val="33"/>
        </w:rPr>
        <w:t xml:space="preserve"> </w:t>
      </w:r>
      <w:r>
        <w:rPr>
          <w:color w:val="000000"/>
        </w:rPr>
        <w:t>į</w:t>
      </w:r>
      <w:r>
        <w:rPr>
          <w:color w:val="000000"/>
          <w:spacing w:val="22"/>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uv</w:t>
      </w:r>
      <w:r>
        <w:rPr>
          <w:color w:val="000000"/>
          <w:spacing w:val="-1"/>
        </w:rPr>
        <w:t>ą</w:t>
      </w:r>
      <w:r>
        <w:rPr>
          <w:color w:val="000000"/>
        </w:rPr>
        <w:t>.</w:t>
      </w:r>
      <w:r>
        <w:rPr>
          <w:color w:val="000000"/>
          <w:spacing w:val="28"/>
        </w:rPr>
        <w:t xml:space="preserve"> </w:t>
      </w:r>
      <w:r>
        <w:rPr>
          <w:color w:val="000000"/>
          <w:spacing w:val="2"/>
        </w:rPr>
        <w:t>T</w:t>
      </w:r>
      <w:r>
        <w:rPr>
          <w:color w:val="000000"/>
          <w:spacing w:val="4"/>
        </w:rPr>
        <w:t>a</w:t>
      </w:r>
      <w:r>
        <w:rPr>
          <w:color w:val="000000"/>
          <w:spacing w:val="-9"/>
        </w:rPr>
        <w:t>i</w:t>
      </w:r>
      <w:r>
        <w:rPr>
          <w:color w:val="000000"/>
        </w:rPr>
        <w:t>p</w:t>
      </w:r>
      <w:r>
        <w:rPr>
          <w:color w:val="000000"/>
          <w:spacing w:val="31"/>
        </w:rPr>
        <w:t xml:space="preserve"> </w:t>
      </w:r>
      <w:r>
        <w:rPr>
          <w:color w:val="000000"/>
        </w:rPr>
        <w:t>p</w:t>
      </w:r>
      <w:r>
        <w:rPr>
          <w:color w:val="000000"/>
          <w:spacing w:val="-1"/>
        </w:rPr>
        <w:t>a</w:t>
      </w:r>
      <w:r>
        <w:rPr>
          <w:color w:val="000000"/>
        </w:rPr>
        <w:t>t</w:t>
      </w:r>
      <w:r>
        <w:rPr>
          <w:color w:val="000000"/>
          <w:spacing w:val="31"/>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e</w:t>
      </w:r>
      <w:r>
        <w:rPr>
          <w:color w:val="000000"/>
          <w:spacing w:val="-5"/>
        </w:rPr>
        <w:t>b</w:t>
      </w:r>
      <w:r>
        <w:rPr>
          <w:color w:val="000000"/>
          <w:spacing w:val="-1"/>
        </w:rPr>
        <w:t>ė</w:t>
      </w:r>
      <w:r>
        <w:rPr>
          <w:color w:val="000000"/>
          <w:spacing w:val="5"/>
        </w:rPr>
        <w:t>t</w:t>
      </w:r>
      <w:r>
        <w:rPr>
          <w:color w:val="000000"/>
          <w:spacing w:val="-1"/>
        </w:rPr>
        <w:t>a</w:t>
      </w:r>
      <w:r>
        <w:rPr>
          <w:color w:val="000000"/>
        </w:rPr>
        <w:t>,</w:t>
      </w:r>
      <w:r>
        <w:rPr>
          <w:color w:val="000000"/>
          <w:spacing w:val="28"/>
        </w:rPr>
        <w:t xml:space="preserve"> </w:t>
      </w:r>
      <w:r>
        <w:rPr>
          <w:color w:val="000000"/>
        </w:rPr>
        <w:t>k</w:t>
      </w:r>
      <w:r>
        <w:rPr>
          <w:color w:val="000000"/>
          <w:spacing w:val="-1"/>
        </w:rPr>
        <w:t>a</w:t>
      </w:r>
      <w:r>
        <w:rPr>
          <w:color w:val="000000"/>
        </w:rPr>
        <w:t>d</w:t>
      </w:r>
      <w:r>
        <w:rPr>
          <w:color w:val="000000"/>
          <w:spacing w:val="31"/>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4"/>
        </w:rPr>
        <w:t>m</w:t>
      </w:r>
      <w:r>
        <w:rPr>
          <w:color w:val="000000"/>
        </w:rPr>
        <w:t>ų g</w:t>
      </w:r>
      <w:r>
        <w:rPr>
          <w:color w:val="000000"/>
          <w:spacing w:val="1"/>
        </w:rPr>
        <w:t>r</w:t>
      </w:r>
      <w:r>
        <w:rPr>
          <w:color w:val="000000"/>
        </w:rPr>
        <w:t>upu</w:t>
      </w:r>
      <w:r>
        <w:rPr>
          <w:color w:val="000000"/>
          <w:spacing w:val="5"/>
        </w:rPr>
        <w:t>o</w:t>
      </w:r>
      <w:r>
        <w:rPr>
          <w:color w:val="000000"/>
          <w:spacing w:val="-1"/>
        </w:rPr>
        <w:t>č</w:t>
      </w:r>
      <w:r>
        <w:rPr>
          <w:color w:val="000000"/>
          <w:spacing w:val="-9"/>
        </w:rPr>
        <w:t>i</w:t>
      </w:r>
      <w:r>
        <w:rPr>
          <w:color w:val="000000"/>
        </w:rPr>
        <w:t>ų</w:t>
      </w:r>
      <w:r>
        <w:rPr>
          <w:color w:val="000000"/>
          <w:spacing w:val="31"/>
        </w:rPr>
        <w:t xml:space="preserve"> </w:t>
      </w:r>
      <w:r>
        <w:rPr>
          <w:color w:val="000000"/>
          <w:spacing w:val="-5"/>
        </w:rPr>
        <w:t>n</w:t>
      </w:r>
      <w:r>
        <w:rPr>
          <w:color w:val="000000"/>
          <w:spacing w:val="-1"/>
        </w:rPr>
        <w:t>a</w:t>
      </w:r>
      <w:r>
        <w:rPr>
          <w:color w:val="000000"/>
          <w:spacing w:val="6"/>
        </w:rPr>
        <w:t>r</w:t>
      </w:r>
      <w:r>
        <w:rPr>
          <w:color w:val="000000"/>
          <w:spacing w:val="-4"/>
        </w:rPr>
        <w:t>i</w:t>
      </w:r>
      <w:r>
        <w:rPr>
          <w:color w:val="000000"/>
          <w:spacing w:val="4"/>
        </w:rPr>
        <w:t>a</w:t>
      </w:r>
      <w:r>
        <w:rPr>
          <w:color w:val="000000"/>
        </w:rPr>
        <w:t>i</w:t>
      </w:r>
      <w:r>
        <w:rPr>
          <w:color w:val="000000"/>
          <w:spacing w:val="17"/>
        </w:rPr>
        <w:t xml:space="preserve"> </w:t>
      </w:r>
      <w:r>
        <w:rPr>
          <w:color w:val="000000"/>
          <w:spacing w:val="5"/>
        </w:rPr>
        <w:t>p</w:t>
      </w:r>
      <w:r>
        <w:rPr>
          <w:color w:val="000000"/>
          <w:spacing w:val="-1"/>
        </w:rPr>
        <w:t>a</w:t>
      </w:r>
      <w:r>
        <w:rPr>
          <w:color w:val="000000"/>
          <w:spacing w:val="5"/>
        </w:rPr>
        <w:t>t</w:t>
      </w:r>
      <w:r>
        <w:rPr>
          <w:color w:val="000000"/>
          <w:spacing w:val="-5"/>
        </w:rPr>
        <w:t>y</w:t>
      </w:r>
      <w:r>
        <w:rPr>
          <w:color w:val="000000"/>
        </w:rPr>
        <w:t>s</w:t>
      </w:r>
      <w:r>
        <w:rPr>
          <w:color w:val="000000"/>
          <w:spacing w:val="29"/>
        </w:rPr>
        <w:t xml:space="preserve"> </w:t>
      </w:r>
      <w:r>
        <w:rPr>
          <w:color w:val="000000"/>
        </w:rPr>
        <w:t>v</w:t>
      </w:r>
      <w:r>
        <w:rPr>
          <w:color w:val="000000"/>
          <w:spacing w:val="-5"/>
        </w:rPr>
        <w:t>y</w:t>
      </w:r>
      <w:r>
        <w:rPr>
          <w:color w:val="000000"/>
        </w:rPr>
        <w:t>k</w:t>
      </w:r>
      <w:r>
        <w:rPr>
          <w:color w:val="000000"/>
          <w:spacing w:val="-2"/>
        </w:rPr>
        <w:t>s</w:t>
      </w:r>
      <w:r>
        <w:rPr>
          <w:color w:val="000000"/>
          <w:spacing w:val="5"/>
        </w:rPr>
        <w:t>t</w:t>
      </w:r>
      <w:r>
        <w:rPr>
          <w:color w:val="000000"/>
        </w:rPr>
        <w:t>a</w:t>
      </w:r>
      <w:r>
        <w:rPr>
          <w:color w:val="000000"/>
          <w:spacing w:val="25"/>
        </w:rPr>
        <w:t xml:space="preserve"> </w:t>
      </w:r>
      <w:r>
        <w:rPr>
          <w:color w:val="000000"/>
          <w:spacing w:val="-5"/>
        </w:rPr>
        <w:t>n</w:t>
      </w:r>
      <w:r>
        <w:rPr>
          <w:color w:val="000000"/>
          <w:spacing w:val="-1"/>
        </w:rPr>
        <w:t>e</w:t>
      </w:r>
      <w:r>
        <w:rPr>
          <w:color w:val="000000"/>
        </w:rPr>
        <w:t>t</w:t>
      </w:r>
      <w:r>
        <w:rPr>
          <w:color w:val="000000"/>
          <w:spacing w:val="36"/>
        </w:rPr>
        <w:t xml:space="preserve"> </w:t>
      </w:r>
      <w:r>
        <w:rPr>
          <w:color w:val="000000"/>
        </w:rPr>
        <w:t>į</w:t>
      </w:r>
      <w:r>
        <w:rPr>
          <w:color w:val="000000"/>
          <w:spacing w:val="22"/>
        </w:rPr>
        <w:t xml:space="preserve"> </w:t>
      </w:r>
      <w:r>
        <w:rPr>
          <w:color w:val="000000"/>
        </w:rPr>
        <w:t>K</w:t>
      </w:r>
      <w:r>
        <w:rPr>
          <w:color w:val="000000"/>
          <w:spacing w:val="-5"/>
        </w:rPr>
        <w:t>i</w:t>
      </w:r>
      <w:r>
        <w:rPr>
          <w:color w:val="000000"/>
          <w:spacing w:val="5"/>
        </w:rPr>
        <w:t>n</w:t>
      </w:r>
      <w:r>
        <w:rPr>
          <w:color w:val="000000"/>
        </w:rPr>
        <w:t>i</w:t>
      </w:r>
      <w:r>
        <w:rPr>
          <w:color w:val="000000"/>
          <w:spacing w:val="-4"/>
        </w:rPr>
        <w:t>j</w:t>
      </w:r>
      <w:r>
        <w:rPr>
          <w:color w:val="000000"/>
          <w:spacing w:val="-1"/>
        </w:rPr>
        <w:t>ą</w:t>
      </w:r>
      <w:r>
        <w:rPr>
          <w:color w:val="000000"/>
        </w:rPr>
        <w:t>,</w:t>
      </w:r>
      <w:r>
        <w:rPr>
          <w:color w:val="000000"/>
          <w:spacing w:val="28"/>
        </w:rPr>
        <w:t xml:space="preserve"> </w:t>
      </w:r>
      <w:r>
        <w:rPr>
          <w:color w:val="000000"/>
          <w:spacing w:val="5"/>
        </w:rPr>
        <w:t>t</w:t>
      </w:r>
      <w:r>
        <w:rPr>
          <w:color w:val="000000"/>
          <w:spacing w:val="-1"/>
        </w:rPr>
        <w:t>e</w:t>
      </w:r>
      <w:r>
        <w:rPr>
          <w:color w:val="000000"/>
        </w:rPr>
        <w:t>n</w:t>
      </w:r>
      <w:r>
        <w:rPr>
          <w:color w:val="000000"/>
          <w:spacing w:val="26"/>
        </w:rPr>
        <w:t xml:space="preserve"> </w:t>
      </w:r>
      <w:r>
        <w:rPr>
          <w:color w:val="000000"/>
          <w:spacing w:val="-4"/>
        </w:rPr>
        <w:t>i</w:t>
      </w:r>
      <w:r>
        <w:rPr>
          <w:color w:val="000000"/>
          <w:spacing w:val="4"/>
        </w:rPr>
        <w:t>e</w:t>
      </w:r>
      <w:r>
        <w:rPr>
          <w:color w:val="000000"/>
          <w:spacing w:val="-2"/>
        </w:rPr>
        <w:t>š</w:t>
      </w:r>
      <w:r>
        <w:rPr>
          <w:color w:val="000000"/>
        </w:rPr>
        <w:t>ko</w:t>
      </w:r>
      <w:r>
        <w:rPr>
          <w:color w:val="000000"/>
          <w:spacing w:val="31"/>
        </w:rPr>
        <w:t xml:space="preserve"> </w:t>
      </w:r>
      <w:r>
        <w:rPr>
          <w:color w:val="000000"/>
          <w:spacing w:val="-5"/>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4"/>
        </w:rPr>
        <w:t>li</w:t>
      </w:r>
      <w:r>
        <w:rPr>
          <w:color w:val="000000"/>
        </w:rPr>
        <w:t>u</w:t>
      </w:r>
      <w:r>
        <w:rPr>
          <w:color w:val="000000"/>
          <w:spacing w:val="9"/>
        </w:rPr>
        <w:t>o</w:t>
      </w:r>
      <w:r>
        <w:rPr>
          <w:color w:val="000000"/>
          <w:spacing w:val="-9"/>
        </w:rPr>
        <w:t>j</w:t>
      </w:r>
      <w:r>
        <w:rPr>
          <w:color w:val="000000"/>
          <w:spacing w:val="4"/>
        </w:rPr>
        <w:t>a</w:t>
      </w:r>
      <w:r>
        <w:rPr>
          <w:color w:val="000000"/>
          <w:spacing w:val="-4"/>
        </w:rPr>
        <w:t>m</w:t>
      </w:r>
      <w:r>
        <w:rPr>
          <w:color w:val="000000"/>
        </w:rPr>
        <w:t>ų</w:t>
      </w:r>
      <w:r>
        <w:rPr>
          <w:color w:val="000000"/>
          <w:spacing w:val="26"/>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31"/>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gų</w:t>
      </w:r>
      <w:r>
        <w:rPr>
          <w:color w:val="000000"/>
          <w:spacing w:val="31"/>
        </w:rPr>
        <w:t xml:space="preserve"> </w:t>
      </w:r>
      <w:r>
        <w:rPr>
          <w:color w:val="000000"/>
          <w:spacing w:val="-9"/>
        </w:rPr>
        <w:t>i</w:t>
      </w:r>
      <w:r>
        <w:rPr>
          <w:color w:val="000000"/>
        </w:rPr>
        <w:t xml:space="preserve">r </w:t>
      </w:r>
      <w:r>
        <w:rPr>
          <w:color w:val="000000"/>
          <w:spacing w:val="5"/>
        </w:rPr>
        <w:t>o</w:t>
      </w:r>
      <w:r>
        <w:rPr>
          <w:color w:val="000000"/>
          <w:spacing w:val="1"/>
        </w:rPr>
        <w:t>r</w:t>
      </w:r>
      <w:r>
        <w:rPr>
          <w:color w:val="000000"/>
        </w:rPr>
        <w:t>g</w:t>
      </w:r>
      <w:r>
        <w:rPr>
          <w:color w:val="000000"/>
          <w:spacing w:val="-1"/>
        </w:rPr>
        <w:t>a</w:t>
      </w:r>
      <w:r>
        <w:rPr>
          <w:color w:val="000000"/>
        </w:rPr>
        <w:t>n</w:t>
      </w:r>
      <w:r>
        <w:rPr>
          <w:color w:val="000000"/>
          <w:spacing w:val="-9"/>
        </w:rPr>
        <w:t>i</w:t>
      </w:r>
      <w:r>
        <w:rPr>
          <w:color w:val="000000"/>
          <w:spacing w:val="-1"/>
        </w:rPr>
        <w:t>z</w:t>
      </w:r>
      <w:r>
        <w:rPr>
          <w:color w:val="000000"/>
        </w:rPr>
        <w:t>u</w:t>
      </w:r>
      <w:r>
        <w:rPr>
          <w:color w:val="000000"/>
          <w:spacing w:val="9"/>
        </w:rPr>
        <w:t>o</w:t>
      </w:r>
      <w:r>
        <w:rPr>
          <w:color w:val="000000"/>
          <w:spacing w:val="-9"/>
        </w:rPr>
        <w:t>j</w:t>
      </w:r>
      <w:r>
        <w:rPr>
          <w:color w:val="000000"/>
        </w:rPr>
        <w:t>a</w:t>
      </w:r>
      <w:r>
        <w:rPr>
          <w:color w:val="000000"/>
          <w:spacing w:val="9"/>
        </w:rPr>
        <w:t xml:space="preserve"> </w:t>
      </w:r>
      <w:r>
        <w:rPr>
          <w:color w:val="000000"/>
          <w:spacing w:val="-9"/>
        </w:rPr>
        <w:t>j</w:t>
      </w:r>
      <w:r>
        <w:rPr>
          <w:color w:val="000000"/>
        </w:rPr>
        <w:t>ų</w:t>
      </w:r>
      <w:r>
        <w:rPr>
          <w:color w:val="000000"/>
          <w:spacing w:val="5"/>
        </w:rPr>
        <w:t xml:space="preserve"> </w:t>
      </w:r>
      <w:r>
        <w:rPr>
          <w:color w:val="000000"/>
        </w:rPr>
        <w:t>g</w:t>
      </w:r>
      <w:r>
        <w:rPr>
          <w:color w:val="000000"/>
          <w:spacing w:val="4"/>
        </w:rPr>
        <w:t>a</w:t>
      </w:r>
      <w:r>
        <w:rPr>
          <w:color w:val="000000"/>
        </w:rPr>
        <w:t>b</w:t>
      </w:r>
      <w:r>
        <w:rPr>
          <w:color w:val="000000"/>
          <w:spacing w:val="4"/>
        </w:rPr>
        <w:t>e</w:t>
      </w:r>
      <w:r>
        <w:rPr>
          <w:color w:val="000000"/>
        </w:rPr>
        <w:t>n</w:t>
      </w:r>
      <w:r>
        <w:rPr>
          <w:color w:val="000000"/>
          <w:spacing w:val="-4"/>
        </w:rPr>
        <w:t>im</w:t>
      </w:r>
      <w:r>
        <w:rPr>
          <w:color w:val="000000"/>
        </w:rPr>
        <w:t>ą</w:t>
      </w:r>
      <w:r>
        <w:rPr>
          <w:color w:val="000000"/>
          <w:spacing w:val="9"/>
        </w:rPr>
        <w:t xml:space="preserve"> </w:t>
      </w:r>
      <w:r>
        <w:rPr>
          <w:color w:val="000000"/>
        </w:rPr>
        <w:t xml:space="preserve">į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1"/>
        </w:rPr>
        <w:t>ą</w:t>
      </w:r>
      <w:r>
        <w:rPr>
          <w:color w:val="000000"/>
        </w:rPr>
        <w:t xml:space="preserve">. </w:t>
      </w:r>
      <w:r>
        <w:rPr>
          <w:color w:val="000000"/>
          <w:spacing w:val="48"/>
        </w:rPr>
        <w:t xml:space="preserve"> </w:t>
      </w:r>
      <w:r>
        <w:rPr>
          <w:color w:val="000000"/>
          <w:spacing w:val="1"/>
        </w:rPr>
        <w:t>P</w:t>
      </w:r>
      <w:r>
        <w:rPr>
          <w:color w:val="000000"/>
          <w:spacing w:val="4"/>
        </w:rPr>
        <w:t>a</w:t>
      </w:r>
      <w:r>
        <w:rPr>
          <w:color w:val="000000"/>
          <w:spacing w:val="-3"/>
        </w:rPr>
        <w:t>l</w:t>
      </w:r>
      <w:r>
        <w:rPr>
          <w:color w:val="000000"/>
          <w:spacing w:val="-5"/>
        </w:rPr>
        <w:t>y</w:t>
      </w:r>
      <w:r>
        <w:rPr>
          <w:color w:val="000000"/>
          <w:spacing w:val="5"/>
        </w:rPr>
        <w:t>g</w:t>
      </w:r>
      <w:r>
        <w:rPr>
          <w:color w:val="000000"/>
          <w:spacing w:val="-4"/>
        </w:rPr>
        <w:t>i</w:t>
      </w:r>
      <w:r>
        <w:rPr>
          <w:color w:val="000000"/>
          <w:spacing w:val="-5"/>
        </w:rPr>
        <w:t>n</w:t>
      </w:r>
      <w:r>
        <w:rPr>
          <w:color w:val="000000"/>
          <w:spacing w:val="10"/>
        </w:rPr>
        <w:t>t</w:t>
      </w:r>
      <w:r>
        <w:rPr>
          <w:color w:val="000000"/>
        </w:rPr>
        <w:t xml:space="preserve">i </w:t>
      </w:r>
      <w:r>
        <w:rPr>
          <w:color w:val="000000"/>
          <w:spacing w:val="-2"/>
        </w:rPr>
        <w:t>s</w:t>
      </w:r>
      <w:r>
        <w:rPr>
          <w:color w:val="000000"/>
        </w:rPr>
        <w:t>u</w:t>
      </w:r>
      <w:r>
        <w:rPr>
          <w:color w:val="000000"/>
          <w:spacing w:val="9"/>
        </w:rPr>
        <w:t xml:space="preserve"> </w:t>
      </w:r>
      <w:r>
        <w:rPr>
          <w:color w:val="000000"/>
        </w:rPr>
        <w:t>2011</w:t>
      </w:r>
      <w:r>
        <w:rPr>
          <w:color w:val="000000"/>
          <w:spacing w:val="5"/>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4"/>
        </w:rPr>
        <w:t>i</w:t>
      </w:r>
      <w:r>
        <w:rPr>
          <w:color w:val="000000"/>
          <w:spacing w:val="-2"/>
        </w:rPr>
        <w:t>s</w:t>
      </w:r>
      <w:r>
        <w:rPr>
          <w:color w:val="000000"/>
        </w:rPr>
        <w:t>,</w:t>
      </w:r>
      <w:r>
        <w:rPr>
          <w:color w:val="000000"/>
          <w:spacing w:val="7"/>
        </w:rPr>
        <w:t xml:space="preserve"> </w:t>
      </w:r>
      <w:r>
        <w:rPr>
          <w:color w:val="000000"/>
        </w:rPr>
        <w:t>p</w:t>
      </w:r>
      <w:r>
        <w:rPr>
          <w:color w:val="000000"/>
          <w:spacing w:val="-1"/>
        </w:rPr>
        <w:t>e</w:t>
      </w:r>
      <w:r>
        <w:rPr>
          <w:color w:val="000000"/>
          <w:spacing w:val="1"/>
        </w:rPr>
        <w:t>r</w:t>
      </w:r>
      <w:r>
        <w:rPr>
          <w:color w:val="000000"/>
          <w:spacing w:val="-5"/>
        </w:rPr>
        <w:t>n</w:t>
      </w:r>
      <w:r>
        <w:rPr>
          <w:color w:val="000000"/>
          <w:spacing w:val="4"/>
        </w:rPr>
        <w:t>a</w:t>
      </w:r>
      <w:r>
        <w:rPr>
          <w:color w:val="000000"/>
        </w:rPr>
        <w:t xml:space="preserve">i </w:t>
      </w:r>
      <w:r>
        <w:rPr>
          <w:color w:val="000000"/>
          <w:spacing w:val="-4"/>
        </w:rPr>
        <w:t>m</w:t>
      </w:r>
      <w:r>
        <w:rPr>
          <w:color w:val="000000"/>
          <w:spacing w:val="5"/>
        </w:rPr>
        <w:t>ū</w:t>
      </w:r>
      <w:r>
        <w:rPr>
          <w:color w:val="000000"/>
          <w:spacing w:val="-2"/>
        </w:rPr>
        <w:t>s</w:t>
      </w:r>
      <w:r>
        <w:rPr>
          <w:color w:val="000000"/>
        </w:rPr>
        <w:t>ų</w:t>
      </w:r>
      <w:r>
        <w:rPr>
          <w:color w:val="000000"/>
          <w:spacing w:val="5"/>
        </w:rPr>
        <w:t xml:space="preserve"> </w:t>
      </w:r>
      <w:r>
        <w:rPr>
          <w:color w:val="000000"/>
          <w:spacing w:val="-2"/>
        </w:rPr>
        <w:t>š</w:t>
      </w:r>
      <w:r>
        <w:rPr>
          <w:color w:val="000000"/>
          <w:spacing w:val="4"/>
        </w:rPr>
        <w:t>a</w:t>
      </w:r>
      <w:r>
        <w:rPr>
          <w:color w:val="000000"/>
        </w:rPr>
        <w:t>l</w:t>
      </w:r>
      <w:r>
        <w:rPr>
          <w:color w:val="000000"/>
          <w:spacing w:val="-4"/>
        </w:rPr>
        <w:t>i</w:t>
      </w:r>
      <w:r>
        <w:rPr>
          <w:color w:val="000000"/>
          <w:spacing w:val="-1"/>
        </w:rPr>
        <w:t>e</w:t>
      </w:r>
      <w:r>
        <w:rPr>
          <w:color w:val="000000"/>
        </w:rPr>
        <w:t>s</w:t>
      </w:r>
      <w:r>
        <w:rPr>
          <w:color w:val="000000"/>
          <w:spacing w:val="7"/>
        </w:rPr>
        <w:t xml:space="preserve"> </w:t>
      </w:r>
      <w:r>
        <w:rPr>
          <w:color w:val="000000"/>
        </w:rPr>
        <w:t>v</w:t>
      </w:r>
      <w:r>
        <w:rPr>
          <w:color w:val="000000"/>
          <w:spacing w:val="-4"/>
        </w:rPr>
        <w:t>i</w:t>
      </w:r>
      <w:r>
        <w:rPr>
          <w:color w:val="000000"/>
        </w:rPr>
        <w:t>d</w:t>
      </w:r>
      <w:r>
        <w:rPr>
          <w:color w:val="000000"/>
          <w:spacing w:val="-1"/>
        </w:rPr>
        <w:t>a</w:t>
      </w:r>
      <w:r>
        <w:rPr>
          <w:color w:val="000000"/>
          <w:spacing w:val="5"/>
        </w:rPr>
        <w:t>u</w:t>
      </w:r>
      <w:r>
        <w:rPr>
          <w:color w:val="000000"/>
        </w:rPr>
        <w:t>s</w:t>
      </w:r>
      <w:r>
        <w:rPr>
          <w:color w:val="000000"/>
          <w:spacing w:val="3"/>
        </w:rPr>
        <w:t xml:space="preserve">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9"/>
        </w:rPr>
        <w:t>j</w:t>
      </w:r>
      <w:r>
        <w:rPr>
          <w:color w:val="000000"/>
        </w:rPr>
        <w:t>e p</w:t>
      </w:r>
      <w:r>
        <w:rPr>
          <w:color w:val="000000"/>
          <w:spacing w:val="-1"/>
        </w:rPr>
        <w:t>a</w:t>
      </w:r>
      <w:r>
        <w:rPr>
          <w:color w:val="000000"/>
          <w:spacing w:val="2"/>
        </w:rPr>
        <w:t>s</w:t>
      </w:r>
      <w:r>
        <w:rPr>
          <w:color w:val="000000"/>
          <w:spacing w:val="-9"/>
        </w:rPr>
        <w:t>i</w:t>
      </w:r>
      <w:r>
        <w:rPr>
          <w:color w:val="000000"/>
          <w:spacing w:val="1"/>
        </w:rPr>
        <w:t>r</w:t>
      </w:r>
      <w:r>
        <w:rPr>
          <w:color w:val="000000"/>
          <w:spacing w:val="5"/>
        </w:rPr>
        <w:t>o</w:t>
      </w:r>
      <w:r>
        <w:rPr>
          <w:color w:val="000000"/>
        </w:rPr>
        <w:t>dė</w:t>
      </w:r>
      <w:r>
        <w:rPr>
          <w:color w:val="000000"/>
          <w:spacing w:val="3"/>
        </w:rPr>
        <w:t xml:space="preserve"> </w:t>
      </w:r>
      <w:r>
        <w:rPr>
          <w:color w:val="000000"/>
          <w:spacing w:val="-9"/>
        </w:rPr>
        <w:t>i</w:t>
      </w:r>
      <w:r>
        <w:rPr>
          <w:color w:val="000000"/>
        </w:rPr>
        <w:t>r</w:t>
      </w:r>
      <w:r>
        <w:rPr>
          <w:color w:val="000000"/>
          <w:spacing w:val="6"/>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 xml:space="preserve">ų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4"/>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spacing w:val="5"/>
        </w:rPr>
        <w:t>to</w:t>
      </w:r>
      <w:r>
        <w:rPr>
          <w:color w:val="000000"/>
        </w:rPr>
        <w:t>k</w:t>
      </w:r>
      <w:r>
        <w:rPr>
          <w:color w:val="000000"/>
          <w:spacing w:val="-9"/>
        </w:rPr>
        <w:t>i</w:t>
      </w:r>
      <w:r>
        <w:rPr>
          <w:color w:val="000000"/>
        </w:rPr>
        <w:t>ų k</w:t>
      </w:r>
      <w:r>
        <w:rPr>
          <w:color w:val="000000"/>
          <w:spacing w:val="4"/>
        </w:rPr>
        <w:t>a</w:t>
      </w:r>
      <w:r>
        <w:rPr>
          <w:color w:val="000000"/>
          <w:spacing w:val="-4"/>
        </w:rPr>
        <w:t>i</w:t>
      </w:r>
      <w:r>
        <w:rPr>
          <w:color w:val="000000"/>
        </w:rPr>
        <w:t xml:space="preserve">p </w:t>
      </w:r>
      <w:r>
        <w:rPr>
          <w:color w:val="000000"/>
          <w:spacing w:val="4"/>
        </w:rPr>
        <w:t>U</w:t>
      </w:r>
      <w:r>
        <w:rPr>
          <w:color w:val="000000"/>
          <w:spacing w:val="7"/>
        </w:rPr>
        <w:t>R</w:t>
      </w:r>
      <w:r>
        <w:rPr>
          <w:color w:val="000000"/>
          <w:spacing w:val="2"/>
        </w:rPr>
        <w:t>-</w:t>
      </w:r>
      <w:r>
        <w:rPr>
          <w:color w:val="000000"/>
        </w:rPr>
        <w:t>144,</w:t>
      </w:r>
      <w:r>
        <w:rPr>
          <w:color w:val="000000"/>
          <w:spacing w:val="2"/>
        </w:rPr>
        <w:t xml:space="preserve"> </w:t>
      </w:r>
      <w:r>
        <w:rPr>
          <w:color w:val="000000"/>
        </w:rPr>
        <w:t>3</w:t>
      </w:r>
      <w:r>
        <w:rPr>
          <w:color w:val="000000"/>
          <w:spacing w:val="2"/>
        </w:rPr>
        <w:t>-</w:t>
      </w:r>
      <w:r>
        <w:rPr>
          <w:color w:val="000000"/>
          <w:spacing w:val="-2"/>
        </w:rPr>
        <w:t>M</w:t>
      </w:r>
      <w:r>
        <w:rPr>
          <w:color w:val="000000"/>
          <w:spacing w:val="-1"/>
        </w:rPr>
        <w:t>e</w:t>
      </w:r>
      <w:r>
        <w:rPr>
          <w:color w:val="000000"/>
        </w:rPr>
        <w:t>O</w:t>
      </w:r>
      <w:r>
        <w:rPr>
          <w:color w:val="000000"/>
          <w:spacing w:val="2"/>
        </w:rPr>
        <w:t>-</w:t>
      </w:r>
      <w:r>
        <w:rPr>
          <w:color w:val="000000"/>
          <w:spacing w:val="1"/>
        </w:rPr>
        <w:t>P</w:t>
      </w:r>
      <w:r>
        <w:rPr>
          <w:color w:val="000000"/>
          <w:spacing w:val="-2"/>
        </w:rPr>
        <w:t>C</w:t>
      </w:r>
      <w:r>
        <w:rPr>
          <w:color w:val="000000"/>
          <w:spacing w:val="2"/>
        </w:rPr>
        <w:t>E</w:t>
      </w:r>
      <w:r>
        <w:rPr>
          <w:color w:val="000000"/>
        </w:rPr>
        <w:t>,</w:t>
      </w:r>
      <w:r>
        <w:rPr>
          <w:color w:val="000000"/>
          <w:spacing w:val="2"/>
        </w:rPr>
        <w:t xml:space="preserve"> </w:t>
      </w:r>
      <w:r>
        <w:rPr>
          <w:color w:val="000000"/>
          <w:spacing w:val="-5"/>
        </w:rPr>
        <w:t>A</w:t>
      </w:r>
      <w:r>
        <w:rPr>
          <w:color w:val="000000"/>
          <w:spacing w:val="-2"/>
        </w:rPr>
        <w:t>M</w:t>
      </w:r>
      <w:r>
        <w:rPr>
          <w:color w:val="000000"/>
        </w:rPr>
        <w:t>T</w:t>
      </w:r>
      <w:r>
        <w:rPr>
          <w:color w:val="000000"/>
          <w:spacing w:val="1"/>
        </w:rPr>
        <w:t xml:space="preserve"> (α</w:t>
      </w:r>
      <w:r>
        <w:rPr>
          <w:color w:val="000000"/>
        </w:rPr>
        <w:t xml:space="preserve">- </w:t>
      </w:r>
      <w:r>
        <w:rPr>
          <w:color w:val="000000"/>
          <w:spacing w:val="-4"/>
        </w:rPr>
        <w:t>m</w:t>
      </w:r>
      <w:r>
        <w:rPr>
          <w:color w:val="000000"/>
          <w:spacing w:val="-1"/>
        </w:rPr>
        <w:t>e</w:t>
      </w:r>
      <w:r>
        <w:rPr>
          <w:color w:val="000000"/>
          <w:spacing w:val="10"/>
        </w:rPr>
        <w:t>t</w:t>
      </w:r>
      <w:r>
        <w:rPr>
          <w:color w:val="000000"/>
          <w:spacing w:val="-4"/>
        </w:rPr>
        <w:t>i</w:t>
      </w:r>
      <w:r>
        <w:rPr>
          <w:color w:val="000000"/>
          <w:spacing w:val="-9"/>
        </w:rPr>
        <w:t>l</w:t>
      </w:r>
      <w:r>
        <w:rPr>
          <w:color w:val="000000"/>
          <w:spacing w:val="5"/>
        </w:rPr>
        <w:t>t</w:t>
      </w:r>
      <w:r>
        <w:rPr>
          <w:color w:val="000000"/>
          <w:spacing w:val="6"/>
        </w:rPr>
        <w:t>r</w:t>
      </w:r>
      <w:r>
        <w:rPr>
          <w:color w:val="000000"/>
          <w:spacing w:val="-9"/>
        </w:rPr>
        <w:t>i</w:t>
      </w:r>
      <w:r>
        <w:rPr>
          <w:color w:val="000000"/>
        </w:rPr>
        <w:t>p</w:t>
      </w:r>
      <w:r>
        <w:rPr>
          <w:color w:val="000000"/>
          <w:spacing w:val="5"/>
        </w:rPr>
        <w:t>t</w:t>
      </w:r>
      <w:r>
        <w:rPr>
          <w:color w:val="000000"/>
          <w:spacing w:val="4"/>
        </w:rPr>
        <w:t>a</w:t>
      </w:r>
      <w:r>
        <w:rPr>
          <w:color w:val="000000"/>
          <w:spacing w:val="-4"/>
        </w:rPr>
        <w:t>mi</w:t>
      </w:r>
      <w:r>
        <w:rPr>
          <w:color w:val="000000"/>
        </w:rPr>
        <w:t>n</w:t>
      </w:r>
      <w:r>
        <w:rPr>
          <w:color w:val="000000"/>
          <w:spacing w:val="4"/>
        </w:rPr>
        <w:t>a</w:t>
      </w:r>
      <w:r>
        <w:rPr>
          <w:color w:val="000000"/>
          <w:spacing w:val="-2"/>
        </w:rPr>
        <w:t>s</w:t>
      </w:r>
      <w:r>
        <w:rPr>
          <w:color w:val="000000"/>
          <w:spacing w:val="1"/>
        </w:rPr>
        <w:t>)</w:t>
      </w:r>
      <w:r>
        <w:rPr>
          <w:color w:val="000000"/>
        </w:rPr>
        <w:t>,</w:t>
      </w:r>
      <w:r>
        <w:rPr>
          <w:color w:val="000000"/>
          <w:spacing w:val="2"/>
        </w:rPr>
        <w:t xml:space="preserve"> T</w:t>
      </w:r>
      <w:r>
        <w:rPr>
          <w:color w:val="000000"/>
          <w:spacing w:val="-4"/>
        </w:rPr>
        <w:t>F</w:t>
      </w:r>
      <w:r>
        <w:rPr>
          <w:color w:val="000000"/>
          <w:spacing w:val="-2"/>
        </w:rPr>
        <w:t>M</w:t>
      </w:r>
      <w:r>
        <w:rPr>
          <w:color w:val="000000"/>
          <w:spacing w:val="1"/>
        </w:rPr>
        <w:t>P</w:t>
      </w:r>
      <w:r>
        <w:rPr>
          <w:color w:val="000000"/>
        </w:rPr>
        <w:t>P</w:t>
      </w:r>
      <w:r>
        <w:rPr>
          <w:color w:val="000000"/>
          <w:spacing w:val="1"/>
        </w:rPr>
        <w:t xml:space="preserve"> (</w:t>
      </w:r>
      <w:r>
        <w:rPr>
          <w:color w:val="000000"/>
          <w:spacing w:val="5"/>
        </w:rPr>
        <w:t>1</w:t>
      </w:r>
      <w:r>
        <w:rPr>
          <w:color w:val="000000"/>
          <w:spacing w:val="2"/>
        </w:rPr>
        <w:t>-(</w:t>
      </w:r>
      <w:r>
        <w:rPr>
          <w:color w:val="000000"/>
        </w:rPr>
        <w:t>3</w:t>
      </w:r>
      <w:r>
        <w:rPr>
          <w:color w:val="000000"/>
          <w:spacing w:val="-3"/>
        </w:rPr>
        <w:t>-</w:t>
      </w:r>
      <w:r>
        <w:rPr>
          <w:color w:val="000000"/>
          <w:spacing w:val="5"/>
        </w:rPr>
        <w:t>t</w:t>
      </w:r>
      <w:r>
        <w:rPr>
          <w:color w:val="000000"/>
          <w:spacing w:val="1"/>
        </w:rPr>
        <w:t>r</w:t>
      </w:r>
      <w:r>
        <w:rPr>
          <w:color w:val="000000"/>
          <w:spacing w:val="-4"/>
        </w:rPr>
        <w:t>i</w:t>
      </w:r>
      <w:r>
        <w:rPr>
          <w:color w:val="000000"/>
          <w:spacing w:val="1"/>
        </w:rPr>
        <w:t>f</w:t>
      </w:r>
      <w:r>
        <w:rPr>
          <w:color w:val="000000"/>
          <w:spacing w:val="-4"/>
        </w:rPr>
        <w:t>l</w:t>
      </w:r>
      <w:r>
        <w:rPr>
          <w:color w:val="000000"/>
        </w:rPr>
        <w:t>u</w:t>
      </w:r>
      <w:r>
        <w:rPr>
          <w:color w:val="000000"/>
          <w:spacing w:val="5"/>
        </w:rPr>
        <w:t>o</w:t>
      </w:r>
      <w:r>
        <w:rPr>
          <w:color w:val="000000"/>
          <w:spacing w:val="-3"/>
        </w:rPr>
        <w:t>r</w:t>
      </w:r>
      <w:r>
        <w:rPr>
          <w:color w:val="000000"/>
          <w:spacing w:val="5"/>
        </w:rPr>
        <w:t>o</w:t>
      </w:r>
      <w:r>
        <w:rPr>
          <w:color w:val="000000"/>
          <w:spacing w:val="-9"/>
        </w:rPr>
        <w:t>m</w:t>
      </w:r>
      <w:r>
        <w:rPr>
          <w:color w:val="000000"/>
          <w:spacing w:val="-1"/>
        </w:rPr>
        <w:t>e</w:t>
      </w:r>
      <w:r>
        <w:rPr>
          <w:color w:val="000000"/>
          <w:spacing w:val="10"/>
        </w:rPr>
        <w:t>t</w:t>
      </w:r>
      <w:r>
        <w:rPr>
          <w:color w:val="000000"/>
          <w:spacing w:val="-4"/>
        </w:rPr>
        <w:t>i</w:t>
      </w:r>
      <w:r>
        <w:rPr>
          <w:color w:val="000000"/>
        </w:rPr>
        <w:t>l</w:t>
      </w:r>
      <w:r>
        <w:rPr>
          <w:color w:val="000000"/>
          <w:spacing w:val="-3"/>
        </w:rPr>
        <w:t>f</w:t>
      </w:r>
      <w:r>
        <w:rPr>
          <w:color w:val="000000"/>
          <w:spacing w:val="4"/>
        </w:rPr>
        <w:t>e</w:t>
      </w:r>
      <w:r>
        <w:rPr>
          <w:color w:val="000000"/>
        </w:rPr>
        <w:t>ni</w:t>
      </w:r>
      <w:r>
        <w:rPr>
          <w:color w:val="000000"/>
          <w:spacing w:val="1"/>
        </w:rPr>
        <w:t>l</w:t>
      </w:r>
      <w:r>
        <w:rPr>
          <w:color w:val="000000"/>
          <w:spacing w:val="4"/>
        </w:rPr>
        <w:t>)</w:t>
      </w:r>
      <w:r>
        <w:rPr>
          <w:color w:val="000000"/>
          <w:spacing w:val="2"/>
        </w:rPr>
        <w:t>-</w:t>
      </w:r>
      <w:r>
        <w:rPr>
          <w:color w:val="000000"/>
        </w:rPr>
        <w:t>p</w:t>
      </w:r>
      <w:r>
        <w:rPr>
          <w:color w:val="000000"/>
          <w:spacing w:val="-9"/>
        </w:rPr>
        <w:t>i</w:t>
      </w:r>
      <w:r>
        <w:rPr>
          <w:color w:val="000000"/>
        </w:rPr>
        <w:t>p</w:t>
      </w:r>
      <w:r>
        <w:rPr>
          <w:color w:val="000000"/>
          <w:spacing w:val="-1"/>
        </w:rPr>
        <w:t>e</w:t>
      </w:r>
      <w:r>
        <w:rPr>
          <w:color w:val="000000"/>
          <w:spacing w:val="1"/>
        </w:rPr>
        <w:t>r</w:t>
      </w:r>
      <w:r>
        <w:rPr>
          <w:color w:val="000000"/>
          <w:spacing w:val="-1"/>
        </w:rPr>
        <w:t>a</w:t>
      </w:r>
      <w:r>
        <w:rPr>
          <w:color w:val="000000"/>
          <w:spacing w:val="4"/>
        </w:rPr>
        <w:t>z</w:t>
      </w:r>
      <w:r>
        <w:rPr>
          <w:color w:val="000000"/>
          <w:spacing w:val="-4"/>
        </w:rPr>
        <w:t>i</w:t>
      </w:r>
      <w:r>
        <w:rPr>
          <w:color w:val="000000"/>
        </w:rPr>
        <w:t>n</w:t>
      </w:r>
      <w:r>
        <w:rPr>
          <w:color w:val="000000"/>
          <w:spacing w:val="4"/>
        </w:rPr>
        <w:t>a</w:t>
      </w:r>
      <w:r>
        <w:rPr>
          <w:color w:val="000000"/>
          <w:spacing w:val="-2"/>
        </w:rPr>
        <w:t>s</w:t>
      </w:r>
      <w:r>
        <w:rPr>
          <w:color w:val="000000"/>
          <w:spacing w:val="1"/>
        </w:rPr>
        <w:t>)</w:t>
      </w:r>
      <w:r>
        <w:rPr>
          <w:color w:val="000000"/>
        </w:rPr>
        <w:t>.</w:t>
      </w:r>
      <w:r>
        <w:rPr>
          <w:color w:val="000000"/>
          <w:spacing w:val="2"/>
        </w:rPr>
        <w:t xml:space="preserve"> T</w:t>
      </w:r>
      <w:r>
        <w:rPr>
          <w:color w:val="000000"/>
          <w:spacing w:val="-1"/>
        </w:rPr>
        <w:t>a</w:t>
      </w:r>
      <w:r>
        <w:rPr>
          <w:color w:val="000000"/>
          <w:spacing w:val="4"/>
        </w:rPr>
        <w:t>č</w:t>
      </w:r>
      <w:r>
        <w:rPr>
          <w:color w:val="000000"/>
          <w:spacing w:val="-9"/>
        </w:rPr>
        <w:t>i</w:t>
      </w:r>
      <w:r>
        <w:rPr>
          <w:color w:val="000000"/>
          <w:spacing w:val="-1"/>
        </w:rPr>
        <w:t>a</w:t>
      </w:r>
      <w:r>
        <w:rPr>
          <w:color w:val="000000"/>
        </w:rPr>
        <w:t>u</w:t>
      </w:r>
      <w:r>
        <w:rPr>
          <w:color w:val="000000"/>
          <w:spacing w:val="10"/>
        </w:rPr>
        <w:t xml:space="preserve"> </w:t>
      </w:r>
      <w:r>
        <w:rPr>
          <w:color w:val="000000"/>
        </w:rPr>
        <w:t>n</w:t>
      </w:r>
      <w:r>
        <w:rPr>
          <w:color w:val="000000"/>
          <w:spacing w:val="-4"/>
        </w:rPr>
        <w:t>i</w:t>
      </w:r>
      <w:r>
        <w:rPr>
          <w:color w:val="000000"/>
          <w:spacing w:val="-1"/>
        </w:rPr>
        <w:t>e</w:t>
      </w:r>
      <w:r>
        <w:rPr>
          <w:color w:val="000000"/>
        </w:rPr>
        <w:t>kur</w:t>
      </w:r>
      <w:r>
        <w:rPr>
          <w:color w:val="000000"/>
          <w:spacing w:val="6"/>
        </w:rPr>
        <w:t xml:space="preserve"> </w:t>
      </w:r>
      <w:r>
        <w:rPr>
          <w:color w:val="000000"/>
          <w:spacing w:val="-5"/>
        </w:rPr>
        <w:t>n</w:t>
      </w:r>
      <w:r>
        <w:rPr>
          <w:color w:val="000000"/>
          <w:spacing w:val="-1"/>
        </w:rPr>
        <w:t>e</w:t>
      </w:r>
      <w:r>
        <w:rPr>
          <w:color w:val="000000"/>
          <w:spacing w:val="5"/>
        </w:rPr>
        <w:t>d</w:t>
      </w:r>
      <w:r>
        <w:rPr>
          <w:color w:val="000000"/>
          <w:spacing w:val="-4"/>
        </w:rPr>
        <w:t>i</w:t>
      </w:r>
      <w:r>
        <w:rPr>
          <w:color w:val="000000"/>
        </w:rPr>
        <w:t>ng</w:t>
      </w:r>
      <w:r>
        <w:rPr>
          <w:color w:val="000000"/>
          <w:spacing w:val="5"/>
        </w:rPr>
        <w:t>o</w:t>
      </w:r>
      <w:r>
        <w:rPr>
          <w:color w:val="000000"/>
        </w:rPr>
        <w:t>,</w:t>
      </w:r>
      <w:r>
        <w:rPr>
          <w:color w:val="000000"/>
          <w:spacing w:val="7"/>
        </w:rPr>
        <w:t xml:space="preserve"> </w:t>
      </w:r>
      <w:r>
        <w:rPr>
          <w:color w:val="000000"/>
          <w:spacing w:val="-9"/>
        </w:rPr>
        <w:t>i</w:t>
      </w:r>
      <w:r>
        <w:rPr>
          <w:color w:val="000000"/>
        </w:rPr>
        <w:t>r</w:t>
      </w:r>
      <w:r>
        <w:rPr>
          <w:color w:val="000000"/>
          <w:spacing w:val="6"/>
        </w:rPr>
        <w:t xml:space="preserve"> </w:t>
      </w:r>
      <w:r>
        <w:rPr>
          <w:color w:val="000000"/>
          <w:spacing w:val="-4"/>
        </w:rPr>
        <w:t>j</w:t>
      </w:r>
      <w:r>
        <w:rPr>
          <w:color w:val="000000"/>
          <w:spacing w:val="-1"/>
        </w:rPr>
        <w:t>a</w:t>
      </w:r>
      <w:r>
        <w:rPr>
          <w:color w:val="000000"/>
        </w:rPr>
        <w:t>u p</w:t>
      </w:r>
      <w:r>
        <w:rPr>
          <w:color w:val="000000"/>
          <w:spacing w:val="5"/>
        </w:rPr>
        <w:t>o</w:t>
      </w:r>
      <w:r>
        <w:rPr>
          <w:color w:val="000000"/>
          <w:spacing w:val="1"/>
        </w:rPr>
        <w:t>r</w:t>
      </w:r>
      <w:r>
        <w:rPr>
          <w:color w:val="000000"/>
        </w:rPr>
        <w:t>a p</w:t>
      </w:r>
      <w:r>
        <w:rPr>
          <w:color w:val="000000"/>
          <w:spacing w:val="-1"/>
        </w:rPr>
        <w:t>a</w:t>
      </w:r>
      <w:r>
        <w:rPr>
          <w:color w:val="000000"/>
          <w:spacing w:val="-2"/>
        </w:rPr>
        <w:t>s</w:t>
      </w:r>
      <w:r>
        <w:rPr>
          <w:color w:val="000000"/>
          <w:spacing w:val="5"/>
        </w:rPr>
        <w:t>t</w:t>
      </w:r>
      <w:r>
        <w:rPr>
          <w:color w:val="000000"/>
          <w:spacing w:val="-1"/>
        </w:rPr>
        <w:t>a</w:t>
      </w:r>
      <w:r>
        <w:rPr>
          <w:color w:val="000000"/>
          <w:spacing w:val="1"/>
        </w:rPr>
        <w:t>r</w:t>
      </w:r>
      <w:r>
        <w:rPr>
          <w:color w:val="000000"/>
        </w:rPr>
        <w:t>ų</w:t>
      </w:r>
      <w:r>
        <w:rPr>
          <w:color w:val="000000"/>
          <w:spacing w:val="-9"/>
        </w:rPr>
        <w:t>j</w:t>
      </w:r>
      <w:r>
        <w:rPr>
          <w:color w:val="000000"/>
        </w:rPr>
        <w:t>ų</w:t>
      </w:r>
      <w:r>
        <w:rPr>
          <w:color w:val="000000"/>
          <w:spacing w:val="31"/>
        </w:rPr>
        <w:t xml:space="preserve"> </w:t>
      </w:r>
      <w:r>
        <w:rPr>
          <w:color w:val="000000"/>
          <w:spacing w:val="-4"/>
        </w:rPr>
        <w:t>m</w:t>
      </w:r>
      <w:r>
        <w:rPr>
          <w:color w:val="000000"/>
          <w:spacing w:val="-1"/>
        </w:rPr>
        <w:t>e</w:t>
      </w:r>
      <w:r>
        <w:rPr>
          <w:color w:val="000000"/>
          <w:spacing w:val="5"/>
        </w:rPr>
        <w:t>t</w:t>
      </w:r>
      <w:r>
        <w:rPr>
          <w:color w:val="000000"/>
        </w:rPr>
        <w:t>ų</w:t>
      </w:r>
      <w:r>
        <w:rPr>
          <w:color w:val="000000"/>
          <w:spacing w:val="26"/>
        </w:rPr>
        <w:t xml:space="preserve"> </w:t>
      </w:r>
      <w:r>
        <w:rPr>
          <w:color w:val="000000"/>
          <w:spacing w:val="-9"/>
        </w:rPr>
        <w:t>i</w:t>
      </w:r>
      <w:r>
        <w:rPr>
          <w:color w:val="000000"/>
        </w:rPr>
        <w:t>š</w:t>
      </w:r>
      <w:r>
        <w:rPr>
          <w:color w:val="000000"/>
          <w:spacing w:val="29"/>
        </w:rPr>
        <w:t xml:space="preserve"> </w:t>
      </w:r>
      <w:r>
        <w:rPr>
          <w:color w:val="000000"/>
          <w:spacing w:val="-2"/>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rPr>
        <w:t>s</w:t>
      </w:r>
      <w:r>
        <w:rPr>
          <w:color w:val="000000"/>
          <w:spacing w:val="19"/>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to</w:t>
      </w:r>
      <w:r>
        <w:rPr>
          <w:color w:val="000000"/>
        </w:rPr>
        <w:t>s</w:t>
      </w:r>
      <w:r>
        <w:rPr>
          <w:color w:val="000000"/>
          <w:spacing w:val="24"/>
        </w:rPr>
        <w:t xml:space="preserve"> </w:t>
      </w:r>
      <w:r>
        <w:rPr>
          <w:color w:val="000000"/>
          <w:spacing w:val="-9"/>
        </w:rPr>
        <w:t>i</w:t>
      </w:r>
      <w:r>
        <w:rPr>
          <w:color w:val="000000"/>
          <w:spacing w:val="2"/>
        </w:rPr>
        <w:t>š</w:t>
      </w:r>
      <w:r>
        <w:rPr>
          <w:color w:val="000000"/>
        </w:rPr>
        <w:t>i</w:t>
      </w:r>
      <w:r>
        <w:rPr>
          <w:color w:val="000000"/>
          <w:spacing w:val="-4"/>
        </w:rPr>
        <w:t>m</w:t>
      </w:r>
      <w:r>
        <w:rPr>
          <w:color w:val="000000"/>
          <w:spacing w:val="4"/>
        </w:rPr>
        <w:t>a</w:t>
      </w:r>
      <w:r>
        <w:rPr>
          <w:color w:val="000000"/>
        </w:rPr>
        <w:t>mi</w:t>
      </w:r>
      <w:r>
        <w:rPr>
          <w:color w:val="000000"/>
          <w:spacing w:val="22"/>
        </w:rPr>
        <w:t xml:space="preserve"> </w:t>
      </w:r>
      <w:r>
        <w:rPr>
          <w:color w:val="000000"/>
          <w:spacing w:val="2"/>
        </w:rPr>
        <w:t>s</w:t>
      </w:r>
      <w:r>
        <w:rPr>
          <w:color w:val="000000"/>
        </w:rPr>
        <w:t>i</w:t>
      </w:r>
      <w:r>
        <w:rPr>
          <w:color w:val="000000"/>
          <w:spacing w:val="-4"/>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17"/>
        </w:rPr>
        <w:t xml:space="preserve"> </w:t>
      </w:r>
      <w:r>
        <w:rPr>
          <w:color w:val="000000"/>
        </w:rPr>
        <w:t>k</w:t>
      </w:r>
      <w:r>
        <w:rPr>
          <w:color w:val="000000"/>
          <w:spacing w:val="4"/>
        </w:rPr>
        <w:t>a</w:t>
      </w:r>
      <w:r>
        <w:rPr>
          <w:color w:val="000000"/>
        </w:rPr>
        <w:t>n</w:t>
      </w:r>
      <w:r>
        <w:rPr>
          <w:color w:val="000000"/>
          <w:spacing w:val="4"/>
        </w:rPr>
        <w:t>a</w:t>
      </w:r>
      <w:r>
        <w:rPr>
          <w:color w:val="000000"/>
        </w:rPr>
        <w:t>b</w:t>
      </w:r>
      <w:r>
        <w:rPr>
          <w:color w:val="000000"/>
          <w:spacing w:val="-4"/>
        </w:rPr>
        <w:t>i</w:t>
      </w:r>
      <w:r>
        <w:rPr>
          <w:color w:val="000000"/>
          <w:spacing w:val="-5"/>
        </w:rPr>
        <w:t>n</w:t>
      </w:r>
      <w:r>
        <w:rPr>
          <w:color w:val="000000"/>
          <w:spacing w:val="9"/>
        </w:rPr>
        <w:t>o</w:t>
      </w:r>
      <w:r>
        <w:rPr>
          <w:color w:val="000000"/>
          <w:spacing w:val="-9"/>
        </w:rPr>
        <w:t>i</w:t>
      </w:r>
      <w:r>
        <w:rPr>
          <w:color w:val="000000"/>
          <w:spacing w:val="5"/>
        </w:rPr>
        <w:t>d</w:t>
      </w:r>
      <w:r>
        <w:rPr>
          <w:color w:val="000000"/>
          <w:spacing w:val="4"/>
        </w:rPr>
        <w:t>a</w:t>
      </w:r>
      <w:r>
        <w:rPr>
          <w:color w:val="000000"/>
        </w:rPr>
        <w:t>i</w:t>
      </w:r>
      <w:r>
        <w:rPr>
          <w:color w:val="000000"/>
          <w:spacing w:val="25"/>
        </w:rPr>
        <w:t xml:space="preserve"> </w:t>
      </w:r>
      <w:r>
        <w:rPr>
          <w:color w:val="000000"/>
        </w:rPr>
        <w:t>–</w:t>
      </w:r>
      <w:r>
        <w:rPr>
          <w:color w:val="000000"/>
          <w:spacing w:val="26"/>
        </w:rPr>
        <w:t xml:space="preserve"> </w:t>
      </w:r>
      <w:r>
        <w:rPr>
          <w:color w:val="000000"/>
          <w:spacing w:val="2"/>
        </w:rPr>
        <w:t>J</w:t>
      </w:r>
      <w:r>
        <w:rPr>
          <w:color w:val="000000"/>
          <w:spacing w:val="-6"/>
        </w:rPr>
        <w:t>W</w:t>
      </w:r>
      <w:r>
        <w:rPr>
          <w:color w:val="000000"/>
        </w:rPr>
        <w:t>H</w:t>
      </w:r>
      <w:r>
        <w:rPr>
          <w:color w:val="000000"/>
          <w:spacing w:val="25"/>
        </w:rPr>
        <w:t xml:space="preserve"> </w:t>
      </w:r>
      <w:r>
        <w:rPr>
          <w:color w:val="000000"/>
          <w:spacing w:val="5"/>
        </w:rPr>
        <w:t>t</w:t>
      </w:r>
      <w:r>
        <w:rPr>
          <w:color w:val="000000"/>
          <w:spacing w:val="-9"/>
        </w:rPr>
        <w:t>i</w:t>
      </w:r>
      <w:r>
        <w:rPr>
          <w:color w:val="000000"/>
        </w:rPr>
        <w:t>po</w:t>
      </w:r>
      <w:r>
        <w:rPr>
          <w:color w:val="000000"/>
          <w:spacing w:val="26"/>
        </w:rPr>
        <w:t xml:space="preserve"> </w:t>
      </w:r>
      <w:r>
        <w:rPr>
          <w:color w:val="000000"/>
        </w:rPr>
        <w:t>d</w:t>
      </w:r>
      <w:r>
        <w:rPr>
          <w:color w:val="000000"/>
          <w:spacing w:val="-1"/>
        </w:rPr>
        <w:t>a</w:t>
      </w:r>
      <w:r>
        <w:rPr>
          <w:color w:val="000000"/>
          <w:spacing w:val="6"/>
        </w:rPr>
        <w:t>r</w:t>
      </w:r>
      <w:r>
        <w:rPr>
          <w:color w:val="000000"/>
          <w:spacing w:val="-4"/>
        </w:rPr>
        <w:t>i</w:t>
      </w:r>
      <w:r>
        <w:rPr>
          <w:color w:val="000000"/>
          <w:spacing w:val="5"/>
        </w:rPr>
        <w:t>n</w:t>
      </w:r>
      <w:r>
        <w:rPr>
          <w:color w:val="000000"/>
          <w:spacing w:val="-4"/>
        </w:rPr>
        <w:t>i</w:t>
      </w:r>
      <w:r>
        <w:rPr>
          <w:color w:val="000000"/>
          <w:spacing w:val="4"/>
        </w:rPr>
        <w:t>a</w:t>
      </w:r>
      <w:r>
        <w:rPr>
          <w:color w:val="000000"/>
          <w:spacing w:val="-9"/>
        </w:rPr>
        <w:t>i</w:t>
      </w:r>
      <w:r>
        <w:rPr>
          <w:color w:val="000000"/>
        </w:rPr>
        <w:t>,</w:t>
      </w:r>
      <w:r>
        <w:rPr>
          <w:color w:val="000000"/>
          <w:spacing w:val="33"/>
        </w:rPr>
        <w:t xml:space="preserve"> </w:t>
      </w:r>
      <w:r>
        <w:rPr>
          <w:color w:val="000000"/>
          <w:spacing w:val="-5"/>
        </w:rPr>
        <w:t>A</w:t>
      </w:r>
      <w:r>
        <w:rPr>
          <w:color w:val="000000"/>
          <w:spacing w:val="1"/>
        </w:rPr>
        <w:t>M</w:t>
      </w:r>
      <w:r>
        <w:rPr>
          <w:color w:val="000000"/>
        </w:rPr>
        <w:t>-</w:t>
      </w:r>
    </w:p>
    <w:p w:rsidR="004F7425" w:rsidRDefault="004F7425" w:rsidP="004F7425">
      <w:pPr>
        <w:widowControl w:val="0"/>
        <w:autoSpaceDE w:val="0"/>
        <w:autoSpaceDN w:val="0"/>
        <w:adjustRightInd w:val="0"/>
        <w:spacing w:line="277" w:lineRule="auto"/>
        <w:ind w:left="5628" w:right="57" w:hanging="5508"/>
        <w:jc w:val="both"/>
        <w:rPr>
          <w:color w:val="000000"/>
        </w:rPr>
      </w:pPr>
      <w:r>
        <w:rPr>
          <w:noProof/>
          <w:lang w:eastAsia="lt-LT"/>
        </w:rPr>
        <mc:AlternateContent>
          <mc:Choice Requires="wps">
            <w:drawing>
              <wp:anchor distT="0" distB="0" distL="114300" distR="114300" simplePos="0" relativeHeight="251756544" behindDoc="1" locked="0" layoutInCell="0" allowOverlap="1">
                <wp:simplePos x="0" y="0"/>
                <wp:positionH relativeFrom="page">
                  <wp:posOffset>1080135</wp:posOffset>
                </wp:positionH>
                <wp:positionV relativeFrom="paragraph">
                  <wp:posOffset>241300</wp:posOffset>
                </wp:positionV>
                <wp:extent cx="3378200" cy="1993900"/>
                <wp:effectExtent l="3810" t="0" r="0" b="0"/>
                <wp:wrapNone/>
                <wp:docPr id="206" name="Stačiakampis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0" cy="199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3140" w:lineRule="atLeast"/>
                            </w:pPr>
                            <w:r>
                              <w:rPr>
                                <w:noProof/>
                                <w:lang w:eastAsia="lt-LT"/>
                              </w:rPr>
                              <w:drawing>
                                <wp:inline distT="0" distB="0" distL="0" distR="0" wp14:anchorId="6A4C8659" wp14:editId="14CAE67E">
                                  <wp:extent cx="3362325" cy="2000250"/>
                                  <wp:effectExtent l="0" t="0" r="9525" b="0"/>
                                  <wp:docPr id="205" name="Paveikslėlis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362325" cy="20002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206" o:spid="_x0000_s1075" style="position:absolute;left:0;text-align:left;margin-left:85.05pt;margin-top:19pt;width:266pt;height:157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" o:allowincell="f" filled="f" stroked="f">
                <v:textbox inset="0,0,0,0">
                  <w:txbxContent>
                    <w:p w:rsidR="004F7425" w:rsidRDefault="004F7425" w:rsidP="004F7425">
                      <w:pPr>
                        <w:spacing w:line="3140" w:lineRule="atLeast"/>
                      </w:pPr>
                      <w:r>
                        <w:rPr>
                          <w:noProof/>
                          <w:lang w:eastAsia="lt-LT"/>
                        </w:rPr>
                        <w:drawing>
                          <wp:inline distT="0" distB="0" distL="0" distR="0" wp14:anchorId="6A4C8659" wp14:editId="14CAE67E">
                            <wp:extent cx="3362325" cy="2000250"/>
                            <wp:effectExtent l="0" t="0" r="9525" b="0"/>
                            <wp:docPr id="205" name="Paveikslėlis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362325" cy="20002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color w:val="000000"/>
        </w:rPr>
        <w:t>2201,</w:t>
      </w:r>
      <w:r>
        <w:rPr>
          <w:color w:val="000000"/>
          <w:spacing w:val="4"/>
        </w:rPr>
        <w:t xml:space="preserve"> </w:t>
      </w:r>
      <w:r>
        <w:rPr>
          <w:color w:val="000000"/>
        </w:rPr>
        <w:t>k</w:t>
      </w:r>
      <w:r>
        <w:rPr>
          <w:color w:val="000000"/>
          <w:spacing w:val="-1"/>
        </w:rPr>
        <w:t>a</w:t>
      </w:r>
      <w:r>
        <w:rPr>
          <w:color w:val="000000"/>
          <w:spacing w:val="5"/>
        </w:rPr>
        <w:t>t</w:t>
      </w:r>
      <w:r>
        <w:rPr>
          <w:color w:val="000000"/>
          <w:spacing w:val="-4"/>
        </w:rPr>
        <w:t>i</w:t>
      </w:r>
      <w:r>
        <w:rPr>
          <w:color w:val="000000"/>
          <w:spacing w:val="-5"/>
        </w:rPr>
        <w:t>n</w:t>
      </w:r>
      <w:r>
        <w:rPr>
          <w:color w:val="000000"/>
          <w:spacing w:val="5"/>
        </w:rPr>
        <w:t>o</w:t>
      </w:r>
      <w:r>
        <w:rPr>
          <w:color w:val="000000"/>
          <w:spacing w:val="-5"/>
        </w:rPr>
        <w:t>n</w:t>
      </w:r>
      <w:r>
        <w:rPr>
          <w:color w:val="000000"/>
          <w:spacing w:val="4"/>
        </w:rPr>
        <w:t>a</w:t>
      </w:r>
      <w:r>
        <w:rPr>
          <w:color w:val="000000"/>
        </w:rPr>
        <w:t>i -</w:t>
      </w:r>
      <w:r>
        <w:rPr>
          <w:color w:val="000000"/>
          <w:spacing w:val="4"/>
        </w:rPr>
        <w:t xml:space="preserve"> </w:t>
      </w:r>
      <w:r>
        <w:rPr>
          <w:color w:val="000000"/>
        </w:rPr>
        <w:t>4</w:t>
      </w:r>
      <w:r>
        <w:rPr>
          <w:color w:val="000000"/>
          <w:spacing w:val="2"/>
        </w:rPr>
        <w:t>-</w:t>
      </w:r>
      <w:r>
        <w:rPr>
          <w:color w:val="000000"/>
          <w:spacing w:val="-2"/>
        </w:rPr>
        <w:t>M</w:t>
      </w:r>
      <w:r>
        <w:rPr>
          <w:color w:val="000000"/>
          <w:spacing w:val="2"/>
        </w:rPr>
        <w:t>E</w:t>
      </w:r>
      <w:r>
        <w:rPr>
          <w:color w:val="000000"/>
        </w:rPr>
        <w:t xml:space="preserve">C </w:t>
      </w:r>
      <w:r>
        <w:rPr>
          <w:color w:val="000000"/>
          <w:spacing w:val="1"/>
        </w:rPr>
        <w:t>(4</w:t>
      </w:r>
      <w:r>
        <w:rPr>
          <w:color w:val="000000"/>
          <w:spacing w:val="6"/>
        </w:rPr>
        <w:t>-</w:t>
      </w:r>
      <w:r>
        <w:rPr>
          <w:color w:val="000000"/>
          <w:spacing w:val="-9"/>
        </w:rPr>
        <w:t>m</w:t>
      </w:r>
      <w:r>
        <w:rPr>
          <w:color w:val="000000"/>
          <w:spacing w:val="-1"/>
        </w:rPr>
        <w:t>e</w:t>
      </w:r>
      <w:r>
        <w:rPr>
          <w:color w:val="000000"/>
          <w:spacing w:val="10"/>
        </w:rPr>
        <w:t>t</w:t>
      </w:r>
      <w:r>
        <w:rPr>
          <w:color w:val="000000"/>
          <w:spacing w:val="-4"/>
        </w:rPr>
        <w:t>il</w:t>
      </w:r>
      <w:r>
        <w:rPr>
          <w:color w:val="000000"/>
          <w:spacing w:val="-1"/>
        </w:rPr>
        <w:t>e</w:t>
      </w:r>
      <w:r>
        <w:rPr>
          <w:color w:val="000000"/>
          <w:spacing w:val="5"/>
        </w:rPr>
        <w:t>t</w:t>
      </w:r>
      <w:r>
        <w:rPr>
          <w:color w:val="000000"/>
          <w:spacing w:val="-4"/>
        </w:rPr>
        <w:t>il</w:t>
      </w:r>
      <w:r>
        <w:rPr>
          <w:color w:val="000000"/>
          <w:spacing w:val="5"/>
        </w:rPr>
        <w:t>k</w:t>
      </w:r>
      <w:r>
        <w:rPr>
          <w:color w:val="000000"/>
          <w:spacing w:val="-1"/>
        </w:rPr>
        <w:t>a</w:t>
      </w:r>
      <w:r>
        <w:rPr>
          <w:color w:val="000000"/>
          <w:spacing w:val="5"/>
        </w:rPr>
        <w:t>t</w:t>
      </w:r>
      <w:r>
        <w:rPr>
          <w:color w:val="000000"/>
          <w:spacing w:val="-4"/>
        </w:rPr>
        <w:t>i</w:t>
      </w:r>
      <w:r>
        <w:rPr>
          <w:color w:val="000000"/>
          <w:spacing w:val="-5"/>
        </w:rPr>
        <w:t>n</w:t>
      </w:r>
      <w:r>
        <w:rPr>
          <w:color w:val="000000"/>
          <w:spacing w:val="5"/>
        </w:rPr>
        <w:t>o</w:t>
      </w:r>
      <w:r>
        <w:rPr>
          <w:color w:val="000000"/>
        </w:rPr>
        <w:t>n</w:t>
      </w:r>
      <w:r>
        <w:rPr>
          <w:color w:val="000000"/>
          <w:spacing w:val="-1"/>
        </w:rPr>
        <w:t>a</w:t>
      </w:r>
      <w:r>
        <w:rPr>
          <w:color w:val="000000"/>
          <w:spacing w:val="-2"/>
        </w:rPr>
        <w:t>s</w:t>
      </w:r>
      <w:r>
        <w:rPr>
          <w:color w:val="000000"/>
          <w:spacing w:val="1"/>
        </w:rPr>
        <w:t>)</w:t>
      </w:r>
      <w:r>
        <w:rPr>
          <w:color w:val="000000"/>
        </w:rPr>
        <w:t>,</w:t>
      </w:r>
      <w:r>
        <w:rPr>
          <w:color w:val="000000"/>
          <w:spacing w:val="4"/>
        </w:rPr>
        <w:t xml:space="preserve"> </w:t>
      </w:r>
      <w:r>
        <w:rPr>
          <w:color w:val="000000"/>
        </w:rPr>
        <w:t>bup</w:t>
      </w:r>
      <w:r>
        <w:rPr>
          <w:color w:val="000000"/>
          <w:spacing w:val="1"/>
        </w:rPr>
        <w:t>r</w:t>
      </w:r>
      <w:r>
        <w:rPr>
          <w:color w:val="000000"/>
          <w:spacing w:val="-1"/>
        </w:rPr>
        <w:t>e</w:t>
      </w:r>
      <w:r>
        <w:rPr>
          <w:color w:val="000000"/>
          <w:spacing w:val="-5"/>
        </w:rPr>
        <w:t>n</w:t>
      </w:r>
      <w:r>
        <w:rPr>
          <w:color w:val="000000"/>
          <w:spacing w:val="5"/>
        </w:rPr>
        <w:t>o</w:t>
      </w:r>
      <w:r>
        <w:rPr>
          <w:color w:val="000000"/>
          <w:spacing w:val="1"/>
        </w:rPr>
        <w:t>r</w:t>
      </w:r>
      <w:r>
        <w:rPr>
          <w:color w:val="000000"/>
          <w:spacing w:val="-3"/>
        </w:rPr>
        <w:t>f</w:t>
      </w:r>
      <w:r>
        <w:rPr>
          <w:color w:val="000000"/>
          <w:spacing w:val="-4"/>
        </w:rPr>
        <w:t>i</w:t>
      </w:r>
      <w:r>
        <w:rPr>
          <w:color w:val="000000"/>
        </w:rPr>
        <w:t>n</w:t>
      </w:r>
      <w:r>
        <w:rPr>
          <w:color w:val="000000"/>
          <w:spacing w:val="4"/>
        </w:rPr>
        <w:t>a</w:t>
      </w:r>
      <w:r>
        <w:rPr>
          <w:color w:val="000000"/>
          <w:spacing w:val="-2"/>
        </w:rPr>
        <w:t>s</w:t>
      </w:r>
      <w:r>
        <w:rPr>
          <w:color w:val="000000"/>
        </w:rPr>
        <w:t>,</w:t>
      </w:r>
      <w:r>
        <w:rPr>
          <w:color w:val="000000"/>
          <w:spacing w:val="4"/>
        </w:rPr>
        <w:t xml:space="preserve"> </w:t>
      </w:r>
      <w:r>
        <w:rPr>
          <w:color w:val="000000"/>
          <w:spacing w:val="5"/>
        </w:rPr>
        <w:t>t</w:t>
      </w:r>
      <w:r>
        <w:rPr>
          <w:color w:val="000000"/>
          <w:spacing w:val="-1"/>
        </w:rPr>
        <w:t>a</w:t>
      </w:r>
      <w:r>
        <w:rPr>
          <w:color w:val="000000"/>
          <w:spacing w:val="-9"/>
        </w:rPr>
        <w:t>i</w:t>
      </w:r>
      <w:r>
        <w:rPr>
          <w:color w:val="000000"/>
        </w:rPr>
        <w:t>p</w:t>
      </w:r>
      <w:r>
        <w:rPr>
          <w:color w:val="000000"/>
          <w:spacing w:val="2"/>
        </w:rPr>
        <w:t xml:space="preserve"> </w:t>
      </w:r>
      <w:r>
        <w:rPr>
          <w:color w:val="000000"/>
        </w:rPr>
        <w:t>p</w:t>
      </w:r>
      <w:r>
        <w:rPr>
          <w:color w:val="000000"/>
          <w:spacing w:val="-1"/>
        </w:rPr>
        <w:t>a</w:t>
      </w:r>
      <w:r>
        <w:rPr>
          <w:color w:val="000000"/>
        </w:rPr>
        <w:t>t</w:t>
      </w:r>
      <w:r>
        <w:rPr>
          <w:color w:val="000000"/>
          <w:spacing w:val="12"/>
        </w:rPr>
        <w:t xml:space="preserve"> </w:t>
      </w:r>
      <w:r>
        <w:rPr>
          <w:color w:val="000000"/>
          <w:spacing w:val="-9"/>
        </w:rPr>
        <w:t>i</w:t>
      </w:r>
      <w:r>
        <w:rPr>
          <w:color w:val="000000"/>
        </w:rPr>
        <w:t>r</w:t>
      </w:r>
      <w:r>
        <w:rPr>
          <w:color w:val="000000"/>
          <w:spacing w:val="4"/>
        </w:rPr>
        <w:t xml:space="preserve"> </w:t>
      </w:r>
      <w:r>
        <w:rPr>
          <w:color w:val="000000"/>
          <w:spacing w:val="5"/>
        </w:rPr>
        <w:t>p</w:t>
      </w:r>
      <w:r>
        <w:rPr>
          <w:color w:val="000000"/>
          <w:spacing w:val="-4"/>
        </w:rPr>
        <w:t>i</w:t>
      </w:r>
      <w:r>
        <w:rPr>
          <w:color w:val="000000"/>
        </w:rPr>
        <w:t>p</w:t>
      </w:r>
      <w:r>
        <w:rPr>
          <w:color w:val="000000"/>
          <w:spacing w:val="-1"/>
        </w:rPr>
        <w:t>e</w:t>
      </w:r>
      <w:r>
        <w:rPr>
          <w:color w:val="000000"/>
          <w:spacing w:val="1"/>
        </w:rPr>
        <w:t>r</w:t>
      </w:r>
      <w:r>
        <w:rPr>
          <w:color w:val="000000"/>
          <w:spacing w:val="-1"/>
        </w:rPr>
        <w:t>a</w:t>
      </w:r>
      <w:r>
        <w:rPr>
          <w:color w:val="000000"/>
          <w:spacing w:val="4"/>
        </w:rPr>
        <w:t>z</w:t>
      </w:r>
      <w:r>
        <w:rPr>
          <w:color w:val="000000"/>
          <w:spacing w:val="-4"/>
        </w:rPr>
        <w:t>i</w:t>
      </w:r>
      <w:r>
        <w:rPr>
          <w:color w:val="000000"/>
        </w:rPr>
        <w:t>n</w:t>
      </w:r>
      <w:r>
        <w:rPr>
          <w:color w:val="000000"/>
          <w:spacing w:val="4"/>
        </w:rPr>
        <w:t>a</w:t>
      </w:r>
      <w:r>
        <w:rPr>
          <w:color w:val="000000"/>
        </w:rPr>
        <w:t>i</w:t>
      </w:r>
      <w:r>
        <w:rPr>
          <w:color w:val="000000"/>
          <w:spacing w:val="6"/>
        </w:rPr>
        <w:t xml:space="preserve"> </w:t>
      </w:r>
      <w:r>
        <w:rPr>
          <w:color w:val="000000"/>
        </w:rPr>
        <w:t>-</w:t>
      </w:r>
      <w:r>
        <w:rPr>
          <w:color w:val="000000"/>
          <w:spacing w:val="9"/>
        </w:rPr>
        <w:t xml:space="preserve"> </w:t>
      </w:r>
      <w:r>
        <w:rPr>
          <w:color w:val="000000"/>
          <w:spacing w:val="-4"/>
        </w:rPr>
        <w:t>m</w:t>
      </w:r>
      <w:r>
        <w:rPr>
          <w:color w:val="000000"/>
          <w:spacing w:val="-2"/>
        </w:rPr>
        <w:t>C</w:t>
      </w:r>
      <w:r>
        <w:rPr>
          <w:color w:val="000000"/>
          <w:spacing w:val="1"/>
        </w:rPr>
        <w:t>P</w:t>
      </w:r>
      <w:r>
        <w:rPr>
          <w:color w:val="000000"/>
        </w:rPr>
        <w:t>P</w:t>
      </w:r>
      <w:r>
        <w:rPr>
          <w:color w:val="000000"/>
          <w:spacing w:val="3"/>
        </w:rPr>
        <w:t xml:space="preserve"> </w:t>
      </w:r>
      <w:r>
        <w:rPr>
          <w:color w:val="000000"/>
          <w:spacing w:val="1"/>
        </w:rPr>
        <w:t>(</w:t>
      </w:r>
      <w:r>
        <w:rPr>
          <w:color w:val="000000"/>
          <w:spacing w:val="2"/>
        </w:rPr>
        <w:t>1-(</w:t>
      </w:r>
      <w:r>
        <w:rPr>
          <w:color w:val="000000"/>
        </w:rPr>
        <w:t xml:space="preserve">3- </w:t>
      </w:r>
      <w:r>
        <w:rPr>
          <w:color w:val="000000"/>
          <w:spacing w:val="-1"/>
        </w:rPr>
        <w:t>c</w:t>
      </w:r>
      <w:r>
        <w:rPr>
          <w:color w:val="000000"/>
        </w:rPr>
        <w:t>h</w:t>
      </w:r>
      <w:r>
        <w:rPr>
          <w:color w:val="000000"/>
          <w:spacing w:val="-9"/>
        </w:rPr>
        <w:t>l</w:t>
      </w:r>
      <w:r>
        <w:rPr>
          <w:color w:val="000000"/>
          <w:spacing w:val="5"/>
        </w:rPr>
        <w:t>o</w:t>
      </w:r>
      <w:r>
        <w:rPr>
          <w:color w:val="000000"/>
          <w:spacing w:val="6"/>
        </w:rPr>
        <w:t>r</w:t>
      </w:r>
      <w:r>
        <w:rPr>
          <w:color w:val="000000"/>
          <w:spacing w:val="-3"/>
        </w:rPr>
        <w:t>f</w:t>
      </w:r>
      <w:r>
        <w:rPr>
          <w:color w:val="000000"/>
          <w:spacing w:val="4"/>
        </w:rPr>
        <w:t>e</w:t>
      </w:r>
      <w:r>
        <w:rPr>
          <w:color w:val="000000"/>
        </w:rPr>
        <w:t>n</w:t>
      </w:r>
      <w:r>
        <w:rPr>
          <w:color w:val="000000"/>
          <w:spacing w:val="-4"/>
        </w:rPr>
        <w:t>il</w:t>
      </w:r>
      <w:r>
        <w:rPr>
          <w:color w:val="000000"/>
          <w:spacing w:val="1"/>
        </w:rPr>
        <w:t>)</w:t>
      </w:r>
      <w:r>
        <w:rPr>
          <w:color w:val="000000"/>
          <w:spacing w:val="5"/>
        </w:rPr>
        <w:t>p</w:t>
      </w:r>
      <w:r>
        <w:rPr>
          <w:color w:val="000000"/>
          <w:spacing w:val="-4"/>
        </w:rPr>
        <w:t>i</w:t>
      </w:r>
      <w:r>
        <w:rPr>
          <w:color w:val="000000"/>
        </w:rPr>
        <w:t>p</w:t>
      </w:r>
      <w:r>
        <w:rPr>
          <w:color w:val="000000"/>
          <w:spacing w:val="-1"/>
        </w:rPr>
        <w:t>e</w:t>
      </w:r>
      <w:r>
        <w:rPr>
          <w:color w:val="000000"/>
          <w:spacing w:val="1"/>
        </w:rPr>
        <w:t>r</w:t>
      </w:r>
      <w:r>
        <w:rPr>
          <w:color w:val="000000"/>
          <w:spacing w:val="-1"/>
        </w:rPr>
        <w:t>a</w:t>
      </w:r>
      <w:r>
        <w:rPr>
          <w:color w:val="000000"/>
          <w:spacing w:val="4"/>
        </w:rPr>
        <w:t>z</w:t>
      </w:r>
      <w:r>
        <w:rPr>
          <w:color w:val="000000"/>
          <w:spacing w:val="-4"/>
        </w:rPr>
        <w:t>i</w:t>
      </w:r>
      <w:r>
        <w:rPr>
          <w:color w:val="000000"/>
        </w:rPr>
        <w:t>n</w:t>
      </w:r>
      <w:r>
        <w:rPr>
          <w:color w:val="000000"/>
          <w:spacing w:val="4"/>
        </w:rPr>
        <w:t>a</w:t>
      </w:r>
      <w:r>
        <w:rPr>
          <w:color w:val="000000"/>
          <w:spacing w:val="-2"/>
        </w:rPr>
        <w:t>s</w:t>
      </w:r>
      <w:r>
        <w:rPr>
          <w:color w:val="000000"/>
          <w:spacing w:val="1"/>
        </w:rPr>
        <w:t>)</w:t>
      </w:r>
      <w:r>
        <w:rPr>
          <w:color w:val="000000"/>
        </w:rPr>
        <w:t>,</w:t>
      </w:r>
      <w:r>
        <w:rPr>
          <w:color w:val="000000"/>
          <w:spacing w:val="2"/>
        </w:rPr>
        <w:t xml:space="preserve"> </w:t>
      </w:r>
      <w:r>
        <w:rPr>
          <w:color w:val="000000"/>
          <w:spacing w:val="-2"/>
        </w:rPr>
        <w:t>B</w:t>
      </w:r>
      <w:r>
        <w:rPr>
          <w:color w:val="000000"/>
          <w:spacing w:val="-3"/>
        </w:rPr>
        <w:t>Z</w:t>
      </w:r>
      <w:r>
        <w:rPr>
          <w:color w:val="000000"/>
        </w:rPr>
        <w:t xml:space="preserve">P </w:t>
      </w:r>
      <w:r>
        <w:rPr>
          <w:color w:val="000000"/>
          <w:spacing w:val="1"/>
        </w:rPr>
        <w:t>(</w:t>
      </w:r>
      <w:r>
        <w:rPr>
          <w:color w:val="000000"/>
          <w:spacing w:val="5"/>
        </w:rPr>
        <w:t>1</w:t>
      </w:r>
      <w:r>
        <w:rPr>
          <w:color w:val="000000"/>
        </w:rPr>
        <w:t xml:space="preserve">- </w:t>
      </w:r>
      <w:r>
        <w:rPr>
          <w:color w:val="000000"/>
          <w:spacing w:val="-5"/>
        </w:rPr>
        <w:t>b</w:t>
      </w:r>
      <w:r>
        <w:rPr>
          <w:color w:val="000000"/>
          <w:spacing w:val="4"/>
        </w:rPr>
        <w:t>e</w:t>
      </w:r>
      <w:r>
        <w:rPr>
          <w:color w:val="000000"/>
          <w:spacing w:val="-5"/>
        </w:rPr>
        <w:t>n</w:t>
      </w:r>
      <w:r>
        <w:rPr>
          <w:color w:val="000000"/>
          <w:spacing w:val="4"/>
        </w:rPr>
        <w:t>z</w:t>
      </w:r>
      <w:r>
        <w:rPr>
          <w:color w:val="000000"/>
        </w:rPr>
        <w:t>i</w:t>
      </w:r>
      <w:r>
        <w:rPr>
          <w:color w:val="000000"/>
          <w:spacing w:val="-4"/>
        </w:rPr>
        <w:t>l</w:t>
      </w:r>
      <w:r>
        <w:rPr>
          <w:color w:val="000000"/>
          <w:spacing w:val="5"/>
        </w:rPr>
        <w:t>p</w:t>
      </w:r>
      <w:r>
        <w:rPr>
          <w:color w:val="000000"/>
          <w:spacing w:val="-4"/>
        </w:rPr>
        <w:t>i</w:t>
      </w:r>
      <w:r>
        <w:rPr>
          <w:color w:val="000000"/>
        </w:rPr>
        <w:t>p</w:t>
      </w:r>
      <w:r>
        <w:rPr>
          <w:color w:val="000000"/>
          <w:spacing w:val="-1"/>
        </w:rPr>
        <w:t>e</w:t>
      </w:r>
      <w:r>
        <w:rPr>
          <w:color w:val="000000"/>
          <w:spacing w:val="1"/>
        </w:rPr>
        <w:t>r</w:t>
      </w:r>
      <w:r>
        <w:rPr>
          <w:color w:val="000000"/>
          <w:spacing w:val="-1"/>
        </w:rPr>
        <w:t>a</w:t>
      </w:r>
      <w:r>
        <w:rPr>
          <w:color w:val="000000"/>
          <w:spacing w:val="4"/>
        </w:rPr>
        <w:t>z</w:t>
      </w:r>
      <w:r>
        <w:rPr>
          <w:color w:val="000000"/>
          <w:spacing w:val="-4"/>
        </w:rPr>
        <w:t>i</w:t>
      </w:r>
      <w:r>
        <w:rPr>
          <w:color w:val="000000"/>
        </w:rPr>
        <w:t>n</w:t>
      </w:r>
      <w:r>
        <w:rPr>
          <w:color w:val="000000"/>
          <w:spacing w:val="4"/>
        </w:rPr>
        <w:t>a</w:t>
      </w:r>
      <w:r>
        <w:rPr>
          <w:color w:val="000000"/>
          <w:spacing w:val="-2"/>
        </w:rPr>
        <w:t>s</w:t>
      </w:r>
      <w:r>
        <w:rPr>
          <w:color w:val="000000"/>
          <w:spacing w:val="1"/>
        </w:rPr>
        <w:t>)</w:t>
      </w:r>
      <w:r>
        <w:rPr>
          <w:color w:val="000000"/>
        </w:rPr>
        <w:t>.</w:t>
      </w:r>
    </w:p>
    <w:p w:rsidR="004F7425" w:rsidRDefault="004F7425" w:rsidP="004F7425">
      <w:pPr>
        <w:widowControl w:val="0"/>
        <w:autoSpaceDE w:val="0"/>
        <w:autoSpaceDN w:val="0"/>
        <w:adjustRightInd w:val="0"/>
        <w:spacing w:line="275" w:lineRule="exact"/>
        <w:ind w:left="6348" w:right="-20"/>
        <w:rPr>
          <w:color w:val="000000"/>
        </w:rPr>
      </w:pPr>
      <w:r>
        <w:rPr>
          <w:color w:val="000000"/>
          <w:spacing w:val="4"/>
        </w:rPr>
        <w:t>V</w:t>
      </w:r>
      <w:r>
        <w:rPr>
          <w:color w:val="000000"/>
          <w:spacing w:val="-9"/>
        </w:rPr>
        <w:t>i</w:t>
      </w:r>
      <w:r>
        <w:rPr>
          <w:color w:val="000000"/>
        </w:rPr>
        <w:t xml:space="preserve">s </w:t>
      </w:r>
      <w:r>
        <w:rPr>
          <w:color w:val="000000"/>
          <w:spacing w:val="55"/>
        </w:rPr>
        <w:t xml:space="preserve"> </w:t>
      </w:r>
      <w:r>
        <w:rPr>
          <w:color w:val="000000"/>
        </w:rPr>
        <w:t>d</w:t>
      </w:r>
      <w:r>
        <w:rPr>
          <w:color w:val="000000"/>
          <w:spacing w:val="4"/>
        </w:rPr>
        <w:t>ė</w:t>
      </w:r>
      <w:r>
        <w:rPr>
          <w:color w:val="000000"/>
          <w:spacing w:val="-9"/>
        </w:rPr>
        <w:t>l</w:t>
      </w:r>
      <w:r>
        <w:rPr>
          <w:color w:val="000000"/>
          <w:spacing w:val="5"/>
        </w:rPr>
        <w:t>t</w:t>
      </w:r>
      <w:r>
        <w:rPr>
          <w:color w:val="000000"/>
        </w:rPr>
        <w:t xml:space="preserve">o </w:t>
      </w:r>
      <w:r>
        <w:rPr>
          <w:color w:val="000000"/>
          <w:spacing w:val="57"/>
        </w:rPr>
        <w:t xml:space="preserve"> </w:t>
      </w:r>
      <w:r>
        <w:rPr>
          <w:color w:val="000000"/>
          <w:spacing w:val="-4"/>
        </w:rPr>
        <w:t>i</w:t>
      </w:r>
      <w:r>
        <w:rPr>
          <w:color w:val="000000"/>
        </w:rPr>
        <w:t xml:space="preserve">š </w:t>
      </w:r>
      <w:r>
        <w:rPr>
          <w:color w:val="000000"/>
          <w:spacing w:val="55"/>
        </w:rPr>
        <w:t xml:space="preserve"> </w:t>
      </w:r>
      <w:r>
        <w:rPr>
          <w:color w:val="000000"/>
        </w:rPr>
        <w:t>v</w:t>
      </w:r>
      <w:r>
        <w:rPr>
          <w:color w:val="000000"/>
          <w:spacing w:val="-4"/>
        </w:rPr>
        <w:t>i</w:t>
      </w:r>
      <w:r>
        <w:rPr>
          <w:color w:val="000000"/>
          <w:spacing w:val="-2"/>
        </w:rPr>
        <w:t>s</w:t>
      </w:r>
      <w:r>
        <w:rPr>
          <w:color w:val="000000"/>
        </w:rPr>
        <w:t xml:space="preserve">ų </w:t>
      </w:r>
      <w:r>
        <w:rPr>
          <w:color w:val="000000"/>
          <w:spacing w:val="57"/>
        </w:rPr>
        <w:t xml:space="preserve"> </w:t>
      </w:r>
      <w:r>
        <w:rPr>
          <w:color w:val="000000"/>
          <w:spacing w:val="2"/>
        </w:rPr>
        <w:t>š</w:t>
      </w:r>
      <w:r>
        <w:rPr>
          <w:color w:val="000000"/>
          <w:spacing w:val="-4"/>
        </w:rPr>
        <w:t>i</w:t>
      </w:r>
      <w:r>
        <w:rPr>
          <w:color w:val="000000"/>
        </w:rPr>
        <w:t xml:space="preserve">ų </w:t>
      </w:r>
      <w:r>
        <w:rPr>
          <w:color w:val="000000"/>
          <w:spacing w:val="53"/>
        </w:rPr>
        <w:t xml:space="preserve"> </w:t>
      </w:r>
      <w:r>
        <w:rPr>
          <w:color w:val="000000"/>
        </w:rPr>
        <w:t>p</w:t>
      </w:r>
      <w:r>
        <w:rPr>
          <w:color w:val="000000"/>
          <w:spacing w:val="4"/>
        </w:rPr>
        <w:t>a</w:t>
      </w:r>
      <w:r>
        <w:rPr>
          <w:color w:val="000000"/>
        </w:rPr>
        <w:t>m</w:t>
      </w:r>
      <w:r>
        <w:rPr>
          <w:color w:val="000000"/>
          <w:spacing w:val="-4"/>
        </w:rPr>
        <w:t>i</w:t>
      </w:r>
      <w:r>
        <w:rPr>
          <w:color w:val="000000"/>
          <w:spacing w:val="4"/>
        </w:rPr>
        <w:t>n</w:t>
      </w:r>
      <w:r>
        <w:rPr>
          <w:color w:val="000000"/>
          <w:spacing w:val="-1"/>
        </w:rPr>
        <w:t>ė</w:t>
      </w:r>
      <w:r>
        <w:rPr>
          <w:color w:val="000000"/>
          <w:spacing w:val="5"/>
        </w:rPr>
        <w:t>t</w:t>
      </w:r>
      <w:r>
        <w:rPr>
          <w:color w:val="000000"/>
        </w:rPr>
        <w:t>ų</w:t>
      </w:r>
    </w:p>
    <w:p w:rsidR="004F7425" w:rsidRDefault="004F7425" w:rsidP="004F7425">
      <w:pPr>
        <w:widowControl w:val="0"/>
        <w:autoSpaceDE w:val="0"/>
        <w:autoSpaceDN w:val="0"/>
        <w:adjustRightInd w:val="0"/>
        <w:spacing w:before="41"/>
        <w:ind w:left="5628" w:right="56"/>
        <w:jc w:val="both"/>
        <w:rPr>
          <w:color w:val="000000"/>
        </w:rPr>
      </w:pP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14"/>
        </w:rPr>
        <w:t xml:space="preserve"> </w:t>
      </w:r>
      <w:r>
        <w:rPr>
          <w:color w:val="000000"/>
          <w:spacing w:val="-5"/>
        </w:rPr>
        <w:t>n</w:t>
      </w:r>
      <w:r>
        <w:rPr>
          <w:color w:val="000000"/>
          <w:spacing w:val="5"/>
        </w:rPr>
        <w:t>o</w:t>
      </w:r>
      <w:r>
        <w:rPr>
          <w:color w:val="000000"/>
          <w:spacing w:val="1"/>
        </w:rPr>
        <w:t>r</w:t>
      </w:r>
      <w:r>
        <w:rPr>
          <w:color w:val="000000"/>
          <w:spacing w:val="-1"/>
        </w:rPr>
        <w:t>ė</w:t>
      </w:r>
      <w:r>
        <w:rPr>
          <w:color w:val="000000"/>
          <w:spacing w:val="5"/>
        </w:rPr>
        <w:t>t</w:t>
      </w:r>
      <w:r>
        <w:rPr>
          <w:color w:val="000000"/>
        </w:rPr>
        <w:t>ų</w:t>
      </w:r>
      <w:r>
        <w:rPr>
          <w:color w:val="000000"/>
          <w:spacing w:val="-2"/>
        </w:rPr>
        <w:t>s</w:t>
      </w:r>
      <w:r>
        <w:rPr>
          <w:color w:val="000000"/>
        </w:rPr>
        <w:t>i</w:t>
      </w:r>
      <w:r>
        <w:rPr>
          <w:color w:val="000000"/>
          <w:spacing w:val="5"/>
        </w:rPr>
        <w:t xml:space="preserve"> </w:t>
      </w:r>
      <w:r>
        <w:rPr>
          <w:color w:val="000000"/>
          <w:spacing w:val="-4"/>
        </w:rPr>
        <w:t>i</w:t>
      </w:r>
      <w:r>
        <w:rPr>
          <w:color w:val="000000"/>
          <w:spacing w:val="2"/>
        </w:rPr>
        <w:t>š</w:t>
      </w:r>
      <w:r>
        <w:rPr>
          <w:color w:val="000000"/>
          <w:spacing w:val="-2"/>
        </w:rPr>
        <w:t>s</w:t>
      </w:r>
      <w:r>
        <w:rPr>
          <w:color w:val="000000"/>
          <w:spacing w:val="5"/>
        </w:rPr>
        <w:t>k</w:t>
      </w:r>
      <w:r>
        <w:rPr>
          <w:color w:val="000000"/>
          <w:spacing w:val="-4"/>
        </w:rPr>
        <w:t>i</w:t>
      </w:r>
      <w:r>
        <w:rPr>
          <w:color w:val="000000"/>
          <w:spacing w:val="1"/>
        </w:rPr>
        <w:t>r</w:t>
      </w:r>
      <w:r>
        <w:rPr>
          <w:color w:val="000000"/>
          <w:spacing w:val="5"/>
        </w:rPr>
        <w:t>t</w:t>
      </w:r>
      <w:r>
        <w:rPr>
          <w:color w:val="000000"/>
        </w:rPr>
        <w:t>i k</w:t>
      </w:r>
      <w:r>
        <w:rPr>
          <w:color w:val="000000"/>
          <w:spacing w:val="-1"/>
        </w:rPr>
        <w:t>a</w:t>
      </w:r>
      <w:r>
        <w:rPr>
          <w:color w:val="000000"/>
          <w:spacing w:val="10"/>
        </w:rPr>
        <w:t>t</w:t>
      </w:r>
      <w:r>
        <w:rPr>
          <w:color w:val="000000"/>
          <w:spacing w:val="-4"/>
        </w:rPr>
        <w:t>i</w:t>
      </w:r>
      <w:r>
        <w:rPr>
          <w:color w:val="000000"/>
          <w:spacing w:val="-5"/>
        </w:rPr>
        <w:t>n</w:t>
      </w:r>
      <w:r>
        <w:rPr>
          <w:color w:val="000000"/>
          <w:spacing w:val="5"/>
        </w:rPr>
        <w:t>o</w:t>
      </w:r>
      <w:r>
        <w:rPr>
          <w:color w:val="000000"/>
          <w:spacing w:val="-5"/>
        </w:rPr>
        <w:t>n</w:t>
      </w:r>
      <w:r>
        <w:rPr>
          <w:color w:val="000000"/>
        </w:rPr>
        <w:t>ą</w:t>
      </w:r>
      <w:r>
        <w:rPr>
          <w:color w:val="000000"/>
          <w:spacing w:val="8"/>
        </w:rPr>
        <w:t xml:space="preserve"> </w:t>
      </w:r>
      <w:r>
        <w:rPr>
          <w:color w:val="000000"/>
          <w:spacing w:val="5"/>
        </w:rPr>
        <w:t>4</w:t>
      </w:r>
      <w:r>
        <w:rPr>
          <w:color w:val="000000"/>
        </w:rPr>
        <w:t xml:space="preserve">- </w:t>
      </w:r>
      <w:r>
        <w:rPr>
          <w:color w:val="000000"/>
          <w:spacing w:val="-2"/>
        </w:rPr>
        <w:t>M</w:t>
      </w:r>
      <w:r>
        <w:rPr>
          <w:color w:val="000000"/>
          <w:spacing w:val="2"/>
        </w:rPr>
        <w:t>E</w:t>
      </w:r>
      <w:r>
        <w:rPr>
          <w:color w:val="000000"/>
          <w:spacing w:val="-2"/>
        </w:rPr>
        <w:t>C</w:t>
      </w:r>
      <w:r>
        <w:rPr>
          <w:color w:val="000000"/>
        </w:rPr>
        <w:t>,</w:t>
      </w:r>
      <w:r>
        <w:rPr>
          <w:color w:val="000000"/>
          <w:spacing w:val="4"/>
        </w:rPr>
        <w:t xml:space="preserve"> </w:t>
      </w:r>
      <w:r>
        <w:rPr>
          <w:color w:val="000000"/>
        </w:rPr>
        <w:t>ku</w:t>
      </w:r>
      <w:r>
        <w:rPr>
          <w:color w:val="000000"/>
          <w:spacing w:val="1"/>
        </w:rPr>
        <w:t>r</w:t>
      </w:r>
      <w:r>
        <w:rPr>
          <w:color w:val="000000"/>
          <w:spacing w:val="-9"/>
        </w:rPr>
        <w:t>i</w:t>
      </w:r>
      <w:r>
        <w:rPr>
          <w:color w:val="000000"/>
        </w:rPr>
        <w:t xml:space="preserve">s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1"/>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8"/>
        </w:rPr>
        <w:t>a</w:t>
      </w:r>
      <w:r>
        <w:rPr>
          <w:color w:val="000000"/>
        </w:rPr>
        <w:t xml:space="preserve">i </w:t>
      </w:r>
      <w:r>
        <w:rPr>
          <w:color w:val="000000"/>
          <w:spacing w:val="-2"/>
        </w:rPr>
        <w:t>s</w:t>
      </w:r>
      <w:r>
        <w:rPr>
          <w:color w:val="000000"/>
        </w:rPr>
        <w:t>u</w:t>
      </w:r>
      <w:r>
        <w:rPr>
          <w:color w:val="000000"/>
          <w:spacing w:val="5"/>
        </w:rPr>
        <w:t>t</w:t>
      </w:r>
      <w:r>
        <w:rPr>
          <w:color w:val="000000"/>
          <w:spacing w:val="-4"/>
        </w:rPr>
        <w:t>i</w:t>
      </w:r>
      <w:r>
        <w:rPr>
          <w:color w:val="000000"/>
          <w:spacing w:val="-5"/>
        </w:rPr>
        <w:t>n</w:t>
      </w:r>
      <w:r>
        <w:rPr>
          <w:color w:val="000000"/>
        </w:rPr>
        <w:t>k</w:t>
      </w:r>
      <w:r>
        <w:rPr>
          <w:color w:val="000000"/>
          <w:spacing w:val="4"/>
        </w:rPr>
        <w:t>a</w:t>
      </w:r>
      <w:r>
        <w:rPr>
          <w:color w:val="000000"/>
          <w:spacing w:val="-4"/>
        </w:rPr>
        <w:t>m</w:t>
      </w:r>
      <w:r>
        <w:rPr>
          <w:color w:val="000000"/>
          <w:spacing w:val="4"/>
        </w:rPr>
        <w:t>a</w:t>
      </w:r>
      <w:r>
        <w:rPr>
          <w:color w:val="000000"/>
        </w:rPr>
        <w:t>s</w:t>
      </w:r>
      <w:r>
        <w:rPr>
          <w:color w:val="000000"/>
          <w:spacing w:val="3"/>
        </w:rPr>
        <w:t xml:space="preserve"> </w:t>
      </w:r>
      <w:r>
        <w:rPr>
          <w:color w:val="000000"/>
          <w:spacing w:val="-5"/>
        </w:rPr>
        <w:t>b</w:t>
      </w:r>
      <w:r>
        <w:rPr>
          <w:color w:val="000000"/>
          <w:spacing w:val="4"/>
        </w:rPr>
        <w:t>a</w:t>
      </w:r>
      <w:r>
        <w:rPr>
          <w:color w:val="000000"/>
          <w:spacing w:val="-9"/>
        </w:rPr>
        <w:t>l</w:t>
      </w:r>
      <w:r>
        <w:rPr>
          <w:color w:val="000000"/>
          <w:spacing w:val="5"/>
        </w:rPr>
        <w:t>t</w:t>
      </w:r>
      <w:r>
        <w:rPr>
          <w:color w:val="000000"/>
        </w:rPr>
        <w:t>ų k</w:t>
      </w:r>
      <w:r>
        <w:rPr>
          <w:color w:val="000000"/>
          <w:spacing w:val="6"/>
        </w:rPr>
        <w:t>r</w:t>
      </w:r>
      <w:r>
        <w:rPr>
          <w:color w:val="000000"/>
          <w:spacing w:val="-4"/>
        </w:rPr>
        <w:t>i</w:t>
      </w:r>
      <w:r>
        <w:rPr>
          <w:color w:val="000000"/>
          <w:spacing w:val="-2"/>
        </w:rPr>
        <w:t>s</w:t>
      </w:r>
      <w:r>
        <w:rPr>
          <w:color w:val="000000"/>
          <w:spacing w:val="5"/>
        </w:rPr>
        <w:t>t</w:t>
      </w:r>
      <w:r>
        <w:rPr>
          <w:color w:val="000000"/>
          <w:spacing w:val="4"/>
        </w:rPr>
        <w:t>a</w:t>
      </w:r>
      <w:r>
        <w:rPr>
          <w:color w:val="000000"/>
          <w:spacing w:val="-9"/>
        </w:rPr>
        <w:t>l</w:t>
      </w:r>
      <w:r>
        <w:rPr>
          <w:color w:val="000000"/>
        </w:rPr>
        <w:t>ų p</w:t>
      </w:r>
      <w:r>
        <w:rPr>
          <w:color w:val="000000"/>
          <w:spacing w:val="4"/>
        </w:rPr>
        <w:t>a</w:t>
      </w:r>
      <w:r>
        <w:rPr>
          <w:color w:val="000000"/>
        </w:rPr>
        <w:t>v</w:t>
      </w:r>
      <w:r>
        <w:rPr>
          <w:color w:val="000000"/>
          <w:spacing w:val="-4"/>
        </w:rPr>
        <w:t>i</w:t>
      </w:r>
      <w:r>
        <w:rPr>
          <w:color w:val="000000"/>
        </w:rPr>
        <w:t>d</w:t>
      </w:r>
      <w:r>
        <w:rPr>
          <w:color w:val="000000"/>
          <w:spacing w:val="4"/>
        </w:rPr>
        <w:t>a</w:t>
      </w:r>
      <w:r>
        <w:rPr>
          <w:color w:val="000000"/>
          <w:spacing w:val="-4"/>
        </w:rPr>
        <w:t>l</w:t>
      </w:r>
      <w:r>
        <w:rPr>
          <w:color w:val="000000"/>
        </w:rPr>
        <w:t xml:space="preserve">u </w:t>
      </w:r>
      <w:r>
        <w:rPr>
          <w:color w:val="000000"/>
          <w:spacing w:val="6"/>
        </w:rPr>
        <w:t>(</w:t>
      </w:r>
      <w:r>
        <w:rPr>
          <w:color w:val="000000"/>
          <w:spacing w:val="-5"/>
        </w:rPr>
        <w:t>b</w:t>
      </w:r>
      <w:r>
        <w:rPr>
          <w:color w:val="000000"/>
          <w:spacing w:val="-1"/>
        </w:rPr>
        <w:t>e</w:t>
      </w:r>
      <w:r>
        <w:rPr>
          <w:color w:val="000000"/>
        </w:rPr>
        <w:t>t p</w:t>
      </w:r>
      <w:r>
        <w:rPr>
          <w:color w:val="000000"/>
          <w:spacing w:val="-1"/>
        </w:rPr>
        <w:t>a</w:t>
      </w:r>
      <w:r>
        <w:rPr>
          <w:color w:val="000000"/>
          <w:spacing w:val="2"/>
        </w:rPr>
        <w:t>s</w:t>
      </w:r>
      <w:r>
        <w:rPr>
          <w:color w:val="000000"/>
          <w:spacing w:val="-9"/>
        </w:rPr>
        <w:t>i</w:t>
      </w:r>
      <w:r>
        <w:rPr>
          <w:color w:val="000000"/>
          <w:spacing w:val="5"/>
        </w:rPr>
        <w:t>t</w:t>
      </w:r>
      <w:r>
        <w:rPr>
          <w:color w:val="000000"/>
          <w:spacing w:val="4"/>
        </w:rPr>
        <w:t>a</w:t>
      </w:r>
      <w:r>
        <w:rPr>
          <w:color w:val="000000"/>
          <w:spacing w:val="-9"/>
        </w:rPr>
        <w:t>i</w:t>
      </w:r>
      <w:r>
        <w:rPr>
          <w:color w:val="000000"/>
        </w:rPr>
        <w:t>ko</w:t>
      </w:r>
      <w:r>
        <w:rPr>
          <w:color w:val="000000"/>
          <w:spacing w:val="10"/>
        </w:rPr>
        <w:t xml:space="preserve"> </w:t>
      </w:r>
      <w:r>
        <w:rPr>
          <w:color w:val="000000"/>
          <w:spacing w:val="-9"/>
        </w:rPr>
        <w:t>i</w:t>
      </w:r>
      <w:r>
        <w:rPr>
          <w:color w:val="000000"/>
        </w:rPr>
        <w:t>r</w:t>
      </w:r>
      <w:r>
        <w:rPr>
          <w:color w:val="000000"/>
          <w:spacing w:val="7"/>
        </w:rPr>
        <w:t xml:space="preserve"> </w:t>
      </w:r>
      <w:r>
        <w:rPr>
          <w:color w:val="000000"/>
          <w:spacing w:val="-4"/>
        </w:rPr>
        <w:t>m</w:t>
      </w:r>
      <w:r>
        <w:rPr>
          <w:color w:val="000000"/>
        </w:rPr>
        <w:t>i</w:t>
      </w:r>
      <w:r>
        <w:rPr>
          <w:color w:val="000000"/>
          <w:spacing w:val="-9"/>
        </w:rPr>
        <w:t>l</w:t>
      </w:r>
      <w:r>
        <w:rPr>
          <w:color w:val="000000"/>
          <w:spacing w:val="5"/>
        </w:rPr>
        <w:t>t</w:t>
      </w:r>
      <w:r>
        <w:rPr>
          <w:color w:val="000000"/>
          <w:spacing w:val="4"/>
        </w:rPr>
        <w:t>e</w:t>
      </w:r>
      <w:r>
        <w:rPr>
          <w:color w:val="000000"/>
        </w:rPr>
        <w:t>l</w:t>
      </w:r>
      <w:r>
        <w:rPr>
          <w:color w:val="000000"/>
          <w:spacing w:val="-4"/>
        </w:rPr>
        <w:t>i</w:t>
      </w:r>
      <w:r>
        <w:rPr>
          <w:color w:val="000000"/>
        </w:rPr>
        <w:t>ų</w:t>
      </w:r>
      <w:r>
        <w:rPr>
          <w:color w:val="000000"/>
          <w:spacing w:val="1"/>
        </w:rPr>
        <w:t xml:space="preserve"> </w:t>
      </w:r>
      <w:r>
        <w:rPr>
          <w:color w:val="000000"/>
        </w:rPr>
        <w:t>p</w:t>
      </w:r>
      <w:r>
        <w:rPr>
          <w:color w:val="000000"/>
          <w:spacing w:val="4"/>
        </w:rPr>
        <w:t>a</w:t>
      </w:r>
      <w:r>
        <w:rPr>
          <w:color w:val="000000"/>
        </w:rPr>
        <w:t>v</w:t>
      </w:r>
      <w:r>
        <w:rPr>
          <w:color w:val="000000"/>
          <w:spacing w:val="-9"/>
        </w:rPr>
        <w:t>i</w:t>
      </w:r>
      <w:r>
        <w:rPr>
          <w:color w:val="000000"/>
          <w:spacing w:val="5"/>
        </w:rPr>
        <w:t>d</w:t>
      </w:r>
      <w:r>
        <w:rPr>
          <w:color w:val="000000"/>
          <w:spacing w:val="4"/>
        </w:rPr>
        <w:t>a</w:t>
      </w:r>
      <w:r>
        <w:rPr>
          <w:color w:val="000000"/>
          <w:spacing w:val="-4"/>
        </w:rPr>
        <w:t>l</w:t>
      </w:r>
      <w:r>
        <w:rPr>
          <w:color w:val="000000"/>
        </w:rPr>
        <w:t>u</w:t>
      </w:r>
      <w:r>
        <w:rPr>
          <w:color w:val="000000"/>
          <w:spacing w:val="1"/>
        </w:rPr>
        <w:t>)</w:t>
      </w:r>
      <w:r>
        <w:rPr>
          <w:color w:val="000000"/>
        </w:rPr>
        <w:t>.</w:t>
      </w:r>
      <w:r>
        <w:rPr>
          <w:color w:val="000000"/>
          <w:spacing w:val="8"/>
        </w:rPr>
        <w:t xml:space="preserve"> </w:t>
      </w:r>
      <w:r>
        <w:rPr>
          <w:color w:val="000000"/>
          <w:spacing w:val="1"/>
        </w:rPr>
        <w:t>4</w:t>
      </w:r>
      <w:r>
        <w:rPr>
          <w:color w:val="000000"/>
          <w:spacing w:val="2"/>
        </w:rPr>
        <w:t>-</w:t>
      </w:r>
      <w:r>
        <w:rPr>
          <w:color w:val="000000"/>
          <w:spacing w:val="-2"/>
        </w:rPr>
        <w:t>M</w:t>
      </w:r>
      <w:r>
        <w:rPr>
          <w:color w:val="000000"/>
          <w:spacing w:val="2"/>
        </w:rPr>
        <w:t>E</w:t>
      </w:r>
      <w:r>
        <w:rPr>
          <w:color w:val="000000"/>
        </w:rPr>
        <w:t xml:space="preserve">C – </w:t>
      </w:r>
      <w:r>
        <w:rPr>
          <w:color w:val="000000"/>
          <w:spacing w:val="-1"/>
        </w:rPr>
        <w:t>c</w:t>
      </w:r>
      <w:r>
        <w:rPr>
          <w:color w:val="000000"/>
          <w:spacing w:val="-5"/>
        </w:rPr>
        <w:t>h</w:t>
      </w:r>
      <w:r>
        <w:rPr>
          <w:color w:val="000000"/>
          <w:spacing w:val="4"/>
        </w:rPr>
        <w:t>e</w:t>
      </w:r>
      <w:r>
        <w:rPr>
          <w:color w:val="000000"/>
        </w:rPr>
        <w:t>m</w:t>
      </w:r>
      <w:r>
        <w:rPr>
          <w:color w:val="000000"/>
          <w:spacing w:val="-4"/>
        </w:rPr>
        <w:t>i</w:t>
      </w:r>
      <w:r>
        <w:rPr>
          <w:color w:val="000000"/>
          <w:spacing w:val="2"/>
        </w:rPr>
        <w:t>š</w:t>
      </w:r>
      <w:r>
        <w:rPr>
          <w:color w:val="000000"/>
        </w:rPr>
        <w:t>k</w:t>
      </w:r>
      <w:r>
        <w:rPr>
          <w:color w:val="000000"/>
          <w:spacing w:val="4"/>
        </w:rPr>
        <w:t>a</w:t>
      </w:r>
      <w:r>
        <w:rPr>
          <w:color w:val="000000"/>
        </w:rPr>
        <w:t xml:space="preserve">i </w:t>
      </w:r>
      <w:r>
        <w:rPr>
          <w:color w:val="000000"/>
          <w:spacing w:val="5"/>
        </w:rPr>
        <w:t>p</w:t>
      </w:r>
      <w:r>
        <w:rPr>
          <w:color w:val="000000"/>
          <w:spacing w:val="4"/>
        </w:rPr>
        <w:t>a</w:t>
      </w:r>
      <w:r>
        <w:rPr>
          <w:color w:val="000000"/>
          <w:spacing w:val="-5"/>
        </w:rPr>
        <w:t>n</w:t>
      </w:r>
      <w:r>
        <w:rPr>
          <w:color w:val="000000"/>
          <w:spacing w:val="-1"/>
        </w:rPr>
        <w:t>a</w:t>
      </w:r>
      <w:r>
        <w:rPr>
          <w:color w:val="000000"/>
          <w:spacing w:val="2"/>
        </w:rPr>
        <w:t>š</w:t>
      </w:r>
      <w:r>
        <w:rPr>
          <w:color w:val="000000"/>
        </w:rPr>
        <w:t>i</w:t>
      </w:r>
      <w:r>
        <w:rPr>
          <w:color w:val="000000"/>
          <w:spacing w:val="9"/>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ga</w:t>
      </w:r>
      <w:r>
        <w:rPr>
          <w:color w:val="000000"/>
          <w:spacing w:val="13"/>
        </w:rPr>
        <w:t xml:space="preserve"> </w:t>
      </w:r>
      <w:r>
        <w:rPr>
          <w:color w:val="000000"/>
        </w:rPr>
        <w:t>į</w:t>
      </w:r>
      <w:r>
        <w:rPr>
          <w:color w:val="000000"/>
          <w:spacing w:val="9"/>
        </w:rPr>
        <w:t xml:space="preserve"> </w:t>
      </w:r>
      <w:r>
        <w:rPr>
          <w:color w:val="000000"/>
          <w:spacing w:val="-4"/>
        </w:rPr>
        <w:t>m</w:t>
      </w:r>
      <w:r>
        <w:rPr>
          <w:color w:val="000000"/>
          <w:spacing w:val="4"/>
        </w:rPr>
        <w:t>e</w:t>
      </w:r>
      <w:r>
        <w:rPr>
          <w:color w:val="000000"/>
          <w:spacing w:val="-3"/>
        </w:rPr>
        <w:t>f</w:t>
      </w:r>
      <w:r>
        <w:rPr>
          <w:color w:val="000000"/>
          <w:spacing w:val="-1"/>
        </w:rPr>
        <w:t>e</w:t>
      </w:r>
      <w:r>
        <w:rPr>
          <w:color w:val="000000"/>
        </w:rPr>
        <w:t>d</w:t>
      </w:r>
      <w:r>
        <w:rPr>
          <w:color w:val="000000"/>
          <w:spacing w:val="1"/>
        </w:rPr>
        <w:t>r</w:t>
      </w:r>
      <w:r>
        <w:rPr>
          <w:color w:val="000000"/>
          <w:spacing w:val="5"/>
        </w:rPr>
        <w:t>o</w:t>
      </w:r>
      <w:r>
        <w:rPr>
          <w:color w:val="000000"/>
          <w:spacing w:val="-5"/>
        </w:rPr>
        <w:t>n</w:t>
      </w:r>
      <w:r>
        <w:rPr>
          <w:color w:val="000000"/>
          <w:spacing w:val="-1"/>
        </w:rPr>
        <w:t>ą</w:t>
      </w:r>
      <w:r>
        <w:rPr>
          <w:color w:val="000000"/>
        </w:rPr>
        <w:t xml:space="preserve">. </w:t>
      </w:r>
      <w:r>
        <w:rPr>
          <w:color w:val="000000"/>
          <w:spacing w:val="-2"/>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 xml:space="preserve">ga </w:t>
      </w:r>
      <w:r>
        <w:rPr>
          <w:color w:val="000000"/>
          <w:spacing w:val="-5"/>
        </w:rPr>
        <w:t>v</w:t>
      </w:r>
      <w:r>
        <w:rPr>
          <w:color w:val="000000"/>
          <w:spacing w:val="-1"/>
        </w:rPr>
        <w:t>a</w:t>
      </w:r>
      <w:r>
        <w:rPr>
          <w:color w:val="000000"/>
          <w:spacing w:val="1"/>
        </w:rPr>
        <w:t>r</w:t>
      </w:r>
      <w:r>
        <w:rPr>
          <w:color w:val="000000"/>
          <w:spacing w:val="5"/>
        </w:rPr>
        <w:t>to</w:t>
      </w:r>
      <w:r>
        <w:rPr>
          <w:color w:val="000000"/>
          <w:spacing w:val="-9"/>
        </w:rPr>
        <w:t>j</w:t>
      </w:r>
      <w:r>
        <w:rPr>
          <w:color w:val="000000"/>
          <w:spacing w:val="4"/>
        </w:rPr>
        <w:t>a</w:t>
      </w:r>
      <w:r>
        <w:rPr>
          <w:color w:val="000000"/>
          <w:spacing w:val="-4"/>
        </w:rPr>
        <w:t>m</w:t>
      </w:r>
      <w:r>
        <w:rPr>
          <w:color w:val="000000"/>
        </w:rPr>
        <w:t xml:space="preserve">a </w:t>
      </w:r>
      <w:r>
        <w:rPr>
          <w:color w:val="000000"/>
          <w:spacing w:val="-4"/>
        </w:rPr>
        <w:t>į</w:t>
      </w:r>
      <w:r>
        <w:rPr>
          <w:color w:val="000000"/>
          <w:spacing w:val="5"/>
        </w:rPr>
        <w:t>k</w:t>
      </w:r>
      <w:r>
        <w:rPr>
          <w:color w:val="000000"/>
          <w:spacing w:val="-5"/>
        </w:rPr>
        <w:t>v</w:t>
      </w:r>
      <w:r>
        <w:rPr>
          <w:color w:val="000000"/>
          <w:spacing w:val="-1"/>
        </w:rPr>
        <w:t>e</w:t>
      </w:r>
      <w:r>
        <w:rPr>
          <w:color w:val="000000"/>
          <w:spacing w:val="5"/>
        </w:rPr>
        <w:t>p</w:t>
      </w:r>
      <w:r>
        <w:rPr>
          <w:color w:val="000000"/>
          <w:spacing w:val="-4"/>
        </w:rPr>
        <w:t>i</w:t>
      </w:r>
      <w:r>
        <w:rPr>
          <w:color w:val="000000"/>
          <w:spacing w:val="4"/>
        </w:rPr>
        <w:t>a</w:t>
      </w:r>
      <w:r>
        <w:rPr>
          <w:color w:val="000000"/>
          <w:spacing w:val="-5"/>
        </w:rPr>
        <w:t>n</w:t>
      </w:r>
      <w:r>
        <w:rPr>
          <w:color w:val="000000"/>
        </w:rPr>
        <w:t>t</w:t>
      </w:r>
      <w:r>
        <w:rPr>
          <w:color w:val="000000"/>
          <w:spacing w:val="1"/>
        </w:rPr>
        <w:t xml:space="preserve"> </w:t>
      </w:r>
      <w:r>
        <w:rPr>
          <w:color w:val="000000"/>
          <w:spacing w:val="-1"/>
        </w:rPr>
        <w:t>a</w:t>
      </w:r>
      <w:r>
        <w:rPr>
          <w:color w:val="000000"/>
          <w:spacing w:val="1"/>
        </w:rPr>
        <w:t>r</w:t>
      </w:r>
      <w:r>
        <w:rPr>
          <w:color w:val="000000"/>
          <w:spacing w:val="-5"/>
        </w:rPr>
        <w:t>b</w:t>
      </w:r>
      <w:r>
        <w:rPr>
          <w:color w:val="000000"/>
        </w:rPr>
        <w:t>a p</w:t>
      </w:r>
      <w:r>
        <w:rPr>
          <w:color w:val="000000"/>
          <w:spacing w:val="1"/>
        </w:rPr>
        <w:t>r</w:t>
      </w:r>
      <w:r>
        <w:rPr>
          <w:color w:val="000000"/>
          <w:spacing w:val="-1"/>
        </w:rPr>
        <w:t>a</w:t>
      </w:r>
      <w:r>
        <w:rPr>
          <w:color w:val="000000"/>
          <w:spacing w:val="1"/>
        </w:rPr>
        <w:t>r</w:t>
      </w:r>
      <w:r>
        <w:rPr>
          <w:color w:val="000000"/>
          <w:spacing w:val="-5"/>
        </w:rPr>
        <w:t>y</w:t>
      </w:r>
      <w:r>
        <w:rPr>
          <w:color w:val="000000"/>
          <w:spacing w:val="-4"/>
        </w:rPr>
        <w:t>j</w:t>
      </w:r>
      <w:r>
        <w:rPr>
          <w:color w:val="000000"/>
          <w:spacing w:val="4"/>
        </w:rPr>
        <w:t>a</w:t>
      </w:r>
      <w:r>
        <w:rPr>
          <w:color w:val="000000"/>
          <w:spacing w:val="-5"/>
        </w:rPr>
        <w:t>n</w:t>
      </w:r>
      <w:r>
        <w:rPr>
          <w:color w:val="000000"/>
          <w:spacing w:val="5"/>
        </w:rPr>
        <w:t>t</w:t>
      </w:r>
      <w:r>
        <w:rPr>
          <w:color w:val="000000"/>
        </w:rPr>
        <w:t xml:space="preserve">. </w:t>
      </w:r>
      <w:r>
        <w:rPr>
          <w:color w:val="000000"/>
          <w:spacing w:val="1"/>
        </w:rPr>
        <w:t xml:space="preserve"> </w:t>
      </w:r>
      <w:r>
        <w:rPr>
          <w:color w:val="000000"/>
          <w:spacing w:val="-5"/>
        </w:rPr>
        <w:t>K</w:t>
      </w:r>
      <w:r>
        <w:rPr>
          <w:color w:val="000000"/>
          <w:spacing w:val="4"/>
        </w:rPr>
        <w:t>a</w:t>
      </w:r>
      <w:r>
        <w:rPr>
          <w:color w:val="000000"/>
        </w:rPr>
        <w:t>i  ku</w:t>
      </w:r>
      <w:r>
        <w:rPr>
          <w:color w:val="000000"/>
          <w:spacing w:val="6"/>
        </w:rPr>
        <w:t>r</w:t>
      </w:r>
      <w:r>
        <w:rPr>
          <w:color w:val="000000"/>
          <w:spacing w:val="-9"/>
        </w:rPr>
        <w:t>i</w:t>
      </w:r>
      <w:r>
        <w:rPr>
          <w:color w:val="000000"/>
        </w:rPr>
        <w:t xml:space="preserve">ų </w:t>
      </w:r>
      <w:r>
        <w:rPr>
          <w:color w:val="000000"/>
          <w:spacing w:val="4"/>
        </w:rPr>
        <w:t xml:space="preserve"> </w:t>
      </w:r>
      <w:r>
        <w:rPr>
          <w:color w:val="000000"/>
        </w:rPr>
        <w:t>v</w:t>
      </w:r>
      <w:r>
        <w:rPr>
          <w:color w:val="000000"/>
          <w:spacing w:val="-1"/>
        </w:rPr>
        <w:t>a</w:t>
      </w:r>
      <w:r>
        <w:rPr>
          <w:color w:val="000000"/>
          <w:spacing w:val="1"/>
        </w:rPr>
        <w:t>r</w:t>
      </w:r>
      <w:r>
        <w:rPr>
          <w:color w:val="000000"/>
        </w:rPr>
        <w:t>to</w:t>
      </w:r>
      <w:r>
        <w:rPr>
          <w:color w:val="000000"/>
          <w:spacing w:val="5"/>
        </w:rPr>
        <w:t>to</w:t>
      </w:r>
      <w:r>
        <w:rPr>
          <w:color w:val="000000"/>
          <w:spacing w:val="-9"/>
        </w:rPr>
        <w:t>j</w:t>
      </w:r>
      <w:r>
        <w:rPr>
          <w:color w:val="000000"/>
        </w:rPr>
        <w:t xml:space="preserve">ų </w:t>
      </w:r>
      <w:r>
        <w:rPr>
          <w:color w:val="000000"/>
          <w:spacing w:val="6"/>
        </w:rPr>
        <w:t>(</w:t>
      </w:r>
      <w:r>
        <w:rPr>
          <w:color w:val="000000"/>
          <w:spacing w:val="-9"/>
        </w:rPr>
        <w:t>i</w:t>
      </w:r>
      <w:r>
        <w:rPr>
          <w:color w:val="000000"/>
          <w:spacing w:val="2"/>
        </w:rPr>
        <w:t>š</w:t>
      </w:r>
      <w:r>
        <w:rPr>
          <w:color w:val="000000"/>
          <w:spacing w:val="-5"/>
        </w:rPr>
        <w:t>b</w:t>
      </w:r>
      <w:r>
        <w:rPr>
          <w:color w:val="000000"/>
          <w:spacing w:val="4"/>
        </w:rPr>
        <w:t>a</w:t>
      </w:r>
      <w:r>
        <w:rPr>
          <w:color w:val="000000"/>
          <w:spacing w:val="-5"/>
        </w:rPr>
        <w:t>n</w:t>
      </w:r>
      <w:r>
        <w:rPr>
          <w:color w:val="000000"/>
        </w:rPr>
        <w:t>d</w:t>
      </w:r>
      <w:r>
        <w:rPr>
          <w:color w:val="000000"/>
          <w:spacing w:val="4"/>
        </w:rPr>
        <w:t>ž</w:t>
      </w:r>
      <w:r>
        <w:rPr>
          <w:color w:val="000000"/>
          <w:spacing w:val="-4"/>
        </w:rPr>
        <w:t>i</w:t>
      </w:r>
      <w:r>
        <w:rPr>
          <w:color w:val="000000"/>
          <w:spacing w:val="5"/>
        </w:rPr>
        <w:t>u</w:t>
      </w:r>
      <w:r>
        <w:rPr>
          <w:color w:val="000000"/>
          <w:spacing w:val="2"/>
        </w:rPr>
        <w:t>s</w:t>
      </w:r>
      <w:r>
        <w:rPr>
          <w:color w:val="000000"/>
          <w:spacing w:val="-4"/>
        </w:rPr>
        <w:t>i</w:t>
      </w:r>
      <w:r>
        <w:rPr>
          <w:color w:val="000000"/>
        </w:rPr>
        <w:t>ų</w:t>
      </w:r>
      <w:r>
        <w:rPr>
          <w:color w:val="000000"/>
          <w:spacing w:val="41"/>
        </w:rPr>
        <w:t xml:space="preserve"> </w:t>
      </w:r>
      <w:r>
        <w:rPr>
          <w:color w:val="000000"/>
          <w:spacing w:val="2"/>
        </w:rPr>
        <w:t>š</w:t>
      </w:r>
      <w:r>
        <w:rPr>
          <w:color w:val="000000"/>
          <w:spacing w:val="-4"/>
        </w:rPr>
        <w:t>i</w:t>
      </w:r>
      <w:r>
        <w:rPr>
          <w:color w:val="000000"/>
        </w:rPr>
        <w:t>ą</w:t>
      </w:r>
      <w:r>
        <w:rPr>
          <w:color w:val="000000"/>
          <w:spacing w:val="44"/>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g</w:t>
      </w:r>
      <w:r>
        <w:rPr>
          <w:color w:val="000000"/>
          <w:spacing w:val="-1"/>
        </w:rPr>
        <w:t>ą</w:t>
      </w:r>
      <w:r>
        <w:rPr>
          <w:color w:val="000000"/>
        </w:rPr>
        <w:t>)</w:t>
      </w:r>
      <w:r>
        <w:rPr>
          <w:color w:val="000000"/>
          <w:spacing w:val="42"/>
        </w:rPr>
        <w:t xml:space="preserve"> </w:t>
      </w:r>
      <w:r>
        <w:rPr>
          <w:color w:val="000000"/>
          <w:spacing w:val="-5"/>
        </w:rPr>
        <w:t>n</w:t>
      </w:r>
      <w:r>
        <w:rPr>
          <w:color w:val="000000"/>
        </w:rPr>
        <w:t>u</w:t>
      </w:r>
      <w:r>
        <w:rPr>
          <w:color w:val="000000"/>
          <w:spacing w:val="9"/>
        </w:rPr>
        <w:t>o</w:t>
      </w:r>
      <w:r>
        <w:rPr>
          <w:color w:val="000000"/>
          <w:spacing w:val="-9"/>
        </w:rPr>
        <w:t>m</w:t>
      </w:r>
      <w:r>
        <w:rPr>
          <w:color w:val="000000"/>
          <w:spacing w:val="5"/>
        </w:rPr>
        <w:t>o</w:t>
      </w:r>
      <w:r>
        <w:rPr>
          <w:color w:val="000000"/>
          <w:spacing w:val="-5"/>
        </w:rPr>
        <w:t>n</w:t>
      </w:r>
      <w:r>
        <w:rPr>
          <w:color w:val="000000"/>
          <w:spacing w:val="-1"/>
        </w:rPr>
        <w:t>e</w:t>
      </w:r>
      <w:r>
        <w:rPr>
          <w:color w:val="000000"/>
        </w:rPr>
        <w:t>,</w:t>
      </w:r>
      <w:r>
        <w:rPr>
          <w:color w:val="000000"/>
          <w:spacing w:val="43"/>
        </w:rPr>
        <w:t xml:space="preserve"> </w:t>
      </w:r>
      <w:r>
        <w:rPr>
          <w:color w:val="000000"/>
          <w:spacing w:val="5"/>
        </w:rPr>
        <w:t>t</w:t>
      </w:r>
      <w:r>
        <w:rPr>
          <w:color w:val="000000"/>
          <w:spacing w:val="-1"/>
        </w:rPr>
        <w:t>a</w:t>
      </w:r>
      <w:r>
        <w:rPr>
          <w:color w:val="000000"/>
        </w:rPr>
        <w:t>i</w:t>
      </w:r>
    </w:p>
    <w:p w:rsidR="004F7425" w:rsidRDefault="004F7425" w:rsidP="004F7425">
      <w:pPr>
        <w:widowControl w:val="0"/>
        <w:autoSpaceDE w:val="0"/>
        <w:autoSpaceDN w:val="0"/>
        <w:adjustRightInd w:val="0"/>
        <w:spacing w:line="275" w:lineRule="auto"/>
        <w:ind w:left="120" w:right="68"/>
        <w:jc w:val="both"/>
        <w:rPr>
          <w:color w:val="000000"/>
        </w:rPr>
      </w:pPr>
      <w:r>
        <w:rPr>
          <w:color w:val="000000"/>
          <w:spacing w:val="-5"/>
        </w:rPr>
        <w:t>y</w:t>
      </w:r>
      <w:r>
        <w:rPr>
          <w:color w:val="000000"/>
          <w:spacing w:val="1"/>
        </w:rPr>
        <w:t>r</w:t>
      </w:r>
      <w:r>
        <w:rPr>
          <w:color w:val="000000"/>
        </w:rPr>
        <w:t>a</w:t>
      </w:r>
      <w:r>
        <w:rPr>
          <w:color w:val="000000"/>
          <w:spacing w:val="8"/>
        </w:rPr>
        <w:t xml:space="preserve"> </w:t>
      </w:r>
      <w:r>
        <w:rPr>
          <w:color w:val="000000"/>
          <w:spacing w:val="-4"/>
        </w:rPr>
        <w:t>m</w:t>
      </w:r>
      <w:r>
        <w:rPr>
          <w:color w:val="000000"/>
          <w:spacing w:val="4"/>
        </w:rPr>
        <w:t>e</w:t>
      </w:r>
      <w:r>
        <w:rPr>
          <w:color w:val="000000"/>
          <w:spacing w:val="-3"/>
        </w:rPr>
        <w:t>f</w:t>
      </w:r>
      <w:r>
        <w:rPr>
          <w:color w:val="000000"/>
          <w:spacing w:val="-1"/>
        </w:rPr>
        <w:t>e</w:t>
      </w:r>
      <w:r>
        <w:rPr>
          <w:color w:val="000000"/>
        </w:rPr>
        <w:t>d</w:t>
      </w:r>
      <w:r>
        <w:rPr>
          <w:color w:val="000000"/>
          <w:spacing w:val="1"/>
        </w:rPr>
        <w:t>r</w:t>
      </w:r>
      <w:r>
        <w:rPr>
          <w:color w:val="000000"/>
          <w:spacing w:val="5"/>
        </w:rPr>
        <w:t>o</w:t>
      </w:r>
      <w:r>
        <w:rPr>
          <w:color w:val="000000"/>
          <w:spacing w:val="-5"/>
        </w:rPr>
        <w:t>n</w:t>
      </w:r>
      <w:r>
        <w:rPr>
          <w:color w:val="000000"/>
        </w:rPr>
        <w:t>o</w:t>
      </w:r>
      <w:r>
        <w:rPr>
          <w:color w:val="000000"/>
          <w:spacing w:val="9"/>
        </w:rPr>
        <w:t xml:space="preserve"> </w:t>
      </w:r>
      <w:r>
        <w:rPr>
          <w:color w:val="000000"/>
        </w:rPr>
        <w:t>p</w:t>
      </w:r>
      <w:r>
        <w:rPr>
          <w:color w:val="000000"/>
          <w:spacing w:val="-1"/>
        </w:rPr>
        <w:t>a</w:t>
      </w:r>
      <w:r>
        <w:rPr>
          <w:color w:val="000000"/>
        </w:rPr>
        <w:t>k</w:t>
      </w:r>
      <w:r>
        <w:rPr>
          <w:color w:val="000000"/>
          <w:spacing w:val="4"/>
        </w:rPr>
        <w:t>a</w:t>
      </w:r>
      <w:r>
        <w:rPr>
          <w:color w:val="000000"/>
          <w:spacing w:val="-9"/>
        </w:rPr>
        <w:t>i</w:t>
      </w:r>
      <w:r>
        <w:rPr>
          <w:color w:val="000000"/>
          <w:spacing w:val="5"/>
        </w:rPr>
        <w:t>t</w:t>
      </w:r>
      <w:r>
        <w:rPr>
          <w:color w:val="000000"/>
          <w:spacing w:val="4"/>
        </w:rPr>
        <w:t>a</w:t>
      </w:r>
      <w:r>
        <w:rPr>
          <w:color w:val="000000"/>
          <w:spacing w:val="-9"/>
        </w:rPr>
        <w:t>l</w:t>
      </w:r>
      <w:r>
        <w:rPr>
          <w:color w:val="000000"/>
          <w:spacing w:val="-1"/>
        </w:rPr>
        <w:t>a</w:t>
      </w:r>
      <w:r>
        <w:rPr>
          <w:color w:val="000000"/>
          <w:spacing w:val="-2"/>
        </w:rPr>
        <w:t>s</w:t>
      </w:r>
      <w:r>
        <w:rPr>
          <w:color w:val="000000"/>
        </w:rPr>
        <w:t>,</w:t>
      </w:r>
      <w:r>
        <w:rPr>
          <w:color w:val="000000"/>
          <w:spacing w:val="11"/>
        </w:rPr>
        <w:t xml:space="preserve"> </w:t>
      </w:r>
      <w:r>
        <w:rPr>
          <w:color w:val="000000"/>
        </w:rPr>
        <w:t>v</w:t>
      </w:r>
      <w:r>
        <w:rPr>
          <w:color w:val="000000"/>
          <w:spacing w:val="-4"/>
        </w:rPr>
        <w:t>i</w:t>
      </w:r>
      <w:r>
        <w:rPr>
          <w:color w:val="000000"/>
          <w:spacing w:val="4"/>
        </w:rPr>
        <w:t>e</w:t>
      </w:r>
      <w:r>
        <w:rPr>
          <w:color w:val="000000"/>
        </w:rPr>
        <w:t xml:space="preserve">ni </w:t>
      </w:r>
      <w:r>
        <w:rPr>
          <w:color w:val="000000"/>
          <w:spacing w:val="5"/>
        </w:rPr>
        <w:t>t</w:t>
      </w:r>
      <w:r>
        <w:rPr>
          <w:color w:val="000000"/>
          <w:spacing w:val="4"/>
        </w:rPr>
        <w:t>e</w:t>
      </w:r>
      <w:r>
        <w:rPr>
          <w:color w:val="000000"/>
          <w:spacing w:val="-9"/>
        </w:rPr>
        <w:t>i</w:t>
      </w:r>
      <w:r>
        <w:rPr>
          <w:color w:val="000000"/>
          <w:spacing w:val="5"/>
        </w:rPr>
        <w:t>g</w:t>
      </w:r>
      <w:r>
        <w:rPr>
          <w:color w:val="000000"/>
          <w:spacing w:val="-4"/>
        </w:rPr>
        <w:t>i</w:t>
      </w:r>
      <w:r>
        <w:rPr>
          <w:color w:val="000000"/>
        </w:rPr>
        <w:t>a</w:t>
      </w:r>
      <w:r>
        <w:rPr>
          <w:color w:val="000000"/>
          <w:spacing w:val="8"/>
        </w:rPr>
        <w:t xml:space="preserve"> </w:t>
      </w:r>
      <w:r>
        <w:rPr>
          <w:color w:val="000000"/>
          <w:spacing w:val="-4"/>
        </w:rPr>
        <w:t>j</w:t>
      </w:r>
      <w:r>
        <w:rPr>
          <w:color w:val="000000"/>
        </w:rPr>
        <w:t>ą</w:t>
      </w:r>
      <w:r>
        <w:rPr>
          <w:color w:val="000000"/>
          <w:spacing w:val="3"/>
        </w:rPr>
        <w:t xml:space="preserve"> </w:t>
      </w:r>
      <w:r>
        <w:rPr>
          <w:color w:val="000000"/>
          <w:spacing w:val="4"/>
        </w:rPr>
        <w:t>e</w:t>
      </w:r>
      <w:r>
        <w:rPr>
          <w:color w:val="000000"/>
          <w:spacing w:val="-2"/>
        </w:rPr>
        <w:t>s</w:t>
      </w:r>
      <w:r>
        <w:rPr>
          <w:color w:val="000000"/>
          <w:spacing w:val="4"/>
        </w:rPr>
        <w:t>a</w:t>
      </w:r>
      <w:r>
        <w:rPr>
          <w:color w:val="000000"/>
          <w:spacing w:val="-5"/>
        </w:rPr>
        <w:t>n</w:t>
      </w:r>
      <w:r>
        <w:rPr>
          <w:color w:val="000000"/>
        </w:rPr>
        <w:t>t</w:t>
      </w:r>
      <w:r>
        <w:rPr>
          <w:color w:val="000000"/>
          <w:spacing w:val="9"/>
        </w:rPr>
        <w:t xml:space="preserve"> </w:t>
      </w:r>
      <w:r>
        <w:rPr>
          <w:color w:val="000000"/>
        </w:rPr>
        <w:t>g</w:t>
      </w:r>
      <w:r>
        <w:rPr>
          <w:color w:val="000000"/>
          <w:spacing w:val="-1"/>
        </w:rPr>
        <w:t>e</w:t>
      </w:r>
      <w:r>
        <w:rPr>
          <w:color w:val="000000"/>
          <w:spacing w:val="6"/>
        </w:rPr>
        <w:t>r</w:t>
      </w:r>
      <w:r>
        <w:rPr>
          <w:color w:val="000000"/>
          <w:spacing w:val="-9"/>
        </w:rPr>
        <w:t>i</w:t>
      </w:r>
      <w:r>
        <w:rPr>
          <w:color w:val="000000"/>
          <w:spacing w:val="-1"/>
        </w:rPr>
        <w:t>a</w:t>
      </w:r>
      <w:r>
        <w:rPr>
          <w:color w:val="000000"/>
        </w:rPr>
        <w:t>u</w:t>
      </w:r>
      <w:r>
        <w:rPr>
          <w:color w:val="000000"/>
          <w:spacing w:val="4"/>
        </w:rPr>
        <w:t xml:space="preserve"> </w:t>
      </w:r>
      <w:r>
        <w:rPr>
          <w:color w:val="000000"/>
        </w:rPr>
        <w:t>už</w:t>
      </w:r>
      <w:r>
        <w:rPr>
          <w:color w:val="000000"/>
          <w:spacing w:val="3"/>
        </w:rPr>
        <w:t xml:space="preserve"> </w:t>
      </w:r>
      <w:r>
        <w:rPr>
          <w:color w:val="000000"/>
        </w:rPr>
        <w:t>p</w:t>
      </w:r>
      <w:r>
        <w:rPr>
          <w:color w:val="000000"/>
          <w:spacing w:val="4"/>
        </w:rPr>
        <w:t>a</w:t>
      </w:r>
      <w:r>
        <w:rPr>
          <w:color w:val="000000"/>
          <w:spacing w:val="-2"/>
        </w:rPr>
        <w:t>s</w:t>
      </w:r>
      <w:r>
        <w:rPr>
          <w:color w:val="000000"/>
          <w:spacing w:val="5"/>
        </w:rPr>
        <w:t>t</w:t>
      </w:r>
      <w:r>
        <w:rPr>
          <w:color w:val="000000"/>
          <w:spacing w:val="-1"/>
        </w:rPr>
        <w:t>a</w:t>
      </w:r>
      <w:r>
        <w:rPr>
          <w:color w:val="000000"/>
          <w:spacing w:val="1"/>
        </w:rPr>
        <w:t>r</w:t>
      </w:r>
      <w:r>
        <w:rPr>
          <w:color w:val="000000"/>
          <w:spacing w:val="4"/>
        </w:rPr>
        <w:t>ą</w:t>
      </w:r>
      <w:r>
        <w:rPr>
          <w:color w:val="000000"/>
          <w:spacing w:val="-9"/>
        </w:rPr>
        <w:t>j</w:t>
      </w:r>
      <w:r>
        <w:rPr>
          <w:color w:val="000000"/>
        </w:rPr>
        <w:t>ą</w:t>
      </w:r>
      <w:r>
        <w:rPr>
          <w:color w:val="000000"/>
          <w:spacing w:val="8"/>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1"/>
        </w:rPr>
        <w:t>ą</w:t>
      </w:r>
      <w:r>
        <w:rPr>
          <w:color w:val="000000"/>
        </w:rPr>
        <w:t>,</w:t>
      </w:r>
      <w:r>
        <w:rPr>
          <w:color w:val="000000"/>
          <w:spacing w:val="6"/>
        </w:rPr>
        <w:t xml:space="preserve"> </w:t>
      </w:r>
      <w:r>
        <w:rPr>
          <w:color w:val="000000"/>
          <w:spacing w:val="5"/>
        </w:rPr>
        <w:t>k</w:t>
      </w:r>
      <w:r>
        <w:rPr>
          <w:color w:val="000000"/>
          <w:spacing w:val="-9"/>
        </w:rPr>
        <w:t>i</w:t>
      </w:r>
      <w:r>
        <w:rPr>
          <w:color w:val="000000"/>
          <w:spacing w:val="10"/>
        </w:rPr>
        <w:t>t</w:t>
      </w:r>
      <w:r>
        <w:rPr>
          <w:color w:val="000000"/>
        </w:rPr>
        <w:t xml:space="preserve">i </w:t>
      </w:r>
      <w:r>
        <w:rPr>
          <w:color w:val="000000"/>
          <w:spacing w:val="-1"/>
        </w:rPr>
        <w:t>a</w:t>
      </w:r>
      <w:r>
        <w:rPr>
          <w:color w:val="000000"/>
          <w:spacing w:val="5"/>
        </w:rPr>
        <w:t>t</w:t>
      </w:r>
      <w:r>
        <w:rPr>
          <w:color w:val="000000"/>
        </w:rPr>
        <w:t>v</w:t>
      </w:r>
      <w:r>
        <w:rPr>
          <w:color w:val="000000"/>
          <w:spacing w:val="-9"/>
        </w:rPr>
        <w:t>i</w:t>
      </w:r>
      <w:r>
        <w:rPr>
          <w:color w:val="000000"/>
          <w:spacing w:val="1"/>
        </w:rPr>
        <w:t>r</w:t>
      </w:r>
      <w:r>
        <w:rPr>
          <w:color w:val="000000"/>
          <w:spacing w:val="5"/>
        </w:rPr>
        <w:t>k</w:t>
      </w:r>
      <w:r>
        <w:rPr>
          <w:color w:val="000000"/>
          <w:spacing w:val="-2"/>
        </w:rPr>
        <w:t>š</w:t>
      </w:r>
      <w:r>
        <w:rPr>
          <w:color w:val="000000"/>
          <w:spacing w:val="4"/>
        </w:rPr>
        <w:t>č</w:t>
      </w:r>
      <w:r>
        <w:rPr>
          <w:color w:val="000000"/>
          <w:spacing w:val="-4"/>
        </w:rPr>
        <w:t>i</w:t>
      </w:r>
      <w:r>
        <w:rPr>
          <w:color w:val="000000"/>
          <w:spacing w:val="8"/>
        </w:rPr>
        <w:t>a</w:t>
      </w:r>
      <w:r>
        <w:rPr>
          <w:color w:val="000000"/>
        </w:rPr>
        <w:t xml:space="preserve">i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9"/>
        </w:rPr>
        <w:t>m</w:t>
      </w:r>
      <w:r>
        <w:rPr>
          <w:color w:val="000000"/>
        </w:rPr>
        <w:t>u</w:t>
      </w:r>
      <w:r>
        <w:rPr>
          <w:color w:val="000000"/>
          <w:spacing w:val="9"/>
        </w:rPr>
        <w:t>o</w:t>
      </w:r>
      <w:r>
        <w:rPr>
          <w:color w:val="000000"/>
          <w:spacing w:val="-9"/>
        </w:rPr>
        <w:t>j</w:t>
      </w:r>
      <w:r>
        <w:rPr>
          <w:color w:val="000000"/>
        </w:rPr>
        <w:t>a</w:t>
      </w:r>
      <w:r>
        <w:rPr>
          <w:color w:val="000000"/>
          <w:spacing w:val="25"/>
        </w:rPr>
        <w:t xml:space="preserve"> </w:t>
      </w:r>
      <w:r>
        <w:rPr>
          <w:color w:val="000000"/>
          <w:spacing w:val="-1"/>
        </w:rPr>
        <w:t>a</w:t>
      </w:r>
      <w:r>
        <w:rPr>
          <w:color w:val="000000"/>
          <w:spacing w:val="5"/>
        </w:rPr>
        <w:t>p</w:t>
      </w:r>
      <w:r>
        <w:rPr>
          <w:color w:val="000000"/>
          <w:spacing w:val="-4"/>
        </w:rPr>
        <w:t>i</w:t>
      </w:r>
      <w:r>
        <w:rPr>
          <w:color w:val="000000"/>
        </w:rPr>
        <w:t>e</w:t>
      </w:r>
      <w:r>
        <w:rPr>
          <w:color w:val="000000"/>
          <w:spacing w:val="30"/>
        </w:rPr>
        <w:t xml:space="preserve"> </w:t>
      </w:r>
      <w:r>
        <w:rPr>
          <w:color w:val="000000"/>
          <w:spacing w:val="-2"/>
        </w:rPr>
        <w:t>s</w:t>
      </w:r>
      <w:r>
        <w:rPr>
          <w:color w:val="000000"/>
          <w:spacing w:val="5"/>
        </w:rPr>
        <w:t>u</w:t>
      </w:r>
      <w:r>
        <w:rPr>
          <w:color w:val="000000"/>
          <w:spacing w:val="-5"/>
        </w:rPr>
        <w:t>n</w:t>
      </w:r>
      <w:r>
        <w:rPr>
          <w:color w:val="000000"/>
        </w:rPr>
        <w:t>k</w:t>
      </w:r>
      <w:r>
        <w:rPr>
          <w:color w:val="000000"/>
          <w:spacing w:val="4"/>
        </w:rPr>
        <w:t>e</w:t>
      </w:r>
      <w:r>
        <w:rPr>
          <w:color w:val="000000"/>
          <w:spacing w:val="2"/>
        </w:rPr>
        <w:t>s</w:t>
      </w:r>
      <w:r>
        <w:rPr>
          <w:color w:val="000000"/>
          <w:spacing w:val="-5"/>
        </w:rPr>
        <w:t>n</w:t>
      </w:r>
      <w:r>
        <w:rPr>
          <w:color w:val="000000"/>
          <w:spacing w:val="-1"/>
        </w:rPr>
        <w:t>e</w:t>
      </w:r>
      <w:r>
        <w:rPr>
          <w:color w:val="000000"/>
        </w:rPr>
        <w:t>s</w:t>
      </w:r>
      <w:r>
        <w:rPr>
          <w:color w:val="000000"/>
          <w:spacing w:val="24"/>
        </w:rPr>
        <w:t xml:space="preserve"> </w:t>
      </w:r>
      <w:r>
        <w:rPr>
          <w:color w:val="000000"/>
        </w:rPr>
        <w:t>p</w:t>
      </w:r>
      <w:r>
        <w:rPr>
          <w:color w:val="000000"/>
          <w:spacing w:val="4"/>
        </w:rPr>
        <w:t>a</w:t>
      </w:r>
      <w:r>
        <w:rPr>
          <w:color w:val="000000"/>
          <w:spacing w:val="-2"/>
        </w:rPr>
        <w:t>s</w:t>
      </w:r>
      <w:r>
        <w:rPr>
          <w:color w:val="000000"/>
          <w:spacing w:val="-1"/>
        </w:rPr>
        <w:t>e</w:t>
      </w:r>
      <w:r>
        <w:rPr>
          <w:color w:val="000000"/>
          <w:spacing w:val="5"/>
        </w:rPr>
        <w:t>k</w:t>
      </w:r>
      <w:r>
        <w:rPr>
          <w:color w:val="000000"/>
          <w:spacing w:val="-4"/>
        </w:rPr>
        <w:t>m</w:t>
      </w:r>
      <w:r>
        <w:rPr>
          <w:color w:val="000000"/>
          <w:spacing w:val="4"/>
        </w:rPr>
        <w:t>e</w:t>
      </w:r>
      <w:r>
        <w:rPr>
          <w:color w:val="000000"/>
          <w:spacing w:val="-2"/>
        </w:rPr>
        <w:t>s</w:t>
      </w:r>
      <w:r>
        <w:rPr>
          <w:color w:val="000000"/>
        </w:rPr>
        <w:t>.</w:t>
      </w:r>
      <w:r>
        <w:rPr>
          <w:color w:val="000000"/>
          <w:spacing w:val="28"/>
        </w:rPr>
        <w:t xml:space="preserve"> </w:t>
      </w:r>
      <w:r>
        <w:rPr>
          <w:color w:val="000000"/>
          <w:spacing w:val="6"/>
        </w:rPr>
        <w:t>Š</w:t>
      </w:r>
      <w:r>
        <w:rPr>
          <w:color w:val="000000"/>
          <w:spacing w:val="-9"/>
        </w:rPr>
        <w:t>i</w:t>
      </w:r>
      <w:r>
        <w:rPr>
          <w:color w:val="000000"/>
          <w:spacing w:val="5"/>
        </w:rPr>
        <w:t>o</w:t>
      </w:r>
      <w:r>
        <w:rPr>
          <w:color w:val="000000"/>
        </w:rPr>
        <w:t>s</w:t>
      </w:r>
      <w:r>
        <w:rPr>
          <w:color w:val="000000"/>
          <w:spacing w:val="29"/>
        </w:rPr>
        <w:t xml:space="preserve"> </w:t>
      </w:r>
      <w:r>
        <w:rPr>
          <w:color w:val="000000"/>
          <w:spacing w:val="-9"/>
        </w:rPr>
        <w:t>m</w:t>
      </w:r>
      <w:r>
        <w:rPr>
          <w:color w:val="000000"/>
          <w:spacing w:val="-1"/>
        </w:rPr>
        <w:t>e</w:t>
      </w:r>
      <w:r>
        <w:rPr>
          <w:color w:val="000000"/>
          <w:spacing w:val="5"/>
        </w:rPr>
        <w:t>d</w:t>
      </w:r>
      <w:r>
        <w:rPr>
          <w:color w:val="000000"/>
          <w:spacing w:val="4"/>
        </w:rPr>
        <w:t>ž</w:t>
      </w:r>
      <w:r>
        <w:rPr>
          <w:color w:val="000000"/>
        </w:rPr>
        <w:t>iag</w:t>
      </w:r>
      <w:r>
        <w:rPr>
          <w:color w:val="000000"/>
          <w:spacing w:val="4"/>
        </w:rPr>
        <w:t>o</w:t>
      </w:r>
      <w:r>
        <w:rPr>
          <w:color w:val="000000"/>
        </w:rPr>
        <w:t>s</w:t>
      </w:r>
      <w:r>
        <w:rPr>
          <w:color w:val="000000"/>
          <w:spacing w:val="24"/>
        </w:rPr>
        <w:t xml:space="preserve"> </w:t>
      </w:r>
      <w:r>
        <w:rPr>
          <w:color w:val="000000"/>
          <w:spacing w:val="-5"/>
        </w:rPr>
        <w:t>n</w:t>
      </w:r>
      <w:r>
        <w:rPr>
          <w:color w:val="000000"/>
          <w:spacing w:val="-1"/>
        </w:rPr>
        <w:t>e</w:t>
      </w:r>
      <w:r>
        <w:rPr>
          <w:color w:val="000000"/>
          <w:spacing w:val="-2"/>
        </w:rPr>
        <w:t>s</w:t>
      </w:r>
      <w:r>
        <w:rPr>
          <w:color w:val="000000"/>
          <w:spacing w:val="5"/>
        </w:rPr>
        <w:t>u</w:t>
      </w:r>
      <w:r>
        <w:rPr>
          <w:color w:val="000000"/>
          <w:spacing w:val="-5"/>
        </w:rPr>
        <w:t>n</w:t>
      </w:r>
      <w:r>
        <w:rPr>
          <w:color w:val="000000"/>
          <w:spacing w:val="5"/>
        </w:rPr>
        <w:t>k</w:t>
      </w:r>
      <w:r>
        <w:rPr>
          <w:color w:val="000000"/>
          <w:spacing w:val="-4"/>
        </w:rPr>
        <w:t>i</w:t>
      </w:r>
      <w:r>
        <w:rPr>
          <w:color w:val="000000"/>
          <w:spacing w:val="4"/>
        </w:rPr>
        <w:t>a</w:t>
      </w:r>
      <w:r>
        <w:rPr>
          <w:color w:val="000000"/>
        </w:rPr>
        <w:t>i</w:t>
      </w:r>
      <w:r>
        <w:rPr>
          <w:color w:val="000000"/>
          <w:spacing w:val="22"/>
        </w:rPr>
        <w:t xml:space="preserve"> </w:t>
      </w:r>
      <w:r>
        <w:rPr>
          <w:color w:val="000000"/>
          <w:spacing w:val="5"/>
        </w:rPr>
        <w:t>g</w:t>
      </w:r>
      <w:r>
        <w:rPr>
          <w:color w:val="000000"/>
          <w:spacing w:val="4"/>
        </w:rPr>
        <w:t>a</w:t>
      </w:r>
      <w:r>
        <w:rPr>
          <w:color w:val="000000"/>
          <w:spacing w:val="-4"/>
        </w:rPr>
        <w:t>l</w:t>
      </w:r>
      <w:r>
        <w:rPr>
          <w:color w:val="000000"/>
        </w:rPr>
        <w:t>i</w:t>
      </w:r>
      <w:r>
        <w:rPr>
          <w:color w:val="000000"/>
          <w:spacing w:val="-4"/>
        </w:rPr>
        <w:t>m</w:t>
      </w:r>
      <w:r>
        <w:rPr>
          <w:color w:val="000000"/>
        </w:rPr>
        <w:t>a</w:t>
      </w:r>
      <w:r>
        <w:rPr>
          <w:color w:val="000000"/>
          <w:spacing w:val="25"/>
        </w:rPr>
        <w:t xml:space="preserve"> </w:t>
      </w:r>
      <w:r>
        <w:rPr>
          <w:color w:val="000000"/>
          <w:spacing w:val="5"/>
        </w:rPr>
        <w:t>u</w:t>
      </w:r>
      <w:r>
        <w:rPr>
          <w:color w:val="000000"/>
          <w:spacing w:val="-1"/>
        </w:rPr>
        <w:t>ž</w:t>
      </w:r>
      <w:r>
        <w:rPr>
          <w:color w:val="000000"/>
          <w:spacing w:val="2"/>
        </w:rPr>
        <w:t>s</w:t>
      </w:r>
      <w:r>
        <w:rPr>
          <w:color w:val="000000"/>
          <w:spacing w:val="-4"/>
        </w:rPr>
        <w:t>i</w:t>
      </w:r>
      <w:r>
        <w:rPr>
          <w:color w:val="000000"/>
          <w:spacing w:val="2"/>
        </w:rPr>
        <w:t>s</w:t>
      </w:r>
      <w:r>
        <w:rPr>
          <w:color w:val="000000"/>
          <w:spacing w:val="-1"/>
        </w:rPr>
        <w:t>a</w:t>
      </w:r>
      <w:r>
        <w:rPr>
          <w:color w:val="000000"/>
          <w:spacing w:val="5"/>
        </w:rPr>
        <w:t>k</w:t>
      </w:r>
      <w:r>
        <w:rPr>
          <w:color w:val="000000"/>
          <w:spacing w:val="-10"/>
        </w:rPr>
        <w:t>y</w:t>
      </w:r>
      <w:r>
        <w:rPr>
          <w:color w:val="000000"/>
          <w:spacing w:val="10"/>
        </w:rPr>
        <w:t>t</w:t>
      </w:r>
      <w:r>
        <w:rPr>
          <w:color w:val="000000"/>
        </w:rPr>
        <w:t>i</w:t>
      </w:r>
      <w:r>
        <w:rPr>
          <w:color w:val="000000"/>
          <w:spacing w:val="17"/>
        </w:rPr>
        <w:t xml:space="preserve"> </w:t>
      </w:r>
      <w:r>
        <w:rPr>
          <w:color w:val="000000"/>
          <w:spacing w:val="5"/>
        </w:rPr>
        <w:t>u</w:t>
      </w:r>
      <w:r>
        <w:rPr>
          <w:color w:val="000000"/>
          <w:spacing w:val="-1"/>
        </w:rPr>
        <w:t>ž</w:t>
      </w:r>
      <w:r>
        <w:rPr>
          <w:color w:val="000000"/>
          <w:spacing w:val="2"/>
        </w:rPr>
        <w:t>s</w:t>
      </w:r>
      <w:r>
        <w:rPr>
          <w:color w:val="000000"/>
          <w:spacing w:val="-4"/>
        </w:rPr>
        <w:t>i</w:t>
      </w:r>
      <w:r>
        <w:rPr>
          <w:color w:val="000000"/>
          <w:spacing w:val="4"/>
        </w:rPr>
        <w:t>e</w:t>
      </w:r>
      <w:r>
        <w:rPr>
          <w:color w:val="000000"/>
        </w:rPr>
        <w:t>n</w:t>
      </w:r>
      <w:r>
        <w:rPr>
          <w:color w:val="000000"/>
          <w:spacing w:val="-4"/>
        </w:rPr>
        <w:t>i</w:t>
      </w:r>
      <w:r>
        <w:rPr>
          <w:color w:val="000000"/>
          <w:spacing w:val="-1"/>
        </w:rPr>
        <w:t>e</w:t>
      </w:r>
      <w:r>
        <w:rPr>
          <w:color w:val="000000"/>
          <w:spacing w:val="10"/>
        </w:rPr>
        <w:t>t</w:t>
      </w:r>
      <w:r>
        <w:rPr>
          <w:color w:val="000000"/>
          <w:spacing w:val="-9"/>
        </w:rPr>
        <w:t>i</w:t>
      </w:r>
      <w:r>
        <w:rPr>
          <w:color w:val="000000"/>
          <w:spacing w:val="-2"/>
        </w:rPr>
        <w:t>š</w:t>
      </w:r>
      <w:r>
        <w:rPr>
          <w:color w:val="000000"/>
        </w:rPr>
        <w:t>k</w:t>
      </w:r>
      <w:r>
        <w:rPr>
          <w:color w:val="000000"/>
          <w:spacing w:val="5"/>
        </w:rPr>
        <w:t>o</w:t>
      </w:r>
      <w:r>
        <w:rPr>
          <w:color w:val="000000"/>
          <w:spacing w:val="-2"/>
        </w:rPr>
        <w:t>s</w:t>
      </w:r>
      <w:r>
        <w:rPr>
          <w:color w:val="000000"/>
        </w:rPr>
        <w:t xml:space="preserve">e </w:t>
      </w:r>
      <w:r>
        <w:rPr>
          <w:color w:val="000000"/>
          <w:spacing w:val="-4"/>
        </w:rPr>
        <w:t>i</w:t>
      </w:r>
      <w:r>
        <w:rPr>
          <w:color w:val="000000"/>
          <w:spacing w:val="-5"/>
        </w:rPr>
        <w:t>n</w:t>
      </w:r>
      <w:r>
        <w:rPr>
          <w:color w:val="000000"/>
          <w:spacing w:val="5"/>
        </w:rPr>
        <w:t>t</w:t>
      </w:r>
      <w:r>
        <w:rPr>
          <w:color w:val="000000"/>
          <w:spacing w:val="-1"/>
        </w:rPr>
        <w:t>e</w:t>
      </w:r>
      <w:r>
        <w:rPr>
          <w:color w:val="000000"/>
          <w:spacing w:val="6"/>
        </w:rPr>
        <w:t>r</w:t>
      </w:r>
      <w:r>
        <w:rPr>
          <w:color w:val="000000"/>
          <w:spacing w:val="-5"/>
        </w:rPr>
        <w:t>n</w:t>
      </w:r>
      <w:r>
        <w:rPr>
          <w:color w:val="000000"/>
          <w:spacing w:val="-1"/>
        </w:rPr>
        <w:t>e</w:t>
      </w:r>
      <w:r>
        <w:rPr>
          <w:color w:val="000000"/>
          <w:spacing w:val="10"/>
        </w:rPr>
        <w:t>t</w:t>
      </w:r>
      <w:r>
        <w:rPr>
          <w:color w:val="000000"/>
          <w:spacing w:val="-4"/>
        </w:rPr>
        <w:t>i</w:t>
      </w:r>
      <w:r>
        <w:rPr>
          <w:color w:val="000000"/>
          <w:spacing w:val="-5"/>
        </w:rPr>
        <w:t>n</w:t>
      </w:r>
      <w:r>
        <w:rPr>
          <w:color w:val="000000"/>
          <w:spacing w:val="-1"/>
        </w:rPr>
        <w:t>ė</w:t>
      </w:r>
      <w:r>
        <w:rPr>
          <w:color w:val="000000"/>
          <w:spacing w:val="-2"/>
        </w:rPr>
        <w:t>s</w:t>
      </w:r>
      <w:r>
        <w:rPr>
          <w:color w:val="000000"/>
        </w:rPr>
        <w:t>e</w:t>
      </w:r>
      <w:r>
        <w:rPr>
          <w:color w:val="000000"/>
          <w:spacing w:val="1"/>
        </w:rPr>
        <w:t xml:space="preserve"> </w:t>
      </w:r>
      <w:r>
        <w:rPr>
          <w:color w:val="000000"/>
          <w:spacing w:val="2"/>
        </w:rPr>
        <w:t>s</w:t>
      </w:r>
      <w:r>
        <w:rPr>
          <w:color w:val="000000"/>
        </w:rPr>
        <w:t>v</w:t>
      </w:r>
      <w:r>
        <w:rPr>
          <w:color w:val="000000"/>
          <w:spacing w:val="-1"/>
        </w:rPr>
        <w:t>e</w:t>
      </w:r>
      <w:r>
        <w:rPr>
          <w:color w:val="000000"/>
          <w:spacing w:val="5"/>
        </w:rPr>
        <w:t>t</w:t>
      </w:r>
      <w:r>
        <w:rPr>
          <w:color w:val="000000"/>
          <w:spacing w:val="4"/>
        </w:rPr>
        <w:t>a</w:t>
      </w:r>
      <w:r>
        <w:rPr>
          <w:color w:val="000000"/>
          <w:spacing w:val="-4"/>
        </w:rPr>
        <w:t>i</w:t>
      </w:r>
      <w:r>
        <w:rPr>
          <w:color w:val="000000"/>
          <w:spacing w:val="-2"/>
        </w:rPr>
        <w:t>n</w:t>
      </w:r>
      <w:r>
        <w:rPr>
          <w:color w:val="000000"/>
          <w:spacing w:val="-1"/>
        </w:rPr>
        <w:t>ė</w:t>
      </w:r>
      <w:r>
        <w:rPr>
          <w:color w:val="000000"/>
          <w:spacing w:val="-2"/>
        </w:rPr>
        <w:t>s</w:t>
      </w:r>
      <w:r>
        <w:rPr>
          <w:color w:val="000000"/>
          <w:spacing w:val="-1"/>
        </w:rPr>
        <w:t>e</w:t>
      </w:r>
      <w:r>
        <w:rPr>
          <w:color w:val="000000"/>
        </w:rPr>
        <w:t>,</w:t>
      </w:r>
      <w:r>
        <w:rPr>
          <w:color w:val="000000"/>
          <w:spacing w:val="4"/>
        </w:rPr>
        <w:t xml:space="preserve"> </w:t>
      </w:r>
      <w:r>
        <w:rPr>
          <w:color w:val="000000"/>
        </w:rPr>
        <w:t>ku</w:t>
      </w:r>
      <w:r>
        <w:rPr>
          <w:color w:val="000000"/>
          <w:spacing w:val="6"/>
        </w:rPr>
        <w:t>r</w:t>
      </w:r>
      <w:r>
        <w:rPr>
          <w:color w:val="000000"/>
          <w:spacing w:val="-9"/>
        </w:rPr>
        <w:t>i</w:t>
      </w:r>
      <w:r>
        <w:rPr>
          <w:color w:val="000000"/>
          <w:spacing w:val="5"/>
        </w:rPr>
        <w:t>o</w:t>
      </w:r>
      <w:r>
        <w:rPr>
          <w:color w:val="000000"/>
          <w:spacing w:val="-2"/>
        </w:rPr>
        <w:t>s</w:t>
      </w:r>
      <w:r>
        <w:rPr>
          <w:color w:val="000000"/>
        </w:rPr>
        <w:t>e</w:t>
      </w:r>
      <w:r>
        <w:rPr>
          <w:color w:val="000000"/>
          <w:spacing w:val="1"/>
        </w:rPr>
        <w:t xml:space="preserve"> </w:t>
      </w:r>
      <w:r>
        <w:rPr>
          <w:color w:val="000000"/>
          <w:spacing w:val="-2"/>
        </w:rPr>
        <w:t>s</w:t>
      </w:r>
      <w:r>
        <w:rPr>
          <w:color w:val="000000"/>
        </w:rPr>
        <w:t>k</w:t>
      </w:r>
      <w:r>
        <w:rPr>
          <w:color w:val="000000"/>
          <w:spacing w:val="4"/>
        </w:rPr>
        <w:t>e</w:t>
      </w:r>
      <w:r>
        <w:rPr>
          <w:color w:val="000000"/>
          <w:spacing w:val="-4"/>
        </w:rPr>
        <w:t>l</w:t>
      </w:r>
      <w:r>
        <w:rPr>
          <w:color w:val="000000"/>
          <w:spacing w:val="5"/>
        </w:rPr>
        <w:t>b</w:t>
      </w:r>
      <w:r>
        <w:rPr>
          <w:color w:val="000000"/>
          <w:spacing w:val="-4"/>
        </w:rPr>
        <w:t>i</w:t>
      </w:r>
      <w:r>
        <w:rPr>
          <w:color w:val="000000"/>
          <w:spacing w:val="4"/>
        </w:rPr>
        <w:t>a</w:t>
      </w:r>
      <w:r>
        <w:rPr>
          <w:color w:val="000000"/>
          <w:spacing w:val="-1"/>
        </w:rPr>
        <w:t>ma</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2"/>
        </w:rPr>
        <w:t xml:space="preserve"> </w:t>
      </w:r>
      <w:r>
        <w:rPr>
          <w:color w:val="000000"/>
          <w:spacing w:val="5"/>
        </w:rPr>
        <w:t>t</w:t>
      </w:r>
      <w:r>
        <w:rPr>
          <w:color w:val="000000"/>
          <w:spacing w:val="-1"/>
        </w:rPr>
        <w:t>a</w:t>
      </w:r>
      <w:r>
        <w:rPr>
          <w:color w:val="000000"/>
        </w:rPr>
        <w:t>i</w:t>
      </w:r>
      <w:r>
        <w:rPr>
          <w:color w:val="000000"/>
          <w:spacing w:val="-2"/>
        </w:rPr>
        <w:t xml:space="preserve"> </w:t>
      </w:r>
      <w:r>
        <w:rPr>
          <w:color w:val="000000"/>
        </w:rPr>
        <w:t>p</w:t>
      </w:r>
      <w:r>
        <w:rPr>
          <w:color w:val="000000"/>
          <w:spacing w:val="1"/>
        </w:rPr>
        <w:t>r</w:t>
      </w:r>
      <w:r>
        <w:rPr>
          <w:color w:val="000000"/>
          <w:spacing w:val="-1"/>
        </w:rPr>
        <w:t>e</w:t>
      </w:r>
      <w:r>
        <w:rPr>
          <w:color w:val="000000"/>
        </w:rPr>
        <w:t>k</w:t>
      </w:r>
      <w:r>
        <w:rPr>
          <w:color w:val="000000"/>
          <w:spacing w:val="-1"/>
        </w:rPr>
        <w:t>ė</w:t>
      </w:r>
      <w:r>
        <w:rPr>
          <w:color w:val="000000"/>
        </w:rPr>
        <w:t>,</w:t>
      </w:r>
      <w:r>
        <w:rPr>
          <w:color w:val="000000"/>
          <w:spacing w:val="4"/>
        </w:rPr>
        <w:t xml:space="preserve"> </w:t>
      </w:r>
      <w:r>
        <w:rPr>
          <w:color w:val="000000"/>
        </w:rPr>
        <w:t>k</w:t>
      </w:r>
      <w:r>
        <w:rPr>
          <w:color w:val="000000"/>
          <w:spacing w:val="-5"/>
        </w:rPr>
        <w:t>u</w:t>
      </w:r>
      <w:r>
        <w:rPr>
          <w:color w:val="000000"/>
          <w:spacing w:val="1"/>
        </w:rPr>
        <w:t>r</w:t>
      </w:r>
      <w:r>
        <w:rPr>
          <w:color w:val="000000"/>
          <w:spacing w:val="-9"/>
        </w:rPr>
        <w:t>i</w:t>
      </w:r>
      <w:r>
        <w:rPr>
          <w:color w:val="000000"/>
          <w:spacing w:val="5"/>
        </w:rPr>
        <w:t>o</w:t>
      </w:r>
      <w:r>
        <w:rPr>
          <w:color w:val="000000"/>
        </w:rPr>
        <w:t>s n</w:t>
      </w:r>
      <w:r>
        <w:rPr>
          <w:color w:val="000000"/>
          <w:spacing w:val="-1"/>
        </w:rPr>
        <w:t>e</w:t>
      </w:r>
      <w:r>
        <w:rPr>
          <w:color w:val="000000"/>
        </w:rPr>
        <w:t>g</w:t>
      </w:r>
      <w:r>
        <w:rPr>
          <w:color w:val="000000"/>
          <w:spacing w:val="4"/>
        </w:rPr>
        <w:t>a</w:t>
      </w:r>
      <w:r>
        <w:rPr>
          <w:color w:val="000000"/>
        </w:rPr>
        <w:t>li</w:t>
      </w:r>
      <w:r>
        <w:rPr>
          <w:color w:val="000000"/>
          <w:spacing w:val="2"/>
        </w:rPr>
        <w:t xml:space="preserve"> </w:t>
      </w:r>
      <w:r>
        <w:rPr>
          <w:color w:val="000000"/>
          <w:spacing w:val="-5"/>
        </w:rPr>
        <w:t>v</w:t>
      </w:r>
      <w:r>
        <w:rPr>
          <w:color w:val="000000"/>
          <w:spacing w:val="-1"/>
        </w:rPr>
        <w:t>a</w:t>
      </w:r>
      <w:r>
        <w:rPr>
          <w:color w:val="000000"/>
          <w:spacing w:val="1"/>
        </w:rPr>
        <w:t>r</w:t>
      </w:r>
      <w:r>
        <w:rPr>
          <w:color w:val="000000"/>
          <w:spacing w:val="5"/>
        </w:rPr>
        <w:t>t</w:t>
      </w:r>
      <w:r>
        <w:rPr>
          <w:color w:val="000000"/>
        </w:rPr>
        <w:t>o</w:t>
      </w:r>
      <w:r>
        <w:rPr>
          <w:color w:val="000000"/>
          <w:spacing w:val="5"/>
        </w:rPr>
        <w:t>t</w:t>
      </w:r>
      <w:r>
        <w:rPr>
          <w:color w:val="000000"/>
        </w:rPr>
        <w:t>i</w:t>
      </w:r>
      <w:r>
        <w:rPr>
          <w:color w:val="000000"/>
          <w:spacing w:val="-7"/>
        </w:rPr>
        <w:t xml:space="preserve"> </w:t>
      </w:r>
      <w:r>
        <w:rPr>
          <w:color w:val="000000"/>
          <w:spacing w:val="4"/>
        </w:rPr>
        <w:t>ž</w:t>
      </w:r>
      <w:r>
        <w:rPr>
          <w:color w:val="000000"/>
          <w:spacing w:val="-9"/>
        </w:rPr>
        <w:t>m</w:t>
      </w:r>
      <w:r>
        <w:rPr>
          <w:color w:val="000000"/>
          <w:spacing w:val="5"/>
        </w:rPr>
        <w:t>o</w:t>
      </w:r>
      <w:r>
        <w:rPr>
          <w:color w:val="000000"/>
        </w:rPr>
        <w:t>n</w:t>
      </w:r>
      <w:r>
        <w:rPr>
          <w:color w:val="000000"/>
          <w:spacing w:val="-1"/>
        </w:rPr>
        <w:t>ė</w:t>
      </w:r>
      <w:r>
        <w:rPr>
          <w:color w:val="000000"/>
        </w:rPr>
        <w:t>s</w:t>
      </w:r>
      <w:r>
        <w:rPr>
          <w:color w:val="000000"/>
          <w:spacing w:val="5"/>
        </w:rPr>
        <w:t xml:space="preserve"> </w:t>
      </w:r>
      <w:r>
        <w:rPr>
          <w:color w:val="000000"/>
          <w:spacing w:val="-9"/>
        </w:rPr>
        <w:t>i</w:t>
      </w:r>
      <w:r>
        <w:rPr>
          <w:color w:val="000000"/>
        </w:rPr>
        <w:t>r</w:t>
      </w:r>
      <w:r>
        <w:rPr>
          <w:color w:val="000000"/>
          <w:spacing w:val="8"/>
        </w:rPr>
        <w:t xml:space="preserve"> </w:t>
      </w:r>
      <w:r>
        <w:rPr>
          <w:color w:val="000000"/>
          <w:spacing w:val="-4"/>
        </w:rPr>
        <w:t>i</w:t>
      </w:r>
      <w:r>
        <w:rPr>
          <w:color w:val="000000"/>
          <w:spacing w:val="-5"/>
        </w:rPr>
        <w:t>n</w:t>
      </w:r>
      <w:r>
        <w:rPr>
          <w:color w:val="000000"/>
          <w:spacing w:val="5"/>
        </w:rPr>
        <w:t>t</w:t>
      </w:r>
      <w:r>
        <w:rPr>
          <w:color w:val="000000"/>
          <w:spacing w:val="-1"/>
        </w:rPr>
        <w:t>e</w:t>
      </w:r>
      <w:r>
        <w:rPr>
          <w:color w:val="000000"/>
          <w:spacing w:val="1"/>
        </w:rPr>
        <w:t>r</w:t>
      </w:r>
      <w:r>
        <w:rPr>
          <w:color w:val="000000"/>
        </w:rPr>
        <w:t>n</w:t>
      </w:r>
      <w:r>
        <w:rPr>
          <w:color w:val="000000"/>
          <w:spacing w:val="-1"/>
        </w:rPr>
        <w:t>e</w:t>
      </w:r>
      <w:r>
        <w:rPr>
          <w:color w:val="000000"/>
          <w:spacing w:val="5"/>
        </w:rPr>
        <w:t>t</w:t>
      </w:r>
      <w:r>
        <w:rPr>
          <w:color w:val="000000"/>
          <w:spacing w:val="-4"/>
        </w:rPr>
        <w:t>i</w:t>
      </w:r>
      <w:r>
        <w:rPr>
          <w:color w:val="000000"/>
        </w:rPr>
        <w:t>nė p</w:t>
      </w:r>
      <w:r>
        <w:rPr>
          <w:color w:val="000000"/>
          <w:spacing w:val="-1"/>
        </w:rPr>
        <w:t>a</w:t>
      </w:r>
      <w:r>
        <w:rPr>
          <w:color w:val="000000"/>
          <w:spacing w:val="1"/>
        </w:rPr>
        <w:t>r</w:t>
      </w:r>
      <w:r>
        <w:rPr>
          <w:color w:val="000000"/>
        </w:rPr>
        <w:t>duo</w:t>
      </w:r>
      <w:r>
        <w:rPr>
          <w:color w:val="000000"/>
          <w:spacing w:val="5"/>
        </w:rPr>
        <w:t>t</w:t>
      </w:r>
      <w:r>
        <w:rPr>
          <w:color w:val="000000"/>
        </w:rPr>
        <w:t>u</w:t>
      </w:r>
      <w:r>
        <w:rPr>
          <w:color w:val="000000"/>
          <w:spacing w:val="-5"/>
        </w:rPr>
        <w:t>v</w:t>
      </w:r>
      <w:r>
        <w:rPr>
          <w:color w:val="000000"/>
        </w:rPr>
        <w:t>ė</w:t>
      </w:r>
      <w:r>
        <w:rPr>
          <w:color w:val="000000"/>
          <w:spacing w:val="44"/>
        </w:rPr>
        <w:t xml:space="preserve"> </w:t>
      </w:r>
      <w:r>
        <w:rPr>
          <w:color w:val="000000"/>
          <w:spacing w:val="-5"/>
        </w:rPr>
        <w:t>n</w:t>
      </w:r>
      <w:r>
        <w:rPr>
          <w:color w:val="000000"/>
          <w:spacing w:val="-1"/>
        </w:rPr>
        <w:t>e</w:t>
      </w:r>
      <w:r>
        <w:rPr>
          <w:color w:val="000000"/>
        </w:rPr>
        <w:t>p</w:t>
      </w:r>
      <w:r>
        <w:rPr>
          <w:color w:val="000000"/>
          <w:spacing w:val="6"/>
        </w:rPr>
        <w:t>r</w:t>
      </w:r>
      <w:r>
        <w:rPr>
          <w:color w:val="000000"/>
          <w:spacing w:val="-4"/>
        </w:rPr>
        <w:t>i</w:t>
      </w:r>
      <w:r>
        <w:rPr>
          <w:color w:val="000000"/>
          <w:spacing w:val="2"/>
        </w:rPr>
        <w:t>s</w:t>
      </w:r>
      <w:r>
        <w:rPr>
          <w:color w:val="000000"/>
        </w:rPr>
        <w:t>i</w:t>
      </w:r>
      <w:r>
        <w:rPr>
          <w:color w:val="000000"/>
          <w:spacing w:val="1"/>
        </w:rPr>
        <w:t>i</w:t>
      </w:r>
      <w:r>
        <w:rPr>
          <w:color w:val="000000"/>
          <w:spacing w:val="-4"/>
        </w:rPr>
        <w:t>m</w:t>
      </w:r>
      <w:r>
        <w:rPr>
          <w:color w:val="000000"/>
        </w:rPr>
        <w:t>a</w:t>
      </w:r>
      <w:r>
        <w:rPr>
          <w:color w:val="000000"/>
          <w:spacing w:val="49"/>
        </w:rPr>
        <w:t xml:space="preserve"> </w:t>
      </w:r>
      <w:r>
        <w:rPr>
          <w:color w:val="000000"/>
          <w:spacing w:val="-1"/>
        </w:rPr>
        <w:t>a</w:t>
      </w:r>
      <w:r>
        <w:rPr>
          <w:color w:val="000000"/>
          <w:spacing w:val="5"/>
        </w:rPr>
        <w:t>t</w:t>
      </w:r>
      <w:r>
        <w:rPr>
          <w:color w:val="000000"/>
          <w:spacing w:val="-2"/>
        </w:rPr>
        <w:t>s</w:t>
      </w:r>
      <w:r>
        <w:rPr>
          <w:color w:val="000000"/>
          <w:spacing w:val="-1"/>
        </w:rPr>
        <w:t>a</w:t>
      </w:r>
      <w:r>
        <w:rPr>
          <w:color w:val="000000"/>
        </w:rPr>
        <w:t>k</w:t>
      </w:r>
      <w:r>
        <w:rPr>
          <w:color w:val="000000"/>
          <w:spacing w:val="5"/>
        </w:rPr>
        <w:t>o</w:t>
      </w:r>
      <w:r>
        <w:rPr>
          <w:color w:val="000000"/>
          <w:spacing w:val="-4"/>
        </w:rPr>
        <w:t>m</w:t>
      </w:r>
      <w:r>
        <w:rPr>
          <w:color w:val="000000"/>
          <w:spacing w:val="-5"/>
        </w:rPr>
        <w:t>y</w:t>
      </w:r>
      <w:r>
        <w:rPr>
          <w:color w:val="000000"/>
        </w:rPr>
        <w:t>b</w:t>
      </w:r>
      <w:r>
        <w:rPr>
          <w:color w:val="000000"/>
          <w:spacing w:val="4"/>
        </w:rPr>
        <w:t>ė</w:t>
      </w:r>
      <w:r>
        <w:rPr>
          <w:color w:val="000000"/>
        </w:rPr>
        <w:t>s</w:t>
      </w:r>
      <w:r>
        <w:rPr>
          <w:color w:val="000000"/>
          <w:spacing w:val="43"/>
        </w:rPr>
        <w:t xml:space="preserve"> </w:t>
      </w:r>
      <w:r>
        <w:rPr>
          <w:color w:val="000000"/>
        </w:rPr>
        <w:t>už</w:t>
      </w:r>
      <w:r>
        <w:rPr>
          <w:color w:val="000000"/>
          <w:spacing w:val="44"/>
        </w:rPr>
        <w:t xml:space="preserve"> </w:t>
      </w:r>
      <w:r>
        <w:rPr>
          <w:color w:val="000000"/>
        </w:rPr>
        <w:t>u</w:t>
      </w:r>
      <w:r>
        <w:rPr>
          <w:color w:val="000000"/>
          <w:spacing w:val="4"/>
        </w:rPr>
        <w:t>ž</w:t>
      </w:r>
      <w:r>
        <w:rPr>
          <w:color w:val="000000"/>
          <w:spacing w:val="-2"/>
        </w:rPr>
        <w:t>s</w:t>
      </w:r>
      <w:r>
        <w:rPr>
          <w:color w:val="000000"/>
          <w:spacing w:val="-1"/>
        </w:rPr>
        <w:t>a</w:t>
      </w:r>
      <w:r>
        <w:rPr>
          <w:color w:val="000000"/>
          <w:spacing w:val="5"/>
        </w:rPr>
        <w:t>k</w:t>
      </w:r>
      <w:r>
        <w:rPr>
          <w:color w:val="000000"/>
        </w:rPr>
        <w:t>ymus</w:t>
      </w:r>
      <w:r>
        <w:rPr>
          <w:color w:val="000000"/>
          <w:spacing w:val="48"/>
        </w:rPr>
        <w:t xml:space="preserve"> </w:t>
      </w:r>
      <w:r>
        <w:rPr>
          <w:color w:val="000000"/>
          <w:spacing w:val="-4"/>
        </w:rPr>
        <w:t>i</w:t>
      </w:r>
      <w:r>
        <w:rPr>
          <w:color w:val="000000"/>
        </w:rPr>
        <w:t>š</w:t>
      </w:r>
      <w:r>
        <w:rPr>
          <w:color w:val="000000"/>
          <w:spacing w:val="48"/>
        </w:rPr>
        <w:t xml:space="preserve"> </w:t>
      </w:r>
      <w:r>
        <w:rPr>
          <w:color w:val="000000"/>
          <w:spacing w:val="-2"/>
        </w:rPr>
        <w:t>š</w:t>
      </w:r>
      <w:r>
        <w:rPr>
          <w:color w:val="000000"/>
          <w:spacing w:val="4"/>
        </w:rPr>
        <w:t>a</w:t>
      </w:r>
      <w:r>
        <w:rPr>
          <w:color w:val="000000"/>
        </w:rPr>
        <w:t>l</w:t>
      </w:r>
      <w:r>
        <w:rPr>
          <w:color w:val="000000"/>
          <w:spacing w:val="-4"/>
        </w:rPr>
        <w:t>i</w:t>
      </w:r>
      <w:r>
        <w:rPr>
          <w:color w:val="000000"/>
        </w:rPr>
        <w:t>ų,</w:t>
      </w:r>
      <w:r>
        <w:rPr>
          <w:color w:val="000000"/>
          <w:spacing w:val="48"/>
        </w:rPr>
        <w:t xml:space="preserve"> </w:t>
      </w:r>
      <w:r>
        <w:rPr>
          <w:color w:val="000000"/>
        </w:rPr>
        <w:t>ku</w:t>
      </w:r>
      <w:r>
        <w:rPr>
          <w:color w:val="000000"/>
          <w:spacing w:val="6"/>
        </w:rPr>
        <w:t>r</w:t>
      </w:r>
      <w:r>
        <w:rPr>
          <w:color w:val="000000"/>
          <w:spacing w:val="-9"/>
        </w:rPr>
        <w:t>i</w:t>
      </w:r>
      <w:r>
        <w:rPr>
          <w:color w:val="000000"/>
          <w:spacing w:val="5"/>
        </w:rPr>
        <w:t>o</w:t>
      </w:r>
      <w:r>
        <w:rPr>
          <w:color w:val="000000"/>
          <w:spacing w:val="-2"/>
        </w:rPr>
        <w:t>s</w:t>
      </w:r>
      <w:r>
        <w:rPr>
          <w:color w:val="000000"/>
        </w:rPr>
        <w:t>e</w:t>
      </w:r>
      <w:r>
        <w:rPr>
          <w:color w:val="000000"/>
          <w:spacing w:val="44"/>
        </w:rPr>
        <w:t xml:space="preserve"> </w:t>
      </w:r>
      <w:r>
        <w:rPr>
          <w:color w:val="000000"/>
          <w:spacing w:val="2"/>
        </w:rPr>
        <w:t>š</w:t>
      </w:r>
      <w:r>
        <w:rPr>
          <w:color w:val="000000"/>
        </w:rPr>
        <w:t>i</w:t>
      </w:r>
      <w:r>
        <w:rPr>
          <w:color w:val="000000"/>
          <w:spacing w:val="46"/>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ga</w:t>
      </w:r>
      <w:r>
        <w:rPr>
          <w:color w:val="000000"/>
          <w:spacing w:val="44"/>
        </w:rPr>
        <w:t xml:space="preserve"> </w:t>
      </w:r>
      <w:r>
        <w:rPr>
          <w:color w:val="000000"/>
        </w:rPr>
        <w:t>d</w:t>
      </w:r>
      <w:r>
        <w:rPr>
          <w:color w:val="000000"/>
          <w:spacing w:val="1"/>
        </w:rPr>
        <w:t>r</w:t>
      </w:r>
      <w:r>
        <w:rPr>
          <w:color w:val="000000"/>
          <w:spacing w:val="-1"/>
        </w:rPr>
        <w:t>a</w:t>
      </w:r>
      <w:r>
        <w:rPr>
          <w:color w:val="000000"/>
        </w:rPr>
        <w:t>ud</w:t>
      </w:r>
      <w:r>
        <w:rPr>
          <w:color w:val="000000"/>
          <w:spacing w:val="4"/>
        </w:rPr>
        <w:t>ž</w:t>
      </w:r>
      <w:r>
        <w:rPr>
          <w:color w:val="000000"/>
          <w:spacing w:val="-4"/>
        </w:rPr>
        <w:t>i</w:t>
      </w:r>
      <w:r>
        <w:rPr>
          <w:color w:val="000000"/>
          <w:spacing w:val="4"/>
        </w:rPr>
        <w:t>a</w:t>
      </w:r>
      <w:r>
        <w:rPr>
          <w:color w:val="000000"/>
          <w:spacing w:val="-4"/>
        </w:rPr>
        <w:t>m</w:t>
      </w:r>
      <w:r>
        <w:rPr>
          <w:color w:val="000000"/>
          <w:spacing w:val="-1"/>
        </w:rPr>
        <w:t>a</w:t>
      </w:r>
      <w:r>
        <w:rPr>
          <w:color w:val="000000"/>
        </w:rPr>
        <w:t>.</w:t>
      </w:r>
      <w:r>
        <w:rPr>
          <w:color w:val="000000"/>
          <w:spacing w:val="48"/>
        </w:rPr>
        <w:t xml:space="preserve"> </w:t>
      </w:r>
      <w:r>
        <w:rPr>
          <w:color w:val="000000"/>
          <w:spacing w:val="10"/>
        </w:rPr>
        <w:t>Š</w:t>
      </w:r>
      <w:r>
        <w:rPr>
          <w:color w:val="000000"/>
        </w:rPr>
        <w:t>i</w:t>
      </w:r>
    </w:p>
    <w:p w:rsidR="004F7425" w:rsidRDefault="004F7425" w:rsidP="004F7425">
      <w:pPr>
        <w:widowControl w:val="0"/>
        <w:autoSpaceDE w:val="0"/>
        <w:autoSpaceDN w:val="0"/>
        <w:adjustRightInd w:val="0"/>
        <w:spacing w:line="275" w:lineRule="auto"/>
        <w:ind w:left="120" w:right="68"/>
        <w:jc w:val="both"/>
        <w:rPr>
          <w:color w:val="000000"/>
        </w:rPr>
        <w:sectPr w:rsidR="004F7425">
          <w:pgSz w:w="11920" w:h="16840"/>
          <w:pgMar w:top="960" w:right="440" w:bottom="280" w:left="1580" w:header="734" w:footer="0" w:gutter="0"/>
          <w:cols w:space="1296"/>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ind w:left="120" w:right="122"/>
        <w:jc w:val="both"/>
        <w:rPr>
          <w:color w:val="000000"/>
        </w:rPr>
      </w:pP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spacing w:val="5"/>
        </w:rPr>
        <w:t>g</w:t>
      </w:r>
      <w:r>
        <w:rPr>
          <w:color w:val="000000"/>
        </w:rPr>
        <w:t>a</w:t>
      </w:r>
      <w:r>
        <w:rPr>
          <w:color w:val="000000"/>
          <w:spacing w:val="2"/>
        </w:rPr>
        <w:t xml:space="preserve"> </w:t>
      </w:r>
      <w:r>
        <w:rPr>
          <w:color w:val="000000"/>
          <w:spacing w:val="1"/>
        </w:rPr>
        <w:t>(</w:t>
      </w:r>
      <w:r>
        <w:rPr>
          <w:color w:val="000000"/>
        </w:rPr>
        <w:t>k</w:t>
      </w:r>
      <w:r>
        <w:rPr>
          <w:color w:val="000000"/>
          <w:spacing w:val="5"/>
        </w:rPr>
        <w:t>o</w:t>
      </w:r>
      <w:r>
        <w:rPr>
          <w:color w:val="000000"/>
        </w:rPr>
        <w:t>l</w:t>
      </w:r>
      <w:r>
        <w:rPr>
          <w:color w:val="000000"/>
          <w:spacing w:val="-2"/>
        </w:rPr>
        <w:t xml:space="preserve"> </w:t>
      </w:r>
      <w:r>
        <w:rPr>
          <w:color w:val="000000"/>
        </w:rPr>
        <w:t>k</w:t>
      </w:r>
      <w:r>
        <w:rPr>
          <w:color w:val="000000"/>
          <w:spacing w:val="-1"/>
        </w:rPr>
        <w:t>a</w:t>
      </w:r>
      <w:r>
        <w:rPr>
          <w:color w:val="000000"/>
        </w:rPr>
        <w:t>s</w:t>
      </w:r>
      <w:r>
        <w:rPr>
          <w:color w:val="000000"/>
          <w:spacing w:val="9"/>
        </w:rPr>
        <w:t xml:space="preserve"> </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4"/>
        </w:rPr>
        <w:t>i</w:t>
      </w:r>
      <w:r>
        <w:rPr>
          <w:color w:val="000000"/>
        </w:rPr>
        <w:t>)</w:t>
      </w:r>
      <w:r>
        <w:rPr>
          <w:color w:val="000000"/>
          <w:spacing w:val="8"/>
        </w:rPr>
        <w:t xml:space="preserve"> </w:t>
      </w:r>
      <w:r>
        <w:rPr>
          <w:color w:val="000000"/>
          <w:spacing w:val="-4"/>
        </w:rPr>
        <w:t>i</w:t>
      </w:r>
      <w:r>
        <w:rPr>
          <w:color w:val="000000"/>
          <w:spacing w:val="-2"/>
        </w:rPr>
        <w:t>š</w:t>
      </w:r>
      <w:r>
        <w:rPr>
          <w:color w:val="000000"/>
        </w:rPr>
        <w:t>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1"/>
        </w:rPr>
        <w:t>r</w:t>
      </w:r>
      <w:r>
        <w:rPr>
          <w:color w:val="000000"/>
          <w:spacing w:val="4"/>
        </w:rPr>
        <w:t>ė</w:t>
      </w:r>
      <w:r>
        <w:rPr>
          <w:color w:val="000000"/>
          <w:spacing w:val="-4"/>
        </w:rPr>
        <w:t>j</w:t>
      </w:r>
      <w:r>
        <w:rPr>
          <w:color w:val="000000"/>
        </w:rPr>
        <w:t>u</w:t>
      </w:r>
      <w:r>
        <w:rPr>
          <w:color w:val="000000"/>
          <w:spacing w:val="2"/>
        </w:rPr>
        <w:t>s</w:t>
      </w:r>
      <w:r>
        <w:rPr>
          <w:color w:val="000000"/>
        </w:rPr>
        <w:t>i</w:t>
      </w:r>
      <w:r>
        <w:rPr>
          <w:color w:val="000000"/>
          <w:spacing w:val="3"/>
        </w:rPr>
        <w:t xml:space="preserve"> </w:t>
      </w:r>
      <w:r>
        <w:rPr>
          <w:color w:val="000000"/>
          <w:spacing w:val="-2"/>
        </w:rPr>
        <w:t>J</w:t>
      </w:r>
      <w:r>
        <w:rPr>
          <w:color w:val="000000"/>
          <w:spacing w:val="5"/>
        </w:rPr>
        <w:t>u</w:t>
      </w:r>
      <w:r>
        <w:rPr>
          <w:color w:val="000000"/>
          <w:spacing w:val="-5"/>
        </w:rPr>
        <w:t>n</w:t>
      </w:r>
      <w:r>
        <w:rPr>
          <w:color w:val="000000"/>
        </w:rPr>
        <w:t>g</w:t>
      </w:r>
      <w:r>
        <w:rPr>
          <w:color w:val="000000"/>
          <w:spacing w:val="10"/>
        </w:rPr>
        <w:t>t</w:t>
      </w:r>
      <w:r>
        <w:rPr>
          <w:color w:val="000000"/>
          <w:spacing w:val="-4"/>
        </w:rPr>
        <w:t>i</w:t>
      </w:r>
      <w:r>
        <w:rPr>
          <w:color w:val="000000"/>
          <w:spacing w:val="-5"/>
        </w:rPr>
        <w:t>n</w:t>
      </w:r>
      <w:r>
        <w:rPr>
          <w:color w:val="000000"/>
          <w:spacing w:val="4"/>
        </w:rPr>
        <w:t>ė</w:t>
      </w:r>
      <w:r>
        <w:rPr>
          <w:color w:val="000000"/>
        </w:rPr>
        <w:t>je</w:t>
      </w:r>
      <w:r>
        <w:rPr>
          <w:color w:val="000000"/>
          <w:spacing w:val="6"/>
        </w:rPr>
        <w:t xml:space="preserve"> </w:t>
      </w:r>
      <w:r>
        <w:rPr>
          <w:color w:val="000000"/>
          <w:spacing w:val="-5"/>
        </w:rPr>
        <w:t>K</w:t>
      </w:r>
      <w:r>
        <w:rPr>
          <w:color w:val="000000"/>
          <w:spacing w:val="-1"/>
        </w:rPr>
        <w:t>a</w:t>
      </w:r>
      <w:r>
        <w:rPr>
          <w:color w:val="000000"/>
          <w:spacing w:val="1"/>
        </w:rPr>
        <w:t>r</w:t>
      </w:r>
      <w:r>
        <w:rPr>
          <w:color w:val="000000"/>
          <w:spacing w:val="4"/>
        </w:rPr>
        <w:t>a</w:t>
      </w:r>
      <w:r>
        <w:rPr>
          <w:color w:val="000000"/>
        </w:rPr>
        <w:t>l</w:t>
      </w:r>
      <w:r>
        <w:rPr>
          <w:color w:val="000000"/>
          <w:spacing w:val="-4"/>
        </w:rPr>
        <w:t>y</w:t>
      </w:r>
      <w:r>
        <w:rPr>
          <w:color w:val="000000"/>
          <w:spacing w:val="-2"/>
        </w:rPr>
        <w:t>s</w:t>
      </w:r>
      <w:r>
        <w:rPr>
          <w:color w:val="000000"/>
          <w:spacing w:val="5"/>
        </w:rPr>
        <w:t>t</w:t>
      </w:r>
      <w:r>
        <w:rPr>
          <w:color w:val="000000"/>
          <w:spacing w:val="4"/>
        </w:rPr>
        <w:t>ė</w:t>
      </w:r>
      <w:r>
        <w:rPr>
          <w:color w:val="000000"/>
          <w:spacing w:val="-9"/>
        </w:rPr>
        <w:t>j</w:t>
      </w:r>
      <w:r>
        <w:rPr>
          <w:color w:val="000000"/>
          <w:spacing w:val="-1"/>
        </w:rPr>
        <w:t>e</w:t>
      </w:r>
      <w:r>
        <w:rPr>
          <w:color w:val="000000"/>
        </w:rPr>
        <w:t>.</w:t>
      </w:r>
      <w:r>
        <w:rPr>
          <w:color w:val="000000"/>
          <w:spacing w:val="17"/>
        </w:rPr>
        <w:t xml:space="preserve"> </w:t>
      </w:r>
      <w:r>
        <w:rPr>
          <w:color w:val="000000"/>
          <w:spacing w:val="-5"/>
        </w:rPr>
        <w:t>A</w:t>
      </w:r>
      <w:r>
        <w:rPr>
          <w:color w:val="000000"/>
          <w:spacing w:val="5"/>
        </w:rPr>
        <w:t>t</w:t>
      </w:r>
      <w:r>
        <w:rPr>
          <w:color w:val="000000"/>
          <w:spacing w:val="1"/>
        </w:rPr>
        <w:t>r</w:t>
      </w:r>
      <w:r>
        <w:rPr>
          <w:color w:val="000000"/>
          <w:spacing w:val="5"/>
        </w:rPr>
        <w:t>o</w:t>
      </w:r>
      <w:r>
        <w:rPr>
          <w:color w:val="000000"/>
          <w:spacing w:val="-5"/>
        </w:rPr>
        <w:t>d</w:t>
      </w:r>
      <w:r>
        <w:rPr>
          <w:color w:val="000000"/>
        </w:rPr>
        <w:t>o,</w:t>
      </w:r>
      <w:r>
        <w:rPr>
          <w:color w:val="000000"/>
          <w:spacing w:val="4"/>
        </w:rPr>
        <w:t xml:space="preserve"> </w:t>
      </w:r>
      <w:r>
        <w:rPr>
          <w:color w:val="000000"/>
        </w:rPr>
        <w:t>k</w:t>
      </w:r>
      <w:r>
        <w:rPr>
          <w:color w:val="000000"/>
          <w:spacing w:val="-1"/>
        </w:rPr>
        <w:t>a</w:t>
      </w:r>
      <w:r>
        <w:rPr>
          <w:color w:val="000000"/>
        </w:rPr>
        <w:t>d</w:t>
      </w:r>
      <w:r>
        <w:rPr>
          <w:color w:val="000000"/>
          <w:spacing w:val="2"/>
        </w:rPr>
        <w:t xml:space="preserve"> š</w:t>
      </w:r>
      <w:r>
        <w:rPr>
          <w:color w:val="000000"/>
          <w:spacing w:val="-4"/>
        </w:rPr>
        <w:t>i</w:t>
      </w:r>
      <w:r>
        <w:rPr>
          <w:color w:val="000000"/>
        </w:rPr>
        <w:t>s</w:t>
      </w:r>
      <w:r>
        <w:rPr>
          <w:color w:val="000000"/>
          <w:spacing w:val="8"/>
        </w:rPr>
        <w:t xml:space="preserve"> </w:t>
      </w:r>
      <w:r>
        <w:rPr>
          <w:color w:val="000000"/>
          <w:spacing w:val="-2"/>
        </w:rPr>
        <w:t>s</w:t>
      </w:r>
      <w:r>
        <w:rPr>
          <w:color w:val="000000"/>
          <w:spacing w:val="10"/>
        </w:rPr>
        <w:t>t</w:t>
      </w:r>
      <w:r>
        <w:rPr>
          <w:color w:val="000000"/>
          <w:spacing w:val="-4"/>
        </w:rPr>
        <w:t>i</w:t>
      </w:r>
      <w:r>
        <w:rPr>
          <w:color w:val="000000"/>
          <w:spacing w:val="-9"/>
        </w:rPr>
        <w:t>m</w:t>
      </w:r>
      <w:r>
        <w:rPr>
          <w:color w:val="000000"/>
          <w:spacing w:val="5"/>
        </w:rPr>
        <w:t>u</w:t>
      </w:r>
      <w:r>
        <w:rPr>
          <w:color w:val="000000"/>
        </w:rPr>
        <w:t>l</w:t>
      </w:r>
      <w:r>
        <w:rPr>
          <w:color w:val="000000"/>
          <w:spacing w:val="-4"/>
        </w:rPr>
        <w:t>i</w:t>
      </w:r>
      <w:r>
        <w:rPr>
          <w:color w:val="000000"/>
          <w:spacing w:val="4"/>
        </w:rPr>
        <w:t>a</w:t>
      </w:r>
      <w:r>
        <w:rPr>
          <w:color w:val="000000"/>
          <w:spacing w:val="-5"/>
        </w:rPr>
        <w:t>n</w:t>
      </w:r>
      <w:r>
        <w:rPr>
          <w:color w:val="000000"/>
          <w:spacing w:val="5"/>
        </w:rPr>
        <w:t>t</w:t>
      </w:r>
      <w:r>
        <w:rPr>
          <w:color w:val="000000"/>
          <w:spacing w:val="-1"/>
        </w:rPr>
        <w:t>a</w:t>
      </w:r>
      <w:r>
        <w:rPr>
          <w:color w:val="000000"/>
        </w:rPr>
        <w:t>s</w:t>
      </w:r>
      <w:r>
        <w:rPr>
          <w:color w:val="000000"/>
          <w:spacing w:val="5"/>
        </w:rPr>
        <w:t xml:space="preserve"> </w:t>
      </w:r>
      <w:r>
        <w:rPr>
          <w:color w:val="000000"/>
          <w:spacing w:val="-2"/>
        </w:rPr>
        <w:t>s</w:t>
      </w:r>
      <w:r>
        <w:rPr>
          <w:color w:val="000000"/>
        </w:rPr>
        <w:t>u</w:t>
      </w:r>
      <w:r>
        <w:rPr>
          <w:color w:val="000000"/>
          <w:spacing w:val="1"/>
        </w:rPr>
        <w:t>r</w:t>
      </w:r>
      <w:r>
        <w:rPr>
          <w:color w:val="000000"/>
          <w:spacing w:val="-1"/>
        </w:rPr>
        <w:t>a</w:t>
      </w:r>
      <w:r>
        <w:rPr>
          <w:color w:val="000000"/>
        </w:rPr>
        <w:t xml:space="preserve">do </w:t>
      </w:r>
      <w:r>
        <w:rPr>
          <w:color w:val="000000"/>
          <w:spacing w:val="-2"/>
        </w:rPr>
        <w:t>s</w:t>
      </w:r>
      <w:r>
        <w:rPr>
          <w:color w:val="000000"/>
          <w:spacing w:val="4"/>
        </w:rPr>
        <w:t>a</w:t>
      </w:r>
      <w:r>
        <w:rPr>
          <w:color w:val="000000"/>
          <w:spacing w:val="-5"/>
        </w:rPr>
        <w:t>v</w:t>
      </w:r>
      <w:r>
        <w:rPr>
          <w:color w:val="000000"/>
        </w:rPr>
        <w:t>o</w:t>
      </w:r>
      <w:r>
        <w:rPr>
          <w:color w:val="000000"/>
          <w:spacing w:val="7"/>
        </w:rPr>
        <w:t xml:space="preserve"> </w:t>
      </w:r>
      <w:r>
        <w:rPr>
          <w:color w:val="000000"/>
        </w:rPr>
        <w:t>v</w:t>
      </w:r>
      <w:r>
        <w:rPr>
          <w:color w:val="000000"/>
          <w:spacing w:val="-9"/>
        </w:rPr>
        <w:t>i</w:t>
      </w:r>
      <w:r>
        <w:rPr>
          <w:color w:val="000000"/>
          <w:spacing w:val="-1"/>
        </w:rPr>
        <w:t>e</w:t>
      </w:r>
      <w:r>
        <w:rPr>
          <w:color w:val="000000"/>
          <w:spacing w:val="5"/>
        </w:rPr>
        <w:t>t</w:t>
      </w:r>
      <w:r>
        <w:rPr>
          <w:color w:val="000000"/>
        </w:rPr>
        <w:t>ą</w:t>
      </w:r>
      <w:r>
        <w:rPr>
          <w:color w:val="000000"/>
          <w:spacing w:val="1"/>
        </w:rPr>
        <w:t xml:space="preserve"> </w:t>
      </w:r>
      <w:r>
        <w:rPr>
          <w:color w:val="000000"/>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9"/>
        </w:rPr>
        <w:t>o</w:t>
      </w:r>
      <w:r>
        <w:rPr>
          <w:color w:val="000000"/>
          <w:spacing w:val="-4"/>
        </w:rPr>
        <w:t>j</w:t>
      </w:r>
      <w:r>
        <w:rPr>
          <w:color w:val="000000"/>
        </w:rPr>
        <w:t>e</w:t>
      </w:r>
      <w:r>
        <w:rPr>
          <w:color w:val="000000"/>
          <w:spacing w:val="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4"/>
        </w:rPr>
        <w:t>i</w:t>
      </w:r>
      <w:r>
        <w:rPr>
          <w:color w:val="000000"/>
        </w:rPr>
        <w:t>n</w:t>
      </w:r>
      <w:r>
        <w:rPr>
          <w:color w:val="000000"/>
          <w:spacing w:val="-4"/>
        </w:rPr>
        <w:t>i</w:t>
      </w:r>
      <w:r>
        <w:rPr>
          <w:color w:val="000000"/>
        </w:rPr>
        <w:t>ų</w:t>
      </w:r>
      <w:r>
        <w:rPr>
          <w:color w:val="000000"/>
          <w:spacing w:val="7"/>
        </w:rPr>
        <w:t xml:space="preserve"> </w:t>
      </w:r>
      <w:r>
        <w:rPr>
          <w:color w:val="000000"/>
          <w:spacing w:val="-9"/>
        </w:rPr>
        <w:t>i</w:t>
      </w:r>
      <w:r>
        <w:rPr>
          <w:color w:val="000000"/>
        </w:rPr>
        <w:t>r</w:t>
      </w:r>
      <w:r>
        <w:rPr>
          <w:color w:val="000000"/>
          <w:spacing w:val="4"/>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ot</w:t>
      </w:r>
      <w:r>
        <w:rPr>
          <w:color w:val="000000"/>
          <w:spacing w:val="-3"/>
        </w:rPr>
        <w:t>r</w:t>
      </w:r>
      <w:r>
        <w:rPr>
          <w:color w:val="000000"/>
          <w:spacing w:val="5"/>
        </w:rPr>
        <w:t>o</w:t>
      </w:r>
      <w:r>
        <w:rPr>
          <w:color w:val="000000"/>
        </w:rPr>
        <w:t>p</w:t>
      </w:r>
      <w:r>
        <w:rPr>
          <w:color w:val="000000"/>
          <w:spacing w:val="-4"/>
        </w:rPr>
        <w:t>i</w:t>
      </w:r>
      <w:r>
        <w:rPr>
          <w:color w:val="000000"/>
        </w:rPr>
        <w:t>nių</w:t>
      </w:r>
      <w:r>
        <w:rPr>
          <w:color w:val="000000"/>
          <w:spacing w:val="8"/>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spacing w:val="6"/>
        </w:rPr>
        <w:t>r</w:t>
      </w:r>
      <w:r>
        <w:rPr>
          <w:color w:val="000000"/>
          <w:spacing w:val="-4"/>
        </w:rPr>
        <w:t>i</w:t>
      </w:r>
      <w:r>
        <w:rPr>
          <w:color w:val="000000"/>
          <w:spacing w:val="-5"/>
        </w:rPr>
        <w:t>n</w:t>
      </w:r>
      <w:r>
        <w:rPr>
          <w:color w:val="000000"/>
        </w:rPr>
        <w:t>k</w:t>
      </w:r>
      <w:r>
        <w:rPr>
          <w:color w:val="000000"/>
          <w:spacing w:val="9"/>
        </w:rPr>
        <w:t>o</w:t>
      </w:r>
      <w:r>
        <w:rPr>
          <w:color w:val="000000"/>
          <w:spacing w:val="-9"/>
        </w:rPr>
        <w:t>j</w:t>
      </w:r>
      <w:r>
        <w:rPr>
          <w:color w:val="000000"/>
        </w:rPr>
        <w:t>e</w:t>
      </w:r>
      <w:r>
        <w:rPr>
          <w:color w:val="000000"/>
          <w:spacing w:val="6"/>
        </w:rPr>
        <w:t xml:space="preserve"> </w:t>
      </w:r>
      <w:r>
        <w:rPr>
          <w:color w:val="000000"/>
          <w:spacing w:val="-4"/>
        </w:rPr>
        <w:t>i</w:t>
      </w:r>
      <w:r>
        <w:rPr>
          <w:color w:val="000000"/>
        </w:rPr>
        <w:t>r</w:t>
      </w:r>
      <w:r>
        <w:rPr>
          <w:color w:val="000000"/>
          <w:spacing w:val="9"/>
        </w:rPr>
        <w:t xml:space="preserve"> </w:t>
      </w:r>
      <w:r>
        <w:rPr>
          <w:color w:val="000000"/>
          <w:spacing w:val="-10"/>
        </w:rPr>
        <w:t>y</w:t>
      </w:r>
      <w:r>
        <w:rPr>
          <w:color w:val="000000"/>
          <w:spacing w:val="1"/>
        </w:rPr>
        <w:t>r</w:t>
      </w:r>
      <w:r>
        <w:rPr>
          <w:color w:val="000000"/>
        </w:rPr>
        <w:t>a</w:t>
      </w:r>
      <w:r>
        <w:rPr>
          <w:color w:val="000000"/>
          <w:spacing w:val="1"/>
        </w:rPr>
        <w:t xml:space="preserve"> </w:t>
      </w:r>
      <w:r>
        <w:rPr>
          <w:color w:val="000000"/>
        </w:rPr>
        <w:t>g</w:t>
      </w:r>
      <w:r>
        <w:rPr>
          <w:color w:val="000000"/>
          <w:spacing w:val="4"/>
        </w:rPr>
        <w:t>a</w:t>
      </w:r>
      <w:r>
        <w:rPr>
          <w:color w:val="000000"/>
        </w:rPr>
        <w:t>na</w:t>
      </w:r>
      <w:r>
        <w:rPr>
          <w:color w:val="000000"/>
          <w:spacing w:val="1"/>
        </w:rPr>
        <w:t xml:space="preserve"> </w:t>
      </w:r>
      <w:r>
        <w:rPr>
          <w:color w:val="000000"/>
        </w:rPr>
        <w:t>p</w:t>
      </w:r>
      <w:r>
        <w:rPr>
          <w:color w:val="000000"/>
          <w:spacing w:val="5"/>
        </w:rPr>
        <w:t>o</w:t>
      </w:r>
      <w:r>
        <w:rPr>
          <w:color w:val="000000"/>
        </w:rPr>
        <w:t>pu</w:t>
      </w:r>
      <w:r>
        <w:rPr>
          <w:color w:val="000000"/>
          <w:spacing w:val="-4"/>
        </w:rPr>
        <w:t>li</w:t>
      </w:r>
      <w:r>
        <w:rPr>
          <w:color w:val="000000"/>
          <w:spacing w:val="-1"/>
        </w:rPr>
        <w:t>a</w:t>
      </w:r>
      <w:r>
        <w:rPr>
          <w:color w:val="000000"/>
          <w:spacing w:val="1"/>
        </w:rPr>
        <w:t>r</w:t>
      </w:r>
      <w:r>
        <w:rPr>
          <w:color w:val="000000"/>
        </w:rPr>
        <w:t xml:space="preserve">us </w:t>
      </w:r>
      <w:r>
        <w:rPr>
          <w:color w:val="000000"/>
          <w:spacing w:val="5"/>
        </w:rPr>
        <w:t>t</w:t>
      </w:r>
      <w:r>
        <w:rPr>
          <w:color w:val="000000"/>
          <w:spacing w:val="-1"/>
        </w:rPr>
        <w:t>a</w:t>
      </w:r>
      <w:r>
        <w:rPr>
          <w:color w:val="000000"/>
          <w:spacing w:val="1"/>
        </w:rPr>
        <w:t>r</w:t>
      </w:r>
      <w:r>
        <w:rPr>
          <w:color w:val="000000"/>
        </w:rPr>
        <w:t xml:space="preserve">p </w:t>
      </w:r>
      <w:r>
        <w:rPr>
          <w:color w:val="000000"/>
          <w:spacing w:val="-5"/>
        </w:rPr>
        <w:t>v</w:t>
      </w:r>
      <w:r>
        <w:rPr>
          <w:color w:val="000000"/>
          <w:spacing w:val="-1"/>
        </w:rPr>
        <w:t>a</w:t>
      </w:r>
      <w:r>
        <w:rPr>
          <w:color w:val="000000"/>
          <w:spacing w:val="1"/>
        </w:rPr>
        <w:t>r</w:t>
      </w:r>
      <w:r>
        <w:rPr>
          <w:color w:val="000000"/>
          <w:spacing w:val="5"/>
        </w:rPr>
        <w:t>t</w:t>
      </w:r>
      <w:r>
        <w:rPr>
          <w:color w:val="000000"/>
        </w:rPr>
        <w:t>ot</w:t>
      </w:r>
      <w:r>
        <w:rPr>
          <w:color w:val="000000"/>
          <w:spacing w:val="5"/>
        </w:rPr>
        <w:t>o</w:t>
      </w:r>
      <w:r>
        <w:rPr>
          <w:color w:val="000000"/>
          <w:spacing w:val="-9"/>
        </w:rPr>
        <w:t>j</w:t>
      </w:r>
      <w:r>
        <w:rPr>
          <w:color w:val="000000"/>
        </w:rPr>
        <w:t>ų</w:t>
      </w:r>
      <w:r>
        <w:rPr>
          <w:color w:val="000000"/>
          <w:spacing w:val="8"/>
        </w:rPr>
        <w:t xml:space="preserve"> </w:t>
      </w:r>
      <w:r>
        <w:rPr>
          <w:color w:val="000000"/>
          <w:spacing w:val="-9"/>
        </w:rPr>
        <w:t>i</w:t>
      </w:r>
      <w:r>
        <w:rPr>
          <w:color w:val="000000"/>
        </w:rPr>
        <w:t>r</w:t>
      </w:r>
      <w:r>
        <w:rPr>
          <w:color w:val="000000"/>
          <w:spacing w:val="4"/>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spacing w:val="1"/>
        </w:rPr>
        <w:t>e</w:t>
      </w:r>
      <w:r>
        <w:rPr>
          <w:color w:val="000000"/>
        </w:rPr>
        <w:t>.</w:t>
      </w:r>
      <w:r>
        <w:rPr>
          <w:color w:val="000000"/>
          <w:spacing w:val="4"/>
        </w:rPr>
        <w:t xml:space="preserve"> </w:t>
      </w:r>
      <w:r>
        <w:rPr>
          <w:color w:val="000000"/>
          <w:spacing w:val="2"/>
        </w:rPr>
        <w:t>T</w:t>
      </w:r>
      <w:r>
        <w:rPr>
          <w:color w:val="000000"/>
          <w:spacing w:val="4"/>
        </w:rPr>
        <w:t>a</w:t>
      </w:r>
      <w:r>
        <w:rPr>
          <w:color w:val="000000"/>
        </w:rPr>
        <w:t>i</w:t>
      </w:r>
      <w:r>
        <w:rPr>
          <w:color w:val="000000"/>
          <w:spacing w:val="-2"/>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w:t>
      </w:r>
      <w:r>
        <w:rPr>
          <w:color w:val="000000"/>
          <w:spacing w:val="-1"/>
        </w:rPr>
        <w:t>a</w:t>
      </w:r>
      <w:r>
        <w:rPr>
          <w:color w:val="000000"/>
        </w:rPr>
        <w:t>,</w:t>
      </w:r>
      <w:r>
        <w:rPr>
          <w:color w:val="000000"/>
          <w:spacing w:val="4"/>
        </w:rPr>
        <w:t xml:space="preserve"> </w:t>
      </w:r>
      <w:r>
        <w:rPr>
          <w:color w:val="000000"/>
        </w:rPr>
        <w:t>ku</w:t>
      </w:r>
      <w:r>
        <w:rPr>
          <w:color w:val="000000"/>
          <w:spacing w:val="6"/>
        </w:rPr>
        <w:t>r</w:t>
      </w:r>
      <w:r>
        <w:rPr>
          <w:color w:val="000000"/>
          <w:spacing w:val="-9"/>
        </w:rPr>
        <w:t>i</w:t>
      </w:r>
      <w:r>
        <w:rPr>
          <w:color w:val="000000"/>
          <w:spacing w:val="5"/>
        </w:rPr>
        <w:t>o</w:t>
      </w:r>
      <w:r>
        <w:rPr>
          <w:color w:val="000000"/>
        </w:rPr>
        <w:t>s 2012</w:t>
      </w:r>
      <w:r>
        <w:rPr>
          <w:color w:val="000000"/>
          <w:spacing w:val="2"/>
        </w:rPr>
        <w:t xml:space="preserve"> </w:t>
      </w:r>
      <w:r>
        <w:rPr>
          <w:color w:val="000000"/>
          <w:spacing w:val="-9"/>
        </w:rPr>
        <w:t>m</w:t>
      </w:r>
      <w:r>
        <w:rPr>
          <w:color w:val="000000"/>
        </w:rPr>
        <w:t>.</w:t>
      </w:r>
      <w:r>
        <w:rPr>
          <w:color w:val="000000"/>
          <w:spacing w:val="9"/>
        </w:rPr>
        <w:t xml:space="preserve"> </w:t>
      </w:r>
      <w:r>
        <w:rPr>
          <w:color w:val="000000"/>
          <w:spacing w:val="-4"/>
        </w:rPr>
        <w:t>i</w:t>
      </w:r>
      <w:r>
        <w:rPr>
          <w:color w:val="000000"/>
          <w:spacing w:val="2"/>
        </w:rPr>
        <w:t>š</w:t>
      </w:r>
      <w:r>
        <w:rPr>
          <w:color w:val="000000"/>
          <w:spacing w:val="4"/>
        </w:rPr>
        <w:t>ė</w:t>
      </w:r>
      <w:r>
        <w:rPr>
          <w:color w:val="000000"/>
        </w:rPr>
        <w:t>m</w:t>
      </w:r>
      <w:r>
        <w:rPr>
          <w:color w:val="000000"/>
          <w:spacing w:val="1"/>
        </w:rPr>
        <w:t>i</w:t>
      </w:r>
      <w:r>
        <w:rPr>
          <w:color w:val="000000"/>
          <w:spacing w:val="-9"/>
        </w:rPr>
        <w:t>m</w:t>
      </w:r>
      <w:r>
        <w:rPr>
          <w:color w:val="000000"/>
        </w:rPr>
        <w:t>o</w:t>
      </w:r>
      <w:r>
        <w:rPr>
          <w:color w:val="000000"/>
          <w:spacing w:val="7"/>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2"/>
        </w:rPr>
        <w:t xml:space="preserve"> </w:t>
      </w:r>
      <w:r>
        <w:rPr>
          <w:color w:val="000000"/>
          <w:spacing w:val="-5"/>
        </w:rPr>
        <w:t>b</w:t>
      </w:r>
      <w:r>
        <w:rPr>
          <w:color w:val="000000"/>
          <w:spacing w:val="5"/>
        </w:rPr>
        <w:t>u</w:t>
      </w:r>
      <w:r>
        <w:rPr>
          <w:color w:val="000000"/>
          <w:spacing w:val="-5"/>
        </w:rPr>
        <w:t>v</w:t>
      </w:r>
      <w:r>
        <w:rPr>
          <w:color w:val="000000"/>
        </w:rPr>
        <w:t>o</w:t>
      </w:r>
      <w:r>
        <w:rPr>
          <w:color w:val="000000"/>
          <w:spacing w:val="12"/>
        </w:rPr>
        <w:t xml:space="preserve"> </w:t>
      </w:r>
      <w:r>
        <w:rPr>
          <w:color w:val="000000"/>
          <w:spacing w:val="-3"/>
        </w:rPr>
        <w:t>f</w:t>
      </w:r>
      <w:r>
        <w:rPr>
          <w:color w:val="000000"/>
          <w:spacing w:val="-4"/>
        </w:rPr>
        <w:t>i</w:t>
      </w:r>
      <w:r>
        <w:rPr>
          <w:color w:val="000000"/>
        </w:rPr>
        <w:t>k</w:t>
      </w:r>
      <w:r>
        <w:rPr>
          <w:color w:val="000000"/>
          <w:spacing w:val="-2"/>
        </w:rPr>
        <w:t>s</w:t>
      </w:r>
      <w:r>
        <w:rPr>
          <w:color w:val="000000"/>
        </w:rPr>
        <w:t>u</w:t>
      </w:r>
      <w:r>
        <w:rPr>
          <w:color w:val="000000"/>
          <w:spacing w:val="9"/>
        </w:rPr>
        <w:t>o</w:t>
      </w:r>
      <w:r>
        <w:rPr>
          <w:color w:val="000000"/>
          <w:spacing w:val="-9"/>
        </w:rPr>
        <w:t>j</w:t>
      </w:r>
      <w:r>
        <w:rPr>
          <w:color w:val="000000"/>
          <w:spacing w:val="4"/>
        </w:rPr>
        <w:t>a</w:t>
      </w:r>
      <w:r>
        <w:rPr>
          <w:color w:val="000000"/>
          <w:spacing w:val="-4"/>
        </w:rPr>
        <w:t>m</w:t>
      </w:r>
      <w:r>
        <w:rPr>
          <w:color w:val="000000"/>
        </w:rPr>
        <w:t>a</w:t>
      </w:r>
      <w:r>
        <w:rPr>
          <w:color w:val="000000"/>
          <w:spacing w:val="1"/>
        </w:rPr>
        <w:t xml:space="preserve"> </w:t>
      </w:r>
      <w:r>
        <w:rPr>
          <w:color w:val="000000"/>
          <w:spacing w:val="5"/>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3"/>
        </w:rPr>
        <w:t xml:space="preserve"> </w:t>
      </w:r>
      <w:r>
        <w:rPr>
          <w:color w:val="000000"/>
        </w:rPr>
        <w:t>iš v</w:t>
      </w:r>
      <w:r>
        <w:rPr>
          <w:color w:val="000000"/>
          <w:spacing w:val="-4"/>
        </w:rPr>
        <w:t>i</w:t>
      </w:r>
      <w:r>
        <w:rPr>
          <w:color w:val="000000"/>
          <w:spacing w:val="-2"/>
        </w:rPr>
        <w:t>s</w:t>
      </w:r>
      <w:r>
        <w:rPr>
          <w:color w:val="000000"/>
        </w:rPr>
        <w:t>ų</w:t>
      </w:r>
      <w:r>
        <w:rPr>
          <w:color w:val="000000"/>
          <w:spacing w:val="55"/>
        </w:rPr>
        <w:t xml:space="preserve"> </w:t>
      </w:r>
      <w:r>
        <w:rPr>
          <w:color w:val="000000"/>
          <w:spacing w:val="-4"/>
        </w:rPr>
        <w:t>i</w:t>
      </w:r>
      <w:r>
        <w:rPr>
          <w:color w:val="000000"/>
          <w:spacing w:val="2"/>
        </w:rPr>
        <w:t>š</w:t>
      </w:r>
      <w:r>
        <w:rPr>
          <w:color w:val="000000"/>
        </w:rPr>
        <w:t>i</w:t>
      </w:r>
      <w:r>
        <w:rPr>
          <w:color w:val="000000"/>
          <w:spacing w:val="-4"/>
        </w:rPr>
        <w:t>m</w:t>
      </w:r>
      <w:r>
        <w:rPr>
          <w:color w:val="000000"/>
          <w:spacing w:val="4"/>
        </w:rPr>
        <w:t>a</w:t>
      </w:r>
      <w:r>
        <w:rPr>
          <w:color w:val="000000"/>
          <w:spacing w:val="-4"/>
        </w:rPr>
        <w:t>m</w:t>
      </w:r>
      <w:r>
        <w:rPr>
          <w:color w:val="000000"/>
        </w:rPr>
        <w:t>ų</w:t>
      </w:r>
      <w:r>
        <w:rPr>
          <w:color w:val="000000"/>
          <w:spacing w:val="55"/>
        </w:rPr>
        <w:t xml:space="preserve"> </w:t>
      </w:r>
      <w:r>
        <w:rPr>
          <w:color w:val="000000"/>
        </w:rPr>
        <w:t>n</w:t>
      </w:r>
      <w:r>
        <w:rPr>
          <w:color w:val="000000"/>
          <w:spacing w:val="-1"/>
        </w:rPr>
        <w:t>a</w:t>
      </w:r>
      <w:r>
        <w:rPr>
          <w:color w:val="000000"/>
          <w:spacing w:val="5"/>
        </w:rPr>
        <w:t>u</w:t>
      </w:r>
      <w:r>
        <w:rPr>
          <w:color w:val="000000"/>
          <w:spacing w:val="-9"/>
        </w:rPr>
        <w:t>j</w:t>
      </w:r>
      <w:r>
        <w:rPr>
          <w:color w:val="000000"/>
        </w:rPr>
        <w:t>ų</w:t>
      </w:r>
      <w:r>
        <w:rPr>
          <w:color w:val="000000"/>
          <w:spacing w:val="55"/>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50"/>
        </w:rPr>
        <w:t xml:space="preserve"> </w:t>
      </w:r>
      <w:r>
        <w:rPr>
          <w:color w:val="000000"/>
          <w:spacing w:val="1"/>
        </w:rPr>
        <w:t>(</w:t>
      </w:r>
      <w:r>
        <w:rPr>
          <w:color w:val="000000"/>
        </w:rPr>
        <w:t>33</w:t>
      </w:r>
      <w:r>
        <w:rPr>
          <w:color w:val="000000"/>
          <w:spacing w:val="50"/>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spacing w:val="4"/>
        </w:rPr>
        <w:t>a</w:t>
      </w:r>
      <w:r>
        <w:rPr>
          <w:color w:val="000000"/>
          <w:spacing w:val="1"/>
        </w:rPr>
        <w:t>i)</w:t>
      </w:r>
      <w:r>
        <w:rPr>
          <w:color w:val="000000"/>
        </w:rPr>
        <w:t>.</w:t>
      </w:r>
      <w:r>
        <w:rPr>
          <w:color w:val="000000"/>
          <w:spacing w:val="57"/>
        </w:rPr>
        <w:t xml:space="preserve"> </w:t>
      </w:r>
      <w:r>
        <w:rPr>
          <w:color w:val="000000"/>
          <w:spacing w:val="-5"/>
        </w:rPr>
        <w:t>K</w:t>
      </w:r>
      <w:r>
        <w:rPr>
          <w:color w:val="000000"/>
          <w:spacing w:val="-1"/>
        </w:rPr>
        <w:t>a</w:t>
      </w:r>
      <w:r>
        <w:rPr>
          <w:color w:val="000000"/>
        </w:rPr>
        <w:t>d</w:t>
      </w:r>
      <w:r>
        <w:rPr>
          <w:color w:val="000000"/>
          <w:spacing w:val="55"/>
        </w:rPr>
        <w:t xml:space="preserve"> </w:t>
      </w:r>
      <w:r>
        <w:rPr>
          <w:color w:val="000000"/>
          <w:spacing w:val="2"/>
        </w:rPr>
        <w:t>4-</w:t>
      </w:r>
      <w:r>
        <w:rPr>
          <w:color w:val="000000"/>
          <w:spacing w:val="-2"/>
        </w:rPr>
        <w:t>M</w:t>
      </w:r>
      <w:r>
        <w:rPr>
          <w:color w:val="000000"/>
          <w:spacing w:val="2"/>
        </w:rPr>
        <w:t>E</w:t>
      </w:r>
      <w:r>
        <w:rPr>
          <w:color w:val="000000"/>
        </w:rPr>
        <w:t>C</w:t>
      </w:r>
      <w:r>
        <w:rPr>
          <w:color w:val="000000"/>
          <w:spacing w:val="53"/>
        </w:rPr>
        <w:t xml:space="preserve"> </w:t>
      </w:r>
      <w:r>
        <w:rPr>
          <w:color w:val="000000"/>
          <w:spacing w:val="-9"/>
        </w:rPr>
        <w:t>j</w:t>
      </w:r>
      <w:r>
        <w:rPr>
          <w:color w:val="000000"/>
          <w:spacing w:val="-1"/>
        </w:rPr>
        <w:t>a</w:t>
      </w:r>
      <w:r>
        <w:rPr>
          <w:color w:val="000000"/>
        </w:rPr>
        <w:t>u</w:t>
      </w:r>
      <w:r>
        <w:rPr>
          <w:color w:val="000000"/>
          <w:spacing w:val="50"/>
        </w:rPr>
        <w:t xml:space="preserve"> </w:t>
      </w:r>
      <w:r>
        <w:rPr>
          <w:color w:val="000000"/>
          <w:spacing w:val="5"/>
        </w:rPr>
        <w:t>t</w:t>
      </w:r>
      <w:r>
        <w:rPr>
          <w:color w:val="000000"/>
        </w:rPr>
        <w:t>u</w:t>
      </w:r>
      <w:r>
        <w:rPr>
          <w:color w:val="000000"/>
          <w:spacing w:val="1"/>
        </w:rPr>
        <w:t>r</w:t>
      </w:r>
      <w:r>
        <w:rPr>
          <w:color w:val="000000"/>
        </w:rPr>
        <w:t>i</w:t>
      </w:r>
      <w:r>
        <w:rPr>
          <w:color w:val="000000"/>
          <w:spacing w:val="46"/>
        </w:rPr>
        <w:t xml:space="preserve"> </w:t>
      </w:r>
      <w:r>
        <w:rPr>
          <w:color w:val="000000"/>
          <w:spacing w:val="-2"/>
        </w:rPr>
        <w:t>s</w:t>
      </w:r>
      <w:r>
        <w:rPr>
          <w:color w:val="000000"/>
          <w:spacing w:val="4"/>
        </w:rPr>
        <w:t>a</w:t>
      </w:r>
      <w:r>
        <w:rPr>
          <w:color w:val="000000"/>
          <w:spacing w:val="-5"/>
        </w:rPr>
        <w:t>v</w:t>
      </w:r>
      <w:r>
        <w:rPr>
          <w:color w:val="000000"/>
        </w:rPr>
        <w:t>o</w:t>
      </w:r>
      <w:r>
        <w:rPr>
          <w:color w:val="000000"/>
          <w:spacing w:val="55"/>
        </w:rPr>
        <w:t xml:space="preserve"> </w:t>
      </w:r>
      <w:r>
        <w:rPr>
          <w:color w:val="000000"/>
          <w:spacing w:val="-5"/>
        </w:rPr>
        <w:t>v</w:t>
      </w:r>
      <w:r>
        <w:rPr>
          <w:color w:val="000000"/>
          <w:spacing w:val="-1"/>
        </w:rPr>
        <w:t>a</w:t>
      </w:r>
      <w:r>
        <w:rPr>
          <w:color w:val="000000"/>
          <w:spacing w:val="1"/>
        </w:rPr>
        <w:t>r</w:t>
      </w:r>
      <w:r>
        <w:rPr>
          <w:color w:val="000000"/>
        </w:rPr>
        <w:t>to</w:t>
      </w:r>
      <w:r>
        <w:rPr>
          <w:color w:val="000000"/>
          <w:spacing w:val="1"/>
        </w:rPr>
        <w:t>t</w:t>
      </w:r>
      <w:r>
        <w:rPr>
          <w:color w:val="000000"/>
          <w:spacing w:val="5"/>
        </w:rPr>
        <w:t>o</w:t>
      </w:r>
      <w:r>
        <w:rPr>
          <w:color w:val="000000"/>
          <w:spacing w:val="-9"/>
        </w:rPr>
        <w:t>j</w:t>
      </w:r>
      <w:r>
        <w:rPr>
          <w:color w:val="000000"/>
        </w:rPr>
        <w:t>ų</w:t>
      </w:r>
      <w:r>
        <w:rPr>
          <w:color w:val="000000"/>
          <w:spacing w:val="50"/>
        </w:rPr>
        <w:t xml:space="preserve"> </w:t>
      </w:r>
      <w:r>
        <w:rPr>
          <w:color w:val="000000"/>
          <w:spacing w:val="6"/>
        </w:rPr>
        <w:t>r</w:t>
      </w:r>
      <w:r>
        <w:rPr>
          <w:color w:val="000000"/>
          <w:spacing w:val="-4"/>
        </w:rPr>
        <w:t>i</w:t>
      </w:r>
      <w:r>
        <w:rPr>
          <w:color w:val="000000"/>
        </w:rPr>
        <w:t>nką</w:t>
      </w:r>
      <w:r>
        <w:rPr>
          <w:color w:val="000000"/>
          <w:spacing w:val="54"/>
        </w:rPr>
        <w:t xml:space="preserve"> </w:t>
      </w:r>
      <w:r>
        <w:rPr>
          <w:color w:val="000000"/>
          <w:spacing w:val="-4"/>
        </w:rPr>
        <w:t>li</w:t>
      </w:r>
      <w:r>
        <w:rPr>
          <w:color w:val="000000"/>
        </w:rPr>
        <w:t>u</w:t>
      </w:r>
      <w:r>
        <w:rPr>
          <w:color w:val="000000"/>
          <w:spacing w:val="5"/>
        </w:rPr>
        <w:t>d</w:t>
      </w:r>
      <w:r>
        <w:rPr>
          <w:color w:val="000000"/>
        </w:rPr>
        <w:t>i</w:t>
      </w:r>
      <w:r>
        <w:rPr>
          <w:color w:val="000000"/>
          <w:spacing w:val="-4"/>
        </w:rPr>
        <w:t>j</w:t>
      </w:r>
      <w:r>
        <w:rPr>
          <w:color w:val="000000"/>
        </w:rPr>
        <w:t>a</w:t>
      </w:r>
      <w:r>
        <w:rPr>
          <w:color w:val="000000"/>
          <w:spacing w:val="54"/>
        </w:rPr>
        <w:t xml:space="preserve"> </w:t>
      </w:r>
      <w:r>
        <w:rPr>
          <w:color w:val="000000"/>
          <w:spacing w:val="-4"/>
        </w:rPr>
        <w:t>i</w:t>
      </w:r>
      <w:r>
        <w:rPr>
          <w:color w:val="000000"/>
        </w:rPr>
        <w:t xml:space="preserve">r </w:t>
      </w:r>
      <w:r>
        <w:rPr>
          <w:color w:val="000000"/>
          <w:spacing w:val="-4"/>
        </w:rPr>
        <w:t>i</w:t>
      </w:r>
      <w:r>
        <w:rPr>
          <w:color w:val="000000"/>
          <w:spacing w:val="2"/>
        </w:rPr>
        <w:t>š</w:t>
      </w:r>
      <w:r>
        <w:rPr>
          <w:color w:val="000000"/>
        </w:rPr>
        <w:t>i</w:t>
      </w:r>
      <w:r>
        <w:rPr>
          <w:color w:val="000000"/>
          <w:spacing w:val="-4"/>
        </w:rPr>
        <w:t>m</w:t>
      </w:r>
      <w:r>
        <w:rPr>
          <w:color w:val="000000"/>
          <w:spacing w:val="4"/>
        </w:rPr>
        <w:t>a</w:t>
      </w:r>
      <w:r>
        <w:rPr>
          <w:color w:val="000000"/>
        </w:rPr>
        <w:t>mi</w:t>
      </w:r>
      <w:r>
        <w:rPr>
          <w:color w:val="000000"/>
          <w:spacing w:val="42"/>
        </w:rPr>
        <w:t xml:space="preserve"> </w:t>
      </w:r>
      <w:r>
        <w:rPr>
          <w:color w:val="000000"/>
          <w:spacing w:val="-9"/>
        </w:rPr>
        <w:t>j</w:t>
      </w:r>
      <w:r>
        <w:rPr>
          <w:color w:val="000000"/>
        </w:rPr>
        <w:t>o</w:t>
      </w:r>
      <w:r>
        <w:rPr>
          <w:color w:val="000000"/>
          <w:spacing w:val="45"/>
        </w:rPr>
        <w:t xml:space="preserve"> </w:t>
      </w:r>
      <w:r>
        <w:rPr>
          <w:color w:val="000000"/>
          <w:spacing w:val="5"/>
        </w:rPr>
        <w:t>k</w:t>
      </w:r>
      <w:r>
        <w:rPr>
          <w:color w:val="000000"/>
          <w:spacing w:val="-4"/>
        </w:rPr>
        <w:t>i</w:t>
      </w:r>
      <w:r>
        <w:rPr>
          <w:color w:val="000000"/>
          <w:spacing w:val="-1"/>
        </w:rPr>
        <w:t>e</w:t>
      </w:r>
      <w:r>
        <w:rPr>
          <w:color w:val="000000"/>
          <w:spacing w:val="5"/>
        </w:rPr>
        <w:t>k</w:t>
      </w:r>
      <w:r>
        <w:rPr>
          <w:color w:val="000000"/>
          <w:spacing w:val="-4"/>
        </w:rPr>
        <w:t>i</w:t>
      </w:r>
      <w:r>
        <w:rPr>
          <w:color w:val="000000"/>
          <w:spacing w:val="4"/>
        </w:rPr>
        <w:t>a</w:t>
      </w:r>
      <w:r>
        <w:rPr>
          <w:color w:val="000000"/>
          <w:spacing w:val="-9"/>
        </w:rPr>
        <w:t>i</w:t>
      </w:r>
      <w:r>
        <w:rPr>
          <w:color w:val="000000"/>
        </w:rPr>
        <w:t>,</w:t>
      </w:r>
      <w:r>
        <w:rPr>
          <w:color w:val="000000"/>
          <w:spacing w:val="43"/>
        </w:rPr>
        <w:t xml:space="preserve"> </w:t>
      </w:r>
      <w:r>
        <w:rPr>
          <w:color w:val="000000"/>
        </w:rPr>
        <w:t>ku</w:t>
      </w:r>
      <w:r>
        <w:rPr>
          <w:color w:val="000000"/>
          <w:spacing w:val="6"/>
        </w:rPr>
        <w:t>r</w:t>
      </w:r>
      <w:r>
        <w:rPr>
          <w:color w:val="000000"/>
          <w:spacing w:val="-4"/>
        </w:rPr>
        <w:t>i</w:t>
      </w:r>
      <w:r>
        <w:rPr>
          <w:color w:val="000000"/>
        </w:rPr>
        <w:t>e</w:t>
      </w:r>
      <w:r>
        <w:rPr>
          <w:color w:val="000000"/>
          <w:spacing w:val="44"/>
        </w:rPr>
        <w:t xml:space="preserve"> </w:t>
      </w:r>
      <w:r>
        <w:rPr>
          <w:color w:val="000000"/>
          <w:spacing w:val="-5"/>
        </w:rPr>
        <w:t>y</w:t>
      </w:r>
      <w:r>
        <w:rPr>
          <w:color w:val="000000"/>
          <w:spacing w:val="1"/>
        </w:rPr>
        <w:t>r</w:t>
      </w:r>
      <w:r>
        <w:rPr>
          <w:color w:val="000000"/>
        </w:rPr>
        <w:t>a</w:t>
      </w:r>
      <w:r>
        <w:rPr>
          <w:color w:val="000000"/>
          <w:spacing w:val="44"/>
        </w:rPr>
        <w:t xml:space="preserve"> </w:t>
      </w:r>
      <w:r>
        <w:rPr>
          <w:color w:val="000000"/>
          <w:spacing w:val="-4"/>
        </w:rPr>
        <w:t>l</w:t>
      </w:r>
      <w:r>
        <w:rPr>
          <w:color w:val="000000"/>
          <w:spacing w:val="4"/>
        </w:rPr>
        <w:t>a</w:t>
      </w:r>
      <w:r>
        <w:rPr>
          <w:color w:val="000000"/>
          <w:spacing w:val="-5"/>
        </w:rPr>
        <w:t>b</w:t>
      </w:r>
      <w:r>
        <w:rPr>
          <w:color w:val="000000"/>
          <w:spacing w:val="4"/>
        </w:rPr>
        <w:t>a</w:t>
      </w:r>
      <w:r>
        <w:rPr>
          <w:color w:val="000000"/>
        </w:rPr>
        <w:t>i</w:t>
      </w:r>
      <w:r>
        <w:rPr>
          <w:color w:val="000000"/>
          <w:spacing w:val="41"/>
        </w:rPr>
        <w:t xml:space="preserve"> </w:t>
      </w:r>
      <w:r>
        <w:rPr>
          <w:color w:val="000000"/>
          <w:spacing w:val="-4"/>
        </w:rPr>
        <w:t>į</w:t>
      </w:r>
      <w:r>
        <w:rPr>
          <w:color w:val="000000"/>
        </w:rPr>
        <w:t>v</w:t>
      </w:r>
      <w:r>
        <w:rPr>
          <w:color w:val="000000"/>
          <w:spacing w:val="4"/>
        </w:rPr>
        <w:t>a</w:t>
      </w:r>
      <w:r>
        <w:rPr>
          <w:color w:val="000000"/>
          <w:spacing w:val="-4"/>
        </w:rPr>
        <w:t>i</w:t>
      </w:r>
      <w:r>
        <w:rPr>
          <w:color w:val="000000"/>
          <w:spacing w:val="1"/>
        </w:rPr>
        <w:t>r</w:t>
      </w:r>
      <w:r>
        <w:rPr>
          <w:color w:val="000000"/>
        </w:rPr>
        <w:t>ūs</w:t>
      </w:r>
      <w:r>
        <w:rPr>
          <w:color w:val="000000"/>
          <w:spacing w:val="43"/>
        </w:rPr>
        <w:t xml:space="preserve"> </w:t>
      </w:r>
      <w:r>
        <w:rPr>
          <w:color w:val="000000"/>
          <w:spacing w:val="-4"/>
        </w:rPr>
        <w:t>i</w:t>
      </w:r>
      <w:r>
        <w:rPr>
          <w:color w:val="000000"/>
        </w:rPr>
        <w:t>r</w:t>
      </w:r>
      <w:r>
        <w:rPr>
          <w:color w:val="000000"/>
          <w:spacing w:val="42"/>
        </w:rPr>
        <w:t xml:space="preserve"> </w:t>
      </w:r>
      <w:r>
        <w:rPr>
          <w:color w:val="000000"/>
          <w:spacing w:val="2"/>
        </w:rPr>
        <w:t>s</w:t>
      </w:r>
      <w:r>
        <w:rPr>
          <w:color w:val="000000"/>
        </w:rPr>
        <w:t>vy</w:t>
      </w:r>
      <w:r>
        <w:rPr>
          <w:color w:val="000000"/>
          <w:spacing w:val="1"/>
        </w:rPr>
        <w:t>r</w:t>
      </w:r>
      <w:r>
        <w:rPr>
          <w:color w:val="000000"/>
        </w:rPr>
        <w:t>u</w:t>
      </w:r>
      <w:r>
        <w:rPr>
          <w:color w:val="000000"/>
          <w:spacing w:val="5"/>
        </w:rPr>
        <w:t>o</w:t>
      </w:r>
      <w:r>
        <w:rPr>
          <w:color w:val="000000"/>
          <w:spacing w:val="-9"/>
        </w:rPr>
        <w:t>j</w:t>
      </w:r>
      <w:r>
        <w:rPr>
          <w:color w:val="000000"/>
        </w:rPr>
        <w:t>a</w:t>
      </w:r>
      <w:r>
        <w:rPr>
          <w:color w:val="000000"/>
          <w:spacing w:val="44"/>
        </w:rPr>
        <w:t xml:space="preserve"> </w:t>
      </w:r>
      <w:r>
        <w:rPr>
          <w:color w:val="000000"/>
          <w:spacing w:val="-5"/>
        </w:rPr>
        <w:t>n</w:t>
      </w:r>
      <w:r>
        <w:rPr>
          <w:color w:val="000000"/>
        </w:rPr>
        <w:t>uo</w:t>
      </w:r>
      <w:r>
        <w:rPr>
          <w:color w:val="000000"/>
          <w:spacing w:val="45"/>
        </w:rPr>
        <w:t xml:space="preserve"> </w:t>
      </w:r>
      <w:r>
        <w:rPr>
          <w:color w:val="000000"/>
        </w:rPr>
        <w:t>0</w:t>
      </w:r>
      <w:r>
        <w:rPr>
          <w:color w:val="000000"/>
          <w:spacing w:val="2"/>
        </w:rPr>
        <w:t>,</w:t>
      </w:r>
      <w:r>
        <w:rPr>
          <w:color w:val="000000"/>
        </w:rPr>
        <w:t>2</w:t>
      </w:r>
      <w:r>
        <w:rPr>
          <w:color w:val="000000"/>
          <w:spacing w:val="41"/>
        </w:rPr>
        <w:t xml:space="preserve"> </w:t>
      </w:r>
      <w:r>
        <w:rPr>
          <w:color w:val="000000"/>
        </w:rPr>
        <w:t>g</w:t>
      </w:r>
      <w:r>
        <w:rPr>
          <w:color w:val="000000"/>
          <w:spacing w:val="41"/>
        </w:rPr>
        <w:t xml:space="preserve"> </w:t>
      </w:r>
      <w:r>
        <w:rPr>
          <w:color w:val="000000"/>
          <w:spacing w:val="-9"/>
        </w:rPr>
        <w:t>i</w:t>
      </w:r>
      <w:r>
        <w:rPr>
          <w:color w:val="000000"/>
          <w:spacing w:val="5"/>
        </w:rPr>
        <w:t>k</w:t>
      </w:r>
      <w:r>
        <w:rPr>
          <w:color w:val="000000"/>
        </w:rPr>
        <w:t>i</w:t>
      </w:r>
      <w:r>
        <w:rPr>
          <w:color w:val="000000"/>
          <w:spacing w:val="36"/>
        </w:rPr>
        <w:t xml:space="preserve"> </w:t>
      </w:r>
      <w:r>
        <w:rPr>
          <w:color w:val="000000"/>
        </w:rPr>
        <w:t>1</w:t>
      </w:r>
      <w:r>
        <w:rPr>
          <w:color w:val="000000"/>
          <w:spacing w:val="41"/>
        </w:rPr>
        <w:t xml:space="preserve"> </w:t>
      </w:r>
      <w:r>
        <w:rPr>
          <w:color w:val="000000"/>
        </w:rPr>
        <w:t>kg</w:t>
      </w:r>
      <w:r>
        <w:rPr>
          <w:color w:val="000000"/>
          <w:spacing w:val="41"/>
        </w:rPr>
        <w:t xml:space="preserve"> </w:t>
      </w:r>
      <w:r>
        <w:rPr>
          <w:color w:val="000000"/>
          <w:spacing w:val="2"/>
        </w:rPr>
        <w:t>š</w:t>
      </w:r>
      <w:r>
        <w:rPr>
          <w:color w:val="000000"/>
          <w:spacing w:val="-9"/>
        </w:rPr>
        <w:t>i</w:t>
      </w:r>
      <w:r>
        <w:rPr>
          <w:color w:val="000000"/>
          <w:spacing w:val="9"/>
        </w:rPr>
        <w:t>o</w:t>
      </w:r>
      <w:r>
        <w:rPr>
          <w:color w:val="000000"/>
        </w:rPr>
        <w:t>s</w:t>
      </w:r>
      <w:r>
        <w:rPr>
          <w:color w:val="000000"/>
          <w:spacing w:val="43"/>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r>
        <w:rPr>
          <w:color w:val="000000"/>
          <w:spacing w:val="43"/>
        </w:rPr>
        <w:t xml:space="preserve"> </w:t>
      </w:r>
      <w:r>
        <w:rPr>
          <w:color w:val="000000"/>
        </w:rPr>
        <w:t>G</w:t>
      </w:r>
      <w:r>
        <w:rPr>
          <w:color w:val="000000"/>
          <w:spacing w:val="-1"/>
        </w:rPr>
        <w:t>a</w:t>
      </w:r>
      <w:r>
        <w:rPr>
          <w:color w:val="000000"/>
        </w:rPr>
        <w:t xml:space="preserve">na </w:t>
      </w:r>
      <w:r>
        <w:rPr>
          <w:color w:val="000000"/>
          <w:spacing w:val="-1"/>
        </w:rPr>
        <w:t>a</w:t>
      </w:r>
      <w:r>
        <w:rPr>
          <w:color w:val="000000"/>
        </w:rPr>
        <w:t>uk</w:t>
      </w:r>
      <w:r>
        <w:rPr>
          <w:color w:val="000000"/>
          <w:spacing w:val="-2"/>
        </w:rPr>
        <w:t>š</w:t>
      </w:r>
      <w:r>
        <w:rPr>
          <w:color w:val="000000"/>
          <w:spacing w:val="5"/>
        </w:rPr>
        <w:t>t</w:t>
      </w:r>
      <w:r>
        <w:rPr>
          <w:color w:val="000000"/>
          <w:spacing w:val="-1"/>
        </w:rPr>
        <w:t>a</w:t>
      </w:r>
      <w:r>
        <w:rPr>
          <w:color w:val="000000"/>
        </w:rPr>
        <w:t>s</w:t>
      </w:r>
      <w:r>
        <w:rPr>
          <w:color w:val="000000"/>
          <w:spacing w:val="7"/>
        </w:rPr>
        <w:t xml:space="preserve"> </w:t>
      </w:r>
      <w:r>
        <w:rPr>
          <w:color w:val="000000"/>
          <w:spacing w:val="-9"/>
        </w:rPr>
        <w:t>i</w:t>
      </w:r>
      <w:r>
        <w:rPr>
          <w:color w:val="000000"/>
        </w:rPr>
        <w:t>r</w:t>
      </w:r>
      <w:r>
        <w:rPr>
          <w:color w:val="000000"/>
          <w:spacing w:val="10"/>
        </w:rPr>
        <w:t xml:space="preserve"> </w:t>
      </w:r>
      <w:r>
        <w:rPr>
          <w:color w:val="000000"/>
          <w:spacing w:val="2"/>
        </w:rPr>
        <w:t>š</w:t>
      </w:r>
      <w:r>
        <w:rPr>
          <w:color w:val="000000"/>
          <w:spacing w:val="-9"/>
        </w:rPr>
        <w:t>i</w:t>
      </w:r>
      <w:r>
        <w:rPr>
          <w:color w:val="000000"/>
        </w:rPr>
        <w:t>o</w:t>
      </w:r>
      <w:r>
        <w:rPr>
          <w:color w:val="000000"/>
          <w:spacing w:val="13"/>
        </w:rPr>
        <w:t xml:space="preserve"> </w:t>
      </w:r>
      <w:r>
        <w:rPr>
          <w:color w:val="000000"/>
          <w:spacing w:val="-2"/>
        </w:rPr>
        <w:t>s</w:t>
      </w:r>
      <w:r>
        <w:rPr>
          <w:color w:val="000000"/>
          <w:spacing w:val="5"/>
        </w:rPr>
        <w:t>t</w:t>
      </w:r>
      <w:r>
        <w:rPr>
          <w:color w:val="000000"/>
          <w:spacing w:val="-4"/>
        </w:rPr>
        <w:t>im</w:t>
      </w:r>
      <w:r>
        <w:rPr>
          <w:color w:val="000000"/>
          <w:spacing w:val="5"/>
        </w:rPr>
        <w:t>u</w:t>
      </w:r>
      <w:r>
        <w:rPr>
          <w:color w:val="000000"/>
        </w:rPr>
        <w:t>l</w:t>
      </w:r>
      <w:r>
        <w:rPr>
          <w:color w:val="000000"/>
          <w:spacing w:val="-4"/>
        </w:rPr>
        <w:t>i</w:t>
      </w:r>
      <w:r>
        <w:rPr>
          <w:color w:val="000000"/>
          <w:spacing w:val="4"/>
        </w:rPr>
        <w:t>a</w:t>
      </w:r>
      <w:r>
        <w:rPr>
          <w:color w:val="000000"/>
          <w:spacing w:val="-5"/>
        </w:rPr>
        <w:t>n</w:t>
      </w:r>
      <w:r>
        <w:rPr>
          <w:color w:val="000000"/>
          <w:spacing w:val="5"/>
        </w:rPr>
        <w:t>t</w:t>
      </w:r>
      <w:r>
        <w:rPr>
          <w:color w:val="000000"/>
        </w:rPr>
        <w:t>o</w:t>
      </w:r>
      <w:r>
        <w:rPr>
          <w:color w:val="000000"/>
          <w:spacing w:val="9"/>
        </w:rPr>
        <w:t xml:space="preserve"> </w:t>
      </w:r>
      <w:r>
        <w:rPr>
          <w:color w:val="000000"/>
        </w:rPr>
        <w:t>g</w:t>
      </w:r>
      <w:r>
        <w:rPr>
          <w:color w:val="000000"/>
          <w:spacing w:val="1"/>
        </w:rPr>
        <w:t>r</w:t>
      </w:r>
      <w:r>
        <w:rPr>
          <w:color w:val="000000"/>
          <w:spacing w:val="-5"/>
        </w:rPr>
        <w:t>yn</w:t>
      </w:r>
      <w:r>
        <w:rPr>
          <w:color w:val="000000"/>
          <w:spacing w:val="5"/>
        </w:rPr>
        <w:t>u</w:t>
      </w:r>
      <w:r>
        <w:rPr>
          <w:color w:val="000000"/>
          <w:spacing w:val="-4"/>
        </w:rPr>
        <w:t>m</w:t>
      </w:r>
      <w:r>
        <w:rPr>
          <w:color w:val="000000"/>
          <w:spacing w:val="4"/>
        </w:rPr>
        <w:t>a</w:t>
      </w:r>
      <w:r>
        <w:rPr>
          <w:color w:val="000000"/>
          <w:spacing w:val="-2"/>
        </w:rPr>
        <w:t>s</w:t>
      </w:r>
      <w:r>
        <w:rPr>
          <w:color w:val="000000"/>
        </w:rPr>
        <w:t>,</w:t>
      </w:r>
      <w:r>
        <w:rPr>
          <w:color w:val="000000"/>
          <w:spacing w:val="6"/>
        </w:rPr>
        <w:t xml:space="preserve"> </w:t>
      </w:r>
      <w:r>
        <w:rPr>
          <w:color w:val="000000"/>
        </w:rPr>
        <w:t>ku</w:t>
      </w:r>
      <w:r>
        <w:rPr>
          <w:color w:val="000000"/>
          <w:spacing w:val="6"/>
        </w:rPr>
        <w:t>r</w:t>
      </w:r>
      <w:r>
        <w:rPr>
          <w:color w:val="000000"/>
          <w:spacing w:val="-9"/>
        </w:rPr>
        <w:t>i</w:t>
      </w:r>
      <w:r>
        <w:rPr>
          <w:color w:val="000000"/>
        </w:rPr>
        <w:t>s</w:t>
      </w:r>
      <w:r>
        <w:rPr>
          <w:color w:val="000000"/>
          <w:spacing w:val="11"/>
        </w:rPr>
        <w:t xml:space="preserve"> </w:t>
      </w:r>
      <w:r>
        <w:rPr>
          <w:color w:val="000000"/>
        </w:rPr>
        <w:t>v</w:t>
      </w:r>
      <w:r>
        <w:rPr>
          <w:color w:val="000000"/>
          <w:spacing w:val="-4"/>
        </w:rPr>
        <w:t>i</w:t>
      </w:r>
      <w:r>
        <w:rPr>
          <w:color w:val="000000"/>
        </w:rPr>
        <w:t>du</w:t>
      </w:r>
      <w:r>
        <w:rPr>
          <w:color w:val="000000"/>
          <w:spacing w:val="10"/>
        </w:rPr>
        <w:t>t</w:t>
      </w:r>
      <w:r>
        <w:rPr>
          <w:color w:val="000000"/>
          <w:spacing w:val="-4"/>
        </w:rPr>
        <w:t>i</w:t>
      </w:r>
      <w:r>
        <w:rPr>
          <w:color w:val="000000"/>
        </w:rPr>
        <w:t>n</w:t>
      </w:r>
      <w:r>
        <w:rPr>
          <w:color w:val="000000"/>
          <w:spacing w:val="-4"/>
        </w:rPr>
        <w:t>i</w:t>
      </w:r>
      <w:r>
        <w:rPr>
          <w:color w:val="000000"/>
          <w:spacing w:val="-2"/>
        </w:rPr>
        <w:t>š</w:t>
      </w:r>
      <w:r>
        <w:rPr>
          <w:color w:val="000000"/>
        </w:rPr>
        <w:t>k</w:t>
      </w:r>
      <w:r>
        <w:rPr>
          <w:color w:val="000000"/>
          <w:spacing w:val="4"/>
        </w:rPr>
        <w:t>a</w:t>
      </w:r>
      <w:r>
        <w:rPr>
          <w:color w:val="000000"/>
        </w:rPr>
        <w:t xml:space="preserve">i </w:t>
      </w:r>
      <w:r>
        <w:rPr>
          <w:color w:val="000000"/>
          <w:spacing w:val="2"/>
        </w:rPr>
        <w:t>s</w:t>
      </w:r>
      <w:r>
        <w:rPr>
          <w:color w:val="000000"/>
          <w:spacing w:val="-4"/>
        </w:rPr>
        <w:t>i</w:t>
      </w:r>
      <w:r>
        <w:rPr>
          <w:color w:val="000000"/>
          <w:spacing w:val="-1"/>
        </w:rPr>
        <w:t>e</w:t>
      </w:r>
      <w:r>
        <w:rPr>
          <w:color w:val="000000"/>
          <w:spacing w:val="5"/>
        </w:rPr>
        <w:t>k</w:t>
      </w:r>
      <w:r>
        <w:rPr>
          <w:color w:val="000000"/>
        </w:rPr>
        <w:t>ė</w:t>
      </w:r>
      <w:r>
        <w:rPr>
          <w:color w:val="000000"/>
          <w:spacing w:val="8"/>
        </w:rPr>
        <w:t xml:space="preserve"> </w:t>
      </w:r>
      <w:r>
        <w:rPr>
          <w:color w:val="000000"/>
          <w:spacing w:val="-5"/>
        </w:rPr>
        <w:t>b</w:t>
      </w:r>
      <w:r>
        <w:rPr>
          <w:color w:val="000000"/>
          <w:spacing w:val="4"/>
        </w:rPr>
        <w:t>e</w:t>
      </w:r>
      <w:r>
        <w:rPr>
          <w:color w:val="000000"/>
          <w:spacing w:val="-5"/>
        </w:rPr>
        <w:t>v</w:t>
      </w:r>
      <w:r>
        <w:rPr>
          <w:color w:val="000000"/>
          <w:spacing w:val="4"/>
        </w:rPr>
        <w:t>e</w:t>
      </w:r>
      <w:r>
        <w:rPr>
          <w:color w:val="000000"/>
          <w:spacing w:val="-4"/>
        </w:rPr>
        <w:t>i</w:t>
      </w:r>
      <w:r>
        <w:rPr>
          <w:color w:val="000000"/>
        </w:rPr>
        <w:t>k</w:t>
      </w:r>
      <w:r>
        <w:rPr>
          <w:color w:val="000000"/>
          <w:spacing w:val="19"/>
        </w:rPr>
        <w:t xml:space="preserve"> </w:t>
      </w:r>
      <w:r>
        <w:rPr>
          <w:color w:val="000000"/>
        </w:rPr>
        <w:t>60</w:t>
      </w:r>
      <w:r>
        <w:rPr>
          <w:color w:val="000000"/>
          <w:spacing w:val="4"/>
        </w:rPr>
        <w:t xml:space="preserve"> </w:t>
      </w:r>
      <w:r>
        <w:rPr>
          <w:color w:val="000000"/>
          <w:spacing w:val="2"/>
        </w:rPr>
        <w:t>%</w:t>
      </w:r>
      <w:r>
        <w:rPr>
          <w:color w:val="000000"/>
        </w:rPr>
        <w:t>.</w:t>
      </w:r>
      <w:r>
        <w:rPr>
          <w:color w:val="000000"/>
          <w:spacing w:val="6"/>
        </w:rPr>
        <w:t xml:space="preserve"> </w:t>
      </w:r>
      <w:r>
        <w:rPr>
          <w:color w:val="000000"/>
          <w:spacing w:val="1"/>
        </w:rPr>
        <w:t>S</w:t>
      </w:r>
      <w:r>
        <w:rPr>
          <w:color w:val="000000"/>
          <w:spacing w:val="5"/>
        </w:rPr>
        <w:t>t</w:t>
      </w:r>
      <w:r>
        <w:rPr>
          <w:color w:val="000000"/>
          <w:spacing w:val="-6"/>
        </w:rPr>
        <w:t>a</w:t>
      </w:r>
      <w:r>
        <w:rPr>
          <w:color w:val="000000"/>
          <w:spacing w:val="5"/>
        </w:rPr>
        <w:t>t</w:t>
      </w:r>
      <w:r>
        <w:rPr>
          <w:color w:val="000000"/>
          <w:spacing w:val="-4"/>
        </w:rPr>
        <w:t>i</w:t>
      </w:r>
      <w:r>
        <w:rPr>
          <w:color w:val="000000"/>
          <w:spacing w:val="-2"/>
        </w:rPr>
        <w:t>s</w:t>
      </w:r>
      <w:r>
        <w:rPr>
          <w:color w:val="000000"/>
          <w:spacing w:val="5"/>
        </w:rPr>
        <w:t>t</w:t>
      </w:r>
      <w:r>
        <w:rPr>
          <w:color w:val="000000"/>
          <w:spacing w:val="-9"/>
        </w:rPr>
        <w:t>i</w:t>
      </w:r>
      <w:r>
        <w:rPr>
          <w:color w:val="000000"/>
          <w:spacing w:val="5"/>
        </w:rPr>
        <w:t>k</w:t>
      </w:r>
      <w:r>
        <w:rPr>
          <w:color w:val="000000"/>
        </w:rPr>
        <w:t>a</w:t>
      </w:r>
      <w:r>
        <w:rPr>
          <w:color w:val="000000"/>
          <w:spacing w:val="3"/>
        </w:rPr>
        <w:t xml:space="preserve"> </w:t>
      </w:r>
      <w:r>
        <w:rPr>
          <w:color w:val="000000"/>
          <w:spacing w:val="1"/>
        </w:rPr>
        <w:t>r</w:t>
      </w:r>
      <w:r>
        <w:rPr>
          <w:color w:val="000000"/>
          <w:spacing w:val="5"/>
        </w:rPr>
        <w:t>o</w:t>
      </w:r>
      <w:r>
        <w:rPr>
          <w:color w:val="000000"/>
        </w:rPr>
        <w:t>do,</w:t>
      </w:r>
      <w:r>
        <w:rPr>
          <w:color w:val="000000"/>
          <w:spacing w:val="6"/>
        </w:rPr>
        <w:t xml:space="preserve"> </w:t>
      </w:r>
      <w:r>
        <w:rPr>
          <w:color w:val="000000"/>
        </w:rPr>
        <w:t>k</w:t>
      </w:r>
      <w:r>
        <w:rPr>
          <w:color w:val="000000"/>
          <w:spacing w:val="-1"/>
        </w:rPr>
        <w:t>a</w:t>
      </w:r>
      <w:r>
        <w:rPr>
          <w:color w:val="000000"/>
        </w:rPr>
        <w:t>d</w:t>
      </w:r>
      <w:r>
        <w:rPr>
          <w:color w:val="000000"/>
          <w:spacing w:val="4"/>
        </w:rPr>
        <w:t xml:space="preserve"> </w:t>
      </w:r>
      <w:r>
        <w:rPr>
          <w:color w:val="000000"/>
          <w:spacing w:val="5"/>
        </w:rPr>
        <w:t>k</w:t>
      </w:r>
      <w:r>
        <w:rPr>
          <w:color w:val="000000"/>
          <w:spacing w:val="-9"/>
        </w:rPr>
        <w:t>i</w:t>
      </w:r>
      <w:r>
        <w:rPr>
          <w:color w:val="000000"/>
          <w:spacing w:val="5"/>
        </w:rPr>
        <w:t>to</w:t>
      </w:r>
      <w:r>
        <w:rPr>
          <w:color w:val="000000"/>
        </w:rPr>
        <w:t xml:space="preserve">s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 xml:space="preserve">s </w:t>
      </w:r>
      <w:r>
        <w:rPr>
          <w:color w:val="000000"/>
          <w:spacing w:val="6"/>
        </w:rPr>
        <w:t>(</w:t>
      </w:r>
      <w:r>
        <w:rPr>
          <w:color w:val="000000"/>
          <w:spacing w:val="-5"/>
        </w:rPr>
        <w:t>A</w:t>
      </w:r>
      <w:r>
        <w:rPr>
          <w:color w:val="000000"/>
          <w:spacing w:val="-1"/>
        </w:rPr>
        <w:t>M</w:t>
      </w:r>
      <w:r>
        <w:rPr>
          <w:color w:val="000000"/>
          <w:spacing w:val="2"/>
        </w:rPr>
        <w:t>-</w:t>
      </w:r>
      <w:r>
        <w:rPr>
          <w:color w:val="000000"/>
        </w:rPr>
        <w:t>2201,</w:t>
      </w:r>
      <w:r>
        <w:rPr>
          <w:color w:val="000000"/>
          <w:spacing w:val="5"/>
        </w:rPr>
        <w:t xml:space="preserve"> </w:t>
      </w:r>
      <w:r>
        <w:rPr>
          <w:color w:val="000000"/>
          <w:spacing w:val="2"/>
        </w:rPr>
        <w:t>J</w:t>
      </w:r>
      <w:r>
        <w:rPr>
          <w:color w:val="000000"/>
          <w:spacing w:val="-1"/>
        </w:rPr>
        <w:t>W</w:t>
      </w:r>
      <w:r>
        <w:rPr>
          <w:color w:val="000000"/>
        </w:rPr>
        <w:t>H</w:t>
      </w:r>
      <w:r>
        <w:rPr>
          <w:color w:val="000000"/>
          <w:spacing w:val="2"/>
        </w:rPr>
        <w:t xml:space="preserve"> </w:t>
      </w:r>
      <w:r>
        <w:rPr>
          <w:color w:val="000000"/>
        </w:rPr>
        <w:t>d</w:t>
      </w:r>
      <w:r>
        <w:rPr>
          <w:color w:val="000000"/>
          <w:spacing w:val="-1"/>
        </w:rPr>
        <w:t>a</w:t>
      </w:r>
      <w:r>
        <w:rPr>
          <w:color w:val="000000"/>
          <w:spacing w:val="6"/>
        </w:rPr>
        <w:t>r</w:t>
      </w:r>
      <w:r>
        <w:rPr>
          <w:color w:val="000000"/>
          <w:spacing w:val="-4"/>
        </w:rPr>
        <w:t>i</w:t>
      </w:r>
      <w:r>
        <w:rPr>
          <w:color w:val="000000"/>
        </w:rPr>
        <w:t>n</w:t>
      </w:r>
      <w:r>
        <w:rPr>
          <w:color w:val="000000"/>
          <w:spacing w:val="-4"/>
        </w:rPr>
        <w:t>i</w:t>
      </w:r>
      <w:r>
        <w:rPr>
          <w:color w:val="000000"/>
          <w:spacing w:val="8"/>
        </w:rPr>
        <w:t>a</w:t>
      </w:r>
      <w:r>
        <w:rPr>
          <w:color w:val="000000"/>
          <w:spacing w:val="-9"/>
        </w:rPr>
        <w:t>i</w:t>
      </w:r>
      <w:r>
        <w:rPr>
          <w:color w:val="000000"/>
        </w:rPr>
        <w:t>,</w:t>
      </w:r>
      <w:r>
        <w:rPr>
          <w:color w:val="000000"/>
          <w:spacing w:val="10"/>
        </w:rPr>
        <w:t xml:space="preserve"> </w:t>
      </w:r>
      <w:r>
        <w:rPr>
          <w:color w:val="000000"/>
          <w:spacing w:val="-2"/>
        </w:rPr>
        <w:t>M</w:t>
      </w:r>
      <w:r>
        <w:rPr>
          <w:color w:val="000000"/>
        </w:rPr>
        <w:t>DPV</w:t>
      </w:r>
      <w:r>
        <w:rPr>
          <w:color w:val="000000"/>
          <w:spacing w:val="7"/>
        </w:rPr>
        <w:t xml:space="preserve"> </w:t>
      </w:r>
      <w:r>
        <w:rPr>
          <w:color w:val="000000"/>
          <w:spacing w:val="-4"/>
        </w:rPr>
        <w:t>i</w:t>
      </w:r>
      <w:r>
        <w:rPr>
          <w:color w:val="000000"/>
        </w:rPr>
        <w:t>r</w:t>
      </w:r>
      <w:r>
        <w:rPr>
          <w:color w:val="000000"/>
          <w:spacing w:val="9"/>
        </w:rPr>
        <w:t xml:space="preserve"> </w:t>
      </w:r>
      <w:r>
        <w:rPr>
          <w:color w:val="000000"/>
        </w:rPr>
        <w:t>t</w:t>
      </w:r>
      <w:r>
        <w:rPr>
          <w:color w:val="000000"/>
          <w:spacing w:val="-2"/>
        </w:rPr>
        <w:t>.</w:t>
      </w:r>
      <w:r>
        <w:rPr>
          <w:color w:val="000000"/>
          <w:spacing w:val="5"/>
        </w:rPr>
        <w:t>t</w:t>
      </w:r>
      <w:r>
        <w:rPr>
          <w:color w:val="000000"/>
          <w:spacing w:val="-2"/>
        </w:rPr>
        <w:t>.</w:t>
      </w:r>
      <w:r>
        <w:rPr>
          <w:color w:val="000000"/>
        </w:rPr>
        <w:t>)</w:t>
      </w:r>
      <w:r>
        <w:rPr>
          <w:color w:val="000000"/>
          <w:spacing w:val="4"/>
        </w:rPr>
        <w:t xml:space="preserve"> </w:t>
      </w:r>
      <w:r>
        <w:rPr>
          <w:color w:val="000000"/>
        </w:rPr>
        <w:t>p</w:t>
      </w:r>
      <w:r>
        <w:rPr>
          <w:color w:val="000000"/>
          <w:spacing w:val="5"/>
        </w:rPr>
        <w:t>o</w:t>
      </w:r>
      <w:r>
        <w:rPr>
          <w:color w:val="000000"/>
        </w:rPr>
        <w:t>pu</w:t>
      </w:r>
      <w:r>
        <w:rPr>
          <w:color w:val="000000"/>
          <w:spacing w:val="-4"/>
        </w:rPr>
        <w:t>li</w:t>
      </w:r>
      <w:r>
        <w:rPr>
          <w:color w:val="000000"/>
          <w:spacing w:val="-1"/>
        </w:rPr>
        <w:t>a</w:t>
      </w:r>
      <w:r>
        <w:rPr>
          <w:color w:val="000000"/>
          <w:spacing w:val="1"/>
        </w:rPr>
        <w:t>r</w:t>
      </w:r>
      <w:r>
        <w:rPr>
          <w:color w:val="000000"/>
          <w:spacing w:val="5"/>
        </w:rPr>
        <w:t>u</w:t>
      </w:r>
      <w:r>
        <w:rPr>
          <w:color w:val="000000"/>
          <w:spacing w:val="-9"/>
        </w:rPr>
        <w:t>m</w:t>
      </w:r>
      <w:r>
        <w:rPr>
          <w:color w:val="000000"/>
        </w:rPr>
        <w:t>u</w:t>
      </w:r>
      <w:r>
        <w:rPr>
          <w:color w:val="000000"/>
          <w:spacing w:val="7"/>
        </w:rPr>
        <w:t xml:space="preserve"> 4</w:t>
      </w:r>
      <w:r>
        <w:rPr>
          <w:color w:val="000000"/>
          <w:spacing w:val="2"/>
        </w:rPr>
        <w:t>-</w:t>
      </w:r>
      <w:r>
        <w:rPr>
          <w:color w:val="000000"/>
          <w:spacing w:val="-2"/>
        </w:rPr>
        <w:t>M</w:t>
      </w:r>
      <w:r>
        <w:rPr>
          <w:color w:val="000000"/>
          <w:spacing w:val="2"/>
        </w:rPr>
        <w:t>E</w:t>
      </w:r>
      <w:r>
        <w:rPr>
          <w:color w:val="000000"/>
        </w:rPr>
        <w:t>C</w:t>
      </w:r>
      <w:r>
        <w:rPr>
          <w:color w:val="000000"/>
          <w:spacing w:val="6"/>
        </w:rPr>
        <w:t xml:space="preserve"> </w:t>
      </w:r>
      <w:r>
        <w:rPr>
          <w:color w:val="000000"/>
          <w:spacing w:val="-5"/>
        </w:rPr>
        <w:t>n</w:t>
      </w:r>
      <w:r>
        <w:rPr>
          <w:color w:val="000000"/>
          <w:spacing w:val="-1"/>
        </w:rPr>
        <w:t>e</w:t>
      </w:r>
      <w:r>
        <w:rPr>
          <w:color w:val="000000"/>
        </w:rPr>
        <w:t>p</w:t>
      </w:r>
      <w:r>
        <w:rPr>
          <w:color w:val="000000"/>
          <w:spacing w:val="6"/>
        </w:rPr>
        <w:t>r</w:t>
      </w:r>
      <w:r>
        <w:rPr>
          <w:color w:val="000000"/>
          <w:spacing w:val="-4"/>
        </w:rPr>
        <w:t>i</w:t>
      </w:r>
      <w:r>
        <w:rPr>
          <w:color w:val="000000"/>
        </w:rPr>
        <w:t>l</w:t>
      </w:r>
      <w:r>
        <w:rPr>
          <w:color w:val="000000"/>
          <w:spacing w:val="-4"/>
        </w:rPr>
        <w:t>y</w:t>
      </w:r>
      <w:r>
        <w:rPr>
          <w:color w:val="000000"/>
        </w:rPr>
        <w:t>g</w:t>
      </w:r>
      <w:r>
        <w:rPr>
          <w:color w:val="000000"/>
          <w:spacing w:val="5"/>
        </w:rPr>
        <w:t>o</w:t>
      </w:r>
      <w:r>
        <w:rPr>
          <w:color w:val="000000"/>
        </w:rPr>
        <w:t>,</w:t>
      </w:r>
      <w:r>
        <w:rPr>
          <w:color w:val="000000"/>
          <w:spacing w:val="10"/>
        </w:rPr>
        <w:t xml:space="preserve"> </w:t>
      </w:r>
      <w:r>
        <w:rPr>
          <w:color w:val="000000"/>
          <w:spacing w:val="-9"/>
        </w:rPr>
        <w:t>j</w:t>
      </w:r>
      <w:r>
        <w:rPr>
          <w:color w:val="000000"/>
        </w:rPr>
        <w:t>ų</w:t>
      </w:r>
      <w:r>
        <w:rPr>
          <w:color w:val="000000"/>
          <w:spacing w:val="7"/>
        </w:rPr>
        <w:t xml:space="preserve"> </w:t>
      </w:r>
      <w:r>
        <w:rPr>
          <w:color w:val="000000"/>
          <w:spacing w:val="-4"/>
        </w:rPr>
        <w:t>i</w:t>
      </w:r>
      <w:r>
        <w:rPr>
          <w:color w:val="000000"/>
          <w:spacing w:val="2"/>
        </w:rPr>
        <w:t>š</w:t>
      </w:r>
      <w:r>
        <w:rPr>
          <w:color w:val="000000"/>
          <w:spacing w:val="4"/>
        </w:rPr>
        <w:t>ė</w:t>
      </w:r>
      <w:r>
        <w:rPr>
          <w:color w:val="000000"/>
        </w:rPr>
        <w:t>m</w:t>
      </w:r>
      <w:r>
        <w:rPr>
          <w:color w:val="000000"/>
          <w:spacing w:val="1"/>
        </w:rPr>
        <w:t>i</w:t>
      </w:r>
      <w:r>
        <w:rPr>
          <w:color w:val="000000"/>
          <w:spacing w:val="-9"/>
        </w:rPr>
        <w:t>m</w:t>
      </w:r>
      <w:r>
        <w:rPr>
          <w:color w:val="000000"/>
        </w:rPr>
        <w:t xml:space="preserve">o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36"/>
        </w:rPr>
        <w:t xml:space="preserve"> </w:t>
      </w:r>
      <w:r>
        <w:rPr>
          <w:color w:val="000000"/>
        </w:rPr>
        <w:t>u</w:t>
      </w:r>
      <w:r>
        <w:rPr>
          <w:color w:val="000000"/>
          <w:spacing w:val="4"/>
        </w:rPr>
        <w:t>ž</w:t>
      </w:r>
      <w:r>
        <w:rPr>
          <w:color w:val="000000"/>
          <w:spacing w:val="1"/>
        </w:rPr>
        <w:t>f</w:t>
      </w:r>
      <w:r>
        <w:rPr>
          <w:color w:val="000000"/>
          <w:spacing w:val="-4"/>
        </w:rPr>
        <w:t>i</w:t>
      </w:r>
      <w:r>
        <w:rPr>
          <w:color w:val="000000"/>
        </w:rPr>
        <w:t>k</w:t>
      </w:r>
      <w:r>
        <w:rPr>
          <w:color w:val="000000"/>
          <w:spacing w:val="-2"/>
        </w:rPr>
        <w:t>s</w:t>
      </w:r>
      <w:r>
        <w:rPr>
          <w:color w:val="000000"/>
        </w:rPr>
        <w:t>u</w:t>
      </w:r>
      <w:r>
        <w:rPr>
          <w:color w:val="000000"/>
          <w:spacing w:val="5"/>
        </w:rPr>
        <w:t>ot</w:t>
      </w:r>
      <w:r>
        <w:rPr>
          <w:color w:val="000000"/>
        </w:rPr>
        <w:t>a</w:t>
      </w:r>
      <w:r>
        <w:rPr>
          <w:color w:val="000000"/>
          <w:spacing w:val="38"/>
        </w:rPr>
        <w:t xml:space="preserve"> </w:t>
      </w:r>
      <w:r>
        <w:rPr>
          <w:color w:val="000000"/>
        </w:rPr>
        <w:t>g</w:t>
      </w:r>
      <w:r>
        <w:rPr>
          <w:color w:val="000000"/>
          <w:spacing w:val="-1"/>
        </w:rPr>
        <w:t>e</w:t>
      </w:r>
      <w:r>
        <w:rPr>
          <w:color w:val="000000"/>
          <w:spacing w:val="-3"/>
        </w:rPr>
        <w:t>r</w:t>
      </w:r>
      <w:r>
        <w:rPr>
          <w:color w:val="000000"/>
          <w:spacing w:val="5"/>
        </w:rPr>
        <w:t>o</w:t>
      </w:r>
      <w:r>
        <w:rPr>
          <w:color w:val="000000"/>
        </w:rPr>
        <w:t>k</w:t>
      </w:r>
      <w:r>
        <w:rPr>
          <w:color w:val="000000"/>
          <w:spacing w:val="-1"/>
        </w:rPr>
        <w:t>a</w:t>
      </w:r>
      <w:r>
        <w:rPr>
          <w:color w:val="000000"/>
        </w:rPr>
        <w:t>i</w:t>
      </w:r>
      <w:r>
        <w:rPr>
          <w:color w:val="000000"/>
          <w:spacing w:val="33"/>
        </w:rPr>
        <w:t xml:space="preserve"> </w:t>
      </w:r>
      <w:r>
        <w:rPr>
          <w:color w:val="000000"/>
          <w:spacing w:val="-9"/>
        </w:rPr>
        <w:t>m</w:t>
      </w:r>
      <w:r>
        <w:rPr>
          <w:color w:val="000000"/>
          <w:spacing w:val="4"/>
        </w:rPr>
        <w:t>až</w:t>
      </w:r>
      <w:r>
        <w:rPr>
          <w:color w:val="000000"/>
          <w:spacing w:val="-4"/>
        </w:rPr>
        <w:t>i</w:t>
      </w:r>
      <w:r>
        <w:rPr>
          <w:color w:val="000000"/>
          <w:spacing w:val="-1"/>
        </w:rPr>
        <w:t>a</w:t>
      </w:r>
      <w:r>
        <w:rPr>
          <w:color w:val="000000"/>
        </w:rPr>
        <w:t>u.</w:t>
      </w:r>
      <w:r>
        <w:rPr>
          <w:color w:val="000000"/>
          <w:spacing w:val="38"/>
        </w:rPr>
        <w:t xml:space="preserve"> </w:t>
      </w:r>
      <w:r>
        <w:rPr>
          <w:color w:val="000000"/>
        </w:rPr>
        <w:t>2012</w:t>
      </w:r>
      <w:r>
        <w:rPr>
          <w:color w:val="000000"/>
          <w:spacing w:val="36"/>
        </w:rPr>
        <w:t xml:space="preserve"> </w:t>
      </w:r>
      <w:r>
        <w:rPr>
          <w:color w:val="000000"/>
          <w:spacing w:val="-9"/>
        </w:rPr>
        <w:t>m</w:t>
      </w:r>
      <w:r>
        <w:rPr>
          <w:color w:val="000000"/>
        </w:rPr>
        <w:t>.</w:t>
      </w:r>
      <w:r>
        <w:rPr>
          <w:color w:val="000000"/>
          <w:spacing w:val="38"/>
        </w:rPr>
        <w:t xml:space="preserve"> </w:t>
      </w:r>
      <w:r>
        <w:rPr>
          <w:color w:val="000000"/>
          <w:spacing w:val="-5"/>
        </w:rPr>
        <w:t>b</w:t>
      </w:r>
      <w:r>
        <w:rPr>
          <w:color w:val="000000"/>
          <w:spacing w:val="5"/>
        </w:rPr>
        <w:t>u</w:t>
      </w:r>
      <w:r>
        <w:rPr>
          <w:color w:val="000000"/>
          <w:spacing w:val="-5"/>
        </w:rPr>
        <w:t>v</w:t>
      </w:r>
      <w:r>
        <w:rPr>
          <w:color w:val="000000"/>
        </w:rPr>
        <w:t>o</w:t>
      </w:r>
      <w:r>
        <w:rPr>
          <w:color w:val="000000"/>
          <w:spacing w:val="40"/>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rPr>
        <w:t>k</w:t>
      </w:r>
      <w:r>
        <w:rPr>
          <w:color w:val="000000"/>
          <w:spacing w:val="9"/>
        </w:rPr>
        <w:t>o</w:t>
      </w:r>
      <w:r>
        <w:rPr>
          <w:color w:val="000000"/>
          <w:spacing w:val="-9"/>
        </w:rPr>
        <w:t>m</w:t>
      </w:r>
      <w:r>
        <w:rPr>
          <w:color w:val="000000"/>
          <w:spacing w:val="5"/>
        </w:rPr>
        <w:t>o</w:t>
      </w:r>
      <w:r>
        <w:rPr>
          <w:color w:val="000000"/>
        </w:rPr>
        <w:t>s</w:t>
      </w:r>
      <w:r>
        <w:rPr>
          <w:color w:val="000000"/>
          <w:spacing w:val="34"/>
        </w:rPr>
        <w:t xml:space="preserve"> </w:t>
      </w:r>
      <w:r>
        <w:rPr>
          <w:color w:val="000000"/>
          <w:spacing w:val="2"/>
        </w:rPr>
        <w:t>s</w:t>
      </w:r>
      <w:r>
        <w:rPr>
          <w:color w:val="000000"/>
          <w:spacing w:val="-9"/>
        </w:rPr>
        <w:t>i</w:t>
      </w:r>
      <w:r>
        <w:rPr>
          <w:color w:val="000000"/>
          <w:spacing w:val="5"/>
        </w:rPr>
        <w:t>u</w:t>
      </w:r>
      <w:r>
        <w:rPr>
          <w:color w:val="000000"/>
          <w:spacing w:val="-5"/>
        </w:rPr>
        <w:t>n</w:t>
      </w:r>
      <w:r>
        <w:rPr>
          <w:color w:val="000000"/>
          <w:spacing w:val="5"/>
        </w:rPr>
        <w:t>to</w:t>
      </w:r>
      <w:r>
        <w:rPr>
          <w:color w:val="000000"/>
        </w:rPr>
        <w:t>s</w:t>
      </w:r>
      <w:r>
        <w:rPr>
          <w:color w:val="000000"/>
          <w:spacing w:val="34"/>
        </w:rPr>
        <w:t xml:space="preserve"> </w:t>
      </w:r>
      <w:r>
        <w:rPr>
          <w:color w:val="000000"/>
          <w:spacing w:val="-9"/>
        </w:rPr>
        <w:t>i</w:t>
      </w:r>
      <w:r>
        <w:rPr>
          <w:color w:val="000000"/>
        </w:rPr>
        <w:t>r</w:t>
      </w:r>
      <w:r>
        <w:rPr>
          <w:color w:val="000000"/>
          <w:spacing w:val="37"/>
        </w:rPr>
        <w:t xml:space="preserve"> </w:t>
      </w:r>
      <w:r>
        <w:rPr>
          <w:color w:val="000000"/>
          <w:spacing w:val="-2"/>
        </w:rPr>
        <w:t>s</w:t>
      </w:r>
      <w:r>
        <w:rPr>
          <w:color w:val="000000"/>
        </w:rPr>
        <w:t>u</w:t>
      </w:r>
      <w:r>
        <w:rPr>
          <w:color w:val="000000"/>
          <w:spacing w:val="36"/>
        </w:rPr>
        <w:t xml:space="preserve"> </w:t>
      </w:r>
      <w:r>
        <w:rPr>
          <w:color w:val="000000"/>
          <w:spacing w:val="-1"/>
        </w:rPr>
        <w:t>e</w:t>
      </w:r>
      <w:r>
        <w:rPr>
          <w:color w:val="000000"/>
        </w:rPr>
        <w:t>g</w:t>
      </w:r>
      <w:r>
        <w:rPr>
          <w:color w:val="000000"/>
          <w:spacing w:val="-1"/>
        </w:rPr>
        <w:t>z</w:t>
      </w:r>
      <w:r>
        <w:rPr>
          <w:color w:val="000000"/>
          <w:spacing w:val="5"/>
        </w:rPr>
        <w:t>ot</w:t>
      </w:r>
      <w:r>
        <w:rPr>
          <w:color w:val="000000"/>
          <w:spacing w:val="-4"/>
        </w:rPr>
        <w:t>i</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34"/>
        </w:rPr>
        <w:t xml:space="preserve"> </w:t>
      </w:r>
      <w:r>
        <w:rPr>
          <w:color w:val="000000"/>
          <w:spacing w:val="-1"/>
        </w:rPr>
        <w:t>a</w:t>
      </w:r>
      <w:r>
        <w:rPr>
          <w:color w:val="000000"/>
        </w:rPr>
        <w:t>ug</w:t>
      </w:r>
      <w:r>
        <w:rPr>
          <w:color w:val="000000"/>
          <w:spacing w:val="4"/>
        </w:rPr>
        <w:t>a</w:t>
      </w:r>
      <w:r>
        <w:rPr>
          <w:color w:val="000000"/>
          <w:spacing w:val="-4"/>
        </w:rPr>
        <w:t>l</w:t>
      </w:r>
      <w:r>
        <w:rPr>
          <w:color w:val="000000"/>
          <w:spacing w:val="4"/>
        </w:rPr>
        <w:t>a</w:t>
      </w:r>
      <w:r>
        <w:rPr>
          <w:color w:val="000000"/>
          <w:spacing w:val="-4"/>
        </w:rPr>
        <w:t>i</w:t>
      </w:r>
      <w:r>
        <w:rPr>
          <w:color w:val="000000"/>
        </w:rPr>
        <w:t>s</w:t>
      </w:r>
      <w:r>
        <w:rPr>
          <w:color w:val="000000"/>
          <w:spacing w:val="38"/>
        </w:rPr>
        <w:t xml:space="preserve"> </w:t>
      </w:r>
      <w:r>
        <w:rPr>
          <w:color w:val="000000"/>
          <w:spacing w:val="-1"/>
        </w:rPr>
        <w:t>a</w:t>
      </w:r>
      <w:r>
        <w:rPr>
          <w:color w:val="000000"/>
        </w:rPr>
        <w:t>r t</w:t>
      </w:r>
      <w:r>
        <w:rPr>
          <w:color w:val="000000"/>
          <w:spacing w:val="5"/>
        </w:rPr>
        <w:t>o</w:t>
      </w:r>
      <w:r>
        <w:rPr>
          <w:color w:val="000000"/>
        </w:rPr>
        <w:t>k</w:t>
      </w:r>
      <w:r>
        <w:rPr>
          <w:color w:val="000000"/>
          <w:spacing w:val="-9"/>
        </w:rPr>
        <w:t>i</w:t>
      </w:r>
      <w:r>
        <w:rPr>
          <w:color w:val="000000"/>
        </w:rPr>
        <w:t>ų</w:t>
      </w:r>
      <w:r>
        <w:rPr>
          <w:color w:val="000000"/>
          <w:spacing w:val="1"/>
        </w:rPr>
        <w:t xml:space="preserve"> </w:t>
      </w:r>
      <w:r>
        <w:rPr>
          <w:color w:val="000000"/>
          <w:spacing w:val="-1"/>
        </w:rPr>
        <w:t>a</w:t>
      </w:r>
      <w:r>
        <w:rPr>
          <w:color w:val="000000"/>
        </w:rPr>
        <w:t>ug</w:t>
      </w:r>
      <w:r>
        <w:rPr>
          <w:color w:val="000000"/>
          <w:spacing w:val="4"/>
        </w:rPr>
        <w:t>a</w:t>
      </w:r>
      <w:r>
        <w:rPr>
          <w:color w:val="000000"/>
          <w:spacing w:val="-4"/>
        </w:rPr>
        <w:t>l</w:t>
      </w:r>
      <w:r>
        <w:rPr>
          <w:color w:val="000000"/>
        </w:rPr>
        <w:t>ų</w:t>
      </w:r>
      <w:r>
        <w:rPr>
          <w:color w:val="000000"/>
          <w:spacing w:val="1"/>
        </w:rPr>
        <w:t xml:space="preserve"> </w:t>
      </w:r>
      <w:r>
        <w:rPr>
          <w:color w:val="000000"/>
          <w:spacing w:val="-2"/>
        </w:rPr>
        <w:t>s</w:t>
      </w:r>
      <w:r>
        <w:rPr>
          <w:color w:val="000000"/>
          <w:spacing w:val="-1"/>
        </w:rPr>
        <w:t>ė</w:t>
      </w:r>
      <w:r>
        <w:rPr>
          <w:color w:val="000000"/>
          <w:spacing w:val="5"/>
        </w:rPr>
        <w:t>k</w:t>
      </w:r>
      <w:r>
        <w:rPr>
          <w:color w:val="000000"/>
          <w:spacing w:val="-9"/>
        </w:rPr>
        <w:t>l</w:t>
      </w:r>
      <w:r>
        <w:rPr>
          <w:color w:val="000000"/>
          <w:spacing w:val="9"/>
        </w:rPr>
        <w:t>o</w:t>
      </w:r>
      <w:r>
        <w:rPr>
          <w:color w:val="000000"/>
        </w:rPr>
        <w:t>m</w:t>
      </w:r>
      <w:r>
        <w:rPr>
          <w:color w:val="000000"/>
          <w:spacing w:val="-4"/>
        </w:rPr>
        <w:t>i</w:t>
      </w:r>
      <w:r>
        <w:rPr>
          <w:color w:val="000000"/>
          <w:spacing w:val="-2"/>
        </w:rPr>
        <w:t>s</w:t>
      </w:r>
      <w:r>
        <w:rPr>
          <w:color w:val="000000"/>
        </w:rPr>
        <w:t>.</w:t>
      </w:r>
      <w:r>
        <w:rPr>
          <w:color w:val="000000"/>
          <w:spacing w:val="3"/>
        </w:rPr>
        <w:t xml:space="preserve"> </w:t>
      </w:r>
      <w:r>
        <w:rPr>
          <w:color w:val="000000"/>
          <w:spacing w:val="-2"/>
        </w:rPr>
        <w:t>B</w:t>
      </w:r>
      <w:r>
        <w:rPr>
          <w:color w:val="000000"/>
        </w:rPr>
        <w:t xml:space="preserve">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9"/>
        </w:rPr>
        <w:t>o</w:t>
      </w:r>
      <w:r>
        <w:rPr>
          <w:color w:val="000000"/>
          <w:spacing w:val="-9"/>
        </w:rPr>
        <w:t>j</w:t>
      </w:r>
      <w:r>
        <w:rPr>
          <w:color w:val="000000"/>
        </w:rPr>
        <w:t>e</w:t>
      </w:r>
      <w:r>
        <w:rPr>
          <w:color w:val="000000"/>
          <w:spacing w:val="5"/>
        </w:rPr>
        <w:t xml:space="preserve"> </w:t>
      </w:r>
      <w:r>
        <w:rPr>
          <w:color w:val="000000"/>
          <w:spacing w:val="-4"/>
        </w:rPr>
        <w:t>j</w:t>
      </w:r>
      <w:r>
        <w:rPr>
          <w:color w:val="000000"/>
          <w:spacing w:val="-1"/>
        </w:rPr>
        <w:t>a</w:t>
      </w:r>
      <w:r>
        <w:rPr>
          <w:color w:val="000000"/>
        </w:rPr>
        <w:t>u</w:t>
      </w:r>
      <w:r>
        <w:rPr>
          <w:color w:val="000000"/>
          <w:spacing w:val="1"/>
        </w:rPr>
        <w:t xml:space="preserve"> </w:t>
      </w:r>
      <w:r>
        <w:rPr>
          <w:color w:val="000000"/>
          <w:spacing w:val="-2"/>
        </w:rPr>
        <w:t>s</w:t>
      </w:r>
      <w:r>
        <w:rPr>
          <w:color w:val="000000"/>
        </w:rPr>
        <w:t>u</w:t>
      </w:r>
      <w:r>
        <w:rPr>
          <w:color w:val="000000"/>
          <w:spacing w:val="10"/>
        </w:rPr>
        <w:t>t</w:t>
      </w:r>
      <w:r>
        <w:rPr>
          <w:color w:val="000000"/>
          <w:spacing w:val="-9"/>
        </w:rPr>
        <w:t>i</w:t>
      </w:r>
      <w:r>
        <w:rPr>
          <w:color w:val="000000"/>
        </w:rPr>
        <w:t>k</w:t>
      </w:r>
      <w:r>
        <w:rPr>
          <w:color w:val="000000"/>
          <w:spacing w:val="5"/>
        </w:rPr>
        <w:t>t</w:t>
      </w:r>
      <w:r>
        <w:rPr>
          <w:color w:val="000000"/>
        </w:rPr>
        <w:t>ų</w:t>
      </w:r>
      <w:r>
        <w:rPr>
          <w:color w:val="000000"/>
          <w:spacing w:val="1"/>
        </w:rPr>
        <w:t xml:space="preserve"> </w:t>
      </w:r>
      <w:r>
        <w:rPr>
          <w:color w:val="000000"/>
          <w:spacing w:val="-1"/>
        </w:rPr>
        <w:t>a</w:t>
      </w:r>
      <w:r>
        <w:rPr>
          <w:color w:val="000000"/>
        </w:rPr>
        <w:t>ug</w:t>
      </w:r>
      <w:r>
        <w:rPr>
          <w:color w:val="000000"/>
          <w:spacing w:val="4"/>
        </w:rPr>
        <w:t>a</w:t>
      </w:r>
      <w:r>
        <w:rPr>
          <w:color w:val="000000"/>
          <w:spacing w:val="-9"/>
        </w:rPr>
        <w:t>l</w:t>
      </w:r>
      <w:r>
        <w:rPr>
          <w:color w:val="000000"/>
        </w:rPr>
        <w:t>ų</w:t>
      </w:r>
      <w:r>
        <w:rPr>
          <w:color w:val="000000"/>
          <w:spacing w:val="8"/>
        </w:rPr>
        <w:t xml:space="preserve"> </w:t>
      </w:r>
      <w:r>
        <w:rPr>
          <w:color w:val="000000"/>
        </w:rPr>
        <w:t>–</w:t>
      </w:r>
      <w:r>
        <w:rPr>
          <w:color w:val="000000"/>
          <w:spacing w:val="1"/>
        </w:rPr>
        <w:t xml:space="preserve"> </w:t>
      </w:r>
      <w:r>
        <w:rPr>
          <w:color w:val="000000"/>
        </w:rPr>
        <w:t>kv</w:t>
      </w:r>
      <w:r>
        <w:rPr>
          <w:color w:val="000000"/>
          <w:spacing w:val="4"/>
        </w:rPr>
        <w:t>a</w:t>
      </w:r>
      <w:r>
        <w:rPr>
          <w:color w:val="000000"/>
          <w:spacing w:val="-9"/>
        </w:rPr>
        <w:t>i</w:t>
      </w:r>
      <w:r>
        <w:rPr>
          <w:color w:val="000000"/>
          <w:spacing w:val="5"/>
        </w:rPr>
        <w:t>tu</w:t>
      </w:r>
      <w:r>
        <w:rPr>
          <w:color w:val="000000"/>
          <w:spacing w:val="-4"/>
        </w:rPr>
        <w:t>li</w:t>
      </w:r>
      <w:r>
        <w:rPr>
          <w:color w:val="000000"/>
          <w:spacing w:val="5"/>
        </w:rPr>
        <w:t>n</w:t>
      </w:r>
      <w:r>
        <w:rPr>
          <w:color w:val="000000"/>
          <w:spacing w:val="-9"/>
        </w:rPr>
        <w:t>i</w:t>
      </w:r>
      <w:r>
        <w:rPr>
          <w:color w:val="000000"/>
        </w:rPr>
        <w:t>o</w:t>
      </w:r>
      <w:r>
        <w:rPr>
          <w:color w:val="000000"/>
          <w:spacing w:val="5"/>
        </w:rPr>
        <w:t xml:space="preserve"> </w:t>
      </w:r>
      <w:r>
        <w:rPr>
          <w:color w:val="000000"/>
          <w:spacing w:val="-2"/>
        </w:rPr>
        <w:t>š</w:t>
      </w:r>
      <w:r>
        <w:rPr>
          <w:color w:val="000000"/>
          <w:spacing w:val="4"/>
        </w:rPr>
        <w:t>a</w:t>
      </w:r>
      <w:r>
        <w:rPr>
          <w:color w:val="000000"/>
          <w:spacing w:val="-4"/>
        </w:rPr>
        <w:t>l</w:t>
      </w:r>
      <w:r>
        <w:rPr>
          <w:color w:val="000000"/>
          <w:spacing w:val="4"/>
        </w:rPr>
        <w:t>a</w:t>
      </w:r>
      <w:r>
        <w:rPr>
          <w:color w:val="000000"/>
        </w:rPr>
        <w:t>vi</w:t>
      </w:r>
      <w:r>
        <w:rPr>
          <w:color w:val="000000"/>
          <w:spacing w:val="-1"/>
        </w:rPr>
        <w:t>ja</w:t>
      </w:r>
      <w:r>
        <w:rPr>
          <w:color w:val="000000"/>
          <w:spacing w:val="5"/>
        </w:rPr>
        <w:t>u</w:t>
      </w:r>
      <w:r>
        <w:rPr>
          <w:color w:val="000000"/>
          <w:spacing w:val="-2"/>
        </w:rPr>
        <w:t>s</w:t>
      </w:r>
      <w:r>
        <w:rPr>
          <w:color w:val="000000"/>
        </w:rPr>
        <w:t>,</w:t>
      </w:r>
      <w:r>
        <w:rPr>
          <w:color w:val="000000"/>
          <w:spacing w:val="3"/>
        </w:rPr>
        <w:t xml:space="preserve"> </w:t>
      </w:r>
      <w:r>
        <w:rPr>
          <w:color w:val="000000"/>
        </w:rPr>
        <w:t>pu</w:t>
      </w:r>
      <w:r>
        <w:rPr>
          <w:color w:val="000000"/>
          <w:spacing w:val="5"/>
        </w:rPr>
        <w:t>o</w:t>
      </w:r>
      <w:r>
        <w:rPr>
          <w:color w:val="000000"/>
          <w:spacing w:val="-2"/>
        </w:rPr>
        <w:t>š</w:t>
      </w:r>
      <w:r>
        <w:rPr>
          <w:color w:val="000000"/>
        </w:rPr>
        <w:t>n</w:t>
      </w:r>
      <w:r>
        <w:rPr>
          <w:color w:val="000000"/>
          <w:spacing w:val="-9"/>
        </w:rPr>
        <w:t>i</w:t>
      </w:r>
      <w:r>
        <w:rPr>
          <w:color w:val="000000"/>
          <w:spacing w:val="5"/>
        </w:rPr>
        <w:t>o</w:t>
      </w:r>
      <w:r>
        <w:rPr>
          <w:color w:val="000000"/>
          <w:spacing w:val="2"/>
        </w:rPr>
        <w:t>s</w:t>
      </w:r>
      <w:r>
        <w:rPr>
          <w:color w:val="000000"/>
          <w:spacing w:val="-9"/>
        </w:rPr>
        <w:t>i</w:t>
      </w:r>
      <w:r>
        <w:rPr>
          <w:color w:val="000000"/>
          <w:spacing w:val="5"/>
        </w:rPr>
        <w:t>o</w:t>
      </w:r>
      <w:r>
        <w:rPr>
          <w:color w:val="000000"/>
        </w:rPr>
        <w:t>s</w:t>
      </w:r>
      <w:r>
        <w:rPr>
          <w:color w:val="000000"/>
          <w:spacing w:val="3"/>
        </w:rPr>
        <w:t xml:space="preserve"> </w:t>
      </w:r>
      <w:r>
        <w:rPr>
          <w:color w:val="000000"/>
          <w:spacing w:val="-5"/>
        </w:rPr>
        <w:t>v</w:t>
      </w:r>
      <w:r>
        <w:rPr>
          <w:color w:val="000000"/>
          <w:spacing w:val="5"/>
        </w:rPr>
        <w:t>o</w:t>
      </w:r>
      <w:r>
        <w:rPr>
          <w:color w:val="000000"/>
          <w:spacing w:val="-1"/>
        </w:rPr>
        <w:t>ž</w:t>
      </w:r>
      <w:r>
        <w:rPr>
          <w:color w:val="000000"/>
          <w:spacing w:val="5"/>
        </w:rPr>
        <w:t>t</w:t>
      </w:r>
      <w:r>
        <w:rPr>
          <w:color w:val="000000"/>
          <w:spacing w:val="-1"/>
        </w:rPr>
        <w:t>ė</w:t>
      </w:r>
      <w:r>
        <w:rPr>
          <w:color w:val="000000"/>
          <w:spacing w:val="-2"/>
        </w:rPr>
        <w:t>s</w:t>
      </w:r>
      <w:r>
        <w:rPr>
          <w:color w:val="000000"/>
        </w:rPr>
        <w:t xml:space="preserve">, </w:t>
      </w:r>
      <w:r>
        <w:rPr>
          <w:color w:val="000000"/>
          <w:spacing w:val="-5"/>
        </w:rPr>
        <w:t>b</w:t>
      </w:r>
      <w:r>
        <w:rPr>
          <w:color w:val="000000"/>
          <w:spacing w:val="5"/>
        </w:rPr>
        <w:t>u</w:t>
      </w:r>
      <w:r>
        <w:rPr>
          <w:color w:val="000000"/>
          <w:spacing w:val="-5"/>
        </w:rPr>
        <w:t>v</w:t>
      </w:r>
      <w:r>
        <w:rPr>
          <w:color w:val="000000"/>
        </w:rPr>
        <w:t>o</w:t>
      </w:r>
      <w:r>
        <w:rPr>
          <w:color w:val="000000"/>
          <w:spacing w:val="45"/>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spacing w:val="-10"/>
        </w:rPr>
        <w:t>y</w:t>
      </w:r>
      <w:r>
        <w:rPr>
          <w:color w:val="000000"/>
          <w:spacing w:val="5"/>
        </w:rPr>
        <w:t>to</w:t>
      </w:r>
      <w:r>
        <w:rPr>
          <w:color w:val="000000"/>
        </w:rPr>
        <w:t>s</w:t>
      </w:r>
      <w:r>
        <w:rPr>
          <w:color w:val="000000"/>
          <w:spacing w:val="38"/>
        </w:rPr>
        <w:t xml:space="preserve"> </w:t>
      </w:r>
      <w:r>
        <w:rPr>
          <w:color w:val="000000"/>
          <w:spacing w:val="2"/>
        </w:rPr>
        <w:t>s</w:t>
      </w:r>
      <w:r>
        <w:rPr>
          <w:color w:val="000000"/>
          <w:spacing w:val="-4"/>
        </w:rPr>
        <w:t>i</w:t>
      </w:r>
      <w:r>
        <w:rPr>
          <w:color w:val="000000"/>
          <w:spacing w:val="5"/>
        </w:rPr>
        <w:t>u</w:t>
      </w:r>
      <w:r>
        <w:rPr>
          <w:color w:val="000000"/>
          <w:spacing w:val="-5"/>
        </w:rPr>
        <w:t>n</w:t>
      </w:r>
      <w:r>
        <w:rPr>
          <w:color w:val="000000"/>
          <w:spacing w:val="5"/>
        </w:rPr>
        <w:t>to</w:t>
      </w:r>
      <w:r>
        <w:rPr>
          <w:color w:val="000000"/>
        </w:rPr>
        <w:t>s</w:t>
      </w:r>
      <w:r>
        <w:rPr>
          <w:color w:val="000000"/>
          <w:spacing w:val="38"/>
        </w:rPr>
        <w:t xml:space="preserve"> </w:t>
      </w:r>
      <w:r>
        <w:rPr>
          <w:color w:val="000000"/>
          <w:spacing w:val="-2"/>
        </w:rPr>
        <w:t>s</w:t>
      </w:r>
      <w:r>
        <w:rPr>
          <w:color w:val="000000"/>
        </w:rPr>
        <w:t>u</w:t>
      </w:r>
      <w:r>
        <w:rPr>
          <w:color w:val="000000"/>
          <w:spacing w:val="41"/>
        </w:rPr>
        <w:t xml:space="preserve"> </w:t>
      </w:r>
      <w:r>
        <w:rPr>
          <w:color w:val="000000"/>
          <w:spacing w:val="2"/>
        </w:rPr>
        <w:t>L</w:t>
      </w:r>
      <w:r>
        <w:rPr>
          <w:color w:val="000000"/>
          <w:spacing w:val="-4"/>
        </w:rPr>
        <w:t>i</w:t>
      </w:r>
      <w:r>
        <w:rPr>
          <w:color w:val="000000"/>
        </w:rPr>
        <w:t>n</w:t>
      </w:r>
      <w:r>
        <w:rPr>
          <w:color w:val="000000"/>
          <w:spacing w:val="-1"/>
        </w:rPr>
        <w:t>a</w:t>
      </w:r>
      <w:r>
        <w:rPr>
          <w:color w:val="000000"/>
          <w:spacing w:val="4"/>
        </w:rPr>
        <w:t>ž</w:t>
      </w:r>
      <w:r>
        <w:rPr>
          <w:color w:val="000000"/>
          <w:spacing w:val="-4"/>
        </w:rPr>
        <w:t>i</w:t>
      </w:r>
      <w:r>
        <w:rPr>
          <w:color w:val="000000"/>
          <w:spacing w:val="-1"/>
        </w:rPr>
        <w:t>e</w:t>
      </w:r>
      <w:r>
        <w:rPr>
          <w:color w:val="000000"/>
        </w:rPr>
        <w:t>d</w:t>
      </w:r>
      <w:r>
        <w:rPr>
          <w:color w:val="000000"/>
          <w:spacing w:val="4"/>
        </w:rPr>
        <w:t>ž</w:t>
      </w:r>
      <w:r>
        <w:rPr>
          <w:color w:val="000000"/>
          <w:spacing w:val="-9"/>
        </w:rPr>
        <w:t>i</w:t>
      </w:r>
      <w:r>
        <w:rPr>
          <w:color w:val="000000"/>
        </w:rPr>
        <w:t>o</w:t>
      </w:r>
      <w:r>
        <w:rPr>
          <w:color w:val="000000"/>
          <w:spacing w:val="50"/>
        </w:rPr>
        <w:t xml:space="preserve"> </w:t>
      </w:r>
      <w:r>
        <w:rPr>
          <w:color w:val="000000"/>
          <w:spacing w:val="-2"/>
        </w:rPr>
        <w:t>s</w:t>
      </w:r>
      <w:r>
        <w:rPr>
          <w:color w:val="000000"/>
        </w:rPr>
        <w:t>uku</w:t>
      </w:r>
      <w:r>
        <w:rPr>
          <w:color w:val="000000"/>
          <w:spacing w:val="4"/>
        </w:rPr>
        <w:t>č</w:t>
      </w:r>
      <w:r>
        <w:rPr>
          <w:color w:val="000000"/>
          <w:spacing w:val="-9"/>
        </w:rPr>
        <w:t>i</w:t>
      </w:r>
      <w:r>
        <w:rPr>
          <w:color w:val="000000"/>
          <w:spacing w:val="5"/>
        </w:rPr>
        <w:t>o</w:t>
      </w:r>
      <w:r>
        <w:rPr>
          <w:color w:val="000000"/>
        </w:rPr>
        <w:t>,</w:t>
      </w:r>
      <w:r>
        <w:rPr>
          <w:color w:val="000000"/>
          <w:spacing w:val="43"/>
        </w:rPr>
        <w:t xml:space="preserve"> </w:t>
      </w:r>
      <w:r>
        <w:rPr>
          <w:color w:val="000000"/>
        </w:rPr>
        <w:t>Y</w:t>
      </w:r>
      <w:r>
        <w:rPr>
          <w:color w:val="000000"/>
          <w:spacing w:val="4"/>
        </w:rPr>
        <w:t>o</w:t>
      </w:r>
      <w:r>
        <w:rPr>
          <w:color w:val="000000"/>
          <w:spacing w:val="-5"/>
        </w:rPr>
        <w:t>p</w:t>
      </w:r>
      <w:r>
        <w:rPr>
          <w:color w:val="000000"/>
        </w:rPr>
        <w:t>o</w:t>
      </w:r>
      <w:r>
        <w:rPr>
          <w:color w:val="000000"/>
          <w:spacing w:val="45"/>
        </w:rPr>
        <w:t xml:space="preserve"> </w:t>
      </w:r>
      <w:r>
        <w:rPr>
          <w:color w:val="000000"/>
          <w:spacing w:val="-2"/>
        </w:rPr>
        <w:t>s</w:t>
      </w:r>
      <w:r>
        <w:rPr>
          <w:color w:val="000000"/>
          <w:spacing w:val="-1"/>
        </w:rPr>
        <w:t>ė</w:t>
      </w:r>
      <w:r>
        <w:rPr>
          <w:color w:val="000000"/>
          <w:spacing w:val="5"/>
        </w:rPr>
        <w:t>k</w:t>
      </w:r>
      <w:r>
        <w:rPr>
          <w:color w:val="000000"/>
          <w:spacing w:val="-9"/>
        </w:rPr>
        <w:t>l</w:t>
      </w:r>
      <w:r>
        <w:rPr>
          <w:color w:val="000000"/>
          <w:spacing w:val="9"/>
        </w:rPr>
        <w:t>o</w:t>
      </w:r>
      <w:r>
        <w:rPr>
          <w:color w:val="000000"/>
          <w:spacing w:val="-4"/>
        </w:rPr>
        <w:t>mi</w:t>
      </w:r>
      <w:r>
        <w:rPr>
          <w:color w:val="000000"/>
          <w:spacing w:val="-2"/>
        </w:rPr>
        <w:t>s</w:t>
      </w:r>
      <w:r>
        <w:rPr>
          <w:color w:val="000000"/>
        </w:rPr>
        <w:t>.</w:t>
      </w:r>
      <w:r>
        <w:rPr>
          <w:color w:val="000000"/>
          <w:spacing w:val="43"/>
        </w:rPr>
        <w:t xml:space="preserve"> </w:t>
      </w:r>
      <w:r>
        <w:rPr>
          <w:color w:val="000000"/>
        </w:rPr>
        <w:t>G</w:t>
      </w:r>
      <w:r>
        <w:rPr>
          <w:color w:val="000000"/>
          <w:spacing w:val="3"/>
        </w:rPr>
        <w:t>a</w:t>
      </w:r>
      <w:r>
        <w:rPr>
          <w:color w:val="000000"/>
        </w:rPr>
        <w:t>l</w:t>
      </w:r>
      <w:r>
        <w:rPr>
          <w:color w:val="000000"/>
          <w:spacing w:val="-4"/>
        </w:rPr>
        <w:t>im</w:t>
      </w:r>
      <w:r>
        <w:rPr>
          <w:color w:val="000000"/>
        </w:rPr>
        <w:t>a</w:t>
      </w:r>
      <w:r>
        <w:rPr>
          <w:color w:val="000000"/>
          <w:spacing w:val="49"/>
        </w:rPr>
        <w:t xml:space="preserve"> </w:t>
      </w:r>
      <w:r>
        <w:rPr>
          <w:color w:val="000000"/>
          <w:spacing w:val="-5"/>
        </w:rPr>
        <w:t>n</w:t>
      </w:r>
      <w:r>
        <w:rPr>
          <w:color w:val="000000"/>
          <w:spacing w:val="5"/>
        </w:rPr>
        <w:t>u</w:t>
      </w:r>
      <w:r>
        <w:rPr>
          <w:color w:val="000000"/>
          <w:spacing w:val="-4"/>
        </w:rPr>
        <w:t>m</w:t>
      </w:r>
      <w:r>
        <w:rPr>
          <w:color w:val="000000"/>
          <w:spacing w:val="4"/>
        </w:rPr>
        <w:t>a</w:t>
      </w:r>
      <w:r>
        <w:rPr>
          <w:color w:val="000000"/>
        </w:rPr>
        <w:t>n</w:t>
      </w:r>
      <w:r>
        <w:rPr>
          <w:color w:val="000000"/>
          <w:spacing w:val="-10"/>
        </w:rPr>
        <w:t>y</w:t>
      </w:r>
      <w:r>
        <w:rPr>
          <w:color w:val="000000"/>
          <w:spacing w:val="10"/>
        </w:rPr>
        <w:t>t</w:t>
      </w:r>
      <w:r>
        <w:rPr>
          <w:color w:val="000000"/>
          <w:spacing w:val="-9"/>
        </w:rPr>
        <w:t>i</w:t>
      </w:r>
      <w:r>
        <w:rPr>
          <w:color w:val="000000"/>
        </w:rPr>
        <w:t>,</w:t>
      </w:r>
      <w:r>
        <w:rPr>
          <w:color w:val="000000"/>
          <w:spacing w:val="43"/>
        </w:rPr>
        <w:t xml:space="preserve"> </w:t>
      </w:r>
      <w:r>
        <w:rPr>
          <w:color w:val="000000"/>
        </w:rPr>
        <w:t>k</w:t>
      </w:r>
      <w:r>
        <w:rPr>
          <w:color w:val="000000"/>
          <w:spacing w:val="-1"/>
        </w:rPr>
        <w:t>a</w:t>
      </w:r>
      <w:r>
        <w:rPr>
          <w:color w:val="000000"/>
        </w:rPr>
        <w:t>d</w:t>
      </w:r>
      <w:r>
        <w:rPr>
          <w:color w:val="000000"/>
          <w:spacing w:val="45"/>
        </w:rPr>
        <w:t xml:space="preserve"> </w:t>
      </w:r>
      <w:r>
        <w:rPr>
          <w:color w:val="000000"/>
        </w:rPr>
        <w:t>n</w:t>
      </w:r>
      <w:r>
        <w:rPr>
          <w:color w:val="000000"/>
          <w:spacing w:val="-1"/>
        </w:rPr>
        <w:t>e</w:t>
      </w:r>
      <w:r>
        <w:rPr>
          <w:color w:val="000000"/>
          <w:spacing w:val="5"/>
        </w:rPr>
        <w:t>d</w:t>
      </w:r>
      <w:r>
        <w:rPr>
          <w:color w:val="000000"/>
          <w:spacing w:val="-9"/>
        </w:rPr>
        <w:t>i</w:t>
      </w:r>
      <w:r>
        <w:rPr>
          <w:color w:val="000000"/>
          <w:spacing w:val="5"/>
        </w:rPr>
        <w:t>d</w:t>
      </w:r>
      <w:r>
        <w:rPr>
          <w:color w:val="000000"/>
          <w:spacing w:val="4"/>
        </w:rPr>
        <w:t>e</w:t>
      </w:r>
      <w:r>
        <w:rPr>
          <w:color w:val="000000"/>
        </w:rPr>
        <w:t>li t</w:t>
      </w:r>
      <w:r>
        <w:rPr>
          <w:color w:val="000000"/>
          <w:spacing w:val="5"/>
        </w:rPr>
        <w:t>o</w:t>
      </w:r>
      <w:r>
        <w:rPr>
          <w:color w:val="000000"/>
        </w:rPr>
        <w:t>k</w:t>
      </w:r>
      <w:r>
        <w:rPr>
          <w:color w:val="000000"/>
          <w:spacing w:val="-9"/>
        </w:rPr>
        <w:t>i</w:t>
      </w:r>
      <w:r>
        <w:rPr>
          <w:color w:val="000000"/>
        </w:rPr>
        <w:t xml:space="preserve">ų </w:t>
      </w:r>
      <w:r>
        <w:rPr>
          <w:color w:val="000000"/>
          <w:spacing w:val="33"/>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 xml:space="preserve">gų </w:t>
      </w:r>
      <w:r>
        <w:rPr>
          <w:color w:val="000000"/>
          <w:spacing w:val="29"/>
        </w:rPr>
        <w:t xml:space="preserve"> </w:t>
      </w:r>
      <w:r>
        <w:rPr>
          <w:color w:val="000000"/>
          <w:spacing w:val="-2"/>
        </w:rPr>
        <w:t>s</w:t>
      </w:r>
      <w:r>
        <w:rPr>
          <w:color w:val="000000"/>
          <w:spacing w:val="-1"/>
        </w:rPr>
        <w:t>ė</w:t>
      </w:r>
      <w:r>
        <w:rPr>
          <w:color w:val="000000"/>
          <w:spacing w:val="5"/>
        </w:rPr>
        <w:t>k</w:t>
      </w:r>
      <w:r>
        <w:rPr>
          <w:color w:val="000000"/>
          <w:spacing w:val="-4"/>
        </w:rPr>
        <w:t>l</w:t>
      </w:r>
      <w:r>
        <w:rPr>
          <w:color w:val="000000"/>
        </w:rPr>
        <w:t xml:space="preserve">ų </w:t>
      </w:r>
      <w:r>
        <w:rPr>
          <w:color w:val="000000"/>
          <w:spacing w:val="29"/>
        </w:rPr>
        <w:t xml:space="preserve"> </w:t>
      </w:r>
      <w:r>
        <w:rPr>
          <w:color w:val="000000"/>
          <w:spacing w:val="5"/>
        </w:rPr>
        <w:t>k</w:t>
      </w:r>
      <w:r>
        <w:rPr>
          <w:color w:val="000000"/>
          <w:spacing w:val="-4"/>
        </w:rPr>
        <w:t>i</w:t>
      </w:r>
      <w:r>
        <w:rPr>
          <w:color w:val="000000"/>
          <w:spacing w:val="-1"/>
        </w:rPr>
        <w:t>e</w:t>
      </w:r>
      <w:r>
        <w:rPr>
          <w:color w:val="000000"/>
          <w:spacing w:val="5"/>
        </w:rPr>
        <w:t>k</w:t>
      </w:r>
      <w:r>
        <w:rPr>
          <w:color w:val="000000"/>
          <w:spacing w:val="-1"/>
        </w:rPr>
        <w:t>i</w:t>
      </w:r>
      <w:r>
        <w:rPr>
          <w:color w:val="000000"/>
          <w:spacing w:val="4"/>
        </w:rPr>
        <w:t>a</w:t>
      </w:r>
      <w:r>
        <w:rPr>
          <w:color w:val="000000"/>
        </w:rPr>
        <w:t xml:space="preserve">i </w:t>
      </w:r>
      <w:r>
        <w:rPr>
          <w:color w:val="000000"/>
          <w:spacing w:val="29"/>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33"/>
        </w:rPr>
        <w:t xml:space="preserve"> </w:t>
      </w:r>
      <w:r>
        <w:rPr>
          <w:color w:val="000000"/>
          <w:spacing w:val="2"/>
        </w:rPr>
        <w:t>s</w:t>
      </w:r>
      <w:r>
        <w:rPr>
          <w:color w:val="000000"/>
          <w:spacing w:val="-9"/>
        </w:rPr>
        <w:t>i</w:t>
      </w:r>
      <w:r>
        <w:rPr>
          <w:color w:val="000000"/>
          <w:spacing w:val="5"/>
        </w:rPr>
        <w:t>u</w:t>
      </w:r>
      <w:r>
        <w:rPr>
          <w:color w:val="000000"/>
          <w:spacing w:val="-5"/>
        </w:rPr>
        <w:t>n</w:t>
      </w:r>
      <w:r>
        <w:rPr>
          <w:color w:val="000000"/>
          <w:spacing w:val="4"/>
        </w:rPr>
        <w:t>č</w:t>
      </w:r>
      <w:r>
        <w:rPr>
          <w:color w:val="000000"/>
          <w:spacing w:val="-4"/>
        </w:rPr>
        <w:t>i</w:t>
      </w:r>
      <w:r>
        <w:rPr>
          <w:color w:val="000000"/>
          <w:spacing w:val="4"/>
        </w:rPr>
        <w:t>a</w:t>
      </w:r>
      <w:r>
        <w:rPr>
          <w:color w:val="000000"/>
        </w:rPr>
        <w:t xml:space="preserve">mi </w:t>
      </w:r>
      <w:r>
        <w:rPr>
          <w:color w:val="000000"/>
          <w:spacing w:val="30"/>
        </w:rPr>
        <w:t xml:space="preserve"> </w:t>
      </w:r>
      <w:r>
        <w:rPr>
          <w:color w:val="000000"/>
          <w:spacing w:val="-5"/>
        </w:rPr>
        <w:t>b</w:t>
      </w:r>
      <w:r>
        <w:rPr>
          <w:color w:val="000000"/>
          <w:spacing w:val="4"/>
        </w:rPr>
        <w:t>a</w:t>
      </w:r>
      <w:r>
        <w:rPr>
          <w:color w:val="000000"/>
          <w:spacing w:val="-5"/>
        </w:rPr>
        <w:t>n</w:t>
      </w:r>
      <w:r>
        <w:rPr>
          <w:color w:val="000000"/>
          <w:spacing w:val="5"/>
        </w:rPr>
        <w:t>d</w:t>
      </w:r>
      <w:r>
        <w:rPr>
          <w:color w:val="000000"/>
        </w:rPr>
        <w:t>y</w:t>
      </w:r>
      <w:r>
        <w:rPr>
          <w:color w:val="000000"/>
          <w:spacing w:val="-4"/>
        </w:rPr>
        <w:t>m</w:t>
      </w:r>
      <w:r>
        <w:rPr>
          <w:color w:val="000000"/>
          <w:spacing w:val="4"/>
        </w:rPr>
        <w:t>a</w:t>
      </w:r>
      <w:r>
        <w:rPr>
          <w:color w:val="000000"/>
          <w:spacing w:val="-4"/>
        </w:rPr>
        <w:t>m</w:t>
      </w:r>
      <w:r>
        <w:rPr>
          <w:color w:val="000000"/>
          <w:spacing w:val="-2"/>
        </w:rPr>
        <w:t>s</w:t>
      </w:r>
      <w:r>
        <w:rPr>
          <w:color w:val="000000"/>
        </w:rPr>
        <w:t xml:space="preserve">, </w:t>
      </w:r>
      <w:r>
        <w:rPr>
          <w:color w:val="000000"/>
          <w:spacing w:val="31"/>
        </w:rPr>
        <w:t xml:space="preserve"> </w:t>
      </w:r>
      <w:r>
        <w:rPr>
          <w:color w:val="000000"/>
          <w:spacing w:val="5"/>
        </w:rPr>
        <w:t>t</w:t>
      </w:r>
      <w:r>
        <w:rPr>
          <w:color w:val="000000"/>
          <w:spacing w:val="8"/>
        </w:rPr>
        <w:t>.</w:t>
      </w:r>
      <w:r>
        <w:rPr>
          <w:color w:val="000000"/>
          <w:spacing w:val="-10"/>
        </w:rPr>
        <w:t>y</w:t>
      </w:r>
      <w:r>
        <w:rPr>
          <w:color w:val="000000"/>
        </w:rPr>
        <w:t xml:space="preserve">. </w:t>
      </w:r>
      <w:r>
        <w:rPr>
          <w:color w:val="000000"/>
          <w:spacing w:val="31"/>
        </w:rPr>
        <w:t xml:space="preserve"> </w:t>
      </w:r>
      <w:r>
        <w:rPr>
          <w:color w:val="000000"/>
        </w:rPr>
        <w:t>p</w:t>
      </w:r>
      <w:r>
        <w:rPr>
          <w:color w:val="000000"/>
          <w:spacing w:val="4"/>
        </w:rPr>
        <w:t>a</w:t>
      </w:r>
      <w:r>
        <w:rPr>
          <w:color w:val="000000"/>
          <w:spacing w:val="-5"/>
        </w:rPr>
        <w:t>b</w:t>
      </w:r>
      <w:r>
        <w:rPr>
          <w:color w:val="000000"/>
          <w:spacing w:val="4"/>
        </w:rPr>
        <w:t>a</w:t>
      </w:r>
      <w:r>
        <w:rPr>
          <w:color w:val="000000"/>
          <w:spacing w:val="-5"/>
        </w:rPr>
        <w:t>n</w:t>
      </w:r>
      <w:r>
        <w:rPr>
          <w:color w:val="000000"/>
          <w:spacing w:val="5"/>
        </w:rPr>
        <w:t>d</w:t>
      </w:r>
      <w:r>
        <w:rPr>
          <w:color w:val="000000"/>
          <w:spacing w:val="-10"/>
        </w:rPr>
        <w:t>y</w:t>
      </w:r>
      <w:r>
        <w:rPr>
          <w:color w:val="000000"/>
          <w:spacing w:val="10"/>
        </w:rPr>
        <w:t>t</w:t>
      </w:r>
      <w:r>
        <w:rPr>
          <w:color w:val="000000"/>
        </w:rPr>
        <w:t xml:space="preserve">i </w:t>
      </w:r>
      <w:r>
        <w:rPr>
          <w:color w:val="000000"/>
          <w:spacing w:val="24"/>
        </w:rPr>
        <w:t xml:space="preserve"> </w:t>
      </w:r>
      <w:r>
        <w:rPr>
          <w:color w:val="000000"/>
        </w:rPr>
        <w:t>u</w:t>
      </w:r>
      <w:r>
        <w:rPr>
          <w:color w:val="000000"/>
          <w:spacing w:val="-1"/>
        </w:rPr>
        <w:t>ža</w:t>
      </w:r>
      <w:r>
        <w:rPr>
          <w:color w:val="000000"/>
        </w:rPr>
        <w:t>u</w:t>
      </w:r>
      <w:r>
        <w:rPr>
          <w:color w:val="000000"/>
          <w:spacing w:val="5"/>
        </w:rPr>
        <w:t>g</w:t>
      </w:r>
      <w:r>
        <w:rPr>
          <w:color w:val="000000"/>
          <w:spacing w:val="-4"/>
        </w:rPr>
        <w:t>i</w:t>
      </w:r>
      <w:r>
        <w:rPr>
          <w:color w:val="000000"/>
          <w:spacing w:val="-5"/>
        </w:rPr>
        <w:t>n</w:t>
      </w:r>
      <w:r>
        <w:rPr>
          <w:color w:val="000000"/>
          <w:spacing w:val="10"/>
        </w:rPr>
        <w:t>t</w:t>
      </w:r>
      <w:r>
        <w:rPr>
          <w:color w:val="000000"/>
        </w:rPr>
        <w:t xml:space="preserve">i </w:t>
      </w:r>
      <w:r>
        <w:rPr>
          <w:color w:val="000000"/>
          <w:spacing w:val="24"/>
        </w:rPr>
        <w:t xml:space="preserve"> </w:t>
      </w:r>
      <w:r>
        <w:rPr>
          <w:color w:val="000000"/>
          <w:spacing w:val="-1"/>
        </w:rPr>
        <w:t>a</w:t>
      </w:r>
      <w:r>
        <w:rPr>
          <w:color w:val="000000"/>
        </w:rPr>
        <w:t>ug</w:t>
      </w:r>
      <w:r>
        <w:rPr>
          <w:color w:val="000000"/>
          <w:spacing w:val="4"/>
        </w:rPr>
        <w:t>a</w:t>
      </w:r>
      <w:r>
        <w:rPr>
          <w:color w:val="000000"/>
          <w:spacing w:val="-4"/>
        </w:rPr>
        <w:t>l</w:t>
      </w:r>
      <w:r>
        <w:rPr>
          <w:color w:val="000000"/>
        </w:rPr>
        <w:t>u</w:t>
      </w:r>
      <w:r>
        <w:rPr>
          <w:color w:val="000000"/>
          <w:spacing w:val="-2"/>
        </w:rPr>
        <w:t>s</w:t>
      </w:r>
      <w:r>
        <w:rPr>
          <w:color w:val="000000"/>
        </w:rPr>
        <w:t xml:space="preserve">, </w:t>
      </w:r>
      <w:r>
        <w:rPr>
          <w:color w:val="000000"/>
          <w:spacing w:val="5"/>
        </w:rPr>
        <w:t>t</w:t>
      </w:r>
      <w:r>
        <w:rPr>
          <w:color w:val="000000"/>
        </w:rPr>
        <w:t>u</w:t>
      </w:r>
      <w:r>
        <w:rPr>
          <w:color w:val="000000"/>
          <w:spacing w:val="1"/>
        </w:rPr>
        <w:t>r</w:t>
      </w:r>
      <w:r>
        <w:rPr>
          <w:color w:val="000000"/>
          <w:spacing w:val="-9"/>
        </w:rPr>
        <w:t>i</w:t>
      </w:r>
      <w:r>
        <w:rPr>
          <w:color w:val="000000"/>
        </w:rPr>
        <w:t>n</w:t>
      </w:r>
      <w:r>
        <w:rPr>
          <w:color w:val="000000"/>
          <w:spacing w:val="4"/>
        </w:rPr>
        <w:t>č</w:t>
      </w:r>
      <w:r>
        <w:rPr>
          <w:color w:val="000000"/>
          <w:spacing w:val="-9"/>
        </w:rPr>
        <w:t>i</w:t>
      </w:r>
      <w:r>
        <w:rPr>
          <w:color w:val="000000"/>
          <w:spacing w:val="5"/>
        </w:rPr>
        <w:t>u</w:t>
      </w:r>
      <w:r>
        <w:rPr>
          <w:color w:val="000000"/>
        </w:rPr>
        <w:t xml:space="preserve">s </w:t>
      </w:r>
      <w:r>
        <w:rPr>
          <w:color w:val="000000"/>
          <w:spacing w:val="-2"/>
        </w:rPr>
        <w:t>s</w:t>
      </w:r>
      <w:r>
        <w:rPr>
          <w:color w:val="000000"/>
          <w:spacing w:val="4"/>
        </w:rPr>
        <w:t>a</w:t>
      </w:r>
      <w:r>
        <w:rPr>
          <w:color w:val="000000"/>
        </w:rPr>
        <w:t>vy</w:t>
      </w:r>
      <w:r>
        <w:rPr>
          <w:color w:val="000000"/>
          <w:spacing w:val="-4"/>
        </w:rPr>
        <w:t>j</w:t>
      </w:r>
      <w:r>
        <w:rPr>
          <w:color w:val="000000"/>
        </w:rPr>
        <w:t>e</w:t>
      </w:r>
      <w:r>
        <w:rPr>
          <w:color w:val="000000"/>
          <w:spacing w:val="1"/>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2"/>
        </w:rPr>
        <w:t xml:space="preserve"> </w:t>
      </w:r>
      <w:r>
        <w:rPr>
          <w:color w:val="000000"/>
          <w:spacing w:val="-1"/>
        </w:rPr>
        <w:t>a</w:t>
      </w:r>
      <w:r>
        <w:rPr>
          <w:color w:val="000000"/>
        </w:rPr>
        <w:t>r</w:t>
      </w:r>
      <w:r>
        <w:rPr>
          <w:color w:val="000000"/>
          <w:spacing w:val="4"/>
        </w:rPr>
        <w:t xml:space="preserve"> </w:t>
      </w:r>
      <w:r>
        <w:rPr>
          <w:color w:val="000000"/>
          <w:spacing w:val="-5"/>
        </w:rPr>
        <w:t>h</w:t>
      </w:r>
      <w:r>
        <w:rPr>
          <w:color w:val="000000"/>
          <w:spacing w:val="4"/>
        </w:rPr>
        <w:t>a</w:t>
      </w:r>
      <w:r>
        <w:rPr>
          <w:color w:val="000000"/>
        </w:rPr>
        <w:t>l</w:t>
      </w:r>
      <w:r>
        <w:rPr>
          <w:color w:val="000000"/>
          <w:spacing w:val="-4"/>
        </w:rPr>
        <w:t>i</w:t>
      </w:r>
      <w:r>
        <w:rPr>
          <w:color w:val="000000"/>
        </w:rPr>
        <w:t>u</w:t>
      </w:r>
      <w:r>
        <w:rPr>
          <w:color w:val="000000"/>
          <w:spacing w:val="4"/>
        </w:rPr>
        <w:t>c</w:t>
      </w:r>
      <w:r>
        <w:rPr>
          <w:color w:val="000000"/>
          <w:spacing w:val="-4"/>
        </w:rPr>
        <w:t>i</w:t>
      </w:r>
      <w:r>
        <w:rPr>
          <w:color w:val="000000"/>
          <w:spacing w:val="-5"/>
        </w:rPr>
        <w:t>n</w:t>
      </w:r>
      <w:r>
        <w:rPr>
          <w:color w:val="000000"/>
          <w:spacing w:val="5"/>
        </w:rPr>
        <w:t>o</w:t>
      </w:r>
      <w:r>
        <w:rPr>
          <w:color w:val="000000"/>
        </w:rPr>
        <w:t>g</w:t>
      </w:r>
      <w:r>
        <w:rPr>
          <w:color w:val="000000"/>
          <w:spacing w:val="4"/>
        </w:rPr>
        <w:t>e</w:t>
      </w:r>
      <w:r>
        <w:rPr>
          <w:color w:val="000000"/>
        </w:rPr>
        <w:t>n</w:t>
      </w:r>
      <w:r>
        <w:rPr>
          <w:color w:val="000000"/>
          <w:spacing w:val="-4"/>
        </w:rPr>
        <w:t>i</w:t>
      </w:r>
      <w:r>
        <w:rPr>
          <w:color w:val="000000"/>
          <w:spacing w:val="5"/>
        </w:rPr>
        <w:t>n</w:t>
      </w:r>
      <w:r>
        <w:rPr>
          <w:color w:val="000000"/>
          <w:spacing w:val="2"/>
        </w:rPr>
        <w:t>i</w:t>
      </w:r>
      <w:r>
        <w:rPr>
          <w:color w:val="000000"/>
        </w:rPr>
        <w:t>ų</w:t>
      </w:r>
      <w:r>
        <w:rPr>
          <w:color w:val="000000"/>
          <w:spacing w:val="2"/>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p>
    <w:p w:rsidR="004F7425" w:rsidRDefault="004F7425" w:rsidP="004F7425">
      <w:pPr>
        <w:widowControl w:val="0"/>
        <w:autoSpaceDE w:val="0"/>
        <w:autoSpaceDN w:val="0"/>
        <w:adjustRightInd w:val="0"/>
        <w:spacing w:before="1"/>
        <w:ind w:left="120" w:right="126" w:firstLine="721"/>
        <w:jc w:val="both"/>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spacing w:val="-4"/>
        </w:rPr>
        <w:t>j</w:t>
      </w:r>
      <w:r>
        <w:rPr>
          <w:color w:val="000000"/>
        </w:rPr>
        <w:t>e</w:t>
      </w:r>
      <w:r>
        <w:rPr>
          <w:color w:val="000000"/>
          <w:spacing w:val="30"/>
        </w:rPr>
        <w:t xml:space="preserve"> </w:t>
      </w:r>
      <w:r>
        <w:rPr>
          <w:color w:val="000000"/>
          <w:spacing w:val="5"/>
        </w:rPr>
        <w:t>k</w:t>
      </w:r>
      <w:r>
        <w:rPr>
          <w:color w:val="000000"/>
          <w:spacing w:val="-4"/>
        </w:rPr>
        <w:t>i</w:t>
      </w:r>
      <w:r>
        <w:rPr>
          <w:color w:val="000000"/>
          <w:spacing w:val="-1"/>
        </w:rPr>
        <w:t>e</w:t>
      </w:r>
      <w:r>
        <w:rPr>
          <w:color w:val="000000"/>
          <w:spacing w:val="5"/>
        </w:rPr>
        <w:t>k</w:t>
      </w:r>
      <w:r>
        <w:rPr>
          <w:color w:val="000000"/>
        </w:rPr>
        <w:t>v</w:t>
      </w:r>
      <w:r>
        <w:rPr>
          <w:color w:val="000000"/>
          <w:spacing w:val="-4"/>
        </w:rPr>
        <w:t>i</w:t>
      </w:r>
      <w:r>
        <w:rPr>
          <w:color w:val="000000"/>
          <w:spacing w:val="4"/>
        </w:rPr>
        <w:t>e</w:t>
      </w:r>
      <w:r>
        <w:rPr>
          <w:color w:val="000000"/>
          <w:spacing w:val="-5"/>
        </w:rPr>
        <w:t>n</w:t>
      </w:r>
      <w:r>
        <w:rPr>
          <w:color w:val="000000"/>
          <w:spacing w:val="4"/>
        </w:rPr>
        <w:t>a</w:t>
      </w:r>
      <w:r>
        <w:rPr>
          <w:color w:val="000000"/>
          <w:spacing w:val="-4"/>
        </w:rPr>
        <w:t>i</w:t>
      </w:r>
      <w:r>
        <w:rPr>
          <w:color w:val="000000"/>
        </w:rPr>
        <w:t>s</w:t>
      </w:r>
      <w:r>
        <w:rPr>
          <w:color w:val="000000"/>
          <w:spacing w:val="34"/>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rPr>
        <w:t>s</w:t>
      </w:r>
      <w:r>
        <w:rPr>
          <w:color w:val="000000"/>
          <w:spacing w:val="34"/>
        </w:rPr>
        <w:t xml:space="preserve"> </w:t>
      </w:r>
      <w:r>
        <w:rPr>
          <w:color w:val="000000"/>
          <w:spacing w:val="-4"/>
        </w:rPr>
        <w:t>i</w:t>
      </w:r>
      <w:r>
        <w:rPr>
          <w:color w:val="000000"/>
        </w:rPr>
        <w:t>š</w:t>
      </w:r>
      <w:r>
        <w:rPr>
          <w:color w:val="000000"/>
          <w:spacing w:val="34"/>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to</w:t>
      </w:r>
      <w:r>
        <w:rPr>
          <w:color w:val="000000"/>
        </w:rPr>
        <w:t>s</w:t>
      </w:r>
      <w:r>
        <w:rPr>
          <w:color w:val="000000"/>
          <w:spacing w:val="29"/>
        </w:rPr>
        <w:t xml:space="preserve">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rPr>
        <w:t>t</w:t>
      </w:r>
      <w:r>
        <w:rPr>
          <w:color w:val="000000"/>
          <w:spacing w:val="5"/>
        </w:rPr>
        <w:t>o</w:t>
      </w:r>
      <w:r>
        <w:rPr>
          <w:color w:val="000000"/>
        </w:rPr>
        <w:t>s</w:t>
      </w:r>
      <w:r>
        <w:rPr>
          <w:color w:val="000000"/>
          <w:spacing w:val="29"/>
        </w:rPr>
        <w:t xml:space="preserve"> </w:t>
      </w:r>
      <w:r>
        <w:rPr>
          <w:color w:val="000000"/>
          <w:spacing w:val="-4"/>
        </w:rPr>
        <w:t>i</w:t>
      </w:r>
      <w:r>
        <w:rPr>
          <w:color w:val="000000"/>
          <w:spacing w:val="2"/>
        </w:rPr>
        <w:t>š</w:t>
      </w:r>
      <w:r>
        <w:rPr>
          <w:color w:val="000000"/>
          <w:spacing w:val="-4"/>
        </w:rPr>
        <w:t>im</w:t>
      </w:r>
      <w:r>
        <w:rPr>
          <w:color w:val="000000"/>
          <w:spacing w:val="8"/>
        </w:rPr>
        <w:t>a</w:t>
      </w:r>
      <w:r>
        <w:rPr>
          <w:color w:val="000000"/>
          <w:spacing w:val="-4"/>
        </w:rPr>
        <w:t>m</w:t>
      </w:r>
      <w:r>
        <w:rPr>
          <w:color w:val="000000"/>
        </w:rPr>
        <w:t>a</w:t>
      </w:r>
      <w:r>
        <w:rPr>
          <w:color w:val="000000"/>
          <w:spacing w:val="35"/>
        </w:rPr>
        <w:t xml:space="preserve"> </w:t>
      </w:r>
      <w:r>
        <w:rPr>
          <w:color w:val="000000"/>
          <w:spacing w:val="-9"/>
        </w:rPr>
        <w:t>i</w:t>
      </w:r>
      <w:r>
        <w:rPr>
          <w:color w:val="000000"/>
        </w:rPr>
        <w:t>r</w:t>
      </w:r>
      <w:r>
        <w:rPr>
          <w:color w:val="000000"/>
          <w:spacing w:val="37"/>
        </w:rPr>
        <w:t xml:space="preserve"> </w:t>
      </w:r>
      <w:r>
        <w:rPr>
          <w:color w:val="000000"/>
        </w:rPr>
        <w:t>v</w:t>
      </w:r>
      <w:r>
        <w:rPr>
          <w:color w:val="000000"/>
          <w:spacing w:val="4"/>
        </w:rPr>
        <w:t>a</w:t>
      </w:r>
      <w:r>
        <w:rPr>
          <w:color w:val="000000"/>
          <w:spacing w:val="-4"/>
        </w:rPr>
        <w:t>i</w:t>
      </w:r>
      <w:r>
        <w:rPr>
          <w:color w:val="000000"/>
          <w:spacing w:val="-2"/>
        </w:rPr>
        <w:t>s</w:t>
      </w:r>
      <w:r>
        <w:rPr>
          <w:color w:val="000000"/>
          <w:spacing w:val="10"/>
        </w:rPr>
        <w:t>t</w:t>
      </w:r>
      <w:r>
        <w:rPr>
          <w:color w:val="000000"/>
          <w:spacing w:val="-4"/>
        </w:rPr>
        <w:t>i</w:t>
      </w:r>
      <w:r>
        <w:rPr>
          <w:color w:val="000000"/>
        </w:rPr>
        <w:t>n</w:t>
      </w:r>
      <w:r>
        <w:rPr>
          <w:color w:val="000000"/>
          <w:spacing w:val="-4"/>
        </w:rPr>
        <w:t>i</w:t>
      </w:r>
      <w:r>
        <w:rPr>
          <w:color w:val="000000"/>
        </w:rPr>
        <w:t>ų</w:t>
      </w:r>
      <w:r>
        <w:rPr>
          <w:color w:val="000000"/>
          <w:spacing w:val="31"/>
        </w:rPr>
        <w:t xml:space="preserve"> </w:t>
      </w:r>
      <w:r>
        <w:rPr>
          <w:color w:val="000000"/>
        </w:rPr>
        <w:t>p</w:t>
      </w:r>
      <w:r>
        <w:rPr>
          <w:color w:val="000000"/>
          <w:spacing w:val="1"/>
        </w:rPr>
        <w:t>r</w:t>
      </w:r>
      <w:r>
        <w:rPr>
          <w:color w:val="000000"/>
          <w:spacing w:val="-1"/>
        </w:rPr>
        <w:t>e</w:t>
      </w:r>
      <w:r>
        <w:rPr>
          <w:color w:val="000000"/>
        </w:rPr>
        <w:t>p</w:t>
      </w:r>
      <w:r>
        <w:rPr>
          <w:color w:val="000000"/>
          <w:spacing w:val="-1"/>
        </w:rPr>
        <w:t>a</w:t>
      </w:r>
      <w:r>
        <w:rPr>
          <w:color w:val="000000"/>
          <w:spacing w:val="1"/>
        </w:rPr>
        <w:t>r</w:t>
      </w:r>
      <w:r>
        <w:rPr>
          <w:color w:val="000000"/>
          <w:spacing w:val="-1"/>
        </w:rPr>
        <w:t>a</w:t>
      </w:r>
      <w:r>
        <w:rPr>
          <w:color w:val="000000"/>
          <w:spacing w:val="5"/>
        </w:rPr>
        <w:t>t</w:t>
      </w:r>
      <w:r>
        <w:rPr>
          <w:color w:val="000000"/>
          <w:spacing w:val="11"/>
        </w:rPr>
        <w:t>ų</w:t>
      </w:r>
      <w:r>
        <w:rPr>
          <w:color w:val="000000"/>
        </w:rPr>
        <w:t>,</w:t>
      </w:r>
      <w:r>
        <w:rPr>
          <w:color w:val="000000"/>
          <w:spacing w:val="28"/>
        </w:rPr>
        <w:t xml:space="preserve"> </w:t>
      </w:r>
      <w:r>
        <w:rPr>
          <w:color w:val="000000"/>
          <w:spacing w:val="5"/>
        </w:rPr>
        <w:t>t</w:t>
      </w:r>
      <w:r>
        <w:rPr>
          <w:color w:val="000000"/>
          <w:spacing w:val="-1"/>
        </w:rPr>
        <w:t>ač</w:t>
      </w:r>
      <w:r>
        <w:rPr>
          <w:color w:val="000000"/>
          <w:spacing w:val="-9"/>
        </w:rPr>
        <w:t>i</w:t>
      </w:r>
      <w:r>
        <w:rPr>
          <w:color w:val="000000"/>
          <w:spacing w:val="4"/>
        </w:rPr>
        <w:t>a</w:t>
      </w:r>
      <w:r>
        <w:rPr>
          <w:color w:val="000000"/>
        </w:rPr>
        <w:t xml:space="preserve">u </w:t>
      </w:r>
      <w:r>
        <w:rPr>
          <w:color w:val="000000"/>
          <w:spacing w:val="2"/>
        </w:rPr>
        <w:t>s</w:t>
      </w:r>
      <w:r>
        <w:rPr>
          <w:color w:val="000000"/>
          <w:spacing w:val="-9"/>
        </w:rPr>
        <w:t>i</w:t>
      </w:r>
      <w:r>
        <w:rPr>
          <w:color w:val="000000"/>
          <w:spacing w:val="5"/>
        </w:rPr>
        <w:t>t</w:t>
      </w:r>
      <w:r>
        <w:rPr>
          <w:color w:val="000000"/>
        </w:rPr>
        <w:t>u</w:t>
      </w:r>
      <w:r>
        <w:rPr>
          <w:color w:val="000000"/>
          <w:spacing w:val="-1"/>
        </w:rPr>
        <w:t>a</w:t>
      </w:r>
      <w:r>
        <w:rPr>
          <w:color w:val="000000"/>
          <w:spacing w:val="4"/>
        </w:rPr>
        <w:t>c</w:t>
      </w:r>
      <w:r>
        <w:rPr>
          <w:color w:val="000000"/>
          <w:spacing w:val="-4"/>
        </w:rPr>
        <w:t>ij</w:t>
      </w:r>
      <w:r>
        <w:rPr>
          <w:color w:val="000000"/>
        </w:rPr>
        <w:t>a</w:t>
      </w:r>
      <w:r>
        <w:rPr>
          <w:color w:val="000000"/>
          <w:spacing w:val="3"/>
        </w:rPr>
        <w:t xml:space="preserve"> </w:t>
      </w:r>
      <w:r>
        <w:rPr>
          <w:color w:val="000000"/>
        </w:rPr>
        <w:t>p</w:t>
      </w:r>
      <w:r>
        <w:rPr>
          <w:color w:val="000000"/>
          <w:spacing w:val="1"/>
        </w:rPr>
        <w:t>r</w:t>
      </w:r>
      <w:r>
        <w:rPr>
          <w:color w:val="000000"/>
          <w:spacing w:val="-1"/>
        </w:rPr>
        <w:t>a</w:t>
      </w:r>
      <w:r>
        <w:rPr>
          <w:color w:val="000000"/>
        </w:rPr>
        <w:t>k</w:t>
      </w:r>
      <w:r>
        <w:rPr>
          <w:color w:val="000000"/>
          <w:spacing w:val="5"/>
        </w:rPr>
        <w:t>t</w:t>
      </w:r>
      <w:r>
        <w:rPr>
          <w:color w:val="000000"/>
          <w:spacing w:val="-4"/>
        </w:rPr>
        <w:t>i</w:t>
      </w:r>
      <w:r>
        <w:rPr>
          <w:color w:val="000000"/>
          <w:spacing w:val="-2"/>
        </w:rPr>
        <w:t>š</w:t>
      </w:r>
      <w:r>
        <w:rPr>
          <w:color w:val="000000"/>
        </w:rPr>
        <w:t>k</w:t>
      </w:r>
      <w:r>
        <w:rPr>
          <w:color w:val="000000"/>
          <w:spacing w:val="4"/>
        </w:rPr>
        <w:t>a</w:t>
      </w:r>
      <w:r>
        <w:rPr>
          <w:color w:val="000000"/>
        </w:rPr>
        <w:t xml:space="preserve">i </w:t>
      </w:r>
      <w:r>
        <w:rPr>
          <w:color w:val="000000"/>
          <w:spacing w:val="-5"/>
        </w:rPr>
        <w:t>n</w:t>
      </w:r>
      <w:r>
        <w:rPr>
          <w:color w:val="000000"/>
          <w:spacing w:val="-1"/>
        </w:rPr>
        <w:t>e</w:t>
      </w:r>
      <w:r>
        <w:rPr>
          <w:color w:val="000000"/>
          <w:spacing w:val="2"/>
        </w:rPr>
        <w:t>s</w:t>
      </w:r>
      <w:r>
        <w:rPr>
          <w:color w:val="000000"/>
          <w:spacing w:val="-4"/>
        </w:rPr>
        <w:t>i</w:t>
      </w:r>
      <w:r>
        <w:rPr>
          <w:color w:val="000000"/>
        </w:rPr>
        <w:t>k</w:t>
      </w:r>
      <w:r>
        <w:rPr>
          <w:color w:val="000000"/>
          <w:spacing w:val="4"/>
        </w:rPr>
        <w:t>e</w:t>
      </w:r>
      <w:r>
        <w:rPr>
          <w:color w:val="000000"/>
          <w:spacing w:val="-4"/>
        </w:rPr>
        <w:t>i</w:t>
      </w:r>
      <w:r>
        <w:rPr>
          <w:color w:val="000000"/>
          <w:spacing w:val="4"/>
        </w:rPr>
        <w:t>č</w:t>
      </w:r>
      <w:r>
        <w:rPr>
          <w:color w:val="000000"/>
          <w:spacing w:val="-4"/>
        </w:rPr>
        <w:t>i</w:t>
      </w:r>
      <w:r>
        <w:rPr>
          <w:color w:val="000000"/>
          <w:spacing w:val="-1"/>
        </w:rPr>
        <w:t>a</w:t>
      </w:r>
      <w:r>
        <w:rPr>
          <w:color w:val="000000"/>
        </w:rPr>
        <w:t>.</w:t>
      </w:r>
      <w:r>
        <w:rPr>
          <w:color w:val="000000"/>
          <w:spacing w:val="6"/>
        </w:rPr>
        <w:t xml:space="preserve"> </w:t>
      </w:r>
      <w:r>
        <w:rPr>
          <w:color w:val="000000"/>
          <w:spacing w:val="-5"/>
        </w:rPr>
        <w:t>K</w:t>
      </w:r>
      <w:r>
        <w:rPr>
          <w:color w:val="000000"/>
          <w:spacing w:val="4"/>
        </w:rPr>
        <w:t>a</w:t>
      </w:r>
      <w:r>
        <w:rPr>
          <w:color w:val="000000"/>
          <w:spacing w:val="-4"/>
        </w:rPr>
        <w:t>i</w:t>
      </w:r>
      <w:r>
        <w:rPr>
          <w:color w:val="000000"/>
        </w:rPr>
        <w:t>p</w:t>
      </w:r>
      <w:r>
        <w:rPr>
          <w:color w:val="000000"/>
          <w:spacing w:val="4"/>
        </w:rPr>
        <w:t xml:space="preserve"> </w:t>
      </w:r>
      <w:r>
        <w:rPr>
          <w:color w:val="000000"/>
          <w:spacing w:val="-4"/>
        </w:rPr>
        <w:t>i</w:t>
      </w:r>
      <w:r>
        <w:rPr>
          <w:color w:val="000000"/>
        </w:rPr>
        <w:t>r</w:t>
      </w:r>
      <w:r>
        <w:rPr>
          <w:color w:val="000000"/>
          <w:spacing w:val="1"/>
        </w:rPr>
        <w:t xml:space="preserve"> </w:t>
      </w:r>
      <w:r>
        <w:rPr>
          <w:color w:val="000000"/>
          <w:spacing w:val="4"/>
        </w:rPr>
        <w:t>a</w:t>
      </w:r>
      <w:r>
        <w:rPr>
          <w:color w:val="000000"/>
          <w:spacing w:val="-5"/>
        </w:rPr>
        <w:t>n</w:t>
      </w:r>
      <w:r>
        <w:rPr>
          <w:color w:val="000000"/>
          <w:spacing w:val="5"/>
        </w:rPr>
        <w:t>k</w:t>
      </w:r>
      <w:r>
        <w:rPr>
          <w:color w:val="000000"/>
          <w:spacing w:val="-2"/>
        </w:rPr>
        <w:t>s</w:t>
      </w:r>
      <w:r>
        <w:rPr>
          <w:color w:val="000000"/>
          <w:spacing w:val="4"/>
        </w:rPr>
        <w:t>č</w:t>
      </w:r>
      <w:r>
        <w:rPr>
          <w:color w:val="000000"/>
          <w:spacing w:val="-4"/>
        </w:rPr>
        <w:t>i</w:t>
      </w:r>
      <w:r>
        <w:rPr>
          <w:color w:val="000000"/>
          <w:spacing w:val="-1"/>
        </w:rPr>
        <w:t>a</w:t>
      </w:r>
      <w:r>
        <w:rPr>
          <w:color w:val="000000"/>
        </w:rPr>
        <w:t>u,</w:t>
      </w:r>
      <w:r>
        <w:rPr>
          <w:color w:val="000000"/>
          <w:spacing w:val="1"/>
        </w:rPr>
        <w:t xml:space="preserve"> </w:t>
      </w:r>
      <w:r>
        <w:rPr>
          <w:color w:val="000000"/>
        </w:rPr>
        <w:t>2012</w:t>
      </w:r>
      <w:r>
        <w:rPr>
          <w:color w:val="000000"/>
          <w:spacing w:val="4"/>
        </w:rPr>
        <w:t xml:space="preserve"> </w:t>
      </w:r>
      <w:r>
        <w:rPr>
          <w:color w:val="000000"/>
          <w:spacing w:val="-9"/>
        </w:rPr>
        <w:t>m</w:t>
      </w:r>
      <w:r>
        <w:rPr>
          <w:color w:val="000000"/>
        </w:rPr>
        <w:t>.</w:t>
      </w:r>
      <w:r>
        <w:rPr>
          <w:color w:val="000000"/>
          <w:spacing w:val="1"/>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 xml:space="preserve">i </w:t>
      </w:r>
      <w:r>
        <w:rPr>
          <w:color w:val="000000"/>
          <w:spacing w:val="-5"/>
        </w:rPr>
        <w:t>b</w:t>
      </w:r>
      <w:r>
        <w:rPr>
          <w:color w:val="000000"/>
          <w:spacing w:val="5"/>
        </w:rPr>
        <w:t>u</w:t>
      </w:r>
      <w:r>
        <w:rPr>
          <w:color w:val="000000"/>
          <w:spacing w:val="-5"/>
        </w:rPr>
        <w:t>v</w:t>
      </w:r>
      <w:r>
        <w:rPr>
          <w:color w:val="000000"/>
        </w:rPr>
        <w:t>o</w:t>
      </w:r>
      <w:r>
        <w:rPr>
          <w:color w:val="000000"/>
          <w:spacing w:val="4"/>
        </w:rPr>
        <w:t xml:space="preserve"> </w:t>
      </w:r>
      <w:r>
        <w:rPr>
          <w:color w:val="000000"/>
          <w:spacing w:val="5"/>
        </w:rPr>
        <w:t>p</w:t>
      </w:r>
      <w:r>
        <w:rPr>
          <w:color w:val="000000"/>
          <w:spacing w:val="-9"/>
        </w:rPr>
        <w:t>i</w:t>
      </w:r>
      <w:r>
        <w:rPr>
          <w:color w:val="000000"/>
        </w:rPr>
        <w:t>k</w:t>
      </w:r>
      <w:r>
        <w:rPr>
          <w:color w:val="000000"/>
          <w:spacing w:val="5"/>
        </w:rPr>
        <w:t>t</w:t>
      </w:r>
      <w:r>
        <w:rPr>
          <w:color w:val="000000"/>
          <w:spacing w:val="-5"/>
        </w:rPr>
        <w:t>n</w:t>
      </w:r>
      <w:r>
        <w:rPr>
          <w:color w:val="000000"/>
          <w:spacing w:val="-1"/>
        </w:rPr>
        <w:t>a</w:t>
      </w:r>
      <w:r>
        <w:rPr>
          <w:color w:val="000000"/>
        </w:rPr>
        <w:t>ud</w:t>
      </w:r>
      <w:r>
        <w:rPr>
          <w:color w:val="000000"/>
          <w:spacing w:val="4"/>
        </w:rPr>
        <w:t>ž</w:t>
      </w:r>
      <w:r>
        <w:rPr>
          <w:color w:val="000000"/>
          <w:spacing w:val="-4"/>
        </w:rPr>
        <w:t>i</w:t>
      </w:r>
      <w:r>
        <w:rPr>
          <w:color w:val="000000"/>
          <w:spacing w:val="-1"/>
        </w:rPr>
        <w:t>a</w:t>
      </w:r>
      <w:r>
        <w:rPr>
          <w:color w:val="000000"/>
          <w:spacing w:val="5"/>
        </w:rPr>
        <w:t>u</w:t>
      </w:r>
      <w:r>
        <w:rPr>
          <w:color w:val="000000"/>
          <w:spacing w:val="-4"/>
        </w:rPr>
        <w:t>j</w:t>
      </w:r>
      <w:r>
        <w:rPr>
          <w:color w:val="000000"/>
          <w:spacing w:val="4"/>
        </w:rPr>
        <w:t>a</w:t>
      </w:r>
      <w:r>
        <w:rPr>
          <w:color w:val="000000"/>
          <w:spacing w:val="-4"/>
        </w:rPr>
        <w:t>m</w:t>
      </w:r>
      <w:r>
        <w:rPr>
          <w:color w:val="000000"/>
        </w:rPr>
        <w:t>a</w:t>
      </w:r>
      <w:r>
        <w:rPr>
          <w:color w:val="000000"/>
          <w:spacing w:val="3"/>
        </w:rPr>
        <w:t xml:space="preserve"> </w:t>
      </w:r>
      <w:r>
        <w:rPr>
          <w:color w:val="000000"/>
        </w:rPr>
        <w:t>n</w:t>
      </w:r>
      <w:r>
        <w:rPr>
          <w:color w:val="000000"/>
          <w:spacing w:val="-1"/>
        </w:rPr>
        <w:t>e</w:t>
      </w:r>
      <w:r>
        <w:rPr>
          <w:color w:val="000000"/>
          <w:spacing w:val="6"/>
        </w:rPr>
        <w:t>r</w:t>
      </w:r>
      <w:r>
        <w:rPr>
          <w:color w:val="000000"/>
          <w:spacing w:val="-4"/>
        </w:rPr>
        <w:t>i</w:t>
      </w:r>
      <w:r>
        <w:rPr>
          <w:color w:val="000000"/>
        </w:rPr>
        <w:t xml:space="preserve">mą </w:t>
      </w:r>
      <w:r>
        <w:rPr>
          <w:color w:val="000000"/>
          <w:spacing w:val="-4"/>
        </w:rPr>
        <w:t>m</w:t>
      </w:r>
      <w:r>
        <w:rPr>
          <w:color w:val="000000"/>
          <w:spacing w:val="-1"/>
        </w:rPr>
        <w:t>a</w:t>
      </w:r>
      <w:r>
        <w:rPr>
          <w:color w:val="000000"/>
          <w:spacing w:val="4"/>
        </w:rPr>
        <w:t>ž</w:t>
      </w:r>
      <w:r>
        <w:rPr>
          <w:color w:val="000000"/>
          <w:spacing w:val="-4"/>
        </w:rPr>
        <w:t>i</w:t>
      </w:r>
      <w:r>
        <w:rPr>
          <w:color w:val="000000"/>
        </w:rPr>
        <w:t>n</w:t>
      </w:r>
      <w:r>
        <w:rPr>
          <w:color w:val="000000"/>
          <w:spacing w:val="4"/>
        </w:rPr>
        <w:t>a</w:t>
      </w:r>
      <w:r>
        <w:rPr>
          <w:color w:val="000000"/>
        </w:rPr>
        <w:t>n</w:t>
      </w:r>
      <w:r>
        <w:rPr>
          <w:color w:val="000000"/>
          <w:spacing w:val="4"/>
        </w:rPr>
        <w:t>č</w:t>
      </w:r>
      <w:r>
        <w:rPr>
          <w:color w:val="000000"/>
          <w:spacing w:val="-4"/>
        </w:rPr>
        <w:t>i</w:t>
      </w:r>
      <w:r>
        <w:rPr>
          <w:color w:val="000000"/>
          <w:spacing w:val="4"/>
        </w:rPr>
        <w:t>a</w:t>
      </w:r>
      <w:r>
        <w:rPr>
          <w:color w:val="000000"/>
          <w:spacing w:val="-4"/>
        </w:rPr>
        <w:t>i</w:t>
      </w:r>
      <w:r>
        <w:rPr>
          <w:color w:val="000000"/>
        </w:rPr>
        <w:t>s b</w:t>
      </w:r>
      <w:r>
        <w:rPr>
          <w:color w:val="000000"/>
          <w:spacing w:val="4"/>
        </w:rPr>
        <w:t>e</w:t>
      </w:r>
      <w:r>
        <w:rPr>
          <w:color w:val="000000"/>
          <w:spacing w:val="-5"/>
        </w:rPr>
        <w:t>n</w:t>
      </w:r>
      <w:r>
        <w:rPr>
          <w:color w:val="000000"/>
          <w:spacing w:val="-1"/>
        </w:rPr>
        <w:t>z</w:t>
      </w:r>
      <w:r>
        <w:rPr>
          <w:color w:val="000000"/>
          <w:spacing w:val="5"/>
        </w:rPr>
        <w:t>od</w:t>
      </w:r>
      <w:r>
        <w:rPr>
          <w:color w:val="000000"/>
          <w:spacing w:val="-9"/>
        </w:rPr>
        <w:t>i</w:t>
      </w:r>
      <w:r>
        <w:rPr>
          <w:color w:val="000000"/>
          <w:spacing w:val="-1"/>
        </w:rPr>
        <w:t>aze</w:t>
      </w:r>
      <w:r>
        <w:rPr>
          <w:color w:val="000000"/>
          <w:spacing w:val="5"/>
        </w:rPr>
        <w:t>p</w:t>
      </w:r>
      <w:r>
        <w:rPr>
          <w:color w:val="000000"/>
          <w:spacing w:val="-4"/>
        </w:rPr>
        <w:t>i</w:t>
      </w:r>
      <w:r>
        <w:rPr>
          <w:color w:val="000000"/>
        </w:rPr>
        <w:t>nų</w:t>
      </w:r>
      <w:r>
        <w:rPr>
          <w:color w:val="000000"/>
          <w:spacing w:val="2"/>
        </w:rPr>
        <w:t xml:space="preserve"> </w:t>
      </w:r>
      <w:r>
        <w:rPr>
          <w:color w:val="000000"/>
        </w:rPr>
        <w:t>g</w:t>
      </w:r>
      <w:r>
        <w:rPr>
          <w:color w:val="000000"/>
          <w:spacing w:val="1"/>
        </w:rPr>
        <w:t>r</w:t>
      </w:r>
      <w:r>
        <w:rPr>
          <w:color w:val="000000"/>
        </w:rPr>
        <w:t>up</w:t>
      </w:r>
      <w:r>
        <w:rPr>
          <w:color w:val="000000"/>
          <w:spacing w:val="-1"/>
        </w:rPr>
        <w:t>ė</w:t>
      </w:r>
      <w:r>
        <w:rPr>
          <w:color w:val="000000"/>
        </w:rPr>
        <w:t>s p</w:t>
      </w:r>
      <w:r>
        <w:rPr>
          <w:color w:val="000000"/>
          <w:spacing w:val="1"/>
        </w:rPr>
        <w:t>r</w:t>
      </w:r>
      <w:r>
        <w:rPr>
          <w:color w:val="000000"/>
          <w:spacing w:val="-1"/>
        </w:rPr>
        <w:t>e</w:t>
      </w:r>
      <w:r>
        <w:rPr>
          <w:color w:val="000000"/>
        </w:rPr>
        <w:t>p</w:t>
      </w:r>
      <w:r>
        <w:rPr>
          <w:color w:val="000000"/>
          <w:spacing w:val="-1"/>
        </w:rPr>
        <w:t>a</w:t>
      </w:r>
      <w:r>
        <w:rPr>
          <w:color w:val="000000"/>
          <w:spacing w:val="1"/>
        </w:rPr>
        <w:t>r</w:t>
      </w:r>
      <w:r>
        <w:rPr>
          <w:color w:val="000000"/>
          <w:spacing w:val="-1"/>
        </w:rPr>
        <w:t>a</w:t>
      </w:r>
      <w:r>
        <w:rPr>
          <w:color w:val="000000"/>
          <w:spacing w:val="5"/>
        </w:rPr>
        <w:t>t</w:t>
      </w:r>
      <w:r>
        <w:rPr>
          <w:color w:val="000000"/>
          <w:spacing w:val="-6"/>
        </w:rPr>
        <w:t>a</w:t>
      </w:r>
      <w:r>
        <w:rPr>
          <w:color w:val="000000"/>
          <w:spacing w:val="-4"/>
        </w:rPr>
        <w:t>i</w:t>
      </w:r>
      <w:r>
        <w:rPr>
          <w:color w:val="000000"/>
          <w:spacing w:val="-2"/>
        </w:rPr>
        <w:t>s</w:t>
      </w:r>
      <w:r>
        <w:rPr>
          <w:color w:val="000000"/>
        </w:rPr>
        <w:t>,</w:t>
      </w:r>
      <w:r>
        <w:rPr>
          <w:color w:val="000000"/>
          <w:spacing w:val="5"/>
        </w:rPr>
        <w:t xml:space="preserve"> </w:t>
      </w:r>
      <w:r>
        <w:rPr>
          <w:color w:val="000000"/>
        </w:rPr>
        <w:t>t</w:t>
      </w:r>
      <w:r>
        <w:rPr>
          <w:color w:val="000000"/>
          <w:spacing w:val="5"/>
        </w:rPr>
        <w:t>o</w:t>
      </w:r>
      <w:r>
        <w:rPr>
          <w:color w:val="000000"/>
        </w:rPr>
        <w:t>k</w:t>
      </w:r>
      <w:r>
        <w:rPr>
          <w:color w:val="000000"/>
          <w:spacing w:val="-2"/>
        </w:rPr>
        <w:t>i</w:t>
      </w:r>
      <w:r>
        <w:rPr>
          <w:color w:val="000000"/>
          <w:spacing w:val="4"/>
        </w:rPr>
        <w:t>a</w:t>
      </w:r>
      <w:r>
        <w:rPr>
          <w:color w:val="000000"/>
          <w:spacing w:val="-4"/>
        </w:rPr>
        <w:t>i</w:t>
      </w:r>
      <w:r>
        <w:rPr>
          <w:color w:val="000000"/>
        </w:rPr>
        <w:t>s k</w:t>
      </w:r>
      <w:r>
        <w:rPr>
          <w:color w:val="000000"/>
          <w:spacing w:val="4"/>
        </w:rPr>
        <w:t>a</w:t>
      </w:r>
      <w:r>
        <w:rPr>
          <w:color w:val="000000"/>
          <w:spacing w:val="-4"/>
        </w:rPr>
        <w:t>i</w:t>
      </w:r>
      <w:r>
        <w:rPr>
          <w:color w:val="000000"/>
        </w:rPr>
        <w:t>p</w:t>
      </w:r>
      <w:r>
        <w:rPr>
          <w:color w:val="000000"/>
          <w:spacing w:val="2"/>
        </w:rPr>
        <w:t xml:space="preserve"> </w:t>
      </w:r>
      <w:r>
        <w:rPr>
          <w:color w:val="000000"/>
          <w:spacing w:val="5"/>
        </w:rPr>
        <w:t>k</w:t>
      </w:r>
      <w:r>
        <w:rPr>
          <w:color w:val="000000"/>
          <w:spacing w:val="-9"/>
        </w:rPr>
        <w:t>l</w:t>
      </w:r>
      <w:r>
        <w:rPr>
          <w:color w:val="000000"/>
          <w:spacing w:val="9"/>
        </w:rPr>
        <w:t>o</w:t>
      </w:r>
      <w:r>
        <w:rPr>
          <w:color w:val="000000"/>
          <w:spacing w:val="-5"/>
        </w:rPr>
        <w:t>n</w:t>
      </w:r>
      <w:r>
        <w:rPr>
          <w:color w:val="000000"/>
          <w:spacing w:val="-1"/>
        </w:rPr>
        <w:t>aze</w:t>
      </w:r>
      <w:r>
        <w:rPr>
          <w:color w:val="000000"/>
        </w:rPr>
        <w:t>p</w:t>
      </w:r>
      <w:r>
        <w:rPr>
          <w:color w:val="000000"/>
          <w:spacing w:val="4"/>
        </w:rPr>
        <w:t>a</w:t>
      </w:r>
      <w:r>
        <w:rPr>
          <w:color w:val="000000"/>
          <w:spacing w:val="-4"/>
        </w:rPr>
        <w:t>m</w:t>
      </w:r>
      <w:r>
        <w:rPr>
          <w:color w:val="000000"/>
          <w:spacing w:val="4"/>
        </w:rPr>
        <w:t>a</w:t>
      </w:r>
      <w:r>
        <w:rPr>
          <w:color w:val="000000"/>
          <w:spacing w:val="-2"/>
        </w:rPr>
        <w:t>s</w:t>
      </w:r>
      <w:r>
        <w:rPr>
          <w:color w:val="000000"/>
        </w:rPr>
        <w:t>,</w:t>
      </w:r>
      <w:r>
        <w:rPr>
          <w:color w:val="000000"/>
          <w:spacing w:val="9"/>
        </w:rPr>
        <w:t xml:space="preserve"> </w:t>
      </w:r>
      <w:r>
        <w:rPr>
          <w:color w:val="000000"/>
          <w:spacing w:val="-9"/>
        </w:rPr>
        <w:t>l</w:t>
      </w:r>
      <w:r>
        <w:rPr>
          <w:color w:val="000000"/>
          <w:spacing w:val="5"/>
        </w:rPr>
        <w:t>o</w:t>
      </w:r>
      <w:r>
        <w:rPr>
          <w:color w:val="000000"/>
          <w:spacing w:val="1"/>
        </w:rPr>
        <w:t>r</w:t>
      </w:r>
      <w:r>
        <w:rPr>
          <w:color w:val="000000"/>
          <w:spacing w:val="-1"/>
        </w:rPr>
        <w:t>aze</w:t>
      </w:r>
      <w:r>
        <w:rPr>
          <w:color w:val="000000"/>
        </w:rPr>
        <w:t>p</w:t>
      </w:r>
      <w:r>
        <w:rPr>
          <w:color w:val="000000"/>
          <w:spacing w:val="4"/>
        </w:rPr>
        <w:t>a</w:t>
      </w:r>
      <w:r>
        <w:rPr>
          <w:color w:val="000000"/>
          <w:spacing w:val="-9"/>
        </w:rPr>
        <w:t>m</w:t>
      </w:r>
      <w:r>
        <w:rPr>
          <w:color w:val="000000"/>
          <w:spacing w:val="4"/>
        </w:rPr>
        <w:t>a</w:t>
      </w:r>
      <w:r>
        <w:rPr>
          <w:color w:val="000000"/>
          <w:spacing w:val="-2"/>
        </w:rPr>
        <w:t>s</w:t>
      </w:r>
      <w:r>
        <w:rPr>
          <w:color w:val="000000"/>
        </w:rPr>
        <w:t xml:space="preserve">, </w:t>
      </w:r>
      <w:r>
        <w:rPr>
          <w:color w:val="000000"/>
          <w:spacing w:val="-5"/>
        </w:rPr>
        <w:t>b</w:t>
      </w:r>
      <w:r>
        <w:rPr>
          <w:color w:val="000000"/>
          <w:spacing w:val="1"/>
        </w:rPr>
        <w:t>r</w:t>
      </w:r>
      <w:r>
        <w:rPr>
          <w:color w:val="000000"/>
          <w:spacing w:val="9"/>
        </w:rPr>
        <w:t>o</w:t>
      </w:r>
      <w:r>
        <w:rPr>
          <w:color w:val="000000"/>
          <w:spacing w:val="-9"/>
        </w:rPr>
        <w:t>m</w:t>
      </w:r>
      <w:r>
        <w:rPr>
          <w:color w:val="000000"/>
          <w:spacing w:val="-1"/>
        </w:rPr>
        <w:t>aze</w:t>
      </w:r>
      <w:r>
        <w:rPr>
          <w:color w:val="000000"/>
        </w:rPr>
        <w:t>p</w:t>
      </w:r>
      <w:r>
        <w:rPr>
          <w:color w:val="000000"/>
          <w:spacing w:val="4"/>
        </w:rPr>
        <w:t>a</w:t>
      </w:r>
      <w:r>
        <w:rPr>
          <w:color w:val="000000"/>
          <w:spacing w:val="-4"/>
        </w:rPr>
        <w:t>m</w:t>
      </w:r>
      <w:r>
        <w:rPr>
          <w:color w:val="000000"/>
          <w:spacing w:val="4"/>
        </w:rPr>
        <w:t>a</w:t>
      </w:r>
      <w:r>
        <w:rPr>
          <w:color w:val="000000"/>
        </w:rPr>
        <w:t>s</w:t>
      </w:r>
      <w:r>
        <w:rPr>
          <w:color w:val="000000"/>
          <w:spacing w:val="1"/>
        </w:rPr>
        <w:t xml:space="preserve"> </w:t>
      </w:r>
      <w:r>
        <w:rPr>
          <w:color w:val="000000"/>
          <w:spacing w:val="-1"/>
        </w:rPr>
        <w:t>a</w:t>
      </w:r>
      <w:r>
        <w:rPr>
          <w:color w:val="000000"/>
        </w:rPr>
        <w:t>r</w:t>
      </w:r>
      <w:r>
        <w:rPr>
          <w:color w:val="000000"/>
          <w:spacing w:val="5"/>
        </w:rPr>
        <w:t xml:space="preserve"> d</w:t>
      </w:r>
      <w:r>
        <w:rPr>
          <w:color w:val="000000"/>
          <w:spacing w:val="-9"/>
        </w:rPr>
        <w:t>i</w:t>
      </w:r>
      <w:r>
        <w:rPr>
          <w:color w:val="000000"/>
          <w:spacing w:val="-1"/>
        </w:rPr>
        <w:t>aze</w:t>
      </w:r>
      <w:r>
        <w:rPr>
          <w:color w:val="000000"/>
        </w:rPr>
        <w:t>p</w:t>
      </w:r>
      <w:r>
        <w:rPr>
          <w:color w:val="000000"/>
          <w:spacing w:val="4"/>
        </w:rPr>
        <w:t>a</w:t>
      </w:r>
      <w:r>
        <w:rPr>
          <w:color w:val="000000"/>
          <w:spacing w:val="-4"/>
        </w:rPr>
        <w:t>m</w:t>
      </w:r>
      <w:r>
        <w:rPr>
          <w:color w:val="000000"/>
          <w:spacing w:val="4"/>
        </w:rPr>
        <w:t>a</w:t>
      </w:r>
      <w:r>
        <w:rPr>
          <w:color w:val="000000"/>
          <w:spacing w:val="-2"/>
        </w:rPr>
        <w:t>s</w:t>
      </w:r>
      <w:r>
        <w:rPr>
          <w:color w:val="000000"/>
        </w:rPr>
        <w:t>.</w:t>
      </w:r>
      <w:r>
        <w:rPr>
          <w:color w:val="000000"/>
          <w:spacing w:val="6"/>
        </w:rPr>
        <w:t xml:space="preserve"> </w:t>
      </w:r>
      <w:r>
        <w:rPr>
          <w:color w:val="000000"/>
          <w:spacing w:val="-2"/>
        </w:rPr>
        <w:t>B</w:t>
      </w:r>
      <w:r>
        <w:rPr>
          <w:color w:val="000000"/>
          <w:spacing w:val="-1"/>
        </w:rPr>
        <w:t>e</w:t>
      </w:r>
      <w:r>
        <w:rPr>
          <w:color w:val="000000"/>
        </w:rPr>
        <w:t>t</w:t>
      </w:r>
      <w:r>
        <w:rPr>
          <w:color w:val="000000"/>
          <w:spacing w:val="8"/>
        </w:rPr>
        <w:t xml:space="preserve"> </w:t>
      </w:r>
      <w:r>
        <w:rPr>
          <w:color w:val="000000"/>
          <w:spacing w:val="-9"/>
        </w:rPr>
        <w:t>i</w:t>
      </w:r>
      <w:r>
        <w:rPr>
          <w:color w:val="000000"/>
        </w:rPr>
        <w:t>š</w:t>
      </w:r>
      <w:r>
        <w:rPr>
          <w:color w:val="000000"/>
          <w:spacing w:val="6"/>
        </w:rPr>
        <w:t xml:space="preserve"> </w:t>
      </w:r>
      <w:r>
        <w:rPr>
          <w:color w:val="000000"/>
          <w:spacing w:val="-5"/>
        </w:rPr>
        <w:t>n</w:t>
      </w:r>
      <w:r>
        <w:rPr>
          <w:color w:val="000000"/>
          <w:spacing w:val="4"/>
        </w:rPr>
        <w:t>e</w:t>
      </w:r>
      <w:r>
        <w:rPr>
          <w:color w:val="000000"/>
          <w:spacing w:val="-4"/>
        </w:rPr>
        <w:t>l</w:t>
      </w:r>
      <w:r>
        <w:rPr>
          <w:color w:val="000000"/>
          <w:spacing w:val="-1"/>
        </w:rPr>
        <w:t>e</w:t>
      </w:r>
      <w:r>
        <w:rPr>
          <w:color w:val="000000"/>
        </w:rPr>
        <w:t>g</w:t>
      </w:r>
      <w:r>
        <w:rPr>
          <w:color w:val="000000"/>
          <w:spacing w:val="4"/>
        </w:rPr>
        <w:t>a</w:t>
      </w:r>
      <w:r>
        <w:rPr>
          <w:color w:val="000000"/>
        </w:rPr>
        <w:t>l</w:t>
      </w:r>
      <w:r>
        <w:rPr>
          <w:color w:val="000000"/>
          <w:spacing w:val="-9"/>
        </w:rPr>
        <w:t>i</w:t>
      </w:r>
      <w:r>
        <w:rPr>
          <w:color w:val="000000"/>
          <w:spacing w:val="5"/>
        </w:rPr>
        <w:t>o</w:t>
      </w:r>
      <w:r>
        <w:rPr>
          <w:color w:val="000000"/>
        </w:rPr>
        <w:t>s</w:t>
      </w:r>
      <w:r>
        <w:rPr>
          <w:color w:val="000000"/>
          <w:spacing w:val="6"/>
        </w:rPr>
        <w:t xml:space="preserve">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rPr>
        <w:t>t</w:t>
      </w:r>
      <w:r>
        <w:rPr>
          <w:color w:val="000000"/>
          <w:spacing w:val="5"/>
        </w:rPr>
        <w:t>o</w:t>
      </w:r>
      <w:r>
        <w:rPr>
          <w:color w:val="000000"/>
        </w:rPr>
        <w:t>s</w:t>
      </w:r>
      <w:r>
        <w:rPr>
          <w:color w:val="000000"/>
          <w:spacing w:val="1"/>
        </w:rPr>
        <w:t xml:space="preserve"> </w:t>
      </w:r>
      <w:r>
        <w:rPr>
          <w:color w:val="000000"/>
          <w:spacing w:val="-4"/>
        </w:rPr>
        <w:t>i</w:t>
      </w:r>
      <w:r>
        <w:rPr>
          <w:color w:val="000000"/>
          <w:spacing w:val="2"/>
        </w:rPr>
        <w:t>š</w:t>
      </w:r>
      <w:r>
        <w:rPr>
          <w:color w:val="000000"/>
        </w:rPr>
        <w:t>i</w:t>
      </w:r>
      <w:r>
        <w:rPr>
          <w:color w:val="000000"/>
          <w:spacing w:val="-4"/>
        </w:rPr>
        <w:t>m</w:t>
      </w:r>
      <w:r>
        <w:rPr>
          <w:color w:val="000000"/>
          <w:spacing w:val="4"/>
        </w:rPr>
        <w:t>a</w:t>
      </w:r>
      <w:r>
        <w:rPr>
          <w:color w:val="000000"/>
        </w:rPr>
        <w:t xml:space="preserve">mi </w:t>
      </w:r>
      <w:r>
        <w:rPr>
          <w:color w:val="000000"/>
          <w:spacing w:val="-5"/>
        </w:rPr>
        <w:t>v</w:t>
      </w:r>
      <w:r>
        <w:rPr>
          <w:color w:val="000000"/>
          <w:spacing w:val="4"/>
        </w:rPr>
        <w:t>a</w:t>
      </w:r>
      <w:r>
        <w:rPr>
          <w:color w:val="000000"/>
          <w:spacing w:val="-4"/>
        </w:rPr>
        <w:t>i</w:t>
      </w:r>
      <w:r>
        <w:rPr>
          <w:color w:val="000000"/>
          <w:spacing w:val="-2"/>
        </w:rPr>
        <w:t>s</w:t>
      </w:r>
      <w:r>
        <w:rPr>
          <w:color w:val="000000"/>
          <w:spacing w:val="10"/>
        </w:rPr>
        <w:t>t</w:t>
      </w:r>
      <w:r>
        <w:rPr>
          <w:color w:val="000000"/>
          <w:spacing w:val="-4"/>
        </w:rPr>
        <w:t>i</w:t>
      </w:r>
      <w:r>
        <w:rPr>
          <w:color w:val="000000"/>
        </w:rPr>
        <w:t>n</w:t>
      </w:r>
      <w:r>
        <w:rPr>
          <w:color w:val="000000"/>
          <w:spacing w:val="-4"/>
        </w:rPr>
        <w:t>i</w:t>
      </w:r>
      <w:r>
        <w:rPr>
          <w:color w:val="000000"/>
        </w:rPr>
        <w:t>ų</w:t>
      </w:r>
      <w:r>
        <w:rPr>
          <w:color w:val="000000"/>
          <w:spacing w:val="3"/>
        </w:rPr>
        <w:t xml:space="preserve"> </w:t>
      </w:r>
      <w:r>
        <w:rPr>
          <w:color w:val="000000"/>
        </w:rPr>
        <w:t>p</w:t>
      </w:r>
      <w:r>
        <w:rPr>
          <w:color w:val="000000"/>
          <w:spacing w:val="1"/>
        </w:rPr>
        <w:t>r</w:t>
      </w:r>
      <w:r>
        <w:rPr>
          <w:color w:val="000000"/>
          <w:spacing w:val="-1"/>
        </w:rPr>
        <w:t>e</w:t>
      </w:r>
      <w:r>
        <w:rPr>
          <w:color w:val="000000"/>
        </w:rPr>
        <w:t>p</w:t>
      </w:r>
      <w:r>
        <w:rPr>
          <w:color w:val="000000"/>
          <w:spacing w:val="-1"/>
        </w:rPr>
        <w:t>a</w:t>
      </w:r>
      <w:r>
        <w:rPr>
          <w:color w:val="000000"/>
          <w:spacing w:val="1"/>
        </w:rPr>
        <w:t>r</w:t>
      </w:r>
      <w:r>
        <w:rPr>
          <w:color w:val="000000"/>
          <w:spacing w:val="-1"/>
        </w:rPr>
        <w:t>a</w:t>
      </w:r>
      <w:r>
        <w:rPr>
          <w:color w:val="000000"/>
          <w:spacing w:val="5"/>
        </w:rPr>
        <w:t>t</w:t>
      </w:r>
      <w:r>
        <w:rPr>
          <w:color w:val="000000"/>
        </w:rPr>
        <w:t>ų</w:t>
      </w:r>
      <w:r>
        <w:rPr>
          <w:color w:val="000000"/>
          <w:spacing w:val="3"/>
        </w:rPr>
        <w:t xml:space="preserve"> </w:t>
      </w:r>
      <w:r>
        <w:rPr>
          <w:color w:val="000000"/>
        </w:rPr>
        <w:t>k</w:t>
      </w:r>
      <w:r>
        <w:rPr>
          <w:color w:val="000000"/>
          <w:spacing w:val="-9"/>
        </w:rPr>
        <w:t>i</w:t>
      </w:r>
      <w:r>
        <w:rPr>
          <w:color w:val="000000"/>
          <w:spacing w:val="-1"/>
        </w:rPr>
        <w:t>e</w:t>
      </w:r>
      <w:r>
        <w:rPr>
          <w:color w:val="000000"/>
          <w:spacing w:val="5"/>
        </w:rPr>
        <w:t>k</w:t>
      </w:r>
      <w:r>
        <w:rPr>
          <w:color w:val="000000"/>
          <w:spacing w:val="-4"/>
        </w:rPr>
        <w:t>i</w:t>
      </w:r>
      <w:r>
        <w:rPr>
          <w:color w:val="000000"/>
          <w:spacing w:val="8"/>
        </w:rPr>
        <w:t>a</w:t>
      </w:r>
      <w:r>
        <w:rPr>
          <w:color w:val="000000"/>
        </w:rPr>
        <w:t xml:space="preserve">i </w:t>
      </w:r>
      <w:r>
        <w:rPr>
          <w:color w:val="000000"/>
          <w:spacing w:val="5"/>
        </w:rPr>
        <w:t>k</w:t>
      </w:r>
      <w:r>
        <w:rPr>
          <w:color w:val="000000"/>
          <w:spacing w:val="-9"/>
        </w:rPr>
        <w:t>i</w:t>
      </w:r>
      <w:r>
        <w:rPr>
          <w:color w:val="000000"/>
          <w:spacing w:val="-1"/>
        </w:rPr>
        <w:t>e</w:t>
      </w:r>
      <w:r>
        <w:rPr>
          <w:color w:val="000000"/>
          <w:spacing w:val="5"/>
        </w:rPr>
        <w:t>k</w:t>
      </w:r>
      <w:r>
        <w:rPr>
          <w:color w:val="000000"/>
        </w:rPr>
        <w:t>v</w:t>
      </w:r>
      <w:r>
        <w:rPr>
          <w:color w:val="000000"/>
          <w:spacing w:val="-4"/>
        </w:rPr>
        <w:t>i</w:t>
      </w:r>
      <w:r>
        <w:rPr>
          <w:color w:val="000000"/>
          <w:spacing w:val="4"/>
        </w:rPr>
        <w:t>e</w:t>
      </w:r>
      <w:r>
        <w:rPr>
          <w:color w:val="000000"/>
          <w:spacing w:val="-5"/>
        </w:rPr>
        <w:t>n</w:t>
      </w:r>
      <w:r>
        <w:rPr>
          <w:color w:val="000000"/>
          <w:spacing w:val="4"/>
        </w:rPr>
        <w:t>a</w:t>
      </w:r>
      <w:r>
        <w:rPr>
          <w:color w:val="000000"/>
        </w:rPr>
        <w:t>i</w:t>
      </w:r>
      <w:r>
        <w:rPr>
          <w:color w:val="000000"/>
          <w:spacing w:val="3"/>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4"/>
        </w:rPr>
        <w:t>a</w:t>
      </w:r>
      <w:r>
        <w:rPr>
          <w:color w:val="000000"/>
        </w:rPr>
        <w:t>i</w:t>
      </w:r>
      <w:r>
        <w:rPr>
          <w:color w:val="000000"/>
          <w:spacing w:val="-2"/>
        </w:rPr>
        <w:t xml:space="preserve"> </w:t>
      </w:r>
      <w:r>
        <w:rPr>
          <w:color w:val="000000"/>
        </w:rPr>
        <w:t>p</w:t>
      </w:r>
      <w:r>
        <w:rPr>
          <w:color w:val="000000"/>
          <w:spacing w:val="-1"/>
        </w:rPr>
        <w:t>a</w:t>
      </w:r>
      <w:r>
        <w:rPr>
          <w:color w:val="000000"/>
        </w:rPr>
        <w:t>p</w:t>
      </w:r>
      <w:r>
        <w:rPr>
          <w:color w:val="000000"/>
          <w:spacing w:val="1"/>
        </w:rPr>
        <w:t>r</w:t>
      </w:r>
      <w:r>
        <w:rPr>
          <w:color w:val="000000"/>
          <w:spacing w:val="-1"/>
        </w:rPr>
        <w:t>a</w:t>
      </w:r>
      <w:r>
        <w:rPr>
          <w:color w:val="000000"/>
          <w:spacing w:val="-2"/>
        </w:rPr>
        <w:t>s</w:t>
      </w:r>
      <w:r>
        <w:rPr>
          <w:color w:val="000000"/>
          <w:spacing w:val="5"/>
        </w:rPr>
        <w:t>t</w:t>
      </w:r>
      <w:r>
        <w:rPr>
          <w:color w:val="000000"/>
          <w:spacing w:val="4"/>
        </w:rPr>
        <w:t>a</w:t>
      </w:r>
      <w:r>
        <w:rPr>
          <w:color w:val="000000"/>
        </w:rPr>
        <w:t>i</w:t>
      </w:r>
      <w:r>
        <w:rPr>
          <w:color w:val="000000"/>
          <w:spacing w:val="-2"/>
        </w:rPr>
        <w:t xml:space="preserve"> </w:t>
      </w:r>
      <w:r>
        <w:rPr>
          <w:color w:val="000000"/>
          <w:spacing w:val="-5"/>
        </w:rPr>
        <w:t>n</w:t>
      </w:r>
      <w:r>
        <w:rPr>
          <w:color w:val="000000"/>
          <w:spacing w:val="4"/>
        </w:rPr>
        <w:t>e</w:t>
      </w:r>
      <w:r>
        <w:rPr>
          <w:color w:val="000000"/>
        </w:rPr>
        <w:t>v</w:t>
      </w:r>
      <w:r>
        <w:rPr>
          <w:color w:val="000000"/>
          <w:spacing w:val="-9"/>
        </w:rPr>
        <w:t>i</w:t>
      </w:r>
      <w:r>
        <w:rPr>
          <w:color w:val="000000"/>
          <w:spacing w:val="6"/>
        </w:rPr>
        <w:t>r</w:t>
      </w:r>
      <w:r>
        <w:rPr>
          <w:color w:val="000000"/>
          <w:spacing w:val="2"/>
        </w:rPr>
        <w:t>š</w:t>
      </w:r>
      <w:r>
        <w:rPr>
          <w:color w:val="000000"/>
        </w:rPr>
        <w:t>i</w:t>
      </w:r>
      <w:r>
        <w:rPr>
          <w:color w:val="000000"/>
          <w:spacing w:val="-4"/>
        </w:rPr>
        <w:t>j</w:t>
      </w:r>
      <w:r>
        <w:rPr>
          <w:color w:val="000000"/>
        </w:rPr>
        <w:t>a</w:t>
      </w:r>
      <w:r>
        <w:rPr>
          <w:color w:val="000000"/>
          <w:spacing w:val="1"/>
        </w:rPr>
        <w:t xml:space="preserve"> </w:t>
      </w:r>
      <w:r>
        <w:rPr>
          <w:color w:val="000000"/>
        </w:rPr>
        <w:t>k</w:t>
      </w:r>
      <w:r>
        <w:rPr>
          <w:color w:val="000000"/>
          <w:spacing w:val="4"/>
        </w:rPr>
        <w:t>e</w:t>
      </w:r>
      <w:r>
        <w:rPr>
          <w:color w:val="000000"/>
          <w:spacing w:val="-4"/>
        </w:rPr>
        <w:t>li</w:t>
      </w:r>
      <w:r>
        <w:rPr>
          <w:color w:val="000000"/>
          <w:spacing w:val="4"/>
        </w:rPr>
        <w:t>a</w:t>
      </w:r>
      <w:r>
        <w:rPr>
          <w:color w:val="000000"/>
          <w:spacing w:val="-2"/>
        </w:rPr>
        <w:t>s</w:t>
      </w:r>
      <w:r>
        <w:rPr>
          <w:color w:val="000000"/>
        </w:rPr>
        <w:t>d</w:t>
      </w:r>
      <w:r>
        <w:rPr>
          <w:color w:val="000000"/>
          <w:spacing w:val="-1"/>
        </w:rPr>
        <w:t>e</w:t>
      </w:r>
      <w:r>
        <w:rPr>
          <w:color w:val="000000"/>
          <w:spacing w:val="2"/>
        </w:rPr>
        <w:t>š</w:t>
      </w:r>
      <w:r>
        <w:rPr>
          <w:color w:val="000000"/>
        </w:rPr>
        <w:t>i</w:t>
      </w:r>
      <w:r>
        <w:rPr>
          <w:color w:val="000000"/>
          <w:spacing w:val="-9"/>
        </w:rPr>
        <w:t>m</w:t>
      </w:r>
      <w:r>
        <w:rPr>
          <w:color w:val="000000"/>
          <w:spacing w:val="10"/>
        </w:rPr>
        <w:t>t</w:t>
      </w:r>
      <w:r>
        <w:rPr>
          <w:color w:val="000000"/>
          <w:spacing w:val="-4"/>
        </w:rPr>
        <w:t>i</w:t>
      </w:r>
      <w:r>
        <w:rPr>
          <w:color w:val="000000"/>
          <w:spacing w:val="-1"/>
        </w:rPr>
        <w:t>e</w:t>
      </w:r>
      <w:r>
        <w:rPr>
          <w:color w:val="000000"/>
        </w:rPr>
        <w:t>s g</w:t>
      </w:r>
      <w:r>
        <w:rPr>
          <w:color w:val="000000"/>
          <w:spacing w:val="1"/>
        </w:rPr>
        <w:t>r</w:t>
      </w:r>
      <w:r>
        <w:rPr>
          <w:color w:val="000000"/>
          <w:spacing w:val="4"/>
        </w:rPr>
        <w:t>a</w:t>
      </w:r>
      <w:r>
        <w:rPr>
          <w:color w:val="000000"/>
          <w:spacing w:val="-4"/>
        </w:rPr>
        <w:t>m</w:t>
      </w:r>
      <w:r>
        <w:rPr>
          <w:color w:val="000000"/>
        </w:rPr>
        <w:t>ų</w:t>
      </w:r>
      <w:r>
        <w:rPr>
          <w:color w:val="000000"/>
          <w:spacing w:val="7"/>
        </w:rPr>
        <w:t xml:space="preserve"> </w:t>
      </w:r>
      <w:r>
        <w:rPr>
          <w:color w:val="000000"/>
          <w:spacing w:val="-9"/>
        </w:rPr>
        <w:t>i</w:t>
      </w:r>
      <w:r>
        <w:rPr>
          <w:color w:val="000000"/>
        </w:rPr>
        <w:t>r</w:t>
      </w:r>
      <w:r>
        <w:rPr>
          <w:color w:val="000000"/>
          <w:spacing w:val="4"/>
        </w:rPr>
        <w:t xml:space="preserve"> </w:t>
      </w:r>
      <w:r>
        <w:rPr>
          <w:color w:val="000000"/>
        </w:rPr>
        <w:t>k</w:t>
      </w:r>
      <w:r>
        <w:rPr>
          <w:color w:val="000000"/>
          <w:spacing w:val="4"/>
        </w:rPr>
        <w:t>e</w:t>
      </w:r>
      <w:r>
        <w:rPr>
          <w:color w:val="000000"/>
          <w:spacing w:val="-4"/>
        </w:rPr>
        <w:t>li</w:t>
      </w:r>
      <w:r>
        <w:rPr>
          <w:color w:val="000000"/>
        </w:rPr>
        <w:t>ų</w:t>
      </w:r>
      <w:r>
        <w:rPr>
          <w:color w:val="000000"/>
          <w:spacing w:val="2"/>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o</w:t>
      </w:r>
      <w:r>
        <w:rPr>
          <w:color w:val="000000"/>
          <w:spacing w:val="7"/>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2"/>
        </w:rPr>
        <w:t xml:space="preserve"> </w:t>
      </w:r>
      <w:r>
        <w:rPr>
          <w:color w:val="000000"/>
        </w:rPr>
        <w:t>p</w:t>
      </w:r>
      <w:r>
        <w:rPr>
          <w:color w:val="000000"/>
          <w:spacing w:val="-1"/>
        </w:rPr>
        <w:t>e</w:t>
      </w:r>
      <w:r>
        <w:rPr>
          <w:color w:val="000000"/>
        </w:rPr>
        <w:t>r</w:t>
      </w:r>
      <w:r>
        <w:rPr>
          <w:color w:val="000000"/>
          <w:spacing w:val="8"/>
        </w:rPr>
        <w:t xml:space="preserve"> </w:t>
      </w:r>
      <w:r>
        <w:rPr>
          <w:color w:val="000000"/>
          <w:spacing w:val="-9"/>
        </w:rPr>
        <w:t>m</w:t>
      </w:r>
      <w:r>
        <w:rPr>
          <w:color w:val="000000"/>
          <w:spacing w:val="-1"/>
        </w:rPr>
        <w:t>e</w:t>
      </w:r>
      <w:r>
        <w:rPr>
          <w:color w:val="000000"/>
          <w:spacing w:val="5"/>
        </w:rPr>
        <w:t>t</w:t>
      </w:r>
      <w:r>
        <w:rPr>
          <w:color w:val="000000"/>
        </w:rPr>
        <w:t>u</w:t>
      </w:r>
      <w:r>
        <w:rPr>
          <w:color w:val="000000"/>
          <w:spacing w:val="-2"/>
        </w:rPr>
        <w:t>s</w:t>
      </w:r>
      <w:r>
        <w:rPr>
          <w:color w:val="000000"/>
        </w:rPr>
        <w:t>.</w:t>
      </w:r>
    </w:p>
    <w:p w:rsidR="004F7425" w:rsidRDefault="004F7425" w:rsidP="004F7425">
      <w:pPr>
        <w:widowControl w:val="0"/>
        <w:autoSpaceDE w:val="0"/>
        <w:autoSpaceDN w:val="0"/>
        <w:adjustRightInd w:val="0"/>
        <w:spacing w:line="275" w:lineRule="auto"/>
        <w:ind w:left="120" w:right="134" w:firstLine="721"/>
        <w:jc w:val="both"/>
        <w:rPr>
          <w:color w:val="000000"/>
        </w:rPr>
      </w:pPr>
      <w:r>
        <w:rPr>
          <w:color w:val="000000"/>
          <w:spacing w:val="-5"/>
        </w:rPr>
        <w:t>A</w:t>
      </w:r>
      <w:r>
        <w:rPr>
          <w:color w:val="000000"/>
          <w:spacing w:val="5"/>
        </w:rPr>
        <w:t>t</w:t>
      </w:r>
      <w:r>
        <w:rPr>
          <w:color w:val="000000"/>
          <w:spacing w:val="2"/>
        </w:rPr>
        <w:t>s</w:t>
      </w:r>
      <w:r>
        <w:rPr>
          <w:color w:val="000000"/>
          <w:spacing w:val="-4"/>
        </w:rPr>
        <w:t>i</w:t>
      </w:r>
      <w:r>
        <w:rPr>
          <w:color w:val="000000"/>
          <w:spacing w:val="4"/>
        </w:rPr>
        <w:t>ž</w:t>
      </w:r>
      <w:r>
        <w:rPr>
          <w:color w:val="000000"/>
          <w:spacing w:val="-5"/>
        </w:rPr>
        <w:t>v</w:t>
      </w:r>
      <w:r>
        <w:rPr>
          <w:color w:val="000000"/>
          <w:spacing w:val="4"/>
        </w:rPr>
        <w:t>e</w:t>
      </w:r>
      <w:r>
        <w:rPr>
          <w:color w:val="000000"/>
          <w:spacing w:val="-4"/>
        </w:rPr>
        <w:t>l</w:t>
      </w:r>
      <w:r>
        <w:rPr>
          <w:color w:val="000000"/>
          <w:spacing w:val="5"/>
        </w:rPr>
        <w:t>g</w:t>
      </w:r>
      <w:r>
        <w:rPr>
          <w:color w:val="000000"/>
          <w:spacing w:val="-4"/>
        </w:rPr>
        <w:t>i</w:t>
      </w:r>
      <w:r>
        <w:rPr>
          <w:color w:val="000000"/>
          <w:spacing w:val="4"/>
        </w:rPr>
        <w:t>a</w:t>
      </w:r>
      <w:r>
        <w:rPr>
          <w:color w:val="000000"/>
          <w:spacing w:val="-5"/>
        </w:rPr>
        <w:t>n</w:t>
      </w:r>
      <w:r>
        <w:rPr>
          <w:color w:val="000000"/>
        </w:rPr>
        <w:t>t</w:t>
      </w:r>
      <w:r>
        <w:rPr>
          <w:color w:val="000000"/>
          <w:spacing w:val="12"/>
        </w:rPr>
        <w:t xml:space="preserve"> </w:t>
      </w:r>
      <w:r>
        <w:rPr>
          <w:color w:val="000000"/>
        </w:rPr>
        <w:t>į</w:t>
      </w:r>
      <w:r>
        <w:rPr>
          <w:color w:val="000000"/>
          <w:spacing w:val="3"/>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a</w:t>
      </w:r>
      <w:r>
        <w:rPr>
          <w:color w:val="000000"/>
          <w:spacing w:val="1"/>
        </w:rPr>
        <w:t>r</w:t>
      </w:r>
      <w:r>
        <w:rPr>
          <w:color w:val="000000"/>
          <w:spacing w:val="5"/>
        </w:rPr>
        <w:t>ų</w:t>
      </w:r>
      <w:r>
        <w:rPr>
          <w:color w:val="000000"/>
          <w:spacing w:val="-9"/>
        </w:rPr>
        <w:t>j</w:t>
      </w:r>
      <w:r>
        <w:rPr>
          <w:color w:val="000000"/>
        </w:rPr>
        <w:t>ų</w:t>
      </w:r>
      <w:r>
        <w:rPr>
          <w:color w:val="000000"/>
          <w:spacing w:val="7"/>
        </w:rPr>
        <w:t xml:space="preserve"> </w:t>
      </w:r>
      <w:r>
        <w:rPr>
          <w:color w:val="000000"/>
          <w:spacing w:val="4"/>
        </w:rPr>
        <w:t>ke</w:t>
      </w:r>
      <w:r>
        <w:rPr>
          <w:color w:val="000000"/>
          <w:spacing w:val="-4"/>
        </w:rPr>
        <w:t>l</w:t>
      </w:r>
      <w:r>
        <w:rPr>
          <w:color w:val="000000"/>
          <w:spacing w:val="-1"/>
        </w:rPr>
        <w:t>e</w:t>
      </w:r>
      <w:r>
        <w:rPr>
          <w:color w:val="000000"/>
          <w:spacing w:val="6"/>
        </w:rPr>
        <w:t>r</w:t>
      </w:r>
      <w:r>
        <w:rPr>
          <w:color w:val="000000"/>
          <w:spacing w:val="-4"/>
        </w:rPr>
        <w:t>i</w:t>
      </w:r>
      <w:r>
        <w:rPr>
          <w:color w:val="000000"/>
        </w:rPr>
        <w:t>ų</w:t>
      </w:r>
      <w:r>
        <w:rPr>
          <w:color w:val="000000"/>
          <w:spacing w:val="12"/>
        </w:rPr>
        <w:t xml:space="preserve"> </w:t>
      </w:r>
      <w:r>
        <w:rPr>
          <w:color w:val="000000"/>
          <w:spacing w:val="-4"/>
        </w:rPr>
        <w:t>m</w:t>
      </w:r>
      <w:r>
        <w:rPr>
          <w:color w:val="000000"/>
          <w:spacing w:val="-1"/>
        </w:rPr>
        <w:t>e</w:t>
      </w:r>
      <w:r>
        <w:rPr>
          <w:color w:val="000000"/>
          <w:spacing w:val="5"/>
        </w:rPr>
        <w:t>t</w:t>
      </w:r>
      <w:r>
        <w:rPr>
          <w:color w:val="000000"/>
        </w:rPr>
        <w:t>ų</w:t>
      </w:r>
      <w:r>
        <w:rPr>
          <w:color w:val="000000"/>
          <w:spacing w:val="7"/>
        </w:rPr>
        <w:t xml:space="preserve"> </w:t>
      </w:r>
      <w:r>
        <w:rPr>
          <w:color w:val="000000"/>
          <w:spacing w:val="5"/>
        </w:rPr>
        <w:t>t</w:t>
      </w:r>
      <w:r>
        <w:rPr>
          <w:color w:val="000000"/>
          <w:spacing w:val="-1"/>
        </w:rPr>
        <w:t>e</w:t>
      </w:r>
      <w:r>
        <w:rPr>
          <w:color w:val="000000"/>
          <w:spacing w:val="-5"/>
        </w:rPr>
        <w:t>n</w:t>
      </w:r>
      <w:r>
        <w:rPr>
          <w:color w:val="000000"/>
        </w:rPr>
        <w:t>d</w:t>
      </w:r>
      <w:r>
        <w:rPr>
          <w:color w:val="000000"/>
          <w:spacing w:val="-1"/>
        </w:rPr>
        <w:t>e</w:t>
      </w:r>
      <w:r>
        <w:rPr>
          <w:color w:val="000000"/>
          <w:spacing w:val="-5"/>
        </w:rPr>
        <w:t>n</w:t>
      </w:r>
      <w:r>
        <w:rPr>
          <w:color w:val="000000"/>
          <w:spacing w:val="4"/>
        </w:rPr>
        <w:t>c</w:t>
      </w:r>
      <w:r>
        <w:rPr>
          <w:color w:val="000000"/>
        </w:rPr>
        <w:t>i</w:t>
      </w:r>
      <w:r>
        <w:rPr>
          <w:color w:val="000000"/>
          <w:spacing w:val="-4"/>
        </w:rPr>
        <w:t>j</w:t>
      </w:r>
      <w:r>
        <w:rPr>
          <w:color w:val="000000"/>
          <w:spacing w:val="4"/>
        </w:rPr>
        <w:t>a</w:t>
      </w:r>
      <w:r>
        <w:rPr>
          <w:color w:val="000000"/>
          <w:spacing w:val="-2"/>
        </w:rPr>
        <w:t>s</w:t>
      </w:r>
      <w:r>
        <w:rPr>
          <w:color w:val="000000"/>
        </w:rPr>
        <w:t>,</w:t>
      </w:r>
      <w:r>
        <w:rPr>
          <w:color w:val="000000"/>
          <w:spacing w:val="9"/>
        </w:rPr>
        <w:t xml:space="preserve"> </w:t>
      </w:r>
      <w:r>
        <w:rPr>
          <w:color w:val="000000"/>
        </w:rPr>
        <w:t>g</w:t>
      </w:r>
      <w:r>
        <w:rPr>
          <w:color w:val="000000"/>
          <w:spacing w:val="4"/>
        </w:rPr>
        <w:t>a</w:t>
      </w:r>
      <w:r>
        <w:rPr>
          <w:color w:val="000000"/>
          <w:spacing w:val="-4"/>
        </w:rPr>
        <w:t>l</w:t>
      </w:r>
      <w:r>
        <w:rPr>
          <w:color w:val="000000"/>
        </w:rPr>
        <w:t>i</w:t>
      </w:r>
      <w:r>
        <w:rPr>
          <w:color w:val="000000"/>
          <w:spacing w:val="-4"/>
        </w:rPr>
        <w:t>m</w:t>
      </w:r>
      <w:r>
        <w:rPr>
          <w:color w:val="000000"/>
        </w:rPr>
        <w:t>a</w:t>
      </w:r>
      <w:r>
        <w:rPr>
          <w:color w:val="000000"/>
          <w:spacing w:val="6"/>
        </w:rPr>
        <w:t xml:space="preserve"> </w:t>
      </w:r>
      <w:r>
        <w:rPr>
          <w:color w:val="000000"/>
        </w:rPr>
        <w:t>p</w:t>
      </w:r>
      <w:r>
        <w:rPr>
          <w:color w:val="000000"/>
          <w:spacing w:val="1"/>
        </w:rPr>
        <w:t>r</w:t>
      </w:r>
      <w:r>
        <w:rPr>
          <w:color w:val="000000"/>
          <w:spacing w:val="5"/>
        </w:rPr>
        <w:t>o</w:t>
      </w:r>
      <w:r>
        <w:rPr>
          <w:color w:val="000000"/>
        </w:rPr>
        <w:t>g</w:t>
      </w:r>
      <w:r>
        <w:rPr>
          <w:color w:val="000000"/>
          <w:spacing w:val="-5"/>
        </w:rPr>
        <w:t>n</w:t>
      </w:r>
      <w:r>
        <w:rPr>
          <w:color w:val="000000"/>
          <w:spacing w:val="5"/>
        </w:rPr>
        <w:t>o</w:t>
      </w:r>
      <w:r>
        <w:rPr>
          <w:color w:val="000000"/>
          <w:spacing w:val="-1"/>
        </w:rPr>
        <w:t>z</w:t>
      </w:r>
      <w:r>
        <w:rPr>
          <w:color w:val="000000"/>
        </w:rPr>
        <w:t>uo</w:t>
      </w:r>
      <w:r>
        <w:rPr>
          <w:color w:val="000000"/>
          <w:spacing w:val="5"/>
        </w:rPr>
        <w:t>t</w:t>
      </w:r>
      <w:r>
        <w:rPr>
          <w:color w:val="000000"/>
        </w:rPr>
        <w:t>i</w:t>
      </w:r>
      <w:r>
        <w:rPr>
          <w:color w:val="000000"/>
          <w:spacing w:val="-2"/>
        </w:rPr>
        <w:t xml:space="preserve"> </w:t>
      </w:r>
      <w:r>
        <w:rPr>
          <w:color w:val="000000"/>
          <w:spacing w:val="5"/>
        </w:rPr>
        <w:t>to</w:t>
      </w:r>
      <w:r>
        <w:rPr>
          <w:color w:val="000000"/>
          <w:spacing w:val="-9"/>
        </w:rPr>
        <w:t>l</w:t>
      </w:r>
      <w:r>
        <w:rPr>
          <w:color w:val="000000"/>
          <w:spacing w:val="-1"/>
        </w:rPr>
        <w:t>e</w:t>
      </w:r>
      <w:r>
        <w:rPr>
          <w:color w:val="000000"/>
          <w:spacing w:val="2"/>
        </w:rPr>
        <w:t>s</w:t>
      </w:r>
      <w:r>
        <w:rPr>
          <w:color w:val="000000"/>
        </w:rPr>
        <w:t>nį</w:t>
      </w:r>
      <w:r>
        <w:rPr>
          <w:color w:val="000000"/>
          <w:spacing w:val="3"/>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 xml:space="preserve">ų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spacing w:val="5"/>
        </w:rPr>
        <w:t>p</w:t>
      </w:r>
      <w:r>
        <w:rPr>
          <w:color w:val="000000"/>
        </w:rPr>
        <w:t>l</w:t>
      </w:r>
      <w:r>
        <w:rPr>
          <w:color w:val="000000"/>
          <w:spacing w:val="-9"/>
        </w:rPr>
        <w:t>i</w:t>
      </w:r>
      <w:r>
        <w:rPr>
          <w:color w:val="000000"/>
          <w:spacing w:val="10"/>
        </w:rPr>
        <w:t>t</w:t>
      </w:r>
      <w:r>
        <w:rPr>
          <w:color w:val="000000"/>
        </w:rPr>
        <w:t>i</w:t>
      </w:r>
      <w:r>
        <w:rPr>
          <w:color w:val="000000"/>
          <w:spacing w:val="-4"/>
        </w:rPr>
        <w:t>m</w:t>
      </w:r>
      <w:r>
        <w:rPr>
          <w:color w:val="000000"/>
          <w:spacing w:val="-1"/>
        </w:rPr>
        <w:t>ą</w:t>
      </w:r>
      <w:r>
        <w:rPr>
          <w:color w:val="000000"/>
        </w:rPr>
        <w:t>,</w:t>
      </w:r>
      <w:r>
        <w:rPr>
          <w:color w:val="000000"/>
          <w:spacing w:val="7"/>
        </w:rPr>
        <w:t xml:space="preserve"> </w:t>
      </w:r>
      <w:r>
        <w:rPr>
          <w:color w:val="000000"/>
        </w:rPr>
        <w:t>n</w:t>
      </w:r>
      <w:r>
        <w:rPr>
          <w:color w:val="000000"/>
          <w:spacing w:val="-1"/>
        </w:rPr>
        <w:t>a</w:t>
      </w:r>
      <w:r>
        <w:rPr>
          <w:color w:val="000000"/>
          <w:spacing w:val="5"/>
        </w:rPr>
        <w:t>u</w:t>
      </w:r>
      <w:r>
        <w:rPr>
          <w:color w:val="000000"/>
          <w:spacing w:val="-9"/>
        </w:rPr>
        <w:t>j</w:t>
      </w:r>
      <w:r>
        <w:rPr>
          <w:color w:val="000000"/>
        </w:rPr>
        <w:t>ų</w:t>
      </w:r>
      <w:r>
        <w:rPr>
          <w:color w:val="000000"/>
          <w:spacing w:val="9"/>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rPr>
        <w:t>p</w:t>
      </w:r>
      <w:r>
        <w:rPr>
          <w:color w:val="000000"/>
          <w:spacing w:val="-1"/>
        </w:rPr>
        <w:t>a</w:t>
      </w:r>
      <w:r>
        <w:rPr>
          <w:color w:val="000000"/>
          <w:spacing w:val="2"/>
        </w:rPr>
        <w:t>s</w:t>
      </w:r>
      <w:r>
        <w:rPr>
          <w:color w:val="000000"/>
          <w:spacing w:val="-4"/>
        </w:rPr>
        <w:t>i</w:t>
      </w:r>
      <w:r>
        <w:rPr>
          <w:color w:val="000000"/>
          <w:spacing w:val="1"/>
        </w:rPr>
        <w:t>r</w:t>
      </w:r>
      <w:r>
        <w:rPr>
          <w:color w:val="000000"/>
          <w:spacing w:val="5"/>
        </w:rPr>
        <w:t>od</w:t>
      </w:r>
      <w:r>
        <w:rPr>
          <w:color w:val="000000"/>
          <w:spacing w:val="-5"/>
        </w:rPr>
        <w:t>y</w:t>
      </w:r>
      <w:r>
        <w:rPr>
          <w:color w:val="000000"/>
          <w:spacing w:val="-4"/>
        </w:rPr>
        <w:t>m</w:t>
      </w:r>
      <w:r>
        <w:rPr>
          <w:color w:val="000000"/>
          <w:spacing w:val="-1"/>
        </w:rPr>
        <w:t>ą</w:t>
      </w:r>
      <w:r>
        <w:rPr>
          <w:color w:val="000000"/>
        </w:rPr>
        <w:t>.</w:t>
      </w:r>
      <w:r>
        <w:rPr>
          <w:color w:val="000000"/>
          <w:spacing w:val="7"/>
        </w:rPr>
        <w:t xml:space="preserve"> </w:t>
      </w:r>
      <w:r>
        <w:rPr>
          <w:color w:val="000000"/>
          <w:spacing w:val="-2"/>
        </w:rPr>
        <w:t>M</w:t>
      </w:r>
      <w:r>
        <w:rPr>
          <w:color w:val="000000"/>
          <w:spacing w:val="4"/>
        </w:rPr>
        <w:t>a</w:t>
      </w:r>
      <w:r>
        <w:rPr>
          <w:color w:val="000000"/>
          <w:spacing w:val="-5"/>
        </w:rPr>
        <w:t>n</w:t>
      </w:r>
      <w:r>
        <w:rPr>
          <w:color w:val="000000"/>
          <w:spacing w:val="9"/>
        </w:rPr>
        <w:t>o</w:t>
      </w:r>
      <w:r>
        <w:rPr>
          <w:color w:val="000000"/>
          <w:spacing w:val="-9"/>
        </w:rPr>
        <w:t>m</w:t>
      </w:r>
      <w:r>
        <w:rPr>
          <w:color w:val="000000"/>
          <w:spacing w:val="-1"/>
        </w:rPr>
        <w:t>e</w:t>
      </w:r>
      <w:r>
        <w:rPr>
          <w:color w:val="000000"/>
        </w:rPr>
        <w:t>,</w:t>
      </w:r>
      <w:r>
        <w:rPr>
          <w:color w:val="000000"/>
          <w:spacing w:val="7"/>
        </w:rPr>
        <w:t xml:space="preserve"> </w:t>
      </w:r>
      <w:r>
        <w:rPr>
          <w:color w:val="000000"/>
        </w:rPr>
        <w:t>k</w:t>
      </w:r>
      <w:r>
        <w:rPr>
          <w:color w:val="000000"/>
          <w:spacing w:val="-1"/>
        </w:rPr>
        <w:t>a</w:t>
      </w:r>
      <w:r>
        <w:rPr>
          <w:color w:val="000000"/>
        </w:rPr>
        <w:t>d</w:t>
      </w:r>
      <w:r>
        <w:rPr>
          <w:color w:val="000000"/>
          <w:spacing w:val="4"/>
        </w:rPr>
        <w:t xml:space="preserve"> </w:t>
      </w:r>
      <w:r>
        <w:rPr>
          <w:color w:val="000000"/>
          <w:spacing w:val="-5"/>
        </w:rPr>
        <w:t>v</w:t>
      </w:r>
      <w:r>
        <w:rPr>
          <w:color w:val="000000"/>
          <w:spacing w:val="4"/>
        </w:rPr>
        <w:t>e</w:t>
      </w:r>
      <w:r>
        <w:rPr>
          <w:color w:val="000000"/>
          <w:spacing w:val="-5"/>
        </w:rPr>
        <w:t>n</w:t>
      </w:r>
      <w:r>
        <w:rPr>
          <w:color w:val="000000"/>
        </w:rPr>
        <w:t>g</w:t>
      </w:r>
      <w:r>
        <w:rPr>
          <w:color w:val="000000"/>
          <w:spacing w:val="5"/>
        </w:rPr>
        <w:t>d</w:t>
      </w:r>
      <w:r>
        <w:rPr>
          <w:color w:val="000000"/>
          <w:spacing w:val="4"/>
        </w:rPr>
        <w:t>a</w:t>
      </w:r>
      <w:r>
        <w:rPr>
          <w:color w:val="000000"/>
          <w:spacing w:val="-4"/>
        </w:rPr>
        <w:t>m</w:t>
      </w:r>
      <w:r>
        <w:rPr>
          <w:color w:val="000000"/>
        </w:rPr>
        <w:t xml:space="preserve">i </w:t>
      </w:r>
      <w:r>
        <w:rPr>
          <w:color w:val="000000"/>
          <w:spacing w:val="6"/>
        </w:rPr>
        <w:t>r</w:t>
      </w:r>
      <w:r>
        <w:rPr>
          <w:color w:val="000000"/>
          <w:spacing w:val="-4"/>
        </w:rPr>
        <w:t>i</w:t>
      </w:r>
      <w:r>
        <w:rPr>
          <w:color w:val="000000"/>
          <w:spacing w:val="4"/>
        </w:rPr>
        <w:t>z</w:t>
      </w:r>
      <w:r>
        <w:rPr>
          <w:color w:val="000000"/>
          <w:spacing w:val="-4"/>
        </w:rPr>
        <w:t>i</w:t>
      </w:r>
      <w:r>
        <w:rPr>
          <w:color w:val="000000"/>
        </w:rPr>
        <w:t>k</w:t>
      </w:r>
      <w:r>
        <w:rPr>
          <w:color w:val="000000"/>
          <w:spacing w:val="5"/>
        </w:rPr>
        <w:t>o</w:t>
      </w:r>
      <w:r>
        <w:rPr>
          <w:color w:val="000000"/>
        </w:rPr>
        <w:t>s</w:t>
      </w:r>
      <w:r>
        <w:rPr>
          <w:color w:val="000000"/>
          <w:spacing w:val="2"/>
        </w:rPr>
        <w:t xml:space="preserve"> </w:t>
      </w:r>
      <w:r>
        <w:rPr>
          <w:color w:val="000000"/>
          <w:spacing w:val="-5"/>
        </w:rPr>
        <w:t>b</w:t>
      </w:r>
      <w:r>
        <w:rPr>
          <w:color w:val="000000"/>
        </w:rPr>
        <w:t>ū</w:t>
      </w:r>
      <w:r>
        <w:rPr>
          <w:color w:val="000000"/>
          <w:spacing w:val="10"/>
        </w:rPr>
        <w:t>t</w:t>
      </w:r>
      <w:r>
        <w:rPr>
          <w:color w:val="000000"/>
        </w:rPr>
        <w:t xml:space="preserve">i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spacing w:val="-10"/>
        </w:rPr>
        <w:t>y</w:t>
      </w:r>
      <w:r>
        <w:rPr>
          <w:color w:val="000000"/>
          <w:spacing w:val="10"/>
        </w:rPr>
        <w:t>t</w:t>
      </w:r>
      <w:r>
        <w:rPr>
          <w:color w:val="000000"/>
          <w:spacing w:val="-4"/>
        </w:rPr>
        <w:t>i</w:t>
      </w:r>
      <w:r>
        <w:rPr>
          <w:color w:val="000000"/>
          <w:spacing w:val="4"/>
        </w:rPr>
        <w:t>e</w:t>
      </w:r>
      <w:r>
        <w:rPr>
          <w:color w:val="000000"/>
          <w:spacing w:val="-4"/>
        </w:rPr>
        <w:t>m</w:t>
      </w:r>
      <w:r>
        <w:rPr>
          <w:color w:val="000000"/>
          <w:spacing w:val="-2"/>
        </w:rPr>
        <w:t>s</w:t>
      </w:r>
      <w:r>
        <w:rPr>
          <w:color w:val="000000"/>
        </w:rPr>
        <w:t xml:space="preserve">,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9"/>
        </w:rPr>
        <w:t>l</w:t>
      </w:r>
      <w:r>
        <w:rPr>
          <w:color w:val="000000"/>
          <w:spacing w:val="5"/>
        </w:rPr>
        <w:t>t</w:t>
      </w:r>
      <w:r>
        <w:rPr>
          <w:color w:val="000000"/>
          <w:spacing w:val="4"/>
        </w:rPr>
        <w:t>ė</w:t>
      </w:r>
      <w:r>
        <w:rPr>
          <w:color w:val="000000"/>
          <w:spacing w:val="-4"/>
        </w:rPr>
        <w:t>li</w:t>
      </w:r>
      <w:r>
        <w:rPr>
          <w:color w:val="000000"/>
          <w:spacing w:val="4"/>
        </w:rPr>
        <w:t>a</w:t>
      </w:r>
      <w:r>
        <w:rPr>
          <w:color w:val="000000"/>
        </w:rPr>
        <w:t>i</w:t>
      </w:r>
      <w:r>
        <w:rPr>
          <w:color w:val="000000"/>
          <w:spacing w:val="5"/>
        </w:rPr>
        <w:t xml:space="preserve"> </w:t>
      </w:r>
      <w:r>
        <w:rPr>
          <w:color w:val="000000"/>
          <w:spacing w:val="-9"/>
        </w:rPr>
        <w:t>i</w:t>
      </w:r>
      <w:r>
        <w:rPr>
          <w:color w:val="000000"/>
        </w:rPr>
        <w:t>r</w:t>
      </w:r>
      <w:r>
        <w:rPr>
          <w:color w:val="000000"/>
          <w:spacing w:val="6"/>
        </w:rPr>
        <w:t xml:space="preserve"> </w:t>
      </w:r>
      <w:r>
        <w:rPr>
          <w:color w:val="000000"/>
          <w:spacing w:val="5"/>
        </w:rPr>
        <w:t>to</w:t>
      </w:r>
      <w:r>
        <w:rPr>
          <w:color w:val="000000"/>
          <w:spacing w:val="-4"/>
        </w:rPr>
        <w:t>li</w:t>
      </w:r>
      <w:r>
        <w:rPr>
          <w:color w:val="000000"/>
          <w:spacing w:val="-1"/>
        </w:rPr>
        <w:t>a</w:t>
      </w:r>
      <w:r>
        <w:rPr>
          <w:color w:val="000000"/>
        </w:rPr>
        <w:t>u</w:t>
      </w:r>
      <w:r>
        <w:rPr>
          <w:color w:val="000000"/>
          <w:spacing w:val="5"/>
        </w:rPr>
        <w:t xml:space="preserve"> </w:t>
      </w:r>
      <w:r>
        <w:rPr>
          <w:color w:val="000000"/>
          <w:spacing w:val="-4"/>
        </w:rPr>
        <w:t>i</w:t>
      </w:r>
      <w:r>
        <w:rPr>
          <w:color w:val="000000"/>
          <w:spacing w:val="4"/>
        </w:rPr>
        <w:t>e</w:t>
      </w:r>
      <w:r>
        <w:rPr>
          <w:color w:val="000000"/>
          <w:spacing w:val="-2"/>
        </w:rPr>
        <w:t>š</w:t>
      </w:r>
      <w:r>
        <w:rPr>
          <w:color w:val="000000"/>
        </w:rPr>
        <w:t>k</w:t>
      </w:r>
      <w:r>
        <w:rPr>
          <w:color w:val="000000"/>
          <w:spacing w:val="5"/>
        </w:rPr>
        <w:t>o</w:t>
      </w:r>
      <w:r>
        <w:rPr>
          <w:color w:val="000000"/>
        </w:rPr>
        <w:t>s</w:t>
      </w:r>
      <w:r>
        <w:rPr>
          <w:color w:val="000000"/>
          <w:spacing w:val="3"/>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2"/>
        </w:rPr>
        <w:t xml:space="preserve"> </w:t>
      </w:r>
      <w:r>
        <w:rPr>
          <w:color w:val="000000"/>
        </w:rPr>
        <w:t>d</w:t>
      </w:r>
      <w:r>
        <w:rPr>
          <w:color w:val="000000"/>
          <w:spacing w:val="-1"/>
        </w:rPr>
        <w:t>a</w:t>
      </w:r>
      <w:r>
        <w:rPr>
          <w:color w:val="000000"/>
        </w:rPr>
        <w:t>r</w:t>
      </w:r>
      <w:r>
        <w:rPr>
          <w:color w:val="000000"/>
          <w:spacing w:val="6"/>
        </w:rPr>
        <w:t xml:space="preserve"> </w:t>
      </w:r>
      <w:r>
        <w:rPr>
          <w:color w:val="000000"/>
          <w:spacing w:val="-5"/>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rPr>
        <w:t>ol</w:t>
      </w:r>
      <w:r>
        <w:rPr>
          <w:color w:val="000000"/>
          <w:spacing w:val="-4"/>
        </w:rPr>
        <w:t>i</w:t>
      </w:r>
      <w:r>
        <w:rPr>
          <w:color w:val="000000"/>
        </w:rPr>
        <w:t>u</w:t>
      </w:r>
      <w:r>
        <w:rPr>
          <w:color w:val="000000"/>
          <w:spacing w:val="9"/>
        </w:rPr>
        <w:t>o</w:t>
      </w:r>
      <w:r>
        <w:rPr>
          <w:color w:val="000000"/>
          <w:spacing w:val="-9"/>
        </w:rPr>
        <w:t>j</w:t>
      </w:r>
      <w:r>
        <w:rPr>
          <w:color w:val="000000"/>
          <w:spacing w:val="4"/>
        </w:rPr>
        <w:t>a</w:t>
      </w:r>
      <w:r>
        <w:rPr>
          <w:color w:val="000000"/>
          <w:spacing w:val="-4"/>
        </w:rPr>
        <w:t>m</w:t>
      </w:r>
      <w:r>
        <w:rPr>
          <w:color w:val="000000"/>
        </w:rPr>
        <w:t xml:space="preserve">ų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7"/>
        </w:rPr>
        <w:t xml:space="preserve"> </w:t>
      </w:r>
      <w:r>
        <w:rPr>
          <w:color w:val="000000"/>
        </w:rPr>
        <w:t>N</w:t>
      </w:r>
      <w:r>
        <w:rPr>
          <w:color w:val="000000"/>
          <w:spacing w:val="-1"/>
        </w:rPr>
        <w:t>ea</w:t>
      </w:r>
      <w:r>
        <w:rPr>
          <w:color w:val="000000"/>
          <w:spacing w:val="10"/>
        </w:rPr>
        <w:t>t</w:t>
      </w:r>
      <w:r>
        <w:rPr>
          <w:color w:val="000000"/>
          <w:spacing w:val="-9"/>
        </w:rPr>
        <w:t>m</w:t>
      </w:r>
      <w:r>
        <w:rPr>
          <w:color w:val="000000"/>
          <w:spacing w:val="-1"/>
        </w:rPr>
        <w:t>e</w:t>
      </w:r>
      <w:r>
        <w:rPr>
          <w:color w:val="000000"/>
          <w:spacing w:val="5"/>
        </w:rPr>
        <w:t>t</w:t>
      </w:r>
      <w:r>
        <w:rPr>
          <w:color w:val="000000"/>
          <w:spacing w:val="4"/>
        </w:rPr>
        <w:t>a</w:t>
      </w:r>
      <w:r>
        <w:rPr>
          <w:color w:val="000000"/>
          <w:spacing w:val="-9"/>
        </w:rPr>
        <w:t>m</w:t>
      </w:r>
      <w:r>
        <w:rPr>
          <w:color w:val="000000"/>
        </w:rPr>
        <w:t>a g</w:t>
      </w:r>
      <w:r>
        <w:rPr>
          <w:color w:val="000000"/>
          <w:spacing w:val="4"/>
        </w:rPr>
        <w:t>a</w:t>
      </w:r>
      <w:r>
        <w:rPr>
          <w:color w:val="000000"/>
          <w:spacing w:val="-4"/>
        </w:rPr>
        <w:t>l</w:t>
      </w:r>
      <w:r>
        <w:rPr>
          <w:color w:val="000000"/>
        </w:rPr>
        <w:t>i</w:t>
      </w:r>
      <w:r>
        <w:rPr>
          <w:color w:val="000000"/>
          <w:spacing w:val="1"/>
        </w:rPr>
        <w:t>m</w:t>
      </w:r>
      <w:r>
        <w:rPr>
          <w:color w:val="000000"/>
          <w:spacing w:val="-5"/>
        </w:rPr>
        <w:t>y</w:t>
      </w:r>
      <w:r>
        <w:rPr>
          <w:color w:val="000000"/>
        </w:rPr>
        <w:t>b</w:t>
      </w:r>
      <w:r>
        <w:rPr>
          <w:color w:val="000000"/>
          <w:spacing w:val="-1"/>
        </w:rPr>
        <w:t>ė</w:t>
      </w:r>
      <w:r>
        <w:rPr>
          <w:color w:val="000000"/>
        </w:rPr>
        <w:t>,</w:t>
      </w:r>
      <w:r>
        <w:rPr>
          <w:color w:val="000000"/>
          <w:spacing w:val="4"/>
        </w:rPr>
        <w:t xml:space="preserve"> </w:t>
      </w:r>
      <w:r>
        <w:rPr>
          <w:color w:val="000000"/>
        </w:rPr>
        <w:t>k</w:t>
      </w:r>
      <w:r>
        <w:rPr>
          <w:color w:val="000000"/>
          <w:spacing w:val="-1"/>
        </w:rPr>
        <w:t>a</w:t>
      </w:r>
      <w:r>
        <w:rPr>
          <w:color w:val="000000"/>
        </w:rPr>
        <w:t>d</w:t>
      </w:r>
      <w:r>
        <w:rPr>
          <w:color w:val="000000"/>
          <w:spacing w:val="7"/>
        </w:rPr>
        <w:t xml:space="preserve"> </w:t>
      </w:r>
      <w:r>
        <w:rPr>
          <w:color w:val="000000"/>
        </w:rPr>
        <w:t>į</w:t>
      </w:r>
      <w:r>
        <w:rPr>
          <w:color w:val="000000"/>
          <w:spacing w:val="-2"/>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rPr>
        <w:t>ą</w:t>
      </w:r>
      <w:r>
        <w:rPr>
          <w:color w:val="000000"/>
          <w:spacing w:val="1"/>
        </w:rPr>
        <w:t xml:space="preserve"> </w:t>
      </w:r>
      <w:r>
        <w:rPr>
          <w:color w:val="000000"/>
        </w:rPr>
        <w:t>g</w:t>
      </w:r>
      <w:r>
        <w:rPr>
          <w:color w:val="000000"/>
          <w:spacing w:val="4"/>
        </w:rPr>
        <w:t>a</w:t>
      </w:r>
      <w:r>
        <w:rPr>
          <w:color w:val="000000"/>
        </w:rPr>
        <w:t>li</w:t>
      </w:r>
      <w:r>
        <w:rPr>
          <w:color w:val="000000"/>
          <w:spacing w:val="3"/>
        </w:rPr>
        <w:t xml:space="preserve"> </w:t>
      </w:r>
      <w:r>
        <w:rPr>
          <w:color w:val="000000"/>
          <w:spacing w:val="-5"/>
        </w:rPr>
        <w:t>b</w:t>
      </w:r>
      <w:r>
        <w:rPr>
          <w:color w:val="000000"/>
        </w:rPr>
        <w:t>ū</w:t>
      </w:r>
      <w:r>
        <w:rPr>
          <w:color w:val="000000"/>
          <w:spacing w:val="5"/>
        </w:rPr>
        <w:t>t</w:t>
      </w:r>
      <w:r>
        <w:rPr>
          <w:color w:val="000000"/>
        </w:rPr>
        <w:t>i</w:t>
      </w:r>
      <w:r>
        <w:rPr>
          <w:color w:val="000000"/>
          <w:spacing w:val="-7"/>
        </w:rPr>
        <w:t xml:space="preserve"> </w:t>
      </w:r>
      <w:r>
        <w:rPr>
          <w:color w:val="000000"/>
          <w:spacing w:val="-1"/>
        </w:rPr>
        <w:t>a</w:t>
      </w:r>
      <w:r>
        <w:rPr>
          <w:color w:val="000000"/>
          <w:spacing w:val="5"/>
        </w:rPr>
        <w:t>t</w:t>
      </w:r>
      <w:r>
        <w:rPr>
          <w:color w:val="000000"/>
        </w:rPr>
        <w:t>g</w:t>
      </w:r>
      <w:r>
        <w:rPr>
          <w:color w:val="000000"/>
          <w:spacing w:val="-1"/>
        </w:rPr>
        <w:t>a</w:t>
      </w:r>
      <w:r>
        <w:rPr>
          <w:color w:val="000000"/>
        </w:rPr>
        <w:t>b</w:t>
      </w:r>
      <w:r>
        <w:rPr>
          <w:color w:val="000000"/>
          <w:spacing w:val="4"/>
        </w:rPr>
        <w:t>e</w:t>
      </w:r>
      <w:r>
        <w:rPr>
          <w:color w:val="000000"/>
          <w:spacing w:val="-5"/>
        </w:rPr>
        <w:t>n</w:t>
      </w:r>
      <w:r>
        <w:rPr>
          <w:color w:val="000000"/>
          <w:spacing w:val="4"/>
        </w:rPr>
        <w:t>a</w:t>
      </w:r>
      <w:r>
        <w:rPr>
          <w:color w:val="000000"/>
          <w:spacing w:val="-9"/>
        </w:rPr>
        <w:t>m</w:t>
      </w:r>
      <w:r>
        <w:rPr>
          <w:color w:val="000000"/>
          <w:spacing w:val="5"/>
        </w:rPr>
        <w:t>o</w:t>
      </w:r>
      <w:r>
        <w:rPr>
          <w:color w:val="000000"/>
        </w:rPr>
        <w:t>s</w:t>
      </w:r>
      <w:r>
        <w:rPr>
          <w:color w:val="000000"/>
          <w:spacing w:val="5"/>
        </w:rPr>
        <w:t xml:space="preserve"> </w:t>
      </w:r>
      <w:r>
        <w:rPr>
          <w:color w:val="000000"/>
          <w:spacing w:val="-5"/>
        </w:rPr>
        <w:t>n</w:t>
      </w:r>
      <w:r>
        <w:rPr>
          <w:color w:val="000000"/>
          <w:spacing w:val="-1"/>
        </w:rPr>
        <w:t>e</w:t>
      </w:r>
      <w:r>
        <w:rPr>
          <w:color w:val="000000"/>
          <w:spacing w:val="5"/>
        </w:rPr>
        <w:t>ko</w:t>
      </w:r>
      <w:r>
        <w:rPr>
          <w:color w:val="000000"/>
          <w:spacing w:val="-5"/>
        </w:rPr>
        <w:t>n</w:t>
      </w:r>
      <w:r>
        <w:rPr>
          <w:color w:val="000000"/>
          <w:spacing w:val="5"/>
        </w:rPr>
        <w:t>t</w:t>
      </w:r>
      <w:r>
        <w:rPr>
          <w:color w:val="000000"/>
          <w:spacing w:val="-3"/>
        </w:rPr>
        <w:t>r</w:t>
      </w:r>
      <w:r>
        <w:rPr>
          <w:color w:val="000000"/>
          <w:spacing w:val="5"/>
        </w:rPr>
        <w:t>o</w:t>
      </w:r>
      <w:r>
        <w:rPr>
          <w:color w:val="000000"/>
          <w:spacing w:val="-4"/>
        </w:rPr>
        <w:t>l</w:t>
      </w:r>
      <w:r>
        <w:rPr>
          <w:color w:val="000000"/>
          <w:spacing w:val="-9"/>
        </w:rPr>
        <w:t>i</w:t>
      </w:r>
      <w:r>
        <w:rPr>
          <w:color w:val="000000"/>
        </w:rPr>
        <w:t>u</w:t>
      </w:r>
      <w:r>
        <w:rPr>
          <w:color w:val="000000"/>
          <w:spacing w:val="9"/>
        </w:rPr>
        <w:t>o</w:t>
      </w:r>
      <w:r>
        <w:rPr>
          <w:color w:val="000000"/>
          <w:spacing w:val="-9"/>
        </w:rPr>
        <w:t>j</w:t>
      </w:r>
      <w:r>
        <w:rPr>
          <w:color w:val="000000"/>
          <w:spacing w:val="4"/>
        </w:rPr>
        <w:t>a</w:t>
      </w:r>
      <w:r>
        <w:rPr>
          <w:color w:val="000000"/>
          <w:spacing w:val="-9"/>
        </w:rPr>
        <w:t>m</w:t>
      </w:r>
      <w:r>
        <w:rPr>
          <w:color w:val="000000"/>
          <w:spacing w:val="9"/>
        </w:rPr>
        <w:t>o</w:t>
      </w:r>
      <w:r>
        <w:rPr>
          <w:color w:val="000000"/>
        </w:rPr>
        <w:t>s</w:t>
      </w:r>
      <w:r>
        <w:rPr>
          <w:color w:val="000000"/>
          <w:spacing w:val="5"/>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rPr>
        <w:t>s</w:t>
      </w:r>
      <w:r>
        <w:rPr>
          <w:color w:val="000000"/>
          <w:spacing w:val="5"/>
        </w:rPr>
        <w:t xml:space="preserve"> </w:t>
      </w:r>
      <w:r>
        <w:rPr>
          <w:color w:val="000000"/>
          <w:spacing w:val="-9"/>
        </w:rPr>
        <w:t>i</w:t>
      </w:r>
      <w:r>
        <w:rPr>
          <w:color w:val="000000"/>
          <w:spacing w:val="1"/>
        </w:rPr>
        <w:t>r</w:t>
      </w:r>
      <w:r>
        <w:rPr>
          <w:color w:val="000000"/>
        </w:rPr>
        <w:t>/ar</w:t>
      </w:r>
      <w:r>
        <w:rPr>
          <w:color w:val="000000"/>
          <w:spacing w:val="8"/>
        </w:rPr>
        <w:t xml:space="preserve"> </w:t>
      </w:r>
      <w:r>
        <w:rPr>
          <w:color w:val="000000"/>
          <w:spacing w:val="-9"/>
        </w:rPr>
        <w:t>j</w:t>
      </w:r>
      <w:r>
        <w:rPr>
          <w:color w:val="000000"/>
        </w:rPr>
        <w:t>ų</w:t>
      </w:r>
      <w:r>
        <w:rPr>
          <w:color w:val="000000"/>
          <w:spacing w:val="2"/>
        </w:rPr>
        <w:t xml:space="preserve"> </w:t>
      </w:r>
      <w:r>
        <w:rPr>
          <w:color w:val="000000"/>
        </w:rPr>
        <w:t>k</w:t>
      </w:r>
      <w:r>
        <w:rPr>
          <w:color w:val="000000"/>
          <w:spacing w:val="9"/>
        </w:rPr>
        <w:t>o</w:t>
      </w:r>
      <w:r>
        <w:rPr>
          <w:color w:val="000000"/>
          <w:spacing w:val="-9"/>
        </w:rPr>
        <w:t>m</w:t>
      </w:r>
      <w:r>
        <w:rPr>
          <w:color w:val="000000"/>
        </w:rPr>
        <w:t>p</w:t>
      </w:r>
      <w:r>
        <w:rPr>
          <w:color w:val="000000"/>
          <w:spacing w:val="5"/>
        </w:rPr>
        <w:t>o</w:t>
      </w:r>
      <w:r>
        <w:rPr>
          <w:color w:val="000000"/>
          <w:spacing w:val="-5"/>
        </w:rPr>
        <w:t>n</w:t>
      </w:r>
      <w:r>
        <w:rPr>
          <w:color w:val="000000"/>
          <w:spacing w:val="4"/>
        </w:rPr>
        <w:t>e</w:t>
      </w:r>
      <w:r>
        <w:rPr>
          <w:color w:val="000000"/>
          <w:spacing w:val="-5"/>
        </w:rPr>
        <w:t>n</w:t>
      </w:r>
      <w:r>
        <w:rPr>
          <w:color w:val="000000"/>
          <w:spacing w:val="5"/>
        </w:rPr>
        <w:t>t</w:t>
      </w:r>
      <w:r>
        <w:rPr>
          <w:color w:val="000000"/>
          <w:spacing w:val="4"/>
        </w:rPr>
        <w:t>a</w:t>
      </w:r>
      <w:r>
        <w:rPr>
          <w:color w:val="000000"/>
        </w:rPr>
        <w:t>i</w:t>
      </w:r>
      <w:r>
        <w:rPr>
          <w:color w:val="000000"/>
          <w:spacing w:val="-2"/>
        </w:rPr>
        <w:t xml:space="preserve"> </w:t>
      </w:r>
      <w:r>
        <w:rPr>
          <w:color w:val="000000"/>
          <w:spacing w:val="-4"/>
        </w:rPr>
        <w:t>i</w:t>
      </w:r>
      <w:r>
        <w:rPr>
          <w:color w:val="000000"/>
        </w:rPr>
        <w:t xml:space="preserve">r </w:t>
      </w:r>
      <w:r>
        <w:rPr>
          <w:color w:val="000000"/>
          <w:spacing w:val="-2"/>
        </w:rPr>
        <w:t>š</w:t>
      </w:r>
      <w:r>
        <w:rPr>
          <w:color w:val="000000"/>
          <w:spacing w:val="4"/>
        </w:rPr>
        <w:t>a</w:t>
      </w:r>
      <w:r>
        <w:rPr>
          <w:color w:val="000000"/>
          <w:spacing w:val="-4"/>
        </w:rPr>
        <w:t>li</w:t>
      </w:r>
      <w:r>
        <w:rPr>
          <w:color w:val="000000"/>
          <w:spacing w:val="4"/>
        </w:rPr>
        <w:t>e</w:t>
      </w:r>
      <w:r>
        <w:rPr>
          <w:color w:val="000000"/>
        </w:rPr>
        <w:t>s</w:t>
      </w:r>
      <w:r>
        <w:rPr>
          <w:color w:val="000000"/>
          <w:spacing w:val="5"/>
        </w:rPr>
        <w:t xml:space="preserve"> </w:t>
      </w:r>
      <w:r>
        <w:rPr>
          <w:color w:val="000000"/>
        </w:rPr>
        <w:t>v</w:t>
      </w:r>
      <w:r>
        <w:rPr>
          <w:color w:val="000000"/>
          <w:spacing w:val="-9"/>
        </w:rPr>
        <w:t>i</w:t>
      </w:r>
      <w:r>
        <w:rPr>
          <w:color w:val="000000"/>
        </w:rPr>
        <w:t>d</w:t>
      </w:r>
      <w:r>
        <w:rPr>
          <w:color w:val="000000"/>
          <w:spacing w:val="5"/>
        </w:rPr>
        <w:t>u</w:t>
      </w:r>
      <w:r>
        <w:rPr>
          <w:color w:val="000000"/>
          <w:spacing w:val="-4"/>
        </w:rPr>
        <w:t>j</w:t>
      </w:r>
      <w:r>
        <w:rPr>
          <w:color w:val="000000"/>
        </w:rPr>
        <w:t>e</w:t>
      </w:r>
      <w:r>
        <w:rPr>
          <w:color w:val="000000"/>
          <w:spacing w:val="1"/>
        </w:rPr>
        <w:t xml:space="preserve"> </w:t>
      </w:r>
      <w:r>
        <w:rPr>
          <w:color w:val="000000"/>
        </w:rPr>
        <w:t>g</w:t>
      </w:r>
      <w:r>
        <w:rPr>
          <w:color w:val="000000"/>
          <w:spacing w:val="4"/>
        </w:rPr>
        <w:t>a</w:t>
      </w:r>
      <w:r>
        <w:rPr>
          <w:color w:val="000000"/>
        </w:rPr>
        <w:t>m</w:t>
      </w:r>
      <w:r>
        <w:rPr>
          <w:color w:val="000000"/>
          <w:spacing w:val="-4"/>
        </w:rPr>
        <w:t>i</w:t>
      </w:r>
      <w:r>
        <w:rPr>
          <w:color w:val="000000"/>
        </w:rPr>
        <w:t>n</w:t>
      </w:r>
      <w:r>
        <w:rPr>
          <w:color w:val="000000"/>
          <w:spacing w:val="4"/>
        </w:rPr>
        <w:t>a</w:t>
      </w:r>
      <w:r>
        <w:rPr>
          <w:color w:val="000000"/>
          <w:spacing w:val="-9"/>
        </w:rPr>
        <w:t>m</w:t>
      </w:r>
      <w:r>
        <w:rPr>
          <w:color w:val="000000"/>
          <w:spacing w:val="9"/>
        </w:rPr>
        <w:t>o</w:t>
      </w:r>
      <w:r>
        <w:rPr>
          <w:color w:val="000000"/>
        </w:rPr>
        <w:t xml:space="preserve">s </w:t>
      </w:r>
      <w:r>
        <w:rPr>
          <w:color w:val="000000"/>
          <w:spacing w:val="6"/>
        </w:rPr>
        <w:t>(</w:t>
      </w:r>
      <w:r>
        <w:rPr>
          <w:color w:val="000000"/>
          <w:spacing w:val="-9"/>
        </w:rPr>
        <w:t>m</w:t>
      </w:r>
      <w:r>
        <w:rPr>
          <w:color w:val="000000"/>
          <w:spacing w:val="4"/>
        </w:rPr>
        <w:t>a</w:t>
      </w:r>
      <w:r>
        <w:rPr>
          <w:color w:val="000000"/>
          <w:spacing w:val="-4"/>
        </w:rPr>
        <w:t>i</w:t>
      </w:r>
      <w:r>
        <w:rPr>
          <w:color w:val="000000"/>
          <w:spacing w:val="-2"/>
        </w:rPr>
        <w:t>š</w:t>
      </w:r>
      <w:r>
        <w:rPr>
          <w:color w:val="000000"/>
          <w:spacing w:val="9"/>
        </w:rPr>
        <w:t>o</w:t>
      </w:r>
      <w:r>
        <w:rPr>
          <w:color w:val="000000"/>
          <w:spacing w:val="-9"/>
        </w:rPr>
        <w:t>m</w:t>
      </w:r>
      <w:r>
        <w:rPr>
          <w:color w:val="000000"/>
          <w:spacing w:val="5"/>
        </w:rPr>
        <w:t>o</w:t>
      </w:r>
      <w:r>
        <w:rPr>
          <w:color w:val="000000"/>
          <w:spacing w:val="-2"/>
        </w:rPr>
        <w:t>s</w:t>
      </w:r>
      <w:r>
        <w:rPr>
          <w:color w:val="000000"/>
        </w:rPr>
        <w:t>)</w:t>
      </w:r>
      <w:r>
        <w:rPr>
          <w:color w:val="000000"/>
          <w:spacing w:val="4"/>
        </w:rPr>
        <w:t xml:space="preserve"> </w:t>
      </w:r>
      <w:r>
        <w:rPr>
          <w:color w:val="000000"/>
        </w:rPr>
        <w:t>k</w:t>
      </w:r>
      <w:r>
        <w:rPr>
          <w:color w:val="000000"/>
          <w:spacing w:val="4"/>
        </w:rPr>
        <w:t>a</w:t>
      </w:r>
      <w:r>
        <w:rPr>
          <w:color w:val="000000"/>
        </w:rPr>
        <w:t>i</w:t>
      </w:r>
      <w:r>
        <w:rPr>
          <w:color w:val="000000"/>
          <w:spacing w:val="-7"/>
        </w:rPr>
        <w:t xml:space="preserve"> </w:t>
      </w:r>
      <w:r>
        <w:rPr>
          <w:color w:val="000000"/>
        </w:rPr>
        <w:t>ku</w:t>
      </w:r>
      <w:r>
        <w:rPr>
          <w:color w:val="000000"/>
          <w:spacing w:val="6"/>
        </w:rPr>
        <w:t>r</w:t>
      </w:r>
      <w:r>
        <w:rPr>
          <w:color w:val="000000"/>
          <w:spacing w:val="-9"/>
        </w:rPr>
        <w:t>i</w:t>
      </w:r>
      <w:r>
        <w:rPr>
          <w:color w:val="000000"/>
          <w:spacing w:val="5"/>
        </w:rPr>
        <w:t>o</w:t>
      </w:r>
      <w:r>
        <w:rPr>
          <w:color w:val="000000"/>
        </w:rPr>
        <w:t>s p</w:t>
      </w:r>
      <w:r>
        <w:rPr>
          <w:color w:val="000000"/>
          <w:spacing w:val="2"/>
        </w:rPr>
        <w:t>s</w:t>
      </w:r>
      <w:r>
        <w:rPr>
          <w:color w:val="000000"/>
          <w:spacing w:val="-4"/>
        </w:rPr>
        <w:t>i</w:t>
      </w:r>
      <w:r>
        <w:rPr>
          <w:color w:val="000000"/>
          <w:spacing w:val="-1"/>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9"/>
        </w:rPr>
        <w:t>i</w:t>
      </w:r>
      <w:r>
        <w:rPr>
          <w:color w:val="000000"/>
          <w:spacing w:val="9"/>
        </w:rPr>
        <w:t>o</w:t>
      </w:r>
      <w:r>
        <w:rPr>
          <w:color w:val="000000"/>
        </w:rPr>
        <w:t>s</w:t>
      </w:r>
      <w:r>
        <w:rPr>
          <w:color w:val="000000"/>
          <w:spacing w:val="5"/>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9" w:line="280" w:lineRule="exact"/>
        <w:rPr>
          <w:color w:val="000000"/>
          <w:sz w:val="28"/>
          <w:szCs w:val="28"/>
        </w:rPr>
      </w:pPr>
    </w:p>
    <w:p w:rsidR="004F7425" w:rsidRDefault="004F7425" w:rsidP="004F7425">
      <w:pPr>
        <w:widowControl w:val="0"/>
        <w:autoSpaceDE w:val="0"/>
        <w:autoSpaceDN w:val="0"/>
        <w:adjustRightInd w:val="0"/>
        <w:ind w:left="2682" w:right="2017"/>
        <w:jc w:val="center"/>
        <w:rPr>
          <w:color w:val="000000"/>
          <w:sz w:val="28"/>
          <w:szCs w:val="28"/>
        </w:rPr>
      </w:pPr>
      <w:r>
        <w:rPr>
          <w:b/>
          <w:bCs/>
          <w:color w:val="974705"/>
          <w:spacing w:val="1"/>
          <w:sz w:val="28"/>
          <w:szCs w:val="28"/>
        </w:rPr>
        <w:t>L</w:t>
      </w:r>
      <w:r>
        <w:rPr>
          <w:b/>
          <w:bCs/>
          <w:color w:val="974705"/>
          <w:sz w:val="28"/>
          <w:szCs w:val="28"/>
        </w:rPr>
        <w:t>R</w:t>
      </w:r>
      <w:r>
        <w:rPr>
          <w:b/>
          <w:bCs/>
          <w:color w:val="974705"/>
          <w:spacing w:val="-2"/>
          <w:sz w:val="28"/>
          <w:szCs w:val="28"/>
        </w:rPr>
        <w:t xml:space="preserve"> </w:t>
      </w:r>
      <w:r>
        <w:rPr>
          <w:b/>
          <w:bCs/>
          <w:color w:val="974705"/>
          <w:spacing w:val="3"/>
          <w:sz w:val="28"/>
          <w:szCs w:val="28"/>
        </w:rPr>
        <w:t>P</w:t>
      </w:r>
      <w:r>
        <w:rPr>
          <w:b/>
          <w:bCs/>
          <w:color w:val="974705"/>
          <w:spacing w:val="2"/>
          <w:sz w:val="28"/>
          <w:szCs w:val="28"/>
        </w:rPr>
        <w:t>I</w:t>
      </w:r>
      <w:r>
        <w:rPr>
          <w:b/>
          <w:bCs/>
          <w:color w:val="974705"/>
          <w:spacing w:val="1"/>
          <w:sz w:val="28"/>
          <w:szCs w:val="28"/>
        </w:rPr>
        <w:t>L</w:t>
      </w:r>
      <w:r>
        <w:rPr>
          <w:b/>
          <w:bCs/>
          <w:color w:val="974705"/>
          <w:spacing w:val="-3"/>
          <w:sz w:val="28"/>
          <w:szCs w:val="28"/>
        </w:rPr>
        <w:t>I</w:t>
      </w:r>
      <w:r>
        <w:rPr>
          <w:b/>
          <w:bCs/>
          <w:color w:val="974705"/>
          <w:spacing w:val="1"/>
          <w:sz w:val="28"/>
          <w:szCs w:val="28"/>
        </w:rPr>
        <w:t>E</w:t>
      </w:r>
      <w:r>
        <w:rPr>
          <w:b/>
          <w:bCs/>
          <w:color w:val="974705"/>
          <w:sz w:val="28"/>
          <w:szCs w:val="28"/>
        </w:rPr>
        <w:t>Č</w:t>
      </w:r>
      <w:r>
        <w:rPr>
          <w:b/>
          <w:bCs/>
          <w:color w:val="974705"/>
          <w:spacing w:val="3"/>
          <w:sz w:val="28"/>
          <w:szCs w:val="28"/>
        </w:rPr>
        <w:t>I</w:t>
      </w:r>
      <w:r>
        <w:rPr>
          <w:b/>
          <w:bCs/>
          <w:color w:val="974705"/>
          <w:sz w:val="28"/>
          <w:szCs w:val="28"/>
        </w:rPr>
        <w:t>Ų</w:t>
      </w:r>
      <w:r>
        <w:rPr>
          <w:b/>
          <w:bCs/>
          <w:color w:val="974705"/>
          <w:spacing w:val="-11"/>
          <w:sz w:val="28"/>
          <w:szCs w:val="28"/>
        </w:rPr>
        <w:t xml:space="preserve"> </w:t>
      </w:r>
      <w:r>
        <w:rPr>
          <w:b/>
          <w:bCs/>
          <w:color w:val="974705"/>
          <w:sz w:val="28"/>
          <w:szCs w:val="28"/>
        </w:rPr>
        <w:t>N</w:t>
      </w:r>
      <w:r>
        <w:rPr>
          <w:b/>
          <w:bCs/>
          <w:color w:val="974705"/>
          <w:spacing w:val="1"/>
          <w:sz w:val="28"/>
          <w:szCs w:val="28"/>
        </w:rPr>
        <w:t>U</w:t>
      </w:r>
      <w:r>
        <w:rPr>
          <w:b/>
          <w:bCs/>
          <w:color w:val="974705"/>
          <w:spacing w:val="-1"/>
          <w:sz w:val="28"/>
          <w:szCs w:val="28"/>
        </w:rPr>
        <w:t>S</w:t>
      </w:r>
      <w:r>
        <w:rPr>
          <w:b/>
          <w:bCs/>
          <w:color w:val="974705"/>
          <w:spacing w:val="2"/>
          <w:sz w:val="28"/>
          <w:szCs w:val="28"/>
        </w:rPr>
        <w:t>I</w:t>
      </w:r>
      <w:r>
        <w:rPr>
          <w:b/>
          <w:bCs/>
          <w:color w:val="974705"/>
          <w:sz w:val="28"/>
          <w:szCs w:val="28"/>
        </w:rPr>
        <w:t>KA</w:t>
      </w:r>
      <w:r>
        <w:rPr>
          <w:b/>
          <w:bCs/>
          <w:color w:val="974705"/>
          <w:spacing w:val="1"/>
          <w:sz w:val="28"/>
          <w:szCs w:val="28"/>
        </w:rPr>
        <w:t>L</w:t>
      </w:r>
      <w:r>
        <w:rPr>
          <w:b/>
          <w:bCs/>
          <w:color w:val="974705"/>
          <w:spacing w:val="-1"/>
          <w:sz w:val="28"/>
          <w:szCs w:val="28"/>
        </w:rPr>
        <w:t>S</w:t>
      </w:r>
      <w:r>
        <w:rPr>
          <w:b/>
          <w:bCs/>
          <w:color w:val="974705"/>
          <w:spacing w:val="1"/>
          <w:sz w:val="28"/>
          <w:szCs w:val="28"/>
        </w:rPr>
        <w:t>T</w:t>
      </w:r>
      <w:r>
        <w:rPr>
          <w:b/>
          <w:bCs/>
          <w:color w:val="974705"/>
          <w:sz w:val="28"/>
          <w:szCs w:val="28"/>
        </w:rPr>
        <w:t>A</w:t>
      </w:r>
      <w:r>
        <w:rPr>
          <w:b/>
          <w:bCs/>
          <w:color w:val="974705"/>
          <w:spacing w:val="6"/>
          <w:sz w:val="28"/>
          <w:szCs w:val="28"/>
        </w:rPr>
        <w:t>M</w:t>
      </w:r>
      <w:r>
        <w:rPr>
          <w:b/>
          <w:bCs/>
          <w:color w:val="974705"/>
          <w:sz w:val="28"/>
          <w:szCs w:val="28"/>
        </w:rPr>
        <w:t>A</w:t>
      </w:r>
      <w:r>
        <w:rPr>
          <w:b/>
          <w:bCs/>
          <w:color w:val="974705"/>
          <w:spacing w:val="-21"/>
          <w:sz w:val="28"/>
          <w:szCs w:val="28"/>
        </w:rPr>
        <w:t xml:space="preserve"> </w:t>
      </w:r>
      <w:r>
        <w:rPr>
          <w:b/>
          <w:bCs/>
          <w:color w:val="974705"/>
          <w:w w:val="99"/>
          <w:sz w:val="28"/>
          <w:szCs w:val="28"/>
        </w:rPr>
        <w:t>V</w:t>
      </w:r>
      <w:r>
        <w:rPr>
          <w:b/>
          <w:bCs/>
          <w:color w:val="974705"/>
          <w:spacing w:val="2"/>
          <w:w w:val="99"/>
          <w:sz w:val="28"/>
          <w:szCs w:val="28"/>
        </w:rPr>
        <w:t>EI</w:t>
      </w:r>
      <w:r>
        <w:rPr>
          <w:b/>
          <w:bCs/>
          <w:color w:val="974705"/>
          <w:spacing w:val="-5"/>
          <w:w w:val="99"/>
          <w:sz w:val="28"/>
          <w:szCs w:val="28"/>
        </w:rPr>
        <w:t>K</w:t>
      </w:r>
      <w:r>
        <w:rPr>
          <w:b/>
          <w:bCs/>
          <w:color w:val="974705"/>
          <w:w w:val="99"/>
          <w:sz w:val="28"/>
          <w:szCs w:val="28"/>
        </w:rPr>
        <w:t>A,</w:t>
      </w:r>
    </w:p>
    <w:p w:rsidR="004F7425" w:rsidRDefault="004F7425" w:rsidP="004F7425">
      <w:pPr>
        <w:widowControl w:val="0"/>
        <w:autoSpaceDE w:val="0"/>
        <w:autoSpaceDN w:val="0"/>
        <w:adjustRightInd w:val="0"/>
        <w:spacing w:before="47"/>
        <w:ind w:left="804" w:right="143"/>
        <w:jc w:val="center"/>
        <w:rPr>
          <w:color w:val="000000"/>
          <w:sz w:val="28"/>
          <w:szCs w:val="28"/>
        </w:rPr>
      </w:pPr>
      <w:r>
        <w:rPr>
          <w:b/>
          <w:bCs/>
          <w:color w:val="974705"/>
          <w:spacing w:val="-1"/>
          <w:sz w:val="28"/>
          <w:szCs w:val="28"/>
        </w:rPr>
        <w:t>S</w:t>
      </w:r>
      <w:r>
        <w:rPr>
          <w:b/>
          <w:bCs/>
          <w:color w:val="974705"/>
          <w:sz w:val="28"/>
          <w:szCs w:val="28"/>
        </w:rPr>
        <w:t>US</w:t>
      </w:r>
      <w:r>
        <w:rPr>
          <w:b/>
          <w:bCs/>
          <w:color w:val="974705"/>
          <w:spacing w:val="1"/>
          <w:sz w:val="28"/>
          <w:szCs w:val="28"/>
        </w:rPr>
        <w:t>I</w:t>
      </w:r>
      <w:r>
        <w:rPr>
          <w:b/>
          <w:bCs/>
          <w:color w:val="974705"/>
          <w:sz w:val="28"/>
          <w:szCs w:val="28"/>
        </w:rPr>
        <w:t>JUSI</w:t>
      </w:r>
      <w:r>
        <w:rPr>
          <w:b/>
          <w:bCs/>
          <w:color w:val="974705"/>
          <w:spacing w:val="-9"/>
          <w:sz w:val="28"/>
          <w:szCs w:val="28"/>
        </w:rPr>
        <w:t xml:space="preserve"> </w:t>
      </w:r>
      <w:r>
        <w:rPr>
          <w:b/>
          <w:bCs/>
          <w:color w:val="974705"/>
          <w:spacing w:val="-1"/>
          <w:sz w:val="28"/>
          <w:szCs w:val="28"/>
        </w:rPr>
        <w:t>S</w:t>
      </w:r>
      <w:r>
        <w:rPr>
          <w:b/>
          <w:bCs/>
          <w:color w:val="974705"/>
          <w:sz w:val="28"/>
          <w:szCs w:val="28"/>
        </w:rPr>
        <w:t>U</w:t>
      </w:r>
      <w:r>
        <w:rPr>
          <w:b/>
          <w:bCs/>
          <w:color w:val="974705"/>
          <w:spacing w:val="-2"/>
          <w:sz w:val="28"/>
          <w:szCs w:val="28"/>
        </w:rPr>
        <w:t xml:space="preserve"> </w:t>
      </w:r>
      <w:r>
        <w:rPr>
          <w:b/>
          <w:bCs/>
          <w:color w:val="974705"/>
          <w:spacing w:val="1"/>
          <w:sz w:val="28"/>
          <w:szCs w:val="28"/>
        </w:rPr>
        <w:t>T</w:t>
      </w:r>
      <w:r>
        <w:rPr>
          <w:b/>
          <w:bCs/>
          <w:color w:val="974705"/>
          <w:sz w:val="28"/>
          <w:szCs w:val="28"/>
        </w:rPr>
        <w:t>A</w:t>
      </w:r>
      <w:r>
        <w:rPr>
          <w:b/>
          <w:bCs/>
          <w:color w:val="974705"/>
          <w:spacing w:val="1"/>
          <w:sz w:val="28"/>
          <w:szCs w:val="28"/>
        </w:rPr>
        <w:t>R</w:t>
      </w:r>
      <w:r>
        <w:rPr>
          <w:b/>
          <w:bCs/>
          <w:color w:val="974705"/>
          <w:spacing w:val="3"/>
          <w:sz w:val="28"/>
          <w:szCs w:val="28"/>
        </w:rPr>
        <w:t>P</w:t>
      </w:r>
      <w:r>
        <w:rPr>
          <w:b/>
          <w:bCs/>
          <w:color w:val="974705"/>
          <w:spacing w:val="1"/>
          <w:sz w:val="28"/>
          <w:szCs w:val="28"/>
        </w:rPr>
        <w:t>T</w:t>
      </w:r>
      <w:r>
        <w:rPr>
          <w:b/>
          <w:bCs/>
          <w:color w:val="974705"/>
          <w:sz w:val="28"/>
          <w:szCs w:val="28"/>
        </w:rPr>
        <w:t>A</w:t>
      </w:r>
      <w:r>
        <w:rPr>
          <w:b/>
          <w:bCs/>
          <w:color w:val="974705"/>
          <w:spacing w:val="1"/>
          <w:sz w:val="28"/>
          <w:szCs w:val="28"/>
        </w:rPr>
        <w:t>UT</w:t>
      </w:r>
      <w:r>
        <w:rPr>
          <w:b/>
          <w:bCs/>
          <w:color w:val="974705"/>
          <w:spacing w:val="2"/>
          <w:sz w:val="28"/>
          <w:szCs w:val="28"/>
        </w:rPr>
        <w:t>I</w:t>
      </w:r>
      <w:r>
        <w:rPr>
          <w:b/>
          <w:bCs/>
          <w:color w:val="974705"/>
          <w:sz w:val="28"/>
          <w:szCs w:val="28"/>
        </w:rPr>
        <w:t>NE</w:t>
      </w:r>
      <w:r>
        <w:rPr>
          <w:b/>
          <w:bCs/>
          <w:color w:val="974705"/>
          <w:spacing w:val="-16"/>
          <w:sz w:val="28"/>
          <w:szCs w:val="28"/>
        </w:rPr>
        <w:t xml:space="preserve"> </w:t>
      </w:r>
      <w:r>
        <w:rPr>
          <w:b/>
          <w:bCs/>
          <w:color w:val="974705"/>
          <w:sz w:val="28"/>
          <w:szCs w:val="28"/>
        </w:rPr>
        <w:t>N</w:t>
      </w:r>
      <w:r>
        <w:rPr>
          <w:b/>
          <w:bCs/>
          <w:color w:val="974705"/>
          <w:spacing w:val="2"/>
          <w:sz w:val="28"/>
          <w:szCs w:val="28"/>
        </w:rPr>
        <w:t>E</w:t>
      </w:r>
      <w:r>
        <w:rPr>
          <w:b/>
          <w:bCs/>
          <w:color w:val="974705"/>
          <w:spacing w:val="1"/>
          <w:sz w:val="28"/>
          <w:szCs w:val="28"/>
        </w:rPr>
        <w:t>TE</w:t>
      </w:r>
      <w:r>
        <w:rPr>
          <w:b/>
          <w:bCs/>
          <w:color w:val="974705"/>
          <w:spacing w:val="2"/>
          <w:sz w:val="28"/>
          <w:szCs w:val="28"/>
        </w:rPr>
        <w:t>I</w:t>
      </w:r>
      <w:r>
        <w:rPr>
          <w:b/>
          <w:bCs/>
          <w:color w:val="974705"/>
          <w:spacing w:val="-1"/>
          <w:sz w:val="28"/>
          <w:szCs w:val="28"/>
        </w:rPr>
        <w:t>S</w:t>
      </w:r>
      <w:r>
        <w:rPr>
          <w:b/>
          <w:bCs/>
          <w:color w:val="974705"/>
          <w:spacing w:val="1"/>
          <w:sz w:val="28"/>
          <w:szCs w:val="28"/>
        </w:rPr>
        <w:t>ĖT</w:t>
      </w:r>
      <w:r>
        <w:rPr>
          <w:b/>
          <w:bCs/>
          <w:color w:val="974705"/>
          <w:sz w:val="28"/>
          <w:szCs w:val="28"/>
        </w:rPr>
        <w:t>A</w:t>
      </w:r>
      <w:r>
        <w:rPr>
          <w:b/>
          <w:bCs/>
          <w:color w:val="974705"/>
          <w:spacing w:val="-14"/>
          <w:sz w:val="28"/>
          <w:szCs w:val="28"/>
        </w:rPr>
        <w:t xml:space="preserve"> </w:t>
      </w:r>
      <w:r>
        <w:rPr>
          <w:b/>
          <w:bCs/>
          <w:color w:val="974705"/>
          <w:sz w:val="28"/>
          <w:szCs w:val="28"/>
        </w:rPr>
        <w:t>N</w:t>
      </w:r>
      <w:r>
        <w:rPr>
          <w:b/>
          <w:bCs/>
          <w:color w:val="974705"/>
          <w:spacing w:val="1"/>
          <w:sz w:val="28"/>
          <w:szCs w:val="28"/>
        </w:rPr>
        <w:t>A</w:t>
      </w:r>
      <w:r>
        <w:rPr>
          <w:b/>
          <w:bCs/>
          <w:color w:val="974705"/>
          <w:sz w:val="28"/>
          <w:szCs w:val="28"/>
        </w:rPr>
        <w:t>RKO</w:t>
      </w:r>
      <w:r>
        <w:rPr>
          <w:b/>
          <w:bCs/>
          <w:color w:val="974705"/>
          <w:spacing w:val="1"/>
          <w:sz w:val="28"/>
          <w:szCs w:val="28"/>
        </w:rPr>
        <w:t>T</w:t>
      </w:r>
      <w:r>
        <w:rPr>
          <w:b/>
          <w:bCs/>
          <w:color w:val="974705"/>
          <w:spacing w:val="2"/>
          <w:sz w:val="28"/>
          <w:szCs w:val="28"/>
        </w:rPr>
        <w:t>I</w:t>
      </w:r>
      <w:r>
        <w:rPr>
          <w:b/>
          <w:bCs/>
          <w:color w:val="974705"/>
          <w:sz w:val="28"/>
          <w:szCs w:val="28"/>
        </w:rPr>
        <w:t>KŲ</w:t>
      </w:r>
      <w:r>
        <w:rPr>
          <w:b/>
          <w:bCs/>
          <w:color w:val="974705"/>
          <w:spacing w:val="-16"/>
          <w:sz w:val="28"/>
          <w:szCs w:val="28"/>
        </w:rPr>
        <w:t xml:space="preserve"> </w:t>
      </w:r>
      <w:r>
        <w:rPr>
          <w:b/>
          <w:bCs/>
          <w:color w:val="974705"/>
          <w:w w:val="99"/>
          <w:sz w:val="28"/>
          <w:szCs w:val="28"/>
        </w:rPr>
        <w:t>A</w:t>
      </w:r>
      <w:r>
        <w:rPr>
          <w:b/>
          <w:bCs/>
          <w:color w:val="974705"/>
          <w:spacing w:val="3"/>
          <w:w w:val="99"/>
          <w:sz w:val="28"/>
          <w:szCs w:val="28"/>
        </w:rPr>
        <w:t>P</w:t>
      </w:r>
      <w:r>
        <w:rPr>
          <w:b/>
          <w:bCs/>
          <w:color w:val="974705"/>
          <w:w w:val="99"/>
          <w:sz w:val="28"/>
          <w:szCs w:val="28"/>
        </w:rPr>
        <w:t>Y</w:t>
      </w:r>
      <w:r>
        <w:rPr>
          <w:b/>
          <w:bCs/>
          <w:color w:val="974705"/>
          <w:spacing w:val="1"/>
          <w:w w:val="99"/>
          <w:sz w:val="28"/>
          <w:szCs w:val="28"/>
        </w:rPr>
        <w:t>V</w:t>
      </w:r>
      <w:r>
        <w:rPr>
          <w:b/>
          <w:bCs/>
          <w:color w:val="974705"/>
          <w:w w:val="99"/>
          <w:sz w:val="28"/>
          <w:szCs w:val="28"/>
        </w:rPr>
        <w:t>A</w:t>
      </w:r>
      <w:r>
        <w:rPr>
          <w:b/>
          <w:bCs/>
          <w:color w:val="974705"/>
          <w:spacing w:val="1"/>
          <w:w w:val="99"/>
          <w:sz w:val="28"/>
          <w:szCs w:val="28"/>
        </w:rPr>
        <w:t>RT</w:t>
      </w:r>
      <w:r>
        <w:rPr>
          <w:b/>
          <w:bCs/>
          <w:color w:val="974705"/>
          <w:w w:val="99"/>
          <w:sz w:val="28"/>
          <w:szCs w:val="28"/>
        </w:rPr>
        <w:t>A</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5" w:lineRule="auto"/>
        <w:ind w:left="120" w:right="126" w:firstLine="721"/>
        <w:jc w:val="both"/>
        <w:rPr>
          <w:color w:val="000000"/>
        </w:rPr>
      </w:pPr>
      <w:r>
        <w:rPr>
          <w:color w:val="000000"/>
          <w:spacing w:val="1"/>
        </w:rPr>
        <w:t>I</w:t>
      </w:r>
      <w:r>
        <w:rPr>
          <w:color w:val="000000"/>
          <w:spacing w:val="-2"/>
        </w:rPr>
        <w:t>š</w:t>
      </w:r>
      <w:r>
        <w:rPr>
          <w:color w:val="000000"/>
          <w:spacing w:val="-1"/>
        </w:rPr>
        <w:t>a</w:t>
      </w:r>
      <w:r>
        <w:rPr>
          <w:color w:val="000000"/>
          <w:spacing w:val="-5"/>
        </w:rPr>
        <w:t>n</w:t>
      </w:r>
      <w:r>
        <w:rPr>
          <w:color w:val="000000"/>
          <w:spacing w:val="4"/>
        </w:rPr>
        <w:t>a</w:t>
      </w:r>
      <w:r>
        <w:rPr>
          <w:color w:val="000000"/>
        </w:rPr>
        <w:t>l</w:t>
      </w:r>
      <w:r>
        <w:rPr>
          <w:color w:val="000000"/>
          <w:spacing w:val="-4"/>
        </w:rPr>
        <w:t>i</w:t>
      </w:r>
      <w:r>
        <w:rPr>
          <w:color w:val="000000"/>
          <w:spacing w:val="4"/>
        </w:rPr>
        <w:t>za</w:t>
      </w:r>
      <w:r>
        <w:rPr>
          <w:color w:val="000000"/>
          <w:spacing w:val="-5"/>
        </w:rPr>
        <w:t>v</w:t>
      </w:r>
      <w:r>
        <w:rPr>
          <w:color w:val="000000"/>
        </w:rPr>
        <w:t>us 2012</w:t>
      </w:r>
      <w:r>
        <w:rPr>
          <w:color w:val="000000"/>
          <w:spacing w:val="11"/>
        </w:rPr>
        <w:t xml:space="preserve"> </w:t>
      </w:r>
      <w:r>
        <w:rPr>
          <w:color w:val="000000"/>
          <w:spacing w:val="-9"/>
        </w:rPr>
        <w:t>m</w:t>
      </w:r>
      <w:r>
        <w:rPr>
          <w:color w:val="000000"/>
        </w:rPr>
        <w:t>.</w:t>
      </w:r>
      <w:r>
        <w:rPr>
          <w:color w:val="000000"/>
          <w:spacing w:val="9"/>
        </w:rPr>
        <w:t xml:space="preserve"> </w:t>
      </w:r>
      <w:r>
        <w:rPr>
          <w:color w:val="000000"/>
          <w:spacing w:val="-4"/>
        </w:rPr>
        <w:t>i</w:t>
      </w:r>
      <w:r>
        <w:rPr>
          <w:color w:val="000000"/>
          <w:spacing w:val="5"/>
        </w:rPr>
        <w:t>n</w:t>
      </w:r>
      <w:r>
        <w:rPr>
          <w:color w:val="000000"/>
          <w:spacing w:val="-8"/>
        </w:rPr>
        <w:t>f</w:t>
      </w:r>
      <w:r>
        <w:rPr>
          <w:color w:val="000000"/>
          <w:spacing w:val="5"/>
        </w:rPr>
        <w:t>o</w:t>
      </w:r>
      <w:r>
        <w:rPr>
          <w:color w:val="000000"/>
          <w:spacing w:val="6"/>
        </w:rPr>
        <w:t>r</w:t>
      </w:r>
      <w:r>
        <w:rPr>
          <w:color w:val="000000"/>
          <w:spacing w:val="-4"/>
        </w:rPr>
        <w:t>m</w:t>
      </w:r>
      <w:r>
        <w:rPr>
          <w:color w:val="000000"/>
          <w:spacing w:val="-1"/>
        </w:rPr>
        <w:t>a</w:t>
      </w:r>
      <w:r>
        <w:rPr>
          <w:color w:val="000000"/>
          <w:spacing w:val="4"/>
        </w:rPr>
        <w:t>c</w:t>
      </w:r>
      <w:r>
        <w:rPr>
          <w:color w:val="000000"/>
          <w:spacing w:val="-4"/>
        </w:rPr>
        <w:t>ij</w:t>
      </w:r>
      <w:r>
        <w:rPr>
          <w:color w:val="000000"/>
        </w:rPr>
        <w:t>ą</w:t>
      </w:r>
      <w:r>
        <w:rPr>
          <w:color w:val="000000"/>
          <w:spacing w:val="5"/>
        </w:rPr>
        <w:t xml:space="preserve"> </w:t>
      </w:r>
      <w:r>
        <w:rPr>
          <w:color w:val="000000"/>
          <w:spacing w:val="-1"/>
        </w:rPr>
        <w:t>a</w:t>
      </w:r>
      <w:r>
        <w:rPr>
          <w:color w:val="000000"/>
          <w:spacing w:val="5"/>
        </w:rPr>
        <w:t>p</w:t>
      </w:r>
      <w:r>
        <w:rPr>
          <w:color w:val="000000"/>
          <w:spacing w:val="-4"/>
        </w:rPr>
        <w:t>i</w:t>
      </w:r>
      <w:r>
        <w:rPr>
          <w:color w:val="000000"/>
        </w:rPr>
        <w:t>e</w:t>
      </w:r>
      <w:r>
        <w:rPr>
          <w:color w:val="000000"/>
          <w:spacing w:val="6"/>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5"/>
        </w:rPr>
        <w:t>p</w:t>
      </w:r>
      <w:r>
        <w:rPr>
          <w:color w:val="000000"/>
        </w:rPr>
        <w:t>i</w:t>
      </w:r>
      <w:r>
        <w:rPr>
          <w:color w:val="000000"/>
          <w:spacing w:val="1"/>
        </w:rPr>
        <w:t>l</w:t>
      </w:r>
      <w:r>
        <w:rPr>
          <w:color w:val="000000"/>
          <w:spacing w:val="-4"/>
        </w:rPr>
        <w:t>i</w:t>
      </w:r>
      <w:r>
        <w:rPr>
          <w:color w:val="000000"/>
          <w:spacing w:val="-1"/>
        </w:rPr>
        <w:t>e</w:t>
      </w:r>
      <w:r>
        <w:rPr>
          <w:color w:val="000000"/>
          <w:spacing w:val="4"/>
        </w:rPr>
        <w:t>č</w:t>
      </w:r>
      <w:r>
        <w:rPr>
          <w:color w:val="000000"/>
          <w:spacing w:val="-4"/>
        </w:rPr>
        <w:t>i</w:t>
      </w:r>
      <w:r>
        <w:rPr>
          <w:color w:val="000000"/>
        </w:rPr>
        <w:t>ų</w:t>
      </w:r>
      <w:r>
        <w:rPr>
          <w:color w:val="000000"/>
          <w:spacing w:val="7"/>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 xml:space="preserve">us </w:t>
      </w:r>
      <w:r>
        <w:rPr>
          <w:color w:val="000000"/>
          <w:spacing w:val="5"/>
        </w:rPr>
        <w:t>u</w:t>
      </w:r>
      <w:r>
        <w:rPr>
          <w:color w:val="000000"/>
          <w:spacing w:val="-1"/>
        </w:rPr>
        <w:t>ž</w:t>
      </w:r>
      <w:r>
        <w:rPr>
          <w:color w:val="000000"/>
          <w:spacing w:val="2"/>
        </w:rPr>
        <w:t>s</w:t>
      </w:r>
      <w:r>
        <w:rPr>
          <w:color w:val="000000"/>
          <w:spacing w:val="-4"/>
        </w:rPr>
        <w:t>i</w:t>
      </w:r>
      <w:r>
        <w:rPr>
          <w:color w:val="000000"/>
          <w:spacing w:val="4"/>
        </w:rPr>
        <w:t>e</w:t>
      </w:r>
      <w:r>
        <w:rPr>
          <w:color w:val="000000"/>
        </w:rPr>
        <w:t>ny</w:t>
      </w:r>
      <w:r>
        <w:rPr>
          <w:color w:val="000000"/>
          <w:spacing w:val="-4"/>
        </w:rPr>
        <w:t>j</w:t>
      </w:r>
      <w:r>
        <w:rPr>
          <w:color w:val="000000"/>
          <w:spacing w:val="-1"/>
        </w:rPr>
        <w:t>e</w:t>
      </w:r>
      <w:r>
        <w:rPr>
          <w:color w:val="000000"/>
        </w:rPr>
        <w:t>,</w:t>
      </w:r>
      <w:r>
        <w:rPr>
          <w:color w:val="000000"/>
          <w:spacing w:val="4"/>
        </w:rPr>
        <w:t xml:space="preserve"> </w:t>
      </w:r>
      <w:r>
        <w:rPr>
          <w:color w:val="000000"/>
          <w:spacing w:val="-2"/>
        </w:rPr>
        <w:t>s</w:t>
      </w:r>
      <w:r>
        <w:rPr>
          <w:color w:val="000000"/>
          <w:spacing w:val="5"/>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rPr>
        <w:t>us</w:t>
      </w:r>
      <w:r>
        <w:rPr>
          <w:color w:val="000000"/>
          <w:spacing w:val="4"/>
        </w:rPr>
        <w:t xml:space="preserve"> </w:t>
      </w:r>
      <w:r>
        <w:rPr>
          <w:color w:val="000000"/>
          <w:spacing w:val="-2"/>
        </w:rPr>
        <w:t>s</w:t>
      </w:r>
      <w:r>
        <w:rPr>
          <w:color w:val="000000"/>
        </w:rPr>
        <w:t xml:space="preserve">u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a</w:t>
      </w:r>
      <w:r>
        <w:rPr>
          <w:color w:val="000000"/>
          <w:spacing w:val="25"/>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4"/>
        </w:rPr>
        <w:t>i</w:t>
      </w:r>
      <w:r>
        <w:rPr>
          <w:color w:val="000000"/>
        </w:rPr>
        <w:t>n</w:t>
      </w:r>
      <w:r>
        <w:rPr>
          <w:color w:val="000000"/>
          <w:spacing w:val="-9"/>
        </w:rPr>
        <w:t>i</w:t>
      </w:r>
      <w:r>
        <w:rPr>
          <w:color w:val="000000"/>
        </w:rPr>
        <w:t>ų</w:t>
      </w:r>
      <w:r>
        <w:rPr>
          <w:color w:val="000000"/>
          <w:spacing w:val="31"/>
        </w:rPr>
        <w:t xml:space="preserve"> </w:t>
      </w:r>
      <w:r>
        <w:rPr>
          <w:color w:val="000000"/>
          <w:spacing w:val="-4"/>
        </w:rPr>
        <w:t>i</w:t>
      </w:r>
      <w:r>
        <w:rPr>
          <w:color w:val="000000"/>
        </w:rPr>
        <w:t>r</w:t>
      </w:r>
      <w:r>
        <w:rPr>
          <w:color w:val="000000"/>
          <w:spacing w:val="28"/>
        </w:rPr>
        <w:t xml:space="preserve"> </w:t>
      </w:r>
      <w:r>
        <w:rPr>
          <w:color w:val="000000"/>
          <w:spacing w:val="5"/>
        </w:rPr>
        <w:t>p</w:t>
      </w:r>
      <w:r>
        <w:rPr>
          <w:color w:val="000000"/>
          <w:spacing w:val="2"/>
        </w:rPr>
        <w:t>s</w:t>
      </w:r>
      <w:r>
        <w:rPr>
          <w:color w:val="000000"/>
          <w:spacing w:val="-4"/>
        </w:rPr>
        <w:t>i</w:t>
      </w:r>
      <w:r>
        <w:rPr>
          <w:color w:val="000000"/>
          <w:spacing w:val="4"/>
        </w:rPr>
        <w:t>c</w:t>
      </w:r>
      <w:r>
        <w:rPr>
          <w:color w:val="000000"/>
          <w:spacing w:val="-5"/>
        </w:rPr>
        <w:t>h</w:t>
      </w:r>
      <w:r>
        <w:rPr>
          <w:color w:val="000000"/>
        </w:rPr>
        <w:t>o</w:t>
      </w:r>
      <w:r>
        <w:rPr>
          <w:color w:val="000000"/>
          <w:spacing w:val="5"/>
        </w:rPr>
        <w:t>t</w:t>
      </w:r>
      <w:r>
        <w:rPr>
          <w:color w:val="000000"/>
          <w:spacing w:val="-3"/>
        </w:rPr>
        <w:t>r</w:t>
      </w:r>
      <w:r>
        <w:rPr>
          <w:color w:val="000000"/>
          <w:spacing w:val="5"/>
        </w:rPr>
        <w:t>o</w:t>
      </w:r>
      <w:r>
        <w:rPr>
          <w:color w:val="000000"/>
        </w:rPr>
        <w:t>p</w:t>
      </w:r>
      <w:r>
        <w:rPr>
          <w:color w:val="000000"/>
          <w:spacing w:val="-4"/>
        </w:rPr>
        <w:t>i</w:t>
      </w:r>
      <w:r>
        <w:rPr>
          <w:color w:val="000000"/>
        </w:rPr>
        <w:t>n</w:t>
      </w:r>
      <w:r>
        <w:rPr>
          <w:color w:val="000000"/>
          <w:spacing w:val="-4"/>
        </w:rPr>
        <w:t>i</w:t>
      </w:r>
      <w:r>
        <w:rPr>
          <w:color w:val="000000"/>
        </w:rPr>
        <w:t>ų</w:t>
      </w:r>
      <w:r>
        <w:rPr>
          <w:color w:val="000000"/>
          <w:spacing w:val="31"/>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31"/>
        </w:rPr>
        <w:t xml:space="preserve"> </w:t>
      </w:r>
      <w:r>
        <w:rPr>
          <w:color w:val="000000"/>
          <w:spacing w:val="4"/>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w:t>
      </w:r>
      <w:r>
        <w:rPr>
          <w:color w:val="000000"/>
        </w:rPr>
        <w:t>a</w:t>
      </w:r>
      <w:r>
        <w:rPr>
          <w:color w:val="000000"/>
          <w:spacing w:val="33"/>
        </w:rPr>
        <w:t xml:space="preserve"> </w:t>
      </w:r>
      <w:r>
        <w:rPr>
          <w:color w:val="000000"/>
          <w:spacing w:val="-5"/>
        </w:rPr>
        <w:t>b</w:t>
      </w:r>
      <w:r>
        <w:rPr>
          <w:color w:val="000000"/>
          <w:spacing w:val="4"/>
        </w:rPr>
        <w:t>e</w:t>
      </w:r>
      <w:r>
        <w:rPr>
          <w:color w:val="000000"/>
        </w:rPr>
        <w:t>i</w:t>
      </w:r>
      <w:r>
        <w:rPr>
          <w:color w:val="000000"/>
          <w:spacing w:val="22"/>
        </w:rPr>
        <w:t xml:space="preserve"> </w:t>
      </w:r>
      <w:r>
        <w:rPr>
          <w:color w:val="000000"/>
        </w:rPr>
        <w:t>p</w:t>
      </w:r>
      <w:r>
        <w:rPr>
          <w:color w:val="000000"/>
          <w:spacing w:val="4"/>
        </w:rPr>
        <w:t>a</w:t>
      </w:r>
      <w:r>
        <w:rPr>
          <w:color w:val="000000"/>
        </w:rPr>
        <w:t>l</w:t>
      </w:r>
      <w:r>
        <w:rPr>
          <w:color w:val="000000"/>
          <w:spacing w:val="-4"/>
        </w:rPr>
        <w:t>y</w:t>
      </w:r>
      <w:r>
        <w:rPr>
          <w:color w:val="000000"/>
          <w:spacing w:val="5"/>
        </w:rPr>
        <w:t>g</w:t>
      </w:r>
      <w:r>
        <w:rPr>
          <w:color w:val="000000"/>
          <w:spacing w:val="-4"/>
        </w:rPr>
        <w:t>i</w:t>
      </w:r>
      <w:r>
        <w:rPr>
          <w:color w:val="000000"/>
        </w:rPr>
        <w:t>nus</w:t>
      </w:r>
      <w:r>
        <w:rPr>
          <w:color w:val="000000"/>
          <w:spacing w:val="29"/>
        </w:rPr>
        <w:t xml:space="preserve"> </w:t>
      </w:r>
      <w:r>
        <w:rPr>
          <w:color w:val="000000"/>
          <w:spacing w:val="4"/>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rPr>
        <w:t>ų</w:t>
      </w:r>
      <w:r>
        <w:rPr>
          <w:color w:val="000000"/>
          <w:spacing w:val="31"/>
        </w:rPr>
        <w:t xml:space="preserve"> </w:t>
      </w:r>
      <w:r>
        <w:rPr>
          <w:color w:val="000000"/>
          <w:spacing w:val="-4"/>
        </w:rPr>
        <w:t>m</w:t>
      </w:r>
      <w:r>
        <w:rPr>
          <w:color w:val="000000"/>
          <w:spacing w:val="-1"/>
        </w:rPr>
        <w:t>e</w:t>
      </w:r>
      <w:r>
        <w:rPr>
          <w:color w:val="000000"/>
          <w:spacing w:val="5"/>
        </w:rPr>
        <w:t>t</w:t>
      </w:r>
      <w:r>
        <w:rPr>
          <w:color w:val="000000"/>
        </w:rPr>
        <w:t>ų</w:t>
      </w:r>
      <w:r>
        <w:rPr>
          <w:color w:val="000000"/>
          <w:spacing w:val="26"/>
        </w:rPr>
        <w:t xml:space="preserve"> </w:t>
      </w:r>
      <w:r>
        <w:rPr>
          <w:color w:val="000000"/>
        </w:rPr>
        <w:t>du</w:t>
      </w:r>
      <w:r>
        <w:rPr>
          <w:color w:val="000000"/>
          <w:spacing w:val="5"/>
        </w:rPr>
        <w:t>o</w:t>
      </w:r>
      <w:r>
        <w:rPr>
          <w:color w:val="000000"/>
          <w:spacing w:val="-9"/>
        </w:rPr>
        <w:t>m</w:t>
      </w:r>
      <w:r>
        <w:rPr>
          <w:color w:val="000000"/>
          <w:spacing w:val="4"/>
        </w:rPr>
        <w:t>e</w:t>
      </w:r>
      <w:r>
        <w:rPr>
          <w:color w:val="000000"/>
        </w:rPr>
        <w:t>n</w:t>
      </w:r>
      <w:r>
        <w:rPr>
          <w:color w:val="000000"/>
          <w:spacing w:val="-4"/>
        </w:rPr>
        <w:t>i</w:t>
      </w:r>
      <w:r>
        <w:rPr>
          <w:color w:val="000000"/>
        </w:rPr>
        <w:t xml:space="preserve">s </w:t>
      </w:r>
      <w:r>
        <w:rPr>
          <w:color w:val="000000"/>
          <w:spacing w:val="1"/>
        </w:rPr>
        <w:t>(</w:t>
      </w:r>
      <w:r>
        <w:rPr>
          <w:color w:val="000000"/>
        </w:rPr>
        <w:t>2009</w:t>
      </w:r>
      <w:r>
        <w:rPr>
          <w:color w:val="000000"/>
          <w:spacing w:val="3"/>
        </w:rPr>
        <w:t xml:space="preserve"> </w:t>
      </w:r>
      <w:r>
        <w:rPr>
          <w:color w:val="000000"/>
        </w:rPr>
        <w:t>–</w:t>
      </w:r>
      <w:r>
        <w:rPr>
          <w:color w:val="000000"/>
          <w:spacing w:val="2"/>
        </w:rPr>
        <w:t xml:space="preserve"> </w:t>
      </w:r>
      <w:r>
        <w:rPr>
          <w:color w:val="000000"/>
        </w:rPr>
        <w:t>2011</w:t>
      </w:r>
      <w:r>
        <w:rPr>
          <w:color w:val="000000"/>
          <w:spacing w:val="-9"/>
        </w:rPr>
        <w:t>m</w:t>
      </w:r>
      <w:r>
        <w:rPr>
          <w:color w:val="000000"/>
          <w:spacing w:val="2"/>
        </w:rPr>
        <w:t>.</w:t>
      </w:r>
      <w:r>
        <w:rPr>
          <w:color w:val="000000"/>
          <w:spacing w:val="1"/>
        </w:rPr>
        <w:t>)</w:t>
      </w:r>
      <w:r>
        <w:rPr>
          <w:color w:val="000000"/>
        </w:rPr>
        <w:t>,</w:t>
      </w:r>
      <w:r>
        <w:rPr>
          <w:color w:val="000000"/>
          <w:spacing w:val="4"/>
        </w:rPr>
        <w:t xml:space="preserve"> </w:t>
      </w:r>
      <w:r>
        <w:rPr>
          <w:color w:val="000000"/>
          <w:spacing w:val="-9"/>
        </w:rPr>
        <w:t>m</w:t>
      </w:r>
      <w:r>
        <w:rPr>
          <w:color w:val="000000"/>
          <w:spacing w:val="-1"/>
        </w:rPr>
        <w:t>a</w:t>
      </w:r>
      <w:r>
        <w:rPr>
          <w:color w:val="000000"/>
          <w:spacing w:val="5"/>
        </w:rPr>
        <w:t>to</w:t>
      </w:r>
      <w:r>
        <w:rPr>
          <w:color w:val="000000"/>
          <w:spacing w:val="-9"/>
        </w:rPr>
        <w:t>m</w:t>
      </w:r>
      <w:r>
        <w:rPr>
          <w:color w:val="000000"/>
          <w:spacing w:val="-1"/>
        </w:rPr>
        <w:t>a</w:t>
      </w:r>
      <w:r>
        <w:rPr>
          <w:color w:val="000000"/>
        </w:rPr>
        <w:t xml:space="preserve">s </w:t>
      </w:r>
      <w:r>
        <w:rPr>
          <w:color w:val="000000"/>
          <w:spacing w:val="4"/>
        </w:rPr>
        <w:t>a</w:t>
      </w:r>
      <w:r>
        <w:rPr>
          <w:color w:val="000000"/>
          <w:spacing w:val="-4"/>
        </w:rPr>
        <w:t>i</w:t>
      </w:r>
      <w:r>
        <w:rPr>
          <w:color w:val="000000"/>
          <w:spacing w:val="-2"/>
        </w:rPr>
        <w:t>š</w:t>
      </w:r>
      <w:r>
        <w:rPr>
          <w:color w:val="000000"/>
        </w:rPr>
        <w:t>k</w:t>
      </w:r>
      <w:r>
        <w:rPr>
          <w:color w:val="000000"/>
          <w:spacing w:val="5"/>
        </w:rPr>
        <w:t>u</w:t>
      </w:r>
      <w:r>
        <w:rPr>
          <w:color w:val="000000"/>
        </w:rPr>
        <w:t xml:space="preserve">s </w:t>
      </w:r>
      <w:r>
        <w:rPr>
          <w:color w:val="000000"/>
          <w:spacing w:val="-1"/>
        </w:rPr>
        <w:t>a</w:t>
      </w:r>
      <w:r>
        <w:rPr>
          <w:color w:val="000000"/>
          <w:spacing w:val="2"/>
        </w:rPr>
        <w:t>s</w:t>
      </w:r>
      <w:r>
        <w:rPr>
          <w:color w:val="000000"/>
          <w:spacing w:val="-4"/>
        </w:rPr>
        <w:t>m</w:t>
      </w:r>
      <w:r>
        <w:rPr>
          <w:color w:val="000000"/>
          <w:spacing w:val="4"/>
        </w:rPr>
        <w:t>e</w:t>
      </w:r>
      <w:r>
        <w:rPr>
          <w:color w:val="000000"/>
          <w:spacing w:val="-5"/>
        </w:rPr>
        <w:t>n</w:t>
      </w:r>
      <w:r>
        <w:rPr>
          <w:color w:val="000000"/>
        </w:rPr>
        <w:t>ų</w:t>
      </w:r>
      <w:r>
        <w:rPr>
          <w:color w:val="000000"/>
          <w:spacing w:val="2"/>
        </w:rPr>
        <w:t xml:space="preserve"> </w:t>
      </w:r>
      <w:r>
        <w:rPr>
          <w:color w:val="000000"/>
          <w:spacing w:val="-2"/>
        </w:rPr>
        <w:t>s</w:t>
      </w:r>
      <w:r>
        <w:rPr>
          <w:color w:val="000000"/>
          <w:spacing w:val="5"/>
        </w:rPr>
        <w:t>u</w:t>
      </w:r>
      <w:r>
        <w:rPr>
          <w:color w:val="000000"/>
          <w:spacing w:val="-4"/>
        </w:rPr>
        <w:t>l</w:t>
      </w:r>
      <w:r>
        <w:rPr>
          <w:color w:val="000000"/>
          <w:spacing w:val="4"/>
        </w:rPr>
        <w:t>a</w:t>
      </w:r>
      <w:r>
        <w:rPr>
          <w:color w:val="000000"/>
        </w:rPr>
        <w:t>ik</w:t>
      </w:r>
      <w:r>
        <w:rPr>
          <w:color w:val="000000"/>
          <w:spacing w:val="5"/>
        </w:rPr>
        <w:t>o</w:t>
      </w:r>
      <w:r>
        <w:rPr>
          <w:color w:val="000000"/>
          <w:spacing w:val="-9"/>
        </w:rPr>
        <w:t>m</w:t>
      </w:r>
      <w:r>
        <w:rPr>
          <w:color w:val="000000"/>
        </w:rPr>
        <w:t>ų</w:t>
      </w:r>
      <w:r>
        <w:rPr>
          <w:color w:val="000000"/>
          <w:spacing w:val="2"/>
        </w:rPr>
        <w:t xml:space="preserve"> </w:t>
      </w:r>
      <w:r>
        <w:rPr>
          <w:color w:val="000000"/>
        </w:rPr>
        <w:t>u</w:t>
      </w:r>
      <w:r>
        <w:rPr>
          <w:color w:val="000000"/>
          <w:spacing w:val="-1"/>
        </w:rPr>
        <w:t>ž</w:t>
      </w:r>
      <w:r>
        <w:rPr>
          <w:color w:val="000000"/>
          <w:spacing w:val="2"/>
        </w:rPr>
        <w:t>s</w:t>
      </w:r>
      <w:r>
        <w:rPr>
          <w:color w:val="000000"/>
          <w:spacing w:val="-4"/>
        </w:rPr>
        <w:t>i</w:t>
      </w:r>
      <w:r>
        <w:rPr>
          <w:color w:val="000000"/>
          <w:spacing w:val="4"/>
        </w:rPr>
        <w:t>e</w:t>
      </w:r>
      <w:r>
        <w:rPr>
          <w:color w:val="000000"/>
        </w:rPr>
        <w:t>ny</w:t>
      </w:r>
      <w:r>
        <w:rPr>
          <w:color w:val="000000"/>
          <w:spacing w:val="-4"/>
        </w:rPr>
        <w:t>j</w:t>
      </w:r>
      <w:r>
        <w:rPr>
          <w:color w:val="000000"/>
        </w:rPr>
        <w:t>e</w:t>
      </w:r>
      <w:r>
        <w:rPr>
          <w:color w:val="000000"/>
          <w:spacing w:val="1"/>
        </w:rPr>
        <w:t xml:space="preserve"> </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spacing w:val="4"/>
        </w:rPr>
        <w:t>a</w:t>
      </w:r>
      <w:r>
        <w:rPr>
          <w:color w:val="000000"/>
        </w:rPr>
        <w:t>us</w:t>
      </w:r>
      <w:r>
        <w:rPr>
          <w:color w:val="000000"/>
          <w:spacing w:val="13"/>
        </w:rPr>
        <w:t xml:space="preserve"> </w:t>
      </w:r>
      <w:r>
        <w:rPr>
          <w:color w:val="000000"/>
          <w:spacing w:val="-4"/>
        </w:rPr>
        <w:t>m</w:t>
      </w:r>
      <w:r>
        <w:rPr>
          <w:color w:val="000000"/>
          <w:spacing w:val="-1"/>
        </w:rPr>
        <w:t>až</w:t>
      </w:r>
      <w:r>
        <w:rPr>
          <w:color w:val="000000"/>
          <w:spacing w:val="4"/>
        </w:rPr>
        <w:t>ė</w:t>
      </w:r>
      <w:r>
        <w:rPr>
          <w:color w:val="000000"/>
        </w:rPr>
        <w:t>j</w:t>
      </w:r>
      <w:r>
        <w:rPr>
          <w:color w:val="000000"/>
          <w:spacing w:val="1"/>
        </w:rPr>
        <w:t>i</w:t>
      </w:r>
      <w:r>
        <w:rPr>
          <w:color w:val="000000"/>
          <w:spacing w:val="-4"/>
        </w:rPr>
        <w:t>m</w:t>
      </w:r>
      <w:r>
        <w:rPr>
          <w:color w:val="000000"/>
          <w:spacing w:val="-1"/>
        </w:rPr>
        <w:t>a</w:t>
      </w:r>
      <w:r>
        <w:rPr>
          <w:color w:val="000000"/>
          <w:spacing w:val="-2"/>
        </w:rPr>
        <w:t>s</w:t>
      </w:r>
      <w:r>
        <w:rPr>
          <w:color w:val="000000"/>
        </w:rPr>
        <w:t>.</w:t>
      </w:r>
      <w:r>
        <w:rPr>
          <w:color w:val="000000"/>
          <w:spacing w:val="4"/>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5"/>
        </w:rPr>
        <w:t>t</w:t>
      </w:r>
      <w:r>
        <w:rPr>
          <w:color w:val="000000"/>
          <w:spacing w:val="-1"/>
        </w:rPr>
        <w:t>e</w:t>
      </w:r>
      <w:r>
        <w:rPr>
          <w:color w:val="000000"/>
          <w:spacing w:val="-9"/>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4"/>
        </w:rPr>
        <w:t>a</w:t>
      </w:r>
      <w:r>
        <w:rPr>
          <w:color w:val="000000"/>
        </w:rPr>
        <w:t xml:space="preserve">i </w:t>
      </w:r>
      <w:r>
        <w:rPr>
          <w:color w:val="000000"/>
          <w:spacing w:val="19"/>
        </w:rPr>
        <w:t xml:space="preserve"> </w:t>
      </w:r>
      <w:r>
        <w:rPr>
          <w:color w:val="000000"/>
        </w:rPr>
        <w:t xml:space="preserve">2012 </w:t>
      </w:r>
      <w:r>
        <w:rPr>
          <w:color w:val="000000"/>
          <w:spacing w:val="29"/>
        </w:rPr>
        <w:t xml:space="preserve"> </w:t>
      </w:r>
      <w:r>
        <w:rPr>
          <w:color w:val="000000"/>
          <w:spacing w:val="-9"/>
        </w:rPr>
        <w:t>m</w:t>
      </w:r>
      <w:r>
        <w:rPr>
          <w:color w:val="000000"/>
        </w:rPr>
        <w:t xml:space="preserve">. </w:t>
      </w:r>
      <w:r>
        <w:rPr>
          <w:color w:val="000000"/>
          <w:spacing w:val="31"/>
        </w:rPr>
        <w:t xml:space="preserve"> </w:t>
      </w:r>
      <w:r>
        <w:rPr>
          <w:color w:val="000000"/>
          <w:spacing w:val="-10"/>
        </w:rPr>
        <w:t>y</w:t>
      </w:r>
      <w:r>
        <w:rPr>
          <w:color w:val="000000"/>
          <w:spacing w:val="1"/>
        </w:rPr>
        <w:t>r</w:t>
      </w:r>
      <w:r>
        <w:rPr>
          <w:color w:val="000000"/>
        </w:rPr>
        <w:t xml:space="preserve">a </w:t>
      </w:r>
      <w:r>
        <w:rPr>
          <w:color w:val="000000"/>
          <w:spacing w:val="23"/>
        </w:rPr>
        <w:t xml:space="preserve"> </w:t>
      </w:r>
      <w:r>
        <w:rPr>
          <w:color w:val="000000"/>
          <w:spacing w:val="4"/>
        </w:rPr>
        <w:t>ž</w:t>
      </w:r>
      <w:r>
        <w:rPr>
          <w:color w:val="000000"/>
          <w:spacing w:val="-4"/>
        </w:rPr>
        <w:t>i</w:t>
      </w:r>
      <w:r>
        <w:rPr>
          <w:color w:val="000000"/>
          <w:spacing w:val="-5"/>
        </w:rPr>
        <w:t>n</w:t>
      </w:r>
      <w:r>
        <w:rPr>
          <w:color w:val="000000"/>
          <w:spacing w:val="9"/>
        </w:rPr>
        <w:t>o</w:t>
      </w:r>
      <w:r>
        <w:rPr>
          <w:color w:val="000000"/>
        </w:rPr>
        <w:t xml:space="preserve">mi </w:t>
      </w:r>
      <w:r>
        <w:rPr>
          <w:color w:val="000000"/>
          <w:spacing w:val="15"/>
        </w:rPr>
        <w:t xml:space="preserve"> </w:t>
      </w:r>
      <w:r>
        <w:rPr>
          <w:color w:val="000000"/>
        </w:rPr>
        <w:t xml:space="preserve">107 </w:t>
      </w:r>
      <w:r>
        <w:rPr>
          <w:color w:val="000000"/>
          <w:spacing w:val="24"/>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ym</w:t>
      </w:r>
      <w:r>
        <w:rPr>
          <w:color w:val="000000"/>
          <w:spacing w:val="4"/>
        </w:rPr>
        <w:t>a</w:t>
      </w:r>
      <w:r>
        <w:rPr>
          <w:color w:val="000000"/>
        </w:rPr>
        <w:t xml:space="preserve">i </w:t>
      </w:r>
      <w:r>
        <w:rPr>
          <w:color w:val="000000"/>
          <w:spacing w:val="15"/>
        </w:rPr>
        <w:t xml:space="preserve"> </w:t>
      </w:r>
      <w:r>
        <w:rPr>
          <w:color w:val="000000"/>
        </w:rPr>
        <w:t>u</w:t>
      </w:r>
      <w:r>
        <w:rPr>
          <w:color w:val="000000"/>
          <w:spacing w:val="-1"/>
        </w:rPr>
        <w:t>ž</w:t>
      </w:r>
      <w:r>
        <w:rPr>
          <w:color w:val="000000"/>
          <w:spacing w:val="2"/>
        </w:rPr>
        <w:t>s</w:t>
      </w:r>
      <w:r>
        <w:rPr>
          <w:color w:val="000000"/>
          <w:spacing w:val="-4"/>
        </w:rPr>
        <w:t>i</w:t>
      </w:r>
      <w:r>
        <w:rPr>
          <w:color w:val="000000"/>
          <w:spacing w:val="4"/>
        </w:rPr>
        <w:t>e</w:t>
      </w:r>
      <w:r>
        <w:rPr>
          <w:color w:val="000000"/>
        </w:rPr>
        <w:t>n</w:t>
      </w:r>
      <w:r>
        <w:rPr>
          <w:color w:val="000000"/>
          <w:spacing w:val="-9"/>
        </w:rPr>
        <w:t>i</w:t>
      </w:r>
      <w:r>
        <w:rPr>
          <w:color w:val="000000"/>
        </w:rPr>
        <w:t xml:space="preserve">o </w:t>
      </w:r>
      <w:r>
        <w:rPr>
          <w:color w:val="000000"/>
          <w:spacing w:val="33"/>
        </w:rPr>
        <w:t xml:space="preserve"> </w:t>
      </w:r>
      <w:r>
        <w:rPr>
          <w:color w:val="000000"/>
          <w:spacing w:val="-5"/>
        </w:rPr>
        <w:t>v</w:t>
      </w:r>
      <w:r>
        <w:rPr>
          <w:color w:val="000000"/>
          <w:spacing w:val="4"/>
        </w:rPr>
        <w:t>a</w:t>
      </w:r>
      <w:r>
        <w:rPr>
          <w:color w:val="000000"/>
          <w:spacing w:val="-4"/>
        </w:rPr>
        <w:t>l</w:t>
      </w:r>
      <w:r>
        <w:rPr>
          <w:color w:val="000000"/>
          <w:spacing w:val="-2"/>
        </w:rPr>
        <w:t>s</w:t>
      </w:r>
      <w:r>
        <w:rPr>
          <w:color w:val="000000"/>
          <w:spacing w:val="10"/>
        </w:rPr>
        <w:t>t</w:t>
      </w:r>
      <w:r>
        <w:rPr>
          <w:color w:val="000000"/>
          <w:spacing w:val="-5"/>
        </w:rPr>
        <w:t>yb</w:t>
      </w:r>
      <w:r>
        <w:rPr>
          <w:color w:val="000000"/>
          <w:spacing w:val="4"/>
        </w:rPr>
        <w:t>ė</w:t>
      </w:r>
      <w:r>
        <w:rPr>
          <w:color w:val="000000"/>
          <w:spacing w:val="-2"/>
        </w:rPr>
        <w:t>s</w:t>
      </w:r>
      <w:r>
        <w:rPr>
          <w:color w:val="000000"/>
          <w:spacing w:val="-1"/>
        </w:rPr>
        <w:t>e</w:t>
      </w:r>
      <w:r>
        <w:rPr>
          <w:color w:val="000000"/>
        </w:rPr>
        <w:t xml:space="preserve">, </w:t>
      </w:r>
      <w:r>
        <w:rPr>
          <w:color w:val="000000"/>
          <w:spacing w:val="26"/>
        </w:rPr>
        <w:t xml:space="preserve"> </w:t>
      </w:r>
      <w:r>
        <w:rPr>
          <w:color w:val="000000"/>
        </w:rPr>
        <w:t>ku</w:t>
      </w:r>
      <w:r>
        <w:rPr>
          <w:color w:val="000000"/>
          <w:spacing w:val="6"/>
        </w:rPr>
        <w:t>r</w:t>
      </w:r>
      <w:r>
        <w:rPr>
          <w:color w:val="000000"/>
          <w:spacing w:val="1"/>
        </w:rPr>
        <w:t>i</w:t>
      </w:r>
      <w:r>
        <w:rPr>
          <w:color w:val="000000"/>
        </w:rPr>
        <w:t>u</w:t>
      </w:r>
      <w:r>
        <w:rPr>
          <w:color w:val="000000"/>
          <w:spacing w:val="5"/>
        </w:rPr>
        <w:t>o</w:t>
      </w:r>
      <w:r>
        <w:rPr>
          <w:color w:val="000000"/>
          <w:spacing w:val="-2"/>
        </w:rPr>
        <w:t>s</w:t>
      </w:r>
      <w:r>
        <w:rPr>
          <w:color w:val="000000"/>
        </w:rPr>
        <w:t xml:space="preserve">e </w:t>
      </w:r>
      <w:r>
        <w:rPr>
          <w:color w:val="000000"/>
          <w:spacing w:val="23"/>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rPr>
        <w:t xml:space="preserve">a </w:t>
      </w:r>
      <w:r>
        <w:rPr>
          <w:color w:val="000000"/>
          <w:spacing w:val="23"/>
        </w:rPr>
        <w:t xml:space="preserve"> </w:t>
      </w:r>
      <w:r>
        <w:rPr>
          <w:color w:val="000000"/>
        </w:rPr>
        <w:t>130</w:t>
      </w:r>
    </w:p>
    <w:p w:rsidR="004F7425" w:rsidRDefault="004F7425" w:rsidP="004F7425">
      <w:pPr>
        <w:widowControl w:val="0"/>
        <w:autoSpaceDE w:val="0"/>
        <w:autoSpaceDN w:val="0"/>
        <w:adjustRightInd w:val="0"/>
        <w:spacing w:before="1"/>
        <w:ind w:left="120" w:right="2850"/>
        <w:jc w:val="both"/>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2"/>
        </w:rPr>
        <w:t>R</w:t>
      </w:r>
      <w:r>
        <w:rPr>
          <w:color w:val="000000"/>
          <w:spacing w:val="-1"/>
        </w:rPr>
        <w:t>e</w:t>
      </w:r>
      <w:r>
        <w:rPr>
          <w:color w:val="000000"/>
          <w:spacing w:val="-2"/>
        </w:rPr>
        <w:t>s</w:t>
      </w:r>
      <w:r>
        <w:rPr>
          <w:color w:val="000000"/>
        </w:rPr>
        <w:t>publ</w:t>
      </w:r>
      <w:r>
        <w:rPr>
          <w:color w:val="000000"/>
          <w:spacing w:val="-4"/>
        </w:rPr>
        <w:t>i</w:t>
      </w:r>
      <w:r>
        <w:rPr>
          <w:color w:val="000000"/>
        </w:rPr>
        <w:t>k</w:t>
      </w:r>
      <w:r>
        <w:rPr>
          <w:color w:val="000000"/>
          <w:spacing w:val="5"/>
        </w:rPr>
        <w:t>o</w:t>
      </w:r>
      <w:r>
        <w:rPr>
          <w:color w:val="000000"/>
        </w:rPr>
        <w:t xml:space="preserve">s </w:t>
      </w:r>
      <w:r>
        <w:rPr>
          <w:color w:val="000000"/>
          <w:spacing w:val="5"/>
        </w:rPr>
        <w:t>p</w:t>
      </w:r>
      <w:r>
        <w:rPr>
          <w:color w:val="000000"/>
          <w:spacing w:val="-4"/>
        </w:rPr>
        <w:t>i</w:t>
      </w:r>
      <w:r>
        <w:rPr>
          <w:color w:val="000000"/>
        </w:rPr>
        <w:t>l</w:t>
      </w:r>
      <w:r>
        <w:rPr>
          <w:color w:val="000000"/>
          <w:spacing w:val="-4"/>
        </w:rPr>
        <w:t>i</w:t>
      </w:r>
      <w:r>
        <w:rPr>
          <w:color w:val="000000"/>
          <w:spacing w:val="-1"/>
        </w:rPr>
        <w:t>e</w:t>
      </w:r>
      <w:r>
        <w:rPr>
          <w:color w:val="000000"/>
          <w:spacing w:val="4"/>
        </w:rPr>
        <w:t>č</w:t>
      </w:r>
      <w:r>
        <w:rPr>
          <w:color w:val="000000"/>
          <w:spacing w:val="-4"/>
        </w:rPr>
        <w:t>i</w:t>
      </w:r>
      <w:r>
        <w:rPr>
          <w:color w:val="000000"/>
        </w:rPr>
        <w:t>ų,</w:t>
      </w:r>
      <w:r>
        <w:rPr>
          <w:color w:val="000000"/>
          <w:spacing w:val="4"/>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rPr>
        <w:t>ų</w:t>
      </w:r>
      <w:r>
        <w:rPr>
          <w:color w:val="000000"/>
          <w:spacing w:val="2"/>
        </w:rPr>
        <w:t xml:space="preserve"> </w:t>
      </w:r>
      <w:r>
        <w:rPr>
          <w:color w:val="000000"/>
          <w:spacing w:val="-2"/>
        </w:rPr>
        <w:t>s</w:t>
      </w:r>
      <w:r>
        <w:rPr>
          <w:color w:val="000000"/>
        </w:rPr>
        <w:t>u</w:t>
      </w:r>
      <w:r>
        <w:rPr>
          <w:color w:val="000000"/>
          <w:spacing w:val="7"/>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a</w:t>
      </w:r>
      <w:r>
        <w:rPr>
          <w:color w:val="000000"/>
          <w:spacing w:val="1"/>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spacing w:val="-1"/>
        </w:rPr>
        <w:t>a</w:t>
      </w:r>
      <w:r>
        <w:rPr>
          <w:color w:val="000000"/>
        </w:rPr>
        <w:t>.</w:t>
      </w:r>
    </w:p>
    <w:p w:rsidR="004F7425" w:rsidRDefault="004F7425" w:rsidP="004F7425">
      <w:pPr>
        <w:widowControl w:val="0"/>
        <w:autoSpaceDE w:val="0"/>
        <w:autoSpaceDN w:val="0"/>
        <w:adjustRightInd w:val="0"/>
        <w:spacing w:before="3" w:line="160" w:lineRule="exact"/>
        <w:rPr>
          <w:color w:val="000000"/>
          <w:sz w:val="16"/>
          <w:szCs w:val="16"/>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119" w:right="-20"/>
        <w:rPr>
          <w:color w:val="000000"/>
          <w:sz w:val="20"/>
        </w:rPr>
      </w:pPr>
      <w:r>
        <w:rPr>
          <w:noProof/>
          <w:color w:val="000000"/>
          <w:sz w:val="20"/>
          <w:lang w:eastAsia="lt-LT"/>
        </w:rPr>
        <w:drawing>
          <wp:inline distT="0" distB="0" distL="0" distR="0">
            <wp:extent cx="6048375" cy="2181225"/>
            <wp:effectExtent l="0" t="0" r="9525" b="9525"/>
            <wp:docPr id="116" name="Paveikslėlis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048375" cy="2181225"/>
                    </a:xfrm>
                    <a:prstGeom prst="rect">
                      <a:avLst/>
                    </a:prstGeom>
                    <a:noFill/>
                    <a:ln>
                      <a:noFill/>
                    </a:ln>
                  </pic:spPr>
                </pic:pic>
              </a:graphicData>
            </a:graphic>
          </wp:inline>
        </w:drawing>
      </w:r>
    </w:p>
    <w:p w:rsidR="004F7425" w:rsidRDefault="004F7425" w:rsidP="004F7425">
      <w:pPr>
        <w:widowControl w:val="0"/>
        <w:autoSpaceDE w:val="0"/>
        <w:autoSpaceDN w:val="0"/>
        <w:adjustRightInd w:val="0"/>
        <w:ind w:left="119" w:right="-20"/>
        <w:rPr>
          <w:color w:val="000000"/>
          <w:sz w:val="20"/>
        </w:rPr>
        <w:sectPr w:rsidR="004F7425">
          <w:pgSz w:w="11920" w:h="16840"/>
          <w:pgMar w:top="960" w:right="380" w:bottom="280" w:left="1580" w:header="734" w:footer="0" w:gutter="0"/>
          <w:cols w:space="1296" w:equalWidth="0">
            <w:col w:w="9960"/>
          </w:cols>
          <w:noEndnote/>
        </w:sectPr>
      </w:pPr>
    </w:p>
    <w:p w:rsidR="004F7425" w:rsidRDefault="004F7425" w:rsidP="004F7425">
      <w:pPr>
        <w:widowControl w:val="0"/>
        <w:autoSpaceDE w:val="0"/>
        <w:autoSpaceDN w:val="0"/>
        <w:adjustRightInd w:val="0"/>
        <w:spacing w:before="12" w:line="240" w:lineRule="exact"/>
        <w:rPr>
          <w:color w:val="000000"/>
        </w:rPr>
      </w:pPr>
    </w:p>
    <w:p w:rsidR="004F7425" w:rsidRDefault="004F7425" w:rsidP="004F7425">
      <w:pPr>
        <w:widowControl w:val="0"/>
        <w:autoSpaceDE w:val="0"/>
        <w:autoSpaceDN w:val="0"/>
        <w:adjustRightInd w:val="0"/>
        <w:spacing w:before="29"/>
        <w:ind w:left="840" w:right="-20"/>
        <w:rPr>
          <w:color w:val="000000"/>
        </w:rPr>
      </w:pPr>
      <w:r>
        <w:rPr>
          <w:color w:val="000000"/>
        </w:rPr>
        <w:t>D</w:t>
      </w:r>
      <w:r>
        <w:rPr>
          <w:color w:val="000000"/>
          <w:spacing w:val="-1"/>
        </w:rPr>
        <w:t>až</w:t>
      </w:r>
      <w:r>
        <w:rPr>
          <w:color w:val="000000"/>
        </w:rPr>
        <w:t>n</w:t>
      </w:r>
      <w:r>
        <w:rPr>
          <w:color w:val="000000"/>
          <w:spacing w:val="-4"/>
        </w:rPr>
        <w:t>i</w:t>
      </w:r>
      <w:r>
        <w:rPr>
          <w:color w:val="000000"/>
          <w:spacing w:val="4"/>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27"/>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r>
        <w:rPr>
          <w:color w:val="000000"/>
          <w:spacing w:val="24"/>
        </w:rPr>
        <w:t xml:space="preserve"> </w:t>
      </w:r>
      <w:r>
        <w:rPr>
          <w:color w:val="000000"/>
          <w:spacing w:val="5"/>
        </w:rPr>
        <w:t>p</w:t>
      </w:r>
      <w:r>
        <w:rPr>
          <w:color w:val="000000"/>
          <w:spacing w:val="-4"/>
        </w:rPr>
        <w:t>i</w:t>
      </w:r>
      <w:r>
        <w:rPr>
          <w:color w:val="000000"/>
        </w:rPr>
        <w:t>l</w:t>
      </w:r>
      <w:r>
        <w:rPr>
          <w:color w:val="000000"/>
          <w:spacing w:val="-4"/>
        </w:rPr>
        <w:t>i</w:t>
      </w:r>
      <w:r>
        <w:rPr>
          <w:color w:val="000000"/>
          <w:spacing w:val="-1"/>
        </w:rPr>
        <w:t>e</w:t>
      </w:r>
      <w:r>
        <w:rPr>
          <w:color w:val="000000"/>
          <w:spacing w:val="4"/>
        </w:rPr>
        <w:t>č</w:t>
      </w:r>
      <w:r>
        <w:rPr>
          <w:color w:val="000000"/>
          <w:spacing w:val="-4"/>
        </w:rPr>
        <w:t>i</w:t>
      </w:r>
      <w:r>
        <w:rPr>
          <w:color w:val="000000"/>
          <w:spacing w:val="4"/>
        </w:rPr>
        <w:t>a</w:t>
      </w:r>
      <w:r>
        <w:rPr>
          <w:color w:val="000000"/>
        </w:rPr>
        <w:t>i</w:t>
      </w:r>
      <w:r>
        <w:rPr>
          <w:color w:val="000000"/>
          <w:spacing w:val="22"/>
        </w:rPr>
        <w:t xml:space="preserve"> </w:t>
      </w:r>
      <w:r>
        <w:rPr>
          <w:color w:val="000000"/>
        </w:rPr>
        <w:t>už</w:t>
      </w:r>
      <w:r>
        <w:rPr>
          <w:color w:val="000000"/>
          <w:spacing w:val="30"/>
        </w:rPr>
        <w:t xml:space="preserve"> </w:t>
      </w:r>
      <w:r>
        <w:rPr>
          <w:color w:val="000000"/>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ą</w:t>
      </w:r>
      <w:r>
        <w:rPr>
          <w:color w:val="000000"/>
          <w:spacing w:val="25"/>
        </w:rPr>
        <w:t xml:space="preserve"> </w:t>
      </w:r>
      <w:r>
        <w:rPr>
          <w:color w:val="000000"/>
        </w:rPr>
        <w:t>n</w:t>
      </w:r>
      <w:r>
        <w:rPr>
          <w:color w:val="000000"/>
          <w:spacing w:val="-1"/>
        </w:rPr>
        <w:t>a</w:t>
      </w:r>
      <w:r>
        <w:rPr>
          <w:color w:val="000000"/>
          <w:spacing w:val="1"/>
        </w:rPr>
        <w:t>r</w:t>
      </w:r>
      <w:r>
        <w:rPr>
          <w:color w:val="000000"/>
        </w:rPr>
        <w:t>kot</w:t>
      </w:r>
      <w:r>
        <w:rPr>
          <w:color w:val="000000"/>
          <w:spacing w:val="-4"/>
        </w:rPr>
        <w:t>i</w:t>
      </w:r>
      <w:r>
        <w:rPr>
          <w:color w:val="000000"/>
        </w:rPr>
        <w:t>kų</w:t>
      </w:r>
      <w:r>
        <w:rPr>
          <w:color w:val="000000"/>
          <w:spacing w:val="26"/>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ą</w:t>
      </w:r>
      <w:r>
        <w:rPr>
          <w:color w:val="000000"/>
          <w:spacing w:val="25"/>
        </w:rPr>
        <w:t xml:space="preserve"> </w:t>
      </w:r>
      <w:r>
        <w:rPr>
          <w:color w:val="000000"/>
          <w:spacing w:val="-5"/>
        </w:rPr>
        <w:t>b</w:t>
      </w:r>
      <w:r>
        <w:rPr>
          <w:color w:val="000000"/>
          <w:spacing w:val="5"/>
        </w:rPr>
        <w:t>u</w:t>
      </w:r>
      <w:r>
        <w:rPr>
          <w:color w:val="000000"/>
          <w:spacing w:val="-5"/>
        </w:rPr>
        <w:t>v</w:t>
      </w:r>
      <w:r>
        <w:rPr>
          <w:color w:val="000000"/>
        </w:rPr>
        <w:t>o</w:t>
      </w:r>
      <w:r>
        <w:rPr>
          <w:color w:val="000000"/>
          <w:spacing w:val="39"/>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10"/>
        </w:rPr>
        <w:t>y</w:t>
      </w:r>
      <w:r>
        <w:rPr>
          <w:color w:val="000000"/>
          <w:spacing w:val="10"/>
        </w:rPr>
        <w:t>t</w:t>
      </w:r>
      <w:r>
        <w:rPr>
          <w:color w:val="000000"/>
          <w:spacing w:val="-9"/>
        </w:rPr>
        <w:t>i</w:t>
      </w:r>
      <w:r>
        <w:rPr>
          <w:color w:val="000000"/>
        </w:rPr>
        <w:t>:</w:t>
      </w:r>
      <w:r>
        <w:rPr>
          <w:color w:val="000000"/>
          <w:spacing w:val="27"/>
        </w:rPr>
        <w:t xml:space="preserve"> </w:t>
      </w:r>
      <w:r>
        <w:rPr>
          <w:color w:val="000000"/>
        </w:rPr>
        <w:t>N</w:t>
      </w:r>
      <w:r>
        <w:rPr>
          <w:color w:val="000000"/>
          <w:spacing w:val="4"/>
        </w:rPr>
        <w:t>o</w:t>
      </w:r>
      <w:r>
        <w:rPr>
          <w:color w:val="000000"/>
          <w:spacing w:val="1"/>
        </w:rPr>
        <w:t>r</w:t>
      </w:r>
      <w:r>
        <w:rPr>
          <w:color w:val="000000"/>
          <w:spacing w:val="-5"/>
        </w:rPr>
        <w:t>v</w:t>
      </w:r>
      <w:r>
        <w:rPr>
          <w:color w:val="000000"/>
          <w:spacing w:val="-1"/>
        </w:rPr>
        <w:t>e</w:t>
      </w:r>
      <w:r>
        <w:rPr>
          <w:color w:val="000000"/>
          <w:spacing w:val="5"/>
        </w:rPr>
        <w:t>g</w:t>
      </w:r>
      <w:r>
        <w:rPr>
          <w:color w:val="000000"/>
        </w:rPr>
        <w:t>i</w:t>
      </w:r>
      <w:r>
        <w:rPr>
          <w:color w:val="000000"/>
          <w:spacing w:val="-9"/>
        </w:rPr>
        <w:t>j</w:t>
      </w:r>
      <w:r>
        <w:rPr>
          <w:color w:val="000000"/>
          <w:spacing w:val="9"/>
        </w:rPr>
        <w:t>o</w:t>
      </w:r>
      <w:r>
        <w:rPr>
          <w:color w:val="000000"/>
          <w:spacing w:val="-4"/>
        </w:rPr>
        <w:t>j</w:t>
      </w:r>
      <w:r>
        <w:rPr>
          <w:color w:val="000000"/>
          <w:spacing w:val="-1"/>
        </w:rPr>
        <w:t>e</w:t>
      </w:r>
      <w:r>
        <w:rPr>
          <w:color w:val="000000"/>
        </w:rPr>
        <w:t>,</w:t>
      </w:r>
    </w:p>
    <w:p w:rsidR="004F7425" w:rsidRDefault="004F7425" w:rsidP="004F7425">
      <w:pPr>
        <w:widowControl w:val="0"/>
        <w:autoSpaceDE w:val="0"/>
        <w:autoSpaceDN w:val="0"/>
        <w:adjustRightInd w:val="0"/>
        <w:spacing w:before="41"/>
        <w:ind w:left="120" w:right="-20"/>
        <w:rPr>
          <w:color w:val="000000"/>
        </w:rPr>
      </w:pPr>
      <w:r>
        <w:rPr>
          <w:color w:val="000000"/>
          <w:spacing w:val="1"/>
        </w:rPr>
        <w:t>I</w:t>
      </w:r>
      <w:r>
        <w:rPr>
          <w:color w:val="000000"/>
          <w:spacing w:val="-2"/>
        </w:rPr>
        <w:t>s</w:t>
      </w:r>
      <w:r>
        <w:rPr>
          <w:color w:val="000000"/>
        </w:rPr>
        <w:t>p</w:t>
      </w:r>
      <w:r>
        <w:rPr>
          <w:color w:val="000000"/>
          <w:spacing w:val="-1"/>
        </w:rPr>
        <w:t>a</w:t>
      </w:r>
      <w:r>
        <w:rPr>
          <w:color w:val="000000"/>
        </w:rPr>
        <w:t>ni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52"/>
        </w:rPr>
        <w:t xml:space="preserve"> </w:t>
      </w:r>
      <w:r>
        <w:rPr>
          <w:color w:val="000000"/>
        </w:rPr>
        <w:t>V</w:t>
      </w:r>
      <w:r>
        <w:rPr>
          <w:color w:val="000000"/>
          <w:spacing w:val="4"/>
        </w:rPr>
        <w:t>o</w:t>
      </w:r>
      <w:r>
        <w:rPr>
          <w:color w:val="000000"/>
          <w:spacing w:val="5"/>
        </w:rPr>
        <w:t>k</w:t>
      </w:r>
      <w:r>
        <w:rPr>
          <w:color w:val="000000"/>
          <w:spacing w:val="-9"/>
        </w:rPr>
        <w:t>i</w:t>
      </w:r>
      <w:r>
        <w:rPr>
          <w:color w:val="000000"/>
          <w:spacing w:val="-1"/>
        </w:rPr>
        <w:t>e</w:t>
      </w:r>
      <w:r>
        <w:rPr>
          <w:color w:val="000000"/>
          <w:spacing w:val="10"/>
        </w:rPr>
        <w:t>t</w:t>
      </w:r>
      <w:r>
        <w:rPr>
          <w:color w:val="000000"/>
          <w:spacing w:val="-4"/>
        </w:rPr>
        <w:t>i</w:t>
      </w:r>
      <w:r>
        <w:rPr>
          <w:color w:val="000000"/>
          <w:spacing w:val="-9"/>
        </w:rPr>
        <w:t>j</w:t>
      </w:r>
      <w:r>
        <w:rPr>
          <w:color w:val="000000"/>
          <w:spacing w:val="9"/>
        </w:rPr>
        <w:t>o</w:t>
      </w:r>
      <w:r>
        <w:rPr>
          <w:color w:val="000000"/>
          <w:spacing w:val="-9"/>
        </w:rPr>
        <w:t>j</w:t>
      </w:r>
      <w:r>
        <w:rPr>
          <w:color w:val="000000"/>
          <w:spacing w:val="-1"/>
        </w:rPr>
        <w:t>e</w:t>
      </w:r>
      <w:r>
        <w:rPr>
          <w:color w:val="000000"/>
        </w:rPr>
        <w:t>,</w:t>
      </w:r>
      <w:r>
        <w:rPr>
          <w:color w:val="000000"/>
          <w:spacing w:val="52"/>
        </w:rPr>
        <w:t xml:space="preserve"> </w:t>
      </w:r>
      <w:r>
        <w:rPr>
          <w:color w:val="000000"/>
          <w:spacing w:val="-2"/>
        </w:rPr>
        <w:t>R</w:t>
      </w:r>
      <w:r>
        <w:rPr>
          <w:color w:val="000000"/>
          <w:spacing w:val="5"/>
        </w:rPr>
        <w:t>u</w:t>
      </w:r>
      <w:r>
        <w:rPr>
          <w:color w:val="000000"/>
          <w:spacing w:val="2"/>
        </w:rPr>
        <w:t>s</w:t>
      </w:r>
      <w:r>
        <w:rPr>
          <w:color w:val="000000"/>
          <w:spacing w:val="-4"/>
        </w:rPr>
        <w:t>i</w:t>
      </w:r>
      <w:r>
        <w:rPr>
          <w:color w:val="000000"/>
          <w:spacing w:val="-9"/>
        </w:rPr>
        <w:t>j</w:t>
      </w:r>
      <w:r>
        <w:rPr>
          <w:color w:val="000000"/>
          <w:spacing w:val="9"/>
        </w:rPr>
        <w:t>o</w:t>
      </w:r>
      <w:r>
        <w:rPr>
          <w:color w:val="000000"/>
          <w:spacing w:val="-4"/>
        </w:rPr>
        <w:t>j</w:t>
      </w:r>
      <w:r>
        <w:rPr>
          <w:color w:val="000000"/>
        </w:rPr>
        <w:t>e</w:t>
      </w:r>
      <w:r>
        <w:rPr>
          <w:color w:val="000000"/>
          <w:spacing w:val="54"/>
        </w:rPr>
        <w:t xml:space="preserve"> </w:t>
      </w:r>
      <w:r>
        <w:rPr>
          <w:color w:val="000000"/>
        </w:rPr>
        <w:t>b</w:t>
      </w:r>
      <w:r>
        <w:rPr>
          <w:color w:val="000000"/>
          <w:spacing w:val="4"/>
        </w:rPr>
        <w:t>e</w:t>
      </w:r>
      <w:r>
        <w:rPr>
          <w:color w:val="000000"/>
        </w:rPr>
        <w:t>i</w:t>
      </w:r>
      <w:r>
        <w:rPr>
          <w:color w:val="000000"/>
          <w:spacing w:val="41"/>
        </w:rPr>
        <w:t xml:space="preserve"> </w:t>
      </w:r>
      <w:r>
        <w:rPr>
          <w:color w:val="000000"/>
          <w:spacing w:val="6"/>
        </w:rPr>
        <w:t>Š</w:t>
      </w:r>
      <w:r>
        <w:rPr>
          <w:color w:val="000000"/>
          <w:spacing w:val="-5"/>
        </w:rPr>
        <w:t>v</w:t>
      </w:r>
      <w:r>
        <w:rPr>
          <w:color w:val="000000"/>
          <w:spacing w:val="-1"/>
        </w:rPr>
        <w:t>e</w:t>
      </w:r>
      <w:r>
        <w:rPr>
          <w:color w:val="000000"/>
          <w:spacing w:val="5"/>
        </w:rPr>
        <w:t>d</w:t>
      </w:r>
      <w:r>
        <w:rPr>
          <w:color w:val="000000"/>
        </w:rPr>
        <w:t>i</w:t>
      </w:r>
      <w:r>
        <w:rPr>
          <w:color w:val="000000"/>
          <w:spacing w:val="-9"/>
        </w:rPr>
        <w:t>j</w:t>
      </w:r>
      <w:r>
        <w:rPr>
          <w:color w:val="000000"/>
          <w:spacing w:val="9"/>
        </w:rPr>
        <w:t>o</w:t>
      </w:r>
      <w:r>
        <w:rPr>
          <w:color w:val="000000"/>
          <w:spacing w:val="-4"/>
        </w:rPr>
        <w:t>j</w:t>
      </w:r>
      <w:r>
        <w:rPr>
          <w:color w:val="000000"/>
          <w:spacing w:val="-1"/>
        </w:rPr>
        <w:t>e</w:t>
      </w:r>
      <w:r>
        <w:rPr>
          <w:color w:val="000000"/>
        </w:rPr>
        <w:t>.</w:t>
      </w:r>
      <w:r>
        <w:rPr>
          <w:color w:val="000000"/>
          <w:spacing w:val="57"/>
        </w:rPr>
        <w:t xml:space="preserve"> </w:t>
      </w:r>
      <w:r>
        <w:rPr>
          <w:color w:val="000000"/>
          <w:spacing w:val="-5"/>
        </w:rPr>
        <w:t>K</w:t>
      </w:r>
      <w:r>
        <w:rPr>
          <w:color w:val="000000"/>
          <w:spacing w:val="4"/>
        </w:rPr>
        <w:t>a</w:t>
      </w:r>
      <w:r>
        <w:rPr>
          <w:color w:val="000000"/>
          <w:spacing w:val="-4"/>
        </w:rPr>
        <w:t>i</w:t>
      </w:r>
      <w:r>
        <w:rPr>
          <w:color w:val="000000"/>
        </w:rPr>
        <w:t>p</w:t>
      </w:r>
      <w:r>
        <w:rPr>
          <w:color w:val="000000"/>
          <w:spacing w:val="55"/>
        </w:rPr>
        <w:t xml:space="preserve"> </w:t>
      </w:r>
      <w:r>
        <w:rPr>
          <w:color w:val="000000"/>
          <w:spacing w:val="-4"/>
        </w:rPr>
        <w:t>i</w:t>
      </w:r>
      <w:r>
        <w:rPr>
          <w:color w:val="000000"/>
        </w:rPr>
        <w:t>r</w:t>
      </w:r>
      <w:r>
        <w:rPr>
          <w:color w:val="000000"/>
          <w:spacing w:val="52"/>
        </w:rPr>
        <w:t xml:space="preserve"> </w:t>
      </w:r>
      <w:r>
        <w:rPr>
          <w:color w:val="000000"/>
        </w:rPr>
        <w:t>p</w:t>
      </w:r>
      <w:r>
        <w:rPr>
          <w:color w:val="000000"/>
          <w:spacing w:val="-1"/>
        </w:rPr>
        <w:t>a</w:t>
      </w:r>
      <w:r>
        <w:rPr>
          <w:color w:val="000000"/>
          <w:spacing w:val="-2"/>
        </w:rPr>
        <w:t>s</w:t>
      </w:r>
      <w:r>
        <w:rPr>
          <w:color w:val="000000"/>
          <w:spacing w:val="5"/>
        </w:rPr>
        <w:t>t</w:t>
      </w:r>
      <w:r>
        <w:rPr>
          <w:color w:val="000000"/>
          <w:spacing w:val="-1"/>
        </w:rPr>
        <w:t>a</w:t>
      </w:r>
      <w:r>
        <w:rPr>
          <w:color w:val="000000"/>
          <w:spacing w:val="1"/>
        </w:rPr>
        <w:t>r</w:t>
      </w:r>
      <w:r>
        <w:rPr>
          <w:color w:val="000000"/>
          <w:spacing w:val="4"/>
        </w:rPr>
        <w:t>a</w:t>
      </w:r>
      <w:r>
        <w:rPr>
          <w:color w:val="000000"/>
          <w:spacing w:val="-9"/>
        </w:rPr>
        <w:t>i</w:t>
      </w:r>
      <w:r>
        <w:rPr>
          <w:color w:val="000000"/>
          <w:spacing w:val="2"/>
        </w:rPr>
        <w:t>s</w:t>
      </w:r>
      <w:r>
        <w:rPr>
          <w:color w:val="000000"/>
          <w:spacing w:val="-4"/>
        </w:rPr>
        <w:t>i</w:t>
      </w:r>
      <w:r>
        <w:rPr>
          <w:color w:val="000000"/>
          <w:spacing w:val="4"/>
        </w:rPr>
        <w:t>a</w:t>
      </w:r>
      <w:r>
        <w:rPr>
          <w:color w:val="000000"/>
          <w:spacing w:val="-4"/>
        </w:rPr>
        <w:t>i</w:t>
      </w:r>
      <w:r>
        <w:rPr>
          <w:color w:val="000000"/>
        </w:rPr>
        <w:t>s</w:t>
      </w:r>
      <w:r>
        <w:rPr>
          <w:color w:val="000000"/>
          <w:spacing w:val="57"/>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rPr>
        <w:t>s</w:t>
      </w:r>
      <w:r>
        <w:rPr>
          <w:color w:val="000000"/>
          <w:spacing w:val="48"/>
        </w:rPr>
        <w:t xml:space="preserve"> </w:t>
      </w:r>
      <w:r>
        <w:rPr>
          <w:color w:val="000000"/>
        </w:rPr>
        <w:t>d</w:t>
      </w:r>
      <w:r>
        <w:rPr>
          <w:color w:val="000000"/>
          <w:spacing w:val="4"/>
        </w:rPr>
        <w:t>až</w:t>
      </w:r>
      <w:r>
        <w:rPr>
          <w:color w:val="000000"/>
        </w:rPr>
        <w:t>n</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i</w:t>
      </w:r>
      <w:r>
        <w:rPr>
          <w:color w:val="000000"/>
          <w:spacing w:val="51"/>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s</w:t>
      </w:r>
    </w:p>
    <w:p w:rsidR="004F7425" w:rsidRDefault="004F7425" w:rsidP="004F7425">
      <w:pPr>
        <w:widowControl w:val="0"/>
        <w:autoSpaceDE w:val="0"/>
        <w:autoSpaceDN w:val="0"/>
        <w:adjustRightInd w:val="0"/>
        <w:spacing w:before="41" w:line="271" w:lineRule="exact"/>
        <w:ind w:left="120" w:right="-20"/>
        <w:rPr>
          <w:color w:val="000000"/>
        </w:rPr>
      </w:pPr>
      <w:r>
        <w:rPr>
          <w:color w:val="000000"/>
          <w:spacing w:val="-2"/>
          <w:position w:val="-1"/>
        </w:rPr>
        <w:t>R</w:t>
      </w:r>
      <w:r>
        <w:rPr>
          <w:color w:val="000000"/>
          <w:spacing w:val="-1"/>
          <w:position w:val="-1"/>
        </w:rPr>
        <w:t>e</w:t>
      </w:r>
      <w:r>
        <w:rPr>
          <w:color w:val="000000"/>
          <w:spacing w:val="-2"/>
          <w:position w:val="-1"/>
        </w:rPr>
        <w:t>s</w:t>
      </w:r>
      <w:r>
        <w:rPr>
          <w:color w:val="000000"/>
          <w:position w:val="-1"/>
        </w:rPr>
        <w:t>p</w:t>
      </w:r>
      <w:r>
        <w:rPr>
          <w:color w:val="000000"/>
          <w:spacing w:val="5"/>
          <w:position w:val="-1"/>
        </w:rPr>
        <w:t>u</w:t>
      </w:r>
      <w:r>
        <w:rPr>
          <w:color w:val="000000"/>
          <w:position w:val="-1"/>
        </w:rPr>
        <w:t>bl</w:t>
      </w:r>
      <w:r>
        <w:rPr>
          <w:color w:val="000000"/>
          <w:spacing w:val="-4"/>
          <w:position w:val="-1"/>
        </w:rPr>
        <w:t>i</w:t>
      </w:r>
      <w:r>
        <w:rPr>
          <w:color w:val="000000"/>
          <w:position w:val="-1"/>
        </w:rPr>
        <w:t>k</w:t>
      </w:r>
      <w:r>
        <w:rPr>
          <w:color w:val="000000"/>
          <w:spacing w:val="5"/>
          <w:position w:val="-1"/>
        </w:rPr>
        <w:t>o</w:t>
      </w:r>
      <w:r>
        <w:rPr>
          <w:color w:val="000000"/>
          <w:position w:val="-1"/>
        </w:rPr>
        <w:t xml:space="preserve">s </w:t>
      </w:r>
      <w:r>
        <w:rPr>
          <w:color w:val="000000"/>
          <w:spacing w:val="5"/>
          <w:position w:val="-1"/>
        </w:rPr>
        <w:t>p</w:t>
      </w:r>
      <w:r>
        <w:rPr>
          <w:color w:val="000000"/>
          <w:spacing w:val="-4"/>
          <w:position w:val="-1"/>
        </w:rPr>
        <w:t>ili</w:t>
      </w:r>
      <w:r>
        <w:rPr>
          <w:color w:val="000000"/>
          <w:spacing w:val="4"/>
          <w:position w:val="-1"/>
        </w:rPr>
        <w:t>eč</w:t>
      </w:r>
      <w:r>
        <w:rPr>
          <w:color w:val="000000"/>
          <w:spacing w:val="-4"/>
          <w:position w:val="-1"/>
        </w:rPr>
        <w:t>i</w:t>
      </w:r>
      <w:r>
        <w:rPr>
          <w:color w:val="000000"/>
          <w:spacing w:val="4"/>
          <w:position w:val="-1"/>
        </w:rPr>
        <w:t>a</w:t>
      </w:r>
      <w:r>
        <w:rPr>
          <w:color w:val="000000"/>
          <w:position w:val="-1"/>
        </w:rPr>
        <w:t>i</w:t>
      </w:r>
      <w:r>
        <w:rPr>
          <w:color w:val="000000"/>
          <w:spacing w:val="-2"/>
          <w:position w:val="-1"/>
        </w:rPr>
        <w:t xml:space="preserve"> s</w:t>
      </w:r>
      <w:r>
        <w:rPr>
          <w:color w:val="000000"/>
          <w:spacing w:val="5"/>
          <w:position w:val="-1"/>
        </w:rPr>
        <w:t>u</w:t>
      </w:r>
      <w:r>
        <w:rPr>
          <w:color w:val="000000"/>
          <w:spacing w:val="-4"/>
          <w:position w:val="-1"/>
        </w:rPr>
        <w:t>l</w:t>
      </w:r>
      <w:r>
        <w:rPr>
          <w:color w:val="000000"/>
          <w:spacing w:val="4"/>
          <w:position w:val="-1"/>
        </w:rPr>
        <w:t>a</w:t>
      </w:r>
      <w:r>
        <w:rPr>
          <w:color w:val="000000"/>
          <w:spacing w:val="-4"/>
          <w:position w:val="-1"/>
        </w:rPr>
        <w:t>i</w:t>
      </w:r>
      <w:r>
        <w:rPr>
          <w:color w:val="000000"/>
          <w:position w:val="-1"/>
        </w:rPr>
        <w:t>k</w:t>
      </w:r>
      <w:r>
        <w:rPr>
          <w:color w:val="000000"/>
          <w:spacing w:val="9"/>
          <w:position w:val="-1"/>
        </w:rPr>
        <w:t>o</w:t>
      </w:r>
      <w:r>
        <w:rPr>
          <w:color w:val="000000"/>
          <w:spacing w:val="-4"/>
          <w:position w:val="-1"/>
        </w:rPr>
        <w:t>m</w:t>
      </w:r>
      <w:r>
        <w:rPr>
          <w:color w:val="000000"/>
          <w:position w:val="-1"/>
        </w:rPr>
        <w:t>i</w:t>
      </w:r>
      <w:r>
        <w:rPr>
          <w:color w:val="000000"/>
          <w:spacing w:val="-7"/>
          <w:position w:val="-1"/>
        </w:rPr>
        <w:t xml:space="preserve"> </w:t>
      </w:r>
      <w:r>
        <w:rPr>
          <w:color w:val="000000"/>
          <w:spacing w:val="1"/>
          <w:position w:val="-1"/>
        </w:rPr>
        <w:t>S</w:t>
      </w:r>
      <w:r>
        <w:rPr>
          <w:color w:val="000000"/>
          <w:position w:val="-1"/>
        </w:rPr>
        <w:t>k</w:t>
      </w:r>
      <w:r>
        <w:rPr>
          <w:color w:val="000000"/>
          <w:spacing w:val="4"/>
          <w:position w:val="-1"/>
        </w:rPr>
        <w:t>a</w:t>
      </w:r>
      <w:r>
        <w:rPr>
          <w:color w:val="000000"/>
          <w:spacing w:val="-5"/>
          <w:position w:val="-1"/>
        </w:rPr>
        <w:t>n</w:t>
      </w:r>
      <w:r>
        <w:rPr>
          <w:color w:val="000000"/>
          <w:spacing w:val="5"/>
          <w:position w:val="-1"/>
        </w:rPr>
        <w:t>d</w:t>
      </w:r>
      <w:r>
        <w:rPr>
          <w:color w:val="000000"/>
          <w:spacing w:val="-4"/>
          <w:position w:val="-1"/>
        </w:rPr>
        <w:t>i</w:t>
      </w:r>
      <w:r>
        <w:rPr>
          <w:color w:val="000000"/>
          <w:position w:val="-1"/>
        </w:rPr>
        <w:t>n</w:t>
      </w:r>
      <w:r>
        <w:rPr>
          <w:color w:val="000000"/>
          <w:spacing w:val="4"/>
          <w:position w:val="-1"/>
        </w:rPr>
        <w:t>a</w:t>
      </w:r>
      <w:r>
        <w:rPr>
          <w:color w:val="000000"/>
          <w:position w:val="-1"/>
        </w:rPr>
        <w:t>vi</w:t>
      </w:r>
      <w:r>
        <w:rPr>
          <w:color w:val="000000"/>
          <w:spacing w:val="-9"/>
          <w:position w:val="-1"/>
        </w:rPr>
        <w:t>j</w:t>
      </w:r>
      <w:r>
        <w:rPr>
          <w:color w:val="000000"/>
          <w:spacing w:val="5"/>
          <w:position w:val="-1"/>
        </w:rPr>
        <w:t>o</w:t>
      </w:r>
      <w:r>
        <w:rPr>
          <w:color w:val="000000"/>
          <w:position w:val="-1"/>
        </w:rPr>
        <w:t xml:space="preserve">s </w:t>
      </w:r>
      <w:r>
        <w:rPr>
          <w:color w:val="000000"/>
          <w:spacing w:val="-2"/>
          <w:position w:val="-1"/>
        </w:rPr>
        <w:t>š</w:t>
      </w:r>
      <w:r>
        <w:rPr>
          <w:color w:val="000000"/>
          <w:spacing w:val="4"/>
          <w:position w:val="-1"/>
        </w:rPr>
        <w:t>a</w:t>
      </w:r>
      <w:r>
        <w:rPr>
          <w:color w:val="000000"/>
          <w:position w:val="-1"/>
        </w:rPr>
        <w:t>ly</w:t>
      </w:r>
      <w:r>
        <w:rPr>
          <w:color w:val="000000"/>
          <w:spacing w:val="-2"/>
          <w:position w:val="-1"/>
        </w:rPr>
        <w:t>s</w:t>
      </w:r>
      <w:r>
        <w:rPr>
          <w:color w:val="000000"/>
          <w:spacing w:val="-1"/>
          <w:position w:val="-1"/>
        </w:rPr>
        <w:t>e</w:t>
      </w:r>
      <w:r>
        <w:rPr>
          <w:color w:val="000000"/>
          <w:position w:val="-1"/>
        </w:rPr>
        <w:t>.</w:t>
      </w:r>
    </w:p>
    <w:p w:rsidR="004F7425" w:rsidRDefault="004F7425" w:rsidP="004F7425">
      <w:pPr>
        <w:widowControl w:val="0"/>
        <w:autoSpaceDE w:val="0"/>
        <w:autoSpaceDN w:val="0"/>
        <w:adjustRightInd w:val="0"/>
        <w:spacing w:before="16" w:line="240" w:lineRule="exact"/>
        <w:rPr>
          <w:color w:val="000000"/>
        </w:rPr>
      </w:pPr>
    </w:p>
    <w:p w:rsidR="004F7425" w:rsidRDefault="004F7425" w:rsidP="004F7425">
      <w:pPr>
        <w:widowControl w:val="0"/>
        <w:autoSpaceDE w:val="0"/>
        <w:autoSpaceDN w:val="0"/>
        <w:adjustRightInd w:val="0"/>
        <w:spacing w:before="28"/>
        <w:ind w:left="1296" w:right="892"/>
        <w:jc w:val="center"/>
        <w:rPr>
          <w:color w:val="000000"/>
        </w:rPr>
      </w:pPr>
      <w:r>
        <w:rPr>
          <w:b/>
          <w:bCs/>
          <w:color w:val="974707"/>
          <w:spacing w:val="-9"/>
        </w:rPr>
        <w:t>L</w:t>
      </w:r>
      <w:r>
        <w:rPr>
          <w:b/>
          <w:bCs/>
          <w:color w:val="974707"/>
        </w:rPr>
        <w:t>R</w:t>
      </w:r>
      <w:r>
        <w:rPr>
          <w:b/>
          <w:bCs/>
          <w:color w:val="974707"/>
          <w:spacing w:val="2"/>
        </w:rPr>
        <w:t xml:space="preserve"> </w:t>
      </w:r>
      <w:r>
        <w:rPr>
          <w:b/>
          <w:bCs/>
          <w:color w:val="974707"/>
          <w:spacing w:val="-8"/>
        </w:rPr>
        <w:t>p</w:t>
      </w:r>
      <w:r>
        <w:rPr>
          <w:b/>
          <w:bCs/>
          <w:color w:val="974707"/>
          <w:spacing w:val="-4"/>
        </w:rPr>
        <w:t>ili</w:t>
      </w:r>
      <w:r>
        <w:rPr>
          <w:b/>
          <w:bCs/>
          <w:color w:val="974707"/>
          <w:spacing w:val="6"/>
        </w:rPr>
        <w:t>eč</w:t>
      </w:r>
      <w:r>
        <w:rPr>
          <w:b/>
          <w:bCs/>
          <w:color w:val="974707"/>
          <w:spacing w:val="-4"/>
        </w:rPr>
        <w:t>i</w:t>
      </w:r>
      <w:r>
        <w:rPr>
          <w:b/>
          <w:bCs/>
          <w:color w:val="974707"/>
          <w:spacing w:val="-8"/>
        </w:rPr>
        <w:t>ų</w:t>
      </w:r>
      <w:r>
        <w:rPr>
          <w:b/>
          <w:bCs/>
          <w:color w:val="974707"/>
        </w:rPr>
        <w:t>,</w:t>
      </w:r>
      <w:r>
        <w:rPr>
          <w:b/>
          <w:bCs/>
          <w:color w:val="974707"/>
          <w:spacing w:val="22"/>
        </w:rPr>
        <w:t xml:space="preserve"> </w:t>
      </w:r>
      <w:r>
        <w:rPr>
          <w:b/>
          <w:bCs/>
          <w:color w:val="974707"/>
          <w:spacing w:val="7"/>
        </w:rPr>
        <w:t>s</w:t>
      </w:r>
      <w:r>
        <w:rPr>
          <w:b/>
          <w:bCs/>
          <w:color w:val="974707"/>
          <w:spacing w:val="-8"/>
        </w:rPr>
        <w:t>u</w:t>
      </w:r>
      <w:r>
        <w:rPr>
          <w:b/>
          <w:bCs/>
          <w:color w:val="974707"/>
          <w:spacing w:val="7"/>
        </w:rPr>
        <w:t>s</w:t>
      </w:r>
      <w:r>
        <w:rPr>
          <w:b/>
          <w:bCs/>
          <w:color w:val="974707"/>
          <w:spacing w:val="-4"/>
        </w:rPr>
        <w:t>i</w:t>
      </w:r>
      <w:r>
        <w:rPr>
          <w:b/>
          <w:bCs/>
          <w:color w:val="974707"/>
          <w:spacing w:val="-5"/>
        </w:rPr>
        <w:t>j</w:t>
      </w:r>
      <w:r>
        <w:rPr>
          <w:b/>
          <w:bCs/>
          <w:color w:val="974707"/>
          <w:spacing w:val="-8"/>
        </w:rPr>
        <w:t>u</w:t>
      </w:r>
      <w:r>
        <w:rPr>
          <w:b/>
          <w:bCs/>
          <w:color w:val="974707"/>
          <w:spacing w:val="7"/>
        </w:rPr>
        <w:t>s</w:t>
      </w:r>
      <w:r>
        <w:rPr>
          <w:b/>
          <w:bCs/>
          <w:color w:val="974707"/>
          <w:spacing w:val="-4"/>
        </w:rPr>
        <w:t>i</w:t>
      </w:r>
      <w:r>
        <w:rPr>
          <w:b/>
          <w:bCs/>
          <w:color w:val="974707"/>
        </w:rPr>
        <w:t>ų</w:t>
      </w:r>
      <w:r>
        <w:rPr>
          <w:b/>
          <w:bCs/>
          <w:color w:val="974707"/>
          <w:spacing w:val="-2"/>
        </w:rPr>
        <w:t xml:space="preserve"> </w:t>
      </w:r>
      <w:r>
        <w:rPr>
          <w:b/>
          <w:bCs/>
          <w:color w:val="974707"/>
          <w:spacing w:val="7"/>
        </w:rPr>
        <w:t>s</w:t>
      </w:r>
      <w:r>
        <w:rPr>
          <w:b/>
          <w:bCs/>
          <w:color w:val="974707"/>
        </w:rPr>
        <w:t>u</w:t>
      </w:r>
      <w:r>
        <w:rPr>
          <w:b/>
          <w:bCs/>
          <w:color w:val="974707"/>
          <w:spacing w:val="-7"/>
        </w:rPr>
        <w:t xml:space="preserve"> </w:t>
      </w:r>
      <w:r>
        <w:rPr>
          <w:b/>
          <w:bCs/>
          <w:color w:val="974707"/>
          <w:spacing w:val="-8"/>
        </w:rPr>
        <w:t>n</w:t>
      </w:r>
      <w:r>
        <w:rPr>
          <w:b/>
          <w:bCs/>
          <w:color w:val="974707"/>
          <w:spacing w:val="6"/>
        </w:rPr>
        <w:t>e</w:t>
      </w:r>
      <w:r>
        <w:rPr>
          <w:b/>
          <w:bCs/>
          <w:color w:val="974707"/>
          <w:spacing w:val="-5"/>
        </w:rPr>
        <w:t>t</w:t>
      </w:r>
      <w:r>
        <w:rPr>
          <w:b/>
          <w:bCs/>
          <w:color w:val="974707"/>
          <w:spacing w:val="6"/>
        </w:rPr>
        <w:t>e</w:t>
      </w:r>
      <w:r>
        <w:rPr>
          <w:b/>
          <w:bCs/>
          <w:color w:val="974707"/>
          <w:spacing w:val="-4"/>
        </w:rPr>
        <w:t>i</w:t>
      </w:r>
      <w:r>
        <w:rPr>
          <w:b/>
          <w:bCs/>
          <w:color w:val="974707"/>
          <w:spacing w:val="7"/>
        </w:rPr>
        <w:t>s</w:t>
      </w:r>
      <w:r>
        <w:rPr>
          <w:b/>
          <w:bCs/>
          <w:color w:val="974707"/>
          <w:spacing w:val="6"/>
        </w:rPr>
        <w:t>ė</w:t>
      </w:r>
      <w:r>
        <w:rPr>
          <w:b/>
          <w:bCs/>
          <w:color w:val="974707"/>
          <w:spacing w:val="-5"/>
        </w:rPr>
        <w:t>t</w:t>
      </w:r>
      <w:r>
        <w:rPr>
          <w:b/>
          <w:bCs/>
          <w:color w:val="974707"/>
        </w:rPr>
        <w:t>a</w:t>
      </w:r>
      <w:r>
        <w:rPr>
          <w:b/>
          <w:bCs/>
          <w:color w:val="974707"/>
          <w:spacing w:val="-14"/>
        </w:rPr>
        <w:t xml:space="preserve"> </w:t>
      </w:r>
      <w:r>
        <w:rPr>
          <w:b/>
          <w:bCs/>
          <w:color w:val="974707"/>
          <w:spacing w:val="-8"/>
        </w:rPr>
        <w:t>n</w:t>
      </w:r>
      <w:r>
        <w:rPr>
          <w:b/>
          <w:bCs/>
          <w:color w:val="974707"/>
          <w:spacing w:val="5"/>
        </w:rPr>
        <w:t>a</w:t>
      </w:r>
      <w:r>
        <w:rPr>
          <w:b/>
          <w:bCs/>
          <w:color w:val="974707"/>
          <w:spacing w:val="-6"/>
        </w:rPr>
        <w:t>r</w:t>
      </w:r>
      <w:r>
        <w:rPr>
          <w:b/>
          <w:bCs/>
          <w:color w:val="974707"/>
          <w:spacing w:val="4"/>
        </w:rPr>
        <w:t>k</w:t>
      </w:r>
      <w:r>
        <w:rPr>
          <w:b/>
          <w:bCs/>
          <w:color w:val="974707"/>
          <w:spacing w:val="5"/>
        </w:rPr>
        <w:t>o</w:t>
      </w:r>
      <w:r>
        <w:rPr>
          <w:b/>
          <w:bCs/>
          <w:color w:val="974707"/>
          <w:spacing w:val="-5"/>
        </w:rPr>
        <w:t>t</w:t>
      </w:r>
      <w:r>
        <w:rPr>
          <w:b/>
          <w:bCs/>
          <w:color w:val="974707"/>
          <w:spacing w:val="-4"/>
        </w:rPr>
        <w:t>i</w:t>
      </w:r>
      <w:r>
        <w:rPr>
          <w:b/>
          <w:bCs/>
          <w:color w:val="974707"/>
          <w:spacing w:val="4"/>
        </w:rPr>
        <w:t>k</w:t>
      </w:r>
      <w:r>
        <w:rPr>
          <w:b/>
          <w:bCs/>
          <w:color w:val="974707"/>
        </w:rPr>
        <w:t>ų</w:t>
      </w:r>
      <w:r>
        <w:rPr>
          <w:b/>
          <w:bCs/>
          <w:color w:val="974707"/>
          <w:spacing w:val="-3"/>
        </w:rPr>
        <w:t xml:space="preserve"> </w:t>
      </w:r>
      <w:r>
        <w:rPr>
          <w:b/>
          <w:bCs/>
          <w:color w:val="974707"/>
          <w:spacing w:val="5"/>
        </w:rPr>
        <w:t>a</w:t>
      </w:r>
      <w:r>
        <w:rPr>
          <w:b/>
          <w:bCs/>
          <w:color w:val="974707"/>
          <w:spacing w:val="-8"/>
        </w:rPr>
        <w:t>p</w:t>
      </w:r>
      <w:r>
        <w:rPr>
          <w:b/>
          <w:bCs/>
          <w:color w:val="974707"/>
          <w:spacing w:val="-7"/>
        </w:rPr>
        <w:t>yv</w:t>
      </w:r>
      <w:r>
        <w:rPr>
          <w:b/>
          <w:bCs/>
          <w:color w:val="974707"/>
          <w:spacing w:val="5"/>
        </w:rPr>
        <w:t>a</w:t>
      </w:r>
      <w:r>
        <w:rPr>
          <w:b/>
          <w:bCs/>
          <w:color w:val="974707"/>
          <w:spacing w:val="-6"/>
        </w:rPr>
        <w:t>r</w:t>
      </w:r>
      <w:r>
        <w:rPr>
          <w:b/>
          <w:bCs/>
          <w:color w:val="974707"/>
          <w:spacing w:val="-5"/>
        </w:rPr>
        <w:t>t</w:t>
      </w:r>
      <w:r>
        <w:rPr>
          <w:b/>
          <w:bCs/>
          <w:color w:val="974707"/>
          <w:spacing w:val="5"/>
        </w:rPr>
        <w:t>a</w:t>
      </w:r>
      <w:r>
        <w:rPr>
          <w:b/>
          <w:bCs/>
          <w:color w:val="974707"/>
        </w:rPr>
        <w:t>,</w:t>
      </w:r>
      <w:r>
        <w:rPr>
          <w:b/>
          <w:bCs/>
          <w:color w:val="974707"/>
          <w:spacing w:val="7"/>
        </w:rPr>
        <w:t xml:space="preserve"> s</w:t>
      </w:r>
      <w:r>
        <w:rPr>
          <w:b/>
          <w:bCs/>
          <w:color w:val="974707"/>
          <w:spacing w:val="-8"/>
        </w:rPr>
        <w:t>u</w:t>
      </w:r>
      <w:r>
        <w:rPr>
          <w:b/>
          <w:bCs/>
          <w:color w:val="974707"/>
          <w:spacing w:val="-4"/>
        </w:rPr>
        <w:t>l</w:t>
      </w:r>
      <w:r>
        <w:rPr>
          <w:b/>
          <w:bCs/>
          <w:color w:val="974707"/>
          <w:spacing w:val="5"/>
        </w:rPr>
        <w:t>a</w:t>
      </w:r>
      <w:r>
        <w:rPr>
          <w:b/>
          <w:bCs/>
          <w:color w:val="974707"/>
          <w:spacing w:val="-4"/>
        </w:rPr>
        <w:t>i</w:t>
      </w:r>
      <w:r>
        <w:rPr>
          <w:b/>
          <w:bCs/>
          <w:color w:val="974707"/>
          <w:spacing w:val="4"/>
        </w:rPr>
        <w:t>k</w:t>
      </w:r>
      <w:r>
        <w:rPr>
          <w:b/>
          <w:bCs/>
          <w:color w:val="974707"/>
          <w:spacing w:val="-7"/>
        </w:rPr>
        <w:t>y</w:t>
      </w:r>
      <w:r>
        <w:rPr>
          <w:b/>
          <w:bCs/>
          <w:color w:val="974707"/>
          <w:spacing w:val="-11"/>
        </w:rPr>
        <w:t>m</w:t>
      </w:r>
      <w:r>
        <w:rPr>
          <w:b/>
          <w:bCs/>
          <w:color w:val="974707"/>
        </w:rPr>
        <w:t xml:space="preserve">ų </w:t>
      </w:r>
      <w:r>
        <w:rPr>
          <w:b/>
          <w:bCs/>
          <w:color w:val="974707"/>
          <w:spacing w:val="11"/>
        </w:rPr>
        <w:t xml:space="preserve"> </w:t>
      </w:r>
      <w:r>
        <w:rPr>
          <w:b/>
          <w:bCs/>
          <w:color w:val="974707"/>
          <w:spacing w:val="7"/>
          <w:w w:val="99"/>
        </w:rPr>
        <w:t>s</w:t>
      </w:r>
      <w:r>
        <w:rPr>
          <w:b/>
          <w:bCs/>
          <w:color w:val="974707"/>
          <w:spacing w:val="4"/>
          <w:w w:val="99"/>
        </w:rPr>
        <w:t>k</w:t>
      </w:r>
      <w:r>
        <w:rPr>
          <w:b/>
          <w:bCs/>
          <w:color w:val="974707"/>
          <w:spacing w:val="5"/>
          <w:w w:val="99"/>
        </w:rPr>
        <w:t>a</w:t>
      </w:r>
      <w:r>
        <w:rPr>
          <w:b/>
          <w:bCs/>
          <w:color w:val="974707"/>
          <w:spacing w:val="-4"/>
          <w:w w:val="99"/>
        </w:rPr>
        <w:t>i</w:t>
      </w:r>
      <w:r>
        <w:rPr>
          <w:b/>
          <w:bCs/>
          <w:color w:val="974707"/>
          <w:spacing w:val="6"/>
          <w:w w:val="99"/>
        </w:rPr>
        <w:t>č</w:t>
      </w:r>
      <w:r>
        <w:rPr>
          <w:b/>
          <w:bCs/>
          <w:color w:val="974707"/>
          <w:spacing w:val="-4"/>
          <w:w w:val="99"/>
        </w:rPr>
        <w:t>i</w:t>
      </w:r>
      <w:r>
        <w:rPr>
          <w:b/>
          <w:bCs/>
          <w:color w:val="974707"/>
          <w:spacing w:val="-8"/>
          <w:w w:val="99"/>
        </w:rPr>
        <w:t>u</w:t>
      </w:r>
      <w:r>
        <w:rPr>
          <w:b/>
          <w:bCs/>
          <w:color w:val="974707"/>
          <w:w w:val="99"/>
        </w:rPr>
        <w:t>s</w:t>
      </w:r>
    </w:p>
    <w:p w:rsidR="004F7425" w:rsidRDefault="004F7425" w:rsidP="004F7425">
      <w:pPr>
        <w:widowControl w:val="0"/>
        <w:autoSpaceDE w:val="0"/>
        <w:autoSpaceDN w:val="0"/>
        <w:adjustRightInd w:val="0"/>
        <w:spacing w:line="271" w:lineRule="exact"/>
        <w:ind w:left="4156" w:right="3670"/>
        <w:jc w:val="center"/>
        <w:rPr>
          <w:color w:val="000000"/>
        </w:rPr>
      </w:pPr>
      <w:r>
        <w:rPr>
          <w:b/>
          <w:bCs/>
          <w:color w:val="974707"/>
          <w:spacing w:val="5"/>
          <w:position w:val="-1"/>
        </w:rPr>
        <w:t>20</w:t>
      </w:r>
      <w:r>
        <w:rPr>
          <w:b/>
          <w:bCs/>
          <w:color w:val="974707"/>
          <w:spacing w:val="-7"/>
          <w:position w:val="-1"/>
        </w:rPr>
        <w:t>1</w:t>
      </w:r>
      <w:r>
        <w:rPr>
          <w:b/>
          <w:bCs/>
          <w:color w:val="974707"/>
          <w:position w:val="-1"/>
        </w:rPr>
        <w:t>1</w:t>
      </w:r>
      <w:r>
        <w:rPr>
          <w:b/>
          <w:bCs/>
          <w:color w:val="974707"/>
          <w:spacing w:val="-22"/>
          <w:position w:val="-1"/>
        </w:rPr>
        <w:t xml:space="preserve"> </w:t>
      </w:r>
      <w:r>
        <w:rPr>
          <w:b/>
          <w:bCs/>
          <w:color w:val="974707"/>
          <w:spacing w:val="-4"/>
          <w:position w:val="-1"/>
        </w:rPr>
        <w:t>i</w:t>
      </w:r>
      <w:r>
        <w:rPr>
          <w:b/>
          <w:bCs/>
          <w:color w:val="974707"/>
          <w:position w:val="-1"/>
        </w:rPr>
        <w:t>r</w:t>
      </w:r>
      <w:r>
        <w:rPr>
          <w:b/>
          <w:bCs/>
          <w:color w:val="974707"/>
          <w:spacing w:val="-6"/>
          <w:position w:val="-1"/>
        </w:rPr>
        <w:t xml:space="preserve"> </w:t>
      </w:r>
      <w:r>
        <w:rPr>
          <w:b/>
          <w:bCs/>
          <w:color w:val="974707"/>
          <w:spacing w:val="5"/>
          <w:position w:val="-1"/>
        </w:rPr>
        <w:t>201</w:t>
      </w:r>
      <w:r>
        <w:rPr>
          <w:b/>
          <w:bCs/>
          <w:color w:val="974707"/>
          <w:position w:val="-1"/>
        </w:rPr>
        <w:t>2</w:t>
      </w:r>
      <w:r>
        <w:rPr>
          <w:b/>
          <w:bCs/>
          <w:color w:val="974707"/>
          <w:spacing w:val="-22"/>
          <w:position w:val="-1"/>
        </w:rPr>
        <w:t xml:space="preserve"> </w:t>
      </w:r>
      <w:r>
        <w:rPr>
          <w:b/>
          <w:bCs/>
          <w:color w:val="974707"/>
          <w:spacing w:val="-11"/>
          <w:w w:val="99"/>
          <w:position w:val="-1"/>
        </w:rPr>
        <w:t>m</w:t>
      </w:r>
      <w:r>
        <w:rPr>
          <w:b/>
          <w:bCs/>
          <w:color w:val="974707"/>
          <w:spacing w:val="6"/>
          <w:w w:val="99"/>
          <w:position w:val="-1"/>
        </w:rPr>
        <w:t>e</w:t>
      </w:r>
      <w:r>
        <w:rPr>
          <w:b/>
          <w:bCs/>
          <w:color w:val="974707"/>
          <w:spacing w:val="-5"/>
          <w:w w:val="99"/>
          <w:position w:val="-1"/>
        </w:rPr>
        <w:t>t</w:t>
      </w:r>
      <w:r>
        <w:rPr>
          <w:b/>
          <w:bCs/>
          <w:color w:val="974707"/>
          <w:spacing w:val="5"/>
          <w:w w:val="99"/>
          <w:position w:val="-1"/>
        </w:rPr>
        <w:t>a</w:t>
      </w:r>
      <w:r>
        <w:rPr>
          <w:b/>
          <w:bCs/>
          <w:color w:val="974707"/>
          <w:spacing w:val="-4"/>
          <w:w w:val="99"/>
          <w:position w:val="-1"/>
        </w:rPr>
        <w:t>i</w:t>
      </w:r>
      <w:r>
        <w:rPr>
          <w:b/>
          <w:bCs/>
          <w:color w:val="974707"/>
          <w:w w:val="99"/>
          <w:position w:val="-1"/>
        </w:rPr>
        <w:t>s</w:t>
      </w:r>
    </w:p>
    <w:p w:rsidR="004F7425" w:rsidRDefault="004F7425" w:rsidP="004F7425">
      <w:pPr>
        <w:widowControl w:val="0"/>
        <w:autoSpaceDE w:val="0"/>
        <w:autoSpaceDN w:val="0"/>
        <w:adjustRightInd w:val="0"/>
        <w:spacing w:before="9" w:line="190" w:lineRule="exact"/>
        <w:rPr>
          <w:color w:val="000000"/>
          <w:sz w:val="19"/>
          <w:szCs w:val="19"/>
        </w:rPr>
      </w:pPr>
    </w:p>
    <w:p w:rsidR="004F7425" w:rsidRDefault="004F7425" w:rsidP="004F7425">
      <w:pPr>
        <w:widowControl w:val="0"/>
        <w:autoSpaceDE w:val="0"/>
        <w:autoSpaceDN w:val="0"/>
        <w:adjustRightInd w:val="0"/>
        <w:spacing w:before="20"/>
        <w:ind w:left="311" w:right="9263"/>
        <w:jc w:val="center"/>
        <w:rPr>
          <w:rFonts w:ascii="Calibri" w:hAnsi="Calibri" w:cs="Calibri"/>
          <w:color w:val="000000"/>
          <w:sz w:val="20"/>
        </w:rPr>
      </w:pPr>
      <w:r>
        <w:rPr>
          <w:rFonts w:ascii="Calibri" w:hAnsi="Calibri" w:cs="Calibri"/>
          <w:color w:val="000000"/>
          <w:spacing w:val="-2"/>
          <w:sz w:val="20"/>
        </w:rPr>
        <w:t>20</w:t>
      </w:r>
    </w:p>
    <w:p w:rsidR="004F7425" w:rsidRDefault="004F7425" w:rsidP="004F7425">
      <w:pPr>
        <w:widowControl w:val="0"/>
        <w:autoSpaceDE w:val="0"/>
        <w:autoSpaceDN w:val="0"/>
        <w:adjustRightInd w:val="0"/>
        <w:spacing w:before="89"/>
        <w:ind w:left="311" w:right="9263"/>
        <w:jc w:val="center"/>
        <w:rPr>
          <w:rFonts w:ascii="Calibri" w:hAnsi="Calibri" w:cs="Calibri"/>
          <w:color w:val="000000"/>
          <w:sz w:val="20"/>
        </w:rPr>
      </w:pPr>
      <w:r>
        <w:rPr>
          <w:rFonts w:ascii="Calibri" w:hAnsi="Calibri" w:cs="Calibri"/>
          <w:color w:val="000000"/>
          <w:spacing w:val="-2"/>
          <w:sz w:val="20"/>
        </w:rPr>
        <w:t>15</w:t>
      </w:r>
    </w:p>
    <w:p w:rsidR="004F7425" w:rsidRDefault="004F7425" w:rsidP="004F7425">
      <w:pPr>
        <w:widowControl w:val="0"/>
        <w:tabs>
          <w:tab w:val="left" w:pos="9280"/>
        </w:tabs>
        <w:autoSpaceDE w:val="0"/>
        <w:autoSpaceDN w:val="0"/>
        <w:adjustRightInd w:val="0"/>
        <w:spacing w:before="42"/>
        <w:ind w:left="346" w:right="-20"/>
        <w:rPr>
          <w:rFonts w:ascii="Calibri" w:hAnsi="Calibri" w:cs="Calibri"/>
          <w:color w:val="000000"/>
          <w:sz w:val="20"/>
        </w:rPr>
      </w:pPr>
      <w:r>
        <w:rPr>
          <w:rFonts w:ascii="Calibri" w:hAnsi="Calibri" w:cs="Calibri"/>
          <w:color w:val="000000"/>
          <w:spacing w:val="-2"/>
          <w:position w:val="-5"/>
          <w:sz w:val="20"/>
        </w:rPr>
        <w:t>1</w:t>
      </w:r>
      <w:r>
        <w:rPr>
          <w:rFonts w:ascii="Calibri" w:hAnsi="Calibri" w:cs="Calibri"/>
          <w:color w:val="000000"/>
          <w:position w:val="-5"/>
          <w:sz w:val="20"/>
        </w:rPr>
        <w:t>0</w:t>
      </w:r>
      <w:r>
        <w:rPr>
          <w:rFonts w:ascii="Calibri" w:hAnsi="Calibri" w:cs="Calibri"/>
          <w:color w:val="000000"/>
          <w:position w:val="-5"/>
          <w:sz w:val="20"/>
        </w:rPr>
        <w:tab/>
      </w:r>
      <w:r>
        <w:rPr>
          <w:rFonts w:ascii="Calibri" w:hAnsi="Calibri" w:cs="Calibri"/>
          <w:color w:val="000000"/>
          <w:spacing w:val="-2"/>
          <w:sz w:val="20"/>
        </w:rPr>
        <w:t>2011</w:t>
      </w:r>
    </w:p>
    <w:p w:rsidR="004F7425" w:rsidRDefault="004F7425" w:rsidP="004F7425">
      <w:pPr>
        <w:widowControl w:val="0"/>
        <w:autoSpaceDE w:val="0"/>
        <w:autoSpaceDN w:val="0"/>
        <w:adjustRightInd w:val="0"/>
        <w:spacing w:before="87" w:line="231" w:lineRule="exact"/>
        <w:ind w:left="412" w:right="9260"/>
        <w:jc w:val="center"/>
        <w:rPr>
          <w:rFonts w:ascii="Calibri" w:hAnsi="Calibri" w:cs="Calibri"/>
          <w:color w:val="000000"/>
          <w:sz w:val="20"/>
        </w:rPr>
      </w:pPr>
      <w:r>
        <w:rPr>
          <w:rFonts w:ascii="Calibri" w:hAnsi="Calibri" w:cs="Calibri"/>
          <w:color w:val="000000"/>
          <w:position w:val="-1"/>
          <w:sz w:val="20"/>
        </w:rPr>
        <w:t>5</w:t>
      </w:r>
    </w:p>
    <w:p w:rsidR="004F7425" w:rsidRDefault="004F7425" w:rsidP="004F7425">
      <w:pPr>
        <w:widowControl w:val="0"/>
        <w:autoSpaceDE w:val="0"/>
        <w:autoSpaceDN w:val="0"/>
        <w:adjustRightInd w:val="0"/>
        <w:spacing w:line="167" w:lineRule="exact"/>
        <w:ind w:right="148"/>
        <w:jc w:val="right"/>
        <w:rPr>
          <w:rFonts w:ascii="Calibri" w:hAnsi="Calibri" w:cs="Calibri"/>
          <w:color w:val="000000"/>
          <w:sz w:val="20"/>
        </w:rPr>
      </w:pPr>
      <w:r>
        <w:rPr>
          <w:rFonts w:ascii="Calibri" w:hAnsi="Calibri" w:cs="Calibri"/>
          <w:color w:val="000000"/>
          <w:spacing w:val="-2"/>
          <w:sz w:val="20"/>
        </w:rPr>
        <w:t>2012</w:t>
      </w:r>
    </w:p>
    <w:p w:rsidR="004F7425" w:rsidRDefault="004F7425" w:rsidP="004F7425">
      <w:pPr>
        <w:widowControl w:val="0"/>
        <w:autoSpaceDE w:val="0"/>
        <w:autoSpaceDN w:val="0"/>
        <w:adjustRightInd w:val="0"/>
        <w:spacing w:line="176" w:lineRule="exact"/>
        <w:ind w:left="412" w:right="9260"/>
        <w:jc w:val="center"/>
        <w:rPr>
          <w:rFonts w:ascii="Calibri" w:hAnsi="Calibri" w:cs="Calibri"/>
          <w:color w:val="000000"/>
          <w:sz w:val="20"/>
        </w:rPr>
      </w:pPr>
      <w:r>
        <w:rPr>
          <w:rFonts w:ascii="Calibri" w:hAnsi="Calibri" w:cs="Calibri"/>
          <w:color w:val="000000"/>
          <w:position w:val="1"/>
          <w:sz w:val="20"/>
        </w:rPr>
        <w:t>0</w:t>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before="11" w:line="260" w:lineRule="exact"/>
        <w:rPr>
          <w:rFonts w:ascii="Calibri" w:hAnsi="Calibri" w:cs="Calibri"/>
          <w:color w:val="000000"/>
          <w:sz w:val="26"/>
          <w:szCs w:val="26"/>
        </w:rPr>
      </w:pPr>
    </w:p>
    <w:p w:rsidR="004F7425" w:rsidRDefault="004F7425" w:rsidP="004F7425">
      <w:pPr>
        <w:widowControl w:val="0"/>
        <w:autoSpaceDE w:val="0"/>
        <w:autoSpaceDN w:val="0"/>
        <w:adjustRightInd w:val="0"/>
        <w:spacing w:before="29" w:line="275" w:lineRule="auto"/>
        <w:ind w:left="120" w:right="45" w:firstLine="711"/>
        <w:rPr>
          <w:color w:val="000000"/>
        </w:rPr>
      </w:pP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12"/>
        </w:rPr>
        <w:t xml:space="preserve"> </w:t>
      </w:r>
      <w:r>
        <w:rPr>
          <w:color w:val="000000"/>
          <w:spacing w:val="-2"/>
        </w:rPr>
        <w:t>R</w:t>
      </w:r>
      <w:r>
        <w:rPr>
          <w:color w:val="000000"/>
          <w:spacing w:val="-1"/>
        </w:rPr>
        <w:t>e</w:t>
      </w:r>
      <w:r>
        <w:rPr>
          <w:color w:val="000000"/>
          <w:spacing w:val="-2"/>
        </w:rPr>
        <w:t>s</w:t>
      </w:r>
      <w:r>
        <w:rPr>
          <w:color w:val="000000"/>
        </w:rPr>
        <w:t>publ</w:t>
      </w:r>
      <w:r>
        <w:rPr>
          <w:color w:val="000000"/>
          <w:spacing w:val="-4"/>
        </w:rPr>
        <w:t>i</w:t>
      </w:r>
      <w:r>
        <w:rPr>
          <w:color w:val="000000"/>
        </w:rPr>
        <w:t>k</w:t>
      </w:r>
      <w:r>
        <w:rPr>
          <w:color w:val="000000"/>
          <w:spacing w:val="5"/>
        </w:rPr>
        <w:t>o</w:t>
      </w:r>
      <w:r>
        <w:rPr>
          <w:color w:val="000000"/>
        </w:rPr>
        <w:t xml:space="preserve">s </w:t>
      </w:r>
      <w:r>
        <w:rPr>
          <w:color w:val="000000"/>
          <w:spacing w:val="12"/>
        </w:rPr>
        <w:t xml:space="preserve"> </w:t>
      </w:r>
      <w:r>
        <w:rPr>
          <w:color w:val="000000"/>
          <w:spacing w:val="5"/>
        </w:rPr>
        <w:t>p</w:t>
      </w:r>
      <w:r>
        <w:rPr>
          <w:color w:val="000000"/>
          <w:spacing w:val="-4"/>
        </w:rPr>
        <w:t>i</w:t>
      </w:r>
      <w:r>
        <w:rPr>
          <w:color w:val="000000"/>
        </w:rPr>
        <w:t>l</w:t>
      </w:r>
      <w:r>
        <w:rPr>
          <w:color w:val="000000"/>
          <w:spacing w:val="-4"/>
        </w:rPr>
        <w:t>i</w:t>
      </w:r>
      <w:r>
        <w:rPr>
          <w:color w:val="000000"/>
          <w:spacing w:val="-1"/>
        </w:rPr>
        <w:t>e</w:t>
      </w:r>
      <w:r>
        <w:rPr>
          <w:color w:val="000000"/>
          <w:spacing w:val="4"/>
        </w:rPr>
        <w:t>č</w:t>
      </w:r>
      <w:r>
        <w:rPr>
          <w:color w:val="000000"/>
          <w:spacing w:val="-4"/>
        </w:rPr>
        <w:t>i</w:t>
      </w:r>
      <w:r>
        <w:rPr>
          <w:color w:val="000000"/>
        </w:rPr>
        <w:t xml:space="preserve">ų </w:t>
      </w:r>
      <w:r>
        <w:rPr>
          <w:color w:val="000000"/>
          <w:spacing w:val="19"/>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o</w:t>
      </w:r>
      <w:r>
        <w:rPr>
          <w:color w:val="000000"/>
        </w:rPr>
        <w:t xml:space="preserve">s </w:t>
      </w:r>
      <w:r>
        <w:rPr>
          <w:color w:val="000000"/>
          <w:spacing w:val="12"/>
        </w:rPr>
        <w:t xml:space="preserve"> </w:t>
      </w:r>
      <w:r>
        <w:rPr>
          <w:color w:val="000000"/>
        </w:rPr>
        <w:t>v</w:t>
      </w:r>
      <w:r>
        <w:rPr>
          <w:color w:val="000000"/>
          <w:spacing w:val="4"/>
        </w:rPr>
        <w:t>e</w:t>
      </w:r>
      <w:r>
        <w:rPr>
          <w:color w:val="000000"/>
          <w:spacing w:val="-4"/>
        </w:rPr>
        <w:t>i</w:t>
      </w:r>
      <w:r>
        <w:rPr>
          <w:color w:val="000000"/>
          <w:spacing w:val="10"/>
        </w:rPr>
        <w:t>k</w:t>
      </w:r>
      <w:r>
        <w:rPr>
          <w:color w:val="000000"/>
          <w:spacing w:val="-9"/>
        </w:rPr>
        <w:t>l</w:t>
      </w:r>
      <w:r>
        <w:rPr>
          <w:color w:val="000000"/>
          <w:spacing w:val="5"/>
        </w:rPr>
        <w:t>o</w:t>
      </w:r>
      <w:r>
        <w:rPr>
          <w:color w:val="000000"/>
          <w:spacing w:val="-2"/>
        </w:rPr>
        <w:t>s</w:t>
      </w:r>
      <w:r>
        <w:rPr>
          <w:color w:val="000000"/>
        </w:rPr>
        <w:t xml:space="preserve">, </w:t>
      </w:r>
      <w:r>
        <w:rPr>
          <w:color w:val="000000"/>
          <w:spacing w:val="16"/>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9"/>
        </w:rPr>
        <w:t>i</w:t>
      </w:r>
      <w:r>
        <w:rPr>
          <w:color w:val="000000"/>
          <w:spacing w:val="9"/>
        </w:rPr>
        <w:t>o</w:t>
      </w:r>
      <w:r>
        <w:rPr>
          <w:color w:val="000000"/>
        </w:rPr>
        <w:t xml:space="preserve">s </w:t>
      </w:r>
      <w:r>
        <w:rPr>
          <w:color w:val="000000"/>
          <w:spacing w:val="12"/>
        </w:rPr>
        <w:t xml:space="preserve"> </w:t>
      </w:r>
      <w:r>
        <w:rPr>
          <w:color w:val="000000"/>
          <w:spacing w:val="-2"/>
        </w:rPr>
        <w:t>s</w:t>
      </w:r>
      <w:r>
        <w:rPr>
          <w:color w:val="000000"/>
        </w:rPr>
        <w:t xml:space="preserve">u </w:t>
      </w:r>
      <w:r>
        <w:rPr>
          <w:color w:val="000000"/>
          <w:spacing w:val="14"/>
        </w:rPr>
        <w:t xml:space="preserve"> </w:t>
      </w:r>
      <w:r>
        <w:rPr>
          <w:color w:val="000000"/>
          <w:spacing w:val="5"/>
        </w:rPr>
        <w:t>t</w:t>
      </w:r>
      <w:r>
        <w:rPr>
          <w:color w:val="000000"/>
          <w:spacing w:val="-1"/>
        </w:rPr>
        <w:t>a</w:t>
      </w:r>
      <w:r>
        <w:rPr>
          <w:color w:val="000000"/>
          <w:spacing w:val="1"/>
        </w:rPr>
        <w:t>r</w:t>
      </w:r>
      <w:r>
        <w:rPr>
          <w:color w:val="000000"/>
          <w:spacing w:val="-5"/>
        </w:rPr>
        <w:t>p</w:t>
      </w:r>
      <w:r>
        <w:rPr>
          <w:color w:val="000000"/>
          <w:spacing w:val="5"/>
        </w:rPr>
        <w:t>t</w:t>
      </w:r>
      <w:r>
        <w:rPr>
          <w:color w:val="000000"/>
          <w:spacing w:val="-1"/>
        </w:rPr>
        <w:t>a</w:t>
      </w:r>
      <w:r>
        <w:rPr>
          <w:color w:val="000000"/>
          <w:spacing w:val="-5"/>
        </w:rPr>
        <w:t>u</w:t>
      </w:r>
      <w:r>
        <w:rPr>
          <w:color w:val="000000"/>
          <w:spacing w:val="5"/>
        </w:rPr>
        <w:t>t</w:t>
      </w:r>
      <w:r>
        <w:rPr>
          <w:color w:val="000000"/>
          <w:spacing w:val="-4"/>
        </w:rPr>
        <w:t>i</w:t>
      </w:r>
      <w:r>
        <w:rPr>
          <w:color w:val="000000"/>
          <w:spacing w:val="-5"/>
        </w:rPr>
        <w:t>n</w:t>
      </w:r>
      <w:r>
        <w:rPr>
          <w:color w:val="000000"/>
        </w:rPr>
        <w:t xml:space="preserve">e </w:t>
      </w:r>
      <w:r>
        <w:rPr>
          <w:color w:val="000000"/>
          <w:spacing w:val="13"/>
        </w:rPr>
        <w:t xml:space="preserve"> </w:t>
      </w:r>
      <w:r>
        <w:rPr>
          <w:color w:val="000000"/>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 xml:space="preserve">a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2"/>
        </w:rPr>
        <w:t xml:space="preserve"> </w:t>
      </w:r>
      <w:r>
        <w:rPr>
          <w:color w:val="000000"/>
          <w:spacing w:val="-1"/>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w:t>
      </w:r>
      <w:r>
        <w:rPr>
          <w:color w:val="000000"/>
          <w:spacing w:val="-1"/>
        </w:rPr>
        <w:t>a</w:t>
      </w:r>
      <w:r>
        <w:rPr>
          <w:color w:val="000000"/>
        </w:rPr>
        <w:t>,</w:t>
      </w:r>
      <w:r>
        <w:rPr>
          <w:color w:val="000000"/>
          <w:spacing w:val="4"/>
        </w:rPr>
        <w:t xml:space="preserve"> </w:t>
      </w:r>
      <w:r>
        <w:rPr>
          <w:color w:val="000000"/>
          <w:spacing w:val="-1"/>
        </w:rPr>
        <w:t>a</w:t>
      </w:r>
      <w:r>
        <w:rPr>
          <w:color w:val="000000"/>
        </w:rPr>
        <w:t>p</w:t>
      </w:r>
      <w:r>
        <w:rPr>
          <w:color w:val="000000"/>
          <w:spacing w:val="-4"/>
        </w:rPr>
        <w:t>i</w:t>
      </w:r>
      <w:r>
        <w:rPr>
          <w:color w:val="000000"/>
          <w:spacing w:val="-5"/>
        </w:rPr>
        <w:t>b</w:t>
      </w:r>
      <w:r>
        <w:rPr>
          <w:color w:val="000000"/>
          <w:spacing w:val="4"/>
        </w:rPr>
        <w:t>e</w:t>
      </w:r>
      <w:r>
        <w:rPr>
          <w:color w:val="000000"/>
          <w:spacing w:val="-5"/>
        </w:rPr>
        <w:t>n</w:t>
      </w:r>
      <w:r>
        <w:rPr>
          <w:color w:val="000000"/>
        </w:rPr>
        <w:t>d</w:t>
      </w:r>
      <w:r>
        <w:rPr>
          <w:color w:val="000000"/>
          <w:spacing w:val="6"/>
        </w:rPr>
        <w:t>r</w:t>
      </w:r>
      <w:r>
        <w:rPr>
          <w:color w:val="000000"/>
          <w:spacing w:val="-4"/>
        </w:rPr>
        <w:t>i</w:t>
      </w:r>
      <w:r>
        <w:rPr>
          <w:color w:val="000000"/>
          <w:spacing w:val="5"/>
        </w:rPr>
        <w:t>n</w:t>
      </w:r>
      <w:r>
        <w:rPr>
          <w:color w:val="000000"/>
        </w:rPr>
        <w:t>i</w:t>
      </w:r>
      <w:r>
        <w:rPr>
          <w:color w:val="000000"/>
          <w:spacing w:val="-4"/>
        </w:rPr>
        <w:t>m</w:t>
      </w:r>
      <w:r>
        <w:rPr>
          <w:color w:val="000000"/>
          <w:spacing w:val="-1"/>
        </w:rPr>
        <w:t>a</w:t>
      </w:r>
      <w:r>
        <w:rPr>
          <w:color w:val="000000"/>
          <w:spacing w:val="-2"/>
        </w:rPr>
        <w:t>s</w:t>
      </w:r>
      <w:r>
        <w:rPr>
          <w:color w:val="000000"/>
        </w:rPr>
        <w:t>:</w:t>
      </w:r>
    </w:p>
    <w:p w:rsidR="004F7425" w:rsidRDefault="004F7425" w:rsidP="004F7425">
      <w:pPr>
        <w:widowControl w:val="0"/>
        <w:tabs>
          <w:tab w:val="left" w:pos="1560"/>
        </w:tabs>
        <w:autoSpaceDE w:val="0"/>
        <w:autoSpaceDN w:val="0"/>
        <w:adjustRightInd w:val="0"/>
        <w:spacing w:before="2"/>
        <w:ind w:left="1200" w:right="-20"/>
        <w:rPr>
          <w:color w:val="000000"/>
        </w:rPr>
      </w:pPr>
      <w:r>
        <w:rPr>
          <w:rFonts w:ascii="Courier New" w:hAnsi="Courier New" w:cs="Courier New"/>
          <w:color w:val="000000"/>
        </w:rPr>
        <w:t>o</w:t>
      </w:r>
      <w:r>
        <w:rPr>
          <w:rFonts w:ascii="Courier New" w:hAnsi="Courier New" w:cs="Courier New"/>
          <w:color w:val="000000"/>
        </w:rPr>
        <w:tab/>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2"/>
        </w:rPr>
        <w:t>R</w:t>
      </w:r>
      <w:r>
        <w:rPr>
          <w:color w:val="000000"/>
          <w:spacing w:val="-1"/>
        </w:rPr>
        <w:t>e</w:t>
      </w:r>
      <w:r>
        <w:rPr>
          <w:color w:val="000000"/>
          <w:spacing w:val="-2"/>
        </w:rPr>
        <w:t>s</w:t>
      </w:r>
      <w:r>
        <w:rPr>
          <w:color w:val="000000"/>
        </w:rPr>
        <w:t>publ</w:t>
      </w:r>
      <w:r>
        <w:rPr>
          <w:color w:val="000000"/>
          <w:spacing w:val="-4"/>
        </w:rPr>
        <w:t>i</w:t>
      </w:r>
      <w:r>
        <w:rPr>
          <w:color w:val="000000"/>
        </w:rPr>
        <w:t>k</w:t>
      </w:r>
      <w:r>
        <w:rPr>
          <w:color w:val="000000"/>
          <w:spacing w:val="5"/>
        </w:rPr>
        <w:t>o</w:t>
      </w:r>
      <w:r>
        <w:rPr>
          <w:color w:val="000000"/>
        </w:rPr>
        <w:t xml:space="preserve">s </w:t>
      </w:r>
      <w:r>
        <w:rPr>
          <w:color w:val="000000"/>
          <w:spacing w:val="5"/>
        </w:rPr>
        <w:t>p</w:t>
      </w:r>
      <w:r>
        <w:rPr>
          <w:color w:val="000000"/>
          <w:spacing w:val="-4"/>
        </w:rPr>
        <w:t>i</w:t>
      </w:r>
      <w:r>
        <w:rPr>
          <w:color w:val="000000"/>
        </w:rPr>
        <w:t>l</w:t>
      </w:r>
      <w:r>
        <w:rPr>
          <w:color w:val="000000"/>
          <w:spacing w:val="-4"/>
        </w:rPr>
        <w:t>i</w:t>
      </w:r>
      <w:r>
        <w:rPr>
          <w:color w:val="000000"/>
          <w:spacing w:val="-1"/>
        </w:rPr>
        <w:t>e</w:t>
      </w:r>
      <w:r>
        <w:rPr>
          <w:color w:val="000000"/>
          <w:spacing w:val="4"/>
        </w:rPr>
        <w:t>č</w:t>
      </w:r>
      <w:r>
        <w:rPr>
          <w:color w:val="000000"/>
          <w:spacing w:val="-4"/>
        </w:rPr>
        <w:t>i</w:t>
      </w:r>
      <w:r>
        <w:rPr>
          <w:color w:val="000000"/>
          <w:spacing w:val="4"/>
        </w:rPr>
        <w:t>a</w:t>
      </w:r>
      <w:r>
        <w:rPr>
          <w:color w:val="000000"/>
        </w:rPr>
        <w:t>i</w:t>
      </w:r>
      <w:r>
        <w:rPr>
          <w:color w:val="000000"/>
          <w:spacing w:val="3"/>
        </w:rPr>
        <w:t xml:space="preserve"> </w:t>
      </w:r>
      <w:r>
        <w:rPr>
          <w:color w:val="000000"/>
          <w:spacing w:val="-10"/>
        </w:rPr>
        <w:t>y</w:t>
      </w:r>
      <w:r>
        <w:rPr>
          <w:color w:val="000000"/>
          <w:spacing w:val="1"/>
        </w:rPr>
        <w:t>r</w:t>
      </w:r>
      <w:r>
        <w:rPr>
          <w:color w:val="000000"/>
        </w:rPr>
        <w:t>a</w:t>
      </w:r>
      <w:r>
        <w:rPr>
          <w:color w:val="000000"/>
          <w:spacing w:val="1"/>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4"/>
        </w:rPr>
        <w:t>a</w:t>
      </w:r>
      <w:r>
        <w:rPr>
          <w:color w:val="000000"/>
          <w:spacing w:val="-5"/>
        </w:rPr>
        <w:t>n</w:t>
      </w:r>
      <w:r>
        <w:rPr>
          <w:color w:val="000000"/>
        </w:rPr>
        <w:t>d</w:t>
      </w:r>
      <w:r>
        <w:rPr>
          <w:color w:val="000000"/>
          <w:spacing w:val="5"/>
        </w:rPr>
        <w:t>o</w:t>
      </w:r>
      <w:r>
        <w:rPr>
          <w:color w:val="000000"/>
        </w:rPr>
        <w:t>s v</w:t>
      </w:r>
      <w:r>
        <w:rPr>
          <w:color w:val="000000"/>
          <w:spacing w:val="-5"/>
        </w:rPr>
        <w:t>y</w:t>
      </w:r>
      <w:r>
        <w:rPr>
          <w:color w:val="000000"/>
        </w:rPr>
        <w:t>k</w:t>
      </w:r>
      <w:r>
        <w:rPr>
          <w:color w:val="000000"/>
          <w:spacing w:val="5"/>
        </w:rPr>
        <w:t>d</w:t>
      </w:r>
      <w:r>
        <w:rPr>
          <w:color w:val="000000"/>
          <w:spacing w:val="-10"/>
        </w:rPr>
        <w:t>y</w:t>
      </w:r>
      <w:r>
        <w:rPr>
          <w:color w:val="000000"/>
          <w:spacing w:val="5"/>
        </w:rPr>
        <w:t>t</w:t>
      </w:r>
      <w:r>
        <w:rPr>
          <w:color w:val="000000"/>
          <w:spacing w:val="9"/>
        </w:rPr>
        <w:t>o</w:t>
      </w:r>
      <w:r>
        <w:rPr>
          <w:color w:val="000000"/>
          <w:spacing w:val="-9"/>
        </w:rPr>
        <w:t>j</w:t>
      </w:r>
      <w:r>
        <w:rPr>
          <w:color w:val="000000"/>
          <w:spacing w:val="4"/>
        </w:rPr>
        <w:t>a</w:t>
      </w:r>
      <w:r>
        <w:rPr>
          <w:color w:val="000000"/>
          <w:spacing w:val="-9"/>
        </w:rPr>
        <w:t>i</w:t>
      </w:r>
      <w:r>
        <w:rPr>
          <w:color w:val="000000"/>
        </w:rPr>
        <w:t>,</w:t>
      </w:r>
      <w:r>
        <w:rPr>
          <w:color w:val="000000"/>
          <w:spacing w:val="4"/>
        </w:rPr>
        <w:t xml:space="preserve"> </w:t>
      </w:r>
      <w:r>
        <w:rPr>
          <w:color w:val="000000"/>
          <w:spacing w:val="-1"/>
        </w:rPr>
        <w:t>a</w:t>
      </w:r>
      <w:r>
        <w:rPr>
          <w:color w:val="000000"/>
          <w:spacing w:val="6"/>
        </w:rPr>
        <w:t>r</w:t>
      </w:r>
      <w:r>
        <w:rPr>
          <w:color w:val="000000"/>
          <w:spacing w:val="-5"/>
        </w:rPr>
        <w:t>b</w:t>
      </w:r>
      <w:r>
        <w:rPr>
          <w:color w:val="000000"/>
        </w:rPr>
        <w:t>a</w:t>
      </w:r>
      <w:r>
        <w:rPr>
          <w:color w:val="000000"/>
          <w:spacing w:val="1"/>
        </w:rPr>
        <w:t xml:space="preserve"> </w:t>
      </w:r>
      <w:r>
        <w:rPr>
          <w:color w:val="000000"/>
          <w:spacing w:val="-2"/>
        </w:rPr>
        <w:t>s</w:t>
      </w:r>
      <w:r>
        <w:rPr>
          <w:color w:val="000000"/>
          <w:spacing w:val="4"/>
        </w:rPr>
        <w:t>a</w:t>
      </w:r>
      <w:r>
        <w:rPr>
          <w:color w:val="000000"/>
          <w:spacing w:val="-4"/>
        </w:rPr>
        <w:t>m</w:t>
      </w:r>
      <w:r>
        <w:rPr>
          <w:color w:val="000000"/>
        </w:rPr>
        <w:t>d</w:t>
      </w:r>
      <w:r>
        <w:rPr>
          <w:color w:val="000000"/>
          <w:spacing w:val="9"/>
        </w:rPr>
        <w:t>o</w:t>
      </w:r>
      <w:r>
        <w:rPr>
          <w:color w:val="000000"/>
          <w:spacing w:val="-4"/>
        </w:rPr>
        <w:t>m</w:t>
      </w:r>
      <w:r>
        <w:rPr>
          <w:color w:val="000000"/>
        </w:rPr>
        <w:t>i</w:t>
      </w:r>
      <w:r>
        <w:rPr>
          <w:color w:val="000000"/>
          <w:spacing w:val="-7"/>
        </w:rPr>
        <w:t xml:space="preserve"> </w:t>
      </w:r>
      <w:r>
        <w:rPr>
          <w:color w:val="000000"/>
        </w:rPr>
        <w:t>ku</w:t>
      </w:r>
      <w:r>
        <w:rPr>
          <w:color w:val="000000"/>
          <w:spacing w:val="6"/>
        </w:rPr>
        <w:t>r</w:t>
      </w:r>
      <w:r>
        <w:rPr>
          <w:color w:val="000000"/>
          <w:spacing w:val="-4"/>
        </w:rPr>
        <w:t>j</w:t>
      </w:r>
      <w:r>
        <w:rPr>
          <w:color w:val="000000"/>
          <w:spacing w:val="-1"/>
        </w:rPr>
        <w:t>e</w:t>
      </w:r>
      <w:r>
        <w:rPr>
          <w:color w:val="000000"/>
          <w:spacing w:val="6"/>
        </w:rPr>
        <w:t>r</w:t>
      </w:r>
      <w:r>
        <w:rPr>
          <w:color w:val="000000"/>
          <w:spacing w:val="-4"/>
        </w:rPr>
        <w:t>i</w:t>
      </w:r>
      <w:r>
        <w:rPr>
          <w:color w:val="000000"/>
          <w:spacing w:val="4"/>
        </w:rPr>
        <w:t>a</w:t>
      </w:r>
      <w:r>
        <w:rPr>
          <w:color w:val="000000"/>
          <w:spacing w:val="-4"/>
        </w:rPr>
        <w:t>i</w:t>
      </w:r>
      <w:r>
        <w:rPr>
          <w:color w:val="000000"/>
        </w:rPr>
        <w:t>;</w:t>
      </w:r>
    </w:p>
    <w:p w:rsidR="004F7425" w:rsidRDefault="004F7425" w:rsidP="004F7425">
      <w:pPr>
        <w:widowControl w:val="0"/>
        <w:tabs>
          <w:tab w:val="left" w:pos="1560"/>
        </w:tabs>
        <w:autoSpaceDE w:val="0"/>
        <w:autoSpaceDN w:val="0"/>
        <w:adjustRightInd w:val="0"/>
        <w:spacing w:before="20"/>
        <w:ind w:left="1200" w:right="-20"/>
        <w:rPr>
          <w:color w:val="000000"/>
        </w:rPr>
      </w:pPr>
      <w:r>
        <w:rPr>
          <w:rFonts w:ascii="Courier New" w:hAnsi="Courier New" w:cs="Courier New"/>
          <w:color w:val="000000"/>
        </w:rPr>
        <w:t>o</w:t>
      </w:r>
      <w:r>
        <w:rPr>
          <w:rFonts w:ascii="Courier New" w:hAnsi="Courier New" w:cs="Courier New"/>
          <w:color w:val="000000"/>
        </w:rPr>
        <w:tab/>
      </w:r>
      <w:r>
        <w:rPr>
          <w:color w:val="000000"/>
          <w:spacing w:val="1"/>
        </w:rPr>
        <w:t>P</w:t>
      </w:r>
      <w:r>
        <w:rPr>
          <w:color w:val="000000"/>
          <w:spacing w:val="-1"/>
        </w:rPr>
        <w:t>a</w:t>
      </w:r>
      <w:r>
        <w:rPr>
          <w:color w:val="000000"/>
        </w:rPr>
        <w:t>g</w:t>
      </w:r>
      <w:r>
        <w:rPr>
          <w:color w:val="000000"/>
          <w:spacing w:val="6"/>
        </w:rPr>
        <w:t>r</w:t>
      </w:r>
      <w:r>
        <w:rPr>
          <w:color w:val="000000"/>
          <w:spacing w:val="-4"/>
        </w:rPr>
        <w:t>i</w:t>
      </w:r>
      <w:r>
        <w:rPr>
          <w:color w:val="000000"/>
          <w:spacing w:val="-5"/>
        </w:rPr>
        <w:t>n</w:t>
      </w:r>
      <w:r>
        <w:rPr>
          <w:color w:val="000000"/>
          <w:spacing w:val="5"/>
        </w:rPr>
        <w:t>d</w:t>
      </w:r>
      <w:r>
        <w:rPr>
          <w:color w:val="000000"/>
          <w:spacing w:val="-4"/>
        </w:rPr>
        <w:t>i</w:t>
      </w:r>
      <w:r>
        <w:rPr>
          <w:color w:val="000000"/>
        </w:rPr>
        <w:t>n</w:t>
      </w:r>
      <w:r>
        <w:rPr>
          <w:color w:val="000000"/>
          <w:spacing w:val="-1"/>
        </w:rPr>
        <w:t>ė</w:t>
      </w:r>
      <w:r>
        <w:rPr>
          <w:color w:val="000000"/>
        </w:rPr>
        <w:t>s</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
        </w:rPr>
        <w:t xml:space="preserve"> </w:t>
      </w:r>
      <w:r>
        <w:rPr>
          <w:color w:val="000000"/>
        </w:rPr>
        <w:t>p</w:t>
      </w:r>
      <w:r>
        <w:rPr>
          <w:color w:val="000000"/>
          <w:spacing w:val="-1"/>
        </w:rPr>
        <w:t>a</w:t>
      </w:r>
      <w:r>
        <w:rPr>
          <w:color w:val="000000"/>
          <w:spacing w:val="-2"/>
        </w:rPr>
        <w:t>s</w:t>
      </w:r>
      <w:r>
        <w:rPr>
          <w:color w:val="000000"/>
          <w:spacing w:val="5"/>
        </w:rPr>
        <w:t>k</w:t>
      </w:r>
      <w:r>
        <w:rPr>
          <w:color w:val="000000"/>
          <w:spacing w:val="-4"/>
        </w:rPr>
        <w:t>i</w:t>
      </w:r>
      <w:r>
        <w:rPr>
          <w:color w:val="000000"/>
          <w:spacing w:val="1"/>
        </w:rPr>
        <w:t>r</w:t>
      </w:r>
      <w:r>
        <w:rPr>
          <w:color w:val="000000"/>
          <w:spacing w:val="10"/>
        </w:rPr>
        <w:t>t</w:t>
      </w:r>
      <w:r>
        <w:rPr>
          <w:color w:val="000000"/>
          <w:spacing w:val="-9"/>
        </w:rPr>
        <w:t>i</w:t>
      </w:r>
      <w:r>
        <w:rPr>
          <w:color w:val="000000"/>
          <w:spacing w:val="-1"/>
        </w:rPr>
        <w:t>e</w:t>
      </w:r>
      <w:r>
        <w:rPr>
          <w:color w:val="000000"/>
        </w:rPr>
        <w:t xml:space="preserve">s </w:t>
      </w:r>
      <w:r>
        <w:rPr>
          <w:color w:val="000000"/>
          <w:spacing w:val="-2"/>
        </w:rPr>
        <w:t>š</w:t>
      </w:r>
      <w:r>
        <w:rPr>
          <w:color w:val="000000"/>
          <w:spacing w:val="4"/>
        </w:rPr>
        <w:t>a</w:t>
      </w:r>
      <w:r>
        <w:rPr>
          <w:color w:val="000000"/>
        </w:rPr>
        <w:t>l</w:t>
      </w:r>
      <w:r>
        <w:rPr>
          <w:color w:val="000000"/>
          <w:spacing w:val="-4"/>
        </w:rPr>
        <w:t>y</w:t>
      </w:r>
      <w:r>
        <w:rPr>
          <w:color w:val="000000"/>
        </w:rPr>
        <w:t>s</w:t>
      </w:r>
      <w:r>
        <w:rPr>
          <w:color w:val="000000"/>
          <w:spacing w:val="5"/>
        </w:rPr>
        <w:t xml:space="preserve"> </w:t>
      </w:r>
      <w:r>
        <w:rPr>
          <w:color w:val="000000"/>
        </w:rPr>
        <w:t>–</w:t>
      </w:r>
      <w:r>
        <w:rPr>
          <w:color w:val="000000"/>
          <w:spacing w:val="2"/>
        </w:rPr>
        <w:t xml:space="preserve"> </w:t>
      </w:r>
      <w:r>
        <w:rPr>
          <w:color w:val="000000"/>
          <w:spacing w:val="1"/>
        </w:rPr>
        <w:t>S</w:t>
      </w:r>
      <w:r>
        <w:rPr>
          <w:color w:val="000000"/>
        </w:rPr>
        <w:t>k</w:t>
      </w:r>
      <w:r>
        <w:rPr>
          <w:color w:val="000000"/>
          <w:spacing w:val="4"/>
        </w:rPr>
        <w:t>a</w:t>
      </w:r>
      <w:r>
        <w:rPr>
          <w:color w:val="000000"/>
          <w:spacing w:val="-5"/>
        </w:rPr>
        <w:t>n</w:t>
      </w:r>
      <w:r>
        <w:rPr>
          <w:color w:val="000000"/>
          <w:spacing w:val="5"/>
        </w:rPr>
        <w:t>d</w:t>
      </w:r>
      <w:r>
        <w:rPr>
          <w:color w:val="000000"/>
          <w:spacing w:val="-4"/>
        </w:rPr>
        <w:t>i</w:t>
      </w:r>
      <w:r>
        <w:rPr>
          <w:color w:val="000000"/>
        </w:rPr>
        <w:t>n</w:t>
      </w:r>
      <w:r>
        <w:rPr>
          <w:color w:val="000000"/>
          <w:spacing w:val="4"/>
        </w:rPr>
        <w:t>a</w:t>
      </w:r>
      <w:r>
        <w:rPr>
          <w:color w:val="000000"/>
        </w:rPr>
        <w:t>vi</w:t>
      </w:r>
      <w:r>
        <w:rPr>
          <w:color w:val="000000"/>
          <w:spacing w:val="-4"/>
        </w:rPr>
        <w:t>j</w:t>
      </w:r>
      <w:r>
        <w:rPr>
          <w:color w:val="000000"/>
          <w:spacing w:val="-1"/>
        </w:rPr>
        <w:t>a</w:t>
      </w:r>
      <w:r>
        <w:rPr>
          <w:color w:val="000000"/>
        </w:rPr>
        <w:t>,</w:t>
      </w:r>
      <w:r>
        <w:rPr>
          <w:color w:val="000000"/>
          <w:spacing w:val="4"/>
        </w:rPr>
        <w:t xml:space="preserve"> </w:t>
      </w:r>
      <w:r>
        <w:rPr>
          <w:color w:val="000000"/>
          <w:spacing w:val="-2"/>
        </w:rPr>
        <w:t>R</w:t>
      </w:r>
      <w:r>
        <w:rPr>
          <w:color w:val="000000"/>
        </w:rPr>
        <w:t>u</w:t>
      </w:r>
      <w:r>
        <w:rPr>
          <w:color w:val="000000"/>
          <w:spacing w:val="2"/>
        </w:rPr>
        <w:t>s</w:t>
      </w:r>
      <w:r>
        <w:rPr>
          <w:color w:val="000000"/>
        </w:rPr>
        <w:t>i</w:t>
      </w:r>
      <w:r>
        <w:rPr>
          <w:color w:val="000000"/>
          <w:spacing w:val="-4"/>
        </w:rPr>
        <w:t>j</w:t>
      </w:r>
      <w:r>
        <w:rPr>
          <w:color w:val="000000"/>
          <w:spacing w:val="-1"/>
        </w:rPr>
        <w:t>a</w:t>
      </w:r>
      <w:r>
        <w:rPr>
          <w:color w:val="000000"/>
        </w:rPr>
        <w:t>,</w:t>
      </w:r>
      <w:r>
        <w:rPr>
          <w:color w:val="000000"/>
          <w:spacing w:val="4"/>
        </w:rPr>
        <w:t xml:space="preserve"> D</w:t>
      </w:r>
      <w:r>
        <w:rPr>
          <w:color w:val="000000"/>
          <w:spacing w:val="-9"/>
        </w:rPr>
        <w:t>i</w:t>
      </w:r>
      <w:r>
        <w:rPr>
          <w:color w:val="000000"/>
        </w:rPr>
        <w:t>d</w:t>
      </w:r>
      <w:r>
        <w:rPr>
          <w:color w:val="000000"/>
          <w:spacing w:val="4"/>
        </w:rPr>
        <w:t>ž</w:t>
      </w:r>
      <w:r>
        <w:rPr>
          <w:color w:val="000000"/>
          <w:spacing w:val="-9"/>
        </w:rPr>
        <w:t>i</w:t>
      </w:r>
      <w:r>
        <w:rPr>
          <w:color w:val="000000"/>
          <w:spacing w:val="9"/>
        </w:rPr>
        <w:t>o</w:t>
      </w:r>
      <w:r>
        <w:rPr>
          <w:color w:val="000000"/>
        </w:rPr>
        <w:t>ji</w:t>
      </w:r>
      <w:r>
        <w:rPr>
          <w:color w:val="000000"/>
          <w:spacing w:val="-6"/>
        </w:rPr>
        <w:t xml:space="preserve"> </w:t>
      </w:r>
      <w:r>
        <w:rPr>
          <w:color w:val="000000"/>
          <w:spacing w:val="-2"/>
        </w:rPr>
        <w:t>B</w:t>
      </w:r>
      <w:r>
        <w:rPr>
          <w:color w:val="000000"/>
          <w:spacing w:val="6"/>
        </w:rPr>
        <w:t>r</w:t>
      </w:r>
      <w:r>
        <w:rPr>
          <w:color w:val="000000"/>
          <w:spacing w:val="-9"/>
        </w:rPr>
        <w:t>i</w:t>
      </w:r>
      <w:r>
        <w:rPr>
          <w:color w:val="000000"/>
          <w:spacing w:val="5"/>
        </w:rPr>
        <w:t>t</w:t>
      </w:r>
      <w:r>
        <w:rPr>
          <w:color w:val="000000"/>
          <w:spacing w:val="4"/>
        </w:rPr>
        <w:t>a</w:t>
      </w:r>
      <w:r>
        <w:rPr>
          <w:color w:val="000000"/>
        </w:rPr>
        <w:t>ni</w:t>
      </w:r>
      <w:r>
        <w:rPr>
          <w:color w:val="000000"/>
          <w:spacing w:val="-4"/>
        </w:rPr>
        <w:t>j</w:t>
      </w:r>
      <w:r>
        <w:rPr>
          <w:color w:val="000000"/>
          <w:spacing w:val="4"/>
        </w:rPr>
        <w:t>a</w:t>
      </w:r>
      <w:r>
        <w:rPr>
          <w:color w:val="000000"/>
        </w:rPr>
        <w:t>;</w:t>
      </w:r>
    </w:p>
    <w:p w:rsidR="004F7425" w:rsidRDefault="004F7425" w:rsidP="004F7425">
      <w:pPr>
        <w:widowControl w:val="0"/>
        <w:tabs>
          <w:tab w:val="left" w:pos="1560"/>
        </w:tabs>
        <w:autoSpaceDE w:val="0"/>
        <w:autoSpaceDN w:val="0"/>
        <w:adjustRightInd w:val="0"/>
        <w:spacing w:before="20"/>
        <w:ind w:left="1200" w:right="-20"/>
        <w:rPr>
          <w:color w:val="000000"/>
        </w:rPr>
      </w:pPr>
      <w:r>
        <w:rPr>
          <w:rFonts w:ascii="Courier New" w:hAnsi="Courier New" w:cs="Courier New"/>
          <w:color w:val="000000"/>
        </w:rPr>
        <w:t>o</w:t>
      </w:r>
      <w:r>
        <w:rPr>
          <w:rFonts w:ascii="Courier New" w:hAnsi="Courier New" w:cs="Courier New"/>
          <w:color w:val="000000"/>
        </w:rPr>
        <w:tab/>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50"/>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 xml:space="preserve">kų </w:t>
      </w:r>
      <w:r>
        <w:rPr>
          <w:color w:val="000000"/>
          <w:spacing w:val="48"/>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4"/>
        </w:rPr>
        <w:t>a</w:t>
      </w:r>
      <w:r>
        <w:rPr>
          <w:color w:val="000000"/>
          <w:spacing w:val="-5"/>
        </w:rPr>
        <w:t>n</w:t>
      </w:r>
      <w:r>
        <w:rPr>
          <w:color w:val="000000"/>
        </w:rPr>
        <w:t xml:space="preserve">da </w:t>
      </w:r>
      <w:r>
        <w:rPr>
          <w:color w:val="000000"/>
          <w:spacing w:val="52"/>
        </w:rPr>
        <w:t xml:space="preserve"> </w:t>
      </w:r>
      <w:r>
        <w:rPr>
          <w:color w:val="000000"/>
          <w:spacing w:val="-5"/>
        </w:rPr>
        <w:t>b</w:t>
      </w:r>
      <w:r>
        <w:rPr>
          <w:color w:val="000000"/>
          <w:spacing w:val="5"/>
        </w:rPr>
        <w:t>u</w:t>
      </w:r>
      <w:r>
        <w:rPr>
          <w:color w:val="000000"/>
          <w:spacing w:val="-5"/>
        </w:rPr>
        <w:t>v</w:t>
      </w:r>
      <w:r>
        <w:rPr>
          <w:color w:val="000000"/>
        </w:rPr>
        <w:t xml:space="preserve">o </w:t>
      </w:r>
      <w:r>
        <w:rPr>
          <w:color w:val="000000"/>
          <w:spacing w:val="52"/>
        </w:rPr>
        <w:t xml:space="preserve"> </w:t>
      </w:r>
      <w:r>
        <w:rPr>
          <w:color w:val="000000"/>
        </w:rPr>
        <w:t>g</w:t>
      </w:r>
      <w:r>
        <w:rPr>
          <w:color w:val="000000"/>
          <w:spacing w:val="-1"/>
        </w:rPr>
        <w:t>a</w:t>
      </w:r>
      <w:r>
        <w:rPr>
          <w:color w:val="000000"/>
          <w:spacing w:val="-5"/>
        </w:rPr>
        <w:t>b</w:t>
      </w:r>
      <w:r>
        <w:rPr>
          <w:color w:val="000000"/>
          <w:spacing w:val="4"/>
        </w:rPr>
        <w:t>e</w:t>
      </w:r>
      <w:r>
        <w:rPr>
          <w:color w:val="000000"/>
          <w:spacing w:val="-5"/>
        </w:rPr>
        <w:t>n</w:t>
      </w:r>
      <w:r>
        <w:rPr>
          <w:color w:val="000000"/>
          <w:spacing w:val="4"/>
        </w:rPr>
        <w:t>a</w:t>
      </w:r>
      <w:r>
        <w:rPr>
          <w:color w:val="000000"/>
          <w:spacing w:val="-4"/>
        </w:rPr>
        <w:t>m</w:t>
      </w:r>
      <w:r>
        <w:rPr>
          <w:color w:val="000000"/>
        </w:rPr>
        <w:t xml:space="preserve">a </w:t>
      </w:r>
      <w:r>
        <w:rPr>
          <w:color w:val="000000"/>
          <w:spacing w:val="47"/>
        </w:rPr>
        <w:t xml:space="preserve"> </w:t>
      </w:r>
      <w:r>
        <w:rPr>
          <w:color w:val="000000"/>
          <w:spacing w:val="-1"/>
        </w:rPr>
        <w:t>a</w:t>
      </w:r>
      <w:r>
        <w:rPr>
          <w:color w:val="000000"/>
        </w:rPr>
        <w:t>u</w:t>
      </w:r>
      <w:r>
        <w:rPr>
          <w:color w:val="000000"/>
          <w:spacing w:val="5"/>
        </w:rPr>
        <w:t>to</w:t>
      </w:r>
      <w:r>
        <w:rPr>
          <w:color w:val="000000"/>
          <w:spacing w:val="-9"/>
        </w:rPr>
        <w:t>m</w:t>
      </w:r>
      <w:r>
        <w:rPr>
          <w:color w:val="000000"/>
          <w:spacing w:val="5"/>
        </w:rPr>
        <w:t>o</w:t>
      </w:r>
      <w:r>
        <w:rPr>
          <w:color w:val="000000"/>
        </w:rPr>
        <w:t>bi</w:t>
      </w:r>
      <w:r>
        <w:rPr>
          <w:color w:val="000000"/>
          <w:spacing w:val="1"/>
        </w:rPr>
        <w:t>l</w:t>
      </w:r>
      <w:r>
        <w:rPr>
          <w:color w:val="000000"/>
          <w:spacing w:val="-4"/>
        </w:rPr>
        <w:t>i</w:t>
      </w:r>
      <w:r>
        <w:rPr>
          <w:color w:val="000000"/>
          <w:spacing w:val="4"/>
        </w:rPr>
        <w:t>a</w:t>
      </w:r>
      <w:r>
        <w:rPr>
          <w:color w:val="000000"/>
          <w:spacing w:val="-4"/>
        </w:rPr>
        <w:t>i</w:t>
      </w:r>
      <w:r>
        <w:rPr>
          <w:color w:val="000000"/>
        </w:rPr>
        <w:t xml:space="preserve">s </w:t>
      </w:r>
      <w:r>
        <w:rPr>
          <w:color w:val="000000"/>
          <w:spacing w:val="50"/>
        </w:rPr>
        <w:t xml:space="preserve"> </w:t>
      </w:r>
      <w:r>
        <w:rPr>
          <w:color w:val="000000"/>
          <w:spacing w:val="-4"/>
        </w:rPr>
        <w:t>i</w:t>
      </w:r>
      <w:r>
        <w:rPr>
          <w:color w:val="000000"/>
        </w:rPr>
        <w:t xml:space="preserve">r </w:t>
      </w:r>
      <w:r>
        <w:rPr>
          <w:color w:val="000000"/>
          <w:spacing w:val="54"/>
        </w:rPr>
        <w:t xml:space="preserve"> </w:t>
      </w:r>
      <w:r>
        <w:rPr>
          <w:color w:val="000000"/>
          <w:spacing w:val="-4"/>
        </w:rPr>
        <w:t>l</w:t>
      </w:r>
      <w:r>
        <w:rPr>
          <w:color w:val="000000"/>
          <w:spacing w:val="-1"/>
        </w:rPr>
        <w:t>ė</w:t>
      </w:r>
      <w:r>
        <w:rPr>
          <w:color w:val="000000"/>
        </w:rPr>
        <w:t>k</w:t>
      </w:r>
      <w:r>
        <w:rPr>
          <w:color w:val="000000"/>
          <w:spacing w:val="5"/>
        </w:rPr>
        <w:t>t</w:t>
      </w:r>
      <w:r>
        <w:rPr>
          <w:color w:val="000000"/>
        </w:rPr>
        <w:t>u</w:t>
      </w:r>
      <w:r>
        <w:rPr>
          <w:color w:val="000000"/>
          <w:spacing w:val="-5"/>
        </w:rPr>
        <w:t>v</w:t>
      </w:r>
      <w:r>
        <w:rPr>
          <w:color w:val="000000"/>
          <w:spacing w:val="4"/>
        </w:rPr>
        <w:t>a</w:t>
      </w:r>
      <w:r>
        <w:rPr>
          <w:color w:val="000000"/>
        </w:rPr>
        <w:t>is</w:t>
      </w:r>
    </w:p>
    <w:p w:rsidR="004F7425" w:rsidRDefault="004F7425" w:rsidP="004F7425">
      <w:pPr>
        <w:widowControl w:val="0"/>
        <w:autoSpaceDE w:val="0"/>
        <w:autoSpaceDN w:val="0"/>
        <w:adjustRightInd w:val="0"/>
        <w:spacing w:before="20"/>
        <w:ind w:left="120" w:right="-20"/>
        <w:rPr>
          <w:color w:val="000000"/>
        </w:rPr>
      </w:pPr>
      <w:r>
        <w:rPr>
          <w:color w:val="000000"/>
          <w:spacing w:val="6"/>
        </w:rPr>
        <w:t>(</w:t>
      </w:r>
      <w:r>
        <w:rPr>
          <w:color w:val="000000"/>
          <w:spacing w:val="-4"/>
        </w:rPr>
        <w:t>l</w:t>
      </w:r>
      <w:r>
        <w:rPr>
          <w:color w:val="000000"/>
          <w:spacing w:val="-5"/>
        </w:rPr>
        <w:t>y</w:t>
      </w:r>
      <w:r>
        <w:rPr>
          <w:color w:val="000000"/>
          <w:spacing w:val="5"/>
        </w:rPr>
        <w:t>g</w:t>
      </w:r>
      <w:r>
        <w:rPr>
          <w:color w:val="000000"/>
          <w:spacing w:val="-4"/>
        </w:rPr>
        <w:t>i</w:t>
      </w:r>
      <w:r>
        <w:rPr>
          <w:color w:val="000000"/>
        </w:rPr>
        <w:t>n</w:t>
      </w:r>
      <w:r>
        <w:rPr>
          <w:color w:val="000000"/>
          <w:spacing w:val="4"/>
        </w:rPr>
        <w:t>a</w:t>
      </w:r>
      <w:r>
        <w:rPr>
          <w:color w:val="000000"/>
          <w:spacing w:val="-5"/>
        </w:rPr>
        <w:t>n</w:t>
      </w:r>
      <w:r>
        <w:rPr>
          <w:color w:val="000000"/>
        </w:rPr>
        <w:t>t</w:t>
      </w:r>
      <w:r>
        <w:rPr>
          <w:color w:val="000000"/>
          <w:spacing w:val="7"/>
        </w:rPr>
        <w:t xml:space="preserve"> </w:t>
      </w:r>
      <w:r>
        <w:rPr>
          <w:color w:val="000000"/>
          <w:spacing w:val="-2"/>
        </w:rPr>
        <w:t>s</w:t>
      </w:r>
      <w:r>
        <w:rPr>
          <w:color w:val="000000"/>
        </w:rPr>
        <w:t>u</w:t>
      </w:r>
      <w:r>
        <w:rPr>
          <w:color w:val="000000"/>
          <w:spacing w:val="2"/>
        </w:rPr>
        <w:t xml:space="preserve"> </w:t>
      </w:r>
      <w:r>
        <w:rPr>
          <w:color w:val="000000"/>
          <w:spacing w:val="-1"/>
        </w:rPr>
        <w:t>a</w:t>
      </w:r>
      <w:r>
        <w:rPr>
          <w:color w:val="000000"/>
          <w:spacing w:val="-5"/>
        </w:rPr>
        <w:t>n</w:t>
      </w:r>
      <w:r>
        <w:rPr>
          <w:color w:val="000000"/>
        </w:rPr>
        <w:t>k</w:t>
      </w:r>
      <w:r>
        <w:rPr>
          <w:color w:val="000000"/>
          <w:spacing w:val="-2"/>
        </w:rPr>
        <w:t>s</w:t>
      </w:r>
      <w:r>
        <w:rPr>
          <w:color w:val="000000"/>
          <w:spacing w:val="5"/>
        </w:rPr>
        <w:t>t</w:t>
      </w:r>
      <w:r>
        <w:rPr>
          <w:color w:val="000000"/>
          <w:spacing w:val="-1"/>
        </w:rPr>
        <w:t>e</w:t>
      </w:r>
      <w:r>
        <w:rPr>
          <w:color w:val="000000"/>
          <w:spacing w:val="-2"/>
        </w:rPr>
        <w:t>s</w:t>
      </w:r>
      <w:r>
        <w:rPr>
          <w:color w:val="000000"/>
        </w:rPr>
        <w:t>n</w:t>
      </w:r>
      <w:r>
        <w:rPr>
          <w:color w:val="000000"/>
          <w:spacing w:val="-4"/>
        </w:rPr>
        <w:t>i</w:t>
      </w:r>
      <w:r>
        <w:rPr>
          <w:color w:val="000000"/>
          <w:spacing w:val="4"/>
        </w:rPr>
        <w:t>a</w:t>
      </w:r>
      <w:r>
        <w:rPr>
          <w:color w:val="000000"/>
          <w:spacing w:val="-4"/>
        </w:rPr>
        <w:t>i</w:t>
      </w:r>
      <w:r>
        <w:rPr>
          <w:color w:val="000000"/>
        </w:rPr>
        <w:t>s</w:t>
      </w:r>
      <w:r>
        <w:rPr>
          <w:color w:val="000000"/>
          <w:spacing w:val="5"/>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4"/>
        </w:rPr>
        <w:t>i</w:t>
      </w:r>
      <w:r>
        <w:rPr>
          <w:color w:val="000000"/>
          <w:spacing w:val="-2"/>
        </w:rPr>
        <w:t>s</w:t>
      </w:r>
      <w:r>
        <w:rPr>
          <w:color w:val="000000"/>
        </w:rPr>
        <w:t>,</w:t>
      </w:r>
      <w:r>
        <w:rPr>
          <w:color w:val="000000"/>
          <w:spacing w:val="4"/>
        </w:rPr>
        <w:t xml:space="preserve"> </w:t>
      </w:r>
      <w:r>
        <w:rPr>
          <w:color w:val="000000"/>
          <w:spacing w:val="2"/>
        </w:rPr>
        <w:t>s</w:t>
      </w:r>
      <w:r>
        <w:rPr>
          <w:color w:val="000000"/>
          <w:spacing w:val="-9"/>
        </w:rPr>
        <w:t>i</w:t>
      </w:r>
      <w:r>
        <w:rPr>
          <w:color w:val="000000"/>
          <w:spacing w:val="5"/>
        </w:rPr>
        <w:t>t</w:t>
      </w:r>
      <w:r>
        <w:rPr>
          <w:color w:val="000000"/>
        </w:rPr>
        <w:t>u</w:t>
      </w:r>
      <w:r>
        <w:rPr>
          <w:color w:val="000000"/>
          <w:spacing w:val="-1"/>
        </w:rPr>
        <w:t>a</w:t>
      </w:r>
      <w:r>
        <w:rPr>
          <w:color w:val="000000"/>
          <w:spacing w:val="4"/>
        </w:rPr>
        <w:t>c</w:t>
      </w:r>
      <w:r>
        <w:rPr>
          <w:color w:val="000000"/>
          <w:spacing w:val="-4"/>
        </w:rPr>
        <w:t>ij</w:t>
      </w:r>
      <w:r>
        <w:rPr>
          <w:color w:val="000000"/>
        </w:rPr>
        <w:t>a</w:t>
      </w:r>
      <w:r>
        <w:rPr>
          <w:color w:val="000000"/>
          <w:spacing w:val="6"/>
        </w:rPr>
        <w:t xml:space="preserve"> </w:t>
      </w:r>
      <w:r>
        <w:rPr>
          <w:color w:val="000000"/>
          <w:spacing w:val="-5"/>
        </w:rPr>
        <w:t>n</w:t>
      </w:r>
      <w:r>
        <w:rPr>
          <w:color w:val="000000"/>
          <w:spacing w:val="-1"/>
        </w:rPr>
        <w:t>e</w:t>
      </w:r>
      <w:r>
        <w:rPr>
          <w:color w:val="000000"/>
        </w:rPr>
        <w:t>p</w:t>
      </w:r>
      <w:r>
        <w:rPr>
          <w:color w:val="000000"/>
          <w:spacing w:val="-1"/>
        </w:rPr>
        <w:t>a</w:t>
      </w:r>
      <w:r>
        <w:rPr>
          <w:color w:val="000000"/>
          <w:spacing w:val="5"/>
        </w:rPr>
        <w:t>k</w:t>
      </w:r>
      <w:r>
        <w:rPr>
          <w:color w:val="000000"/>
          <w:spacing w:val="-9"/>
        </w:rPr>
        <w:t>i</w:t>
      </w:r>
      <w:r>
        <w:rPr>
          <w:color w:val="000000"/>
          <w:spacing w:val="5"/>
        </w:rPr>
        <w:t>to</w:t>
      </w:r>
      <w:r>
        <w:rPr>
          <w:color w:val="000000"/>
          <w:spacing w:val="1"/>
        </w:rPr>
        <w:t>)</w:t>
      </w:r>
      <w:r>
        <w:rPr>
          <w:color w:val="000000"/>
        </w:rPr>
        <w:t>;</w:t>
      </w:r>
    </w:p>
    <w:p w:rsidR="004F7425" w:rsidRDefault="004F7425" w:rsidP="004F7425">
      <w:pPr>
        <w:widowControl w:val="0"/>
        <w:tabs>
          <w:tab w:val="left" w:pos="1560"/>
        </w:tabs>
        <w:autoSpaceDE w:val="0"/>
        <w:autoSpaceDN w:val="0"/>
        <w:adjustRightInd w:val="0"/>
        <w:spacing w:before="41"/>
        <w:ind w:left="1200" w:right="-20"/>
        <w:rPr>
          <w:color w:val="000000"/>
        </w:rPr>
      </w:pPr>
      <w:r>
        <w:rPr>
          <w:rFonts w:ascii="Courier New" w:hAnsi="Courier New" w:cs="Courier New"/>
          <w:color w:val="000000"/>
        </w:rPr>
        <w:t>o</w:t>
      </w:r>
      <w:r>
        <w:rPr>
          <w:rFonts w:ascii="Courier New" w:hAnsi="Courier New" w:cs="Courier New"/>
          <w:color w:val="000000"/>
        </w:rPr>
        <w:tab/>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rPr>
        <w:t>ų</w:t>
      </w:r>
      <w:r>
        <w:rPr>
          <w:color w:val="000000"/>
          <w:spacing w:val="2"/>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spacing w:val="-2"/>
        </w:rPr>
        <w:t>s</w:t>
      </w:r>
      <w:r>
        <w:rPr>
          <w:color w:val="000000"/>
        </w:rPr>
        <w:t>u</w:t>
      </w:r>
      <w:r>
        <w:rPr>
          <w:color w:val="000000"/>
          <w:spacing w:val="2"/>
        </w:rPr>
        <w:t>s</w:t>
      </w:r>
      <w:r>
        <w:rPr>
          <w:color w:val="000000"/>
          <w:spacing w:val="-4"/>
        </w:rPr>
        <w:t>ij</w:t>
      </w:r>
      <w:r>
        <w:rPr>
          <w:color w:val="000000"/>
        </w:rPr>
        <w:t>ę</w:t>
      </w:r>
      <w:r>
        <w:rPr>
          <w:color w:val="000000"/>
          <w:spacing w:val="1"/>
        </w:rPr>
        <w:t xml:space="preserve"> </w:t>
      </w:r>
      <w:r>
        <w:rPr>
          <w:color w:val="000000"/>
          <w:spacing w:val="-2"/>
        </w:rPr>
        <w:t>s</w:t>
      </w:r>
      <w:r>
        <w:rPr>
          <w:color w:val="000000"/>
        </w:rPr>
        <w:t>u</w:t>
      </w:r>
      <w:r>
        <w:rPr>
          <w:color w:val="000000"/>
          <w:spacing w:val="2"/>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7"/>
        </w:rPr>
        <w:t xml:space="preserve"> </w:t>
      </w:r>
      <w:r>
        <w:rPr>
          <w:color w:val="000000"/>
          <w:spacing w:val="-9"/>
        </w:rPr>
        <w:t>i</w:t>
      </w:r>
      <w:r>
        <w:rPr>
          <w:color w:val="000000"/>
        </w:rPr>
        <w:t>r</w:t>
      </w:r>
      <w:r>
        <w:rPr>
          <w:color w:val="000000"/>
          <w:spacing w:val="4"/>
        </w:rPr>
        <w:t xml:space="preserve"> </w:t>
      </w:r>
      <w:r>
        <w:rPr>
          <w:color w:val="000000"/>
        </w:rPr>
        <w:t>k</w:t>
      </w:r>
      <w:r>
        <w:rPr>
          <w:color w:val="000000"/>
          <w:spacing w:val="-1"/>
        </w:rPr>
        <w:t>a</w:t>
      </w:r>
      <w:r>
        <w:rPr>
          <w:color w:val="000000"/>
          <w:spacing w:val="-5"/>
        </w:rPr>
        <w:t>n</w:t>
      </w:r>
      <w:r>
        <w:rPr>
          <w:color w:val="000000"/>
          <w:spacing w:val="-1"/>
        </w:rPr>
        <w:t>a</w:t>
      </w:r>
      <w:r>
        <w:rPr>
          <w:color w:val="000000"/>
          <w:spacing w:val="5"/>
        </w:rPr>
        <w:t>p</w:t>
      </w:r>
      <w:r>
        <w:rPr>
          <w:color w:val="000000"/>
          <w:spacing w:val="-4"/>
        </w:rPr>
        <w:t>i</w:t>
      </w:r>
      <w:r>
        <w:rPr>
          <w:color w:val="000000"/>
        </w:rPr>
        <w:t>ų</w:t>
      </w:r>
      <w:r>
        <w:rPr>
          <w:color w:val="000000"/>
          <w:spacing w:val="2"/>
        </w:rPr>
        <w:t xml:space="preserve"> </w:t>
      </w:r>
      <w:r>
        <w:rPr>
          <w:color w:val="000000"/>
        </w:rPr>
        <w:t>g</w:t>
      </w:r>
      <w:r>
        <w:rPr>
          <w:color w:val="000000"/>
          <w:spacing w:val="4"/>
        </w:rPr>
        <w:t>a</w:t>
      </w:r>
      <w:r>
        <w:rPr>
          <w:color w:val="000000"/>
          <w:spacing w:val="-5"/>
        </w:rPr>
        <w:t>b</w:t>
      </w:r>
      <w:r>
        <w:rPr>
          <w:color w:val="000000"/>
          <w:spacing w:val="4"/>
        </w:rPr>
        <w:t>e</w:t>
      </w:r>
      <w:r>
        <w:rPr>
          <w:color w:val="000000"/>
        </w:rPr>
        <w:t>ni</w:t>
      </w:r>
      <w:r>
        <w:rPr>
          <w:color w:val="000000"/>
          <w:spacing w:val="-4"/>
        </w:rPr>
        <w:t>m</w:t>
      </w:r>
      <w:r>
        <w:rPr>
          <w:color w:val="000000"/>
          <w:spacing w:val="5"/>
        </w:rPr>
        <w:t>u</w:t>
      </w:r>
      <w:r>
        <w:rPr>
          <w:color w:val="000000"/>
        </w:rPr>
        <w:t>;</w:t>
      </w:r>
    </w:p>
    <w:p w:rsidR="004F7425" w:rsidRDefault="004F7425" w:rsidP="004F7425">
      <w:pPr>
        <w:widowControl w:val="0"/>
        <w:tabs>
          <w:tab w:val="left" w:pos="1560"/>
        </w:tabs>
        <w:autoSpaceDE w:val="0"/>
        <w:autoSpaceDN w:val="0"/>
        <w:adjustRightInd w:val="0"/>
        <w:spacing w:before="21"/>
        <w:ind w:left="1200" w:right="-20"/>
        <w:rPr>
          <w:color w:val="000000"/>
        </w:rPr>
      </w:pPr>
      <w:r>
        <w:rPr>
          <w:rFonts w:ascii="Courier New" w:hAnsi="Courier New" w:cs="Courier New"/>
          <w:color w:val="000000"/>
        </w:rPr>
        <w:t>o</w:t>
      </w:r>
      <w:r>
        <w:rPr>
          <w:rFonts w:ascii="Courier New" w:hAnsi="Courier New" w:cs="Courier New"/>
          <w:color w:val="000000"/>
        </w:rPr>
        <w:tab/>
      </w:r>
      <w:r>
        <w:rPr>
          <w:color w:val="000000"/>
          <w:spacing w:val="-5"/>
        </w:rPr>
        <w:t>K</w:t>
      </w:r>
      <w:r>
        <w:rPr>
          <w:color w:val="000000"/>
          <w:spacing w:val="-1"/>
        </w:rPr>
        <w:t>e</w:t>
      </w:r>
      <w:r>
        <w:rPr>
          <w:color w:val="000000"/>
          <w:spacing w:val="5"/>
        </w:rPr>
        <w:t>t</w:t>
      </w:r>
      <w:r>
        <w:rPr>
          <w:color w:val="000000"/>
        </w:rPr>
        <w:t>v</w:t>
      </w:r>
      <w:r>
        <w:rPr>
          <w:color w:val="000000"/>
          <w:spacing w:val="-4"/>
        </w:rPr>
        <w:t>i</w:t>
      </w:r>
      <w:r>
        <w:rPr>
          <w:color w:val="000000"/>
          <w:spacing w:val="1"/>
        </w:rPr>
        <w:t>r</w:t>
      </w:r>
      <w:r>
        <w:rPr>
          <w:color w:val="000000"/>
          <w:spacing w:val="5"/>
        </w:rPr>
        <w:t>t</w:t>
      </w:r>
      <w:r>
        <w:rPr>
          <w:color w:val="000000"/>
          <w:spacing w:val="-1"/>
        </w:rPr>
        <w:t>a</w:t>
      </w:r>
      <w:r>
        <w:rPr>
          <w:color w:val="000000"/>
        </w:rPr>
        <w:t>d</w:t>
      </w:r>
      <w:r>
        <w:rPr>
          <w:color w:val="000000"/>
          <w:spacing w:val="4"/>
        </w:rPr>
        <w:t>a</w:t>
      </w:r>
      <w:r>
        <w:rPr>
          <w:color w:val="000000"/>
          <w:spacing w:val="-4"/>
        </w:rPr>
        <w:t>li</w:t>
      </w:r>
      <w:r>
        <w:rPr>
          <w:color w:val="000000"/>
        </w:rPr>
        <w:t>s</w:t>
      </w:r>
      <w:r>
        <w:rPr>
          <w:color w:val="000000"/>
          <w:spacing w:val="5"/>
        </w:rPr>
        <w:t xml:space="preserve"> </w:t>
      </w:r>
      <w:r>
        <w:rPr>
          <w:color w:val="000000"/>
        </w:rPr>
        <w:t>v</w:t>
      </w:r>
      <w:r>
        <w:rPr>
          <w:color w:val="000000"/>
          <w:spacing w:val="-4"/>
        </w:rPr>
        <w:t>i</w:t>
      </w:r>
      <w:r>
        <w:rPr>
          <w:color w:val="000000"/>
          <w:spacing w:val="-2"/>
        </w:rPr>
        <w:t>s</w:t>
      </w:r>
      <w:r>
        <w:rPr>
          <w:color w:val="000000"/>
        </w:rPr>
        <w:t>ų</w:t>
      </w:r>
      <w:r>
        <w:rPr>
          <w:color w:val="000000"/>
          <w:spacing w:val="2"/>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rPr>
        <w:t>ų</w:t>
      </w:r>
      <w:r>
        <w:rPr>
          <w:color w:val="000000"/>
          <w:spacing w:val="2"/>
        </w:rPr>
        <w:t xml:space="preserve"> </w:t>
      </w:r>
      <w:r>
        <w:rPr>
          <w:color w:val="000000"/>
          <w:spacing w:val="-1"/>
        </w:rPr>
        <w:t>a</w:t>
      </w:r>
      <w:r>
        <w:rPr>
          <w:color w:val="000000"/>
          <w:spacing w:val="2"/>
        </w:rPr>
        <w:t>s</w:t>
      </w:r>
      <w:r>
        <w:rPr>
          <w:color w:val="000000"/>
          <w:spacing w:val="-4"/>
        </w:rPr>
        <w:t>m</w:t>
      </w:r>
      <w:r>
        <w:rPr>
          <w:color w:val="000000"/>
          <w:spacing w:val="4"/>
        </w:rPr>
        <w:t>e</w:t>
      </w:r>
      <w:r>
        <w:rPr>
          <w:color w:val="000000"/>
          <w:spacing w:val="-5"/>
        </w:rPr>
        <w:t>n</w:t>
      </w:r>
      <w:r>
        <w:rPr>
          <w:color w:val="000000"/>
        </w:rPr>
        <w:t>ų</w:t>
      </w:r>
      <w:r>
        <w:rPr>
          <w:color w:val="000000"/>
          <w:spacing w:val="7"/>
        </w:rPr>
        <w:t xml:space="preserve"> </w:t>
      </w:r>
      <w:r>
        <w:rPr>
          <w:color w:val="000000"/>
          <w:spacing w:val="-10"/>
        </w:rPr>
        <w:t>y</w:t>
      </w:r>
      <w:r>
        <w:rPr>
          <w:color w:val="000000"/>
          <w:spacing w:val="1"/>
        </w:rPr>
        <w:t>r</w:t>
      </w:r>
      <w:r>
        <w:rPr>
          <w:color w:val="000000"/>
        </w:rPr>
        <w:t>a</w:t>
      </w:r>
      <w:r>
        <w:rPr>
          <w:color w:val="000000"/>
          <w:spacing w:val="6"/>
        </w:rPr>
        <w:t xml:space="preserve"> </w:t>
      </w:r>
      <w:r>
        <w:rPr>
          <w:color w:val="000000"/>
          <w:spacing w:val="-4"/>
        </w:rPr>
        <w:t>i</w:t>
      </w:r>
      <w:r>
        <w:rPr>
          <w:color w:val="000000"/>
        </w:rPr>
        <w:t>š</w:t>
      </w:r>
      <w:r>
        <w:rPr>
          <w:color w:val="000000"/>
          <w:spacing w:val="5"/>
        </w:rPr>
        <w:t xml:space="preserve"> </w:t>
      </w:r>
      <w:r>
        <w:rPr>
          <w:color w:val="000000"/>
          <w:spacing w:val="-5"/>
        </w:rPr>
        <w:t>K</w:t>
      </w:r>
      <w:r>
        <w:rPr>
          <w:color w:val="000000"/>
          <w:spacing w:val="-1"/>
        </w:rPr>
        <w:t>a</w:t>
      </w:r>
      <w:r>
        <w:rPr>
          <w:color w:val="000000"/>
          <w:spacing w:val="5"/>
        </w:rPr>
        <w:t>u</w:t>
      </w:r>
      <w:r>
        <w:rPr>
          <w:color w:val="000000"/>
          <w:spacing w:val="-5"/>
        </w:rPr>
        <w:t>n</w:t>
      </w:r>
      <w:r>
        <w:rPr>
          <w:color w:val="000000"/>
        </w:rPr>
        <w:t>o</w:t>
      </w:r>
      <w:r>
        <w:rPr>
          <w:color w:val="000000"/>
          <w:spacing w:val="7"/>
        </w:rPr>
        <w:t xml:space="preserve"> </w:t>
      </w:r>
      <w:r>
        <w:rPr>
          <w:color w:val="000000"/>
          <w:spacing w:val="-1"/>
        </w:rPr>
        <w:t>a</w:t>
      </w:r>
      <w:r>
        <w:rPr>
          <w:color w:val="000000"/>
        </w:rPr>
        <w:t>p</w:t>
      </w:r>
      <w:r>
        <w:rPr>
          <w:color w:val="000000"/>
          <w:spacing w:val="-2"/>
        </w:rPr>
        <w:t>s</w:t>
      </w:r>
      <w:r>
        <w:rPr>
          <w:color w:val="000000"/>
        </w:rPr>
        <w:t>k</w:t>
      </w:r>
      <w:r>
        <w:rPr>
          <w:color w:val="000000"/>
          <w:spacing w:val="6"/>
        </w:rPr>
        <w:t>r</w:t>
      </w:r>
      <w:r>
        <w:rPr>
          <w:color w:val="000000"/>
          <w:spacing w:val="-9"/>
        </w:rPr>
        <w:t>i</w:t>
      </w:r>
      <w:r>
        <w:rPr>
          <w:color w:val="000000"/>
          <w:spacing w:val="10"/>
        </w:rPr>
        <w:t>t</w:t>
      </w:r>
      <w:r>
        <w:rPr>
          <w:color w:val="000000"/>
          <w:spacing w:val="-9"/>
        </w:rPr>
        <w:t>i</w:t>
      </w:r>
      <w:r>
        <w:rPr>
          <w:color w:val="000000"/>
          <w:spacing w:val="-1"/>
        </w:rPr>
        <w:t>e</w:t>
      </w:r>
      <w:r>
        <w:rPr>
          <w:color w:val="000000"/>
          <w:spacing w:val="-2"/>
        </w:rPr>
        <w:t>s</w:t>
      </w:r>
      <w:r>
        <w:rPr>
          <w:color w:val="000000"/>
        </w:rPr>
        <w:t>,</w:t>
      </w:r>
      <w:r>
        <w:rPr>
          <w:color w:val="000000"/>
          <w:spacing w:val="4"/>
        </w:rPr>
        <w:t xml:space="preserve"> </w:t>
      </w:r>
      <w:r>
        <w:rPr>
          <w:color w:val="000000"/>
          <w:spacing w:val="2"/>
        </w:rPr>
        <w:t>š</w:t>
      </w:r>
      <w:r>
        <w:rPr>
          <w:color w:val="000000"/>
          <w:spacing w:val="-4"/>
        </w:rPr>
        <w:t>i</w:t>
      </w:r>
      <w:r>
        <w:rPr>
          <w:color w:val="000000"/>
          <w:spacing w:val="-1"/>
        </w:rPr>
        <w:t>e</w:t>
      </w:r>
      <w:r>
        <w:rPr>
          <w:color w:val="000000"/>
        </w:rPr>
        <w:t>k</w:t>
      </w:r>
      <w:r>
        <w:rPr>
          <w:color w:val="000000"/>
          <w:spacing w:val="2"/>
        </w:rPr>
        <w:t xml:space="preserve"> </w:t>
      </w:r>
      <w:r>
        <w:rPr>
          <w:color w:val="000000"/>
          <w:spacing w:val="5"/>
        </w:rPr>
        <w:t>t</w:t>
      </w:r>
      <w:r>
        <w:rPr>
          <w:color w:val="000000"/>
          <w:spacing w:val="-9"/>
        </w:rPr>
        <w:t>i</w:t>
      </w:r>
      <w:r>
        <w:rPr>
          <w:color w:val="000000"/>
          <w:spacing w:val="-1"/>
        </w:rPr>
        <w:t>e</w:t>
      </w:r>
      <w:r>
        <w:rPr>
          <w:color w:val="000000"/>
        </w:rPr>
        <w:t>k</w:t>
      </w:r>
      <w:r>
        <w:rPr>
          <w:color w:val="000000"/>
          <w:spacing w:val="7"/>
        </w:rPr>
        <w:t xml:space="preserve"> </w:t>
      </w:r>
      <w:r>
        <w:rPr>
          <w:color w:val="000000"/>
          <w:spacing w:val="5"/>
        </w:rPr>
        <w:t>m</w:t>
      </w:r>
      <w:r>
        <w:rPr>
          <w:color w:val="000000"/>
          <w:spacing w:val="-1"/>
        </w:rPr>
        <w:t>a</w:t>
      </w:r>
      <w:r>
        <w:rPr>
          <w:color w:val="000000"/>
          <w:spacing w:val="4"/>
        </w:rPr>
        <w:t>ž</w:t>
      </w:r>
      <w:r>
        <w:rPr>
          <w:color w:val="000000"/>
          <w:spacing w:val="-4"/>
        </w:rPr>
        <w:t>i</w:t>
      </w:r>
      <w:r>
        <w:rPr>
          <w:color w:val="000000"/>
          <w:spacing w:val="-1"/>
        </w:rPr>
        <w:t>a</w:t>
      </w:r>
      <w:r>
        <w:rPr>
          <w:color w:val="000000"/>
        </w:rPr>
        <w:t>u</w:t>
      </w:r>
      <w:r>
        <w:rPr>
          <w:color w:val="000000"/>
          <w:spacing w:val="7"/>
        </w:rPr>
        <w:t xml:space="preserve"> </w:t>
      </w:r>
      <w:r>
        <w:rPr>
          <w:color w:val="000000"/>
          <w:spacing w:val="-4"/>
        </w:rPr>
        <w:t>i</w:t>
      </w:r>
      <w:r>
        <w:rPr>
          <w:color w:val="000000"/>
        </w:rPr>
        <w:t>š</w:t>
      </w:r>
    </w:p>
    <w:p w:rsidR="004F7425" w:rsidRDefault="004F7425" w:rsidP="004F7425">
      <w:pPr>
        <w:widowControl w:val="0"/>
        <w:autoSpaceDE w:val="0"/>
        <w:autoSpaceDN w:val="0"/>
        <w:adjustRightInd w:val="0"/>
        <w:spacing w:before="25" w:line="271" w:lineRule="exact"/>
        <w:ind w:left="120" w:right="-20"/>
        <w:rPr>
          <w:color w:val="000000"/>
        </w:rPr>
      </w:pPr>
      <w:r>
        <w:rPr>
          <w:color w:val="000000"/>
          <w:spacing w:val="1"/>
          <w:position w:val="-1"/>
        </w:rPr>
        <w:t>P</w:t>
      </w:r>
      <w:r>
        <w:rPr>
          <w:color w:val="000000"/>
          <w:spacing w:val="-1"/>
          <w:position w:val="-1"/>
        </w:rPr>
        <w:t>a</w:t>
      </w:r>
      <w:r>
        <w:rPr>
          <w:color w:val="000000"/>
          <w:spacing w:val="-5"/>
          <w:position w:val="-1"/>
        </w:rPr>
        <w:t>n</w:t>
      </w:r>
      <w:r>
        <w:rPr>
          <w:color w:val="000000"/>
          <w:spacing w:val="4"/>
          <w:position w:val="-1"/>
        </w:rPr>
        <w:t>e</w:t>
      </w:r>
      <w:r>
        <w:rPr>
          <w:color w:val="000000"/>
          <w:spacing w:val="-5"/>
          <w:position w:val="-1"/>
        </w:rPr>
        <w:t>v</w:t>
      </w:r>
      <w:r>
        <w:rPr>
          <w:color w:val="000000"/>
          <w:spacing w:val="4"/>
          <w:position w:val="-1"/>
        </w:rPr>
        <w:t>ėž</w:t>
      </w:r>
      <w:r>
        <w:rPr>
          <w:color w:val="000000"/>
          <w:spacing w:val="-9"/>
          <w:position w:val="-1"/>
        </w:rPr>
        <w:t>i</w:t>
      </w:r>
      <w:r>
        <w:rPr>
          <w:color w:val="000000"/>
          <w:position w:val="-1"/>
        </w:rPr>
        <w:t>o</w:t>
      </w:r>
      <w:r>
        <w:rPr>
          <w:color w:val="000000"/>
          <w:spacing w:val="7"/>
          <w:position w:val="-1"/>
        </w:rPr>
        <w:t xml:space="preserve"> </w:t>
      </w:r>
      <w:r>
        <w:rPr>
          <w:color w:val="000000"/>
          <w:spacing w:val="1"/>
          <w:position w:val="-1"/>
        </w:rPr>
        <w:t>(</w:t>
      </w:r>
      <w:r>
        <w:rPr>
          <w:color w:val="000000"/>
          <w:position w:val="-1"/>
        </w:rPr>
        <w:t>200</w:t>
      </w:r>
      <w:r>
        <w:rPr>
          <w:color w:val="000000"/>
          <w:spacing w:val="3"/>
          <w:position w:val="-1"/>
        </w:rPr>
        <w:t>8</w:t>
      </w:r>
      <w:r>
        <w:rPr>
          <w:color w:val="000000"/>
          <w:position w:val="-1"/>
        </w:rPr>
        <w:t>–2011</w:t>
      </w:r>
      <w:r>
        <w:rPr>
          <w:color w:val="000000"/>
          <w:spacing w:val="2"/>
          <w:position w:val="-1"/>
        </w:rPr>
        <w:t xml:space="preserve"> </w:t>
      </w:r>
      <w:r>
        <w:rPr>
          <w:color w:val="000000"/>
          <w:spacing w:val="-9"/>
          <w:position w:val="-1"/>
        </w:rPr>
        <w:t>m</w:t>
      </w:r>
      <w:r>
        <w:rPr>
          <w:color w:val="000000"/>
          <w:position w:val="-1"/>
        </w:rPr>
        <w:t>.</w:t>
      </w:r>
      <w:r>
        <w:rPr>
          <w:color w:val="000000"/>
          <w:spacing w:val="4"/>
          <w:position w:val="-1"/>
        </w:rPr>
        <w:t xml:space="preserve"> </w:t>
      </w:r>
      <w:r>
        <w:rPr>
          <w:color w:val="000000"/>
          <w:position w:val="-1"/>
        </w:rPr>
        <w:t>d</w:t>
      </w:r>
      <w:r>
        <w:rPr>
          <w:color w:val="000000"/>
          <w:spacing w:val="-1"/>
          <w:position w:val="-1"/>
        </w:rPr>
        <w:t>a</w:t>
      </w:r>
      <w:r>
        <w:rPr>
          <w:color w:val="000000"/>
          <w:position w:val="-1"/>
        </w:rPr>
        <w:t>u</w:t>
      </w:r>
      <w:r>
        <w:rPr>
          <w:color w:val="000000"/>
          <w:spacing w:val="5"/>
          <w:position w:val="-1"/>
        </w:rPr>
        <w:t>g</w:t>
      </w:r>
      <w:r>
        <w:rPr>
          <w:color w:val="000000"/>
          <w:spacing w:val="-9"/>
          <w:position w:val="-1"/>
        </w:rPr>
        <w:t>i</w:t>
      </w:r>
      <w:r>
        <w:rPr>
          <w:color w:val="000000"/>
          <w:spacing w:val="-1"/>
          <w:position w:val="-1"/>
        </w:rPr>
        <w:t>a</w:t>
      </w:r>
      <w:r>
        <w:rPr>
          <w:color w:val="000000"/>
          <w:spacing w:val="5"/>
          <w:position w:val="-1"/>
        </w:rPr>
        <w:t>u</w:t>
      </w:r>
      <w:r>
        <w:rPr>
          <w:color w:val="000000"/>
          <w:spacing w:val="2"/>
          <w:position w:val="-1"/>
        </w:rPr>
        <w:t>s</w:t>
      </w:r>
      <w:r>
        <w:rPr>
          <w:color w:val="000000"/>
          <w:spacing w:val="-4"/>
          <w:position w:val="-1"/>
        </w:rPr>
        <w:t>i</w:t>
      </w:r>
      <w:r>
        <w:rPr>
          <w:color w:val="000000"/>
          <w:spacing w:val="4"/>
          <w:position w:val="-1"/>
        </w:rPr>
        <w:t>a</w:t>
      </w:r>
      <w:r>
        <w:rPr>
          <w:color w:val="000000"/>
          <w:position w:val="-1"/>
        </w:rPr>
        <w:t>i</w:t>
      </w:r>
      <w:r>
        <w:rPr>
          <w:color w:val="000000"/>
          <w:spacing w:val="-2"/>
          <w:position w:val="-1"/>
        </w:rPr>
        <w:t xml:space="preserve"> s</w:t>
      </w:r>
      <w:r>
        <w:rPr>
          <w:color w:val="000000"/>
          <w:spacing w:val="5"/>
          <w:position w:val="-1"/>
        </w:rPr>
        <w:t>u</w:t>
      </w:r>
      <w:r>
        <w:rPr>
          <w:color w:val="000000"/>
          <w:spacing w:val="-4"/>
          <w:position w:val="-1"/>
        </w:rPr>
        <w:t>l</w:t>
      </w:r>
      <w:r>
        <w:rPr>
          <w:color w:val="000000"/>
          <w:spacing w:val="4"/>
          <w:position w:val="-1"/>
        </w:rPr>
        <w:t>a</w:t>
      </w:r>
      <w:r>
        <w:rPr>
          <w:color w:val="000000"/>
          <w:spacing w:val="-4"/>
          <w:position w:val="-1"/>
        </w:rPr>
        <w:t>i</w:t>
      </w:r>
      <w:r>
        <w:rPr>
          <w:color w:val="000000"/>
          <w:spacing w:val="5"/>
          <w:position w:val="-1"/>
        </w:rPr>
        <w:t>k</w:t>
      </w:r>
      <w:r>
        <w:rPr>
          <w:color w:val="000000"/>
          <w:spacing w:val="-10"/>
          <w:position w:val="-1"/>
        </w:rPr>
        <w:t>y</w:t>
      </w:r>
      <w:r>
        <w:rPr>
          <w:color w:val="000000"/>
          <w:spacing w:val="5"/>
          <w:position w:val="-1"/>
        </w:rPr>
        <w:t>t</w:t>
      </w:r>
      <w:r>
        <w:rPr>
          <w:color w:val="000000"/>
          <w:position w:val="-1"/>
        </w:rPr>
        <w:t>ų</w:t>
      </w:r>
      <w:r>
        <w:rPr>
          <w:color w:val="000000"/>
          <w:spacing w:val="2"/>
          <w:position w:val="-1"/>
        </w:rPr>
        <w:t xml:space="preserve"> </w:t>
      </w:r>
      <w:r>
        <w:rPr>
          <w:color w:val="000000"/>
          <w:spacing w:val="-5"/>
          <w:position w:val="-1"/>
        </w:rPr>
        <w:t>b</w:t>
      </w:r>
      <w:r>
        <w:rPr>
          <w:color w:val="000000"/>
          <w:spacing w:val="5"/>
          <w:position w:val="-1"/>
        </w:rPr>
        <w:t>u</w:t>
      </w:r>
      <w:r>
        <w:rPr>
          <w:color w:val="000000"/>
          <w:spacing w:val="-5"/>
          <w:position w:val="-1"/>
        </w:rPr>
        <w:t>v</w:t>
      </w:r>
      <w:r>
        <w:rPr>
          <w:color w:val="000000"/>
          <w:position w:val="-1"/>
        </w:rPr>
        <w:t>o</w:t>
      </w:r>
      <w:r>
        <w:rPr>
          <w:color w:val="000000"/>
          <w:spacing w:val="7"/>
          <w:position w:val="-1"/>
        </w:rPr>
        <w:t xml:space="preserve"> </w:t>
      </w:r>
      <w:r>
        <w:rPr>
          <w:color w:val="000000"/>
          <w:spacing w:val="-4"/>
          <w:position w:val="-1"/>
        </w:rPr>
        <w:t>i</w:t>
      </w:r>
      <w:r>
        <w:rPr>
          <w:color w:val="000000"/>
          <w:position w:val="-1"/>
        </w:rPr>
        <w:t>š K</w:t>
      </w:r>
      <w:r>
        <w:rPr>
          <w:color w:val="000000"/>
          <w:spacing w:val="-1"/>
          <w:position w:val="-1"/>
        </w:rPr>
        <w:t>a</w:t>
      </w:r>
      <w:r>
        <w:rPr>
          <w:color w:val="000000"/>
          <w:spacing w:val="5"/>
          <w:position w:val="-1"/>
        </w:rPr>
        <w:t>u</w:t>
      </w:r>
      <w:r>
        <w:rPr>
          <w:color w:val="000000"/>
          <w:spacing w:val="-5"/>
          <w:position w:val="-1"/>
        </w:rPr>
        <w:t>n</w:t>
      </w:r>
      <w:r>
        <w:rPr>
          <w:color w:val="000000"/>
          <w:position w:val="-1"/>
        </w:rPr>
        <w:t>o</w:t>
      </w:r>
      <w:r>
        <w:rPr>
          <w:color w:val="000000"/>
          <w:spacing w:val="7"/>
          <w:position w:val="-1"/>
        </w:rPr>
        <w:t xml:space="preserve"> </w:t>
      </w:r>
      <w:r>
        <w:rPr>
          <w:color w:val="000000"/>
          <w:spacing w:val="-9"/>
          <w:position w:val="-1"/>
        </w:rPr>
        <w:t>i</w:t>
      </w:r>
      <w:r>
        <w:rPr>
          <w:color w:val="000000"/>
          <w:position w:val="-1"/>
        </w:rPr>
        <w:t>r</w:t>
      </w:r>
      <w:r>
        <w:rPr>
          <w:color w:val="000000"/>
          <w:spacing w:val="4"/>
          <w:position w:val="-1"/>
        </w:rPr>
        <w:t xml:space="preserve"> V</w:t>
      </w:r>
      <w:r>
        <w:rPr>
          <w:color w:val="000000"/>
          <w:spacing w:val="-4"/>
          <w:position w:val="-1"/>
        </w:rPr>
        <w:t>il</w:t>
      </w:r>
      <w:r>
        <w:rPr>
          <w:color w:val="000000"/>
          <w:spacing w:val="5"/>
          <w:position w:val="-1"/>
        </w:rPr>
        <w:t>n</w:t>
      </w:r>
      <w:r>
        <w:rPr>
          <w:color w:val="000000"/>
          <w:spacing w:val="-4"/>
          <w:position w:val="-1"/>
        </w:rPr>
        <w:t>i</w:t>
      </w:r>
      <w:r>
        <w:rPr>
          <w:color w:val="000000"/>
          <w:spacing w:val="-1"/>
          <w:position w:val="-1"/>
        </w:rPr>
        <w:t>a</w:t>
      </w:r>
      <w:r>
        <w:rPr>
          <w:color w:val="000000"/>
          <w:spacing w:val="5"/>
          <w:position w:val="-1"/>
        </w:rPr>
        <w:t>u</w:t>
      </w:r>
      <w:r>
        <w:rPr>
          <w:color w:val="000000"/>
          <w:position w:val="-1"/>
        </w:rPr>
        <w:t xml:space="preserve">s </w:t>
      </w:r>
      <w:r>
        <w:rPr>
          <w:color w:val="000000"/>
          <w:spacing w:val="-1"/>
          <w:position w:val="-1"/>
        </w:rPr>
        <w:t>a</w:t>
      </w:r>
      <w:r>
        <w:rPr>
          <w:color w:val="000000"/>
          <w:position w:val="-1"/>
        </w:rPr>
        <w:t>p</w:t>
      </w:r>
      <w:r>
        <w:rPr>
          <w:color w:val="000000"/>
          <w:spacing w:val="-2"/>
          <w:position w:val="-1"/>
        </w:rPr>
        <w:t>s</w:t>
      </w:r>
      <w:r>
        <w:rPr>
          <w:color w:val="000000"/>
          <w:position w:val="-1"/>
        </w:rPr>
        <w:t>k</w:t>
      </w:r>
      <w:r>
        <w:rPr>
          <w:color w:val="000000"/>
          <w:spacing w:val="6"/>
          <w:position w:val="-1"/>
        </w:rPr>
        <w:t>r</w:t>
      </w:r>
      <w:r>
        <w:rPr>
          <w:color w:val="000000"/>
          <w:spacing w:val="-9"/>
          <w:position w:val="-1"/>
        </w:rPr>
        <w:t>i</w:t>
      </w:r>
      <w:r>
        <w:rPr>
          <w:color w:val="000000"/>
          <w:spacing w:val="4"/>
          <w:position w:val="-1"/>
        </w:rPr>
        <w:t>č</w:t>
      </w:r>
      <w:r>
        <w:rPr>
          <w:color w:val="000000"/>
          <w:spacing w:val="-4"/>
          <w:position w:val="-1"/>
        </w:rPr>
        <w:t>i</w:t>
      </w:r>
      <w:r>
        <w:rPr>
          <w:color w:val="000000"/>
          <w:position w:val="-1"/>
        </w:rPr>
        <w:t>ų</w:t>
      </w:r>
      <w:r>
        <w:rPr>
          <w:color w:val="000000"/>
          <w:spacing w:val="1"/>
          <w:position w:val="-1"/>
        </w:rPr>
        <w:t>)</w:t>
      </w:r>
      <w:r>
        <w:rPr>
          <w:color w:val="000000"/>
          <w:position w:val="-1"/>
        </w:rPr>
        <w:t>.</w:t>
      </w:r>
    </w:p>
    <w:p w:rsidR="004F7425" w:rsidRDefault="004F7425" w:rsidP="004F7425">
      <w:pPr>
        <w:widowControl w:val="0"/>
        <w:autoSpaceDE w:val="0"/>
        <w:autoSpaceDN w:val="0"/>
        <w:adjustRightInd w:val="0"/>
        <w:spacing w:before="4" w:line="140" w:lineRule="exact"/>
        <w:rPr>
          <w:color w:val="000000"/>
          <w:sz w:val="14"/>
          <w:szCs w:val="14"/>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sectPr w:rsidR="004F7425">
          <w:pgSz w:w="11920" w:h="16840"/>
          <w:pgMar w:top="960" w:right="460" w:bottom="280" w:left="1580" w:header="734" w:footer="0" w:gutter="0"/>
          <w:cols w:space="1296" w:equalWidth="0">
            <w:col w:w="9880"/>
          </w:cols>
          <w:noEndnote/>
        </w:sectPr>
      </w:pPr>
    </w:p>
    <w:p w:rsidR="004F7425" w:rsidRDefault="004F7425" w:rsidP="004F7425">
      <w:pPr>
        <w:widowControl w:val="0"/>
        <w:autoSpaceDE w:val="0"/>
        <w:autoSpaceDN w:val="0"/>
        <w:adjustRightInd w:val="0"/>
        <w:spacing w:before="15"/>
        <w:ind w:left="547" w:right="-77"/>
        <w:rPr>
          <w:color w:val="000000"/>
        </w:rPr>
      </w:pPr>
      <w:r>
        <w:rPr>
          <w:noProof/>
          <w:lang w:eastAsia="lt-LT"/>
        </w:rPr>
        <w:lastRenderedPageBreak/>
        <mc:AlternateContent>
          <mc:Choice Requires="wpg">
            <w:drawing>
              <wp:anchor distT="0" distB="0" distL="114300" distR="114300" simplePos="0" relativeHeight="251758592" behindDoc="1" locked="0" layoutInCell="0" allowOverlap="1">
                <wp:simplePos x="0" y="0"/>
                <wp:positionH relativeFrom="page">
                  <wp:posOffset>4069080</wp:posOffset>
                </wp:positionH>
                <wp:positionV relativeFrom="paragraph">
                  <wp:posOffset>283845</wp:posOffset>
                </wp:positionV>
                <wp:extent cx="3136900" cy="1959610"/>
                <wp:effectExtent l="1905" t="3175" r="4445" b="8890"/>
                <wp:wrapNone/>
                <wp:docPr id="197" name="Grupė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36900" cy="1959610"/>
                          <a:chOff x="6408" y="447"/>
                          <a:chExt cx="4940" cy="3086"/>
                        </a:xfrm>
                      </wpg:grpSpPr>
                      <wps:wsp>
                        <wps:cNvPr id="198" name="Rectangle 319"/>
                        <wps:cNvSpPr>
                          <a:spLocks noChangeArrowheads="1"/>
                        </wps:cNvSpPr>
                        <wps:spPr bwMode="auto">
                          <a:xfrm>
                            <a:off x="7734" y="1410"/>
                            <a:ext cx="230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2120" w:lineRule="atLeast"/>
                              </w:pPr>
                              <w:r>
                                <w:rPr>
                                  <w:noProof/>
                                  <w:lang w:eastAsia="lt-LT"/>
                                </w:rPr>
                                <w:drawing>
                                  <wp:inline distT="0" distB="0" distL="0" distR="0" wp14:anchorId="5810B8F7" wp14:editId="1494C695">
                                    <wp:extent cx="1457325" cy="1333500"/>
                                    <wp:effectExtent l="0" t="0" r="9525" b="0"/>
                                    <wp:docPr id="400" name="Paveikslėlis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57325" cy="133350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wps:wsp>
                        <wps:cNvPr id="199" name="Freeform 320"/>
                        <wps:cNvSpPr>
                          <a:spLocks/>
                        </wps:cNvSpPr>
                        <wps:spPr bwMode="auto">
                          <a:xfrm>
                            <a:off x="9741" y="1616"/>
                            <a:ext cx="162" cy="312"/>
                          </a:xfrm>
                          <a:custGeom>
                            <a:avLst/>
                            <a:gdLst>
                              <a:gd name="T0" fmla="*/ 0 w 162"/>
                              <a:gd name="T1" fmla="*/ 312 h 312"/>
                              <a:gd name="T2" fmla="*/ 162 w 162"/>
                              <a:gd name="T3" fmla="*/ 0 h 312"/>
                            </a:gdLst>
                            <a:ahLst/>
                            <a:cxnLst>
                              <a:cxn ang="0">
                                <a:pos x="T0" y="T1"/>
                              </a:cxn>
                              <a:cxn ang="0">
                                <a:pos x="T2" y="T3"/>
                              </a:cxn>
                            </a:cxnLst>
                            <a:rect l="0" t="0" r="r" b="b"/>
                            <a:pathLst>
                              <a:path w="162" h="312">
                                <a:moveTo>
                                  <a:pt x="0" y="312"/>
                                </a:moveTo>
                                <a:lnTo>
                                  <a:pt x="162" y="0"/>
                                </a:lnTo>
                              </a:path>
                            </a:pathLst>
                          </a:custGeom>
                          <a:noFill/>
                          <a:ln w="794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321"/>
                        <wps:cNvSpPr>
                          <a:spLocks/>
                        </wps:cNvSpPr>
                        <wps:spPr bwMode="auto">
                          <a:xfrm>
                            <a:off x="9903" y="1616"/>
                            <a:ext cx="100" cy="20"/>
                          </a:xfrm>
                          <a:custGeom>
                            <a:avLst/>
                            <a:gdLst>
                              <a:gd name="T0" fmla="*/ 0 w 100"/>
                              <a:gd name="T1" fmla="*/ 0 h 20"/>
                              <a:gd name="T2" fmla="*/ 100 w 100"/>
                              <a:gd name="T3" fmla="*/ 0 h 20"/>
                            </a:gdLst>
                            <a:ahLst/>
                            <a:cxnLst>
                              <a:cxn ang="0">
                                <a:pos x="T0" y="T1"/>
                              </a:cxn>
                              <a:cxn ang="0">
                                <a:pos x="T2" y="T3"/>
                              </a:cxn>
                            </a:cxnLst>
                            <a:rect l="0" t="0" r="r" b="b"/>
                            <a:pathLst>
                              <a:path w="100" h="20">
                                <a:moveTo>
                                  <a:pt x="0" y="0"/>
                                </a:moveTo>
                                <a:lnTo>
                                  <a:pt x="100" y="0"/>
                                </a:lnTo>
                              </a:path>
                            </a:pathLst>
                          </a:custGeom>
                          <a:noFill/>
                          <a:ln w="79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322"/>
                        <wps:cNvSpPr>
                          <a:spLocks/>
                        </wps:cNvSpPr>
                        <wps:spPr bwMode="auto">
                          <a:xfrm>
                            <a:off x="9941" y="2172"/>
                            <a:ext cx="387" cy="20"/>
                          </a:xfrm>
                          <a:custGeom>
                            <a:avLst/>
                            <a:gdLst>
                              <a:gd name="T0" fmla="*/ 0 w 387"/>
                              <a:gd name="T1" fmla="*/ 0 h 20"/>
                              <a:gd name="T2" fmla="*/ 387 w 387"/>
                              <a:gd name="T3" fmla="*/ 0 h 20"/>
                            </a:gdLst>
                            <a:ahLst/>
                            <a:cxnLst>
                              <a:cxn ang="0">
                                <a:pos x="T0" y="T1"/>
                              </a:cxn>
                              <a:cxn ang="0">
                                <a:pos x="T2" y="T3"/>
                              </a:cxn>
                            </a:cxnLst>
                            <a:rect l="0" t="0" r="r" b="b"/>
                            <a:pathLst>
                              <a:path w="387" h="20">
                                <a:moveTo>
                                  <a:pt x="0" y="0"/>
                                </a:moveTo>
                                <a:lnTo>
                                  <a:pt x="387" y="0"/>
                                </a:lnTo>
                              </a:path>
                            </a:pathLst>
                          </a:custGeom>
                          <a:noFill/>
                          <a:ln w="15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Freeform 323"/>
                        <wps:cNvSpPr>
                          <a:spLocks/>
                        </wps:cNvSpPr>
                        <wps:spPr bwMode="auto">
                          <a:xfrm>
                            <a:off x="9928" y="2653"/>
                            <a:ext cx="20" cy="474"/>
                          </a:xfrm>
                          <a:custGeom>
                            <a:avLst/>
                            <a:gdLst>
                              <a:gd name="T0" fmla="*/ 0 w 20"/>
                              <a:gd name="T1" fmla="*/ 0 h 474"/>
                              <a:gd name="T2" fmla="*/ 12 w 20"/>
                              <a:gd name="T3" fmla="*/ 474 h 474"/>
                            </a:gdLst>
                            <a:ahLst/>
                            <a:cxnLst>
                              <a:cxn ang="0">
                                <a:pos x="T0" y="T1"/>
                              </a:cxn>
                              <a:cxn ang="0">
                                <a:pos x="T2" y="T3"/>
                              </a:cxn>
                            </a:cxnLst>
                            <a:rect l="0" t="0" r="r" b="b"/>
                            <a:pathLst>
                              <a:path w="20" h="474">
                                <a:moveTo>
                                  <a:pt x="0" y="0"/>
                                </a:moveTo>
                                <a:lnTo>
                                  <a:pt x="12" y="474"/>
                                </a:lnTo>
                              </a:path>
                            </a:pathLst>
                          </a:custGeom>
                          <a:noFill/>
                          <a:ln w="794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Freeform 324"/>
                        <wps:cNvSpPr>
                          <a:spLocks/>
                        </wps:cNvSpPr>
                        <wps:spPr bwMode="auto">
                          <a:xfrm>
                            <a:off x="9941" y="3127"/>
                            <a:ext cx="87" cy="20"/>
                          </a:xfrm>
                          <a:custGeom>
                            <a:avLst/>
                            <a:gdLst>
                              <a:gd name="T0" fmla="*/ 0 w 87"/>
                              <a:gd name="T1" fmla="*/ 0 h 20"/>
                              <a:gd name="T2" fmla="*/ 87 w 87"/>
                              <a:gd name="T3" fmla="*/ 0 h 20"/>
                            </a:gdLst>
                            <a:ahLst/>
                            <a:cxnLst>
                              <a:cxn ang="0">
                                <a:pos x="T0" y="T1"/>
                              </a:cxn>
                              <a:cxn ang="0">
                                <a:pos x="T2" y="T3"/>
                              </a:cxn>
                            </a:cxnLst>
                            <a:rect l="0" t="0" r="r" b="b"/>
                            <a:pathLst>
                              <a:path w="87" h="20">
                                <a:moveTo>
                                  <a:pt x="0" y="0"/>
                                </a:moveTo>
                                <a:lnTo>
                                  <a:pt x="87" y="0"/>
                                </a:lnTo>
                              </a:path>
                            </a:pathLst>
                          </a:custGeom>
                          <a:noFill/>
                          <a:ln w="79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Rectangle 325"/>
                        <wps:cNvSpPr>
                          <a:spLocks/>
                        </wps:cNvSpPr>
                        <wps:spPr bwMode="auto">
                          <a:xfrm>
                            <a:off x="6414" y="454"/>
                            <a:ext cx="4927" cy="3073"/>
                          </a:xfrm>
                          <a:prstGeom prst="rect">
                            <a:avLst/>
                          </a:prstGeom>
                          <a:noFill/>
                          <a:ln w="7943">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197" o:spid="_x0000_s1076" style="position:absolute;left:0;text-align:left;margin-left:320.4pt;margin-top:22.35pt;width:247pt;height:154.3pt;z-index:-251557888;mso-position-horizontal-relative:page" coordorigin="6408,447" coordsize="4940,3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" o:allowincell="f">
                <v:rect id="Rectangle 319" o:spid="_x0000_s1077" style="position:absolute;left:7734;top:1410;width:2300;height:2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d1y8UA&#10;AADcAAAADwAAAGRycy9kb3ducmV2LnhtbESPQW/CMAyF75P2HyJP4jZSdkC0EBBim+DIYBLjZjWm&#10;rWicqgm08OvnAxI3W+/5vc+zRe9qdaU2VJ4NjIYJKOLc24oLA7/77/cJqBCRLdaeycCNAizmry8z&#10;zKzv+Ieuu1goCeGQoYEyxibTOuQlOQxD3xCLdvKtwyhrW2jbYifhrtYfSTLWDiuWhhIbWpWUn3cX&#10;Z2A9aZZ/G3/vivrruD5sD+nnPo3GDN765RRUpD4+zY/rjRX8VGjlGZlAz/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3XLxQAAANwAAAAPAAAAAAAAAAAAAAAAAJgCAABkcnMv&#10;ZG93bnJldi54bWxQSwUGAAAAAAQABAD1AAAAigMAAAAA&#10;" filled="f" stroked="f">
                  <v:textbox inset="0,0,0,0">
                    <w:txbxContent>
                      <w:p w:rsidR="004F7425" w:rsidRDefault="004F7425" w:rsidP="004F7425">
                        <w:pPr>
                          <w:spacing w:line="2120" w:lineRule="atLeast"/>
                        </w:pPr>
                        <w:r>
                          <w:rPr>
                            <w:noProof/>
                            <w:lang w:eastAsia="lt-LT"/>
                          </w:rPr>
                          <w:drawing>
                            <wp:inline distT="0" distB="0" distL="0" distR="0" wp14:anchorId="5810B8F7" wp14:editId="1494C695">
                              <wp:extent cx="1457325" cy="1333500"/>
                              <wp:effectExtent l="0" t="0" r="9525" b="0"/>
                              <wp:docPr id="400" name="Paveikslėlis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457325" cy="133350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v:rect>
                <v:shape id="Freeform 320" o:spid="_x0000_s1078" style="position:absolute;left:9741;top:1616;width:162;height:312;visibility:visible;mso-wrap-style:square;v-text-anchor:top" coordsize="162,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3dncMA&#10;AADcAAAADwAAAGRycy9kb3ducmV2LnhtbERPS2sCMRC+C/6HMEJvmm0XirsapRQsvfRQH+hx2Iy7&#10;0WSy3aTr9t83hYK3+fies1wPzoqeumA8K3icZSCIK68N1wr2u810DiJEZI3WMyn4oQDr1Xi0xFL7&#10;G39Sv421SCEcSlTQxNiWUoaqIYdh5lvixJ195zAm2NVSd3hL4c7Kpyx7lg4Np4YGW3ptqLpuv52C&#10;wh5259Pb8SM3dmPyi+w5/+qVepgMLwsQkYZ4F/+733WaXxTw90y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3dncMAAADcAAAADwAAAAAAAAAAAAAAAACYAgAAZHJzL2Rv&#10;d25yZXYueG1sUEsFBgAAAAAEAAQA9QAAAIgDAAAAAA==&#10;" path="m,312l162,e" filled="f" strokeweight=".22075mm">
                  <v:path arrowok="t" o:connecttype="custom" o:connectlocs="0,312;162,0" o:connectangles="0,0"/>
                </v:shape>
                <v:shape id="Freeform 321" o:spid="_x0000_s1079" style="position:absolute;left:9903;top:1616;width:100;height:20;visibility:visible;mso-wrap-style:square;v-text-anchor:top" coordsize="1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Zi3cQA&#10;AADcAAAADwAAAGRycy9kb3ducmV2LnhtbESPQWvCQBSE7wX/w/IEb3WjBynRNWgwIniQ2iLt7TX7&#10;mg1m34bsGuO/7xYKPQ4z8w2zygbbiJ46XztWMJsmIIhLp2uuFLy/Fc8vIHxA1tg4JgUP8pCtR08r&#10;TLW78yv151CJCGGfogITQptK6UtDFv3UtcTR+3adxRBlV0nd4T3CbSPnSbKQFmuOCwZbyg2V1/PN&#10;Krjo3tzwi44f209X7YqFzPf5SanJeNgsQQQawn/4r33QCiIRfs/E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GYt3EAAAA3AAAAA8AAAAAAAAAAAAAAAAAmAIAAGRycy9k&#10;b3ducmV2LnhtbFBLBQYAAAAABAAEAPUAAACJAwAAAAA=&#10;" path="m,l100,e" filled="f" strokeweight=".22056mm">
                  <v:path arrowok="t" o:connecttype="custom" o:connectlocs="0,0;100,0" o:connectangles="0,0"/>
                </v:shape>
                <v:shape id="Freeform 322" o:spid="_x0000_s1080" style="position:absolute;left:9941;top:2172;width:387;height:20;visibility:visible;mso-wrap-style:square;v-text-anchor:top" coordsize="3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McGMMA&#10;AADcAAAADwAAAGRycy9kb3ducmV2LnhtbESPQYvCMBSE74L/ITzBm00UWaQaRQRBWDxUhd3jo3m2&#10;1ealNNna3V+/EQSPw8x8w6w2va1FR62vHGuYJgoEce5MxYWGy3k/WYDwAdlg7Zg0/JKHzXo4WGFq&#10;3IMz6k6hEBHCPkUNZQhNKqXPS7LoE9cQR+/qWoshyraQpsVHhNtazpT6kBYrjgslNrQrKb+ffqwG&#10;mhfHb3v8vKjr+etv192yjJpe6/Go3y5BBOrDO/xqH4yGmZrC80w8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McGMMAAADcAAAADwAAAAAAAAAAAAAAAACYAgAAZHJzL2Rv&#10;d25yZXYueG1sUEsFBgAAAAAEAAQA9QAAAIgDAAAAAA==&#10;" path="m,l387,e" filled="f" strokeweight=".44089mm">
                  <v:path arrowok="t" o:connecttype="custom" o:connectlocs="0,0;387,0" o:connectangles="0,0"/>
                </v:shape>
                <v:shape id="Freeform 323" o:spid="_x0000_s1081" style="position:absolute;left:9928;top:2653;width:20;height:474;visibility:visible;mso-wrap-style:square;v-text-anchor:top" coordsize="2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DYgsUA&#10;AADcAAAADwAAAGRycy9kb3ducmV2LnhtbESPQWvCQBSE70L/w/IKveluUy2SuhGxCL0omPbg8ZF9&#10;TUKyb8PuVlN/vSsUehxm5htmtR5tL87kQ+tYw/NMgSCunGm51vD1uZsuQYSIbLB3TBp+KcC6eJis&#10;MDfuwkc6l7EWCcIhRw1NjEMuZagashhmbiBO3rfzFmOSvpbG4yXBbS8zpV6lxZbTQoMDbRuquvLH&#10;anjplhl6874/7Q5b2V7VaTFs5lo/PY6bNxCRxvgf/mt/GA2ZyuB+Jh0B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NiCxQAAANwAAAAPAAAAAAAAAAAAAAAAAJgCAABkcnMv&#10;ZG93bnJldi54bWxQSwUGAAAAAAQABAD1AAAAigMAAAAA&#10;" path="m,l12,474e" filled="f" strokeweight=".22081mm">
                  <v:path arrowok="t" o:connecttype="custom" o:connectlocs="0,0;12,474" o:connectangles="0,0"/>
                </v:shape>
                <v:shape id="Freeform 324" o:spid="_x0000_s1082" style="position:absolute;left:9941;top:3127;width:87;height:20;visibility:visible;mso-wrap-style:square;v-text-anchor:top" coordsize="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ItxcUA&#10;AADcAAAADwAAAGRycy9kb3ducmV2LnhtbESPS2vDMBCE74X8B7GB3GrZSYmNG8UkhUCObR6H3rbW&#10;+kGtlWOpsfvvq0Khx2FmvmE2xWQ6cafBtZYVJFEMgri0uuVaweV8eMxAOI+ssbNMCr7JQbGdPWww&#10;13bkN7qffC0ChF2OChrv+1xKVzZk0EW2Jw5eZQeDPsihlnrAMcBNJ5dxvJYGWw4LDfb00lD5efoy&#10;CsYqNUe3Tz4ON/v6tLum2bp6z5RazKfdMwhPk/8P/7WPWsEyXsHvmXA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0i3FxQAAANwAAAAPAAAAAAAAAAAAAAAAAJgCAABkcnMv&#10;ZG93bnJldi54bWxQSwUGAAAAAAQABAD1AAAAigMAAAAA&#10;" path="m,l87,e" filled="f" strokeweight=".22056mm">
                  <v:path arrowok="t" o:connecttype="custom" o:connectlocs="0,0;87,0" o:connectangles="0,0"/>
                </v:shape>
                <v:rect id="Rectangle 325" o:spid="_x0000_s1083" style="position:absolute;left:6414;top:454;width:4927;height:3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5SMQA&#10;AADcAAAADwAAAGRycy9kb3ducmV2LnhtbESPwWrDMBBE74H+g9hCb4lsk5bgRjFpTUmvsXPJbbG2&#10;lhNrZSzVcf8+KhR6HGbmDbMtZtuLiUbfOVaQrhIQxI3THbcKTvXHcgPCB2SNvWNS8EMeit3DYou5&#10;djc+0lSFVkQI+xwVmBCGXErfGLLoV24gjt6XGy2GKMdW6hFvEW57mSXJi7TYcVwwONC7oeZafVsF&#10;b+l5fTDdKb2UfWWZj+eyvjwr9fQ4719BBJrDf/iv/akVZMkafs/EI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yeUjEAAAA3AAAAA8AAAAAAAAAAAAAAAAAmAIAAGRycy9k&#10;b3ducmV2LnhtbFBLBQYAAAAABAAEAPUAAACJAwAAAAA=&#10;" filled="f" strokecolor="#858585" strokeweight=".22064mm">
                  <v:path arrowok="t"/>
                </v:rect>
                <w10:wrap anchorx="page"/>
              </v:group>
            </w:pict>
          </mc:Fallback>
        </mc:AlternateContent>
      </w:r>
      <w:r>
        <w:rPr>
          <w:rFonts w:ascii="Symbol" w:hAnsi="Symbol" w:cs="Symbol"/>
          <w:color w:val="974705"/>
        </w:rPr>
        <w:t></w:t>
      </w:r>
      <w:r>
        <w:rPr>
          <w:color w:val="974705"/>
        </w:rPr>
        <w:t xml:space="preserve"> </w:t>
      </w:r>
      <w:r>
        <w:rPr>
          <w:color w:val="974705"/>
          <w:spacing w:val="53"/>
        </w:rPr>
        <w:t xml:space="preserve"> </w:t>
      </w:r>
      <w:r>
        <w:rPr>
          <w:b/>
          <w:bCs/>
          <w:i/>
          <w:iCs/>
          <w:color w:val="974705"/>
          <w:spacing w:val="1"/>
        </w:rPr>
        <w:t>Su</w:t>
      </w:r>
      <w:r>
        <w:rPr>
          <w:b/>
          <w:bCs/>
          <w:i/>
          <w:iCs/>
          <w:color w:val="974705"/>
        </w:rPr>
        <w:t>la</w:t>
      </w:r>
      <w:r>
        <w:rPr>
          <w:b/>
          <w:bCs/>
          <w:i/>
          <w:iCs/>
          <w:color w:val="974705"/>
          <w:spacing w:val="1"/>
        </w:rPr>
        <w:t>i</w:t>
      </w:r>
      <w:r>
        <w:rPr>
          <w:b/>
          <w:bCs/>
          <w:i/>
          <w:iCs/>
          <w:color w:val="974705"/>
        </w:rPr>
        <w:t>k</w:t>
      </w:r>
      <w:r>
        <w:rPr>
          <w:b/>
          <w:bCs/>
          <w:i/>
          <w:iCs/>
          <w:color w:val="974705"/>
          <w:spacing w:val="-6"/>
        </w:rPr>
        <w:t>y</w:t>
      </w:r>
      <w:r>
        <w:rPr>
          <w:b/>
          <w:bCs/>
          <w:i/>
          <w:iCs/>
          <w:color w:val="974705"/>
          <w:spacing w:val="5"/>
        </w:rPr>
        <w:t>m</w:t>
      </w:r>
      <w:r>
        <w:rPr>
          <w:b/>
          <w:bCs/>
          <w:i/>
          <w:iCs/>
          <w:color w:val="974705"/>
        </w:rPr>
        <w:t>ai</w:t>
      </w:r>
      <w:r>
        <w:rPr>
          <w:b/>
          <w:bCs/>
          <w:i/>
          <w:iCs/>
          <w:color w:val="974705"/>
          <w:spacing w:val="3"/>
        </w:rPr>
        <w:t xml:space="preserve"> </w:t>
      </w:r>
      <w:r>
        <w:rPr>
          <w:b/>
          <w:bCs/>
          <w:i/>
          <w:iCs/>
          <w:color w:val="974705"/>
        </w:rPr>
        <w:t>pagal</w:t>
      </w:r>
      <w:r>
        <w:rPr>
          <w:b/>
          <w:bCs/>
          <w:i/>
          <w:iCs/>
          <w:color w:val="974705"/>
          <w:spacing w:val="-2"/>
        </w:rPr>
        <w:t xml:space="preserve"> </w:t>
      </w:r>
      <w:r>
        <w:rPr>
          <w:b/>
          <w:bCs/>
          <w:i/>
          <w:iCs/>
          <w:color w:val="974705"/>
          <w:spacing w:val="1"/>
        </w:rPr>
        <w:t>nu</w:t>
      </w:r>
      <w:r>
        <w:rPr>
          <w:b/>
          <w:bCs/>
          <w:i/>
          <w:iCs/>
          <w:color w:val="974705"/>
          <w:spacing w:val="-2"/>
        </w:rPr>
        <w:t>s</w:t>
      </w:r>
      <w:r>
        <w:rPr>
          <w:b/>
          <w:bCs/>
          <w:i/>
          <w:iCs/>
          <w:color w:val="974705"/>
        </w:rPr>
        <w:t>ika</w:t>
      </w:r>
      <w:r>
        <w:rPr>
          <w:b/>
          <w:bCs/>
          <w:i/>
          <w:iCs/>
          <w:color w:val="974705"/>
          <w:spacing w:val="1"/>
        </w:rPr>
        <w:t>l</w:t>
      </w:r>
      <w:r>
        <w:rPr>
          <w:b/>
          <w:bCs/>
          <w:i/>
          <w:iCs/>
          <w:color w:val="974705"/>
          <w:spacing w:val="-2"/>
        </w:rPr>
        <w:t>s</w:t>
      </w:r>
      <w:r>
        <w:rPr>
          <w:b/>
          <w:bCs/>
          <w:i/>
          <w:iCs/>
          <w:color w:val="974705"/>
        </w:rPr>
        <w:t>t</w:t>
      </w:r>
      <w:r>
        <w:rPr>
          <w:b/>
          <w:bCs/>
          <w:i/>
          <w:iCs/>
          <w:color w:val="974705"/>
          <w:spacing w:val="-4"/>
        </w:rPr>
        <w:t>a</w:t>
      </w:r>
      <w:r>
        <w:rPr>
          <w:b/>
          <w:bCs/>
          <w:i/>
          <w:iCs/>
          <w:color w:val="974705"/>
          <w:spacing w:val="8"/>
        </w:rPr>
        <w:t>m</w:t>
      </w:r>
      <w:r>
        <w:rPr>
          <w:b/>
          <w:bCs/>
          <w:i/>
          <w:iCs/>
          <w:color w:val="974705"/>
        </w:rPr>
        <w:t>ų</w:t>
      </w:r>
      <w:r>
        <w:rPr>
          <w:b/>
          <w:bCs/>
          <w:i/>
          <w:iCs/>
          <w:color w:val="974705"/>
          <w:spacing w:val="4"/>
        </w:rPr>
        <w:t xml:space="preserve"> </w:t>
      </w:r>
      <w:r>
        <w:rPr>
          <w:b/>
          <w:bCs/>
          <w:i/>
          <w:iCs/>
          <w:color w:val="974705"/>
          <w:spacing w:val="-1"/>
        </w:rPr>
        <w:t>ve</w:t>
      </w:r>
      <w:r>
        <w:rPr>
          <w:b/>
          <w:bCs/>
          <w:i/>
          <w:iCs/>
          <w:color w:val="974705"/>
        </w:rPr>
        <w:t>ikų</w:t>
      </w:r>
      <w:r>
        <w:rPr>
          <w:b/>
          <w:bCs/>
          <w:i/>
          <w:iCs/>
          <w:color w:val="974705"/>
          <w:spacing w:val="-2"/>
        </w:rPr>
        <w:t xml:space="preserve"> </w:t>
      </w:r>
      <w:r>
        <w:rPr>
          <w:b/>
          <w:bCs/>
          <w:i/>
          <w:iCs/>
          <w:color w:val="974705"/>
        </w:rPr>
        <w:t>pob</w:t>
      </w:r>
      <w:r>
        <w:rPr>
          <w:b/>
          <w:bCs/>
          <w:i/>
          <w:iCs/>
          <w:color w:val="974705"/>
          <w:spacing w:val="1"/>
        </w:rPr>
        <w:t>ū</w:t>
      </w:r>
      <w:r>
        <w:rPr>
          <w:b/>
          <w:bCs/>
          <w:i/>
          <w:iCs/>
          <w:color w:val="974705"/>
        </w:rPr>
        <w:t>d</w:t>
      </w:r>
      <w:r>
        <w:rPr>
          <w:b/>
          <w:bCs/>
          <w:i/>
          <w:iCs/>
          <w:color w:val="974705"/>
          <w:spacing w:val="1"/>
        </w:rPr>
        <w:t>į</w:t>
      </w:r>
      <w:r>
        <w:rPr>
          <w:color w:val="974705"/>
        </w:rPr>
        <w:t>:</w:t>
      </w:r>
    </w:p>
    <w:p w:rsidR="004F7425" w:rsidRDefault="004F7425" w:rsidP="004F7425">
      <w:pPr>
        <w:widowControl w:val="0"/>
        <w:autoSpaceDE w:val="0"/>
        <w:autoSpaceDN w:val="0"/>
        <w:adjustRightInd w:val="0"/>
        <w:spacing w:before="8" w:line="120" w:lineRule="exact"/>
        <w:rPr>
          <w:color w:val="000000"/>
          <w:sz w:val="12"/>
          <w:szCs w:val="12"/>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310" w:lineRule="atLeast"/>
        <w:ind w:left="120" w:right="734"/>
        <w:jc w:val="both"/>
        <w:rPr>
          <w:color w:val="000000"/>
        </w:rPr>
      </w:pPr>
      <w:r>
        <w:rPr>
          <w:color w:val="000000"/>
          <w:spacing w:val="1"/>
        </w:rPr>
        <w:t>I</w:t>
      </w:r>
      <w:r>
        <w:rPr>
          <w:color w:val="000000"/>
        </w:rPr>
        <w:t>š</w:t>
      </w:r>
      <w:r>
        <w:rPr>
          <w:color w:val="000000"/>
          <w:spacing w:val="2"/>
        </w:rPr>
        <w:t xml:space="preserve"> </w:t>
      </w:r>
      <w:r>
        <w:rPr>
          <w:color w:val="000000"/>
        </w:rPr>
        <w:t>v</w:t>
      </w:r>
      <w:r>
        <w:rPr>
          <w:color w:val="000000"/>
          <w:spacing w:val="-4"/>
        </w:rPr>
        <w:t>i</w:t>
      </w:r>
      <w:r>
        <w:rPr>
          <w:color w:val="000000"/>
          <w:spacing w:val="-2"/>
        </w:rPr>
        <w:t>s</w:t>
      </w:r>
      <w:r>
        <w:rPr>
          <w:color w:val="000000"/>
        </w:rPr>
        <w:t>ų</w:t>
      </w:r>
      <w:r>
        <w:rPr>
          <w:color w:val="000000"/>
          <w:spacing w:val="5"/>
        </w:rPr>
        <w:t xml:space="preserve"> t</w:t>
      </w:r>
      <w:r>
        <w:rPr>
          <w:color w:val="000000"/>
          <w:spacing w:val="4"/>
        </w:rPr>
        <w:t>e</w:t>
      </w:r>
      <w:r>
        <w:rPr>
          <w:color w:val="000000"/>
          <w:spacing w:val="-4"/>
        </w:rPr>
        <w:t>i</w:t>
      </w:r>
      <w:r>
        <w:rPr>
          <w:color w:val="000000"/>
          <w:spacing w:val="-2"/>
        </w:rPr>
        <w:t>s</w:t>
      </w:r>
      <w:r>
        <w:rPr>
          <w:color w:val="000000"/>
          <w:spacing w:val="-1"/>
        </w:rPr>
        <w:t>ė</w:t>
      </w:r>
      <w:r>
        <w:rPr>
          <w:color w:val="000000"/>
          <w:spacing w:val="2"/>
        </w:rPr>
        <w:t>s</w:t>
      </w:r>
      <w:r>
        <w:rPr>
          <w:color w:val="000000"/>
          <w:spacing w:val="-1"/>
        </w:rPr>
        <w:t>a</w:t>
      </w:r>
      <w:r>
        <w:rPr>
          <w:color w:val="000000"/>
        </w:rPr>
        <w:t>ug</w:t>
      </w:r>
      <w:r>
        <w:rPr>
          <w:color w:val="000000"/>
          <w:spacing w:val="4"/>
        </w:rPr>
        <w:t>a</w:t>
      </w:r>
      <w:r>
        <w:rPr>
          <w:color w:val="000000"/>
        </w:rPr>
        <w:t xml:space="preserve">i </w:t>
      </w:r>
      <w:r>
        <w:rPr>
          <w:color w:val="000000"/>
          <w:spacing w:val="4"/>
        </w:rPr>
        <w:t>ž</w:t>
      </w:r>
      <w:r>
        <w:rPr>
          <w:color w:val="000000"/>
          <w:spacing w:val="-4"/>
        </w:rPr>
        <w:t>i</w:t>
      </w:r>
      <w:r>
        <w:rPr>
          <w:color w:val="000000"/>
          <w:spacing w:val="-5"/>
        </w:rPr>
        <w:t>n</w:t>
      </w:r>
      <w:r>
        <w:rPr>
          <w:color w:val="000000"/>
          <w:spacing w:val="9"/>
        </w:rPr>
        <w:t>o</w:t>
      </w:r>
      <w:r>
        <w:rPr>
          <w:color w:val="000000"/>
          <w:spacing w:val="-4"/>
        </w:rPr>
        <w:t>m</w:t>
      </w:r>
      <w:r>
        <w:rPr>
          <w:color w:val="000000"/>
        </w:rPr>
        <w:t>ų</w:t>
      </w:r>
      <w:r>
        <w:rPr>
          <w:color w:val="000000"/>
          <w:spacing w:val="5"/>
        </w:rPr>
        <w:t xml:space="preserve"> </w:t>
      </w:r>
      <w:r>
        <w:rPr>
          <w:color w:val="000000"/>
        </w:rPr>
        <w:t>107</w:t>
      </w:r>
      <w:r>
        <w:rPr>
          <w:color w:val="000000"/>
          <w:spacing w:val="5"/>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9"/>
        </w:rPr>
        <w:t>m</w:t>
      </w:r>
      <w:r>
        <w:rPr>
          <w:color w:val="000000"/>
        </w:rPr>
        <w:t xml:space="preserve">o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3"/>
        </w:rPr>
        <w:t xml:space="preserve"> </w:t>
      </w:r>
      <w:r>
        <w:rPr>
          <w:color w:val="000000"/>
        </w:rPr>
        <w:t>74</w:t>
      </w:r>
      <w:r>
        <w:rPr>
          <w:color w:val="000000"/>
          <w:spacing w:val="1"/>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spacing w:val="4"/>
        </w:rPr>
        <w:t>a</w:t>
      </w:r>
      <w:r>
        <w:rPr>
          <w:color w:val="000000"/>
        </w:rPr>
        <w:t>i</w:t>
      </w:r>
      <w:r>
        <w:rPr>
          <w:color w:val="000000"/>
          <w:spacing w:val="2"/>
        </w:rPr>
        <w:t xml:space="preserve"> </w:t>
      </w:r>
      <w:r>
        <w:rPr>
          <w:color w:val="000000"/>
          <w:spacing w:val="-10"/>
        </w:rPr>
        <w:t>y</w:t>
      </w:r>
      <w:r>
        <w:rPr>
          <w:color w:val="000000"/>
          <w:spacing w:val="1"/>
        </w:rPr>
        <w:t>r</w:t>
      </w:r>
      <w:r>
        <w:rPr>
          <w:color w:val="000000"/>
        </w:rPr>
        <w:t xml:space="preserve">a </w:t>
      </w:r>
      <w:r>
        <w:rPr>
          <w:color w:val="000000"/>
          <w:spacing w:val="-2"/>
        </w:rPr>
        <w:t>s</w:t>
      </w:r>
      <w:r>
        <w:rPr>
          <w:color w:val="000000"/>
          <w:spacing w:val="5"/>
        </w:rPr>
        <w:t>u</w:t>
      </w:r>
      <w:r>
        <w:rPr>
          <w:color w:val="000000"/>
          <w:spacing w:val="2"/>
        </w:rPr>
        <w:t>s</w:t>
      </w:r>
      <w:r>
        <w:rPr>
          <w:color w:val="000000"/>
        </w:rPr>
        <w:t>i</w:t>
      </w:r>
      <w:r>
        <w:rPr>
          <w:color w:val="000000"/>
          <w:spacing w:val="-4"/>
        </w:rPr>
        <w:t>j</w:t>
      </w:r>
      <w:r>
        <w:rPr>
          <w:color w:val="000000"/>
        </w:rPr>
        <w:t xml:space="preserve">ę </w:t>
      </w:r>
      <w:r>
        <w:rPr>
          <w:color w:val="000000"/>
          <w:spacing w:val="-2"/>
        </w:rPr>
        <w:t>s</w:t>
      </w:r>
      <w:r>
        <w:rPr>
          <w:color w:val="000000"/>
        </w:rPr>
        <w:t>u</w:t>
      </w:r>
      <w:r>
        <w:rPr>
          <w:color w:val="000000"/>
          <w:spacing w:val="1"/>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 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rPr>
        <w:t>d</w:t>
      </w:r>
      <w:r>
        <w:rPr>
          <w:color w:val="000000"/>
          <w:spacing w:val="-1"/>
        </w:rPr>
        <w:t>a</w:t>
      </w:r>
      <w:r>
        <w:rPr>
          <w:color w:val="000000"/>
        </w:rPr>
        <w:t>.</w:t>
      </w:r>
      <w:r>
        <w:rPr>
          <w:color w:val="000000"/>
          <w:spacing w:val="7"/>
        </w:rPr>
        <w:t xml:space="preserve"> </w:t>
      </w:r>
      <w:r>
        <w:rPr>
          <w:color w:val="000000"/>
          <w:spacing w:val="2"/>
        </w:rPr>
        <w:t>T</w:t>
      </w:r>
      <w:r>
        <w:rPr>
          <w:color w:val="000000"/>
          <w:spacing w:val="4"/>
        </w:rPr>
        <w:t>a</w:t>
      </w:r>
      <w:r>
        <w:rPr>
          <w:color w:val="000000"/>
        </w:rPr>
        <w:t xml:space="preserve">i </w:t>
      </w:r>
      <w:r>
        <w:rPr>
          <w:color w:val="000000"/>
          <w:spacing w:val="-2"/>
        </w:rPr>
        <w:t>s</w:t>
      </w:r>
      <w:r>
        <w:rPr>
          <w:color w:val="000000"/>
        </w:rPr>
        <w:t>ud</w:t>
      </w:r>
      <w:r>
        <w:rPr>
          <w:color w:val="000000"/>
          <w:spacing w:val="-1"/>
        </w:rPr>
        <w:t>a</w:t>
      </w:r>
      <w:r>
        <w:rPr>
          <w:color w:val="000000"/>
          <w:spacing w:val="1"/>
        </w:rPr>
        <w:t>r</w:t>
      </w:r>
      <w:r>
        <w:rPr>
          <w:color w:val="000000"/>
        </w:rPr>
        <w:t>o</w:t>
      </w:r>
      <w:r>
        <w:rPr>
          <w:color w:val="000000"/>
          <w:spacing w:val="9"/>
        </w:rPr>
        <w:t xml:space="preserve"> </w:t>
      </w:r>
      <w:r>
        <w:rPr>
          <w:color w:val="000000"/>
        </w:rPr>
        <w:t>81</w:t>
      </w:r>
      <w:r>
        <w:rPr>
          <w:color w:val="000000"/>
          <w:spacing w:val="5"/>
        </w:rPr>
        <w:t xml:space="preserve"> </w:t>
      </w:r>
      <w:r>
        <w:rPr>
          <w:color w:val="000000"/>
        </w:rPr>
        <w:t>%</w:t>
      </w:r>
      <w:r>
        <w:rPr>
          <w:color w:val="000000"/>
          <w:spacing w:val="6"/>
        </w:rPr>
        <w:t xml:space="preserve"> </w:t>
      </w:r>
      <w:r>
        <w:rPr>
          <w:color w:val="000000"/>
        </w:rPr>
        <w:t>v</w:t>
      </w:r>
      <w:r>
        <w:rPr>
          <w:color w:val="000000"/>
          <w:spacing w:val="-4"/>
        </w:rPr>
        <w:t>i</w:t>
      </w:r>
      <w:r>
        <w:rPr>
          <w:color w:val="000000"/>
          <w:spacing w:val="3"/>
        </w:rPr>
        <w:t>s</w:t>
      </w:r>
      <w:r>
        <w:rPr>
          <w:color w:val="000000"/>
        </w:rPr>
        <w:t>ų</w:t>
      </w:r>
      <w:r>
        <w:rPr>
          <w:color w:val="000000"/>
          <w:spacing w:val="5"/>
        </w:rPr>
        <w:t xml:space="preserve"> </w:t>
      </w:r>
      <w:r>
        <w:rPr>
          <w:color w:val="000000"/>
        </w:rPr>
        <w:t>2012</w:t>
      </w:r>
      <w:r>
        <w:rPr>
          <w:color w:val="000000"/>
          <w:spacing w:val="14"/>
        </w:rPr>
        <w:t xml:space="preserve"> </w:t>
      </w:r>
      <w:r>
        <w:rPr>
          <w:color w:val="000000"/>
          <w:spacing w:val="-9"/>
        </w:rPr>
        <w:t>m</w:t>
      </w:r>
      <w:r>
        <w:rPr>
          <w:color w:val="000000"/>
        </w:rPr>
        <w:t xml:space="preserve">.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9"/>
        </w:rPr>
        <w:t>l</w:t>
      </w:r>
      <w:r>
        <w:rPr>
          <w:color w:val="000000"/>
          <w:spacing w:val="10"/>
        </w:rPr>
        <w:t>t</w:t>
      </w:r>
      <w:r>
        <w:rPr>
          <w:color w:val="000000"/>
          <w:spacing w:val="-4"/>
        </w:rPr>
        <w:t>im</w:t>
      </w:r>
      <w:r>
        <w:rPr>
          <w:color w:val="000000"/>
        </w:rPr>
        <w:t>ų</w:t>
      </w:r>
      <w:r>
        <w:rPr>
          <w:color w:val="000000"/>
          <w:spacing w:val="17"/>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4"/>
        </w:rPr>
        <w:t>i</w:t>
      </w:r>
      <w:r>
        <w:rPr>
          <w:color w:val="000000"/>
        </w:rPr>
        <w:t>ų</w:t>
      </w:r>
      <w:r>
        <w:rPr>
          <w:color w:val="000000"/>
          <w:spacing w:val="17"/>
        </w:rPr>
        <w:t xml:space="preserve"> </w:t>
      </w:r>
      <w:r>
        <w:rPr>
          <w:color w:val="000000"/>
          <w:spacing w:val="-2"/>
        </w:rPr>
        <w:t>s</w:t>
      </w:r>
      <w:r>
        <w:rPr>
          <w:color w:val="000000"/>
        </w:rPr>
        <w:t>u</w:t>
      </w:r>
      <w:r>
        <w:rPr>
          <w:color w:val="000000"/>
          <w:spacing w:val="17"/>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w:t>
      </w:r>
      <w:r>
        <w:rPr>
          <w:color w:val="000000"/>
          <w:spacing w:val="4"/>
        </w:rPr>
        <w:t>a</w:t>
      </w:r>
      <w:r>
        <w:rPr>
          <w:color w:val="000000"/>
          <w:spacing w:val="-4"/>
        </w:rPr>
        <w:t>i</w:t>
      </w:r>
      <w:r>
        <w:rPr>
          <w:color w:val="000000"/>
        </w:rPr>
        <w:t>s</w:t>
      </w:r>
      <w:r>
        <w:rPr>
          <w:color w:val="000000"/>
          <w:spacing w:val="10"/>
        </w:rPr>
        <w:t xml:space="preserve"> </w:t>
      </w:r>
      <w:r>
        <w:rPr>
          <w:color w:val="000000"/>
        </w:rPr>
        <w:t>u</w:t>
      </w:r>
      <w:r>
        <w:rPr>
          <w:color w:val="000000"/>
          <w:spacing w:val="4"/>
        </w:rPr>
        <w:t>ž</w:t>
      </w:r>
      <w:r>
        <w:rPr>
          <w:color w:val="000000"/>
          <w:spacing w:val="2"/>
        </w:rPr>
        <w:t>s</w:t>
      </w:r>
      <w:r>
        <w:rPr>
          <w:color w:val="000000"/>
          <w:spacing w:val="-4"/>
        </w:rPr>
        <w:t>i</w:t>
      </w:r>
      <w:r>
        <w:rPr>
          <w:color w:val="000000"/>
          <w:spacing w:val="4"/>
        </w:rPr>
        <w:t>e</w:t>
      </w:r>
      <w:r>
        <w:rPr>
          <w:color w:val="000000"/>
        </w:rPr>
        <w:t>ny</w:t>
      </w:r>
      <w:r>
        <w:rPr>
          <w:color w:val="000000"/>
          <w:spacing w:val="-4"/>
        </w:rPr>
        <w:t>j</w:t>
      </w:r>
      <w:r>
        <w:rPr>
          <w:color w:val="000000"/>
        </w:rPr>
        <w:t>e</w:t>
      </w:r>
    </w:p>
    <w:p w:rsidR="004F7425" w:rsidRDefault="004F7425" w:rsidP="004F7425">
      <w:pPr>
        <w:widowControl w:val="0"/>
        <w:autoSpaceDE w:val="0"/>
        <w:autoSpaceDN w:val="0"/>
        <w:adjustRightInd w:val="0"/>
        <w:spacing w:line="200" w:lineRule="exact"/>
        <w:rPr>
          <w:color w:val="000000"/>
          <w:sz w:val="20"/>
        </w:rPr>
      </w:pPr>
      <w:r>
        <w:rPr>
          <w:color w:val="000000"/>
        </w:rPr>
        <w:br w:type="column"/>
      </w:r>
    </w:p>
    <w:p w:rsidR="004F7425" w:rsidRDefault="004F7425" w:rsidP="004F7425">
      <w:pPr>
        <w:widowControl w:val="0"/>
        <w:autoSpaceDE w:val="0"/>
        <w:autoSpaceDN w:val="0"/>
        <w:adjustRightInd w:val="0"/>
        <w:spacing w:before="2" w:line="280" w:lineRule="exact"/>
        <w:rPr>
          <w:color w:val="000000"/>
          <w:sz w:val="28"/>
          <w:szCs w:val="28"/>
        </w:rPr>
      </w:pPr>
    </w:p>
    <w:p w:rsidR="004F7425" w:rsidRDefault="004F7425" w:rsidP="004F7425">
      <w:pPr>
        <w:widowControl w:val="0"/>
        <w:autoSpaceDE w:val="0"/>
        <w:autoSpaceDN w:val="0"/>
        <w:adjustRightInd w:val="0"/>
        <w:ind w:left="-61" w:right="1002"/>
        <w:jc w:val="right"/>
        <w:rPr>
          <w:color w:val="000000"/>
        </w:rPr>
      </w:pPr>
      <w:r>
        <w:rPr>
          <w:b/>
          <w:bCs/>
          <w:color w:val="974707"/>
          <w:spacing w:val="5"/>
        </w:rPr>
        <w:t>S</w:t>
      </w:r>
      <w:r>
        <w:rPr>
          <w:b/>
          <w:bCs/>
          <w:color w:val="974707"/>
          <w:spacing w:val="-8"/>
        </w:rPr>
        <w:t>u</w:t>
      </w:r>
      <w:r>
        <w:rPr>
          <w:b/>
          <w:bCs/>
          <w:color w:val="974707"/>
          <w:spacing w:val="-4"/>
        </w:rPr>
        <w:t>l</w:t>
      </w:r>
      <w:r>
        <w:rPr>
          <w:b/>
          <w:bCs/>
          <w:color w:val="974707"/>
          <w:spacing w:val="6"/>
        </w:rPr>
        <w:t>a</w:t>
      </w:r>
      <w:r>
        <w:rPr>
          <w:b/>
          <w:bCs/>
          <w:color w:val="974707"/>
          <w:spacing w:val="-4"/>
        </w:rPr>
        <w:t>i</w:t>
      </w:r>
      <w:r>
        <w:rPr>
          <w:b/>
          <w:bCs/>
          <w:color w:val="974707"/>
          <w:spacing w:val="5"/>
        </w:rPr>
        <w:t>k</w:t>
      </w:r>
      <w:r>
        <w:rPr>
          <w:b/>
          <w:bCs/>
          <w:color w:val="974707"/>
          <w:spacing w:val="-7"/>
        </w:rPr>
        <w:t>y</w:t>
      </w:r>
      <w:r>
        <w:rPr>
          <w:b/>
          <w:bCs/>
          <w:color w:val="974707"/>
          <w:spacing w:val="-11"/>
        </w:rPr>
        <w:t>m</w:t>
      </w:r>
      <w:r>
        <w:rPr>
          <w:b/>
          <w:bCs/>
          <w:color w:val="974707"/>
          <w:spacing w:val="6"/>
        </w:rPr>
        <w:t>a</w:t>
      </w:r>
      <w:r>
        <w:rPr>
          <w:b/>
          <w:bCs/>
          <w:color w:val="974707"/>
        </w:rPr>
        <w:t xml:space="preserve">i </w:t>
      </w:r>
      <w:r>
        <w:rPr>
          <w:b/>
          <w:bCs/>
          <w:color w:val="974707"/>
          <w:spacing w:val="-8"/>
        </w:rPr>
        <w:t>p</w:t>
      </w:r>
      <w:r>
        <w:rPr>
          <w:b/>
          <w:bCs/>
          <w:color w:val="974707"/>
          <w:spacing w:val="6"/>
        </w:rPr>
        <w:t>aga</w:t>
      </w:r>
      <w:r>
        <w:rPr>
          <w:b/>
          <w:bCs/>
          <w:color w:val="974707"/>
        </w:rPr>
        <w:t>l</w:t>
      </w:r>
      <w:r>
        <w:rPr>
          <w:b/>
          <w:bCs/>
          <w:color w:val="974707"/>
          <w:spacing w:val="-7"/>
        </w:rPr>
        <w:t xml:space="preserve"> </w:t>
      </w:r>
      <w:r>
        <w:rPr>
          <w:b/>
          <w:bCs/>
          <w:color w:val="974707"/>
          <w:spacing w:val="-8"/>
          <w:w w:val="99"/>
        </w:rPr>
        <w:t>nu</w:t>
      </w:r>
      <w:r>
        <w:rPr>
          <w:b/>
          <w:bCs/>
          <w:color w:val="974707"/>
          <w:spacing w:val="7"/>
          <w:w w:val="99"/>
        </w:rPr>
        <w:t>s</w:t>
      </w:r>
      <w:r>
        <w:rPr>
          <w:b/>
          <w:bCs/>
          <w:color w:val="974707"/>
          <w:spacing w:val="-4"/>
          <w:w w:val="99"/>
        </w:rPr>
        <w:t>i</w:t>
      </w:r>
      <w:r>
        <w:rPr>
          <w:b/>
          <w:bCs/>
          <w:color w:val="974707"/>
          <w:spacing w:val="5"/>
          <w:w w:val="99"/>
        </w:rPr>
        <w:t>k</w:t>
      </w:r>
      <w:r>
        <w:rPr>
          <w:b/>
          <w:bCs/>
          <w:color w:val="974707"/>
          <w:spacing w:val="6"/>
          <w:w w:val="99"/>
        </w:rPr>
        <w:t>a</w:t>
      </w:r>
      <w:r>
        <w:rPr>
          <w:b/>
          <w:bCs/>
          <w:color w:val="974707"/>
          <w:spacing w:val="-4"/>
          <w:w w:val="99"/>
        </w:rPr>
        <w:t>l</w:t>
      </w:r>
      <w:r>
        <w:rPr>
          <w:b/>
          <w:bCs/>
          <w:color w:val="974707"/>
          <w:spacing w:val="7"/>
          <w:w w:val="99"/>
        </w:rPr>
        <w:t>s</w:t>
      </w:r>
      <w:r>
        <w:rPr>
          <w:b/>
          <w:bCs/>
          <w:color w:val="974707"/>
          <w:spacing w:val="-4"/>
          <w:w w:val="99"/>
        </w:rPr>
        <w:t>t</w:t>
      </w:r>
      <w:r>
        <w:rPr>
          <w:b/>
          <w:bCs/>
          <w:color w:val="974707"/>
          <w:spacing w:val="6"/>
          <w:w w:val="99"/>
        </w:rPr>
        <w:t>a</w:t>
      </w:r>
      <w:r>
        <w:rPr>
          <w:b/>
          <w:bCs/>
          <w:color w:val="974707"/>
          <w:spacing w:val="-11"/>
          <w:w w:val="99"/>
        </w:rPr>
        <w:t>m</w:t>
      </w:r>
      <w:r>
        <w:rPr>
          <w:b/>
          <w:bCs/>
          <w:color w:val="974707"/>
          <w:spacing w:val="6"/>
          <w:w w:val="99"/>
        </w:rPr>
        <w:t>o</w:t>
      </w:r>
      <w:r>
        <w:rPr>
          <w:b/>
          <w:bCs/>
          <w:color w:val="974707"/>
          <w:w w:val="99"/>
        </w:rPr>
        <w:t>s</w:t>
      </w:r>
    </w:p>
    <w:p w:rsidR="004F7425" w:rsidRDefault="004F7425" w:rsidP="004F7425">
      <w:pPr>
        <w:widowControl w:val="0"/>
        <w:autoSpaceDE w:val="0"/>
        <w:autoSpaceDN w:val="0"/>
        <w:adjustRightInd w:val="0"/>
        <w:ind w:left="917" w:right="1906"/>
        <w:jc w:val="center"/>
        <w:rPr>
          <w:color w:val="000000"/>
        </w:rPr>
      </w:pPr>
      <w:r>
        <w:rPr>
          <w:b/>
          <w:bCs/>
          <w:color w:val="974707"/>
          <w:spacing w:val="-6"/>
        </w:rPr>
        <w:t>v</w:t>
      </w:r>
      <w:r>
        <w:rPr>
          <w:b/>
          <w:bCs/>
          <w:color w:val="974707"/>
          <w:spacing w:val="7"/>
        </w:rPr>
        <w:t>e</w:t>
      </w:r>
      <w:r>
        <w:rPr>
          <w:b/>
          <w:bCs/>
          <w:color w:val="974707"/>
          <w:spacing w:val="-3"/>
        </w:rPr>
        <w:t>i</w:t>
      </w:r>
      <w:r>
        <w:rPr>
          <w:b/>
          <w:bCs/>
          <w:color w:val="974707"/>
          <w:spacing w:val="5"/>
        </w:rPr>
        <w:t>k</w:t>
      </w:r>
      <w:r>
        <w:rPr>
          <w:b/>
          <w:bCs/>
          <w:color w:val="974707"/>
          <w:spacing w:val="6"/>
        </w:rPr>
        <w:t>o</w:t>
      </w:r>
      <w:r>
        <w:rPr>
          <w:b/>
          <w:bCs/>
          <w:color w:val="974707"/>
        </w:rPr>
        <w:t>s</w:t>
      </w:r>
      <w:r>
        <w:rPr>
          <w:b/>
          <w:bCs/>
          <w:color w:val="974707"/>
          <w:spacing w:val="-8"/>
        </w:rPr>
        <w:t xml:space="preserve"> </w:t>
      </w:r>
      <w:r>
        <w:rPr>
          <w:b/>
          <w:bCs/>
          <w:color w:val="974707"/>
          <w:spacing w:val="-7"/>
          <w:w w:val="99"/>
        </w:rPr>
        <w:t>p</w:t>
      </w:r>
      <w:r>
        <w:rPr>
          <w:b/>
          <w:bCs/>
          <w:color w:val="974707"/>
          <w:spacing w:val="6"/>
          <w:w w:val="99"/>
        </w:rPr>
        <w:t>o</w:t>
      </w:r>
      <w:r>
        <w:rPr>
          <w:b/>
          <w:bCs/>
          <w:color w:val="974707"/>
          <w:spacing w:val="-7"/>
          <w:w w:val="99"/>
        </w:rPr>
        <w:t>būd</w:t>
      </w:r>
      <w:r>
        <w:rPr>
          <w:b/>
          <w:bCs/>
          <w:color w:val="974707"/>
          <w:w w:val="99"/>
        </w:rPr>
        <w:t>į</w:t>
      </w:r>
    </w:p>
    <w:p w:rsidR="004F7425" w:rsidRDefault="004F7425" w:rsidP="004F7425">
      <w:pPr>
        <w:widowControl w:val="0"/>
        <w:autoSpaceDE w:val="0"/>
        <w:autoSpaceDN w:val="0"/>
        <w:adjustRightInd w:val="0"/>
        <w:spacing w:before="1"/>
        <w:ind w:left="1219" w:right="2213"/>
        <w:jc w:val="center"/>
        <w:rPr>
          <w:color w:val="000000"/>
        </w:rPr>
      </w:pPr>
      <w:r>
        <w:rPr>
          <w:b/>
          <w:bCs/>
          <w:color w:val="974707"/>
          <w:spacing w:val="6"/>
        </w:rPr>
        <w:t>201</w:t>
      </w:r>
      <w:r>
        <w:rPr>
          <w:b/>
          <w:bCs/>
          <w:color w:val="974707"/>
        </w:rPr>
        <w:t>2</w:t>
      </w:r>
      <w:r>
        <w:rPr>
          <w:b/>
          <w:bCs/>
          <w:color w:val="974707"/>
          <w:spacing w:val="-22"/>
        </w:rPr>
        <w:t xml:space="preserve"> </w:t>
      </w:r>
      <w:r>
        <w:rPr>
          <w:b/>
          <w:bCs/>
          <w:color w:val="974707"/>
          <w:spacing w:val="-11"/>
          <w:w w:val="99"/>
        </w:rPr>
        <w:t>m</w:t>
      </w:r>
      <w:r>
        <w:rPr>
          <w:b/>
          <w:bCs/>
          <w:color w:val="974707"/>
          <w:w w:val="99"/>
        </w:rPr>
        <w:t>.</w:t>
      </w:r>
    </w:p>
    <w:p w:rsidR="004F7425" w:rsidRDefault="004F7425" w:rsidP="004F7425">
      <w:pPr>
        <w:widowControl w:val="0"/>
        <w:autoSpaceDE w:val="0"/>
        <w:autoSpaceDN w:val="0"/>
        <w:adjustRightInd w:val="0"/>
        <w:spacing w:before="6" w:line="140" w:lineRule="exact"/>
        <w:rPr>
          <w:color w:val="000000"/>
          <w:sz w:val="14"/>
          <w:szCs w:val="14"/>
        </w:rPr>
      </w:pPr>
    </w:p>
    <w:p w:rsidR="004F7425" w:rsidRDefault="004F7425" w:rsidP="004F7425">
      <w:pPr>
        <w:widowControl w:val="0"/>
        <w:autoSpaceDE w:val="0"/>
        <w:autoSpaceDN w:val="0"/>
        <w:adjustRightInd w:val="0"/>
        <w:ind w:right="757"/>
        <w:jc w:val="right"/>
        <w:rPr>
          <w:rFonts w:ascii="Calibri" w:hAnsi="Calibri" w:cs="Calibri"/>
          <w:color w:val="000000"/>
          <w:sz w:val="17"/>
          <w:szCs w:val="17"/>
        </w:rPr>
      </w:pPr>
      <w:r>
        <w:rPr>
          <w:rFonts w:ascii="Calibri" w:hAnsi="Calibri" w:cs="Calibri"/>
          <w:color w:val="000000"/>
          <w:spacing w:val="-3"/>
          <w:w w:val="104"/>
          <w:sz w:val="17"/>
          <w:szCs w:val="17"/>
        </w:rPr>
        <w:t>l</w:t>
      </w:r>
      <w:r>
        <w:rPr>
          <w:rFonts w:ascii="Calibri" w:hAnsi="Calibri" w:cs="Calibri"/>
          <w:color w:val="000000"/>
          <w:spacing w:val="3"/>
          <w:w w:val="103"/>
          <w:sz w:val="17"/>
          <w:szCs w:val="17"/>
        </w:rPr>
        <w:t>a</w:t>
      </w:r>
      <w:r>
        <w:rPr>
          <w:rFonts w:ascii="Calibri" w:hAnsi="Calibri" w:cs="Calibri"/>
          <w:color w:val="000000"/>
          <w:spacing w:val="-3"/>
          <w:w w:val="104"/>
          <w:sz w:val="17"/>
          <w:szCs w:val="17"/>
        </w:rPr>
        <w:t>i</w:t>
      </w:r>
      <w:r>
        <w:rPr>
          <w:rFonts w:ascii="Calibri" w:hAnsi="Calibri" w:cs="Calibri"/>
          <w:color w:val="000000"/>
          <w:spacing w:val="-5"/>
          <w:w w:val="103"/>
          <w:sz w:val="17"/>
          <w:szCs w:val="17"/>
        </w:rPr>
        <w:t>k</w:t>
      </w:r>
      <w:r>
        <w:rPr>
          <w:rFonts w:ascii="Calibri" w:hAnsi="Calibri" w:cs="Calibri"/>
          <w:color w:val="000000"/>
          <w:spacing w:val="-4"/>
          <w:w w:val="103"/>
          <w:sz w:val="17"/>
          <w:szCs w:val="17"/>
        </w:rPr>
        <w:t>y</w:t>
      </w:r>
      <w:r>
        <w:rPr>
          <w:rFonts w:ascii="Calibri" w:hAnsi="Calibri" w:cs="Calibri"/>
          <w:color w:val="000000"/>
          <w:spacing w:val="-2"/>
          <w:w w:val="103"/>
          <w:sz w:val="17"/>
          <w:szCs w:val="17"/>
        </w:rPr>
        <w:t>m</w:t>
      </w:r>
      <w:r>
        <w:rPr>
          <w:rFonts w:ascii="Calibri" w:hAnsi="Calibri" w:cs="Calibri"/>
          <w:color w:val="000000"/>
          <w:spacing w:val="3"/>
          <w:w w:val="103"/>
          <w:sz w:val="17"/>
          <w:szCs w:val="17"/>
        </w:rPr>
        <w:t>a</w:t>
      </w:r>
      <w:r>
        <w:rPr>
          <w:rFonts w:ascii="Calibri" w:hAnsi="Calibri" w:cs="Calibri"/>
          <w:color w:val="000000"/>
          <w:w w:val="103"/>
          <w:sz w:val="17"/>
          <w:szCs w:val="17"/>
        </w:rPr>
        <w:t>s</w:t>
      </w:r>
    </w:p>
    <w:p w:rsidR="004F7425" w:rsidRDefault="004F7425" w:rsidP="004F7425">
      <w:pPr>
        <w:widowControl w:val="0"/>
        <w:autoSpaceDE w:val="0"/>
        <w:autoSpaceDN w:val="0"/>
        <w:adjustRightInd w:val="0"/>
        <w:spacing w:before="6"/>
        <w:ind w:right="916"/>
        <w:jc w:val="right"/>
        <w:rPr>
          <w:rFonts w:ascii="Calibri" w:hAnsi="Calibri" w:cs="Calibri"/>
          <w:color w:val="000000"/>
          <w:sz w:val="17"/>
          <w:szCs w:val="17"/>
        </w:rPr>
      </w:pPr>
      <w:r>
        <w:rPr>
          <w:rFonts w:ascii="Calibri" w:hAnsi="Calibri" w:cs="Calibri"/>
          <w:color w:val="000000"/>
          <w:spacing w:val="-1"/>
          <w:w w:val="103"/>
          <w:sz w:val="17"/>
          <w:szCs w:val="17"/>
        </w:rPr>
        <w:t>12%</w:t>
      </w:r>
    </w:p>
    <w:p w:rsidR="004F7425" w:rsidRDefault="004F7425" w:rsidP="004F7425">
      <w:pPr>
        <w:widowControl w:val="0"/>
        <w:autoSpaceDE w:val="0"/>
        <w:autoSpaceDN w:val="0"/>
        <w:adjustRightInd w:val="0"/>
        <w:spacing w:before="6"/>
        <w:ind w:right="916"/>
        <w:jc w:val="right"/>
        <w:rPr>
          <w:rFonts w:ascii="Calibri" w:hAnsi="Calibri" w:cs="Calibri"/>
          <w:color w:val="000000"/>
          <w:sz w:val="17"/>
          <w:szCs w:val="17"/>
        </w:rPr>
        <w:sectPr w:rsidR="004F7425">
          <w:type w:val="continuous"/>
          <w:pgSz w:w="11920" w:h="16840"/>
          <w:pgMar w:top="1540" w:right="460" w:bottom="280" w:left="1580" w:header="567" w:footer="567" w:gutter="0"/>
          <w:cols w:num="2" w:space="1296" w:equalWidth="0">
            <w:col w:w="5359" w:space="190"/>
            <w:col w:w="4331"/>
          </w:cols>
          <w:noEndnote/>
        </w:sectPr>
      </w:pPr>
    </w:p>
    <w:p w:rsidR="004F7425" w:rsidRDefault="004F7425" w:rsidP="004F7425">
      <w:pPr>
        <w:widowControl w:val="0"/>
        <w:autoSpaceDE w:val="0"/>
        <w:autoSpaceDN w:val="0"/>
        <w:adjustRightInd w:val="0"/>
        <w:spacing w:before="41" w:line="275" w:lineRule="auto"/>
        <w:ind w:left="120" w:right="-61"/>
        <w:jc w:val="both"/>
        <w:rPr>
          <w:color w:val="000000"/>
        </w:rPr>
      </w:pPr>
      <w:r>
        <w:rPr>
          <w:color w:val="000000"/>
          <w:spacing w:val="-1"/>
        </w:rPr>
        <w:lastRenderedPageBreak/>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4"/>
        </w:rPr>
        <w:t xml:space="preserve"> </w:t>
      </w:r>
      <w:r>
        <w:rPr>
          <w:color w:val="000000"/>
        </w:rPr>
        <w:t>12</w:t>
      </w:r>
      <w:r>
        <w:rPr>
          <w:color w:val="000000"/>
          <w:spacing w:val="1"/>
        </w:rPr>
        <w:t xml:space="preserve"> </w:t>
      </w:r>
      <w:r>
        <w:rPr>
          <w:color w:val="000000"/>
        </w:rPr>
        <w:t>%</w:t>
      </w:r>
      <w:r>
        <w:rPr>
          <w:color w:val="000000"/>
          <w:spacing w:val="3"/>
        </w:rPr>
        <w:t xml:space="preserve"> </w:t>
      </w:r>
      <w:r>
        <w:rPr>
          <w:color w:val="000000"/>
        </w:rPr>
        <w:t>-</w:t>
      </w:r>
      <w:r>
        <w:rPr>
          <w:color w:val="000000"/>
          <w:spacing w:val="3"/>
        </w:rPr>
        <w:t xml:space="preserve"> </w:t>
      </w:r>
      <w:r>
        <w:rPr>
          <w:color w:val="000000"/>
        </w:rPr>
        <w:t>d</w:t>
      </w:r>
      <w:r>
        <w:rPr>
          <w:color w:val="000000"/>
          <w:spacing w:val="-9"/>
        </w:rPr>
        <w:t>i</w:t>
      </w:r>
      <w:r>
        <w:rPr>
          <w:color w:val="000000"/>
          <w:spacing w:val="-2"/>
        </w:rPr>
        <w:t>s</w:t>
      </w:r>
      <w:r>
        <w:rPr>
          <w:color w:val="000000"/>
        </w:rPr>
        <w:t>p</w:t>
      </w:r>
      <w:r>
        <w:rPr>
          <w:color w:val="000000"/>
          <w:spacing w:val="5"/>
        </w:rPr>
        <w:t>o</w:t>
      </w:r>
      <w:r>
        <w:rPr>
          <w:color w:val="000000"/>
        </w:rPr>
        <w:t>n</w:t>
      </w:r>
      <w:r>
        <w:rPr>
          <w:color w:val="000000"/>
          <w:spacing w:val="4"/>
        </w:rPr>
        <w:t>a</w:t>
      </w:r>
      <w:r>
        <w:rPr>
          <w:color w:val="000000"/>
        </w:rPr>
        <w:t>v</w:t>
      </w:r>
      <w:r>
        <w:rPr>
          <w:color w:val="000000"/>
          <w:spacing w:val="-4"/>
        </w:rPr>
        <w:t>im</w:t>
      </w:r>
      <w:r>
        <w:rPr>
          <w:color w:val="000000"/>
          <w:spacing w:val="4"/>
        </w:rPr>
        <w:t>a</w:t>
      </w:r>
      <w:r>
        <w:rPr>
          <w:color w:val="000000"/>
          <w:spacing w:val="-2"/>
        </w:rPr>
        <w:t>s</w:t>
      </w:r>
      <w:r>
        <w:rPr>
          <w:color w:val="000000"/>
        </w:rPr>
        <w:t>,</w:t>
      </w:r>
      <w:r>
        <w:rPr>
          <w:color w:val="000000"/>
          <w:spacing w:val="8"/>
        </w:rPr>
        <w:t xml:space="preserve"> </w:t>
      </w:r>
      <w:r>
        <w:rPr>
          <w:color w:val="000000"/>
          <w:spacing w:val="-4"/>
        </w:rPr>
        <w:t>li</w:t>
      </w:r>
      <w:r>
        <w:rPr>
          <w:color w:val="000000"/>
        </w:rPr>
        <w:t>kę 7</w:t>
      </w:r>
      <w:r>
        <w:rPr>
          <w:color w:val="000000"/>
          <w:spacing w:val="1"/>
        </w:rPr>
        <w:t xml:space="preserve"> </w:t>
      </w:r>
      <w:r>
        <w:rPr>
          <w:color w:val="000000"/>
        </w:rPr>
        <w:t>%</w:t>
      </w:r>
      <w:r>
        <w:rPr>
          <w:color w:val="000000"/>
          <w:spacing w:val="5"/>
        </w:rPr>
        <w:t xml:space="preserve"> </w:t>
      </w:r>
      <w:r>
        <w:rPr>
          <w:color w:val="000000"/>
        </w:rPr>
        <w:t>- p</w:t>
      </w:r>
      <w:r>
        <w:rPr>
          <w:color w:val="000000"/>
          <w:spacing w:val="1"/>
        </w:rPr>
        <w:t>r</w:t>
      </w:r>
      <w:r>
        <w:rPr>
          <w:color w:val="000000"/>
          <w:spacing w:val="-1"/>
        </w:rPr>
        <w:t>e</w:t>
      </w:r>
      <w:r>
        <w:rPr>
          <w:color w:val="000000"/>
          <w:spacing w:val="5"/>
        </w:rPr>
        <w:t>k</w:t>
      </w:r>
      <w:r>
        <w:rPr>
          <w:color w:val="000000"/>
          <w:spacing w:val="-5"/>
        </w:rPr>
        <w:t>yb</w:t>
      </w:r>
      <w:r>
        <w:rPr>
          <w:color w:val="000000"/>
        </w:rPr>
        <w:t>a</w:t>
      </w:r>
      <w:r>
        <w:rPr>
          <w:color w:val="000000"/>
          <w:spacing w:val="11"/>
        </w:rPr>
        <w:t xml:space="preserve"> </w:t>
      </w:r>
      <w:r>
        <w:rPr>
          <w:color w:val="000000"/>
          <w:spacing w:val="-4"/>
        </w:rPr>
        <w:t>i</w:t>
      </w:r>
      <w:r>
        <w:rPr>
          <w:color w:val="000000"/>
        </w:rPr>
        <w:t>r</w:t>
      </w:r>
      <w:r>
        <w:rPr>
          <w:color w:val="000000"/>
          <w:spacing w:val="8"/>
        </w:rPr>
        <w:t xml:space="preserve"> </w:t>
      </w:r>
      <w:r>
        <w:rPr>
          <w:color w:val="000000"/>
          <w:spacing w:val="-1"/>
        </w:rPr>
        <w:t>a</w:t>
      </w:r>
      <w:r>
        <w:rPr>
          <w:color w:val="000000"/>
        </w:rPr>
        <w:t>u</w:t>
      </w:r>
      <w:r>
        <w:rPr>
          <w:color w:val="000000"/>
          <w:spacing w:val="5"/>
        </w:rPr>
        <w:t>g</w:t>
      </w:r>
      <w:r>
        <w:rPr>
          <w:color w:val="000000"/>
          <w:spacing w:val="-4"/>
        </w:rPr>
        <w:t>i</w:t>
      </w:r>
      <w:r>
        <w:rPr>
          <w:color w:val="000000"/>
          <w:spacing w:val="5"/>
        </w:rPr>
        <w:t>n</w:t>
      </w:r>
      <w:r>
        <w:rPr>
          <w:color w:val="000000"/>
        </w:rPr>
        <w:t>i</w:t>
      </w:r>
      <w:r>
        <w:rPr>
          <w:color w:val="000000"/>
          <w:spacing w:val="-4"/>
        </w:rPr>
        <w:t>m</w:t>
      </w:r>
      <w:r>
        <w:rPr>
          <w:color w:val="000000"/>
          <w:spacing w:val="4"/>
        </w:rPr>
        <w:t>a</w:t>
      </w:r>
      <w:r>
        <w:rPr>
          <w:color w:val="000000"/>
          <w:spacing w:val="-2"/>
        </w:rPr>
        <w:t>s</w:t>
      </w:r>
      <w:r>
        <w:rPr>
          <w:color w:val="000000"/>
        </w:rPr>
        <w:t>.</w:t>
      </w:r>
      <w:r>
        <w:rPr>
          <w:color w:val="000000"/>
          <w:spacing w:val="9"/>
        </w:rPr>
        <w:t xml:space="preserve"> </w:t>
      </w:r>
      <w:r>
        <w:rPr>
          <w:color w:val="000000"/>
          <w:spacing w:val="2"/>
        </w:rPr>
        <w:t>T</w:t>
      </w:r>
      <w:r>
        <w:rPr>
          <w:color w:val="000000"/>
          <w:spacing w:val="5"/>
        </w:rPr>
        <w:t>o</w:t>
      </w:r>
      <w:r>
        <w:rPr>
          <w:color w:val="000000"/>
        </w:rPr>
        <w:t>d</w:t>
      </w:r>
      <w:r>
        <w:rPr>
          <w:color w:val="000000"/>
          <w:spacing w:val="-1"/>
        </w:rPr>
        <w:t>ė</w:t>
      </w:r>
      <w:r>
        <w:rPr>
          <w:color w:val="000000"/>
        </w:rPr>
        <w:t>l</w:t>
      </w:r>
      <w:r>
        <w:rPr>
          <w:color w:val="000000"/>
          <w:spacing w:val="-2"/>
        </w:rPr>
        <w:t xml:space="preserve"> </w:t>
      </w:r>
      <w:r>
        <w:rPr>
          <w:color w:val="000000"/>
        </w:rPr>
        <w:t>g</w:t>
      </w:r>
      <w:r>
        <w:rPr>
          <w:color w:val="000000"/>
          <w:spacing w:val="4"/>
        </w:rPr>
        <w:t>a</w:t>
      </w:r>
      <w:r>
        <w:rPr>
          <w:color w:val="000000"/>
        </w:rPr>
        <w:t>l</w:t>
      </w:r>
      <w:r>
        <w:rPr>
          <w:color w:val="000000"/>
          <w:spacing w:val="1"/>
        </w:rPr>
        <w:t>i</w:t>
      </w:r>
      <w:r>
        <w:rPr>
          <w:color w:val="000000"/>
          <w:spacing w:val="-4"/>
        </w:rPr>
        <w:t>m</w:t>
      </w:r>
      <w:r>
        <w:rPr>
          <w:color w:val="000000"/>
        </w:rPr>
        <w:t>e</w:t>
      </w:r>
      <w:r>
        <w:rPr>
          <w:color w:val="000000"/>
          <w:spacing w:val="11"/>
        </w:rPr>
        <w:t xml:space="preserve"> </w:t>
      </w:r>
      <w:r>
        <w:rPr>
          <w:color w:val="000000"/>
          <w:spacing w:val="5"/>
        </w:rPr>
        <w:t>t</w:t>
      </w:r>
      <w:r>
        <w:rPr>
          <w:color w:val="000000"/>
          <w:spacing w:val="4"/>
        </w:rPr>
        <w:t>e</w:t>
      </w:r>
      <w:r>
        <w:rPr>
          <w:color w:val="000000"/>
          <w:spacing w:val="-9"/>
        </w:rPr>
        <w:t>i</w:t>
      </w:r>
      <w:r>
        <w:rPr>
          <w:color w:val="000000"/>
        </w:rPr>
        <w:t>g</w:t>
      </w:r>
      <w:r>
        <w:rPr>
          <w:color w:val="000000"/>
          <w:spacing w:val="5"/>
        </w:rPr>
        <w:t>t</w:t>
      </w:r>
      <w:r>
        <w:rPr>
          <w:color w:val="000000"/>
          <w:spacing w:val="-9"/>
        </w:rPr>
        <w:t>i</w:t>
      </w:r>
      <w:r>
        <w:rPr>
          <w:color w:val="000000"/>
        </w:rPr>
        <w:t>,</w:t>
      </w:r>
      <w:r>
        <w:rPr>
          <w:color w:val="000000"/>
          <w:spacing w:val="14"/>
        </w:rPr>
        <w:t xml:space="preserve"> </w:t>
      </w:r>
      <w:r>
        <w:rPr>
          <w:color w:val="000000"/>
          <w:spacing w:val="-9"/>
        </w:rPr>
        <w:t>j</w:t>
      </w:r>
      <w:r>
        <w:rPr>
          <w:color w:val="000000"/>
          <w:spacing w:val="5"/>
        </w:rPr>
        <w:t>o</w:t>
      </w:r>
      <w:r>
        <w:rPr>
          <w:color w:val="000000"/>
        </w:rPr>
        <w:t xml:space="preserve">g </w:t>
      </w:r>
      <w:r>
        <w:rPr>
          <w:color w:val="000000"/>
          <w:spacing w:val="5"/>
        </w:rPr>
        <w:t>d</w:t>
      </w:r>
      <w:r>
        <w:rPr>
          <w:color w:val="000000"/>
          <w:spacing w:val="-9"/>
        </w:rPr>
        <w:t>i</w:t>
      </w:r>
      <w:r>
        <w:rPr>
          <w:color w:val="000000"/>
        </w:rPr>
        <w:t>d</w:t>
      </w:r>
      <w:r>
        <w:rPr>
          <w:color w:val="000000"/>
          <w:spacing w:val="4"/>
        </w:rPr>
        <w:t>ž</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rPr>
        <w:t>ą</w:t>
      </w:r>
      <w:r>
        <w:rPr>
          <w:color w:val="000000"/>
          <w:spacing w:val="3"/>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rPr>
        <w:t>ų</w:t>
      </w:r>
      <w:r>
        <w:rPr>
          <w:color w:val="000000"/>
          <w:spacing w:val="4"/>
        </w:rPr>
        <w:t xml:space="preserve"> a</w:t>
      </w:r>
      <w:r>
        <w:rPr>
          <w:color w:val="000000"/>
          <w:spacing w:val="2"/>
        </w:rPr>
        <w:t>s</w:t>
      </w:r>
      <w:r>
        <w:rPr>
          <w:color w:val="000000"/>
          <w:spacing w:val="-4"/>
        </w:rPr>
        <w:t>m</w:t>
      </w:r>
      <w:r>
        <w:rPr>
          <w:color w:val="000000"/>
          <w:spacing w:val="4"/>
        </w:rPr>
        <w:t>e</w:t>
      </w:r>
      <w:r>
        <w:rPr>
          <w:color w:val="000000"/>
          <w:spacing w:val="-5"/>
        </w:rPr>
        <w:t>n</w:t>
      </w:r>
      <w:r>
        <w:rPr>
          <w:color w:val="000000"/>
        </w:rPr>
        <w:t>ų</w:t>
      </w:r>
      <w:r>
        <w:rPr>
          <w:color w:val="000000"/>
          <w:spacing w:val="4"/>
        </w:rPr>
        <w:t xml:space="preserve"> </w:t>
      </w:r>
      <w:r>
        <w:rPr>
          <w:color w:val="000000"/>
        </w:rPr>
        <w:t>d</w:t>
      </w:r>
      <w:r>
        <w:rPr>
          <w:color w:val="000000"/>
          <w:spacing w:val="4"/>
        </w:rPr>
        <w:t>a</w:t>
      </w:r>
      <w:r>
        <w:rPr>
          <w:color w:val="000000"/>
        </w:rPr>
        <w:t xml:space="preserve">lį </w:t>
      </w:r>
      <w:r>
        <w:rPr>
          <w:color w:val="000000"/>
          <w:spacing w:val="-2"/>
        </w:rPr>
        <w:t>s</w:t>
      </w:r>
      <w:r>
        <w:rPr>
          <w:color w:val="000000"/>
        </w:rPr>
        <w:t>ud</w:t>
      </w:r>
      <w:r>
        <w:rPr>
          <w:color w:val="000000"/>
          <w:spacing w:val="-1"/>
        </w:rPr>
        <w:t>a</w:t>
      </w:r>
      <w:r>
        <w:rPr>
          <w:color w:val="000000"/>
          <w:spacing w:val="1"/>
        </w:rPr>
        <w:t>r</w:t>
      </w:r>
      <w:r>
        <w:rPr>
          <w:color w:val="000000"/>
        </w:rPr>
        <w:t xml:space="preserve">o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2"/>
        </w:rPr>
        <w:t xml:space="preserve"> </w:t>
      </w:r>
      <w:r>
        <w:rPr>
          <w:color w:val="000000"/>
        </w:rPr>
        <w:t>ku</w:t>
      </w:r>
      <w:r>
        <w:rPr>
          <w:color w:val="000000"/>
          <w:spacing w:val="6"/>
        </w:rPr>
        <w:t>r</w:t>
      </w:r>
      <w:r>
        <w:rPr>
          <w:color w:val="000000"/>
          <w:spacing w:val="-9"/>
        </w:rPr>
        <w:t>j</w:t>
      </w:r>
      <w:r>
        <w:rPr>
          <w:color w:val="000000"/>
          <w:spacing w:val="-1"/>
        </w:rPr>
        <w:t>e</w:t>
      </w:r>
      <w:r>
        <w:rPr>
          <w:color w:val="000000"/>
          <w:spacing w:val="6"/>
        </w:rPr>
        <w:t>r</w:t>
      </w:r>
      <w:r>
        <w:rPr>
          <w:color w:val="000000"/>
          <w:spacing w:val="-4"/>
        </w:rPr>
        <w:t>i</w:t>
      </w:r>
      <w:r>
        <w:rPr>
          <w:color w:val="000000"/>
          <w:spacing w:val="4"/>
        </w:rPr>
        <w:t>a</w:t>
      </w:r>
      <w:r>
        <w:rPr>
          <w:color w:val="000000"/>
          <w:spacing w:val="-9"/>
        </w:rPr>
        <w:t>i</w:t>
      </w:r>
      <w:r>
        <w:rPr>
          <w:color w:val="000000"/>
        </w:rPr>
        <w:t>.</w:t>
      </w:r>
    </w:p>
    <w:p w:rsidR="004F7425" w:rsidRDefault="004F7425" w:rsidP="004F7425">
      <w:pPr>
        <w:widowControl w:val="0"/>
        <w:autoSpaceDE w:val="0"/>
        <w:autoSpaceDN w:val="0"/>
        <w:adjustRightInd w:val="0"/>
        <w:spacing w:before="31"/>
        <w:ind w:left="66" w:right="51"/>
        <w:jc w:val="center"/>
        <w:rPr>
          <w:rFonts w:ascii="Calibri" w:hAnsi="Calibri" w:cs="Calibri"/>
          <w:color w:val="000000"/>
          <w:sz w:val="16"/>
          <w:szCs w:val="16"/>
        </w:rPr>
      </w:pPr>
      <w:r>
        <w:rPr>
          <w:color w:val="000000"/>
        </w:rPr>
        <w:br w:type="column"/>
      </w:r>
      <w:r>
        <w:rPr>
          <w:rFonts w:ascii="Calibri" w:hAnsi="Calibri" w:cs="Calibri"/>
          <w:color w:val="000000"/>
          <w:spacing w:val="2"/>
          <w:w w:val="102"/>
          <w:sz w:val="16"/>
          <w:szCs w:val="16"/>
        </w:rPr>
        <w:lastRenderedPageBreak/>
        <w:t>n</w:t>
      </w:r>
      <w:r>
        <w:rPr>
          <w:rFonts w:ascii="Calibri" w:hAnsi="Calibri" w:cs="Calibri"/>
          <w:color w:val="000000"/>
          <w:w w:val="102"/>
          <w:sz w:val="16"/>
          <w:szCs w:val="16"/>
        </w:rPr>
        <w:t>a</w:t>
      </w:r>
      <w:r>
        <w:rPr>
          <w:rFonts w:ascii="Calibri" w:hAnsi="Calibri" w:cs="Calibri"/>
          <w:color w:val="000000"/>
          <w:spacing w:val="-27"/>
          <w:sz w:val="16"/>
          <w:szCs w:val="16"/>
        </w:rPr>
        <w:t xml:space="preserve"> </w:t>
      </w:r>
      <w:r>
        <w:rPr>
          <w:rFonts w:ascii="Calibri" w:hAnsi="Calibri" w:cs="Calibri"/>
          <w:color w:val="000000"/>
          <w:spacing w:val="6"/>
          <w:w w:val="102"/>
          <w:sz w:val="16"/>
          <w:szCs w:val="16"/>
        </w:rPr>
        <w:t>r</w:t>
      </w:r>
      <w:r>
        <w:rPr>
          <w:rFonts w:ascii="Calibri" w:hAnsi="Calibri" w:cs="Calibri"/>
          <w:color w:val="000000"/>
          <w:spacing w:val="1"/>
          <w:w w:val="102"/>
          <w:sz w:val="16"/>
          <w:szCs w:val="16"/>
        </w:rPr>
        <w:t>k</w:t>
      </w:r>
      <w:r>
        <w:rPr>
          <w:rFonts w:ascii="Calibri" w:hAnsi="Calibri" w:cs="Calibri"/>
          <w:color w:val="000000"/>
          <w:spacing w:val="2"/>
          <w:w w:val="102"/>
          <w:sz w:val="16"/>
          <w:szCs w:val="16"/>
        </w:rPr>
        <w:t>o</w:t>
      </w:r>
      <w:r>
        <w:rPr>
          <w:rFonts w:ascii="Calibri" w:hAnsi="Calibri" w:cs="Calibri"/>
          <w:color w:val="000000"/>
          <w:spacing w:val="-4"/>
          <w:w w:val="102"/>
          <w:sz w:val="16"/>
          <w:szCs w:val="16"/>
        </w:rPr>
        <w:t>t</w:t>
      </w:r>
      <w:r>
        <w:rPr>
          <w:rFonts w:ascii="Calibri" w:hAnsi="Calibri" w:cs="Calibri"/>
          <w:color w:val="000000"/>
          <w:w w:val="102"/>
          <w:sz w:val="16"/>
          <w:szCs w:val="16"/>
        </w:rPr>
        <w:t>i</w:t>
      </w:r>
      <w:r>
        <w:rPr>
          <w:rFonts w:ascii="Calibri" w:hAnsi="Calibri" w:cs="Calibri"/>
          <w:color w:val="000000"/>
          <w:spacing w:val="-23"/>
          <w:sz w:val="16"/>
          <w:szCs w:val="16"/>
        </w:rPr>
        <w:t xml:space="preserve"> </w:t>
      </w:r>
      <w:r>
        <w:rPr>
          <w:rFonts w:ascii="Calibri" w:hAnsi="Calibri" w:cs="Calibri"/>
          <w:color w:val="000000"/>
          <w:spacing w:val="1"/>
          <w:w w:val="102"/>
          <w:sz w:val="16"/>
          <w:szCs w:val="16"/>
        </w:rPr>
        <w:t>k</w:t>
      </w:r>
      <w:r>
        <w:rPr>
          <w:rFonts w:ascii="Calibri" w:hAnsi="Calibri" w:cs="Calibri"/>
          <w:color w:val="000000"/>
          <w:w w:val="102"/>
          <w:sz w:val="16"/>
          <w:szCs w:val="16"/>
        </w:rPr>
        <w:t>ų</w:t>
      </w:r>
    </w:p>
    <w:p w:rsidR="004F7425" w:rsidRDefault="004F7425" w:rsidP="004F7425">
      <w:pPr>
        <w:widowControl w:val="0"/>
        <w:autoSpaceDE w:val="0"/>
        <w:autoSpaceDN w:val="0"/>
        <w:adjustRightInd w:val="0"/>
        <w:spacing w:before="6"/>
        <w:ind w:left="-32" w:right="-52"/>
        <w:jc w:val="center"/>
        <w:rPr>
          <w:rFonts w:ascii="Calibri" w:hAnsi="Calibri" w:cs="Calibri"/>
          <w:color w:val="000000"/>
          <w:sz w:val="16"/>
          <w:szCs w:val="16"/>
        </w:rPr>
      </w:pPr>
      <w:r>
        <w:rPr>
          <w:rFonts w:ascii="Calibri" w:hAnsi="Calibri" w:cs="Calibri"/>
          <w:color w:val="000000"/>
          <w:spacing w:val="1"/>
          <w:w w:val="102"/>
          <w:sz w:val="16"/>
          <w:szCs w:val="16"/>
        </w:rPr>
        <w:t>ko</w:t>
      </w:r>
      <w:r>
        <w:rPr>
          <w:rFonts w:ascii="Calibri" w:hAnsi="Calibri" w:cs="Calibri"/>
          <w:color w:val="000000"/>
          <w:spacing w:val="2"/>
          <w:w w:val="102"/>
          <w:sz w:val="16"/>
          <w:szCs w:val="16"/>
        </w:rPr>
        <w:t>n</w:t>
      </w:r>
      <w:r>
        <w:rPr>
          <w:rFonts w:ascii="Calibri" w:hAnsi="Calibri" w:cs="Calibri"/>
          <w:color w:val="000000"/>
          <w:spacing w:val="-4"/>
          <w:w w:val="102"/>
          <w:sz w:val="16"/>
          <w:szCs w:val="16"/>
        </w:rPr>
        <w:t>t</w:t>
      </w:r>
      <w:r>
        <w:rPr>
          <w:rFonts w:ascii="Calibri" w:hAnsi="Calibri" w:cs="Calibri"/>
          <w:color w:val="000000"/>
          <w:spacing w:val="6"/>
          <w:w w:val="102"/>
          <w:sz w:val="16"/>
          <w:szCs w:val="16"/>
        </w:rPr>
        <w:t>r</w:t>
      </w:r>
      <w:r>
        <w:rPr>
          <w:rFonts w:ascii="Calibri" w:hAnsi="Calibri" w:cs="Calibri"/>
          <w:color w:val="000000"/>
          <w:w w:val="102"/>
          <w:sz w:val="16"/>
          <w:szCs w:val="16"/>
        </w:rPr>
        <w:t>a</w:t>
      </w:r>
      <w:r>
        <w:rPr>
          <w:rFonts w:ascii="Calibri" w:hAnsi="Calibri" w:cs="Calibri"/>
          <w:color w:val="000000"/>
          <w:spacing w:val="-27"/>
          <w:sz w:val="16"/>
          <w:szCs w:val="16"/>
        </w:rPr>
        <w:t xml:space="preserve"> </w:t>
      </w:r>
      <w:r>
        <w:rPr>
          <w:rFonts w:ascii="Calibri" w:hAnsi="Calibri" w:cs="Calibri"/>
          <w:color w:val="000000"/>
          <w:spacing w:val="2"/>
          <w:w w:val="102"/>
          <w:sz w:val="16"/>
          <w:szCs w:val="16"/>
        </w:rPr>
        <w:t>b</w:t>
      </w:r>
      <w:r>
        <w:rPr>
          <w:rFonts w:ascii="Calibri" w:hAnsi="Calibri" w:cs="Calibri"/>
          <w:color w:val="000000"/>
          <w:w w:val="102"/>
          <w:sz w:val="16"/>
          <w:szCs w:val="16"/>
        </w:rPr>
        <w:t>a</w:t>
      </w:r>
      <w:r>
        <w:rPr>
          <w:rFonts w:ascii="Calibri" w:hAnsi="Calibri" w:cs="Calibri"/>
          <w:color w:val="000000"/>
          <w:spacing w:val="-27"/>
          <w:sz w:val="16"/>
          <w:szCs w:val="16"/>
        </w:rPr>
        <w:t xml:space="preserve"> </w:t>
      </w:r>
      <w:r>
        <w:rPr>
          <w:rFonts w:ascii="Calibri" w:hAnsi="Calibri" w:cs="Calibri"/>
          <w:color w:val="000000"/>
          <w:spacing w:val="2"/>
          <w:w w:val="102"/>
          <w:sz w:val="16"/>
          <w:szCs w:val="16"/>
        </w:rPr>
        <w:t>n</w:t>
      </w:r>
      <w:r>
        <w:rPr>
          <w:rFonts w:ascii="Calibri" w:hAnsi="Calibri" w:cs="Calibri"/>
          <w:color w:val="000000"/>
          <w:spacing w:val="-11"/>
          <w:w w:val="102"/>
          <w:sz w:val="16"/>
          <w:szCs w:val="16"/>
        </w:rPr>
        <w:t>d</w:t>
      </w:r>
      <w:r>
        <w:rPr>
          <w:rFonts w:ascii="Calibri" w:hAnsi="Calibri" w:cs="Calibri"/>
          <w:color w:val="000000"/>
          <w:w w:val="102"/>
          <w:sz w:val="16"/>
          <w:szCs w:val="16"/>
        </w:rPr>
        <w:t>a</w:t>
      </w:r>
    </w:p>
    <w:p w:rsidR="004F7425" w:rsidRDefault="004F7425" w:rsidP="004F7425">
      <w:pPr>
        <w:widowControl w:val="0"/>
        <w:autoSpaceDE w:val="0"/>
        <w:autoSpaceDN w:val="0"/>
        <w:adjustRightInd w:val="0"/>
        <w:spacing w:line="189" w:lineRule="exact"/>
        <w:ind w:left="257" w:right="231"/>
        <w:jc w:val="center"/>
        <w:rPr>
          <w:rFonts w:ascii="Calibri" w:hAnsi="Calibri" w:cs="Calibri"/>
          <w:color w:val="000000"/>
          <w:sz w:val="16"/>
          <w:szCs w:val="16"/>
        </w:rPr>
      </w:pPr>
      <w:r>
        <w:rPr>
          <w:rFonts w:ascii="Calibri" w:hAnsi="Calibri" w:cs="Calibri"/>
          <w:color w:val="000000"/>
          <w:spacing w:val="5"/>
          <w:w w:val="102"/>
          <w:position w:val="1"/>
          <w:sz w:val="16"/>
          <w:szCs w:val="16"/>
        </w:rPr>
        <w:t>81%</w:t>
      </w:r>
    </w:p>
    <w:p w:rsidR="004F7425" w:rsidRDefault="004F7425" w:rsidP="004F7425">
      <w:pPr>
        <w:widowControl w:val="0"/>
        <w:autoSpaceDE w:val="0"/>
        <w:autoSpaceDN w:val="0"/>
        <w:adjustRightInd w:val="0"/>
        <w:spacing w:before="3" w:line="120" w:lineRule="exact"/>
        <w:rPr>
          <w:rFonts w:ascii="Calibri" w:hAnsi="Calibri" w:cs="Calibri"/>
          <w:color w:val="000000"/>
          <w:sz w:val="12"/>
          <w:szCs w:val="12"/>
        </w:rPr>
      </w:pPr>
      <w:r>
        <w:rPr>
          <w:rFonts w:ascii="Calibri" w:hAnsi="Calibri" w:cs="Calibri"/>
          <w:color w:val="000000"/>
          <w:sz w:val="16"/>
          <w:szCs w:val="16"/>
        </w:rPr>
        <w:br w:type="column"/>
      </w:r>
    </w:p>
    <w:p w:rsidR="004F7425" w:rsidRDefault="004F7425" w:rsidP="004F7425">
      <w:pPr>
        <w:widowControl w:val="0"/>
        <w:autoSpaceDE w:val="0"/>
        <w:autoSpaceDN w:val="0"/>
        <w:adjustRightInd w:val="0"/>
        <w:ind w:left="266" w:right="325"/>
        <w:jc w:val="center"/>
        <w:rPr>
          <w:rFonts w:ascii="Calibri" w:hAnsi="Calibri" w:cs="Calibri"/>
          <w:color w:val="000000"/>
          <w:sz w:val="17"/>
          <w:szCs w:val="17"/>
        </w:rPr>
      </w:pPr>
      <w:r>
        <w:rPr>
          <w:rFonts w:ascii="Calibri" w:hAnsi="Calibri" w:cs="Calibri"/>
          <w:color w:val="000000"/>
          <w:spacing w:val="-5"/>
          <w:w w:val="103"/>
          <w:sz w:val="17"/>
          <w:szCs w:val="17"/>
        </w:rPr>
        <w:t>n</w:t>
      </w:r>
      <w:r>
        <w:rPr>
          <w:rFonts w:ascii="Calibri" w:hAnsi="Calibri" w:cs="Calibri"/>
          <w:color w:val="000000"/>
          <w:spacing w:val="3"/>
          <w:w w:val="103"/>
          <w:sz w:val="17"/>
          <w:szCs w:val="17"/>
        </w:rPr>
        <w:t>a</w:t>
      </w:r>
      <w:r>
        <w:rPr>
          <w:rFonts w:ascii="Calibri" w:hAnsi="Calibri" w:cs="Calibri"/>
          <w:color w:val="000000"/>
          <w:spacing w:val="1"/>
          <w:w w:val="103"/>
          <w:sz w:val="17"/>
          <w:szCs w:val="17"/>
        </w:rPr>
        <w:t>r</w:t>
      </w:r>
      <w:r>
        <w:rPr>
          <w:rFonts w:ascii="Calibri" w:hAnsi="Calibri" w:cs="Calibri"/>
          <w:color w:val="000000"/>
          <w:spacing w:val="-5"/>
          <w:w w:val="103"/>
          <w:sz w:val="17"/>
          <w:szCs w:val="17"/>
        </w:rPr>
        <w:t>ko</w:t>
      </w:r>
      <w:r>
        <w:rPr>
          <w:rFonts w:ascii="Calibri" w:hAnsi="Calibri" w:cs="Calibri"/>
          <w:color w:val="000000"/>
          <w:spacing w:val="4"/>
          <w:w w:val="103"/>
          <w:sz w:val="17"/>
          <w:szCs w:val="17"/>
        </w:rPr>
        <w:t>t</w:t>
      </w:r>
      <w:r>
        <w:rPr>
          <w:rFonts w:ascii="Calibri" w:hAnsi="Calibri" w:cs="Calibri"/>
          <w:color w:val="000000"/>
          <w:spacing w:val="-3"/>
          <w:w w:val="104"/>
          <w:sz w:val="17"/>
          <w:szCs w:val="17"/>
        </w:rPr>
        <w:t>i</w:t>
      </w:r>
      <w:r>
        <w:rPr>
          <w:rFonts w:ascii="Calibri" w:hAnsi="Calibri" w:cs="Calibri"/>
          <w:color w:val="000000"/>
          <w:spacing w:val="-5"/>
          <w:w w:val="103"/>
          <w:sz w:val="17"/>
          <w:szCs w:val="17"/>
        </w:rPr>
        <w:t>k</w:t>
      </w:r>
      <w:r>
        <w:rPr>
          <w:rFonts w:ascii="Calibri" w:hAnsi="Calibri" w:cs="Calibri"/>
          <w:color w:val="000000"/>
          <w:w w:val="103"/>
          <w:sz w:val="17"/>
          <w:szCs w:val="17"/>
        </w:rPr>
        <w:t>ų</w:t>
      </w:r>
    </w:p>
    <w:p w:rsidR="004F7425" w:rsidRDefault="004F7425" w:rsidP="004F7425">
      <w:pPr>
        <w:widowControl w:val="0"/>
        <w:autoSpaceDE w:val="0"/>
        <w:autoSpaceDN w:val="0"/>
        <w:adjustRightInd w:val="0"/>
        <w:spacing w:before="6"/>
        <w:ind w:left="319" w:right="385"/>
        <w:jc w:val="center"/>
        <w:rPr>
          <w:rFonts w:ascii="Calibri" w:hAnsi="Calibri" w:cs="Calibri"/>
          <w:color w:val="000000"/>
          <w:sz w:val="17"/>
          <w:szCs w:val="17"/>
        </w:rPr>
      </w:pPr>
      <w:r>
        <w:rPr>
          <w:rFonts w:ascii="Calibri" w:hAnsi="Calibri" w:cs="Calibri"/>
          <w:color w:val="000000"/>
          <w:spacing w:val="-5"/>
          <w:w w:val="103"/>
          <w:sz w:val="17"/>
          <w:szCs w:val="17"/>
        </w:rPr>
        <w:t>p</w:t>
      </w:r>
      <w:r>
        <w:rPr>
          <w:rFonts w:ascii="Calibri" w:hAnsi="Calibri" w:cs="Calibri"/>
          <w:color w:val="000000"/>
          <w:spacing w:val="1"/>
          <w:w w:val="103"/>
          <w:sz w:val="17"/>
          <w:szCs w:val="17"/>
        </w:rPr>
        <w:t>r</w:t>
      </w:r>
      <w:r>
        <w:rPr>
          <w:rFonts w:ascii="Calibri" w:hAnsi="Calibri" w:cs="Calibri"/>
          <w:color w:val="000000"/>
          <w:w w:val="103"/>
          <w:sz w:val="17"/>
          <w:szCs w:val="17"/>
        </w:rPr>
        <w:t>e</w:t>
      </w:r>
      <w:r>
        <w:rPr>
          <w:rFonts w:ascii="Calibri" w:hAnsi="Calibri" w:cs="Calibri"/>
          <w:color w:val="000000"/>
          <w:spacing w:val="-5"/>
          <w:w w:val="103"/>
          <w:sz w:val="17"/>
          <w:szCs w:val="17"/>
        </w:rPr>
        <w:t>k</w:t>
      </w:r>
      <w:r>
        <w:rPr>
          <w:rFonts w:ascii="Calibri" w:hAnsi="Calibri" w:cs="Calibri"/>
          <w:color w:val="000000"/>
          <w:spacing w:val="-4"/>
          <w:w w:val="103"/>
          <w:sz w:val="17"/>
          <w:szCs w:val="17"/>
        </w:rPr>
        <w:t>y</w:t>
      </w:r>
      <w:r>
        <w:rPr>
          <w:rFonts w:ascii="Calibri" w:hAnsi="Calibri" w:cs="Calibri"/>
          <w:color w:val="000000"/>
          <w:spacing w:val="-5"/>
          <w:w w:val="103"/>
          <w:sz w:val="17"/>
          <w:szCs w:val="17"/>
        </w:rPr>
        <w:t>b</w:t>
      </w:r>
      <w:r>
        <w:rPr>
          <w:rFonts w:ascii="Calibri" w:hAnsi="Calibri" w:cs="Calibri"/>
          <w:color w:val="000000"/>
          <w:w w:val="103"/>
          <w:sz w:val="17"/>
          <w:szCs w:val="17"/>
        </w:rPr>
        <w:t>a</w:t>
      </w:r>
    </w:p>
    <w:p w:rsidR="004F7425" w:rsidRDefault="004F7425" w:rsidP="004F7425">
      <w:pPr>
        <w:widowControl w:val="0"/>
        <w:autoSpaceDE w:val="0"/>
        <w:autoSpaceDN w:val="0"/>
        <w:adjustRightInd w:val="0"/>
        <w:spacing w:before="19"/>
        <w:ind w:left="494" w:right="560"/>
        <w:jc w:val="center"/>
        <w:rPr>
          <w:rFonts w:ascii="Calibri" w:hAnsi="Calibri" w:cs="Calibri"/>
          <w:color w:val="000000"/>
          <w:sz w:val="17"/>
          <w:szCs w:val="17"/>
        </w:rPr>
      </w:pPr>
      <w:r>
        <w:rPr>
          <w:rFonts w:ascii="Calibri" w:hAnsi="Calibri" w:cs="Calibri"/>
          <w:color w:val="000000"/>
          <w:spacing w:val="-1"/>
          <w:w w:val="103"/>
          <w:sz w:val="17"/>
          <w:szCs w:val="17"/>
        </w:rPr>
        <w:t>6%</w:t>
      </w:r>
    </w:p>
    <w:p w:rsidR="004F7425" w:rsidRDefault="004F7425" w:rsidP="004F7425">
      <w:pPr>
        <w:widowControl w:val="0"/>
        <w:autoSpaceDE w:val="0"/>
        <w:autoSpaceDN w:val="0"/>
        <w:adjustRightInd w:val="0"/>
        <w:spacing w:before="9" w:line="110" w:lineRule="exact"/>
        <w:rPr>
          <w:rFonts w:ascii="Calibri" w:hAnsi="Calibri" w:cs="Calibri"/>
          <w:color w:val="000000"/>
          <w:sz w:val="11"/>
          <w:szCs w:val="11"/>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ind w:left="-33" w:right="576"/>
        <w:jc w:val="center"/>
        <w:rPr>
          <w:rFonts w:ascii="Calibri" w:hAnsi="Calibri" w:cs="Calibri"/>
          <w:color w:val="000000"/>
          <w:sz w:val="17"/>
          <w:szCs w:val="17"/>
        </w:rPr>
      </w:pPr>
      <w:r>
        <w:rPr>
          <w:rFonts w:ascii="Calibri" w:hAnsi="Calibri" w:cs="Calibri"/>
          <w:color w:val="000000"/>
          <w:spacing w:val="3"/>
          <w:w w:val="103"/>
          <w:sz w:val="17"/>
          <w:szCs w:val="17"/>
        </w:rPr>
        <w:t>a</w:t>
      </w:r>
      <w:r>
        <w:rPr>
          <w:rFonts w:ascii="Calibri" w:hAnsi="Calibri" w:cs="Calibri"/>
          <w:color w:val="000000"/>
          <w:spacing w:val="-5"/>
          <w:w w:val="103"/>
          <w:sz w:val="17"/>
          <w:szCs w:val="17"/>
        </w:rPr>
        <w:t>u</w:t>
      </w:r>
      <w:r>
        <w:rPr>
          <w:rFonts w:ascii="Calibri" w:hAnsi="Calibri" w:cs="Calibri"/>
          <w:color w:val="000000"/>
          <w:spacing w:val="5"/>
          <w:w w:val="103"/>
          <w:sz w:val="17"/>
          <w:szCs w:val="17"/>
        </w:rPr>
        <w:t>g</w:t>
      </w:r>
      <w:r>
        <w:rPr>
          <w:rFonts w:ascii="Calibri" w:hAnsi="Calibri" w:cs="Calibri"/>
          <w:color w:val="000000"/>
          <w:spacing w:val="-3"/>
          <w:w w:val="104"/>
          <w:sz w:val="17"/>
          <w:szCs w:val="17"/>
        </w:rPr>
        <w:t>i</w:t>
      </w:r>
      <w:r>
        <w:rPr>
          <w:rFonts w:ascii="Calibri" w:hAnsi="Calibri" w:cs="Calibri"/>
          <w:color w:val="000000"/>
          <w:spacing w:val="-5"/>
          <w:w w:val="103"/>
          <w:sz w:val="17"/>
          <w:szCs w:val="17"/>
        </w:rPr>
        <w:t>n</w:t>
      </w:r>
      <w:r>
        <w:rPr>
          <w:rFonts w:ascii="Calibri" w:hAnsi="Calibri" w:cs="Calibri"/>
          <w:color w:val="000000"/>
          <w:spacing w:val="-3"/>
          <w:w w:val="104"/>
          <w:sz w:val="17"/>
          <w:szCs w:val="17"/>
        </w:rPr>
        <w:t>i</w:t>
      </w:r>
      <w:r>
        <w:rPr>
          <w:rFonts w:ascii="Calibri" w:hAnsi="Calibri" w:cs="Calibri"/>
          <w:color w:val="000000"/>
          <w:spacing w:val="-2"/>
          <w:w w:val="103"/>
          <w:sz w:val="17"/>
          <w:szCs w:val="17"/>
        </w:rPr>
        <w:t>m</w:t>
      </w:r>
      <w:r>
        <w:rPr>
          <w:rFonts w:ascii="Calibri" w:hAnsi="Calibri" w:cs="Calibri"/>
          <w:color w:val="000000"/>
          <w:spacing w:val="3"/>
          <w:w w:val="103"/>
          <w:sz w:val="17"/>
          <w:szCs w:val="17"/>
        </w:rPr>
        <w:t>a</w:t>
      </w:r>
      <w:r>
        <w:rPr>
          <w:rFonts w:ascii="Calibri" w:hAnsi="Calibri" w:cs="Calibri"/>
          <w:color w:val="000000"/>
          <w:w w:val="103"/>
          <w:sz w:val="17"/>
          <w:szCs w:val="17"/>
        </w:rPr>
        <w:t>s</w:t>
      </w:r>
    </w:p>
    <w:p w:rsidR="004F7425" w:rsidRDefault="004F7425" w:rsidP="004F7425">
      <w:pPr>
        <w:widowControl w:val="0"/>
        <w:autoSpaceDE w:val="0"/>
        <w:autoSpaceDN w:val="0"/>
        <w:adjustRightInd w:val="0"/>
        <w:spacing w:before="6" w:line="206" w:lineRule="exact"/>
        <w:ind w:left="251" w:right="-20"/>
        <w:rPr>
          <w:rFonts w:ascii="Calibri" w:hAnsi="Calibri" w:cs="Calibri"/>
          <w:color w:val="000000"/>
          <w:sz w:val="17"/>
          <w:szCs w:val="17"/>
        </w:rPr>
      </w:pPr>
      <w:r>
        <w:rPr>
          <w:rFonts w:ascii="Calibri" w:hAnsi="Calibri" w:cs="Calibri"/>
          <w:color w:val="000000"/>
          <w:spacing w:val="-1"/>
          <w:w w:val="103"/>
          <w:sz w:val="17"/>
          <w:szCs w:val="17"/>
        </w:rPr>
        <w:t>1%</w:t>
      </w:r>
    </w:p>
    <w:p w:rsidR="004F7425" w:rsidRDefault="004F7425" w:rsidP="004F7425">
      <w:pPr>
        <w:widowControl w:val="0"/>
        <w:autoSpaceDE w:val="0"/>
        <w:autoSpaceDN w:val="0"/>
        <w:adjustRightInd w:val="0"/>
        <w:spacing w:before="6" w:line="206" w:lineRule="exact"/>
        <w:ind w:left="251" w:right="-20"/>
        <w:rPr>
          <w:rFonts w:ascii="Calibri" w:hAnsi="Calibri" w:cs="Calibri"/>
          <w:color w:val="000000"/>
          <w:sz w:val="17"/>
          <w:szCs w:val="17"/>
        </w:rPr>
        <w:sectPr w:rsidR="004F7425">
          <w:type w:val="continuous"/>
          <w:pgSz w:w="11920" w:h="16840"/>
          <w:pgMar w:top="1540" w:right="460" w:bottom="280" w:left="1580" w:header="567" w:footer="567" w:gutter="0"/>
          <w:cols w:num="3" w:space="1296" w:equalWidth="0">
            <w:col w:w="4570" w:space="679"/>
            <w:col w:w="871" w:space="2392"/>
            <w:col w:w="1368"/>
          </w:cols>
          <w:noEndnote/>
        </w:sectPr>
      </w:pPr>
    </w:p>
    <w:p w:rsidR="004F7425" w:rsidRDefault="004F7425" w:rsidP="004F7425">
      <w:pPr>
        <w:widowControl w:val="0"/>
        <w:autoSpaceDE w:val="0"/>
        <w:autoSpaceDN w:val="0"/>
        <w:adjustRightInd w:val="0"/>
        <w:spacing w:line="200" w:lineRule="exact"/>
        <w:rPr>
          <w:rFonts w:ascii="Calibri" w:hAnsi="Calibri" w:cs="Calibri"/>
          <w:color w:val="000000"/>
          <w:sz w:val="20"/>
        </w:rPr>
      </w:pPr>
      <w:r>
        <w:rPr>
          <w:noProof/>
          <w:lang w:eastAsia="lt-LT"/>
        </w:rPr>
        <w:lastRenderedPageBreak/>
        <mc:AlternateContent>
          <mc:Choice Requires="wpg">
            <w:drawing>
              <wp:anchor distT="0" distB="0" distL="114300" distR="114300" simplePos="0" relativeHeight="251757568" behindDoc="1" locked="0" layoutInCell="0" allowOverlap="1">
                <wp:simplePos x="0" y="0"/>
                <wp:positionH relativeFrom="page">
                  <wp:posOffset>1127760</wp:posOffset>
                </wp:positionH>
                <wp:positionV relativeFrom="page">
                  <wp:posOffset>1454150</wp:posOffset>
                </wp:positionV>
                <wp:extent cx="6275070" cy="2416175"/>
                <wp:effectExtent l="3810" t="6350" r="7620" b="6350"/>
                <wp:wrapNone/>
                <wp:docPr id="137" name="Grupė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5070" cy="2416175"/>
                          <a:chOff x="1776" y="2290"/>
                          <a:chExt cx="9882" cy="3805"/>
                        </a:xfrm>
                      </wpg:grpSpPr>
                      <wps:wsp>
                        <wps:cNvPr id="138" name="Freeform 259"/>
                        <wps:cNvSpPr>
                          <a:spLocks/>
                        </wps:cNvSpPr>
                        <wps:spPr bwMode="auto">
                          <a:xfrm>
                            <a:off x="2308" y="4330"/>
                            <a:ext cx="8055" cy="20"/>
                          </a:xfrm>
                          <a:custGeom>
                            <a:avLst/>
                            <a:gdLst>
                              <a:gd name="T0" fmla="*/ 0 w 8055"/>
                              <a:gd name="T1" fmla="*/ 0 h 20"/>
                              <a:gd name="T2" fmla="*/ 8055 w 8055"/>
                              <a:gd name="T3" fmla="*/ 0 h 20"/>
                            </a:gdLst>
                            <a:ahLst/>
                            <a:cxnLst>
                              <a:cxn ang="0">
                                <a:pos x="T0" y="T1"/>
                              </a:cxn>
                              <a:cxn ang="0">
                                <a:pos x="T2" y="T3"/>
                              </a:cxn>
                            </a:cxnLst>
                            <a:rect l="0" t="0" r="r" b="b"/>
                            <a:pathLst>
                              <a:path w="8055" h="20">
                                <a:moveTo>
                                  <a:pt x="0" y="0"/>
                                </a:moveTo>
                                <a:lnTo>
                                  <a:pt x="8055" y="0"/>
                                </a:lnTo>
                              </a:path>
                            </a:pathLst>
                          </a:custGeom>
                          <a:noFill/>
                          <a:ln w="792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 name="Freeform 260"/>
                        <wps:cNvSpPr>
                          <a:spLocks/>
                        </wps:cNvSpPr>
                        <wps:spPr bwMode="auto">
                          <a:xfrm>
                            <a:off x="2308" y="4005"/>
                            <a:ext cx="8055" cy="20"/>
                          </a:xfrm>
                          <a:custGeom>
                            <a:avLst/>
                            <a:gdLst>
                              <a:gd name="T0" fmla="*/ 0 w 8055"/>
                              <a:gd name="T1" fmla="*/ 0 h 20"/>
                              <a:gd name="T2" fmla="*/ 8055 w 8055"/>
                              <a:gd name="T3" fmla="*/ 0 h 20"/>
                            </a:gdLst>
                            <a:ahLst/>
                            <a:cxnLst>
                              <a:cxn ang="0">
                                <a:pos x="T0" y="T1"/>
                              </a:cxn>
                              <a:cxn ang="0">
                                <a:pos x="T2" y="T3"/>
                              </a:cxn>
                            </a:cxnLst>
                            <a:rect l="0" t="0" r="r" b="b"/>
                            <a:pathLst>
                              <a:path w="8055" h="20">
                                <a:moveTo>
                                  <a:pt x="0" y="0"/>
                                </a:moveTo>
                                <a:lnTo>
                                  <a:pt x="8055" y="0"/>
                                </a:lnTo>
                              </a:path>
                            </a:pathLst>
                          </a:custGeom>
                          <a:noFill/>
                          <a:ln w="792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Freeform 261"/>
                        <wps:cNvSpPr>
                          <a:spLocks/>
                        </wps:cNvSpPr>
                        <wps:spPr bwMode="auto">
                          <a:xfrm>
                            <a:off x="2308" y="3669"/>
                            <a:ext cx="8055" cy="20"/>
                          </a:xfrm>
                          <a:custGeom>
                            <a:avLst/>
                            <a:gdLst>
                              <a:gd name="T0" fmla="*/ 0 w 8055"/>
                              <a:gd name="T1" fmla="*/ 0 h 20"/>
                              <a:gd name="T2" fmla="*/ 8055 w 8055"/>
                              <a:gd name="T3" fmla="*/ 0 h 20"/>
                            </a:gdLst>
                            <a:ahLst/>
                            <a:cxnLst>
                              <a:cxn ang="0">
                                <a:pos x="T0" y="T1"/>
                              </a:cxn>
                              <a:cxn ang="0">
                                <a:pos x="T2" y="T3"/>
                              </a:cxn>
                            </a:cxnLst>
                            <a:rect l="0" t="0" r="r" b="b"/>
                            <a:pathLst>
                              <a:path w="8055" h="20">
                                <a:moveTo>
                                  <a:pt x="0" y="0"/>
                                </a:moveTo>
                                <a:lnTo>
                                  <a:pt x="8055" y="0"/>
                                </a:lnTo>
                              </a:path>
                            </a:pathLst>
                          </a:custGeom>
                          <a:noFill/>
                          <a:ln w="792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Freeform 262"/>
                        <wps:cNvSpPr>
                          <a:spLocks/>
                        </wps:cNvSpPr>
                        <wps:spPr bwMode="auto">
                          <a:xfrm>
                            <a:off x="2401" y="3400"/>
                            <a:ext cx="20" cy="1260"/>
                          </a:xfrm>
                          <a:custGeom>
                            <a:avLst/>
                            <a:gdLst>
                              <a:gd name="T0" fmla="*/ 0 w 20"/>
                              <a:gd name="T1" fmla="*/ 0 h 1260"/>
                              <a:gd name="T2" fmla="*/ 0 w 20"/>
                              <a:gd name="T3" fmla="*/ 1260 h 1260"/>
                            </a:gdLst>
                            <a:ahLst/>
                            <a:cxnLst>
                              <a:cxn ang="0">
                                <a:pos x="T0" y="T1"/>
                              </a:cxn>
                              <a:cxn ang="0">
                                <a:pos x="T2" y="T3"/>
                              </a:cxn>
                            </a:cxnLst>
                            <a:rect l="0" t="0" r="r" b="b"/>
                            <a:pathLst>
                              <a:path w="20" h="1260">
                                <a:moveTo>
                                  <a:pt x="0" y="0"/>
                                </a:moveTo>
                                <a:lnTo>
                                  <a:pt x="0" y="1260"/>
                                </a:lnTo>
                              </a:path>
                            </a:pathLst>
                          </a:custGeom>
                          <a:noFill/>
                          <a:ln w="4892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 name="Freeform 263"/>
                        <wps:cNvSpPr>
                          <a:spLocks/>
                        </wps:cNvSpPr>
                        <wps:spPr bwMode="auto">
                          <a:xfrm>
                            <a:off x="2664" y="3662"/>
                            <a:ext cx="20" cy="998"/>
                          </a:xfrm>
                          <a:custGeom>
                            <a:avLst/>
                            <a:gdLst>
                              <a:gd name="T0" fmla="*/ 0 w 20"/>
                              <a:gd name="T1" fmla="*/ 0 h 998"/>
                              <a:gd name="T2" fmla="*/ 0 w 20"/>
                              <a:gd name="T3" fmla="*/ 998 h 998"/>
                            </a:gdLst>
                            <a:ahLst/>
                            <a:cxnLst>
                              <a:cxn ang="0">
                                <a:pos x="T0" y="T1"/>
                              </a:cxn>
                              <a:cxn ang="0">
                                <a:pos x="T2" y="T3"/>
                              </a:cxn>
                            </a:cxnLst>
                            <a:rect l="0" t="0" r="r" b="b"/>
                            <a:pathLst>
                              <a:path w="20" h="998">
                                <a:moveTo>
                                  <a:pt x="0" y="0"/>
                                </a:moveTo>
                                <a:lnTo>
                                  <a:pt x="0" y="998"/>
                                </a:lnTo>
                              </a:path>
                            </a:pathLst>
                          </a:custGeom>
                          <a:noFill/>
                          <a:ln w="48933">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Freeform 264"/>
                        <wps:cNvSpPr>
                          <a:spLocks/>
                        </wps:cNvSpPr>
                        <wps:spPr bwMode="auto">
                          <a:xfrm>
                            <a:off x="2927" y="3862"/>
                            <a:ext cx="20" cy="798"/>
                          </a:xfrm>
                          <a:custGeom>
                            <a:avLst/>
                            <a:gdLst>
                              <a:gd name="T0" fmla="*/ 0 w 20"/>
                              <a:gd name="T1" fmla="*/ 0 h 798"/>
                              <a:gd name="T2" fmla="*/ 0 w 20"/>
                              <a:gd name="T3" fmla="*/ 798 h 798"/>
                            </a:gdLst>
                            <a:ahLst/>
                            <a:cxnLst>
                              <a:cxn ang="0">
                                <a:pos x="T0" y="T1"/>
                              </a:cxn>
                              <a:cxn ang="0">
                                <a:pos x="T2" y="T3"/>
                              </a:cxn>
                            </a:cxnLst>
                            <a:rect l="0" t="0" r="r" b="b"/>
                            <a:pathLst>
                              <a:path w="20" h="798">
                                <a:moveTo>
                                  <a:pt x="0" y="0"/>
                                </a:moveTo>
                                <a:lnTo>
                                  <a:pt x="0" y="798"/>
                                </a:lnTo>
                              </a:path>
                            </a:pathLst>
                          </a:custGeom>
                          <a:noFill/>
                          <a:ln w="48933">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Freeform 265"/>
                        <wps:cNvSpPr>
                          <a:spLocks/>
                        </wps:cNvSpPr>
                        <wps:spPr bwMode="auto">
                          <a:xfrm>
                            <a:off x="3183" y="4199"/>
                            <a:ext cx="20" cy="461"/>
                          </a:xfrm>
                          <a:custGeom>
                            <a:avLst/>
                            <a:gdLst>
                              <a:gd name="T0" fmla="*/ 0 w 20"/>
                              <a:gd name="T1" fmla="*/ 0 h 461"/>
                              <a:gd name="T2" fmla="*/ 0 w 20"/>
                              <a:gd name="T3" fmla="*/ 461 h 461"/>
                            </a:gdLst>
                            <a:ahLst/>
                            <a:cxnLst>
                              <a:cxn ang="0">
                                <a:pos x="T0" y="T1"/>
                              </a:cxn>
                              <a:cxn ang="0">
                                <a:pos x="T2" y="T3"/>
                              </a:cxn>
                            </a:cxnLst>
                            <a:rect l="0" t="0" r="r" b="b"/>
                            <a:pathLst>
                              <a:path w="20" h="461">
                                <a:moveTo>
                                  <a:pt x="0" y="0"/>
                                </a:moveTo>
                                <a:lnTo>
                                  <a:pt x="0" y="461"/>
                                </a:lnTo>
                              </a:path>
                            </a:pathLst>
                          </a:custGeom>
                          <a:noFill/>
                          <a:ln w="4099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Freeform 266"/>
                        <wps:cNvSpPr>
                          <a:spLocks/>
                        </wps:cNvSpPr>
                        <wps:spPr bwMode="auto">
                          <a:xfrm>
                            <a:off x="3440" y="4199"/>
                            <a:ext cx="20" cy="461"/>
                          </a:xfrm>
                          <a:custGeom>
                            <a:avLst/>
                            <a:gdLst>
                              <a:gd name="T0" fmla="*/ 0 w 20"/>
                              <a:gd name="T1" fmla="*/ 0 h 461"/>
                              <a:gd name="T2" fmla="*/ 0 w 20"/>
                              <a:gd name="T3" fmla="*/ 461 h 461"/>
                            </a:gdLst>
                            <a:ahLst/>
                            <a:cxnLst>
                              <a:cxn ang="0">
                                <a:pos x="T0" y="T1"/>
                              </a:cxn>
                              <a:cxn ang="0">
                                <a:pos x="T2" y="T3"/>
                              </a:cxn>
                            </a:cxnLst>
                            <a:rect l="0" t="0" r="r" b="b"/>
                            <a:pathLst>
                              <a:path w="20" h="461">
                                <a:moveTo>
                                  <a:pt x="0" y="0"/>
                                </a:moveTo>
                                <a:lnTo>
                                  <a:pt x="0" y="461"/>
                                </a:lnTo>
                              </a:path>
                            </a:pathLst>
                          </a:custGeom>
                          <a:noFill/>
                          <a:ln w="48920">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Freeform 267"/>
                        <wps:cNvSpPr>
                          <a:spLocks/>
                        </wps:cNvSpPr>
                        <wps:spPr bwMode="auto">
                          <a:xfrm>
                            <a:off x="3702" y="4261"/>
                            <a:ext cx="20" cy="399"/>
                          </a:xfrm>
                          <a:custGeom>
                            <a:avLst/>
                            <a:gdLst>
                              <a:gd name="T0" fmla="*/ 0 w 20"/>
                              <a:gd name="T1" fmla="*/ 0 h 399"/>
                              <a:gd name="T2" fmla="*/ 0 w 20"/>
                              <a:gd name="T3" fmla="*/ 399 h 399"/>
                            </a:gdLst>
                            <a:ahLst/>
                            <a:cxnLst>
                              <a:cxn ang="0">
                                <a:pos x="T0" y="T1"/>
                              </a:cxn>
                              <a:cxn ang="0">
                                <a:pos x="T2" y="T3"/>
                              </a:cxn>
                            </a:cxnLst>
                            <a:rect l="0" t="0" r="r" b="b"/>
                            <a:pathLst>
                              <a:path w="20" h="399">
                                <a:moveTo>
                                  <a:pt x="0" y="0"/>
                                </a:moveTo>
                                <a:lnTo>
                                  <a:pt x="0" y="399"/>
                                </a:lnTo>
                              </a:path>
                            </a:pathLst>
                          </a:custGeom>
                          <a:noFill/>
                          <a:ln w="4889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Freeform 268"/>
                        <wps:cNvSpPr>
                          <a:spLocks/>
                        </wps:cNvSpPr>
                        <wps:spPr bwMode="auto">
                          <a:xfrm>
                            <a:off x="3965" y="4336"/>
                            <a:ext cx="20" cy="324"/>
                          </a:xfrm>
                          <a:custGeom>
                            <a:avLst/>
                            <a:gdLst>
                              <a:gd name="T0" fmla="*/ 0 w 20"/>
                              <a:gd name="T1" fmla="*/ 0 h 324"/>
                              <a:gd name="T2" fmla="*/ 0 w 20"/>
                              <a:gd name="T3" fmla="*/ 324 h 324"/>
                            </a:gdLst>
                            <a:ahLst/>
                            <a:cxnLst>
                              <a:cxn ang="0">
                                <a:pos x="T0" y="T1"/>
                              </a:cxn>
                              <a:cxn ang="0">
                                <a:pos x="T2" y="T3"/>
                              </a:cxn>
                            </a:cxnLst>
                            <a:rect l="0" t="0" r="r" b="b"/>
                            <a:pathLst>
                              <a:path w="20" h="324">
                                <a:moveTo>
                                  <a:pt x="0" y="0"/>
                                </a:moveTo>
                                <a:lnTo>
                                  <a:pt x="0" y="324"/>
                                </a:lnTo>
                              </a:path>
                            </a:pathLst>
                          </a:custGeom>
                          <a:noFill/>
                          <a:ln w="4897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Freeform 269"/>
                        <wps:cNvSpPr>
                          <a:spLocks/>
                        </wps:cNvSpPr>
                        <wps:spPr bwMode="auto">
                          <a:xfrm>
                            <a:off x="4221" y="4336"/>
                            <a:ext cx="20" cy="324"/>
                          </a:xfrm>
                          <a:custGeom>
                            <a:avLst/>
                            <a:gdLst>
                              <a:gd name="T0" fmla="*/ 0 w 20"/>
                              <a:gd name="T1" fmla="*/ 0 h 324"/>
                              <a:gd name="T2" fmla="*/ 0 w 20"/>
                              <a:gd name="T3" fmla="*/ 324 h 324"/>
                            </a:gdLst>
                            <a:ahLst/>
                            <a:cxnLst>
                              <a:cxn ang="0">
                                <a:pos x="T0" y="T1"/>
                              </a:cxn>
                              <a:cxn ang="0">
                                <a:pos x="T2" y="T3"/>
                              </a:cxn>
                            </a:cxnLst>
                            <a:rect l="0" t="0" r="r" b="b"/>
                            <a:pathLst>
                              <a:path w="20" h="324">
                                <a:moveTo>
                                  <a:pt x="0" y="0"/>
                                </a:moveTo>
                                <a:lnTo>
                                  <a:pt x="0" y="324"/>
                                </a:lnTo>
                              </a:path>
                            </a:pathLst>
                          </a:custGeom>
                          <a:noFill/>
                          <a:ln w="40978">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Rectangle 270"/>
                        <wps:cNvSpPr>
                          <a:spLocks/>
                        </wps:cNvSpPr>
                        <wps:spPr bwMode="auto">
                          <a:xfrm>
                            <a:off x="4439" y="4336"/>
                            <a:ext cx="77" cy="32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Freeform 271"/>
                        <wps:cNvSpPr>
                          <a:spLocks/>
                        </wps:cNvSpPr>
                        <wps:spPr bwMode="auto">
                          <a:xfrm>
                            <a:off x="4740" y="4398"/>
                            <a:ext cx="20" cy="262"/>
                          </a:xfrm>
                          <a:custGeom>
                            <a:avLst/>
                            <a:gdLst>
                              <a:gd name="T0" fmla="*/ 0 w 20"/>
                              <a:gd name="T1" fmla="*/ 0 h 262"/>
                              <a:gd name="T2" fmla="*/ 0 w 20"/>
                              <a:gd name="T3" fmla="*/ 261 h 262"/>
                            </a:gdLst>
                            <a:ahLst/>
                            <a:cxnLst>
                              <a:cxn ang="0">
                                <a:pos x="T0" y="T1"/>
                              </a:cxn>
                              <a:cxn ang="0">
                                <a:pos x="T2" y="T3"/>
                              </a:cxn>
                            </a:cxnLst>
                            <a:rect l="0" t="0" r="r" b="b"/>
                            <a:pathLst>
                              <a:path w="20" h="262">
                                <a:moveTo>
                                  <a:pt x="0" y="0"/>
                                </a:moveTo>
                                <a:lnTo>
                                  <a:pt x="0" y="261"/>
                                </a:lnTo>
                              </a:path>
                            </a:pathLst>
                          </a:custGeom>
                          <a:noFill/>
                          <a:ln w="4897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 name="Freeform 272"/>
                        <wps:cNvSpPr>
                          <a:spLocks/>
                        </wps:cNvSpPr>
                        <wps:spPr bwMode="auto">
                          <a:xfrm>
                            <a:off x="5003" y="4398"/>
                            <a:ext cx="20" cy="262"/>
                          </a:xfrm>
                          <a:custGeom>
                            <a:avLst/>
                            <a:gdLst>
                              <a:gd name="T0" fmla="*/ 0 w 20"/>
                              <a:gd name="T1" fmla="*/ 0 h 262"/>
                              <a:gd name="T2" fmla="*/ 0 w 20"/>
                              <a:gd name="T3" fmla="*/ 261 h 262"/>
                            </a:gdLst>
                            <a:ahLst/>
                            <a:cxnLst>
                              <a:cxn ang="0">
                                <a:pos x="T0" y="T1"/>
                              </a:cxn>
                              <a:cxn ang="0">
                                <a:pos x="T2" y="T3"/>
                              </a:cxn>
                            </a:cxnLst>
                            <a:rect l="0" t="0" r="r" b="b"/>
                            <a:pathLst>
                              <a:path w="20" h="262">
                                <a:moveTo>
                                  <a:pt x="0" y="0"/>
                                </a:moveTo>
                                <a:lnTo>
                                  <a:pt x="0" y="261"/>
                                </a:lnTo>
                              </a:path>
                            </a:pathLst>
                          </a:custGeom>
                          <a:noFill/>
                          <a:ln w="4897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Freeform 273"/>
                        <wps:cNvSpPr>
                          <a:spLocks/>
                        </wps:cNvSpPr>
                        <wps:spPr bwMode="auto">
                          <a:xfrm>
                            <a:off x="5260" y="4398"/>
                            <a:ext cx="20" cy="262"/>
                          </a:xfrm>
                          <a:custGeom>
                            <a:avLst/>
                            <a:gdLst>
                              <a:gd name="T0" fmla="*/ 0 w 20"/>
                              <a:gd name="T1" fmla="*/ 0 h 262"/>
                              <a:gd name="T2" fmla="*/ 0 w 20"/>
                              <a:gd name="T3" fmla="*/ 261 h 262"/>
                            </a:gdLst>
                            <a:ahLst/>
                            <a:cxnLst>
                              <a:cxn ang="0">
                                <a:pos x="T0" y="T1"/>
                              </a:cxn>
                              <a:cxn ang="0">
                                <a:pos x="T2" y="T3"/>
                              </a:cxn>
                            </a:cxnLst>
                            <a:rect l="0" t="0" r="r" b="b"/>
                            <a:pathLst>
                              <a:path w="20" h="262">
                                <a:moveTo>
                                  <a:pt x="0" y="0"/>
                                </a:moveTo>
                                <a:lnTo>
                                  <a:pt x="0" y="261"/>
                                </a:lnTo>
                              </a:path>
                            </a:pathLst>
                          </a:custGeom>
                          <a:noFill/>
                          <a:ln w="40978">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Freeform 274"/>
                        <wps:cNvSpPr>
                          <a:spLocks/>
                        </wps:cNvSpPr>
                        <wps:spPr bwMode="auto">
                          <a:xfrm>
                            <a:off x="5516" y="4461"/>
                            <a:ext cx="20" cy="199"/>
                          </a:xfrm>
                          <a:custGeom>
                            <a:avLst/>
                            <a:gdLst>
                              <a:gd name="T0" fmla="*/ 0 w 20"/>
                              <a:gd name="T1" fmla="*/ 0 h 199"/>
                              <a:gd name="T2" fmla="*/ 0 w 20"/>
                              <a:gd name="T3" fmla="*/ 199 h 199"/>
                            </a:gdLst>
                            <a:ahLst/>
                            <a:cxnLst>
                              <a:cxn ang="0">
                                <a:pos x="T0" y="T1"/>
                              </a:cxn>
                              <a:cxn ang="0">
                                <a:pos x="T2" y="T3"/>
                              </a:cxn>
                            </a:cxnLst>
                            <a:rect l="0" t="0" r="r" b="b"/>
                            <a:pathLst>
                              <a:path w="20" h="199">
                                <a:moveTo>
                                  <a:pt x="0" y="0"/>
                                </a:moveTo>
                                <a:lnTo>
                                  <a:pt x="0" y="199"/>
                                </a:lnTo>
                              </a:path>
                            </a:pathLst>
                          </a:custGeom>
                          <a:noFill/>
                          <a:ln w="488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275"/>
                        <wps:cNvSpPr>
                          <a:spLocks/>
                        </wps:cNvSpPr>
                        <wps:spPr bwMode="auto">
                          <a:xfrm>
                            <a:off x="5779" y="4461"/>
                            <a:ext cx="20" cy="199"/>
                          </a:xfrm>
                          <a:custGeom>
                            <a:avLst/>
                            <a:gdLst>
                              <a:gd name="T0" fmla="*/ 0 w 20"/>
                              <a:gd name="T1" fmla="*/ 0 h 199"/>
                              <a:gd name="T2" fmla="*/ 0 w 20"/>
                              <a:gd name="T3" fmla="*/ 199 h 199"/>
                            </a:gdLst>
                            <a:ahLst/>
                            <a:cxnLst>
                              <a:cxn ang="0">
                                <a:pos x="T0" y="T1"/>
                              </a:cxn>
                              <a:cxn ang="0">
                                <a:pos x="T2" y="T3"/>
                              </a:cxn>
                            </a:cxnLst>
                            <a:rect l="0" t="0" r="r" b="b"/>
                            <a:pathLst>
                              <a:path w="20" h="199">
                                <a:moveTo>
                                  <a:pt x="0" y="0"/>
                                </a:moveTo>
                                <a:lnTo>
                                  <a:pt x="0" y="199"/>
                                </a:lnTo>
                              </a:path>
                            </a:pathLst>
                          </a:custGeom>
                          <a:noFill/>
                          <a:ln w="488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Rectangle 276"/>
                        <wps:cNvSpPr>
                          <a:spLocks/>
                        </wps:cNvSpPr>
                        <wps:spPr bwMode="auto">
                          <a:xfrm>
                            <a:off x="6003" y="4536"/>
                            <a:ext cx="77" cy="12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Freeform 277"/>
                        <wps:cNvSpPr>
                          <a:spLocks/>
                        </wps:cNvSpPr>
                        <wps:spPr bwMode="auto">
                          <a:xfrm>
                            <a:off x="6298" y="4536"/>
                            <a:ext cx="20" cy="124"/>
                          </a:xfrm>
                          <a:custGeom>
                            <a:avLst/>
                            <a:gdLst>
                              <a:gd name="T0" fmla="*/ 0 w 20"/>
                              <a:gd name="T1" fmla="*/ 0 h 124"/>
                              <a:gd name="T2" fmla="*/ 0 w 20"/>
                              <a:gd name="T3" fmla="*/ 124 h 124"/>
                            </a:gdLst>
                            <a:ahLst/>
                            <a:cxnLst>
                              <a:cxn ang="0">
                                <a:pos x="T0" y="T1"/>
                              </a:cxn>
                              <a:cxn ang="0">
                                <a:pos x="T2" y="T3"/>
                              </a:cxn>
                            </a:cxnLst>
                            <a:rect l="0" t="0" r="r" b="b"/>
                            <a:pathLst>
                              <a:path w="20" h="124">
                                <a:moveTo>
                                  <a:pt x="0" y="0"/>
                                </a:moveTo>
                                <a:lnTo>
                                  <a:pt x="0" y="124"/>
                                </a:lnTo>
                              </a:path>
                            </a:pathLst>
                          </a:custGeom>
                          <a:noFill/>
                          <a:ln w="40978">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Freeform 278"/>
                        <wps:cNvSpPr>
                          <a:spLocks/>
                        </wps:cNvSpPr>
                        <wps:spPr bwMode="auto">
                          <a:xfrm>
                            <a:off x="6554" y="4536"/>
                            <a:ext cx="20" cy="124"/>
                          </a:xfrm>
                          <a:custGeom>
                            <a:avLst/>
                            <a:gdLst>
                              <a:gd name="T0" fmla="*/ 0 w 20"/>
                              <a:gd name="T1" fmla="*/ 0 h 124"/>
                              <a:gd name="T2" fmla="*/ 0 w 20"/>
                              <a:gd name="T3" fmla="*/ 124 h 124"/>
                            </a:gdLst>
                            <a:ahLst/>
                            <a:cxnLst>
                              <a:cxn ang="0">
                                <a:pos x="T0" y="T1"/>
                              </a:cxn>
                              <a:cxn ang="0">
                                <a:pos x="T2" y="T3"/>
                              </a:cxn>
                            </a:cxnLst>
                            <a:rect l="0" t="0" r="r" b="b"/>
                            <a:pathLst>
                              <a:path w="20" h="124">
                                <a:moveTo>
                                  <a:pt x="0" y="0"/>
                                </a:moveTo>
                                <a:lnTo>
                                  <a:pt x="0" y="124"/>
                                </a:lnTo>
                              </a:path>
                            </a:pathLst>
                          </a:custGeom>
                          <a:noFill/>
                          <a:ln w="4897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279"/>
                        <wps:cNvSpPr>
                          <a:spLocks/>
                        </wps:cNvSpPr>
                        <wps:spPr bwMode="auto">
                          <a:xfrm>
                            <a:off x="6817" y="4536"/>
                            <a:ext cx="20" cy="124"/>
                          </a:xfrm>
                          <a:custGeom>
                            <a:avLst/>
                            <a:gdLst>
                              <a:gd name="T0" fmla="*/ 0 w 20"/>
                              <a:gd name="T1" fmla="*/ 0 h 124"/>
                              <a:gd name="T2" fmla="*/ 0 w 20"/>
                              <a:gd name="T3" fmla="*/ 124 h 124"/>
                            </a:gdLst>
                            <a:ahLst/>
                            <a:cxnLst>
                              <a:cxn ang="0">
                                <a:pos x="T0" y="T1"/>
                              </a:cxn>
                              <a:cxn ang="0">
                                <a:pos x="T2" y="T3"/>
                              </a:cxn>
                            </a:cxnLst>
                            <a:rect l="0" t="0" r="r" b="b"/>
                            <a:pathLst>
                              <a:path w="20" h="124">
                                <a:moveTo>
                                  <a:pt x="0" y="0"/>
                                </a:moveTo>
                                <a:lnTo>
                                  <a:pt x="0" y="124"/>
                                </a:lnTo>
                              </a:path>
                            </a:pathLst>
                          </a:custGeom>
                          <a:noFill/>
                          <a:ln w="4897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Freeform 280"/>
                        <wps:cNvSpPr>
                          <a:spLocks/>
                        </wps:cNvSpPr>
                        <wps:spPr bwMode="auto">
                          <a:xfrm>
                            <a:off x="7080" y="4536"/>
                            <a:ext cx="20" cy="124"/>
                          </a:xfrm>
                          <a:custGeom>
                            <a:avLst/>
                            <a:gdLst>
                              <a:gd name="T0" fmla="*/ 0 w 20"/>
                              <a:gd name="T1" fmla="*/ 0 h 124"/>
                              <a:gd name="T2" fmla="*/ 0 w 20"/>
                              <a:gd name="T3" fmla="*/ 124 h 124"/>
                            </a:gdLst>
                            <a:ahLst/>
                            <a:cxnLst>
                              <a:cxn ang="0">
                                <a:pos x="T0" y="T1"/>
                              </a:cxn>
                              <a:cxn ang="0">
                                <a:pos x="T2" y="T3"/>
                              </a:cxn>
                            </a:cxnLst>
                            <a:rect l="0" t="0" r="r" b="b"/>
                            <a:pathLst>
                              <a:path w="20" h="124">
                                <a:moveTo>
                                  <a:pt x="0" y="0"/>
                                </a:moveTo>
                                <a:lnTo>
                                  <a:pt x="0" y="124"/>
                                </a:lnTo>
                              </a:path>
                            </a:pathLst>
                          </a:custGeom>
                          <a:noFill/>
                          <a:ln w="48971">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281"/>
                        <wps:cNvSpPr>
                          <a:spLocks/>
                        </wps:cNvSpPr>
                        <wps:spPr bwMode="auto">
                          <a:xfrm>
                            <a:off x="7336" y="4536"/>
                            <a:ext cx="20" cy="124"/>
                          </a:xfrm>
                          <a:custGeom>
                            <a:avLst/>
                            <a:gdLst>
                              <a:gd name="T0" fmla="*/ 0 w 20"/>
                              <a:gd name="T1" fmla="*/ 0 h 124"/>
                              <a:gd name="T2" fmla="*/ 0 w 20"/>
                              <a:gd name="T3" fmla="*/ 124 h 124"/>
                            </a:gdLst>
                            <a:ahLst/>
                            <a:cxnLst>
                              <a:cxn ang="0">
                                <a:pos x="T0" y="T1"/>
                              </a:cxn>
                              <a:cxn ang="0">
                                <a:pos x="T2" y="T3"/>
                              </a:cxn>
                            </a:cxnLst>
                            <a:rect l="0" t="0" r="r" b="b"/>
                            <a:pathLst>
                              <a:path w="20" h="124">
                                <a:moveTo>
                                  <a:pt x="0" y="0"/>
                                </a:moveTo>
                                <a:lnTo>
                                  <a:pt x="0" y="124"/>
                                </a:lnTo>
                              </a:path>
                            </a:pathLst>
                          </a:custGeom>
                          <a:noFill/>
                          <a:ln w="40978">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Freeform 282"/>
                        <wps:cNvSpPr>
                          <a:spLocks/>
                        </wps:cNvSpPr>
                        <wps:spPr bwMode="auto">
                          <a:xfrm>
                            <a:off x="7555"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283"/>
                        <wps:cNvSpPr>
                          <a:spLocks/>
                        </wps:cNvSpPr>
                        <wps:spPr bwMode="auto">
                          <a:xfrm>
                            <a:off x="7818" y="4598"/>
                            <a:ext cx="74" cy="62"/>
                          </a:xfrm>
                          <a:custGeom>
                            <a:avLst/>
                            <a:gdLst>
                              <a:gd name="T0" fmla="*/ 0 w 74"/>
                              <a:gd name="T1" fmla="*/ 31 h 62"/>
                              <a:gd name="T2" fmla="*/ 74 w 74"/>
                              <a:gd name="T3" fmla="*/ 31 h 62"/>
                            </a:gdLst>
                            <a:ahLst/>
                            <a:cxnLst>
                              <a:cxn ang="0">
                                <a:pos x="T0" y="T1"/>
                              </a:cxn>
                              <a:cxn ang="0">
                                <a:pos x="T2" y="T3"/>
                              </a:cxn>
                            </a:cxnLst>
                            <a:rect l="0" t="0" r="r" b="b"/>
                            <a:pathLst>
                              <a:path w="74" h="62">
                                <a:moveTo>
                                  <a:pt x="0" y="31"/>
                                </a:moveTo>
                                <a:lnTo>
                                  <a:pt x="74"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Freeform 284"/>
                        <wps:cNvSpPr>
                          <a:spLocks/>
                        </wps:cNvSpPr>
                        <wps:spPr bwMode="auto">
                          <a:xfrm>
                            <a:off x="8080"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285"/>
                        <wps:cNvSpPr>
                          <a:spLocks/>
                        </wps:cNvSpPr>
                        <wps:spPr bwMode="auto">
                          <a:xfrm>
                            <a:off x="8343" y="4598"/>
                            <a:ext cx="62" cy="62"/>
                          </a:xfrm>
                          <a:custGeom>
                            <a:avLst/>
                            <a:gdLst>
                              <a:gd name="T0" fmla="*/ 0 w 62"/>
                              <a:gd name="T1" fmla="*/ 31 h 62"/>
                              <a:gd name="T2" fmla="*/ 62 w 62"/>
                              <a:gd name="T3" fmla="*/ 31 h 62"/>
                            </a:gdLst>
                            <a:ahLst/>
                            <a:cxnLst>
                              <a:cxn ang="0">
                                <a:pos x="T0" y="T1"/>
                              </a:cxn>
                              <a:cxn ang="0">
                                <a:pos x="T2" y="T3"/>
                              </a:cxn>
                            </a:cxnLst>
                            <a:rect l="0" t="0" r="r" b="b"/>
                            <a:pathLst>
                              <a:path w="62" h="62">
                                <a:moveTo>
                                  <a:pt x="0" y="31"/>
                                </a:moveTo>
                                <a:lnTo>
                                  <a:pt x="62"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 name="Freeform 286"/>
                        <wps:cNvSpPr>
                          <a:spLocks/>
                        </wps:cNvSpPr>
                        <wps:spPr bwMode="auto">
                          <a:xfrm>
                            <a:off x="8593"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Freeform 287"/>
                        <wps:cNvSpPr>
                          <a:spLocks/>
                        </wps:cNvSpPr>
                        <wps:spPr bwMode="auto">
                          <a:xfrm>
                            <a:off x="8856"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Freeform 288"/>
                        <wps:cNvSpPr>
                          <a:spLocks/>
                        </wps:cNvSpPr>
                        <wps:spPr bwMode="auto">
                          <a:xfrm>
                            <a:off x="9118" y="4598"/>
                            <a:ext cx="76" cy="62"/>
                          </a:xfrm>
                          <a:custGeom>
                            <a:avLst/>
                            <a:gdLst>
                              <a:gd name="T0" fmla="*/ 0 w 76"/>
                              <a:gd name="T1" fmla="*/ 31 h 62"/>
                              <a:gd name="T2" fmla="*/ 75 w 76"/>
                              <a:gd name="T3" fmla="*/ 31 h 62"/>
                            </a:gdLst>
                            <a:ahLst/>
                            <a:cxnLst>
                              <a:cxn ang="0">
                                <a:pos x="T0" y="T1"/>
                              </a:cxn>
                              <a:cxn ang="0">
                                <a:pos x="T2" y="T3"/>
                              </a:cxn>
                            </a:cxnLst>
                            <a:rect l="0" t="0" r="r" b="b"/>
                            <a:pathLst>
                              <a:path w="76"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289"/>
                        <wps:cNvSpPr>
                          <a:spLocks/>
                        </wps:cNvSpPr>
                        <wps:spPr bwMode="auto">
                          <a:xfrm>
                            <a:off x="9381" y="4598"/>
                            <a:ext cx="63" cy="62"/>
                          </a:xfrm>
                          <a:custGeom>
                            <a:avLst/>
                            <a:gdLst>
                              <a:gd name="T0" fmla="*/ 0 w 63"/>
                              <a:gd name="T1" fmla="*/ 31 h 62"/>
                              <a:gd name="T2" fmla="*/ 62 w 63"/>
                              <a:gd name="T3" fmla="*/ 31 h 62"/>
                            </a:gdLst>
                            <a:ahLst/>
                            <a:cxnLst>
                              <a:cxn ang="0">
                                <a:pos x="T0" y="T1"/>
                              </a:cxn>
                              <a:cxn ang="0">
                                <a:pos x="T2" y="T3"/>
                              </a:cxn>
                            </a:cxnLst>
                            <a:rect l="0" t="0" r="r" b="b"/>
                            <a:pathLst>
                              <a:path w="63" h="62">
                                <a:moveTo>
                                  <a:pt x="0" y="31"/>
                                </a:moveTo>
                                <a:lnTo>
                                  <a:pt x="62"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Freeform 290"/>
                        <wps:cNvSpPr>
                          <a:spLocks/>
                        </wps:cNvSpPr>
                        <wps:spPr bwMode="auto">
                          <a:xfrm>
                            <a:off x="9631"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291"/>
                        <wps:cNvSpPr>
                          <a:spLocks/>
                        </wps:cNvSpPr>
                        <wps:spPr bwMode="auto">
                          <a:xfrm>
                            <a:off x="9894" y="4598"/>
                            <a:ext cx="75" cy="62"/>
                          </a:xfrm>
                          <a:custGeom>
                            <a:avLst/>
                            <a:gdLst>
                              <a:gd name="T0" fmla="*/ 0 w 75"/>
                              <a:gd name="T1" fmla="*/ 31 h 62"/>
                              <a:gd name="T2" fmla="*/ 74 w 75"/>
                              <a:gd name="T3" fmla="*/ 31 h 62"/>
                            </a:gdLst>
                            <a:ahLst/>
                            <a:cxnLst>
                              <a:cxn ang="0">
                                <a:pos x="T0" y="T1"/>
                              </a:cxn>
                              <a:cxn ang="0">
                                <a:pos x="T2" y="T3"/>
                              </a:cxn>
                            </a:cxnLst>
                            <a:rect l="0" t="0" r="r" b="b"/>
                            <a:pathLst>
                              <a:path w="75" h="62">
                                <a:moveTo>
                                  <a:pt x="0" y="31"/>
                                </a:moveTo>
                                <a:lnTo>
                                  <a:pt x="74"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Freeform 292"/>
                        <wps:cNvSpPr>
                          <a:spLocks/>
                        </wps:cNvSpPr>
                        <wps:spPr bwMode="auto">
                          <a:xfrm>
                            <a:off x="10156" y="4598"/>
                            <a:ext cx="76" cy="62"/>
                          </a:xfrm>
                          <a:custGeom>
                            <a:avLst/>
                            <a:gdLst>
                              <a:gd name="T0" fmla="*/ 0 w 76"/>
                              <a:gd name="T1" fmla="*/ 31 h 62"/>
                              <a:gd name="T2" fmla="*/ 75 w 76"/>
                              <a:gd name="T3" fmla="*/ 31 h 62"/>
                            </a:gdLst>
                            <a:ahLst/>
                            <a:cxnLst>
                              <a:cxn ang="0">
                                <a:pos x="T0" y="T1"/>
                              </a:cxn>
                              <a:cxn ang="0">
                                <a:pos x="T2" y="T3"/>
                              </a:cxn>
                            </a:cxnLst>
                            <a:rect l="0" t="0" r="r" b="b"/>
                            <a:pathLst>
                              <a:path w="76" h="62">
                                <a:moveTo>
                                  <a:pt x="0" y="31"/>
                                </a:moveTo>
                                <a:lnTo>
                                  <a:pt x="75" y="31"/>
                                </a:lnTo>
                              </a:path>
                            </a:pathLst>
                          </a:custGeom>
                          <a:noFill/>
                          <a:ln w="40887">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293"/>
                        <wps:cNvSpPr>
                          <a:spLocks/>
                        </wps:cNvSpPr>
                        <wps:spPr bwMode="auto">
                          <a:xfrm>
                            <a:off x="2476" y="3662"/>
                            <a:ext cx="20" cy="998"/>
                          </a:xfrm>
                          <a:custGeom>
                            <a:avLst/>
                            <a:gdLst>
                              <a:gd name="T0" fmla="*/ 0 w 20"/>
                              <a:gd name="T1" fmla="*/ 0 h 998"/>
                              <a:gd name="T2" fmla="*/ 0 w 20"/>
                              <a:gd name="T3" fmla="*/ 998 h 998"/>
                            </a:gdLst>
                            <a:ahLst/>
                            <a:cxnLst>
                              <a:cxn ang="0">
                                <a:pos x="T0" y="T1"/>
                              </a:cxn>
                              <a:cxn ang="0">
                                <a:pos x="T2" y="T3"/>
                              </a:cxn>
                            </a:cxnLst>
                            <a:rect l="0" t="0" r="r" b="b"/>
                            <a:pathLst>
                              <a:path w="20" h="998">
                                <a:moveTo>
                                  <a:pt x="0" y="0"/>
                                </a:moveTo>
                                <a:lnTo>
                                  <a:pt x="0" y="998"/>
                                </a:lnTo>
                              </a:path>
                            </a:pathLst>
                          </a:custGeom>
                          <a:noFill/>
                          <a:ln w="48933">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Freeform 294"/>
                        <wps:cNvSpPr>
                          <a:spLocks/>
                        </wps:cNvSpPr>
                        <wps:spPr bwMode="auto">
                          <a:xfrm>
                            <a:off x="2739" y="3799"/>
                            <a:ext cx="20" cy="861"/>
                          </a:xfrm>
                          <a:custGeom>
                            <a:avLst/>
                            <a:gdLst>
                              <a:gd name="T0" fmla="*/ 0 w 20"/>
                              <a:gd name="T1" fmla="*/ 0 h 861"/>
                              <a:gd name="T2" fmla="*/ 0 w 20"/>
                              <a:gd name="T3" fmla="*/ 860 h 861"/>
                            </a:gdLst>
                            <a:ahLst/>
                            <a:cxnLst>
                              <a:cxn ang="0">
                                <a:pos x="T0" y="T1"/>
                              </a:cxn>
                              <a:cxn ang="0">
                                <a:pos x="T2" y="T3"/>
                              </a:cxn>
                            </a:cxnLst>
                            <a:rect l="0" t="0" r="r" b="b"/>
                            <a:pathLst>
                              <a:path w="20" h="861">
                                <a:moveTo>
                                  <a:pt x="0" y="0"/>
                                </a:moveTo>
                                <a:lnTo>
                                  <a:pt x="0" y="860"/>
                                </a:lnTo>
                              </a:path>
                            </a:pathLst>
                          </a:custGeom>
                          <a:noFill/>
                          <a:ln w="4892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Freeform 295"/>
                        <wps:cNvSpPr>
                          <a:spLocks/>
                        </wps:cNvSpPr>
                        <wps:spPr bwMode="auto">
                          <a:xfrm>
                            <a:off x="3002" y="4061"/>
                            <a:ext cx="20" cy="599"/>
                          </a:xfrm>
                          <a:custGeom>
                            <a:avLst/>
                            <a:gdLst>
                              <a:gd name="T0" fmla="*/ 0 w 20"/>
                              <a:gd name="T1" fmla="*/ 0 h 599"/>
                              <a:gd name="T2" fmla="*/ 0 w 20"/>
                              <a:gd name="T3" fmla="*/ 598 h 599"/>
                            </a:gdLst>
                            <a:ahLst/>
                            <a:cxnLst>
                              <a:cxn ang="0">
                                <a:pos x="T0" y="T1"/>
                              </a:cxn>
                              <a:cxn ang="0">
                                <a:pos x="T2" y="T3"/>
                              </a:cxn>
                            </a:cxnLst>
                            <a:rect l="0" t="0" r="r" b="b"/>
                            <a:pathLst>
                              <a:path w="20" h="599">
                                <a:moveTo>
                                  <a:pt x="0" y="0"/>
                                </a:moveTo>
                                <a:lnTo>
                                  <a:pt x="0" y="598"/>
                                </a:lnTo>
                              </a:path>
                            </a:pathLst>
                          </a:custGeom>
                          <a:noFill/>
                          <a:ln w="4892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Freeform 296"/>
                        <wps:cNvSpPr>
                          <a:spLocks/>
                        </wps:cNvSpPr>
                        <wps:spPr bwMode="auto">
                          <a:xfrm>
                            <a:off x="3252" y="4398"/>
                            <a:ext cx="20" cy="262"/>
                          </a:xfrm>
                          <a:custGeom>
                            <a:avLst/>
                            <a:gdLst>
                              <a:gd name="T0" fmla="*/ 0 w 20"/>
                              <a:gd name="T1" fmla="*/ 0 h 262"/>
                              <a:gd name="T2" fmla="*/ 0 w 20"/>
                              <a:gd name="T3" fmla="*/ 261 h 262"/>
                            </a:gdLst>
                            <a:ahLst/>
                            <a:cxnLst>
                              <a:cxn ang="0">
                                <a:pos x="T0" y="T1"/>
                              </a:cxn>
                              <a:cxn ang="0">
                                <a:pos x="T2" y="T3"/>
                              </a:cxn>
                            </a:cxnLst>
                            <a:rect l="0" t="0" r="r" b="b"/>
                            <a:pathLst>
                              <a:path w="20" h="262">
                                <a:moveTo>
                                  <a:pt x="0" y="0"/>
                                </a:moveTo>
                                <a:lnTo>
                                  <a:pt x="0" y="261"/>
                                </a:lnTo>
                              </a:path>
                            </a:pathLst>
                          </a:custGeom>
                          <a:noFill/>
                          <a:ln w="48920">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Freeform 297"/>
                        <wps:cNvSpPr>
                          <a:spLocks/>
                        </wps:cNvSpPr>
                        <wps:spPr bwMode="auto">
                          <a:xfrm>
                            <a:off x="3515" y="4336"/>
                            <a:ext cx="20" cy="324"/>
                          </a:xfrm>
                          <a:custGeom>
                            <a:avLst/>
                            <a:gdLst>
                              <a:gd name="T0" fmla="*/ 0 w 20"/>
                              <a:gd name="T1" fmla="*/ 0 h 324"/>
                              <a:gd name="T2" fmla="*/ 0 w 20"/>
                              <a:gd name="T3" fmla="*/ 324 h 324"/>
                            </a:gdLst>
                            <a:ahLst/>
                            <a:cxnLst>
                              <a:cxn ang="0">
                                <a:pos x="T0" y="T1"/>
                              </a:cxn>
                              <a:cxn ang="0">
                                <a:pos x="T2" y="T3"/>
                              </a:cxn>
                            </a:cxnLst>
                            <a:rect l="0" t="0" r="r" b="b"/>
                            <a:pathLst>
                              <a:path w="20" h="324">
                                <a:moveTo>
                                  <a:pt x="0" y="0"/>
                                </a:moveTo>
                                <a:lnTo>
                                  <a:pt x="0" y="324"/>
                                </a:lnTo>
                              </a:path>
                            </a:pathLst>
                          </a:custGeom>
                          <a:noFill/>
                          <a:ln w="48933">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Freeform 298"/>
                        <wps:cNvSpPr>
                          <a:spLocks/>
                        </wps:cNvSpPr>
                        <wps:spPr bwMode="auto">
                          <a:xfrm>
                            <a:off x="3777" y="4398"/>
                            <a:ext cx="20" cy="262"/>
                          </a:xfrm>
                          <a:custGeom>
                            <a:avLst/>
                            <a:gdLst>
                              <a:gd name="T0" fmla="*/ 0 w 20"/>
                              <a:gd name="T1" fmla="*/ 0 h 262"/>
                              <a:gd name="T2" fmla="*/ 0 w 20"/>
                              <a:gd name="T3" fmla="*/ 261 h 262"/>
                            </a:gdLst>
                            <a:ahLst/>
                            <a:cxnLst>
                              <a:cxn ang="0">
                                <a:pos x="T0" y="T1"/>
                              </a:cxn>
                              <a:cxn ang="0">
                                <a:pos x="T2" y="T3"/>
                              </a:cxn>
                            </a:cxnLst>
                            <a:rect l="0" t="0" r="r" b="b"/>
                            <a:pathLst>
                              <a:path w="20" h="262">
                                <a:moveTo>
                                  <a:pt x="0" y="0"/>
                                </a:moveTo>
                                <a:lnTo>
                                  <a:pt x="0" y="261"/>
                                </a:lnTo>
                              </a:path>
                            </a:pathLst>
                          </a:custGeom>
                          <a:noFill/>
                          <a:ln w="48971">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Freeform 299"/>
                        <wps:cNvSpPr>
                          <a:spLocks/>
                        </wps:cNvSpPr>
                        <wps:spPr bwMode="auto">
                          <a:xfrm>
                            <a:off x="4040" y="3662"/>
                            <a:ext cx="20" cy="998"/>
                          </a:xfrm>
                          <a:custGeom>
                            <a:avLst/>
                            <a:gdLst>
                              <a:gd name="T0" fmla="*/ 0 w 20"/>
                              <a:gd name="T1" fmla="*/ 0 h 998"/>
                              <a:gd name="T2" fmla="*/ 0 w 20"/>
                              <a:gd name="T3" fmla="*/ 998 h 998"/>
                            </a:gdLst>
                            <a:ahLst/>
                            <a:cxnLst>
                              <a:cxn ang="0">
                                <a:pos x="T0" y="T1"/>
                              </a:cxn>
                              <a:cxn ang="0">
                                <a:pos x="T2" y="T3"/>
                              </a:cxn>
                            </a:cxnLst>
                            <a:rect l="0" t="0" r="r" b="b"/>
                            <a:pathLst>
                              <a:path w="20" h="998">
                                <a:moveTo>
                                  <a:pt x="0" y="0"/>
                                </a:moveTo>
                                <a:lnTo>
                                  <a:pt x="0" y="998"/>
                                </a:lnTo>
                              </a:path>
                            </a:pathLst>
                          </a:custGeom>
                          <a:noFill/>
                          <a:ln w="48971">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Freeform 300"/>
                        <wps:cNvSpPr>
                          <a:spLocks/>
                        </wps:cNvSpPr>
                        <wps:spPr bwMode="auto">
                          <a:xfrm>
                            <a:off x="4290" y="3999"/>
                            <a:ext cx="20" cy="661"/>
                          </a:xfrm>
                          <a:custGeom>
                            <a:avLst/>
                            <a:gdLst>
                              <a:gd name="T0" fmla="*/ 0 w 20"/>
                              <a:gd name="T1" fmla="*/ 0 h 661"/>
                              <a:gd name="T2" fmla="*/ 0 w 20"/>
                              <a:gd name="T3" fmla="*/ 661 h 661"/>
                            </a:gdLst>
                            <a:ahLst/>
                            <a:cxnLst>
                              <a:cxn ang="0">
                                <a:pos x="T0" y="T1"/>
                              </a:cxn>
                              <a:cxn ang="0">
                                <a:pos x="T2" y="T3"/>
                              </a:cxn>
                            </a:cxnLst>
                            <a:rect l="0" t="0" r="r" b="b"/>
                            <a:pathLst>
                              <a:path w="20" h="661">
                                <a:moveTo>
                                  <a:pt x="0" y="0"/>
                                </a:moveTo>
                                <a:lnTo>
                                  <a:pt x="0" y="661"/>
                                </a:lnTo>
                              </a:path>
                            </a:pathLst>
                          </a:custGeom>
                          <a:noFill/>
                          <a:ln w="48971">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Rectangle 301"/>
                        <wps:cNvSpPr>
                          <a:spLocks/>
                        </wps:cNvSpPr>
                        <wps:spPr bwMode="auto">
                          <a:xfrm>
                            <a:off x="4514" y="4336"/>
                            <a:ext cx="77" cy="32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 name="Freeform 302"/>
                        <wps:cNvSpPr>
                          <a:spLocks/>
                        </wps:cNvSpPr>
                        <wps:spPr bwMode="auto">
                          <a:xfrm>
                            <a:off x="4815" y="4199"/>
                            <a:ext cx="20" cy="461"/>
                          </a:xfrm>
                          <a:custGeom>
                            <a:avLst/>
                            <a:gdLst>
                              <a:gd name="T0" fmla="*/ 0 w 20"/>
                              <a:gd name="T1" fmla="*/ 0 h 461"/>
                              <a:gd name="T2" fmla="*/ 0 w 20"/>
                              <a:gd name="T3" fmla="*/ 461 h 461"/>
                            </a:gdLst>
                            <a:ahLst/>
                            <a:cxnLst>
                              <a:cxn ang="0">
                                <a:pos x="T0" y="T1"/>
                              </a:cxn>
                              <a:cxn ang="0">
                                <a:pos x="T2" y="T3"/>
                              </a:cxn>
                            </a:cxnLst>
                            <a:rect l="0" t="0" r="r" b="b"/>
                            <a:pathLst>
                              <a:path w="20" h="461">
                                <a:moveTo>
                                  <a:pt x="0" y="0"/>
                                </a:moveTo>
                                <a:lnTo>
                                  <a:pt x="0" y="461"/>
                                </a:lnTo>
                              </a:path>
                            </a:pathLst>
                          </a:custGeom>
                          <a:noFill/>
                          <a:ln w="48844">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303"/>
                        <wps:cNvSpPr>
                          <a:spLocks/>
                        </wps:cNvSpPr>
                        <wps:spPr bwMode="auto">
                          <a:xfrm>
                            <a:off x="5291" y="4598"/>
                            <a:ext cx="75" cy="62"/>
                          </a:xfrm>
                          <a:custGeom>
                            <a:avLst/>
                            <a:gdLst>
                              <a:gd name="T0" fmla="*/ 0 w 75"/>
                              <a:gd name="T1" fmla="*/ 31 h 62"/>
                              <a:gd name="T2" fmla="*/ 74 w 75"/>
                              <a:gd name="T3" fmla="*/ 31 h 62"/>
                            </a:gdLst>
                            <a:ahLst/>
                            <a:cxnLst>
                              <a:cxn ang="0">
                                <a:pos x="T0" y="T1"/>
                              </a:cxn>
                              <a:cxn ang="0">
                                <a:pos x="T2" y="T3"/>
                              </a:cxn>
                            </a:cxnLst>
                            <a:rect l="0" t="0" r="r" b="b"/>
                            <a:pathLst>
                              <a:path w="75" h="62">
                                <a:moveTo>
                                  <a:pt x="0" y="31"/>
                                </a:moveTo>
                                <a:lnTo>
                                  <a:pt x="74" y="31"/>
                                </a:lnTo>
                              </a:path>
                            </a:pathLst>
                          </a:custGeom>
                          <a:noFill/>
                          <a:ln w="40887">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Freeform 304"/>
                        <wps:cNvSpPr>
                          <a:spLocks/>
                        </wps:cNvSpPr>
                        <wps:spPr bwMode="auto">
                          <a:xfrm>
                            <a:off x="5591" y="4398"/>
                            <a:ext cx="20" cy="262"/>
                          </a:xfrm>
                          <a:custGeom>
                            <a:avLst/>
                            <a:gdLst>
                              <a:gd name="T0" fmla="*/ 0 w 20"/>
                              <a:gd name="T1" fmla="*/ 0 h 262"/>
                              <a:gd name="T2" fmla="*/ 0 w 20"/>
                              <a:gd name="T3" fmla="*/ 261 h 262"/>
                            </a:gdLst>
                            <a:ahLst/>
                            <a:cxnLst>
                              <a:cxn ang="0">
                                <a:pos x="T0" y="T1"/>
                              </a:cxn>
                              <a:cxn ang="0">
                                <a:pos x="T2" y="T3"/>
                              </a:cxn>
                            </a:cxnLst>
                            <a:rect l="0" t="0" r="r" b="b"/>
                            <a:pathLst>
                              <a:path w="20" h="262">
                                <a:moveTo>
                                  <a:pt x="0" y="0"/>
                                </a:moveTo>
                                <a:lnTo>
                                  <a:pt x="0" y="261"/>
                                </a:lnTo>
                              </a:path>
                            </a:pathLst>
                          </a:custGeom>
                          <a:noFill/>
                          <a:ln w="48971">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Freeform 305"/>
                        <wps:cNvSpPr>
                          <a:spLocks/>
                        </wps:cNvSpPr>
                        <wps:spPr bwMode="auto">
                          <a:xfrm>
                            <a:off x="5816"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Rectangle 306"/>
                        <wps:cNvSpPr>
                          <a:spLocks/>
                        </wps:cNvSpPr>
                        <wps:spPr bwMode="auto">
                          <a:xfrm>
                            <a:off x="6078" y="4536"/>
                            <a:ext cx="77" cy="12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Freeform 307"/>
                        <wps:cNvSpPr>
                          <a:spLocks/>
                        </wps:cNvSpPr>
                        <wps:spPr bwMode="auto">
                          <a:xfrm>
                            <a:off x="6592"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 name="Freeform 308"/>
                        <wps:cNvSpPr>
                          <a:spLocks/>
                        </wps:cNvSpPr>
                        <wps:spPr bwMode="auto">
                          <a:xfrm>
                            <a:off x="7367" y="4598"/>
                            <a:ext cx="75" cy="62"/>
                          </a:xfrm>
                          <a:custGeom>
                            <a:avLst/>
                            <a:gdLst>
                              <a:gd name="T0" fmla="*/ 0 w 75"/>
                              <a:gd name="T1" fmla="*/ 31 h 62"/>
                              <a:gd name="T2" fmla="*/ 74 w 75"/>
                              <a:gd name="T3" fmla="*/ 31 h 62"/>
                            </a:gdLst>
                            <a:ahLst/>
                            <a:cxnLst>
                              <a:cxn ang="0">
                                <a:pos x="T0" y="T1"/>
                              </a:cxn>
                              <a:cxn ang="0">
                                <a:pos x="T2" y="T3"/>
                              </a:cxn>
                            </a:cxnLst>
                            <a:rect l="0" t="0" r="r" b="b"/>
                            <a:pathLst>
                              <a:path w="75" h="62">
                                <a:moveTo>
                                  <a:pt x="0" y="31"/>
                                </a:moveTo>
                                <a:lnTo>
                                  <a:pt x="74" y="31"/>
                                </a:lnTo>
                              </a:path>
                            </a:pathLst>
                          </a:custGeom>
                          <a:noFill/>
                          <a:ln w="40887">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309"/>
                        <wps:cNvSpPr>
                          <a:spLocks/>
                        </wps:cNvSpPr>
                        <wps:spPr bwMode="auto">
                          <a:xfrm>
                            <a:off x="7630" y="4598"/>
                            <a:ext cx="75" cy="62"/>
                          </a:xfrm>
                          <a:custGeom>
                            <a:avLst/>
                            <a:gdLst>
                              <a:gd name="T0" fmla="*/ 0 w 75"/>
                              <a:gd name="T1" fmla="*/ 31 h 62"/>
                              <a:gd name="T2" fmla="*/ 74 w 75"/>
                              <a:gd name="T3" fmla="*/ 31 h 62"/>
                            </a:gdLst>
                            <a:ahLst/>
                            <a:cxnLst>
                              <a:cxn ang="0">
                                <a:pos x="T0" y="T1"/>
                              </a:cxn>
                              <a:cxn ang="0">
                                <a:pos x="T2" y="T3"/>
                              </a:cxn>
                            </a:cxnLst>
                            <a:rect l="0" t="0" r="r" b="b"/>
                            <a:pathLst>
                              <a:path w="75" h="62">
                                <a:moveTo>
                                  <a:pt x="0" y="31"/>
                                </a:moveTo>
                                <a:lnTo>
                                  <a:pt x="74" y="31"/>
                                </a:lnTo>
                              </a:path>
                            </a:pathLst>
                          </a:custGeom>
                          <a:noFill/>
                          <a:ln w="40887">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Freeform 310"/>
                        <wps:cNvSpPr>
                          <a:spLocks/>
                        </wps:cNvSpPr>
                        <wps:spPr bwMode="auto">
                          <a:xfrm>
                            <a:off x="8668" y="4598"/>
                            <a:ext cx="75" cy="62"/>
                          </a:xfrm>
                          <a:custGeom>
                            <a:avLst/>
                            <a:gdLst>
                              <a:gd name="T0" fmla="*/ 0 w 75"/>
                              <a:gd name="T1" fmla="*/ 31 h 62"/>
                              <a:gd name="T2" fmla="*/ 75 w 75"/>
                              <a:gd name="T3" fmla="*/ 31 h 62"/>
                            </a:gdLst>
                            <a:ahLst/>
                            <a:cxnLst>
                              <a:cxn ang="0">
                                <a:pos x="T0" y="T1"/>
                              </a:cxn>
                              <a:cxn ang="0">
                                <a:pos x="T2" y="T3"/>
                              </a:cxn>
                            </a:cxnLst>
                            <a:rect l="0" t="0" r="r" b="b"/>
                            <a:pathLst>
                              <a:path w="75" h="62">
                                <a:moveTo>
                                  <a:pt x="0" y="31"/>
                                </a:moveTo>
                                <a:lnTo>
                                  <a:pt x="75" y="31"/>
                                </a:lnTo>
                              </a:path>
                            </a:pathLst>
                          </a:custGeom>
                          <a:noFill/>
                          <a:ln w="40887">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311"/>
                        <wps:cNvSpPr>
                          <a:spLocks/>
                        </wps:cNvSpPr>
                        <wps:spPr bwMode="auto">
                          <a:xfrm>
                            <a:off x="2308" y="3332"/>
                            <a:ext cx="8055" cy="20"/>
                          </a:xfrm>
                          <a:custGeom>
                            <a:avLst/>
                            <a:gdLst>
                              <a:gd name="T0" fmla="*/ 0 w 8055"/>
                              <a:gd name="T1" fmla="*/ 0 h 20"/>
                              <a:gd name="T2" fmla="*/ 8055 w 8055"/>
                              <a:gd name="T3" fmla="*/ 0 h 20"/>
                            </a:gdLst>
                            <a:ahLst/>
                            <a:cxnLst>
                              <a:cxn ang="0">
                                <a:pos x="T0" y="T1"/>
                              </a:cxn>
                              <a:cxn ang="0">
                                <a:pos x="T2" y="T3"/>
                              </a:cxn>
                            </a:cxnLst>
                            <a:rect l="0" t="0" r="r" b="b"/>
                            <a:pathLst>
                              <a:path w="8055" h="20">
                                <a:moveTo>
                                  <a:pt x="0" y="0"/>
                                </a:moveTo>
                                <a:lnTo>
                                  <a:pt x="8055" y="0"/>
                                </a:lnTo>
                              </a:path>
                            </a:pathLst>
                          </a:custGeom>
                          <a:noFill/>
                          <a:ln w="792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Freeform 312"/>
                        <wps:cNvSpPr>
                          <a:spLocks/>
                        </wps:cNvSpPr>
                        <wps:spPr bwMode="auto">
                          <a:xfrm>
                            <a:off x="2308" y="3332"/>
                            <a:ext cx="20" cy="1335"/>
                          </a:xfrm>
                          <a:custGeom>
                            <a:avLst/>
                            <a:gdLst>
                              <a:gd name="T0" fmla="*/ 0 w 20"/>
                              <a:gd name="T1" fmla="*/ 1334 h 1335"/>
                              <a:gd name="T2" fmla="*/ 0 w 20"/>
                              <a:gd name="T3" fmla="*/ 0 h 1335"/>
                            </a:gdLst>
                            <a:ahLst/>
                            <a:cxnLst>
                              <a:cxn ang="0">
                                <a:pos x="T0" y="T1"/>
                              </a:cxn>
                              <a:cxn ang="0">
                                <a:pos x="T2" y="T3"/>
                              </a:cxn>
                            </a:cxnLst>
                            <a:rect l="0" t="0" r="r" b="b"/>
                            <a:pathLst>
                              <a:path w="20" h="1335">
                                <a:moveTo>
                                  <a:pt x="0" y="1334"/>
                                </a:moveTo>
                                <a:lnTo>
                                  <a:pt x="0" y="0"/>
                                </a:lnTo>
                              </a:path>
                            </a:pathLst>
                          </a:custGeom>
                          <a:noFill/>
                          <a:ln w="794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313"/>
                        <wps:cNvSpPr>
                          <a:spLocks/>
                        </wps:cNvSpPr>
                        <wps:spPr bwMode="auto">
                          <a:xfrm>
                            <a:off x="2308" y="4667"/>
                            <a:ext cx="8055" cy="20"/>
                          </a:xfrm>
                          <a:custGeom>
                            <a:avLst/>
                            <a:gdLst>
                              <a:gd name="T0" fmla="*/ 0 w 8055"/>
                              <a:gd name="T1" fmla="*/ 0 h 20"/>
                              <a:gd name="T2" fmla="*/ 8055 w 8055"/>
                              <a:gd name="T3" fmla="*/ 0 h 20"/>
                            </a:gdLst>
                            <a:ahLst/>
                            <a:cxnLst>
                              <a:cxn ang="0">
                                <a:pos x="T0" y="T1"/>
                              </a:cxn>
                              <a:cxn ang="0">
                                <a:pos x="T2" y="T3"/>
                              </a:cxn>
                            </a:cxnLst>
                            <a:rect l="0" t="0" r="r" b="b"/>
                            <a:pathLst>
                              <a:path w="8055" h="20">
                                <a:moveTo>
                                  <a:pt x="0" y="0"/>
                                </a:moveTo>
                                <a:lnTo>
                                  <a:pt x="8055" y="0"/>
                                </a:lnTo>
                              </a:path>
                            </a:pathLst>
                          </a:custGeom>
                          <a:noFill/>
                          <a:ln w="792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Rectangle 314"/>
                        <wps:cNvSpPr>
                          <a:spLocks noChangeArrowheads="1"/>
                        </wps:cNvSpPr>
                        <wps:spPr bwMode="auto">
                          <a:xfrm>
                            <a:off x="2158" y="4816"/>
                            <a:ext cx="814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1100" w:lineRule="atLeast"/>
                              </w:pPr>
                              <w:r>
                                <w:rPr>
                                  <w:noProof/>
                                  <w:lang w:eastAsia="lt-LT"/>
                                </w:rPr>
                                <w:drawing>
                                  <wp:inline distT="0" distB="0" distL="0" distR="0" wp14:anchorId="56EFF57B" wp14:editId="4EA941A8">
                                    <wp:extent cx="5162550" cy="695325"/>
                                    <wp:effectExtent l="0" t="0" r="0" b="9525"/>
                                    <wp:docPr id="401" name="Paveikslėlis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162550" cy="6953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wps:wsp>
                        <wps:cNvPr id="194" name="Rectangle 315"/>
                        <wps:cNvSpPr>
                          <a:spLocks/>
                        </wps:cNvSpPr>
                        <wps:spPr bwMode="auto">
                          <a:xfrm>
                            <a:off x="10695" y="3899"/>
                            <a:ext cx="112" cy="11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316"/>
                        <wps:cNvSpPr>
                          <a:spLocks/>
                        </wps:cNvSpPr>
                        <wps:spPr bwMode="auto">
                          <a:xfrm>
                            <a:off x="10695" y="4448"/>
                            <a:ext cx="112" cy="112"/>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317"/>
                        <wps:cNvSpPr>
                          <a:spLocks/>
                        </wps:cNvSpPr>
                        <wps:spPr bwMode="auto">
                          <a:xfrm>
                            <a:off x="1782" y="2296"/>
                            <a:ext cx="9869" cy="3792"/>
                          </a:xfrm>
                          <a:prstGeom prst="rect">
                            <a:avLst/>
                          </a:prstGeom>
                          <a:noFill/>
                          <a:ln w="7932">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137" o:spid="_x0000_s1084" style="position:absolute;margin-left:88.8pt;margin-top:114.5pt;width:494.1pt;height:190.25pt;z-index:-251558912;mso-position-horizontal-relative:page;mso-position-vertical-relative:page" coordorigin="1776,2290" coordsize="9882,3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" o:allowincell="f">
                <v:shape id="Freeform 259" o:spid="_x0000_s1085" style="position:absolute;left:2308;top:4330;width:8055;height:20;visibility:visible;mso-wrap-style:square;v-text-anchor:top" coordsize="80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tyMYA&#10;AADcAAAADwAAAGRycy9kb3ducmV2LnhtbESPQWvCQBCF74X+h2UKvdVNTRGJriJCS1uEokbwOGTH&#10;bDA7G7Krpv++cxB6m+G9ee+b+XLwrbpSH5vABl5HGSjiKtiGawPl/v1lCiomZIttYDLwSxGWi8eH&#10;ORY23HhL112qlYRwLNCAS6krtI6VI49xFDpi0U6h95hk7Wtte7xJuG/1OMsm2mPD0uCwo7Wj6ry7&#10;eAMfRyrL/LJaH7pNdD/j/Psre5sY8/w0rGagEg3p33y//rSCnwutPCMT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CtyMYAAADcAAAADwAAAAAAAAAAAAAAAACYAgAAZHJz&#10;L2Rvd25yZXYueG1sUEsFBgAAAAAEAAQA9QAAAIsDAAAAAA==&#10;" path="m,l8055,e" filled="f" strokecolor="#858585" strokeweight=".22006mm">
                  <v:path arrowok="t" o:connecttype="custom" o:connectlocs="0,0;8055,0" o:connectangles="0,0"/>
                </v:shape>
                <v:shape id="Freeform 260" o:spid="_x0000_s1086" style="position:absolute;left:2308;top:4005;width:8055;height:20;visibility:visible;mso-wrap-style:square;v-text-anchor:top" coordsize="80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U8MA&#10;AADcAAAADwAAAGRycy9kb3ducmV2LnhtbERP32vCMBB+F/wfwgl7m6l2yKxGEcGxyUB0FXw8mrMp&#10;NpfSRO3+ezMY+HYf38+bLztbixu1vnKsYDRMQBAXTldcKsh/Nq/vIHxA1lg7JgW/5GG56PfmmGl3&#10;5z3dDqEUMYR9hgpMCE0mpS8MWfRD1xBH7uxaiyHCtpS6xXsMt7UcJ8lEWqw4NhhsaG2ouByuVsHH&#10;ifI8va7Wx+bbm9043X4lbxOlXgbdagYiUBee4n/3p47z0yn8PRMv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IU8MAAADcAAAADwAAAAAAAAAAAAAAAACYAgAAZHJzL2Rv&#10;d25yZXYueG1sUEsFBgAAAAAEAAQA9QAAAIgDAAAAAA==&#10;" path="m,l8055,e" filled="f" strokecolor="#858585" strokeweight=".22006mm">
                  <v:path arrowok="t" o:connecttype="custom" o:connectlocs="0,0;8055,0" o:connectangles="0,0"/>
                </v:shape>
                <v:shape id="Freeform 261" o:spid="_x0000_s1087" style="position:absolute;left:2308;top:3669;width:8055;height:20;visibility:visible;mso-wrap-style:square;v-text-anchor:top" coordsize="80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DSs8YA&#10;AADcAAAADwAAAGRycy9kb3ducmV2LnhtbESPT2vCQBDF74V+h2UK3urGP4hEVxGhxZZCUSN4HLJj&#10;NpidDdlV02/fORR6m+G9ee83y3XvG3WnLtaBDYyGGSjiMtiaKwPF8e11DiomZItNYDLwQxHWq+en&#10;JeY2PHhP90OqlIRwzNGAS6nNtY6lI49xGFpi0S6h85hk7SptO3xIuG/0OMtm2mPN0uCwpa2j8nq4&#10;eQPvZyqKyW2zPbVf0X2PJ58f2XRmzOCl3yxAJerTv/nvemcFfyr48ox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DSs8YAAADcAAAADwAAAAAAAAAAAAAAAACYAgAAZHJz&#10;L2Rvd25yZXYueG1sUEsFBgAAAAAEAAQA9QAAAIsDAAAAAA==&#10;" path="m,l8055,e" filled="f" strokecolor="#858585" strokeweight=".22006mm">
                  <v:path arrowok="t" o:connecttype="custom" o:connectlocs="0,0;8055,0" o:connectangles="0,0"/>
                </v:shape>
                <v:shape id="Freeform 262" o:spid="_x0000_s1088" style="position:absolute;left:2401;top:3400;width:20;height:1260;visibility:visible;mso-wrap-style:square;v-text-anchor:top" coordsize="2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VBvcQA&#10;AADcAAAADwAAAGRycy9kb3ducmV2LnhtbERPTWvCQBC9F/wPyxR6q7taKSF1DUXQCvWg0UOPQ3ZM&#10;gtnZmN0m6b/vFgre5vE+Z5mNthE9db52rGE2VSCIC2dqLjWcT5vnBIQPyAYbx6Thhzxkq8nDElPj&#10;Bj5Sn4dSxBD2KWqoQmhTKX1RkUU/dS1x5C6usxgi7EppOhxiuG3kXKlXabHm2FBhS+uKimv+bTUM&#10;p0R+JIdPtb9tD183td+5+ctC66fH8f0NRKAx3MX/7p2J8xcz+HsmX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FQb3EAAAA3AAAAA8AAAAAAAAAAAAAAAAAmAIAAGRycy9k&#10;b3ducmV2LnhtbFBLBQYAAAAABAAEAPUAAACJAwAAAAA=&#10;" path="m,l,1260e" filled="f" strokecolor="#4f81bc" strokeweight="1.3589mm">
                  <v:path arrowok="t" o:connecttype="custom" o:connectlocs="0,0;0,1260" o:connectangles="0,0"/>
                </v:shape>
                <v:shape id="Freeform 263" o:spid="_x0000_s1089" style="position:absolute;left:2664;top:3662;width:20;height:998;visibility:visible;mso-wrap-style:square;v-text-anchor:top" coordsize="20,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WGDcIA&#10;AADcAAAADwAAAGRycy9kb3ducmV2LnhtbERP22rCQBB9L/gPywi+SN1USpHUVbQYkErBSyk+Dtkx&#10;WczOhuwa49+7gtC3OZzrTOedrURLjTeOFbyNEhDEudOGCwW/h+x1AsIHZI2VY1JwIw/zWe9liql2&#10;V95Ruw+FiCHsU1RQhlCnUvq8JIt+5GriyJ1cYzFE2BRSN3iN4baS4yT5kBYNx4YSa/oqKT/vL1aB&#10;XBl7/s7+jkQbztqf7XJoqk6pQb9bfIII1IV/8dO91nH++xgez8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hYYNwgAAANwAAAAPAAAAAAAAAAAAAAAAAJgCAABkcnMvZG93&#10;bnJldi54bWxQSwUGAAAAAAQABAD1AAAAhwMAAAAA&#10;" path="m,l,998e" filled="f" strokecolor="#4f81bc" strokeweight="1.35925mm">
                  <v:path arrowok="t" o:connecttype="custom" o:connectlocs="0,0;0,998" o:connectangles="0,0"/>
                </v:shape>
                <v:shape id="Freeform 264" o:spid="_x0000_s1090" style="position:absolute;left:2927;top:3862;width:20;height:798;visibility:visible;mso-wrap-style:square;v-text-anchor:top" coordsize="20,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4T5cEA&#10;AADcAAAADwAAAGRycy9kb3ducmV2LnhtbERP24rCMBB9X/Afwgi+aeq6iFSjiCCrD+J6+YCxGdtq&#10;MylJtPXvN8LCvs3hXGe2aE0lnuR8aVnBcJCAIM6sLjlXcD6t+xMQPiBrrCyTghd5WMw7HzNMtW34&#10;QM9jyEUMYZ+igiKEOpXSZwUZ9ANbE0fuap3BEKHLpXbYxHBTyc8kGUuDJceGAmtaFZTdjw+jYPPj&#10;ar6721DuLqZ5fI9ue789KdXrtsspiEBt+Bf/uTc6zv8awfuZeIG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uE+XBAAAA3AAAAA8AAAAAAAAAAAAAAAAAmAIAAGRycy9kb3du&#10;cmV2LnhtbFBLBQYAAAAABAAEAPUAAACGAwAAAAA=&#10;" path="m,l,798e" filled="f" strokecolor="#4f81bc" strokeweight="1.35925mm">
                  <v:path arrowok="t" o:connecttype="custom" o:connectlocs="0,0;0,798" o:connectangles="0,0"/>
                </v:shape>
                <v:shape id="Freeform 265" o:spid="_x0000_s1091" style="position:absolute;left:3183;top:4199;width:20;height:461;visibility:visible;mso-wrap-style:square;v-text-anchor:top" coordsize="20,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ZofMAA&#10;AADcAAAADwAAAGRycy9kb3ducmV2LnhtbERP24rCMBB9F/yHMIJvmlqKaNcoIi7ui+DtA2ab2aZs&#10;M6lNVrt/bwTBtzmc6yxWna3FjVpfOVYwGScgiAunKy4VXM6foxkIH5A11o5JwT95WC37vQXm2t35&#10;SLdTKEUMYZ+jAhNCk0vpC0MW/dg1xJH7ca3FEGFbSt3iPYbbWqZJMpUWK44NBhvaGCp+T39WwVrO&#10;PZvieph2u21G+3P6nfhUqeGgW3+ACNSFt/jl/tJxfpbB85l4gV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4ZofMAAAADcAAAADwAAAAAAAAAAAAAAAACYAgAAZHJzL2Rvd25y&#10;ZXYueG1sUEsFBgAAAAAEAAQA9QAAAIUDAAAAAA==&#10;" path="m,l,461e" filled="f" strokecolor="#4f81bc" strokeweight="1.1386mm">
                  <v:path arrowok="t" o:connecttype="custom" o:connectlocs="0,0;0,461" o:connectangles="0,0"/>
                </v:shape>
                <v:shape id="Freeform 266" o:spid="_x0000_s1092" style="position:absolute;left:3440;top:4199;width:20;height:461;visibility:visible;mso-wrap-style:square;v-text-anchor:top" coordsize="20,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hEfMIA&#10;AADcAAAADwAAAGRycy9kb3ducmV2LnhtbERPTWvCQBC9C/6HZYTedGNR0dRVpFDpQUpMCr0Ou9Mk&#10;mp0N2a3Gf98VBG/zeJ+z3va2ERfqfO1YwXSSgCDWztRcKvguPsZLED4gG2wck4IbedhuhoM1psZd&#10;+UiXPJQihrBPUUEVQptK6XVFFv3EtcSR+3WdxRBhV0rT4TWG20a+JslCWqw5NlTY0ntF+pz/WQXZ&#10;/kcXWcGrr1N9kK3P3E2vnFIvo373BiJQH57ih/vTxPmzOdyfiR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6ER8wgAAANwAAAAPAAAAAAAAAAAAAAAAAJgCAABkcnMvZG93&#10;bnJldi54bWxQSwUGAAAAAAQABAD1AAAAhwMAAAAA&#10;" path="m,l,461e" filled="f" strokecolor="#4f81bc" strokeweight="1.3589mm">
                  <v:path arrowok="t" o:connecttype="custom" o:connectlocs="0,0;0,461" o:connectangles="0,0"/>
                </v:shape>
                <v:shape id="Freeform 267" o:spid="_x0000_s1093" style="position:absolute;left:3702;top:4261;width:20;height:399;visibility:visible;mso-wrap-style:square;v-text-anchor:top" coordsize="20,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BdwcMA&#10;AADcAAAADwAAAGRycy9kb3ducmV2LnhtbERP24rCMBB9F/Yfwizsi2hqcUWqUVxFUBHx9gFDM7Zl&#10;m0lpslr9eiMs+DaHc53xtDGluFLtCssKet0IBHFqdcGZgvNp2RmCcB5ZY2mZFNzJwXTy0Rpjou2N&#10;D3Q9+kyEEHYJKsi9rxIpXZqTQde1FXHgLrY26AOsM6lrvIVwU8o4igbSYMGhIceK5jmlv8c/o2DW&#10;XlyGm1W538XrQ7z73j7kT7FQ6uuzmY1AeGr8W/zvXukwvz+A1zPhAj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BdwcMAAADcAAAADwAAAAAAAAAAAAAAAACYAgAAZHJzL2Rv&#10;d25yZXYueG1sUEsFBgAAAAAEAAQA9QAAAIgDAAAAAA==&#10;" path="m,l,399e" filled="f" strokecolor="#4f81bc" strokeweight="1.3582mm">
                  <v:path arrowok="t" o:connecttype="custom" o:connectlocs="0,0;0,399" o:connectangles="0,0"/>
                </v:shape>
                <v:shape id="Freeform 268" o:spid="_x0000_s1094" style="position:absolute;left:3965;top:4336;width:20;height:324;visibility:visible;mso-wrap-style:square;v-text-anchor:top" coordsize="2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YBMQA&#10;AADcAAAADwAAAGRycy9kb3ducmV2LnhtbERPTWvCQBC9C/6HZQredBOVmkY3IlJRLBSaFupxyE6T&#10;YHY2za6a/vuuUOhtHu9zVuveNOJKnastK4gnEQjiwuqaSwUf77txAsJ5ZI2NZVLwQw7W2XCwwlTb&#10;G7/RNfelCCHsUlRQed+mUrqiIoNuYlviwH3ZzqAPsCul7vAWwk0jp1H0KA3WHBoqbGlbUXHOL0bB&#10;cbF/euXP83Ni+nw2fyls/K1PSo0e+s0ShKfe/4v/3Acd5s8XcH8mXC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GATEAAAA3AAAAA8AAAAAAAAAAAAAAAAAmAIAAGRycy9k&#10;b3ducmV2LnhtbFBLBQYAAAAABAAEAPUAAACJAwAAAAA=&#10;" path="m,l,324e" filled="f" strokecolor="#4f81bc" strokeweight="1.3603mm">
                  <v:path arrowok="t" o:connecttype="custom" o:connectlocs="0,0;0,324" o:connectangles="0,0"/>
                </v:shape>
                <v:shape id="Freeform 269" o:spid="_x0000_s1095" style="position:absolute;left:4221;top:4336;width:20;height:324;visibility:visible;mso-wrap-style:square;v-text-anchor:top" coordsize="2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53McYA&#10;AADcAAAADwAAAGRycy9kb3ducmV2LnhtbESPwW7CQAxE75X4h5WReoMNKKrawIIKooVDJUTKB5is&#10;SaJmvSG7hbRfXx+QerM145nn+bJ3jbpSF2rPBibjBBRx4W3NpYHj59voGVSIyBYbz2TghwIsF4OH&#10;OWbW3/hA1zyWSkI4ZGigirHNtA5FRQ7D2LfEop195zDK2pXadniTcNfoaZI8aYc1S0OFLa0rKr7y&#10;b2egeV+dtulmd0l/LaeTl33ysc03xjwO+9cZqEh9/Dffr3dW8FOhlWdkAr3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53McYAAADcAAAADwAAAAAAAAAAAAAAAACYAgAAZHJz&#10;L2Rvd25yZXYueG1sUEsFBgAAAAAEAAQA9QAAAIsDAAAAAA==&#10;" path="m,l,324e" filled="f" strokecolor="#4f81bc" strokeweight="1.1383mm">
                  <v:path arrowok="t" o:connecttype="custom" o:connectlocs="0,0;0,324" o:connectangles="0,0"/>
                </v:shape>
                <v:rect id="Rectangle 270" o:spid="_x0000_s1096" style="position:absolute;left:4439;top:4336;width:7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ji1cQA&#10;AADcAAAADwAAAGRycy9kb3ducmV2LnhtbERP22oCMRB9L/QfwhR8KTVbK9KuRrGLrWJpS9UPGDbj&#10;ZnEzWZKo6983QqFvczjXmcw624gT+VA7VvDYz0AQl07XXCnYbd8enkGEiKyxcUwKLhRgNr29mWCu&#10;3Zl/6LSJlUghHHJUYGJscylDachi6LuWOHF75y3GBH0ltcdzCreNHGTZSFqsOTUYbKkwVB42R6ug&#10;Wft3L4eL1+Lro9iZ7/vl5375pFTvrpuPQUTq4r/4z73Saf7wBa7PpAvk9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Y4tXEAAAA3AAAAA8AAAAAAAAAAAAAAAAAmAIAAGRycy9k&#10;b3ducmV2LnhtbFBLBQYAAAAABAAEAPUAAACJAwAAAAA=&#10;" fillcolor="#4f81bc" stroked="f">
                  <v:path arrowok="t"/>
                </v:rect>
                <v:shape id="Freeform 271" o:spid="_x0000_s1097" style="position:absolute;left:4740;top:4398;width:20;height:262;visibility:visible;mso-wrap-style:square;v-text-anchor:top" coordsize="2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EzysUA&#10;AADcAAAADwAAAGRycy9kb3ducmV2LnhtbESPQWvCQBCF7wX/wzJCL6VuKqTU1FVEKLbWS7U/YJod&#10;k5DsbNhdNf33zkHwNsN789438+XgOnWmEBvPBl4mGSji0tuGKwO/h4/nN1AxIVvsPJOBf4qwXIwe&#10;5lhYf+EfOu9TpSSEY4EG6pT6QutY1uQwTnxPLNrRB4dJ1lBpG/Ai4a7T0yx71Q4bloYae1rXVLb7&#10;kzPw1O7s31eeb0LWznbrbRU2of025nE8rN5BJRrS3Xy7/rSCnwu+PCMT6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wTPKxQAAANwAAAAPAAAAAAAAAAAAAAAAAJgCAABkcnMv&#10;ZG93bnJldi54bWxQSwUGAAAAAAQABAD1AAAAigMAAAAA&#10;" path="m,l,261e" filled="f" strokecolor="#4f81bc" strokeweight="1.3603mm">
                  <v:path arrowok="t" o:connecttype="custom" o:connectlocs="0,0;0,261" o:connectangles="0,0"/>
                </v:shape>
                <v:shape id="Freeform 272" o:spid="_x0000_s1098" style="position:absolute;left:5003;top:4398;width:20;height:262;visibility:visible;mso-wrap-style:square;v-text-anchor:top" coordsize="2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2WUcIA&#10;AADcAAAADwAAAGRycy9kb3ducmV2LnhtbERPzWrCQBC+C32HZQpeRDcKKTW6ShGK1npp6gOM2TEJ&#10;yc6G3VXTt3cFobf5+H5nue5NK67kfG1ZwXSSgCAurK65VHD8/Ry/g/ABWWNrmRT8kYf16mWwxEzb&#10;G//QNQ+liCHsM1RQhdBlUvqiIoN+YjviyJ2tMxgidKXUDm8x3LRyliRv0mDNsaHCjjYVFU1+MQpG&#10;zUGfvtJ065JmftjsS7d1zbdSw9f+YwEiUB/+xU/3Tsf56RQez8QL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jZZRwgAAANwAAAAPAAAAAAAAAAAAAAAAAJgCAABkcnMvZG93&#10;bnJldi54bWxQSwUGAAAAAAQABAD1AAAAhwMAAAAA&#10;" path="m,l,261e" filled="f" strokecolor="#4f81bc" strokeweight="1.3603mm">
                  <v:path arrowok="t" o:connecttype="custom" o:connectlocs="0,0;0,261" o:connectangles="0,0"/>
                </v:shape>
                <v:shape id="Freeform 273" o:spid="_x0000_s1099" style="position:absolute;left:5260;top:4398;width:20;height:262;visibility:visible;mso-wrap-style:square;v-text-anchor:top" coordsize="2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DXMIA&#10;AADcAAAADwAAAGRycy9kb3ducmV2LnhtbERPTYvCMBC9L+x/CLPgbU236CLVKCIKHrxstuh1bMa2&#10;2ExKk631328Ewds83ucsVoNtRE+drx0r+BonIIgLZ2ouFeS/u88ZCB+QDTaOScGdPKyW728LzIy7&#10;8Q/1OpQihrDPUEEVQptJ6YuKLPqxa4kjd3GdxRBhV0rT4S2G20amSfItLdYcGypsaVNRcdV/VsEl&#10;PfaHrZ5N/PG62a61zs35lCs1+hjWcxCBhvASP917E+dPU3g8Ey+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70NcwgAAANwAAAAPAAAAAAAAAAAAAAAAAJgCAABkcnMvZG93&#10;bnJldi54bWxQSwUGAAAAAAQABAD1AAAAhwMAAAAA&#10;" path="m,l,261e" filled="f" strokecolor="#4f81bc" strokeweight="1.1383mm">
                  <v:path arrowok="t" o:connecttype="custom" o:connectlocs="0,0;0,261" o:connectangles="0,0"/>
                </v:shape>
                <v:shape id="Freeform 274" o:spid="_x0000_s1100" style="position:absolute;left:5516;top:4461;width:20;height:199;visibility:visible;mso-wrap-style:square;v-text-anchor:top" coordsize="2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1rxsEA&#10;AADcAAAADwAAAGRycy9kb3ducmV2LnhtbERPTWsCMRC9C/6HMEJvNWuLUrZmFxErLV6sCr1ON9PN&#10;4maybKLGf2+Egrd5vM+Zl9G24ky9bxwrmIwzEMSV0w3XCg77j+c3ED4ga2wdk4IreSiL4WCOuXYX&#10;/qbzLtQihbDPUYEJocul9JUhi37sOuLE/bneYkiwr6Xu8ZLCbStfsmwmLTacGgx2tDRUHXcnq0DH&#10;erue/fD2dyWzjVledfxqglJPo7h4BxEohof43/2p0/zpK9yfSRfI4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da8bBAAAA3AAAAA8AAAAAAAAAAAAAAAAAmAIAAGRycy9kb3du&#10;cmV2LnhtbFBLBQYAAAAABAAEAPUAAACGAwAAAAA=&#10;" path="m,l,199e" filled="f" strokecolor="#4f81bc" strokeweight="1.3568mm">
                  <v:path arrowok="t" o:connecttype="custom" o:connectlocs="0,0;0,199" o:connectangles="0,0"/>
                </v:shape>
                <v:shape id="Freeform 275" o:spid="_x0000_s1101" style="position:absolute;left:5779;top:4461;width:20;height:199;visibility:visible;mso-wrap-style:square;v-text-anchor:top" coordsize="2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TzssEA&#10;AADcAAAADwAAAGRycy9kb3ducmV2LnhtbERPTWsCMRC9C/6HMEJvNWupUrZmFxErLV6sCr1ON9PN&#10;4maybKLGf2+Egrd5vM+Zl9G24ky9bxwrmIwzEMSV0w3XCg77j+c3ED4ga2wdk4IreSiL4WCOuXYX&#10;/qbzLtQihbDPUYEJocul9JUhi37sOuLE/bneYkiwr6Xu8ZLCbStfsmwmLTacGgx2tDRUHXcnq0DH&#10;erue/fD2dyWzjVledfxqglJPo7h4BxEohof43/2p0/zpK9yfSRfI4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087LBAAAA3AAAAA8AAAAAAAAAAAAAAAAAmAIAAGRycy9kb3du&#10;cmV2LnhtbFBLBQYAAAAABAAEAPUAAACGAwAAAAA=&#10;" path="m,l,199e" filled="f" strokecolor="#4f81bc" strokeweight="1.3568mm">
                  <v:path arrowok="t" o:connecttype="custom" o:connectlocs="0,0;0,199" o:connectangles="0,0"/>
                </v:shape>
                <v:rect id="Rectangle 276" o:spid="_x0000_s1102" style="position:absolute;left:6003;top:4536;width:77;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DcQA&#10;AADcAAAADwAAAGRycy9kb3ducmV2LnhtbERP22oCMRB9L/QfwhT6UjTbiyKrUexiq7S0xcsHDJtx&#10;s7iZLEnU9e8bodC3OZzrTGadbcSJfKgdK3jsZyCIS6drrhTstm+9EYgQkTU2jknBhQLMprc3E8y1&#10;O/OaTptYiRTCIUcFJsY2lzKUhiyGvmuJE7d33mJM0FdSezyncNvIpywbSos1pwaDLRWGysPmaBU0&#10;H/7dy5fFa/H9WezMz8Pya798Vur+rpuPQUTq4r/4z73Saf5gANdn0gV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Mfg3EAAAA3AAAAA8AAAAAAAAAAAAAAAAAmAIAAGRycy9k&#10;b3ducmV2LnhtbFBLBQYAAAAABAAEAPUAAACJAwAAAAA=&#10;" fillcolor="#4f81bc" stroked="f">
                  <v:path arrowok="t"/>
                </v:rect>
                <v:shape id="Freeform 277" o:spid="_x0000_s1103" style="position:absolute;left:6298;top:4536;width:20;height:124;visibility:visible;mso-wrap-style:square;v-text-anchor:top" coordsize="2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A6dsQA&#10;AADcAAAADwAAAGRycy9kb3ducmV2LnhtbERP32vCMBB+H/g/hBP2IppOmEg1inSIYwhjKoJvZ3M2&#10;pc2lNFnt/nszGOztPr6ft1z3thYdtb50rOBlkoAgzp0uuVBwOm7HcxA+IGusHZOCH/KwXg2elphq&#10;d+cv6g6hEDGEfYoKTAhNKqXPDVn0E9cQR+7mWoshwraQusV7DLe1nCbJTFosOTYYbCgzlFeHb6tg&#10;f6mut1E/rU12Hs13b1X3kelPpZ6H/WYBIlAf/sV/7ncd57/O4PeZeIF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AOnbEAAAA3AAAAA8AAAAAAAAAAAAAAAAAmAIAAGRycy9k&#10;b3ducmV2LnhtbFBLBQYAAAAABAAEAPUAAACJAwAAAAA=&#10;" path="m,l,124e" filled="f" strokecolor="#4f81bc" strokeweight="1.1383mm">
                  <v:path arrowok="t" o:connecttype="custom" o:connectlocs="0,0;0,124" o:connectangles="0,0"/>
                </v:shape>
                <v:shape id="Freeform 278" o:spid="_x0000_s1104" style="position:absolute;left:6554;top:4536;width:20;height:124;visibility:visible;mso-wrap-style:square;v-text-anchor:top" coordsize="2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Aa98MA&#10;AADcAAAADwAAAGRycy9kb3ducmV2LnhtbERP22oCMRB9L/gPYQTfalZxq6xGsYq0pRSviI/DZtxd&#10;upksSarbv28Khb7N4VxntmhNLW7kfGVZwaCfgCDOra64UHA6bh4nIHxA1lhbJgXf5GEx7zzMMNP2&#10;znu6HUIhYgj7DBWUITSZlD4vyaDv24Y4clfrDIYIXSG1w3sMN7UcJsmTNFhxbCixoVVJ+efhyyh4&#10;eU9Nvd255/Mq1cc3/LiE9WikVK/bLqcgArXhX/znftVxfjqG32fiB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Aa98MAAADcAAAADwAAAAAAAAAAAAAAAACYAgAAZHJzL2Rv&#10;d25yZXYueG1sUEsFBgAAAAAEAAQA9QAAAIgDAAAAAA==&#10;" path="m,l,124e" filled="f" strokecolor="#4f81bc" strokeweight="1.3603mm">
                  <v:path arrowok="t" o:connecttype="custom" o:connectlocs="0,0;0,124" o:connectangles="0,0"/>
                </v:shape>
                <v:shape id="Freeform 279" o:spid="_x0000_s1105" style="position:absolute;left:6817;top:4536;width:20;height:124;visibility:visible;mso-wrap-style:square;v-text-anchor:top" coordsize="2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hccA&#10;AADcAAAADwAAAGRycy9kb3ducmV2LnhtbESPT0vDQBDF74V+h2UK3uxGaUTSboutiIqI9g/F45Ad&#10;k9DsbNhd2/Tbdw5CbzO8N+/9ZrboXauOFGLj2cDdOANFXHrbcGVgt325fQQVE7LF1jMZOFOExXw4&#10;mGFh/YnXdNykSkkIxwIN1Cl1hdaxrMlhHPuOWLRfHxwmWUOlbcCThLtW32fZg3bYsDTU2NGqpvKw&#10;+XMGXj9y1359h+V+ldvtO37+pOfJxJibUf80BZWoT1fz//WbFfxcaOUZmU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vjoXHAAAA3AAAAA8AAAAAAAAAAAAAAAAAmAIAAGRy&#10;cy9kb3ducmV2LnhtbFBLBQYAAAAABAAEAPUAAACMAwAAAAA=&#10;" path="m,l,124e" filled="f" strokecolor="#4f81bc" strokeweight="1.3603mm">
                  <v:path arrowok="t" o:connecttype="custom" o:connectlocs="0,0;0,124" o:connectangles="0,0"/>
                </v:shape>
                <v:shape id="Freeform 280" o:spid="_x0000_s1106" style="position:absolute;left:7080;top:4536;width:20;height:124;visibility:visible;mso-wrap-style:square;v-text-anchor:top" coordsize="2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rHsMA&#10;AADcAAAADwAAAGRycy9kb3ducmV2LnhtbERP22oCMRB9L/gPYQTfalZxi65GsYq0pRSviI/DZtxd&#10;upksSarbv28Khb7N4VxntmhNLW7kfGVZwaCfgCDOra64UHA6bh7HIHxA1lhbJgXf5GEx7zzMMNP2&#10;znu6HUIhYgj7DBWUITSZlD4vyaDv24Y4clfrDIYIXSG1w3sMN7UcJsmTNFhxbCixoVVJ+efhyyh4&#10;eU9Nvd255/Mq1cc3/LiE9WikVK/bLqcgArXhX/znftVxfjqB32fiB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MrHsMAAADcAAAADwAAAAAAAAAAAAAAAACYAgAAZHJzL2Rv&#10;d25yZXYueG1sUEsFBgAAAAAEAAQA9QAAAIgDAAAAAA==&#10;" path="m,l,124e" filled="f" strokecolor="#4f81bc" strokeweight="1.3603mm">
                  <v:path arrowok="t" o:connecttype="custom" o:connectlocs="0,0;0,124" o:connectangles="0,0"/>
                </v:shape>
                <v:shape id="Freeform 281" o:spid="_x0000_s1107" style="position:absolute;left:7336;top:4536;width:20;height:124;visibility:visible;mso-wrap-style:square;v-text-anchor:top" coordsize="2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nNJMcA&#10;AADcAAAADwAAAGRycy9kb3ducmV2LnhtbESPQUvDQBCF7wX/wzKCl2I39lBK7LZIRBQRStMieBuz&#10;02xIdjZk1zT++85B8DbDe/PeN5vd5Ds10hCbwAYeFhko4irYhmsDp+PL/RpUTMgWu8Bk4Jci7LY3&#10;sw3mNlz4QGOZaiUhHHM04FLqc61j5chjXISeWLRzGDwmWYda2wEvEu47vcyylfbYsDQ47KlwVLXl&#10;jzfw8dV+n+fTsnPF53z9+tyO74XdG3N3Oz09gko0pX/z3/WbFfyV4MszMoH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JzSTHAAAA3AAAAA8AAAAAAAAAAAAAAAAAmAIAAGRy&#10;cy9kb3ducmV2LnhtbFBLBQYAAAAABAAEAPUAAACMAwAAAAA=&#10;" path="m,l,124e" filled="f" strokecolor="#4f81bc" strokeweight="1.1383mm">
                  <v:path arrowok="t" o:connecttype="custom" o:connectlocs="0,0;0,124" o:connectangles="0,0"/>
                </v:shape>
                <v:shape id="Freeform 282" o:spid="_x0000_s1108" style="position:absolute;left:7555;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z1IcEA&#10;AADcAAAADwAAAGRycy9kb3ducmV2LnhtbERPS4vCMBC+L/gfwgh7WTR1DyrVKCoIu3jwUS/exmb6&#10;wGZSmqj13xtB8DYf33Om89ZU4kaNKy0rGPQjEMSp1SXnCo7JujcG4TyyxsoyKXiQg/ms8zXFWNs7&#10;7+l28LkIIexiVFB4X8dSurQgg65va+LAZbYx6ANscqkbvIdwU8nfKBpKgyWHhgJrWhWUXg5Xo2CL&#10;e8zM/4/MTku5Oe9GyXWFiVLf3XYxAeGp9R/x2/2nw/zhAF7PhAv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9SHBAAAA3AAAAA8AAAAAAAAAAAAAAAAAmAIAAGRycy9kb3du&#10;cmV2LnhtbFBLBQYAAAAABAAEAPUAAACGAwAAAAA=&#10;" path="m,31r75,e" filled="f" strokecolor="#4f81bc" strokeweight="1.13575mm">
                  <v:path arrowok="t" o:connecttype="custom" o:connectlocs="0,31;75,31" o:connectangles="0,0"/>
                </v:shape>
                <v:shape id="Freeform 283" o:spid="_x0000_s1109" style="position:absolute;left:7818;top:4598;width:74;height:62;visibility:visible;mso-wrap-style:square;v-text-anchor:top" coordsize="7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iPaMIA&#10;AADcAAAADwAAAGRycy9kb3ducmV2LnhtbERPTYvCMBC9C/6HMII3TfWgS9coYhEFYWXVi7fZZrYt&#10;20xqErXurzcLC97m8T5ntmhNLW7kfGVZwWiYgCDOra64UHA6rgdvIHxA1lhbJgUP8rCYdzszTLW9&#10;8yfdDqEQMYR9igrKEJpUSp+XZNAPbUMcuW/rDIYIXSG1w3sMN7UcJ8lEGqw4NpTY0Kqk/OdwNQr2&#10;7fk389ku//Byc5k6nmYP96VUv9cu30EEasNL/O/e6jh/Moa/Z+IF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SI9owgAAANwAAAAPAAAAAAAAAAAAAAAAAJgCAABkcnMvZG93&#10;bnJldi54bWxQSwUGAAAAAAQABAD1AAAAhwMAAAAA&#10;" path="m,31r74,e" filled="f" strokecolor="#4f81bc" strokeweight="1.13575mm">
                  <v:path arrowok="t" o:connecttype="custom" o:connectlocs="0,31;74,31" o:connectangles="0,0"/>
                </v:shape>
                <v:shape id="Freeform 284" o:spid="_x0000_s1110" style="position:absolute;left:8080;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LOzcIA&#10;AADcAAAADwAAAGRycy9kb3ducmV2LnhtbERPS4vCMBC+C/6HMIKXRVNdUKlGUUHYxcOq9eJtbKYP&#10;bCalidr992Zhwdt8fM9ZrFpTiQc1rrSsYDSMQBCnVpecKzgnu8EMhPPIGivLpOCXHKyW3c4CY22f&#10;fKTHyecihLCLUUHhfR1L6dKCDLqhrYkDl9nGoA+wyaVu8BnCTSXHUTSRBksODQXWtC0ovZ3uRsEP&#10;HjEz3x8yu2zk/nqYJvctJkr1e+16DsJT69/if/eXDvMnn/D3TLh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s7NwgAAANwAAAAPAAAAAAAAAAAAAAAAAJgCAABkcnMvZG93&#10;bnJldi54bWxQSwUGAAAAAAQABAD1AAAAhwMAAAAA&#10;" path="m,31r75,e" filled="f" strokecolor="#4f81bc" strokeweight="1.13575mm">
                  <v:path arrowok="t" o:connecttype="custom" o:connectlocs="0,31;75,31" o:connectangles="0,0"/>
                </v:shape>
                <v:shape id="Freeform 285" o:spid="_x0000_s1111" style="position:absolute;left:8343;top:4598;width:62;height:62;visibility:visible;mso-wrap-style:square;v-text-anchor:top" coordsize="6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AfWsEA&#10;AADcAAAADwAAAGRycy9kb3ducmV2LnhtbERP24rCMBB9X9h/CLOwb2uqLCLVWEQUFRV2qx8wNGNb&#10;bCalSW39eyMIvs3hXGeW9KYSN2pcaVnBcBCBIM6sLjlXcD6tfyYgnEfWWFkmBXdykMw/P2YYa9vx&#10;P91Sn4sQwi5GBYX3dSylywoy6Aa2Jg7cxTYGfYBNLnWDXQg3lRxF0VgaLDk0FFjTsqDsmrZGwfGw&#10;P7XtbreXR9+u/u6rdLiRpVLfX/1iCsJT79/il3urw/zxLzyfCRf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wH1rBAAAA3AAAAA8AAAAAAAAAAAAAAAAAmAIAAGRycy9kb3du&#10;cmV2LnhtbFBLBQYAAAAABAAEAPUAAACGAwAAAAA=&#10;" path="m,31r62,e" filled="f" strokecolor="#4f81bc" strokeweight="1.13575mm">
                  <v:path arrowok="t" o:connecttype="custom" o:connectlocs="0,31;62,31" o:connectangles="0,0"/>
                </v:shape>
                <v:shape id="Freeform 286" o:spid="_x0000_s1112" style="position:absolute;left:8593;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fzIsIA&#10;AADcAAAADwAAAGRycy9kb3ducmV2LnhtbERPS4vCMBC+C/6HMIKXRVOFValGUUHYxcOq9eJtbKYP&#10;bCalidr992Zhwdt8fM9ZrFpTiQc1rrSsYDSMQBCnVpecKzgnu8EMhPPIGivLpOCXHKyW3c4CY22f&#10;fKTHyecihLCLUUHhfR1L6dKCDLqhrYkDl9nGoA+wyaVu8BnCTSXHUTSRBksODQXWtC0ovZ3uRsEP&#10;HjEz3x8yu2zk/nqYJvctJkr1e+16DsJT69/if/eXDvMnn/D3TLh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9/MiwgAAANwAAAAPAAAAAAAAAAAAAAAAAJgCAABkcnMvZG93&#10;bnJldi54bWxQSwUGAAAAAAQABAD1AAAAhwMAAAAA&#10;" path="m,31r75,e" filled="f" strokecolor="#4f81bc" strokeweight="1.13575mm">
                  <v:path arrowok="t" o:connecttype="custom" o:connectlocs="0,31;75,31" o:connectangles="0,0"/>
                </v:shape>
                <v:shape id="Freeform 287" o:spid="_x0000_s1113" style="position:absolute;left:8856;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VtVcIA&#10;AADcAAAADwAAAGRycy9kb3ducmV2LnhtbERPS4vCMBC+L/gfwgh7WTRdD12pRlFhwcWDq/XibWym&#10;D2wmpYla/70RBG/z8T1nOu9MLa7Uusqygu9hBII4s7riQsEh/R2MQTiPrLG2TAru5GA+631MMdH2&#10;xju67n0hQgi7BBWU3jeJlC4ryaAb2oY4cLltDfoA20LqFm8h3NRyFEWxNFhxaCixoVVJ2Xl/MQq2&#10;uMPc/H3J/LiUm9P/T3pZYarUZ79bTEB46vxb/HKvdZgfx/B8Jlw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JW1VwgAAANwAAAAPAAAAAAAAAAAAAAAAAJgCAABkcnMvZG93&#10;bnJldi54bWxQSwUGAAAAAAQABAD1AAAAhwMAAAAA&#10;" path="m,31r75,e" filled="f" strokecolor="#4f81bc" strokeweight="1.13575mm">
                  <v:path arrowok="t" o:connecttype="custom" o:connectlocs="0,31;75,31" o:connectangles="0,0"/>
                </v:shape>
                <v:shape id="Freeform 288" o:spid="_x0000_s1114" style="position:absolute;left:9118;top:4598;width:76;height:62;visibility:visible;mso-wrap-style:square;v-text-anchor:top" coordsize="7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PYYcIA&#10;AADcAAAADwAAAGRycy9kb3ducmV2LnhtbERPS4vCMBC+C/sfwgh7EU19UKUaZV1Y2MsetHofmrEt&#10;NpPaRG399WZB8DYf33NWm9ZU4kaNKy0rGI8iEMSZ1SXnCg7pz3ABwnlkjZVlUtCRg836o7fCRNs7&#10;7+i297kIIewSVFB4XydSuqwgg25ka+LAnWxj0AfY5FI3eA/hppKTKIqlwZJDQ4E1fReUnfdXoyC1&#10;fwMzHT+Os8lDXtJue1nMulipz377tQThqfVv8cv9q8P8eA7/z4QL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g9hhwgAAANwAAAAPAAAAAAAAAAAAAAAAAJgCAABkcnMvZG93&#10;bnJldi54bWxQSwUGAAAAAAQABAD1AAAAhwMAAAAA&#10;" path="m,31r75,e" filled="f" strokecolor="#4f81bc" strokeweight="1.13575mm">
                  <v:path arrowok="t" o:connecttype="custom" o:connectlocs="0,31;75,31" o:connectangles="0,0"/>
                </v:shape>
                <v:shape id="Freeform 289" o:spid="_x0000_s1115" style="position:absolute;left:9381;top:4598;width:63;height:62;visibility:visible;mso-wrap-style:square;v-text-anchor:top" coordsize="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UkO8YA&#10;AADcAAAADwAAAGRycy9kb3ducmV2LnhtbESPT0sDQQzF74LfYYjgpdjZVihl7bT4B8Wb2IrgLe6k&#10;O4s7mWUmbbff3hwEbwnv5b1fVpsx9uZIuXSJHcymFRjiJvmOWwcfu+ebJZgiyB77xOTgTAU268uL&#10;FdY+nfidjltpjYZwqdFBEBlqa0sTKGKZpoFYtX3KEUXX3Fqf8aThsbfzqlrYiB1rQ8CBHgM1P9tD&#10;dHB42Y0ik8nn8BZu509fD3l23n87d3013t+BERrl3/x3/eoVf6G0+oxOY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UkO8YAAADcAAAADwAAAAAAAAAAAAAAAACYAgAAZHJz&#10;L2Rvd25yZXYueG1sUEsFBgAAAAAEAAQA9QAAAIsDAAAAAA==&#10;" path="m,31r62,e" filled="f" strokecolor="#4f81bc" strokeweight="1.13575mm">
                  <v:path arrowok="t" o:connecttype="custom" o:connectlocs="0,31;62,31" o:connectangles="0,0"/>
                </v:shape>
                <v:shape id="Freeform 290" o:spid="_x0000_s1116" style="position:absolute;left:9631;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r5J8MA&#10;AADcAAAADwAAAGRycy9kb3ducmV2LnhtbERPyWrDMBC9B/oPYgq9lERuD0nrRgmJodCSQxbnktvE&#10;Gi/UGhlLXvr3VaCQ2zzeOsv1aGrRU+sqywpeZhEI4szqigsF5/Rz+gbCeWSNtWVS8EsO1quHyRJj&#10;bQc+Un/yhQgh7GJUUHrfxFK6rCSDbmYb4sDltjXoA2wLqVscQrip5WsUzaXBikNDiQ0lJWU/p84o&#10;2OMRc/P9LPPLVu6uh0XaJZgq9fQ4bj5AeBr9Xfzv/tJh/vwdbs+EC+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r5J8MAAADcAAAADwAAAAAAAAAAAAAAAACYAgAAZHJzL2Rv&#10;d25yZXYueG1sUEsFBgAAAAAEAAQA9QAAAIgDAAAAAA==&#10;" path="m,31r75,e" filled="f" strokecolor="#4f81bc" strokeweight="1.13575mm">
                  <v:path arrowok="t" o:connecttype="custom" o:connectlocs="0,31;75,31" o:connectangles="0,0"/>
                </v:shape>
                <v:shape id="Freeform 291" o:spid="_x0000_s1117" style="position:absolute;left:9894;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nGZ8UA&#10;AADcAAAADwAAAGRycy9kb3ducmV2LnhtbESPT2sCQQzF7wW/w5CCl6Kz9qCyOkoVhEoPVteLt3Qn&#10;+4fuZJadUbff3hyE3hLey3u/LNe9a9SNulB7NjAZJ6CIc29rLg2cs91oDipEZIuNZzLwRwHWq8HL&#10;ElPr73yk2ymWSkI4pGigirFNtQ55RQ7D2LfEohW+cxhl7UptO7xLuGv0e5JMtcOapaHClrYV5b+n&#10;qzNwwCMWbv+mi8tGf/18z7LrFjNjhq/9xwJUpD7+m5/Xn1bwZ4Ivz8gEe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cZnxQAAANwAAAAPAAAAAAAAAAAAAAAAAJgCAABkcnMv&#10;ZG93bnJldi54bWxQSwUGAAAAAAQABAD1AAAAigMAAAAA&#10;" path="m,31r74,e" filled="f" strokecolor="#4f81bc" strokeweight="1.13575mm">
                  <v:path arrowok="t" o:connecttype="custom" o:connectlocs="0,31;74,31" o:connectangles="0,0"/>
                </v:shape>
                <v:shape id="Freeform 292" o:spid="_x0000_s1118" style="position:absolute;left:10156;top:4598;width:76;height:62;visibility:visible;mso-wrap-style:square;v-text-anchor:top" coordsize="7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zU8IA&#10;AADcAAAADwAAAGRycy9kb3ducmV2LnhtbERPTYvCMBC9C/sfwgh7EU2rolKNsi4s7GUPWr0PzdgW&#10;m0ltorb+erMgeJvH+5zVpjWVuFHjSssK4lEEgjizuuRcwSH9GS5AOI+ssbJMCjpysFl/9FaYaHvn&#10;Hd32PhchhF2CCgrv60RKlxVk0I1sTRy4k20M+gCbXOoG7yHcVHIcRTNpsOTQUGBN3wVl5/3VKEjt&#10;38BM4sdxOn7IS9ptL4tpN1Pqs99+LUF4av1b/HL/6jB/HsP/M+EC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3NTwgAAANwAAAAPAAAAAAAAAAAAAAAAAJgCAABkcnMvZG93&#10;bnJldi54bWxQSwUGAAAAAAQABAD1AAAAhwMAAAAA&#10;" path="m,31r75,e" filled="f" strokecolor="#4f81bc" strokeweight="1.13575mm">
                  <v:path arrowok="t" o:connecttype="custom" o:connectlocs="0,31;75,31" o:connectangles="0,0"/>
                </v:shape>
                <v:shape id="Freeform 293" o:spid="_x0000_s1119" style="position:absolute;left:2476;top:3662;width:20;height:998;visibility:visible;mso-wrap-style:square;v-text-anchor:top" coordsize="20,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rw8IA&#10;AADcAAAADwAAAGRycy9kb3ducmV2LnhtbERPS4vCMBC+L+x/CLPgbU0V0aUaRVwED4KvFT0OzdgW&#10;m0m3SWv990YQvM3H95zJrDWFaKhyuWUFvW4EgjixOudUwd9h+f0DwnlkjYVlUnAnB7Pp58cEY21v&#10;vKNm71MRQtjFqCDzvoyldElGBl3XlsSBu9jKoA+wSqWu8BbCTSH7UTSUBnMODRmWtMgoue5ro+DU&#10;DH71dVEfcLfeHs//5lJvVo1Sna92PgbhqfVv8cu90mH+qA/PZ8IF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CvDwgAAANwAAAAPAAAAAAAAAAAAAAAAAJgCAABkcnMvZG93&#10;bnJldi54bWxQSwUGAAAAAAQABAD1AAAAhwMAAAAA&#10;" path="m,l,998e" filled="f" strokecolor="#c0504d" strokeweight="1.35925mm">
                  <v:path arrowok="t" o:connecttype="custom" o:connectlocs="0,0;0,998" o:connectangles="0,0"/>
                </v:shape>
                <v:shape id="Freeform 294" o:spid="_x0000_s1120" style="position:absolute;left:2739;top:3799;width:20;height:861;visibility:visible;mso-wrap-style:square;v-text-anchor:top" coordsize="20,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U2vMIA&#10;AADcAAAADwAAAGRycy9kb3ducmV2LnhtbERP22oCMRB9L/gPYQRfRLO14GU1ihTEvhTq6gcMm9nN&#10;6mayJFG3f98UCn2bw7nOZtfbVjzIh8axgtdpBoK4dLrhWsHlfJgsQYSIrLF1TAq+KcBuO3jZYK7d&#10;k0/0KGItUgiHHBWYGLtcylAashimriNOXOW8xZigr6X2+EzhtpWzLJtLiw2nBoMdvRsqb8XdKqgO&#10;8xDM53FZsR9/jWXXrG7XQqnRsN+vQUTq47/4z/2h0/zFG/w+ky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Ta8wgAAANwAAAAPAAAAAAAAAAAAAAAAAJgCAABkcnMvZG93&#10;bnJldi54bWxQSwUGAAAAAAQABAD1AAAAhwMAAAAA&#10;" path="m,l,860e" filled="f" strokecolor="#c0504d" strokeweight="1.3589mm">
                  <v:path arrowok="t" o:connecttype="custom" o:connectlocs="0,0;0,860" o:connectangles="0,0"/>
                </v:shape>
                <v:shape id="Freeform 295" o:spid="_x0000_s1121" style="position:absolute;left:3002;top:4061;width:20;height:599;visibility:visible;mso-wrap-style:square;v-text-anchor:top" coordsize="20,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3WMUA&#10;AADcAAAADwAAAGRycy9kb3ducmV2LnhtbERP22rCQBB9F/yHZQTfdNOatpK6irR4QYQSLZS+Ddlp&#10;EszOptlVo1/vCoW+zeFcZzJrTSVO1LjSsoKHYQSCOLO65FzB534xGINwHlljZZkUXMjBbNrtTDDR&#10;9swpnXY+FyGEXYIKCu/rREqXFWTQDW1NHLgf2xj0ATa51A2eQ7ip5GMUPUuDJYeGAmt6Kyg77I5G&#10;wTqN4o2MN8uP0fb7CePV++/X6qpUv9fOX0F4av2/+M+91mH+Swz3Z8IFcn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jdYxQAAANwAAAAPAAAAAAAAAAAAAAAAAJgCAABkcnMv&#10;ZG93bnJldi54bWxQSwUGAAAAAAQABAD1AAAAigMAAAAA&#10;" path="m,l,598e" filled="f" strokecolor="#c0504d" strokeweight="1.3589mm">
                  <v:path arrowok="t" o:connecttype="custom" o:connectlocs="0,0;0,598" o:connectangles="0,0"/>
                </v:shape>
                <v:shape id="Freeform 296" o:spid="_x0000_s1122" style="position:absolute;left:3252;top:4398;width:20;height:262;visibility:visible;mso-wrap-style:square;v-text-anchor:top" coordsize="2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vArcQA&#10;AADcAAAADwAAAGRycy9kb3ducmV2LnhtbERPS2vCQBC+F/oflhF6KbppoUaiq9RSoQgV6uPgbciO&#10;2djsbMiuMfrr3YLQ23x8z5nMOluJlhpfOlbwMkhAEOdOl1wo2G4W/REIH5A1Vo5JwYU8zKaPDxPM&#10;tDvzD7XrUIgYwj5DBSaEOpPS54Ys+oGriSN3cI3FEGFTSN3gOYbbSr4myVBaLDk2GKzpw1D+uz5Z&#10;BTxfffrnio/tMk2vRrf77928Vuqp172PQQTqwr/47v7ScX76Bn/PxAv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rwK3EAAAA3AAAAA8AAAAAAAAAAAAAAAAAmAIAAGRycy9k&#10;b3ducmV2LnhtbFBLBQYAAAAABAAEAPUAAACJAwAAAAA=&#10;" path="m,l,261e" filled="f" strokecolor="#c0504d" strokeweight="1.3589mm">
                  <v:path arrowok="t" o:connecttype="custom" o:connectlocs="0,0;0,261" o:connectangles="0,0"/>
                </v:shape>
                <v:shape id="Freeform 297" o:spid="_x0000_s1123" style="position:absolute;left:3515;top:4336;width:20;height:324;visibility:visible;mso-wrap-style:square;v-text-anchor:top" coordsize="20,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vSYMMA&#10;AADcAAAADwAAAGRycy9kb3ducmV2LnhtbERPTYvCMBC9C/6HMAteZE314Eo1yiKKZQ/Cqhdvs82Y&#10;FptJbaLW/fVmYcHbPN7nzBatrcSNGl86VjAcJCCIc6dLNgoO+/X7BIQPyBorx6TgQR4W825nhql2&#10;d/6m2y4YEUPYp6igCKFOpfR5QRb9wNXEkTu5xmKIsDFSN3iP4baSoyQZS4slx4YCa1oWlJ93V6vg&#10;p78yZpLhMVln9eWwpa/fzRmV6r21n1MQgdrwEv+7Mx3nf4zh75l4gZ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vSYMMAAADcAAAADwAAAAAAAAAAAAAAAACYAgAAZHJzL2Rv&#10;d25yZXYueG1sUEsFBgAAAAAEAAQA9QAAAIgDAAAAAA==&#10;" path="m,l,324e" filled="f" strokecolor="#c0504d" strokeweight="1.35925mm">
                  <v:path arrowok="t" o:connecttype="custom" o:connectlocs="0,0;0,324" o:connectangles="0,0"/>
                </v:shape>
                <v:shape id="Freeform 298" o:spid="_x0000_s1124" style="position:absolute;left:3777;top:4398;width:20;height:262;visibility:visible;mso-wrap-style:square;v-text-anchor:top" coordsize="2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NGK8IA&#10;AADcAAAADwAAAGRycy9kb3ducmV2LnhtbERPTWvDMAy9D/YfjAa9hNZZB+nI6pZSCOw2lhR2FbEa&#10;h8VyGrtJtl8/Fwq76fE+td3PthMjDb51rOB5lYIgrp1uuVFwqorlKwgfkDV2jknBD3nY7x4ftphr&#10;N/EnjWVoRAxhn6MCE0KfS+lrQxb9yvXEkTu7wWKIcGikHnCK4baT6zTNpMWWY4PBno6G6u/yahWM&#10;H4nhIsHqq738ZpfTeHUvRaLU4mk+vIEINId/8d39ruP8zQZuz8QL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0YrwgAAANwAAAAPAAAAAAAAAAAAAAAAAJgCAABkcnMvZG93&#10;bnJldi54bWxQSwUGAAAAAAQABAD1AAAAhwMAAAAA&#10;" path="m,l,261e" filled="f" strokecolor="#c0504d" strokeweight="1.3603mm">
                  <v:path arrowok="t" o:connecttype="custom" o:connectlocs="0,0;0,261" o:connectangles="0,0"/>
                </v:shape>
                <v:shape id="Freeform 299" o:spid="_x0000_s1125" style="position:absolute;left:4040;top:3662;width:20;height:998;visibility:visible;mso-wrap-style:square;v-text-anchor:top" coordsize="20,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W38UA&#10;AADcAAAADwAAAGRycy9kb3ducmV2LnhtbESPMW/CQAyF90r8h5ORupULHQpKOVChapuBhUAlRpMz&#10;SUrOF+WuIfz7eqjEZus9v/d5sRpco3rqQu3ZwHSSgCIuvK25NHDYfzzNQYWIbLHxTAZuFGC1HD0s&#10;MLX+yjvq81gqCeGQooEqxjbVOhQVOQwT3xKLdvadwyhrV2rb4VXCXaOfk+RFO6xZGipsaVNRccl/&#10;nQHd09eWt9n0/ft8vJyytduXP5/GPI6Ht1dQkYZ4N/9fZ1bwZ0Irz8gE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hbfxQAAANwAAAAPAAAAAAAAAAAAAAAAAJgCAABkcnMv&#10;ZG93bnJldi54bWxQSwUGAAAAAAQABAD1AAAAigMAAAAA&#10;" path="m,l,998e" filled="f" strokecolor="#c0504d" strokeweight="1.3603mm">
                  <v:path arrowok="t" o:connecttype="custom" o:connectlocs="0,0;0,998" o:connectangles="0,0"/>
                </v:shape>
                <v:shape id="Freeform 300" o:spid="_x0000_s1126" style="position:absolute;left:4290;top:3999;width:20;height:661;visibility:visible;mso-wrap-style:square;v-text-anchor:top" coordsize="20,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u788MA&#10;AADcAAAADwAAAGRycy9kb3ducmV2LnhtbERPS27CMBDdI/UO1lTqDpyyIJDGoKpVRFE3kPYAQzyJ&#10;o8bjEBsIt68rVWI3T+87+Wa0nbjQ4FvHCp5nCQjiyumWGwXfX8V0CcIHZI2dY1JwIw+b9cMkx0y7&#10;Kx/oUoZGxBD2GSowIfSZlL4yZNHPXE8cudoNFkOEQyP1gNcYbjs5T5KFtNhybDDY05uh6qc8WwXb&#10;d1ekxzpNdvvlMZ0vTliYz5NST4/j6wuIQGO4i//dHzrOT1fw90y8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u788MAAADcAAAADwAAAAAAAAAAAAAAAACYAgAAZHJzL2Rv&#10;d25yZXYueG1sUEsFBgAAAAAEAAQA9QAAAIgDAAAAAA==&#10;" path="m,l,661e" filled="f" strokecolor="#c0504d" strokeweight="1.3603mm">
                  <v:path arrowok="t" o:connecttype="custom" o:connectlocs="0,0;0,661" o:connectangles="0,0"/>
                </v:shape>
                <v:rect id="Rectangle 301" o:spid="_x0000_s1127" style="position:absolute;left:4514;top:4336;width:7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TOScUA&#10;AADcAAAADwAAAGRycy9kb3ducmV2LnhtbESPzW7CQAyE70i8w8pIvcEmPVAILBFUaoWqVoifBzBZ&#10;k0RkvWl2C+nb14dK3Mby+PPMMu9do27UhdqzgXSSgCIuvK25NHA6vo1noEJEtth4JgO/FCBfDQdL&#10;zKy/855uh1gqgXDI0EAVY5tpHYqKHIaJb4lld/GdwyhjV2rb4V3grtHPSTLVDmuWDxW29FpRcT38&#10;OKGUKW68fzm+b8+bz++P5Gs6382NeRr16wWoSH18mP+vt1bizyS+lBEFe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FM5JxQAAANwAAAAPAAAAAAAAAAAAAAAAAJgCAABkcnMv&#10;ZG93bnJldi54bWxQSwUGAAAAAAQABAD1AAAAigMAAAAA&#10;" fillcolor="#c0504d" stroked="f">
                  <v:path arrowok="t"/>
                </v:rect>
                <v:shape id="Freeform 302" o:spid="_x0000_s1128" style="position:absolute;left:4815;top:4199;width:20;height:461;visibility:visible;mso-wrap-style:square;v-text-anchor:top" coordsize="20,4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VbEsIA&#10;AADcAAAADwAAAGRycy9kb3ducmV2LnhtbERP32vCMBB+H+x/CDfwbaZVEOmMRToEcQycG+z1aM6m&#10;2ly6Jtb63xth4Nt9fD9vkQ+2ET11vnasIB0nIIhLp2uuFPx8r1/nIHxA1tg4JgVX8pAvn58WmGl3&#10;4S/q96ESMYR9hgpMCG0mpS8NWfRj1xJH7uA6iyHCrpK6w0sMt42cJMlMWqw5NhhsqTBUnvZnq+Bo&#10;3+XvsJ1W/Z+0bHafxfTjWig1ehlWbyACDeEh/ndvdJw/T+H+TL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9VsSwgAAANwAAAAPAAAAAAAAAAAAAAAAAJgCAABkcnMvZG93&#10;bnJldi54bWxQSwUGAAAAAAQABAD1AAAAhwMAAAAA&#10;" path="m,l,461e" filled="f" strokecolor="#c0504d" strokeweight="1.3568mm">
                  <v:path arrowok="t" o:connecttype="custom" o:connectlocs="0,0;0,461" o:connectangles="0,0"/>
                </v:shape>
                <v:shape id="Freeform 303" o:spid="_x0000_s1129" style="position:absolute;left:5291;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W0/sEA&#10;AADcAAAADwAAAGRycy9kb3ducmV2LnhtbERPS4vCMBC+L/gfwgh7W1N7WLWaFnERBA/i6+BtaMa2&#10;2ExKktX6783Cgrf5+J6zKHrTijs531hWMB4lIIhLqxuuFJyO668pCB+QNbaWScGTPBT54GOBmbYP&#10;3tP9ECoRQ9hnqKAOocuk9GVNBv3IdsSRu1pnMEToKqkdPmK4aWWaJN/SYMOxocaOVjWVt8OvURB2&#10;u/Nk1qUXWzYnfDoz+bmYrVKfw345BxGoD2/xv3uj4/xpCn/PxAtk/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VtP7BAAAA3AAAAA8AAAAAAAAAAAAAAAAAmAIAAGRycy9kb3du&#10;cmV2LnhtbFBLBQYAAAAABAAEAPUAAACGAwAAAAA=&#10;" path="m,31r74,e" filled="f" strokecolor="#c0504d" strokeweight="1.13575mm">
                  <v:path arrowok="t" o:connecttype="custom" o:connectlocs="0,31;74,31" o:connectangles="0,0"/>
                </v:shape>
                <v:shape id="Freeform 304" o:spid="_x0000_s1130" style="position:absolute;left:5591;top:4398;width:20;height:262;visibility:visible;mso-wrap-style:square;v-text-anchor:top" coordsize="20,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0wD8EA&#10;AADcAAAADwAAAGRycy9kb3ducmV2LnhtbERPS4vCMBC+L+x/CLPgpWi6K0ipRpGFgrfFB3gdmrEp&#10;NpPaxFr99UYQ9jYf33MWq8E2oqfO144VfE9SEMSl0zVXCg77YpyB8AFZY+OYFNzJw2r5+bHAXLsb&#10;b6nfhUrEEPY5KjAhtLmUvjRk0U9cSxy5k+sshgi7SuoObzHcNvInTWfSYs2xwWBLv4bK8+5qFfR/&#10;ieEiwf2xvjxml0N/ddMiUWr0NaznIAIN4V/8dm90nJ9N4fVMvE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tMA/BAAAA3AAAAA8AAAAAAAAAAAAAAAAAmAIAAGRycy9kb3du&#10;cmV2LnhtbFBLBQYAAAAABAAEAPUAAACGAwAAAAA=&#10;" path="m,l,261e" filled="f" strokecolor="#c0504d" strokeweight="1.3603mm">
                  <v:path arrowok="t" o:connecttype="custom" o:connectlocs="0,0;0,261" o:connectangles="0,0"/>
                </v:shape>
                <v:shape id="Freeform 305" o:spid="_x0000_s1131" style="position:absolute;left:5816;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JEcMA&#10;AADcAAAADwAAAGRycy9kb3ducmV2LnhtbERPTWvCQBC9F/wPywi91Y1SNE2ziiiFggdpag+5Ddkx&#10;CWZnw+7WJP++Wyj0No/3OfluNJ24k/OtZQXLRQKCuLK65VrB5fPtKQXhA7LGzjIpmMjDbjt7yDHT&#10;duAPuhehFjGEfYYKmhD6TEpfNWTQL2xPHLmrdQZDhK6W2uEQw00nV0mylgZbjg0N9nRoqLoV30ZB&#10;OJ+/Ni/9qrRVe8HJmc2xNCelHufj/hVEoDH8i//c7zrOT5/h95l4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CJEcMAAADcAAAADwAAAAAAAAAAAAAAAACYAgAAZHJzL2Rv&#10;d25yZXYueG1sUEsFBgAAAAAEAAQA9QAAAIgDAAAAAA==&#10;" path="m,31r75,e" filled="f" strokecolor="#c0504d" strokeweight="1.13575mm">
                  <v:path arrowok="t" o:connecttype="custom" o:connectlocs="0,31;75,31" o:connectangles="0,0"/>
                </v:shape>
                <v:rect id="Rectangle 306" o:spid="_x0000_s1132" style="position:absolute;left:6078;top:4536;width:77;height: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Nt0cQA&#10;AADcAAAADwAAAGRycy9kb3ducmV2LnhtbESP3YrCMBCF7wXfIYywd5oq+FeNoguKyIr48wBjM7bF&#10;ZtJtslrf3iwI3s1wzvnmzHRem0LcqXK5ZQXdTgSCOLE651TB+bRqj0A4j6yxsEwKnuRgPms2phhr&#10;++AD3Y8+FQHCLkYFmfdlLKVLMjLoOrYkDtrVVgZ9WKtU6gofAW4K2YuigTSYc7iQYUnfGSW3458J&#10;lLSLS2uHp/Xmsvz53Ua7wXg/VuqrVS8mIDzV/mN+pzc61B/14f+ZMIG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jbdHEAAAA3AAAAA8AAAAAAAAAAAAAAAAAmAIAAGRycy9k&#10;b3ducmV2LnhtbFBLBQYAAAAABAAEAPUAAACJAwAAAAA=&#10;" fillcolor="#c0504d" stroked="f">
                  <v:path arrowok="t"/>
                </v:rect>
                <v:shape id="Freeform 307" o:spid="_x0000_s1133" style="position:absolute;left:6592;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6y/cMA&#10;AADcAAAADwAAAGRycy9kb3ducmV2LnhtbERPTWvCQBC9F/wPywi91U09JJpmI6VFKHgIVXvwNmTH&#10;JJidDburJv/eLRR6m8f7nGIzml7cyPnOsoLXRQKCuLa640bB8bB9WYHwAVljb5kUTORhU86eCsy1&#10;vfM33fahETGEfY4K2hCGXEpft2TQL+xAHLmzdQZDhK6R2uE9hpteLpMklQY7jg0tDvTRUn3ZX42C&#10;UFU/2XpYnmzdHXFyJvs8mZ1Sz/Px/Q1EoDH8i//cXzrOX6Xw+0y8QJ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6y/cMAAADcAAAADwAAAAAAAAAAAAAAAACYAgAAZHJzL2Rv&#10;d25yZXYueG1sUEsFBgAAAAAEAAQA9QAAAIgDAAAAAA==&#10;" path="m,31r75,e" filled="f" strokecolor="#c0504d" strokeweight="1.13575mm">
                  <v:path arrowok="t" o:connecttype="custom" o:connectlocs="0,31;75,31" o:connectangles="0,0"/>
                </v:shape>
                <v:shape id="Freeform 308" o:spid="_x0000_s1134" style="position:absolute;left:7367;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IXZsEA&#10;AADcAAAADwAAAGRycy9kb3ducmV2LnhtbERPS4vCMBC+C/6HMII3TfVgtZoWcVlY2IP4OngbmrEt&#10;NpOSZLX++83Cgrf5+J6zKXrTigc531hWMJsmIIhLqxuuFJxPn5MlCB+QNbaWScGLPBT5cLDBTNsn&#10;H+hxDJWIIewzVFCH0GVS+rImg35qO+LI3awzGCJ0ldQOnzHctHKeJAtpsOHYUGNHu5rK+/HHKAj7&#10;/SVddfOrLZszvpxJP67mW6nxqN+uQQTqw1v87/7Scf4yhb9n4gU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iF2bBAAAA3AAAAA8AAAAAAAAAAAAAAAAAmAIAAGRycy9kb3du&#10;cmV2LnhtbFBLBQYAAAAABAAEAPUAAACGAwAAAAA=&#10;" path="m,31r74,e" filled="f" strokecolor="#c0504d" strokeweight="1.13575mm">
                  <v:path arrowok="t" o:connecttype="custom" o:connectlocs="0,31;74,31" o:connectangles="0,0"/>
                </v:shape>
                <v:shape id="Freeform 309" o:spid="_x0000_s1135" style="position:absolute;left:7630;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2DFMUA&#10;AADcAAAADwAAAGRycy9kb3ducmV2LnhtbESPS4sCMRCE7wv+h9CCtzWjBx+zRhFFEDyIjz14aya9&#10;M8NOOkMSdfz324cFb91UddXXi1XnGvWgEGvPBkbDDBRx4W3NpYHrZfc5AxUTssXGMxl4UYTVsvex&#10;wNz6J5/ocU6lkhCOORqoUmpzrWNRkcM49C2xaD8+OEyyhlLbgE8Jd40eZ9lEO6xZGipsaVNR8Xu+&#10;OwPpePyeztvxzRf1FV/BTbc3dzBm0O/WX6ASdelt/r/eW8GfCa08IxP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fYMUxQAAANwAAAAPAAAAAAAAAAAAAAAAAJgCAABkcnMv&#10;ZG93bnJldi54bWxQSwUGAAAAAAQABAD1AAAAigMAAAAA&#10;" path="m,31r74,e" filled="f" strokecolor="#c0504d" strokeweight="1.13575mm">
                  <v:path arrowok="t" o:connecttype="custom" o:connectlocs="0,31;74,31" o:connectangles="0,0"/>
                </v:shape>
                <v:shape id="Freeform 310" o:spid="_x0000_s1136" style="position:absolute;left:8668;top:4598;width:75;height:62;visibility:visible;mso-wrap-style:square;v-text-anchor:top" coordsize="7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Emj8MA&#10;AADcAAAADwAAAGRycy9kb3ducmV2LnhtbERPO2vDMBDeC/kP4grdGrkZ6kcjm5BQKGQwddMh22Fd&#10;bRPrZCQlcf59VCh0u4/veetqNqO4kPODZQUvywQEcWv1wJ2Cw9f7cwbCB2SNo2VScCMPVbl4WGOh&#10;7ZU/6dKETsQQ9gUq6EOYCil925NBv7QTceR+rDMYInSd1A6vMdyMcpUkr9LgwLGhx4m2PbWn5mwU&#10;hLr+TvNpdbTtcMCbM+nuaPZKPT3OmzcQgebwL/5zf+g4P8vh95l4gS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Emj8MAAADcAAAADwAAAAAAAAAAAAAAAACYAgAAZHJzL2Rv&#10;d25yZXYueG1sUEsFBgAAAAAEAAQA9QAAAIgDAAAAAA==&#10;" path="m,31r75,e" filled="f" strokecolor="#c0504d" strokeweight="1.13575mm">
                  <v:path arrowok="t" o:connecttype="custom" o:connectlocs="0,31;75,31" o:connectangles="0,0"/>
                </v:shape>
                <v:shape id="Freeform 311" o:spid="_x0000_s1137" style="position:absolute;left:2308;top:3332;width:8055;height:20;visibility:visible;mso-wrap-style:square;v-text-anchor:top" coordsize="80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9MYA&#10;AADcAAAADwAAAGRycy9kb3ducmV2LnhtbESPQWvCQBCF74X+h2UK3uqmKlKjq4jQoqUg1Qgeh+yY&#10;Dc3Ohuyq6b/vHAq9zfDevPfNYtX7Rt2oi3VgAy/DDBRxGWzNlYHi+Pb8CiomZItNYDLwQxFWy8eH&#10;BeY23PmLbodUKQnhmKMBl1Kbax1LRx7jMLTEol1C5zHJ2lXadniXcN/oUZZNtceapcFhSxtH5ffh&#10;6g28n6koxtf15tR+RrcfjT922WRqzOCpX89BJerTv/nvemsFfyb48ox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9MYAAADcAAAADwAAAAAAAAAAAAAAAACYAgAAZHJz&#10;L2Rvd25yZXYueG1sUEsFBgAAAAAEAAQA9QAAAIsDAAAAAA==&#10;" path="m,l8055,e" filled="f" strokecolor="#858585" strokeweight=".22006mm">
                  <v:path arrowok="t" o:connecttype="custom" o:connectlocs="0,0;8055,0" o:connectangles="0,0"/>
                </v:shape>
                <v:shape id="Freeform 312" o:spid="_x0000_s1138" style="position:absolute;left:2308;top:3332;width:20;height:1335;visibility:visible;mso-wrap-style:square;v-text-anchor:top" coordsize="20,1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0dcIA&#10;AADcAAAADwAAAGRycy9kb3ducmV2LnhtbERPTWvCQBC9C/0PyxR6001aEE1dgxRKU/Gg0d6H7DRJ&#10;zc6G3a2J/94tFLzN433OKh9NJy7kfGtZQTpLQBBXVrdcKzgd36cLED4ga+wsk4IrecjXD5MVZtoO&#10;fKBLGWoRQ9hnqKAJoc+k9FVDBv3M9sSR+7bOYIjQ1VI7HGK46eRzksylwZZjQ4M9vTVUnctfo4B+&#10;Np+yPu72h7NLPuQLbr9MMVfq6XHcvIIINIa7+N9d6Dh/mcLfM/EC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8nR1wgAAANwAAAAPAAAAAAAAAAAAAAAAAJgCAABkcnMvZG93&#10;bnJldi54bWxQSwUGAAAAAAQABAD1AAAAhwMAAAAA&#10;" path="m,1334l,e" filled="f" strokecolor="#858585" strokeweight=".22061mm">
                  <v:path arrowok="t" o:connecttype="custom" o:connectlocs="0,1334;0,0" o:connectangles="0,0"/>
                </v:shape>
                <v:shape id="Freeform 313" o:spid="_x0000_s1139" style="position:absolute;left:2308;top:4667;width:8055;height:20;visibility:visible;mso-wrap-style:square;v-text-anchor:top" coordsize="80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7FGMMA&#10;AADcAAAADwAAAGRycy9kb3ducmV2LnhtbERP32vCMBB+F/Y/hBv4punqEK1GEWGiYyBqBR+P5taU&#10;NZfSRO3++2Ug+HYf38+bLztbixu1vnKs4G2YgCAunK64VJCfPgYTED4ga6wdk4Jf8rBcvPTmmGl3&#10;5wPdjqEUMYR9hgpMCE0mpS8MWfRD1xBH7tu1FkOEbSl1i/cYbmuZJslYWqw4NhhsaG2o+DlerYLN&#10;hfJ8dF2tz82XN/t09LlL3sdK9V+71QxEoC48xQ/3Vsf50xT+n4kX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7FGMMAAADcAAAADwAAAAAAAAAAAAAAAACYAgAAZHJzL2Rv&#10;d25yZXYueG1sUEsFBgAAAAAEAAQA9QAAAIgDAAAAAA==&#10;" path="m,l8055,e" filled="f" strokecolor="#858585" strokeweight=".22006mm">
                  <v:path arrowok="t" o:connecttype="custom" o:connectlocs="0,0;8055,0" o:connectangles="0,0"/>
                </v:shape>
                <v:rect id="Rectangle 314" o:spid="_x0000_s1140" style="position:absolute;left:2158;top:4816;width:8140;height:1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nusIA&#10;AADcAAAADwAAAGRycy9kb3ducmV2LnhtbERPTYvCMBC9C/6HMII3TV1BbNco4ip6dFXQvQ3NbFu2&#10;mZQm2uqvNwuCt3m8z5ktWlOKG9WusKxgNIxAEKdWF5wpOB03gykI55E1lpZJwZ0cLObdzgwTbRv+&#10;ptvBZyKEsEtQQe59lUjp0pwMuqGtiAP3a2uDPsA6k7rGJoSbUn5E0UQaLDg05FjRKqf073A1CrbT&#10;annZ2UeTleuf7Xl/jr+OsVeq32uXnyA8tf4tfrl3OsyP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4+e6wgAAANwAAAAPAAAAAAAAAAAAAAAAAJgCAABkcnMvZG93&#10;bnJldi54bWxQSwUGAAAAAAQABAD1AAAAhwMAAAAA&#10;" filled="f" stroked="f">
                  <v:textbox inset="0,0,0,0">
                    <w:txbxContent>
                      <w:p w:rsidR="004F7425" w:rsidRDefault="004F7425" w:rsidP="004F7425">
                        <w:pPr>
                          <w:spacing w:line="1100" w:lineRule="atLeast"/>
                        </w:pPr>
                        <w:r>
                          <w:rPr>
                            <w:noProof/>
                            <w:lang w:eastAsia="lt-LT"/>
                          </w:rPr>
                          <w:drawing>
                            <wp:inline distT="0" distB="0" distL="0" distR="0" wp14:anchorId="56EFF57B" wp14:editId="4EA941A8">
                              <wp:extent cx="5162550" cy="695325"/>
                              <wp:effectExtent l="0" t="0" r="0" b="9525"/>
                              <wp:docPr id="401" name="Paveikslėlis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5162550" cy="69532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v:rect>
                <v:rect id="Rectangle 315" o:spid="_x0000_s1141" style="position:absolute;left:10695;top:3899;width:112;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hDMQA&#10;AADcAAAADwAAAGRycy9kb3ducmV2LnhtbERP22oCMRB9L/QfwhR8KTVbK9KuRrGLrWJpS9UPGDbj&#10;ZnEzWZKo6983QqFvczjXmcw624gT+VA7VvDYz0AQl07XXCnYbd8enkGEiKyxcUwKLhRgNr29mWCu&#10;3Zl/6LSJlUghHHJUYGJscylDachi6LuWOHF75y3GBH0ltcdzCreNHGTZSFqsOTUYbKkwVB42R6ug&#10;Wft3L4eL1+Lro9iZ7/vl5375pFTvrpuPQUTq4r/4z73Saf7LEK7PpAvk9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5YQzEAAAA3AAAAA8AAAAAAAAAAAAAAAAAmAIAAGRycy9k&#10;b3ducmV2LnhtbFBLBQYAAAAABAAEAPUAAACJAwAAAAA=&#10;" fillcolor="#4f81bc" stroked="f">
                  <v:path arrowok="t"/>
                </v:rect>
                <v:rect id="Rectangle 316" o:spid="_x0000_s1142" style="position:absolute;left:10695;top:4448;width:112;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r7DMYA&#10;AADcAAAADwAAAGRycy9kb3ducmV2LnhtbESP0WrCQBBF3wX/YZlC3+rGQqOJrqKFSpCWovYDptkx&#10;Cc3Optk1iX/fFQq+zXDvPXNnuR5MLTpqXWVZwXQSgSDOra64UPB1enuag3AeWWNtmRRcycF6NR4t&#10;MdW25wN1R1+IAGGXooLS+yaV0uUlGXQT2xAH7Wxbgz6sbSF1i32Am1o+R1EsDVYcLpTY0GtJ+c/x&#10;YgKlmOLW2tlpl31v33/30UecfCZKPT4MmwUIT4O/m//TmQ71kxe4PRMm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r7DMYAAADcAAAADwAAAAAAAAAAAAAAAACYAgAAZHJz&#10;L2Rvd25yZXYueG1sUEsFBgAAAAAEAAQA9QAAAIsDAAAAAA==&#10;" fillcolor="#c0504d" stroked="f">
                  <v:path arrowok="t"/>
                </v:rect>
                <v:rect id="Rectangle 317" o:spid="_x0000_s1143" style="position:absolute;left:1782;top:2296;width:9869;height:3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5F0sIA&#10;AADcAAAADwAAAGRycy9kb3ducmV2LnhtbERPTWsCMRC9C/0PYQreNKsUW1ejiFbwIkXb4nXYjJvV&#10;zWRJom77641Q6G0e73Om89bW4ko+VI4VDPoZCOLC6YpLBV+f694biBCRNdaOScEPBZjPnjpTzLW7&#10;8Y6u+1iKFMIhRwUmxiaXMhSGLIa+a4gTd3TeYkzQl1J7vKVwW8thlo2kxYpTg8GGloaK8/5iFbzs&#10;Vu/NeIu1/UCN31t/ej2YX6W6z+1iAiJSG//Ff+6NTvPHI3g8ky6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nkXSwgAAANwAAAAPAAAAAAAAAAAAAAAAAJgCAABkcnMvZG93&#10;bnJldi54bWxQSwUGAAAAAAQABAD1AAAAhwMAAAAA&#10;" filled="f" strokecolor="#858585" strokeweight=".22033mm">
                  <v:path arrowok="t"/>
                </v:rect>
                <w10:wrap anchorx="page" anchory="page"/>
              </v:group>
            </w:pict>
          </mc:Fallback>
        </mc:AlternateContent>
      </w:r>
    </w:p>
    <w:p w:rsidR="004F7425" w:rsidRDefault="004F7425" w:rsidP="004F7425">
      <w:pPr>
        <w:widowControl w:val="0"/>
        <w:autoSpaceDE w:val="0"/>
        <w:autoSpaceDN w:val="0"/>
        <w:adjustRightInd w:val="0"/>
        <w:spacing w:before="20" w:line="200" w:lineRule="exact"/>
        <w:rPr>
          <w:rFonts w:ascii="Calibri" w:hAnsi="Calibri" w:cs="Calibri"/>
          <w:color w:val="000000"/>
          <w:sz w:val="20"/>
        </w:rPr>
      </w:pPr>
    </w:p>
    <w:p w:rsidR="004F7425" w:rsidRDefault="004F7425" w:rsidP="004F7425">
      <w:pPr>
        <w:widowControl w:val="0"/>
        <w:autoSpaceDE w:val="0"/>
        <w:autoSpaceDN w:val="0"/>
        <w:adjustRightInd w:val="0"/>
        <w:spacing w:before="15"/>
        <w:ind w:left="547" w:right="-20"/>
        <w:rPr>
          <w:color w:val="000000"/>
        </w:rPr>
      </w:pPr>
      <w:r>
        <w:rPr>
          <w:rFonts w:ascii="Symbol" w:hAnsi="Symbol" w:cs="Symbol"/>
          <w:color w:val="974705"/>
        </w:rPr>
        <w:t></w:t>
      </w:r>
      <w:r>
        <w:rPr>
          <w:color w:val="974705"/>
        </w:rPr>
        <w:t xml:space="preserve">  </w:t>
      </w:r>
      <w:r>
        <w:rPr>
          <w:color w:val="974705"/>
          <w:spacing w:val="2"/>
        </w:rPr>
        <w:t xml:space="preserve"> </w:t>
      </w:r>
      <w:r>
        <w:rPr>
          <w:b/>
          <w:bCs/>
          <w:i/>
          <w:iCs/>
          <w:color w:val="974705"/>
        </w:rPr>
        <w:t>Gab</w:t>
      </w:r>
      <w:r>
        <w:rPr>
          <w:b/>
          <w:bCs/>
          <w:i/>
          <w:iCs/>
          <w:color w:val="974705"/>
          <w:spacing w:val="-1"/>
        </w:rPr>
        <w:t>e</w:t>
      </w:r>
      <w:r>
        <w:rPr>
          <w:b/>
          <w:bCs/>
          <w:i/>
          <w:iCs/>
          <w:color w:val="974705"/>
          <w:spacing w:val="1"/>
        </w:rPr>
        <w:t>n</w:t>
      </w:r>
      <w:r>
        <w:rPr>
          <w:b/>
          <w:bCs/>
          <w:i/>
          <w:iCs/>
          <w:color w:val="974705"/>
        </w:rPr>
        <w:t>i</w:t>
      </w:r>
      <w:r>
        <w:rPr>
          <w:b/>
          <w:bCs/>
          <w:i/>
          <w:iCs/>
          <w:color w:val="974705"/>
          <w:spacing w:val="6"/>
        </w:rPr>
        <w:t>m</w:t>
      </w:r>
      <w:r>
        <w:rPr>
          <w:b/>
          <w:bCs/>
          <w:i/>
          <w:iCs/>
          <w:color w:val="974705"/>
        </w:rPr>
        <w:t>o</w:t>
      </w:r>
      <w:r>
        <w:rPr>
          <w:b/>
          <w:bCs/>
          <w:i/>
          <w:iCs/>
          <w:color w:val="974705"/>
          <w:spacing w:val="-3"/>
        </w:rPr>
        <w:t xml:space="preserve"> </w:t>
      </w:r>
      <w:r>
        <w:rPr>
          <w:b/>
          <w:bCs/>
          <w:i/>
          <w:iCs/>
          <w:color w:val="974705"/>
        </w:rPr>
        <w:t>b</w:t>
      </w:r>
      <w:r>
        <w:rPr>
          <w:b/>
          <w:bCs/>
          <w:i/>
          <w:iCs/>
          <w:color w:val="974705"/>
          <w:spacing w:val="1"/>
        </w:rPr>
        <w:t>ū</w:t>
      </w:r>
      <w:r>
        <w:rPr>
          <w:b/>
          <w:bCs/>
          <w:i/>
          <w:iCs/>
          <w:color w:val="974705"/>
        </w:rPr>
        <w:t>da</w:t>
      </w:r>
      <w:r>
        <w:rPr>
          <w:b/>
          <w:bCs/>
          <w:i/>
          <w:iCs/>
          <w:color w:val="974705"/>
          <w:spacing w:val="2"/>
        </w:rPr>
        <w:t>i</w:t>
      </w:r>
      <w:r>
        <w:rPr>
          <w:color w:val="974705"/>
        </w:rPr>
        <w:t>:</w:t>
      </w:r>
    </w:p>
    <w:p w:rsidR="004F7425" w:rsidRDefault="004F7425" w:rsidP="004F7425">
      <w:pPr>
        <w:widowControl w:val="0"/>
        <w:autoSpaceDE w:val="0"/>
        <w:autoSpaceDN w:val="0"/>
        <w:adjustRightInd w:val="0"/>
        <w:spacing w:before="40"/>
        <w:ind w:left="120" w:right="53"/>
        <w:jc w:val="both"/>
        <w:rPr>
          <w:color w:val="000000"/>
        </w:rPr>
      </w:pPr>
      <w:r>
        <w:rPr>
          <w:color w:val="000000"/>
          <w:spacing w:val="2"/>
        </w:rPr>
        <w:t>M</w:t>
      </w:r>
      <w:r>
        <w:rPr>
          <w:color w:val="000000"/>
          <w:spacing w:val="-4"/>
        </w:rPr>
        <w:t>i</w:t>
      </w:r>
      <w:r>
        <w:rPr>
          <w:color w:val="000000"/>
        </w:rPr>
        <w:t>n</w:t>
      </w:r>
      <w:r>
        <w:rPr>
          <w:color w:val="000000"/>
          <w:spacing w:val="4"/>
        </w:rPr>
        <w:t>ė</w:t>
      </w:r>
      <w:r>
        <w:rPr>
          <w:color w:val="000000"/>
          <w:spacing w:val="-9"/>
        </w:rPr>
        <w:t>j</w:t>
      </w:r>
      <w:r>
        <w:rPr>
          <w:color w:val="000000"/>
          <w:spacing w:val="9"/>
        </w:rPr>
        <w:t>o</w:t>
      </w:r>
      <w:r>
        <w:rPr>
          <w:color w:val="000000"/>
          <w:spacing w:val="-9"/>
        </w:rPr>
        <w:t>m</w:t>
      </w:r>
      <w:r>
        <w:rPr>
          <w:color w:val="000000"/>
          <w:spacing w:val="-1"/>
        </w:rPr>
        <w:t>e</w:t>
      </w:r>
      <w:r>
        <w:rPr>
          <w:color w:val="000000"/>
        </w:rPr>
        <w:t xml:space="preserve">, </w:t>
      </w:r>
      <w:r>
        <w:rPr>
          <w:color w:val="000000"/>
          <w:spacing w:val="21"/>
        </w:rPr>
        <w:t xml:space="preserve"> </w:t>
      </w:r>
      <w:r>
        <w:rPr>
          <w:color w:val="000000"/>
        </w:rPr>
        <w:t>k</w:t>
      </w:r>
      <w:r>
        <w:rPr>
          <w:color w:val="000000"/>
          <w:spacing w:val="-1"/>
        </w:rPr>
        <w:t>a</w:t>
      </w:r>
      <w:r>
        <w:rPr>
          <w:color w:val="000000"/>
        </w:rPr>
        <w:t xml:space="preserve">d </w:t>
      </w:r>
      <w:r>
        <w:rPr>
          <w:color w:val="000000"/>
          <w:spacing w:val="19"/>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 xml:space="preserve">kų </w:t>
      </w:r>
      <w:r>
        <w:rPr>
          <w:color w:val="000000"/>
          <w:spacing w:val="19"/>
        </w:rPr>
        <w:t xml:space="preserve"> </w:t>
      </w:r>
      <w:r>
        <w:rPr>
          <w:color w:val="000000"/>
        </w:rPr>
        <w:t>g</w:t>
      </w:r>
      <w:r>
        <w:rPr>
          <w:color w:val="000000"/>
          <w:spacing w:val="4"/>
        </w:rPr>
        <w:t>a</w:t>
      </w:r>
      <w:r>
        <w:rPr>
          <w:color w:val="000000"/>
          <w:spacing w:val="-5"/>
        </w:rPr>
        <w:t>b</w:t>
      </w:r>
      <w:r>
        <w:rPr>
          <w:color w:val="000000"/>
          <w:spacing w:val="4"/>
        </w:rPr>
        <w:t>e</w:t>
      </w:r>
      <w:r>
        <w:rPr>
          <w:color w:val="000000"/>
        </w:rPr>
        <w:t>ni</w:t>
      </w:r>
      <w:r>
        <w:rPr>
          <w:color w:val="000000"/>
          <w:spacing w:val="-9"/>
        </w:rPr>
        <w:t>m</w:t>
      </w:r>
      <w:r>
        <w:rPr>
          <w:color w:val="000000"/>
        </w:rPr>
        <w:t xml:space="preserve">o </w:t>
      </w:r>
      <w:r>
        <w:rPr>
          <w:color w:val="000000"/>
          <w:spacing w:val="28"/>
        </w:rPr>
        <w:t xml:space="preserve"> </w:t>
      </w:r>
      <w:r>
        <w:rPr>
          <w:color w:val="000000"/>
          <w:spacing w:val="-5"/>
        </w:rPr>
        <w:t>b</w:t>
      </w:r>
      <w:r>
        <w:rPr>
          <w:color w:val="000000"/>
        </w:rPr>
        <w:t>ū</w:t>
      </w:r>
      <w:r>
        <w:rPr>
          <w:color w:val="000000"/>
          <w:spacing w:val="5"/>
        </w:rPr>
        <w:t>d</w:t>
      </w:r>
      <w:r>
        <w:rPr>
          <w:color w:val="000000"/>
          <w:spacing w:val="4"/>
        </w:rPr>
        <w:t>a</w:t>
      </w:r>
      <w:r>
        <w:rPr>
          <w:color w:val="000000"/>
        </w:rPr>
        <w:t xml:space="preserve">i </w:t>
      </w:r>
      <w:r>
        <w:rPr>
          <w:color w:val="000000"/>
          <w:spacing w:val="15"/>
        </w:rPr>
        <w:t xml:space="preserve"> </w:t>
      </w:r>
      <w:r>
        <w:rPr>
          <w:color w:val="000000"/>
          <w:spacing w:val="-4"/>
        </w:rPr>
        <w:t>i</w:t>
      </w:r>
      <w:r>
        <w:rPr>
          <w:color w:val="000000"/>
          <w:spacing w:val="2"/>
        </w:rPr>
        <w:t>š</w:t>
      </w:r>
      <w:r>
        <w:rPr>
          <w:color w:val="000000"/>
        </w:rPr>
        <w:t>l</w:t>
      </w:r>
      <w:r>
        <w:rPr>
          <w:color w:val="000000"/>
          <w:spacing w:val="-4"/>
        </w:rPr>
        <w:t>i</w:t>
      </w:r>
      <w:r>
        <w:rPr>
          <w:color w:val="000000"/>
          <w:spacing w:val="4"/>
        </w:rPr>
        <w:t>e</w:t>
      </w:r>
      <w:r>
        <w:rPr>
          <w:color w:val="000000"/>
        </w:rPr>
        <w:t xml:space="preserve">ka </w:t>
      </w:r>
      <w:r>
        <w:rPr>
          <w:color w:val="000000"/>
          <w:spacing w:val="18"/>
        </w:rPr>
        <w:t xml:space="preserve"> </w:t>
      </w:r>
      <w:r>
        <w:rPr>
          <w:color w:val="000000"/>
          <w:spacing w:val="5"/>
        </w:rPr>
        <w:t>t</w:t>
      </w:r>
      <w:r>
        <w:rPr>
          <w:color w:val="000000"/>
          <w:spacing w:val="-9"/>
        </w:rPr>
        <w:t>i</w:t>
      </w:r>
      <w:r>
        <w:rPr>
          <w:color w:val="000000"/>
        </w:rPr>
        <w:t xml:space="preserve">e </w:t>
      </w:r>
      <w:r>
        <w:rPr>
          <w:color w:val="000000"/>
          <w:spacing w:val="18"/>
        </w:rPr>
        <w:t xml:space="preserve"> </w:t>
      </w:r>
      <w:r>
        <w:rPr>
          <w:color w:val="000000"/>
        </w:rPr>
        <w:t>p</w:t>
      </w:r>
      <w:r>
        <w:rPr>
          <w:color w:val="000000"/>
          <w:spacing w:val="-1"/>
        </w:rPr>
        <w:t>a</w:t>
      </w:r>
      <w:r>
        <w:rPr>
          <w:color w:val="000000"/>
          <w:spacing w:val="5"/>
        </w:rPr>
        <w:t>t</w:t>
      </w:r>
      <w:r>
        <w:rPr>
          <w:color w:val="000000"/>
          <w:spacing w:val="-5"/>
        </w:rPr>
        <w:t>y</w:t>
      </w:r>
      <w:r>
        <w:rPr>
          <w:color w:val="000000"/>
          <w:spacing w:val="-2"/>
        </w:rPr>
        <w:t>s</w:t>
      </w:r>
      <w:r>
        <w:rPr>
          <w:color w:val="000000"/>
        </w:rPr>
        <w:t xml:space="preserve">. </w:t>
      </w:r>
      <w:r>
        <w:rPr>
          <w:color w:val="000000"/>
          <w:spacing w:val="21"/>
        </w:rPr>
        <w:t xml:space="preserve"> </w:t>
      </w:r>
      <w:r>
        <w:rPr>
          <w:color w:val="000000"/>
        </w:rPr>
        <w:t>D</w:t>
      </w:r>
      <w:r>
        <w:rPr>
          <w:color w:val="000000"/>
          <w:spacing w:val="-1"/>
        </w:rPr>
        <w:t>a</w:t>
      </w:r>
      <w:r>
        <w:rPr>
          <w:color w:val="000000"/>
        </w:rPr>
        <w:t>u</w:t>
      </w:r>
      <w:r>
        <w:rPr>
          <w:color w:val="000000"/>
          <w:spacing w:val="5"/>
        </w:rPr>
        <w:t>g</w:t>
      </w:r>
      <w:r>
        <w:rPr>
          <w:color w:val="000000"/>
          <w:spacing w:val="-9"/>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15"/>
        </w:rPr>
        <w:t xml:space="preserve"> </w:t>
      </w:r>
      <w:r>
        <w:rPr>
          <w:color w:val="000000"/>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 xml:space="preserve">kų </w:t>
      </w:r>
      <w:r>
        <w:rPr>
          <w:color w:val="000000"/>
          <w:spacing w:val="19"/>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4"/>
        </w:rPr>
        <w:t>a</w:t>
      </w:r>
      <w:r>
        <w:rPr>
          <w:color w:val="000000"/>
        </w:rPr>
        <w:t>ma</w:t>
      </w:r>
    </w:p>
    <w:p w:rsidR="004F7425" w:rsidRDefault="004F7425" w:rsidP="004F7425">
      <w:pPr>
        <w:widowControl w:val="0"/>
        <w:autoSpaceDE w:val="0"/>
        <w:autoSpaceDN w:val="0"/>
        <w:adjustRightInd w:val="0"/>
        <w:spacing w:before="45"/>
        <w:ind w:left="120" w:right="52"/>
        <w:jc w:val="both"/>
        <w:rPr>
          <w:color w:val="000000"/>
        </w:rPr>
      </w:pPr>
      <w:r>
        <w:rPr>
          <w:color w:val="000000"/>
          <w:spacing w:val="-1"/>
        </w:rPr>
        <w:t>a</w:t>
      </w:r>
      <w:r>
        <w:rPr>
          <w:color w:val="000000"/>
        </w:rPr>
        <w:t>ut</w:t>
      </w:r>
      <w:r>
        <w:rPr>
          <w:color w:val="000000"/>
          <w:spacing w:val="5"/>
        </w:rPr>
        <w:t>o</w:t>
      </w:r>
      <w:r>
        <w:rPr>
          <w:color w:val="000000"/>
          <w:spacing w:val="-9"/>
        </w:rPr>
        <w:t>m</w:t>
      </w:r>
      <w:r>
        <w:rPr>
          <w:color w:val="000000"/>
          <w:spacing w:val="5"/>
        </w:rPr>
        <w:t>o</w:t>
      </w:r>
      <w:r>
        <w:rPr>
          <w:color w:val="000000"/>
        </w:rPr>
        <w:t>bi</w:t>
      </w:r>
      <w:r>
        <w:rPr>
          <w:color w:val="000000"/>
          <w:spacing w:val="1"/>
        </w:rPr>
        <w:t>l</w:t>
      </w:r>
      <w:r>
        <w:rPr>
          <w:color w:val="000000"/>
          <w:spacing w:val="-4"/>
        </w:rPr>
        <w:t>i</w:t>
      </w:r>
      <w:r>
        <w:rPr>
          <w:color w:val="000000"/>
          <w:spacing w:val="4"/>
        </w:rPr>
        <w:t>a</w:t>
      </w:r>
      <w:r>
        <w:rPr>
          <w:color w:val="000000"/>
          <w:spacing w:val="-4"/>
        </w:rPr>
        <w:t>i</w:t>
      </w:r>
      <w:r>
        <w:rPr>
          <w:color w:val="000000"/>
        </w:rPr>
        <w:t>s</w:t>
      </w:r>
      <w:r>
        <w:rPr>
          <w:color w:val="000000"/>
          <w:spacing w:val="21"/>
        </w:rPr>
        <w:t xml:space="preserve"> </w:t>
      </w:r>
      <w:r>
        <w:rPr>
          <w:color w:val="000000"/>
        </w:rPr>
        <w:t>–</w:t>
      </w:r>
      <w:r>
        <w:rPr>
          <w:color w:val="000000"/>
          <w:spacing w:val="22"/>
        </w:rPr>
        <w:t xml:space="preserve"> </w:t>
      </w:r>
      <w:r>
        <w:rPr>
          <w:color w:val="000000"/>
        </w:rPr>
        <w:t>29</w:t>
      </w:r>
      <w:r>
        <w:rPr>
          <w:color w:val="000000"/>
          <w:spacing w:val="21"/>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5"/>
        </w:rPr>
        <w:t>y</w:t>
      </w:r>
      <w:r>
        <w:rPr>
          <w:color w:val="000000"/>
          <w:spacing w:val="-9"/>
        </w:rPr>
        <w:t>m</w:t>
      </w:r>
      <w:r>
        <w:rPr>
          <w:color w:val="000000"/>
        </w:rPr>
        <w:t>o</w:t>
      </w:r>
      <w:r>
        <w:rPr>
          <w:color w:val="000000"/>
          <w:spacing w:val="26"/>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rPr>
        <w:t>i</w:t>
      </w:r>
      <w:r>
        <w:rPr>
          <w:color w:val="000000"/>
          <w:spacing w:val="17"/>
        </w:rPr>
        <w:t xml:space="preserve"> </w:t>
      </w:r>
      <w:r>
        <w:rPr>
          <w:color w:val="000000"/>
          <w:spacing w:val="1"/>
        </w:rPr>
        <w:t>(</w:t>
      </w:r>
      <w:r>
        <w:rPr>
          <w:color w:val="000000"/>
        </w:rPr>
        <w:t>59</w:t>
      </w:r>
      <w:r>
        <w:rPr>
          <w:color w:val="000000"/>
          <w:spacing w:val="21"/>
        </w:rPr>
        <w:t xml:space="preserve"> </w:t>
      </w:r>
      <w:r>
        <w:rPr>
          <w:color w:val="000000"/>
          <w:spacing w:val="1"/>
        </w:rPr>
        <w:t>%)</w:t>
      </w:r>
      <w:r>
        <w:rPr>
          <w:color w:val="000000"/>
        </w:rPr>
        <w:t>.</w:t>
      </w:r>
      <w:r>
        <w:rPr>
          <w:color w:val="000000"/>
          <w:spacing w:val="24"/>
        </w:rPr>
        <w:t xml:space="preserve"> </w:t>
      </w:r>
      <w:r>
        <w:rPr>
          <w:color w:val="000000"/>
          <w:spacing w:val="-5"/>
        </w:rPr>
        <w:t>An</w:t>
      </w:r>
      <w:r>
        <w:rPr>
          <w:color w:val="000000"/>
          <w:spacing w:val="5"/>
        </w:rPr>
        <w:t>t</w:t>
      </w:r>
      <w:r>
        <w:rPr>
          <w:color w:val="000000"/>
          <w:spacing w:val="1"/>
        </w:rPr>
        <w:t>r</w:t>
      </w:r>
      <w:r>
        <w:rPr>
          <w:color w:val="000000"/>
          <w:spacing w:val="5"/>
        </w:rPr>
        <w:t>o</w:t>
      </w:r>
      <w:r>
        <w:rPr>
          <w:color w:val="000000"/>
          <w:spacing w:val="-9"/>
        </w:rPr>
        <w:t>j</w:t>
      </w:r>
      <w:r>
        <w:rPr>
          <w:color w:val="000000"/>
        </w:rPr>
        <w:t>e</w:t>
      </w:r>
      <w:r>
        <w:rPr>
          <w:color w:val="000000"/>
          <w:spacing w:val="20"/>
        </w:rPr>
        <w:t xml:space="preserve"> </w:t>
      </w:r>
      <w:r>
        <w:rPr>
          <w:color w:val="000000"/>
        </w:rPr>
        <w:t>v</w:t>
      </w:r>
      <w:r>
        <w:rPr>
          <w:color w:val="000000"/>
          <w:spacing w:val="-4"/>
        </w:rPr>
        <w:t>i</w:t>
      </w:r>
      <w:r>
        <w:rPr>
          <w:color w:val="000000"/>
          <w:spacing w:val="-1"/>
        </w:rPr>
        <w:t>e</w:t>
      </w:r>
      <w:r>
        <w:rPr>
          <w:color w:val="000000"/>
          <w:spacing w:val="5"/>
        </w:rPr>
        <w:t>to</w:t>
      </w:r>
      <w:r>
        <w:rPr>
          <w:color w:val="000000"/>
          <w:spacing w:val="-9"/>
        </w:rPr>
        <w:t>j</w:t>
      </w:r>
      <w:r>
        <w:rPr>
          <w:color w:val="000000"/>
        </w:rPr>
        <w:t>e</w:t>
      </w:r>
      <w:r>
        <w:rPr>
          <w:color w:val="000000"/>
          <w:spacing w:val="27"/>
        </w:rPr>
        <w:t xml:space="preserve"> </w:t>
      </w:r>
      <w:r>
        <w:rPr>
          <w:color w:val="000000"/>
        </w:rPr>
        <w:t>ku</w:t>
      </w:r>
      <w:r>
        <w:rPr>
          <w:color w:val="000000"/>
          <w:spacing w:val="6"/>
        </w:rPr>
        <w:t>r</w:t>
      </w:r>
      <w:r>
        <w:rPr>
          <w:color w:val="000000"/>
          <w:spacing w:val="-4"/>
        </w:rPr>
        <w:t>j</w:t>
      </w:r>
      <w:r>
        <w:rPr>
          <w:color w:val="000000"/>
          <w:spacing w:val="-1"/>
        </w:rPr>
        <w:t>e</w:t>
      </w:r>
      <w:r>
        <w:rPr>
          <w:color w:val="000000"/>
          <w:spacing w:val="6"/>
        </w:rPr>
        <w:t>r</w:t>
      </w:r>
      <w:r>
        <w:rPr>
          <w:color w:val="000000"/>
          <w:spacing w:val="-4"/>
        </w:rPr>
        <w:t>i</w:t>
      </w:r>
      <w:r>
        <w:rPr>
          <w:color w:val="000000"/>
          <w:spacing w:val="4"/>
        </w:rPr>
        <w:t>a</w:t>
      </w:r>
      <w:r>
        <w:rPr>
          <w:color w:val="000000"/>
          <w:spacing w:val="-9"/>
        </w:rPr>
        <w:t>i</w:t>
      </w:r>
      <w:r>
        <w:rPr>
          <w:color w:val="000000"/>
        </w:rPr>
        <w:t>,</w:t>
      </w:r>
      <w:r>
        <w:rPr>
          <w:color w:val="000000"/>
          <w:spacing w:val="25"/>
        </w:rPr>
        <w:t xml:space="preserve"> </w:t>
      </w:r>
      <w:r>
        <w:rPr>
          <w:color w:val="000000"/>
        </w:rPr>
        <w:t>ku</w:t>
      </w:r>
      <w:r>
        <w:rPr>
          <w:color w:val="000000"/>
          <w:spacing w:val="6"/>
        </w:rPr>
        <w:t>r</w:t>
      </w:r>
      <w:r>
        <w:rPr>
          <w:color w:val="000000"/>
          <w:spacing w:val="-9"/>
        </w:rPr>
        <w:t>i</w:t>
      </w:r>
      <w:r>
        <w:rPr>
          <w:color w:val="000000"/>
        </w:rPr>
        <w:t>e</w:t>
      </w:r>
      <w:r>
        <w:rPr>
          <w:color w:val="000000"/>
          <w:spacing w:val="25"/>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5"/>
        </w:rPr>
        <w:t>o</w:t>
      </w:r>
      <w:r>
        <w:rPr>
          <w:color w:val="000000"/>
          <w:spacing w:val="2"/>
        </w:rPr>
        <w:t>s</w:t>
      </w:r>
      <w:r>
        <w:rPr>
          <w:color w:val="000000"/>
        </w:rPr>
        <w:t>i</w:t>
      </w:r>
      <w:r>
        <w:rPr>
          <w:color w:val="000000"/>
          <w:spacing w:val="17"/>
        </w:rPr>
        <w:t xml:space="preserve"> </w:t>
      </w:r>
      <w:r>
        <w:rPr>
          <w:color w:val="000000"/>
          <w:spacing w:val="-4"/>
        </w:rPr>
        <w:t>l</w:t>
      </w:r>
      <w:r>
        <w:rPr>
          <w:color w:val="000000"/>
          <w:spacing w:val="-1"/>
        </w:rPr>
        <w:t>ė</w:t>
      </w:r>
      <w:r>
        <w:rPr>
          <w:color w:val="000000"/>
        </w:rPr>
        <w:t>k</w:t>
      </w:r>
      <w:r>
        <w:rPr>
          <w:color w:val="000000"/>
          <w:spacing w:val="5"/>
        </w:rPr>
        <w:t>t</w:t>
      </w:r>
      <w:r>
        <w:rPr>
          <w:color w:val="000000"/>
        </w:rPr>
        <w:t>u</w:t>
      </w:r>
      <w:r>
        <w:rPr>
          <w:color w:val="000000"/>
          <w:spacing w:val="-5"/>
        </w:rPr>
        <w:t>v</w:t>
      </w:r>
      <w:r>
        <w:rPr>
          <w:color w:val="000000"/>
          <w:spacing w:val="4"/>
        </w:rPr>
        <w:t>a</w:t>
      </w:r>
      <w:r>
        <w:rPr>
          <w:color w:val="000000"/>
          <w:spacing w:val="-4"/>
        </w:rPr>
        <w:t>i</w:t>
      </w:r>
      <w:r>
        <w:rPr>
          <w:color w:val="000000"/>
        </w:rPr>
        <w:t>s</w:t>
      </w:r>
      <w:r>
        <w:rPr>
          <w:color w:val="000000"/>
          <w:spacing w:val="22"/>
        </w:rPr>
        <w:t xml:space="preserve"> </w:t>
      </w:r>
      <w:r>
        <w:rPr>
          <w:color w:val="000000"/>
        </w:rPr>
        <w:t>-</w:t>
      </w:r>
    </w:p>
    <w:p w:rsidR="004F7425" w:rsidRDefault="004F7425" w:rsidP="004F7425">
      <w:pPr>
        <w:widowControl w:val="0"/>
        <w:autoSpaceDE w:val="0"/>
        <w:autoSpaceDN w:val="0"/>
        <w:adjustRightInd w:val="0"/>
        <w:spacing w:before="41" w:line="275" w:lineRule="auto"/>
        <w:ind w:left="120" w:right="55"/>
        <w:jc w:val="both"/>
        <w:rPr>
          <w:color w:val="000000"/>
        </w:rPr>
      </w:pPr>
      <w:r>
        <w:rPr>
          <w:color w:val="000000"/>
        </w:rPr>
        <w:t>16</w:t>
      </w:r>
      <w:r>
        <w:rPr>
          <w:color w:val="000000"/>
          <w:spacing w:val="2"/>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rPr>
        <w:t>ų</w:t>
      </w:r>
      <w:r>
        <w:rPr>
          <w:color w:val="000000"/>
          <w:spacing w:val="7"/>
        </w:rPr>
        <w:t xml:space="preserve"> </w:t>
      </w:r>
      <w:r>
        <w:rPr>
          <w:color w:val="000000"/>
          <w:spacing w:val="1"/>
        </w:rPr>
        <w:t>(</w:t>
      </w:r>
      <w:r>
        <w:rPr>
          <w:color w:val="000000"/>
        </w:rPr>
        <w:t>33</w:t>
      </w:r>
      <w:r>
        <w:rPr>
          <w:color w:val="000000"/>
          <w:spacing w:val="2"/>
        </w:rPr>
        <w:t xml:space="preserve"> </w:t>
      </w:r>
      <w:r>
        <w:rPr>
          <w:color w:val="000000"/>
          <w:spacing w:val="1"/>
        </w:rPr>
        <w:t>%)</w:t>
      </w:r>
      <w:r>
        <w:rPr>
          <w:color w:val="000000"/>
        </w:rPr>
        <w:t>.</w:t>
      </w:r>
      <w:r>
        <w:rPr>
          <w:color w:val="000000"/>
          <w:spacing w:val="4"/>
        </w:rPr>
        <w:t xml:space="preserve"> </w:t>
      </w:r>
      <w:r>
        <w:rPr>
          <w:color w:val="000000"/>
          <w:spacing w:val="-2"/>
        </w:rPr>
        <w:t>B</w:t>
      </w:r>
      <w:r>
        <w:rPr>
          <w:color w:val="000000"/>
          <w:spacing w:val="-1"/>
        </w:rPr>
        <w:t>e</w:t>
      </w:r>
      <w:r>
        <w:rPr>
          <w:color w:val="000000"/>
          <w:spacing w:val="-5"/>
        </w:rPr>
        <w:t>v</w:t>
      </w:r>
      <w:r>
        <w:rPr>
          <w:color w:val="000000"/>
          <w:spacing w:val="4"/>
        </w:rPr>
        <w:t>e</w:t>
      </w:r>
      <w:r>
        <w:rPr>
          <w:color w:val="000000"/>
          <w:spacing w:val="-4"/>
        </w:rPr>
        <w:t>i</w:t>
      </w:r>
      <w:r>
        <w:rPr>
          <w:color w:val="000000"/>
        </w:rPr>
        <w:t>k</w:t>
      </w:r>
      <w:r>
        <w:rPr>
          <w:color w:val="000000"/>
          <w:spacing w:val="7"/>
        </w:rPr>
        <w:t xml:space="preserve"> </w:t>
      </w:r>
      <w:r>
        <w:rPr>
          <w:color w:val="000000"/>
        </w:rPr>
        <w:t>v</w:t>
      </w:r>
      <w:r>
        <w:rPr>
          <w:color w:val="000000"/>
          <w:spacing w:val="-4"/>
        </w:rPr>
        <w:t>i</w:t>
      </w:r>
      <w:r>
        <w:rPr>
          <w:color w:val="000000"/>
          <w:spacing w:val="2"/>
        </w:rPr>
        <w:t>s</w:t>
      </w:r>
      <w:r>
        <w:rPr>
          <w:color w:val="000000"/>
        </w:rPr>
        <w:t>i</w:t>
      </w:r>
      <w:r>
        <w:rPr>
          <w:color w:val="000000"/>
          <w:spacing w:val="2"/>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rPr>
        <w:t>d</w:t>
      </w:r>
      <w:r>
        <w:rPr>
          <w:color w:val="000000"/>
          <w:spacing w:val="5"/>
        </w:rPr>
        <w:t>o</w:t>
      </w:r>
      <w:r>
        <w:rPr>
          <w:color w:val="000000"/>
        </w:rPr>
        <w:t>s</w:t>
      </w:r>
      <w:r>
        <w:rPr>
          <w:color w:val="000000"/>
          <w:spacing w:val="5"/>
        </w:rPr>
        <w:t xml:space="preserve"> </w:t>
      </w:r>
      <w:r>
        <w:rPr>
          <w:color w:val="000000"/>
          <w:spacing w:val="-4"/>
        </w:rPr>
        <w:t>l</w:t>
      </w:r>
      <w:r>
        <w:rPr>
          <w:color w:val="000000"/>
          <w:spacing w:val="-1"/>
        </w:rPr>
        <w:t>ė</w:t>
      </w:r>
      <w:r>
        <w:rPr>
          <w:color w:val="000000"/>
        </w:rPr>
        <w:t>k</w:t>
      </w:r>
      <w:r>
        <w:rPr>
          <w:color w:val="000000"/>
          <w:spacing w:val="5"/>
        </w:rPr>
        <w:t>t</w:t>
      </w:r>
      <w:r>
        <w:rPr>
          <w:color w:val="000000"/>
        </w:rPr>
        <w:t>uv</w:t>
      </w:r>
      <w:r>
        <w:rPr>
          <w:color w:val="000000"/>
          <w:spacing w:val="4"/>
        </w:rPr>
        <w:t>a</w:t>
      </w:r>
      <w:r>
        <w:rPr>
          <w:color w:val="000000"/>
          <w:spacing w:val="-4"/>
        </w:rPr>
        <w:t>i</w:t>
      </w:r>
      <w:r>
        <w:rPr>
          <w:color w:val="000000"/>
        </w:rPr>
        <w:t xml:space="preserve">s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spacing w:val="4"/>
        </w:rPr>
        <w:t>a</w:t>
      </w:r>
      <w:r>
        <w:rPr>
          <w:color w:val="000000"/>
        </w:rPr>
        <w:t>i</w:t>
      </w:r>
      <w:r>
        <w:rPr>
          <w:color w:val="000000"/>
          <w:spacing w:val="2"/>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ę</w:t>
      </w:r>
      <w:r>
        <w:rPr>
          <w:color w:val="000000"/>
          <w:spacing w:val="6"/>
        </w:rPr>
        <w:t xml:space="preserve"> </w:t>
      </w:r>
      <w:r>
        <w:rPr>
          <w:color w:val="000000"/>
          <w:spacing w:val="-2"/>
        </w:rPr>
        <w:t>s</w:t>
      </w:r>
      <w:r>
        <w:rPr>
          <w:color w:val="000000"/>
        </w:rPr>
        <w:t>u</w:t>
      </w:r>
      <w:r>
        <w:rPr>
          <w:color w:val="000000"/>
          <w:spacing w:val="2"/>
        </w:rPr>
        <w:t xml:space="preserve"> </w:t>
      </w:r>
      <w:r>
        <w:rPr>
          <w:color w:val="000000"/>
        </w:rPr>
        <w:t>k</w:t>
      </w:r>
      <w:r>
        <w:rPr>
          <w:color w:val="000000"/>
          <w:spacing w:val="5"/>
        </w:rPr>
        <w:t>o</w:t>
      </w:r>
      <w:r>
        <w:rPr>
          <w:color w:val="000000"/>
        </w:rPr>
        <w:t>k</w:t>
      </w:r>
      <w:r>
        <w:rPr>
          <w:color w:val="000000"/>
          <w:spacing w:val="4"/>
        </w:rPr>
        <w:t>a</w:t>
      </w:r>
      <w:r>
        <w:rPr>
          <w:color w:val="000000"/>
          <w:spacing w:val="-4"/>
        </w:rPr>
        <w:t>i</w:t>
      </w:r>
      <w:r>
        <w:rPr>
          <w:color w:val="000000"/>
          <w:spacing w:val="-5"/>
        </w:rPr>
        <w:t>n</w:t>
      </w:r>
      <w:r>
        <w:rPr>
          <w:color w:val="000000"/>
        </w:rPr>
        <w:t>o</w:t>
      </w:r>
      <w:r>
        <w:rPr>
          <w:color w:val="000000"/>
          <w:spacing w:val="7"/>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1"/>
        </w:rPr>
        <w:t>a</w:t>
      </w:r>
      <w:r>
        <w:rPr>
          <w:color w:val="000000"/>
          <w:spacing w:val="-5"/>
        </w:rPr>
        <w:t>n</w:t>
      </w:r>
      <w:r>
        <w:rPr>
          <w:color w:val="000000"/>
        </w:rPr>
        <w:t>da</w:t>
      </w:r>
      <w:r>
        <w:rPr>
          <w:color w:val="000000"/>
          <w:spacing w:val="6"/>
        </w:rPr>
        <w:t xml:space="preserve"> </w:t>
      </w:r>
      <w:r>
        <w:rPr>
          <w:color w:val="000000"/>
          <w:spacing w:val="-4"/>
        </w:rPr>
        <w:t>i</w:t>
      </w:r>
      <w:r>
        <w:rPr>
          <w:color w:val="000000"/>
        </w:rPr>
        <w:t>š</w:t>
      </w:r>
      <w:r>
        <w:rPr>
          <w:color w:val="000000"/>
          <w:spacing w:val="4"/>
        </w:rPr>
        <w:t xml:space="preserve"> </w:t>
      </w:r>
      <w:r>
        <w:rPr>
          <w:color w:val="000000"/>
          <w:spacing w:val="6"/>
        </w:rPr>
        <w:t>P</w:t>
      </w:r>
      <w:r>
        <w:rPr>
          <w:color w:val="000000"/>
          <w:spacing w:val="-4"/>
        </w:rPr>
        <w:t>i</w:t>
      </w:r>
      <w:r>
        <w:rPr>
          <w:color w:val="000000"/>
          <w:spacing w:val="-1"/>
        </w:rPr>
        <w:t>e</w:t>
      </w:r>
      <w:r>
        <w:rPr>
          <w:color w:val="000000"/>
          <w:spacing w:val="5"/>
        </w:rPr>
        <w:t>t</w:t>
      </w:r>
      <w:r>
        <w:rPr>
          <w:color w:val="000000"/>
        </w:rPr>
        <w:t>ų A</w:t>
      </w:r>
      <w:r>
        <w:rPr>
          <w:color w:val="000000"/>
          <w:spacing w:val="-5"/>
        </w:rPr>
        <w:t>m</w:t>
      </w:r>
      <w:r>
        <w:rPr>
          <w:color w:val="000000"/>
          <w:spacing w:val="-1"/>
        </w:rPr>
        <w:t>e</w:t>
      </w:r>
      <w:r>
        <w:rPr>
          <w:color w:val="000000"/>
          <w:spacing w:val="6"/>
        </w:rPr>
        <w:t>r</w:t>
      </w:r>
      <w:r>
        <w:rPr>
          <w:color w:val="000000"/>
          <w:spacing w:val="-4"/>
        </w:rPr>
        <w:t>i</w:t>
      </w:r>
      <w:r>
        <w:rPr>
          <w:color w:val="000000"/>
        </w:rPr>
        <w:t>k</w:t>
      </w:r>
      <w:r>
        <w:rPr>
          <w:color w:val="000000"/>
          <w:spacing w:val="5"/>
        </w:rPr>
        <w:t>o</w:t>
      </w:r>
      <w:r>
        <w:rPr>
          <w:color w:val="000000"/>
        </w:rPr>
        <w:t>s</w:t>
      </w:r>
      <w:r>
        <w:rPr>
          <w:color w:val="000000"/>
          <w:spacing w:val="11"/>
        </w:rPr>
        <w:t xml:space="preserve"> </w:t>
      </w:r>
      <w:r>
        <w:rPr>
          <w:color w:val="000000"/>
        </w:rPr>
        <w:t xml:space="preserve">į </w:t>
      </w:r>
      <w:r>
        <w:rPr>
          <w:color w:val="000000"/>
          <w:spacing w:val="2"/>
        </w:rPr>
        <w:t>E</w:t>
      </w:r>
      <w:r>
        <w:rPr>
          <w:color w:val="000000"/>
        </w:rPr>
        <w:t>u</w:t>
      </w:r>
      <w:r>
        <w:rPr>
          <w:color w:val="000000"/>
          <w:spacing w:val="-3"/>
        </w:rPr>
        <w:t>r</w:t>
      </w:r>
      <w:r>
        <w:rPr>
          <w:color w:val="000000"/>
          <w:spacing w:val="5"/>
        </w:rPr>
        <w:t>o</w:t>
      </w:r>
      <w:r>
        <w:rPr>
          <w:color w:val="000000"/>
        </w:rPr>
        <w:t>p</w:t>
      </w:r>
      <w:r>
        <w:rPr>
          <w:color w:val="000000"/>
          <w:spacing w:val="-1"/>
        </w:rPr>
        <w:t>ą</w:t>
      </w:r>
      <w:r>
        <w:rPr>
          <w:color w:val="000000"/>
        </w:rPr>
        <w:t>.</w:t>
      </w:r>
      <w:r>
        <w:rPr>
          <w:color w:val="000000"/>
          <w:spacing w:val="11"/>
        </w:rPr>
        <w:t xml:space="preserve"> </w:t>
      </w:r>
      <w:r>
        <w:rPr>
          <w:color w:val="000000"/>
          <w:spacing w:val="1"/>
        </w:rPr>
        <w:t>P</w:t>
      </w:r>
      <w:r>
        <w:rPr>
          <w:color w:val="000000"/>
          <w:spacing w:val="-1"/>
        </w:rPr>
        <w:t>a</w:t>
      </w:r>
      <w:r>
        <w:rPr>
          <w:color w:val="000000"/>
          <w:spacing w:val="-2"/>
        </w:rPr>
        <w:t>s</w:t>
      </w:r>
      <w:r>
        <w:rPr>
          <w:color w:val="000000"/>
          <w:spacing w:val="-9"/>
        </w:rPr>
        <w:t>i</w:t>
      </w:r>
      <w:r>
        <w:rPr>
          <w:color w:val="000000"/>
          <w:spacing w:val="5"/>
        </w:rPr>
        <w:t>t</w:t>
      </w:r>
      <w:r>
        <w:rPr>
          <w:color w:val="000000"/>
          <w:spacing w:val="4"/>
        </w:rPr>
        <w:t>a</w:t>
      </w:r>
      <w:r>
        <w:rPr>
          <w:color w:val="000000"/>
          <w:spacing w:val="-9"/>
        </w:rPr>
        <w:t>i</w:t>
      </w:r>
      <w:r>
        <w:rPr>
          <w:color w:val="000000"/>
        </w:rPr>
        <w:t>kė</w:t>
      </w:r>
      <w:r>
        <w:rPr>
          <w:color w:val="000000"/>
          <w:spacing w:val="13"/>
        </w:rPr>
        <w:t xml:space="preserve"> </w:t>
      </w:r>
      <w:r>
        <w:rPr>
          <w:color w:val="000000"/>
          <w:spacing w:val="-9"/>
        </w:rPr>
        <w:t>i</w:t>
      </w:r>
      <w:r>
        <w:rPr>
          <w:color w:val="000000"/>
        </w:rPr>
        <w:t>r</w:t>
      </w:r>
      <w:r>
        <w:rPr>
          <w:color w:val="000000"/>
          <w:spacing w:val="15"/>
        </w:rPr>
        <w:t xml:space="preserve"> </w:t>
      </w:r>
      <w:r>
        <w:rPr>
          <w:color w:val="000000"/>
          <w:spacing w:val="-5"/>
        </w:rPr>
        <w:t>n</w:t>
      </w:r>
      <w:r>
        <w:rPr>
          <w:color w:val="000000"/>
          <w:spacing w:val="-1"/>
        </w:rPr>
        <w:t>e</w:t>
      </w:r>
      <w:r>
        <w:rPr>
          <w:color w:val="000000"/>
          <w:spacing w:val="5"/>
        </w:rPr>
        <w:t>t</w:t>
      </w:r>
      <w:r>
        <w:rPr>
          <w:color w:val="000000"/>
          <w:spacing w:val="1"/>
        </w:rPr>
        <w:t>r</w:t>
      </w:r>
      <w:r>
        <w:rPr>
          <w:color w:val="000000"/>
          <w:spacing w:val="-1"/>
        </w:rPr>
        <w:t>a</w:t>
      </w:r>
      <w:r>
        <w:rPr>
          <w:color w:val="000000"/>
          <w:spacing w:val="5"/>
        </w:rPr>
        <w:t>d</w:t>
      </w:r>
      <w:r>
        <w:rPr>
          <w:color w:val="000000"/>
          <w:spacing w:val="-9"/>
        </w:rPr>
        <w:t>i</w:t>
      </w:r>
      <w:r>
        <w:rPr>
          <w:color w:val="000000"/>
          <w:spacing w:val="4"/>
        </w:rPr>
        <w:t>c</w:t>
      </w:r>
      <w:r>
        <w:rPr>
          <w:color w:val="000000"/>
          <w:spacing w:val="-4"/>
        </w:rPr>
        <w:t>i</w:t>
      </w:r>
      <w:r>
        <w:rPr>
          <w:color w:val="000000"/>
          <w:spacing w:val="5"/>
        </w:rPr>
        <w:t>n</w:t>
      </w:r>
      <w:r>
        <w:rPr>
          <w:color w:val="000000"/>
          <w:spacing w:val="-4"/>
        </w:rPr>
        <w:t>i</w:t>
      </w:r>
      <w:r>
        <w:rPr>
          <w:color w:val="000000"/>
        </w:rPr>
        <w:t>ų</w:t>
      </w:r>
      <w:r>
        <w:rPr>
          <w:color w:val="000000"/>
          <w:spacing w:val="9"/>
        </w:rPr>
        <w:t xml:space="preserve"> </w:t>
      </w:r>
      <w:r>
        <w:rPr>
          <w:color w:val="000000"/>
        </w:rPr>
        <w:t>g</w:t>
      </w:r>
      <w:r>
        <w:rPr>
          <w:color w:val="000000"/>
          <w:spacing w:val="4"/>
        </w:rPr>
        <w:t>a</w:t>
      </w:r>
      <w:r>
        <w:rPr>
          <w:color w:val="000000"/>
          <w:spacing w:val="-5"/>
        </w:rPr>
        <w:t>b</w:t>
      </w:r>
      <w:r>
        <w:rPr>
          <w:color w:val="000000"/>
          <w:spacing w:val="4"/>
        </w:rPr>
        <w:t>e</w:t>
      </w:r>
      <w:r>
        <w:rPr>
          <w:color w:val="000000"/>
        </w:rPr>
        <w:t>ni</w:t>
      </w:r>
      <w:r>
        <w:rPr>
          <w:color w:val="000000"/>
          <w:spacing w:val="-9"/>
        </w:rPr>
        <w:t>m</w:t>
      </w:r>
      <w:r>
        <w:rPr>
          <w:color w:val="000000"/>
        </w:rPr>
        <w:t>o</w:t>
      </w:r>
      <w:r>
        <w:rPr>
          <w:color w:val="000000"/>
          <w:spacing w:val="13"/>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ų,</w:t>
      </w:r>
      <w:r>
        <w:rPr>
          <w:color w:val="000000"/>
          <w:spacing w:val="11"/>
        </w:rPr>
        <w:t xml:space="preserve"> </w:t>
      </w:r>
      <w:r>
        <w:rPr>
          <w:color w:val="000000"/>
        </w:rPr>
        <w:t>p</w:t>
      </w:r>
      <w:r>
        <w:rPr>
          <w:color w:val="000000"/>
          <w:spacing w:val="-5"/>
        </w:rPr>
        <w:t>v</w:t>
      </w:r>
      <w:r>
        <w:rPr>
          <w:color w:val="000000"/>
          <w:spacing w:val="-1"/>
        </w:rPr>
        <w:t>z</w:t>
      </w:r>
      <w:r>
        <w:rPr>
          <w:color w:val="000000"/>
          <w:spacing w:val="2"/>
        </w:rPr>
        <w:t>.</w:t>
      </w:r>
      <w:r>
        <w:rPr>
          <w:color w:val="000000"/>
        </w:rPr>
        <w:t>;</w:t>
      </w:r>
      <w:r>
        <w:rPr>
          <w:color w:val="000000"/>
          <w:spacing w:val="4"/>
        </w:rPr>
        <w:t xml:space="preserve"> </w:t>
      </w:r>
      <w:r>
        <w:rPr>
          <w:color w:val="000000"/>
          <w:spacing w:val="6"/>
        </w:rPr>
        <w:t>Š</w:t>
      </w:r>
      <w:r>
        <w:rPr>
          <w:color w:val="000000"/>
          <w:spacing w:val="-5"/>
        </w:rPr>
        <w:t>v</w:t>
      </w:r>
      <w:r>
        <w:rPr>
          <w:color w:val="000000"/>
          <w:spacing w:val="-1"/>
        </w:rPr>
        <w:t>e</w:t>
      </w:r>
      <w:r>
        <w:rPr>
          <w:color w:val="000000"/>
          <w:spacing w:val="5"/>
        </w:rPr>
        <w:t>d</w:t>
      </w:r>
      <w:r>
        <w:rPr>
          <w:color w:val="000000"/>
        </w:rPr>
        <w:t>i</w:t>
      </w:r>
      <w:r>
        <w:rPr>
          <w:color w:val="000000"/>
          <w:spacing w:val="-9"/>
        </w:rPr>
        <w:t>j</w:t>
      </w:r>
      <w:r>
        <w:rPr>
          <w:color w:val="000000"/>
          <w:spacing w:val="9"/>
        </w:rPr>
        <w:t>o</w:t>
      </w:r>
      <w:r>
        <w:rPr>
          <w:color w:val="000000"/>
          <w:spacing w:val="-4"/>
        </w:rPr>
        <w:t>j</w:t>
      </w:r>
      <w:r>
        <w:rPr>
          <w:color w:val="000000"/>
        </w:rPr>
        <w:t>e</w:t>
      </w:r>
      <w:r>
        <w:rPr>
          <w:color w:val="000000"/>
          <w:spacing w:val="8"/>
        </w:rPr>
        <w:t xml:space="preserve"> </w:t>
      </w:r>
      <w:r>
        <w:rPr>
          <w:color w:val="000000"/>
          <w:spacing w:val="-5"/>
        </w:rPr>
        <w:t>b</w:t>
      </w:r>
      <w:r>
        <w:rPr>
          <w:color w:val="000000"/>
          <w:spacing w:val="5"/>
        </w:rPr>
        <w:t>u</w:t>
      </w:r>
      <w:r>
        <w:rPr>
          <w:color w:val="000000"/>
          <w:spacing w:val="-5"/>
        </w:rPr>
        <w:t>v</w:t>
      </w:r>
      <w:r>
        <w:rPr>
          <w:color w:val="000000"/>
        </w:rPr>
        <w:t>o</w:t>
      </w:r>
      <w:r>
        <w:rPr>
          <w:color w:val="000000"/>
          <w:spacing w:val="13"/>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spacing w:val="-10"/>
        </w:rPr>
        <w:t>y</w:t>
      </w:r>
      <w:r>
        <w:rPr>
          <w:color w:val="000000"/>
          <w:spacing w:val="10"/>
        </w:rPr>
        <w:t>t</w:t>
      </w:r>
      <w:r>
        <w:rPr>
          <w:color w:val="000000"/>
          <w:spacing w:val="-1"/>
        </w:rPr>
        <w:t>a</w:t>
      </w:r>
      <w:r>
        <w:rPr>
          <w:color w:val="000000"/>
        </w:rPr>
        <w:t>s ku</w:t>
      </w:r>
      <w:r>
        <w:rPr>
          <w:color w:val="000000"/>
          <w:spacing w:val="6"/>
        </w:rPr>
        <w:t>r</w:t>
      </w:r>
      <w:r>
        <w:rPr>
          <w:color w:val="000000"/>
          <w:spacing w:val="-9"/>
        </w:rPr>
        <w:t>j</w:t>
      </w:r>
      <w:r>
        <w:rPr>
          <w:color w:val="000000"/>
          <w:spacing w:val="-1"/>
        </w:rPr>
        <w:t>e</w:t>
      </w:r>
      <w:r>
        <w:rPr>
          <w:color w:val="000000"/>
          <w:spacing w:val="6"/>
        </w:rPr>
        <w:t>r</w:t>
      </w:r>
      <w:r>
        <w:rPr>
          <w:color w:val="000000"/>
          <w:spacing w:val="-4"/>
        </w:rPr>
        <w:t>i</w:t>
      </w:r>
      <w:r>
        <w:rPr>
          <w:color w:val="000000"/>
          <w:spacing w:val="-2"/>
        </w:rPr>
        <w:t>s</w:t>
      </w:r>
      <w:r>
        <w:rPr>
          <w:color w:val="000000"/>
        </w:rPr>
        <w:t>,</w:t>
      </w:r>
      <w:r>
        <w:rPr>
          <w:color w:val="000000"/>
          <w:spacing w:val="4"/>
        </w:rPr>
        <w:t xml:space="preserve"> </w:t>
      </w:r>
      <w:r>
        <w:rPr>
          <w:color w:val="000000"/>
        </w:rPr>
        <w:t>ku</w:t>
      </w:r>
      <w:r>
        <w:rPr>
          <w:color w:val="000000"/>
          <w:spacing w:val="1"/>
        </w:rPr>
        <w:t>r</w:t>
      </w:r>
      <w:r>
        <w:rPr>
          <w:color w:val="000000"/>
          <w:spacing w:val="-4"/>
        </w:rPr>
        <w:t>i</w:t>
      </w:r>
      <w:r>
        <w:rPr>
          <w:color w:val="000000"/>
        </w:rPr>
        <w:t xml:space="preserve">s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kus g</w:t>
      </w:r>
      <w:r>
        <w:rPr>
          <w:color w:val="000000"/>
          <w:spacing w:val="4"/>
        </w:rPr>
        <w:t>a</w:t>
      </w:r>
      <w:r>
        <w:rPr>
          <w:color w:val="000000"/>
          <w:spacing w:val="-5"/>
        </w:rPr>
        <w:t>b</w:t>
      </w:r>
      <w:r>
        <w:rPr>
          <w:color w:val="000000"/>
          <w:spacing w:val="4"/>
        </w:rPr>
        <w:t>e</w:t>
      </w:r>
      <w:r>
        <w:rPr>
          <w:color w:val="000000"/>
          <w:spacing w:val="-5"/>
        </w:rPr>
        <w:t>n</w:t>
      </w:r>
      <w:r>
        <w:rPr>
          <w:color w:val="000000"/>
        </w:rPr>
        <w:t>o</w:t>
      </w:r>
      <w:r>
        <w:rPr>
          <w:color w:val="000000"/>
          <w:spacing w:val="7"/>
        </w:rPr>
        <w:t xml:space="preserve"> </w:t>
      </w:r>
      <w:r>
        <w:rPr>
          <w:color w:val="000000"/>
          <w:spacing w:val="-9"/>
        </w:rPr>
        <w:t>m</w:t>
      </w:r>
      <w:r>
        <w:rPr>
          <w:color w:val="000000"/>
          <w:spacing w:val="5"/>
        </w:rPr>
        <w:t>o</w:t>
      </w:r>
      <w:r>
        <w:rPr>
          <w:color w:val="000000"/>
        </w:rPr>
        <w:t>t</w:t>
      </w:r>
      <w:r>
        <w:rPr>
          <w:color w:val="000000"/>
          <w:spacing w:val="5"/>
        </w:rPr>
        <w:t>o</w:t>
      </w:r>
      <w:r>
        <w:rPr>
          <w:color w:val="000000"/>
          <w:spacing w:val="-1"/>
        </w:rPr>
        <w:t>c</w:t>
      </w:r>
      <w:r>
        <w:rPr>
          <w:color w:val="000000"/>
          <w:spacing w:val="-9"/>
        </w:rPr>
        <w:t>i</w:t>
      </w:r>
      <w:r>
        <w:rPr>
          <w:color w:val="000000"/>
          <w:spacing w:val="5"/>
        </w:rPr>
        <w:t>k</w:t>
      </w:r>
      <w:r>
        <w:rPr>
          <w:color w:val="000000"/>
          <w:spacing w:val="-4"/>
        </w:rPr>
        <w:t>l</w:t>
      </w:r>
      <w:r>
        <w:rPr>
          <w:color w:val="000000"/>
        </w:rPr>
        <w:t>u.</w:t>
      </w:r>
    </w:p>
    <w:p w:rsidR="004F7425" w:rsidRDefault="004F7425" w:rsidP="004F7425">
      <w:pPr>
        <w:widowControl w:val="0"/>
        <w:autoSpaceDE w:val="0"/>
        <w:autoSpaceDN w:val="0"/>
        <w:adjustRightInd w:val="0"/>
        <w:spacing w:before="41" w:line="275" w:lineRule="auto"/>
        <w:ind w:left="120" w:right="55"/>
        <w:jc w:val="both"/>
        <w:rPr>
          <w:color w:val="000000"/>
        </w:rPr>
        <w:sectPr w:rsidR="004F7425">
          <w:type w:val="continuous"/>
          <w:pgSz w:w="11920" w:h="16840"/>
          <w:pgMar w:top="1540" w:right="460" w:bottom="280" w:left="1580" w:header="567" w:footer="567" w:gutter="0"/>
          <w:cols w:space="1296" w:equalWidth="0">
            <w:col w:w="9880"/>
          </w:cols>
          <w:noEndnote/>
        </w:sectPr>
      </w:pPr>
    </w:p>
    <w:p w:rsidR="004F7425" w:rsidRDefault="004F7425" w:rsidP="004F7425">
      <w:pPr>
        <w:widowControl w:val="0"/>
        <w:autoSpaceDE w:val="0"/>
        <w:autoSpaceDN w:val="0"/>
        <w:adjustRightInd w:val="0"/>
        <w:spacing w:before="3" w:line="260" w:lineRule="exact"/>
        <w:rPr>
          <w:color w:val="000000"/>
          <w:sz w:val="26"/>
          <w:szCs w:val="26"/>
        </w:rPr>
      </w:pPr>
    </w:p>
    <w:p w:rsidR="004F7425" w:rsidRDefault="004F7425" w:rsidP="004F7425">
      <w:pPr>
        <w:widowControl w:val="0"/>
        <w:autoSpaceDE w:val="0"/>
        <w:autoSpaceDN w:val="0"/>
        <w:adjustRightInd w:val="0"/>
        <w:spacing w:before="3" w:line="260" w:lineRule="exact"/>
        <w:rPr>
          <w:color w:val="000000"/>
          <w:sz w:val="26"/>
          <w:szCs w:val="26"/>
        </w:rPr>
        <w:sectPr w:rsidR="004F7425">
          <w:pgSz w:w="11920" w:h="16840"/>
          <w:pgMar w:top="960" w:right="460" w:bottom="280" w:left="1360" w:header="734" w:footer="0" w:gutter="0"/>
          <w:cols w:space="1296" w:equalWidth="0">
            <w:col w:w="10100"/>
          </w:cols>
          <w:noEndnote/>
        </w:sectPr>
      </w:pPr>
    </w:p>
    <w:p w:rsidR="004F7425" w:rsidRDefault="004F7425" w:rsidP="004F7425">
      <w:pPr>
        <w:widowControl w:val="0"/>
        <w:tabs>
          <w:tab w:val="left" w:pos="1060"/>
        </w:tabs>
        <w:autoSpaceDE w:val="0"/>
        <w:autoSpaceDN w:val="0"/>
        <w:adjustRightInd w:val="0"/>
        <w:spacing w:before="15"/>
        <w:ind w:left="700" w:right="-20"/>
        <w:rPr>
          <w:color w:val="000000"/>
        </w:rPr>
      </w:pPr>
      <w:r>
        <w:rPr>
          <w:rFonts w:ascii="Symbol" w:hAnsi="Symbol" w:cs="Symbol"/>
          <w:color w:val="974705"/>
        </w:rPr>
        <w:lastRenderedPageBreak/>
        <w:t></w:t>
      </w:r>
      <w:r>
        <w:rPr>
          <w:color w:val="974705"/>
        </w:rPr>
        <w:tab/>
      </w:r>
      <w:r>
        <w:rPr>
          <w:b/>
          <w:bCs/>
          <w:i/>
          <w:iCs/>
          <w:color w:val="974705"/>
        </w:rPr>
        <w:t>Na</w:t>
      </w:r>
      <w:r>
        <w:rPr>
          <w:b/>
          <w:bCs/>
          <w:i/>
          <w:iCs/>
          <w:color w:val="974705"/>
          <w:spacing w:val="-3"/>
        </w:rPr>
        <w:t>r</w:t>
      </w:r>
      <w:r>
        <w:rPr>
          <w:b/>
          <w:bCs/>
          <w:i/>
          <w:iCs/>
          <w:color w:val="974705"/>
        </w:rPr>
        <w:t>kot</w:t>
      </w:r>
      <w:r>
        <w:rPr>
          <w:b/>
          <w:bCs/>
          <w:i/>
          <w:iCs/>
          <w:color w:val="974705"/>
          <w:spacing w:val="1"/>
        </w:rPr>
        <w:t>i</w:t>
      </w:r>
      <w:r>
        <w:rPr>
          <w:b/>
          <w:bCs/>
          <w:i/>
          <w:iCs/>
          <w:color w:val="974705"/>
        </w:rPr>
        <w:t>kų</w:t>
      </w:r>
      <w:r>
        <w:rPr>
          <w:b/>
          <w:bCs/>
          <w:i/>
          <w:iCs/>
          <w:color w:val="974705"/>
          <w:spacing w:val="3"/>
        </w:rPr>
        <w:t xml:space="preserve"> </w:t>
      </w:r>
      <w:r>
        <w:rPr>
          <w:b/>
          <w:bCs/>
          <w:i/>
          <w:iCs/>
          <w:color w:val="974705"/>
          <w:spacing w:val="-2"/>
        </w:rPr>
        <w:t>r</w:t>
      </w:r>
      <w:r>
        <w:rPr>
          <w:b/>
          <w:bCs/>
          <w:i/>
          <w:iCs/>
          <w:color w:val="974705"/>
          <w:spacing w:val="1"/>
        </w:rPr>
        <w:t>ū</w:t>
      </w:r>
      <w:r>
        <w:rPr>
          <w:b/>
          <w:bCs/>
          <w:i/>
          <w:iCs/>
          <w:color w:val="974705"/>
          <w:spacing w:val="-2"/>
        </w:rPr>
        <w:t>š</w:t>
      </w:r>
      <w:r>
        <w:rPr>
          <w:b/>
          <w:bCs/>
          <w:i/>
          <w:iCs/>
          <w:color w:val="974705"/>
          <w:spacing w:val="-1"/>
        </w:rPr>
        <w:t>ys</w:t>
      </w:r>
      <w:r>
        <w:rPr>
          <w:color w:val="974705"/>
        </w:rPr>
        <w:t>:</w:t>
      </w:r>
    </w:p>
    <w:p w:rsidR="004F7425" w:rsidRDefault="004F7425" w:rsidP="004F7425">
      <w:pPr>
        <w:widowControl w:val="0"/>
        <w:autoSpaceDE w:val="0"/>
        <w:autoSpaceDN w:val="0"/>
        <w:adjustRightInd w:val="0"/>
        <w:spacing w:before="40"/>
        <w:ind w:left="340" w:right="-81"/>
        <w:rPr>
          <w:color w:val="000000"/>
        </w:rPr>
      </w:pPr>
      <w:r>
        <w:rPr>
          <w:noProof/>
          <w:lang w:eastAsia="lt-LT"/>
        </w:rPr>
        <mc:AlternateContent>
          <mc:Choice Requires="wpg">
            <w:drawing>
              <wp:anchor distT="0" distB="0" distL="114300" distR="114300" simplePos="0" relativeHeight="251759616" behindDoc="1" locked="0" layoutInCell="0" allowOverlap="1">
                <wp:simplePos x="0" y="0"/>
                <wp:positionH relativeFrom="page">
                  <wp:posOffset>3488690</wp:posOffset>
                </wp:positionH>
                <wp:positionV relativeFrom="paragraph">
                  <wp:posOffset>156845</wp:posOffset>
                </wp:positionV>
                <wp:extent cx="3647440" cy="2220595"/>
                <wp:effectExtent l="2540" t="5715" r="7620" b="2540"/>
                <wp:wrapNone/>
                <wp:docPr id="121" name="Grupė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7440" cy="2220595"/>
                          <a:chOff x="5494" y="247"/>
                          <a:chExt cx="5744" cy="3497"/>
                        </a:xfrm>
                      </wpg:grpSpPr>
                      <wps:wsp>
                        <wps:cNvPr id="123" name="Rectangle 327"/>
                        <wps:cNvSpPr>
                          <a:spLocks noChangeArrowheads="1"/>
                        </wps:cNvSpPr>
                        <wps:spPr bwMode="auto">
                          <a:xfrm>
                            <a:off x="5696" y="1263"/>
                            <a:ext cx="5140" cy="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1760" w:lineRule="atLeast"/>
                              </w:pPr>
                              <w:r>
                                <w:rPr>
                                  <w:noProof/>
                                  <w:lang w:eastAsia="lt-LT"/>
                                </w:rPr>
                                <w:drawing>
                                  <wp:inline distT="0" distB="0" distL="0" distR="0" wp14:anchorId="281175EE" wp14:editId="40E5E95A">
                                    <wp:extent cx="3276600" cy="1123950"/>
                                    <wp:effectExtent l="0" t="0" r="0" b="0"/>
                                    <wp:docPr id="402" name="Paveikslėlis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3276600" cy="11239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wps:wsp>
                        <wps:cNvPr id="124" name="Freeform 328"/>
                        <wps:cNvSpPr>
                          <a:spLocks/>
                        </wps:cNvSpPr>
                        <wps:spPr bwMode="auto">
                          <a:xfrm>
                            <a:off x="7047" y="1419"/>
                            <a:ext cx="75" cy="138"/>
                          </a:xfrm>
                          <a:custGeom>
                            <a:avLst/>
                            <a:gdLst>
                              <a:gd name="T0" fmla="*/ 75 w 75"/>
                              <a:gd name="T1" fmla="*/ 137 h 138"/>
                              <a:gd name="T2" fmla="*/ 0 w 75"/>
                              <a:gd name="T3" fmla="*/ 0 h 138"/>
                            </a:gdLst>
                            <a:ahLst/>
                            <a:cxnLst>
                              <a:cxn ang="0">
                                <a:pos x="T0" y="T1"/>
                              </a:cxn>
                              <a:cxn ang="0">
                                <a:pos x="T2" y="T3"/>
                              </a:cxn>
                            </a:cxnLst>
                            <a:rect l="0" t="0" r="r" b="b"/>
                            <a:pathLst>
                              <a:path w="75" h="138">
                                <a:moveTo>
                                  <a:pt x="75" y="137"/>
                                </a:moveTo>
                                <a:lnTo>
                                  <a:pt x="0" y="0"/>
                                </a:lnTo>
                              </a:path>
                            </a:pathLst>
                          </a:custGeom>
                          <a:noFill/>
                          <a:ln w="798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329"/>
                        <wps:cNvSpPr>
                          <a:spLocks/>
                        </wps:cNvSpPr>
                        <wps:spPr bwMode="auto">
                          <a:xfrm>
                            <a:off x="9083" y="1156"/>
                            <a:ext cx="20" cy="238"/>
                          </a:xfrm>
                          <a:custGeom>
                            <a:avLst/>
                            <a:gdLst>
                              <a:gd name="T0" fmla="*/ 0 w 20"/>
                              <a:gd name="T1" fmla="*/ 0 h 238"/>
                              <a:gd name="T2" fmla="*/ 0 w 20"/>
                              <a:gd name="T3" fmla="*/ 237 h 238"/>
                            </a:gdLst>
                            <a:ahLst/>
                            <a:cxnLst>
                              <a:cxn ang="0">
                                <a:pos x="T0" y="T1"/>
                              </a:cxn>
                              <a:cxn ang="0">
                                <a:pos x="T2" y="T3"/>
                              </a:cxn>
                            </a:cxnLst>
                            <a:rect l="0" t="0" r="r" b="b"/>
                            <a:pathLst>
                              <a:path w="20" h="238">
                                <a:moveTo>
                                  <a:pt x="0" y="0"/>
                                </a:moveTo>
                                <a:lnTo>
                                  <a:pt x="0" y="237"/>
                                </a:lnTo>
                              </a:path>
                            </a:pathLst>
                          </a:custGeom>
                          <a:noFill/>
                          <a:ln w="638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330"/>
                        <wps:cNvSpPr>
                          <a:spLocks/>
                        </wps:cNvSpPr>
                        <wps:spPr bwMode="auto">
                          <a:xfrm>
                            <a:off x="9133" y="1156"/>
                            <a:ext cx="88" cy="20"/>
                          </a:xfrm>
                          <a:custGeom>
                            <a:avLst/>
                            <a:gdLst>
                              <a:gd name="T0" fmla="*/ 0 w 88"/>
                              <a:gd name="T1" fmla="*/ 0 h 20"/>
                              <a:gd name="T2" fmla="*/ 87 w 88"/>
                              <a:gd name="T3" fmla="*/ 0 h 20"/>
                            </a:gdLst>
                            <a:ahLst/>
                            <a:cxnLst>
                              <a:cxn ang="0">
                                <a:pos x="T0" y="T1"/>
                              </a:cxn>
                              <a:cxn ang="0">
                                <a:pos x="T2" y="T3"/>
                              </a:cxn>
                            </a:cxnLst>
                            <a:rect l="0" t="0" r="r" b="b"/>
                            <a:pathLst>
                              <a:path w="88" h="20">
                                <a:moveTo>
                                  <a:pt x="0" y="0"/>
                                </a:moveTo>
                                <a:lnTo>
                                  <a:pt x="87" y="0"/>
                                </a:lnTo>
                              </a:path>
                            </a:pathLst>
                          </a:custGeom>
                          <a:noFill/>
                          <a:ln w="79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 name="Freeform 331"/>
                        <wps:cNvSpPr>
                          <a:spLocks/>
                        </wps:cNvSpPr>
                        <wps:spPr bwMode="auto">
                          <a:xfrm>
                            <a:off x="9648" y="2008"/>
                            <a:ext cx="227" cy="451"/>
                          </a:xfrm>
                          <a:custGeom>
                            <a:avLst/>
                            <a:gdLst>
                              <a:gd name="T0" fmla="*/ 0 w 227"/>
                              <a:gd name="T1" fmla="*/ 451 h 451"/>
                              <a:gd name="T2" fmla="*/ 226 w 227"/>
                              <a:gd name="T3" fmla="*/ 0 h 451"/>
                            </a:gdLst>
                            <a:ahLst/>
                            <a:cxnLst>
                              <a:cxn ang="0">
                                <a:pos x="T0" y="T1"/>
                              </a:cxn>
                              <a:cxn ang="0">
                                <a:pos x="T2" y="T3"/>
                              </a:cxn>
                            </a:cxnLst>
                            <a:rect l="0" t="0" r="r" b="b"/>
                            <a:pathLst>
                              <a:path w="227" h="451">
                                <a:moveTo>
                                  <a:pt x="0" y="451"/>
                                </a:moveTo>
                                <a:lnTo>
                                  <a:pt x="226" y="0"/>
                                </a:lnTo>
                              </a:path>
                            </a:pathLst>
                          </a:custGeom>
                          <a:noFill/>
                          <a:ln w="79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332"/>
                        <wps:cNvSpPr>
                          <a:spLocks/>
                        </wps:cNvSpPr>
                        <wps:spPr bwMode="auto">
                          <a:xfrm>
                            <a:off x="9875" y="2008"/>
                            <a:ext cx="87" cy="20"/>
                          </a:xfrm>
                          <a:custGeom>
                            <a:avLst/>
                            <a:gdLst>
                              <a:gd name="T0" fmla="*/ 0 w 87"/>
                              <a:gd name="T1" fmla="*/ 0 h 20"/>
                              <a:gd name="T2" fmla="*/ 87 w 87"/>
                              <a:gd name="T3" fmla="*/ 0 h 20"/>
                            </a:gdLst>
                            <a:ahLst/>
                            <a:cxnLst>
                              <a:cxn ang="0">
                                <a:pos x="T0" y="T1"/>
                              </a:cxn>
                              <a:cxn ang="0">
                                <a:pos x="T2" y="T3"/>
                              </a:cxn>
                            </a:cxnLst>
                            <a:rect l="0" t="0" r="r" b="b"/>
                            <a:pathLst>
                              <a:path w="87" h="20">
                                <a:moveTo>
                                  <a:pt x="0" y="0"/>
                                </a:moveTo>
                                <a:lnTo>
                                  <a:pt x="87" y="0"/>
                                </a:lnTo>
                              </a:path>
                            </a:pathLst>
                          </a:custGeom>
                          <a:noFill/>
                          <a:ln w="79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Freeform 333"/>
                        <wps:cNvSpPr>
                          <a:spLocks/>
                        </wps:cNvSpPr>
                        <wps:spPr bwMode="auto">
                          <a:xfrm>
                            <a:off x="9460" y="2729"/>
                            <a:ext cx="327" cy="20"/>
                          </a:xfrm>
                          <a:custGeom>
                            <a:avLst/>
                            <a:gdLst>
                              <a:gd name="T0" fmla="*/ 0 w 327"/>
                              <a:gd name="T1" fmla="*/ 0 h 20"/>
                              <a:gd name="T2" fmla="*/ 326 w 327"/>
                              <a:gd name="T3" fmla="*/ 0 h 20"/>
                            </a:gdLst>
                            <a:ahLst/>
                            <a:cxnLst>
                              <a:cxn ang="0">
                                <a:pos x="T0" y="T1"/>
                              </a:cxn>
                              <a:cxn ang="0">
                                <a:pos x="T2" y="T3"/>
                              </a:cxn>
                            </a:cxnLst>
                            <a:rect l="0" t="0" r="r" b="b"/>
                            <a:pathLst>
                              <a:path w="327" h="20">
                                <a:moveTo>
                                  <a:pt x="0" y="0"/>
                                </a:moveTo>
                                <a:lnTo>
                                  <a:pt x="326" y="0"/>
                                </a:lnTo>
                              </a:path>
                            </a:pathLst>
                          </a:custGeom>
                          <a:noFill/>
                          <a:ln w="7162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Freeform 334"/>
                        <wps:cNvSpPr>
                          <a:spLocks/>
                        </wps:cNvSpPr>
                        <wps:spPr bwMode="auto">
                          <a:xfrm>
                            <a:off x="9787" y="2785"/>
                            <a:ext cx="88" cy="20"/>
                          </a:xfrm>
                          <a:custGeom>
                            <a:avLst/>
                            <a:gdLst>
                              <a:gd name="T0" fmla="*/ 0 w 88"/>
                              <a:gd name="T1" fmla="*/ 0 h 20"/>
                              <a:gd name="T2" fmla="*/ 87 w 88"/>
                              <a:gd name="T3" fmla="*/ 0 h 20"/>
                            </a:gdLst>
                            <a:ahLst/>
                            <a:cxnLst>
                              <a:cxn ang="0">
                                <a:pos x="T0" y="T1"/>
                              </a:cxn>
                              <a:cxn ang="0">
                                <a:pos x="T2" y="T3"/>
                              </a:cxn>
                            </a:cxnLst>
                            <a:rect l="0" t="0" r="r" b="b"/>
                            <a:pathLst>
                              <a:path w="88" h="20">
                                <a:moveTo>
                                  <a:pt x="0" y="0"/>
                                </a:moveTo>
                                <a:lnTo>
                                  <a:pt x="87" y="0"/>
                                </a:lnTo>
                              </a:path>
                            </a:pathLst>
                          </a:custGeom>
                          <a:noFill/>
                          <a:ln w="79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Freeform 335"/>
                        <wps:cNvSpPr>
                          <a:spLocks/>
                        </wps:cNvSpPr>
                        <wps:spPr bwMode="auto">
                          <a:xfrm>
                            <a:off x="8907" y="2923"/>
                            <a:ext cx="20" cy="213"/>
                          </a:xfrm>
                          <a:custGeom>
                            <a:avLst/>
                            <a:gdLst>
                              <a:gd name="T0" fmla="*/ 0 w 20"/>
                              <a:gd name="T1" fmla="*/ 0 h 213"/>
                              <a:gd name="T2" fmla="*/ 0 w 20"/>
                              <a:gd name="T3" fmla="*/ 213 h 213"/>
                            </a:gdLst>
                            <a:ahLst/>
                            <a:cxnLst>
                              <a:cxn ang="0">
                                <a:pos x="T0" y="T1"/>
                              </a:cxn>
                              <a:cxn ang="0">
                                <a:pos x="T2" y="T3"/>
                              </a:cxn>
                            </a:cxnLst>
                            <a:rect l="0" t="0" r="r" b="b"/>
                            <a:pathLst>
                              <a:path w="20" h="213">
                                <a:moveTo>
                                  <a:pt x="0" y="0"/>
                                </a:moveTo>
                                <a:lnTo>
                                  <a:pt x="0" y="213"/>
                                </a:lnTo>
                              </a:path>
                            </a:pathLst>
                          </a:custGeom>
                          <a:noFill/>
                          <a:ln w="79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Freeform 336"/>
                        <wps:cNvSpPr>
                          <a:spLocks/>
                        </wps:cNvSpPr>
                        <wps:spPr bwMode="auto">
                          <a:xfrm>
                            <a:off x="7688" y="2935"/>
                            <a:ext cx="20" cy="226"/>
                          </a:xfrm>
                          <a:custGeom>
                            <a:avLst/>
                            <a:gdLst>
                              <a:gd name="T0" fmla="*/ 0 w 20"/>
                              <a:gd name="T1" fmla="*/ 0 h 226"/>
                              <a:gd name="T2" fmla="*/ 0 w 20"/>
                              <a:gd name="T3" fmla="*/ 225 h 226"/>
                            </a:gdLst>
                            <a:ahLst/>
                            <a:cxnLst>
                              <a:cxn ang="0">
                                <a:pos x="T0" y="T1"/>
                              </a:cxn>
                              <a:cxn ang="0">
                                <a:pos x="T2" y="T3"/>
                              </a:cxn>
                            </a:cxnLst>
                            <a:rect l="0" t="0" r="r" b="b"/>
                            <a:pathLst>
                              <a:path w="20" h="226">
                                <a:moveTo>
                                  <a:pt x="0" y="0"/>
                                </a:moveTo>
                                <a:lnTo>
                                  <a:pt x="0" y="225"/>
                                </a:lnTo>
                              </a:path>
                            </a:pathLst>
                          </a:custGeom>
                          <a:noFill/>
                          <a:ln w="79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 name="Freeform 337"/>
                        <wps:cNvSpPr>
                          <a:spLocks/>
                        </wps:cNvSpPr>
                        <wps:spPr bwMode="auto">
                          <a:xfrm>
                            <a:off x="7047" y="2647"/>
                            <a:ext cx="20" cy="627"/>
                          </a:xfrm>
                          <a:custGeom>
                            <a:avLst/>
                            <a:gdLst>
                              <a:gd name="T0" fmla="*/ 12 w 20"/>
                              <a:gd name="T1" fmla="*/ 0 h 627"/>
                              <a:gd name="T2" fmla="*/ 0 w 20"/>
                              <a:gd name="T3" fmla="*/ 626 h 627"/>
                            </a:gdLst>
                            <a:ahLst/>
                            <a:cxnLst>
                              <a:cxn ang="0">
                                <a:pos x="T0" y="T1"/>
                              </a:cxn>
                              <a:cxn ang="0">
                                <a:pos x="T2" y="T3"/>
                              </a:cxn>
                            </a:cxnLst>
                            <a:rect l="0" t="0" r="r" b="b"/>
                            <a:pathLst>
                              <a:path w="20" h="627">
                                <a:moveTo>
                                  <a:pt x="12" y="0"/>
                                </a:moveTo>
                                <a:lnTo>
                                  <a:pt x="0" y="626"/>
                                </a:lnTo>
                              </a:path>
                            </a:pathLst>
                          </a:custGeom>
                          <a:noFill/>
                          <a:ln w="79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Freeform 338"/>
                        <wps:cNvSpPr>
                          <a:spLocks/>
                        </wps:cNvSpPr>
                        <wps:spPr bwMode="auto">
                          <a:xfrm>
                            <a:off x="6946" y="3274"/>
                            <a:ext cx="101" cy="20"/>
                          </a:xfrm>
                          <a:custGeom>
                            <a:avLst/>
                            <a:gdLst>
                              <a:gd name="T0" fmla="*/ 100 w 101"/>
                              <a:gd name="T1" fmla="*/ 0 h 20"/>
                              <a:gd name="T2" fmla="*/ 0 w 101"/>
                              <a:gd name="T3" fmla="*/ 0 h 20"/>
                            </a:gdLst>
                            <a:ahLst/>
                            <a:cxnLst>
                              <a:cxn ang="0">
                                <a:pos x="T0" y="T1"/>
                              </a:cxn>
                              <a:cxn ang="0">
                                <a:pos x="T2" y="T3"/>
                              </a:cxn>
                            </a:cxnLst>
                            <a:rect l="0" t="0" r="r" b="b"/>
                            <a:pathLst>
                              <a:path w="101" h="20">
                                <a:moveTo>
                                  <a:pt x="100" y="0"/>
                                </a:moveTo>
                                <a:lnTo>
                                  <a:pt x="0" y="0"/>
                                </a:lnTo>
                              </a:path>
                            </a:pathLst>
                          </a:custGeom>
                          <a:noFill/>
                          <a:ln w="79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 name="Freeform 339"/>
                        <wps:cNvSpPr>
                          <a:spLocks/>
                        </wps:cNvSpPr>
                        <wps:spPr bwMode="auto">
                          <a:xfrm>
                            <a:off x="6695" y="2484"/>
                            <a:ext cx="213" cy="163"/>
                          </a:xfrm>
                          <a:custGeom>
                            <a:avLst/>
                            <a:gdLst>
                              <a:gd name="T0" fmla="*/ 213 w 213"/>
                              <a:gd name="T1" fmla="*/ 0 h 163"/>
                              <a:gd name="T2" fmla="*/ 0 w 213"/>
                              <a:gd name="T3" fmla="*/ 162 h 163"/>
                            </a:gdLst>
                            <a:ahLst/>
                            <a:cxnLst>
                              <a:cxn ang="0">
                                <a:pos x="T0" y="T1"/>
                              </a:cxn>
                              <a:cxn ang="0">
                                <a:pos x="T2" y="T3"/>
                              </a:cxn>
                            </a:cxnLst>
                            <a:rect l="0" t="0" r="r" b="b"/>
                            <a:pathLst>
                              <a:path w="213" h="163">
                                <a:moveTo>
                                  <a:pt x="213" y="0"/>
                                </a:moveTo>
                                <a:lnTo>
                                  <a:pt x="0" y="162"/>
                                </a:lnTo>
                              </a:path>
                            </a:pathLst>
                          </a:custGeom>
                          <a:noFill/>
                          <a:ln w="797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340"/>
                        <wps:cNvSpPr>
                          <a:spLocks/>
                        </wps:cNvSpPr>
                        <wps:spPr bwMode="auto">
                          <a:xfrm>
                            <a:off x="6594" y="2647"/>
                            <a:ext cx="101" cy="20"/>
                          </a:xfrm>
                          <a:custGeom>
                            <a:avLst/>
                            <a:gdLst>
                              <a:gd name="T0" fmla="*/ 100 w 101"/>
                              <a:gd name="T1" fmla="*/ 0 h 20"/>
                              <a:gd name="T2" fmla="*/ 0 w 101"/>
                              <a:gd name="T3" fmla="*/ 0 h 20"/>
                            </a:gdLst>
                            <a:ahLst/>
                            <a:cxnLst>
                              <a:cxn ang="0">
                                <a:pos x="T0" y="T1"/>
                              </a:cxn>
                              <a:cxn ang="0">
                                <a:pos x="T2" y="T3"/>
                              </a:cxn>
                            </a:cxnLst>
                            <a:rect l="0" t="0" r="r" b="b"/>
                            <a:pathLst>
                              <a:path w="101" h="20">
                                <a:moveTo>
                                  <a:pt x="100" y="0"/>
                                </a:moveTo>
                                <a:lnTo>
                                  <a:pt x="0" y="0"/>
                                </a:lnTo>
                              </a:path>
                            </a:pathLst>
                          </a:custGeom>
                          <a:noFill/>
                          <a:ln w="79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 name="Rectangle 341"/>
                        <wps:cNvSpPr>
                          <a:spLocks/>
                        </wps:cNvSpPr>
                        <wps:spPr bwMode="auto">
                          <a:xfrm>
                            <a:off x="5501" y="254"/>
                            <a:ext cx="5731" cy="3483"/>
                          </a:xfrm>
                          <a:prstGeom prst="rect">
                            <a:avLst/>
                          </a:prstGeom>
                          <a:noFill/>
                          <a:ln w="7971">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ė 121" o:spid="_x0000_s1144" style="position:absolute;left:0;text-align:left;margin-left:274.7pt;margin-top:12.35pt;width:287.2pt;height:174.85pt;z-index:-251556864;mso-position-horizontal-relative:page" coordorigin="5494,247" coordsize="5744,3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" o:allowincell="f">
                <v:rect id="Rectangle 327" o:spid="_x0000_s1145" style="position:absolute;left:5696;top:1263;width:5140;height:1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LxsIA&#10;AADcAAAADwAAAGRycy9kb3ducmV2LnhtbERPS4vCMBC+C/6HMII3Te1h0a5RZFX0uD6g621oxrZs&#10;MylN1tb99UYQvM3H95z5sjOVuFHjSssKJuMIBHFmdcm5gvNpO5qCcB5ZY2WZFNzJwXLR780x0bbl&#10;A92OPhchhF2CCgrv60RKlxVk0I1tTRy4q20M+gCbXOoG2xBuKhlH0Yc0WHJoKLCmr4Ky3+OfUbCb&#10;1qufvf1v82pz2aXf6Wx9mnmlhoNu9QnCU+ff4pd7r8P8OIbnM+EC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EIvGwgAAANwAAAAPAAAAAAAAAAAAAAAAAJgCAABkcnMvZG93&#10;bnJldi54bWxQSwUGAAAAAAQABAD1AAAAhwMAAAAA&#10;" filled="f" stroked="f">
                  <v:textbox inset="0,0,0,0">
                    <w:txbxContent>
                      <w:p w:rsidR="004F7425" w:rsidRDefault="004F7425" w:rsidP="004F7425">
                        <w:pPr>
                          <w:spacing w:line="1760" w:lineRule="atLeast"/>
                        </w:pPr>
                        <w:r>
                          <w:rPr>
                            <w:noProof/>
                            <w:lang w:eastAsia="lt-LT"/>
                          </w:rPr>
                          <w:drawing>
                            <wp:inline distT="0" distB="0" distL="0" distR="0" wp14:anchorId="281175EE" wp14:editId="40E5E95A">
                              <wp:extent cx="3276600" cy="1123950"/>
                              <wp:effectExtent l="0" t="0" r="0" b="0"/>
                              <wp:docPr id="402" name="Paveikslėlis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3276600" cy="1123950"/>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v:rect>
                <v:shape id="Freeform 328" o:spid="_x0000_s1146" style="position:absolute;left:7047;top:1419;width:75;height:138;visibility:visible;mso-wrap-style:square;v-text-anchor:top" coordsize="75,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POfMIA&#10;AADcAAAADwAAAGRycy9kb3ducmV2LnhtbERPzYrCMBC+C75DGMGbprawSDWKCiu668XqAwzN2Fab&#10;SW2yWt9+s7DgbT6+35kvO1OLB7WusqxgMo5AEOdWV1woOJ8+R1MQziNrrC2Tghc5WC76vTmm2j75&#10;SI/MFyKEsEtRQel9k0rp8pIMurFtiAN3sa1BH2BbSN3iM4SbWsZR9CENVhwaSmxoU1J+y36MgvUl&#10;uX35zTZOane63r/z/fawbpQaDrrVDISnzr/F/+6dDvPjBP6eCRfI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U858wgAAANwAAAAPAAAAAAAAAAAAAAAAAJgCAABkcnMvZG93&#10;bnJldi54bWxQSwUGAAAAAAQABAD1AAAAhwMAAAAA&#10;" path="m75,137l,e" filled="f" strokeweight=".22175mm">
                  <v:path arrowok="t" o:connecttype="custom" o:connectlocs="75,137;0,0" o:connectangles="0,0"/>
                </v:shape>
                <v:shape id="Freeform 329" o:spid="_x0000_s1147" style="position:absolute;left:9083;top:1156;width:20;height:238;visibility:visible;mso-wrap-style:square;v-text-anchor:top" coordsize="20,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H2/sIA&#10;AADcAAAADwAAAGRycy9kb3ducmV2LnhtbERPS2sCMRC+F/ofwhS81WzXUspqXEpB0IOValGPQzL7&#10;oJvJsoka/70pFLzNx/ecWRltJ840+NaxgpdxBoJYO9NyreBnt3h+B+EDssHOMSm4kody/vgww8K4&#10;C3/TeRtqkULYF6igCaEvpPS6IYt+7HrixFVusBgSHGppBrykcNvJPMvepMWWU0ODPX02pH+3J6vg&#10;WE3012GxcXu9W/p1vYqx6qNSo6f4MQURKIa7+N+9NGl+/gp/z6QL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fb+wgAAANwAAAAPAAAAAAAAAAAAAAAAAJgCAABkcnMvZG93&#10;bnJldi54bWxQSwUGAAAAAAQABAD1AAAAhwMAAAAA&#10;" path="m,l,237e" filled="f" strokeweight="1.77403mm">
                  <v:path arrowok="t" o:connecttype="custom" o:connectlocs="0,0;0,237" o:connectangles="0,0"/>
                </v:shape>
                <v:shape id="Freeform 330" o:spid="_x0000_s1148" style="position:absolute;left:9133;top:1156;width:88;height:20;visibility:visible;mso-wrap-style:square;v-text-anchor:top" coordsize="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rc8EA&#10;AADcAAAADwAAAGRycy9kb3ducmV2LnhtbERPTWvCQBC9F/wPywi9NZtKG9roKqJU9KiGnqfZMQnN&#10;zobs1mz+vVsQvM3jfc5iFUwrrtS7xrKC1yQFQVxa3XCloDh/vXyAcB5ZY2uZFIzkYLWcPC0w13bg&#10;I11PvhIxhF2OCmrvu1xKV9Zk0CW2I47cxfYGfYR9JXWPQww3rZylaSYNNhwbauxoU1P5e/ozCsLb&#10;/jtQ+jnujpsfj8UhO3TbTKnnaVjPQXgK/iG+u/c6zp+9w/8z8QK5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Dq3PBAAAA3AAAAA8AAAAAAAAAAAAAAAAAmAIAAGRycy9kb3du&#10;cmV2LnhtbFBLBQYAAAAABAAEAPUAAACGAwAAAAA=&#10;" path="m,l87,e" filled="f" strokeweight=".22125mm">
                  <v:path arrowok="t" o:connecttype="custom" o:connectlocs="0,0;87,0" o:connectangles="0,0"/>
                </v:shape>
                <v:shape id="Freeform 331" o:spid="_x0000_s1149" style="position:absolute;left:9648;top:2008;width:227;height:451;visibility:visible;mso-wrap-style:square;v-text-anchor:top" coordsize="227,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UZ7MIA&#10;AADcAAAADwAAAGRycy9kb3ducmV2LnhtbERPzWoCMRC+F/oOYQq91Ww9iKxGKaLFgyB19wHGzXQ3&#10;7GaSJqm7fXtTKPQ2H9/vrLeTHcSNQjSOFbzOChDEjdOGWwV1dXhZgogJWePgmBT8UITt5vFhjaV2&#10;I3/Q7ZJakUM4lqigS8mXUsamI4tx5jxx5j5dsJgyDK3UAcccbgc5L4qFtGg4N3ToaddR01++rYK0&#10;NH3l6/Nemq/3gz9V17HXQannp+ltBSLRlP7Ff+6jzvPnC/h9Jl8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NRnswgAAANwAAAAPAAAAAAAAAAAAAAAAAJgCAABkcnMvZG93&#10;bnJldi54bWxQSwUGAAAAAAQABAD1AAAAhwMAAAAA&#10;" path="m,451l226,e" filled="f" strokeweight=".22178mm">
                  <v:path arrowok="t" o:connecttype="custom" o:connectlocs="0,451;226,0" o:connectangles="0,0"/>
                </v:shape>
                <v:shape id="Freeform 332" o:spid="_x0000_s1150" style="position:absolute;left:9875;top:2008;width:87;height:20;visibility:visible;mso-wrap-style:square;v-text-anchor:top" coordsize="8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ZqhsIA&#10;AADcAAAADwAAAGRycy9kb3ducmV2LnhtbERP24rCMBB9F/Yfwizsi6ypClW6RlkWipc3qx8wNmNb&#10;bCalibbr1xtB8G0O5zqLVW9qcaPWVZYVjEcRCOLc6ooLBcdD+j0H4TyyxtoyKfgnB6vlx2CBibYd&#10;7+mW+UKEEHYJKii9bxIpXV6SQTeyDXHgzrY16ANsC6lb7EK4qeUkimJpsOLQUGJDfyXll+xqFDTp&#10;braLXXxYD++n0zTddsOxLpT6+ux/f0B46v1b/HJvdJg/mcHzmXCB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mqGwgAAANwAAAAPAAAAAAAAAAAAAAAAAJgCAABkcnMvZG93&#10;bnJldi54bWxQSwUGAAAAAAQABAD1AAAAhwMAAAAA&#10;" path="m,l87,e" filled="f" strokeweight=".22125mm">
                  <v:path arrowok="t" o:connecttype="custom" o:connectlocs="0,0;87,0" o:connectangles="0,0"/>
                </v:shape>
                <v:shape id="Freeform 333" o:spid="_x0000_s1151" style="position:absolute;left:9460;top:2729;width:327;height:20;visibility:visible;mso-wrap-style:square;v-text-anchor:top" coordsize="3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rsFcYA&#10;AADcAAAADwAAAGRycy9kb3ducmV2LnhtbESPQW/CMAyF75P4D5EncRvpOMDUEdAEGuIwTYyhnr3G&#10;tBWNUyUZ7fbr8QGJm633/N7nxWpwrbpQiI1nA8+TDBRx6W3DlYHj9/vTC6iYkC22nsnAH0VYLUcP&#10;C8yt7/mLLodUKQnhmKOBOqUu1zqWNTmME98Ri3bywWGSNVTaBuwl3LV6mmUz7bBhaaixo3VN5fnw&#10;6wzM98fzpvs8/Rc//XpfhFncFtsPY8aPw9srqERDuptv1zsr+FOhlWdkAr2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rsFcYAAADcAAAADwAAAAAAAAAAAAAAAACYAgAAZHJz&#10;L2Rvd25yZXYueG1sUEsFBgAAAAAEAAQA9QAAAIsDAAAAAA==&#10;" path="m,l326,e" filled="f" strokeweight="1.9895mm">
                  <v:path arrowok="t" o:connecttype="custom" o:connectlocs="0,0;326,0" o:connectangles="0,0"/>
                </v:shape>
                <v:shape id="Freeform 334" o:spid="_x0000_s1152" style="position:absolute;left:9787;top:2785;width:88;height:20;visibility:visible;mso-wrap-style:square;v-text-anchor:top" coordsize="8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6hdsEA&#10;AADcAAAADwAAAGRycy9kb3ducmV2LnhtbERPS2vCQBC+F/wPyxR6q5uKhBpdpSiVePSB5zE7JqHZ&#10;2ZDdJpt/3xWE3ubje85qE0wjeupcbVnBxzQBQVxYXXOp4HL+fv8E4TyyxsYyKRjJwWY9eVlhpu3A&#10;R+pPvhQxhF2GCirv20xKV1Rk0E1tSxy5u+0M+gi7UuoOhxhuGjlLklQarDk2VNjStqLi5/RrFIR5&#10;fg2ULMb9cXvzeDmkh3aXKvX2Gr6WIDwF/y9+unMd588W8HgmXi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OoXbBAAAA3AAAAA8AAAAAAAAAAAAAAAAAmAIAAGRycy9kb3du&#10;cmV2LnhtbFBLBQYAAAAABAAEAPUAAACGAwAAAAA=&#10;" path="m,l87,e" filled="f" strokeweight=".22125mm">
                  <v:path arrowok="t" o:connecttype="custom" o:connectlocs="0,0;87,0" o:connectangles="0,0"/>
                </v:shape>
                <v:shape id="Freeform 335" o:spid="_x0000_s1153" style="position:absolute;left:8907;top:2923;width:20;height:213;visibility:visible;mso-wrap-style:square;v-text-anchor:top" coordsize="2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QgH8YA&#10;AADcAAAADwAAAGRycy9kb3ducmV2LnhtbESPS2sDMQyE74X+B6NCLyXxpi0h2cQJaaAQaAjkAbmK&#10;tfbR2vKydjfbf18dCr1JzGjm03I9eKd66mIT2MBknIEiLoJtuDJwOb+PZqBiQrboApOBH4qwXt3f&#10;LTG34cZH6k+pUhLCMUcDdUptrnUsavIYx6ElFq0Mnccka1dp2+FNwr3Tz1k21R4bloYaW9rWVHyd&#10;vr2BonzbXzJ3eJq/0v5zd6X+Y+tKYx4fhs0CVKIh/Zv/rndW8F8EX56RC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7QgH8YAAADcAAAADwAAAAAAAAAAAAAAAACYAgAAZHJz&#10;L2Rvd25yZXYueG1sUEsFBgAAAAAEAAQA9QAAAIsDAAAAAA==&#10;" path="m,l,213e" filled="f" strokeweight=".22192mm">
                  <v:path arrowok="t" o:connecttype="custom" o:connectlocs="0,0;0,213" o:connectangles="0,0"/>
                </v:shape>
                <v:shape id="Freeform 336" o:spid="_x0000_s1154" style="position:absolute;left:7688;top:2935;width:20;height:226;visibility:visible;mso-wrap-style:square;v-text-anchor:top" coordsize="20,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rYMMA&#10;AADcAAAADwAAAGRycy9kb3ducmV2LnhtbERPTWvCQBC9C/0PywheRDexIBJdRZSI3qoWeh2y0yQ2&#10;O7vNrpr213cLgrd5vM9ZrDrTiBu1vrasIB0nIIgLq2suFbyf89EMhA/IGhvLpOCHPKyWL70FZtre&#10;+Ui3UyhFDGGfoYIqBJdJ6YuKDPqxdcSR+7StwRBhW0rd4j2Gm0ZOkmQqDdYcGyp0tKmo+DpdjYLf&#10;65uddt/DdHfJ3e5wyLfuY3NRatDv1nMQgbrwFD/cex3nv6bw/0y8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WrYMMAAADcAAAADwAAAAAAAAAAAAAAAACYAgAAZHJzL2Rv&#10;d25yZXYueG1sUEsFBgAAAAAEAAQA9QAAAIgDAAAAAA==&#10;" path="m,l,225e" filled="f" strokeweight=".22192mm">
                  <v:path arrowok="t" o:connecttype="custom" o:connectlocs="0,0;0,225" o:connectangles="0,0"/>
                </v:shape>
                <v:shape id="Freeform 337" o:spid="_x0000_s1155" style="position:absolute;left:7047;top:2647;width:20;height:627;visibility:visible;mso-wrap-style:square;v-text-anchor:top" coordsize="20,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ETBsMA&#10;AADcAAAADwAAAGRycy9kb3ducmV2LnhtbERPTWvCQBC9F/wPywheSt3EFpXUVYpaEETEKD1Ps2MS&#10;m50N2VXjv3eFgrd5vM+ZzFpTiQs1rrSsIO5HIIgzq0vOFRz2329jEM4ja6wsk4IbOZhNOy8TTLS9&#10;8o4uqc9FCGGXoILC+zqR0mUFGXR9WxMH7mgbgz7AJpe6wWsIN5UcRNFQGiw5NBRY07yg7C89GwWL&#10;23z/sT5sf9PX0TDeLE/8E49ZqV63/foE4an1T/G/e6XD/PcBPJ4JF8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uETBsMAAADcAAAADwAAAAAAAAAAAAAAAACYAgAAZHJzL2Rv&#10;d25yZXYueG1sUEsFBgAAAAAEAAQA9QAAAIgDAAAAAA==&#10;" path="m12,l,626e" filled="f" strokeweight=".22192mm">
                  <v:path arrowok="t" o:connecttype="custom" o:connectlocs="12,0;0,626" o:connectangles="0,0"/>
                </v:shape>
                <v:shape id="Freeform 338" o:spid="_x0000_s1156" style="position:absolute;left:6946;top:3274;width:101;height:20;visibility:visible;mso-wrap-style:square;v-text-anchor:top" coordsize="1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Vng8EA&#10;AADcAAAADwAAAGRycy9kb3ducmV2LnhtbERPS2vCQBC+F/wPywi91Y0VSkjdhCrUeitVe59mJw+S&#10;nY27q8Z/7xYEb/PxPWdZjKYXZ3K+taxgPktAEJdWt1wrOOw/X1IQPiBr7C2Tgit5KPLJ0xIzbS/8&#10;Q+ddqEUMYZ+hgiaEIZPSlw0Z9DM7EEeuss5giNDVUju8xHDTy9ckeZMGW44NDQ60bqjsdiejYKy2&#10;X/PNX9ulVbdPeXDH1e/3Uann6fjxDiLQGB7iu3ur4/zFAv6fiRfI/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FZ4PBAAAA3AAAAA8AAAAAAAAAAAAAAAAAmAIAAGRycy9kb3du&#10;cmV2LnhtbFBLBQYAAAAABAAEAPUAAACGAwAAAAA=&#10;" path="m100,l,e" filled="f" strokeweight=".22125mm">
                  <v:path arrowok="t" o:connecttype="custom" o:connectlocs="100,0;0,0" o:connectangles="0,0"/>
                </v:shape>
                <v:shape id="Freeform 339" o:spid="_x0000_s1157" style="position:absolute;left:6695;top:2484;width:213;height:163;visibility:visible;mso-wrap-style:square;v-text-anchor:top" coordsize="213,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3bG8QA&#10;AADcAAAADwAAAGRycy9kb3ducmV2LnhtbERPS2vCQBC+F/wPywi91U1tlZC6Sh8o9VKoitjbkJ0m&#10;0cxsyK6a9td3C4K3+fieM5l1XKsTtb5yYuB+kIAiyZ2tpDCwWc/vUlA+oFisnZCBH/Iwm/ZuJphZ&#10;d5ZPOq1CoWKI+AwNlCE0mdY+L4nRD1xDErlv1zKGCNtC2xbPMZxrPUySsWasJDaU2NBrSflhdWQD&#10;vx9pGKYJv+35hZfb+e5r5BcjY2773fMTqEBduIov7ncb5z88wv8z8Q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d2xvEAAAA3AAAAA8AAAAAAAAAAAAAAAAAmAIAAGRycy9k&#10;b3ducmV2LnhtbFBLBQYAAAAABAAEAPUAAACJAwAAAAA=&#10;" path="m213,l,162e" filled="f" strokeweight=".2215mm">
                  <v:path arrowok="t" o:connecttype="custom" o:connectlocs="213,0;0,162" o:connectangles="0,0"/>
                </v:shape>
                <v:shape id="Freeform 340" o:spid="_x0000_s1158" style="position:absolute;left:6594;top:2647;width:101;height:20;visibility:visible;mso-wrap-style:square;v-text-anchor:top" coordsize="1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BabMEA&#10;AADcAAAADwAAAGRycy9kb3ducmV2LnhtbERPS2sCMRC+F/wPYYTeataKZVmNooVab6U+7uNm9sFu&#10;JmuS6vrvG0HwNh/fc+bL3rTiQs7XlhWMRwkI4tzqmksFh/3XWwrCB2SNrWVScCMPy8XgZY6Ztlf+&#10;pcsulCKGsM9QQRVCl0np84oM+pHtiCNXWGcwROhKqR1eY7hp5XuSfEiDNceGCjv6rChvdn9GQV9s&#10;v8ebU92kRbNPuXPn9fHnrNTrsF/NQATqw1P8cG91nD+Zwv2ZeIF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gWmzBAAAA3AAAAA8AAAAAAAAAAAAAAAAAmAIAAGRycy9kb3du&#10;cmV2LnhtbFBLBQYAAAAABAAEAPUAAACGAwAAAAA=&#10;" path="m100,l,e" filled="f" strokeweight=".22125mm">
                  <v:path arrowok="t" o:connecttype="custom" o:connectlocs="100,0;0,0" o:connectangles="0,0"/>
                </v:shape>
                <v:rect id="Rectangle 341" o:spid="_x0000_s1159" style="position:absolute;left:5501;top:254;width:5731;height:3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tvEcMA&#10;AADcAAAADwAAAGRycy9kb3ducmV2LnhtbERPTWvCQBC9C/6HZYRepG6sIiV1FRWCgh4a20KPQ3aa&#10;Dc3Ohuyq8d+7guBtHu9z5svO1uJMra8cKxiPEhDEhdMVlwq+v7LXdxA+IGusHZOCK3lYLvq9Oaba&#10;XTin8zGUIoawT1GBCaFJpfSFIYt+5BriyP251mKIsC2lbvESw20t35JkJi1WHBsMNrQxVPwfT1aB&#10;3E6bLKt+3ZqmZj/ME//TfR6Uehl0qw8QgbrwFD/cOx3nT2ZwfyZe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tvEcMAAADcAAAADwAAAAAAAAAAAAAAAACYAgAAZHJzL2Rv&#10;d25yZXYueG1sUEsFBgAAAAAEAAQA9QAAAIgDAAAAAA==&#10;" filled="f" strokecolor="#858585" strokeweight=".22142mm">
                  <v:path arrowok="t"/>
                </v:rect>
                <w10:wrap anchorx="page"/>
              </v:group>
            </w:pict>
          </mc:Fallback>
        </mc:AlternateContent>
      </w:r>
      <w:r>
        <w:rPr>
          <w:color w:val="000000"/>
          <w:spacing w:val="-5"/>
        </w:rPr>
        <w:t>K</w:t>
      </w:r>
      <w:r>
        <w:rPr>
          <w:color w:val="000000"/>
          <w:spacing w:val="4"/>
        </w:rPr>
        <w:t>a</w:t>
      </w:r>
      <w:r>
        <w:rPr>
          <w:color w:val="000000"/>
          <w:spacing w:val="-4"/>
        </w:rPr>
        <w:t>i</w:t>
      </w:r>
      <w:r>
        <w:rPr>
          <w:color w:val="000000"/>
        </w:rPr>
        <w:t>p</w:t>
      </w:r>
      <w:r>
        <w:rPr>
          <w:color w:val="000000"/>
          <w:spacing w:val="36"/>
        </w:rPr>
        <w:t xml:space="preserve"> </w:t>
      </w:r>
      <w:r>
        <w:rPr>
          <w:color w:val="000000"/>
          <w:spacing w:val="-9"/>
        </w:rPr>
        <w:t>i</w:t>
      </w:r>
      <w:r>
        <w:rPr>
          <w:color w:val="000000"/>
        </w:rPr>
        <w:t>r</w:t>
      </w:r>
      <w:r>
        <w:rPr>
          <w:color w:val="000000"/>
          <w:spacing w:val="32"/>
        </w:rPr>
        <w:t xml:space="preserve"> </w:t>
      </w:r>
      <w:r>
        <w:rPr>
          <w:color w:val="000000"/>
        </w:rPr>
        <w:t>2011</w:t>
      </w:r>
      <w:r>
        <w:rPr>
          <w:color w:val="000000"/>
          <w:spacing w:val="31"/>
        </w:rPr>
        <w:t xml:space="preserve"> </w:t>
      </w:r>
      <w:r>
        <w:rPr>
          <w:color w:val="000000"/>
          <w:spacing w:val="-4"/>
        </w:rPr>
        <w:t>m</w:t>
      </w:r>
      <w:r>
        <w:rPr>
          <w:color w:val="000000"/>
          <w:spacing w:val="2"/>
        </w:rPr>
        <w:t>.</w:t>
      </w:r>
      <w:r>
        <w:rPr>
          <w:color w:val="000000"/>
        </w:rPr>
        <w:t>,</w:t>
      </w:r>
      <w:r>
        <w:rPr>
          <w:color w:val="000000"/>
          <w:spacing w:val="28"/>
        </w:rPr>
        <w:t xml:space="preserve"> </w:t>
      </w:r>
      <w:r>
        <w:rPr>
          <w:color w:val="000000"/>
        </w:rPr>
        <w:t>p</w:t>
      </w:r>
      <w:r>
        <w:rPr>
          <w:color w:val="000000"/>
          <w:spacing w:val="-1"/>
        </w:rPr>
        <w:t>e</w:t>
      </w:r>
      <w:r>
        <w:rPr>
          <w:color w:val="000000"/>
          <w:spacing w:val="1"/>
        </w:rPr>
        <w:t>r</w:t>
      </w:r>
      <w:r>
        <w:rPr>
          <w:color w:val="000000"/>
        </w:rPr>
        <w:t>n</w:t>
      </w:r>
      <w:r>
        <w:rPr>
          <w:color w:val="000000"/>
          <w:spacing w:val="4"/>
        </w:rPr>
        <w:t>a</w:t>
      </w:r>
      <w:r>
        <w:rPr>
          <w:color w:val="000000"/>
        </w:rPr>
        <w:t>i</w:t>
      </w:r>
      <w:r>
        <w:rPr>
          <w:color w:val="000000"/>
          <w:spacing w:val="22"/>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8"/>
        </w:rPr>
        <w:t>a</w:t>
      </w:r>
      <w:r>
        <w:rPr>
          <w:color w:val="000000"/>
        </w:rPr>
        <w:t>i</w:t>
      </w:r>
    </w:p>
    <w:p w:rsidR="004F7425" w:rsidRDefault="004F7425" w:rsidP="004F7425">
      <w:pPr>
        <w:widowControl w:val="0"/>
        <w:autoSpaceDE w:val="0"/>
        <w:autoSpaceDN w:val="0"/>
        <w:adjustRightInd w:val="0"/>
        <w:spacing w:before="11" w:line="310" w:lineRule="atLeast"/>
        <w:ind w:left="340" w:right="-57"/>
        <w:rPr>
          <w:color w:val="000000"/>
        </w:rPr>
      </w:pPr>
      <w:r>
        <w:rPr>
          <w:color w:val="000000"/>
          <w:spacing w:val="-5"/>
        </w:rPr>
        <w:t>b</w:t>
      </w:r>
      <w:r>
        <w:rPr>
          <w:color w:val="000000"/>
          <w:spacing w:val="5"/>
        </w:rPr>
        <w:t>u</w:t>
      </w:r>
      <w:r>
        <w:rPr>
          <w:color w:val="000000"/>
          <w:spacing w:val="-5"/>
        </w:rPr>
        <w:t>v</w:t>
      </w:r>
      <w:r>
        <w:rPr>
          <w:color w:val="000000"/>
        </w:rPr>
        <w:t xml:space="preserve">o </w:t>
      </w:r>
      <w:r>
        <w:rPr>
          <w:color w:val="000000"/>
          <w:spacing w:val="48"/>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rPr>
        <w:t xml:space="preserve">a </w:t>
      </w:r>
      <w:r>
        <w:rPr>
          <w:color w:val="000000"/>
          <w:spacing w:val="47"/>
        </w:rPr>
        <w:t xml:space="preserve"> </w:t>
      </w:r>
      <w:r>
        <w:rPr>
          <w:color w:val="000000"/>
          <w:spacing w:val="-4"/>
        </w:rPr>
        <w:t>li</w:t>
      </w:r>
      <w:r>
        <w:rPr>
          <w:color w:val="000000"/>
          <w:spacing w:val="-1"/>
        </w:rPr>
        <w:t>e</w:t>
      </w:r>
      <w:r>
        <w:rPr>
          <w:color w:val="000000"/>
          <w:spacing w:val="5"/>
        </w:rPr>
        <w:t>t</w:t>
      </w:r>
      <w:r>
        <w:rPr>
          <w:color w:val="000000"/>
        </w:rPr>
        <w:t>uv</w:t>
      </w:r>
      <w:r>
        <w:rPr>
          <w:color w:val="000000"/>
          <w:spacing w:val="-4"/>
        </w:rPr>
        <w:t>i</w:t>
      </w:r>
      <w:r>
        <w:rPr>
          <w:color w:val="000000"/>
        </w:rPr>
        <w:t xml:space="preserve">ų </w:t>
      </w:r>
      <w:r>
        <w:rPr>
          <w:color w:val="000000"/>
          <w:spacing w:val="43"/>
        </w:rPr>
        <w:t xml:space="preserve"> </w:t>
      </w:r>
      <w:r>
        <w:rPr>
          <w:color w:val="000000"/>
        </w:rPr>
        <w:t>g</w:t>
      </w:r>
      <w:r>
        <w:rPr>
          <w:color w:val="000000"/>
          <w:spacing w:val="4"/>
        </w:rPr>
        <w:t>a</w:t>
      </w:r>
      <w:r>
        <w:rPr>
          <w:color w:val="000000"/>
          <w:spacing w:val="-5"/>
        </w:rPr>
        <w:t>b</w:t>
      </w:r>
      <w:r>
        <w:rPr>
          <w:color w:val="000000"/>
          <w:spacing w:val="4"/>
        </w:rPr>
        <w:t>e</w:t>
      </w:r>
      <w:r>
        <w:rPr>
          <w:color w:val="000000"/>
          <w:spacing w:val="-5"/>
        </w:rPr>
        <w:t>n</w:t>
      </w:r>
      <w:r>
        <w:rPr>
          <w:color w:val="000000"/>
          <w:spacing w:val="5"/>
        </w:rPr>
        <w:t>u</w:t>
      </w:r>
      <w:r>
        <w:rPr>
          <w:color w:val="000000"/>
          <w:spacing w:val="2"/>
        </w:rPr>
        <w:t>s</w:t>
      </w:r>
      <w:r>
        <w:rPr>
          <w:color w:val="000000"/>
          <w:spacing w:val="-4"/>
        </w:rPr>
        <w:t>i</w:t>
      </w:r>
      <w:r>
        <w:rPr>
          <w:color w:val="000000"/>
        </w:rPr>
        <w:t>ų 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 xml:space="preserve">ą </w:t>
      </w:r>
      <w:r>
        <w:rPr>
          <w:color w:val="000000"/>
          <w:spacing w:val="8"/>
        </w:rPr>
        <w:t xml:space="preserve"> </w:t>
      </w:r>
      <w:r>
        <w:rPr>
          <w:color w:val="000000"/>
          <w:spacing w:val="1"/>
        </w:rPr>
        <w:t>(</w:t>
      </w:r>
      <w:r>
        <w:rPr>
          <w:color w:val="000000"/>
        </w:rPr>
        <w:t>38</w:t>
      </w:r>
      <w:r>
        <w:rPr>
          <w:color w:val="000000"/>
          <w:spacing w:val="1"/>
        </w:rPr>
        <w:t>%)</w:t>
      </w:r>
      <w:r>
        <w:rPr>
          <w:color w:val="000000"/>
        </w:rPr>
        <w:t xml:space="preserve">, </w:t>
      </w:r>
      <w:r>
        <w:rPr>
          <w:color w:val="000000"/>
          <w:spacing w:val="12"/>
        </w:rPr>
        <w:t xml:space="preserve"> </w:t>
      </w:r>
      <w:r>
        <w:rPr>
          <w:color w:val="000000"/>
          <w:spacing w:val="-1"/>
        </w:rPr>
        <w:t>a</w:t>
      </w:r>
      <w:r>
        <w:rPr>
          <w:color w:val="000000"/>
          <w:spacing w:val="-5"/>
        </w:rPr>
        <w:t>n</w:t>
      </w:r>
      <w:r>
        <w:rPr>
          <w:color w:val="000000"/>
          <w:spacing w:val="5"/>
        </w:rPr>
        <w:t>t</w:t>
      </w:r>
      <w:r>
        <w:rPr>
          <w:color w:val="000000"/>
          <w:spacing w:val="1"/>
        </w:rPr>
        <w:t>r</w:t>
      </w:r>
      <w:r>
        <w:rPr>
          <w:color w:val="000000"/>
        </w:rPr>
        <w:t xml:space="preserve">ą </w:t>
      </w:r>
      <w:r>
        <w:rPr>
          <w:color w:val="000000"/>
          <w:spacing w:val="8"/>
        </w:rPr>
        <w:t xml:space="preserve"> </w:t>
      </w:r>
      <w:r>
        <w:rPr>
          <w:color w:val="000000"/>
          <w:spacing w:val="-5"/>
        </w:rPr>
        <w:t>p</w:t>
      </w:r>
      <w:r>
        <w:rPr>
          <w:color w:val="000000"/>
          <w:spacing w:val="5"/>
        </w:rPr>
        <w:t>o</w:t>
      </w:r>
      <w:r>
        <w:rPr>
          <w:color w:val="000000"/>
          <w:spacing w:val="-1"/>
        </w:rPr>
        <w:t>z</w:t>
      </w:r>
      <w:r>
        <w:rPr>
          <w:color w:val="000000"/>
          <w:spacing w:val="-4"/>
        </w:rPr>
        <w:t>i</w:t>
      </w:r>
      <w:r>
        <w:rPr>
          <w:color w:val="000000"/>
          <w:spacing w:val="4"/>
        </w:rPr>
        <w:t>c</w:t>
      </w:r>
      <w:r>
        <w:rPr>
          <w:color w:val="000000"/>
        </w:rPr>
        <w:t>i</w:t>
      </w:r>
      <w:r>
        <w:rPr>
          <w:color w:val="000000"/>
          <w:spacing w:val="-4"/>
        </w:rPr>
        <w:t>j</w:t>
      </w:r>
      <w:r>
        <w:rPr>
          <w:color w:val="000000"/>
        </w:rPr>
        <w:t xml:space="preserve">ą </w:t>
      </w:r>
      <w:r>
        <w:rPr>
          <w:color w:val="000000"/>
          <w:spacing w:val="13"/>
        </w:rPr>
        <w:t xml:space="preserve"> </w:t>
      </w:r>
      <w:r>
        <w:rPr>
          <w:color w:val="000000"/>
          <w:spacing w:val="5"/>
        </w:rPr>
        <w:t>t</w:t>
      </w:r>
      <w:r>
        <w:rPr>
          <w:color w:val="000000"/>
          <w:spacing w:val="4"/>
        </w:rPr>
        <w:t>a</w:t>
      </w:r>
      <w:r>
        <w:rPr>
          <w:color w:val="000000"/>
          <w:spacing w:val="-9"/>
        </w:rPr>
        <w:t>i</w:t>
      </w:r>
      <w:r>
        <w:rPr>
          <w:color w:val="000000"/>
        </w:rPr>
        <w:t>p</w:t>
      </w:r>
    </w:p>
    <w:p w:rsidR="004F7425" w:rsidRDefault="004F7425" w:rsidP="004F7425">
      <w:pPr>
        <w:widowControl w:val="0"/>
        <w:autoSpaceDE w:val="0"/>
        <w:autoSpaceDN w:val="0"/>
        <w:adjustRightInd w:val="0"/>
        <w:spacing w:before="1" w:line="190" w:lineRule="exact"/>
        <w:rPr>
          <w:color w:val="000000"/>
          <w:sz w:val="19"/>
          <w:szCs w:val="19"/>
        </w:rPr>
      </w:pPr>
      <w:r>
        <w:rPr>
          <w:color w:val="000000"/>
        </w:rPr>
        <w:br w:type="column"/>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right="-20"/>
        <w:rPr>
          <w:color w:val="000000"/>
        </w:rPr>
      </w:pPr>
      <w:r>
        <w:rPr>
          <w:b/>
          <w:bCs/>
          <w:color w:val="974707"/>
          <w:spacing w:val="5"/>
        </w:rPr>
        <w:t>S</w:t>
      </w:r>
      <w:r>
        <w:rPr>
          <w:b/>
          <w:bCs/>
          <w:color w:val="974707"/>
          <w:spacing w:val="-7"/>
        </w:rPr>
        <w:t>u</w:t>
      </w:r>
      <w:r>
        <w:rPr>
          <w:b/>
          <w:bCs/>
          <w:color w:val="974707"/>
          <w:spacing w:val="-3"/>
        </w:rPr>
        <w:t>l</w:t>
      </w:r>
      <w:r>
        <w:rPr>
          <w:b/>
          <w:bCs/>
          <w:color w:val="974707"/>
          <w:spacing w:val="6"/>
        </w:rPr>
        <w:t>a</w:t>
      </w:r>
      <w:r>
        <w:rPr>
          <w:b/>
          <w:bCs/>
          <w:color w:val="974707"/>
          <w:spacing w:val="-3"/>
        </w:rPr>
        <w:t>i</w:t>
      </w:r>
      <w:r>
        <w:rPr>
          <w:b/>
          <w:bCs/>
          <w:color w:val="974707"/>
          <w:spacing w:val="5"/>
        </w:rPr>
        <w:t>k</w:t>
      </w:r>
      <w:r>
        <w:rPr>
          <w:b/>
          <w:bCs/>
          <w:color w:val="974707"/>
          <w:spacing w:val="-6"/>
        </w:rPr>
        <w:t>y</w:t>
      </w:r>
      <w:r>
        <w:rPr>
          <w:b/>
          <w:bCs/>
          <w:color w:val="974707"/>
          <w:spacing w:val="-11"/>
        </w:rPr>
        <w:t>m</w:t>
      </w:r>
      <w:r>
        <w:rPr>
          <w:b/>
          <w:bCs/>
          <w:color w:val="974707"/>
          <w:spacing w:val="6"/>
        </w:rPr>
        <w:t>a</w:t>
      </w:r>
      <w:r>
        <w:rPr>
          <w:b/>
          <w:bCs/>
          <w:color w:val="974707"/>
        </w:rPr>
        <w:t>i</w:t>
      </w:r>
      <w:r>
        <w:rPr>
          <w:b/>
          <w:bCs/>
          <w:color w:val="974707"/>
          <w:spacing w:val="12"/>
        </w:rPr>
        <w:t xml:space="preserve"> </w:t>
      </w:r>
      <w:r>
        <w:rPr>
          <w:b/>
          <w:bCs/>
          <w:color w:val="974707"/>
          <w:spacing w:val="-7"/>
        </w:rPr>
        <w:t>p</w:t>
      </w:r>
      <w:r>
        <w:rPr>
          <w:b/>
          <w:bCs/>
          <w:color w:val="974707"/>
          <w:spacing w:val="6"/>
        </w:rPr>
        <w:t>aga</w:t>
      </w:r>
      <w:r>
        <w:rPr>
          <w:b/>
          <w:bCs/>
          <w:color w:val="974707"/>
        </w:rPr>
        <w:t xml:space="preserve">l </w:t>
      </w:r>
      <w:r>
        <w:rPr>
          <w:b/>
          <w:bCs/>
          <w:color w:val="974707"/>
          <w:spacing w:val="-7"/>
        </w:rPr>
        <w:t>n</w:t>
      </w:r>
      <w:r>
        <w:rPr>
          <w:b/>
          <w:bCs/>
          <w:color w:val="974707"/>
          <w:spacing w:val="6"/>
        </w:rPr>
        <w:t>a</w:t>
      </w:r>
      <w:r>
        <w:rPr>
          <w:b/>
          <w:bCs/>
          <w:color w:val="974707"/>
          <w:spacing w:val="-6"/>
        </w:rPr>
        <w:t>r</w:t>
      </w:r>
      <w:r>
        <w:rPr>
          <w:b/>
          <w:bCs/>
          <w:color w:val="974707"/>
          <w:spacing w:val="5"/>
        </w:rPr>
        <w:t>k</w:t>
      </w:r>
      <w:r>
        <w:rPr>
          <w:b/>
          <w:bCs/>
          <w:color w:val="974707"/>
          <w:spacing w:val="6"/>
        </w:rPr>
        <w:t>o</w:t>
      </w:r>
      <w:r>
        <w:rPr>
          <w:b/>
          <w:bCs/>
          <w:color w:val="974707"/>
          <w:spacing w:val="-4"/>
        </w:rPr>
        <w:t>t</w:t>
      </w:r>
      <w:r>
        <w:rPr>
          <w:b/>
          <w:bCs/>
          <w:color w:val="974707"/>
          <w:spacing w:val="-3"/>
        </w:rPr>
        <w:t>i</w:t>
      </w:r>
      <w:r>
        <w:rPr>
          <w:b/>
          <w:bCs/>
          <w:color w:val="974707"/>
          <w:spacing w:val="5"/>
        </w:rPr>
        <w:t>k</w:t>
      </w:r>
      <w:r>
        <w:rPr>
          <w:b/>
          <w:bCs/>
          <w:color w:val="974707"/>
        </w:rPr>
        <w:t>ų</w:t>
      </w:r>
      <w:r>
        <w:rPr>
          <w:b/>
          <w:bCs/>
          <w:color w:val="974707"/>
          <w:spacing w:val="8"/>
        </w:rPr>
        <w:t xml:space="preserve"> </w:t>
      </w:r>
      <w:r>
        <w:rPr>
          <w:b/>
          <w:bCs/>
          <w:color w:val="974707"/>
          <w:spacing w:val="-6"/>
        </w:rPr>
        <w:t>r</w:t>
      </w:r>
      <w:r>
        <w:rPr>
          <w:b/>
          <w:bCs/>
          <w:color w:val="974707"/>
          <w:spacing w:val="-7"/>
        </w:rPr>
        <w:t>ū</w:t>
      </w:r>
      <w:r>
        <w:rPr>
          <w:b/>
          <w:bCs/>
          <w:color w:val="974707"/>
          <w:spacing w:val="7"/>
        </w:rPr>
        <w:t>š</w:t>
      </w:r>
      <w:r>
        <w:rPr>
          <w:b/>
          <w:bCs/>
          <w:color w:val="974707"/>
          <w:spacing w:val="-3"/>
        </w:rPr>
        <w:t>i</w:t>
      </w:r>
      <w:r>
        <w:rPr>
          <w:b/>
          <w:bCs/>
          <w:color w:val="974707"/>
        </w:rPr>
        <w:t>s</w:t>
      </w:r>
      <w:r>
        <w:rPr>
          <w:b/>
          <w:bCs/>
          <w:color w:val="974707"/>
          <w:spacing w:val="11"/>
        </w:rPr>
        <w:t xml:space="preserve"> </w:t>
      </w:r>
      <w:r>
        <w:rPr>
          <w:b/>
          <w:bCs/>
          <w:color w:val="974707"/>
          <w:spacing w:val="6"/>
        </w:rPr>
        <w:t>201</w:t>
      </w:r>
      <w:r>
        <w:rPr>
          <w:b/>
          <w:bCs/>
          <w:color w:val="974707"/>
        </w:rPr>
        <w:t>2</w:t>
      </w:r>
      <w:r>
        <w:rPr>
          <w:b/>
          <w:bCs/>
          <w:color w:val="974707"/>
          <w:spacing w:val="-16"/>
        </w:rPr>
        <w:t xml:space="preserve"> </w:t>
      </w:r>
      <w:r>
        <w:rPr>
          <w:b/>
          <w:bCs/>
          <w:color w:val="974707"/>
          <w:spacing w:val="-11"/>
        </w:rPr>
        <w:t>m</w:t>
      </w:r>
      <w:r>
        <w:rPr>
          <w:b/>
          <w:bCs/>
          <w:color w:val="974707"/>
        </w:rPr>
        <w:t>.</w:t>
      </w:r>
    </w:p>
    <w:p w:rsidR="004F7425" w:rsidRDefault="004F7425" w:rsidP="004F7425">
      <w:pPr>
        <w:widowControl w:val="0"/>
        <w:autoSpaceDE w:val="0"/>
        <w:autoSpaceDN w:val="0"/>
        <w:adjustRightInd w:val="0"/>
        <w:ind w:right="-20"/>
        <w:rPr>
          <w:color w:val="000000"/>
        </w:rPr>
        <w:sectPr w:rsidR="004F7425">
          <w:type w:val="continuous"/>
          <w:pgSz w:w="11920" w:h="16840"/>
          <w:pgMar w:top="1540" w:right="460" w:bottom="280" w:left="1360" w:header="567" w:footer="567" w:gutter="0"/>
          <w:cols w:num="2" w:space="1296" w:equalWidth="0">
            <w:col w:w="3878" w:space="1141"/>
            <w:col w:w="5081"/>
          </w:cols>
          <w:noEndnote/>
        </w:sectPr>
      </w:pPr>
    </w:p>
    <w:p w:rsidR="004F7425" w:rsidRDefault="004F7425" w:rsidP="004F7425">
      <w:pPr>
        <w:widowControl w:val="0"/>
        <w:autoSpaceDE w:val="0"/>
        <w:autoSpaceDN w:val="0"/>
        <w:adjustRightInd w:val="0"/>
        <w:spacing w:before="41" w:line="275" w:lineRule="auto"/>
        <w:ind w:left="340" w:right="-61"/>
        <w:jc w:val="both"/>
        <w:rPr>
          <w:color w:val="000000"/>
        </w:rPr>
      </w:pPr>
      <w:r>
        <w:rPr>
          <w:color w:val="000000"/>
        </w:rPr>
        <w:lastRenderedPageBreak/>
        <w:t>p</w:t>
      </w:r>
      <w:r>
        <w:rPr>
          <w:color w:val="000000"/>
          <w:spacing w:val="-1"/>
        </w:rPr>
        <w:t>a</w:t>
      </w:r>
      <w:r>
        <w:rPr>
          <w:color w:val="000000"/>
        </w:rPr>
        <w:t>t</w:t>
      </w:r>
      <w:r>
        <w:rPr>
          <w:color w:val="000000"/>
          <w:spacing w:val="3"/>
        </w:rPr>
        <w:t xml:space="preserve"> </w:t>
      </w:r>
      <w:r>
        <w:rPr>
          <w:color w:val="000000"/>
        </w:rPr>
        <w:t>k</w:t>
      </w:r>
      <w:r>
        <w:rPr>
          <w:color w:val="000000"/>
          <w:spacing w:val="-1"/>
        </w:rPr>
        <w:t>a</w:t>
      </w:r>
      <w:r>
        <w:rPr>
          <w:color w:val="000000"/>
          <w:spacing w:val="-9"/>
        </w:rPr>
        <w:t>i</w:t>
      </w:r>
      <w:r>
        <w:rPr>
          <w:color w:val="000000"/>
        </w:rPr>
        <w:t>p</w:t>
      </w:r>
      <w:r>
        <w:rPr>
          <w:color w:val="000000"/>
          <w:spacing w:val="2"/>
        </w:rPr>
        <w:t xml:space="preserve"> </w:t>
      </w:r>
      <w:r>
        <w:rPr>
          <w:color w:val="000000"/>
        </w:rPr>
        <w:t>p</w:t>
      </w:r>
      <w:r>
        <w:rPr>
          <w:color w:val="000000"/>
          <w:spacing w:val="6"/>
        </w:rPr>
        <w:t>r</w:t>
      </w:r>
      <w:r>
        <w:rPr>
          <w:color w:val="000000"/>
          <w:spacing w:val="-9"/>
        </w:rPr>
        <w:t>i</w:t>
      </w:r>
      <w:r>
        <w:rPr>
          <w:color w:val="000000"/>
          <w:spacing w:val="4"/>
        </w:rPr>
        <w:t>e</w:t>
      </w:r>
      <w:r>
        <w:rPr>
          <w:color w:val="000000"/>
        </w:rPr>
        <w:t xml:space="preserve">š </w:t>
      </w:r>
      <w:r>
        <w:rPr>
          <w:color w:val="000000"/>
          <w:spacing w:val="-4"/>
        </w:rPr>
        <w:t>m</w:t>
      </w:r>
      <w:r>
        <w:rPr>
          <w:color w:val="000000"/>
          <w:spacing w:val="-1"/>
        </w:rPr>
        <w:t>e</w:t>
      </w:r>
      <w:r>
        <w:rPr>
          <w:color w:val="000000"/>
          <w:spacing w:val="5"/>
        </w:rPr>
        <w:t>t</w:t>
      </w:r>
      <w:r>
        <w:rPr>
          <w:color w:val="000000"/>
        </w:rPr>
        <w:t xml:space="preserve">us </w:t>
      </w:r>
      <w:r>
        <w:rPr>
          <w:color w:val="000000"/>
          <w:spacing w:val="-4"/>
        </w:rPr>
        <w:t>i</w:t>
      </w:r>
      <w:r>
        <w:rPr>
          <w:color w:val="000000"/>
          <w:spacing w:val="2"/>
        </w:rPr>
        <w:t>š</w:t>
      </w:r>
      <w:r>
        <w:rPr>
          <w:color w:val="000000"/>
          <w:spacing w:val="-4"/>
        </w:rPr>
        <w:t>l</w:t>
      </w:r>
      <w:r>
        <w:rPr>
          <w:color w:val="000000"/>
          <w:spacing w:val="4"/>
        </w:rPr>
        <w:t>a</w:t>
      </w:r>
      <w:r>
        <w:rPr>
          <w:color w:val="000000"/>
          <w:spacing w:val="-4"/>
        </w:rPr>
        <w:t>i</w:t>
      </w:r>
      <w:r>
        <w:rPr>
          <w:color w:val="000000"/>
        </w:rPr>
        <w:t>ko</w:t>
      </w:r>
      <w:r>
        <w:rPr>
          <w:color w:val="000000"/>
          <w:spacing w:val="2"/>
        </w:rPr>
        <w:t xml:space="preserve"> </w:t>
      </w:r>
      <w:r>
        <w:rPr>
          <w:color w:val="000000"/>
        </w:rPr>
        <w:t>k</w:t>
      </w:r>
      <w:r>
        <w:rPr>
          <w:color w:val="000000"/>
          <w:spacing w:val="-1"/>
        </w:rPr>
        <w:t>a</w:t>
      </w:r>
      <w:r>
        <w:rPr>
          <w:color w:val="000000"/>
        </w:rPr>
        <w:t>n</w:t>
      </w:r>
      <w:r>
        <w:rPr>
          <w:color w:val="000000"/>
          <w:spacing w:val="-1"/>
        </w:rPr>
        <w:t>a</w:t>
      </w:r>
      <w:r>
        <w:rPr>
          <w:color w:val="000000"/>
          <w:spacing w:val="5"/>
        </w:rPr>
        <w:t>p</w:t>
      </w:r>
      <w:r>
        <w:rPr>
          <w:color w:val="000000"/>
          <w:spacing w:val="-4"/>
        </w:rPr>
        <w:t>i</w:t>
      </w:r>
      <w:r>
        <w:rPr>
          <w:color w:val="000000"/>
        </w:rPr>
        <w:t xml:space="preserve">ų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rPr>
        <w:t>y</w:t>
      </w:r>
      <w:r>
        <w:rPr>
          <w:color w:val="000000"/>
          <w:spacing w:val="-9"/>
        </w:rPr>
        <w:t>m</w:t>
      </w:r>
      <w:r>
        <w:rPr>
          <w:color w:val="000000"/>
        </w:rPr>
        <w:t xml:space="preserve">o </w:t>
      </w:r>
      <w:r>
        <w:rPr>
          <w:color w:val="000000"/>
          <w:spacing w:val="7"/>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4"/>
        </w:rPr>
        <w:t>j</w:t>
      </w:r>
      <w:r>
        <w:rPr>
          <w:color w:val="000000"/>
        </w:rPr>
        <w:t xml:space="preserve">ų </w:t>
      </w:r>
      <w:r>
        <w:rPr>
          <w:color w:val="000000"/>
          <w:spacing w:val="7"/>
        </w:rPr>
        <w:t xml:space="preserve"> </w:t>
      </w:r>
      <w:r>
        <w:rPr>
          <w:color w:val="000000"/>
          <w:spacing w:val="-2"/>
        </w:rPr>
        <w:t>s</w:t>
      </w:r>
      <w:r>
        <w:rPr>
          <w:color w:val="000000"/>
        </w:rPr>
        <w:t>k</w:t>
      </w:r>
      <w:r>
        <w:rPr>
          <w:color w:val="000000"/>
          <w:spacing w:val="4"/>
        </w:rPr>
        <w:t>a</w:t>
      </w:r>
      <w:r>
        <w:rPr>
          <w:color w:val="000000"/>
          <w:spacing w:val="-4"/>
        </w:rPr>
        <w:t>i</w:t>
      </w:r>
      <w:r>
        <w:rPr>
          <w:color w:val="000000"/>
          <w:spacing w:val="4"/>
        </w:rPr>
        <w:t>č</w:t>
      </w:r>
      <w:r>
        <w:rPr>
          <w:color w:val="000000"/>
          <w:spacing w:val="-4"/>
        </w:rPr>
        <w:t>i</w:t>
      </w:r>
      <w:r>
        <w:rPr>
          <w:color w:val="000000"/>
        </w:rPr>
        <w:t xml:space="preserve">us  </w:t>
      </w:r>
      <w:r>
        <w:rPr>
          <w:color w:val="000000"/>
          <w:spacing w:val="1"/>
        </w:rPr>
        <w:t>(</w:t>
      </w:r>
      <w:r>
        <w:rPr>
          <w:color w:val="000000"/>
        </w:rPr>
        <w:t xml:space="preserve">17 </w:t>
      </w:r>
      <w:r>
        <w:rPr>
          <w:color w:val="000000"/>
          <w:spacing w:val="2"/>
        </w:rPr>
        <w:t xml:space="preserve"> </w:t>
      </w:r>
      <w:r>
        <w:rPr>
          <w:color w:val="000000"/>
          <w:spacing w:val="1"/>
        </w:rPr>
        <w:t>%)</w:t>
      </w:r>
      <w:r>
        <w:rPr>
          <w:color w:val="000000"/>
        </w:rPr>
        <w:t xml:space="preserve">. </w:t>
      </w:r>
      <w:r>
        <w:rPr>
          <w:color w:val="000000"/>
          <w:spacing w:val="1"/>
        </w:rPr>
        <w:t>P</w:t>
      </w:r>
      <w:r>
        <w:rPr>
          <w:color w:val="000000"/>
        </w:rPr>
        <w:t>o</w:t>
      </w:r>
      <w:r>
        <w:rPr>
          <w:color w:val="000000"/>
          <w:spacing w:val="17"/>
        </w:rPr>
        <w:t xml:space="preserve"> </w:t>
      </w:r>
      <w:r>
        <w:rPr>
          <w:color w:val="000000"/>
        </w:rPr>
        <w:t>to</w:t>
      </w:r>
      <w:r>
        <w:rPr>
          <w:color w:val="000000"/>
          <w:spacing w:val="26"/>
        </w:rPr>
        <w:t xml:space="preserve"> </w:t>
      </w:r>
      <w:r>
        <w:rPr>
          <w:color w:val="000000"/>
          <w:spacing w:val="-2"/>
        </w:rPr>
        <w:t>s</w:t>
      </w:r>
      <w:r>
        <w:rPr>
          <w:color w:val="000000"/>
          <w:spacing w:val="-1"/>
        </w:rPr>
        <w:t>e</w:t>
      </w:r>
      <w:r>
        <w:rPr>
          <w:color w:val="000000"/>
        </w:rPr>
        <w:t>ka</w:t>
      </w:r>
      <w:r>
        <w:rPr>
          <w:color w:val="000000"/>
          <w:spacing w:val="20"/>
        </w:rPr>
        <w:t xml:space="preserve"> </w:t>
      </w:r>
      <w:r>
        <w:rPr>
          <w:color w:val="000000"/>
          <w:spacing w:val="-5"/>
        </w:rPr>
        <w:t>h</w:t>
      </w:r>
      <w:r>
        <w:rPr>
          <w:color w:val="000000"/>
          <w:spacing w:val="-1"/>
        </w:rPr>
        <w:t>a</w:t>
      </w:r>
      <w:r>
        <w:rPr>
          <w:color w:val="000000"/>
          <w:spacing w:val="2"/>
        </w:rPr>
        <w:t>š</w:t>
      </w:r>
      <w:r>
        <w:rPr>
          <w:color w:val="000000"/>
          <w:spacing w:val="-4"/>
        </w:rPr>
        <w:t>i</w:t>
      </w:r>
      <w:r>
        <w:rPr>
          <w:color w:val="000000"/>
          <w:spacing w:val="-2"/>
        </w:rPr>
        <w:t>š</w:t>
      </w:r>
      <w:r>
        <w:rPr>
          <w:color w:val="000000"/>
        </w:rPr>
        <w:t>o</w:t>
      </w:r>
      <w:r>
        <w:rPr>
          <w:color w:val="000000"/>
          <w:spacing w:val="26"/>
        </w:rPr>
        <w:t xml:space="preserve"> </w:t>
      </w:r>
      <w:r>
        <w:rPr>
          <w:color w:val="000000"/>
          <w:spacing w:val="1"/>
        </w:rPr>
        <w:t>(</w:t>
      </w:r>
      <w:r>
        <w:rPr>
          <w:color w:val="000000"/>
        </w:rPr>
        <w:t>14</w:t>
      </w:r>
      <w:r>
        <w:rPr>
          <w:color w:val="000000"/>
          <w:spacing w:val="1"/>
        </w:rPr>
        <w:t>%</w:t>
      </w:r>
      <w:r>
        <w:rPr>
          <w:color w:val="000000"/>
          <w:spacing w:val="-3"/>
        </w:rPr>
        <w:t>)</w:t>
      </w:r>
      <w:r>
        <w:rPr>
          <w:color w:val="000000"/>
        </w:rPr>
        <w:t>,</w:t>
      </w:r>
      <w:r>
        <w:rPr>
          <w:color w:val="000000"/>
          <w:spacing w:val="24"/>
        </w:rPr>
        <w:t xml:space="preserve"> </w:t>
      </w:r>
      <w:r>
        <w:rPr>
          <w:color w:val="000000"/>
          <w:spacing w:val="-5"/>
        </w:rPr>
        <w:t>h</w:t>
      </w:r>
      <w:r>
        <w:rPr>
          <w:color w:val="000000"/>
          <w:spacing w:val="-1"/>
        </w:rPr>
        <w:t>e</w:t>
      </w:r>
      <w:r>
        <w:rPr>
          <w:color w:val="000000"/>
          <w:spacing w:val="-3"/>
        </w:rPr>
        <w:t>r</w:t>
      </w:r>
      <w:r>
        <w:rPr>
          <w:color w:val="000000"/>
          <w:spacing w:val="5"/>
        </w:rPr>
        <w:t>o</w:t>
      </w:r>
      <w:r>
        <w:rPr>
          <w:color w:val="000000"/>
          <w:spacing w:val="-4"/>
        </w:rPr>
        <w:t>i</w:t>
      </w:r>
      <w:r>
        <w:rPr>
          <w:color w:val="000000"/>
          <w:spacing w:val="-5"/>
        </w:rPr>
        <w:t>n</w:t>
      </w:r>
      <w:r>
        <w:rPr>
          <w:color w:val="000000"/>
        </w:rPr>
        <w:t>o</w:t>
      </w:r>
      <w:r>
        <w:rPr>
          <w:color w:val="000000"/>
          <w:spacing w:val="26"/>
        </w:rPr>
        <w:t xml:space="preserve"> </w:t>
      </w:r>
      <w:r>
        <w:rPr>
          <w:color w:val="000000"/>
          <w:spacing w:val="1"/>
        </w:rPr>
        <w:t>(</w:t>
      </w:r>
      <w:r>
        <w:rPr>
          <w:color w:val="000000"/>
        </w:rPr>
        <w:t>9</w:t>
      </w:r>
    </w:p>
    <w:p w:rsidR="004F7425" w:rsidRDefault="004F7425" w:rsidP="004F7425">
      <w:pPr>
        <w:widowControl w:val="0"/>
        <w:autoSpaceDE w:val="0"/>
        <w:autoSpaceDN w:val="0"/>
        <w:adjustRightInd w:val="0"/>
        <w:spacing w:before="1"/>
        <w:ind w:left="340" w:right="-52"/>
        <w:jc w:val="both"/>
        <w:rPr>
          <w:color w:val="000000"/>
        </w:rPr>
      </w:pPr>
      <w:r>
        <w:rPr>
          <w:color w:val="000000"/>
          <w:spacing w:val="1"/>
        </w:rPr>
        <w:t>%</w:t>
      </w:r>
      <w:r>
        <w:rPr>
          <w:color w:val="000000"/>
        </w:rPr>
        <w:t xml:space="preserve">) </w:t>
      </w:r>
      <w:r>
        <w:rPr>
          <w:color w:val="000000"/>
          <w:spacing w:val="49"/>
        </w:rPr>
        <w:t xml:space="preserve"> </w:t>
      </w:r>
      <w:r>
        <w:rPr>
          <w:color w:val="000000"/>
          <w:spacing w:val="-2"/>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rPr>
        <w:t>y</w:t>
      </w:r>
      <w:r>
        <w:rPr>
          <w:color w:val="000000"/>
          <w:spacing w:val="-4"/>
        </w:rPr>
        <w:t>m</w:t>
      </w:r>
      <w:r>
        <w:rPr>
          <w:color w:val="000000"/>
          <w:spacing w:val="4"/>
        </w:rPr>
        <w:t>a</w:t>
      </w:r>
      <w:r>
        <w:rPr>
          <w:color w:val="000000"/>
          <w:spacing w:val="-9"/>
        </w:rPr>
        <w:t>i</w:t>
      </w:r>
      <w:r>
        <w:rPr>
          <w:color w:val="000000"/>
        </w:rPr>
        <w:t xml:space="preserve">. </w:t>
      </w:r>
      <w:r>
        <w:rPr>
          <w:color w:val="000000"/>
          <w:spacing w:val="50"/>
        </w:rPr>
        <w:t xml:space="preserve"> </w:t>
      </w:r>
      <w:r>
        <w:rPr>
          <w:color w:val="000000"/>
          <w:spacing w:val="1"/>
        </w:rPr>
        <w:t>P</w:t>
      </w:r>
      <w:r>
        <w:rPr>
          <w:color w:val="000000"/>
          <w:spacing w:val="4"/>
        </w:rPr>
        <w:t>a</w:t>
      </w:r>
      <w:r>
        <w:rPr>
          <w:color w:val="000000"/>
        </w:rPr>
        <w:t>l</w:t>
      </w:r>
      <w:r>
        <w:rPr>
          <w:color w:val="000000"/>
          <w:spacing w:val="-4"/>
        </w:rPr>
        <w:t>y</w:t>
      </w:r>
      <w:r>
        <w:rPr>
          <w:color w:val="000000"/>
          <w:spacing w:val="5"/>
        </w:rPr>
        <w:t>g</w:t>
      </w:r>
      <w:r>
        <w:rPr>
          <w:color w:val="000000"/>
          <w:spacing w:val="-4"/>
        </w:rPr>
        <w:t>i</w:t>
      </w:r>
      <w:r>
        <w:rPr>
          <w:color w:val="000000"/>
        </w:rPr>
        <w:t xml:space="preserve">nus </w:t>
      </w:r>
      <w:r>
        <w:rPr>
          <w:color w:val="000000"/>
          <w:spacing w:val="50"/>
        </w:rPr>
        <w:t xml:space="preserve"> </w:t>
      </w:r>
      <w:r>
        <w:rPr>
          <w:color w:val="000000"/>
          <w:spacing w:val="-5"/>
        </w:rPr>
        <w:t>n</w:t>
      </w:r>
      <w:r>
        <w:rPr>
          <w:color w:val="000000"/>
          <w:spacing w:val="-1"/>
        </w:rPr>
        <w:t>e</w:t>
      </w:r>
      <w:r>
        <w:rPr>
          <w:color w:val="000000"/>
          <w:spacing w:val="5"/>
        </w:rPr>
        <w:t>d</w:t>
      </w:r>
      <w:r>
        <w:rPr>
          <w:color w:val="000000"/>
          <w:spacing w:val="-1"/>
        </w:rPr>
        <w:t>a</w:t>
      </w:r>
      <w:r>
        <w:rPr>
          <w:color w:val="000000"/>
        </w:rPr>
        <w:t>ug</w:t>
      </w:r>
    </w:p>
    <w:p w:rsidR="004F7425" w:rsidRDefault="004F7425" w:rsidP="004F7425">
      <w:pPr>
        <w:widowControl w:val="0"/>
        <w:autoSpaceDE w:val="0"/>
        <w:autoSpaceDN w:val="0"/>
        <w:adjustRightInd w:val="0"/>
        <w:spacing w:before="41" w:line="242" w:lineRule="exact"/>
        <w:ind w:left="340" w:right="-50"/>
        <w:jc w:val="both"/>
        <w:rPr>
          <w:color w:val="000000"/>
        </w:rPr>
      </w:pPr>
      <w:r>
        <w:rPr>
          <w:color w:val="000000"/>
          <w:spacing w:val="-5"/>
          <w:position w:val="-3"/>
        </w:rPr>
        <w:t>b</w:t>
      </w:r>
      <w:r>
        <w:rPr>
          <w:color w:val="000000"/>
          <w:spacing w:val="5"/>
          <w:position w:val="-3"/>
        </w:rPr>
        <w:t>u</w:t>
      </w:r>
      <w:r>
        <w:rPr>
          <w:color w:val="000000"/>
          <w:spacing w:val="-5"/>
          <w:position w:val="-3"/>
        </w:rPr>
        <w:t>v</w:t>
      </w:r>
      <w:r>
        <w:rPr>
          <w:color w:val="000000"/>
          <w:position w:val="-3"/>
        </w:rPr>
        <w:t xml:space="preserve">o   </w:t>
      </w:r>
      <w:r>
        <w:rPr>
          <w:color w:val="000000"/>
          <w:spacing w:val="14"/>
          <w:position w:val="-3"/>
        </w:rPr>
        <w:t xml:space="preserve"> </w:t>
      </w:r>
      <w:r>
        <w:rPr>
          <w:color w:val="000000"/>
          <w:spacing w:val="-2"/>
          <w:position w:val="-3"/>
        </w:rPr>
        <w:t>s</w:t>
      </w:r>
      <w:r>
        <w:rPr>
          <w:color w:val="000000"/>
          <w:spacing w:val="5"/>
          <w:position w:val="-3"/>
        </w:rPr>
        <w:t>u</w:t>
      </w:r>
      <w:r>
        <w:rPr>
          <w:color w:val="000000"/>
          <w:spacing w:val="-4"/>
          <w:position w:val="-3"/>
        </w:rPr>
        <w:t>l</w:t>
      </w:r>
      <w:r>
        <w:rPr>
          <w:color w:val="000000"/>
          <w:spacing w:val="4"/>
          <w:position w:val="-3"/>
        </w:rPr>
        <w:t>a</w:t>
      </w:r>
      <w:r>
        <w:rPr>
          <w:color w:val="000000"/>
          <w:spacing w:val="-4"/>
          <w:position w:val="-3"/>
        </w:rPr>
        <w:t>i</w:t>
      </w:r>
      <w:r>
        <w:rPr>
          <w:color w:val="000000"/>
          <w:position w:val="-3"/>
        </w:rPr>
        <w:t>k</w:t>
      </w:r>
      <w:r>
        <w:rPr>
          <w:color w:val="000000"/>
          <w:spacing w:val="9"/>
          <w:position w:val="-3"/>
        </w:rPr>
        <w:t>o</w:t>
      </w:r>
      <w:r>
        <w:rPr>
          <w:color w:val="000000"/>
          <w:spacing w:val="-9"/>
          <w:position w:val="-3"/>
        </w:rPr>
        <w:t>m</w:t>
      </w:r>
      <w:r>
        <w:rPr>
          <w:color w:val="000000"/>
          <w:position w:val="-3"/>
        </w:rPr>
        <w:t xml:space="preserve">a   </w:t>
      </w:r>
      <w:r>
        <w:rPr>
          <w:color w:val="000000"/>
          <w:spacing w:val="13"/>
          <w:position w:val="-3"/>
        </w:rPr>
        <w:t xml:space="preserve"> </w:t>
      </w:r>
      <w:r>
        <w:rPr>
          <w:color w:val="000000"/>
          <w:spacing w:val="-4"/>
          <w:position w:val="-3"/>
        </w:rPr>
        <w:t>m</w:t>
      </w:r>
      <w:r>
        <w:rPr>
          <w:color w:val="000000"/>
          <w:spacing w:val="-1"/>
          <w:position w:val="-3"/>
        </w:rPr>
        <w:t>e</w:t>
      </w:r>
      <w:r>
        <w:rPr>
          <w:color w:val="000000"/>
          <w:spacing w:val="5"/>
          <w:position w:val="-3"/>
        </w:rPr>
        <w:t>t</w:t>
      </w:r>
      <w:r>
        <w:rPr>
          <w:color w:val="000000"/>
          <w:spacing w:val="4"/>
          <w:position w:val="-3"/>
        </w:rPr>
        <w:t>a</w:t>
      </w:r>
      <w:r>
        <w:rPr>
          <w:color w:val="000000"/>
          <w:spacing w:val="-4"/>
          <w:position w:val="-3"/>
        </w:rPr>
        <w:t>m</w:t>
      </w:r>
      <w:r>
        <w:rPr>
          <w:color w:val="000000"/>
          <w:spacing w:val="-3"/>
          <w:position w:val="-3"/>
        </w:rPr>
        <w:t>f</w:t>
      </w:r>
      <w:r>
        <w:rPr>
          <w:color w:val="000000"/>
          <w:spacing w:val="-1"/>
          <w:position w:val="-3"/>
        </w:rPr>
        <w:t>e</w:t>
      </w:r>
      <w:r>
        <w:rPr>
          <w:color w:val="000000"/>
          <w:spacing w:val="5"/>
          <w:position w:val="-3"/>
        </w:rPr>
        <w:t>t</w:t>
      </w:r>
      <w:r>
        <w:rPr>
          <w:color w:val="000000"/>
          <w:spacing w:val="4"/>
          <w:position w:val="-3"/>
        </w:rPr>
        <w:t>a</w:t>
      </w:r>
      <w:r>
        <w:rPr>
          <w:color w:val="000000"/>
          <w:spacing w:val="-4"/>
          <w:position w:val="-3"/>
        </w:rPr>
        <w:t>mi</w:t>
      </w:r>
      <w:r>
        <w:rPr>
          <w:color w:val="000000"/>
          <w:spacing w:val="-5"/>
          <w:position w:val="-3"/>
        </w:rPr>
        <w:t>n</w:t>
      </w:r>
      <w:r>
        <w:rPr>
          <w:color w:val="000000"/>
          <w:spacing w:val="5"/>
          <w:position w:val="-3"/>
        </w:rPr>
        <w:t>o</w:t>
      </w:r>
      <w:r>
        <w:rPr>
          <w:color w:val="000000"/>
          <w:position w:val="-3"/>
        </w:rPr>
        <w:t>,</w:t>
      </w:r>
    </w:p>
    <w:p w:rsidR="004F7425" w:rsidRDefault="004F7425" w:rsidP="004F7425">
      <w:pPr>
        <w:widowControl w:val="0"/>
        <w:autoSpaceDE w:val="0"/>
        <w:autoSpaceDN w:val="0"/>
        <w:adjustRightInd w:val="0"/>
        <w:spacing w:before="32"/>
        <w:ind w:left="809" w:right="-55"/>
        <w:jc w:val="center"/>
        <w:rPr>
          <w:rFonts w:ascii="Calibri" w:hAnsi="Calibri" w:cs="Calibri"/>
          <w:color w:val="000000"/>
          <w:sz w:val="20"/>
        </w:rPr>
      </w:pPr>
      <w:r>
        <w:rPr>
          <w:color w:val="000000"/>
        </w:rPr>
        <w:br w:type="column"/>
      </w:r>
      <w:r>
        <w:rPr>
          <w:rFonts w:ascii="Calibri" w:hAnsi="Calibri" w:cs="Calibri"/>
          <w:color w:val="000000"/>
          <w:spacing w:val="-4"/>
          <w:w w:val="101"/>
          <w:sz w:val="20"/>
        </w:rPr>
        <w:lastRenderedPageBreak/>
        <w:t>K</w:t>
      </w:r>
      <w:r>
        <w:rPr>
          <w:rFonts w:ascii="Calibri" w:hAnsi="Calibri" w:cs="Calibri"/>
          <w:color w:val="000000"/>
          <w:spacing w:val="4"/>
          <w:w w:val="101"/>
          <w:sz w:val="20"/>
        </w:rPr>
        <w:t>a</w:t>
      </w:r>
      <w:r>
        <w:rPr>
          <w:rFonts w:ascii="Calibri" w:hAnsi="Calibri" w:cs="Calibri"/>
          <w:color w:val="000000"/>
          <w:spacing w:val="-5"/>
          <w:w w:val="101"/>
          <w:sz w:val="20"/>
        </w:rPr>
        <w:t>n</w:t>
      </w:r>
      <w:r>
        <w:rPr>
          <w:rFonts w:ascii="Calibri" w:hAnsi="Calibri" w:cs="Calibri"/>
          <w:color w:val="000000"/>
          <w:spacing w:val="4"/>
          <w:w w:val="101"/>
          <w:sz w:val="20"/>
        </w:rPr>
        <w:t>a</w:t>
      </w:r>
      <w:r>
        <w:rPr>
          <w:rFonts w:ascii="Calibri" w:hAnsi="Calibri" w:cs="Calibri"/>
          <w:color w:val="000000"/>
          <w:spacing w:val="-5"/>
          <w:w w:val="101"/>
          <w:sz w:val="20"/>
        </w:rPr>
        <w:t>p</w:t>
      </w:r>
      <w:r>
        <w:rPr>
          <w:rFonts w:ascii="Calibri" w:hAnsi="Calibri" w:cs="Calibri"/>
          <w:color w:val="000000"/>
          <w:w w:val="101"/>
          <w:sz w:val="20"/>
        </w:rPr>
        <w:t>ės</w:t>
      </w:r>
    </w:p>
    <w:p w:rsidR="004F7425" w:rsidRDefault="004F7425" w:rsidP="004F7425">
      <w:pPr>
        <w:widowControl w:val="0"/>
        <w:autoSpaceDE w:val="0"/>
        <w:autoSpaceDN w:val="0"/>
        <w:adjustRightInd w:val="0"/>
        <w:spacing w:before="8"/>
        <w:ind w:right="143"/>
        <w:jc w:val="right"/>
        <w:rPr>
          <w:rFonts w:ascii="Calibri" w:hAnsi="Calibri" w:cs="Calibri"/>
          <w:color w:val="000000"/>
          <w:sz w:val="20"/>
        </w:rPr>
      </w:pPr>
      <w:r>
        <w:rPr>
          <w:rFonts w:ascii="Calibri" w:hAnsi="Calibri" w:cs="Calibri"/>
          <w:color w:val="000000"/>
          <w:spacing w:val="-2"/>
          <w:w w:val="101"/>
          <w:sz w:val="20"/>
        </w:rPr>
        <w:t>17%</w:t>
      </w:r>
    </w:p>
    <w:p w:rsidR="004F7425" w:rsidRDefault="004F7425" w:rsidP="004F7425">
      <w:pPr>
        <w:widowControl w:val="0"/>
        <w:autoSpaceDE w:val="0"/>
        <w:autoSpaceDN w:val="0"/>
        <w:adjustRightInd w:val="0"/>
        <w:spacing w:before="3" w:line="180" w:lineRule="exact"/>
        <w:rPr>
          <w:rFonts w:ascii="Calibri" w:hAnsi="Calibri" w:cs="Calibri"/>
          <w:color w:val="000000"/>
          <w:sz w:val="18"/>
          <w:szCs w:val="18"/>
        </w:rPr>
      </w:pPr>
    </w:p>
    <w:p w:rsidR="004F7425" w:rsidRDefault="004F7425" w:rsidP="004F7425">
      <w:pPr>
        <w:widowControl w:val="0"/>
        <w:autoSpaceDE w:val="0"/>
        <w:autoSpaceDN w:val="0"/>
        <w:adjustRightInd w:val="0"/>
        <w:spacing w:line="248" w:lineRule="auto"/>
        <w:ind w:left="-18" w:right="513"/>
        <w:jc w:val="center"/>
        <w:rPr>
          <w:rFonts w:ascii="Calibri" w:hAnsi="Calibri" w:cs="Calibri"/>
          <w:color w:val="000000"/>
          <w:sz w:val="20"/>
        </w:rPr>
      </w:pPr>
      <w:r>
        <w:rPr>
          <w:rFonts w:ascii="Calibri" w:hAnsi="Calibri" w:cs="Calibri"/>
          <w:color w:val="000000"/>
          <w:spacing w:val="-7"/>
          <w:w w:val="101"/>
          <w:sz w:val="20"/>
        </w:rPr>
        <w:t>r</w:t>
      </w:r>
      <w:r>
        <w:rPr>
          <w:rFonts w:ascii="Calibri" w:hAnsi="Calibri" w:cs="Calibri"/>
          <w:color w:val="000000"/>
          <w:spacing w:val="-6"/>
          <w:w w:val="101"/>
          <w:sz w:val="20"/>
        </w:rPr>
        <w:t>o</w:t>
      </w:r>
      <w:r>
        <w:rPr>
          <w:rFonts w:ascii="Calibri" w:hAnsi="Calibri" w:cs="Calibri"/>
          <w:color w:val="000000"/>
          <w:spacing w:val="-5"/>
          <w:w w:val="101"/>
          <w:sz w:val="20"/>
        </w:rPr>
        <w:t>h</w:t>
      </w:r>
      <w:r>
        <w:rPr>
          <w:rFonts w:ascii="Calibri" w:hAnsi="Calibri" w:cs="Calibri"/>
          <w:color w:val="000000"/>
          <w:spacing w:val="-3"/>
          <w:w w:val="101"/>
          <w:sz w:val="20"/>
        </w:rPr>
        <w:t>y</w:t>
      </w:r>
      <w:r>
        <w:rPr>
          <w:rFonts w:ascii="Calibri" w:hAnsi="Calibri" w:cs="Calibri"/>
          <w:color w:val="000000"/>
          <w:spacing w:val="-5"/>
          <w:w w:val="101"/>
          <w:sz w:val="20"/>
        </w:rPr>
        <w:t>pn</w:t>
      </w:r>
      <w:r>
        <w:rPr>
          <w:rFonts w:ascii="Calibri" w:hAnsi="Calibri" w:cs="Calibri"/>
          <w:color w:val="000000"/>
          <w:spacing w:val="-6"/>
          <w:w w:val="101"/>
          <w:sz w:val="20"/>
        </w:rPr>
        <w:t>o</w:t>
      </w:r>
      <w:r>
        <w:rPr>
          <w:rFonts w:ascii="Calibri" w:hAnsi="Calibri" w:cs="Calibri"/>
          <w:color w:val="000000"/>
          <w:spacing w:val="4"/>
          <w:w w:val="101"/>
          <w:sz w:val="20"/>
        </w:rPr>
        <w:t>l</w:t>
      </w:r>
      <w:r>
        <w:rPr>
          <w:rFonts w:ascii="Calibri" w:hAnsi="Calibri" w:cs="Calibri"/>
          <w:color w:val="000000"/>
          <w:spacing w:val="-2"/>
          <w:w w:val="101"/>
          <w:sz w:val="20"/>
        </w:rPr>
        <w:t>/</w:t>
      </w:r>
      <w:r>
        <w:rPr>
          <w:rFonts w:ascii="Calibri" w:hAnsi="Calibri" w:cs="Calibri"/>
          <w:color w:val="000000"/>
          <w:spacing w:val="9"/>
          <w:w w:val="101"/>
          <w:sz w:val="20"/>
        </w:rPr>
        <w:t>s</w:t>
      </w:r>
      <w:r>
        <w:rPr>
          <w:rFonts w:ascii="Calibri" w:hAnsi="Calibri" w:cs="Calibri"/>
          <w:color w:val="000000"/>
          <w:w w:val="101"/>
          <w:sz w:val="20"/>
        </w:rPr>
        <w:t xml:space="preserve">u </w:t>
      </w:r>
      <w:r>
        <w:rPr>
          <w:rFonts w:ascii="Calibri" w:hAnsi="Calibri" w:cs="Calibri"/>
          <w:color w:val="000000"/>
          <w:spacing w:val="-5"/>
          <w:w w:val="101"/>
          <w:sz w:val="20"/>
        </w:rPr>
        <w:t>bu</w:t>
      </w:r>
      <w:r>
        <w:rPr>
          <w:rFonts w:ascii="Calibri" w:hAnsi="Calibri" w:cs="Calibri"/>
          <w:color w:val="000000"/>
          <w:spacing w:val="-4"/>
          <w:w w:val="101"/>
          <w:sz w:val="20"/>
        </w:rPr>
        <w:t>t</w:t>
      </w:r>
      <w:r>
        <w:rPr>
          <w:rFonts w:ascii="Calibri" w:hAnsi="Calibri" w:cs="Calibri"/>
          <w:color w:val="000000"/>
          <w:w w:val="101"/>
          <w:sz w:val="20"/>
        </w:rPr>
        <w:t>ex</w:t>
      </w:r>
    </w:p>
    <w:p w:rsidR="004F7425" w:rsidRDefault="004F7425" w:rsidP="004F7425">
      <w:pPr>
        <w:widowControl w:val="0"/>
        <w:autoSpaceDE w:val="0"/>
        <w:autoSpaceDN w:val="0"/>
        <w:adjustRightInd w:val="0"/>
        <w:spacing w:line="231" w:lineRule="exact"/>
        <w:ind w:left="331" w:right="864"/>
        <w:jc w:val="center"/>
        <w:rPr>
          <w:rFonts w:ascii="Calibri" w:hAnsi="Calibri" w:cs="Calibri"/>
          <w:color w:val="000000"/>
          <w:sz w:val="20"/>
        </w:rPr>
      </w:pPr>
      <w:r>
        <w:rPr>
          <w:rFonts w:ascii="Calibri" w:hAnsi="Calibri" w:cs="Calibri"/>
          <w:color w:val="000000"/>
          <w:spacing w:val="-2"/>
          <w:w w:val="101"/>
          <w:position w:val="1"/>
          <w:sz w:val="20"/>
        </w:rPr>
        <w:t>5%</w:t>
      </w:r>
    </w:p>
    <w:p w:rsidR="004F7425" w:rsidRDefault="004F7425" w:rsidP="004F7425">
      <w:pPr>
        <w:widowControl w:val="0"/>
        <w:autoSpaceDE w:val="0"/>
        <w:autoSpaceDN w:val="0"/>
        <w:adjustRightInd w:val="0"/>
        <w:spacing w:before="4"/>
        <w:ind w:left="-35" w:right="-55"/>
        <w:jc w:val="center"/>
        <w:rPr>
          <w:rFonts w:ascii="Calibri" w:hAnsi="Calibri" w:cs="Calibri"/>
          <w:color w:val="000000"/>
          <w:sz w:val="20"/>
        </w:rPr>
      </w:pPr>
      <w:r>
        <w:rPr>
          <w:rFonts w:ascii="Calibri" w:hAnsi="Calibri" w:cs="Calibri"/>
          <w:color w:val="000000"/>
          <w:sz w:val="20"/>
        </w:rPr>
        <w:br w:type="column"/>
      </w:r>
      <w:r>
        <w:rPr>
          <w:rFonts w:ascii="Calibri" w:hAnsi="Calibri" w:cs="Calibri"/>
          <w:color w:val="000000"/>
          <w:spacing w:val="-4"/>
          <w:sz w:val="20"/>
        </w:rPr>
        <w:lastRenderedPageBreak/>
        <w:t>K</w:t>
      </w:r>
      <w:r>
        <w:rPr>
          <w:rFonts w:ascii="Calibri" w:hAnsi="Calibri" w:cs="Calibri"/>
          <w:color w:val="000000"/>
          <w:spacing w:val="-6"/>
          <w:w w:val="101"/>
          <w:sz w:val="20"/>
        </w:rPr>
        <w:t>o</w:t>
      </w:r>
      <w:r>
        <w:rPr>
          <w:rFonts w:ascii="Calibri" w:hAnsi="Calibri" w:cs="Calibri"/>
          <w:color w:val="000000"/>
          <w:spacing w:val="-4"/>
          <w:sz w:val="20"/>
        </w:rPr>
        <w:t>k</w:t>
      </w:r>
      <w:r>
        <w:rPr>
          <w:rFonts w:ascii="Calibri" w:hAnsi="Calibri" w:cs="Calibri"/>
          <w:color w:val="000000"/>
          <w:spacing w:val="4"/>
          <w:w w:val="101"/>
          <w:sz w:val="20"/>
        </w:rPr>
        <w:t>ai</w:t>
      </w:r>
      <w:r>
        <w:rPr>
          <w:rFonts w:ascii="Calibri" w:hAnsi="Calibri" w:cs="Calibri"/>
          <w:color w:val="000000"/>
          <w:spacing w:val="-6"/>
          <w:w w:val="101"/>
          <w:sz w:val="20"/>
        </w:rPr>
        <w:t>n</w:t>
      </w:r>
      <w:r>
        <w:rPr>
          <w:rFonts w:ascii="Calibri" w:hAnsi="Calibri" w:cs="Calibri"/>
          <w:color w:val="000000"/>
          <w:spacing w:val="4"/>
          <w:w w:val="101"/>
          <w:sz w:val="20"/>
        </w:rPr>
        <w:t>a</w:t>
      </w:r>
      <w:r>
        <w:rPr>
          <w:rFonts w:ascii="Calibri" w:hAnsi="Calibri" w:cs="Calibri"/>
          <w:color w:val="000000"/>
          <w:w w:val="101"/>
          <w:sz w:val="20"/>
        </w:rPr>
        <w:t>s</w:t>
      </w:r>
    </w:p>
    <w:p w:rsidR="004F7425" w:rsidRDefault="004F7425" w:rsidP="004F7425">
      <w:pPr>
        <w:widowControl w:val="0"/>
        <w:autoSpaceDE w:val="0"/>
        <w:autoSpaceDN w:val="0"/>
        <w:adjustRightInd w:val="0"/>
        <w:spacing w:before="8"/>
        <w:ind w:left="154" w:right="132"/>
        <w:jc w:val="center"/>
        <w:rPr>
          <w:rFonts w:ascii="Calibri" w:hAnsi="Calibri" w:cs="Calibri"/>
          <w:color w:val="000000"/>
          <w:sz w:val="20"/>
        </w:rPr>
      </w:pPr>
      <w:r>
        <w:rPr>
          <w:rFonts w:ascii="Calibri" w:hAnsi="Calibri" w:cs="Calibri"/>
          <w:color w:val="000000"/>
          <w:spacing w:val="-2"/>
          <w:w w:val="101"/>
          <w:sz w:val="20"/>
        </w:rPr>
        <w:t>38%</w:t>
      </w:r>
    </w:p>
    <w:p w:rsidR="004F7425" w:rsidRDefault="004F7425" w:rsidP="004F7425">
      <w:pPr>
        <w:widowControl w:val="0"/>
        <w:autoSpaceDE w:val="0"/>
        <w:autoSpaceDN w:val="0"/>
        <w:adjustRightInd w:val="0"/>
        <w:spacing w:before="6" w:line="100" w:lineRule="exact"/>
        <w:rPr>
          <w:rFonts w:ascii="Calibri" w:hAnsi="Calibri" w:cs="Calibri"/>
          <w:color w:val="000000"/>
          <w:sz w:val="10"/>
          <w:szCs w:val="10"/>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ind w:left="-33" w:right="413"/>
        <w:jc w:val="center"/>
        <w:rPr>
          <w:rFonts w:ascii="Calibri" w:hAnsi="Calibri" w:cs="Calibri"/>
          <w:color w:val="000000"/>
          <w:sz w:val="17"/>
          <w:szCs w:val="17"/>
        </w:rPr>
      </w:pPr>
      <w:r>
        <w:rPr>
          <w:rFonts w:ascii="Calibri" w:hAnsi="Calibri" w:cs="Calibri"/>
          <w:color w:val="000000"/>
          <w:spacing w:val="-1"/>
          <w:w w:val="104"/>
          <w:sz w:val="17"/>
          <w:szCs w:val="17"/>
        </w:rPr>
        <w:t>A</w:t>
      </w:r>
      <w:r>
        <w:rPr>
          <w:rFonts w:ascii="Calibri" w:hAnsi="Calibri" w:cs="Calibri"/>
          <w:color w:val="000000"/>
          <w:spacing w:val="-3"/>
          <w:w w:val="104"/>
          <w:sz w:val="17"/>
          <w:szCs w:val="17"/>
        </w:rPr>
        <w:t>mf</w:t>
      </w:r>
      <w:r>
        <w:rPr>
          <w:rFonts w:ascii="Calibri" w:hAnsi="Calibri" w:cs="Calibri"/>
          <w:color w:val="000000"/>
          <w:w w:val="104"/>
          <w:sz w:val="17"/>
          <w:szCs w:val="17"/>
        </w:rPr>
        <w:t>e</w:t>
      </w:r>
      <w:r>
        <w:rPr>
          <w:rFonts w:ascii="Calibri" w:hAnsi="Calibri" w:cs="Calibri"/>
          <w:color w:val="000000"/>
          <w:spacing w:val="4"/>
          <w:w w:val="104"/>
          <w:sz w:val="17"/>
          <w:szCs w:val="17"/>
        </w:rPr>
        <w:t>ta</w:t>
      </w:r>
      <w:r>
        <w:rPr>
          <w:rFonts w:ascii="Calibri" w:hAnsi="Calibri" w:cs="Calibri"/>
          <w:color w:val="000000"/>
          <w:spacing w:val="-3"/>
          <w:w w:val="104"/>
          <w:sz w:val="17"/>
          <w:szCs w:val="17"/>
        </w:rPr>
        <w:t>m</w:t>
      </w:r>
      <w:r>
        <w:rPr>
          <w:rFonts w:ascii="Calibri" w:hAnsi="Calibri" w:cs="Calibri"/>
          <w:color w:val="000000"/>
          <w:spacing w:val="-2"/>
          <w:w w:val="104"/>
          <w:sz w:val="17"/>
          <w:szCs w:val="17"/>
        </w:rPr>
        <w:t>i</w:t>
      </w:r>
      <w:r>
        <w:rPr>
          <w:rFonts w:ascii="Calibri" w:hAnsi="Calibri" w:cs="Calibri"/>
          <w:color w:val="000000"/>
          <w:spacing w:val="-4"/>
          <w:w w:val="104"/>
          <w:sz w:val="17"/>
          <w:szCs w:val="17"/>
        </w:rPr>
        <w:t>n</w:t>
      </w:r>
      <w:r>
        <w:rPr>
          <w:rFonts w:ascii="Calibri" w:hAnsi="Calibri" w:cs="Calibri"/>
          <w:color w:val="000000"/>
          <w:spacing w:val="4"/>
          <w:w w:val="104"/>
          <w:sz w:val="17"/>
          <w:szCs w:val="17"/>
        </w:rPr>
        <w:t>a</w:t>
      </w:r>
      <w:r>
        <w:rPr>
          <w:rFonts w:ascii="Calibri" w:hAnsi="Calibri" w:cs="Calibri"/>
          <w:color w:val="000000"/>
          <w:w w:val="104"/>
          <w:sz w:val="17"/>
          <w:szCs w:val="17"/>
        </w:rPr>
        <w:t>s</w:t>
      </w:r>
    </w:p>
    <w:p w:rsidR="004F7425" w:rsidRDefault="004F7425" w:rsidP="004F7425">
      <w:pPr>
        <w:widowControl w:val="0"/>
        <w:autoSpaceDE w:val="0"/>
        <w:autoSpaceDN w:val="0"/>
        <w:adjustRightInd w:val="0"/>
        <w:spacing w:before="7"/>
        <w:ind w:left="333" w:right="787"/>
        <w:jc w:val="center"/>
        <w:rPr>
          <w:rFonts w:ascii="Calibri" w:hAnsi="Calibri" w:cs="Calibri"/>
          <w:color w:val="000000"/>
          <w:sz w:val="17"/>
          <w:szCs w:val="17"/>
        </w:rPr>
      </w:pPr>
      <w:r>
        <w:rPr>
          <w:rFonts w:ascii="Calibri" w:hAnsi="Calibri" w:cs="Calibri"/>
          <w:color w:val="000000"/>
          <w:spacing w:val="-1"/>
          <w:w w:val="104"/>
          <w:sz w:val="17"/>
          <w:szCs w:val="17"/>
        </w:rPr>
        <w:t>5%</w:t>
      </w:r>
    </w:p>
    <w:p w:rsidR="004F7425" w:rsidRDefault="004F7425" w:rsidP="004F7425">
      <w:pPr>
        <w:widowControl w:val="0"/>
        <w:autoSpaceDE w:val="0"/>
        <w:autoSpaceDN w:val="0"/>
        <w:adjustRightInd w:val="0"/>
        <w:spacing w:before="7"/>
        <w:ind w:left="333" w:right="787"/>
        <w:jc w:val="center"/>
        <w:rPr>
          <w:rFonts w:ascii="Calibri" w:hAnsi="Calibri" w:cs="Calibri"/>
          <w:color w:val="000000"/>
          <w:sz w:val="17"/>
          <w:szCs w:val="17"/>
        </w:rPr>
        <w:sectPr w:rsidR="004F7425">
          <w:type w:val="continuous"/>
          <w:pgSz w:w="11920" w:h="16840"/>
          <w:pgMar w:top="1540" w:right="460" w:bottom="280" w:left="1360" w:header="567" w:footer="567" w:gutter="0"/>
          <w:cols w:num="4" w:space="1296" w:equalWidth="0">
            <w:col w:w="3874" w:space="417"/>
            <w:col w:w="1530" w:space="2088"/>
            <w:col w:w="720" w:space="35"/>
            <w:col w:w="1436"/>
          </w:cols>
          <w:noEndnote/>
        </w:sectPr>
      </w:pPr>
    </w:p>
    <w:p w:rsidR="004F7425" w:rsidRDefault="004F7425" w:rsidP="004F7425">
      <w:pPr>
        <w:widowControl w:val="0"/>
        <w:autoSpaceDE w:val="0"/>
        <w:autoSpaceDN w:val="0"/>
        <w:adjustRightInd w:val="0"/>
        <w:spacing w:before="75" w:line="277" w:lineRule="auto"/>
        <w:ind w:left="340" w:right="-61"/>
        <w:jc w:val="both"/>
        <w:rPr>
          <w:color w:val="000000"/>
        </w:rPr>
      </w:pPr>
      <w:r>
        <w:rPr>
          <w:color w:val="000000"/>
          <w:spacing w:val="4"/>
        </w:rPr>
        <w:lastRenderedPageBreak/>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spacing w:val="-5"/>
        </w:rPr>
        <w:t>n</w:t>
      </w:r>
      <w:r>
        <w:rPr>
          <w:color w:val="000000"/>
          <w:spacing w:val="5"/>
        </w:rPr>
        <w:t>o</w:t>
      </w:r>
      <w:r>
        <w:rPr>
          <w:color w:val="000000"/>
        </w:rPr>
        <w:t>.</w:t>
      </w:r>
      <w:r>
        <w:rPr>
          <w:color w:val="000000"/>
          <w:spacing w:val="2"/>
        </w:rPr>
        <w:t xml:space="preserve"> T</w:t>
      </w:r>
      <w:r>
        <w:rPr>
          <w:color w:val="000000"/>
          <w:spacing w:val="-1"/>
        </w:rPr>
        <w:t>a</w:t>
      </w:r>
      <w:r>
        <w:rPr>
          <w:color w:val="000000"/>
          <w:spacing w:val="4"/>
        </w:rPr>
        <w:t>č</w:t>
      </w:r>
      <w:r>
        <w:rPr>
          <w:color w:val="000000"/>
          <w:spacing w:val="-9"/>
        </w:rPr>
        <w:t>i</w:t>
      </w:r>
      <w:r>
        <w:rPr>
          <w:color w:val="000000"/>
          <w:spacing w:val="-1"/>
        </w:rPr>
        <w:t>a</w:t>
      </w:r>
      <w:r>
        <w:rPr>
          <w:color w:val="000000"/>
        </w:rPr>
        <w:t>u</w:t>
      </w:r>
      <w:r>
        <w:rPr>
          <w:color w:val="000000"/>
          <w:spacing w:val="5"/>
        </w:rPr>
        <w:t xml:space="preserve"> </w:t>
      </w:r>
      <w:r>
        <w:rPr>
          <w:color w:val="000000"/>
          <w:spacing w:val="-4"/>
        </w:rPr>
        <w:t>m</w:t>
      </w:r>
      <w:r>
        <w:rPr>
          <w:color w:val="000000"/>
          <w:spacing w:val="-1"/>
        </w:rPr>
        <w:t>a</w:t>
      </w:r>
      <w:r>
        <w:rPr>
          <w:color w:val="000000"/>
          <w:spacing w:val="4"/>
        </w:rPr>
        <w:t>ž</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 xml:space="preserve">i - </w:t>
      </w:r>
      <w:r>
        <w:rPr>
          <w:color w:val="000000"/>
          <w:spacing w:val="-1"/>
        </w:rPr>
        <w:t>ec</w:t>
      </w:r>
      <w:r>
        <w:rPr>
          <w:color w:val="000000"/>
          <w:spacing w:val="-2"/>
        </w:rPr>
        <w:t>s</w:t>
      </w:r>
      <w:r>
        <w:rPr>
          <w:color w:val="000000"/>
          <w:spacing w:val="5"/>
        </w:rPr>
        <w:t>t</w:t>
      </w:r>
      <w:r>
        <w:rPr>
          <w:color w:val="000000"/>
          <w:spacing w:val="-1"/>
        </w:rPr>
        <w:t>a</w:t>
      </w:r>
      <w:r>
        <w:rPr>
          <w:color w:val="000000"/>
          <w:spacing w:val="2"/>
        </w:rPr>
        <w:t>s</w:t>
      </w:r>
      <w:r>
        <w:rPr>
          <w:color w:val="000000"/>
        </w:rPr>
        <w:t xml:space="preserve">y </w:t>
      </w:r>
      <w:r>
        <w:rPr>
          <w:color w:val="000000"/>
          <w:spacing w:val="5"/>
        </w:rPr>
        <w:t>t</w:t>
      </w:r>
      <w:r>
        <w:rPr>
          <w:color w:val="000000"/>
          <w:spacing w:val="4"/>
        </w:rPr>
        <w:t>a</w:t>
      </w:r>
      <w:r>
        <w:rPr>
          <w:color w:val="000000"/>
        </w:rPr>
        <w:t>b</w:t>
      </w:r>
      <w:r>
        <w:rPr>
          <w:color w:val="000000"/>
          <w:spacing w:val="-4"/>
        </w:rPr>
        <w:t>l</w:t>
      </w:r>
      <w:r>
        <w:rPr>
          <w:color w:val="000000"/>
          <w:spacing w:val="-1"/>
        </w:rPr>
        <w:t>e</w:t>
      </w:r>
      <w:r>
        <w:rPr>
          <w:color w:val="000000"/>
          <w:spacing w:val="4"/>
        </w:rPr>
        <w:t>č</w:t>
      </w:r>
      <w:r>
        <w:rPr>
          <w:color w:val="000000"/>
          <w:spacing w:val="-4"/>
        </w:rPr>
        <w:t>i</w:t>
      </w:r>
      <w:r>
        <w:rPr>
          <w:color w:val="000000"/>
        </w:rPr>
        <w:t>ų.</w:t>
      </w:r>
      <w:r>
        <w:rPr>
          <w:color w:val="000000"/>
          <w:spacing w:val="12"/>
        </w:rPr>
        <w:t xml:space="preserve"> </w:t>
      </w:r>
      <w:r>
        <w:rPr>
          <w:color w:val="000000"/>
          <w:spacing w:val="2"/>
        </w:rPr>
        <w:t>L</w:t>
      </w:r>
      <w:r>
        <w:rPr>
          <w:color w:val="000000"/>
          <w:spacing w:val="-5"/>
        </w:rPr>
        <w:t>y</w:t>
      </w:r>
      <w:r>
        <w:rPr>
          <w:color w:val="000000"/>
          <w:spacing w:val="5"/>
        </w:rPr>
        <w:t>g</w:t>
      </w:r>
      <w:r>
        <w:rPr>
          <w:color w:val="000000"/>
          <w:spacing w:val="-4"/>
        </w:rPr>
        <w:t>i</w:t>
      </w:r>
      <w:r>
        <w:rPr>
          <w:color w:val="000000"/>
        </w:rPr>
        <w:t>n</w:t>
      </w:r>
      <w:r>
        <w:rPr>
          <w:color w:val="000000"/>
          <w:spacing w:val="4"/>
        </w:rPr>
        <w:t>a</w:t>
      </w:r>
      <w:r>
        <w:rPr>
          <w:color w:val="000000"/>
          <w:spacing w:val="-5"/>
        </w:rPr>
        <w:t>n</w:t>
      </w:r>
      <w:r>
        <w:rPr>
          <w:color w:val="000000"/>
        </w:rPr>
        <w:t>t</w:t>
      </w:r>
      <w:r>
        <w:rPr>
          <w:color w:val="000000"/>
          <w:spacing w:val="15"/>
        </w:rPr>
        <w:t xml:space="preserve"> </w:t>
      </w:r>
      <w:r>
        <w:rPr>
          <w:color w:val="000000"/>
          <w:spacing w:val="-2"/>
        </w:rPr>
        <w:t>s</w:t>
      </w:r>
      <w:r>
        <w:rPr>
          <w:color w:val="000000"/>
        </w:rPr>
        <w:t>u</w:t>
      </w:r>
      <w:r>
        <w:rPr>
          <w:color w:val="000000"/>
          <w:spacing w:val="10"/>
        </w:rPr>
        <w:t xml:space="preserve"> </w:t>
      </w:r>
      <w:r>
        <w:rPr>
          <w:color w:val="000000"/>
        </w:rPr>
        <w:t xml:space="preserve">2011 </w:t>
      </w:r>
      <w:r>
        <w:rPr>
          <w:color w:val="000000"/>
          <w:spacing w:val="-9"/>
        </w:rPr>
        <w:t>m</w:t>
      </w:r>
      <w:r>
        <w:rPr>
          <w:color w:val="000000"/>
          <w:spacing w:val="2"/>
        </w:rPr>
        <w:t>.</w:t>
      </w:r>
      <w:r>
        <w:rPr>
          <w:color w:val="000000"/>
        </w:rPr>
        <w:t xml:space="preserve">,  </w:t>
      </w:r>
      <w:r>
        <w:rPr>
          <w:color w:val="000000"/>
          <w:spacing w:val="57"/>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rPr>
        <w:t>y</w:t>
      </w:r>
      <w:r>
        <w:rPr>
          <w:color w:val="000000"/>
          <w:spacing w:val="-7"/>
        </w:rPr>
        <w:t>m</w:t>
      </w:r>
      <w:r>
        <w:rPr>
          <w:color w:val="000000"/>
        </w:rPr>
        <w:t xml:space="preserve">o  </w:t>
      </w:r>
      <w:r>
        <w:rPr>
          <w:color w:val="000000"/>
          <w:spacing w:val="55"/>
        </w:rPr>
        <w:t xml:space="preserve"> </w:t>
      </w:r>
      <w:r>
        <w:rPr>
          <w:color w:val="000000"/>
        </w:rPr>
        <w:t>p</w:t>
      </w:r>
      <w:r>
        <w:rPr>
          <w:color w:val="000000"/>
          <w:spacing w:val="-1"/>
        </w:rPr>
        <w:t>a</w:t>
      </w:r>
      <w:r>
        <w:rPr>
          <w:color w:val="000000"/>
        </w:rPr>
        <w:t>g</w:t>
      </w:r>
      <w:r>
        <w:rPr>
          <w:color w:val="000000"/>
          <w:spacing w:val="4"/>
        </w:rPr>
        <w:t>a</w:t>
      </w:r>
      <w:r>
        <w:rPr>
          <w:color w:val="000000"/>
        </w:rPr>
        <w:t xml:space="preserve">l  </w:t>
      </w:r>
      <w:r>
        <w:rPr>
          <w:color w:val="000000"/>
          <w:spacing w:val="51"/>
        </w:rPr>
        <w:t xml:space="preserve"> </w:t>
      </w:r>
      <w:r>
        <w:rPr>
          <w:color w:val="000000"/>
          <w:spacing w:val="-4"/>
        </w:rPr>
        <w:t>m</w:t>
      </w:r>
      <w:r>
        <w:rPr>
          <w:color w:val="000000"/>
          <w:spacing w:val="4"/>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4"/>
        </w:rPr>
        <w:t>a</w:t>
      </w:r>
      <w:r>
        <w:rPr>
          <w:color w:val="000000"/>
        </w:rPr>
        <w:t>s</w:t>
      </w:r>
    </w:p>
    <w:p w:rsidR="004F7425" w:rsidRDefault="004F7425" w:rsidP="004F7425">
      <w:pPr>
        <w:widowControl w:val="0"/>
        <w:autoSpaceDE w:val="0"/>
        <w:autoSpaceDN w:val="0"/>
        <w:adjustRightInd w:val="0"/>
        <w:spacing w:line="270" w:lineRule="exact"/>
        <w:ind w:left="340" w:right="920"/>
        <w:jc w:val="both"/>
        <w:rPr>
          <w:color w:val="000000"/>
        </w:rPr>
      </w:pPr>
      <w:r>
        <w:rPr>
          <w:color w:val="000000"/>
          <w:spacing w:val="-2"/>
          <w:position w:val="-1"/>
        </w:rPr>
        <w:t>s</w:t>
      </w:r>
      <w:r>
        <w:rPr>
          <w:color w:val="000000"/>
          <w:spacing w:val="4"/>
          <w:position w:val="-1"/>
        </w:rPr>
        <w:t>a</w:t>
      </w:r>
      <w:r>
        <w:rPr>
          <w:color w:val="000000"/>
          <w:spacing w:val="-5"/>
          <w:position w:val="-1"/>
        </w:rPr>
        <w:t>n</w:t>
      </w:r>
      <w:r>
        <w:rPr>
          <w:color w:val="000000"/>
          <w:spacing w:val="10"/>
          <w:position w:val="-1"/>
        </w:rPr>
        <w:t>t</w:t>
      </w:r>
      <w:r>
        <w:rPr>
          <w:color w:val="000000"/>
          <w:spacing w:val="-10"/>
          <w:position w:val="-1"/>
        </w:rPr>
        <w:t>y</w:t>
      </w:r>
      <w:r>
        <w:rPr>
          <w:color w:val="000000"/>
          <w:spacing w:val="5"/>
          <w:position w:val="-1"/>
        </w:rPr>
        <w:t>k</w:t>
      </w:r>
      <w:r>
        <w:rPr>
          <w:color w:val="000000"/>
          <w:spacing w:val="-4"/>
          <w:position w:val="-1"/>
        </w:rPr>
        <w:t>i</w:t>
      </w:r>
      <w:r>
        <w:rPr>
          <w:color w:val="000000"/>
          <w:position w:val="-1"/>
        </w:rPr>
        <w:t>s b</w:t>
      </w:r>
      <w:r>
        <w:rPr>
          <w:color w:val="000000"/>
          <w:spacing w:val="4"/>
          <w:position w:val="-1"/>
        </w:rPr>
        <w:t>e</w:t>
      </w:r>
      <w:r>
        <w:rPr>
          <w:color w:val="000000"/>
          <w:spacing w:val="-5"/>
          <w:position w:val="-1"/>
        </w:rPr>
        <w:t>v</w:t>
      </w:r>
      <w:r>
        <w:rPr>
          <w:color w:val="000000"/>
          <w:spacing w:val="4"/>
          <w:position w:val="-1"/>
        </w:rPr>
        <w:t>e</w:t>
      </w:r>
      <w:r>
        <w:rPr>
          <w:color w:val="000000"/>
          <w:spacing w:val="-4"/>
          <w:position w:val="-1"/>
        </w:rPr>
        <w:t>i</w:t>
      </w:r>
      <w:r>
        <w:rPr>
          <w:color w:val="000000"/>
          <w:position w:val="-1"/>
        </w:rPr>
        <w:t>k</w:t>
      </w:r>
      <w:r>
        <w:rPr>
          <w:color w:val="000000"/>
          <w:spacing w:val="2"/>
          <w:position w:val="-1"/>
        </w:rPr>
        <w:t xml:space="preserve"> </w:t>
      </w:r>
      <w:r>
        <w:rPr>
          <w:color w:val="000000"/>
          <w:spacing w:val="-5"/>
          <w:position w:val="-1"/>
        </w:rPr>
        <w:t>n</w:t>
      </w:r>
      <w:r>
        <w:rPr>
          <w:color w:val="000000"/>
          <w:spacing w:val="4"/>
          <w:position w:val="-1"/>
        </w:rPr>
        <w:t>e</w:t>
      </w:r>
      <w:r>
        <w:rPr>
          <w:color w:val="000000"/>
          <w:spacing w:val="2"/>
          <w:position w:val="-1"/>
        </w:rPr>
        <w:t>s</w:t>
      </w:r>
      <w:r>
        <w:rPr>
          <w:color w:val="000000"/>
          <w:spacing w:val="-4"/>
          <w:position w:val="-1"/>
        </w:rPr>
        <w:t>i</w:t>
      </w:r>
      <w:r>
        <w:rPr>
          <w:color w:val="000000"/>
          <w:position w:val="-1"/>
        </w:rPr>
        <w:t>k</w:t>
      </w:r>
      <w:r>
        <w:rPr>
          <w:color w:val="000000"/>
          <w:spacing w:val="4"/>
          <w:position w:val="-1"/>
        </w:rPr>
        <w:t>e</w:t>
      </w:r>
      <w:r>
        <w:rPr>
          <w:color w:val="000000"/>
          <w:spacing w:val="-4"/>
          <w:position w:val="-1"/>
        </w:rPr>
        <w:t>i</w:t>
      </w:r>
      <w:r>
        <w:rPr>
          <w:color w:val="000000"/>
          <w:spacing w:val="4"/>
          <w:position w:val="-1"/>
        </w:rPr>
        <w:t>č</w:t>
      </w:r>
      <w:r>
        <w:rPr>
          <w:color w:val="000000"/>
          <w:spacing w:val="-4"/>
          <w:position w:val="-1"/>
        </w:rPr>
        <w:t>i</w:t>
      </w:r>
      <w:r>
        <w:rPr>
          <w:color w:val="000000"/>
          <w:spacing w:val="-1"/>
          <w:position w:val="-1"/>
        </w:rPr>
        <w:t>a</w:t>
      </w:r>
      <w:r>
        <w:rPr>
          <w:color w:val="000000"/>
          <w:position w:val="-1"/>
        </w:rPr>
        <w:t>.</w:t>
      </w:r>
    </w:p>
    <w:p w:rsidR="004F7425" w:rsidRDefault="004F7425" w:rsidP="004F7425">
      <w:pPr>
        <w:widowControl w:val="0"/>
        <w:autoSpaceDE w:val="0"/>
        <w:autoSpaceDN w:val="0"/>
        <w:adjustRightInd w:val="0"/>
        <w:spacing w:line="205" w:lineRule="exact"/>
        <w:ind w:left="-35" w:right="324"/>
        <w:jc w:val="center"/>
        <w:rPr>
          <w:rFonts w:ascii="Calibri" w:hAnsi="Calibri" w:cs="Calibri"/>
          <w:color w:val="000000"/>
          <w:sz w:val="20"/>
        </w:rPr>
      </w:pPr>
      <w:r>
        <w:rPr>
          <w:color w:val="000000"/>
        </w:rPr>
        <w:br w:type="column"/>
      </w:r>
      <w:r>
        <w:rPr>
          <w:rFonts w:ascii="Calibri" w:hAnsi="Calibri" w:cs="Calibri"/>
          <w:color w:val="000000"/>
          <w:spacing w:val="5"/>
          <w:position w:val="1"/>
          <w:sz w:val="20"/>
        </w:rPr>
        <w:lastRenderedPageBreak/>
        <w:t>C</w:t>
      </w:r>
      <w:r>
        <w:rPr>
          <w:rFonts w:ascii="Calibri" w:hAnsi="Calibri" w:cs="Calibri"/>
          <w:color w:val="000000"/>
          <w:spacing w:val="4"/>
          <w:position w:val="1"/>
          <w:sz w:val="20"/>
        </w:rPr>
        <w:t>a</w:t>
      </w:r>
      <w:r>
        <w:rPr>
          <w:rFonts w:ascii="Calibri" w:hAnsi="Calibri" w:cs="Calibri"/>
          <w:color w:val="000000"/>
          <w:spacing w:val="-5"/>
          <w:position w:val="1"/>
          <w:sz w:val="20"/>
        </w:rPr>
        <w:t>th</w:t>
      </w:r>
      <w:r>
        <w:rPr>
          <w:rFonts w:ascii="Calibri" w:hAnsi="Calibri" w:cs="Calibri"/>
          <w:color w:val="000000"/>
          <w:position w:val="1"/>
          <w:sz w:val="20"/>
        </w:rPr>
        <w:t>a</w:t>
      </w:r>
      <w:r>
        <w:rPr>
          <w:rFonts w:ascii="Calibri" w:hAnsi="Calibri" w:cs="Calibri"/>
          <w:color w:val="000000"/>
          <w:spacing w:val="1"/>
          <w:position w:val="1"/>
          <w:sz w:val="20"/>
        </w:rPr>
        <w:t xml:space="preserve"> </w:t>
      </w:r>
      <w:r>
        <w:rPr>
          <w:rFonts w:ascii="Calibri" w:hAnsi="Calibri" w:cs="Calibri"/>
          <w:color w:val="000000"/>
          <w:w w:val="101"/>
          <w:position w:val="1"/>
          <w:sz w:val="20"/>
        </w:rPr>
        <w:t>e</w:t>
      </w:r>
      <w:r>
        <w:rPr>
          <w:rFonts w:ascii="Calibri" w:hAnsi="Calibri" w:cs="Calibri"/>
          <w:color w:val="000000"/>
          <w:spacing w:val="-5"/>
          <w:w w:val="101"/>
          <w:position w:val="1"/>
          <w:sz w:val="20"/>
        </w:rPr>
        <w:t>du</w:t>
      </w:r>
      <w:r>
        <w:rPr>
          <w:rFonts w:ascii="Calibri" w:hAnsi="Calibri" w:cs="Calibri"/>
          <w:color w:val="000000"/>
          <w:spacing w:val="4"/>
          <w:w w:val="101"/>
          <w:position w:val="1"/>
          <w:sz w:val="20"/>
        </w:rPr>
        <w:t>li</w:t>
      </w:r>
      <w:r>
        <w:rPr>
          <w:rFonts w:ascii="Calibri" w:hAnsi="Calibri" w:cs="Calibri"/>
          <w:color w:val="000000"/>
          <w:w w:val="101"/>
          <w:position w:val="1"/>
          <w:sz w:val="20"/>
        </w:rPr>
        <w:t>s</w:t>
      </w:r>
    </w:p>
    <w:p w:rsidR="004F7425" w:rsidRDefault="004F7425" w:rsidP="004F7425">
      <w:pPr>
        <w:widowControl w:val="0"/>
        <w:autoSpaceDE w:val="0"/>
        <w:autoSpaceDN w:val="0"/>
        <w:adjustRightInd w:val="0"/>
        <w:spacing w:before="8"/>
        <w:ind w:left="343" w:right="700"/>
        <w:jc w:val="center"/>
        <w:rPr>
          <w:rFonts w:ascii="Calibri" w:hAnsi="Calibri" w:cs="Calibri"/>
          <w:color w:val="000000"/>
          <w:sz w:val="20"/>
        </w:rPr>
      </w:pPr>
      <w:r>
        <w:rPr>
          <w:rFonts w:ascii="Calibri" w:hAnsi="Calibri" w:cs="Calibri"/>
          <w:color w:val="000000"/>
          <w:spacing w:val="-2"/>
          <w:w w:val="101"/>
          <w:sz w:val="20"/>
        </w:rPr>
        <w:t>5%</w:t>
      </w:r>
    </w:p>
    <w:p w:rsidR="004F7425" w:rsidRDefault="004F7425" w:rsidP="004F7425">
      <w:pPr>
        <w:widowControl w:val="0"/>
        <w:autoSpaceDE w:val="0"/>
        <w:autoSpaceDN w:val="0"/>
        <w:adjustRightInd w:val="0"/>
        <w:spacing w:before="8" w:line="120" w:lineRule="exact"/>
        <w:rPr>
          <w:rFonts w:ascii="Calibri" w:hAnsi="Calibri" w:cs="Calibri"/>
          <w:color w:val="000000"/>
          <w:sz w:val="12"/>
          <w:szCs w:val="12"/>
        </w:rPr>
      </w:pPr>
    </w:p>
    <w:p w:rsidR="004F7425" w:rsidRDefault="004F7425" w:rsidP="004F7425">
      <w:pPr>
        <w:widowControl w:val="0"/>
        <w:autoSpaceDE w:val="0"/>
        <w:autoSpaceDN w:val="0"/>
        <w:adjustRightInd w:val="0"/>
        <w:ind w:left="725" w:right="-55"/>
        <w:jc w:val="center"/>
        <w:rPr>
          <w:rFonts w:ascii="Calibri" w:hAnsi="Calibri" w:cs="Calibri"/>
          <w:color w:val="000000"/>
          <w:sz w:val="20"/>
        </w:rPr>
      </w:pPr>
      <w:r>
        <w:rPr>
          <w:rFonts w:ascii="Calibri" w:hAnsi="Calibri" w:cs="Calibri"/>
          <w:color w:val="000000"/>
          <w:spacing w:val="1"/>
          <w:w w:val="101"/>
          <w:sz w:val="20"/>
        </w:rPr>
        <w:t>E</w:t>
      </w:r>
      <w:r>
        <w:rPr>
          <w:rFonts w:ascii="Calibri" w:hAnsi="Calibri" w:cs="Calibri"/>
          <w:color w:val="000000"/>
          <w:spacing w:val="2"/>
          <w:w w:val="101"/>
          <w:sz w:val="20"/>
        </w:rPr>
        <w:t>c</w:t>
      </w:r>
      <w:r>
        <w:rPr>
          <w:rFonts w:ascii="Calibri" w:hAnsi="Calibri" w:cs="Calibri"/>
          <w:color w:val="000000"/>
          <w:spacing w:val="8"/>
          <w:w w:val="101"/>
          <w:sz w:val="20"/>
        </w:rPr>
        <w:t>s</w:t>
      </w:r>
      <w:r>
        <w:rPr>
          <w:rFonts w:ascii="Calibri" w:hAnsi="Calibri" w:cs="Calibri"/>
          <w:color w:val="000000"/>
          <w:spacing w:val="-5"/>
          <w:w w:val="101"/>
          <w:sz w:val="20"/>
        </w:rPr>
        <w:t>t</w:t>
      </w:r>
      <w:r>
        <w:rPr>
          <w:rFonts w:ascii="Calibri" w:hAnsi="Calibri" w:cs="Calibri"/>
          <w:color w:val="000000"/>
          <w:spacing w:val="3"/>
          <w:w w:val="101"/>
          <w:sz w:val="20"/>
        </w:rPr>
        <w:t>a</w:t>
      </w:r>
      <w:r>
        <w:rPr>
          <w:rFonts w:ascii="Calibri" w:hAnsi="Calibri" w:cs="Calibri"/>
          <w:color w:val="000000"/>
          <w:spacing w:val="8"/>
          <w:w w:val="101"/>
          <w:sz w:val="20"/>
        </w:rPr>
        <w:t>s</w:t>
      </w:r>
      <w:r>
        <w:rPr>
          <w:rFonts w:ascii="Calibri" w:hAnsi="Calibri" w:cs="Calibri"/>
          <w:color w:val="000000"/>
          <w:w w:val="101"/>
          <w:sz w:val="20"/>
        </w:rPr>
        <w:t>y</w:t>
      </w:r>
    </w:p>
    <w:p w:rsidR="004F7425" w:rsidRDefault="004F7425" w:rsidP="004F7425">
      <w:pPr>
        <w:widowControl w:val="0"/>
        <w:autoSpaceDE w:val="0"/>
        <w:autoSpaceDN w:val="0"/>
        <w:adjustRightInd w:val="0"/>
        <w:spacing w:before="8"/>
        <w:ind w:right="166"/>
        <w:jc w:val="right"/>
        <w:rPr>
          <w:rFonts w:ascii="Calibri" w:hAnsi="Calibri" w:cs="Calibri"/>
          <w:color w:val="000000"/>
          <w:sz w:val="20"/>
        </w:rPr>
      </w:pPr>
      <w:r>
        <w:rPr>
          <w:rFonts w:ascii="Calibri" w:hAnsi="Calibri" w:cs="Calibri"/>
          <w:color w:val="000000"/>
          <w:spacing w:val="-2"/>
          <w:w w:val="101"/>
          <w:sz w:val="20"/>
        </w:rPr>
        <w:t>2%</w:t>
      </w:r>
    </w:p>
    <w:p w:rsidR="004F7425" w:rsidRDefault="004F7425" w:rsidP="004F7425">
      <w:pPr>
        <w:widowControl w:val="0"/>
        <w:autoSpaceDE w:val="0"/>
        <w:autoSpaceDN w:val="0"/>
        <w:adjustRightInd w:val="0"/>
        <w:spacing w:line="200" w:lineRule="exact"/>
        <w:rPr>
          <w:rFonts w:ascii="Calibri" w:hAnsi="Calibri" w:cs="Calibri"/>
          <w:color w:val="000000"/>
          <w:sz w:val="20"/>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before="11" w:line="260" w:lineRule="exact"/>
        <w:rPr>
          <w:rFonts w:ascii="Calibri" w:hAnsi="Calibri" w:cs="Calibri"/>
          <w:color w:val="000000"/>
          <w:sz w:val="26"/>
          <w:szCs w:val="26"/>
        </w:rPr>
      </w:pPr>
    </w:p>
    <w:p w:rsidR="004F7425" w:rsidRDefault="004F7425" w:rsidP="004F7425">
      <w:pPr>
        <w:widowControl w:val="0"/>
        <w:autoSpaceDE w:val="0"/>
        <w:autoSpaceDN w:val="0"/>
        <w:adjustRightInd w:val="0"/>
        <w:ind w:left="-35" w:right="-55"/>
        <w:jc w:val="center"/>
        <w:rPr>
          <w:rFonts w:ascii="Calibri" w:hAnsi="Calibri" w:cs="Calibri"/>
          <w:color w:val="000000"/>
          <w:sz w:val="20"/>
        </w:rPr>
      </w:pPr>
      <w:r>
        <w:rPr>
          <w:rFonts w:ascii="Calibri" w:hAnsi="Calibri" w:cs="Calibri"/>
          <w:color w:val="000000"/>
          <w:w w:val="101"/>
          <w:sz w:val="20"/>
        </w:rPr>
        <w:t>H</w:t>
      </w:r>
      <w:r>
        <w:rPr>
          <w:rFonts w:ascii="Calibri" w:hAnsi="Calibri" w:cs="Calibri"/>
          <w:color w:val="000000"/>
          <w:spacing w:val="4"/>
          <w:w w:val="101"/>
          <w:sz w:val="20"/>
        </w:rPr>
        <w:t>a</w:t>
      </w:r>
      <w:r>
        <w:rPr>
          <w:rFonts w:ascii="Calibri" w:hAnsi="Calibri" w:cs="Calibri"/>
          <w:color w:val="000000"/>
          <w:spacing w:val="9"/>
          <w:w w:val="101"/>
          <w:sz w:val="20"/>
        </w:rPr>
        <w:t>š</w:t>
      </w:r>
      <w:r>
        <w:rPr>
          <w:rFonts w:ascii="Calibri" w:hAnsi="Calibri" w:cs="Calibri"/>
          <w:color w:val="000000"/>
          <w:spacing w:val="4"/>
          <w:w w:val="101"/>
          <w:sz w:val="20"/>
        </w:rPr>
        <w:t>i</w:t>
      </w:r>
      <w:r>
        <w:rPr>
          <w:rFonts w:ascii="Calibri" w:hAnsi="Calibri" w:cs="Calibri"/>
          <w:color w:val="000000"/>
          <w:spacing w:val="9"/>
          <w:w w:val="101"/>
          <w:sz w:val="20"/>
        </w:rPr>
        <w:t>š</w:t>
      </w:r>
      <w:r>
        <w:rPr>
          <w:rFonts w:ascii="Calibri" w:hAnsi="Calibri" w:cs="Calibri"/>
          <w:color w:val="000000"/>
          <w:spacing w:val="4"/>
          <w:w w:val="101"/>
          <w:sz w:val="20"/>
        </w:rPr>
        <w:t>a</w:t>
      </w:r>
      <w:r>
        <w:rPr>
          <w:rFonts w:ascii="Calibri" w:hAnsi="Calibri" w:cs="Calibri"/>
          <w:color w:val="000000"/>
          <w:w w:val="101"/>
          <w:sz w:val="20"/>
        </w:rPr>
        <w:t>s</w:t>
      </w:r>
    </w:p>
    <w:p w:rsidR="004F7425" w:rsidRDefault="004F7425" w:rsidP="004F7425">
      <w:pPr>
        <w:widowControl w:val="0"/>
        <w:autoSpaceDE w:val="0"/>
        <w:autoSpaceDN w:val="0"/>
        <w:adjustRightInd w:val="0"/>
        <w:spacing w:before="8"/>
        <w:ind w:left="116" w:right="82"/>
        <w:jc w:val="center"/>
        <w:rPr>
          <w:rFonts w:ascii="Calibri" w:hAnsi="Calibri" w:cs="Calibri"/>
          <w:color w:val="000000"/>
          <w:sz w:val="20"/>
        </w:rPr>
      </w:pPr>
      <w:r>
        <w:rPr>
          <w:rFonts w:ascii="Calibri" w:hAnsi="Calibri" w:cs="Calibri"/>
          <w:color w:val="000000"/>
          <w:spacing w:val="-2"/>
          <w:w w:val="101"/>
          <w:sz w:val="20"/>
        </w:rPr>
        <w:t>14%</w:t>
      </w:r>
    </w:p>
    <w:p w:rsidR="004F7425" w:rsidRDefault="004F7425" w:rsidP="004F7425">
      <w:pPr>
        <w:widowControl w:val="0"/>
        <w:autoSpaceDE w:val="0"/>
        <w:autoSpaceDN w:val="0"/>
        <w:adjustRightInd w:val="0"/>
        <w:spacing w:line="200" w:lineRule="exact"/>
        <w:rPr>
          <w:rFonts w:ascii="Calibri" w:hAnsi="Calibri" w:cs="Calibri"/>
          <w:color w:val="000000"/>
          <w:sz w:val="20"/>
        </w:rPr>
      </w:pPr>
      <w:r>
        <w:rPr>
          <w:rFonts w:ascii="Calibri" w:hAnsi="Calibri" w:cs="Calibri"/>
          <w:color w:val="000000"/>
          <w:sz w:val="20"/>
        </w:rPr>
        <w:br w:type="column"/>
      </w: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autoSpaceDE w:val="0"/>
        <w:autoSpaceDN w:val="0"/>
        <w:adjustRightInd w:val="0"/>
        <w:spacing w:before="4" w:line="240" w:lineRule="exact"/>
        <w:rPr>
          <w:rFonts w:ascii="Calibri" w:hAnsi="Calibri" w:cs="Calibri"/>
          <w:color w:val="000000"/>
        </w:rPr>
      </w:pPr>
    </w:p>
    <w:p w:rsidR="004F7425" w:rsidRDefault="004F7425" w:rsidP="004F7425">
      <w:pPr>
        <w:widowControl w:val="0"/>
        <w:autoSpaceDE w:val="0"/>
        <w:autoSpaceDN w:val="0"/>
        <w:adjustRightInd w:val="0"/>
        <w:ind w:left="-35" w:right="-55"/>
        <w:jc w:val="center"/>
        <w:rPr>
          <w:rFonts w:ascii="Calibri" w:hAnsi="Calibri" w:cs="Calibri"/>
          <w:color w:val="000000"/>
          <w:sz w:val="20"/>
        </w:rPr>
      </w:pPr>
      <w:r>
        <w:rPr>
          <w:rFonts w:ascii="Calibri" w:hAnsi="Calibri" w:cs="Calibri"/>
          <w:color w:val="000000"/>
          <w:w w:val="101"/>
          <w:sz w:val="20"/>
        </w:rPr>
        <w:t>He</w:t>
      </w:r>
      <w:r>
        <w:rPr>
          <w:rFonts w:ascii="Calibri" w:hAnsi="Calibri" w:cs="Calibri"/>
          <w:color w:val="000000"/>
          <w:spacing w:val="-8"/>
          <w:w w:val="101"/>
          <w:sz w:val="20"/>
        </w:rPr>
        <w:t>r</w:t>
      </w:r>
      <w:r>
        <w:rPr>
          <w:rFonts w:ascii="Calibri" w:hAnsi="Calibri" w:cs="Calibri"/>
          <w:color w:val="000000"/>
          <w:spacing w:val="-6"/>
          <w:w w:val="101"/>
          <w:sz w:val="20"/>
        </w:rPr>
        <w:t>o</w:t>
      </w:r>
      <w:r>
        <w:rPr>
          <w:rFonts w:ascii="Calibri" w:hAnsi="Calibri" w:cs="Calibri"/>
          <w:color w:val="000000"/>
          <w:spacing w:val="4"/>
          <w:w w:val="101"/>
          <w:sz w:val="20"/>
        </w:rPr>
        <w:t>i</w:t>
      </w:r>
      <w:r>
        <w:rPr>
          <w:rFonts w:ascii="Calibri" w:hAnsi="Calibri" w:cs="Calibri"/>
          <w:color w:val="000000"/>
          <w:spacing w:val="-5"/>
          <w:w w:val="101"/>
          <w:sz w:val="20"/>
        </w:rPr>
        <w:t>n</w:t>
      </w:r>
      <w:r>
        <w:rPr>
          <w:rFonts w:ascii="Calibri" w:hAnsi="Calibri" w:cs="Calibri"/>
          <w:color w:val="000000"/>
          <w:spacing w:val="4"/>
          <w:w w:val="101"/>
          <w:sz w:val="20"/>
        </w:rPr>
        <w:t>a</w:t>
      </w:r>
      <w:r>
        <w:rPr>
          <w:rFonts w:ascii="Calibri" w:hAnsi="Calibri" w:cs="Calibri"/>
          <w:color w:val="000000"/>
          <w:w w:val="101"/>
          <w:sz w:val="20"/>
        </w:rPr>
        <w:t>s</w:t>
      </w:r>
    </w:p>
    <w:p w:rsidR="004F7425" w:rsidRDefault="004F7425" w:rsidP="004F7425">
      <w:pPr>
        <w:widowControl w:val="0"/>
        <w:autoSpaceDE w:val="0"/>
        <w:autoSpaceDN w:val="0"/>
        <w:adjustRightInd w:val="0"/>
        <w:spacing w:before="8"/>
        <w:ind w:left="205" w:right="183"/>
        <w:jc w:val="center"/>
        <w:rPr>
          <w:rFonts w:ascii="Calibri" w:hAnsi="Calibri" w:cs="Calibri"/>
          <w:color w:val="000000"/>
          <w:sz w:val="20"/>
        </w:rPr>
      </w:pPr>
      <w:r>
        <w:rPr>
          <w:rFonts w:ascii="Calibri" w:hAnsi="Calibri" w:cs="Calibri"/>
          <w:color w:val="000000"/>
          <w:spacing w:val="-2"/>
          <w:w w:val="101"/>
          <w:sz w:val="20"/>
        </w:rPr>
        <w:t>9%</w:t>
      </w:r>
    </w:p>
    <w:p w:rsidR="004F7425" w:rsidRDefault="004F7425" w:rsidP="004F7425">
      <w:pPr>
        <w:widowControl w:val="0"/>
        <w:autoSpaceDE w:val="0"/>
        <w:autoSpaceDN w:val="0"/>
        <w:adjustRightInd w:val="0"/>
        <w:spacing w:before="96" w:line="248" w:lineRule="auto"/>
        <w:ind w:left="-18" w:right="512"/>
        <w:jc w:val="center"/>
        <w:rPr>
          <w:rFonts w:ascii="Calibri" w:hAnsi="Calibri" w:cs="Calibri"/>
          <w:color w:val="000000"/>
          <w:sz w:val="20"/>
        </w:rPr>
      </w:pPr>
      <w:r>
        <w:rPr>
          <w:rFonts w:ascii="Calibri" w:hAnsi="Calibri" w:cs="Calibri"/>
          <w:color w:val="000000"/>
          <w:sz w:val="20"/>
        </w:rPr>
        <w:br w:type="column"/>
      </w:r>
      <w:r>
        <w:rPr>
          <w:rFonts w:ascii="Calibri" w:hAnsi="Calibri" w:cs="Calibri"/>
          <w:color w:val="000000"/>
          <w:spacing w:val="-9"/>
          <w:w w:val="101"/>
          <w:sz w:val="20"/>
        </w:rPr>
        <w:lastRenderedPageBreak/>
        <w:t>M</w:t>
      </w:r>
      <w:r>
        <w:rPr>
          <w:rFonts w:ascii="Calibri" w:hAnsi="Calibri" w:cs="Calibri"/>
          <w:color w:val="000000"/>
          <w:w w:val="101"/>
          <w:sz w:val="20"/>
        </w:rPr>
        <w:t>e</w:t>
      </w:r>
      <w:r>
        <w:rPr>
          <w:rFonts w:ascii="Calibri" w:hAnsi="Calibri" w:cs="Calibri"/>
          <w:color w:val="000000"/>
          <w:spacing w:val="-5"/>
          <w:w w:val="101"/>
          <w:sz w:val="20"/>
        </w:rPr>
        <w:t>t</w:t>
      </w:r>
      <w:r>
        <w:rPr>
          <w:rFonts w:ascii="Calibri" w:hAnsi="Calibri" w:cs="Calibri"/>
          <w:color w:val="000000"/>
          <w:spacing w:val="3"/>
          <w:w w:val="101"/>
          <w:sz w:val="20"/>
        </w:rPr>
        <w:t>a</w:t>
      </w:r>
      <w:r>
        <w:rPr>
          <w:rFonts w:ascii="Calibri" w:hAnsi="Calibri" w:cs="Calibri"/>
          <w:color w:val="000000"/>
          <w:spacing w:val="-10"/>
          <w:w w:val="101"/>
          <w:sz w:val="20"/>
        </w:rPr>
        <w:t>m</w:t>
      </w:r>
      <w:r>
        <w:rPr>
          <w:rFonts w:ascii="Calibri" w:hAnsi="Calibri" w:cs="Calibri"/>
          <w:color w:val="000000"/>
          <w:spacing w:val="1"/>
          <w:w w:val="101"/>
          <w:sz w:val="20"/>
        </w:rPr>
        <w:t>f</w:t>
      </w:r>
      <w:r>
        <w:rPr>
          <w:rFonts w:ascii="Calibri" w:hAnsi="Calibri" w:cs="Calibri"/>
          <w:color w:val="000000"/>
          <w:w w:val="101"/>
          <w:sz w:val="20"/>
        </w:rPr>
        <w:t>e</w:t>
      </w:r>
      <w:r>
        <w:rPr>
          <w:rFonts w:ascii="Calibri" w:hAnsi="Calibri" w:cs="Calibri"/>
          <w:color w:val="000000"/>
          <w:spacing w:val="-5"/>
          <w:w w:val="101"/>
          <w:sz w:val="20"/>
        </w:rPr>
        <w:t>t</w:t>
      </w:r>
      <w:r>
        <w:rPr>
          <w:rFonts w:ascii="Calibri" w:hAnsi="Calibri" w:cs="Calibri"/>
          <w:color w:val="000000"/>
          <w:spacing w:val="7"/>
          <w:w w:val="101"/>
          <w:sz w:val="20"/>
        </w:rPr>
        <w:t>a</w:t>
      </w:r>
      <w:r>
        <w:rPr>
          <w:rFonts w:ascii="Calibri" w:hAnsi="Calibri" w:cs="Calibri"/>
          <w:color w:val="000000"/>
          <w:w w:val="101"/>
          <w:sz w:val="20"/>
        </w:rPr>
        <w:t xml:space="preserve">- </w:t>
      </w:r>
      <w:r>
        <w:rPr>
          <w:rFonts w:ascii="Calibri" w:hAnsi="Calibri" w:cs="Calibri"/>
          <w:color w:val="000000"/>
          <w:spacing w:val="-10"/>
          <w:w w:val="101"/>
          <w:sz w:val="20"/>
        </w:rPr>
        <w:t>m</w:t>
      </w:r>
      <w:r>
        <w:rPr>
          <w:rFonts w:ascii="Calibri" w:hAnsi="Calibri" w:cs="Calibri"/>
          <w:color w:val="000000"/>
          <w:spacing w:val="4"/>
          <w:w w:val="101"/>
          <w:sz w:val="20"/>
        </w:rPr>
        <w:t>i</w:t>
      </w:r>
      <w:r>
        <w:rPr>
          <w:rFonts w:ascii="Calibri" w:hAnsi="Calibri" w:cs="Calibri"/>
          <w:color w:val="000000"/>
          <w:spacing w:val="-6"/>
          <w:w w:val="101"/>
          <w:sz w:val="20"/>
        </w:rPr>
        <w:t>n</w:t>
      </w:r>
      <w:r>
        <w:rPr>
          <w:rFonts w:ascii="Calibri" w:hAnsi="Calibri" w:cs="Calibri"/>
          <w:color w:val="000000"/>
          <w:spacing w:val="3"/>
          <w:w w:val="101"/>
          <w:sz w:val="20"/>
        </w:rPr>
        <w:t>a</w:t>
      </w:r>
      <w:r>
        <w:rPr>
          <w:rFonts w:ascii="Calibri" w:hAnsi="Calibri" w:cs="Calibri"/>
          <w:color w:val="000000"/>
          <w:w w:val="101"/>
          <w:sz w:val="20"/>
        </w:rPr>
        <w:t>s</w:t>
      </w:r>
    </w:p>
    <w:p w:rsidR="004F7425" w:rsidRDefault="004F7425" w:rsidP="004F7425">
      <w:pPr>
        <w:widowControl w:val="0"/>
        <w:autoSpaceDE w:val="0"/>
        <w:autoSpaceDN w:val="0"/>
        <w:adjustRightInd w:val="0"/>
        <w:spacing w:line="231" w:lineRule="exact"/>
        <w:ind w:left="331" w:right="857"/>
        <w:jc w:val="center"/>
        <w:rPr>
          <w:rFonts w:ascii="Calibri" w:hAnsi="Calibri" w:cs="Calibri"/>
          <w:color w:val="000000"/>
          <w:sz w:val="20"/>
        </w:rPr>
      </w:pPr>
      <w:r>
        <w:rPr>
          <w:rFonts w:ascii="Calibri" w:hAnsi="Calibri" w:cs="Calibri"/>
          <w:color w:val="000000"/>
          <w:spacing w:val="-2"/>
          <w:w w:val="101"/>
          <w:position w:val="1"/>
          <w:sz w:val="20"/>
        </w:rPr>
        <w:t>5%</w:t>
      </w:r>
    </w:p>
    <w:p w:rsidR="004F7425" w:rsidRDefault="004F7425" w:rsidP="004F7425">
      <w:pPr>
        <w:widowControl w:val="0"/>
        <w:autoSpaceDE w:val="0"/>
        <w:autoSpaceDN w:val="0"/>
        <w:adjustRightInd w:val="0"/>
        <w:spacing w:line="231" w:lineRule="exact"/>
        <w:ind w:left="331" w:right="857"/>
        <w:jc w:val="center"/>
        <w:rPr>
          <w:rFonts w:ascii="Calibri" w:hAnsi="Calibri" w:cs="Calibri"/>
          <w:color w:val="000000"/>
          <w:sz w:val="20"/>
        </w:rPr>
        <w:sectPr w:rsidR="004F7425">
          <w:type w:val="continuous"/>
          <w:pgSz w:w="11920" w:h="16840"/>
          <w:pgMar w:top="1540" w:right="460" w:bottom="280" w:left="1360" w:header="567" w:footer="567" w:gutter="0"/>
          <w:cols w:num="5" w:space="1296" w:equalWidth="0">
            <w:col w:w="3874" w:space="321"/>
            <w:col w:w="1379" w:space="383"/>
            <w:col w:w="634" w:space="695"/>
            <w:col w:w="723" w:space="554"/>
            <w:col w:w="1537"/>
          </w:cols>
          <w:noEndnote/>
        </w:sectPr>
      </w:pPr>
    </w:p>
    <w:p w:rsidR="004F7425" w:rsidRDefault="004F7425" w:rsidP="004F7425">
      <w:pPr>
        <w:widowControl w:val="0"/>
        <w:autoSpaceDE w:val="0"/>
        <w:autoSpaceDN w:val="0"/>
        <w:adjustRightInd w:val="0"/>
        <w:spacing w:before="5" w:line="140" w:lineRule="exact"/>
        <w:rPr>
          <w:rFonts w:ascii="Calibri" w:hAnsi="Calibri" w:cs="Calibri"/>
          <w:color w:val="000000"/>
          <w:sz w:val="14"/>
          <w:szCs w:val="14"/>
        </w:rPr>
      </w:pPr>
    </w:p>
    <w:p w:rsidR="004F7425" w:rsidRDefault="004F7425" w:rsidP="004F7425">
      <w:pPr>
        <w:widowControl w:val="0"/>
        <w:autoSpaceDE w:val="0"/>
        <w:autoSpaceDN w:val="0"/>
        <w:adjustRightInd w:val="0"/>
        <w:spacing w:line="200" w:lineRule="exact"/>
        <w:rPr>
          <w:rFonts w:ascii="Calibri" w:hAnsi="Calibri" w:cs="Calibri"/>
          <w:color w:val="000000"/>
          <w:sz w:val="20"/>
        </w:rPr>
      </w:pPr>
    </w:p>
    <w:p w:rsidR="004F7425" w:rsidRDefault="004F7425" w:rsidP="004F7425">
      <w:pPr>
        <w:widowControl w:val="0"/>
        <w:tabs>
          <w:tab w:val="left" w:pos="5960"/>
        </w:tabs>
        <w:autoSpaceDE w:val="0"/>
        <w:autoSpaceDN w:val="0"/>
        <w:adjustRightInd w:val="0"/>
        <w:spacing w:before="15"/>
        <w:ind w:left="5608" w:right="-20"/>
        <w:rPr>
          <w:color w:val="000000"/>
        </w:rPr>
      </w:pPr>
      <w:r>
        <w:rPr>
          <w:noProof/>
          <w:lang w:eastAsia="lt-LT"/>
        </w:rPr>
        <mc:AlternateContent>
          <mc:Choice Requires="wps">
            <w:drawing>
              <wp:anchor distT="0" distB="0" distL="114300" distR="114300" simplePos="0" relativeHeight="251760640" behindDoc="1" locked="0" layoutInCell="0" allowOverlap="1">
                <wp:simplePos x="0" y="0"/>
                <wp:positionH relativeFrom="page">
                  <wp:posOffset>929005</wp:posOffset>
                </wp:positionH>
                <wp:positionV relativeFrom="paragraph">
                  <wp:posOffset>163195</wp:posOffset>
                </wp:positionV>
                <wp:extent cx="3149600" cy="1993900"/>
                <wp:effectExtent l="0" t="3810" r="0" b="2540"/>
                <wp:wrapNone/>
                <wp:docPr id="120" name="Stačiakampis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0" cy="199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rsidP="004F7425">
                            <w:pPr>
                              <w:spacing w:line="3140" w:lineRule="atLeast"/>
                            </w:pPr>
                            <w:r>
                              <w:rPr>
                                <w:noProof/>
                                <w:lang w:eastAsia="lt-LT"/>
                              </w:rPr>
                              <w:drawing>
                                <wp:inline distT="0" distB="0" distL="0" distR="0" wp14:anchorId="7B15A278" wp14:editId="0806D0EE">
                                  <wp:extent cx="3152775" cy="2009775"/>
                                  <wp:effectExtent l="0" t="0" r="9525" b="9525"/>
                                  <wp:docPr id="119" name="Paveikslėlis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152775" cy="200977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Stačiakampis 120" o:spid="_x0000_s1160" style="position:absolute;left:0;text-align:left;margin-left:73.15pt;margin-top:12.85pt;width:248pt;height:157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" o:allowincell="f" filled="f" stroked="f">
                <v:textbox inset="0,0,0,0">
                  <w:txbxContent>
                    <w:p w:rsidR="004F7425" w:rsidRDefault="004F7425" w:rsidP="004F7425">
                      <w:pPr>
                        <w:spacing w:line="3140" w:lineRule="atLeast"/>
                      </w:pPr>
                      <w:r>
                        <w:rPr>
                          <w:noProof/>
                          <w:lang w:eastAsia="lt-LT"/>
                        </w:rPr>
                        <w:drawing>
                          <wp:inline distT="0" distB="0" distL="0" distR="0" wp14:anchorId="7B15A278" wp14:editId="0806D0EE">
                            <wp:extent cx="3152775" cy="2009775"/>
                            <wp:effectExtent l="0" t="0" r="9525" b="9525"/>
                            <wp:docPr id="119" name="Paveikslėlis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152775" cy="2009775"/>
                                    </a:xfrm>
                                    <a:prstGeom prst="rect">
                                      <a:avLst/>
                                    </a:prstGeom>
                                    <a:noFill/>
                                    <a:ln>
                                      <a:noFill/>
                                    </a:ln>
                                  </pic:spPr>
                                </pic:pic>
                              </a:graphicData>
                            </a:graphic>
                          </wp:inline>
                        </w:drawing>
                      </w:r>
                    </w:p>
                    <w:p w:rsidR="004F7425" w:rsidRDefault="004F7425" w:rsidP="004F7425">
                      <w:pPr>
                        <w:widowControl w:val="0"/>
                        <w:autoSpaceDE w:val="0"/>
                        <w:autoSpaceDN w:val="0"/>
                        <w:adjustRightInd w:val="0"/>
                      </w:pPr>
                    </w:p>
                  </w:txbxContent>
                </v:textbox>
                <w10:wrap anchorx="page"/>
              </v:rect>
            </w:pict>
          </mc:Fallback>
        </mc:AlternateContent>
      </w:r>
      <w:r>
        <w:rPr>
          <w:rFonts w:ascii="Symbol" w:hAnsi="Symbol" w:cs="Symbol"/>
          <w:color w:val="974705"/>
        </w:rPr>
        <w:t></w:t>
      </w:r>
      <w:r>
        <w:rPr>
          <w:color w:val="974705"/>
        </w:rPr>
        <w:tab/>
      </w:r>
      <w:r>
        <w:rPr>
          <w:b/>
          <w:bCs/>
          <w:i/>
          <w:iCs/>
          <w:color w:val="974705"/>
          <w:spacing w:val="1"/>
        </w:rPr>
        <w:t>Su</w:t>
      </w:r>
      <w:r>
        <w:rPr>
          <w:b/>
          <w:bCs/>
          <w:i/>
          <w:iCs/>
          <w:color w:val="974705"/>
        </w:rPr>
        <w:t>la</w:t>
      </w:r>
      <w:r>
        <w:rPr>
          <w:b/>
          <w:bCs/>
          <w:i/>
          <w:iCs/>
          <w:color w:val="974705"/>
          <w:spacing w:val="1"/>
        </w:rPr>
        <w:t>i</w:t>
      </w:r>
      <w:r>
        <w:rPr>
          <w:b/>
          <w:bCs/>
          <w:i/>
          <w:iCs/>
          <w:color w:val="974705"/>
        </w:rPr>
        <w:t>k</w:t>
      </w:r>
      <w:r>
        <w:rPr>
          <w:b/>
          <w:bCs/>
          <w:i/>
          <w:iCs/>
          <w:color w:val="974705"/>
          <w:spacing w:val="-1"/>
        </w:rPr>
        <w:t>y</w:t>
      </w:r>
      <w:r>
        <w:rPr>
          <w:b/>
          <w:bCs/>
          <w:i/>
          <w:iCs/>
          <w:color w:val="974705"/>
        </w:rPr>
        <w:t>t</w:t>
      </w:r>
      <w:r>
        <w:rPr>
          <w:b/>
          <w:bCs/>
          <w:i/>
          <w:iCs/>
          <w:color w:val="974705"/>
          <w:spacing w:val="1"/>
        </w:rPr>
        <w:t>ų</w:t>
      </w:r>
      <w:r>
        <w:rPr>
          <w:b/>
          <w:bCs/>
          <w:i/>
          <w:iCs/>
          <w:color w:val="974705"/>
        </w:rPr>
        <w:t>jų</w:t>
      </w:r>
      <w:r>
        <w:rPr>
          <w:b/>
          <w:bCs/>
          <w:i/>
          <w:iCs/>
          <w:color w:val="974705"/>
          <w:spacing w:val="-1"/>
        </w:rPr>
        <w:t xml:space="preserve"> </w:t>
      </w:r>
      <w:r>
        <w:rPr>
          <w:b/>
          <w:bCs/>
          <w:i/>
          <w:iCs/>
          <w:color w:val="974705"/>
        </w:rPr>
        <w:t>a</w:t>
      </w:r>
      <w:r>
        <w:rPr>
          <w:b/>
          <w:bCs/>
          <w:i/>
          <w:iCs/>
          <w:color w:val="974705"/>
          <w:spacing w:val="-2"/>
        </w:rPr>
        <w:t>s</w:t>
      </w:r>
      <w:r>
        <w:rPr>
          <w:b/>
          <w:bCs/>
          <w:i/>
          <w:iCs/>
          <w:color w:val="974705"/>
          <w:spacing w:val="5"/>
        </w:rPr>
        <w:t>m</w:t>
      </w:r>
      <w:r>
        <w:rPr>
          <w:b/>
          <w:bCs/>
          <w:i/>
          <w:iCs/>
          <w:color w:val="974705"/>
          <w:spacing w:val="-1"/>
        </w:rPr>
        <w:t>e</w:t>
      </w:r>
      <w:r>
        <w:rPr>
          <w:b/>
          <w:bCs/>
          <w:i/>
          <w:iCs/>
          <w:color w:val="974705"/>
          <w:spacing w:val="1"/>
        </w:rPr>
        <w:t>n</w:t>
      </w:r>
      <w:r>
        <w:rPr>
          <w:b/>
          <w:bCs/>
          <w:i/>
          <w:iCs/>
          <w:color w:val="974705"/>
        </w:rPr>
        <w:t>ų</w:t>
      </w:r>
      <w:r>
        <w:rPr>
          <w:b/>
          <w:bCs/>
          <w:i/>
          <w:iCs/>
          <w:color w:val="974705"/>
          <w:spacing w:val="-2"/>
        </w:rPr>
        <w:t xml:space="preserve"> </w:t>
      </w:r>
      <w:r>
        <w:rPr>
          <w:b/>
          <w:bCs/>
          <w:i/>
          <w:iCs/>
          <w:color w:val="974705"/>
          <w:spacing w:val="-5"/>
        </w:rPr>
        <w:t>a</w:t>
      </w:r>
      <w:r>
        <w:rPr>
          <w:b/>
          <w:bCs/>
          <w:i/>
          <w:iCs/>
          <w:color w:val="974705"/>
          <w:spacing w:val="5"/>
        </w:rPr>
        <w:t>m</w:t>
      </w:r>
      <w:r>
        <w:rPr>
          <w:b/>
          <w:bCs/>
          <w:i/>
          <w:iCs/>
          <w:color w:val="974705"/>
          <w:spacing w:val="-2"/>
        </w:rPr>
        <w:t>ž</w:t>
      </w:r>
      <w:r>
        <w:rPr>
          <w:b/>
          <w:bCs/>
          <w:i/>
          <w:iCs/>
          <w:color w:val="974705"/>
        </w:rPr>
        <w:t>i</w:t>
      </w:r>
      <w:r>
        <w:rPr>
          <w:b/>
          <w:bCs/>
          <w:i/>
          <w:iCs/>
          <w:color w:val="974705"/>
          <w:spacing w:val="1"/>
        </w:rPr>
        <w:t>us</w:t>
      </w:r>
      <w:r>
        <w:rPr>
          <w:color w:val="974705"/>
        </w:rPr>
        <w:t>:</w:t>
      </w:r>
    </w:p>
    <w:p w:rsidR="004F7425" w:rsidRDefault="004F7425" w:rsidP="004F7425">
      <w:pPr>
        <w:widowControl w:val="0"/>
        <w:autoSpaceDE w:val="0"/>
        <w:autoSpaceDN w:val="0"/>
        <w:adjustRightInd w:val="0"/>
        <w:spacing w:before="2" w:line="160" w:lineRule="exact"/>
        <w:rPr>
          <w:color w:val="000000"/>
          <w:sz w:val="16"/>
          <w:szCs w:val="16"/>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ind w:left="5247" w:right="49"/>
        <w:jc w:val="both"/>
        <w:rPr>
          <w:color w:val="000000"/>
        </w:rPr>
      </w:pPr>
      <w:r>
        <w:rPr>
          <w:color w:val="000000"/>
          <w:spacing w:val="1"/>
        </w:rPr>
        <w:t>S</w:t>
      </w:r>
      <w:r>
        <w:rPr>
          <w:color w:val="000000"/>
          <w:spacing w:val="5"/>
        </w:rPr>
        <w:t>u</w:t>
      </w:r>
      <w:r>
        <w:rPr>
          <w:color w:val="000000"/>
          <w:spacing w:val="-9"/>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tų</w:t>
      </w:r>
      <w:r>
        <w:rPr>
          <w:color w:val="000000"/>
          <w:spacing w:val="-4"/>
        </w:rPr>
        <w:t>j</w:t>
      </w:r>
      <w:r>
        <w:rPr>
          <w:color w:val="000000"/>
        </w:rPr>
        <w:t>ų</w:t>
      </w:r>
      <w:r>
        <w:rPr>
          <w:color w:val="000000"/>
          <w:spacing w:val="31"/>
        </w:rPr>
        <w:t xml:space="preserve"> </w:t>
      </w:r>
      <w:r>
        <w:rPr>
          <w:color w:val="000000"/>
          <w:spacing w:val="-1"/>
        </w:rPr>
        <w:t>a</w:t>
      </w:r>
      <w:r>
        <w:rPr>
          <w:color w:val="000000"/>
          <w:spacing w:val="2"/>
        </w:rPr>
        <w:t>s</w:t>
      </w:r>
      <w:r>
        <w:rPr>
          <w:color w:val="000000"/>
          <w:spacing w:val="-4"/>
        </w:rPr>
        <w:t>m</w:t>
      </w:r>
      <w:r>
        <w:rPr>
          <w:color w:val="000000"/>
          <w:spacing w:val="4"/>
        </w:rPr>
        <w:t>e</w:t>
      </w:r>
      <w:r>
        <w:rPr>
          <w:color w:val="000000"/>
          <w:spacing w:val="-5"/>
        </w:rPr>
        <w:t>n</w:t>
      </w:r>
      <w:r>
        <w:rPr>
          <w:color w:val="000000"/>
        </w:rPr>
        <w:t>ų</w:t>
      </w:r>
      <w:r>
        <w:rPr>
          <w:color w:val="000000"/>
          <w:spacing w:val="31"/>
        </w:rPr>
        <w:t xml:space="preserve"> </w:t>
      </w:r>
      <w:r>
        <w:rPr>
          <w:color w:val="000000"/>
          <w:spacing w:val="4"/>
        </w:rPr>
        <w:t>a</w:t>
      </w:r>
      <w:r>
        <w:rPr>
          <w:color w:val="000000"/>
          <w:spacing w:val="-4"/>
        </w:rPr>
        <w:t>m</w:t>
      </w:r>
      <w:r>
        <w:rPr>
          <w:color w:val="000000"/>
          <w:spacing w:val="4"/>
        </w:rPr>
        <w:t>ž</w:t>
      </w:r>
      <w:r>
        <w:rPr>
          <w:color w:val="000000"/>
          <w:spacing w:val="-9"/>
        </w:rPr>
        <w:t>i</w:t>
      </w:r>
      <w:r>
        <w:rPr>
          <w:color w:val="000000"/>
          <w:spacing w:val="5"/>
        </w:rPr>
        <w:t>u</w:t>
      </w:r>
      <w:r>
        <w:rPr>
          <w:color w:val="000000"/>
        </w:rPr>
        <w:t>s</w:t>
      </w:r>
      <w:r>
        <w:rPr>
          <w:color w:val="000000"/>
          <w:spacing w:val="29"/>
        </w:rPr>
        <w:t xml:space="preserve"> </w:t>
      </w:r>
      <w:r>
        <w:rPr>
          <w:color w:val="000000"/>
          <w:spacing w:val="2"/>
        </w:rPr>
        <w:t>s</w:t>
      </w:r>
      <w:r>
        <w:rPr>
          <w:color w:val="000000"/>
        </w:rPr>
        <w:t>v</w:t>
      </w:r>
      <w:r>
        <w:rPr>
          <w:color w:val="000000"/>
          <w:spacing w:val="-5"/>
        </w:rPr>
        <w:t>y</w:t>
      </w:r>
      <w:r>
        <w:rPr>
          <w:color w:val="000000"/>
          <w:spacing w:val="1"/>
        </w:rPr>
        <w:t>r</w:t>
      </w:r>
      <w:r>
        <w:rPr>
          <w:color w:val="000000"/>
        </w:rPr>
        <w:t>u</w:t>
      </w:r>
      <w:r>
        <w:rPr>
          <w:color w:val="000000"/>
          <w:spacing w:val="5"/>
        </w:rPr>
        <w:t>o</w:t>
      </w:r>
      <w:r>
        <w:rPr>
          <w:color w:val="000000"/>
          <w:spacing w:val="-4"/>
        </w:rPr>
        <w:t>j</w:t>
      </w:r>
      <w:r>
        <w:rPr>
          <w:color w:val="000000"/>
        </w:rPr>
        <w:t>a</w:t>
      </w:r>
      <w:r>
        <w:rPr>
          <w:color w:val="000000"/>
          <w:spacing w:val="30"/>
        </w:rPr>
        <w:t xml:space="preserve"> </w:t>
      </w:r>
      <w:r>
        <w:rPr>
          <w:color w:val="000000"/>
          <w:spacing w:val="-5"/>
        </w:rPr>
        <w:t>n</w:t>
      </w:r>
      <w:r>
        <w:rPr>
          <w:color w:val="000000"/>
        </w:rPr>
        <w:t>uo</w:t>
      </w:r>
      <w:r>
        <w:rPr>
          <w:color w:val="000000"/>
          <w:spacing w:val="36"/>
        </w:rPr>
        <w:t xml:space="preserve"> </w:t>
      </w:r>
      <w:r>
        <w:rPr>
          <w:color w:val="000000"/>
        </w:rPr>
        <w:t>18</w:t>
      </w:r>
      <w:r>
        <w:rPr>
          <w:color w:val="000000"/>
          <w:spacing w:val="31"/>
        </w:rPr>
        <w:t xml:space="preserve"> </w:t>
      </w:r>
      <w:r>
        <w:rPr>
          <w:color w:val="000000"/>
          <w:spacing w:val="-9"/>
        </w:rPr>
        <w:t>i</w:t>
      </w:r>
      <w:r>
        <w:rPr>
          <w:color w:val="000000"/>
          <w:spacing w:val="9"/>
        </w:rPr>
        <w:t>k</w:t>
      </w:r>
      <w:r>
        <w:rPr>
          <w:color w:val="000000"/>
        </w:rPr>
        <w:t>i</w:t>
      </w:r>
    </w:p>
    <w:p w:rsidR="004F7425" w:rsidRDefault="004F7425" w:rsidP="004F7425">
      <w:pPr>
        <w:widowControl w:val="0"/>
        <w:autoSpaceDE w:val="0"/>
        <w:autoSpaceDN w:val="0"/>
        <w:adjustRightInd w:val="0"/>
        <w:spacing w:before="41"/>
        <w:ind w:left="5247" w:right="42"/>
        <w:jc w:val="both"/>
        <w:rPr>
          <w:color w:val="000000"/>
        </w:rPr>
      </w:pPr>
      <w:r>
        <w:rPr>
          <w:color w:val="000000"/>
        </w:rPr>
        <w:t>67</w:t>
      </w:r>
      <w:r>
        <w:rPr>
          <w:color w:val="000000"/>
          <w:spacing w:val="6"/>
        </w:rPr>
        <w:t xml:space="preserve"> </w:t>
      </w:r>
      <w:r>
        <w:rPr>
          <w:color w:val="000000"/>
          <w:spacing w:val="-9"/>
        </w:rPr>
        <w:t>m</w:t>
      </w:r>
      <w:r>
        <w:rPr>
          <w:color w:val="000000"/>
          <w:spacing w:val="-1"/>
        </w:rPr>
        <w:t>e</w:t>
      </w:r>
      <w:r>
        <w:rPr>
          <w:color w:val="000000"/>
          <w:spacing w:val="5"/>
        </w:rPr>
        <w:t>t</w:t>
      </w:r>
      <w:r>
        <w:rPr>
          <w:color w:val="000000"/>
        </w:rPr>
        <w:t>ų</w:t>
      </w:r>
      <w:r>
        <w:rPr>
          <w:color w:val="000000"/>
          <w:spacing w:val="1"/>
        </w:rPr>
        <w:t xml:space="preserve"> (</w:t>
      </w:r>
      <w:r>
        <w:rPr>
          <w:color w:val="000000"/>
        </w:rPr>
        <w:t>v</w:t>
      </w:r>
      <w:r>
        <w:rPr>
          <w:color w:val="000000"/>
          <w:spacing w:val="-4"/>
        </w:rPr>
        <w:t>i</w:t>
      </w:r>
      <w:r>
        <w:rPr>
          <w:color w:val="000000"/>
        </w:rPr>
        <w:t>du</w:t>
      </w:r>
      <w:r>
        <w:rPr>
          <w:color w:val="000000"/>
          <w:spacing w:val="1"/>
        </w:rPr>
        <w:t>r</w:t>
      </w:r>
      <w:r>
        <w:rPr>
          <w:color w:val="000000"/>
          <w:spacing w:val="5"/>
        </w:rPr>
        <w:t>k</w:t>
      </w:r>
      <w:r>
        <w:rPr>
          <w:color w:val="000000"/>
          <w:spacing w:val="-4"/>
        </w:rPr>
        <w:t>i</w:t>
      </w:r>
      <w:r>
        <w:rPr>
          <w:color w:val="000000"/>
        </w:rPr>
        <w:t>s</w:t>
      </w:r>
      <w:r>
        <w:rPr>
          <w:color w:val="000000"/>
          <w:spacing w:val="4"/>
        </w:rPr>
        <w:t xml:space="preserve"> </w:t>
      </w:r>
      <w:r>
        <w:rPr>
          <w:color w:val="000000"/>
          <w:spacing w:val="-1"/>
        </w:rPr>
        <w:t>a</w:t>
      </w:r>
      <w:r>
        <w:rPr>
          <w:color w:val="000000"/>
          <w:spacing w:val="5"/>
        </w:rPr>
        <w:t>p</w:t>
      </w:r>
      <w:r>
        <w:rPr>
          <w:color w:val="000000"/>
          <w:spacing w:val="-4"/>
        </w:rPr>
        <w:t>i</w:t>
      </w:r>
      <w:r>
        <w:rPr>
          <w:color w:val="000000"/>
        </w:rPr>
        <w:t>e 42</w:t>
      </w:r>
      <w:r>
        <w:rPr>
          <w:color w:val="000000"/>
          <w:spacing w:val="6"/>
        </w:rPr>
        <w:t xml:space="preserve"> </w:t>
      </w:r>
      <w:r>
        <w:rPr>
          <w:color w:val="000000"/>
          <w:spacing w:val="-4"/>
        </w:rPr>
        <w:t>m</w:t>
      </w:r>
      <w:r>
        <w:rPr>
          <w:color w:val="000000"/>
          <w:spacing w:val="-1"/>
        </w:rPr>
        <w:t>e</w:t>
      </w:r>
      <w:r>
        <w:rPr>
          <w:color w:val="000000"/>
          <w:spacing w:val="5"/>
        </w:rPr>
        <w:t>t</w:t>
      </w:r>
      <w:r>
        <w:rPr>
          <w:color w:val="000000"/>
          <w:spacing w:val="4"/>
        </w:rPr>
        <w:t>a</w:t>
      </w:r>
      <w:r>
        <w:rPr>
          <w:color w:val="000000"/>
          <w:spacing w:val="-9"/>
        </w:rPr>
        <w:t>i</w:t>
      </w:r>
      <w:r>
        <w:rPr>
          <w:color w:val="000000"/>
          <w:spacing w:val="1"/>
        </w:rPr>
        <w:t>)</w:t>
      </w:r>
      <w:r>
        <w:rPr>
          <w:color w:val="000000"/>
        </w:rPr>
        <w:t>.</w:t>
      </w:r>
      <w:r>
        <w:rPr>
          <w:color w:val="000000"/>
          <w:spacing w:val="3"/>
        </w:rPr>
        <w:t xml:space="preserve"> </w:t>
      </w:r>
      <w:r>
        <w:rPr>
          <w:color w:val="000000"/>
        </w:rPr>
        <w:t>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8"/>
        </w:rPr>
        <w:t>a</w:t>
      </w:r>
      <w:r>
        <w:rPr>
          <w:color w:val="000000"/>
        </w:rPr>
        <w:t>i l</w:t>
      </w:r>
      <w:r>
        <w:rPr>
          <w:color w:val="000000"/>
          <w:spacing w:val="-4"/>
        </w:rPr>
        <w:t>i</w:t>
      </w:r>
      <w:r>
        <w:rPr>
          <w:color w:val="000000"/>
        </w:rPr>
        <w:t>nkę</w:t>
      </w:r>
      <w:r>
        <w:rPr>
          <w:color w:val="000000"/>
          <w:spacing w:val="13"/>
        </w:rPr>
        <w:t xml:space="preserve"> </w:t>
      </w:r>
      <w:r>
        <w:rPr>
          <w:color w:val="000000"/>
          <w:spacing w:val="-5"/>
        </w:rPr>
        <w:t>n</w:t>
      </w:r>
      <w:r>
        <w:rPr>
          <w:color w:val="000000"/>
        </w:rPr>
        <w:t>u</w:t>
      </w:r>
      <w:r>
        <w:rPr>
          <w:color w:val="000000"/>
          <w:spacing w:val="2"/>
        </w:rPr>
        <w:t>s</w:t>
      </w:r>
      <w:r>
        <w:rPr>
          <w:color w:val="000000"/>
          <w:spacing w:val="-4"/>
        </w:rPr>
        <w:t>i</w:t>
      </w:r>
      <w:r>
        <w:rPr>
          <w:color w:val="000000"/>
        </w:rPr>
        <w:t>k</w:t>
      </w:r>
      <w:r>
        <w:rPr>
          <w:color w:val="000000"/>
          <w:spacing w:val="4"/>
        </w:rPr>
        <w:t>a</w:t>
      </w:r>
      <w:r>
        <w:rPr>
          <w:color w:val="000000"/>
          <w:spacing w:val="-4"/>
        </w:rPr>
        <w:t>l</w:t>
      </w:r>
      <w:r>
        <w:rPr>
          <w:color w:val="000000"/>
          <w:spacing w:val="-2"/>
        </w:rPr>
        <w:t>s</w:t>
      </w:r>
      <w:r>
        <w:rPr>
          <w:color w:val="000000"/>
          <w:spacing w:val="10"/>
        </w:rPr>
        <w:t>t</w:t>
      </w:r>
      <w:r>
        <w:rPr>
          <w:color w:val="000000"/>
        </w:rPr>
        <w:t xml:space="preserve">i </w:t>
      </w:r>
      <w:r>
        <w:rPr>
          <w:color w:val="000000"/>
          <w:spacing w:val="4"/>
        </w:rPr>
        <w:t>a</w:t>
      </w:r>
      <w:r>
        <w:rPr>
          <w:color w:val="000000"/>
          <w:spacing w:val="2"/>
        </w:rPr>
        <w:t>s</w:t>
      </w:r>
      <w:r>
        <w:rPr>
          <w:color w:val="000000"/>
          <w:spacing w:val="-4"/>
        </w:rPr>
        <w:t>m</w:t>
      </w:r>
      <w:r>
        <w:rPr>
          <w:color w:val="000000"/>
          <w:spacing w:val="4"/>
        </w:rPr>
        <w:t>e</w:t>
      </w:r>
      <w:r>
        <w:rPr>
          <w:color w:val="000000"/>
        </w:rPr>
        <w:t>n</w:t>
      </w:r>
      <w:r>
        <w:rPr>
          <w:color w:val="000000"/>
          <w:spacing w:val="-5"/>
        </w:rPr>
        <w:t>y</w:t>
      </w:r>
      <w:r>
        <w:rPr>
          <w:color w:val="000000"/>
        </w:rPr>
        <w:t>s</w:t>
      </w:r>
      <w:r>
        <w:rPr>
          <w:color w:val="000000"/>
          <w:spacing w:val="12"/>
        </w:rPr>
        <w:t xml:space="preserve"> </w:t>
      </w:r>
      <w:r>
        <w:rPr>
          <w:color w:val="000000"/>
          <w:spacing w:val="-5"/>
        </w:rPr>
        <w:t>n</w:t>
      </w:r>
      <w:r>
        <w:rPr>
          <w:color w:val="000000"/>
        </w:rPr>
        <w:t>uo</w:t>
      </w:r>
      <w:r>
        <w:rPr>
          <w:color w:val="000000"/>
          <w:spacing w:val="14"/>
        </w:rPr>
        <w:t xml:space="preserve"> </w:t>
      </w:r>
      <w:r>
        <w:rPr>
          <w:color w:val="000000"/>
        </w:rPr>
        <w:t>30</w:t>
      </w:r>
      <w:r>
        <w:rPr>
          <w:color w:val="000000"/>
          <w:spacing w:val="14"/>
        </w:rPr>
        <w:t xml:space="preserve"> </w:t>
      </w:r>
      <w:r>
        <w:rPr>
          <w:color w:val="000000"/>
          <w:spacing w:val="-9"/>
        </w:rPr>
        <w:t>i</w:t>
      </w:r>
      <w:r>
        <w:rPr>
          <w:color w:val="000000"/>
          <w:spacing w:val="5"/>
        </w:rPr>
        <w:t>k</w:t>
      </w:r>
      <w:r>
        <w:rPr>
          <w:color w:val="000000"/>
        </w:rPr>
        <w:t>i 39</w:t>
      </w:r>
      <w:r>
        <w:rPr>
          <w:color w:val="000000"/>
          <w:spacing w:val="14"/>
        </w:rPr>
        <w:t xml:space="preserve"> </w:t>
      </w:r>
      <w:r>
        <w:rPr>
          <w:color w:val="000000"/>
          <w:spacing w:val="-4"/>
        </w:rPr>
        <w:t>m</w:t>
      </w:r>
      <w:r>
        <w:rPr>
          <w:color w:val="000000"/>
          <w:spacing w:val="-1"/>
        </w:rPr>
        <w:t>e</w:t>
      </w:r>
      <w:r>
        <w:rPr>
          <w:color w:val="000000"/>
          <w:spacing w:val="5"/>
        </w:rPr>
        <w:t>t</w:t>
      </w:r>
      <w:r>
        <w:rPr>
          <w:color w:val="000000"/>
        </w:rPr>
        <w:t xml:space="preserve">ų </w:t>
      </w:r>
      <w:r>
        <w:rPr>
          <w:color w:val="000000"/>
          <w:spacing w:val="4"/>
        </w:rPr>
        <w:t>a</w:t>
      </w:r>
      <w:r>
        <w:rPr>
          <w:color w:val="000000"/>
          <w:spacing w:val="-9"/>
        </w:rPr>
        <w:t>m</w:t>
      </w:r>
      <w:r>
        <w:rPr>
          <w:color w:val="000000"/>
          <w:spacing w:val="4"/>
        </w:rPr>
        <w:t>ž</w:t>
      </w:r>
      <w:r>
        <w:rPr>
          <w:color w:val="000000"/>
          <w:spacing w:val="-4"/>
        </w:rPr>
        <w:t>i</w:t>
      </w:r>
      <w:r>
        <w:rPr>
          <w:color w:val="000000"/>
          <w:spacing w:val="-1"/>
        </w:rPr>
        <w:t>a</w:t>
      </w:r>
      <w:r>
        <w:rPr>
          <w:color w:val="000000"/>
          <w:spacing w:val="5"/>
        </w:rPr>
        <w:t>u</w:t>
      </w:r>
      <w:r>
        <w:rPr>
          <w:color w:val="000000"/>
          <w:spacing w:val="-2"/>
        </w:rPr>
        <w:t>s</w:t>
      </w:r>
      <w:r>
        <w:rPr>
          <w:color w:val="000000"/>
        </w:rPr>
        <w:t>.</w:t>
      </w:r>
      <w:r>
        <w:rPr>
          <w:color w:val="000000"/>
          <w:spacing w:val="7"/>
        </w:rPr>
        <w:t xml:space="preserve"> </w:t>
      </w:r>
      <w:r>
        <w:rPr>
          <w:color w:val="000000"/>
          <w:spacing w:val="-2"/>
        </w:rPr>
        <w:t>M</w:t>
      </w:r>
      <w:r>
        <w:rPr>
          <w:color w:val="000000"/>
          <w:spacing w:val="-1"/>
        </w:rPr>
        <w:t>a</w:t>
      </w:r>
      <w:r>
        <w:rPr>
          <w:color w:val="000000"/>
          <w:spacing w:val="4"/>
        </w:rPr>
        <w:t>ž</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 xml:space="preserve">i </w:t>
      </w:r>
      <w:r>
        <w:rPr>
          <w:color w:val="000000"/>
          <w:spacing w:val="-5"/>
        </w:rPr>
        <w:t>b</w:t>
      </w:r>
      <w:r>
        <w:rPr>
          <w:color w:val="000000"/>
          <w:spacing w:val="5"/>
        </w:rPr>
        <w:t>u</w:t>
      </w:r>
      <w:r>
        <w:rPr>
          <w:color w:val="000000"/>
          <w:spacing w:val="-5"/>
        </w:rPr>
        <w:t>v</w:t>
      </w:r>
      <w:r>
        <w:rPr>
          <w:color w:val="000000"/>
        </w:rPr>
        <w:t>o</w:t>
      </w:r>
      <w:r>
        <w:rPr>
          <w:color w:val="000000"/>
          <w:spacing w:val="9"/>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rPr>
        <w:t>k</w:t>
      </w:r>
      <w:r>
        <w:rPr>
          <w:color w:val="000000"/>
          <w:spacing w:val="9"/>
        </w:rPr>
        <w:t>o</w:t>
      </w:r>
      <w:r>
        <w:rPr>
          <w:color w:val="000000"/>
          <w:spacing w:val="-9"/>
        </w:rPr>
        <w:t>m</w:t>
      </w:r>
      <w:r>
        <w:rPr>
          <w:color w:val="000000"/>
        </w:rPr>
        <w:t>a</w:t>
      </w:r>
      <w:r>
        <w:rPr>
          <w:color w:val="000000"/>
          <w:spacing w:val="4"/>
        </w:rPr>
        <w:t xml:space="preserve"> </w:t>
      </w:r>
      <w:r>
        <w:rPr>
          <w:color w:val="000000"/>
          <w:spacing w:val="-1"/>
        </w:rPr>
        <w:t>a</w:t>
      </w:r>
      <w:r>
        <w:rPr>
          <w:color w:val="000000"/>
          <w:spacing w:val="2"/>
        </w:rPr>
        <w:t>s</w:t>
      </w:r>
      <w:r>
        <w:rPr>
          <w:color w:val="000000"/>
          <w:spacing w:val="-4"/>
        </w:rPr>
        <w:t>m</w:t>
      </w:r>
      <w:r>
        <w:rPr>
          <w:color w:val="000000"/>
          <w:spacing w:val="4"/>
        </w:rPr>
        <w:t>e</w:t>
      </w:r>
      <w:r>
        <w:rPr>
          <w:color w:val="000000"/>
          <w:spacing w:val="-5"/>
        </w:rPr>
        <w:t>n</w:t>
      </w:r>
      <w:r>
        <w:rPr>
          <w:color w:val="000000"/>
        </w:rPr>
        <w:t>ų, ku</w:t>
      </w:r>
      <w:r>
        <w:rPr>
          <w:color w:val="000000"/>
          <w:spacing w:val="6"/>
        </w:rPr>
        <w:t>r</w:t>
      </w:r>
      <w:r>
        <w:rPr>
          <w:color w:val="000000"/>
          <w:spacing w:val="-9"/>
        </w:rPr>
        <w:t>i</w:t>
      </w:r>
      <w:r>
        <w:rPr>
          <w:color w:val="000000"/>
        </w:rPr>
        <w:t>ų</w:t>
      </w:r>
      <w:r>
        <w:rPr>
          <w:color w:val="000000"/>
          <w:spacing w:val="5"/>
        </w:rPr>
        <w:t xml:space="preserve"> </w:t>
      </w:r>
      <w:r>
        <w:rPr>
          <w:color w:val="000000"/>
          <w:spacing w:val="4"/>
        </w:rPr>
        <w:t>a</w:t>
      </w:r>
      <w:r>
        <w:rPr>
          <w:color w:val="000000"/>
          <w:spacing w:val="-4"/>
        </w:rPr>
        <w:t>m</w:t>
      </w:r>
      <w:r>
        <w:rPr>
          <w:color w:val="000000"/>
          <w:spacing w:val="4"/>
        </w:rPr>
        <w:t>ž</w:t>
      </w:r>
      <w:r>
        <w:rPr>
          <w:color w:val="000000"/>
          <w:spacing w:val="-4"/>
        </w:rPr>
        <w:t>i</w:t>
      </w:r>
      <w:r>
        <w:rPr>
          <w:color w:val="000000"/>
        </w:rPr>
        <w:t>us</w:t>
      </w:r>
      <w:r>
        <w:rPr>
          <w:color w:val="000000"/>
          <w:spacing w:val="7"/>
        </w:rPr>
        <w:t xml:space="preserve"> </w:t>
      </w:r>
      <w:r>
        <w:rPr>
          <w:color w:val="000000"/>
          <w:spacing w:val="-5"/>
        </w:rPr>
        <w:t>y</w:t>
      </w:r>
      <w:r>
        <w:rPr>
          <w:color w:val="000000"/>
          <w:spacing w:val="1"/>
        </w:rPr>
        <w:t>r</w:t>
      </w:r>
      <w:r>
        <w:rPr>
          <w:color w:val="000000"/>
        </w:rPr>
        <w:t>a</w:t>
      </w:r>
      <w:r>
        <w:rPr>
          <w:color w:val="000000"/>
          <w:spacing w:val="9"/>
        </w:rPr>
        <w:t xml:space="preserve"> </w:t>
      </w:r>
      <w:r>
        <w:rPr>
          <w:color w:val="000000"/>
          <w:spacing w:val="-5"/>
        </w:rPr>
        <w:t>n</w:t>
      </w:r>
      <w:r>
        <w:rPr>
          <w:color w:val="000000"/>
        </w:rPr>
        <w:t>uo</w:t>
      </w:r>
      <w:r>
        <w:rPr>
          <w:color w:val="000000"/>
          <w:spacing w:val="9"/>
        </w:rPr>
        <w:t xml:space="preserve"> </w:t>
      </w:r>
      <w:r>
        <w:rPr>
          <w:color w:val="000000"/>
        </w:rPr>
        <w:t>18</w:t>
      </w:r>
      <w:r>
        <w:rPr>
          <w:color w:val="000000"/>
          <w:spacing w:val="10"/>
        </w:rPr>
        <w:t xml:space="preserve"> </w:t>
      </w:r>
      <w:r>
        <w:rPr>
          <w:color w:val="000000"/>
          <w:spacing w:val="-9"/>
        </w:rPr>
        <w:t>i</w:t>
      </w:r>
      <w:r>
        <w:rPr>
          <w:color w:val="000000"/>
          <w:spacing w:val="5"/>
        </w:rPr>
        <w:t>k</w:t>
      </w:r>
      <w:r>
        <w:rPr>
          <w:color w:val="000000"/>
        </w:rPr>
        <w:t>i 20</w:t>
      </w:r>
      <w:r>
        <w:rPr>
          <w:color w:val="000000"/>
          <w:spacing w:val="10"/>
        </w:rPr>
        <w:t xml:space="preserve"> </w:t>
      </w:r>
      <w:r>
        <w:rPr>
          <w:color w:val="000000"/>
          <w:spacing w:val="-4"/>
        </w:rPr>
        <w:t>m</w:t>
      </w:r>
      <w:r>
        <w:rPr>
          <w:color w:val="000000"/>
          <w:spacing w:val="-1"/>
        </w:rPr>
        <w:t>e</w:t>
      </w:r>
      <w:r>
        <w:rPr>
          <w:color w:val="000000"/>
          <w:spacing w:val="5"/>
        </w:rPr>
        <w:t>t</w:t>
      </w:r>
      <w:r>
        <w:rPr>
          <w:color w:val="000000"/>
        </w:rPr>
        <w:t>ų.</w:t>
      </w:r>
      <w:r>
        <w:rPr>
          <w:color w:val="000000"/>
          <w:spacing w:val="7"/>
        </w:rPr>
        <w:t xml:space="preserve"> </w:t>
      </w:r>
      <w:r>
        <w:rPr>
          <w:color w:val="000000"/>
          <w:spacing w:val="2"/>
        </w:rPr>
        <w:t>T</w:t>
      </w:r>
      <w:r>
        <w:rPr>
          <w:color w:val="000000"/>
          <w:spacing w:val="-1"/>
        </w:rPr>
        <w:t>a</w:t>
      </w:r>
      <w:r>
        <w:rPr>
          <w:color w:val="000000"/>
          <w:spacing w:val="1"/>
        </w:rPr>
        <w:t>r</w:t>
      </w:r>
      <w:r>
        <w:rPr>
          <w:color w:val="000000"/>
        </w:rPr>
        <w:t xml:space="preserve">p </w:t>
      </w:r>
      <w:r>
        <w:rPr>
          <w:color w:val="000000"/>
          <w:spacing w:val="-2"/>
        </w:rPr>
        <w:t>s</w:t>
      </w:r>
      <w:r>
        <w:rPr>
          <w:color w:val="000000"/>
          <w:spacing w:val="5"/>
        </w:rPr>
        <w:t>u</w:t>
      </w:r>
      <w:r>
        <w:rPr>
          <w:color w:val="000000"/>
          <w:spacing w:val="-4"/>
        </w:rPr>
        <w:t>l</w:t>
      </w:r>
      <w:r>
        <w:rPr>
          <w:color w:val="000000"/>
          <w:spacing w:val="4"/>
        </w:rPr>
        <w:t>a</w:t>
      </w:r>
      <w:r>
        <w:rPr>
          <w:color w:val="000000"/>
          <w:spacing w:val="-9"/>
        </w:rPr>
        <w:t>i</w:t>
      </w:r>
      <w:r>
        <w:rPr>
          <w:color w:val="000000"/>
          <w:spacing w:val="5"/>
        </w:rPr>
        <w:t>k</w:t>
      </w:r>
      <w:r>
        <w:rPr>
          <w:color w:val="000000"/>
          <w:spacing w:val="-10"/>
        </w:rPr>
        <w:t>y</w:t>
      </w:r>
      <w:r>
        <w:rPr>
          <w:color w:val="000000"/>
          <w:spacing w:val="5"/>
        </w:rPr>
        <w:t>tų</w:t>
      </w:r>
      <w:r>
        <w:rPr>
          <w:color w:val="000000"/>
          <w:spacing w:val="-4"/>
        </w:rPr>
        <w:t>j</w:t>
      </w:r>
      <w:r>
        <w:rPr>
          <w:color w:val="000000"/>
        </w:rPr>
        <w:t>ų</w:t>
      </w:r>
      <w:r>
        <w:rPr>
          <w:color w:val="000000"/>
          <w:spacing w:val="1"/>
        </w:rPr>
        <w:t xml:space="preserve"> </w:t>
      </w:r>
      <w:r>
        <w:rPr>
          <w:color w:val="000000"/>
          <w:spacing w:val="-5"/>
        </w:rPr>
        <w:t>n</w:t>
      </w:r>
      <w:r>
        <w:rPr>
          <w:color w:val="000000"/>
          <w:spacing w:val="-1"/>
        </w:rPr>
        <w:t>e</w:t>
      </w:r>
      <w:r>
        <w:rPr>
          <w:color w:val="000000"/>
        </w:rPr>
        <w:t>p</w:t>
      </w:r>
      <w:r>
        <w:rPr>
          <w:color w:val="000000"/>
          <w:spacing w:val="4"/>
        </w:rPr>
        <w:t>a</w:t>
      </w:r>
      <w:r>
        <w:rPr>
          <w:color w:val="000000"/>
          <w:spacing w:val="2"/>
        </w:rPr>
        <w:t>s</w:t>
      </w:r>
      <w:r>
        <w:rPr>
          <w:color w:val="000000"/>
          <w:spacing w:val="-9"/>
        </w:rPr>
        <w:t>i</w:t>
      </w:r>
      <w:r>
        <w:rPr>
          <w:color w:val="000000"/>
          <w:spacing w:val="5"/>
        </w:rPr>
        <w:t>t</w:t>
      </w:r>
      <w:r>
        <w:rPr>
          <w:color w:val="000000"/>
          <w:spacing w:val="4"/>
        </w:rPr>
        <w:t>a</w:t>
      </w:r>
      <w:r>
        <w:rPr>
          <w:color w:val="000000"/>
          <w:spacing w:val="-4"/>
        </w:rPr>
        <w:t>i</w:t>
      </w:r>
      <w:r>
        <w:rPr>
          <w:color w:val="000000"/>
        </w:rPr>
        <w:t xml:space="preserve">kė </w:t>
      </w:r>
      <w:r>
        <w:rPr>
          <w:color w:val="000000"/>
          <w:spacing w:val="-5"/>
        </w:rPr>
        <w:t>n</w:t>
      </w:r>
      <w:r>
        <w:rPr>
          <w:color w:val="000000"/>
          <w:spacing w:val="-1"/>
        </w:rPr>
        <w:t>e</w:t>
      </w:r>
      <w:r>
        <w:rPr>
          <w:color w:val="000000"/>
          <w:spacing w:val="5"/>
        </w:rPr>
        <w:t>p</w:t>
      </w:r>
      <w:r>
        <w:rPr>
          <w:color w:val="000000"/>
        </w:rPr>
        <w:t>i</w:t>
      </w:r>
      <w:r>
        <w:rPr>
          <w:color w:val="000000"/>
          <w:spacing w:val="-4"/>
        </w:rPr>
        <w:t>l</w:t>
      </w:r>
      <w:r>
        <w:rPr>
          <w:color w:val="000000"/>
        </w:rPr>
        <w:t>n</w:t>
      </w:r>
      <w:r>
        <w:rPr>
          <w:color w:val="000000"/>
          <w:spacing w:val="4"/>
        </w:rPr>
        <w:t>a</w:t>
      </w:r>
      <w:r>
        <w:rPr>
          <w:color w:val="000000"/>
          <w:spacing w:val="-4"/>
        </w:rPr>
        <w:t>m</w:t>
      </w:r>
      <w:r>
        <w:rPr>
          <w:color w:val="000000"/>
          <w:spacing w:val="-1"/>
        </w:rPr>
        <w:t>e</w:t>
      </w:r>
      <w:r>
        <w:rPr>
          <w:color w:val="000000"/>
          <w:spacing w:val="4"/>
        </w:rPr>
        <w:t>č</w:t>
      </w:r>
      <w:r>
        <w:rPr>
          <w:color w:val="000000"/>
          <w:spacing w:val="-4"/>
        </w:rPr>
        <w:t>i</w:t>
      </w:r>
      <w:r>
        <w:rPr>
          <w:color w:val="000000"/>
        </w:rPr>
        <w:t xml:space="preserve">ų </w:t>
      </w:r>
      <w:r>
        <w:rPr>
          <w:color w:val="000000"/>
          <w:spacing w:val="6"/>
        </w:rPr>
        <w:t>(</w:t>
      </w:r>
      <w:r>
        <w:rPr>
          <w:color w:val="000000"/>
          <w:spacing w:val="-9"/>
        </w:rPr>
        <w:t>j</w:t>
      </w:r>
      <w:r>
        <w:rPr>
          <w:color w:val="000000"/>
          <w:spacing w:val="-1"/>
        </w:rPr>
        <w:t>a</w:t>
      </w:r>
      <w:r>
        <w:rPr>
          <w:color w:val="000000"/>
          <w:spacing w:val="5"/>
        </w:rPr>
        <w:t>u</w:t>
      </w:r>
      <w:r>
        <w:rPr>
          <w:color w:val="000000"/>
        </w:rPr>
        <w:t>n</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spacing w:val="-4"/>
        </w:rPr>
        <w:t>j</w:t>
      </w:r>
      <w:r>
        <w:rPr>
          <w:color w:val="000000"/>
          <w:spacing w:val="4"/>
        </w:rPr>
        <w:t>a</w:t>
      </w:r>
      <w:r>
        <w:rPr>
          <w:color w:val="000000"/>
        </w:rPr>
        <w:t xml:space="preserve">m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spacing w:val="4"/>
        </w:rPr>
        <w:t>a</w:t>
      </w:r>
      <w:r>
        <w:rPr>
          <w:color w:val="000000"/>
          <w:spacing w:val="-4"/>
        </w:rPr>
        <w:t>j</w:t>
      </w:r>
      <w:r>
        <w:rPr>
          <w:color w:val="000000"/>
          <w:spacing w:val="4"/>
        </w:rPr>
        <w:t>a</w:t>
      </w:r>
      <w:r>
        <w:rPr>
          <w:color w:val="000000"/>
        </w:rPr>
        <w:t>m 18</w:t>
      </w:r>
      <w:r>
        <w:rPr>
          <w:color w:val="000000"/>
          <w:spacing w:val="9"/>
        </w:rPr>
        <w:t xml:space="preserve"> </w:t>
      </w:r>
      <w:r>
        <w:rPr>
          <w:color w:val="000000"/>
          <w:spacing w:val="-4"/>
        </w:rPr>
        <w:t>m</w:t>
      </w:r>
      <w:r>
        <w:rPr>
          <w:color w:val="000000"/>
          <w:spacing w:val="-1"/>
        </w:rPr>
        <w:t>e</w:t>
      </w:r>
      <w:r>
        <w:rPr>
          <w:color w:val="000000"/>
          <w:spacing w:val="5"/>
        </w:rPr>
        <w:t>t</w:t>
      </w:r>
      <w:r>
        <w:rPr>
          <w:color w:val="000000"/>
        </w:rPr>
        <w:t>ų</w:t>
      </w:r>
      <w:r>
        <w:rPr>
          <w:color w:val="000000"/>
          <w:spacing w:val="1"/>
        </w:rPr>
        <w:t>)</w:t>
      </w:r>
      <w:r>
        <w:rPr>
          <w:color w:val="000000"/>
        </w:rPr>
        <w:t xml:space="preserve">. </w:t>
      </w:r>
      <w:r>
        <w:rPr>
          <w:color w:val="000000"/>
          <w:spacing w:val="4"/>
        </w:rPr>
        <w:t>V</w:t>
      </w:r>
      <w:r>
        <w:rPr>
          <w:color w:val="000000"/>
          <w:spacing w:val="-10"/>
        </w:rPr>
        <w:t>y</w:t>
      </w:r>
      <w:r>
        <w:rPr>
          <w:color w:val="000000"/>
          <w:spacing w:val="6"/>
        </w:rPr>
        <w:t>r</w:t>
      </w:r>
      <w:r>
        <w:rPr>
          <w:color w:val="000000"/>
          <w:spacing w:val="-4"/>
        </w:rPr>
        <w:t>i</w:t>
      </w:r>
      <w:r>
        <w:rPr>
          <w:color w:val="000000"/>
          <w:spacing w:val="-1"/>
        </w:rPr>
        <w:t>a</w:t>
      </w:r>
      <w:r>
        <w:rPr>
          <w:color w:val="000000"/>
        </w:rPr>
        <w:t>u</w:t>
      </w:r>
      <w:r>
        <w:rPr>
          <w:color w:val="000000"/>
          <w:spacing w:val="2"/>
        </w:rPr>
        <w:t>s</w:t>
      </w:r>
      <w:r>
        <w:rPr>
          <w:color w:val="000000"/>
          <w:spacing w:val="-3"/>
        </w:rPr>
        <w:t>i</w:t>
      </w:r>
      <w:r>
        <w:rPr>
          <w:color w:val="000000"/>
          <w:spacing w:val="4"/>
        </w:rPr>
        <w:t>a</w:t>
      </w:r>
      <w:r>
        <w:rPr>
          <w:color w:val="000000"/>
          <w:spacing w:val="-4"/>
        </w:rPr>
        <w:t>j</w:t>
      </w:r>
      <w:r>
        <w:rPr>
          <w:color w:val="000000"/>
          <w:spacing w:val="4"/>
        </w:rPr>
        <w:t>a</w:t>
      </w:r>
      <w:r>
        <w:rPr>
          <w:color w:val="000000"/>
        </w:rPr>
        <w:t>i</w:t>
      </w:r>
      <w:r>
        <w:rPr>
          <w:color w:val="000000"/>
          <w:spacing w:val="-1"/>
        </w:rPr>
        <w:t xml:space="preserve"> </w:t>
      </w:r>
      <w:r>
        <w:rPr>
          <w:color w:val="000000"/>
          <w:spacing w:val="-2"/>
        </w:rPr>
        <w:t>s</w:t>
      </w:r>
      <w:r>
        <w:rPr>
          <w:color w:val="000000"/>
          <w:spacing w:val="5"/>
        </w:rPr>
        <w:t>u</w:t>
      </w:r>
      <w:r>
        <w:rPr>
          <w:color w:val="000000"/>
          <w:spacing w:val="-4"/>
        </w:rPr>
        <w:t>l</w:t>
      </w:r>
      <w:r>
        <w:rPr>
          <w:color w:val="000000"/>
          <w:spacing w:val="4"/>
        </w:rPr>
        <w:t>a</w:t>
      </w:r>
      <w:r>
        <w:rPr>
          <w:color w:val="000000"/>
          <w:spacing w:val="-4"/>
        </w:rPr>
        <w:t>i</w:t>
      </w:r>
      <w:r>
        <w:rPr>
          <w:color w:val="000000"/>
          <w:spacing w:val="5"/>
        </w:rPr>
        <w:t>k</w:t>
      </w:r>
      <w:r>
        <w:rPr>
          <w:color w:val="000000"/>
          <w:spacing w:val="-10"/>
        </w:rPr>
        <w:t>y</w:t>
      </w:r>
      <w:r>
        <w:rPr>
          <w:color w:val="000000"/>
          <w:spacing w:val="5"/>
        </w:rPr>
        <w:t>t</w:t>
      </w:r>
      <w:r>
        <w:rPr>
          <w:color w:val="000000"/>
          <w:spacing w:val="4"/>
        </w:rPr>
        <w:t>a</w:t>
      </w:r>
      <w:r>
        <w:rPr>
          <w:color w:val="000000"/>
          <w:spacing w:val="-4"/>
        </w:rPr>
        <w:t>j</w:t>
      </w:r>
      <w:r>
        <w:rPr>
          <w:color w:val="000000"/>
          <w:spacing w:val="6"/>
        </w:rPr>
        <w:t>a</w:t>
      </w:r>
      <w:r>
        <w:rPr>
          <w:color w:val="000000"/>
        </w:rPr>
        <w:t>i</w:t>
      </w:r>
      <w:r>
        <w:rPr>
          <w:color w:val="000000"/>
          <w:spacing w:val="-2"/>
        </w:rPr>
        <w:t xml:space="preserve"> </w:t>
      </w:r>
      <w:r>
        <w:rPr>
          <w:color w:val="000000"/>
        </w:rPr>
        <w:t>–</w:t>
      </w:r>
      <w:r>
        <w:rPr>
          <w:color w:val="000000"/>
          <w:spacing w:val="3"/>
        </w:rPr>
        <w:t xml:space="preserve"> </w:t>
      </w:r>
      <w:r>
        <w:rPr>
          <w:color w:val="000000"/>
          <w:spacing w:val="-5"/>
        </w:rPr>
        <w:t>b</w:t>
      </w:r>
      <w:r>
        <w:rPr>
          <w:color w:val="000000"/>
          <w:spacing w:val="5"/>
        </w:rPr>
        <w:t>u</w:t>
      </w:r>
      <w:r>
        <w:rPr>
          <w:color w:val="000000"/>
          <w:spacing w:val="-5"/>
        </w:rPr>
        <w:t>v</w:t>
      </w:r>
      <w:r>
        <w:rPr>
          <w:color w:val="000000"/>
        </w:rPr>
        <w:t>o</w:t>
      </w:r>
      <w:r>
        <w:rPr>
          <w:color w:val="000000"/>
          <w:spacing w:val="7"/>
        </w:rPr>
        <w:t xml:space="preserve"> </w:t>
      </w:r>
      <w:r>
        <w:rPr>
          <w:color w:val="000000"/>
        </w:rPr>
        <w:t>67</w:t>
      </w:r>
      <w:r>
        <w:rPr>
          <w:color w:val="000000"/>
          <w:spacing w:val="2"/>
        </w:rPr>
        <w:t xml:space="preserve"> </w:t>
      </w:r>
      <w:r>
        <w:rPr>
          <w:color w:val="000000"/>
          <w:spacing w:val="-9"/>
        </w:rPr>
        <w:t>m</w:t>
      </w:r>
      <w:r>
        <w:rPr>
          <w:color w:val="000000"/>
          <w:spacing w:val="-1"/>
        </w:rPr>
        <w:t>e</w:t>
      </w:r>
      <w:r>
        <w:rPr>
          <w:color w:val="000000"/>
          <w:spacing w:val="5"/>
        </w:rPr>
        <w:t>t</w:t>
      </w:r>
      <w:r>
        <w:rPr>
          <w:color w:val="000000"/>
          <w:spacing w:val="4"/>
        </w:rPr>
        <w:t>a</w:t>
      </w:r>
      <w:r>
        <w:rPr>
          <w:color w:val="000000"/>
          <w:spacing w:val="-9"/>
        </w:rPr>
        <w:t>i</w:t>
      </w:r>
      <w:r>
        <w:rPr>
          <w:color w:val="000000"/>
        </w:rPr>
        <w:t>.</w:t>
      </w:r>
    </w:p>
    <w:p w:rsidR="004F7425" w:rsidRDefault="004F7425" w:rsidP="004F7425">
      <w:pPr>
        <w:widowControl w:val="0"/>
        <w:autoSpaceDE w:val="0"/>
        <w:autoSpaceDN w:val="0"/>
        <w:adjustRightInd w:val="0"/>
        <w:spacing w:before="41"/>
        <w:ind w:left="5247" w:right="42"/>
        <w:jc w:val="both"/>
        <w:rPr>
          <w:color w:val="000000"/>
        </w:rPr>
        <w:sectPr w:rsidR="004F7425">
          <w:type w:val="continuous"/>
          <w:pgSz w:w="11920" w:h="16840"/>
          <w:pgMar w:top="1540" w:right="460" w:bottom="280" w:left="1360" w:header="567" w:footer="567" w:gutter="0"/>
          <w:cols w:space="1296" w:equalWidth="0">
            <w:col w:w="10100"/>
          </w:cols>
          <w:noEndnote/>
        </w:sectPr>
      </w:pPr>
    </w:p>
    <w:p w:rsidR="004F7425" w:rsidRDefault="004F7425" w:rsidP="004F7425">
      <w:pPr>
        <w:widowControl w:val="0"/>
        <w:autoSpaceDE w:val="0"/>
        <w:autoSpaceDN w:val="0"/>
        <w:adjustRightInd w:val="0"/>
        <w:spacing w:before="1" w:line="180" w:lineRule="exact"/>
        <w:rPr>
          <w:color w:val="000000"/>
          <w:sz w:val="18"/>
          <w:szCs w:val="18"/>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22"/>
        <w:ind w:left="4276" w:right="4247"/>
        <w:jc w:val="center"/>
        <w:rPr>
          <w:color w:val="000000"/>
          <w:sz w:val="28"/>
          <w:szCs w:val="28"/>
        </w:rPr>
      </w:pPr>
      <w:r>
        <w:rPr>
          <w:b/>
          <w:bCs/>
          <w:color w:val="974705"/>
          <w:spacing w:val="2"/>
          <w:w w:val="99"/>
          <w:sz w:val="28"/>
          <w:szCs w:val="28"/>
        </w:rPr>
        <w:t>I</w:t>
      </w:r>
      <w:r>
        <w:rPr>
          <w:b/>
          <w:bCs/>
          <w:color w:val="974705"/>
          <w:spacing w:val="-1"/>
          <w:w w:val="99"/>
          <w:sz w:val="28"/>
          <w:szCs w:val="28"/>
        </w:rPr>
        <w:t>Š</w:t>
      </w:r>
      <w:r>
        <w:rPr>
          <w:b/>
          <w:bCs/>
          <w:color w:val="974705"/>
          <w:w w:val="99"/>
          <w:sz w:val="28"/>
          <w:szCs w:val="28"/>
        </w:rPr>
        <w:t>V</w:t>
      </w:r>
      <w:r>
        <w:rPr>
          <w:b/>
          <w:bCs/>
          <w:color w:val="974705"/>
          <w:spacing w:val="1"/>
          <w:w w:val="99"/>
          <w:sz w:val="28"/>
          <w:szCs w:val="28"/>
        </w:rPr>
        <w:t>A</w:t>
      </w:r>
      <w:r>
        <w:rPr>
          <w:b/>
          <w:bCs/>
          <w:color w:val="974705"/>
          <w:w w:val="99"/>
          <w:sz w:val="28"/>
          <w:szCs w:val="28"/>
        </w:rPr>
        <w:t>DOS</w:t>
      </w:r>
    </w:p>
    <w:p w:rsidR="004F7425" w:rsidRDefault="004F7425" w:rsidP="004F7425">
      <w:pPr>
        <w:widowControl w:val="0"/>
        <w:autoSpaceDE w:val="0"/>
        <w:autoSpaceDN w:val="0"/>
        <w:adjustRightInd w:val="0"/>
        <w:spacing w:before="9"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5" w:lineRule="auto"/>
        <w:ind w:left="120" w:right="48" w:firstLine="721"/>
        <w:jc w:val="both"/>
        <w:rPr>
          <w:color w:val="000000"/>
        </w:rPr>
      </w:pPr>
      <w:r>
        <w:rPr>
          <w:color w:val="000000"/>
          <w:spacing w:val="1"/>
        </w:rPr>
        <w:t>P</w:t>
      </w:r>
      <w:r>
        <w:rPr>
          <w:color w:val="000000"/>
          <w:spacing w:val="-1"/>
        </w:rPr>
        <w:t>a</w:t>
      </w:r>
      <w:r>
        <w:rPr>
          <w:color w:val="000000"/>
          <w:spacing w:val="-2"/>
        </w:rPr>
        <w:t>s</w:t>
      </w:r>
      <w:r>
        <w:rPr>
          <w:color w:val="000000"/>
          <w:spacing w:val="5"/>
        </w:rPr>
        <w:t>t</w:t>
      </w:r>
      <w:r>
        <w:rPr>
          <w:color w:val="000000"/>
          <w:spacing w:val="-1"/>
        </w:rPr>
        <w:t>a</w:t>
      </w:r>
      <w:r>
        <w:rPr>
          <w:color w:val="000000"/>
          <w:spacing w:val="1"/>
        </w:rPr>
        <w:t>r</w:t>
      </w:r>
      <w:r>
        <w:rPr>
          <w:color w:val="000000"/>
          <w:spacing w:val="-5"/>
        </w:rPr>
        <w:t>u</w:t>
      </w:r>
      <w:r>
        <w:rPr>
          <w:color w:val="000000"/>
          <w:spacing w:val="5"/>
        </w:rPr>
        <w:t>o</w:t>
      </w:r>
      <w:r>
        <w:rPr>
          <w:color w:val="000000"/>
          <w:spacing w:val="2"/>
        </w:rPr>
        <w:t>s</w:t>
      </w:r>
      <w:r>
        <w:rPr>
          <w:color w:val="000000"/>
          <w:spacing w:val="-9"/>
        </w:rPr>
        <w:t>i</w:t>
      </w:r>
      <w:r>
        <w:rPr>
          <w:color w:val="000000"/>
        </w:rPr>
        <w:t>us</w:t>
      </w:r>
      <w:r>
        <w:rPr>
          <w:color w:val="000000"/>
          <w:spacing w:val="48"/>
        </w:rPr>
        <w:t xml:space="preserve"> </w:t>
      </w:r>
      <w:r>
        <w:rPr>
          <w:color w:val="000000"/>
        </w:rPr>
        <w:t>k</w:t>
      </w:r>
      <w:r>
        <w:rPr>
          <w:color w:val="000000"/>
          <w:spacing w:val="4"/>
        </w:rPr>
        <w:t>e</w:t>
      </w:r>
      <w:r>
        <w:rPr>
          <w:color w:val="000000"/>
          <w:spacing w:val="-4"/>
        </w:rPr>
        <w:t>l</w:t>
      </w:r>
      <w:r>
        <w:rPr>
          <w:color w:val="000000"/>
          <w:spacing w:val="-1"/>
        </w:rPr>
        <w:t>e</w:t>
      </w:r>
      <w:r>
        <w:rPr>
          <w:color w:val="000000"/>
          <w:spacing w:val="5"/>
        </w:rPr>
        <w:t>t</w:t>
      </w:r>
      <w:r>
        <w:rPr>
          <w:color w:val="000000"/>
        </w:rPr>
        <w:t>ą</w:t>
      </w:r>
      <w:r>
        <w:rPr>
          <w:color w:val="000000"/>
          <w:spacing w:val="54"/>
        </w:rPr>
        <w:t xml:space="preserve"> </w:t>
      </w:r>
      <w:r>
        <w:rPr>
          <w:color w:val="000000"/>
          <w:spacing w:val="-4"/>
        </w:rPr>
        <w:t>m</w:t>
      </w:r>
      <w:r>
        <w:rPr>
          <w:color w:val="000000"/>
          <w:spacing w:val="-1"/>
        </w:rPr>
        <w:t>e</w:t>
      </w:r>
      <w:r>
        <w:rPr>
          <w:color w:val="000000"/>
          <w:spacing w:val="5"/>
        </w:rPr>
        <w:t>t</w:t>
      </w:r>
      <w:r>
        <w:rPr>
          <w:color w:val="000000"/>
        </w:rPr>
        <w:t>ų</w:t>
      </w:r>
      <w:r>
        <w:rPr>
          <w:color w:val="000000"/>
          <w:spacing w:val="50"/>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to</w:t>
      </w:r>
      <w:r>
        <w:rPr>
          <w:color w:val="000000"/>
        </w:rPr>
        <w:t>s</w:t>
      </w:r>
      <w:r>
        <w:rPr>
          <w:color w:val="000000"/>
          <w:spacing w:val="48"/>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55"/>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to</w:t>
      </w:r>
      <w:r>
        <w:rPr>
          <w:color w:val="000000"/>
        </w:rPr>
        <w:t>s</w:t>
      </w:r>
      <w:r>
        <w:rPr>
          <w:color w:val="000000"/>
          <w:spacing w:val="43"/>
        </w:rPr>
        <w:t xml:space="preserve"> </w:t>
      </w:r>
      <w:r>
        <w:rPr>
          <w:color w:val="000000"/>
          <w:spacing w:val="5"/>
        </w:rPr>
        <w:t>t</w:t>
      </w:r>
      <w:r>
        <w:rPr>
          <w:color w:val="000000"/>
          <w:spacing w:val="-1"/>
        </w:rPr>
        <w:t>e</w:t>
      </w:r>
      <w:r>
        <w:rPr>
          <w:color w:val="000000"/>
          <w:spacing w:val="-5"/>
        </w:rPr>
        <w:t>n</w:t>
      </w:r>
      <w:r>
        <w:rPr>
          <w:color w:val="000000"/>
        </w:rPr>
        <w:t>d</w:t>
      </w:r>
      <w:r>
        <w:rPr>
          <w:color w:val="000000"/>
          <w:spacing w:val="4"/>
        </w:rPr>
        <w:t>e</w:t>
      </w:r>
      <w:r>
        <w:rPr>
          <w:color w:val="000000"/>
          <w:spacing w:val="-5"/>
        </w:rPr>
        <w:t>n</w:t>
      </w:r>
      <w:r>
        <w:rPr>
          <w:color w:val="000000"/>
          <w:spacing w:val="4"/>
        </w:rPr>
        <w:t>c</w:t>
      </w:r>
      <w:r>
        <w:rPr>
          <w:color w:val="000000"/>
        </w:rPr>
        <w:t>i</w:t>
      </w:r>
      <w:r>
        <w:rPr>
          <w:color w:val="000000"/>
          <w:spacing w:val="-9"/>
        </w:rPr>
        <w:t>j</w:t>
      </w:r>
      <w:r>
        <w:rPr>
          <w:color w:val="000000"/>
          <w:spacing w:val="5"/>
        </w:rPr>
        <w:t>o</w:t>
      </w:r>
      <w:r>
        <w:rPr>
          <w:color w:val="000000"/>
        </w:rPr>
        <w:t>s</w:t>
      </w:r>
      <w:r>
        <w:rPr>
          <w:color w:val="000000"/>
          <w:spacing w:val="53"/>
        </w:rPr>
        <w:t xml:space="preserve"> </w:t>
      </w:r>
      <w:r>
        <w:rPr>
          <w:color w:val="000000"/>
          <w:spacing w:val="-4"/>
        </w:rPr>
        <w:t>i</w:t>
      </w:r>
      <w:r>
        <w:rPr>
          <w:color w:val="000000"/>
        </w:rPr>
        <w:t>š</w:t>
      </w:r>
      <w:r>
        <w:rPr>
          <w:color w:val="000000"/>
          <w:spacing w:val="53"/>
        </w:rPr>
        <w:t xml:space="preserve"> </w:t>
      </w:r>
      <w:r>
        <w:rPr>
          <w:color w:val="000000"/>
          <w:spacing w:val="4"/>
        </w:rPr>
        <w:t>e</w:t>
      </w:r>
      <w:r>
        <w:rPr>
          <w:color w:val="000000"/>
          <w:spacing w:val="2"/>
        </w:rPr>
        <w:t>s</w:t>
      </w:r>
      <w:r>
        <w:rPr>
          <w:color w:val="000000"/>
          <w:spacing w:val="-4"/>
        </w:rPr>
        <w:t>m</w:t>
      </w:r>
      <w:r>
        <w:rPr>
          <w:color w:val="000000"/>
          <w:spacing w:val="-1"/>
        </w:rPr>
        <w:t>ė</w:t>
      </w:r>
      <w:r>
        <w:rPr>
          <w:color w:val="000000"/>
        </w:rPr>
        <w:t>s</w:t>
      </w:r>
      <w:r>
        <w:rPr>
          <w:color w:val="000000"/>
          <w:spacing w:val="57"/>
        </w:rPr>
        <w:t xml:space="preserve"> </w:t>
      </w:r>
      <w:r>
        <w:rPr>
          <w:color w:val="000000"/>
          <w:spacing w:val="-5"/>
        </w:rPr>
        <w:t>n</w:t>
      </w:r>
      <w:r>
        <w:rPr>
          <w:color w:val="000000"/>
          <w:spacing w:val="-1"/>
        </w:rPr>
        <w:t>e</w:t>
      </w:r>
      <w:r>
        <w:rPr>
          <w:color w:val="000000"/>
          <w:spacing w:val="2"/>
        </w:rPr>
        <w:t>s</w:t>
      </w:r>
      <w:r>
        <w:rPr>
          <w:color w:val="000000"/>
          <w:spacing w:val="-4"/>
        </w:rPr>
        <w:t>i</w:t>
      </w:r>
      <w:r>
        <w:rPr>
          <w:color w:val="000000"/>
        </w:rPr>
        <w:t>ke</w:t>
      </w:r>
      <w:r>
        <w:rPr>
          <w:color w:val="000000"/>
          <w:spacing w:val="-44"/>
        </w:rPr>
        <w:t xml:space="preserve"> </w:t>
      </w:r>
      <w:r>
        <w:rPr>
          <w:color w:val="000000"/>
          <w:spacing w:val="-4"/>
        </w:rPr>
        <w:t>i</w:t>
      </w:r>
      <w:r>
        <w:rPr>
          <w:color w:val="000000"/>
          <w:spacing w:val="4"/>
        </w:rPr>
        <w:t>č</w:t>
      </w:r>
      <w:r>
        <w:rPr>
          <w:color w:val="000000"/>
          <w:spacing w:val="-4"/>
        </w:rPr>
        <w:t>i</w:t>
      </w:r>
      <w:r>
        <w:rPr>
          <w:color w:val="000000"/>
          <w:spacing w:val="-1"/>
        </w:rPr>
        <w:t>a</w:t>
      </w:r>
      <w:r>
        <w:rPr>
          <w:color w:val="000000"/>
        </w:rPr>
        <w:t xml:space="preserve">. </w:t>
      </w:r>
      <w:r>
        <w:rPr>
          <w:color w:val="000000"/>
          <w:spacing w:val="1"/>
        </w:rPr>
        <w:t>I</w:t>
      </w:r>
      <w:r>
        <w:rPr>
          <w:color w:val="000000"/>
          <w:spacing w:val="-2"/>
        </w:rPr>
        <w:t>šs</w:t>
      </w:r>
      <w:r>
        <w:rPr>
          <w:color w:val="000000"/>
          <w:spacing w:val="5"/>
        </w:rPr>
        <w:t>k</w:t>
      </w:r>
      <w:r>
        <w:rPr>
          <w:color w:val="000000"/>
          <w:spacing w:val="-9"/>
        </w:rPr>
        <w:t>i</w:t>
      </w:r>
      <w:r>
        <w:rPr>
          <w:color w:val="000000"/>
          <w:spacing w:val="6"/>
        </w:rPr>
        <w:t>r</w:t>
      </w:r>
      <w:r>
        <w:rPr>
          <w:color w:val="000000"/>
          <w:spacing w:val="-4"/>
        </w:rPr>
        <w:t>i</w:t>
      </w:r>
      <w:r>
        <w:rPr>
          <w:color w:val="000000"/>
          <w:spacing w:val="4"/>
        </w:rPr>
        <w:t>a</w:t>
      </w:r>
      <w:r>
        <w:rPr>
          <w:color w:val="000000"/>
          <w:spacing w:val="-4"/>
        </w:rPr>
        <w:t>m</w:t>
      </w:r>
      <w:r>
        <w:rPr>
          <w:color w:val="000000"/>
        </w:rPr>
        <w:t>e</w:t>
      </w:r>
      <w:r>
        <w:rPr>
          <w:color w:val="000000"/>
          <w:spacing w:val="1"/>
        </w:rPr>
        <w:t xml:space="preserve"> </w:t>
      </w:r>
      <w:r>
        <w:rPr>
          <w:color w:val="000000"/>
          <w:spacing w:val="2"/>
        </w:rPr>
        <w:t>š</w:t>
      </w:r>
      <w:r>
        <w:rPr>
          <w:color w:val="000000"/>
          <w:spacing w:val="-4"/>
        </w:rPr>
        <w:t>i</w:t>
      </w:r>
      <w:r>
        <w:rPr>
          <w:color w:val="000000"/>
        </w:rPr>
        <w:t>u</w:t>
      </w:r>
      <w:r>
        <w:rPr>
          <w:color w:val="000000"/>
          <w:spacing w:val="5"/>
        </w:rPr>
        <w:t>o</w:t>
      </w:r>
      <w:r>
        <w:rPr>
          <w:color w:val="000000"/>
        </w:rPr>
        <w:t>s</w:t>
      </w:r>
      <w:r>
        <w:rPr>
          <w:color w:val="000000"/>
          <w:spacing w:val="3"/>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to</w:t>
      </w:r>
      <w:r>
        <w:rPr>
          <w:color w:val="000000"/>
        </w:rPr>
        <w:t xml:space="preserve">s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2"/>
        </w:rPr>
        <w:t xml:space="preserve"> </w:t>
      </w:r>
      <w:r>
        <w:rPr>
          <w:color w:val="000000"/>
          <w:spacing w:val="6"/>
        </w:rPr>
        <w:t>r</w:t>
      </w:r>
      <w:r>
        <w:rPr>
          <w:color w:val="000000"/>
          <w:spacing w:val="-4"/>
        </w:rPr>
        <w:t>i</w:t>
      </w:r>
      <w:r>
        <w:rPr>
          <w:color w:val="000000"/>
          <w:spacing w:val="-5"/>
        </w:rPr>
        <w:t>n</w:t>
      </w:r>
      <w:r>
        <w:rPr>
          <w:color w:val="000000"/>
          <w:spacing w:val="5"/>
        </w:rPr>
        <w:t>ko</w:t>
      </w:r>
      <w:r>
        <w:rPr>
          <w:color w:val="000000"/>
        </w:rPr>
        <w:t xml:space="preserve">s </w:t>
      </w:r>
      <w:r>
        <w:rPr>
          <w:color w:val="000000"/>
          <w:spacing w:val="-5"/>
        </w:rPr>
        <w:t>p</w:t>
      </w:r>
      <w:r>
        <w:rPr>
          <w:color w:val="000000"/>
          <w:spacing w:val="5"/>
        </w:rPr>
        <w:t>o</w:t>
      </w:r>
      <w:r>
        <w:rPr>
          <w:color w:val="000000"/>
          <w:spacing w:val="-1"/>
        </w:rPr>
        <w:t>ž</w:t>
      </w:r>
      <w:r>
        <w:rPr>
          <w:color w:val="000000"/>
          <w:spacing w:val="-5"/>
        </w:rPr>
        <w:t>y</w:t>
      </w:r>
      <w:r>
        <w:rPr>
          <w:color w:val="000000"/>
        </w:rPr>
        <w:t>m</w:t>
      </w:r>
      <w:r>
        <w:rPr>
          <w:color w:val="000000"/>
          <w:spacing w:val="-4"/>
        </w:rPr>
        <w:t>i</w:t>
      </w:r>
      <w:r>
        <w:rPr>
          <w:color w:val="000000"/>
        </w:rPr>
        <w:t>u</w:t>
      </w:r>
      <w:r>
        <w:rPr>
          <w:color w:val="000000"/>
          <w:spacing w:val="-2"/>
        </w:rPr>
        <w:t>s</w:t>
      </w:r>
      <w:r>
        <w:rPr>
          <w:color w:val="000000"/>
        </w:rPr>
        <w:t>:</w:t>
      </w:r>
    </w:p>
    <w:p w:rsidR="004F7425" w:rsidRDefault="004F7425" w:rsidP="004F7425">
      <w:pPr>
        <w:widowControl w:val="0"/>
        <w:autoSpaceDE w:val="0"/>
        <w:autoSpaceDN w:val="0"/>
        <w:adjustRightInd w:val="0"/>
        <w:spacing w:before="8" w:line="110" w:lineRule="exact"/>
        <w:rPr>
          <w:color w:val="000000"/>
          <w:sz w:val="11"/>
          <w:szCs w:val="11"/>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tabs>
          <w:tab w:val="left" w:pos="540"/>
        </w:tabs>
        <w:autoSpaceDE w:val="0"/>
        <w:autoSpaceDN w:val="0"/>
        <w:adjustRightInd w:val="0"/>
        <w:ind w:left="120" w:right="-20"/>
        <w:rPr>
          <w:color w:val="000000"/>
        </w:rPr>
      </w:pPr>
      <w:r>
        <w:rPr>
          <w:rFonts w:ascii="Wingdings" w:hAnsi="Wingdings" w:cs="Wingdings"/>
          <w:color w:val="000000"/>
        </w:rPr>
        <w:t></w:t>
      </w:r>
      <w:r>
        <w:rPr>
          <w:color w:val="000000"/>
        </w:rPr>
        <w:tab/>
      </w:r>
      <w:r>
        <w:rPr>
          <w:color w:val="000000"/>
          <w:spacing w:val="5"/>
        </w:rPr>
        <w:t>t</w:t>
      </w:r>
      <w:r>
        <w:rPr>
          <w:color w:val="000000"/>
          <w:spacing w:val="-1"/>
        </w:rPr>
        <w:t>a</w:t>
      </w:r>
      <w:r>
        <w:rPr>
          <w:color w:val="000000"/>
          <w:spacing w:val="1"/>
        </w:rPr>
        <w:t>r</w:t>
      </w:r>
      <w:r>
        <w:rPr>
          <w:color w:val="000000"/>
        </w:rPr>
        <w:t>p</w:t>
      </w:r>
      <w:r>
        <w:rPr>
          <w:color w:val="000000"/>
          <w:spacing w:val="-3"/>
        </w:rPr>
        <w:t xml:space="preserve"> </w:t>
      </w:r>
      <w:r>
        <w:rPr>
          <w:color w:val="000000"/>
          <w:spacing w:val="-5"/>
        </w:rPr>
        <w:t>v</w:t>
      </w:r>
      <w:r>
        <w:rPr>
          <w:color w:val="000000"/>
          <w:spacing w:val="-1"/>
        </w:rPr>
        <w:t>a</w:t>
      </w:r>
      <w:r>
        <w:rPr>
          <w:color w:val="000000"/>
          <w:spacing w:val="1"/>
        </w:rPr>
        <w:t>r</w:t>
      </w:r>
      <w:r>
        <w:rPr>
          <w:color w:val="000000"/>
        </w:rPr>
        <w:t>to</w:t>
      </w:r>
      <w:r>
        <w:rPr>
          <w:color w:val="000000"/>
          <w:spacing w:val="1"/>
        </w:rPr>
        <w:t>t</w:t>
      </w:r>
      <w:r>
        <w:rPr>
          <w:color w:val="000000"/>
          <w:spacing w:val="5"/>
        </w:rPr>
        <w:t>o</w:t>
      </w:r>
      <w:r>
        <w:rPr>
          <w:color w:val="000000"/>
          <w:spacing w:val="-9"/>
        </w:rPr>
        <w:t>j</w:t>
      </w:r>
      <w:r>
        <w:rPr>
          <w:color w:val="000000"/>
        </w:rPr>
        <w:t>ų</w:t>
      </w:r>
      <w:r>
        <w:rPr>
          <w:color w:val="000000"/>
          <w:spacing w:val="2"/>
        </w:rPr>
        <w:t xml:space="preserve"> </w:t>
      </w:r>
      <w:r>
        <w:rPr>
          <w:color w:val="000000"/>
        </w:rPr>
        <w:t>p</w:t>
      </w:r>
      <w:r>
        <w:rPr>
          <w:color w:val="000000"/>
          <w:spacing w:val="5"/>
        </w:rPr>
        <w:t>o</w:t>
      </w:r>
      <w:r>
        <w:rPr>
          <w:color w:val="000000"/>
        </w:rPr>
        <w:t>pu</w:t>
      </w:r>
      <w:r>
        <w:rPr>
          <w:color w:val="000000"/>
          <w:spacing w:val="-4"/>
        </w:rPr>
        <w:t>li</w:t>
      </w:r>
      <w:r>
        <w:rPr>
          <w:color w:val="000000"/>
          <w:spacing w:val="-1"/>
        </w:rPr>
        <w:t>a</w:t>
      </w:r>
      <w:r>
        <w:rPr>
          <w:color w:val="000000"/>
          <w:spacing w:val="6"/>
        </w:rPr>
        <w:t>r</w:t>
      </w:r>
      <w:r>
        <w:rPr>
          <w:color w:val="000000"/>
          <w:spacing w:val="-4"/>
        </w:rPr>
        <w:t>i</w:t>
      </w:r>
      <w:r>
        <w:rPr>
          <w:color w:val="000000"/>
          <w:spacing w:val="-1"/>
        </w:rPr>
        <w:t>a</w:t>
      </w:r>
      <w:r>
        <w:rPr>
          <w:color w:val="000000"/>
        </w:rPr>
        <w:t>u</w:t>
      </w:r>
      <w:r>
        <w:rPr>
          <w:color w:val="000000"/>
          <w:spacing w:val="2"/>
        </w:rPr>
        <w:t>s</w:t>
      </w:r>
      <w:r>
        <w:rPr>
          <w:color w:val="000000"/>
          <w:spacing w:val="-9"/>
        </w:rPr>
        <w:t>i</w:t>
      </w:r>
      <w:r>
        <w:rPr>
          <w:color w:val="000000"/>
          <w:spacing w:val="9"/>
        </w:rPr>
        <w:t>o</w:t>
      </w:r>
      <w:r>
        <w:rPr>
          <w:color w:val="000000"/>
        </w:rPr>
        <w:t>s k</w:t>
      </w:r>
      <w:r>
        <w:rPr>
          <w:color w:val="000000"/>
          <w:spacing w:val="-1"/>
        </w:rPr>
        <w:t>a</w:t>
      </w:r>
      <w:r>
        <w:rPr>
          <w:color w:val="000000"/>
        </w:rPr>
        <w:t>n</w:t>
      </w:r>
      <w:r>
        <w:rPr>
          <w:color w:val="000000"/>
          <w:spacing w:val="-1"/>
        </w:rPr>
        <w:t>a</w:t>
      </w:r>
      <w:r>
        <w:rPr>
          <w:color w:val="000000"/>
        </w:rPr>
        <w:t>p</w:t>
      </w:r>
      <w:r>
        <w:rPr>
          <w:color w:val="000000"/>
          <w:spacing w:val="-1"/>
        </w:rPr>
        <w:t>ė</w:t>
      </w:r>
      <w:r>
        <w:rPr>
          <w:color w:val="000000"/>
        </w:rPr>
        <w:t>s</w:t>
      </w:r>
      <w:r>
        <w:rPr>
          <w:color w:val="000000"/>
          <w:spacing w:val="5"/>
        </w:rPr>
        <w:t xml:space="preserve"> </w:t>
      </w:r>
      <w:r>
        <w:rPr>
          <w:color w:val="000000"/>
          <w:spacing w:val="-9"/>
        </w:rPr>
        <w:t>i</w:t>
      </w:r>
      <w:r>
        <w:rPr>
          <w:color w:val="000000"/>
        </w:rPr>
        <w:t>r</w:t>
      </w:r>
      <w:r>
        <w:rPr>
          <w:color w:val="000000"/>
          <w:spacing w:val="8"/>
        </w:rPr>
        <w:t xml:space="preserve"> </w:t>
      </w:r>
      <w:r>
        <w:rPr>
          <w:color w:val="000000"/>
          <w:spacing w:val="-5"/>
        </w:rPr>
        <w:t>A</w:t>
      </w:r>
      <w:r>
        <w:rPr>
          <w:color w:val="000000"/>
          <w:spacing w:val="2"/>
        </w:rPr>
        <w:t>T</w:t>
      </w:r>
      <w:r>
        <w:rPr>
          <w:color w:val="000000"/>
        </w:rPr>
        <w:t>S</w:t>
      </w:r>
      <w:r>
        <w:rPr>
          <w:color w:val="000000"/>
          <w:spacing w:val="3"/>
        </w:rPr>
        <w:t xml:space="preserve"> </w:t>
      </w:r>
      <w:r>
        <w:rPr>
          <w:color w:val="000000"/>
          <w:spacing w:val="1"/>
        </w:rPr>
        <w:t>(</w:t>
      </w:r>
      <w:r>
        <w:rPr>
          <w:color w:val="000000"/>
          <w:spacing w:val="-1"/>
        </w:rPr>
        <w:t>a</w:t>
      </w:r>
      <w:r>
        <w:rPr>
          <w:color w:val="000000"/>
          <w:spacing w:val="-4"/>
        </w:rPr>
        <w:t>m</w:t>
      </w:r>
      <w:r>
        <w:rPr>
          <w:color w:val="000000"/>
          <w:spacing w:val="1"/>
        </w:rPr>
        <w:t>f</w:t>
      </w:r>
      <w:r>
        <w:rPr>
          <w:color w:val="000000"/>
          <w:spacing w:val="-1"/>
        </w:rPr>
        <w:t>e</w:t>
      </w:r>
      <w:r>
        <w:rPr>
          <w:color w:val="000000"/>
          <w:spacing w:val="5"/>
        </w:rPr>
        <w:t>t</w:t>
      </w:r>
      <w:r>
        <w:rPr>
          <w:color w:val="000000"/>
          <w:spacing w:val="-1"/>
        </w:rPr>
        <w:t>a</w:t>
      </w:r>
      <w:r>
        <w:rPr>
          <w:color w:val="000000"/>
          <w:spacing w:val="-4"/>
        </w:rPr>
        <w:t>mi</w:t>
      </w:r>
      <w:r>
        <w:rPr>
          <w:color w:val="000000"/>
          <w:spacing w:val="-5"/>
        </w:rPr>
        <w:t>n</w:t>
      </w:r>
      <w:r>
        <w:rPr>
          <w:color w:val="000000"/>
        </w:rPr>
        <w:t>o</w:t>
      </w:r>
      <w:r>
        <w:rPr>
          <w:color w:val="000000"/>
          <w:spacing w:val="7"/>
        </w:rPr>
        <w:t xml:space="preserve"> </w:t>
      </w:r>
      <w:r>
        <w:rPr>
          <w:color w:val="000000"/>
          <w:spacing w:val="5"/>
        </w:rPr>
        <w:t>t</w:t>
      </w:r>
      <w:r>
        <w:rPr>
          <w:color w:val="000000"/>
          <w:spacing w:val="-9"/>
        </w:rPr>
        <w:t>i</w:t>
      </w:r>
      <w:r>
        <w:rPr>
          <w:color w:val="000000"/>
        </w:rPr>
        <w:t>po</w:t>
      </w:r>
      <w:r>
        <w:rPr>
          <w:color w:val="000000"/>
          <w:spacing w:val="7"/>
        </w:rPr>
        <w:t xml:space="preserve"> </w:t>
      </w:r>
      <w:r>
        <w:rPr>
          <w:color w:val="000000"/>
          <w:spacing w:val="-2"/>
        </w:rPr>
        <w:t>s</w:t>
      </w:r>
      <w:r>
        <w:rPr>
          <w:color w:val="000000"/>
          <w:spacing w:val="5"/>
        </w:rPr>
        <w:t>t</w:t>
      </w:r>
      <w:r>
        <w:rPr>
          <w:color w:val="000000"/>
          <w:spacing w:val="-4"/>
        </w:rPr>
        <w:t>im</w:t>
      </w:r>
      <w:r>
        <w:rPr>
          <w:color w:val="000000"/>
          <w:spacing w:val="5"/>
        </w:rPr>
        <w:t>u</w:t>
      </w:r>
      <w:r>
        <w:rPr>
          <w:color w:val="000000"/>
        </w:rPr>
        <w:t>l</w:t>
      </w:r>
      <w:r>
        <w:rPr>
          <w:color w:val="000000"/>
          <w:spacing w:val="-4"/>
        </w:rPr>
        <w:t>i</w:t>
      </w:r>
      <w:r>
        <w:rPr>
          <w:color w:val="000000"/>
        </w:rPr>
        <w:t>u</w:t>
      </w:r>
      <w:r>
        <w:rPr>
          <w:color w:val="000000"/>
          <w:spacing w:val="9"/>
        </w:rPr>
        <w:t>o</w:t>
      </w:r>
      <w:r>
        <w:rPr>
          <w:color w:val="000000"/>
          <w:spacing w:val="-9"/>
        </w:rPr>
        <w:t>j</w:t>
      </w:r>
      <w:r>
        <w:rPr>
          <w:color w:val="000000"/>
          <w:spacing w:val="4"/>
        </w:rPr>
        <w:t>a</w:t>
      </w:r>
      <w:r>
        <w:rPr>
          <w:color w:val="000000"/>
          <w:spacing w:val="-9"/>
        </w:rPr>
        <w:t>m</w:t>
      </w:r>
      <w:r>
        <w:rPr>
          <w:color w:val="000000"/>
          <w:spacing w:val="5"/>
        </w:rPr>
        <w:t>o</w:t>
      </w:r>
      <w:r>
        <w:rPr>
          <w:color w:val="000000"/>
          <w:spacing w:val="2"/>
        </w:rPr>
        <w:t>s</w:t>
      </w:r>
      <w:r>
        <w:rPr>
          <w:color w:val="000000"/>
          <w:spacing w:val="-9"/>
        </w:rPr>
        <w:t>i</w:t>
      </w:r>
      <w:r>
        <w:rPr>
          <w:color w:val="000000"/>
          <w:spacing w:val="5"/>
        </w:rPr>
        <w:t>o</w:t>
      </w:r>
      <w:r>
        <w:rPr>
          <w:color w:val="000000"/>
          <w:spacing w:val="-2"/>
        </w:rPr>
        <w:t>s</w:t>
      </w:r>
      <w:r>
        <w:rPr>
          <w:color w:val="000000"/>
        </w:rPr>
        <w:t>)</w:t>
      </w:r>
      <w:r>
        <w:rPr>
          <w:color w:val="000000"/>
          <w:spacing w:val="8"/>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w:t>
      </w:r>
      <w:r>
        <w:rPr>
          <w:color w:val="000000"/>
          <w:spacing w:val="5"/>
        </w:rPr>
        <w:t>o</w:t>
      </w:r>
      <w:r>
        <w:rPr>
          <w:color w:val="000000"/>
          <w:spacing w:val="-2"/>
        </w:rPr>
        <w:t>s</w:t>
      </w:r>
      <w:r>
        <w:rPr>
          <w:color w:val="000000"/>
        </w:rPr>
        <w:t>;</w:t>
      </w:r>
    </w:p>
    <w:p w:rsidR="004F7425" w:rsidRDefault="004F7425" w:rsidP="004F7425">
      <w:pPr>
        <w:widowControl w:val="0"/>
        <w:tabs>
          <w:tab w:val="left" w:pos="540"/>
        </w:tabs>
        <w:autoSpaceDE w:val="0"/>
        <w:autoSpaceDN w:val="0"/>
        <w:adjustRightInd w:val="0"/>
        <w:spacing w:before="45"/>
        <w:ind w:left="120" w:right="-20"/>
        <w:rPr>
          <w:color w:val="000000"/>
        </w:rPr>
      </w:pPr>
      <w:r>
        <w:rPr>
          <w:rFonts w:ascii="Wingdings" w:hAnsi="Wingdings" w:cs="Wingdings"/>
          <w:color w:val="000000"/>
        </w:rPr>
        <w:t></w:t>
      </w:r>
      <w:r>
        <w:rPr>
          <w:color w:val="000000"/>
        </w:rPr>
        <w:tab/>
      </w:r>
      <w:r>
        <w:rPr>
          <w:color w:val="000000"/>
          <w:spacing w:val="-4"/>
        </w:rPr>
        <w:t>m</w:t>
      </w:r>
      <w:r>
        <w:rPr>
          <w:color w:val="000000"/>
          <w:spacing w:val="-1"/>
        </w:rPr>
        <w:t>e</w:t>
      </w:r>
      <w:r>
        <w:rPr>
          <w:color w:val="000000"/>
          <w:spacing w:val="5"/>
        </w:rPr>
        <w:t>t</w:t>
      </w:r>
      <w:r>
        <w:rPr>
          <w:color w:val="000000"/>
          <w:spacing w:val="4"/>
        </w:rPr>
        <w:t>a</w:t>
      </w:r>
      <w:r>
        <w:rPr>
          <w:color w:val="000000"/>
          <w:spacing w:val="-4"/>
        </w:rPr>
        <w:t>m</w:t>
      </w:r>
      <w:r>
        <w:rPr>
          <w:color w:val="000000"/>
          <w:spacing w:val="-3"/>
        </w:rPr>
        <w:t>f</w:t>
      </w:r>
      <w:r>
        <w:rPr>
          <w:color w:val="000000"/>
          <w:spacing w:val="-1"/>
        </w:rPr>
        <w:t>e</w:t>
      </w:r>
      <w:r>
        <w:rPr>
          <w:color w:val="000000"/>
          <w:spacing w:val="5"/>
        </w:rPr>
        <w:t>t</w:t>
      </w:r>
      <w:r>
        <w:rPr>
          <w:color w:val="000000"/>
          <w:spacing w:val="4"/>
        </w:rPr>
        <w:t>a</w:t>
      </w:r>
      <w:r>
        <w:rPr>
          <w:color w:val="000000"/>
          <w:spacing w:val="-4"/>
        </w:rPr>
        <w:t>mi</w:t>
      </w:r>
      <w:r>
        <w:rPr>
          <w:color w:val="000000"/>
        </w:rPr>
        <w:t>n</w:t>
      </w:r>
      <w:r>
        <w:rPr>
          <w:color w:val="000000"/>
          <w:spacing w:val="-1"/>
        </w:rPr>
        <w:t>a</w:t>
      </w:r>
      <w:r>
        <w:rPr>
          <w:color w:val="000000"/>
        </w:rPr>
        <w:t>s d</w:t>
      </w:r>
      <w:r>
        <w:rPr>
          <w:color w:val="000000"/>
          <w:spacing w:val="-1"/>
        </w:rPr>
        <w:t>a</w:t>
      </w:r>
      <w:r>
        <w:rPr>
          <w:color w:val="000000"/>
          <w:spacing w:val="4"/>
        </w:rPr>
        <w:t>ž</w:t>
      </w:r>
      <w:r>
        <w:rPr>
          <w:color w:val="000000"/>
        </w:rPr>
        <w:t>n</w:t>
      </w:r>
      <w:r>
        <w:rPr>
          <w:color w:val="000000"/>
          <w:spacing w:val="-4"/>
        </w:rPr>
        <w:t>i</w:t>
      </w:r>
      <w:r>
        <w:rPr>
          <w:color w:val="000000"/>
          <w:spacing w:val="-1"/>
        </w:rPr>
        <w:t>a</w:t>
      </w:r>
      <w:r>
        <w:rPr>
          <w:color w:val="000000"/>
          <w:spacing w:val="5"/>
        </w:rPr>
        <w:t>u</w:t>
      </w:r>
      <w:r>
        <w:rPr>
          <w:color w:val="000000"/>
          <w:spacing w:val="2"/>
        </w:rPr>
        <w:t>s</w:t>
      </w:r>
      <w:r>
        <w:rPr>
          <w:color w:val="000000"/>
          <w:spacing w:val="-4"/>
        </w:rPr>
        <w:t>i</w:t>
      </w:r>
      <w:r>
        <w:rPr>
          <w:color w:val="000000"/>
          <w:spacing w:val="4"/>
        </w:rPr>
        <w:t>a</w:t>
      </w:r>
      <w:r>
        <w:rPr>
          <w:color w:val="000000"/>
        </w:rPr>
        <w:t>i</w:t>
      </w:r>
      <w:r>
        <w:rPr>
          <w:color w:val="000000"/>
          <w:spacing w:val="-2"/>
        </w:rPr>
        <w:t xml:space="preserve"> </w:t>
      </w:r>
      <w:r>
        <w:rPr>
          <w:color w:val="000000"/>
          <w:spacing w:val="-5"/>
        </w:rPr>
        <w:t>v</w:t>
      </w:r>
      <w:r>
        <w:rPr>
          <w:color w:val="000000"/>
          <w:spacing w:val="-1"/>
        </w:rPr>
        <w:t>a</w:t>
      </w:r>
      <w:r>
        <w:rPr>
          <w:color w:val="000000"/>
          <w:spacing w:val="1"/>
        </w:rPr>
        <w:t>r</w:t>
      </w:r>
      <w:r>
        <w:rPr>
          <w:color w:val="000000"/>
          <w:spacing w:val="5"/>
        </w:rPr>
        <w:t>to</w:t>
      </w:r>
      <w:r>
        <w:rPr>
          <w:color w:val="000000"/>
          <w:spacing w:val="-9"/>
        </w:rPr>
        <w:t>j</w:t>
      </w:r>
      <w:r>
        <w:rPr>
          <w:color w:val="000000"/>
          <w:spacing w:val="4"/>
        </w:rPr>
        <w:t>a</w:t>
      </w:r>
      <w:r>
        <w:rPr>
          <w:color w:val="000000"/>
          <w:spacing w:val="-4"/>
        </w:rPr>
        <w:t>m</w:t>
      </w:r>
      <w:r>
        <w:rPr>
          <w:color w:val="000000"/>
          <w:spacing w:val="4"/>
        </w:rPr>
        <w:t>a</w:t>
      </w:r>
      <w:r>
        <w:rPr>
          <w:color w:val="000000"/>
        </w:rPr>
        <w:t xml:space="preserve">s </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rPr>
        <w:t>s</w:t>
      </w:r>
      <w:r>
        <w:rPr>
          <w:color w:val="000000"/>
          <w:spacing w:val="5"/>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w:t>
      </w:r>
      <w:r>
        <w:rPr>
          <w:color w:val="000000"/>
          <w:spacing w:val="-1"/>
        </w:rPr>
        <w:t>a</w:t>
      </w:r>
      <w:r>
        <w:rPr>
          <w:color w:val="000000"/>
          <w:spacing w:val="2"/>
        </w:rPr>
        <w:t>s</w:t>
      </w:r>
      <w:r>
        <w:rPr>
          <w:color w:val="000000"/>
        </w:rPr>
        <w:t>;</w:t>
      </w:r>
    </w:p>
    <w:p w:rsidR="004F7425" w:rsidRDefault="004F7425" w:rsidP="004F7425">
      <w:pPr>
        <w:widowControl w:val="0"/>
        <w:tabs>
          <w:tab w:val="left" w:pos="540"/>
        </w:tabs>
        <w:autoSpaceDE w:val="0"/>
        <w:autoSpaceDN w:val="0"/>
        <w:adjustRightInd w:val="0"/>
        <w:spacing w:before="41"/>
        <w:ind w:left="120" w:right="-20"/>
        <w:rPr>
          <w:color w:val="000000"/>
        </w:rPr>
      </w:pPr>
      <w:r>
        <w:rPr>
          <w:rFonts w:ascii="Wingdings" w:hAnsi="Wingdings" w:cs="Wingdings"/>
          <w:color w:val="000000"/>
        </w:rPr>
        <w:t></w:t>
      </w:r>
      <w:r>
        <w:rPr>
          <w:color w:val="000000"/>
        </w:rPr>
        <w:tab/>
      </w:r>
      <w:r>
        <w:rPr>
          <w:color w:val="000000"/>
          <w:spacing w:val="-5"/>
        </w:rPr>
        <w:t>h</w:t>
      </w:r>
      <w:r>
        <w:rPr>
          <w:color w:val="000000"/>
          <w:spacing w:val="-1"/>
        </w:rPr>
        <w:t>e</w:t>
      </w:r>
      <w:r>
        <w:rPr>
          <w:color w:val="000000"/>
          <w:spacing w:val="1"/>
        </w:rPr>
        <w:t>r</w:t>
      </w:r>
      <w:r>
        <w:rPr>
          <w:color w:val="000000"/>
          <w:spacing w:val="9"/>
        </w:rPr>
        <w:t>o</w:t>
      </w:r>
      <w:r>
        <w:rPr>
          <w:color w:val="000000"/>
          <w:spacing w:val="-4"/>
        </w:rPr>
        <w:t>i</w:t>
      </w:r>
      <w:r>
        <w:rPr>
          <w:color w:val="000000"/>
          <w:spacing w:val="-5"/>
        </w:rPr>
        <w:t>n</w:t>
      </w:r>
      <w:r>
        <w:rPr>
          <w:color w:val="000000"/>
          <w:spacing w:val="-1"/>
        </w:rPr>
        <w:t>a</w:t>
      </w:r>
      <w:r>
        <w:rPr>
          <w:color w:val="000000"/>
        </w:rPr>
        <w:t>s p</w:t>
      </w:r>
      <w:r>
        <w:rPr>
          <w:color w:val="000000"/>
          <w:spacing w:val="5"/>
        </w:rPr>
        <w:t>o</w:t>
      </w:r>
      <w:r>
        <w:rPr>
          <w:color w:val="000000"/>
        </w:rPr>
        <w:t>p</w:t>
      </w:r>
      <w:r>
        <w:rPr>
          <w:color w:val="000000"/>
          <w:spacing w:val="5"/>
        </w:rPr>
        <w:t>u</w:t>
      </w:r>
      <w:r>
        <w:rPr>
          <w:color w:val="000000"/>
          <w:spacing w:val="-4"/>
        </w:rPr>
        <w:t>li</w:t>
      </w:r>
      <w:r>
        <w:rPr>
          <w:color w:val="000000"/>
          <w:spacing w:val="-1"/>
        </w:rPr>
        <w:t>a</w:t>
      </w:r>
      <w:r>
        <w:rPr>
          <w:color w:val="000000"/>
          <w:spacing w:val="6"/>
        </w:rPr>
        <w:t>r</w:t>
      </w:r>
      <w:r>
        <w:rPr>
          <w:color w:val="000000"/>
          <w:spacing w:val="-4"/>
        </w:rPr>
        <w:t>i</w:t>
      </w:r>
      <w:r>
        <w:rPr>
          <w:color w:val="000000"/>
          <w:spacing w:val="-1"/>
        </w:rPr>
        <w:t>a</w:t>
      </w:r>
      <w:r>
        <w:rPr>
          <w:color w:val="000000"/>
        </w:rPr>
        <w:t>u</w:t>
      </w:r>
      <w:r>
        <w:rPr>
          <w:color w:val="000000"/>
          <w:spacing w:val="2"/>
        </w:rPr>
        <w:t>s</w:t>
      </w:r>
      <w:r>
        <w:rPr>
          <w:color w:val="000000"/>
          <w:spacing w:val="-4"/>
        </w:rPr>
        <w:t>i</w:t>
      </w:r>
      <w:r>
        <w:rPr>
          <w:color w:val="000000"/>
          <w:spacing w:val="4"/>
        </w:rPr>
        <w:t>a</w:t>
      </w:r>
      <w:r>
        <w:rPr>
          <w:color w:val="000000"/>
        </w:rPr>
        <w:t>s</w:t>
      </w:r>
      <w:r>
        <w:rPr>
          <w:color w:val="000000"/>
          <w:spacing w:val="5"/>
        </w:rPr>
        <w:t xml:space="preserve"> </w:t>
      </w:r>
      <w:r>
        <w:rPr>
          <w:color w:val="000000"/>
          <w:spacing w:val="-4"/>
        </w:rPr>
        <w:t>i</w:t>
      </w:r>
      <w:r>
        <w:rPr>
          <w:color w:val="000000"/>
          <w:spacing w:val="-5"/>
        </w:rPr>
        <w:t>n</w:t>
      </w:r>
      <w:r>
        <w:rPr>
          <w:color w:val="000000"/>
          <w:spacing w:val="5"/>
        </w:rPr>
        <w:t>t</w:t>
      </w:r>
      <w:r>
        <w:rPr>
          <w:color w:val="000000"/>
          <w:spacing w:val="1"/>
        </w:rPr>
        <w:t>r</w:t>
      </w:r>
      <w:r>
        <w:rPr>
          <w:color w:val="000000"/>
          <w:spacing w:val="-1"/>
        </w:rPr>
        <w:t>av</w:t>
      </w:r>
      <w:r>
        <w:rPr>
          <w:color w:val="000000"/>
          <w:spacing w:val="4"/>
        </w:rPr>
        <w:t>e</w:t>
      </w:r>
      <w:r>
        <w:rPr>
          <w:color w:val="000000"/>
        </w:rPr>
        <w:t>n</w:t>
      </w:r>
      <w:r>
        <w:rPr>
          <w:color w:val="000000"/>
          <w:spacing w:val="-4"/>
        </w:rPr>
        <w:t>i</w:t>
      </w:r>
      <w:r>
        <w:rPr>
          <w:color w:val="000000"/>
          <w:spacing w:val="5"/>
        </w:rPr>
        <w:t>n</w:t>
      </w:r>
      <w:r>
        <w:rPr>
          <w:color w:val="000000"/>
          <w:spacing w:val="-4"/>
        </w:rPr>
        <w:t>i</w:t>
      </w:r>
      <w:r>
        <w:rPr>
          <w:color w:val="000000"/>
        </w:rPr>
        <w:t>s</w:t>
      </w:r>
      <w:r>
        <w:rPr>
          <w:color w:val="000000"/>
          <w:spacing w:val="5"/>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w:t>
      </w:r>
      <w:r>
        <w:rPr>
          <w:color w:val="000000"/>
          <w:spacing w:val="4"/>
        </w:rPr>
        <w:t>a</w:t>
      </w:r>
      <w:r>
        <w:rPr>
          <w:color w:val="000000"/>
        </w:rPr>
        <w:t>s,</w:t>
      </w:r>
      <w:r>
        <w:rPr>
          <w:color w:val="000000"/>
          <w:spacing w:val="4"/>
        </w:rPr>
        <w:t xml:space="preserve"> </w:t>
      </w:r>
      <w:r>
        <w:rPr>
          <w:color w:val="000000"/>
          <w:spacing w:val="1"/>
        </w:rPr>
        <w:t>r</w:t>
      </w:r>
      <w:r>
        <w:rPr>
          <w:color w:val="000000"/>
          <w:spacing w:val="-4"/>
        </w:rPr>
        <w:t>i</w:t>
      </w:r>
      <w:r>
        <w:rPr>
          <w:color w:val="000000"/>
          <w:spacing w:val="-5"/>
        </w:rPr>
        <w:t>b</w:t>
      </w:r>
      <w:r>
        <w:rPr>
          <w:color w:val="000000"/>
          <w:spacing w:val="5"/>
        </w:rPr>
        <w:t>ot</w:t>
      </w:r>
      <w:r>
        <w:rPr>
          <w:color w:val="000000"/>
        </w:rPr>
        <w:t>a</w:t>
      </w:r>
      <w:r>
        <w:rPr>
          <w:color w:val="000000"/>
          <w:spacing w:val="1"/>
        </w:rPr>
        <w:t xml:space="preserve"> </w:t>
      </w:r>
      <w:r>
        <w:rPr>
          <w:color w:val="000000"/>
        </w:rPr>
        <w:t>p</w:t>
      </w:r>
      <w:r>
        <w:rPr>
          <w:color w:val="000000"/>
          <w:spacing w:val="-1"/>
        </w:rPr>
        <w:t>a</w:t>
      </w:r>
      <w:r>
        <w:rPr>
          <w:color w:val="000000"/>
          <w:spacing w:val="-2"/>
        </w:rPr>
        <w:t>s</w:t>
      </w:r>
      <w:r>
        <w:rPr>
          <w:color w:val="000000"/>
          <w:spacing w:val="-9"/>
        </w:rPr>
        <w:t>i</w:t>
      </w:r>
      <w:r>
        <w:rPr>
          <w:color w:val="000000"/>
          <w:spacing w:val="5"/>
        </w:rPr>
        <w:t>ū</w:t>
      </w:r>
      <w:r>
        <w:rPr>
          <w:color w:val="000000"/>
          <w:spacing w:val="-4"/>
        </w:rPr>
        <w:t>l</w:t>
      </w:r>
      <w:r>
        <w:rPr>
          <w:color w:val="000000"/>
          <w:spacing w:val="7"/>
        </w:rPr>
        <w:t>a</w:t>
      </w:r>
      <w:r>
        <w:rPr>
          <w:color w:val="000000"/>
        </w:rPr>
        <w:t>;</w:t>
      </w:r>
    </w:p>
    <w:p w:rsidR="004F7425" w:rsidRDefault="004F7425" w:rsidP="004F7425">
      <w:pPr>
        <w:widowControl w:val="0"/>
        <w:tabs>
          <w:tab w:val="left" w:pos="540"/>
        </w:tabs>
        <w:autoSpaceDE w:val="0"/>
        <w:autoSpaceDN w:val="0"/>
        <w:adjustRightInd w:val="0"/>
        <w:spacing w:before="41"/>
        <w:ind w:left="120" w:right="-20"/>
        <w:rPr>
          <w:color w:val="000000"/>
        </w:rPr>
      </w:pPr>
      <w:r>
        <w:rPr>
          <w:rFonts w:ascii="Wingdings" w:hAnsi="Wingdings" w:cs="Wingdings"/>
          <w:color w:val="000000"/>
        </w:rPr>
        <w:t></w:t>
      </w:r>
      <w:r>
        <w:rPr>
          <w:color w:val="000000"/>
        </w:rPr>
        <w:tab/>
      </w:r>
      <w:r>
        <w:rPr>
          <w:color w:val="000000"/>
          <w:spacing w:val="6"/>
        </w:rPr>
        <w:t>r</w:t>
      </w:r>
      <w:r>
        <w:rPr>
          <w:color w:val="000000"/>
          <w:spacing w:val="-4"/>
        </w:rPr>
        <w:t>i</w:t>
      </w:r>
      <w:r>
        <w:rPr>
          <w:color w:val="000000"/>
          <w:spacing w:val="-5"/>
        </w:rPr>
        <w:t>b</w:t>
      </w:r>
      <w:r>
        <w:rPr>
          <w:color w:val="000000"/>
        </w:rPr>
        <w:t>o</w:t>
      </w:r>
      <w:r>
        <w:rPr>
          <w:color w:val="000000"/>
          <w:spacing w:val="5"/>
        </w:rPr>
        <w:t>t</w:t>
      </w:r>
      <w:r>
        <w:rPr>
          <w:color w:val="000000"/>
        </w:rPr>
        <w:t>a</w:t>
      </w:r>
      <w:r>
        <w:rPr>
          <w:color w:val="000000"/>
          <w:spacing w:val="1"/>
        </w:rPr>
        <w:t xml:space="preserve"> </w:t>
      </w:r>
      <w:r>
        <w:rPr>
          <w:color w:val="000000"/>
          <w:spacing w:val="-5"/>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rPr>
        <w:t>o</w:t>
      </w:r>
      <w:r>
        <w:rPr>
          <w:color w:val="000000"/>
          <w:spacing w:val="12"/>
        </w:rPr>
        <w:t xml:space="preserve"> </w:t>
      </w:r>
      <w:r>
        <w:rPr>
          <w:color w:val="000000"/>
          <w:spacing w:val="-9"/>
        </w:rPr>
        <w:t>i</w:t>
      </w:r>
      <w:r>
        <w:rPr>
          <w:color w:val="000000"/>
        </w:rPr>
        <w:t>r</w:t>
      </w:r>
      <w:r>
        <w:rPr>
          <w:color w:val="000000"/>
          <w:spacing w:val="4"/>
        </w:rPr>
        <w:t xml:space="preserve"> </w:t>
      </w:r>
      <w:r>
        <w:rPr>
          <w:color w:val="000000"/>
          <w:spacing w:val="-5"/>
        </w:rPr>
        <w:t>h</w:t>
      </w:r>
      <w:r>
        <w:rPr>
          <w:color w:val="000000"/>
          <w:spacing w:val="-1"/>
        </w:rPr>
        <w:t>a</w:t>
      </w:r>
      <w:r>
        <w:rPr>
          <w:color w:val="000000"/>
          <w:spacing w:val="2"/>
        </w:rPr>
        <w:t>š</w:t>
      </w:r>
      <w:r>
        <w:rPr>
          <w:color w:val="000000"/>
          <w:spacing w:val="-4"/>
        </w:rPr>
        <w:t>i</w:t>
      </w:r>
      <w:r>
        <w:rPr>
          <w:color w:val="000000"/>
          <w:spacing w:val="-2"/>
        </w:rPr>
        <w:t>š</w:t>
      </w:r>
      <w:r>
        <w:rPr>
          <w:color w:val="000000"/>
        </w:rPr>
        <w:t>o</w:t>
      </w:r>
      <w:r>
        <w:rPr>
          <w:color w:val="000000"/>
          <w:spacing w:val="7"/>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a</w:t>
      </w:r>
      <w:r>
        <w:rPr>
          <w:color w:val="000000"/>
          <w:spacing w:val="1"/>
        </w:rPr>
        <w:t xml:space="preserve"> </w:t>
      </w:r>
      <w:r>
        <w:rPr>
          <w:color w:val="000000"/>
          <w:spacing w:val="-2"/>
        </w:rPr>
        <w:t>š</w:t>
      </w:r>
      <w:r>
        <w:rPr>
          <w:color w:val="000000"/>
          <w:spacing w:val="-1"/>
        </w:rPr>
        <w:t>a</w:t>
      </w:r>
      <w:r>
        <w:rPr>
          <w:color w:val="000000"/>
          <w:spacing w:val="-4"/>
        </w:rPr>
        <w:t>li</w:t>
      </w:r>
      <w:r>
        <w:rPr>
          <w:color w:val="000000"/>
          <w:spacing w:val="4"/>
        </w:rPr>
        <w:t>e</w:t>
      </w:r>
      <w:r>
        <w:rPr>
          <w:color w:val="000000"/>
        </w:rPr>
        <w:t>s v</w:t>
      </w:r>
      <w:r>
        <w:rPr>
          <w:color w:val="000000"/>
          <w:spacing w:val="-4"/>
        </w:rPr>
        <w:t>i</w:t>
      </w:r>
      <w:r>
        <w:rPr>
          <w:color w:val="000000"/>
        </w:rPr>
        <w:t>d</w:t>
      </w:r>
      <w:r>
        <w:rPr>
          <w:color w:val="000000"/>
          <w:spacing w:val="5"/>
        </w:rPr>
        <w:t>u</w:t>
      </w:r>
      <w:r>
        <w:rPr>
          <w:color w:val="000000"/>
          <w:spacing w:val="-4"/>
        </w:rPr>
        <w:t>j</w:t>
      </w:r>
      <w:r>
        <w:rPr>
          <w:color w:val="000000"/>
          <w:spacing w:val="4"/>
        </w:rPr>
        <w:t>e</w:t>
      </w:r>
      <w:r>
        <w:rPr>
          <w:color w:val="000000"/>
        </w:rPr>
        <w:t>;</w:t>
      </w:r>
    </w:p>
    <w:p w:rsidR="004F7425" w:rsidRDefault="004F7425" w:rsidP="004F7425">
      <w:pPr>
        <w:widowControl w:val="0"/>
        <w:autoSpaceDE w:val="0"/>
        <w:autoSpaceDN w:val="0"/>
        <w:adjustRightInd w:val="0"/>
        <w:spacing w:before="41"/>
        <w:ind w:left="187" w:right="-20"/>
        <w:rPr>
          <w:color w:val="000000"/>
        </w:rPr>
      </w:pPr>
      <w:r>
        <w:rPr>
          <w:rFonts w:ascii="Wingdings" w:hAnsi="Wingdings" w:cs="Wingdings"/>
          <w:color w:val="000000"/>
        </w:rPr>
        <w:t></w:t>
      </w:r>
      <w:r>
        <w:rPr>
          <w:color w:val="000000"/>
        </w:rPr>
        <w:t xml:space="preserve"> </w:t>
      </w:r>
      <w:r>
        <w:rPr>
          <w:color w:val="000000"/>
          <w:spacing w:val="52"/>
        </w:rPr>
        <w:t xml:space="preserve"> </w:t>
      </w:r>
      <w:r>
        <w:rPr>
          <w:color w:val="000000"/>
          <w:spacing w:val="-1"/>
        </w:rPr>
        <w:t>a</w:t>
      </w:r>
      <w:r>
        <w:rPr>
          <w:color w:val="000000"/>
        </w:rPr>
        <w:t>ug</w:t>
      </w:r>
      <w:r>
        <w:rPr>
          <w:color w:val="000000"/>
          <w:spacing w:val="-1"/>
        </w:rPr>
        <w:t>a</w:t>
      </w:r>
      <w:r>
        <w:rPr>
          <w:color w:val="000000"/>
          <w:spacing w:val="-5"/>
        </w:rPr>
        <w:t>n</w:t>
      </w:r>
      <w:r>
        <w:rPr>
          <w:color w:val="000000"/>
          <w:spacing w:val="10"/>
        </w:rPr>
        <w:t>t</w:t>
      </w:r>
      <w:r>
        <w:rPr>
          <w:color w:val="000000"/>
        </w:rPr>
        <w:t>i</w:t>
      </w:r>
      <w:r>
        <w:rPr>
          <w:color w:val="000000"/>
          <w:spacing w:val="-2"/>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2"/>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4"/>
        </w:rPr>
        <w:t>i</w:t>
      </w:r>
      <w:r>
        <w:rPr>
          <w:color w:val="000000"/>
        </w:rPr>
        <w:t>ų</w:t>
      </w:r>
      <w:r>
        <w:rPr>
          <w:color w:val="000000"/>
          <w:spacing w:val="7"/>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4"/>
        </w:rPr>
        <w:t>a</w:t>
      </w:r>
      <w:r>
        <w:rPr>
          <w:color w:val="000000"/>
        </w:rPr>
        <w:t>gų</w:t>
      </w:r>
      <w:r>
        <w:rPr>
          <w:color w:val="000000"/>
          <w:spacing w:val="2"/>
        </w:rPr>
        <w:t xml:space="preserve"> </w:t>
      </w:r>
      <w:r>
        <w:rPr>
          <w:color w:val="000000"/>
          <w:spacing w:val="6"/>
        </w:rPr>
        <w:t>(</w:t>
      </w:r>
      <w:r>
        <w:rPr>
          <w:color w:val="000000"/>
          <w:spacing w:val="2"/>
        </w:rPr>
        <w:t>s</w:t>
      </w:r>
      <w:r>
        <w:rPr>
          <w:color w:val="000000"/>
          <w:spacing w:val="-4"/>
        </w:rPr>
        <w:t>i</w:t>
      </w:r>
      <w:r>
        <w:rPr>
          <w:color w:val="000000"/>
          <w:spacing w:val="-5"/>
        </w:rPr>
        <w:t>n</w:t>
      </w:r>
      <w:r>
        <w:rPr>
          <w:color w:val="000000"/>
          <w:spacing w:val="5"/>
        </w:rPr>
        <w:t>t</w:t>
      </w:r>
      <w:r>
        <w:rPr>
          <w:color w:val="000000"/>
          <w:spacing w:val="-1"/>
        </w:rPr>
        <w:t>e</w:t>
      </w:r>
      <w:r>
        <w:rPr>
          <w:color w:val="000000"/>
          <w:spacing w:val="5"/>
        </w:rPr>
        <w:t>t</w:t>
      </w:r>
      <w:r>
        <w:rPr>
          <w:color w:val="000000"/>
          <w:spacing w:val="-4"/>
        </w:rPr>
        <w:t>i</w:t>
      </w:r>
      <w:r>
        <w:rPr>
          <w:color w:val="000000"/>
        </w:rPr>
        <w:t>n</w:t>
      </w:r>
      <w:r>
        <w:rPr>
          <w:color w:val="000000"/>
          <w:spacing w:val="-4"/>
        </w:rPr>
        <w:t>i</w:t>
      </w:r>
      <w:r>
        <w:rPr>
          <w:color w:val="000000"/>
          <w:spacing w:val="4"/>
        </w:rPr>
        <w:t>a</w:t>
      </w:r>
      <w:r>
        <w:rPr>
          <w:color w:val="000000"/>
        </w:rPr>
        <w:t>i</w:t>
      </w:r>
      <w:r>
        <w:rPr>
          <w:color w:val="000000"/>
          <w:spacing w:val="-2"/>
        </w:rPr>
        <w:t xml:space="preserve"> </w:t>
      </w:r>
      <w:r>
        <w:rPr>
          <w:color w:val="000000"/>
        </w:rPr>
        <w:t>k</w:t>
      </w:r>
      <w:r>
        <w:rPr>
          <w:color w:val="000000"/>
          <w:spacing w:val="-1"/>
        </w:rPr>
        <w:t>a</w:t>
      </w:r>
      <w:r>
        <w:rPr>
          <w:color w:val="000000"/>
          <w:spacing w:val="-5"/>
        </w:rPr>
        <w:t>n</w:t>
      </w:r>
      <w:r>
        <w:rPr>
          <w:color w:val="000000"/>
          <w:spacing w:val="4"/>
        </w:rPr>
        <w:t>a</w:t>
      </w:r>
      <w:r>
        <w:rPr>
          <w:color w:val="000000"/>
        </w:rPr>
        <w:t>b</w:t>
      </w:r>
      <w:r>
        <w:rPr>
          <w:color w:val="000000"/>
          <w:spacing w:val="-4"/>
        </w:rPr>
        <w:t>i</w:t>
      </w:r>
      <w:r>
        <w:rPr>
          <w:color w:val="000000"/>
          <w:spacing w:val="-5"/>
        </w:rPr>
        <w:t>n</w:t>
      </w:r>
      <w:r>
        <w:rPr>
          <w:color w:val="000000"/>
          <w:spacing w:val="9"/>
        </w:rPr>
        <w:t>o</w:t>
      </w:r>
      <w:r>
        <w:rPr>
          <w:color w:val="000000"/>
          <w:spacing w:val="-4"/>
        </w:rPr>
        <w:t>i</w:t>
      </w:r>
      <w:r>
        <w:rPr>
          <w:color w:val="000000"/>
        </w:rPr>
        <w:t>dų</w:t>
      </w:r>
      <w:r>
        <w:rPr>
          <w:color w:val="000000"/>
          <w:spacing w:val="7"/>
        </w:rPr>
        <w:t xml:space="preserve"> </w:t>
      </w:r>
      <w:r>
        <w:rPr>
          <w:color w:val="000000"/>
          <w:spacing w:val="-9"/>
        </w:rPr>
        <w:t>i</w:t>
      </w:r>
      <w:r>
        <w:rPr>
          <w:color w:val="000000"/>
        </w:rPr>
        <w:t>r</w:t>
      </w:r>
      <w:r>
        <w:rPr>
          <w:color w:val="000000"/>
          <w:spacing w:val="4"/>
        </w:rPr>
        <w:t xml:space="preserve"> </w:t>
      </w:r>
      <w:r>
        <w:rPr>
          <w:color w:val="000000"/>
        </w:rPr>
        <w:t>k</w:t>
      </w:r>
      <w:r>
        <w:rPr>
          <w:color w:val="000000"/>
          <w:spacing w:val="-1"/>
        </w:rPr>
        <w:t>a</w:t>
      </w:r>
      <w:r>
        <w:rPr>
          <w:color w:val="000000"/>
          <w:spacing w:val="10"/>
        </w:rPr>
        <w:t>t</w:t>
      </w:r>
      <w:r>
        <w:rPr>
          <w:color w:val="000000"/>
          <w:spacing w:val="-4"/>
        </w:rPr>
        <w:t>i</w:t>
      </w:r>
      <w:r>
        <w:rPr>
          <w:color w:val="000000"/>
          <w:spacing w:val="-5"/>
        </w:rPr>
        <w:t>n</w:t>
      </w:r>
      <w:r>
        <w:rPr>
          <w:color w:val="000000"/>
          <w:spacing w:val="5"/>
        </w:rPr>
        <w:t>o</w:t>
      </w:r>
      <w:r>
        <w:rPr>
          <w:color w:val="000000"/>
          <w:spacing w:val="-5"/>
        </w:rPr>
        <w:t>n</w:t>
      </w:r>
      <w:r>
        <w:rPr>
          <w:color w:val="000000"/>
        </w:rPr>
        <w:t>ų)</w:t>
      </w:r>
      <w:r>
        <w:rPr>
          <w:color w:val="000000"/>
          <w:spacing w:val="4"/>
        </w:rPr>
        <w:t xml:space="preserve"> </w:t>
      </w:r>
      <w:r>
        <w:rPr>
          <w:color w:val="000000"/>
          <w:spacing w:val="1"/>
        </w:rPr>
        <w:t>r</w:t>
      </w:r>
      <w:r>
        <w:rPr>
          <w:color w:val="000000"/>
          <w:spacing w:val="-4"/>
        </w:rPr>
        <w:t>i</w:t>
      </w:r>
      <w:r>
        <w:rPr>
          <w:color w:val="000000"/>
          <w:spacing w:val="-5"/>
        </w:rPr>
        <w:t>n</w:t>
      </w:r>
      <w:r>
        <w:rPr>
          <w:color w:val="000000"/>
        </w:rPr>
        <w:t>k</w:t>
      </w:r>
      <w:r>
        <w:rPr>
          <w:color w:val="000000"/>
          <w:spacing w:val="4"/>
        </w:rPr>
        <w:t>a</w:t>
      </w:r>
      <w:r>
        <w:rPr>
          <w:color w:val="000000"/>
        </w:rPr>
        <w:t>;</w:t>
      </w:r>
    </w:p>
    <w:p w:rsidR="004F7425" w:rsidRDefault="004F7425" w:rsidP="004F7425">
      <w:pPr>
        <w:widowControl w:val="0"/>
        <w:autoSpaceDE w:val="0"/>
        <w:autoSpaceDN w:val="0"/>
        <w:adjustRightInd w:val="0"/>
        <w:spacing w:before="41"/>
        <w:ind w:left="187" w:right="-20"/>
        <w:rPr>
          <w:color w:val="000000"/>
        </w:rPr>
      </w:pPr>
      <w:r>
        <w:rPr>
          <w:rFonts w:ascii="Wingdings" w:hAnsi="Wingdings" w:cs="Wingdings"/>
          <w:color w:val="000000"/>
        </w:rPr>
        <w:t></w:t>
      </w:r>
      <w:r>
        <w:rPr>
          <w:color w:val="000000"/>
        </w:rPr>
        <w:t xml:space="preserve"> </w:t>
      </w:r>
      <w:r>
        <w:rPr>
          <w:color w:val="000000"/>
          <w:spacing w:val="52"/>
        </w:rPr>
        <w:t xml:space="preserve"> </w:t>
      </w:r>
      <w:r>
        <w:rPr>
          <w:color w:val="000000"/>
        </w:rPr>
        <w:t>k</w:t>
      </w:r>
      <w:r>
        <w:rPr>
          <w:color w:val="000000"/>
          <w:spacing w:val="-1"/>
        </w:rPr>
        <w:t>a</w:t>
      </w:r>
      <w:r>
        <w:rPr>
          <w:color w:val="000000"/>
          <w:spacing w:val="-5"/>
        </w:rPr>
        <w:t>n</w:t>
      </w:r>
      <w:r>
        <w:rPr>
          <w:color w:val="000000"/>
          <w:spacing w:val="-1"/>
        </w:rPr>
        <w:t>a</w:t>
      </w:r>
      <w:r>
        <w:rPr>
          <w:color w:val="000000"/>
          <w:spacing w:val="5"/>
        </w:rPr>
        <w:t>p</w:t>
      </w:r>
      <w:r>
        <w:rPr>
          <w:color w:val="000000"/>
          <w:spacing w:val="-4"/>
        </w:rPr>
        <w:t>i</w:t>
      </w:r>
      <w:r>
        <w:rPr>
          <w:color w:val="000000"/>
        </w:rPr>
        <w:t>ų</w:t>
      </w:r>
      <w:r>
        <w:rPr>
          <w:color w:val="000000"/>
          <w:spacing w:val="2"/>
        </w:rPr>
        <w:t xml:space="preserve"> </w:t>
      </w:r>
      <w:r>
        <w:rPr>
          <w:color w:val="000000"/>
          <w:spacing w:val="-1"/>
        </w:rPr>
        <w:t>a</w:t>
      </w:r>
      <w:r>
        <w:rPr>
          <w:color w:val="000000"/>
        </w:rPr>
        <w:t>u</w:t>
      </w:r>
      <w:r>
        <w:rPr>
          <w:color w:val="000000"/>
          <w:spacing w:val="5"/>
        </w:rPr>
        <w:t>g</w:t>
      </w:r>
      <w:r>
        <w:rPr>
          <w:color w:val="000000"/>
          <w:spacing w:val="-4"/>
        </w:rPr>
        <w:t>i</w:t>
      </w:r>
      <w:r>
        <w:rPr>
          <w:color w:val="000000"/>
          <w:spacing w:val="5"/>
        </w:rPr>
        <w:t>n</w:t>
      </w:r>
      <w:r>
        <w:rPr>
          <w:color w:val="000000"/>
        </w:rPr>
        <w:t>i</w:t>
      </w:r>
      <w:r>
        <w:rPr>
          <w:color w:val="000000"/>
          <w:spacing w:val="-4"/>
        </w:rPr>
        <w:t>m</w:t>
      </w:r>
      <w:r>
        <w:rPr>
          <w:color w:val="000000"/>
          <w:spacing w:val="-1"/>
        </w:rPr>
        <w:t>a</w:t>
      </w:r>
      <w:r>
        <w:rPr>
          <w:color w:val="000000"/>
        </w:rPr>
        <w:t xml:space="preserve">s </w:t>
      </w:r>
      <w:r>
        <w:rPr>
          <w:color w:val="000000"/>
          <w:spacing w:val="5"/>
        </w:rPr>
        <w:t>d</w:t>
      </w:r>
      <w:r>
        <w:rPr>
          <w:color w:val="000000"/>
          <w:spacing w:val="-9"/>
        </w:rPr>
        <w:t>i</w:t>
      </w:r>
      <w:r>
        <w:rPr>
          <w:color w:val="000000"/>
          <w:spacing w:val="6"/>
        </w:rPr>
        <w:t>r</w:t>
      </w:r>
      <w:r>
        <w:rPr>
          <w:color w:val="000000"/>
          <w:spacing w:val="-5"/>
        </w:rPr>
        <w:t>b</w:t>
      </w:r>
      <w:r>
        <w:rPr>
          <w:color w:val="000000"/>
          <w:spacing w:val="10"/>
        </w:rPr>
        <w:t>t</w:t>
      </w:r>
      <w:r>
        <w:rPr>
          <w:color w:val="000000"/>
          <w:spacing w:val="-4"/>
        </w:rPr>
        <w:t>i</w:t>
      </w:r>
      <w:r>
        <w:rPr>
          <w:color w:val="000000"/>
          <w:spacing w:val="-5"/>
        </w:rPr>
        <w:t>n</w:t>
      </w:r>
      <w:r>
        <w:rPr>
          <w:color w:val="000000"/>
          <w:spacing w:val="4"/>
        </w:rPr>
        <w:t>ė</w:t>
      </w:r>
      <w:r>
        <w:rPr>
          <w:color w:val="000000"/>
        </w:rPr>
        <w:t>m</w:t>
      </w:r>
      <w:r>
        <w:rPr>
          <w:color w:val="000000"/>
          <w:spacing w:val="-4"/>
        </w:rPr>
        <w:t>i</w:t>
      </w:r>
      <w:r>
        <w:rPr>
          <w:color w:val="000000"/>
        </w:rPr>
        <w:t xml:space="preserve">s </w:t>
      </w:r>
      <w:r>
        <w:rPr>
          <w:color w:val="000000"/>
          <w:spacing w:val="2"/>
        </w:rPr>
        <w:t>s</w:t>
      </w:r>
      <w:r>
        <w:rPr>
          <w:color w:val="000000"/>
          <w:spacing w:val="4"/>
        </w:rPr>
        <w:t>ą</w:t>
      </w:r>
      <w:r>
        <w:rPr>
          <w:color w:val="000000"/>
          <w:spacing w:val="-4"/>
        </w:rPr>
        <w:t>l</w:t>
      </w:r>
      <w:r>
        <w:rPr>
          <w:color w:val="000000"/>
          <w:spacing w:val="-5"/>
        </w:rPr>
        <w:t>y</w:t>
      </w:r>
      <w:r>
        <w:rPr>
          <w:color w:val="000000"/>
        </w:rPr>
        <w:t>g</w:t>
      </w:r>
      <w:r>
        <w:rPr>
          <w:color w:val="000000"/>
          <w:spacing w:val="9"/>
        </w:rPr>
        <w:t>o</w:t>
      </w:r>
      <w:r>
        <w:rPr>
          <w:color w:val="000000"/>
          <w:spacing w:val="-4"/>
        </w:rPr>
        <w:t>mi</w:t>
      </w:r>
      <w:r>
        <w:rPr>
          <w:color w:val="000000"/>
          <w:spacing w:val="2"/>
        </w:rPr>
        <w:t>s</w:t>
      </w:r>
      <w:r>
        <w:rPr>
          <w:color w:val="000000"/>
        </w:rPr>
        <w:t>;</w:t>
      </w:r>
    </w:p>
    <w:p w:rsidR="004F7425" w:rsidRDefault="004F7425" w:rsidP="004F7425">
      <w:pPr>
        <w:widowControl w:val="0"/>
        <w:autoSpaceDE w:val="0"/>
        <w:autoSpaceDN w:val="0"/>
        <w:adjustRightInd w:val="0"/>
        <w:spacing w:before="41"/>
        <w:ind w:left="187" w:right="-20"/>
        <w:rPr>
          <w:color w:val="000000"/>
        </w:rPr>
      </w:pPr>
      <w:r>
        <w:rPr>
          <w:rFonts w:ascii="Wingdings" w:hAnsi="Wingdings" w:cs="Wingdings"/>
          <w:color w:val="000000"/>
        </w:rPr>
        <w:t></w:t>
      </w:r>
      <w:r>
        <w:rPr>
          <w:color w:val="000000"/>
        </w:rPr>
        <w:t xml:space="preserve"> </w:t>
      </w:r>
      <w:r>
        <w:rPr>
          <w:color w:val="000000"/>
          <w:spacing w:val="52"/>
        </w:rPr>
        <w:t xml:space="preserve"> </w:t>
      </w:r>
      <w:r>
        <w:rPr>
          <w:color w:val="000000"/>
          <w:spacing w:val="-4"/>
        </w:rPr>
        <w:t>m</w:t>
      </w:r>
      <w:r>
        <w:rPr>
          <w:color w:val="000000"/>
          <w:spacing w:val="-1"/>
        </w:rPr>
        <w:t>až</w:t>
      </w:r>
      <w:r>
        <w:rPr>
          <w:color w:val="000000"/>
          <w:spacing w:val="5"/>
        </w:rPr>
        <w:t>o</w:t>
      </w:r>
      <w:r>
        <w:rPr>
          <w:color w:val="000000"/>
        </w:rPr>
        <w:t xml:space="preserve">s </w:t>
      </w:r>
      <w:r>
        <w:rPr>
          <w:color w:val="000000"/>
          <w:spacing w:val="-1"/>
        </w:rPr>
        <w:t>a</w:t>
      </w:r>
      <w:r>
        <w:rPr>
          <w:color w:val="000000"/>
          <w:spacing w:val="5"/>
        </w:rPr>
        <w:t>p</w:t>
      </w:r>
      <w:r>
        <w:rPr>
          <w:color w:val="000000"/>
          <w:spacing w:val="-4"/>
        </w:rPr>
        <w:t>i</w:t>
      </w:r>
      <w:r>
        <w:rPr>
          <w:color w:val="000000"/>
          <w:spacing w:val="-9"/>
        </w:rPr>
        <w:t>m</w:t>
      </w:r>
      <w:r>
        <w:rPr>
          <w:color w:val="000000"/>
          <w:spacing w:val="10"/>
        </w:rPr>
        <w:t>t</w:t>
      </w:r>
      <w:r>
        <w:rPr>
          <w:color w:val="000000"/>
          <w:spacing w:val="-4"/>
        </w:rPr>
        <w:t>i</w:t>
      </w:r>
      <w:r>
        <w:rPr>
          <w:color w:val="000000"/>
          <w:spacing w:val="4"/>
        </w:rPr>
        <w:t>e</w:t>
      </w:r>
      <w:r>
        <w:rPr>
          <w:color w:val="000000"/>
        </w:rPr>
        <w:t xml:space="preserve">s </w:t>
      </w:r>
      <w:r>
        <w:rPr>
          <w:color w:val="000000"/>
          <w:spacing w:val="-5"/>
        </w:rPr>
        <w:t>A</w:t>
      </w:r>
      <w:r>
        <w:rPr>
          <w:color w:val="000000"/>
          <w:spacing w:val="2"/>
        </w:rPr>
        <w:t>T</w:t>
      </w:r>
      <w:r>
        <w:rPr>
          <w:color w:val="000000"/>
        </w:rPr>
        <w:t>S</w:t>
      </w:r>
      <w:r>
        <w:rPr>
          <w:color w:val="000000"/>
          <w:spacing w:val="8"/>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rPr>
        <w:t>g</w:t>
      </w:r>
      <w:r>
        <w:rPr>
          <w:color w:val="000000"/>
          <w:spacing w:val="4"/>
        </w:rPr>
        <w:t>a</w:t>
      </w:r>
      <w:r>
        <w:rPr>
          <w:color w:val="000000"/>
        </w:rPr>
        <w:t>m</w:t>
      </w:r>
      <w:r>
        <w:rPr>
          <w:color w:val="000000"/>
          <w:spacing w:val="-4"/>
        </w:rPr>
        <w:t>y</w:t>
      </w:r>
      <w:r>
        <w:rPr>
          <w:color w:val="000000"/>
        </w:rPr>
        <w:t>ba</w:t>
      </w:r>
      <w:r>
        <w:rPr>
          <w:color w:val="000000"/>
          <w:spacing w:val="6"/>
        </w:rPr>
        <w:t xml:space="preserve"> </w:t>
      </w:r>
      <w:r>
        <w:rPr>
          <w:color w:val="000000"/>
          <w:spacing w:val="-5"/>
        </w:rPr>
        <w:t>n</w:t>
      </w:r>
      <w:r>
        <w:rPr>
          <w:color w:val="000000"/>
          <w:spacing w:val="4"/>
        </w:rPr>
        <w:t>e</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spacing w:val="-5"/>
        </w:rPr>
        <w:t>n</w:t>
      </w:r>
      <w:r>
        <w:rPr>
          <w:color w:val="000000"/>
        </w:rPr>
        <w:t>t</w:t>
      </w:r>
      <w:r>
        <w:rPr>
          <w:color w:val="000000"/>
          <w:spacing w:val="7"/>
        </w:rPr>
        <w:t xml:space="preserve"> </w:t>
      </w:r>
      <w:r>
        <w:rPr>
          <w:color w:val="000000"/>
        </w:rPr>
        <w:t>I</w:t>
      </w:r>
      <w:r>
        <w:rPr>
          <w:color w:val="000000"/>
          <w:spacing w:val="10"/>
        </w:rPr>
        <w:t xml:space="preserve"> </w:t>
      </w:r>
      <w:r>
        <w:rPr>
          <w:color w:val="000000"/>
        </w:rPr>
        <w:t>k</w:t>
      </w:r>
      <w:r>
        <w:rPr>
          <w:color w:val="000000"/>
          <w:spacing w:val="-6"/>
        </w:rPr>
        <w:t>a</w:t>
      </w:r>
      <w:r>
        <w:rPr>
          <w:color w:val="000000"/>
          <w:spacing w:val="5"/>
        </w:rPr>
        <w:t>t</w:t>
      </w:r>
      <w:r>
        <w:rPr>
          <w:color w:val="000000"/>
          <w:spacing w:val="-1"/>
        </w:rPr>
        <w:t>e</w:t>
      </w:r>
      <w:r>
        <w:rPr>
          <w:color w:val="000000"/>
          <w:spacing w:val="-5"/>
        </w:rPr>
        <w:t>g</w:t>
      </w:r>
      <w:r>
        <w:rPr>
          <w:color w:val="000000"/>
        </w:rPr>
        <w:t>o</w:t>
      </w:r>
      <w:r>
        <w:rPr>
          <w:color w:val="000000"/>
          <w:spacing w:val="1"/>
        </w:rPr>
        <w:t>r</w:t>
      </w:r>
      <w:r>
        <w:rPr>
          <w:color w:val="000000"/>
          <w:spacing w:val="-4"/>
        </w:rPr>
        <w:t>i</w:t>
      </w:r>
      <w:r>
        <w:rPr>
          <w:color w:val="000000"/>
          <w:spacing w:val="-9"/>
        </w:rPr>
        <w:t>j</w:t>
      </w:r>
      <w:r>
        <w:rPr>
          <w:color w:val="000000"/>
          <w:spacing w:val="9"/>
        </w:rPr>
        <w:t>o</w:t>
      </w:r>
      <w:r>
        <w:rPr>
          <w:color w:val="000000"/>
        </w:rPr>
        <w:t xml:space="preserve">s </w:t>
      </w:r>
      <w:r>
        <w:rPr>
          <w:color w:val="000000"/>
          <w:spacing w:val="5"/>
        </w:rPr>
        <w:t>p</w:t>
      </w:r>
      <w:r>
        <w:rPr>
          <w:color w:val="000000"/>
          <w:spacing w:val="-9"/>
        </w:rPr>
        <w:t>i</w:t>
      </w:r>
      <w:r>
        <w:rPr>
          <w:color w:val="000000"/>
          <w:spacing w:val="6"/>
        </w:rPr>
        <w:t>r</w:t>
      </w:r>
      <w:r>
        <w:rPr>
          <w:color w:val="000000"/>
          <w:spacing w:val="-9"/>
        </w:rPr>
        <w:t>m</w:t>
      </w:r>
      <w:r>
        <w:rPr>
          <w:color w:val="000000"/>
          <w:spacing w:val="5"/>
        </w:rPr>
        <w:t>t</w:t>
      </w:r>
      <w:r>
        <w:rPr>
          <w:color w:val="000000"/>
          <w:spacing w:val="-1"/>
        </w:rPr>
        <w:t>a</w:t>
      </w:r>
      <w:r>
        <w:rPr>
          <w:color w:val="000000"/>
        </w:rPr>
        <w:t>kų</w:t>
      </w:r>
      <w:r>
        <w:rPr>
          <w:color w:val="000000"/>
          <w:spacing w:val="2"/>
        </w:rPr>
        <w:t xml:space="preserve"> </w:t>
      </w:r>
      <w:r>
        <w:rPr>
          <w:color w:val="000000"/>
          <w:spacing w:val="1"/>
        </w:rPr>
        <w:t>(</w:t>
      </w:r>
      <w:r>
        <w:rPr>
          <w:color w:val="000000"/>
        </w:rPr>
        <w:t>p</w:t>
      </w:r>
      <w:r>
        <w:rPr>
          <w:color w:val="000000"/>
          <w:spacing w:val="1"/>
        </w:rPr>
        <w:t>r</w:t>
      </w:r>
      <w:r>
        <w:rPr>
          <w:color w:val="000000"/>
          <w:spacing w:val="-1"/>
        </w:rPr>
        <w:t>e</w:t>
      </w:r>
      <w:r>
        <w:rPr>
          <w:color w:val="000000"/>
        </w:rPr>
        <w:t>ku</w:t>
      </w:r>
      <w:r>
        <w:rPr>
          <w:color w:val="000000"/>
          <w:spacing w:val="1"/>
        </w:rPr>
        <w:t>r</w:t>
      </w:r>
      <w:r>
        <w:rPr>
          <w:color w:val="000000"/>
          <w:spacing w:val="-2"/>
        </w:rPr>
        <w:t>s</w:t>
      </w:r>
      <w:r>
        <w:rPr>
          <w:color w:val="000000"/>
        </w:rPr>
        <w:t>o</w:t>
      </w:r>
      <w:r>
        <w:rPr>
          <w:color w:val="000000"/>
          <w:spacing w:val="1"/>
        </w:rPr>
        <w:t>r</w:t>
      </w:r>
      <w:r>
        <w:rPr>
          <w:color w:val="000000"/>
          <w:spacing w:val="-9"/>
        </w:rPr>
        <w:t>i</w:t>
      </w:r>
      <w:r>
        <w:rPr>
          <w:color w:val="000000"/>
        </w:rPr>
        <w:t>ų</w:t>
      </w:r>
      <w:r>
        <w:rPr>
          <w:color w:val="000000"/>
          <w:spacing w:val="6"/>
        </w:rPr>
        <w:t>)</w:t>
      </w:r>
      <w:r>
        <w:rPr>
          <w:color w:val="000000"/>
        </w:rPr>
        <w:t>;</w:t>
      </w:r>
    </w:p>
    <w:p w:rsidR="004F7425" w:rsidRDefault="004F7425" w:rsidP="004F7425">
      <w:pPr>
        <w:widowControl w:val="0"/>
        <w:autoSpaceDE w:val="0"/>
        <w:autoSpaceDN w:val="0"/>
        <w:adjustRightInd w:val="0"/>
        <w:spacing w:before="41"/>
        <w:ind w:left="187" w:right="-20"/>
        <w:rPr>
          <w:color w:val="000000"/>
        </w:rPr>
      </w:pPr>
      <w:r>
        <w:rPr>
          <w:rFonts w:ascii="Wingdings" w:hAnsi="Wingdings" w:cs="Wingdings"/>
          <w:color w:val="000000"/>
        </w:rPr>
        <w:t></w:t>
      </w:r>
      <w:r>
        <w:rPr>
          <w:color w:val="000000"/>
        </w:rPr>
        <w:t xml:space="preserve"> </w:t>
      </w:r>
      <w:r>
        <w:rPr>
          <w:color w:val="000000"/>
          <w:spacing w:val="52"/>
        </w:rPr>
        <w:t xml:space="preserve"> </w:t>
      </w:r>
      <w:r>
        <w:rPr>
          <w:color w:val="000000"/>
        </w:rPr>
        <w:t>D</w:t>
      </w:r>
      <w:r>
        <w:rPr>
          <w:color w:val="000000"/>
          <w:spacing w:val="-1"/>
        </w:rPr>
        <w:t>a</w:t>
      </w:r>
      <w:r>
        <w:rPr>
          <w:color w:val="000000"/>
        </w:rPr>
        <w:t>ug</w:t>
      </w:r>
      <w:r>
        <w:rPr>
          <w:color w:val="000000"/>
          <w:spacing w:val="4"/>
        </w:rPr>
        <w:t>ė</w:t>
      </w:r>
      <w:r>
        <w:rPr>
          <w:color w:val="000000"/>
          <w:spacing w:val="-4"/>
        </w:rPr>
        <w:t>j</w:t>
      </w:r>
      <w:r>
        <w:rPr>
          <w:color w:val="000000"/>
        </w:rPr>
        <w:t>a</w:t>
      </w:r>
      <w:r>
        <w:rPr>
          <w:color w:val="000000"/>
          <w:spacing w:val="1"/>
        </w:rPr>
        <w:t xml:space="preserve"> </w:t>
      </w:r>
      <w:r>
        <w:rPr>
          <w:color w:val="000000"/>
          <w:spacing w:val="-1"/>
        </w:rPr>
        <w:t>c</w:t>
      </w:r>
      <w:r>
        <w:rPr>
          <w:color w:val="000000"/>
          <w:spacing w:val="-5"/>
        </w:rPr>
        <w:t>h</w:t>
      </w:r>
      <w:r>
        <w:rPr>
          <w:color w:val="000000"/>
          <w:spacing w:val="4"/>
        </w:rPr>
        <w:t>e</w:t>
      </w:r>
      <w:r>
        <w:rPr>
          <w:color w:val="000000"/>
        </w:rPr>
        <w:t>m</w:t>
      </w:r>
      <w:r>
        <w:rPr>
          <w:color w:val="000000"/>
          <w:spacing w:val="-4"/>
        </w:rPr>
        <w:t>i</w:t>
      </w:r>
      <w:r>
        <w:rPr>
          <w:color w:val="000000"/>
          <w:spacing w:val="5"/>
        </w:rPr>
        <w:t>n</w:t>
      </w:r>
      <w:r>
        <w:rPr>
          <w:color w:val="000000"/>
          <w:spacing w:val="-4"/>
        </w:rPr>
        <w:t>i</w:t>
      </w:r>
      <w:r>
        <w:rPr>
          <w:color w:val="000000"/>
        </w:rPr>
        <w:t>ų</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spacing w:val="-4"/>
        </w:rPr>
        <w:t>m</w:t>
      </w:r>
      <w:r>
        <w:rPr>
          <w:color w:val="000000"/>
        </w:rPr>
        <w:t>ų</w:t>
      </w:r>
      <w:r>
        <w:rPr>
          <w:color w:val="000000"/>
          <w:spacing w:val="7"/>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7"/>
        </w:rPr>
        <w:t xml:space="preserve"> </w:t>
      </w:r>
      <w:r>
        <w:rPr>
          <w:color w:val="000000"/>
        </w:rPr>
        <w:t>g</w:t>
      </w:r>
      <w:r>
        <w:rPr>
          <w:color w:val="000000"/>
          <w:spacing w:val="4"/>
        </w:rPr>
        <w:t>a</w:t>
      </w:r>
      <w:r>
        <w:rPr>
          <w:color w:val="000000"/>
          <w:spacing w:val="-4"/>
        </w:rPr>
        <w:t>m</w:t>
      </w:r>
      <w:r>
        <w:rPr>
          <w:color w:val="000000"/>
          <w:spacing w:val="-5"/>
        </w:rPr>
        <w:t>yb</w:t>
      </w:r>
      <w:r>
        <w:rPr>
          <w:color w:val="000000"/>
          <w:spacing w:val="9"/>
        </w:rPr>
        <w:t>o</w:t>
      </w:r>
      <w:r>
        <w:rPr>
          <w:color w:val="000000"/>
          <w:spacing w:val="-4"/>
        </w:rPr>
        <w:t>j</w:t>
      </w:r>
      <w:r>
        <w:rPr>
          <w:color w:val="000000"/>
          <w:spacing w:val="-1"/>
        </w:rPr>
        <w:t>e</w:t>
      </w:r>
      <w:r>
        <w:rPr>
          <w:color w:val="000000"/>
        </w:rPr>
        <w:t>,</w:t>
      </w:r>
      <w:r>
        <w:rPr>
          <w:color w:val="000000"/>
          <w:spacing w:val="4"/>
        </w:rPr>
        <w:t xml:space="preserve"> </w:t>
      </w:r>
      <w:r>
        <w:rPr>
          <w:color w:val="000000"/>
        </w:rPr>
        <w:t>g</w:t>
      </w:r>
      <w:r>
        <w:rPr>
          <w:color w:val="000000"/>
          <w:spacing w:val="-1"/>
        </w:rPr>
        <w:t>a</w:t>
      </w:r>
      <w:r>
        <w:rPr>
          <w:color w:val="000000"/>
          <w:spacing w:val="-5"/>
        </w:rPr>
        <w:t>b</w:t>
      </w:r>
      <w:r>
        <w:rPr>
          <w:color w:val="000000"/>
          <w:spacing w:val="4"/>
        </w:rPr>
        <w:t>e</w:t>
      </w:r>
      <w:r>
        <w:rPr>
          <w:color w:val="000000"/>
        </w:rPr>
        <w:t>ni</w:t>
      </w:r>
      <w:r>
        <w:rPr>
          <w:color w:val="000000"/>
          <w:spacing w:val="-9"/>
        </w:rPr>
        <w:t>m</w:t>
      </w:r>
      <w:r>
        <w:rPr>
          <w:color w:val="000000"/>
        </w:rPr>
        <w:t>o</w:t>
      </w:r>
      <w:r>
        <w:rPr>
          <w:color w:val="000000"/>
          <w:spacing w:val="7"/>
        </w:rPr>
        <w:t xml:space="preserve"> </w:t>
      </w:r>
      <w:r>
        <w:rPr>
          <w:color w:val="000000"/>
          <w:spacing w:val="-1"/>
        </w:rPr>
        <w:t>a</w:t>
      </w:r>
      <w:r>
        <w:rPr>
          <w:color w:val="000000"/>
          <w:spacing w:val="5"/>
        </w:rPr>
        <w:t>t</w:t>
      </w:r>
      <w:r>
        <w:rPr>
          <w:color w:val="000000"/>
          <w:spacing w:val="-5"/>
        </w:rPr>
        <w:t>v</w:t>
      </w:r>
      <w:r>
        <w:rPr>
          <w:color w:val="000000"/>
          <w:spacing w:val="4"/>
        </w:rPr>
        <w:t>e</w:t>
      </w:r>
      <w:r>
        <w:rPr>
          <w:color w:val="000000"/>
          <w:spacing w:val="-9"/>
        </w:rPr>
        <w:t>j</w:t>
      </w:r>
      <w:r>
        <w:rPr>
          <w:color w:val="000000"/>
          <w:spacing w:val="5"/>
        </w:rPr>
        <w:t>ų</w:t>
      </w:r>
      <w:r>
        <w:rPr>
          <w:color w:val="000000"/>
        </w:rPr>
        <w:t>;</w:t>
      </w:r>
    </w:p>
    <w:p w:rsidR="004F7425" w:rsidRDefault="004F7425" w:rsidP="004F7425">
      <w:pPr>
        <w:widowControl w:val="0"/>
        <w:autoSpaceDE w:val="0"/>
        <w:autoSpaceDN w:val="0"/>
        <w:adjustRightInd w:val="0"/>
        <w:spacing w:before="41"/>
        <w:ind w:left="187" w:right="-20"/>
        <w:rPr>
          <w:color w:val="000000"/>
        </w:rPr>
      </w:pPr>
      <w:r>
        <w:rPr>
          <w:rFonts w:ascii="Wingdings" w:hAnsi="Wingdings" w:cs="Wingdings"/>
          <w:color w:val="000000"/>
        </w:rPr>
        <w:t></w:t>
      </w:r>
      <w:r>
        <w:rPr>
          <w:color w:val="000000"/>
        </w:rPr>
        <w:t xml:space="preserve"> </w:t>
      </w:r>
      <w:r>
        <w:rPr>
          <w:color w:val="000000"/>
          <w:spacing w:val="52"/>
        </w:rPr>
        <w:t xml:space="preserve"> </w:t>
      </w:r>
      <w:r>
        <w:rPr>
          <w:color w:val="000000"/>
        </w:rPr>
        <w:t>k</w:t>
      </w:r>
      <w:r>
        <w:rPr>
          <w:color w:val="000000"/>
          <w:spacing w:val="5"/>
        </w:rPr>
        <w:t>o</w:t>
      </w:r>
      <w:r>
        <w:rPr>
          <w:color w:val="000000"/>
        </w:rPr>
        <w:t>k</w:t>
      </w:r>
      <w:r>
        <w:rPr>
          <w:color w:val="000000"/>
          <w:spacing w:val="-1"/>
        </w:rPr>
        <w:t>a</w:t>
      </w:r>
      <w:r>
        <w:rPr>
          <w:color w:val="000000"/>
          <w:spacing w:val="-4"/>
        </w:rPr>
        <w:t>i</w:t>
      </w:r>
      <w:r>
        <w:rPr>
          <w:color w:val="000000"/>
          <w:spacing w:val="-5"/>
        </w:rPr>
        <w:t>n</w:t>
      </w:r>
      <w:r>
        <w:rPr>
          <w:color w:val="000000"/>
          <w:spacing w:val="5"/>
        </w:rPr>
        <w:t>o</w:t>
      </w:r>
      <w:r>
        <w:rPr>
          <w:color w:val="000000"/>
        </w:rPr>
        <w:t>,</w:t>
      </w:r>
      <w:r>
        <w:rPr>
          <w:color w:val="000000"/>
          <w:spacing w:val="4"/>
        </w:rPr>
        <w:t xml:space="preserve"> </w:t>
      </w:r>
      <w:r>
        <w:rPr>
          <w:color w:val="000000"/>
        </w:rPr>
        <w:t>u</w:t>
      </w:r>
      <w:r>
        <w:rPr>
          <w:color w:val="000000"/>
          <w:spacing w:val="-1"/>
        </w:rPr>
        <w:t>ž</w:t>
      </w:r>
      <w:r>
        <w:rPr>
          <w:color w:val="000000"/>
          <w:spacing w:val="-9"/>
        </w:rPr>
        <w:t>m</w:t>
      </w:r>
      <w:r>
        <w:rPr>
          <w:color w:val="000000"/>
          <w:spacing w:val="4"/>
        </w:rPr>
        <w:t>a</w:t>
      </w:r>
      <w:r>
        <w:rPr>
          <w:color w:val="000000"/>
          <w:spacing w:val="-2"/>
        </w:rPr>
        <w:t>s</w:t>
      </w:r>
      <w:r>
        <w:rPr>
          <w:color w:val="000000"/>
        </w:rPr>
        <w:t>ku</w:t>
      </w:r>
      <w:r>
        <w:rPr>
          <w:color w:val="000000"/>
          <w:spacing w:val="5"/>
        </w:rPr>
        <w:t>o</w:t>
      </w:r>
      <w:r>
        <w:rPr>
          <w:color w:val="000000"/>
        </w:rPr>
        <w:t>to</w:t>
      </w:r>
      <w:r>
        <w:rPr>
          <w:color w:val="000000"/>
          <w:spacing w:val="3"/>
        </w:rPr>
        <w:t xml:space="preserve"> </w:t>
      </w:r>
      <w:r>
        <w:rPr>
          <w:color w:val="000000"/>
          <w:spacing w:val="-9"/>
        </w:rPr>
        <w:t>l</w:t>
      </w:r>
      <w:r>
        <w:rPr>
          <w:color w:val="000000"/>
          <w:spacing w:val="-1"/>
        </w:rPr>
        <w:t>e</w:t>
      </w:r>
      <w:r>
        <w:rPr>
          <w:color w:val="000000"/>
        </w:rPr>
        <w:t>g</w:t>
      </w:r>
      <w:r>
        <w:rPr>
          <w:color w:val="000000"/>
          <w:spacing w:val="4"/>
        </w:rPr>
        <w:t>a</w:t>
      </w:r>
      <w:r>
        <w:rPr>
          <w:color w:val="000000"/>
        </w:rPr>
        <w:t>l</w:t>
      </w:r>
      <w:r>
        <w:rPr>
          <w:color w:val="000000"/>
          <w:spacing w:val="-4"/>
        </w:rPr>
        <w:t>i</w:t>
      </w:r>
      <w:r>
        <w:rPr>
          <w:color w:val="000000"/>
        </w:rPr>
        <w:t>u</w:t>
      </w:r>
      <w:r>
        <w:rPr>
          <w:color w:val="000000"/>
          <w:spacing w:val="5"/>
        </w:rPr>
        <w:t>o</w:t>
      </w:r>
      <w:r>
        <w:rPr>
          <w:color w:val="000000"/>
          <w:spacing w:val="-2"/>
        </w:rPr>
        <w:t>s</w:t>
      </w:r>
      <w:r>
        <w:rPr>
          <w:color w:val="000000"/>
        </w:rPr>
        <w:t>e</w:t>
      </w:r>
      <w:r>
        <w:rPr>
          <w:color w:val="000000"/>
          <w:spacing w:val="1"/>
        </w:rPr>
        <w:t xml:space="preserve"> </w:t>
      </w:r>
      <w:r>
        <w:rPr>
          <w:color w:val="000000"/>
        </w:rPr>
        <w:t>k</w:t>
      </w:r>
      <w:r>
        <w:rPr>
          <w:color w:val="000000"/>
          <w:spacing w:val="1"/>
        </w:rPr>
        <w:t>r</w:t>
      </w:r>
      <w:r>
        <w:rPr>
          <w:color w:val="000000"/>
          <w:spacing w:val="5"/>
        </w:rPr>
        <w:t>o</w:t>
      </w:r>
      <w:r>
        <w:rPr>
          <w:color w:val="000000"/>
        </w:rPr>
        <w:t>v</w:t>
      </w:r>
      <w:r>
        <w:rPr>
          <w:color w:val="000000"/>
          <w:spacing w:val="-4"/>
        </w:rPr>
        <w:t>i</w:t>
      </w:r>
      <w:r>
        <w:rPr>
          <w:color w:val="000000"/>
        </w:rPr>
        <w:t>n</w:t>
      </w:r>
      <w:r>
        <w:rPr>
          <w:color w:val="000000"/>
          <w:spacing w:val="-4"/>
        </w:rPr>
        <w:t>i</w:t>
      </w:r>
      <w:r>
        <w:rPr>
          <w:color w:val="000000"/>
        </w:rPr>
        <w:t>u</w:t>
      </w:r>
      <w:r>
        <w:rPr>
          <w:color w:val="000000"/>
          <w:spacing w:val="5"/>
        </w:rPr>
        <w:t>o</w:t>
      </w:r>
      <w:r>
        <w:rPr>
          <w:color w:val="000000"/>
          <w:spacing w:val="-2"/>
        </w:rPr>
        <w:t>s</w:t>
      </w:r>
      <w:r>
        <w:rPr>
          <w:color w:val="000000"/>
          <w:spacing w:val="-1"/>
        </w:rPr>
        <w:t>e</w:t>
      </w:r>
      <w:r>
        <w:rPr>
          <w:color w:val="000000"/>
        </w:rPr>
        <w:t>,</w:t>
      </w:r>
      <w:r>
        <w:rPr>
          <w:color w:val="000000"/>
          <w:spacing w:val="9"/>
        </w:rPr>
        <w:t xml:space="preserve"> </w:t>
      </w:r>
      <w:r>
        <w:rPr>
          <w:color w:val="000000"/>
          <w:spacing w:val="-9"/>
        </w:rPr>
        <w:t>i</w:t>
      </w:r>
      <w:r>
        <w:rPr>
          <w:color w:val="000000"/>
        </w:rPr>
        <w:t>r</w:t>
      </w:r>
      <w:r>
        <w:rPr>
          <w:color w:val="000000"/>
          <w:spacing w:val="4"/>
        </w:rPr>
        <w:t xml:space="preserve"> </w:t>
      </w:r>
      <w:r>
        <w:rPr>
          <w:color w:val="000000"/>
        </w:rPr>
        <w:t>h</w:t>
      </w:r>
      <w:r>
        <w:rPr>
          <w:color w:val="000000"/>
          <w:spacing w:val="4"/>
        </w:rPr>
        <w:t>a</w:t>
      </w:r>
      <w:r>
        <w:rPr>
          <w:color w:val="000000"/>
          <w:spacing w:val="2"/>
        </w:rPr>
        <w:t>š</w:t>
      </w:r>
      <w:r>
        <w:rPr>
          <w:color w:val="000000"/>
          <w:spacing w:val="-4"/>
        </w:rPr>
        <w:t>i</w:t>
      </w:r>
      <w:r>
        <w:rPr>
          <w:color w:val="000000"/>
          <w:spacing w:val="-2"/>
        </w:rPr>
        <w:t>š</w:t>
      </w:r>
      <w:r>
        <w:rPr>
          <w:color w:val="000000"/>
        </w:rPr>
        <w:t>o</w:t>
      </w:r>
      <w:r>
        <w:rPr>
          <w:color w:val="000000"/>
          <w:spacing w:val="4"/>
        </w:rPr>
        <w:t xml:space="preserve"> </w:t>
      </w:r>
      <w:r>
        <w:rPr>
          <w:color w:val="000000"/>
          <w:spacing w:val="5"/>
        </w:rPr>
        <w:t>t</w:t>
      </w:r>
      <w:r>
        <w:rPr>
          <w:color w:val="000000"/>
          <w:spacing w:val="1"/>
        </w:rPr>
        <w:t>r</w:t>
      </w:r>
      <w:r>
        <w:rPr>
          <w:color w:val="000000"/>
          <w:spacing w:val="-1"/>
        </w:rPr>
        <w:t>a</w:t>
      </w:r>
      <w:r>
        <w:rPr>
          <w:color w:val="000000"/>
          <w:spacing w:val="-5"/>
        </w:rPr>
        <w:t>n</w:t>
      </w:r>
      <w:r>
        <w:rPr>
          <w:color w:val="000000"/>
          <w:spacing w:val="4"/>
        </w:rPr>
        <w:t>z</w:t>
      </w:r>
      <w:r>
        <w:rPr>
          <w:color w:val="000000"/>
          <w:spacing w:val="-9"/>
        </w:rPr>
        <w:t>i</w:t>
      </w:r>
      <w:r>
        <w:rPr>
          <w:color w:val="000000"/>
          <w:spacing w:val="5"/>
        </w:rPr>
        <w:t>t</w:t>
      </w:r>
      <w:r>
        <w:rPr>
          <w:color w:val="000000"/>
          <w:spacing w:val="-1"/>
        </w:rPr>
        <w:t>a</w:t>
      </w:r>
      <w:r>
        <w:rPr>
          <w:color w:val="000000"/>
        </w:rPr>
        <w:t>s p</w:t>
      </w:r>
      <w:r>
        <w:rPr>
          <w:color w:val="000000"/>
          <w:spacing w:val="-1"/>
        </w:rPr>
        <w:t>e</w:t>
      </w:r>
      <w:r>
        <w:rPr>
          <w:color w:val="000000"/>
        </w:rPr>
        <w:t>r</w:t>
      </w:r>
      <w:r>
        <w:rPr>
          <w:color w:val="000000"/>
          <w:spacing w:val="4"/>
        </w:rPr>
        <w:t xml:space="preserve"> </w:t>
      </w:r>
      <w:r>
        <w:rPr>
          <w:color w:val="000000"/>
          <w:spacing w:val="2"/>
        </w:rPr>
        <w:t>L</w:t>
      </w:r>
      <w:r>
        <w:rPr>
          <w:color w:val="000000"/>
          <w:spacing w:val="-9"/>
        </w:rPr>
        <w:t>i</w:t>
      </w:r>
      <w:r>
        <w:rPr>
          <w:color w:val="000000"/>
          <w:spacing w:val="-1"/>
        </w:rPr>
        <w:t>e</w:t>
      </w:r>
      <w:r>
        <w:rPr>
          <w:color w:val="000000"/>
          <w:spacing w:val="5"/>
        </w:rPr>
        <w:t>t</w:t>
      </w:r>
      <w:r>
        <w:rPr>
          <w:color w:val="000000"/>
        </w:rPr>
        <w:t>u</w:t>
      </w:r>
      <w:r>
        <w:rPr>
          <w:color w:val="000000"/>
          <w:spacing w:val="-5"/>
        </w:rPr>
        <w:t>v</w:t>
      </w:r>
      <w:r>
        <w:rPr>
          <w:color w:val="000000"/>
          <w:spacing w:val="4"/>
        </w:rPr>
        <w:t>ą</w:t>
      </w:r>
      <w:r>
        <w:rPr>
          <w:color w:val="000000"/>
        </w:rPr>
        <w:t>;</w:t>
      </w:r>
    </w:p>
    <w:p w:rsidR="004F7425" w:rsidRDefault="004F7425" w:rsidP="004F7425">
      <w:pPr>
        <w:widowControl w:val="0"/>
        <w:autoSpaceDE w:val="0"/>
        <w:autoSpaceDN w:val="0"/>
        <w:adjustRightInd w:val="0"/>
        <w:spacing w:before="45"/>
        <w:ind w:left="187" w:right="-20"/>
        <w:rPr>
          <w:color w:val="000000"/>
        </w:rPr>
      </w:pPr>
      <w:r>
        <w:rPr>
          <w:rFonts w:ascii="Wingdings" w:hAnsi="Wingdings" w:cs="Wingdings"/>
          <w:color w:val="000000"/>
        </w:rPr>
        <w:t></w:t>
      </w:r>
      <w:r>
        <w:rPr>
          <w:color w:val="000000"/>
        </w:rPr>
        <w:t xml:space="preserve"> </w:t>
      </w:r>
      <w:r>
        <w:rPr>
          <w:color w:val="000000"/>
          <w:spacing w:val="52"/>
        </w:rPr>
        <w:t xml:space="preserve"> </w:t>
      </w:r>
      <w:r>
        <w:rPr>
          <w:color w:val="000000"/>
          <w:spacing w:val="-5"/>
        </w:rPr>
        <w:t>A</w:t>
      </w:r>
      <w:r>
        <w:rPr>
          <w:color w:val="000000"/>
          <w:spacing w:val="2"/>
        </w:rPr>
        <w:t>T</w:t>
      </w:r>
      <w:r>
        <w:rPr>
          <w:color w:val="000000"/>
        </w:rPr>
        <w:t>S</w:t>
      </w:r>
      <w:r>
        <w:rPr>
          <w:color w:val="000000"/>
          <w:spacing w:val="8"/>
        </w:rPr>
        <w:t xml:space="preserve"> </w:t>
      </w:r>
      <w:r>
        <w:rPr>
          <w:color w:val="000000"/>
          <w:spacing w:val="-9"/>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1"/>
        </w:rPr>
        <w:t>a</w:t>
      </w:r>
      <w:r>
        <w:rPr>
          <w:color w:val="000000"/>
          <w:spacing w:val="-5"/>
        </w:rPr>
        <w:t>b</w:t>
      </w:r>
      <w:r>
        <w:rPr>
          <w:color w:val="000000"/>
          <w:spacing w:val="4"/>
        </w:rPr>
        <w:t>a</w:t>
      </w:r>
      <w:r>
        <w:rPr>
          <w:color w:val="000000"/>
          <w:spacing w:val="-5"/>
        </w:rPr>
        <w:t>n</w:t>
      </w:r>
      <w:r>
        <w:rPr>
          <w:color w:val="000000"/>
        </w:rPr>
        <w:t>da</w:t>
      </w:r>
      <w:r>
        <w:rPr>
          <w:color w:val="000000"/>
          <w:spacing w:val="6"/>
        </w:rPr>
        <w:t xml:space="preserve"> </w:t>
      </w:r>
      <w:r>
        <w:rPr>
          <w:color w:val="000000"/>
        </w:rPr>
        <w:t>į</w:t>
      </w:r>
      <w:r>
        <w:rPr>
          <w:color w:val="000000"/>
          <w:spacing w:val="-7"/>
        </w:rPr>
        <w:t xml:space="preserve"> </w:t>
      </w:r>
      <w:r>
        <w:rPr>
          <w:color w:val="000000"/>
          <w:spacing w:val="1"/>
        </w:rPr>
        <w:t>S</w:t>
      </w:r>
      <w:r>
        <w:rPr>
          <w:color w:val="000000"/>
        </w:rPr>
        <w:t>k</w:t>
      </w:r>
      <w:r>
        <w:rPr>
          <w:color w:val="000000"/>
          <w:spacing w:val="4"/>
        </w:rPr>
        <w:t>a</w:t>
      </w:r>
      <w:r>
        <w:rPr>
          <w:color w:val="000000"/>
          <w:spacing w:val="-5"/>
        </w:rPr>
        <w:t>n</w:t>
      </w:r>
      <w:r>
        <w:rPr>
          <w:color w:val="000000"/>
          <w:spacing w:val="5"/>
        </w:rPr>
        <w:t>d</w:t>
      </w:r>
      <w:r>
        <w:rPr>
          <w:color w:val="000000"/>
          <w:spacing w:val="-4"/>
        </w:rPr>
        <w:t>i</w:t>
      </w:r>
      <w:r>
        <w:rPr>
          <w:color w:val="000000"/>
        </w:rPr>
        <w:t>n</w:t>
      </w:r>
      <w:r>
        <w:rPr>
          <w:color w:val="000000"/>
          <w:spacing w:val="4"/>
        </w:rPr>
        <w:t>a</w:t>
      </w:r>
      <w:r>
        <w:rPr>
          <w:color w:val="000000"/>
        </w:rPr>
        <w:t>vi</w:t>
      </w:r>
      <w:r>
        <w:rPr>
          <w:color w:val="000000"/>
          <w:spacing w:val="-4"/>
        </w:rPr>
        <w:t>j</w:t>
      </w:r>
      <w:r>
        <w:rPr>
          <w:color w:val="000000"/>
          <w:spacing w:val="-1"/>
        </w:rPr>
        <w:t>ą</w:t>
      </w:r>
      <w:r>
        <w:rPr>
          <w:color w:val="000000"/>
        </w:rPr>
        <w:t>.</w:t>
      </w: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before="19" w:line="260" w:lineRule="exact"/>
        <w:rPr>
          <w:color w:val="000000"/>
          <w:sz w:val="26"/>
          <w:szCs w:val="26"/>
        </w:rPr>
      </w:pPr>
    </w:p>
    <w:p w:rsidR="004F7425" w:rsidRDefault="004F7425" w:rsidP="004F7425">
      <w:pPr>
        <w:widowControl w:val="0"/>
        <w:autoSpaceDE w:val="0"/>
        <w:autoSpaceDN w:val="0"/>
        <w:adjustRightInd w:val="0"/>
        <w:ind w:left="4317" w:right="4276"/>
        <w:jc w:val="center"/>
        <w:rPr>
          <w:color w:val="000000"/>
        </w:rPr>
      </w:pPr>
      <w:r>
        <w:rPr>
          <w:b/>
          <w:bCs/>
          <w:color w:val="974705"/>
        </w:rPr>
        <w:t>GR</w:t>
      </w:r>
      <w:r>
        <w:rPr>
          <w:b/>
          <w:bCs/>
          <w:color w:val="974705"/>
          <w:spacing w:val="-2"/>
        </w:rPr>
        <w:t>Ė</w:t>
      </w:r>
      <w:r>
        <w:rPr>
          <w:b/>
          <w:bCs/>
          <w:color w:val="974705"/>
          <w:spacing w:val="1"/>
        </w:rPr>
        <w:t>S</w:t>
      </w:r>
      <w:r>
        <w:rPr>
          <w:b/>
          <w:bCs/>
          <w:color w:val="974705"/>
          <w:spacing w:val="4"/>
        </w:rPr>
        <w:t>M</w:t>
      </w:r>
      <w:r>
        <w:rPr>
          <w:b/>
          <w:bCs/>
          <w:color w:val="974705"/>
          <w:spacing w:val="-2"/>
        </w:rPr>
        <w:t>Ė</w:t>
      </w:r>
      <w:r>
        <w:rPr>
          <w:b/>
          <w:bCs/>
          <w:color w:val="974705"/>
        </w:rPr>
        <w:t>S</w:t>
      </w:r>
    </w:p>
    <w:p w:rsidR="004F7425" w:rsidRDefault="004F7425" w:rsidP="004F7425">
      <w:pPr>
        <w:widowControl w:val="0"/>
        <w:autoSpaceDE w:val="0"/>
        <w:autoSpaceDN w:val="0"/>
        <w:adjustRightInd w:val="0"/>
        <w:spacing w:before="3" w:line="150" w:lineRule="exact"/>
        <w:rPr>
          <w:color w:val="000000"/>
          <w:sz w:val="15"/>
          <w:szCs w:val="15"/>
        </w:rPr>
      </w:pPr>
    </w:p>
    <w:p w:rsidR="004F7425" w:rsidRDefault="004F7425" w:rsidP="004F7425">
      <w:pPr>
        <w:widowControl w:val="0"/>
        <w:autoSpaceDE w:val="0"/>
        <w:autoSpaceDN w:val="0"/>
        <w:adjustRightInd w:val="0"/>
        <w:spacing w:line="200" w:lineRule="exact"/>
        <w:rPr>
          <w:color w:val="000000"/>
          <w:sz w:val="20"/>
        </w:rPr>
      </w:pPr>
    </w:p>
    <w:p w:rsidR="004F7425" w:rsidRDefault="004F7425" w:rsidP="004F7425">
      <w:pPr>
        <w:widowControl w:val="0"/>
        <w:autoSpaceDE w:val="0"/>
        <w:autoSpaceDN w:val="0"/>
        <w:adjustRightInd w:val="0"/>
        <w:spacing w:line="275" w:lineRule="auto"/>
        <w:ind w:left="120" w:right="45" w:firstLine="721"/>
        <w:jc w:val="both"/>
        <w:rPr>
          <w:color w:val="000000"/>
        </w:rPr>
      </w:pPr>
      <w:r>
        <w:rPr>
          <w:color w:val="000000"/>
          <w:spacing w:val="4"/>
        </w:rPr>
        <w:t>V</w:t>
      </w:r>
      <w:r>
        <w:rPr>
          <w:color w:val="000000"/>
          <w:spacing w:val="-9"/>
        </w:rPr>
        <w:t>i</w:t>
      </w:r>
      <w:r>
        <w:rPr>
          <w:color w:val="000000"/>
        </w:rPr>
        <w:t>s</w:t>
      </w:r>
      <w:r>
        <w:rPr>
          <w:color w:val="000000"/>
          <w:spacing w:val="11"/>
        </w:rPr>
        <w:t xml:space="preserve"> </w:t>
      </w:r>
      <w:r>
        <w:rPr>
          <w:color w:val="000000"/>
          <w:spacing w:val="-2"/>
        </w:rPr>
        <w:t>s</w:t>
      </w:r>
      <w:r>
        <w:rPr>
          <w:color w:val="000000"/>
          <w:spacing w:val="5"/>
        </w:rPr>
        <w:t>u</w:t>
      </w:r>
      <w:r>
        <w:rPr>
          <w:color w:val="000000"/>
          <w:spacing w:val="-5"/>
        </w:rPr>
        <w:t>n</w:t>
      </w:r>
      <w:r>
        <w:rPr>
          <w:color w:val="000000"/>
          <w:spacing w:val="5"/>
        </w:rPr>
        <w:t>k</w:t>
      </w:r>
      <w:r>
        <w:rPr>
          <w:color w:val="000000"/>
          <w:spacing w:val="-4"/>
        </w:rPr>
        <w:t>i</w:t>
      </w:r>
      <w:r>
        <w:rPr>
          <w:color w:val="000000"/>
          <w:spacing w:val="-1"/>
        </w:rPr>
        <w:t>a</w:t>
      </w:r>
      <w:r>
        <w:rPr>
          <w:color w:val="000000"/>
        </w:rPr>
        <w:t>u</w:t>
      </w:r>
      <w:r>
        <w:rPr>
          <w:color w:val="000000"/>
          <w:spacing w:val="14"/>
        </w:rPr>
        <w:t xml:space="preserve"> </w:t>
      </w:r>
      <w:r>
        <w:rPr>
          <w:color w:val="000000"/>
          <w:spacing w:val="-4"/>
        </w:rPr>
        <w:t>i</w:t>
      </w:r>
      <w:r>
        <w:rPr>
          <w:color w:val="000000"/>
        </w:rPr>
        <w:t>r</w:t>
      </w:r>
      <w:r>
        <w:rPr>
          <w:color w:val="000000"/>
          <w:spacing w:val="18"/>
        </w:rPr>
        <w:t xml:space="preserve"> </w:t>
      </w:r>
      <w:r>
        <w:rPr>
          <w:color w:val="000000"/>
          <w:spacing w:val="-2"/>
        </w:rPr>
        <w:t>s</w:t>
      </w:r>
      <w:r>
        <w:rPr>
          <w:color w:val="000000"/>
        </w:rPr>
        <w:t>ud</w:t>
      </w:r>
      <w:r>
        <w:rPr>
          <w:color w:val="000000"/>
          <w:spacing w:val="-1"/>
        </w:rPr>
        <w:t>ė</w:t>
      </w:r>
      <w:r>
        <w:rPr>
          <w:color w:val="000000"/>
          <w:spacing w:val="10"/>
        </w:rPr>
        <w:t>t</w:t>
      </w:r>
      <w:r>
        <w:rPr>
          <w:color w:val="000000"/>
          <w:spacing w:val="-4"/>
        </w:rPr>
        <w:t>i</w:t>
      </w:r>
      <w:r>
        <w:rPr>
          <w:color w:val="000000"/>
          <w:spacing w:val="-5"/>
        </w:rPr>
        <w:t>n</w:t>
      </w:r>
      <w:r>
        <w:rPr>
          <w:color w:val="000000"/>
          <w:spacing w:val="5"/>
        </w:rPr>
        <w:t>g</w:t>
      </w:r>
      <w:r>
        <w:rPr>
          <w:color w:val="000000"/>
          <w:spacing w:val="-4"/>
        </w:rPr>
        <w:t>i</w:t>
      </w:r>
      <w:r>
        <w:rPr>
          <w:color w:val="000000"/>
          <w:spacing w:val="-1"/>
        </w:rPr>
        <w:t>a</w:t>
      </w:r>
      <w:r>
        <w:rPr>
          <w:color w:val="000000"/>
        </w:rPr>
        <w:t>u</w:t>
      </w:r>
      <w:r>
        <w:rPr>
          <w:color w:val="000000"/>
          <w:spacing w:val="9"/>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5"/>
        </w:rPr>
        <w:t>o</w:t>
      </w:r>
      <w:r>
        <w:rPr>
          <w:color w:val="000000"/>
          <w:spacing w:val="-4"/>
        </w:rPr>
        <w:t>l</w:t>
      </w:r>
      <w:r>
        <w:rPr>
          <w:color w:val="000000"/>
          <w:spacing w:val="-9"/>
        </w:rPr>
        <w:t>i</w:t>
      </w:r>
      <w:r>
        <w:rPr>
          <w:color w:val="000000"/>
        </w:rPr>
        <w:t>u</w:t>
      </w:r>
      <w:r>
        <w:rPr>
          <w:color w:val="000000"/>
          <w:spacing w:val="5"/>
        </w:rPr>
        <w:t>ot</w:t>
      </w:r>
      <w:r>
        <w:rPr>
          <w:color w:val="000000"/>
        </w:rPr>
        <w:t>i</w:t>
      </w:r>
      <w:r>
        <w:rPr>
          <w:color w:val="000000"/>
          <w:spacing w:val="5"/>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4"/>
        </w:rPr>
        <w:t>i</w:t>
      </w:r>
      <w:r>
        <w:rPr>
          <w:color w:val="000000"/>
          <w:spacing w:val="2"/>
        </w:rPr>
        <w:t>s</w:t>
      </w:r>
      <w:r>
        <w:rPr>
          <w:color w:val="000000"/>
          <w:spacing w:val="-1"/>
        </w:rPr>
        <w:t>ė</w:t>
      </w:r>
      <w:r>
        <w:rPr>
          <w:color w:val="000000"/>
          <w:spacing w:val="5"/>
        </w:rPr>
        <w:t>t</w:t>
      </w:r>
      <w:r>
        <w:rPr>
          <w:color w:val="000000"/>
        </w:rPr>
        <w:t>ą</w:t>
      </w:r>
      <w:r>
        <w:rPr>
          <w:color w:val="000000"/>
          <w:spacing w:val="8"/>
        </w:rPr>
        <w:t xml:space="preserve"> </w:t>
      </w:r>
      <w:r>
        <w:rPr>
          <w:color w:val="000000"/>
          <w:spacing w:val="-5"/>
        </w:rPr>
        <w:t>n</w:t>
      </w:r>
      <w:r>
        <w:rPr>
          <w:color w:val="000000"/>
          <w:spacing w:val="-1"/>
        </w:rPr>
        <w:t>a</w:t>
      </w:r>
      <w:r>
        <w:rPr>
          <w:color w:val="000000"/>
          <w:spacing w:val="1"/>
        </w:rPr>
        <w:t>r</w:t>
      </w:r>
      <w:r>
        <w:rPr>
          <w:color w:val="000000"/>
        </w:rPr>
        <w:t>ko</w:t>
      </w:r>
      <w:r>
        <w:rPr>
          <w:color w:val="000000"/>
          <w:spacing w:val="5"/>
        </w:rPr>
        <w:t>t</w:t>
      </w:r>
      <w:r>
        <w:rPr>
          <w:color w:val="000000"/>
          <w:spacing w:val="-9"/>
        </w:rPr>
        <w:t>i</w:t>
      </w:r>
      <w:r>
        <w:rPr>
          <w:color w:val="000000"/>
        </w:rPr>
        <w:t>kų</w:t>
      </w:r>
      <w:r>
        <w:rPr>
          <w:color w:val="000000"/>
          <w:spacing w:val="14"/>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ą</w:t>
      </w:r>
      <w:r>
        <w:rPr>
          <w:color w:val="000000"/>
          <w:spacing w:val="8"/>
        </w:rPr>
        <w:t xml:space="preserve"> </w:t>
      </w:r>
      <w:r>
        <w:rPr>
          <w:color w:val="000000"/>
        </w:rPr>
        <w:t>d</w:t>
      </w:r>
      <w:r>
        <w:rPr>
          <w:color w:val="000000"/>
          <w:spacing w:val="4"/>
        </w:rPr>
        <w:t>ė</w:t>
      </w:r>
      <w:r>
        <w:rPr>
          <w:color w:val="000000"/>
        </w:rPr>
        <w:t xml:space="preserve">l </w:t>
      </w:r>
      <w:r>
        <w:rPr>
          <w:color w:val="000000"/>
          <w:spacing w:val="5"/>
        </w:rPr>
        <w:t>d</w:t>
      </w:r>
      <w:r>
        <w:rPr>
          <w:color w:val="000000"/>
          <w:spacing w:val="-4"/>
        </w:rPr>
        <w:t>i</w:t>
      </w:r>
      <w:r>
        <w:rPr>
          <w:color w:val="000000"/>
        </w:rPr>
        <w:t>d</w:t>
      </w:r>
      <w:r>
        <w:rPr>
          <w:color w:val="000000"/>
          <w:spacing w:val="4"/>
        </w:rPr>
        <w:t>ė</w:t>
      </w:r>
      <w:r>
        <w:rPr>
          <w:color w:val="000000"/>
          <w:spacing w:val="-4"/>
        </w:rPr>
        <w:t>j</w:t>
      </w:r>
      <w:r>
        <w:rPr>
          <w:color w:val="000000"/>
          <w:spacing w:val="4"/>
        </w:rPr>
        <w:t>a</w:t>
      </w:r>
      <w:r>
        <w:rPr>
          <w:color w:val="000000"/>
          <w:spacing w:val="-5"/>
        </w:rPr>
        <w:t>n</w:t>
      </w:r>
      <w:r>
        <w:rPr>
          <w:color w:val="000000"/>
          <w:spacing w:val="4"/>
        </w:rPr>
        <w:t>č</w:t>
      </w:r>
      <w:r>
        <w:rPr>
          <w:color w:val="000000"/>
          <w:spacing w:val="-9"/>
        </w:rPr>
        <w:t>i</w:t>
      </w:r>
      <w:r>
        <w:rPr>
          <w:color w:val="000000"/>
          <w:spacing w:val="9"/>
        </w:rPr>
        <w:t>o</w:t>
      </w:r>
      <w:r>
        <w:rPr>
          <w:color w:val="000000"/>
        </w:rPr>
        <w:t xml:space="preserve">s </w:t>
      </w:r>
      <w:r>
        <w:rPr>
          <w:color w:val="000000"/>
          <w:spacing w:val="-5"/>
        </w:rPr>
        <w:t>n</w:t>
      </w:r>
      <w:r>
        <w:rPr>
          <w:color w:val="000000"/>
        </w:rPr>
        <w:t>u</w:t>
      </w:r>
      <w:r>
        <w:rPr>
          <w:color w:val="000000"/>
          <w:spacing w:val="2"/>
        </w:rPr>
        <w:t>s</w:t>
      </w:r>
      <w:r>
        <w:rPr>
          <w:color w:val="000000"/>
          <w:spacing w:val="-4"/>
        </w:rPr>
        <w:t>i</w:t>
      </w:r>
      <w:r>
        <w:rPr>
          <w:color w:val="000000"/>
          <w:spacing w:val="5"/>
        </w:rPr>
        <w:t>k</w:t>
      </w:r>
      <w:r>
        <w:rPr>
          <w:color w:val="000000"/>
          <w:spacing w:val="4"/>
        </w:rPr>
        <w:t>a</w:t>
      </w:r>
      <w:r>
        <w:rPr>
          <w:color w:val="000000"/>
          <w:spacing w:val="-4"/>
        </w:rPr>
        <w:t>l</w:t>
      </w:r>
      <w:r>
        <w:rPr>
          <w:color w:val="000000"/>
          <w:spacing w:val="-2"/>
        </w:rPr>
        <w:t>s</w:t>
      </w:r>
      <w:r>
        <w:rPr>
          <w:color w:val="000000"/>
          <w:spacing w:val="5"/>
        </w:rPr>
        <w:t>t</w:t>
      </w:r>
      <w:r>
        <w:rPr>
          <w:color w:val="000000"/>
          <w:spacing w:val="4"/>
        </w:rPr>
        <w:t>a</w:t>
      </w:r>
      <w:r>
        <w:rPr>
          <w:color w:val="000000"/>
          <w:spacing w:val="-9"/>
        </w:rPr>
        <w:t>m</w:t>
      </w:r>
      <w:r>
        <w:rPr>
          <w:color w:val="000000"/>
          <w:spacing w:val="5"/>
        </w:rPr>
        <w:t>u</w:t>
      </w:r>
      <w:r>
        <w:rPr>
          <w:color w:val="000000"/>
          <w:spacing w:val="-9"/>
        </w:rPr>
        <w:t>m</w:t>
      </w:r>
      <w:r>
        <w:rPr>
          <w:color w:val="000000"/>
          <w:spacing w:val="5"/>
        </w:rPr>
        <w:t>o</w:t>
      </w:r>
      <w:r>
        <w:rPr>
          <w:color w:val="000000"/>
        </w:rPr>
        <w:t>,</w:t>
      </w:r>
      <w:r>
        <w:rPr>
          <w:color w:val="000000"/>
          <w:spacing w:val="3"/>
        </w:rPr>
        <w:t xml:space="preserve"> </w:t>
      </w:r>
      <w:r>
        <w:rPr>
          <w:color w:val="000000"/>
          <w:spacing w:val="-2"/>
        </w:rPr>
        <w:t>s</w:t>
      </w:r>
      <w:r>
        <w:rPr>
          <w:color w:val="000000"/>
        </w:rPr>
        <w:t>u</w:t>
      </w:r>
      <w:r>
        <w:rPr>
          <w:color w:val="000000"/>
          <w:spacing w:val="2"/>
        </w:rPr>
        <w:t>s</w:t>
      </w:r>
      <w:r>
        <w:rPr>
          <w:color w:val="000000"/>
        </w:rPr>
        <w:t>i</w:t>
      </w:r>
      <w:r>
        <w:rPr>
          <w:color w:val="000000"/>
          <w:spacing w:val="-4"/>
        </w:rPr>
        <w:t>j</w:t>
      </w:r>
      <w:r>
        <w:rPr>
          <w:color w:val="000000"/>
        </w:rPr>
        <w:t>u</w:t>
      </w:r>
      <w:r>
        <w:rPr>
          <w:color w:val="000000"/>
          <w:spacing w:val="2"/>
        </w:rPr>
        <w:t>s</w:t>
      </w:r>
      <w:r>
        <w:rPr>
          <w:color w:val="000000"/>
          <w:spacing w:val="-9"/>
        </w:rPr>
        <w:t>i</w:t>
      </w:r>
      <w:r>
        <w:rPr>
          <w:color w:val="000000"/>
        </w:rPr>
        <w:t>o</w:t>
      </w:r>
      <w:r>
        <w:rPr>
          <w:color w:val="000000"/>
          <w:spacing w:val="6"/>
        </w:rPr>
        <w:t xml:space="preserve"> </w:t>
      </w:r>
      <w:r>
        <w:rPr>
          <w:color w:val="000000"/>
          <w:spacing w:val="-2"/>
        </w:rPr>
        <w:t>s</w:t>
      </w:r>
      <w:r>
        <w:rPr>
          <w:color w:val="000000"/>
        </w:rPr>
        <w:t>u</w:t>
      </w:r>
      <w:r>
        <w:rPr>
          <w:color w:val="000000"/>
          <w:spacing w:val="6"/>
        </w:rPr>
        <w:t xml:space="preserve"> </w:t>
      </w:r>
      <w:r>
        <w:rPr>
          <w:color w:val="000000"/>
          <w:spacing w:val="-5"/>
        </w:rPr>
        <w:t>n</w:t>
      </w:r>
      <w:r>
        <w:rPr>
          <w:color w:val="000000"/>
          <w:spacing w:val="-1"/>
        </w:rPr>
        <w:t>e</w:t>
      </w:r>
      <w:r>
        <w:rPr>
          <w:color w:val="000000"/>
          <w:spacing w:val="5"/>
        </w:rPr>
        <w:t>t</w:t>
      </w:r>
      <w:r>
        <w:rPr>
          <w:color w:val="000000"/>
          <w:spacing w:val="4"/>
        </w:rPr>
        <w:t>e</w:t>
      </w:r>
      <w:r>
        <w:rPr>
          <w:color w:val="000000"/>
          <w:spacing w:val="-9"/>
        </w:rPr>
        <w:t>i</w:t>
      </w:r>
      <w:r>
        <w:rPr>
          <w:color w:val="000000"/>
          <w:spacing w:val="-2"/>
        </w:rPr>
        <w:t>s</w:t>
      </w:r>
      <w:r>
        <w:rPr>
          <w:color w:val="000000"/>
          <w:spacing w:val="-1"/>
        </w:rPr>
        <w:t>ė</w:t>
      </w:r>
      <w:r>
        <w:rPr>
          <w:color w:val="000000"/>
          <w:spacing w:val="5"/>
        </w:rPr>
        <w:t>t</w:t>
      </w:r>
      <w:r>
        <w:rPr>
          <w:color w:val="000000"/>
        </w:rPr>
        <w:t xml:space="preserve">a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1"/>
        </w:rPr>
        <w:t xml:space="preserve"> </w:t>
      </w:r>
      <w:r>
        <w:rPr>
          <w:color w:val="000000"/>
          <w:spacing w:val="4"/>
        </w:rPr>
        <w:t>a</w:t>
      </w:r>
      <w:r>
        <w:rPr>
          <w:color w:val="000000"/>
          <w:spacing w:val="5"/>
        </w:rPr>
        <w:t>p</w:t>
      </w:r>
      <w:r>
        <w:rPr>
          <w:color w:val="000000"/>
          <w:spacing w:val="-5"/>
        </w:rPr>
        <w:t>yv</w:t>
      </w:r>
      <w:r>
        <w:rPr>
          <w:color w:val="000000"/>
          <w:spacing w:val="-1"/>
        </w:rPr>
        <w:t>a</w:t>
      </w:r>
      <w:r>
        <w:rPr>
          <w:color w:val="000000"/>
          <w:spacing w:val="1"/>
        </w:rPr>
        <w:t>r</w:t>
      </w:r>
      <w:r>
        <w:rPr>
          <w:color w:val="000000"/>
          <w:spacing w:val="5"/>
        </w:rPr>
        <w:t>t</w:t>
      </w:r>
      <w:r>
        <w:rPr>
          <w:color w:val="000000"/>
          <w:spacing w:val="-1"/>
        </w:rPr>
        <w:t>a</w:t>
      </w:r>
      <w:r>
        <w:rPr>
          <w:color w:val="000000"/>
        </w:rPr>
        <w:t>,</w:t>
      </w:r>
      <w:r>
        <w:rPr>
          <w:color w:val="000000"/>
          <w:spacing w:val="3"/>
        </w:rPr>
        <w:t xml:space="preserve"> </w:t>
      </w:r>
      <w:r>
        <w:rPr>
          <w:color w:val="000000"/>
        </w:rPr>
        <w:t>g</w:t>
      </w:r>
      <w:r>
        <w:rPr>
          <w:color w:val="000000"/>
          <w:spacing w:val="-9"/>
        </w:rPr>
        <w:t>l</w:t>
      </w:r>
      <w:r>
        <w:rPr>
          <w:color w:val="000000"/>
          <w:spacing w:val="5"/>
        </w:rPr>
        <w:t>o</w:t>
      </w:r>
      <w:r>
        <w:rPr>
          <w:color w:val="000000"/>
          <w:spacing w:val="-5"/>
        </w:rPr>
        <w:t>b</w:t>
      </w:r>
      <w:r>
        <w:rPr>
          <w:color w:val="000000"/>
          <w:spacing w:val="4"/>
        </w:rPr>
        <w:t>a</w:t>
      </w:r>
      <w:r>
        <w:rPr>
          <w:color w:val="000000"/>
        </w:rPr>
        <w:t>l</w:t>
      </w:r>
      <w:r>
        <w:rPr>
          <w:color w:val="000000"/>
          <w:spacing w:val="-4"/>
        </w:rPr>
        <w:t>i</w:t>
      </w:r>
      <w:r>
        <w:rPr>
          <w:color w:val="000000"/>
          <w:spacing w:val="-1"/>
        </w:rPr>
        <w:t>za</w:t>
      </w:r>
      <w:r>
        <w:rPr>
          <w:color w:val="000000"/>
          <w:spacing w:val="4"/>
        </w:rPr>
        <w:t>c</w:t>
      </w:r>
      <w:r>
        <w:rPr>
          <w:color w:val="000000"/>
        </w:rPr>
        <w:t>i</w:t>
      </w:r>
      <w:r>
        <w:rPr>
          <w:color w:val="000000"/>
          <w:spacing w:val="-9"/>
        </w:rPr>
        <w:t>j</w:t>
      </w:r>
      <w:r>
        <w:rPr>
          <w:color w:val="000000"/>
          <w:spacing w:val="9"/>
        </w:rPr>
        <w:t>o</w:t>
      </w:r>
      <w:r>
        <w:rPr>
          <w:color w:val="000000"/>
        </w:rPr>
        <w:t>s</w:t>
      </w:r>
      <w:r>
        <w:rPr>
          <w:color w:val="000000"/>
          <w:spacing w:val="15"/>
        </w:rPr>
        <w:t xml:space="preserve"> </w:t>
      </w:r>
      <w:r>
        <w:rPr>
          <w:color w:val="000000"/>
          <w:spacing w:val="-9"/>
        </w:rPr>
        <w:t>i</w:t>
      </w:r>
      <w:r>
        <w:rPr>
          <w:color w:val="000000"/>
        </w:rPr>
        <w:t>r</w:t>
      </w:r>
      <w:r>
        <w:rPr>
          <w:color w:val="000000"/>
          <w:spacing w:val="3"/>
        </w:rPr>
        <w:t xml:space="preserve"> </w:t>
      </w:r>
      <w:r>
        <w:rPr>
          <w:color w:val="000000"/>
          <w:spacing w:val="-1"/>
        </w:rPr>
        <w:t>a</w:t>
      </w:r>
      <w:r>
        <w:rPr>
          <w:color w:val="000000"/>
        </w:rPr>
        <w:t>k</w:t>
      </w:r>
      <w:r>
        <w:rPr>
          <w:color w:val="000000"/>
          <w:spacing w:val="10"/>
        </w:rPr>
        <w:t>t</w:t>
      </w:r>
      <w:r>
        <w:rPr>
          <w:color w:val="000000"/>
          <w:spacing w:val="-5"/>
        </w:rPr>
        <w:t>yv</w:t>
      </w:r>
      <w:r>
        <w:rPr>
          <w:color w:val="000000"/>
          <w:spacing w:val="-1"/>
        </w:rPr>
        <w:t>e</w:t>
      </w:r>
      <w:r>
        <w:rPr>
          <w:color w:val="000000"/>
          <w:spacing w:val="2"/>
        </w:rPr>
        <w:t>s</w:t>
      </w:r>
      <w:r>
        <w:rPr>
          <w:color w:val="000000"/>
        </w:rPr>
        <w:t>n</w:t>
      </w:r>
      <w:r>
        <w:rPr>
          <w:color w:val="000000"/>
          <w:spacing w:val="-9"/>
        </w:rPr>
        <w:t>i</w:t>
      </w:r>
      <w:r>
        <w:rPr>
          <w:color w:val="000000"/>
        </w:rPr>
        <w:t>o</w:t>
      </w:r>
      <w:r>
        <w:rPr>
          <w:color w:val="000000"/>
          <w:spacing w:val="11"/>
        </w:rPr>
        <w:t xml:space="preserve"> </w:t>
      </w:r>
      <w:r>
        <w:rPr>
          <w:color w:val="000000"/>
          <w:spacing w:val="-4"/>
        </w:rPr>
        <w:t>i</w:t>
      </w:r>
      <w:r>
        <w:rPr>
          <w:color w:val="000000"/>
        </w:rPr>
        <w:t>n</w:t>
      </w:r>
      <w:r>
        <w:rPr>
          <w:color w:val="000000"/>
          <w:spacing w:val="-8"/>
        </w:rPr>
        <w:t>f</w:t>
      </w:r>
      <w:r>
        <w:rPr>
          <w:color w:val="000000"/>
          <w:spacing w:val="5"/>
        </w:rPr>
        <w:t>o</w:t>
      </w:r>
      <w:r>
        <w:rPr>
          <w:color w:val="000000"/>
          <w:spacing w:val="6"/>
        </w:rPr>
        <w:t>r</w:t>
      </w:r>
      <w:r>
        <w:rPr>
          <w:color w:val="000000"/>
          <w:spacing w:val="-4"/>
        </w:rPr>
        <w:t>m</w:t>
      </w:r>
      <w:r>
        <w:rPr>
          <w:color w:val="000000"/>
          <w:spacing w:val="-1"/>
        </w:rPr>
        <w:t>a</w:t>
      </w:r>
      <w:r>
        <w:rPr>
          <w:color w:val="000000"/>
          <w:spacing w:val="4"/>
        </w:rPr>
        <w:t>c</w:t>
      </w:r>
      <w:r>
        <w:rPr>
          <w:color w:val="000000"/>
          <w:spacing w:val="-4"/>
        </w:rPr>
        <w:t>i</w:t>
      </w:r>
      <w:r>
        <w:rPr>
          <w:color w:val="000000"/>
          <w:spacing w:val="5"/>
        </w:rPr>
        <w:t>n</w:t>
      </w:r>
      <w:r>
        <w:rPr>
          <w:color w:val="000000"/>
          <w:spacing w:val="-4"/>
        </w:rPr>
        <w:t>i</w:t>
      </w:r>
      <w:r>
        <w:rPr>
          <w:color w:val="000000"/>
        </w:rPr>
        <w:t xml:space="preserve">ų </w:t>
      </w:r>
      <w:r>
        <w:rPr>
          <w:color w:val="000000"/>
          <w:spacing w:val="5"/>
        </w:rPr>
        <w:t>t</w:t>
      </w:r>
      <w:r>
        <w:rPr>
          <w:color w:val="000000"/>
          <w:spacing w:val="-1"/>
        </w:rPr>
        <w:t>ec</w:t>
      </w:r>
      <w:r>
        <w:rPr>
          <w:color w:val="000000"/>
          <w:spacing w:val="-5"/>
        </w:rPr>
        <w:t>hn</w:t>
      </w:r>
      <w:r>
        <w:rPr>
          <w:color w:val="000000"/>
          <w:spacing w:val="9"/>
        </w:rPr>
        <w:t>o</w:t>
      </w:r>
      <w:r>
        <w:rPr>
          <w:color w:val="000000"/>
          <w:spacing w:val="-9"/>
        </w:rPr>
        <w:t>l</w:t>
      </w:r>
      <w:r>
        <w:rPr>
          <w:color w:val="000000"/>
          <w:spacing w:val="5"/>
        </w:rPr>
        <w:t>og</w:t>
      </w:r>
      <w:r>
        <w:rPr>
          <w:color w:val="000000"/>
          <w:spacing w:val="-4"/>
        </w:rPr>
        <w:t>ij</w:t>
      </w:r>
      <w:r>
        <w:rPr>
          <w:color w:val="000000"/>
        </w:rPr>
        <w:t xml:space="preserve">ų  </w:t>
      </w:r>
      <w:r>
        <w:rPr>
          <w:color w:val="000000"/>
          <w:spacing w:val="7"/>
        </w:rPr>
        <w:t xml:space="preserve"> </w:t>
      </w:r>
      <w:r>
        <w:rPr>
          <w:color w:val="000000"/>
          <w:spacing w:val="-5"/>
        </w:rPr>
        <w:t>n</w:t>
      </w:r>
      <w:r>
        <w:rPr>
          <w:color w:val="000000"/>
          <w:spacing w:val="-1"/>
        </w:rPr>
        <w:t>a</w:t>
      </w:r>
      <w:r>
        <w:rPr>
          <w:color w:val="000000"/>
        </w:rPr>
        <w:t>ud</w:t>
      </w:r>
      <w:r>
        <w:rPr>
          <w:color w:val="000000"/>
          <w:spacing w:val="9"/>
        </w:rPr>
        <w:t>o</w:t>
      </w:r>
      <w:r>
        <w:rPr>
          <w:color w:val="000000"/>
          <w:spacing w:val="-4"/>
        </w:rPr>
        <w:t>j</w:t>
      </w:r>
      <w:r>
        <w:rPr>
          <w:color w:val="000000"/>
        </w:rPr>
        <w:t>i</w:t>
      </w:r>
      <w:r>
        <w:rPr>
          <w:color w:val="000000"/>
          <w:spacing w:val="-9"/>
        </w:rPr>
        <w:t>m</w:t>
      </w:r>
      <w:r>
        <w:rPr>
          <w:color w:val="000000"/>
          <w:spacing w:val="7"/>
        </w:rPr>
        <w:t>o</w:t>
      </w:r>
      <w:r>
        <w:rPr>
          <w:color w:val="000000"/>
        </w:rPr>
        <w:t xml:space="preserve">,  </w:t>
      </w:r>
      <w:r>
        <w:rPr>
          <w:color w:val="000000"/>
          <w:spacing w:val="4"/>
        </w:rPr>
        <w:t xml:space="preserve"> </w:t>
      </w:r>
      <w:r>
        <w:rPr>
          <w:color w:val="000000"/>
          <w:spacing w:val="5"/>
        </w:rPr>
        <w:t>d</w:t>
      </w:r>
      <w:r>
        <w:rPr>
          <w:color w:val="000000"/>
          <w:spacing w:val="-9"/>
        </w:rPr>
        <w:t>i</w:t>
      </w:r>
      <w:r>
        <w:rPr>
          <w:color w:val="000000"/>
        </w:rPr>
        <w:t>d</w:t>
      </w:r>
      <w:r>
        <w:rPr>
          <w:color w:val="000000"/>
          <w:spacing w:val="4"/>
        </w:rPr>
        <w:t>e</w:t>
      </w:r>
      <w:r>
        <w:rPr>
          <w:color w:val="000000"/>
        </w:rPr>
        <w:t>l</w:t>
      </w:r>
      <w:r>
        <w:rPr>
          <w:color w:val="000000"/>
          <w:spacing w:val="-9"/>
        </w:rPr>
        <w:t>i</w:t>
      </w:r>
      <w:r>
        <w:rPr>
          <w:color w:val="000000"/>
        </w:rPr>
        <w:t xml:space="preserve">o  </w:t>
      </w:r>
      <w:r>
        <w:rPr>
          <w:color w:val="000000"/>
          <w:spacing w:val="7"/>
        </w:rPr>
        <w:t xml:space="preserve"> </w:t>
      </w:r>
      <w:r>
        <w:rPr>
          <w:color w:val="000000"/>
          <w:spacing w:val="2"/>
        </w:rPr>
        <w:t>š</w:t>
      </w:r>
      <w:r>
        <w:rPr>
          <w:color w:val="000000"/>
          <w:spacing w:val="-9"/>
        </w:rPr>
        <w:t>i</w:t>
      </w:r>
      <w:r>
        <w:rPr>
          <w:color w:val="000000"/>
          <w:spacing w:val="9"/>
        </w:rPr>
        <w:t>o</w:t>
      </w:r>
      <w:r>
        <w:rPr>
          <w:color w:val="000000"/>
        </w:rPr>
        <w:t xml:space="preserve">s  </w:t>
      </w:r>
      <w:r>
        <w:rPr>
          <w:color w:val="000000"/>
          <w:spacing w:val="5"/>
        </w:rPr>
        <w:t xml:space="preserve"> </w:t>
      </w:r>
      <w:r>
        <w:rPr>
          <w:color w:val="000000"/>
          <w:spacing w:val="-5"/>
        </w:rPr>
        <w:t>v</w:t>
      </w:r>
      <w:r>
        <w:rPr>
          <w:color w:val="000000"/>
          <w:spacing w:val="4"/>
        </w:rPr>
        <w:t>e</w:t>
      </w:r>
      <w:r>
        <w:rPr>
          <w:color w:val="000000"/>
          <w:spacing w:val="-4"/>
        </w:rPr>
        <w:t>i</w:t>
      </w:r>
      <w:r>
        <w:rPr>
          <w:color w:val="000000"/>
          <w:spacing w:val="5"/>
        </w:rPr>
        <w:t>k</w:t>
      </w:r>
      <w:r>
        <w:rPr>
          <w:color w:val="000000"/>
          <w:spacing w:val="-9"/>
        </w:rPr>
        <w:t>l</w:t>
      </w:r>
      <w:r>
        <w:rPr>
          <w:color w:val="000000"/>
          <w:spacing w:val="5"/>
        </w:rPr>
        <w:t>o</w:t>
      </w:r>
      <w:r>
        <w:rPr>
          <w:color w:val="000000"/>
        </w:rPr>
        <w:t xml:space="preserve">s  </w:t>
      </w:r>
      <w:r>
        <w:rPr>
          <w:color w:val="000000"/>
          <w:spacing w:val="5"/>
        </w:rPr>
        <w:t xml:space="preserve"> </w:t>
      </w:r>
      <w:r>
        <w:rPr>
          <w:color w:val="000000"/>
          <w:spacing w:val="-5"/>
        </w:rPr>
        <w:t>n</w:t>
      </w:r>
      <w:r>
        <w:rPr>
          <w:color w:val="000000"/>
          <w:spacing w:val="4"/>
        </w:rPr>
        <w:t>e</w:t>
      </w:r>
      <w:r>
        <w:rPr>
          <w:color w:val="000000"/>
          <w:spacing w:val="-2"/>
        </w:rPr>
        <w:t>š</w:t>
      </w:r>
      <w:r>
        <w:rPr>
          <w:color w:val="000000"/>
          <w:spacing w:val="4"/>
        </w:rPr>
        <w:t>a</w:t>
      </w:r>
      <w:r>
        <w:rPr>
          <w:color w:val="000000"/>
          <w:spacing w:val="-9"/>
        </w:rPr>
        <w:t>m</w:t>
      </w:r>
      <w:r>
        <w:rPr>
          <w:color w:val="000000"/>
        </w:rPr>
        <w:t xml:space="preserve">o  </w:t>
      </w:r>
      <w:r>
        <w:rPr>
          <w:color w:val="000000"/>
          <w:spacing w:val="7"/>
        </w:rPr>
        <w:t xml:space="preserve"> </w:t>
      </w:r>
      <w:r>
        <w:rPr>
          <w:color w:val="000000"/>
        </w:rPr>
        <w:t>p</w:t>
      </w:r>
      <w:r>
        <w:rPr>
          <w:color w:val="000000"/>
          <w:spacing w:val="4"/>
        </w:rPr>
        <w:t>e</w:t>
      </w:r>
      <w:r>
        <w:rPr>
          <w:color w:val="000000"/>
          <w:spacing w:val="-4"/>
        </w:rPr>
        <w:t>l</w:t>
      </w:r>
      <w:r>
        <w:rPr>
          <w:color w:val="000000"/>
          <w:spacing w:val="-5"/>
        </w:rPr>
        <w:t>n</w:t>
      </w:r>
      <w:r>
        <w:rPr>
          <w:color w:val="000000"/>
        </w:rPr>
        <w:t xml:space="preserve">o  </w:t>
      </w:r>
      <w:r>
        <w:rPr>
          <w:color w:val="000000"/>
          <w:spacing w:val="7"/>
        </w:rPr>
        <w:t xml:space="preserve"> </w:t>
      </w:r>
      <w:r>
        <w:rPr>
          <w:color w:val="000000"/>
        </w:rPr>
        <w:t>b</w:t>
      </w:r>
      <w:r>
        <w:rPr>
          <w:color w:val="000000"/>
          <w:spacing w:val="4"/>
        </w:rPr>
        <w:t>e</w:t>
      </w:r>
      <w:r>
        <w:rPr>
          <w:color w:val="000000"/>
        </w:rPr>
        <w:t xml:space="preserve">i </w:t>
      </w:r>
      <w:r>
        <w:rPr>
          <w:color w:val="000000"/>
          <w:spacing w:val="58"/>
        </w:rPr>
        <w:t xml:space="preserve"> </w:t>
      </w:r>
      <w:r>
        <w:rPr>
          <w:color w:val="000000"/>
          <w:spacing w:val="-2"/>
        </w:rPr>
        <w:t>s</w:t>
      </w:r>
      <w:r>
        <w:rPr>
          <w:color w:val="000000"/>
        </w:rPr>
        <w:t>p</w:t>
      </w:r>
      <w:r>
        <w:rPr>
          <w:color w:val="000000"/>
          <w:spacing w:val="-1"/>
        </w:rPr>
        <w:t>a</w:t>
      </w:r>
      <w:r>
        <w:rPr>
          <w:color w:val="000000"/>
          <w:spacing w:val="1"/>
        </w:rPr>
        <w:t>r</w:t>
      </w:r>
      <w:r>
        <w:rPr>
          <w:color w:val="000000"/>
          <w:spacing w:val="4"/>
        </w:rPr>
        <w:t>č</w:t>
      </w:r>
      <w:r>
        <w:rPr>
          <w:color w:val="000000"/>
          <w:spacing w:val="-4"/>
        </w:rPr>
        <w:t>i</w:t>
      </w:r>
      <w:r>
        <w:rPr>
          <w:color w:val="000000"/>
          <w:spacing w:val="4"/>
        </w:rPr>
        <w:t>a</w:t>
      </w:r>
      <w:r>
        <w:rPr>
          <w:color w:val="000000"/>
        </w:rPr>
        <w:t xml:space="preserve">i </w:t>
      </w:r>
      <w:r>
        <w:rPr>
          <w:color w:val="000000"/>
          <w:spacing w:val="58"/>
        </w:rPr>
        <w:t xml:space="preserve"> </w:t>
      </w:r>
      <w:r>
        <w:rPr>
          <w:color w:val="000000"/>
          <w:spacing w:val="-1"/>
        </w:rPr>
        <w:t>a</w:t>
      </w:r>
      <w:r>
        <w:rPr>
          <w:color w:val="000000"/>
        </w:rPr>
        <w:t>ug</w:t>
      </w:r>
      <w:r>
        <w:rPr>
          <w:color w:val="000000"/>
          <w:spacing w:val="4"/>
        </w:rPr>
        <w:t>a</w:t>
      </w:r>
      <w:r>
        <w:rPr>
          <w:color w:val="000000"/>
          <w:spacing w:val="-5"/>
        </w:rPr>
        <w:t>n</w:t>
      </w:r>
      <w:r>
        <w:rPr>
          <w:color w:val="000000"/>
          <w:spacing w:val="4"/>
        </w:rPr>
        <w:t>č</w:t>
      </w:r>
      <w:r>
        <w:rPr>
          <w:color w:val="000000"/>
          <w:spacing w:val="-9"/>
        </w:rPr>
        <w:t>i</w:t>
      </w:r>
      <w:r>
        <w:rPr>
          <w:color w:val="000000"/>
          <w:spacing w:val="9"/>
        </w:rPr>
        <w:t>o</w:t>
      </w:r>
      <w:r>
        <w:rPr>
          <w:color w:val="000000"/>
        </w:rPr>
        <w:t xml:space="preserve">s  </w:t>
      </w:r>
      <w:r>
        <w:rPr>
          <w:color w:val="000000"/>
          <w:spacing w:val="5"/>
        </w:rPr>
        <w:t xml:space="preserve"> </w:t>
      </w:r>
      <w:r>
        <w:rPr>
          <w:color w:val="000000"/>
          <w:spacing w:val="-5"/>
        </w:rPr>
        <w:t>n</w:t>
      </w:r>
      <w:r>
        <w:rPr>
          <w:color w:val="000000"/>
          <w:spacing w:val="-1"/>
        </w:rPr>
        <w:t>a</w:t>
      </w:r>
      <w:r>
        <w:rPr>
          <w:color w:val="000000"/>
        </w:rPr>
        <w:t>u</w:t>
      </w:r>
      <w:r>
        <w:rPr>
          <w:color w:val="000000"/>
          <w:spacing w:val="-45"/>
        </w:rPr>
        <w:t xml:space="preserve"> </w:t>
      </w:r>
      <w:r>
        <w:rPr>
          <w:color w:val="000000"/>
          <w:spacing w:val="-4"/>
        </w:rPr>
        <w:t>j</w:t>
      </w:r>
      <w:r>
        <w:rPr>
          <w:color w:val="000000"/>
        </w:rPr>
        <w:t>ų 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5"/>
        </w:rPr>
        <w:t>t</w:t>
      </w:r>
      <w:r>
        <w:rPr>
          <w:color w:val="000000"/>
          <w:spacing w:val="-5"/>
        </w:rPr>
        <w:t>y</w:t>
      </w:r>
      <w:r>
        <w:rPr>
          <w:color w:val="000000"/>
        </w:rPr>
        <w:t>v</w:t>
      </w:r>
      <w:r>
        <w:rPr>
          <w:color w:val="000000"/>
          <w:spacing w:val="-9"/>
        </w:rPr>
        <w:t>i</w:t>
      </w:r>
      <w:r>
        <w:rPr>
          <w:color w:val="000000"/>
        </w:rPr>
        <w:t>ų</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rPr>
        <w:t>p</w:t>
      </w:r>
      <w:r>
        <w:rPr>
          <w:color w:val="000000"/>
          <w:spacing w:val="-1"/>
        </w:rPr>
        <w:t>a</w:t>
      </w:r>
      <w:r>
        <w:rPr>
          <w:color w:val="000000"/>
          <w:spacing w:val="2"/>
        </w:rPr>
        <w:t>s</w:t>
      </w:r>
      <w:r>
        <w:rPr>
          <w:color w:val="000000"/>
          <w:spacing w:val="-4"/>
        </w:rPr>
        <w:t>i</w:t>
      </w:r>
      <w:r>
        <w:rPr>
          <w:color w:val="000000"/>
          <w:spacing w:val="5"/>
        </w:rPr>
        <w:t>ū</w:t>
      </w:r>
      <w:r>
        <w:rPr>
          <w:color w:val="000000"/>
          <w:spacing w:val="-9"/>
        </w:rPr>
        <w:t>l</w:t>
      </w:r>
      <w:r>
        <w:rPr>
          <w:color w:val="000000"/>
          <w:spacing w:val="9"/>
        </w:rPr>
        <w:t>o</w:t>
      </w:r>
      <w:r>
        <w:rPr>
          <w:color w:val="000000"/>
          <w:spacing w:val="-2"/>
        </w:rPr>
        <w:t>s</w:t>
      </w:r>
      <w:r>
        <w:rPr>
          <w:color w:val="000000"/>
        </w:rPr>
        <w:t>.</w:t>
      </w:r>
    </w:p>
    <w:p w:rsidR="004F7425" w:rsidRDefault="004F7425" w:rsidP="004F7425">
      <w:pPr>
        <w:widowControl w:val="0"/>
        <w:autoSpaceDE w:val="0"/>
        <w:autoSpaceDN w:val="0"/>
        <w:adjustRightInd w:val="0"/>
        <w:spacing w:before="6" w:line="275" w:lineRule="auto"/>
        <w:ind w:left="120" w:right="49" w:firstLine="721"/>
        <w:jc w:val="both"/>
        <w:rPr>
          <w:color w:val="000000"/>
        </w:rPr>
      </w:pPr>
      <w:r>
        <w:rPr>
          <w:color w:val="000000"/>
          <w:spacing w:val="-5"/>
        </w:rPr>
        <w:t>A</w:t>
      </w:r>
      <w:r>
        <w:rPr>
          <w:color w:val="000000"/>
        </w:rPr>
        <w:t>ug</w:t>
      </w:r>
      <w:r>
        <w:rPr>
          <w:color w:val="000000"/>
          <w:spacing w:val="4"/>
        </w:rPr>
        <w:t>a</w:t>
      </w:r>
      <w:r>
        <w:rPr>
          <w:color w:val="000000"/>
          <w:spacing w:val="-5"/>
        </w:rPr>
        <w:t>n</w:t>
      </w:r>
      <w:r>
        <w:rPr>
          <w:color w:val="000000"/>
          <w:spacing w:val="10"/>
        </w:rPr>
        <w:t>t</w:t>
      </w:r>
      <w:r>
        <w:rPr>
          <w:color w:val="000000"/>
        </w:rPr>
        <w:t>i</w:t>
      </w:r>
      <w:r>
        <w:rPr>
          <w:color w:val="000000"/>
          <w:spacing w:val="1"/>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4"/>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10"/>
        </w:rPr>
        <w:t>t</w:t>
      </w:r>
      <w:r>
        <w:rPr>
          <w:color w:val="000000"/>
          <w:spacing w:val="-5"/>
        </w:rPr>
        <w:t>y</w:t>
      </w:r>
      <w:r>
        <w:rPr>
          <w:color w:val="000000"/>
        </w:rPr>
        <w:t>v</w:t>
      </w:r>
      <w:r>
        <w:rPr>
          <w:color w:val="000000"/>
          <w:spacing w:val="-9"/>
        </w:rPr>
        <w:t>i</w:t>
      </w:r>
      <w:r>
        <w:rPr>
          <w:color w:val="000000"/>
        </w:rPr>
        <w:t>ų</w:t>
      </w:r>
      <w:r>
        <w:rPr>
          <w:color w:val="000000"/>
          <w:spacing w:val="9"/>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4"/>
        </w:rPr>
        <w:t>i</w:t>
      </w:r>
      <w:r>
        <w:rPr>
          <w:color w:val="000000"/>
          <w:spacing w:val="-1"/>
        </w:rPr>
        <w:t>a</w:t>
      </w:r>
      <w:r>
        <w:rPr>
          <w:color w:val="000000"/>
        </w:rPr>
        <w:t>gų</w:t>
      </w:r>
      <w:r>
        <w:rPr>
          <w:color w:val="000000"/>
          <w:spacing w:val="4"/>
        </w:rPr>
        <w:t xml:space="preserve"> </w:t>
      </w:r>
      <w:r>
        <w:rPr>
          <w:color w:val="000000"/>
          <w:spacing w:val="-1"/>
        </w:rPr>
        <w:t>a</w:t>
      </w:r>
      <w:r>
        <w:rPr>
          <w:color w:val="000000"/>
          <w:spacing w:val="5"/>
        </w:rPr>
        <w:t>p</w:t>
      </w:r>
      <w:r>
        <w:rPr>
          <w:color w:val="000000"/>
          <w:spacing w:val="-5"/>
        </w:rPr>
        <w:t>y</w:t>
      </w:r>
      <w:r>
        <w:rPr>
          <w:color w:val="000000"/>
        </w:rPr>
        <w:t>v</w:t>
      </w:r>
      <w:r>
        <w:rPr>
          <w:color w:val="000000"/>
          <w:spacing w:val="-1"/>
        </w:rPr>
        <w:t>a</w:t>
      </w:r>
      <w:r>
        <w:rPr>
          <w:color w:val="000000"/>
          <w:spacing w:val="1"/>
        </w:rPr>
        <w:t>r</w:t>
      </w:r>
      <w:r>
        <w:rPr>
          <w:color w:val="000000"/>
          <w:spacing w:val="5"/>
        </w:rPr>
        <w:t>t</w:t>
      </w:r>
      <w:r>
        <w:rPr>
          <w:color w:val="000000"/>
        </w:rPr>
        <w:t>a</w:t>
      </w:r>
      <w:r>
        <w:rPr>
          <w:color w:val="000000"/>
          <w:spacing w:val="8"/>
        </w:rPr>
        <w:t xml:space="preserve"> </w:t>
      </w:r>
      <w:r>
        <w:rPr>
          <w:color w:val="000000"/>
        </w:rPr>
        <w:t>p</w:t>
      </w:r>
      <w:r>
        <w:rPr>
          <w:color w:val="000000"/>
          <w:spacing w:val="-1"/>
        </w:rPr>
        <w:t>a</w:t>
      </w:r>
      <w:r>
        <w:rPr>
          <w:color w:val="000000"/>
          <w:spacing w:val="-2"/>
        </w:rPr>
        <w:t>s</w:t>
      </w:r>
      <w:r>
        <w:rPr>
          <w:color w:val="000000"/>
          <w:spacing w:val="-1"/>
        </w:rPr>
        <w:t>a</w:t>
      </w:r>
      <w:r>
        <w:rPr>
          <w:color w:val="000000"/>
          <w:spacing w:val="5"/>
        </w:rPr>
        <w:t>u</w:t>
      </w:r>
      <w:r>
        <w:rPr>
          <w:color w:val="000000"/>
        </w:rPr>
        <w:t>l</w:t>
      </w:r>
      <w:r>
        <w:rPr>
          <w:color w:val="000000"/>
          <w:spacing w:val="-4"/>
        </w:rPr>
        <w:t>i</w:t>
      </w:r>
      <w:r>
        <w:rPr>
          <w:color w:val="000000"/>
        </w:rPr>
        <w:t>n</w:t>
      </w:r>
      <w:r>
        <w:rPr>
          <w:color w:val="000000"/>
          <w:spacing w:val="-4"/>
        </w:rPr>
        <w:t>i</w:t>
      </w:r>
      <w:r>
        <w:rPr>
          <w:color w:val="000000"/>
        </w:rPr>
        <w:t>u</w:t>
      </w:r>
      <w:r>
        <w:rPr>
          <w:color w:val="000000"/>
          <w:spacing w:val="9"/>
        </w:rPr>
        <w:t xml:space="preserve"> </w:t>
      </w:r>
      <w:r>
        <w:rPr>
          <w:color w:val="000000"/>
          <w:spacing w:val="-4"/>
        </w:rPr>
        <w:t>m</w:t>
      </w:r>
      <w:r>
        <w:rPr>
          <w:color w:val="000000"/>
          <w:spacing w:val="4"/>
        </w:rPr>
        <w:t>a</w:t>
      </w:r>
      <w:r>
        <w:rPr>
          <w:color w:val="000000"/>
          <w:spacing w:val="-2"/>
        </w:rPr>
        <w:t>s</w:t>
      </w:r>
      <w:r>
        <w:rPr>
          <w:color w:val="000000"/>
          <w:spacing w:val="5"/>
        </w:rPr>
        <w:t>t</w:t>
      </w:r>
      <w:r>
        <w:rPr>
          <w:color w:val="000000"/>
        </w:rPr>
        <w:t>u</w:t>
      </w:r>
      <w:r>
        <w:rPr>
          <w:color w:val="000000"/>
          <w:spacing w:val="4"/>
        </w:rPr>
        <w:t xml:space="preserve"> </w:t>
      </w:r>
      <w:r>
        <w:rPr>
          <w:color w:val="000000"/>
          <w:spacing w:val="5"/>
        </w:rPr>
        <w:t>t</w:t>
      </w:r>
      <w:r>
        <w:rPr>
          <w:color w:val="000000"/>
          <w:spacing w:val="-5"/>
        </w:rPr>
        <w:t>u</w:t>
      </w:r>
      <w:r>
        <w:rPr>
          <w:color w:val="000000"/>
          <w:spacing w:val="1"/>
        </w:rPr>
        <w:t>r</w:t>
      </w:r>
      <w:r>
        <w:rPr>
          <w:color w:val="000000"/>
        </w:rPr>
        <w:t xml:space="preserve">i </w:t>
      </w:r>
      <w:r>
        <w:rPr>
          <w:color w:val="000000"/>
          <w:spacing w:val="-9"/>
        </w:rPr>
        <w:t>į</w:t>
      </w:r>
      <w:r>
        <w:rPr>
          <w:color w:val="000000"/>
          <w:spacing w:val="5"/>
        </w:rPr>
        <w:t>t</w:t>
      </w:r>
      <w:r>
        <w:rPr>
          <w:color w:val="000000"/>
          <w:spacing w:val="-1"/>
        </w:rPr>
        <w:t>a</w:t>
      </w:r>
      <w:r>
        <w:rPr>
          <w:color w:val="000000"/>
        </w:rPr>
        <w:t>k</w:t>
      </w:r>
      <w:r>
        <w:rPr>
          <w:color w:val="000000"/>
          <w:spacing w:val="5"/>
        </w:rPr>
        <w:t>o</w:t>
      </w:r>
      <w:r>
        <w:rPr>
          <w:color w:val="000000"/>
        </w:rPr>
        <w:t>s</w:t>
      </w:r>
      <w:r>
        <w:rPr>
          <w:color w:val="000000"/>
          <w:spacing w:val="7"/>
        </w:rPr>
        <w:t xml:space="preserve"> </w:t>
      </w:r>
      <w:r>
        <w:rPr>
          <w:color w:val="000000"/>
          <w:spacing w:val="-9"/>
        </w:rPr>
        <w:t>i</w:t>
      </w:r>
      <w:r>
        <w:rPr>
          <w:color w:val="000000"/>
        </w:rPr>
        <w:t>r</w:t>
      </w:r>
      <w:r>
        <w:rPr>
          <w:color w:val="000000"/>
          <w:spacing w:val="6"/>
        </w:rPr>
        <w:t xml:space="preserve"> </w:t>
      </w:r>
      <w:r>
        <w:rPr>
          <w:color w:val="000000"/>
          <w:spacing w:val="2"/>
        </w:rPr>
        <w:t>L</w:t>
      </w:r>
      <w:r>
        <w:rPr>
          <w:color w:val="000000"/>
          <w:spacing w:val="-4"/>
        </w:rPr>
        <w:t>i</w:t>
      </w:r>
      <w:r>
        <w:rPr>
          <w:color w:val="000000"/>
          <w:spacing w:val="-1"/>
        </w:rPr>
        <w:t>e</w:t>
      </w:r>
      <w:r>
        <w:rPr>
          <w:color w:val="000000"/>
          <w:spacing w:val="5"/>
        </w:rPr>
        <w:t>t</w:t>
      </w:r>
      <w:r>
        <w:rPr>
          <w:color w:val="000000"/>
        </w:rPr>
        <w:t>u</w:t>
      </w:r>
      <w:r>
        <w:rPr>
          <w:color w:val="000000"/>
          <w:spacing w:val="-5"/>
        </w:rPr>
        <w:t>v</w:t>
      </w:r>
      <w:r>
        <w:rPr>
          <w:color w:val="000000"/>
          <w:spacing w:val="5"/>
        </w:rPr>
        <w:t>o</w:t>
      </w:r>
      <w:r>
        <w:rPr>
          <w:color w:val="000000"/>
        </w:rPr>
        <w:t xml:space="preserve">s </w:t>
      </w:r>
      <w:r>
        <w:rPr>
          <w:color w:val="000000"/>
          <w:spacing w:val="6"/>
        </w:rPr>
        <w:t>r</w:t>
      </w:r>
      <w:r>
        <w:rPr>
          <w:color w:val="000000"/>
          <w:spacing w:val="-4"/>
        </w:rPr>
        <w:t>i</w:t>
      </w:r>
      <w:r>
        <w:rPr>
          <w:color w:val="000000"/>
          <w:spacing w:val="-5"/>
        </w:rPr>
        <w:t>n</w:t>
      </w:r>
      <w:r>
        <w:rPr>
          <w:color w:val="000000"/>
        </w:rPr>
        <w:t>k</w:t>
      </w:r>
      <w:r>
        <w:rPr>
          <w:color w:val="000000"/>
          <w:spacing w:val="4"/>
        </w:rPr>
        <w:t>a</w:t>
      </w:r>
      <w:r>
        <w:rPr>
          <w:color w:val="000000"/>
          <w:spacing w:val="-9"/>
        </w:rPr>
        <w:t>i</w:t>
      </w:r>
      <w:r>
        <w:rPr>
          <w:color w:val="000000"/>
        </w:rPr>
        <w:t>,</w:t>
      </w:r>
      <w:r>
        <w:rPr>
          <w:color w:val="000000"/>
          <w:spacing w:val="6"/>
        </w:rPr>
        <w:t xml:space="preserve"> </w:t>
      </w:r>
      <w:r>
        <w:rPr>
          <w:color w:val="000000"/>
        </w:rPr>
        <w:t>k</w:t>
      </w:r>
      <w:r>
        <w:rPr>
          <w:color w:val="000000"/>
          <w:spacing w:val="5"/>
        </w:rPr>
        <w:t>o</w:t>
      </w:r>
      <w:r>
        <w:rPr>
          <w:color w:val="000000"/>
          <w:spacing w:val="-5"/>
        </w:rPr>
        <w:t>n</w:t>
      </w:r>
      <w:r>
        <w:rPr>
          <w:color w:val="000000"/>
          <w:spacing w:val="5"/>
        </w:rPr>
        <w:t>t</w:t>
      </w:r>
      <w:r>
        <w:rPr>
          <w:color w:val="000000"/>
          <w:spacing w:val="1"/>
        </w:rPr>
        <w:t>r</w:t>
      </w:r>
      <w:r>
        <w:rPr>
          <w:color w:val="000000"/>
          <w:spacing w:val="5"/>
        </w:rPr>
        <w:t>o</w:t>
      </w:r>
      <w:r>
        <w:rPr>
          <w:color w:val="000000"/>
          <w:spacing w:val="-9"/>
        </w:rPr>
        <w:t>l</w:t>
      </w:r>
      <w:r>
        <w:rPr>
          <w:color w:val="000000"/>
        </w:rPr>
        <w:t>ę</w:t>
      </w:r>
      <w:r>
        <w:rPr>
          <w:color w:val="000000"/>
          <w:spacing w:val="3"/>
        </w:rPr>
        <w:t xml:space="preserve"> </w:t>
      </w:r>
      <w:r>
        <w:rPr>
          <w:color w:val="000000"/>
          <w:spacing w:val="-1"/>
        </w:rPr>
        <w:t>a</w:t>
      </w:r>
      <w:r>
        <w:rPr>
          <w:color w:val="000000"/>
        </w:rPr>
        <w:t>p</w:t>
      </w:r>
      <w:r>
        <w:rPr>
          <w:color w:val="000000"/>
          <w:spacing w:val="-2"/>
        </w:rPr>
        <w:t>s</w:t>
      </w:r>
      <w:r>
        <w:rPr>
          <w:color w:val="000000"/>
          <w:spacing w:val="5"/>
        </w:rPr>
        <w:t>u</w:t>
      </w:r>
      <w:r>
        <w:rPr>
          <w:color w:val="000000"/>
          <w:spacing w:val="-5"/>
        </w:rPr>
        <w:t>n</w:t>
      </w:r>
      <w:r>
        <w:rPr>
          <w:color w:val="000000"/>
          <w:spacing w:val="5"/>
        </w:rPr>
        <w:t>k</w:t>
      </w:r>
      <w:r>
        <w:rPr>
          <w:color w:val="000000"/>
          <w:spacing w:val="-4"/>
        </w:rPr>
        <w:t>i</w:t>
      </w:r>
      <w:r>
        <w:rPr>
          <w:color w:val="000000"/>
        </w:rPr>
        <w:t>na</w:t>
      </w:r>
      <w:r>
        <w:rPr>
          <w:color w:val="000000"/>
          <w:spacing w:val="12"/>
        </w:rPr>
        <w:t xml:space="preserve"> </w:t>
      </w:r>
      <w:r>
        <w:rPr>
          <w:color w:val="000000"/>
          <w:spacing w:val="-4"/>
        </w:rPr>
        <w:t>l</w:t>
      </w:r>
      <w:r>
        <w:rPr>
          <w:color w:val="000000"/>
          <w:spacing w:val="4"/>
        </w:rPr>
        <w:t>a</w:t>
      </w:r>
      <w:r>
        <w:rPr>
          <w:color w:val="000000"/>
        </w:rPr>
        <w:t>b</w:t>
      </w:r>
      <w:r>
        <w:rPr>
          <w:color w:val="000000"/>
          <w:spacing w:val="4"/>
        </w:rPr>
        <w:t>a</w:t>
      </w:r>
      <w:r>
        <w:rPr>
          <w:color w:val="000000"/>
        </w:rPr>
        <w:t>i g</w:t>
      </w:r>
      <w:r>
        <w:rPr>
          <w:color w:val="000000"/>
          <w:spacing w:val="1"/>
        </w:rPr>
        <w:t>r</w:t>
      </w:r>
      <w:r>
        <w:rPr>
          <w:color w:val="000000"/>
          <w:spacing w:val="4"/>
        </w:rPr>
        <w:t>e</w:t>
      </w:r>
      <w:r>
        <w:rPr>
          <w:color w:val="000000"/>
          <w:spacing w:val="-9"/>
        </w:rPr>
        <w:t>i</w:t>
      </w:r>
      <w:r>
        <w:rPr>
          <w:color w:val="000000"/>
          <w:spacing w:val="5"/>
        </w:rPr>
        <w:t>t</w:t>
      </w:r>
      <w:r>
        <w:rPr>
          <w:color w:val="000000"/>
          <w:spacing w:val="-1"/>
        </w:rPr>
        <w:t>a</w:t>
      </w:r>
      <w:r>
        <w:rPr>
          <w:color w:val="000000"/>
        </w:rPr>
        <w:t>s</w:t>
      </w:r>
      <w:r>
        <w:rPr>
          <w:color w:val="000000"/>
          <w:spacing w:val="6"/>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9"/>
        </w:rPr>
        <w:t xml:space="preserve"> </w:t>
      </w:r>
      <w:r>
        <w:rPr>
          <w:color w:val="000000"/>
          <w:spacing w:val="-4"/>
        </w:rPr>
        <w:t>m</w:t>
      </w:r>
      <w:r>
        <w:rPr>
          <w:color w:val="000000"/>
          <w:spacing w:val="-1"/>
        </w:rPr>
        <w:t>e</w:t>
      </w:r>
      <w:r>
        <w:rPr>
          <w:color w:val="000000"/>
          <w:spacing w:val="5"/>
        </w:rPr>
        <w:t>d</w:t>
      </w:r>
      <w:r>
        <w:rPr>
          <w:color w:val="000000"/>
          <w:spacing w:val="4"/>
        </w:rPr>
        <w:t>ž</w:t>
      </w:r>
      <w:r>
        <w:rPr>
          <w:color w:val="000000"/>
          <w:spacing w:val="-9"/>
        </w:rPr>
        <w:t>i</w:t>
      </w:r>
      <w:r>
        <w:rPr>
          <w:color w:val="000000"/>
          <w:spacing w:val="-1"/>
        </w:rPr>
        <w:t>a</w:t>
      </w:r>
      <w:r>
        <w:rPr>
          <w:color w:val="000000"/>
        </w:rPr>
        <w:t>gų</w:t>
      </w:r>
      <w:r>
        <w:rPr>
          <w:color w:val="000000"/>
          <w:spacing w:val="4"/>
        </w:rPr>
        <w:t xml:space="preserve"> </w:t>
      </w:r>
      <w:r>
        <w:rPr>
          <w:color w:val="000000"/>
        </w:rPr>
        <w:t>kū</w:t>
      </w:r>
      <w:r>
        <w:rPr>
          <w:color w:val="000000"/>
          <w:spacing w:val="6"/>
        </w:rPr>
        <w:t>r</w:t>
      </w:r>
      <w:r>
        <w:rPr>
          <w:color w:val="000000"/>
        </w:rPr>
        <w:t>i</w:t>
      </w:r>
      <w:r>
        <w:rPr>
          <w:color w:val="000000"/>
          <w:spacing w:val="-4"/>
        </w:rPr>
        <w:t>m</w:t>
      </w:r>
      <w:r>
        <w:rPr>
          <w:color w:val="000000"/>
          <w:spacing w:val="-1"/>
        </w:rPr>
        <w:t>a</w:t>
      </w:r>
      <w:r>
        <w:rPr>
          <w:color w:val="000000"/>
        </w:rPr>
        <w:t>s</w:t>
      </w:r>
      <w:r>
        <w:rPr>
          <w:color w:val="000000"/>
          <w:spacing w:val="6"/>
        </w:rPr>
        <w:t xml:space="preserve"> </w:t>
      </w:r>
      <w:r>
        <w:rPr>
          <w:color w:val="000000"/>
        </w:rPr>
        <w:t>b</w:t>
      </w:r>
      <w:r>
        <w:rPr>
          <w:color w:val="000000"/>
          <w:spacing w:val="4"/>
        </w:rPr>
        <w:t>e</w:t>
      </w:r>
      <w:r>
        <w:rPr>
          <w:color w:val="000000"/>
        </w:rPr>
        <w:t>i</w:t>
      </w:r>
      <w:r>
        <w:rPr>
          <w:color w:val="000000"/>
          <w:spacing w:val="4"/>
        </w:rPr>
        <w:t xml:space="preserve"> </w:t>
      </w:r>
      <w:r>
        <w:rPr>
          <w:color w:val="000000"/>
          <w:spacing w:val="-2"/>
        </w:rPr>
        <w:t>s</w:t>
      </w:r>
      <w:r>
        <w:rPr>
          <w:color w:val="000000"/>
          <w:spacing w:val="5"/>
        </w:rPr>
        <w:t>k</w:t>
      </w:r>
      <w:r>
        <w:rPr>
          <w:color w:val="000000"/>
          <w:spacing w:val="-9"/>
        </w:rPr>
        <w:t>i</w:t>
      </w:r>
      <w:r>
        <w:rPr>
          <w:color w:val="000000"/>
          <w:spacing w:val="1"/>
        </w:rPr>
        <w:t>r</w:t>
      </w:r>
      <w:r>
        <w:rPr>
          <w:color w:val="000000"/>
          <w:spacing w:val="10"/>
        </w:rPr>
        <w:t>t</w:t>
      </w:r>
      <w:r>
        <w:rPr>
          <w:color w:val="000000"/>
          <w:spacing w:val="-4"/>
        </w:rPr>
        <w:t>i</w:t>
      </w:r>
      <w:r>
        <w:rPr>
          <w:color w:val="000000"/>
          <w:spacing w:val="-5"/>
        </w:rPr>
        <w:t>n</w:t>
      </w:r>
      <w:r>
        <w:rPr>
          <w:color w:val="000000"/>
        </w:rPr>
        <w:t>g</w:t>
      </w:r>
      <w:r>
        <w:rPr>
          <w:color w:val="000000"/>
          <w:spacing w:val="4"/>
        </w:rPr>
        <w:t>a</w:t>
      </w:r>
      <w:r>
        <w:rPr>
          <w:color w:val="000000"/>
        </w:rPr>
        <w:t>s</w:t>
      </w:r>
      <w:r>
        <w:rPr>
          <w:color w:val="000000"/>
          <w:spacing w:val="6"/>
        </w:rPr>
        <w:t xml:space="preserve"> </w:t>
      </w:r>
      <w:r>
        <w:rPr>
          <w:color w:val="000000"/>
          <w:spacing w:val="-5"/>
        </w:rPr>
        <w:t>n</w:t>
      </w:r>
      <w:r>
        <w:rPr>
          <w:color w:val="000000"/>
          <w:spacing w:val="-1"/>
        </w:rPr>
        <w:t>a</w:t>
      </w:r>
      <w:r>
        <w:rPr>
          <w:color w:val="000000"/>
          <w:spacing w:val="5"/>
        </w:rPr>
        <w:t>u</w:t>
      </w:r>
      <w:r>
        <w:rPr>
          <w:color w:val="000000"/>
          <w:spacing w:val="-4"/>
        </w:rPr>
        <w:t>j</w:t>
      </w:r>
      <w:r>
        <w:rPr>
          <w:color w:val="000000"/>
        </w:rPr>
        <w:t>ų</w:t>
      </w:r>
      <w:r>
        <w:rPr>
          <w:color w:val="000000"/>
          <w:spacing w:val="4"/>
        </w:rPr>
        <w:t xml:space="preserve"> </w:t>
      </w:r>
      <w:r>
        <w:rPr>
          <w:color w:val="000000"/>
        </w:rPr>
        <w:t>p</w:t>
      </w:r>
      <w:r>
        <w:rPr>
          <w:color w:val="000000"/>
          <w:spacing w:val="2"/>
        </w:rPr>
        <w:t>s</w:t>
      </w:r>
      <w:r>
        <w:rPr>
          <w:color w:val="000000"/>
          <w:spacing w:val="-4"/>
        </w:rPr>
        <w:t>i</w:t>
      </w:r>
      <w:r>
        <w:rPr>
          <w:color w:val="000000"/>
          <w:spacing w:val="4"/>
        </w:rPr>
        <w:t>c</w:t>
      </w:r>
      <w:r>
        <w:rPr>
          <w:color w:val="000000"/>
          <w:spacing w:val="-5"/>
        </w:rPr>
        <w:t>h</w:t>
      </w:r>
      <w:r>
        <w:rPr>
          <w:color w:val="000000"/>
          <w:spacing w:val="5"/>
        </w:rPr>
        <w:t>o</w:t>
      </w:r>
      <w:r>
        <w:rPr>
          <w:color w:val="000000"/>
          <w:spacing w:val="-1"/>
        </w:rPr>
        <w:t>a</w:t>
      </w:r>
      <w:r>
        <w:rPr>
          <w:color w:val="000000"/>
        </w:rPr>
        <w:t>k</w:t>
      </w:r>
      <w:r>
        <w:rPr>
          <w:color w:val="000000"/>
          <w:spacing w:val="10"/>
        </w:rPr>
        <w:t>t</w:t>
      </w:r>
      <w:r>
        <w:rPr>
          <w:color w:val="000000"/>
          <w:spacing w:val="-5"/>
        </w:rPr>
        <w:t>y</w:t>
      </w:r>
      <w:r>
        <w:rPr>
          <w:color w:val="000000"/>
        </w:rPr>
        <w:t>v</w:t>
      </w:r>
      <w:r>
        <w:rPr>
          <w:color w:val="000000"/>
          <w:spacing w:val="-4"/>
        </w:rPr>
        <w:t>i</w:t>
      </w:r>
      <w:r>
        <w:rPr>
          <w:color w:val="000000"/>
        </w:rPr>
        <w:t xml:space="preserve">ų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spacing w:val="5"/>
        </w:rPr>
        <w:t>t</w:t>
      </w:r>
      <w:r>
        <w:rPr>
          <w:color w:val="000000"/>
          <w:spacing w:val="4"/>
        </w:rPr>
        <w:t>e</w:t>
      </w:r>
      <w:r>
        <w:rPr>
          <w:color w:val="000000"/>
          <w:spacing w:val="-9"/>
        </w:rPr>
        <w:t>i</w:t>
      </w:r>
      <w:r>
        <w:rPr>
          <w:color w:val="000000"/>
          <w:spacing w:val="2"/>
        </w:rPr>
        <w:t>s</w:t>
      </w:r>
      <w:r>
        <w:rPr>
          <w:color w:val="000000"/>
          <w:spacing w:val="-4"/>
        </w:rPr>
        <w:t>i</w:t>
      </w:r>
      <w:r>
        <w:rPr>
          <w:color w:val="000000"/>
          <w:spacing w:val="5"/>
        </w:rPr>
        <w:t>n</w:t>
      </w:r>
      <w:r>
        <w:rPr>
          <w:color w:val="000000"/>
          <w:spacing w:val="-4"/>
        </w:rPr>
        <w:t>i</w:t>
      </w:r>
      <w:r>
        <w:rPr>
          <w:color w:val="000000"/>
        </w:rPr>
        <w:t xml:space="preserve">s </w:t>
      </w:r>
      <w:r>
        <w:rPr>
          <w:color w:val="000000"/>
          <w:spacing w:val="1"/>
        </w:rPr>
        <w:t>r</w:t>
      </w:r>
      <w:r>
        <w:rPr>
          <w:color w:val="000000"/>
          <w:spacing w:val="-1"/>
        </w:rPr>
        <w:t>e</w:t>
      </w:r>
      <w:r>
        <w:rPr>
          <w:color w:val="000000"/>
        </w:rPr>
        <w:t>g</w:t>
      </w:r>
      <w:r>
        <w:rPr>
          <w:color w:val="000000"/>
          <w:spacing w:val="5"/>
        </w:rPr>
        <w:t>u</w:t>
      </w:r>
      <w:r>
        <w:rPr>
          <w:color w:val="000000"/>
        </w:rPr>
        <w:t>l</w:t>
      </w:r>
      <w:r>
        <w:rPr>
          <w:color w:val="000000"/>
          <w:spacing w:val="-4"/>
        </w:rPr>
        <w:t>i</w:t>
      </w:r>
      <w:r>
        <w:rPr>
          <w:color w:val="000000"/>
          <w:spacing w:val="4"/>
        </w:rPr>
        <w:t>a</w:t>
      </w:r>
      <w:r>
        <w:rPr>
          <w:color w:val="000000"/>
        </w:rPr>
        <w:t>vi</w:t>
      </w:r>
      <w:r>
        <w:rPr>
          <w:color w:val="000000"/>
          <w:spacing w:val="-4"/>
        </w:rPr>
        <w:t>m</w:t>
      </w:r>
      <w:r>
        <w:rPr>
          <w:color w:val="000000"/>
          <w:spacing w:val="-1"/>
        </w:rPr>
        <w:t>a</w:t>
      </w:r>
      <w:r>
        <w:rPr>
          <w:color w:val="000000"/>
        </w:rPr>
        <w:t>s</w:t>
      </w:r>
      <w:r>
        <w:rPr>
          <w:color w:val="000000"/>
          <w:spacing w:val="5"/>
        </w:rPr>
        <w:t xml:space="preserve"> </w:t>
      </w:r>
      <w:r>
        <w:rPr>
          <w:color w:val="000000"/>
          <w:spacing w:val="-5"/>
        </w:rPr>
        <w:t>n</w:t>
      </w:r>
      <w:r>
        <w:rPr>
          <w:color w:val="000000"/>
        </w:rPr>
        <w:t>e</w:t>
      </w:r>
      <w:r>
        <w:rPr>
          <w:color w:val="000000"/>
          <w:spacing w:val="6"/>
        </w:rPr>
        <w:t xml:space="preserve"> </w:t>
      </w:r>
      <w:r>
        <w:rPr>
          <w:color w:val="000000"/>
          <w:spacing w:val="5"/>
        </w:rPr>
        <w:t>t</w:t>
      </w:r>
      <w:r>
        <w:rPr>
          <w:color w:val="000000"/>
          <w:spacing w:val="-9"/>
        </w:rPr>
        <w:t>i</w:t>
      </w:r>
      <w:r>
        <w:rPr>
          <w:color w:val="000000"/>
        </w:rPr>
        <w:t>k</w:t>
      </w:r>
      <w:r>
        <w:rPr>
          <w:color w:val="000000"/>
          <w:spacing w:val="2"/>
        </w:rPr>
        <w:t xml:space="preserve"> </w:t>
      </w:r>
      <w:r>
        <w:rPr>
          <w:color w:val="000000"/>
        </w:rPr>
        <w:t>p</w:t>
      </w:r>
      <w:r>
        <w:rPr>
          <w:color w:val="000000"/>
          <w:spacing w:val="-1"/>
        </w:rPr>
        <w:t>a</w:t>
      </w:r>
      <w:r>
        <w:rPr>
          <w:color w:val="000000"/>
          <w:spacing w:val="-2"/>
        </w:rPr>
        <w:t>s</w:t>
      </w:r>
      <w:r>
        <w:rPr>
          <w:color w:val="000000"/>
        </w:rPr>
        <w:t>a</w:t>
      </w:r>
      <w:r>
        <w:rPr>
          <w:color w:val="000000"/>
          <w:spacing w:val="5"/>
        </w:rPr>
        <w:t>u</w:t>
      </w:r>
      <w:r>
        <w:rPr>
          <w:color w:val="000000"/>
        </w:rPr>
        <w:t>ly</w:t>
      </w:r>
      <w:r>
        <w:rPr>
          <w:color w:val="000000"/>
          <w:spacing w:val="-4"/>
        </w:rPr>
        <w:t>j</w:t>
      </w:r>
      <w:r>
        <w:rPr>
          <w:color w:val="000000"/>
          <w:spacing w:val="-1"/>
        </w:rPr>
        <w:t>e</w:t>
      </w:r>
      <w:r>
        <w:rPr>
          <w:color w:val="000000"/>
        </w:rPr>
        <w:t>,</w:t>
      </w:r>
      <w:r>
        <w:rPr>
          <w:color w:val="000000"/>
          <w:spacing w:val="4"/>
        </w:rPr>
        <w:t xml:space="preserve"> </w:t>
      </w:r>
      <w:r>
        <w:rPr>
          <w:color w:val="000000"/>
        </w:rPr>
        <w:t>b</w:t>
      </w:r>
      <w:r>
        <w:rPr>
          <w:color w:val="000000"/>
          <w:spacing w:val="4"/>
        </w:rPr>
        <w:t>e</w:t>
      </w:r>
      <w:r>
        <w:rPr>
          <w:color w:val="000000"/>
        </w:rPr>
        <w:t>t</w:t>
      </w:r>
      <w:r>
        <w:rPr>
          <w:color w:val="000000"/>
          <w:spacing w:val="3"/>
        </w:rPr>
        <w:t xml:space="preserve"> </w:t>
      </w:r>
      <w:r>
        <w:rPr>
          <w:color w:val="000000"/>
          <w:spacing w:val="-9"/>
        </w:rPr>
        <w:t>i</w:t>
      </w:r>
      <w:r>
        <w:rPr>
          <w:color w:val="000000"/>
        </w:rPr>
        <w:t>r</w:t>
      </w:r>
      <w:r>
        <w:rPr>
          <w:color w:val="000000"/>
          <w:spacing w:val="4"/>
        </w:rPr>
        <w:t xml:space="preserve"> </w:t>
      </w:r>
      <w:r>
        <w:rPr>
          <w:color w:val="000000"/>
          <w:spacing w:val="2"/>
        </w:rPr>
        <w:t>E</w:t>
      </w:r>
      <w:r>
        <w:rPr>
          <w:color w:val="000000"/>
        </w:rPr>
        <w:t>u</w:t>
      </w:r>
      <w:r>
        <w:rPr>
          <w:color w:val="000000"/>
          <w:spacing w:val="1"/>
        </w:rPr>
        <w:t>r</w:t>
      </w:r>
      <w:r>
        <w:rPr>
          <w:color w:val="000000"/>
          <w:spacing w:val="5"/>
        </w:rPr>
        <w:t>o</w:t>
      </w:r>
      <w:r>
        <w:rPr>
          <w:color w:val="000000"/>
          <w:spacing w:val="-5"/>
        </w:rPr>
        <w:t>p</w:t>
      </w:r>
      <w:r>
        <w:rPr>
          <w:color w:val="000000"/>
          <w:spacing w:val="5"/>
        </w:rPr>
        <w:t>o</w:t>
      </w:r>
      <w:r>
        <w:rPr>
          <w:color w:val="000000"/>
        </w:rPr>
        <w:t>s</w:t>
      </w:r>
      <w:r>
        <w:rPr>
          <w:color w:val="000000"/>
          <w:spacing w:val="-5"/>
        </w:rPr>
        <w:t xml:space="preserve"> </w:t>
      </w:r>
      <w:r>
        <w:rPr>
          <w:color w:val="000000"/>
          <w:spacing w:val="1"/>
        </w:rPr>
        <w:t>S</w:t>
      </w:r>
      <w:r>
        <w:rPr>
          <w:color w:val="000000"/>
          <w:spacing w:val="-1"/>
        </w:rPr>
        <w:t>ą</w:t>
      </w:r>
      <w:r>
        <w:rPr>
          <w:color w:val="000000"/>
          <w:spacing w:val="-9"/>
        </w:rPr>
        <w:t>j</w:t>
      </w:r>
      <w:r>
        <w:rPr>
          <w:color w:val="000000"/>
          <w:spacing w:val="5"/>
        </w:rPr>
        <w:t>u</w:t>
      </w:r>
      <w:r>
        <w:rPr>
          <w:color w:val="000000"/>
          <w:spacing w:val="-5"/>
        </w:rPr>
        <w:t>n</w:t>
      </w:r>
      <w:r>
        <w:rPr>
          <w:color w:val="000000"/>
        </w:rPr>
        <w:t>g</w:t>
      </w:r>
      <w:r>
        <w:rPr>
          <w:color w:val="000000"/>
          <w:spacing w:val="9"/>
        </w:rPr>
        <w:t>o</w:t>
      </w:r>
      <w:r>
        <w:rPr>
          <w:color w:val="000000"/>
          <w:spacing w:val="-9"/>
        </w:rPr>
        <w:t>j</w:t>
      </w:r>
      <w:r>
        <w:rPr>
          <w:color w:val="000000"/>
          <w:spacing w:val="-1"/>
        </w:rPr>
        <w:t>e</w:t>
      </w:r>
      <w:r>
        <w:rPr>
          <w:color w:val="000000"/>
        </w:rPr>
        <w:t>.</w:t>
      </w:r>
    </w:p>
    <w:p w:rsidR="004F7425" w:rsidRDefault="004F7425" w:rsidP="004F7425">
      <w:pPr>
        <w:widowControl w:val="0"/>
        <w:autoSpaceDE w:val="0"/>
        <w:autoSpaceDN w:val="0"/>
        <w:adjustRightInd w:val="0"/>
        <w:spacing w:before="1"/>
        <w:ind w:left="840" w:right="-20"/>
        <w:rPr>
          <w:color w:val="000000"/>
        </w:rPr>
      </w:pPr>
      <w:r>
        <w:rPr>
          <w:color w:val="000000"/>
        </w:rPr>
        <w:t>N</w:t>
      </w:r>
      <w:r>
        <w:rPr>
          <w:color w:val="000000"/>
          <w:spacing w:val="-1"/>
        </w:rPr>
        <w:t>e</w:t>
      </w:r>
      <w:r>
        <w:rPr>
          <w:color w:val="000000"/>
        </w:rPr>
        <w:t>k</w:t>
      </w:r>
      <w:r>
        <w:rPr>
          <w:color w:val="000000"/>
          <w:spacing w:val="5"/>
        </w:rPr>
        <w:t>o</w:t>
      </w:r>
      <w:r>
        <w:rPr>
          <w:color w:val="000000"/>
          <w:spacing w:val="-5"/>
        </w:rPr>
        <w:t>n</w:t>
      </w:r>
      <w:r>
        <w:rPr>
          <w:color w:val="000000"/>
          <w:spacing w:val="5"/>
        </w:rPr>
        <w:t>t</w:t>
      </w:r>
      <w:r>
        <w:rPr>
          <w:color w:val="000000"/>
          <w:spacing w:val="-3"/>
        </w:rPr>
        <w:t>r</w:t>
      </w:r>
      <w:r>
        <w:rPr>
          <w:color w:val="000000"/>
          <w:spacing w:val="5"/>
        </w:rPr>
        <w:t>o</w:t>
      </w:r>
      <w:r>
        <w:rPr>
          <w:color w:val="000000"/>
          <w:spacing w:val="-4"/>
        </w:rPr>
        <w:t>li</w:t>
      </w:r>
      <w:r>
        <w:rPr>
          <w:color w:val="000000"/>
        </w:rPr>
        <w:t>u</w:t>
      </w:r>
      <w:r>
        <w:rPr>
          <w:color w:val="000000"/>
          <w:spacing w:val="5"/>
        </w:rPr>
        <w:t>o</w:t>
      </w:r>
      <w:r>
        <w:rPr>
          <w:color w:val="000000"/>
          <w:spacing w:val="-4"/>
        </w:rPr>
        <w:t>j</w:t>
      </w:r>
      <w:r>
        <w:rPr>
          <w:color w:val="000000"/>
          <w:spacing w:val="4"/>
        </w:rPr>
        <w:t>a</w:t>
      </w:r>
      <w:r>
        <w:rPr>
          <w:color w:val="000000"/>
          <w:spacing w:val="-4"/>
        </w:rPr>
        <w:t>m</w:t>
      </w:r>
      <w:r>
        <w:rPr>
          <w:color w:val="000000"/>
        </w:rPr>
        <w:t>ų</w:t>
      </w:r>
      <w:r>
        <w:rPr>
          <w:color w:val="000000"/>
          <w:spacing w:val="31"/>
        </w:rPr>
        <w:t xml:space="preserve"> </w:t>
      </w:r>
      <w:r>
        <w:rPr>
          <w:color w:val="000000"/>
          <w:spacing w:val="4"/>
        </w:rPr>
        <w:t>c</w:t>
      </w:r>
      <w:r>
        <w:rPr>
          <w:color w:val="000000"/>
          <w:spacing w:val="-5"/>
        </w:rPr>
        <w:t>h</w:t>
      </w:r>
      <w:r>
        <w:rPr>
          <w:color w:val="000000"/>
          <w:spacing w:val="4"/>
        </w:rPr>
        <w:t>e</w:t>
      </w:r>
      <w:r>
        <w:rPr>
          <w:color w:val="000000"/>
        </w:rPr>
        <w:t>m</w:t>
      </w:r>
      <w:r>
        <w:rPr>
          <w:color w:val="000000"/>
          <w:spacing w:val="-4"/>
        </w:rPr>
        <w:t>i</w:t>
      </w:r>
      <w:r>
        <w:rPr>
          <w:color w:val="000000"/>
          <w:spacing w:val="5"/>
        </w:rPr>
        <w:t>n</w:t>
      </w:r>
      <w:r>
        <w:rPr>
          <w:color w:val="000000"/>
          <w:spacing w:val="-4"/>
        </w:rPr>
        <w:t>i</w:t>
      </w:r>
      <w:r>
        <w:rPr>
          <w:color w:val="000000"/>
        </w:rPr>
        <w:t>ų</w:t>
      </w:r>
      <w:r>
        <w:rPr>
          <w:color w:val="000000"/>
          <w:spacing w:val="36"/>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38"/>
        </w:rPr>
        <w:t xml:space="preserve"> </w:t>
      </w:r>
      <w:r>
        <w:rPr>
          <w:color w:val="000000"/>
          <w:spacing w:val="-5"/>
        </w:rPr>
        <w:t>n</w:t>
      </w:r>
      <w:r>
        <w:rPr>
          <w:color w:val="000000"/>
          <w:spacing w:val="-1"/>
        </w:rPr>
        <w:t>a</w:t>
      </w:r>
      <w:r>
        <w:rPr>
          <w:color w:val="000000"/>
        </w:rPr>
        <w:t>ud</w:t>
      </w:r>
      <w:r>
        <w:rPr>
          <w:color w:val="000000"/>
          <w:spacing w:val="9"/>
        </w:rPr>
        <w:t>o</w:t>
      </w:r>
      <w:r>
        <w:rPr>
          <w:color w:val="000000"/>
          <w:spacing w:val="-9"/>
        </w:rPr>
        <w:t>j</w:t>
      </w:r>
      <w:r>
        <w:rPr>
          <w:color w:val="000000"/>
          <w:spacing w:val="4"/>
        </w:rPr>
        <w:t>a</w:t>
      </w:r>
      <w:r>
        <w:rPr>
          <w:color w:val="000000"/>
        </w:rPr>
        <w:t>mų</w:t>
      </w:r>
      <w:r>
        <w:rPr>
          <w:color w:val="000000"/>
          <w:spacing w:val="31"/>
        </w:rPr>
        <w:t xml:space="preserve"> </w:t>
      </w:r>
      <w:r>
        <w:rPr>
          <w:color w:val="000000"/>
          <w:spacing w:val="-5"/>
        </w:rPr>
        <w:t>n</w:t>
      </w:r>
      <w:r>
        <w:rPr>
          <w:color w:val="000000"/>
          <w:spacing w:val="-1"/>
        </w:rPr>
        <w:t>a</w:t>
      </w:r>
      <w:r>
        <w:rPr>
          <w:color w:val="000000"/>
          <w:spacing w:val="1"/>
        </w:rPr>
        <w:t>r</w:t>
      </w:r>
      <w:r>
        <w:rPr>
          <w:color w:val="000000"/>
        </w:rPr>
        <w:t>k</w:t>
      </w:r>
      <w:r>
        <w:rPr>
          <w:color w:val="000000"/>
          <w:spacing w:val="5"/>
        </w:rPr>
        <w:t>ot</w:t>
      </w:r>
      <w:r>
        <w:rPr>
          <w:color w:val="000000"/>
          <w:spacing w:val="-9"/>
        </w:rPr>
        <w:t>i</w:t>
      </w:r>
      <w:r>
        <w:rPr>
          <w:color w:val="000000"/>
        </w:rPr>
        <w:t>kų</w:t>
      </w:r>
      <w:r>
        <w:rPr>
          <w:color w:val="000000"/>
          <w:spacing w:val="31"/>
        </w:rPr>
        <w:t xml:space="preserve"> </w:t>
      </w:r>
      <w:r>
        <w:rPr>
          <w:color w:val="000000"/>
        </w:rPr>
        <w:t>g</w:t>
      </w:r>
      <w:r>
        <w:rPr>
          <w:color w:val="000000"/>
          <w:spacing w:val="4"/>
        </w:rPr>
        <w:t>a</w:t>
      </w:r>
      <w:r>
        <w:rPr>
          <w:color w:val="000000"/>
        </w:rPr>
        <w:t>m</w:t>
      </w:r>
      <w:r>
        <w:rPr>
          <w:color w:val="000000"/>
          <w:spacing w:val="-4"/>
        </w:rPr>
        <w:t>y</w:t>
      </w:r>
      <w:r>
        <w:rPr>
          <w:color w:val="000000"/>
          <w:spacing w:val="-5"/>
        </w:rPr>
        <w:t>b</w:t>
      </w:r>
      <w:r>
        <w:rPr>
          <w:color w:val="000000"/>
          <w:spacing w:val="9"/>
        </w:rPr>
        <w:t>o</w:t>
      </w:r>
      <w:r>
        <w:rPr>
          <w:color w:val="000000"/>
          <w:spacing w:val="-4"/>
        </w:rPr>
        <w:t>j</w:t>
      </w:r>
      <w:r>
        <w:rPr>
          <w:color w:val="000000"/>
          <w:spacing w:val="-1"/>
        </w:rPr>
        <w:t>e</w:t>
      </w:r>
      <w:r>
        <w:rPr>
          <w:color w:val="000000"/>
        </w:rPr>
        <w:t>,</w:t>
      </w:r>
      <w:r>
        <w:rPr>
          <w:color w:val="000000"/>
          <w:spacing w:val="42"/>
        </w:rPr>
        <w:t xml:space="preserve"> </w:t>
      </w:r>
      <w:r>
        <w:rPr>
          <w:color w:val="000000"/>
        </w:rPr>
        <w:t>b</w:t>
      </w:r>
      <w:r>
        <w:rPr>
          <w:color w:val="000000"/>
          <w:spacing w:val="-1"/>
        </w:rPr>
        <w:t>e</w:t>
      </w:r>
      <w:r>
        <w:rPr>
          <w:color w:val="000000"/>
          <w:spacing w:val="2"/>
        </w:rPr>
        <w:t>s</w:t>
      </w:r>
      <w:r>
        <w:rPr>
          <w:color w:val="000000"/>
          <w:spacing w:val="-4"/>
        </w:rPr>
        <w:t>i</w:t>
      </w:r>
      <w:r>
        <w:rPr>
          <w:color w:val="000000"/>
          <w:spacing w:val="5"/>
        </w:rPr>
        <w:t>v</w:t>
      </w:r>
      <w:r>
        <w:rPr>
          <w:color w:val="000000"/>
          <w:spacing w:val="-5"/>
        </w:rPr>
        <w:t>y</w:t>
      </w:r>
      <w:r>
        <w:rPr>
          <w:color w:val="000000"/>
          <w:spacing w:val="-2"/>
        </w:rPr>
        <w:t>s</w:t>
      </w:r>
      <w:r>
        <w:rPr>
          <w:color w:val="000000"/>
          <w:spacing w:val="5"/>
        </w:rPr>
        <w:t>t</w:t>
      </w:r>
      <w:r>
        <w:rPr>
          <w:color w:val="000000"/>
          <w:spacing w:val="-1"/>
        </w:rPr>
        <w:t>a</w:t>
      </w:r>
      <w:r>
        <w:rPr>
          <w:color w:val="000000"/>
          <w:spacing w:val="-5"/>
        </w:rPr>
        <w:t>n</w:t>
      </w:r>
      <w:r>
        <w:rPr>
          <w:color w:val="000000"/>
          <w:spacing w:val="10"/>
        </w:rPr>
        <w:t>t</w:t>
      </w:r>
      <w:r>
        <w:rPr>
          <w:color w:val="000000"/>
        </w:rPr>
        <w:t>i</w:t>
      </w:r>
      <w:r>
        <w:rPr>
          <w:color w:val="000000"/>
          <w:spacing w:val="24"/>
        </w:rPr>
        <w:t xml:space="preserve"> </w:t>
      </w:r>
      <w:r>
        <w:rPr>
          <w:color w:val="000000"/>
          <w:spacing w:val="6"/>
        </w:rPr>
        <w:t>r</w:t>
      </w:r>
      <w:r>
        <w:rPr>
          <w:color w:val="000000"/>
          <w:spacing w:val="-4"/>
        </w:rPr>
        <w:t>i</w:t>
      </w:r>
      <w:r>
        <w:rPr>
          <w:color w:val="000000"/>
        </w:rPr>
        <w:t>nka</w:t>
      </w:r>
    </w:p>
    <w:p w:rsidR="004F7425" w:rsidRDefault="004F7425" w:rsidP="004F7425">
      <w:pPr>
        <w:widowControl w:val="0"/>
        <w:autoSpaceDE w:val="0"/>
        <w:autoSpaceDN w:val="0"/>
        <w:adjustRightInd w:val="0"/>
        <w:spacing w:before="41"/>
        <w:ind w:left="120" w:right="-20"/>
        <w:rPr>
          <w:color w:val="000000"/>
        </w:rPr>
      </w:pPr>
      <w:r>
        <w:rPr>
          <w:color w:val="000000"/>
          <w:spacing w:val="1"/>
        </w:rPr>
        <w:t>r</w:t>
      </w:r>
      <w:r>
        <w:rPr>
          <w:color w:val="000000"/>
          <w:spacing w:val="4"/>
        </w:rPr>
        <w:t>e</w:t>
      </w:r>
      <w:r>
        <w:rPr>
          <w:color w:val="000000"/>
          <w:spacing w:val="-9"/>
        </w:rPr>
        <w:t>i</w:t>
      </w:r>
      <w:r>
        <w:rPr>
          <w:color w:val="000000"/>
        </w:rPr>
        <w:t>k</w:t>
      </w:r>
      <w:r>
        <w:rPr>
          <w:color w:val="000000"/>
          <w:spacing w:val="4"/>
        </w:rPr>
        <w:t>a</w:t>
      </w:r>
      <w:r>
        <w:rPr>
          <w:color w:val="000000"/>
          <w:spacing w:val="-4"/>
        </w:rPr>
        <w:t>l</w:t>
      </w:r>
      <w:r>
        <w:rPr>
          <w:color w:val="000000"/>
          <w:spacing w:val="-1"/>
        </w:rPr>
        <w:t>a</w:t>
      </w:r>
      <w:r>
        <w:rPr>
          <w:color w:val="000000"/>
          <w:spacing w:val="5"/>
        </w:rPr>
        <w:t>u</w:t>
      </w:r>
      <w:r>
        <w:rPr>
          <w:color w:val="000000"/>
          <w:spacing w:val="-4"/>
        </w:rPr>
        <w:t>j</w:t>
      </w:r>
      <w:r>
        <w:rPr>
          <w:color w:val="000000"/>
        </w:rPr>
        <w:t>a</w:t>
      </w:r>
      <w:r>
        <w:rPr>
          <w:color w:val="000000"/>
          <w:spacing w:val="1"/>
        </w:rPr>
        <w:t xml:space="preserve"> </w:t>
      </w:r>
      <w:r>
        <w:rPr>
          <w:color w:val="000000"/>
        </w:rPr>
        <w:t>d</w:t>
      </w:r>
      <w:r>
        <w:rPr>
          <w:color w:val="000000"/>
          <w:spacing w:val="-1"/>
        </w:rPr>
        <w:t>a</w:t>
      </w:r>
      <w:r>
        <w:rPr>
          <w:color w:val="000000"/>
        </w:rPr>
        <w:t>u</w:t>
      </w:r>
      <w:r>
        <w:rPr>
          <w:color w:val="000000"/>
          <w:spacing w:val="5"/>
        </w:rPr>
        <w:t>g</w:t>
      </w:r>
      <w:r>
        <w:rPr>
          <w:color w:val="000000"/>
          <w:spacing w:val="-4"/>
        </w:rPr>
        <w:t>i</w:t>
      </w:r>
      <w:r>
        <w:rPr>
          <w:color w:val="000000"/>
          <w:spacing w:val="-1"/>
        </w:rPr>
        <w:t>a</w:t>
      </w:r>
      <w:r>
        <w:rPr>
          <w:color w:val="000000"/>
        </w:rPr>
        <w:t>u</w:t>
      </w:r>
      <w:r>
        <w:rPr>
          <w:color w:val="000000"/>
          <w:spacing w:val="2"/>
        </w:rPr>
        <w:t xml:space="preserve"> </w:t>
      </w:r>
      <w:r>
        <w:rPr>
          <w:color w:val="000000"/>
        </w:rPr>
        <w:t>d</w:t>
      </w:r>
      <w:r>
        <w:rPr>
          <w:color w:val="000000"/>
          <w:spacing w:val="4"/>
        </w:rPr>
        <w:t>ė</w:t>
      </w:r>
      <w:r>
        <w:rPr>
          <w:color w:val="000000"/>
          <w:spacing w:val="-4"/>
        </w:rPr>
        <w:t>m</w:t>
      </w:r>
      <w:r>
        <w:rPr>
          <w:color w:val="000000"/>
          <w:spacing w:val="-1"/>
        </w:rPr>
        <w:t>e</w:t>
      </w:r>
      <w:r>
        <w:rPr>
          <w:color w:val="000000"/>
          <w:spacing w:val="2"/>
        </w:rPr>
        <w:t>s</w:t>
      </w:r>
      <w:r>
        <w:rPr>
          <w:color w:val="000000"/>
          <w:spacing w:val="-9"/>
        </w:rPr>
        <w:t>i</w:t>
      </w:r>
      <w:r>
        <w:rPr>
          <w:color w:val="000000"/>
        </w:rPr>
        <w:t>o</w:t>
      </w:r>
      <w:r>
        <w:rPr>
          <w:color w:val="000000"/>
          <w:spacing w:val="7"/>
        </w:rPr>
        <w:t xml:space="preserve"> </w:t>
      </w:r>
      <w:r>
        <w:rPr>
          <w:color w:val="000000"/>
          <w:spacing w:val="-2"/>
        </w:rPr>
        <w:t>s</w:t>
      </w:r>
      <w:r>
        <w:rPr>
          <w:color w:val="000000"/>
          <w:spacing w:val="5"/>
        </w:rPr>
        <w:t>k</w:t>
      </w:r>
      <w:r>
        <w:rPr>
          <w:color w:val="000000"/>
          <w:spacing w:val="-9"/>
        </w:rPr>
        <w:t>i</w:t>
      </w:r>
      <w:r>
        <w:rPr>
          <w:color w:val="000000"/>
          <w:spacing w:val="1"/>
        </w:rPr>
        <w:t>r</w:t>
      </w:r>
      <w:r>
        <w:rPr>
          <w:color w:val="000000"/>
          <w:spacing w:val="10"/>
        </w:rPr>
        <w:t>t</w:t>
      </w:r>
      <w:r>
        <w:rPr>
          <w:color w:val="000000"/>
        </w:rPr>
        <w:t>i</w:t>
      </w:r>
      <w:r>
        <w:rPr>
          <w:color w:val="000000"/>
          <w:spacing w:val="-7"/>
        </w:rPr>
        <w:t xml:space="preserve"> </w:t>
      </w:r>
      <w:r>
        <w:rPr>
          <w:color w:val="000000"/>
          <w:spacing w:val="2"/>
        </w:rPr>
        <w:t>š</w:t>
      </w:r>
      <w:r>
        <w:rPr>
          <w:color w:val="000000"/>
          <w:spacing w:val="-4"/>
        </w:rPr>
        <w:t>i</w:t>
      </w:r>
      <w:r>
        <w:rPr>
          <w:color w:val="000000"/>
        </w:rPr>
        <w:t>ų</w:t>
      </w:r>
      <w:r>
        <w:rPr>
          <w:color w:val="000000"/>
          <w:spacing w:val="7"/>
        </w:rPr>
        <w:t xml:space="preserve"> </w:t>
      </w:r>
      <w:r>
        <w:rPr>
          <w:color w:val="000000"/>
          <w:spacing w:val="-4"/>
        </w:rPr>
        <w:t>m</w:t>
      </w:r>
      <w:r>
        <w:rPr>
          <w:color w:val="000000"/>
          <w:spacing w:val="-1"/>
        </w:rPr>
        <w:t>e</w:t>
      </w:r>
      <w:r>
        <w:rPr>
          <w:color w:val="000000"/>
        </w:rPr>
        <w:t>d</w:t>
      </w:r>
      <w:r>
        <w:rPr>
          <w:color w:val="000000"/>
          <w:spacing w:val="4"/>
        </w:rPr>
        <w:t>ž</w:t>
      </w:r>
      <w:r>
        <w:rPr>
          <w:color w:val="000000"/>
          <w:spacing w:val="-4"/>
        </w:rPr>
        <w:t>i</w:t>
      </w:r>
      <w:r>
        <w:rPr>
          <w:color w:val="000000"/>
          <w:spacing w:val="-1"/>
        </w:rPr>
        <w:t>a</w:t>
      </w:r>
      <w:r>
        <w:rPr>
          <w:color w:val="000000"/>
        </w:rPr>
        <w:t>gų</w:t>
      </w:r>
      <w:r>
        <w:rPr>
          <w:color w:val="000000"/>
          <w:spacing w:val="2"/>
        </w:rPr>
        <w:t xml:space="preserve"> </w:t>
      </w:r>
      <w:r>
        <w:rPr>
          <w:color w:val="000000"/>
          <w:spacing w:val="-2"/>
        </w:rPr>
        <w:t>s</w:t>
      </w:r>
      <w:r>
        <w:rPr>
          <w:color w:val="000000"/>
          <w:spacing w:val="4"/>
        </w:rPr>
        <w:t>a</w:t>
      </w:r>
      <w:r>
        <w:rPr>
          <w:color w:val="000000"/>
        </w:rPr>
        <w:t>nd</w:t>
      </w:r>
      <w:r>
        <w:rPr>
          <w:color w:val="000000"/>
          <w:spacing w:val="5"/>
        </w:rPr>
        <w:t>o</w:t>
      </w:r>
      <w:r>
        <w:rPr>
          <w:color w:val="000000"/>
          <w:spacing w:val="1"/>
        </w:rPr>
        <w:t>r</w:t>
      </w:r>
      <w:r>
        <w:rPr>
          <w:color w:val="000000"/>
          <w:spacing w:val="-9"/>
        </w:rPr>
        <w:t>i</w:t>
      </w:r>
      <w:r>
        <w:rPr>
          <w:color w:val="000000"/>
        </w:rPr>
        <w:t>ų</w:t>
      </w:r>
      <w:r>
        <w:rPr>
          <w:color w:val="000000"/>
          <w:spacing w:val="2"/>
        </w:rPr>
        <w:t xml:space="preserve"> </w:t>
      </w:r>
      <w:r>
        <w:rPr>
          <w:color w:val="000000"/>
          <w:spacing w:val="-2"/>
        </w:rPr>
        <w:t>s</w:t>
      </w:r>
      <w:r>
        <w:rPr>
          <w:color w:val="000000"/>
          <w:spacing w:val="5"/>
        </w:rPr>
        <w:t>t</w:t>
      </w:r>
      <w:r>
        <w:rPr>
          <w:color w:val="000000"/>
          <w:spacing w:val="-1"/>
        </w:rPr>
        <w:t>e</w:t>
      </w:r>
      <w:r>
        <w:rPr>
          <w:color w:val="000000"/>
          <w:spacing w:val="-5"/>
        </w:rPr>
        <w:t>b</w:t>
      </w:r>
      <w:r>
        <w:rPr>
          <w:color w:val="000000"/>
          <w:spacing w:val="-1"/>
        </w:rPr>
        <w:t>ė</w:t>
      </w:r>
      <w:r>
        <w:rPr>
          <w:color w:val="000000"/>
          <w:spacing w:val="-2"/>
        </w:rPr>
        <w:t>s</w:t>
      </w:r>
      <w:r>
        <w:rPr>
          <w:color w:val="000000"/>
          <w:spacing w:val="4"/>
        </w:rPr>
        <w:t>e</w:t>
      </w:r>
      <w:r>
        <w:rPr>
          <w:color w:val="000000"/>
        </w:rPr>
        <w:t>n</w:t>
      </w:r>
      <w:r>
        <w:rPr>
          <w:color w:val="000000"/>
          <w:spacing w:val="4"/>
        </w:rPr>
        <w:t>a</w:t>
      </w:r>
      <w:r>
        <w:rPr>
          <w:color w:val="000000"/>
          <w:spacing w:val="-9"/>
        </w:rPr>
        <w:t>i</w:t>
      </w:r>
      <w:r>
        <w:rPr>
          <w:color w:val="000000"/>
        </w:rPr>
        <w:t>.</w:t>
      </w:r>
    </w:p>
    <w:p w:rsidR="004F7425" w:rsidRDefault="004F7425" w:rsidP="004F7425">
      <w:pPr>
        <w:widowControl w:val="0"/>
        <w:autoSpaceDE w:val="0"/>
        <w:autoSpaceDN w:val="0"/>
        <w:adjustRightInd w:val="0"/>
        <w:spacing w:line="235" w:lineRule="exact"/>
        <w:ind w:right="-20"/>
        <w:rPr>
          <w:color w:val="000000"/>
          <w:sz w:val="20"/>
        </w:rPr>
        <w:sectPr w:rsidR="004F7425">
          <w:headerReference w:type="default" r:id="rId294"/>
          <w:pgSz w:w="11920" w:h="16840"/>
          <w:pgMar w:top="960" w:right="440" w:bottom="280" w:left="1580" w:header="734" w:footer="0" w:gutter="0"/>
          <w:cols w:space="1296" w:equalWidth="0">
            <w:col w:w="9900"/>
          </w:cols>
          <w:noEndnote/>
        </w:sectPr>
      </w:pPr>
    </w:p>
    <w:p w:rsidR="004F7425" w:rsidRDefault="004F7425" w:rsidP="004F7425">
      <w:pPr>
        <w:widowControl w:val="0"/>
        <w:autoSpaceDE w:val="0"/>
        <w:autoSpaceDN w:val="0"/>
        <w:adjustRightInd w:val="0"/>
        <w:spacing w:before="4" w:line="260" w:lineRule="exact"/>
        <w:rPr>
          <w:color w:val="000000"/>
          <w:sz w:val="26"/>
          <w:szCs w:val="26"/>
        </w:rPr>
      </w:pPr>
    </w:p>
    <w:p w:rsidR="004F7425" w:rsidRPr="00387E75" w:rsidRDefault="004F7425" w:rsidP="004F7425">
      <w:pPr>
        <w:widowControl w:val="0"/>
        <w:autoSpaceDE w:val="0"/>
        <w:autoSpaceDN w:val="0"/>
        <w:adjustRightInd w:val="0"/>
        <w:spacing w:line="275" w:lineRule="auto"/>
        <w:ind w:left="120" w:right="44" w:firstLine="721"/>
        <w:jc w:val="both"/>
        <w:rPr>
          <w:rFonts w:ascii="Cambria" w:hAnsi="Cambria" w:cs="Cambria"/>
          <w:color w:val="000000"/>
        </w:rPr>
      </w:pPr>
    </w:p>
    <w:p w:rsidR="004F7425" w:rsidRPr="00387E75" w:rsidRDefault="004F7425" w:rsidP="004F7425">
      <w:pPr>
        <w:widowControl w:val="0"/>
        <w:autoSpaceDE w:val="0"/>
        <w:autoSpaceDN w:val="0"/>
        <w:adjustRightInd w:val="0"/>
        <w:spacing w:line="200" w:lineRule="exact"/>
      </w:pPr>
      <w:r w:rsidRPr="00387E75">
        <w:rPr>
          <w:color w:val="000000"/>
        </w:rPr>
        <w:tab/>
      </w:r>
      <w:r>
        <w:rPr>
          <w:color w:val="000000"/>
        </w:rPr>
        <w:t>K</w:t>
      </w:r>
      <w:r w:rsidRPr="00387E75">
        <w:t>omisijos veiklos koordinavimas ir bendradarbiavimas</w:t>
      </w:r>
    </w:p>
    <w:p w:rsidR="004F7425" w:rsidRPr="00387E75" w:rsidRDefault="004F7425" w:rsidP="004F7425"/>
    <w:p w:rsidR="004F7425" w:rsidRPr="00387E75" w:rsidRDefault="004F7425" w:rsidP="004F7425">
      <w:pPr>
        <w:ind w:firstLine="720"/>
        <w:jc w:val="both"/>
        <w:rPr>
          <w:rFonts w:eastAsia="Arial Unicode MS"/>
        </w:rPr>
      </w:pPr>
      <w:r w:rsidRPr="00387E75">
        <w:rPr>
          <w:iCs/>
          <w:lang w:eastAsia="lt-LT"/>
        </w:rPr>
        <w:t>Už aktyvų bendradarbiavimą,  įgyvendinant Komisijos 2013 m</w:t>
      </w:r>
      <w:r>
        <w:rPr>
          <w:iCs/>
          <w:lang w:eastAsia="lt-LT"/>
        </w:rPr>
        <w:t>etų</w:t>
      </w:r>
      <w:r w:rsidRPr="00387E75">
        <w:rPr>
          <w:iCs/>
          <w:lang w:eastAsia="lt-LT"/>
        </w:rPr>
        <w:t xml:space="preserve"> veiklos planą, telkiant įvairių sektorių pastangas mažinti narkotikų, tabako ir alkoholio vartojimą šalyje, stiprinant visuomenės sveikatą ir valstybės saugumą, Komisijos padėkos raštais įteikti: </w:t>
      </w:r>
      <w:r w:rsidRPr="00387E75">
        <w:t xml:space="preserve">„Laisvas žmogus“ vadovei Tatjanai Ščiurinai, Vilniaus Sąjūdžio tarybos pirmininkui Leonui Kerosieriui, Sveikuolių sąjungos </w:t>
      </w:r>
      <w:r w:rsidRPr="00B14B69">
        <w:rPr>
          <w:i/>
        </w:rPr>
        <w:t>tikiu</w:t>
      </w:r>
      <w:r>
        <w:rPr>
          <w:i/>
        </w:rPr>
        <w:t>.</w:t>
      </w:r>
      <w:r w:rsidRPr="00B14B69">
        <w:rPr>
          <w:i/>
        </w:rPr>
        <w:t>lt</w:t>
      </w:r>
      <w:r w:rsidRPr="00387E75">
        <w:t xml:space="preserve"> atstovui Juozui Dapšauskui, registruotai lobistei Daliai Mikalauskaitei, Sveikatos apsaugos viceministrui Erikui Mačiūnui, Kauno apskrities priklausomybės ligų centro direktoriui Tautvydui Zikarui,  Vilniaus priklausomybės ligų centro direktoriui Emiliui Subatai,  Klaipėdos priklausomybės ligų centro direktoriui Liudui Andrikiui,  Šiaulių priklausomybės ligų centro direktoriui</w:t>
      </w:r>
      <w:r w:rsidRPr="00387E75">
        <w:rPr>
          <w:bCs/>
        </w:rPr>
        <w:t xml:space="preserve"> Elmantui Pranui Zevertui, </w:t>
      </w:r>
      <w:r w:rsidRPr="00387E75">
        <w:t xml:space="preserve">Panevėžio priklausomybės ligų centro </w:t>
      </w:r>
      <w:r w:rsidRPr="00387E75">
        <w:rPr>
          <w:bCs/>
        </w:rPr>
        <w:t xml:space="preserve">vyr. gydytojai Neringai Šinkūnienei, </w:t>
      </w:r>
      <w:r w:rsidRPr="00387E75">
        <w:rPr>
          <w:rFonts w:eastAsia="Arial Unicode MS"/>
        </w:rPr>
        <w:t xml:space="preserve">Švietimo ir mokslo ministerijos Neformalaus ugdymo ir švietimo pagalbos skyriaus vyriausiajam specialistui Algimantui Šimaičiui, </w:t>
      </w:r>
      <w:r w:rsidRPr="00387E75">
        <w:t xml:space="preserve">Ignalinos rajono savivaldybės Narkotikų kontrolės komisijos pirmininkei Gražinai Mackonienei, Muitinės kriminalinės tarnybos 3-ojo skyriaus viršininkui Arūnui Pupeikiui, Valstybės sienos apsaugos tarnybos prie Vidaus reikalų ministerijos Kriminalinių procesų kontrolės organizavimo valdybos viršininko pavaduotojui Donatui Škarnuliui, Kriminalinės policijos biuro Organizuoto nusikalstamumo 3-osios valdybos viršininkei Rūtai Jašinskienei, </w:t>
      </w:r>
      <w:r w:rsidRPr="00387E75">
        <w:rPr>
          <w:rFonts w:eastAsia="Arial Unicode MS"/>
        </w:rPr>
        <w:t>Susisiekimo ministerijos Kelių transporto ir civilinės aviacijos politikos departament</w:t>
      </w:r>
      <w:r>
        <w:rPr>
          <w:rFonts w:eastAsia="Arial Unicode MS"/>
        </w:rPr>
        <w:t>o</w:t>
      </w:r>
      <w:r w:rsidRPr="00387E75">
        <w:rPr>
          <w:rFonts w:eastAsia="Arial Unicode MS"/>
        </w:rPr>
        <w:t xml:space="preserve"> Saugaus eismo skyriaus vyriausia</w:t>
      </w:r>
      <w:r>
        <w:rPr>
          <w:rFonts w:eastAsia="Arial Unicode MS"/>
        </w:rPr>
        <w:t>jam</w:t>
      </w:r>
      <w:r w:rsidRPr="00387E75">
        <w:rPr>
          <w:rFonts w:eastAsia="Arial Unicode MS"/>
        </w:rPr>
        <w:t xml:space="preserve"> specialistui Andriui Karnilavičiui.</w:t>
      </w:r>
    </w:p>
    <w:p w:rsidR="004F7425" w:rsidRPr="00387E75" w:rsidRDefault="004F7425" w:rsidP="004F7425">
      <w:pPr>
        <w:rPr>
          <w:iCs/>
          <w:lang w:eastAsia="lt-LT"/>
        </w:rPr>
      </w:pPr>
      <w:r w:rsidRPr="00387E75">
        <w:rPr>
          <w:b/>
        </w:rPr>
        <w:tab/>
      </w:r>
      <w:r w:rsidRPr="00387E75">
        <w:t xml:space="preserve">Komisijos padėka pareikšta: </w:t>
      </w:r>
      <w:r w:rsidRPr="00387E75">
        <w:rPr>
          <w:iCs/>
          <w:lang w:eastAsia="lt-LT"/>
        </w:rPr>
        <w:t xml:space="preserve"> </w:t>
      </w:r>
    </w:p>
    <w:p w:rsidR="004F7425" w:rsidRPr="00387E75" w:rsidRDefault="004F7425" w:rsidP="004F7425">
      <w:pPr>
        <w:ind w:firstLine="720"/>
        <w:jc w:val="both"/>
      </w:pPr>
      <w:r>
        <w:t>v</w:t>
      </w:r>
      <w:r w:rsidRPr="00387E75">
        <w:t>isuomeninės organizacijos „Blaivybė ir sveikata“  nariui Vitalijui Kragui; Vyskupo M.</w:t>
      </w:r>
      <w:r>
        <w:t xml:space="preserve"> </w:t>
      </w:r>
      <w:r w:rsidRPr="00387E75">
        <w:t xml:space="preserve">Valančiaus </w:t>
      </w:r>
      <w:r>
        <w:t>b</w:t>
      </w:r>
      <w:r w:rsidRPr="00387E75">
        <w:t xml:space="preserve">laivybės sąjūdžio valančiukų judėjimo nariui Valdemarui Šimėnui, </w:t>
      </w:r>
      <w:r>
        <w:t>v</w:t>
      </w:r>
      <w:r w:rsidRPr="00387E75">
        <w:t xml:space="preserve">isuomeninės organizacijos „Optimalietis“ nariui Sergejui Dyrinui, </w:t>
      </w:r>
      <w:r>
        <w:t>s</w:t>
      </w:r>
      <w:r w:rsidRPr="00387E75">
        <w:t xml:space="preserve">veikatos apsaugos viceministrei Jadvygai Zinkevičiūtei,  Sveikatos apsaugos ministerijos buvusio  Visuomenės sveikatos departamento Ligų prevencijos skyriaus vedėjai Loretai Ašoklienei,  Sveikatos apsaugos ministerijos buvusio Visuomenės sveikatos departamento direktoriaus pavaduotojai Jūratei Martinonienei,  Sveikatos apsaugos ministerijos buvusio Visuomenės sveikatos departamento </w:t>
      </w:r>
      <w:r>
        <w:t>l</w:t>
      </w:r>
      <w:r w:rsidRPr="00387E75">
        <w:t>. e. p. skyriaus vedėjai Audronei Astrauskienei,  Valstybinio psichikos sveikatos centro direktorei Onai Davidonienei, Valstybinio psichikos sveikatos centro Priklausomybės ligų sk</w:t>
      </w:r>
      <w:r>
        <w:t>yriaus</w:t>
      </w:r>
      <w:r w:rsidRPr="00387E75">
        <w:t xml:space="preserve"> vedėjai Aurelijai Čepulytei, Užkrečiamųjų ligų ir AIDS centro direktorius prof. Sauliui Čaplinskui, VšĮ Respublikinės tuberkuliozės ir infekcinių ligų universitetinės ligoninės direktoriaus pavaduotojai dr. Editai Davidavičienei, Specialios pedagogikos ir psichologijos centro prie Švietimo ir mokslo ministerijos Psichologijos skyriaus socialinei pedagogei Sandrai Valantiejienei, Specialios pedagogikos ir psichologijos centro prie Švietimo ir mokslo ministerijos Psichologijos skyriaus psichologui Remigijui Auškeliui, Ugdymo plėtotės centro prie Švietimo ir mokslo ministerijos direktoriui Giedriui Vaideliui, Socialinės apsaugos ir darbo ministerijos Socialinės aprėpties departamento Socialinių paslaugų skyriaus vedėjai Daivai Buivydaitei, </w:t>
      </w:r>
      <w:r w:rsidRPr="00387E75">
        <w:rPr>
          <w:rFonts w:eastAsia="Arial Unicode MS"/>
        </w:rPr>
        <w:t xml:space="preserve">Lietuvos Respublikos </w:t>
      </w:r>
      <w:r>
        <w:rPr>
          <w:rFonts w:eastAsia="Arial Unicode MS"/>
        </w:rPr>
        <w:t>v</w:t>
      </w:r>
      <w:r w:rsidRPr="00387E75">
        <w:rPr>
          <w:rFonts w:eastAsia="Arial Unicode MS"/>
        </w:rPr>
        <w:t xml:space="preserve">yriausiojo darbo inspektoriaus pavaduotojui Arūnui Lupeikai, </w:t>
      </w:r>
      <w:r w:rsidRPr="00387E75">
        <w:t xml:space="preserve">Jaunimo departamento prie Socialinės apsaugos ir darbo ministerijos direktoriui Mindaugui Kuliavui, Narkotikų, tabako ir alkoholio kontrolės departamento  direktoriui Zeniui Martinkui ir direktoriaus pavaduotojai  Gražinai Belian, Narkotikų, tabako ir alkoholio kontrolės departamento  Strategijos, stebėsenos ir analizės skyriaus vedėjui Ernestui Jasaičiui ir vedėjo pavaduotojai Ingai Bankauskienei, Narkotikų, tabako ir alkoholio kontrolės departamento  Kontrolės skyriaus vedėjai Eglei Latauskienei, Lietuvos </w:t>
      </w:r>
      <w:r>
        <w:t>s</w:t>
      </w:r>
      <w:r w:rsidRPr="00387E75">
        <w:t xml:space="preserve">avivaldybių asociacijos administracijos direktorei Romai Žakaitienei, Lietuvos </w:t>
      </w:r>
      <w:r>
        <w:t>s</w:t>
      </w:r>
      <w:r w:rsidRPr="00387E75">
        <w:t>avivaldybių asociacijos administracijos konsultant</w:t>
      </w:r>
      <w:r>
        <w:t>ei</w:t>
      </w:r>
      <w:r w:rsidRPr="00387E75">
        <w:t xml:space="preserve"> socialiniais klausimais </w:t>
      </w:r>
      <w:r w:rsidRPr="00387E75">
        <w:lastRenderedPageBreak/>
        <w:t>Gražinai Šapalaitei, Kalėjimo departamento prie Teisingumo ministerijos Sveikatos priežiūros skyriaus vedėjai Birutei Semėnaitei, Muitinės departamento prie Finansų ministerijos generalinio direktoriaus pavaduotojui Vygantui Paigozinui, Vidaus reikalų ministerijos Viešojo saugumo politikos departamento Kriminalinių procesų kontrolės skyriaus vedėjui Renaldui Žekoniui, Lietuvos Respublikos vidaus reikalų ministerijos Viešojo saugumo politikos departamento Visuomenės saugumo ir viešosios tvarkos užtikrinimo skyriaus vedėjui</w:t>
      </w:r>
      <w:r w:rsidRPr="00387E75">
        <w:rPr>
          <w:bCs/>
        </w:rPr>
        <w:t xml:space="preserve"> </w:t>
      </w:r>
      <w:r w:rsidRPr="00387E75">
        <w:t>Dariui Vasariui, Ūkio ministerijos Vidaus prekybos politikos skyriaus vedėjai Birutei Janutėnienei,</w:t>
      </w:r>
      <w:r w:rsidRPr="00387E75">
        <w:rPr>
          <w:i/>
        </w:rPr>
        <w:t xml:space="preserve">  </w:t>
      </w:r>
      <w:r w:rsidRPr="00387E75">
        <w:rPr>
          <w:rFonts w:eastAsia="Arial Unicode MS"/>
        </w:rPr>
        <w:t xml:space="preserve">Ūkio ministerijos Pramonės ir politikos departamento Pramonės politikos skyriaus vedėjui Vitaliui Skaržinskui, </w:t>
      </w:r>
      <w:r w:rsidRPr="00387E75">
        <w:t xml:space="preserve">Valstybinės ne maisto produktų  inspekcijos viršininko pavaduotojui Romučiui Četvergai, </w:t>
      </w:r>
      <w:r w:rsidRPr="00387E75">
        <w:rPr>
          <w:rFonts w:eastAsia="Arial Unicode MS"/>
        </w:rPr>
        <w:t xml:space="preserve">Statistikos departamento generalinio direktoriaus pavaduotojai Aldonai Danutei Gibaitei-Kudžmienei, </w:t>
      </w:r>
      <w:r w:rsidRPr="00387E75">
        <w:t>Valstybės kontrolės 1-ojo audito departamento vyriausi</w:t>
      </w:r>
      <w:r>
        <w:t>ajai</w:t>
      </w:r>
      <w:r w:rsidRPr="00387E75">
        <w:t xml:space="preserve"> valstybinei auditorei Rūtai Obcarskienei, Valstybinės maisto ir veterinarijos tarnybos direktoriaus pavaduotojui Zenonui Stanevičiui ir Maisto skyriaus vedėjai</w:t>
      </w:r>
      <w:r>
        <w:t>,</w:t>
      </w:r>
      <w:r w:rsidRPr="00387E75">
        <w:t xml:space="preserve"> valstybinei maisto produktų inspektorei Aušrai Išarienei.</w:t>
      </w:r>
    </w:p>
    <w:p w:rsidR="004F7425" w:rsidRPr="00387E75" w:rsidRDefault="004F7425" w:rsidP="004F7425">
      <w:pPr>
        <w:ind w:firstLine="720"/>
        <w:jc w:val="both"/>
      </w:pPr>
    </w:p>
    <w:p w:rsidR="004F7425" w:rsidRDefault="004F7425" w:rsidP="004F7425">
      <w:pPr>
        <w:ind w:firstLine="720"/>
        <w:jc w:val="both"/>
      </w:pPr>
    </w:p>
    <w:p w:rsidR="004F7425" w:rsidRDefault="004F7425" w:rsidP="004F7425">
      <w:pPr>
        <w:ind w:firstLine="720"/>
        <w:jc w:val="both"/>
      </w:pPr>
    </w:p>
    <w:p w:rsidR="004F7425" w:rsidRDefault="004F7425" w:rsidP="004F7425">
      <w:pPr>
        <w:ind w:firstLine="720"/>
        <w:jc w:val="both"/>
      </w:pPr>
    </w:p>
    <w:p w:rsidR="004F7425" w:rsidRDefault="004F7425" w:rsidP="004F7425">
      <w:pPr>
        <w:ind w:firstLine="720"/>
        <w:jc w:val="both"/>
      </w:pPr>
    </w:p>
    <w:p w:rsidR="004F7425" w:rsidRDefault="004F7425" w:rsidP="004F7425">
      <w:pPr>
        <w:ind w:firstLine="720"/>
        <w:jc w:val="both"/>
      </w:pPr>
    </w:p>
    <w:p w:rsidR="004F7425" w:rsidRPr="00387E75" w:rsidRDefault="004F7425" w:rsidP="004F7425">
      <w:pPr>
        <w:ind w:firstLine="720"/>
        <w:jc w:val="both"/>
      </w:pPr>
      <w:r w:rsidRPr="00387E75">
        <w:t>Ataskaitą teikia:</w:t>
      </w:r>
    </w:p>
    <w:p w:rsidR="004F7425" w:rsidRPr="00387E75" w:rsidRDefault="004F7425" w:rsidP="004F7425">
      <w:pPr>
        <w:ind w:firstLine="720"/>
        <w:jc w:val="both"/>
      </w:pPr>
    </w:p>
    <w:p w:rsidR="004F7425" w:rsidRPr="00387E75" w:rsidRDefault="004F7425" w:rsidP="004F7425">
      <w:pPr>
        <w:jc w:val="both"/>
      </w:pPr>
      <w:r w:rsidRPr="00387E75">
        <w:t xml:space="preserve">Lietuvos Respublikos Seimo </w:t>
      </w:r>
    </w:p>
    <w:p w:rsidR="004F7425" w:rsidRPr="00387E75" w:rsidRDefault="004F7425" w:rsidP="004F7425">
      <w:pPr>
        <w:jc w:val="both"/>
      </w:pPr>
      <w:r w:rsidRPr="00387E75">
        <w:t xml:space="preserve">Narkomanijos ir alkoholizmo prevencijos </w:t>
      </w:r>
    </w:p>
    <w:p w:rsidR="004F7425" w:rsidRPr="00387E75" w:rsidRDefault="004F7425" w:rsidP="004F7425">
      <w:pPr>
        <w:autoSpaceDE w:val="0"/>
        <w:autoSpaceDN w:val="0"/>
        <w:adjustRightInd w:val="0"/>
        <w:jc w:val="both"/>
        <w:rPr>
          <w:rFonts w:eastAsia="TimesNewRomanPSMT"/>
          <w:bCs/>
          <w:lang w:eastAsia="lt-LT"/>
        </w:rPr>
      </w:pPr>
      <w:r w:rsidRPr="00387E75">
        <w:rPr>
          <w:rFonts w:eastAsia="TimesNewRomanPSMT"/>
          <w:bCs/>
          <w:lang w:eastAsia="lt-LT"/>
        </w:rPr>
        <w:t>komisijos pirmininkė                                                                          Larisa Dmitrijeva</w:t>
      </w:r>
    </w:p>
    <w:p w:rsidR="004F7425" w:rsidRPr="00387E75" w:rsidRDefault="004F7425" w:rsidP="004F7425">
      <w:pPr>
        <w:autoSpaceDE w:val="0"/>
        <w:autoSpaceDN w:val="0"/>
        <w:adjustRightInd w:val="0"/>
        <w:jc w:val="both"/>
        <w:rPr>
          <w:rFonts w:eastAsia="TimesNewRomanPSMT"/>
          <w:bCs/>
          <w:lang w:eastAsia="lt-LT"/>
        </w:rPr>
      </w:pPr>
    </w:p>
    <w:p w:rsidR="004F7425" w:rsidRPr="00387E75" w:rsidRDefault="004F7425" w:rsidP="004F7425">
      <w:pPr>
        <w:autoSpaceDE w:val="0"/>
        <w:autoSpaceDN w:val="0"/>
        <w:adjustRightInd w:val="0"/>
        <w:jc w:val="both"/>
        <w:rPr>
          <w:rFonts w:eastAsia="TimesNewRomanPSMT"/>
          <w:bCs/>
          <w:lang w:eastAsia="lt-LT"/>
        </w:rPr>
      </w:pPr>
    </w:p>
    <w:p w:rsidR="002E5D37" w:rsidRDefault="002E5D37"/>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892E5C" w:rsidRDefault="00892E5C"/>
    <w:p w:rsidR="00E80028" w:rsidRPr="00387E75" w:rsidRDefault="00E80028" w:rsidP="00E80028">
      <w:pPr>
        <w:ind w:firstLine="720"/>
        <w:rPr>
          <w:rFonts w:ascii="TimesLT" w:hAnsi="TimesLT"/>
          <w:b/>
        </w:rPr>
      </w:pPr>
    </w:p>
    <w:p w:rsidR="00E80028" w:rsidRPr="00387E75" w:rsidRDefault="00E80028" w:rsidP="00E80028">
      <w:pPr>
        <w:jc w:val="center"/>
        <w:rPr>
          <w:rFonts w:ascii="TimesLT" w:hAnsi="TimesLT"/>
          <w:b/>
        </w:rPr>
      </w:pPr>
    </w:p>
    <w:p w:rsidR="00E80028" w:rsidRPr="00387E75" w:rsidRDefault="00E80028" w:rsidP="00E80028">
      <w:pPr>
        <w:jc w:val="center"/>
        <w:rPr>
          <w:b/>
          <w:bCs/>
        </w:rPr>
      </w:pPr>
      <w:r w:rsidRPr="00387E75">
        <w:rPr>
          <w:b/>
          <w:bCs/>
        </w:rPr>
        <w:t>LIETUVOS RESPUBLIKOS SEIMO</w:t>
      </w: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r w:rsidRPr="00387E75">
        <w:rPr>
          <w:b/>
          <w:bCs/>
        </w:rPr>
        <w:t>NARKOMANIJOS IR ALKOHOLIZMO PREVENCIJOS</w:t>
      </w:r>
    </w:p>
    <w:p w:rsidR="00E80028" w:rsidRPr="00387E75" w:rsidRDefault="00E80028" w:rsidP="00E80028">
      <w:pPr>
        <w:jc w:val="center"/>
        <w:rPr>
          <w:b/>
          <w:bCs/>
        </w:rPr>
      </w:pPr>
      <w:r w:rsidRPr="00387E75">
        <w:rPr>
          <w:b/>
          <w:bCs/>
        </w:rPr>
        <w:t>KOMISIJOS</w:t>
      </w: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r>
        <w:rPr>
          <w:b/>
          <w:bCs/>
        </w:rPr>
        <w:t>2014</w:t>
      </w:r>
      <w:r w:rsidRPr="00387E75">
        <w:rPr>
          <w:b/>
          <w:bCs/>
        </w:rPr>
        <w:t xml:space="preserve"> METŲ VEIKLOS</w:t>
      </w: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jc w:val="center"/>
        <w:rPr>
          <w:b/>
          <w:bCs/>
        </w:rPr>
      </w:pPr>
    </w:p>
    <w:p w:rsidR="00E80028" w:rsidRPr="00387E75" w:rsidRDefault="00E80028" w:rsidP="00E80028">
      <w:pPr>
        <w:pStyle w:val="Normal1"/>
        <w:jc w:val="center"/>
        <w:rPr>
          <w:b/>
          <w:bCs/>
          <w:szCs w:val="24"/>
          <w:lang w:val="lt-LT"/>
        </w:rPr>
      </w:pPr>
      <w:r w:rsidRPr="00387E75">
        <w:rPr>
          <w:b/>
          <w:bCs/>
          <w:szCs w:val="24"/>
          <w:lang w:val="lt-LT"/>
        </w:rPr>
        <w:t>A T A S K A I T A</w:t>
      </w:r>
    </w:p>
    <w:p w:rsidR="00E80028" w:rsidRPr="00387E75" w:rsidRDefault="00E80028" w:rsidP="00E80028">
      <w:pPr>
        <w:jc w:val="both"/>
        <w:rPr>
          <w:b/>
          <w:bCs/>
        </w:rPr>
      </w:pPr>
    </w:p>
    <w:p w:rsidR="00E80028" w:rsidRPr="00387E75" w:rsidRDefault="00E80028" w:rsidP="00E80028">
      <w:pPr>
        <w:jc w:val="both"/>
      </w:pPr>
    </w:p>
    <w:p w:rsidR="00E80028" w:rsidRPr="00387E75" w:rsidRDefault="00E80028" w:rsidP="00E80028">
      <w:pPr>
        <w:jc w:val="both"/>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Default="00E80028" w:rsidP="00E80028">
      <w:pPr>
        <w:ind w:firstLine="720"/>
      </w:pPr>
    </w:p>
    <w:p w:rsidR="00E80028" w:rsidRDefault="00E80028" w:rsidP="00E80028">
      <w:pPr>
        <w:ind w:firstLine="720"/>
      </w:pPr>
    </w:p>
    <w:p w:rsidR="00E80028"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pPr>
    </w:p>
    <w:p w:rsidR="00E80028" w:rsidRPr="00387E75" w:rsidRDefault="00E80028" w:rsidP="00E80028">
      <w:pPr>
        <w:ind w:firstLine="720"/>
        <w:rPr>
          <w:rFonts w:ascii="TimesLT" w:hAnsi="TimesLT"/>
          <w:b/>
        </w:rPr>
      </w:pPr>
      <w:r w:rsidRPr="00387E75">
        <w:rPr>
          <w:b/>
        </w:rPr>
        <w:t>Lietuvos Respublikos Seimo Narkomanijos ir alkoholizmo prevencijos komisijos sudėtis</w:t>
      </w:r>
    </w:p>
    <w:p w:rsidR="00E80028" w:rsidRPr="00387E75" w:rsidRDefault="00E80028" w:rsidP="00E80028">
      <w:pPr>
        <w:ind w:firstLine="720"/>
        <w:jc w:val="both"/>
        <w:rPr>
          <w:lang w:eastAsia="lt-LT"/>
        </w:rPr>
      </w:pPr>
      <w:r w:rsidRPr="00387E75">
        <w:t xml:space="preserve">Lietuvos Respublikos Seimas, vadovaudamasis Lietuvos Respublikos Seimo statuto 71 straipsniu, </w:t>
      </w:r>
      <w:r w:rsidRPr="00387E75">
        <w:rPr>
          <w:lang w:eastAsia="lt-LT"/>
        </w:rPr>
        <w:t xml:space="preserve">2012 m. gruodžio 4 d. </w:t>
      </w:r>
      <w:r w:rsidRPr="00387E75">
        <w:t xml:space="preserve">nutarimu </w:t>
      </w:r>
      <w:r w:rsidRPr="00387E75">
        <w:rPr>
          <w:lang w:eastAsia="lt-LT"/>
        </w:rPr>
        <w:t xml:space="preserve">Nr.XII-35 </w:t>
      </w:r>
      <w:r w:rsidRPr="00387E75">
        <w:t>sudarė Lietuvos Respublikos Seimo Narkomanijos ir alkoholizmo prevencijos komisiją iš 12 narių ir ją p</w:t>
      </w:r>
      <w:r w:rsidRPr="00387E75">
        <w:rPr>
          <w:lang w:eastAsia="lt-LT"/>
        </w:rPr>
        <w:t>atvirtino šios sudėties:</w:t>
      </w:r>
    </w:p>
    <w:p w:rsidR="00E80028" w:rsidRPr="00387E75" w:rsidRDefault="00E80028" w:rsidP="00E80028">
      <w:pPr>
        <w:ind w:firstLine="720"/>
        <w:jc w:val="both"/>
        <w:rPr>
          <w:lang w:eastAsia="lt-LT"/>
        </w:rPr>
      </w:pPr>
      <w:r w:rsidRPr="00387E75">
        <w:rPr>
          <w:lang w:eastAsia="lt-LT"/>
        </w:rPr>
        <w:t>1)  Rima Baškienė;</w:t>
      </w:r>
    </w:p>
    <w:p w:rsidR="00E80028" w:rsidRPr="00387E75" w:rsidRDefault="00E80028" w:rsidP="00E80028">
      <w:pPr>
        <w:ind w:firstLine="720"/>
        <w:jc w:val="both"/>
        <w:rPr>
          <w:lang w:eastAsia="lt-LT"/>
        </w:rPr>
      </w:pPr>
      <w:r w:rsidRPr="00387E75">
        <w:rPr>
          <w:lang w:eastAsia="lt-LT"/>
        </w:rPr>
        <w:t>2)  Larisa Dmitrijeva;</w:t>
      </w:r>
    </w:p>
    <w:p w:rsidR="00E80028" w:rsidRPr="00387E75" w:rsidRDefault="00E80028" w:rsidP="00E80028">
      <w:pPr>
        <w:ind w:firstLine="720"/>
        <w:jc w:val="both"/>
        <w:rPr>
          <w:lang w:eastAsia="lt-LT"/>
        </w:rPr>
      </w:pPr>
      <w:r w:rsidRPr="00387E75">
        <w:rPr>
          <w:lang w:eastAsia="lt-LT"/>
        </w:rPr>
        <w:t>3) Vilija Filipovičienė;</w:t>
      </w:r>
    </w:p>
    <w:p w:rsidR="00E80028" w:rsidRPr="00387E75" w:rsidRDefault="00E80028" w:rsidP="00E80028">
      <w:pPr>
        <w:ind w:firstLine="720"/>
        <w:jc w:val="both"/>
        <w:rPr>
          <w:lang w:eastAsia="lt-LT"/>
        </w:rPr>
      </w:pPr>
      <w:r w:rsidRPr="00387E75">
        <w:rPr>
          <w:lang w:eastAsia="lt-LT"/>
        </w:rPr>
        <w:t>4) Vitalijus Gailius;</w:t>
      </w:r>
    </w:p>
    <w:p w:rsidR="00E80028" w:rsidRPr="00387E75" w:rsidRDefault="00E80028" w:rsidP="00E80028">
      <w:pPr>
        <w:ind w:firstLine="720"/>
        <w:jc w:val="both"/>
        <w:rPr>
          <w:lang w:eastAsia="lt-LT"/>
        </w:rPr>
      </w:pPr>
      <w:r w:rsidRPr="00387E75">
        <w:rPr>
          <w:lang w:eastAsia="lt-LT"/>
        </w:rPr>
        <w:t>5) Vincė Vaidevutė Margevičienė;</w:t>
      </w:r>
    </w:p>
    <w:p w:rsidR="00E80028" w:rsidRPr="00387E75" w:rsidRDefault="00E80028" w:rsidP="00E80028">
      <w:pPr>
        <w:ind w:firstLine="720"/>
        <w:jc w:val="both"/>
        <w:rPr>
          <w:lang w:eastAsia="lt-LT"/>
        </w:rPr>
      </w:pPr>
      <w:r w:rsidRPr="00387E75">
        <w:rPr>
          <w:lang w:eastAsia="lt-LT"/>
        </w:rPr>
        <w:t>6) Antanas Matulas;</w:t>
      </w:r>
    </w:p>
    <w:p w:rsidR="00E80028" w:rsidRPr="00387E75" w:rsidRDefault="00E80028" w:rsidP="00E80028">
      <w:pPr>
        <w:ind w:firstLine="720"/>
        <w:jc w:val="both"/>
        <w:rPr>
          <w:lang w:eastAsia="lt-LT"/>
        </w:rPr>
      </w:pPr>
      <w:r w:rsidRPr="00387E75">
        <w:rPr>
          <w:lang w:eastAsia="lt-LT"/>
        </w:rPr>
        <w:t>7) Marija Aušrinė Pavilionienė;</w:t>
      </w:r>
    </w:p>
    <w:p w:rsidR="00E80028" w:rsidRPr="00387E75" w:rsidRDefault="00E80028" w:rsidP="00E80028">
      <w:pPr>
        <w:ind w:firstLine="720"/>
        <w:jc w:val="both"/>
        <w:rPr>
          <w:lang w:eastAsia="lt-LT"/>
        </w:rPr>
      </w:pPr>
      <w:r w:rsidRPr="00387E75">
        <w:rPr>
          <w:lang w:eastAsia="lt-LT"/>
        </w:rPr>
        <w:t>8) Giedrė Purvaneckienė;</w:t>
      </w:r>
    </w:p>
    <w:p w:rsidR="00E80028" w:rsidRPr="00387E75" w:rsidRDefault="00E80028" w:rsidP="00E80028">
      <w:pPr>
        <w:ind w:firstLine="720"/>
        <w:jc w:val="both"/>
        <w:rPr>
          <w:lang w:eastAsia="lt-LT"/>
        </w:rPr>
      </w:pPr>
      <w:r w:rsidRPr="00387E75">
        <w:rPr>
          <w:lang w:eastAsia="lt-LT"/>
        </w:rPr>
        <w:t>9) Algirdas Sysas;</w:t>
      </w:r>
    </w:p>
    <w:p w:rsidR="00E80028" w:rsidRPr="00387E75" w:rsidRDefault="00E80028" w:rsidP="00E80028">
      <w:pPr>
        <w:ind w:firstLine="720"/>
        <w:jc w:val="both"/>
        <w:rPr>
          <w:lang w:eastAsia="lt-LT"/>
        </w:rPr>
      </w:pPr>
      <w:r w:rsidRPr="00387E75">
        <w:rPr>
          <w:lang w:eastAsia="lt-LT"/>
        </w:rPr>
        <w:t>10) Rita Tamašunienė;</w:t>
      </w:r>
    </w:p>
    <w:p w:rsidR="00E80028" w:rsidRPr="00387E75" w:rsidRDefault="00E80028" w:rsidP="00E80028">
      <w:pPr>
        <w:ind w:firstLine="720"/>
        <w:jc w:val="both"/>
        <w:rPr>
          <w:lang w:eastAsia="lt-LT"/>
        </w:rPr>
      </w:pPr>
      <w:r w:rsidRPr="00387E75">
        <w:rPr>
          <w:lang w:eastAsia="lt-LT"/>
        </w:rPr>
        <w:t>11) Jolita Vaickienė;</w:t>
      </w:r>
    </w:p>
    <w:p w:rsidR="00E80028" w:rsidRDefault="00E80028" w:rsidP="00E80028">
      <w:pPr>
        <w:ind w:firstLine="720"/>
        <w:jc w:val="both"/>
        <w:rPr>
          <w:lang w:eastAsia="lt-LT"/>
        </w:rPr>
      </w:pPr>
      <w:r w:rsidRPr="00387E75">
        <w:rPr>
          <w:lang w:eastAsia="lt-LT"/>
        </w:rPr>
        <w:t>12) Jonas Varkala.</w:t>
      </w:r>
    </w:p>
    <w:p w:rsidR="00E80028" w:rsidRPr="00387E75" w:rsidRDefault="00E80028" w:rsidP="00E80028">
      <w:pPr>
        <w:ind w:firstLine="720"/>
        <w:jc w:val="both"/>
        <w:rPr>
          <w:lang w:eastAsia="lt-LT"/>
        </w:rPr>
      </w:pPr>
      <w:r>
        <w:rPr>
          <w:lang w:eastAsia="lt-LT"/>
        </w:rPr>
        <w:t xml:space="preserve">Komisijos narių sudėtis 2014 metais nesikeitė. </w:t>
      </w:r>
    </w:p>
    <w:p w:rsidR="00E80028" w:rsidRPr="00387E75" w:rsidRDefault="00E80028" w:rsidP="00E80028">
      <w:pPr>
        <w:ind w:firstLine="720"/>
        <w:jc w:val="both"/>
      </w:pPr>
      <w:r w:rsidRPr="00387E75">
        <w:t xml:space="preserve"> 2012 m. gruodžio 6 d.  Lietuvos Respublikos Seimo Narkomanijos ir alkoholizmo prevencijos komisijos posėdyje komisijos pirmininke išrinkta Larisa Dmitrijeva, komisijos pirmininko pavaduotoja – Vincė Vaidevutė Margevičienė. </w:t>
      </w:r>
    </w:p>
    <w:p w:rsidR="00E80028" w:rsidRPr="00387E75" w:rsidRDefault="00E80028" w:rsidP="00E80028">
      <w:pPr>
        <w:tabs>
          <w:tab w:val="center" w:pos="7088"/>
          <w:tab w:val="center" w:pos="8222"/>
          <w:tab w:val="center" w:pos="9072"/>
        </w:tabs>
        <w:rPr>
          <w:u w:val="single"/>
        </w:rPr>
      </w:pPr>
    </w:p>
    <w:p w:rsidR="00E80028" w:rsidRPr="00387E75" w:rsidRDefault="00E80028" w:rsidP="00E80028">
      <w:pPr>
        <w:ind w:firstLine="720"/>
        <w:rPr>
          <w:b/>
        </w:rPr>
      </w:pPr>
      <w:r w:rsidRPr="00387E75">
        <w:rPr>
          <w:b/>
        </w:rPr>
        <w:t>Komisijos veikla</w:t>
      </w:r>
    </w:p>
    <w:p w:rsidR="00E80028" w:rsidRPr="00387E75" w:rsidRDefault="00E80028" w:rsidP="00E80028">
      <w:pPr>
        <w:spacing w:before="100" w:beforeAutospacing="1" w:after="100" w:afterAutospacing="1"/>
      </w:pPr>
      <w:r w:rsidRPr="00387E75">
        <w:rPr>
          <w:b/>
          <w:bCs/>
          <w:lang w:eastAsia="lt-LT"/>
        </w:rPr>
        <w:t>  </w:t>
      </w:r>
      <w:r w:rsidRPr="00387E75">
        <w:rPr>
          <w:b/>
          <w:bCs/>
          <w:lang w:eastAsia="lt-LT"/>
        </w:rPr>
        <w:tab/>
      </w:r>
      <w:r>
        <w:t>Komisijos veikla 2014</w:t>
      </w:r>
      <w:r w:rsidRPr="00387E75">
        <w:t xml:space="preserve"> metais buvo vykdoma vadovaujantis Komisijos nuosta</w:t>
      </w:r>
      <w:r>
        <w:t>tais, Komisijos patvirtintu 2014</w:t>
      </w:r>
      <w:r w:rsidRPr="00387E75">
        <w:t xml:space="preserve"> metų veiklos planu.</w:t>
      </w:r>
    </w:p>
    <w:p w:rsidR="00E80028" w:rsidRDefault="00E80028" w:rsidP="00E80028">
      <w:pPr>
        <w:spacing w:before="100" w:beforeAutospacing="1" w:after="100" w:afterAutospacing="1"/>
      </w:pPr>
      <w:r w:rsidRPr="00387E75">
        <w:rPr>
          <w:bCs/>
        </w:rPr>
        <w:t xml:space="preserve">            </w:t>
      </w:r>
      <w:r w:rsidRPr="00387E75">
        <w:t>Lietuvos Respublikos Seimas, 2013 m. sausio 17 d. nutarimu</w:t>
      </w:r>
      <w:r w:rsidRPr="00387E75">
        <w:rPr>
          <w:b/>
        </w:rPr>
        <w:t xml:space="preserve"> </w:t>
      </w:r>
      <w:r w:rsidRPr="00387E75">
        <w:t>patvirtinęs Komisijos nuostatus</w:t>
      </w:r>
      <w:r w:rsidRPr="00387E75">
        <w:rPr>
          <w:b/>
        </w:rPr>
        <w:t xml:space="preserve">, </w:t>
      </w:r>
      <w:r w:rsidRPr="00387E75">
        <w:t>numatė</w:t>
      </w:r>
      <w:r w:rsidRPr="00387E75">
        <w:rPr>
          <w:b/>
        </w:rPr>
        <w:t xml:space="preserve"> </w:t>
      </w:r>
      <w:r w:rsidRPr="00387E75">
        <w:t xml:space="preserve">pagrindinį ilgalaikį Komisijos tikslą – užtikrinti valstybės interesus, sudarant palankias sąlygas įgyvendinti valstybės narkomanijos ir alkoholizmo bei rūkymo prevencijos, narkotikų, tabako ir alkoholio kontrolės politiką. </w:t>
      </w:r>
    </w:p>
    <w:p w:rsidR="00E80028" w:rsidRDefault="00E80028" w:rsidP="00E80028">
      <w:pPr>
        <w:spacing w:before="100" w:beforeAutospacing="1" w:after="100" w:afterAutospacing="1"/>
      </w:pPr>
      <w:r>
        <w:t xml:space="preserve">Komisijos posėdžiai: </w:t>
      </w:r>
    </w:p>
    <w:p w:rsidR="00E80028" w:rsidRDefault="00E80028" w:rsidP="00E80028">
      <w:pPr>
        <w:spacing w:before="100" w:beforeAutospacing="1" w:after="100" w:afterAutospacing="1"/>
      </w:pPr>
      <w:r w:rsidRPr="00E50CF3">
        <w:rPr>
          <w:b/>
        </w:rPr>
        <w:t>1  posėdis</w:t>
      </w:r>
      <w:r>
        <w:t xml:space="preserve"> – 2014 m. sausio 15 d. </w:t>
      </w:r>
    </w:p>
    <w:p w:rsidR="00E80028" w:rsidRPr="00D96373" w:rsidRDefault="00E80028" w:rsidP="00E80028">
      <w:pPr>
        <w:spacing w:before="100" w:beforeAutospacing="1" w:after="100" w:afterAutospacing="1"/>
      </w:pPr>
      <w:r w:rsidRPr="00D96373">
        <w:t xml:space="preserve"> Dėl Lietuvos Respublikos Seimo Narkomanijos ir alkoholizmo prevencijos komisijos 2013 metų veiklos plano įgyvendinimo.</w:t>
      </w:r>
      <w:r w:rsidRPr="00D96373">
        <w:rPr>
          <w:rFonts w:eastAsia="Arial Unicode MS"/>
        </w:rPr>
        <w:t xml:space="preserve"> </w:t>
      </w:r>
    </w:p>
    <w:p w:rsidR="00E80028" w:rsidRPr="00D96373" w:rsidRDefault="00E80028" w:rsidP="00E80028">
      <w:pPr>
        <w:rPr>
          <w:rFonts w:eastAsia="Arial Unicode MS"/>
          <w:b/>
        </w:rPr>
      </w:pPr>
      <w:r w:rsidRPr="00D96373">
        <w:rPr>
          <w:rFonts w:eastAsia="Arial Unicode MS"/>
          <w:b/>
        </w:rPr>
        <w:t xml:space="preserve">2  posėdis </w:t>
      </w:r>
      <w:r w:rsidRPr="00D96373">
        <w:t xml:space="preserve">– </w:t>
      </w:r>
      <w:r w:rsidRPr="00D96373">
        <w:rPr>
          <w:rFonts w:eastAsia="Arial Unicode MS"/>
          <w:b/>
        </w:rPr>
        <w:t xml:space="preserve"> </w:t>
      </w:r>
      <w:r w:rsidRPr="00D96373">
        <w:rPr>
          <w:rFonts w:eastAsia="Arial Unicode MS"/>
        </w:rPr>
        <w:t xml:space="preserve"> 2014 m. kovo 19 d.</w:t>
      </w:r>
      <w:r w:rsidRPr="00D96373">
        <w:rPr>
          <w:rFonts w:eastAsia="Arial Unicode MS"/>
          <w:b/>
        </w:rPr>
        <w:t xml:space="preserve"> </w:t>
      </w:r>
    </w:p>
    <w:p w:rsidR="00E80028" w:rsidRPr="00D96373" w:rsidRDefault="00E80028" w:rsidP="00E80028">
      <w:pPr>
        <w:numPr>
          <w:ilvl w:val="0"/>
          <w:numId w:val="66"/>
        </w:numPr>
      </w:pPr>
      <w:r w:rsidRPr="00D96373">
        <w:t>Lietuvos Respublikos Seimo Narkomanijos ir alkoholizmo prevencijos komisijos 2013 metų veiklos ataskaitos pristatymas.</w:t>
      </w:r>
    </w:p>
    <w:p w:rsidR="00E80028" w:rsidRPr="00D96373" w:rsidRDefault="00E80028" w:rsidP="00E80028">
      <w:pPr>
        <w:numPr>
          <w:ilvl w:val="0"/>
          <w:numId w:val="66"/>
        </w:numPr>
      </w:pPr>
      <w:r w:rsidRPr="00D96373">
        <w:t>Lietuvos Respublikos Seimo Narkomanijos ir alkoholizmo prevencijos komisijos 2014 metų veiklos plano  projekto pristatymas.</w:t>
      </w:r>
    </w:p>
    <w:p w:rsidR="00E80028" w:rsidRPr="00D96373" w:rsidRDefault="00E80028" w:rsidP="00E80028">
      <w:pPr>
        <w:pStyle w:val="Sraopastraipa"/>
        <w:ind w:left="0"/>
        <w:jc w:val="both"/>
        <w:rPr>
          <w:b/>
        </w:rPr>
      </w:pPr>
      <w:r w:rsidRPr="00D96373">
        <w:rPr>
          <w:b/>
        </w:rPr>
        <w:t xml:space="preserve">3 posėdis </w:t>
      </w:r>
      <w:r w:rsidRPr="00D96373">
        <w:t xml:space="preserve">–  2014 m. </w:t>
      </w:r>
      <w:r w:rsidRPr="00D96373">
        <w:rPr>
          <w:b/>
        </w:rPr>
        <w:t xml:space="preserve"> </w:t>
      </w:r>
      <w:r w:rsidRPr="00D96373">
        <w:t>kovo 26 d.</w:t>
      </w:r>
      <w:r>
        <w:rPr>
          <w:b/>
        </w:rPr>
        <w:t xml:space="preserve"> </w:t>
      </w:r>
    </w:p>
    <w:p w:rsidR="00E80028" w:rsidRPr="005752E1" w:rsidRDefault="00E80028" w:rsidP="00E80028">
      <w:pPr>
        <w:pStyle w:val="Sraopastraipa"/>
        <w:numPr>
          <w:ilvl w:val="0"/>
          <w:numId w:val="57"/>
        </w:numPr>
        <w:jc w:val="both"/>
        <w:rPr>
          <w:rFonts w:eastAsia="Arial Unicode MS"/>
        </w:rPr>
      </w:pPr>
      <w:r w:rsidRPr="00A74FAF">
        <w:t xml:space="preserve"> Dėl Lietuvos Respublikos Seimo Narkomanijos ir alkoholizmo prevencijos komisijos 2014 metų veiklos plano patvirtinimo.</w:t>
      </w:r>
    </w:p>
    <w:p w:rsidR="00E80028" w:rsidRDefault="00E80028" w:rsidP="00E80028">
      <w:pPr>
        <w:pStyle w:val="Sraopastraipa"/>
        <w:numPr>
          <w:ilvl w:val="0"/>
          <w:numId w:val="57"/>
        </w:numPr>
        <w:jc w:val="both"/>
        <w:rPr>
          <w:rFonts w:eastAsia="Arial Unicode MS"/>
        </w:rPr>
      </w:pPr>
      <w:r w:rsidRPr="00A74FAF">
        <w:rPr>
          <w:rFonts w:eastAsia="Arial Unicode MS"/>
        </w:rPr>
        <w:lastRenderedPageBreak/>
        <w:t>Dėl Naujosios Vilnios bendruomenės atviro laiško</w:t>
      </w:r>
      <w:r w:rsidRPr="00A74FAF">
        <w:t xml:space="preserve"> Lietuvos Respublikos Seimo Narkomanijos ir alkoholizmo prevencijos komisijai</w:t>
      </w:r>
      <w:r w:rsidRPr="00A74FAF">
        <w:rPr>
          <w:rFonts w:eastAsia="Arial Unicode MS"/>
        </w:rPr>
        <w:t xml:space="preserve"> dėl visuomeninio ir viešo intereso gynimo.</w:t>
      </w:r>
    </w:p>
    <w:p w:rsidR="00E80028" w:rsidRPr="00A74FAF" w:rsidRDefault="00E80028" w:rsidP="00E80028">
      <w:pPr>
        <w:pStyle w:val="Sraopastraipa"/>
        <w:numPr>
          <w:ilvl w:val="0"/>
          <w:numId w:val="57"/>
        </w:numPr>
        <w:jc w:val="both"/>
        <w:rPr>
          <w:rFonts w:eastAsia="Arial Unicode MS"/>
        </w:rPr>
      </w:pPr>
      <w:r w:rsidRPr="00A74FAF">
        <w:rPr>
          <w:rFonts w:eastAsia="Arial Unicode MS"/>
        </w:rPr>
        <w:t xml:space="preserve">Dėl Priklausomybės ligų centrų padėties po įvykdytos reformos. </w:t>
      </w:r>
    </w:p>
    <w:p w:rsidR="00E80028" w:rsidRPr="00D96373" w:rsidRDefault="00E80028" w:rsidP="00E80028">
      <w:pPr>
        <w:rPr>
          <w:rFonts w:eastAsia="Arial Unicode MS"/>
          <w:b/>
        </w:rPr>
      </w:pPr>
      <w:r w:rsidRPr="00D96373">
        <w:rPr>
          <w:rFonts w:eastAsia="Arial Unicode MS"/>
          <w:b/>
        </w:rPr>
        <w:t>4</w:t>
      </w:r>
      <w:r>
        <w:rPr>
          <w:rFonts w:eastAsia="Arial Unicode MS"/>
          <w:b/>
        </w:rPr>
        <w:t xml:space="preserve"> </w:t>
      </w:r>
      <w:r w:rsidRPr="00D96373">
        <w:rPr>
          <w:rFonts w:eastAsia="Arial Unicode MS"/>
          <w:b/>
        </w:rPr>
        <w:t xml:space="preserve"> posėdis  </w:t>
      </w:r>
      <w:r>
        <w:t xml:space="preserve">– 2014 m. balandžio 9 d. </w:t>
      </w:r>
    </w:p>
    <w:p w:rsidR="00E80028" w:rsidRDefault="00E80028" w:rsidP="00E80028">
      <w:pPr>
        <w:numPr>
          <w:ilvl w:val="0"/>
          <w:numId w:val="58"/>
        </w:numPr>
        <w:jc w:val="both"/>
      </w:pPr>
      <w:r w:rsidRPr="005752E1">
        <w:t xml:space="preserve">Dėl išvadų Lietuvos Respublikos Seimo nutarimo „Dėl Lietuvos Respublikos Sveikatos 2014-2023 metų </w:t>
      </w:r>
      <w:r>
        <w:t xml:space="preserve">programos patvirtinimo“ projektui </w:t>
      </w:r>
      <w:r w:rsidRPr="005752E1">
        <w:t xml:space="preserve"> Nr. XIIP-1280.</w:t>
      </w:r>
    </w:p>
    <w:p w:rsidR="00E80028" w:rsidRDefault="00E80028" w:rsidP="00E80028">
      <w:pPr>
        <w:numPr>
          <w:ilvl w:val="0"/>
          <w:numId w:val="58"/>
        </w:numPr>
        <w:jc w:val="both"/>
      </w:pPr>
      <w:r w:rsidRPr="005752E1">
        <w:t>Dėl išvadų Lietuvos Respublikos</w:t>
      </w:r>
      <w:r w:rsidRPr="005752E1">
        <w:rPr>
          <w:b/>
        </w:rPr>
        <w:t xml:space="preserve"> </w:t>
      </w:r>
      <w:r w:rsidRPr="005752E1">
        <w:t>Tabako kontrolės įstatymo Nr. I-1143 11 straipsnio pakeitimo įstatymo projektui Nr. XIIP-1292(2).</w:t>
      </w:r>
    </w:p>
    <w:p w:rsidR="00E80028" w:rsidRPr="005752E1" w:rsidRDefault="00E80028" w:rsidP="00E80028">
      <w:pPr>
        <w:numPr>
          <w:ilvl w:val="0"/>
          <w:numId w:val="58"/>
        </w:numPr>
        <w:jc w:val="both"/>
      </w:pPr>
      <w:r w:rsidRPr="005752E1">
        <w:t xml:space="preserve">Kiti klausimai. Komisijos narės Giedrės Purvaneckienės informacija apie Tarptautinės romų dienos paminėjimą. </w:t>
      </w:r>
    </w:p>
    <w:p w:rsidR="00E80028" w:rsidRPr="00B7049D" w:rsidRDefault="00E80028" w:rsidP="00E80028">
      <w:pPr>
        <w:jc w:val="both"/>
        <w:rPr>
          <w:rFonts w:eastAsia="Arial Unicode MS"/>
          <w:b/>
        </w:rPr>
      </w:pPr>
      <w:r w:rsidRPr="00B7049D">
        <w:rPr>
          <w:rFonts w:eastAsia="Arial Unicode MS"/>
          <w:b/>
        </w:rPr>
        <w:t>5</w:t>
      </w:r>
      <w:r>
        <w:rPr>
          <w:rFonts w:eastAsia="Arial Unicode MS"/>
          <w:b/>
        </w:rPr>
        <w:t xml:space="preserve"> </w:t>
      </w:r>
      <w:r w:rsidRPr="00B7049D">
        <w:rPr>
          <w:rFonts w:eastAsia="Arial Unicode MS"/>
          <w:b/>
        </w:rPr>
        <w:t xml:space="preserve"> posėdis  </w:t>
      </w:r>
      <w:r w:rsidRPr="00D96373">
        <w:rPr>
          <w:rFonts w:eastAsia="Arial Unicode MS"/>
          <w:b/>
        </w:rPr>
        <w:t xml:space="preserve"> </w:t>
      </w:r>
      <w:r>
        <w:t xml:space="preserve">– 2014 m. balandžio 23 d. </w:t>
      </w:r>
    </w:p>
    <w:p w:rsidR="00E80028" w:rsidRDefault="00E80028" w:rsidP="00E80028">
      <w:pPr>
        <w:jc w:val="both"/>
        <w:rPr>
          <w:rFonts w:eastAsia="Arial Unicode MS"/>
        </w:rPr>
      </w:pPr>
    </w:p>
    <w:p w:rsidR="00E80028" w:rsidRPr="00B13144" w:rsidRDefault="00E80028" w:rsidP="00E80028">
      <w:pPr>
        <w:numPr>
          <w:ilvl w:val="0"/>
          <w:numId w:val="59"/>
        </w:numPr>
        <w:jc w:val="both"/>
      </w:pPr>
      <w:r w:rsidRPr="00B13144">
        <w:t>Dėl narkotinių ir psichotropinių medžiagų, narkotinių ir psichotropinių medžiagų pirmtakų (prekursorių), tabako ir alkoholio kontrolės koncepcijos įgyvendinimo.</w:t>
      </w:r>
    </w:p>
    <w:p w:rsidR="00E80028" w:rsidRPr="00B13144" w:rsidRDefault="00E80028" w:rsidP="00E80028">
      <w:pPr>
        <w:numPr>
          <w:ilvl w:val="0"/>
          <w:numId w:val="59"/>
        </w:numPr>
        <w:jc w:val="both"/>
      </w:pPr>
      <w:r w:rsidRPr="00B13144">
        <w:t>Dėl Nacionalinės narkotikų kontrolės ir narkomanijos prevencijos 2010-2016 metų programos įgyvendinimo.</w:t>
      </w:r>
    </w:p>
    <w:p w:rsidR="00E80028" w:rsidRPr="00B13144" w:rsidRDefault="00E80028" w:rsidP="00E80028">
      <w:pPr>
        <w:numPr>
          <w:ilvl w:val="0"/>
          <w:numId w:val="59"/>
        </w:numPr>
        <w:jc w:val="both"/>
      </w:pPr>
      <w:r w:rsidRPr="00B13144">
        <w:t>Dėl Nacionalinės narkotikų kontrolės ir narkomanijos prevencijo</w:t>
      </w:r>
      <w:r>
        <w:t xml:space="preserve">s 2010-2016 metų programos 2011 – </w:t>
      </w:r>
      <w:r w:rsidRPr="00B13144">
        <w:t>2014 metų tarpinstitucinio veiklos plano įgyvendinimo.</w:t>
      </w:r>
    </w:p>
    <w:p w:rsidR="00E80028" w:rsidRPr="00B13144" w:rsidRDefault="00E80028" w:rsidP="00E80028">
      <w:pPr>
        <w:numPr>
          <w:ilvl w:val="0"/>
          <w:numId w:val="59"/>
        </w:numPr>
        <w:jc w:val="both"/>
      </w:pPr>
      <w:r w:rsidRPr="00B13144">
        <w:t>Dėl Lietuvos Respublikos narkotinių ir psichotropinių medžiagų kontrolės įstatymo nuostatų įgyvendinimo.</w:t>
      </w:r>
    </w:p>
    <w:p w:rsidR="00E80028" w:rsidRPr="00B13144" w:rsidRDefault="00E80028" w:rsidP="00E80028">
      <w:pPr>
        <w:numPr>
          <w:ilvl w:val="0"/>
          <w:numId w:val="59"/>
        </w:numPr>
        <w:jc w:val="both"/>
      </w:pPr>
      <w:r w:rsidRPr="00B13144">
        <w:t>Dėl Lietuvos Respublikos narkotinių ir psichotropinių medžiagų pirmtakų (prekursorių) kontrolės įstatymo nuostatų įgyvendinimo.</w:t>
      </w:r>
    </w:p>
    <w:p w:rsidR="00E80028" w:rsidRPr="00B13144" w:rsidRDefault="00E80028" w:rsidP="00E80028">
      <w:pPr>
        <w:numPr>
          <w:ilvl w:val="0"/>
          <w:numId w:val="59"/>
        </w:numPr>
        <w:jc w:val="both"/>
        <w:rPr>
          <w:rFonts w:eastAsia="Arial Unicode MS"/>
        </w:rPr>
      </w:pPr>
      <w:r w:rsidRPr="00B13144">
        <w:t xml:space="preserve">Kiti klausimai. </w:t>
      </w:r>
    </w:p>
    <w:p w:rsidR="00E80028" w:rsidRDefault="00E80028" w:rsidP="00E80028">
      <w:pPr>
        <w:rPr>
          <w:rFonts w:eastAsia="Arial Unicode MS"/>
        </w:rPr>
      </w:pPr>
      <w:r w:rsidRPr="006959B0">
        <w:rPr>
          <w:rFonts w:eastAsia="Arial Unicode MS"/>
          <w:b/>
        </w:rPr>
        <w:t>6 posėdis</w:t>
      </w:r>
      <w:r>
        <w:rPr>
          <w:rFonts w:eastAsia="Arial Unicode MS"/>
        </w:rPr>
        <w:t xml:space="preserve">  </w:t>
      </w:r>
      <w:r w:rsidRPr="00D96373">
        <w:rPr>
          <w:rFonts w:eastAsia="Arial Unicode MS"/>
          <w:b/>
        </w:rPr>
        <w:t xml:space="preserve"> </w:t>
      </w:r>
      <w:r>
        <w:t xml:space="preserve">– 2014 m. gegužės 14 d. </w:t>
      </w:r>
    </w:p>
    <w:p w:rsidR="00E80028" w:rsidRPr="00B13144" w:rsidRDefault="00E80028" w:rsidP="00E80028">
      <w:pPr>
        <w:numPr>
          <w:ilvl w:val="0"/>
          <w:numId w:val="60"/>
        </w:numPr>
        <w:jc w:val="both"/>
        <w:rPr>
          <w:rFonts w:eastAsia="Arial Unicode MS"/>
        </w:rPr>
      </w:pPr>
      <w:r w:rsidRPr="00B13144">
        <w:t>Lietuvos Respublikos alkoholio kontrolės įstatymo 16, 18, 29, 34, 35, 37, 38, 40 straipsnių pakeitimo ir III skyriaus antrojo skirsnio pavadinimo pakeitimo įstatymo projektas XIIP-1060.</w:t>
      </w:r>
    </w:p>
    <w:p w:rsidR="00E80028" w:rsidRPr="00B13144" w:rsidRDefault="00E80028" w:rsidP="00E80028">
      <w:pPr>
        <w:numPr>
          <w:ilvl w:val="0"/>
          <w:numId w:val="60"/>
        </w:numPr>
        <w:jc w:val="both"/>
        <w:rPr>
          <w:rFonts w:eastAsia="Arial Unicode MS"/>
        </w:rPr>
      </w:pPr>
      <w:r w:rsidRPr="00B13144">
        <w:t>Lietuvos Respublikos alkoholio kontrolės įstatymo 18 ir 22 straipsnių pakeitimo ir papildymo įstatymo projektas Nr. XIIP-934.</w:t>
      </w:r>
    </w:p>
    <w:p w:rsidR="00E80028" w:rsidRDefault="00E80028" w:rsidP="00E80028">
      <w:pPr>
        <w:ind w:left="720"/>
        <w:jc w:val="both"/>
      </w:pPr>
    </w:p>
    <w:p w:rsidR="00E80028" w:rsidRDefault="00E80028" w:rsidP="00E80028">
      <w:pPr>
        <w:ind w:left="720"/>
        <w:rPr>
          <w:rFonts w:eastAsia="Arial Unicode MS"/>
        </w:rPr>
      </w:pPr>
      <w:r>
        <w:t xml:space="preserve">Išvažiuojamasis posėdis į Visagino miestą 2014 m. gegužės 14 d. </w:t>
      </w:r>
    </w:p>
    <w:p w:rsidR="00E80028" w:rsidRDefault="00E80028" w:rsidP="00E80028">
      <w:pPr>
        <w:ind w:left="720"/>
        <w:jc w:val="both"/>
        <w:rPr>
          <w:rFonts w:eastAsia="Arial Unicode MS"/>
        </w:rPr>
      </w:pPr>
      <w:r>
        <w:t xml:space="preserve"> Posėdis vyko savivaldybėje.</w:t>
      </w:r>
    </w:p>
    <w:p w:rsidR="00E80028" w:rsidRPr="00B13144" w:rsidRDefault="00E80028" w:rsidP="00E80028">
      <w:pPr>
        <w:numPr>
          <w:ilvl w:val="0"/>
          <w:numId w:val="60"/>
        </w:numPr>
        <w:jc w:val="both"/>
      </w:pPr>
      <w:r w:rsidRPr="00B13144">
        <w:t xml:space="preserve"> Narkotinių ir psichotropinių medžiagų paplitimas bendrojoje populiacijoje ir Visagino mieste. Sergamumas ir ligotumas narkomanija.</w:t>
      </w:r>
    </w:p>
    <w:p w:rsidR="00E80028" w:rsidRPr="004B5CD5" w:rsidRDefault="00E80028" w:rsidP="00E80028">
      <w:pPr>
        <w:pStyle w:val="Betarp"/>
        <w:numPr>
          <w:ilvl w:val="0"/>
          <w:numId w:val="60"/>
        </w:numPr>
      </w:pPr>
      <w:r w:rsidRPr="004B5CD5">
        <w:t xml:space="preserve"> Nusikaltimai susiję su neteisėtu disponavimu narkotinėmis ir psichotropinėmis medžiagomis.</w:t>
      </w:r>
    </w:p>
    <w:p w:rsidR="00E80028" w:rsidRPr="004B5CD5" w:rsidRDefault="00E80028" w:rsidP="00E80028">
      <w:pPr>
        <w:pStyle w:val="Betarp"/>
        <w:numPr>
          <w:ilvl w:val="0"/>
          <w:numId w:val="60"/>
        </w:numPr>
      </w:pPr>
      <w:r w:rsidRPr="004B5CD5">
        <w:t xml:space="preserve"> Alkoholinių gėrimų vartojimo paplitimas Visagino m.  ir padariniai. </w:t>
      </w:r>
    </w:p>
    <w:p w:rsidR="00E80028" w:rsidRPr="00B13144" w:rsidRDefault="00E80028" w:rsidP="00E80028">
      <w:pPr>
        <w:pStyle w:val="Betarp"/>
        <w:numPr>
          <w:ilvl w:val="0"/>
          <w:numId w:val="60"/>
        </w:numPr>
      </w:pPr>
      <w:r>
        <w:rPr>
          <w:sz w:val="22"/>
        </w:rPr>
        <w:t xml:space="preserve">Užkrečiamosios ligos susijusios su narkotikų vartojimu ir jų prevencija. Priklausomybės ligomis sergančių asmenų  gydymas, reabilitacija ir reintegracija.  </w:t>
      </w:r>
    </w:p>
    <w:p w:rsidR="00E80028" w:rsidRPr="006959B0" w:rsidRDefault="00E80028" w:rsidP="00E80028">
      <w:pPr>
        <w:pStyle w:val="Betarp"/>
        <w:rPr>
          <w:rFonts w:eastAsia="Arial Unicode MS"/>
          <w:b/>
        </w:rPr>
      </w:pPr>
      <w:r w:rsidRPr="006959B0">
        <w:rPr>
          <w:rFonts w:eastAsia="Arial Unicode MS"/>
          <w:b/>
        </w:rPr>
        <w:t xml:space="preserve">7 posėdis </w:t>
      </w:r>
      <w:r>
        <w:t xml:space="preserve">– 2014 m. birželio 4 d. </w:t>
      </w:r>
    </w:p>
    <w:p w:rsidR="00E80028" w:rsidRPr="002E1714" w:rsidRDefault="00E80028" w:rsidP="00E80028">
      <w:pPr>
        <w:numPr>
          <w:ilvl w:val="0"/>
          <w:numId w:val="61"/>
        </w:numPr>
        <w:jc w:val="both"/>
        <w:rPr>
          <w:rFonts w:eastAsia="Arial Unicode MS"/>
        </w:rPr>
      </w:pPr>
      <w:r w:rsidRPr="00E87ED5">
        <w:t xml:space="preserve">Lietuvos Respublikos alkoholio kontrolės įstatymo </w:t>
      </w:r>
      <w:r>
        <w:t>34 straipsnio</w:t>
      </w:r>
      <w:r w:rsidRPr="00E87ED5">
        <w:t xml:space="preserve"> pakeitimo įstatymo projektas</w:t>
      </w:r>
      <w:r w:rsidRPr="00C12A61">
        <w:t xml:space="preserve"> </w:t>
      </w:r>
      <w:r>
        <w:t>XIIP-944.</w:t>
      </w:r>
    </w:p>
    <w:p w:rsidR="00E80028" w:rsidRPr="009202F9" w:rsidRDefault="00E80028" w:rsidP="00E80028">
      <w:pPr>
        <w:numPr>
          <w:ilvl w:val="0"/>
          <w:numId w:val="61"/>
        </w:numPr>
        <w:jc w:val="both"/>
        <w:rPr>
          <w:rFonts w:eastAsia="Arial Unicode MS"/>
        </w:rPr>
      </w:pPr>
      <w:r w:rsidRPr="00E87ED5">
        <w:t xml:space="preserve">Lietuvos Respublikos </w:t>
      </w:r>
      <w:r>
        <w:t>tabako</w:t>
      </w:r>
      <w:r w:rsidRPr="00E87ED5">
        <w:t xml:space="preserve"> kontrolės įstatymo </w:t>
      </w:r>
      <w:r>
        <w:t>26 straipsnio</w:t>
      </w:r>
      <w:r w:rsidRPr="00E87ED5">
        <w:t xml:space="preserve"> pakeitimo </w:t>
      </w:r>
      <w:r>
        <w:t>įstatymo projektas Nr. XIIP-9</w:t>
      </w:r>
      <w:r w:rsidRPr="00E87ED5">
        <w:t>4</w:t>
      </w:r>
      <w:r>
        <w:t>5.</w:t>
      </w:r>
    </w:p>
    <w:p w:rsidR="00E80028" w:rsidRPr="002E1714" w:rsidRDefault="00E80028" w:rsidP="00E80028">
      <w:pPr>
        <w:numPr>
          <w:ilvl w:val="0"/>
          <w:numId w:val="61"/>
        </w:numPr>
        <w:jc w:val="both"/>
        <w:rPr>
          <w:rFonts w:eastAsia="Arial Unicode MS"/>
        </w:rPr>
      </w:pPr>
      <w:r>
        <w:t xml:space="preserve">Dėl prekybos elektroninių ryšių tinklais, alkoholiniais gėrimais ir tabako gaminių pakaitalais (elektroninėmis cigaretėmis, skysčiais ir pan.) kontrolės priemonių įgyvendinimo. </w:t>
      </w:r>
    </w:p>
    <w:p w:rsidR="00E80028" w:rsidRDefault="00E80028" w:rsidP="00E80028">
      <w:pPr>
        <w:pStyle w:val="Betarp"/>
      </w:pPr>
    </w:p>
    <w:p w:rsidR="00E80028" w:rsidRDefault="00E80028" w:rsidP="00E80028">
      <w:pPr>
        <w:pStyle w:val="Betarp"/>
        <w:jc w:val="both"/>
      </w:pPr>
      <w:r w:rsidRPr="00274F39">
        <w:rPr>
          <w:b/>
        </w:rPr>
        <w:lastRenderedPageBreak/>
        <w:t>8 posėdis</w:t>
      </w:r>
      <w:r>
        <w:t xml:space="preserve"> – 2014 m. birželio 11 d. bendras Narkomanijos ir alkoholizmo prevencijos komisijos, Informacinės visuomenės plėtros komiteto ir  Švietimo, mokslo ir kultūros komiteto posėdis.</w:t>
      </w:r>
    </w:p>
    <w:p w:rsidR="00E80028" w:rsidRPr="002E1714" w:rsidRDefault="00E80028" w:rsidP="00E80028">
      <w:pPr>
        <w:numPr>
          <w:ilvl w:val="0"/>
          <w:numId w:val="67"/>
        </w:numPr>
        <w:jc w:val="both"/>
        <w:rPr>
          <w:rFonts w:eastAsia="Arial Unicode MS"/>
        </w:rPr>
      </w:pPr>
      <w:r>
        <w:t xml:space="preserve">Dėl prekybos elektroninių ryšių tinklais, alkoholiniais gėrimais ir tabako gaminių pakaitalais (elektroninėmis cigaretėmis, skysčiais ir pan.) kontrolės priemonių įgyvendinimo. </w:t>
      </w:r>
    </w:p>
    <w:p w:rsidR="00E80028" w:rsidRDefault="00E80028" w:rsidP="00E80028">
      <w:pPr>
        <w:pStyle w:val="Betarp"/>
      </w:pPr>
      <w:r w:rsidRPr="00274F39">
        <w:rPr>
          <w:b/>
        </w:rPr>
        <w:t>9 posėdis</w:t>
      </w:r>
      <w:r>
        <w:t xml:space="preserve">  – 2014 m. birželio 18 d.  </w:t>
      </w:r>
    </w:p>
    <w:p w:rsidR="00E80028" w:rsidRPr="00E512DA" w:rsidRDefault="00E80028" w:rsidP="00E80028">
      <w:pPr>
        <w:numPr>
          <w:ilvl w:val="0"/>
          <w:numId w:val="62"/>
        </w:numPr>
        <w:jc w:val="both"/>
        <w:rPr>
          <w:rFonts w:eastAsia="Arial Unicode MS"/>
        </w:rPr>
      </w:pPr>
      <w:r w:rsidRPr="00E512DA">
        <w:t>Dėl pasiūlymų Lietuvos Respublikos azartinių lošimų įstatymo pakeitimo įstatymo projektui XIIP-4393 ir jį lydintiems teisės aktams.</w:t>
      </w:r>
    </w:p>
    <w:p w:rsidR="00E80028" w:rsidRPr="00E512DA" w:rsidRDefault="00E80028" w:rsidP="00E80028">
      <w:pPr>
        <w:numPr>
          <w:ilvl w:val="0"/>
          <w:numId w:val="62"/>
        </w:numPr>
        <w:jc w:val="both"/>
        <w:rPr>
          <w:rFonts w:eastAsia="Arial Unicode MS"/>
        </w:rPr>
      </w:pPr>
      <w:r w:rsidRPr="00E512DA">
        <w:t>Dėl mažmeninės prekybos alkoholiniais gėrimais ir tabako gaminiais vietų tinklo tankumo ribojimo.</w:t>
      </w:r>
    </w:p>
    <w:p w:rsidR="00E80028" w:rsidRPr="009618C7" w:rsidRDefault="00E80028" w:rsidP="00E80028">
      <w:pPr>
        <w:numPr>
          <w:ilvl w:val="0"/>
          <w:numId w:val="62"/>
        </w:numPr>
        <w:jc w:val="both"/>
        <w:rPr>
          <w:rFonts w:eastAsia="Arial Unicode MS"/>
        </w:rPr>
      </w:pPr>
      <w:r w:rsidRPr="00E512DA">
        <w:t>Kiti klausimai.</w:t>
      </w:r>
      <w:r>
        <w:t xml:space="preserve"> Išvyka į Vilniaus priklausomybės ligų centrą.</w:t>
      </w:r>
    </w:p>
    <w:p w:rsidR="00E80028" w:rsidRDefault="00E80028" w:rsidP="00E80028">
      <w:pPr>
        <w:pStyle w:val="Betarp"/>
      </w:pPr>
      <w:r w:rsidRPr="004624F0">
        <w:rPr>
          <w:b/>
        </w:rPr>
        <w:t>10 posėdis</w:t>
      </w:r>
      <w:r>
        <w:t xml:space="preserve"> – 2014 m. rugsėjo 24 d. </w:t>
      </w:r>
    </w:p>
    <w:p w:rsidR="00E80028" w:rsidRDefault="00E80028" w:rsidP="00E80028">
      <w:pPr>
        <w:pStyle w:val="Betarp"/>
        <w:numPr>
          <w:ilvl w:val="0"/>
          <w:numId w:val="63"/>
        </w:numPr>
        <w:rPr>
          <w:sz w:val="22"/>
        </w:rPr>
      </w:pPr>
      <w:r>
        <w:rPr>
          <w:sz w:val="22"/>
        </w:rPr>
        <w:t>Dėl veiksmingos resocializacijos sistemos sukūrimo nusikaltusiems nepilnamečiams.</w:t>
      </w:r>
    </w:p>
    <w:p w:rsidR="00E80028" w:rsidRDefault="00E80028" w:rsidP="00E80028">
      <w:pPr>
        <w:pStyle w:val="Betarp"/>
        <w:numPr>
          <w:ilvl w:val="0"/>
          <w:numId w:val="63"/>
        </w:numPr>
        <w:rPr>
          <w:sz w:val="22"/>
        </w:rPr>
      </w:pPr>
      <w:r>
        <w:rPr>
          <w:sz w:val="22"/>
        </w:rPr>
        <w:t xml:space="preserve">Savivaldybių narkotikų kontrolės ir vaiko gerovės komisijų narių mokymai psichoaktyvių medžiagų paklausos mažinimo klausimais: rezultatai, poreikiai ir planai. </w:t>
      </w:r>
    </w:p>
    <w:p w:rsidR="00E80028" w:rsidRDefault="00E80028" w:rsidP="00E80028">
      <w:pPr>
        <w:pStyle w:val="Betarp"/>
        <w:numPr>
          <w:ilvl w:val="0"/>
          <w:numId w:val="63"/>
        </w:numPr>
        <w:rPr>
          <w:sz w:val="22"/>
        </w:rPr>
      </w:pPr>
      <w:r>
        <w:rPr>
          <w:sz w:val="22"/>
        </w:rPr>
        <w:t>Dėl padėties romų tabore Kirtimuose, Vilniuje.</w:t>
      </w:r>
    </w:p>
    <w:p w:rsidR="00E80028" w:rsidRDefault="00E80028" w:rsidP="00E80028">
      <w:pPr>
        <w:pStyle w:val="Betarp"/>
        <w:numPr>
          <w:ilvl w:val="0"/>
          <w:numId w:val="63"/>
        </w:numPr>
        <w:rPr>
          <w:sz w:val="22"/>
        </w:rPr>
      </w:pPr>
      <w:r>
        <w:rPr>
          <w:sz w:val="22"/>
        </w:rPr>
        <w:t>Dėl Lietuvos Respublikos Vyriausybės 2013 m. liepos 3 d. nutarimu Nr. 608 „Dėl Žmogiškųjų išteklių plėtros veiksmų programos priedo patvirtinimo“ patvirtinto projekto „Asmenų, sergančių priklausomybės nuo psichoaktyvių medžiagų ligomis, psichologinė ir socialinė reabilitacija“ įgyvendinimo .</w:t>
      </w:r>
    </w:p>
    <w:p w:rsidR="00E80028" w:rsidRPr="009647FE" w:rsidRDefault="00E80028" w:rsidP="00E80028">
      <w:pPr>
        <w:numPr>
          <w:ilvl w:val="0"/>
          <w:numId w:val="63"/>
        </w:numPr>
        <w:jc w:val="both"/>
        <w:rPr>
          <w:noProof/>
          <w:color w:val="000000"/>
          <w:lang w:val="lv-LV"/>
        </w:rPr>
      </w:pPr>
      <w:r w:rsidRPr="009647FE">
        <w:t>Kiti klausimai.</w:t>
      </w:r>
      <w:r w:rsidRPr="009647FE">
        <w:rPr>
          <w:noProof/>
          <w:color w:val="000000"/>
          <w:lang w:val="lv-LV"/>
        </w:rPr>
        <w:t xml:space="preserve"> Dėl šių metų rugsėjo 26 d. Lietuvos Respublikos Seime vyksiančios pirmos Baltijos šalių konferencijos „Prenatalinė alkoholio vartojimo prevencija“. </w:t>
      </w:r>
    </w:p>
    <w:p w:rsidR="00E80028" w:rsidRDefault="00E80028" w:rsidP="00E80028">
      <w:pPr>
        <w:pStyle w:val="Betarp"/>
        <w:ind w:left="720"/>
        <w:rPr>
          <w:sz w:val="22"/>
        </w:rPr>
      </w:pPr>
    </w:p>
    <w:p w:rsidR="00E80028" w:rsidRDefault="00E80028" w:rsidP="00E80028">
      <w:pPr>
        <w:pStyle w:val="Betarp"/>
      </w:pPr>
      <w:r w:rsidRPr="00D22B1C">
        <w:rPr>
          <w:b/>
        </w:rPr>
        <w:t>11 posėdis</w:t>
      </w:r>
      <w:r>
        <w:t xml:space="preserve"> –  2014 m. spalio 15 d.  </w:t>
      </w:r>
    </w:p>
    <w:p w:rsidR="00E80028" w:rsidRDefault="00E80028" w:rsidP="00E80028">
      <w:pPr>
        <w:pStyle w:val="Betarp"/>
        <w:ind w:left="720"/>
      </w:pPr>
    </w:p>
    <w:p w:rsidR="00E80028" w:rsidRDefault="00E80028" w:rsidP="00E80028">
      <w:pPr>
        <w:pStyle w:val="Betarp"/>
        <w:ind w:left="720"/>
      </w:pPr>
    </w:p>
    <w:p w:rsidR="00E80028" w:rsidRPr="002F7205" w:rsidRDefault="00E80028" w:rsidP="00E80028">
      <w:pPr>
        <w:pStyle w:val="Betarp"/>
        <w:ind w:left="360"/>
        <w:jc w:val="both"/>
        <w:rPr>
          <w:spacing w:val="-2"/>
          <w:lang w:eastAsia="en-GB"/>
        </w:rPr>
      </w:pPr>
      <w:r>
        <w:t xml:space="preserve">  1.</w:t>
      </w:r>
      <w:r w:rsidRPr="009E15DB">
        <w:t xml:space="preserve"> </w:t>
      </w:r>
      <w:r w:rsidRPr="002F7205">
        <w:t>Dėl  p</w:t>
      </w:r>
      <w:r w:rsidRPr="002F7205">
        <w:rPr>
          <w:spacing w:val="-2"/>
          <w:lang w:eastAsia="en-GB"/>
        </w:rPr>
        <w:t>luoštinių kanapių auginimo priežiūros ir tiekimo rinkai problemų.</w:t>
      </w:r>
    </w:p>
    <w:p w:rsidR="00E80028" w:rsidRPr="002F7205" w:rsidRDefault="00E80028" w:rsidP="00E80028">
      <w:pPr>
        <w:pStyle w:val="Betarp"/>
        <w:ind w:left="360"/>
        <w:jc w:val="both"/>
      </w:pPr>
      <w:r>
        <w:t xml:space="preserve">  2.</w:t>
      </w:r>
      <w:r w:rsidRPr="002F7205">
        <w:t xml:space="preserve">Kovos su cigarečių kontrabanda ir kitokiais neteisėta prekyba tabako gaminiais stiprinimas. Visapusė ES strategija (Briuselis, 2013 06 06 COM (2013)324 final). </w:t>
      </w:r>
    </w:p>
    <w:p w:rsidR="00E80028" w:rsidRPr="002F7205" w:rsidRDefault="00E80028" w:rsidP="00E80028">
      <w:pPr>
        <w:pStyle w:val="Betarp"/>
        <w:ind w:left="360"/>
        <w:jc w:val="both"/>
      </w:pPr>
      <w:r>
        <w:t xml:space="preserve">  3.</w:t>
      </w:r>
      <w:r w:rsidRPr="002F7205">
        <w:t>Dėl kovos su cigarečių kontrabanda ir kitokiais neteisėta prekyba tabako gaminiais stiprinimo Lietuvoje  nuo 2013 metų, atsižvelgiant į ES strategijos  (Briuselis, 2013 06 06 COM (2013)324 final)  numatomus veiksmus ir priemones bei teisės aktų pakeitimus.</w:t>
      </w:r>
    </w:p>
    <w:p w:rsidR="00E80028" w:rsidRPr="002F7205" w:rsidRDefault="00E80028" w:rsidP="00E80028">
      <w:pPr>
        <w:pStyle w:val="Betarp"/>
        <w:ind w:left="360"/>
        <w:jc w:val="both"/>
        <w:rPr>
          <w:spacing w:val="-2"/>
          <w:lang w:eastAsia="en-GB"/>
        </w:rPr>
      </w:pPr>
      <w:r>
        <w:t xml:space="preserve">    4.</w:t>
      </w:r>
      <w:r w:rsidRPr="002F7205">
        <w:t>Dėl konferencijos „Psichoaktyvių medžiagų vartojimo prevencija ugdymo institucijose</w:t>
      </w:r>
      <w:r>
        <w:t>“</w:t>
      </w:r>
      <w:r w:rsidRPr="002F7205">
        <w:t>.</w:t>
      </w:r>
    </w:p>
    <w:p w:rsidR="00E80028" w:rsidRPr="009E15DB" w:rsidRDefault="00E80028" w:rsidP="00E80028">
      <w:pPr>
        <w:pStyle w:val="Betarp"/>
        <w:ind w:left="720"/>
        <w:jc w:val="both"/>
        <w:rPr>
          <w:spacing w:val="-2"/>
          <w:lang w:eastAsia="en-GB"/>
        </w:rPr>
      </w:pPr>
      <w:r>
        <w:t xml:space="preserve">5. </w:t>
      </w:r>
      <w:r w:rsidRPr="002F7205">
        <w:t xml:space="preserve">Kiti klausimai. </w:t>
      </w:r>
    </w:p>
    <w:p w:rsidR="00E80028" w:rsidRDefault="00E80028" w:rsidP="00E80028">
      <w:pPr>
        <w:pStyle w:val="Betarp"/>
      </w:pPr>
      <w:r w:rsidRPr="00D22B1C">
        <w:rPr>
          <w:b/>
        </w:rPr>
        <w:t>12 posėdis</w:t>
      </w:r>
      <w:r>
        <w:t xml:space="preserve"> – 2014 m. lapkričio 19 d. </w:t>
      </w:r>
    </w:p>
    <w:p w:rsidR="00E80028" w:rsidRPr="009D1E24" w:rsidRDefault="00E80028" w:rsidP="00E80028">
      <w:pPr>
        <w:pStyle w:val="msolistparagraph0"/>
        <w:numPr>
          <w:ilvl w:val="0"/>
          <w:numId w:val="64"/>
        </w:numPr>
        <w:jc w:val="both"/>
        <w:rPr>
          <w:sz w:val="22"/>
          <w:szCs w:val="22"/>
        </w:rPr>
      </w:pPr>
      <w:r w:rsidRPr="009D1E24">
        <w:rPr>
          <w:sz w:val="22"/>
          <w:szCs w:val="22"/>
        </w:rPr>
        <w:t>Ūkio subjektų, vykdančių veiklą su narkotinių ir psi</w:t>
      </w:r>
      <w:r>
        <w:rPr>
          <w:sz w:val="22"/>
          <w:szCs w:val="22"/>
        </w:rPr>
        <w:t xml:space="preserve">chotropinių medžiagų pirmtakais </w:t>
      </w:r>
      <w:r w:rsidRPr="009D1E24">
        <w:rPr>
          <w:sz w:val="22"/>
          <w:szCs w:val="22"/>
        </w:rPr>
        <w:t xml:space="preserve">(prekursoriais), priežiūros aktualijos ir tendencijos, bei tarpinstitucinis </w:t>
      </w:r>
      <w:r>
        <w:rPr>
          <w:sz w:val="22"/>
          <w:szCs w:val="22"/>
        </w:rPr>
        <w:t>bendradarbiavimas</w:t>
      </w:r>
      <w:r w:rsidRPr="009D1E24">
        <w:rPr>
          <w:sz w:val="22"/>
          <w:szCs w:val="22"/>
        </w:rPr>
        <w:t xml:space="preserve"> </w:t>
      </w:r>
      <w:r>
        <w:rPr>
          <w:sz w:val="22"/>
          <w:szCs w:val="22"/>
        </w:rPr>
        <w:t xml:space="preserve">ir </w:t>
      </w:r>
      <w:r w:rsidRPr="009D1E24">
        <w:rPr>
          <w:sz w:val="22"/>
          <w:szCs w:val="22"/>
        </w:rPr>
        <w:t>koordina</w:t>
      </w:r>
      <w:r>
        <w:rPr>
          <w:sz w:val="22"/>
          <w:szCs w:val="22"/>
        </w:rPr>
        <w:t>vimas.</w:t>
      </w:r>
    </w:p>
    <w:p w:rsidR="00E80028" w:rsidRDefault="00E80028" w:rsidP="00E80028">
      <w:pPr>
        <w:pStyle w:val="Betarp"/>
        <w:numPr>
          <w:ilvl w:val="0"/>
          <w:numId w:val="64"/>
        </w:numPr>
        <w:rPr>
          <w:sz w:val="22"/>
        </w:rPr>
      </w:pPr>
      <w:r>
        <w:rPr>
          <w:sz w:val="22"/>
        </w:rPr>
        <w:t>Narkotikų užkardymas – narkotikų pasiūlos mažinimas, kovojant su narkotikų gamyba ir prekyba.</w:t>
      </w:r>
    </w:p>
    <w:p w:rsidR="00E80028" w:rsidRPr="00F662A3" w:rsidRDefault="00E80028" w:rsidP="00E80028">
      <w:pPr>
        <w:numPr>
          <w:ilvl w:val="0"/>
          <w:numId w:val="64"/>
        </w:numPr>
        <w:jc w:val="both"/>
      </w:pPr>
      <w:r w:rsidRPr="00F662A3">
        <w:t>Dėl nusikalstamu būdu iš neteisėto narkotikų verslo  ir alkoholio kontrabandos įgytų pinigų ir turto paieškos, nustatymo ir konfiskavimo</w:t>
      </w:r>
      <w:r>
        <w:t>.</w:t>
      </w:r>
    </w:p>
    <w:p w:rsidR="00E80028" w:rsidRDefault="00E80028" w:rsidP="00E80028">
      <w:pPr>
        <w:numPr>
          <w:ilvl w:val="0"/>
          <w:numId w:val="64"/>
        </w:numPr>
      </w:pPr>
      <w:r w:rsidRPr="00F662A3">
        <w:t xml:space="preserve">Pil. Reginos Stankevičienės </w:t>
      </w:r>
      <w:r>
        <w:t>adresuotas kreipimasis dėl įstatymo dėl priverstinio asmens gydymo nuo alkoholio vartojimo priėmimo.</w:t>
      </w:r>
    </w:p>
    <w:p w:rsidR="00E80028" w:rsidRDefault="00E80028" w:rsidP="00E80028">
      <w:pPr>
        <w:ind w:left="720"/>
      </w:pPr>
      <w:r>
        <w:t>Pil. Giedrės Skripkaitės laiškas dėl priverstinio gydymo nuo alkoholizmo.</w:t>
      </w:r>
    </w:p>
    <w:p w:rsidR="00E80028" w:rsidRPr="0097757A" w:rsidRDefault="00E80028" w:rsidP="00E80028">
      <w:pPr>
        <w:pStyle w:val="Betarp"/>
        <w:numPr>
          <w:ilvl w:val="0"/>
          <w:numId w:val="64"/>
        </w:numPr>
        <w:rPr>
          <w:spacing w:val="-2"/>
          <w:lang w:eastAsia="en-GB"/>
        </w:rPr>
      </w:pPr>
      <w:r w:rsidRPr="0097757A">
        <w:t xml:space="preserve">Kiti klausimai. </w:t>
      </w:r>
    </w:p>
    <w:p w:rsidR="00E80028" w:rsidRDefault="00E80028" w:rsidP="00E80028">
      <w:pPr>
        <w:pStyle w:val="Betarp"/>
      </w:pPr>
      <w:r w:rsidRPr="00D22B1C">
        <w:rPr>
          <w:b/>
        </w:rPr>
        <w:t>13 posėdis</w:t>
      </w:r>
      <w:r>
        <w:t xml:space="preserve"> – 2014 m. gruodžio 17 d. </w:t>
      </w:r>
    </w:p>
    <w:p w:rsidR="00E80028" w:rsidRDefault="00E80028" w:rsidP="00E80028">
      <w:pPr>
        <w:pStyle w:val="Betarp"/>
        <w:numPr>
          <w:ilvl w:val="0"/>
          <w:numId w:val="65"/>
        </w:numPr>
        <w:jc w:val="both"/>
        <w:rPr>
          <w:sz w:val="22"/>
          <w:lang w:eastAsia="lt-LT"/>
        </w:rPr>
      </w:pPr>
      <w:r>
        <w:rPr>
          <w:sz w:val="22"/>
          <w:lang w:eastAsia="lt-LT"/>
        </w:rPr>
        <w:t>Sveikatos apsaugos ministerijos informacijos pateikimas dėl Narkotikų, tabako ir alkoholio kontrolės departamento planuojamos veiklos.</w:t>
      </w:r>
    </w:p>
    <w:p w:rsidR="00E80028" w:rsidRPr="00D57EA1" w:rsidRDefault="00E80028" w:rsidP="00E80028">
      <w:pPr>
        <w:pStyle w:val="Betarp"/>
        <w:numPr>
          <w:ilvl w:val="0"/>
          <w:numId w:val="65"/>
        </w:numPr>
        <w:rPr>
          <w:spacing w:val="-2"/>
          <w:lang w:eastAsia="en-GB"/>
        </w:rPr>
      </w:pPr>
      <w:r>
        <w:rPr>
          <w:sz w:val="22"/>
          <w:lang w:eastAsia="lt-LT"/>
        </w:rPr>
        <w:lastRenderedPageBreak/>
        <w:t>„ Karštoji linija dėl dingusių vaikų – 116000“.</w:t>
      </w:r>
    </w:p>
    <w:p w:rsidR="00E80028" w:rsidRPr="00D57EA1" w:rsidRDefault="00E80028" w:rsidP="00E80028">
      <w:pPr>
        <w:pStyle w:val="Betarp"/>
        <w:numPr>
          <w:ilvl w:val="0"/>
          <w:numId w:val="65"/>
        </w:numPr>
        <w:rPr>
          <w:spacing w:val="-2"/>
          <w:lang w:eastAsia="en-GB"/>
        </w:rPr>
      </w:pPr>
      <w:r>
        <w:rPr>
          <w:color w:val="333333"/>
          <w:sz w:val="22"/>
        </w:rPr>
        <w:t xml:space="preserve">Lietuvos romų bendruomenės veiklos </w:t>
      </w:r>
      <w:r w:rsidRPr="0088265A">
        <w:rPr>
          <w:color w:val="333333"/>
          <w:sz w:val="22"/>
        </w:rPr>
        <w:t>pristatymas</w:t>
      </w:r>
      <w:r>
        <w:rPr>
          <w:color w:val="333333"/>
          <w:sz w:val="22"/>
        </w:rPr>
        <w:t>.</w:t>
      </w:r>
    </w:p>
    <w:p w:rsidR="00E80028" w:rsidRPr="00D57EA1" w:rsidRDefault="00E80028" w:rsidP="00E80028">
      <w:pPr>
        <w:pStyle w:val="Betarp"/>
        <w:numPr>
          <w:ilvl w:val="0"/>
          <w:numId w:val="65"/>
        </w:numPr>
        <w:rPr>
          <w:spacing w:val="-2"/>
          <w:lang w:eastAsia="en-GB"/>
        </w:rPr>
      </w:pPr>
      <w:r>
        <w:rPr>
          <w:color w:val="333333"/>
          <w:sz w:val="22"/>
        </w:rPr>
        <w:t>Vilniaus regbio akademijos prevencinės veiklos su globos namų auklėtiniais pristatymas.</w:t>
      </w:r>
    </w:p>
    <w:p w:rsidR="00E80028" w:rsidRPr="00D57EA1" w:rsidRDefault="00E80028" w:rsidP="00E80028">
      <w:pPr>
        <w:pStyle w:val="Betarp"/>
        <w:numPr>
          <w:ilvl w:val="0"/>
          <w:numId w:val="65"/>
        </w:numPr>
        <w:rPr>
          <w:spacing w:val="-2"/>
          <w:lang w:eastAsia="en-GB"/>
        </w:rPr>
      </w:pPr>
      <w:r>
        <w:rPr>
          <w:color w:val="333333"/>
          <w:sz w:val="22"/>
        </w:rPr>
        <w:t>Dėl Seimo Narkomanijos ir alkoholizmo prevencijos komisijos 2015 metų veiklos plano projekto.</w:t>
      </w:r>
    </w:p>
    <w:p w:rsidR="00E80028" w:rsidRPr="0097757A" w:rsidRDefault="00E80028" w:rsidP="00E80028">
      <w:pPr>
        <w:pStyle w:val="Betarp"/>
        <w:numPr>
          <w:ilvl w:val="0"/>
          <w:numId w:val="65"/>
        </w:numPr>
        <w:rPr>
          <w:spacing w:val="-2"/>
          <w:lang w:eastAsia="en-GB"/>
        </w:rPr>
      </w:pPr>
      <w:r w:rsidRPr="0097757A">
        <w:t xml:space="preserve">Kiti klausimai. </w:t>
      </w:r>
    </w:p>
    <w:p w:rsidR="00E80028" w:rsidRDefault="00E80028" w:rsidP="00E80028">
      <w:pPr>
        <w:pStyle w:val="Betarp"/>
      </w:pPr>
    </w:p>
    <w:p w:rsidR="00E80028" w:rsidRPr="00FF57AC" w:rsidRDefault="00E80028" w:rsidP="00E80028">
      <w:pPr>
        <w:rPr>
          <w:rFonts w:eastAsia="Arial Unicode MS"/>
        </w:rPr>
      </w:pPr>
      <w:r w:rsidRPr="00FF57AC">
        <w:rPr>
          <w:rFonts w:eastAsia="Arial Unicode MS"/>
        </w:rPr>
        <w:t xml:space="preserve">     </w:t>
      </w:r>
    </w:p>
    <w:p w:rsidR="00E80028" w:rsidRPr="00387E75" w:rsidRDefault="00E80028" w:rsidP="00E80028">
      <w:pPr>
        <w:ind w:firstLine="720"/>
      </w:pPr>
    </w:p>
    <w:p w:rsidR="00E80028" w:rsidRPr="00387E75" w:rsidRDefault="00E80028" w:rsidP="00E80028">
      <w:pPr>
        <w:ind w:firstLine="720"/>
        <w:jc w:val="both"/>
      </w:pPr>
      <w:r w:rsidRPr="00387E75">
        <w:t xml:space="preserve">Pirmoji </w:t>
      </w:r>
      <w:r w:rsidRPr="00387E75">
        <w:rPr>
          <w:b/>
        </w:rPr>
        <w:t>(I)</w:t>
      </w:r>
      <w:r w:rsidRPr="00387E75">
        <w:t xml:space="preserve"> Komisijos prioritetinė veiklos kryptis.</w:t>
      </w:r>
      <w:r w:rsidRPr="00387E75">
        <w:rPr>
          <w:b/>
        </w:rPr>
        <w:t xml:space="preserve"> </w:t>
      </w:r>
      <w:r w:rsidRPr="00387E75">
        <w:t>Valstybės strategijos ir politikos, orientuotos į alkoholizmo ir narkomanijos bei rūkymo prevenciją,  narkotikų, tabako ir alkoholio  kontrolę, formavimas,  prioritetų nustatymas.</w:t>
      </w:r>
    </w:p>
    <w:p w:rsidR="00E80028" w:rsidRPr="00387E75" w:rsidRDefault="00E80028" w:rsidP="00E80028">
      <w:pPr>
        <w:ind w:firstLine="720"/>
        <w:jc w:val="both"/>
      </w:pPr>
    </w:p>
    <w:p w:rsidR="00E80028" w:rsidRPr="00387E75" w:rsidRDefault="00E80028" w:rsidP="00E80028">
      <w:pPr>
        <w:ind w:firstLine="720"/>
        <w:jc w:val="both"/>
      </w:pPr>
      <w:r w:rsidRPr="00387E75">
        <w:t xml:space="preserve">Komisija </w:t>
      </w:r>
      <w:r>
        <w:t>2014</w:t>
      </w:r>
      <w:r w:rsidRPr="00387E75">
        <w:t xml:space="preserve"> metais pateikė išvadas dėl </w:t>
      </w:r>
      <w:r>
        <w:t xml:space="preserve">šešių </w:t>
      </w:r>
      <w:r w:rsidRPr="00387E75">
        <w:t>įstatymų projektų:</w:t>
      </w:r>
    </w:p>
    <w:p w:rsidR="00E80028" w:rsidRPr="00C43264" w:rsidRDefault="00E80028" w:rsidP="00E80028">
      <w:pPr>
        <w:pStyle w:val="Antrat2"/>
        <w:ind w:firstLine="720"/>
        <w:rPr>
          <w:b w:val="0"/>
          <w:szCs w:val="24"/>
        </w:rPr>
      </w:pPr>
      <w:r w:rsidRPr="00C43264">
        <w:rPr>
          <w:b w:val="0"/>
          <w:szCs w:val="24"/>
        </w:rPr>
        <w:t>1.</w:t>
      </w:r>
      <w:r w:rsidRPr="00387E75">
        <w:rPr>
          <w:szCs w:val="24"/>
        </w:rPr>
        <w:t xml:space="preserve"> </w:t>
      </w:r>
      <w:r>
        <w:rPr>
          <w:b w:val="0"/>
          <w:szCs w:val="24"/>
        </w:rPr>
        <w:t xml:space="preserve">Dėl </w:t>
      </w:r>
      <w:r w:rsidRPr="00C43264">
        <w:rPr>
          <w:b w:val="0"/>
          <w:szCs w:val="24"/>
        </w:rPr>
        <w:t>Lietuvos Respublikos Seimo nutarimo „Dėl Lietuvos Respublikos Sveikatos 2014-2023 metų programos patvirtinimo“</w:t>
      </w:r>
      <w:r>
        <w:rPr>
          <w:b w:val="0"/>
          <w:szCs w:val="24"/>
        </w:rPr>
        <w:t xml:space="preserve"> projekto </w:t>
      </w:r>
      <w:r w:rsidRPr="00C43264">
        <w:rPr>
          <w:b w:val="0"/>
          <w:szCs w:val="24"/>
        </w:rPr>
        <w:t>Nr. XIIP-1280.</w:t>
      </w:r>
    </w:p>
    <w:p w:rsidR="00E80028" w:rsidRDefault="00E80028" w:rsidP="00E80028">
      <w:pPr>
        <w:ind w:firstLine="720"/>
        <w:jc w:val="both"/>
      </w:pPr>
      <w:r w:rsidRPr="00387E75">
        <w:rPr>
          <w:rFonts w:eastAsia="Arial Unicode MS"/>
        </w:rPr>
        <w:t xml:space="preserve">2. </w:t>
      </w:r>
      <w:r w:rsidRPr="00890FF3">
        <w:t>Dėl Lietuvos Respublikos</w:t>
      </w:r>
      <w:r w:rsidRPr="008E7AD4">
        <w:rPr>
          <w:b/>
        </w:rPr>
        <w:t xml:space="preserve"> </w:t>
      </w:r>
      <w:r>
        <w:t>Tabako kontrolės įstatymo Nr. I-1143 11 straipsnio pakeitimo įstatymo projekto  Nr. XIIP-1292(2).</w:t>
      </w:r>
    </w:p>
    <w:p w:rsidR="00E80028" w:rsidRPr="002E1714" w:rsidRDefault="00E80028" w:rsidP="00E80028">
      <w:pPr>
        <w:ind w:left="720"/>
        <w:jc w:val="both"/>
        <w:rPr>
          <w:rFonts w:eastAsia="Arial Unicode MS"/>
        </w:rPr>
      </w:pPr>
      <w:r w:rsidRPr="00387E75">
        <w:rPr>
          <w:rFonts w:eastAsia="Arial Unicode MS"/>
        </w:rPr>
        <w:t xml:space="preserve">3. </w:t>
      </w:r>
      <w:r w:rsidRPr="00E87ED5">
        <w:t>Lietuvos Respublikos alkoholio kontrolės įstatymo 16, 18, 29, 34, 35, 37, 38, 40 straipsnių pakeitimo ir III skyriaus antrojo skirsnio pavadinimo pakeitimo įstatymo projektas</w:t>
      </w:r>
      <w:r w:rsidRPr="00C12A61">
        <w:t xml:space="preserve"> </w:t>
      </w:r>
      <w:r>
        <w:t>XIIP-1060.</w:t>
      </w:r>
    </w:p>
    <w:p w:rsidR="00E80028" w:rsidRPr="002E1714" w:rsidRDefault="00E80028" w:rsidP="00E80028">
      <w:pPr>
        <w:ind w:left="720"/>
        <w:jc w:val="both"/>
        <w:rPr>
          <w:rFonts w:eastAsia="Arial Unicode MS"/>
        </w:rPr>
      </w:pPr>
      <w:r>
        <w:rPr>
          <w:rFonts w:eastAsia="Arial Unicode MS"/>
        </w:rPr>
        <w:t xml:space="preserve">4. </w:t>
      </w:r>
      <w:r w:rsidRPr="00E87ED5">
        <w:t>Lietuvos Respublikos alkoholio kontrolės įstatymo 18 ir 22 straipsnių pakeitimo ir papildymo įstatymo projektas Nr. XIIP-934</w:t>
      </w:r>
      <w:r>
        <w:t>.</w:t>
      </w:r>
    </w:p>
    <w:p w:rsidR="00E80028" w:rsidRDefault="00E80028" w:rsidP="00E80028">
      <w:pPr>
        <w:ind w:left="720"/>
        <w:jc w:val="both"/>
      </w:pPr>
      <w:r>
        <w:t xml:space="preserve">5. </w:t>
      </w:r>
      <w:r w:rsidRPr="00E87ED5">
        <w:t xml:space="preserve">Lietuvos Respublikos alkoholio kontrolės įstatymo </w:t>
      </w:r>
      <w:r>
        <w:t>34 straipsnio</w:t>
      </w:r>
      <w:r w:rsidRPr="00E87ED5">
        <w:t xml:space="preserve"> pakeitimo įstatymo projektas</w:t>
      </w:r>
      <w:r w:rsidRPr="00C12A61">
        <w:t xml:space="preserve"> </w:t>
      </w:r>
      <w:r>
        <w:t>XIIP-944.</w:t>
      </w:r>
    </w:p>
    <w:p w:rsidR="00E80028" w:rsidRPr="009202F9" w:rsidRDefault="00E80028" w:rsidP="00E80028">
      <w:pPr>
        <w:ind w:left="720"/>
        <w:jc w:val="both"/>
        <w:rPr>
          <w:rFonts w:eastAsia="Arial Unicode MS"/>
        </w:rPr>
      </w:pPr>
      <w:r>
        <w:rPr>
          <w:rFonts w:eastAsia="Arial Unicode MS"/>
        </w:rPr>
        <w:t>6.</w:t>
      </w:r>
      <w:r w:rsidRPr="00C43264">
        <w:t xml:space="preserve"> </w:t>
      </w:r>
      <w:r w:rsidRPr="00E87ED5">
        <w:t xml:space="preserve">Lietuvos Respublikos </w:t>
      </w:r>
      <w:r>
        <w:t>tabako</w:t>
      </w:r>
      <w:r w:rsidRPr="00E87ED5">
        <w:t xml:space="preserve"> kontrolės įstatymo </w:t>
      </w:r>
      <w:r>
        <w:t>26 straipsnio</w:t>
      </w:r>
      <w:r w:rsidRPr="00E87ED5">
        <w:t xml:space="preserve"> pakeitimo </w:t>
      </w:r>
      <w:r>
        <w:t>įstatymo projektas Nr. XIIP-9</w:t>
      </w:r>
      <w:r w:rsidRPr="00E87ED5">
        <w:t>4</w:t>
      </w:r>
      <w:r>
        <w:t>5.</w:t>
      </w:r>
    </w:p>
    <w:p w:rsidR="00E80028" w:rsidRPr="002E1714" w:rsidRDefault="00E80028" w:rsidP="00E80028">
      <w:pPr>
        <w:ind w:left="720"/>
        <w:jc w:val="both"/>
        <w:rPr>
          <w:rFonts w:eastAsia="Arial Unicode MS"/>
        </w:rPr>
      </w:pPr>
    </w:p>
    <w:p w:rsidR="00E80028" w:rsidRDefault="00E80028" w:rsidP="00E80028">
      <w:pPr>
        <w:pStyle w:val="pasiulymai0"/>
        <w:ind w:firstLine="720"/>
        <w:jc w:val="both"/>
      </w:pPr>
      <w:r w:rsidRPr="00387E75">
        <w:t xml:space="preserve"> Komisija inicijavo ir įregistravo pasiūlymus dėl įstatymų projektų</w:t>
      </w:r>
      <w:r>
        <w:t xml:space="preserve"> ir pateikė išvadas: </w:t>
      </w:r>
    </w:p>
    <w:p w:rsidR="00E80028" w:rsidRDefault="00E80028" w:rsidP="00E80028">
      <w:pPr>
        <w:pStyle w:val="pasiulymai0"/>
        <w:ind w:firstLine="720"/>
        <w:jc w:val="both"/>
      </w:pPr>
      <w:r w:rsidRPr="00890FF3">
        <w:t>Lietuvos Respublikos</w:t>
      </w:r>
      <w:r w:rsidRPr="008E7AD4">
        <w:rPr>
          <w:b/>
        </w:rPr>
        <w:t xml:space="preserve"> </w:t>
      </w:r>
      <w:r>
        <w:t>Tabako kontrolės įstatymo Nr. I-1143 11 straipsnio pakeitimo įstatymo</w:t>
      </w:r>
      <w:r w:rsidRPr="00FF012D">
        <w:t xml:space="preserve"> </w:t>
      </w:r>
      <w:r w:rsidRPr="00387E75">
        <w:t>projekt</w:t>
      </w:r>
      <w:r>
        <w:t xml:space="preserve">ui, siūlydama pakeisti </w:t>
      </w:r>
      <w:r w:rsidRPr="00932C22">
        <w:t xml:space="preserve">11 straipsnio 1 </w:t>
      </w:r>
      <w:r>
        <w:t xml:space="preserve">ir 4 dalis. Komisija atsižvelgė į tai, kad </w:t>
      </w:r>
      <w:r w:rsidRPr="00932C22">
        <w:t>žmogaus ir visuomenės sveikata yra viena svarbiausių visuomenės vertybių, šio Įstatymo nuostatomis siekiama mažinti Lietuvos Respublikoje tabako gaminių vartojimą, jų prieinamumą (ypač nepilnamečiams asmenims) ir dėl tabako gaminių vartojimo atsiradusius neigiamus padarinius gyventojų sveikatai ir ūkiui, bei į tai, kad tabako gaminiai yra priskiriami specialiems gaminiams, kurių gamybai, prekybai, įvežimui, importui,</w:t>
      </w:r>
      <w:r w:rsidRPr="00932C22">
        <w:rPr>
          <w:b/>
          <w:bCs/>
        </w:rPr>
        <w:t xml:space="preserve"> </w:t>
      </w:r>
      <w:r w:rsidRPr="00932C22">
        <w:t>reklamai, kitoms su jais susijusioms veiklos rūšims ir vartojimui pagal šį ir kitus įstatymus bei teisės aktus taikomas ypatingas valstybinis teisinis reglamentavimas, taip pat į Lietuvos Respublikos Vyriausybės 2011-09-14 nutarimu Nr. 1080 patvirtintą Alkoholio ir tabako kontrolės programą (tarpinstitucinį 2013-2015 metų veiklos planą), kurios  pagrindiniai tikslai ir uždaviniai yra mažinti alkoholinių gėrimų ir tabako gaminių vartojimą bei prieinamumą, siūlome riboti sezoninių licencijų išdavimo vietas, kad sumažinti tabako gaminių vartojimą ir riboti jų prieinamumą.</w:t>
      </w:r>
      <w:r>
        <w:t xml:space="preserve"> </w:t>
      </w:r>
      <w:r w:rsidRPr="00932C22">
        <w:t>ESPAD–2011 tyrimo duomenimis, 74 proc. (79 proc. berniukų ir 70 proc. mergaičių) 15-16 m. amžiaus Lietuvos moksleivių bent kartą gyvenime buvo surūkę cigaretę. Tabako vartojimas tarp 15-16 m. amžiaus Lietuvos moksleivių nuo 2007 iki 2011 m. padidėjo nuo 71 iki 74 proc. Tyrimo duomenimis, daugiau nei pusė Lietuvos moksleivių (52 proc.) pirmą kartą pabandė rūkyti būdami 13 m. ar jaunesni, padaugėjo paauglių, kurie surūkė pirmąją cigaretę būdami 12-15 m.</w:t>
      </w:r>
      <w:r>
        <w:t xml:space="preserve"> Komisija </w:t>
      </w:r>
      <w:r>
        <w:lastRenderedPageBreak/>
        <w:t>pasiūlė, kad l</w:t>
      </w:r>
      <w:r w:rsidRPr="00932C22">
        <w:t>icencijos verstis tabako auginimu, tabako gaminių gamyba ir didmenine prekyba tabako gaminiais</w:t>
      </w:r>
      <w:r w:rsidRPr="00932C22">
        <w:rPr>
          <w:b/>
          <w:bCs/>
        </w:rPr>
        <w:t xml:space="preserve"> </w:t>
      </w:r>
      <w:r w:rsidRPr="00932C22">
        <w:t xml:space="preserve">gali būti išduodamos Lietuvos Respublikoje įsteigtiems juridiniams asmenims ir užsienio juridinių asmenų filialams, o licencija verstis tabako auginimu – ir Lietuvos Respublikoje ūkininko ūkius įregistravusiems ūkininkams (toliau – ūkininkas). Licencijos verstis mažmenine prekyba tabako gaminiais, įskaitant licencijas verstis mažmenine prekyba tabako gaminiais kurortinį, poilsio ir turizmo sezoną, </w:t>
      </w:r>
      <w:r w:rsidRPr="00932C22">
        <w:rPr>
          <w:b/>
          <w:bCs/>
        </w:rPr>
        <w:t>išskyrus rekreacines teritorijas ir savivaldybių tarybų nustatytas nerūkymo zonas,</w:t>
      </w:r>
      <w:r w:rsidRPr="00932C22">
        <w:t xml:space="preserve"> gali būti išduodamos Lietuvos Respublikoje įsteigtiems juridiniams asmenims ir užsienio juridinių asmenų filialams, kitose Europos ekonominės erdvės susitarimo dalyvėse įsteigtiems juridiniams asmenims ar kitoms organizacijoms ir jų filialams (toliau kartu – juridiniai asmenys ir užsie</w:t>
      </w:r>
      <w:r>
        <w:t>nio juridinių asmenų filialai).</w:t>
      </w:r>
      <w:r w:rsidRPr="00932C22">
        <w:t xml:space="preserve"> Išduodamos licencijos, išskyrus licencijas verstis mažmenine prekyba tabako gaminiais kurortinį, poilsio ir turizmo sezoną, yra neterminuotos. Licencijos verstis mažmenine prekyba tabako gaminiais kurortinį, poilsio ir turizmo sezoną kurortuose ir kitose savivaldybės tarybos nustatytose poilsio ir turizmo teritorijose, </w:t>
      </w:r>
      <w:r w:rsidRPr="00932C22">
        <w:rPr>
          <w:b/>
          <w:bCs/>
        </w:rPr>
        <w:t>išskyrus rekreacines teritorijas ir savivaldybių tarybų nustatytas nerūkymo zonas,</w:t>
      </w:r>
      <w:r w:rsidRPr="00932C22">
        <w:t xml:space="preserve"> išduodamos vienam savivaldybės tarybos nustatytam nustatytos trukmės kurortini</w:t>
      </w:r>
      <w:r>
        <w:t>am, poilsio ir turizmo sezonui.</w:t>
      </w:r>
    </w:p>
    <w:p w:rsidR="00E80028" w:rsidRPr="005E4251" w:rsidRDefault="00E80028" w:rsidP="00E80028">
      <w:pPr>
        <w:pStyle w:val="pasiulymai0"/>
        <w:ind w:firstLine="720"/>
        <w:jc w:val="both"/>
      </w:pPr>
      <w:r w:rsidRPr="00177EEC">
        <w:t>Lietuvos Respublikos alkoholio kontrolės įstatymo 16, 18, 29, 34, 35, 37, 38, 40 straipsnių pakeitimo ir III skyriaus antrojo skirsnio pavadi</w:t>
      </w:r>
      <w:r>
        <w:t xml:space="preserve">nimo pakeitimo įstatymo projektui, siūlydama </w:t>
      </w:r>
      <w:r w:rsidRPr="00177EEC">
        <w:rPr>
          <w:lang w:val="en-GB"/>
        </w:rPr>
        <w:t xml:space="preserve"> </w:t>
      </w:r>
      <w:r>
        <w:t xml:space="preserve">pakeisti 3 straipsnį, </w:t>
      </w:r>
      <w:r>
        <w:rPr>
          <w:lang w:val="en-GB"/>
        </w:rPr>
        <w:t xml:space="preserve">nustatant atstumą nuo </w:t>
      </w:r>
      <w:r w:rsidRPr="005E4251">
        <w:rPr>
          <w:lang w:val="en-GB"/>
        </w:rPr>
        <w:t>laisvės atėmimo, karinėse ir sukarintos tarnybos, policijos ir kitose statutinėse, sveikatos priežiūros, ugdy</w:t>
      </w:r>
      <w:r>
        <w:rPr>
          <w:lang w:val="en-GB"/>
        </w:rPr>
        <w:t>mo įstaigose ir jų teritorijose</w:t>
      </w:r>
      <w:r w:rsidRPr="005E4251">
        <w:rPr>
          <w:lang w:val="en-GB"/>
        </w:rPr>
        <w:t>, taip pat prie šių įstaigų ir maldos namų</w:t>
      </w:r>
      <w:r w:rsidRPr="005E4251">
        <w:rPr>
          <w:b/>
          <w:bCs/>
          <w:lang w:val="en-GB"/>
        </w:rPr>
        <w:t xml:space="preserve"> (ne mažesniu kaip 50 metrų </w:t>
      </w:r>
      <w:r w:rsidRPr="005E4251">
        <w:rPr>
          <w:lang w:val="en-GB"/>
        </w:rPr>
        <w:t>atstumu</w:t>
      </w:r>
      <w:r w:rsidRPr="005E4251">
        <w:rPr>
          <w:b/>
          <w:bCs/>
          <w:lang w:val="en-GB"/>
        </w:rPr>
        <w:t xml:space="preserve"> nuo įėjimo į šias įstaigas bei maldos namus iki įėjimo į mažmeninės prekybos ar viešojo maitinimo vietas, </w:t>
      </w:r>
      <w:r w:rsidRPr="005E4251">
        <w:rPr>
          <w:lang w:val="en-GB"/>
        </w:rPr>
        <w:t>kurį nustato savivaldybės taryba, suderinusi atitinkamai su šių įstaigų vadovais ir religinėmis bendruomenėmis</w:t>
      </w:r>
      <w:r w:rsidRPr="005E4251">
        <w:rPr>
          <w:b/>
          <w:bCs/>
          <w:lang w:val="en-GB"/>
        </w:rPr>
        <w:t>)</w:t>
      </w:r>
      <w:r>
        <w:rPr>
          <w:b/>
          <w:bCs/>
          <w:lang w:val="en-GB"/>
        </w:rPr>
        <w:t xml:space="preserve">. </w:t>
      </w:r>
      <w:r w:rsidRPr="00177EEC">
        <w:t>Savivaldybių tarybos, atsižvelgdamos į prekybos alkoholiniais gėrimais vietą, gyventojų, bendrijų, bendruomenių ar jų atstovų, visuomeninių organizacijų ar kitų institucijų raštu pareikštą nuomonę, policijos komisariatų pasiūlymus, turi teisę riboti laiką, kuriuo leidžiama prekiauti alkoholiniais gėrimais, neišduoti licencijos verstis mažmenine prekyba alkoholiniais gėrimais</w:t>
      </w:r>
      <w:r w:rsidRPr="00177EEC">
        <w:rPr>
          <w:strike/>
        </w:rPr>
        <w:t>.</w:t>
      </w:r>
      <w:r w:rsidRPr="00177EEC">
        <w:rPr>
          <w:b/>
          <w:bCs/>
        </w:rPr>
        <w:t xml:space="preserve"> ir nustato atstumą iki laisvės atėmimo, karinių ir sukarintos tarnybos, policijos ir kitų statutinių, sveikatos priežiūros, ugdymo įstaigų ir maldos namų, nuo kurio leidžiama prekiauti alkoholiniais gėrimais.</w:t>
      </w:r>
      <w:r>
        <w:rPr>
          <w:b/>
          <w:bCs/>
        </w:rPr>
        <w:t xml:space="preserve"> </w:t>
      </w:r>
      <w:r w:rsidRPr="00177EEC">
        <w:rPr>
          <w:bCs/>
        </w:rPr>
        <w:t xml:space="preserve">Šiuos pasiūlymus Komisija </w:t>
      </w:r>
      <w:r>
        <w:rPr>
          <w:bCs/>
        </w:rPr>
        <w:t xml:space="preserve">pagrinė </w:t>
      </w:r>
      <w:r w:rsidRPr="005E4251">
        <w:rPr>
          <w:lang w:val="en-GB"/>
        </w:rPr>
        <w:t>Narkotikų, tabako ir alkoholio kontrolės departamento 2013 m. atlikta Lietuvos R</w:t>
      </w:r>
      <w:r>
        <w:rPr>
          <w:lang w:val="en-GB"/>
        </w:rPr>
        <w:t>espublikos savivaldybių apklausa</w:t>
      </w:r>
      <w:r w:rsidRPr="005E4251">
        <w:rPr>
          <w:lang w:val="en-GB"/>
        </w:rPr>
        <w:t xml:space="preserve"> apie alkoholio ir tabako kontrolės priemonių įgyvendinimą,</w:t>
      </w:r>
      <w:r>
        <w:rPr>
          <w:lang w:val="en-GB"/>
        </w:rPr>
        <w:t xml:space="preserve"> kurios metu </w:t>
      </w:r>
      <w:r w:rsidRPr="005E4251">
        <w:rPr>
          <w:lang w:val="en-GB"/>
        </w:rPr>
        <w:t xml:space="preserve"> nustatyta, kad</w:t>
      </w:r>
      <w:r w:rsidRPr="005E4251">
        <w:rPr>
          <w:b/>
          <w:bCs/>
          <w:lang w:val="en-GB"/>
        </w:rPr>
        <w:t xml:space="preserve"> </w:t>
      </w:r>
      <w:r w:rsidRPr="005E4251">
        <w:rPr>
          <w:lang w:val="en-GB"/>
        </w:rPr>
        <w:t>tik</w:t>
      </w:r>
      <w:r w:rsidRPr="005E4251">
        <w:rPr>
          <w:b/>
          <w:bCs/>
          <w:lang w:val="en-GB"/>
        </w:rPr>
        <w:t xml:space="preserve"> </w:t>
      </w:r>
      <w:r w:rsidRPr="005E4251">
        <w:rPr>
          <w:lang w:val="en-GB"/>
        </w:rPr>
        <w:t>50 proc. savivaldybių yra nustačiusios atstumą, kuriuo draudžiama prekiauti alkoholiniais gėrimais nuo laisvės atėmimo, statutinių tarnybų, sveikatos priežiūros ir ugdymo įstaigų, maldos namų. Šis atstumas įvairiose savivaldybėse varijuoja nuo 1 iki 200 metrų. Atsižvelg</w:t>
      </w:r>
      <w:r>
        <w:rPr>
          <w:lang w:val="en-GB"/>
        </w:rPr>
        <w:t>ta</w:t>
      </w:r>
      <w:r w:rsidRPr="005E4251">
        <w:rPr>
          <w:lang w:val="en-GB"/>
        </w:rPr>
        <w:t xml:space="preserve"> į 2014 m. Pasaulio sveikatos organizacijos (toliau – PSO) paskelbtos ataskaitos duomenis, pagal kuriuos</w:t>
      </w:r>
      <w:r w:rsidRPr="005E4251">
        <w:t xml:space="preserve"> Lietuva yra trečia iš visų 194 PSO valstybių pagal gryno alkoholio vidutinį suvartojimą vienam asmeniui per metus (15,4 l) po Baltarusijos (17,5 l) ir Moldovos (16,8 l)</w:t>
      </w:r>
      <w:r w:rsidRPr="005E4251">
        <w:rPr>
          <w:lang w:val="en-GB"/>
        </w:rPr>
        <w:t xml:space="preserve">, o ypač į </w:t>
      </w:r>
      <w:r w:rsidRPr="005E4251">
        <w:rPr>
          <w:color w:val="1F1E21"/>
        </w:rPr>
        <w:t>PSO koordinuojamo tarptautinio mokyklinio amžiaus vaikų gyvensenos ir sveikatos tyrimo (</w:t>
      </w:r>
      <w:r w:rsidRPr="005E4251">
        <w:rPr>
          <w:i/>
          <w:iCs/>
          <w:color w:val="1F1E21"/>
        </w:rPr>
        <w:t>Health Behaviour in School-aged</w:t>
      </w:r>
      <w:r w:rsidRPr="005E4251">
        <w:rPr>
          <w:color w:val="1F1E21"/>
        </w:rPr>
        <w:t xml:space="preserve"> </w:t>
      </w:r>
      <w:r w:rsidRPr="005E4251">
        <w:rPr>
          <w:i/>
          <w:iCs/>
          <w:color w:val="1F1E21"/>
        </w:rPr>
        <w:t xml:space="preserve">Children </w:t>
      </w:r>
      <w:r w:rsidRPr="005E4251">
        <w:rPr>
          <w:color w:val="1F1E21"/>
          <w:lang w:val="en-GB"/>
        </w:rPr>
        <w:t>– HBSC) duomen</w:t>
      </w:r>
      <w:r w:rsidRPr="005E4251">
        <w:rPr>
          <w:color w:val="1F1E21"/>
        </w:rPr>
        <w:t xml:space="preserve">is, </w:t>
      </w:r>
      <w:r w:rsidRPr="005E4251">
        <w:rPr>
          <w:color w:val="1F1E21"/>
          <w:lang w:val="en-GB"/>
        </w:rPr>
        <w:t xml:space="preserve">pagal kuriuos </w:t>
      </w:r>
      <w:r w:rsidRPr="005E4251">
        <w:rPr>
          <w:color w:val="1F1E21"/>
        </w:rPr>
        <w:t>nustatyta, kad alkoholinių gėrimų vartojimo problema t</w:t>
      </w:r>
      <w:r w:rsidRPr="005E4251">
        <w:rPr>
          <w:color w:val="1F1E21"/>
          <w:lang w:val="en-GB"/>
        </w:rPr>
        <w:t>arp mūsų šalies paauglių gilėja (</w:t>
      </w:r>
      <w:r w:rsidRPr="005E4251">
        <w:rPr>
          <w:color w:val="1F1E21"/>
        </w:rPr>
        <w:t>girtumo jausmą du ir daugiau kartų gyvenime prisipažino patyrę apie 30 proc. berniukų ir 20 proc. mergaičių</w:t>
      </w:r>
      <w:r w:rsidRPr="005E4251">
        <w:rPr>
          <w:color w:val="1F1E21"/>
          <w:lang w:val="en-GB"/>
        </w:rPr>
        <w:t xml:space="preserve">, 2010 m. </w:t>
      </w:r>
      <w:r w:rsidRPr="005E4251">
        <w:rPr>
          <w:color w:val="1F1E21"/>
        </w:rPr>
        <w:t>rodikliai daug didesni už 1994 ir 1998 m. duomenis</w:t>
      </w:r>
      <w:r w:rsidRPr="005E4251">
        <w:rPr>
          <w:color w:val="1F1E21"/>
          <w:lang w:val="en-GB"/>
        </w:rPr>
        <w:t xml:space="preserve">), taip pat į </w:t>
      </w:r>
      <w:r w:rsidRPr="005E4251">
        <w:t xml:space="preserve">ESPAD–2011 tyrimo duomenis, </w:t>
      </w:r>
      <w:r w:rsidRPr="005E4251">
        <w:rPr>
          <w:lang w:val="en-GB"/>
        </w:rPr>
        <w:t xml:space="preserve">pagal kuriuos </w:t>
      </w:r>
      <w:r w:rsidRPr="005E4251">
        <w:t>alkoholio vartojimas tarp 15–16 metų moksleivių vis dar labai paplitęs</w:t>
      </w:r>
      <w:r w:rsidRPr="005E4251">
        <w:rPr>
          <w:lang w:val="en-GB"/>
        </w:rPr>
        <w:t xml:space="preserve">, ir įvertinant tai, kad Lietuva </w:t>
      </w:r>
      <w:r w:rsidRPr="005E4251">
        <w:rPr>
          <w:color w:val="1F1E21"/>
        </w:rPr>
        <w:t>turi vieną iš labiausiai išvystytų mažmeninės pre</w:t>
      </w:r>
      <w:r w:rsidRPr="005E4251">
        <w:rPr>
          <w:color w:val="1F1E21"/>
          <w:lang w:val="en-GB"/>
        </w:rPr>
        <w:t>kybos alkoholiu tinklų Europoje (</w:t>
      </w:r>
      <w:r w:rsidRPr="005E4251">
        <w:rPr>
          <w:color w:val="1F1E21"/>
        </w:rPr>
        <w:t xml:space="preserve">1 mažmeninės prekybos alkoholiu licencija tenka vidutiniškai 150 gyventojų, </w:t>
      </w:r>
      <w:r w:rsidRPr="005E4251">
        <w:rPr>
          <w:color w:val="1F1E21"/>
          <w:lang w:val="en-GB"/>
        </w:rPr>
        <w:t xml:space="preserve">kai </w:t>
      </w:r>
      <w:r w:rsidRPr="005E4251">
        <w:rPr>
          <w:color w:val="1F1E21"/>
        </w:rPr>
        <w:t>tuo tarpu Švedijoje 1 licencija t</w:t>
      </w:r>
      <w:r w:rsidRPr="005E4251">
        <w:rPr>
          <w:color w:val="1F1E21"/>
          <w:lang w:val="en-GB"/>
        </w:rPr>
        <w:t xml:space="preserve">enka vidutiniškai 650 </w:t>
      </w:r>
      <w:r w:rsidRPr="005E4251">
        <w:rPr>
          <w:color w:val="1F1E21"/>
          <w:lang w:val="en-GB"/>
        </w:rPr>
        <w:lastRenderedPageBreak/>
        <w:t>gyventojų, o i</w:t>
      </w:r>
      <w:r w:rsidRPr="005E4251">
        <w:rPr>
          <w:color w:val="1F1E21"/>
        </w:rPr>
        <w:t>š viso 2013 metais Lietuvoje galiojo apie 19809 mažmeninės prekybos alkoholiu licencijų</w:t>
      </w:r>
      <w:r w:rsidRPr="005E4251">
        <w:rPr>
          <w:color w:val="1F1E21"/>
          <w:lang w:val="en-GB"/>
        </w:rPr>
        <w:t xml:space="preserve">), taip pat 2012 m. </w:t>
      </w:r>
      <w:r w:rsidRPr="005E4251">
        <w:rPr>
          <w:lang w:val="en-GB"/>
        </w:rPr>
        <w:t>Valstybinio psichikos sveikatos centro atlikto epidemiologinio sociologinio tyrimo Lietuvoje duomenis, pagal kuriuos alkoholio pardavimo vietų skaičiaus mažinimui pritaria 51,8 proc. apklaustųjų (41,6 proc. vyrų ir 61,1 proc. moterų),</w:t>
      </w:r>
      <w:r w:rsidRPr="005E4251">
        <w:rPr>
          <w:color w:val="1F1E21"/>
          <w:lang w:val="en-GB"/>
        </w:rPr>
        <w:t xml:space="preserve"> taip pat į Švietimo ir mokslo ministerijos ir </w:t>
      </w:r>
      <w:r w:rsidRPr="005E4251">
        <w:t xml:space="preserve">Lietuvos vyskupų konferencijos nuomonę, </w:t>
      </w:r>
      <w:r w:rsidRPr="005E4251">
        <w:rPr>
          <w:lang w:val="en-GB"/>
        </w:rPr>
        <w:t>tikslinga Lietuvoje nustatyti prievolę savivaldybėms nustatyti atstumą iki laisvės atėmimo, karinių ir sukarintos tarnybos, policijos ir kitų statutinių, sveikatos priežiūros, ugdymo įstaigų ir maldos namų, nuo kurio leidžiama prekiauti alkoholiniais gėrimais. Konkretaus atstumo nustatymą tikslinga pavesti pačioms savivaldybių taryboms, bet jis turėtų būti ne mažesnis kaip 50 metrų nuo įėjimo į šias įstaigas bei maldos namus iki įėjimo į mažmeninės prekybos ar viešojo maitinimo vietas,</w:t>
      </w:r>
    </w:p>
    <w:p w:rsidR="00E80028" w:rsidRDefault="00E80028" w:rsidP="00E80028">
      <w:pPr>
        <w:ind w:firstLine="720"/>
        <w:jc w:val="both"/>
      </w:pPr>
      <w:r w:rsidRPr="00387E75">
        <w:t xml:space="preserve">Komisijos narių </w:t>
      </w:r>
      <w:r>
        <w:t xml:space="preserve">inicijuoti siūlymai dėl įstatymų projektų papildymo, kuriems Komisija pritarė ir pateikė išvadas: </w:t>
      </w:r>
    </w:p>
    <w:p w:rsidR="00E80028" w:rsidRPr="000200F8" w:rsidRDefault="00E80028" w:rsidP="00E80028">
      <w:pPr>
        <w:ind w:firstLine="720"/>
        <w:jc w:val="both"/>
        <w:rPr>
          <w:lang w:eastAsia="lt-LT"/>
        </w:rPr>
      </w:pPr>
      <w:r>
        <w:t xml:space="preserve">Siūlymas </w:t>
      </w:r>
      <w:r w:rsidRPr="002744F2">
        <w:rPr>
          <w:bCs/>
        </w:rPr>
        <w:t>įsteigti respublikinį mokslinį metodinį specialistų, teikiančių priklausomybės ligomis sergantiems vaikams ir jaunimui ankstyvosios diagnostikos, gydymo, reabilitacijos ir socialinės reintegracijos paslaugas, rengimo centrą, kasmet skiriant pakankamą finansavimą</w:t>
      </w:r>
      <w:r>
        <w:rPr>
          <w:bCs/>
        </w:rPr>
        <w:t xml:space="preserve">, argumentuotas tuo, </w:t>
      </w:r>
      <w:r>
        <w:t xml:space="preserve">kad </w:t>
      </w:r>
      <w:r w:rsidRPr="000200F8">
        <w:rPr>
          <w:lang w:eastAsia="lt-LT"/>
        </w:rPr>
        <w:t xml:space="preserve">Lietuvos Respublikos Vyriausybė 2012 m. spalio 10 d. nutarimu Nr. 1246 patvirtino „Priklausomybės ligų prevencijos, gydymo, reabilitacijos ir reintegracijos paslaugų sistemos sukūrimo koncepciją (gaires)” (toliau - Koncepcija), kuri buvo parengta vadovaujantis Lietuvos Respublikos Seimo 2011 m. birželio 30 d. nutarimu Nr. XI-1573 „Dėl metadono naudojimo teisėtumo“ (Žin., 2011, Nr. </w:t>
      </w:r>
      <w:hyperlink r:id="rId295" w:history="1">
        <w:r w:rsidRPr="000200F8">
          <w:rPr>
            <w:color w:val="000000"/>
            <w:u w:val="single"/>
            <w:lang w:eastAsia="lt-LT"/>
          </w:rPr>
          <w:t>83-4027</w:t>
        </w:r>
      </w:hyperlink>
      <w:r w:rsidRPr="000200F8">
        <w:rPr>
          <w:color w:val="000000"/>
          <w:lang w:eastAsia="lt-LT"/>
        </w:rPr>
        <w:t xml:space="preserve">). </w:t>
      </w:r>
      <w:r w:rsidRPr="000200F8">
        <w:rPr>
          <w:lang w:eastAsia="lt-LT"/>
        </w:rPr>
        <w:t>Pirmajame šio nutarimo straipsnyje Vyriausybei siūloma „svarstyti galimybę įsteigti respublikinį mokslinį metodinį specialistų, teikiančių priklausomybės ligomis sergantiems vaikams ir jaunimui ankstyvosios diagnostikos, gydymo, reabilitacijos ir socialinės reintegracijos paslaugas, rengimo centrą“. Koncepcijoje rašoma, kad „Asmenų, sergančių priklausomybės ligomis, gydymas Lietuvos Respublikoje priskiriamas gydytojo psichiatro, vaikų ir paauglių gydytojo psichiatro kompetencijai. &lt;...&gt; Europos Sąjungos valstybėse narėse vis labiau pripažįstamas priklausomybės ligų gydymo specifiškumas bendroje psichikos sveikatos priežiūros sistemoje ir specialaus personalo (gydytojų, slaugytojų, psichologų, socialinių darbuotojų) poreikis. Lietuvoje šiuo metu būtina plėtoti specialistų, teikiančių paslaugas sergantiems psichikos ir priklausomybės ligomis, mokym</w:t>
      </w:r>
      <w:r>
        <w:rPr>
          <w:lang w:eastAsia="lt-LT"/>
        </w:rPr>
        <w:t>ą ir kvalifikacijos tobulinimą.</w:t>
      </w:r>
      <w:r w:rsidRPr="000200F8">
        <w:rPr>
          <w:lang w:eastAsia="lt-LT"/>
        </w:rPr>
        <w:t xml:space="preserve"> </w:t>
      </w:r>
      <w:r>
        <w:rPr>
          <w:lang w:eastAsia="lt-LT"/>
        </w:rPr>
        <w:t xml:space="preserve">Tap pat atsižvelgiama į tai, jog </w:t>
      </w:r>
      <w:r w:rsidRPr="000200F8">
        <w:rPr>
          <w:lang w:eastAsia="lt-LT"/>
        </w:rPr>
        <w:t xml:space="preserve">teisės aktuose pabrėžiamą specialistų, teikiančių paslaugas sergantiems psichikos ir priklausomybės ligomis, mokymo ir kvalifikacijos kėlimo svarbą, </w:t>
      </w:r>
      <w:r>
        <w:rPr>
          <w:lang w:eastAsia="lt-LT"/>
        </w:rPr>
        <w:t xml:space="preserve">todėl, siūloma </w:t>
      </w:r>
      <w:r w:rsidRPr="000200F8">
        <w:rPr>
          <w:lang w:eastAsia="lt-LT"/>
        </w:rPr>
        <w:t xml:space="preserve"> Valstybinėje sveikatos 2014-2023 metų programoje numatyti mokslino metodinio specialistų, teikiančių priklausomybės ligomis sergantiems vaikams ir jaunimui ankstyvosios diagnostikos, gydymo, reabilitacijos ir socialinės reintegracijos paslaugas, rengimo centro steigimą.</w:t>
      </w:r>
    </w:p>
    <w:p w:rsidR="00E80028" w:rsidRPr="00810CB0" w:rsidRDefault="00E80028" w:rsidP="00E80028">
      <w:pPr>
        <w:spacing w:before="100" w:beforeAutospacing="1" w:after="100" w:afterAutospacing="1"/>
        <w:ind w:firstLine="567"/>
        <w:jc w:val="both"/>
        <w:rPr>
          <w:lang w:eastAsia="lt-LT"/>
        </w:rPr>
      </w:pPr>
      <w:r>
        <w:rPr>
          <w:lang w:eastAsia="lt-LT"/>
        </w:rPr>
        <w:t xml:space="preserve">Komisijos narių siūlymas </w:t>
      </w:r>
      <w:r w:rsidRPr="00810CB0">
        <w:rPr>
          <w:bCs/>
          <w:lang w:eastAsia="lt-LT"/>
        </w:rPr>
        <w:t>parengti vaikų psichikos sveikatos strategiją ir 2014 metais būtina įstatymu reglamentuoti psichologų praktinę veiklą, nes</w:t>
      </w:r>
      <w:r>
        <w:rPr>
          <w:b/>
          <w:bCs/>
          <w:lang w:eastAsia="lt-LT"/>
        </w:rPr>
        <w:t xml:space="preserve"> </w:t>
      </w:r>
      <w:r w:rsidRPr="00810CB0">
        <w:rPr>
          <w:bCs/>
          <w:lang w:eastAsia="lt-LT"/>
        </w:rPr>
        <w:t>b</w:t>
      </w:r>
      <w:r w:rsidRPr="00810CB0">
        <w:rPr>
          <w:lang w:eastAsia="lt-LT"/>
        </w:rPr>
        <w:t>ūtina psichologinių paslaugų plėtra, ypač ugdymo bei sveik</w:t>
      </w:r>
      <w:r>
        <w:rPr>
          <w:lang w:eastAsia="lt-LT"/>
        </w:rPr>
        <w:t>atos priežiūros sistemose. Atsižvelgta į tai, kad k</w:t>
      </w:r>
      <w:r w:rsidRPr="00810CB0">
        <w:rPr>
          <w:lang w:eastAsia="lt-LT"/>
        </w:rPr>
        <w:t>asmet blogėjanti vaikų psichinė sveikata reikalauja imtis neatidėliotinų priemonių. Įstatymo nebuvimas apsunkina psichologo darbo reglamentavimą, darbo kontrolę ir rezultatų vertinimą. Psichologo veikla nelicencijuojama, nenumatytas jų pavaldumas, nėra metodinių rekomendacijų dirbantiems su nepilnamečiais.</w:t>
      </w:r>
      <w:r>
        <w:rPr>
          <w:lang w:eastAsia="lt-LT"/>
        </w:rPr>
        <w:t xml:space="preserve"> </w:t>
      </w:r>
      <w:r w:rsidRPr="00810CB0">
        <w:rPr>
          <w:lang w:eastAsia="lt-LT"/>
        </w:rPr>
        <w:t xml:space="preserve">Pastaruoju metu vis dažniau gauname informaciją apie probleminius vaikus, turinčius emocijų ir elgesio sutrikimus. Tikslios statistikos nėra, tačiau Valstybinės ligonių kasos duomenimis, 2012 m. bent vienas psichikos ligos susirgimas ar elgesio sutrikimas buvo diagnozuotas 38814 vaikams nuo 0-17 m. Švietimo ir ugdymo įstaigos skundžiasi dėl psichologų stokos. Tiek globos įstaigose, tiek </w:t>
      </w:r>
      <w:r w:rsidRPr="00810CB0">
        <w:rPr>
          <w:lang w:eastAsia="lt-LT"/>
        </w:rPr>
        <w:lastRenderedPageBreak/>
        <w:t>socializacijos centruose trūksta specialistų, galinčių nustatyti vaiko psichikos sutrikimus ir gebančių dirbti su tokiais vaikais. 2013 m. Valstybės kontrolės atlikto tyrimo vaikų socializacijos centruose duomenimis, 50 proc. vaikų socializacijos centruose yra iš vaikų globos namų. Vidutiniškai 41,5 proc. vaikų socializacijos centruose 2012 m. turėjo specialiųjų poreikių. Socializacijos centruose psichologai dirba 0,5 - 1 etatu. Akivaizdu, kad esamo krūvio nepakanka, siekiant vaikų elgesio korekcijos.</w:t>
      </w:r>
    </w:p>
    <w:p w:rsidR="00E80028" w:rsidRPr="00EB2F7E" w:rsidRDefault="00E80028" w:rsidP="00E80028">
      <w:pPr>
        <w:ind w:firstLine="720"/>
        <w:jc w:val="both"/>
        <w:rPr>
          <w:lang w:eastAsia="lt-LT"/>
        </w:rPr>
      </w:pPr>
      <w:r>
        <w:rPr>
          <w:lang w:eastAsia="lt-LT"/>
        </w:rPr>
        <w:t xml:space="preserve">Komisijos narių siūlymas </w:t>
      </w:r>
      <w:r w:rsidRPr="006D0B9D">
        <w:rPr>
          <w:b/>
          <w:bCs/>
          <w:lang w:val="en-GB" w:eastAsia="lt-LT"/>
        </w:rPr>
        <w:t>sukurti veiksmingą resocializacijos sistemą nusikaltusiems nepilnamečiams</w:t>
      </w:r>
      <w:r>
        <w:rPr>
          <w:b/>
          <w:bCs/>
          <w:lang w:val="en-GB" w:eastAsia="lt-LT"/>
        </w:rPr>
        <w:t xml:space="preserve">, </w:t>
      </w:r>
      <w:r w:rsidRPr="005B3D7C">
        <w:rPr>
          <w:b/>
        </w:rPr>
        <w:t xml:space="preserve">didinti amžiaus cenzą pirkti ir vartoti alkoholinius gėrimus </w:t>
      </w:r>
      <w:r>
        <w:rPr>
          <w:b/>
          <w:bCs/>
        </w:rPr>
        <w:t xml:space="preserve">iki 20 metų amžiaus, </w:t>
      </w:r>
      <w:r w:rsidRPr="005B3D7C">
        <w:rPr>
          <w:b/>
        </w:rPr>
        <w:t xml:space="preserve">griežtinti atsakomybę už prekybos alkoholiniais gėrimais taisyklių, ypač draudimo parduoti alkoholinius gėrimus nepilnamečiams, pažeidimus, </w:t>
      </w:r>
      <w:r w:rsidRPr="005B3D7C">
        <w:rPr>
          <w:b/>
          <w:bCs/>
        </w:rPr>
        <w:t>numatyti licencijos verstis mažmenine prekyba alkoholiniais gėrimais panaikinimą toje prekybos vietoje, kurioje nustatyti pažeidimai, galiojimą iš karto, nel</w:t>
      </w:r>
      <w:r>
        <w:rPr>
          <w:b/>
          <w:bCs/>
        </w:rPr>
        <w:t xml:space="preserve">aukiant pakartotinio pažeidimo, </w:t>
      </w:r>
      <w:r w:rsidRPr="005B3D7C">
        <w:rPr>
          <w:b/>
        </w:rPr>
        <w:t xml:space="preserve">plėtoti asmenų, sergančių priklausomybe nuo alkoholio, psichologinės, medicininės bei socialinės reabilitacijos </w:t>
      </w:r>
      <w:r w:rsidRPr="005B3D7C">
        <w:rPr>
          <w:b/>
          <w:bCs/>
        </w:rPr>
        <w:t>ir socialinės integracijos</w:t>
      </w:r>
      <w:r>
        <w:rPr>
          <w:b/>
        </w:rPr>
        <w:t xml:space="preserve"> paslaugas, bei </w:t>
      </w:r>
      <w:r w:rsidRPr="005B3D7C">
        <w:rPr>
          <w:b/>
          <w:bCs/>
        </w:rPr>
        <w:t>įdiegti ant alkoholinių gėrimų pakuočių vienetų privalomas žymas, rekomenduojančias nėščiom</w:t>
      </w:r>
      <w:r>
        <w:rPr>
          <w:b/>
          <w:bCs/>
        </w:rPr>
        <w:t xml:space="preserve">s moterims nevartoti alkoholio, </w:t>
      </w:r>
      <w:r w:rsidRPr="005B3D7C">
        <w:rPr>
          <w:bCs/>
        </w:rPr>
        <w:t>argumetuoti tuo</w:t>
      </w:r>
      <w:r w:rsidRPr="005B3D7C">
        <w:rPr>
          <w:bCs/>
          <w:lang w:val="en-GB" w:eastAsia="lt-LT"/>
        </w:rPr>
        <w:t>,</w:t>
      </w:r>
      <w:r w:rsidRPr="00EB2F7E">
        <w:rPr>
          <w:bCs/>
          <w:lang w:val="en-GB" w:eastAsia="lt-LT"/>
        </w:rPr>
        <w:t xml:space="preserve"> kad </w:t>
      </w:r>
      <w:r>
        <w:rPr>
          <w:bCs/>
          <w:lang w:val="en-GB" w:eastAsia="lt-LT"/>
        </w:rPr>
        <w:t>n</w:t>
      </w:r>
      <w:r w:rsidRPr="006D0B9D">
        <w:rPr>
          <w:lang w:eastAsia="lt-LT"/>
        </w:rPr>
        <w:t>uo 2004 m. kryptingai plėtojamos sveikatos priežiūros paslaugos asmenims, priklausomiems nuo neteisėto narkotinių ir psichotropinių medžiagų vartojimo. 2004 m. Lietuvoje veikė 65 psichikos sveikatos centrai (2009 m. – 87), teikiamos specializuotos gydymo ir ilgalaikės psichoterapinės reabilitacijos paslaugos vaikams, neteisėtai vartojantiems narkotines ir psichotropines medžiagas.</w:t>
      </w:r>
      <w:r>
        <w:rPr>
          <w:lang w:eastAsia="lt-LT"/>
        </w:rPr>
        <w:t xml:space="preserve"> Toks pasiūlymas argumentuotas tuo, kad </w:t>
      </w:r>
      <w:r w:rsidRPr="00EB2F7E">
        <w:rPr>
          <w:lang w:eastAsia="lt-LT"/>
        </w:rPr>
        <w:t>Lietuvos statistikos departamento duomenimis, alkoholinių gėrimų (tik legalių) suvartojimas (kiekis vienam gyventojui), didėjęs nuo 1999 metų, 2008 metais stabilizavosi, o 2009 metais netgi sumažėjo, tačiau 2010–2012 metais vėl pradėjo didėti. Vienam Lietuvos gyventojui 1999 metais teko 9,6 litro, 2007 metais – 11,7 litro, 2008 metais – 11,8 litro, 2009 metais – 11,1 litro, 2010 metais – 11,6 litro, 2011 metais – 12,7 litro, o 2012 metais – 13 litrų absoliutaus alkoholio. Higienos instituto Sveikatos informacijos centro duomenimis, 2012 metais dėl susijusių su alkoholio vartojimu priežasčių mirė 930 asmenų. Tai 46,6 procento mažiau nei 2007 metais (2007 metais mirė 1 741 asmuo). 2011 metais dėl susijusių su alkoholio vartojimu priežasčių mirė 927 asmenys, 2010 metais – 962 asmenys, 2009 metais – 1 019 asmenų, o 2008 metais – 1 475 asmenys. Dažniausios šių mirčių priežastys 2012 metais – alkoholinė kepenų liga (445 atvejai, tai yra 47,8 procento), atsitiktinis apsinuodijimas alkoholiu (268 atvejai, tai yra 28,8 procento) ir alkoholinė kardiomiopatija (137 atvejai, tai yra 14,7 procento).</w:t>
      </w:r>
      <w:r>
        <w:rPr>
          <w:lang w:eastAsia="lt-LT"/>
        </w:rPr>
        <w:t xml:space="preserve"> </w:t>
      </w:r>
      <w:r w:rsidRPr="00EB2F7E">
        <w:rPr>
          <w:lang w:eastAsia="lt-LT"/>
        </w:rPr>
        <w:t xml:space="preserve">Nuo 2007 iki 2011 metų alkoholinių psichozių mažėjo, 2012 metais jų padaugėjo. Valstybinio psichikos sveikatos centro duomenimis, 2012 metais dėl alkoholinės psichozės į </w:t>
      </w:r>
      <w:r w:rsidRPr="00EB2F7E">
        <w:rPr>
          <w:spacing w:val="-2"/>
          <w:lang w:eastAsia="lt-LT"/>
        </w:rPr>
        <w:t>gydymo įstaigas pirmą kartą kreipėsi 829 asmenys, 2011 metais – 698 asmenys, 2010 metais – 798 asmenys, 2009 metais – 835 asmenys, 2008 metais –</w:t>
      </w:r>
      <w:r w:rsidRPr="00EB2F7E">
        <w:rPr>
          <w:lang w:eastAsia="lt-LT"/>
        </w:rPr>
        <w:t xml:space="preserve"> 1 217</w:t>
      </w:r>
      <w:r w:rsidRPr="00EB2F7E">
        <w:rPr>
          <w:spacing w:val="-2"/>
          <w:lang w:eastAsia="lt-LT"/>
        </w:rPr>
        <w:t xml:space="preserve"> asmenų</w:t>
      </w:r>
      <w:r w:rsidRPr="00EB2F7E">
        <w:rPr>
          <w:lang w:eastAsia="lt-LT"/>
        </w:rPr>
        <w:t xml:space="preserve">, 2007 metais – 1 456 asmenys. Sergamumas alkoholinėmis psichozėmis sumažėjo nuo 45,1 atvejo 100 tūkst. gyventojų 2007 metais iki 27,7 atvejo 2012 metais. Ligotumas alkoholinėmis psichozėmis, mažėjęs nuo 2007 metų (116,6 atvejo 100 tūkst. gyventojų) iki 2011 metų (109,3 atvejo 100 tūkst. </w:t>
      </w:r>
      <w:r w:rsidRPr="00EB2F7E">
        <w:rPr>
          <w:spacing w:val="-2"/>
          <w:lang w:eastAsia="lt-LT"/>
        </w:rPr>
        <w:t>gyventojų), 2012 metais padidėjo iki 120,8 atvejo 100 tūkst. gyventojų.</w:t>
      </w:r>
      <w:r>
        <w:rPr>
          <w:spacing w:val="-2"/>
          <w:lang w:eastAsia="lt-LT"/>
        </w:rPr>
        <w:t xml:space="preserve">  </w:t>
      </w:r>
      <w:r w:rsidRPr="00EB2F7E">
        <w:rPr>
          <w:lang w:eastAsia="lt-LT"/>
        </w:rPr>
        <w:t xml:space="preserve">ESPAD 2011 tyrimo duomenimis, alkoholio vartojimas tarp 15–16 metų moksleivių vis dar labai paplitęs – </w:t>
      </w:r>
      <w:r w:rsidRPr="00EB2F7E">
        <w:rPr>
          <w:spacing w:val="2"/>
          <w:lang w:eastAsia="lt-LT"/>
        </w:rPr>
        <w:t>maždaug toks pat kaip 2007 metais. Abstinentų – per savo gyvenimą visai nevartojusių alkoholio – skaičius tarp šios grupės mokinių 2007 metais beveik nekito: 2007 metais</w:t>
      </w:r>
      <w:r w:rsidRPr="00EB2F7E">
        <w:rPr>
          <w:lang w:eastAsia="lt-LT"/>
        </w:rPr>
        <w:t xml:space="preserve"> – 4,5, 2011 metais – 4,7 procento. Abstinentų berniukų šiek tiek daugiau negu mergaičių. Alkoholio vartojimas per paskutines 30 dienų pastaruosius 4 metus tarp 15–16 metų berniukų ir mergaičių plito šiek tiek lėčiau ir 2011 metais siekė atitinkamai 63 ir 64 procentus. </w:t>
      </w:r>
    </w:p>
    <w:p w:rsidR="00E80028" w:rsidRPr="008D1CDC" w:rsidRDefault="00E80028" w:rsidP="00E80028">
      <w:pPr>
        <w:spacing w:before="100" w:beforeAutospacing="1" w:after="100" w:afterAutospacing="1"/>
        <w:ind w:firstLine="720"/>
        <w:jc w:val="both"/>
        <w:rPr>
          <w:lang w:eastAsia="lt-LT"/>
        </w:rPr>
      </w:pPr>
      <w:r w:rsidRPr="00EB2F7E">
        <w:rPr>
          <w:lang w:eastAsia="lt-LT"/>
        </w:rPr>
        <w:lastRenderedPageBreak/>
        <w:t> </w:t>
      </w:r>
      <w:r>
        <w:rPr>
          <w:lang w:eastAsia="lt-LT"/>
        </w:rPr>
        <w:t xml:space="preserve">Komisijos narių siūlymas </w:t>
      </w:r>
      <w:r>
        <w:t xml:space="preserve">mažinti tabako gaminių </w:t>
      </w:r>
      <w:r>
        <w:rPr>
          <w:b/>
          <w:bCs/>
        </w:rPr>
        <w:t>ir jų pakaitalų</w:t>
      </w:r>
      <w:r>
        <w:t xml:space="preserve"> prieinamumą, didinant jų kainas, </w:t>
      </w:r>
      <w:r>
        <w:rPr>
          <w:b/>
          <w:bCs/>
        </w:rPr>
        <w:t>riboti jų prekybą elektroninių ryšių tinklais</w:t>
      </w:r>
      <w:r>
        <w:t xml:space="preserve"> pagrįstas a</w:t>
      </w:r>
      <w:r w:rsidRPr="008D1CDC">
        <w:rPr>
          <w:lang w:eastAsia="lt-LT"/>
        </w:rPr>
        <w:t xml:space="preserve">tliekamo kas 4 metus alkoholio ir kitų narkotikų Europos mokyklose (toliau – ESPAD 2011) tyrimo duomenimis, 15–16 metų mokinių, vartojusių tabaką bent kartą gyvenime, nuo 2003 iki 2007 metų itin sumažėjo, tačiau nuo 2007 iki 2011 metų keliais procentais padaugėjo (iki 74 procentų), 2011 metais bent kartą gyvenime rūkiusių berniukų buvo 79 procentai, mergaičių – 70 procentų (2 lentelė). Berniukų ir mergaičių, vartojančių tabaką, padaugėjo maždaug tiek pat. Tabako vartojimas per paskutines 30 dienų pastaruosius 4 metus tarp berniukų paplitęs tiek pat (2011 metais – 39 procentai), o jį vartojančių mergaičių padaugėjo nuo 29 procentų 2007 metais iki 35 procentų 2011 metais. Higienos instituto Sveikatos informacijos centro duomenimis, nuo susijusių su rūkymu piktybinių navikų 2012 metais mirė 1 594 asmenys (53,4 mirties atvejo 100 tūkst. </w:t>
      </w:r>
      <w:r w:rsidRPr="008D1CDC">
        <w:rPr>
          <w:spacing w:val="-2"/>
          <w:lang w:eastAsia="lt-LT"/>
        </w:rPr>
        <w:t>gyventojų), 2011 metais – 1 645 asmenys (54,3 mirties atvejo 100 tūkst. gyventojų), 2010 metais</w:t>
      </w:r>
      <w:r w:rsidRPr="008D1CDC">
        <w:rPr>
          <w:lang w:eastAsia="lt-LT"/>
        </w:rPr>
        <w:t xml:space="preserve"> – 1 577 asmenys (50,9 mirties atvejo 100 tūkst. gyventojų), 2009 metais – 1 638 asmenys (51,8 mirties atvejo 100 tūkst. gyventojų); dėl lūpų, burnos ertmės ir ryklės piktybinių navikų 2012 metais mirė 237 asmenys, 2011 metais – 255 asmenys, 2010 metais – 275 asmenys, 2009 metais – 256 asmenys; dėl trachėjos, bronchų ir plaučių piktybinių navikų 2012 metais mirė 1 357 asmenys, 2011 metais – 1 390 asmenų, 2010 metais – 1 302 asmenys, 2009 metais – 1 382 asmenys.</w:t>
      </w:r>
      <w:r>
        <w:rPr>
          <w:lang w:eastAsia="lt-LT"/>
        </w:rPr>
        <w:t xml:space="preserve"> </w:t>
      </w:r>
      <w:r w:rsidRPr="008D1CDC">
        <w:rPr>
          <w:lang w:eastAsia="lt-LT"/>
        </w:rPr>
        <w:t>Lietuvos sveikatos mokslų universiteto kas 2 metus atliekamų suaugusių Lietuvos gyventojų gyvensenos tyrimų duomenimis, iki 2000 metų rūkančiųjų daugėjo visoje populiacijoje, o rūkančių moterų pagausėjo net 2,3 karto. Vėlesniais metais rūkančių vyrų sumažėjo 1,5 karto, o moterų šis rodiklis pakito nežymiai: 1994 metais kasdien rūkė 44 procentai 20–64 metų vyrų ir 7 procentai 20–64 metų moterų, 2000 metais – 52 procentai vyrų ir 16 procentų moterų, 2012 metais – 33 procentai vyrų ir 13 procentų moterų.</w:t>
      </w:r>
    </w:p>
    <w:p w:rsidR="00E80028" w:rsidRDefault="00E80028" w:rsidP="00E80028">
      <w:pPr>
        <w:ind w:firstLine="709"/>
        <w:jc w:val="both"/>
      </w:pPr>
      <w:r w:rsidRPr="00EB2F7E">
        <w:rPr>
          <w:lang w:eastAsia="lt-LT"/>
        </w:rPr>
        <w:t> </w:t>
      </w:r>
      <w:r>
        <w:rPr>
          <w:lang w:eastAsia="lt-LT"/>
        </w:rPr>
        <w:t xml:space="preserve">Komisijos narių siūlymas </w:t>
      </w:r>
      <w:r>
        <w:rPr>
          <w:b/>
          <w:bCs/>
        </w:rPr>
        <w:t xml:space="preserve">sukurti efektyvią kompleksinės pagalbos sistemą nepilnamečiams, sergantiems priklausomybės ligomis ir taikyti alternatyvų bausmių atlikimą asmenims, gydomiems nuo priklausomybės alkoholiu, narkotinėmis ir psichotropinėmis medžiagomis, bei pagerinti paslaugų prieinamumą asmenims, priklausomiems nuo alkoholio, narkotinėmis ir psichotropinėmis medžiagų vartojimo, azartinių lošimų, ir jų sveikatos priežiūrą, reabilitaciją ir socialinę integraciją </w:t>
      </w:r>
      <w:r w:rsidRPr="005E4251">
        <w:rPr>
          <w:bCs/>
        </w:rPr>
        <w:t>buvo</w:t>
      </w:r>
      <w:r>
        <w:rPr>
          <w:b/>
          <w:bCs/>
        </w:rPr>
        <w:t xml:space="preserve"> </w:t>
      </w:r>
      <w:r w:rsidRPr="00373940">
        <w:rPr>
          <w:bCs/>
        </w:rPr>
        <w:t>agrumentuotas</w:t>
      </w:r>
      <w:r>
        <w:rPr>
          <w:bCs/>
        </w:rPr>
        <w:t xml:space="preserve"> tuo</w:t>
      </w:r>
      <w:r w:rsidRPr="00373940">
        <w:rPr>
          <w:bCs/>
        </w:rPr>
        <w:t xml:space="preserve">, jog </w:t>
      </w:r>
      <w:r>
        <w:rPr>
          <w:bCs/>
        </w:rPr>
        <w:t>n</w:t>
      </w:r>
      <w:r>
        <w:t xml:space="preserve">uo 2004 m. kryptingai plėtojamos sveikatos priežiūros paslaugos asmenims, priklausomiems nuo neteisėto narkotinių ir psichotropinių medžiagų vartojimo. 2004 m. Lietuvoje veikė 65 psichikos sveikatos centrai (2009 m. – 87), teikiamos specializuotos gydymo ir ilgalaikės psichoterapinės reabilitacijos paslaugos vaikams, neteisėtai vartojantiems narkotines ir psichotropines medžiagas. 2009 m. Lietuvoje sergamumas narkomanija sudarė 8,1 atvejo 100 tūkst. gyventojų ir buvo mažesnis už pastarųjų septynerių metų vidurkį. Daugiau kaip 90 proc. šių asmenų neteisėtai vartojo švirkščiamąsias narkotines ir psichotropines medžiagas, iš jų apie 80 proc. vartojo opioidus. 2009 m. asmens sveikatos priežiūros įstaigose dėl psichikos ir elgesio sutrikimų, kuriuos sukėlė neteisėtai vartojamos narkotinės ir psichotropinės medžiagos, registruota 11 vaikų (2008 m. – 15, 2007 m. – 11, 2006 m. – 19, 2005 m. – 43, 2004 m. – 54 vaikai). </w:t>
      </w:r>
      <w:r>
        <w:rPr>
          <w:color w:val="000000"/>
        </w:rPr>
        <w:t xml:space="preserve">2004–2009 m., siekiant užtikrinti socialinių, psichologinių ir reabilitacijos paslaugų prieinamumą asmenims, priklausomiems nuo narkotinių ir psichotropinių medžiagų, kryptingai teikiama valstybės parama socialinės ir psichologinės reabilitacijos bendruomenėms. 2009 m. trumpalaikę socialinę globą tokiems asmenims teikė 18 socialinės ir psichologinės reabilitacijos įstaigų. Siekiant integruoti šiuos asmenis į darbo rinką, mažinti jų socialinę atskirtį, plėtojamas adaptacijos įstaigų tinklas. </w:t>
      </w:r>
      <w:r>
        <w:t xml:space="preserve">Į asmens sveikatos priežiūros įstaigas dėl apsinuodijimų narkotinėmis ar psichotropinėmis medžiagomis 2009 m. buvo kreiptasi 308 kartus (2008 m. – 290, 2007 m. – 283, 2006 m. – 287, 2005 m. – 257, 2004 m. – 300 kartų). </w:t>
      </w:r>
      <w:r>
        <w:lastRenderedPageBreak/>
        <w:t>Iš asmenų, kurie kreipėsi į asmens sveikatos priežiūros įstaigas dėl šios priežasties, apie 40 proc. buvo apsinuodiję opioidais. 2009 m. Lietuvoje užregistruoti 68 mirties dėl narkotinių ir psichotropinių medžiagų vartojimo atvejai (2008 m. – 60, 2007 m. – 72, 2006 m. – 62, 2005 m. – 31, 2004 m. – 38 atvejai). Dažniausia tokių mirčių priežastis – apsinuodijimas opioidais. Neteisėtas narkotinių ir psichotropinių medžiagų vartojimas tiesiogiai siejamas su infekcinių ligų (ŽIV, AIDS, hepatitų) plitimu. 2010 m. sausio 1 d. duomenimis, Lietuvoje nustatytas 1 581 asmuo, užsikrėtęs ŽIV. Iš šių asmenų 72 proc. ŽIV užsikrėtė neteisėtai vartodami švirkščiamąsias narkotines ir psichotropines medžiagas. Nuo 2006 m., plėtojant socialines ir sveikatos priežiūros paslaugas švirkščiamųjų narkotinių ir psichotropinių medžiagų vartotojams, sumažėjo asmenų, naujai užsikrėtusių ŽIV dėl neteisėto šių medžiagų vartojimo, palyginti su visais ŽIV užsikrėtusiais asmenimis, – nuo 74 proc. 2004 m. iki 44 proc. 2008 m.</w:t>
      </w:r>
    </w:p>
    <w:p w:rsidR="00E80028" w:rsidRPr="00887827" w:rsidRDefault="00E80028" w:rsidP="00E80028">
      <w:pPr>
        <w:ind w:firstLine="709"/>
        <w:jc w:val="both"/>
      </w:pPr>
      <w:r>
        <w:t>Komisija inicijavusi dėl prekybos elektroninių ryšių tinklais, alkoholiniais gėrimais ir tabako gaminių pakaitalais (elektroninėmis cigaretėmis, skysčiais ir pan.) kontrolės priemonių įgyvendinimo klausimo svarstymą bendrame posėdyje su Informacinės visuomenės plėtros ir Švietimo, mokslo ir kultūros komitetais, priėmė sprendimą, kad s</w:t>
      </w:r>
      <w:r w:rsidRPr="00887827">
        <w:t>iekiant apsaugoti vartotojų</w:t>
      </w:r>
      <w:r>
        <w:rPr>
          <w:b/>
        </w:rPr>
        <w:t xml:space="preserve">, </w:t>
      </w:r>
      <w:r w:rsidRPr="00887827">
        <w:t>ypač nepilnamečių</w:t>
      </w:r>
      <w:r>
        <w:t>,</w:t>
      </w:r>
      <w:r w:rsidRPr="00887827">
        <w:t xml:space="preserve"> interesus</w:t>
      </w:r>
      <w:r w:rsidRPr="00887827">
        <w:rPr>
          <w:b/>
        </w:rPr>
        <w:t xml:space="preserve"> </w:t>
      </w:r>
      <w:r>
        <w:t xml:space="preserve">ir mažinant alkoholio prieinamumą bei žalą žmogaus sveikatai, pritarti iniciatyvai sugriežtinti </w:t>
      </w:r>
      <w:r>
        <w:rPr>
          <w:b/>
        </w:rPr>
        <w:t xml:space="preserve"> </w:t>
      </w:r>
      <w:r w:rsidRPr="00887827">
        <w:t>prekybą alkoholiniais gėrimais</w:t>
      </w:r>
      <w:r>
        <w:t xml:space="preserve">, uždraudžiant pardavinėti alkoholinius gėrimus elektroninių ryšio priemonių pagalba. Siūlyti Sveikatos apsaugos ministro 2014-05-15 įsakymu Nr. V-572 sudarytai darbo grupei įgyvendinti Europos Parlamento ir Tarybos direktyvos 2014/40ES 24 straipsnio 3 dalį ir uždrausti tabako gaminių pakaitalus (elektronines cigaretes), numatant tam būtinas nacionalines priemones. </w:t>
      </w:r>
      <w:r w:rsidRPr="00887827">
        <w:t xml:space="preserve"> </w:t>
      </w:r>
    </w:p>
    <w:p w:rsidR="00E80028" w:rsidRDefault="00E80028" w:rsidP="00E80028">
      <w:pPr>
        <w:spacing w:before="100" w:beforeAutospacing="1"/>
        <w:ind w:firstLine="709"/>
        <w:jc w:val="both"/>
        <w:rPr>
          <w:lang w:eastAsia="lt-LT"/>
        </w:rPr>
      </w:pPr>
      <w:r w:rsidRPr="0001354B">
        <w:rPr>
          <w:lang w:eastAsia="lt-LT"/>
        </w:rPr>
        <w:t>Kiti Komisijos narių  inicijuoti</w:t>
      </w:r>
      <w:r>
        <w:rPr>
          <w:lang w:eastAsia="lt-LT"/>
        </w:rPr>
        <w:t xml:space="preserve"> pasiūlymų</w:t>
      </w:r>
      <w:r w:rsidRPr="0001354B">
        <w:rPr>
          <w:lang w:eastAsia="lt-LT"/>
        </w:rPr>
        <w:t xml:space="preserve"> dėl įstatymų pakeitimo ir papildymo</w:t>
      </w:r>
      <w:r>
        <w:rPr>
          <w:lang w:eastAsia="lt-LT"/>
        </w:rPr>
        <w:t xml:space="preserve"> projektai</w:t>
      </w:r>
      <w:r w:rsidRPr="0001354B">
        <w:rPr>
          <w:lang w:eastAsia="lt-LT"/>
        </w:rPr>
        <w:t>:</w:t>
      </w:r>
    </w:p>
    <w:p w:rsidR="00E80028" w:rsidRPr="0001354B" w:rsidRDefault="00E80028" w:rsidP="00E80028">
      <w:pPr>
        <w:spacing w:before="100" w:beforeAutospacing="1"/>
        <w:ind w:firstLine="709"/>
        <w:jc w:val="both"/>
        <w:rPr>
          <w:lang w:eastAsia="lt-LT"/>
        </w:rPr>
      </w:pPr>
    </w:p>
    <w:p w:rsidR="00E80028" w:rsidRPr="001B7BBC" w:rsidRDefault="00E80028" w:rsidP="00E80028">
      <w:pPr>
        <w:pStyle w:val="TableText"/>
        <w:spacing w:after="120"/>
        <w:ind w:firstLine="709"/>
        <w:jc w:val="left"/>
        <w:rPr>
          <w:lang w:val="lt-LT"/>
        </w:rPr>
      </w:pPr>
      <w:r>
        <w:rPr>
          <w:lang w:val="lt-LT"/>
        </w:rPr>
        <w:t xml:space="preserve">Lietuvos Respublikos alkoholio kontrolės įstatymo Nr. I-857 9 straipsnio pakeitimo įstatymas; </w:t>
      </w:r>
      <w:r w:rsidRPr="001B7BBC">
        <w:t>Lietuvos Respublikos baudžiamojo kodekso papildymo 39</w:t>
      </w:r>
      <w:r w:rsidRPr="001B7BBC">
        <w:rPr>
          <w:vertAlign w:val="superscript"/>
        </w:rPr>
        <w:t>2</w:t>
      </w:r>
      <w:r w:rsidRPr="001B7BBC">
        <w:t xml:space="preserve"> straipsniu įstatymo projektas.</w:t>
      </w:r>
    </w:p>
    <w:p w:rsidR="00E80028" w:rsidRPr="00387E75" w:rsidRDefault="00E80028" w:rsidP="00E80028">
      <w:pPr>
        <w:ind w:firstLine="720"/>
        <w:jc w:val="both"/>
      </w:pPr>
    </w:p>
    <w:p w:rsidR="00E80028" w:rsidRPr="00387E75" w:rsidRDefault="00E80028" w:rsidP="00E80028">
      <w:pPr>
        <w:ind w:firstLine="720"/>
        <w:jc w:val="both"/>
      </w:pPr>
      <w:r w:rsidRPr="00387E75">
        <w:t xml:space="preserve">Antroji </w:t>
      </w:r>
      <w:r w:rsidRPr="00387E75">
        <w:rPr>
          <w:b/>
        </w:rPr>
        <w:t>(II)</w:t>
      </w:r>
      <w:r w:rsidRPr="00387E75">
        <w:t xml:space="preserve"> prioritetinė Komisijos veiklos kryptis. Parlamentinės kontrolės klausimai. </w:t>
      </w:r>
    </w:p>
    <w:p w:rsidR="00E80028" w:rsidRPr="00387E75" w:rsidRDefault="00E80028" w:rsidP="00E80028">
      <w:pPr>
        <w:ind w:firstLine="720"/>
        <w:jc w:val="both"/>
      </w:pPr>
    </w:p>
    <w:p w:rsidR="00E80028" w:rsidRDefault="00E80028" w:rsidP="00E80028">
      <w:pPr>
        <w:ind w:firstLine="720"/>
        <w:jc w:val="both"/>
      </w:pPr>
      <w:r>
        <w:t xml:space="preserve">Nagrinėta trisdešimt viena </w:t>
      </w:r>
      <w:r>
        <w:rPr>
          <w:sz w:val="22"/>
          <w:szCs w:val="22"/>
        </w:rPr>
        <w:t xml:space="preserve">tema  parlamentinės kontrolės klausimais. Iš jų paminėtinos: </w:t>
      </w:r>
      <w:r w:rsidRPr="00A356BC">
        <w:t xml:space="preserve"> </w:t>
      </w:r>
      <w:r>
        <w:t>d</w:t>
      </w:r>
      <w:r w:rsidRPr="00A52FE4">
        <w:t xml:space="preserve">ėl </w:t>
      </w:r>
      <w:r>
        <w:t>2014</w:t>
      </w:r>
      <w:r w:rsidRPr="00A52FE4">
        <w:t xml:space="preserve"> metų valstybės strategijos ir politikos narkotikų, alkoholio, tabako kontrolės ir narkomanijos, alkoholizmo bei rūkymo prevencijos srityse</w:t>
      </w:r>
      <w:r>
        <w:t>; dėl narkotinių ir psichotropinių medžiagų, narkotinių ir psichotropinių medžiagų pirmtakų (prekursorių), tabako ir alkoholio kontrolės koncepcijos įgyvendinimo; d</w:t>
      </w:r>
      <w:r w:rsidRPr="003D3243">
        <w:t xml:space="preserve">ėl </w:t>
      </w:r>
      <w:r>
        <w:t>priklausomybės ligų prevencijos, gydymo, reabilitacijos ir reintegracijos paslaugų sistemos sukūrimo koncepcijos (gairių) įgyvendinimo; d</w:t>
      </w:r>
      <w:r w:rsidRPr="00317A21">
        <w:t>ėl Nacionalinės narkotikų kontrolės ir narkomanijos prevencijos 2010-2016 metų programos įgyvendinimo</w:t>
      </w:r>
      <w:r>
        <w:t>; d</w:t>
      </w:r>
      <w:r w:rsidRPr="003541F1">
        <w:t>ėl Alkoholio ir tabako kontrolės 2012-2014 metų programos (tarpinstitucinio veiklos plano) įgyvendinimo</w:t>
      </w:r>
      <w:r>
        <w:t>; dėl prekybos elektroninių ryšių tinklais narkotinėmis ir psichotropinėmis medžiagomis, alkoholiniais gėrimais, tabako gaminiais ir jų pakaitalais (elektroninėmis cigaretėmis, skysčiais ir pan.) kontrolės priemonių įgyvendinimo; dėl S</w:t>
      </w:r>
      <w:r w:rsidRPr="00F76B3B">
        <w:t>avivaldybių narkotikų kontrolės ir vaiko gerovės komisijų narių mokymai psichoaktyviųjų medžiagų paklausos mažinimo klausimais: rezultatai, poreikiai ir planai</w:t>
      </w:r>
      <w:r>
        <w:t>; dėl padėties romų tabore Kirtimuose, Vilniuje; dėl narkotikų užkardymo</w:t>
      </w:r>
      <w:r w:rsidRPr="006D441C">
        <w:t xml:space="preserve"> – narkotikų pasiūlos mažinimas, kovojant su narkotikų gamyba ir prekyba</w:t>
      </w:r>
      <w:r>
        <w:t xml:space="preserve"> ir kt.</w:t>
      </w:r>
    </w:p>
    <w:p w:rsidR="00E80028" w:rsidRDefault="00E80028" w:rsidP="00E80028">
      <w:pPr>
        <w:ind w:firstLine="720"/>
        <w:jc w:val="both"/>
      </w:pPr>
      <w:r>
        <w:t xml:space="preserve">2014 metais Komisija </w:t>
      </w:r>
      <w:r w:rsidRPr="00387E75">
        <w:t xml:space="preserve">posėdžiavo </w:t>
      </w:r>
      <w:r>
        <w:t xml:space="preserve">trylika </w:t>
      </w:r>
      <w:r w:rsidRPr="00387E75">
        <w:t>kartų. Komisijos posėdžiuose dalyvavo nevyriausybinių organizacijų atstovai, valstybės institucijų atstovai ir  kiti asmenys.</w:t>
      </w:r>
    </w:p>
    <w:p w:rsidR="00E80028" w:rsidRPr="002E1714" w:rsidRDefault="00E80028" w:rsidP="00E80028">
      <w:pPr>
        <w:ind w:firstLine="720"/>
        <w:jc w:val="both"/>
        <w:rPr>
          <w:rFonts w:eastAsia="Arial Unicode MS"/>
        </w:rPr>
      </w:pPr>
      <w:r>
        <w:lastRenderedPageBreak/>
        <w:t xml:space="preserve">Vienas Komisijos posėdis vyko kartu su Informacinės visuomenės plėtros ir Švietimo, mokslo ir kultūros komitetais dėl prekybos elektroninių ryšių tinklais, alkoholiniais gėrimais ir tabako gaminių pakaitalais (elektroninėmis cigaretėmis, skysčiais ir pan.) kontrolės priemonių įgyvendinimo. </w:t>
      </w:r>
      <w:r w:rsidRPr="00387E75">
        <w:t>Remdamasi šiuo posėdžiu, K</w:t>
      </w:r>
      <w:r>
        <w:t xml:space="preserve">omisija priėmė sprendimą, kad siekiant apsaugoti vartotojų, ypač nepilnamečių, interesus ir mažinant alkoholio prieinamumą bei žalą žmogaus sveikatai, pritarti iniciatyvai sugriežtinti prekybą alkoholiniais gėrimais, uždraudžiant  pardavinėti alkoholinius gėrimus elektroninių ryšių priemonių pagalba. Siūlyti Sveikatos apsaugos ministro 2014-05-15 įsakymu Nr. V-572 sudaryti darbo grupei igyvendinti Europos Parlamento ir Tarybos direktyvos 2014/40/ES 24 straipsnio 3 dalį ir uždrausti tabako gaminių pakaitalus (elektronines cigaretes), numatant tam būtinas nacionalines priemones. </w:t>
      </w:r>
    </w:p>
    <w:p w:rsidR="00E80028" w:rsidRDefault="00E80028" w:rsidP="00E80028">
      <w:pPr>
        <w:ind w:firstLine="720"/>
        <w:jc w:val="both"/>
      </w:pPr>
      <w:r w:rsidRPr="00387E75">
        <w:t xml:space="preserve">Vienas </w:t>
      </w:r>
      <w:r>
        <w:t xml:space="preserve">išvažiuojamnasis </w:t>
      </w:r>
      <w:r w:rsidRPr="00387E75">
        <w:t xml:space="preserve">Komisjos posėdis vyko </w:t>
      </w:r>
      <w:r>
        <w:t xml:space="preserve">Visagino mieste, savivaldybės patalpose. </w:t>
      </w:r>
    </w:p>
    <w:p w:rsidR="00E80028" w:rsidRDefault="00E80028" w:rsidP="00E80028">
      <w:pPr>
        <w:ind w:firstLine="720"/>
        <w:jc w:val="both"/>
      </w:pPr>
      <w:r w:rsidRPr="00387E75">
        <w:t xml:space="preserve">Komisija lankėsi </w:t>
      </w:r>
      <w:r>
        <w:t xml:space="preserve">Vilniaus </w:t>
      </w:r>
      <w:r w:rsidRPr="00387E75">
        <w:t>priklausomybės</w:t>
      </w:r>
      <w:r>
        <w:t xml:space="preserve"> ligų centre. </w:t>
      </w:r>
    </w:p>
    <w:p w:rsidR="00E80028" w:rsidRDefault="00E80028" w:rsidP="00E80028">
      <w:pPr>
        <w:ind w:firstLine="720"/>
        <w:jc w:val="both"/>
      </w:pPr>
    </w:p>
    <w:p w:rsidR="00E80028" w:rsidRDefault="00E80028" w:rsidP="00E80028">
      <w:pPr>
        <w:ind w:firstLine="720"/>
        <w:jc w:val="both"/>
      </w:pPr>
      <w:r w:rsidRPr="00387E75">
        <w:t xml:space="preserve">Trečioji </w:t>
      </w:r>
      <w:r w:rsidRPr="00387E75">
        <w:rPr>
          <w:b/>
        </w:rPr>
        <w:t>(III)</w:t>
      </w:r>
      <w:r w:rsidRPr="00387E75">
        <w:t xml:space="preserve"> Komisijos prioritetinė veiklos kryptis.</w:t>
      </w:r>
      <w:r w:rsidRPr="00387E75">
        <w:rPr>
          <w:b/>
        </w:rPr>
        <w:t xml:space="preserve"> </w:t>
      </w:r>
      <w:r w:rsidRPr="00387E75">
        <w:t xml:space="preserve">Organizuoti renginius, diskusijas ir konferencijas. </w:t>
      </w:r>
    </w:p>
    <w:p w:rsidR="00E80028" w:rsidRPr="00387E75" w:rsidRDefault="00E80028" w:rsidP="00E80028">
      <w:pPr>
        <w:ind w:firstLine="720"/>
        <w:jc w:val="both"/>
      </w:pPr>
    </w:p>
    <w:p w:rsidR="00E80028" w:rsidRDefault="00E80028" w:rsidP="00E80028">
      <w:pPr>
        <w:spacing w:line="276" w:lineRule="auto"/>
        <w:ind w:firstLine="720"/>
        <w:jc w:val="both"/>
      </w:pPr>
      <w:r>
        <w:t>2014</w:t>
      </w:r>
      <w:r w:rsidRPr="00387E75">
        <w:t xml:space="preserve"> metais Komisija organizavo du renginius, </w:t>
      </w:r>
      <w:r>
        <w:t>diskusija</w:t>
      </w:r>
      <w:r w:rsidRPr="00387E75">
        <w:t xml:space="preserve"> ir dvi </w:t>
      </w:r>
      <w:r>
        <w:t xml:space="preserve">tarptautines konferencijas: </w:t>
      </w:r>
      <w:r>
        <w:rPr>
          <w:sz w:val="22"/>
          <w:szCs w:val="22"/>
        </w:rPr>
        <w:t xml:space="preserve">2014 m.  gegužės 18 d. „Mama, noriu gimti blaivas“ ir  </w:t>
      </w:r>
      <w:r>
        <w:t>2014</w:t>
      </w:r>
      <w:r w:rsidRPr="00387E75">
        <w:t xml:space="preserve"> m. gegužės 23 </w:t>
      </w:r>
      <w:r>
        <w:t xml:space="preserve">d. </w:t>
      </w:r>
      <w:r w:rsidRPr="00387E75">
        <w:t xml:space="preserve">  Tarptautinės be žinios dingusių vaikų dienos paminėjimo renginiai; </w:t>
      </w:r>
      <w:r>
        <w:t>2014 m. rugsėjo 9 d. apskritojo stalo diskusija, skirta Tarptautinei vaisiaus alkoholinio sindromo dienai paminėti; dvi tarptautines konferencijas: 2014</w:t>
      </w:r>
      <w:r w:rsidRPr="00320616">
        <w:t xml:space="preserve"> m. </w:t>
      </w:r>
      <w:r>
        <w:t xml:space="preserve">rugsėjo 26 </w:t>
      </w:r>
      <w:r w:rsidRPr="00320616">
        <w:t xml:space="preserve">d. </w:t>
      </w:r>
      <w:r>
        <w:t xml:space="preserve">pirmąją Baltijos šalyse konferenciją tema „Prenatalinė alkoholio vartojimo prevencija“ ir 2014 m. lapkričio 12 d. kasmetinę konferenciją „Psichoaktyvių medžiagų vartojimo prevencija bendrojo ugdymo institucijose“. </w:t>
      </w:r>
    </w:p>
    <w:p w:rsidR="00E80028" w:rsidRPr="00E1374C" w:rsidRDefault="00E80028" w:rsidP="00E80028">
      <w:pPr>
        <w:spacing w:line="276" w:lineRule="auto"/>
        <w:ind w:firstLine="720"/>
        <w:jc w:val="both"/>
        <w:rPr>
          <w:sz w:val="22"/>
          <w:szCs w:val="22"/>
        </w:rPr>
      </w:pPr>
      <w:r>
        <w:t xml:space="preserve">2014 m. </w:t>
      </w:r>
      <w:r w:rsidRPr="00E1374C">
        <w:rPr>
          <w:sz w:val="22"/>
          <w:szCs w:val="22"/>
        </w:rPr>
        <w:t xml:space="preserve">gegužės 28 d. Lietuvos Respublikos Seime </w:t>
      </w:r>
      <w:r>
        <w:rPr>
          <w:sz w:val="22"/>
          <w:szCs w:val="22"/>
        </w:rPr>
        <w:t>spaudos konferencijos metu buvo</w:t>
      </w:r>
      <w:r w:rsidRPr="00E1374C">
        <w:rPr>
          <w:sz w:val="22"/>
          <w:szCs w:val="22"/>
        </w:rPr>
        <w:t xml:space="preserve"> pristatoma </w:t>
      </w:r>
      <w:r w:rsidRPr="00056B40">
        <w:rPr>
          <w:bCs/>
          <w:sz w:val="22"/>
          <w:szCs w:val="22"/>
        </w:rPr>
        <w:t>Europos narkotikų ir narkomanijos stebėsenos centro  metinė ataskaita „2014 m. Europos narkotikų vartojimo paplitimo ataskaita. Tendencijos ir pokyčiai“</w:t>
      </w:r>
      <w:r w:rsidRPr="00056B40">
        <w:rPr>
          <w:sz w:val="22"/>
          <w:szCs w:val="22"/>
        </w:rPr>
        <w:t>,</w:t>
      </w:r>
      <w:r>
        <w:rPr>
          <w:sz w:val="22"/>
          <w:szCs w:val="22"/>
        </w:rPr>
        <w:t xml:space="preserve"> </w:t>
      </w:r>
      <w:r w:rsidRPr="00E1374C">
        <w:rPr>
          <w:sz w:val="22"/>
          <w:szCs w:val="22"/>
        </w:rPr>
        <w:t xml:space="preserve"> kurioje nagrinėjama narkotikų pasiūla, narkotikų vartojimas ir su narkotikais susijusios problemos, o taip pat su sveikatos priežiūra ir socialiniais aspektais susijusių problemų sprendimo priemonės ir kovos su narkotikais strategijos. </w:t>
      </w:r>
    </w:p>
    <w:p w:rsidR="00E80028" w:rsidRDefault="00E80028" w:rsidP="00E80028">
      <w:pPr>
        <w:pStyle w:val="TableText"/>
        <w:spacing w:after="120"/>
        <w:ind w:firstLine="720"/>
        <w:jc w:val="both"/>
        <w:rPr>
          <w:lang w:val="lt-LT"/>
        </w:rPr>
      </w:pPr>
    </w:p>
    <w:p w:rsidR="00E80028" w:rsidRDefault="00E80028" w:rsidP="00E80028">
      <w:pPr>
        <w:pStyle w:val="TableText"/>
        <w:spacing w:after="120"/>
        <w:ind w:firstLine="720"/>
        <w:jc w:val="both"/>
        <w:rPr>
          <w:lang w:val="lt-LT"/>
        </w:rPr>
      </w:pPr>
    </w:p>
    <w:p w:rsidR="00E80028" w:rsidRPr="00387E75" w:rsidRDefault="00E80028" w:rsidP="00E80028">
      <w:pPr>
        <w:ind w:firstLine="720"/>
        <w:jc w:val="both"/>
      </w:pPr>
      <w:r w:rsidRPr="00387E75">
        <w:t xml:space="preserve">Ketvirtoji </w:t>
      </w:r>
      <w:r w:rsidRPr="00387E75">
        <w:rPr>
          <w:b/>
        </w:rPr>
        <w:t>(IV)</w:t>
      </w:r>
      <w:r w:rsidRPr="00387E75">
        <w:t xml:space="preserve"> prioritetinė Komisijos veiklos kryptis.</w:t>
      </w:r>
      <w:r w:rsidRPr="00387E75">
        <w:rPr>
          <w:b/>
        </w:rPr>
        <w:t xml:space="preserve"> </w:t>
      </w:r>
      <w:r w:rsidRPr="00387E75">
        <w:t>Tarptautinių konvencijų ir rekomendacijų (Jungtinių Tautų Organizacijos, Europos Tarybos, Europos Sąjungos) narkotikų, tabako ir alkoholio kontrolės, narkomanijos ir alkoholizmo bei rūkymo prevencijos  klausimais įgyvendinimas pagal nacionalinius įstatymus.</w:t>
      </w:r>
    </w:p>
    <w:p w:rsidR="00E80028" w:rsidRPr="00387E75" w:rsidRDefault="00E80028" w:rsidP="00E80028">
      <w:pPr>
        <w:ind w:firstLine="720"/>
        <w:jc w:val="both"/>
      </w:pPr>
    </w:p>
    <w:p w:rsidR="00E80028" w:rsidRPr="00387E75" w:rsidRDefault="00E80028" w:rsidP="00E80028">
      <w:pPr>
        <w:ind w:firstLine="720"/>
        <w:jc w:val="both"/>
      </w:pPr>
    </w:p>
    <w:p w:rsidR="00E80028" w:rsidRPr="00387E75" w:rsidRDefault="00E80028" w:rsidP="00E80028">
      <w:pPr>
        <w:rPr>
          <w:b/>
        </w:rPr>
      </w:pPr>
    </w:p>
    <w:p w:rsidR="00E80028" w:rsidRPr="00387E75" w:rsidRDefault="00E80028" w:rsidP="00E80028">
      <w:r w:rsidRPr="00387E75">
        <w:tab/>
        <w:t>Parlamentinės kontrolės klausimais</w:t>
      </w:r>
      <w:r w:rsidRPr="00387E75">
        <w:rPr>
          <w:b/>
        </w:rPr>
        <w:t xml:space="preserve"> </w:t>
      </w:r>
      <w:r w:rsidRPr="00387E75">
        <w:t xml:space="preserve">Komisijos nagrinėtomis temomis  </w:t>
      </w:r>
      <w:r>
        <w:t xml:space="preserve">gauta informacija, </w:t>
      </w:r>
      <w:r w:rsidRPr="00387E75">
        <w:t>priimti sprendimai ir siūlymai (keletas pavyzdžių):</w:t>
      </w:r>
    </w:p>
    <w:p w:rsidR="00E80028" w:rsidRPr="00387E75" w:rsidRDefault="00E80028" w:rsidP="00E80028">
      <w:r w:rsidRPr="00387E75">
        <w:tab/>
        <w:t xml:space="preserve"> </w:t>
      </w:r>
    </w:p>
    <w:p w:rsidR="00E80028" w:rsidRPr="00387E75" w:rsidRDefault="00E80028" w:rsidP="00E80028">
      <w:pPr>
        <w:rPr>
          <w:bCs/>
        </w:rPr>
      </w:pPr>
      <w:r w:rsidRPr="00387E75">
        <w:rPr>
          <w:b/>
          <w:bCs/>
        </w:rPr>
        <w:t xml:space="preserve">        I.</w:t>
      </w:r>
      <w:r w:rsidRPr="00387E75">
        <w:rPr>
          <w:bCs/>
        </w:rPr>
        <w:t xml:space="preserve">  Dėl Kauno apskrities Priklausomybės ligų centro padėties ir paslaugų teikimo vaikams ir jaunimui. </w:t>
      </w:r>
    </w:p>
    <w:p w:rsidR="00E80028" w:rsidRDefault="00E80028" w:rsidP="00E80028">
      <w:pPr>
        <w:ind w:firstLine="720"/>
        <w:jc w:val="both"/>
        <w:rPr>
          <w:rFonts w:eastAsia="Arial Unicode MS"/>
        </w:rPr>
      </w:pPr>
      <w:r>
        <w:rPr>
          <w:rFonts w:eastAsia="Arial Unicode MS"/>
        </w:rPr>
        <w:t xml:space="preserve">Lietuvos Respublikos Vaiko teisių apsaugos kontrolierė (toliau - Kontrolierė) 2014 m. gegužės 14 d. raštu Nr. (1.17-2014-4)2-621 „Dėl priklausomybės ligomis sergančių vaikų paslaugų gerinimo“ kreipėsi į Lietuvos Respublikos Vyriausybę dėl Kauno apskrities </w:t>
      </w:r>
      <w:r>
        <w:rPr>
          <w:rFonts w:eastAsia="Arial Unicode MS"/>
        </w:rPr>
        <w:lastRenderedPageBreak/>
        <w:t xml:space="preserve">priklausomybės ligų centro veiklos plėtros galimybių. Minėto rašto kopija pasiųsta Narkomanijos ir alkoholizmo prevencijos komisijai ir Sveikatos apsaugos ministerijai. </w:t>
      </w:r>
    </w:p>
    <w:p w:rsidR="00E80028" w:rsidRDefault="00E80028" w:rsidP="00E80028">
      <w:pPr>
        <w:ind w:firstLine="720"/>
        <w:jc w:val="both"/>
        <w:rPr>
          <w:rFonts w:eastAsia="TimesNewRomanPSMT"/>
          <w:lang w:eastAsia="lt-LT"/>
        </w:rPr>
      </w:pPr>
      <w:r>
        <w:rPr>
          <w:rFonts w:eastAsia="Arial Unicode MS"/>
        </w:rPr>
        <w:t xml:space="preserve">Kontrolierė nurodė, kad </w:t>
      </w:r>
      <w:r w:rsidRPr="006F496F">
        <w:rPr>
          <w:rFonts w:eastAsia="TimesNewRomanPSMT"/>
          <w:lang w:eastAsia="lt-LT"/>
        </w:rPr>
        <w:t>Jungtinių Tautų Vaiko teisių konvencijoje įtvirtinti pamatiniai vaiko teisių apsaugos principai</w:t>
      </w:r>
      <w:r>
        <w:rPr>
          <w:rFonts w:eastAsia="TimesNewRomanPSMT"/>
          <w:lang w:eastAsia="lt-LT"/>
        </w:rPr>
        <w:t xml:space="preserve"> </w:t>
      </w:r>
      <w:r w:rsidRPr="006F496F">
        <w:rPr>
          <w:rFonts w:eastAsia="TimesNewRomanPSMT"/>
          <w:lang w:eastAsia="lt-LT"/>
        </w:rPr>
        <w:t>reikalauja, kad priimant vaikui turinčius įtakos sprendimus, pirmiausia būtų atsižvelgiama į vaiko</w:t>
      </w:r>
      <w:r>
        <w:rPr>
          <w:rFonts w:eastAsia="TimesNewRomanPSMT"/>
          <w:lang w:eastAsia="lt-LT"/>
        </w:rPr>
        <w:t xml:space="preserve"> </w:t>
      </w:r>
      <w:r w:rsidRPr="006F496F">
        <w:rPr>
          <w:rFonts w:eastAsia="TimesNewRomanPSMT"/>
          <w:lang w:eastAsia="lt-LT"/>
        </w:rPr>
        <w:t>interesus; kad vaikui būtų užtikrinta galimybė naudotis savo teisėmis ir jis nepatirtų diskriminacijos</w:t>
      </w:r>
      <w:r>
        <w:rPr>
          <w:rFonts w:eastAsia="TimesNewRomanPSMT"/>
          <w:lang w:eastAsia="lt-LT"/>
        </w:rPr>
        <w:t xml:space="preserve"> </w:t>
      </w:r>
      <w:r w:rsidRPr="006F496F">
        <w:rPr>
          <w:rFonts w:eastAsia="TimesNewRomanPSMT"/>
          <w:lang w:eastAsia="lt-LT"/>
        </w:rPr>
        <w:t>dėl amžiaus, sveikatos būklės, socialinės, turtinės ar šeimyninės padėties ar kokių kitų aplinkybių; jog</w:t>
      </w:r>
      <w:r>
        <w:rPr>
          <w:rFonts w:eastAsia="TimesNewRomanPSMT"/>
          <w:lang w:eastAsia="lt-LT"/>
        </w:rPr>
        <w:t xml:space="preserve"> </w:t>
      </w:r>
      <w:r w:rsidRPr="006F496F">
        <w:rPr>
          <w:rFonts w:eastAsia="TimesNewRomanPSMT"/>
          <w:lang w:eastAsia="lt-LT"/>
        </w:rPr>
        <w:t>vaikui būtų garantuota galimybė būti sveikam, visapusiškai ir harmoningai vystytis. Lietuva, būdama</w:t>
      </w:r>
      <w:r>
        <w:rPr>
          <w:rFonts w:eastAsia="TimesNewRomanPSMT"/>
          <w:lang w:eastAsia="lt-LT"/>
        </w:rPr>
        <w:t xml:space="preserve"> </w:t>
      </w:r>
      <w:r w:rsidRPr="006F496F">
        <w:rPr>
          <w:rFonts w:eastAsia="TimesNewRomanPSMT"/>
          <w:lang w:eastAsia="lt-LT"/>
        </w:rPr>
        <w:t>Konvencijos dalyve, turi pareigą padaryti viską, kad būtų įgyvendintos Konvencijos nuostatos,</w:t>
      </w:r>
      <w:r>
        <w:rPr>
          <w:rFonts w:eastAsia="TimesNewRomanPSMT"/>
          <w:lang w:eastAsia="lt-LT"/>
        </w:rPr>
        <w:t xml:space="preserve"> </w:t>
      </w:r>
      <w:r w:rsidRPr="006F496F">
        <w:rPr>
          <w:rFonts w:eastAsia="TimesNewRomanPSMT"/>
          <w:lang w:eastAsia="lt-LT"/>
        </w:rPr>
        <w:t>užtikrintos šioje Konvencijoje numatytos vaiko teisės.</w:t>
      </w:r>
    </w:p>
    <w:p w:rsidR="00E80028" w:rsidRPr="006F496F" w:rsidRDefault="00E80028" w:rsidP="00E80028">
      <w:pPr>
        <w:ind w:firstLine="720"/>
        <w:jc w:val="both"/>
        <w:rPr>
          <w:rFonts w:eastAsia="TimesNewRomanPSMT"/>
          <w:lang w:eastAsia="lt-LT"/>
        </w:rPr>
      </w:pPr>
      <w:r w:rsidRPr="006F496F">
        <w:rPr>
          <w:rFonts w:eastAsia="TimesNewRomanPSMT"/>
          <w:lang w:eastAsia="lt-LT"/>
        </w:rPr>
        <w:t>Įgyvendinus apskričių reformą, priklausomybės ligų centrai buvo perduoti savivaldybėms</w:t>
      </w:r>
      <w:r>
        <w:rPr>
          <w:rFonts w:eastAsia="TimesNewRomanPSMT"/>
          <w:lang w:eastAsia="lt-LT"/>
        </w:rPr>
        <w:t xml:space="preserve"> </w:t>
      </w:r>
      <w:r w:rsidRPr="006F496F">
        <w:rPr>
          <w:rFonts w:eastAsia="TimesNewRomanPSMT"/>
          <w:lang w:eastAsia="lt-LT"/>
        </w:rPr>
        <w:t>(išskyrus Vilniaus apskrities priklausomybės ligų centrą).</w:t>
      </w:r>
    </w:p>
    <w:p w:rsidR="00E80028" w:rsidRPr="006F496F" w:rsidRDefault="00E80028" w:rsidP="00E80028">
      <w:pPr>
        <w:autoSpaceDE w:val="0"/>
        <w:autoSpaceDN w:val="0"/>
        <w:adjustRightInd w:val="0"/>
        <w:ind w:firstLine="720"/>
        <w:jc w:val="both"/>
        <w:rPr>
          <w:rFonts w:eastAsia="TimesNewRomanPSMT"/>
          <w:lang w:eastAsia="lt-LT"/>
        </w:rPr>
      </w:pPr>
      <w:r w:rsidRPr="006F496F">
        <w:rPr>
          <w:rFonts w:eastAsia="TimesNewRomanPSMT"/>
          <w:lang w:eastAsia="lt-LT"/>
        </w:rPr>
        <w:t>Lietuvos Respublikos Vyriausybė, 2010 m. birželio 16 d. nutarimu Nr. 779 „Dėl Kauno</w:t>
      </w:r>
      <w:r>
        <w:rPr>
          <w:rFonts w:eastAsia="TimesNewRomanPSMT"/>
          <w:lang w:eastAsia="lt-LT"/>
        </w:rPr>
        <w:t xml:space="preserve"> </w:t>
      </w:r>
      <w:r w:rsidRPr="006F496F">
        <w:rPr>
          <w:rFonts w:eastAsia="TimesNewRomanPSMT"/>
          <w:lang w:eastAsia="lt-LT"/>
        </w:rPr>
        <w:t>apskrities priklausomybės ligų centro savininko teisių ir pareigų bei turto perdavimo“ (Žin., 2010, Nr.</w:t>
      </w:r>
    </w:p>
    <w:p w:rsidR="00E80028" w:rsidRPr="006F496F" w:rsidRDefault="00E80028" w:rsidP="00E80028">
      <w:pPr>
        <w:autoSpaceDE w:val="0"/>
        <w:autoSpaceDN w:val="0"/>
        <w:adjustRightInd w:val="0"/>
        <w:jc w:val="both"/>
        <w:rPr>
          <w:rFonts w:eastAsia="TimesNewRomanPSMT"/>
          <w:lang w:eastAsia="lt-LT"/>
        </w:rPr>
      </w:pPr>
      <w:r w:rsidRPr="006F496F">
        <w:rPr>
          <w:rFonts w:eastAsia="TimesNewRomanPSMT"/>
          <w:lang w:eastAsia="lt-LT"/>
        </w:rPr>
        <w:t>73-3717) perdavė valstybei priklausančias Kauno apskrities priklausomybės ligų centro savininko</w:t>
      </w:r>
      <w:r>
        <w:rPr>
          <w:rFonts w:eastAsia="TimesNewRomanPSMT"/>
          <w:lang w:eastAsia="lt-LT"/>
        </w:rPr>
        <w:t xml:space="preserve"> </w:t>
      </w:r>
      <w:r w:rsidRPr="006F496F">
        <w:rPr>
          <w:rFonts w:eastAsia="TimesNewRomanPSMT"/>
          <w:lang w:eastAsia="lt-LT"/>
        </w:rPr>
        <w:t>teises ir pareigas, valstybei nuosavybės teise priklausantį ir Kauno apskrities priklausomybės ligų</w:t>
      </w:r>
      <w:r>
        <w:rPr>
          <w:rFonts w:eastAsia="TimesNewRomanPSMT"/>
          <w:lang w:eastAsia="lt-LT"/>
        </w:rPr>
        <w:t xml:space="preserve"> </w:t>
      </w:r>
      <w:r w:rsidRPr="006F496F">
        <w:rPr>
          <w:rFonts w:eastAsia="TimesNewRomanPSMT"/>
          <w:lang w:eastAsia="lt-LT"/>
        </w:rPr>
        <w:t>centro patikėjimo teise valdomą turtą Kaimo miesto savivaldybei. Atkreiptinas dėmesys, jog nuo 2014</w:t>
      </w:r>
    </w:p>
    <w:p w:rsidR="00E80028" w:rsidRDefault="00E80028" w:rsidP="00E80028">
      <w:pPr>
        <w:autoSpaceDE w:val="0"/>
        <w:autoSpaceDN w:val="0"/>
        <w:adjustRightInd w:val="0"/>
        <w:jc w:val="both"/>
        <w:rPr>
          <w:rFonts w:eastAsia="TimesNewRomanPSMT"/>
          <w:lang w:eastAsia="lt-LT"/>
        </w:rPr>
      </w:pPr>
      <w:r w:rsidRPr="006F496F">
        <w:rPr>
          <w:rFonts w:eastAsia="TimesNewRomanPSMT"/>
          <w:lang w:eastAsia="lt-LT"/>
        </w:rPr>
        <w:t>m. sausio 1 d. Lietuvos Respublikos Vyriausybės nutarimu (Žin., 2013, Nr. 130-6669) Kauno</w:t>
      </w:r>
      <w:r>
        <w:rPr>
          <w:rFonts w:eastAsia="TimesNewRomanPSMT"/>
          <w:lang w:eastAsia="lt-LT"/>
        </w:rPr>
        <w:t xml:space="preserve"> </w:t>
      </w:r>
      <w:r w:rsidRPr="006F496F">
        <w:rPr>
          <w:rFonts w:eastAsia="TimesNewRomanPSMT"/>
          <w:lang w:eastAsia="lt-LT"/>
        </w:rPr>
        <w:t>apskrities priklausomybės ligų centro savininko teises ir pareigas įgyvendina Sveikatos apsaugos</w:t>
      </w:r>
      <w:r>
        <w:rPr>
          <w:rFonts w:eastAsia="TimesNewRomanPSMT"/>
          <w:lang w:eastAsia="lt-LT"/>
        </w:rPr>
        <w:t xml:space="preserve"> </w:t>
      </w:r>
      <w:r w:rsidRPr="006F496F">
        <w:rPr>
          <w:rFonts w:eastAsia="TimesNewRomanPSMT"/>
          <w:lang w:eastAsia="lt-LT"/>
        </w:rPr>
        <w:t>ministerija. Svarbu pažymėti, jog Kauno apskrities priklausomybės ligų centre, vieninteliame šalyje,</w:t>
      </w:r>
      <w:r>
        <w:rPr>
          <w:rFonts w:eastAsia="TimesNewRomanPSMT"/>
          <w:lang w:eastAsia="lt-LT"/>
        </w:rPr>
        <w:t xml:space="preserve"> </w:t>
      </w:r>
      <w:r w:rsidRPr="006F496F">
        <w:rPr>
          <w:rFonts w:eastAsia="TimesNewRomanPSMT"/>
          <w:lang w:eastAsia="lt-LT"/>
        </w:rPr>
        <w:t>veikia vaikų ir jaunimo skyrius, kuriame teikiamos trumpalaikės psichologinės socialinės</w:t>
      </w:r>
      <w:r>
        <w:rPr>
          <w:rFonts w:eastAsia="TimesNewRomanPSMT"/>
          <w:lang w:eastAsia="lt-LT"/>
        </w:rPr>
        <w:t xml:space="preserve"> </w:t>
      </w:r>
      <w:r w:rsidRPr="006F496F">
        <w:rPr>
          <w:rFonts w:eastAsia="TimesNewRomanPSMT"/>
          <w:lang w:eastAsia="lt-LT"/>
        </w:rPr>
        <w:t>reabilitacijos bei ilgalaikės psichoterapinės reabilitacijos paslaugos, šeimos narių konsultavimas,</w:t>
      </w:r>
      <w:r>
        <w:rPr>
          <w:rFonts w:eastAsia="TimesNewRomanPSMT"/>
          <w:lang w:eastAsia="lt-LT"/>
        </w:rPr>
        <w:t xml:space="preserve"> </w:t>
      </w:r>
      <w:r w:rsidRPr="006F496F">
        <w:rPr>
          <w:rFonts w:eastAsia="TimesNewRomanPSMT"/>
          <w:lang w:eastAsia="lt-LT"/>
        </w:rPr>
        <w:t>palaikomoji terapija. Pastebėtina, jog Centre šiuo metu gydosi 10 vaikų, tačiau, manytina, jog Centro</w:t>
      </w:r>
      <w:r>
        <w:rPr>
          <w:rFonts w:eastAsia="TimesNewRomanPSMT"/>
          <w:lang w:eastAsia="lt-LT"/>
        </w:rPr>
        <w:t xml:space="preserve"> </w:t>
      </w:r>
      <w:r w:rsidRPr="006F496F">
        <w:rPr>
          <w:rFonts w:eastAsia="TimesNewRomanPSMT"/>
          <w:lang w:eastAsia="lt-LT"/>
        </w:rPr>
        <w:t>teikiamų paslaugų poreikis galimai yra didesnis, nes paslaugomis gali pasinaudoti vaikai iš visos</w:t>
      </w:r>
      <w:r>
        <w:rPr>
          <w:rFonts w:eastAsia="TimesNewRomanPSMT"/>
          <w:lang w:eastAsia="lt-LT"/>
        </w:rPr>
        <w:t xml:space="preserve"> </w:t>
      </w:r>
      <w:r w:rsidRPr="006F496F">
        <w:rPr>
          <w:rFonts w:eastAsia="TimesNewRomanPSMT"/>
          <w:lang w:eastAsia="lt-LT"/>
        </w:rPr>
        <w:t>Lietuvos.</w:t>
      </w:r>
    </w:p>
    <w:p w:rsidR="00E80028" w:rsidRPr="006F496F" w:rsidRDefault="00E80028" w:rsidP="00E80028">
      <w:pPr>
        <w:autoSpaceDE w:val="0"/>
        <w:autoSpaceDN w:val="0"/>
        <w:adjustRightInd w:val="0"/>
        <w:jc w:val="both"/>
        <w:rPr>
          <w:rFonts w:eastAsia="TimesNewRomanPSMT"/>
          <w:lang w:eastAsia="lt-LT"/>
        </w:rPr>
      </w:pPr>
      <w:r>
        <w:rPr>
          <w:rFonts w:eastAsia="TimesNewRomanPSMT"/>
          <w:lang w:eastAsia="lt-LT"/>
        </w:rPr>
        <w:tab/>
      </w:r>
      <w:r w:rsidRPr="006F496F">
        <w:rPr>
          <w:rFonts w:eastAsia="TimesNewRomanPSMT"/>
          <w:lang w:eastAsia="lt-LT"/>
        </w:rPr>
        <w:t>Įvertinusi tyrimų ir statistinių duomenų apie alkoholio ir psichoaktyvių medžiagų vartojimo</w:t>
      </w:r>
    </w:p>
    <w:p w:rsidR="00E80028" w:rsidRPr="006F496F" w:rsidRDefault="00E80028" w:rsidP="00E80028">
      <w:pPr>
        <w:autoSpaceDE w:val="0"/>
        <w:autoSpaceDN w:val="0"/>
        <w:adjustRightInd w:val="0"/>
        <w:jc w:val="both"/>
        <w:rPr>
          <w:rFonts w:eastAsia="TimesNewRomanPSMT"/>
          <w:lang w:eastAsia="lt-LT"/>
        </w:rPr>
      </w:pPr>
      <w:r w:rsidRPr="006F496F">
        <w:rPr>
          <w:rFonts w:eastAsia="TimesNewRomanPSMT"/>
          <w:lang w:eastAsia="lt-LT"/>
        </w:rPr>
        <w:t>tarp nepilnamečių bei kitų priklausomybių paplitimą ir pasekmes, paslaugų ir pagalbos</w:t>
      </w:r>
      <w:r>
        <w:rPr>
          <w:rFonts w:eastAsia="TimesNewRomanPSMT"/>
          <w:lang w:eastAsia="lt-LT"/>
        </w:rPr>
        <w:t xml:space="preserve"> </w:t>
      </w:r>
      <w:r w:rsidRPr="006F496F">
        <w:rPr>
          <w:rFonts w:eastAsia="TimesNewRomanPSMT"/>
          <w:lang w:eastAsia="lt-LT"/>
        </w:rPr>
        <w:t>priklausomybės ligomis sergantiems vaikams ir jų šeimos nariams poreikį ir patenkinimo galimybes,</w:t>
      </w:r>
      <w:r>
        <w:rPr>
          <w:rFonts w:eastAsia="TimesNewRomanPSMT"/>
          <w:lang w:eastAsia="lt-LT"/>
        </w:rPr>
        <w:t xml:space="preserve"> </w:t>
      </w:r>
      <w:r w:rsidRPr="006F496F">
        <w:rPr>
          <w:rFonts w:eastAsia="TimesNewRomanPSMT"/>
          <w:lang w:eastAsia="lt-LT"/>
        </w:rPr>
        <w:t>apsilankymo Kauno apskrities priklausomybės ligų centre metu, vaiko teisių apsaugos kontrolierė</w:t>
      </w:r>
      <w:r>
        <w:rPr>
          <w:rFonts w:eastAsia="TimesNewRomanPSMT"/>
          <w:lang w:eastAsia="lt-LT"/>
        </w:rPr>
        <w:t xml:space="preserve"> </w:t>
      </w:r>
      <w:r w:rsidRPr="006F496F">
        <w:rPr>
          <w:rFonts w:eastAsia="TimesNewRomanPSMT"/>
          <w:lang w:eastAsia="lt-LT"/>
        </w:rPr>
        <w:t>atkreipė dėmesį į paslaugų, priklausomybėmis sergantiems vaikams, stiprinimo būtinybę, sudarant</w:t>
      </w:r>
      <w:r>
        <w:rPr>
          <w:rFonts w:eastAsia="TimesNewRomanPSMT"/>
          <w:lang w:eastAsia="lt-LT"/>
        </w:rPr>
        <w:t xml:space="preserve"> </w:t>
      </w:r>
      <w:r w:rsidRPr="006F496F">
        <w:rPr>
          <w:rFonts w:eastAsia="TimesNewRomanPSMT"/>
          <w:lang w:eastAsia="lt-LT"/>
        </w:rPr>
        <w:t>galimybes mokslinei metodinei veiklai, numatant bei užtikrinant tinkamą ir lankstų finansavimą bei</w:t>
      </w:r>
      <w:r>
        <w:rPr>
          <w:rFonts w:eastAsia="TimesNewRomanPSMT"/>
          <w:lang w:eastAsia="lt-LT"/>
        </w:rPr>
        <w:t xml:space="preserve"> </w:t>
      </w:r>
      <w:r w:rsidRPr="006F496F">
        <w:rPr>
          <w:rFonts w:eastAsia="TimesNewRomanPSMT"/>
          <w:lang w:eastAsia="lt-LT"/>
        </w:rPr>
        <w:t>išlaikant vieningą įstaigos paslaugų teikimo sistemą bei Kauno apskrities priklausomybės ligų centro</w:t>
      </w:r>
      <w:r>
        <w:rPr>
          <w:rFonts w:eastAsia="TimesNewRomanPSMT"/>
          <w:lang w:eastAsia="lt-LT"/>
        </w:rPr>
        <w:t xml:space="preserve"> </w:t>
      </w:r>
      <w:r w:rsidRPr="006F496F">
        <w:rPr>
          <w:rFonts w:eastAsia="TimesNewRomanPSMT"/>
          <w:lang w:eastAsia="lt-LT"/>
        </w:rPr>
        <w:t>pastatų komplekso vientisumą, atsižvelgiant į minėtame centre besigydančių vaikų (ir suaugusių</w:t>
      </w:r>
      <w:r>
        <w:rPr>
          <w:rFonts w:eastAsia="TimesNewRomanPSMT"/>
          <w:lang w:eastAsia="lt-LT"/>
        </w:rPr>
        <w:t xml:space="preserve"> </w:t>
      </w:r>
      <w:r w:rsidRPr="006F496F">
        <w:rPr>
          <w:rFonts w:eastAsia="TimesNewRomanPSMT"/>
          <w:lang w:eastAsia="lt-LT"/>
        </w:rPr>
        <w:t>asmenų) poreikį į ramią, be prieštaringai vertinamų veiksnių (laikino apnakvindinimo paslaugos</w:t>
      </w:r>
      <w:r>
        <w:rPr>
          <w:rFonts w:eastAsia="TimesNewRomanPSMT"/>
          <w:lang w:eastAsia="lt-LT"/>
        </w:rPr>
        <w:t xml:space="preserve"> </w:t>
      </w:r>
      <w:r w:rsidRPr="006F496F">
        <w:rPr>
          <w:rFonts w:eastAsia="TimesNewRomanPSMT"/>
          <w:lang w:eastAsia="lt-LT"/>
        </w:rPr>
        <w:t>neblaiviems asmenims), aplinką.</w:t>
      </w:r>
    </w:p>
    <w:p w:rsidR="00E80028" w:rsidRPr="006F496F" w:rsidRDefault="00E80028" w:rsidP="00E80028">
      <w:pPr>
        <w:autoSpaceDE w:val="0"/>
        <w:autoSpaceDN w:val="0"/>
        <w:adjustRightInd w:val="0"/>
        <w:ind w:firstLine="720"/>
        <w:jc w:val="both"/>
        <w:rPr>
          <w:rFonts w:eastAsia="TimesNewRomanPSMT"/>
          <w:lang w:eastAsia="lt-LT"/>
        </w:rPr>
      </w:pPr>
      <w:r w:rsidRPr="006F496F">
        <w:rPr>
          <w:rFonts w:eastAsia="TimesNewRomanPSMT"/>
          <w:lang w:eastAsia="lt-LT"/>
        </w:rPr>
        <w:t>Narkomanijos ir alkoholizmo prevencijos komisija, 2013 m. kovo 13 d. posėdyje išnagrinėjusi</w:t>
      </w:r>
    </w:p>
    <w:p w:rsidR="00E80028" w:rsidRPr="006F496F" w:rsidRDefault="00E80028" w:rsidP="00E80028">
      <w:pPr>
        <w:autoSpaceDE w:val="0"/>
        <w:autoSpaceDN w:val="0"/>
        <w:adjustRightInd w:val="0"/>
        <w:jc w:val="both"/>
        <w:rPr>
          <w:rFonts w:eastAsia="TimesNewRomanPSMT"/>
          <w:lang w:eastAsia="lt-LT"/>
        </w:rPr>
      </w:pPr>
      <w:r w:rsidRPr="006F496F">
        <w:rPr>
          <w:rFonts w:eastAsia="TimesNewRomanPSMT"/>
          <w:lang w:eastAsia="lt-LT"/>
        </w:rPr>
        <w:t>Kauno apskrities priklausomybės ligų centro situaciją dėl paslaugų teikimo vaikams, apie priimtą</w:t>
      </w:r>
      <w:r>
        <w:rPr>
          <w:rFonts w:eastAsia="TimesNewRomanPSMT"/>
          <w:lang w:eastAsia="lt-LT"/>
        </w:rPr>
        <w:t xml:space="preserve"> </w:t>
      </w:r>
      <w:r w:rsidRPr="006F496F">
        <w:rPr>
          <w:rFonts w:eastAsia="TimesNewRomanPSMT"/>
          <w:lang w:eastAsia="lt-LT"/>
        </w:rPr>
        <w:t>sprendimą informavo Lietuvos Respublikos Seimo Sveikatos reikalų komitetą ir Lietuvos Respublikos</w:t>
      </w:r>
    </w:p>
    <w:p w:rsidR="00E80028" w:rsidRPr="006F496F" w:rsidRDefault="00E80028" w:rsidP="00E80028">
      <w:pPr>
        <w:autoSpaceDE w:val="0"/>
        <w:autoSpaceDN w:val="0"/>
        <w:adjustRightInd w:val="0"/>
        <w:jc w:val="both"/>
        <w:rPr>
          <w:rFonts w:eastAsia="TimesNewRomanPSMT"/>
          <w:lang w:eastAsia="lt-LT"/>
        </w:rPr>
      </w:pPr>
      <w:r w:rsidRPr="006F496F">
        <w:rPr>
          <w:rFonts w:eastAsia="TimesNewRomanPSMT"/>
          <w:lang w:eastAsia="lt-LT"/>
        </w:rPr>
        <w:t>Vyriausybę. Ministro Pirmininko kanclerio 2013 m. kovo 22 d. pavedimu Nr. 62-1149 Sveikatos</w:t>
      </w:r>
      <w:r>
        <w:rPr>
          <w:rFonts w:eastAsia="TimesNewRomanPSMT"/>
          <w:lang w:eastAsia="lt-LT"/>
        </w:rPr>
        <w:t xml:space="preserve"> </w:t>
      </w:r>
      <w:r w:rsidRPr="006F496F">
        <w:rPr>
          <w:rFonts w:eastAsia="TimesNewRomanPSMT"/>
          <w:lang w:eastAsia="lt-LT"/>
        </w:rPr>
        <w:t>apsaugos ministerijai buvo pavesta išnagrinėti minėtą sprendimą, spręsti klausimą dėl pateiktų</w:t>
      </w:r>
      <w:r>
        <w:rPr>
          <w:rFonts w:eastAsia="TimesNewRomanPSMT"/>
          <w:lang w:eastAsia="lt-LT"/>
        </w:rPr>
        <w:t xml:space="preserve"> </w:t>
      </w:r>
      <w:r w:rsidRPr="006F496F">
        <w:rPr>
          <w:rFonts w:eastAsia="TimesNewRomanPSMT"/>
          <w:lang w:eastAsia="lt-LT"/>
        </w:rPr>
        <w:t>siūlymų ir pan., tačiau, atsižvelgiant į dabartinę situaciją, manytina, situacija galimai nebuvo išsamiai</w:t>
      </w:r>
      <w:r>
        <w:rPr>
          <w:rFonts w:eastAsia="TimesNewRomanPSMT"/>
          <w:lang w:eastAsia="lt-LT"/>
        </w:rPr>
        <w:t xml:space="preserve"> </w:t>
      </w:r>
      <w:r w:rsidRPr="006F496F">
        <w:rPr>
          <w:rFonts w:eastAsia="TimesNewRomanPSMT"/>
          <w:lang w:eastAsia="lt-LT"/>
        </w:rPr>
        <w:t>išanalizuota bei nepriimti esminiai sprendimai, padėsiantys užtikrinti tinkamą vaiko teisių ir interesų</w:t>
      </w:r>
      <w:r>
        <w:rPr>
          <w:rFonts w:eastAsia="TimesNewRomanPSMT"/>
          <w:lang w:eastAsia="lt-LT"/>
        </w:rPr>
        <w:t xml:space="preserve"> </w:t>
      </w:r>
      <w:r w:rsidRPr="006F496F">
        <w:rPr>
          <w:rFonts w:eastAsia="TimesNewRomanPSMT"/>
          <w:lang w:eastAsia="lt-LT"/>
        </w:rPr>
        <w:t>apsaugą bei įgyvendinimą.</w:t>
      </w:r>
    </w:p>
    <w:p w:rsidR="00E80028" w:rsidRPr="006F496F" w:rsidRDefault="00E80028" w:rsidP="00E80028">
      <w:pPr>
        <w:autoSpaceDE w:val="0"/>
        <w:autoSpaceDN w:val="0"/>
        <w:adjustRightInd w:val="0"/>
        <w:ind w:firstLine="720"/>
        <w:jc w:val="both"/>
        <w:rPr>
          <w:rFonts w:eastAsia="TimesNewRomanPSMT"/>
          <w:lang w:eastAsia="lt-LT"/>
        </w:rPr>
      </w:pPr>
      <w:r w:rsidRPr="006F496F">
        <w:rPr>
          <w:rFonts w:eastAsia="TimesNewRomanPSMT"/>
          <w:lang w:eastAsia="lt-LT"/>
        </w:rPr>
        <w:lastRenderedPageBreak/>
        <w:t>Jungtinių Tautų Vaiko teisių komitetas, pateikdamas rekomendacijas dėl Lietuvos trečiojo ir</w:t>
      </w:r>
      <w:r>
        <w:rPr>
          <w:rFonts w:eastAsia="TimesNewRomanPSMT"/>
          <w:lang w:eastAsia="lt-LT"/>
        </w:rPr>
        <w:t xml:space="preserve"> </w:t>
      </w:r>
      <w:r w:rsidRPr="006F496F">
        <w:rPr>
          <w:rFonts w:eastAsia="TimesNewRomanPSMT"/>
          <w:lang w:eastAsia="lt-LT"/>
        </w:rPr>
        <w:t>ketvirtojo jungtinių periodinių pranešimų (CRC/.C/LTU/3-4), atkreipė dėmesį dėl didelio sergančiųjų</w:t>
      </w:r>
    </w:p>
    <w:p w:rsidR="00E80028" w:rsidRDefault="00E80028" w:rsidP="00E80028">
      <w:pPr>
        <w:autoSpaceDE w:val="0"/>
        <w:autoSpaceDN w:val="0"/>
        <w:adjustRightInd w:val="0"/>
        <w:jc w:val="both"/>
        <w:rPr>
          <w:rFonts w:eastAsia="TimesNewRomanPSMT"/>
          <w:lang w:eastAsia="lt-LT"/>
        </w:rPr>
      </w:pPr>
      <w:r w:rsidRPr="006F496F">
        <w:rPr>
          <w:rFonts w:eastAsia="TimesNewRomanPSMT"/>
          <w:lang w:eastAsia="lt-LT"/>
        </w:rPr>
        <w:t>priklausomybės ligomis skaičiaus ir dėl to, kad trūksta priemonių padėti nuo tabako, alkoholio ir</w:t>
      </w:r>
      <w:r>
        <w:rPr>
          <w:rFonts w:eastAsia="TimesNewRomanPSMT"/>
          <w:lang w:eastAsia="lt-LT"/>
        </w:rPr>
        <w:t xml:space="preserve"> </w:t>
      </w:r>
      <w:r w:rsidRPr="006F496F">
        <w:rPr>
          <w:rFonts w:eastAsia="TimesNewRomanPSMT"/>
          <w:lang w:eastAsia="lt-LT"/>
        </w:rPr>
        <w:t>narkotikų priklausomiems vaikams arba vaikams, kurie priklauso rizikos grupei ar susiduria su</w:t>
      </w:r>
      <w:r>
        <w:rPr>
          <w:rFonts w:eastAsia="TimesNewRomanPSMT"/>
          <w:lang w:eastAsia="lt-LT"/>
        </w:rPr>
        <w:t xml:space="preserve"> </w:t>
      </w:r>
      <w:r w:rsidRPr="006F496F">
        <w:rPr>
          <w:rFonts w:eastAsia="TimesNewRomanPSMT"/>
          <w:lang w:eastAsia="lt-LT"/>
        </w:rPr>
        <w:t>pasmerkimu.</w:t>
      </w:r>
    </w:p>
    <w:p w:rsidR="00E80028" w:rsidRDefault="00E80028" w:rsidP="00E80028">
      <w:pPr>
        <w:autoSpaceDE w:val="0"/>
        <w:autoSpaceDN w:val="0"/>
        <w:adjustRightInd w:val="0"/>
        <w:jc w:val="both"/>
        <w:rPr>
          <w:rFonts w:eastAsia="TimesNewRomanPSMT"/>
          <w:lang w:eastAsia="lt-LT"/>
        </w:rPr>
      </w:pPr>
      <w:r>
        <w:rPr>
          <w:rFonts w:eastAsia="TimesNewRomanPSMT"/>
          <w:lang w:eastAsia="lt-LT"/>
        </w:rPr>
        <w:tab/>
        <w:t xml:space="preserve">Kontrolierė pasiūlė </w:t>
      </w:r>
      <w:r w:rsidRPr="006F496F">
        <w:rPr>
          <w:rFonts w:eastAsia="TimesNewRomanPSMT"/>
          <w:lang w:eastAsia="lt-LT"/>
        </w:rPr>
        <w:t>apsvarstyti rašte</w:t>
      </w:r>
      <w:r>
        <w:rPr>
          <w:rFonts w:eastAsia="TimesNewRomanPSMT"/>
          <w:lang w:eastAsia="lt-LT"/>
        </w:rPr>
        <w:t xml:space="preserve"> </w:t>
      </w:r>
      <w:r w:rsidRPr="006F496F">
        <w:rPr>
          <w:rFonts w:eastAsia="TimesNewRomanPSMT"/>
          <w:lang w:eastAsia="lt-LT"/>
        </w:rPr>
        <w:t>išdėstytas aplinkybes dėl Kauno apskrities priklausomybes ligų centro veiklos plėtros galimybių,</w:t>
      </w:r>
      <w:r>
        <w:rPr>
          <w:rFonts w:eastAsia="TimesNewRomanPSMT"/>
          <w:lang w:eastAsia="lt-LT"/>
        </w:rPr>
        <w:t xml:space="preserve"> </w:t>
      </w:r>
      <w:r w:rsidRPr="006F496F">
        <w:rPr>
          <w:rFonts w:eastAsia="TimesNewRomanPSMT"/>
          <w:lang w:eastAsia="lt-LT"/>
        </w:rPr>
        <w:t>stiprinant priklausomybės ligomis sergantiems vaikams skirtų paslaugų spektrą, ypatingai atkreipiant</w:t>
      </w:r>
      <w:r>
        <w:rPr>
          <w:rFonts w:eastAsia="TimesNewRomanPSMT"/>
          <w:lang w:eastAsia="lt-LT"/>
        </w:rPr>
        <w:t xml:space="preserve"> </w:t>
      </w:r>
      <w:r w:rsidRPr="006F496F">
        <w:rPr>
          <w:rFonts w:eastAsia="TimesNewRomanPSMT"/>
          <w:lang w:eastAsia="lt-LT"/>
        </w:rPr>
        <w:t>dėmesį į paslaugų plėtrą krizės atveju, užtikrinant tinkamą finansavimą arba apsvarstyti kitas galimas</w:t>
      </w:r>
      <w:r>
        <w:rPr>
          <w:rFonts w:eastAsia="TimesNewRomanPSMT"/>
          <w:lang w:eastAsia="lt-LT"/>
        </w:rPr>
        <w:t xml:space="preserve"> </w:t>
      </w:r>
      <w:r w:rsidRPr="006F496F">
        <w:rPr>
          <w:rFonts w:eastAsia="TimesNewRomanPSMT"/>
          <w:lang w:eastAsia="lt-LT"/>
        </w:rPr>
        <w:t>alternatyvias pagalbos vaikams galimybes bei informuoti vaiko teisių apsaugos kontrolierę.</w:t>
      </w:r>
    </w:p>
    <w:p w:rsidR="00E80028" w:rsidRDefault="00E80028" w:rsidP="00E80028">
      <w:pPr>
        <w:ind w:firstLine="720"/>
        <w:jc w:val="both"/>
        <w:rPr>
          <w:rFonts w:eastAsia="Arial Unicode MS"/>
        </w:rPr>
      </w:pPr>
      <w:r>
        <w:rPr>
          <w:rFonts w:eastAsia="Arial Unicode MS"/>
        </w:rPr>
        <w:t xml:space="preserve">Vyriausybės kancleris 2014 m. gegužės 21 d. pavedimu Nr. 27-1841 (dokumento registracijos Nr. 5811) nukreipė raštą Sveikatos apsaugos ministerijai išnagrinėti Vaiko teisių apsaugoa kontrolieriaus rašte pateiktus argumentus dėl priklausomybės ligomis sergančių vaikų paslaugų gerinimo ir apie numatomas priemones jiems igyvendinti informuoti vaiko teisių apsaugos kontrolierę (kopiją siųsti  Vyriausybės kanceliarijai).  </w:t>
      </w:r>
    </w:p>
    <w:p w:rsidR="00E80028" w:rsidRDefault="00E80028" w:rsidP="00E80028">
      <w:pPr>
        <w:ind w:firstLine="720"/>
        <w:jc w:val="both"/>
        <w:rPr>
          <w:rFonts w:eastAsia="TimesNewRomanPSMT"/>
          <w:lang w:eastAsia="lt-LT"/>
        </w:rPr>
      </w:pPr>
      <w:r>
        <w:rPr>
          <w:rFonts w:eastAsia="Arial Unicode MS"/>
        </w:rPr>
        <w:t xml:space="preserve">Sveikatos apsaugos ministerija 2014 m. birželio 9 d.  raštu  Nr. (1.1.20-413)10-5374 „Dėl </w:t>
      </w:r>
      <w:r w:rsidRPr="006F496F">
        <w:rPr>
          <w:rFonts w:eastAsia="TimesNewRomanPSMT"/>
          <w:lang w:eastAsia="lt-LT"/>
        </w:rPr>
        <w:t>pr</w:t>
      </w:r>
      <w:r>
        <w:rPr>
          <w:rFonts w:eastAsia="TimesNewRomanPSMT"/>
          <w:lang w:eastAsia="lt-LT"/>
        </w:rPr>
        <w:t>iklausomybės ligomis sergančių vaikų</w:t>
      </w:r>
      <w:r w:rsidRPr="006F496F">
        <w:rPr>
          <w:rFonts w:eastAsia="TimesNewRomanPSMT"/>
          <w:lang w:eastAsia="lt-LT"/>
        </w:rPr>
        <w:t xml:space="preserve"> paslaugų </w:t>
      </w:r>
      <w:r>
        <w:rPr>
          <w:rFonts w:eastAsia="TimesNewRomanPSMT"/>
          <w:lang w:eastAsia="lt-LT"/>
        </w:rPr>
        <w:t xml:space="preserve">gerinimo“ Kontrolierei atsakė, kas </w:t>
      </w:r>
      <w:r w:rsidRPr="00973EB8">
        <w:rPr>
          <w:rFonts w:eastAsia="TimesNewRomanPSMT"/>
          <w:lang w:eastAsia="lt-LT"/>
        </w:rPr>
        <w:t>Sveikatos apsaugos ministerija, vykdydama 2014 m. gegužės 21 d. Lietuvos</w:t>
      </w:r>
      <w:r>
        <w:rPr>
          <w:rFonts w:eastAsia="TimesNewRomanPSMT"/>
          <w:lang w:eastAsia="lt-LT"/>
        </w:rPr>
        <w:t xml:space="preserve"> </w:t>
      </w:r>
      <w:r w:rsidRPr="00973EB8">
        <w:rPr>
          <w:rFonts w:eastAsia="TimesNewRomanPSMT"/>
          <w:lang w:eastAsia="lt-LT"/>
        </w:rPr>
        <w:t>Respublikos Vyriausybės kanclerio pavedimą Nr. 27-1841, išnagrinėjo 2014 m. gegužės 14</w:t>
      </w:r>
      <w:r>
        <w:rPr>
          <w:rFonts w:eastAsia="TimesNewRomanPSMT"/>
          <w:lang w:eastAsia="lt-LT"/>
        </w:rPr>
        <w:t xml:space="preserve"> </w:t>
      </w:r>
      <w:r w:rsidRPr="00973EB8">
        <w:rPr>
          <w:rFonts w:eastAsia="TimesNewRomanPSMT"/>
          <w:lang w:eastAsia="lt-LT"/>
        </w:rPr>
        <w:t>d. Lietuvos Respublikos vaiko teisių apsaugos kontrolieriaus įstaigos raštą.</w:t>
      </w:r>
      <w:r>
        <w:rPr>
          <w:rFonts w:eastAsia="TimesNewRomanPSMT"/>
          <w:lang w:eastAsia="lt-LT"/>
        </w:rPr>
        <w:t xml:space="preserve"> </w:t>
      </w:r>
      <w:r w:rsidRPr="00973EB8">
        <w:rPr>
          <w:rFonts w:eastAsia="TimesNewRomanPSMT"/>
          <w:lang w:eastAsia="lt-LT"/>
        </w:rPr>
        <w:t>Informuoja, kad, įgyvendinant 2013 m. gruodžio 11 d. Lietuvos Respublikos</w:t>
      </w:r>
      <w:r>
        <w:rPr>
          <w:rFonts w:eastAsia="TimesNewRomanPSMT"/>
          <w:lang w:eastAsia="lt-LT"/>
        </w:rPr>
        <w:t xml:space="preserve"> </w:t>
      </w:r>
      <w:r w:rsidRPr="00973EB8">
        <w:rPr>
          <w:rFonts w:eastAsia="TimesNewRomanPSMT"/>
          <w:lang w:eastAsia="lt-LT"/>
        </w:rPr>
        <w:t>Vyriausybės nutarimą Nr. 1181 „Dėl Kauno apskrities priklausomybės ligų centro ir Šiaulių</w:t>
      </w:r>
      <w:r>
        <w:rPr>
          <w:rFonts w:eastAsia="TimesNewRomanPSMT"/>
          <w:lang w:eastAsia="lt-LT"/>
        </w:rPr>
        <w:t xml:space="preserve"> </w:t>
      </w:r>
      <w:r w:rsidRPr="00973EB8">
        <w:rPr>
          <w:rFonts w:eastAsia="TimesNewRomanPSMT"/>
          <w:lang w:eastAsia="lt-LT"/>
        </w:rPr>
        <w:t>priklausomybės ligų centro savininko turtinių ir neturtinių teisių ir pareigų bei turto</w:t>
      </w:r>
      <w:r>
        <w:rPr>
          <w:rFonts w:eastAsia="TimesNewRomanPSMT"/>
          <w:lang w:eastAsia="lt-LT"/>
        </w:rPr>
        <w:t xml:space="preserve">  </w:t>
      </w:r>
      <w:r w:rsidRPr="00973EB8">
        <w:rPr>
          <w:rFonts w:eastAsia="TimesNewRomanPSMT"/>
          <w:lang w:eastAsia="lt-LT"/>
        </w:rPr>
        <w:t>perėmimo ir perdavimo“, Kauno apskrities priklausomybių ligų centro savininko teisės,</w:t>
      </w:r>
      <w:r>
        <w:rPr>
          <w:rFonts w:eastAsia="TimesNewRomanPSMT"/>
          <w:lang w:eastAsia="lt-LT"/>
        </w:rPr>
        <w:t xml:space="preserve"> </w:t>
      </w:r>
      <w:r w:rsidRPr="00973EB8">
        <w:rPr>
          <w:rFonts w:eastAsia="TimesNewRomanPSMT"/>
          <w:lang w:eastAsia="lt-LT"/>
        </w:rPr>
        <w:t>pareigos ir turimas turtas buvo perduotas Sveikatos apsaugos ministerijai.</w:t>
      </w:r>
      <w:r>
        <w:rPr>
          <w:rFonts w:eastAsia="TimesNewRomanPSMT"/>
          <w:lang w:eastAsia="lt-LT"/>
        </w:rPr>
        <w:t xml:space="preserve"> </w:t>
      </w:r>
      <w:r w:rsidRPr="00973EB8">
        <w:rPr>
          <w:rFonts w:eastAsia="TimesNewRomanPSMT"/>
          <w:lang w:eastAsia="lt-LT"/>
        </w:rPr>
        <w:t>2014 m. vasario 6 d. Sveikatos apsaugos ministro įsakymu Nr. V-198 „Dėl Kauno</w:t>
      </w:r>
      <w:r>
        <w:rPr>
          <w:rFonts w:eastAsia="TimesNewRomanPSMT"/>
          <w:lang w:eastAsia="lt-LT"/>
        </w:rPr>
        <w:t xml:space="preserve"> </w:t>
      </w:r>
      <w:r w:rsidRPr="00973EB8">
        <w:rPr>
          <w:rFonts w:eastAsia="TimesNewRomanPSMT"/>
          <w:lang w:eastAsia="lt-LT"/>
        </w:rPr>
        <w:t>apskrities priklausomybės ligų centro nuostatų patvirtinimo“ buvo patvirtinti minėtos jstaigos</w:t>
      </w:r>
      <w:r>
        <w:rPr>
          <w:rFonts w:eastAsia="TimesNewRomanPSMT"/>
          <w:lang w:eastAsia="lt-LT"/>
        </w:rPr>
        <w:t xml:space="preserve"> </w:t>
      </w:r>
      <w:r w:rsidRPr="00973EB8">
        <w:rPr>
          <w:rFonts w:eastAsia="TimesNewRomanPSMT"/>
          <w:lang w:eastAsia="lt-LT"/>
        </w:rPr>
        <w:t>nuostatai. Šiuose nuostatuose nurodyta, kad Kauno apskrities priklausomybės ligų centras,</w:t>
      </w:r>
      <w:r>
        <w:rPr>
          <w:rFonts w:eastAsia="TimesNewRomanPSMT"/>
          <w:lang w:eastAsia="lt-LT"/>
        </w:rPr>
        <w:t xml:space="preserve"> </w:t>
      </w:r>
      <w:r w:rsidRPr="00973EB8">
        <w:rPr>
          <w:rFonts w:eastAsia="TimesNewRomanPSMT"/>
          <w:lang w:eastAsia="lt-LT"/>
        </w:rPr>
        <w:t>siekdamas nustatytų veiklos tikslų, organizuoja ir teikia asmens sveikatos priežiūros</w:t>
      </w:r>
      <w:r>
        <w:rPr>
          <w:rFonts w:eastAsia="TimesNewRomanPSMT"/>
          <w:lang w:eastAsia="lt-LT"/>
        </w:rPr>
        <w:t xml:space="preserve"> </w:t>
      </w:r>
      <w:r w:rsidRPr="00973EB8">
        <w:rPr>
          <w:rFonts w:eastAsia="TimesNewRomanPSMT"/>
          <w:lang w:eastAsia="lt-LT"/>
        </w:rPr>
        <w:t>paslaugas (ambulatorines ir stacionarines) asmenims, nesaikingai vartojantiems alkoholį,</w:t>
      </w:r>
      <w:r>
        <w:rPr>
          <w:rFonts w:eastAsia="TimesNewRomanPSMT"/>
          <w:lang w:eastAsia="lt-LT"/>
        </w:rPr>
        <w:t xml:space="preserve"> </w:t>
      </w:r>
      <w:r w:rsidRPr="00973EB8">
        <w:rPr>
          <w:rFonts w:eastAsia="TimesNewRomanPSMT"/>
          <w:lang w:eastAsia="lt-LT"/>
        </w:rPr>
        <w:t>narkotines ir kitas psichiką veikiančias medžiagas, sergantiems priklausomybės ligomis,</w:t>
      </w:r>
      <w:r>
        <w:rPr>
          <w:rFonts w:eastAsia="TimesNewRomanPSMT"/>
          <w:lang w:eastAsia="lt-LT"/>
        </w:rPr>
        <w:t xml:space="preserve"> </w:t>
      </w:r>
      <w:r w:rsidRPr="00973EB8">
        <w:rPr>
          <w:rFonts w:eastAsia="TimesNewRomanPSMT"/>
          <w:lang w:eastAsia="lt-LT"/>
        </w:rPr>
        <w:t>konsultuoja jų šeimos narius. Minėtas centras, vykdydamas nuostatuose numatytas funkcijas,</w:t>
      </w:r>
      <w:r>
        <w:rPr>
          <w:rFonts w:eastAsia="TimesNewRomanPSMT"/>
          <w:lang w:eastAsia="lt-LT"/>
        </w:rPr>
        <w:t xml:space="preserve"> </w:t>
      </w:r>
      <w:r w:rsidRPr="00973EB8">
        <w:rPr>
          <w:rFonts w:eastAsia="TimesNewRomanPSMT"/>
          <w:lang w:eastAsia="lt-LT"/>
        </w:rPr>
        <w:t>bendradarbiauja su kitomis asmens sveikatos priežiūros įstaigomis, socialinės pagalbos,</w:t>
      </w:r>
      <w:r>
        <w:rPr>
          <w:rFonts w:eastAsia="TimesNewRomanPSMT"/>
          <w:lang w:eastAsia="lt-LT"/>
        </w:rPr>
        <w:t xml:space="preserve"> </w:t>
      </w:r>
      <w:r w:rsidRPr="00973EB8">
        <w:rPr>
          <w:rFonts w:eastAsia="TimesNewRomanPSMT"/>
          <w:lang w:eastAsia="lt-LT"/>
        </w:rPr>
        <w:t>probacijos, vaiko teisių apsaugos tarnybomis, teisėsaugos institucijomis, organizuojant</w:t>
      </w:r>
      <w:r>
        <w:rPr>
          <w:rFonts w:eastAsia="TimesNewRomanPSMT"/>
          <w:lang w:eastAsia="lt-LT"/>
        </w:rPr>
        <w:t xml:space="preserve"> </w:t>
      </w:r>
      <w:r w:rsidRPr="00973EB8">
        <w:rPr>
          <w:rFonts w:eastAsia="TimesNewRomanPSMT"/>
          <w:lang w:eastAsia="lt-LT"/>
        </w:rPr>
        <w:t>kompleksinį pacientų gydymą ir reabilitaciją, teikia ilgalaikes psichologinės ir socialinės</w:t>
      </w:r>
      <w:r>
        <w:rPr>
          <w:rFonts w:eastAsia="TimesNewRomanPSMT"/>
          <w:lang w:eastAsia="lt-LT"/>
        </w:rPr>
        <w:t xml:space="preserve"> </w:t>
      </w:r>
      <w:r w:rsidRPr="00973EB8">
        <w:rPr>
          <w:rFonts w:eastAsia="TimesNewRomanPSMT"/>
          <w:lang w:eastAsia="lt-LT"/>
        </w:rPr>
        <w:t>reabilitacijos paslaugas vaikams ir jaunimui, rengia priklausomybės ligų prevencijos,</w:t>
      </w:r>
      <w:r>
        <w:rPr>
          <w:rFonts w:eastAsia="TimesNewRomanPSMT"/>
          <w:lang w:eastAsia="lt-LT"/>
        </w:rPr>
        <w:t xml:space="preserve"> </w:t>
      </w:r>
      <w:r w:rsidRPr="00973EB8">
        <w:rPr>
          <w:rFonts w:eastAsia="TimesNewRomanPSMT"/>
          <w:lang w:eastAsia="lt-LT"/>
        </w:rPr>
        <w:t>gydymo ir socialinės reabilitacijos metodikas, specialistų mokymo programas bei kartu su</w:t>
      </w:r>
      <w:r>
        <w:rPr>
          <w:rFonts w:eastAsia="TimesNewRomanPSMT"/>
          <w:lang w:eastAsia="lt-LT"/>
        </w:rPr>
        <w:t xml:space="preserve"> </w:t>
      </w:r>
      <w:r w:rsidRPr="00973EB8">
        <w:rPr>
          <w:rFonts w:eastAsia="TimesNewRomanPSMT"/>
          <w:lang w:eastAsia="lt-LT"/>
        </w:rPr>
        <w:t>aukštosiomis mokyklomis organizuoja gydytojų rezidentų bei kitų specialistų profesinės</w:t>
      </w:r>
      <w:r>
        <w:rPr>
          <w:rFonts w:eastAsia="TimesNewRomanPSMT"/>
          <w:lang w:eastAsia="lt-LT"/>
        </w:rPr>
        <w:t xml:space="preserve"> </w:t>
      </w:r>
      <w:r w:rsidRPr="00973EB8">
        <w:rPr>
          <w:rFonts w:eastAsia="TimesNewRomanPSMT"/>
          <w:lang w:eastAsia="lt-LT"/>
        </w:rPr>
        <w:t>veiklos praktiką, vykdo kitus specialistų mokymus, taip pat vykdo ir kitas Lietuvos</w:t>
      </w:r>
      <w:r>
        <w:rPr>
          <w:rFonts w:eastAsia="TimesNewRomanPSMT"/>
          <w:lang w:eastAsia="lt-LT"/>
        </w:rPr>
        <w:t xml:space="preserve"> </w:t>
      </w:r>
      <w:r w:rsidRPr="00973EB8">
        <w:rPr>
          <w:rFonts w:eastAsia="TimesNewRomanPSMT"/>
          <w:lang w:eastAsia="lt-LT"/>
        </w:rPr>
        <w:t>Respublikos teisės aktuose numatytas funkcijas.</w:t>
      </w:r>
    </w:p>
    <w:p w:rsidR="00E80028" w:rsidRPr="00973EB8" w:rsidRDefault="00E80028" w:rsidP="00E80028">
      <w:pPr>
        <w:autoSpaceDE w:val="0"/>
        <w:autoSpaceDN w:val="0"/>
        <w:adjustRightInd w:val="0"/>
        <w:ind w:firstLine="720"/>
        <w:jc w:val="both"/>
        <w:rPr>
          <w:rFonts w:eastAsia="TimesNewRomanPSMT"/>
          <w:lang w:eastAsia="lt-LT"/>
        </w:rPr>
      </w:pPr>
      <w:r w:rsidRPr="00973EB8">
        <w:rPr>
          <w:rFonts w:eastAsia="TimesNewRomanPSMT"/>
          <w:lang w:eastAsia="lt-LT"/>
        </w:rPr>
        <w:t>Kauno apskrities priklausomybės ligų centro patvirtinti nuostatai sudaro galimybę</w:t>
      </w:r>
      <w:r>
        <w:rPr>
          <w:rFonts w:eastAsia="TimesNewRomanPSMT"/>
          <w:lang w:eastAsia="lt-LT"/>
        </w:rPr>
        <w:t xml:space="preserve"> </w:t>
      </w:r>
      <w:r w:rsidRPr="00973EB8">
        <w:rPr>
          <w:rFonts w:eastAsia="TimesNewRomanPSMT"/>
          <w:lang w:eastAsia="lt-LT"/>
        </w:rPr>
        <w:t>šiam centrui pagal kompetenciją vykdyti mokslinę bei metodinę veiklą, sudarant sutartis su</w:t>
      </w:r>
      <w:r>
        <w:rPr>
          <w:rFonts w:eastAsia="TimesNewRomanPSMT"/>
          <w:lang w:eastAsia="lt-LT"/>
        </w:rPr>
        <w:t xml:space="preserve"> </w:t>
      </w:r>
      <w:r w:rsidRPr="00973EB8">
        <w:rPr>
          <w:rFonts w:eastAsia="TimesNewRomanPSMT"/>
          <w:lang w:eastAsia="lt-LT"/>
        </w:rPr>
        <w:t xml:space="preserve">aukštosiomis </w:t>
      </w:r>
      <w:r>
        <w:rPr>
          <w:rFonts w:eastAsia="TimesNewRomanPSMT"/>
          <w:lang w:eastAsia="lt-LT"/>
        </w:rPr>
        <w:t xml:space="preserve">  m</w:t>
      </w:r>
      <w:r w:rsidRPr="00973EB8">
        <w:rPr>
          <w:rFonts w:eastAsia="TimesNewRomanPSMT"/>
          <w:lang w:eastAsia="lt-LT"/>
        </w:rPr>
        <w:t>okyklomis, rengti gydymo ir reabilitacijos metodikas.</w:t>
      </w:r>
      <w:r>
        <w:rPr>
          <w:rFonts w:eastAsia="TimesNewRomanPSMT"/>
          <w:lang w:eastAsia="lt-LT"/>
        </w:rPr>
        <w:t xml:space="preserve"> </w:t>
      </w:r>
      <w:r w:rsidRPr="00973EB8">
        <w:rPr>
          <w:rFonts w:eastAsia="TimesNewRomanPSMT"/>
          <w:lang w:eastAsia="lt-LT"/>
        </w:rPr>
        <w:t>Kauno apskrities priklausomybės ligų centras, suderinęs su Sveikatos apsaugos</w:t>
      </w:r>
      <w:r>
        <w:rPr>
          <w:rFonts w:eastAsia="TimesNewRomanPSMT"/>
          <w:lang w:eastAsia="lt-LT"/>
        </w:rPr>
        <w:t xml:space="preserve"> </w:t>
      </w:r>
      <w:r w:rsidRPr="00973EB8">
        <w:rPr>
          <w:rFonts w:eastAsia="TimesNewRomanPSMT"/>
          <w:lang w:eastAsia="lt-LT"/>
        </w:rPr>
        <w:t>ministerija, turi teisę steigti padalinius ir filialus, o įstaigos vadovas turi teisę tvirtinti</w:t>
      </w:r>
      <w:r>
        <w:rPr>
          <w:rFonts w:eastAsia="TimesNewRomanPSMT"/>
          <w:lang w:eastAsia="lt-LT"/>
        </w:rPr>
        <w:t xml:space="preserve"> </w:t>
      </w:r>
      <w:r w:rsidRPr="00973EB8">
        <w:rPr>
          <w:rFonts w:eastAsia="TimesNewRomanPSMT"/>
          <w:lang w:eastAsia="lt-LT"/>
        </w:rPr>
        <w:t>administracijos struktūrą, suderintą su Sveikatos apsaugos ministerija. Taigi, galime</w:t>
      </w:r>
    </w:p>
    <w:p w:rsidR="00E80028" w:rsidRPr="00973EB8" w:rsidRDefault="00E80028" w:rsidP="00E80028">
      <w:pPr>
        <w:autoSpaceDE w:val="0"/>
        <w:autoSpaceDN w:val="0"/>
        <w:adjustRightInd w:val="0"/>
        <w:jc w:val="both"/>
        <w:rPr>
          <w:rFonts w:eastAsia="TimesNewRomanPSMT"/>
          <w:lang w:eastAsia="lt-LT"/>
        </w:rPr>
      </w:pPr>
      <w:r w:rsidRPr="00973EB8">
        <w:rPr>
          <w:rFonts w:eastAsia="TimesNewRomanPSMT"/>
          <w:lang w:eastAsia="lt-LT"/>
        </w:rPr>
        <w:t>konstatuoti, kad nėra teisinių kliūčių minėtai įstaigai organizuoti mokslinę metodinę veiklą ar</w:t>
      </w:r>
      <w:r>
        <w:rPr>
          <w:rFonts w:eastAsia="TimesNewRomanPSMT"/>
          <w:lang w:eastAsia="lt-LT"/>
        </w:rPr>
        <w:t xml:space="preserve"> </w:t>
      </w:r>
      <w:r w:rsidRPr="00973EB8">
        <w:rPr>
          <w:rFonts w:eastAsia="TimesNewRomanPSMT"/>
          <w:lang w:eastAsia="lt-LT"/>
        </w:rPr>
        <w:t>plėtoti paslaugas priklausomybės ligomis sergantiems vaikams.</w:t>
      </w:r>
      <w:r>
        <w:rPr>
          <w:rFonts w:eastAsia="TimesNewRomanPSMT"/>
          <w:lang w:eastAsia="lt-LT"/>
        </w:rPr>
        <w:t xml:space="preserve"> </w:t>
      </w:r>
      <w:r w:rsidRPr="00973EB8">
        <w:rPr>
          <w:rFonts w:eastAsia="TimesNewRomanPSMT"/>
          <w:lang w:eastAsia="lt-LT"/>
        </w:rPr>
        <w:t>2014 m. Kauno apskrities priklausomybės ligų centrui iš valstybės biudžeto skirta</w:t>
      </w:r>
      <w:r>
        <w:rPr>
          <w:rFonts w:eastAsia="TimesNewRomanPSMT"/>
          <w:lang w:eastAsia="lt-LT"/>
        </w:rPr>
        <w:t xml:space="preserve"> </w:t>
      </w:r>
      <w:r w:rsidRPr="00973EB8">
        <w:rPr>
          <w:rFonts w:eastAsia="TimesNewRomanPSMT"/>
          <w:lang w:eastAsia="lt-LT"/>
        </w:rPr>
        <w:t>1601,5 tūkst. Lt. Minėtas centras planuoja gauti 300,0 tūkst. Lt pajamų, teikiant mokamas</w:t>
      </w:r>
      <w:r>
        <w:rPr>
          <w:rFonts w:eastAsia="TimesNewRomanPSMT"/>
          <w:lang w:eastAsia="lt-LT"/>
        </w:rPr>
        <w:t xml:space="preserve"> </w:t>
      </w:r>
      <w:r w:rsidRPr="00973EB8">
        <w:rPr>
          <w:rFonts w:eastAsia="TimesNewRomanPSMT"/>
          <w:lang w:eastAsia="lt-LT"/>
        </w:rPr>
        <w:t xml:space="preserve">paslaugas. Vykdant Lietuvos </w:t>
      </w:r>
      <w:r w:rsidRPr="00973EB8">
        <w:rPr>
          <w:rFonts w:eastAsia="TimesNewRomanPSMT"/>
          <w:lang w:eastAsia="lt-LT"/>
        </w:rPr>
        <w:lastRenderedPageBreak/>
        <w:t>Respublikos sveikatos apsaugos ministro 2008 m. gruodžio 31</w:t>
      </w:r>
      <w:r>
        <w:rPr>
          <w:rFonts w:eastAsia="TimesNewRomanPSMT"/>
          <w:lang w:eastAsia="lt-LT"/>
        </w:rPr>
        <w:t xml:space="preserve"> </w:t>
      </w:r>
      <w:r w:rsidRPr="00973EB8">
        <w:rPr>
          <w:rFonts w:eastAsia="TimesNewRomanPSMT"/>
          <w:lang w:eastAsia="lt-LT"/>
        </w:rPr>
        <w:t>d. įsakymu Nr. V-1288 patvirtintą 2009-2014 metų Priklausomybės ligų programą, kurios</w:t>
      </w:r>
      <w:r>
        <w:rPr>
          <w:rFonts w:eastAsia="TimesNewRomanPSMT"/>
          <w:lang w:eastAsia="lt-LT"/>
        </w:rPr>
        <w:t xml:space="preserve"> </w:t>
      </w:r>
      <w:r w:rsidRPr="00973EB8">
        <w:rPr>
          <w:rFonts w:eastAsia="TimesNewRomanPSMT"/>
          <w:lang w:eastAsia="lt-LT"/>
        </w:rPr>
        <w:t>tikslas - teikti priklausomybės ligų sveikatos priežiūros paslaugas vaikams ir paaugliams bei</w:t>
      </w:r>
      <w:r>
        <w:rPr>
          <w:rFonts w:eastAsia="TimesNewRomanPSMT"/>
          <w:lang w:eastAsia="lt-LT"/>
        </w:rPr>
        <w:t xml:space="preserve"> </w:t>
      </w:r>
      <w:r w:rsidRPr="00973EB8">
        <w:rPr>
          <w:rFonts w:eastAsia="TimesNewRomanPSMT"/>
          <w:lang w:eastAsia="lt-LT"/>
        </w:rPr>
        <w:t>suaugusiesiems, draustiems privalomuoju sveikatos draudimu, bei gerinti šių paslaugų</w:t>
      </w:r>
    </w:p>
    <w:p w:rsidR="00E80028" w:rsidRDefault="00E80028" w:rsidP="00E80028">
      <w:pPr>
        <w:autoSpaceDE w:val="0"/>
        <w:autoSpaceDN w:val="0"/>
        <w:adjustRightInd w:val="0"/>
        <w:jc w:val="both"/>
        <w:rPr>
          <w:rFonts w:eastAsia="TimesNewRomanPSMT"/>
          <w:lang w:eastAsia="lt-LT"/>
        </w:rPr>
      </w:pPr>
      <w:r w:rsidRPr="00973EB8">
        <w:rPr>
          <w:rFonts w:eastAsia="TimesNewRomanPSMT"/>
          <w:lang w:eastAsia="lt-LT"/>
        </w:rPr>
        <w:t>kokybę ir prieinamumą, Kauno apskrities priklausomybės ligų centrui skirta 457,3 tūkst. Lt iš</w:t>
      </w:r>
      <w:r>
        <w:rPr>
          <w:rFonts w:eastAsia="TimesNewRomanPSMT"/>
          <w:lang w:eastAsia="lt-LT"/>
        </w:rPr>
        <w:t xml:space="preserve"> </w:t>
      </w:r>
      <w:r w:rsidRPr="00973EB8">
        <w:rPr>
          <w:rFonts w:eastAsia="TimesNewRomanPSMT"/>
          <w:lang w:eastAsia="lt-LT"/>
        </w:rPr>
        <w:t>Privalomo sveikatos draudimo fondo lėšų.</w:t>
      </w:r>
      <w:r>
        <w:rPr>
          <w:rFonts w:eastAsia="TimesNewRomanPSMT"/>
          <w:lang w:eastAsia="lt-LT"/>
        </w:rPr>
        <w:t xml:space="preserve"> </w:t>
      </w:r>
    </w:p>
    <w:p w:rsidR="00E80028" w:rsidRDefault="00E80028" w:rsidP="00E80028">
      <w:pPr>
        <w:autoSpaceDE w:val="0"/>
        <w:autoSpaceDN w:val="0"/>
        <w:adjustRightInd w:val="0"/>
        <w:ind w:firstLine="720"/>
        <w:jc w:val="both"/>
        <w:rPr>
          <w:rFonts w:eastAsia="TimesNewRomanPSMT"/>
          <w:lang w:eastAsia="lt-LT"/>
        </w:rPr>
      </w:pPr>
      <w:r>
        <w:rPr>
          <w:rFonts w:eastAsia="TimesNewRomanPSMT"/>
          <w:lang w:eastAsia="lt-LT"/>
        </w:rPr>
        <w:t>Pvz., 2012</w:t>
      </w:r>
      <w:r w:rsidRPr="00973EB8">
        <w:rPr>
          <w:rFonts w:eastAsia="TimesNewRomanPSMT"/>
          <w:lang w:eastAsia="lt-LT"/>
        </w:rPr>
        <w:t xml:space="preserve"> -</w:t>
      </w:r>
      <w:r>
        <w:rPr>
          <w:rFonts w:eastAsia="TimesNewRomanPSMT"/>
          <w:lang w:eastAsia="lt-LT"/>
        </w:rPr>
        <w:t xml:space="preserve"> </w:t>
      </w:r>
      <w:r w:rsidRPr="00973EB8">
        <w:rPr>
          <w:rFonts w:eastAsia="TimesNewRomanPSMT"/>
          <w:lang w:eastAsia="lt-LT"/>
        </w:rPr>
        <w:t>2013 m. naujų atvejų, registruojant vaikų psichikos ir elgesio sutrikimus,</w:t>
      </w:r>
      <w:r>
        <w:rPr>
          <w:rFonts w:eastAsia="TimesNewRomanPSMT"/>
          <w:lang w:eastAsia="lt-LT"/>
        </w:rPr>
        <w:t xml:space="preserve"> </w:t>
      </w:r>
      <w:r w:rsidRPr="00973EB8">
        <w:rPr>
          <w:rFonts w:eastAsia="TimesNewRomanPSMT"/>
          <w:lang w:eastAsia="lt-LT"/>
        </w:rPr>
        <w:t>vartojant psichiką veikiančias medžiagas, skaičius ambulatorinėse asmens sveikatos</w:t>
      </w:r>
      <w:r>
        <w:rPr>
          <w:rFonts w:eastAsia="TimesNewRomanPSMT"/>
          <w:lang w:eastAsia="lt-LT"/>
        </w:rPr>
        <w:t xml:space="preserve"> priežiūros įstaigos nedidėjo:</w:t>
      </w:r>
    </w:p>
    <w:p w:rsidR="00E80028" w:rsidRPr="00FF07D0" w:rsidRDefault="00E80028" w:rsidP="00E80028">
      <w:pPr>
        <w:autoSpaceDE w:val="0"/>
        <w:autoSpaceDN w:val="0"/>
        <w:adjustRightInd w:val="0"/>
        <w:ind w:firstLine="720"/>
        <w:rPr>
          <w:rFonts w:eastAsia="TimesNewRomanPSMT"/>
          <w:lang w:eastAsia="lt-LT"/>
        </w:rPr>
      </w:pPr>
      <w:r w:rsidRPr="00FF07D0">
        <w:rPr>
          <w:rFonts w:eastAsia="TimesNewRomanPSMT"/>
          <w:lang w:eastAsia="lt-LT"/>
        </w:rPr>
        <w:t>Psichikos ir elgesio</w:t>
      </w:r>
      <w:r>
        <w:rPr>
          <w:rFonts w:eastAsia="TimesNewRomanPSMT"/>
          <w:lang w:eastAsia="lt-LT"/>
        </w:rPr>
        <w:t xml:space="preserve"> </w:t>
      </w:r>
      <w:r w:rsidRPr="00FF07D0">
        <w:rPr>
          <w:rFonts w:eastAsia="TimesNewRomanPSMT"/>
          <w:lang w:eastAsia="lt-LT"/>
        </w:rPr>
        <w:t>sutrikimai vartojant</w:t>
      </w:r>
      <w:r>
        <w:rPr>
          <w:rFonts w:eastAsia="TimesNewRomanPSMT"/>
          <w:lang w:eastAsia="lt-LT"/>
        </w:rPr>
        <w:t xml:space="preserve"> </w:t>
      </w:r>
      <w:r w:rsidRPr="00FF07D0">
        <w:rPr>
          <w:rFonts w:eastAsia="TimesNewRomanPSMT"/>
          <w:lang w:eastAsia="lt-LT"/>
        </w:rPr>
        <w:t>psichiką veikiančias</w:t>
      </w:r>
      <w:r>
        <w:rPr>
          <w:rFonts w:eastAsia="TimesNewRomanPSMT"/>
          <w:lang w:eastAsia="lt-LT"/>
        </w:rPr>
        <w:t xml:space="preserve"> </w:t>
      </w:r>
      <w:r w:rsidRPr="00FF07D0">
        <w:rPr>
          <w:rFonts w:eastAsia="TimesNewRomanPSMT"/>
          <w:lang w:eastAsia="lt-LT"/>
        </w:rPr>
        <w:t>medžiagas (F 10-19)</w:t>
      </w:r>
      <w:r>
        <w:rPr>
          <w:rFonts w:eastAsia="TimesNewRomanPSMT"/>
          <w:lang w:eastAsia="lt-LT"/>
        </w:rPr>
        <w:t xml:space="preserve">, naujų atvejų skaičius 2012 metais – 14, 2013 metais – 8.  </w:t>
      </w:r>
    </w:p>
    <w:p w:rsidR="00E80028" w:rsidRPr="00FF07D0" w:rsidRDefault="00E80028" w:rsidP="00E80028">
      <w:pPr>
        <w:autoSpaceDE w:val="0"/>
        <w:autoSpaceDN w:val="0"/>
        <w:adjustRightInd w:val="0"/>
        <w:ind w:firstLine="720"/>
        <w:rPr>
          <w:rFonts w:eastAsia="TimesNewRomanPSMT"/>
          <w:lang w:eastAsia="lt-LT"/>
        </w:rPr>
      </w:pPr>
      <w:r w:rsidRPr="00FF07D0">
        <w:rPr>
          <w:rFonts w:eastAsia="TimesNewRomanPSMT"/>
          <w:lang w:eastAsia="lt-LT"/>
        </w:rPr>
        <w:t>Psichikos ir elgesio</w:t>
      </w:r>
      <w:r>
        <w:rPr>
          <w:rFonts w:eastAsia="TimesNewRomanPSMT"/>
          <w:lang w:eastAsia="lt-LT"/>
        </w:rPr>
        <w:t xml:space="preserve"> </w:t>
      </w:r>
      <w:r w:rsidRPr="00FF07D0">
        <w:rPr>
          <w:rFonts w:eastAsia="TimesNewRomanPSMT"/>
          <w:lang w:eastAsia="lt-LT"/>
        </w:rPr>
        <w:t>sutrikimai vartojant</w:t>
      </w:r>
      <w:r>
        <w:rPr>
          <w:rFonts w:eastAsia="TimesNewRomanPSMT"/>
          <w:lang w:eastAsia="lt-LT"/>
        </w:rPr>
        <w:t xml:space="preserve"> </w:t>
      </w:r>
      <w:r w:rsidRPr="00FF07D0">
        <w:rPr>
          <w:rFonts w:eastAsia="TimesNewRomanPSMT"/>
          <w:lang w:eastAsia="lt-LT"/>
        </w:rPr>
        <w:t>psichiką veikiančias</w:t>
      </w:r>
      <w:r>
        <w:rPr>
          <w:rFonts w:eastAsia="TimesNewRomanPSMT"/>
          <w:lang w:eastAsia="lt-LT"/>
        </w:rPr>
        <w:t xml:space="preserve"> </w:t>
      </w:r>
      <w:r w:rsidRPr="00FF07D0">
        <w:rPr>
          <w:rFonts w:eastAsia="TimesNewRomanPSMT"/>
          <w:lang w:eastAsia="lt-LT"/>
        </w:rPr>
        <w:t>medžiagas (F 10-19)</w:t>
      </w:r>
      <w:r>
        <w:rPr>
          <w:rFonts w:eastAsia="TimesNewRomanPSMT"/>
          <w:lang w:eastAsia="lt-LT"/>
        </w:rPr>
        <w:t xml:space="preserve">, naujų atvejų skaičius 2012 metais – 7, 2013 metais – 5.  </w:t>
      </w:r>
    </w:p>
    <w:p w:rsidR="00E80028" w:rsidRPr="00FF07D0" w:rsidRDefault="00E80028" w:rsidP="00E80028">
      <w:pPr>
        <w:autoSpaceDE w:val="0"/>
        <w:autoSpaceDN w:val="0"/>
        <w:adjustRightInd w:val="0"/>
        <w:ind w:firstLine="720"/>
        <w:rPr>
          <w:rFonts w:eastAsia="TimesNewRomanPSMT"/>
          <w:lang w:eastAsia="lt-LT"/>
        </w:rPr>
      </w:pPr>
      <w:r w:rsidRPr="00FF07D0">
        <w:rPr>
          <w:rFonts w:eastAsia="TimesNewRomanPSMT"/>
          <w:lang w:eastAsia="lt-LT"/>
        </w:rPr>
        <w:t>Psichikos ir elgesio</w:t>
      </w:r>
      <w:r>
        <w:rPr>
          <w:rFonts w:eastAsia="TimesNewRomanPSMT"/>
          <w:lang w:eastAsia="lt-LT"/>
        </w:rPr>
        <w:t xml:space="preserve"> </w:t>
      </w:r>
      <w:r w:rsidRPr="00FF07D0">
        <w:rPr>
          <w:rFonts w:eastAsia="TimesNewRomanPSMT"/>
          <w:lang w:eastAsia="lt-LT"/>
        </w:rPr>
        <w:t>sutrikimai, vartojant</w:t>
      </w:r>
      <w:r>
        <w:rPr>
          <w:rFonts w:eastAsia="TimesNewRomanPSMT"/>
          <w:lang w:eastAsia="lt-LT"/>
        </w:rPr>
        <w:t xml:space="preserve"> </w:t>
      </w:r>
      <w:r w:rsidRPr="00FF07D0">
        <w:rPr>
          <w:rFonts w:eastAsia="TimesNewRomanPSMT"/>
          <w:lang w:eastAsia="lt-LT"/>
        </w:rPr>
        <w:t>narkotines ir</w:t>
      </w:r>
      <w:r>
        <w:rPr>
          <w:rFonts w:eastAsia="TimesNewRomanPSMT"/>
          <w:lang w:eastAsia="lt-LT"/>
        </w:rPr>
        <w:t xml:space="preserve"> </w:t>
      </w:r>
      <w:r w:rsidRPr="00FF07D0">
        <w:rPr>
          <w:rFonts w:eastAsia="TimesNewRomanPSMT"/>
          <w:lang w:eastAsia="lt-LT"/>
        </w:rPr>
        <w:t>psichotropines</w:t>
      </w:r>
      <w:r>
        <w:rPr>
          <w:rFonts w:eastAsia="TimesNewRomanPSMT"/>
          <w:lang w:eastAsia="lt-LT"/>
        </w:rPr>
        <w:t xml:space="preserve"> </w:t>
      </w:r>
      <w:r w:rsidRPr="00FF07D0">
        <w:rPr>
          <w:rFonts w:eastAsia="TimesNewRomanPSMT"/>
          <w:lang w:eastAsia="lt-LT"/>
        </w:rPr>
        <w:t>medžiagas, tabaką</w:t>
      </w:r>
      <w:r>
        <w:rPr>
          <w:rFonts w:eastAsia="TimesNewRomanPSMT"/>
          <w:lang w:eastAsia="lt-LT"/>
        </w:rPr>
        <w:t xml:space="preserve"> (F 11</w:t>
      </w:r>
      <w:r w:rsidRPr="00FF07D0">
        <w:rPr>
          <w:rFonts w:eastAsia="TimesNewRomanPSMT"/>
          <w:lang w:eastAsia="lt-LT"/>
        </w:rPr>
        <w:t>-19)</w:t>
      </w:r>
      <w:r>
        <w:rPr>
          <w:rFonts w:eastAsia="TimesNewRomanPSMT"/>
          <w:lang w:eastAsia="lt-LT"/>
        </w:rPr>
        <w:t xml:space="preserve">, naujų atvejų skaičius 2012 metais – 7, 2013 metais – 3.  </w:t>
      </w:r>
    </w:p>
    <w:p w:rsidR="00E80028" w:rsidRDefault="00E80028" w:rsidP="00E80028">
      <w:pPr>
        <w:autoSpaceDE w:val="0"/>
        <w:autoSpaceDN w:val="0"/>
        <w:adjustRightInd w:val="0"/>
        <w:ind w:firstLine="720"/>
        <w:jc w:val="both"/>
        <w:rPr>
          <w:rFonts w:eastAsia="TimesNewRomanPSMT"/>
          <w:lang w:eastAsia="lt-LT"/>
        </w:rPr>
      </w:pPr>
      <w:r>
        <w:rPr>
          <w:rFonts w:eastAsia="TimesNewRomanPSMT"/>
          <w:lang w:eastAsia="lt-LT"/>
        </w:rPr>
        <w:t>2012</w:t>
      </w:r>
      <w:r w:rsidRPr="00973EB8">
        <w:rPr>
          <w:rFonts w:eastAsia="TimesNewRomanPSMT"/>
          <w:lang w:eastAsia="lt-LT"/>
        </w:rPr>
        <w:t xml:space="preserve"> -</w:t>
      </w:r>
      <w:r>
        <w:rPr>
          <w:rFonts w:eastAsia="TimesNewRomanPSMT"/>
          <w:lang w:eastAsia="lt-LT"/>
        </w:rPr>
        <w:t xml:space="preserve"> </w:t>
      </w:r>
      <w:r w:rsidRPr="00973EB8">
        <w:rPr>
          <w:rFonts w:eastAsia="TimesNewRomanPSMT"/>
          <w:lang w:eastAsia="lt-LT"/>
        </w:rPr>
        <w:t>2013 m. psichikos ir elgesio sutrikimus,</w:t>
      </w:r>
      <w:r>
        <w:rPr>
          <w:rFonts w:eastAsia="TimesNewRomanPSMT"/>
          <w:lang w:eastAsia="lt-LT"/>
        </w:rPr>
        <w:t xml:space="preserve"> </w:t>
      </w:r>
      <w:r w:rsidRPr="00973EB8">
        <w:rPr>
          <w:rFonts w:eastAsia="TimesNewRomanPSMT"/>
          <w:lang w:eastAsia="lt-LT"/>
        </w:rPr>
        <w:t xml:space="preserve">vartojant psichiką veikiančias medžiagas, skaičius </w:t>
      </w:r>
      <w:r>
        <w:rPr>
          <w:rFonts w:eastAsia="TimesNewRomanPSMT"/>
          <w:lang w:eastAsia="lt-LT"/>
        </w:rPr>
        <w:t xml:space="preserve">tarp vaikų stacionarines sveikatos priežiūros įstaigos, buvo stabilus: </w:t>
      </w:r>
    </w:p>
    <w:p w:rsidR="00E80028" w:rsidRPr="00FF07D0" w:rsidRDefault="00E80028" w:rsidP="00E80028">
      <w:pPr>
        <w:autoSpaceDE w:val="0"/>
        <w:autoSpaceDN w:val="0"/>
        <w:adjustRightInd w:val="0"/>
        <w:ind w:firstLine="720"/>
        <w:rPr>
          <w:rFonts w:eastAsia="TimesNewRomanPSMT"/>
          <w:lang w:eastAsia="lt-LT"/>
        </w:rPr>
      </w:pPr>
      <w:r>
        <w:rPr>
          <w:rFonts w:eastAsia="TimesNewRomanPSMT"/>
          <w:lang w:eastAsia="lt-LT"/>
        </w:rPr>
        <w:t xml:space="preserve">Ūminė alkoholinė intoksikacija (F10) - 2012 metais – 32, 2013 metais – 37.  </w:t>
      </w:r>
    </w:p>
    <w:p w:rsidR="00E80028" w:rsidRDefault="00E80028" w:rsidP="00E80028">
      <w:pPr>
        <w:autoSpaceDE w:val="0"/>
        <w:autoSpaceDN w:val="0"/>
        <w:adjustRightInd w:val="0"/>
        <w:ind w:firstLine="720"/>
        <w:rPr>
          <w:rFonts w:eastAsia="TimesNewRomanPSMT"/>
          <w:lang w:eastAsia="lt-LT"/>
        </w:rPr>
      </w:pPr>
      <w:r w:rsidRPr="00FF07D0">
        <w:rPr>
          <w:rFonts w:eastAsia="TimesNewRomanPSMT"/>
          <w:lang w:eastAsia="lt-LT"/>
        </w:rPr>
        <w:t>Psichikos ir elgesio</w:t>
      </w:r>
      <w:r>
        <w:rPr>
          <w:rFonts w:eastAsia="TimesNewRomanPSMT"/>
          <w:lang w:eastAsia="lt-LT"/>
        </w:rPr>
        <w:t xml:space="preserve"> </w:t>
      </w:r>
      <w:r w:rsidRPr="00FF07D0">
        <w:rPr>
          <w:rFonts w:eastAsia="TimesNewRomanPSMT"/>
          <w:lang w:eastAsia="lt-LT"/>
        </w:rPr>
        <w:t>sutrikimai vartojant</w:t>
      </w:r>
      <w:r>
        <w:rPr>
          <w:rFonts w:eastAsia="TimesNewRomanPSMT"/>
          <w:lang w:eastAsia="lt-LT"/>
        </w:rPr>
        <w:t xml:space="preserve"> </w:t>
      </w:r>
      <w:r w:rsidRPr="00FF07D0">
        <w:rPr>
          <w:rFonts w:eastAsia="TimesNewRomanPSMT"/>
          <w:lang w:eastAsia="lt-LT"/>
        </w:rPr>
        <w:t>psichiką veikiančias</w:t>
      </w:r>
      <w:r>
        <w:rPr>
          <w:rFonts w:eastAsia="TimesNewRomanPSMT"/>
          <w:lang w:eastAsia="lt-LT"/>
        </w:rPr>
        <w:t xml:space="preserve"> </w:t>
      </w:r>
      <w:r w:rsidRPr="00FF07D0">
        <w:rPr>
          <w:rFonts w:eastAsia="TimesNewRomanPSMT"/>
          <w:lang w:eastAsia="lt-LT"/>
        </w:rPr>
        <w:t>medž</w:t>
      </w:r>
      <w:r>
        <w:rPr>
          <w:rFonts w:eastAsia="TimesNewRomanPSMT"/>
          <w:lang w:eastAsia="lt-LT"/>
        </w:rPr>
        <w:t>iagas (F 11</w:t>
      </w:r>
      <w:r w:rsidRPr="00FF07D0">
        <w:rPr>
          <w:rFonts w:eastAsia="TimesNewRomanPSMT"/>
          <w:lang w:eastAsia="lt-LT"/>
        </w:rPr>
        <w:t>-19)</w:t>
      </w:r>
      <w:r>
        <w:rPr>
          <w:rFonts w:eastAsia="TimesNewRomanPSMT"/>
          <w:lang w:eastAsia="lt-LT"/>
        </w:rPr>
        <w:t xml:space="preserve">, naujų atvejų skaičius 2012 metais – 25, 2013 metais – 24.  </w:t>
      </w:r>
    </w:p>
    <w:p w:rsidR="00E80028" w:rsidRPr="00FF07D0" w:rsidRDefault="00E80028" w:rsidP="00E80028">
      <w:pPr>
        <w:autoSpaceDE w:val="0"/>
        <w:autoSpaceDN w:val="0"/>
        <w:adjustRightInd w:val="0"/>
        <w:ind w:firstLine="720"/>
        <w:rPr>
          <w:rFonts w:eastAsia="TimesNewRomanPSMT"/>
          <w:lang w:eastAsia="lt-LT"/>
        </w:rPr>
      </w:pPr>
      <w:r>
        <w:rPr>
          <w:rFonts w:eastAsia="TimesNewRomanPSMT"/>
          <w:lang w:eastAsia="lt-LT"/>
        </w:rPr>
        <w:t xml:space="preserve">Vaikų iki 18 m., gydytų dėl psichikos ir elgesio sutrikimų, vartojant psichiką veikiančias medžiagas, skaičius priklausomybės ligų centruose 2012 metais -  41, 2013 metais – 48. </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Siekiant efektyvesnio priklausomybės ligų gydymo, parengtos ir patvirtintos j vairios</w:t>
      </w:r>
    </w:p>
    <w:p w:rsidR="00E80028" w:rsidRDefault="00E80028" w:rsidP="00E80028">
      <w:pPr>
        <w:autoSpaceDE w:val="0"/>
        <w:autoSpaceDN w:val="0"/>
        <w:adjustRightInd w:val="0"/>
        <w:jc w:val="both"/>
        <w:rPr>
          <w:rFonts w:eastAsia="TimesNewRomanPSMT"/>
          <w:lang w:eastAsia="lt-LT"/>
        </w:rPr>
      </w:pPr>
      <w:r w:rsidRPr="00CB3EF2">
        <w:rPr>
          <w:rFonts w:eastAsia="TimesNewRomanPSMT"/>
          <w:lang w:eastAsia="lt-LT"/>
        </w:rPr>
        <w:t>metodikos:</w:t>
      </w:r>
      <w:r>
        <w:rPr>
          <w:rFonts w:eastAsia="TimesNewRomanPSMT"/>
          <w:lang w:eastAsia="lt-LT"/>
        </w:rPr>
        <w:t xml:space="preserve"> </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Alkoholis ir pirminė sveikatos priežiūra: atpažinimo ir trumpų intervencijų mokymo</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programa. Vilniaus priklausomybės ligų centras, 2009. Metodinė medžiaga.</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„Asmenų, sergančių priklausomybe nuo opioidų, diagnostika, medikamentinis gydymas</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ir socialinė pagalba". Vilniaus priklausomybės ligų centras, 2009.</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„Pagalba asmenims, priklausomiems nuo psichoaktyvių medžiagų Vilniaus mieste" .</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Vilniaus priklausomybės ligų centras, 2011.</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Metodinės rekomendacijos „Švirkščiamų narkotikų vartotojų motyvacinis interviu".</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Vilniaus priklausomybės ligų centras, 2006.</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E. Subata, R. Krikščiukaitytė, V. Povilaitienė, E. Pincevičiūtė. Narkotikų vartojimas:</w:t>
      </w:r>
    </w:p>
    <w:p w:rsidR="00E80028" w:rsidRDefault="00E80028" w:rsidP="00E80028">
      <w:pPr>
        <w:autoSpaceDE w:val="0"/>
        <w:autoSpaceDN w:val="0"/>
        <w:adjustRightInd w:val="0"/>
        <w:jc w:val="both"/>
        <w:rPr>
          <w:rFonts w:eastAsia="TimesNewRomanPSMT"/>
          <w:lang w:eastAsia="lt-LT"/>
        </w:rPr>
      </w:pPr>
      <w:r w:rsidRPr="00CB3EF2">
        <w:rPr>
          <w:rFonts w:eastAsia="TimesNewRomanPSMT"/>
          <w:lang w:eastAsia="lt-LT"/>
        </w:rPr>
        <w:t>ankstyvas nustatymas ir gydymas. Vilniaus priklausomybės ligų centras, Valstybinis</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psichikos sveikatos centras. Vilnius, 2003.</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M. Fleming, P. Murray. Alkoholio vartojimo problemos ir jų sprendimo būdai bendrojoje</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praktikoje. Lietuviška redakcija E. Subatos ir L. Valiaus. Vitae Litera, 2000. - 140 psl.</w:t>
      </w:r>
    </w:p>
    <w:p w:rsidR="00E80028" w:rsidRPr="00CB3EF2" w:rsidRDefault="00E80028" w:rsidP="00E80028">
      <w:pPr>
        <w:autoSpaceDE w:val="0"/>
        <w:autoSpaceDN w:val="0"/>
        <w:adjustRightInd w:val="0"/>
        <w:ind w:firstLine="720"/>
        <w:jc w:val="both"/>
        <w:rPr>
          <w:rFonts w:eastAsia="TimesNewRomanPSMT"/>
          <w:lang w:eastAsia="lt-LT"/>
        </w:rPr>
      </w:pPr>
      <w:r w:rsidRPr="00CB3EF2">
        <w:rPr>
          <w:rFonts w:eastAsia="TimesNewRomanPSMT"/>
          <w:lang w:eastAsia="lt-LT"/>
        </w:rPr>
        <w:t>• Metodinės rekomendacijos „Bendradarbiavimo tinklo kūrimas Vilniaus mieste</w:t>
      </w:r>
    </w:p>
    <w:p w:rsidR="00E80028" w:rsidRDefault="00E80028" w:rsidP="00E80028">
      <w:pPr>
        <w:autoSpaceDE w:val="0"/>
        <w:autoSpaceDN w:val="0"/>
        <w:adjustRightInd w:val="0"/>
        <w:jc w:val="both"/>
        <w:rPr>
          <w:rFonts w:eastAsia="TimesNewRomanPSMT"/>
          <w:lang w:eastAsia="lt-LT"/>
        </w:rPr>
      </w:pPr>
      <w:r w:rsidRPr="00CB3EF2">
        <w:rPr>
          <w:rFonts w:eastAsia="TimesNewRomanPSMT"/>
          <w:lang w:eastAsia="lt-LT"/>
        </w:rPr>
        <w:t>sprendžiant šeimų, auginančių vaikus kur yra piktnaudžiaujama alkoholiu ar</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narkotinėmis medžiagomis, problemas“. Aušra Širvinskienė. Vilniaus priklausomybės</w:t>
      </w:r>
    </w:p>
    <w:p w:rsidR="00E80028" w:rsidRPr="00CB3EF2" w:rsidRDefault="00E80028" w:rsidP="00E80028">
      <w:pPr>
        <w:autoSpaceDE w:val="0"/>
        <w:autoSpaceDN w:val="0"/>
        <w:adjustRightInd w:val="0"/>
        <w:jc w:val="both"/>
        <w:rPr>
          <w:rFonts w:eastAsia="TimesNewRomanPSMT"/>
          <w:lang w:eastAsia="lt-LT"/>
        </w:rPr>
      </w:pPr>
      <w:r w:rsidRPr="00CB3EF2">
        <w:rPr>
          <w:rFonts w:eastAsia="TimesNewRomanPSMT"/>
          <w:lang w:eastAsia="lt-LT"/>
        </w:rPr>
        <w:t>ligų centras, 2013.</w:t>
      </w:r>
    </w:p>
    <w:p w:rsidR="00E80028" w:rsidRPr="007C0812" w:rsidRDefault="00E80028" w:rsidP="00E80028">
      <w:pPr>
        <w:autoSpaceDE w:val="0"/>
        <w:autoSpaceDN w:val="0"/>
        <w:adjustRightInd w:val="0"/>
        <w:ind w:firstLine="720"/>
        <w:jc w:val="both"/>
        <w:rPr>
          <w:rFonts w:eastAsia="TimesNewRomanPSMT"/>
          <w:lang w:eastAsia="lt-LT"/>
        </w:rPr>
      </w:pPr>
      <w:r w:rsidRPr="007C0812">
        <w:rPr>
          <w:rFonts w:eastAsia="TimesNewRomanPSMT"/>
          <w:lang w:eastAsia="lt-LT"/>
        </w:rPr>
        <w:t>• Priklausomybės nuo opioidų gydymo metadonu metodika, autoriai: E.</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Subata, V.Danilevičiūtė, V. Adomaitienė, R. Matulionytė, S. Naujokienė, A.</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Malinauskaitė. Lietuvos psichiatrų asociacijos darbo grupė, 2010 m.</w:t>
      </w:r>
    </w:p>
    <w:p w:rsidR="00E80028" w:rsidRPr="007C0812" w:rsidRDefault="00E80028" w:rsidP="00E80028">
      <w:pPr>
        <w:autoSpaceDE w:val="0"/>
        <w:autoSpaceDN w:val="0"/>
        <w:adjustRightInd w:val="0"/>
        <w:ind w:firstLine="720"/>
        <w:jc w:val="both"/>
        <w:rPr>
          <w:rFonts w:eastAsia="TimesNewRomanPSMT"/>
          <w:lang w:eastAsia="lt-LT"/>
        </w:rPr>
      </w:pPr>
      <w:r w:rsidRPr="007C0812">
        <w:rPr>
          <w:rFonts w:eastAsia="TimesNewRomanPSMT"/>
          <w:lang w:eastAsia="lt-LT"/>
        </w:rPr>
        <w:t>• Priklausomybės nuo opioidų gydymo buprenorfinu ir buprenorfinu/naloksonu metodika,</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lastRenderedPageBreak/>
        <w:t>autoriai: E. Subata, V. Danilevičiūtė, V. Adomaitienė, R. Matulionytė, J. Kuznecova, N.</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Šinkūnienė, S. Zamkovaja, T. Zikaras, S. Naujokienė, A. Malinauskaitė.</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Lietuvos psichiatrų asociacijos darbo grupė, 2009 m.</w:t>
      </w:r>
    </w:p>
    <w:p w:rsidR="00E80028" w:rsidRPr="007C0812" w:rsidRDefault="00E80028" w:rsidP="00E80028">
      <w:pPr>
        <w:autoSpaceDE w:val="0"/>
        <w:autoSpaceDN w:val="0"/>
        <w:adjustRightInd w:val="0"/>
        <w:ind w:firstLine="720"/>
        <w:jc w:val="both"/>
        <w:rPr>
          <w:rFonts w:eastAsia="TimesNewRomanPSMT"/>
          <w:lang w:eastAsia="lt-LT"/>
        </w:rPr>
      </w:pPr>
      <w:r w:rsidRPr="007C0812">
        <w:rPr>
          <w:rFonts w:eastAsia="TimesNewRomanPSMT"/>
          <w:lang w:eastAsia="lt-LT"/>
        </w:rPr>
        <w:t>• Priklausomybės nuo opioidų gydymo naltreksonu metodika, autoriai: E. Subata, E.</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PinceviČiūtė, Lietuvos psichiatrų asociacija, 2008 m.</w:t>
      </w:r>
    </w:p>
    <w:p w:rsidR="00E80028" w:rsidRPr="007C0812" w:rsidRDefault="00E80028" w:rsidP="00E80028">
      <w:pPr>
        <w:autoSpaceDE w:val="0"/>
        <w:autoSpaceDN w:val="0"/>
        <w:adjustRightInd w:val="0"/>
        <w:ind w:firstLine="720"/>
        <w:jc w:val="both"/>
        <w:rPr>
          <w:rFonts w:eastAsia="TimesNewRomanPSMT"/>
          <w:lang w:eastAsia="lt-LT"/>
        </w:rPr>
      </w:pPr>
      <w:r w:rsidRPr="007C0812">
        <w:rPr>
          <w:rFonts w:eastAsia="TimesNewRomanPSMT"/>
          <w:lang w:eastAsia="lt-LT"/>
        </w:rPr>
        <w:t>• Vaikų ir paauglių, vartojančių psichoaktyviąsias medžiagas, gydymo ir skausmo malšinimo</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opioidais metodika, autoriai V. Adomaitienė, D. Leskauskas, O. Ančiulytė. Kauno</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medicinos universitetas, 2009 m.</w:t>
      </w:r>
    </w:p>
    <w:p w:rsidR="00E80028" w:rsidRDefault="00E80028" w:rsidP="00E80028">
      <w:pPr>
        <w:autoSpaceDE w:val="0"/>
        <w:autoSpaceDN w:val="0"/>
        <w:adjustRightInd w:val="0"/>
        <w:ind w:firstLine="720"/>
        <w:jc w:val="both"/>
        <w:rPr>
          <w:rFonts w:eastAsia="TimesNewRomanPSMT"/>
          <w:lang w:eastAsia="lt-LT"/>
        </w:rPr>
      </w:pPr>
      <w:r w:rsidRPr="007C0812">
        <w:rPr>
          <w:rFonts w:eastAsia="TimesNewRomanPSMT"/>
          <w:lang w:eastAsia="lt-LT"/>
        </w:rPr>
        <w:t>• Vaikų, vartojančių narkotines, psichotropines, kitas psichiką veikiančias medžiagas</w:t>
      </w:r>
      <w:r>
        <w:rPr>
          <w:rFonts w:eastAsia="TimesNewRomanPSMT"/>
          <w:lang w:eastAsia="lt-LT"/>
        </w:rPr>
        <w:t xml:space="preserve"> </w:t>
      </w:r>
      <w:r w:rsidRPr="007C0812">
        <w:rPr>
          <w:rFonts w:eastAsia="TimesNewRomanPSMT"/>
          <w:lang w:eastAsia="lt-LT"/>
        </w:rPr>
        <w:t>ankstyva diagnostika ir gydymas pirminės asmens sveikatos priežiūros įstaigose.</w:t>
      </w:r>
      <w:r>
        <w:rPr>
          <w:rFonts w:eastAsia="TimesNewRomanPSMT"/>
          <w:lang w:eastAsia="lt-LT"/>
        </w:rPr>
        <w:t xml:space="preserve"> </w:t>
      </w:r>
      <w:r w:rsidRPr="007C0812">
        <w:rPr>
          <w:rFonts w:eastAsia="TimesNewRomanPSMT"/>
          <w:lang w:eastAsia="lt-LT"/>
        </w:rPr>
        <w:t>Diagnostikos ir gydymo metodika. Autoriai: V. Karalienė, S. Lesinskienė, E. Subata.</w:t>
      </w:r>
      <w:r>
        <w:rPr>
          <w:rFonts w:eastAsia="TimesNewRomanPSMT"/>
          <w:lang w:eastAsia="lt-LT"/>
        </w:rPr>
        <w:t xml:space="preserve"> </w:t>
      </w:r>
      <w:r w:rsidRPr="007C0812">
        <w:rPr>
          <w:rFonts w:eastAsia="TimesNewRomanPSMT"/>
          <w:lang w:eastAsia="lt-LT"/>
        </w:rPr>
        <w:t>Lietuvos vaikų ir paauglių psichiatrų draugija, 2008.</w:t>
      </w:r>
    </w:p>
    <w:p w:rsidR="00E80028" w:rsidRPr="007C0812" w:rsidRDefault="00E80028" w:rsidP="00E80028">
      <w:pPr>
        <w:autoSpaceDE w:val="0"/>
        <w:autoSpaceDN w:val="0"/>
        <w:adjustRightInd w:val="0"/>
        <w:jc w:val="both"/>
        <w:rPr>
          <w:rFonts w:eastAsia="TimesNewRomanPSMT"/>
          <w:lang w:eastAsia="lt-LT"/>
        </w:rPr>
      </w:pPr>
      <w:r>
        <w:rPr>
          <w:rFonts w:eastAsia="TimesNewRomanPSMT"/>
          <w:lang w:eastAsia="lt-LT"/>
        </w:rPr>
        <w:tab/>
      </w:r>
      <w:r w:rsidRPr="007C0812">
        <w:rPr>
          <w:rFonts w:eastAsia="TimesNewRomanPSMT"/>
          <w:lang w:eastAsia="lt-LT"/>
        </w:rPr>
        <w:t>Kauno apskrities priklausomybių ligų centro veikla, rengiant metodikas, plėtojant mokslinę</w:t>
      </w:r>
    </w:p>
    <w:p w:rsidR="00E80028" w:rsidRPr="007C0812" w:rsidRDefault="00E80028" w:rsidP="00E80028">
      <w:pPr>
        <w:autoSpaceDE w:val="0"/>
        <w:autoSpaceDN w:val="0"/>
        <w:adjustRightInd w:val="0"/>
        <w:jc w:val="both"/>
        <w:rPr>
          <w:rFonts w:eastAsia="TimesNewRomanPSMT"/>
          <w:lang w:eastAsia="lt-LT"/>
        </w:rPr>
      </w:pPr>
      <w:r w:rsidRPr="007C0812">
        <w:rPr>
          <w:rFonts w:eastAsia="TimesNewRomanPSMT"/>
          <w:lang w:eastAsia="lt-LT"/>
        </w:rPr>
        <w:t>veiklą, teikiant sveikatos priežiūros paslaugas, ženkliai prisideda prie efektyvesnės priklausomybių</w:t>
      </w:r>
    </w:p>
    <w:p w:rsidR="00E80028" w:rsidRDefault="00E80028" w:rsidP="00E80028">
      <w:pPr>
        <w:autoSpaceDE w:val="0"/>
        <w:autoSpaceDN w:val="0"/>
        <w:adjustRightInd w:val="0"/>
        <w:jc w:val="both"/>
        <w:rPr>
          <w:rFonts w:eastAsia="TimesNewRomanPSMT"/>
          <w:lang w:eastAsia="lt-LT"/>
        </w:rPr>
      </w:pPr>
      <w:r w:rsidRPr="007C0812">
        <w:rPr>
          <w:rFonts w:eastAsia="TimesNewRomanPSMT"/>
          <w:lang w:eastAsia="lt-LT"/>
        </w:rPr>
        <w:t>ligų gydymo sistemos kūrimo Lietuvoje.</w:t>
      </w:r>
    </w:p>
    <w:p w:rsidR="00E80028" w:rsidRPr="007C0812" w:rsidRDefault="00E80028" w:rsidP="00E80028">
      <w:pPr>
        <w:autoSpaceDE w:val="0"/>
        <w:autoSpaceDN w:val="0"/>
        <w:adjustRightInd w:val="0"/>
        <w:ind w:firstLine="720"/>
        <w:jc w:val="both"/>
        <w:rPr>
          <w:rFonts w:eastAsia="TimesNewRomanPSMT"/>
          <w:lang w:eastAsia="lt-LT"/>
        </w:rPr>
      </w:pPr>
      <w:r>
        <w:rPr>
          <w:rFonts w:eastAsia="TimesNewRomanPSMT"/>
          <w:lang w:eastAsia="lt-LT"/>
        </w:rPr>
        <w:t>S</w:t>
      </w:r>
      <w:r w:rsidRPr="007C0812">
        <w:rPr>
          <w:rFonts w:eastAsia="TimesNewRomanPSMT"/>
          <w:lang w:eastAsia="lt-LT"/>
        </w:rPr>
        <w:t>iekiant panaudoti 2014-2020 m. laikotarpio Europos Sąjungos</w:t>
      </w:r>
      <w:r>
        <w:rPr>
          <w:rFonts w:eastAsia="TimesNewRomanPSMT"/>
          <w:lang w:eastAsia="lt-LT"/>
        </w:rPr>
        <w:t xml:space="preserve"> </w:t>
      </w:r>
      <w:r w:rsidRPr="007C0812">
        <w:rPr>
          <w:rFonts w:eastAsia="TimesNewRomanPSMT"/>
          <w:lang w:eastAsia="lt-LT"/>
        </w:rPr>
        <w:t>struktūrinę paramą, šiuo metu rengiami Sveikatos ir sveikatos priežiūros netolygumų mažinimo bei</w:t>
      </w:r>
      <w:r>
        <w:rPr>
          <w:rFonts w:eastAsia="TimesNewRomanPSMT"/>
          <w:lang w:eastAsia="lt-LT"/>
        </w:rPr>
        <w:t xml:space="preserve"> </w:t>
      </w:r>
      <w:r w:rsidRPr="007C0812">
        <w:rPr>
          <w:rFonts w:eastAsia="TimesNewRomanPSMT"/>
          <w:lang w:eastAsia="lt-LT"/>
        </w:rPr>
        <w:t>Sveiko senėjimo veiksmų planai, kuriuose numatomos priklausomybės nuo alkoholio bei kitų</w:t>
      </w:r>
      <w:r>
        <w:rPr>
          <w:rFonts w:eastAsia="TimesNewRomanPSMT"/>
          <w:lang w:eastAsia="lt-LT"/>
        </w:rPr>
        <w:t xml:space="preserve"> </w:t>
      </w:r>
      <w:r w:rsidRPr="007C0812">
        <w:rPr>
          <w:rFonts w:eastAsia="TimesNewRomanPSMT"/>
          <w:lang w:eastAsia="lt-LT"/>
        </w:rPr>
        <w:t>psichoaktyviųjų medžiagų prevencijos, gydymo bei socialinės reintegracijos paslaugų prieinamumo</w:t>
      </w:r>
      <w:r>
        <w:rPr>
          <w:rFonts w:eastAsia="TimesNewRomanPSMT"/>
          <w:lang w:eastAsia="lt-LT"/>
        </w:rPr>
        <w:t xml:space="preserve"> didinimas, materialines technines minėtų įstaigų bazės gerinimas. </w:t>
      </w:r>
    </w:p>
    <w:p w:rsidR="00E80028" w:rsidRPr="00387E75" w:rsidRDefault="00E80028" w:rsidP="00E80028">
      <w:pPr>
        <w:ind w:firstLine="720"/>
        <w:jc w:val="both"/>
        <w:rPr>
          <w:rFonts w:eastAsia="Arial Unicode MS"/>
        </w:rPr>
      </w:pPr>
      <w:r w:rsidRPr="00387E75">
        <w:t>Komisija 2013 m. kovo 13 d. posėdyje</w:t>
      </w:r>
      <w:r>
        <w:t xml:space="preserve"> yra </w:t>
      </w:r>
      <w:r w:rsidRPr="00387E75">
        <w:t xml:space="preserve">nagrinėjusi </w:t>
      </w:r>
      <w:r w:rsidRPr="00387E75">
        <w:rPr>
          <w:bCs/>
        </w:rPr>
        <w:t>Kauno apskrities priklausomybės ligų centro padėties ir paslaugų teikimo vaikams ir jaunimui klausimą</w:t>
      </w:r>
      <w:r>
        <w:rPr>
          <w:bCs/>
        </w:rPr>
        <w:t xml:space="preserve"> bei </w:t>
      </w:r>
      <w:r w:rsidRPr="00387E75">
        <w:rPr>
          <w:bCs/>
        </w:rPr>
        <w:t xml:space="preserve"> </w:t>
      </w:r>
      <w:r>
        <w:rPr>
          <w:bCs/>
        </w:rPr>
        <w:t>pa</w:t>
      </w:r>
      <w:r>
        <w:t>s</w:t>
      </w:r>
      <w:r w:rsidRPr="00387E75">
        <w:t>iūl</w:t>
      </w:r>
      <w:r>
        <w:t>iusi</w:t>
      </w:r>
      <w:r w:rsidRPr="00387E75">
        <w:t xml:space="preserve"> Lietuvos Respublikos Vyriausybei įsteigti Kauno apskrities  priklausomybės ligų centre  respublikinį mokslinį metodinį specialistų, teikiančių priklausomybės ligomis sergantiems vaikams ir jaunimui ankstyvosios diagnostikos, gydymo, reabilitacijos ir socialinės reintegracijos paslaugas, rengimo centrą trumpalaikei ir ilgalaikei reabilitacijai visos Lietuvos vaikams ir jaunimui ir, bendradarbiaujant su Vytauto Didžiojo universitetu, išlaikyti praktikos bazę Vytauto Didžiojo universiteto studentams, socialiniams darbuotojams bei psichologams.</w:t>
      </w:r>
      <w:r>
        <w:t xml:space="preserve"> </w:t>
      </w:r>
      <w:r w:rsidRPr="00387E75">
        <w:tab/>
      </w:r>
    </w:p>
    <w:p w:rsidR="00E80028" w:rsidRPr="00387E75" w:rsidRDefault="00E80028" w:rsidP="00E80028">
      <w:pPr>
        <w:ind w:firstLine="720"/>
        <w:jc w:val="both"/>
        <w:rPr>
          <w:rFonts w:eastAsia="Arial Unicode MS"/>
        </w:rPr>
      </w:pPr>
      <w:r w:rsidRPr="00387E75">
        <w:rPr>
          <w:rFonts w:eastAsia="Arial Unicode MS"/>
        </w:rPr>
        <w:t>2013 metais visi Priklausomybės ligų centrai perduoti Sveikatos apsaugos ministerijai</w:t>
      </w:r>
      <w:r>
        <w:rPr>
          <w:rFonts w:eastAsia="Arial Unicode MS"/>
        </w:rPr>
        <w:t xml:space="preserve"> ir patvirtinti priklausomybės ligų centrų</w:t>
      </w:r>
      <w:r w:rsidRPr="00387E75">
        <w:rPr>
          <w:rFonts w:eastAsia="Arial Unicode MS"/>
        </w:rPr>
        <w:t xml:space="preserve"> nuostatai</w:t>
      </w:r>
      <w:r>
        <w:rPr>
          <w:rFonts w:eastAsia="Arial Unicode MS"/>
        </w:rPr>
        <w:t>.</w:t>
      </w:r>
      <w:r w:rsidRPr="00387E75">
        <w:rPr>
          <w:rFonts w:eastAsia="Arial Unicode MS"/>
        </w:rPr>
        <w:t xml:space="preserve"> </w:t>
      </w:r>
    </w:p>
    <w:p w:rsidR="00E80028" w:rsidRPr="00387E75" w:rsidRDefault="00E80028" w:rsidP="00E80028">
      <w:pPr>
        <w:ind w:firstLine="720"/>
        <w:jc w:val="both"/>
        <w:rPr>
          <w:rFonts w:eastAsia="Arial Unicode MS"/>
        </w:rPr>
      </w:pPr>
      <w:r w:rsidRPr="00387E75">
        <w:rPr>
          <w:rFonts w:eastAsia="Arial Unicode MS"/>
        </w:rPr>
        <w:t xml:space="preserve"> </w:t>
      </w:r>
    </w:p>
    <w:p w:rsidR="00E80028" w:rsidRPr="00387E75" w:rsidRDefault="00E80028" w:rsidP="00E80028">
      <w:pPr>
        <w:ind w:firstLine="720"/>
        <w:jc w:val="both"/>
        <w:rPr>
          <w:rFonts w:eastAsia="Arial Unicode MS"/>
        </w:rPr>
      </w:pPr>
    </w:p>
    <w:p w:rsidR="00E80028" w:rsidRPr="00E512DA" w:rsidRDefault="00E80028" w:rsidP="00E80028">
      <w:pPr>
        <w:ind w:left="360"/>
        <w:jc w:val="both"/>
        <w:rPr>
          <w:rFonts w:eastAsia="Arial Unicode MS"/>
        </w:rPr>
      </w:pPr>
      <w:r w:rsidRPr="00387E75">
        <w:rPr>
          <w:rFonts w:eastAsia="Arial Unicode MS"/>
          <w:b/>
        </w:rPr>
        <w:t xml:space="preserve">II. </w:t>
      </w:r>
      <w:r w:rsidRPr="00E512DA">
        <w:t>Dėl mažmeninės prekybos alkoholiniais gėrimais ir tabako gaminiais vietų tinklo tankumo ribojimo.</w:t>
      </w:r>
    </w:p>
    <w:p w:rsidR="00E80028" w:rsidRDefault="00E80028" w:rsidP="00E80028">
      <w:pPr>
        <w:ind w:firstLine="720"/>
        <w:jc w:val="both"/>
      </w:pPr>
      <w:r w:rsidRPr="00387E75">
        <w:rPr>
          <w:bCs/>
        </w:rPr>
        <w:tab/>
        <w:t>Komisija, vykdydama parlamentinė kontrolę</w:t>
      </w:r>
      <w:r>
        <w:rPr>
          <w:rFonts w:eastAsia="Arial Unicode MS"/>
        </w:rPr>
        <w:t xml:space="preserve"> dėl</w:t>
      </w:r>
      <w:r w:rsidRPr="00E512DA">
        <w:t xml:space="preserve"> mažmeninės prekybos alkoholiniais gėrimais ir tabako gaminiai</w:t>
      </w:r>
      <w:r>
        <w:t>s vietų tinklo tankumo ribojimo, 2014-06-18</w:t>
      </w:r>
      <w:r w:rsidRPr="00496461">
        <w:t xml:space="preserve"> </w:t>
      </w:r>
      <w:r>
        <w:t xml:space="preserve">posėdyje </w:t>
      </w:r>
      <w:r w:rsidRPr="00496461">
        <w:t>svarstė</w:t>
      </w:r>
      <w:r w:rsidRPr="00496461">
        <w:rPr>
          <w:bCs/>
        </w:rPr>
        <w:t xml:space="preserve"> </w:t>
      </w:r>
      <w:r>
        <w:rPr>
          <w:bCs/>
        </w:rPr>
        <w:t xml:space="preserve">minėtą </w:t>
      </w:r>
      <w:r w:rsidRPr="00496461">
        <w:rPr>
          <w:bCs/>
        </w:rPr>
        <w:t>klausimą</w:t>
      </w:r>
      <w:r>
        <w:rPr>
          <w:bCs/>
        </w:rPr>
        <w:t xml:space="preserve">, </w:t>
      </w:r>
      <w:r>
        <w:t>išklausė Narkotikų, tabako ir alkoholio kontrolės departamento informaciją dėl mažmeninės prekybos alkoholiniais gėrimais ir tabako gaminiais vietų tinklo tankumo ribojimo.</w:t>
      </w:r>
    </w:p>
    <w:p w:rsidR="00E80028" w:rsidRDefault="00E80028" w:rsidP="00E80028">
      <w:pPr>
        <w:ind w:firstLine="720"/>
        <w:jc w:val="both"/>
      </w:pPr>
      <w:r>
        <w:t xml:space="preserve"> Komisija nustatė, kad nuo 2003 metų iki 2013 metų savivaldybių išduotų galiojančių licencijų verstis mažmenine prekyba alkoholiniais gėrimais skaičius padidėjo daugiau kaip 39 procentais, nuo 2003 metais išduotų 14216 licencijų  iki 2013 metais išduotų 19809 licencijų. Savivaldybių išduotų galiojančių licencijų verstis mažmenine prekyba tabako gaminiais padidėjo 18,2 procentais, nuo 2003 metais išduotų 1425 licencijų iki 2013 metais išduotų 17288 licencijų.  Lietuvos Respublikos Alkoholio kontrolės įstatymas (toliau – Įstatymas) apibrėžia mažmeninės prekybos vietą – parduotuvę, automobilinę parduotuvę, paviljoną, </w:t>
      </w:r>
      <w:r>
        <w:lastRenderedPageBreak/>
        <w:t xml:space="preserve">kuriuose verčiamasi mažmenine prekyba ir kurie yra įrengti laikantis maisto tvarkymą reglamentuojančių teisės aktų reikalavimų. Yra išduotų licencijų verstis  mažmenine prekyba alkoholiniais gėrimais parodose, nors Įstatyme sąvokos „Paroda“ nėra. Dėl šios priežasties  iškyla keblumų vykdant valstybės alkoholio kontrolę ir taikant administracinę atsakomybę už šio įstatymo pažeidimus. </w:t>
      </w:r>
    </w:p>
    <w:p w:rsidR="00E80028" w:rsidRDefault="00E80028" w:rsidP="00E80028">
      <w:pPr>
        <w:ind w:firstLine="720"/>
        <w:jc w:val="both"/>
        <w:rPr>
          <w:bCs/>
        </w:rPr>
      </w:pPr>
      <w:r>
        <w:t xml:space="preserve">Komisija </w:t>
      </w:r>
      <w:r>
        <w:rPr>
          <w:bCs/>
        </w:rPr>
        <w:t>priėmė sprendimą:</w:t>
      </w:r>
    </w:p>
    <w:p w:rsidR="00E80028" w:rsidRDefault="00E80028" w:rsidP="00E80028">
      <w:pPr>
        <w:numPr>
          <w:ilvl w:val="0"/>
          <w:numId w:val="68"/>
        </w:numPr>
        <w:jc w:val="both"/>
        <w:rPr>
          <w:bCs/>
        </w:rPr>
      </w:pPr>
      <w:r>
        <w:rPr>
          <w:bCs/>
        </w:rPr>
        <w:t xml:space="preserve"> kreiptis </w:t>
      </w:r>
      <w:r w:rsidRPr="00116921">
        <w:rPr>
          <w:bCs/>
        </w:rPr>
        <w:t>į Lietuvos Respublikos Vyriausybę dėl „parodos“ sąvokos išaiškinimo</w:t>
      </w:r>
      <w:r>
        <w:rPr>
          <w:bCs/>
        </w:rPr>
        <w:t>.</w:t>
      </w:r>
    </w:p>
    <w:p w:rsidR="00E80028" w:rsidRDefault="00E80028" w:rsidP="00E80028">
      <w:pPr>
        <w:ind w:firstLine="720"/>
        <w:jc w:val="both"/>
      </w:pPr>
      <w:r>
        <w:t xml:space="preserve">Vyriausybės kanclerio 2014 m. liepos 3 d. pavedimu Nr. 17-2444 (dokumento reistracijos Nr. 17-2444) raštas nukreiptas Ūkio ministerijai. </w:t>
      </w:r>
    </w:p>
    <w:p w:rsidR="00E80028" w:rsidRDefault="00E80028" w:rsidP="00E80028">
      <w:pPr>
        <w:jc w:val="both"/>
      </w:pPr>
      <w:r>
        <w:rPr>
          <w:rFonts w:eastAsia="Arial Unicode MS"/>
        </w:rPr>
        <w:tab/>
        <w:t xml:space="preserve">Ūkio ministerija 2014-07-10 raštu Nr. (28.2-83)-3-3663 „Dėl alkoholio kontrolės įstatymo tobulinimo“, vykdydama Lietuvos Respublikos Ministro Pirmininko pavedimą (Lietuvos Respublikos Vyriausybės kanclerio 2014 m. liepos 3 d. raštas </w:t>
      </w:r>
      <w:r>
        <w:t xml:space="preserve">Nr. 17-2444), pagal kompetencija įvertino pateiktą siūlymą tobulinti Lietuvos Respublikos alkoholio kontrolės įstatymą, papildant ji nauja “parodos” sąvoka. </w:t>
      </w:r>
    </w:p>
    <w:p w:rsidR="00E80028" w:rsidRDefault="00E80028" w:rsidP="00E80028">
      <w:pPr>
        <w:jc w:val="both"/>
        <w:rPr>
          <w:rFonts w:eastAsia="Arial Unicode MS"/>
        </w:rPr>
      </w:pPr>
      <w:r>
        <w:tab/>
        <w:t xml:space="preserve">Ūkio ministerija, pritardama pasiūlymui pažymėjo, kad Alkoholio kontrolės įstatymo papildymas minėta sąvoka palengvintų šio įstatymo nuostatų, susijusių su licencijų prekiauti alkohoiniais gėrimais parodose išdavimu, taikymą. Alkoholio kontrolės įstatymo pakeitimo įstatymo projektą papildys Komisijos siūloma sąvoka ir, artimiausiu metu, teiks derinimui su suintersuotomis institucijomis. </w:t>
      </w:r>
    </w:p>
    <w:p w:rsidR="00E80028" w:rsidRDefault="00E80028" w:rsidP="00E80028">
      <w:pPr>
        <w:ind w:firstLine="720"/>
        <w:jc w:val="both"/>
      </w:pPr>
      <w:r>
        <w:rPr>
          <w:rFonts w:eastAsia="Arial Unicode MS"/>
        </w:rPr>
        <w:t xml:space="preserve">2) </w:t>
      </w:r>
      <w:r>
        <w:t xml:space="preserve">kreiptis į Vilniaus miesto tarybą ir kitas savivaldybes, kurios nėra nustatę atstumų </w:t>
      </w:r>
      <w:r>
        <w:rPr>
          <w:sz w:val="22"/>
          <w:szCs w:val="22"/>
        </w:rPr>
        <w:t>iki laisvės atėmimo,  karinių ir sukarintos tarnybos, policijos ir kitų statutinių, sveikatos priežiūros, ugdymo įstaigų ir maldos namų, nuo kurių leidžiama prekiauti alkoholiniais gėrimais.</w:t>
      </w:r>
    </w:p>
    <w:p w:rsidR="00E80028" w:rsidRDefault="00E80028" w:rsidP="00E80028">
      <w:pPr>
        <w:ind w:firstLine="720"/>
        <w:jc w:val="both"/>
      </w:pPr>
      <w:r>
        <w:rPr>
          <w:sz w:val="22"/>
          <w:szCs w:val="22"/>
        </w:rPr>
        <w:t>Narkotikų, tabako ir alkoholio kontrolės departamento duomenimis</w:t>
      </w:r>
      <w:r w:rsidRPr="00E7331F">
        <w:t xml:space="preserve"> </w:t>
      </w:r>
      <w:r>
        <w:t xml:space="preserve">nuo 2003 metų iki 2013 metų savavaldybių išduotų galiojančių licencijų skaičius padidėjo daugiau kaip 39 procentais. 2013 metais išduotų galiojančių licencijų skaičius buvo 19809 licencijos. 2013 m. liepos 1 dienai vienai licencijai verstis mažmenine prekyba alkoholiniais gėrimais tenkantis gyventojų skaičius Vilniaus mieste buvo 131 (vidurkis Lietuvoje - 133), Šiauliuose teko 232 asmenims. </w:t>
      </w:r>
    </w:p>
    <w:p w:rsidR="00E80028" w:rsidRDefault="00E80028" w:rsidP="00E80028">
      <w:pPr>
        <w:ind w:firstLine="720"/>
        <w:jc w:val="both"/>
      </w:pPr>
      <w:r>
        <w:t xml:space="preserve">Lietuvos statistikos departamento duomenimis 2012 m. legalaus alkoholio suvartojimas vienam gyventojui per metus, litrais absoliutaus alkoholio, teko 13 litrų. </w:t>
      </w:r>
    </w:p>
    <w:p w:rsidR="00E80028" w:rsidRDefault="00E80028" w:rsidP="00E80028">
      <w:pPr>
        <w:ind w:firstLine="720"/>
        <w:jc w:val="both"/>
        <w:rPr>
          <w:sz w:val="22"/>
          <w:szCs w:val="22"/>
        </w:rPr>
      </w:pPr>
      <w:r>
        <w:rPr>
          <w:sz w:val="22"/>
          <w:szCs w:val="22"/>
        </w:rPr>
        <w:t xml:space="preserve">Pasaulio sveikatos organizacija skelbia, kad 2012 metais dėl alkoholio vartojimo mirė 3,3 mln. žmonių visame pasaulyje. Alkoholio vartojimas padidina tikimybę susirgti daigiau nei 200 ligų. Vidutiniškai pasaulyje vyresnis nei 15 metų asmuo išgeria 6,2 litro gryno alkoholio per metus. </w:t>
      </w:r>
    </w:p>
    <w:p w:rsidR="00E80028" w:rsidRDefault="00E80028" w:rsidP="00E80028">
      <w:pPr>
        <w:ind w:firstLine="720"/>
        <w:jc w:val="both"/>
        <w:rPr>
          <w:sz w:val="22"/>
          <w:szCs w:val="22"/>
        </w:rPr>
      </w:pPr>
      <w:r>
        <w:rPr>
          <w:sz w:val="22"/>
          <w:szCs w:val="22"/>
        </w:rPr>
        <w:t xml:space="preserve">2008-2010 metais vienam vyresniam nei 15 metų Lietuvos gyventojui teko 15,4 litro gryno alkoholio per metus. </w:t>
      </w:r>
    </w:p>
    <w:p w:rsidR="00E80028" w:rsidRDefault="00E80028" w:rsidP="00E80028">
      <w:pPr>
        <w:ind w:firstLine="720"/>
        <w:jc w:val="both"/>
      </w:pPr>
      <w:r>
        <w:rPr>
          <w:sz w:val="22"/>
          <w:szCs w:val="22"/>
        </w:rPr>
        <w:t>Daugiau gryno alkoholio per metus suvartoja tik Baltarusijoje (17,5 l) ir Moldavijoje (16,8 l).</w:t>
      </w:r>
    </w:p>
    <w:p w:rsidR="00E80028" w:rsidRDefault="00E80028" w:rsidP="00E80028">
      <w:pPr>
        <w:ind w:firstLine="720"/>
        <w:jc w:val="both"/>
      </w:pPr>
      <w:r>
        <w:t xml:space="preserve">Lietuvos Respublikos Seimas </w:t>
      </w:r>
      <w:r>
        <w:rPr>
          <w:sz w:val="22"/>
          <w:szCs w:val="22"/>
        </w:rPr>
        <w:t>2014 m. birželio 26 d. nutarimu Nr. XII-964 „Dėl Lietuvos sveikatos  2014-2025 metų programos patvirtinimo“,  patvirtino Lietuvos sveikatos 2014-2025 metų programą (toliau – Programa), numatydamas tikslą – formuoti sveiką gyvenseną ir jos kultūrą,  siekiant mažinti alkoholinių gėrimų vartojimą, alkoholinių gėrimų pasiūlą ir paklausą, griežtinti atsakomybę už prekybos alkoholiniais gėrimais taisyklių pažeidimus ir kt. Programoje siūloma, kad s</w:t>
      </w:r>
      <w:r>
        <w:t>iekiant kurti palankias sąlygas saugiai leisti laisvalaikį, būtina mažinti alkoholinių gėrimų prieinamumą ir vartojimą, stiprinti prekybos alkoholiniais gėrimais taisyklių laikymosi priežiūrą ir kontrolę ir t.t.</w:t>
      </w:r>
      <w:bookmarkStart w:id="24" w:name="part_07ac8b91c7014e538412e0b2d9202344"/>
      <w:bookmarkStart w:id="25" w:name="part_0d334f0af0284e1397fe45974b55e1dc"/>
      <w:bookmarkEnd w:id="24"/>
      <w:bookmarkEnd w:id="25"/>
      <w:r>
        <w:t xml:space="preserve"> </w:t>
      </w:r>
    </w:p>
    <w:p w:rsidR="00E80028" w:rsidRDefault="00E80028" w:rsidP="00E80028">
      <w:pPr>
        <w:ind w:firstLine="720"/>
        <w:jc w:val="both"/>
        <w:rPr>
          <w:rFonts w:ascii="Tahoma" w:hAnsi="Tahoma" w:cs="Tahoma"/>
          <w:sz w:val="18"/>
          <w:szCs w:val="18"/>
        </w:rPr>
      </w:pPr>
      <w:r>
        <w:t>Vadovaujantis Lietuvos Respublikos Alkoholio kontrolės įstatymu, m</w:t>
      </w:r>
      <w:r>
        <w:rPr>
          <w:sz w:val="22"/>
          <w:szCs w:val="22"/>
        </w:rPr>
        <w:t>ažmenine prekyba alkoholiniais gėrimais leidžiama verstis tik turint licenciją verstis mažmenine prekyba alkoholiniais gėrimais. Licencijas ir jų dublikatus išduoda, papildo, rekvizitus patikslina atitinkamos savivaldybės vykdomoji institucija. Mažmeninės prekybos alkoholiniais gėrimais licencijų išdavimo tvarką nustato ir visuomenės informavimo priemonėse skelbia savivaldybės taryba. Licencijų išdavimo savivaldybėse veiksmus koordinuoja ir jų stebėseną atlieka Narkotikų, tabako ir alkoholio kontrolės departamentas. Savivaldybių tarybos turi teisę riboti ar uždrausti prekybą alkoholiniais gėrimais švenčių ir masinių renginių dienomis.</w:t>
      </w:r>
    </w:p>
    <w:p w:rsidR="00E80028" w:rsidRDefault="00E80028" w:rsidP="00E80028">
      <w:pPr>
        <w:ind w:firstLine="720"/>
        <w:jc w:val="both"/>
        <w:rPr>
          <w:sz w:val="22"/>
          <w:szCs w:val="22"/>
        </w:rPr>
      </w:pPr>
      <w:r>
        <w:lastRenderedPageBreak/>
        <w:t xml:space="preserve">Komisija pasiūlė Vilniaus miesto tarybai, atsižvelgus į prekybos alkoholiniais gėrimais vietą, gyventojų, </w:t>
      </w:r>
      <w:r>
        <w:rPr>
          <w:sz w:val="22"/>
          <w:szCs w:val="22"/>
        </w:rPr>
        <w:t xml:space="preserve">bendrijų, bendruomenių ar jų atstovų, visuomeninių organizacijų ar kitų institucijų raštu pareikštą nuomonę, policijos komisariatų pasiūlymus, nustatyti atstumą iki laisvės atėmimo, karinių ir sukarintos tarnybos, policijos ir kitų statutinių, sveikatos priežiūros, ugdymo įstaigų ir maldos namų, nuo kurių leidžiama prekiauti alkoholiniais gėrimais Vilniaus mieste. </w:t>
      </w:r>
    </w:p>
    <w:p w:rsidR="00E80028" w:rsidRDefault="00E80028" w:rsidP="00E80028">
      <w:pPr>
        <w:ind w:firstLine="720"/>
        <w:jc w:val="both"/>
      </w:pPr>
      <w:r>
        <w:t xml:space="preserve">Apie priimtą sprendimą paprašė informuoti Komisiją.  </w:t>
      </w:r>
    </w:p>
    <w:p w:rsidR="00E80028" w:rsidRDefault="00E80028" w:rsidP="00E80028">
      <w:pPr>
        <w:ind w:firstLine="720"/>
        <w:jc w:val="both"/>
        <w:rPr>
          <w:rFonts w:eastAsia="TimesNewRomanPSMT"/>
          <w:lang w:eastAsia="lt-LT"/>
        </w:rPr>
      </w:pPr>
      <w:r>
        <w:rPr>
          <w:rFonts w:eastAsia="TimesNewRomanPSMT"/>
          <w:lang w:eastAsia="lt-LT"/>
        </w:rPr>
        <w:t>V</w:t>
      </w:r>
      <w:r w:rsidRPr="000B4082">
        <w:rPr>
          <w:rFonts w:eastAsia="TimesNewRomanPSMT"/>
          <w:lang w:eastAsia="lt-LT"/>
        </w:rPr>
        <w:t>ilniaus miesto savivaldybė (toliau - Savivaldybė) 2014 m. liepos 9 d. rašt</w:t>
      </w:r>
      <w:r>
        <w:rPr>
          <w:rFonts w:eastAsia="TimesNewRomanPSMT"/>
          <w:lang w:eastAsia="lt-LT"/>
        </w:rPr>
        <w:t xml:space="preserve">u  </w:t>
      </w:r>
      <w:r w:rsidRPr="000B4082">
        <w:rPr>
          <w:rFonts w:eastAsia="TimesNewRomanPSMT"/>
          <w:lang w:eastAsia="lt-LT"/>
        </w:rPr>
        <w:t>Nr. S-2014-5639 (gauta 2014 m. liepos 14 d., reg. Nr. A50-24832/14), kuriuo siūlo</w:t>
      </w:r>
      <w:r>
        <w:rPr>
          <w:rFonts w:eastAsia="TimesNewRomanPSMT"/>
          <w:lang w:eastAsia="lt-LT"/>
        </w:rPr>
        <w:t>ma</w:t>
      </w:r>
      <w:r w:rsidRPr="000B4082">
        <w:rPr>
          <w:rFonts w:eastAsia="TimesNewRomanPSMT"/>
          <w:lang w:eastAsia="lt-LT"/>
        </w:rPr>
        <w:t xml:space="preserve"> Savivaldybės</w:t>
      </w:r>
      <w:r>
        <w:rPr>
          <w:rFonts w:eastAsia="TimesNewRomanPSMT"/>
          <w:lang w:eastAsia="lt-LT"/>
        </w:rPr>
        <w:t xml:space="preserve"> </w:t>
      </w:r>
      <w:r w:rsidRPr="000B4082">
        <w:rPr>
          <w:rFonts w:eastAsia="TimesNewRomanPSMT"/>
          <w:lang w:eastAsia="lt-LT"/>
        </w:rPr>
        <w:t>tarybai, atsižvelgiant į prekybos alkoholiniai</w:t>
      </w:r>
      <w:r>
        <w:rPr>
          <w:rFonts w:eastAsia="TimesNewRomanPSMT"/>
          <w:lang w:eastAsia="lt-LT"/>
        </w:rPr>
        <w:t>s</w:t>
      </w:r>
      <w:r w:rsidRPr="000B4082">
        <w:rPr>
          <w:rFonts w:eastAsia="TimesNewRomanPSMT"/>
          <w:lang w:eastAsia="lt-LT"/>
        </w:rPr>
        <w:t xml:space="preserve"> gėrimais vietą, gyventojų, bendrijų ar jų atstovų,</w:t>
      </w:r>
      <w:r>
        <w:rPr>
          <w:rFonts w:eastAsia="TimesNewRomanPSMT"/>
          <w:lang w:eastAsia="lt-LT"/>
        </w:rPr>
        <w:t xml:space="preserve"> </w:t>
      </w:r>
      <w:r w:rsidRPr="000B4082">
        <w:rPr>
          <w:rFonts w:eastAsia="TimesNewRomanPSMT"/>
          <w:lang w:eastAsia="lt-LT"/>
        </w:rPr>
        <w:t>visuomeninių organizacijų ar kitų institucijų raštu pareikštą nuomonę, policijos komisariatų</w:t>
      </w:r>
      <w:r>
        <w:rPr>
          <w:rFonts w:eastAsia="TimesNewRomanPSMT"/>
          <w:lang w:eastAsia="lt-LT"/>
        </w:rPr>
        <w:t xml:space="preserve"> </w:t>
      </w:r>
      <w:r w:rsidRPr="000B4082">
        <w:rPr>
          <w:rFonts w:eastAsia="TimesNewRomanPSMT"/>
          <w:lang w:eastAsia="lt-LT"/>
        </w:rPr>
        <w:t>siūlymus, nustatyti atstumą iki laisvės atėmimo, karinių ir sukarintos tarnybos, policijos ir kitų</w:t>
      </w:r>
      <w:r>
        <w:rPr>
          <w:rFonts w:eastAsia="TimesNewRomanPSMT"/>
          <w:lang w:eastAsia="lt-LT"/>
        </w:rPr>
        <w:t xml:space="preserve"> </w:t>
      </w:r>
      <w:r w:rsidRPr="000B4082">
        <w:rPr>
          <w:rFonts w:eastAsia="TimesNewRomanPSMT"/>
          <w:lang w:eastAsia="lt-LT"/>
        </w:rPr>
        <w:t>statutinių, sveikatos priežiūros, ugdymo ištaigų ir maldos namų, nuo kurių leidžiama prekiauti</w:t>
      </w:r>
      <w:r>
        <w:rPr>
          <w:rFonts w:eastAsia="TimesNewRomanPSMT"/>
          <w:lang w:eastAsia="lt-LT"/>
        </w:rPr>
        <w:t xml:space="preserve"> </w:t>
      </w:r>
      <w:r w:rsidRPr="000B4082">
        <w:rPr>
          <w:rFonts w:eastAsia="TimesNewRomanPSMT"/>
          <w:lang w:eastAsia="lt-LT"/>
        </w:rPr>
        <w:t>alkoholiniais gėrimais Savivaldybės teritorijoje.</w:t>
      </w:r>
      <w:r>
        <w:rPr>
          <w:rFonts w:eastAsia="TimesNewRomanPSMT"/>
          <w:lang w:eastAsia="lt-LT"/>
        </w:rPr>
        <w:t xml:space="preserve"> </w:t>
      </w:r>
    </w:p>
    <w:p w:rsidR="00E80028" w:rsidRDefault="00E80028" w:rsidP="00E80028">
      <w:pPr>
        <w:ind w:firstLine="720"/>
        <w:jc w:val="both"/>
        <w:rPr>
          <w:rFonts w:eastAsia="TimesNewRomanPSMT"/>
          <w:lang w:eastAsia="lt-LT"/>
        </w:rPr>
      </w:pPr>
      <w:r w:rsidRPr="000B4082">
        <w:rPr>
          <w:rFonts w:eastAsia="TimesNewRomanPSMT"/>
          <w:lang w:eastAsia="lt-LT"/>
        </w:rPr>
        <w:t>Lietuvos Respublikos alkoholio kontrolės įstatymo (toliau - Įstatymas) 18 straipsnio</w:t>
      </w:r>
      <w:r>
        <w:rPr>
          <w:rFonts w:eastAsia="TimesNewRomanPSMT"/>
          <w:lang w:eastAsia="lt-LT"/>
        </w:rPr>
        <w:t xml:space="preserve"> </w:t>
      </w:r>
      <w:r w:rsidRPr="000B4082">
        <w:rPr>
          <w:rFonts w:eastAsia="TimesNewRomanPSMT"/>
          <w:lang w:eastAsia="lt-LT"/>
        </w:rPr>
        <w:t>3 dalies 1 punktas nustato, kad Lietuvos Respublikoje prekiauti alkoholiniais gėrimais draudžiama</w:t>
      </w:r>
      <w:r>
        <w:rPr>
          <w:rFonts w:eastAsia="TimesNewRomanPSMT"/>
          <w:lang w:eastAsia="lt-LT"/>
        </w:rPr>
        <w:t xml:space="preserve"> </w:t>
      </w:r>
      <w:r w:rsidRPr="000B4082">
        <w:rPr>
          <w:rFonts w:eastAsia="TimesNewRomanPSMT"/>
          <w:lang w:eastAsia="lt-LT"/>
        </w:rPr>
        <w:t>laisvės atėmimo, karinėse ir sukarintos tarnybos, policijos ir kitose statutinėse, sveikatos priežiūros,</w:t>
      </w:r>
      <w:r>
        <w:rPr>
          <w:rFonts w:eastAsia="TimesNewRomanPSMT"/>
          <w:lang w:eastAsia="lt-LT"/>
        </w:rPr>
        <w:t xml:space="preserve"> </w:t>
      </w:r>
      <w:r w:rsidRPr="000B4082">
        <w:rPr>
          <w:rFonts w:eastAsia="TimesNewRomanPSMT"/>
          <w:lang w:eastAsia="lt-LT"/>
        </w:rPr>
        <w:t>ugdymo įstaigose ir jų teritorijose, taip pat prie šių įstaigų ir maldos namų (atstumu, kurį nustato</w:t>
      </w:r>
      <w:r>
        <w:rPr>
          <w:rFonts w:eastAsia="TimesNewRomanPSMT"/>
          <w:lang w:eastAsia="lt-LT"/>
        </w:rPr>
        <w:t xml:space="preserve"> </w:t>
      </w:r>
      <w:r w:rsidRPr="000B4082">
        <w:rPr>
          <w:rFonts w:eastAsia="TimesNewRomanPSMT"/>
          <w:lang w:eastAsia="lt-LT"/>
        </w:rPr>
        <w:t>savivaldybės taryba, suderinusi atitinkamai su šių įstaigų vadovais ir religinėmis bendruomenėmis).</w:t>
      </w:r>
      <w:r>
        <w:rPr>
          <w:rFonts w:eastAsia="TimesNewRomanPSMT"/>
          <w:lang w:eastAsia="lt-LT"/>
        </w:rPr>
        <w:t xml:space="preserve"> </w:t>
      </w:r>
      <w:r w:rsidRPr="000B4082">
        <w:rPr>
          <w:rFonts w:eastAsia="TimesNewRomanPSMT"/>
          <w:lang w:eastAsia="lt-LT"/>
        </w:rPr>
        <w:t>Į Savivaldybę nesikreipė nė viena iš išvardintų institucijų, įstaigų ir organizacijų ir neprašė nustatyti</w:t>
      </w:r>
      <w:r>
        <w:rPr>
          <w:rFonts w:eastAsia="TimesNewRomanPSMT"/>
          <w:lang w:eastAsia="lt-LT"/>
        </w:rPr>
        <w:t xml:space="preserve"> </w:t>
      </w:r>
      <w:r w:rsidRPr="000B4082">
        <w:rPr>
          <w:rFonts w:eastAsia="TimesNewRomanPSMT"/>
          <w:lang w:eastAsia="lt-LT"/>
        </w:rPr>
        <w:t>atstumų mažmeninei prekybai alkoholiniais gėrimais.</w:t>
      </w:r>
      <w:r>
        <w:rPr>
          <w:rFonts w:eastAsia="TimesNewRomanPSMT"/>
          <w:lang w:eastAsia="lt-LT"/>
        </w:rPr>
        <w:t xml:space="preserve"> </w:t>
      </w:r>
      <w:r w:rsidRPr="000B4082">
        <w:rPr>
          <w:rFonts w:eastAsia="TimesNewRomanPSMT"/>
          <w:lang w:eastAsia="lt-LT"/>
        </w:rPr>
        <w:t>Licencijų verstis mažmenine prekyba alkoholiniais gėrimais panaikinimo pagrindų baigtinį</w:t>
      </w:r>
      <w:r>
        <w:rPr>
          <w:rFonts w:eastAsia="TimesNewRomanPSMT"/>
          <w:lang w:eastAsia="lt-LT"/>
        </w:rPr>
        <w:t xml:space="preserve"> </w:t>
      </w:r>
      <w:r w:rsidRPr="000B4082">
        <w:rPr>
          <w:rFonts w:eastAsia="TimesNewRomanPSMT"/>
          <w:lang w:eastAsia="lt-LT"/>
        </w:rPr>
        <w:t>sąrašą nustato Įstatymas, todėl, Savivaldybės tarybai priėmus siūlomą sprendimą, nebus teisinio</w:t>
      </w:r>
      <w:r>
        <w:rPr>
          <w:rFonts w:eastAsia="TimesNewRomanPSMT"/>
          <w:lang w:eastAsia="lt-LT"/>
        </w:rPr>
        <w:t xml:space="preserve"> </w:t>
      </w:r>
      <w:r w:rsidRPr="000B4082">
        <w:rPr>
          <w:rFonts w:eastAsia="TimesNewRomanPSMT"/>
          <w:lang w:eastAsia="lt-LT"/>
        </w:rPr>
        <w:t>pagrindo naikinti įmonėms jau išduotas licencijas. Jei Savivaldybės taryba nustatys atstumą, kuriuo</w:t>
      </w:r>
      <w:r>
        <w:rPr>
          <w:rFonts w:eastAsia="TimesNewRomanPSMT"/>
          <w:lang w:eastAsia="lt-LT"/>
        </w:rPr>
        <w:t xml:space="preserve"> </w:t>
      </w:r>
      <w:r w:rsidRPr="000B4082">
        <w:rPr>
          <w:rFonts w:eastAsia="TimesNewRomanPSMT"/>
          <w:lang w:eastAsia="lt-LT"/>
        </w:rPr>
        <w:t>draudžiama prekiauti alkoholiniai gėrimais nuo Įstatyme minimų institucijų, įstaigų ir organizacijų,</w:t>
      </w:r>
      <w:r>
        <w:rPr>
          <w:rFonts w:eastAsia="TimesNewRomanPSMT"/>
          <w:lang w:eastAsia="lt-LT"/>
        </w:rPr>
        <w:t xml:space="preserve"> </w:t>
      </w:r>
      <w:r w:rsidRPr="000B4082">
        <w:rPr>
          <w:rFonts w:eastAsia="TimesNewRomanPSMT"/>
          <w:lang w:eastAsia="lt-LT"/>
        </w:rPr>
        <w:t>nebus teisinio pagrindo naikinti jau išduotas licencijas, o draudimas galiotų tik naujai išduodamoms</w:t>
      </w:r>
      <w:r>
        <w:rPr>
          <w:rFonts w:eastAsia="TimesNewRomanPSMT"/>
          <w:lang w:eastAsia="lt-LT"/>
        </w:rPr>
        <w:t xml:space="preserve"> </w:t>
      </w:r>
      <w:r w:rsidRPr="0089712E">
        <w:rPr>
          <w:rFonts w:eastAsia="TimesNewRomanPSMT"/>
          <w:lang w:eastAsia="lt-LT"/>
        </w:rPr>
        <w:t>licencijoms. Toks Savivaldybės tarybos sprendimas, tikėtina, būtų laikomas nepagrįstai ribojančiu</w:t>
      </w:r>
      <w:r>
        <w:rPr>
          <w:rFonts w:eastAsia="TimesNewRomanPSMT"/>
          <w:lang w:eastAsia="lt-LT"/>
        </w:rPr>
        <w:t xml:space="preserve"> </w:t>
      </w:r>
      <w:r w:rsidRPr="0089712E">
        <w:rPr>
          <w:rFonts w:eastAsia="TimesNewRomanPSMT"/>
          <w:lang w:eastAsia="lt-LT"/>
        </w:rPr>
        <w:t>konkurenciją ir sudarytų išskirtines prekybos sąlygas jau veikiančioms įmonėms.</w:t>
      </w:r>
      <w:r>
        <w:rPr>
          <w:rFonts w:eastAsia="TimesNewRomanPSMT"/>
          <w:lang w:eastAsia="lt-LT"/>
        </w:rPr>
        <w:t xml:space="preserve"> </w:t>
      </w:r>
      <w:r w:rsidRPr="0089712E">
        <w:rPr>
          <w:rFonts w:eastAsia="TimesNewRomanPSMT"/>
          <w:lang w:eastAsia="lt-LT"/>
        </w:rPr>
        <w:t>Laisvės atėmimo, karinių ir sukarintų tarnybų, policijos ir kitų statutinių, sveikatos</w:t>
      </w:r>
      <w:r>
        <w:rPr>
          <w:rFonts w:eastAsia="TimesNewRomanPSMT"/>
          <w:lang w:eastAsia="lt-LT"/>
        </w:rPr>
        <w:t xml:space="preserve"> </w:t>
      </w:r>
      <w:r w:rsidRPr="0089712E">
        <w:rPr>
          <w:rFonts w:eastAsia="TimesNewRomanPSMT"/>
          <w:lang w:eastAsia="lt-LT"/>
        </w:rPr>
        <w:t>priežiūros, ugdymo įstaigų ir maldos namų ribos nėra tiksliai apibrėžtos, didžioji dauguma šių</w:t>
      </w:r>
      <w:r>
        <w:rPr>
          <w:rFonts w:eastAsia="TimesNewRomanPSMT"/>
          <w:lang w:eastAsia="lt-LT"/>
        </w:rPr>
        <w:t xml:space="preserve"> </w:t>
      </w:r>
      <w:r w:rsidRPr="0089712E">
        <w:rPr>
          <w:rFonts w:eastAsia="TimesNewRomanPSMT"/>
          <w:lang w:eastAsia="lt-LT"/>
        </w:rPr>
        <w:t>įstaigų yra neaptvertos. Kiekviena vieta yra individuali, todėl ne visur būtų įmanoma nustatyti</w:t>
      </w:r>
      <w:r>
        <w:rPr>
          <w:rFonts w:eastAsia="TimesNewRomanPSMT"/>
          <w:lang w:eastAsia="lt-LT"/>
        </w:rPr>
        <w:t xml:space="preserve"> </w:t>
      </w:r>
      <w:r w:rsidRPr="0089712E">
        <w:rPr>
          <w:rFonts w:eastAsia="TimesNewRomanPSMT"/>
          <w:lang w:eastAsia="lt-LT"/>
        </w:rPr>
        <w:t>konkretų atstumą, įvardintą metrais. Kiekvienos vietos įvertinimas, jos ribų nustatymas pareikalautų</w:t>
      </w:r>
      <w:r>
        <w:rPr>
          <w:rFonts w:eastAsia="TimesNewRomanPSMT"/>
          <w:lang w:eastAsia="lt-LT"/>
        </w:rPr>
        <w:t xml:space="preserve"> </w:t>
      </w:r>
      <w:r w:rsidRPr="0089712E">
        <w:rPr>
          <w:rFonts w:eastAsia="TimesNewRomanPSMT"/>
          <w:lang w:eastAsia="lt-LT"/>
        </w:rPr>
        <w:t>papildomų finansinių ir žmogiškųjų resursų. Jei Savivaldybės tarybos sprendimu būtų nustatytas</w:t>
      </w:r>
      <w:r>
        <w:rPr>
          <w:rFonts w:eastAsia="TimesNewRomanPSMT"/>
          <w:lang w:eastAsia="lt-LT"/>
        </w:rPr>
        <w:t xml:space="preserve"> </w:t>
      </w:r>
      <w:r w:rsidRPr="0089712E">
        <w:rPr>
          <w:rFonts w:eastAsia="TimesNewRomanPSMT"/>
          <w:lang w:eastAsia="lt-LT"/>
        </w:rPr>
        <w:t>konkretus atstumas metrais, šio draudimo laikymąsi turėtų kontroliuoti Savivaldybės</w:t>
      </w:r>
      <w:r>
        <w:rPr>
          <w:rFonts w:eastAsia="TimesNewRomanPSMT"/>
          <w:lang w:eastAsia="lt-LT"/>
        </w:rPr>
        <w:t xml:space="preserve"> </w:t>
      </w:r>
      <w:r w:rsidRPr="0089712E">
        <w:rPr>
          <w:rFonts w:eastAsia="TimesNewRomanPSMT"/>
          <w:lang w:eastAsia="lt-LT"/>
        </w:rPr>
        <w:t>administracijos atsakingas padalinys, kuris išduoda licencijas verstis mažmenine prekyba</w:t>
      </w:r>
      <w:r>
        <w:rPr>
          <w:rFonts w:eastAsia="TimesNewRomanPSMT"/>
          <w:lang w:eastAsia="lt-LT"/>
        </w:rPr>
        <w:t xml:space="preserve"> </w:t>
      </w:r>
      <w:r w:rsidRPr="0089712E">
        <w:rPr>
          <w:rFonts w:eastAsia="TimesNewRomanPSMT"/>
          <w:lang w:eastAsia="lt-LT"/>
        </w:rPr>
        <w:t>alkoholiniais gėrimais. Tokiu būdu ženkliai padidėtų šio padalinio darbo krūvis ir Savivaldybės</w:t>
      </w:r>
      <w:r>
        <w:rPr>
          <w:rFonts w:eastAsia="TimesNewRomanPSMT"/>
          <w:lang w:eastAsia="lt-LT"/>
        </w:rPr>
        <w:t xml:space="preserve"> </w:t>
      </w:r>
      <w:r w:rsidRPr="0089712E">
        <w:rPr>
          <w:rFonts w:eastAsia="TimesNewRomanPSMT"/>
          <w:lang w:eastAsia="lt-LT"/>
        </w:rPr>
        <w:t>finansinė našta, nes kiekvienu konkrečiu atveju reikėtų fiziškai matuoti atstumus.</w:t>
      </w:r>
      <w:r>
        <w:rPr>
          <w:rFonts w:eastAsia="TimesNewRomanPSMT"/>
          <w:lang w:eastAsia="lt-LT"/>
        </w:rPr>
        <w:t xml:space="preserve"> </w:t>
      </w:r>
    </w:p>
    <w:p w:rsidR="00E80028" w:rsidRPr="0089712E" w:rsidRDefault="00E80028" w:rsidP="00E80028">
      <w:pPr>
        <w:ind w:firstLine="720"/>
        <w:jc w:val="both"/>
        <w:rPr>
          <w:rFonts w:eastAsia="TimesNewRomanPSMT"/>
          <w:lang w:eastAsia="lt-LT"/>
        </w:rPr>
      </w:pPr>
      <w:r w:rsidRPr="0089712E">
        <w:rPr>
          <w:rFonts w:eastAsia="TimesNewRomanPSMT"/>
          <w:lang w:eastAsia="lt-LT"/>
        </w:rPr>
        <w:t>Įstatymo 18 straipsnio 9 dalyje nustatyta, kad savivaldybių tarybos, atsižvelgdamos į</w:t>
      </w:r>
      <w:r>
        <w:rPr>
          <w:rFonts w:eastAsia="TimesNewRomanPSMT"/>
          <w:lang w:eastAsia="lt-LT"/>
        </w:rPr>
        <w:t xml:space="preserve"> </w:t>
      </w:r>
      <w:r w:rsidRPr="0089712E">
        <w:rPr>
          <w:rFonts w:eastAsia="TimesNewRomanPSMT"/>
          <w:lang w:eastAsia="lt-LT"/>
        </w:rPr>
        <w:t>prekybos alkoholiniais gėrimais vietą, gyventojų, bendrijų, bendruomenių ar jų atstovų,</w:t>
      </w:r>
      <w:r>
        <w:rPr>
          <w:rFonts w:eastAsia="TimesNewRomanPSMT"/>
          <w:lang w:eastAsia="lt-LT"/>
        </w:rPr>
        <w:t xml:space="preserve"> </w:t>
      </w:r>
      <w:r w:rsidRPr="0089712E">
        <w:rPr>
          <w:rFonts w:eastAsia="TimesNewRomanPSMT"/>
          <w:lang w:eastAsia="lt-LT"/>
        </w:rPr>
        <w:t>visuomeninių organizacijų ar kitų institucijų raštu pareikštą nuomonę, policijos komisariatų</w:t>
      </w:r>
      <w:r>
        <w:rPr>
          <w:rFonts w:eastAsia="TimesNewRomanPSMT"/>
          <w:lang w:eastAsia="lt-LT"/>
        </w:rPr>
        <w:t xml:space="preserve"> </w:t>
      </w:r>
      <w:r w:rsidRPr="0089712E">
        <w:rPr>
          <w:rFonts w:eastAsia="TimesNewRomanPSMT"/>
          <w:lang w:eastAsia="lt-LT"/>
        </w:rPr>
        <w:t>pasiūlymus, turi teisę riboti laiką, kuriuo leidžiama prekiauti alkoholiniais gėrimais, neišduoti</w:t>
      </w:r>
      <w:r>
        <w:rPr>
          <w:rFonts w:eastAsia="TimesNewRomanPSMT"/>
          <w:lang w:eastAsia="lt-LT"/>
        </w:rPr>
        <w:t xml:space="preserve"> </w:t>
      </w:r>
      <w:r w:rsidRPr="0089712E">
        <w:rPr>
          <w:rFonts w:eastAsia="TimesNewRomanPSMT"/>
          <w:lang w:eastAsia="lt-LT"/>
        </w:rPr>
        <w:t>licencijos verstis mažmenine prekyba alkoholiniais gėrimais. Įstatymo 182 straipsnio 3 dalies 5</w:t>
      </w:r>
      <w:r>
        <w:rPr>
          <w:rFonts w:eastAsia="TimesNewRomanPSMT"/>
          <w:lang w:eastAsia="lt-LT"/>
        </w:rPr>
        <w:t xml:space="preserve"> </w:t>
      </w:r>
      <w:r w:rsidRPr="0089712E">
        <w:rPr>
          <w:rFonts w:eastAsia="TimesNewRomanPSMT"/>
          <w:lang w:eastAsia="lt-LT"/>
        </w:rPr>
        <w:t>punkte nustatyta, kad be šio Įstatymo 181 straipsnyje nustatytų atvejų, licencijos verstis mažmenine</w:t>
      </w:r>
      <w:r>
        <w:rPr>
          <w:rFonts w:eastAsia="TimesNewRomanPSMT"/>
          <w:lang w:eastAsia="lt-LT"/>
        </w:rPr>
        <w:t xml:space="preserve"> </w:t>
      </w:r>
      <w:r w:rsidRPr="0089712E">
        <w:rPr>
          <w:rFonts w:eastAsia="TimesNewRomanPSMT"/>
          <w:lang w:eastAsia="lt-LT"/>
        </w:rPr>
        <w:t>prekyba alkoholiniais gėrimais neišduodamos kai savivaldybės taryba, atsižvelgdama į prekybos</w:t>
      </w:r>
      <w:r>
        <w:rPr>
          <w:rFonts w:eastAsia="TimesNewRomanPSMT"/>
          <w:lang w:eastAsia="lt-LT"/>
        </w:rPr>
        <w:t xml:space="preserve"> </w:t>
      </w:r>
      <w:r w:rsidRPr="0089712E">
        <w:rPr>
          <w:rFonts w:eastAsia="TimesNewRomanPSMT"/>
          <w:lang w:eastAsia="lt-LT"/>
        </w:rPr>
        <w:t>alkoholiniais gėrimais vietą, gyventojų, bendrijų, bendruomenių ar jų atstovų, visuomeninių</w:t>
      </w:r>
      <w:r>
        <w:rPr>
          <w:rFonts w:eastAsia="TimesNewRomanPSMT"/>
          <w:lang w:eastAsia="lt-LT"/>
        </w:rPr>
        <w:t xml:space="preserve"> </w:t>
      </w:r>
      <w:r w:rsidRPr="0089712E">
        <w:rPr>
          <w:rFonts w:eastAsia="TimesNewRomanPSMT"/>
          <w:lang w:eastAsia="lt-LT"/>
        </w:rPr>
        <w:t>organizacijų ar kitų institucijų raštu pareikštą nuomonę, policijos komisariatų pasiūlymus, priima</w:t>
      </w:r>
      <w:r>
        <w:rPr>
          <w:rFonts w:eastAsia="TimesNewRomanPSMT"/>
          <w:lang w:eastAsia="lt-LT"/>
        </w:rPr>
        <w:t xml:space="preserve"> </w:t>
      </w:r>
      <w:r w:rsidRPr="0089712E">
        <w:rPr>
          <w:rFonts w:eastAsia="TimesNewRomanPSMT"/>
          <w:lang w:eastAsia="lt-LT"/>
        </w:rPr>
        <w:t>motyvuotą sprendimą neišduoti licencijos. Šioms Įstatymo nuostatoms įgyvendinti Savivaldybės</w:t>
      </w:r>
      <w:r>
        <w:rPr>
          <w:rFonts w:eastAsia="TimesNewRomanPSMT"/>
          <w:lang w:eastAsia="lt-LT"/>
        </w:rPr>
        <w:t xml:space="preserve"> </w:t>
      </w:r>
      <w:r w:rsidRPr="0089712E">
        <w:rPr>
          <w:rFonts w:eastAsia="TimesNewRomanPSMT"/>
          <w:lang w:eastAsia="lt-LT"/>
        </w:rPr>
        <w:t>taryba 2012 m. kovo 21 d. sprendimu Nr. 1-506 patvirtinto Mažmeninės prekybos alkoholiniais</w:t>
      </w:r>
      <w:r>
        <w:rPr>
          <w:rFonts w:eastAsia="TimesNewRomanPSMT"/>
          <w:lang w:eastAsia="lt-LT"/>
        </w:rPr>
        <w:t xml:space="preserve"> </w:t>
      </w:r>
      <w:r w:rsidRPr="0089712E">
        <w:rPr>
          <w:rFonts w:eastAsia="TimesNewRomanPSMT"/>
          <w:lang w:eastAsia="lt-LT"/>
        </w:rPr>
        <w:t xml:space="preserve">gėrimais ribojimo taisykles (toliau - </w:t>
      </w:r>
      <w:r w:rsidRPr="0089712E">
        <w:rPr>
          <w:rFonts w:eastAsia="TimesNewRomanPSMT"/>
          <w:lang w:eastAsia="lt-LT"/>
        </w:rPr>
        <w:lastRenderedPageBreak/>
        <w:t>Taisyklės). Taisyklės nustato mažmeninės prekybos</w:t>
      </w:r>
      <w:r>
        <w:rPr>
          <w:rFonts w:eastAsia="TimesNewRomanPSMT"/>
          <w:lang w:eastAsia="lt-LT"/>
        </w:rPr>
        <w:t xml:space="preserve"> </w:t>
      </w:r>
      <w:r w:rsidRPr="0089712E">
        <w:rPr>
          <w:rFonts w:eastAsia="TimesNewRomanPSMT"/>
          <w:lang w:eastAsia="lt-LT"/>
        </w:rPr>
        <w:t>alkoholiniais gėrimais laiko ribojimo bei licencijų verstis mažmenine prekyba alkoholiniais</w:t>
      </w:r>
      <w:r>
        <w:rPr>
          <w:rFonts w:eastAsia="TimesNewRomanPSMT"/>
          <w:lang w:eastAsia="lt-LT"/>
        </w:rPr>
        <w:t xml:space="preserve"> </w:t>
      </w:r>
      <w:r w:rsidRPr="0089712E">
        <w:rPr>
          <w:rFonts w:eastAsia="TimesNewRomanPSMT"/>
          <w:lang w:eastAsia="lt-LT"/>
        </w:rPr>
        <w:t>gėrimais neišdavimo sąlygas ir tvarką.</w:t>
      </w:r>
    </w:p>
    <w:p w:rsidR="00E80028" w:rsidRDefault="00E80028" w:rsidP="00E80028">
      <w:pPr>
        <w:autoSpaceDE w:val="0"/>
        <w:autoSpaceDN w:val="0"/>
        <w:adjustRightInd w:val="0"/>
        <w:ind w:firstLine="720"/>
        <w:jc w:val="both"/>
        <w:rPr>
          <w:rFonts w:eastAsia="TimesNewRomanPSMT"/>
          <w:lang w:eastAsia="lt-LT"/>
        </w:rPr>
      </w:pPr>
      <w:r w:rsidRPr="0089712E">
        <w:rPr>
          <w:rFonts w:eastAsia="TimesNewRomanPSMT"/>
          <w:lang w:eastAsia="lt-LT"/>
        </w:rPr>
        <w:t>Lietuvos vyriausiasis administracinis teismas 2012 m. spalio 18 d. sprendime</w:t>
      </w:r>
      <w:r>
        <w:rPr>
          <w:rFonts w:eastAsia="TimesNewRomanPSMT"/>
          <w:lang w:eastAsia="lt-LT"/>
        </w:rPr>
        <w:t xml:space="preserve"> </w:t>
      </w:r>
      <w:r w:rsidRPr="0089712E">
        <w:rPr>
          <w:rFonts w:eastAsia="TimesNewRomanPSMT"/>
          <w:lang w:eastAsia="lt-LT"/>
        </w:rPr>
        <w:t>administracinėje byloje Nr. A858-2557/2012 konstatavo, kad Lietuvos Respublikos Konstitucija</w:t>
      </w:r>
      <w:r>
        <w:rPr>
          <w:rFonts w:eastAsia="TimesNewRomanPSMT"/>
          <w:lang w:eastAsia="lt-LT"/>
        </w:rPr>
        <w:t xml:space="preserve"> </w:t>
      </w:r>
      <w:r w:rsidRPr="0089712E">
        <w:rPr>
          <w:rFonts w:eastAsia="TimesNewRomanPSMT"/>
          <w:lang w:eastAsia="lt-LT"/>
        </w:rPr>
        <w:t>kaip konstitucinę vertybę įtvirtina ir gina ūkinės veiklos laisvę. Iš Konstitucinio Teismo praktikos</w:t>
      </w:r>
      <w:r>
        <w:rPr>
          <w:rFonts w:eastAsia="TimesNewRomanPSMT"/>
          <w:lang w:eastAsia="lt-LT"/>
        </w:rPr>
        <w:t xml:space="preserve"> </w:t>
      </w:r>
      <w:r w:rsidRPr="0089712E">
        <w:rPr>
          <w:rFonts w:eastAsia="TimesNewRomanPSMT"/>
          <w:lang w:eastAsia="lt-LT"/>
        </w:rPr>
        <w:t>seka, jog ūkinės veiklos laisvę riboti galima, jeigu yra laikomasi šių sąlygų: tai daroma įstatymu;</w:t>
      </w:r>
      <w:r>
        <w:rPr>
          <w:rFonts w:eastAsia="TimesNewRomanPSMT"/>
          <w:lang w:eastAsia="lt-LT"/>
        </w:rPr>
        <w:t xml:space="preserve"> </w:t>
      </w:r>
      <w:r w:rsidRPr="0089712E">
        <w:rPr>
          <w:rFonts w:eastAsia="TimesNewRomanPSMT"/>
          <w:lang w:eastAsia="lt-LT"/>
        </w:rPr>
        <w:t>ribojimai yra būtini demokratinėje visuomenėje siekiant apsaugoti kitų asmenų teises bei laisves ir</w:t>
      </w:r>
      <w:r>
        <w:rPr>
          <w:rFonts w:eastAsia="TimesNewRomanPSMT"/>
          <w:lang w:eastAsia="lt-LT"/>
        </w:rPr>
        <w:t xml:space="preserve"> </w:t>
      </w:r>
      <w:r w:rsidRPr="0089712E">
        <w:rPr>
          <w:rFonts w:eastAsia="TimesNewRomanPSMT"/>
          <w:lang w:eastAsia="lt-LT"/>
        </w:rPr>
        <w:t>Konstitucijoje įtvirtintas vertybes, taip pat konstituciškai svarbius tikslus; ribojimais nėra</w:t>
      </w:r>
      <w:r>
        <w:rPr>
          <w:rFonts w:eastAsia="TimesNewRomanPSMT"/>
          <w:lang w:eastAsia="lt-LT"/>
        </w:rPr>
        <w:t xml:space="preserve"> </w:t>
      </w:r>
      <w:r w:rsidRPr="0089712E">
        <w:rPr>
          <w:rFonts w:eastAsia="TimesNewRomanPSMT"/>
          <w:lang w:eastAsia="lt-LT"/>
        </w:rPr>
        <w:t>paneigiama teisių ir laisvių prigimtis bei esmė; yra laikomasi konstitucinio proporcingumo principo.</w:t>
      </w:r>
      <w:r>
        <w:rPr>
          <w:rFonts w:eastAsia="TimesNewRomanPSMT"/>
          <w:lang w:eastAsia="lt-LT"/>
        </w:rPr>
        <w:t xml:space="preserve"> </w:t>
      </w:r>
    </w:p>
    <w:p w:rsidR="00E80028" w:rsidRDefault="00E80028" w:rsidP="00E80028">
      <w:pPr>
        <w:autoSpaceDE w:val="0"/>
        <w:autoSpaceDN w:val="0"/>
        <w:adjustRightInd w:val="0"/>
        <w:ind w:firstLine="720"/>
        <w:jc w:val="both"/>
        <w:rPr>
          <w:rFonts w:eastAsia="TimesNewRomanPSMT"/>
          <w:lang w:eastAsia="lt-LT"/>
        </w:rPr>
      </w:pPr>
      <w:r w:rsidRPr="0089712E">
        <w:rPr>
          <w:rFonts w:eastAsia="TimesNewRomanPSMT"/>
          <w:lang w:eastAsia="lt-LT"/>
        </w:rPr>
        <w:t>Lietuvos vyriausiasis administracinis teismas minėtame sprendime teigia, kad prekybos</w:t>
      </w:r>
      <w:r>
        <w:rPr>
          <w:rFonts w:eastAsia="TimesNewRomanPSMT"/>
          <w:lang w:eastAsia="lt-LT"/>
        </w:rPr>
        <w:t xml:space="preserve"> </w:t>
      </w:r>
      <w:r w:rsidRPr="0089712E">
        <w:rPr>
          <w:rFonts w:eastAsia="TimesNewRomanPSMT"/>
          <w:lang w:eastAsia="lt-LT"/>
        </w:rPr>
        <w:t>alkoholiniais gėrimais ribojimas negali būti vertinamas vien kaip sankcija pažeidėjui už konkrečius</w:t>
      </w:r>
      <w:r>
        <w:rPr>
          <w:rFonts w:eastAsia="TimesNewRomanPSMT"/>
          <w:lang w:eastAsia="lt-LT"/>
        </w:rPr>
        <w:t xml:space="preserve"> </w:t>
      </w:r>
      <w:r w:rsidRPr="0089712E">
        <w:rPr>
          <w:rFonts w:eastAsia="TimesNewRomanPSMT"/>
          <w:lang w:eastAsia="lt-LT"/>
        </w:rPr>
        <w:t>teisės aktų pažeidimus, savo paskirtimi tai priemonė atkurti (nustatyti) tinkamą visuomenės ir verslo</w:t>
      </w:r>
      <w:r>
        <w:rPr>
          <w:rFonts w:eastAsia="TimesNewRomanPSMT"/>
          <w:lang w:eastAsia="lt-LT"/>
        </w:rPr>
        <w:t xml:space="preserve"> </w:t>
      </w:r>
      <w:r w:rsidRPr="0089712E">
        <w:rPr>
          <w:rFonts w:eastAsia="TimesNewRomanPSMT"/>
          <w:lang w:eastAsia="lt-LT"/>
        </w:rPr>
        <w:t>interesų pusiausvyrą. Įvertinus teismo praktiką matyti, kad sprendžiant, ar prekybos alkoholiniais</w:t>
      </w:r>
      <w:r>
        <w:rPr>
          <w:rFonts w:eastAsia="TimesNewRomanPSMT"/>
          <w:lang w:eastAsia="lt-LT"/>
        </w:rPr>
        <w:t xml:space="preserve"> </w:t>
      </w:r>
      <w:r w:rsidRPr="0089712E">
        <w:rPr>
          <w:rFonts w:eastAsia="TimesNewRomanPSMT"/>
          <w:lang w:eastAsia="lt-LT"/>
        </w:rPr>
        <w:t>gėrimais ribojimai yra pateisinami, be kita ko, atsižvelgiama į įvairių valstybės institucijų poziciją,</w:t>
      </w:r>
      <w:r>
        <w:rPr>
          <w:rFonts w:eastAsia="TimesNewRomanPSMT"/>
          <w:lang w:eastAsia="lt-LT"/>
        </w:rPr>
        <w:t xml:space="preserve"> </w:t>
      </w:r>
      <w:r w:rsidRPr="0089712E">
        <w:rPr>
          <w:rFonts w:eastAsia="TimesNewRomanPSMT"/>
          <w:lang w:eastAsia="lt-LT"/>
        </w:rPr>
        <w:t>nustatytų pažeidimų intensyvumą, pobūdį, trukmę bei pavojingumą visuomenei, šių pažeidimų</w:t>
      </w:r>
      <w:r>
        <w:rPr>
          <w:rFonts w:eastAsia="TimesNewRomanPSMT"/>
          <w:lang w:eastAsia="lt-LT"/>
        </w:rPr>
        <w:t xml:space="preserve"> </w:t>
      </w:r>
      <w:r w:rsidRPr="0089712E">
        <w:rPr>
          <w:rFonts w:eastAsia="TimesNewRomanPSMT"/>
          <w:lang w:eastAsia="lt-LT"/>
        </w:rPr>
        <w:t>sąsajas su atitinkamo ūkio subjekto veikla, prekybos vieta, gyventojų skundus, analogiškus</w:t>
      </w:r>
      <w:r>
        <w:rPr>
          <w:rFonts w:eastAsia="TimesNewRomanPSMT"/>
          <w:lang w:eastAsia="lt-LT"/>
        </w:rPr>
        <w:t xml:space="preserve"> </w:t>
      </w:r>
      <w:r w:rsidRPr="0089712E">
        <w:rPr>
          <w:rFonts w:eastAsia="TimesNewRomanPSMT"/>
          <w:lang w:eastAsia="lt-LT"/>
        </w:rPr>
        <w:t>savivaldybės sprendimus dėl konkurentų. Atsižvelgdama į tai, Savivaldybės taryba gali spręsti</w:t>
      </w:r>
      <w:r>
        <w:rPr>
          <w:rFonts w:eastAsia="TimesNewRomanPSMT"/>
          <w:lang w:eastAsia="lt-LT"/>
        </w:rPr>
        <w:t xml:space="preserve"> </w:t>
      </w:r>
      <w:r w:rsidRPr="0089712E">
        <w:rPr>
          <w:rFonts w:eastAsia="TimesNewRomanPSMT"/>
          <w:lang w:eastAsia="lt-LT"/>
        </w:rPr>
        <w:t>klausimą dėl mažmeninės prekybos alkoholiniais gėrimais laiko apribojimo konkrečioje prekybos</w:t>
      </w:r>
      <w:r>
        <w:rPr>
          <w:rFonts w:eastAsia="TimesNewRomanPSMT"/>
          <w:lang w:eastAsia="lt-LT"/>
        </w:rPr>
        <w:t xml:space="preserve"> </w:t>
      </w:r>
      <w:r w:rsidRPr="0089712E">
        <w:rPr>
          <w:rFonts w:eastAsia="TimesNewRomanPSMT"/>
          <w:lang w:eastAsia="lt-LT"/>
        </w:rPr>
        <w:t>vietoje konkrečiam juridiniam asmeniui individualiai. Per 2013 metus Savivaldybės taryba,</w:t>
      </w:r>
      <w:r>
        <w:rPr>
          <w:rFonts w:eastAsia="TimesNewRomanPSMT"/>
          <w:lang w:eastAsia="lt-LT"/>
        </w:rPr>
        <w:t xml:space="preserve"> </w:t>
      </w:r>
      <w:r w:rsidRPr="0089712E">
        <w:rPr>
          <w:rFonts w:eastAsia="TimesNewRomanPSMT"/>
          <w:lang w:eastAsia="lt-LT"/>
        </w:rPr>
        <w:t>pasinaudodama Įstatymo 18 straipsnio 9 dalyje suteikta teise ir priėmė 8 sprendimus, kuriais</w:t>
      </w:r>
      <w:r>
        <w:rPr>
          <w:rFonts w:eastAsia="TimesNewRomanPSMT"/>
          <w:lang w:eastAsia="lt-LT"/>
        </w:rPr>
        <w:t xml:space="preserve"> </w:t>
      </w:r>
      <w:r w:rsidRPr="0089712E">
        <w:rPr>
          <w:rFonts w:eastAsia="TimesNewRomanPSMT"/>
          <w:lang w:eastAsia="lt-LT"/>
        </w:rPr>
        <w:t>apribojo mažmeninės prekybos alkoholiniais gėrimais laiką Savivaldybės teritorijoje veikiančioms</w:t>
      </w:r>
      <w:r>
        <w:rPr>
          <w:rFonts w:eastAsia="TimesNewRomanPSMT"/>
          <w:lang w:eastAsia="lt-LT"/>
        </w:rPr>
        <w:t xml:space="preserve"> </w:t>
      </w:r>
      <w:r w:rsidRPr="0089712E">
        <w:rPr>
          <w:rFonts w:eastAsia="TimesNewRomanPSMT"/>
          <w:lang w:eastAsia="lt-LT"/>
        </w:rPr>
        <w:t>įmonėms.A tsižvelgdami į tai, kas išdėstyta, manome, kad netikslinga rengti Savivaldybės tarybos</w:t>
      </w:r>
      <w:r>
        <w:rPr>
          <w:rFonts w:eastAsia="TimesNewRomanPSMT"/>
          <w:lang w:eastAsia="lt-LT"/>
        </w:rPr>
        <w:t xml:space="preserve"> </w:t>
      </w:r>
      <w:r w:rsidRPr="0089712E">
        <w:rPr>
          <w:rFonts w:eastAsia="TimesNewRomanPSMT"/>
          <w:lang w:eastAsia="lt-LT"/>
        </w:rPr>
        <w:t>sprendimo projektą, kuriuo būtų nustatytas atstumas iki laisvės atėmimo, karinių ir sukarintos</w:t>
      </w:r>
      <w:r>
        <w:rPr>
          <w:rFonts w:eastAsia="TimesNewRomanPSMT"/>
          <w:lang w:eastAsia="lt-LT"/>
        </w:rPr>
        <w:t xml:space="preserve"> </w:t>
      </w:r>
      <w:r w:rsidRPr="0089712E">
        <w:rPr>
          <w:rFonts w:eastAsia="TimesNewRomanPSMT"/>
          <w:lang w:eastAsia="lt-LT"/>
        </w:rPr>
        <w:t>tarnybos, policijos ir kitų statutinių, sveikatos priežiūros, ugdymo įstaigų ir maldos namų, nuo kurių</w:t>
      </w:r>
      <w:r>
        <w:rPr>
          <w:rFonts w:eastAsia="TimesNewRomanPSMT"/>
          <w:lang w:eastAsia="lt-LT"/>
        </w:rPr>
        <w:t xml:space="preserve"> </w:t>
      </w:r>
      <w:r w:rsidRPr="0089712E">
        <w:rPr>
          <w:rFonts w:eastAsia="TimesNewRomanPSMT"/>
          <w:lang w:eastAsia="lt-LT"/>
        </w:rPr>
        <w:t>leidžiama prekiauti alkoholiniais gėrimais Savivaldybės teritorijoje.</w:t>
      </w:r>
    </w:p>
    <w:p w:rsidR="00E80028" w:rsidRDefault="00E80028" w:rsidP="00E80028">
      <w:pPr>
        <w:autoSpaceDE w:val="0"/>
        <w:autoSpaceDN w:val="0"/>
        <w:adjustRightInd w:val="0"/>
        <w:ind w:firstLine="720"/>
        <w:jc w:val="both"/>
        <w:rPr>
          <w:bCs/>
        </w:rPr>
      </w:pPr>
      <w:r>
        <w:rPr>
          <w:rFonts w:eastAsia="TimesNewRomanPSMT"/>
          <w:lang w:eastAsia="lt-LT"/>
        </w:rPr>
        <w:t xml:space="preserve">Pakartotinai  </w:t>
      </w:r>
      <w:r>
        <w:rPr>
          <w:bCs/>
        </w:rPr>
        <w:t>2014-09-16 raštu  Nr. S-2014- 6652</w:t>
      </w:r>
      <w:r w:rsidRPr="00A51F92">
        <w:rPr>
          <w:rFonts w:eastAsia="TimesNewRomanPSMT"/>
          <w:lang w:eastAsia="lt-LT"/>
        </w:rPr>
        <w:t xml:space="preserve"> </w:t>
      </w:r>
      <w:r>
        <w:rPr>
          <w:rFonts w:eastAsia="TimesNewRomanPSMT"/>
          <w:lang w:eastAsia="lt-LT"/>
        </w:rPr>
        <w:t xml:space="preserve">Komisija kreipėsi į </w:t>
      </w:r>
      <w:r>
        <w:rPr>
          <w:bCs/>
        </w:rPr>
        <w:t xml:space="preserve">Vilniaus miesto Tarybą “Dėl gauto atsakymo dėl mažmeninės prekybos alkoholiniais gėrimais”.                                      </w:t>
      </w:r>
    </w:p>
    <w:p w:rsidR="00E80028" w:rsidRDefault="00E80028" w:rsidP="00E80028">
      <w:pPr>
        <w:jc w:val="both"/>
        <w:rPr>
          <w:sz w:val="22"/>
          <w:szCs w:val="22"/>
        </w:rPr>
      </w:pPr>
      <w:r>
        <w:rPr>
          <w:bCs/>
        </w:rPr>
        <w:t xml:space="preserve">Komisija atkreipė Vilniaus miesto Tarybos </w:t>
      </w:r>
      <w:r>
        <w:t xml:space="preserve">dėmesį į tai, kad Komisija 2014-06-18 posėdyje nagrinėdama mažmeninės prekybos alkoholiniais gėrimais ir tabako gaminiais vietų tinklo tankumo ribojimo klausimus, priėmė sprendimą kreiptis į Vilniaus miesto tarybą, kurį nėra nustačiusi atstumo </w:t>
      </w:r>
      <w:r>
        <w:rPr>
          <w:sz w:val="22"/>
          <w:szCs w:val="22"/>
        </w:rPr>
        <w:t>iki laisvės atėmimo,  karinių ir sukarintos tarnybos, policijos ir kitų statutinių, sveikatos priežiūros, ugdymo įstaigų ir maldos namų, nuo kurių būtų leidžiama prekiauti alkoholiniais gėrimais.</w:t>
      </w:r>
    </w:p>
    <w:p w:rsidR="00E80028" w:rsidRDefault="00E80028" w:rsidP="00E80028">
      <w:pPr>
        <w:ind w:firstLine="720"/>
        <w:jc w:val="both"/>
      </w:pPr>
      <w:r>
        <w:rPr>
          <w:sz w:val="22"/>
          <w:szCs w:val="22"/>
        </w:rPr>
        <w:t xml:space="preserve">Komisija gavo  Narkotikų, tabako ir alkoholio kontrolės departamento duomenis, kad </w:t>
      </w:r>
      <w:r>
        <w:t>2013 m. liepos 1 dienai vienai licencijai verstis mažmenine prekyba alkoholiniais gėrimais tenkantis gyventojų skaičius Vilniaus mieste buvo 131 (vidurkis Lietuvoje - 133), Šiauliuose teko 232 asmenims ir, kad</w:t>
      </w:r>
      <w:r w:rsidRPr="00845604">
        <w:rPr>
          <w:sz w:val="22"/>
          <w:szCs w:val="22"/>
        </w:rPr>
        <w:t xml:space="preserve"> </w:t>
      </w:r>
      <w:r>
        <w:rPr>
          <w:sz w:val="22"/>
          <w:szCs w:val="22"/>
        </w:rPr>
        <w:t>Vilniaus miesto savivaldybės teritorijoje</w:t>
      </w:r>
      <w:r>
        <w:t xml:space="preserve"> ne</w:t>
      </w:r>
      <w:r>
        <w:rPr>
          <w:sz w:val="22"/>
          <w:szCs w:val="22"/>
        </w:rPr>
        <w:t xml:space="preserve">nustatytas atstumas iki laisvės atėmimo, karinių ir sukarintos tarnybos, policijos ir kitų statutinių, sveikatos priežiūros, ugdymo įstaigų ir  maldos namų,  nuo kurių leidžiama prekiauti alkoholiniais gėrimais, nors daugumo kitų savivaldybių tarybų tokius sprendimus priėmė. </w:t>
      </w:r>
    </w:p>
    <w:p w:rsidR="00E80028" w:rsidRDefault="00E80028" w:rsidP="00E80028">
      <w:pPr>
        <w:ind w:firstLine="720"/>
        <w:jc w:val="both"/>
        <w:rPr>
          <w:sz w:val="22"/>
          <w:szCs w:val="22"/>
        </w:rPr>
      </w:pPr>
      <w:r>
        <w:t xml:space="preserve">Komisija 2014-07-09 ratu Nr. S-2014-5639 „Dėl siūlymo nagrinėjimo“ pasiūlė Vilniaus miesto tarybai, atsižvelgus į prekybos alkoholiniais gėrimais vietą, gyventojų, </w:t>
      </w:r>
      <w:r>
        <w:rPr>
          <w:sz w:val="22"/>
          <w:szCs w:val="22"/>
        </w:rPr>
        <w:t xml:space="preserve">bendrijų, bendruomenių ar jų atstovų, visuomeninių organizacijų ar kitų institucijų raštu pareikštą nuomonę, policijos komisariatų pasiūlymus, nustatyti atstumą iki laisvės atėmimo, karinių ir sukarintos tarnybos, policijos ir kitų statutinių, sveikatos priežiūros, ugdymo įstaigų ir maldos namų, nuo kurių leidžiama prekiauti alkoholiniais gėrimais Vilniaus mieste. </w:t>
      </w:r>
    </w:p>
    <w:p w:rsidR="00E80028" w:rsidRDefault="00E80028" w:rsidP="00E80028">
      <w:pPr>
        <w:jc w:val="both"/>
        <w:rPr>
          <w:sz w:val="22"/>
          <w:szCs w:val="22"/>
        </w:rPr>
      </w:pPr>
      <w:r>
        <w:rPr>
          <w:sz w:val="22"/>
          <w:szCs w:val="22"/>
        </w:rPr>
        <w:tab/>
        <w:t xml:space="preserve">Lietuvos Respublikos Alkoholio kontrolės įstatymo 18 straipsnis numato mažmeninės prekybos alkoholiniais gėrimais tvarką, kurio  3 punkto 1) papunktis nustato, kad „..Lietuvos Respublikoje prekiauti alkoholiniais gėrimais draudžiama laisvės atėmimo, karinėse ir sukarintos </w:t>
      </w:r>
      <w:r>
        <w:rPr>
          <w:sz w:val="22"/>
          <w:szCs w:val="22"/>
        </w:rPr>
        <w:lastRenderedPageBreak/>
        <w:t xml:space="preserve">tarnybos, policijos ir kitose    statutinėse, sveikatos priežiūros, ugdymo įstaigose ir jų teritorijose, taip pat prie šių įstaigų ir maldos namų ( atstumu, kuri nustato savivaldybės taryba, suderinusi atitinkamai su šių įstaigų vadovais ir religinėmis bendruomenėmis)...“. </w:t>
      </w:r>
    </w:p>
    <w:p w:rsidR="00E80028" w:rsidRDefault="00E80028" w:rsidP="00E80028">
      <w:pPr>
        <w:jc w:val="both"/>
        <w:rPr>
          <w:sz w:val="22"/>
          <w:szCs w:val="22"/>
        </w:rPr>
      </w:pPr>
      <w:r>
        <w:rPr>
          <w:sz w:val="22"/>
          <w:szCs w:val="22"/>
        </w:rPr>
        <w:tab/>
        <w:t xml:space="preserve">Komisijoje gautas  Vilniaus miesto savivaldybės administracijos saugaus miesto departamento 2014-07-28 raštas Nr. A51-60840/14(2.3.4.13-SM3) „Dėl siūlymo nagrinėjimo“ patvirtino, kad Vilniaus miesto savivaldybės taryba nėra įgyvendinusi  Lietuvos Respublikos Alkoholio kontrolės įstatymo 18 straipsnio 3 punkto 1) papunkčio reikalavimų ir tokios galimybės nesvarsto. </w:t>
      </w:r>
    </w:p>
    <w:p w:rsidR="00E80028" w:rsidRDefault="00E80028" w:rsidP="00E80028">
      <w:pPr>
        <w:ind w:firstLine="720"/>
        <w:jc w:val="both"/>
        <w:rPr>
          <w:sz w:val="22"/>
          <w:szCs w:val="22"/>
        </w:rPr>
      </w:pPr>
      <w:r>
        <w:rPr>
          <w:sz w:val="22"/>
          <w:szCs w:val="22"/>
        </w:rPr>
        <w:t>Vilniaus miesto savivaldybės administracijos saugaus miesto departamentas nurodė, kad „..netikslinga rengti Savivaldybės tarybos sprendimo projektą, kuriuo būtų nustatytas atstumas iki laisvės atėmimo, karinių ir sukarintos tarnybos, policijos ir kitų statutinių, sveikatos priežiūros, ugdymo įstaigų ir  maldos namų, nuo kurių leidžiama prekiauti alkoholiniais gėrimais Savivaldybės teritorijoje.“.</w:t>
      </w:r>
    </w:p>
    <w:p w:rsidR="00E80028" w:rsidRDefault="00E80028" w:rsidP="00E80028">
      <w:pPr>
        <w:ind w:firstLine="720"/>
        <w:jc w:val="both"/>
      </w:pPr>
      <w:r>
        <w:t xml:space="preserve">Komisija pakartotinai siūlo Vilniaus miesto tarybai, atsižvelgus į prekybos alkoholiniais gėrimais vietą, gyventojų, </w:t>
      </w:r>
      <w:r>
        <w:rPr>
          <w:sz w:val="22"/>
          <w:szCs w:val="22"/>
        </w:rPr>
        <w:t xml:space="preserve">bendrijų, bendruomenių ar jų atstovų, visuomeninių organizacijų ar kitų institucijų raštu pareikštą nuomonę, policijos komisariatų pasiūlymus, nustatyti atstumą iki laisvės atėmimo, karinių ir sukarintos tarnybos, policijos ir kitų statutinių, sveikatos priežiūros, ugdymo įstaigų ir maldos namų, nuo kurių leidžiama prekiauti alkoholiniais gėrimais Vilniaus mieste ir apie priimtą </w:t>
      </w:r>
      <w:r>
        <w:t xml:space="preserve">sprendimą informuoti Komisiją.  </w:t>
      </w:r>
    </w:p>
    <w:p w:rsidR="00E80028" w:rsidRDefault="00E80028" w:rsidP="00E80028">
      <w:pPr>
        <w:autoSpaceDE w:val="0"/>
        <w:autoSpaceDN w:val="0"/>
        <w:adjustRightInd w:val="0"/>
        <w:ind w:firstLine="720"/>
        <w:jc w:val="both"/>
        <w:rPr>
          <w:rFonts w:eastAsia="TimesNewRomanPSMT"/>
          <w:lang w:eastAsia="lt-LT"/>
        </w:rPr>
      </w:pPr>
      <w:r>
        <w:rPr>
          <w:rFonts w:eastAsia="TimesNewRomanPSMT"/>
          <w:lang w:eastAsia="lt-LT"/>
        </w:rPr>
        <w:t xml:space="preserve">Vilniaus miesto savivaldybės administracijos Ekonomikos ir investicijų departamentas 2014-10-28 raštu Nr. A51-896444(2.17.1.20-EK6) „Dėl mažmeninės prekybos alkoholiniais gėrimais“ komisijai atsakė, kad Vilniaus miesto  savivaldybės Ekonomikos ir investicijų departamentas, vykdydamas Vyriausybės atstovo Vilniaus apskrityje reikalavimą, rengia Vilniaus miesto savivaldybės tarybos sprendimo projektą „ Dėl atstumo, kuriuo draudžiama prekiauti alkoholiniais gėrimais, nustatymo“.  </w:t>
      </w:r>
    </w:p>
    <w:p w:rsidR="00E80028" w:rsidRPr="0089712E" w:rsidRDefault="00E80028" w:rsidP="00E80028">
      <w:pPr>
        <w:ind w:firstLine="720"/>
        <w:jc w:val="both"/>
      </w:pPr>
    </w:p>
    <w:p w:rsidR="00E80028" w:rsidRDefault="00E80028" w:rsidP="00E80028">
      <w:pPr>
        <w:jc w:val="both"/>
      </w:pPr>
      <w:r w:rsidRPr="00387E75">
        <w:tab/>
      </w:r>
      <w:r w:rsidRPr="00387E75">
        <w:rPr>
          <w:b/>
        </w:rPr>
        <w:t>III.</w:t>
      </w:r>
      <w:r w:rsidRPr="00387E75">
        <w:t xml:space="preserve"> </w:t>
      </w:r>
      <w:r>
        <w:t xml:space="preserve"> </w:t>
      </w:r>
      <w:r w:rsidRPr="00387E75">
        <w:t xml:space="preserve">Dėl </w:t>
      </w:r>
      <w:r>
        <w:t>publikacijos dėl spirituotų vaisių ir uogų vynų</w:t>
      </w:r>
    </w:p>
    <w:p w:rsidR="00E80028" w:rsidRDefault="00E80028" w:rsidP="00E80028">
      <w:pPr>
        <w:jc w:val="both"/>
      </w:pPr>
    </w:p>
    <w:p w:rsidR="00E80028" w:rsidRPr="00387E75" w:rsidRDefault="00E80028" w:rsidP="00E80028">
      <w:pPr>
        <w:autoSpaceDE w:val="0"/>
        <w:autoSpaceDN w:val="0"/>
        <w:adjustRightInd w:val="0"/>
        <w:ind w:firstLine="720"/>
        <w:jc w:val="both"/>
        <w:rPr>
          <w:rFonts w:eastAsia="TimesNewRomanPSMT"/>
          <w:lang w:eastAsia="lt-LT"/>
        </w:rPr>
      </w:pPr>
      <w:r>
        <w:tab/>
      </w:r>
    </w:p>
    <w:p w:rsidR="00E80028" w:rsidRDefault="00E80028" w:rsidP="00E80028">
      <w:pPr>
        <w:jc w:val="both"/>
        <w:rPr>
          <w:bCs/>
        </w:rPr>
      </w:pPr>
      <w:r w:rsidRPr="00387E75">
        <w:rPr>
          <w:bCs/>
        </w:rPr>
        <w:t xml:space="preserve"> </w:t>
      </w:r>
      <w:r>
        <w:rPr>
          <w:bCs/>
        </w:rPr>
        <w:tab/>
      </w:r>
      <w:r w:rsidRPr="00387E75">
        <w:rPr>
          <w:bCs/>
        </w:rPr>
        <w:t>Komisija su</w:t>
      </w:r>
      <w:r>
        <w:rPr>
          <w:bCs/>
        </w:rPr>
        <w:t>sipažinusi</w:t>
      </w:r>
      <w:r w:rsidRPr="00387E75">
        <w:rPr>
          <w:bCs/>
        </w:rPr>
        <w:t xml:space="preserve"> su 2013</w:t>
      </w:r>
      <w:r>
        <w:rPr>
          <w:bCs/>
        </w:rPr>
        <w:t xml:space="preserve"> m. lapkričio 1</w:t>
      </w:r>
      <w:r w:rsidRPr="00387E75">
        <w:rPr>
          <w:bCs/>
        </w:rPr>
        <w:t>8 d.</w:t>
      </w:r>
      <w:r w:rsidRPr="00387E75">
        <w:t xml:space="preserve"> </w:t>
      </w:r>
      <w:r w:rsidRPr="00387E75">
        <w:rPr>
          <w:rFonts w:eastAsia="TimesNewRomanPSMT"/>
          <w:lang w:eastAsia="lt-LT"/>
        </w:rPr>
        <w:t xml:space="preserve">interneto svetainėje </w:t>
      </w:r>
      <w:r w:rsidRPr="00387E75">
        <w:rPr>
          <w:rFonts w:eastAsia="TimesNewRomanPSMT"/>
          <w:i/>
          <w:lang w:eastAsia="lt-LT"/>
        </w:rPr>
        <w:t>www.lrytas.lt</w:t>
      </w:r>
      <w:r w:rsidRPr="00387E75">
        <w:rPr>
          <w:rFonts w:eastAsia="TimesNewRomanPSMT"/>
          <w:lang w:eastAsia="lt-LT"/>
        </w:rPr>
        <w:t xml:space="preserve"> </w:t>
      </w:r>
      <w:r>
        <w:rPr>
          <w:rFonts w:eastAsia="TimesNewRomanPSMT"/>
          <w:lang w:eastAsia="lt-LT"/>
        </w:rPr>
        <w:t xml:space="preserve">Aušros Pilaitienės </w:t>
      </w:r>
      <w:r w:rsidRPr="00387E75">
        <w:rPr>
          <w:bCs/>
        </w:rPr>
        <w:t>straipsnyje „</w:t>
      </w:r>
      <w:r>
        <w:rPr>
          <w:bCs/>
        </w:rPr>
        <w:t xml:space="preserve">Klastingoji „Monikutė“ kaimo vyrus paverčia žudikais“ </w:t>
      </w:r>
      <w:r w:rsidRPr="00387E75">
        <w:rPr>
          <w:bCs/>
        </w:rPr>
        <w:t>pateik</w:t>
      </w:r>
      <w:r>
        <w:rPr>
          <w:bCs/>
        </w:rPr>
        <w:t>ta</w:t>
      </w:r>
      <w:r w:rsidRPr="00387E75">
        <w:rPr>
          <w:bCs/>
        </w:rPr>
        <w:t xml:space="preserve"> informacija</w:t>
      </w:r>
      <w:r>
        <w:rPr>
          <w:bCs/>
        </w:rPr>
        <w:t xml:space="preserve"> apie spirituotus vynus pradėjo tyrimą</w:t>
      </w:r>
      <w:r w:rsidRPr="00387E75">
        <w:rPr>
          <w:bCs/>
        </w:rPr>
        <w:t>.</w:t>
      </w:r>
      <w:r>
        <w:rPr>
          <w:bCs/>
        </w:rPr>
        <w:t xml:space="preserve"> Straipsnyje teigiama, kad Klaipėdos apygardos teismas paskelbė nuosprendį baudžiamojoje byloje dėl 69 metų J.J. nužudymo. Klaipėdos apygardos prokuroras Jurijus Petuchovas pažymėjo, kad jau keliose bylose tragedijos kyla prisiragavus vyno „monikutė“. Jis net klausė kaltinamųjų , kuo tas vynas išskirtinis. Straipsnyje buvo teigiama, kad spirituotas vaisių ir uogų vynas „Monikutės naktys“, „Monikutės vasara“, ar „Monikutės bučinys“ – patys pigiausi ir gana stiprūs alkoholiniaia gėrimai, 0,7 litro plastikinį butelį tokio vyno galima nusipirkti už 5 litus. </w:t>
      </w:r>
    </w:p>
    <w:p w:rsidR="00E80028" w:rsidRDefault="00E80028" w:rsidP="00E80028">
      <w:pPr>
        <w:ind w:firstLine="720"/>
        <w:jc w:val="both"/>
      </w:pPr>
      <w:r w:rsidRPr="00387E75">
        <w:rPr>
          <w:bCs/>
        </w:rPr>
        <w:t xml:space="preserve"> </w:t>
      </w:r>
      <w:r>
        <w:t xml:space="preserve">Komisija 2013-12-018 raštu Nr. S-2013-10810 „Dėl alkoholio kontrolės“ kreipėsi į Valstybinę maisto ir veterinarijos tarnybą ir 2013-12-018 raštu Nr. S-2013-10813 „Dėl alkoholio kontrolės“ į Narkotikų, tabako ir alkoholio kontrolės departamentą, prašydama pateikti informaciją apie KB „Vaisių sultys“ gaminamos produkcijos dalį, kurią sudaro natūralūs ir specialios technologijos 14 rūšių vaisių ir uogų vynai. </w:t>
      </w:r>
    </w:p>
    <w:p w:rsidR="00E80028" w:rsidRDefault="00E80028" w:rsidP="00E80028">
      <w:pPr>
        <w:jc w:val="both"/>
      </w:pPr>
      <w:r>
        <w:t xml:space="preserve"> Komisija Valstybinės maisto ir veterinarijos tarnybos paprašė atsakyti:</w:t>
      </w:r>
    </w:p>
    <w:p w:rsidR="00E80028" w:rsidRPr="00BD687D" w:rsidRDefault="00E80028" w:rsidP="00E80028">
      <w:pPr>
        <w:numPr>
          <w:ilvl w:val="0"/>
          <w:numId w:val="69"/>
        </w:numPr>
        <w:jc w:val="both"/>
        <w:rPr>
          <w:bCs/>
        </w:rPr>
      </w:pPr>
      <w:r>
        <w:t xml:space="preserve"> </w:t>
      </w:r>
      <w:r>
        <w:rPr>
          <w:bCs/>
        </w:rPr>
        <w:t xml:space="preserve">Kiek kartų </w:t>
      </w:r>
      <w:r>
        <w:t xml:space="preserve">2012 – 2013 metais Tarnyba, vykdydama Įstatymo 6 ir 7 straipsnio reikalavimus ir tirdama nustatyta tvarka alkoholio produktų pavyzdžius ( kokių konkrečių produktų), kreipėsi dėl </w:t>
      </w:r>
      <w:r>
        <w:rPr>
          <w:bCs/>
        </w:rPr>
        <w:t xml:space="preserve">KB “Vaisių sultys“ </w:t>
      </w:r>
      <w:r>
        <w:t>alkoholio produktų tyrimo į Lietuvos Respublikos Vyriausybės įgaliotą instituciją, kokie tai buvo produktai,  kokie gauti tyrimo rezultatai?</w:t>
      </w:r>
    </w:p>
    <w:p w:rsidR="00E80028" w:rsidRPr="00AD3FA4" w:rsidRDefault="00E80028" w:rsidP="00E80028">
      <w:pPr>
        <w:numPr>
          <w:ilvl w:val="0"/>
          <w:numId w:val="69"/>
        </w:numPr>
        <w:jc w:val="both"/>
        <w:rPr>
          <w:bCs/>
        </w:rPr>
      </w:pPr>
      <w:r>
        <w:t xml:space="preserve">Ar Valstybinė maisto ir veterinarijos tarnyba yra nustačiusi  </w:t>
      </w:r>
      <w:r>
        <w:rPr>
          <w:bCs/>
        </w:rPr>
        <w:t xml:space="preserve">KB “Vaisių sultys“ </w:t>
      </w:r>
      <w:r>
        <w:t xml:space="preserve">kitų pažeidimų. </w:t>
      </w:r>
    </w:p>
    <w:p w:rsidR="00E80028" w:rsidRPr="00AD16E7" w:rsidRDefault="00E80028" w:rsidP="00E80028">
      <w:pPr>
        <w:numPr>
          <w:ilvl w:val="0"/>
          <w:numId w:val="69"/>
        </w:numPr>
        <w:jc w:val="both"/>
        <w:rPr>
          <w:bCs/>
        </w:rPr>
      </w:pPr>
      <w:r>
        <w:rPr>
          <w:bCs/>
        </w:rPr>
        <w:lastRenderedPageBreak/>
        <w:t xml:space="preserve">Ar </w:t>
      </w:r>
      <w:r>
        <w:t xml:space="preserve">Valstybinė maisto ir veterinarijos tarnyba domėjosi spirituotų vaisių ir uogų vynų „Monikutės Naktys“, „Monikutės Bučinys“  ir „Monikutės Vasara“ sudėtimi ir, ar jų sudėtis atitinka Įstatymo reikalavimus? Kokia yra šių vynų sudėtis? Kiek maistinio etilo alkoholio pridedama į šiuos spirituotus vynus ir kokie kiti priedai dedami į juos? Kiek priedų įdedama į juos?  </w:t>
      </w:r>
    </w:p>
    <w:p w:rsidR="00E80028" w:rsidRDefault="00E80028" w:rsidP="00E80028">
      <w:pPr>
        <w:numPr>
          <w:ilvl w:val="0"/>
          <w:numId w:val="69"/>
        </w:numPr>
        <w:jc w:val="both"/>
        <w:rPr>
          <w:bCs/>
        </w:rPr>
      </w:pPr>
      <w:r>
        <w:rPr>
          <w:bCs/>
        </w:rPr>
        <w:t xml:space="preserve">Kokia tūrinė etilo alkoholio koncentracija yra visuose KB “Vaisių sultys“ gaminamuose natūraliuose vynuose? Kokia tūrinė etilo alkoholio koncentracija yra </w:t>
      </w:r>
      <w:r>
        <w:t xml:space="preserve">spirituotuose vaisių ir uogų vynuose </w:t>
      </w:r>
      <w:r>
        <w:rPr>
          <w:bCs/>
        </w:rPr>
        <w:t>(nurodant pagal pavadinimus  atskirai) be 3 punkte išvardintų spirituotų vynų?</w:t>
      </w:r>
    </w:p>
    <w:p w:rsidR="00E80028" w:rsidRDefault="00E80028" w:rsidP="00E80028">
      <w:pPr>
        <w:numPr>
          <w:ilvl w:val="0"/>
          <w:numId w:val="69"/>
        </w:numPr>
        <w:jc w:val="both"/>
        <w:rPr>
          <w:bCs/>
        </w:rPr>
      </w:pPr>
      <w:r>
        <w:rPr>
          <w:bCs/>
        </w:rPr>
        <w:t xml:space="preserve">Ar KB “Vaisių sultys“  įranga atitinka skirtų vymų gamybai nustatytus  reikalavimus, kada ir kas yra išdavęs leidimus KB “Vaisių sultys“ gaminti vynus ir nuo kada jie gaminami? </w:t>
      </w:r>
    </w:p>
    <w:p w:rsidR="00E80028" w:rsidRPr="00AD16E7" w:rsidRDefault="00E80028" w:rsidP="00E80028">
      <w:pPr>
        <w:numPr>
          <w:ilvl w:val="0"/>
          <w:numId w:val="69"/>
        </w:numPr>
        <w:jc w:val="both"/>
        <w:rPr>
          <w:bCs/>
        </w:rPr>
      </w:pPr>
      <w:r>
        <w:rPr>
          <w:bCs/>
        </w:rPr>
        <w:t>Kur yra realizuojami KB “Vaisių sultys“ pagaminti natūralūs ir specialios technologijos vynai?</w:t>
      </w:r>
    </w:p>
    <w:p w:rsidR="00E80028" w:rsidRDefault="00E80028" w:rsidP="00E80028">
      <w:pPr>
        <w:ind w:firstLine="720"/>
        <w:jc w:val="both"/>
      </w:pPr>
    </w:p>
    <w:p w:rsidR="00E80028" w:rsidRPr="00903159" w:rsidRDefault="00E80028" w:rsidP="00E80028">
      <w:pPr>
        <w:ind w:firstLine="720"/>
        <w:jc w:val="both"/>
        <w:rPr>
          <w:rFonts w:eastAsia="TimesNewRomanPSMT"/>
          <w:lang w:eastAsia="lt-LT"/>
        </w:rPr>
      </w:pPr>
      <w:r>
        <w:t xml:space="preserve">Valstybinė maisto ir veterinarijos tarnyba 2014-01-13 raštu Nr. B6-(1.19)-55 “Dėl spirituotų vaisių ir uogų vynų atsakė, kad </w:t>
      </w:r>
      <w:r w:rsidRPr="00903159">
        <w:rPr>
          <w:rFonts w:eastAsia="TimesNewRomanPSMT"/>
          <w:lang w:eastAsia="lt-LT"/>
        </w:rPr>
        <w:t>Valstybinė maisto ir Veterinarijos tarnyba (toliau - VMVT), įvertinusi gautą Lietuvos</w:t>
      </w:r>
      <w:r>
        <w:rPr>
          <w:rFonts w:eastAsia="TimesNewRomanPSMT"/>
          <w:lang w:eastAsia="lt-LT"/>
        </w:rPr>
        <w:t xml:space="preserve"> </w:t>
      </w:r>
      <w:r w:rsidRPr="00903159">
        <w:rPr>
          <w:rFonts w:eastAsia="TimesNewRomanPSMT"/>
          <w:lang w:eastAsia="lt-LT"/>
        </w:rPr>
        <w:t>Respublikos Seimo Narkomanijos ir alkoholizmo prevencijos komisijos 2013-12-18 raštą Nr. S-</w:t>
      </w:r>
      <w:r>
        <w:rPr>
          <w:rFonts w:eastAsia="TimesNewRomanPSMT"/>
          <w:lang w:eastAsia="lt-LT"/>
        </w:rPr>
        <w:t xml:space="preserve"> </w:t>
      </w:r>
      <w:r w:rsidRPr="00903159">
        <w:rPr>
          <w:rFonts w:eastAsia="TimesNewRomanPSMT"/>
          <w:lang w:eastAsia="lt-LT"/>
        </w:rPr>
        <w:t>2013-10810 „Dėl alkoholio kontrolės“ (toliau - Raštas), nurodė VMVT Vilniaus valstybinei maisto</w:t>
      </w:r>
      <w:r>
        <w:rPr>
          <w:rFonts w:eastAsia="TimesNewRomanPSMT"/>
          <w:lang w:eastAsia="lt-LT"/>
        </w:rPr>
        <w:t xml:space="preserve"> </w:t>
      </w:r>
      <w:r w:rsidRPr="00903159">
        <w:rPr>
          <w:rFonts w:eastAsia="TimesNewRomanPSMT"/>
          <w:lang w:eastAsia="lt-LT"/>
        </w:rPr>
        <w:t>ir veterinarijos tarnybai (toliau - Vilniaus VMVT) atlikti UAB „Vaisių sultys“ (buvusi KB, nuo</w:t>
      </w:r>
      <w:r>
        <w:rPr>
          <w:rFonts w:eastAsia="TimesNewRomanPSMT"/>
          <w:lang w:eastAsia="lt-LT"/>
        </w:rPr>
        <w:t xml:space="preserve"> </w:t>
      </w:r>
      <w:r w:rsidRPr="00903159">
        <w:rPr>
          <w:rFonts w:eastAsia="TimesNewRomanPSMT"/>
          <w:lang w:eastAsia="lt-LT"/>
        </w:rPr>
        <w:t>2014-01-05 - UAB) patikrinimą.</w:t>
      </w:r>
      <w:r>
        <w:rPr>
          <w:rFonts w:eastAsia="TimesNewRomanPSMT"/>
          <w:lang w:eastAsia="lt-LT"/>
        </w:rPr>
        <w:t xml:space="preserve"> </w:t>
      </w:r>
      <w:r w:rsidRPr="00903159">
        <w:rPr>
          <w:rFonts w:eastAsia="TimesNewRomanPSMT"/>
          <w:lang w:eastAsia="lt-LT"/>
        </w:rPr>
        <w:t>Vilniaus VMVT 2014-01-07 atliko vaisių ir uogų vynų ir sulčių</w:t>
      </w:r>
      <w:r>
        <w:rPr>
          <w:rFonts w:eastAsia="TimesNewRomanPSMT"/>
          <w:lang w:eastAsia="lt-LT"/>
        </w:rPr>
        <w:t xml:space="preserve"> </w:t>
      </w:r>
      <w:r w:rsidRPr="00903159">
        <w:rPr>
          <w:rFonts w:eastAsia="TimesNewRomanPSMT"/>
          <w:lang w:eastAsia="lt-LT"/>
        </w:rPr>
        <w:t>bei nektarų gamybos įmonės - UAB „Vaisių sultys“ - vykdomos maisto tvarkymo veiklos</w:t>
      </w:r>
      <w:r>
        <w:rPr>
          <w:rFonts w:eastAsia="TimesNewRomanPSMT"/>
          <w:lang w:eastAsia="lt-LT"/>
        </w:rPr>
        <w:t xml:space="preserve"> </w:t>
      </w:r>
      <w:r w:rsidRPr="00903159">
        <w:rPr>
          <w:rFonts w:eastAsia="TimesNewRomanPSMT"/>
          <w:lang w:eastAsia="lt-LT"/>
        </w:rPr>
        <w:t>patikrinimą, kurio metu nustatė, kad įmonė gamina 1</w:t>
      </w:r>
      <w:r w:rsidRPr="00903159">
        <w:rPr>
          <w:rFonts w:eastAsia="TimesNewRomanPSMT"/>
          <w:i/>
          <w:iCs/>
          <w:lang w:eastAsia="lt-LT"/>
        </w:rPr>
        <w:t xml:space="preserve">7 </w:t>
      </w:r>
      <w:r w:rsidRPr="00903159">
        <w:rPr>
          <w:rFonts w:eastAsia="TimesNewRomanPSMT"/>
          <w:lang w:eastAsia="lt-LT"/>
        </w:rPr>
        <w:t>pavadinimų specialios technologijos vaisių ir</w:t>
      </w:r>
      <w:r>
        <w:rPr>
          <w:rFonts w:eastAsia="TimesNewRomanPSMT"/>
          <w:lang w:eastAsia="lt-LT"/>
        </w:rPr>
        <w:t xml:space="preserve"> </w:t>
      </w:r>
      <w:r w:rsidRPr="00903159">
        <w:rPr>
          <w:rFonts w:eastAsia="TimesNewRomanPSMT"/>
          <w:lang w:eastAsia="lt-LT"/>
        </w:rPr>
        <w:t>uogų vynus: „Pasaga Baltasis“ — 18 proc., ..Pasaga Raudonasis“ - 18 proc., „Sparnai“ - 18 proc.,</w:t>
      </w:r>
      <w:r>
        <w:rPr>
          <w:rFonts w:eastAsia="TimesNewRomanPSMT"/>
          <w:lang w:eastAsia="lt-LT"/>
        </w:rPr>
        <w:t xml:space="preserve"> </w:t>
      </w:r>
      <w:r w:rsidRPr="00903159">
        <w:rPr>
          <w:rFonts w:eastAsia="TimesNewRomanPSMT"/>
          <w:lang w:eastAsia="lt-LT"/>
        </w:rPr>
        <w:t xml:space="preserve">„Obuolių baltasis vynas Sparnai“ - 18 proc., „Ruletė Baltasis“ -1 9 proc., „Ruletė Raudonasis“ </w:t>
      </w:r>
      <w:r>
        <w:rPr>
          <w:rFonts w:eastAsia="TimesNewRomanPSMT"/>
          <w:lang w:eastAsia="lt-LT"/>
        </w:rPr>
        <w:t>–</w:t>
      </w:r>
      <w:r w:rsidRPr="00903159">
        <w:rPr>
          <w:rFonts w:eastAsia="TimesNewRomanPSMT"/>
          <w:lang w:eastAsia="lt-LT"/>
        </w:rPr>
        <w:t xml:space="preserve"> 19</w:t>
      </w:r>
      <w:r>
        <w:rPr>
          <w:rFonts w:eastAsia="TimesNewRomanPSMT"/>
          <w:lang w:eastAsia="lt-LT"/>
        </w:rPr>
        <w:t xml:space="preserve"> </w:t>
      </w:r>
      <w:r w:rsidRPr="00903159">
        <w:rPr>
          <w:rFonts w:eastAsia="TimesNewRomanPSMT"/>
          <w:lang w:eastAsia="lt-LT"/>
        </w:rPr>
        <w:t>proc., „Skrydis Raudonasis“ - 18 proc., „Skrydis Baltasis“ - 18 proc., „19 Hercų Baltasis obuolių</w:t>
      </w:r>
      <w:r>
        <w:rPr>
          <w:rFonts w:eastAsia="TimesNewRomanPSMT"/>
          <w:lang w:eastAsia="lt-LT"/>
        </w:rPr>
        <w:t xml:space="preserve"> </w:t>
      </w:r>
      <w:r w:rsidRPr="00903159">
        <w:rPr>
          <w:rFonts w:eastAsia="TimesNewRomanPSMT"/>
          <w:lang w:eastAsia="lt-LT"/>
        </w:rPr>
        <w:t>vynas“ - 19 proc., „19 Hercų Raudonasis obuolių vynas“, - 19 proc., „Anzelmutės Obuolių vynas“</w:t>
      </w:r>
      <w:r>
        <w:rPr>
          <w:rFonts w:eastAsia="TimesNewRomanPSMT"/>
          <w:lang w:eastAsia="lt-LT"/>
        </w:rPr>
        <w:t xml:space="preserve"> </w:t>
      </w:r>
      <w:r w:rsidRPr="00903159">
        <w:rPr>
          <w:rFonts w:eastAsia="TimesNewRomanPSMT"/>
          <w:lang w:eastAsia="lt-LT"/>
        </w:rPr>
        <w:t>- 1 8 proc., „Anzelmutės Raudonasis vynas“ - 18 proc., „Stiprus obuolių vynas“ - 19 proc.,</w:t>
      </w:r>
      <w:r>
        <w:rPr>
          <w:rFonts w:eastAsia="TimesNewRomanPSMT"/>
          <w:lang w:eastAsia="lt-LT"/>
        </w:rPr>
        <w:t xml:space="preserve"> </w:t>
      </w:r>
      <w:r w:rsidRPr="00903159">
        <w:rPr>
          <w:rFonts w:eastAsia="TimesNewRomanPSMT"/>
          <w:lang w:eastAsia="lt-LT"/>
        </w:rPr>
        <w:t>„Švogerių“ (žalsvos spalvos etiketė) - 1 8 proc., „Švogerių“ (raudonos spalvos etiketė) - 18 proc.,</w:t>
      </w:r>
      <w:r>
        <w:rPr>
          <w:rFonts w:eastAsia="TimesNewRomanPSMT"/>
          <w:lang w:eastAsia="lt-LT"/>
        </w:rPr>
        <w:t xml:space="preserve"> </w:t>
      </w:r>
      <w:r w:rsidRPr="00903159">
        <w:rPr>
          <w:rFonts w:eastAsia="TimesNewRomanPSMT"/>
          <w:lang w:eastAsia="lt-LT"/>
        </w:rPr>
        <w:t>„Šinkorkos Baltasis“ - 18 proc., „Šinkorkos Raudonasis“ - 18 proc. Vaisių ir uogų vynai</w:t>
      </w:r>
      <w:r>
        <w:rPr>
          <w:rFonts w:eastAsia="TimesNewRomanPSMT"/>
          <w:lang w:eastAsia="lt-LT"/>
        </w:rPr>
        <w:t xml:space="preserve"> </w:t>
      </w:r>
      <w:r w:rsidRPr="00903159">
        <w:rPr>
          <w:rFonts w:eastAsia="TimesNewRomanPSMT"/>
          <w:lang w:eastAsia="lt-LT"/>
        </w:rPr>
        <w:t>„</w:t>
      </w:r>
      <w:r w:rsidRPr="006714BB">
        <w:rPr>
          <w:rFonts w:eastAsia="TimesNewRomanPSMT"/>
          <w:b/>
          <w:lang w:eastAsia="lt-LT"/>
        </w:rPr>
        <w:t>Monikutės Naktys“, „Monikutės Vasara“ ir „Monikutės Bučinys“</w:t>
      </w:r>
      <w:r w:rsidRPr="00903159">
        <w:rPr>
          <w:rFonts w:eastAsia="TimesNewRomanPSMT"/>
          <w:lang w:eastAsia="lt-LT"/>
        </w:rPr>
        <w:t xml:space="preserve"> paskutinį kartą realizuoti 2007</w:t>
      </w:r>
      <w:r>
        <w:rPr>
          <w:rFonts w:eastAsia="TimesNewRomanPSMT"/>
          <w:lang w:eastAsia="lt-LT"/>
        </w:rPr>
        <w:t xml:space="preserve"> </w:t>
      </w:r>
      <w:r w:rsidRPr="00903159">
        <w:rPr>
          <w:rFonts w:eastAsia="TimesNewRomanPSMT"/>
          <w:lang w:eastAsia="lt-LT"/>
        </w:rPr>
        <w:t>m. gruodžio mėn. UAB „Vaisių sultys“ gaminami specialios technologijos vaisių ir uogų vynai</w:t>
      </w:r>
      <w:r>
        <w:rPr>
          <w:rFonts w:eastAsia="TimesNewRomanPSMT"/>
          <w:lang w:eastAsia="lt-LT"/>
        </w:rPr>
        <w:t xml:space="preserve"> </w:t>
      </w:r>
      <w:r w:rsidRPr="00903159">
        <w:rPr>
          <w:rFonts w:eastAsia="TimesNewRomanPSMT"/>
          <w:lang w:eastAsia="lt-LT"/>
        </w:rPr>
        <w:t>realizuojami Lietuvos Respublikos teritorijoje, taip pat Lietuvos Respublikoje registruotiems</w:t>
      </w:r>
      <w:r>
        <w:rPr>
          <w:rFonts w:eastAsia="TimesNewRomanPSMT"/>
          <w:lang w:eastAsia="lt-LT"/>
        </w:rPr>
        <w:t xml:space="preserve"> </w:t>
      </w:r>
      <w:r w:rsidRPr="00903159">
        <w:rPr>
          <w:rFonts w:eastAsia="TimesNewRomanPSMT"/>
          <w:lang w:eastAsia="lt-LT"/>
        </w:rPr>
        <w:t>užsakovams didmeninei prekybai: UAB „Sanitex“, Raudondvario pi. 131, Kaunas; UAB „Vilniaus</w:t>
      </w:r>
      <w:r>
        <w:rPr>
          <w:rFonts w:eastAsia="TimesNewRomanPSMT"/>
          <w:lang w:eastAsia="lt-LT"/>
        </w:rPr>
        <w:t xml:space="preserve"> </w:t>
      </w:r>
      <w:r w:rsidRPr="00903159">
        <w:rPr>
          <w:rFonts w:eastAsia="TimesNewRomanPSMT"/>
          <w:lang w:eastAsia="lt-LT"/>
        </w:rPr>
        <w:t>alus“, Arimų g. 29, Vilnius; AB „Vilniaus degtinė“, Panerių g. 47/2, Vilnius; UAB „Trevors LT“,</w:t>
      </w:r>
      <w:r>
        <w:rPr>
          <w:rFonts w:eastAsia="TimesNewRomanPSMT"/>
          <w:lang w:eastAsia="lt-LT"/>
        </w:rPr>
        <w:t xml:space="preserve"> </w:t>
      </w:r>
      <w:r w:rsidRPr="00903159">
        <w:rPr>
          <w:rFonts w:eastAsia="TimesNewRomanPSMT"/>
          <w:lang w:eastAsia="lt-LT"/>
        </w:rPr>
        <w:t>Kauno g. 63, Ukmergė. Įmonė natūralių vynų (vaisių ir uogų vynų) negamina.</w:t>
      </w:r>
    </w:p>
    <w:p w:rsidR="00E80028" w:rsidRDefault="00E80028" w:rsidP="00E80028">
      <w:pPr>
        <w:autoSpaceDE w:val="0"/>
        <w:autoSpaceDN w:val="0"/>
        <w:adjustRightInd w:val="0"/>
        <w:ind w:firstLine="720"/>
        <w:jc w:val="both"/>
        <w:rPr>
          <w:rFonts w:eastAsia="TimesNewRomanPSMT"/>
          <w:lang w:eastAsia="lt-LT"/>
        </w:rPr>
      </w:pPr>
      <w:r w:rsidRPr="00903159">
        <w:rPr>
          <w:rFonts w:eastAsia="TimesNewRomanPSMT"/>
          <w:lang w:eastAsia="lt-LT"/>
        </w:rPr>
        <w:t>Patikrinimo metu taip pat buvo nustatyta, kad UAB „Vaisių sultys“ naudojama jranga</w:t>
      </w:r>
      <w:r>
        <w:rPr>
          <w:rFonts w:eastAsia="TimesNewRomanPSMT"/>
          <w:lang w:eastAsia="lt-LT"/>
        </w:rPr>
        <w:t xml:space="preserve"> </w:t>
      </w:r>
      <w:r w:rsidRPr="00903159">
        <w:rPr>
          <w:rFonts w:eastAsia="TimesNewRomanPSMT"/>
          <w:lang w:eastAsia="lt-LT"/>
        </w:rPr>
        <w:t>atitinka gamybai nustatytus reikalavimus: įmonei 1998-08-25 Valstybinė tabako ir alkoholio</w:t>
      </w:r>
      <w:r>
        <w:rPr>
          <w:rFonts w:eastAsia="TimesNewRomanPSMT"/>
          <w:lang w:eastAsia="lt-LT"/>
        </w:rPr>
        <w:t xml:space="preserve"> </w:t>
      </w:r>
      <w:r w:rsidRPr="00903159">
        <w:rPr>
          <w:rFonts w:eastAsia="TimesNewRomanPSMT"/>
          <w:lang w:eastAsia="lt-LT"/>
        </w:rPr>
        <w:t>kontrolės tarnyba prie Lietuvos Respublikos Vyriausybės išdavė Alkoholio produktų gamybos</w:t>
      </w:r>
      <w:r>
        <w:rPr>
          <w:rFonts w:eastAsia="TimesNewRomanPSMT"/>
          <w:lang w:eastAsia="lt-LT"/>
        </w:rPr>
        <w:t xml:space="preserve"> </w:t>
      </w:r>
      <w:r w:rsidRPr="00903159">
        <w:rPr>
          <w:rFonts w:eastAsia="TimesNewRomanPSMT"/>
          <w:lang w:eastAsia="lt-LT"/>
        </w:rPr>
        <w:t xml:space="preserve">licenciją Nr. </w:t>
      </w:r>
      <w:r w:rsidRPr="00903159">
        <w:rPr>
          <w:rFonts w:eastAsia="TimesNewRomanPSMT"/>
          <w:i/>
          <w:iCs/>
          <w:lang w:eastAsia="lt-LT"/>
        </w:rPr>
        <w:t xml:space="preserve">51 </w:t>
      </w:r>
      <w:r>
        <w:rPr>
          <w:rFonts w:eastAsia="TimesNewRomanPSMT"/>
          <w:i/>
          <w:iCs/>
          <w:lang w:eastAsia="lt-LT"/>
        </w:rPr>
        <w:t xml:space="preserve"> </w:t>
      </w:r>
      <w:r w:rsidRPr="00903159">
        <w:rPr>
          <w:rFonts w:eastAsia="TimesNewRomanPSMT"/>
          <w:lang w:eastAsia="lt-LT"/>
        </w:rPr>
        <w:t>(galioja nuo 1998-08-26) alkoholinių gėrimų, kurių turinė etilo</w:t>
      </w:r>
      <w:r>
        <w:rPr>
          <w:rFonts w:eastAsia="TimesNewRomanPSMT"/>
          <w:lang w:eastAsia="lt-LT"/>
        </w:rPr>
        <w:t xml:space="preserve"> </w:t>
      </w:r>
      <w:r w:rsidRPr="00903159">
        <w:rPr>
          <w:rFonts w:eastAsia="TimesNewRomanPSMT"/>
          <w:lang w:eastAsia="lt-LT"/>
        </w:rPr>
        <w:t xml:space="preserve">alkoholio koncentracija neviršija 22 proc., </w:t>
      </w:r>
      <w:r>
        <w:rPr>
          <w:rFonts w:eastAsia="TimesNewRomanPSMT"/>
          <w:lang w:eastAsia="lt-LT"/>
        </w:rPr>
        <w:t xml:space="preserve"> g</w:t>
      </w:r>
      <w:r w:rsidRPr="00903159">
        <w:rPr>
          <w:rFonts w:eastAsia="TimesNewRomanPSMT"/>
          <w:lang w:eastAsia="lt-LT"/>
        </w:rPr>
        <w:t>amybai (įskaitant vaisių ir uogų vynų gamybą).</w:t>
      </w:r>
      <w:r>
        <w:rPr>
          <w:rFonts w:eastAsia="TimesNewRomanPSMT"/>
          <w:lang w:eastAsia="lt-LT"/>
        </w:rPr>
        <w:t xml:space="preserve"> </w:t>
      </w:r>
    </w:p>
    <w:p w:rsidR="00E80028" w:rsidRPr="00903159" w:rsidRDefault="00E80028" w:rsidP="00E80028">
      <w:pPr>
        <w:autoSpaceDE w:val="0"/>
        <w:autoSpaceDN w:val="0"/>
        <w:adjustRightInd w:val="0"/>
        <w:ind w:firstLine="720"/>
        <w:jc w:val="both"/>
        <w:rPr>
          <w:rFonts w:eastAsia="TimesNewRomanPSMT"/>
          <w:lang w:eastAsia="lt-LT"/>
        </w:rPr>
      </w:pPr>
      <w:r w:rsidRPr="00903159">
        <w:rPr>
          <w:rFonts w:eastAsia="TimesNewRomanPSMT"/>
          <w:lang w:eastAsia="lt-LT"/>
        </w:rPr>
        <w:t>Patikrinimo metu buvo atrinkti 3 pavadinimų specialios technologijos vaisių ir uogų</w:t>
      </w:r>
      <w:r>
        <w:rPr>
          <w:rFonts w:eastAsia="TimesNewRomanPSMT"/>
          <w:lang w:eastAsia="lt-LT"/>
        </w:rPr>
        <w:t xml:space="preserve"> </w:t>
      </w:r>
      <w:r w:rsidRPr="00903159">
        <w:rPr>
          <w:rFonts w:eastAsia="TimesNewRomanPSMT"/>
          <w:lang w:eastAsia="lt-LT"/>
        </w:rPr>
        <w:t>vynų (balto ir raudono, atitinkamai 18 proc. ir 19 proc. stiprumo) mė</w:t>
      </w:r>
      <w:r>
        <w:rPr>
          <w:rFonts w:eastAsia="TimesNewRomanPSMT"/>
          <w:lang w:eastAsia="lt-LT"/>
        </w:rPr>
        <w:t xml:space="preserve">giniai, kurie pristatyti į </w:t>
      </w:r>
      <w:r w:rsidRPr="00903159">
        <w:rPr>
          <w:rFonts w:eastAsia="TimesNewRomanPSMT"/>
          <w:lang w:eastAsia="lt-LT"/>
        </w:rPr>
        <w:t>Nacionalinj maisto ir veterinarijos rizikos vertinimo institutą cheminių rodiklių (etilo ir metilo</w:t>
      </w:r>
      <w:r>
        <w:rPr>
          <w:rFonts w:eastAsia="TimesNewRomanPSMT"/>
          <w:lang w:eastAsia="lt-LT"/>
        </w:rPr>
        <w:t xml:space="preserve"> </w:t>
      </w:r>
      <w:r w:rsidRPr="00903159">
        <w:rPr>
          <w:rFonts w:eastAsia="TimesNewRomanPSMT"/>
          <w:lang w:eastAsia="lt-LT"/>
        </w:rPr>
        <w:t>alkoholio kiekių, titruojamų rūgščių ir lakiųjų rūgščių kiekių, cukraus ir ekstrakto (be cukraus)</w:t>
      </w:r>
      <w:r>
        <w:rPr>
          <w:rFonts w:eastAsia="TimesNewRomanPSMT"/>
          <w:lang w:eastAsia="lt-LT"/>
        </w:rPr>
        <w:t xml:space="preserve"> </w:t>
      </w:r>
      <w:r w:rsidRPr="00903159">
        <w:rPr>
          <w:rFonts w:eastAsia="TimesNewRomanPSMT"/>
          <w:lang w:eastAsia="lt-LT"/>
        </w:rPr>
        <w:t>kiekių, sieros dioksido kiekio ir dažiklių (raudonam vaisių ir uogų vynui) kiekio) tyrimams.</w:t>
      </w:r>
      <w:r>
        <w:rPr>
          <w:rFonts w:eastAsia="TimesNewRomanPSMT"/>
          <w:lang w:eastAsia="lt-LT"/>
        </w:rPr>
        <w:t xml:space="preserve"> </w:t>
      </w:r>
      <w:r w:rsidRPr="00903159">
        <w:rPr>
          <w:rFonts w:eastAsia="TimesNewRomanPSMT"/>
          <w:lang w:eastAsia="lt-LT"/>
        </w:rPr>
        <w:t>VMVT taip pat inform</w:t>
      </w:r>
      <w:r>
        <w:rPr>
          <w:rFonts w:eastAsia="TimesNewRomanPSMT"/>
          <w:lang w:eastAsia="lt-LT"/>
        </w:rPr>
        <w:t>avo</w:t>
      </w:r>
      <w:r w:rsidRPr="00903159">
        <w:rPr>
          <w:rFonts w:eastAsia="TimesNewRomanPSMT"/>
          <w:lang w:eastAsia="lt-LT"/>
        </w:rPr>
        <w:t>, kad, vykdydama Lietuvos Respublikos alkoholio</w:t>
      </w:r>
      <w:r>
        <w:rPr>
          <w:rFonts w:eastAsia="TimesNewRomanPSMT"/>
          <w:lang w:eastAsia="lt-LT"/>
        </w:rPr>
        <w:t xml:space="preserve"> </w:t>
      </w:r>
      <w:r w:rsidRPr="00903159">
        <w:rPr>
          <w:rFonts w:eastAsia="TimesNewRomanPSMT"/>
          <w:lang w:eastAsia="lt-LT"/>
        </w:rPr>
        <w:t xml:space="preserve">kontrolės įstatymo 6 ir 7 straipsnio kontrolę, 2012-2013 m. netyrė šios įmonės alkoholio </w:t>
      </w:r>
      <w:r w:rsidRPr="00903159">
        <w:rPr>
          <w:rFonts w:eastAsia="TimesNewRomanPSMT"/>
          <w:lang w:eastAsia="lt-LT"/>
        </w:rPr>
        <w:lastRenderedPageBreak/>
        <w:t>produktų,</w:t>
      </w:r>
      <w:r>
        <w:rPr>
          <w:rFonts w:eastAsia="TimesNewRomanPSMT"/>
          <w:lang w:eastAsia="lt-LT"/>
        </w:rPr>
        <w:t xml:space="preserve"> </w:t>
      </w:r>
      <w:r w:rsidRPr="00903159">
        <w:rPr>
          <w:rFonts w:eastAsia="TimesNewRomanPSMT"/>
          <w:lang w:eastAsia="lt-LT"/>
        </w:rPr>
        <w:t>kadangi nebuvo gauta skundų dėl jos pagamintų alkoholio produktų kokybės.</w:t>
      </w:r>
      <w:r>
        <w:rPr>
          <w:rFonts w:eastAsia="TimesNewRomanPSMT"/>
          <w:lang w:eastAsia="lt-LT"/>
        </w:rPr>
        <w:t xml:space="preserve"> </w:t>
      </w:r>
      <w:r w:rsidRPr="00903159">
        <w:rPr>
          <w:rFonts w:eastAsia="TimesNewRomanPSMT"/>
          <w:lang w:eastAsia="lt-LT"/>
        </w:rPr>
        <w:t>Vilniaus VMVT 2012-2013 m. atliko du UAB „Vaisių sultys“</w:t>
      </w:r>
      <w:r>
        <w:rPr>
          <w:rFonts w:eastAsia="TimesNewRomanPSMT"/>
          <w:lang w:eastAsia="lt-LT"/>
        </w:rPr>
        <w:t xml:space="preserve"> </w:t>
      </w:r>
      <w:r w:rsidRPr="00903159">
        <w:rPr>
          <w:rFonts w:eastAsia="TimesNewRomanPSMT"/>
          <w:lang w:eastAsia="lt-LT"/>
        </w:rPr>
        <w:t>patikrinimus, kurių metu nustatė šiuos įmonės vykdomos maisto tvarkymo veiklos pažeidimus:</w:t>
      </w:r>
      <w:r>
        <w:rPr>
          <w:rFonts w:eastAsia="TimesNewRomanPSMT"/>
          <w:lang w:eastAsia="lt-LT"/>
        </w:rPr>
        <w:t xml:space="preserve"> </w:t>
      </w:r>
      <w:r w:rsidRPr="00903159">
        <w:rPr>
          <w:rFonts w:eastAsia="TimesNewRomanPSMT"/>
          <w:lang w:eastAsia="lt-LT"/>
        </w:rPr>
        <w:t>2013-04-12 patikrinimo metu nustatyta, kad UAB „Vaisių sultys“ 2013-02-21 ir 2013-02-26</w:t>
      </w:r>
      <w:r>
        <w:rPr>
          <w:rFonts w:eastAsia="TimesNewRomanPSMT"/>
          <w:lang w:eastAsia="lt-LT"/>
        </w:rPr>
        <w:t xml:space="preserve"> </w:t>
      </w:r>
      <w:r w:rsidRPr="00903159">
        <w:rPr>
          <w:rFonts w:eastAsia="TimesNewRomanPSMT"/>
          <w:lang w:eastAsia="lt-LT"/>
        </w:rPr>
        <w:t>interneto svetainėje adresu www.beta.it vykdytos akcijos metu neužtikrino teisingos (dėl sveikatos</w:t>
      </w:r>
      <w:r>
        <w:rPr>
          <w:rFonts w:eastAsia="TimesNewRomanPSMT"/>
          <w:lang w:eastAsia="lt-LT"/>
        </w:rPr>
        <w:t xml:space="preserve"> </w:t>
      </w:r>
      <w:r w:rsidRPr="00903159">
        <w:rPr>
          <w:rFonts w:eastAsia="TimesNewRomanPSMT"/>
          <w:lang w:eastAsia="lt-LT"/>
        </w:rPr>
        <w:t>teiginių) informacijos pateikimo, už tai įmonės atsakingam asmeniui skirta administracinė</w:t>
      </w:r>
      <w:r>
        <w:rPr>
          <w:rFonts w:eastAsia="TimesNewRomanPSMT"/>
          <w:lang w:eastAsia="lt-LT"/>
        </w:rPr>
        <w:t xml:space="preserve"> </w:t>
      </w:r>
      <w:r w:rsidRPr="00903159">
        <w:rPr>
          <w:rFonts w:eastAsia="TimesNewRomanPSMT"/>
          <w:lang w:eastAsia="lt-LT"/>
        </w:rPr>
        <w:t>nuobauda už Lietuvos Respublikos administracinių teisės pažeidimų kodekso 2141 straipsnio 3</w:t>
      </w:r>
      <w:r>
        <w:rPr>
          <w:rFonts w:eastAsia="TimesNewRomanPSMT"/>
          <w:lang w:eastAsia="lt-LT"/>
        </w:rPr>
        <w:t xml:space="preserve"> </w:t>
      </w:r>
      <w:r w:rsidRPr="00903159">
        <w:rPr>
          <w:rFonts w:eastAsia="TimesNewRomanPSMT"/>
          <w:lang w:eastAsia="lt-LT"/>
        </w:rPr>
        <w:t>dalies pažeidimą; 2013-04-16 planinio patikrinimo metu įmonėje nustatyti 2004 m. balandžio 29 d.</w:t>
      </w:r>
      <w:r>
        <w:rPr>
          <w:rFonts w:eastAsia="TimesNewRomanPSMT"/>
          <w:lang w:eastAsia="lt-LT"/>
        </w:rPr>
        <w:t xml:space="preserve"> </w:t>
      </w:r>
      <w:r w:rsidRPr="00903159">
        <w:rPr>
          <w:rFonts w:eastAsia="TimesNewRomanPSMT"/>
          <w:lang w:eastAsia="lt-LT"/>
        </w:rPr>
        <w:t>Europos Parlamento ir Tarybos reglamento (EB) Nr. 852/2004 dėl maisto produktų higienos (OL</w:t>
      </w:r>
      <w:r>
        <w:rPr>
          <w:rFonts w:eastAsia="TimesNewRomanPSMT"/>
          <w:lang w:eastAsia="lt-LT"/>
        </w:rPr>
        <w:t xml:space="preserve"> </w:t>
      </w:r>
      <w:r w:rsidRPr="00903159">
        <w:rPr>
          <w:rFonts w:eastAsia="TimesNewRomanPSMT"/>
          <w:i/>
          <w:iCs/>
          <w:lang w:eastAsia="lt-LT"/>
        </w:rPr>
        <w:t>2004 m</w:t>
      </w:r>
      <w:r w:rsidRPr="00903159">
        <w:rPr>
          <w:rFonts w:eastAsia="TimesNewRomanPSMT"/>
          <w:lang w:eastAsia="lt-LT"/>
        </w:rPr>
        <w:t xml:space="preserve">. </w:t>
      </w:r>
      <w:r w:rsidRPr="00903159">
        <w:rPr>
          <w:rFonts w:eastAsia="TimesNewRomanPSMT"/>
          <w:i/>
          <w:iCs/>
          <w:lang w:eastAsia="lt-LT"/>
        </w:rPr>
        <w:t>specialusis leidimas</w:t>
      </w:r>
      <w:r w:rsidRPr="00903159">
        <w:rPr>
          <w:rFonts w:eastAsia="TimesNewRomanPSMT"/>
          <w:lang w:eastAsia="lt-LT"/>
        </w:rPr>
        <w:t>, 13 skyrius, 34 tomas, p. 319) II priedo I skyriaus 1 dalies, H skyriaus</w:t>
      </w:r>
      <w:r>
        <w:rPr>
          <w:rFonts w:eastAsia="TimesNewRomanPSMT"/>
          <w:lang w:eastAsia="lt-LT"/>
        </w:rPr>
        <w:t xml:space="preserve">m </w:t>
      </w:r>
      <w:r w:rsidRPr="00903159">
        <w:rPr>
          <w:rFonts w:eastAsia="TimesNewRomanPSMT"/>
          <w:lang w:eastAsia="lt-LT"/>
        </w:rPr>
        <w:t>1 dalies a, b ir c punktų reikalavimų pažeidimai (dėl patalpų higienos), UAB „Vaisių vynas“ 2013-</w:t>
      </w:r>
      <w:r>
        <w:rPr>
          <w:rFonts w:eastAsia="TimesNewRomanPSMT"/>
          <w:lang w:eastAsia="lt-LT"/>
        </w:rPr>
        <w:t xml:space="preserve">05-10 pateikė nustatytų trūkumų šalinimo planą. Tikrinimo metu pažeidimų dėl gaminamų produktų sudėties, naudojamos žaliavos nenustatyta. </w:t>
      </w:r>
    </w:p>
    <w:p w:rsidR="00E80028" w:rsidRDefault="00E80028" w:rsidP="00E80028">
      <w:pPr>
        <w:ind w:firstLine="720"/>
        <w:jc w:val="both"/>
      </w:pPr>
      <w:r>
        <w:t xml:space="preserve">Komisija Narkotikų, tabako ir alkoholio kontrolės departamento paprašė atsakyti į šiuos klausimus: </w:t>
      </w:r>
    </w:p>
    <w:p w:rsidR="00E80028" w:rsidRDefault="00E80028" w:rsidP="00E80028">
      <w:pPr>
        <w:numPr>
          <w:ilvl w:val="0"/>
          <w:numId w:val="70"/>
        </w:numPr>
        <w:jc w:val="both"/>
        <w:rPr>
          <w:bCs/>
        </w:rPr>
      </w:pPr>
      <w:r>
        <w:rPr>
          <w:bCs/>
        </w:rPr>
        <w:t xml:space="preserve">Ar KB “Vaisių sultys“ turi licenciją gaminti alkoholio produktus ir licenciją verstis didmenine prekyba savo pagamintais produktais, kas ir kada šias licencijas yra išdavęs? </w:t>
      </w:r>
    </w:p>
    <w:p w:rsidR="00E80028" w:rsidRPr="00BD687D" w:rsidRDefault="00E80028" w:rsidP="00E80028">
      <w:pPr>
        <w:numPr>
          <w:ilvl w:val="0"/>
          <w:numId w:val="70"/>
        </w:numPr>
        <w:jc w:val="both"/>
        <w:rPr>
          <w:bCs/>
        </w:rPr>
      </w:pPr>
      <w:r>
        <w:t>Ar Lietuvos Respublikos Vyriausybės įgaliotą instituciją 2012 -2013 metais tyrė</w:t>
      </w:r>
      <w:r w:rsidRPr="00F10D76">
        <w:rPr>
          <w:bCs/>
        </w:rPr>
        <w:t xml:space="preserve"> </w:t>
      </w:r>
      <w:r>
        <w:rPr>
          <w:bCs/>
        </w:rPr>
        <w:t xml:space="preserve">KB “Vaisių sultys“ natūralius ir </w:t>
      </w:r>
      <w:r>
        <w:t>spirituotus vaisių ir uogų vynus, kokie tai buvo produktai,  kokie gauti tyrimo rezultatai?</w:t>
      </w:r>
    </w:p>
    <w:p w:rsidR="00E80028" w:rsidRDefault="00E80028" w:rsidP="00E80028">
      <w:pPr>
        <w:numPr>
          <w:ilvl w:val="0"/>
          <w:numId w:val="70"/>
        </w:numPr>
        <w:jc w:val="both"/>
        <w:rPr>
          <w:bCs/>
        </w:rPr>
      </w:pPr>
      <w:r>
        <w:t xml:space="preserve">Ar </w:t>
      </w:r>
      <w:r>
        <w:rPr>
          <w:bCs/>
        </w:rPr>
        <w:t>KB “Vaisių sultys“ turi licenciją verstis mažmenine prekyba alkoholiniais gėrimais? Jei leidžiama, ar yra įrašyta kokios leidžiama parduoti alkoholinių gėrimų grupės, prekybos ir laikymo vieta?</w:t>
      </w:r>
    </w:p>
    <w:p w:rsidR="00E80028" w:rsidRDefault="00E80028" w:rsidP="00E80028">
      <w:pPr>
        <w:numPr>
          <w:ilvl w:val="0"/>
          <w:numId w:val="70"/>
        </w:numPr>
        <w:jc w:val="both"/>
        <w:rPr>
          <w:bCs/>
        </w:rPr>
      </w:pPr>
      <w:r>
        <w:rPr>
          <w:bCs/>
        </w:rPr>
        <w:t xml:space="preserve">Kaip paaiškinti KB “Vaisių sultys“ internetiniame puslapyje reklamuojamą paslaugą: „vymų, pagal užsakymą,  gamyba ir išpilstymas“. Kokiais teisės aktais minėta paslauga yra reglamentuojama Lietuvoje ir kas išduoda leidimus tokią paslaugą vykdyrti ir kas kontroliuoja šiuos procesus?  </w:t>
      </w:r>
    </w:p>
    <w:p w:rsidR="00E80028" w:rsidRPr="00AD3FA4" w:rsidRDefault="00E80028" w:rsidP="00E80028">
      <w:pPr>
        <w:numPr>
          <w:ilvl w:val="0"/>
          <w:numId w:val="70"/>
        </w:numPr>
        <w:jc w:val="both"/>
        <w:rPr>
          <w:bCs/>
        </w:rPr>
      </w:pPr>
      <w:r>
        <w:rPr>
          <w:bCs/>
        </w:rPr>
        <w:t xml:space="preserve"> </w:t>
      </w:r>
      <w:r>
        <w:t xml:space="preserve">Ar </w:t>
      </w:r>
      <w:r>
        <w:rPr>
          <w:bCs/>
        </w:rPr>
        <w:t>KB “Vaisių sultys“ yra gavusi vienkartines licencijas verstis mažmenine prekyba alkoholiniais gėrimais?</w:t>
      </w:r>
    </w:p>
    <w:p w:rsidR="00E80028" w:rsidRPr="00AD16E7" w:rsidRDefault="00E80028" w:rsidP="00E80028">
      <w:pPr>
        <w:numPr>
          <w:ilvl w:val="0"/>
          <w:numId w:val="70"/>
        </w:numPr>
        <w:jc w:val="both"/>
        <w:rPr>
          <w:bCs/>
        </w:rPr>
      </w:pPr>
      <w:r>
        <w:rPr>
          <w:bCs/>
        </w:rPr>
        <w:t xml:space="preserve">Ar </w:t>
      </w:r>
      <w:r>
        <w:t>Narkotikų, tabako ir alkoholio kontrolės departamentas domėjosi spirituotų vaisių ir uogų vynų „</w:t>
      </w:r>
      <w:r w:rsidRPr="006714BB">
        <w:rPr>
          <w:b/>
        </w:rPr>
        <w:t>Monikutės Naktys“, „Monikutės Bučinys“  ir „Monikutės Vasara“,</w:t>
      </w:r>
      <w:r>
        <w:t xml:space="preserve"> „Pagirių vynas“, „Anzelmutės obuolių vynas“, „EXTRIM“ sudėtimi ir, ar jų sudėtis atitinka Įstatymo reikalavimus? Kokia yra šių vynų sudėtis? Kiek maistinio etilo alkoholio pridedama į šiuos spirituotus vynus ir kokie kiti priedai dedami į juos? Kokia papildomų priedų cheminė sudėtis?  </w:t>
      </w:r>
    </w:p>
    <w:p w:rsidR="00E80028" w:rsidRDefault="00E80028" w:rsidP="00E80028">
      <w:pPr>
        <w:numPr>
          <w:ilvl w:val="0"/>
          <w:numId w:val="70"/>
        </w:numPr>
        <w:jc w:val="both"/>
        <w:rPr>
          <w:bCs/>
        </w:rPr>
      </w:pPr>
      <w:r>
        <w:rPr>
          <w:bCs/>
        </w:rPr>
        <w:t xml:space="preserve">Kur yra realizuojami KB “Vaisių sultys“  pagaminti natūralūs ir specialios technologijos vynai? </w:t>
      </w:r>
    </w:p>
    <w:p w:rsidR="00E80028" w:rsidRPr="00AD16E7" w:rsidRDefault="00E80028" w:rsidP="00E80028">
      <w:pPr>
        <w:numPr>
          <w:ilvl w:val="0"/>
          <w:numId w:val="70"/>
        </w:numPr>
        <w:jc w:val="both"/>
        <w:rPr>
          <w:bCs/>
        </w:rPr>
      </w:pPr>
      <w:r>
        <w:rPr>
          <w:bCs/>
        </w:rPr>
        <w:t>Kas realizuoja KB “Vaisių sultys“  pagamintus natūralius ir spirituotus vynus?</w:t>
      </w:r>
    </w:p>
    <w:p w:rsidR="00E80028" w:rsidRPr="00D775B1" w:rsidRDefault="00E80028" w:rsidP="00E80028">
      <w:pPr>
        <w:ind w:firstLine="720"/>
        <w:jc w:val="both"/>
        <w:rPr>
          <w:rFonts w:eastAsia="TimesNewRomanPSMT"/>
          <w:lang w:eastAsia="lt-LT"/>
        </w:rPr>
      </w:pPr>
      <w:r>
        <w:t xml:space="preserve">Narkotikų, tabako ir alkoholio kontrolės departamentas 2014-02-17 raštu Nr. S-(4.3-3) -657 „Dėl alkoholio kontrolės“ atsakė, kad </w:t>
      </w:r>
      <w:r w:rsidRPr="00D775B1">
        <w:rPr>
          <w:rFonts w:eastAsia="TimesNewRomanPSMT"/>
          <w:lang w:eastAsia="lt-LT"/>
        </w:rPr>
        <w:t>Narkotikų, tabako ir alkoholio kontrolės departamentas (toliau - Departamentas), pagal</w:t>
      </w:r>
      <w:r>
        <w:rPr>
          <w:rFonts w:eastAsia="TimesNewRomanPSMT"/>
          <w:lang w:eastAsia="lt-LT"/>
        </w:rPr>
        <w:t xml:space="preserve"> </w:t>
      </w:r>
      <w:r w:rsidRPr="00D775B1">
        <w:rPr>
          <w:rFonts w:eastAsia="TimesNewRomanPSMT"/>
          <w:lang w:eastAsia="lt-LT"/>
        </w:rPr>
        <w:t>kompetenciją, susipažinęs su Jūsų komisijos 2013-12-18 raštu dėl KB (dabartiniu metu - tai UAB)</w:t>
      </w:r>
      <w:r>
        <w:rPr>
          <w:rFonts w:eastAsia="TimesNewRomanPSMT"/>
          <w:lang w:eastAsia="lt-LT"/>
        </w:rPr>
        <w:t xml:space="preserve"> </w:t>
      </w:r>
      <w:r w:rsidRPr="00D775B1">
        <w:rPr>
          <w:rFonts w:eastAsia="TimesNewRomanPSMT"/>
          <w:lang w:eastAsia="lt-LT"/>
        </w:rPr>
        <w:t>„Vaisių vynas“ gaminamos produkcijos ir realizacijos, surinkęs papildomą informaciją iš Valstybinės</w:t>
      </w:r>
      <w:r>
        <w:rPr>
          <w:rFonts w:eastAsia="TimesNewRomanPSMT"/>
          <w:lang w:eastAsia="lt-LT"/>
        </w:rPr>
        <w:t xml:space="preserve"> </w:t>
      </w:r>
      <w:r w:rsidRPr="00D775B1">
        <w:rPr>
          <w:rFonts w:eastAsia="TimesNewRomanPSMT"/>
          <w:lang w:eastAsia="lt-LT"/>
        </w:rPr>
        <w:t>maisto ir veterinarijos tarnybos ir Muitinės laboratorijos, bei atlikęs 2014-01-16 UAB „Vaisių sultys“</w:t>
      </w:r>
      <w:r>
        <w:rPr>
          <w:rFonts w:eastAsia="TimesNewRomanPSMT"/>
          <w:lang w:eastAsia="lt-LT"/>
        </w:rPr>
        <w:t xml:space="preserve"> </w:t>
      </w:r>
      <w:r w:rsidRPr="00D775B1">
        <w:rPr>
          <w:rFonts w:eastAsia="TimesNewRomanPSMT"/>
          <w:lang w:eastAsia="lt-LT"/>
        </w:rPr>
        <w:t>veiklos patikrinimą, teikia informaciją pagal pateiktus klausimus:</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 xml:space="preserve">1. </w:t>
      </w:r>
      <w:r w:rsidRPr="00D775B1">
        <w:rPr>
          <w:rFonts w:eastAsia="TimesNewRomanPSMT"/>
          <w:i/>
          <w:iCs/>
          <w:lang w:eastAsia="lt-LT"/>
        </w:rPr>
        <w:t>Ar KB „ Vaisių sultys “ turi licenciją gaminti alkoholio produktus ir licenciją verstis</w:t>
      </w:r>
      <w:r>
        <w:rPr>
          <w:rFonts w:eastAsia="TimesNewRomanPSMT"/>
          <w:i/>
          <w:iCs/>
          <w:lang w:eastAsia="lt-LT"/>
        </w:rPr>
        <w:t xml:space="preserve"> </w:t>
      </w:r>
      <w:r w:rsidRPr="00D775B1">
        <w:rPr>
          <w:rFonts w:eastAsia="TimesNewRomanPSMT"/>
          <w:i/>
          <w:iCs/>
          <w:lang w:eastAsia="lt-LT"/>
        </w:rPr>
        <w:t>didmenine prekyba savo pagamintais produktais, kas ir kada šias licencijas yra išdavęs</w:t>
      </w:r>
      <w:r w:rsidRPr="00D775B1">
        <w:rPr>
          <w:rFonts w:eastAsia="TimesNewRomanPSMT"/>
          <w:lang w:eastAsia="lt-LT"/>
        </w:rPr>
        <w:t>?</w:t>
      </w:r>
    </w:p>
    <w:p w:rsidR="00E80028" w:rsidRPr="00D775B1" w:rsidRDefault="00E80028" w:rsidP="00E80028">
      <w:pPr>
        <w:autoSpaceDE w:val="0"/>
        <w:autoSpaceDN w:val="0"/>
        <w:adjustRightInd w:val="0"/>
        <w:ind w:firstLine="720"/>
        <w:jc w:val="both"/>
        <w:rPr>
          <w:rFonts w:eastAsia="TimesNewRomanPSMT"/>
          <w:b/>
          <w:bCs/>
          <w:lang w:eastAsia="lt-LT"/>
        </w:rPr>
      </w:pPr>
      <w:r w:rsidRPr="00D775B1">
        <w:rPr>
          <w:rFonts w:eastAsia="TimesNewRomanPSMT"/>
          <w:lang w:eastAsia="lt-LT"/>
        </w:rPr>
        <w:lastRenderedPageBreak/>
        <w:t xml:space="preserve">UAB „Vaisių sultys“ (įm. kodas 122224190) turi </w:t>
      </w:r>
      <w:r w:rsidRPr="00D775B1">
        <w:rPr>
          <w:rFonts w:eastAsia="TimesNewRomanPSMT"/>
          <w:b/>
          <w:bCs/>
          <w:lang w:eastAsia="lt-LT"/>
        </w:rPr>
        <w:t>alkoholio produktų, įskaitant alkoholinius</w:t>
      </w:r>
    </w:p>
    <w:p w:rsidR="00E80028" w:rsidRPr="00D775B1" w:rsidRDefault="00E80028" w:rsidP="00E80028">
      <w:pPr>
        <w:autoSpaceDE w:val="0"/>
        <w:autoSpaceDN w:val="0"/>
        <w:adjustRightInd w:val="0"/>
        <w:jc w:val="both"/>
        <w:rPr>
          <w:rFonts w:eastAsia="TimesNewRomanPSMT"/>
          <w:b/>
          <w:bCs/>
          <w:lang w:eastAsia="lt-LT"/>
        </w:rPr>
      </w:pPr>
      <w:r w:rsidRPr="00D775B1">
        <w:rPr>
          <w:rFonts w:eastAsia="TimesNewRomanPSMT"/>
          <w:b/>
          <w:bCs/>
          <w:lang w:eastAsia="lt-LT"/>
        </w:rPr>
        <w:t>gėrimus, kurių tūrinė etilo alkoholio koncentracija neviršija 22 procentų, gamybos licenciją Nr.</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57. Šią licenciją 1998 m. rugpjūčio 25 d. išdavė Valstybinė tabako ir alkoholio kontrolės tarnyba prie</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Lietuvos Respublikos Vyriausybės (teisių perėmėjas - Narkotikų, tabako ir alkoholio kontrolės</w:t>
      </w:r>
      <w:r>
        <w:rPr>
          <w:rFonts w:eastAsia="TimesNewRomanPSMT"/>
          <w:lang w:eastAsia="lt-LT"/>
        </w:rPr>
        <w:t xml:space="preserve"> </w:t>
      </w:r>
      <w:r w:rsidRPr="00D775B1">
        <w:rPr>
          <w:rFonts w:eastAsia="TimesNewRomanPSMT"/>
          <w:lang w:eastAsia="lt-LT"/>
        </w:rPr>
        <w:t>departamentas). Vadovaujantis Alkoholio kontrolės įstatymo 16 straipsnio 2 dalimi, ši licencija</w:t>
      </w:r>
      <w:r>
        <w:rPr>
          <w:rFonts w:eastAsia="TimesNewRomanPSMT"/>
          <w:lang w:eastAsia="lt-LT"/>
        </w:rPr>
        <w:t xml:space="preserve"> </w:t>
      </w:r>
      <w:r w:rsidRPr="00D775B1">
        <w:rPr>
          <w:rFonts w:eastAsia="TimesNewRomanPSMT"/>
          <w:lang w:eastAsia="lt-LT"/>
        </w:rPr>
        <w:t>suteikia teisę UAB „Vaisių vynas“ verstis didmenine prekyba įmonės pagamintais produktais.</w:t>
      </w:r>
    </w:p>
    <w:p w:rsidR="00E80028" w:rsidRPr="00D775B1" w:rsidRDefault="00E80028" w:rsidP="00E80028">
      <w:pPr>
        <w:autoSpaceDE w:val="0"/>
        <w:autoSpaceDN w:val="0"/>
        <w:adjustRightInd w:val="0"/>
        <w:ind w:firstLine="720"/>
        <w:jc w:val="both"/>
        <w:rPr>
          <w:rFonts w:eastAsia="TimesNewRomanPSMT"/>
          <w:i/>
          <w:iCs/>
          <w:lang w:eastAsia="lt-LT"/>
        </w:rPr>
      </w:pPr>
      <w:r w:rsidRPr="00D775B1">
        <w:rPr>
          <w:rFonts w:eastAsia="TimesNewRomanPSMT"/>
          <w:lang w:eastAsia="lt-LT"/>
        </w:rPr>
        <w:t xml:space="preserve">2. </w:t>
      </w:r>
      <w:r w:rsidRPr="00D775B1">
        <w:rPr>
          <w:rFonts w:eastAsia="TimesNewRomanPSMT"/>
          <w:i/>
          <w:iCs/>
          <w:lang w:eastAsia="lt-LT"/>
        </w:rPr>
        <w:t>Ar Lietuvos Respublikos Vyriausybės įgaliota institucija 2012-2013 metais tyrė KB „ Vaisių</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vynas“ natūralius ir spirituotus vaisių ir uogų vynus, kokie tai buvo produktai, kokie gauti tyrimo</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rezultatail</w:t>
      </w:r>
      <w:r>
        <w:rPr>
          <w:rFonts w:eastAsia="TimesNewRomanPSMT"/>
          <w:i/>
          <w:iCs/>
          <w:lang w:eastAsia="lt-LT"/>
        </w:rPr>
        <w:t>?</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UAB „Vaisių sultys“ gamina šios specialios technologijos vaisių ir uogų vynus: „Pasaga</w:t>
      </w:r>
      <w:r>
        <w:rPr>
          <w:rFonts w:eastAsia="TimesNewRomanPSMT"/>
          <w:lang w:eastAsia="lt-LT"/>
        </w:rPr>
        <w:t xml:space="preserve"> </w:t>
      </w:r>
      <w:r w:rsidRPr="00D775B1">
        <w:rPr>
          <w:rFonts w:eastAsia="TimesNewRomanPSMT"/>
          <w:lang w:eastAsia="lt-LT"/>
        </w:rPr>
        <w:t>Baltasis“ - 18 proc., „Pasaga Raudonasis“ - 18 proc., „Sparnai“ - 18 proc., „Obuolių baltasis vynas</w:t>
      </w:r>
      <w:r>
        <w:rPr>
          <w:rFonts w:eastAsia="TimesNewRomanPSMT"/>
          <w:lang w:eastAsia="lt-LT"/>
        </w:rPr>
        <w:t xml:space="preserve"> </w:t>
      </w:r>
      <w:r w:rsidRPr="00D775B1">
        <w:rPr>
          <w:rFonts w:eastAsia="TimesNewRomanPSMT"/>
          <w:lang w:eastAsia="lt-LT"/>
        </w:rPr>
        <w:t>Sparnai“ - 18 proc., „Ruletė Baltasis“ - 19 proc., „Ruletė Raudonasis“ - 19 proc., „Skrydis</w:t>
      </w:r>
      <w:r>
        <w:rPr>
          <w:rFonts w:eastAsia="TimesNewRomanPSMT"/>
          <w:lang w:eastAsia="lt-LT"/>
        </w:rPr>
        <w:t xml:space="preserve"> </w:t>
      </w:r>
      <w:r w:rsidRPr="00D775B1">
        <w:rPr>
          <w:rFonts w:eastAsia="TimesNewRomanPSMT"/>
          <w:lang w:eastAsia="lt-LT"/>
        </w:rPr>
        <w:t>Raudonasis“ - 18 proc., „Skrydis Baltasis“ - 18 proc., „19 Hercų Baltasis obuolių vynas“ - 19 proc.,</w:t>
      </w:r>
      <w:r>
        <w:rPr>
          <w:rFonts w:eastAsia="TimesNewRomanPSMT"/>
          <w:lang w:eastAsia="lt-LT"/>
        </w:rPr>
        <w:t xml:space="preserve"> </w:t>
      </w:r>
      <w:r w:rsidRPr="00D775B1">
        <w:rPr>
          <w:rFonts w:eastAsia="TimesNewRomanPSMT"/>
          <w:lang w:eastAsia="lt-LT"/>
        </w:rPr>
        <w:t>„19 Hercų Raudonasis obuolių vynas“, - 19 proc., „Anzelmutės Obuolių vynas“ - 18 proc.,</w:t>
      </w:r>
      <w:r>
        <w:rPr>
          <w:rFonts w:eastAsia="TimesNewRomanPSMT"/>
          <w:lang w:eastAsia="lt-LT"/>
        </w:rPr>
        <w:t xml:space="preserve"> </w:t>
      </w:r>
      <w:r w:rsidRPr="00D775B1">
        <w:rPr>
          <w:rFonts w:eastAsia="TimesNewRomanPSMT"/>
          <w:lang w:eastAsia="lt-LT"/>
        </w:rPr>
        <w:t>„Anzelmutės Raudonasis vynas“ - 18 proc., „Stiprus obuolių vynas“ - 19 proc., „Švogerių“ (žalsvos</w:t>
      </w:r>
      <w:r>
        <w:rPr>
          <w:rFonts w:eastAsia="TimesNewRomanPSMT"/>
          <w:lang w:eastAsia="lt-LT"/>
        </w:rPr>
        <w:t xml:space="preserve"> </w:t>
      </w:r>
      <w:r w:rsidRPr="00D775B1">
        <w:rPr>
          <w:rFonts w:eastAsia="TimesNewRomanPSMT"/>
          <w:lang w:eastAsia="lt-LT"/>
        </w:rPr>
        <w:t>spalvos etiketė) - 18 proc., „Švogerių“ (raudonos spalvos etiketė) - 18 proc., „Šinkorkos Baltasis“ -</w:t>
      </w:r>
      <w:r>
        <w:rPr>
          <w:rFonts w:eastAsia="TimesNewRomanPSMT"/>
          <w:lang w:eastAsia="lt-LT"/>
        </w:rPr>
        <w:t xml:space="preserve"> </w:t>
      </w:r>
      <w:r w:rsidRPr="00D775B1">
        <w:rPr>
          <w:rFonts w:eastAsia="TimesNewRomanPSMT"/>
          <w:lang w:eastAsia="lt-LT"/>
        </w:rPr>
        <w:t>18 proc., „Šinkorkos Raudonasis“ - 18 proc.. Taip pat gamina šiuos vyno gėrimus: „Latalia Bianco</w:t>
      </w:r>
      <w:r>
        <w:rPr>
          <w:rFonts w:eastAsia="TimesNewRomanPSMT"/>
          <w:lang w:eastAsia="lt-LT"/>
        </w:rPr>
        <w:t xml:space="preserve"> </w:t>
      </w:r>
      <w:r w:rsidRPr="00D775B1">
        <w:rPr>
          <w:rFonts w:eastAsia="TimesNewRomanPSMT"/>
          <w:lang w:eastAsia="lt-LT"/>
        </w:rPr>
        <w:t>vaisių vyno gėrimas“ - 8 proc., „Latalia Rosso vaisių vyno gėrimas“ - 8 proc., ir šiuos sidrus:</w:t>
      </w:r>
      <w:r>
        <w:rPr>
          <w:rFonts w:eastAsia="TimesNewRomanPSMT"/>
          <w:lang w:eastAsia="lt-LT"/>
        </w:rPr>
        <w:t xml:space="preserve"> </w:t>
      </w:r>
      <w:r w:rsidRPr="00D775B1">
        <w:rPr>
          <w:rFonts w:eastAsia="TimesNewRomanPSMT"/>
          <w:lang w:eastAsia="lt-LT"/>
        </w:rPr>
        <w:t>„RELAX gazuotas kriaušių skonio sidras“, „RELAX gazuotas braškių skonio sidras“, „Vilniaus</w:t>
      </w:r>
      <w:r>
        <w:rPr>
          <w:rFonts w:eastAsia="TimesNewRomanPSMT"/>
          <w:lang w:eastAsia="lt-LT"/>
        </w:rPr>
        <w:t xml:space="preserve"> </w:t>
      </w:r>
      <w:r w:rsidRPr="00D775B1">
        <w:rPr>
          <w:rFonts w:eastAsia="TimesNewRomanPSMT"/>
          <w:lang w:eastAsia="lt-LT"/>
        </w:rPr>
        <w:t>gazuotas kriaušių skonio sidras“, „Vilniaus gazuotas braškių skonio sidras“,</w:t>
      </w:r>
      <w:r>
        <w:rPr>
          <w:rFonts w:eastAsia="TimesNewRomanPSMT"/>
          <w:lang w:eastAsia="lt-LT"/>
        </w:rPr>
        <w:t xml:space="preserve"> </w:t>
      </w:r>
      <w:r w:rsidRPr="00D775B1">
        <w:rPr>
          <w:rFonts w:eastAsia="TimesNewRomanPSMT"/>
          <w:lang w:eastAsia="lt-LT"/>
        </w:rPr>
        <w:t>Valstybinės maisto ir veterinarijos tarnybos duomenimis, UAB „Vaisių sultys“ naudojama</w:t>
      </w:r>
      <w:r>
        <w:rPr>
          <w:rFonts w:eastAsia="TimesNewRomanPSMT"/>
          <w:lang w:eastAsia="lt-LT"/>
        </w:rPr>
        <w:t xml:space="preserve"> </w:t>
      </w:r>
      <w:r w:rsidRPr="00D775B1">
        <w:rPr>
          <w:rFonts w:eastAsia="TimesNewRomanPSMT"/>
          <w:lang w:eastAsia="lt-LT"/>
        </w:rPr>
        <w:t>įranga atitinka gamybai nustatytus reikalavimus. Valstybinės maisto ir veterinarijos tarnybos atlikto</w:t>
      </w:r>
      <w:r>
        <w:rPr>
          <w:rFonts w:eastAsia="TimesNewRomanPSMT"/>
          <w:lang w:eastAsia="lt-LT"/>
        </w:rPr>
        <w:t xml:space="preserve"> </w:t>
      </w:r>
      <w:r w:rsidRPr="00D775B1">
        <w:rPr>
          <w:rFonts w:eastAsia="TimesNewRomanPSMT"/>
          <w:lang w:eastAsia="lt-LT"/>
        </w:rPr>
        <w:t>patikrinimo metu buvo atrinkti 3 pavadinimų specialios technologijos vaisių ir uogų vynų (balto ir</w:t>
      </w:r>
      <w:r>
        <w:rPr>
          <w:rFonts w:eastAsia="TimesNewRomanPSMT"/>
          <w:lang w:eastAsia="lt-LT"/>
        </w:rPr>
        <w:t xml:space="preserve"> </w:t>
      </w:r>
      <w:r w:rsidRPr="00D775B1">
        <w:rPr>
          <w:rFonts w:eastAsia="TimesNewRomanPSMT"/>
          <w:lang w:eastAsia="lt-LT"/>
        </w:rPr>
        <w:t>raudono, atitinkamai 18 proc. ir 19 proc. stiprumo) mėginiai, kurie pristatyti į Nacionalinį maisto ir</w:t>
      </w:r>
      <w:r>
        <w:rPr>
          <w:rFonts w:eastAsia="TimesNewRomanPSMT"/>
          <w:lang w:eastAsia="lt-LT"/>
        </w:rPr>
        <w:t xml:space="preserve"> </w:t>
      </w:r>
      <w:r w:rsidRPr="00D775B1">
        <w:rPr>
          <w:rFonts w:eastAsia="TimesNewRomanPSMT"/>
          <w:lang w:eastAsia="lt-LT"/>
        </w:rPr>
        <w:t>veterinarijos rizikos vertinimo institutą cheminių rodiklių (etilo ir metilo alkoholio kiekių, titruojamų</w:t>
      </w:r>
      <w:r>
        <w:rPr>
          <w:rFonts w:eastAsia="TimesNewRomanPSMT"/>
          <w:lang w:eastAsia="lt-LT"/>
        </w:rPr>
        <w:t xml:space="preserve"> </w:t>
      </w:r>
      <w:r w:rsidRPr="00D775B1">
        <w:rPr>
          <w:rFonts w:eastAsia="TimesNewRomanPSMT"/>
          <w:lang w:eastAsia="lt-LT"/>
        </w:rPr>
        <w:t>rūgščių ir lakiųjų rūgščių kiekių, cukraus ir ekstrakto (be cukraus) kiekių, sieros dioksido kiekio ir</w:t>
      </w:r>
      <w:r>
        <w:rPr>
          <w:rFonts w:eastAsia="TimesNewRomanPSMT"/>
          <w:lang w:eastAsia="lt-LT"/>
        </w:rPr>
        <w:t xml:space="preserve"> </w:t>
      </w:r>
      <w:r w:rsidRPr="00D775B1">
        <w:rPr>
          <w:rFonts w:eastAsia="TimesNewRomanPSMT"/>
          <w:lang w:eastAsia="lt-LT"/>
        </w:rPr>
        <w:t>dažiklių (raudonam vaisių ir uogų vynui) kiekio) tyrimams. Šios tarnybos duomenimis, 2012-2013 m.</w:t>
      </w:r>
      <w:r>
        <w:rPr>
          <w:rFonts w:eastAsia="TimesNewRomanPSMT"/>
          <w:lang w:eastAsia="lt-LT"/>
        </w:rPr>
        <w:t xml:space="preserve"> </w:t>
      </w:r>
      <w:r w:rsidRPr="00D775B1">
        <w:rPr>
          <w:rFonts w:eastAsia="TimesNewRomanPSMT"/>
          <w:lang w:eastAsia="lt-LT"/>
        </w:rPr>
        <w:t>nebuvo tiriami šios įmonės gaminami alkoholio produktai, kadangi nebuvo gauta skundų dėl</w:t>
      </w:r>
      <w:r>
        <w:rPr>
          <w:rFonts w:eastAsia="TimesNewRomanPSMT"/>
          <w:lang w:eastAsia="lt-LT"/>
        </w:rPr>
        <w:t xml:space="preserve"> </w:t>
      </w:r>
      <w:r w:rsidRPr="00D775B1">
        <w:rPr>
          <w:rFonts w:eastAsia="TimesNewRomanPSMT"/>
          <w:lang w:eastAsia="lt-LT"/>
        </w:rPr>
        <w:t>pagamintų alkoholio produktų kokybės.</w:t>
      </w:r>
    </w:p>
    <w:p w:rsidR="00E80028" w:rsidRPr="00D775B1" w:rsidRDefault="00E80028" w:rsidP="00E80028">
      <w:pPr>
        <w:autoSpaceDE w:val="0"/>
        <w:autoSpaceDN w:val="0"/>
        <w:adjustRightInd w:val="0"/>
        <w:ind w:firstLine="720"/>
        <w:jc w:val="both"/>
        <w:rPr>
          <w:rFonts w:eastAsia="TimesNewRomanPSMT"/>
          <w:i/>
          <w:iCs/>
          <w:lang w:eastAsia="lt-LT"/>
        </w:rPr>
      </w:pPr>
      <w:r w:rsidRPr="00D775B1">
        <w:rPr>
          <w:rFonts w:eastAsia="TimesNewRomanPSMT"/>
          <w:i/>
          <w:iCs/>
          <w:lang w:eastAsia="lt-LT"/>
        </w:rPr>
        <w:t>3. Ar KB „ Vaisių sultys turi licenciją verstis mažmenine prekyba alkoholiniais gėrimais? Jei</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leidžiama, ar yra įrašyta kokios leidžiama parduoti alkoholinių gėrimų grupės, prekybos ir laikymo</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vietai</w:t>
      </w:r>
      <w:r>
        <w:rPr>
          <w:rFonts w:eastAsia="TimesNewRomanPSMT"/>
          <w:i/>
          <w:iCs/>
          <w:lang w:eastAsia="lt-LT"/>
        </w:rPr>
        <w:t>?</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Departamento duomenimis, tokių licencijų UAB „Vaisių sultys“ neturi.</w:t>
      </w:r>
    </w:p>
    <w:p w:rsidR="00E80028" w:rsidRPr="00D775B1" w:rsidRDefault="00E80028" w:rsidP="00E80028">
      <w:pPr>
        <w:autoSpaceDE w:val="0"/>
        <w:autoSpaceDN w:val="0"/>
        <w:adjustRightInd w:val="0"/>
        <w:ind w:firstLine="720"/>
        <w:rPr>
          <w:rFonts w:eastAsia="TimesNewRomanPSMT"/>
          <w:i/>
          <w:iCs/>
          <w:lang w:eastAsia="lt-LT"/>
        </w:rPr>
      </w:pPr>
      <w:r w:rsidRPr="00D775B1">
        <w:rPr>
          <w:rFonts w:eastAsia="TimesNewRomanPSMT"/>
          <w:lang w:eastAsia="lt-LT"/>
        </w:rPr>
        <w:t xml:space="preserve">4. </w:t>
      </w:r>
      <w:r w:rsidRPr="00D775B1">
        <w:rPr>
          <w:rFonts w:eastAsia="TimesNewRomanPSMT"/>
          <w:i/>
          <w:iCs/>
          <w:lang w:eastAsia="lt-LT"/>
        </w:rPr>
        <w:t>Kaip paaiškinti KB „ Vaisių sultys “ internetiniame puslapyje reklamuoją paslaugą: „ vynų,</w:t>
      </w:r>
    </w:p>
    <w:p w:rsidR="00E80028" w:rsidRPr="00D775B1" w:rsidRDefault="00E80028" w:rsidP="00E80028">
      <w:pPr>
        <w:autoSpaceDE w:val="0"/>
        <w:autoSpaceDN w:val="0"/>
        <w:adjustRightInd w:val="0"/>
        <w:rPr>
          <w:rFonts w:eastAsia="TimesNewRomanPSMT"/>
          <w:i/>
          <w:iCs/>
          <w:lang w:eastAsia="lt-LT"/>
        </w:rPr>
      </w:pPr>
      <w:r w:rsidRPr="00D775B1">
        <w:rPr>
          <w:rFonts w:eastAsia="TimesNewRomanPSMT"/>
          <w:i/>
          <w:iCs/>
          <w:lang w:eastAsia="lt-LT"/>
        </w:rPr>
        <w:t>pagal užsakymą, gamyba ir išpilstymas Kokiais teisės aktais minėta paslauga yra reglamentuojama</w:t>
      </w:r>
    </w:p>
    <w:p w:rsidR="00E80028" w:rsidRPr="00D775B1" w:rsidRDefault="00E80028" w:rsidP="00E80028">
      <w:pPr>
        <w:autoSpaceDE w:val="0"/>
        <w:autoSpaceDN w:val="0"/>
        <w:adjustRightInd w:val="0"/>
        <w:rPr>
          <w:rFonts w:eastAsia="TimesNewRomanPSMT"/>
          <w:lang w:eastAsia="lt-LT"/>
        </w:rPr>
      </w:pPr>
      <w:r w:rsidRPr="00D775B1">
        <w:rPr>
          <w:rFonts w:eastAsia="TimesNewRomanPSMT"/>
          <w:i/>
          <w:iCs/>
          <w:lang w:eastAsia="lt-LT"/>
        </w:rPr>
        <w:t>Lietuvoje ir kas išduoda leidimus tokią paslaugą vykdyti ir kas kontroliuoja šiuos procesus</w:t>
      </w:r>
      <w:r w:rsidRPr="00D775B1">
        <w:rPr>
          <w:rFonts w:eastAsia="TimesNewRomanPSMT"/>
          <w:lang w:eastAsia="lt-LT"/>
        </w:rPr>
        <w:t>?</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Departamento duomenimis, UAB „Vaisių sultys“ gamina savo produkciją, kuri paženklinama</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lastRenderedPageBreak/>
        <w:t>ūkio subjekto (užsakovo) prekių ženklais arba gamina produkciją pagal ūkio subjekto (užsakovo)</w:t>
      </w:r>
      <w:r>
        <w:rPr>
          <w:rFonts w:eastAsia="TimesNewRomanPSMT"/>
          <w:lang w:eastAsia="lt-LT"/>
        </w:rPr>
        <w:t xml:space="preserve"> </w:t>
      </w:r>
      <w:r w:rsidRPr="00D775B1">
        <w:rPr>
          <w:rFonts w:eastAsia="TimesNewRomanPSMT"/>
          <w:lang w:eastAsia="lt-LT"/>
        </w:rPr>
        <w:t>pateiktą formulę (Techninę specifikaciją), kuri ženklinama užsakovo prekių ženklais. Įmonė, teikdama</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ūkio subjektams alkoholinių gėrimų gamybos paslaugas, vadovaujasi Alkoholio kontrolės įstatymo 17</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straipsnio 8 dalies nuostatomis, kuriose nurodyta, kam įmonė, turinti licenciją gaminti alkoholinius</w:t>
      </w:r>
      <w:r>
        <w:rPr>
          <w:rFonts w:eastAsia="TimesNewRomanPSMT"/>
          <w:lang w:eastAsia="lt-LT"/>
        </w:rPr>
        <w:t xml:space="preserve"> </w:t>
      </w:r>
      <w:r w:rsidRPr="00D775B1">
        <w:rPr>
          <w:rFonts w:eastAsia="TimesNewRomanPSMT"/>
          <w:lang w:eastAsia="lt-LT"/>
        </w:rPr>
        <w:t>gėrimus, gali juos parduoti, taip pat įmonė alkoholinių gėrimų gamybos veikloje užtikrina šių teisės</w:t>
      </w:r>
      <w:r>
        <w:rPr>
          <w:rFonts w:eastAsia="TimesNewRomanPSMT"/>
          <w:lang w:eastAsia="lt-LT"/>
        </w:rPr>
        <w:t xml:space="preserve"> </w:t>
      </w:r>
      <w:r w:rsidRPr="00D775B1">
        <w:rPr>
          <w:rFonts w:eastAsia="TimesNewRomanPSMT"/>
          <w:lang w:eastAsia="lt-LT"/>
        </w:rPr>
        <w:t>aktų reikalavimus:</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1) Alkoholinių produktų gamybos licencijavimo taisyklių, patvirtintų Lietuvos Respublikos</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Vyriausybės 2001 m. sausio 22 d. nutarimu Nr. 67;</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2) Didmeninės ir mažmeninės prekybos alkoholio produktais licencijavimo taisyklių,</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patvirtintų Lietuvos Respublikos Vyriausybės 2004 m. gegužės 20 d. nutarimu Nr. 618;</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3) Apdoroto tabako, etilo alkoholio ir alkoholinių gėrimų ženklinimo specialiaisiais ženklais -</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banderolėmis taisyklių, patvirtintų Lietuvos Respublikos Vyriausybės 2004 m. balandžio 9 d. nutarimu</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Nr. 408;</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4) Alkoholio produktų apskaitos taisyklių, patvirtintų Lietuvos Respublikos Vyriausybės 1998</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m. birželio 2 d. nutarimu Nr. 660;</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5) Lietuvos Respublikos sveikatos apsaugos ministro 2002m. gruodžio 24 d. įsakymu Nr. 677</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patvirtintos Lietuvos higienos normos HN 119:2002 „Maisto produktų ženklinimas“;</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6) Alkoholio produktų atitiktį patvirtinančių dokumentų išdavimo taisyklių, taikomų</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parduodant, laikant ir gabenant alkoholio produktus, ir alkoholio produktų atitiktį patvirtinančių</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dokumentų įforminimo reikalavimų, patvirtintų Valstybinės maisto ir veterinarijos tarnybos</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direktoriaus 2008 m. vasario 7 d. įsakymu Nr. B 1-96.</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UAB „Vaisių vynas“ gaminamos produkcijos techninius reikalavimus nustato specializuoti</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teisės aktai, kurių vykdymo kontrolė nėra Departamento kompetencija.</w:t>
      </w:r>
    </w:p>
    <w:p w:rsidR="00E80028" w:rsidRPr="00D775B1" w:rsidRDefault="00E80028" w:rsidP="00E80028">
      <w:pPr>
        <w:autoSpaceDE w:val="0"/>
        <w:autoSpaceDN w:val="0"/>
        <w:adjustRightInd w:val="0"/>
        <w:ind w:firstLine="720"/>
        <w:jc w:val="both"/>
        <w:rPr>
          <w:rFonts w:eastAsia="TimesNewRomanPSMT"/>
          <w:i/>
          <w:iCs/>
          <w:lang w:eastAsia="lt-LT"/>
        </w:rPr>
      </w:pPr>
      <w:r w:rsidRPr="00D775B1">
        <w:rPr>
          <w:rFonts w:eastAsia="TimesNewRomanPSMT"/>
          <w:lang w:eastAsia="lt-LT"/>
        </w:rPr>
        <w:t xml:space="preserve">5. </w:t>
      </w:r>
      <w:r w:rsidRPr="00D775B1">
        <w:rPr>
          <w:rFonts w:eastAsia="TimesNewRomanPSMT"/>
          <w:i/>
          <w:iCs/>
          <w:lang w:eastAsia="lt-LT"/>
        </w:rPr>
        <w:t>Ar KB „ Vaisių sultys“ yra gavusi vienkartines licencijas verstis mažmenine prekyba</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i/>
          <w:iCs/>
          <w:lang w:eastAsia="lt-LT"/>
        </w:rPr>
        <w:t>alkoholiniais gėrimais</w:t>
      </w:r>
      <w:r w:rsidRPr="00D775B1">
        <w:rPr>
          <w:rFonts w:eastAsia="TimesNewRomanPSMT"/>
          <w:lang w:eastAsia="lt-LT"/>
        </w:rPr>
        <w:t>?</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Departamento duomenimis, tokių licencijų UAB „Vaisių sultys“ nėra gavusi.</w:t>
      </w:r>
    </w:p>
    <w:p w:rsidR="00E80028" w:rsidRPr="00D775B1" w:rsidRDefault="00E80028" w:rsidP="00E80028">
      <w:pPr>
        <w:autoSpaceDE w:val="0"/>
        <w:autoSpaceDN w:val="0"/>
        <w:adjustRightInd w:val="0"/>
        <w:ind w:firstLine="720"/>
        <w:jc w:val="both"/>
        <w:rPr>
          <w:rFonts w:eastAsia="TimesNewRomanPSMT"/>
          <w:i/>
          <w:iCs/>
          <w:lang w:eastAsia="lt-LT"/>
        </w:rPr>
      </w:pPr>
      <w:r w:rsidRPr="00D775B1">
        <w:rPr>
          <w:rFonts w:eastAsia="TimesNewRomanPSMT"/>
          <w:lang w:eastAsia="lt-LT"/>
        </w:rPr>
        <w:t xml:space="preserve">6. </w:t>
      </w:r>
      <w:r w:rsidRPr="00D775B1">
        <w:rPr>
          <w:rFonts w:eastAsia="TimesNewRomanPSMT"/>
          <w:i/>
          <w:iCs/>
          <w:lang w:eastAsia="lt-LT"/>
        </w:rPr>
        <w:t>Ar Narkotikų, tabako ir alkoholio kontrolės departamentas domėjosi spirituotų vaisių ir</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uogų vynų „Monikutės N a k ty s „ M o n ik u tė s Bučinys“ ir „Monikutės Vasara“, „Pagirių vynas",</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Anzelmutės obuolių vynas“, „EXTRIM “ sudėtimi ir, ar jų sudėtis atitinka Įstatymo reikalavimus?</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Kokia yra šių vynų sudėtis? Kiek maistinio etilo alkoholio pridedama į šiuos spirituotus vynus ir kokie</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i/>
          <w:iCs/>
          <w:lang w:eastAsia="lt-LT"/>
        </w:rPr>
        <w:t>kiti priedai dedami į juos? Kokia papildomų priedų cheminė sudėtis</w:t>
      </w:r>
      <w:r w:rsidRPr="00D775B1">
        <w:rPr>
          <w:rFonts w:eastAsia="TimesNewRomanPSMT"/>
          <w:lang w:eastAsia="lt-LT"/>
        </w:rPr>
        <w:t>“'?</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Valstybinės maisto ir veterinarijos tarnybos duomenimis, UAB „Vaisių sultys“ pagaminti</w:t>
      </w:r>
      <w:r>
        <w:rPr>
          <w:rFonts w:eastAsia="TimesNewRomanPSMT"/>
          <w:lang w:eastAsia="lt-LT"/>
        </w:rPr>
        <w:t xml:space="preserve"> </w:t>
      </w:r>
      <w:r w:rsidRPr="00D775B1">
        <w:rPr>
          <w:rFonts w:eastAsia="TimesNewRomanPSMT"/>
          <w:lang w:eastAsia="lt-LT"/>
        </w:rPr>
        <w:t xml:space="preserve">vaisių ir uogų vynai </w:t>
      </w:r>
      <w:r w:rsidRPr="00D775B1">
        <w:rPr>
          <w:rFonts w:eastAsia="TimesNewRomanPSMT"/>
          <w:b/>
          <w:lang w:eastAsia="lt-LT"/>
        </w:rPr>
        <w:t>„Monikutės Naktys“, „Monikutės Vasara“ ir „Monikutės Bučinys“ paskutinį kartą</w:t>
      </w:r>
      <w:r>
        <w:rPr>
          <w:rFonts w:eastAsia="TimesNewRomanPSMT"/>
          <w:b/>
          <w:lang w:eastAsia="lt-LT"/>
        </w:rPr>
        <w:t xml:space="preserve"> </w:t>
      </w:r>
      <w:r w:rsidRPr="00D775B1">
        <w:rPr>
          <w:rFonts w:eastAsia="TimesNewRomanPSMT"/>
          <w:b/>
          <w:lang w:eastAsia="lt-LT"/>
        </w:rPr>
        <w:t>realizuoti 2007 m. gruodžio mė</w:t>
      </w:r>
      <w:r>
        <w:rPr>
          <w:rFonts w:eastAsia="TimesNewRomanPSMT"/>
          <w:b/>
          <w:lang w:eastAsia="lt-LT"/>
        </w:rPr>
        <w:t xml:space="preserve">n. </w:t>
      </w:r>
      <w:r w:rsidRPr="00D775B1">
        <w:rPr>
          <w:rFonts w:eastAsia="TimesNewRomanPSMT"/>
          <w:lang w:eastAsia="lt-LT"/>
        </w:rPr>
        <w:t xml:space="preserve"> Departamento duomenimis, vaisių ir uogų vynu „Monikutės</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lastRenderedPageBreak/>
        <w:t>Naktys“ mažmeninės prekybos įmonėse buvo prekiauta iki 2013 m. balandžio mėn.</w:t>
      </w:r>
      <w:r>
        <w:rPr>
          <w:rFonts w:eastAsia="TimesNewRomanPSMT"/>
          <w:lang w:eastAsia="lt-LT"/>
        </w:rPr>
        <w:t xml:space="preserve"> </w:t>
      </w:r>
      <w:r w:rsidRPr="00D775B1">
        <w:rPr>
          <w:rFonts w:eastAsia="TimesNewRomanPSMT"/>
          <w:lang w:eastAsia="lt-LT"/>
        </w:rPr>
        <w:t>Valstybinės maisto ir veterinarijos tarnybos patikrinimų metu pažeidimų dėl gaminamų</w:t>
      </w:r>
      <w:r>
        <w:rPr>
          <w:rFonts w:eastAsia="TimesNewRomanPSMT"/>
          <w:lang w:eastAsia="lt-LT"/>
        </w:rPr>
        <w:t xml:space="preserve"> </w:t>
      </w:r>
      <w:r w:rsidRPr="00D775B1">
        <w:rPr>
          <w:rFonts w:eastAsia="TimesNewRomanPSMT"/>
          <w:lang w:eastAsia="lt-LT"/>
        </w:rPr>
        <w:t>produktų sudėties, naudojamos žaliavos nenustatyta. Departamento atlikto įmonės veiklos patikrinimo</w:t>
      </w:r>
      <w:r>
        <w:rPr>
          <w:rFonts w:eastAsia="TimesNewRomanPSMT"/>
          <w:lang w:eastAsia="lt-LT"/>
        </w:rPr>
        <w:t xml:space="preserve"> </w:t>
      </w:r>
      <w:r w:rsidRPr="00D775B1">
        <w:rPr>
          <w:rFonts w:eastAsia="TimesNewRomanPSMT"/>
          <w:lang w:eastAsia="lt-LT"/>
        </w:rPr>
        <w:t>metu pažeidimų nenustatyta, išskyrus tai, kad įmonė teisės aktų nustatyta tvarka nepranešė apie</w:t>
      </w:r>
      <w:r>
        <w:rPr>
          <w:rFonts w:eastAsia="TimesNewRomanPSMT"/>
          <w:lang w:eastAsia="lt-LT"/>
        </w:rPr>
        <w:t xml:space="preserve"> </w:t>
      </w:r>
      <w:r w:rsidRPr="00D775B1">
        <w:rPr>
          <w:rFonts w:eastAsia="TimesNewRomanPSMT"/>
          <w:lang w:eastAsia="lt-LT"/>
        </w:rPr>
        <w:t>pasikeitusią įmonės teisinę formą, tokiu būdu pažeisdama Alkoholio produktų gamybos licencijavimo</w:t>
      </w:r>
      <w:r>
        <w:rPr>
          <w:rFonts w:eastAsia="TimesNewRomanPSMT"/>
          <w:lang w:eastAsia="lt-LT"/>
        </w:rPr>
        <w:t xml:space="preserve"> </w:t>
      </w:r>
      <w:r w:rsidRPr="00D775B1">
        <w:rPr>
          <w:rFonts w:eastAsia="TimesNewRomanPSMT"/>
          <w:lang w:eastAsia="lt-LT"/>
        </w:rPr>
        <w:t>taisyklių, patvirtintų Lietuvos Respublikos Vyriausybės 2001 m. sausio 22 d. nutarimu Nr. 67 (LRV</w:t>
      </w:r>
      <w:r>
        <w:rPr>
          <w:rFonts w:eastAsia="TimesNewRomanPSMT"/>
          <w:lang w:eastAsia="lt-LT"/>
        </w:rPr>
        <w:t xml:space="preserve"> </w:t>
      </w:r>
      <w:r w:rsidRPr="00D775B1">
        <w:rPr>
          <w:rFonts w:eastAsia="TimesNewRomanPSMT"/>
          <w:lang w:eastAsia="lt-LT"/>
        </w:rPr>
        <w:t>2011-04-27 nutarimas Nr. 470), 15 punkto reikalavimą, kuriame nustatyta, kad licencijos turėtojas apie</w:t>
      </w:r>
      <w:r>
        <w:rPr>
          <w:rFonts w:eastAsia="TimesNewRomanPSMT"/>
          <w:lang w:eastAsia="lt-LT"/>
        </w:rPr>
        <w:t xml:space="preserve"> </w:t>
      </w:r>
      <w:r w:rsidRPr="00D775B1">
        <w:rPr>
          <w:rFonts w:eastAsia="TimesNewRomanPSMT"/>
          <w:lang w:eastAsia="lt-LT"/>
        </w:rPr>
        <w:t xml:space="preserve">pasikeitusį pavadinimą, </w:t>
      </w:r>
      <w:r w:rsidRPr="00D775B1">
        <w:rPr>
          <w:rFonts w:eastAsia="TimesNewRomanPSMT"/>
          <w:i/>
          <w:iCs/>
          <w:lang w:eastAsia="lt-LT"/>
        </w:rPr>
        <w:t>teisinę form ą</w:t>
      </w:r>
      <w:r w:rsidRPr="00D775B1">
        <w:rPr>
          <w:rFonts w:eastAsia="TimesNewRomanPSMT"/>
          <w:lang w:eastAsia="lt-LT"/>
        </w:rPr>
        <w:t>, buveinę, pakeistą įmonės kodą (suteiktą naują kodą) ne vėliau</w:t>
      </w:r>
      <w:r>
        <w:rPr>
          <w:rFonts w:eastAsia="TimesNewRomanPSMT"/>
          <w:lang w:eastAsia="lt-LT"/>
        </w:rPr>
        <w:t xml:space="preserve"> </w:t>
      </w:r>
      <w:r w:rsidRPr="00D775B1">
        <w:rPr>
          <w:rFonts w:eastAsia="TimesNewRomanPSMT"/>
          <w:lang w:eastAsia="lt-LT"/>
        </w:rPr>
        <w:t>kaip per 10 darbo dienų nuo šių duomenų, taip pat steigimo dokumentų pakeitimo įregistravimo</w:t>
      </w:r>
      <w:r>
        <w:rPr>
          <w:rFonts w:eastAsia="TimesNewRomanPSMT"/>
          <w:lang w:eastAsia="lt-LT"/>
        </w:rPr>
        <w:t xml:space="preserve"> </w:t>
      </w:r>
      <w:r w:rsidRPr="00D775B1">
        <w:rPr>
          <w:rFonts w:eastAsia="TimesNewRomanPSMT"/>
          <w:lang w:eastAsia="lt-LT"/>
        </w:rPr>
        <w:t>Juridinių asmenų registre privalo pranešti licenciją išdavusiai institucijai. Licencijai patikslinti įmonė</w:t>
      </w:r>
      <w:r>
        <w:rPr>
          <w:rFonts w:eastAsia="TimesNewRomanPSMT"/>
          <w:lang w:eastAsia="lt-LT"/>
        </w:rPr>
        <w:t xml:space="preserve"> </w:t>
      </w:r>
      <w:r w:rsidRPr="00D775B1">
        <w:rPr>
          <w:rFonts w:eastAsia="TimesNewRomanPSMT"/>
          <w:lang w:eastAsia="lt-LT"/>
        </w:rPr>
        <w:t>raštu ar elektroninėmis priemonėmis per atstumą, tiesiogiai ar per kontaktinį centrą kartu su motyvuota</w:t>
      </w:r>
      <w:r>
        <w:rPr>
          <w:rFonts w:eastAsia="TimesNewRomanPSMT"/>
          <w:lang w:eastAsia="lt-LT"/>
        </w:rPr>
        <w:t xml:space="preserve"> </w:t>
      </w:r>
      <w:r w:rsidRPr="00D775B1">
        <w:rPr>
          <w:rFonts w:eastAsia="TimesNewRomanPSMT"/>
          <w:lang w:eastAsia="lt-LT"/>
        </w:rPr>
        <w:t>paraiška pateikia dokumentus, patvirtinančius pasikeitusius duomenis.</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Departamentas pažymi, kad 2014-01-22 kreipėsi į Muitinės laboratoriją dėl gazuoto kriaušių</w:t>
      </w:r>
      <w:r>
        <w:rPr>
          <w:rFonts w:eastAsia="TimesNewRomanPSMT"/>
          <w:lang w:eastAsia="lt-LT"/>
        </w:rPr>
        <w:t xml:space="preserve"> </w:t>
      </w:r>
      <w:r w:rsidRPr="00D775B1">
        <w:rPr>
          <w:rFonts w:eastAsia="TimesNewRomanPSMT"/>
          <w:lang w:eastAsia="lt-LT"/>
        </w:rPr>
        <w:t>skonio sidro „EXTRIM“ ištyrimo ir sudėties įvertinimo. Muitinės laboratorija 2014-02-07 pateikė</w:t>
      </w:r>
      <w:r>
        <w:rPr>
          <w:rFonts w:eastAsia="TimesNewRomanPSMT"/>
          <w:lang w:eastAsia="lt-LT"/>
        </w:rPr>
        <w:t xml:space="preserve"> </w:t>
      </w:r>
      <w:r w:rsidRPr="00D775B1">
        <w:rPr>
          <w:rFonts w:eastAsia="TimesNewRomanPSMT"/>
          <w:lang w:eastAsia="lt-LT"/>
        </w:rPr>
        <w:t>Tyrimo protokolą Nr. 14MLT0339, kuriame pateikta motyvuota specialisto išvada (pridedama). Taip</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pat Departamentas 2014-02-07 kreipėsi į Muitinės laboratoriją dėl specializuotų technologijos vaisių</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vynų „Monikutės Vasara“ ir „Monikutės Naktys“ ištyrimo ir sudėties įvertinimo, kai bus pateiktos</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specialistų išvados Departamentas Jūsų komisiją informuos papildomai.</w:t>
      </w:r>
    </w:p>
    <w:p w:rsidR="00E80028" w:rsidRPr="00D775B1" w:rsidRDefault="00E80028" w:rsidP="00E80028">
      <w:pPr>
        <w:autoSpaceDE w:val="0"/>
        <w:autoSpaceDN w:val="0"/>
        <w:adjustRightInd w:val="0"/>
        <w:ind w:firstLine="720"/>
        <w:jc w:val="both"/>
        <w:rPr>
          <w:rFonts w:eastAsia="TimesNewRomanPSMT"/>
          <w:i/>
          <w:iCs/>
          <w:lang w:eastAsia="lt-LT"/>
        </w:rPr>
      </w:pPr>
      <w:r w:rsidRPr="00D775B1">
        <w:rPr>
          <w:rFonts w:eastAsia="TimesNewRomanPSMT"/>
          <w:lang w:eastAsia="lt-LT"/>
        </w:rPr>
        <w:t xml:space="preserve">7. </w:t>
      </w:r>
      <w:r w:rsidRPr="00D775B1">
        <w:rPr>
          <w:rFonts w:eastAsia="TimesNewRomanPSMT"/>
          <w:i/>
          <w:iCs/>
          <w:lang w:eastAsia="lt-LT"/>
        </w:rPr>
        <w:t>Kur yra realizuojami KB „ Vaisų sultys“ pagaminti natūralūs ir specialios technologijos</w:t>
      </w:r>
    </w:p>
    <w:p w:rsidR="00E80028" w:rsidRPr="00D775B1" w:rsidRDefault="00E80028" w:rsidP="00E80028">
      <w:pPr>
        <w:autoSpaceDE w:val="0"/>
        <w:autoSpaceDN w:val="0"/>
        <w:adjustRightInd w:val="0"/>
        <w:jc w:val="both"/>
        <w:rPr>
          <w:rFonts w:eastAsia="TimesNewRomanPSMT"/>
          <w:i/>
          <w:iCs/>
          <w:lang w:eastAsia="lt-LT"/>
        </w:rPr>
      </w:pPr>
      <w:r w:rsidRPr="00D775B1">
        <w:rPr>
          <w:rFonts w:eastAsia="TimesNewRomanPSMT"/>
          <w:i/>
          <w:iCs/>
          <w:lang w:eastAsia="lt-LT"/>
        </w:rPr>
        <w:t>vynai?</w:t>
      </w:r>
    </w:p>
    <w:p w:rsidR="00E80028" w:rsidRPr="00D775B1" w:rsidRDefault="00E80028" w:rsidP="00E80028">
      <w:pPr>
        <w:autoSpaceDE w:val="0"/>
        <w:autoSpaceDN w:val="0"/>
        <w:adjustRightInd w:val="0"/>
        <w:ind w:firstLine="720"/>
        <w:jc w:val="both"/>
        <w:rPr>
          <w:rFonts w:eastAsia="TimesNewRomanPSMT"/>
          <w:lang w:eastAsia="lt-LT"/>
        </w:rPr>
      </w:pPr>
      <w:r w:rsidRPr="00D775B1">
        <w:rPr>
          <w:rFonts w:eastAsia="TimesNewRomanPSMT"/>
          <w:lang w:eastAsia="lt-LT"/>
        </w:rPr>
        <w:t>Įmonė natūralių vynų (vaisių ir uogų vynų) negamina. UAB „Vaisių sultys“ gaminami</w:t>
      </w:r>
      <w:r>
        <w:rPr>
          <w:rFonts w:eastAsia="TimesNewRomanPSMT"/>
          <w:lang w:eastAsia="lt-LT"/>
        </w:rPr>
        <w:t xml:space="preserve"> </w:t>
      </w:r>
      <w:r w:rsidRPr="00D775B1">
        <w:rPr>
          <w:rFonts w:eastAsia="TimesNewRomanPSMT"/>
          <w:lang w:eastAsia="lt-LT"/>
        </w:rPr>
        <w:t>specialios technologijos vaisių ir uogų vynai realizuojami Lietuvos Respublikos teritorijoje: 1)</w:t>
      </w:r>
      <w:r>
        <w:rPr>
          <w:rFonts w:eastAsia="TimesNewRomanPSMT"/>
          <w:lang w:eastAsia="lt-LT"/>
        </w:rPr>
        <w:t xml:space="preserve"> </w:t>
      </w:r>
      <w:r w:rsidRPr="00D775B1">
        <w:rPr>
          <w:rFonts w:eastAsia="TimesNewRomanPSMT"/>
          <w:lang w:eastAsia="lt-LT"/>
        </w:rPr>
        <w:t>Lietuvos Respublikoje registruotiems užsakovams - didmeninės prekybos įmonėms: UAB „Sanitex“,</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Raudondvario pi. 131, Kaunas; UAB „Vilniaus alus“, Arimų g. 29, Vilnius; AB „Vilniaus degtinė“,</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Panerių g. 47/2, Vilnius; UAB „Trevors LT“, Kauno g. 63, Ukmergė; 2) Kitoms Lietuvos</w:t>
      </w:r>
      <w:r>
        <w:rPr>
          <w:rFonts w:eastAsia="TimesNewRomanPSMT"/>
          <w:lang w:eastAsia="lt-LT"/>
        </w:rPr>
        <w:t xml:space="preserve"> </w:t>
      </w:r>
      <w:r w:rsidRPr="00D775B1">
        <w:rPr>
          <w:rFonts w:eastAsia="TimesNewRomanPSMT"/>
          <w:lang w:eastAsia="lt-LT"/>
        </w:rPr>
        <w:t>Respublikoje registruotoms didmeninės prekybos įmonėms: UAB „Gelsva“, UAB „Eugesta“, UAB</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„Jargala“, „Maxima LT“, UAB, UAB „Merata“ ir 3) įvairioms mažmeninės prekybos įmonėms; bei 4)</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 xml:space="preserve">ne Lietuvos Respublikoje registruotai prekybos įmonei „Priebalgas Alus“ </w:t>
      </w:r>
      <w:r>
        <w:rPr>
          <w:rFonts w:eastAsia="TimesNewRomanPSMT"/>
          <w:lang w:eastAsia="lt-LT"/>
        </w:rPr>
        <w:t>S</w:t>
      </w:r>
      <w:r w:rsidRPr="00D775B1">
        <w:rPr>
          <w:rFonts w:eastAsia="TimesNewRomanPSMT"/>
          <w:lang w:eastAsia="lt-LT"/>
        </w:rPr>
        <w:t>IA.</w:t>
      </w:r>
    </w:p>
    <w:p w:rsidR="00E80028" w:rsidRPr="00D775B1" w:rsidRDefault="00E80028" w:rsidP="00E80028">
      <w:pPr>
        <w:autoSpaceDE w:val="0"/>
        <w:autoSpaceDN w:val="0"/>
        <w:adjustRightInd w:val="0"/>
        <w:ind w:firstLine="720"/>
        <w:jc w:val="both"/>
        <w:rPr>
          <w:rFonts w:eastAsia="TimesNewRomanPSMT"/>
          <w:i/>
          <w:iCs/>
          <w:lang w:eastAsia="lt-LT"/>
        </w:rPr>
      </w:pPr>
      <w:r w:rsidRPr="00D775B1">
        <w:rPr>
          <w:rFonts w:eastAsia="TimesNewRomanPSMT"/>
          <w:lang w:eastAsia="lt-LT"/>
        </w:rPr>
        <w:t xml:space="preserve">8. </w:t>
      </w:r>
      <w:r w:rsidRPr="00D775B1">
        <w:rPr>
          <w:rFonts w:eastAsia="TimesNewRomanPSMT"/>
          <w:i/>
          <w:iCs/>
          <w:lang w:eastAsia="lt-LT"/>
        </w:rPr>
        <w:t>Kas realizuoja KB „ Vaisų sultys“pagamintus natūralius ir spirituotus vynus?</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Teisę realizuoti UAB „Vaisių sultys“ pagamintą produkciją turi pati įmonė, bei didmeninės ir</w:t>
      </w:r>
    </w:p>
    <w:p w:rsidR="00E80028" w:rsidRPr="00D775B1" w:rsidRDefault="00E80028" w:rsidP="00E80028">
      <w:pPr>
        <w:autoSpaceDE w:val="0"/>
        <w:autoSpaceDN w:val="0"/>
        <w:adjustRightInd w:val="0"/>
        <w:jc w:val="both"/>
        <w:rPr>
          <w:rFonts w:eastAsia="TimesNewRomanPSMT"/>
          <w:lang w:eastAsia="lt-LT"/>
        </w:rPr>
      </w:pPr>
      <w:r w:rsidRPr="00D775B1">
        <w:rPr>
          <w:rFonts w:eastAsia="TimesNewRomanPSMT"/>
          <w:lang w:eastAsia="lt-LT"/>
        </w:rPr>
        <w:t>mažmeninės prekybos įmonės.</w:t>
      </w:r>
    </w:p>
    <w:p w:rsidR="00E80028" w:rsidRPr="008263ED" w:rsidRDefault="00E80028" w:rsidP="00E80028">
      <w:pPr>
        <w:autoSpaceDE w:val="0"/>
        <w:autoSpaceDN w:val="0"/>
        <w:adjustRightInd w:val="0"/>
        <w:jc w:val="both"/>
        <w:rPr>
          <w:rFonts w:eastAsia="TimesNewRomanPSMT"/>
          <w:lang w:eastAsia="lt-LT"/>
        </w:rPr>
      </w:pPr>
      <w:r>
        <w:t xml:space="preserve">Prie rašto patekta Muitinės laboratorijos 2014-02-07 tyrimo protokolo Nr. 14MLT0339 kopija. Tyrimas atliktas 2014-01-22 mėginio registracijos Nr. 4S0322 gazuoto kriaušių skonio sidro „extrin“, su  cukrumi ir saldikliais, brūkšniuotas kodas 4770153226669. </w:t>
      </w:r>
      <w:r w:rsidRPr="008263ED">
        <w:rPr>
          <w:rFonts w:eastAsia="TimesNewRomanPSMT"/>
          <w:lang w:eastAsia="lt-LT"/>
        </w:rPr>
        <w:t xml:space="preserve">Šviesiai gelsvos spalvos, skaidrus </w:t>
      </w:r>
      <w:r>
        <w:rPr>
          <w:rFonts w:eastAsia="TimesNewRomanPSMT"/>
          <w:lang w:eastAsia="lt-LT"/>
        </w:rPr>
        <w:t>s</w:t>
      </w:r>
      <w:r w:rsidRPr="008263ED">
        <w:rPr>
          <w:rFonts w:eastAsia="TimesNewRomanPSMT"/>
          <w:lang w:eastAsia="lt-LT"/>
        </w:rPr>
        <w:t>kystis, pateiktas bespalviame</w:t>
      </w:r>
      <w:r>
        <w:rPr>
          <w:rFonts w:eastAsia="TimesNewRomanPSMT"/>
          <w:lang w:eastAsia="lt-LT"/>
        </w:rPr>
        <w:t xml:space="preserve"> </w:t>
      </w:r>
      <w:r w:rsidRPr="008263ED">
        <w:rPr>
          <w:rFonts w:eastAsia="TimesNewRomanPSMT"/>
          <w:lang w:eastAsia="lt-LT"/>
        </w:rPr>
        <w:t>plastikiniame butelyje, uždarytame užsukamu plastikiniu gaubtulcu.</w:t>
      </w:r>
    </w:p>
    <w:p w:rsidR="00E80028" w:rsidRPr="008263ED" w:rsidRDefault="00E80028" w:rsidP="00E80028">
      <w:pPr>
        <w:autoSpaceDE w:val="0"/>
        <w:autoSpaceDN w:val="0"/>
        <w:adjustRightInd w:val="0"/>
        <w:jc w:val="both"/>
        <w:rPr>
          <w:rFonts w:eastAsia="TimesNewRomanPSMT"/>
          <w:b/>
          <w:lang w:eastAsia="lt-LT"/>
        </w:rPr>
      </w:pPr>
      <w:r w:rsidRPr="008263ED">
        <w:rPr>
          <w:rFonts w:eastAsia="TimesNewRomanPSMT"/>
          <w:lang w:eastAsia="lt-LT"/>
        </w:rPr>
        <w:t>Butelio uždarymas nepažeistas. Ant butelio užklijuotoje etiketėje</w:t>
      </w:r>
      <w:r>
        <w:rPr>
          <w:rFonts w:eastAsia="TimesNewRomanPSMT"/>
          <w:lang w:eastAsia="lt-LT"/>
        </w:rPr>
        <w:t xml:space="preserve"> </w:t>
      </w:r>
      <w:r w:rsidRPr="008263ED">
        <w:rPr>
          <w:rFonts w:eastAsia="TimesNewRomanPSMT"/>
          <w:lang w:eastAsia="lt-LT"/>
        </w:rPr>
        <w:t>pavaizduotos kriaušės, nurodyta alkoholio kone. (6 % tūrio), talpa (11),</w:t>
      </w:r>
      <w:r>
        <w:rPr>
          <w:rFonts w:eastAsia="TimesNewRomanPSMT"/>
          <w:lang w:eastAsia="lt-LT"/>
        </w:rPr>
        <w:t xml:space="preserve"> </w:t>
      </w:r>
      <w:r w:rsidRPr="008263ED">
        <w:rPr>
          <w:rFonts w:eastAsia="TimesNewRomanPSMT"/>
          <w:lang w:eastAsia="lt-LT"/>
        </w:rPr>
        <w:t>sudėtis: fermentuotos obuoliu sultys, geriamasis vanduo, cukraus</w:t>
      </w:r>
      <w:r>
        <w:rPr>
          <w:rFonts w:eastAsia="TimesNewRomanPSMT"/>
          <w:lang w:eastAsia="lt-LT"/>
        </w:rPr>
        <w:t xml:space="preserve"> </w:t>
      </w:r>
      <w:r w:rsidRPr="008263ED">
        <w:rPr>
          <w:rFonts w:eastAsia="TimesNewRomanPSMT"/>
          <w:lang w:eastAsia="lt-LT"/>
        </w:rPr>
        <w:t>sirupas,</w:t>
      </w:r>
      <w:r>
        <w:rPr>
          <w:rFonts w:eastAsia="TimesNewRomanPSMT"/>
          <w:lang w:eastAsia="lt-LT"/>
        </w:rPr>
        <w:t xml:space="preserve"> </w:t>
      </w:r>
      <w:r w:rsidRPr="008263ED">
        <w:rPr>
          <w:rFonts w:eastAsia="TimesNewRomanPSMT"/>
          <w:lang w:eastAsia="lt-LT"/>
        </w:rPr>
        <w:t>kvapiosios medžiagos, aspartamas E 951, acesulfamas K</w:t>
      </w:r>
      <w:r>
        <w:rPr>
          <w:rFonts w:eastAsia="TimesNewRomanPSMT"/>
          <w:lang w:eastAsia="lt-LT"/>
        </w:rPr>
        <w:t xml:space="preserve"> </w:t>
      </w:r>
      <w:r w:rsidRPr="008263ED">
        <w:rPr>
          <w:rFonts w:eastAsia="TimesNewRomanPSMT"/>
          <w:lang w:eastAsia="lt-LT"/>
        </w:rPr>
        <w:t>E 950, anglies, dioksidas E 290, kalio metabisulfitas E 224.</w:t>
      </w:r>
      <w:r>
        <w:rPr>
          <w:rFonts w:eastAsia="TimesNewRomanPSMT"/>
          <w:lang w:eastAsia="lt-LT"/>
        </w:rPr>
        <w:t xml:space="preserve"> </w:t>
      </w:r>
      <w:r w:rsidRPr="008263ED">
        <w:rPr>
          <w:rFonts w:eastAsia="TimesNewRomanPSMT"/>
          <w:b/>
          <w:lang w:eastAsia="lt-LT"/>
        </w:rPr>
        <w:t xml:space="preserve"> Pagaminta: AB „Anykščių vynas“.</w:t>
      </w:r>
    </w:p>
    <w:p w:rsidR="00E80028" w:rsidRDefault="00E80028" w:rsidP="00E80028">
      <w:pPr>
        <w:ind w:firstLine="720"/>
        <w:jc w:val="both"/>
      </w:pPr>
      <w:r>
        <w:lastRenderedPageBreak/>
        <w:t xml:space="preserve">Ištirta etilo alkoholio koncentracija atitinka kriaušių skonio sidro „extrin“ etiketėje nurodytą 6 tūrio etilo alkoholio koncentraciją. Muitinės laboratorijoje gauti tyrimo rezultatai rodo, kad tyrimai pateikto kriaušių skonio sidro  „extrin“ sudėtyje esantis atilo alkoholis yra fermentuotos kilmės. </w:t>
      </w:r>
    </w:p>
    <w:p w:rsidR="00E80028" w:rsidRPr="00D775B1" w:rsidRDefault="00E80028" w:rsidP="00E80028">
      <w:pPr>
        <w:ind w:firstLine="720"/>
        <w:jc w:val="both"/>
      </w:pPr>
    </w:p>
    <w:p w:rsidR="00E80028" w:rsidRPr="00252EE7" w:rsidRDefault="00E80028" w:rsidP="00E80028">
      <w:pPr>
        <w:ind w:firstLine="720"/>
        <w:jc w:val="both"/>
        <w:rPr>
          <w:rFonts w:eastAsia="TimesNewRomanPSMT"/>
          <w:lang w:eastAsia="lt-LT"/>
        </w:rPr>
      </w:pPr>
      <w:r>
        <w:t xml:space="preserve">Narkotikų, tabako ir alkoholio kontrolės departamentas 2014-03-01 raštu Nr. S-(4.3-3) – 925  „Dėl Narkotikų, tabako ir alkoholio kontrolės departamento 2014-02-17 rašto  Nr. S-(4.3-3) - 657 „Dėl alkoholio kontrolės“ papildymo, atsakė, kad </w:t>
      </w:r>
      <w:r w:rsidRPr="001B0DB9">
        <w:rPr>
          <w:rFonts w:eastAsia="TimesNewRomanPSMT"/>
          <w:lang w:eastAsia="lt-LT"/>
        </w:rPr>
        <w:t>Narkotikų, tabako ir alkoholio kontrolės departamentas (toliau - Departamentas) 2014-03-06</w:t>
      </w:r>
      <w:r>
        <w:rPr>
          <w:rFonts w:eastAsia="TimesNewRomanPSMT"/>
          <w:lang w:eastAsia="lt-LT"/>
        </w:rPr>
        <w:t xml:space="preserve"> </w:t>
      </w:r>
      <w:r w:rsidRPr="001B0DB9">
        <w:rPr>
          <w:rFonts w:eastAsia="TimesNewRomanPSMT"/>
          <w:lang w:eastAsia="lt-LT"/>
        </w:rPr>
        <w:t>gavo iš Muitinės laboratorijos tyrimo rezultatus dėl alkoholinių gėrimų - specialios technologijos</w:t>
      </w:r>
      <w:r>
        <w:rPr>
          <w:rFonts w:eastAsia="TimesNewRomanPSMT"/>
          <w:lang w:eastAsia="lt-LT"/>
        </w:rPr>
        <w:t xml:space="preserve"> </w:t>
      </w:r>
      <w:r w:rsidRPr="001B0DB9">
        <w:rPr>
          <w:rFonts w:eastAsia="TimesNewRomanPSMT"/>
          <w:lang w:eastAsia="lt-LT"/>
        </w:rPr>
        <w:t>vaisių vynų „Monikutės vasara“ ir „Monikutės naktys“, gaminamų AB „Anykščių vynas“, atlikto</w:t>
      </w:r>
      <w:r>
        <w:rPr>
          <w:rFonts w:eastAsia="TimesNewRomanPSMT"/>
          <w:lang w:eastAsia="lt-LT"/>
        </w:rPr>
        <w:t xml:space="preserve"> tyrimo ir s</w:t>
      </w:r>
      <w:r w:rsidRPr="001B0DB9">
        <w:rPr>
          <w:rFonts w:eastAsia="TimesNewRomanPSMT"/>
          <w:lang w:eastAsia="lt-LT"/>
        </w:rPr>
        <w:t>iunč</w:t>
      </w:r>
      <w:r>
        <w:rPr>
          <w:rFonts w:eastAsia="TimesNewRomanPSMT"/>
          <w:lang w:eastAsia="lt-LT"/>
        </w:rPr>
        <w:t xml:space="preserve">ia </w:t>
      </w:r>
      <w:r w:rsidRPr="001B0DB9">
        <w:rPr>
          <w:rFonts w:eastAsia="TimesNewRomanPSMT"/>
          <w:lang w:eastAsia="lt-LT"/>
        </w:rPr>
        <w:t>susipažinimui pridedamus Muitinės laboratorijos tyrimo rezultatus.</w:t>
      </w:r>
      <w:r>
        <w:rPr>
          <w:rFonts w:eastAsia="TimesNewRomanPSMT"/>
          <w:lang w:eastAsia="lt-LT"/>
        </w:rPr>
        <w:t xml:space="preserve"> Mėginys pristatytas </w:t>
      </w:r>
      <w:r w:rsidRPr="001B0DB9">
        <w:rPr>
          <w:rFonts w:eastAsia="TimesNewRomanPSMT"/>
          <w:lang w:eastAsia="lt-LT"/>
        </w:rPr>
        <w:t>2014-02-10</w:t>
      </w:r>
      <w:r>
        <w:rPr>
          <w:rFonts w:eastAsia="TimesNewRomanPSMT"/>
          <w:lang w:eastAsia="lt-LT"/>
        </w:rPr>
        <w:t xml:space="preserve">, </w:t>
      </w:r>
      <w:r w:rsidRPr="001B0DB9">
        <w:rPr>
          <w:rFonts w:eastAsia="TimesNewRomanPSMT"/>
          <w:lang w:eastAsia="lt-LT"/>
        </w:rPr>
        <w:t xml:space="preserve"> Mėginio registracijos Nr. 4X0430</w:t>
      </w:r>
      <w:r>
        <w:rPr>
          <w:rFonts w:eastAsia="TimesNewRomanPSMT"/>
          <w:lang w:eastAsia="lt-LT"/>
        </w:rPr>
        <w:t xml:space="preserve"> </w:t>
      </w:r>
      <w:r w:rsidRPr="001B0DB9">
        <w:rPr>
          <w:rFonts w:eastAsia="TimesNewRomanPSMT"/>
          <w:lang w:eastAsia="lt-LT"/>
        </w:rPr>
        <w:t xml:space="preserve">Specialios technologijos vaisių vynas </w:t>
      </w:r>
      <w:r w:rsidRPr="001B0DB9">
        <w:rPr>
          <w:rFonts w:eastAsia="TimesNewRomanPSMT"/>
          <w:b/>
          <w:lang w:eastAsia="lt-LT"/>
        </w:rPr>
        <w:t>„Monikutės vasara“,</w:t>
      </w:r>
      <w:r w:rsidRPr="001B0DB9">
        <w:rPr>
          <w:rFonts w:eastAsia="TimesNewRomanPSMT"/>
          <w:lang w:eastAsia="lt-LT"/>
        </w:rPr>
        <w:t xml:space="preserve"> brūkšninis</w:t>
      </w:r>
      <w:r>
        <w:rPr>
          <w:rFonts w:eastAsia="TimesNewRomanPSMT"/>
          <w:lang w:eastAsia="lt-LT"/>
        </w:rPr>
        <w:t xml:space="preserve"> </w:t>
      </w:r>
      <w:r w:rsidRPr="001B0DB9">
        <w:rPr>
          <w:rFonts w:eastAsia="TimesNewRomanPSMT"/>
          <w:lang w:eastAsia="lt-LT"/>
        </w:rPr>
        <w:t>kodas 4770153226744.</w:t>
      </w:r>
      <w:r>
        <w:rPr>
          <w:rFonts w:eastAsia="TimesNewRomanPSMT"/>
          <w:lang w:eastAsia="lt-LT"/>
        </w:rPr>
        <w:t xml:space="preserve"> </w:t>
      </w:r>
      <w:r w:rsidRPr="001B0DB9">
        <w:rPr>
          <w:rFonts w:eastAsia="TimesNewRomanPSMT"/>
          <w:lang w:eastAsia="lt-LT"/>
        </w:rPr>
        <w:t>Šviesiai gelsvos spalvos, skaidrus skystis, pateiktas žalios spa</w:t>
      </w:r>
      <w:r>
        <w:rPr>
          <w:rFonts w:eastAsia="TimesNewRomanPSMT"/>
          <w:lang w:eastAsia="lt-LT"/>
        </w:rPr>
        <w:t>lv</w:t>
      </w:r>
      <w:r w:rsidRPr="001B0DB9">
        <w:rPr>
          <w:rFonts w:eastAsia="TimesNewRomanPSMT"/>
          <w:lang w:eastAsia="lt-LT"/>
        </w:rPr>
        <w:t>os</w:t>
      </w:r>
      <w:r>
        <w:rPr>
          <w:rFonts w:eastAsia="TimesNewRomanPSMT"/>
          <w:lang w:eastAsia="lt-LT"/>
        </w:rPr>
        <w:t xml:space="preserve"> </w:t>
      </w:r>
      <w:r w:rsidRPr="001B0DB9">
        <w:rPr>
          <w:rFonts w:eastAsia="TimesNewRomanPSMT"/>
          <w:lang w:eastAsia="lt-LT"/>
        </w:rPr>
        <w:t>plastikiniame butelyje, uždarytame užsukamu plastikiniu gaubtuku ant</w:t>
      </w:r>
      <w:r>
        <w:rPr>
          <w:rFonts w:eastAsia="TimesNewRomanPSMT"/>
          <w:lang w:eastAsia="lt-LT"/>
        </w:rPr>
        <w:t xml:space="preserve"> </w:t>
      </w:r>
      <w:r w:rsidRPr="001B0DB9">
        <w:rPr>
          <w:rFonts w:eastAsia="TimesNewRomanPSMT"/>
          <w:lang w:eastAsia="lt-LT"/>
        </w:rPr>
        <w:t>kurio užklijuota banderole AVG LIM 050050. Butelio uždarymas</w:t>
      </w:r>
      <w:r>
        <w:rPr>
          <w:rFonts w:eastAsia="TimesNewRomanPSMT"/>
          <w:lang w:eastAsia="lt-LT"/>
        </w:rPr>
        <w:t xml:space="preserve"> </w:t>
      </w:r>
      <w:r w:rsidRPr="001B0DB9">
        <w:rPr>
          <w:rFonts w:eastAsia="TimesNewRomanPSMT"/>
          <w:lang w:eastAsia="lt-LT"/>
        </w:rPr>
        <w:t>nepažeistas. Ant bute</w:t>
      </w:r>
      <w:r>
        <w:rPr>
          <w:rFonts w:eastAsia="TimesNewRomanPSMT"/>
          <w:lang w:eastAsia="lt-LT"/>
        </w:rPr>
        <w:t>lio kaklelio yr</w:t>
      </w:r>
      <w:r w:rsidRPr="001B0DB9">
        <w:rPr>
          <w:rFonts w:eastAsia="TimesNewRomanPSMT"/>
          <w:lang w:eastAsia="lt-LT"/>
        </w:rPr>
        <w:t>a užraš</w:t>
      </w:r>
      <w:r>
        <w:rPr>
          <w:rFonts w:eastAsia="TimesNewRomanPSMT"/>
          <w:lang w:eastAsia="lt-LT"/>
        </w:rPr>
        <w:t>as L.</w:t>
      </w:r>
      <w:r w:rsidRPr="001B0DB9">
        <w:rPr>
          <w:rFonts w:eastAsia="TimesNewRomanPSMT"/>
          <w:lang w:eastAsia="lt-LT"/>
        </w:rPr>
        <w:t xml:space="preserve"> 28.10.2013, užklijuotoje</w:t>
      </w:r>
      <w:r>
        <w:rPr>
          <w:rFonts w:eastAsia="TimesNewRomanPSMT"/>
          <w:lang w:eastAsia="lt-LT"/>
        </w:rPr>
        <w:t xml:space="preserve"> </w:t>
      </w:r>
      <w:r w:rsidRPr="001B0DB9">
        <w:rPr>
          <w:rFonts w:eastAsia="TimesNewRomanPSMT"/>
          <w:lang w:eastAsia="lt-LT"/>
        </w:rPr>
        <w:t>etiketė</w:t>
      </w:r>
      <w:r>
        <w:rPr>
          <w:rFonts w:eastAsia="TimesNewRomanPSMT"/>
          <w:lang w:eastAsia="lt-LT"/>
        </w:rPr>
        <w:t>je nurodyta alkoholio konc</w:t>
      </w:r>
      <w:r w:rsidRPr="001B0DB9">
        <w:rPr>
          <w:rFonts w:eastAsia="TimesNewRomanPSMT"/>
          <w:lang w:eastAsia="lt-LT"/>
        </w:rPr>
        <w:t xml:space="preserve">. (18 </w:t>
      </w:r>
      <w:r w:rsidRPr="001B0DB9">
        <w:rPr>
          <w:rFonts w:eastAsia="TimesNewRomanPSMT"/>
          <w:i/>
          <w:iCs/>
          <w:lang w:eastAsia="lt-LT"/>
        </w:rPr>
        <w:t xml:space="preserve">% </w:t>
      </w:r>
      <w:r w:rsidRPr="001B0DB9">
        <w:rPr>
          <w:rFonts w:eastAsia="TimesNewRomanPSMT"/>
          <w:lang w:eastAsia="lt-LT"/>
        </w:rPr>
        <w:t>tūrio), talpa (0,5 1), laikymo</w:t>
      </w:r>
      <w:r>
        <w:rPr>
          <w:rFonts w:eastAsia="TimesNewRomanPSMT"/>
          <w:lang w:eastAsia="lt-LT"/>
        </w:rPr>
        <w:t xml:space="preserve"> </w:t>
      </w:r>
      <w:r w:rsidRPr="001B0DB9">
        <w:rPr>
          <w:rFonts w:eastAsia="TimesNewRomanPSMT"/>
          <w:lang w:eastAsia="lt-LT"/>
        </w:rPr>
        <w:t xml:space="preserve">sąlygos (nuo </w:t>
      </w:r>
      <w:r w:rsidRPr="001B0DB9">
        <w:rPr>
          <w:rFonts w:eastAsia="TimesNewRomanPSMT"/>
          <w:i/>
          <w:iCs/>
          <w:lang w:eastAsia="lt-LT"/>
        </w:rPr>
        <w:t>8</w:t>
      </w:r>
      <w:r w:rsidRPr="001B0DB9">
        <w:rPr>
          <w:rFonts w:eastAsia="TimesNewRomanPSMT"/>
          <w:lang w:eastAsia="lt-LT"/>
        </w:rPr>
        <w:t>°</w:t>
      </w:r>
      <w:r>
        <w:rPr>
          <w:rFonts w:eastAsia="TimesNewRomanPSMT"/>
          <w:lang w:eastAsia="lt-LT"/>
        </w:rPr>
        <w:t>C</w:t>
      </w:r>
      <w:r>
        <w:rPr>
          <w:rFonts w:eastAsia="TimesNewRomanPSMT"/>
          <w:i/>
          <w:iCs/>
          <w:lang w:eastAsia="lt-LT"/>
        </w:rPr>
        <w:t xml:space="preserve"> </w:t>
      </w:r>
      <w:r w:rsidRPr="001B0DB9">
        <w:rPr>
          <w:rFonts w:eastAsia="TimesNewRomanPSMT"/>
          <w:i/>
          <w:iCs/>
          <w:lang w:eastAsia="lt-LT"/>
        </w:rPr>
        <w:t xml:space="preserve"> </w:t>
      </w:r>
      <w:r w:rsidRPr="001B0DB9">
        <w:rPr>
          <w:rFonts w:eastAsia="TimesNewRomanPSMT"/>
          <w:lang w:eastAsia="lt-LT"/>
        </w:rPr>
        <w:t>iki 25°</w:t>
      </w:r>
      <w:r>
        <w:rPr>
          <w:rFonts w:eastAsia="TimesNewRomanPSMT"/>
          <w:lang w:eastAsia="lt-LT"/>
        </w:rPr>
        <w:t xml:space="preserve">C), </w:t>
      </w:r>
      <w:r w:rsidRPr="001B0DB9">
        <w:rPr>
          <w:rFonts w:eastAsia="TimesNewRomanPSMT"/>
          <w:b/>
          <w:lang w:eastAsia="lt-LT"/>
        </w:rPr>
        <w:t>pagaminta: AB „Anykščių vynas“.</w:t>
      </w:r>
      <w:r>
        <w:rPr>
          <w:rFonts w:eastAsia="TimesNewRomanPSMT"/>
          <w:b/>
          <w:lang w:eastAsia="lt-LT"/>
        </w:rPr>
        <w:t xml:space="preserve"> </w:t>
      </w:r>
      <w:r w:rsidRPr="00252EE7">
        <w:rPr>
          <w:rFonts w:eastAsia="TimesNewRomanPSMT"/>
          <w:lang w:eastAsia="lt-LT"/>
        </w:rPr>
        <w:t>Ištirta etilo alkoholio koncentracija (17,95 % tūrio)» nuokrypių (± 1,0% tūrio) ribose</w:t>
      </w:r>
      <w:r>
        <w:rPr>
          <w:rFonts w:eastAsia="TimesNewRomanPSMT"/>
          <w:lang w:eastAsia="lt-LT"/>
        </w:rPr>
        <w:t xml:space="preserve"> </w:t>
      </w:r>
      <w:r w:rsidRPr="00252EE7">
        <w:rPr>
          <w:rFonts w:eastAsia="TimesNewRomanPSMT"/>
          <w:lang w:eastAsia="lt-LT"/>
        </w:rPr>
        <w:t>(ŽŪ</w:t>
      </w:r>
      <w:r>
        <w:rPr>
          <w:rFonts w:eastAsia="TimesNewRomanPSMT"/>
          <w:lang w:eastAsia="lt-LT"/>
        </w:rPr>
        <w:t>M 2004 m.</w:t>
      </w:r>
      <w:r w:rsidRPr="00252EE7">
        <w:rPr>
          <w:rFonts w:eastAsia="TimesNewRomanPSMT"/>
          <w:lang w:eastAsia="lt-LT"/>
        </w:rPr>
        <w:t xml:space="preserve"> gruodžio 29 d. įsakymas Nr. 3D-687) atitinka vaisių vyno </w:t>
      </w:r>
      <w:r w:rsidRPr="00252EE7">
        <w:rPr>
          <w:rFonts w:eastAsia="TimesNewRomanPSMT"/>
          <w:b/>
          <w:lang w:eastAsia="lt-LT"/>
        </w:rPr>
        <w:t>„Monikutės vasara“</w:t>
      </w:r>
      <w:r>
        <w:rPr>
          <w:rFonts w:eastAsia="TimesNewRomanPSMT"/>
          <w:lang w:eastAsia="lt-LT"/>
        </w:rPr>
        <w:t xml:space="preserve"> </w:t>
      </w:r>
      <w:r w:rsidRPr="00252EE7">
        <w:rPr>
          <w:rFonts w:eastAsia="TimesNewRomanPSMT"/>
          <w:lang w:eastAsia="lt-LT"/>
        </w:rPr>
        <w:t xml:space="preserve">etiketėje nurodytą 18 </w:t>
      </w:r>
      <w:r w:rsidRPr="00252EE7">
        <w:rPr>
          <w:rFonts w:eastAsia="TimesNewRomanPSMT"/>
          <w:i/>
          <w:iCs/>
          <w:lang w:eastAsia="lt-LT"/>
        </w:rPr>
        <w:t xml:space="preserve">% </w:t>
      </w:r>
      <w:r w:rsidRPr="00252EE7">
        <w:rPr>
          <w:rFonts w:eastAsia="TimesNewRomanPSMT"/>
          <w:lang w:eastAsia="lt-LT"/>
        </w:rPr>
        <w:t>tūrio etilo alkoholio koncentraciją</w:t>
      </w:r>
      <w:r>
        <w:rPr>
          <w:rFonts w:eastAsia="TimesNewRomanPSMT"/>
          <w:lang w:eastAsia="lt-LT"/>
        </w:rPr>
        <w:t xml:space="preserve">. </w:t>
      </w:r>
      <w:r w:rsidRPr="00252EE7">
        <w:rPr>
          <w:rFonts w:eastAsia="TimesNewRomanPSMT"/>
          <w:lang w:eastAsia="lt-LT"/>
        </w:rPr>
        <w:t>Kombinuotosios nomenklatūros (KN) kodas nustatytas vadovaujantis Komisijos</w:t>
      </w:r>
      <w:r>
        <w:rPr>
          <w:rFonts w:eastAsia="TimesNewRomanPSMT"/>
          <w:lang w:eastAsia="lt-LT"/>
        </w:rPr>
        <w:t xml:space="preserve"> </w:t>
      </w:r>
      <w:r w:rsidRPr="00252EE7">
        <w:rPr>
          <w:rFonts w:eastAsia="TimesNewRomanPSMT"/>
          <w:lang w:eastAsia="lt-LT"/>
        </w:rPr>
        <w:t>įgyvendinimo reglamentu (ES) Nr. 1001/2013, kuriuo iš dalies keičiamas Tarybos reglamento</w:t>
      </w:r>
      <w:r>
        <w:rPr>
          <w:rFonts w:eastAsia="TimesNewRomanPSMT"/>
          <w:lang w:eastAsia="lt-LT"/>
        </w:rPr>
        <w:t xml:space="preserve"> </w:t>
      </w:r>
      <w:r w:rsidRPr="00252EE7">
        <w:rPr>
          <w:rFonts w:eastAsia="TimesNewRomanPSMT"/>
          <w:lang w:eastAsia="lt-LT"/>
        </w:rPr>
        <w:t>(EEB) Nr. 2658/87 dėl tarifų, ir statistinės nomenklatūros bei dėl Bendrojo muitų tarifo I priedas</w:t>
      </w:r>
      <w:r>
        <w:rPr>
          <w:rFonts w:eastAsia="TimesNewRomanPSMT"/>
          <w:lang w:eastAsia="lt-LT"/>
        </w:rPr>
        <w:t xml:space="preserve"> </w:t>
      </w:r>
      <w:r w:rsidRPr="00252EE7">
        <w:rPr>
          <w:rFonts w:eastAsia="TimesNewRomanPSMT"/>
          <w:lang w:eastAsia="lt-LT"/>
        </w:rPr>
        <w:t>(KN, 2014), bendrosiomis KN' aiškinimo taisyklėmis, skyrių, skirsnių ir subpozicįjų pastabomis,</w:t>
      </w:r>
      <w:r>
        <w:rPr>
          <w:rFonts w:eastAsia="TimesNewRomanPSMT"/>
          <w:lang w:eastAsia="lt-LT"/>
        </w:rPr>
        <w:t xml:space="preserve"> </w:t>
      </w:r>
      <w:r w:rsidRPr="00252EE7">
        <w:rPr>
          <w:rFonts w:eastAsia="TimesNewRomanPSMT"/>
          <w:lang w:eastAsia="lt-LT"/>
        </w:rPr>
        <w:t>pozicijų ir subpozicijų pavadinimais, Suderintos prekių aprašymo ii' kodavimo sistemos</w:t>
      </w:r>
      <w:r>
        <w:rPr>
          <w:rFonts w:eastAsia="TimesNewRomanPSMT"/>
          <w:lang w:eastAsia="lt-LT"/>
        </w:rPr>
        <w:t xml:space="preserve"> </w:t>
      </w:r>
      <w:r w:rsidRPr="00252EE7">
        <w:rPr>
          <w:rFonts w:eastAsia="TimesNewRomanPSMT"/>
          <w:lang w:eastAsia="lt-LT"/>
        </w:rPr>
        <w:t>paaiškinimais (HSENs, 2012), Kombinuotosios nomenklatūros paaiškinimais (OL C 137/01,2011).</w:t>
      </w:r>
      <w:r>
        <w:rPr>
          <w:rFonts w:eastAsia="TimesNewRomanPSMT"/>
          <w:lang w:eastAsia="lt-LT"/>
        </w:rPr>
        <w:t xml:space="preserve"> </w:t>
      </w:r>
      <w:r w:rsidRPr="00252EE7">
        <w:rPr>
          <w:rFonts w:eastAsia="TimesNewRomanPSMT"/>
          <w:lang w:eastAsia="lt-LT"/>
        </w:rPr>
        <w:t>Nacionalinis papildomas kodas nustatytas vadovaujantis Lietuvos Respublikos akcizų</w:t>
      </w:r>
    </w:p>
    <w:p w:rsidR="00E80028" w:rsidRPr="00714125" w:rsidRDefault="00E80028" w:rsidP="00E80028">
      <w:pPr>
        <w:autoSpaceDE w:val="0"/>
        <w:autoSpaceDN w:val="0"/>
        <w:adjustRightInd w:val="0"/>
        <w:jc w:val="both"/>
        <w:rPr>
          <w:rFonts w:eastAsia="TimesNewRomanPSMT"/>
          <w:lang w:eastAsia="lt-LT"/>
        </w:rPr>
      </w:pPr>
      <w:r w:rsidRPr="00252EE7">
        <w:rPr>
          <w:rFonts w:eastAsia="TimesNewRomanPSMT"/>
          <w:lang w:eastAsia="lt-LT"/>
        </w:rPr>
        <w:t>Įstatymu (2010 m. balandžio 1 d. įstatymo Nr. 722 redakcija) bei Muitinės departamento generalinio</w:t>
      </w:r>
      <w:r>
        <w:rPr>
          <w:rFonts w:eastAsia="TimesNewRomanPSMT"/>
          <w:lang w:eastAsia="lt-LT"/>
        </w:rPr>
        <w:t xml:space="preserve">  d</w:t>
      </w:r>
      <w:r w:rsidRPr="00252EE7">
        <w:rPr>
          <w:rFonts w:eastAsia="TimesNewRomanPSMT"/>
          <w:lang w:eastAsia="lt-LT"/>
        </w:rPr>
        <w:t>irektoriaus 2007-03-29 įsakymu Nr. 1B-240 „Dėl Nacionalinių papildomų Lietuvos Respublikos</w:t>
      </w:r>
      <w:r>
        <w:rPr>
          <w:rFonts w:eastAsia="TimesNewRomanPSMT"/>
          <w:lang w:eastAsia="lt-LT"/>
        </w:rPr>
        <w:t xml:space="preserve"> </w:t>
      </w:r>
      <w:r w:rsidRPr="00252EE7">
        <w:rPr>
          <w:rFonts w:eastAsia="TimesNewRomanPSMT"/>
          <w:lang w:eastAsia="lt-LT"/>
        </w:rPr>
        <w:t>integruoto tarifo kodų sąrašo patvirtinimo“.</w:t>
      </w:r>
      <w:r>
        <w:rPr>
          <w:rFonts w:eastAsia="TimesNewRomanPSMT"/>
          <w:lang w:eastAsia="lt-LT"/>
        </w:rPr>
        <w:t xml:space="preserve"> </w:t>
      </w:r>
      <w:r w:rsidRPr="00252EE7">
        <w:rPr>
          <w:rFonts w:eastAsia="TimesNewRomanPSMT"/>
          <w:lang w:eastAsia="lt-LT"/>
        </w:rPr>
        <w:t>Muitinės laboratorijoje gauti tyrimo rezultatai rodo, kad tyrimui pateikto vaisių vyno</w:t>
      </w:r>
      <w:r>
        <w:rPr>
          <w:rFonts w:eastAsia="TimesNewRomanPSMT"/>
          <w:lang w:eastAsia="lt-LT"/>
        </w:rPr>
        <w:t xml:space="preserve"> </w:t>
      </w:r>
      <w:r w:rsidRPr="00252EE7">
        <w:rPr>
          <w:rFonts w:eastAsia="TimesNewRomanPSMT"/>
          <w:lang w:eastAsia="lt-LT"/>
        </w:rPr>
        <w:t xml:space="preserve">„Monikutės vasara“ sudėtyje esantis etilo alkoholis nėra visiškai </w:t>
      </w:r>
      <w:r>
        <w:rPr>
          <w:rFonts w:eastAsia="TimesNewRomanPSMT"/>
          <w:lang w:eastAsia="lt-LT"/>
        </w:rPr>
        <w:t xml:space="preserve"> f</w:t>
      </w:r>
      <w:r w:rsidRPr="00252EE7">
        <w:rPr>
          <w:rFonts w:eastAsia="TimesNewRomanPSMT"/>
          <w:lang w:eastAsia="lt-LT"/>
        </w:rPr>
        <w:t>ermentuotos kilmės - į jį pridėta</w:t>
      </w:r>
      <w:r>
        <w:rPr>
          <w:rFonts w:eastAsia="TimesNewRomanPSMT"/>
          <w:lang w:eastAsia="lt-LT"/>
        </w:rPr>
        <w:t xml:space="preserve"> </w:t>
      </w:r>
      <w:r w:rsidRPr="00252EE7">
        <w:rPr>
          <w:rFonts w:eastAsia="TimesNewRomanPSMT"/>
          <w:lang w:eastAsia="lt-LT"/>
        </w:rPr>
        <w:t>alkoholio.</w:t>
      </w:r>
      <w:r>
        <w:rPr>
          <w:rFonts w:eastAsia="TimesNewRomanPSMT"/>
          <w:lang w:eastAsia="lt-LT"/>
        </w:rPr>
        <w:t xml:space="preserve"> </w:t>
      </w:r>
      <w:r w:rsidRPr="00252EE7">
        <w:rPr>
          <w:rFonts w:eastAsia="TimesNewRomanPSMT"/>
          <w:lang w:eastAsia="lt-LT"/>
        </w:rPr>
        <w:t xml:space="preserve">Fermentuoti gėrimai, išskyrus alų ir vynus iš šviežių </w:t>
      </w:r>
      <w:r>
        <w:rPr>
          <w:rFonts w:eastAsia="TimesNewRomanPSMT"/>
          <w:lang w:eastAsia="lt-LT"/>
        </w:rPr>
        <w:t xml:space="preserve"> v</w:t>
      </w:r>
      <w:r w:rsidRPr="00252EE7">
        <w:rPr>
          <w:rFonts w:eastAsia="TimesNewRomanPSMT"/>
          <w:lang w:eastAsia="lt-LT"/>
        </w:rPr>
        <w:t>ynuogių, yra skiriami į HS 2206</w:t>
      </w:r>
      <w:r>
        <w:rPr>
          <w:rFonts w:eastAsia="TimesNewRomanPSMT"/>
          <w:lang w:eastAsia="lt-LT"/>
        </w:rPr>
        <w:t xml:space="preserve"> </w:t>
      </w:r>
      <w:r w:rsidRPr="00252EE7">
        <w:rPr>
          <w:rFonts w:eastAsia="TimesNewRomanPSMT"/>
          <w:lang w:eastAsia="lt-LT"/>
        </w:rPr>
        <w:t>po</w:t>
      </w:r>
      <w:r>
        <w:rPr>
          <w:rFonts w:eastAsia="TimesNewRomanPSMT"/>
          <w:lang w:eastAsia="lt-LT"/>
        </w:rPr>
        <w:t>zicija</w:t>
      </w:r>
      <w:r w:rsidRPr="00252EE7">
        <w:rPr>
          <w:rFonts w:eastAsia="TimesNewRomanPSMT"/>
          <w:lang w:eastAsia="lt-LT"/>
        </w:rPr>
        <w:t xml:space="preserve">. Šie gėrimai gali būti pastiprinti pridėjus alkoholio (SS </w:t>
      </w:r>
      <w:r>
        <w:rPr>
          <w:rFonts w:eastAsia="TimesNewRomanPSMT"/>
          <w:lang w:eastAsia="lt-LT"/>
        </w:rPr>
        <w:t xml:space="preserve"> p</w:t>
      </w:r>
      <w:r w:rsidRPr="00252EE7">
        <w:rPr>
          <w:rFonts w:eastAsia="TimesNewRomanPSMT"/>
          <w:lang w:eastAsia="lt-LT"/>
        </w:rPr>
        <w:t>aaiškinimų 2206 pozicijos</w:t>
      </w:r>
      <w:r>
        <w:rPr>
          <w:rFonts w:eastAsia="TimesNewRomanPSMT"/>
          <w:lang w:eastAsia="lt-LT"/>
        </w:rPr>
        <w:t xml:space="preserve"> </w:t>
      </w:r>
      <w:r w:rsidRPr="00252EE7">
        <w:rPr>
          <w:rFonts w:eastAsia="TimesNewRomanPSMT"/>
          <w:lang w:eastAsia="lt-LT"/>
        </w:rPr>
        <w:t>paaiškinimai (HSENs, 2012).</w:t>
      </w:r>
      <w:r>
        <w:rPr>
          <w:rFonts w:eastAsia="TimesNewRomanPSMT"/>
          <w:lang w:eastAsia="lt-LT"/>
        </w:rPr>
        <w:t xml:space="preserve">  </w:t>
      </w:r>
      <w:r w:rsidRPr="00252EE7">
        <w:rPr>
          <w:rFonts w:eastAsia="TimesNewRomanPSMT"/>
          <w:lang w:eastAsia="lt-LT"/>
        </w:rPr>
        <w:t>Tyrimui pateikto nepmojančio, vaisių vyno „Monikutės vasara“, esančio induose, kurių</w:t>
      </w:r>
      <w:r>
        <w:rPr>
          <w:rFonts w:eastAsia="TimesNewRomanPSMT"/>
          <w:lang w:eastAsia="lt-LT"/>
        </w:rPr>
        <w:t xml:space="preserve"> </w:t>
      </w:r>
      <w:r w:rsidRPr="00252EE7">
        <w:rPr>
          <w:rFonts w:eastAsia="TimesNewRomanPSMT"/>
          <w:lang w:eastAsia="lt-LT"/>
        </w:rPr>
        <w:t>talpa ne didesnė kaip 2 litrai</w:t>
      </w:r>
      <w:r>
        <w:rPr>
          <w:rFonts w:eastAsia="TimesNewRomanPSMT"/>
          <w:lang w:eastAsia="lt-LT"/>
        </w:rPr>
        <w:t xml:space="preserve">, </w:t>
      </w:r>
      <w:r w:rsidRPr="00714125">
        <w:rPr>
          <w:rFonts w:eastAsia="TimesNewRomanPSMT"/>
          <w:lang w:eastAsia="lt-LT"/>
        </w:rPr>
        <w:t xml:space="preserve">KN kodas 2206 00 59, </w:t>
      </w:r>
      <w:r>
        <w:rPr>
          <w:rFonts w:eastAsia="TimesNewRomanPSMT"/>
          <w:lang w:eastAsia="lt-LT"/>
        </w:rPr>
        <w:t xml:space="preserve"> T</w:t>
      </w:r>
      <w:r w:rsidRPr="00714125">
        <w:rPr>
          <w:rFonts w:eastAsia="TimesNewRomanPSMT"/>
          <w:lang w:eastAsia="lt-LT"/>
        </w:rPr>
        <w:t>ARIC kodas 2206 00 59 00, nacionalinis</w:t>
      </w:r>
      <w:r>
        <w:rPr>
          <w:rFonts w:eastAsia="TimesNewRomanPSMT"/>
          <w:lang w:eastAsia="lt-LT"/>
        </w:rPr>
        <w:t xml:space="preserve"> papildomas kodas X106.</w:t>
      </w:r>
    </w:p>
    <w:p w:rsidR="00E80028" w:rsidRPr="00B2711B" w:rsidRDefault="00E80028" w:rsidP="00E80028">
      <w:pPr>
        <w:autoSpaceDE w:val="0"/>
        <w:autoSpaceDN w:val="0"/>
        <w:adjustRightInd w:val="0"/>
        <w:ind w:firstLine="720"/>
        <w:jc w:val="both"/>
        <w:rPr>
          <w:rFonts w:eastAsia="TimesNewRomanPSMT"/>
          <w:lang w:eastAsia="lt-LT"/>
        </w:rPr>
      </w:pPr>
      <w:r w:rsidRPr="00B2711B">
        <w:rPr>
          <w:rFonts w:eastAsia="TimesNewRomanPSMT"/>
          <w:lang w:eastAsia="lt-LT"/>
        </w:rPr>
        <w:t xml:space="preserve">Specialios technologijos vaisių vynas </w:t>
      </w:r>
      <w:r w:rsidRPr="00B2711B">
        <w:rPr>
          <w:rFonts w:eastAsia="TimesNewRomanPSMT"/>
          <w:b/>
          <w:lang w:eastAsia="lt-LT"/>
        </w:rPr>
        <w:t>„Monikutės naktys“</w:t>
      </w:r>
      <w:r w:rsidRPr="00B2711B">
        <w:rPr>
          <w:rFonts w:eastAsia="TimesNewRomanPSMT"/>
          <w:lang w:eastAsia="lt-LT"/>
        </w:rPr>
        <w:t>, brūkšninis</w:t>
      </w:r>
      <w:r>
        <w:rPr>
          <w:rFonts w:eastAsia="TimesNewRomanPSMT"/>
          <w:lang w:eastAsia="lt-LT"/>
        </w:rPr>
        <w:t xml:space="preserve"> </w:t>
      </w:r>
      <w:r w:rsidRPr="00B2711B">
        <w:rPr>
          <w:rFonts w:eastAsia="TimesNewRomanPSMT"/>
          <w:lang w:eastAsia="lt-LT"/>
        </w:rPr>
        <w:t>kodas 4770153226751.</w:t>
      </w:r>
    </w:p>
    <w:p w:rsidR="00E80028" w:rsidRPr="00B2711B" w:rsidRDefault="00E80028" w:rsidP="00E80028">
      <w:pPr>
        <w:autoSpaceDE w:val="0"/>
        <w:autoSpaceDN w:val="0"/>
        <w:adjustRightInd w:val="0"/>
        <w:jc w:val="both"/>
        <w:rPr>
          <w:rFonts w:eastAsia="TimesNewRomanPSMT"/>
          <w:lang w:eastAsia="lt-LT"/>
        </w:rPr>
      </w:pPr>
      <w:r w:rsidRPr="00B2711B">
        <w:rPr>
          <w:rFonts w:eastAsia="TimesNewRomanPSMT"/>
          <w:lang w:eastAsia="lt-LT"/>
        </w:rPr>
        <w:t>Tamsiai raudonos spalvos, skaidrus skystis, pateiktas žalios spalvos</w:t>
      </w:r>
      <w:r>
        <w:rPr>
          <w:rFonts w:eastAsia="TimesNewRomanPSMT"/>
          <w:lang w:eastAsia="lt-LT"/>
        </w:rPr>
        <w:t xml:space="preserve"> </w:t>
      </w:r>
      <w:r w:rsidRPr="00B2711B">
        <w:rPr>
          <w:rFonts w:eastAsia="TimesNewRomanPSMT"/>
          <w:lang w:eastAsia="lt-LT"/>
        </w:rPr>
        <w:t>plastikiniame butelyje,</w:t>
      </w:r>
      <w:r>
        <w:rPr>
          <w:rFonts w:eastAsia="TimesNewRomanPSMT"/>
          <w:lang w:eastAsia="lt-LT"/>
        </w:rPr>
        <w:t xml:space="preserve"> u</w:t>
      </w:r>
      <w:r w:rsidRPr="00B2711B">
        <w:rPr>
          <w:rFonts w:eastAsia="TimesNewRomanPSMT"/>
          <w:lang w:eastAsia="lt-LT"/>
        </w:rPr>
        <w:t>ždarytame užsukamu plastikiniu gaubtuku ant</w:t>
      </w:r>
      <w:r>
        <w:rPr>
          <w:rFonts w:eastAsia="TimesNewRomanPSMT"/>
          <w:lang w:eastAsia="lt-LT"/>
        </w:rPr>
        <w:t xml:space="preserve"> </w:t>
      </w:r>
      <w:r w:rsidRPr="00B2711B">
        <w:rPr>
          <w:rFonts w:eastAsia="TimesNewRomanPSMT"/>
          <w:lang w:eastAsia="lt-LT"/>
        </w:rPr>
        <w:t>kurio užklijuota banderolė AVG LIM 578613. Butelio uždarymas</w:t>
      </w:r>
      <w:r>
        <w:rPr>
          <w:rFonts w:eastAsia="TimesNewRomanPSMT"/>
          <w:lang w:eastAsia="lt-LT"/>
        </w:rPr>
        <w:t xml:space="preserve"> </w:t>
      </w:r>
      <w:r w:rsidRPr="00B2711B">
        <w:rPr>
          <w:rFonts w:eastAsia="TimesNewRomanPSMT"/>
          <w:lang w:eastAsia="lt-LT"/>
        </w:rPr>
        <w:t>nepažeistas. Ant butelio kaklelio yra užrašas L 28,11.2013, užklijuotoje</w:t>
      </w:r>
      <w:r>
        <w:rPr>
          <w:rFonts w:eastAsia="TimesNewRomanPSMT"/>
          <w:lang w:eastAsia="lt-LT"/>
        </w:rPr>
        <w:t xml:space="preserve"> </w:t>
      </w:r>
      <w:r w:rsidRPr="00B2711B">
        <w:rPr>
          <w:rFonts w:eastAsia="TimesNewRomanPSMT"/>
          <w:lang w:eastAsia="lt-LT"/>
        </w:rPr>
        <w:t>etiketėje nurodyta alkoholio kone. (18 % tūrio), talpa (0,5 1), laikymo</w:t>
      </w:r>
      <w:r>
        <w:rPr>
          <w:rFonts w:eastAsia="TimesNewRomanPSMT"/>
          <w:lang w:eastAsia="lt-LT"/>
        </w:rPr>
        <w:t xml:space="preserve"> </w:t>
      </w:r>
      <w:r w:rsidRPr="00B2711B">
        <w:rPr>
          <w:rFonts w:eastAsia="TimesNewRomanPSMT"/>
          <w:lang w:eastAsia="lt-LT"/>
        </w:rPr>
        <w:t xml:space="preserve">sąlygos (nuo 8°C iki 25°C), pagaminta: </w:t>
      </w:r>
      <w:r w:rsidRPr="00B2711B">
        <w:rPr>
          <w:rFonts w:eastAsia="TimesNewRomanPSMT"/>
          <w:b/>
          <w:lang w:eastAsia="lt-LT"/>
        </w:rPr>
        <w:t>AB  „Anykščių vynas“</w:t>
      </w:r>
      <w:r>
        <w:rPr>
          <w:rFonts w:eastAsia="TimesNewRomanPSMT"/>
          <w:b/>
          <w:lang w:eastAsia="lt-LT"/>
        </w:rPr>
        <w:t xml:space="preserve">. </w:t>
      </w:r>
      <w:r w:rsidRPr="00B2711B">
        <w:rPr>
          <w:rFonts w:eastAsia="TimesNewRomanPSMT"/>
          <w:lang w:eastAsia="lt-LT"/>
        </w:rPr>
        <w:t xml:space="preserve">Ištirta etilo alkoholio koncentracija (17,86 </w:t>
      </w:r>
      <w:r w:rsidRPr="00B2711B">
        <w:rPr>
          <w:rFonts w:eastAsia="TimesNewRomanPSMT"/>
          <w:i/>
          <w:iCs/>
          <w:lang w:eastAsia="lt-LT"/>
        </w:rPr>
        <w:t xml:space="preserve">% </w:t>
      </w:r>
      <w:r w:rsidRPr="00B2711B">
        <w:rPr>
          <w:rFonts w:eastAsia="TimesNewRomanPSMT"/>
          <w:lang w:eastAsia="lt-LT"/>
        </w:rPr>
        <w:t>tūrio), nuokrypių (± 1,0 % tūrio) ribose</w:t>
      </w:r>
      <w:r>
        <w:rPr>
          <w:rFonts w:eastAsia="TimesNewRomanPSMT"/>
          <w:lang w:eastAsia="lt-LT"/>
        </w:rPr>
        <w:t xml:space="preserve"> </w:t>
      </w:r>
      <w:r w:rsidRPr="00B2711B">
        <w:rPr>
          <w:rFonts w:eastAsia="TimesNewRomanPSMT"/>
          <w:lang w:eastAsia="lt-LT"/>
        </w:rPr>
        <w:t xml:space="preserve">(ŽŪM 2004 m, gruodžio 29 d. įsakymas Nr. 3D-687) atitinka vaisių vyno </w:t>
      </w:r>
      <w:r w:rsidRPr="00BC0F9D">
        <w:rPr>
          <w:rFonts w:eastAsia="TimesNewRomanPSMT"/>
          <w:b/>
          <w:lang w:eastAsia="lt-LT"/>
        </w:rPr>
        <w:t>„Monikutės naktys“</w:t>
      </w:r>
    </w:p>
    <w:p w:rsidR="00E80028" w:rsidRPr="00B2711B" w:rsidRDefault="00E80028" w:rsidP="00E80028">
      <w:pPr>
        <w:autoSpaceDE w:val="0"/>
        <w:autoSpaceDN w:val="0"/>
        <w:adjustRightInd w:val="0"/>
        <w:jc w:val="both"/>
        <w:rPr>
          <w:rFonts w:eastAsia="TimesNewRomanPSMT"/>
          <w:lang w:eastAsia="lt-LT"/>
        </w:rPr>
      </w:pPr>
      <w:r w:rsidRPr="00B2711B">
        <w:rPr>
          <w:rFonts w:eastAsia="TimesNewRomanPSMT"/>
          <w:lang w:eastAsia="lt-LT"/>
        </w:rPr>
        <w:t>etiketėje nurodytą 18 % tūrio etilo alkoholio koncentraciją.</w:t>
      </w:r>
      <w:r>
        <w:rPr>
          <w:rFonts w:eastAsia="TimesNewRomanPSMT"/>
          <w:lang w:eastAsia="lt-LT"/>
        </w:rPr>
        <w:t xml:space="preserve"> </w:t>
      </w:r>
      <w:r w:rsidRPr="00B2711B">
        <w:rPr>
          <w:rFonts w:eastAsia="TimesNewRomanPSMT"/>
          <w:lang w:eastAsia="lt-LT"/>
        </w:rPr>
        <w:t>Kombinuotosios nomenklatūros (KN) kodas nustatytas vadovaujantis Komisijos</w:t>
      </w:r>
      <w:r>
        <w:rPr>
          <w:rFonts w:eastAsia="TimesNewRomanPSMT"/>
          <w:lang w:eastAsia="lt-LT"/>
        </w:rPr>
        <w:t xml:space="preserve"> </w:t>
      </w:r>
      <w:r w:rsidRPr="00B2711B">
        <w:rPr>
          <w:rFonts w:eastAsia="TimesNewRomanPSMT"/>
          <w:lang w:eastAsia="lt-LT"/>
        </w:rPr>
        <w:t xml:space="preserve">įgyvendinimo reglamentu (ES) Nr. </w:t>
      </w:r>
      <w:r w:rsidRPr="00B2711B">
        <w:rPr>
          <w:rFonts w:eastAsia="TimesNewRomanPSMT"/>
          <w:lang w:eastAsia="lt-LT"/>
        </w:rPr>
        <w:lastRenderedPageBreak/>
        <w:t>1001/2013, kuriuo iš dalies keičiamas Tarybos reglamento</w:t>
      </w:r>
      <w:r>
        <w:rPr>
          <w:rFonts w:eastAsia="TimesNewRomanPSMT"/>
          <w:lang w:eastAsia="lt-LT"/>
        </w:rPr>
        <w:t xml:space="preserve"> </w:t>
      </w:r>
      <w:r w:rsidRPr="00B2711B">
        <w:rPr>
          <w:rFonts w:eastAsia="TimesNewRomanPSMT"/>
          <w:lang w:eastAsia="lt-LT"/>
        </w:rPr>
        <w:t>(EEB) Nr. 2658/87 dėl tarifų ir statistinės nomenklatūros bei dėl Bendrojo muitų tarifo I priedas</w:t>
      </w:r>
      <w:r>
        <w:rPr>
          <w:rFonts w:eastAsia="TimesNewRomanPSMT"/>
          <w:lang w:eastAsia="lt-LT"/>
        </w:rPr>
        <w:t xml:space="preserve"> </w:t>
      </w:r>
      <w:r w:rsidRPr="00B2711B">
        <w:rPr>
          <w:rFonts w:eastAsia="TimesNewRomanPSMT"/>
          <w:lang w:eastAsia="lt-LT"/>
        </w:rPr>
        <w:t>(KN, 2014), bendrosiomis KN aiškinimo taisyklėmis, skyrių, skirsnių ir subpozicijų pastabomis,</w:t>
      </w:r>
      <w:r>
        <w:rPr>
          <w:rFonts w:eastAsia="TimesNewRomanPSMT"/>
          <w:lang w:eastAsia="lt-LT"/>
        </w:rPr>
        <w:t xml:space="preserve"> </w:t>
      </w:r>
      <w:r w:rsidRPr="00B2711B">
        <w:rPr>
          <w:rFonts w:eastAsia="TimesNewRomanPSMT"/>
          <w:lang w:eastAsia="lt-LT"/>
        </w:rPr>
        <w:t xml:space="preserve">pozicijų ir subpozicijų pavadinimais, Suderintos prekių aprašymo ir </w:t>
      </w:r>
      <w:r>
        <w:rPr>
          <w:rFonts w:eastAsia="TimesNewRomanPSMT"/>
          <w:lang w:eastAsia="lt-LT"/>
        </w:rPr>
        <w:t xml:space="preserve"> k</w:t>
      </w:r>
      <w:r w:rsidRPr="00B2711B">
        <w:rPr>
          <w:rFonts w:eastAsia="TimesNewRomanPSMT"/>
          <w:lang w:eastAsia="lt-LT"/>
        </w:rPr>
        <w:t>odavimo sistemos</w:t>
      </w:r>
      <w:r>
        <w:rPr>
          <w:rFonts w:eastAsia="TimesNewRomanPSMT"/>
          <w:lang w:eastAsia="lt-LT"/>
        </w:rPr>
        <w:t xml:space="preserve"> </w:t>
      </w:r>
      <w:r w:rsidRPr="00B2711B">
        <w:rPr>
          <w:rFonts w:eastAsia="TimesNewRomanPSMT"/>
          <w:lang w:eastAsia="lt-LT"/>
        </w:rPr>
        <w:t>paaiškinimais (HSENs, 2012), Kombinuotosios nomenklatūros paaiškinimais (OL C 137/01,2011).</w:t>
      </w:r>
      <w:r>
        <w:rPr>
          <w:rFonts w:eastAsia="TimesNewRomanPSMT"/>
          <w:lang w:eastAsia="lt-LT"/>
        </w:rPr>
        <w:t xml:space="preserve"> </w:t>
      </w:r>
      <w:r w:rsidRPr="00B2711B">
        <w:rPr>
          <w:rFonts w:eastAsia="TimesNewRomanPSMT"/>
          <w:lang w:eastAsia="lt-LT"/>
        </w:rPr>
        <w:t>Nacionalinis papildomas kodas nustatytas vadovaujantis Lietuvos Respublikos akcizų</w:t>
      </w:r>
    </w:p>
    <w:p w:rsidR="00E80028" w:rsidRPr="00B2711B" w:rsidRDefault="00E80028" w:rsidP="00E80028">
      <w:pPr>
        <w:autoSpaceDE w:val="0"/>
        <w:autoSpaceDN w:val="0"/>
        <w:adjustRightInd w:val="0"/>
        <w:jc w:val="both"/>
        <w:rPr>
          <w:rFonts w:eastAsia="TimesNewRomanPSMT"/>
          <w:lang w:eastAsia="lt-LT"/>
        </w:rPr>
      </w:pPr>
      <w:r w:rsidRPr="00B2711B">
        <w:rPr>
          <w:rFonts w:eastAsia="TimesNewRomanPSMT"/>
          <w:lang w:eastAsia="lt-LT"/>
        </w:rPr>
        <w:t>įstatymu (2010 m. balandžio 1 d. įstatymo Nr. 722 redakcija) bei Muitinės departamento generalinio</w:t>
      </w:r>
    </w:p>
    <w:p w:rsidR="00E80028" w:rsidRPr="00B2711B" w:rsidRDefault="00E80028" w:rsidP="00E80028">
      <w:pPr>
        <w:autoSpaceDE w:val="0"/>
        <w:autoSpaceDN w:val="0"/>
        <w:adjustRightInd w:val="0"/>
        <w:jc w:val="both"/>
        <w:rPr>
          <w:rFonts w:eastAsia="TimesNewRomanPSMT"/>
          <w:lang w:eastAsia="lt-LT"/>
        </w:rPr>
      </w:pPr>
      <w:r w:rsidRPr="00B2711B">
        <w:rPr>
          <w:rFonts w:eastAsia="TimesNewRomanPSMT"/>
          <w:lang w:eastAsia="lt-LT"/>
        </w:rPr>
        <w:t>direktoriaus 2007-03-29 įsakymu Nr. IB-240 Dėl Nacionalinių papildomų Lietuvos Respublikos</w:t>
      </w:r>
      <w:r>
        <w:rPr>
          <w:rFonts w:eastAsia="TimesNewRomanPSMT"/>
          <w:lang w:eastAsia="lt-LT"/>
        </w:rPr>
        <w:t xml:space="preserve"> </w:t>
      </w:r>
      <w:r w:rsidRPr="00B2711B">
        <w:rPr>
          <w:rFonts w:eastAsia="TimesNewRomanPSMT"/>
          <w:lang w:eastAsia="lt-LT"/>
        </w:rPr>
        <w:t>integruoto</w:t>
      </w:r>
      <w:r>
        <w:rPr>
          <w:rFonts w:eastAsia="TimesNewRomanPSMT"/>
          <w:lang w:eastAsia="lt-LT"/>
        </w:rPr>
        <w:t xml:space="preserve"> tarifo kodų sąrašo patvirtinim</w:t>
      </w:r>
      <w:r w:rsidRPr="00B2711B">
        <w:rPr>
          <w:rFonts w:eastAsia="TimesNewRomanPSMT"/>
          <w:lang w:eastAsia="lt-LT"/>
        </w:rPr>
        <w:t>o“.</w:t>
      </w:r>
      <w:r>
        <w:rPr>
          <w:rFonts w:eastAsia="TimesNewRomanPSMT"/>
          <w:lang w:eastAsia="lt-LT"/>
        </w:rPr>
        <w:t xml:space="preserve"> </w:t>
      </w:r>
      <w:r w:rsidRPr="00B2711B">
        <w:rPr>
          <w:rFonts w:eastAsia="TimesNewRomanPSMT"/>
          <w:lang w:eastAsia="lt-LT"/>
        </w:rPr>
        <w:t>Muitinės laboratorijoje gauti tyrimo rezultatai rodo, kad tyrimui pateikto vaisių vyno</w:t>
      </w:r>
      <w:r>
        <w:rPr>
          <w:rFonts w:eastAsia="TimesNewRomanPSMT"/>
          <w:lang w:eastAsia="lt-LT"/>
        </w:rPr>
        <w:t xml:space="preserve"> </w:t>
      </w:r>
      <w:r w:rsidRPr="00BC0F9D">
        <w:rPr>
          <w:rFonts w:eastAsia="TimesNewRomanPSMT"/>
          <w:b/>
          <w:lang w:eastAsia="lt-LT"/>
        </w:rPr>
        <w:t>„Monikutės naktys</w:t>
      </w:r>
      <w:r>
        <w:rPr>
          <w:rFonts w:eastAsia="TimesNewRomanPSMT"/>
          <w:lang w:eastAsia="lt-LT"/>
        </w:rPr>
        <w:t>“</w:t>
      </w:r>
      <w:r w:rsidRPr="00B2711B">
        <w:rPr>
          <w:rFonts w:eastAsia="TimesNewRomanPSMT"/>
          <w:lang w:eastAsia="lt-LT"/>
        </w:rPr>
        <w:t xml:space="preserve"> sudėtyje esantis etilo alkoholis nėra visiškai fermentuotos kilmės — į jį pridėta</w:t>
      </w:r>
      <w:r>
        <w:rPr>
          <w:rFonts w:eastAsia="TimesNewRomanPSMT"/>
          <w:lang w:eastAsia="lt-LT"/>
        </w:rPr>
        <w:t xml:space="preserve"> </w:t>
      </w:r>
      <w:r w:rsidRPr="00B2711B">
        <w:rPr>
          <w:rFonts w:eastAsia="TimesNewRomanPSMT"/>
          <w:lang w:eastAsia="lt-LT"/>
        </w:rPr>
        <w:t>alkoholio.</w:t>
      </w:r>
      <w:r>
        <w:rPr>
          <w:rFonts w:eastAsia="TimesNewRomanPSMT"/>
          <w:lang w:eastAsia="lt-LT"/>
        </w:rPr>
        <w:t xml:space="preserve"> Ferm</w:t>
      </w:r>
      <w:r w:rsidRPr="00B2711B">
        <w:rPr>
          <w:rFonts w:eastAsia="TimesNewRomanPSMT"/>
          <w:lang w:eastAsia="lt-LT"/>
        </w:rPr>
        <w:t>entuoti gėrimai, išskyrus alų ir vynus iš šviežių vynuogių, yra skiriami į HS 2206</w:t>
      </w:r>
      <w:r>
        <w:rPr>
          <w:rFonts w:eastAsia="TimesNewRomanPSMT"/>
          <w:lang w:eastAsia="lt-LT"/>
        </w:rPr>
        <w:t xml:space="preserve"> </w:t>
      </w:r>
      <w:r w:rsidRPr="00B2711B">
        <w:rPr>
          <w:rFonts w:eastAsia="TimesNewRomanPSMT"/>
          <w:lang w:eastAsia="lt-LT"/>
        </w:rPr>
        <w:t>poziciją. Šie gėrimai gali būti pastiprinti pridėjus alkoholio (SS paaiškinimų 2206 pozicijos</w:t>
      </w:r>
      <w:r>
        <w:rPr>
          <w:rFonts w:eastAsia="TimesNewRomanPSMT"/>
          <w:lang w:eastAsia="lt-LT"/>
        </w:rPr>
        <w:t xml:space="preserve"> </w:t>
      </w:r>
      <w:r w:rsidRPr="00B2711B">
        <w:rPr>
          <w:rFonts w:eastAsia="TimesNewRomanPSMT"/>
          <w:lang w:eastAsia="lt-LT"/>
        </w:rPr>
        <w:t>paaiškinimai (HSENs, 2012).</w:t>
      </w:r>
      <w:r>
        <w:rPr>
          <w:rFonts w:eastAsia="TimesNewRomanPSMT"/>
          <w:lang w:eastAsia="lt-LT"/>
        </w:rPr>
        <w:t xml:space="preserve"> </w:t>
      </w:r>
      <w:r w:rsidRPr="00B2711B">
        <w:rPr>
          <w:rFonts w:eastAsia="TimesNewRomanPSMT"/>
          <w:lang w:eastAsia="lt-LT"/>
        </w:rPr>
        <w:t>Tyrimui pateikto neputojančio, vaisių vyno „Monikutės naktys“, esančio induose, kurių</w:t>
      </w:r>
      <w:r>
        <w:rPr>
          <w:rFonts w:eastAsia="TimesNewRomanPSMT"/>
          <w:lang w:eastAsia="lt-LT"/>
        </w:rPr>
        <w:t xml:space="preserve"> talpa ne didesnė kaip 2 li</w:t>
      </w:r>
      <w:r w:rsidRPr="00B2711B">
        <w:rPr>
          <w:rFonts w:eastAsia="TimesNewRomanPSMT"/>
          <w:lang w:eastAsia="lt-LT"/>
        </w:rPr>
        <w:t>trai, KN kodas 2206 00 59, TARIC kodas 2206 00 59 00, nacionalinis</w:t>
      </w:r>
      <w:r>
        <w:rPr>
          <w:rFonts w:eastAsia="TimesNewRomanPSMT"/>
          <w:lang w:eastAsia="lt-LT"/>
        </w:rPr>
        <w:t xml:space="preserve"> </w:t>
      </w:r>
      <w:r w:rsidRPr="00B2711B">
        <w:rPr>
          <w:rFonts w:eastAsia="TimesNewRomanPSMT"/>
          <w:lang w:eastAsia="lt-LT"/>
        </w:rPr>
        <w:t>papi</w:t>
      </w:r>
      <w:r>
        <w:rPr>
          <w:rFonts w:eastAsia="TimesNewRomanPSMT"/>
          <w:lang w:eastAsia="lt-LT"/>
        </w:rPr>
        <w:t>ldomas kodas X106.</w:t>
      </w:r>
    </w:p>
    <w:p w:rsidR="00E80028" w:rsidRDefault="00E80028" w:rsidP="00E80028">
      <w:pPr>
        <w:jc w:val="both"/>
        <w:rPr>
          <w:bCs/>
        </w:rPr>
      </w:pPr>
      <w:r>
        <w:rPr>
          <w:bCs/>
        </w:rPr>
        <w:tab/>
        <w:t>Tyrimo medžiaga prijungta prie atliekamo tyrimo dėl 2013- 2014 metais vykdomos alkoholio valstybinės kontrolės.</w:t>
      </w:r>
    </w:p>
    <w:p w:rsidR="00E80028" w:rsidRPr="00387E75" w:rsidRDefault="00E80028" w:rsidP="00E80028">
      <w:pPr>
        <w:jc w:val="both"/>
        <w:rPr>
          <w:bCs/>
        </w:rPr>
      </w:pPr>
    </w:p>
    <w:p w:rsidR="00E80028" w:rsidRPr="00387E75" w:rsidRDefault="00E80028" w:rsidP="00E80028">
      <w:pPr>
        <w:ind w:firstLine="720"/>
        <w:jc w:val="both"/>
      </w:pPr>
      <w:r w:rsidRPr="00387E75">
        <w:rPr>
          <w:b/>
        </w:rPr>
        <w:t>IV.</w:t>
      </w:r>
      <w:r w:rsidRPr="00387E75">
        <w:t xml:space="preserve"> Dėl </w:t>
      </w:r>
      <w:r>
        <w:t xml:space="preserve">alkoholio vartojimo poveikio neštumo metu ir alkoholio vartojimo prevencijos priemonių įgyvendinimo Lietuvoje. </w:t>
      </w:r>
    </w:p>
    <w:p w:rsidR="00E80028" w:rsidRDefault="00E80028" w:rsidP="00E80028">
      <w:pPr>
        <w:ind w:firstLine="720"/>
        <w:jc w:val="both"/>
      </w:pPr>
    </w:p>
    <w:p w:rsidR="00E80028" w:rsidRDefault="00E80028" w:rsidP="00E80028">
      <w:pPr>
        <w:pStyle w:val="Antrats"/>
        <w:ind w:firstLine="720"/>
        <w:jc w:val="both"/>
        <w:rPr>
          <w:szCs w:val="24"/>
        </w:rPr>
      </w:pPr>
      <w:r>
        <w:rPr>
          <w:szCs w:val="24"/>
        </w:rPr>
        <w:t>Komisija 2014</w:t>
      </w:r>
      <w:r w:rsidRPr="00387E75">
        <w:rPr>
          <w:szCs w:val="24"/>
        </w:rPr>
        <w:t xml:space="preserve"> m. b</w:t>
      </w:r>
      <w:r>
        <w:rPr>
          <w:szCs w:val="24"/>
        </w:rPr>
        <w:t>alandžio</w:t>
      </w:r>
      <w:r w:rsidRPr="00387E75">
        <w:rPr>
          <w:szCs w:val="24"/>
        </w:rPr>
        <w:t xml:space="preserve"> </w:t>
      </w:r>
      <w:r>
        <w:rPr>
          <w:szCs w:val="24"/>
        </w:rPr>
        <w:t>17</w:t>
      </w:r>
      <w:r w:rsidRPr="00387E75">
        <w:rPr>
          <w:szCs w:val="24"/>
        </w:rPr>
        <w:t xml:space="preserve"> d.</w:t>
      </w:r>
      <w:r w:rsidRPr="00387E75">
        <w:rPr>
          <w:b/>
          <w:szCs w:val="24"/>
        </w:rPr>
        <w:t xml:space="preserve"> </w:t>
      </w:r>
      <w:r w:rsidRPr="00A8481F">
        <w:rPr>
          <w:szCs w:val="24"/>
        </w:rPr>
        <w:t>raštu Nr. S-2014-3345 „Dėl</w:t>
      </w:r>
      <w:r>
        <w:rPr>
          <w:szCs w:val="24"/>
        </w:rPr>
        <w:t xml:space="preserve"> informacijos pateikimo“ kreipėsi į Narkotikų, tabako ir alkoholio kontrolės departamentą pateikti informaciją dėl vaisiaus alkoholinio sindromo. Komisija nurodė, kad vaisiaus alkoholinis sindromas (VAS) – sunkiausias alkoholio nulemtas vaisiaus raidos sutrikimas, todėl labai svarbu, kad alkoholis nebūtų vartojamas neštumo metu, o alkoholinių gėrimų gamintojai tinkamai informuotų vartotojus apie gaminamų produktų keliamą pavojų sveikatai. </w:t>
      </w:r>
    </w:p>
    <w:p w:rsidR="00E80028" w:rsidRDefault="00E80028" w:rsidP="00E80028">
      <w:pPr>
        <w:pStyle w:val="Antrats"/>
        <w:ind w:firstLine="720"/>
        <w:jc w:val="both"/>
        <w:rPr>
          <w:szCs w:val="24"/>
        </w:rPr>
      </w:pPr>
      <w:r>
        <w:rPr>
          <w:szCs w:val="24"/>
        </w:rPr>
        <w:t xml:space="preserve">Lietuvoje nuo 2005 metų kasmet didėja gimusių vaikų, kuriems užregistruotas VAS, skaičius. Privalomojo sveikatos draudimo informacinės sistemos SVEIDRA duomenimis,  2011 metais naujagimių su vaisiaus alkoholiniu sindromu (Q86.0), skaičius 7.  Asmenų, kuriems 2012 metais  asmens sveikatos priežiūros įstaigose užregistruotas vaisiaus alkoholinis sindromas (Q86.0), (tik stacionaro atvejai) iš viso buvo 40, kūdikių iki 1 metų – 6. </w:t>
      </w:r>
    </w:p>
    <w:p w:rsidR="00E80028" w:rsidRDefault="00E80028" w:rsidP="00E80028">
      <w:pPr>
        <w:pStyle w:val="Antrats"/>
        <w:ind w:firstLine="720"/>
        <w:jc w:val="both"/>
        <w:rPr>
          <w:szCs w:val="24"/>
        </w:rPr>
      </w:pPr>
      <w:r>
        <w:rPr>
          <w:szCs w:val="24"/>
        </w:rPr>
        <w:t>Komisija paprašė pateikti informaciją:</w:t>
      </w:r>
    </w:p>
    <w:p w:rsidR="00E80028" w:rsidRDefault="00E80028" w:rsidP="00E80028">
      <w:pPr>
        <w:pStyle w:val="Antrats"/>
        <w:numPr>
          <w:ilvl w:val="0"/>
          <w:numId w:val="71"/>
        </w:numPr>
        <w:tabs>
          <w:tab w:val="clear" w:pos="4320"/>
          <w:tab w:val="clear" w:pos="8640"/>
        </w:tabs>
        <w:jc w:val="both"/>
        <w:rPr>
          <w:szCs w:val="24"/>
        </w:rPr>
      </w:pPr>
      <w:r>
        <w:rPr>
          <w:szCs w:val="24"/>
        </w:rPr>
        <w:t>Kokių priemonių ėmėsi 2013-2014 metais Narkotikų, tabako ir alkoholio kontrolės departamentas (toliau – Departamentas), kad alkoholis nebūtų vartojamas neštumo metu ir kaip Departamentas informavo visuomenę apie alkoholinių gėrimų neštumo metu keliamą pavojų sveikatai.  Į kokias institucijas</w:t>
      </w:r>
      <w:r w:rsidRPr="002B412B">
        <w:rPr>
          <w:szCs w:val="24"/>
        </w:rPr>
        <w:t xml:space="preserve"> </w:t>
      </w:r>
      <w:r>
        <w:rPr>
          <w:szCs w:val="24"/>
        </w:rPr>
        <w:t xml:space="preserve">Narkotikų, tabako ir alkoholio kontrolės departamentas kreipėsi dėl bendrų priemonių vykdymo ir kokie gauti atsakymai. </w:t>
      </w:r>
    </w:p>
    <w:p w:rsidR="00E80028" w:rsidRDefault="00E80028" w:rsidP="00E80028">
      <w:pPr>
        <w:pStyle w:val="Antrats"/>
        <w:numPr>
          <w:ilvl w:val="0"/>
          <w:numId w:val="71"/>
        </w:numPr>
        <w:tabs>
          <w:tab w:val="clear" w:pos="4320"/>
          <w:tab w:val="clear" w:pos="8640"/>
        </w:tabs>
        <w:jc w:val="both"/>
        <w:rPr>
          <w:szCs w:val="24"/>
        </w:rPr>
      </w:pPr>
      <w:r>
        <w:rPr>
          <w:szCs w:val="24"/>
        </w:rPr>
        <w:t>Kokių priemonių</w:t>
      </w:r>
      <w:r w:rsidRPr="00DF2D69">
        <w:rPr>
          <w:szCs w:val="24"/>
        </w:rPr>
        <w:t xml:space="preserve"> </w:t>
      </w:r>
      <w:r>
        <w:rPr>
          <w:szCs w:val="24"/>
        </w:rPr>
        <w:t>numatoma imtis</w:t>
      </w:r>
      <w:r w:rsidRPr="00474571">
        <w:rPr>
          <w:szCs w:val="24"/>
        </w:rPr>
        <w:t xml:space="preserve"> </w:t>
      </w:r>
      <w:r>
        <w:rPr>
          <w:szCs w:val="24"/>
        </w:rPr>
        <w:t xml:space="preserve">Departamentas, kad sumažinti alkoholio vartojamą  neštumo metu ir kaip Lietuvos visuomenė bus  informuojama apie alkoholinių gėrimų neštumo metu keliamą pavojų sveikatai.  </w:t>
      </w:r>
    </w:p>
    <w:p w:rsidR="00E80028" w:rsidRDefault="00E80028" w:rsidP="00E80028">
      <w:pPr>
        <w:pStyle w:val="Antrats"/>
        <w:numPr>
          <w:ilvl w:val="0"/>
          <w:numId w:val="71"/>
        </w:numPr>
        <w:tabs>
          <w:tab w:val="clear" w:pos="4320"/>
          <w:tab w:val="clear" w:pos="8640"/>
        </w:tabs>
        <w:jc w:val="both"/>
        <w:rPr>
          <w:szCs w:val="24"/>
        </w:rPr>
      </w:pPr>
      <w:r>
        <w:rPr>
          <w:szCs w:val="24"/>
        </w:rPr>
        <w:t xml:space="preserve">Kokias priemones siūlytų Departamentas taikyti Lietuvoje, kad sumažinti gimusių vaikų, kuriems užregistruotas VAS, skaičių.  Kokios institucijos turėtų taikyti šias priemones. </w:t>
      </w:r>
    </w:p>
    <w:p w:rsidR="00E80028" w:rsidRDefault="00E80028" w:rsidP="00E80028">
      <w:pPr>
        <w:pStyle w:val="Antrats"/>
        <w:numPr>
          <w:ilvl w:val="0"/>
          <w:numId w:val="71"/>
        </w:numPr>
        <w:tabs>
          <w:tab w:val="clear" w:pos="4320"/>
          <w:tab w:val="clear" w:pos="8640"/>
        </w:tabs>
        <w:jc w:val="both"/>
        <w:rPr>
          <w:szCs w:val="24"/>
        </w:rPr>
      </w:pPr>
      <w:r>
        <w:rPr>
          <w:szCs w:val="24"/>
        </w:rPr>
        <w:t>Kodėl nėra notifikuotas dabartiniu metu galiojantis Lietuvos Respublikos Alkoholio kontrolės įstatymas.</w:t>
      </w:r>
    </w:p>
    <w:p w:rsidR="00E80028" w:rsidRDefault="00E80028" w:rsidP="00E80028">
      <w:pPr>
        <w:pStyle w:val="Antrats"/>
        <w:numPr>
          <w:ilvl w:val="0"/>
          <w:numId w:val="71"/>
        </w:numPr>
        <w:tabs>
          <w:tab w:val="clear" w:pos="4320"/>
          <w:tab w:val="clear" w:pos="8640"/>
        </w:tabs>
        <w:jc w:val="both"/>
        <w:rPr>
          <w:szCs w:val="24"/>
        </w:rPr>
      </w:pPr>
      <w:r>
        <w:rPr>
          <w:szCs w:val="24"/>
        </w:rPr>
        <w:lastRenderedPageBreak/>
        <w:t xml:space="preserve">Kokia nuomonė būtų dėl privalomo alkoholinių gėrimų etikečių žymėjimo Lietuvoje. </w:t>
      </w:r>
    </w:p>
    <w:p w:rsidR="00E80028" w:rsidRDefault="00E80028" w:rsidP="00E80028">
      <w:pPr>
        <w:pStyle w:val="Antrats"/>
        <w:ind w:left="1080"/>
        <w:jc w:val="both"/>
        <w:rPr>
          <w:szCs w:val="24"/>
        </w:rPr>
      </w:pPr>
    </w:p>
    <w:p w:rsidR="00E80028" w:rsidRDefault="00E80028" w:rsidP="00E80028">
      <w:pPr>
        <w:ind w:firstLine="720"/>
        <w:jc w:val="both"/>
      </w:pPr>
      <w:r>
        <w:t xml:space="preserve">Narkotikų, tabako ir alkoholio kontrolės departamentas 2014-05-12 raštu Nr. S-(4.3-8)-1878 „Dėl informacijos pateikimo“ atsakė, kad: </w:t>
      </w:r>
    </w:p>
    <w:p w:rsidR="00E80028" w:rsidRPr="003917E8" w:rsidRDefault="00E80028" w:rsidP="00E80028">
      <w:pPr>
        <w:autoSpaceDE w:val="0"/>
        <w:autoSpaceDN w:val="0"/>
        <w:adjustRightInd w:val="0"/>
        <w:ind w:firstLine="720"/>
        <w:jc w:val="both"/>
        <w:rPr>
          <w:rFonts w:ascii="TimesNewRomanPS-BoldMT" w:hAnsi="TimesNewRomanPS-BoldMT" w:cs="TimesNewRomanPS-BoldMT"/>
          <w:bCs/>
          <w:lang w:eastAsia="lt-LT"/>
        </w:rPr>
      </w:pPr>
      <w:r w:rsidRPr="003917E8">
        <w:rPr>
          <w:rFonts w:ascii="TimesNewRomanPS-BoldMT" w:hAnsi="TimesNewRomanPS-BoldMT" w:cs="TimesNewRomanPS-BoldMT"/>
          <w:bCs/>
          <w:lang w:eastAsia="lt-LT"/>
        </w:rPr>
        <w:t>1) 2013 m. Departamentas aktyviai informavo visuomenę apie neigiamą alkoholio vartojimo</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poveikį nėščiosios ir būsimo vaiko sveikatai bei bendradarbiaudamas su kitomis institucijomis,</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įstaigomis ir organizacijomis organizavo renginius, skirtus vaisiaus alkoholinio sindromo dienai</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paminėti.</w:t>
      </w:r>
    </w:p>
    <w:p w:rsidR="00E80028" w:rsidRDefault="00E80028" w:rsidP="00E80028">
      <w:pPr>
        <w:autoSpaceDE w:val="0"/>
        <w:autoSpaceDN w:val="0"/>
        <w:adjustRightInd w:val="0"/>
        <w:ind w:firstLine="720"/>
        <w:jc w:val="both"/>
        <w:rPr>
          <w:rFonts w:ascii="TimesNewRomanPS-BoldMT" w:hAnsi="TimesNewRomanPS-BoldMT" w:cs="TimesNewRomanPS-BoldMT"/>
          <w:bCs/>
          <w:lang w:eastAsia="lt-LT"/>
        </w:rPr>
      </w:pPr>
      <w:r w:rsidRPr="003917E8">
        <w:rPr>
          <w:rFonts w:ascii="TimesNewRomanPS-BoldMT" w:hAnsi="TimesNewRomanPS-BoldMT" w:cs="TimesNewRomanPS-BoldMT"/>
          <w:bCs/>
          <w:lang w:eastAsia="lt-LT"/>
        </w:rPr>
        <w:t>2013 m. Departamentas, bendradarbiaudamas su Vilniaus universiteto Medicinos fakultetu,</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Lietuvos medicinos studentų asociacija ir Lietuvos žmogaus genetikos draugija parengė</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informacinę medžiagą kuria siekiama informuoti visuomenę apie vaisiaus alkoholinį sindromą</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(toliau — VAS). Departamento lėšomis buvo atspausdinta 2000 vnt. atvirukų</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fhttp://ntakd.lt/files/VAS atvirukas.pdf) ir 1000 vnt. dviejų dydžių plakatų</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flittp://ntakd.lt/files/prevenciia/VAS plakatas.pdfl. taip pat Departamento lėšomis pagaminti šios</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dienos paminėjimui skirti marškinėliai (100 vnt.). Informacinė medžiaga dalinta 2013 m. rugsėjo 8-</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9 d. vykusių renginių, skirtų vaisiaus alkoholinio sindromo dienai paminėti, metu, perduota</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išplatinti Sveikatos mokymo ir ligų prevencijos centrui, Vilniaus visuomenės sveikatos biurui,</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Lietuvos medicinos studentų asociacijai ir kitoms įstaigoms, įkelta į Departamento interneto</w:t>
      </w:r>
      <w:r>
        <w:rPr>
          <w:rFonts w:ascii="TimesNewRomanPS-BoldMT" w:hAnsi="TimesNewRomanPS-BoldMT" w:cs="TimesNewRomanPS-BoldMT"/>
          <w:bCs/>
          <w:lang w:eastAsia="lt-LT"/>
        </w:rPr>
        <w:t xml:space="preserve"> </w:t>
      </w:r>
      <w:r w:rsidRPr="003917E8">
        <w:rPr>
          <w:rFonts w:ascii="TimesNewRomanPS-BoldMT" w:hAnsi="TimesNewRomanPS-BoldMT" w:cs="TimesNewRomanPS-BoldMT"/>
          <w:bCs/>
          <w:lang w:eastAsia="lt-LT"/>
        </w:rPr>
        <w:t>svetainę.</w:t>
      </w:r>
    </w:p>
    <w:p w:rsidR="00E80028" w:rsidRPr="00852455" w:rsidRDefault="00E80028" w:rsidP="00E80028">
      <w:pPr>
        <w:autoSpaceDE w:val="0"/>
        <w:autoSpaceDN w:val="0"/>
        <w:adjustRightInd w:val="0"/>
        <w:ind w:firstLine="720"/>
        <w:jc w:val="both"/>
        <w:rPr>
          <w:rFonts w:ascii="TimesNewRomanPS-BoldMT" w:hAnsi="TimesNewRomanPS-BoldMT" w:cs="TimesNewRomanPS-BoldMT"/>
          <w:bCs/>
          <w:lang w:eastAsia="lt-LT"/>
        </w:rPr>
      </w:pPr>
      <w:r w:rsidRPr="00852455">
        <w:rPr>
          <w:rFonts w:ascii="TimesNewRomanPS-BoldMT" w:hAnsi="TimesNewRomanPS-BoldMT" w:cs="TimesNewRomanPS-BoldMT"/>
          <w:bCs/>
          <w:lang w:eastAsia="lt-LT"/>
        </w:rPr>
        <w:t>2013 m. rugsėjo 8 d. kartu su Vilniaus universiteto Medicinos fakultetu, Lietuvos medicinos</w:t>
      </w:r>
    </w:p>
    <w:p w:rsidR="00E80028" w:rsidRPr="00852455" w:rsidRDefault="00E80028" w:rsidP="00E80028">
      <w:pPr>
        <w:autoSpaceDE w:val="0"/>
        <w:autoSpaceDN w:val="0"/>
        <w:adjustRightInd w:val="0"/>
        <w:jc w:val="both"/>
      </w:pPr>
      <w:r w:rsidRPr="00852455">
        <w:rPr>
          <w:rFonts w:ascii="TimesNewRomanPS-BoldMT" w:hAnsi="TimesNewRomanPS-BoldMT" w:cs="TimesNewRomanPS-BoldMT"/>
          <w:bCs/>
          <w:lang w:eastAsia="lt-LT"/>
        </w:rPr>
        <w:t>studentų asociacija ir Lietuvos žmogaus genetikos draugija organizuotas renginys Vaisiaus</w:t>
      </w:r>
      <w:r>
        <w:rPr>
          <w:rFonts w:ascii="TimesNewRomanPS-BoldMT" w:hAnsi="TimesNewRomanPS-BoldMT" w:cs="TimesNewRomanPS-BoldMT"/>
          <w:bCs/>
          <w:lang w:eastAsia="lt-LT"/>
        </w:rPr>
        <w:t xml:space="preserve"> </w:t>
      </w:r>
      <w:r w:rsidRPr="00852455">
        <w:rPr>
          <w:rFonts w:ascii="TimesNewRomanPS-BoldMT" w:hAnsi="TimesNewRomanPS-BoldMT" w:cs="TimesNewRomanPS-BoldMT"/>
          <w:bCs/>
          <w:lang w:eastAsia="lt-LT"/>
        </w:rPr>
        <w:t>alkoholinio sindromo dienai paminėti: viktorina, flashmobas, parkūrininkų pasirodymai.</w:t>
      </w:r>
      <w:r>
        <w:rPr>
          <w:rFonts w:ascii="TimesNewRomanPS-BoldMT" w:hAnsi="TimesNewRomanPS-BoldMT" w:cs="TimesNewRomanPS-BoldMT"/>
          <w:bCs/>
          <w:lang w:eastAsia="lt-LT"/>
        </w:rPr>
        <w:t xml:space="preserve"> </w:t>
      </w:r>
      <w:r w:rsidRPr="00852455">
        <w:rPr>
          <w:rFonts w:ascii="TimesNewRomanPS-BoldMT" w:hAnsi="TimesNewRomanPS-BoldMT" w:cs="TimesNewRomanPS-BoldMT"/>
          <w:bCs/>
          <w:lang w:eastAsia="lt-LT"/>
        </w:rPr>
        <w:t>Departamento lėšomis apmokėtos renginio įgarsinimo paslaugos. Renginys vyko per sostinės</w:t>
      </w:r>
      <w:r>
        <w:rPr>
          <w:rFonts w:ascii="TimesNewRomanPS-BoldMT" w:hAnsi="TimesNewRomanPS-BoldMT" w:cs="TimesNewRomanPS-BoldMT"/>
          <w:bCs/>
          <w:lang w:eastAsia="lt-LT"/>
        </w:rPr>
        <w:t xml:space="preserve"> </w:t>
      </w:r>
      <w:r w:rsidRPr="00852455">
        <w:rPr>
          <w:rFonts w:ascii="TimesNewRomanPS-BoldMT" w:hAnsi="TimesNewRomanPS-BoldMT" w:cs="TimesNewRomanPS-BoldMT"/>
          <w:bCs/>
          <w:lang w:eastAsia="lt-LT"/>
        </w:rPr>
        <w:t>dienas, Gedimino prospekte, todėl sulaukė nemažai visuomenės dėmesio.</w:t>
      </w:r>
    </w:p>
    <w:p w:rsidR="00E80028" w:rsidRPr="00A42539" w:rsidRDefault="00E80028" w:rsidP="00E80028">
      <w:pPr>
        <w:autoSpaceDE w:val="0"/>
        <w:autoSpaceDN w:val="0"/>
        <w:adjustRightInd w:val="0"/>
        <w:ind w:firstLine="720"/>
        <w:jc w:val="both"/>
        <w:rPr>
          <w:rFonts w:eastAsia="TimesNewRomanPSMT"/>
          <w:lang w:eastAsia="lt-LT"/>
        </w:rPr>
      </w:pPr>
      <w:r w:rsidRPr="00A42539">
        <w:rPr>
          <w:rFonts w:ascii="TimesNewRomanPS-BoldMT" w:hAnsi="TimesNewRomanPS-BoldMT" w:cs="TimesNewRomanPS-BoldMT"/>
          <w:bCs/>
          <w:lang w:eastAsia="lt-LT"/>
        </w:rPr>
        <w:t>Taip pat 2013 m. rugsėjo 9 d, organizuota spaudos konferencija LR Seime Vaisiaus</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alkoholinio sindromo dienai paminėti, kurioje dalyvavo Lietuvos Respublikos Seimo Narkomanijos</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ir alkoholizmo prevencijos komisijos pirmininkė Larisa Dmitrijeva, Narkotikų, tabako ir alkoholio</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 xml:space="preserve">kontrolės </w:t>
      </w:r>
      <w:r>
        <w:rPr>
          <w:rFonts w:ascii="TimesNewRomanPS-BoldMT" w:hAnsi="TimesNewRomanPS-BoldMT" w:cs="TimesNewRomanPS-BoldMT"/>
          <w:bCs/>
          <w:lang w:eastAsia="lt-LT"/>
        </w:rPr>
        <w:t xml:space="preserve"> d</w:t>
      </w:r>
      <w:r w:rsidRPr="00A42539">
        <w:rPr>
          <w:rFonts w:ascii="TimesNewRomanPS-BoldMT" w:hAnsi="TimesNewRomanPS-BoldMT" w:cs="TimesNewRomanPS-BoldMT"/>
          <w:bCs/>
          <w:lang w:eastAsia="lt-LT"/>
        </w:rPr>
        <w:t>epartamento direktoriaus pavaduotoja Gražina Belian, VU Medicinos fakulteto dekanas</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profesorius Algirdas Utkus ir Lietuvos medicinos studentų asociacijos atstovas Rytis Kalinauskas.</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Informacija apie minėtus renginius skelbta Departamento interneto svetainėje ir</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Departamento facebook paskyroje</w:t>
      </w:r>
      <w:r>
        <w:rPr>
          <w:rFonts w:ascii="TimesNewRomanPS-BoldMT" w:hAnsi="TimesNewRomanPS-BoldMT" w:cs="TimesNewRomanPS-BoldMT"/>
          <w:bCs/>
          <w:lang w:eastAsia="lt-LT"/>
        </w:rPr>
        <w:t>.</w:t>
      </w:r>
      <w:r w:rsidRPr="00A42539">
        <w:rPr>
          <w:rFonts w:ascii="TimesNewRomanPS-BoldMT" w:hAnsi="TimesNewRomanPS-BoldMT" w:cs="TimesNewRomanPS-BoldMT"/>
          <w:bCs/>
          <w:lang w:eastAsia="lt-LT"/>
        </w:rPr>
        <w:t xml:space="preserve"> Kartu su Vilniaus</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universiteto Medicinos fakultetu buvo parengtas ir 2013 m. rugsėjo 9 d. Departamento interneto</w:t>
      </w:r>
      <w:r>
        <w:rPr>
          <w:rFonts w:ascii="TimesNewRomanPS-BoldMT" w:hAnsi="TimesNewRomanPS-BoldMT" w:cs="TimesNewRomanPS-BoldMT"/>
          <w:bCs/>
          <w:lang w:eastAsia="lt-LT"/>
        </w:rPr>
        <w:t xml:space="preserve"> </w:t>
      </w:r>
      <w:r w:rsidRPr="00A42539">
        <w:rPr>
          <w:rFonts w:ascii="TimesNewRomanPS-BoldMT" w:hAnsi="TimesNewRomanPS-BoldMT" w:cs="TimesNewRomanPS-BoldMT"/>
          <w:bCs/>
          <w:lang w:eastAsia="lt-LT"/>
        </w:rPr>
        <w:t>svetainėje paskelbtas pranešimas spaudai „nėštumas be alkoholio lašo!“</w:t>
      </w:r>
      <w:r>
        <w:rPr>
          <w:rFonts w:ascii="TimesNewRomanPS-BoldMT" w:hAnsi="TimesNewRomanPS-BoldMT" w:cs="TimesNewRomanPS-BoldMT"/>
          <w:bCs/>
          <w:lang w:eastAsia="lt-LT"/>
        </w:rPr>
        <w:t xml:space="preserve">. </w:t>
      </w:r>
    </w:p>
    <w:p w:rsidR="00E80028" w:rsidRPr="001D7D0E" w:rsidRDefault="00E80028" w:rsidP="00E80028">
      <w:pPr>
        <w:autoSpaceDE w:val="0"/>
        <w:autoSpaceDN w:val="0"/>
        <w:adjustRightInd w:val="0"/>
        <w:ind w:firstLine="720"/>
        <w:rPr>
          <w:rFonts w:eastAsia="TimesNewRomanPSMT"/>
          <w:lang w:eastAsia="lt-LT"/>
        </w:rPr>
      </w:pPr>
      <w:r w:rsidRPr="001D7D0E">
        <w:rPr>
          <w:rFonts w:ascii="TimesNewRomanPS-BoldMT" w:hAnsi="TimesNewRomanPS-BoldMT" w:cs="TimesNewRomanPS-BoldMT"/>
          <w:bCs/>
          <w:lang w:eastAsia="lt-LT"/>
        </w:rPr>
        <w:t>2-3) 2014 m. Departamentas, paminėdamas vaisiaus alkoholinį sindromą 2014 m. rugsėjo 9</w:t>
      </w:r>
      <w:r>
        <w:rPr>
          <w:rFonts w:ascii="TimesNewRomanPS-BoldMT" w:hAnsi="TimesNewRomanPS-BoldMT" w:cs="TimesNewRomanPS-BoldMT"/>
          <w:bCs/>
          <w:lang w:eastAsia="lt-LT"/>
        </w:rPr>
        <w:t xml:space="preserve"> </w:t>
      </w:r>
      <w:r w:rsidRPr="001D7D0E">
        <w:rPr>
          <w:rFonts w:ascii="TimesNewRomanPS-BoldMT" w:hAnsi="TimesNewRomanPS-BoldMT" w:cs="TimesNewRomanPS-BoldMT"/>
          <w:bCs/>
          <w:lang w:eastAsia="lt-LT"/>
        </w:rPr>
        <w:t>dieną dalyvaus organizuojamoje apskrito stalo diskusijoje Lietuvos Respublikos Seime.</w:t>
      </w:r>
    </w:p>
    <w:p w:rsidR="00E80028" w:rsidRPr="00475F51" w:rsidRDefault="00E80028" w:rsidP="00E80028">
      <w:pPr>
        <w:autoSpaceDE w:val="0"/>
        <w:autoSpaceDN w:val="0"/>
        <w:adjustRightInd w:val="0"/>
        <w:rPr>
          <w:bCs/>
          <w:lang w:eastAsia="lt-LT"/>
        </w:rPr>
      </w:pPr>
      <w:r w:rsidRPr="00475F51">
        <w:rPr>
          <w:bCs/>
          <w:lang w:eastAsia="lt-LT"/>
        </w:rPr>
        <w:t>Departamentas tikisi, kad šiais metais bus tęsiamas bendradarbiaudamas su Vilniaus universiteto</w:t>
      </w:r>
    </w:p>
    <w:p w:rsidR="00E80028" w:rsidRPr="00475F51" w:rsidRDefault="00E80028" w:rsidP="00E80028">
      <w:pPr>
        <w:autoSpaceDE w:val="0"/>
        <w:autoSpaceDN w:val="0"/>
        <w:adjustRightInd w:val="0"/>
        <w:rPr>
          <w:bCs/>
          <w:lang w:eastAsia="lt-LT"/>
        </w:rPr>
      </w:pPr>
      <w:r w:rsidRPr="00475F51">
        <w:rPr>
          <w:bCs/>
          <w:lang w:eastAsia="lt-LT"/>
        </w:rPr>
        <w:t>Medicinos fakultetu bei Lietuvos medicinos studentų asociacija siekiant informuoti visuomenę apie</w:t>
      </w:r>
    </w:p>
    <w:p w:rsidR="00E80028" w:rsidRPr="00475F51" w:rsidRDefault="00E80028" w:rsidP="00E80028">
      <w:pPr>
        <w:autoSpaceDE w:val="0"/>
        <w:autoSpaceDN w:val="0"/>
        <w:adjustRightInd w:val="0"/>
        <w:rPr>
          <w:bCs/>
          <w:lang w:eastAsia="lt-LT"/>
        </w:rPr>
      </w:pPr>
      <w:r w:rsidRPr="00475F51">
        <w:rPr>
          <w:bCs/>
          <w:lang w:eastAsia="lt-LT"/>
        </w:rPr>
        <w:t>alkoholinių gėrimų nėštumo metu keliamą pavojų sveikatai, bus platinama informacinė medžiaga,</w:t>
      </w:r>
    </w:p>
    <w:p w:rsidR="00E80028" w:rsidRPr="00475F51" w:rsidRDefault="00E80028" w:rsidP="00E80028">
      <w:pPr>
        <w:autoSpaceDE w:val="0"/>
        <w:autoSpaceDN w:val="0"/>
        <w:adjustRightInd w:val="0"/>
        <w:rPr>
          <w:bCs/>
          <w:lang w:eastAsia="lt-LT"/>
        </w:rPr>
      </w:pPr>
      <w:r w:rsidRPr="00475F51">
        <w:rPr>
          <w:bCs/>
          <w:lang w:eastAsia="lt-LT"/>
        </w:rPr>
        <w:t>skirta VAS dienai paminėti.</w:t>
      </w:r>
      <w:r>
        <w:rPr>
          <w:bCs/>
          <w:lang w:eastAsia="lt-LT"/>
        </w:rPr>
        <w:t xml:space="preserve"> </w:t>
      </w:r>
      <w:r w:rsidRPr="00475F51">
        <w:rPr>
          <w:bCs/>
          <w:lang w:eastAsia="lt-LT"/>
        </w:rPr>
        <w:t>2014 m. rugsėjo 9 d. Departamento interneto svetainėje bus paskelbtas pranešimas spaudai</w:t>
      </w:r>
      <w:r>
        <w:rPr>
          <w:bCs/>
          <w:lang w:eastAsia="lt-LT"/>
        </w:rPr>
        <w:t xml:space="preserve"> </w:t>
      </w:r>
      <w:r w:rsidRPr="00475F51">
        <w:rPr>
          <w:bCs/>
          <w:lang w:eastAsia="lt-LT"/>
        </w:rPr>
        <w:t>skirtas VAS dienai paminėti siekiant kad alkoholis nebūtų vartojamas nėštumo metu.</w:t>
      </w:r>
    </w:p>
    <w:p w:rsidR="00E80028" w:rsidRPr="00475F51" w:rsidRDefault="00E80028" w:rsidP="00E80028">
      <w:pPr>
        <w:autoSpaceDE w:val="0"/>
        <w:autoSpaceDN w:val="0"/>
        <w:adjustRightInd w:val="0"/>
        <w:ind w:firstLine="720"/>
        <w:jc w:val="both"/>
        <w:rPr>
          <w:bCs/>
          <w:lang w:eastAsia="lt-LT"/>
        </w:rPr>
      </w:pPr>
      <w:r w:rsidRPr="00475F51">
        <w:rPr>
          <w:bCs/>
          <w:lang w:eastAsia="lt-LT"/>
        </w:rPr>
        <w:t>4) Pažymime, kad vadovaujantis Lietuvos Respublikos teisės aktų (Lietuvos Respublikos</w:t>
      </w:r>
    </w:p>
    <w:p w:rsidR="00E80028" w:rsidRPr="00475F51" w:rsidRDefault="00E80028" w:rsidP="00E80028">
      <w:pPr>
        <w:autoSpaceDE w:val="0"/>
        <w:autoSpaceDN w:val="0"/>
        <w:adjustRightInd w:val="0"/>
        <w:jc w:val="both"/>
        <w:rPr>
          <w:bCs/>
          <w:lang w:eastAsia="lt-LT"/>
        </w:rPr>
      </w:pPr>
      <w:r w:rsidRPr="00475F51">
        <w:rPr>
          <w:bCs/>
          <w:lang w:eastAsia="lt-LT"/>
        </w:rPr>
        <w:lastRenderedPageBreak/>
        <w:t>Vyriausybės 1999 m. gegužės 20 d. nutarimas Nr. 617 „Dėl keitimosi informacija apie standartus,</w:t>
      </w:r>
    </w:p>
    <w:p w:rsidR="00E80028" w:rsidRPr="00475F51" w:rsidRDefault="00E80028" w:rsidP="00E80028">
      <w:pPr>
        <w:autoSpaceDE w:val="0"/>
        <w:autoSpaceDN w:val="0"/>
        <w:adjustRightInd w:val="0"/>
        <w:jc w:val="both"/>
        <w:rPr>
          <w:bCs/>
          <w:lang w:eastAsia="lt-LT"/>
        </w:rPr>
      </w:pPr>
      <w:r w:rsidRPr="00475F51">
        <w:rPr>
          <w:bCs/>
          <w:lang w:eastAsia="lt-LT"/>
        </w:rPr>
        <w:t>techninius reglamentus, informacinės visuomenės paslaugų teikimo ir naudojimo, atitikties</w:t>
      </w:r>
      <w:r>
        <w:rPr>
          <w:bCs/>
          <w:lang w:eastAsia="lt-LT"/>
        </w:rPr>
        <w:t xml:space="preserve"> </w:t>
      </w:r>
      <w:r w:rsidRPr="00475F51">
        <w:rPr>
          <w:bCs/>
          <w:lang w:eastAsia="lt-LT"/>
        </w:rPr>
        <w:t>įvertinimo procedūrų teisės aktus ir šių dokumentų projektus“ Lietuvos Respublikos Vyriausybės</w:t>
      </w:r>
      <w:r>
        <w:rPr>
          <w:bCs/>
          <w:lang w:eastAsia="lt-LT"/>
        </w:rPr>
        <w:t xml:space="preserve"> </w:t>
      </w:r>
      <w:r w:rsidRPr="00475F51">
        <w:rPr>
          <w:bCs/>
          <w:lang w:eastAsia="lt-LT"/>
        </w:rPr>
        <w:t>2004 m. balandžio 26 d. nutarimo Nr. 472 redakcija) nustatyta tvarka notifikuojamas parengtas</w:t>
      </w:r>
      <w:r>
        <w:rPr>
          <w:bCs/>
          <w:lang w:eastAsia="lt-LT"/>
        </w:rPr>
        <w:t xml:space="preserve"> </w:t>
      </w:r>
      <w:r w:rsidRPr="00475F51">
        <w:rPr>
          <w:bCs/>
          <w:lang w:eastAsia="lt-LT"/>
        </w:rPr>
        <w:t>teisės akto projektas.</w:t>
      </w:r>
    </w:p>
    <w:p w:rsidR="00E80028" w:rsidRPr="00475F51" w:rsidRDefault="00E80028" w:rsidP="00E80028">
      <w:pPr>
        <w:autoSpaceDE w:val="0"/>
        <w:autoSpaceDN w:val="0"/>
        <w:adjustRightInd w:val="0"/>
        <w:ind w:firstLine="720"/>
        <w:jc w:val="both"/>
        <w:rPr>
          <w:bCs/>
          <w:lang w:eastAsia="lt-LT"/>
        </w:rPr>
      </w:pPr>
      <w:r w:rsidRPr="00475F51">
        <w:rPr>
          <w:bCs/>
          <w:lang w:eastAsia="lt-LT"/>
        </w:rPr>
        <w:t>2004-03-30 Lietuvos Respublikos alkoholio kontrolės įstatymas Nr. IX-2052 parengtas ir</w:t>
      </w:r>
      <w:r>
        <w:rPr>
          <w:bCs/>
          <w:lang w:eastAsia="lt-LT"/>
        </w:rPr>
        <w:t xml:space="preserve"> </w:t>
      </w:r>
      <w:r w:rsidRPr="00475F51">
        <w:rPr>
          <w:bCs/>
          <w:lang w:eastAsia="lt-LT"/>
        </w:rPr>
        <w:t>priimtas įgyvendinant Lietuvos pasirengimo narystei Europos Sąjungoje programos Teisės derinimo</w:t>
      </w:r>
    </w:p>
    <w:p w:rsidR="00E80028" w:rsidRPr="00475F51" w:rsidRDefault="00E80028" w:rsidP="00E80028">
      <w:pPr>
        <w:autoSpaceDE w:val="0"/>
        <w:autoSpaceDN w:val="0"/>
        <w:adjustRightInd w:val="0"/>
        <w:jc w:val="both"/>
        <w:rPr>
          <w:bCs/>
          <w:lang w:eastAsia="lt-LT"/>
        </w:rPr>
      </w:pPr>
      <w:r w:rsidRPr="00475F51">
        <w:rPr>
          <w:bCs/>
          <w:lang w:eastAsia="lt-LT"/>
        </w:rPr>
        <w:t>priemonių 2003 m. planą (priemonės kodas 3.1.23 - T32), patvirtintą Lietuvos Respublikos</w:t>
      </w:r>
      <w:r>
        <w:rPr>
          <w:bCs/>
          <w:lang w:eastAsia="lt-LT"/>
        </w:rPr>
        <w:t xml:space="preserve">  V</w:t>
      </w:r>
      <w:r w:rsidRPr="00475F51">
        <w:rPr>
          <w:bCs/>
          <w:lang w:eastAsia="lt-LT"/>
        </w:rPr>
        <w:t>yriausybės 2003 m. kovo 5 d. nutarimu Nr. 292 ,,</w:t>
      </w:r>
      <w:r w:rsidRPr="00475F51">
        <w:rPr>
          <w:bCs/>
          <w:i/>
          <w:iCs/>
          <w:lang w:eastAsia="lt-LT"/>
        </w:rPr>
        <w:t>Dėl Lietuvos pasirengimo narystei Europos</w:t>
      </w:r>
      <w:r>
        <w:rPr>
          <w:bCs/>
          <w:i/>
          <w:iCs/>
          <w:lang w:eastAsia="lt-LT"/>
        </w:rPr>
        <w:t xml:space="preserve"> </w:t>
      </w:r>
      <w:r w:rsidRPr="00475F51">
        <w:rPr>
          <w:bCs/>
          <w:i/>
          <w:iCs/>
          <w:lang w:eastAsia="lt-LT"/>
        </w:rPr>
        <w:t>Sąjungoje programos (Nacionalinė acquis priėmimo programa) Teisės derinimo priemonių ir</w:t>
      </w:r>
      <w:r>
        <w:rPr>
          <w:bCs/>
          <w:i/>
          <w:iCs/>
          <w:lang w:eastAsia="lt-LT"/>
        </w:rPr>
        <w:t xml:space="preserve"> </w:t>
      </w:r>
      <w:r w:rsidRPr="00475F51">
        <w:rPr>
          <w:bCs/>
          <w:i/>
          <w:iCs/>
          <w:lang w:eastAsia="lt-LT"/>
        </w:rPr>
        <w:t>acquis įgyvendinimo priemonių 2003 metų planų patvirtinimo</w:t>
      </w:r>
      <w:r w:rsidRPr="00475F51">
        <w:rPr>
          <w:bCs/>
          <w:lang w:eastAsia="lt-LT"/>
        </w:rPr>
        <w:t>“ (Žin., 2003, Nr. 25-1019).</w:t>
      </w:r>
      <w:r>
        <w:rPr>
          <w:bCs/>
          <w:lang w:eastAsia="lt-LT"/>
        </w:rPr>
        <w:t xml:space="preserve"> </w:t>
      </w:r>
      <w:r w:rsidRPr="00475F51">
        <w:rPr>
          <w:bCs/>
          <w:lang w:eastAsia="lt-LT"/>
        </w:rPr>
        <w:t>Pagrindinis šio įstatymo tikslas buvo - suderinti alkoholio produktų importo ir eksporto</w:t>
      </w:r>
      <w:r>
        <w:rPr>
          <w:bCs/>
          <w:lang w:eastAsia="lt-LT"/>
        </w:rPr>
        <w:t xml:space="preserve"> </w:t>
      </w:r>
      <w:r w:rsidRPr="00475F51">
        <w:rPr>
          <w:bCs/>
          <w:lang w:eastAsia="lt-LT"/>
        </w:rPr>
        <w:t>licencijavimą su Europos Sąjungos teisės reikalavimais, &lt;...&gt;. Vadovaujantis tuo, kas pasakyta,</w:t>
      </w:r>
      <w:r>
        <w:rPr>
          <w:bCs/>
          <w:lang w:eastAsia="lt-LT"/>
        </w:rPr>
        <w:t xml:space="preserve"> </w:t>
      </w:r>
      <w:r w:rsidRPr="00475F51">
        <w:rPr>
          <w:bCs/>
          <w:lang w:eastAsia="lt-LT"/>
        </w:rPr>
        <w:t>konstatuotina, kad šis Alkoholio kontrolės įstatymo Nr. IX-2052 projektas buvo notifikuotas teisės</w:t>
      </w:r>
      <w:r>
        <w:rPr>
          <w:bCs/>
          <w:lang w:eastAsia="lt-LT"/>
        </w:rPr>
        <w:t xml:space="preserve"> </w:t>
      </w:r>
      <w:r w:rsidRPr="00475F51">
        <w:rPr>
          <w:bCs/>
          <w:lang w:eastAsia="lt-LT"/>
        </w:rPr>
        <w:t>aktų nustatyta tvarka. Daugiau Alkoholio kontrolės įstatymų projektų (nuo 2004 m.) nenotifikuota.</w:t>
      </w:r>
    </w:p>
    <w:p w:rsidR="00E80028" w:rsidRPr="00475F51" w:rsidRDefault="00E80028" w:rsidP="00E80028">
      <w:pPr>
        <w:autoSpaceDE w:val="0"/>
        <w:autoSpaceDN w:val="0"/>
        <w:adjustRightInd w:val="0"/>
        <w:ind w:firstLine="720"/>
        <w:rPr>
          <w:bCs/>
          <w:lang w:eastAsia="lt-LT"/>
        </w:rPr>
      </w:pPr>
      <w:r w:rsidRPr="00475F51">
        <w:rPr>
          <w:bCs/>
          <w:lang w:eastAsia="lt-LT"/>
        </w:rPr>
        <w:t>Departamento duomenimis, šiuo metu vyksta dviejų Alkoholio kontrolės įstatymų projektų</w:t>
      </w:r>
    </w:p>
    <w:p w:rsidR="00E80028" w:rsidRPr="00475F51" w:rsidRDefault="00E80028" w:rsidP="00E80028">
      <w:pPr>
        <w:autoSpaceDE w:val="0"/>
        <w:autoSpaceDN w:val="0"/>
        <w:adjustRightInd w:val="0"/>
        <w:rPr>
          <w:bCs/>
          <w:lang w:eastAsia="lt-LT"/>
        </w:rPr>
      </w:pPr>
      <w:r w:rsidRPr="00475F51">
        <w:rPr>
          <w:bCs/>
          <w:lang w:eastAsia="lt-LT"/>
        </w:rPr>
        <w:t>notifikavimo procesai, už jų įgyvendinimą atsakinga Lietuvos Respublikos ūkio ministerija.</w:t>
      </w:r>
    </w:p>
    <w:p w:rsidR="00E80028" w:rsidRPr="00475F51" w:rsidRDefault="00E80028" w:rsidP="00E80028">
      <w:pPr>
        <w:autoSpaceDE w:val="0"/>
        <w:autoSpaceDN w:val="0"/>
        <w:adjustRightInd w:val="0"/>
        <w:ind w:firstLine="720"/>
        <w:jc w:val="both"/>
        <w:rPr>
          <w:rFonts w:eastAsia="TimesNewRomanPSMT"/>
          <w:lang w:eastAsia="lt-LT"/>
        </w:rPr>
      </w:pPr>
      <w:r w:rsidRPr="00475F51">
        <w:rPr>
          <w:bCs/>
          <w:lang w:eastAsia="lt-LT"/>
        </w:rPr>
        <w:t xml:space="preserve">5) 2013 m. Departamento atlikto reprezentatyvaus </w:t>
      </w:r>
      <w:r w:rsidRPr="00475F51">
        <w:rPr>
          <w:bCs/>
          <w:i/>
          <w:iCs/>
          <w:lang w:eastAsia="lt-LT"/>
        </w:rPr>
        <w:t>Lietuvos gyventojų tyrimo dėl</w:t>
      </w:r>
      <w:r>
        <w:rPr>
          <w:bCs/>
          <w:i/>
          <w:iCs/>
          <w:lang w:eastAsia="lt-LT"/>
        </w:rPr>
        <w:t xml:space="preserve"> </w:t>
      </w:r>
      <w:r w:rsidRPr="00475F51">
        <w:rPr>
          <w:bCs/>
          <w:i/>
          <w:iCs/>
          <w:lang w:eastAsia="lt-LT"/>
        </w:rPr>
        <w:t>psichoaktyviųjų medžiagų vartojimo paplitimo tarp suaugusiųjų bei jų požiūrio į tabako, alkoholio</w:t>
      </w:r>
      <w:r>
        <w:rPr>
          <w:bCs/>
          <w:i/>
          <w:iCs/>
          <w:lang w:eastAsia="lt-LT"/>
        </w:rPr>
        <w:t xml:space="preserve"> </w:t>
      </w:r>
      <w:r w:rsidRPr="00475F51">
        <w:rPr>
          <w:bCs/>
          <w:i/>
          <w:iCs/>
          <w:lang w:eastAsia="lt-LT"/>
        </w:rPr>
        <w:t xml:space="preserve">ir narkomanijos prevencijos priemonių efektyvumą </w:t>
      </w:r>
      <w:r w:rsidRPr="00475F51">
        <w:rPr>
          <w:bCs/>
          <w:lang w:eastAsia="lt-LT"/>
        </w:rPr>
        <w:t>duomenimis, aiškios pozicijos dėl alkoholinių</w:t>
      </w:r>
      <w:r>
        <w:rPr>
          <w:bCs/>
          <w:lang w:eastAsia="lt-LT"/>
        </w:rPr>
        <w:t xml:space="preserve"> </w:t>
      </w:r>
      <w:r w:rsidRPr="00475F51">
        <w:rPr>
          <w:bCs/>
          <w:lang w:eastAsia="lt-LT"/>
        </w:rPr>
        <w:t>gėrimų pakuočių ženklinimo įspėjamaisiais užrašais ir vaizdais apie alkoholio žalą (sveikatai,</w:t>
      </w:r>
      <w:r>
        <w:rPr>
          <w:bCs/>
          <w:lang w:eastAsia="lt-LT"/>
        </w:rPr>
        <w:t xml:space="preserve"> </w:t>
      </w:r>
      <w:r w:rsidRPr="00475F51">
        <w:rPr>
          <w:bCs/>
          <w:lang w:eastAsia="lt-LT"/>
        </w:rPr>
        <w:t xml:space="preserve">socialinę žalą ir kt.) nėra. Pakuočių ženklinimui pritartų 28 proc. respondentų, prieštaraujančių </w:t>
      </w:r>
      <w:r>
        <w:rPr>
          <w:bCs/>
          <w:lang w:eastAsia="lt-LT"/>
        </w:rPr>
        <w:t>–</w:t>
      </w:r>
      <w:r w:rsidRPr="00475F51">
        <w:rPr>
          <w:bCs/>
          <w:lang w:eastAsia="lt-LT"/>
        </w:rPr>
        <w:t xml:space="preserve"> 30</w:t>
      </w:r>
      <w:r>
        <w:rPr>
          <w:bCs/>
          <w:lang w:eastAsia="lt-LT"/>
        </w:rPr>
        <w:t xml:space="preserve"> </w:t>
      </w:r>
      <w:r w:rsidRPr="00475F51">
        <w:rPr>
          <w:bCs/>
          <w:lang w:eastAsia="lt-LT"/>
        </w:rPr>
        <w:t>proc. apklaustųjų, dar 32 proc. svarsto, jog galbūt verta ženklinti pakuotes. 10 proc. šio tyrimo</w:t>
      </w:r>
      <w:r>
        <w:rPr>
          <w:bCs/>
          <w:lang w:eastAsia="lt-LT"/>
        </w:rPr>
        <w:t xml:space="preserve"> </w:t>
      </w:r>
      <w:r w:rsidRPr="00475F51">
        <w:rPr>
          <w:bCs/>
          <w:lang w:eastAsia="lt-LT"/>
        </w:rPr>
        <w:t>dalyvių apskritai neturėjo nuomonės šiuo klausimu. Alkoholinių gėrimų pakuočių ženklinimui</w:t>
      </w:r>
      <w:r>
        <w:rPr>
          <w:bCs/>
          <w:lang w:eastAsia="lt-LT"/>
        </w:rPr>
        <w:t xml:space="preserve"> </w:t>
      </w:r>
      <w:r w:rsidRPr="00475F51">
        <w:rPr>
          <w:bCs/>
          <w:lang w:eastAsia="lt-LT"/>
        </w:rPr>
        <w:t>įspėjamaisiais užrašais ir vaizdais apie alkoholio žalą, statistiškai reikšmingai dažniau pritartų</w:t>
      </w:r>
      <w:r>
        <w:rPr>
          <w:bCs/>
          <w:lang w:eastAsia="lt-LT"/>
        </w:rPr>
        <w:t xml:space="preserve"> </w:t>
      </w:r>
      <w:r w:rsidRPr="00475F51">
        <w:rPr>
          <w:bCs/>
          <w:lang w:eastAsia="lt-LT"/>
        </w:rPr>
        <w:t>moterys. 42 proc. šio tyrimo dalyvių mano, kad žymėjimas įspėjamaisiais užrašais ir vaizdais apie</w:t>
      </w:r>
      <w:r>
        <w:rPr>
          <w:bCs/>
          <w:lang w:eastAsia="lt-LT"/>
        </w:rPr>
        <w:t xml:space="preserve"> </w:t>
      </w:r>
      <w:r w:rsidRPr="00475F51">
        <w:rPr>
          <w:bCs/>
          <w:lang w:eastAsia="lt-LT"/>
        </w:rPr>
        <w:t>alkoholio vartojimo žalą, geriau apie tai informuotų vartotojus. Priešingos nuostatos laikosi 36 proc.</w:t>
      </w:r>
      <w:r>
        <w:rPr>
          <w:bCs/>
          <w:lang w:eastAsia="lt-LT"/>
        </w:rPr>
        <w:t xml:space="preserve"> </w:t>
      </w:r>
      <w:r w:rsidRPr="00475F51">
        <w:rPr>
          <w:bCs/>
          <w:lang w:eastAsia="lt-LT"/>
        </w:rPr>
        <w:t>apklaustųjų. Dar 22 proc. respondentų nuomonės šiuo klausimu neišreiškė.</w:t>
      </w:r>
      <w:r>
        <w:rPr>
          <w:bCs/>
          <w:lang w:eastAsia="lt-LT"/>
        </w:rPr>
        <w:t xml:space="preserve"> Į</w:t>
      </w:r>
      <w:r w:rsidRPr="00475F51">
        <w:rPr>
          <w:bCs/>
          <w:lang w:eastAsia="lt-LT"/>
        </w:rPr>
        <w:t>vertinus tiek šio tyrimo duomenis, tiek kitą informaciją dėl alkoholinių gėrimų vartojimo</w:t>
      </w:r>
      <w:r>
        <w:rPr>
          <w:bCs/>
          <w:lang w:eastAsia="lt-LT"/>
        </w:rPr>
        <w:t xml:space="preserve"> </w:t>
      </w:r>
      <w:r w:rsidRPr="00475F51">
        <w:rPr>
          <w:bCs/>
          <w:lang w:eastAsia="lt-LT"/>
        </w:rPr>
        <w:t>paplitimo, Departamentas pritaria nuomonei dėl privalomo alkoholinių gėrimų etikečių žymėjimo</w:t>
      </w:r>
      <w:r>
        <w:rPr>
          <w:bCs/>
          <w:lang w:eastAsia="lt-LT"/>
        </w:rPr>
        <w:t>.</w:t>
      </w:r>
    </w:p>
    <w:p w:rsidR="00E80028" w:rsidRDefault="00E80028" w:rsidP="00E80028">
      <w:pPr>
        <w:pStyle w:val="Antrats"/>
        <w:ind w:firstLine="720"/>
        <w:jc w:val="both"/>
        <w:rPr>
          <w:szCs w:val="24"/>
        </w:rPr>
      </w:pPr>
      <w:r>
        <w:rPr>
          <w:rFonts w:eastAsia="TimesNewRomanPSMT"/>
          <w:szCs w:val="24"/>
          <w:lang w:eastAsia="lt-LT"/>
        </w:rPr>
        <w:t xml:space="preserve">Komisija </w:t>
      </w:r>
      <w:r>
        <w:rPr>
          <w:bCs/>
        </w:rPr>
        <w:t xml:space="preserve">2014-04-17 raštu Nr. S-2014-3347 ” Dėl informacijos pateikimo” kreipėsi į </w:t>
      </w:r>
      <w:r>
        <w:t xml:space="preserve">Švietimo ir mokslo ministrą prašydama pateikti  </w:t>
      </w:r>
      <w:r>
        <w:rPr>
          <w:szCs w:val="24"/>
        </w:rPr>
        <w:t xml:space="preserve">informaciją, </w:t>
      </w:r>
      <w:r>
        <w:t xml:space="preserve"> a</w:t>
      </w:r>
      <w:r>
        <w:rPr>
          <w:szCs w:val="24"/>
        </w:rPr>
        <w:t xml:space="preserve">r </w:t>
      </w:r>
      <w:r w:rsidRPr="00145D99">
        <w:rPr>
          <w:szCs w:val="24"/>
        </w:rPr>
        <w:t xml:space="preserve"> Švietimo ir mokslo ministerija</w:t>
      </w:r>
      <w:r>
        <w:rPr>
          <w:szCs w:val="24"/>
        </w:rPr>
        <w:t xml:space="preserve">i (toliau – Ministerija) yra žinoma, kad vaisiaus alkoholinis sindromas (VAS) – sunkiausias alkoholio nulemtas vaisiaus raidos sutrikimas, todėl labai svarbu, kad alkoholis nebūtų vartojamas neštumo metu, o alkoholinių gėrimų gamintojai tinkamai informuotų vartotojus apie gaminamų produktų keliamą pavojų sveikatai ir , kad Lietuvoje nuo 2005 metų kasmet didėja gimusių vaikų, kuriems užregistruotas VAS, skaičius. Privalomojo sveikatos draudimo informacinės sistemos SVEIDRA duomenimis,  2011 metais naujagimių su vaisiaus alkoholiniu sindromu (Q86.0), skaičius 7.  Asmenų, kuriems 2012 metais  asmens sveikatos priežiūros įstaigose užregistruotas vaisiaus alkoholinis sindromas (Q86.0), (tik stacionaro atvejai) iš viso buvo 40, kūdikių iki 1 metų – 6. </w:t>
      </w:r>
    </w:p>
    <w:p w:rsidR="00E80028" w:rsidRDefault="00E80028" w:rsidP="00E80028">
      <w:pPr>
        <w:pStyle w:val="Antrats"/>
        <w:ind w:left="1080"/>
        <w:jc w:val="both"/>
        <w:rPr>
          <w:szCs w:val="24"/>
        </w:rPr>
      </w:pPr>
      <w:r>
        <w:rPr>
          <w:szCs w:val="24"/>
        </w:rPr>
        <w:t xml:space="preserve">Komisija paprašė atsakyti:  </w:t>
      </w:r>
    </w:p>
    <w:p w:rsidR="00E80028" w:rsidRDefault="00E80028" w:rsidP="00E80028">
      <w:pPr>
        <w:pStyle w:val="Antrats"/>
        <w:numPr>
          <w:ilvl w:val="0"/>
          <w:numId w:val="72"/>
        </w:numPr>
        <w:tabs>
          <w:tab w:val="clear" w:pos="4320"/>
          <w:tab w:val="clear" w:pos="8640"/>
        </w:tabs>
        <w:jc w:val="both"/>
        <w:rPr>
          <w:szCs w:val="24"/>
        </w:rPr>
      </w:pPr>
      <w:r w:rsidRPr="00145D99">
        <w:rPr>
          <w:szCs w:val="24"/>
        </w:rPr>
        <w:t xml:space="preserve">Ar į Švietimo ir mokslo ministerija kreipėsi sveikatos priežiūros įstaigos, </w:t>
      </w:r>
      <w:r>
        <w:rPr>
          <w:szCs w:val="24"/>
        </w:rPr>
        <w:t xml:space="preserve">ar </w:t>
      </w:r>
      <w:r w:rsidRPr="00145D99">
        <w:rPr>
          <w:szCs w:val="24"/>
        </w:rPr>
        <w:t xml:space="preserve">kitos institucijos dėl </w:t>
      </w:r>
      <w:r>
        <w:rPr>
          <w:szCs w:val="24"/>
        </w:rPr>
        <w:t xml:space="preserve">galimybės </w:t>
      </w:r>
      <w:r w:rsidRPr="00145D99">
        <w:rPr>
          <w:szCs w:val="24"/>
        </w:rPr>
        <w:t>informuo</w:t>
      </w:r>
      <w:r>
        <w:rPr>
          <w:szCs w:val="24"/>
        </w:rPr>
        <w:t>ti</w:t>
      </w:r>
      <w:r w:rsidRPr="00145D99">
        <w:rPr>
          <w:szCs w:val="24"/>
        </w:rPr>
        <w:t xml:space="preserve"> moksleivius apie alkoholinių gėrimų neštumo metu keliamą pavojų sveikatai.  </w:t>
      </w:r>
    </w:p>
    <w:p w:rsidR="00E80028" w:rsidRPr="00145D99" w:rsidRDefault="00E80028" w:rsidP="00E80028">
      <w:pPr>
        <w:pStyle w:val="Antrats"/>
        <w:numPr>
          <w:ilvl w:val="0"/>
          <w:numId w:val="72"/>
        </w:numPr>
        <w:tabs>
          <w:tab w:val="clear" w:pos="4320"/>
          <w:tab w:val="clear" w:pos="8640"/>
        </w:tabs>
        <w:jc w:val="both"/>
        <w:rPr>
          <w:szCs w:val="24"/>
        </w:rPr>
      </w:pPr>
      <w:r>
        <w:rPr>
          <w:szCs w:val="24"/>
        </w:rPr>
        <w:lastRenderedPageBreak/>
        <w:t>Kokias priemones siūlytų Mi</w:t>
      </w:r>
      <w:r w:rsidRPr="00145D99">
        <w:rPr>
          <w:szCs w:val="24"/>
        </w:rPr>
        <w:t xml:space="preserve">nisterija, kad sumažinti alkoholio vartojamą  neštumo metu ir kaip Lietuvos </w:t>
      </w:r>
      <w:r>
        <w:rPr>
          <w:szCs w:val="24"/>
        </w:rPr>
        <w:t xml:space="preserve">visuomenė turėtų būti </w:t>
      </w:r>
      <w:r w:rsidRPr="00145D99">
        <w:rPr>
          <w:szCs w:val="24"/>
        </w:rPr>
        <w:t xml:space="preserve">informuojama apie alkoholinių gėrimų neštumo metu keliamą pavojų sveikatai.  </w:t>
      </w:r>
    </w:p>
    <w:p w:rsidR="00E80028" w:rsidRDefault="00E80028" w:rsidP="00E80028">
      <w:pPr>
        <w:pStyle w:val="Antrats"/>
        <w:numPr>
          <w:ilvl w:val="0"/>
          <w:numId w:val="72"/>
        </w:numPr>
        <w:tabs>
          <w:tab w:val="clear" w:pos="4320"/>
          <w:tab w:val="clear" w:pos="8640"/>
        </w:tabs>
        <w:jc w:val="both"/>
        <w:rPr>
          <w:szCs w:val="24"/>
        </w:rPr>
      </w:pPr>
      <w:r>
        <w:rPr>
          <w:szCs w:val="24"/>
        </w:rPr>
        <w:t xml:space="preserve">Kokias priemones siūlytų Ministerija taikyti Lietuvoje, kad sumažinti gimusių vaikų, kuriems užregistruotas VAS, skaičių.  Kokios institucijos turėtų taikyti šias priemones. </w:t>
      </w:r>
    </w:p>
    <w:p w:rsidR="00E80028" w:rsidRDefault="00E80028" w:rsidP="00E80028">
      <w:pPr>
        <w:pStyle w:val="Antrats"/>
        <w:numPr>
          <w:ilvl w:val="0"/>
          <w:numId w:val="72"/>
        </w:numPr>
        <w:tabs>
          <w:tab w:val="clear" w:pos="4320"/>
          <w:tab w:val="clear" w:pos="8640"/>
        </w:tabs>
        <w:jc w:val="both"/>
        <w:rPr>
          <w:szCs w:val="24"/>
        </w:rPr>
      </w:pPr>
      <w:r>
        <w:rPr>
          <w:szCs w:val="24"/>
        </w:rPr>
        <w:t>Kokia Ministerijos nuomonė būtų dėl privalomo alkoholinių gėrimų etikečių žymėjimo Lietuvoje. Tokia praktika taikoma Prancūzijoje.</w:t>
      </w:r>
    </w:p>
    <w:p w:rsidR="00E80028" w:rsidRDefault="00E80028" w:rsidP="00E80028">
      <w:pPr>
        <w:autoSpaceDE w:val="0"/>
        <w:autoSpaceDN w:val="0"/>
        <w:adjustRightInd w:val="0"/>
        <w:ind w:firstLine="720"/>
        <w:jc w:val="both"/>
        <w:rPr>
          <w:rFonts w:eastAsia="TimesNewRomanPSMT"/>
          <w:lang w:eastAsia="lt-LT"/>
        </w:rPr>
      </w:pPr>
      <w:r>
        <w:rPr>
          <w:rFonts w:eastAsia="TimesNewRomanPSMT"/>
          <w:lang w:eastAsia="lt-LT"/>
        </w:rPr>
        <w:t xml:space="preserve">Atsakymas nepateiktas. </w:t>
      </w:r>
    </w:p>
    <w:p w:rsidR="00E80028" w:rsidRDefault="00E80028" w:rsidP="00E80028">
      <w:pPr>
        <w:pStyle w:val="Antrats"/>
        <w:ind w:firstLine="720"/>
        <w:jc w:val="both"/>
        <w:rPr>
          <w:szCs w:val="24"/>
        </w:rPr>
      </w:pPr>
      <w:r>
        <w:rPr>
          <w:rFonts w:eastAsia="TimesNewRomanPSMT"/>
          <w:szCs w:val="24"/>
          <w:lang w:eastAsia="lt-LT"/>
        </w:rPr>
        <w:t xml:space="preserve">Komisija </w:t>
      </w:r>
      <w:r>
        <w:rPr>
          <w:bCs/>
        </w:rPr>
        <w:t xml:space="preserve">2014-04-17 raštu Nr. S-2014-3348 ”Dėl informacijos pateikimo” kreipėsi į </w:t>
      </w:r>
      <w:r w:rsidRPr="00E02D72">
        <w:rPr>
          <w:rFonts w:eastAsia="TimesNewRomanPSMT"/>
          <w:szCs w:val="24"/>
          <w:lang w:eastAsia="lt-LT"/>
        </w:rPr>
        <w:t>Socialinė</w:t>
      </w:r>
      <w:r>
        <w:rPr>
          <w:rFonts w:eastAsia="TimesNewRomanPSMT"/>
          <w:szCs w:val="24"/>
          <w:lang w:eastAsia="lt-LT"/>
        </w:rPr>
        <w:t>s apsaugos ir darbo ministeriją</w:t>
      </w:r>
      <w:r w:rsidRPr="00E02D72">
        <w:rPr>
          <w:rFonts w:eastAsia="TimesNewRomanPSMT"/>
          <w:szCs w:val="24"/>
          <w:lang w:eastAsia="lt-LT"/>
        </w:rPr>
        <w:t xml:space="preserve"> (toliau - Ministerija)</w:t>
      </w:r>
      <w:r w:rsidRPr="00610C18">
        <w:rPr>
          <w:szCs w:val="24"/>
        </w:rPr>
        <w:t xml:space="preserve"> </w:t>
      </w:r>
      <w:r>
        <w:rPr>
          <w:szCs w:val="24"/>
        </w:rPr>
        <w:t>su prašymu pateikti informaciją:</w:t>
      </w:r>
    </w:p>
    <w:p w:rsidR="00E80028" w:rsidRPr="00145D99" w:rsidRDefault="00E80028" w:rsidP="00E80028">
      <w:pPr>
        <w:pStyle w:val="Antrats"/>
        <w:numPr>
          <w:ilvl w:val="0"/>
          <w:numId w:val="73"/>
        </w:numPr>
        <w:tabs>
          <w:tab w:val="clear" w:pos="4320"/>
          <w:tab w:val="clear" w:pos="8640"/>
        </w:tabs>
        <w:jc w:val="both"/>
        <w:rPr>
          <w:szCs w:val="24"/>
        </w:rPr>
      </w:pPr>
      <w:r>
        <w:rPr>
          <w:szCs w:val="24"/>
        </w:rPr>
        <w:t xml:space="preserve">Kokias priemones </w:t>
      </w:r>
      <w:r>
        <w:t xml:space="preserve">Socialinės apsaugos ir darbo ministerija (toliau-Ministerija) taiko, kad sumažinti </w:t>
      </w:r>
      <w:r w:rsidRPr="00145D99">
        <w:rPr>
          <w:szCs w:val="24"/>
        </w:rPr>
        <w:t xml:space="preserve">alkoholio vartojamą  neštumo metu ir kaip Lietuvos </w:t>
      </w:r>
      <w:r>
        <w:rPr>
          <w:szCs w:val="24"/>
        </w:rPr>
        <w:t xml:space="preserve">visuomenė </w:t>
      </w:r>
      <w:r w:rsidRPr="00145D99">
        <w:rPr>
          <w:szCs w:val="24"/>
        </w:rPr>
        <w:t xml:space="preserve">informuojama apie alkoholinių gėrimų neštumo metu keliamą pavojų sveikatai.  </w:t>
      </w:r>
    </w:p>
    <w:p w:rsidR="00E80028" w:rsidRDefault="00E80028" w:rsidP="00E80028">
      <w:pPr>
        <w:pStyle w:val="Antrats"/>
        <w:numPr>
          <w:ilvl w:val="0"/>
          <w:numId w:val="73"/>
        </w:numPr>
        <w:tabs>
          <w:tab w:val="clear" w:pos="4320"/>
          <w:tab w:val="clear" w:pos="8640"/>
        </w:tabs>
        <w:jc w:val="both"/>
        <w:rPr>
          <w:szCs w:val="24"/>
        </w:rPr>
      </w:pPr>
      <w:r>
        <w:rPr>
          <w:szCs w:val="24"/>
        </w:rPr>
        <w:t>Kokias priemones siūlytų Mi</w:t>
      </w:r>
      <w:r w:rsidRPr="00145D99">
        <w:rPr>
          <w:szCs w:val="24"/>
        </w:rPr>
        <w:t>nisterija</w:t>
      </w:r>
      <w:r>
        <w:rPr>
          <w:szCs w:val="24"/>
        </w:rPr>
        <w:t xml:space="preserve"> papildomai taikyti</w:t>
      </w:r>
      <w:r w:rsidRPr="00145D99">
        <w:rPr>
          <w:szCs w:val="24"/>
        </w:rPr>
        <w:t xml:space="preserve">, kad sumažinti alkoholio vartojamą  neštumo metu ir kaip Lietuvos </w:t>
      </w:r>
      <w:r>
        <w:rPr>
          <w:szCs w:val="24"/>
        </w:rPr>
        <w:t xml:space="preserve">visuomenė turėtų būti </w:t>
      </w:r>
      <w:r w:rsidRPr="00145D99">
        <w:rPr>
          <w:szCs w:val="24"/>
        </w:rPr>
        <w:t xml:space="preserve">informuojama apie alkoholinių gėrimų neštumo metu </w:t>
      </w:r>
      <w:r>
        <w:rPr>
          <w:szCs w:val="24"/>
        </w:rPr>
        <w:t>keliamą pavojų sveikatai bei  kokios institucijos turėtų imtis papildomų veiksmų situacijai pakeisti.</w:t>
      </w:r>
      <w:r w:rsidRPr="00145D99">
        <w:rPr>
          <w:szCs w:val="24"/>
        </w:rPr>
        <w:t xml:space="preserve">  </w:t>
      </w:r>
    </w:p>
    <w:p w:rsidR="00E80028" w:rsidRPr="00145D99" w:rsidRDefault="00E80028" w:rsidP="00E80028">
      <w:pPr>
        <w:pStyle w:val="Antrats"/>
        <w:numPr>
          <w:ilvl w:val="0"/>
          <w:numId w:val="73"/>
        </w:numPr>
        <w:tabs>
          <w:tab w:val="clear" w:pos="4320"/>
          <w:tab w:val="clear" w:pos="8640"/>
        </w:tabs>
        <w:jc w:val="both"/>
        <w:rPr>
          <w:szCs w:val="24"/>
        </w:rPr>
      </w:pPr>
      <w:r>
        <w:rPr>
          <w:szCs w:val="24"/>
        </w:rPr>
        <w:t>Kiek 2012 – 2014 metais buvo skiriama kasmet lėšų asmenų, kuriems asmens sveikatos priežiūros įstaigose užregistruotas vaisiaus alkoholinis sindromas (Q86.0), socialinei priežiūrai ir išlaikymui.</w:t>
      </w:r>
    </w:p>
    <w:p w:rsidR="00E80028" w:rsidRPr="00CB0AFA" w:rsidRDefault="00E80028" w:rsidP="00E80028">
      <w:pPr>
        <w:pStyle w:val="Antrats"/>
        <w:numPr>
          <w:ilvl w:val="0"/>
          <w:numId w:val="73"/>
        </w:numPr>
        <w:tabs>
          <w:tab w:val="clear" w:pos="4320"/>
          <w:tab w:val="clear" w:pos="8640"/>
        </w:tabs>
        <w:jc w:val="both"/>
        <w:rPr>
          <w:szCs w:val="24"/>
        </w:rPr>
      </w:pPr>
      <w:r>
        <w:t xml:space="preserve">  </w:t>
      </w:r>
      <w:r w:rsidRPr="00CB0AFA">
        <w:rPr>
          <w:szCs w:val="24"/>
        </w:rPr>
        <w:t xml:space="preserve">Kokia Ministerijos nuomonė būtų dėl privalomo alkoholinių gėrimų etikečių žymėjimo Lietuvoje. Tokia praktika taikoma Prancūzijoje. </w:t>
      </w:r>
    </w:p>
    <w:p w:rsidR="00E80028" w:rsidRDefault="00E80028" w:rsidP="00E80028">
      <w:pPr>
        <w:pStyle w:val="Antrats"/>
        <w:ind w:left="1080"/>
        <w:jc w:val="both"/>
      </w:pPr>
      <w:r>
        <w:t xml:space="preserve">           </w:t>
      </w:r>
    </w:p>
    <w:p w:rsidR="00E80028" w:rsidRPr="00E02D72" w:rsidRDefault="00E80028" w:rsidP="00E80028">
      <w:pPr>
        <w:pStyle w:val="Antrats"/>
        <w:jc w:val="both"/>
        <w:rPr>
          <w:rFonts w:eastAsia="TimesNewRomanPSMT"/>
          <w:szCs w:val="24"/>
          <w:lang w:eastAsia="lt-LT"/>
        </w:rPr>
      </w:pPr>
      <w:r>
        <w:tab/>
        <w:t xml:space="preserve">          Ministerija 2014-05-14 raštu Nr.(18.3-43) SD-3365 „Dėl informacijos pateikimo“ atsakė, kad </w:t>
      </w:r>
      <w:r w:rsidRPr="00E02D72">
        <w:rPr>
          <w:rFonts w:eastAsia="TimesNewRomanPSMT"/>
          <w:szCs w:val="24"/>
          <w:lang w:eastAsia="lt-LT"/>
        </w:rPr>
        <w:t>nėra tiesiogiai atsakinga už alkoholio, tabako ir narkotikų vartojimo</w:t>
      </w:r>
      <w:r>
        <w:rPr>
          <w:rFonts w:eastAsia="TimesNewRomanPSMT"/>
          <w:szCs w:val="24"/>
          <w:lang w:eastAsia="lt-LT"/>
        </w:rPr>
        <w:t xml:space="preserve"> </w:t>
      </w:r>
      <w:r w:rsidRPr="00E02D72">
        <w:rPr>
          <w:rFonts w:eastAsia="TimesNewRomanPSMT"/>
          <w:szCs w:val="24"/>
          <w:lang w:eastAsia="lt-LT"/>
        </w:rPr>
        <w:t>mažinimą ar sergančiųjų priklausomybės ligomis gydymą, tai Narkotikų tabako ir alkoholio</w:t>
      </w:r>
      <w:r>
        <w:rPr>
          <w:rFonts w:eastAsia="TimesNewRomanPSMT"/>
          <w:szCs w:val="24"/>
          <w:lang w:eastAsia="lt-LT"/>
        </w:rPr>
        <w:t xml:space="preserve"> </w:t>
      </w:r>
      <w:r w:rsidRPr="00E02D72">
        <w:rPr>
          <w:rFonts w:eastAsia="TimesNewRomanPSMT"/>
          <w:szCs w:val="24"/>
          <w:lang w:eastAsia="lt-LT"/>
        </w:rPr>
        <w:t>kontrolės departamento, kuris dalyvauja formuojant ir įgyvendina valstybės politiką narkotikų</w:t>
      </w:r>
      <w:r>
        <w:rPr>
          <w:rFonts w:eastAsia="TimesNewRomanPSMT"/>
          <w:szCs w:val="24"/>
          <w:lang w:eastAsia="lt-LT"/>
        </w:rPr>
        <w:t xml:space="preserve"> </w:t>
      </w:r>
      <w:r w:rsidRPr="00E02D72">
        <w:rPr>
          <w:rFonts w:eastAsia="TimesNewRomanPSMT"/>
          <w:szCs w:val="24"/>
          <w:lang w:eastAsia="lt-LT"/>
        </w:rPr>
        <w:t>kontrolės ir narkomanijos prevencijos srityse, vykdo įstatymų ir kitų teisės aktų jam pavestas</w:t>
      </w:r>
      <w:r>
        <w:rPr>
          <w:rFonts w:eastAsia="TimesNewRomanPSMT"/>
          <w:szCs w:val="24"/>
          <w:lang w:eastAsia="lt-LT"/>
        </w:rPr>
        <w:t xml:space="preserve"> </w:t>
      </w:r>
      <w:r w:rsidRPr="00E02D72">
        <w:rPr>
          <w:rFonts w:eastAsia="TimesNewRomanPSMT"/>
          <w:szCs w:val="24"/>
          <w:lang w:eastAsia="lt-LT"/>
        </w:rPr>
        <w:t>narkotinių ir psichotropinių medžiagų pirmtakų (prekursorių) kontrolės funkcijas, bei Valstybinio</w:t>
      </w:r>
      <w:r>
        <w:rPr>
          <w:rFonts w:eastAsia="TimesNewRomanPSMT"/>
          <w:szCs w:val="24"/>
          <w:lang w:eastAsia="lt-LT"/>
        </w:rPr>
        <w:t xml:space="preserve"> </w:t>
      </w:r>
      <w:r w:rsidRPr="00E02D72">
        <w:rPr>
          <w:rFonts w:eastAsia="TimesNewRomanPSMT"/>
          <w:szCs w:val="24"/>
          <w:lang w:eastAsia="lt-LT"/>
        </w:rPr>
        <w:t>psichikos sveikatos centro, kurio steigėjo funkcijas atlieka Sveikatos apsaugos ministerija, kuris</w:t>
      </w:r>
      <w:r>
        <w:rPr>
          <w:rFonts w:eastAsia="TimesNewRomanPSMT"/>
          <w:szCs w:val="24"/>
          <w:lang w:eastAsia="lt-LT"/>
        </w:rPr>
        <w:t xml:space="preserve"> </w:t>
      </w:r>
      <w:r w:rsidRPr="00E02D72">
        <w:rPr>
          <w:rFonts w:eastAsia="TimesNewRomanPSMT"/>
          <w:szCs w:val="24"/>
          <w:lang w:eastAsia="lt-LT"/>
        </w:rPr>
        <w:t>pagal kompetenciją metodiškai vadovauja visuomenės sveikatos priežiūros ir pirminės</w:t>
      </w:r>
      <w:r>
        <w:rPr>
          <w:rFonts w:eastAsia="TimesNewRomanPSMT"/>
          <w:szCs w:val="24"/>
          <w:lang w:eastAsia="lt-LT"/>
        </w:rPr>
        <w:t xml:space="preserve"> </w:t>
      </w:r>
      <w:r w:rsidRPr="00E02D72">
        <w:rPr>
          <w:rFonts w:eastAsia="TimesNewRomanPSMT"/>
          <w:szCs w:val="24"/>
          <w:lang w:eastAsia="lt-LT"/>
        </w:rPr>
        <w:t>ambulatorinės psichikos sveikatos priežiūros įstaigoms, valstybės ir savivaldybių institucijoms</w:t>
      </w:r>
      <w:r>
        <w:rPr>
          <w:rFonts w:eastAsia="TimesNewRomanPSMT"/>
          <w:szCs w:val="24"/>
          <w:lang w:eastAsia="lt-LT"/>
        </w:rPr>
        <w:t xml:space="preserve"> </w:t>
      </w:r>
      <w:r w:rsidRPr="00E02D72">
        <w:rPr>
          <w:rFonts w:eastAsia="TimesNewRomanPSMT"/>
          <w:szCs w:val="24"/>
          <w:lang w:eastAsia="lt-LT"/>
        </w:rPr>
        <w:t>gyventojų psichikos sveikatos, rūkymo, alkoholio ir narkotikų vartojimo klausimais, atsakomybė.</w:t>
      </w:r>
      <w:r>
        <w:rPr>
          <w:rFonts w:eastAsia="TimesNewRomanPSMT"/>
          <w:szCs w:val="24"/>
          <w:lang w:eastAsia="lt-LT"/>
        </w:rPr>
        <w:t xml:space="preserve"> </w:t>
      </w:r>
      <w:r w:rsidRPr="00E02D72">
        <w:rPr>
          <w:rFonts w:eastAsia="TimesNewRomanPSMT"/>
          <w:szCs w:val="24"/>
          <w:lang w:eastAsia="lt-LT"/>
        </w:rPr>
        <w:t>Tačiau Ministerija, vykdydama šeimos politiką, dirbdama šeimų skurdo ir socialinės atskirties</w:t>
      </w:r>
      <w:r>
        <w:rPr>
          <w:rFonts w:eastAsia="TimesNewRomanPSMT"/>
          <w:szCs w:val="24"/>
          <w:lang w:eastAsia="lt-LT"/>
        </w:rPr>
        <w:t xml:space="preserve"> </w:t>
      </w:r>
      <w:r w:rsidRPr="00E02D72">
        <w:rPr>
          <w:rFonts w:eastAsia="TimesNewRomanPSMT"/>
          <w:szCs w:val="24"/>
          <w:lang w:eastAsia="lt-LT"/>
        </w:rPr>
        <w:t>mažinimo bei kitose Ministerijos kompetencijos srityse, siekia prisidėti prie rašte minimų</w:t>
      </w:r>
      <w:r>
        <w:rPr>
          <w:rFonts w:eastAsia="TimesNewRomanPSMT"/>
          <w:szCs w:val="24"/>
          <w:lang w:eastAsia="lt-LT"/>
        </w:rPr>
        <w:t xml:space="preserve"> </w:t>
      </w:r>
      <w:r w:rsidRPr="00E02D72">
        <w:rPr>
          <w:rFonts w:eastAsia="TimesNewRomanPSMT"/>
          <w:szCs w:val="24"/>
          <w:lang w:eastAsia="lt-LT"/>
        </w:rPr>
        <w:t>problemų sprendimo.</w:t>
      </w:r>
      <w:r>
        <w:rPr>
          <w:rFonts w:eastAsia="TimesNewRomanPSMT"/>
          <w:szCs w:val="24"/>
          <w:lang w:eastAsia="lt-LT"/>
        </w:rPr>
        <w:t xml:space="preserve"> </w:t>
      </w:r>
      <w:r w:rsidRPr="00E02D72">
        <w:rPr>
          <w:rFonts w:eastAsia="TimesNewRomanPSMT"/>
          <w:szCs w:val="24"/>
          <w:lang w:eastAsia="lt-LT"/>
        </w:rPr>
        <w:t>Nacionalinės demografinės (gyventojų) politikos strategijos (toliau - Strategija)</w:t>
      </w:r>
      <w:r>
        <w:rPr>
          <w:rFonts w:eastAsia="TimesNewRomanPSMT"/>
          <w:szCs w:val="24"/>
          <w:lang w:eastAsia="lt-LT"/>
        </w:rPr>
        <w:t xml:space="preserve"> </w:t>
      </w:r>
      <w:r w:rsidRPr="00E02D72">
        <w:rPr>
          <w:rFonts w:eastAsia="TimesNewRomanPSMT"/>
          <w:szCs w:val="24"/>
          <w:lang w:eastAsia="lt-LT"/>
        </w:rPr>
        <w:t>šeimos gerovės srityje įgyvendinimo 2014-2015 metų tarpinstituciniame veiksmų plane,</w:t>
      </w:r>
      <w:r>
        <w:rPr>
          <w:rFonts w:eastAsia="TimesNewRomanPSMT"/>
          <w:szCs w:val="24"/>
          <w:lang w:eastAsia="lt-LT"/>
        </w:rPr>
        <w:t xml:space="preserve"> </w:t>
      </w:r>
      <w:r w:rsidRPr="00E02D72">
        <w:rPr>
          <w:rFonts w:eastAsia="TimesNewRomanPSMT"/>
          <w:szCs w:val="24"/>
          <w:lang w:eastAsia="lt-LT"/>
        </w:rPr>
        <w:t>patvirtintame Lietuvos Respublikos socialinės apsaugos ir darbo ministro 2014 m. balandžio 14 d.</w:t>
      </w:r>
      <w:r>
        <w:rPr>
          <w:rFonts w:eastAsia="TimesNewRomanPSMT"/>
          <w:szCs w:val="24"/>
          <w:lang w:eastAsia="lt-LT"/>
        </w:rPr>
        <w:t xml:space="preserve"> </w:t>
      </w:r>
      <w:r w:rsidRPr="00E02D72">
        <w:rPr>
          <w:rFonts w:eastAsia="TimesNewRomanPSMT"/>
          <w:szCs w:val="24"/>
          <w:lang w:eastAsia="lt-LT"/>
        </w:rPr>
        <w:t>įsakymu Nr. Al-209, yra numatyta ugdyti šeimos narių gebėjimus įveikti psichologines ir</w:t>
      </w:r>
      <w:r>
        <w:rPr>
          <w:rFonts w:eastAsia="TimesNewRomanPSMT"/>
          <w:szCs w:val="24"/>
          <w:lang w:eastAsia="lt-LT"/>
        </w:rPr>
        <w:t xml:space="preserve"> </w:t>
      </w:r>
      <w:r w:rsidRPr="00E02D72">
        <w:rPr>
          <w:rFonts w:eastAsia="TimesNewRomanPSMT"/>
          <w:szCs w:val="24"/>
          <w:lang w:eastAsia="lt-LT"/>
        </w:rPr>
        <w:t>socialines problemas. Įgyvendinant Strategijos priemonę „plėtojant psichologinių paslaugų</w:t>
      </w:r>
      <w:r>
        <w:rPr>
          <w:rFonts w:eastAsia="TimesNewRomanPSMT"/>
          <w:szCs w:val="24"/>
          <w:lang w:eastAsia="lt-LT"/>
        </w:rPr>
        <w:t xml:space="preserve"> </w:t>
      </w:r>
      <w:r w:rsidRPr="00E02D72">
        <w:rPr>
          <w:rFonts w:eastAsia="TimesNewRomanPSMT"/>
          <w:szCs w:val="24"/>
          <w:lang w:eastAsia="lt-LT"/>
        </w:rPr>
        <w:t>šeimoms tinklą, gerinant paslaugų prieinamumą“ dalyvauja savivaldybės ir nevyriausybinės</w:t>
      </w:r>
      <w:r>
        <w:rPr>
          <w:rFonts w:eastAsia="TimesNewRomanPSMT"/>
          <w:szCs w:val="24"/>
          <w:lang w:eastAsia="lt-LT"/>
        </w:rPr>
        <w:t xml:space="preserve"> </w:t>
      </w:r>
      <w:r w:rsidRPr="00E02D72">
        <w:rPr>
          <w:rFonts w:eastAsia="TimesNewRomanPSMT"/>
          <w:szCs w:val="24"/>
          <w:lang w:eastAsia="lt-LT"/>
        </w:rPr>
        <w:t>organizacijos, kurdamos šeimos paramos centrus, rengdamos seminarus, teikdamos psichologų,</w:t>
      </w:r>
      <w:r>
        <w:rPr>
          <w:rFonts w:eastAsia="TimesNewRomanPSMT"/>
          <w:szCs w:val="24"/>
          <w:lang w:eastAsia="lt-LT"/>
        </w:rPr>
        <w:t xml:space="preserve"> </w:t>
      </w:r>
      <w:r w:rsidRPr="00E02D72">
        <w:rPr>
          <w:rFonts w:eastAsia="TimesNewRomanPSMT"/>
          <w:szCs w:val="24"/>
          <w:lang w:eastAsia="lt-LT"/>
        </w:rPr>
        <w:t>meno terapijos ir sveikos gyvensenos specialistų konsultacijas, organizuodamos šventes ir kitus</w:t>
      </w:r>
      <w:r>
        <w:rPr>
          <w:rFonts w:eastAsia="TimesNewRomanPSMT"/>
          <w:szCs w:val="24"/>
          <w:lang w:eastAsia="lt-LT"/>
        </w:rPr>
        <w:t xml:space="preserve"> </w:t>
      </w:r>
      <w:r w:rsidRPr="00E02D72">
        <w:rPr>
          <w:rFonts w:eastAsia="TimesNewRomanPSMT"/>
          <w:szCs w:val="24"/>
          <w:lang w:eastAsia="lt-LT"/>
        </w:rPr>
        <w:t>užsiėmimus, skirtus visiems šeimos nariams skatinant šeimų savarankiškumą, puoselėjant</w:t>
      </w:r>
      <w:r>
        <w:rPr>
          <w:rFonts w:eastAsia="TimesNewRomanPSMT"/>
          <w:szCs w:val="24"/>
          <w:lang w:eastAsia="lt-LT"/>
        </w:rPr>
        <w:t xml:space="preserve"> </w:t>
      </w:r>
      <w:r w:rsidRPr="00E02D72">
        <w:rPr>
          <w:rFonts w:eastAsia="TimesNewRomanPSMT"/>
          <w:szCs w:val="24"/>
          <w:lang w:eastAsia="lt-LT"/>
        </w:rPr>
        <w:t>tarpusavio pagalbą ir atsakomybę, aktyvumą, kūrybiškumą ir verslumą, kuriant naujas socialines ir</w:t>
      </w:r>
      <w:r>
        <w:rPr>
          <w:rFonts w:eastAsia="TimesNewRomanPSMT"/>
          <w:szCs w:val="24"/>
          <w:lang w:eastAsia="lt-LT"/>
        </w:rPr>
        <w:t xml:space="preserve"> </w:t>
      </w:r>
      <w:r w:rsidRPr="00E02D72">
        <w:rPr>
          <w:rFonts w:eastAsia="TimesNewRomanPSMT"/>
          <w:szCs w:val="24"/>
          <w:lang w:eastAsia="lt-LT"/>
        </w:rPr>
        <w:t>ekonomines sąlygas, užtikrinančias visavertį šeimų funkcionavimą. Įgyvendinant Strategijos</w:t>
      </w:r>
      <w:r>
        <w:rPr>
          <w:rFonts w:eastAsia="TimesNewRomanPSMT"/>
          <w:szCs w:val="24"/>
          <w:lang w:eastAsia="lt-LT"/>
        </w:rPr>
        <w:t xml:space="preserve"> </w:t>
      </w:r>
      <w:r w:rsidRPr="00E02D72">
        <w:rPr>
          <w:rFonts w:eastAsia="TimesNewRomanPSMT"/>
          <w:szCs w:val="24"/>
          <w:lang w:eastAsia="lt-LT"/>
        </w:rPr>
        <w:t>veiksmų planą pagal kompetenciją dalyvauja ir kitos institucijos.</w:t>
      </w:r>
      <w:r>
        <w:rPr>
          <w:rFonts w:eastAsia="TimesNewRomanPSMT"/>
          <w:szCs w:val="24"/>
          <w:lang w:eastAsia="lt-LT"/>
        </w:rPr>
        <w:t xml:space="preserve"> </w:t>
      </w:r>
      <w:r w:rsidRPr="00E02D72">
        <w:rPr>
          <w:rFonts w:eastAsia="TimesNewRomanPSMT"/>
          <w:szCs w:val="24"/>
          <w:lang w:eastAsia="lt-LT"/>
        </w:rPr>
        <w:t xml:space="preserve">Už socialinių paslaugų teikimo savo teritorijos </w:t>
      </w:r>
      <w:r w:rsidRPr="00E02D72">
        <w:rPr>
          <w:rFonts w:eastAsia="TimesNewRomanPSMT"/>
          <w:szCs w:val="24"/>
          <w:lang w:eastAsia="lt-LT"/>
        </w:rPr>
        <w:lastRenderedPageBreak/>
        <w:t>gyventojams užtikrinimą, planuodama</w:t>
      </w:r>
      <w:r>
        <w:rPr>
          <w:rFonts w:eastAsia="TimesNewRomanPSMT"/>
          <w:szCs w:val="24"/>
          <w:lang w:eastAsia="lt-LT"/>
        </w:rPr>
        <w:t xml:space="preserve"> </w:t>
      </w:r>
      <w:r w:rsidRPr="00E02D72">
        <w:rPr>
          <w:rFonts w:eastAsia="TimesNewRomanPSMT"/>
          <w:szCs w:val="24"/>
          <w:lang w:eastAsia="lt-LT"/>
        </w:rPr>
        <w:t>ir organizuodama socialines paslaugas, kontroliuodama bendrųjų socialinių paslaugų ir socialinės</w:t>
      </w:r>
      <w:r>
        <w:rPr>
          <w:rFonts w:eastAsia="TimesNewRomanPSMT"/>
          <w:szCs w:val="24"/>
          <w:lang w:eastAsia="lt-LT"/>
        </w:rPr>
        <w:t xml:space="preserve"> </w:t>
      </w:r>
      <w:r w:rsidRPr="00E02D72">
        <w:rPr>
          <w:rFonts w:eastAsia="TimesNewRomanPSMT"/>
          <w:szCs w:val="24"/>
          <w:lang w:eastAsia="lt-LT"/>
        </w:rPr>
        <w:t>priežiūros kokybę, atsako savivaldybė. Teikiant socialines paslaugas, nėščios moterys, vaitojančios</w:t>
      </w:r>
      <w:r>
        <w:rPr>
          <w:rFonts w:eastAsia="TimesNewRomanPSMT"/>
          <w:szCs w:val="24"/>
          <w:lang w:eastAsia="lt-LT"/>
        </w:rPr>
        <w:t xml:space="preserve"> </w:t>
      </w:r>
      <w:r w:rsidRPr="00E02D72">
        <w:rPr>
          <w:rFonts w:eastAsia="TimesNewRomanPSMT"/>
          <w:szCs w:val="24"/>
          <w:lang w:eastAsia="lt-LT"/>
        </w:rPr>
        <w:t>alkoholį, nėra išskiriamos į atskirą socialinių paslaugų gavėjų grupę. Šeimos, kuriose bent vienas iš</w:t>
      </w:r>
      <w:r>
        <w:rPr>
          <w:rFonts w:eastAsia="TimesNewRomanPSMT"/>
          <w:szCs w:val="24"/>
          <w:lang w:eastAsia="lt-LT"/>
        </w:rPr>
        <w:t xml:space="preserve"> </w:t>
      </w:r>
      <w:r w:rsidRPr="00E02D72">
        <w:rPr>
          <w:rFonts w:eastAsia="TimesNewRomanPSMT"/>
          <w:szCs w:val="24"/>
          <w:lang w:eastAsia="lt-LT"/>
        </w:rPr>
        <w:t>tėvų piktnaudžiauja alkoholiu, patenka į socialinės rizikos šeimų sąrašą ir pagalba joms teikiama</w:t>
      </w:r>
      <w:r>
        <w:rPr>
          <w:rFonts w:eastAsia="TimesNewRomanPSMT"/>
          <w:szCs w:val="24"/>
          <w:lang w:eastAsia="lt-LT"/>
        </w:rPr>
        <w:t xml:space="preserve"> </w:t>
      </w:r>
      <w:r w:rsidRPr="00E02D72">
        <w:rPr>
          <w:rFonts w:eastAsia="TimesNewRomanPSMT"/>
          <w:szCs w:val="24"/>
          <w:lang w:eastAsia="lt-LT"/>
        </w:rPr>
        <w:t>kaip socialinės rizikos šeimoms.</w:t>
      </w:r>
      <w:r>
        <w:rPr>
          <w:rFonts w:eastAsia="TimesNewRomanPSMT"/>
          <w:szCs w:val="24"/>
          <w:lang w:eastAsia="lt-LT"/>
        </w:rPr>
        <w:t xml:space="preserve"> </w:t>
      </w:r>
      <w:r w:rsidRPr="00E02D72">
        <w:rPr>
          <w:rFonts w:eastAsia="TimesNewRomanPSMT"/>
          <w:szCs w:val="24"/>
          <w:lang w:eastAsia="lt-LT"/>
        </w:rPr>
        <w:t>Remiantis Valstybės vaiko teisių apsaugos ir įvaikinimo tarnybos duomenimis,</w:t>
      </w:r>
      <w:r>
        <w:rPr>
          <w:rFonts w:eastAsia="TimesNewRomanPSMT"/>
          <w:szCs w:val="24"/>
          <w:lang w:eastAsia="lt-LT"/>
        </w:rPr>
        <w:t xml:space="preserve"> </w:t>
      </w:r>
      <w:r w:rsidRPr="00E02D72">
        <w:rPr>
          <w:rFonts w:eastAsia="TimesNewRomanPSMT"/>
          <w:szCs w:val="24"/>
          <w:lang w:eastAsia="lt-LT"/>
        </w:rPr>
        <w:t xml:space="preserve">Lietuvoje 2013 m. pabaigoje buvo </w:t>
      </w:r>
      <w:r w:rsidRPr="00610C18">
        <w:rPr>
          <w:rFonts w:eastAsia="TimesNewRomanPSMT"/>
          <w:b/>
          <w:szCs w:val="24"/>
          <w:lang w:eastAsia="lt-LT"/>
        </w:rPr>
        <w:t>10235</w:t>
      </w:r>
      <w:r w:rsidRPr="00E02D72">
        <w:rPr>
          <w:rFonts w:eastAsia="TimesNewRomanPSMT"/>
          <w:szCs w:val="24"/>
          <w:lang w:eastAsia="lt-LT"/>
        </w:rPr>
        <w:t xml:space="preserve"> socialinės rizikos šeimos, kuriose augo </w:t>
      </w:r>
      <w:r w:rsidRPr="00610C18">
        <w:rPr>
          <w:rFonts w:eastAsia="TimesNewRomanPSMT"/>
          <w:b/>
          <w:szCs w:val="24"/>
          <w:lang w:eastAsia="lt-LT"/>
        </w:rPr>
        <w:t xml:space="preserve">20664 </w:t>
      </w:r>
      <w:r w:rsidRPr="00E02D72">
        <w:rPr>
          <w:rFonts w:eastAsia="TimesNewRomanPSMT"/>
          <w:szCs w:val="24"/>
          <w:lang w:eastAsia="lt-LT"/>
        </w:rPr>
        <w:t>vaikai.</w:t>
      </w:r>
      <w:r>
        <w:rPr>
          <w:rFonts w:eastAsia="TimesNewRomanPSMT"/>
          <w:szCs w:val="24"/>
          <w:lang w:eastAsia="lt-LT"/>
        </w:rPr>
        <w:t xml:space="preserve"> </w:t>
      </w:r>
      <w:r w:rsidRPr="00610C18">
        <w:rPr>
          <w:rFonts w:eastAsia="TimesNewRomanPSMT"/>
          <w:b/>
          <w:szCs w:val="24"/>
          <w:lang w:eastAsia="lt-LT"/>
        </w:rPr>
        <w:t xml:space="preserve">4871 </w:t>
      </w:r>
      <w:r w:rsidRPr="00E02D72">
        <w:rPr>
          <w:rFonts w:eastAsia="TimesNewRomanPSMT"/>
          <w:szCs w:val="24"/>
          <w:lang w:eastAsia="lt-LT"/>
        </w:rPr>
        <w:t>šeima į socialinės rizikos šeimų apskaitą buvo įrašyta dėl alkoholio ir kitų psichoaktyviųjų</w:t>
      </w:r>
      <w:r>
        <w:rPr>
          <w:rFonts w:eastAsia="TimesNewRomanPSMT"/>
          <w:szCs w:val="24"/>
          <w:lang w:eastAsia="lt-LT"/>
        </w:rPr>
        <w:t xml:space="preserve"> </w:t>
      </w:r>
      <w:r w:rsidRPr="00E02D72">
        <w:rPr>
          <w:rFonts w:eastAsia="TimesNewRomanPSMT"/>
          <w:szCs w:val="24"/>
          <w:lang w:eastAsia="lt-LT"/>
        </w:rPr>
        <w:t>medžiagų vartojimo, tai sudaro beveik 48 procentus visų šeimų, kurios patenka į socialinės rizikos</w:t>
      </w:r>
      <w:r>
        <w:rPr>
          <w:rFonts w:eastAsia="TimesNewRomanPSMT"/>
          <w:szCs w:val="24"/>
          <w:lang w:eastAsia="lt-LT"/>
        </w:rPr>
        <w:t xml:space="preserve"> </w:t>
      </w:r>
      <w:r w:rsidRPr="00E02D72">
        <w:rPr>
          <w:rFonts w:eastAsia="TimesNewRomanPSMT"/>
          <w:szCs w:val="24"/>
          <w:lang w:eastAsia="lt-LT"/>
        </w:rPr>
        <w:t>šeimų apskaitą.</w:t>
      </w:r>
      <w:r>
        <w:rPr>
          <w:rFonts w:eastAsia="TimesNewRomanPSMT"/>
          <w:szCs w:val="24"/>
          <w:lang w:eastAsia="lt-LT"/>
        </w:rPr>
        <w:t xml:space="preserve"> </w:t>
      </w:r>
      <w:r w:rsidRPr="00E02D72">
        <w:rPr>
          <w:rFonts w:eastAsia="TimesNewRomanPSMT"/>
          <w:szCs w:val="24"/>
          <w:lang w:eastAsia="lt-LT"/>
        </w:rPr>
        <w:t>Stiprinant socialinį darbą su socialinės rizikos šeimomis, valstybės biudžeto lėšomis</w:t>
      </w:r>
      <w:r>
        <w:rPr>
          <w:rFonts w:eastAsia="TimesNewRomanPSMT"/>
          <w:szCs w:val="24"/>
          <w:lang w:eastAsia="lt-LT"/>
        </w:rPr>
        <w:t xml:space="preserve"> </w:t>
      </w:r>
      <w:r w:rsidRPr="00E02D72">
        <w:rPr>
          <w:rFonts w:eastAsia="TimesNewRomanPSMT"/>
          <w:szCs w:val="24"/>
          <w:lang w:eastAsia="lt-LT"/>
        </w:rPr>
        <w:t>savivaldybėse pradėtos steigti socialinių darbuotojų darbui su šiomis šeimomis pareigybės.</w:t>
      </w:r>
      <w:r>
        <w:rPr>
          <w:rFonts w:eastAsia="TimesNewRomanPSMT"/>
          <w:szCs w:val="24"/>
          <w:lang w:eastAsia="lt-LT"/>
        </w:rPr>
        <w:t xml:space="preserve"> </w:t>
      </w:r>
      <w:r w:rsidRPr="00E02D72">
        <w:rPr>
          <w:rFonts w:eastAsia="TimesNewRomanPSMT"/>
          <w:szCs w:val="24"/>
          <w:lang w:eastAsia="lt-LT"/>
        </w:rPr>
        <w:t>Ministerijos iniciatyva kasmet yra peržiūrimas minėtų pareigybių poreikis, atsižvelgiant į vaikų</w:t>
      </w:r>
      <w:r>
        <w:rPr>
          <w:rFonts w:eastAsia="TimesNewRomanPSMT"/>
          <w:szCs w:val="24"/>
          <w:lang w:eastAsia="lt-LT"/>
        </w:rPr>
        <w:t xml:space="preserve"> </w:t>
      </w:r>
      <w:r w:rsidRPr="00E02D72">
        <w:rPr>
          <w:rFonts w:eastAsia="TimesNewRomanPSMT"/>
          <w:szCs w:val="24"/>
          <w:lang w:eastAsia="lt-LT"/>
        </w:rPr>
        <w:t>skaičių savivaldybėje, savivaldybių teritorinį išsidėstymą, socialinės rizikos šeimų skaičių.</w:t>
      </w:r>
      <w:r>
        <w:rPr>
          <w:rFonts w:eastAsia="TimesNewRomanPSMT"/>
          <w:szCs w:val="24"/>
          <w:lang w:eastAsia="lt-LT"/>
        </w:rPr>
        <w:t xml:space="preserve"> </w:t>
      </w:r>
      <w:r w:rsidRPr="00E02D72">
        <w:rPr>
          <w:rFonts w:eastAsia="TimesNewRomanPSMT"/>
          <w:szCs w:val="24"/>
          <w:lang w:eastAsia="lt-LT"/>
        </w:rPr>
        <w:t>Pareigybių skaičius kasmet didėja (2007 m, buvo 556 pareigybės, 2012 m. - 630,5, 2013 m. -</w:t>
      </w:r>
      <w:r>
        <w:rPr>
          <w:rFonts w:eastAsia="TimesNewRomanPSMT"/>
          <w:szCs w:val="24"/>
          <w:lang w:eastAsia="lt-LT"/>
        </w:rPr>
        <w:t xml:space="preserve"> </w:t>
      </w:r>
      <w:r w:rsidRPr="00E02D72">
        <w:rPr>
          <w:rFonts w:eastAsia="TimesNewRomanPSMT"/>
          <w:szCs w:val="24"/>
          <w:lang w:eastAsia="lt-LT"/>
        </w:rPr>
        <w:t>634,5 pareigybės). 2014 m. savivaldybėse įsteigta papildomai 83 valstybės finansuojamos</w:t>
      </w:r>
      <w:r>
        <w:rPr>
          <w:rFonts w:eastAsia="TimesNewRomanPSMT"/>
          <w:szCs w:val="24"/>
          <w:lang w:eastAsia="lt-LT"/>
        </w:rPr>
        <w:t xml:space="preserve"> </w:t>
      </w:r>
      <w:r w:rsidRPr="00E02D72">
        <w:rPr>
          <w:rFonts w:eastAsia="TimesNewRomanPSMT"/>
          <w:szCs w:val="24"/>
          <w:lang w:eastAsia="lt-LT"/>
        </w:rPr>
        <w:t>socialinio darbuotojo pareigybės darbui su socialinės rizikos šeimomis.</w:t>
      </w:r>
      <w:r>
        <w:rPr>
          <w:rFonts w:eastAsia="TimesNewRomanPSMT"/>
          <w:szCs w:val="24"/>
          <w:lang w:eastAsia="lt-LT"/>
        </w:rPr>
        <w:t xml:space="preserve"> </w:t>
      </w:r>
      <w:r w:rsidRPr="00E02D72">
        <w:rPr>
          <w:rFonts w:eastAsia="TimesNewRomanPSMT"/>
          <w:szCs w:val="24"/>
          <w:lang w:eastAsia="lt-LT"/>
        </w:rPr>
        <w:t>Įgyvendinant Vaiko gerovės 2013-2018 m. programos įgyvendinimo priemonių</w:t>
      </w:r>
      <w:r>
        <w:rPr>
          <w:rFonts w:eastAsia="TimesNewRomanPSMT"/>
          <w:szCs w:val="24"/>
          <w:lang w:eastAsia="lt-LT"/>
        </w:rPr>
        <w:t xml:space="preserve"> </w:t>
      </w:r>
      <w:r w:rsidRPr="00E02D72">
        <w:rPr>
          <w:rFonts w:eastAsia="TimesNewRomanPSMT"/>
          <w:szCs w:val="24"/>
          <w:lang w:eastAsia="lt-LT"/>
        </w:rPr>
        <w:t>plano 2013 metų priemones, įstaigų ir organizacijų, teikiančių kompleksines paslaugas krizinėse</w:t>
      </w:r>
      <w:r>
        <w:rPr>
          <w:rFonts w:eastAsia="TimesNewRomanPSMT"/>
          <w:szCs w:val="24"/>
          <w:lang w:eastAsia="lt-LT"/>
        </w:rPr>
        <w:t xml:space="preserve"> </w:t>
      </w:r>
      <w:r w:rsidRPr="00E02D72">
        <w:rPr>
          <w:rFonts w:eastAsia="TimesNewRomanPSMT"/>
          <w:szCs w:val="24"/>
          <w:lang w:eastAsia="lt-LT"/>
        </w:rPr>
        <w:t>situacijose esantiems tėvams, auginantiems vaikus, ugdant tėvų socialinius ir pozityvios tėvystės</w:t>
      </w:r>
      <w:r>
        <w:rPr>
          <w:rFonts w:eastAsia="TimesNewRomanPSMT"/>
          <w:szCs w:val="24"/>
          <w:lang w:eastAsia="lt-LT"/>
        </w:rPr>
        <w:t xml:space="preserve"> </w:t>
      </w:r>
      <w:r w:rsidRPr="00E02D72">
        <w:rPr>
          <w:rFonts w:eastAsia="TimesNewRomanPSMT"/>
          <w:szCs w:val="24"/>
          <w:lang w:eastAsia="lt-LT"/>
        </w:rPr>
        <w:t>įgūdžius ir teikiant prioritetą ankstyvųjų šeimos krizių prevencijai, 2013 metais kompleksinė</w:t>
      </w:r>
      <w:r>
        <w:rPr>
          <w:rFonts w:eastAsia="TimesNewRomanPSMT"/>
          <w:szCs w:val="24"/>
          <w:lang w:eastAsia="lt-LT"/>
        </w:rPr>
        <w:t xml:space="preserve"> </w:t>
      </w:r>
      <w:r w:rsidRPr="00E02D72">
        <w:rPr>
          <w:rFonts w:eastAsia="TimesNewRomanPSMT"/>
          <w:szCs w:val="24"/>
          <w:lang w:eastAsia="lt-LT"/>
        </w:rPr>
        <w:t>pagalba suteikta 2036 asmenims (807 šeimoms), iš jų: 1087 vaikams, 724 motinoms ir 225 tėvams.</w:t>
      </w:r>
      <w:r>
        <w:rPr>
          <w:rFonts w:eastAsia="TimesNewRomanPSMT"/>
          <w:szCs w:val="24"/>
          <w:lang w:eastAsia="lt-LT"/>
        </w:rPr>
        <w:t xml:space="preserve"> </w:t>
      </w:r>
      <w:r w:rsidRPr="00E02D72">
        <w:rPr>
          <w:rFonts w:eastAsia="TimesNewRomanPSMT"/>
          <w:szCs w:val="24"/>
          <w:lang w:eastAsia="lt-LT"/>
        </w:rPr>
        <w:t>Ministerija, siekdama skatinti valstybės, savivaldybių ir visuomenės</w:t>
      </w:r>
      <w:r>
        <w:rPr>
          <w:rFonts w:eastAsia="TimesNewRomanPSMT"/>
          <w:szCs w:val="24"/>
          <w:lang w:eastAsia="lt-LT"/>
        </w:rPr>
        <w:t xml:space="preserve"> </w:t>
      </w:r>
      <w:r w:rsidRPr="00E02D72">
        <w:rPr>
          <w:rFonts w:eastAsia="TimesNewRomanPSMT"/>
          <w:szCs w:val="24"/>
          <w:lang w:eastAsia="lt-LT"/>
        </w:rPr>
        <w:t>bendradarbiavimą, sprendžiant šeimų gerovės užtikrinimo klausimus, kasmet iš dalies finansuoja</w:t>
      </w:r>
      <w:r>
        <w:rPr>
          <w:rFonts w:eastAsia="TimesNewRomanPSMT"/>
          <w:szCs w:val="24"/>
          <w:lang w:eastAsia="lt-LT"/>
        </w:rPr>
        <w:t xml:space="preserve"> </w:t>
      </w:r>
      <w:r w:rsidRPr="00E02D72">
        <w:rPr>
          <w:rFonts w:eastAsia="TimesNewRomanPSMT"/>
          <w:szCs w:val="24"/>
          <w:lang w:eastAsia="lt-LT"/>
        </w:rPr>
        <w:t>nevyriausybinių organizacijų, dirbančių šeimos gerovės srityje, veiklos projektus. Projektų</w:t>
      </w:r>
      <w:r>
        <w:rPr>
          <w:rFonts w:eastAsia="TimesNewRomanPSMT"/>
          <w:szCs w:val="24"/>
          <w:lang w:eastAsia="lt-LT"/>
        </w:rPr>
        <w:t xml:space="preserve"> </w:t>
      </w:r>
      <w:r w:rsidRPr="00E02D72">
        <w:rPr>
          <w:rFonts w:eastAsia="TimesNewRomanPSMT"/>
          <w:szCs w:val="24"/>
          <w:lang w:eastAsia="lt-LT"/>
        </w:rPr>
        <w:t>vykdytojai vien 2013 metais pagal Nevyriausybinių organizacijų, dirbančių šeimos gerovės srityje,</w:t>
      </w:r>
      <w:r>
        <w:rPr>
          <w:rFonts w:eastAsia="TimesNewRomanPSMT"/>
          <w:szCs w:val="24"/>
          <w:lang w:eastAsia="lt-LT"/>
        </w:rPr>
        <w:t xml:space="preserve"> </w:t>
      </w:r>
      <w:r w:rsidRPr="00E02D72">
        <w:rPr>
          <w:rFonts w:eastAsia="TimesNewRomanPSMT"/>
          <w:szCs w:val="24"/>
          <w:lang w:eastAsia="lt-LT"/>
        </w:rPr>
        <w:t>veiklos projektų atrankos konkurso organizavimo nuostatuose nustatytas prioritetines sritis</w:t>
      </w:r>
      <w:r>
        <w:rPr>
          <w:rFonts w:eastAsia="TimesNewRomanPSMT"/>
          <w:szCs w:val="24"/>
          <w:lang w:eastAsia="lt-LT"/>
        </w:rPr>
        <w:t xml:space="preserve"> </w:t>
      </w:r>
      <w:r w:rsidRPr="00E02D72">
        <w:rPr>
          <w:rFonts w:eastAsia="TimesNewRomanPSMT"/>
          <w:szCs w:val="24"/>
          <w:lang w:eastAsia="lt-LT"/>
        </w:rPr>
        <w:t>organizavo renginius, susijusius su tradicinių šeimos vertybių stiprinimu: pasirengimu šeimai</w:t>
      </w:r>
      <w:r>
        <w:rPr>
          <w:rFonts w:eastAsia="TimesNewRomanPSMT"/>
          <w:szCs w:val="24"/>
          <w:lang w:eastAsia="lt-LT"/>
        </w:rPr>
        <w:t xml:space="preserve"> </w:t>
      </w:r>
      <w:r w:rsidRPr="00E02D72">
        <w:rPr>
          <w:rFonts w:eastAsia="TimesNewRomanPSMT"/>
          <w:szCs w:val="24"/>
          <w:lang w:eastAsia="lt-LT"/>
        </w:rPr>
        <w:t>(3565 renginiai, dalyvavo 9361 asmuo), santykių kultūros šeimoje ugdymo (873 renginiai,</w:t>
      </w:r>
      <w:r>
        <w:rPr>
          <w:rFonts w:eastAsia="TimesNewRomanPSMT"/>
          <w:szCs w:val="24"/>
          <w:lang w:eastAsia="lt-LT"/>
        </w:rPr>
        <w:t xml:space="preserve"> </w:t>
      </w:r>
      <w:r w:rsidRPr="00E02D72">
        <w:rPr>
          <w:rFonts w:eastAsia="TimesNewRomanPSMT"/>
          <w:szCs w:val="24"/>
          <w:lang w:eastAsia="lt-LT"/>
        </w:rPr>
        <w:t>dalyvavo 8869 asmenys), krizių ir konfliktų valdymo prevencijos klausimais (826 renginiai,</w:t>
      </w:r>
      <w:r>
        <w:rPr>
          <w:rFonts w:eastAsia="TimesNewRomanPSMT"/>
          <w:szCs w:val="24"/>
          <w:lang w:eastAsia="lt-LT"/>
        </w:rPr>
        <w:t xml:space="preserve"> </w:t>
      </w:r>
      <w:r w:rsidRPr="00E02D72">
        <w:rPr>
          <w:rFonts w:eastAsia="TimesNewRomanPSMT"/>
          <w:szCs w:val="24"/>
          <w:lang w:eastAsia="lt-LT"/>
        </w:rPr>
        <w:t>dalyvavo 4955 asmenys). Suteikta 759 psichologinės konsultacijos šeimoms ir 2821 socialinė</w:t>
      </w:r>
      <w:r>
        <w:rPr>
          <w:rFonts w:eastAsia="TimesNewRomanPSMT"/>
          <w:szCs w:val="24"/>
          <w:lang w:eastAsia="lt-LT"/>
        </w:rPr>
        <w:t xml:space="preserve"> </w:t>
      </w:r>
      <w:r w:rsidRPr="00E02D72">
        <w:rPr>
          <w:rFonts w:eastAsia="TimesNewRomanPSMT"/>
          <w:szCs w:val="24"/>
          <w:lang w:eastAsia="lt-LT"/>
        </w:rPr>
        <w:t>konsultacija pavieniams asmenims.</w:t>
      </w:r>
    </w:p>
    <w:p w:rsidR="00E80028" w:rsidRDefault="00E80028" w:rsidP="00E80028">
      <w:pPr>
        <w:pStyle w:val="Antrats"/>
        <w:ind w:firstLine="720"/>
        <w:jc w:val="both"/>
        <w:rPr>
          <w:szCs w:val="24"/>
        </w:rPr>
      </w:pPr>
      <w:r>
        <w:rPr>
          <w:rFonts w:eastAsia="TimesNewRomanPSMT"/>
          <w:szCs w:val="24"/>
          <w:lang w:eastAsia="lt-LT"/>
        </w:rPr>
        <w:t xml:space="preserve">Komisija </w:t>
      </w:r>
      <w:r>
        <w:rPr>
          <w:bCs/>
        </w:rPr>
        <w:t xml:space="preserve">2014-04-17 raštu Nr. S-2014-3349 ” Dėl informacijos pateikimo” kreipėsi į Sveikatos apsaugos </w:t>
      </w:r>
      <w:r>
        <w:t xml:space="preserve">ministrą, nurodydama, kad  </w:t>
      </w:r>
      <w:r>
        <w:rPr>
          <w:szCs w:val="24"/>
        </w:rPr>
        <w:t xml:space="preserve">nagrinėja alkoholio vartojimo  poveikio neštumo metu ir alkoholio vartojimo prevencijos priemonių įgyvendinimo Lietuvoje klausimus, nes Vaisiaus alkoholinis sindromas (VAS) – sunkiausias alkoholio nulemtas vaisiaus raidos sutrikimas, todėl labai svarbu, kad alkoholis nebūtų vartojamas neštumo metu, o alkoholinių gėrimų gamintojai tinkamai informuotų vartotojus apie gaminamų produktų keliamą pavojų sveikatai. </w:t>
      </w:r>
    </w:p>
    <w:p w:rsidR="00E80028" w:rsidRDefault="00E80028" w:rsidP="00E80028">
      <w:pPr>
        <w:pStyle w:val="Antrats"/>
        <w:ind w:firstLine="720"/>
        <w:jc w:val="both"/>
        <w:rPr>
          <w:szCs w:val="24"/>
        </w:rPr>
      </w:pPr>
      <w:r>
        <w:rPr>
          <w:szCs w:val="24"/>
        </w:rPr>
        <w:t xml:space="preserve">Komisija pažymėjo, kad Lietuvoje nuo 2005 metų kasmet didėja gimusių vaikų, kuriems užregistruotas VAS, skaičius. Privalomojo sveikatos draudimo informacinės sistemos SVEIDRA duomenimis,  2011 metais naujagimių su vaisiaus alkoholiniu sindromu (Q86.0), skaičius -7.  Asmenų, kuriems 2012 metais  asmens sveikatos priežiūros įstaigose užregistruotas vaisiaus alkoholinis sindromas (Q86.0), (tik stacionaro atvejai) iš viso buvo 40, kūdikių iki 1 metų – 6. </w:t>
      </w:r>
    </w:p>
    <w:p w:rsidR="00E80028" w:rsidRDefault="00E80028" w:rsidP="00E80028">
      <w:pPr>
        <w:pStyle w:val="Antrats"/>
        <w:ind w:firstLine="720"/>
        <w:jc w:val="both"/>
        <w:rPr>
          <w:szCs w:val="24"/>
        </w:rPr>
      </w:pPr>
      <w:r>
        <w:rPr>
          <w:szCs w:val="24"/>
        </w:rPr>
        <w:t>Komisija paprašė pateikti informaciją:</w:t>
      </w:r>
    </w:p>
    <w:p w:rsidR="00E80028" w:rsidRDefault="00E80028" w:rsidP="00E80028">
      <w:pPr>
        <w:pStyle w:val="Antrats"/>
        <w:numPr>
          <w:ilvl w:val="0"/>
          <w:numId w:val="74"/>
        </w:numPr>
        <w:tabs>
          <w:tab w:val="clear" w:pos="4320"/>
          <w:tab w:val="clear" w:pos="8640"/>
        </w:tabs>
        <w:jc w:val="both"/>
        <w:rPr>
          <w:szCs w:val="24"/>
        </w:rPr>
      </w:pPr>
      <w:r>
        <w:rPr>
          <w:szCs w:val="24"/>
        </w:rPr>
        <w:t xml:space="preserve">Ar minėta diagnozė rašoma tik naujagimiams ir vėlesniame amžiuje įrašomos kitos papildomos ligos, ar ši diagnozė išlieka visam gyvenimui ir tai atsispindi vėlesniuose statistiniuose duomenyse. </w:t>
      </w:r>
    </w:p>
    <w:p w:rsidR="00E80028" w:rsidRPr="00145D99" w:rsidRDefault="00E80028" w:rsidP="00E80028">
      <w:pPr>
        <w:pStyle w:val="Antrats"/>
        <w:numPr>
          <w:ilvl w:val="0"/>
          <w:numId w:val="74"/>
        </w:numPr>
        <w:tabs>
          <w:tab w:val="clear" w:pos="4320"/>
          <w:tab w:val="clear" w:pos="8640"/>
        </w:tabs>
        <w:jc w:val="both"/>
        <w:rPr>
          <w:szCs w:val="24"/>
        </w:rPr>
      </w:pPr>
      <w:r>
        <w:rPr>
          <w:szCs w:val="24"/>
        </w:rPr>
        <w:lastRenderedPageBreak/>
        <w:t xml:space="preserve">Kokias priemones </w:t>
      </w:r>
      <w:r>
        <w:t xml:space="preserve">Sveikatos apsaugos ministerija (toliau-Ministerija) taiko, kad sumažinti </w:t>
      </w:r>
      <w:r w:rsidRPr="00145D99">
        <w:rPr>
          <w:szCs w:val="24"/>
        </w:rPr>
        <w:t xml:space="preserve">alkoholio vartojamą  neštumo metu ir kaip Lietuvos </w:t>
      </w:r>
      <w:r>
        <w:rPr>
          <w:szCs w:val="24"/>
        </w:rPr>
        <w:t xml:space="preserve">visuomenė </w:t>
      </w:r>
      <w:r w:rsidRPr="00145D99">
        <w:rPr>
          <w:szCs w:val="24"/>
        </w:rPr>
        <w:t xml:space="preserve">informuojama apie alkoholinių gėrimų neštumo metu keliamą pavojų sveikatai.  </w:t>
      </w:r>
    </w:p>
    <w:p w:rsidR="00E80028" w:rsidRDefault="00E80028" w:rsidP="00E80028">
      <w:pPr>
        <w:pStyle w:val="Antrats"/>
        <w:numPr>
          <w:ilvl w:val="0"/>
          <w:numId w:val="74"/>
        </w:numPr>
        <w:tabs>
          <w:tab w:val="clear" w:pos="4320"/>
          <w:tab w:val="clear" w:pos="8640"/>
        </w:tabs>
        <w:jc w:val="both"/>
        <w:rPr>
          <w:szCs w:val="24"/>
        </w:rPr>
      </w:pPr>
      <w:r>
        <w:rPr>
          <w:szCs w:val="24"/>
        </w:rPr>
        <w:t>Kokias priemones siūlytų Mi</w:t>
      </w:r>
      <w:r w:rsidRPr="00145D99">
        <w:rPr>
          <w:szCs w:val="24"/>
        </w:rPr>
        <w:t>nisterija</w:t>
      </w:r>
      <w:r>
        <w:rPr>
          <w:szCs w:val="24"/>
        </w:rPr>
        <w:t xml:space="preserve"> papildomai taikyti</w:t>
      </w:r>
      <w:r w:rsidRPr="00145D99">
        <w:rPr>
          <w:szCs w:val="24"/>
        </w:rPr>
        <w:t xml:space="preserve">, kad sumažinti alkoholio vartojamą  neštumo metu ir kaip Lietuvos </w:t>
      </w:r>
      <w:r>
        <w:rPr>
          <w:szCs w:val="24"/>
        </w:rPr>
        <w:t xml:space="preserve">visuomenė turėtų būti </w:t>
      </w:r>
      <w:r w:rsidRPr="00145D99">
        <w:rPr>
          <w:szCs w:val="24"/>
        </w:rPr>
        <w:t xml:space="preserve">informuojama apie alkoholinių gėrimų neštumo metu </w:t>
      </w:r>
      <w:r>
        <w:rPr>
          <w:szCs w:val="24"/>
        </w:rPr>
        <w:t>keliamą pavojų sveikatai bei  kokios institucijos turėtų imtis papildomų veiksmų situacijai pakeisti.</w:t>
      </w:r>
      <w:r w:rsidRPr="00145D99">
        <w:rPr>
          <w:szCs w:val="24"/>
        </w:rPr>
        <w:t xml:space="preserve">  </w:t>
      </w:r>
    </w:p>
    <w:p w:rsidR="00E80028" w:rsidRPr="00145D99" w:rsidRDefault="00E80028" w:rsidP="00E80028">
      <w:pPr>
        <w:pStyle w:val="Antrats"/>
        <w:numPr>
          <w:ilvl w:val="0"/>
          <w:numId w:val="74"/>
        </w:numPr>
        <w:tabs>
          <w:tab w:val="clear" w:pos="4320"/>
          <w:tab w:val="clear" w:pos="8640"/>
        </w:tabs>
        <w:jc w:val="both"/>
        <w:rPr>
          <w:szCs w:val="24"/>
        </w:rPr>
      </w:pPr>
      <w:r>
        <w:rPr>
          <w:szCs w:val="24"/>
        </w:rPr>
        <w:t>Kiek 2012 – 2014 metais buvo skiriama kasmet lėšų asmenų, kuriems asmens sveikatos priežiūros įstaigose užregistruotas vaisiaus alkoholinis sindromas (Q86.0), gydymui.</w:t>
      </w:r>
    </w:p>
    <w:p w:rsidR="00E80028" w:rsidRDefault="00E80028" w:rsidP="00E80028">
      <w:pPr>
        <w:pStyle w:val="Antrats"/>
        <w:numPr>
          <w:ilvl w:val="0"/>
          <w:numId w:val="74"/>
        </w:numPr>
        <w:tabs>
          <w:tab w:val="clear" w:pos="4320"/>
          <w:tab w:val="clear" w:pos="8640"/>
        </w:tabs>
        <w:jc w:val="both"/>
        <w:rPr>
          <w:szCs w:val="24"/>
        </w:rPr>
      </w:pPr>
      <w:r>
        <w:t xml:space="preserve">  </w:t>
      </w:r>
      <w:r>
        <w:rPr>
          <w:szCs w:val="24"/>
        </w:rPr>
        <w:t>Kodėl nėra notifikuotas dabartiniu metu galiojantis Lietuvos Respublikos Alkoholio kontrolės įstatymas.</w:t>
      </w:r>
    </w:p>
    <w:p w:rsidR="00E80028" w:rsidRDefault="00E80028" w:rsidP="00E80028">
      <w:pPr>
        <w:pStyle w:val="Antrats"/>
        <w:numPr>
          <w:ilvl w:val="0"/>
          <w:numId w:val="74"/>
        </w:numPr>
        <w:tabs>
          <w:tab w:val="clear" w:pos="4320"/>
          <w:tab w:val="clear" w:pos="8640"/>
        </w:tabs>
        <w:jc w:val="both"/>
        <w:rPr>
          <w:szCs w:val="24"/>
        </w:rPr>
      </w:pPr>
      <w:r>
        <w:t xml:space="preserve"> </w:t>
      </w:r>
      <w:r>
        <w:rPr>
          <w:szCs w:val="24"/>
        </w:rPr>
        <w:t>Kokia Ministerijos nuomonė būtų dėl privalomo alkoholinių gėrimų etikečių žymėjimo Lietuvoje. Tokia praktika taikoma Prancūzijoje. Kokiais nacionaliniais teisės aktais galimas alkoholinių gėrimų etikečių žymėjimo reglamentavimas Lietuvoje.</w:t>
      </w:r>
    </w:p>
    <w:p w:rsidR="00E80028" w:rsidRDefault="00E80028" w:rsidP="00E80028">
      <w:pPr>
        <w:pStyle w:val="Antrats"/>
        <w:ind w:left="1080"/>
        <w:jc w:val="both"/>
        <w:rPr>
          <w:szCs w:val="24"/>
        </w:rPr>
      </w:pPr>
      <w:r>
        <w:t xml:space="preserve">          </w:t>
      </w:r>
    </w:p>
    <w:p w:rsidR="00E80028" w:rsidRDefault="00E80028" w:rsidP="00E80028">
      <w:pPr>
        <w:autoSpaceDE w:val="0"/>
        <w:autoSpaceDN w:val="0"/>
        <w:adjustRightInd w:val="0"/>
        <w:ind w:firstLine="720"/>
        <w:jc w:val="both"/>
        <w:rPr>
          <w:rFonts w:eastAsia="TimesNewRomanPSMT"/>
          <w:lang w:eastAsia="lt-LT"/>
        </w:rPr>
      </w:pPr>
      <w:r w:rsidRPr="00716A12">
        <w:rPr>
          <w:rFonts w:eastAsia="TimesNewRomanPSMT"/>
          <w:lang w:eastAsia="lt-LT"/>
        </w:rPr>
        <w:t xml:space="preserve">Sveikatos apsaugos ministerija </w:t>
      </w:r>
      <w:r>
        <w:rPr>
          <w:rFonts w:eastAsia="TimesNewRomanPSMT"/>
          <w:lang w:eastAsia="lt-LT"/>
        </w:rPr>
        <w:t xml:space="preserve">2014-05-07 raštu Nr.(10.1.3.1)10-4403 pateikė </w:t>
      </w:r>
      <w:r w:rsidRPr="00716A12">
        <w:rPr>
          <w:rFonts w:eastAsia="TimesNewRomanPSMT"/>
          <w:lang w:eastAsia="lt-LT"/>
        </w:rPr>
        <w:t>informaciją dėl 2014 m. balandžio 17 d. rašte</w:t>
      </w:r>
      <w:r>
        <w:rPr>
          <w:rFonts w:eastAsia="TimesNewRomanPSMT"/>
          <w:lang w:eastAsia="lt-LT"/>
        </w:rPr>
        <w:t xml:space="preserve"> </w:t>
      </w:r>
      <w:r w:rsidRPr="00716A12">
        <w:rPr>
          <w:rFonts w:eastAsia="TimesNewRomanPSMT"/>
          <w:lang w:eastAsia="lt-LT"/>
        </w:rPr>
        <w:t>išdėstytų galimo alkoholio vartojimo poveikio nėštumo metu ir alkoholio vartojimo prevencijos</w:t>
      </w:r>
      <w:r>
        <w:rPr>
          <w:rFonts w:eastAsia="TimesNewRomanPSMT"/>
          <w:lang w:eastAsia="lt-LT"/>
        </w:rPr>
        <w:t xml:space="preserve"> </w:t>
      </w:r>
      <w:r w:rsidRPr="00716A12">
        <w:rPr>
          <w:rFonts w:eastAsia="TimesNewRomanPSMT"/>
          <w:lang w:eastAsia="lt-LT"/>
        </w:rPr>
        <w:t>priemonių įgyvendinimo Lietuvoje klausimų.</w:t>
      </w:r>
      <w:r>
        <w:rPr>
          <w:rFonts w:eastAsia="TimesNewRomanPSMT"/>
          <w:lang w:eastAsia="lt-LT"/>
        </w:rPr>
        <w:t xml:space="preserve"> Atsakydami į</w:t>
      </w:r>
      <w:r w:rsidRPr="00716A12">
        <w:rPr>
          <w:rFonts w:eastAsia="TimesNewRomanPSMT"/>
          <w:lang w:eastAsia="lt-LT"/>
        </w:rPr>
        <w:t xml:space="preserve"> pirmą, iš dalies - į antrą ir ketvirtą</w:t>
      </w:r>
      <w:r>
        <w:rPr>
          <w:rFonts w:eastAsia="TimesNewRomanPSMT"/>
          <w:lang w:eastAsia="lt-LT"/>
        </w:rPr>
        <w:t xml:space="preserve"> klausimus informavo</w:t>
      </w:r>
      <w:r w:rsidRPr="00716A12">
        <w:rPr>
          <w:rFonts w:eastAsia="TimesNewRomanPSMT"/>
          <w:lang w:eastAsia="lt-LT"/>
        </w:rPr>
        <w:t>, kad</w:t>
      </w:r>
      <w:r>
        <w:rPr>
          <w:rFonts w:eastAsia="TimesNewRomanPSMT"/>
          <w:lang w:eastAsia="lt-LT"/>
        </w:rPr>
        <w:t xml:space="preserve"> </w:t>
      </w:r>
      <w:r w:rsidRPr="00716A12">
        <w:rPr>
          <w:rFonts w:eastAsia="TimesNewRomanPSMT"/>
          <w:lang w:eastAsia="lt-LT"/>
        </w:rPr>
        <w:t>Tarptautinės statistinės ligų ir sveikatos sutrikimų klasifikacijos, dešimtojo pataisyto ir papildyto</w:t>
      </w:r>
      <w:r>
        <w:rPr>
          <w:rFonts w:eastAsia="TimesNewRomanPSMT"/>
          <w:lang w:eastAsia="lt-LT"/>
        </w:rPr>
        <w:t xml:space="preserve"> </w:t>
      </w:r>
      <w:r w:rsidRPr="00716A12">
        <w:rPr>
          <w:rFonts w:eastAsia="TimesNewRomanPSMT"/>
          <w:lang w:eastAsia="lt-LT"/>
        </w:rPr>
        <w:t>leidimo, Australijos modifikacijos Sisteminiame ligų sąraše įrašytos tokios būklės: vaisiaus ir</w:t>
      </w:r>
      <w:r>
        <w:rPr>
          <w:rFonts w:eastAsia="TimesNewRomanPSMT"/>
          <w:lang w:eastAsia="lt-LT"/>
        </w:rPr>
        <w:t xml:space="preserve"> </w:t>
      </w:r>
      <w:r w:rsidRPr="00716A12">
        <w:rPr>
          <w:rFonts w:eastAsia="TimesNewRomanPSMT"/>
          <w:lang w:eastAsia="lt-LT"/>
        </w:rPr>
        <w:t xml:space="preserve">naujagimio patologija dėl motinos vartojamo alkoholio </w:t>
      </w:r>
      <w:r w:rsidRPr="00716A12">
        <w:rPr>
          <w:rFonts w:eastAsia="TimesNewRomanPSMT"/>
          <w:i/>
          <w:iCs/>
          <w:lang w:eastAsia="lt-LT"/>
        </w:rPr>
        <w:t xml:space="preserve">išskyrus </w:t>
      </w:r>
      <w:r w:rsidRPr="00716A12">
        <w:rPr>
          <w:rFonts w:eastAsia="TimesNewRomanPSMT"/>
          <w:lang w:eastAsia="lt-LT"/>
        </w:rPr>
        <w:t>vaisiaus alkoholinį sindromą</w:t>
      </w:r>
      <w:r>
        <w:rPr>
          <w:rFonts w:eastAsia="TimesNewRomanPSMT"/>
          <w:lang w:eastAsia="lt-LT"/>
        </w:rPr>
        <w:t xml:space="preserve"> </w:t>
      </w:r>
      <w:r w:rsidRPr="00716A12">
        <w:rPr>
          <w:rFonts w:eastAsia="TimesNewRomanPSMT"/>
          <w:lang w:eastAsia="lt-LT"/>
        </w:rPr>
        <w:t>(P04.3) ir vaisiaus alkoholinis sindromas (dismorfinis) (Q86.0). Šie terminai apima visą</w:t>
      </w:r>
      <w:r>
        <w:rPr>
          <w:rFonts w:eastAsia="TimesNewRomanPSMT"/>
          <w:lang w:eastAsia="lt-LT"/>
        </w:rPr>
        <w:t xml:space="preserve"> </w:t>
      </w:r>
      <w:r w:rsidRPr="00716A12">
        <w:rPr>
          <w:rFonts w:eastAsia="TimesNewRomanPSMT"/>
          <w:lang w:eastAsia="lt-LT"/>
        </w:rPr>
        <w:t>perinataliniu periodu vartoto alkoholio sukeltų pažeidimų spektrą: nuo nežymaus vaisiaus ir</w:t>
      </w:r>
      <w:r>
        <w:rPr>
          <w:rFonts w:eastAsia="TimesNewRomanPSMT"/>
          <w:lang w:eastAsia="lt-LT"/>
        </w:rPr>
        <w:t xml:space="preserve"> </w:t>
      </w:r>
      <w:r w:rsidRPr="00716A12">
        <w:rPr>
          <w:rFonts w:eastAsia="TimesNewRomanPSMT"/>
          <w:lang w:eastAsia="lt-LT"/>
        </w:rPr>
        <w:t>naujagimio vystymosi atsilikimo iki gilaus ir ilgalaikio protinio atsilikimo, būdingų veido stigmų,</w:t>
      </w:r>
      <w:r>
        <w:rPr>
          <w:rFonts w:eastAsia="TimesNewRomanPSMT"/>
          <w:lang w:eastAsia="lt-LT"/>
        </w:rPr>
        <w:t xml:space="preserve"> </w:t>
      </w:r>
      <w:r w:rsidRPr="00716A12">
        <w:rPr>
          <w:rFonts w:eastAsia="TimesNewRomanPSMT"/>
          <w:lang w:eastAsia="lt-LT"/>
        </w:rPr>
        <w:t>fizinio vystymosi atsilikimo ir organų (pirmiausia - smegenų) pažeidimo, be to, atspindi arba</w:t>
      </w:r>
      <w:r>
        <w:rPr>
          <w:rFonts w:eastAsia="TimesNewRomanPSMT"/>
          <w:lang w:eastAsia="lt-LT"/>
        </w:rPr>
        <w:t xml:space="preserve"> </w:t>
      </w:r>
      <w:r w:rsidRPr="00716A12">
        <w:rPr>
          <w:rFonts w:eastAsia="TimesNewRomanPSMT"/>
          <w:lang w:eastAsia="lt-LT"/>
        </w:rPr>
        <w:t>vaisiaus ir naujagimio pažeidimo laipsnį, arba nusako ilgalaikes pažeidimo pasekmes. Vaikui</w:t>
      </w:r>
      <w:r>
        <w:rPr>
          <w:rFonts w:eastAsia="TimesNewRomanPSMT"/>
          <w:lang w:eastAsia="lt-LT"/>
        </w:rPr>
        <w:t xml:space="preserve"> </w:t>
      </w:r>
      <w:r w:rsidRPr="00716A12">
        <w:rPr>
          <w:rFonts w:eastAsia="TimesNewRomanPSMT"/>
          <w:lang w:eastAsia="lt-LT"/>
        </w:rPr>
        <w:t>augant, išryškėja ir kiti sutrikimai, kurių neįmanoma arba labai sunku pastebėti naujagimystės</w:t>
      </w:r>
      <w:r>
        <w:rPr>
          <w:rFonts w:eastAsia="TimesNewRomanPSMT"/>
          <w:lang w:eastAsia="lt-LT"/>
        </w:rPr>
        <w:t xml:space="preserve"> </w:t>
      </w:r>
      <w:r w:rsidRPr="00716A12">
        <w:rPr>
          <w:rFonts w:eastAsia="TimesNewRomanPSMT"/>
          <w:lang w:eastAsia="lt-LT"/>
        </w:rPr>
        <w:t>periodu. Jeigu laiku nepradedama medicininė, klinikinė ir edukacinė reabilitacija bei ankstyvosios</w:t>
      </w:r>
      <w:r>
        <w:rPr>
          <w:rFonts w:eastAsia="TimesNewRomanPSMT"/>
          <w:lang w:eastAsia="lt-LT"/>
        </w:rPr>
        <w:t xml:space="preserve"> </w:t>
      </w:r>
      <w:r w:rsidRPr="00716A12">
        <w:rPr>
          <w:rFonts w:eastAsia="TimesNewRomanPSMT"/>
          <w:lang w:eastAsia="lt-LT"/>
        </w:rPr>
        <w:t>terapinės intervencijos, kurios turi apimti visas vaiko vystymosi sritis (sensorinę, emocinę bei</w:t>
      </w:r>
      <w:r>
        <w:rPr>
          <w:rFonts w:eastAsia="TimesNewRomanPSMT"/>
          <w:lang w:eastAsia="lt-LT"/>
        </w:rPr>
        <w:t xml:space="preserve"> </w:t>
      </w:r>
      <w:r w:rsidRPr="00716A12">
        <w:rPr>
          <w:rFonts w:eastAsia="TimesNewRomanPSMT"/>
          <w:lang w:eastAsia="lt-LT"/>
        </w:rPr>
        <w:t>socialinę), gali atsirasti papildomų problemų, kurių nebuvo po gimimo: psichikos sveikatos</w:t>
      </w:r>
      <w:r>
        <w:rPr>
          <w:rFonts w:eastAsia="TimesNewRomanPSMT"/>
          <w:lang w:eastAsia="lt-LT"/>
        </w:rPr>
        <w:t xml:space="preserve"> </w:t>
      </w:r>
      <w:r w:rsidRPr="00716A12">
        <w:rPr>
          <w:rFonts w:eastAsia="TimesNewRomanPSMT"/>
          <w:lang w:eastAsia="lt-LT"/>
        </w:rPr>
        <w:t>sutrikimų (perdėtas impulsyvumas, hiperaktyvumas, netinkamas vaiko elgesys, miego sutrikimai ir</w:t>
      </w:r>
      <w:r>
        <w:rPr>
          <w:rFonts w:eastAsia="TimesNewRomanPSMT"/>
          <w:lang w:eastAsia="lt-LT"/>
        </w:rPr>
        <w:t xml:space="preserve"> </w:t>
      </w:r>
      <w:r w:rsidRPr="00716A12">
        <w:rPr>
          <w:rFonts w:eastAsia="TimesNewRomanPSMT"/>
          <w:lang w:eastAsia="lt-LT"/>
        </w:rPr>
        <w:t>kt.), mokymosi sunkumų, problemų dėl įstatymų laikymosi, narkotikų</w:t>
      </w:r>
      <w:r>
        <w:rPr>
          <w:rFonts w:eastAsia="TimesNewRomanPSMT"/>
          <w:lang w:eastAsia="lt-LT"/>
        </w:rPr>
        <w:t xml:space="preserve"> ar alkoholio vartojimo ir t.t</w:t>
      </w:r>
      <w:r w:rsidRPr="00716A12">
        <w:rPr>
          <w:rFonts w:eastAsia="TimesNewRomanPSMT"/>
          <w:lang w:eastAsia="lt-LT"/>
        </w:rPr>
        <w:t>.</w:t>
      </w:r>
      <w:r>
        <w:rPr>
          <w:rFonts w:eastAsia="TimesNewRomanPSMT"/>
          <w:lang w:eastAsia="lt-LT"/>
        </w:rPr>
        <w:t xml:space="preserve">   </w:t>
      </w:r>
      <w:r w:rsidRPr="00716A12">
        <w:rPr>
          <w:rFonts w:eastAsia="TimesNewRomanPSMT"/>
          <w:lang w:eastAsia="lt-LT"/>
        </w:rPr>
        <w:t>Pasiteiravome kai kurių įstaigų, kaip praktikoje dokumentuojami vaisiaus alkoholinio sindromo</w:t>
      </w:r>
      <w:r>
        <w:rPr>
          <w:rFonts w:eastAsia="TimesNewRomanPSMT"/>
          <w:lang w:eastAsia="lt-LT"/>
        </w:rPr>
        <w:t xml:space="preserve"> </w:t>
      </w:r>
      <w:r w:rsidRPr="00716A12">
        <w:rPr>
          <w:rFonts w:eastAsia="TimesNewRomanPSMT"/>
          <w:lang w:eastAsia="lt-LT"/>
        </w:rPr>
        <w:t>atvejai: vienose įstaigose statistiškai diagnozė „Alkoholinis vaisiaus sindromas“ vartojama kaip</w:t>
      </w:r>
      <w:r>
        <w:rPr>
          <w:rFonts w:eastAsia="TimesNewRomanPSMT"/>
          <w:lang w:eastAsia="lt-LT"/>
        </w:rPr>
        <w:t xml:space="preserve"> </w:t>
      </w:r>
      <w:r w:rsidRPr="00716A12">
        <w:rPr>
          <w:rFonts w:eastAsia="TimesNewRomanPSMT"/>
          <w:lang w:eastAsia="lt-LT"/>
        </w:rPr>
        <w:t>pagrindinė diagnozė, kitose - kaip gretutinė, priklausomai nuo to, kokia patologija vyrauja. Praktika</w:t>
      </w:r>
      <w:r>
        <w:rPr>
          <w:rFonts w:eastAsia="TimesNewRomanPSMT"/>
          <w:lang w:eastAsia="lt-LT"/>
        </w:rPr>
        <w:t xml:space="preserve"> </w:t>
      </w:r>
      <w:r w:rsidRPr="00716A12">
        <w:rPr>
          <w:rFonts w:eastAsia="TimesNewRomanPSMT"/>
          <w:lang w:eastAsia="lt-LT"/>
        </w:rPr>
        <w:t>rodo, kad šie kodai rašomi ne tik vaikams iki 1 metų, bet ir vyresniems. Todėl alkoholinio vaisiaus</w:t>
      </w:r>
      <w:r>
        <w:rPr>
          <w:rFonts w:eastAsia="TimesNewRomanPSMT"/>
          <w:lang w:eastAsia="lt-LT"/>
        </w:rPr>
        <w:t xml:space="preserve"> </w:t>
      </w:r>
      <w:r w:rsidRPr="00716A12">
        <w:rPr>
          <w:rFonts w:eastAsia="TimesNewRomanPSMT"/>
          <w:lang w:eastAsia="lt-LT"/>
        </w:rPr>
        <w:t>sindromo diagnozė bet kuriuo vaiko amžiaus tarpsniu gali ir turi būti tikslinama, o patvirtinus</w:t>
      </w:r>
      <w:r>
        <w:rPr>
          <w:rFonts w:eastAsia="TimesNewRomanPSMT"/>
          <w:lang w:eastAsia="lt-LT"/>
        </w:rPr>
        <w:t xml:space="preserve"> </w:t>
      </w:r>
      <w:r w:rsidRPr="00716A12">
        <w:rPr>
          <w:rFonts w:eastAsia="TimesNewRomanPSMT"/>
          <w:lang w:eastAsia="lt-LT"/>
        </w:rPr>
        <w:t>išryškėjusią patologiją - rašomas atitinkamas kodas.</w:t>
      </w:r>
      <w:r>
        <w:rPr>
          <w:rFonts w:eastAsia="TimesNewRomanPSMT"/>
          <w:lang w:eastAsia="lt-LT"/>
        </w:rPr>
        <w:t xml:space="preserve"> </w:t>
      </w:r>
    </w:p>
    <w:p w:rsidR="00E80028" w:rsidRPr="00716A12" w:rsidRDefault="00E80028" w:rsidP="00E80028">
      <w:pPr>
        <w:autoSpaceDE w:val="0"/>
        <w:autoSpaceDN w:val="0"/>
        <w:adjustRightInd w:val="0"/>
        <w:ind w:firstLine="720"/>
        <w:jc w:val="both"/>
        <w:rPr>
          <w:rFonts w:eastAsia="TimesNewRomanPSMT"/>
          <w:lang w:eastAsia="lt-LT"/>
        </w:rPr>
      </w:pPr>
      <w:r w:rsidRPr="00716A12">
        <w:rPr>
          <w:rFonts w:eastAsia="TimesNewRomanPSMT"/>
          <w:lang w:eastAsia="lt-LT"/>
        </w:rPr>
        <w:t>Sveikatos apsaugos ministerija, panaudodama 2007-2013 m. ES struktūrinių fondų lėšas,</w:t>
      </w:r>
      <w:r>
        <w:rPr>
          <w:rFonts w:eastAsia="TimesNewRomanPSMT"/>
          <w:lang w:eastAsia="lt-LT"/>
        </w:rPr>
        <w:t xml:space="preserve"> </w:t>
      </w:r>
      <w:r w:rsidRPr="00716A12">
        <w:rPr>
          <w:rFonts w:eastAsia="TimesNewRomanPSMT"/>
          <w:lang w:eastAsia="lt-LT"/>
        </w:rPr>
        <w:t>2013 m. išleido leidinį „Vaisiaus alkoholinis sindromas“.</w:t>
      </w:r>
      <w:r>
        <w:rPr>
          <w:rFonts w:eastAsia="TimesNewRomanPSMT"/>
          <w:lang w:eastAsia="lt-LT"/>
        </w:rPr>
        <w:t xml:space="preserve"> </w:t>
      </w:r>
      <w:r w:rsidRPr="00716A12">
        <w:rPr>
          <w:rFonts w:eastAsia="TimesNewRomanPSMT"/>
          <w:lang w:eastAsia="lt-LT"/>
        </w:rPr>
        <w:t>Privalomojo sveikatos draudimo kompiuterizuotos informacinės sistemos „Sveidra"</w:t>
      </w:r>
      <w:r>
        <w:rPr>
          <w:rFonts w:eastAsia="TimesNewRomanPSMT"/>
          <w:lang w:eastAsia="lt-LT"/>
        </w:rPr>
        <w:t xml:space="preserve"> </w:t>
      </w:r>
      <w:r w:rsidRPr="00716A12">
        <w:rPr>
          <w:rFonts w:eastAsia="TimesNewRomanPSMT"/>
          <w:lang w:eastAsia="lt-LT"/>
        </w:rPr>
        <w:t>duomenimis iš Privalomojo sveikatos draudimo fondo biudžeto sergantiesiems vaisiaus alkoholiniu</w:t>
      </w:r>
      <w:r>
        <w:rPr>
          <w:rFonts w:eastAsia="TimesNewRomanPSMT"/>
          <w:lang w:eastAsia="lt-LT"/>
        </w:rPr>
        <w:t xml:space="preserve"> </w:t>
      </w:r>
      <w:r w:rsidRPr="00716A12">
        <w:rPr>
          <w:rFonts w:eastAsia="TimesNewRomanPSMT"/>
          <w:lang w:eastAsia="lt-LT"/>
        </w:rPr>
        <w:t>sindromu ambulatorinių specializuotų paslaugų 2012 m. suteikta už 3,9 tūkst. Lt., 2013 m. - už 1,7</w:t>
      </w:r>
      <w:r>
        <w:rPr>
          <w:rFonts w:eastAsia="TimesNewRomanPSMT"/>
          <w:lang w:eastAsia="lt-LT"/>
        </w:rPr>
        <w:t xml:space="preserve"> </w:t>
      </w:r>
      <w:r w:rsidRPr="00716A12">
        <w:rPr>
          <w:rFonts w:eastAsia="TimesNewRomanPSMT"/>
          <w:lang w:eastAsia="lt-LT"/>
        </w:rPr>
        <w:t>tūkst. Lt, o stacionarinių aktyvaus gydymo paslaugų 2012 m. suteikta už 221,2 tūkst. Lt, 2013 m. -</w:t>
      </w:r>
      <w:r>
        <w:rPr>
          <w:rFonts w:eastAsia="TimesNewRomanPSMT"/>
          <w:lang w:eastAsia="lt-LT"/>
        </w:rPr>
        <w:t xml:space="preserve"> </w:t>
      </w:r>
      <w:r w:rsidRPr="00716A12">
        <w:rPr>
          <w:rFonts w:eastAsia="TimesNewRomanPSMT"/>
          <w:lang w:eastAsia="lt-LT"/>
        </w:rPr>
        <w:t>už 56,0 tūkst. Lt.</w:t>
      </w:r>
    </w:p>
    <w:p w:rsidR="00E80028" w:rsidRDefault="00E80028" w:rsidP="00E80028">
      <w:pPr>
        <w:autoSpaceDE w:val="0"/>
        <w:autoSpaceDN w:val="0"/>
        <w:adjustRightInd w:val="0"/>
        <w:ind w:firstLine="720"/>
        <w:jc w:val="both"/>
        <w:rPr>
          <w:rFonts w:eastAsia="TimesNewRomanPSMT"/>
          <w:lang w:eastAsia="lt-LT"/>
        </w:rPr>
      </w:pPr>
      <w:r w:rsidRPr="00716A12">
        <w:rPr>
          <w:rFonts w:eastAsia="TimesNewRomanPSMT"/>
          <w:lang w:eastAsia="lt-LT"/>
        </w:rPr>
        <w:lastRenderedPageBreak/>
        <w:t>Atsakydami į kitus klausimus norėtume priminti, kad Sveikatos apsaugos ministerija 2010-</w:t>
      </w:r>
      <w:r>
        <w:rPr>
          <w:rFonts w:eastAsia="TimesNewRomanPSMT"/>
          <w:lang w:eastAsia="lt-LT"/>
        </w:rPr>
        <w:t xml:space="preserve"> </w:t>
      </w:r>
      <w:r w:rsidRPr="00716A12">
        <w:rPr>
          <w:rFonts w:eastAsia="TimesNewRomanPSMT"/>
          <w:lang w:eastAsia="lt-LT"/>
        </w:rPr>
        <w:t>09-10 raštu Nr. 10-(11.3-193)-5771 kreipėsi į Teisingumo ministeriją, Žemės ūkio ministeriją, Ūkio</w:t>
      </w:r>
      <w:r>
        <w:rPr>
          <w:rFonts w:eastAsia="TimesNewRomanPSMT"/>
          <w:lang w:eastAsia="lt-LT"/>
        </w:rPr>
        <w:t xml:space="preserve"> </w:t>
      </w:r>
      <w:r w:rsidRPr="00716A12">
        <w:rPr>
          <w:rFonts w:eastAsia="TimesNewRomanPSMT"/>
          <w:lang w:eastAsia="lt-LT"/>
        </w:rPr>
        <w:t>ministeriją, Valstybinę maisto ir veterinarijos tarnybą, Valstybinę tabako ir alkoholio kontrolės</w:t>
      </w:r>
      <w:r>
        <w:rPr>
          <w:rFonts w:eastAsia="TimesNewRomanPSMT"/>
          <w:lang w:eastAsia="lt-LT"/>
        </w:rPr>
        <w:t xml:space="preserve"> </w:t>
      </w:r>
      <w:r w:rsidRPr="00716A12">
        <w:rPr>
          <w:rFonts w:eastAsia="TimesNewRomanPSMT"/>
          <w:lang w:eastAsia="lt-LT"/>
        </w:rPr>
        <w:t>tarnybą prie Lietuvos Respublikos Vyriausybės, Europos teisės departamentą prie Teisingumo</w:t>
      </w:r>
      <w:r>
        <w:rPr>
          <w:rFonts w:eastAsia="TimesNewRomanPSMT"/>
          <w:lang w:eastAsia="lt-LT"/>
        </w:rPr>
        <w:t xml:space="preserve">  </w:t>
      </w:r>
      <w:r w:rsidRPr="00716A12">
        <w:rPr>
          <w:rFonts w:eastAsia="TimesNewRomanPSMT"/>
          <w:lang w:eastAsia="lt-LT"/>
        </w:rPr>
        <w:t>ministerijos, Valstybinę vartotojų teisių apsaugos tarnybą prie Teisingumo ministerijos prašydama</w:t>
      </w:r>
      <w:r>
        <w:rPr>
          <w:rFonts w:eastAsia="TimesNewRomanPSMT"/>
          <w:lang w:eastAsia="lt-LT"/>
        </w:rPr>
        <w:t xml:space="preserve"> </w:t>
      </w:r>
      <w:r w:rsidRPr="00716A12">
        <w:rPr>
          <w:rFonts w:eastAsia="TimesNewRomanPSMT"/>
          <w:lang w:eastAsia="lt-LT"/>
        </w:rPr>
        <w:t>pagal kompetenciją pateikti argumentuotą nuomonę dėl Lietuvos Respublikos sveikatos apsaugos</w:t>
      </w:r>
      <w:r>
        <w:rPr>
          <w:rFonts w:eastAsia="TimesNewRomanPSMT"/>
          <w:lang w:eastAsia="lt-LT"/>
        </w:rPr>
        <w:t xml:space="preserve"> </w:t>
      </w:r>
      <w:r w:rsidRPr="00716A12">
        <w:rPr>
          <w:rFonts w:eastAsia="TimesNewRomanPSMT"/>
          <w:lang w:eastAsia="lt-LT"/>
        </w:rPr>
        <w:t>ministro įsakymo „Dėl Lietuvos Respublikos sveikatos apsaugos ministro 2002 m. gruodžio 24 d.</w:t>
      </w:r>
      <w:r>
        <w:rPr>
          <w:rFonts w:eastAsia="TimesNewRomanPSMT"/>
          <w:lang w:eastAsia="lt-LT"/>
        </w:rPr>
        <w:t xml:space="preserve"> į</w:t>
      </w:r>
      <w:r w:rsidRPr="00716A12">
        <w:rPr>
          <w:rFonts w:eastAsia="TimesNewRomanPSMT"/>
          <w:lang w:eastAsia="lt-LT"/>
        </w:rPr>
        <w:t>sakymo Nr. 667 „Dėl Lietuvos higienos normos HN 119:2002 „Maisto produktų ženklinimas’'</w:t>
      </w:r>
      <w:r>
        <w:rPr>
          <w:rFonts w:eastAsia="TimesNewRomanPSMT"/>
          <w:lang w:eastAsia="lt-LT"/>
        </w:rPr>
        <w:t xml:space="preserve"> </w:t>
      </w:r>
      <w:r w:rsidRPr="00716A12">
        <w:rPr>
          <w:rFonts w:eastAsia="TimesNewRomanPSMT"/>
          <w:lang w:eastAsia="lt-LT"/>
        </w:rPr>
        <w:t>patvirtinimo“ pakeitimo“ projekto, kuriame būtų nustatyta įspėjamųjų užrašų apie alkoholio daromą</w:t>
      </w:r>
      <w:r>
        <w:rPr>
          <w:rFonts w:eastAsia="TimesNewRomanPSMT"/>
          <w:lang w:eastAsia="lt-LT"/>
        </w:rPr>
        <w:t xml:space="preserve"> </w:t>
      </w:r>
      <w:r w:rsidRPr="00716A12">
        <w:rPr>
          <w:rFonts w:eastAsia="TimesNewRomanPSMT"/>
          <w:lang w:eastAsia="lt-LT"/>
        </w:rPr>
        <w:t>žalą sveikatai pateikimo ženklinant alkoholinius gėrimus forma ir tvarka ar pateikti kitus siūlymus</w:t>
      </w:r>
      <w:r>
        <w:rPr>
          <w:rFonts w:eastAsia="TimesNewRomanPSMT"/>
          <w:lang w:eastAsia="lt-LT"/>
        </w:rPr>
        <w:t xml:space="preserve"> </w:t>
      </w:r>
      <w:r w:rsidRPr="00716A12">
        <w:rPr>
          <w:rFonts w:eastAsia="TimesNewRomanPSMT"/>
          <w:lang w:eastAsia="lt-LT"/>
        </w:rPr>
        <w:t>dėl Lietuvos Respublikos Vyriausybės 2008-2012 m, programos įgyvendinimo priemonių,</w:t>
      </w:r>
      <w:r>
        <w:rPr>
          <w:rFonts w:eastAsia="TimesNewRomanPSMT"/>
          <w:lang w:eastAsia="lt-LT"/>
        </w:rPr>
        <w:t xml:space="preserve"> </w:t>
      </w:r>
      <w:r w:rsidRPr="00716A12">
        <w:rPr>
          <w:rFonts w:eastAsia="TimesNewRomanPSMT"/>
          <w:lang w:eastAsia="lt-LT"/>
        </w:rPr>
        <w:t>patvirtintų Lietuvos Respublikos Vyriausybės 2009 m. vasario 25 d. nutarimu Nr, 189 (Zin., 2009,</w:t>
      </w:r>
      <w:r>
        <w:rPr>
          <w:rFonts w:eastAsia="TimesNewRomanPSMT"/>
          <w:lang w:eastAsia="lt-LT"/>
        </w:rPr>
        <w:t xml:space="preserve"> </w:t>
      </w:r>
      <w:r w:rsidRPr="00716A12">
        <w:rPr>
          <w:rFonts w:eastAsia="TimesNewRomanPSMT"/>
          <w:lang w:eastAsia="lt-LT"/>
        </w:rPr>
        <w:t>Nr. 33-1268) 1370 punkto priemonės įgyvendinimo.</w:t>
      </w:r>
      <w:r>
        <w:rPr>
          <w:rFonts w:eastAsia="TimesNewRomanPSMT"/>
          <w:lang w:eastAsia="lt-LT"/>
        </w:rPr>
        <w:t xml:space="preserve"> </w:t>
      </w:r>
    </w:p>
    <w:p w:rsidR="00E80028" w:rsidRDefault="00E80028" w:rsidP="00E80028">
      <w:pPr>
        <w:autoSpaceDE w:val="0"/>
        <w:autoSpaceDN w:val="0"/>
        <w:adjustRightInd w:val="0"/>
        <w:ind w:firstLine="720"/>
        <w:jc w:val="both"/>
        <w:rPr>
          <w:rFonts w:eastAsia="TimesNewRomanPSMT"/>
          <w:lang w:eastAsia="lt-LT"/>
        </w:rPr>
      </w:pPr>
      <w:r w:rsidRPr="00716A12">
        <w:rPr>
          <w:rFonts w:eastAsia="TimesNewRomanPSMT"/>
          <w:lang w:eastAsia="lt-LT"/>
        </w:rPr>
        <w:t>Minėtos institucijos pateikė skirtingas nuomones šiuo klausimu, tačiau visos institucijos</w:t>
      </w:r>
      <w:r>
        <w:rPr>
          <w:rFonts w:eastAsia="TimesNewRomanPSMT"/>
          <w:lang w:eastAsia="lt-LT"/>
        </w:rPr>
        <w:t xml:space="preserve"> </w:t>
      </w:r>
      <w:r w:rsidRPr="00716A12">
        <w:rPr>
          <w:rFonts w:eastAsia="TimesNewRomanPSMT"/>
          <w:lang w:eastAsia="lt-LT"/>
        </w:rPr>
        <w:t>pažymėjo, kad teisės aktuose nustatyti reikalavimą žymėti alkoholinius gėrimus įspėjamaisiais</w:t>
      </w:r>
      <w:r>
        <w:rPr>
          <w:rFonts w:eastAsia="TimesNewRomanPSMT"/>
          <w:lang w:eastAsia="lt-LT"/>
        </w:rPr>
        <w:t xml:space="preserve"> </w:t>
      </w:r>
      <w:r w:rsidRPr="00716A12">
        <w:rPr>
          <w:rFonts w:eastAsia="TimesNewRomanPSMT"/>
          <w:lang w:eastAsia="lt-LT"/>
        </w:rPr>
        <w:t>užrašais apie alkoholio daromą žalą sveikatai būtų tikslinga tuo atveju, jei būtų pagrįstų įrodymų,</w:t>
      </w:r>
      <w:r>
        <w:rPr>
          <w:rFonts w:eastAsia="TimesNewRomanPSMT"/>
          <w:lang w:eastAsia="lt-LT"/>
        </w:rPr>
        <w:t xml:space="preserve"> </w:t>
      </w:r>
      <w:r w:rsidRPr="00716A12">
        <w:rPr>
          <w:rFonts w:eastAsia="TimesNewRomanPSMT"/>
          <w:lang w:eastAsia="lt-LT"/>
        </w:rPr>
        <w:t>jog įgyvendinus minėtą priemonę bus mažinama alkoholio daroma žala sveikatai ir nebus</w:t>
      </w:r>
      <w:r>
        <w:rPr>
          <w:rFonts w:eastAsia="TimesNewRomanPSMT"/>
          <w:lang w:eastAsia="lt-LT"/>
        </w:rPr>
        <w:t xml:space="preserve"> </w:t>
      </w:r>
      <w:r w:rsidRPr="00716A12">
        <w:rPr>
          <w:rFonts w:eastAsia="TimesNewRomanPSMT"/>
          <w:lang w:eastAsia="lt-LT"/>
        </w:rPr>
        <w:t>neproporcingai padidinta našta verslui. Europos teisės departamentas prie Teisingumo ministerijos</w:t>
      </w:r>
      <w:r>
        <w:rPr>
          <w:rFonts w:eastAsia="TimesNewRomanPSMT"/>
          <w:lang w:eastAsia="lt-LT"/>
        </w:rPr>
        <w:t xml:space="preserve"> </w:t>
      </w:r>
      <w:r w:rsidRPr="00716A12">
        <w:rPr>
          <w:rFonts w:eastAsia="TimesNewRomanPSMT"/>
          <w:lang w:eastAsia="lt-LT"/>
        </w:rPr>
        <w:t>atkreipia dėmesį į tai, kad Europos Sąjungos Teisingumo Teismo praktikoje yra nemažai bylų</w:t>
      </w:r>
      <w:r>
        <w:rPr>
          <w:rFonts w:eastAsia="TimesNewRomanPSMT"/>
          <w:lang w:eastAsia="lt-LT"/>
        </w:rPr>
        <w:t xml:space="preserve">, </w:t>
      </w:r>
      <w:r w:rsidRPr="00716A12">
        <w:rPr>
          <w:rFonts w:eastAsia="TimesNewRomanPSMT"/>
          <w:lang w:eastAsia="lt-LT"/>
        </w:rPr>
        <w:t>susijusių su produktų pakuotės ir pateikimo reikalavimais, kuriose Teisingumo Teismas pripažįsta,</w:t>
      </w:r>
      <w:r>
        <w:rPr>
          <w:rFonts w:eastAsia="TimesNewRomanPSMT"/>
          <w:lang w:eastAsia="lt-LT"/>
        </w:rPr>
        <w:t xml:space="preserve"> </w:t>
      </w:r>
      <w:r w:rsidRPr="00716A12">
        <w:rPr>
          <w:rFonts w:eastAsia="TimesNewRomanPSMT"/>
          <w:lang w:eastAsia="lt-LT"/>
        </w:rPr>
        <w:t>kad bendrovės visoje Europoje turi laikytis bendros prekybos strategijos, o kiekvieną kartą, kai</w:t>
      </w:r>
      <w:r>
        <w:rPr>
          <w:rFonts w:eastAsia="TimesNewRomanPSMT"/>
          <w:lang w:eastAsia="lt-LT"/>
        </w:rPr>
        <w:t xml:space="preserve"> </w:t>
      </w:r>
      <w:r w:rsidRPr="00716A12">
        <w:rPr>
          <w:rFonts w:eastAsia="TimesNewRomanPSMT"/>
          <w:lang w:eastAsia="lt-LT"/>
        </w:rPr>
        <w:t>valstybė narė nustato papildomas prekybos taisykles, importuotojas susiduria su papildoma</w:t>
      </w:r>
      <w:r>
        <w:rPr>
          <w:rFonts w:eastAsia="TimesNewRomanPSMT"/>
          <w:lang w:eastAsia="lt-LT"/>
        </w:rPr>
        <w:t xml:space="preserve"> </w:t>
      </w:r>
      <w:r w:rsidRPr="00716A12">
        <w:rPr>
          <w:rFonts w:eastAsia="TimesNewRomanPSMT"/>
          <w:lang w:eastAsia="lt-LT"/>
        </w:rPr>
        <w:t>finansine našta, kuri riboja tarpvalstybinę prekybą. Tikintis teigiamo Komisijos sprendimo dėl</w:t>
      </w:r>
      <w:r>
        <w:rPr>
          <w:rFonts w:eastAsia="TimesNewRomanPSMT"/>
          <w:lang w:eastAsia="lt-LT"/>
        </w:rPr>
        <w:t xml:space="preserve"> </w:t>
      </w:r>
      <w:r w:rsidRPr="00716A12">
        <w:rPr>
          <w:rFonts w:eastAsia="TimesNewRomanPSMT"/>
          <w:lang w:eastAsia="lt-LT"/>
        </w:rPr>
        <w:t>įspėjamųjų užrašų reikalavimo, nacionalinės teisės akto projektas turi būti įtikinamai pagrįstas tiek</w:t>
      </w:r>
      <w:r>
        <w:rPr>
          <w:rFonts w:eastAsia="TimesNewRomanPSMT"/>
          <w:lang w:eastAsia="lt-LT"/>
        </w:rPr>
        <w:t xml:space="preserve"> </w:t>
      </w:r>
      <w:r w:rsidRPr="00716A12">
        <w:rPr>
          <w:rFonts w:eastAsia="TimesNewRomanPSMT"/>
          <w:lang w:eastAsia="lt-LT"/>
        </w:rPr>
        <w:t>statistiniais duomenimis, tiek numatomais rezultatais įrodant, kad siekiamas tikslas negali būti</w:t>
      </w:r>
      <w:r>
        <w:rPr>
          <w:rFonts w:eastAsia="TimesNewRomanPSMT"/>
          <w:lang w:eastAsia="lt-LT"/>
        </w:rPr>
        <w:t xml:space="preserve"> </w:t>
      </w:r>
      <w:r w:rsidRPr="00716A12">
        <w:rPr>
          <w:rFonts w:eastAsia="TimesNewRomanPSMT"/>
          <w:lang w:eastAsia="lt-LT"/>
        </w:rPr>
        <w:t>pasiektas kitomis, mažiau prekybą ribojančiomis priemonėmis.</w:t>
      </w:r>
      <w:r>
        <w:rPr>
          <w:rFonts w:eastAsia="TimesNewRomanPSMT"/>
          <w:lang w:eastAsia="lt-LT"/>
        </w:rPr>
        <w:t xml:space="preserve"> </w:t>
      </w:r>
    </w:p>
    <w:p w:rsidR="00E80028" w:rsidRPr="00716A12" w:rsidRDefault="00E80028" w:rsidP="00E80028">
      <w:pPr>
        <w:autoSpaceDE w:val="0"/>
        <w:autoSpaceDN w:val="0"/>
        <w:adjustRightInd w:val="0"/>
        <w:ind w:firstLine="720"/>
        <w:jc w:val="both"/>
        <w:rPr>
          <w:rFonts w:eastAsia="TimesNewRomanPSMT"/>
          <w:lang w:eastAsia="lt-LT"/>
        </w:rPr>
      </w:pPr>
      <w:r w:rsidRPr="00716A12">
        <w:rPr>
          <w:rFonts w:eastAsia="TimesNewRomanPSMT"/>
          <w:lang w:eastAsia="lt-LT"/>
        </w:rPr>
        <w:t>Pagal 2002 m. sausio 28 d. Europos Parlamento ir Tarybos reglamento (EB) Nr. 178/2002,</w:t>
      </w:r>
      <w:r>
        <w:rPr>
          <w:rFonts w:eastAsia="TimesNewRomanPSMT"/>
          <w:lang w:eastAsia="lt-LT"/>
        </w:rPr>
        <w:t xml:space="preserve"> </w:t>
      </w:r>
      <w:r w:rsidRPr="00716A12">
        <w:rPr>
          <w:rFonts w:eastAsia="TimesNewRomanPSMT"/>
          <w:lang w:eastAsia="lt-LT"/>
        </w:rPr>
        <w:t>nustatančio maistui skirtų teisės aktų bendruosius principus ir reikalavimus, įsteigiančio Europos</w:t>
      </w:r>
      <w:r>
        <w:rPr>
          <w:rFonts w:eastAsia="TimesNewRomanPSMT"/>
          <w:lang w:eastAsia="lt-LT"/>
        </w:rPr>
        <w:t xml:space="preserve"> </w:t>
      </w:r>
      <w:r w:rsidRPr="00716A12">
        <w:rPr>
          <w:rFonts w:eastAsia="TimesNewRomanPSMT"/>
          <w:lang w:eastAsia="lt-LT"/>
        </w:rPr>
        <w:t xml:space="preserve">maisto saugos tarnybą ir nustatančio su maisto saugos klausimais susijusias procedūras (OL </w:t>
      </w:r>
      <w:r w:rsidRPr="00716A12">
        <w:rPr>
          <w:rFonts w:eastAsia="TimesNewRomanPSMT"/>
          <w:i/>
          <w:iCs/>
          <w:lang w:eastAsia="lt-LT"/>
        </w:rPr>
        <w:t>2004</w:t>
      </w:r>
      <w:r>
        <w:rPr>
          <w:rFonts w:eastAsia="TimesNewRomanPSMT"/>
          <w:i/>
          <w:iCs/>
          <w:lang w:eastAsia="lt-LT"/>
        </w:rPr>
        <w:t xml:space="preserve"> </w:t>
      </w:r>
      <w:r w:rsidRPr="00716A12">
        <w:rPr>
          <w:rFonts w:eastAsia="TimesNewRomanPSMT"/>
          <w:i/>
          <w:iCs/>
          <w:lang w:eastAsia="lt-LT"/>
        </w:rPr>
        <w:t>specialusis leidimas</w:t>
      </w:r>
      <w:r w:rsidRPr="00716A12">
        <w:rPr>
          <w:rFonts w:eastAsia="TimesNewRomanPSMT"/>
          <w:lang w:eastAsia="lt-LT"/>
        </w:rPr>
        <w:t>, 15 skyrius, 6 tomas, p. 463) 2 straipsnį alkoholiniai gėrimai priskiriami maisto</w:t>
      </w:r>
      <w:r>
        <w:rPr>
          <w:rFonts w:eastAsia="TimesNewRomanPSMT"/>
          <w:lang w:eastAsia="lt-LT"/>
        </w:rPr>
        <w:t xml:space="preserve"> </w:t>
      </w:r>
      <w:r w:rsidRPr="00716A12">
        <w:rPr>
          <w:rFonts w:eastAsia="TimesNewRomanPSMT"/>
          <w:lang w:eastAsia="lt-LT"/>
        </w:rPr>
        <w:t>produktams, todėl jie patenka į maisto produktų ženklinimą reglamentuojančių teisės aktų taikymo</w:t>
      </w:r>
      <w:r>
        <w:rPr>
          <w:rFonts w:eastAsia="TimesNewRomanPSMT"/>
          <w:lang w:eastAsia="lt-LT"/>
        </w:rPr>
        <w:t xml:space="preserve"> </w:t>
      </w:r>
      <w:r w:rsidRPr="00716A12">
        <w:rPr>
          <w:rFonts w:eastAsia="TimesNewRomanPSMT"/>
          <w:lang w:eastAsia="lt-LT"/>
        </w:rPr>
        <w:t>sritį. 2002 m. gruodžio 24 d. Lietuvos Respublikos sveikatos apsaugos ministro įsakymu Nr. 677</w:t>
      </w:r>
      <w:r>
        <w:rPr>
          <w:rFonts w:eastAsia="TimesNewRomanPSMT"/>
          <w:lang w:eastAsia="lt-LT"/>
        </w:rPr>
        <w:t xml:space="preserve"> </w:t>
      </w:r>
      <w:r w:rsidRPr="00716A12">
        <w:rPr>
          <w:rFonts w:eastAsia="TimesNewRomanPSMT"/>
          <w:lang w:eastAsia="lt-LT"/>
        </w:rPr>
        <w:t>patvirtinta Lietuvos higienos norma HN 119:2002 „Maisto produktų ženklinimas“ (Žin„ 2003,</w:t>
      </w:r>
      <w:r>
        <w:rPr>
          <w:rFonts w:eastAsia="TimesNewRomanPSMT"/>
          <w:lang w:eastAsia="lt-LT"/>
        </w:rPr>
        <w:t xml:space="preserve"> </w:t>
      </w:r>
      <w:r w:rsidRPr="00716A12">
        <w:rPr>
          <w:rFonts w:eastAsia="TimesNewRomanPSMT"/>
          <w:lang w:eastAsia="lt-LT"/>
        </w:rPr>
        <w:t>Nr. 13-530) (toliau - Lietuvos higienos norma HN 119:2002) įgyvendina 2000 m. kovo 20 d.</w:t>
      </w:r>
      <w:r>
        <w:rPr>
          <w:rFonts w:eastAsia="TimesNewRomanPSMT"/>
          <w:lang w:eastAsia="lt-LT"/>
        </w:rPr>
        <w:t xml:space="preserve"> </w:t>
      </w:r>
      <w:r w:rsidRPr="00716A12">
        <w:rPr>
          <w:rFonts w:eastAsia="TimesNewRomanPSMT"/>
          <w:lang w:eastAsia="lt-LT"/>
        </w:rPr>
        <w:t>Europos Parlamento ir Tarybos direktyvą 2000/13/EB dėl valstybių narių įstatymų, susijusių su</w:t>
      </w:r>
      <w:r>
        <w:rPr>
          <w:rFonts w:eastAsia="TimesNewRomanPSMT"/>
          <w:lang w:eastAsia="lt-LT"/>
        </w:rPr>
        <w:t xml:space="preserve"> </w:t>
      </w:r>
      <w:r w:rsidRPr="00716A12">
        <w:rPr>
          <w:rFonts w:eastAsia="TimesNewRomanPSMT"/>
          <w:lang w:eastAsia="lt-LT"/>
        </w:rPr>
        <w:t xml:space="preserve">maisto produktų ženklinimu, pateikimu ir reklamavimu, derinimo (OL </w:t>
      </w:r>
      <w:r w:rsidRPr="00716A12">
        <w:rPr>
          <w:rFonts w:eastAsia="TimesNewRomanPSMT"/>
          <w:i/>
          <w:iCs/>
          <w:lang w:eastAsia="lt-LT"/>
        </w:rPr>
        <w:t>2004 specialusis leidimas.</w:t>
      </w:r>
      <w:r>
        <w:rPr>
          <w:rFonts w:eastAsia="TimesNewRomanPSMT"/>
          <w:i/>
          <w:iCs/>
          <w:lang w:eastAsia="lt-LT"/>
        </w:rPr>
        <w:t xml:space="preserve"> </w:t>
      </w:r>
      <w:r w:rsidRPr="00716A12">
        <w:rPr>
          <w:rFonts w:eastAsia="TimesNewRomanPSMT"/>
          <w:lang w:eastAsia="lt-LT"/>
        </w:rPr>
        <w:t>15 skyrius, 5 tomas, p. 75) (toliau - Direktyva 2000/13/EB). Direktyvoje 2000/13/EB ir kituose</w:t>
      </w:r>
      <w:r>
        <w:rPr>
          <w:rFonts w:eastAsia="TimesNewRomanPSMT"/>
          <w:lang w:eastAsia="lt-LT"/>
        </w:rPr>
        <w:t xml:space="preserve"> </w:t>
      </w:r>
      <w:r w:rsidRPr="00716A12">
        <w:rPr>
          <w:rFonts w:eastAsia="TimesNewRomanPSMT"/>
          <w:lang w:eastAsia="lt-LT"/>
        </w:rPr>
        <w:t>Europos Sąjungos teisės aktuose nėra nustatyti reikalavimai dėl įspėjamųjų užrašų apie alkoholio</w:t>
      </w:r>
      <w:r>
        <w:rPr>
          <w:rFonts w:eastAsia="TimesNewRomanPSMT"/>
          <w:lang w:eastAsia="lt-LT"/>
        </w:rPr>
        <w:t xml:space="preserve"> </w:t>
      </w:r>
      <w:r w:rsidRPr="00716A12">
        <w:rPr>
          <w:rFonts w:eastAsia="TimesNewRomanPSMT"/>
          <w:lang w:eastAsia="lt-LT"/>
        </w:rPr>
        <w:t>žalą pateikimo ženklinant alkoholinius gėrimus. Direktyvos 2 konstatuojamojoje dalyje nurodoma,</w:t>
      </w:r>
      <w:r>
        <w:rPr>
          <w:rFonts w:eastAsia="TimesNewRomanPSMT"/>
          <w:lang w:eastAsia="lt-LT"/>
        </w:rPr>
        <w:t xml:space="preserve"> </w:t>
      </w:r>
      <w:r w:rsidRPr="00716A12">
        <w:rPr>
          <w:rFonts w:eastAsia="TimesNewRomanPSMT"/>
          <w:lang w:eastAsia="lt-LT"/>
        </w:rPr>
        <w:t>kad skirtingi valstybių narių įstatymai ir kiti teisės aktai, skirti maisto produktų ženklinimui, gali</w:t>
      </w:r>
      <w:r>
        <w:rPr>
          <w:rFonts w:eastAsia="TimesNewRomanPSMT"/>
          <w:lang w:eastAsia="lt-LT"/>
        </w:rPr>
        <w:t xml:space="preserve"> </w:t>
      </w:r>
      <w:r w:rsidRPr="00716A12">
        <w:rPr>
          <w:rFonts w:eastAsia="TimesNewRomanPSMT"/>
          <w:lang w:eastAsia="lt-LT"/>
        </w:rPr>
        <w:t>trukdyti laisvą šių produktų apyvartą ir nulemti nelygias konkurencijos sąlygas. Lietuvos higienos</w:t>
      </w:r>
      <w:r>
        <w:rPr>
          <w:rFonts w:eastAsia="TimesNewRomanPSMT"/>
          <w:lang w:eastAsia="lt-LT"/>
        </w:rPr>
        <w:t xml:space="preserve"> </w:t>
      </w:r>
      <w:r w:rsidRPr="00716A12">
        <w:rPr>
          <w:rFonts w:eastAsia="TimesNewRomanPSMT"/>
          <w:lang w:eastAsia="lt-LT"/>
        </w:rPr>
        <w:t>normos HN 119:2002 reikalavimai privalomi visiems Lietuvos Respublikos ir kitų valstybių</w:t>
      </w:r>
      <w:r>
        <w:rPr>
          <w:rFonts w:eastAsia="TimesNewRomanPSMT"/>
          <w:lang w:eastAsia="lt-LT"/>
        </w:rPr>
        <w:t xml:space="preserve"> </w:t>
      </w:r>
      <w:r w:rsidRPr="00716A12">
        <w:rPr>
          <w:rFonts w:eastAsia="TimesNewRomanPSMT"/>
          <w:lang w:eastAsia="lt-LT"/>
        </w:rPr>
        <w:t>juridiniams ir fiziniams asmenims, kurie Lietuvos Respublikos rinkai tiekia maisto produktus,</w:t>
      </w:r>
      <w:r>
        <w:rPr>
          <w:rFonts w:eastAsia="TimesNewRomanPSMT"/>
          <w:lang w:eastAsia="lt-LT"/>
        </w:rPr>
        <w:t xml:space="preserve"> </w:t>
      </w:r>
      <w:r w:rsidRPr="00716A12">
        <w:rPr>
          <w:rFonts w:eastAsia="TimesNewRomanPSMT"/>
          <w:lang w:eastAsia="lt-LT"/>
        </w:rPr>
        <w:t>įskaitant alkoholinius gėrimus. Manome, kad tikslinga palaikyti ir stiprinti priemones, susijusias su</w:t>
      </w:r>
      <w:r>
        <w:rPr>
          <w:rFonts w:eastAsia="TimesNewRomanPSMT"/>
          <w:lang w:eastAsia="lt-LT"/>
        </w:rPr>
        <w:t xml:space="preserve"> </w:t>
      </w:r>
      <w:r w:rsidRPr="00716A12">
        <w:rPr>
          <w:rFonts w:eastAsia="TimesNewRomanPSMT"/>
          <w:lang w:eastAsia="lt-LT"/>
        </w:rPr>
        <w:t>valstybinės alkoholio kontrolės principais, nustatytais Lietuvos Respublikos alkoholio kontrolės</w:t>
      </w:r>
      <w:r>
        <w:rPr>
          <w:rFonts w:eastAsia="TimesNewRomanPSMT"/>
          <w:lang w:eastAsia="lt-LT"/>
        </w:rPr>
        <w:t xml:space="preserve"> </w:t>
      </w:r>
      <w:r w:rsidRPr="00716A12">
        <w:rPr>
          <w:rFonts w:eastAsia="TimesNewRomanPSMT"/>
          <w:lang w:eastAsia="lt-LT"/>
        </w:rPr>
        <w:t>įstatymo Nr. 1-857 3 straipsnyje.</w:t>
      </w:r>
      <w:r>
        <w:rPr>
          <w:rFonts w:eastAsia="TimesNewRomanPSMT"/>
          <w:lang w:eastAsia="lt-LT"/>
        </w:rPr>
        <w:t xml:space="preserve"> </w:t>
      </w:r>
      <w:r w:rsidRPr="00716A12">
        <w:rPr>
          <w:rFonts w:eastAsia="TimesNewRomanPSMT"/>
          <w:lang w:eastAsia="lt-LT"/>
        </w:rPr>
        <w:t>Pasaulio sveikatos organizacijos Europos alkoholio vartojimo žalos mažinimo veiksmų</w:t>
      </w:r>
      <w:r>
        <w:rPr>
          <w:rFonts w:eastAsia="TimesNewRomanPSMT"/>
          <w:lang w:eastAsia="lt-LT"/>
        </w:rPr>
        <w:t xml:space="preserve"> </w:t>
      </w:r>
      <w:r w:rsidRPr="00716A12">
        <w:rPr>
          <w:rFonts w:eastAsia="TimesNewRomanPSMT"/>
          <w:lang w:eastAsia="lt-LT"/>
        </w:rPr>
        <w:t>2012-</w:t>
      </w:r>
      <w:r w:rsidRPr="00716A12">
        <w:rPr>
          <w:rFonts w:eastAsia="TimesNewRomanPSMT"/>
          <w:lang w:eastAsia="lt-LT"/>
        </w:rPr>
        <w:lastRenderedPageBreak/>
        <w:t>2020 m. plane nurodoma, kad visi alkoholiniai gėrimai turėtų būti ženklinami įspėjamaisiais</w:t>
      </w:r>
      <w:r>
        <w:rPr>
          <w:rFonts w:eastAsia="TimesNewRomanPSMT"/>
          <w:lang w:eastAsia="lt-LT"/>
        </w:rPr>
        <w:t xml:space="preserve"> </w:t>
      </w:r>
      <w:r w:rsidRPr="00716A12">
        <w:rPr>
          <w:rFonts w:eastAsia="TimesNewRomanPSMT"/>
          <w:lang w:eastAsia="lt-LT"/>
        </w:rPr>
        <w:t>užrašais apie alkoholio vartojimo žalą sveikatai, kad vartotojams būtų suteikta kuo išsamesnė</w:t>
      </w:r>
      <w:r>
        <w:rPr>
          <w:rFonts w:eastAsia="TimesNewRomanPSMT"/>
          <w:lang w:eastAsia="lt-LT"/>
        </w:rPr>
        <w:t xml:space="preserve"> </w:t>
      </w:r>
      <w:r w:rsidRPr="00716A12">
        <w:rPr>
          <w:rFonts w:eastAsia="TimesNewRomanPSMT"/>
          <w:lang w:eastAsia="lt-LT"/>
        </w:rPr>
        <w:t>informacija apie alkoholinį gėrimą pabrėžiant, kad alkoholis nėra kasdienio vartojimo prekė.</w:t>
      </w:r>
      <w:r>
        <w:rPr>
          <w:rFonts w:eastAsia="TimesNewRomanPSMT"/>
          <w:lang w:eastAsia="lt-LT"/>
        </w:rPr>
        <w:t xml:space="preserve"> </w:t>
      </w:r>
      <w:r w:rsidRPr="00716A12">
        <w:rPr>
          <w:rFonts w:eastAsia="TimesNewRomanPSMT"/>
          <w:lang w:eastAsia="lt-LT"/>
        </w:rPr>
        <w:t>Nevyriausybinė organizacija Eurocare (Europos alkoholio politikos aljansas) Europos alkoholio ir</w:t>
      </w:r>
      <w:r>
        <w:rPr>
          <w:rFonts w:eastAsia="TimesNewRomanPSMT"/>
          <w:lang w:eastAsia="lt-LT"/>
        </w:rPr>
        <w:t xml:space="preserve"> </w:t>
      </w:r>
      <w:r w:rsidRPr="00716A12">
        <w:rPr>
          <w:rFonts w:eastAsia="TimesNewRomanPSMT"/>
          <w:lang w:eastAsia="lt-LT"/>
        </w:rPr>
        <w:t>sveikatos forume, 2014 m. sausio 27 d. Briuselyje, pristatė pasiūlymą kaip tokie įspėjimai apie</w:t>
      </w:r>
      <w:r>
        <w:rPr>
          <w:rFonts w:eastAsia="TimesNewRomanPSMT"/>
          <w:lang w:eastAsia="lt-LT"/>
        </w:rPr>
        <w:t xml:space="preserve"> </w:t>
      </w:r>
      <w:r w:rsidRPr="00716A12">
        <w:rPr>
          <w:rFonts w:eastAsia="TimesNewRomanPSMT"/>
          <w:lang w:eastAsia="lt-LT"/>
        </w:rPr>
        <w:t>alkoholio žalą galėtų atrodyti. Buvo pabrėžta, kad svarbu šviesti, bet ne mokyti, informacija turi</w:t>
      </w:r>
      <w:r>
        <w:rPr>
          <w:rFonts w:eastAsia="TimesNewRomanPSMT"/>
          <w:lang w:eastAsia="lt-LT"/>
        </w:rPr>
        <w:t xml:space="preserve"> </w:t>
      </w:r>
      <w:r w:rsidRPr="00716A12">
        <w:rPr>
          <w:rFonts w:eastAsia="TimesNewRomanPSMT"/>
          <w:lang w:eastAsia="lt-LT"/>
        </w:rPr>
        <w:t>keistis pakankamai dažnai ir būti aiškiai matoma. Europos Komisijos užsakymu atlikto</w:t>
      </w:r>
      <w:r>
        <w:rPr>
          <w:rFonts w:eastAsia="TimesNewRomanPSMT"/>
          <w:lang w:eastAsia="lt-LT"/>
        </w:rPr>
        <w:t xml:space="preserve"> </w:t>
      </w:r>
      <w:r w:rsidRPr="00716A12">
        <w:rPr>
          <w:rFonts w:eastAsia="TimesNewRomanPSMT"/>
          <w:lang w:eastAsia="lt-LT"/>
        </w:rPr>
        <w:t>Eurobarometer 2010 m. tyrimo duomenimis, 79 proc. Europos Sąjungos gyventojų, taip pat ir</w:t>
      </w:r>
      <w:r>
        <w:rPr>
          <w:rFonts w:eastAsia="TimesNewRomanPSMT"/>
          <w:lang w:eastAsia="lt-LT"/>
        </w:rPr>
        <w:t xml:space="preserve"> </w:t>
      </w:r>
      <w:r w:rsidRPr="00716A12">
        <w:rPr>
          <w:rFonts w:eastAsia="TimesNewRomanPSMT"/>
          <w:lang w:eastAsia="lt-LT"/>
        </w:rPr>
        <w:t>Lietuvos, pritarė, kad ant alkoholinių gėrimų pakuočių ir alkoholinių gėrimų reklamoje būtų</w:t>
      </w:r>
      <w:r>
        <w:rPr>
          <w:rFonts w:eastAsia="TimesNewRomanPSMT"/>
          <w:lang w:eastAsia="lt-LT"/>
        </w:rPr>
        <w:t xml:space="preserve"> </w:t>
      </w:r>
      <w:r w:rsidRPr="00716A12">
        <w:rPr>
          <w:rFonts w:eastAsia="TimesNewRomanPSMT"/>
          <w:lang w:eastAsia="lt-LT"/>
        </w:rPr>
        <w:t>įspėjamieji užrašai apie alkoholio žalą nėščioms moterims ir vairuotojams. Sveikatos apsaugos</w:t>
      </w:r>
      <w:r>
        <w:rPr>
          <w:rFonts w:eastAsia="TimesNewRomanPSMT"/>
          <w:lang w:eastAsia="lt-LT"/>
        </w:rPr>
        <w:t xml:space="preserve"> </w:t>
      </w:r>
      <w:r w:rsidRPr="00716A12">
        <w:rPr>
          <w:rFonts w:eastAsia="TimesNewRomanPSMT"/>
          <w:lang w:eastAsia="lt-LT"/>
        </w:rPr>
        <w:t>ministerijos duomenimis, nė vienos Europos Sąjungos valstybės narės teisės aktuose nėra nustatyta</w:t>
      </w:r>
      <w:r>
        <w:rPr>
          <w:rFonts w:eastAsia="TimesNewRomanPSMT"/>
          <w:lang w:eastAsia="lt-LT"/>
        </w:rPr>
        <w:t xml:space="preserve"> </w:t>
      </w:r>
      <w:r w:rsidRPr="00716A12">
        <w:rPr>
          <w:rFonts w:eastAsia="TimesNewRomanPSMT"/>
          <w:lang w:eastAsia="lt-LT"/>
        </w:rPr>
        <w:t>reikalavimų nurodyti įspėjamuosius užrašus apie bendrą alkoholio daromą žalą sveikatai. Suomija</w:t>
      </w:r>
      <w:r>
        <w:rPr>
          <w:rFonts w:eastAsia="TimesNewRomanPSMT"/>
          <w:lang w:eastAsia="lt-LT"/>
        </w:rPr>
        <w:t xml:space="preserve"> </w:t>
      </w:r>
      <w:r w:rsidRPr="00716A12">
        <w:rPr>
          <w:rFonts w:eastAsia="TimesNewRomanPSMT"/>
          <w:lang w:eastAsia="lt-LT"/>
        </w:rPr>
        <w:t>2006 m. nustatyta tvarka Europos Komisijai pateikė notifikuoti Alkoholio įstatymo projektą,</w:t>
      </w:r>
      <w:r>
        <w:rPr>
          <w:rFonts w:eastAsia="TimesNewRomanPSMT"/>
          <w:lang w:eastAsia="lt-LT"/>
        </w:rPr>
        <w:t xml:space="preserve"> </w:t>
      </w:r>
      <w:r w:rsidRPr="00716A12">
        <w:rPr>
          <w:rFonts w:eastAsia="TimesNewRomanPSMT"/>
          <w:lang w:eastAsia="lt-LT"/>
        </w:rPr>
        <w:t>kuriame buvo nustatytas bendrasis įspėjimas apie produkto žalą sveikatai bei specialusis įspėjimas</w:t>
      </w:r>
      <w:r>
        <w:rPr>
          <w:rFonts w:eastAsia="TimesNewRomanPSMT"/>
          <w:lang w:eastAsia="lt-LT"/>
        </w:rPr>
        <w:t xml:space="preserve"> </w:t>
      </w:r>
      <w:r w:rsidRPr="00716A12">
        <w:rPr>
          <w:rFonts w:eastAsia="TimesNewRomanPSMT"/>
          <w:lang w:eastAsia="lt-LT"/>
        </w:rPr>
        <w:t>apie galimą produkto žalą vaisiui, tačiau šis projektas buvo atšauktas, kadangi notifikavimo</w:t>
      </w:r>
      <w:r>
        <w:rPr>
          <w:rFonts w:eastAsia="TimesNewRomanPSMT"/>
          <w:lang w:eastAsia="lt-LT"/>
        </w:rPr>
        <w:t xml:space="preserve"> </w:t>
      </w:r>
      <w:r w:rsidRPr="00716A12">
        <w:rPr>
          <w:rFonts w:eastAsia="TimesNewRomanPSMT"/>
          <w:lang w:eastAsia="lt-LT"/>
        </w:rPr>
        <w:t>procedūros metu Europos Komisija pateikė neigiamą nuomonę. 2007 m. Lenkija nustatyta tvarka</w:t>
      </w:r>
      <w:r>
        <w:rPr>
          <w:rFonts w:eastAsia="TimesNewRomanPSMT"/>
          <w:lang w:eastAsia="lt-LT"/>
        </w:rPr>
        <w:t xml:space="preserve"> </w:t>
      </w:r>
      <w:r w:rsidRPr="00716A12">
        <w:rPr>
          <w:rFonts w:eastAsia="TimesNewRomanPSMT"/>
          <w:lang w:eastAsia="lt-LT"/>
        </w:rPr>
        <w:t>notifikavo Europos Komisijai teisės akto projektą, kuriame buvo numatyta teikti įspėjamuosius</w:t>
      </w:r>
      <w:r>
        <w:rPr>
          <w:rFonts w:eastAsia="TimesNewRomanPSMT"/>
          <w:lang w:eastAsia="lt-LT"/>
        </w:rPr>
        <w:t xml:space="preserve"> </w:t>
      </w:r>
      <w:r w:rsidRPr="00716A12">
        <w:rPr>
          <w:rFonts w:eastAsia="TimesNewRomanPSMT"/>
          <w:lang w:eastAsia="lt-LT"/>
        </w:rPr>
        <w:t>užrašus apie alkoholio daromą žalą nėščioms, krūtimi maitinančioms moterims, nepilnamečiams bei</w:t>
      </w:r>
      <w:r>
        <w:rPr>
          <w:rFonts w:eastAsia="TimesNewRomanPSMT"/>
          <w:lang w:eastAsia="lt-LT"/>
        </w:rPr>
        <w:t xml:space="preserve"> </w:t>
      </w:r>
      <w:r w:rsidRPr="00716A12">
        <w:rPr>
          <w:rFonts w:eastAsia="TimesNewRomanPSMT"/>
          <w:lang w:eastAsia="lt-LT"/>
        </w:rPr>
        <w:t>vairuotojams. Šis teisės aktas taip pat nebuvo priimtas dėl pagrindimo stokos. Vienintelė Prancūzija</w:t>
      </w:r>
      <w:r>
        <w:rPr>
          <w:rFonts w:eastAsia="TimesNewRomanPSMT"/>
          <w:lang w:eastAsia="lt-LT"/>
        </w:rPr>
        <w:t xml:space="preserve"> </w:t>
      </w:r>
      <w:r w:rsidRPr="00716A12">
        <w:rPr>
          <w:rFonts w:eastAsia="TimesNewRomanPSMT"/>
          <w:lang w:eastAsia="lt-LT"/>
        </w:rPr>
        <w:t>2006 m. priėmė teisės aktą, kuriame nustatyti reikalavimai ženklinant alkoholinius gėrimus nurodyti</w:t>
      </w:r>
      <w:r>
        <w:rPr>
          <w:rFonts w:eastAsia="TimesNewRomanPSMT"/>
          <w:lang w:eastAsia="lt-LT"/>
        </w:rPr>
        <w:t xml:space="preserve"> </w:t>
      </w:r>
      <w:r w:rsidRPr="00716A12">
        <w:rPr>
          <w:rFonts w:eastAsia="TimesNewRomanPSMT"/>
          <w:lang w:eastAsia="lt-LT"/>
        </w:rPr>
        <w:t>grafinį ženklą arba užrašą, įspėjantį, kad „Alkoholinių gėrimų vartojimas nėštumo metu, net mažais</w:t>
      </w:r>
      <w:r>
        <w:rPr>
          <w:rFonts w:eastAsia="TimesNewRomanPSMT"/>
          <w:lang w:eastAsia="lt-LT"/>
        </w:rPr>
        <w:t xml:space="preserve"> </w:t>
      </w:r>
      <w:r w:rsidRPr="00716A12">
        <w:rPr>
          <w:rFonts w:eastAsia="TimesNewRomanPSMT"/>
          <w:lang w:eastAsia="lt-LT"/>
        </w:rPr>
        <w:t>kiekiais, gali turėti rimtų pasekmių kūdikio sveikatai“. Ši priemonė buvo pagrįsta tuo, kad kasmet</w:t>
      </w:r>
      <w:r>
        <w:rPr>
          <w:rFonts w:eastAsia="TimesNewRomanPSMT"/>
          <w:lang w:eastAsia="lt-LT"/>
        </w:rPr>
        <w:t xml:space="preserve"> </w:t>
      </w:r>
      <w:r w:rsidRPr="00716A12">
        <w:rPr>
          <w:rFonts w:eastAsia="TimesNewRomanPSMT"/>
          <w:lang w:eastAsia="lt-LT"/>
        </w:rPr>
        <w:t>vidutiniškai apie 3000 Prancūzijoje gimusių kūdikių nustatomas sunkiausias alkoholio nulemtas</w:t>
      </w:r>
      <w:r>
        <w:rPr>
          <w:rFonts w:eastAsia="TimesNewRomanPSMT"/>
          <w:lang w:eastAsia="lt-LT"/>
        </w:rPr>
        <w:t xml:space="preserve"> </w:t>
      </w:r>
      <w:r w:rsidRPr="00716A12">
        <w:rPr>
          <w:rFonts w:eastAsia="TimesNewRomanPSMT"/>
          <w:lang w:eastAsia="lt-LT"/>
        </w:rPr>
        <w:t>vaisiaus raidos sutrikimas - vaisiaus alkoholinis sindromas.</w:t>
      </w:r>
    </w:p>
    <w:p w:rsidR="00E80028" w:rsidRPr="00716A12" w:rsidRDefault="00E80028" w:rsidP="00E80028">
      <w:pPr>
        <w:autoSpaceDE w:val="0"/>
        <w:autoSpaceDN w:val="0"/>
        <w:adjustRightInd w:val="0"/>
        <w:jc w:val="both"/>
        <w:rPr>
          <w:rFonts w:eastAsia="TimesNewRomanPSMT"/>
          <w:lang w:eastAsia="lt-LT"/>
        </w:rPr>
      </w:pPr>
      <w:r w:rsidRPr="00716A12">
        <w:rPr>
          <w:rFonts w:eastAsia="TimesNewRomanPSMT"/>
          <w:lang w:eastAsia="lt-LT"/>
        </w:rPr>
        <w:t>Atsižvelgdami į keliamos problemos svarbą, planuojame organizuoti pasitarimą dėl</w:t>
      </w:r>
      <w:r>
        <w:rPr>
          <w:rFonts w:eastAsia="TimesNewRomanPSMT"/>
          <w:lang w:eastAsia="lt-LT"/>
        </w:rPr>
        <w:t xml:space="preserve"> </w:t>
      </w:r>
      <w:r w:rsidRPr="00716A12">
        <w:rPr>
          <w:rFonts w:eastAsia="TimesNewRomanPSMT"/>
          <w:lang w:eastAsia="lt-LT"/>
        </w:rPr>
        <w:t>alkoholinių gėrimų ženklinimo ir parengti pasiūlymus dėl galimo alkoholinių gėrimų ženklinimo</w:t>
      </w:r>
      <w:r>
        <w:rPr>
          <w:rFonts w:eastAsia="TimesNewRomanPSMT"/>
          <w:lang w:eastAsia="lt-LT"/>
        </w:rPr>
        <w:t xml:space="preserve"> </w:t>
      </w:r>
      <w:r w:rsidRPr="00716A12">
        <w:rPr>
          <w:rFonts w:eastAsia="TimesNewRomanPSMT"/>
          <w:lang w:eastAsia="lt-LT"/>
        </w:rPr>
        <w:t>Lietuvoje.</w:t>
      </w:r>
    </w:p>
    <w:p w:rsidR="00E80028" w:rsidRDefault="00E80028" w:rsidP="00E80028">
      <w:pPr>
        <w:autoSpaceDE w:val="0"/>
        <w:autoSpaceDN w:val="0"/>
        <w:adjustRightInd w:val="0"/>
        <w:ind w:firstLine="720"/>
        <w:jc w:val="both"/>
      </w:pPr>
    </w:p>
    <w:p w:rsidR="00E80028" w:rsidRDefault="00E80028" w:rsidP="00E80028">
      <w:pPr>
        <w:autoSpaceDE w:val="0"/>
        <w:autoSpaceDN w:val="0"/>
        <w:adjustRightInd w:val="0"/>
        <w:ind w:firstLine="720"/>
        <w:jc w:val="both"/>
        <w:rPr>
          <w:rFonts w:eastAsia="TimesNewRomanPSMT"/>
          <w:b/>
          <w:lang w:eastAsia="lt-LT"/>
        </w:rPr>
      </w:pPr>
      <w:r w:rsidRPr="0001354B">
        <w:rPr>
          <w:lang w:eastAsia="lt-LT"/>
        </w:rPr>
        <w:t xml:space="preserve">Komisijos narių </w:t>
      </w:r>
      <w:r>
        <w:rPr>
          <w:lang w:eastAsia="lt-LT"/>
        </w:rPr>
        <w:t xml:space="preserve"> inicijuotas pasiūlymas</w:t>
      </w:r>
      <w:r w:rsidRPr="0001354B">
        <w:rPr>
          <w:lang w:eastAsia="lt-LT"/>
        </w:rPr>
        <w:t xml:space="preserve"> dėl</w:t>
      </w:r>
      <w:r>
        <w:rPr>
          <w:lang w:eastAsia="lt-LT"/>
        </w:rPr>
        <w:t xml:space="preserve"> </w:t>
      </w:r>
      <w:r>
        <w:t>Lietuvos Respublikos alkoholio kontrolės įstatymo Nr. I-857 9 straipsnio pakeitimo ir užregistruotas įstatymo projektas Nr. XIIP-2062.</w:t>
      </w:r>
    </w:p>
    <w:p w:rsidR="00E80028" w:rsidRDefault="00E80028" w:rsidP="00E80028">
      <w:pPr>
        <w:autoSpaceDE w:val="0"/>
        <w:autoSpaceDN w:val="0"/>
        <w:adjustRightInd w:val="0"/>
        <w:ind w:firstLine="720"/>
        <w:jc w:val="both"/>
        <w:rPr>
          <w:rFonts w:eastAsia="TimesNewRomanPSMT"/>
          <w:b/>
          <w:lang w:eastAsia="lt-LT"/>
        </w:rPr>
      </w:pPr>
    </w:p>
    <w:p w:rsidR="00E80028" w:rsidRPr="00387E75" w:rsidRDefault="00E80028" w:rsidP="00E80028">
      <w:pPr>
        <w:ind w:firstLine="720"/>
        <w:jc w:val="both"/>
        <w:rPr>
          <w:rFonts w:eastAsia="Arial Unicode MS"/>
        </w:rPr>
      </w:pPr>
    </w:p>
    <w:p w:rsidR="00E80028" w:rsidRPr="005934B6" w:rsidRDefault="00E80028" w:rsidP="00E80028">
      <w:pPr>
        <w:ind w:firstLine="720"/>
        <w:jc w:val="both"/>
        <w:rPr>
          <w:rFonts w:eastAsia="Arial Unicode MS"/>
        </w:rPr>
      </w:pPr>
      <w:r w:rsidRPr="005934B6">
        <w:rPr>
          <w:rFonts w:eastAsia="Arial Unicode MS"/>
          <w:b/>
        </w:rPr>
        <w:t xml:space="preserve">V. </w:t>
      </w:r>
      <w:r w:rsidRPr="005934B6">
        <w:rPr>
          <w:rFonts w:eastAsia="Arial Unicode MS"/>
        </w:rPr>
        <w:t xml:space="preserve">Neteisėtos narkotikų apyvartos Lietuvoje 2013 metais apžvalga. </w:t>
      </w:r>
    </w:p>
    <w:p w:rsidR="00E80028" w:rsidRPr="005934B6" w:rsidRDefault="00E80028" w:rsidP="00E80028">
      <w:pPr>
        <w:ind w:firstLine="720"/>
        <w:jc w:val="both"/>
        <w:rPr>
          <w:rFonts w:eastAsia="Arial Unicode MS"/>
        </w:rPr>
      </w:pPr>
    </w:p>
    <w:p w:rsidR="00E80028" w:rsidRDefault="00E80028" w:rsidP="00E80028">
      <w:pPr>
        <w:pStyle w:val="Default"/>
      </w:pPr>
    </w:p>
    <w:p w:rsidR="00E80028" w:rsidRDefault="00E80028" w:rsidP="00E80028">
      <w:pPr>
        <w:pStyle w:val="Default"/>
        <w:jc w:val="both"/>
        <w:rPr>
          <w:sz w:val="23"/>
          <w:szCs w:val="23"/>
        </w:rPr>
      </w:pPr>
      <w:r>
        <w:t xml:space="preserve"> </w:t>
      </w:r>
      <w:r>
        <w:rPr>
          <w:i/>
          <w:iCs/>
          <w:sz w:val="23"/>
          <w:szCs w:val="23"/>
        </w:rPr>
        <w:t xml:space="preserve">„Neteisėtų narkotikų vartojimas ir piktnaudžiavimas narkotikais apskritai yra rimta problema, su kuria susiduria asmenys, šeimos ir bendruomenės visoje Europoje. Be piktnaudžiavimo narkotikais poveikio sveikatai ir socialinių padarinių, neteisėtų narkotikų rinka yra vienas iš svarbiausių Europos visuomenės ir netgi pasaulinio masto nusikalstamos veiklos elementų“ </w:t>
      </w:r>
    </w:p>
    <w:p w:rsidR="00E80028" w:rsidRDefault="00E80028" w:rsidP="00E80028">
      <w:pPr>
        <w:ind w:firstLine="720"/>
        <w:jc w:val="both"/>
        <w:rPr>
          <w:sz w:val="18"/>
          <w:szCs w:val="18"/>
        </w:rPr>
      </w:pPr>
      <w:r>
        <w:rPr>
          <w:sz w:val="18"/>
          <w:szCs w:val="18"/>
        </w:rPr>
        <w:t>ES kovos su narkotikais veiksmų planas 2013–2016 m.</w:t>
      </w:r>
    </w:p>
    <w:p w:rsidR="00E80028" w:rsidRPr="005934B6" w:rsidRDefault="00E80028" w:rsidP="00E80028">
      <w:pPr>
        <w:ind w:firstLine="720"/>
        <w:jc w:val="both"/>
        <w:rPr>
          <w:rFonts w:eastAsia="Arial Unicode MS"/>
        </w:rPr>
      </w:pPr>
    </w:p>
    <w:p w:rsidR="00E80028" w:rsidRPr="005934B6" w:rsidRDefault="00E80028" w:rsidP="00E80028">
      <w:pPr>
        <w:ind w:firstLine="720"/>
        <w:jc w:val="both"/>
        <w:rPr>
          <w:rFonts w:eastAsia="Arial Unicode MS"/>
        </w:rPr>
      </w:pPr>
      <w:r w:rsidRPr="005934B6">
        <w:rPr>
          <w:rFonts w:eastAsia="Arial Unicode MS"/>
        </w:rPr>
        <w:t xml:space="preserve">Komisija gavo pagal Policijos departamento prie Lietuvos Respublikos vidaus reikalų ministerijos 2014 m. gegužės 8 d. raštą Nr. S-1-1652 „Dėl analitinės apžvalgos pateikimo“ Lietuvos kriminalinės policijos biuro Organizuoto nusikalstamumo tyrimo 3-iosios valdybos parengtą apžvalgą apie neteisėtos narkotikų apyvartos kontrolę šalyje 2013 m.. </w:t>
      </w:r>
    </w:p>
    <w:p w:rsidR="00E80028" w:rsidRPr="005934B6" w:rsidRDefault="00E80028" w:rsidP="00E80028">
      <w:pPr>
        <w:ind w:firstLine="720"/>
        <w:jc w:val="both"/>
      </w:pPr>
      <w:r w:rsidRPr="005934B6">
        <w:rPr>
          <w:rFonts w:eastAsia="Arial Unicode MS"/>
        </w:rPr>
        <w:t xml:space="preserve">Organizuoto nusikalstamumo tyrimo 3-ioji valdyba apžvalgoje nurodė, </w:t>
      </w:r>
      <w:r w:rsidRPr="005934B6">
        <w:rPr>
          <w:iCs/>
          <w:color w:val="000000"/>
        </w:rPr>
        <w:t>k</w:t>
      </w:r>
      <w:r w:rsidRPr="005934B6">
        <w:rPr>
          <w:iCs/>
          <w:color w:val="000000"/>
          <w:spacing w:val="-1"/>
        </w:rPr>
        <w:t>a</w:t>
      </w:r>
      <w:r w:rsidRPr="005934B6">
        <w:rPr>
          <w:iCs/>
          <w:color w:val="000000"/>
        </w:rPr>
        <w:t>d</w:t>
      </w:r>
      <w:r w:rsidRPr="005934B6">
        <w:rPr>
          <w:iCs/>
          <w:color w:val="000000"/>
          <w:spacing w:val="7"/>
        </w:rPr>
        <w:t xml:space="preserve"> </w:t>
      </w:r>
      <w:r w:rsidRPr="005934B6">
        <w:rPr>
          <w:iCs/>
          <w:color w:val="000000"/>
          <w:spacing w:val="-2"/>
        </w:rPr>
        <w:t>20</w:t>
      </w:r>
      <w:r w:rsidRPr="005934B6">
        <w:rPr>
          <w:iCs/>
          <w:color w:val="000000"/>
          <w:spacing w:val="3"/>
        </w:rPr>
        <w:t>1</w:t>
      </w:r>
      <w:r w:rsidRPr="005934B6">
        <w:rPr>
          <w:iCs/>
          <w:color w:val="000000"/>
        </w:rPr>
        <w:t xml:space="preserve">3 metais  </w:t>
      </w:r>
      <w:r w:rsidRPr="005934B6">
        <w:t xml:space="preserve">2013 metais Informatikos ir ryšių departamento prie Vidaus reikalų ministerijos (toliau – IRD prie VRM) duomenimis Lietuvos ikiteisminio tyrimo įstaigose užregistruota 84 970 nusikalstamų veikų arba 2,9 % daugiau negu 2012 m. (82 564). Policijos ikiteisminio </w:t>
      </w:r>
      <w:r w:rsidRPr="005934B6">
        <w:lastRenderedPageBreak/>
        <w:t xml:space="preserve">tyrimo įstaigose užregistruota 94,6 % visų užregistruotų nusikalstamų veikų (80 349). Vidutiniškai kasdien buvo fiksuojamos 233 nusikalstamos veikos (2012 m. - 226). </w:t>
      </w:r>
    </w:p>
    <w:p w:rsidR="00E80028" w:rsidRPr="005934B6" w:rsidRDefault="00E80028" w:rsidP="00E80028">
      <w:pPr>
        <w:pStyle w:val="Default"/>
        <w:ind w:firstLine="720"/>
        <w:jc w:val="both"/>
        <w:rPr>
          <w:color w:val="auto"/>
        </w:rPr>
      </w:pPr>
      <w:r w:rsidRPr="005934B6">
        <w:rPr>
          <w:color w:val="auto"/>
        </w:rPr>
        <w:t xml:space="preserve">2013 m. šalies ikiteisminio tyrimo įstaigose iš viso yra užregistruotos 4466 sunkios ir labai sunkios nusikalstamos veikos, analizuojant jų struktūrą matosi, kad daugiausiai (20 %) sudarė neteisėtas disponavimas narkotikais turint tikslą juos platinti arba disponavimas labai dideliu kiekiu (LR BK 260 str.), 15 % – sukčiavimai stambiu mastu, 14 % - kontrabanda, po 6 % – plėšimai ir vagystės stambiu mastu. </w:t>
      </w:r>
    </w:p>
    <w:p w:rsidR="00E80028" w:rsidRPr="005934B6" w:rsidRDefault="00E80028" w:rsidP="00E80028">
      <w:pPr>
        <w:pStyle w:val="Default"/>
        <w:ind w:firstLine="720"/>
        <w:jc w:val="both"/>
        <w:rPr>
          <w:color w:val="auto"/>
        </w:rPr>
      </w:pPr>
      <w:r w:rsidRPr="005934B6">
        <w:rPr>
          <w:color w:val="auto"/>
        </w:rPr>
        <w:t xml:space="preserve">IRD prie VRM duomenimis 2013 m. užregistruotos 2354 nusikalstamos veikos, susijusios su neteisėtu narkotinių ir psichotropinių medžiagų disponavimu. Tai yra 3 % mažiau negu 2012 metais. 2013 m. nežymiai sumažėjo ir nusikalstamų veikų, susijusių su neteisėta narkotikų apyvarta, tenkančių 100 tūkst. gyventojų skaičius – 2013 m. tokių veikų fiksuota 83 mažiau lyginant su 2012 m. </w:t>
      </w:r>
    </w:p>
    <w:p w:rsidR="00E80028" w:rsidRPr="005934B6" w:rsidRDefault="00E80028" w:rsidP="00E80028">
      <w:pPr>
        <w:pStyle w:val="Default"/>
        <w:ind w:firstLine="720"/>
        <w:jc w:val="both"/>
        <w:rPr>
          <w:color w:val="auto"/>
        </w:rPr>
      </w:pPr>
      <w:r w:rsidRPr="005934B6">
        <w:rPr>
          <w:color w:val="auto"/>
        </w:rPr>
        <w:t xml:space="preserve">Bendrame nusikalstamumo kontekste nusikalstamos veikos, susijusios su neteisėtu narkotikų  disponavimu, sudaro 2,83%, o tai yra 0,12% mažiau negu 2012 m. Lyginant kelių metų pateikiamą statistiką galima daryti prielaidą, kad narkotikų situacija Lietuvoje per kelis pastaruosius metus stabilizavosi. </w:t>
      </w:r>
    </w:p>
    <w:p w:rsidR="00E80028" w:rsidRPr="005934B6" w:rsidRDefault="00E80028" w:rsidP="00E80028">
      <w:pPr>
        <w:pStyle w:val="Default"/>
        <w:ind w:firstLine="720"/>
        <w:jc w:val="both"/>
        <w:rPr>
          <w:color w:val="auto"/>
        </w:rPr>
      </w:pPr>
      <w:r w:rsidRPr="005934B6">
        <w:rPr>
          <w:color w:val="auto"/>
        </w:rPr>
        <w:t xml:space="preserve">Pasiekti teigiami rezultatai kovoje su nelegalia narkotinių ar psichotropinių medžiagų apyvarta šalyje tiesiogiai priklauso nuo Lietuvos teisėsaugos aktyvių veiksmų įgyvendinant užsibrėžtus tikslus,   bendradarbiaujant su nacionalinėmis ir tarptautinėmis teisėsaugos institucijomis, keičiantis informacija ir dalyvaujant tarptautiniuose tyrimuose, susijusiuose su neteisėta narkotinių ir psichotropinių medžiagų apyvarta. </w:t>
      </w:r>
    </w:p>
    <w:p w:rsidR="00E80028" w:rsidRPr="005934B6" w:rsidRDefault="00E80028" w:rsidP="00E80028">
      <w:pPr>
        <w:pStyle w:val="Default"/>
        <w:ind w:firstLine="720"/>
        <w:rPr>
          <w:color w:val="auto"/>
        </w:rPr>
      </w:pPr>
      <w:r w:rsidRPr="005934B6">
        <w:rPr>
          <w:color w:val="auto"/>
        </w:rPr>
        <w:t xml:space="preserve">Pagal IRD prie VRM pateiktą statistiką iš 2013 m. fiksuotų </w:t>
      </w:r>
      <w:r w:rsidRPr="005934B6">
        <w:rPr>
          <w:b/>
          <w:bCs/>
          <w:color w:val="auto"/>
        </w:rPr>
        <w:t xml:space="preserve">2354 </w:t>
      </w:r>
      <w:r w:rsidRPr="005934B6">
        <w:rPr>
          <w:color w:val="auto"/>
        </w:rPr>
        <w:t xml:space="preserve">nusikalstamų veikų, susijusių su neteisėtu narkotikų disponavimu, užregistruota: </w:t>
      </w:r>
    </w:p>
    <w:p w:rsidR="00E80028" w:rsidRPr="005934B6" w:rsidRDefault="00E80028" w:rsidP="00E80028">
      <w:pPr>
        <w:pStyle w:val="Default"/>
        <w:jc w:val="both"/>
        <w:rPr>
          <w:color w:val="auto"/>
        </w:rPr>
      </w:pPr>
      <w:r w:rsidRPr="005934B6">
        <w:rPr>
          <w:b/>
          <w:bCs/>
          <w:color w:val="auto"/>
        </w:rPr>
        <w:t xml:space="preserve">1411 </w:t>
      </w:r>
      <w:r w:rsidRPr="005934B6">
        <w:rPr>
          <w:color w:val="auto"/>
        </w:rPr>
        <w:t xml:space="preserve">– dėl neteisėto disponavimo narkotinėmis ir psichotropinėmis medžiagomis be tikslo jas platinti (2011 m. – 1240, 2012 m. – 1260) – LR BK 259 str.; </w:t>
      </w:r>
    </w:p>
    <w:p w:rsidR="00E80028" w:rsidRPr="005934B6" w:rsidRDefault="00E80028" w:rsidP="00E80028">
      <w:pPr>
        <w:pStyle w:val="Default"/>
        <w:jc w:val="both"/>
        <w:rPr>
          <w:color w:val="auto"/>
        </w:rPr>
      </w:pPr>
      <w:r w:rsidRPr="005934B6">
        <w:rPr>
          <w:b/>
          <w:bCs/>
          <w:color w:val="auto"/>
        </w:rPr>
        <w:t xml:space="preserve">787 </w:t>
      </w:r>
      <w:r w:rsidRPr="005934B6">
        <w:rPr>
          <w:color w:val="auto"/>
        </w:rPr>
        <w:t xml:space="preserve">– dėl neteisėto disponavimo narkotinėmis ir psichotropinėmis medžiagomis turint tikslą jas platinti (2011 m. – 906, 2012 m. – </w:t>
      </w:r>
      <w:r w:rsidRPr="005934B6">
        <w:rPr>
          <w:b/>
          <w:bCs/>
          <w:color w:val="auto"/>
        </w:rPr>
        <w:t>1077</w:t>
      </w:r>
      <w:r w:rsidRPr="005934B6">
        <w:rPr>
          <w:color w:val="auto"/>
        </w:rPr>
        <w:t xml:space="preserve">), iš jų 97 nusikalstamos veikos dėl platinimo labai didelio kiekio – LR BK 260 str.; </w:t>
      </w:r>
    </w:p>
    <w:p w:rsidR="00E80028" w:rsidRPr="005934B6" w:rsidRDefault="00E80028" w:rsidP="00E80028">
      <w:pPr>
        <w:pStyle w:val="Default"/>
        <w:jc w:val="both"/>
        <w:rPr>
          <w:color w:val="auto"/>
        </w:rPr>
      </w:pPr>
      <w:r w:rsidRPr="005934B6">
        <w:rPr>
          <w:b/>
          <w:bCs/>
          <w:color w:val="auto"/>
        </w:rPr>
        <w:t xml:space="preserve">24 </w:t>
      </w:r>
      <w:r w:rsidRPr="005934B6">
        <w:rPr>
          <w:color w:val="auto"/>
        </w:rPr>
        <w:t xml:space="preserve">– dėl narkotikų platinimo nepilnamečiams (2011 m. – 23, 2012 m. – 18) – R BK 261 str.; </w:t>
      </w:r>
    </w:p>
    <w:p w:rsidR="00E80028" w:rsidRPr="005934B6" w:rsidRDefault="00E80028" w:rsidP="00E80028">
      <w:pPr>
        <w:pStyle w:val="Default"/>
        <w:jc w:val="both"/>
        <w:rPr>
          <w:color w:val="auto"/>
        </w:rPr>
      </w:pPr>
      <w:r w:rsidRPr="005934B6">
        <w:rPr>
          <w:b/>
          <w:bCs/>
          <w:color w:val="auto"/>
        </w:rPr>
        <w:t>2</w:t>
      </w:r>
      <w:r w:rsidRPr="005934B6">
        <w:rPr>
          <w:color w:val="auto"/>
        </w:rPr>
        <w:t xml:space="preserve">– dėl įrenginių narkotinėms ar psichotropinėms medžiagoms gaminti gaminimo (2011 m. – 7, 2012 m. – 4) – LR BK 262 str.; </w:t>
      </w:r>
    </w:p>
    <w:p w:rsidR="00E80028" w:rsidRPr="005934B6" w:rsidRDefault="00E80028" w:rsidP="00E80028">
      <w:pPr>
        <w:pStyle w:val="Default"/>
        <w:jc w:val="both"/>
        <w:rPr>
          <w:color w:val="auto"/>
        </w:rPr>
      </w:pPr>
      <w:r w:rsidRPr="005934B6">
        <w:rPr>
          <w:b/>
          <w:bCs/>
          <w:color w:val="auto"/>
        </w:rPr>
        <w:t xml:space="preserve">4 </w:t>
      </w:r>
      <w:r w:rsidRPr="005934B6">
        <w:rPr>
          <w:color w:val="auto"/>
        </w:rPr>
        <w:t xml:space="preserve">– dėl narkotinių ar psichotropinių medžiagų pagrobimo (2011 m. – 5, 2012 m. – 5) – LR BK 263 str.; </w:t>
      </w:r>
    </w:p>
    <w:p w:rsidR="00E80028" w:rsidRPr="005934B6" w:rsidRDefault="00E80028" w:rsidP="00E80028">
      <w:pPr>
        <w:pStyle w:val="Default"/>
        <w:jc w:val="both"/>
        <w:rPr>
          <w:color w:val="auto"/>
        </w:rPr>
      </w:pPr>
      <w:r w:rsidRPr="005934B6">
        <w:rPr>
          <w:b/>
          <w:bCs/>
          <w:color w:val="auto"/>
        </w:rPr>
        <w:t xml:space="preserve">8 </w:t>
      </w:r>
      <w:r w:rsidRPr="005934B6">
        <w:rPr>
          <w:color w:val="auto"/>
        </w:rPr>
        <w:t xml:space="preserve">– dėl lenkimo vartoti narkotikus (2011 m. – 24, 2012 m. – 14) - LR BK 264 str.; </w:t>
      </w:r>
    </w:p>
    <w:p w:rsidR="00E80028" w:rsidRPr="005934B6" w:rsidRDefault="00E80028" w:rsidP="00E80028">
      <w:pPr>
        <w:pStyle w:val="Default"/>
        <w:jc w:val="both"/>
        <w:rPr>
          <w:color w:val="auto"/>
        </w:rPr>
      </w:pPr>
      <w:r w:rsidRPr="005934B6">
        <w:rPr>
          <w:b/>
          <w:bCs/>
          <w:color w:val="auto"/>
        </w:rPr>
        <w:t xml:space="preserve">16 </w:t>
      </w:r>
      <w:r w:rsidRPr="005934B6">
        <w:rPr>
          <w:color w:val="auto"/>
        </w:rPr>
        <w:t>– dėl neteisėto aguonų ar kanapių auginimo (2011 m. – 16, 2010 m. – 12) – LR BK 265 str.;</w:t>
      </w:r>
    </w:p>
    <w:p w:rsidR="00E80028" w:rsidRPr="005934B6" w:rsidRDefault="00E80028" w:rsidP="00E80028">
      <w:pPr>
        <w:pStyle w:val="Default"/>
        <w:jc w:val="both"/>
        <w:rPr>
          <w:color w:val="auto"/>
        </w:rPr>
      </w:pPr>
      <w:r w:rsidRPr="005934B6">
        <w:rPr>
          <w:color w:val="auto"/>
        </w:rPr>
        <w:t xml:space="preserve"> </w:t>
      </w:r>
      <w:r w:rsidRPr="005934B6">
        <w:rPr>
          <w:b/>
          <w:bCs/>
          <w:color w:val="auto"/>
        </w:rPr>
        <w:t xml:space="preserve">5 </w:t>
      </w:r>
      <w:r w:rsidRPr="005934B6">
        <w:rPr>
          <w:color w:val="auto"/>
        </w:rPr>
        <w:t xml:space="preserve">– dėl neteisėto I kategorijos narkotinių ir psichotropinių medžiagų pirmtakų (prekursorių) disponavimo (2011 m. – 3, 2012 m. – 5) – LR BK 266 str.; </w:t>
      </w:r>
    </w:p>
    <w:p w:rsidR="00E80028" w:rsidRPr="005934B6" w:rsidRDefault="00E80028" w:rsidP="00E80028">
      <w:pPr>
        <w:pStyle w:val="Default"/>
        <w:rPr>
          <w:color w:val="auto"/>
        </w:rPr>
      </w:pPr>
      <w:r w:rsidRPr="005934B6">
        <w:rPr>
          <w:b/>
          <w:bCs/>
          <w:color w:val="auto"/>
        </w:rPr>
        <w:t xml:space="preserve">5 </w:t>
      </w:r>
      <w:r w:rsidRPr="005934B6">
        <w:rPr>
          <w:color w:val="auto"/>
        </w:rPr>
        <w:t xml:space="preserve">– dėl neteisėto disponavimo stipriai veikiančiomis, nuodingomis medžiagomis – (2011 m. - 2, 2012 m. – 3) LR BK -267 str. </w:t>
      </w:r>
    </w:p>
    <w:p w:rsidR="00E80028" w:rsidRPr="005934B6" w:rsidRDefault="00E80028" w:rsidP="00E80028">
      <w:pPr>
        <w:pStyle w:val="Default"/>
        <w:rPr>
          <w:color w:val="auto"/>
        </w:rPr>
      </w:pPr>
      <w:r w:rsidRPr="005934B6">
        <w:rPr>
          <w:b/>
          <w:bCs/>
          <w:color w:val="auto"/>
        </w:rPr>
        <w:t xml:space="preserve">92 </w:t>
      </w:r>
      <w:r w:rsidRPr="005934B6">
        <w:rPr>
          <w:color w:val="auto"/>
        </w:rPr>
        <w:t xml:space="preserve">– dėl narkotikų kontrabandos (2011 m. – 30, 2012 m. – 43,) – LR BK 199 str. </w:t>
      </w:r>
    </w:p>
    <w:p w:rsidR="00E80028" w:rsidRPr="005934B6" w:rsidRDefault="00E80028" w:rsidP="00E80028">
      <w:pPr>
        <w:pStyle w:val="Default"/>
        <w:jc w:val="both"/>
        <w:rPr>
          <w:color w:val="auto"/>
        </w:rPr>
      </w:pPr>
    </w:p>
    <w:p w:rsidR="00E80028" w:rsidRPr="005934B6" w:rsidRDefault="00E80028" w:rsidP="00E80028">
      <w:pPr>
        <w:pStyle w:val="Default"/>
        <w:rPr>
          <w:color w:val="auto"/>
        </w:rPr>
      </w:pPr>
      <w:r w:rsidRPr="005934B6">
        <w:rPr>
          <w:color w:val="auto"/>
        </w:rPr>
        <w:t xml:space="preserve">Analizuojant 2013 m. nusikalstamų veikų pasiskirstymą teritorijoje, kaip ir ankstesniais metais, daugiausiai jų buvo registruojama didžiuosiuose šalies miestuose (Vilniuje, Kaune ir Klaipėdoje). Beveik trečdalis nusikalstamų veikų užregistruota Vilniaus mieste. </w:t>
      </w:r>
    </w:p>
    <w:p w:rsidR="00E80028" w:rsidRPr="005934B6" w:rsidRDefault="00E80028" w:rsidP="00E80028">
      <w:pPr>
        <w:pStyle w:val="Default"/>
        <w:ind w:firstLine="720"/>
        <w:jc w:val="both"/>
        <w:rPr>
          <w:color w:val="auto"/>
        </w:rPr>
      </w:pPr>
      <w:r w:rsidRPr="005934B6">
        <w:rPr>
          <w:color w:val="auto"/>
        </w:rPr>
        <w:t xml:space="preserve">Informatikos ir ryšių departamento prie VRM duomenimis, 2013 m. užregistruoti 1455 (2012 m. – 1489, 2011 m. – 1418, 2010 m. – 1704, 2009 m. – 1513) asmenys, padarę nusikalstamas veikas, susijusias su neteisėtu narkotinių ar psichotropinių medžiagų disponavimu, iš jų 172 moterys, 23 užsienio piliečiai, 6 asmenys be pilietybės. Už neteisėtą narkotikų apyvartą dažniausiai sulaikomi jauni nuo 25 iki 29 metų asmenys 328 (2012 m. </w:t>
      </w:r>
      <w:r w:rsidRPr="005934B6">
        <w:rPr>
          <w:color w:val="auto"/>
        </w:rPr>
        <w:lastRenderedPageBreak/>
        <w:t xml:space="preserve">324). 2013 m. lyginant su 2012 m. sumažėjo asmenų nuo 21 iki 24 metų, padariusių nusikalstamas veikas, susijusias su neteisėtu narkotinių ar psichotropinių medžiagų disponavimu. </w:t>
      </w:r>
    </w:p>
    <w:p w:rsidR="00E80028" w:rsidRPr="005934B6" w:rsidRDefault="00E80028" w:rsidP="00E80028">
      <w:pPr>
        <w:pStyle w:val="Default"/>
        <w:ind w:firstLine="720"/>
        <w:jc w:val="both"/>
        <w:rPr>
          <w:color w:val="auto"/>
        </w:rPr>
      </w:pPr>
      <w:r w:rsidRPr="005934B6">
        <w:rPr>
          <w:color w:val="auto"/>
        </w:rPr>
        <w:t xml:space="preserve">Kaip ir ankstesniais metais, pernai didžioji dalis asmenų, padariusių nusikalstamas veikas, susijusias su neteisėta narkotikų apyvarta, buvo nedirbantys ir nesimokantys (599), turėjo nedidelį bendrąjį išsilavinimą: pagrindinį – 458 (2012 m.- 465) ir vidurinį 635 (2012 m. - 686). Beveik dvigubai daugiau pernai sulaikyta asmenų, turinčių aukštąjį išsilavinimą – 64 asmenys (2012 m. 43). 2013 m. 232 asmenys nusikaltimų įvykdymo metu buvo neblaivūs ar apsvaigę nuo narkotikų (2012 m. – 203). </w:t>
      </w:r>
    </w:p>
    <w:p w:rsidR="00E80028" w:rsidRPr="005934B6" w:rsidRDefault="00E80028" w:rsidP="00E80028">
      <w:pPr>
        <w:pStyle w:val="Default"/>
        <w:jc w:val="both"/>
        <w:rPr>
          <w:color w:val="auto"/>
        </w:rPr>
      </w:pPr>
      <w:r w:rsidRPr="005934B6">
        <w:rPr>
          <w:color w:val="auto"/>
        </w:rPr>
        <w:t xml:space="preserve">Kaip ir ankstesniais metais jauni žmonės į nusikalstamas veikas įsitraukia dėl siekio greitai praturtėti, nenoro siekti aukštesnės socialinės pozicijos visuomenėje (aukštasis išsilavinimas, karjeros siekimas), tolerancijos blogam elgesiui (pvz. toleruojama akcizinių prekių kontrabanda, platinimas). </w:t>
      </w:r>
    </w:p>
    <w:p w:rsidR="00E80028" w:rsidRDefault="00E80028" w:rsidP="00E80028">
      <w:pPr>
        <w:pStyle w:val="Default"/>
        <w:ind w:firstLine="720"/>
        <w:jc w:val="both"/>
        <w:rPr>
          <w:color w:val="auto"/>
        </w:rPr>
      </w:pPr>
      <w:r w:rsidRPr="005934B6">
        <w:rPr>
          <w:color w:val="auto"/>
        </w:rPr>
        <w:t>Kanapės ir toliau išlieka populiariausiu vartojamu narkotiku Lietuvoje. Jų vartojimo paplitimui daro įtaką vartotojų manymas, kad tai „</w:t>
      </w:r>
      <w:r w:rsidRPr="005934B6">
        <w:rPr>
          <w:i/>
          <w:iCs/>
          <w:color w:val="auto"/>
        </w:rPr>
        <w:t xml:space="preserve">lengvas“ </w:t>
      </w:r>
      <w:r w:rsidRPr="005934B6">
        <w:rPr>
          <w:color w:val="auto"/>
        </w:rPr>
        <w:t xml:space="preserve">narkotikas, nesukeliantis priklausomybės ar neturintis žalingų padarinių. Negalima atmesti dar vienos priežasties – vis aktyviau plėtojamos kanapių legalizavimo kampanijos pasauliniu mastu bei kai kuriose JAV valstijose ir keliose Lotynų Amerikos valstybėse priimti teisės aktai, leidžiantys kanapių vartojimą ne tik medicinos, bet ir kitais tikslais. </w:t>
      </w:r>
    </w:p>
    <w:p w:rsidR="00E80028" w:rsidRDefault="00E80028" w:rsidP="00E80028">
      <w:pPr>
        <w:pStyle w:val="Default"/>
        <w:ind w:firstLine="720"/>
        <w:jc w:val="both"/>
        <w:rPr>
          <w:color w:val="auto"/>
        </w:rPr>
      </w:pPr>
      <w:r w:rsidRPr="005934B6">
        <w:rPr>
          <w:color w:val="auto"/>
        </w:rPr>
        <w:t xml:space="preserve">Remiantis Kriminalistinių tyrimų centro atliktų tyrimų skaičiumi 2013 m. kanapės buvo dažniausiai iš nelegalios narkotikų apyvartos Lietuvoje išimama medžiaga. 2013 m. Lietuvoje iš nelegalios apyvartos buvo Lietuvoje išimama medžiaga. 2013 metais Lietuvoje iš nelegalios apyvartos buvo išimta 124 kg (2012 m. – 96 kg) kanapių: iš jų – 33 kg (išdžiovintų augalų kiekis) auginimo vietose, 23 kg iš neteisėtos prekybos, 46 kg laikant ir 22 kg gabenant per sieną. </w:t>
      </w:r>
    </w:p>
    <w:p w:rsidR="00E80028" w:rsidRPr="005934B6" w:rsidRDefault="00E80028" w:rsidP="00E80028">
      <w:pPr>
        <w:pStyle w:val="Default"/>
        <w:ind w:firstLine="720"/>
        <w:jc w:val="both"/>
        <w:rPr>
          <w:color w:val="auto"/>
        </w:rPr>
      </w:pPr>
      <w:r>
        <w:rPr>
          <w:color w:val="auto"/>
        </w:rPr>
        <w:t xml:space="preserve">Į </w:t>
      </w:r>
      <w:r w:rsidRPr="005934B6">
        <w:rPr>
          <w:color w:val="auto"/>
        </w:rPr>
        <w:t xml:space="preserve">Lietuvą kanapės įvežamos iš Olandijos ir Ispanijos. Didžiausias praėjusių metų kontrabandos atvejis buvo išaiškintas Lenkijos–Lietuvos pasienyje, kuomet policijos pareigūnai nustatė, kad į Lietuvą bandoma įvežti apie 17 kg kanapių. Manoma, kad jos buvo atgabentos iš Ispanijos. Kitas pažymėtinas atvejis, kuomet policijos pareigūnai išaiškino grupę asmenų, susijusių su kanapių platinimu. Kratų metu išimta 20 kg kanapių, kurios, kaip manoma, taip pat buvo įvežtos į Lietuvą iš Ispanijos. </w:t>
      </w:r>
    </w:p>
    <w:p w:rsidR="00E80028" w:rsidRPr="005934B6" w:rsidRDefault="00E80028" w:rsidP="00E80028">
      <w:pPr>
        <w:pStyle w:val="Default"/>
        <w:ind w:firstLine="720"/>
        <w:jc w:val="both"/>
        <w:rPr>
          <w:color w:val="auto"/>
        </w:rPr>
      </w:pPr>
      <w:r w:rsidRPr="005934B6">
        <w:rPr>
          <w:color w:val="auto"/>
        </w:rPr>
        <w:t xml:space="preserve">Kanapės Lietuvoje taip pat ir auginamos dirbtinėmis sąlygomis. Dažniausiai tai nedidelės apimties (nuo kelių iki kelių dešimčių augalų) auginimo vietos. </w:t>
      </w:r>
    </w:p>
    <w:p w:rsidR="00E80028" w:rsidRPr="005934B6" w:rsidRDefault="00E80028" w:rsidP="00E80028">
      <w:pPr>
        <w:pStyle w:val="Default"/>
        <w:ind w:firstLine="720"/>
        <w:jc w:val="both"/>
        <w:rPr>
          <w:color w:val="auto"/>
        </w:rPr>
      </w:pPr>
      <w:r w:rsidRPr="005934B6">
        <w:rPr>
          <w:color w:val="auto"/>
        </w:rPr>
        <w:t xml:space="preserve">2013 m. pradėta 13 ikiteisminių tyrimų dėl neteisėto kanapių auginimo. Iš jų – 5 atvejai, kai kanapės buvo auginamos dirbtinėmis sąlygomis, naudojant specialią įrangą. Kitais atvejais auginama buvo atvirame grunte, šiltnamiuose ar paprastai vazonuose. </w:t>
      </w:r>
    </w:p>
    <w:p w:rsidR="00E80028" w:rsidRPr="005934B6" w:rsidRDefault="00E80028" w:rsidP="00E80028">
      <w:pPr>
        <w:pStyle w:val="Default"/>
        <w:ind w:firstLine="720"/>
        <w:jc w:val="both"/>
        <w:rPr>
          <w:color w:val="auto"/>
        </w:rPr>
      </w:pPr>
      <w:r w:rsidRPr="005934B6">
        <w:rPr>
          <w:color w:val="auto"/>
        </w:rPr>
        <w:t xml:space="preserve">Didžiausia praėjusiais metais kanapių auginimo vieta buvo išaiškinta Utenos apskrityje. Kanapės buvo auginamos dviejuose šiltnamiuose ir specialiai įrengtame rūsyje. Sulaikymo metu buvo išimta 199 vnt. kanapių augalų (žalių kanapių svoris – apie 80 kg), sulaikyti du LR piliečiai.  </w:t>
      </w:r>
    </w:p>
    <w:p w:rsidR="00E80028" w:rsidRPr="005934B6" w:rsidRDefault="00E80028" w:rsidP="00E80028">
      <w:pPr>
        <w:pStyle w:val="Default"/>
        <w:ind w:firstLine="720"/>
        <w:jc w:val="both"/>
        <w:rPr>
          <w:color w:val="auto"/>
        </w:rPr>
      </w:pPr>
      <w:r w:rsidRPr="005934B6">
        <w:rPr>
          <w:color w:val="auto"/>
        </w:rPr>
        <w:t xml:space="preserve">Kanapių auguinimui savoms reikmėms sėklų asmenys dažniausiai atsisiunčia paštu arba parsiveža iš kelionių. 2013 m. Muitinės kriminalinė tarnyba (toliau _ MKT) nustatė 7 atvejus, kai kanapių sėklos buvo siunčiamos paštu, išimta 443 vnt. sėklų. </w:t>
      </w:r>
    </w:p>
    <w:p w:rsidR="00E80028" w:rsidRPr="005934B6" w:rsidRDefault="00E80028" w:rsidP="00E80028">
      <w:pPr>
        <w:pStyle w:val="Default"/>
        <w:ind w:firstLine="720"/>
        <w:rPr>
          <w:color w:val="auto"/>
        </w:rPr>
      </w:pPr>
    </w:p>
    <w:p w:rsidR="00E80028" w:rsidRPr="005934B6" w:rsidRDefault="00E80028" w:rsidP="00E80028">
      <w:pPr>
        <w:pStyle w:val="Default"/>
        <w:ind w:firstLine="720"/>
        <w:jc w:val="both"/>
        <w:rPr>
          <w:color w:val="auto"/>
        </w:rPr>
      </w:pPr>
      <w:r w:rsidRPr="005934B6">
        <w:rPr>
          <w:color w:val="auto"/>
        </w:rPr>
        <w:t xml:space="preserve">2013 m. buvo priimtas Lietuvos Respublikos pluoštinių kanapių įstatymas, kuris reglamentuoja veiklą, susijusią su pluoštinių kanapių auginimu bei jų produktų įvežimu iš trečiųjų šalių, priežiūrą ir licencijavimo tvarką Lietuvoje. Šis įstatymas įsigaliojo nuo 2014 m. sausio 1 d. Taip pat buvo padaryti pakeitimai Narkotinių ir psichotropinių medžiagų įstatyme bei Sveikatos apsaugos ministro 2000 m. sausio 6 d. įsakyme Nr. 5 „Dėl narkotinių ir psichotropinių medžiagų sąrašų patvirtinimo“. </w:t>
      </w:r>
    </w:p>
    <w:p w:rsidR="00E80028" w:rsidRPr="005934B6" w:rsidRDefault="00E80028" w:rsidP="00E80028">
      <w:pPr>
        <w:pStyle w:val="Default"/>
        <w:ind w:firstLine="720"/>
        <w:jc w:val="both"/>
        <w:rPr>
          <w:color w:val="auto"/>
        </w:rPr>
      </w:pPr>
      <w:r w:rsidRPr="005934B6">
        <w:rPr>
          <w:color w:val="auto"/>
        </w:rPr>
        <w:lastRenderedPageBreak/>
        <w:t xml:space="preserve">2013 m. iš nelegalios apyvartos Lietuvoje buvo išimta dvigubai daugiau </w:t>
      </w:r>
      <w:r w:rsidRPr="005934B6">
        <w:rPr>
          <w:b/>
          <w:bCs/>
          <w:i/>
          <w:iCs/>
          <w:color w:val="auto"/>
        </w:rPr>
        <w:t xml:space="preserve">hašišo </w:t>
      </w:r>
      <w:r w:rsidRPr="005934B6">
        <w:rPr>
          <w:color w:val="auto"/>
        </w:rPr>
        <w:t xml:space="preserve">(kanapių derva) nei 2012 m.: 2013 m. – 1088 kg (2012 m. – 424 kg), tačiau sulaikymų skaičius nepadidėjo. Tokį didelį praėjusiais metais išimto hašišo kiekį lėmė tranzitinių siuntų sulaikymai. </w:t>
      </w:r>
    </w:p>
    <w:p w:rsidR="00E80028" w:rsidRPr="005934B6" w:rsidRDefault="00E80028" w:rsidP="00E80028">
      <w:pPr>
        <w:pStyle w:val="Default"/>
        <w:ind w:firstLine="720"/>
        <w:jc w:val="both"/>
        <w:rPr>
          <w:color w:val="auto"/>
        </w:rPr>
      </w:pPr>
      <w:r w:rsidRPr="005934B6">
        <w:rPr>
          <w:color w:val="auto"/>
        </w:rPr>
        <w:t xml:space="preserve">Didžiausias hašišo sulaikymas užfiksuotas Lietuvos - Baltarusijos pasienyje, speciali įrengtoje slėptuvėje puspriekabės grindyse rasta apie 768 kg kanapių dervos. </w:t>
      </w:r>
    </w:p>
    <w:p w:rsidR="00E80028" w:rsidRPr="005934B6" w:rsidRDefault="00E80028" w:rsidP="00E80028">
      <w:pPr>
        <w:pStyle w:val="Default"/>
        <w:ind w:firstLine="720"/>
        <w:jc w:val="both"/>
        <w:rPr>
          <w:color w:val="auto"/>
        </w:rPr>
      </w:pPr>
      <w:r w:rsidRPr="005934B6">
        <w:rPr>
          <w:color w:val="auto"/>
        </w:rPr>
        <w:t xml:space="preserve">Teisėsaugos turimais duomenimis hašišas į/per Lietuvą daugiausiai gabenamas iš Ispanijos, rečiau iš Olandijos. </w:t>
      </w:r>
    </w:p>
    <w:p w:rsidR="00E80028" w:rsidRDefault="00E80028" w:rsidP="00E80028">
      <w:pPr>
        <w:pStyle w:val="Default"/>
        <w:ind w:firstLine="720"/>
        <w:jc w:val="both"/>
        <w:rPr>
          <w:color w:val="auto"/>
        </w:rPr>
      </w:pPr>
      <w:r w:rsidRPr="005934B6">
        <w:rPr>
          <w:color w:val="auto"/>
        </w:rPr>
        <w:t xml:space="preserve">Lyginant 2012 m ir 2013 m. kanapių ir hašišo kainas Lietuvos nelegalioje narkotikų rinkoje, galima būtų pastebėti, kad „didmeninės“ šių medžiagų kainos išliko nepakitusios, kaip ir kanapių „gatvės“ kaina. Remiantis 2013 m. gautais duomenimis, hašišo kaina „gatvės“ prekyboje buvo didesnė nei 2012 m., bet panaši į 2011 m. kainą. </w:t>
      </w:r>
    </w:p>
    <w:p w:rsidR="00E80028" w:rsidRPr="00C44A6F" w:rsidRDefault="00E80028" w:rsidP="00E80028">
      <w:pPr>
        <w:pStyle w:val="Default"/>
        <w:ind w:firstLine="720"/>
        <w:jc w:val="both"/>
        <w:rPr>
          <w:color w:val="auto"/>
        </w:rPr>
      </w:pPr>
      <w:r w:rsidRPr="00C44A6F">
        <w:rPr>
          <w:i/>
          <w:iCs/>
        </w:rPr>
        <w:t>2013 m. kanapės buvo dažniausiai iš nelegalios narkotikų apyvartos Lietuvoje išimama medžiaga, ši tendencija nesikeis ir ateityje.</w:t>
      </w:r>
    </w:p>
    <w:p w:rsidR="00E80028" w:rsidRPr="005934B6" w:rsidRDefault="00E80028" w:rsidP="00E80028">
      <w:pPr>
        <w:pStyle w:val="Default"/>
        <w:ind w:firstLine="720"/>
        <w:jc w:val="both"/>
        <w:rPr>
          <w:color w:val="auto"/>
        </w:rPr>
      </w:pPr>
      <w:r w:rsidRPr="005934B6">
        <w:rPr>
          <w:color w:val="auto"/>
        </w:rPr>
        <w:t xml:space="preserve">Lietuvoje, kaip ir ankstesniais metais, tarp vartotojų po kanapių populiariausios yra amfetamino tipo stimuliuojančios medžiagos (toliau – ATS). Remiantis 2013 m. sulaikymų duomenimis bei Lietuvos policijos kriminalistinių tyrimų centro atliktais tyrimais, Lietuvoje teisėsaugos institucijos iš neteisėtos narkotikų apyvartos daugiau išėmė metamfetamino, negu amfetamino (situacija išliko nepakitusi). Lyginant keleto praėjusių metų duomenis, ecstasy nelegali apyvarta išlieka nedidelė. </w:t>
      </w:r>
    </w:p>
    <w:p w:rsidR="00E80028" w:rsidRPr="005934B6" w:rsidRDefault="00E80028" w:rsidP="00E80028">
      <w:pPr>
        <w:pStyle w:val="Default"/>
        <w:ind w:firstLine="720"/>
        <w:jc w:val="both"/>
        <w:rPr>
          <w:color w:val="auto"/>
        </w:rPr>
      </w:pPr>
      <w:r w:rsidRPr="005934B6">
        <w:rPr>
          <w:color w:val="auto"/>
        </w:rPr>
        <w:t xml:space="preserve">2013 m. šalyje buvo išaiškintos trys ATS gamybos vietos. Visais atvejais buvo gaminamas metamfetaminas. Nuo 1997 m. iš viso Lietuvoje buvo išaiškintos 7 metamfetamino gamybos vietos. </w:t>
      </w:r>
    </w:p>
    <w:p w:rsidR="00E80028" w:rsidRPr="005934B6" w:rsidRDefault="00E80028" w:rsidP="00E80028">
      <w:pPr>
        <w:pStyle w:val="Default"/>
        <w:ind w:firstLine="720"/>
        <w:jc w:val="both"/>
        <w:rPr>
          <w:color w:val="auto"/>
        </w:rPr>
      </w:pPr>
      <w:r w:rsidRPr="005934B6">
        <w:rPr>
          <w:color w:val="auto"/>
        </w:rPr>
        <w:t xml:space="preserve">Viena 2013 m. metamfetamino laboratorija buvo išaiškinta Kauno rajone. Metemfetamino gamyba buvo padalinta į kelis etapus. Pirmoji narkotikų gamybos stadija buvo vykdoma Kaune esančiame garaže, o kaime esančioje sodyboje buvo vykdomas paskutinis gamybos žingsnis – gaunamas vartojimui tinkamas metamfetaminas. Kratų metu garaže ir sodyboje iš neteisėtos apyvartos buvo išimta 5,5 kg metamfetamino, 15 kg BMK bei 181 kg tuo metu dar pre-prekursoriaus APAAN. Ekspertų duomenimis iš 1 kg APAAN gali būti pagaminta apie 600 g metamfetamino. </w:t>
      </w:r>
    </w:p>
    <w:p w:rsidR="00E80028" w:rsidRPr="005934B6" w:rsidRDefault="00E80028" w:rsidP="00E80028">
      <w:pPr>
        <w:ind w:firstLine="720"/>
        <w:jc w:val="both"/>
        <w:rPr>
          <w:iCs/>
          <w:color w:val="000000"/>
        </w:rPr>
      </w:pPr>
      <w:r w:rsidRPr="005934B6">
        <w:t xml:space="preserve">Gamyba buvo vykdoma tik turint užsakymą, todėl po kiekvieno gamybos proceso naudotos priemonės buvo kruopščiai išplaunamos, patalpos sutvarkomos taip, kad neliktų jokių gamybos pėdsakų. Nepanaudotos medžiagos bei įranga kartu su pagamintu produktu buvo surenkamos ir grąžinamos į sandėliavimo vietą garaže, likučiai sudeginami sodyboje. </w:t>
      </w:r>
    </w:p>
    <w:p w:rsidR="00E80028" w:rsidRPr="005934B6" w:rsidRDefault="00E80028" w:rsidP="00E80028">
      <w:pPr>
        <w:pStyle w:val="Default"/>
        <w:ind w:firstLine="720"/>
        <w:jc w:val="both"/>
      </w:pPr>
      <w:r w:rsidRPr="005934B6">
        <w:t xml:space="preserve">Tą patį mėnesį Klaipėdos rajone išaiškinta dar vieną metamfetamino gamybos laboratorija. Teisėsaugos pareigūnai išskaidė ONG, sulaikė tris asmenis, tarp jų ir organizatorių, kurie užsiėmė metamfetamino gamyba, platinimu, taip pat pagamintos produkcijos kontrabanda į Skandinaviją. Vienas iš sulaikytųjų asmenų pats sukonstravo metamfetamino gamybos įrangą, kurią laikė savo gyvenamojoje vietoje. Taip pat buvo nustatyta, kad šie asmenys buvo susiję su pirmtakų (prekursorių) kontrabanda iš Kinijos. Iš neteisėtos apyvartos buvo išimta virš 1 kg metamfetamino. </w:t>
      </w:r>
    </w:p>
    <w:p w:rsidR="00E80028" w:rsidRPr="00D56BC4" w:rsidRDefault="00E80028" w:rsidP="00E80028">
      <w:pPr>
        <w:pStyle w:val="Default"/>
        <w:ind w:firstLine="720"/>
        <w:jc w:val="both"/>
      </w:pPr>
      <w:r w:rsidRPr="00D56BC4">
        <w:t xml:space="preserve">Dar viena metamfetamino gamybos vieta buvo nustatyta Prienų rajone, atokioje kaimo sodyboje. Šioje laboratorijoje pagamintą metamfetaminą nusikaltėliai realizuodavo Norvegijoje. Metamfetaminas iš Lietuvos į Norvegiją buvo gabenamas per Latviją, Estiją, Suomiją, taip pat per Lenkiją, Vokietiją, Daniją. </w:t>
      </w:r>
    </w:p>
    <w:p w:rsidR="00E80028" w:rsidRDefault="00E80028" w:rsidP="00E80028">
      <w:pPr>
        <w:pStyle w:val="Default"/>
      </w:pPr>
      <w:r w:rsidRPr="00D56BC4">
        <w:t xml:space="preserve"> </w:t>
      </w:r>
      <w:r w:rsidRPr="00D56BC4">
        <w:tab/>
        <w:t xml:space="preserve">Analizuojant bendrą ATS medžiagų nelegalios apyvartos situaciją, galima teigti, kad šiais metais ATS medžiagų kainos lyginant su praėjusiais metais beveik nepakito. Brango tik ecstasy, nes didėjo viršutinė jo kainos riba. Palyginus pastarųjų paskutiniųjų metų duomenis, konfiskuotų ATS medžiagų vidutinė koncentracija išlieka stabili. </w:t>
      </w:r>
    </w:p>
    <w:p w:rsidR="00E80028" w:rsidRDefault="00E80028" w:rsidP="00E80028">
      <w:pPr>
        <w:pStyle w:val="Default"/>
        <w:jc w:val="both"/>
        <w:rPr>
          <w:i/>
          <w:iCs/>
        </w:rPr>
      </w:pPr>
      <w:r w:rsidRPr="00F9226C">
        <w:rPr>
          <w:i/>
          <w:iCs/>
        </w:rPr>
        <w:lastRenderedPageBreak/>
        <w:t>Nepaisant to, kad hašišas Lietuvoje išlieka tranzitiniu narkotiku, daugėja sulaikymų, susijusių su disponavimu asmeniniam vartojimui (2013 m. tokių sulaikymų buvo ketvirtadalis), vadinasi galima prognozuoti, kad hašišo vartotojų ratas plėsis sparčiau.</w:t>
      </w:r>
    </w:p>
    <w:p w:rsidR="00E80028" w:rsidRPr="00F9226C" w:rsidRDefault="00E80028" w:rsidP="00E80028">
      <w:pPr>
        <w:pStyle w:val="Default"/>
      </w:pPr>
      <w:r w:rsidRPr="00F9226C">
        <w:rPr>
          <w:i/>
          <w:iCs/>
        </w:rPr>
        <w:t xml:space="preserve">“Europoje labiau paplitęs visada buvo amfetaminas, tačiau dabar atrodo, kad vis prieinamesnis tampa metamfetaminas. Daug šių sintetinių medžiagų gaminama Belgijoje ir Nyderlanduose, taip pat Lenkijoje ir Baltijos šalyse. Taip pat šių medžiagų laboratorijų aptikta Bulgarijoje, Vokietijoje, Vengrijoje, Čekijoje.” </w:t>
      </w:r>
    </w:p>
    <w:p w:rsidR="00E80028" w:rsidRDefault="00E80028" w:rsidP="00E80028">
      <w:pPr>
        <w:pStyle w:val="Default"/>
        <w:jc w:val="both"/>
      </w:pPr>
      <w:r w:rsidRPr="00F9226C">
        <w:t>EMCDDA</w:t>
      </w:r>
    </w:p>
    <w:p w:rsidR="00E80028" w:rsidRPr="004053C8" w:rsidRDefault="00E80028" w:rsidP="00E80028">
      <w:pPr>
        <w:pStyle w:val="Default"/>
        <w:jc w:val="both"/>
      </w:pPr>
      <w:r w:rsidRPr="004053C8">
        <w:rPr>
          <w:i/>
          <w:iCs/>
        </w:rPr>
        <w:t>“Metamfetamino gamyba išsiplėtė ir Baltijos šalyse, o ten gaminamas metamfetaminas skirtas eksportuoti į Skandinavijos šalis, kuriose jis galbūt pradeda keisti amfetaminą</w:t>
      </w:r>
      <w:r w:rsidRPr="004053C8">
        <w:t xml:space="preserve">” </w:t>
      </w:r>
    </w:p>
    <w:p w:rsidR="00E80028" w:rsidRPr="004053C8" w:rsidRDefault="00E80028" w:rsidP="00E80028">
      <w:pPr>
        <w:pStyle w:val="Default"/>
        <w:jc w:val="both"/>
      </w:pPr>
      <w:r w:rsidRPr="004053C8">
        <w:t>EMCDDA</w:t>
      </w:r>
    </w:p>
    <w:p w:rsidR="00E80028" w:rsidRPr="00D56BC4" w:rsidRDefault="00E80028" w:rsidP="00E80028">
      <w:pPr>
        <w:pStyle w:val="Default"/>
        <w:ind w:firstLine="720"/>
      </w:pPr>
      <w:r w:rsidRPr="00D56BC4">
        <w:t xml:space="preserve">Heroinas ir toliau išlieka dažniausiai vartojamu intraveniniu narkotiku. Remiantis Narkotikų tabako ir alkoholio kontrolės departamento apibendrintais Psichoaktyviųjų medžiagų vartojimo paplitimo bendrojoje populiacijoje 2012 m. tyrimų duomenimis, per paskutinį mėnesį heroiną buvo vartoję 0,1 % respondentų nuo 15 iki 64 metų amžiaus, tai tiek pat kiek ir 2004 metais.  </w:t>
      </w:r>
    </w:p>
    <w:p w:rsidR="00E80028" w:rsidRPr="00D56BC4" w:rsidRDefault="00E80028" w:rsidP="00E80028">
      <w:pPr>
        <w:pStyle w:val="Default"/>
        <w:jc w:val="both"/>
        <w:rPr>
          <w:color w:val="auto"/>
        </w:rPr>
      </w:pPr>
      <w:r w:rsidRPr="00D56BC4">
        <w:rPr>
          <w:color w:val="auto"/>
        </w:rPr>
        <w:tab/>
        <w:t xml:space="preserve">2013 m. Lietuvoje buvo išimta 13 kg heroino (261 išėmimo atvejis). Remiantis heroino sulaikymų dažnumu labiausiai heroinas yra papiltęs Vilniaus apskrityje. Šioje apsklrityje pernai buvo įvykdyta  60 % visų heroino sulaikymų (2012 m. – 25 %). Mažiausiai heroino sulaikymo atvejų užfiksuota Šiaulių (3), Kauno (7), Marijampolės (9) apskrityse. Panevėžio, Telšių, Tauragės apskrityse per 2013 m. heroino sulaikymo atvejų neužfiksuota,  nors 2012 m. šios medžiagos sulaikymo atvejai buvo fiksuojami visose apskrityse. </w:t>
      </w:r>
    </w:p>
    <w:p w:rsidR="00E80028" w:rsidRPr="00D56BC4" w:rsidRDefault="00E80028" w:rsidP="00E80028">
      <w:pPr>
        <w:pStyle w:val="Default"/>
        <w:jc w:val="both"/>
        <w:rPr>
          <w:color w:val="auto"/>
        </w:rPr>
      </w:pPr>
      <w:r w:rsidRPr="00D56BC4">
        <w:rPr>
          <w:color w:val="auto"/>
        </w:rPr>
        <w:tab/>
        <w:t xml:space="preserve">Dėl nedidelės heroino vartotojų rinkos šalyje heroino kontrabanda nėra dažnai išaiškinamas nusikaltimas. 2013 m. buvo nutrauktas tarptautinis heroino kontrabandos kanalas, išaiškinti prie to prisidėję asmenys, įskaitant 2 Tadžikijos piliečius, iš apyvartos išimta 10 kg heroino. Nustatyta, kad sulaikytas heroinas galėjo būti platinamas Vilniaus čigonų tabore. </w:t>
      </w:r>
    </w:p>
    <w:p w:rsidR="00E80028" w:rsidRPr="00D56BC4" w:rsidRDefault="00E80028" w:rsidP="00E80028">
      <w:pPr>
        <w:pStyle w:val="Default"/>
        <w:ind w:firstLine="720"/>
        <w:jc w:val="both"/>
        <w:rPr>
          <w:color w:val="auto"/>
        </w:rPr>
      </w:pPr>
      <w:r w:rsidRPr="00D56BC4">
        <w:rPr>
          <w:color w:val="auto"/>
        </w:rPr>
        <w:t xml:space="preserve">Lyginant su 2012 metais, pernai heroino kokybė dar labiau suprastėjo, vidutiniškai grynumas siekė apie 18 % (2012 m. - 22 %). Pernai metais platinto dozėmis heroino grynumas Lietuvoje dažniausiai buvo iki 30 % (239 sulaikymo atvejai arba 92 % visų sulaikymų), 2012 m. - 89 % visų sulaikymų, 2011 m. - 85 % visų sulaikymo atvejų. 2013 metais buvo tik 3 sulaikymo atvejai (1 % visų atvejų), kai išimto heroino grynumas viršijo 40 % (2012 metais buvo 5 tokie sulaikymo atvejai (2 % visų atvejų). Kaip ir 2012 m., pernai neužfiksuota nei vieno atvejo, kad heroino grynumas būtų didesnis nei 50 %. </w:t>
      </w:r>
    </w:p>
    <w:p w:rsidR="00E80028" w:rsidRPr="00D56BC4" w:rsidRDefault="00E80028" w:rsidP="00E80028">
      <w:pPr>
        <w:pStyle w:val="Default"/>
        <w:ind w:firstLine="720"/>
        <w:jc w:val="both"/>
        <w:rPr>
          <w:color w:val="auto"/>
        </w:rPr>
      </w:pPr>
      <w:r w:rsidRPr="00D56BC4">
        <w:rPr>
          <w:color w:val="auto"/>
        </w:rPr>
        <w:t xml:space="preserve">Įdomus atvejis, susijęs su Lietuvos Respublikos piliečiais, užfiksuotas pernai metais Kenijoje. Du Lietuvos Respublikos piliečiai buvo pasirengę kontrabanda iš šios šalies išgabenti 24,5 kg heroino, tačiau vienas jų mirė perdozavęs narkotikų, o kitas kartu su Kenijos piliete buvo sulaikytas tame pačiame viešbutyje. Žinoma šis kiekis narkotikų buvo skirtas ne Lietuvai. </w:t>
      </w:r>
    </w:p>
    <w:p w:rsidR="00E80028" w:rsidRPr="004053C8" w:rsidRDefault="00E80028" w:rsidP="00E80028">
      <w:pPr>
        <w:pStyle w:val="Default"/>
        <w:jc w:val="both"/>
        <w:rPr>
          <w:color w:val="auto"/>
        </w:rPr>
      </w:pPr>
      <w:r w:rsidRPr="004053C8">
        <w:rPr>
          <w:i/>
          <w:iCs/>
        </w:rPr>
        <w:t>Artimiausiu metu opijatinių intraveninių narkotikų vartojimo įpročiai neturėtų keistis, tačiau gali daugėti Lietuvos piliečių, įsitraukusių į heroino kontrabandą Šiauriniu heroino keliu į Europą.</w:t>
      </w:r>
    </w:p>
    <w:p w:rsidR="00E80028" w:rsidRDefault="00E80028" w:rsidP="00E80028">
      <w:pPr>
        <w:pStyle w:val="Default"/>
        <w:ind w:firstLine="720"/>
        <w:jc w:val="both"/>
        <w:rPr>
          <w:color w:val="auto"/>
        </w:rPr>
      </w:pPr>
      <w:r w:rsidRPr="00D56BC4">
        <w:rPr>
          <w:color w:val="auto"/>
        </w:rPr>
        <w:t xml:space="preserve">2013 m. kovo mėn. buvo dar vienas neeilinis heroino sulaikymas, susijęs su Lietuva, Baltarusijos-Lietuvos pasienyje. Baltarusijos pareigūnai sulaikytė Moldavijos pilietį, turintį leidimą gyventi Lietuvoje ir dirbantį Lietuvos įmonėje, kuris gabeno legalų krovinį iš Gruzijos į Latviją. Jo vairuojamo vilkiko priekaboje buvo paslėpta beveik 84 kg heroino. Heroinas buvo skirtas Vakarų Europos rinkai. </w:t>
      </w:r>
    </w:p>
    <w:p w:rsidR="00E80028" w:rsidRPr="00AD687F" w:rsidRDefault="00E80028" w:rsidP="00E80028">
      <w:pPr>
        <w:pStyle w:val="Default"/>
        <w:ind w:firstLine="720"/>
        <w:jc w:val="both"/>
        <w:rPr>
          <w:color w:val="auto"/>
        </w:rPr>
      </w:pPr>
      <w:r w:rsidRPr="00AD687F">
        <w:rPr>
          <w:color w:val="auto"/>
        </w:rPr>
        <w:t>2013 m. aguonų ir jų dalių koncentrato Lietuvoje išimta nebuvo (2012 m. buvo nustatyti 7 aguonų sulaikymo atvejai, nebuvo iš jų 4 Vilniuje ar jo rajone, 2 – Alytaus apskrityje, 1– Tauragėje).</w:t>
      </w:r>
    </w:p>
    <w:p w:rsidR="00E80028" w:rsidRPr="00AD687F" w:rsidRDefault="00E80028" w:rsidP="00E80028">
      <w:pPr>
        <w:pStyle w:val="Default"/>
        <w:jc w:val="both"/>
        <w:rPr>
          <w:color w:val="auto"/>
        </w:rPr>
      </w:pPr>
      <w:r w:rsidRPr="00AD687F">
        <w:rPr>
          <w:color w:val="auto"/>
        </w:rPr>
        <w:lastRenderedPageBreak/>
        <w:t xml:space="preserve">Daroma prielaida, kad ši medžiaga yra vartojama tik pavienių narkotikų vartotojų, kurie gamina aguonų koncentratą namų sąlygomis savoms reikmėms. </w:t>
      </w:r>
    </w:p>
    <w:p w:rsidR="00E80028" w:rsidRPr="00AD687F" w:rsidRDefault="00E80028" w:rsidP="00E80028">
      <w:pPr>
        <w:pStyle w:val="Default"/>
        <w:ind w:firstLine="720"/>
        <w:jc w:val="both"/>
        <w:rPr>
          <w:color w:val="auto"/>
        </w:rPr>
      </w:pPr>
      <w:r w:rsidRPr="00AD687F">
        <w:rPr>
          <w:color w:val="auto"/>
        </w:rPr>
        <w:t>Apžvelgiant situaciją, susijusią su neteisėta kokaino apyvarta Lietuvoje, galima daryti išvadą, kad kokainas vis dar išlieka pakankamai retas narkotikas vartotojų tarpe (2012 m. apklausos duomenimis per paskutinį mėnesį kokainą buvo vartoję 0,04 % visų respondentų, o tai mažiau negu 2004 m. – 0,1 %), nors tai vienas iš populiariausių narkotikų pasaulyje.</w:t>
      </w:r>
    </w:p>
    <w:p w:rsidR="00E80028" w:rsidRDefault="00E80028" w:rsidP="00E80028">
      <w:pPr>
        <w:pStyle w:val="Default"/>
        <w:ind w:firstLine="720"/>
        <w:jc w:val="both"/>
      </w:pPr>
      <w:r w:rsidRPr="00AD687F">
        <w:t xml:space="preserve">Didžiausi kiekiai pasaulyje konfiskuojami būtent kontrabanda gabenant kokainą. Kitas įdomus faktas, Lietuvos Respublikos piliečiai užsienio valstybėse dažniausiai sulaikomi gabenant būtent kokainą. Kokaino nepopuliarumo Lietuvoje priežastys išlieka tos pačios – didelė kaina (brangiausias narkotikas), konkurencija (vietinė rinka užpildyta pigesnėmis vietinės gamybos ar įvežtomis sintetinėmis turinčiomis panašų poveikį medžiagomis), tolima kilmės vieta (nepastovus tiekimas). </w:t>
      </w:r>
    </w:p>
    <w:p w:rsidR="00E80028" w:rsidRPr="004B789B" w:rsidRDefault="00E80028" w:rsidP="00E80028">
      <w:pPr>
        <w:pStyle w:val="Default"/>
        <w:ind w:firstLine="720"/>
        <w:jc w:val="both"/>
      </w:pPr>
      <w:r w:rsidRPr="004B789B">
        <w:rPr>
          <w:i/>
          <w:iCs/>
        </w:rPr>
        <w:t>Kokainas nėra dažnai vartojamas narkotikas Lietuvoje, vis dar išlieka pasilinksminimų ir vakarėlių svaiginimosi priemone. Lietuva yra dažniau tranzitinė negu kokaino paskirties šalis.</w:t>
      </w:r>
    </w:p>
    <w:p w:rsidR="00E80028" w:rsidRPr="00E31AE0" w:rsidRDefault="00E80028" w:rsidP="00E80028">
      <w:pPr>
        <w:pStyle w:val="Default"/>
        <w:ind w:firstLine="720"/>
        <w:jc w:val="both"/>
      </w:pPr>
      <w:r w:rsidRPr="00E31AE0">
        <w:t xml:space="preserve">Nepaisant visko, kokaino išėmimo atvejų Lietuvoje vis dėl to pasitaiko. Vienais metais išimami labai dideli kiekiai šios medžiagos, kitais mažesni. Realią vidaus rinką labiau iliustruoja būtent išėmimai mažais kiekiais, nes išimami dešimtys ar šimtai kilogramų kokaino labiau parodo Lietuvos kaip tranzito šalies naudojimo mąstą. Išėmimai mažais kiekiais parodo kokia yra lokali paklausa ir pasiūla šalyje. Dažniausiai kokainas yra platinamas didžiuosiuose miestuose, tačiau gali būti ir išimtys, tai rodo praėjusių metų sulaikymai Marijampolėje bei Anykščiuose. </w:t>
      </w:r>
    </w:p>
    <w:p w:rsidR="00E80028" w:rsidRPr="00E31AE0" w:rsidRDefault="00E80028" w:rsidP="00E80028">
      <w:pPr>
        <w:pStyle w:val="Default"/>
        <w:ind w:firstLine="720"/>
        <w:jc w:val="both"/>
      </w:pPr>
      <w:r w:rsidRPr="00E31AE0">
        <w:t xml:space="preserve">Išliekanti tendencija – Lietuvos Respublikos piliečių nusikalstama veikla užsienio šalyse, susijusi su kokaino kontrabanda. Tarp visų sulaikytų užsienio šalyse lietuvių, susijusių su neteisėta narkotinių ar psichotropinių medžiagų apyvarta, dažniausiai yra sulaikomi kokaino kurjeriai. Lietuvaičiai vis dar nesibodi vykti į Pietų Amerikos šalis tikėdamiesi lengvo uždarbio, t. y. į Europą pargabenti vieną kitą ar keletą kilogramų kokaino. Nuo 2011 m. stebima tokių sulaikymų, ypač kokaino gabenimo prarijus, mažėjimas, tačiau jų vis dar pasitaiko. 2013 m. užfiksuoti 2 sulaikymo atvejai Pietų Amerikoje, susiję su lietuviais: du LR piliečiai sulaikyti Ekvadore su 6 kg kokaino ir viena LR pilietė Peru, kuomet kokainą bandė gabenti skrandyje. Neatmestina galimybė, kad ne apie visus analogiškus sulaikymus informacija pasiekė Lietuvos teisėsaugos institucijas. Įdomus atvejis pernai metais pasitaikė Kauno apskrityje, kuomet skųsdamasis skausmais pilvo srityje į medikus kreipėsi LR pilietis. Po atliktos operacijos, iš jo skrandžio išimti 44 vnt. ovalo formos paketėliai, kuriuose buvo 29,3 % grynumo 443,6 g. kokaino. Turimais duomenimis kokainas buvo atgabentas iš Nyderlandų. Iš ankstesnių metų žinomas atvejis, kuomet kurjeris su kokainu skrandyje į Lietuvą atvyko net iš Pietų Amerikos. </w:t>
      </w:r>
    </w:p>
    <w:p w:rsidR="00E80028" w:rsidRPr="006B2A01" w:rsidRDefault="00E80028" w:rsidP="00E80028">
      <w:pPr>
        <w:pStyle w:val="Default"/>
        <w:ind w:firstLine="720"/>
        <w:jc w:val="both"/>
      </w:pPr>
      <w:r w:rsidRPr="00E31AE0">
        <w:t>Gerokai įdomesnė situacija su LR nusikalstamų grupuočių veikla Pietų Amerikos regione. Išskirtinas atvejis, kuomet nusikalstamos grupuotės atstovai iš Lietuvos organizavo 308 kg kokaino kontrabandą į Europą. Šiam tikslui buvo pasitelktas klasikinis modelis – kokainas buvo paslėptas jachtoje, kurios galutinė</w:t>
      </w:r>
      <w:r>
        <w:t xml:space="preserve"> stotelė turėjo būti Europa.  </w:t>
      </w:r>
      <w:r w:rsidRPr="006B2A01">
        <w:t xml:space="preserve">Žinoma, kad šis kokainas nebuvo skirtas Lietuvos rinkai. Tokie stambaus mąsto kokaino kontrabandos atvejai, susiję su LR piliečiais, rodo, kad Pietų Amerikos šalyse nusikalstamo pasaulio atstovai iš Lietuvos nesijaučia svetimais. </w:t>
      </w:r>
      <w:r>
        <w:t xml:space="preserve"> </w:t>
      </w:r>
      <w:r w:rsidRPr="006B2A01">
        <w:t xml:space="preserve">Tokių bylų tyrimas yra ypatingai sudėtingas, kadangi LR piliečiai veikia ne Lietuvoje, ir gaunama informacija apie jų ketinimus dažniausiai yra tik epizodinė. Užsienio šalių teisėsaugos institucijų įtraukimas į tokių nusikalstamų veikų tyrimą yra ypatingai svarbus. </w:t>
      </w:r>
    </w:p>
    <w:p w:rsidR="00E80028" w:rsidRDefault="00E80028" w:rsidP="00E80028">
      <w:pPr>
        <w:ind w:firstLine="720"/>
        <w:jc w:val="both"/>
        <w:rPr>
          <w:iCs/>
          <w:color w:val="000000"/>
        </w:rPr>
      </w:pPr>
      <w:r>
        <w:rPr>
          <w:sz w:val="23"/>
          <w:szCs w:val="23"/>
        </w:rPr>
        <w:t xml:space="preserve">Europos šalių atsakingos institucijos kelis metus iš eilės vis daugiau identifikuoja naujų psichoaktyvių medžiagų (toliau – NPM), skirtų kontroliuojamų narkotikų poveikiui imituoti. 2013 m., naudojantis ES ankstyvojo įspėjimo sistema, Europos narkotikų ir narkomanijos </w:t>
      </w:r>
      <w:r>
        <w:rPr>
          <w:sz w:val="23"/>
          <w:szCs w:val="23"/>
        </w:rPr>
        <w:lastRenderedPageBreak/>
        <w:t>stebėsenos centre buvo gaunamas maždaug vienas pranešimas apie NPM per savaitę. 2011 m ES buvo pranešta apie 49 NPM, 2012 m. - 73, o 2013 m - virš 80. UNODC duomenimis pernai per ankstyvojo perspėjimo sistemą buvo identifikuotos 96 NPM, ir šiuo metu stebima daugiau nei 372 NPM, tai žymiai daugiau negu kontroliuojamų medžiagų pagal 1961 m. ir 1971 m. Konvencijas.</w:t>
      </w:r>
    </w:p>
    <w:p w:rsidR="00E80028" w:rsidRPr="00E82662" w:rsidRDefault="00E80028" w:rsidP="00E80028">
      <w:pPr>
        <w:ind w:firstLine="720"/>
        <w:jc w:val="both"/>
        <w:rPr>
          <w:iCs/>
          <w:color w:val="000000"/>
        </w:rPr>
      </w:pPr>
      <w:r w:rsidRPr="00E82662">
        <w:t>Per pastaruosius kelerius metus daugiausia buvo identifikuojama naujų sintetinių kanabinoidų, receptorių agonistų, fenetilaminų ir katinonų, dažniausiai atitinkančių populiariausius neteisėtus narkotikus.3 Didžioji dalis į Europos neteisėtų narkotikų rinką patenkančių psichoaktyvių medžiagų sintetinamos už Europos ribų. Manoma, kad tai daugiausiai daroma Kinijoje, Indijoje, Pietų Amerikoje.</w:t>
      </w:r>
    </w:p>
    <w:p w:rsidR="00E80028" w:rsidRDefault="00E80028" w:rsidP="00E80028">
      <w:pPr>
        <w:ind w:firstLine="720"/>
        <w:jc w:val="both"/>
      </w:pPr>
      <w:r w:rsidRPr="004F3B53">
        <w:t>Didžioji dalis identifikuojamų naujų psichoaktyvių medžiagų yra sintetiniai tradicinių narkotikų pakaitalai arba psichiką stimuliuojantys augalai.</w:t>
      </w:r>
    </w:p>
    <w:p w:rsidR="00E80028" w:rsidRPr="004B789B" w:rsidRDefault="00E80028" w:rsidP="00E80028">
      <w:pPr>
        <w:pStyle w:val="Default"/>
        <w:jc w:val="both"/>
      </w:pPr>
      <w:r w:rsidRPr="004B789B">
        <w:rPr>
          <w:i/>
          <w:iCs/>
        </w:rPr>
        <w:t xml:space="preserve">Nauja psichoaktyvioji medžiaga – natūrali arba sintetinė medžiaga, kuri gali stimuliuoti arba slopinti ją vartojančio žmogaus centrinę nervų sistemą ir taip gali sukelti haliucinacijas, lemti judėjimo funkcijos, mąstymo, elgesio, suvokimo, sąmoningumo ir nuotaikos pokyčius, kuri yra skirta žmonėms vartoti arba, net jei nėra jiems skirta, tikėtina, kad žmonės ją vartos siekdami vieno ar daugiau minėtų padarinių, ir kuri nėra kontroliuojama Konvencijomis. </w:t>
      </w:r>
    </w:p>
    <w:p w:rsidR="00E80028" w:rsidRPr="004B789B" w:rsidRDefault="00E80028" w:rsidP="00E80028">
      <w:pPr>
        <w:ind w:firstLine="720"/>
        <w:jc w:val="both"/>
        <w:rPr>
          <w:iCs/>
          <w:color w:val="000000"/>
        </w:rPr>
      </w:pPr>
      <w:r w:rsidRPr="004B789B">
        <w:rPr>
          <w:b/>
          <w:bCs/>
          <w:i/>
          <w:iCs/>
        </w:rPr>
        <w:t>Oficialaus apibrėžimo dar nėra</w:t>
      </w:r>
    </w:p>
    <w:p w:rsidR="00E80028" w:rsidRDefault="00E80028" w:rsidP="00E80028">
      <w:pPr>
        <w:ind w:firstLine="720"/>
        <w:jc w:val="both"/>
        <w:rPr>
          <w:color w:val="000000"/>
        </w:rPr>
      </w:pPr>
      <w:r w:rsidRPr="00EB2170">
        <w:t>Nors pagal Lietuvos Respublikos įstatymus daugelis NPM yra kontroliuojamos medžiagos ir neturėtų būti vadinamos naujomis psichoaktyviomis medžiagomis, tačiau kitose šalyse jos yra legalioje apyvartoje, todėl apie jas rašome būtent šiame skirsnyje.</w:t>
      </w:r>
      <w:r w:rsidRPr="00387E75">
        <w:rPr>
          <w:iCs/>
          <w:color w:val="000000"/>
          <w:spacing w:val="6"/>
        </w:rPr>
        <w:t xml:space="preserve"> </w:t>
      </w:r>
    </w:p>
    <w:p w:rsidR="00E80028" w:rsidRDefault="00E80028" w:rsidP="00E80028">
      <w:pPr>
        <w:pStyle w:val="Default"/>
        <w:ind w:firstLine="720"/>
        <w:jc w:val="both"/>
      </w:pPr>
      <w:r w:rsidRPr="001505F8">
        <w:t xml:space="preserve">2013 m. Lietuvoje buvo išimtos šios augalinės kilmės medžiagos: psichotropiniai grybai (87 g), kvaitulinis šalavijas (65 g), svaigusis kvaitulis (100 g), pejoto kaktusas, turintis meskalino (1 vnt.), harmalinio pegano sėklos (16 g), gyslotojo vyklio sėklos (61 g). Dėl nurodytų medžiagų ganėtinai mažų kiekių negalima vienareikšmiškai teigti, kad jos buvo skirtos prekybai, tačiau Psilocybe genties grybų skleročių (405 g) ir Psilocybe S. (glotniagalvių grybų grybiena (micelis) (1465 g) kiekiai rodo, kad šios medžiagos tikėtina buvo skirtos pardavimui arba auginimui ir dauginimui. </w:t>
      </w:r>
    </w:p>
    <w:p w:rsidR="00E80028" w:rsidRDefault="00E80028" w:rsidP="00E80028">
      <w:pPr>
        <w:pStyle w:val="Default"/>
        <w:ind w:firstLine="720"/>
        <w:jc w:val="both"/>
        <w:rPr>
          <w:sz w:val="23"/>
          <w:szCs w:val="23"/>
        </w:rPr>
      </w:pPr>
      <w:r>
        <w:rPr>
          <w:sz w:val="23"/>
          <w:szCs w:val="23"/>
        </w:rPr>
        <w:t>2013 m. Lietuvoje didžiausi kiekiai buvo išimti 4-metil-N-etilkatinono (4-MEC). Ši medžiaga daugelyje ES šalių yra nauja psichoaktyvi medžiaga, kadangi nėra uždrausta. 4-MEC yra laikoma mefedrono pakaitalu, dažniausiai sutinkama kristalo pavidalo, vartojama įkvepiant arba praryjant.</w:t>
      </w:r>
    </w:p>
    <w:p w:rsidR="00E80028" w:rsidRDefault="00E80028" w:rsidP="00E80028">
      <w:pPr>
        <w:pStyle w:val="Default"/>
        <w:ind w:firstLine="720"/>
        <w:jc w:val="both"/>
      </w:pPr>
      <w:r w:rsidRPr="001505F8">
        <w:t xml:space="preserve">Dėl skirtingo teisinio NPM reguliavimo skirtingose valstybėse (daugelyje valstybių NPM apyvarta yra nekontroliuojama) vartotojai ir prekiautojai šias medžiagas įsigyja internetu iš užsienio valstybių ir siunčiasi paštu. Lietuvos muitinės kriminalinės tarnybos duomenimis dažniausiai NPM buvo atsisiunčiamos iš Jungtinės Karalystės (10 siuntinių), Nyderlandų (5), Kinijos (4) ir Singapūro (1)4. </w:t>
      </w:r>
    </w:p>
    <w:p w:rsidR="00E80028" w:rsidRPr="004B789B" w:rsidRDefault="00E80028" w:rsidP="00E80028">
      <w:pPr>
        <w:pStyle w:val="Default"/>
      </w:pPr>
      <w:r w:rsidRPr="004B789B">
        <w:rPr>
          <w:i/>
          <w:iCs/>
        </w:rPr>
        <w:t xml:space="preserve">Augantis NPM populiarumas yra įtakojamas šių sąlygų: legalumo ir kokybės iliuzija (legal highs); pasiekiamumas; skirtingas teisinis reglamentavimas tarp valstybių; </w:t>
      </w:r>
      <w:r w:rsidRPr="004B789B">
        <w:t xml:space="preserve"> </w:t>
      </w:r>
      <w:r w:rsidRPr="004B789B">
        <w:rPr>
          <w:i/>
          <w:iCs/>
        </w:rPr>
        <w:t xml:space="preserve">nedidelė kaina; </w:t>
      </w:r>
      <w:r w:rsidRPr="004B789B">
        <w:t xml:space="preserve">didelis pardavimo pelnas. </w:t>
      </w:r>
    </w:p>
    <w:p w:rsidR="00E80028" w:rsidRPr="001505F8" w:rsidRDefault="00E80028" w:rsidP="00E80028">
      <w:pPr>
        <w:pStyle w:val="Default"/>
        <w:ind w:firstLine="720"/>
        <w:jc w:val="both"/>
      </w:pPr>
      <w:r w:rsidRPr="001505F8">
        <w:t xml:space="preserve">Ne tik pasauliniu mastu, bet ir Europos Sąjungoje nėra vieningo požiūrio ir teisinio NPM reglamentavimo. 2013 m. rugsėjo 17 d. Europos Komisija paskelbė pasiūlymą Europos Parlamento ir Tarybos reglamento dėl naujų psichoaktyvių medžiagų (COM(2013) 619 </w:t>
      </w:r>
      <w:r w:rsidRPr="001505F8">
        <w:rPr>
          <w:i/>
          <w:iCs/>
        </w:rPr>
        <w:t>final</w:t>
      </w:r>
      <w:r w:rsidRPr="001505F8">
        <w:t xml:space="preserve">), kuriuo būtų standartizuotas NPM reglamentavimas ES. Dėl šio dokumento teksto šiuo metu vyksta plačios ir intensyvios diskusijos tiek Tarybos Horizontaliojoje narkotikų darbo grupėje tiek Europos Parlamente. </w:t>
      </w:r>
    </w:p>
    <w:p w:rsidR="00E80028" w:rsidRPr="003E14FC" w:rsidRDefault="00E80028" w:rsidP="00E80028">
      <w:pPr>
        <w:widowControl w:val="0"/>
        <w:autoSpaceDE w:val="0"/>
        <w:autoSpaceDN w:val="0"/>
        <w:adjustRightInd w:val="0"/>
        <w:spacing w:before="4" w:line="260" w:lineRule="exact"/>
        <w:ind w:firstLine="720"/>
        <w:rPr>
          <w:color w:val="000000"/>
        </w:rPr>
      </w:pPr>
      <w:r w:rsidRPr="003E14FC">
        <w:t>Pastaruoju metu didelį susirūpinimą kelia cheminės medžiagos, kurios nėra priskiriamos narkotinių ir psichotropinių medžiagų pirmtakams (toliau – prekursoriams), t. y., neįtrauktos į oficialų prekursorių sąrašą, kurios dar vadinamos pre-prekursoriais arba savanoriškos stebėsenos medžiagomis, tačiau vis dažniau naudojamos sintetinių narkotikų gamyboje. Pre-prekursoriai pastebėti rinkoje</w:t>
      </w:r>
      <w:r>
        <w:t xml:space="preserve"> tuomet, kai atsirado BMK </w:t>
      </w:r>
      <w:r w:rsidRPr="003E14FC">
        <w:t xml:space="preserve"> trūkumas.</w:t>
      </w:r>
    </w:p>
    <w:p w:rsidR="00E80028" w:rsidRDefault="00E80028" w:rsidP="00E80028">
      <w:pPr>
        <w:pStyle w:val="Default"/>
        <w:ind w:firstLine="720"/>
        <w:jc w:val="both"/>
      </w:pPr>
      <w:r w:rsidRPr="002243BA">
        <w:lastRenderedPageBreak/>
        <w:t xml:space="preserve">Yra daugybė cheminių medžiagų iš kurių galima pagaminti BMK, bet šiuo metu populiariausia medžiaga – APAAN </w:t>
      </w:r>
      <w:r w:rsidRPr="002243BA">
        <w:rPr>
          <w:i/>
          <w:iCs/>
        </w:rPr>
        <w:t>(alfa-fenilacetoacetonitrilas, KN kodas 29269095, CAS numeris 4468–48–8, eng. alpha-phenylacetoacetonitrile)</w:t>
      </w:r>
      <w:r w:rsidRPr="002243BA">
        <w:t xml:space="preserve">. APAAN nėra naudojamas jokioje legalioje cheminių medžiagų apyvartoje, t.y., nėra žinoma apie jo legalų naudojimą chemijos pramonėje. Vienintelis APAAN šaltinis – Kinija. Pastaraisiais metais Europoje pastebėtas padidėjęs APAAN gabenimo ir naudojimo narkotikų gamyboje atvejų skaičius, aptinkama vis daugiau APAAN perdirbimo į BMK laboratorijų, procesas nėra sudėtingas, o kainų skirtumas akivaizdus: 1 litro BMK kaina Nyderlanduose yra apie 800 eurų, 1 kg APAAN – 45 eurai. </w:t>
      </w:r>
    </w:p>
    <w:p w:rsidR="00E80028" w:rsidRDefault="00E80028" w:rsidP="00E80028">
      <w:pPr>
        <w:pStyle w:val="Default"/>
        <w:ind w:firstLine="720"/>
        <w:jc w:val="both"/>
        <w:rPr>
          <w:i/>
          <w:iCs/>
        </w:rPr>
      </w:pPr>
      <w:r w:rsidRPr="00123942">
        <w:rPr>
          <w:i/>
          <w:iCs/>
        </w:rPr>
        <w:t>Pre-prekursoriai, naudojami sintetinių narkotikų gamybai, dažniausiai įsigyjami legaliai iš teisėtai prekiaujančių vietinių ir užsienio ūkio subjektų, kontroliuojami prekursoriai gabenami kontrabanda arba pagaminami iš nekontroliuojamų medžagų vietoje.</w:t>
      </w:r>
    </w:p>
    <w:p w:rsidR="00E80028" w:rsidRPr="00123942" w:rsidRDefault="00E80028" w:rsidP="00E80028">
      <w:pPr>
        <w:pStyle w:val="Default"/>
        <w:ind w:firstLine="720"/>
        <w:jc w:val="both"/>
      </w:pPr>
      <w:r w:rsidRPr="00123942">
        <w:rPr>
          <w:i/>
          <w:iCs/>
        </w:rPr>
        <w:t>2013 m. 85 proc., išimto Europos Sąjungoje amfetamino pagaminta naudojant APAAN.</w:t>
      </w:r>
    </w:p>
    <w:p w:rsidR="00E80028" w:rsidRDefault="00E80028" w:rsidP="00E80028">
      <w:pPr>
        <w:widowControl w:val="0"/>
        <w:autoSpaceDE w:val="0"/>
        <w:autoSpaceDN w:val="0"/>
        <w:adjustRightInd w:val="0"/>
        <w:spacing w:before="4" w:line="260" w:lineRule="exact"/>
        <w:ind w:firstLine="720"/>
        <w:jc w:val="both"/>
      </w:pPr>
      <w:r w:rsidRPr="000E6A23">
        <w:t>Sunku prognozuoti kaip pasikeis situacija, po pernai metų pabaigoje APAAN įtraukimo į oficialų kontroliuojamų medžiagų sąrašą. 2013 m. lapkričio 20 d. Europos Parlamento ir Tarybos reglamentu (ES) Nr. 1259/2013, kuriuo iš dalies keičiamas Tarybos reglamentas (EB) Nr. 111/2005, nustatantis prekybos narkotinių ir psichotropinių medžiagų pirmtakais (prekursoriais) tarp Bendrijos ir trečiųjų šalių stebėsenos taisykles (OL L 330, 2013 12 10, p. 30—38) papildytas sąrašas ne tik APAAN bet ir 4-a kontroliuojamų medžiagų kategorija: Vaistai ir veterinariniai vaistai, kurių sudėtyje yra efedrino arba jo druskų bei Vaistai ir veterinariniai vaistai, kurių sudėtyje yra pseudoefedrino arba jo druskų.</w:t>
      </w:r>
    </w:p>
    <w:p w:rsidR="00E80028" w:rsidRPr="00123942" w:rsidRDefault="00E80028" w:rsidP="00E80028">
      <w:pPr>
        <w:pStyle w:val="Default"/>
        <w:ind w:firstLine="720"/>
        <w:jc w:val="both"/>
      </w:pPr>
      <w:r w:rsidRPr="00123942">
        <w:rPr>
          <w:i/>
          <w:iCs/>
        </w:rPr>
        <w:t xml:space="preserve">Nuo 2013-12-30 remiantis Europos Parlamento ir Tarybos reglamentu (ES) Nr. 1259/2013 </w:t>
      </w:r>
    </w:p>
    <w:p w:rsidR="00E80028" w:rsidRPr="00123942" w:rsidRDefault="00E80028" w:rsidP="00E80028">
      <w:pPr>
        <w:pStyle w:val="Default"/>
        <w:jc w:val="both"/>
      </w:pPr>
      <w:r w:rsidRPr="00123942">
        <w:rPr>
          <w:i/>
          <w:iCs/>
        </w:rPr>
        <w:t xml:space="preserve">APAAN - I kategorijos prekursorius. </w:t>
      </w:r>
    </w:p>
    <w:p w:rsidR="00E80028" w:rsidRPr="00123942" w:rsidRDefault="00E80028" w:rsidP="00E80028">
      <w:pPr>
        <w:widowControl w:val="0"/>
        <w:autoSpaceDE w:val="0"/>
        <w:autoSpaceDN w:val="0"/>
        <w:adjustRightInd w:val="0"/>
        <w:spacing w:before="4" w:line="260" w:lineRule="exact"/>
        <w:ind w:firstLine="720"/>
        <w:jc w:val="both"/>
        <w:rPr>
          <w:color w:val="000000"/>
        </w:rPr>
      </w:pPr>
      <w:r w:rsidRPr="00123942">
        <w:rPr>
          <w:i/>
          <w:iCs/>
        </w:rPr>
        <w:t>2014 m. CND sesijoje vienbalsiai pritarta APAAN įtraukimui į JT 1988 m. Konvencijos I-ąjį sąrašą.</w:t>
      </w:r>
    </w:p>
    <w:p w:rsidR="00E80028" w:rsidRPr="000E6A23" w:rsidRDefault="00E80028" w:rsidP="00E80028">
      <w:pPr>
        <w:pStyle w:val="Default"/>
        <w:ind w:firstLine="720"/>
        <w:jc w:val="both"/>
      </w:pPr>
      <w:r w:rsidRPr="000E6A23">
        <w:t xml:space="preserve">Vienoje iš 2013 m. Lietuvoje išaiškintų metamfetamino laboratorijų, Kauno rajone, taip pat buvo išimta 181 kg cheminės medžiagos APAAN ir 15 kg BMK. Šioje metamfetamino gamybos vietoje APAAN aptikimas rodo, kad greičiausiai iš jo buvo gaminamas I kategorijos prekursorius BMK. </w:t>
      </w:r>
    </w:p>
    <w:p w:rsidR="00E80028" w:rsidRPr="000E6A23" w:rsidRDefault="00E80028" w:rsidP="00E80028">
      <w:pPr>
        <w:pStyle w:val="Default"/>
        <w:ind w:firstLine="720"/>
        <w:jc w:val="both"/>
      </w:pPr>
      <w:r w:rsidRPr="000E6A23">
        <w:t xml:space="preserve">Spartus mokslo ir chemijos pramonės vystymasis, naujų cheminių medžiagų atsiradimas sudaro galimybę narkotikų gamyboje naudoti naujus gamybos būdus ir technologijas. Tačiau kovojant su nusikalstamumu, cheminių medžiagų, kurios naudojamos chemijos pramonėje, prekybos ribojimas ar uždraudimas nebūtų efektyvi priemonė, kadangi rinkoje draudžiamos medžiagos greitai pakeičiamos naujomis, kurios nekontroliuojamos. Siekiant įgyvendinti prekursorių kontrolės mechanizmą bei kontroliuoti cheminių medžiagų rinką, reikalingas kompetentingų šalies institucijų bendradarbiavimas su ūkio subjektais ir keitimasis aktualia informacija. </w:t>
      </w:r>
    </w:p>
    <w:p w:rsidR="00E80028" w:rsidRPr="000E6A23" w:rsidRDefault="00E80028" w:rsidP="00E80028">
      <w:pPr>
        <w:widowControl w:val="0"/>
        <w:autoSpaceDE w:val="0"/>
        <w:autoSpaceDN w:val="0"/>
        <w:adjustRightInd w:val="0"/>
        <w:spacing w:before="4" w:line="260" w:lineRule="exact"/>
        <w:ind w:firstLine="720"/>
        <w:jc w:val="both"/>
        <w:rPr>
          <w:color w:val="000000"/>
        </w:rPr>
      </w:pPr>
      <w:r w:rsidRPr="000E6A23">
        <w:t>2013 m. gegužės 14 d. yra pasirašytas „Susitarimas dėl bendradarbiavimo Nr. T15-2/5IN-2/11B-416/6B18/19/31TP-2013-8“ tarp kontroliuojančių institucijų (įskaitant policiją) ir chemijos pramonės atstovų, kuriuo remiantis vykdomas informacijos keitimasis, mokymai ir pan. Šio susitarimo pagrindu buvo parengtas chemijos pramonės atstovams „Elgesio kodeksas nustačius įtartinus sandorius“, tai rekomendacijos kaip chemijos pramonės atstovai,</w:t>
      </w:r>
      <w:r>
        <w:t xml:space="preserve"> įtarę neteisėtą sandorį ar pirkėją, turėtų elgtis, kam pranešti ir pan. </w:t>
      </w:r>
    </w:p>
    <w:p w:rsidR="00E80028" w:rsidRPr="000155C7" w:rsidRDefault="00E80028" w:rsidP="00E80028">
      <w:pPr>
        <w:widowControl w:val="0"/>
        <w:autoSpaceDE w:val="0"/>
        <w:autoSpaceDN w:val="0"/>
        <w:adjustRightInd w:val="0"/>
        <w:spacing w:before="4" w:line="260" w:lineRule="exact"/>
        <w:ind w:firstLine="720"/>
        <w:jc w:val="both"/>
        <w:rPr>
          <w:color w:val="000000"/>
        </w:rPr>
      </w:pPr>
      <w:r w:rsidRPr="000155C7">
        <w:t>Analizuojant situaciją dėl Lietuvos Respublikos piliečių veiklos, susijusios su tarptautine neteisėta narkotikų apyvarta, bei palyginus ankstesnių metų duomenis, matomas aiškus sulaikymų ir sulaikytų asmenų skaičiaus mažėjimas. Lietuvos teisėsaugai 2013 m. yra žinoma 80 sulaikymo atvejų kuomet buvo sulaikyta 118 Lietuvos piliečių už neteisėtą veiklą su narkotikais.</w:t>
      </w:r>
    </w:p>
    <w:p w:rsidR="00E80028" w:rsidRPr="00475339" w:rsidRDefault="00E80028" w:rsidP="00E80028">
      <w:pPr>
        <w:widowControl w:val="0"/>
        <w:autoSpaceDE w:val="0"/>
        <w:autoSpaceDN w:val="0"/>
        <w:adjustRightInd w:val="0"/>
        <w:spacing w:before="4" w:line="260" w:lineRule="exact"/>
        <w:ind w:firstLine="720"/>
        <w:jc w:val="both"/>
        <w:rPr>
          <w:color w:val="000000"/>
        </w:rPr>
      </w:pPr>
      <w:r w:rsidRPr="00475339">
        <w:t xml:space="preserve">Apžvelgus pastarųjų metų Lietuvos Respublikos piliečių sulaikymų užsienyje su narkotinėmis ar psichotropinėmis medžiagomis statistiką, matome, kad 2013 m. pagrindinės </w:t>
      </w:r>
      <w:r w:rsidRPr="00475339">
        <w:lastRenderedPageBreak/>
        <w:t>sulaikymų šalys yra Vokietija, Norvegija, taip pat padažnėjo sulaikymų Prancūzijoje. Tačiau tai nereiškia, kad šios valstybės yra narkotikų paskirties šalys, pavyzdžiui Vokietija ir Prancūzija galėtų būti tranzito šalys narkotikų kontrabandoje.</w:t>
      </w:r>
    </w:p>
    <w:p w:rsidR="00E80028" w:rsidRDefault="00E80028" w:rsidP="00E80028">
      <w:pPr>
        <w:pStyle w:val="Default"/>
        <w:ind w:firstLine="720"/>
        <w:jc w:val="both"/>
        <w:rPr>
          <w:sz w:val="23"/>
          <w:szCs w:val="23"/>
        </w:rPr>
      </w:pPr>
      <w:r>
        <w:rPr>
          <w:sz w:val="23"/>
          <w:szCs w:val="23"/>
        </w:rPr>
        <w:t xml:space="preserve">2013 m. užsienyje už neteisėtą narkotikų apyvartą sulaikytų Lietuvos Respublikos piliečių amžius svyruoja nuo 20 iki 53 metų, tarp sulaikytųjų nepasitaikė nepilnamečių. Sulaikytų asmenų amžiaus vidurkis sudaro apie 30 metų. </w:t>
      </w:r>
    </w:p>
    <w:p w:rsidR="00E80028" w:rsidRDefault="00E80028" w:rsidP="00E80028">
      <w:pPr>
        <w:pStyle w:val="Default"/>
        <w:jc w:val="both"/>
        <w:rPr>
          <w:sz w:val="23"/>
          <w:szCs w:val="23"/>
        </w:rPr>
      </w:pPr>
      <w:r>
        <w:rPr>
          <w:sz w:val="23"/>
          <w:szCs w:val="23"/>
        </w:rPr>
        <w:t xml:space="preserve">Palyginus keleto pastarųjų metų duomenis matome, kad užsienyje už neteisėtą narkotikų apyvartą dažniausiai sulaikomi Kauno, Vilniaus, Klaipėdos ir Panevėžio apskrityse gyvenamąją vietą deklaravę asmenys. </w:t>
      </w:r>
    </w:p>
    <w:p w:rsidR="00E80028"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Pr>
          <w:sz w:val="23"/>
          <w:szCs w:val="23"/>
        </w:rPr>
        <w:t>2013 m. Kauno apskrities gyventojai dažniausiai (16 sulaikymo atvejų, 27 asmenys) buvo sulaikyti už disponavimą kokainu ir ATS medžiagomis. Daugiausiai šios apskrities gyventojų buvo sulaikyta Norvegijoje bei Dž. Britanijoje.</w:t>
      </w:r>
    </w:p>
    <w:p w:rsidR="00E80028" w:rsidRPr="00143D7E"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sidRPr="00143D7E">
        <w:t>Vilniaus ir Panevėžio apskričių gyventojų sulaikymų dažnumo su konkrečia narkotine medžiaga šiais metais išskirti negalima, kadangi sulaikymai išsiskaido proporcingai. Vilniaus apskrities gyventojai šiais metais dažniausiai buvo sulaikyti Vokietijoje ir Prancūzijoje, o Panevėžio apskrities – Airijoje ir Vokietijoje</w:t>
      </w:r>
      <w:r>
        <w:t xml:space="preserve">. </w:t>
      </w:r>
    </w:p>
    <w:p w:rsidR="00E80028" w:rsidRPr="00EB2CD9" w:rsidRDefault="00E80028" w:rsidP="00E80028">
      <w:pPr>
        <w:pStyle w:val="Default"/>
        <w:ind w:firstLine="720"/>
        <w:jc w:val="both"/>
      </w:pPr>
      <w:r w:rsidRPr="00EB2CD9">
        <w:t xml:space="preserve">Teisėsaugos institucijų turimais duomenimis 2013 m. dažniausiai Norvegijoje Lietuvos piliečiai buvo sulaikomi su ATS medžiagomis. Norvegijoje iš neteisėtos apyvartos buvo išimta 62,3 kg metamfetamino, 55,6 kg amfetamino. Narkotinės ir psichotropinės medžiagos į Skandinavijos valstybes dažniausiai gabenamos automobiliais, keltais ir slepiamos automobilių duryse, sėdynėse, grindyse. Visi sulaikymų atvejai, išskyrus 1 (platinimas) yra susiję su narkotikų kontrabanda. Norvegijoje už neteisėtą narkotikų apyvartą daugiausia sulaikyta Kauno apskrities gyventojų. </w:t>
      </w:r>
    </w:p>
    <w:p w:rsidR="00E80028" w:rsidRPr="00EB2CD9"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sidRPr="00EB2CD9">
        <w:t>Dažniausiai Vokietijoje Lietuvos Respublikos piliečiai buvo sulaikomi su hašišu ir kanapėmis. Dažniausiai 2013 m. iš neteisėtos apyvartos sulaikymų Vokietijoje metu buvo išimama hašišo, viso - 403,8 kg. Pažymėtina, kad buvo gabenami gana dideli hašišo kiekiai, pvz., 246 kg, 126 kg. Visi hašišo sulaikymo atvejai susiję su kontrabanda (tranzitu), kuri buvo gabenama automobiliais. Hašišas buvo gabenamas šiais maršrutais: iš Maroko per Prancūziją, Vokietiją, Daniją į Švedija, iš Olandijos, Belgijos į Vokietiją. Vokietijoje už neteisėtą narkotikų apyvartą daugiausia sulaikyta Vilniaus apskrities gyventojų.</w:t>
      </w:r>
    </w:p>
    <w:p w:rsidR="00E80028" w:rsidRPr="00EB2CD9" w:rsidRDefault="00E80028" w:rsidP="00E80028">
      <w:pPr>
        <w:pStyle w:val="Default"/>
        <w:ind w:firstLine="720"/>
      </w:pPr>
      <w:r w:rsidRPr="00EB2CD9">
        <w:t xml:space="preserve">Iš visų 80 sulaikymo atvejų – 75 % yra susiję su narkotikų kontrabanda, todėl galima teigti, kad daugiausiai sulaikomi narkotikų kurjeriai. </w:t>
      </w:r>
    </w:p>
    <w:p w:rsidR="00E80028" w:rsidRPr="00EB2CD9"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sidRPr="00EB2CD9">
        <w:t>Narkotinių ar psichotropinių medžiagų gabenimo būdai išlieka nepakitę. Daugiausiai narkotinės medžiagos yra gabenamos automobiliais, tai sudaro 64 % (2012 m. – 59 %) gabenimo atvejų.</w:t>
      </w:r>
    </w:p>
    <w:p w:rsidR="00E80028" w:rsidRPr="00EB2CD9"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sidRPr="00EB2CD9">
        <w:t>Antrojoje vietoje – narkotikų gabenimas lėktuvais, tai sudaro 25 % (2012 m. – 33 %) gabenimo atvejų. Likusią dalį sudaro narkotikų gabenimas laivu/keltu, autobusu.</w:t>
      </w:r>
    </w:p>
    <w:p w:rsidR="00E80028"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Pr>
          <w:b/>
          <w:bCs/>
          <w:i/>
          <w:iCs/>
          <w:sz w:val="23"/>
          <w:szCs w:val="23"/>
        </w:rPr>
        <w:t>Narkotikų rūšys</w:t>
      </w:r>
    </w:p>
    <w:p w:rsidR="00E80028" w:rsidRPr="00082384"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sidRPr="00082384">
        <w:t xml:space="preserve">Kaip ir praėjusiais metais daugiausia LR piliečių sulaikyta su kokainu, tačiau matome, kad nuo 2011 m. ženkliai mažėja sulaikymų su kokainu Pietų Amerikoje, kuomet kokainas būdavo gabenamas organizme ar vežamas daiktuose. 2013 m. užfiksuoti 2 sulaikymai Pietų Amerikos valstybėse, t.y. dviejų LR piliečių sulaikymas Ekvadore, kismet buvo gabena,I 6 kg kokaino ir LR pilietės sulaikymas Peru, kuomet kokainas buvo gabenamas skarandyje. </w:t>
      </w:r>
    </w:p>
    <w:p w:rsidR="00E80028" w:rsidRPr="00F16704" w:rsidRDefault="00E80028" w:rsidP="00E80028">
      <w:pPr>
        <w:pStyle w:val="Default"/>
        <w:ind w:firstLine="720"/>
      </w:pPr>
      <w:r w:rsidRPr="00F16704">
        <w:t xml:space="preserve">Iš viso su kokainu užfiksuota 18 sulaikymo atvejų, sulaikyti 24 asmenys. Iš neteisėtos apyvartos išimta 364,4 kg kokaino. Daugiausia sulaikymo atvejų sudaro kontrabanda, kuri gabenama lėktuvais, laivais, taip pat ir automobiliais. </w:t>
      </w:r>
    </w:p>
    <w:p w:rsidR="00E80028" w:rsidRDefault="00E80028" w:rsidP="00E80028">
      <w:pPr>
        <w:widowControl w:val="0"/>
        <w:autoSpaceDE w:val="0"/>
        <w:autoSpaceDN w:val="0"/>
        <w:adjustRightInd w:val="0"/>
        <w:spacing w:line="275" w:lineRule="auto"/>
        <w:ind w:left="120" w:right="44" w:firstLine="721"/>
        <w:jc w:val="both"/>
      </w:pPr>
      <w:r w:rsidRPr="00F16704">
        <w:lastRenderedPageBreak/>
        <w:t>Antr</w:t>
      </w:r>
      <w:r>
        <w:t>a pozicija</w:t>
      </w:r>
      <w:r w:rsidRPr="00F16704">
        <w:t xml:space="preserve"> pagal išimtų iš neteisėtos apyvartos narkotikų rūšį užima hašišas ir kanapės, po to seka heroino sulaikymai. Palyginus šių metų ir praėjusių metų duomenis situacija išlieka beveik</w:t>
      </w:r>
      <w:r>
        <w:t xml:space="preserve"> nepakitusi. </w:t>
      </w:r>
    </w:p>
    <w:p w:rsidR="00E80028" w:rsidRDefault="00E80028" w:rsidP="00E80028">
      <w:pPr>
        <w:widowControl w:val="0"/>
        <w:autoSpaceDE w:val="0"/>
        <w:autoSpaceDN w:val="0"/>
        <w:adjustRightInd w:val="0"/>
        <w:spacing w:line="275" w:lineRule="auto"/>
        <w:ind w:left="120" w:right="44" w:firstLine="721"/>
        <w:jc w:val="both"/>
      </w:pPr>
      <w:r>
        <w:tab/>
      </w:r>
    </w:p>
    <w:p w:rsidR="00E80028" w:rsidRPr="00B146DD" w:rsidRDefault="00E80028" w:rsidP="00E80028">
      <w:pPr>
        <w:widowControl w:val="0"/>
        <w:autoSpaceDE w:val="0"/>
        <w:autoSpaceDN w:val="0"/>
        <w:adjustRightInd w:val="0"/>
        <w:spacing w:line="275" w:lineRule="auto"/>
        <w:ind w:left="120" w:right="44" w:firstLine="721"/>
        <w:jc w:val="both"/>
        <w:rPr>
          <w:b/>
        </w:rPr>
      </w:pPr>
      <w:r w:rsidRPr="00B146DD">
        <w:rPr>
          <w:b/>
        </w:rPr>
        <w:t xml:space="preserve">Išvados </w:t>
      </w:r>
    </w:p>
    <w:p w:rsidR="00E80028"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p>
    <w:p w:rsidR="00E80028" w:rsidRPr="00F16704"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Pr>
          <w:sz w:val="23"/>
          <w:szCs w:val="23"/>
        </w:rPr>
        <w:t>Neteisėtos narkotikų apyvartos tendencijos šalyje jau kelerius metus iš esmės nesikeičia. Išskiriami šie Lietuvos neteisėtos narkotikų rinkos požymiai:</w:t>
      </w:r>
    </w:p>
    <w:p w:rsidR="00E80028" w:rsidRDefault="00E80028" w:rsidP="00E80028">
      <w:pPr>
        <w:pStyle w:val="Default"/>
      </w:pPr>
    </w:p>
    <w:p w:rsidR="00E80028" w:rsidRDefault="00E80028" w:rsidP="00E80028">
      <w:pPr>
        <w:pStyle w:val="Default"/>
        <w:numPr>
          <w:ilvl w:val="0"/>
          <w:numId w:val="75"/>
        </w:numPr>
        <w:rPr>
          <w:sz w:val="23"/>
          <w:szCs w:val="23"/>
        </w:rPr>
      </w:pPr>
      <w:r>
        <w:rPr>
          <w:sz w:val="23"/>
          <w:szCs w:val="23"/>
        </w:rPr>
        <w:t xml:space="preserve">nelegali narkotikų apyvarta įgavo stabilumo požymių; </w:t>
      </w:r>
    </w:p>
    <w:p w:rsidR="00E80028" w:rsidRDefault="00E80028" w:rsidP="00E80028">
      <w:pPr>
        <w:pStyle w:val="Default"/>
        <w:numPr>
          <w:ilvl w:val="0"/>
          <w:numId w:val="75"/>
        </w:numPr>
        <w:rPr>
          <w:sz w:val="23"/>
          <w:szCs w:val="23"/>
        </w:rPr>
      </w:pPr>
      <w:r>
        <w:rPr>
          <w:sz w:val="23"/>
          <w:szCs w:val="23"/>
        </w:rPr>
        <w:t xml:space="preserve">prastėjanti narkotikų kokybė (išskyrus kokainą ir ecstasy), per dešimtmetį perpus sumažėjęs heroino grynumas; </w:t>
      </w:r>
    </w:p>
    <w:p w:rsidR="00E80028" w:rsidRDefault="00E80028" w:rsidP="00E80028">
      <w:pPr>
        <w:pStyle w:val="Default"/>
        <w:numPr>
          <w:ilvl w:val="0"/>
          <w:numId w:val="75"/>
        </w:numPr>
      </w:pPr>
      <w:r>
        <w:t xml:space="preserve">mažai kintanti narkotikų kaina; </w:t>
      </w:r>
    </w:p>
    <w:p w:rsidR="00E80028" w:rsidRDefault="00E80028" w:rsidP="00E80028">
      <w:pPr>
        <w:pStyle w:val="Default"/>
        <w:numPr>
          <w:ilvl w:val="0"/>
          <w:numId w:val="75"/>
        </w:numPr>
      </w:pPr>
      <w:r>
        <w:t xml:space="preserve">populiariausios kanapės ir ATS (amfetamino tipo stimuliuojamosios) medžiagos; </w:t>
      </w:r>
    </w:p>
    <w:p w:rsidR="00E80028" w:rsidRDefault="00E80028" w:rsidP="00E80028">
      <w:pPr>
        <w:pStyle w:val="Default"/>
        <w:numPr>
          <w:ilvl w:val="0"/>
          <w:numId w:val="75"/>
        </w:numPr>
        <w:rPr>
          <w:sz w:val="23"/>
          <w:szCs w:val="23"/>
        </w:rPr>
      </w:pPr>
      <w:r>
        <w:rPr>
          <w:sz w:val="23"/>
          <w:szCs w:val="23"/>
        </w:rPr>
        <w:t xml:space="preserve">metamfetaminas dažniausiai platinamas sintetinis narkotikas; </w:t>
      </w:r>
    </w:p>
    <w:p w:rsidR="00E80028" w:rsidRDefault="00E80028" w:rsidP="00E80028">
      <w:pPr>
        <w:pStyle w:val="Default"/>
        <w:numPr>
          <w:ilvl w:val="0"/>
          <w:numId w:val="75"/>
        </w:numPr>
      </w:pPr>
      <w:r>
        <w:t xml:space="preserve">heroinas populiariausias intraveninis narkotikas; </w:t>
      </w:r>
    </w:p>
    <w:p w:rsidR="00E80028" w:rsidRDefault="00E80028" w:rsidP="00E80028">
      <w:pPr>
        <w:pStyle w:val="Default"/>
        <w:numPr>
          <w:ilvl w:val="0"/>
          <w:numId w:val="75"/>
        </w:numPr>
        <w:rPr>
          <w:sz w:val="23"/>
          <w:szCs w:val="23"/>
        </w:rPr>
      </w:pPr>
      <w:r>
        <w:rPr>
          <w:sz w:val="23"/>
          <w:szCs w:val="23"/>
        </w:rPr>
        <w:t xml:space="preserve">ribota kokaino ir hašišo apyvarta šalies viduje; </w:t>
      </w:r>
    </w:p>
    <w:p w:rsidR="00E80028" w:rsidRDefault="00E80028" w:rsidP="00E80028">
      <w:pPr>
        <w:pStyle w:val="Default"/>
        <w:numPr>
          <w:ilvl w:val="0"/>
          <w:numId w:val="75"/>
        </w:numPr>
        <w:rPr>
          <w:sz w:val="23"/>
          <w:szCs w:val="23"/>
        </w:rPr>
      </w:pPr>
      <w:r>
        <w:rPr>
          <w:sz w:val="23"/>
          <w:szCs w:val="23"/>
        </w:rPr>
        <w:t xml:space="preserve">besiplečianti naujų narkotikų (kitose šalyse nekontroliuojamų) rinka; </w:t>
      </w:r>
    </w:p>
    <w:p w:rsidR="00E80028" w:rsidRDefault="00E80028" w:rsidP="00E80028">
      <w:pPr>
        <w:pStyle w:val="Default"/>
        <w:numPr>
          <w:ilvl w:val="0"/>
          <w:numId w:val="75"/>
        </w:numPr>
      </w:pPr>
      <w:r>
        <w:t xml:space="preserve">egzistuoja nelegali ATS medžiagų gamyba ir kanapių auginimas dirbtinėmis sąlygomis; </w:t>
      </w:r>
    </w:p>
    <w:p w:rsidR="00E80028" w:rsidRDefault="00E80028" w:rsidP="00E80028">
      <w:pPr>
        <w:pStyle w:val="Default"/>
        <w:numPr>
          <w:ilvl w:val="0"/>
          <w:numId w:val="75"/>
        </w:numPr>
      </w:pPr>
      <w:r>
        <w:t xml:space="preserve">auganti hašišo kontrabanda per Lietuvą; </w:t>
      </w:r>
    </w:p>
    <w:p w:rsidR="00E80028" w:rsidRDefault="00E80028" w:rsidP="00E80028">
      <w:pPr>
        <w:pStyle w:val="Default"/>
        <w:numPr>
          <w:ilvl w:val="0"/>
          <w:numId w:val="75"/>
        </w:numPr>
      </w:pPr>
      <w:r>
        <w:t xml:space="preserve">ATS medžiagų kontrabanda iš Lietuvos į Skandinaviją; </w:t>
      </w:r>
    </w:p>
    <w:p w:rsidR="00E80028" w:rsidRPr="00F16704"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p>
    <w:p w:rsidR="00E80028" w:rsidRPr="00B146DD" w:rsidRDefault="00E80028" w:rsidP="00E80028">
      <w:pPr>
        <w:widowControl w:val="0"/>
        <w:autoSpaceDE w:val="0"/>
        <w:autoSpaceDN w:val="0"/>
        <w:adjustRightInd w:val="0"/>
        <w:spacing w:line="275" w:lineRule="auto"/>
        <w:ind w:left="120" w:right="44" w:firstLine="721"/>
        <w:jc w:val="both"/>
        <w:rPr>
          <w:rFonts w:ascii="Cambria" w:hAnsi="Cambria" w:cs="Cambria"/>
          <w:b/>
          <w:color w:val="000000"/>
        </w:rPr>
      </w:pPr>
      <w:r w:rsidRPr="00B146DD">
        <w:rPr>
          <w:rFonts w:ascii="Cambria" w:hAnsi="Cambria" w:cs="Cambria"/>
          <w:b/>
          <w:color w:val="000000"/>
        </w:rPr>
        <w:t xml:space="preserve">Grėsmės </w:t>
      </w:r>
    </w:p>
    <w:p w:rsidR="00E80028"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p>
    <w:p w:rsidR="00E80028" w:rsidRDefault="00E80028" w:rsidP="00E80028">
      <w:pPr>
        <w:pStyle w:val="Default"/>
        <w:ind w:firstLine="720"/>
        <w:jc w:val="both"/>
      </w:pPr>
      <w:r w:rsidRPr="00A30B6A">
        <w:t xml:space="preserve">Dėl neteisėtos narkotikų apyvartos globalizacijos, didelio šios veiklos pelningumo bei sparčiai augančios naujų psichoaktyvių medžiagų pasiūlos, informacinių technologijų progreso ir jų aktyvesnio naudojimo vis sudėtingiau kovoti su narkotikų reiškiniu. </w:t>
      </w:r>
    </w:p>
    <w:p w:rsidR="00E80028" w:rsidRPr="00A30B6A"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r w:rsidRPr="00A30B6A">
        <w:t>Nors šalies narkotinių ir psichotropinių medžiagų paklausa ganėtinai ribota (lyginant su kitomis Europos šalimis mažas vartotojų skaičius), tačiau rinkoje yra įvairių rūšių narkotikų. Labiausiai neraminantis faktorius – naujos psichoaktyvios medžiagos (NPM). Dėl didelės jų įvairovės, sparčios naujų produktų pasiūlos elektroninėje erdvėje ir skirtingo reglamentavimo ES bei trečiosiose šalyse bus sunku užtikrinti šių medžiagų pasiūlos (įskaitant atgabenimą į šalį) kontrolę. NPM reiškiniui spręsti ypač svarbus bendradarbiavimas tarp prevenciją ir kontrolę vykdančių institucijų.</w:t>
      </w:r>
    </w:p>
    <w:p w:rsidR="00E80028" w:rsidRPr="00A30B6A" w:rsidRDefault="00E80028" w:rsidP="00E80028">
      <w:pPr>
        <w:pStyle w:val="Default"/>
        <w:ind w:firstLine="720"/>
        <w:jc w:val="both"/>
      </w:pPr>
      <w:r w:rsidRPr="00A30B6A">
        <w:t xml:space="preserve">Dėl ribotos ir nedidelės šalies narkotikų rinkos, siekdami sumažinti riziką ir gauti didesnį pelną, organizuoto nusikalstamo pasaulio atstovai orientuoja savo nusikalstamą veiklą į tarptautinį lygį, t.y imasi narkotikų kontrabandos organizavimo aplenkiant Lietuvą arba tarpininko ir/ar vykdytojo vaidmens. Tokio pobūdžio nusikaltimų atskleidimas reikalauja ne tik glaudaus tarptautinio bendradarbiavimo su kolegomis, bet ir pareigūnų profesionalumo. </w:t>
      </w:r>
    </w:p>
    <w:p w:rsidR="00E80028"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p>
    <w:p w:rsidR="00E80028" w:rsidRPr="00EB2CD9" w:rsidRDefault="00E80028" w:rsidP="00E80028">
      <w:pPr>
        <w:widowControl w:val="0"/>
        <w:autoSpaceDE w:val="0"/>
        <w:autoSpaceDN w:val="0"/>
        <w:adjustRightInd w:val="0"/>
        <w:spacing w:line="275" w:lineRule="auto"/>
        <w:ind w:left="120" w:right="44" w:firstLine="721"/>
        <w:jc w:val="both"/>
        <w:rPr>
          <w:rFonts w:ascii="Cambria" w:hAnsi="Cambria" w:cs="Cambria"/>
          <w:color w:val="000000"/>
        </w:rPr>
      </w:pPr>
    </w:p>
    <w:p w:rsidR="00E80028" w:rsidRPr="00387E75" w:rsidRDefault="00E80028" w:rsidP="00E80028">
      <w:pPr>
        <w:widowControl w:val="0"/>
        <w:autoSpaceDE w:val="0"/>
        <w:autoSpaceDN w:val="0"/>
        <w:adjustRightInd w:val="0"/>
        <w:spacing w:line="200" w:lineRule="exact"/>
        <w:rPr>
          <w:rFonts w:eastAsia="Arial Unicode MS"/>
        </w:rPr>
      </w:pPr>
      <w:r w:rsidRPr="00387E75">
        <w:rPr>
          <w:color w:val="000000"/>
        </w:rPr>
        <w:tab/>
      </w:r>
    </w:p>
    <w:p w:rsidR="00E80028" w:rsidRPr="00387E75" w:rsidRDefault="00E80028" w:rsidP="00E80028">
      <w:pPr>
        <w:rPr>
          <w:iCs/>
          <w:lang w:eastAsia="lt-LT"/>
        </w:rPr>
      </w:pPr>
      <w:r w:rsidRPr="00387E75">
        <w:rPr>
          <w:b/>
        </w:rPr>
        <w:tab/>
      </w:r>
      <w:r w:rsidRPr="00387E75">
        <w:t xml:space="preserve">Komisijos padėka pareikšta: </w:t>
      </w:r>
      <w:r w:rsidRPr="00387E75">
        <w:rPr>
          <w:iCs/>
          <w:lang w:eastAsia="lt-LT"/>
        </w:rPr>
        <w:t xml:space="preserve"> </w:t>
      </w:r>
    </w:p>
    <w:p w:rsidR="00E80028" w:rsidRDefault="00E80028" w:rsidP="00E80028">
      <w:pPr>
        <w:ind w:firstLine="720"/>
        <w:jc w:val="both"/>
      </w:pPr>
    </w:p>
    <w:p w:rsidR="00E80028" w:rsidRDefault="00E80028" w:rsidP="00E80028">
      <w:pPr>
        <w:rPr>
          <w:color w:val="1A1A1A"/>
        </w:rPr>
      </w:pPr>
      <w:r>
        <w:t xml:space="preserve">p.  </w:t>
      </w:r>
      <w:r>
        <w:rPr>
          <w:color w:val="1A1A1A"/>
        </w:rPr>
        <w:t xml:space="preserve">Jack Irwin </w:t>
      </w:r>
    </w:p>
    <w:p w:rsidR="00E80028" w:rsidRDefault="00E80028" w:rsidP="00E80028">
      <w:pPr>
        <w:rPr>
          <w:shd w:val="clear" w:color="auto" w:fill="FEFEFE"/>
        </w:rPr>
      </w:pPr>
      <w:r>
        <w:rPr>
          <w:shd w:val="clear" w:color="auto" w:fill="FEFEFE"/>
        </w:rPr>
        <w:t xml:space="preserve">Tarptautinės Sniego gniūžtės tarybos prezidentui (International Snowball Association, International Snowball Board President, JAV, Ilinojaus valstija). </w:t>
      </w:r>
    </w:p>
    <w:p w:rsidR="00E80028" w:rsidRDefault="00E80028" w:rsidP="00E80028">
      <w:pPr>
        <w:ind w:firstLine="720"/>
        <w:jc w:val="both"/>
      </w:pPr>
      <w:r>
        <w:lastRenderedPageBreak/>
        <w:t>Komisija padėkojo u</w:t>
      </w:r>
      <w:r>
        <w:rPr>
          <w:shd w:val="clear" w:color="auto" w:fill="FEFEFE"/>
        </w:rPr>
        <w:t>ž žalingų įpročių prevencijos programos „Sniego gniūžtė“</w:t>
      </w:r>
      <w:r>
        <w:t xml:space="preserve"> Lietuvoje pristatymą ir nuo 1994 m. nuolatinę pagalbą,  ją įgyvendinant. Už indėlį, ugdant atvirą, kūrybingą ir socialiai atsakingą žmogų, už prasmingą darbą ugdant pilietinį Lietuvos jaunimą, formuojant sveiką gyvenseną ir jos kultūrą. </w:t>
      </w:r>
    </w:p>
    <w:p w:rsidR="00E80028" w:rsidRDefault="00E80028" w:rsidP="00E80028">
      <w:pPr>
        <w:ind w:firstLine="720"/>
        <w:jc w:val="both"/>
      </w:pPr>
    </w:p>
    <w:p w:rsidR="00E80028" w:rsidRPr="00387E75" w:rsidRDefault="00E80028" w:rsidP="00E80028">
      <w:pPr>
        <w:ind w:firstLine="720"/>
        <w:jc w:val="both"/>
      </w:pPr>
    </w:p>
    <w:p w:rsidR="00E80028" w:rsidRDefault="00E80028" w:rsidP="00E80028">
      <w:pPr>
        <w:ind w:firstLine="720"/>
        <w:jc w:val="both"/>
      </w:pPr>
    </w:p>
    <w:p w:rsidR="00E80028" w:rsidRDefault="00E80028" w:rsidP="00E80028">
      <w:pPr>
        <w:ind w:firstLine="720"/>
        <w:jc w:val="both"/>
      </w:pPr>
    </w:p>
    <w:p w:rsidR="00E80028" w:rsidRDefault="00E80028" w:rsidP="00E80028">
      <w:pPr>
        <w:ind w:firstLine="720"/>
        <w:jc w:val="both"/>
      </w:pPr>
    </w:p>
    <w:p w:rsidR="00E80028" w:rsidRDefault="00E80028" w:rsidP="00E80028">
      <w:pPr>
        <w:ind w:firstLine="720"/>
        <w:jc w:val="both"/>
      </w:pPr>
    </w:p>
    <w:p w:rsidR="00E80028" w:rsidRDefault="00E80028" w:rsidP="00E80028">
      <w:pPr>
        <w:ind w:firstLine="720"/>
        <w:jc w:val="both"/>
      </w:pPr>
    </w:p>
    <w:p w:rsidR="00E80028" w:rsidRPr="00387E75" w:rsidRDefault="00E80028" w:rsidP="00E80028">
      <w:pPr>
        <w:ind w:firstLine="720"/>
        <w:jc w:val="both"/>
      </w:pPr>
      <w:r w:rsidRPr="00387E75">
        <w:t>Ataskaitą teikia:</w:t>
      </w:r>
    </w:p>
    <w:p w:rsidR="00E80028" w:rsidRPr="00387E75" w:rsidRDefault="00E80028" w:rsidP="00E80028">
      <w:pPr>
        <w:ind w:firstLine="720"/>
        <w:jc w:val="both"/>
      </w:pPr>
    </w:p>
    <w:p w:rsidR="00E80028" w:rsidRPr="00387E75" w:rsidRDefault="00E80028" w:rsidP="00E80028">
      <w:pPr>
        <w:jc w:val="both"/>
      </w:pPr>
      <w:r w:rsidRPr="00387E75">
        <w:t xml:space="preserve">Lietuvos Respublikos Seimo </w:t>
      </w:r>
    </w:p>
    <w:p w:rsidR="00E80028" w:rsidRPr="00387E75" w:rsidRDefault="00E80028" w:rsidP="00E80028">
      <w:pPr>
        <w:jc w:val="both"/>
      </w:pPr>
      <w:r w:rsidRPr="00387E75">
        <w:t xml:space="preserve">Narkomanijos ir alkoholizmo prevencijos </w:t>
      </w:r>
    </w:p>
    <w:p w:rsidR="00E80028" w:rsidRPr="00387E75" w:rsidRDefault="00E80028" w:rsidP="00E80028">
      <w:pPr>
        <w:autoSpaceDE w:val="0"/>
        <w:autoSpaceDN w:val="0"/>
        <w:adjustRightInd w:val="0"/>
        <w:jc w:val="both"/>
        <w:rPr>
          <w:rFonts w:eastAsia="TimesNewRomanPSMT"/>
          <w:bCs/>
          <w:lang w:eastAsia="lt-LT"/>
        </w:rPr>
      </w:pPr>
      <w:r w:rsidRPr="00387E75">
        <w:rPr>
          <w:rFonts w:eastAsia="TimesNewRomanPSMT"/>
          <w:bCs/>
          <w:lang w:eastAsia="lt-LT"/>
        </w:rPr>
        <w:t>komisijos pirmininkė                                                                          Larisa Dmitrijeva</w:t>
      </w:r>
    </w:p>
    <w:p w:rsidR="00892E5C" w:rsidRDefault="00892E5C"/>
    <w:p w:rsidR="002E5D37" w:rsidRDefault="002E5D37"/>
    <w:p w:rsidR="002E5D37" w:rsidRDefault="002E5D37"/>
    <w:sectPr w:rsidR="002E5D3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425" w:rsidRDefault="004F7425" w:rsidP="00585AD9">
      <w:r>
        <w:separator/>
      </w:r>
    </w:p>
  </w:endnote>
  <w:endnote w:type="continuationSeparator" w:id="0">
    <w:p w:rsidR="004F7425" w:rsidRDefault="004F7425" w:rsidP="0058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ourierLT">
    <w:altName w:val="Times New Roman"/>
    <w:panose1 w:val="00000000000000000000"/>
    <w:charset w:val="00"/>
    <w:family w:val="roman"/>
    <w:notTrueType/>
    <w:pitch w:val="default"/>
  </w:font>
  <w:font w:name="Univers Condensed">
    <w:panose1 w:val="00000000000000000000"/>
    <w:charset w:val="00"/>
    <w:family w:val="swiss"/>
    <w:notTrueType/>
    <w:pitch w:val="variable"/>
    <w:sig w:usb0="00000003" w:usb1="00000000" w:usb2="00000000" w:usb3="00000000" w:csb0="00000001"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1A8C2C0t00">
    <w:altName w:val="Times New Roman"/>
    <w:panose1 w:val="00000000000000000000"/>
    <w:charset w:val="00"/>
    <w:family w:val="auto"/>
    <w:notTrueType/>
    <w:pitch w:val="default"/>
    <w:sig w:usb0="00000003" w:usb1="00000000" w:usb2="00000000" w:usb3="00000000" w:csb0="00000001" w:csb1="00000000"/>
  </w:font>
  <w:font w:name="MyriadPro-Bold">
    <w:altName w:val="Arial"/>
    <w:panose1 w:val="00000000000000000000"/>
    <w:charset w:val="EE"/>
    <w:family w:val="swiss"/>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425" w:rsidRDefault="004F7425" w:rsidP="00585AD9">
      <w:r>
        <w:separator/>
      </w:r>
    </w:p>
  </w:footnote>
  <w:footnote w:type="continuationSeparator" w:id="0">
    <w:p w:rsidR="004F7425" w:rsidRDefault="004F7425" w:rsidP="00585AD9">
      <w:r>
        <w:continuationSeparator/>
      </w:r>
    </w:p>
  </w:footnote>
  <w:footnote w:id="1">
    <w:p w:rsidR="004F7425" w:rsidRDefault="004F7425" w:rsidP="00585AD9">
      <w:pPr>
        <w:pStyle w:val="Puslapioinaostekstas"/>
        <w:rPr>
          <w:lang w:val="es-ES"/>
        </w:rPr>
      </w:pPr>
      <w:r>
        <w:rPr>
          <w:rStyle w:val="Puslapioinaosnuoroda"/>
        </w:rPr>
        <w:footnoteRef/>
      </w:r>
      <w:r>
        <w:rPr>
          <w:lang w:val="es-ES"/>
        </w:rPr>
        <w:t xml:space="preserve"> Informatikos ir ryšių departamento prie VRM informacija. </w:t>
      </w:r>
    </w:p>
  </w:footnote>
  <w:footnote w:id="2">
    <w:p w:rsidR="004F7425" w:rsidRDefault="004F7425" w:rsidP="00585AD9">
      <w:pPr>
        <w:pStyle w:val="Puslapioinaostekstas"/>
      </w:pPr>
      <w:r>
        <w:rPr>
          <w:rStyle w:val="Puslapioinaosnuoroda"/>
        </w:rPr>
        <w:footnoteRef/>
      </w:r>
      <w:r>
        <w:t xml:space="preserve"> Muitinės kriminalinės tarnybos metinė ataskaita „Dėl narkotikų kontrolės 2005 m. pagal muitinės kompetenciją“.</w:t>
      </w:r>
    </w:p>
    <w:p w:rsidR="004F7425" w:rsidRDefault="004F7425" w:rsidP="00585AD9">
      <w:pPr>
        <w:pStyle w:val="Puslapioinaostekstas"/>
      </w:pPr>
    </w:p>
  </w:footnote>
  <w:footnote w:id="3">
    <w:p w:rsidR="004F7425" w:rsidRDefault="004F7425" w:rsidP="00585AD9">
      <w:pPr>
        <w:pStyle w:val="Puslapioinaostekstas"/>
      </w:pPr>
      <w:r>
        <w:rPr>
          <w:rStyle w:val="Puslapioinaosnuoroda"/>
        </w:rPr>
        <w:footnoteRef/>
      </w:r>
      <w:r>
        <w:t xml:space="preserve"> Informatikos ir ryšių departamento prie VRM informacija.</w:t>
      </w:r>
    </w:p>
  </w:footnote>
  <w:footnote w:id="4">
    <w:p w:rsidR="004F7425" w:rsidRDefault="004F7425" w:rsidP="00585AD9">
      <w:pPr>
        <w:pStyle w:val="Puslapioinaostekstas"/>
      </w:pPr>
      <w:r>
        <w:rPr>
          <w:rStyle w:val="Puslapioinaosnuoroda"/>
        </w:rPr>
        <w:footnoteRef/>
      </w:r>
      <w:r>
        <w:t xml:space="preserve"> Aukštesnės pakopos policijos komisariatų narkotikų kontrolės padalinių metinės ataskaitos.</w:t>
      </w:r>
    </w:p>
  </w:footnote>
  <w:footnote w:id="5">
    <w:p w:rsidR="004F7425" w:rsidRDefault="004F7425" w:rsidP="00585AD9">
      <w:pPr>
        <w:pStyle w:val="Puslapioinaostekstas"/>
      </w:pPr>
      <w:r>
        <w:rPr>
          <w:rStyle w:val="Puslapioinaosnuoroda"/>
        </w:rPr>
        <w:footnoteRef/>
      </w:r>
      <w:r>
        <w:t xml:space="preserve"> Kauno m. VPK ONTT metinė ataskaita apie neteisėtos narkotikų apyvartos kontrolę.</w:t>
      </w:r>
    </w:p>
  </w:footnote>
  <w:footnote w:id="6">
    <w:p w:rsidR="004F7425" w:rsidRDefault="004F7425" w:rsidP="00585AD9">
      <w:pPr>
        <w:pStyle w:val="Puslapioinaostekstas"/>
      </w:pPr>
      <w:r>
        <w:rPr>
          <w:rStyle w:val="Puslapioinaosnuoroda"/>
        </w:rPr>
        <w:footnoteRef/>
      </w:r>
      <w:r>
        <w:t xml:space="preserve"> Muitinės kriminalinės tarnybos metinė ataskaita „Dėl narkotikų kontrolės 2005 m. pagal muitinės kompetenciją“.</w:t>
      </w:r>
    </w:p>
  </w:footnote>
  <w:footnote w:id="7">
    <w:p w:rsidR="004F7425" w:rsidRDefault="004F7425" w:rsidP="00585AD9">
      <w:pPr>
        <w:pStyle w:val="Puslapioinaostekstas"/>
      </w:pPr>
      <w:r>
        <w:rPr>
          <w:rStyle w:val="Puslapioinaosnuoroda"/>
        </w:rPr>
        <w:footnoteRef/>
      </w:r>
      <w:r>
        <w:t xml:space="preserve"> Vilniaus m. VPK KP NTT Narkotikų kontrolės skyriaus 2005 m. veiklos ataskaita.</w:t>
      </w:r>
    </w:p>
  </w:footnote>
  <w:footnote w:id="8">
    <w:p w:rsidR="004F7425" w:rsidRDefault="004F7425" w:rsidP="00585AD9">
      <w:pPr>
        <w:pStyle w:val="Puslapioinaostekstas"/>
      </w:pPr>
      <w:r>
        <w:rPr>
          <w:rStyle w:val="Puslapioinaosnuoroda"/>
        </w:rPr>
        <w:footnoteRef/>
      </w:r>
      <w:r>
        <w:t xml:space="preserve"> Panevėžio m. VPK ONTT metinė ataskaita apie neteisėtos narkotikų apyvartos kontrolę</w:t>
      </w:r>
    </w:p>
  </w:footnote>
  <w:footnote w:id="9">
    <w:p w:rsidR="004F7425" w:rsidRDefault="004F7425" w:rsidP="00585AD9">
      <w:pPr>
        <w:pStyle w:val="Puslapioinaostekstas"/>
      </w:pPr>
      <w:r>
        <w:rPr>
          <w:rStyle w:val="Puslapioinaosnuoroda"/>
        </w:rPr>
        <w:footnoteRef/>
      </w:r>
      <w:r>
        <w:t xml:space="preserve">  Vilniaus m. VPK KP NTT Narkotikų kontrolės skyriaus 2005 m. veiklos ataskaita.</w:t>
      </w:r>
    </w:p>
  </w:footnote>
  <w:footnote w:id="10">
    <w:p w:rsidR="004F7425" w:rsidRDefault="004F7425" w:rsidP="00585AD9">
      <w:pPr>
        <w:pStyle w:val="Puslapioinaostekstas"/>
      </w:pPr>
      <w:r>
        <w:rPr>
          <w:rStyle w:val="Puslapioinaosnuoroda"/>
        </w:rPr>
        <w:footnoteRef/>
      </w:r>
      <w:r>
        <w:t xml:space="preserve">  Kauno m. VPK ONTT metinė ataskaita apie neteisėtos narkotikų apyvartos kontrolę.</w:t>
      </w:r>
    </w:p>
  </w:footnote>
  <w:footnote w:id="11">
    <w:p w:rsidR="004F7425" w:rsidRDefault="004F7425" w:rsidP="00585AD9">
      <w:pPr>
        <w:pStyle w:val="Puslapioinaostekstas"/>
      </w:pPr>
      <w:r>
        <w:rPr>
          <w:rStyle w:val="Puslapioinaosnuoroda"/>
        </w:rPr>
        <w:footnoteRef/>
      </w:r>
      <w:r>
        <w:t xml:space="preserve"> PD prie VRM Viešosios policijos valdybos Prevencinės veiklos skyriaus informacija.</w:t>
      </w:r>
    </w:p>
  </w:footnote>
  <w:footnote w:id="12">
    <w:p w:rsidR="004F7425" w:rsidRDefault="004F7425" w:rsidP="00585AD9">
      <w:pPr>
        <w:pStyle w:val="Puslapioinaostekstas"/>
      </w:pPr>
      <w:r>
        <w:rPr>
          <w:rStyle w:val="Puslapioinaosnuoroda"/>
        </w:rPr>
        <w:footnoteRef/>
      </w:r>
      <w:r>
        <w:t xml:space="preserve"> Marijampolės PK ONTT metinė ataskaita apie neteisėtos narkotikų apyvartos kontrolę</w:t>
      </w:r>
    </w:p>
  </w:footnote>
  <w:footnote w:id="13">
    <w:p w:rsidR="004F7425" w:rsidRDefault="004F7425" w:rsidP="00585AD9">
      <w:pPr>
        <w:pStyle w:val="Puslapioinaostekstas"/>
      </w:pPr>
      <w:r>
        <w:rPr>
          <w:rStyle w:val="Puslapioinaosnuoroda"/>
        </w:rPr>
        <w:footnoteRef/>
      </w:r>
      <w:r>
        <w:t xml:space="preserve"> Šiaulių m.VPK ONTT  metinė ataskaita apie neteisėtos narkotikų apyvartos kontrolę.</w:t>
      </w:r>
    </w:p>
  </w:footnote>
  <w:footnote w:id="14">
    <w:p w:rsidR="004F7425" w:rsidRDefault="004F7425" w:rsidP="00585AD9">
      <w:pPr>
        <w:pStyle w:val="Puslapioinaostekstas"/>
      </w:pPr>
      <w:r>
        <w:rPr>
          <w:rStyle w:val="Puslapioinaosnuoroda"/>
        </w:rPr>
        <w:footnoteRef/>
      </w:r>
      <w:r>
        <w:t xml:space="preserve"> Drug identification bible – 2002, Amera-Chem, Inc., Colorado 81502 USA.</w:t>
      </w:r>
    </w:p>
  </w:footnote>
  <w:footnote w:id="15">
    <w:p w:rsidR="004F7425" w:rsidRDefault="004F7425" w:rsidP="00585AD9">
      <w:pPr>
        <w:pStyle w:val="Puslapioinaostekstas"/>
      </w:pPr>
      <w:r>
        <w:rPr>
          <w:rStyle w:val="Puslapioinaosnuoroda"/>
        </w:rPr>
        <w:footnoteRef/>
      </w:r>
      <w:r>
        <w:t xml:space="preserve"> Muitinės kriminalinės tarnybos metinė ataskaita „Dėl narkotikų kontrolės 2005 m. pagal muitinės kompetenciją</w:t>
      </w:r>
    </w:p>
  </w:footnote>
  <w:footnote w:id="16">
    <w:p w:rsidR="004F7425" w:rsidRDefault="004F7425" w:rsidP="00585AD9">
      <w:pPr>
        <w:pStyle w:val="Puslapioinaostekstas"/>
      </w:pPr>
      <w:r>
        <w:rPr>
          <w:rStyle w:val="Puslapioinaosnuoroda"/>
        </w:rPr>
        <w:footnoteRef/>
      </w:r>
      <w:r>
        <w:t xml:space="preserve"> Muitinės kriminalinės tarnybos metinė ataskaita „Dėl narkotikų kontrolės 2005 m. pagal muitinės kompetenciją</w:t>
      </w:r>
    </w:p>
  </w:footnote>
  <w:footnote w:id="17">
    <w:p w:rsidR="004F7425" w:rsidRDefault="004F7425" w:rsidP="00585AD9">
      <w:pPr>
        <w:pStyle w:val="Puslapioinaostekstas"/>
      </w:pPr>
      <w:r>
        <w:rPr>
          <w:rStyle w:val="Puslapioinaosnuoroda"/>
        </w:rPr>
        <w:footnoteRef/>
      </w:r>
      <w:r>
        <w:t xml:space="preserve"> Muitinės kriminalinės tarnybos metinė ataskaita „Dėl narkotikų kontrolės 2005 m. pagal muitinės kompetenciją</w:t>
      </w:r>
    </w:p>
  </w:footnote>
  <w:footnote w:id="18">
    <w:p w:rsidR="004F7425" w:rsidRDefault="004F7425" w:rsidP="00DD08F5">
      <w:pPr>
        <w:pStyle w:val="Puslapioinaostekstas"/>
      </w:pPr>
      <w:r>
        <w:rPr>
          <w:rStyle w:val="Puslapioinaosnuoroda"/>
        </w:rPr>
        <w:footnoteRef/>
      </w:r>
      <w:r>
        <w:t xml:space="preserve"> LR 1997 m. kovo 25 d. Narkologinės priežiūros įstatymas Nr. VIII-156</w:t>
      </w:r>
    </w:p>
  </w:footnote>
  <w:footnote w:id="19">
    <w:p w:rsidR="004F7425" w:rsidRDefault="004F7425" w:rsidP="00DD08F5">
      <w:pPr>
        <w:pStyle w:val="Puslapioinaostekstas"/>
      </w:pPr>
      <w:r>
        <w:rPr>
          <w:rStyle w:val="Puslapioinaosnuoroda"/>
        </w:rPr>
        <w:footnoteRef/>
      </w:r>
      <w:r>
        <w:t xml:space="preserve"> LR Vyriausybės 2005 m. gegužės 17 d. nutarimas Nr. 537 Dėl vaikų, vartojančių psichiką veikiančias medžiagas, medicininės, psichologinės, socialinės reabilitacijos paslaugų teikimo koncepcijos patvirtinimo</w:t>
      </w:r>
    </w:p>
  </w:footnote>
  <w:footnote w:id="20">
    <w:p w:rsidR="004F7425" w:rsidRDefault="004F7425" w:rsidP="00DD08F5">
      <w:pPr>
        <w:pStyle w:val="Puslapioinaostekstas"/>
      </w:pPr>
      <w:r>
        <w:rPr>
          <w:rStyle w:val="Puslapioinaosnuoroda"/>
        </w:rPr>
        <w:footnoteRef/>
      </w:r>
      <w:r>
        <w:t xml:space="preserve"> Ir siekiama , kad vertinimas būtu taikomas visiems rizikos grupės vaikams. </w:t>
      </w:r>
    </w:p>
  </w:footnote>
  <w:footnote w:id="21">
    <w:p w:rsidR="004F7425" w:rsidRDefault="004F7425" w:rsidP="00DD08F5">
      <w:pPr>
        <w:pStyle w:val="Puslapioinaostekstas"/>
      </w:pPr>
      <w:r>
        <w:rPr>
          <w:rStyle w:val="Puslapioinaosnuoroda"/>
        </w:rPr>
        <w:footnoteRef/>
      </w:r>
      <w:r>
        <w:t xml:space="preserve"> Kalėjimų departamento prie TM informacija</w:t>
      </w:r>
    </w:p>
  </w:footnote>
  <w:footnote w:id="22">
    <w:p w:rsidR="004F7425" w:rsidRDefault="004F7425" w:rsidP="00DD08F5">
      <w:pPr>
        <w:pStyle w:val="Puslapioinaostekstas"/>
      </w:pPr>
      <w:r>
        <w:rPr>
          <w:rStyle w:val="Puslapioinaosnuoroda"/>
        </w:rPr>
        <w:footnoteRef/>
      </w:r>
      <w:r>
        <w:t xml:space="preserve"> </w:t>
      </w:r>
      <w:r>
        <w:rPr>
          <w:i/>
        </w:rPr>
        <w:t>Muitinės kriminalinės tarnybos informacija</w:t>
      </w:r>
    </w:p>
  </w:footnote>
  <w:footnote w:id="23">
    <w:p w:rsidR="004F7425" w:rsidRDefault="004F7425" w:rsidP="00DD08F5">
      <w:pPr>
        <w:pStyle w:val="Puslapioinaostekstas"/>
      </w:pPr>
      <w:r>
        <w:rPr>
          <w:rStyle w:val="Puslapioinaosnuoroda"/>
        </w:rPr>
        <w:footnoteRef/>
      </w:r>
      <w:r>
        <w:t xml:space="preserve"> ES kovos su narkotikais strategija 2005-2012 m. (dok. 15074/04, Cordrogue 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25" w:rsidRDefault="004F7425">
    <w:pPr>
      <w:pStyle w:val="Antrat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25" w:rsidRDefault="004F7425">
    <w:pPr>
      <w:widowControl w:val="0"/>
      <w:autoSpaceDE w:val="0"/>
      <w:autoSpaceDN w:val="0"/>
      <w:adjustRightInd w:val="0"/>
      <w:spacing w:line="200" w:lineRule="exact"/>
      <w:rPr>
        <w:sz w:val="20"/>
      </w:rPr>
    </w:pPr>
    <w:r>
      <w:rPr>
        <w:noProof/>
        <w:lang w:eastAsia="lt-LT"/>
      </w:rPr>
      <mc:AlternateContent>
        <mc:Choice Requires="wps">
          <w:drawing>
            <wp:anchor distT="0" distB="0" distL="114300" distR="114300" simplePos="0" relativeHeight="251659264" behindDoc="1" locked="0" layoutInCell="0" allowOverlap="1">
              <wp:simplePos x="0" y="0"/>
              <wp:positionH relativeFrom="page">
                <wp:posOffset>4088130</wp:posOffset>
              </wp:positionH>
              <wp:positionV relativeFrom="page">
                <wp:posOffset>453390</wp:posOffset>
              </wp:positionV>
              <wp:extent cx="101600" cy="177800"/>
              <wp:effectExtent l="1905" t="0" r="1270" b="0"/>
              <wp:wrapNone/>
              <wp:docPr id="404" name="Teksto laukas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pPr>
                            <w:widowControl w:val="0"/>
                            <w:autoSpaceDE w:val="0"/>
                            <w:autoSpaceDN w:val="0"/>
                            <w:adjustRightInd w:val="0"/>
                            <w:spacing w:line="265" w:lineRule="exact"/>
                            <w:ind w:left="20" w:right="-5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o laukas 404" o:spid="_x0000_s1161" type="#_x0000_t202" style="position:absolute;margin-left:321.9pt;margin-top:35.7pt;width:8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" o:allowincell="f" filled="f" stroked="f">
              <v:textbox inset="0,0,0,0">
                <w:txbxContent>
                  <w:p w:rsidR="004F7425" w:rsidRDefault="004F7425">
                    <w:pPr>
                      <w:widowControl w:val="0"/>
                      <w:autoSpaceDE w:val="0"/>
                      <w:autoSpaceDN w:val="0"/>
                      <w:adjustRightInd w:val="0"/>
                      <w:spacing w:line="265" w:lineRule="exact"/>
                      <w:ind w:left="20" w:right="-56"/>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25" w:rsidRDefault="004F7425">
    <w:pPr>
      <w:widowControl w:val="0"/>
      <w:autoSpaceDE w:val="0"/>
      <w:autoSpaceDN w:val="0"/>
      <w:adjustRightInd w:val="0"/>
      <w:spacing w:line="200" w:lineRule="exact"/>
      <w:rPr>
        <w:sz w:val="20"/>
      </w:rPr>
    </w:pPr>
    <w:r>
      <w:rPr>
        <w:noProof/>
        <w:lang w:eastAsia="lt-LT"/>
      </w:rPr>
      <mc:AlternateContent>
        <mc:Choice Requires="wps">
          <w:drawing>
            <wp:anchor distT="0" distB="0" distL="114300" distR="114300" simplePos="0" relativeHeight="251660288" behindDoc="1" locked="0" layoutInCell="0" allowOverlap="1">
              <wp:simplePos x="0" y="0"/>
              <wp:positionH relativeFrom="page">
                <wp:posOffset>4039235</wp:posOffset>
              </wp:positionH>
              <wp:positionV relativeFrom="page">
                <wp:posOffset>453390</wp:posOffset>
              </wp:positionV>
              <wp:extent cx="203200" cy="177800"/>
              <wp:effectExtent l="635" t="0" r="0" b="0"/>
              <wp:wrapNone/>
              <wp:docPr id="403" name="Teksto laukas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425" w:rsidRDefault="004F7425">
                          <w:pPr>
                            <w:widowControl w:val="0"/>
                            <w:autoSpaceDE w:val="0"/>
                            <w:autoSpaceDN w:val="0"/>
                            <w:adjustRightInd w:val="0"/>
                            <w:spacing w:line="265" w:lineRule="exact"/>
                            <w:ind w:left="40" w:righ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o laukas 403" o:spid="_x0000_s1162" type="#_x0000_t202" style="position:absolute;margin-left:318.05pt;margin-top:35.7pt;width:16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" o:allowincell="f" filled="f" stroked="f">
              <v:textbox inset="0,0,0,0">
                <w:txbxContent>
                  <w:p w:rsidR="004F7425" w:rsidRDefault="004F7425">
                    <w:pPr>
                      <w:widowControl w:val="0"/>
                      <w:autoSpaceDE w:val="0"/>
                      <w:autoSpaceDN w:val="0"/>
                      <w:adjustRightInd w:val="0"/>
                      <w:spacing w:line="265" w:lineRule="exact"/>
                      <w:ind w:left="40" w:right="-20"/>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425" w:rsidRDefault="004F7425">
    <w:pPr>
      <w:pStyle w:val="Antrats"/>
      <w:jc w:val="center"/>
    </w:pPr>
  </w:p>
  <w:p w:rsidR="004F7425" w:rsidRDefault="004F7425">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C2B12"/>
    <w:multiLevelType w:val="hybridMultilevel"/>
    <w:tmpl w:val="E2A0DAB0"/>
    <w:lvl w:ilvl="0" w:tplc="2EB8C7E4">
      <w:start w:val="1"/>
      <w:numFmt w:val="bullet"/>
      <w:lvlText w:val=""/>
      <w:lvlJc w:val="left"/>
      <w:pPr>
        <w:tabs>
          <w:tab w:val="num" w:pos="1080"/>
        </w:tabs>
        <w:ind w:left="1080" w:hanging="360"/>
      </w:pPr>
      <w:rPr>
        <w:rFonts w:ascii="Wingdings" w:hAnsi="Wingdings" w:hint="default"/>
        <w:color w:val="auto"/>
      </w:rPr>
    </w:lvl>
    <w:lvl w:ilvl="1" w:tplc="25440EC2">
      <w:start w:val="1"/>
      <w:numFmt w:val="bullet"/>
      <w:lvlText w:val=""/>
      <w:lvlJc w:val="left"/>
      <w:pPr>
        <w:tabs>
          <w:tab w:val="num" w:pos="1440"/>
        </w:tabs>
        <w:ind w:left="1440" w:hanging="360"/>
      </w:pPr>
      <w:rPr>
        <w:rFonts w:ascii="Wingdings" w:hAnsi="Wingding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C1562D"/>
    <w:multiLevelType w:val="hybridMultilevel"/>
    <w:tmpl w:val="95009ED2"/>
    <w:lvl w:ilvl="0" w:tplc="CD4C67C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EA71AD"/>
    <w:multiLevelType w:val="multilevel"/>
    <w:tmpl w:val="B65E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D74CB"/>
    <w:multiLevelType w:val="hybridMultilevel"/>
    <w:tmpl w:val="B79A30F4"/>
    <w:lvl w:ilvl="0" w:tplc="FFFFFFFF">
      <w:start w:val="1"/>
      <w:numFmt w:val="bullet"/>
      <w:lvlText w:val=""/>
      <w:lvlJc w:val="left"/>
      <w:pPr>
        <w:tabs>
          <w:tab w:val="num" w:pos="1980"/>
        </w:tabs>
        <w:ind w:left="1980" w:hanging="360"/>
      </w:pPr>
      <w:rPr>
        <w:rFonts w:ascii="Wingdings" w:hAnsi="Wingdings" w:hint="default"/>
      </w:rPr>
    </w:lvl>
    <w:lvl w:ilvl="1" w:tplc="FFFFFFFF" w:tentative="1">
      <w:start w:val="1"/>
      <w:numFmt w:val="bullet"/>
      <w:lvlText w:val="o"/>
      <w:lvlJc w:val="left"/>
      <w:pPr>
        <w:tabs>
          <w:tab w:val="num" w:pos="2700"/>
        </w:tabs>
        <w:ind w:left="2700" w:hanging="360"/>
      </w:pPr>
      <w:rPr>
        <w:rFonts w:ascii="Courier New" w:hAnsi="Courier New" w:cs="Wingdings" w:hint="default"/>
      </w:rPr>
    </w:lvl>
    <w:lvl w:ilvl="2" w:tplc="FFFFFFFF" w:tentative="1">
      <w:start w:val="1"/>
      <w:numFmt w:val="bullet"/>
      <w:lvlText w:val=""/>
      <w:lvlJc w:val="left"/>
      <w:pPr>
        <w:tabs>
          <w:tab w:val="num" w:pos="3420"/>
        </w:tabs>
        <w:ind w:left="3420" w:hanging="360"/>
      </w:pPr>
      <w:rPr>
        <w:rFonts w:ascii="Wingdings" w:hAnsi="Wingdings" w:hint="default"/>
      </w:rPr>
    </w:lvl>
    <w:lvl w:ilvl="3" w:tplc="FFFFFFFF" w:tentative="1">
      <w:start w:val="1"/>
      <w:numFmt w:val="bullet"/>
      <w:lvlText w:val=""/>
      <w:lvlJc w:val="left"/>
      <w:pPr>
        <w:tabs>
          <w:tab w:val="num" w:pos="4140"/>
        </w:tabs>
        <w:ind w:left="4140" w:hanging="360"/>
      </w:pPr>
      <w:rPr>
        <w:rFonts w:ascii="Symbol" w:hAnsi="Symbol" w:hint="default"/>
      </w:rPr>
    </w:lvl>
    <w:lvl w:ilvl="4" w:tplc="FFFFFFFF" w:tentative="1">
      <w:start w:val="1"/>
      <w:numFmt w:val="bullet"/>
      <w:lvlText w:val="o"/>
      <w:lvlJc w:val="left"/>
      <w:pPr>
        <w:tabs>
          <w:tab w:val="num" w:pos="4860"/>
        </w:tabs>
        <w:ind w:left="4860" w:hanging="360"/>
      </w:pPr>
      <w:rPr>
        <w:rFonts w:ascii="Courier New" w:hAnsi="Courier New" w:cs="Wingdings" w:hint="default"/>
      </w:rPr>
    </w:lvl>
    <w:lvl w:ilvl="5" w:tplc="FFFFFFFF" w:tentative="1">
      <w:start w:val="1"/>
      <w:numFmt w:val="bullet"/>
      <w:lvlText w:val=""/>
      <w:lvlJc w:val="left"/>
      <w:pPr>
        <w:tabs>
          <w:tab w:val="num" w:pos="5580"/>
        </w:tabs>
        <w:ind w:left="5580" w:hanging="360"/>
      </w:pPr>
      <w:rPr>
        <w:rFonts w:ascii="Wingdings" w:hAnsi="Wingdings" w:hint="default"/>
      </w:rPr>
    </w:lvl>
    <w:lvl w:ilvl="6" w:tplc="FFFFFFFF" w:tentative="1">
      <w:start w:val="1"/>
      <w:numFmt w:val="bullet"/>
      <w:lvlText w:val=""/>
      <w:lvlJc w:val="left"/>
      <w:pPr>
        <w:tabs>
          <w:tab w:val="num" w:pos="6300"/>
        </w:tabs>
        <w:ind w:left="6300" w:hanging="360"/>
      </w:pPr>
      <w:rPr>
        <w:rFonts w:ascii="Symbol" w:hAnsi="Symbol" w:hint="default"/>
      </w:rPr>
    </w:lvl>
    <w:lvl w:ilvl="7" w:tplc="FFFFFFFF" w:tentative="1">
      <w:start w:val="1"/>
      <w:numFmt w:val="bullet"/>
      <w:lvlText w:val="o"/>
      <w:lvlJc w:val="left"/>
      <w:pPr>
        <w:tabs>
          <w:tab w:val="num" w:pos="7020"/>
        </w:tabs>
        <w:ind w:left="7020" w:hanging="360"/>
      </w:pPr>
      <w:rPr>
        <w:rFonts w:ascii="Courier New" w:hAnsi="Courier New" w:cs="Wingdings" w:hint="default"/>
      </w:rPr>
    </w:lvl>
    <w:lvl w:ilvl="8" w:tplc="FFFFFFFF" w:tentative="1">
      <w:start w:val="1"/>
      <w:numFmt w:val="bullet"/>
      <w:lvlText w:val=""/>
      <w:lvlJc w:val="left"/>
      <w:pPr>
        <w:tabs>
          <w:tab w:val="num" w:pos="7740"/>
        </w:tabs>
        <w:ind w:left="7740" w:hanging="360"/>
      </w:pPr>
      <w:rPr>
        <w:rFonts w:ascii="Wingdings" w:hAnsi="Wingdings" w:hint="default"/>
      </w:rPr>
    </w:lvl>
  </w:abstractNum>
  <w:abstractNum w:abstractNumId="4">
    <w:nsid w:val="075A4033"/>
    <w:multiLevelType w:val="hybridMultilevel"/>
    <w:tmpl w:val="3DC4D164"/>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
      <w:lvlJc w:val="left"/>
      <w:pPr>
        <w:tabs>
          <w:tab w:val="num" w:pos="2160"/>
        </w:tabs>
        <w:ind w:left="2160" w:hanging="360"/>
      </w:pPr>
      <w:rPr>
        <w:rFonts w:ascii="Symbol" w:hAnsi="Symbol" w:hint="default"/>
        <w:color w:val="auto"/>
      </w:rPr>
    </w:lvl>
    <w:lvl w:ilvl="2" w:tplc="FFFFFFFF" w:tentative="1">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
    <w:nsid w:val="07905F46"/>
    <w:multiLevelType w:val="hybridMultilevel"/>
    <w:tmpl w:val="C4520178"/>
    <w:lvl w:ilvl="0" w:tplc="A78E5C18">
      <w:start w:val="1"/>
      <w:numFmt w:val="bullet"/>
      <w:lvlText w:val=""/>
      <w:lvlJc w:val="left"/>
      <w:pPr>
        <w:tabs>
          <w:tab w:val="num" w:pos="1080"/>
        </w:tabs>
        <w:ind w:left="1080" w:hanging="360"/>
      </w:pPr>
      <w:rPr>
        <w:rFonts w:ascii="Wingdings" w:hAnsi="Wingdings" w:hint="default"/>
        <w:color w:val="auto"/>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nsid w:val="07EC087D"/>
    <w:multiLevelType w:val="hybridMultilevel"/>
    <w:tmpl w:val="D0D2C6BA"/>
    <w:lvl w:ilvl="0" w:tplc="A192E3FC">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nsid w:val="084330D5"/>
    <w:multiLevelType w:val="hybridMultilevel"/>
    <w:tmpl w:val="2542CF3E"/>
    <w:lvl w:ilvl="0" w:tplc="25440EC2">
      <w:start w:val="1"/>
      <w:numFmt w:val="bullet"/>
      <w:lvlText w:val=""/>
      <w:lvlJc w:val="left"/>
      <w:pPr>
        <w:tabs>
          <w:tab w:val="num" w:pos="1080"/>
        </w:tabs>
        <w:ind w:left="108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AFD4709"/>
    <w:multiLevelType w:val="hybridMultilevel"/>
    <w:tmpl w:val="D9BEF0BE"/>
    <w:lvl w:ilvl="0" w:tplc="CD4C67C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CF71388"/>
    <w:multiLevelType w:val="hybridMultilevel"/>
    <w:tmpl w:val="EEE2F56E"/>
    <w:lvl w:ilvl="0" w:tplc="0427000F">
      <w:start w:val="1"/>
      <w:numFmt w:val="decimal"/>
      <w:lvlText w:val="%1."/>
      <w:lvlJc w:val="left"/>
      <w:pPr>
        <w:tabs>
          <w:tab w:val="num" w:pos="480"/>
        </w:tabs>
        <w:ind w:left="480" w:hanging="360"/>
      </w:pPr>
      <w:rPr>
        <w:rFonts w:hint="default"/>
      </w:rPr>
    </w:lvl>
    <w:lvl w:ilvl="1" w:tplc="04090003" w:tentative="1">
      <w:start w:val="1"/>
      <w:numFmt w:val="bullet"/>
      <w:lvlText w:val="o"/>
      <w:lvlJc w:val="left"/>
      <w:pPr>
        <w:tabs>
          <w:tab w:val="num" w:pos="1363"/>
        </w:tabs>
        <w:ind w:left="1363" w:hanging="360"/>
      </w:pPr>
      <w:rPr>
        <w:rFonts w:ascii="Courier New" w:hAnsi="Courier New" w:cs="Courier New" w:hint="default"/>
      </w:rPr>
    </w:lvl>
    <w:lvl w:ilvl="2" w:tplc="04090005" w:tentative="1">
      <w:start w:val="1"/>
      <w:numFmt w:val="bullet"/>
      <w:lvlText w:val=""/>
      <w:lvlJc w:val="left"/>
      <w:pPr>
        <w:tabs>
          <w:tab w:val="num" w:pos="2083"/>
        </w:tabs>
        <w:ind w:left="2083" w:hanging="360"/>
      </w:pPr>
      <w:rPr>
        <w:rFonts w:ascii="Wingdings" w:hAnsi="Wingdings" w:hint="default"/>
      </w:rPr>
    </w:lvl>
    <w:lvl w:ilvl="3" w:tplc="04090001" w:tentative="1">
      <w:start w:val="1"/>
      <w:numFmt w:val="bullet"/>
      <w:lvlText w:val=""/>
      <w:lvlJc w:val="left"/>
      <w:pPr>
        <w:tabs>
          <w:tab w:val="num" w:pos="2803"/>
        </w:tabs>
        <w:ind w:left="2803" w:hanging="360"/>
      </w:pPr>
      <w:rPr>
        <w:rFonts w:ascii="Symbol" w:hAnsi="Symbol" w:hint="default"/>
      </w:rPr>
    </w:lvl>
    <w:lvl w:ilvl="4" w:tplc="04090003" w:tentative="1">
      <w:start w:val="1"/>
      <w:numFmt w:val="bullet"/>
      <w:lvlText w:val="o"/>
      <w:lvlJc w:val="left"/>
      <w:pPr>
        <w:tabs>
          <w:tab w:val="num" w:pos="3523"/>
        </w:tabs>
        <w:ind w:left="3523" w:hanging="360"/>
      </w:pPr>
      <w:rPr>
        <w:rFonts w:ascii="Courier New" w:hAnsi="Courier New" w:cs="Courier New" w:hint="default"/>
      </w:rPr>
    </w:lvl>
    <w:lvl w:ilvl="5" w:tplc="04090005" w:tentative="1">
      <w:start w:val="1"/>
      <w:numFmt w:val="bullet"/>
      <w:lvlText w:val=""/>
      <w:lvlJc w:val="left"/>
      <w:pPr>
        <w:tabs>
          <w:tab w:val="num" w:pos="4243"/>
        </w:tabs>
        <w:ind w:left="4243" w:hanging="360"/>
      </w:pPr>
      <w:rPr>
        <w:rFonts w:ascii="Wingdings" w:hAnsi="Wingdings" w:hint="default"/>
      </w:rPr>
    </w:lvl>
    <w:lvl w:ilvl="6" w:tplc="04090001" w:tentative="1">
      <w:start w:val="1"/>
      <w:numFmt w:val="bullet"/>
      <w:lvlText w:val=""/>
      <w:lvlJc w:val="left"/>
      <w:pPr>
        <w:tabs>
          <w:tab w:val="num" w:pos="4963"/>
        </w:tabs>
        <w:ind w:left="4963" w:hanging="360"/>
      </w:pPr>
      <w:rPr>
        <w:rFonts w:ascii="Symbol" w:hAnsi="Symbol" w:hint="default"/>
      </w:rPr>
    </w:lvl>
    <w:lvl w:ilvl="7" w:tplc="04090003" w:tentative="1">
      <w:start w:val="1"/>
      <w:numFmt w:val="bullet"/>
      <w:lvlText w:val="o"/>
      <w:lvlJc w:val="left"/>
      <w:pPr>
        <w:tabs>
          <w:tab w:val="num" w:pos="5683"/>
        </w:tabs>
        <w:ind w:left="5683" w:hanging="360"/>
      </w:pPr>
      <w:rPr>
        <w:rFonts w:ascii="Courier New" w:hAnsi="Courier New" w:cs="Courier New" w:hint="default"/>
      </w:rPr>
    </w:lvl>
    <w:lvl w:ilvl="8" w:tplc="04090005" w:tentative="1">
      <w:start w:val="1"/>
      <w:numFmt w:val="bullet"/>
      <w:lvlText w:val=""/>
      <w:lvlJc w:val="left"/>
      <w:pPr>
        <w:tabs>
          <w:tab w:val="num" w:pos="6403"/>
        </w:tabs>
        <w:ind w:left="6403" w:hanging="360"/>
      </w:pPr>
      <w:rPr>
        <w:rFonts w:ascii="Wingdings" w:hAnsi="Wingdings" w:hint="default"/>
      </w:rPr>
    </w:lvl>
  </w:abstractNum>
  <w:abstractNum w:abstractNumId="10">
    <w:nsid w:val="1067785D"/>
    <w:multiLevelType w:val="hybridMultilevel"/>
    <w:tmpl w:val="D3EC9F2C"/>
    <w:lvl w:ilvl="0" w:tplc="C152107E">
      <w:start w:val="1"/>
      <w:numFmt w:val="bullet"/>
      <w:lvlText w:val=""/>
      <w:lvlJc w:val="left"/>
      <w:pPr>
        <w:tabs>
          <w:tab w:val="num" w:pos="2220"/>
        </w:tabs>
        <w:ind w:left="22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0A83D35"/>
    <w:multiLevelType w:val="hybridMultilevel"/>
    <w:tmpl w:val="15D4DC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13B4171B"/>
    <w:multiLevelType w:val="hybridMultilevel"/>
    <w:tmpl w:val="8AF8F6FA"/>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995"/>
        </w:tabs>
        <w:ind w:left="1995" w:hanging="915"/>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71F3B85"/>
    <w:multiLevelType w:val="hybridMultilevel"/>
    <w:tmpl w:val="45460804"/>
    <w:lvl w:ilvl="0" w:tplc="CD4C67C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7524F02"/>
    <w:multiLevelType w:val="hybridMultilevel"/>
    <w:tmpl w:val="852EDD78"/>
    <w:lvl w:ilvl="0" w:tplc="DCB22A2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192B3479"/>
    <w:multiLevelType w:val="hybridMultilevel"/>
    <w:tmpl w:val="7284D5DA"/>
    <w:lvl w:ilvl="0" w:tplc="CD4C67C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A0F69BB"/>
    <w:multiLevelType w:val="hybridMultilevel"/>
    <w:tmpl w:val="A3AED7B8"/>
    <w:lvl w:ilvl="0" w:tplc="26E0E3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nsid w:val="20E93F61"/>
    <w:multiLevelType w:val="hybridMultilevel"/>
    <w:tmpl w:val="1174D32A"/>
    <w:lvl w:ilvl="0" w:tplc="FFFFFFFF">
      <w:start w:val="1"/>
      <w:numFmt w:val="bullet"/>
      <w:lvlText w:val=""/>
      <w:lvlJc w:val="left"/>
      <w:pPr>
        <w:tabs>
          <w:tab w:val="num" w:pos="780"/>
        </w:tabs>
        <w:ind w:left="780" w:hanging="360"/>
      </w:pPr>
      <w:rPr>
        <w:rFonts w:ascii="Wingdings" w:hAnsi="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8">
    <w:nsid w:val="250565F2"/>
    <w:multiLevelType w:val="hybridMultilevel"/>
    <w:tmpl w:val="EE5E2E7A"/>
    <w:lvl w:ilvl="0" w:tplc="774ABE1C">
      <w:start w:val="1"/>
      <w:numFmt w:val="decimal"/>
      <w:lvlText w:val="%1."/>
      <w:lvlJc w:val="left"/>
      <w:pPr>
        <w:ind w:left="660" w:hanging="360"/>
      </w:pPr>
      <w:rPr>
        <w:rFonts w:eastAsia="Times New Roman" w:hint="default"/>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9">
    <w:nsid w:val="2A8B4808"/>
    <w:multiLevelType w:val="hybridMultilevel"/>
    <w:tmpl w:val="450A15AA"/>
    <w:lvl w:ilvl="0" w:tplc="7BA4BF3C">
      <w:start w:val="1"/>
      <w:numFmt w:val="bullet"/>
      <w:lvlText w:val="•"/>
      <w:lvlJc w:val="left"/>
      <w:pPr>
        <w:tabs>
          <w:tab w:val="num" w:pos="720"/>
        </w:tabs>
        <w:ind w:left="720" w:hanging="360"/>
      </w:pPr>
      <w:rPr>
        <w:rFonts w:ascii="Times New Roman" w:hAnsi="Times New Roman" w:hint="default"/>
      </w:rPr>
    </w:lvl>
    <w:lvl w:ilvl="1" w:tplc="EB4E922E" w:tentative="1">
      <w:start w:val="1"/>
      <w:numFmt w:val="bullet"/>
      <w:lvlText w:val="•"/>
      <w:lvlJc w:val="left"/>
      <w:pPr>
        <w:tabs>
          <w:tab w:val="num" w:pos="1440"/>
        </w:tabs>
        <w:ind w:left="1440" w:hanging="360"/>
      </w:pPr>
      <w:rPr>
        <w:rFonts w:ascii="Times New Roman" w:hAnsi="Times New Roman" w:hint="default"/>
      </w:rPr>
    </w:lvl>
    <w:lvl w:ilvl="2" w:tplc="53763AE6" w:tentative="1">
      <w:start w:val="1"/>
      <w:numFmt w:val="bullet"/>
      <w:lvlText w:val="•"/>
      <w:lvlJc w:val="left"/>
      <w:pPr>
        <w:tabs>
          <w:tab w:val="num" w:pos="2160"/>
        </w:tabs>
        <w:ind w:left="2160" w:hanging="360"/>
      </w:pPr>
      <w:rPr>
        <w:rFonts w:ascii="Times New Roman" w:hAnsi="Times New Roman" w:hint="default"/>
      </w:rPr>
    </w:lvl>
    <w:lvl w:ilvl="3" w:tplc="F0AECC40" w:tentative="1">
      <w:start w:val="1"/>
      <w:numFmt w:val="bullet"/>
      <w:lvlText w:val="•"/>
      <w:lvlJc w:val="left"/>
      <w:pPr>
        <w:tabs>
          <w:tab w:val="num" w:pos="2880"/>
        </w:tabs>
        <w:ind w:left="2880" w:hanging="360"/>
      </w:pPr>
      <w:rPr>
        <w:rFonts w:ascii="Times New Roman" w:hAnsi="Times New Roman" w:hint="default"/>
      </w:rPr>
    </w:lvl>
    <w:lvl w:ilvl="4" w:tplc="2C981104" w:tentative="1">
      <w:start w:val="1"/>
      <w:numFmt w:val="bullet"/>
      <w:lvlText w:val="•"/>
      <w:lvlJc w:val="left"/>
      <w:pPr>
        <w:tabs>
          <w:tab w:val="num" w:pos="3600"/>
        </w:tabs>
        <w:ind w:left="3600" w:hanging="360"/>
      </w:pPr>
      <w:rPr>
        <w:rFonts w:ascii="Times New Roman" w:hAnsi="Times New Roman" w:hint="default"/>
      </w:rPr>
    </w:lvl>
    <w:lvl w:ilvl="5" w:tplc="44840C36" w:tentative="1">
      <w:start w:val="1"/>
      <w:numFmt w:val="bullet"/>
      <w:lvlText w:val="•"/>
      <w:lvlJc w:val="left"/>
      <w:pPr>
        <w:tabs>
          <w:tab w:val="num" w:pos="4320"/>
        </w:tabs>
        <w:ind w:left="4320" w:hanging="360"/>
      </w:pPr>
      <w:rPr>
        <w:rFonts w:ascii="Times New Roman" w:hAnsi="Times New Roman" w:hint="default"/>
      </w:rPr>
    </w:lvl>
    <w:lvl w:ilvl="6" w:tplc="DECA85D4" w:tentative="1">
      <w:start w:val="1"/>
      <w:numFmt w:val="bullet"/>
      <w:lvlText w:val="•"/>
      <w:lvlJc w:val="left"/>
      <w:pPr>
        <w:tabs>
          <w:tab w:val="num" w:pos="5040"/>
        </w:tabs>
        <w:ind w:left="5040" w:hanging="360"/>
      </w:pPr>
      <w:rPr>
        <w:rFonts w:ascii="Times New Roman" w:hAnsi="Times New Roman" w:hint="default"/>
      </w:rPr>
    </w:lvl>
    <w:lvl w:ilvl="7" w:tplc="7F767356" w:tentative="1">
      <w:start w:val="1"/>
      <w:numFmt w:val="bullet"/>
      <w:lvlText w:val="•"/>
      <w:lvlJc w:val="left"/>
      <w:pPr>
        <w:tabs>
          <w:tab w:val="num" w:pos="5760"/>
        </w:tabs>
        <w:ind w:left="5760" w:hanging="360"/>
      </w:pPr>
      <w:rPr>
        <w:rFonts w:ascii="Times New Roman" w:hAnsi="Times New Roman" w:hint="default"/>
      </w:rPr>
    </w:lvl>
    <w:lvl w:ilvl="8" w:tplc="035AF790"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B395F2D"/>
    <w:multiLevelType w:val="hybridMultilevel"/>
    <w:tmpl w:val="263C449C"/>
    <w:lvl w:ilvl="0" w:tplc="25440EC2">
      <w:start w:val="1"/>
      <w:numFmt w:val="bullet"/>
      <w:lvlText w:val=""/>
      <w:lvlJc w:val="left"/>
      <w:pPr>
        <w:tabs>
          <w:tab w:val="num" w:pos="1800"/>
        </w:tabs>
        <w:ind w:left="1800" w:hanging="360"/>
      </w:pPr>
      <w:rPr>
        <w:rFonts w:ascii="Wingdings" w:hAnsi="Wingdings" w:hint="default"/>
        <w:color w:val="auto"/>
      </w:rPr>
    </w:lvl>
    <w:lvl w:ilvl="1" w:tplc="2EB8C7E4">
      <w:start w:val="1"/>
      <w:numFmt w:val="bullet"/>
      <w:lvlText w:val=""/>
      <w:lvlJc w:val="left"/>
      <w:pPr>
        <w:tabs>
          <w:tab w:val="num" w:pos="2160"/>
        </w:tabs>
        <w:ind w:left="2160" w:hanging="360"/>
      </w:pPr>
      <w:rPr>
        <w:rFonts w:ascii="Wingdings" w:hAnsi="Wingding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2BB33F62"/>
    <w:multiLevelType w:val="hybridMultilevel"/>
    <w:tmpl w:val="AB10F30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2DE271BD"/>
    <w:multiLevelType w:val="hybridMultilevel"/>
    <w:tmpl w:val="17CE9826"/>
    <w:lvl w:ilvl="0" w:tplc="258247C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3">
    <w:nsid w:val="2E762963"/>
    <w:multiLevelType w:val="hybridMultilevel"/>
    <w:tmpl w:val="17187306"/>
    <w:lvl w:ilvl="0" w:tplc="56EE46F6">
      <w:start w:val="1"/>
      <w:numFmt w:val="bullet"/>
      <w:lvlText w:val=""/>
      <w:lvlJc w:val="left"/>
      <w:pPr>
        <w:tabs>
          <w:tab w:val="num" w:pos="1080"/>
        </w:tabs>
        <w:ind w:left="1080" w:hanging="360"/>
      </w:pPr>
      <w:rPr>
        <w:rFonts w:ascii="Wingdings" w:hAnsi="Wingdings" w:hint="default"/>
      </w:rPr>
    </w:lvl>
    <w:lvl w:ilvl="1" w:tplc="25440EC2">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FDC363E"/>
    <w:multiLevelType w:val="hybridMultilevel"/>
    <w:tmpl w:val="9ADA4374"/>
    <w:lvl w:ilvl="0" w:tplc="98D242A2">
      <w:start w:val="1"/>
      <w:numFmt w:val="bullet"/>
      <w:lvlText w:val="•"/>
      <w:lvlJc w:val="left"/>
      <w:pPr>
        <w:tabs>
          <w:tab w:val="num" w:pos="360"/>
        </w:tabs>
        <w:ind w:left="360" w:hanging="360"/>
      </w:pPr>
      <w:rPr>
        <w:rFonts w:ascii="Verdana" w:hAnsi="Verdana" w:hint="default"/>
        <w:color w:val="auto"/>
      </w:rPr>
    </w:lvl>
    <w:lvl w:ilvl="1" w:tplc="04090003">
      <w:start w:val="1"/>
      <w:numFmt w:val="bullet"/>
      <w:lvlText w:val="o"/>
      <w:lvlJc w:val="left"/>
      <w:pPr>
        <w:tabs>
          <w:tab w:val="num" w:pos="-636"/>
        </w:tabs>
        <w:ind w:left="-636" w:hanging="360"/>
      </w:pPr>
      <w:rPr>
        <w:rFonts w:ascii="Courier New" w:hAnsi="Courier New" w:cs="Courier New" w:hint="default"/>
      </w:rPr>
    </w:lvl>
    <w:lvl w:ilvl="2" w:tplc="04090005">
      <w:start w:val="1"/>
      <w:numFmt w:val="bullet"/>
      <w:lvlText w:val=""/>
      <w:lvlJc w:val="left"/>
      <w:pPr>
        <w:tabs>
          <w:tab w:val="num" w:pos="84"/>
        </w:tabs>
        <w:ind w:left="84" w:hanging="360"/>
      </w:pPr>
      <w:rPr>
        <w:rFonts w:ascii="Wingdings" w:hAnsi="Wingdings" w:hint="default"/>
        <w:color w:val="auto"/>
      </w:rPr>
    </w:lvl>
    <w:lvl w:ilvl="3" w:tplc="04090001" w:tentative="1">
      <w:start w:val="1"/>
      <w:numFmt w:val="bullet"/>
      <w:lvlText w:val=""/>
      <w:lvlJc w:val="left"/>
      <w:pPr>
        <w:tabs>
          <w:tab w:val="num" w:pos="804"/>
        </w:tabs>
        <w:ind w:left="804" w:hanging="360"/>
      </w:pPr>
      <w:rPr>
        <w:rFonts w:ascii="Symbol" w:hAnsi="Symbol" w:hint="default"/>
      </w:rPr>
    </w:lvl>
    <w:lvl w:ilvl="4" w:tplc="04090003" w:tentative="1">
      <w:start w:val="1"/>
      <w:numFmt w:val="bullet"/>
      <w:lvlText w:val="o"/>
      <w:lvlJc w:val="left"/>
      <w:pPr>
        <w:tabs>
          <w:tab w:val="num" w:pos="1524"/>
        </w:tabs>
        <w:ind w:left="1524" w:hanging="360"/>
      </w:pPr>
      <w:rPr>
        <w:rFonts w:ascii="Courier New" w:hAnsi="Courier New" w:cs="Courier New" w:hint="default"/>
      </w:rPr>
    </w:lvl>
    <w:lvl w:ilvl="5" w:tplc="04090005" w:tentative="1">
      <w:start w:val="1"/>
      <w:numFmt w:val="bullet"/>
      <w:lvlText w:val=""/>
      <w:lvlJc w:val="left"/>
      <w:pPr>
        <w:tabs>
          <w:tab w:val="num" w:pos="2244"/>
        </w:tabs>
        <w:ind w:left="2244" w:hanging="360"/>
      </w:pPr>
      <w:rPr>
        <w:rFonts w:ascii="Wingdings" w:hAnsi="Wingdings" w:hint="default"/>
      </w:rPr>
    </w:lvl>
    <w:lvl w:ilvl="6" w:tplc="04090001" w:tentative="1">
      <w:start w:val="1"/>
      <w:numFmt w:val="bullet"/>
      <w:lvlText w:val=""/>
      <w:lvlJc w:val="left"/>
      <w:pPr>
        <w:tabs>
          <w:tab w:val="num" w:pos="2964"/>
        </w:tabs>
        <w:ind w:left="2964" w:hanging="360"/>
      </w:pPr>
      <w:rPr>
        <w:rFonts w:ascii="Symbol" w:hAnsi="Symbol" w:hint="default"/>
      </w:rPr>
    </w:lvl>
    <w:lvl w:ilvl="7" w:tplc="04090003" w:tentative="1">
      <w:start w:val="1"/>
      <w:numFmt w:val="bullet"/>
      <w:lvlText w:val="o"/>
      <w:lvlJc w:val="left"/>
      <w:pPr>
        <w:tabs>
          <w:tab w:val="num" w:pos="3684"/>
        </w:tabs>
        <w:ind w:left="3684" w:hanging="360"/>
      </w:pPr>
      <w:rPr>
        <w:rFonts w:ascii="Courier New" w:hAnsi="Courier New" w:cs="Courier New" w:hint="default"/>
      </w:rPr>
    </w:lvl>
    <w:lvl w:ilvl="8" w:tplc="04090005" w:tentative="1">
      <w:start w:val="1"/>
      <w:numFmt w:val="bullet"/>
      <w:lvlText w:val=""/>
      <w:lvlJc w:val="left"/>
      <w:pPr>
        <w:tabs>
          <w:tab w:val="num" w:pos="4404"/>
        </w:tabs>
        <w:ind w:left="4404" w:hanging="360"/>
      </w:pPr>
      <w:rPr>
        <w:rFonts w:ascii="Wingdings" w:hAnsi="Wingdings" w:hint="default"/>
      </w:rPr>
    </w:lvl>
  </w:abstractNum>
  <w:abstractNum w:abstractNumId="25">
    <w:nsid w:val="30BE1CD4"/>
    <w:multiLevelType w:val="hybridMultilevel"/>
    <w:tmpl w:val="3F8A0BE4"/>
    <w:lvl w:ilvl="0" w:tplc="6B702EE2">
      <w:start w:val="1"/>
      <w:numFmt w:val="decimal"/>
      <w:lvlText w:val="%1."/>
      <w:lvlJc w:val="left"/>
      <w:pPr>
        <w:ind w:left="1069" w:hanging="360"/>
      </w:pPr>
      <w:rPr>
        <w:rFonts w:ascii="Times New Roman" w:eastAsia="Times New Roman" w:hAnsi="Times New Roman" w:cs="Times New Roman"/>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nsid w:val="33E75344"/>
    <w:multiLevelType w:val="hybridMultilevel"/>
    <w:tmpl w:val="4EEAD2C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34AF4986"/>
    <w:multiLevelType w:val="hybridMultilevel"/>
    <w:tmpl w:val="0908B8BE"/>
    <w:lvl w:ilvl="0" w:tplc="483A65E2">
      <w:start w:val="1"/>
      <w:numFmt w:val="decimal"/>
      <w:lvlText w:val="%1."/>
      <w:lvlJc w:val="left"/>
      <w:pPr>
        <w:ind w:left="672" w:hanging="360"/>
      </w:pPr>
      <w:rPr>
        <w:rFonts w:hint="default"/>
      </w:rPr>
    </w:lvl>
    <w:lvl w:ilvl="1" w:tplc="04270019" w:tentative="1">
      <w:start w:val="1"/>
      <w:numFmt w:val="lowerLetter"/>
      <w:lvlText w:val="%2."/>
      <w:lvlJc w:val="left"/>
      <w:pPr>
        <w:ind w:left="1392" w:hanging="360"/>
      </w:pPr>
    </w:lvl>
    <w:lvl w:ilvl="2" w:tplc="0427001B" w:tentative="1">
      <w:start w:val="1"/>
      <w:numFmt w:val="lowerRoman"/>
      <w:lvlText w:val="%3."/>
      <w:lvlJc w:val="right"/>
      <w:pPr>
        <w:ind w:left="2112" w:hanging="180"/>
      </w:pPr>
    </w:lvl>
    <w:lvl w:ilvl="3" w:tplc="0427000F" w:tentative="1">
      <w:start w:val="1"/>
      <w:numFmt w:val="decimal"/>
      <w:lvlText w:val="%4."/>
      <w:lvlJc w:val="left"/>
      <w:pPr>
        <w:ind w:left="2832" w:hanging="360"/>
      </w:pPr>
    </w:lvl>
    <w:lvl w:ilvl="4" w:tplc="04270019" w:tentative="1">
      <w:start w:val="1"/>
      <w:numFmt w:val="lowerLetter"/>
      <w:lvlText w:val="%5."/>
      <w:lvlJc w:val="left"/>
      <w:pPr>
        <w:ind w:left="3552" w:hanging="360"/>
      </w:pPr>
    </w:lvl>
    <w:lvl w:ilvl="5" w:tplc="0427001B" w:tentative="1">
      <w:start w:val="1"/>
      <w:numFmt w:val="lowerRoman"/>
      <w:lvlText w:val="%6."/>
      <w:lvlJc w:val="right"/>
      <w:pPr>
        <w:ind w:left="4272" w:hanging="180"/>
      </w:pPr>
    </w:lvl>
    <w:lvl w:ilvl="6" w:tplc="0427000F" w:tentative="1">
      <w:start w:val="1"/>
      <w:numFmt w:val="decimal"/>
      <w:lvlText w:val="%7."/>
      <w:lvlJc w:val="left"/>
      <w:pPr>
        <w:ind w:left="4992" w:hanging="360"/>
      </w:pPr>
    </w:lvl>
    <w:lvl w:ilvl="7" w:tplc="04270019" w:tentative="1">
      <w:start w:val="1"/>
      <w:numFmt w:val="lowerLetter"/>
      <w:lvlText w:val="%8."/>
      <w:lvlJc w:val="left"/>
      <w:pPr>
        <w:ind w:left="5712" w:hanging="360"/>
      </w:pPr>
    </w:lvl>
    <w:lvl w:ilvl="8" w:tplc="0427001B" w:tentative="1">
      <w:start w:val="1"/>
      <w:numFmt w:val="lowerRoman"/>
      <w:lvlText w:val="%9."/>
      <w:lvlJc w:val="right"/>
      <w:pPr>
        <w:ind w:left="6432" w:hanging="180"/>
      </w:pPr>
    </w:lvl>
  </w:abstractNum>
  <w:abstractNum w:abstractNumId="28">
    <w:nsid w:val="35C051E6"/>
    <w:multiLevelType w:val="hybridMultilevel"/>
    <w:tmpl w:val="4E161DC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375910CE"/>
    <w:multiLevelType w:val="hybridMultilevel"/>
    <w:tmpl w:val="D784851C"/>
    <w:lvl w:ilvl="0" w:tplc="FFFFFFFF">
      <w:start w:val="1"/>
      <w:numFmt w:val="bullet"/>
      <w:lvlText w:val=""/>
      <w:lvlJc w:val="left"/>
      <w:pPr>
        <w:tabs>
          <w:tab w:val="num" w:pos="2010"/>
        </w:tabs>
        <w:ind w:left="2010" w:hanging="360"/>
      </w:pPr>
      <w:rPr>
        <w:rFonts w:ascii="Wingdings" w:hAnsi="Wingdings" w:hint="default"/>
      </w:rPr>
    </w:lvl>
    <w:lvl w:ilvl="1" w:tplc="FFFFFFFF" w:tentative="1">
      <w:start w:val="1"/>
      <w:numFmt w:val="bullet"/>
      <w:lvlText w:val="o"/>
      <w:lvlJc w:val="left"/>
      <w:pPr>
        <w:tabs>
          <w:tab w:val="num" w:pos="2730"/>
        </w:tabs>
        <w:ind w:left="2730" w:hanging="360"/>
      </w:pPr>
      <w:rPr>
        <w:rFonts w:ascii="Courier New" w:hAnsi="Courier New" w:cs="Wingdings" w:hint="default"/>
      </w:rPr>
    </w:lvl>
    <w:lvl w:ilvl="2" w:tplc="FFFFFFFF" w:tentative="1">
      <w:start w:val="1"/>
      <w:numFmt w:val="bullet"/>
      <w:lvlText w:val=""/>
      <w:lvlJc w:val="left"/>
      <w:pPr>
        <w:tabs>
          <w:tab w:val="num" w:pos="3450"/>
        </w:tabs>
        <w:ind w:left="3450" w:hanging="360"/>
      </w:pPr>
      <w:rPr>
        <w:rFonts w:ascii="Wingdings" w:hAnsi="Wingdings" w:hint="default"/>
      </w:rPr>
    </w:lvl>
    <w:lvl w:ilvl="3" w:tplc="FFFFFFFF" w:tentative="1">
      <w:start w:val="1"/>
      <w:numFmt w:val="bullet"/>
      <w:lvlText w:val=""/>
      <w:lvlJc w:val="left"/>
      <w:pPr>
        <w:tabs>
          <w:tab w:val="num" w:pos="4170"/>
        </w:tabs>
        <w:ind w:left="4170" w:hanging="360"/>
      </w:pPr>
      <w:rPr>
        <w:rFonts w:ascii="Symbol" w:hAnsi="Symbol" w:hint="default"/>
      </w:rPr>
    </w:lvl>
    <w:lvl w:ilvl="4" w:tplc="FFFFFFFF" w:tentative="1">
      <w:start w:val="1"/>
      <w:numFmt w:val="bullet"/>
      <w:lvlText w:val="o"/>
      <w:lvlJc w:val="left"/>
      <w:pPr>
        <w:tabs>
          <w:tab w:val="num" w:pos="4890"/>
        </w:tabs>
        <w:ind w:left="4890" w:hanging="360"/>
      </w:pPr>
      <w:rPr>
        <w:rFonts w:ascii="Courier New" w:hAnsi="Courier New" w:cs="Wingdings" w:hint="default"/>
      </w:rPr>
    </w:lvl>
    <w:lvl w:ilvl="5" w:tplc="FFFFFFFF" w:tentative="1">
      <w:start w:val="1"/>
      <w:numFmt w:val="bullet"/>
      <w:lvlText w:val=""/>
      <w:lvlJc w:val="left"/>
      <w:pPr>
        <w:tabs>
          <w:tab w:val="num" w:pos="5610"/>
        </w:tabs>
        <w:ind w:left="5610" w:hanging="360"/>
      </w:pPr>
      <w:rPr>
        <w:rFonts w:ascii="Wingdings" w:hAnsi="Wingdings" w:hint="default"/>
      </w:rPr>
    </w:lvl>
    <w:lvl w:ilvl="6" w:tplc="FFFFFFFF" w:tentative="1">
      <w:start w:val="1"/>
      <w:numFmt w:val="bullet"/>
      <w:lvlText w:val=""/>
      <w:lvlJc w:val="left"/>
      <w:pPr>
        <w:tabs>
          <w:tab w:val="num" w:pos="6330"/>
        </w:tabs>
        <w:ind w:left="6330" w:hanging="360"/>
      </w:pPr>
      <w:rPr>
        <w:rFonts w:ascii="Symbol" w:hAnsi="Symbol" w:hint="default"/>
      </w:rPr>
    </w:lvl>
    <w:lvl w:ilvl="7" w:tplc="FFFFFFFF" w:tentative="1">
      <w:start w:val="1"/>
      <w:numFmt w:val="bullet"/>
      <w:lvlText w:val="o"/>
      <w:lvlJc w:val="left"/>
      <w:pPr>
        <w:tabs>
          <w:tab w:val="num" w:pos="7050"/>
        </w:tabs>
        <w:ind w:left="7050" w:hanging="360"/>
      </w:pPr>
      <w:rPr>
        <w:rFonts w:ascii="Courier New" w:hAnsi="Courier New" w:cs="Wingdings" w:hint="default"/>
      </w:rPr>
    </w:lvl>
    <w:lvl w:ilvl="8" w:tplc="FFFFFFFF" w:tentative="1">
      <w:start w:val="1"/>
      <w:numFmt w:val="bullet"/>
      <w:lvlText w:val=""/>
      <w:lvlJc w:val="left"/>
      <w:pPr>
        <w:tabs>
          <w:tab w:val="num" w:pos="7770"/>
        </w:tabs>
        <w:ind w:left="7770" w:hanging="360"/>
      </w:pPr>
      <w:rPr>
        <w:rFonts w:ascii="Wingdings" w:hAnsi="Wingdings" w:hint="default"/>
      </w:rPr>
    </w:lvl>
  </w:abstractNum>
  <w:abstractNum w:abstractNumId="30">
    <w:nsid w:val="37D46D89"/>
    <w:multiLevelType w:val="hybridMultilevel"/>
    <w:tmpl w:val="AB3EF07A"/>
    <w:lvl w:ilvl="0" w:tplc="8FBCBD8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nsid w:val="388C21C5"/>
    <w:multiLevelType w:val="hybridMultilevel"/>
    <w:tmpl w:val="89BA0D2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2">
    <w:nsid w:val="39D67719"/>
    <w:multiLevelType w:val="hybridMultilevel"/>
    <w:tmpl w:val="D758D912"/>
    <w:lvl w:ilvl="0" w:tplc="584A688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nsid w:val="3D4F2F04"/>
    <w:multiLevelType w:val="hybridMultilevel"/>
    <w:tmpl w:val="C050694C"/>
    <w:lvl w:ilvl="0" w:tplc="2EB8C7E4">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ECC4E14"/>
    <w:multiLevelType w:val="multilevel"/>
    <w:tmpl w:val="2CC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F264A54"/>
    <w:multiLevelType w:val="hybridMultilevel"/>
    <w:tmpl w:val="C4267D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nsid w:val="3FE85B7D"/>
    <w:multiLevelType w:val="hybridMultilevel"/>
    <w:tmpl w:val="2BF01A94"/>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7">
    <w:nsid w:val="420B60F4"/>
    <w:multiLevelType w:val="hybridMultilevel"/>
    <w:tmpl w:val="81CCD0FA"/>
    <w:lvl w:ilvl="0" w:tplc="B9A0DABC">
      <w:start w:val="1"/>
      <w:numFmt w:val="decimal"/>
      <w:lvlText w:val="%1)"/>
      <w:lvlJc w:val="left"/>
      <w:pPr>
        <w:tabs>
          <w:tab w:val="num" w:pos="424"/>
        </w:tabs>
        <w:ind w:left="424" w:hanging="360"/>
      </w:pPr>
      <w:rPr>
        <w:rFonts w:ascii="Times New Roman" w:eastAsia="Times New Roman" w:hAnsi="Times New Roman" w:cs="Times New Roman"/>
        <w:color w:val="auto"/>
        <w:sz w:val="16"/>
      </w:rPr>
    </w:lvl>
    <w:lvl w:ilvl="1" w:tplc="04270003" w:tentative="1">
      <w:start w:val="1"/>
      <w:numFmt w:val="bullet"/>
      <w:lvlText w:val="o"/>
      <w:lvlJc w:val="left"/>
      <w:pPr>
        <w:tabs>
          <w:tab w:val="num" w:pos="1504"/>
        </w:tabs>
        <w:ind w:left="1504" w:hanging="360"/>
      </w:pPr>
      <w:rPr>
        <w:rFonts w:ascii="Courier New" w:hAnsi="Courier New" w:cs="Courier New" w:hint="default"/>
      </w:rPr>
    </w:lvl>
    <w:lvl w:ilvl="2" w:tplc="04270005" w:tentative="1">
      <w:start w:val="1"/>
      <w:numFmt w:val="bullet"/>
      <w:lvlText w:val=""/>
      <w:lvlJc w:val="left"/>
      <w:pPr>
        <w:tabs>
          <w:tab w:val="num" w:pos="2224"/>
        </w:tabs>
        <w:ind w:left="2224" w:hanging="360"/>
      </w:pPr>
      <w:rPr>
        <w:rFonts w:ascii="Wingdings" w:hAnsi="Wingdings" w:hint="default"/>
      </w:rPr>
    </w:lvl>
    <w:lvl w:ilvl="3" w:tplc="04270001" w:tentative="1">
      <w:start w:val="1"/>
      <w:numFmt w:val="bullet"/>
      <w:lvlText w:val=""/>
      <w:lvlJc w:val="left"/>
      <w:pPr>
        <w:tabs>
          <w:tab w:val="num" w:pos="2944"/>
        </w:tabs>
        <w:ind w:left="2944" w:hanging="360"/>
      </w:pPr>
      <w:rPr>
        <w:rFonts w:ascii="Symbol" w:hAnsi="Symbol" w:hint="default"/>
      </w:rPr>
    </w:lvl>
    <w:lvl w:ilvl="4" w:tplc="04270003" w:tentative="1">
      <w:start w:val="1"/>
      <w:numFmt w:val="bullet"/>
      <w:lvlText w:val="o"/>
      <w:lvlJc w:val="left"/>
      <w:pPr>
        <w:tabs>
          <w:tab w:val="num" w:pos="3664"/>
        </w:tabs>
        <w:ind w:left="3664" w:hanging="360"/>
      </w:pPr>
      <w:rPr>
        <w:rFonts w:ascii="Courier New" w:hAnsi="Courier New" w:cs="Courier New" w:hint="default"/>
      </w:rPr>
    </w:lvl>
    <w:lvl w:ilvl="5" w:tplc="04270005" w:tentative="1">
      <w:start w:val="1"/>
      <w:numFmt w:val="bullet"/>
      <w:lvlText w:val=""/>
      <w:lvlJc w:val="left"/>
      <w:pPr>
        <w:tabs>
          <w:tab w:val="num" w:pos="4384"/>
        </w:tabs>
        <w:ind w:left="4384" w:hanging="360"/>
      </w:pPr>
      <w:rPr>
        <w:rFonts w:ascii="Wingdings" w:hAnsi="Wingdings" w:hint="default"/>
      </w:rPr>
    </w:lvl>
    <w:lvl w:ilvl="6" w:tplc="04270001" w:tentative="1">
      <w:start w:val="1"/>
      <w:numFmt w:val="bullet"/>
      <w:lvlText w:val=""/>
      <w:lvlJc w:val="left"/>
      <w:pPr>
        <w:tabs>
          <w:tab w:val="num" w:pos="5104"/>
        </w:tabs>
        <w:ind w:left="5104" w:hanging="360"/>
      </w:pPr>
      <w:rPr>
        <w:rFonts w:ascii="Symbol" w:hAnsi="Symbol" w:hint="default"/>
      </w:rPr>
    </w:lvl>
    <w:lvl w:ilvl="7" w:tplc="04270003" w:tentative="1">
      <w:start w:val="1"/>
      <w:numFmt w:val="bullet"/>
      <w:lvlText w:val="o"/>
      <w:lvlJc w:val="left"/>
      <w:pPr>
        <w:tabs>
          <w:tab w:val="num" w:pos="5824"/>
        </w:tabs>
        <w:ind w:left="5824" w:hanging="360"/>
      </w:pPr>
      <w:rPr>
        <w:rFonts w:ascii="Courier New" w:hAnsi="Courier New" w:cs="Courier New" w:hint="default"/>
      </w:rPr>
    </w:lvl>
    <w:lvl w:ilvl="8" w:tplc="04270005" w:tentative="1">
      <w:start w:val="1"/>
      <w:numFmt w:val="bullet"/>
      <w:lvlText w:val=""/>
      <w:lvlJc w:val="left"/>
      <w:pPr>
        <w:tabs>
          <w:tab w:val="num" w:pos="6544"/>
        </w:tabs>
        <w:ind w:left="6544" w:hanging="360"/>
      </w:pPr>
      <w:rPr>
        <w:rFonts w:ascii="Wingdings" w:hAnsi="Wingdings" w:hint="default"/>
      </w:rPr>
    </w:lvl>
  </w:abstractNum>
  <w:abstractNum w:abstractNumId="38">
    <w:nsid w:val="45C9022C"/>
    <w:multiLevelType w:val="hybridMultilevel"/>
    <w:tmpl w:val="E8582CCA"/>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9">
    <w:nsid w:val="474C6C15"/>
    <w:multiLevelType w:val="singleLevel"/>
    <w:tmpl w:val="805A8556"/>
    <w:lvl w:ilvl="0">
      <w:start w:val="5"/>
      <w:numFmt w:val="decimal"/>
      <w:lvlText w:val="%1."/>
      <w:legacy w:legacy="1" w:legacySpace="0" w:legacyIndent="223"/>
      <w:lvlJc w:val="left"/>
      <w:rPr>
        <w:rFonts w:ascii="Times New Roman" w:hAnsi="Times New Roman" w:cs="Times New Roman" w:hint="default"/>
      </w:rPr>
    </w:lvl>
  </w:abstractNum>
  <w:abstractNum w:abstractNumId="40">
    <w:nsid w:val="4D126C63"/>
    <w:multiLevelType w:val="hybridMultilevel"/>
    <w:tmpl w:val="5DEEDC92"/>
    <w:lvl w:ilvl="0" w:tplc="04090005">
      <w:start w:val="1"/>
      <w:numFmt w:val="bullet"/>
      <w:lvlText w:val=""/>
      <w:lvlJc w:val="left"/>
      <w:pPr>
        <w:tabs>
          <w:tab w:val="num" w:pos="84"/>
        </w:tabs>
        <w:ind w:left="84"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4EEF64AA"/>
    <w:multiLevelType w:val="hybridMultilevel"/>
    <w:tmpl w:val="29F404D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525128C3"/>
    <w:multiLevelType w:val="hybridMultilevel"/>
    <w:tmpl w:val="852EDD78"/>
    <w:lvl w:ilvl="0" w:tplc="DCB22A2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nsid w:val="53313BB2"/>
    <w:multiLevelType w:val="hybridMultilevel"/>
    <w:tmpl w:val="C9C4FDCA"/>
    <w:lvl w:ilvl="0" w:tplc="92207FA8">
      <w:start w:val="4"/>
      <w:numFmt w:val="decimal"/>
      <w:lvlText w:val="%1."/>
      <w:lvlJc w:val="left"/>
      <w:pPr>
        <w:ind w:left="1032" w:hanging="360"/>
      </w:pPr>
      <w:rPr>
        <w:rFonts w:hint="default"/>
      </w:rPr>
    </w:lvl>
    <w:lvl w:ilvl="1" w:tplc="04270019" w:tentative="1">
      <w:start w:val="1"/>
      <w:numFmt w:val="lowerLetter"/>
      <w:lvlText w:val="%2."/>
      <w:lvlJc w:val="left"/>
      <w:pPr>
        <w:ind w:left="1752" w:hanging="360"/>
      </w:pPr>
    </w:lvl>
    <w:lvl w:ilvl="2" w:tplc="0427001B" w:tentative="1">
      <w:start w:val="1"/>
      <w:numFmt w:val="lowerRoman"/>
      <w:lvlText w:val="%3."/>
      <w:lvlJc w:val="right"/>
      <w:pPr>
        <w:ind w:left="2472" w:hanging="180"/>
      </w:pPr>
    </w:lvl>
    <w:lvl w:ilvl="3" w:tplc="0427000F" w:tentative="1">
      <w:start w:val="1"/>
      <w:numFmt w:val="decimal"/>
      <w:lvlText w:val="%4."/>
      <w:lvlJc w:val="left"/>
      <w:pPr>
        <w:ind w:left="3192" w:hanging="360"/>
      </w:pPr>
    </w:lvl>
    <w:lvl w:ilvl="4" w:tplc="04270019" w:tentative="1">
      <w:start w:val="1"/>
      <w:numFmt w:val="lowerLetter"/>
      <w:lvlText w:val="%5."/>
      <w:lvlJc w:val="left"/>
      <w:pPr>
        <w:ind w:left="3912" w:hanging="360"/>
      </w:pPr>
    </w:lvl>
    <w:lvl w:ilvl="5" w:tplc="0427001B" w:tentative="1">
      <w:start w:val="1"/>
      <w:numFmt w:val="lowerRoman"/>
      <w:lvlText w:val="%6."/>
      <w:lvlJc w:val="right"/>
      <w:pPr>
        <w:ind w:left="4632" w:hanging="180"/>
      </w:pPr>
    </w:lvl>
    <w:lvl w:ilvl="6" w:tplc="0427000F" w:tentative="1">
      <w:start w:val="1"/>
      <w:numFmt w:val="decimal"/>
      <w:lvlText w:val="%7."/>
      <w:lvlJc w:val="left"/>
      <w:pPr>
        <w:ind w:left="5352" w:hanging="360"/>
      </w:pPr>
    </w:lvl>
    <w:lvl w:ilvl="7" w:tplc="04270019" w:tentative="1">
      <w:start w:val="1"/>
      <w:numFmt w:val="lowerLetter"/>
      <w:lvlText w:val="%8."/>
      <w:lvlJc w:val="left"/>
      <w:pPr>
        <w:ind w:left="6072" w:hanging="360"/>
      </w:pPr>
    </w:lvl>
    <w:lvl w:ilvl="8" w:tplc="0427001B" w:tentative="1">
      <w:start w:val="1"/>
      <w:numFmt w:val="lowerRoman"/>
      <w:lvlText w:val="%9."/>
      <w:lvlJc w:val="right"/>
      <w:pPr>
        <w:ind w:left="6792" w:hanging="180"/>
      </w:pPr>
    </w:lvl>
  </w:abstractNum>
  <w:abstractNum w:abstractNumId="44">
    <w:nsid w:val="56927416"/>
    <w:multiLevelType w:val="hybridMultilevel"/>
    <w:tmpl w:val="664267E4"/>
    <w:lvl w:ilvl="0" w:tplc="B192A432">
      <w:start w:val="1"/>
      <w:numFmt w:val="decimal"/>
      <w:lvlText w:val="%1."/>
      <w:lvlJc w:val="left"/>
      <w:pPr>
        <w:tabs>
          <w:tab w:val="num" w:pos="958"/>
        </w:tabs>
        <w:ind w:left="958" w:hanging="675"/>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5">
    <w:nsid w:val="57452B57"/>
    <w:multiLevelType w:val="hybridMultilevel"/>
    <w:tmpl w:val="933613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nsid w:val="59FD12BF"/>
    <w:multiLevelType w:val="hybridMultilevel"/>
    <w:tmpl w:val="852EDD78"/>
    <w:lvl w:ilvl="0" w:tplc="DCB22A2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nsid w:val="5B0801C4"/>
    <w:multiLevelType w:val="hybridMultilevel"/>
    <w:tmpl w:val="4740AE82"/>
    <w:lvl w:ilvl="0" w:tplc="2640ED5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8">
    <w:nsid w:val="5DF679E6"/>
    <w:multiLevelType w:val="hybridMultilevel"/>
    <w:tmpl w:val="8A4CF948"/>
    <w:lvl w:ilvl="0" w:tplc="E2544D6C">
      <w:start w:val="1"/>
      <w:numFmt w:val="bullet"/>
      <w:lvlText w:val="•"/>
      <w:lvlJc w:val="left"/>
      <w:pPr>
        <w:tabs>
          <w:tab w:val="num" w:pos="720"/>
        </w:tabs>
        <w:ind w:left="720" w:hanging="360"/>
      </w:pPr>
      <w:rPr>
        <w:rFonts w:ascii="Times New Roman" w:hAnsi="Times New Roman" w:hint="default"/>
      </w:rPr>
    </w:lvl>
    <w:lvl w:ilvl="1" w:tplc="AF3C0D8C" w:tentative="1">
      <w:start w:val="1"/>
      <w:numFmt w:val="bullet"/>
      <w:lvlText w:val="•"/>
      <w:lvlJc w:val="left"/>
      <w:pPr>
        <w:tabs>
          <w:tab w:val="num" w:pos="1440"/>
        </w:tabs>
        <w:ind w:left="1440" w:hanging="360"/>
      </w:pPr>
      <w:rPr>
        <w:rFonts w:ascii="Times New Roman" w:hAnsi="Times New Roman" w:hint="default"/>
      </w:rPr>
    </w:lvl>
    <w:lvl w:ilvl="2" w:tplc="04349930" w:tentative="1">
      <w:start w:val="1"/>
      <w:numFmt w:val="bullet"/>
      <w:lvlText w:val="•"/>
      <w:lvlJc w:val="left"/>
      <w:pPr>
        <w:tabs>
          <w:tab w:val="num" w:pos="2160"/>
        </w:tabs>
        <w:ind w:left="2160" w:hanging="360"/>
      </w:pPr>
      <w:rPr>
        <w:rFonts w:ascii="Times New Roman" w:hAnsi="Times New Roman" w:hint="default"/>
      </w:rPr>
    </w:lvl>
    <w:lvl w:ilvl="3" w:tplc="43E8924A" w:tentative="1">
      <w:start w:val="1"/>
      <w:numFmt w:val="bullet"/>
      <w:lvlText w:val="•"/>
      <w:lvlJc w:val="left"/>
      <w:pPr>
        <w:tabs>
          <w:tab w:val="num" w:pos="2880"/>
        </w:tabs>
        <w:ind w:left="2880" w:hanging="360"/>
      </w:pPr>
      <w:rPr>
        <w:rFonts w:ascii="Times New Roman" w:hAnsi="Times New Roman" w:hint="default"/>
      </w:rPr>
    </w:lvl>
    <w:lvl w:ilvl="4" w:tplc="92765EA6" w:tentative="1">
      <w:start w:val="1"/>
      <w:numFmt w:val="bullet"/>
      <w:lvlText w:val="•"/>
      <w:lvlJc w:val="left"/>
      <w:pPr>
        <w:tabs>
          <w:tab w:val="num" w:pos="3600"/>
        </w:tabs>
        <w:ind w:left="3600" w:hanging="360"/>
      </w:pPr>
      <w:rPr>
        <w:rFonts w:ascii="Times New Roman" w:hAnsi="Times New Roman" w:hint="default"/>
      </w:rPr>
    </w:lvl>
    <w:lvl w:ilvl="5" w:tplc="60B46B08" w:tentative="1">
      <w:start w:val="1"/>
      <w:numFmt w:val="bullet"/>
      <w:lvlText w:val="•"/>
      <w:lvlJc w:val="left"/>
      <w:pPr>
        <w:tabs>
          <w:tab w:val="num" w:pos="4320"/>
        </w:tabs>
        <w:ind w:left="4320" w:hanging="360"/>
      </w:pPr>
      <w:rPr>
        <w:rFonts w:ascii="Times New Roman" w:hAnsi="Times New Roman" w:hint="default"/>
      </w:rPr>
    </w:lvl>
    <w:lvl w:ilvl="6" w:tplc="7E0AD4BC" w:tentative="1">
      <w:start w:val="1"/>
      <w:numFmt w:val="bullet"/>
      <w:lvlText w:val="•"/>
      <w:lvlJc w:val="left"/>
      <w:pPr>
        <w:tabs>
          <w:tab w:val="num" w:pos="5040"/>
        </w:tabs>
        <w:ind w:left="5040" w:hanging="360"/>
      </w:pPr>
      <w:rPr>
        <w:rFonts w:ascii="Times New Roman" w:hAnsi="Times New Roman" w:hint="default"/>
      </w:rPr>
    </w:lvl>
    <w:lvl w:ilvl="7" w:tplc="D9A076EC" w:tentative="1">
      <w:start w:val="1"/>
      <w:numFmt w:val="bullet"/>
      <w:lvlText w:val="•"/>
      <w:lvlJc w:val="left"/>
      <w:pPr>
        <w:tabs>
          <w:tab w:val="num" w:pos="5760"/>
        </w:tabs>
        <w:ind w:left="5760" w:hanging="360"/>
      </w:pPr>
      <w:rPr>
        <w:rFonts w:ascii="Times New Roman" w:hAnsi="Times New Roman" w:hint="default"/>
      </w:rPr>
    </w:lvl>
    <w:lvl w:ilvl="8" w:tplc="BCA6C3DA" w:tentative="1">
      <w:start w:val="1"/>
      <w:numFmt w:val="bullet"/>
      <w:lvlText w:val="•"/>
      <w:lvlJc w:val="left"/>
      <w:pPr>
        <w:tabs>
          <w:tab w:val="num" w:pos="6480"/>
        </w:tabs>
        <w:ind w:left="6480" w:hanging="360"/>
      </w:pPr>
      <w:rPr>
        <w:rFonts w:ascii="Times New Roman" w:hAnsi="Times New Roman" w:hint="default"/>
      </w:rPr>
    </w:lvl>
  </w:abstractNum>
  <w:abstractNum w:abstractNumId="49">
    <w:nsid w:val="5E3266A3"/>
    <w:multiLevelType w:val="hybridMultilevel"/>
    <w:tmpl w:val="852EDD78"/>
    <w:lvl w:ilvl="0" w:tplc="DCB22A2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nsid w:val="5E3B3DF6"/>
    <w:multiLevelType w:val="hybridMultilevel"/>
    <w:tmpl w:val="7A3A92C0"/>
    <w:lvl w:ilvl="0" w:tplc="FFFFFFFF">
      <w:start w:val="1"/>
      <w:numFmt w:val="bullet"/>
      <w:lvlText w:val=""/>
      <w:lvlJc w:val="left"/>
      <w:pPr>
        <w:tabs>
          <w:tab w:val="num" w:pos="1080"/>
        </w:tabs>
        <w:ind w:left="108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nsid w:val="5ECD3346"/>
    <w:multiLevelType w:val="hybridMultilevel"/>
    <w:tmpl w:val="A4B06A12"/>
    <w:lvl w:ilvl="0" w:tplc="FFFFFFFF">
      <w:start w:val="1"/>
      <w:numFmt w:val="bullet"/>
      <w:lvlText w:val=""/>
      <w:lvlJc w:val="left"/>
      <w:pPr>
        <w:tabs>
          <w:tab w:val="num" w:pos="2010"/>
        </w:tabs>
        <w:ind w:left="2010" w:hanging="360"/>
      </w:pPr>
      <w:rPr>
        <w:rFonts w:ascii="Wingdings" w:hAnsi="Wingdings" w:hint="default"/>
      </w:rPr>
    </w:lvl>
    <w:lvl w:ilvl="1" w:tplc="FFFFFFFF" w:tentative="1">
      <w:start w:val="1"/>
      <w:numFmt w:val="bullet"/>
      <w:lvlText w:val="o"/>
      <w:lvlJc w:val="left"/>
      <w:pPr>
        <w:tabs>
          <w:tab w:val="num" w:pos="2730"/>
        </w:tabs>
        <w:ind w:left="2730" w:hanging="360"/>
      </w:pPr>
      <w:rPr>
        <w:rFonts w:ascii="Courier New" w:hAnsi="Courier New" w:cs="Wingdings" w:hint="default"/>
      </w:rPr>
    </w:lvl>
    <w:lvl w:ilvl="2" w:tplc="FFFFFFFF" w:tentative="1">
      <w:start w:val="1"/>
      <w:numFmt w:val="bullet"/>
      <w:lvlText w:val=""/>
      <w:lvlJc w:val="left"/>
      <w:pPr>
        <w:tabs>
          <w:tab w:val="num" w:pos="3450"/>
        </w:tabs>
        <w:ind w:left="3450" w:hanging="360"/>
      </w:pPr>
      <w:rPr>
        <w:rFonts w:ascii="Wingdings" w:hAnsi="Wingdings" w:hint="default"/>
      </w:rPr>
    </w:lvl>
    <w:lvl w:ilvl="3" w:tplc="FFFFFFFF" w:tentative="1">
      <w:start w:val="1"/>
      <w:numFmt w:val="bullet"/>
      <w:lvlText w:val=""/>
      <w:lvlJc w:val="left"/>
      <w:pPr>
        <w:tabs>
          <w:tab w:val="num" w:pos="4170"/>
        </w:tabs>
        <w:ind w:left="4170" w:hanging="360"/>
      </w:pPr>
      <w:rPr>
        <w:rFonts w:ascii="Symbol" w:hAnsi="Symbol" w:hint="default"/>
      </w:rPr>
    </w:lvl>
    <w:lvl w:ilvl="4" w:tplc="FFFFFFFF" w:tentative="1">
      <w:start w:val="1"/>
      <w:numFmt w:val="bullet"/>
      <w:lvlText w:val="o"/>
      <w:lvlJc w:val="left"/>
      <w:pPr>
        <w:tabs>
          <w:tab w:val="num" w:pos="4890"/>
        </w:tabs>
        <w:ind w:left="4890" w:hanging="360"/>
      </w:pPr>
      <w:rPr>
        <w:rFonts w:ascii="Courier New" w:hAnsi="Courier New" w:cs="Wingdings" w:hint="default"/>
      </w:rPr>
    </w:lvl>
    <w:lvl w:ilvl="5" w:tplc="FFFFFFFF" w:tentative="1">
      <w:start w:val="1"/>
      <w:numFmt w:val="bullet"/>
      <w:lvlText w:val=""/>
      <w:lvlJc w:val="left"/>
      <w:pPr>
        <w:tabs>
          <w:tab w:val="num" w:pos="5610"/>
        </w:tabs>
        <w:ind w:left="5610" w:hanging="360"/>
      </w:pPr>
      <w:rPr>
        <w:rFonts w:ascii="Wingdings" w:hAnsi="Wingdings" w:hint="default"/>
      </w:rPr>
    </w:lvl>
    <w:lvl w:ilvl="6" w:tplc="FFFFFFFF" w:tentative="1">
      <w:start w:val="1"/>
      <w:numFmt w:val="bullet"/>
      <w:lvlText w:val=""/>
      <w:lvlJc w:val="left"/>
      <w:pPr>
        <w:tabs>
          <w:tab w:val="num" w:pos="6330"/>
        </w:tabs>
        <w:ind w:left="6330" w:hanging="360"/>
      </w:pPr>
      <w:rPr>
        <w:rFonts w:ascii="Symbol" w:hAnsi="Symbol" w:hint="default"/>
      </w:rPr>
    </w:lvl>
    <w:lvl w:ilvl="7" w:tplc="FFFFFFFF" w:tentative="1">
      <w:start w:val="1"/>
      <w:numFmt w:val="bullet"/>
      <w:lvlText w:val="o"/>
      <w:lvlJc w:val="left"/>
      <w:pPr>
        <w:tabs>
          <w:tab w:val="num" w:pos="7050"/>
        </w:tabs>
        <w:ind w:left="7050" w:hanging="360"/>
      </w:pPr>
      <w:rPr>
        <w:rFonts w:ascii="Courier New" w:hAnsi="Courier New" w:cs="Wingdings" w:hint="default"/>
      </w:rPr>
    </w:lvl>
    <w:lvl w:ilvl="8" w:tplc="FFFFFFFF" w:tentative="1">
      <w:start w:val="1"/>
      <w:numFmt w:val="bullet"/>
      <w:lvlText w:val=""/>
      <w:lvlJc w:val="left"/>
      <w:pPr>
        <w:tabs>
          <w:tab w:val="num" w:pos="7770"/>
        </w:tabs>
        <w:ind w:left="7770" w:hanging="360"/>
      </w:pPr>
      <w:rPr>
        <w:rFonts w:ascii="Wingdings" w:hAnsi="Wingdings" w:hint="default"/>
      </w:rPr>
    </w:lvl>
  </w:abstractNum>
  <w:abstractNum w:abstractNumId="52">
    <w:nsid w:val="5ED02D1E"/>
    <w:multiLevelType w:val="hybridMultilevel"/>
    <w:tmpl w:val="20EEAA5E"/>
    <w:lvl w:ilvl="0" w:tplc="3418C86A">
      <w:start w:val="201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nsid w:val="5F522A7F"/>
    <w:multiLevelType w:val="hybridMultilevel"/>
    <w:tmpl w:val="23BAF45C"/>
    <w:lvl w:ilvl="0" w:tplc="1F8C9B98">
      <w:start w:val="1"/>
      <w:numFmt w:val="decimal"/>
      <w:lvlText w:val="%1."/>
      <w:lvlJc w:val="left"/>
      <w:pPr>
        <w:ind w:left="1080" w:hanging="360"/>
      </w:pPr>
      <w:rPr>
        <w:rFonts w:ascii="Times New Roman" w:eastAsia="Times New Roman" w:hAnsi="Times New Roman" w:cs="Times New Roman"/>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4">
    <w:nsid w:val="5F9F1F7A"/>
    <w:multiLevelType w:val="hybridMultilevel"/>
    <w:tmpl w:val="7D7ECA1C"/>
    <w:lvl w:ilvl="0" w:tplc="FFFFFFFF">
      <w:start w:val="1"/>
      <w:numFmt w:val="bullet"/>
      <w:lvlText w:val="o"/>
      <w:lvlJc w:val="left"/>
      <w:pPr>
        <w:tabs>
          <w:tab w:val="num" w:pos="900"/>
        </w:tabs>
        <w:ind w:left="900" w:hanging="360"/>
      </w:pPr>
      <w:rPr>
        <w:rFonts w:ascii="Courier New" w:hAnsi="Courier New" w:cs="Wingdings" w:hint="default"/>
      </w:rPr>
    </w:lvl>
    <w:lvl w:ilvl="1" w:tplc="FFFFFFFF">
      <w:start w:val="1"/>
      <w:numFmt w:val="bullet"/>
      <w:lvlText w:val=""/>
      <w:lvlJc w:val="left"/>
      <w:pPr>
        <w:tabs>
          <w:tab w:val="num" w:pos="2160"/>
        </w:tabs>
        <w:ind w:left="2160" w:hanging="360"/>
      </w:pPr>
      <w:rPr>
        <w:rFonts w:ascii="Symbol" w:hAnsi="Symbol" w:hint="default"/>
        <w:color w:val="auto"/>
      </w:rPr>
    </w:lvl>
    <w:lvl w:ilvl="2" w:tplc="FFFFFFFF">
      <w:start w:val="1"/>
      <w:numFmt w:val="bullet"/>
      <w:lvlText w:val=""/>
      <w:lvlJc w:val="left"/>
      <w:pPr>
        <w:tabs>
          <w:tab w:val="num" w:pos="2880"/>
        </w:tabs>
        <w:ind w:left="2880" w:hanging="360"/>
      </w:pPr>
      <w:rPr>
        <w:rFonts w:ascii="Symbol" w:hAnsi="Symbol" w:hint="default"/>
        <w:color w:val="auto"/>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Wingdings"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Wingdings"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5">
    <w:nsid w:val="60352ED3"/>
    <w:multiLevelType w:val="hybridMultilevel"/>
    <w:tmpl w:val="4E940EC0"/>
    <w:lvl w:ilvl="0" w:tplc="5356930A">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nsid w:val="606142CE"/>
    <w:multiLevelType w:val="hybridMultilevel"/>
    <w:tmpl w:val="1D0EF1E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nsid w:val="60F44543"/>
    <w:multiLevelType w:val="hybridMultilevel"/>
    <w:tmpl w:val="517A3162"/>
    <w:lvl w:ilvl="0" w:tplc="98D242A2">
      <w:start w:val="1"/>
      <w:numFmt w:val="bullet"/>
      <w:lvlText w:val="•"/>
      <w:lvlJc w:val="left"/>
      <w:pPr>
        <w:tabs>
          <w:tab w:val="num" w:pos="2436"/>
        </w:tabs>
        <w:ind w:left="2436" w:hanging="360"/>
      </w:pPr>
      <w:rPr>
        <w:rFonts w:ascii="Verdana" w:hAnsi="Verdana"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681F3BC6"/>
    <w:multiLevelType w:val="hybridMultilevel"/>
    <w:tmpl w:val="D3E0BF1E"/>
    <w:lvl w:ilvl="0" w:tplc="EFEE1D2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nsid w:val="697F0BA1"/>
    <w:multiLevelType w:val="hybridMultilevel"/>
    <w:tmpl w:val="8F6EDB9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nsid w:val="6ADD6240"/>
    <w:multiLevelType w:val="hybridMultilevel"/>
    <w:tmpl w:val="852EDD78"/>
    <w:lvl w:ilvl="0" w:tplc="DCB22A2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nsid w:val="6BDE7D6B"/>
    <w:multiLevelType w:val="hybridMultilevel"/>
    <w:tmpl w:val="9DAAED8A"/>
    <w:lvl w:ilvl="0" w:tplc="56EE46F6">
      <w:start w:val="1"/>
      <w:numFmt w:val="bullet"/>
      <w:lvlText w:val=""/>
      <w:lvlJc w:val="left"/>
      <w:pPr>
        <w:tabs>
          <w:tab w:val="num" w:pos="1080"/>
        </w:tabs>
        <w:ind w:left="1080" w:hanging="360"/>
      </w:pPr>
      <w:rPr>
        <w:rFonts w:ascii="Wingdings" w:hAnsi="Wingdings" w:hint="default"/>
      </w:rPr>
    </w:lvl>
    <w:lvl w:ilvl="1" w:tplc="25440EC2">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6DC56A25"/>
    <w:multiLevelType w:val="hybridMultilevel"/>
    <w:tmpl w:val="AABA2892"/>
    <w:lvl w:ilvl="0" w:tplc="B4FCAF56">
      <w:start w:val="1"/>
      <w:numFmt w:val="bullet"/>
      <w:lvlText w:val="•"/>
      <w:lvlJc w:val="left"/>
      <w:pPr>
        <w:tabs>
          <w:tab w:val="num" w:pos="720"/>
        </w:tabs>
        <w:ind w:left="720" w:hanging="360"/>
      </w:pPr>
      <w:rPr>
        <w:rFonts w:ascii="Times New Roman" w:hAnsi="Times New Roman" w:hint="default"/>
      </w:rPr>
    </w:lvl>
    <w:lvl w:ilvl="1" w:tplc="2A546696" w:tentative="1">
      <w:start w:val="1"/>
      <w:numFmt w:val="bullet"/>
      <w:lvlText w:val="•"/>
      <w:lvlJc w:val="left"/>
      <w:pPr>
        <w:tabs>
          <w:tab w:val="num" w:pos="1440"/>
        </w:tabs>
        <w:ind w:left="1440" w:hanging="360"/>
      </w:pPr>
      <w:rPr>
        <w:rFonts w:ascii="Times New Roman" w:hAnsi="Times New Roman" w:hint="default"/>
      </w:rPr>
    </w:lvl>
    <w:lvl w:ilvl="2" w:tplc="F6DAC6B2" w:tentative="1">
      <w:start w:val="1"/>
      <w:numFmt w:val="bullet"/>
      <w:lvlText w:val="•"/>
      <w:lvlJc w:val="left"/>
      <w:pPr>
        <w:tabs>
          <w:tab w:val="num" w:pos="2160"/>
        </w:tabs>
        <w:ind w:left="2160" w:hanging="360"/>
      </w:pPr>
      <w:rPr>
        <w:rFonts w:ascii="Times New Roman" w:hAnsi="Times New Roman" w:hint="default"/>
      </w:rPr>
    </w:lvl>
    <w:lvl w:ilvl="3" w:tplc="17B4BDAC" w:tentative="1">
      <w:start w:val="1"/>
      <w:numFmt w:val="bullet"/>
      <w:lvlText w:val="•"/>
      <w:lvlJc w:val="left"/>
      <w:pPr>
        <w:tabs>
          <w:tab w:val="num" w:pos="2880"/>
        </w:tabs>
        <w:ind w:left="2880" w:hanging="360"/>
      </w:pPr>
      <w:rPr>
        <w:rFonts w:ascii="Times New Roman" w:hAnsi="Times New Roman" w:hint="default"/>
      </w:rPr>
    </w:lvl>
    <w:lvl w:ilvl="4" w:tplc="12D4C156" w:tentative="1">
      <w:start w:val="1"/>
      <w:numFmt w:val="bullet"/>
      <w:lvlText w:val="•"/>
      <w:lvlJc w:val="left"/>
      <w:pPr>
        <w:tabs>
          <w:tab w:val="num" w:pos="3600"/>
        </w:tabs>
        <w:ind w:left="3600" w:hanging="360"/>
      </w:pPr>
      <w:rPr>
        <w:rFonts w:ascii="Times New Roman" w:hAnsi="Times New Roman" w:hint="default"/>
      </w:rPr>
    </w:lvl>
    <w:lvl w:ilvl="5" w:tplc="A2F07FF6" w:tentative="1">
      <w:start w:val="1"/>
      <w:numFmt w:val="bullet"/>
      <w:lvlText w:val="•"/>
      <w:lvlJc w:val="left"/>
      <w:pPr>
        <w:tabs>
          <w:tab w:val="num" w:pos="4320"/>
        </w:tabs>
        <w:ind w:left="4320" w:hanging="360"/>
      </w:pPr>
      <w:rPr>
        <w:rFonts w:ascii="Times New Roman" w:hAnsi="Times New Roman" w:hint="default"/>
      </w:rPr>
    </w:lvl>
    <w:lvl w:ilvl="6" w:tplc="880A7832" w:tentative="1">
      <w:start w:val="1"/>
      <w:numFmt w:val="bullet"/>
      <w:lvlText w:val="•"/>
      <w:lvlJc w:val="left"/>
      <w:pPr>
        <w:tabs>
          <w:tab w:val="num" w:pos="5040"/>
        </w:tabs>
        <w:ind w:left="5040" w:hanging="360"/>
      </w:pPr>
      <w:rPr>
        <w:rFonts w:ascii="Times New Roman" w:hAnsi="Times New Roman" w:hint="default"/>
      </w:rPr>
    </w:lvl>
    <w:lvl w:ilvl="7" w:tplc="82CAFF3E" w:tentative="1">
      <w:start w:val="1"/>
      <w:numFmt w:val="bullet"/>
      <w:lvlText w:val="•"/>
      <w:lvlJc w:val="left"/>
      <w:pPr>
        <w:tabs>
          <w:tab w:val="num" w:pos="5760"/>
        </w:tabs>
        <w:ind w:left="5760" w:hanging="360"/>
      </w:pPr>
      <w:rPr>
        <w:rFonts w:ascii="Times New Roman" w:hAnsi="Times New Roman" w:hint="default"/>
      </w:rPr>
    </w:lvl>
    <w:lvl w:ilvl="8" w:tplc="8228BA8A" w:tentative="1">
      <w:start w:val="1"/>
      <w:numFmt w:val="bullet"/>
      <w:lvlText w:val="•"/>
      <w:lvlJc w:val="left"/>
      <w:pPr>
        <w:tabs>
          <w:tab w:val="num" w:pos="6480"/>
        </w:tabs>
        <w:ind w:left="6480" w:hanging="360"/>
      </w:pPr>
      <w:rPr>
        <w:rFonts w:ascii="Times New Roman" w:hAnsi="Times New Roman" w:hint="default"/>
      </w:rPr>
    </w:lvl>
  </w:abstractNum>
  <w:abstractNum w:abstractNumId="63">
    <w:nsid w:val="6EE234FB"/>
    <w:multiLevelType w:val="hybridMultilevel"/>
    <w:tmpl w:val="3A3A4612"/>
    <w:lvl w:ilvl="0" w:tplc="EBB4175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4">
    <w:nsid w:val="6F56751A"/>
    <w:multiLevelType w:val="hybridMultilevel"/>
    <w:tmpl w:val="5472FC22"/>
    <w:lvl w:ilvl="0" w:tplc="6AD8730A">
      <w:start w:val="1"/>
      <w:numFmt w:val="decimal"/>
      <w:lvlText w:val="%1."/>
      <w:lvlJc w:val="left"/>
      <w:pPr>
        <w:tabs>
          <w:tab w:val="num" w:pos="720"/>
        </w:tabs>
        <w:ind w:left="720" w:hanging="360"/>
      </w:pPr>
    </w:lvl>
    <w:lvl w:ilvl="1" w:tplc="E17252AC" w:tentative="1">
      <w:start w:val="1"/>
      <w:numFmt w:val="decimal"/>
      <w:lvlText w:val="%2."/>
      <w:lvlJc w:val="left"/>
      <w:pPr>
        <w:tabs>
          <w:tab w:val="num" w:pos="1440"/>
        </w:tabs>
        <w:ind w:left="1440" w:hanging="360"/>
      </w:pPr>
    </w:lvl>
    <w:lvl w:ilvl="2" w:tplc="278ED1AA" w:tentative="1">
      <w:start w:val="1"/>
      <w:numFmt w:val="decimal"/>
      <w:lvlText w:val="%3."/>
      <w:lvlJc w:val="left"/>
      <w:pPr>
        <w:tabs>
          <w:tab w:val="num" w:pos="2160"/>
        </w:tabs>
        <w:ind w:left="2160" w:hanging="360"/>
      </w:pPr>
    </w:lvl>
    <w:lvl w:ilvl="3" w:tplc="074677F4" w:tentative="1">
      <w:start w:val="1"/>
      <w:numFmt w:val="decimal"/>
      <w:lvlText w:val="%4."/>
      <w:lvlJc w:val="left"/>
      <w:pPr>
        <w:tabs>
          <w:tab w:val="num" w:pos="2880"/>
        </w:tabs>
        <w:ind w:left="2880" w:hanging="360"/>
      </w:pPr>
    </w:lvl>
    <w:lvl w:ilvl="4" w:tplc="5170AF40" w:tentative="1">
      <w:start w:val="1"/>
      <w:numFmt w:val="decimal"/>
      <w:lvlText w:val="%5."/>
      <w:lvlJc w:val="left"/>
      <w:pPr>
        <w:tabs>
          <w:tab w:val="num" w:pos="3600"/>
        </w:tabs>
        <w:ind w:left="3600" w:hanging="360"/>
      </w:pPr>
    </w:lvl>
    <w:lvl w:ilvl="5" w:tplc="D0E43C9E" w:tentative="1">
      <w:start w:val="1"/>
      <w:numFmt w:val="decimal"/>
      <w:lvlText w:val="%6."/>
      <w:lvlJc w:val="left"/>
      <w:pPr>
        <w:tabs>
          <w:tab w:val="num" w:pos="4320"/>
        </w:tabs>
        <w:ind w:left="4320" w:hanging="360"/>
      </w:pPr>
    </w:lvl>
    <w:lvl w:ilvl="6" w:tplc="F832253E" w:tentative="1">
      <w:start w:val="1"/>
      <w:numFmt w:val="decimal"/>
      <w:lvlText w:val="%7."/>
      <w:lvlJc w:val="left"/>
      <w:pPr>
        <w:tabs>
          <w:tab w:val="num" w:pos="5040"/>
        </w:tabs>
        <w:ind w:left="5040" w:hanging="360"/>
      </w:pPr>
    </w:lvl>
    <w:lvl w:ilvl="7" w:tplc="3C68E05E" w:tentative="1">
      <w:start w:val="1"/>
      <w:numFmt w:val="decimal"/>
      <w:lvlText w:val="%8."/>
      <w:lvlJc w:val="left"/>
      <w:pPr>
        <w:tabs>
          <w:tab w:val="num" w:pos="5760"/>
        </w:tabs>
        <w:ind w:left="5760" w:hanging="360"/>
      </w:pPr>
    </w:lvl>
    <w:lvl w:ilvl="8" w:tplc="0C882FEA" w:tentative="1">
      <w:start w:val="1"/>
      <w:numFmt w:val="decimal"/>
      <w:lvlText w:val="%9."/>
      <w:lvlJc w:val="left"/>
      <w:pPr>
        <w:tabs>
          <w:tab w:val="num" w:pos="6480"/>
        </w:tabs>
        <w:ind w:left="6480" w:hanging="360"/>
      </w:pPr>
    </w:lvl>
  </w:abstractNum>
  <w:abstractNum w:abstractNumId="65">
    <w:nsid w:val="6F7D4B54"/>
    <w:multiLevelType w:val="hybridMultilevel"/>
    <w:tmpl w:val="852EDD78"/>
    <w:lvl w:ilvl="0" w:tplc="DCB22A22">
      <w:start w:val="1"/>
      <w:numFmt w:val="decimal"/>
      <w:lvlText w:val="%1."/>
      <w:lvlJc w:val="left"/>
      <w:pPr>
        <w:ind w:left="720" w:hanging="36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nsid w:val="712B434C"/>
    <w:multiLevelType w:val="hybridMultilevel"/>
    <w:tmpl w:val="0C740546"/>
    <w:lvl w:ilvl="0" w:tplc="CD4C67C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7">
    <w:nsid w:val="733B68C7"/>
    <w:multiLevelType w:val="hybridMultilevel"/>
    <w:tmpl w:val="771A8B0E"/>
    <w:lvl w:ilvl="0" w:tplc="7AA47FE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8">
    <w:nsid w:val="75936416"/>
    <w:multiLevelType w:val="hybridMultilevel"/>
    <w:tmpl w:val="E1ECB03A"/>
    <w:lvl w:ilvl="0" w:tplc="98D242A2">
      <w:start w:val="1"/>
      <w:numFmt w:val="bullet"/>
      <w:lvlText w:val="•"/>
      <w:lvlJc w:val="left"/>
      <w:pPr>
        <w:tabs>
          <w:tab w:val="num" w:pos="2436"/>
        </w:tabs>
        <w:ind w:left="2436" w:hanging="360"/>
      </w:pPr>
      <w:rPr>
        <w:rFonts w:ascii="Verdana" w:hAnsi="Verdana" w:hint="default"/>
        <w:color w:val="auto"/>
      </w:rPr>
    </w:lvl>
    <w:lvl w:ilvl="1" w:tplc="CD4C67C8">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775D6AC6"/>
    <w:multiLevelType w:val="hybridMultilevel"/>
    <w:tmpl w:val="E93E9AB6"/>
    <w:lvl w:ilvl="0" w:tplc="18A255F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0">
    <w:nsid w:val="78E53A97"/>
    <w:multiLevelType w:val="hybridMultilevel"/>
    <w:tmpl w:val="BCDCD17C"/>
    <w:lvl w:ilvl="0" w:tplc="8016679E">
      <w:start w:val="1"/>
      <w:numFmt w:val="bullet"/>
      <w:lvlText w:val=""/>
      <w:lvlJc w:val="left"/>
      <w:pPr>
        <w:tabs>
          <w:tab w:val="num" w:pos="3060"/>
        </w:tabs>
        <w:ind w:left="3060" w:hanging="360"/>
      </w:pPr>
      <w:rPr>
        <w:rFonts w:ascii="Wingdings" w:hAnsi="Wingdings" w:hint="default"/>
        <w:color w:val="auto"/>
      </w:rPr>
    </w:lvl>
    <w:lvl w:ilvl="1" w:tplc="04090003">
      <w:start w:val="1"/>
      <w:numFmt w:val="bullet"/>
      <w:lvlText w:val="o"/>
      <w:lvlJc w:val="left"/>
      <w:pPr>
        <w:tabs>
          <w:tab w:val="num" w:pos="2736"/>
        </w:tabs>
        <w:ind w:left="2736" w:hanging="360"/>
      </w:pPr>
      <w:rPr>
        <w:rFonts w:ascii="Courier New" w:hAnsi="Courier New" w:cs="Courier New" w:hint="default"/>
      </w:rPr>
    </w:lvl>
    <w:lvl w:ilvl="2" w:tplc="8016679E">
      <w:start w:val="1"/>
      <w:numFmt w:val="bullet"/>
      <w:lvlText w:val=""/>
      <w:lvlJc w:val="left"/>
      <w:pPr>
        <w:tabs>
          <w:tab w:val="num" w:pos="3456"/>
        </w:tabs>
        <w:ind w:left="3456" w:hanging="360"/>
      </w:pPr>
      <w:rPr>
        <w:rFonts w:ascii="Wingdings" w:hAnsi="Wingdings" w:hint="default"/>
        <w:color w:val="auto"/>
      </w:rPr>
    </w:lvl>
    <w:lvl w:ilvl="3" w:tplc="04090001" w:tentative="1">
      <w:start w:val="1"/>
      <w:numFmt w:val="bullet"/>
      <w:lvlText w:val=""/>
      <w:lvlJc w:val="left"/>
      <w:pPr>
        <w:tabs>
          <w:tab w:val="num" w:pos="4176"/>
        </w:tabs>
        <w:ind w:left="4176" w:hanging="360"/>
      </w:pPr>
      <w:rPr>
        <w:rFonts w:ascii="Symbol" w:hAnsi="Symbol" w:hint="default"/>
      </w:rPr>
    </w:lvl>
    <w:lvl w:ilvl="4" w:tplc="04090003" w:tentative="1">
      <w:start w:val="1"/>
      <w:numFmt w:val="bullet"/>
      <w:lvlText w:val="o"/>
      <w:lvlJc w:val="left"/>
      <w:pPr>
        <w:tabs>
          <w:tab w:val="num" w:pos="4896"/>
        </w:tabs>
        <w:ind w:left="4896" w:hanging="360"/>
      </w:pPr>
      <w:rPr>
        <w:rFonts w:ascii="Courier New" w:hAnsi="Courier New" w:cs="Courier New" w:hint="default"/>
      </w:rPr>
    </w:lvl>
    <w:lvl w:ilvl="5" w:tplc="04090005" w:tentative="1">
      <w:start w:val="1"/>
      <w:numFmt w:val="bullet"/>
      <w:lvlText w:val=""/>
      <w:lvlJc w:val="left"/>
      <w:pPr>
        <w:tabs>
          <w:tab w:val="num" w:pos="5616"/>
        </w:tabs>
        <w:ind w:left="5616" w:hanging="360"/>
      </w:pPr>
      <w:rPr>
        <w:rFonts w:ascii="Wingdings" w:hAnsi="Wingdings" w:hint="default"/>
      </w:rPr>
    </w:lvl>
    <w:lvl w:ilvl="6" w:tplc="04090001" w:tentative="1">
      <w:start w:val="1"/>
      <w:numFmt w:val="bullet"/>
      <w:lvlText w:val=""/>
      <w:lvlJc w:val="left"/>
      <w:pPr>
        <w:tabs>
          <w:tab w:val="num" w:pos="6336"/>
        </w:tabs>
        <w:ind w:left="6336" w:hanging="360"/>
      </w:pPr>
      <w:rPr>
        <w:rFonts w:ascii="Symbol" w:hAnsi="Symbol" w:hint="default"/>
      </w:rPr>
    </w:lvl>
    <w:lvl w:ilvl="7" w:tplc="04090003" w:tentative="1">
      <w:start w:val="1"/>
      <w:numFmt w:val="bullet"/>
      <w:lvlText w:val="o"/>
      <w:lvlJc w:val="left"/>
      <w:pPr>
        <w:tabs>
          <w:tab w:val="num" w:pos="7056"/>
        </w:tabs>
        <w:ind w:left="7056" w:hanging="360"/>
      </w:pPr>
      <w:rPr>
        <w:rFonts w:ascii="Courier New" w:hAnsi="Courier New" w:cs="Courier New" w:hint="default"/>
      </w:rPr>
    </w:lvl>
    <w:lvl w:ilvl="8" w:tplc="04090005" w:tentative="1">
      <w:start w:val="1"/>
      <w:numFmt w:val="bullet"/>
      <w:lvlText w:val=""/>
      <w:lvlJc w:val="left"/>
      <w:pPr>
        <w:tabs>
          <w:tab w:val="num" w:pos="7776"/>
        </w:tabs>
        <w:ind w:left="7776" w:hanging="360"/>
      </w:pPr>
      <w:rPr>
        <w:rFonts w:ascii="Wingdings" w:hAnsi="Wingdings" w:hint="default"/>
      </w:rPr>
    </w:lvl>
  </w:abstractNum>
  <w:abstractNum w:abstractNumId="71">
    <w:nsid w:val="7AE97DF5"/>
    <w:multiLevelType w:val="hybridMultilevel"/>
    <w:tmpl w:val="F5A8F390"/>
    <w:lvl w:ilvl="0" w:tplc="8016679E">
      <w:start w:val="1"/>
      <w:numFmt w:val="bullet"/>
      <w:lvlText w:val=""/>
      <w:lvlJc w:val="left"/>
      <w:pPr>
        <w:tabs>
          <w:tab w:val="num" w:pos="1800"/>
        </w:tabs>
        <w:ind w:left="180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7C175FCB"/>
    <w:multiLevelType w:val="hybridMultilevel"/>
    <w:tmpl w:val="E37E0C32"/>
    <w:lvl w:ilvl="0" w:tplc="B9A0DABC">
      <w:start w:val="1"/>
      <w:numFmt w:val="decimal"/>
      <w:lvlText w:val="%1)"/>
      <w:lvlJc w:val="left"/>
      <w:pPr>
        <w:tabs>
          <w:tab w:val="num" w:pos="808"/>
        </w:tabs>
        <w:ind w:left="808" w:hanging="360"/>
      </w:pPr>
      <w:rPr>
        <w:rFonts w:ascii="Times New Roman" w:eastAsia="Times New Roman" w:hAnsi="Times New Roman" w:cs="Times New Roman"/>
        <w:color w:val="auto"/>
        <w:sz w:val="16"/>
      </w:rPr>
    </w:lvl>
    <w:lvl w:ilvl="1" w:tplc="04270019">
      <w:start w:val="1"/>
      <w:numFmt w:val="lowerLetter"/>
      <w:lvlText w:val="%2."/>
      <w:lvlJc w:val="left"/>
      <w:pPr>
        <w:tabs>
          <w:tab w:val="num" w:pos="1888"/>
        </w:tabs>
        <w:ind w:left="1888" w:hanging="360"/>
      </w:pPr>
    </w:lvl>
    <w:lvl w:ilvl="2" w:tplc="0427001B" w:tentative="1">
      <w:start w:val="1"/>
      <w:numFmt w:val="lowerRoman"/>
      <w:lvlText w:val="%3."/>
      <w:lvlJc w:val="right"/>
      <w:pPr>
        <w:tabs>
          <w:tab w:val="num" w:pos="2608"/>
        </w:tabs>
        <w:ind w:left="2608" w:hanging="180"/>
      </w:pPr>
    </w:lvl>
    <w:lvl w:ilvl="3" w:tplc="0427000F" w:tentative="1">
      <w:start w:val="1"/>
      <w:numFmt w:val="decimal"/>
      <w:lvlText w:val="%4."/>
      <w:lvlJc w:val="left"/>
      <w:pPr>
        <w:tabs>
          <w:tab w:val="num" w:pos="3328"/>
        </w:tabs>
        <w:ind w:left="3328" w:hanging="360"/>
      </w:pPr>
    </w:lvl>
    <w:lvl w:ilvl="4" w:tplc="04270019" w:tentative="1">
      <w:start w:val="1"/>
      <w:numFmt w:val="lowerLetter"/>
      <w:lvlText w:val="%5."/>
      <w:lvlJc w:val="left"/>
      <w:pPr>
        <w:tabs>
          <w:tab w:val="num" w:pos="4048"/>
        </w:tabs>
        <w:ind w:left="4048" w:hanging="360"/>
      </w:pPr>
    </w:lvl>
    <w:lvl w:ilvl="5" w:tplc="0427001B" w:tentative="1">
      <w:start w:val="1"/>
      <w:numFmt w:val="lowerRoman"/>
      <w:lvlText w:val="%6."/>
      <w:lvlJc w:val="right"/>
      <w:pPr>
        <w:tabs>
          <w:tab w:val="num" w:pos="4768"/>
        </w:tabs>
        <w:ind w:left="4768" w:hanging="180"/>
      </w:pPr>
    </w:lvl>
    <w:lvl w:ilvl="6" w:tplc="0427000F" w:tentative="1">
      <w:start w:val="1"/>
      <w:numFmt w:val="decimal"/>
      <w:lvlText w:val="%7."/>
      <w:lvlJc w:val="left"/>
      <w:pPr>
        <w:tabs>
          <w:tab w:val="num" w:pos="5488"/>
        </w:tabs>
        <w:ind w:left="5488" w:hanging="360"/>
      </w:pPr>
    </w:lvl>
    <w:lvl w:ilvl="7" w:tplc="04270019" w:tentative="1">
      <w:start w:val="1"/>
      <w:numFmt w:val="lowerLetter"/>
      <w:lvlText w:val="%8."/>
      <w:lvlJc w:val="left"/>
      <w:pPr>
        <w:tabs>
          <w:tab w:val="num" w:pos="6208"/>
        </w:tabs>
        <w:ind w:left="6208" w:hanging="360"/>
      </w:pPr>
    </w:lvl>
    <w:lvl w:ilvl="8" w:tplc="0427001B" w:tentative="1">
      <w:start w:val="1"/>
      <w:numFmt w:val="lowerRoman"/>
      <w:lvlText w:val="%9."/>
      <w:lvlJc w:val="right"/>
      <w:pPr>
        <w:tabs>
          <w:tab w:val="num" w:pos="6928"/>
        </w:tabs>
        <w:ind w:left="6928" w:hanging="180"/>
      </w:pPr>
    </w:lvl>
  </w:abstractNum>
  <w:abstractNum w:abstractNumId="73">
    <w:nsid w:val="7C256040"/>
    <w:multiLevelType w:val="hybridMultilevel"/>
    <w:tmpl w:val="C4267D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4">
    <w:nsid w:val="7D074554"/>
    <w:multiLevelType w:val="hybridMultilevel"/>
    <w:tmpl w:val="E4F2B914"/>
    <w:lvl w:ilvl="0" w:tplc="98D242A2">
      <w:start w:val="1"/>
      <w:numFmt w:val="bullet"/>
      <w:lvlText w:val="•"/>
      <w:lvlJc w:val="left"/>
      <w:pPr>
        <w:tabs>
          <w:tab w:val="num" w:pos="2436"/>
        </w:tabs>
        <w:ind w:left="2436" w:hanging="360"/>
      </w:pPr>
      <w:rPr>
        <w:rFonts w:ascii="Verdana" w:hAnsi="Verdana" w:hint="default"/>
        <w:color w:val="auto"/>
      </w:rPr>
    </w:lvl>
    <w:lvl w:ilvl="1" w:tplc="CD4C67C8">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4"/>
  </w:num>
  <w:num w:numId="3">
    <w:abstractNumId w:val="28"/>
  </w:num>
  <w:num w:numId="4">
    <w:abstractNumId w:val="4"/>
  </w:num>
  <w:num w:numId="5">
    <w:abstractNumId w:val="54"/>
  </w:num>
  <w:num w:numId="6">
    <w:abstractNumId w:val="50"/>
  </w:num>
  <w:num w:numId="7">
    <w:abstractNumId w:val="26"/>
  </w:num>
  <w:num w:numId="8">
    <w:abstractNumId w:val="12"/>
  </w:num>
  <w:num w:numId="9">
    <w:abstractNumId w:val="51"/>
  </w:num>
  <w:num w:numId="10">
    <w:abstractNumId w:val="56"/>
  </w:num>
  <w:num w:numId="11">
    <w:abstractNumId w:val="17"/>
  </w:num>
  <w:num w:numId="12">
    <w:abstractNumId w:val="21"/>
  </w:num>
  <w:num w:numId="13">
    <w:abstractNumId w:val="29"/>
  </w:num>
  <w:num w:numId="14">
    <w:abstractNumId w:val="31"/>
  </w:num>
  <w:num w:numId="15">
    <w:abstractNumId w:val="3"/>
  </w:num>
  <w:num w:numId="16">
    <w:abstractNumId w:val="41"/>
  </w:num>
  <w:num w:numId="17">
    <w:abstractNumId w:val="59"/>
  </w:num>
  <w:num w:numId="18">
    <w:abstractNumId w:val="38"/>
  </w:num>
  <w:num w:numId="19">
    <w:abstractNumId w:val="37"/>
  </w:num>
  <w:num w:numId="20">
    <w:abstractNumId w:val="72"/>
  </w:num>
  <w:num w:numId="21">
    <w:abstractNumId w:val="62"/>
  </w:num>
  <w:num w:numId="22">
    <w:abstractNumId w:val="64"/>
  </w:num>
  <w:num w:numId="23">
    <w:abstractNumId w:val="48"/>
  </w:num>
  <w:num w:numId="24">
    <w:abstractNumId w:val="19"/>
  </w:num>
  <w:num w:numId="25">
    <w:abstractNumId w:val="7"/>
  </w:num>
  <w:num w:numId="26">
    <w:abstractNumId w:val="23"/>
  </w:num>
  <w:num w:numId="27">
    <w:abstractNumId w:val="20"/>
  </w:num>
  <w:num w:numId="28">
    <w:abstractNumId w:val="0"/>
  </w:num>
  <w:num w:numId="29">
    <w:abstractNumId w:val="33"/>
  </w:num>
  <w:num w:numId="30">
    <w:abstractNumId w:val="24"/>
  </w:num>
  <w:num w:numId="31">
    <w:abstractNumId w:val="5"/>
  </w:num>
  <w:num w:numId="32">
    <w:abstractNumId w:val="40"/>
  </w:num>
  <w:num w:numId="33">
    <w:abstractNumId w:val="10"/>
  </w:num>
  <w:num w:numId="34">
    <w:abstractNumId w:val="71"/>
  </w:num>
  <w:num w:numId="35">
    <w:abstractNumId w:val="70"/>
  </w:num>
  <w:num w:numId="36">
    <w:abstractNumId w:val="57"/>
  </w:num>
  <w:num w:numId="37">
    <w:abstractNumId w:val="66"/>
  </w:num>
  <w:num w:numId="38">
    <w:abstractNumId w:val="8"/>
  </w:num>
  <w:num w:numId="39">
    <w:abstractNumId w:val="1"/>
  </w:num>
  <w:num w:numId="40">
    <w:abstractNumId w:val="74"/>
  </w:num>
  <w:num w:numId="41">
    <w:abstractNumId w:val="68"/>
  </w:num>
  <w:num w:numId="42">
    <w:abstractNumId w:val="15"/>
  </w:num>
  <w:num w:numId="43">
    <w:abstractNumId w:val="13"/>
  </w:num>
  <w:num w:numId="44">
    <w:abstractNumId w:val="61"/>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5"/>
  </w:num>
  <w:num w:numId="47">
    <w:abstractNumId w:val="63"/>
  </w:num>
  <w:num w:numId="48">
    <w:abstractNumId w:val="6"/>
  </w:num>
  <w:num w:numId="49">
    <w:abstractNumId w:val="39"/>
  </w:num>
  <w:num w:numId="50">
    <w:abstractNumId w:val="27"/>
  </w:num>
  <w:num w:numId="51">
    <w:abstractNumId w:val="32"/>
  </w:num>
  <w:num w:numId="52">
    <w:abstractNumId w:val="44"/>
  </w:num>
  <w:num w:numId="53">
    <w:abstractNumId w:val="9"/>
  </w:num>
  <w:num w:numId="54">
    <w:abstractNumId w:val="43"/>
  </w:num>
  <w:num w:numId="55">
    <w:abstractNumId w:val="58"/>
  </w:num>
  <w:num w:numId="56">
    <w:abstractNumId w:val="16"/>
  </w:num>
  <w:num w:numId="57">
    <w:abstractNumId w:val="65"/>
  </w:num>
  <w:num w:numId="58">
    <w:abstractNumId w:val="46"/>
  </w:num>
  <w:num w:numId="59">
    <w:abstractNumId w:val="42"/>
  </w:num>
  <w:num w:numId="60">
    <w:abstractNumId w:val="60"/>
  </w:num>
  <w:num w:numId="61">
    <w:abstractNumId w:val="14"/>
  </w:num>
  <w:num w:numId="62">
    <w:abstractNumId w:val="49"/>
  </w:num>
  <w:num w:numId="63">
    <w:abstractNumId w:val="11"/>
  </w:num>
  <w:num w:numId="64">
    <w:abstractNumId w:val="35"/>
  </w:num>
  <w:num w:numId="65">
    <w:abstractNumId w:val="73"/>
  </w:num>
  <w:num w:numId="66">
    <w:abstractNumId w:val="45"/>
  </w:num>
  <w:num w:numId="67">
    <w:abstractNumId w:val="18"/>
  </w:num>
  <w:num w:numId="68">
    <w:abstractNumId w:val="69"/>
  </w:num>
  <w:num w:numId="69">
    <w:abstractNumId w:val="25"/>
  </w:num>
  <w:num w:numId="70">
    <w:abstractNumId w:val="22"/>
  </w:num>
  <w:num w:numId="71">
    <w:abstractNumId w:val="67"/>
  </w:num>
  <w:num w:numId="72">
    <w:abstractNumId w:val="53"/>
  </w:num>
  <w:num w:numId="73">
    <w:abstractNumId w:val="47"/>
  </w:num>
  <w:num w:numId="74">
    <w:abstractNumId w:val="30"/>
  </w:num>
  <w:num w:numId="75">
    <w:abstractNumId w:val="5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1296"/>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A0A"/>
    <w:rsid w:val="002B7A0A"/>
    <w:rsid w:val="002E5D37"/>
    <w:rsid w:val="00344E26"/>
    <w:rsid w:val="00416DDC"/>
    <w:rsid w:val="004F7425"/>
    <w:rsid w:val="00522C32"/>
    <w:rsid w:val="005412CA"/>
    <w:rsid w:val="00585AD9"/>
    <w:rsid w:val="006222CC"/>
    <w:rsid w:val="00626711"/>
    <w:rsid w:val="007A1594"/>
    <w:rsid w:val="00872CAE"/>
    <w:rsid w:val="00892E5C"/>
    <w:rsid w:val="008A1E68"/>
    <w:rsid w:val="008C1510"/>
    <w:rsid w:val="008E05AA"/>
    <w:rsid w:val="00A2543C"/>
    <w:rsid w:val="00B91CA6"/>
    <w:rsid w:val="00C07927"/>
    <w:rsid w:val="00CF5DDA"/>
    <w:rsid w:val="00D06B9C"/>
    <w:rsid w:val="00D138CB"/>
    <w:rsid w:val="00DD08F5"/>
    <w:rsid w:val="00E80028"/>
    <w:rsid w:val="00F77E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B7A0A"/>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F77E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qFormat/>
    <w:rsid w:val="008E05AA"/>
    <w:pPr>
      <w:keepNext/>
      <w:jc w:val="both"/>
      <w:outlineLvl w:val="1"/>
    </w:pPr>
    <w:rPr>
      <w:b/>
      <w:bCs/>
      <w:szCs w:val="20"/>
    </w:rPr>
  </w:style>
  <w:style w:type="paragraph" w:styleId="Antrat3">
    <w:name w:val="heading 3"/>
    <w:basedOn w:val="prastasis"/>
    <w:next w:val="prastasis"/>
    <w:link w:val="Antrat3Diagrama"/>
    <w:unhideWhenUsed/>
    <w:qFormat/>
    <w:rsid w:val="008E05AA"/>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unhideWhenUsed/>
    <w:qFormat/>
    <w:rsid w:val="00585AD9"/>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nhideWhenUsed/>
    <w:qFormat/>
    <w:rsid w:val="00585AD9"/>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nhideWhenUsed/>
    <w:qFormat/>
    <w:rsid w:val="002B7A0A"/>
    <w:pPr>
      <w:keepNext/>
      <w:jc w:val="center"/>
      <w:outlineLvl w:val="5"/>
    </w:pPr>
    <w:rPr>
      <w:b/>
      <w:color w:val="008000"/>
      <w:sz w:val="52"/>
    </w:rPr>
  </w:style>
  <w:style w:type="paragraph" w:styleId="Antrat7">
    <w:name w:val="heading 7"/>
    <w:basedOn w:val="prastasis"/>
    <w:next w:val="prastasis"/>
    <w:link w:val="Antrat7Diagrama"/>
    <w:unhideWhenUsed/>
    <w:qFormat/>
    <w:rsid w:val="00585AD9"/>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unhideWhenUsed/>
    <w:qFormat/>
    <w:rsid w:val="00585AD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Antrat9">
    <w:name w:val="heading 9"/>
    <w:basedOn w:val="prastasis"/>
    <w:next w:val="prastasis"/>
    <w:link w:val="Antrat9Diagrama"/>
    <w:unhideWhenUsed/>
    <w:qFormat/>
    <w:rsid w:val="007A159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6Diagrama">
    <w:name w:val="Antraštė 6 Diagrama"/>
    <w:basedOn w:val="Numatytasispastraiposriftas"/>
    <w:link w:val="Antrat6"/>
    <w:semiHidden/>
    <w:rsid w:val="002B7A0A"/>
    <w:rPr>
      <w:rFonts w:ascii="Times New Roman" w:eastAsia="Times New Roman" w:hAnsi="Times New Roman" w:cs="Times New Roman"/>
      <w:b/>
      <w:color w:val="008000"/>
      <w:sz w:val="52"/>
      <w:szCs w:val="24"/>
    </w:rPr>
  </w:style>
  <w:style w:type="character" w:customStyle="1" w:styleId="Antrat1Diagrama">
    <w:name w:val="Antraštė 1 Diagrama"/>
    <w:basedOn w:val="Numatytasispastraiposriftas"/>
    <w:link w:val="Antrat1"/>
    <w:uiPriority w:val="9"/>
    <w:rsid w:val="00F77E33"/>
    <w:rPr>
      <w:rFonts w:asciiTheme="majorHAnsi" w:eastAsiaTheme="majorEastAsia" w:hAnsiTheme="majorHAnsi" w:cstheme="majorBidi"/>
      <w:b/>
      <w:bCs/>
      <w:color w:val="365F91" w:themeColor="accent1" w:themeShade="BF"/>
      <w:sz w:val="28"/>
      <w:szCs w:val="28"/>
    </w:rPr>
  </w:style>
  <w:style w:type="paragraph" w:styleId="prastasistinklapis">
    <w:name w:val="Normal (Web)"/>
    <w:basedOn w:val="prastasis"/>
    <w:uiPriority w:val="99"/>
    <w:unhideWhenUsed/>
    <w:rsid w:val="00B91CA6"/>
    <w:pPr>
      <w:spacing w:before="100" w:beforeAutospacing="1" w:after="100" w:afterAutospacing="1"/>
    </w:pPr>
    <w:rPr>
      <w:lang w:eastAsia="lt-LT"/>
    </w:rPr>
  </w:style>
  <w:style w:type="character" w:styleId="Grietas">
    <w:name w:val="Strong"/>
    <w:basedOn w:val="Numatytasispastraiposriftas"/>
    <w:uiPriority w:val="22"/>
    <w:qFormat/>
    <w:rsid w:val="00B91CA6"/>
    <w:rPr>
      <w:b/>
      <w:bCs/>
    </w:rPr>
  </w:style>
  <w:style w:type="character" w:customStyle="1" w:styleId="Antrat4Diagrama">
    <w:name w:val="Antraštė 4 Diagrama"/>
    <w:basedOn w:val="Numatytasispastraiposriftas"/>
    <w:link w:val="Antrat4"/>
    <w:uiPriority w:val="9"/>
    <w:rsid w:val="00585AD9"/>
    <w:rPr>
      <w:rFonts w:asciiTheme="majorHAnsi" w:eastAsiaTheme="majorEastAsia" w:hAnsiTheme="majorHAnsi" w:cstheme="majorBidi"/>
      <w:b/>
      <w:bCs/>
      <w:i/>
      <w:iCs/>
      <w:color w:val="4F81BD" w:themeColor="accent1"/>
      <w:sz w:val="24"/>
      <w:szCs w:val="24"/>
    </w:rPr>
  </w:style>
  <w:style w:type="character" w:customStyle="1" w:styleId="Antrat5Diagrama">
    <w:name w:val="Antraštė 5 Diagrama"/>
    <w:basedOn w:val="Numatytasispastraiposriftas"/>
    <w:link w:val="Antrat5"/>
    <w:semiHidden/>
    <w:rsid w:val="00585AD9"/>
    <w:rPr>
      <w:rFonts w:asciiTheme="majorHAnsi" w:eastAsiaTheme="majorEastAsia" w:hAnsiTheme="majorHAnsi" w:cstheme="majorBidi"/>
      <w:color w:val="243F60" w:themeColor="accent1" w:themeShade="7F"/>
      <w:sz w:val="24"/>
      <w:szCs w:val="24"/>
    </w:rPr>
  </w:style>
  <w:style w:type="character" w:customStyle="1" w:styleId="Antrat7Diagrama">
    <w:name w:val="Antraštė 7 Diagrama"/>
    <w:basedOn w:val="Numatytasispastraiposriftas"/>
    <w:link w:val="Antrat7"/>
    <w:uiPriority w:val="9"/>
    <w:semiHidden/>
    <w:rsid w:val="00585AD9"/>
    <w:rPr>
      <w:rFonts w:asciiTheme="majorHAnsi" w:eastAsiaTheme="majorEastAsia" w:hAnsiTheme="majorHAnsi" w:cstheme="majorBidi"/>
      <w:i/>
      <w:iCs/>
      <w:color w:val="404040" w:themeColor="text1" w:themeTint="BF"/>
      <w:sz w:val="24"/>
      <w:szCs w:val="24"/>
    </w:rPr>
  </w:style>
  <w:style w:type="character" w:customStyle="1" w:styleId="Antrat8Diagrama">
    <w:name w:val="Antraštė 8 Diagrama"/>
    <w:basedOn w:val="Numatytasispastraiposriftas"/>
    <w:link w:val="Antrat8"/>
    <w:uiPriority w:val="9"/>
    <w:semiHidden/>
    <w:rsid w:val="00585AD9"/>
    <w:rPr>
      <w:rFonts w:asciiTheme="majorHAnsi" w:eastAsiaTheme="majorEastAsia" w:hAnsiTheme="majorHAnsi" w:cstheme="majorBidi"/>
      <w:color w:val="404040" w:themeColor="text1" w:themeTint="BF"/>
      <w:sz w:val="20"/>
      <w:szCs w:val="20"/>
    </w:rPr>
  </w:style>
  <w:style w:type="paragraph" w:styleId="Pagrindiniotekstotrauka">
    <w:name w:val="Body Text Indent"/>
    <w:basedOn w:val="prastasis"/>
    <w:link w:val="PagrindiniotekstotraukaDiagrama"/>
    <w:uiPriority w:val="99"/>
    <w:rsid w:val="00585AD9"/>
    <w:pPr>
      <w:ind w:firstLine="720"/>
      <w:jc w:val="both"/>
    </w:pPr>
    <w:rPr>
      <w:szCs w:val="20"/>
      <w:lang w:val="en-US"/>
    </w:rPr>
  </w:style>
  <w:style w:type="character" w:customStyle="1" w:styleId="PagrindiniotekstotraukaDiagrama">
    <w:name w:val="Pagrindinio teksto įtrauka Diagrama"/>
    <w:basedOn w:val="Numatytasispastraiposriftas"/>
    <w:link w:val="Pagrindiniotekstotrauka"/>
    <w:uiPriority w:val="99"/>
    <w:rsid w:val="00585AD9"/>
    <w:rPr>
      <w:rFonts w:ascii="Times New Roman" w:eastAsia="Times New Roman" w:hAnsi="Times New Roman" w:cs="Times New Roman"/>
      <w:sz w:val="24"/>
      <w:szCs w:val="20"/>
      <w:lang w:val="en-US"/>
    </w:rPr>
  </w:style>
  <w:style w:type="paragraph" w:styleId="Pagrindinistekstas">
    <w:name w:val="Body Text"/>
    <w:aliases w:val="block style,Body"/>
    <w:basedOn w:val="prastasis"/>
    <w:link w:val="PagrindinistekstasDiagrama"/>
    <w:uiPriority w:val="99"/>
    <w:rsid w:val="00585AD9"/>
    <w:pPr>
      <w:jc w:val="both"/>
    </w:pPr>
  </w:style>
  <w:style w:type="character" w:customStyle="1" w:styleId="PagrindinistekstasDiagrama">
    <w:name w:val="Pagrindinis tekstas Diagrama"/>
    <w:aliases w:val="block style Diagrama,Body Diagrama"/>
    <w:basedOn w:val="Numatytasispastraiposriftas"/>
    <w:link w:val="Pagrindinistekstas"/>
    <w:uiPriority w:val="99"/>
    <w:rsid w:val="00585AD9"/>
    <w:rPr>
      <w:rFonts w:ascii="Times New Roman" w:eastAsia="Times New Roman" w:hAnsi="Times New Roman" w:cs="Times New Roman"/>
      <w:sz w:val="24"/>
      <w:szCs w:val="24"/>
    </w:rPr>
  </w:style>
  <w:style w:type="character" w:styleId="Hipersaitas">
    <w:name w:val="Hyperlink"/>
    <w:basedOn w:val="Numatytasispastraiposriftas"/>
    <w:uiPriority w:val="99"/>
    <w:rsid w:val="00585AD9"/>
    <w:rPr>
      <w:color w:val="0000FF"/>
      <w:u w:val="single"/>
    </w:rPr>
  </w:style>
  <w:style w:type="paragraph" w:styleId="HTMLiankstoformatuotas">
    <w:name w:val="HTML Preformatted"/>
    <w:basedOn w:val="prastasis"/>
    <w:link w:val="HTMLiankstoformatuotasDiagrama"/>
    <w:semiHidden/>
    <w:rsid w:val="00585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character" w:customStyle="1" w:styleId="HTMLiankstoformatuotasDiagrama">
    <w:name w:val="HTML iš anksto formatuotas Diagrama"/>
    <w:basedOn w:val="Numatytasispastraiposriftas"/>
    <w:link w:val="HTMLiankstoformatuotas"/>
    <w:semiHidden/>
    <w:rsid w:val="00585AD9"/>
    <w:rPr>
      <w:rFonts w:ascii="Courier New" w:eastAsia="Courier New" w:hAnsi="Courier New" w:cs="Courier New"/>
      <w:sz w:val="20"/>
      <w:szCs w:val="20"/>
      <w:lang w:val="en-GB"/>
    </w:rPr>
  </w:style>
  <w:style w:type="character" w:customStyle="1" w:styleId="datametai">
    <w:name w:val="datametai"/>
    <w:basedOn w:val="Numatytasispastraiposriftas"/>
    <w:rsid w:val="00585AD9"/>
  </w:style>
  <w:style w:type="character" w:customStyle="1" w:styleId="datamnuo">
    <w:name w:val="datamnuo"/>
    <w:basedOn w:val="Numatytasispastraiposriftas"/>
    <w:rsid w:val="00585AD9"/>
  </w:style>
  <w:style w:type="character" w:customStyle="1" w:styleId="datadiena">
    <w:name w:val="datadiena"/>
    <w:basedOn w:val="Numatytasispastraiposriftas"/>
    <w:rsid w:val="00585AD9"/>
  </w:style>
  <w:style w:type="character" w:customStyle="1" w:styleId="statymonr">
    <w:name w:val="statymonr"/>
    <w:basedOn w:val="Numatytasispastraiposriftas"/>
    <w:rsid w:val="00585AD9"/>
  </w:style>
  <w:style w:type="character" w:styleId="Puslapioinaosnuoroda">
    <w:name w:val="footnote reference"/>
    <w:basedOn w:val="Numatytasispastraiposriftas"/>
    <w:semiHidden/>
    <w:rsid w:val="00585AD9"/>
    <w:rPr>
      <w:vertAlign w:val="superscript"/>
    </w:rPr>
  </w:style>
  <w:style w:type="paragraph" w:styleId="Pagrindinistekstas2">
    <w:name w:val="Body Text 2"/>
    <w:basedOn w:val="prastasis"/>
    <w:link w:val="Pagrindinistekstas2Diagrama"/>
    <w:uiPriority w:val="99"/>
    <w:rsid w:val="00585AD9"/>
    <w:rPr>
      <w:szCs w:val="20"/>
    </w:rPr>
  </w:style>
  <w:style w:type="character" w:customStyle="1" w:styleId="Pagrindinistekstas2Diagrama">
    <w:name w:val="Pagrindinis tekstas 2 Diagrama"/>
    <w:basedOn w:val="Numatytasispastraiposriftas"/>
    <w:link w:val="Pagrindinistekstas2"/>
    <w:uiPriority w:val="99"/>
    <w:rsid w:val="00585AD9"/>
    <w:rPr>
      <w:rFonts w:ascii="Times New Roman" w:eastAsia="Times New Roman" w:hAnsi="Times New Roman" w:cs="Times New Roman"/>
      <w:sz w:val="24"/>
      <w:szCs w:val="20"/>
    </w:rPr>
  </w:style>
  <w:style w:type="paragraph" w:customStyle="1" w:styleId="SubjectHeading">
    <w:name w:val="Subject Heading"/>
    <w:basedOn w:val="prastasis"/>
    <w:next w:val="prastasis"/>
    <w:rsid w:val="00585AD9"/>
    <w:pPr>
      <w:spacing w:before="480" w:after="240"/>
      <w:jc w:val="center"/>
    </w:pPr>
    <w:rPr>
      <w:rFonts w:ascii="Arial" w:hAnsi="Arial"/>
      <w:b/>
      <w:sz w:val="32"/>
      <w:szCs w:val="20"/>
      <w:lang w:val="en-GB"/>
    </w:rPr>
  </w:style>
  <w:style w:type="paragraph" w:styleId="Puslapioinaostekstas">
    <w:name w:val="footnote text"/>
    <w:basedOn w:val="prastasis"/>
    <w:link w:val="PuslapioinaostekstasDiagrama"/>
    <w:semiHidden/>
    <w:rsid w:val="00585AD9"/>
    <w:rPr>
      <w:sz w:val="20"/>
      <w:szCs w:val="20"/>
      <w:lang w:eastAsia="lt-LT"/>
    </w:rPr>
  </w:style>
  <w:style w:type="character" w:customStyle="1" w:styleId="PuslapioinaostekstasDiagrama">
    <w:name w:val="Puslapio išnašos tekstas Diagrama"/>
    <w:basedOn w:val="Numatytasispastraiposriftas"/>
    <w:link w:val="Puslapioinaostekstas"/>
    <w:semiHidden/>
    <w:rsid w:val="00585AD9"/>
    <w:rPr>
      <w:rFonts w:ascii="Times New Roman" w:eastAsia="Times New Roman" w:hAnsi="Times New Roman" w:cs="Times New Roman"/>
      <w:sz w:val="20"/>
      <w:szCs w:val="20"/>
      <w:lang w:eastAsia="lt-LT"/>
    </w:rPr>
  </w:style>
  <w:style w:type="character" w:styleId="Puslapionumeris">
    <w:name w:val="page number"/>
    <w:basedOn w:val="Numatytasispastraiposriftas"/>
    <w:semiHidden/>
    <w:rsid w:val="00585AD9"/>
  </w:style>
  <w:style w:type="paragraph" w:styleId="Porat">
    <w:name w:val="footer"/>
    <w:basedOn w:val="prastasis"/>
    <w:link w:val="PoratDiagrama"/>
    <w:uiPriority w:val="99"/>
    <w:rsid w:val="00585AD9"/>
    <w:pPr>
      <w:tabs>
        <w:tab w:val="center" w:pos="4320"/>
        <w:tab w:val="right" w:pos="8640"/>
      </w:tabs>
    </w:pPr>
    <w:rPr>
      <w:rFonts w:ascii="CG Times" w:hAnsi="CG Times"/>
      <w:sz w:val="20"/>
      <w:szCs w:val="20"/>
    </w:rPr>
  </w:style>
  <w:style w:type="character" w:customStyle="1" w:styleId="PoratDiagrama">
    <w:name w:val="Poraštė Diagrama"/>
    <w:basedOn w:val="Numatytasispastraiposriftas"/>
    <w:link w:val="Porat"/>
    <w:uiPriority w:val="99"/>
    <w:rsid w:val="00585AD9"/>
    <w:rPr>
      <w:rFonts w:ascii="CG Times" w:eastAsia="Times New Roman" w:hAnsi="CG Times" w:cs="Times New Roman"/>
      <w:sz w:val="20"/>
      <w:szCs w:val="20"/>
    </w:rPr>
  </w:style>
  <w:style w:type="character" w:customStyle="1" w:styleId="Antrat9Diagrama">
    <w:name w:val="Antraštė 9 Diagrama"/>
    <w:basedOn w:val="Numatytasispastraiposriftas"/>
    <w:link w:val="Antrat9"/>
    <w:semiHidden/>
    <w:rsid w:val="007A1594"/>
    <w:rPr>
      <w:rFonts w:asciiTheme="majorHAnsi" w:eastAsiaTheme="majorEastAsia" w:hAnsiTheme="majorHAnsi" w:cstheme="majorBidi"/>
      <w:i/>
      <w:iCs/>
      <w:color w:val="404040" w:themeColor="text1" w:themeTint="BF"/>
      <w:sz w:val="20"/>
      <w:szCs w:val="20"/>
    </w:rPr>
  </w:style>
  <w:style w:type="character" w:customStyle="1" w:styleId="Puslapioinaosnuoroda1">
    <w:name w:val="Puslapio išnašos nuoroda1"/>
    <w:rsid w:val="007A1594"/>
    <w:rPr>
      <w:color w:val="000000"/>
    </w:rPr>
  </w:style>
  <w:style w:type="character" w:customStyle="1" w:styleId="Antrat2Diagrama">
    <w:name w:val="Antraštė 2 Diagrama"/>
    <w:basedOn w:val="Numatytasispastraiposriftas"/>
    <w:link w:val="Antrat2"/>
    <w:uiPriority w:val="9"/>
    <w:rsid w:val="008E05AA"/>
    <w:rPr>
      <w:rFonts w:ascii="Times New Roman" w:eastAsia="Times New Roman" w:hAnsi="Times New Roman" w:cs="Times New Roman"/>
      <w:b/>
      <w:bCs/>
      <w:sz w:val="24"/>
      <w:szCs w:val="20"/>
    </w:rPr>
  </w:style>
  <w:style w:type="character" w:customStyle="1" w:styleId="Antrat3Diagrama">
    <w:name w:val="Antraštė 3 Diagrama"/>
    <w:basedOn w:val="Numatytasispastraiposriftas"/>
    <w:link w:val="Antrat3"/>
    <w:rsid w:val="008E05AA"/>
    <w:rPr>
      <w:rFonts w:asciiTheme="majorHAnsi" w:eastAsiaTheme="majorEastAsia" w:hAnsiTheme="majorHAnsi" w:cstheme="majorBidi"/>
      <w:b/>
      <w:bCs/>
      <w:color w:val="4F81BD" w:themeColor="accent1"/>
      <w:sz w:val="24"/>
      <w:szCs w:val="24"/>
    </w:rPr>
  </w:style>
  <w:style w:type="paragraph" w:styleId="Sraopastraipa">
    <w:name w:val="List Paragraph"/>
    <w:basedOn w:val="prastasis"/>
    <w:uiPriority w:val="34"/>
    <w:qFormat/>
    <w:rsid w:val="008E05AA"/>
    <w:pPr>
      <w:ind w:left="720"/>
      <w:contextualSpacing/>
    </w:pPr>
  </w:style>
  <w:style w:type="paragraph" w:styleId="Pagrindiniotekstotrauka2">
    <w:name w:val="Body Text Indent 2"/>
    <w:basedOn w:val="prastasis"/>
    <w:link w:val="Pagrindiniotekstotrauka2Diagrama"/>
    <w:semiHidden/>
    <w:unhideWhenUsed/>
    <w:rsid w:val="008E05AA"/>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8E05AA"/>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semiHidden/>
    <w:unhideWhenUsed/>
    <w:rsid w:val="008E05AA"/>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8E05AA"/>
    <w:rPr>
      <w:rFonts w:ascii="Times New Roman" w:eastAsia="Times New Roman" w:hAnsi="Times New Roman" w:cs="Times New Roman"/>
      <w:sz w:val="16"/>
      <w:szCs w:val="16"/>
    </w:rPr>
  </w:style>
  <w:style w:type="paragraph" w:styleId="Pagrindinistekstas3">
    <w:name w:val="Body Text 3"/>
    <w:basedOn w:val="prastasis"/>
    <w:link w:val="Pagrindinistekstas3Diagrama"/>
    <w:uiPriority w:val="99"/>
    <w:semiHidden/>
    <w:unhideWhenUsed/>
    <w:rsid w:val="008E05AA"/>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8E05AA"/>
    <w:rPr>
      <w:rFonts w:ascii="Times New Roman" w:eastAsia="Times New Roman" w:hAnsi="Times New Roman" w:cs="Times New Roman"/>
      <w:sz w:val="16"/>
      <w:szCs w:val="16"/>
    </w:rPr>
  </w:style>
  <w:style w:type="character" w:customStyle="1" w:styleId="AntratsDiagrama">
    <w:name w:val="Antraštės Diagrama"/>
    <w:basedOn w:val="Numatytasispastraiposriftas"/>
    <w:link w:val="Antrats"/>
    <w:uiPriority w:val="99"/>
    <w:rsid w:val="008E05AA"/>
    <w:rPr>
      <w:rFonts w:ascii="Times New Roman" w:eastAsia="Times New Roman" w:hAnsi="Times New Roman" w:cs="Times New Roman"/>
      <w:sz w:val="24"/>
      <w:szCs w:val="20"/>
    </w:rPr>
  </w:style>
  <w:style w:type="paragraph" w:styleId="Antrats">
    <w:name w:val="header"/>
    <w:basedOn w:val="prastasis"/>
    <w:link w:val="AntratsDiagrama"/>
    <w:uiPriority w:val="99"/>
    <w:rsid w:val="008E05AA"/>
    <w:pPr>
      <w:tabs>
        <w:tab w:val="center" w:pos="4320"/>
        <w:tab w:val="right" w:pos="8640"/>
      </w:tabs>
    </w:pPr>
    <w:rPr>
      <w:szCs w:val="20"/>
    </w:rPr>
  </w:style>
  <w:style w:type="character" w:customStyle="1" w:styleId="AntratsDiagrama1">
    <w:name w:val="Antraštės Diagrama1"/>
    <w:basedOn w:val="Numatytasispastraiposriftas"/>
    <w:uiPriority w:val="99"/>
    <w:semiHidden/>
    <w:rsid w:val="008E05AA"/>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8E05A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E05AA"/>
    <w:rPr>
      <w:rFonts w:ascii="Tahoma" w:eastAsia="Times New Roman" w:hAnsi="Tahoma" w:cs="Tahoma"/>
      <w:sz w:val="16"/>
      <w:szCs w:val="16"/>
    </w:rPr>
  </w:style>
  <w:style w:type="paragraph" w:customStyle="1" w:styleId="matvienetai">
    <w:name w:val="matvienetai"/>
    <w:basedOn w:val="prastasis"/>
    <w:autoRedefine/>
    <w:rsid w:val="008E05AA"/>
    <w:rPr>
      <w:rFonts w:ascii="Arial" w:hAnsi="Arial"/>
      <w:sz w:val="17"/>
      <w:szCs w:val="20"/>
      <w:lang w:val="en-US"/>
    </w:rPr>
  </w:style>
  <w:style w:type="character" w:customStyle="1" w:styleId="texttopiclead">
    <w:name w:val="texttopiclead"/>
    <w:basedOn w:val="Numatytasispastraiposriftas"/>
    <w:rsid w:val="008E05AA"/>
  </w:style>
  <w:style w:type="paragraph" w:styleId="Betarp">
    <w:name w:val="No Spacing"/>
    <w:uiPriority w:val="1"/>
    <w:qFormat/>
    <w:rsid w:val="008E05AA"/>
    <w:pPr>
      <w:spacing w:after="0" w:line="240" w:lineRule="auto"/>
    </w:pPr>
    <w:rPr>
      <w:rFonts w:ascii="Times New Roman" w:eastAsia="Times New Roman" w:hAnsi="Times New Roman" w:cs="Times New Roman"/>
      <w:sz w:val="24"/>
      <w:szCs w:val="24"/>
    </w:rPr>
  </w:style>
  <w:style w:type="paragraph" w:customStyle="1" w:styleId="bodytext">
    <w:name w:val="bodytext"/>
    <w:basedOn w:val="prastasis"/>
    <w:rsid w:val="008E05AA"/>
    <w:pPr>
      <w:spacing w:before="100" w:beforeAutospacing="1" w:after="100" w:afterAutospacing="1"/>
    </w:pPr>
    <w:rPr>
      <w:rFonts w:ascii="Arial Unicode MS" w:eastAsia="Arial Unicode MS" w:hAnsi="Arial Unicode MS" w:cs="Arial Unicode MS"/>
      <w:lang w:val="en-GB"/>
    </w:rPr>
  </w:style>
  <w:style w:type="paragraph" w:customStyle="1" w:styleId="prastasis1">
    <w:name w:val="Įprastasis1"/>
    <w:basedOn w:val="Default"/>
    <w:next w:val="Default"/>
    <w:rsid w:val="00DD08F5"/>
    <w:rPr>
      <w:color w:val="auto"/>
    </w:rPr>
  </w:style>
  <w:style w:type="paragraph" w:customStyle="1" w:styleId="Default">
    <w:name w:val="Default"/>
    <w:rsid w:val="00DD08F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prastasistinklapis1">
    <w:name w:val="Įprastasis (tinklapis)1"/>
    <w:basedOn w:val="Default"/>
    <w:next w:val="Default"/>
    <w:rsid w:val="00DD08F5"/>
    <w:pPr>
      <w:spacing w:before="100" w:after="100"/>
    </w:pPr>
    <w:rPr>
      <w:color w:val="auto"/>
    </w:rPr>
  </w:style>
  <w:style w:type="paragraph" w:customStyle="1" w:styleId="Pagrindiniotekstotrauka21">
    <w:name w:val="Pagrindinio teksto įtrauka 21"/>
    <w:basedOn w:val="Default"/>
    <w:next w:val="Default"/>
    <w:rsid w:val="00DD08F5"/>
    <w:pPr>
      <w:spacing w:after="120"/>
    </w:pPr>
    <w:rPr>
      <w:color w:val="auto"/>
    </w:rPr>
  </w:style>
  <w:style w:type="paragraph" w:customStyle="1" w:styleId="fait">
    <w:name w:val="fait"/>
    <w:basedOn w:val="prastasis"/>
    <w:rsid w:val="00DD08F5"/>
    <w:pPr>
      <w:spacing w:before="100" w:beforeAutospacing="1" w:after="100" w:afterAutospacing="1"/>
    </w:pPr>
    <w:rPr>
      <w:rFonts w:ascii="Arial Unicode MS" w:eastAsia="Arial Unicode MS" w:hAnsi="Arial Unicode MS" w:cs="Arial Unicode MS"/>
      <w:lang w:val="en-GB"/>
    </w:rPr>
  </w:style>
  <w:style w:type="character" w:customStyle="1" w:styleId="typewriter">
    <w:name w:val="typewriter"/>
    <w:basedOn w:val="Numatytasispastraiposriftas"/>
    <w:rsid w:val="00DD08F5"/>
  </w:style>
  <w:style w:type="paragraph" w:customStyle="1" w:styleId="Projektas">
    <w:name w:val="Projektas"/>
    <w:basedOn w:val="Antrat3"/>
    <w:qFormat/>
    <w:rsid w:val="00DD08F5"/>
    <w:pPr>
      <w:keepLines w:val="0"/>
      <w:spacing w:before="0"/>
      <w:ind w:firstLine="720"/>
      <w:jc w:val="center"/>
    </w:pPr>
    <w:rPr>
      <w:rFonts w:ascii="Times New Roman" w:eastAsia="Times New Roman" w:hAnsi="Times New Roman" w:cs="Times New Roman"/>
      <w:color w:val="auto"/>
      <w:szCs w:val="20"/>
    </w:rPr>
  </w:style>
  <w:style w:type="paragraph" w:customStyle="1" w:styleId="DokParasas">
    <w:name w:val="DokParasas"/>
    <w:basedOn w:val="prastasis"/>
    <w:rsid w:val="00DD08F5"/>
    <w:pPr>
      <w:tabs>
        <w:tab w:val="right" w:pos="9072"/>
      </w:tabs>
      <w:spacing w:line="360" w:lineRule="auto"/>
      <w:ind w:firstLine="720"/>
      <w:jc w:val="both"/>
    </w:pPr>
    <w:rPr>
      <w:rFonts w:ascii="TimesLT" w:hAnsi="TimesLT"/>
      <w:szCs w:val="20"/>
    </w:rPr>
  </w:style>
  <w:style w:type="paragraph" w:customStyle="1" w:styleId="Betarp1">
    <w:name w:val="Be tarpų1"/>
    <w:rsid w:val="00DD08F5"/>
    <w:pPr>
      <w:spacing w:after="0" w:line="240" w:lineRule="auto"/>
    </w:pPr>
    <w:rPr>
      <w:rFonts w:ascii="Times New Roman" w:eastAsia="Times New Roman" w:hAnsi="Times New Roman" w:cs="Times New Roman"/>
      <w:sz w:val="24"/>
      <w:szCs w:val="20"/>
      <w:lang w:eastAsia="lt-LT"/>
    </w:rPr>
  </w:style>
  <w:style w:type="paragraph" w:customStyle="1" w:styleId="Normal1">
    <w:name w:val="Normal1"/>
    <w:basedOn w:val="prastasis"/>
    <w:next w:val="Pagrindinistekstas"/>
    <w:rsid w:val="00DD08F5"/>
    <w:pPr>
      <w:jc w:val="both"/>
    </w:pPr>
    <w:rPr>
      <w:szCs w:val="20"/>
      <w:lang w:val="en-US"/>
    </w:rPr>
  </w:style>
  <w:style w:type="paragraph" w:customStyle="1" w:styleId="DefinitionTerm">
    <w:name w:val="Definition Term"/>
    <w:basedOn w:val="prastasis"/>
    <w:next w:val="prastasis"/>
    <w:rsid w:val="00DD08F5"/>
    <w:rPr>
      <w:szCs w:val="20"/>
    </w:rPr>
  </w:style>
  <w:style w:type="paragraph" w:styleId="Tekstoblokas">
    <w:name w:val="Block Text"/>
    <w:basedOn w:val="prastasis"/>
    <w:semiHidden/>
    <w:rsid w:val="00DD08F5"/>
    <w:pPr>
      <w:ind w:left="-540" w:right="-1054"/>
      <w:jc w:val="both"/>
    </w:pPr>
  </w:style>
  <w:style w:type="paragraph" w:customStyle="1" w:styleId="ListParagraph1">
    <w:name w:val="List Paragraph1"/>
    <w:basedOn w:val="prastasis"/>
    <w:qFormat/>
    <w:rsid w:val="00DD08F5"/>
    <w:pPr>
      <w:ind w:left="720"/>
    </w:pPr>
    <w:rPr>
      <w:szCs w:val="20"/>
      <w:lang w:eastAsia="lt-LT"/>
    </w:rPr>
  </w:style>
  <w:style w:type="character" w:customStyle="1" w:styleId="Typewriter0">
    <w:name w:val="Typewriter"/>
    <w:rsid w:val="00DD08F5"/>
    <w:rPr>
      <w:rFonts w:ascii="Courier New" w:hAnsi="Courier New"/>
      <w:sz w:val="20"/>
    </w:rPr>
  </w:style>
  <w:style w:type="character" w:customStyle="1" w:styleId="dpav">
    <w:name w:val="dpav"/>
    <w:basedOn w:val="Numatytasispastraiposriftas"/>
    <w:rsid w:val="00DD08F5"/>
    <w:rPr>
      <w:sz w:val="26"/>
      <w:szCs w:val="26"/>
    </w:rPr>
  </w:style>
  <w:style w:type="character" w:styleId="Perirtashipersaitas">
    <w:name w:val="FollowedHyperlink"/>
    <w:basedOn w:val="Numatytasispastraiposriftas"/>
    <w:semiHidden/>
    <w:rsid w:val="00DD08F5"/>
    <w:rPr>
      <w:color w:val="800080"/>
      <w:u w:val="single"/>
    </w:rPr>
  </w:style>
  <w:style w:type="paragraph" w:customStyle="1" w:styleId="CharCharCharDiagramaDiagramaCharCharCharCharCharChar">
    <w:name w:val="Char Char Char Diagrama Diagrama Char Char Char Char Char Char"/>
    <w:basedOn w:val="prastasis"/>
    <w:rsid w:val="00DD08F5"/>
    <w:pPr>
      <w:spacing w:after="160" w:line="240" w:lineRule="exact"/>
    </w:pPr>
    <w:rPr>
      <w:rFonts w:ascii="Tahoma" w:hAnsi="Tahoma"/>
      <w:sz w:val="20"/>
      <w:szCs w:val="20"/>
      <w:lang w:val="en-US"/>
    </w:rPr>
  </w:style>
  <w:style w:type="paragraph" w:customStyle="1" w:styleId="DiagramaDiagrama1DiagramaDiagramaCharCharDiagramaDiagrama">
    <w:name w:val="Diagrama Diagrama1 Diagrama Diagrama Char Char Diagrama Diagrama"/>
    <w:basedOn w:val="prastasis"/>
    <w:rsid w:val="00DD08F5"/>
    <w:pPr>
      <w:spacing w:after="160" w:line="240" w:lineRule="exact"/>
    </w:pPr>
    <w:rPr>
      <w:rFonts w:ascii="Tahoma" w:hAnsi="Tahoma"/>
      <w:sz w:val="20"/>
      <w:szCs w:val="20"/>
      <w:lang w:val="en-US"/>
    </w:rPr>
  </w:style>
  <w:style w:type="character" w:customStyle="1" w:styleId="summary">
    <w:name w:val="summary"/>
    <w:basedOn w:val="Numatytasispastraiposriftas"/>
    <w:rsid w:val="00DD08F5"/>
  </w:style>
  <w:style w:type="paragraph" w:customStyle="1" w:styleId="Typedudocument">
    <w:name w:val="Type du document"/>
    <w:basedOn w:val="prastasis"/>
    <w:next w:val="prastasis"/>
    <w:rsid w:val="00DD08F5"/>
    <w:pPr>
      <w:spacing w:before="360"/>
      <w:jc w:val="center"/>
    </w:pPr>
    <w:rPr>
      <w:b/>
      <w:snapToGrid w:val="0"/>
      <w:lang w:eastAsia="en-GB"/>
    </w:rPr>
  </w:style>
  <w:style w:type="paragraph" w:customStyle="1" w:styleId="ISTATYMAS">
    <w:name w:val="ISTATYMAS"/>
    <w:rsid w:val="00DD08F5"/>
    <w:pPr>
      <w:autoSpaceDE w:val="0"/>
      <w:autoSpaceDN w:val="0"/>
      <w:adjustRightInd w:val="0"/>
      <w:spacing w:after="0" w:line="240" w:lineRule="auto"/>
      <w:jc w:val="center"/>
    </w:pPr>
    <w:rPr>
      <w:rFonts w:ascii="TimesLT" w:eastAsia="Times New Roman" w:hAnsi="TimesLT" w:cs="Times New Roman"/>
      <w:sz w:val="20"/>
      <w:szCs w:val="20"/>
      <w:lang w:val="en-US"/>
    </w:rPr>
  </w:style>
  <w:style w:type="paragraph" w:customStyle="1" w:styleId="Hyperlink1">
    <w:name w:val="Hyperlink1"/>
    <w:rsid w:val="00DD08F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Debesliotekstas1">
    <w:name w:val="Debesėlio tekstas1"/>
    <w:basedOn w:val="prastasis"/>
    <w:semiHidden/>
    <w:rsid w:val="00DD08F5"/>
    <w:rPr>
      <w:rFonts w:ascii="Tahoma" w:hAnsi="Tahoma" w:cs="Tahoma"/>
      <w:sz w:val="16"/>
      <w:szCs w:val="16"/>
    </w:rPr>
  </w:style>
  <w:style w:type="paragraph" w:customStyle="1" w:styleId="DiagramaDiagrama1DiagramaDiagramaCharCharDiagramaDiagramaCharCharChar">
    <w:name w:val="Diagrama Diagrama1 Diagrama Diagrama Char Char Diagrama Diagrama Char Char Char"/>
    <w:basedOn w:val="prastasis"/>
    <w:rsid w:val="00DD08F5"/>
    <w:pPr>
      <w:spacing w:after="160" w:line="240" w:lineRule="exact"/>
    </w:pPr>
    <w:rPr>
      <w:rFonts w:ascii="Tahoma" w:hAnsi="Tahoma"/>
      <w:sz w:val="20"/>
      <w:szCs w:val="20"/>
      <w:lang w:val="en-US"/>
    </w:rPr>
  </w:style>
  <w:style w:type="paragraph" w:customStyle="1" w:styleId="CharCharCharCharChar">
    <w:name w:val="Char Char Char Char Char"/>
    <w:basedOn w:val="prastasis"/>
    <w:rsid w:val="00DD08F5"/>
    <w:pPr>
      <w:spacing w:after="160" w:line="240" w:lineRule="exact"/>
    </w:pPr>
    <w:rPr>
      <w:rFonts w:ascii="Tahoma" w:hAnsi="Tahoma"/>
      <w:sz w:val="20"/>
      <w:szCs w:val="20"/>
      <w:lang w:val="en-US"/>
    </w:rPr>
  </w:style>
  <w:style w:type="paragraph" w:customStyle="1" w:styleId="ZchnZchnCharZchnZchnCharCharCharCharCharCharCharCharCharCharCharCharCharCharCharCharCharCharCharCharCharCharCharCharCharCharChar">
    <w:name w:val="Zchn Zchn Char Zchn Zchn Char Char Char Char Char Char Char Char Char Char Char Char Char Char Char Char Char Char Char Char Char Char Char Char Char Char Char"/>
    <w:basedOn w:val="prastasis"/>
    <w:rsid w:val="00DD08F5"/>
    <w:rPr>
      <w:lang w:val="pl-PL" w:eastAsia="pl-PL"/>
    </w:rPr>
  </w:style>
  <w:style w:type="paragraph" w:customStyle="1" w:styleId="Sraopastraipa1">
    <w:name w:val="Sąrašo pastraipa1"/>
    <w:basedOn w:val="prastasis"/>
    <w:qFormat/>
    <w:rsid w:val="00DD08F5"/>
    <w:pPr>
      <w:ind w:left="1296"/>
    </w:pPr>
  </w:style>
  <w:style w:type="paragraph" w:customStyle="1" w:styleId="CharChar">
    <w:name w:val="Char Char"/>
    <w:basedOn w:val="prastasis"/>
    <w:rsid w:val="00DD08F5"/>
    <w:pPr>
      <w:spacing w:after="160" w:line="240" w:lineRule="exact"/>
    </w:pPr>
    <w:rPr>
      <w:rFonts w:ascii="Tahoma" w:hAnsi="Tahoma"/>
      <w:sz w:val="20"/>
      <w:szCs w:val="20"/>
      <w:lang w:val="en-US"/>
    </w:rPr>
  </w:style>
  <w:style w:type="paragraph" w:customStyle="1" w:styleId="1CharCharCharCharCharChar">
    <w:name w:val="1 Char Char Char Char Char Char"/>
    <w:basedOn w:val="prastasis"/>
    <w:rsid w:val="00DD08F5"/>
    <w:pPr>
      <w:spacing w:after="160" w:line="240" w:lineRule="exact"/>
    </w:pPr>
    <w:rPr>
      <w:rFonts w:ascii="Tahoma" w:hAnsi="Tahoma"/>
      <w:sz w:val="20"/>
      <w:szCs w:val="20"/>
      <w:lang w:val="en-US"/>
    </w:rPr>
  </w:style>
  <w:style w:type="character" w:customStyle="1" w:styleId="Heading1Char">
    <w:name w:val="Heading 1 Char"/>
    <w:basedOn w:val="Numatytasispastraiposriftas"/>
    <w:rsid w:val="00DD08F5"/>
    <w:rPr>
      <w:rFonts w:ascii="Cambria" w:hAnsi="Cambria"/>
      <w:b/>
      <w:bCs/>
      <w:kern w:val="32"/>
      <w:sz w:val="32"/>
      <w:szCs w:val="32"/>
      <w:lang w:val="lt-LT" w:eastAsia="en-US" w:bidi="ar-SA"/>
    </w:rPr>
  </w:style>
  <w:style w:type="paragraph" w:customStyle="1" w:styleId="Hipersaitas1">
    <w:name w:val="Hipersaitas1"/>
    <w:basedOn w:val="prastasis"/>
    <w:rsid w:val="00DD08F5"/>
    <w:pPr>
      <w:spacing w:before="100" w:beforeAutospacing="1" w:after="100" w:afterAutospacing="1"/>
    </w:pPr>
    <w:rPr>
      <w:lang w:val="en-US"/>
    </w:rPr>
  </w:style>
  <w:style w:type="paragraph" w:customStyle="1" w:styleId="CharCharCharDiagramaDiagramaChar">
    <w:name w:val="Char Char Char Diagrama Diagrama Char"/>
    <w:basedOn w:val="prastasis"/>
    <w:rsid w:val="00DD08F5"/>
    <w:pPr>
      <w:spacing w:after="160" w:line="240" w:lineRule="exact"/>
    </w:pPr>
    <w:rPr>
      <w:rFonts w:ascii="Tahoma" w:hAnsi="Tahoma"/>
      <w:sz w:val="20"/>
      <w:szCs w:val="20"/>
      <w:lang w:val="en-US"/>
    </w:rPr>
  </w:style>
  <w:style w:type="paragraph" w:customStyle="1" w:styleId="CharCharCharDiagramaDiagrama">
    <w:name w:val="Char Char Char Diagrama Diagrama"/>
    <w:basedOn w:val="prastasis"/>
    <w:rsid w:val="00DD08F5"/>
    <w:pPr>
      <w:spacing w:after="160" w:line="240" w:lineRule="exact"/>
    </w:pPr>
    <w:rPr>
      <w:rFonts w:ascii="Tahoma" w:hAnsi="Tahoma"/>
      <w:sz w:val="20"/>
      <w:szCs w:val="20"/>
      <w:lang w:val="en-US"/>
    </w:rPr>
  </w:style>
  <w:style w:type="paragraph" w:customStyle="1" w:styleId="projektas0">
    <w:name w:val="projektas0"/>
    <w:basedOn w:val="prastasis"/>
    <w:rsid w:val="00626711"/>
    <w:pPr>
      <w:spacing w:before="100" w:beforeAutospacing="1" w:after="100" w:afterAutospacing="1"/>
    </w:pPr>
    <w:rPr>
      <w:rFonts w:ascii="Arial Unicode MS" w:eastAsia="Arial Unicode MS" w:hAnsi="Arial Unicode MS" w:cs="Arial Unicode MS"/>
      <w:lang w:val="en-GB"/>
    </w:rPr>
  </w:style>
  <w:style w:type="character" w:styleId="Emfaz">
    <w:name w:val="Emphasis"/>
    <w:uiPriority w:val="20"/>
    <w:qFormat/>
    <w:rsid w:val="00626711"/>
    <w:rPr>
      <w:i/>
      <w:iCs/>
    </w:rPr>
  </w:style>
  <w:style w:type="character" w:styleId="HTMLspausdinimomainl">
    <w:name w:val="HTML Typewriter"/>
    <w:semiHidden/>
    <w:rsid w:val="00626711"/>
    <w:rPr>
      <w:sz w:val="20"/>
    </w:rPr>
  </w:style>
  <w:style w:type="paragraph" w:customStyle="1" w:styleId="istatymas0">
    <w:name w:val="istatymas"/>
    <w:basedOn w:val="prastasis"/>
    <w:rsid w:val="00626711"/>
    <w:pPr>
      <w:spacing w:before="100" w:beforeAutospacing="1" w:after="100" w:afterAutospacing="1"/>
    </w:pPr>
    <w:rPr>
      <w:rFonts w:ascii="Arial Unicode MS" w:eastAsia="Arial Unicode MS" w:hAnsi="Arial Unicode MS" w:cs="Arial Unicode MS"/>
      <w:lang w:val="en-GB"/>
    </w:rPr>
  </w:style>
  <w:style w:type="paragraph" w:customStyle="1" w:styleId="Hipersaitas2">
    <w:name w:val="Hipersaitas2"/>
    <w:basedOn w:val="prastasis"/>
    <w:rsid w:val="00626711"/>
    <w:pPr>
      <w:suppressAutoHyphens/>
      <w:autoSpaceDE w:val="0"/>
      <w:autoSpaceDN w:val="0"/>
      <w:adjustRightInd w:val="0"/>
      <w:spacing w:line="298" w:lineRule="auto"/>
      <w:ind w:firstLine="312"/>
      <w:jc w:val="both"/>
      <w:textAlignment w:val="center"/>
    </w:pPr>
    <w:rPr>
      <w:rFonts w:eastAsia="Calibri"/>
      <w:color w:val="000000"/>
      <w:sz w:val="20"/>
      <w:szCs w:val="20"/>
    </w:rPr>
  </w:style>
  <w:style w:type="paragraph" w:styleId="Pavadinimas">
    <w:name w:val="Title"/>
    <w:basedOn w:val="prastasis"/>
    <w:link w:val="PavadinimasDiagrama"/>
    <w:qFormat/>
    <w:rsid w:val="00626711"/>
    <w:pPr>
      <w:ind w:firstLine="567"/>
      <w:jc w:val="center"/>
    </w:pPr>
    <w:rPr>
      <w:b/>
      <w:sz w:val="28"/>
      <w:lang w:eastAsia="lt-LT"/>
    </w:rPr>
  </w:style>
  <w:style w:type="character" w:customStyle="1" w:styleId="PavadinimasDiagrama">
    <w:name w:val="Pavadinimas Diagrama"/>
    <w:basedOn w:val="Numatytasispastraiposriftas"/>
    <w:link w:val="Pavadinimas"/>
    <w:rsid w:val="00626711"/>
    <w:rPr>
      <w:rFonts w:ascii="Times New Roman" w:eastAsia="Times New Roman" w:hAnsi="Times New Roman" w:cs="Times New Roman"/>
      <w:b/>
      <w:sz w:val="28"/>
      <w:szCs w:val="24"/>
      <w:lang w:eastAsia="lt-LT"/>
    </w:rPr>
  </w:style>
  <w:style w:type="paragraph" w:styleId="Antrinispavadinimas">
    <w:name w:val="Subtitle"/>
    <w:basedOn w:val="prastasis"/>
    <w:link w:val="AntrinispavadinimasDiagrama"/>
    <w:qFormat/>
    <w:rsid w:val="00626711"/>
    <w:pPr>
      <w:ind w:firstLine="567"/>
      <w:jc w:val="center"/>
    </w:pPr>
    <w:rPr>
      <w:b/>
      <w:lang w:eastAsia="lt-LT"/>
    </w:rPr>
  </w:style>
  <w:style w:type="character" w:customStyle="1" w:styleId="AntrinispavadinimasDiagrama">
    <w:name w:val="Antrinis pavadinimas Diagrama"/>
    <w:basedOn w:val="Numatytasispastraiposriftas"/>
    <w:link w:val="Antrinispavadinimas"/>
    <w:rsid w:val="00626711"/>
    <w:rPr>
      <w:rFonts w:ascii="Times New Roman" w:eastAsia="Times New Roman" w:hAnsi="Times New Roman" w:cs="Times New Roman"/>
      <w:b/>
      <w:sz w:val="24"/>
      <w:szCs w:val="24"/>
      <w:lang w:eastAsia="lt-LT"/>
    </w:rPr>
  </w:style>
  <w:style w:type="character" w:customStyle="1" w:styleId="apple-style-span">
    <w:name w:val="apple-style-span"/>
    <w:rsid w:val="00C07927"/>
  </w:style>
  <w:style w:type="character" w:customStyle="1" w:styleId="apple-converted-space">
    <w:name w:val="apple-converted-space"/>
    <w:rsid w:val="00C07927"/>
  </w:style>
  <w:style w:type="paragraph" w:customStyle="1" w:styleId="statymopavad">
    <w:name w:val="statymopavad"/>
    <w:basedOn w:val="prastasis"/>
    <w:rsid w:val="00C07927"/>
    <w:pPr>
      <w:spacing w:before="100" w:beforeAutospacing="1" w:after="100" w:afterAutospacing="1"/>
    </w:pPr>
    <w:rPr>
      <w:lang w:eastAsia="lt-LT"/>
    </w:rPr>
  </w:style>
  <w:style w:type="paragraph" w:customStyle="1" w:styleId="Pagrindinistekstas1">
    <w:name w:val="Pagrindinis tekstas1"/>
    <w:rsid w:val="00A2543C"/>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grindinistekstas20">
    <w:name w:val="Pagrindinis tekstas2"/>
    <w:rsid w:val="00A2543C"/>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MAZAS">
    <w:name w:val="MAZAS"/>
    <w:rsid w:val="00A2543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Paprastasistekstas">
    <w:name w:val="Plain Text"/>
    <w:basedOn w:val="prastasis"/>
    <w:link w:val="PaprastasistekstasDiagrama"/>
    <w:uiPriority w:val="99"/>
    <w:semiHidden/>
    <w:unhideWhenUsed/>
    <w:rsid w:val="00A2543C"/>
    <w:pPr>
      <w:spacing w:before="100" w:beforeAutospacing="1" w:after="100" w:afterAutospacing="1"/>
    </w:pPr>
    <w:rPr>
      <w:lang w:eastAsia="lt-LT"/>
    </w:rPr>
  </w:style>
  <w:style w:type="character" w:customStyle="1" w:styleId="PaprastasistekstasDiagrama">
    <w:name w:val="Paprastasis tekstas Diagrama"/>
    <w:basedOn w:val="Numatytasispastraiposriftas"/>
    <w:link w:val="Paprastasistekstas"/>
    <w:uiPriority w:val="99"/>
    <w:semiHidden/>
    <w:rsid w:val="00A2543C"/>
    <w:rPr>
      <w:rFonts w:ascii="Times New Roman" w:eastAsia="Times New Roman" w:hAnsi="Times New Roman" w:cs="Times New Roman"/>
      <w:sz w:val="24"/>
      <w:szCs w:val="24"/>
      <w:lang w:eastAsia="lt-LT"/>
    </w:rPr>
  </w:style>
  <w:style w:type="paragraph" w:customStyle="1" w:styleId="dokparasas0">
    <w:name w:val="dokparasas"/>
    <w:basedOn w:val="prastasis"/>
    <w:rsid w:val="004F7425"/>
    <w:pPr>
      <w:spacing w:before="100" w:beforeAutospacing="1" w:after="100" w:afterAutospacing="1"/>
    </w:pPr>
    <w:rPr>
      <w:lang w:eastAsia="lt-LT"/>
    </w:rPr>
  </w:style>
  <w:style w:type="paragraph" w:customStyle="1" w:styleId="msolistparagraph0">
    <w:name w:val="msolistparagraph"/>
    <w:basedOn w:val="prastasis"/>
    <w:rsid w:val="004F7425"/>
    <w:pPr>
      <w:ind w:left="720"/>
    </w:pPr>
    <w:rPr>
      <w:lang w:eastAsia="lt-LT"/>
    </w:rPr>
  </w:style>
  <w:style w:type="paragraph" w:customStyle="1" w:styleId="TableText">
    <w:name w:val="Table Text"/>
    <w:basedOn w:val="prastasis"/>
    <w:rsid w:val="004F7425"/>
    <w:pPr>
      <w:autoSpaceDE w:val="0"/>
      <w:autoSpaceDN w:val="0"/>
      <w:adjustRightInd w:val="0"/>
      <w:jc w:val="right"/>
    </w:pPr>
    <w:rPr>
      <w:lang w:val="en-US"/>
    </w:rPr>
  </w:style>
  <w:style w:type="paragraph" w:customStyle="1" w:styleId="datanrvilnius">
    <w:name w:val="datanrvilnius"/>
    <w:basedOn w:val="prastasis"/>
    <w:rsid w:val="004F7425"/>
    <w:pPr>
      <w:spacing w:before="100" w:beforeAutospacing="1" w:after="100" w:afterAutospacing="1"/>
    </w:pPr>
    <w:rPr>
      <w:lang w:eastAsia="lt-LT"/>
    </w:rPr>
  </w:style>
  <w:style w:type="paragraph" w:customStyle="1" w:styleId="preformatted">
    <w:name w:val="preformatted"/>
    <w:basedOn w:val="prastasis"/>
    <w:rsid w:val="004F7425"/>
    <w:pPr>
      <w:spacing w:before="100" w:beforeAutospacing="1" w:after="100" w:afterAutospacing="1"/>
    </w:pPr>
    <w:rPr>
      <w:lang w:eastAsia="lt-LT"/>
    </w:rPr>
  </w:style>
  <w:style w:type="paragraph" w:customStyle="1" w:styleId="Pasiulymai">
    <w:name w:val="Pasiulymai"/>
    <w:basedOn w:val="prastasis"/>
    <w:qFormat/>
    <w:rsid w:val="004F7425"/>
    <w:pPr>
      <w:jc w:val="both"/>
    </w:pPr>
    <w:rPr>
      <w:bCs/>
    </w:rPr>
  </w:style>
  <w:style w:type="character" w:customStyle="1" w:styleId="st">
    <w:name w:val="st"/>
    <w:rsid w:val="004F7425"/>
  </w:style>
  <w:style w:type="paragraph" w:customStyle="1" w:styleId="pasiulymai0">
    <w:name w:val="pasiulymai"/>
    <w:basedOn w:val="prastasis"/>
    <w:rsid w:val="00E80028"/>
    <w:pPr>
      <w:spacing w:before="100" w:beforeAutospacing="1" w:after="100" w:afterAutospacing="1"/>
    </w:pPr>
    <w:rPr>
      <w:lang w:eastAsia="lt-LT"/>
    </w:rPr>
  </w:style>
  <w:style w:type="paragraph" w:customStyle="1" w:styleId="pasiulymai00">
    <w:name w:val="pasiulymai0"/>
    <w:basedOn w:val="prastasis"/>
    <w:rsid w:val="00E80028"/>
    <w:pPr>
      <w:spacing w:before="100" w:beforeAutospacing="1" w:after="100" w:afterAutospacing="1"/>
    </w:pPr>
    <w:rPr>
      <w:lang w:eastAsia="lt-LT"/>
    </w:rPr>
  </w:style>
  <w:style w:type="paragraph" w:customStyle="1" w:styleId="pasiulymai5">
    <w:name w:val="pasiulymai5"/>
    <w:basedOn w:val="prastasis"/>
    <w:rsid w:val="00E80028"/>
    <w:pPr>
      <w:spacing w:before="100" w:beforeAutospacing="1" w:after="100" w:afterAutospacing="1"/>
    </w:pPr>
    <w:rPr>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B7A0A"/>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F77E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qFormat/>
    <w:rsid w:val="008E05AA"/>
    <w:pPr>
      <w:keepNext/>
      <w:jc w:val="both"/>
      <w:outlineLvl w:val="1"/>
    </w:pPr>
    <w:rPr>
      <w:b/>
      <w:bCs/>
      <w:szCs w:val="20"/>
    </w:rPr>
  </w:style>
  <w:style w:type="paragraph" w:styleId="Antrat3">
    <w:name w:val="heading 3"/>
    <w:basedOn w:val="prastasis"/>
    <w:next w:val="prastasis"/>
    <w:link w:val="Antrat3Diagrama"/>
    <w:unhideWhenUsed/>
    <w:qFormat/>
    <w:rsid w:val="008E05AA"/>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unhideWhenUsed/>
    <w:qFormat/>
    <w:rsid w:val="00585AD9"/>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nhideWhenUsed/>
    <w:qFormat/>
    <w:rsid w:val="00585AD9"/>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nhideWhenUsed/>
    <w:qFormat/>
    <w:rsid w:val="002B7A0A"/>
    <w:pPr>
      <w:keepNext/>
      <w:jc w:val="center"/>
      <w:outlineLvl w:val="5"/>
    </w:pPr>
    <w:rPr>
      <w:b/>
      <w:color w:val="008000"/>
      <w:sz w:val="52"/>
    </w:rPr>
  </w:style>
  <w:style w:type="paragraph" w:styleId="Antrat7">
    <w:name w:val="heading 7"/>
    <w:basedOn w:val="prastasis"/>
    <w:next w:val="prastasis"/>
    <w:link w:val="Antrat7Diagrama"/>
    <w:unhideWhenUsed/>
    <w:qFormat/>
    <w:rsid w:val="00585AD9"/>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unhideWhenUsed/>
    <w:qFormat/>
    <w:rsid w:val="00585AD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Antrat9">
    <w:name w:val="heading 9"/>
    <w:basedOn w:val="prastasis"/>
    <w:next w:val="prastasis"/>
    <w:link w:val="Antrat9Diagrama"/>
    <w:unhideWhenUsed/>
    <w:qFormat/>
    <w:rsid w:val="007A159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6Diagrama">
    <w:name w:val="Antraštė 6 Diagrama"/>
    <w:basedOn w:val="Numatytasispastraiposriftas"/>
    <w:link w:val="Antrat6"/>
    <w:semiHidden/>
    <w:rsid w:val="002B7A0A"/>
    <w:rPr>
      <w:rFonts w:ascii="Times New Roman" w:eastAsia="Times New Roman" w:hAnsi="Times New Roman" w:cs="Times New Roman"/>
      <w:b/>
      <w:color w:val="008000"/>
      <w:sz w:val="52"/>
      <w:szCs w:val="24"/>
    </w:rPr>
  </w:style>
  <w:style w:type="character" w:customStyle="1" w:styleId="Antrat1Diagrama">
    <w:name w:val="Antraštė 1 Diagrama"/>
    <w:basedOn w:val="Numatytasispastraiposriftas"/>
    <w:link w:val="Antrat1"/>
    <w:uiPriority w:val="9"/>
    <w:rsid w:val="00F77E33"/>
    <w:rPr>
      <w:rFonts w:asciiTheme="majorHAnsi" w:eastAsiaTheme="majorEastAsia" w:hAnsiTheme="majorHAnsi" w:cstheme="majorBidi"/>
      <w:b/>
      <w:bCs/>
      <w:color w:val="365F91" w:themeColor="accent1" w:themeShade="BF"/>
      <w:sz w:val="28"/>
      <w:szCs w:val="28"/>
    </w:rPr>
  </w:style>
  <w:style w:type="paragraph" w:styleId="prastasistinklapis">
    <w:name w:val="Normal (Web)"/>
    <w:basedOn w:val="prastasis"/>
    <w:uiPriority w:val="99"/>
    <w:unhideWhenUsed/>
    <w:rsid w:val="00B91CA6"/>
    <w:pPr>
      <w:spacing w:before="100" w:beforeAutospacing="1" w:after="100" w:afterAutospacing="1"/>
    </w:pPr>
    <w:rPr>
      <w:lang w:eastAsia="lt-LT"/>
    </w:rPr>
  </w:style>
  <w:style w:type="character" w:styleId="Grietas">
    <w:name w:val="Strong"/>
    <w:basedOn w:val="Numatytasispastraiposriftas"/>
    <w:uiPriority w:val="22"/>
    <w:qFormat/>
    <w:rsid w:val="00B91CA6"/>
    <w:rPr>
      <w:b/>
      <w:bCs/>
    </w:rPr>
  </w:style>
  <w:style w:type="character" w:customStyle="1" w:styleId="Antrat4Diagrama">
    <w:name w:val="Antraštė 4 Diagrama"/>
    <w:basedOn w:val="Numatytasispastraiposriftas"/>
    <w:link w:val="Antrat4"/>
    <w:uiPriority w:val="9"/>
    <w:rsid w:val="00585AD9"/>
    <w:rPr>
      <w:rFonts w:asciiTheme="majorHAnsi" w:eastAsiaTheme="majorEastAsia" w:hAnsiTheme="majorHAnsi" w:cstheme="majorBidi"/>
      <w:b/>
      <w:bCs/>
      <w:i/>
      <w:iCs/>
      <w:color w:val="4F81BD" w:themeColor="accent1"/>
      <w:sz w:val="24"/>
      <w:szCs w:val="24"/>
    </w:rPr>
  </w:style>
  <w:style w:type="character" w:customStyle="1" w:styleId="Antrat5Diagrama">
    <w:name w:val="Antraštė 5 Diagrama"/>
    <w:basedOn w:val="Numatytasispastraiposriftas"/>
    <w:link w:val="Antrat5"/>
    <w:semiHidden/>
    <w:rsid w:val="00585AD9"/>
    <w:rPr>
      <w:rFonts w:asciiTheme="majorHAnsi" w:eastAsiaTheme="majorEastAsia" w:hAnsiTheme="majorHAnsi" w:cstheme="majorBidi"/>
      <w:color w:val="243F60" w:themeColor="accent1" w:themeShade="7F"/>
      <w:sz w:val="24"/>
      <w:szCs w:val="24"/>
    </w:rPr>
  </w:style>
  <w:style w:type="character" w:customStyle="1" w:styleId="Antrat7Diagrama">
    <w:name w:val="Antraštė 7 Diagrama"/>
    <w:basedOn w:val="Numatytasispastraiposriftas"/>
    <w:link w:val="Antrat7"/>
    <w:uiPriority w:val="9"/>
    <w:semiHidden/>
    <w:rsid w:val="00585AD9"/>
    <w:rPr>
      <w:rFonts w:asciiTheme="majorHAnsi" w:eastAsiaTheme="majorEastAsia" w:hAnsiTheme="majorHAnsi" w:cstheme="majorBidi"/>
      <w:i/>
      <w:iCs/>
      <w:color w:val="404040" w:themeColor="text1" w:themeTint="BF"/>
      <w:sz w:val="24"/>
      <w:szCs w:val="24"/>
    </w:rPr>
  </w:style>
  <w:style w:type="character" w:customStyle="1" w:styleId="Antrat8Diagrama">
    <w:name w:val="Antraštė 8 Diagrama"/>
    <w:basedOn w:val="Numatytasispastraiposriftas"/>
    <w:link w:val="Antrat8"/>
    <w:uiPriority w:val="9"/>
    <w:semiHidden/>
    <w:rsid w:val="00585AD9"/>
    <w:rPr>
      <w:rFonts w:asciiTheme="majorHAnsi" w:eastAsiaTheme="majorEastAsia" w:hAnsiTheme="majorHAnsi" w:cstheme="majorBidi"/>
      <w:color w:val="404040" w:themeColor="text1" w:themeTint="BF"/>
      <w:sz w:val="20"/>
      <w:szCs w:val="20"/>
    </w:rPr>
  </w:style>
  <w:style w:type="paragraph" w:styleId="Pagrindiniotekstotrauka">
    <w:name w:val="Body Text Indent"/>
    <w:basedOn w:val="prastasis"/>
    <w:link w:val="PagrindiniotekstotraukaDiagrama"/>
    <w:uiPriority w:val="99"/>
    <w:rsid w:val="00585AD9"/>
    <w:pPr>
      <w:ind w:firstLine="720"/>
      <w:jc w:val="both"/>
    </w:pPr>
    <w:rPr>
      <w:szCs w:val="20"/>
      <w:lang w:val="en-US"/>
    </w:rPr>
  </w:style>
  <w:style w:type="character" w:customStyle="1" w:styleId="PagrindiniotekstotraukaDiagrama">
    <w:name w:val="Pagrindinio teksto įtrauka Diagrama"/>
    <w:basedOn w:val="Numatytasispastraiposriftas"/>
    <w:link w:val="Pagrindiniotekstotrauka"/>
    <w:uiPriority w:val="99"/>
    <w:rsid w:val="00585AD9"/>
    <w:rPr>
      <w:rFonts w:ascii="Times New Roman" w:eastAsia="Times New Roman" w:hAnsi="Times New Roman" w:cs="Times New Roman"/>
      <w:sz w:val="24"/>
      <w:szCs w:val="20"/>
      <w:lang w:val="en-US"/>
    </w:rPr>
  </w:style>
  <w:style w:type="paragraph" w:styleId="Pagrindinistekstas">
    <w:name w:val="Body Text"/>
    <w:aliases w:val="block style,Body"/>
    <w:basedOn w:val="prastasis"/>
    <w:link w:val="PagrindinistekstasDiagrama"/>
    <w:uiPriority w:val="99"/>
    <w:rsid w:val="00585AD9"/>
    <w:pPr>
      <w:jc w:val="both"/>
    </w:pPr>
  </w:style>
  <w:style w:type="character" w:customStyle="1" w:styleId="PagrindinistekstasDiagrama">
    <w:name w:val="Pagrindinis tekstas Diagrama"/>
    <w:aliases w:val="block style Diagrama,Body Diagrama"/>
    <w:basedOn w:val="Numatytasispastraiposriftas"/>
    <w:link w:val="Pagrindinistekstas"/>
    <w:uiPriority w:val="99"/>
    <w:rsid w:val="00585AD9"/>
    <w:rPr>
      <w:rFonts w:ascii="Times New Roman" w:eastAsia="Times New Roman" w:hAnsi="Times New Roman" w:cs="Times New Roman"/>
      <w:sz w:val="24"/>
      <w:szCs w:val="24"/>
    </w:rPr>
  </w:style>
  <w:style w:type="character" w:styleId="Hipersaitas">
    <w:name w:val="Hyperlink"/>
    <w:basedOn w:val="Numatytasispastraiposriftas"/>
    <w:uiPriority w:val="99"/>
    <w:rsid w:val="00585AD9"/>
    <w:rPr>
      <w:color w:val="0000FF"/>
      <w:u w:val="single"/>
    </w:rPr>
  </w:style>
  <w:style w:type="paragraph" w:styleId="HTMLiankstoformatuotas">
    <w:name w:val="HTML Preformatted"/>
    <w:basedOn w:val="prastasis"/>
    <w:link w:val="HTMLiankstoformatuotasDiagrama"/>
    <w:semiHidden/>
    <w:rsid w:val="00585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character" w:customStyle="1" w:styleId="HTMLiankstoformatuotasDiagrama">
    <w:name w:val="HTML iš anksto formatuotas Diagrama"/>
    <w:basedOn w:val="Numatytasispastraiposriftas"/>
    <w:link w:val="HTMLiankstoformatuotas"/>
    <w:semiHidden/>
    <w:rsid w:val="00585AD9"/>
    <w:rPr>
      <w:rFonts w:ascii="Courier New" w:eastAsia="Courier New" w:hAnsi="Courier New" w:cs="Courier New"/>
      <w:sz w:val="20"/>
      <w:szCs w:val="20"/>
      <w:lang w:val="en-GB"/>
    </w:rPr>
  </w:style>
  <w:style w:type="character" w:customStyle="1" w:styleId="datametai">
    <w:name w:val="datametai"/>
    <w:basedOn w:val="Numatytasispastraiposriftas"/>
    <w:rsid w:val="00585AD9"/>
  </w:style>
  <w:style w:type="character" w:customStyle="1" w:styleId="datamnuo">
    <w:name w:val="datamnuo"/>
    <w:basedOn w:val="Numatytasispastraiposriftas"/>
    <w:rsid w:val="00585AD9"/>
  </w:style>
  <w:style w:type="character" w:customStyle="1" w:styleId="datadiena">
    <w:name w:val="datadiena"/>
    <w:basedOn w:val="Numatytasispastraiposriftas"/>
    <w:rsid w:val="00585AD9"/>
  </w:style>
  <w:style w:type="character" w:customStyle="1" w:styleId="statymonr">
    <w:name w:val="statymonr"/>
    <w:basedOn w:val="Numatytasispastraiposriftas"/>
    <w:rsid w:val="00585AD9"/>
  </w:style>
  <w:style w:type="character" w:styleId="Puslapioinaosnuoroda">
    <w:name w:val="footnote reference"/>
    <w:basedOn w:val="Numatytasispastraiposriftas"/>
    <w:semiHidden/>
    <w:rsid w:val="00585AD9"/>
    <w:rPr>
      <w:vertAlign w:val="superscript"/>
    </w:rPr>
  </w:style>
  <w:style w:type="paragraph" w:styleId="Pagrindinistekstas2">
    <w:name w:val="Body Text 2"/>
    <w:basedOn w:val="prastasis"/>
    <w:link w:val="Pagrindinistekstas2Diagrama"/>
    <w:uiPriority w:val="99"/>
    <w:rsid w:val="00585AD9"/>
    <w:rPr>
      <w:szCs w:val="20"/>
    </w:rPr>
  </w:style>
  <w:style w:type="character" w:customStyle="1" w:styleId="Pagrindinistekstas2Diagrama">
    <w:name w:val="Pagrindinis tekstas 2 Diagrama"/>
    <w:basedOn w:val="Numatytasispastraiposriftas"/>
    <w:link w:val="Pagrindinistekstas2"/>
    <w:uiPriority w:val="99"/>
    <w:rsid w:val="00585AD9"/>
    <w:rPr>
      <w:rFonts w:ascii="Times New Roman" w:eastAsia="Times New Roman" w:hAnsi="Times New Roman" w:cs="Times New Roman"/>
      <w:sz w:val="24"/>
      <w:szCs w:val="20"/>
    </w:rPr>
  </w:style>
  <w:style w:type="paragraph" w:customStyle="1" w:styleId="SubjectHeading">
    <w:name w:val="Subject Heading"/>
    <w:basedOn w:val="prastasis"/>
    <w:next w:val="prastasis"/>
    <w:rsid w:val="00585AD9"/>
    <w:pPr>
      <w:spacing w:before="480" w:after="240"/>
      <w:jc w:val="center"/>
    </w:pPr>
    <w:rPr>
      <w:rFonts w:ascii="Arial" w:hAnsi="Arial"/>
      <w:b/>
      <w:sz w:val="32"/>
      <w:szCs w:val="20"/>
      <w:lang w:val="en-GB"/>
    </w:rPr>
  </w:style>
  <w:style w:type="paragraph" w:styleId="Puslapioinaostekstas">
    <w:name w:val="footnote text"/>
    <w:basedOn w:val="prastasis"/>
    <w:link w:val="PuslapioinaostekstasDiagrama"/>
    <w:semiHidden/>
    <w:rsid w:val="00585AD9"/>
    <w:rPr>
      <w:sz w:val="20"/>
      <w:szCs w:val="20"/>
      <w:lang w:eastAsia="lt-LT"/>
    </w:rPr>
  </w:style>
  <w:style w:type="character" w:customStyle="1" w:styleId="PuslapioinaostekstasDiagrama">
    <w:name w:val="Puslapio išnašos tekstas Diagrama"/>
    <w:basedOn w:val="Numatytasispastraiposriftas"/>
    <w:link w:val="Puslapioinaostekstas"/>
    <w:semiHidden/>
    <w:rsid w:val="00585AD9"/>
    <w:rPr>
      <w:rFonts w:ascii="Times New Roman" w:eastAsia="Times New Roman" w:hAnsi="Times New Roman" w:cs="Times New Roman"/>
      <w:sz w:val="20"/>
      <w:szCs w:val="20"/>
      <w:lang w:eastAsia="lt-LT"/>
    </w:rPr>
  </w:style>
  <w:style w:type="character" w:styleId="Puslapionumeris">
    <w:name w:val="page number"/>
    <w:basedOn w:val="Numatytasispastraiposriftas"/>
    <w:semiHidden/>
    <w:rsid w:val="00585AD9"/>
  </w:style>
  <w:style w:type="paragraph" w:styleId="Porat">
    <w:name w:val="footer"/>
    <w:basedOn w:val="prastasis"/>
    <w:link w:val="PoratDiagrama"/>
    <w:uiPriority w:val="99"/>
    <w:rsid w:val="00585AD9"/>
    <w:pPr>
      <w:tabs>
        <w:tab w:val="center" w:pos="4320"/>
        <w:tab w:val="right" w:pos="8640"/>
      </w:tabs>
    </w:pPr>
    <w:rPr>
      <w:rFonts w:ascii="CG Times" w:hAnsi="CG Times"/>
      <w:sz w:val="20"/>
      <w:szCs w:val="20"/>
    </w:rPr>
  </w:style>
  <w:style w:type="character" w:customStyle="1" w:styleId="PoratDiagrama">
    <w:name w:val="Poraštė Diagrama"/>
    <w:basedOn w:val="Numatytasispastraiposriftas"/>
    <w:link w:val="Porat"/>
    <w:uiPriority w:val="99"/>
    <w:rsid w:val="00585AD9"/>
    <w:rPr>
      <w:rFonts w:ascii="CG Times" w:eastAsia="Times New Roman" w:hAnsi="CG Times" w:cs="Times New Roman"/>
      <w:sz w:val="20"/>
      <w:szCs w:val="20"/>
    </w:rPr>
  </w:style>
  <w:style w:type="character" w:customStyle="1" w:styleId="Antrat9Diagrama">
    <w:name w:val="Antraštė 9 Diagrama"/>
    <w:basedOn w:val="Numatytasispastraiposriftas"/>
    <w:link w:val="Antrat9"/>
    <w:semiHidden/>
    <w:rsid w:val="007A1594"/>
    <w:rPr>
      <w:rFonts w:asciiTheme="majorHAnsi" w:eastAsiaTheme="majorEastAsia" w:hAnsiTheme="majorHAnsi" w:cstheme="majorBidi"/>
      <w:i/>
      <w:iCs/>
      <w:color w:val="404040" w:themeColor="text1" w:themeTint="BF"/>
      <w:sz w:val="20"/>
      <w:szCs w:val="20"/>
    </w:rPr>
  </w:style>
  <w:style w:type="character" w:customStyle="1" w:styleId="Puslapioinaosnuoroda1">
    <w:name w:val="Puslapio išnašos nuoroda1"/>
    <w:rsid w:val="007A1594"/>
    <w:rPr>
      <w:color w:val="000000"/>
    </w:rPr>
  </w:style>
  <w:style w:type="character" w:customStyle="1" w:styleId="Antrat2Diagrama">
    <w:name w:val="Antraštė 2 Diagrama"/>
    <w:basedOn w:val="Numatytasispastraiposriftas"/>
    <w:link w:val="Antrat2"/>
    <w:uiPriority w:val="9"/>
    <w:rsid w:val="008E05AA"/>
    <w:rPr>
      <w:rFonts w:ascii="Times New Roman" w:eastAsia="Times New Roman" w:hAnsi="Times New Roman" w:cs="Times New Roman"/>
      <w:b/>
      <w:bCs/>
      <w:sz w:val="24"/>
      <w:szCs w:val="20"/>
    </w:rPr>
  </w:style>
  <w:style w:type="character" w:customStyle="1" w:styleId="Antrat3Diagrama">
    <w:name w:val="Antraštė 3 Diagrama"/>
    <w:basedOn w:val="Numatytasispastraiposriftas"/>
    <w:link w:val="Antrat3"/>
    <w:rsid w:val="008E05AA"/>
    <w:rPr>
      <w:rFonts w:asciiTheme="majorHAnsi" w:eastAsiaTheme="majorEastAsia" w:hAnsiTheme="majorHAnsi" w:cstheme="majorBidi"/>
      <w:b/>
      <w:bCs/>
      <w:color w:val="4F81BD" w:themeColor="accent1"/>
      <w:sz w:val="24"/>
      <w:szCs w:val="24"/>
    </w:rPr>
  </w:style>
  <w:style w:type="paragraph" w:styleId="Sraopastraipa">
    <w:name w:val="List Paragraph"/>
    <w:basedOn w:val="prastasis"/>
    <w:uiPriority w:val="34"/>
    <w:qFormat/>
    <w:rsid w:val="008E05AA"/>
    <w:pPr>
      <w:ind w:left="720"/>
      <w:contextualSpacing/>
    </w:pPr>
  </w:style>
  <w:style w:type="paragraph" w:styleId="Pagrindiniotekstotrauka2">
    <w:name w:val="Body Text Indent 2"/>
    <w:basedOn w:val="prastasis"/>
    <w:link w:val="Pagrindiniotekstotrauka2Diagrama"/>
    <w:semiHidden/>
    <w:unhideWhenUsed/>
    <w:rsid w:val="008E05AA"/>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8E05AA"/>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semiHidden/>
    <w:unhideWhenUsed/>
    <w:rsid w:val="008E05AA"/>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8E05AA"/>
    <w:rPr>
      <w:rFonts w:ascii="Times New Roman" w:eastAsia="Times New Roman" w:hAnsi="Times New Roman" w:cs="Times New Roman"/>
      <w:sz w:val="16"/>
      <w:szCs w:val="16"/>
    </w:rPr>
  </w:style>
  <w:style w:type="paragraph" w:styleId="Pagrindinistekstas3">
    <w:name w:val="Body Text 3"/>
    <w:basedOn w:val="prastasis"/>
    <w:link w:val="Pagrindinistekstas3Diagrama"/>
    <w:uiPriority w:val="99"/>
    <w:semiHidden/>
    <w:unhideWhenUsed/>
    <w:rsid w:val="008E05AA"/>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8E05AA"/>
    <w:rPr>
      <w:rFonts w:ascii="Times New Roman" w:eastAsia="Times New Roman" w:hAnsi="Times New Roman" w:cs="Times New Roman"/>
      <w:sz w:val="16"/>
      <w:szCs w:val="16"/>
    </w:rPr>
  </w:style>
  <w:style w:type="character" w:customStyle="1" w:styleId="AntratsDiagrama">
    <w:name w:val="Antraštės Diagrama"/>
    <w:basedOn w:val="Numatytasispastraiposriftas"/>
    <w:link w:val="Antrats"/>
    <w:uiPriority w:val="99"/>
    <w:rsid w:val="008E05AA"/>
    <w:rPr>
      <w:rFonts w:ascii="Times New Roman" w:eastAsia="Times New Roman" w:hAnsi="Times New Roman" w:cs="Times New Roman"/>
      <w:sz w:val="24"/>
      <w:szCs w:val="20"/>
    </w:rPr>
  </w:style>
  <w:style w:type="paragraph" w:styleId="Antrats">
    <w:name w:val="header"/>
    <w:basedOn w:val="prastasis"/>
    <w:link w:val="AntratsDiagrama"/>
    <w:uiPriority w:val="99"/>
    <w:rsid w:val="008E05AA"/>
    <w:pPr>
      <w:tabs>
        <w:tab w:val="center" w:pos="4320"/>
        <w:tab w:val="right" w:pos="8640"/>
      </w:tabs>
    </w:pPr>
    <w:rPr>
      <w:szCs w:val="20"/>
    </w:rPr>
  </w:style>
  <w:style w:type="character" w:customStyle="1" w:styleId="AntratsDiagrama1">
    <w:name w:val="Antraštės Diagrama1"/>
    <w:basedOn w:val="Numatytasispastraiposriftas"/>
    <w:uiPriority w:val="99"/>
    <w:semiHidden/>
    <w:rsid w:val="008E05AA"/>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8E05A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E05AA"/>
    <w:rPr>
      <w:rFonts w:ascii="Tahoma" w:eastAsia="Times New Roman" w:hAnsi="Tahoma" w:cs="Tahoma"/>
      <w:sz w:val="16"/>
      <w:szCs w:val="16"/>
    </w:rPr>
  </w:style>
  <w:style w:type="paragraph" w:customStyle="1" w:styleId="matvienetai">
    <w:name w:val="matvienetai"/>
    <w:basedOn w:val="prastasis"/>
    <w:autoRedefine/>
    <w:rsid w:val="008E05AA"/>
    <w:rPr>
      <w:rFonts w:ascii="Arial" w:hAnsi="Arial"/>
      <w:sz w:val="17"/>
      <w:szCs w:val="20"/>
      <w:lang w:val="en-US"/>
    </w:rPr>
  </w:style>
  <w:style w:type="character" w:customStyle="1" w:styleId="texttopiclead">
    <w:name w:val="texttopiclead"/>
    <w:basedOn w:val="Numatytasispastraiposriftas"/>
    <w:rsid w:val="008E05AA"/>
  </w:style>
  <w:style w:type="paragraph" w:styleId="Betarp">
    <w:name w:val="No Spacing"/>
    <w:uiPriority w:val="1"/>
    <w:qFormat/>
    <w:rsid w:val="008E05AA"/>
    <w:pPr>
      <w:spacing w:after="0" w:line="240" w:lineRule="auto"/>
    </w:pPr>
    <w:rPr>
      <w:rFonts w:ascii="Times New Roman" w:eastAsia="Times New Roman" w:hAnsi="Times New Roman" w:cs="Times New Roman"/>
      <w:sz w:val="24"/>
      <w:szCs w:val="24"/>
    </w:rPr>
  </w:style>
  <w:style w:type="paragraph" w:customStyle="1" w:styleId="bodytext">
    <w:name w:val="bodytext"/>
    <w:basedOn w:val="prastasis"/>
    <w:rsid w:val="008E05AA"/>
    <w:pPr>
      <w:spacing w:before="100" w:beforeAutospacing="1" w:after="100" w:afterAutospacing="1"/>
    </w:pPr>
    <w:rPr>
      <w:rFonts w:ascii="Arial Unicode MS" w:eastAsia="Arial Unicode MS" w:hAnsi="Arial Unicode MS" w:cs="Arial Unicode MS"/>
      <w:lang w:val="en-GB"/>
    </w:rPr>
  </w:style>
  <w:style w:type="paragraph" w:customStyle="1" w:styleId="prastasis1">
    <w:name w:val="Įprastasis1"/>
    <w:basedOn w:val="Default"/>
    <w:next w:val="Default"/>
    <w:rsid w:val="00DD08F5"/>
    <w:rPr>
      <w:color w:val="auto"/>
    </w:rPr>
  </w:style>
  <w:style w:type="paragraph" w:customStyle="1" w:styleId="Default">
    <w:name w:val="Default"/>
    <w:rsid w:val="00DD08F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prastasistinklapis1">
    <w:name w:val="Įprastasis (tinklapis)1"/>
    <w:basedOn w:val="Default"/>
    <w:next w:val="Default"/>
    <w:rsid w:val="00DD08F5"/>
    <w:pPr>
      <w:spacing w:before="100" w:after="100"/>
    </w:pPr>
    <w:rPr>
      <w:color w:val="auto"/>
    </w:rPr>
  </w:style>
  <w:style w:type="paragraph" w:customStyle="1" w:styleId="Pagrindiniotekstotrauka21">
    <w:name w:val="Pagrindinio teksto įtrauka 21"/>
    <w:basedOn w:val="Default"/>
    <w:next w:val="Default"/>
    <w:rsid w:val="00DD08F5"/>
    <w:pPr>
      <w:spacing w:after="120"/>
    </w:pPr>
    <w:rPr>
      <w:color w:val="auto"/>
    </w:rPr>
  </w:style>
  <w:style w:type="paragraph" w:customStyle="1" w:styleId="fait">
    <w:name w:val="fait"/>
    <w:basedOn w:val="prastasis"/>
    <w:rsid w:val="00DD08F5"/>
    <w:pPr>
      <w:spacing w:before="100" w:beforeAutospacing="1" w:after="100" w:afterAutospacing="1"/>
    </w:pPr>
    <w:rPr>
      <w:rFonts w:ascii="Arial Unicode MS" w:eastAsia="Arial Unicode MS" w:hAnsi="Arial Unicode MS" w:cs="Arial Unicode MS"/>
      <w:lang w:val="en-GB"/>
    </w:rPr>
  </w:style>
  <w:style w:type="character" w:customStyle="1" w:styleId="typewriter">
    <w:name w:val="typewriter"/>
    <w:basedOn w:val="Numatytasispastraiposriftas"/>
    <w:rsid w:val="00DD08F5"/>
  </w:style>
  <w:style w:type="paragraph" w:customStyle="1" w:styleId="Projektas">
    <w:name w:val="Projektas"/>
    <w:basedOn w:val="Antrat3"/>
    <w:qFormat/>
    <w:rsid w:val="00DD08F5"/>
    <w:pPr>
      <w:keepLines w:val="0"/>
      <w:spacing w:before="0"/>
      <w:ind w:firstLine="720"/>
      <w:jc w:val="center"/>
    </w:pPr>
    <w:rPr>
      <w:rFonts w:ascii="Times New Roman" w:eastAsia="Times New Roman" w:hAnsi="Times New Roman" w:cs="Times New Roman"/>
      <w:color w:val="auto"/>
      <w:szCs w:val="20"/>
    </w:rPr>
  </w:style>
  <w:style w:type="paragraph" w:customStyle="1" w:styleId="DokParasas">
    <w:name w:val="DokParasas"/>
    <w:basedOn w:val="prastasis"/>
    <w:rsid w:val="00DD08F5"/>
    <w:pPr>
      <w:tabs>
        <w:tab w:val="right" w:pos="9072"/>
      </w:tabs>
      <w:spacing w:line="360" w:lineRule="auto"/>
      <w:ind w:firstLine="720"/>
      <w:jc w:val="both"/>
    </w:pPr>
    <w:rPr>
      <w:rFonts w:ascii="TimesLT" w:hAnsi="TimesLT"/>
      <w:szCs w:val="20"/>
    </w:rPr>
  </w:style>
  <w:style w:type="paragraph" w:customStyle="1" w:styleId="Betarp1">
    <w:name w:val="Be tarpų1"/>
    <w:rsid w:val="00DD08F5"/>
    <w:pPr>
      <w:spacing w:after="0" w:line="240" w:lineRule="auto"/>
    </w:pPr>
    <w:rPr>
      <w:rFonts w:ascii="Times New Roman" w:eastAsia="Times New Roman" w:hAnsi="Times New Roman" w:cs="Times New Roman"/>
      <w:sz w:val="24"/>
      <w:szCs w:val="20"/>
      <w:lang w:eastAsia="lt-LT"/>
    </w:rPr>
  </w:style>
  <w:style w:type="paragraph" w:customStyle="1" w:styleId="Normal1">
    <w:name w:val="Normal1"/>
    <w:basedOn w:val="prastasis"/>
    <w:next w:val="Pagrindinistekstas"/>
    <w:rsid w:val="00DD08F5"/>
    <w:pPr>
      <w:jc w:val="both"/>
    </w:pPr>
    <w:rPr>
      <w:szCs w:val="20"/>
      <w:lang w:val="en-US"/>
    </w:rPr>
  </w:style>
  <w:style w:type="paragraph" w:customStyle="1" w:styleId="DefinitionTerm">
    <w:name w:val="Definition Term"/>
    <w:basedOn w:val="prastasis"/>
    <w:next w:val="prastasis"/>
    <w:rsid w:val="00DD08F5"/>
    <w:rPr>
      <w:szCs w:val="20"/>
    </w:rPr>
  </w:style>
  <w:style w:type="paragraph" w:styleId="Tekstoblokas">
    <w:name w:val="Block Text"/>
    <w:basedOn w:val="prastasis"/>
    <w:semiHidden/>
    <w:rsid w:val="00DD08F5"/>
    <w:pPr>
      <w:ind w:left="-540" w:right="-1054"/>
      <w:jc w:val="both"/>
    </w:pPr>
  </w:style>
  <w:style w:type="paragraph" w:customStyle="1" w:styleId="ListParagraph1">
    <w:name w:val="List Paragraph1"/>
    <w:basedOn w:val="prastasis"/>
    <w:qFormat/>
    <w:rsid w:val="00DD08F5"/>
    <w:pPr>
      <w:ind w:left="720"/>
    </w:pPr>
    <w:rPr>
      <w:szCs w:val="20"/>
      <w:lang w:eastAsia="lt-LT"/>
    </w:rPr>
  </w:style>
  <w:style w:type="character" w:customStyle="1" w:styleId="Typewriter0">
    <w:name w:val="Typewriter"/>
    <w:rsid w:val="00DD08F5"/>
    <w:rPr>
      <w:rFonts w:ascii="Courier New" w:hAnsi="Courier New"/>
      <w:sz w:val="20"/>
    </w:rPr>
  </w:style>
  <w:style w:type="character" w:customStyle="1" w:styleId="dpav">
    <w:name w:val="dpav"/>
    <w:basedOn w:val="Numatytasispastraiposriftas"/>
    <w:rsid w:val="00DD08F5"/>
    <w:rPr>
      <w:sz w:val="26"/>
      <w:szCs w:val="26"/>
    </w:rPr>
  </w:style>
  <w:style w:type="character" w:styleId="Perirtashipersaitas">
    <w:name w:val="FollowedHyperlink"/>
    <w:basedOn w:val="Numatytasispastraiposriftas"/>
    <w:semiHidden/>
    <w:rsid w:val="00DD08F5"/>
    <w:rPr>
      <w:color w:val="800080"/>
      <w:u w:val="single"/>
    </w:rPr>
  </w:style>
  <w:style w:type="paragraph" w:customStyle="1" w:styleId="CharCharCharDiagramaDiagramaCharCharCharCharCharChar">
    <w:name w:val="Char Char Char Diagrama Diagrama Char Char Char Char Char Char"/>
    <w:basedOn w:val="prastasis"/>
    <w:rsid w:val="00DD08F5"/>
    <w:pPr>
      <w:spacing w:after="160" w:line="240" w:lineRule="exact"/>
    </w:pPr>
    <w:rPr>
      <w:rFonts w:ascii="Tahoma" w:hAnsi="Tahoma"/>
      <w:sz w:val="20"/>
      <w:szCs w:val="20"/>
      <w:lang w:val="en-US"/>
    </w:rPr>
  </w:style>
  <w:style w:type="paragraph" w:customStyle="1" w:styleId="DiagramaDiagrama1DiagramaDiagramaCharCharDiagramaDiagrama">
    <w:name w:val="Diagrama Diagrama1 Diagrama Diagrama Char Char Diagrama Diagrama"/>
    <w:basedOn w:val="prastasis"/>
    <w:rsid w:val="00DD08F5"/>
    <w:pPr>
      <w:spacing w:after="160" w:line="240" w:lineRule="exact"/>
    </w:pPr>
    <w:rPr>
      <w:rFonts w:ascii="Tahoma" w:hAnsi="Tahoma"/>
      <w:sz w:val="20"/>
      <w:szCs w:val="20"/>
      <w:lang w:val="en-US"/>
    </w:rPr>
  </w:style>
  <w:style w:type="character" w:customStyle="1" w:styleId="summary">
    <w:name w:val="summary"/>
    <w:basedOn w:val="Numatytasispastraiposriftas"/>
    <w:rsid w:val="00DD08F5"/>
  </w:style>
  <w:style w:type="paragraph" w:customStyle="1" w:styleId="Typedudocument">
    <w:name w:val="Type du document"/>
    <w:basedOn w:val="prastasis"/>
    <w:next w:val="prastasis"/>
    <w:rsid w:val="00DD08F5"/>
    <w:pPr>
      <w:spacing w:before="360"/>
      <w:jc w:val="center"/>
    </w:pPr>
    <w:rPr>
      <w:b/>
      <w:snapToGrid w:val="0"/>
      <w:lang w:eastAsia="en-GB"/>
    </w:rPr>
  </w:style>
  <w:style w:type="paragraph" w:customStyle="1" w:styleId="ISTATYMAS">
    <w:name w:val="ISTATYMAS"/>
    <w:rsid w:val="00DD08F5"/>
    <w:pPr>
      <w:autoSpaceDE w:val="0"/>
      <w:autoSpaceDN w:val="0"/>
      <w:adjustRightInd w:val="0"/>
      <w:spacing w:after="0" w:line="240" w:lineRule="auto"/>
      <w:jc w:val="center"/>
    </w:pPr>
    <w:rPr>
      <w:rFonts w:ascii="TimesLT" w:eastAsia="Times New Roman" w:hAnsi="TimesLT" w:cs="Times New Roman"/>
      <w:sz w:val="20"/>
      <w:szCs w:val="20"/>
      <w:lang w:val="en-US"/>
    </w:rPr>
  </w:style>
  <w:style w:type="paragraph" w:customStyle="1" w:styleId="Hyperlink1">
    <w:name w:val="Hyperlink1"/>
    <w:rsid w:val="00DD08F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Debesliotekstas1">
    <w:name w:val="Debesėlio tekstas1"/>
    <w:basedOn w:val="prastasis"/>
    <w:semiHidden/>
    <w:rsid w:val="00DD08F5"/>
    <w:rPr>
      <w:rFonts w:ascii="Tahoma" w:hAnsi="Tahoma" w:cs="Tahoma"/>
      <w:sz w:val="16"/>
      <w:szCs w:val="16"/>
    </w:rPr>
  </w:style>
  <w:style w:type="paragraph" w:customStyle="1" w:styleId="DiagramaDiagrama1DiagramaDiagramaCharCharDiagramaDiagramaCharCharChar">
    <w:name w:val="Diagrama Diagrama1 Diagrama Diagrama Char Char Diagrama Diagrama Char Char Char"/>
    <w:basedOn w:val="prastasis"/>
    <w:rsid w:val="00DD08F5"/>
    <w:pPr>
      <w:spacing w:after="160" w:line="240" w:lineRule="exact"/>
    </w:pPr>
    <w:rPr>
      <w:rFonts w:ascii="Tahoma" w:hAnsi="Tahoma"/>
      <w:sz w:val="20"/>
      <w:szCs w:val="20"/>
      <w:lang w:val="en-US"/>
    </w:rPr>
  </w:style>
  <w:style w:type="paragraph" w:customStyle="1" w:styleId="CharCharCharCharChar">
    <w:name w:val="Char Char Char Char Char"/>
    <w:basedOn w:val="prastasis"/>
    <w:rsid w:val="00DD08F5"/>
    <w:pPr>
      <w:spacing w:after="160" w:line="240" w:lineRule="exact"/>
    </w:pPr>
    <w:rPr>
      <w:rFonts w:ascii="Tahoma" w:hAnsi="Tahoma"/>
      <w:sz w:val="20"/>
      <w:szCs w:val="20"/>
      <w:lang w:val="en-US"/>
    </w:rPr>
  </w:style>
  <w:style w:type="paragraph" w:customStyle="1" w:styleId="ZchnZchnCharZchnZchnCharCharCharCharCharCharCharCharCharCharCharCharCharCharCharCharCharCharCharCharCharCharCharCharCharCharChar">
    <w:name w:val="Zchn Zchn Char Zchn Zchn Char Char Char Char Char Char Char Char Char Char Char Char Char Char Char Char Char Char Char Char Char Char Char Char Char Char Char"/>
    <w:basedOn w:val="prastasis"/>
    <w:rsid w:val="00DD08F5"/>
    <w:rPr>
      <w:lang w:val="pl-PL" w:eastAsia="pl-PL"/>
    </w:rPr>
  </w:style>
  <w:style w:type="paragraph" w:customStyle="1" w:styleId="Sraopastraipa1">
    <w:name w:val="Sąrašo pastraipa1"/>
    <w:basedOn w:val="prastasis"/>
    <w:qFormat/>
    <w:rsid w:val="00DD08F5"/>
    <w:pPr>
      <w:ind w:left="1296"/>
    </w:pPr>
  </w:style>
  <w:style w:type="paragraph" w:customStyle="1" w:styleId="CharChar">
    <w:name w:val="Char Char"/>
    <w:basedOn w:val="prastasis"/>
    <w:rsid w:val="00DD08F5"/>
    <w:pPr>
      <w:spacing w:after="160" w:line="240" w:lineRule="exact"/>
    </w:pPr>
    <w:rPr>
      <w:rFonts w:ascii="Tahoma" w:hAnsi="Tahoma"/>
      <w:sz w:val="20"/>
      <w:szCs w:val="20"/>
      <w:lang w:val="en-US"/>
    </w:rPr>
  </w:style>
  <w:style w:type="paragraph" w:customStyle="1" w:styleId="1CharCharCharCharCharChar">
    <w:name w:val="1 Char Char Char Char Char Char"/>
    <w:basedOn w:val="prastasis"/>
    <w:rsid w:val="00DD08F5"/>
    <w:pPr>
      <w:spacing w:after="160" w:line="240" w:lineRule="exact"/>
    </w:pPr>
    <w:rPr>
      <w:rFonts w:ascii="Tahoma" w:hAnsi="Tahoma"/>
      <w:sz w:val="20"/>
      <w:szCs w:val="20"/>
      <w:lang w:val="en-US"/>
    </w:rPr>
  </w:style>
  <w:style w:type="character" w:customStyle="1" w:styleId="Heading1Char">
    <w:name w:val="Heading 1 Char"/>
    <w:basedOn w:val="Numatytasispastraiposriftas"/>
    <w:rsid w:val="00DD08F5"/>
    <w:rPr>
      <w:rFonts w:ascii="Cambria" w:hAnsi="Cambria"/>
      <w:b/>
      <w:bCs/>
      <w:kern w:val="32"/>
      <w:sz w:val="32"/>
      <w:szCs w:val="32"/>
      <w:lang w:val="lt-LT" w:eastAsia="en-US" w:bidi="ar-SA"/>
    </w:rPr>
  </w:style>
  <w:style w:type="paragraph" w:customStyle="1" w:styleId="Hipersaitas1">
    <w:name w:val="Hipersaitas1"/>
    <w:basedOn w:val="prastasis"/>
    <w:rsid w:val="00DD08F5"/>
    <w:pPr>
      <w:spacing w:before="100" w:beforeAutospacing="1" w:after="100" w:afterAutospacing="1"/>
    </w:pPr>
    <w:rPr>
      <w:lang w:val="en-US"/>
    </w:rPr>
  </w:style>
  <w:style w:type="paragraph" w:customStyle="1" w:styleId="CharCharCharDiagramaDiagramaChar">
    <w:name w:val="Char Char Char Diagrama Diagrama Char"/>
    <w:basedOn w:val="prastasis"/>
    <w:rsid w:val="00DD08F5"/>
    <w:pPr>
      <w:spacing w:after="160" w:line="240" w:lineRule="exact"/>
    </w:pPr>
    <w:rPr>
      <w:rFonts w:ascii="Tahoma" w:hAnsi="Tahoma"/>
      <w:sz w:val="20"/>
      <w:szCs w:val="20"/>
      <w:lang w:val="en-US"/>
    </w:rPr>
  </w:style>
  <w:style w:type="paragraph" w:customStyle="1" w:styleId="CharCharCharDiagramaDiagrama">
    <w:name w:val="Char Char Char Diagrama Diagrama"/>
    <w:basedOn w:val="prastasis"/>
    <w:rsid w:val="00DD08F5"/>
    <w:pPr>
      <w:spacing w:after="160" w:line="240" w:lineRule="exact"/>
    </w:pPr>
    <w:rPr>
      <w:rFonts w:ascii="Tahoma" w:hAnsi="Tahoma"/>
      <w:sz w:val="20"/>
      <w:szCs w:val="20"/>
      <w:lang w:val="en-US"/>
    </w:rPr>
  </w:style>
  <w:style w:type="paragraph" w:customStyle="1" w:styleId="projektas0">
    <w:name w:val="projektas0"/>
    <w:basedOn w:val="prastasis"/>
    <w:rsid w:val="00626711"/>
    <w:pPr>
      <w:spacing w:before="100" w:beforeAutospacing="1" w:after="100" w:afterAutospacing="1"/>
    </w:pPr>
    <w:rPr>
      <w:rFonts w:ascii="Arial Unicode MS" w:eastAsia="Arial Unicode MS" w:hAnsi="Arial Unicode MS" w:cs="Arial Unicode MS"/>
      <w:lang w:val="en-GB"/>
    </w:rPr>
  </w:style>
  <w:style w:type="character" w:styleId="Emfaz">
    <w:name w:val="Emphasis"/>
    <w:uiPriority w:val="20"/>
    <w:qFormat/>
    <w:rsid w:val="00626711"/>
    <w:rPr>
      <w:i/>
      <w:iCs/>
    </w:rPr>
  </w:style>
  <w:style w:type="character" w:styleId="HTMLspausdinimomainl">
    <w:name w:val="HTML Typewriter"/>
    <w:semiHidden/>
    <w:rsid w:val="00626711"/>
    <w:rPr>
      <w:sz w:val="20"/>
    </w:rPr>
  </w:style>
  <w:style w:type="paragraph" w:customStyle="1" w:styleId="istatymas0">
    <w:name w:val="istatymas"/>
    <w:basedOn w:val="prastasis"/>
    <w:rsid w:val="00626711"/>
    <w:pPr>
      <w:spacing w:before="100" w:beforeAutospacing="1" w:after="100" w:afterAutospacing="1"/>
    </w:pPr>
    <w:rPr>
      <w:rFonts w:ascii="Arial Unicode MS" w:eastAsia="Arial Unicode MS" w:hAnsi="Arial Unicode MS" w:cs="Arial Unicode MS"/>
      <w:lang w:val="en-GB"/>
    </w:rPr>
  </w:style>
  <w:style w:type="paragraph" w:customStyle="1" w:styleId="Hipersaitas2">
    <w:name w:val="Hipersaitas2"/>
    <w:basedOn w:val="prastasis"/>
    <w:rsid w:val="00626711"/>
    <w:pPr>
      <w:suppressAutoHyphens/>
      <w:autoSpaceDE w:val="0"/>
      <w:autoSpaceDN w:val="0"/>
      <w:adjustRightInd w:val="0"/>
      <w:spacing w:line="298" w:lineRule="auto"/>
      <w:ind w:firstLine="312"/>
      <w:jc w:val="both"/>
      <w:textAlignment w:val="center"/>
    </w:pPr>
    <w:rPr>
      <w:rFonts w:eastAsia="Calibri"/>
      <w:color w:val="000000"/>
      <w:sz w:val="20"/>
      <w:szCs w:val="20"/>
    </w:rPr>
  </w:style>
  <w:style w:type="paragraph" w:styleId="Pavadinimas">
    <w:name w:val="Title"/>
    <w:basedOn w:val="prastasis"/>
    <w:link w:val="PavadinimasDiagrama"/>
    <w:qFormat/>
    <w:rsid w:val="00626711"/>
    <w:pPr>
      <w:ind w:firstLine="567"/>
      <w:jc w:val="center"/>
    </w:pPr>
    <w:rPr>
      <w:b/>
      <w:sz w:val="28"/>
      <w:lang w:eastAsia="lt-LT"/>
    </w:rPr>
  </w:style>
  <w:style w:type="character" w:customStyle="1" w:styleId="PavadinimasDiagrama">
    <w:name w:val="Pavadinimas Diagrama"/>
    <w:basedOn w:val="Numatytasispastraiposriftas"/>
    <w:link w:val="Pavadinimas"/>
    <w:rsid w:val="00626711"/>
    <w:rPr>
      <w:rFonts w:ascii="Times New Roman" w:eastAsia="Times New Roman" w:hAnsi="Times New Roman" w:cs="Times New Roman"/>
      <w:b/>
      <w:sz w:val="28"/>
      <w:szCs w:val="24"/>
      <w:lang w:eastAsia="lt-LT"/>
    </w:rPr>
  </w:style>
  <w:style w:type="paragraph" w:styleId="Antrinispavadinimas">
    <w:name w:val="Subtitle"/>
    <w:basedOn w:val="prastasis"/>
    <w:link w:val="AntrinispavadinimasDiagrama"/>
    <w:qFormat/>
    <w:rsid w:val="00626711"/>
    <w:pPr>
      <w:ind w:firstLine="567"/>
      <w:jc w:val="center"/>
    </w:pPr>
    <w:rPr>
      <w:b/>
      <w:lang w:eastAsia="lt-LT"/>
    </w:rPr>
  </w:style>
  <w:style w:type="character" w:customStyle="1" w:styleId="AntrinispavadinimasDiagrama">
    <w:name w:val="Antrinis pavadinimas Diagrama"/>
    <w:basedOn w:val="Numatytasispastraiposriftas"/>
    <w:link w:val="Antrinispavadinimas"/>
    <w:rsid w:val="00626711"/>
    <w:rPr>
      <w:rFonts w:ascii="Times New Roman" w:eastAsia="Times New Roman" w:hAnsi="Times New Roman" w:cs="Times New Roman"/>
      <w:b/>
      <w:sz w:val="24"/>
      <w:szCs w:val="24"/>
      <w:lang w:eastAsia="lt-LT"/>
    </w:rPr>
  </w:style>
  <w:style w:type="character" w:customStyle="1" w:styleId="apple-style-span">
    <w:name w:val="apple-style-span"/>
    <w:rsid w:val="00C07927"/>
  </w:style>
  <w:style w:type="character" w:customStyle="1" w:styleId="apple-converted-space">
    <w:name w:val="apple-converted-space"/>
    <w:rsid w:val="00C07927"/>
  </w:style>
  <w:style w:type="paragraph" w:customStyle="1" w:styleId="statymopavad">
    <w:name w:val="statymopavad"/>
    <w:basedOn w:val="prastasis"/>
    <w:rsid w:val="00C07927"/>
    <w:pPr>
      <w:spacing w:before="100" w:beforeAutospacing="1" w:after="100" w:afterAutospacing="1"/>
    </w:pPr>
    <w:rPr>
      <w:lang w:eastAsia="lt-LT"/>
    </w:rPr>
  </w:style>
  <w:style w:type="paragraph" w:customStyle="1" w:styleId="Pagrindinistekstas1">
    <w:name w:val="Pagrindinis tekstas1"/>
    <w:rsid w:val="00A2543C"/>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agrindinistekstas20">
    <w:name w:val="Pagrindinis tekstas2"/>
    <w:rsid w:val="00A2543C"/>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MAZAS">
    <w:name w:val="MAZAS"/>
    <w:rsid w:val="00A2543C"/>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Paprastasistekstas">
    <w:name w:val="Plain Text"/>
    <w:basedOn w:val="prastasis"/>
    <w:link w:val="PaprastasistekstasDiagrama"/>
    <w:uiPriority w:val="99"/>
    <w:semiHidden/>
    <w:unhideWhenUsed/>
    <w:rsid w:val="00A2543C"/>
    <w:pPr>
      <w:spacing w:before="100" w:beforeAutospacing="1" w:after="100" w:afterAutospacing="1"/>
    </w:pPr>
    <w:rPr>
      <w:lang w:eastAsia="lt-LT"/>
    </w:rPr>
  </w:style>
  <w:style w:type="character" w:customStyle="1" w:styleId="PaprastasistekstasDiagrama">
    <w:name w:val="Paprastasis tekstas Diagrama"/>
    <w:basedOn w:val="Numatytasispastraiposriftas"/>
    <w:link w:val="Paprastasistekstas"/>
    <w:uiPriority w:val="99"/>
    <w:semiHidden/>
    <w:rsid w:val="00A2543C"/>
    <w:rPr>
      <w:rFonts w:ascii="Times New Roman" w:eastAsia="Times New Roman" w:hAnsi="Times New Roman" w:cs="Times New Roman"/>
      <w:sz w:val="24"/>
      <w:szCs w:val="24"/>
      <w:lang w:eastAsia="lt-LT"/>
    </w:rPr>
  </w:style>
  <w:style w:type="paragraph" w:customStyle="1" w:styleId="dokparasas0">
    <w:name w:val="dokparasas"/>
    <w:basedOn w:val="prastasis"/>
    <w:rsid w:val="004F7425"/>
    <w:pPr>
      <w:spacing w:before="100" w:beforeAutospacing="1" w:after="100" w:afterAutospacing="1"/>
    </w:pPr>
    <w:rPr>
      <w:lang w:eastAsia="lt-LT"/>
    </w:rPr>
  </w:style>
  <w:style w:type="paragraph" w:customStyle="1" w:styleId="msolistparagraph0">
    <w:name w:val="msolistparagraph"/>
    <w:basedOn w:val="prastasis"/>
    <w:rsid w:val="004F7425"/>
    <w:pPr>
      <w:ind w:left="720"/>
    </w:pPr>
    <w:rPr>
      <w:lang w:eastAsia="lt-LT"/>
    </w:rPr>
  </w:style>
  <w:style w:type="paragraph" w:customStyle="1" w:styleId="TableText">
    <w:name w:val="Table Text"/>
    <w:basedOn w:val="prastasis"/>
    <w:rsid w:val="004F7425"/>
    <w:pPr>
      <w:autoSpaceDE w:val="0"/>
      <w:autoSpaceDN w:val="0"/>
      <w:adjustRightInd w:val="0"/>
      <w:jc w:val="right"/>
    </w:pPr>
    <w:rPr>
      <w:lang w:val="en-US"/>
    </w:rPr>
  </w:style>
  <w:style w:type="paragraph" w:customStyle="1" w:styleId="datanrvilnius">
    <w:name w:val="datanrvilnius"/>
    <w:basedOn w:val="prastasis"/>
    <w:rsid w:val="004F7425"/>
    <w:pPr>
      <w:spacing w:before="100" w:beforeAutospacing="1" w:after="100" w:afterAutospacing="1"/>
    </w:pPr>
    <w:rPr>
      <w:lang w:eastAsia="lt-LT"/>
    </w:rPr>
  </w:style>
  <w:style w:type="paragraph" w:customStyle="1" w:styleId="preformatted">
    <w:name w:val="preformatted"/>
    <w:basedOn w:val="prastasis"/>
    <w:rsid w:val="004F7425"/>
    <w:pPr>
      <w:spacing w:before="100" w:beforeAutospacing="1" w:after="100" w:afterAutospacing="1"/>
    </w:pPr>
    <w:rPr>
      <w:lang w:eastAsia="lt-LT"/>
    </w:rPr>
  </w:style>
  <w:style w:type="paragraph" w:customStyle="1" w:styleId="Pasiulymai">
    <w:name w:val="Pasiulymai"/>
    <w:basedOn w:val="prastasis"/>
    <w:qFormat/>
    <w:rsid w:val="004F7425"/>
    <w:pPr>
      <w:jc w:val="both"/>
    </w:pPr>
    <w:rPr>
      <w:bCs/>
    </w:rPr>
  </w:style>
  <w:style w:type="character" w:customStyle="1" w:styleId="st">
    <w:name w:val="st"/>
    <w:rsid w:val="004F7425"/>
  </w:style>
  <w:style w:type="paragraph" w:customStyle="1" w:styleId="pasiulymai0">
    <w:name w:val="pasiulymai"/>
    <w:basedOn w:val="prastasis"/>
    <w:rsid w:val="00E80028"/>
    <w:pPr>
      <w:spacing w:before="100" w:beforeAutospacing="1" w:after="100" w:afterAutospacing="1"/>
    </w:pPr>
    <w:rPr>
      <w:lang w:eastAsia="lt-LT"/>
    </w:rPr>
  </w:style>
  <w:style w:type="paragraph" w:customStyle="1" w:styleId="pasiulymai00">
    <w:name w:val="pasiulymai0"/>
    <w:basedOn w:val="prastasis"/>
    <w:rsid w:val="00E80028"/>
    <w:pPr>
      <w:spacing w:before="100" w:beforeAutospacing="1" w:after="100" w:afterAutospacing="1"/>
    </w:pPr>
    <w:rPr>
      <w:lang w:eastAsia="lt-LT"/>
    </w:rPr>
  </w:style>
  <w:style w:type="paragraph" w:customStyle="1" w:styleId="pasiulymai5">
    <w:name w:val="pasiulymai5"/>
    <w:basedOn w:val="prastasis"/>
    <w:rsid w:val="00E8002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670731">
      <w:bodyDiv w:val="1"/>
      <w:marLeft w:val="0"/>
      <w:marRight w:val="0"/>
      <w:marTop w:val="0"/>
      <w:marBottom w:val="0"/>
      <w:divBdr>
        <w:top w:val="none" w:sz="0" w:space="0" w:color="auto"/>
        <w:left w:val="none" w:sz="0" w:space="0" w:color="auto"/>
        <w:bottom w:val="none" w:sz="0" w:space="0" w:color="auto"/>
        <w:right w:val="none" w:sz="0" w:space="0" w:color="auto"/>
      </w:divBdr>
    </w:div>
    <w:div w:id="199691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kd.lt/visuomen&#279;" TargetMode="External"/><Relationship Id="rId21" Type="http://schemas.openxmlformats.org/officeDocument/2006/relationships/chart" Target="charts/chart10.xml"/><Relationship Id="rId42" Type="http://schemas.openxmlformats.org/officeDocument/2006/relationships/chart" Target="charts/chart23.xml"/><Relationship Id="rId63" Type="http://schemas.openxmlformats.org/officeDocument/2006/relationships/chart" Target="charts/chart44.xml"/><Relationship Id="rId84" Type="http://schemas.openxmlformats.org/officeDocument/2006/relationships/chart" Target="charts/chart55.xml"/><Relationship Id="rId138" Type="http://schemas.openxmlformats.org/officeDocument/2006/relationships/chart" Target="charts/chart67.xml"/><Relationship Id="rId159" Type="http://schemas.openxmlformats.org/officeDocument/2006/relationships/hyperlink" Target="http://www3.lrs.lt/cgi-bin/preps2?a=60036&amp;b=" TargetMode="External"/><Relationship Id="rId170" Type="http://schemas.openxmlformats.org/officeDocument/2006/relationships/chart" Target="charts/chart75.xml"/><Relationship Id="rId191" Type="http://schemas.openxmlformats.org/officeDocument/2006/relationships/hyperlink" Target="http://www.lsa.lt/popup2.php?item_id=157" TargetMode="External"/><Relationship Id="rId205" Type="http://schemas.openxmlformats.org/officeDocument/2006/relationships/hyperlink" Target="http://www.lsa.lt/popup2.php?item_id=172" TargetMode="External"/><Relationship Id="rId226" Type="http://schemas.openxmlformats.org/officeDocument/2006/relationships/hyperlink" Target="http://www.lsa.lt/popup2.php?item_id=193" TargetMode="External"/><Relationship Id="rId247" Type="http://schemas.openxmlformats.org/officeDocument/2006/relationships/hyperlink" Target="http://www3.lrs.lt/pls/inter/dokpaieska.showdoc_l?p_id=349513" TargetMode="External"/><Relationship Id="rId107" Type="http://schemas.openxmlformats.org/officeDocument/2006/relationships/image" Target="media/image3.emf"/><Relationship Id="rId268" Type="http://schemas.openxmlformats.org/officeDocument/2006/relationships/image" Target="media/image230.png"/><Relationship Id="rId289" Type="http://schemas.openxmlformats.org/officeDocument/2006/relationships/image" Target="media/image330.png"/><Relationship Id="rId11" Type="http://schemas.openxmlformats.org/officeDocument/2006/relationships/chart" Target="charts/chart1.xml"/><Relationship Id="rId32" Type="http://schemas.openxmlformats.org/officeDocument/2006/relationships/chart" Target="charts/chart21.xml"/><Relationship Id="rId53" Type="http://schemas.openxmlformats.org/officeDocument/2006/relationships/chart" Target="charts/chart34.xml"/><Relationship Id="rId74" Type="http://schemas.openxmlformats.org/officeDocument/2006/relationships/hyperlink" Target="http://www.amsterdamas.eu" TargetMode="External"/><Relationship Id="rId128" Type="http://schemas.openxmlformats.org/officeDocument/2006/relationships/image" Target="media/image6.png"/><Relationship Id="rId149" Type="http://schemas.openxmlformats.org/officeDocument/2006/relationships/chart" Target="charts/chart68.xml"/><Relationship Id="rId5" Type="http://schemas.openxmlformats.org/officeDocument/2006/relationships/settings" Target="settings.xml"/><Relationship Id="rId95" Type="http://schemas.openxmlformats.org/officeDocument/2006/relationships/hyperlink" Target="http://www3.lrs.lt/pls/inter2/dokpaieska.showdoc_l?p_id=262695&amp;p_query=" TargetMode="External"/><Relationship Id="rId160" Type="http://schemas.openxmlformats.org/officeDocument/2006/relationships/hyperlink" Target="http://www3.lrs.lt/cgi-bin/preps2?a=295147&amp;b=" TargetMode="External"/><Relationship Id="rId181" Type="http://schemas.openxmlformats.org/officeDocument/2006/relationships/hyperlink" Target="http://www.lsa.lt/popup2.php?item_id=147" TargetMode="External"/><Relationship Id="rId216" Type="http://schemas.openxmlformats.org/officeDocument/2006/relationships/hyperlink" Target="http://www.lsa.lt/popup2.php?item_id=183" TargetMode="External"/><Relationship Id="rId237" Type="http://schemas.openxmlformats.org/officeDocument/2006/relationships/hyperlink" Target="http://www.incb.org" TargetMode="External"/><Relationship Id="rId258" Type="http://schemas.openxmlformats.org/officeDocument/2006/relationships/hyperlink" Target="http://www3.lrs.lt/pls/inter/dokpaieska.showdoc_l?p_id=379953" TargetMode="External"/><Relationship Id="rId279" Type="http://schemas.openxmlformats.org/officeDocument/2006/relationships/image" Target="media/image28.jpeg"/><Relationship Id="rId22" Type="http://schemas.openxmlformats.org/officeDocument/2006/relationships/chart" Target="charts/chart11.xml"/><Relationship Id="rId43" Type="http://schemas.openxmlformats.org/officeDocument/2006/relationships/chart" Target="charts/chart24.xml"/><Relationship Id="rId64" Type="http://schemas.openxmlformats.org/officeDocument/2006/relationships/chart" Target="charts/chart45.xml"/><Relationship Id="rId118" Type="http://schemas.openxmlformats.org/officeDocument/2006/relationships/hyperlink" Target="http://www.nkd.lt" TargetMode="External"/><Relationship Id="rId139" Type="http://schemas.openxmlformats.org/officeDocument/2006/relationships/image" Target="media/image10.png"/><Relationship Id="rId290" Type="http://schemas.openxmlformats.org/officeDocument/2006/relationships/image" Target="media/image34.png"/><Relationship Id="rId85" Type="http://schemas.openxmlformats.org/officeDocument/2006/relationships/chart" Target="charts/chart56.xml"/><Relationship Id="rId150" Type="http://schemas.openxmlformats.org/officeDocument/2006/relationships/chart" Target="charts/chart69.xml"/><Relationship Id="rId171" Type="http://schemas.openxmlformats.org/officeDocument/2006/relationships/chart" Target="charts/chart76.xml"/><Relationship Id="rId192" Type="http://schemas.openxmlformats.org/officeDocument/2006/relationships/hyperlink" Target="http://www.lsa.lt/popup2.php?item_id=158" TargetMode="External"/><Relationship Id="rId206" Type="http://schemas.openxmlformats.org/officeDocument/2006/relationships/hyperlink" Target="http://www.lsa.lt/popup2.php?item_id=173" TargetMode="External"/><Relationship Id="rId227" Type="http://schemas.openxmlformats.org/officeDocument/2006/relationships/hyperlink" Target="http://www.lsa.lt/popup2.php?item_id=194" TargetMode="External"/><Relationship Id="rId248" Type="http://schemas.openxmlformats.org/officeDocument/2006/relationships/hyperlink" Target="http://www3.lrs.lt/pls/inter/dokpaieska.showdoc_l?p_id=23064" TargetMode="External"/><Relationship Id="rId269" Type="http://schemas.openxmlformats.org/officeDocument/2006/relationships/header" Target="header2.xml"/><Relationship Id="rId12" Type="http://schemas.openxmlformats.org/officeDocument/2006/relationships/chart" Target="charts/chart2.xml"/><Relationship Id="rId33" Type="http://schemas.openxmlformats.org/officeDocument/2006/relationships/hyperlink" Target="http://www.buzas.lt" TargetMode="External"/><Relationship Id="rId108" Type="http://schemas.openxmlformats.org/officeDocument/2006/relationships/chart" Target="charts/chart57.xml"/><Relationship Id="rId129" Type="http://schemas.openxmlformats.org/officeDocument/2006/relationships/oleObject" Target="embeddings/oleObject1.bin"/><Relationship Id="rId280" Type="http://schemas.openxmlformats.org/officeDocument/2006/relationships/image" Target="media/image280.jpeg"/><Relationship Id="rId54" Type="http://schemas.openxmlformats.org/officeDocument/2006/relationships/chart" Target="charts/chart35.xml"/><Relationship Id="rId75" Type="http://schemas.openxmlformats.org/officeDocument/2006/relationships/hyperlink" Target="http://www.buzas.lt" TargetMode="External"/><Relationship Id="rId96" Type="http://schemas.openxmlformats.org/officeDocument/2006/relationships/hyperlink" Target="http://www3.lrs.lt/pls/inter2/dokpaieska.showdoc_l?p_id=266775&amp;p_query=" TargetMode="External"/><Relationship Id="rId140" Type="http://schemas.openxmlformats.org/officeDocument/2006/relationships/oleObject" Target="embeddings/oleObject5.bin"/><Relationship Id="rId161" Type="http://schemas.openxmlformats.org/officeDocument/2006/relationships/hyperlink" Target="http://www3.lrs.lt/cgi-bin/preps2?a=253300&amp;b=" TargetMode="External"/><Relationship Id="rId182" Type="http://schemas.openxmlformats.org/officeDocument/2006/relationships/hyperlink" Target="http://www.lsa.lt/popup2.php?item_id=148" TargetMode="External"/><Relationship Id="rId217" Type="http://schemas.openxmlformats.org/officeDocument/2006/relationships/hyperlink" Target="http://www.lsa.lt/popup2.php?item_id=184" TargetMode="External"/><Relationship Id="rId6" Type="http://schemas.openxmlformats.org/officeDocument/2006/relationships/webSettings" Target="webSettings.xml"/><Relationship Id="rId238" Type="http://schemas.openxmlformats.org/officeDocument/2006/relationships/hyperlink" Target="http://www.incb.org/" TargetMode="External"/><Relationship Id="rId259" Type="http://schemas.openxmlformats.org/officeDocument/2006/relationships/hyperlink" Target="http://www3.lrs.lt/pls/inter/dokpaieska.showdoc_l?p_id=85877" TargetMode="External"/><Relationship Id="rId23" Type="http://schemas.openxmlformats.org/officeDocument/2006/relationships/chart" Target="charts/chart12.xml"/><Relationship Id="rId119" Type="http://schemas.openxmlformats.org/officeDocument/2006/relationships/image" Target="media/image4.emf"/><Relationship Id="rId270" Type="http://schemas.openxmlformats.org/officeDocument/2006/relationships/image" Target="media/image24.jpeg"/><Relationship Id="rId291" Type="http://schemas.openxmlformats.org/officeDocument/2006/relationships/image" Target="media/image340.png"/><Relationship Id="rId44" Type="http://schemas.openxmlformats.org/officeDocument/2006/relationships/chart" Target="charts/chart25.xml"/><Relationship Id="rId65" Type="http://schemas.openxmlformats.org/officeDocument/2006/relationships/hyperlink" Target="http://192.168.1.60/Litlex/LL.DLL?Tekstas=1?Id=80357&amp;Zd=narko%2Bprevenc%2Bnepiln%2Bkard&amp;BF=1" TargetMode="External"/><Relationship Id="rId86" Type="http://schemas.openxmlformats.org/officeDocument/2006/relationships/hyperlink" Target="http://www3.lrs.lt/pls/inter/dokpaieska.showdoc_l?p_id=111555" TargetMode="External"/><Relationship Id="rId130" Type="http://schemas.openxmlformats.org/officeDocument/2006/relationships/image" Target="media/image7.png"/><Relationship Id="rId151" Type="http://schemas.openxmlformats.org/officeDocument/2006/relationships/chart" Target="charts/chart70.xml"/><Relationship Id="rId172" Type="http://schemas.openxmlformats.org/officeDocument/2006/relationships/chart" Target="charts/chart77.xml"/><Relationship Id="rId193" Type="http://schemas.openxmlformats.org/officeDocument/2006/relationships/hyperlink" Target="http://www.lsa.lt/popup2.php?item_id=159" TargetMode="External"/><Relationship Id="rId207" Type="http://schemas.openxmlformats.org/officeDocument/2006/relationships/hyperlink" Target="http://www.lsa.lt/popup2.php?item_id=174" TargetMode="External"/><Relationship Id="rId228" Type="http://schemas.openxmlformats.org/officeDocument/2006/relationships/hyperlink" Target="http://www.lsa.lt/popup2.php?item_id=195" TargetMode="External"/><Relationship Id="rId249" Type="http://schemas.openxmlformats.org/officeDocument/2006/relationships/hyperlink" Target="http://www3.lrs.lt/pls/inter/dokpaieska.showdoc_l?p_id=364294" TargetMode="External"/><Relationship Id="rId13" Type="http://schemas.openxmlformats.org/officeDocument/2006/relationships/chart" Target="charts/chart3.xml"/><Relationship Id="rId109" Type="http://schemas.openxmlformats.org/officeDocument/2006/relationships/hyperlink" Target="http://www3.lrs.lt/pls/inter3/dokpaieska.showdoc_l?p_id=340910&amp;p_query=&amp;p_tr2=" TargetMode="External"/><Relationship Id="rId260" Type="http://schemas.openxmlformats.org/officeDocument/2006/relationships/header" Target="header1.xml"/><Relationship Id="rId281" Type="http://schemas.openxmlformats.org/officeDocument/2006/relationships/image" Target="media/image29.jpeg"/><Relationship Id="rId34" Type="http://schemas.openxmlformats.org/officeDocument/2006/relationships/hyperlink" Target="http://www.headshop.lt" TargetMode="External"/><Relationship Id="rId55" Type="http://schemas.openxmlformats.org/officeDocument/2006/relationships/chart" Target="charts/chart36.xml"/><Relationship Id="rId76" Type="http://schemas.openxmlformats.org/officeDocument/2006/relationships/hyperlink" Target="http://W.buzas.lt" TargetMode="External"/><Relationship Id="rId97" Type="http://schemas.openxmlformats.org/officeDocument/2006/relationships/hyperlink" Target="http://www3.lrs.lt/pls/inter3/dokpaieska.showdoc_l?p_id=321800&amp;p_query=&amp;p_tr2=" TargetMode="External"/><Relationship Id="rId120" Type="http://schemas.openxmlformats.org/officeDocument/2006/relationships/chart" Target="charts/chart58.xml"/><Relationship Id="rId141" Type="http://schemas.openxmlformats.org/officeDocument/2006/relationships/image" Target="media/image11.png"/><Relationship Id="rId7" Type="http://schemas.openxmlformats.org/officeDocument/2006/relationships/footnotes" Target="footnotes.xml"/><Relationship Id="rId71" Type="http://schemas.openxmlformats.org/officeDocument/2006/relationships/chart" Target="charts/chart51.xml"/><Relationship Id="rId92" Type="http://schemas.openxmlformats.org/officeDocument/2006/relationships/hyperlink" Target="http://www3.lrs.lt/cgi-bin/preps2?Condition1=216593&amp;Condition2=" TargetMode="External"/><Relationship Id="rId162" Type="http://schemas.openxmlformats.org/officeDocument/2006/relationships/hyperlink" Target="http://www3.lrs.lt/cgi-bin/preps2?a=28356&amp;b=" TargetMode="External"/><Relationship Id="rId183" Type="http://schemas.openxmlformats.org/officeDocument/2006/relationships/hyperlink" Target="http://www.lsa.lt/popup2.php?item_id=149" TargetMode="External"/><Relationship Id="rId213" Type="http://schemas.openxmlformats.org/officeDocument/2006/relationships/hyperlink" Target="http://www.lsa.lt/popup2.php?item_id=180" TargetMode="External"/><Relationship Id="rId218" Type="http://schemas.openxmlformats.org/officeDocument/2006/relationships/hyperlink" Target="http://www.lsa.lt/popup2.php?item_id=185" TargetMode="External"/><Relationship Id="rId234" Type="http://schemas.openxmlformats.org/officeDocument/2006/relationships/hyperlink" Target="http://www.lsa.lt/popup2.php?item_id=201" TargetMode="External"/><Relationship Id="rId239" Type="http://schemas.openxmlformats.org/officeDocument/2006/relationships/hyperlink" Target="http://www.incb.org" TargetMode="External"/><Relationship Id="rId2" Type="http://schemas.openxmlformats.org/officeDocument/2006/relationships/numbering" Target="numbering.xml"/><Relationship Id="rId29" Type="http://schemas.openxmlformats.org/officeDocument/2006/relationships/chart" Target="charts/chart18.xml"/><Relationship Id="rId250" Type="http://schemas.openxmlformats.org/officeDocument/2006/relationships/hyperlink" Target="http://www3.lrs.lt/pls/inter/dokpaieska.showdoc_l?p_id=5905" TargetMode="External"/><Relationship Id="rId255" Type="http://schemas.openxmlformats.org/officeDocument/2006/relationships/hyperlink" Target="http://www3.lrs.lt/pls/inter/dokpaieska.showdoc_l?p_id=5884" TargetMode="External"/><Relationship Id="rId271" Type="http://schemas.openxmlformats.org/officeDocument/2006/relationships/image" Target="media/image240.jpeg"/><Relationship Id="rId276" Type="http://schemas.openxmlformats.org/officeDocument/2006/relationships/image" Target="media/image260.png"/><Relationship Id="rId292" Type="http://schemas.openxmlformats.org/officeDocument/2006/relationships/image" Target="media/image35.png"/><Relationship Id="rId297" Type="http://schemas.openxmlformats.org/officeDocument/2006/relationships/theme" Target="theme/theme1.xml"/><Relationship Id="rId24" Type="http://schemas.openxmlformats.org/officeDocument/2006/relationships/chart" Target="charts/chart13.xml"/><Relationship Id="rId40" Type="http://schemas.openxmlformats.org/officeDocument/2006/relationships/hyperlink" Target="http://www.amsterdamas.eu," TargetMode="External"/><Relationship Id="rId45" Type="http://schemas.openxmlformats.org/officeDocument/2006/relationships/chart" Target="charts/chart26.xml"/><Relationship Id="rId66" Type="http://schemas.openxmlformats.org/officeDocument/2006/relationships/chart" Target="charts/chart46.xml"/><Relationship Id="rId87" Type="http://schemas.openxmlformats.org/officeDocument/2006/relationships/hyperlink" Target="http://www3.lrs.lt/cgi-bin/preps2?a=60036&amp;b=" TargetMode="External"/><Relationship Id="rId110" Type="http://schemas.openxmlformats.org/officeDocument/2006/relationships/hyperlink" Target="http://eur-lex.europa.eu/LexUriServ/LexUriServ.do?uri=DD:15:08:32004R0273:LT:PDF" TargetMode="External"/><Relationship Id="rId115" Type="http://schemas.openxmlformats.org/officeDocument/2006/relationships/hyperlink" Target="http://www.nkd.lt" TargetMode="External"/><Relationship Id="rId131" Type="http://schemas.openxmlformats.org/officeDocument/2006/relationships/oleObject" Target="embeddings/oleObject2.bin"/><Relationship Id="rId136" Type="http://schemas.openxmlformats.org/officeDocument/2006/relationships/image" Target="media/image9.png"/><Relationship Id="rId157" Type="http://schemas.openxmlformats.org/officeDocument/2006/relationships/image" Target="media/image18.jpeg"/><Relationship Id="rId178" Type="http://schemas.openxmlformats.org/officeDocument/2006/relationships/chart" Target="charts/chart83.xml"/><Relationship Id="rId61" Type="http://schemas.openxmlformats.org/officeDocument/2006/relationships/chart" Target="charts/chart42.xml"/><Relationship Id="rId82" Type="http://schemas.openxmlformats.org/officeDocument/2006/relationships/chart" Target="charts/chart53.xml"/><Relationship Id="rId152" Type="http://schemas.openxmlformats.org/officeDocument/2006/relationships/chart" Target="charts/chart71.xml"/><Relationship Id="rId173" Type="http://schemas.openxmlformats.org/officeDocument/2006/relationships/chart" Target="charts/chart78.xml"/><Relationship Id="rId194" Type="http://schemas.openxmlformats.org/officeDocument/2006/relationships/hyperlink" Target="http://www.lsa.lt/popup2.php?item_id=160" TargetMode="External"/><Relationship Id="rId199" Type="http://schemas.openxmlformats.org/officeDocument/2006/relationships/hyperlink" Target="http://www.lsa.lt/popup2.php?item_id=165" TargetMode="External"/><Relationship Id="rId203" Type="http://schemas.openxmlformats.org/officeDocument/2006/relationships/hyperlink" Target="http://www.lsa.lt/popup2.php?item_id=170" TargetMode="External"/><Relationship Id="rId208" Type="http://schemas.openxmlformats.org/officeDocument/2006/relationships/hyperlink" Target="http://www.lsa.lt/popup2.php?item_id=175" TargetMode="External"/><Relationship Id="rId229" Type="http://schemas.openxmlformats.org/officeDocument/2006/relationships/hyperlink" Target="http://www.lsa.lt/popup2.php?item_id=196" TargetMode="External"/><Relationship Id="rId19" Type="http://schemas.openxmlformats.org/officeDocument/2006/relationships/image" Target="media/image2.png"/><Relationship Id="rId224" Type="http://schemas.openxmlformats.org/officeDocument/2006/relationships/hyperlink" Target="http://www.lsa.lt/popup2.php?item_id=191" TargetMode="External"/><Relationship Id="rId240" Type="http://schemas.openxmlformats.org/officeDocument/2006/relationships/hyperlink" Target="http://www3.lrs.lt/cgi-bin/preps2?a=111555&amp;b=" TargetMode="External"/><Relationship Id="rId245" Type="http://schemas.openxmlformats.org/officeDocument/2006/relationships/hyperlink" Target="http://www.nisc.lt/lt/index.php" TargetMode="External"/><Relationship Id="rId261" Type="http://schemas.openxmlformats.org/officeDocument/2006/relationships/image" Target="media/image19.png"/><Relationship Id="rId266" Type="http://schemas.openxmlformats.org/officeDocument/2006/relationships/image" Target="media/image220.png"/><Relationship Id="rId287" Type="http://schemas.openxmlformats.org/officeDocument/2006/relationships/image" Target="media/image320.png"/><Relationship Id="rId14" Type="http://schemas.openxmlformats.org/officeDocument/2006/relationships/chart" Target="charts/chart4.xml"/><Relationship Id="rId30" Type="http://schemas.openxmlformats.org/officeDocument/2006/relationships/chart" Target="charts/chart19.xml"/><Relationship Id="rId35" Type="http://schemas.openxmlformats.org/officeDocument/2006/relationships/hyperlink" Target="http://www.amsterdamas.eu" TargetMode="External"/><Relationship Id="rId56" Type="http://schemas.openxmlformats.org/officeDocument/2006/relationships/chart" Target="charts/chart37.xml"/><Relationship Id="rId77" Type="http://schemas.openxmlformats.org/officeDocument/2006/relationships/hyperlink" Target="http://www.buzas.lt" TargetMode="External"/><Relationship Id="rId100" Type="http://schemas.openxmlformats.org/officeDocument/2006/relationships/hyperlink" Target="http://www3.lrs.lt/pls/inter3/dokpaieska.showdoc_l?p_id=319606" TargetMode="External"/><Relationship Id="rId105" Type="http://schemas.openxmlformats.org/officeDocument/2006/relationships/hyperlink" Target="http://www3.lrs.lt/pls/inter2/dokpaieska.showdoc_l?p_id=277492&amp;p_query=&amp;p_tr2=" TargetMode="External"/><Relationship Id="rId126" Type="http://schemas.openxmlformats.org/officeDocument/2006/relationships/chart" Target="charts/chart63.xml"/><Relationship Id="rId147" Type="http://schemas.openxmlformats.org/officeDocument/2006/relationships/image" Target="media/image14.png"/><Relationship Id="rId168" Type="http://schemas.openxmlformats.org/officeDocument/2006/relationships/chart" Target="charts/chart73.xml"/><Relationship Id="rId282" Type="http://schemas.openxmlformats.org/officeDocument/2006/relationships/image" Target="media/image290.jpeg"/><Relationship Id="rId8" Type="http://schemas.openxmlformats.org/officeDocument/2006/relationships/endnotes" Target="endnotes.xml"/><Relationship Id="rId51" Type="http://schemas.openxmlformats.org/officeDocument/2006/relationships/chart" Target="charts/chart32.xml"/><Relationship Id="rId72" Type="http://schemas.openxmlformats.org/officeDocument/2006/relationships/hyperlink" Target="http://www.buzas.lt" TargetMode="External"/><Relationship Id="rId93" Type="http://schemas.openxmlformats.org/officeDocument/2006/relationships/hyperlink" Target="http://www3.lrs.lt/cgi-bin/preps2?Condition1=216593&amp;Condition2=" TargetMode="External"/><Relationship Id="rId98" Type="http://schemas.openxmlformats.org/officeDocument/2006/relationships/hyperlink" Target="http://www3.lrs.lt/cgi-bin/preps2?Condition1=175914&amp;Condition2=" TargetMode="External"/><Relationship Id="rId121" Type="http://schemas.openxmlformats.org/officeDocument/2006/relationships/chart" Target="charts/chart59.xml"/><Relationship Id="rId142" Type="http://schemas.openxmlformats.org/officeDocument/2006/relationships/oleObject" Target="embeddings/oleObject6.bin"/><Relationship Id="rId163" Type="http://schemas.openxmlformats.org/officeDocument/2006/relationships/hyperlink" Target="http://www3.lrs.lt/cgi-bin/preps2?a=197457&amp;b=" TargetMode="External"/><Relationship Id="rId184" Type="http://schemas.openxmlformats.org/officeDocument/2006/relationships/hyperlink" Target="http://www.lsa.lt/popup2.php?item_id=150" TargetMode="External"/><Relationship Id="rId189" Type="http://schemas.openxmlformats.org/officeDocument/2006/relationships/hyperlink" Target="http://www.lsa.lt/popup2.php?item_id=155" TargetMode="External"/><Relationship Id="rId219" Type="http://schemas.openxmlformats.org/officeDocument/2006/relationships/hyperlink" Target="http://www.lsa.lt/popup2.php?item_id=186" TargetMode="External"/><Relationship Id="rId3" Type="http://schemas.openxmlformats.org/officeDocument/2006/relationships/styles" Target="styles.xml"/><Relationship Id="rId214" Type="http://schemas.openxmlformats.org/officeDocument/2006/relationships/hyperlink" Target="http://www.lsa.lt/popup2.php?item_id=181" TargetMode="External"/><Relationship Id="rId230" Type="http://schemas.openxmlformats.org/officeDocument/2006/relationships/hyperlink" Target="http://www.lsa.lt/popup2.php?item_id=197" TargetMode="External"/><Relationship Id="rId235" Type="http://schemas.openxmlformats.org/officeDocument/2006/relationships/hyperlink" Target="http://www.lsa.lt/popup2.php?item_id=202" TargetMode="External"/><Relationship Id="rId251" Type="http://schemas.openxmlformats.org/officeDocument/2006/relationships/hyperlink" Target="http://www3.lrs.lt/pls/inter/dokpaieska.showdoc_l?p_id=69452" TargetMode="External"/><Relationship Id="rId256" Type="http://schemas.openxmlformats.org/officeDocument/2006/relationships/hyperlink" Target="http://www3.lrs.lt/pls/inter/dokpaieska.showdoc_l?p_id=327811" TargetMode="External"/><Relationship Id="rId277" Type="http://schemas.openxmlformats.org/officeDocument/2006/relationships/image" Target="media/image27.jpeg"/><Relationship Id="rId25" Type="http://schemas.openxmlformats.org/officeDocument/2006/relationships/chart" Target="charts/chart14.xml"/><Relationship Id="rId46" Type="http://schemas.openxmlformats.org/officeDocument/2006/relationships/chart" Target="charts/chart27.xml"/><Relationship Id="rId67" Type="http://schemas.openxmlformats.org/officeDocument/2006/relationships/chart" Target="charts/chart47.xml"/><Relationship Id="rId116" Type="http://schemas.openxmlformats.org/officeDocument/2006/relationships/hyperlink" Target="http://www.vpsc.lt" TargetMode="External"/><Relationship Id="rId137" Type="http://schemas.openxmlformats.org/officeDocument/2006/relationships/oleObject" Target="embeddings/oleObject4.bin"/><Relationship Id="rId158" Type="http://schemas.openxmlformats.org/officeDocument/2006/relationships/chart" Target="charts/chart72.xml"/><Relationship Id="rId272" Type="http://schemas.openxmlformats.org/officeDocument/2006/relationships/image" Target="media/image25.jpeg"/><Relationship Id="rId293" Type="http://schemas.openxmlformats.org/officeDocument/2006/relationships/image" Target="media/image350.png"/><Relationship Id="rId20" Type="http://schemas.openxmlformats.org/officeDocument/2006/relationships/chart" Target="charts/chart9.xml"/><Relationship Id="rId41" Type="http://schemas.openxmlformats.org/officeDocument/2006/relationships/chart" Target="charts/chart22.xml"/><Relationship Id="rId62" Type="http://schemas.openxmlformats.org/officeDocument/2006/relationships/chart" Target="charts/chart43.xml"/><Relationship Id="rId83" Type="http://schemas.openxmlformats.org/officeDocument/2006/relationships/chart" Target="charts/chart54.xml"/><Relationship Id="rId88" Type="http://schemas.openxmlformats.org/officeDocument/2006/relationships/hyperlink" Target="http://www.vpsc.lt" TargetMode="External"/><Relationship Id="rId111" Type="http://schemas.openxmlformats.org/officeDocument/2006/relationships/hyperlink" Target="http://eur-lex.europa.eu/LexUriServ/LexUriServ.do?uri=OJ:L:2005:202:0007:0033:LT:PDF" TargetMode="External"/><Relationship Id="rId132" Type="http://schemas.openxmlformats.org/officeDocument/2006/relationships/chart" Target="charts/chart65.xml"/><Relationship Id="rId153" Type="http://schemas.openxmlformats.org/officeDocument/2006/relationships/image" Target="media/image15.emf"/><Relationship Id="rId174" Type="http://schemas.openxmlformats.org/officeDocument/2006/relationships/chart" Target="charts/chart79.xml"/><Relationship Id="rId179" Type="http://schemas.openxmlformats.org/officeDocument/2006/relationships/chart" Target="charts/chart84.xml"/><Relationship Id="rId195" Type="http://schemas.openxmlformats.org/officeDocument/2006/relationships/hyperlink" Target="http://www.lsa.lt/popup2.php?item_id=161" TargetMode="External"/><Relationship Id="rId209" Type="http://schemas.openxmlformats.org/officeDocument/2006/relationships/hyperlink" Target="http://www.lsa.lt/popup2.php?item_id=176" TargetMode="External"/><Relationship Id="rId190" Type="http://schemas.openxmlformats.org/officeDocument/2006/relationships/hyperlink" Target="http://www.lsa.lt/popup2.php?item_id=156" TargetMode="External"/><Relationship Id="rId204" Type="http://schemas.openxmlformats.org/officeDocument/2006/relationships/hyperlink" Target="http://www.lsa.lt/popup2.php?item_id=171" TargetMode="External"/><Relationship Id="rId220" Type="http://schemas.openxmlformats.org/officeDocument/2006/relationships/hyperlink" Target="http://www.lsa.lt/popup2.php?item_id=187" TargetMode="External"/><Relationship Id="rId225" Type="http://schemas.openxmlformats.org/officeDocument/2006/relationships/hyperlink" Target="http://www.lsa.lt/popup2.php?item_id=192" TargetMode="External"/><Relationship Id="rId241" Type="http://schemas.openxmlformats.org/officeDocument/2006/relationships/hyperlink" Target="http://www.skurdas.lt" TargetMode="External"/><Relationship Id="rId246" Type="http://schemas.openxmlformats.org/officeDocument/2006/relationships/hyperlink" Target="http://www.nvovaikamskonfederacija.lt/" TargetMode="External"/><Relationship Id="rId267" Type="http://schemas.openxmlformats.org/officeDocument/2006/relationships/image" Target="media/image23.png"/><Relationship Id="rId288" Type="http://schemas.openxmlformats.org/officeDocument/2006/relationships/image" Target="media/image33.png"/><Relationship Id="rId15" Type="http://schemas.openxmlformats.org/officeDocument/2006/relationships/chart" Target="charts/chart5.xml"/><Relationship Id="rId36" Type="http://schemas.openxmlformats.org/officeDocument/2006/relationships/hyperlink" Target="http://www.buzas.lt" TargetMode="External"/><Relationship Id="rId57" Type="http://schemas.openxmlformats.org/officeDocument/2006/relationships/chart" Target="charts/chart38.xml"/><Relationship Id="rId106" Type="http://schemas.openxmlformats.org/officeDocument/2006/relationships/hyperlink" Target="http://www3.lrs.lt/pls/inter3/dokpaieska.showdoc_l?p_id=323622&amp;p_query=&amp;p_tr2=" TargetMode="External"/><Relationship Id="rId127" Type="http://schemas.openxmlformats.org/officeDocument/2006/relationships/chart" Target="charts/chart64.xml"/><Relationship Id="rId262" Type="http://schemas.openxmlformats.org/officeDocument/2006/relationships/image" Target="media/image20.png"/><Relationship Id="rId283" Type="http://schemas.openxmlformats.org/officeDocument/2006/relationships/image" Target="media/image30.png"/><Relationship Id="rId10" Type="http://schemas.openxmlformats.org/officeDocument/2006/relationships/image" Target="media/image1.jpeg"/><Relationship Id="rId31" Type="http://schemas.openxmlformats.org/officeDocument/2006/relationships/chart" Target="charts/chart20.xml"/><Relationship Id="rId52" Type="http://schemas.openxmlformats.org/officeDocument/2006/relationships/chart" Target="charts/chart33.xml"/><Relationship Id="rId73" Type="http://schemas.openxmlformats.org/officeDocument/2006/relationships/hyperlink" Target="http://www.headshop.lt" TargetMode="External"/><Relationship Id="rId78" Type="http://schemas.openxmlformats.org/officeDocument/2006/relationships/hyperlink" Target="http://www.amsterdamas.eu" TargetMode="External"/><Relationship Id="rId94" Type="http://schemas.openxmlformats.org/officeDocument/2006/relationships/hyperlink" Target="http://www3.lrs.lt/pls/inter2/dokpaieska.showdoc_l?p_id=262695&amp;p_query=" TargetMode="External"/><Relationship Id="rId99" Type="http://schemas.openxmlformats.org/officeDocument/2006/relationships/hyperlink" Target="http://www3.lrs.lt/cgi-bin/preps2?Condition1=196490&amp;Condition2=" TargetMode="External"/><Relationship Id="rId101" Type="http://schemas.openxmlformats.org/officeDocument/2006/relationships/hyperlink" Target="http://www3.lrs.lt/cgi-bin/preps2?Condition1=99898&amp;Condition2=" TargetMode="External"/><Relationship Id="rId122" Type="http://schemas.openxmlformats.org/officeDocument/2006/relationships/chart" Target="charts/chart60.xml"/><Relationship Id="rId143" Type="http://schemas.openxmlformats.org/officeDocument/2006/relationships/hyperlink" Target="http://www.vnmpi.lt" TargetMode="External"/><Relationship Id="rId148" Type="http://schemas.openxmlformats.org/officeDocument/2006/relationships/oleObject" Target="embeddings/oleObject7.bin"/><Relationship Id="rId164" Type="http://schemas.openxmlformats.org/officeDocument/2006/relationships/hyperlink" Target="http://www3.lrs.lt/cgi-bin/preps2?a=5905&amp;b=" TargetMode="External"/><Relationship Id="rId169" Type="http://schemas.openxmlformats.org/officeDocument/2006/relationships/chart" Target="charts/chart74.xml"/><Relationship Id="rId185" Type="http://schemas.openxmlformats.org/officeDocument/2006/relationships/hyperlink" Target="http://www.lsa.lt/popup2.php?item_id=151" TargetMode="External"/><Relationship Id="rId4" Type="http://schemas.microsoft.com/office/2007/relationships/stylesWithEffects" Target="stylesWithEffects.xml"/><Relationship Id="rId9" Type="http://schemas.openxmlformats.org/officeDocument/2006/relationships/hyperlink" Target="http://www3.lrs.lt/cgi-bin/preps2?a=214236&amp;b=" TargetMode="External"/><Relationship Id="rId180" Type="http://schemas.openxmlformats.org/officeDocument/2006/relationships/hyperlink" Target="http://www.lsa.lt/popup2.php?item_id=145" TargetMode="External"/><Relationship Id="rId210" Type="http://schemas.openxmlformats.org/officeDocument/2006/relationships/hyperlink" Target="http://www.lsa.lt/popup2.php?item_id=177" TargetMode="External"/><Relationship Id="rId215" Type="http://schemas.openxmlformats.org/officeDocument/2006/relationships/hyperlink" Target="http://www.lsa.lt/popup2.php?item_id=182" TargetMode="External"/><Relationship Id="rId236" Type="http://schemas.openxmlformats.org/officeDocument/2006/relationships/hyperlink" Target="http://www.lsa.lt/popup2.php?item_id=203" TargetMode="External"/><Relationship Id="rId257" Type="http://schemas.openxmlformats.org/officeDocument/2006/relationships/hyperlink" Target="http://www3.lrs.lt/pls/inter/dokpaieska.showdoc_l?p_id=353466" TargetMode="External"/><Relationship Id="rId278" Type="http://schemas.openxmlformats.org/officeDocument/2006/relationships/image" Target="media/image270.jpeg"/><Relationship Id="rId26" Type="http://schemas.openxmlformats.org/officeDocument/2006/relationships/chart" Target="charts/chart15.xml"/><Relationship Id="rId231" Type="http://schemas.openxmlformats.org/officeDocument/2006/relationships/hyperlink" Target="http://www.lsa.lt/popup2.php?item_id=198" TargetMode="External"/><Relationship Id="rId252" Type="http://schemas.openxmlformats.org/officeDocument/2006/relationships/hyperlink" Target="http://www3.lrs.lt/pls/inter/dokpaieska.showdoc_l?p_id=57676" TargetMode="External"/><Relationship Id="rId273" Type="http://schemas.openxmlformats.org/officeDocument/2006/relationships/image" Target="media/image250.jpeg"/><Relationship Id="rId294" Type="http://schemas.openxmlformats.org/officeDocument/2006/relationships/header" Target="header4.xml"/><Relationship Id="rId47" Type="http://schemas.openxmlformats.org/officeDocument/2006/relationships/chart" Target="charts/chart28.xml"/><Relationship Id="rId68" Type="http://schemas.openxmlformats.org/officeDocument/2006/relationships/chart" Target="charts/chart48.xml"/><Relationship Id="rId89" Type="http://schemas.openxmlformats.org/officeDocument/2006/relationships/hyperlink" Target="http://www3.lrs.lt/cgi-bin/preps2?Condition1=121371&amp;Condition2=" TargetMode="External"/><Relationship Id="rId112" Type="http://schemas.openxmlformats.org/officeDocument/2006/relationships/hyperlink" Target="http://eur-lex.europa.eu/LexUriServ/LexUriServ.do?uri=CELEX:32005R0111:LT:HTML" TargetMode="External"/><Relationship Id="rId133" Type="http://schemas.openxmlformats.org/officeDocument/2006/relationships/image" Target="media/image8.png"/><Relationship Id="rId154" Type="http://schemas.openxmlformats.org/officeDocument/2006/relationships/image" Target="media/image16.emf"/><Relationship Id="rId175" Type="http://schemas.openxmlformats.org/officeDocument/2006/relationships/chart" Target="charts/chart80.xml"/><Relationship Id="rId196" Type="http://schemas.openxmlformats.org/officeDocument/2006/relationships/hyperlink" Target="http://www.lsa.lt/popup2.php?item_id=162" TargetMode="External"/><Relationship Id="rId200" Type="http://schemas.openxmlformats.org/officeDocument/2006/relationships/hyperlink" Target="http://www.lsa.lt/popup2.php?item_id=166" TargetMode="External"/><Relationship Id="rId16" Type="http://schemas.openxmlformats.org/officeDocument/2006/relationships/chart" Target="charts/chart6.xml"/><Relationship Id="rId221" Type="http://schemas.openxmlformats.org/officeDocument/2006/relationships/hyperlink" Target="http://www.lsa.lt/popup2.php?item_id=188" TargetMode="External"/><Relationship Id="rId242" Type="http://schemas.openxmlformats.org/officeDocument/2006/relationships/hyperlink" Target="http://www.nisc.lt/lt/index.php" TargetMode="External"/><Relationship Id="rId263" Type="http://schemas.openxmlformats.org/officeDocument/2006/relationships/image" Target="media/image21.png"/><Relationship Id="rId284" Type="http://schemas.openxmlformats.org/officeDocument/2006/relationships/image" Target="media/image300.png"/><Relationship Id="rId37" Type="http://schemas.openxmlformats.org/officeDocument/2006/relationships/hyperlink" Target="http://W.buzas.lt" TargetMode="External"/><Relationship Id="rId58" Type="http://schemas.openxmlformats.org/officeDocument/2006/relationships/chart" Target="charts/chart39.xml"/><Relationship Id="rId79" Type="http://schemas.openxmlformats.org/officeDocument/2006/relationships/hyperlink" Target="http://www.amsterdamas.eu," TargetMode="External"/><Relationship Id="rId102" Type="http://schemas.openxmlformats.org/officeDocument/2006/relationships/hyperlink" Target="http://www3.lrs.lt/cgi-bin/preps2?Condition1=238269&amp;Condition2=" TargetMode="External"/><Relationship Id="rId123" Type="http://schemas.openxmlformats.org/officeDocument/2006/relationships/image" Target="media/image5.emf"/><Relationship Id="rId144" Type="http://schemas.openxmlformats.org/officeDocument/2006/relationships/image" Target="media/image12.jpeg"/><Relationship Id="rId90" Type="http://schemas.openxmlformats.org/officeDocument/2006/relationships/hyperlink" Target="http://www3.lrs.lt/cgi-bin/preps2?Condition1=179348&amp;Condition2=" TargetMode="External"/><Relationship Id="rId165" Type="http://schemas.openxmlformats.org/officeDocument/2006/relationships/hyperlink" Target="http://www3.lrs.lt/cgi-bin/preps2?a=69452&amp;b=" TargetMode="External"/><Relationship Id="rId186" Type="http://schemas.openxmlformats.org/officeDocument/2006/relationships/hyperlink" Target="http://www.lsa.lt/popup2.php?item_id=152" TargetMode="External"/><Relationship Id="rId211" Type="http://schemas.openxmlformats.org/officeDocument/2006/relationships/hyperlink" Target="http://www.lsa.lt/popup2.php?item_id=178" TargetMode="External"/><Relationship Id="rId232" Type="http://schemas.openxmlformats.org/officeDocument/2006/relationships/hyperlink" Target="http://www.lsa.lt/popup2.php?item_id=199" TargetMode="External"/><Relationship Id="rId253" Type="http://schemas.openxmlformats.org/officeDocument/2006/relationships/hyperlink" Target="http://www3.lrs.lt/pls/inter/dokpaieska.showdoc_l?p_id=168629" TargetMode="External"/><Relationship Id="rId274" Type="http://schemas.openxmlformats.org/officeDocument/2006/relationships/header" Target="header3.xml"/><Relationship Id="rId295" Type="http://schemas.openxmlformats.org/officeDocument/2006/relationships/hyperlink" Target="http://www3.lrs.lt/pls/inter/dokpaieska.showdoc_l?p_id=403231" TargetMode="External"/><Relationship Id="rId27" Type="http://schemas.openxmlformats.org/officeDocument/2006/relationships/chart" Target="charts/chart16.xml"/><Relationship Id="rId48" Type="http://schemas.openxmlformats.org/officeDocument/2006/relationships/chart" Target="charts/chart29.xml"/><Relationship Id="rId69" Type="http://schemas.openxmlformats.org/officeDocument/2006/relationships/chart" Target="charts/chart49.xml"/><Relationship Id="rId113" Type="http://schemas.openxmlformats.org/officeDocument/2006/relationships/hyperlink" Target="http://www3.lrs.lt/pls/inter3/dokpaieska.showdoc_l?p_id=321395" TargetMode="External"/><Relationship Id="rId134" Type="http://schemas.openxmlformats.org/officeDocument/2006/relationships/oleObject" Target="embeddings/oleObject3.bin"/><Relationship Id="rId80" Type="http://schemas.openxmlformats.org/officeDocument/2006/relationships/hyperlink" Target="http://www3.lrs.lt/cgi-bin/preps2?a=272725&amp;b=" TargetMode="External"/><Relationship Id="rId155" Type="http://schemas.openxmlformats.org/officeDocument/2006/relationships/image" Target="media/image17.emf"/><Relationship Id="rId176" Type="http://schemas.openxmlformats.org/officeDocument/2006/relationships/chart" Target="charts/chart81.xml"/><Relationship Id="rId197" Type="http://schemas.openxmlformats.org/officeDocument/2006/relationships/hyperlink" Target="http://www.lsa.lt/popup2.php?item_id=163" TargetMode="External"/><Relationship Id="rId201" Type="http://schemas.openxmlformats.org/officeDocument/2006/relationships/hyperlink" Target="http://www.lsa.lt/popup2.php?item_id=167" TargetMode="External"/><Relationship Id="rId222" Type="http://schemas.openxmlformats.org/officeDocument/2006/relationships/hyperlink" Target="http://www.lsa.lt/popup2.php?item_id=189" TargetMode="External"/><Relationship Id="rId243" Type="http://schemas.openxmlformats.org/officeDocument/2006/relationships/hyperlink" Target="http://www.nvovaikamskonfederacija.lt/" TargetMode="External"/><Relationship Id="rId264" Type="http://schemas.openxmlformats.org/officeDocument/2006/relationships/image" Target="media/image210.png"/><Relationship Id="rId285" Type="http://schemas.openxmlformats.org/officeDocument/2006/relationships/image" Target="media/image31.png"/><Relationship Id="rId17" Type="http://schemas.openxmlformats.org/officeDocument/2006/relationships/chart" Target="charts/chart7.xml"/><Relationship Id="rId38" Type="http://schemas.openxmlformats.org/officeDocument/2006/relationships/hyperlink" Target="http://www.buzas.lt" TargetMode="External"/><Relationship Id="rId59" Type="http://schemas.openxmlformats.org/officeDocument/2006/relationships/chart" Target="charts/chart40.xml"/><Relationship Id="rId103" Type="http://schemas.openxmlformats.org/officeDocument/2006/relationships/hyperlink" Target="http://www3.lrs.lt/cgi-bin/preps2?Condition1=238269&amp;Condition2=" TargetMode="External"/><Relationship Id="rId124" Type="http://schemas.openxmlformats.org/officeDocument/2006/relationships/chart" Target="charts/chart61.xml"/><Relationship Id="rId70" Type="http://schemas.openxmlformats.org/officeDocument/2006/relationships/chart" Target="charts/chart50.xml"/><Relationship Id="rId91" Type="http://schemas.openxmlformats.org/officeDocument/2006/relationships/hyperlink" Target="http://www3.lrs.lt/cgi-bin/preps2?Condition1=216593&amp;Condition2=" TargetMode="External"/><Relationship Id="rId145" Type="http://schemas.openxmlformats.org/officeDocument/2006/relationships/hyperlink" Target="http://www.salix.cz/rs/image/200502021727_lophophora_wiliamsii_var_decipiens.jpg" TargetMode="External"/><Relationship Id="rId166" Type="http://schemas.openxmlformats.org/officeDocument/2006/relationships/hyperlink" Target="http://www3.lrs.lt/cgi-bin/preps2?a=295147&amp;b=" TargetMode="External"/><Relationship Id="rId187" Type="http://schemas.openxmlformats.org/officeDocument/2006/relationships/hyperlink" Target="http://www.lsa.lt/popup2.php?item_id=153" TargetMode="External"/><Relationship Id="rId1" Type="http://schemas.openxmlformats.org/officeDocument/2006/relationships/customXml" Target="../customXml/item1.xml"/><Relationship Id="rId212" Type="http://schemas.openxmlformats.org/officeDocument/2006/relationships/hyperlink" Target="http://www.lsa.lt/popup2.php?item_id=179" TargetMode="External"/><Relationship Id="rId233" Type="http://schemas.openxmlformats.org/officeDocument/2006/relationships/hyperlink" Target="http://www.lsa.lt/popup2.php?item_id=200" TargetMode="External"/><Relationship Id="rId254" Type="http://schemas.openxmlformats.org/officeDocument/2006/relationships/hyperlink" Target="http://www3.lrs.lt/pls/inter/dokpaieska.showdoc_l?p_id=281144" TargetMode="External"/><Relationship Id="rId28" Type="http://schemas.openxmlformats.org/officeDocument/2006/relationships/chart" Target="charts/chart17.xml"/><Relationship Id="rId49" Type="http://schemas.openxmlformats.org/officeDocument/2006/relationships/chart" Target="charts/chart30.xml"/><Relationship Id="rId114" Type="http://schemas.openxmlformats.org/officeDocument/2006/relationships/hyperlink" Target="http://www.nkd.lt/files/Prekursoriai/Tinklapiui/Nuoroda6.doc" TargetMode="External"/><Relationship Id="rId275" Type="http://schemas.openxmlformats.org/officeDocument/2006/relationships/image" Target="media/image26.png"/><Relationship Id="rId296" Type="http://schemas.openxmlformats.org/officeDocument/2006/relationships/fontTable" Target="fontTable.xml"/><Relationship Id="rId60" Type="http://schemas.openxmlformats.org/officeDocument/2006/relationships/chart" Target="charts/chart41.xml"/><Relationship Id="rId81" Type="http://schemas.openxmlformats.org/officeDocument/2006/relationships/chart" Target="charts/chart52.xml"/><Relationship Id="rId135" Type="http://schemas.openxmlformats.org/officeDocument/2006/relationships/chart" Target="charts/chart66.xml"/><Relationship Id="rId156" Type="http://schemas.openxmlformats.org/officeDocument/2006/relationships/hyperlink" Target="javascript:OpenImagePopupID(8597,1024,683)" TargetMode="External"/><Relationship Id="rId177" Type="http://schemas.openxmlformats.org/officeDocument/2006/relationships/chart" Target="charts/chart82.xml"/><Relationship Id="rId198" Type="http://schemas.openxmlformats.org/officeDocument/2006/relationships/hyperlink" Target="http://www.lsa.lt/popup2.php?item_id=164" TargetMode="External"/><Relationship Id="rId202" Type="http://schemas.openxmlformats.org/officeDocument/2006/relationships/hyperlink" Target="http://www.lsa.lt/popup2.php?item_id=169" TargetMode="External"/><Relationship Id="rId223" Type="http://schemas.openxmlformats.org/officeDocument/2006/relationships/hyperlink" Target="http://www.lsa.lt/popup2.php?item_id=190" TargetMode="External"/><Relationship Id="rId244" Type="http://schemas.openxmlformats.org/officeDocument/2006/relationships/hyperlink" Target="http://www.skurdas.lt" TargetMode="External"/><Relationship Id="rId18" Type="http://schemas.openxmlformats.org/officeDocument/2006/relationships/chart" Target="charts/chart8.xml"/><Relationship Id="rId39" Type="http://schemas.openxmlformats.org/officeDocument/2006/relationships/hyperlink" Target="http://www.amsterdamas.eu" TargetMode="External"/><Relationship Id="rId265" Type="http://schemas.openxmlformats.org/officeDocument/2006/relationships/image" Target="media/image22.png"/><Relationship Id="rId286" Type="http://schemas.openxmlformats.org/officeDocument/2006/relationships/image" Target="media/image32.png"/><Relationship Id="rId50" Type="http://schemas.openxmlformats.org/officeDocument/2006/relationships/chart" Target="charts/chart31.xml"/><Relationship Id="rId104" Type="http://schemas.openxmlformats.org/officeDocument/2006/relationships/hyperlink" Target="http://www3.lrs.lt/cgi-bin/preps2?Condition1=258281&amp;Condition2=" TargetMode="External"/><Relationship Id="rId125" Type="http://schemas.openxmlformats.org/officeDocument/2006/relationships/chart" Target="charts/chart62.xml"/><Relationship Id="rId146" Type="http://schemas.openxmlformats.org/officeDocument/2006/relationships/image" Target="media/image13.jpeg"/><Relationship Id="rId167" Type="http://schemas.openxmlformats.org/officeDocument/2006/relationships/hyperlink" Target="http://www3.lrs.lt/cgi-bin/preps2?a=253300&amp;b=" TargetMode="External"/><Relationship Id="rId188" Type="http://schemas.openxmlformats.org/officeDocument/2006/relationships/hyperlink" Target="http://www.lsa.lt/popup2.php?item_id=15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43.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Excel_Worksheet44.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Excel_Worksheet45.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Microsoft_Excel_Worksheet46.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Microsoft_Excel_Worksheet48.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9.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50.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Microsoft_Excel_Worksheet51.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Microsoft_Excel_Worksheet52.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Microsoft_Excel_Worksheet53.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Microsoft_Excel_Worksheet54.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Microsoft_Excel_Worksheet55.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Microsoft_Excel_Worksheet56.xlsx"/></Relationships>
</file>

<file path=word/charts/_rels/chart57.xml.rels><?xml version="1.0" encoding="UTF-8" standalone="yes"?>
<Relationships xmlns="http://schemas.openxmlformats.org/package/2006/relationships"><Relationship Id="rId1" Type="http://schemas.openxmlformats.org/officeDocument/2006/relationships/package" Target="../embeddings/Microsoft_Excel_Worksheet57.xlsx"/></Relationships>
</file>

<file path=word/charts/_rels/chart58.xml.rels><?xml version="1.0" encoding="UTF-8" standalone="yes"?>
<Relationships xmlns="http://schemas.openxmlformats.org/package/2006/relationships"><Relationship Id="rId1" Type="http://schemas.openxmlformats.org/officeDocument/2006/relationships/package" Target="../embeddings/Microsoft_Excel_Worksheet58.xlsx"/></Relationships>
</file>

<file path=word/charts/_rels/chart59.xml.rels><?xml version="1.0" encoding="UTF-8" standalone="yes"?>
<Relationships xmlns="http://schemas.openxmlformats.org/package/2006/relationships"><Relationship Id="rId1" Type="http://schemas.openxmlformats.org/officeDocument/2006/relationships/package" Target="../embeddings/Microsoft_Excel_Worksheet59.xlsx"/></Relationships>
</file>

<file path=word/charts/_rels/chart60.xml.rels><?xml version="1.0" encoding="UTF-8" standalone="yes"?>
<Relationships xmlns="http://schemas.openxmlformats.org/package/2006/relationships"><Relationship Id="rId1" Type="http://schemas.openxmlformats.org/officeDocument/2006/relationships/package" Target="../embeddings/Microsoft_Excel_Worksheet60.xlsx"/></Relationships>
</file>

<file path=word/charts/_rels/chart61.xml.rels><?xml version="1.0" encoding="UTF-8" standalone="yes"?>
<Relationships xmlns="http://schemas.openxmlformats.org/package/2006/relationships"><Relationship Id="rId1" Type="http://schemas.openxmlformats.org/officeDocument/2006/relationships/package" Target="../embeddings/Microsoft_Excel_Worksheet61.xlsx"/></Relationships>
</file>

<file path=word/charts/_rels/chart62.xml.rels><?xml version="1.0" encoding="UTF-8" standalone="yes"?>
<Relationships xmlns="http://schemas.openxmlformats.org/package/2006/relationships"><Relationship Id="rId1" Type="http://schemas.openxmlformats.org/officeDocument/2006/relationships/package" Target="../embeddings/Microsoft_Excel_Worksheet62.xlsx"/></Relationships>
</file>

<file path=word/charts/_rels/chart63.xml.rels><?xml version="1.0" encoding="UTF-8" standalone="yes"?>
<Relationships xmlns="http://schemas.openxmlformats.org/package/2006/relationships"><Relationship Id="rId1" Type="http://schemas.openxmlformats.org/officeDocument/2006/relationships/package" Target="../embeddings/Microsoft_Excel_Worksheet63.xlsx"/></Relationships>
</file>

<file path=word/charts/_rels/chart64.xml.rels><?xml version="1.0" encoding="UTF-8" standalone="yes"?>
<Relationships xmlns="http://schemas.openxmlformats.org/package/2006/relationships"><Relationship Id="rId1" Type="http://schemas.openxmlformats.org/officeDocument/2006/relationships/package" Target="../embeddings/Microsoft_Excel_Worksheet64.xlsx"/></Relationships>
</file>

<file path=word/charts/_rels/chart65.xml.rels><?xml version="1.0" encoding="UTF-8" standalone="yes"?>
<Relationships xmlns="http://schemas.openxmlformats.org/package/2006/relationships"><Relationship Id="rId1" Type="http://schemas.openxmlformats.org/officeDocument/2006/relationships/package" Target="../embeddings/Microsoft_Excel_Worksheet65.xlsx"/></Relationships>
</file>

<file path=word/charts/_rels/chart66.xml.rels><?xml version="1.0" encoding="UTF-8" standalone="yes"?>
<Relationships xmlns="http://schemas.openxmlformats.org/package/2006/relationships"><Relationship Id="rId1" Type="http://schemas.openxmlformats.org/officeDocument/2006/relationships/package" Target="../embeddings/Microsoft_Excel_Worksheet66.xlsx"/></Relationships>
</file>

<file path=word/charts/_rels/chart67.xml.rels><?xml version="1.0" encoding="UTF-8" standalone="yes"?>
<Relationships xmlns="http://schemas.openxmlformats.org/package/2006/relationships"><Relationship Id="rId1" Type="http://schemas.openxmlformats.org/officeDocument/2006/relationships/package" Target="../embeddings/Microsoft_Excel_Worksheet67.xlsx"/></Relationships>
</file>

<file path=word/charts/_rels/chart68.xml.rels><?xml version="1.0" encoding="UTF-8" standalone="yes"?>
<Relationships xmlns="http://schemas.openxmlformats.org/package/2006/relationships"><Relationship Id="rId1" Type="http://schemas.openxmlformats.org/officeDocument/2006/relationships/package" Target="../embeddings/Microsoft_Excel_Worksheet68.xlsx"/></Relationships>
</file>

<file path=word/charts/_rels/chart69.xml.rels><?xml version="1.0" encoding="UTF-8" standalone="yes"?>
<Relationships xmlns="http://schemas.openxmlformats.org/package/2006/relationships"><Relationship Id="rId1" Type="http://schemas.openxmlformats.org/officeDocument/2006/relationships/package" Target="../embeddings/Microsoft_Excel_Worksheet69.xlsx"/></Relationships>
</file>

<file path=word/charts/_rels/chart70.xml.rels><?xml version="1.0" encoding="UTF-8" standalone="yes"?>
<Relationships xmlns="http://schemas.openxmlformats.org/package/2006/relationships"><Relationship Id="rId1" Type="http://schemas.openxmlformats.org/officeDocument/2006/relationships/package" Target="../embeddings/Microsoft_Excel_Worksheet70.xlsx"/></Relationships>
</file>

<file path=word/charts/_rels/chart71.xml.rels><?xml version="1.0" encoding="UTF-8" standalone="yes"?>
<Relationships xmlns="http://schemas.openxmlformats.org/package/2006/relationships"><Relationship Id="rId1" Type="http://schemas.openxmlformats.org/officeDocument/2006/relationships/package" Target="../embeddings/Microsoft_Excel_Worksheet71.xlsx"/></Relationships>
</file>

<file path=word/charts/_rels/chart72.xml.rels><?xml version="1.0" encoding="UTF-8" standalone="yes"?>
<Relationships xmlns="http://schemas.openxmlformats.org/package/2006/relationships"><Relationship Id="rId1" Type="http://schemas.openxmlformats.org/officeDocument/2006/relationships/package" Target="../embeddings/Microsoft_Excel_Worksheet72.xlsx"/></Relationships>
</file>

<file path=word/charts/_rels/chart73.xml.rels><?xml version="1.0" encoding="UTF-8" standalone="yes"?>
<Relationships xmlns="http://schemas.openxmlformats.org/package/2006/relationships"><Relationship Id="rId1" Type="http://schemas.openxmlformats.org/officeDocument/2006/relationships/package" Target="../embeddings/Microsoft_Excel_Worksheet73.xlsx"/></Relationships>
</file>

<file path=word/charts/_rels/chart74.xml.rels><?xml version="1.0" encoding="UTF-8" standalone="yes"?>
<Relationships xmlns="http://schemas.openxmlformats.org/package/2006/relationships"><Relationship Id="rId1" Type="http://schemas.openxmlformats.org/officeDocument/2006/relationships/package" Target="../embeddings/Microsoft_Excel_Worksheet74.xlsx"/></Relationships>
</file>

<file path=word/charts/_rels/chart75.xml.rels><?xml version="1.0" encoding="UTF-8" standalone="yes"?>
<Relationships xmlns="http://schemas.openxmlformats.org/package/2006/relationships"><Relationship Id="rId1" Type="http://schemas.openxmlformats.org/officeDocument/2006/relationships/package" Target="../embeddings/Microsoft_Excel_Worksheet75.xlsx"/></Relationships>
</file>

<file path=word/charts/_rels/chart76.xml.rels><?xml version="1.0" encoding="UTF-8" standalone="yes"?>
<Relationships xmlns="http://schemas.openxmlformats.org/package/2006/relationships"><Relationship Id="rId1" Type="http://schemas.openxmlformats.org/officeDocument/2006/relationships/package" Target="../embeddings/Microsoft_Excel_Worksheet76.xlsx"/></Relationships>
</file>

<file path=word/charts/_rels/chart77.xml.rels><?xml version="1.0" encoding="UTF-8" standalone="yes"?>
<Relationships xmlns="http://schemas.openxmlformats.org/package/2006/relationships"><Relationship Id="rId1" Type="http://schemas.openxmlformats.org/officeDocument/2006/relationships/package" Target="../embeddings/Microsoft_Excel_Worksheet77.xlsx"/></Relationships>
</file>

<file path=word/charts/_rels/chart78.xml.rels><?xml version="1.0" encoding="UTF-8" standalone="yes"?>
<Relationships xmlns="http://schemas.openxmlformats.org/package/2006/relationships"><Relationship Id="rId1" Type="http://schemas.openxmlformats.org/officeDocument/2006/relationships/package" Target="../embeddings/Microsoft_Excel_Worksheet78.xlsx"/></Relationships>
</file>

<file path=word/charts/_rels/chart79.xml.rels><?xml version="1.0" encoding="UTF-8" standalone="yes"?>
<Relationships xmlns="http://schemas.openxmlformats.org/package/2006/relationships"><Relationship Id="rId1" Type="http://schemas.openxmlformats.org/officeDocument/2006/relationships/package" Target="../embeddings/Microsoft_Excel_Worksheet79.xlsx"/></Relationships>
</file>

<file path=word/charts/_rels/chart80.xml.rels><?xml version="1.0" encoding="UTF-8" standalone="yes"?>
<Relationships xmlns="http://schemas.openxmlformats.org/package/2006/relationships"><Relationship Id="rId1" Type="http://schemas.openxmlformats.org/officeDocument/2006/relationships/package" Target="../embeddings/Microsoft_Excel_Worksheet80.xlsx"/></Relationships>
</file>

<file path=word/charts/_rels/chart81.xml.rels><?xml version="1.0" encoding="UTF-8" standalone="yes"?>
<Relationships xmlns="http://schemas.openxmlformats.org/package/2006/relationships"><Relationship Id="rId1" Type="http://schemas.openxmlformats.org/officeDocument/2006/relationships/package" Target="../embeddings/Microsoft_Excel_Worksheet81.xlsx"/></Relationships>
</file>

<file path=word/charts/_rels/chart82.xml.rels><?xml version="1.0" encoding="UTF-8" standalone="yes"?>
<Relationships xmlns="http://schemas.openxmlformats.org/package/2006/relationships"><Relationship Id="rId1" Type="http://schemas.openxmlformats.org/officeDocument/2006/relationships/package" Target="../embeddings/Microsoft_Excel_Worksheet82.xlsx"/></Relationships>
</file>

<file path=word/charts/_rels/chart83.xml.rels><?xml version="1.0" encoding="UTF-8" standalone="yes"?>
<Relationships xmlns="http://schemas.openxmlformats.org/package/2006/relationships"><Relationship Id="rId1" Type="http://schemas.openxmlformats.org/officeDocument/2006/relationships/package" Target="../embeddings/Microsoft_Excel_Worksheet83.xlsx"/></Relationships>
</file>

<file path=word/charts/_rels/chart84.xml.rels><?xml version="1.0" encoding="UTF-8" standalone="yes"?>
<Relationships xmlns="http://schemas.openxmlformats.org/package/2006/relationships"><Relationship Id="rId1" Type="http://schemas.openxmlformats.org/officeDocument/2006/relationships/package" Target="../embeddings/Microsoft_Excel_Worksheet8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53" b="1" i="0" u="none" strike="noStrike" baseline="0">
                <a:solidFill>
                  <a:srgbClr val="008000"/>
                </a:solidFill>
                <a:latin typeface="Times New Roman"/>
                <a:ea typeface="Times New Roman"/>
                <a:cs typeface="Times New Roman"/>
              </a:defRPr>
            </a:pPr>
            <a:r>
              <a:t>NUSIKALTIMŲ IR BAUDŽIAMŲJŲ NUSIŽENGIMŲ SANTYKIS </a:t>
            </a:r>
          </a:p>
        </c:rich>
      </c:tx>
      <c:layout>
        <c:manualLayout>
          <c:xMode val="edge"/>
          <c:yMode val="edge"/>
          <c:x val="0.1254071661237785"/>
          <c:y val="5.1401869158878503E-2"/>
        </c:manualLayout>
      </c:layout>
      <c:overlay val="0"/>
      <c:spPr>
        <a:noFill/>
        <a:ln w="24408">
          <a:noFill/>
        </a:ln>
      </c:spPr>
    </c:title>
    <c:autoTitleDeleted val="0"/>
    <c:plotArea>
      <c:layout>
        <c:manualLayout>
          <c:layoutTarget val="inner"/>
          <c:xMode val="edge"/>
          <c:yMode val="edge"/>
          <c:x val="7.4918566775244305E-2"/>
          <c:y val="0.21962616822429906"/>
          <c:w val="0.82736156351791534"/>
          <c:h val="0.61214953271028039"/>
        </c:manualLayout>
      </c:layout>
      <c:barChart>
        <c:barDir val="bar"/>
        <c:grouping val="stacked"/>
        <c:varyColors val="0"/>
        <c:ser>
          <c:idx val="0"/>
          <c:order val="0"/>
          <c:tx>
            <c:v>Nusikaltimų skaičius</c:v>
          </c:tx>
          <c:spPr>
            <a:solidFill>
              <a:srgbClr val="339966"/>
            </a:solidFill>
            <a:ln w="12204">
              <a:solidFill>
                <a:srgbClr val="000000"/>
              </a:solidFill>
              <a:prstDash val="solid"/>
            </a:ln>
          </c:spPr>
          <c:invertIfNegative val="0"/>
          <c:dLbls>
            <c:spPr>
              <a:noFill/>
              <a:ln w="24408">
                <a:noFill/>
              </a:ln>
            </c:spPr>
            <c:txPr>
              <a:bodyPr/>
              <a:lstStyle/>
              <a:p>
                <a:pPr>
                  <a:defRPr sz="985"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Lit>
              <c:ptCount val="1"/>
              <c:pt idx="0">
                <c:v>Metai</c:v>
              </c:pt>
            </c:strLit>
          </c:cat>
          <c:val>
            <c:numRef>
              <c:f>Sheet1!$B$2:$B$5</c:f>
              <c:numCache>
                <c:formatCode>General</c:formatCode>
                <c:ptCount val="4"/>
                <c:pt idx="0">
                  <c:v>937</c:v>
                </c:pt>
                <c:pt idx="1">
                  <c:v>910</c:v>
                </c:pt>
                <c:pt idx="2">
                  <c:v>1231</c:v>
                </c:pt>
                <c:pt idx="3">
                  <c:v>1411</c:v>
                </c:pt>
              </c:numCache>
            </c:numRef>
          </c:val>
        </c:ser>
        <c:ser>
          <c:idx val="1"/>
          <c:order val="1"/>
          <c:tx>
            <c:v>Baudžiamųjų nusižengimų skaičius</c:v>
          </c:tx>
          <c:spPr>
            <a:solidFill>
              <a:srgbClr val="FF9900"/>
            </a:solidFill>
            <a:ln w="12204">
              <a:solidFill>
                <a:srgbClr val="000000"/>
              </a:solidFill>
              <a:prstDash val="solid"/>
            </a:ln>
          </c:spPr>
          <c:invertIfNegative val="0"/>
          <c:dLbls>
            <c:spPr>
              <a:noFill/>
              <a:ln w="24408">
                <a:noFill/>
              </a:ln>
            </c:spPr>
            <c:txPr>
              <a:bodyPr/>
              <a:lstStyle/>
              <a:p>
                <a:pPr>
                  <a:defRPr sz="985" b="1" i="0" u="none" strike="noStrike" baseline="0">
                    <a:solidFill>
                      <a:srgbClr val="FFFFFF"/>
                    </a:solidFill>
                    <a:latin typeface="Arial"/>
                    <a:ea typeface="Arial"/>
                    <a:cs typeface="Arial"/>
                  </a:defRPr>
                </a:pPr>
                <a:endParaRPr lang="lt-LT"/>
              </a:p>
            </c:txPr>
            <c:showLegendKey val="0"/>
            <c:showVal val="1"/>
            <c:showCatName val="0"/>
            <c:showSerName val="0"/>
            <c:showPercent val="0"/>
            <c:showBubbleSize val="0"/>
            <c:showLeaderLines val="0"/>
          </c:dLbls>
          <c:cat>
            <c:strLit>
              <c:ptCount val="1"/>
              <c:pt idx="0">
                <c:v>Metai</c:v>
              </c:pt>
            </c:strLit>
          </c:cat>
          <c:val>
            <c:numRef>
              <c:f>Sheet1!$C$2:$C$5</c:f>
              <c:numCache>
                <c:formatCode>General</c:formatCode>
                <c:ptCount val="4"/>
                <c:pt idx="1">
                  <c:v>119</c:v>
                </c:pt>
                <c:pt idx="2">
                  <c:v>321</c:v>
                </c:pt>
                <c:pt idx="3">
                  <c:v>402</c:v>
                </c:pt>
              </c:numCache>
            </c:numRef>
          </c:val>
        </c:ser>
        <c:dLbls>
          <c:showLegendKey val="0"/>
          <c:showVal val="0"/>
          <c:showCatName val="0"/>
          <c:showSerName val="0"/>
          <c:showPercent val="0"/>
          <c:showBubbleSize val="0"/>
        </c:dLbls>
        <c:gapWidth val="140"/>
        <c:overlap val="100"/>
        <c:axId val="40645376"/>
        <c:axId val="40646912"/>
      </c:barChart>
      <c:dateAx>
        <c:axId val="40645376"/>
        <c:scaling>
          <c:orientation val="minMax"/>
          <c:max val="38353"/>
          <c:min val="37257"/>
        </c:scaling>
        <c:delete val="0"/>
        <c:axPos val="l"/>
        <c:numFmt formatCode="yyyy" sourceLinked="0"/>
        <c:majorTickMark val="out"/>
        <c:minorTickMark val="none"/>
        <c:tickLblPos val="nextTo"/>
        <c:spPr>
          <a:ln w="3051">
            <a:solidFill>
              <a:srgbClr val="000000"/>
            </a:solidFill>
            <a:prstDash val="solid"/>
          </a:ln>
        </c:spPr>
        <c:txPr>
          <a:bodyPr rot="0" vert="horz"/>
          <a:lstStyle/>
          <a:p>
            <a:pPr>
              <a:defRPr sz="793" b="1" i="0" u="none" strike="noStrike" baseline="0">
                <a:solidFill>
                  <a:srgbClr val="000000"/>
                </a:solidFill>
                <a:latin typeface="Arial"/>
                <a:ea typeface="Arial"/>
                <a:cs typeface="Arial"/>
              </a:defRPr>
            </a:pPr>
            <a:endParaRPr lang="lt-LT"/>
          </a:p>
        </c:txPr>
        <c:crossAx val="40646912"/>
        <c:crossesAt val="0"/>
        <c:auto val="0"/>
        <c:lblOffset val="100"/>
        <c:baseTimeUnit val="years"/>
        <c:majorUnit val="1"/>
        <c:majorTimeUnit val="years"/>
        <c:minorUnit val="1"/>
        <c:minorTimeUnit val="years"/>
      </c:dateAx>
      <c:valAx>
        <c:axId val="40646912"/>
        <c:scaling>
          <c:orientation val="minMax"/>
          <c:max val="1900"/>
          <c:min val="0"/>
        </c:scaling>
        <c:delete val="0"/>
        <c:axPos val="b"/>
        <c:numFmt formatCode="General" sourceLinked="1"/>
        <c:majorTickMark val="out"/>
        <c:minorTickMark val="none"/>
        <c:tickLblPos val="nextTo"/>
        <c:spPr>
          <a:ln w="3051">
            <a:solidFill>
              <a:srgbClr val="000000"/>
            </a:solidFill>
            <a:prstDash val="solid"/>
          </a:ln>
        </c:spPr>
        <c:txPr>
          <a:bodyPr rot="0" vert="horz"/>
          <a:lstStyle/>
          <a:p>
            <a:pPr>
              <a:defRPr sz="793" b="1" i="0" u="none" strike="noStrike" baseline="0">
                <a:solidFill>
                  <a:srgbClr val="000000"/>
                </a:solidFill>
                <a:latin typeface="Arial"/>
                <a:ea typeface="Arial"/>
                <a:cs typeface="Arial"/>
              </a:defRPr>
            </a:pPr>
            <a:endParaRPr lang="lt-LT"/>
          </a:p>
        </c:txPr>
        <c:crossAx val="40645376"/>
        <c:crossesAt val="0"/>
        <c:crossBetween val="between"/>
        <c:majorUnit val="200"/>
        <c:minorUnit val="40"/>
      </c:valAx>
      <c:spPr>
        <a:noFill/>
        <a:ln w="24408">
          <a:noFill/>
        </a:ln>
      </c:spPr>
    </c:plotArea>
    <c:legend>
      <c:legendPos val="r"/>
      <c:legendEntry>
        <c:idx val="0"/>
        <c:txPr>
          <a:bodyPr/>
          <a:lstStyle/>
          <a:p>
            <a:pPr>
              <a:defRPr sz="884" b="0" i="0" u="none" strike="noStrike" baseline="0">
                <a:solidFill>
                  <a:srgbClr val="000000"/>
                </a:solidFill>
                <a:latin typeface="Times New Roman"/>
                <a:ea typeface="Times New Roman"/>
                <a:cs typeface="Times New Roman"/>
              </a:defRPr>
            </a:pPr>
            <a:endParaRPr lang="lt-LT"/>
          </a:p>
        </c:txPr>
      </c:legendEntry>
      <c:legendEntry>
        <c:idx val="1"/>
        <c:txPr>
          <a:bodyPr/>
          <a:lstStyle/>
          <a:p>
            <a:pPr>
              <a:defRPr sz="884" b="0" i="0" u="none" strike="noStrike" baseline="0">
                <a:solidFill>
                  <a:srgbClr val="000000"/>
                </a:solidFill>
                <a:latin typeface="Times New Roman"/>
                <a:ea typeface="Times New Roman"/>
                <a:cs typeface="Times New Roman"/>
              </a:defRPr>
            </a:pPr>
            <a:endParaRPr lang="lt-LT"/>
          </a:p>
        </c:txPr>
      </c:legendEntry>
      <c:layout>
        <c:manualLayout>
          <c:xMode val="edge"/>
          <c:yMode val="edge"/>
          <c:x val="0.6824104234527687"/>
          <c:y val="0.51401869158878499"/>
          <c:w val="0.29315960912052119"/>
          <c:h val="0.28971962616822428"/>
        </c:manualLayout>
      </c:layout>
      <c:overlay val="0"/>
      <c:spPr>
        <a:solidFill>
          <a:srgbClr val="FFFFFF"/>
        </a:solidFill>
        <a:ln w="3051">
          <a:solidFill>
            <a:srgbClr val="000000"/>
          </a:solidFill>
          <a:prstDash val="solid"/>
        </a:ln>
      </c:spPr>
      <c:txPr>
        <a:bodyPr/>
        <a:lstStyle/>
        <a:p>
          <a:pPr>
            <a:defRPr sz="197" b="0" i="0" u="none" strike="noStrike" baseline="0">
              <a:solidFill>
                <a:srgbClr val="000000"/>
              </a:solidFill>
              <a:latin typeface="Arial"/>
              <a:ea typeface="Arial"/>
              <a:cs typeface="Arial"/>
            </a:defRPr>
          </a:pPr>
          <a:endParaRPr lang="lt-LT"/>
        </a:p>
      </c:txPr>
    </c:legend>
    <c:plotVisOnly val="0"/>
    <c:dispBlanksAs val="gap"/>
    <c:showDLblsOverMax val="0"/>
  </c:chart>
  <c:spPr>
    <a:noFill/>
    <a:ln>
      <a:noFill/>
    </a:ln>
  </c:spPr>
  <c:txPr>
    <a:bodyPr/>
    <a:lstStyle/>
    <a:p>
      <a:pPr>
        <a:defRPr sz="216" b="0" i="0" u="none" strike="noStrike" baseline="0">
          <a:solidFill>
            <a:srgbClr val="000000"/>
          </a:solidFill>
          <a:latin typeface="Arial"/>
          <a:ea typeface="Arial"/>
          <a:cs typeface="Arial"/>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1" b="1" i="0" u="none" strike="noStrike" baseline="0">
                <a:solidFill>
                  <a:srgbClr val="008000"/>
                </a:solidFill>
                <a:latin typeface="Times New Roman"/>
                <a:ea typeface="Times New Roman"/>
                <a:cs typeface="Times New Roman"/>
              </a:defRPr>
            </a:pPr>
            <a:r>
              <a:t>NUSIKALSTAMŲ VEIKŲ, SUSIJUSIŲ SU NETEISĖTA NARKOTIKŲ APYVARTA, SKAIČIAUS DINAMIKA</a:t>
            </a:r>
          </a:p>
        </c:rich>
      </c:tx>
      <c:layout>
        <c:manualLayout>
          <c:xMode val="edge"/>
          <c:yMode val="edge"/>
          <c:x val="0.18032786885245902"/>
          <c:y val="1.9512195121951219E-2"/>
        </c:manualLayout>
      </c:layout>
      <c:overlay val="0"/>
      <c:spPr>
        <a:noFill/>
        <a:ln w="25322">
          <a:noFill/>
        </a:ln>
      </c:spPr>
    </c:title>
    <c:autoTitleDeleted val="0"/>
    <c:plotArea>
      <c:layout>
        <c:manualLayout>
          <c:layoutTarget val="inner"/>
          <c:xMode val="edge"/>
          <c:yMode val="edge"/>
          <c:x val="0.10655737704918032"/>
          <c:y val="0.14878048780487804"/>
          <c:w val="0.86885245901639341"/>
          <c:h val="0.7219512195121951"/>
        </c:manualLayout>
      </c:layout>
      <c:barChart>
        <c:barDir val="bar"/>
        <c:grouping val="clustered"/>
        <c:varyColors val="0"/>
        <c:ser>
          <c:idx val="0"/>
          <c:order val="0"/>
          <c:spPr>
            <a:solidFill>
              <a:srgbClr val="339966"/>
            </a:solidFill>
            <a:ln w="12661">
              <a:solidFill>
                <a:srgbClr val="000000"/>
              </a:solidFill>
              <a:prstDash val="solid"/>
            </a:ln>
          </c:spPr>
          <c:invertIfNegative val="0"/>
          <c:dLbls>
            <c:spPr>
              <a:noFill/>
              <a:ln w="25322">
                <a:noFill/>
              </a:ln>
            </c:spPr>
            <c:txPr>
              <a:bodyPr/>
              <a:lstStyle/>
              <a:p>
                <a:pPr>
                  <a:defRPr sz="1047" b="1" i="0" u="none" strike="noStrike" baseline="0">
                    <a:solidFill>
                      <a:srgbClr val="000000"/>
                    </a:solidFill>
                    <a:latin typeface="Arial"/>
                    <a:ea typeface="Arial"/>
                    <a:cs typeface="Arial"/>
                  </a:defRPr>
                </a:pPr>
                <a:endParaRPr lang="lt-LT"/>
              </a:p>
            </c:txPr>
            <c:dLblPos val="ctr"/>
            <c:showLegendKey val="0"/>
            <c:showVal val="1"/>
            <c:showCatName val="0"/>
            <c:showSerName val="0"/>
            <c:showPercent val="0"/>
            <c:showBubbleSize val="0"/>
            <c:showLeaderLines val="0"/>
          </c:dLbls>
          <c:cat>
            <c:strLit>
              <c:ptCount val="1"/>
              <c:pt idx="0">
                <c:v>Metai</c:v>
              </c:pt>
            </c:strLit>
          </c:cat>
          <c:val>
            <c:numRef>
              <c:f>Sheet1!$B$4:$B$14</c:f>
              <c:numCache>
                <c:formatCode>General</c:formatCode>
                <c:ptCount val="11"/>
                <c:pt idx="0">
                  <c:v>395</c:v>
                </c:pt>
                <c:pt idx="1">
                  <c:v>511</c:v>
                </c:pt>
                <c:pt idx="2">
                  <c:v>630</c:v>
                </c:pt>
                <c:pt idx="3">
                  <c:v>629</c:v>
                </c:pt>
                <c:pt idx="4">
                  <c:v>701</c:v>
                </c:pt>
                <c:pt idx="5">
                  <c:v>926</c:v>
                </c:pt>
                <c:pt idx="6">
                  <c:v>1039</c:v>
                </c:pt>
                <c:pt idx="7">
                  <c:v>937</c:v>
                </c:pt>
                <c:pt idx="8">
                  <c:v>1029</c:v>
                </c:pt>
                <c:pt idx="9">
                  <c:v>1552</c:v>
                </c:pt>
                <c:pt idx="10">
                  <c:v>1818</c:v>
                </c:pt>
              </c:numCache>
            </c:numRef>
          </c:val>
        </c:ser>
        <c:ser>
          <c:idx val="1"/>
          <c:order val="1"/>
          <c:spPr>
            <a:solidFill>
              <a:srgbClr val="993366"/>
            </a:solidFill>
            <a:ln w="12661">
              <a:solidFill>
                <a:srgbClr val="000000"/>
              </a:solidFill>
              <a:prstDash val="solid"/>
            </a:ln>
          </c:spPr>
          <c:invertIfNegative val="0"/>
          <c:dLbls>
            <c:spPr>
              <a:noFill/>
              <a:ln w="25322">
                <a:noFill/>
              </a:ln>
            </c:spPr>
            <c:txPr>
              <a:bodyPr/>
              <a:lstStyle/>
              <a:p>
                <a:pPr>
                  <a:defRPr sz="872"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Lit>
              <c:ptCount val="1"/>
              <c:pt idx="0">
                <c:v>Metai</c:v>
              </c:pt>
            </c:strLit>
          </c:cat>
          <c:val>
            <c:numRef>
              <c:f>Sheet1!$C$2:$C$13</c:f>
              <c:numCache>
                <c:formatCode>General</c:formatCode>
                <c:ptCount val="12"/>
              </c:numCache>
            </c:numRef>
          </c:val>
        </c:ser>
        <c:ser>
          <c:idx val="2"/>
          <c:order val="2"/>
          <c:spPr>
            <a:solidFill>
              <a:srgbClr val="FFFFCC"/>
            </a:solidFill>
            <a:ln w="12661">
              <a:solidFill>
                <a:srgbClr val="000000"/>
              </a:solidFill>
              <a:prstDash val="solid"/>
            </a:ln>
          </c:spPr>
          <c:invertIfNegative val="0"/>
          <c:val>
            <c:numLit>
              <c:formatCode>General</c:formatCode>
              <c:ptCount val="1"/>
              <c:pt idx="0">
                <c:v>1</c:v>
              </c:pt>
            </c:numLit>
          </c:val>
        </c:ser>
        <c:dLbls>
          <c:showLegendKey val="0"/>
          <c:showVal val="0"/>
          <c:showCatName val="0"/>
          <c:showSerName val="0"/>
          <c:showPercent val="0"/>
          <c:showBubbleSize val="0"/>
        </c:dLbls>
        <c:gapWidth val="10"/>
        <c:overlap val="80"/>
        <c:axId val="40693760"/>
        <c:axId val="40695680"/>
      </c:barChart>
      <c:dateAx>
        <c:axId val="40693760"/>
        <c:scaling>
          <c:orientation val="minMax"/>
          <c:max val="38353"/>
          <c:min val="34700"/>
        </c:scaling>
        <c:delete val="0"/>
        <c:axPos val="l"/>
        <c:title>
          <c:tx>
            <c:rich>
              <a:bodyPr/>
              <a:lstStyle/>
              <a:p>
                <a:pPr>
                  <a:defRPr sz="972" b="1" i="0" u="none" strike="noStrike" baseline="0">
                    <a:solidFill>
                      <a:srgbClr val="000000"/>
                    </a:solidFill>
                    <a:latin typeface="Arial"/>
                    <a:ea typeface="Arial"/>
                    <a:cs typeface="Arial"/>
                  </a:defRPr>
                </a:pPr>
                <a:r>
                  <a:t>Metai</a:t>
                </a:r>
              </a:p>
            </c:rich>
          </c:tx>
          <c:layout>
            <c:manualLayout>
              <c:xMode val="edge"/>
              <c:yMode val="edge"/>
              <c:x val="1.639344262295082E-3"/>
              <c:y val="0.46097560975609758"/>
            </c:manualLayout>
          </c:layout>
          <c:overlay val="0"/>
          <c:spPr>
            <a:noFill/>
            <a:ln w="25322">
              <a:noFill/>
            </a:ln>
          </c:spPr>
        </c:title>
        <c:numFmt formatCode="yyyy" sourceLinked="0"/>
        <c:majorTickMark val="out"/>
        <c:minorTickMark val="none"/>
        <c:tickLblPos val="nextTo"/>
        <c:spPr>
          <a:ln w="3165">
            <a:solidFill>
              <a:srgbClr val="000000"/>
            </a:solidFill>
            <a:prstDash val="solid"/>
          </a:ln>
        </c:spPr>
        <c:txPr>
          <a:bodyPr rot="0" vert="horz"/>
          <a:lstStyle/>
          <a:p>
            <a:pPr>
              <a:defRPr sz="872" b="1" i="0" u="none" strike="noStrike" baseline="0">
                <a:solidFill>
                  <a:srgbClr val="000000"/>
                </a:solidFill>
                <a:latin typeface="Arial"/>
                <a:ea typeface="Arial"/>
                <a:cs typeface="Arial"/>
              </a:defRPr>
            </a:pPr>
            <a:endParaRPr lang="lt-LT"/>
          </a:p>
        </c:txPr>
        <c:crossAx val="40695680"/>
        <c:crossesAt val="0"/>
        <c:auto val="0"/>
        <c:lblOffset val="100"/>
        <c:baseTimeUnit val="years"/>
        <c:majorUnit val="1"/>
        <c:majorTimeUnit val="years"/>
        <c:minorUnit val="1"/>
        <c:minorTimeUnit val="years"/>
      </c:dateAx>
      <c:valAx>
        <c:axId val="40695680"/>
        <c:scaling>
          <c:orientation val="minMax"/>
          <c:max val="1900"/>
          <c:min val="0"/>
        </c:scaling>
        <c:delete val="0"/>
        <c:axPos val="b"/>
        <c:title>
          <c:tx>
            <c:rich>
              <a:bodyPr/>
              <a:lstStyle/>
              <a:p>
                <a:pPr>
                  <a:defRPr sz="972" b="1" i="0" u="none" strike="noStrike" baseline="0">
                    <a:solidFill>
                      <a:srgbClr val="000000"/>
                    </a:solidFill>
                    <a:latin typeface="Arial"/>
                    <a:ea typeface="Arial"/>
                    <a:cs typeface="Arial"/>
                  </a:defRPr>
                </a:pPr>
                <a:r>
                  <a:t>Nusikaltimų skaičius</a:t>
                </a:r>
              </a:p>
            </c:rich>
          </c:tx>
          <c:layout>
            <c:manualLayout>
              <c:xMode val="edge"/>
              <c:yMode val="edge"/>
              <c:x val="0.43114754098360658"/>
              <c:y val="0.94146341463414629"/>
            </c:manualLayout>
          </c:layout>
          <c:overlay val="0"/>
          <c:spPr>
            <a:noFill/>
            <a:ln w="25322">
              <a:noFill/>
            </a:ln>
          </c:spPr>
        </c:title>
        <c:numFmt formatCode="General" sourceLinked="1"/>
        <c:majorTickMark val="out"/>
        <c:minorTickMark val="none"/>
        <c:tickLblPos val="nextTo"/>
        <c:spPr>
          <a:ln w="3165">
            <a:solidFill>
              <a:srgbClr val="000000"/>
            </a:solidFill>
            <a:prstDash val="solid"/>
          </a:ln>
        </c:spPr>
        <c:txPr>
          <a:bodyPr rot="0" vert="horz"/>
          <a:lstStyle/>
          <a:p>
            <a:pPr>
              <a:defRPr sz="872" b="1" i="0" u="none" strike="noStrike" baseline="0">
                <a:solidFill>
                  <a:srgbClr val="000000"/>
                </a:solidFill>
                <a:latin typeface="Arial"/>
                <a:ea typeface="Arial"/>
                <a:cs typeface="Arial"/>
              </a:defRPr>
            </a:pPr>
            <a:endParaRPr lang="lt-LT"/>
          </a:p>
        </c:txPr>
        <c:crossAx val="40693760"/>
        <c:crossesAt val="0"/>
        <c:crossBetween val="between"/>
        <c:majorUnit val="200"/>
        <c:minorUnit val="40"/>
      </c:valAx>
      <c:spPr>
        <a:noFill/>
        <a:ln w="25322">
          <a:noFill/>
        </a:ln>
      </c:spPr>
    </c:plotArea>
    <c:plotVisOnly val="0"/>
    <c:dispBlanksAs val="gap"/>
    <c:showDLblsOverMax val="0"/>
  </c:chart>
  <c:spPr>
    <a:noFill/>
    <a:ln>
      <a:noFill/>
    </a:ln>
  </c:spPr>
  <c:txPr>
    <a:bodyPr/>
    <a:lstStyle/>
    <a:p>
      <a:pPr>
        <a:defRPr sz="449" b="0" i="0" u="none" strike="noStrike" baseline="0">
          <a:solidFill>
            <a:srgbClr val="000000"/>
          </a:solidFill>
          <a:latin typeface="Arial"/>
          <a:ea typeface="Arial"/>
          <a:cs typeface="Arial"/>
        </a:defRPr>
      </a:pPr>
      <a:endParaRPr lang="lt-L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47" b="1" i="0" u="none" strike="noStrike" baseline="0">
                <a:solidFill>
                  <a:srgbClr val="008000"/>
                </a:solidFill>
                <a:latin typeface="Arial"/>
                <a:ea typeface="Arial"/>
                <a:cs typeface="Arial"/>
              </a:defRPr>
            </a:pPr>
            <a:r>
              <a:t>Nusikalstamų veikų išaiškinimo iniciatyvos</a:t>
            </a:r>
          </a:p>
        </c:rich>
      </c:tx>
      <c:layout>
        <c:manualLayout>
          <c:xMode val="edge"/>
          <c:yMode val="edge"/>
          <c:x val="0.15950920245398773"/>
          <c:y val="1.8099547511312219E-2"/>
        </c:manualLayout>
      </c:layout>
      <c:overlay val="0"/>
      <c:spPr>
        <a:noFill/>
        <a:ln w="25326">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337423312883436"/>
          <c:y val="0.49321266968325794"/>
          <c:w val="0.71165644171779141"/>
          <c:h val="0.41628959276018102"/>
        </c:manualLayout>
      </c:layout>
      <c:pie3DChart>
        <c:varyColors val="1"/>
        <c:ser>
          <c:idx val="0"/>
          <c:order val="0"/>
          <c:tx>
            <c:strRef>
              <c:f>Sheet1!$A$2</c:f>
              <c:strCache>
                <c:ptCount val="1"/>
                <c:pt idx="0">
                  <c:v>East</c:v>
                </c:pt>
              </c:strCache>
            </c:strRef>
          </c:tx>
          <c:spPr>
            <a:solidFill>
              <a:srgbClr val="9999FF"/>
            </a:solidFill>
            <a:ln w="12663">
              <a:solidFill>
                <a:srgbClr val="000000"/>
              </a:solidFill>
              <a:prstDash val="solid"/>
            </a:ln>
          </c:spPr>
          <c:explosion val="3"/>
          <c:dPt>
            <c:idx val="0"/>
            <c:bubble3D val="0"/>
            <c:spPr>
              <a:solidFill>
                <a:srgbClr val="339966"/>
              </a:solidFill>
              <a:ln w="12663">
                <a:solidFill>
                  <a:srgbClr val="000000"/>
                </a:solidFill>
                <a:prstDash val="solid"/>
              </a:ln>
            </c:spPr>
          </c:dPt>
          <c:dPt>
            <c:idx val="1"/>
            <c:bubble3D val="0"/>
            <c:spPr>
              <a:solidFill>
                <a:srgbClr val="993366"/>
              </a:solidFill>
              <a:ln w="12663">
                <a:solidFill>
                  <a:srgbClr val="000000"/>
                </a:solidFill>
                <a:prstDash val="solid"/>
              </a:ln>
            </c:spPr>
          </c:dPt>
          <c:dPt>
            <c:idx val="2"/>
            <c:bubble3D val="0"/>
            <c:spPr>
              <a:solidFill>
                <a:srgbClr val="FFFFCC"/>
              </a:solidFill>
              <a:ln w="12663">
                <a:solidFill>
                  <a:srgbClr val="000000"/>
                </a:solidFill>
                <a:prstDash val="solid"/>
              </a:ln>
            </c:spPr>
          </c:dPt>
          <c:dPt>
            <c:idx val="3"/>
            <c:bubble3D val="0"/>
            <c:spPr>
              <a:solidFill>
                <a:srgbClr val="CCFFFF"/>
              </a:solidFill>
              <a:ln w="12663">
                <a:solidFill>
                  <a:srgbClr val="000000"/>
                </a:solidFill>
                <a:prstDash val="solid"/>
              </a:ln>
            </c:spPr>
          </c:dPt>
          <c:dPt>
            <c:idx val="4"/>
            <c:bubble3D val="0"/>
            <c:spPr>
              <a:solidFill>
                <a:srgbClr val="FF9900"/>
              </a:solidFill>
              <a:ln w="12663">
                <a:solidFill>
                  <a:srgbClr val="000000"/>
                </a:solidFill>
                <a:prstDash val="solid"/>
              </a:ln>
            </c:spPr>
          </c:dPt>
          <c:dLbls>
            <c:dLbl>
              <c:idx val="0"/>
              <c:layout>
                <c:manualLayout>
                  <c:xMode val="edge"/>
                  <c:yMode val="edge"/>
                  <c:x val="0.84355828220858897"/>
                  <c:y val="0.78280542986425339"/>
                </c:manualLayout>
              </c:layout>
              <c:dLblPos val="bestFit"/>
              <c:showLegendKey val="0"/>
              <c:showVal val="0"/>
              <c:showCatName val="1"/>
              <c:showSerName val="0"/>
              <c:showPercent val="1"/>
              <c:showBubbleSize val="0"/>
            </c:dLbl>
            <c:dLbl>
              <c:idx val="1"/>
              <c:layout>
                <c:manualLayout>
                  <c:xMode val="edge"/>
                  <c:yMode val="edge"/>
                  <c:x val="1.2269938650306749E-2"/>
                  <c:y val="0.61085972850678738"/>
                </c:manualLayout>
              </c:layout>
              <c:dLblPos val="bestFit"/>
              <c:showLegendKey val="0"/>
              <c:showVal val="0"/>
              <c:showCatName val="1"/>
              <c:showSerName val="0"/>
              <c:showPercent val="1"/>
              <c:showBubbleSize val="0"/>
            </c:dLbl>
            <c:dLbl>
              <c:idx val="2"/>
              <c:layout>
                <c:manualLayout>
                  <c:xMode val="edge"/>
                  <c:yMode val="edge"/>
                  <c:x val="0.22699386503067484"/>
                  <c:y val="0.27149321266968324"/>
                </c:manualLayout>
              </c:layout>
              <c:dLblPos val="bestFit"/>
              <c:showLegendKey val="0"/>
              <c:showVal val="0"/>
              <c:showCatName val="1"/>
              <c:showSerName val="0"/>
              <c:showPercent val="1"/>
              <c:showBubbleSize val="0"/>
            </c:dLbl>
            <c:dLbl>
              <c:idx val="3"/>
              <c:delete val="1"/>
            </c:dLbl>
            <c:dLbl>
              <c:idx val="4"/>
              <c:layout>
                <c:manualLayout>
                  <c:xMode val="edge"/>
                  <c:yMode val="edge"/>
                  <c:x val="0.57975460122699385"/>
                  <c:y val="0.22624434389140272"/>
                </c:manualLayout>
              </c:layout>
              <c:tx>
                <c:rich>
                  <a:bodyPr/>
                  <a:lstStyle/>
                  <a:p>
                    <a:pPr algn="l" rtl="0">
                      <a:defRPr sz="997" b="1" i="0" u="none" strike="noStrike" baseline="0">
                        <a:solidFill>
                          <a:srgbClr val="000000"/>
                        </a:solidFill>
                        <a:latin typeface="Times New Roman"/>
                        <a:ea typeface="Times New Roman"/>
                        <a:cs typeface="Times New Roman"/>
                      </a:defRPr>
                    </a:pPr>
                    <a:r>
                      <a:t>Kalėjimų d-tas
11,17%</a:t>
                    </a:r>
                  </a:p>
                </c:rich>
              </c:tx>
              <c:spPr>
                <a:noFill/>
                <a:ln w="25326">
                  <a:noFill/>
                </a:ln>
              </c:spPr>
              <c:dLblPos val="bestFit"/>
              <c:showLegendKey val="0"/>
              <c:showVal val="0"/>
              <c:showCatName val="0"/>
              <c:showSerName val="0"/>
              <c:showPercent val="0"/>
              <c:showBubbleSize val="0"/>
            </c:dLbl>
            <c:numFmt formatCode="0%" sourceLinked="0"/>
            <c:spPr>
              <a:noFill/>
              <a:ln w="25326">
                <a:noFill/>
              </a:ln>
            </c:spPr>
            <c:txPr>
              <a:bodyPr/>
              <a:lstStyle/>
              <a:p>
                <a:pPr>
                  <a:defRPr sz="997" b="1"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Sheet1!$B$1:$F$1</c:f>
              <c:strCache>
                <c:ptCount val="5"/>
                <c:pt idx="0">
                  <c:v>Policija</c:v>
                </c:pt>
                <c:pt idx="1">
                  <c:v>Muitinė</c:v>
                </c:pt>
                <c:pt idx="2">
                  <c:v>VSAT</c:v>
                </c:pt>
                <c:pt idx="3">
                  <c:v>VSD</c:v>
                </c:pt>
                <c:pt idx="4">
                  <c:v>Kalėjimų d-tas</c:v>
                </c:pt>
              </c:strCache>
            </c:strRef>
          </c:cat>
          <c:val>
            <c:numRef>
              <c:f>Sheet1!$B$2:$F$2</c:f>
              <c:numCache>
                <c:formatCode>General</c:formatCode>
                <c:ptCount val="5"/>
                <c:pt idx="0">
                  <c:v>1575</c:v>
                </c:pt>
                <c:pt idx="1">
                  <c:v>15</c:v>
                </c:pt>
                <c:pt idx="2">
                  <c:v>16</c:v>
                </c:pt>
                <c:pt idx="3">
                  <c:v>5</c:v>
                </c:pt>
                <c:pt idx="4">
                  <c:v>202</c:v>
                </c:pt>
              </c:numCache>
            </c:numRef>
          </c:val>
        </c:ser>
        <c:dLbls>
          <c:showLegendKey val="0"/>
          <c:showVal val="0"/>
          <c:showCatName val="0"/>
          <c:showSerName val="0"/>
          <c:showPercent val="0"/>
          <c:showBubbleSize val="0"/>
          <c:showLeaderLines val="1"/>
        </c:dLbls>
      </c:pie3DChart>
      <c:spPr>
        <a:noFill/>
        <a:ln w="25326">
          <a:noFill/>
        </a:ln>
      </c:spPr>
    </c:plotArea>
    <c:plotVisOnly val="1"/>
    <c:dispBlanksAs val="zero"/>
    <c:showDLblsOverMax val="0"/>
  </c:chart>
  <c:spPr>
    <a:gradFill rotWithShape="0">
      <a:gsLst>
        <a:gs pos="0">
          <a:srgbClr xmlns:mc="http://schemas.openxmlformats.org/markup-compatibility/2006" xmlns:a14="http://schemas.microsoft.com/office/drawing/2010/main" val="339966" mc:Ignorable="a14" a14:legacySpreadsheetColorIndex="57"/>
        </a:gs>
        <a:gs pos="5000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339966" mc:Ignorable="a14" a14:legacySpreadsheetColorIndex="57"/>
        </a:gs>
      </a:gsLst>
      <a:lin ang="18900000" scaled="1"/>
    </a:gradFill>
    <a:ln>
      <a:noFill/>
    </a:ln>
  </c:spPr>
  <c:txPr>
    <a:bodyPr/>
    <a:lstStyle/>
    <a:p>
      <a:pPr>
        <a:defRPr sz="947" b="1" i="0" u="none" strike="noStrike" baseline="0">
          <a:solidFill>
            <a:srgbClr val="000000"/>
          </a:solidFill>
          <a:latin typeface="Arial"/>
          <a:ea typeface="Arial"/>
          <a:cs typeface="Arial"/>
        </a:defRPr>
      </a:pPr>
      <a:endParaRPr lang="lt-L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8000"/>
                </a:solidFill>
                <a:latin typeface="Times New Roman"/>
                <a:ea typeface="Times New Roman"/>
                <a:cs typeface="Times New Roman"/>
              </a:defRPr>
            </a:pPr>
            <a:r>
              <a:t>Nusikalstamos veikos, susijusios su narkotikų disponavimu ir platinimu</a:t>
            </a:r>
          </a:p>
        </c:rich>
      </c:tx>
      <c:layout>
        <c:manualLayout>
          <c:xMode val="edge"/>
          <c:yMode val="edge"/>
          <c:x val="0.12844036697247707"/>
          <c:y val="1.8726591760299626E-2"/>
        </c:manualLayout>
      </c:layout>
      <c:overlay val="0"/>
      <c:spPr>
        <a:noFill/>
        <a:ln w="25404">
          <a:noFill/>
        </a:ln>
      </c:spPr>
    </c:title>
    <c:autoTitleDeleted val="0"/>
    <c:plotArea>
      <c:layout>
        <c:manualLayout>
          <c:layoutTarget val="inner"/>
          <c:xMode val="edge"/>
          <c:yMode val="edge"/>
          <c:x val="0.14067278287461774"/>
          <c:y val="0.38951310861423222"/>
          <c:w val="0.80428134556574926"/>
          <c:h val="0.43820224719101125"/>
        </c:manualLayout>
      </c:layout>
      <c:ofPieChart>
        <c:ofPieType val="pie"/>
        <c:varyColors val="1"/>
        <c:ser>
          <c:idx val="0"/>
          <c:order val="0"/>
          <c:tx>
            <c:strRef>
              <c:f>Sheet1!$A$2</c:f>
              <c:strCache>
                <c:ptCount val="1"/>
                <c:pt idx="0">
                  <c:v>sk</c:v>
                </c:pt>
              </c:strCache>
            </c:strRef>
          </c:tx>
          <c:spPr>
            <a:ln w="12702">
              <a:solidFill>
                <a:srgbClr val="000000"/>
              </a:solidFill>
              <a:prstDash val="solid"/>
            </a:ln>
          </c:spPr>
          <c:dPt>
            <c:idx val="0"/>
            <c:bubble3D val="0"/>
            <c:spPr>
              <a:solidFill>
                <a:srgbClr val="339966"/>
              </a:solidFill>
              <a:ln w="12702">
                <a:solidFill>
                  <a:srgbClr val="000000"/>
                </a:solidFill>
                <a:prstDash val="solid"/>
              </a:ln>
            </c:spPr>
          </c:dPt>
          <c:dPt>
            <c:idx val="1"/>
            <c:bubble3D val="0"/>
            <c:spPr>
              <a:solidFill>
                <a:srgbClr val="993366"/>
              </a:solidFill>
              <a:ln w="12702">
                <a:solidFill>
                  <a:srgbClr val="000000"/>
                </a:solidFill>
                <a:prstDash val="solid"/>
              </a:ln>
            </c:spPr>
          </c:dPt>
          <c:dPt>
            <c:idx val="2"/>
            <c:bubble3D val="0"/>
            <c:spPr>
              <a:solidFill>
                <a:srgbClr val="FFFFCC"/>
              </a:solidFill>
              <a:ln w="12702">
                <a:solidFill>
                  <a:srgbClr val="000000"/>
                </a:solidFill>
                <a:prstDash val="solid"/>
              </a:ln>
            </c:spPr>
          </c:dPt>
          <c:dPt>
            <c:idx val="3"/>
            <c:bubble3D val="0"/>
            <c:spPr>
              <a:solidFill>
                <a:srgbClr val="993366"/>
              </a:solidFill>
              <a:ln w="12702">
                <a:solidFill>
                  <a:srgbClr val="000000"/>
                </a:solidFill>
                <a:prstDash val="solid"/>
              </a:ln>
            </c:spPr>
          </c:dPt>
          <c:dPt>
            <c:idx val="4"/>
            <c:bubble3D val="0"/>
            <c:spPr>
              <a:solidFill>
                <a:srgbClr val="FF9900"/>
              </a:solidFill>
              <a:ln w="12702">
                <a:solidFill>
                  <a:srgbClr val="000000"/>
                </a:solidFill>
                <a:prstDash val="solid"/>
              </a:ln>
            </c:spPr>
          </c:dPt>
          <c:dLbls>
            <c:dLbl>
              <c:idx val="0"/>
              <c:layout>
                <c:manualLayout>
                  <c:xMode val="edge"/>
                  <c:yMode val="edge"/>
                  <c:x val="5.1987767584097858E-2"/>
                  <c:y val="0.24344569288389514"/>
                </c:manualLayout>
              </c:layout>
              <c:dLblPos val="bestFit"/>
              <c:showLegendKey val="0"/>
              <c:showVal val="0"/>
              <c:showCatName val="1"/>
              <c:showSerName val="0"/>
              <c:showPercent val="1"/>
              <c:showBubbleSize val="0"/>
            </c:dLbl>
            <c:dLbl>
              <c:idx val="1"/>
              <c:delete val="1"/>
            </c:dLbl>
            <c:dLbl>
              <c:idx val="2"/>
              <c:layout>
                <c:manualLayout>
                  <c:xMode val="edge"/>
                  <c:yMode val="edge"/>
                  <c:x val="0.6330275229357798"/>
                  <c:y val="0.74531835205992514"/>
                </c:manualLayout>
              </c:layout>
              <c:dLblPos val="bestFit"/>
              <c:showLegendKey val="0"/>
              <c:showVal val="0"/>
              <c:showCatName val="1"/>
              <c:showSerName val="0"/>
              <c:showPercent val="1"/>
              <c:showBubbleSize val="0"/>
            </c:dLbl>
            <c:dLbl>
              <c:idx val="3"/>
              <c:delete val="1"/>
            </c:dLbl>
            <c:dLbl>
              <c:idx val="4"/>
              <c:layout>
                <c:manualLayout>
                  <c:xMode val="edge"/>
                  <c:yMode val="edge"/>
                  <c:x val="0.4801223241590214"/>
                  <c:y val="0.44194756554307119"/>
                </c:manualLayout>
              </c:layout>
              <c:tx>
                <c:rich>
                  <a:bodyPr/>
                  <a:lstStyle/>
                  <a:p>
                    <a:pPr>
                      <a:defRPr sz="1000" b="1" i="0" u="none" strike="noStrike" baseline="0">
                        <a:solidFill>
                          <a:srgbClr val="000000"/>
                        </a:solidFill>
                        <a:latin typeface="Times New Roman"/>
                        <a:ea typeface="Times New Roman"/>
                        <a:cs typeface="Times New Roman"/>
                      </a:defRPr>
                    </a:pPr>
                    <a:r>
                      <a:t>platinimas
55%</a:t>
                    </a:r>
                  </a:p>
                </c:rich>
              </c:tx>
              <c:spPr>
                <a:noFill/>
                <a:ln w="25404">
                  <a:noFill/>
                </a:ln>
              </c:spPr>
              <c:dLblPos val="bestFit"/>
              <c:showLegendKey val="0"/>
              <c:showVal val="0"/>
              <c:showCatName val="0"/>
              <c:showSerName val="0"/>
              <c:showPercent val="0"/>
              <c:showBubbleSize val="0"/>
            </c:dLbl>
            <c:numFmt formatCode="0%" sourceLinked="0"/>
            <c:spPr>
              <a:noFill/>
              <a:ln w="25404">
                <a:noFill/>
              </a:ln>
            </c:spPr>
            <c:txPr>
              <a:bodyPr/>
              <a:lstStyle/>
              <a:p>
                <a:pPr>
                  <a:defRPr sz="1000" b="1"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Sheet1!$B$1:$F$1</c:f>
              <c:strCache>
                <c:ptCount val="4"/>
                <c:pt idx="0">
                  <c:v>be tikslo platinti</c:v>
                </c:pt>
                <c:pt idx="1">
                  <c:v>platinimas</c:v>
                </c:pt>
                <c:pt idx="2">
                  <c:v>platinimas didelio kiekio</c:v>
                </c:pt>
                <c:pt idx="3">
                  <c:v>platinimas</c:v>
                </c:pt>
              </c:strCache>
            </c:strRef>
          </c:cat>
          <c:val>
            <c:numRef>
              <c:f>Sheet1!$B$2:$F$2</c:f>
              <c:numCache>
                <c:formatCode>General</c:formatCode>
                <c:ptCount val="4"/>
                <c:pt idx="0">
                  <c:v>808</c:v>
                </c:pt>
                <c:pt idx="2">
                  <c:v>209</c:v>
                </c:pt>
                <c:pt idx="3">
                  <c:v>768</c:v>
                </c:pt>
              </c:numCache>
            </c:numRef>
          </c:val>
        </c:ser>
        <c:dLbls>
          <c:showLegendKey val="0"/>
          <c:showVal val="0"/>
          <c:showCatName val="0"/>
          <c:showSerName val="0"/>
          <c:showPercent val="0"/>
          <c:showBubbleSize val="0"/>
          <c:showLeaderLines val="1"/>
        </c:dLbls>
        <c:gapWidth val="100"/>
        <c:secondPieSize val="75"/>
        <c:serLines>
          <c:spPr>
            <a:ln w="12702">
              <a:solidFill>
                <a:srgbClr val="000000"/>
              </a:solidFill>
              <a:prstDash val="solid"/>
            </a:ln>
          </c:spPr>
        </c:serLines>
      </c:ofPieChart>
      <c:spPr>
        <a:noFill/>
        <a:ln w="25404">
          <a:noFill/>
        </a:ln>
      </c:spPr>
    </c:plotArea>
    <c:plotVisOnly val="1"/>
    <c:dispBlanksAs val="zero"/>
    <c:showDLblsOverMax val="0"/>
  </c:chart>
  <c:spPr>
    <a:gradFill rotWithShape="0">
      <a:gsLst>
        <a:gs pos="0">
          <a:srgbClr xmlns:mc="http://schemas.openxmlformats.org/markup-compatibility/2006" xmlns:a14="http://schemas.microsoft.com/office/drawing/2010/main" val="339966" mc:Ignorable="a14" a14:legacySpreadsheetColorIndex="57"/>
        </a:gs>
        <a:gs pos="5000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339966" mc:Ignorable="a14" a14:legacySpreadsheetColorIndex="57"/>
        </a:gs>
      </a:gsLst>
      <a:lin ang="18900000" scaled="1"/>
    </a:gradFill>
    <a:ln>
      <a:noFill/>
    </a:ln>
  </c:spPr>
  <c:txPr>
    <a:bodyPr/>
    <a:lstStyle/>
    <a:p>
      <a:pPr>
        <a:defRPr sz="1150" b="0" i="0" u="none" strike="noStrike" baseline="0">
          <a:solidFill>
            <a:srgbClr val="000000"/>
          </a:solidFill>
          <a:latin typeface="Arial"/>
          <a:ea typeface="Arial"/>
          <a:cs typeface="Arial"/>
        </a:defRPr>
      </a:pPr>
      <a:endParaRPr lang="lt-L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45" b="1" i="0" u="none" strike="noStrike" baseline="0">
                <a:solidFill>
                  <a:srgbClr val="008000"/>
                </a:solidFill>
                <a:latin typeface="Times New Roman"/>
                <a:ea typeface="Times New Roman"/>
                <a:cs typeface="Times New Roman"/>
              </a:defRPr>
            </a:pPr>
            <a:r>
              <a:t>Nusikalstamų veikų pasiskirstymas šalies didžiuosiuose miestuose 
(procentais)</a:t>
            </a:r>
          </a:p>
        </c:rich>
      </c:tx>
      <c:layout>
        <c:manualLayout>
          <c:xMode val="edge"/>
          <c:yMode val="edge"/>
          <c:x val="0.13547052740434332"/>
          <c:y val="3.3898305084745763E-2"/>
        </c:manualLayout>
      </c:layout>
      <c:overlay val="0"/>
      <c:spPr>
        <a:noFill/>
        <a:ln w="25328">
          <a:noFill/>
        </a:ln>
      </c:spPr>
    </c:title>
    <c:autoTitleDeleted val="0"/>
    <c:plotArea>
      <c:layout>
        <c:manualLayout>
          <c:layoutTarget val="inner"/>
          <c:xMode val="edge"/>
          <c:yMode val="edge"/>
          <c:x val="0.12409513960703206"/>
          <c:y val="0.14915254237288136"/>
          <c:w val="0.77352637021716653"/>
          <c:h val="0.58135593220338988"/>
        </c:manualLayout>
      </c:layout>
      <c:areaChart>
        <c:grouping val="stacked"/>
        <c:varyColors val="0"/>
        <c:ser>
          <c:idx val="1"/>
          <c:order val="0"/>
          <c:tx>
            <c:v>Vilnius</c:v>
          </c:tx>
          <c:spPr>
            <a:solidFill>
              <a:srgbClr val="FF0000"/>
            </a:solidFill>
            <a:ln w="25328">
              <a:solidFill>
                <a:srgbClr val="FF0000"/>
              </a:solidFill>
              <a:prstDash val="solid"/>
            </a:ln>
          </c:spPr>
          <c:dLbls>
            <c:delete val="1"/>
          </c:dLbls>
          <c:cat>
            <c:strRef>
              <c:f>Sheet1!$A$2:$A$7</c:f>
              <c:strCache>
                <c:ptCount val="6"/>
                <c:pt idx="0">
                  <c:v>2000 m,</c:v>
                </c:pt>
                <c:pt idx="1">
                  <c:v>2001 m,</c:v>
                </c:pt>
                <c:pt idx="2">
                  <c:v>2002 m,</c:v>
                </c:pt>
                <c:pt idx="3">
                  <c:v>2003 m,</c:v>
                </c:pt>
                <c:pt idx="4">
                  <c:v>2004 m,</c:v>
                </c:pt>
                <c:pt idx="5">
                  <c:v>2005 m.</c:v>
                </c:pt>
              </c:strCache>
            </c:strRef>
          </c:cat>
          <c:val>
            <c:numRef>
              <c:f>Sheet1!$B$2:$B$7</c:f>
              <c:numCache>
                <c:formatCode>General</c:formatCode>
                <c:ptCount val="6"/>
                <c:pt idx="0">
                  <c:v>40</c:v>
                </c:pt>
                <c:pt idx="1">
                  <c:v>35</c:v>
                </c:pt>
                <c:pt idx="2">
                  <c:v>38</c:v>
                </c:pt>
                <c:pt idx="3">
                  <c:v>30</c:v>
                </c:pt>
                <c:pt idx="4">
                  <c:v>27</c:v>
                </c:pt>
                <c:pt idx="5">
                  <c:v>27</c:v>
                </c:pt>
              </c:numCache>
            </c:numRef>
          </c:val>
        </c:ser>
        <c:ser>
          <c:idx val="4"/>
          <c:order val="1"/>
          <c:tx>
            <c:v>Kaunas</c:v>
          </c:tx>
          <c:spPr>
            <a:solidFill>
              <a:srgbClr val="660066"/>
            </a:solidFill>
            <a:ln w="25328">
              <a:solidFill>
                <a:srgbClr val="800080"/>
              </a:solidFill>
              <a:prstDash val="solid"/>
            </a:ln>
          </c:spPr>
          <c:dLbls>
            <c:delete val="1"/>
          </c:dLbls>
          <c:cat>
            <c:strRef>
              <c:f>Sheet1!$A$2:$A$7</c:f>
              <c:strCache>
                <c:ptCount val="6"/>
                <c:pt idx="0">
                  <c:v>2000 m,</c:v>
                </c:pt>
                <c:pt idx="1">
                  <c:v>2001 m,</c:v>
                </c:pt>
                <c:pt idx="2">
                  <c:v>2002 m,</c:v>
                </c:pt>
                <c:pt idx="3">
                  <c:v>2003 m,</c:v>
                </c:pt>
                <c:pt idx="4">
                  <c:v>2004 m,</c:v>
                </c:pt>
                <c:pt idx="5">
                  <c:v>2005 m.</c:v>
                </c:pt>
              </c:strCache>
            </c:strRef>
          </c:cat>
          <c:val>
            <c:numRef>
              <c:f>Sheet1!$C$2:$C$7</c:f>
              <c:numCache>
                <c:formatCode>General</c:formatCode>
                <c:ptCount val="6"/>
                <c:pt idx="0">
                  <c:v>9</c:v>
                </c:pt>
                <c:pt idx="1">
                  <c:v>9</c:v>
                </c:pt>
                <c:pt idx="2">
                  <c:v>12</c:v>
                </c:pt>
                <c:pt idx="3">
                  <c:v>10</c:v>
                </c:pt>
                <c:pt idx="4">
                  <c:v>12</c:v>
                </c:pt>
                <c:pt idx="5">
                  <c:v>10</c:v>
                </c:pt>
              </c:numCache>
            </c:numRef>
          </c:val>
        </c:ser>
        <c:ser>
          <c:idx val="0"/>
          <c:order val="2"/>
          <c:tx>
            <c:v>Klaipėda</c:v>
          </c:tx>
          <c:spPr>
            <a:solidFill>
              <a:srgbClr val="9999FF"/>
            </a:solidFill>
            <a:ln w="25328">
              <a:solidFill>
                <a:srgbClr val="000080"/>
              </a:solidFill>
              <a:prstDash val="solid"/>
            </a:ln>
          </c:spPr>
          <c:dLbls>
            <c:delete val="1"/>
          </c:dLbls>
          <c:cat>
            <c:strRef>
              <c:f>Sheet1!$A$2:$A$7</c:f>
              <c:strCache>
                <c:ptCount val="6"/>
                <c:pt idx="0">
                  <c:v>2000 m,</c:v>
                </c:pt>
                <c:pt idx="1">
                  <c:v>2001 m,</c:v>
                </c:pt>
                <c:pt idx="2">
                  <c:v>2002 m,</c:v>
                </c:pt>
                <c:pt idx="3">
                  <c:v>2003 m,</c:v>
                </c:pt>
                <c:pt idx="4">
                  <c:v>2004 m,</c:v>
                </c:pt>
                <c:pt idx="5">
                  <c:v>2005 m.</c:v>
                </c:pt>
              </c:strCache>
            </c:strRef>
          </c:cat>
          <c:val>
            <c:numRef>
              <c:f>Sheet1!$D$2:$D$7</c:f>
              <c:numCache>
                <c:formatCode>General</c:formatCode>
                <c:ptCount val="6"/>
                <c:pt idx="0">
                  <c:v>12</c:v>
                </c:pt>
                <c:pt idx="1">
                  <c:v>16</c:v>
                </c:pt>
                <c:pt idx="2">
                  <c:v>18</c:v>
                </c:pt>
                <c:pt idx="3">
                  <c:v>9</c:v>
                </c:pt>
                <c:pt idx="4">
                  <c:v>9</c:v>
                </c:pt>
                <c:pt idx="5">
                  <c:v>11</c:v>
                </c:pt>
              </c:numCache>
            </c:numRef>
          </c:val>
        </c:ser>
        <c:ser>
          <c:idx val="2"/>
          <c:order val="3"/>
          <c:tx>
            <c:v>Šiauliai</c:v>
          </c:tx>
          <c:spPr>
            <a:solidFill>
              <a:srgbClr val="FFFF00"/>
            </a:solidFill>
            <a:ln w="25328">
              <a:solidFill>
                <a:srgbClr val="FFFF00"/>
              </a:solidFill>
              <a:prstDash val="solid"/>
            </a:ln>
          </c:spPr>
          <c:dLbls>
            <c:delete val="1"/>
          </c:dLbls>
          <c:cat>
            <c:strRef>
              <c:f>Sheet1!$A$2:$A$7</c:f>
              <c:strCache>
                <c:ptCount val="6"/>
                <c:pt idx="0">
                  <c:v>2000 m,</c:v>
                </c:pt>
                <c:pt idx="1">
                  <c:v>2001 m,</c:v>
                </c:pt>
                <c:pt idx="2">
                  <c:v>2002 m,</c:v>
                </c:pt>
                <c:pt idx="3">
                  <c:v>2003 m,</c:v>
                </c:pt>
                <c:pt idx="4">
                  <c:v>2004 m,</c:v>
                </c:pt>
                <c:pt idx="5">
                  <c:v>2005 m.</c:v>
                </c:pt>
              </c:strCache>
            </c:strRef>
          </c:cat>
          <c:val>
            <c:numRef>
              <c:f>Sheet1!$E$2:$E$7</c:f>
              <c:numCache>
                <c:formatCode>General</c:formatCode>
                <c:ptCount val="6"/>
                <c:pt idx="0">
                  <c:v>6</c:v>
                </c:pt>
                <c:pt idx="1">
                  <c:v>4</c:v>
                </c:pt>
                <c:pt idx="2">
                  <c:v>4</c:v>
                </c:pt>
                <c:pt idx="3">
                  <c:v>4</c:v>
                </c:pt>
                <c:pt idx="4">
                  <c:v>2</c:v>
                </c:pt>
                <c:pt idx="5">
                  <c:v>3</c:v>
                </c:pt>
              </c:numCache>
            </c:numRef>
          </c:val>
        </c:ser>
        <c:ser>
          <c:idx val="3"/>
          <c:order val="4"/>
          <c:tx>
            <c:v>Panevėžys</c:v>
          </c:tx>
          <c:spPr>
            <a:solidFill>
              <a:srgbClr val="339966"/>
            </a:solidFill>
            <a:ln w="25328">
              <a:solidFill>
                <a:srgbClr val="339966"/>
              </a:solidFill>
              <a:prstDash val="solid"/>
            </a:ln>
          </c:spPr>
          <c:dLbls>
            <c:delete val="1"/>
          </c:dLbls>
          <c:cat>
            <c:strRef>
              <c:f>Sheet1!$A$2:$A$7</c:f>
              <c:strCache>
                <c:ptCount val="6"/>
                <c:pt idx="0">
                  <c:v>2000 m,</c:v>
                </c:pt>
                <c:pt idx="1">
                  <c:v>2001 m,</c:v>
                </c:pt>
                <c:pt idx="2">
                  <c:v>2002 m,</c:v>
                </c:pt>
                <c:pt idx="3">
                  <c:v>2003 m,</c:v>
                </c:pt>
                <c:pt idx="4">
                  <c:v>2004 m,</c:v>
                </c:pt>
                <c:pt idx="5">
                  <c:v>2005 m.</c:v>
                </c:pt>
              </c:strCache>
            </c:strRef>
          </c:cat>
          <c:val>
            <c:numRef>
              <c:f>Sheet1!$F$2:$F$7</c:f>
              <c:numCache>
                <c:formatCode>General</c:formatCode>
                <c:ptCount val="6"/>
                <c:pt idx="0">
                  <c:v>3</c:v>
                </c:pt>
                <c:pt idx="1">
                  <c:v>4</c:v>
                </c:pt>
                <c:pt idx="2">
                  <c:v>6</c:v>
                </c:pt>
                <c:pt idx="3">
                  <c:v>7</c:v>
                </c:pt>
                <c:pt idx="4">
                  <c:v>2</c:v>
                </c:pt>
                <c:pt idx="5">
                  <c:v>3</c:v>
                </c:pt>
              </c:numCache>
            </c:numRef>
          </c:val>
        </c:ser>
        <c:dLbls>
          <c:showLegendKey val="0"/>
          <c:showVal val="1"/>
          <c:showCatName val="0"/>
          <c:showSerName val="0"/>
          <c:showPercent val="0"/>
          <c:showBubbleSize val="0"/>
        </c:dLbls>
        <c:axId val="67425024"/>
        <c:axId val="67426560"/>
      </c:areaChart>
      <c:catAx>
        <c:axId val="67425024"/>
        <c:scaling>
          <c:orientation val="minMax"/>
        </c:scaling>
        <c:delete val="0"/>
        <c:axPos val="b"/>
        <c:numFmt formatCode="General" sourceLinked="1"/>
        <c:majorTickMark val="out"/>
        <c:minorTickMark val="none"/>
        <c:tickLblPos val="nextTo"/>
        <c:spPr>
          <a:ln w="3166">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lt-LT"/>
          </a:p>
        </c:txPr>
        <c:crossAx val="67426560"/>
        <c:crosses val="autoZero"/>
        <c:auto val="0"/>
        <c:lblAlgn val="ctr"/>
        <c:lblOffset val="100"/>
        <c:tickLblSkip val="1"/>
        <c:tickMarkSkip val="1"/>
        <c:noMultiLvlLbl val="0"/>
      </c:catAx>
      <c:valAx>
        <c:axId val="67426560"/>
        <c:scaling>
          <c:orientation val="minMax"/>
          <c:max val="80"/>
        </c:scaling>
        <c:delete val="0"/>
        <c:axPos val="l"/>
        <c:majorGridlines>
          <c:spPr>
            <a:ln w="3166">
              <a:solidFill>
                <a:srgbClr val="000000"/>
              </a:solidFill>
              <a:prstDash val="solid"/>
            </a:ln>
          </c:spPr>
        </c:majorGridlines>
        <c:title>
          <c:tx>
            <c:rich>
              <a:bodyPr/>
              <a:lstStyle/>
              <a:p>
                <a:pPr>
                  <a:defRPr sz="997" b="0" i="0" u="none" strike="noStrike" baseline="0">
                    <a:solidFill>
                      <a:srgbClr val="000000"/>
                    </a:solidFill>
                    <a:latin typeface="Arial"/>
                    <a:ea typeface="Arial"/>
                    <a:cs typeface="Arial"/>
                  </a:defRPr>
                </a:pPr>
                <a:r>
                  <a:t>procentai</a:t>
                </a:r>
              </a:p>
            </c:rich>
          </c:tx>
          <c:layout>
            <c:manualLayout>
              <c:xMode val="edge"/>
              <c:yMode val="edge"/>
              <c:x val="1.2409513960703205E-2"/>
              <c:y val="0.38983050847457629"/>
            </c:manualLayout>
          </c:layout>
          <c:overlay val="0"/>
          <c:spPr>
            <a:noFill/>
            <a:ln w="25328">
              <a:noFill/>
            </a:ln>
          </c:spPr>
        </c:title>
        <c:numFmt formatCode="General" sourceLinked="1"/>
        <c:majorTickMark val="out"/>
        <c:minorTickMark val="none"/>
        <c:tickLblPos val="nextTo"/>
        <c:spPr>
          <a:ln w="3166">
            <a:solidFill>
              <a:srgbClr val="000000"/>
            </a:solidFill>
            <a:prstDash val="solid"/>
          </a:ln>
        </c:spPr>
        <c:txPr>
          <a:bodyPr rot="0" vert="horz"/>
          <a:lstStyle/>
          <a:p>
            <a:pPr>
              <a:defRPr sz="997" b="0" i="0" u="none" strike="noStrike" baseline="0">
                <a:solidFill>
                  <a:srgbClr val="000000"/>
                </a:solidFill>
                <a:latin typeface="Arial"/>
                <a:ea typeface="Arial"/>
                <a:cs typeface="Arial"/>
              </a:defRPr>
            </a:pPr>
            <a:endParaRPr lang="lt-LT"/>
          </a:p>
        </c:txPr>
        <c:crossAx val="67425024"/>
        <c:crossesAt val="1"/>
        <c:crossBetween val="midCat"/>
        <c:majorUnit val="20"/>
      </c:valAx>
      <c:dTable>
        <c:showHorzBorder val="1"/>
        <c:showVertBorder val="1"/>
        <c:showOutline val="1"/>
        <c:showKeys val="1"/>
        <c:spPr>
          <a:ln w="3166">
            <a:solidFill>
              <a:srgbClr val="000000"/>
            </a:solidFill>
            <a:prstDash val="solid"/>
          </a:ln>
        </c:spPr>
        <c:txPr>
          <a:bodyPr/>
          <a:lstStyle/>
          <a:p>
            <a:pPr>
              <a:defRPr sz="997" b="0" i="0" u="none" strike="noStrike" baseline="0">
                <a:solidFill>
                  <a:srgbClr val="000000"/>
                </a:solidFill>
                <a:latin typeface="Arial"/>
                <a:ea typeface="Arial"/>
                <a:cs typeface="Arial"/>
              </a:defRPr>
            </a:pPr>
            <a:endParaRPr lang="lt-LT"/>
          </a:p>
        </c:txPr>
      </c:dTable>
      <c:spPr>
        <a:solidFill>
          <a:srgbClr val="FFFFFF"/>
        </a:solidFill>
        <a:ln w="25328">
          <a:noFill/>
        </a:ln>
      </c:spPr>
    </c:plotArea>
    <c:plotVisOnly val="1"/>
    <c:dispBlanksAs val="zero"/>
    <c:showDLblsOverMax val="0"/>
  </c:chart>
  <c:spPr>
    <a:noFill/>
    <a:ln>
      <a:noFill/>
    </a:ln>
  </c:spPr>
  <c:txPr>
    <a:bodyPr/>
    <a:lstStyle/>
    <a:p>
      <a:pPr>
        <a:defRPr sz="997" b="0" i="0" u="none" strike="noStrike" baseline="0">
          <a:solidFill>
            <a:srgbClr val="000000"/>
          </a:solidFill>
          <a:latin typeface="Arial"/>
          <a:ea typeface="Arial"/>
          <a:cs typeface="Arial"/>
        </a:defRPr>
      </a:pPr>
      <a:endParaRPr lang="lt-LT"/>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5" b="1" i="0" u="none" strike="noStrike" baseline="0">
                <a:solidFill>
                  <a:srgbClr val="008000"/>
                </a:solidFill>
                <a:latin typeface="Times New Roman"/>
                <a:ea typeface="Times New Roman"/>
                <a:cs typeface="Times New Roman"/>
              </a:defRPr>
            </a:pPr>
            <a:r>
              <a:rPr lang="lt-LT" sz="1000" b="1" i="0" u="none" strike="noStrike" baseline="0">
                <a:solidFill>
                  <a:srgbClr val="000000"/>
                </a:solidFill>
                <a:latin typeface="Arial"/>
                <a:cs typeface="Arial"/>
              </a:rPr>
              <a:t>N</a:t>
            </a:r>
            <a:r>
              <a:rPr lang="lt-LT" sz="800" b="1" i="0" u="none" strike="noStrike" baseline="0">
                <a:solidFill>
                  <a:srgbClr val="000000"/>
                </a:solidFill>
                <a:latin typeface="Arial"/>
                <a:cs typeface="Arial"/>
              </a:rPr>
              <a:t>usikalstamas veikas, susijusias su neteisėta narkotikų apyvarta, padariusių asmenų amžius</a:t>
            </a:r>
            <a:endParaRPr lang="lt-LT"/>
          </a:p>
        </c:rich>
      </c:tx>
      <c:layout>
        <c:manualLayout>
          <c:xMode val="edge"/>
          <c:yMode val="edge"/>
          <c:x val="0.15263157894736842"/>
          <c:y val="1.6E-2"/>
        </c:manualLayout>
      </c:layout>
      <c:overlay val="0"/>
      <c:spPr>
        <a:noFill/>
        <a:ln w="25395">
          <a:noFill/>
        </a:ln>
      </c:spPr>
    </c:title>
    <c:autoTitleDeleted val="0"/>
    <c:plotArea>
      <c:layout>
        <c:manualLayout>
          <c:layoutTarget val="inner"/>
          <c:xMode val="edge"/>
          <c:yMode val="edge"/>
          <c:x val="0.19210526315789472"/>
          <c:y val="0.312"/>
          <c:w val="0.68157894736842106"/>
          <c:h val="0.46"/>
        </c:manualLayout>
      </c:layout>
      <c:ofPieChart>
        <c:ofPieType val="pie"/>
        <c:varyColors val="1"/>
        <c:ser>
          <c:idx val="0"/>
          <c:order val="0"/>
          <c:tx>
            <c:strRef>
              <c:f>Sheet1!$A$2</c:f>
              <c:strCache>
                <c:ptCount val="1"/>
              </c:strCache>
            </c:strRef>
          </c:tx>
          <c:spPr>
            <a:ln w="12698">
              <a:solidFill>
                <a:srgbClr val="000000"/>
              </a:solidFill>
              <a:prstDash val="solid"/>
            </a:ln>
          </c:spPr>
          <c:dPt>
            <c:idx val="0"/>
            <c:bubble3D val="0"/>
            <c:spPr>
              <a:solidFill>
                <a:srgbClr val="9999FF"/>
              </a:solidFill>
              <a:ln w="12698">
                <a:solidFill>
                  <a:srgbClr val="000000"/>
                </a:solidFill>
                <a:prstDash val="solid"/>
              </a:ln>
            </c:spPr>
          </c:dPt>
          <c:dPt>
            <c:idx val="1"/>
            <c:bubble3D val="0"/>
            <c:spPr>
              <a:solidFill>
                <a:srgbClr val="993366"/>
              </a:solidFill>
              <a:ln w="12698">
                <a:solidFill>
                  <a:srgbClr val="000000"/>
                </a:solidFill>
                <a:prstDash val="solid"/>
              </a:ln>
            </c:spPr>
          </c:dPt>
          <c:dPt>
            <c:idx val="2"/>
            <c:bubble3D val="0"/>
            <c:spPr>
              <a:solidFill>
                <a:srgbClr val="FFFFCC"/>
              </a:solidFill>
              <a:ln w="12698">
                <a:solidFill>
                  <a:srgbClr val="000000"/>
                </a:solidFill>
                <a:prstDash val="solid"/>
              </a:ln>
            </c:spPr>
          </c:dPt>
          <c:dPt>
            <c:idx val="3"/>
            <c:bubble3D val="0"/>
            <c:spPr>
              <a:solidFill>
                <a:srgbClr val="CCFFFF"/>
              </a:solidFill>
              <a:ln w="12698">
                <a:solidFill>
                  <a:srgbClr val="000000"/>
                </a:solidFill>
                <a:prstDash val="solid"/>
              </a:ln>
            </c:spPr>
          </c:dPt>
          <c:dPt>
            <c:idx val="4"/>
            <c:bubble3D val="0"/>
            <c:spPr>
              <a:solidFill>
                <a:srgbClr val="660066"/>
              </a:solidFill>
              <a:ln w="12698">
                <a:solidFill>
                  <a:srgbClr val="000000"/>
                </a:solidFill>
                <a:prstDash val="solid"/>
              </a:ln>
            </c:spPr>
          </c:dPt>
          <c:dPt>
            <c:idx val="5"/>
            <c:bubble3D val="0"/>
            <c:spPr>
              <a:solidFill>
                <a:srgbClr val="FF8080"/>
              </a:solidFill>
              <a:ln w="12698">
                <a:solidFill>
                  <a:srgbClr val="000000"/>
                </a:solidFill>
                <a:prstDash val="solid"/>
              </a:ln>
            </c:spPr>
          </c:dPt>
          <c:dPt>
            <c:idx val="6"/>
            <c:bubble3D val="0"/>
            <c:spPr>
              <a:solidFill>
                <a:srgbClr val="0066CC"/>
              </a:solidFill>
              <a:ln w="12698">
                <a:solidFill>
                  <a:srgbClr val="000000"/>
                </a:solidFill>
                <a:prstDash val="solid"/>
              </a:ln>
            </c:spPr>
          </c:dPt>
          <c:dPt>
            <c:idx val="7"/>
            <c:bubble3D val="0"/>
            <c:spPr>
              <a:solidFill>
                <a:srgbClr val="CCCCFF"/>
              </a:solidFill>
              <a:ln w="12698">
                <a:solidFill>
                  <a:srgbClr val="000000"/>
                </a:solidFill>
                <a:prstDash val="solid"/>
              </a:ln>
            </c:spPr>
          </c:dPt>
          <c:dLbls>
            <c:dLbl>
              <c:idx val="0"/>
              <c:layout>
                <c:manualLayout>
                  <c:x val="5.6849690632122321E-2"/>
                  <c:y val="0.1566226529376136"/>
                </c:manualLayout>
              </c:layout>
              <c:dLblPos val="bestFit"/>
              <c:showLegendKey val="0"/>
              <c:showVal val="0"/>
              <c:showCatName val="1"/>
              <c:showSerName val="0"/>
              <c:showPercent val="1"/>
              <c:showBubbleSize val="0"/>
            </c:dLbl>
            <c:dLbl>
              <c:idx val="1"/>
              <c:layout>
                <c:manualLayout>
                  <c:x val="-1.4044411328379356E-2"/>
                  <c:y val="0.17339269129820309"/>
                </c:manualLayout>
              </c:layout>
              <c:dLblPos val="bestFit"/>
              <c:showLegendKey val="0"/>
              <c:showVal val="0"/>
              <c:showCatName val="1"/>
              <c:showSerName val="0"/>
              <c:showPercent val="1"/>
              <c:showBubbleSize val="0"/>
            </c:dLbl>
            <c:dLbl>
              <c:idx val="2"/>
              <c:layout>
                <c:manualLayout>
                  <c:x val="-5.3003191366458126E-2"/>
                  <c:y val="8.5697557036139588E-3"/>
                </c:manualLayout>
              </c:layout>
              <c:tx>
                <c:rich>
                  <a:bodyPr/>
                  <a:lstStyle/>
                  <a:p>
                    <a:pPr>
                      <a:defRPr sz="800" b="1" i="0" u="none" strike="noStrike" baseline="0">
                        <a:solidFill>
                          <a:srgbClr val="000000"/>
                        </a:solidFill>
                        <a:latin typeface="Arial"/>
                        <a:ea typeface="Arial"/>
                        <a:cs typeface="Arial"/>
                      </a:defRPr>
                    </a:pPr>
                    <a:r>
                      <a:rPr lang="lt-LT"/>
                      <a:t>60 metų ir daugiau
1%</a:t>
                    </a:r>
                  </a:p>
                </c:rich>
              </c:tx>
              <c:spPr>
                <a:noFill/>
                <a:ln w="25395">
                  <a:noFill/>
                </a:ln>
              </c:spPr>
              <c:dLblPos val="bestFit"/>
              <c:showLegendKey val="0"/>
              <c:showVal val="0"/>
              <c:showCatName val="0"/>
              <c:showSerName val="0"/>
              <c:showPercent val="0"/>
              <c:showBubbleSize val="0"/>
            </c:dLbl>
            <c:dLbl>
              <c:idx val="3"/>
              <c:layout>
                <c:manualLayout>
                  <c:x val="2.8800610786486505E-2"/>
                  <c:y val="3.3318796688875434E-2"/>
                </c:manualLayout>
              </c:layout>
              <c:dLblPos val="bestFit"/>
              <c:showLegendKey val="0"/>
              <c:showVal val="0"/>
              <c:showCatName val="1"/>
              <c:showSerName val="0"/>
              <c:showPercent val="1"/>
              <c:showBubbleSize val="0"/>
            </c:dLbl>
            <c:dLbl>
              <c:idx val="4"/>
              <c:layout>
                <c:manualLayout>
                  <c:x val="3.7291500394460317E-2"/>
                  <c:y val="-4.7185544114677978E-2"/>
                </c:manualLayout>
              </c:layout>
              <c:dLblPos val="bestFit"/>
              <c:showLegendKey val="0"/>
              <c:showVal val="0"/>
              <c:showCatName val="1"/>
              <c:showSerName val="0"/>
              <c:showPercent val="1"/>
              <c:showBubbleSize val="0"/>
            </c:dLbl>
            <c:dLbl>
              <c:idx val="5"/>
              <c:layout>
                <c:manualLayout>
                  <c:x val="-3.4350383985014388E-2"/>
                  <c:y val="-0.11393418130426002"/>
                </c:manualLayout>
              </c:layout>
              <c:dLblPos val="bestFit"/>
              <c:showLegendKey val="0"/>
              <c:showVal val="0"/>
              <c:showCatName val="1"/>
              <c:showSerName val="0"/>
              <c:showPercent val="1"/>
              <c:showBubbleSize val="0"/>
            </c:dLbl>
            <c:dLbl>
              <c:idx val="6"/>
              <c:layout>
                <c:manualLayout>
                  <c:x val="0.10675047315814559"/>
                  <c:y val="-8.7373309105592632E-3"/>
                </c:manualLayout>
              </c:layout>
              <c:dLblPos val="bestFit"/>
              <c:showLegendKey val="0"/>
              <c:showVal val="0"/>
              <c:showCatName val="1"/>
              <c:showSerName val="0"/>
              <c:showPercent val="1"/>
              <c:showBubbleSize val="0"/>
            </c:dLbl>
            <c:dLbl>
              <c:idx val="7"/>
              <c:layout>
                <c:manualLayout>
                  <c:x val="-0.1560852712767479"/>
                  <c:y val="-3.9741570765193185E-3"/>
                </c:manualLayout>
              </c:layout>
              <c:tx>
                <c:rich>
                  <a:bodyPr rot="-5400000" vert="horz"/>
                  <a:lstStyle/>
                  <a:p>
                    <a:pPr algn="ctr">
                      <a:defRPr sz="800" b="1" i="0" u="none" strike="noStrike" baseline="0">
                        <a:solidFill>
                          <a:srgbClr val="000000"/>
                        </a:solidFill>
                        <a:latin typeface="Arial"/>
                        <a:ea typeface="Arial"/>
                        <a:cs typeface="Arial"/>
                      </a:defRPr>
                    </a:pPr>
                    <a:r>
                      <a:rPr lang="lt-LT"/>
                      <a:t>Jaunimas
63%</a:t>
                    </a:r>
                  </a:p>
                </c:rich>
              </c:tx>
              <c:spPr>
                <a:noFill/>
                <a:ln w="25395">
                  <a:noFill/>
                </a:ln>
              </c:spPr>
              <c:dLblPos val="bestFit"/>
              <c:showLegendKey val="0"/>
              <c:showVal val="0"/>
              <c:showCatName val="0"/>
              <c:showSerName val="0"/>
              <c:showPercent val="0"/>
              <c:showBubbleSize val="0"/>
            </c:dLbl>
            <c:numFmt formatCode="0%" sourceLinked="0"/>
            <c:spPr>
              <a:noFill/>
              <a:ln w="25395">
                <a:noFill/>
              </a:ln>
            </c:spPr>
            <c:txPr>
              <a:bodyPr/>
              <a:lstStyle/>
              <a:p>
                <a:pPr>
                  <a:defRPr sz="800" b="1" i="0" u="none" strike="noStrike" baseline="0">
                    <a:solidFill>
                      <a:srgbClr val="000000"/>
                    </a:solidFill>
                    <a:latin typeface="Arial"/>
                    <a:ea typeface="Arial"/>
                    <a:cs typeface="Arial"/>
                  </a:defRPr>
                </a:pPr>
                <a:endParaRPr lang="lt-LT"/>
              </a:p>
            </c:txPr>
            <c:showLegendKey val="0"/>
            <c:showVal val="0"/>
            <c:showCatName val="1"/>
            <c:showSerName val="0"/>
            <c:showPercent val="1"/>
            <c:showBubbleSize val="0"/>
            <c:showLeaderLines val="1"/>
          </c:dLbls>
          <c:cat>
            <c:strRef>
              <c:f>Sheet1!$B$1:$I$1</c:f>
              <c:strCache>
                <c:ptCount val="7"/>
                <c:pt idx="0">
                  <c:v>30-39 metų</c:v>
                </c:pt>
                <c:pt idx="1">
                  <c:v>40-56 metų </c:v>
                </c:pt>
                <c:pt idx="2">
                  <c:v>60 m. ir daugiau</c:v>
                </c:pt>
                <c:pt idx="3">
                  <c:v>18-20 metų</c:v>
                </c:pt>
                <c:pt idx="4">
                  <c:v>21-24 metų</c:v>
                </c:pt>
                <c:pt idx="5">
                  <c:v>25-29 metų</c:v>
                </c:pt>
                <c:pt idx="6">
                  <c:v> iki 18 metų</c:v>
                </c:pt>
              </c:strCache>
            </c:strRef>
          </c:cat>
          <c:val>
            <c:numRef>
              <c:f>Sheet1!$B$2:$I$2</c:f>
              <c:numCache>
                <c:formatCode>General</c:formatCode>
                <c:ptCount val="7"/>
                <c:pt idx="0">
                  <c:v>258</c:v>
                </c:pt>
                <c:pt idx="1">
                  <c:v>104</c:v>
                </c:pt>
                <c:pt idx="2">
                  <c:v>12</c:v>
                </c:pt>
                <c:pt idx="3">
                  <c:v>173</c:v>
                </c:pt>
                <c:pt idx="4">
                  <c:v>224</c:v>
                </c:pt>
                <c:pt idx="5">
                  <c:v>194</c:v>
                </c:pt>
                <c:pt idx="6">
                  <c:v>46</c:v>
                </c:pt>
              </c:numCache>
            </c:numRef>
          </c:val>
        </c:ser>
        <c:dLbls>
          <c:showLegendKey val="0"/>
          <c:showVal val="0"/>
          <c:showCatName val="0"/>
          <c:showSerName val="0"/>
          <c:showPercent val="0"/>
          <c:showBubbleSize val="0"/>
          <c:showLeaderLines val="1"/>
        </c:dLbls>
        <c:gapWidth val="100"/>
        <c:splitType val="pos"/>
        <c:splitPos val="4"/>
        <c:secondPieSize val="75"/>
        <c:serLines>
          <c:spPr>
            <a:ln w="12698">
              <a:solidFill>
                <a:srgbClr val="000000"/>
              </a:solidFill>
              <a:prstDash val="solid"/>
            </a:ln>
          </c:spPr>
        </c:serLines>
      </c:ofPieChart>
      <c:spPr>
        <a:noFill/>
        <a:ln w="25395">
          <a:noFill/>
        </a:ln>
      </c:spPr>
    </c:plotArea>
    <c:plotVisOnly val="1"/>
    <c:dispBlanksAs val="zero"/>
    <c:showDLblsOverMax val="0"/>
  </c:chart>
  <c:spPr>
    <a:gradFill rotWithShape="0">
      <a:gsLst>
        <a:gs pos="0">
          <a:srgbClr xmlns:mc="http://schemas.openxmlformats.org/markup-compatibility/2006" xmlns:a14="http://schemas.microsoft.com/office/drawing/2010/main" val="339966" mc:Ignorable="a14" a14:legacySpreadsheetColorIndex="57"/>
        </a:gs>
        <a:gs pos="5000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339966" mc:Ignorable="a14" a14:legacySpreadsheetColorIndex="57"/>
        </a:gs>
      </a:gsLst>
      <a:lin ang="18900000" scaled="1"/>
    </a:gradFill>
    <a:ln>
      <a:noFill/>
    </a:ln>
  </c:spPr>
  <c:txPr>
    <a:bodyPr/>
    <a:lstStyle/>
    <a:p>
      <a:pPr>
        <a:defRPr sz="1100" b="1" i="0" u="none" strike="noStrike" baseline="0">
          <a:solidFill>
            <a:srgbClr val="000000"/>
          </a:solidFill>
          <a:latin typeface="Arial"/>
          <a:ea typeface="Arial"/>
          <a:cs typeface="Arial"/>
        </a:defRPr>
      </a:pPr>
      <a:endParaRPr lang="lt-LT"/>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8000"/>
                </a:solidFill>
                <a:latin typeface="Times New Roman"/>
                <a:ea typeface="Times New Roman"/>
                <a:cs typeface="Times New Roman"/>
              </a:defRPr>
            </a:pPr>
            <a:r>
              <a:rPr lang="lt-LT" sz="1000" b="1" i="0" u="none" strike="noStrike" baseline="0">
                <a:solidFill>
                  <a:srgbClr val="000000"/>
                </a:solidFill>
                <a:latin typeface="Arial"/>
                <a:cs typeface="Arial"/>
              </a:rPr>
              <a:t>Sulaikymo atvejai 2005 m</a:t>
            </a:r>
            <a:r>
              <a:rPr lang="lt-LT" sz="800" b="1" i="0" u="none" strike="noStrike" baseline="0">
                <a:solidFill>
                  <a:srgbClr val="000000"/>
                </a:solidFill>
                <a:latin typeface="Arial"/>
                <a:cs typeface="Arial"/>
              </a:rPr>
              <a:t>.</a:t>
            </a:r>
            <a:endParaRPr lang="lt-LT"/>
          </a:p>
        </c:rich>
      </c:tx>
      <c:layout>
        <c:manualLayout>
          <c:xMode val="edge"/>
          <c:yMode val="edge"/>
          <c:x val="0.27540106951871657"/>
          <c:y val="1.968503937007874E-2"/>
        </c:manualLayout>
      </c:layout>
      <c:overlay val="0"/>
      <c:spPr>
        <a:noFill/>
        <a:ln w="25393">
          <a:noFill/>
        </a:ln>
      </c:spPr>
    </c:title>
    <c:autoTitleDeleted val="0"/>
    <c:plotArea>
      <c:layout>
        <c:manualLayout>
          <c:layoutTarget val="inner"/>
          <c:xMode val="edge"/>
          <c:yMode val="edge"/>
          <c:x val="0.22727272727272727"/>
          <c:y val="0.33858267716535434"/>
          <c:w val="0.64973262032085566"/>
          <c:h val="0.47244094488188976"/>
        </c:manualLayout>
      </c:layout>
      <c:ofPieChart>
        <c:ofPieType val="pie"/>
        <c:varyColors val="1"/>
        <c:ser>
          <c:idx val="0"/>
          <c:order val="0"/>
          <c:tx>
            <c:strRef>
              <c:f>Sheet1!$A$2</c:f>
              <c:strCache>
                <c:ptCount val="1"/>
              </c:strCache>
            </c:strRef>
          </c:tx>
          <c:spPr>
            <a:solidFill>
              <a:srgbClr val="9999FF"/>
            </a:solidFill>
            <a:ln w="12697">
              <a:solidFill>
                <a:srgbClr val="000000"/>
              </a:solidFill>
              <a:prstDash val="solid"/>
            </a:ln>
          </c:spPr>
          <c:dPt>
            <c:idx val="0"/>
            <c:bubble3D val="0"/>
            <c:spPr>
              <a:solidFill>
                <a:srgbClr val="339966"/>
              </a:solidFill>
              <a:ln w="12697">
                <a:solidFill>
                  <a:srgbClr val="000000"/>
                </a:solidFill>
                <a:prstDash val="solid"/>
              </a:ln>
            </c:spPr>
          </c:dPt>
          <c:dPt>
            <c:idx val="1"/>
            <c:bubble3D val="0"/>
            <c:spPr>
              <a:solidFill>
                <a:srgbClr val="993366"/>
              </a:solidFill>
              <a:ln w="12697">
                <a:solidFill>
                  <a:srgbClr val="000000"/>
                </a:solidFill>
                <a:prstDash val="solid"/>
              </a:ln>
            </c:spPr>
          </c:dPt>
          <c:dPt>
            <c:idx val="2"/>
            <c:bubble3D val="0"/>
            <c:spPr>
              <a:solidFill>
                <a:srgbClr val="FFFFCC"/>
              </a:solidFill>
              <a:ln w="12697">
                <a:solidFill>
                  <a:srgbClr val="000000"/>
                </a:solidFill>
                <a:prstDash val="solid"/>
              </a:ln>
            </c:spPr>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Pt>
            <c:idx val="7"/>
            <c:bubble3D val="0"/>
            <c:spPr>
              <a:solidFill>
                <a:srgbClr val="CCCCFF"/>
              </a:solidFill>
              <a:ln w="12697">
                <a:solidFill>
                  <a:srgbClr val="000000"/>
                </a:solidFill>
                <a:prstDash val="solid"/>
              </a:ln>
            </c:spPr>
          </c:dPt>
          <c:dPt>
            <c:idx val="8"/>
            <c:bubble3D val="0"/>
            <c:spPr>
              <a:solidFill>
                <a:srgbClr val="000080"/>
              </a:solidFill>
              <a:ln w="12697">
                <a:solidFill>
                  <a:srgbClr val="000000"/>
                </a:solidFill>
                <a:prstDash val="solid"/>
              </a:ln>
            </c:spPr>
          </c:dPt>
          <c:dPt>
            <c:idx val="9"/>
            <c:bubble3D val="0"/>
            <c:spPr>
              <a:solidFill>
                <a:srgbClr val="FF00FF"/>
              </a:solidFill>
              <a:ln w="12697">
                <a:solidFill>
                  <a:srgbClr val="000000"/>
                </a:solidFill>
                <a:prstDash val="solid"/>
              </a:ln>
            </c:spPr>
          </c:dPt>
          <c:dPt>
            <c:idx val="10"/>
            <c:bubble3D val="0"/>
            <c:spPr>
              <a:solidFill>
                <a:srgbClr val="FFFF00"/>
              </a:solidFill>
              <a:ln w="12697">
                <a:solidFill>
                  <a:srgbClr val="000000"/>
                </a:solidFill>
                <a:prstDash val="solid"/>
              </a:ln>
            </c:spPr>
          </c:dPt>
          <c:dLbls>
            <c:dLbl>
              <c:idx val="0"/>
              <c:layout>
                <c:manualLayout>
                  <c:x val="0.1315607474199415"/>
                  <c:y val="-4.9828998647896399E-3"/>
                </c:manualLayout>
              </c:layout>
              <c:dLblPos val="bestFit"/>
              <c:showLegendKey val="0"/>
              <c:showVal val="0"/>
              <c:showCatName val="1"/>
              <c:showSerName val="0"/>
              <c:showPercent val="1"/>
              <c:showBubbleSize val="0"/>
            </c:dLbl>
            <c:dLbl>
              <c:idx val="1"/>
              <c:layout>
                <c:manualLayout>
                  <c:x val="5.2831321218537543E-2"/>
                  <c:y val="0.13531496062992121"/>
                </c:manualLayout>
              </c:layout>
              <c:dLblPos val="bestFit"/>
              <c:showLegendKey val="0"/>
              <c:showVal val="0"/>
              <c:showCatName val="1"/>
              <c:showSerName val="0"/>
              <c:showPercent val="1"/>
              <c:showBubbleSize val="0"/>
            </c:dLbl>
            <c:dLbl>
              <c:idx val="2"/>
              <c:layout>
                <c:manualLayout>
                  <c:x val="-4.2875557667591019E-2"/>
                  <c:y val="0.19656088443490016"/>
                </c:manualLayout>
              </c:layout>
              <c:dLblPos val="bestFit"/>
              <c:showLegendKey val="0"/>
              <c:showVal val="0"/>
              <c:showCatName val="1"/>
              <c:showSerName val="0"/>
              <c:showPercent val="1"/>
              <c:showBubbleSize val="0"/>
            </c:dLbl>
            <c:dLbl>
              <c:idx val="3"/>
              <c:layout>
                <c:manualLayout>
                  <c:x val="-0.13849732419811162"/>
                  <c:y val="9.4771733078819684E-2"/>
                </c:manualLayout>
              </c:layout>
              <c:dLblPos val="bestFit"/>
              <c:showLegendKey val="0"/>
              <c:showVal val="0"/>
              <c:showCatName val="1"/>
              <c:showSerName val="0"/>
              <c:showPercent val="1"/>
              <c:showBubbleSize val="0"/>
            </c:dLbl>
            <c:dLbl>
              <c:idx val="4"/>
              <c:layout>
                <c:manualLayout>
                  <c:x val="-4.7372950038999127E-2"/>
                  <c:y val="-3.7182454465919015E-2"/>
                </c:manualLayout>
              </c:layout>
              <c:dLblPos val="bestFit"/>
              <c:showLegendKey val="0"/>
              <c:showVal val="0"/>
              <c:showCatName val="1"/>
              <c:showSerName val="0"/>
              <c:showPercent val="1"/>
              <c:showBubbleSize val="0"/>
            </c:dLbl>
            <c:dLbl>
              <c:idx val="5"/>
              <c:layout>
                <c:manualLayout>
                  <c:x val="-2.4397426257546675E-2"/>
                  <c:y val="-1.3412073490813636E-2"/>
                </c:manualLayout>
              </c:layout>
              <c:dLblPos val="bestFit"/>
              <c:showLegendKey val="0"/>
              <c:showVal val="0"/>
              <c:showCatName val="1"/>
              <c:showSerName val="0"/>
              <c:showPercent val="1"/>
              <c:showBubbleSize val="0"/>
            </c:dLbl>
            <c:dLbl>
              <c:idx val="6"/>
              <c:layout>
                <c:manualLayout>
                  <c:x val="7.7489706834773978E-2"/>
                  <c:y val="-3.4763381849996014E-2"/>
                </c:manualLayout>
              </c:layout>
              <c:dLblPos val="bestFit"/>
              <c:showLegendKey val="0"/>
              <c:showVal val="0"/>
              <c:showCatName val="1"/>
              <c:showSerName val="0"/>
              <c:showPercent val="1"/>
              <c:showBubbleSize val="0"/>
            </c:dLbl>
            <c:dLbl>
              <c:idx val="7"/>
              <c:layout>
                <c:manualLayout>
                  <c:x val="4.3366301137491563E-2"/>
                  <c:y val="2.8083194146186343E-2"/>
                </c:manualLayout>
              </c:layout>
              <c:dLblPos val="bestFit"/>
              <c:showLegendKey val="0"/>
              <c:showVal val="0"/>
              <c:showCatName val="1"/>
              <c:showSerName val="0"/>
              <c:showPercent val="1"/>
              <c:showBubbleSize val="0"/>
            </c:dLbl>
            <c:dLbl>
              <c:idx val="8"/>
              <c:layout>
                <c:manualLayout>
                  <c:x val="0.18445320003448767"/>
                  <c:y val="-7.1946233993478104E-2"/>
                </c:manualLayout>
              </c:layout>
              <c:dLblPos val="bestFit"/>
              <c:showLegendKey val="0"/>
              <c:showVal val="0"/>
              <c:showCatName val="1"/>
              <c:showSerName val="0"/>
              <c:showPercent val="1"/>
              <c:showBubbleSize val="0"/>
            </c:dLbl>
            <c:dLbl>
              <c:idx val="9"/>
              <c:layout>
                <c:manualLayout>
                  <c:x val="-3.9562006620830802E-3"/>
                  <c:y val="0.26139147379304861"/>
                </c:manualLayout>
              </c:layout>
              <c:tx>
                <c:rich>
                  <a:bodyPr/>
                  <a:lstStyle/>
                  <a:p>
                    <a:r>
                      <a:rPr lang="lt-LT"/>
                      <a:t>Amfetaminas
8%</a:t>
                    </a:r>
                  </a:p>
                </c:rich>
              </c:tx>
              <c:dLblPos val="bestFit"/>
              <c:showLegendKey val="0"/>
              <c:showVal val="0"/>
              <c:showCatName val="0"/>
              <c:showSerName val="0"/>
              <c:showPercent val="0"/>
              <c:showBubbleSize val="0"/>
            </c:dLbl>
            <c:dLbl>
              <c:idx val="10"/>
              <c:layout>
                <c:manualLayout>
                  <c:x val="-9.839820824536008E-3"/>
                  <c:y val="-2.7350274397518491E-2"/>
                </c:manualLayout>
              </c:layout>
              <c:tx>
                <c:rich>
                  <a:bodyPr/>
                  <a:lstStyle/>
                  <a:p>
                    <a:pPr>
                      <a:defRPr sz="1000" b="0" i="0" u="none" strike="noStrike" baseline="0">
                        <a:solidFill>
                          <a:srgbClr val="000000"/>
                        </a:solidFill>
                        <a:latin typeface="Times New Roman"/>
                        <a:ea typeface="Times New Roman"/>
                        <a:cs typeface="Times New Roman"/>
                      </a:defRPr>
                    </a:pPr>
                    <a:r>
                      <a:rPr lang="lt-LT"/>
                      <a:t>ATS medžiagos
27 %</a:t>
                    </a:r>
                  </a:p>
                </c:rich>
              </c:tx>
              <c:spPr>
                <a:noFill/>
                <a:ln w="25393">
                  <a:noFill/>
                </a:ln>
              </c:spPr>
              <c:dLblPos val="bestFit"/>
              <c:showLegendKey val="0"/>
              <c:showVal val="0"/>
              <c:showCatName val="0"/>
              <c:showSerName val="0"/>
              <c:showPercent val="0"/>
              <c:showBubbleSize val="0"/>
            </c:dLbl>
            <c:numFmt formatCode="0%" sourceLinked="0"/>
            <c:spPr>
              <a:noFill/>
              <a:ln w="25393">
                <a:noFill/>
              </a:ln>
            </c:spPr>
            <c:txPr>
              <a:bodyPr/>
              <a:lstStyle/>
              <a:p>
                <a:pPr>
                  <a:defRPr sz="1000" b="0"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Sheet1!$B$1:$K$1</c:f>
              <c:strCache>
                <c:ptCount val="10"/>
                <c:pt idx="0">
                  <c:v>Aguonos</c:v>
                </c:pt>
                <c:pt idx="1">
                  <c:v>Heroinas</c:v>
                </c:pt>
                <c:pt idx="2">
                  <c:v>Kanapės</c:v>
                </c:pt>
                <c:pt idx="3">
                  <c:v>Hašišas</c:v>
                </c:pt>
                <c:pt idx="4">
                  <c:v>Kokainas</c:v>
                </c:pt>
                <c:pt idx="5">
                  <c:v>Psichot. vaistai</c:v>
                </c:pt>
                <c:pt idx="6">
                  <c:v>Kiti</c:v>
                </c:pt>
                <c:pt idx="7">
                  <c:v>Metamfetaminas</c:v>
                </c:pt>
                <c:pt idx="8">
                  <c:v>Ecstasy</c:v>
                </c:pt>
                <c:pt idx="9">
                  <c:v>Amfetaminas</c:v>
                </c:pt>
              </c:strCache>
            </c:strRef>
          </c:cat>
          <c:val>
            <c:numRef>
              <c:f>Sheet1!$B$2:$K$2</c:f>
              <c:numCache>
                <c:formatCode>General</c:formatCode>
                <c:ptCount val="10"/>
                <c:pt idx="0">
                  <c:v>239</c:v>
                </c:pt>
                <c:pt idx="1">
                  <c:v>100</c:v>
                </c:pt>
                <c:pt idx="2">
                  <c:v>164</c:v>
                </c:pt>
                <c:pt idx="3">
                  <c:v>24</c:v>
                </c:pt>
                <c:pt idx="4">
                  <c:v>12</c:v>
                </c:pt>
                <c:pt idx="5">
                  <c:v>91</c:v>
                </c:pt>
                <c:pt idx="6">
                  <c:v>10</c:v>
                </c:pt>
                <c:pt idx="7">
                  <c:v>95</c:v>
                </c:pt>
                <c:pt idx="8">
                  <c:v>87</c:v>
                </c:pt>
                <c:pt idx="9">
                  <c:v>113</c:v>
                </c:pt>
              </c:numCache>
            </c:numRef>
          </c:val>
        </c:ser>
        <c:dLbls>
          <c:showLegendKey val="0"/>
          <c:showVal val="0"/>
          <c:showCatName val="0"/>
          <c:showSerName val="0"/>
          <c:showPercent val="0"/>
          <c:showBubbleSize val="0"/>
          <c:showLeaderLines val="1"/>
        </c:dLbls>
        <c:gapWidth val="95"/>
        <c:splitType val="pos"/>
        <c:splitPos val="3"/>
        <c:secondPieSize val="55"/>
        <c:serLines>
          <c:spPr>
            <a:ln w="12697">
              <a:solidFill>
                <a:srgbClr val="000000"/>
              </a:solidFill>
              <a:prstDash val="solid"/>
            </a:ln>
          </c:spPr>
        </c:serLines>
      </c:ofPieChart>
      <c:spPr>
        <a:noFill/>
        <a:ln w="25393">
          <a:noFill/>
        </a:ln>
      </c:spPr>
    </c:plotArea>
    <c:plotVisOnly val="1"/>
    <c:dispBlanksAs val="zero"/>
    <c:showDLblsOverMax val="0"/>
  </c:chart>
  <c:spPr>
    <a:gradFill rotWithShape="0">
      <a:gsLst>
        <a:gs pos="0">
          <a:srgbClr xmlns:mc="http://schemas.openxmlformats.org/markup-compatibility/2006" xmlns:a14="http://schemas.microsoft.com/office/drawing/2010/main" val="339966" mc:Ignorable="a14" a14:legacySpreadsheetColorIndex="57"/>
        </a:gs>
        <a:gs pos="5000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339966" mc:Ignorable="a14" a14:legacySpreadsheetColorIndex="57"/>
        </a:gs>
      </a:gsLst>
      <a:lin ang="18900000" scaled="1"/>
    </a:gradFill>
    <a:ln>
      <a:noFill/>
    </a:ln>
  </c:spPr>
  <c:txPr>
    <a:bodyPr/>
    <a:lstStyle/>
    <a:p>
      <a:pPr>
        <a:defRPr sz="1100" b="0" i="0" u="none" strike="noStrike" baseline="0">
          <a:solidFill>
            <a:srgbClr val="000000"/>
          </a:solidFill>
          <a:latin typeface="Arial"/>
          <a:ea typeface="Arial"/>
          <a:cs typeface="Arial"/>
        </a:defRPr>
      </a:pPr>
      <a:endParaRPr lang="lt-LT"/>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8000"/>
                </a:solidFill>
                <a:latin typeface="Times New Roman"/>
                <a:ea typeface="Times New Roman"/>
                <a:cs typeface="Times New Roman"/>
              </a:defRPr>
            </a:pPr>
            <a:r>
              <a:rPr lang="lt-LT"/>
              <a:t>Sulaikymo atvejai 2000 m.</a:t>
            </a:r>
          </a:p>
        </c:rich>
      </c:tx>
      <c:layout>
        <c:manualLayout>
          <c:xMode val="edge"/>
          <c:yMode val="edge"/>
          <c:x val="0.23964497041420119"/>
          <c:y val="2.1739130434782608E-2"/>
        </c:manualLayout>
      </c:layout>
      <c:overlay val="0"/>
      <c:spPr>
        <a:noFill/>
        <a:ln w="25399">
          <a:noFill/>
        </a:ln>
      </c:spPr>
    </c:title>
    <c:autoTitleDeleted val="0"/>
    <c:plotArea>
      <c:layout>
        <c:manualLayout>
          <c:layoutTarget val="inner"/>
          <c:xMode val="edge"/>
          <c:yMode val="edge"/>
          <c:x val="0.21301775147928995"/>
          <c:y val="0.33913043478260868"/>
          <c:w val="0.62426035502958577"/>
          <c:h val="0.45217391304347826"/>
        </c:manualLayout>
      </c:layout>
      <c:ofPieChart>
        <c:ofPieType val="pie"/>
        <c:varyColors val="1"/>
        <c:ser>
          <c:idx val="0"/>
          <c:order val="0"/>
          <c:tx>
            <c:strRef>
              <c:f>Sheet1!$A$2</c:f>
              <c:strCache>
                <c:ptCount val="1"/>
              </c:strCache>
            </c:strRef>
          </c:tx>
          <c:spPr>
            <a:solidFill>
              <a:srgbClr val="9999FF"/>
            </a:solidFill>
            <a:ln w="12700">
              <a:solidFill>
                <a:srgbClr val="000000"/>
              </a:solidFill>
              <a:prstDash val="solid"/>
            </a:ln>
          </c:spPr>
          <c:dPt>
            <c:idx val="0"/>
            <c:bubble3D val="0"/>
            <c:spPr>
              <a:solidFill>
                <a:srgbClr val="339966"/>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Pt>
            <c:idx val="6"/>
            <c:bubble3D val="0"/>
            <c:spPr>
              <a:solidFill>
                <a:srgbClr val="0066CC"/>
              </a:solidFill>
              <a:ln w="12700">
                <a:solidFill>
                  <a:srgbClr val="000000"/>
                </a:solidFill>
                <a:prstDash val="solid"/>
              </a:ln>
            </c:spPr>
          </c:dPt>
          <c:dPt>
            <c:idx val="7"/>
            <c:bubble3D val="0"/>
            <c:spPr>
              <a:solidFill>
                <a:srgbClr val="CCCCFF"/>
              </a:solidFill>
              <a:ln w="12700">
                <a:solidFill>
                  <a:srgbClr val="000000"/>
                </a:solidFill>
                <a:prstDash val="solid"/>
              </a:ln>
            </c:spPr>
          </c:dPt>
          <c:dPt>
            <c:idx val="8"/>
            <c:bubble3D val="0"/>
            <c:spPr>
              <a:solidFill>
                <a:srgbClr val="000080"/>
              </a:solidFill>
              <a:ln w="12700">
                <a:solidFill>
                  <a:srgbClr val="000000"/>
                </a:solidFill>
                <a:prstDash val="solid"/>
              </a:ln>
            </c:spPr>
          </c:dPt>
          <c:dPt>
            <c:idx val="9"/>
            <c:bubble3D val="0"/>
            <c:spPr>
              <a:solidFill>
                <a:srgbClr val="FF00FF"/>
              </a:solidFill>
              <a:ln w="12700">
                <a:solidFill>
                  <a:srgbClr val="000000"/>
                </a:solidFill>
                <a:prstDash val="solid"/>
              </a:ln>
            </c:spPr>
          </c:dPt>
          <c:dPt>
            <c:idx val="10"/>
            <c:bubble3D val="0"/>
            <c:spPr>
              <a:solidFill>
                <a:srgbClr val="FFFF00"/>
              </a:solidFill>
              <a:ln w="12700">
                <a:solidFill>
                  <a:srgbClr val="000000"/>
                </a:solidFill>
                <a:prstDash val="solid"/>
              </a:ln>
            </c:spPr>
          </c:dPt>
          <c:dPt>
            <c:idx val="11"/>
            <c:bubble3D val="0"/>
            <c:spPr>
              <a:solidFill>
                <a:srgbClr val="00FFFF"/>
              </a:solidFill>
              <a:ln w="12700">
                <a:solidFill>
                  <a:srgbClr val="000000"/>
                </a:solidFill>
                <a:prstDash val="solid"/>
              </a:ln>
            </c:spPr>
          </c:dPt>
          <c:dLbls>
            <c:dLbl>
              <c:idx val="0"/>
              <c:layout>
                <c:manualLayout>
                  <c:x val="0.15394214546891086"/>
                  <c:y val="-5.7002111149149916E-2"/>
                </c:manualLayout>
              </c:layout>
              <c:dLblPos val="bestFit"/>
              <c:showLegendKey val="0"/>
              <c:showVal val="0"/>
              <c:showCatName val="1"/>
              <c:showSerName val="0"/>
              <c:showPercent val="1"/>
              <c:showBubbleSize val="0"/>
            </c:dLbl>
            <c:dLbl>
              <c:idx val="1"/>
              <c:layout>
                <c:manualLayout>
                  <c:x val="5.8562205331352542E-2"/>
                  <c:y val="0.28346281714785643"/>
                </c:manualLayout>
              </c:layout>
              <c:dLblPos val="bestFit"/>
              <c:showLegendKey val="0"/>
              <c:showVal val="0"/>
              <c:showCatName val="1"/>
              <c:showSerName val="0"/>
              <c:showPercent val="1"/>
              <c:showBubbleSize val="0"/>
            </c:dLbl>
            <c:dLbl>
              <c:idx val="2"/>
              <c:layout>
                <c:manualLayout>
                  <c:x val="-7.2018326825653636E-2"/>
                  <c:y val="0.21460960858153602"/>
                </c:manualLayout>
              </c:layout>
              <c:dLblPos val="bestFit"/>
              <c:showLegendKey val="0"/>
              <c:showVal val="0"/>
              <c:showCatName val="1"/>
              <c:showSerName val="0"/>
              <c:showPercent val="1"/>
              <c:showBubbleSize val="0"/>
            </c:dLbl>
            <c:dLbl>
              <c:idx val="3"/>
              <c:layout>
                <c:manualLayout>
                  <c:x val="-0.2309340443850354"/>
                  <c:y val="7.210928525238694E-2"/>
                </c:manualLayout>
              </c:layout>
              <c:dLblPos val="bestFit"/>
              <c:showLegendKey val="0"/>
              <c:showVal val="0"/>
              <c:showCatName val="1"/>
              <c:showSerName val="0"/>
              <c:showPercent val="1"/>
              <c:showBubbleSize val="0"/>
            </c:dLbl>
            <c:dLbl>
              <c:idx val="4"/>
              <c:layout>
                <c:manualLayout>
                  <c:x val="-0.26133468574538771"/>
                  <c:y val="-5.4431225988055852E-2"/>
                </c:manualLayout>
              </c:layout>
              <c:dLblPos val="bestFit"/>
              <c:showLegendKey val="0"/>
              <c:showVal val="0"/>
              <c:showCatName val="1"/>
              <c:showSerName val="0"/>
              <c:showPercent val="1"/>
              <c:showBubbleSize val="0"/>
            </c:dLbl>
            <c:dLbl>
              <c:idx val="5"/>
              <c:layout>
                <c:manualLayout>
                  <c:x val="1.4501830915289751E-2"/>
                  <c:y val="-0.10126427403096352"/>
                </c:manualLayout>
              </c:layout>
              <c:dLblPos val="bestFit"/>
              <c:showLegendKey val="0"/>
              <c:showVal val="0"/>
              <c:showCatName val="1"/>
              <c:showSerName val="0"/>
              <c:showPercent val="1"/>
              <c:showBubbleSize val="0"/>
            </c:dLbl>
            <c:dLbl>
              <c:idx val="6"/>
              <c:layout>
                <c:manualLayout>
                  <c:x val="-0.14713839177570667"/>
                  <c:y val="-0.16886152002738788"/>
                </c:manualLayout>
              </c:layout>
              <c:dLblPos val="bestFit"/>
              <c:showLegendKey val="0"/>
              <c:showVal val="0"/>
              <c:showCatName val="1"/>
              <c:showSerName val="0"/>
              <c:showPercent val="1"/>
              <c:showBubbleSize val="0"/>
            </c:dLbl>
            <c:dLbl>
              <c:idx val="7"/>
              <c:layout>
                <c:manualLayout>
                  <c:x val="0.13790076051756542"/>
                  <c:y val="-0.14124245882308187"/>
                </c:manualLayout>
              </c:layout>
              <c:dLblPos val="bestFit"/>
              <c:showLegendKey val="0"/>
              <c:showVal val="0"/>
              <c:showCatName val="1"/>
              <c:showSerName val="0"/>
              <c:showPercent val="1"/>
              <c:showBubbleSize val="0"/>
            </c:dLbl>
            <c:dLbl>
              <c:idx val="8"/>
              <c:delete val="1"/>
            </c:dLbl>
            <c:dLbl>
              <c:idx val="9"/>
              <c:layout>
                <c:manualLayout>
                  <c:x val="0.2199494166473426"/>
                  <c:y val="4.0635379816653258E-2"/>
                </c:manualLayout>
              </c:layout>
              <c:dLblPos val="bestFit"/>
              <c:showLegendKey val="0"/>
              <c:showVal val="0"/>
              <c:showCatName val="1"/>
              <c:showSerName val="0"/>
              <c:showPercent val="1"/>
              <c:showBubbleSize val="0"/>
            </c:dLbl>
            <c:dLbl>
              <c:idx val="10"/>
              <c:layout>
                <c:manualLayout>
                  <c:x val="2.7144887852086647E-3"/>
                  <c:y val="3.2753375936703591E-2"/>
                </c:manualLayout>
              </c:layout>
              <c:dLblPos val="bestFit"/>
              <c:showLegendKey val="0"/>
              <c:showVal val="0"/>
              <c:showCatName val="1"/>
              <c:showSerName val="0"/>
              <c:showPercent val="1"/>
              <c:showBubbleSize val="0"/>
            </c:dLbl>
            <c:dLbl>
              <c:idx val="11"/>
              <c:layout>
                <c:manualLayout>
                  <c:x val="-7.3257194105582962E-3"/>
                  <c:y val="-4.8007265396173282E-2"/>
                </c:manualLayout>
              </c:layout>
              <c:tx>
                <c:rich>
                  <a:bodyPr/>
                  <a:lstStyle/>
                  <a:p>
                    <a:pPr>
                      <a:defRPr sz="1000" b="0" i="0" u="none" strike="noStrike" baseline="0">
                        <a:solidFill>
                          <a:srgbClr val="000000"/>
                        </a:solidFill>
                        <a:latin typeface="Times New Roman"/>
                        <a:ea typeface="Times New Roman"/>
                        <a:cs typeface="Times New Roman"/>
                      </a:defRPr>
                    </a:pPr>
                    <a:r>
                      <a:rPr lang="lt-LT"/>
                      <a:t>ATS medžiagos
6%</a:t>
                    </a:r>
                  </a:p>
                </c:rich>
              </c:tx>
              <c:spPr>
                <a:noFill/>
                <a:ln w="25399">
                  <a:noFill/>
                </a:ln>
              </c:spPr>
              <c:dLblPos val="bestFit"/>
              <c:showLegendKey val="0"/>
              <c:showVal val="0"/>
              <c:showCatName val="0"/>
              <c:showSerName val="0"/>
              <c:showPercent val="0"/>
              <c:showBubbleSize val="0"/>
            </c:dLbl>
            <c:dLbl>
              <c:idx val="12"/>
              <c:delete val="1"/>
            </c:dLbl>
            <c:numFmt formatCode="0%" sourceLinked="0"/>
            <c:spPr>
              <a:noFill/>
              <a:ln w="25399">
                <a:noFill/>
              </a:ln>
            </c:spPr>
            <c:txPr>
              <a:bodyPr/>
              <a:lstStyle/>
              <a:p>
                <a:pPr>
                  <a:defRPr sz="1000" b="0"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Sheet1!$B$1:$L$1</c:f>
              <c:strCache>
                <c:ptCount val="11"/>
                <c:pt idx="0">
                  <c:v>Aguonos</c:v>
                </c:pt>
                <c:pt idx="1">
                  <c:v>Efedronas</c:v>
                </c:pt>
                <c:pt idx="2">
                  <c:v>Heroinas</c:v>
                </c:pt>
                <c:pt idx="3">
                  <c:v>Efedrinas</c:v>
                </c:pt>
                <c:pt idx="4">
                  <c:v>Kanapės</c:v>
                </c:pt>
                <c:pt idx="5">
                  <c:v>Hašišas</c:v>
                </c:pt>
                <c:pt idx="6">
                  <c:v>Kokainas</c:v>
                </c:pt>
                <c:pt idx="7">
                  <c:v>Psichot. vaistai</c:v>
                </c:pt>
                <c:pt idx="8">
                  <c:v>Kiti</c:v>
                </c:pt>
                <c:pt idx="9">
                  <c:v>Amfetaminas</c:v>
                </c:pt>
                <c:pt idx="10">
                  <c:v>Ecstasy</c:v>
                </c:pt>
              </c:strCache>
            </c:strRef>
          </c:cat>
          <c:val>
            <c:numRef>
              <c:f>Sheet1!$B$2:$L$2</c:f>
              <c:numCache>
                <c:formatCode>General</c:formatCode>
                <c:ptCount val="11"/>
                <c:pt idx="0">
                  <c:v>337</c:v>
                </c:pt>
                <c:pt idx="1">
                  <c:v>43</c:v>
                </c:pt>
                <c:pt idx="2">
                  <c:v>103</c:v>
                </c:pt>
                <c:pt idx="3">
                  <c:v>58</c:v>
                </c:pt>
                <c:pt idx="4">
                  <c:v>61</c:v>
                </c:pt>
                <c:pt idx="5">
                  <c:v>11</c:v>
                </c:pt>
                <c:pt idx="6">
                  <c:v>7</c:v>
                </c:pt>
                <c:pt idx="7">
                  <c:v>35</c:v>
                </c:pt>
                <c:pt idx="8">
                  <c:v>6</c:v>
                </c:pt>
                <c:pt idx="9">
                  <c:v>27</c:v>
                </c:pt>
                <c:pt idx="10">
                  <c:v>11</c:v>
                </c:pt>
              </c:numCache>
            </c:numRef>
          </c:val>
        </c:ser>
        <c:dLbls>
          <c:showLegendKey val="0"/>
          <c:showVal val="0"/>
          <c:showCatName val="0"/>
          <c:showSerName val="0"/>
          <c:showPercent val="0"/>
          <c:showBubbleSize val="0"/>
          <c:showLeaderLines val="1"/>
        </c:dLbls>
        <c:gapWidth val="95"/>
        <c:splitType val="pos"/>
        <c:splitPos val="2"/>
        <c:secondPieSize val="55"/>
        <c:serLines>
          <c:spPr>
            <a:ln w="12700">
              <a:solidFill>
                <a:srgbClr val="000000"/>
              </a:solidFill>
              <a:prstDash val="solid"/>
            </a:ln>
          </c:spPr>
        </c:serLines>
      </c:ofPieChart>
      <c:spPr>
        <a:noFill/>
        <a:ln w="25399">
          <a:noFill/>
        </a:ln>
      </c:spPr>
    </c:plotArea>
    <c:plotVisOnly val="1"/>
    <c:dispBlanksAs val="zero"/>
    <c:showDLblsOverMax val="0"/>
  </c:chart>
  <c:spPr>
    <a:gradFill rotWithShape="0">
      <a:gsLst>
        <a:gs pos="0">
          <a:srgbClr xmlns:mc="http://schemas.openxmlformats.org/markup-compatibility/2006" xmlns:a14="http://schemas.microsoft.com/office/drawing/2010/main" val="339966" mc:Ignorable="a14" a14:legacySpreadsheetColorIndex="57"/>
        </a:gs>
        <a:gs pos="50000">
          <a:srgbClr xmlns:mc="http://schemas.openxmlformats.org/markup-compatibility/2006" xmlns:a14="http://schemas.microsoft.com/office/drawing/2010/main" val="FFFFFF" mc:Ignorable="a14" a14:legacySpreadsheetColorIndex="9"/>
        </a:gs>
        <a:gs pos="100000">
          <a:srgbClr xmlns:mc="http://schemas.openxmlformats.org/markup-compatibility/2006" xmlns:a14="http://schemas.microsoft.com/office/drawing/2010/main" val="339966" mc:Ignorable="a14" a14:legacySpreadsheetColorIndex="57"/>
        </a:gs>
      </a:gsLst>
      <a:lin ang="18900000" scaled="1"/>
    </a:gradFill>
    <a:ln>
      <a:noFill/>
    </a:ln>
  </c:spPr>
  <c:txPr>
    <a:bodyPr/>
    <a:lstStyle/>
    <a:p>
      <a:pPr>
        <a:defRPr sz="975" b="0" i="0" u="none" strike="noStrike" baseline="0">
          <a:solidFill>
            <a:srgbClr val="000000"/>
          </a:solidFill>
          <a:latin typeface="Arial"/>
          <a:ea typeface="Arial"/>
          <a:cs typeface="Arial"/>
        </a:defRPr>
      </a:pPr>
      <a:endParaRPr lang="lt-LT"/>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1" b="1" i="0" u="none" strike="noStrike" baseline="0">
                <a:solidFill>
                  <a:srgbClr val="008000"/>
                </a:solidFill>
                <a:latin typeface="Times New Roman"/>
                <a:ea typeface="Times New Roman"/>
                <a:cs typeface="Times New Roman"/>
              </a:defRPr>
            </a:pPr>
            <a:r>
              <a:rPr lang="lt-LT"/>
              <a:t>Sunaikinti kanapių pasėlių plotai</a:t>
            </a:r>
          </a:p>
        </c:rich>
      </c:tx>
      <c:layout>
        <c:manualLayout>
          <c:xMode val="edge"/>
          <c:yMode val="edge"/>
          <c:x val="0.14968152866242038"/>
          <c:y val="1.8779342723004695E-2"/>
        </c:manualLayout>
      </c:layout>
      <c:overlay val="0"/>
      <c:spPr>
        <a:noFill/>
        <a:ln w="25411">
          <a:noFill/>
        </a:ln>
      </c:spPr>
    </c:title>
    <c:autoTitleDeleted val="0"/>
    <c:plotArea>
      <c:layout>
        <c:manualLayout>
          <c:layoutTarget val="inner"/>
          <c:xMode val="edge"/>
          <c:yMode val="edge"/>
          <c:x val="0.21656050955414013"/>
          <c:y val="0.27699530516431925"/>
          <c:w val="0.75477707006369432"/>
          <c:h val="0.49295774647887325"/>
        </c:manualLayout>
      </c:layout>
      <c:areaChart>
        <c:grouping val="standard"/>
        <c:varyColors val="0"/>
        <c:ser>
          <c:idx val="0"/>
          <c:order val="0"/>
          <c:tx>
            <c:strRef>
              <c:f>Sheet1!$A$2</c:f>
              <c:strCache>
                <c:ptCount val="1"/>
                <c:pt idx="0">
                  <c:v>Kanapės</c:v>
                </c:pt>
              </c:strCache>
            </c:strRef>
          </c:tx>
          <c:spPr>
            <a:solidFill>
              <a:srgbClr val="339966"/>
            </a:solidFill>
            <a:ln w="12706">
              <a:solidFill>
                <a:srgbClr val="000000"/>
              </a:solidFill>
              <a:prstDash val="solid"/>
            </a:ln>
          </c:spPr>
          <c:dLbls>
            <c:dLbl>
              <c:idx val="0"/>
              <c:layout>
                <c:manualLayout>
                  <c:x val="2.0158133589499257E-2"/>
                  <c:y val="-0.19898226452508821"/>
                </c:manualLayout>
              </c:layout>
              <c:showLegendKey val="0"/>
              <c:showVal val="1"/>
              <c:showCatName val="0"/>
              <c:showSerName val="0"/>
              <c:showPercent val="0"/>
              <c:showBubbleSize val="0"/>
            </c:dLbl>
            <c:dLbl>
              <c:idx val="1"/>
              <c:layout>
                <c:manualLayout>
                  <c:x val="8.8006861954602542E-3"/>
                  <c:y val="-0.16094824375084238"/>
                </c:manualLayout>
              </c:layout>
              <c:showLegendKey val="0"/>
              <c:showVal val="1"/>
              <c:showCatName val="0"/>
              <c:showSerName val="0"/>
              <c:showPercent val="0"/>
              <c:showBubbleSize val="0"/>
            </c:dLbl>
            <c:dLbl>
              <c:idx val="2"/>
              <c:layout>
                <c:manualLayout>
                  <c:x val="2.021786963057677E-4"/>
                  <c:y val="-0.13437568267081629"/>
                </c:manualLayout>
              </c:layout>
              <c:showLegendKey val="0"/>
              <c:showVal val="1"/>
              <c:showCatName val="0"/>
              <c:showSerName val="0"/>
              <c:showPercent val="0"/>
              <c:showBubbleSize val="0"/>
            </c:dLbl>
            <c:dLbl>
              <c:idx val="3"/>
              <c:layout>
                <c:manualLayout>
                  <c:x val="-8.3966518393921736E-3"/>
                  <c:y val="-0.15408771307742411"/>
                </c:manualLayout>
              </c:layout>
              <c:showLegendKey val="0"/>
              <c:showVal val="1"/>
              <c:showCatName val="0"/>
              <c:showSerName val="0"/>
              <c:showPercent val="0"/>
              <c:showBubbleSize val="0"/>
            </c:dLbl>
            <c:dLbl>
              <c:idx val="4"/>
              <c:layout>
                <c:manualLayout>
                  <c:x val="8.0561281138240778E-3"/>
                  <c:y val="-0.33277931586790138"/>
                </c:manualLayout>
              </c:layout>
              <c:showLegendKey val="0"/>
              <c:showVal val="1"/>
              <c:showCatName val="0"/>
              <c:showSerName val="0"/>
              <c:showPercent val="0"/>
              <c:showBubbleSize val="0"/>
            </c:dLbl>
            <c:dLbl>
              <c:idx val="5"/>
              <c:layout>
                <c:manualLayout>
                  <c:x val="1.2622247598765965E-2"/>
                  <c:y val="-0.15988035222623007"/>
                </c:manualLayout>
              </c:layout>
              <c:showLegendKey val="0"/>
              <c:showVal val="1"/>
              <c:showCatName val="0"/>
              <c:showSerName val="0"/>
              <c:showPercent val="0"/>
              <c:showBubbleSize val="0"/>
            </c:dLbl>
            <c:dLbl>
              <c:idx val="6"/>
              <c:layout>
                <c:manualLayout>
                  <c:x val="-5.5304000277770545E-3"/>
                  <c:y val="-0.19854202649604058"/>
                </c:manualLayout>
              </c:layout>
              <c:showLegendKey val="0"/>
              <c:showVal val="1"/>
              <c:showCatName val="0"/>
              <c:showSerName val="0"/>
              <c:showPercent val="0"/>
              <c:showBubbleSize val="0"/>
            </c:dLbl>
            <c:dLbl>
              <c:idx val="7"/>
              <c:layout>
                <c:manualLayout>
                  <c:x val="7.7376665496430193E-3"/>
                  <c:y val="-0.31364178574501278"/>
                </c:manualLayout>
              </c:layout>
              <c:showLegendKey val="0"/>
              <c:showVal val="1"/>
              <c:showCatName val="0"/>
              <c:showSerName val="0"/>
              <c:showPercent val="0"/>
              <c:showBubbleSize val="0"/>
            </c:dLbl>
            <c:dLbl>
              <c:idx val="8"/>
              <c:layout>
                <c:manualLayout>
                  <c:x val="1.9626586216164515E-2"/>
                  <c:y val="-0.20275866230420433"/>
                </c:manualLayout>
              </c:layout>
              <c:showLegendKey val="0"/>
              <c:showVal val="1"/>
              <c:showCatName val="0"/>
              <c:showSerName val="0"/>
              <c:showPercent val="0"/>
              <c:showBubbleSize val="0"/>
            </c:dLbl>
            <c:dLbl>
              <c:idx val="9"/>
              <c:layout>
                <c:manualLayout>
                  <c:x val="5.2056515963435344E-4"/>
                  <c:y val="-0.10827798612585797"/>
                </c:manualLayout>
              </c:layout>
              <c:showLegendKey val="0"/>
              <c:showVal val="1"/>
              <c:showCatName val="0"/>
              <c:showSerName val="0"/>
              <c:showPercent val="0"/>
              <c:showBubbleSize val="0"/>
            </c:dLbl>
            <c:dLbl>
              <c:idx val="10"/>
              <c:layout>
                <c:manualLayout>
                  <c:x val="9.3209211170994771E-3"/>
                  <c:y val="-0.11608926039553596"/>
                </c:manualLayout>
              </c:layout>
              <c:showLegendKey val="0"/>
              <c:showVal val="1"/>
              <c:showCatName val="0"/>
              <c:showSerName val="0"/>
              <c:showPercent val="0"/>
              <c:showBubbleSize val="0"/>
            </c:dLbl>
            <c:spPr>
              <a:noFill/>
              <a:ln w="25411">
                <a:noFill/>
              </a:ln>
            </c:spPr>
            <c:txPr>
              <a:bodyPr/>
              <a:lstStyle/>
              <a:p>
                <a:pPr>
                  <a:defRPr sz="8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Sheet1!$B$1:$L$1</c:f>
              <c:numCache>
                <c:formatCode>General</c:formatCode>
                <c:ptCount val="11"/>
                <c:pt idx="0">
                  <c:v>1995</c:v>
                </c:pt>
                <c:pt idx="1">
                  <c:v>1996</c:v>
                </c:pt>
                <c:pt idx="2">
                  <c:v>1997</c:v>
                </c:pt>
                <c:pt idx="3">
                  <c:v>1998</c:v>
                </c:pt>
                <c:pt idx="4">
                  <c:v>1999</c:v>
                </c:pt>
                <c:pt idx="5">
                  <c:v>2000</c:v>
                </c:pt>
                <c:pt idx="6">
                  <c:v>2001</c:v>
                </c:pt>
                <c:pt idx="7">
                  <c:v>2002</c:v>
                </c:pt>
                <c:pt idx="8">
                  <c:v>2003</c:v>
                </c:pt>
                <c:pt idx="9">
                  <c:v>2004</c:v>
                </c:pt>
                <c:pt idx="10">
                  <c:v>2005</c:v>
                </c:pt>
              </c:numCache>
            </c:numRef>
          </c:cat>
          <c:val>
            <c:numRef>
              <c:f>Sheet1!$B$2:$L$2</c:f>
              <c:numCache>
                <c:formatCode>General</c:formatCode>
                <c:ptCount val="11"/>
                <c:pt idx="0">
                  <c:v>1061</c:v>
                </c:pt>
                <c:pt idx="1">
                  <c:v>722</c:v>
                </c:pt>
                <c:pt idx="2">
                  <c:v>290</c:v>
                </c:pt>
                <c:pt idx="3">
                  <c:v>511</c:v>
                </c:pt>
                <c:pt idx="4">
                  <c:v>1842</c:v>
                </c:pt>
                <c:pt idx="5">
                  <c:v>464</c:v>
                </c:pt>
                <c:pt idx="6">
                  <c:v>836</c:v>
                </c:pt>
                <c:pt idx="7">
                  <c:v>1883</c:v>
                </c:pt>
                <c:pt idx="8">
                  <c:v>687.5</c:v>
                </c:pt>
                <c:pt idx="9">
                  <c:v>197</c:v>
                </c:pt>
                <c:pt idx="10">
                  <c:v>286</c:v>
                </c:pt>
              </c:numCache>
            </c:numRef>
          </c:val>
        </c:ser>
        <c:dLbls>
          <c:showLegendKey val="0"/>
          <c:showVal val="0"/>
          <c:showCatName val="0"/>
          <c:showSerName val="0"/>
          <c:showPercent val="0"/>
          <c:showBubbleSize val="0"/>
        </c:dLbls>
        <c:axId val="75944704"/>
        <c:axId val="75946240"/>
      </c:areaChart>
      <c:catAx>
        <c:axId val="75944704"/>
        <c:scaling>
          <c:orientation val="minMax"/>
        </c:scaling>
        <c:delete val="0"/>
        <c:axPos val="b"/>
        <c:numFmt formatCode="General" sourceLinked="1"/>
        <c:majorTickMark val="out"/>
        <c:minorTickMark val="none"/>
        <c:tickLblPos val="nextTo"/>
        <c:spPr>
          <a:ln w="3176">
            <a:solidFill>
              <a:srgbClr val="000000"/>
            </a:solidFill>
            <a:prstDash val="solid"/>
          </a:ln>
        </c:spPr>
        <c:txPr>
          <a:bodyPr rot="-5400000" vert="horz"/>
          <a:lstStyle/>
          <a:p>
            <a:pPr>
              <a:defRPr sz="900" b="1" i="0" u="none" strike="noStrike" baseline="0">
                <a:solidFill>
                  <a:srgbClr val="000000"/>
                </a:solidFill>
                <a:latin typeface="Arial"/>
                <a:ea typeface="Arial"/>
                <a:cs typeface="Arial"/>
              </a:defRPr>
            </a:pPr>
            <a:endParaRPr lang="lt-LT"/>
          </a:p>
        </c:txPr>
        <c:crossAx val="75946240"/>
        <c:crosses val="autoZero"/>
        <c:auto val="1"/>
        <c:lblAlgn val="ctr"/>
        <c:lblOffset val="100"/>
        <c:tickLblSkip val="1"/>
        <c:tickMarkSkip val="1"/>
        <c:noMultiLvlLbl val="0"/>
      </c:catAx>
      <c:valAx>
        <c:axId val="75946240"/>
        <c:scaling>
          <c:orientation val="minMax"/>
        </c:scaling>
        <c:delete val="0"/>
        <c:axPos val="l"/>
        <c:title>
          <c:tx>
            <c:rich>
              <a:bodyPr/>
              <a:lstStyle/>
              <a:p>
                <a:pPr>
                  <a:defRPr sz="800" b="0" i="0" u="none" strike="noStrike" baseline="0">
                    <a:solidFill>
                      <a:srgbClr val="000000"/>
                    </a:solidFill>
                    <a:latin typeface="Arial"/>
                    <a:ea typeface="Arial"/>
                    <a:cs typeface="Arial"/>
                  </a:defRPr>
                </a:pPr>
                <a:r>
                  <a:rPr lang="lt-LT"/>
                  <a:t>kvadratiniai metrai</a:t>
                </a:r>
              </a:p>
            </c:rich>
          </c:tx>
          <c:layout>
            <c:manualLayout>
              <c:xMode val="edge"/>
              <c:yMode val="edge"/>
              <c:x val="3.5031847133757961E-2"/>
              <c:y val="0.30516431924882631"/>
            </c:manualLayout>
          </c:layout>
          <c:overlay val="0"/>
          <c:spPr>
            <a:noFill/>
            <a:ln w="25411">
              <a:noFill/>
            </a:ln>
          </c:spPr>
        </c:title>
        <c:numFmt formatCode="General" sourceLinked="1"/>
        <c:majorTickMark val="out"/>
        <c:minorTickMark val="none"/>
        <c:tickLblPos val="nextTo"/>
        <c:spPr>
          <a:ln w="3176">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75944704"/>
        <c:crosses val="autoZero"/>
        <c:crossBetween val="midCat"/>
      </c:valAx>
      <c:spPr>
        <a:noFill/>
        <a:ln w="25411">
          <a:noFill/>
        </a:ln>
      </c:spPr>
    </c:plotArea>
    <c:plotVisOnly val="1"/>
    <c:dispBlanksAs val="zero"/>
    <c:showDLblsOverMax val="0"/>
  </c:chart>
  <c:spPr>
    <a:noFill/>
    <a:ln>
      <a:noFill/>
    </a:ln>
  </c:spPr>
  <c:txPr>
    <a:bodyPr/>
    <a:lstStyle/>
    <a:p>
      <a:pPr>
        <a:defRPr sz="900" b="1" i="0" u="none" strike="noStrike" baseline="0">
          <a:solidFill>
            <a:srgbClr val="000000"/>
          </a:solidFill>
          <a:latin typeface="Arial"/>
          <a:ea typeface="Arial"/>
          <a:cs typeface="Arial"/>
        </a:defRPr>
      </a:pPr>
      <a:endParaRPr lang="lt-LT"/>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7" b="1" i="0" u="none" strike="noStrike" baseline="0">
                <a:solidFill>
                  <a:srgbClr val="008000"/>
                </a:solidFill>
                <a:latin typeface="Times New Roman"/>
                <a:ea typeface="Times New Roman"/>
                <a:cs typeface="Times New Roman"/>
              </a:defRPr>
            </a:pPr>
            <a:r>
              <a:rPr lang="lt-LT"/>
              <a:t>Sunaikinti aguonų pasėlių plotai</a:t>
            </a:r>
          </a:p>
        </c:rich>
      </c:tx>
      <c:layout>
        <c:manualLayout>
          <c:xMode val="edge"/>
          <c:yMode val="edge"/>
          <c:x val="0.2236180904522613"/>
          <c:y val="3.0701754385964911E-2"/>
        </c:manualLayout>
      </c:layout>
      <c:overlay val="0"/>
      <c:spPr>
        <a:noFill/>
        <a:ln w="25345">
          <a:noFill/>
        </a:ln>
      </c:spPr>
    </c:title>
    <c:autoTitleDeleted val="0"/>
    <c:plotArea>
      <c:layout>
        <c:manualLayout>
          <c:layoutTarget val="inner"/>
          <c:xMode val="edge"/>
          <c:yMode val="edge"/>
          <c:x val="0.20100502512562815"/>
          <c:y val="0.34210526315789475"/>
          <c:w val="0.7613065326633166"/>
          <c:h val="0.46491228070175439"/>
        </c:manualLayout>
      </c:layout>
      <c:areaChart>
        <c:grouping val="standard"/>
        <c:varyColors val="0"/>
        <c:ser>
          <c:idx val="0"/>
          <c:order val="0"/>
          <c:tx>
            <c:strRef>
              <c:f>Sheet1!$A$2</c:f>
              <c:strCache>
                <c:ptCount val="1"/>
                <c:pt idx="0">
                  <c:v>Aguonų pasėliai</c:v>
                </c:pt>
              </c:strCache>
            </c:strRef>
          </c:tx>
          <c:spPr>
            <a:solidFill>
              <a:srgbClr val="339966"/>
            </a:solidFill>
            <a:ln w="12672">
              <a:solidFill>
                <a:srgbClr val="000000"/>
              </a:solidFill>
              <a:prstDash val="solid"/>
            </a:ln>
          </c:spPr>
          <c:dLbls>
            <c:dLbl>
              <c:idx val="0"/>
              <c:layout>
                <c:manualLayout>
                  <c:x val="2.315108388846928E-2"/>
                  <c:y val="-0.2833994426579422"/>
                </c:manualLayout>
              </c:layout>
              <c:showLegendKey val="0"/>
              <c:showVal val="1"/>
              <c:showCatName val="0"/>
              <c:showSerName val="0"/>
              <c:showPercent val="0"/>
              <c:showBubbleSize val="0"/>
            </c:dLbl>
            <c:dLbl>
              <c:idx val="1"/>
              <c:layout>
                <c:manualLayout>
                  <c:x val="5.4841501141681182E-2"/>
                  <c:y val="-0.26573991209126835"/>
                </c:manualLayout>
              </c:layout>
              <c:showLegendKey val="0"/>
              <c:showVal val="1"/>
              <c:showCatName val="0"/>
              <c:showSerName val="0"/>
              <c:showPercent val="0"/>
              <c:showBubbleSize val="0"/>
            </c:dLbl>
            <c:dLbl>
              <c:idx val="2"/>
              <c:layout>
                <c:manualLayout>
                  <c:x val="3.6718968876172133E-2"/>
                  <c:y val="-0.21280101396386078"/>
                </c:manualLayout>
              </c:layout>
              <c:showLegendKey val="0"/>
              <c:showVal val="1"/>
              <c:showCatName val="0"/>
              <c:showSerName val="0"/>
              <c:showPercent val="0"/>
              <c:showBubbleSize val="0"/>
            </c:dLbl>
            <c:dLbl>
              <c:idx val="3"/>
              <c:layout>
                <c:manualLayout>
                  <c:x val="4.8528036998164242E-2"/>
                  <c:y val="-0.19296611241382963"/>
                </c:manualLayout>
              </c:layout>
              <c:showLegendKey val="0"/>
              <c:showVal val="1"/>
              <c:showCatName val="0"/>
              <c:showSerName val="0"/>
              <c:showPercent val="0"/>
              <c:showBubbleSize val="0"/>
            </c:dLbl>
            <c:dLbl>
              <c:idx val="4"/>
              <c:layout>
                <c:manualLayout>
                  <c:x val="2.0136100095030713E-2"/>
                  <c:y val="-0.28322104307248069"/>
                </c:manualLayout>
              </c:layout>
              <c:showLegendKey val="0"/>
              <c:showVal val="1"/>
              <c:showCatName val="0"/>
              <c:showSerName val="0"/>
              <c:showPercent val="0"/>
              <c:showBubbleSize val="0"/>
            </c:dLbl>
            <c:dLbl>
              <c:idx val="5"/>
              <c:layout>
                <c:manualLayout>
                  <c:x val="1.6650381259627801E-2"/>
                  <c:y val="-0.29195025421955501"/>
                </c:manualLayout>
              </c:layout>
              <c:showLegendKey val="0"/>
              <c:showVal val="1"/>
              <c:showCatName val="0"/>
              <c:showSerName val="0"/>
              <c:showPercent val="0"/>
              <c:showBubbleSize val="0"/>
            </c:dLbl>
            <c:dLbl>
              <c:idx val="6"/>
              <c:layout>
                <c:manualLayout>
                  <c:x val="3.6216291205174084E-2"/>
                  <c:y val="-0.14431079775920747"/>
                </c:manualLayout>
              </c:layout>
              <c:showLegendKey val="0"/>
              <c:showVal val="1"/>
              <c:showCatName val="0"/>
              <c:showSerName val="0"/>
              <c:showPercent val="0"/>
              <c:showBubbleSize val="0"/>
            </c:dLbl>
            <c:dLbl>
              <c:idx val="7"/>
              <c:layout>
                <c:manualLayout>
                  <c:x val="4.3000233699025468E-2"/>
                  <c:y val="-0.18614909395486121"/>
                </c:manualLayout>
              </c:layout>
              <c:showLegendKey val="0"/>
              <c:showVal val="1"/>
              <c:showCatName val="0"/>
              <c:showSerName val="0"/>
              <c:showPercent val="0"/>
              <c:showBubbleSize val="0"/>
            </c:dLbl>
            <c:dLbl>
              <c:idx val="8"/>
              <c:layout>
                <c:manualLayout>
                  <c:x val="2.7171110866243641E-2"/>
                  <c:y val="-0.26569047873013207"/>
                </c:manualLayout>
              </c:layout>
              <c:showLegendKey val="0"/>
              <c:showVal val="1"/>
              <c:showCatName val="0"/>
              <c:showSerName val="0"/>
              <c:showPercent val="0"/>
              <c:showBubbleSize val="0"/>
            </c:dLbl>
            <c:dLbl>
              <c:idx val="9"/>
              <c:layout>
                <c:manualLayout>
                  <c:x val="5.1542993058587616E-2"/>
                  <c:y val="-0.2650343690383139"/>
                </c:manualLayout>
              </c:layout>
              <c:showLegendKey val="0"/>
              <c:showVal val="1"/>
              <c:showCatName val="0"/>
              <c:showSerName val="0"/>
              <c:showPercent val="0"/>
              <c:showBubbleSize val="0"/>
            </c:dLbl>
            <c:dLbl>
              <c:idx val="10"/>
              <c:layout>
                <c:manualLayout>
                  <c:x val="2.294274960786105E-3"/>
                  <c:y val="-0.14474226864213591"/>
                </c:manualLayout>
              </c:layout>
              <c:showLegendKey val="0"/>
              <c:showVal val="1"/>
              <c:showCatName val="0"/>
              <c:showSerName val="0"/>
              <c:showPercent val="0"/>
              <c:showBubbleSize val="0"/>
            </c:dLbl>
            <c:spPr>
              <a:solidFill>
                <a:srgbClr val="FFFFFF"/>
              </a:solidFill>
              <a:ln w="25345">
                <a:noFill/>
              </a:ln>
            </c:spPr>
            <c:txPr>
              <a:bodyPr/>
              <a:lstStyle/>
              <a:p>
                <a:pPr>
                  <a:defRPr sz="898" b="0" i="0" u="none" strike="noStrike" baseline="0">
                    <a:solidFill>
                      <a:srgbClr val="008000"/>
                    </a:solidFill>
                    <a:latin typeface="Times New Roman"/>
                    <a:ea typeface="Times New Roman"/>
                    <a:cs typeface="Times New Roman"/>
                  </a:defRPr>
                </a:pPr>
                <a:endParaRPr lang="lt-LT"/>
              </a:p>
            </c:txPr>
            <c:showLegendKey val="0"/>
            <c:showVal val="1"/>
            <c:showCatName val="0"/>
            <c:showSerName val="0"/>
            <c:showPercent val="0"/>
            <c:showBubbleSize val="0"/>
            <c:showLeaderLines val="0"/>
          </c:dLbls>
          <c:cat>
            <c:numRef>
              <c:f>Sheet1!$B$1:$L$1</c:f>
              <c:numCache>
                <c:formatCode>General</c:formatCode>
                <c:ptCount val="11"/>
                <c:pt idx="0">
                  <c:v>1995</c:v>
                </c:pt>
                <c:pt idx="1">
                  <c:v>1996</c:v>
                </c:pt>
                <c:pt idx="2">
                  <c:v>1997</c:v>
                </c:pt>
                <c:pt idx="3">
                  <c:v>1998</c:v>
                </c:pt>
                <c:pt idx="4">
                  <c:v>1999</c:v>
                </c:pt>
                <c:pt idx="5">
                  <c:v>2000</c:v>
                </c:pt>
                <c:pt idx="6">
                  <c:v>2001</c:v>
                </c:pt>
                <c:pt idx="7">
                  <c:v>2002</c:v>
                </c:pt>
                <c:pt idx="8">
                  <c:v>2003</c:v>
                </c:pt>
                <c:pt idx="9">
                  <c:v>2004</c:v>
                </c:pt>
                <c:pt idx="10">
                  <c:v>2005</c:v>
                </c:pt>
              </c:numCache>
            </c:numRef>
          </c:cat>
          <c:val>
            <c:numRef>
              <c:f>Sheet1!$B$2:$L$2</c:f>
              <c:numCache>
                <c:formatCode>General</c:formatCode>
                <c:ptCount val="11"/>
                <c:pt idx="0">
                  <c:v>81152</c:v>
                </c:pt>
                <c:pt idx="1">
                  <c:v>101589</c:v>
                </c:pt>
                <c:pt idx="2">
                  <c:v>58729</c:v>
                </c:pt>
                <c:pt idx="3">
                  <c:v>35006</c:v>
                </c:pt>
                <c:pt idx="4">
                  <c:v>33697</c:v>
                </c:pt>
                <c:pt idx="5">
                  <c:v>108436</c:v>
                </c:pt>
                <c:pt idx="6">
                  <c:v>12576</c:v>
                </c:pt>
                <c:pt idx="7">
                  <c:v>22676</c:v>
                </c:pt>
                <c:pt idx="8">
                  <c:v>31426</c:v>
                </c:pt>
                <c:pt idx="9">
                  <c:v>52142</c:v>
                </c:pt>
                <c:pt idx="10">
                  <c:v>10089</c:v>
                </c:pt>
              </c:numCache>
            </c:numRef>
          </c:val>
        </c:ser>
        <c:dLbls>
          <c:showLegendKey val="0"/>
          <c:showVal val="0"/>
          <c:showCatName val="0"/>
          <c:showSerName val="0"/>
          <c:showPercent val="0"/>
          <c:showBubbleSize val="0"/>
        </c:dLbls>
        <c:axId val="77112064"/>
        <c:axId val="77113600"/>
      </c:areaChart>
      <c:catAx>
        <c:axId val="77112064"/>
        <c:scaling>
          <c:orientation val="minMax"/>
        </c:scaling>
        <c:delete val="0"/>
        <c:axPos val="b"/>
        <c:numFmt formatCode="General" sourceLinked="1"/>
        <c:majorTickMark val="out"/>
        <c:minorTickMark val="none"/>
        <c:tickLblPos val="nextTo"/>
        <c:spPr>
          <a:ln w="3168">
            <a:solidFill>
              <a:srgbClr val="000000"/>
            </a:solidFill>
            <a:prstDash val="solid"/>
          </a:ln>
        </c:spPr>
        <c:txPr>
          <a:bodyPr rot="-2700000" vert="horz"/>
          <a:lstStyle/>
          <a:p>
            <a:pPr>
              <a:defRPr sz="973" b="1" i="0" u="none" strike="noStrike" baseline="0">
                <a:solidFill>
                  <a:srgbClr val="000000"/>
                </a:solidFill>
                <a:latin typeface="Arial"/>
                <a:ea typeface="Arial"/>
                <a:cs typeface="Arial"/>
              </a:defRPr>
            </a:pPr>
            <a:endParaRPr lang="lt-LT"/>
          </a:p>
        </c:txPr>
        <c:crossAx val="77113600"/>
        <c:crosses val="autoZero"/>
        <c:auto val="1"/>
        <c:lblAlgn val="ctr"/>
        <c:lblOffset val="100"/>
        <c:tickLblSkip val="1"/>
        <c:tickMarkSkip val="1"/>
        <c:noMultiLvlLbl val="0"/>
      </c:catAx>
      <c:valAx>
        <c:axId val="77113600"/>
        <c:scaling>
          <c:orientation val="minMax"/>
        </c:scaling>
        <c:delete val="0"/>
        <c:axPos val="l"/>
        <c:title>
          <c:tx>
            <c:rich>
              <a:bodyPr/>
              <a:lstStyle/>
              <a:p>
                <a:pPr>
                  <a:defRPr sz="898" b="0" i="0" u="none" strike="noStrike" baseline="0">
                    <a:solidFill>
                      <a:srgbClr val="000000"/>
                    </a:solidFill>
                    <a:latin typeface="Arial"/>
                    <a:ea typeface="Arial"/>
                    <a:cs typeface="Arial"/>
                  </a:defRPr>
                </a:pPr>
                <a:r>
                  <a:rPr lang="lt-LT"/>
                  <a:t>kvadratiniai metrai</a:t>
                </a:r>
              </a:p>
            </c:rich>
          </c:tx>
          <c:layout>
            <c:manualLayout>
              <c:xMode val="edge"/>
              <c:yMode val="edge"/>
              <c:x val="7.537688442211055E-3"/>
              <c:y val="0.34210526315789475"/>
            </c:manualLayout>
          </c:layout>
          <c:overlay val="0"/>
          <c:spPr>
            <a:noFill/>
            <a:ln w="25345">
              <a:noFill/>
            </a:ln>
          </c:spPr>
        </c:title>
        <c:numFmt formatCode="General" sourceLinked="1"/>
        <c:majorTickMark val="out"/>
        <c:minorTickMark val="none"/>
        <c:tickLblPos val="nextTo"/>
        <c:spPr>
          <a:ln w="3168">
            <a:solidFill>
              <a:srgbClr val="000000"/>
            </a:solidFill>
            <a:prstDash val="solid"/>
          </a:ln>
        </c:spPr>
        <c:txPr>
          <a:bodyPr rot="0" vert="horz"/>
          <a:lstStyle/>
          <a:p>
            <a:pPr>
              <a:defRPr sz="973" b="1" i="0" u="none" strike="noStrike" baseline="0">
                <a:solidFill>
                  <a:srgbClr val="FFFFFF"/>
                </a:solidFill>
                <a:latin typeface="Arial"/>
                <a:ea typeface="Arial"/>
                <a:cs typeface="Arial"/>
              </a:defRPr>
            </a:pPr>
            <a:endParaRPr lang="lt-LT"/>
          </a:p>
        </c:txPr>
        <c:crossAx val="77112064"/>
        <c:crosses val="autoZero"/>
        <c:crossBetween val="midCat"/>
        <c:minorUnit val="10000"/>
      </c:valAx>
      <c:spPr>
        <a:noFill/>
        <a:ln w="25345">
          <a:noFill/>
        </a:ln>
      </c:spPr>
    </c:plotArea>
    <c:plotVisOnly val="1"/>
    <c:dispBlanksAs val="zero"/>
    <c:showDLblsOverMax val="0"/>
  </c:chart>
  <c:spPr>
    <a:noFill/>
    <a:ln>
      <a:noFill/>
    </a:ln>
  </c:spPr>
  <c:txPr>
    <a:bodyPr/>
    <a:lstStyle/>
    <a:p>
      <a:pPr>
        <a:defRPr sz="998" b="1" i="0" u="none" strike="noStrike" baseline="0">
          <a:solidFill>
            <a:srgbClr val="000000"/>
          </a:solidFill>
          <a:latin typeface="Arial"/>
          <a:ea typeface="Arial"/>
          <a:cs typeface="Arial"/>
        </a:defRPr>
      </a:pPr>
      <a:endParaRPr lang="lt-LT"/>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8000"/>
                </a:solidFill>
                <a:latin typeface="Times New Roman"/>
                <a:ea typeface="Times New Roman"/>
                <a:cs typeface="Times New Roman"/>
              </a:defRPr>
            </a:pPr>
            <a:r>
              <a:t>LR piliečių  sulaikymų, susijusių su neteisėta narkotikų apyvarta, užsienio valstybėse pobūdis</a:t>
            </a:r>
          </a:p>
        </c:rich>
      </c:tx>
      <c:layout>
        <c:manualLayout>
          <c:xMode val="edge"/>
          <c:yMode val="edge"/>
          <c:x val="0.10431654676258993"/>
          <c:y val="2.197802197802198E-2"/>
        </c:manualLayout>
      </c:layout>
      <c:overlay val="0"/>
      <c:spPr>
        <a:noFill/>
        <a:ln w="25397">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20863309352517986"/>
          <c:y val="0.41208791208791207"/>
          <c:w val="0.65827338129496404"/>
          <c:h val="0.40109890109890112"/>
        </c:manualLayout>
      </c:layout>
      <c:pie3DChart>
        <c:varyColors val="1"/>
        <c:ser>
          <c:idx val="0"/>
          <c:order val="0"/>
          <c:tx>
            <c:strRef>
              <c:f>Sheet1!$A$2</c:f>
              <c:strCache>
                <c:ptCount val="1"/>
                <c:pt idx="0">
                  <c:v>atvejų skaičius</c:v>
                </c:pt>
              </c:strCache>
            </c:strRef>
          </c:tx>
          <c:spPr>
            <a:solidFill>
              <a:srgbClr val="9999FF"/>
            </a:solidFill>
            <a:ln w="12699">
              <a:solidFill>
                <a:srgbClr val="000000"/>
              </a:solidFill>
              <a:prstDash val="solid"/>
            </a:ln>
          </c:spPr>
          <c:explosion val="25"/>
          <c:dPt>
            <c:idx val="0"/>
            <c:bubble3D val="0"/>
            <c:spPr>
              <a:solidFill>
                <a:srgbClr val="FFCC99"/>
              </a:solidFill>
              <a:ln w="12699">
                <a:solidFill>
                  <a:srgbClr val="000000"/>
                </a:solidFill>
                <a:prstDash val="solid"/>
              </a:ln>
            </c:spPr>
          </c:dPt>
          <c:dPt>
            <c:idx val="1"/>
            <c:bubble3D val="0"/>
            <c:spPr>
              <a:solidFill>
                <a:srgbClr val="339966"/>
              </a:solidFill>
              <a:ln w="12699">
                <a:solidFill>
                  <a:srgbClr val="000000"/>
                </a:solidFill>
                <a:prstDash val="solid"/>
              </a:ln>
            </c:spPr>
          </c:dPt>
          <c:dLbls>
            <c:dLbl>
              <c:idx val="0"/>
              <c:layout>
                <c:manualLayout>
                  <c:xMode val="edge"/>
                  <c:yMode val="edge"/>
                  <c:x val="0.82014388489208634"/>
                  <c:y val="0.39010989010989011"/>
                </c:manualLayout>
              </c:layout>
              <c:dLblPos val="bestFit"/>
              <c:showLegendKey val="0"/>
              <c:showVal val="0"/>
              <c:showCatName val="1"/>
              <c:showSerName val="0"/>
              <c:showPercent val="1"/>
              <c:showBubbleSize val="0"/>
            </c:dLbl>
            <c:dLbl>
              <c:idx val="1"/>
              <c:layout>
                <c:manualLayout>
                  <c:xMode val="edge"/>
                  <c:yMode val="edge"/>
                  <c:x val="7.5539568345323743E-2"/>
                  <c:y val="0.67582417582417587"/>
                </c:manualLayout>
              </c:layout>
              <c:tx>
                <c:rich>
                  <a:bodyPr/>
                  <a:lstStyle/>
                  <a:p>
                    <a:pPr>
                      <a:defRPr sz="850" b="1" i="0" u="none" strike="noStrike" baseline="0">
                        <a:solidFill>
                          <a:srgbClr val="008000"/>
                        </a:solidFill>
                        <a:latin typeface="Arial"/>
                        <a:ea typeface="Arial"/>
                        <a:cs typeface="Arial"/>
                      </a:defRPr>
                    </a:pPr>
                    <a:r>
                      <a:t>kontra-banda
70%</a:t>
                    </a:r>
                  </a:p>
                </c:rich>
              </c:tx>
              <c:spPr>
                <a:noFill/>
                <a:ln w="25397">
                  <a:noFill/>
                </a:ln>
              </c:spPr>
              <c:dLblPos val="bestFit"/>
              <c:showLegendKey val="0"/>
              <c:showVal val="0"/>
              <c:showCatName val="0"/>
              <c:showSerName val="0"/>
              <c:showPercent val="0"/>
              <c:showBubbleSize val="0"/>
            </c:dLbl>
            <c:numFmt formatCode="0%" sourceLinked="0"/>
            <c:spPr>
              <a:noFill/>
              <a:ln w="25397">
                <a:noFill/>
              </a:ln>
            </c:spPr>
            <c:txPr>
              <a:bodyPr/>
              <a:lstStyle/>
              <a:p>
                <a:pPr>
                  <a:defRPr sz="850" b="1" i="0" u="none" strike="noStrike" baseline="0">
                    <a:solidFill>
                      <a:srgbClr val="008000"/>
                    </a:solidFill>
                    <a:latin typeface="Arial"/>
                    <a:ea typeface="Arial"/>
                    <a:cs typeface="Arial"/>
                  </a:defRPr>
                </a:pPr>
                <a:endParaRPr lang="lt-LT"/>
              </a:p>
            </c:txPr>
            <c:showLegendKey val="0"/>
            <c:showVal val="0"/>
            <c:showCatName val="1"/>
            <c:showSerName val="0"/>
            <c:showPercent val="1"/>
            <c:showBubbleSize val="0"/>
            <c:showLeaderLines val="1"/>
          </c:dLbls>
          <c:cat>
            <c:strRef>
              <c:f>Sheet1!$B$1:$C$1</c:f>
              <c:strCache>
                <c:ptCount val="2"/>
                <c:pt idx="0">
                  <c:v>prekyba</c:v>
                </c:pt>
                <c:pt idx="1">
                  <c:v>kontrabanda</c:v>
                </c:pt>
              </c:strCache>
            </c:strRef>
          </c:cat>
          <c:val>
            <c:numRef>
              <c:f>Sheet1!$B$2:$C$2</c:f>
              <c:numCache>
                <c:formatCode>General</c:formatCode>
                <c:ptCount val="2"/>
                <c:pt idx="0">
                  <c:v>21</c:v>
                </c:pt>
                <c:pt idx="1">
                  <c:v>48</c:v>
                </c:pt>
              </c:numCache>
            </c:numRef>
          </c:val>
        </c:ser>
        <c:ser>
          <c:idx val="1"/>
          <c:order val="1"/>
          <c:tx>
            <c:strRef>
              <c:f>Sheet1!$A$3</c:f>
              <c:strCache>
                <c:ptCount val="1"/>
              </c:strCache>
            </c:strRef>
          </c:tx>
          <c:spPr>
            <a:solidFill>
              <a:srgbClr val="993366"/>
            </a:solidFill>
            <a:ln w="12699">
              <a:solidFill>
                <a:srgbClr val="000000"/>
              </a:solidFill>
              <a:prstDash val="solid"/>
            </a:ln>
          </c:spPr>
          <c:explosion val="25"/>
          <c:dPt>
            <c:idx val="0"/>
            <c:bubble3D val="0"/>
            <c:spPr>
              <a:solidFill>
                <a:srgbClr val="9999FF"/>
              </a:solidFill>
              <a:ln w="12699">
                <a:solidFill>
                  <a:srgbClr val="000000"/>
                </a:solidFill>
                <a:prstDash val="solid"/>
              </a:ln>
            </c:spPr>
          </c:dPt>
          <c:dPt>
            <c:idx val="1"/>
            <c:bubble3D val="0"/>
          </c:dPt>
          <c:cat>
            <c:strRef>
              <c:f>Sheet1!$B$1:$C$1</c:f>
              <c:strCache>
                <c:ptCount val="2"/>
                <c:pt idx="0">
                  <c:v>prekyba</c:v>
                </c:pt>
                <c:pt idx="1">
                  <c:v>kontrabanda</c:v>
                </c:pt>
              </c:strCache>
            </c:strRef>
          </c:cat>
          <c:val>
            <c:numRef>
              <c:f>Sheet1!$B$3:$C$3</c:f>
              <c:numCache>
                <c:formatCode>General</c:formatCode>
                <c:ptCount val="2"/>
              </c:numCache>
            </c:numRef>
          </c:val>
        </c:ser>
        <c:dLbls>
          <c:showLegendKey val="0"/>
          <c:showVal val="0"/>
          <c:showCatName val="0"/>
          <c:showSerName val="0"/>
          <c:showPercent val="0"/>
          <c:showBubbleSize val="0"/>
          <c:showLeaderLines val="1"/>
        </c:dLbls>
      </c:pie3DChart>
      <c:spPr>
        <a:noFill/>
        <a:ln w="25397">
          <a:noFill/>
        </a:ln>
      </c:spPr>
    </c:plotArea>
    <c:plotVisOnly val="1"/>
    <c:dispBlanksAs val="zero"/>
    <c:showDLblsOverMax val="0"/>
  </c:chart>
  <c:spPr>
    <a:noFill/>
    <a:ln>
      <a:noFill/>
    </a:ln>
  </c:spPr>
  <c:txPr>
    <a:bodyPr/>
    <a:lstStyle/>
    <a:p>
      <a:pPr>
        <a:defRPr sz="800" b="1" i="0" u="none" strike="noStrike" baseline="0">
          <a:solidFill>
            <a:srgbClr val="000000"/>
          </a:solidFill>
          <a:latin typeface="Arial"/>
          <a:ea typeface="Arial"/>
          <a:cs typeface="Arial"/>
        </a:defRPr>
      </a:pPr>
      <a:endParaRPr lang="lt-LT"/>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3"/>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5.4313099041533544E-2"/>
          <c:y val="8.7912087912087919E-2"/>
          <c:w val="0.73642172523961658"/>
          <c:h val="0.72527472527472525"/>
        </c:manualLayout>
      </c:layout>
      <c:bar3DChart>
        <c:barDir val="col"/>
        <c:grouping val="clustered"/>
        <c:varyColors val="0"/>
        <c:ser>
          <c:idx val="0"/>
          <c:order val="0"/>
          <c:tx>
            <c:strRef>
              <c:f>Sheet1!$A$2</c:f>
              <c:strCache>
                <c:ptCount val="1"/>
                <c:pt idx="0">
                  <c:v>Sulaikyta asmenų</c:v>
                </c:pt>
              </c:strCache>
            </c:strRef>
          </c:tx>
          <c:spPr>
            <a:solidFill>
              <a:srgbClr val="9999FF"/>
            </a:solidFill>
            <a:ln w="12699">
              <a:solidFill>
                <a:srgbClr val="000000"/>
              </a:solidFill>
              <a:prstDash val="solid"/>
            </a:ln>
          </c:spPr>
          <c:invertIfNegative val="0"/>
          <c:dLbls>
            <c:dLbl>
              <c:idx val="0"/>
              <c:layout>
                <c:manualLayout>
                  <c:xMode val="edge"/>
                  <c:yMode val="edge"/>
                  <c:x val="0.13738019169329074"/>
                  <c:y val="0.55494505494505497"/>
                </c:manualLayout>
              </c:layout>
              <c:showLegendKey val="0"/>
              <c:showVal val="1"/>
              <c:showCatName val="0"/>
              <c:showSerName val="0"/>
              <c:showPercent val="0"/>
              <c:showBubbleSize val="0"/>
            </c:dLbl>
            <c:dLbl>
              <c:idx val="1"/>
              <c:layout>
                <c:manualLayout>
                  <c:xMode val="edge"/>
                  <c:yMode val="edge"/>
                  <c:x val="0.2108626198083067"/>
                  <c:y val="0.53296703296703296"/>
                </c:manualLayout>
              </c:layout>
              <c:showLegendKey val="0"/>
              <c:showVal val="1"/>
              <c:showCatName val="0"/>
              <c:showSerName val="0"/>
              <c:showPercent val="0"/>
              <c:showBubbleSize val="0"/>
            </c:dLbl>
            <c:dLbl>
              <c:idx val="2"/>
              <c:layout>
                <c:manualLayout>
                  <c:xMode val="edge"/>
                  <c:yMode val="edge"/>
                  <c:x val="0.28753993610223644"/>
                  <c:y val="0.2967032967032967"/>
                </c:manualLayout>
              </c:layout>
              <c:showLegendKey val="0"/>
              <c:showVal val="1"/>
              <c:showCatName val="0"/>
              <c:showSerName val="0"/>
              <c:showPercent val="0"/>
              <c:showBubbleSize val="0"/>
            </c:dLbl>
            <c:dLbl>
              <c:idx val="3"/>
              <c:layout>
                <c:manualLayout>
                  <c:xMode val="edge"/>
                  <c:yMode val="edge"/>
                  <c:x val="0.36261980830670926"/>
                  <c:y val="0.24725274725274726"/>
                </c:manualLayout>
              </c:layout>
              <c:showLegendKey val="0"/>
              <c:showVal val="1"/>
              <c:showCatName val="0"/>
              <c:showSerName val="0"/>
              <c:showPercent val="0"/>
              <c:showBubbleSize val="0"/>
            </c:dLbl>
            <c:dLbl>
              <c:idx val="4"/>
              <c:layout>
                <c:manualLayout>
                  <c:xMode val="edge"/>
                  <c:yMode val="edge"/>
                  <c:x val="0.43290734824281152"/>
                  <c:y val="4.9450549450549448E-2"/>
                </c:manualLayout>
              </c:layout>
              <c:showLegendKey val="0"/>
              <c:showVal val="1"/>
              <c:showCatName val="0"/>
              <c:showSerName val="0"/>
              <c:showPercent val="0"/>
              <c:showBubbleSize val="0"/>
            </c:dLbl>
            <c:dLbl>
              <c:idx val="5"/>
              <c:layout>
                <c:manualLayout>
                  <c:xMode val="edge"/>
                  <c:yMode val="edge"/>
                  <c:x val="0.50798722044728439"/>
                  <c:y val="1.098901098901099E-2"/>
                </c:manualLayout>
              </c:layout>
              <c:showLegendKey val="0"/>
              <c:showVal val="1"/>
              <c:showCatName val="0"/>
              <c:showSerName val="0"/>
              <c:showPercent val="0"/>
              <c:showBubbleSize val="0"/>
            </c:dLbl>
            <c:dLbl>
              <c:idx val="6"/>
              <c:layout>
                <c:manualLayout>
                  <c:xMode val="edge"/>
                  <c:yMode val="edge"/>
                  <c:x val="0.59424920127795522"/>
                  <c:y val="0.1043956043956044"/>
                </c:manualLayout>
              </c:layout>
              <c:showLegendKey val="0"/>
              <c:showVal val="1"/>
              <c:showCatName val="0"/>
              <c:showSerName val="0"/>
              <c:showPercent val="0"/>
              <c:showBubbleSize val="0"/>
            </c:dLbl>
            <c:dLbl>
              <c:idx val="7"/>
              <c:layout>
                <c:manualLayout>
                  <c:xMode val="edge"/>
                  <c:yMode val="edge"/>
                  <c:x val="0.66134185303514381"/>
                  <c:y val="5.4945054945054944E-2"/>
                </c:manualLayout>
              </c:layout>
              <c:showLegendKey val="0"/>
              <c:showVal val="1"/>
              <c:showCatName val="0"/>
              <c:showSerName val="0"/>
              <c:showPercent val="0"/>
              <c:showBubbleSize val="0"/>
            </c:dLbl>
            <c:spPr>
              <a:noFill/>
              <a:ln w="25397">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Sheet1!$B$1:$I$1</c:f>
              <c:numCache>
                <c:formatCode>General</c:formatCode>
                <c:ptCount val="8"/>
                <c:pt idx="0">
                  <c:v>1998</c:v>
                </c:pt>
                <c:pt idx="1">
                  <c:v>1999</c:v>
                </c:pt>
                <c:pt idx="2">
                  <c:v>2000</c:v>
                </c:pt>
                <c:pt idx="3">
                  <c:v>2001</c:v>
                </c:pt>
                <c:pt idx="4">
                  <c:v>2002</c:v>
                </c:pt>
                <c:pt idx="5">
                  <c:v>2003</c:v>
                </c:pt>
                <c:pt idx="6">
                  <c:v>2004</c:v>
                </c:pt>
                <c:pt idx="7">
                  <c:v>2005</c:v>
                </c:pt>
              </c:numCache>
            </c:numRef>
          </c:cat>
          <c:val>
            <c:numRef>
              <c:f>Sheet1!$B$2:$I$2</c:f>
              <c:numCache>
                <c:formatCode>General</c:formatCode>
                <c:ptCount val="8"/>
                <c:pt idx="0">
                  <c:v>23</c:v>
                </c:pt>
                <c:pt idx="1">
                  <c:v>24</c:v>
                </c:pt>
                <c:pt idx="2">
                  <c:v>67</c:v>
                </c:pt>
                <c:pt idx="3">
                  <c:v>68</c:v>
                </c:pt>
                <c:pt idx="4">
                  <c:v>113</c:v>
                </c:pt>
                <c:pt idx="5">
                  <c:v>118</c:v>
                </c:pt>
                <c:pt idx="6">
                  <c:v>99</c:v>
                </c:pt>
                <c:pt idx="7">
                  <c:v>106</c:v>
                </c:pt>
              </c:numCache>
            </c:numRef>
          </c:val>
        </c:ser>
        <c:ser>
          <c:idx val="1"/>
          <c:order val="1"/>
          <c:tx>
            <c:strRef>
              <c:f>Sheet1!$A$3</c:f>
              <c:strCache>
                <c:ptCount val="1"/>
                <c:pt idx="0">
                  <c:v>Sulaikymo atvejai </c:v>
                </c:pt>
              </c:strCache>
            </c:strRef>
          </c:tx>
          <c:spPr>
            <a:solidFill>
              <a:srgbClr val="993366"/>
            </a:solidFill>
            <a:ln w="12699">
              <a:solidFill>
                <a:srgbClr val="000000"/>
              </a:solidFill>
              <a:prstDash val="solid"/>
            </a:ln>
          </c:spPr>
          <c:invertIfNegative val="0"/>
          <c:dLbls>
            <c:dLbl>
              <c:idx val="0"/>
              <c:layout>
                <c:manualLayout>
                  <c:xMode val="edge"/>
                  <c:yMode val="edge"/>
                  <c:x val="0.16453674121405751"/>
                  <c:y val="0.58241758241758246"/>
                </c:manualLayout>
              </c:layout>
              <c:showLegendKey val="0"/>
              <c:showVal val="1"/>
              <c:showCatName val="0"/>
              <c:showSerName val="0"/>
              <c:showPercent val="0"/>
              <c:showBubbleSize val="0"/>
            </c:dLbl>
            <c:dLbl>
              <c:idx val="1"/>
              <c:layout>
                <c:manualLayout>
                  <c:xMode val="edge"/>
                  <c:yMode val="edge"/>
                  <c:x val="0.23801916932907349"/>
                  <c:y val="0.59340659340659341"/>
                </c:manualLayout>
              </c:layout>
              <c:showLegendKey val="0"/>
              <c:showVal val="1"/>
              <c:showCatName val="0"/>
              <c:showSerName val="0"/>
              <c:showPercent val="0"/>
              <c:showBubbleSize val="0"/>
            </c:dLbl>
            <c:dLbl>
              <c:idx val="2"/>
              <c:layout>
                <c:manualLayout>
                  <c:xMode val="edge"/>
                  <c:yMode val="edge"/>
                  <c:x val="0.31469648562300317"/>
                  <c:y val="0.45054945054945056"/>
                </c:manualLayout>
              </c:layout>
              <c:showLegendKey val="0"/>
              <c:showVal val="1"/>
              <c:showCatName val="0"/>
              <c:showSerName val="0"/>
              <c:showPercent val="0"/>
              <c:showBubbleSize val="0"/>
            </c:dLbl>
            <c:dLbl>
              <c:idx val="3"/>
              <c:layout>
                <c:manualLayout>
                  <c:xMode val="edge"/>
                  <c:yMode val="edge"/>
                  <c:x val="0.38977635782747605"/>
                  <c:y val="0.47252747252747251"/>
                </c:manualLayout>
              </c:layout>
              <c:showLegendKey val="0"/>
              <c:showVal val="1"/>
              <c:showCatName val="0"/>
              <c:showSerName val="0"/>
              <c:showPercent val="0"/>
              <c:showBubbleSize val="0"/>
            </c:dLbl>
            <c:dLbl>
              <c:idx val="4"/>
              <c:layout>
                <c:manualLayout>
                  <c:xMode val="edge"/>
                  <c:yMode val="edge"/>
                  <c:x val="0.46325878594249204"/>
                  <c:y val="0.31868131868131866"/>
                </c:manualLayout>
              </c:layout>
              <c:showLegendKey val="0"/>
              <c:showVal val="1"/>
              <c:showCatName val="0"/>
              <c:showSerName val="0"/>
              <c:showPercent val="0"/>
              <c:showBubbleSize val="0"/>
            </c:dLbl>
            <c:dLbl>
              <c:idx val="5"/>
              <c:layout>
                <c:manualLayout>
                  <c:xMode val="edge"/>
                  <c:yMode val="edge"/>
                  <c:x val="0.54153354632587858"/>
                  <c:y val="0.32967032967032966"/>
                </c:manualLayout>
              </c:layout>
              <c:showLegendKey val="0"/>
              <c:showVal val="1"/>
              <c:showCatName val="0"/>
              <c:showSerName val="0"/>
              <c:showPercent val="0"/>
              <c:showBubbleSize val="0"/>
            </c:dLbl>
            <c:dLbl>
              <c:idx val="6"/>
              <c:layout>
                <c:manualLayout>
                  <c:xMode val="edge"/>
                  <c:yMode val="edge"/>
                  <c:x val="0.62460063897763574"/>
                  <c:y val="0.32967032967032966"/>
                </c:manualLayout>
              </c:layout>
              <c:showLegendKey val="0"/>
              <c:showVal val="1"/>
              <c:showCatName val="0"/>
              <c:showSerName val="0"/>
              <c:showPercent val="0"/>
              <c:showBubbleSize val="0"/>
            </c:dLbl>
            <c:dLbl>
              <c:idx val="7"/>
              <c:layout>
                <c:manualLayout>
                  <c:xMode val="edge"/>
                  <c:yMode val="edge"/>
                  <c:x val="0.69968051118210861"/>
                  <c:y val="0.25824175824175827"/>
                </c:manualLayout>
              </c:layout>
              <c:showLegendKey val="0"/>
              <c:showVal val="1"/>
              <c:showCatName val="0"/>
              <c:showSerName val="0"/>
              <c:showPercent val="0"/>
              <c:showBubbleSize val="0"/>
            </c:dLbl>
            <c:spPr>
              <a:noFill/>
              <a:ln w="25397">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Sheet1!$B$1:$I$1</c:f>
              <c:numCache>
                <c:formatCode>General</c:formatCode>
                <c:ptCount val="8"/>
                <c:pt idx="0">
                  <c:v>1998</c:v>
                </c:pt>
                <c:pt idx="1">
                  <c:v>1999</c:v>
                </c:pt>
                <c:pt idx="2">
                  <c:v>2000</c:v>
                </c:pt>
                <c:pt idx="3">
                  <c:v>2001</c:v>
                </c:pt>
                <c:pt idx="4">
                  <c:v>2002</c:v>
                </c:pt>
                <c:pt idx="5">
                  <c:v>2003</c:v>
                </c:pt>
                <c:pt idx="6">
                  <c:v>2004</c:v>
                </c:pt>
                <c:pt idx="7">
                  <c:v>2005</c:v>
                </c:pt>
              </c:numCache>
            </c:numRef>
          </c:cat>
          <c:val>
            <c:numRef>
              <c:f>Sheet1!$B$3:$I$3</c:f>
              <c:numCache>
                <c:formatCode>General</c:formatCode>
                <c:ptCount val="8"/>
                <c:pt idx="0">
                  <c:v>13</c:v>
                </c:pt>
                <c:pt idx="1">
                  <c:v>15</c:v>
                </c:pt>
                <c:pt idx="2">
                  <c:v>38</c:v>
                </c:pt>
                <c:pt idx="3">
                  <c:v>36</c:v>
                </c:pt>
                <c:pt idx="4">
                  <c:v>61</c:v>
                </c:pt>
                <c:pt idx="5">
                  <c:v>60</c:v>
                </c:pt>
                <c:pt idx="6">
                  <c:v>60</c:v>
                </c:pt>
                <c:pt idx="7">
                  <c:v>71</c:v>
                </c:pt>
              </c:numCache>
            </c:numRef>
          </c:val>
        </c:ser>
        <c:dLbls>
          <c:showLegendKey val="0"/>
          <c:showVal val="0"/>
          <c:showCatName val="0"/>
          <c:showSerName val="0"/>
          <c:showPercent val="0"/>
          <c:showBubbleSize val="0"/>
        </c:dLbls>
        <c:gapWidth val="150"/>
        <c:gapDepth val="0"/>
        <c:shape val="box"/>
        <c:axId val="77313920"/>
        <c:axId val="77315456"/>
        <c:axId val="0"/>
      </c:bar3DChart>
      <c:catAx>
        <c:axId val="7731392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lt-LT"/>
          </a:p>
        </c:txPr>
        <c:crossAx val="77315456"/>
        <c:crosses val="autoZero"/>
        <c:auto val="1"/>
        <c:lblAlgn val="ctr"/>
        <c:lblOffset val="100"/>
        <c:tickLblSkip val="1"/>
        <c:tickMarkSkip val="1"/>
        <c:noMultiLvlLbl val="0"/>
      </c:catAx>
      <c:valAx>
        <c:axId val="77315456"/>
        <c:scaling>
          <c:orientation val="minMax"/>
        </c:scaling>
        <c:delete val="0"/>
        <c:axPos val="l"/>
        <c:majorGridlines>
          <c:spPr>
            <a:ln w="12699">
              <a:solidFill>
                <a:srgbClr val="FFFFFF"/>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lt-LT"/>
          </a:p>
        </c:txPr>
        <c:crossAx val="77313920"/>
        <c:crosses val="autoZero"/>
        <c:crossBetween val="between"/>
      </c:valAx>
      <c:spPr>
        <a:noFill/>
        <a:ln w="25397">
          <a:noFill/>
        </a:ln>
      </c:spPr>
    </c:plotArea>
    <c:legend>
      <c:legendPos val="r"/>
      <c:layout>
        <c:manualLayout>
          <c:xMode val="edge"/>
          <c:yMode val="edge"/>
          <c:x val="0.80830670926517567"/>
          <c:y val="0.39560439560439559"/>
          <c:w val="0.1853035143769968"/>
          <c:h val="0.21428571428571427"/>
        </c:manualLayout>
      </c:layout>
      <c:overlay val="0"/>
      <c:spPr>
        <a:noFill/>
        <a:ln w="3175">
          <a:solidFill>
            <a:srgbClr val="000000"/>
          </a:solidFill>
          <a:prstDash val="solid"/>
        </a:ln>
      </c:spPr>
      <c:txPr>
        <a:bodyPr/>
        <a:lstStyle/>
        <a:p>
          <a:pPr>
            <a:defRPr sz="735" b="1"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lt-LT"/>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9" b="1" i="0" u="none" strike="noStrike" baseline="0">
                <a:solidFill>
                  <a:srgbClr val="008000"/>
                </a:solidFill>
                <a:latin typeface="Times New Roman"/>
                <a:ea typeface="Times New Roman"/>
                <a:cs typeface="Times New Roman"/>
              </a:defRPr>
            </a:pPr>
            <a:r>
              <a:rPr lang="lt-LT"/>
              <a:t>LR piliečių gabenamos narkotikų kontrabandos būdai</a:t>
            </a:r>
          </a:p>
        </c:rich>
      </c:tx>
      <c:layout>
        <c:manualLayout>
          <c:xMode val="edge"/>
          <c:yMode val="edge"/>
          <c:x val="0.1206896551724138"/>
          <c:y val="0"/>
        </c:manualLayout>
      </c:layout>
      <c:overlay val="0"/>
      <c:spPr>
        <a:noFill/>
        <a:ln w="25373">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7241379310344829"/>
          <c:y val="0.32124352331606215"/>
          <c:w val="0.72413793103448276"/>
          <c:h val="0.43005181347150256"/>
        </c:manualLayout>
      </c:layout>
      <c:pie3DChart>
        <c:varyColors val="1"/>
        <c:ser>
          <c:idx val="0"/>
          <c:order val="0"/>
          <c:tx>
            <c:strRef>
              <c:f>Sheet1!$A$2</c:f>
              <c:strCache>
                <c:ptCount val="1"/>
                <c:pt idx="0">
                  <c:v>Atvejų skaičius</c:v>
                </c:pt>
              </c:strCache>
            </c:strRef>
          </c:tx>
          <c:spPr>
            <a:solidFill>
              <a:srgbClr val="9999FF"/>
            </a:solidFill>
            <a:ln w="12686">
              <a:solidFill>
                <a:srgbClr val="000000"/>
              </a:solidFill>
              <a:prstDash val="solid"/>
            </a:ln>
          </c:spPr>
          <c:explosion val="25"/>
          <c:dPt>
            <c:idx val="0"/>
            <c:bubble3D val="0"/>
            <c:spPr>
              <a:solidFill>
                <a:srgbClr val="339966"/>
              </a:solidFill>
              <a:ln w="12686">
                <a:solidFill>
                  <a:srgbClr val="000000"/>
                </a:solidFill>
                <a:prstDash val="solid"/>
              </a:ln>
            </c:spPr>
          </c:dPt>
          <c:dPt>
            <c:idx val="1"/>
            <c:bubble3D val="0"/>
            <c:spPr>
              <a:solidFill>
                <a:srgbClr val="993366"/>
              </a:solidFill>
              <a:ln w="12686">
                <a:solidFill>
                  <a:srgbClr val="000000"/>
                </a:solidFill>
                <a:prstDash val="solid"/>
              </a:ln>
            </c:spPr>
          </c:dPt>
          <c:dPt>
            <c:idx val="2"/>
            <c:bubble3D val="0"/>
            <c:spPr>
              <a:solidFill>
                <a:srgbClr val="FFFFCC"/>
              </a:solidFill>
              <a:ln w="12686">
                <a:solidFill>
                  <a:srgbClr val="000000"/>
                </a:solidFill>
                <a:prstDash val="solid"/>
              </a:ln>
            </c:spPr>
          </c:dPt>
          <c:dLbls>
            <c:dLbl>
              <c:idx val="0"/>
              <c:layout>
                <c:manualLayout>
                  <c:x val="-2.3870673062418871E-2"/>
                  <c:y val="0.13659205588402759"/>
                </c:manualLayout>
              </c:layout>
              <c:dLblPos val="bestFit"/>
              <c:showLegendKey val="0"/>
              <c:showVal val="0"/>
              <c:showCatName val="1"/>
              <c:showSerName val="0"/>
              <c:showPercent val="1"/>
              <c:showBubbleSize val="0"/>
            </c:dLbl>
            <c:dLbl>
              <c:idx val="1"/>
              <c:layout>
                <c:manualLayout>
                  <c:x val="0.13448275862068965"/>
                  <c:y val="0.24420941396976084"/>
                </c:manualLayout>
              </c:layout>
              <c:dLblPos val="bestFit"/>
              <c:showLegendKey val="0"/>
              <c:showVal val="0"/>
              <c:showCatName val="1"/>
              <c:showSerName val="0"/>
              <c:showPercent val="1"/>
              <c:showBubbleSize val="0"/>
            </c:dLbl>
            <c:dLbl>
              <c:idx val="2"/>
              <c:layout>
                <c:manualLayout>
                  <c:x val="-0.2306653392463873"/>
                  <c:y val="8.7940570766156481E-2"/>
                </c:manualLayout>
              </c:layout>
              <c:dLblPos val="bestFit"/>
              <c:showLegendKey val="0"/>
              <c:showVal val="0"/>
              <c:showCatName val="1"/>
              <c:showSerName val="0"/>
              <c:showPercent val="1"/>
              <c:showBubbleSize val="0"/>
            </c:dLbl>
            <c:numFmt formatCode="0%" sourceLinked="0"/>
            <c:spPr>
              <a:noFill/>
              <a:ln w="25373">
                <a:noFill/>
              </a:ln>
            </c:spPr>
            <c:txPr>
              <a:bodyPr/>
              <a:lstStyle/>
              <a:p>
                <a:pPr>
                  <a:defRPr sz="999" b="1" i="0" u="none" strike="noStrike" baseline="0">
                    <a:solidFill>
                      <a:srgbClr val="008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Sheet1!$B$1:$D$1</c:f>
              <c:strCache>
                <c:ptCount val="3"/>
                <c:pt idx="0">
                  <c:v>Automobiliais</c:v>
                </c:pt>
                <c:pt idx="1">
                  <c:v>Lėktuvais</c:v>
                </c:pt>
                <c:pt idx="2">
                  <c:v>Kita tr.pr.</c:v>
                </c:pt>
              </c:strCache>
            </c:strRef>
          </c:cat>
          <c:val>
            <c:numRef>
              <c:f>Sheet1!$B$2:$D$2</c:f>
              <c:numCache>
                <c:formatCode>General</c:formatCode>
                <c:ptCount val="3"/>
                <c:pt idx="0">
                  <c:v>30</c:v>
                </c:pt>
                <c:pt idx="1">
                  <c:v>11</c:v>
                </c:pt>
                <c:pt idx="2">
                  <c:v>7</c:v>
                </c:pt>
              </c:numCache>
            </c:numRef>
          </c:val>
        </c:ser>
        <c:dLbls>
          <c:showLegendKey val="0"/>
          <c:showVal val="0"/>
          <c:showCatName val="0"/>
          <c:showSerName val="0"/>
          <c:showPercent val="0"/>
          <c:showBubbleSize val="0"/>
          <c:showLeaderLines val="1"/>
        </c:dLbls>
      </c:pie3DChart>
      <c:spPr>
        <a:noFill/>
        <a:ln w="25373">
          <a:noFill/>
        </a:ln>
      </c:spPr>
    </c:plotArea>
    <c:plotVisOnly val="1"/>
    <c:dispBlanksAs val="zero"/>
    <c:showDLblsOverMax val="0"/>
  </c:chart>
  <c:spPr>
    <a:noFill/>
    <a:ln>
      <a:noFill/>
    </a:ln>
  </c:spPr>
  <c:txPr>
    <a:bodyPr/>
    <a:lstStyle/>
    <a:p>
      <a:pPr>
        <a:defRPr sz="824" b="1" i="0" u="none" strike="noStrike" baseline="0">
          <a:solidFill>
            <a:srgbClr val="000000"/>
          </a:solidFill>
          <a:latin typeface="Arial"/>
          <a:ea typeface="Arial"/>
          <a:cs typeface="Arial"/>
        </a:defRPr>
      </a:pPr>
      <a:endParaRPr lang="lt-LT"/>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8000"/>
                </a:solidFill>
                <a:latin typeface="Times New Roman"/>
                <a:ea typeface="Times New Roman"/>
                <a:cs typeface="Times New Roman"/>
              </a:defRPr>
            </a:pPr>
            <a:r>
              <a:rPr lang="lt-LT"/>
              <a:t>LR piliečių, sulaikytų už neteisėtą narkotikų disponavimą užsienio valstybėse,  skaičius</a:t>
            </a:r>
          </a:p>
        </c:rich>
      </c:tx>
      <c:layout>
        <c:manualLayout>
          <c:xMode val="edge"/>
          <c:yMode val="edge"/>
          <c:x val="0.12218649517684887"/>
          <c:y val="3.2710280373831772E-2"/>
        </c:manualLayout>
      </c:layout>
      <c:overlay val="0"/>
      <c:spPr>
        <a:noFill/>
        <a:ln w="25404">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22829581993569131"/>
          <c:y val="0.55140186915887845"/>
          <c:w val="0.55305466237942125"/>
          <c:h val="0.31775700934579437"/>
        </c:manualLayout>
      </c:layout>
      <c:pie3DChart>
        <c:varyColors val="1"/>
        <c:ser>
          <c:idx val="0"/>
          <c:order val="0"/>
          <c:spPr>
            <a:solidFill>
              <a:srgbClr val="9999FF"/>
            </a:solidFill>
            <a:ln w="12702">
              <a:solidFill>
                <a:srgbClr val="000000"/>
              </a:solidFill>
              <a:prstDash val="solid"/>
            </a:ln>
          </c:spPr>
          <c:explosion val="45"/>
          <c:dPt>
            <c:idx val="0"/>
            <c:bubble3D val="0"/>
          </c:dPt>
          <c:dPt>
            <c:idx val="1"/>
            <c:bubble3D val="0"/>
            <c:spPr>
              <a:solidFill>
                <a:srgbClr val="993366"/>
              </a:solidFill>
              <a:ln w="12702">
                <a:solidFill>
                  <a:srgbClr val="000000"/>
                </a:solidFill>
                <a:prstDash val="solid"/>
              </a:ln>
            </c:spPr>
          </c:dPt>
          <c:dPt>
            <c:idx val="2"/>
            <c:bubble3D val="0"/>
            <c:spPr>
              <a:solidFill>
                <a:srgbClr val="FFFFCC"/>
              </a:solidFill>
              <a:ln w="12702">
                <a:solidFill>
                  <a:srgbClr val="000000"/>
                </a:solidFill>
                <a:prstDash val="solid"/>
              </a:ln>
            </c:spPr>
          </c:dPt>
          <c:dPt>
            <c:idx val="3"/>
            <c:bubble3D val="0"/>
            <c:spPr>
              <a:solidFill>
                <a:srgbClr val="CCFFFF"/>
              </a:solidFill>
              <a:ln w="12702">
                <a:solidFill>
                  <a:srgbClr val="000000"/>
                </a:solidFill>
                <a:prstDash val="solid"/>
              </a:ln>
            </c:spPr>
          </c:dPt>
          <c:dPt>
            <c:idx val="4"/>
            <c:bubble3D val="0"/>
            <c:spPr>
              <a:solidFill>
                <a:srgbClr val="660066"/>
              </a:solidFill>
              <a:ln w="12702">
                <a:solidFill>
                  <a:srgbClr val="000000"/>
                </a:solidFill>
                <a:prstDash val="solid"/>
              </a:ln>
            </c:spPr>
          </c:dPt>
          <c:dPt>
            <c:idx val="5"/>
            <c:bubble3D val="0"/>
            <c:spPr>
              <a:solidFill>
                <a:srgbClr val="FF8080"/>
              </a:solidFill>
              <a:ln w="12702">
                <a:solidFill>
                  <a:srgbClr val="000000"/>
                </a:solidFill>
                <a:prstDash val="solid"/>
              </a:ln>
            </c:spPr>
          </c:dPt>
          <c:dPt>
            <c:idx val="6"/>
            <c:bubble3D val="0"/>
            <c:spPr>
              <a:solidFill>
                <a:srgbClr val="0066CC"/>
              </a:solidFill>
              <a:ln w="12702">
                <a:solidFill>
                  <a:srgbClr val="000000"/>
                </a:solidFill>
                <a:prstDash val="solid"/>
              </a:ln>
            </c:spPr>
          </c:dPt>
          <c:dPt>
            <c:idx val="7"/>
            <c:bubble3D val="0"/>
            <c:spPr>
              <a:solidFill>
                <a:srgbClr val="CCCCFF"/>
              </a:solidFill>
              <a:ln w="12702">
                <a:solidFill>
                  <a:srgbClr val="000000"/>
                </a:solidFill>
                <a:prstDash val="solid"/>
              </a:ln>
            </c:spPr>
          </c:dPt>
          <c:dPt>
            <c:idx val="8"/>
            <c:bubble3D val="0"/>
            <c:spPr>
              <a:solidFill>
                <a:srgbClr val="000080"/>
              </a:solidFill>
              <a:ln w="12702">
                <a:solidFill>
                  <a:srgbClr val="000000"/>
                </a:solidFill>
                <a:prstDash val="solid"/>
              </a:ln>
            </c:spPr>
          </c:dPt>
          <c:dPt>
            <c:idx val="9"/>
            <c:bubble3D val="0"/>
            <c:spPr>
              <a:solidFill>
                <a:srgbClr val="FF00FF"/>
              </a:solidFill>
              <a:ln w="12702">
                <a:solidFill>
                  <a:srgbClr val="000000"/>
                </a:solidFill>
                <a:prstDash val="solid"/>
              </a:ln>
            </c:spPr>
          </c:dPt>
          <c:dPt>
            <c:idx val="10"/>
            <c:bubble3D val="0"/>
            <c:spPr>
              <a:solidFill>
                <a:srgbClr val="FFFF00"/>
              </a:solidFill>
              <a:ln w="12702">
                <a:solidFill>
                  <a:srgbClr val="000000"/>
                </a:solidFill>
                <a:prstDash val="solid"/>
              </a:ln>
            </c:spPr>
          </c:dPt>
          <c:dLbls>
            <c:dLbl>
              <c:idx val="0"/>
              <c:layout>
                <c:manualLayout>
                  <c:x val="0.12371505744971469"/>
                  <c:y val="-5.9880496830419544E-2"/>
                </c:manualLayout>
              </c:layout>
              <c:dLblPos val="bestFit"/>
              <c:showLegendKey val="0"/>
              <c:showVal val="1"/>
              <c:showCatName val="1"/>
              <c:showSerName val="0"/>
              <c:showPercent val="0"/>
              <c:showBubbleSize val="0"/>
            </c:dLbl>
            <c:dLbl>
              <c:idx val="1"/>
              <c:layout>
                <c:manualLayout>
                  <c:x val="6.8100297902405196E-2"/>
                  <c:y val="-6.380077198294168E-3"/>
                </c:manualLayout>
              </c:layout>
              <c:dLblPos val="bestFit"/>
              <c:showLegendKey val="0"/>
              <c:showVal val="1"/>
              <c:showCatName val="1"/>
              <c:showSerName val="0"/>
              <c:showPercent val="0"/>
              <c:showBubbleSize val="0"/>
            </c:dLbl>
            <c:dLbl>
              <c:idx val="2"/>
              <c:layout>
                <c:manualLayout>
                  <c:x val="-5.6526690211444186E-2"/>
                  <c:y val="5.0834336420564251E-2"/>
                </c:manualLayout>
              </c:layout>
              <c:dLblPos val="bestFit"/>
              <c:showLegendKey val="0"/>
              <c:showVal val="1"/>
              <c:showCatName val="1"/>
              <c:showSerName val="0"/>
              <c:showPercent val="0"/>
              <c:showBubbleSize val="0"/>
            </c:dLbl>
            <c:dLbl>
              <c:idx val="3"/>
              <c:layout>
                <c:manualLayout>
                  <c:x val="0.1711940297212525"/>
                  <c:y val="8.2855311894424483E-3"/>
                </c:manualLayout>
              </c:layout>
              <c:dLblPos val="bestFit"/>
              <c:showLegendKey val="0"/>
              <c:showVal val="1"/>
              <c:showCatName val="1"/>
              <c:showSerName val="0"/>
              <c:showPercent val="0"/>
              <c:showBubbleSize val="0"/>
            </c:dLbl>
            <c:dLbl>
              <c:idx val="4"/>
              <c:layout>
                <c:manualLayout>
                  <c:x val="8.6766491538679366E-2"/>
                  <c:y val="9.7299198581485682E-2"/>
                </c:manualLayout>
              </c:layout>
              <c:dLblPos val="bestFit"/>
              <c:showLegendKey val="0"/>
              <c:showVal val="1"/>
              <c:showCatName val="1"/>
              <c:showSerName val="0"/>
              <c:showPercent val="0"/>
              <c:showBubbleSize val="0"/>
            </c:dLbl>
            <c:dLbl>
              <c:idx val="5"/>
              <c:layout>
                <c:manualLayout>
                  <c:x val="-2.6668144229364428E-2"/>
                  <c:y val="6.001938279911273E-2"/>
                </c:manualLayout>
              </c:layout>
              <c:dLblPos val="bestFit"/>
              <c:showLegendKey val="0"/>
              <c:showVal val="1"/>
              <c:showCatName val="1"/>
              <c:showSerName val="0"/>
              <c:showPercent val="0"/>
              <c:showBubbleSize val="0"/>
            </c:dLbl>
            <c:dLbl>
              <c:idx val="6"/>
              <c:layout>
                <c:manualLayout>
                  <c:x val="-1.9331835105790732E-2"/>
                  <c:y val="-3.6281656381737401E-2"/>
                </c:manualLayout>
              </c:layout>
              <c:dLblPos val="bestFit"/>
              <c:showLegendKey val="0"/>
              <c:showVal val="1"/>
              <c:showCatName val="1"/>
              <c:showSerName val="0"/>
              <c:showPercent val="0"/>
              <c:showBubbleSize val="0"/>
            </c:dLbl>
            <c:dLbl>
              <c:idx val="7"/>
              <c:layout>
                <c:manualLayout>
                  <c:x val="-2.46903650371227E-2"/>
                  <c:y val="-4.915727969751453E-2"/>
                </c:manualLayout>
              </c:layout>
              <c:dLblPos val="bestFit"/>
              <c:showLegendKey val="0"/>
              <c:showVal val="1"/>
              <c:showCatName val="1"/>
              <c:showSerName val="0"/>
              <c:showPercent val="0"/>
              <c:showBubbleSize val="0"/>
            </c:dLbl>
            <c:dLbl>
              <c:idx val="8"/>
              <c:layout>
                <c:manualLayout>
                  <c:x val="-5.0406541385650582E-3"/>
                  <c:y val="-0.14353230378912915"/>
                </c:manualLayout>
              </c:layout>
              <c:dLblPos val="bestFit"/>
              <c:showLegendKey val="0"/>
              <c:showVal val="1"/>
              <c:showCatName val="1"/>
              <c:showSerName val="0"/>
              <c:showPercent val="0"/>
              <c:showBubbleSize val="0"/>
            </c:dLbl>
            <c:dLbl>
              <c:idx val="9"/>
              <c:layout>
                <c:manualLayout>
                  <c:x val="5.0876358999465007E-2"/>
                  <c:y val="-0.13464685197060647"/>
                </c:manualLayout>
              </c:layout>
              <c:dLblPos val="bestFit"/>
              <c:showLegendKey val="0"/>
              <c:showVal val="1"/>
              <c:showCatName val="1"/>
              <c:showSerName val="0"/>
              <c:showPercent val="0"/>
              <c:showBubbleSize val="0"/>
            </c:dLbl>
            <c:dLbl>
              <c:idx val="10"/>
              <c:layout>
                <c:manualLayout>
                  <c:x val="0.22022257405040765"/>
                  <c:y val="-8.3013550000175199E-2"/>
                </c:manualLayout>
              </c:layout>
              <c:dLblPos val="bestFit"/>
              <c:showLegendKey val="0"/>
              <c:showVal val="1"/>
              <c:showCatName val="1"/>
              <c:showSerName val="0"/>
              <c:showPercent val="0"/>
              <c:showBubbleSize val="0"/>
            </c:dLbl>
            <c:dLbl>
              <c:idx val="11"/>
              <c:layout>
                <c:manualLayout>
                  <c:xMode val="edge"/>
                  <c:yMode val="edge"/>
                  <c:x val="0.40836012861736337"/>
                  <c:y val="0.44392523364485981"/>
                </c:manualLayout>
              </c:layout>
              <c:dLblPos val="bestFit"/>
              <c:showLegendKey val="0"/>
              <c:showVal val="1"/>
              <c:showCatName val="1"/>
              <c:showSerName val="0"/>
              <c:showPercent val="0"/>
              <c:showBubbleSize val="0"/>
            </c:dLbl>
            <c:dLbl>
              <c:idx val="12"/>
              <c:layout>
                <c:manualLayout>
                  <c:xMode val="edge"/>
                  <c:yMode val="edge"/>
                  <c:x val="0.4662379421221865"/>
                  <c:y val="0.42523364485981308"/>
                </c:manualLayout>
              </c:layout>
              <c:dLblPos val="bestFit"/>
              <c:showLegendKey val="0"/>
              <c:showVal val="1"/>
              <c:showCatName val="1"/>
              <c:showSerName val="0"/>
              <c:showPercent val="0"/>
              <c:showBubbleSize val="0"/>
            </c:dLbl>
            <c:dLbl>
              <c:idx val="13"/>
              <c:layout>
                <c:manualLayout>
                  <c:xMode val="edge"/>
                  <c:yMode val="edge"/>
                  <c:x val="0.34405144694533762"/>
                  <c:y val="0.43457943925233644"/>
                </c:manualLayout>
              </c:layout>
              <c:dLblPos val="bestFit"/>
              <c:showLegendKey val="0"/>
              <c:showVal val="1"/>
              <c:showCatName val="1"/>
              <c:showSerName val="0"/>
              <c:showPercent val="0"/>
              <c:showBubbleSize val="0"/>
            </c:dLbl>
            <c:dLbl>
              <c:idx val="14"/>
              <c:layout>
                <c:manualLayout>
                  <c:xMode val="edge"/>
                  <c:yMode val="edge"/>
                  <c:x val="0.42765273311897106"/>
                  <c:y val="0.34112149532710279"/>
                </c:manualLayout>
              </c:layout>
              <c:dLblPos val="bestFit"/>
              <c:showLegendKey val="0"/>
              <c:showVal val="1"/>
              <c:showCatName val="1"/>
              <c:showSerName val="0"/>
              <c:showPercent val="0"/>
              <c:showBubbleSize val="0"/>
            </c:dLbl>
            <c:dLbl>
              <c:idx val="15"/>
              <c:layout>
                <c:manualLayout>
                  <c:xMode val="edge"/>
                  <c:yMode val="edge"/>
                  <c:x val="0.45980707395498394"/>
                  <c:y val="0.40654205607476634"/>
                </c:manualLayout>
              </c:layout>
              <c:dLblPos val="bestFit"/>
              <c:showLegendKey val="0"/>
              <c:showVal val="1"/>
              <c:showCatName val="1"/>
              <c:showSerName val="0"/>
              <c:showPercent val="0"/>
              <c:showBubbleSize val="0"/>
            </c:dLbl>
            <c:dLbl>
              <c:idx val="16"/>
              <c:layout>
                <c:manualLayout>
                  <c:xMode val="edge"/>
                  <c:yMode val="edge"/>
                  <c:x val="0.71061093247588425"/>
                  <c:y val="0.3644859813084112"/>
                </c:manualLayout>
              </c:layout>
              <c:dLblPos val="bestFit"/>
              <c:showLegendKey val="0"/>
              <c:showVal val="1"/>
              <c:showCatName val="1"/>
              <c:showSerName val="0"/>
              <c:showPercent val="0"/>
              <c:showBubbleSize val="0"/>
            </c:dLbl>
            <c:spPr>
              <a:noFill/>
              <a:ln w="25404">
                <a:noFill/>
              </a:ln>
            </c:spPr>
            <c:txPr>
              <a:bodyPr/>
              <a:lstStyle/>
              <a:p>
                <a:pPr>
                  <a:defRPr sz="825" b="0" i="0" u="none" strike="noStrike" baseline="0">
                    <a:solidFill>
                      <a:srgbClr val="000000"/>
                    </a:solidFill>
                    <a:latin typeface="Times New Roman"/>
                    <a:ea typeface="Times New Roman"/>
                    <a:cs typeface="Times New Roman"/>
                  </a:defRPr>
                </a:pPr>
                <a:endParaRPr lang="lt-LT"/>
              </a:p>
            </c:txPr>
            <c:showLegendKey val="0"/>
            <c:showVal val="1"/>
            <c:showCatName val="1"/>
            <c:showSerName val="0"/>
            <c:showPercent val="0"/>
            <c:showBubbleSize val="0"/>
            <c:showLeaderLines val="1"/>
          </c:dLbls>
          <c:cat>
            <c:strRef>
              <c:f>Sheet1!$A$1:$A$11</c:f>
              <c:strCache>
                <c:ptCount val="11"/>
                <c:pt idx="0">
                  <c:v>Rusija</c:v>
                </c:pt>
                <c:pt idx="1">
                  <c:v>D.Britanija</c:v>
                </c:pt>
                <c:pt idx="2">
                  <c:v>Norvegija</c:v>
                </c:pt>
                <c:pt idx="3">
                  <c:v>Vokietija</c:v>
                </c:pt>
                <c:pt idx="4">
                  <c:v>Danija</c:v>
                </c:pt>
                <c:pt idx="5">
                  <c:v>Latvija</c:v>
                </c:pt>
                <c:pt idx="6">
                  <c:v>Švedija</c:v>
                </c:pt>
                <c:pt idx="7">
                  <c:v>Ispanija</c:v>
                </c:pt>
                <c:pt idx="8">
                  <c:v>Kitos šalys</c:v>
                </c:pt>
                <c:pt idx="9">
                  <c:v>Lenkija</c:v>
                </c:pt>
                <c:pt idx="10">
                  <c:v>Portugalija</c:v>
                </c:pt>
              </c:strCache>
            </c:strRef>
          </c:cat>
          <c:val>
            <c:numRef>
              <c:f>Sheet1!$B$1:$B$11</c:f>
              <c:numCache>
                <c:formatCode>General</c:formatCode>
                <c:ptCount val="11"/>
                <c:pt idx="0">
                  <c:v>9</c:v>
                </c:pt>
                <c:pt idx="1">
                  <c:v>10</c:v>
                </c:pt>
                <c:pt idx="2">
                  <c:v>24</c:v>
                </c:pt>
                <c:pt idx="3">
                  <c:v>22</c:v>
                </c:pt>
                <c:pt idx="4">
                  <c:v>4</c:v>
                </c:pt>
                <c:pt idx="5">
                  <c:v>4</c:v>
                </c:pt>
                <c:pt idx="6">
                  <c:v>11</c:v>
                </c:pt>
                <c:pt idx="7">
                  <c:v>4</c:v>
                </c:pt>
                <c:pt idx="8">
                  <c:v>12</c:v>
                </c:pt>
                <c:pt idx="9">
                  <c:v>3</c:v>
                </c:pt>
                <c:pt idx="10">
                  <c:v>3</c:v>
                </c:pt>
              </c:numCache>
            </c:numRef>
          </c:val>
        </c:ser>
        <c:dLbls>
          <c:showLegendKey val="0"/>
          <c:showVal val="0"/>
          <c:showCatName val="0"/>
          <c:showSerName val="0"/>
          <c:showPercent val="0"/>
          <c:showBubbleSize val="0"/>
          <c:showLeaderLines val="1"/>
        </c:dLbls>
      </c:pie3DChart>
      <c:spPr>
        <a:noFill/>
        <a:ln w="25404">
          <a:noFill/>
        </a:ln>
      </c:spPr>
    </c:plotArea>
    <c:plotVisOnly val="0"/>
    <c:dispBlanksAs val="zero"/>
    <c:showDLblsOverMax val="0"/>
  </c:chart>
  <c:spPr>
    <a:noFill/>
    <a:ln>
      <a:noFill/>
    </a:ln>
  </c:spPr>
  <c:txPr>
    <a:bodyPr/>
    <a:lstStyle/>
    <a:p>
      <a:pPr>
        <a:defRPr sz="800" b="0" i="0" u="none" strike="noStrike" baseline="0">
          <a:solidFill>
            <a:srgbClr val="000000"/>
          </a:solidFill>
          <a:latin typeface="Arial"/>
          <a:ea typeface="Arial"/>
          <a:cs typeface="Arial"/>
        </a:defRPr>
      </a:pPr>
      <a:endParaRPr lang="lt-LT"/>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8" b="1" i="0" u="none" strike="noStrike" baseline="0">
                <a:solidFill>
                  <a:srgbClr val="008000"/>
                </a:solidFill>
                <a:latin typeface="Times New Roman"/>
                <a:ea typeface="Times New Roman"/>
                <a:cs typeface="Times New Roman"/>
              </a:defRPr>
            </a:pPr>
            <a:r>
              <a:rPr lang="lt-LT"/>
              <a:t>Sulaikymų, susijusių su LR piliečių neteisėtu narkotikų disponavimu užsienio valstybėse, skaičius </a:t>
            </a:r>
          </a:p>
        </c:rich>
      </c:tx>
      <c:layout>
        <c:manualLayout>
          <c:xMode val="edge"/>
          <c:yMode val="edge"/>
          <c:x val="0.13522012578616352"/>
          <c:y val="0"/>
        </c:manualLayout>
      </c:layout>
      <c:overlay val="0"/>
      <c:spPr>
        <a:noFill/>
        <a:ln w="25365">
          <a:noFill/>
        </a:ln>
      </c:spPr>
    </c:title>
    <c:autoTitleDeleted val="0"/>
    <c:view3D>
      <c:rotX val="15"/>
      <c:rotY val="240"/>
      <c:rAngAx val="0"/>
      <c:perspective val="0"/>
    </c:view3D>
    <c:floor>
      <c:thickness val="0"/>
    </c:floor>
    <c:sideWall>
      <c:thickness val="0"/>
    </c:sideWall>
    <c:backWall>
      <c:thickness val="0"/>
    </c:backWall>
    <c:plotArea>
      <c:layout>
        <c:manualLayout>
          <c:layoutTarget val="inner"/>
          <c:xMode val="edge"/>
          <c:yMode val="edge"/>
          <c:x val="0.16352201257861634"/>
          <c:y val="0.48214285714285715"/>
          <c:w val="0.5911949685534591"/>
          <c:h val="0.33482142857142855"/>
        </c:manualLayout>
      </c:layout>
      <c:pie3DChart>
        <c:varyColors val="1"/>
        <c:ser>
          <c:idx val="0"/>
          <c:order val="0"/>
          <c:spPr>
            <a:solidFill>
              <a:srgbClr val="9999FF"/>
            </a:solidFill>
            <a:ln w="12682">
              <a:solidFill>
                <a:srgbClr val="000000"/>
              </a:solidFill>
              <a:prstDash val="solid"/>
            </a:ln>
          </c:spPr>
          <c:explosion val="20"/>
          <c:dPt>
            <c:idx val="0"/>
            <c:bubble3D val="0"/>
          </c:dPt>
          <c:dPt>
            <c:idx val="1"/>
            <c:bubble3D val="0"/>
            <c:spPr>
              <a:solidFill>
                <a:srgbClr val="993366"/>
              </a:solidFill>
              <a:ln w="12682">
                <a:solidFill>
                  <a:srgbClr val="000000"/>
                </a:solidFill>
                <a:prstDash val="solid"/>
              </a:ln>
            </c:spPr>
          </c:dPt>
          <c:dPt>
            <c:idx val="2"/>
            <c:bubble3D val="0"/>
            <c:spPr>
              <a:solidFill>
                <a:srgbClr val="FFFFCC"/>
              </a:solidFill>
              <a:ln w="12682">
                <a:solidFill>
                  <a:srgbClr val="000000"/>
                </a:solidFill>
                <a:prstDash val="solid"/>
              </a:ln>
            </c:spPr>
          </c:dPt>
          <c:dPt>
            <c:idx val="3"/>
            <c:bubble3D val="0"/>
            <c:spPr>
              <a:solidFill>
                <a:srgbClr val="CCFFFF"/>
              </a:solidFill>
              <a:ln w="12682">
                <a:solidFill>
                  <a:srgbClr val="000000"/>
                </a:solidFill>
                <a:prstDash val="solid"/>
              </a:ln>
            </c:spPr>
          </c:dPt>
          <c:dPt>
            <c:idx val="4"/>
            <c:bubble3D val="0"/>
            <c:spPr>
              <a:solidFill>
                <a:srgbClr val="660066"/>
              </a:solidFill>
              <a:ln w="12682">
                <a:solidFill>
                  <a:srgbClr val="000000"/>
                </a:solidFill>
                <a:prstDash val="solid"/>
              </a:ln>
            </c:spPr>
          </c:dPt>
          <c:dPt>
            <c:idx val="5"/>
            <c:bubble3D val="0"/>
            <c:spPr>
              <a:solidFill>
                <a:srgbClr val="FF8080"/>
              </a:solidFill>
              <a:ln w="12682">
                <a:solidFill>
                  <a:srgbClr val="000000"/>
                </a:solidFill>
                <a:prstDash val="solid"/>
              </a:ln>
            </c:spPr>
          </c:dPt>
          <c:dPt>
            <c:idx val="6"/>
            <c:bubble3D val="0"/>
            <c:spPr>
              <a:solidFill>
                <a:srgbClr val="0066CC"/>
              </a:solidFill>
              <a:ln w="12682">
                <a:solidFill>
                  <a:srgbClr val="000000"/>
                </a:solidFill>
                <a:prstDash val="solid"/>
              </a:ln>
            </c:spPr>
          </c:dPt>
          <c:dPt>
            <c:idx val="7"/>
            <c:bubble3D val="0"/>
            <c:spPr>
              <a:solidFill>
                <a:srgbClr val="CCCCFF"/>
              </a:solidFill>
              <a:ln w="12682">
                <a:solidFill>
                  <a:srgbClr val="000000"/>
                </a:solidFill>
                <a:prstDash val="solid"/>
              </a:ln>
            </c:spPr>
          </c:dPt>
          <c:dPt>
            <c:idx val="8"/>
            <c:bubble3D val="0"/>
            <c:spPr>
              <a:solidFill>
                <a:srgbClr val="000080"/>
              </a:solidFill>
              <a:ln w="12682">
                <a:solidFill>
                  <a:srgbClr val="000000"/>
                </a:solidFill>
                <a:prstDash val="solid"/>
              </a:ln>
            </c:spPr>
          </c:dPt>
          <c:dPt>
            <c:idx val="9"/>
            <c:bubble3D val="0"/>
            <c:spPr>
              <a:solidFill>
                <a:srgbClr val="FF00FF"/>
              </a:solidFill>
              <a:ln w="12682">
                <a:solidFill>
                  <a:srgbClr val="000000"/>
                </a:solidFill>
                <a:prstDash val="solid"/>
              </a:ln>
            </c:spPr>
          </c:dPt>
          <c:dPt>
            <c:idx val="10"/>
            <c:bubble3D val="0"/>
            <c:spPr>
              <a:solidFill>
                <a:srgbClr val="FFFF00"/>
              </a:solidFill>
              <a:ln w="12682">
                <a:solidFill>
                  <a:srgbClr val="000000"/>
                </a:solidFill>
                <a:prstDash val="solid"/>
              </a:ln>
            </c:spPr>
          </c:dPt>
          <c:dPt>
            <c:idx val="11"/>
            <c:bubble3D val="0"/>
            <c:spPr>
              <a:solidFill>
                <a:srgbClr val="00FFFF"/>
              </a:solidFill>
              <a:ln w="12682">
                <a:solidFill>
                  <a:srgbClr val="000000"/>
                </a:solidFill>
                <a:prstDash val="solid"/>
              </a:ln>
            </c:spPr>
          </c:dPt>
          <c:dPt>
            <c:idx val="12"/>
            <c:bubble3D val="0"/>
            <c:spPr>
              <a:solidFill>
                <a:srgbClr val="800080"/>
              </a:solidFill>
              <a:ln w="12682">
                <a:solidFill>
                  <a:srgbClr val="000000"/>
                </a:solidFill>
                <a:prstDash val="solid"/>
              </a:ln>
            </c:spPr>
          </c:dPt>
          <c:dLbls>
            <c:dLbl>
              <c:idx val="0"/>
              <c:layout>
                <c:manualLayout>
                  <c:x val="1.1069784482479634E-2"/>
                  <c:y val="-0.19354155502557885"/>
                </c:manualLayout>
              </c:layout>
              <c:dLblPos val="bestFit"/>
              <c:showLegendKey val="0"/>
              <c:showVal val="0"/>
              <c:showCatName val="1"/>
              <c:showSerName val="0"/>
              <c:showPercent val="1"/>
              <c:showBubbleSize val="0"/>
            </c:dLbl>
            <c:dLbl>
              <c:idx val="1"/>
              <c:layout>
                <c:manualLayout>
                  <c:x val="0.15417568488403025"/>
                  <c:y val="-0.15302731203663922"/>
                </c:manualLayout>
              </c:layout>
              <c:dLblPos val="bestFit"/>
              <c:showLegendKey val="0"/>
              <c:showVal val="0"/>
              <c:showCatName val="1"/>
              <c:showSerName val="0"/>
              <c:showPercent val="1"/>
              <c:showBubbleSize val="0"/>
            </c:dLbl>
            <c:dLbl>
              <c:idx val="2"/>
              <c:layout>
                <c:manualLayout>
                  <c:x val="1.0904055499686389E-2"/>
                  <c:y val="-5.7327312358487377E-2"/>
                </c:manualLayout>
              </c:layout>
              <c:dLblPos val="bestFit"/>
              <c:showLegendKey val="0"/>
              <c:showVal val="0"/>
              <c:showCatName val="1"/>
              <c:showSerName val="0"/>
              <c:showPercent val="1"/>
              <c:showBubbleSize val="0"/>
            </c:dLbl>
            <c:dLbl>
              <c:idx val="3"/>
              <c:layout>
                <c:manualLayout>
                  <c:x val="-4.1971835013999474E-2"/>
                  <c:y val="-0.14797004921058685"/>
                </c:manualLayout>
              </c:layout>
              <c:dLblPos val="bestFit"/>
              <c:showLegendKey val="0"/>
              <c:showVal val="0"/>
              <c:showCatName val="1"/>
              <c:showSerName val="0"/>
              <c:showPercent val="1"/>
              <c:showBubbleSize val="0"/>
            </c:dLbl>
            <c:dLbl>
              <c:idx val="4"/>
              <c:layout>
                <c:manualLayout>
                  <c:x val="7.4080581356475356E-2"/>
                  <c:y val="-0.18448668031302956"/>
                </c:manualLayout>
              </c:layout>
              <c:dLblPos val="bestFit"/>
              <c:showLegendKey val="0"/>
              <c:showVal val="0"/>
              <c:showCatName val="1"/>
              <c:showSerName val="0"/>
              <c:showPercent val="1"/>
              <c:showBubbleSize val="0"/>
            </c:dLbl>
            <c:dLbl>
              <c:idx val="5"/>
              <c:layout>
                <c:manualLayout>
                  <c:x val="0.13480903205043976"/>
                  <c:y val="-3.5979390049419781E-2"/>
                </c:manualLayout>
              </c:layout>
              <c:dLblPos val="bestFit"/>
              <c:showLegendKey val="0"/>
              <c:showVal val="0"/>
              <c:showCatName val="1"/>
              <c:showSerName val="0"/>
              <c:showPercent val="1"/>
              <c:showBubbleSize val="0"/>
            </c:dLbl>
            <c:dLbl>
              <c:idx val="6"/>
              <c:layout>
                <c:manualLayout>
                  <c:x val="0.15828132382689408"/>
                  <c:y val="4.9696760678520371E-2"/>
                </c:manualLayout>
              </c:layout>
              <c:dLblPos val="bestFit"/>
              <c:showLegendKey val="0"/>
              <c:showVal val="0"/>
              <c:showCatName val="1"/>
              <c:showSerName val="0"/>
              <c:showPercent val="1"/>
              <c:showBubbleSize val="0"/>
            </c:dLbl>
            <c:dLbl>
              <c:idx val="7"/>
              <c:layout>
                <c:manualLayout>
                  <c:x val="7.8463149753811884E-2"/>
                  <c:y val="5.8068498546050867E-2"/>
                </c:manualLayout>
              </c:layout>
              <c:dLblPos val="bestFit"/>
              <c:showLegendKey val="0"/>
              <c:showVal val="0"/>
              <c:showCatName val="1"/>
              <c:showSerName val="0"/>
              <c:showPercent val="1"/>
              <c:showBubbleSize val="0"/>
            </c:dLbl>
            <c:dLbl>
              <c:idx val="8"/>
              <c:layout>
                <c:manualLayout>
                  <c:x val="4.0541600304779685E-3"/>
                  <c:y val="7.9440088765728376E-2"/>
                </c:manualLayout>
              </c:layout>
              <c:dLblPos val="bestFit"/>
              <c:showLegendKey val="0"/>
              <c:showVal val="0"/>
              <c:showCatName val="1"/>
              <c:showSerName val="0"/>
              <c:showPercent val="1"/>
              <c:showBubbleSize val="0"/>
            </c:dLbl>
            <c:dLbl>
              <c:idx val="9"/>
              <c:layout>
                <c:manualLayout>
                  <c:x val="-3.1038316115744483E-2"/>
                  <c:y val="5.3604212831765169E-2"/>
                </c:manualLayout>
              </c:layout>
              <c:dLblPos val="bestFit"/>
              <c:showLegendKey val="0"/>
              <c:showVal val="0"/>
              <c:showCatName val="1"/>
              <c:showSerName val="0"/>
              <c:showPercent val="1"/>
              <c:showBubbleSize val="0"/>
            </c:dLbl>
            <c:dLbl>
              <c:idx val="10"/>
              <c:layout>
                <c:manualLayout>
                  <c:x val="-9.4192001591932681E-2"/>
                  <c:y val="5.9510601679082065E-2"/>
                </c:manualLayout>
              </c:layout>
              <c:dLblPos val="bestFit"/>
              <c:showLegendKey val="0"/>
              <c:showVal val="0"/>
              <c:showCatName val="1"/>
              <c:showSerName val="0"/>
              <c:showPercent val="1"/>
              <c:showBubbleSize val="0"/>
            </c:dLbl>
            <c:dLbl>
              <c:idx val="11"/>
              <c:layout>
                <c:manualLayout>
                  <c:x val="-0.12135432288145837"/>
                  <c:y val="5.0321948758551109E-2"/>
                </c:manualLayout>
              </c:layout>
              <c:dLblPos val="bestFit"/>
              <c:showLegendKey val="0"/>
              <c:showVal val="0"/>
              <c:showCatName val="1"/>
              <c:showSerName val="0"/>
              <c:showPercent val="1"/>
              <c:showBubbleSize val="0"/>
            </c:dLbl>
            <c:dLbl>
              <c:idx val="12"/>
              <c:layout>
                <c:manualLayout>
                  <c:x val="-9.6166302174893734E-2"/>
                  <c:y val="-2.6379535846645707E-2"/>
                </c:manualLayout>
              </c:layout>
              <c:dLblPos val="bestFit"/>
              <c:showLegendKey val="0"/>
              <c:showVal val="0"/>
              <c:showCatName val="1"/>
              <c:showSerName val="0"/>
              <c:showPercent val="1"/>
              <c:showBubbleSize val="0"/>
            </c:dLbl>
            <c:dLbl>
              <c:idx val="13"/>
              <c:dLblPos val="bestFit"/>
              <c:showLegendKey val="0"/>
              <c:showVal val="0"/>
              <c:showCatName val="1"/>
              <c:showSerName val="0"/>
              <c:showPercent val="1"/>
              <c:showBubbleSize val="0"/>
            </c:dLbl>
            <c:dLbl>
              <c:idx val="14"/>
              <c:dLblPos val="bestFit"/>
              <c:showLegendKey val="0"/>
              <c:showVal val="0"/>
              <c:showCatName val="1"/>
              <c:showSerName val="0"/>
              <c:showPercent val="1"/>
              <c:showBubbleSize val="0"/>
            </c:dLbl>
            <c:dLbl>
              <c:idx val="15"/>
              <c:dLblPos val="bestFit"/>
              <c:showLegendKey val="0"/>
              <c:showVal val="0"/>
              <c:showCatName val="1"/>
              <c:showSerName val="0"/>
              <c:showPercent val="1"/>
              <c:showBubbleSize val="0"/>
            </c:dLbl>
            <c:dLbl>
              <c:idx val="16"/>
              <c:dLblPos val="bestFit"/>
              <c:showLegendKey val="0"/>
              <c:showVal val="0"/>
              <c:showCatName val="1"/>
              <c:showSerName val="0"/>
              <c:showPercent val="1"/>
              <c:showBubbleSize val="0"/>
            </c:dLbl>
            <c:numFmt formatCode="0%" sourceLinked="0"/>
            <c:spPr>
              <a:noFill/>
              <a:ln w="25365">
                <a:noFill/>
              </a:ln>
            </c:spPr>
            <c:txPr>
              <a:bodyPr/>
              <a:lstStyle/>
              <a:p>
                <a:pPr>
                  <a:defRPr sz="899" b="0"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Sheet1!$A$2:$A$14</c:f>
              <c:strCache>
                <c:ptCount val="13"/>
                <c:pt idx="0">
                  <c:v>Rusija</c:v>
                </c:pt>
                <c:pt idx="1">
                  <c:v>Norvegija</c:v>
                </c:pt>
                <c:pt idx="2">
                  <c:v>Vokietija</c:v>
                </c:pt>
                <c:pt idx="3">
                  <c:v>Švedija</c:v>
                </c:pt>
                <c:pt idx="4">
                  <c:v>D.Britanija</c:v>
                </c:pt>
                <c:pt idx="5">
                  <c:v>Portugalija</c:v>
                </c:pt>
                <c:pt idx="6">
                  <c:v>Ispanija</c:v>
                </c:pt>
                <c:pt idx="7">
                  <c:v>Olandija</c:v>
                </c:pt>
                <c:pt idx="8">
                  <c:v>Baltarusija</c:v>
                </c:pt>
                <c:pt idx="9">
                  <c:v>Danija</c:v>
                </c:pt>
                <c:pt idx="10">
                  <c:v>Latvija</c:v>
                </c:pt>
                <c:pt idx="11">
                  <c:v>Prancuzija</c:v>
                </c:pt>
                <c:pt idx="12">
                  <c:v>Kitos</c:v>
                </c:pt>
              </c:strCache>
            </c:strRef>
          </c:cat>
          <c:val>
            <c:numRef>
              <c:f>Sheet1!$B$2:$B$14</c:f>
              <c:numCache>
                <c:formatCode>General</c:formatCode>
                <c:ptCount val="13"/>
                <c:pt idx="0">
                  <c:v>9</c:v>
                </c:pt>
                <c:pt idx="1">
                  <c:v>10</c:v>
                </c:pt>
                <c:pt idx="2">
                  <c:v>14</c:v>
                </c:pt>
                <c:pt idx="3">
                  <c:v>9</c:v>
                </c:pt>
                <c:pt idx="4">
                  <c:v>9</c:v>
                </c:pt>
                <c:pt idx="5">
                  <c:v>3</c:v>
                </c:pt>
                <c:pt idx="6">
                  <c:v>2</c:v>
                </c:pt>
                <c:pt idx="7">
                  <c:v>2</c:v>
                </c:pt>
                <c:pt idx="8">
                  <c:v>2</c:v>
                </c:pt>
                <c:pt idx="9">
                  <c:v>2</c:v>
                </c:pt>
                <c:pt idx="10">
                  <c:v>2</c:v>
                </c:pt>
                <c:pt idx="11">
                  <c:v>2</c:v>
                </c:pt>
                <c:pt idx="12">
                  <c:v>5</c:v>
                </c:pt>
              </c:numCache>
            </c:numRef>
          </c:val>
        </c:ser>
        <c:dLbls>
          <c:showLegendKey val="0"/>
          <c:showVal val="0"/>
          <c:showCatName val="1"/>
          <c:showSerName val="0"/>
          <c:showPercent val="1"/>
          <c:showBubbleSize val="0"/>
          <c:showLeaderLines val="1"/>
        </c:dLbls>
      </c:pie3DChart>
      <c:spPr>
        <a:noFill/>
        <a:ln w="25365">
          <a:noFill/>
        </a:ln>
      </c:spPr>
    </c:plotArea>
    <c:plotVisOnly val="0"/>
    <c:dispBlanksAs val="zero"/>
    <c:showDLblsOverMax val="0"/>
  </c:chart>
  <c:spPr>
    <a:noFill/>
    <a:ln>
      <a:noFill/>
    </a:ln>
  </c:spPr>
  <c:txPr>
    <a:bodyPr/>
    <a:lstStyle/>
    <a:p>
      <a:pPr>
        <a:defRPr sz="799" b="0" i="0" u="none" strike="noStrike" baseline="0">
          <a:solidFill>
            <a:srgbClr val="000000"/>
          </a:solidFill>
          <a:latin typeface="Arial"/>
          <a:ea typeface="Arial"/>
          <a:cs typeface="Arial"/>
        </a:defRPr>
      </a:pPr>
      <a:endParaRPr lang="lt-LT"/>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736842105263157E-2"/>
          <c:y val="3.9130434782608699E-2"/>
          <c:w val="0.95833333333333337"/>
          <c:h val="0.80869565217391304"/>
        </c:manualLayout>
      </c:layout>
      <c:bar3DChart>
        <c:barDir val="col"/>
        <c:grouping val="clustered"/>
        <c:varyColors val="0"/>
        <c:ser>
          <c:idx val="0"/>
          <c:order val="0"/>
          <c:tx>
            <c:strRef>
              <c:f>Sheet1!$A$5</c:f>
              <c:strCache>
                <c:ptCount val="1"/>
                <c:pt idx="0">
                  <c:v>Atv.</c:v>
                </c:pt>
              </c:strCache>
            </c:strRef>
          </c:tx>
          <c:spPr>
            <a:pattFill prst="dot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7161769252527664E-2"/>
                  <c:y val="6.2938220524837128E-3"/>
                </c:manualLayout>
              </c:layout>
              <c:showLegendKey val="0"/>
              <c:showVal val="1"/>
              <c:showCatName val="0"/>
              <c:showSerName val="0"/>
              <c:showPercent val="0"/>
              <c:showBubbleSize val="0"/>
            </c:dLbl>
            <c:dLbl>
              <c:idx val="1"/>
              <c:layout>
                <c:manualLayout>
                  <c:x val="2.3630734659311765E-2"/>
                  <c:y val="1.9459959655272162E-3"/>
                </c:manualLayout>
              </c:layout>
              <c:showLegendKey val="0"/>
              <c:showVal val="1"/>
              <c:showCatName val="0"/>
              <c:showSerName val="0"/>
              <c:showPercent val="0"/>
              <c:showBubbleSize val="0"/>
            </c:dLbl>
            <c:dLbl>
              <c:idx val="2"/>
              <c:layout>
                <c:manualLayout>
                  <c:x val="1.5713952517949013E-2"/>
                  <c:y val="6.2938220524837128E-3"/>
                </c:manualLayout>
              </c:layout>
              <c:showLegendKey val="0"/>
              <c:showVal val="1"/>
              <c:showCatName val="0"/>
              <c:showSerName val="0"/>
              <c:showPercent val="0"/>
              <c:showBubbleSize val="0"/>
            </c:dLbl>
            <c:dLbl>
              <c:idx val="3"/>
              <c:layout>
                <c:manualLayout>
                  <c:x val="2.0955065113428321E-2"/>
                  <c:y val="1.9459959655272162E-3"/>
                </c:manualLayout>
              </c:layout>
              <c:showLegendKey val="0"/>
              <c:showVal val="1"/>
              <c:showCatName val="0"/>
              <c:showSerName val="0"/>
              <c:showPercent val="0"/>
              <c:showBubbleSize val="0"/>
            </c:dLbl>
            <c:dLbl>
              <c:idx val="4"/>
              <c:layout>
                <c:manualLayout>
                  <c:x val="1.3038065607931762E-2"/>
                  <c:y val="-2.2112863112547405E-2"/>
                </c:manualLayout>
              </c:layout>
              <c:showLegendKey val="0"/>
              <c:showVal val="1"/>
              <c:showCatName val="0"/>
              <c:showSerName val="0"/>
              <c:showPercent val="0"/>
              <c:showBubbleSize val="0"/>
            </c:dLbl>
            <c:dLbl>
              <c:idx val="5"/>
              <c:layout>
                <c:manualLayout>
                  <c:x val="9.5072483788496386E-3"/>
                  <c:y val="-1.4000881847136711E-2"/>
                </c:manualLayout>
              </c:layout>
              <c:showLegendKey val="0"/>
              <c:showVal val="1"/>
              <c:showCatName val="0"/>
              <c:showSerName val="0"/>
              <c:showPercent val="0"/>
              <c:showBubbleSize val="0"/>
            </c:dLbl>
            <c:dLbl>
              <c:idx val="6"/>
              <c:layout>
                <c:manualLayout>
                  <c:x val="1.0305024800961592E-2"/>
                  <c:y val="-2.3279796420304488E-2"/>
                </c:manualLayout>
              </c:layout>
              <c:showLegendKey val="0"/>
              <c:showVal val="1"/>
              <c:showCatName val="0"/>
              <c:showSerName val="0"/>
              <c:showPercent val="0"/>
              <c:showBubbleSize val="0"/>
            </c:dLbl>
            <c:dLbl>
              <c:idx val="7"/>
              <c:layout>
                <c:manualLayout>
                  <c:x val="4.5812251157392771E-3"/>
                  <c:y val="5.9876443713864115E-3"/>
                </c:manualLayout>
              </c:layout>
              <c:showLegendKey val="0"/>
              <c:showVal val="1"/>
              <c:showCatName val="0"/>
              <c:showSerName val="0"/>
              <c:showPercent val="0"/>
              <c:showBubbleSize val="0"/>
            </c:dLbl>
            <c:dLbl>
              <c:idx val="8"/>
              <c:layout>
                <c:manualLayout>
                  <c:x val="-1.0852033083965091E-3"/>
                  <c:y val="-7.6249583165155788E-3"/>
                </c:manualLayout>
              </c:layout>
              <c:showLegendKey val="0"/>
              <c:showVal val="1"/>
              <c:showCatName val="0"/>
              <c:showSerName val="0"/>
              <c:showPercent val="0"/>
              <c:showBubbleSize val="0"/>
            </c:dLbl>
            <c:spPr>
              <a:noFill/>
              <a:ln w="25399">
                <a:noFill/>
              </a:ln>
            </c:spPr>
            <c:txPr>
              <a:bodyPr/>
              <a:lstStyle/>
              <a:p>
                <a:pPr>
                  <a:defRPr sz="85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Sheet1!$B$4:$J$4</c:f>
              <c:strCache>
                <c:ptCount val="9"/>
                <c:pt idx="0">
                  <c:v>1 m.</c:v>
                </c:pt>
                <c:pt idx="1">
                  <c:v>4 m.</c:v>
                </c:pt>
                <c:pt idx="2">
                  <c:v>5 m.</c:v>
                </c:pt>
                <c:pt idx="3">
                  <c:v>9 m.</c:v>
                </c:pt>
                <c:pt idx="4">
                  <c:v>14 m.</c:v>
                </c:pt>
                <c:pt idx="5">
                  <c:v>15 m.</c:v>
                </c:pt>
                <c:pt idx="6">
                  <c:v>16 m.</c:v>
                </c:pt>
                <c:pt idx="7">
                  <c:v>17 m.</c:v>
                </c:pt>
                <c:pt idx="8">
                  <c:v>18 m.</c:v>
                </c:pt>
              </c:strCache>
            </c:strRef>
          </c:cat>
          <c:val>
            <c:numRef>
              <c:f>Sheet1!$B$5:$J$5</c:f>
              <c:numCache>
                <c:formatCode>General</c:formatCode>
                <c:ptCount val="9"/>
                <c:pt idx="0">
                  <c:v>1</c:v>
                </c:pt>
                <c:pt idx="1">
                  <c:v>1</c:v>
                </c:pt>
                <c:pt idx="2">
                  <c:v>1</c:v>
                </c:pt>
                <c:pt idx="3">
                  <c:v>1</c:v>
                </c:pt>
                <c:pt idx="4">
                  <c:v>2</c:v>
                </c:pt>
                <c:pt idx="5">
                  <c:v>6</c:v>
                </c:pt>
                <c:pt idx="6">
                  <c:v>10</c:v>
                </c:pt>
                <c:pt idx="7">
                  <c:v>18</c:v>
                </c:pt>
                <c:pt idx="8">
                  <c:v>7</c:v>
                </c:pt>
              </c:numCache>
            </c:numRef>
          </c:val>
        </c:ser>
        <c:dLbls>
          <c:showLegendKey val="0"/>
          <c:showVal val="1"/>
          <c:showCatName val="0"/>
          <c:showSerName val="0"/>
          <c:showPercent val="0"/>
          <c:showBubbleSize val="0"/>
        </c:dLbls>
        <c:gapWidth val="150"/>
        <c:shape val="box"/>
        <c:axId val="77173120"/>
        <c:axId val="77174272"/>
        <c:axId val="0"/>
      </c:bar3DChart>
      <c:catAx>
        <c:axId val="7717312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lt-LT"/>
          </a:p>
        </c:txPr>
        <c:crossAx val="77174272"/>
        <c:crosses val="autoZero"/>
        <c:auto val="1"/>
        <c:lblAlgn val="ctr"/>
        <c:lblOffset val="100"/>
        <c:tickLblSkip val="1"/>
        <c:tickMarkSkip val="1"/>
        <c:noMultiLvlLbl val="0"/>
      </c:catAx>
      <c:valAx>
        <c:axId val="77174272"/>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77173120"/>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2280701754385964"/>
          <c:y val="0.13043478260869565"/>
          <c:w val="0.7807017543859649"/>
          <c:h val="0.61304347826086958"/>
        </c:manualLayout>
      </c:layout>
      <c:pie3DChart>
        <c:varyColors val="1"/>
        <c:ser>
          <c:idx val="0"/>
          <c:order val="0"/>
          <c:tx>
            <c:strRef>
              <c:f>Sheet1!$A$6</c:f>
              <c:strCache>
                <c:ptCount val="1"/>
                <c:pt idx="0">
                  <c:v>Atv.</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Sheet1!$B$5:$C$5</c:f>
              <c:strCache>
                <c:ptCount val="2"/>
                <c:pt idx="0">
                  <c:v>Suaugę</c:v>
                </c:pt>
                <c:pt idx="1">
                  <c:v>Vaikai</c:v>
                </c:pt>
              </c:strCache>
            </c:strRef>
          </c:cat>
          <c:val>
            <c:numRef>
              <c:f>Sheet1!$B$6:$C$6</c:f>
              <c:numCache>
                <c:formatCode>General</c:formatCode>
                <c:ptCount val="2"/>
                <c:pt idx="0">
                  <c:v>2932</c:v>
                </c:pt>
                <c:pt idx="1">
                  <c:v>929</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7061403508771928"/>
          <c:y val="0.88695652173913042"/>
          <c:w val="0.2521929824561403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7751479289940829E-2"/>
          <c:y val="3.643724696356275E-2"/>
          <c:w val="0.96252465483234717"/>
          <c:h val="0.71255060728744934"/>
        </c:manualLayout>
      </c:layout>
      <c:bar3DChart>
        <c:barDir val="col"/>
        <c:grouping val="clustered"/>
        <c:varyColors val="0"/>
        <c:ser>
          <c:idx val="0"/>
          <c:order val="0"/>
          <c:tx>
            <c:strRef>
              <c:f>Sheet1!$A$6</c:f>
              <c:strCache>
                <c:ptCount val="1"/>
                <c:pt idx="0">
                  <c:v>Atv.</c:v>
                </c:pt>
              </c:strCache>
            </c:strRef>
          </c:tx>
          <c:spPr>
            <a:pattFill prst="sm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5040222910114781E-2"/>
                  <c:y val="1.276046444193684E-2"/>
                </c:manualLayout>
              </c:layout>
              <c:showLegendKey val="0"/>
              <c:showVal val="1"/>
              <c:showCatName val="0"/>
              <c:showSerName val="0"/>
              <c:showPercent val="0"/>
              <c:showBubbleSize val="0"/>
            </c:dLbl>
            <c:dLbl>
              <c:idx val="1"/>
              <c:layout>
                <c:manualLayout>
                  <c:x val="1.1590737187860771E-2"/>
                  <c:y val="1.9118550334644695E-2"/>
                </c:manualLayout>
              </c:layout>
              <c:showLegendKey val="0"/>
              <c:showVal val="1"/>
              <c:showCatName val="0"/>
              <c:showSerName val="0"/>
              <c:showPercent val="0"/>
              <c:showBubbleSize val="0"/>
            </c:dLbl>
            <c:dLbl>
              <c:idx val="2"/>
              <c:layout>
                <c:manualLayout>
                  <c:x val="1.0113638053377973E-2"/>
                  <c:y val="1.1021384342741896E-2"/>
                </c:manualLayout>
              </c:layout>
              <c:showLegendKey val="0"/>
              <c:showVal val="1"/>
              <c:showCatName val="0"/>
              <c:showSerName val="0"/>
              <c:showPercent val="0"/>
              <c:showBubbleSize val="0"/>
            </c:dLbl>
            <c:dLbl>
              <c:idx val="3"/>
              <c:layout>
                <c:manualLayout>
                  <c:x val="8.6365389188951779E-3"/>
                  <c:y val="4.6632984500340419E-3"/>
                </c:manualLayout>
              </c:layout>
              <c:showLegendKey val="0"/>
              <c:showVal val="1"/>
              <c:showCatName val="0"/>
              <c:showSerName val="0"/>
              <c:showPercent val="0"/>
              <c:showBubbleSize val="0"/>
            </c:dLbl>
            <c:dLbl>
              <c:idx val="4"/>
              <c:layout>
                <c:manualLayout>
                  <c:x val="1.1104212959954807E-2"/>
                  <c:y val="1.276046444193684E-2"/>
                </c:manualLayout>
              </c:layout>
              <c:showLegendKey val="0"/>
              <c:showVal val="1"/>
              <c:showCatName val="0"/>
              <c:showSerName val="0"/>
              <c:showPercent val="0"/>
              <c:showBubbleSize val="0"/>
            </c:dLbl>
            <c:dLbl>
              <c:idx val="5"/>
              <c:layout>
                <c:manualLayout>
                  <c:x val="1.7516457107162976E-2"/>
                  <c:y val="9.0597791676739446E-3"/>
                </c:manualLayout>
              </c:layout>
              <c:showLegendKey val="0"/>
              <c:showVal val="1"/>
              <c:showCatName val="0"/>
              <c:showSerName val="0"/>
              <c:showPercent val="0"/>
              <c:showBubbleSize val="0"/>
            </c:dLbl>
            <c:dLbl>
              <c:idx val="6"/>
              <c:layout>
                <c:manualLayout>
                  <c:x val="8.1498116215953254E-3"/>
                  <c:y val="4.6632984500340419E-3"/>
                </c:manualLayout>
              </c:layout>
              <c:showLegendKey val="0"/>
              <c:showVal val="1"/>
              <c:showCatName val="0"/>
              <c:showSerName val="0"/>
              <c:showPercent val="0"/>
              <c:showBubbleSize val="0"/>
            </c:dLbl>
            <c:dLbl>
              <c:idx val="7"/>
              <c:layout>
                <c:manualLayout>
                  <c:x val="1.0617485662654955E-2"/>
                  <c:y val="3.2721160725275446E-3"/>
                </c:manualLayout>
              </c:layout>
              <c:showLegendKey val="0"/>
              <c:showVal val="1"/>
              <c:showCatName val="0"/>
              <c:showSerName val="0"/>
              <c:showPercent val="0"/>
              <c:showBubbleSize val="0"/>
            </c:dLbl>
            <c:dLbl>
              <c:idx val="8"/>
              <c:layout>
                <c:manualLayout>
                  <c:x val="8.9615616973633423E-3"/>
                  <c:y val="2.2288314167096066E-3"/>
                </c:manualLayout>
              </c:layout>
              <c:showLegendKey val="0"/>
              <c:showVal val="1"/>
              <c:showCatName val="0"/>
              <c:showSerName val="0"/>
              <c:showPercent val="0"/>
              <c:showBubbleSize val="0"/>
            </c:dLbl>
            <c:dLbl>
              <c:idx val="9"/>
              <c:layout>
                <c:manualLayout>
                  <c:x val="7.484462562880545E-3"/>
                  <c:y val="6.4999394885339561E-3"/>
                </c:manualLayout>
              </c:layout>
              <c:showLegendKey val="0"/>
              <c:showVal val="1"/>
              <c:showCatName val="0"/>
              <c:showSerName val="0"/>
              <c:showPercent val="0"/>
              <c:showBubbleSize val="0"/>
            </c:dLbl>
            <c:dLbl>
              <c:idx val="10"/>
              <c:layout>
                <c:manualLayout>
                  <c:x val="9.9519335345462871E-3"/>
                  <c:y val="-1.7095763043797434E-2"/>
                </c:manualLayout>
              </c:layout>
              <c:showLegendKey val="0"/>
              <c:showVal val="1"/>
              <c:showCatName val="0"/>
              <c:showSerName val="0"/>
              <c:showPercent val="0"/>
              <c:showBubbleSize val="0"/>
            </c:dLbl>
            <c:dLbl>
              <c:idx val="11"/>
              <c:layout>
                <c:manualLayout>
                  <c:x val="8.4748344000634898E-3"/>
                  <c:y val="1.853530497758202E-3"/>
                </c:manualLayout>
              </c:layout>
              <c:showLegendKey val="0"/>
              <c:showVal val="1"/>
              <c:showCatName val="0"/>
              <c:showSerName val="0"/>
              <c:showPercent val="0"/>
              <c:showBubbleSize val="0"/>
            </c:dLbl>
            <c:dLbl>
              <c:idx val="12"/>
              <c:layout>
                <c:manualLayout>
                  <c:x val="6.8187073653779885E-3"/>
                  <c:y val="-1.3307213549739246E-3"/>
                </c:manualLayout>
              </c:layout>
              <c:showLegendKey val="0"/>
              <c:showVal val="1"/>
              <c:showCatName val="0"/>
              <c:showSerName val="0"/>
              <c:showPercent val="0"/>
              <c:showBubbleSize val="0"/>
            </c:dLbl>
            <c:dLbl>
              <c:idx val="13"/>
              <c:layout>
                <c:manualLayout>
                  <c:x val="7.3139948186664054E-3"/>
                  <c:y val="-1.4830886888048064E-3"/>
                </c:manualLayout>
              </c:layout>
              <c:showLegendKey val="0"/>
              <c:showVal val="1"/>
              <c:showCatName val="0"/>
              <c:showSerName val="0"/>
              <c:showPercent val="0"/>
              <c:showBubbleSize val="0"/>
            </c:dLbl>
            <c:dLbl>
              <c:idx val="14"/>
              <c:layout>
                <c:manualLayout>
                  <c:x val="7.8092822719548214E-3"/>
                  <c:y val="4.999961340471001E-3"/>
                </c:manualLayout>
              </c:layout>
              <c:showLegendKey val="0"/>
              <c:showVal val="1"/>
              <c:showCatName val="0"/>
              <c:showSerName val="0"/>
              <c:showPercent val="0"/>
              <c:showBubbleSize val="0"/>
            </c:dLbl>
            <c:dLbl>
              <c:idx val="15"/>
              <c:layout>
                <c:manualLayout>
                  <c:x val="6.332183137472025E-3"/>
                  <c:y val="-5.1567792750524021E-3"/>
                </c:manualLayout>
              </c:layout>
              <c:showLegendKey val="0"/>
              <c:showVal val="1"/>
              <c:showCatName val="0"/>
              <c:showSerName val="0"/>
              <c:showPercent val="0"/>
              <c:showBubbleSize val="0"/>
            </c:dLbl>
            <c:dLbl>
              <c:idx val="16"/>
              <c:layout>
                <c:manualLayout>
                  <c:x val="8.7998571785316542E-3"/>
                  <c:y val="-2.5497255194114481E-2"/>
                </c:manualLayout>
              </c:layout>
              <c:showLegendKey val="0"/>
              <c:showVal val="1"/>
              <c:showCatName val="0"/>
              <c:showSerName val="0"/>
              <c:showPercent val="0"/>
              <c:showBubbleSize val="0"/>
            </c:dLbl>
            <c:dLbl>
              <c:idx val="17"/>
              <c:layout>
                <c:manualLayout>
                  <c:x val="7.5015828748575628E-3"/>
                  <c:y val="-1.9807561547520676E-2"/>
                </c:manualLayout>
              </c:layout>
              <c:showLegendKey val="0"/>
              <c:showVal val="1"/>
              <c:showCatName val="0"/>
              <c:showSerName val="0"/>
              <c:showPercent val="0"/>
              <c:showBubbleSize val="0"/>
            </c:dLbl>
            <c:spPr>
              <a:noFill/>
              <a:ln w="25399">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Sheet1!$B$5:$S$5</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Sheet1!$B$6:$S$6</c:f>
              <c:numCache>
                <c:formatCode>General</c:formatCode>
                <c:ptCount val="18"/>
                <c:pt idx="0">
                  <c:v>3</c:v>
                </c:pt>
                <c:pt idx="1">
                  <c:v>8</c:v>
                </c:pt>
                <c:pt idx="2">
                  <c:v>8</c:v>
                </c:pt>
                <c:pt idx="3">
                  <c:v>3</c:v>
                </c:pt>
                <c:pt idx="4">
                  <c:v>3</c:v>
                </c:pt>
                <c:pt idx="5">
                  <c:v>2</c:v>
                </c:pt>
                <c:pt idx="6">
                  <c:v>3</c:v>
                </c:pt>
                <c:pt idx="7">
                  <c:v>7</c:v>
                </c:pt>
                <c:pt idx="8">
                  <c:v>10</c:v>
                </c:pt>
                <c:pt idx="9">
                  <c:v>21</c:v>
                </c:pt>
                <c:pt idx="10">
                  <c:v>19</c:v>
                </c:pt>
                <c:pt idx="11">
                  <c:v>46</c:v>
                </c:pt>
                <c:pt idx="12">
                  <c:v>125</c:v>
                </c:pt>
                <c:pt idx="13">
                  <c:v>172</c:v>
                </c:pt>
                <c:pt idx="14">
                  <c:v>165</c:v>
                </c:pt>
                <c:pt idx="15">
                  <c:v>136</c:v>
                </c:pt>
                <c:pt idx="16">
                  <c:v>113</c:v>
                </c:pt>
                <c:pt idx="17">
                  <c:v>85</c:v>
                </c:pt>
              </c:numCache>
            </c:numRef>
          </c:val>
        </c:ser>
        <c:dLbls>
          <c:showLegendKey val="0"/>
          <c:showVal val="1"/>
          <c:showCatName val="0"/>
          <c:showSerName val="0"/>
          <c:showPercent val="0"/>
          <c:showBubbleSize val="0"/>
        </c:dLbls>
        <c:gapWidth val="150"/>
        <c:shape val="box"/>
        <c:axId val="80051584"/>
        <c:axId val="80091392"/>
        <c:axId val="0"/>
      </c:bar3DChart>
      <c:catAx>
        <c:axId val="8005158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80091392"/>
        <c:crosses val="autoZero"/>
        <c:auto val="1"/>
        <c:lblAlgn val="ctr"/>
        <c:lblOffset val="100"/>
        <c:tickLblSkip val="1"/>
        <c:tickMarkSkip val="1"/>
        <c:noMultiLvlLbl val="0"/>
      </c:catAx>
      <c:valAx>
        <c:axId val="80091392"/>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80051584"/>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2"/>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027484143763214E-2"/>
          <c:y val="4.2857142857142858E-2"/>
          <c:w val="0.95983086680761098"/>
          <c:h val="0.79523809523809519"/>
        </c:manualLayout>
      </c:layout>
      <c:bar3DChart>
        <c:barDir val="col"/>
        <c:grouping val="clustered"/>
        <c:varyColors val="0"/>
        <c:ser>
          <c:idx val="0"/>
          <c:order val="0"/>
          <c:tx>
            <c:strRef>
              <c:f>Sheet1!$A$3</c:f>
              <c:strCache>
                <c:ptCount val="1"/>
                <c:pt idx="0">
                  <c:v>Atvejai</c:v>
                </c:pt>
              </c:strCache>
            </c:strRef>
          </c:tx>
          <c:spPr>
            <a:pattFill prst="pct3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9514150031733211E-2"/>
                  <c:y val="-2.081248934792241E-2"/>
                </c:manualLayout>
              </c:layout>
              <c:showLegendKey val="0"/>
              <c:showVal val="1"/>
              <c:showCatName val="0"/>
              <c:showSerName val="0"/>
              <c:showPercent val="0"/>
              <c:showBubbleSize val="0"/>
            </c:dLbl>
            <c:dLbl>
              <c:idx val="1"/>
              <c:layout>
                <c:manualLayout>
                  <c:x val="2.419841742596773E-2"/>
                  <c:y val="-9.8217268296008926E-3"/>
                </c:manualLayout>
              </c:layout>
              <c:showLegendKey val="0"/>
              <c:showVal val="1"/>
              <c:showCatName val="0"/>
              <c:showSerName val="0"/>
              <c:showPercent val="0"/>
              <c:showBubbleSize val="0"/>
            </c:dLbl>
            <c:dLbl>
              <c:idx val="2"/>
              <c:layout>
                <c:manualLayout>
                  <c:x val="1.6376776783773448E-2"/>
                  <c:y val="-1.5035484200838485E-2"/>
                </c:manualLayout>
              </c:layout>
              <c:showLegendKey val="0"/>
              <c:showVal val="1"/>
              <c:showCatName val="0"/>
              <c:showSerName val="0"/>
              <c:showPercent val="0"/>
              <c:showBubbleSize val="0"/>
            </c:dLbl>
            <c:dLbl>
              <c:idx val="3"/>
              <c:layout>
                <c:manualLayout>
                  <c:x val="1.4897848220300748E-2"/>
                  <c:y val="-9.3698742202679344E-3"/>
                </c:manualLayout>
              </c:layout>
              <c:showLegendKey val="0"/>
              <c:showVal val="1"/>
              <c:showCatName val="0"/>
              <c:showSerName val="0"/>
              <c:showPercent val="0"/>
              <c:showBubbleSize val="0"/>
            </c:dLbl>
            <c:dLbl>
              <c:idx val="4"/>
              <c:layout>
                <c:manualLayout>
                  <c:x val="1.3418919656827996E-2"/>
                  <c:y val="-1.368040358591536E-2"/>
                </c:manualLayout>
              </c:layout>
              <c:showLegendKey val="0"/>
              <c:showVal val="1"/>
              <c:showCatName val="0"/>
              <c:showSerName val="0"/>
              <c:showPercent val="0"/>
              <c:showBubbleSize val="0"/>
            </c:dLbl>
            <c:dLbl>
              <c:idx val="5"/>
              <c:layout>
                <c:manualLayout>
                  <c:x val="1.1939991093355242E-2"/>
                  <c:y val="-8.01479360534481E-3"/>
                </c:manualLayout>
              </c:layout>
              <c:showLegendKey val="0"/>
              <c:showVal val="1"/>
              <c:showCatName val="0"/>
              <c:showSerName val="0"/>
              <c:showPercent val="0"/>
              <c:showBubbleSize val="0"/>
            </c:dLbl>
            <c:spPr>
              <a:noFill/>
              <a:ln w="25399">
                <a:noFill/>
              </a:ln>
            </c:spPr>
            <c:txPr>
              <a:bodyPr/>
              <a:lstStyle/>
              <a:p>
                <a:pPr>
                  <a:defRPr sz="8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Sheet1!$B$2:$G$2</c:f>
              <c:strCache>
                <c:ptCount val="6"/>
                <c:pt idx="0">
                  <c:v>F10</c:v>
                </c:pt>
                <c:pt idx="1">
                  <c:v>F11</c:v>
                </c:pt>
                <c:pt idx="2">
                  <c:v>F13</c:v>
                </c:pt>
                <c:pt idx="3">
                  <c:v>F15</c:v>
                </c:pt>
                <c:pt idx="4">
                  <c:v>F18</c:v>
                </c:pt>
                <c:pt idx="5">
                  <c:v>F19</c:v>
                </c:pt>
              </c:strCache>
            </c:strRef>
          </c:cat>
          <c:val>
            <c:numRef>
              <c:f>Sheet1!$B$3:$G$3</c:f>
              <c:numCache>
                <c:formatCode>General</c:formatCode>
                <c:ptCount val="6"/>
                <c:pt idx="0">
                  <c:v>63</c:v>
                </c:pt>
                <c:pt idx="1">
                  <c:v>3</c:v>
                </c:pt>
                <c:pt idx="2">
                  <c:v>2</c:v>
                </c:pt>
                <c:pt idx="3">
                  <c:v>4</c:v>
                </c:pt>
                <c:pt idx="4">
                  <c:v>5</c:v>
                </c:pt>
                <c:pt idx="5">
                  <c:v>7</c:v>
                </c:pt>
              </c:numCache>
            </c:numRef>
          </c:val>
        </c:ser>
        <c:dLbls>
          <c:showLegendKey val="0"/>
          <c:showVal val="1"/>
          <c:showCatName val="0"/>
          <c:showSerName val="0"/>
          <c:showPercent val="0"/>
          <c:showBubbleSize val="0"/>
        </c:dLbls>
        <c:gapWidth val="150"/>
        <c:shape val="box"/>
        <c:axId val="80130816"/>
        <c:axId val="80133504"/>
        <c:axId val="0"/>
      </c:bar3DChart>
      <c:catAx>
        <c:axId val="8013081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50" b="0" i="0" u="none" strike="noStrike" baseline="0">
                <a:solidFill>
                  <a:srgbClr val="000000"/>
                </a:solidFill>
                <a:latin typeface="Arial"/>
                <a:ea typeface="Arial"/>
                <a:cs typeface="Arial"/>
              </a:defRPr>
            </a:pPr>
            <a:endParaRPr lang="lt-LT"/>
          </a:p>
        </c:txPr>
        <c:crossAx val="80133504"/>
        <c:crosses val="autoZero"/>
        <c:auto val="1"/>
        <c:lblAlgn val="ctr"/>
        <c:lblOffset val="100"/>
        <c:tickLblSkip val="1"/>
        <c:tickMarkSkip val="1"/>
        <c:noMultiLvlLbl val="0"/>
      </c:catAx>
      <c:valAx>
        <c:axId val="80133504"/>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8013081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3468634686346864"/>
          <c:y val="0.13360323886639677"/>
          <c:w val="0.74169741697416969"/>
          <c:h val="0.64777327935222673"/>
        </c:manualLayout>
      </c:layout>
      <c:pie3DChart>
        <c:varyColors val="1"/>
        <c:ser>
          <c:idx val="0"/>
          <c:order val="0"/>
          <c:tx>
            <c:strRef>
              <c:f>Sheet1!$A$4</c:f>
              <c:strCache>
                <c:ptCount val="1"/>
                <c:pt idx="0">
                  <c:v>Atvejai</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Sheet1!$B$3:$C$3</c:f>
              <c:strCache>
                <c:ptCount val="2"/>
                <c:pt idx="0">
                  <c:v>Berniukai</c:v>
                </c:pt>
                <c:pt idx="1">
                  <c:v>Mergaitės</c:v>
                </c:pt>
              </c:strCache>
            </c:strRef>
          </c:cat>
          <c:val>
            <c:numRef>
              <c:f>Sheet1!$B$4:$C$4</c:f>
              <c:numCache>
                <c:formatCode>General</c:formatCode>
                <c:ptCount val="2"/>
                <c:pt idx="0">
                  <c:v>56</c:v>
                </c:pt>
                <c:pt idx="1">
                  <c:v>28</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6162361623616235"/>
          <c:y val="0.89068825910931171"/>
          <c:w val="0.2767527675276753"/>
          <c:h val="9.7165991902834009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3"/>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5.5350553505535055E-2"/>
          <c:y val="3.643724696356275E-2"/>
          <c:w val="0.92619926199261993"/>
          <c:h val="0.71255060728744934"/>
        </c:manualLayout>
      </c:layout>
      <c:bar3DChart>
        <c:barDir val="col"/>
        <c:grouping val="clustered"/>
        <c:varyColors val="0"/>
        <c:ser>
          <c:idx val="0"/>
          <c:order val="0"/>
          <c:tx>
            <c:strRef>
              <c:f>Sheet1!$A$6</c:f>
              <c:strCache>
                <c:ptCount val="1"/>
                <c:pt idx="0">
                  <c:v>Atvejai</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4361835145225805E-2"/>
                  <c:y val="5.4639683059671531E-3"/>
                </c:manualLayout>
              </c:layout>
              <c:showLegendKey val="0"/>
              <c:showVal val="1"/>
              <c:showCatName val="0"/>
              <c:showSerName val="0"/>
              <c:showPercent val="0"/>
              <c:showBubbleSize val="0"/>
            </c:dLbl>
            <c:dLbl>
              <c:idx val="1"/>
              <c:layout>
                <c:manualLayout>
                  <c:x val="1.5836486968087746E-2"/>
                  <c:y val="1.4153853100156981E-3"/>
                </c:manualLayout>
              </c:layout>
              <c:showLegendKey val="0"/>
              <c:showVal val="1"/>
              <c:showCatName val="0"/>
              <c:showSerName val="0"/>
              <c:showPercent val="0"/>
              <c:showBubbleSize val="0"/>
            </c:dLbl>
            <c:dLbl>
              <c:idx val="2"/>
              <c:layout>
                <c:manualLayout>
                  <c:x val="1.3620911696963603E-2"/>
                  <c:y val="-1.1594802323491476E-2"/>
                </c:manualLayout>
              </c:layout>
              <c:showLegendKey val="0"/>
              <c:showVal val="1"/>
              <c:showCatName val="0"/>
              <c:showSerName val="0"/>
              <c:showPercent val="0"/>
              <c:showBubbleSize val="0"/>
            </c:dLbl>
            <c:dLbl>
              <c:idx val="3"/>
              <c:layout>
                <c:manualLayout>
                  <c:x val="1.3250354876023936E-2"/>
                  <c:y val="-7.546219327540021E-3"/>
                </c:manualLayout>
              </c:layout>
              <c:showLegendKey val="0"/>
              <c:showVal val="1"/>
              <c:showCatName val="0"/>
              <c:showSerName val="0"/>
              <c:showPercent val="0"/>
              <c:showBubbleSize val="0"/>
            </c:dLbl>
            <c:dLbl>
              <c:idx val="4"/>
              <c:layout>
                <c:manualLayout>
                  <c:x val="1.5904737000125849E-2"/>
                  <c:y val="-8.4110664824406239E-3"/>
                </c:manualLayout>
              </c:layout>
              <c:showLegendKey val="0"/>
              <c:showVal val="1"/>
              <c:showCatName val="0"/>
              <c:showSerName val="0"/>
              <c:showPercent val="0"/>
              <c:showBubbleSize val="0"/>
            </c:dLbl>
            <c:dLbl>
              <c:idx val="5"/>
              <c:layout>
                <c:manualLayout>
                  <c:x val="9.9991248286326953E-3"/>
                  <c:y val="-2.2867881287047243E-2"/>
                </c:manualLayout>
              </c:layout>
              <c:showLegendKey val="0"/>
              <c:showVal val="1"/>
              <c:showCatName val="0"/>
              <c:showSerName val="0"/>
              <c:showPercent val="0"/>
              <c:showBubbleSize val="0"/>
            </c:dLbl>
            <c:dLbl>
              <c:idx val="6"/>
              <c:layout>
                <c:manualLayout>
                  <c:x val="1.1473586457877561E-2"/>
                  <c:y val="-1.5635562450044965E-2"/>
                </c:manualLayout>
              </c:layout>
              <c:showLegendKey val="0"/>
              <c:showVal val="1"/>
              <c:showCatName val="0"/>
              <c:showSerName val="0"/>
              <c:showPercent val="0"/>
              <c:showBubbleSize val="0"/>
            </c:dLbl>
            <c:dLbl>
              <c:idx val="7"/>
              <c:layout>
                <c:manualLayout>
                  <c:x val="9.2580111867533628E-3"/>
                  <c:y val="-5.8008792789431369E-3"/>
                </c:manualLayout>
              </c:layout>
              <c:showLegendKey val="0"/>
              <c:showVal val="1"/>
              <c:showCatName val="0"/>
              <c:showSerName val="0"/>
              <c:showPercent val="0"/>
              <c:showBubbleSize val="0"/>
            </c:dLbl>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Sheet1!$B$5:$I$5</c:f>
              <c:numCache>
                <c:formatCode>General</c:formatCode>
                <c:ptCount val="8"/>
                <c:pt idx="0">
                  <c:v>3</c:v>
                </c:pt>
                <c:pt idx="1">
                  <c:v>9</c:v>
                </c:pt>
                <c:pt idx="2">
                  <c:v>13</c:v>
                </c:pt>
                <c:pt idx="3">
                  <c:v>14</c:v>
                </c:pt>
                <c:pt idx="4">
                  <c:v>15</c:v>
                </c:pt>
                <c:pt idx="5">
                  <c:v>16</c:v>
                </c:pt>
                <c:pt idx="6">
                  <c:v>17</c:v>
                </c:pt>
                <c:pt idx="7">
                  <c:v>18</c:v>
                </c:pt>
              </c:numCache>
            </c:numRef>
          </c:cat>
          <c:val>
            <c:numRef>
              <c:f>Sheet1!$B$6:$I$6</c:f>
              <c:numCache>
                <c:formatCode>General</c:formatCode>
                <c:ptCount val="8"/>
                <c:pt idx="0">
                  <c:v>1</c:v>
                </c:pt>
                <c:pt idx="1">
                  <c:v>1</c:v>
                </c:pt>
                <c:pt idx="2">
                  <c:v>6</c:v>
                </c:pt>
                <c:pt idx="3">
                  <c:v>6</c:v>
                </c:pt>
                <c:pt idx="4">
                  <c:v>11</c:v>
                </c:pt>
                <c:pt idx="5">
                  <c:v>15</c:v>
                </c:pt>
                <c:pt idx="6">
                  <c:v>20</c:v>
                </c:pt>
                <c:pt idx="7">
                  <c:v>24</c:v>
                </c:pt>
              </c:numCache>
            </c:numRef>
          </c:val>
        </c:ser>
        <c:dLbls>
          <c:showLegendKey val="0"/>
          <c:showVal val="1"/>
          <c:showCatName val="0"/>
          <c:showSerName val="0"/>
          <c:showPercent val="0"/>
          <c:showBubbleSize val="0"/>
        </c:dLbls>
        <c:gapWidth val="150"/>
        <c:shape val="box"/>
        <c:axId val="90494464"/>
        <c:axId val="90497792"/>
        <c:axId val="0"/>
      </c:bar3DChart>
      <c:catAx>
        <c:axId val="90494464"/>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lt-LT"/>
                  <a:t>Amžius metais</a:t>
                </a:r>
              </a:p>
            </c:rich>
          </c:tx>
          <c:layout>
            <c:manualLayout>
              <c:xMode val="edge"/>
              <c:yMode val="edge"/>
              <c:x val="0.41697416974169743"/>
              <c:y val="0.85425101214574894"/>
            </c:manualLayout>
          </c:layout>
          <c:overlay val="0"/>
          <c:spPr>
            <a:noFill/>
            <a:ln w="25399">
              <a:noFill/>
            </a:ln>
          </c:spPr>
        </c:title>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0497792"/>
        <c:crosses val="autoZero"/>
        <c:auto val="1"/>
        <c:lblAlgn val="ctr"/>
        <c:lblOffset val="100"/>
        <c:tickLblSkip val="1"/>
        <c:tickMarkSkip val="1"/>
        <c:noMultiLvlLbl val="0"/>
      </c:catAx>
      <c:valAx>
        <c:axId val="90497792"/>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0494464"/>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9.2105263157894732E-2"/>
          <c:y val="0.12173913043478261"/>
          <c:w val="0.82017543859649122"/>
          <c:h val="0.64347826086956517"/>
        </c:manualLayout>
      </c:layout>
      <c:pie3DChart>
        <c:varyColors val="1"/>
        <c:ser>
          <c:idx val="0"/>
          <c:order val="0"/>
          <c:tx>
            <c:strRef>
              <c:f>Sheet1!$A$5</c:f>
              <c:strCache>
                <c:ptCount val="1"/>
                <c:pt idx="0">
                  <c:v>Atv.</c:v>
                </c:pt>
              </c:strCache>
            </c:strRef>
          </c:tx>
          <c:spPr>
            <a:solidFill>
              <a:srgbClr val="9999FF"/>
            </a:solidFill>
            <a:ln w="12700">
              <a:solidFill>
                <a:srgbClr val="000000"/>
              </a:solidFill>
              <a:prstDash val="solid"/>
            </a:ln>
          </c:spPr>
          <c:explosion val="25"/>
          <c:dPt>
            <c:idx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Sheet1!$B$4:$C$4</c:f>
              <c:strCache>
                <c:ptCount val="2"/>
                <c:pt idx="0">
                  <c:v>Vyr.</c:v>
                </c:pt>
                <c:pt idx="1">
                  <c:v>Mot.</c:v>
                </c:pt>
              </c:strCache>
            </c:strRef>
          </c:cat>
          <c:val>
            <c:numRef>
              <c:f>Sheet1!$B$5:$C$5</c:f>
              <c:numCache>
                <c:formatCode>General</c:formatCode>
                <c:ptCount val="2"/>
                <c:pt idx="0">
                  <c:v>176</c:v>
                </c:pt>
                <c:pt idx="1">
                  <c:v>35</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40789473684210525"/>
          <c:y val="0.88695652173913042"/>
          <c:w val="0.1754385964912280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736842105263157E-2"/>
          <c:y val="3.9130434782608699E-2"/>
          <c:w val="0.95833333333333337"/>
          <c:h val="0.81304347826086953"/>
        </c:manualLayout>
      </c:layout>
      <c:bar3DChart>
        <c:barDir val="col"/>
        <c:grouping val="clustered"/>
        <c:varyColors val="0"/>
        <c:ser>
          <c:idx val="0"/>
          <c:order val="0"/>
          <c:tx>
            <c:strRef>
              <c:f>Sheet1!$A$5</c:f>
              <c:strCache>
                <c:ptCount val="1"/>
                <c:pt idx="0">
                  <c:v>Atv.</c:v>
                </c:pt>
              </c:strCache>
            </c:strRef>
          </c:tx>
          <c:spPr>
            <a:pattFill prst="lg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8168569889862168E-2"/>
                  <c:y val="-3.2151720334569443E-3"/>
                </c:manualLayout>
              </c:layout>
              <c:showLegendKey val="0"/>
              <c:showVal val="1"/>
              <c:showCatName val="0"/>
              <c:showSerName val="0"/>
              <c:showPercent val="0"/>
              <c:showBubbleSize val="0"/>
            </c:dLbl>
            <c:dLbl>
              <c:idx val="1"/>
              <c:layout>
                <c:manualLayout>
                  <c:x val="2.2208895798780333E-2"/>
                  <c:y val="-2.1213476720079252E-2"/>
                </c:manualLayout>
              </c:layout>
              <c:showLegendKey val="0"/>
              <c:showVal val="1"/>
              <c:showCatName val="0"/>
              <c:showSerName val="0"/>
              <c:showPercent val="0"/>
              <c:showBubbleSize val="0"/>
            </c:dLbl>
            <c:dLbl>
              <c:idx val="2"/>
              <c:layout>
                <c:manualLayout>
                  <c:x val="1.5726665459723697E-2"/>
                  <c:y val="-2.2460282466383485E-2"/>
                </c:manualLayout>
              </c:layout>
              <c:showLegendKey val="0"/>
              <c:showVal val="1"/>
              <c:showCatName val="0"/>
              <c:showSerName val="0"/>
              <c:showPercent val="0"/>
              <c:showBubbleSize val="0"/>
            </c:dLbl>
            <c:dLbl>
              <c:idx val="3"/>
              <c:layout>
                <c:manualLayout>
                  <c:x val="1.3630400032947777E-2"/>
                  <c:y val="-2.2026623258118775E-2"/>
                </c:manualLayout>
              </c:layout>
              <c:showLegendKey val="0"/>
              <c:showVal val="1"/>
              <c:showCatName val="0"/>
              <c:showSerName val="0"/>
              <c:showPercent val="0"/>
              <c:showBubbleSize val="0"/>
            </c:dLbl>
            <c:dLbl>
              <c:idx val="4"/>
              <c:layout>
                <c:manualLayout>
                  <c:x val="8.8188132661907222E-3"/>
                  <c:y val="-2.9041401968215298E-2"/>
                </c:manualLayout>
              </c:layout>
              <c:showLegendKey val="0"/>
              <c:showVal val="1"/>
              <c:showCatName val="0"/>
              <c:showSerName val="0"/>
              <c:showPercent val="0"/>
              <c:showBubbleSize val="0"/>
            </c:dLbl>
            <c:dLbl>
              <c:idx val="5"/>
              <c:layout>
                <c:manualLayout>
                  <c:x val="4.5295653832744445E-3"/>
                  <c:y val="-1.0548730046876472E-2"/>
                </c:manualLayout>
              </c:layout>
              <c:showLegendKey val="0"/>
              <c:showVal val="1"/>
              <c:showCatName val="0"/>
              <c:showSerName val="0"/>
              <c:showPercent val="0"/>
              <c:showBubbleSize val="0"/>
            </c:dLbl>
            <c:dLbl>
              <c:idx val="6"/>
              <c:layout>
                <c:manualLayout>
                  <c:x val="2.4053486449199761E-4"/>
                  <c:y val="-1.1910824207369938E-2"/>
                </c:manualLayout>
              </c:layout>
              <c:showLegendKey val="0"/>
              <c:showVal val="1"/>
              <c:showCatName val="0"/>
              <c:showSerName val="0"/>
              <c:showPercent val="0"/>
              <c:showBubbleSize val="0"/>
            </c:dLbl>
            <c:spPr>
              <a:noFill/>
              <a:ln w="25399">
                <a:noFill/>
              </a:ln>
            </c:spPr>
            <c:txPr>
              <a:bodyPr/>
              <a:lstStyle/>
              <a:p>
                <a:pPr>
                  <a:defRPr sz="925"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Sheet1!$B$4:$H$4</c:f>
              <c:strCache>
                <c:ptCount val="7"/>
                <c:pt idx="0">
                  <c:v>&lt; 15 m.</c:v>
                </c:pt>
                <c:pt idx="1">
                  <c:v>15-24 m.</c:v>
                </c:pt>
                <c:pt idx="2">
                  <c:v>15-34 m.</c:v>
                </c:pt>
                <c:pt idx="3">
                  <c:v>35-44 m.</c:v>
                </c:pt>
                <c:pt idx="4">
                  <c:v>45-54 m.</c:v>
                </c:pt>
                <c:pt idx="5">
                  <c:v>55-64 m.</c:v>
                </c:pt>
                <c:pt idx="6">
                  <c:v>65-74 m.</c:v>
                </c:pt>
              </c:strCache>
            </c:strRef>
          </c:cat>
          <c:val>
            <c:numRef>
              <c:f>Sheet1!$B$5:$H$5</c:f>
              <c:numCache>
                <c:formatCode>General</c:formatCode>
                <c:ptCount val="7"/>
                <c:pt idx="0">
                  <c:v>5</c:v>
                </c:pt>
                <c:pt idx="1">
                  <c:v>98</c:v>
                </c:pt>
                <c:pt idx="2">
                  <c:v>67</c:v>
                </c:pt>
                <c:pt idx="3">
                  <c:v>22</c:v>
                </c:pt>
                <c:pt idx="4">
                  <c:v>8</c:v>
                </c:pt>
                <c:pt idx="5">
                  <c:v>4</c:v>
                </c:pt>
                <c:pt idx="6">
                  <c:v>5</c:v>
                </c:pt>
              </c:numCache>
            </c:numRef>
          </c:val>
        </c:ser>
        <c:dLbls>
          <c:showLegendKey val="0"/>
          <c:showVal val="1"/>
          <c:showCatName val="0"/>
          <c:showSerName val="0"/>
          <c:showPercent val="0"/>
          <c:showBubbleSize val="0"/>
        </c:dLbls>
        <c:gapWidth val="150"/>
        <c:shape val="box"/>
        <c:axId val="79837440"/>
        <c:axId val="79840384"/>
        <c:axId val="0"/>
      </c:bar3DChart>
      <c:catAx>
        <c:axId val="7983744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79840384"/>
        <c:crosses val="autoZero"/>
        <c:auto val="1"/>
        <c:lblAlgn val="ctr"/>
        <c:lblOffset val="100"/>
        <c:tickLblSkip val="1"/>
        <c:tickMarkSkip val="1"/>
        <c:noMultiLvlLbl val="0"/>
      </c:catAx>
      <c:valAx>
        <c:axId val="79840384"/>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79837440"/>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6.1403508771929821E-2"/>
          <c:y val="0.12608695652173912"/>
          <c:w val="0.87061403508771928"/>
          <c:h val="0.68260869565217386"/>
        </c:manualLayout>
      </c:layout>
      <c:pie3DChart>
        <c:varyColors val="1"/>
        <c:ser>
          <c:idx val="0"/>
          <c:order val="0"/>
          <c:tx>
            <c:strRef>
              <c:f>Sheet1!$A$5</c:f>
              <c:strCache>
                <c:ptCount val="1"/>
                <c:pt idx="0">
                  <c:v>Atv.</c:v>
                </c:pt>
              </c:strCache>
            </c:strRef>
          </c:tx>
          <c:spPr>
            <a:solidFill>
              <a:srgbClr val="9999FF"/>
            </a:solidFill>
            <a:ln w="12700">
              <a:solidFill>
                <a:srgbClr val="000000"/>
              </a:solidFill>
              <a:prstDash val="solid"/>
            </a:ln>
          </c:spPr>
          <c:explosion val="25"/>
          <c:dPt>
            <c:idx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1"/>
          </c:dLbls>
          <c:cat>
            <c:strRef>
              <c:f>Sheet1!$B$4:$C$4</c:f>
              <c:strCache>
                <c:ptCount val="2"/>
                <c:pt idx="0">
                  <c:v>Suaugusieji</c:v>
                </c:pt>
                <c:pt idx="1">
                  <c:v>Vaikai</c:v>
                </c:pt>
              </c:strCache>
            </c:strRef>
          </c:cat>
          <c:val>
            <c:numRef>
              <c:f>Sheet1!$B$5:$C$5</c:f>
              <c:numCache>
                <c:formatCode>General</c:formatCode>
                <c:ptCount val="2"/>
                <c:pt idx="0">
                  <c:v>164</c:v>
                </c:pt>
                <c:pt idx="1">
                  <c:v>47</c:v>
                </c:pt>
              </c:numCache>
            </c:numRef>
          </c:val>
        </c:ser>
        <c:dLbls>
          <c:showLegendKey val="0"/>
          <c:showVal val="1"/>
          <c:showCatName val="0"/>
          <c:showSerName val="0"/>
          <c:showPercent val="0"/>
          <c:showBubbleSize val="0"/>
          <c:showLeaderLines val="1"/>
        </c:dLbls>
      </c:pie3DChart>
      <c:spPr>
        <a:noFill/>
        <a:ln w="25399">
          <a:noFill/>
        </a:ln>
      </c:spPr>
    </c:plotArea>
    <c:legend>
      <c:legendPos val="b"/>
      <c:layout>
        <c:manualLayout>
          <c:xMode val="edge"/>
          <c:yMode val="edge"/>
          <c:x val="0.34649122807017546"/>
          <c:y val="0.88695652173913042"/>
          <c:w val="0.30263157894736842"/>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179"/>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8.8235294117647065E-2"/>
          <c:y val="2.8846153846153848E-2"/>
          <c:w val="0.88602941176470584"/>
          <c:h val="0.85897435897435892"/>
        </c:manualLayout>
      </c:layout>
      <c:bar3DChart>
        <c:barDir val="bar"/>
        <c:grouping val="clustered"/>
        <c:varyColors val="0"/>
        <c:ser>
          <c:idx val="0"/>
          <c:order val="0"/>
          <c:tx>
            <c:strRef>
              <c:f>Sheet1!$A$5</c:f>
              <c:strCache>
                <c:ptCount val="1"/>
                <c:pt idx="0">
                  <c:v>Atv.</c:v>
                </c:pt>
              </c:strCache>
            </c:strRef>
          </c:tx>
          <c:spPr>
            <a:pattFill prst="lgConfetti">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6.6196821688964394E-3"/>
                  <c:y val="-2.8773702618276453E-3"/>
                </c:manualLayout>
              </c:layout>
              <c:showLegendKey val="0"/>
              <c:showVal val="1"/>
              <c:showCatName val="0"/>
              <c:showSerName val="0"/>
              <c:showPercent val="0"/>
              <c:showBubbleSize val="0"/>
            </c:dLbl>
            <c:dLbl>
              <c:idx val="1"/>
              <c:layout>
                <c:manualLayout>
                  <c:x val="1.2931442638740038E-2"/>
                  <c:y val="-2.7306745519686494E-3"/>
                </c:manualLayout>
              </c:layout>
              <c:showLegendKey val="0"/>
              <c:showVal val="1"/>
              <c:showCatName val="0"/>
              <c:showSerName val="0"/>
              <c:showPercent val="0"/>
              <c:showBubbleSize val="0"/>
            </c:dLbl>
            <c:dLbl>
              <c:idx val="2"/>
              <c:layout>
                <c:manualLayout>
                  <c:x val="1.7499007178413583E-2"/>
                  <c:y val="-5.7887810010371007E-3"/>
                </c:manualLayout>
              </c:layout>
              <c:showLegendKey val="0"/>
              <c:showVal val="1"/>
              <c:showCatName val="0"/>
              <c:showSerName val="0"/>
              <c:showPercent val="0"/>
              <c:showBubbleSize val="0"/>
            </c:dLbl>
            <c:dLbl>
              <c:idx val="3"/>
              <c:layout>
                <c:manualLayout>
                  <c:x val="1.5660771884295942E-2"/>
                  <c:y val="-2.4369570860498001E-3"/>
                </c:manualLayout>
              </c:layout>
              <c:showLegendKey val="0"/>
              <c:showVal val="1"/>
              <c:showCatName val="0"/>
              <c:showSerName val="0"/>
              <c:showPercent val="0"/>
              <c:showBubbleSize val="0"/>
            </c:dLbl>
            <c:dLbl>
              <c:idx val="4"/>
              <c:layout>
                <c:manualLayout>
                  <c:x val="1.7053554956193252E-2"/>
                  <c:y val="-1.5110448150502888E-2"/>
                </c:manualLayout>
              </c:layout>
              <c:showLegendKey val="0"/>
              <c:showVal val="1"/>
              <c:showCatName val="0"/>
              <c:showSerName val="0"/>
              <c:showPercent val="0"/>
              <c:showBubbleSize val="0"/>
            </c:dLbl>
            <c:dLbl>
              <c:idx val="5"/>
              <c:layout>
                <c:manualLayout>
                  <c:x val="8.1953569113480881E-3"/>
                  <c:y val="-1.816855459957134E-2"/>
                </c:manualLayout>
              </c:layout>
              <c:showLegendKey val="0"/>
              <c:showVal val="1"/>
              <c:showCatName val="0"/>
              <c:showSerName val="0"/>
              <c:showPercent val="0"/>
              <c:showBubbleSize val="0"/>
            </c:dLbl>
            <c:dLbl>
              <c:idx val="6"/>
              <c:layout>
                <c:manualLayout>
                  <c:x val="1.4211751914160034E-2"/>
                  <c:y val="-1.1611602479455956E-2"/>
                </c:manualLayout>
              </c:layout>
              <c:showLegendKey val="0"/>
              <c:showVal val="1"/>
              <c:showCatName val="0"/>
              <c:showSerName val="0"/>
              <c:showPercent val="0"/>
              <c:showBubbleSize val="0"/>
            </c:dLbl>
            <c:dLbl>
              <c:idx val="7"/>
              <c:layout>
                <c:manualLayout>
                  <c:x val="2.117547776664892E-2"/>
                  <c:y val="-1.7874837133652628E-2"/>
                </c:manualLayout>
              </c:layout>
              <c:showLegendKey val="0"/>
              <c:showVal val="1"/>
              <c:showCatName val="0"/>
              <c:showSerName val="0"/>
              <c:showPercent val="0"/>
              <c:showBubbleSize val="0"/>
            </c:dLbl>
            <c:dLbl>
              <c:idx val="8"/>
              <c:layout>
                <c:manualLayout>
                  <c:x val="1.9782694694751614E-2"/>
                  <c:y val="-2.4138397834050005E-2"/>
                </c:manualLayout>
              </c:layout>
              <c:showLegendKey val="0"/>
              <c:showVal val="1"/>
              <c:showCatName val="0"/>
              <c:showSerName val="0"/>
              <c:showPercent val="0"/>
              <c:showBubbleSize val="0"/>
            </c:dLbl>
            <c:spPr>
              <a:noFill/>
              <a:ln w="25399">
                <a:noFill/>
              </a:ln>
            </c:spPr>
            <c:txPr>
              <a:bodyPr/>
              <a:lstStyle/>
              <a:p>
                <a:pPr>
                  <a:defRPr sz="11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Sheet1!$B$4:$J$4</c:f>
              <c:strCache>
                <c:ptCount val="9"/>
                <c:pt idx="0">
                  <c:v>T40</c:v>
                </c:pt>
                <c:pt idx="1">
                  <c:v>T40,0</c:v>
                </c:pt>
                <c:pt idx="2">
                  <c:v>T40,1</c:v>
                </c:pt>
                <c:pt idx="3">
                  <c:v>T40,2</c:v>
                </c:pt>
                <c:pt idx="4">
                  <c:v>T40,3</c:v>
                </c:pt>
                <c:pt idx="5">
                  <c:v>T40,4</c:v>
                </c:pt>
                <c:pt idx="6">
                  <c:v>T40,6</c:v>
                </c:pt>
                <c:pt idx="7">
                  <c:v>T40,7</c:v>
                </c:pt>
                <c:pt idx="8">
                  <c:v>T40,9</c:v>
                </c:pt>
              </c:strCache>
            </c:strRef>
          </c:cat>
          <c:val>
            <c:numRef>
              <c:f>Sheet1!$B$5:$J$5</c:f>
              <c:numCache>
                <c:formatCode>General</c:formatCode>
                <c:ptCount val="9"/>
                <c:pt idx="0">
                  <c:v>12</c:v>
                </c:pt>
                <c:pt idx="1">
                  <c:v>1</c:v>
                </c:pt>
                <c:pt idx="2">
                  <c:v>3</c:v>
                </c:pt>
                <c:pt idx="3">
                  <c:v>3</c:v>
                </c:pt>
                <c:pt idx="4">
                  <c:v>2</c:v>
                </c:pt>
                <c:pt idx="5">
                  <c:v>11</c:v>
                </c:pt>
                <c:pt idx="6">
                  <c:v>8</c:v>
                </c:pt>
                <c:pt idx="7">
                  <c:v>3</c:v>
                </c:pt>
                <c:pt idx="8">
                  <c:v>4</c:v>
                </c:pt>
              </c:numCache>
            </c:numRef>
          </c:val>
        </c:ser>
        <c:dLbls>
          <c:showLegendKey val="0"/>
          <c:showVal val="1"/>
          <c:showCatName val="0"/>
          <c:showSerName val="0"/>
          <c:showPercent val="0"/>
          <c:showBubbleSize val="0"/>
        </c:dLbls>
        <c:gapWidth val="150"/>
        <c:shape val="box"/>
        <c:axId val="79948800"/>
        <c:axId val="90376064"/>
        <c:axId val="0"/>
      </c:bar3DChart>
      <c:catAx>
        <c:axId val="79948800"/>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lt-LT"/>
          </a:p>
        </c:txPr>
        <c:crossAx val="90376064"/>
        <c:crosses val="autoZero"/>
        <c:auto val="1"/>
        <c:lblAlgn val="ctr"/>
        <c:lblOffset val="100"/>
        <c:tickLblSkip val="1"/>
        <c:tickMarkSkip val="1"/>
        <c:noMultiLvlLbl val="0"/>
      </c:catAx>
      <c:valAx>
        <c:axId val="903760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lt-LT"/>
          </a:p>
        </c:txPr>
        <c:crossAx val="79948800"/>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150" b="0" i="0" u="none" strike="noStrike" baseline="0">
          <a:solidFill>
            <a:srgbClr val="000000"/>
          </a:solidFill>
          <a:latin typeface="Arial"/>
          <a:ea typeface="Arial"/>
          <a:cs typeface="Arial"/>
        </a:defRPr>
      </a:pPr>
      <a:endParaRPr lang="lt-LT"/>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736842105263157E-2"/>
          <c:y val="3.9130434782608699E-2"/>
          <c:w val="0.95833333333333337"/>
          <c:h val="0.80869565217391304"/>
        </c:manualLayout>
      </c:layout>
      <c:bar3DChart>
        <c:barDir val="col"/>
        <c:grouping val="clustered"/>
        <c:varyColors val="0"/>
        <c:ser>
          <c:idx val="0"/>
          <c:order val="0"/>
          <c:tx>
            <c:strRef>
              <c:f>Sheet1!$A$5</c:f>
              <c:strCache>
                <c:ptCount val="1"/>
                <c:pt idx="0">
                  <c:v>Atv.</c:v>
                </c:pt>
              </c:strCache>
            </c:strRef>
          </c:tx>
          <c:spPr>
            <a:pattFill prst="dot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7161769252527664E-2"/>
                  <c:y val="6.2938220524837128E-3"/>
                </c:manualLayout>
              </c:layout>
              <c:showLegendKey val="0"/>
              <c:showVal val="1"/>
              <c:showCatName val="0"/>
              <c:showSerName val="0"/>
              <c:showPercent val="0"/>
              <c:showBubbleSize val="0"/>
            </c:dLbl>
            <c:dLbl>
              <c:idx val="1"/>
              <c:layout>
                <c:manualLayout>
                  <c:x val="2.3630734659311765E-2"/>
                  <c:y val="1.9459959655272162E-3"/>
                </c:manualLayout>
              </c:layout>
              <c:showLegendKey val="0"/>
              <c:showVal val="1"/>
              <c:showCatName val="0"/>
              <c:showSerName val="0"/>
              <c:showPercent val="0"/>
              <c:showBubbleSize val="0"/>
            </c:dLbl>
            <c:dLbl>
              <c:idx val="2"/>
              <c:layout>
                <c:manualLayout>
                  <c:x val="1.5713952517949013E-2"/>
                  <c:y val="6.2938220524837128E-3"/>
                </c:manualLayout>
              </c:layout>
              <c:showLegendKey val="0"/>
              <c:showVal val="1"/>
              <c:showCatName val="0"/>
              <c:showSerName val="0"/>
              <c:showPercent val="0"/>
              <c:showBubbleSize val="0"/>
            </c:dLbl>
            <c:dLbl>
              <c:idx val="3"/>
              <c:layout>
                <c:manualLayout>
                  <c:x val="2.0955065113428321E-2"/>
                  <c:y val="1.9459959655272162E-3"/>
                </c:manualLayout>
              </c:layout>
              <c:showLegendKey val="0"/>
              <c:showVal val="1"/>
              <c:showCatName val="0"/>
              <c:showSerName val="0"/>
              <c:showPercent val="0"/>
              <c:showBubbleSize val="0"/>
            </c:dLbl>
            <c:dLbl>
              <c:idx val="4"/>
              <c:layout>
                <c:manualLayout>
                  <c:x val="1.3038065607931762E-2"/>
                  <c:y val="-2.2112863112547405E-2"/>
                </c:manualLayout>
              </c:layout>
              <c:showLegendKey val="0"/>
              <c:showVal val="1"/>
              <c:showCatName val="0"/>
              <c:showSerName val="0"/>
              <c:showPercent val="0"/>
              <c:showBubbleSize val="0"/>
            </c:dLbl>
            <c:dLbl>
              <c:idx val="5"/>
              <c:layout>
                <c:manualLayout>
                  <c:x val="9.5072483788496386E-3"/>
                  <c:y val="-1.4000881847136711E-2"/>
                </c:manualLayout>
              </c:layout>
              <c:showLegendKey val="0"/>
              <c:showVal val="1"/>
              <c:showCatName val="0"/>
              <c:showSerName val="0"/>
              <c:showPercent val="0"/>
              <c:showBubbleSize val="0"/>
            </c:dLbl>
            <c:dLbl>
              <c:idx val="6"/>
              <c:layout>
                <c:manualLayout>
                  <c:x val="1.0305024800961592E-2"/>
                  <c:y val="-2.3279796420304488E-2"/>
                </c:manualLayout>
              </c:layout>
              <c:showLegendKey val="0"/>
              <c:showVal val="1"/>
              <c:showCatName val="0"/>
              <c:showSerName val="0"/>
              <c:showPercent val="0"/>
              <c:showBubbleSize val="0"/>
            </c:dLbl>
            <c:dLbl>
              <c:idx val="7"/>
              <c:layout>
                <c:manualLayout>
                  <c:x val="4.5812251157392771E-3"/>
                  <c:y val="5.9876443713864115E-3"/>
                </c:manualLayout>
              </c:layout>
              <c:showLegendKey val="0"/>
              <c:showVal val="1"/>
              <c:showCatName val="0"/>
              <c:showSerName val="0"/>
              <c:showPercent val="0"/>
              <c:showBubbleSize val="0"/>
            </c:dLbl>
            <c:dLbl>
              <c:idx val="8"/>
              <c:layout>
                <c:manualLayout>
                  <c:x val="-1.0852033083965091E-3"/>
                  <c:y val="-7.6249583165155788E-3"/>
                </c:manualLayout>
              </c:layout>
              <c:showLegendKey val="0"/>
              <c:showVal val="1"/>
              <c:showCatName val="0"/>
              <c:showSerName val="0"/>
              <c:showPercent val="0"/>
              <c:showBubbleSize val="0"/>
            </c:dLbl>
            <c:spPr>
              <a:noFill/>
              <a:ln w="25399">
                <a:noFill/>
              </a:ln>
            </c:spPr>
            <c:txPr>
              <a:bodyPr/>
              <a:lstStyle/>
              <a:p>
                <a:pPr>
                  <a:defRPr sz="85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Sheet1!$B$4:$J$4</c:f>
              <c:strCache>
                <c:ptCount val="9"/>
                <c:pt idx="0">
                  <c:v>1 m.</c:v>
                </c:pt>
                <c:pt idx="1">
                  <c:v>4 m.</c:v>
                </c:pt>
                <c:pt idx="2">
                  <c:v>5 m.</c:v>
                </c:pt>
                <c:pt idx="3">
                  <c:v>9 m.</c:v>
                </c:pt>
                <c:pt idx="4">
                  <c:v>14 m.</c:v>
                </c:pt>
                <c:pt idx="5">
                  <c:v>15 m.</c:v>
                </c:pt>
                <c:pt idx="6">
                  <c:v>16 m.</c:v>
                </c:pt>
                <c:pt idx="7">
                  <c:v>17 m.</c:v>
                </c:pt>
                <c:pt idx="8">
                  <c:v>18 m.</c:v>
                </c:pt>
              </c:strCache>
            </c:strRef>
          </c:cat>
          <c:val>
            <c:numRef>
              <c:f>Sheet1!$B$5:$J$5</c:f>
              <c:numCache>
                <c:formatCode>General</c:formatCode>
                <c:ptCount val="9"/>
                <c:pt idx="0">
                  <c:v>1</c:v>
                </c:pt>
                <c:pt idx="1">
                  <c:v>1</c:v>
                </c:pt>
                <c:pt idx="2">
                  <c:v>1</c:v>
                </c:pt>
                <c:pt idx="3">
                  <c:v>1</c:v>
                </c:pt>
                <c:pt idx="4">
                  <c:v>2</c:v>
                </c:pt>
                <c:pt idx="5">
                  <c:v>6</c:v>
                </c:pt>
                <c:pt idx="6">
                  <c:v>10</c:v>
                </c:pt>
                <c:pt idx="7">
                  <c:v>18</c:v>
                </c:pt>
                <c:pt idx="8">
                  <c:v>7</c:v>
                </c:pt>
              </c:numCache>
            </c:numRef>
          </c:val>
        </c:ser>
        <c:dLbls>
          <c:showLegendKey val="0"/>
          <c:showVal val="1"/>
          <c:showCatName val="0"/>
          <c:showSerName val="0"/>
          <c:showPercent val="0"/>
          <c:showBubbleSize val="0"/>
        </c:dLbls>
        <c:gapWidth val="150"/>
        <c:shape val="box"/>
        <c:axId val="90432256"/>
        <c:axId val="90434944"/>
        <c:axId val="0"/>
      </c:bar3DChart>
      <c:catAx>
        <c:axId val="9043225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lt-LT"/>
          </a:p>
        </c:txPr>
        <c:crossAx val="90434944"/>
        <c:crosses val="autoZero"/>
        <c:auto val="1"/>
        <c:lblAlgn val="ctr"/>
        <c:lblOffset val="100"/>
        <c:tickLblSkip val="1"/>
        <c:tickMarkSkip val="1"/>
        <c:noMultiLvlLbl val="0"/>
      </c:catAx>
      <c:valAx>
        <c:axId val="90434944"/>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9043225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0307017543859649"/>
          <c:y val="0.16086956521739129"/>
          <c:w val="0.80043859649122806"/>
          <c:h val="0.63043478260869568"/>
        </c:manualLayout>
      </c:layout>
      <c:pie3DChart>
        <c:varyColors val="1"/>
        <c:ser>
          <c:idx val="0"/>
          <c:order val="0"/>
          <c:tx>
            <c:strRef>
              <c:f>Sheet1!$A$5</c:f>
              <c:strCache>
                <c:ptCount val="1"/>
                <c:pt idx="0">
                  <c:v>Atv.</c:v>
                </c:pt>
              </c:strCache>
            </c:strRef>
          </c:tx>
          <c:spPr>
            <a:solidFill>
              <a:srgbClr val="9999FF"/>
            </a:solidFill>
            <a:ln w="12700">
              <a:solidFill>
                <a:srgbClr val="000000"/>
              </a:solidFill>
              <a:prstDash val="solid"/>
            </a:ln>
          </c:spPr>
          <c:explosion val="25"/>
          <c:dPt>
            <c:idx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800"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Sheet1!$B$4:$C$4</c:f>
              <c:strCache>
                <c:ptCount val="2"/>
                <c:pt idx="0">
                  <c:v>Vyr.</c:v>
                </c:pt>
                <c:pt idx="1">
                  <c:v>Mot.</c:v>
                </c:pt>
              </c:strCache>
            </c:strRef>
          </c:cat>
          <c:val>
            <c:numRef>
              <c:f>Sheet1!$B$5:$C$5</c:f>
              <c:numCache>
                <c:formatCode>General</c:formatCode>
                <c:ptCount val="2"/>
                <c:pt idx="0">
                  <c:v>5</c:v>
                </c:pt>
                <c:pt idx="1">
                  <c:v>1</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41008771929824561"/>
          <c:y val="0.88695652173913042"/>
          <c:w val="0.1754385964912280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0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0.10307017543859649"/>
          <c:y val="3.9130434782608699E-2"/>
          <c:w val="0.8728070175438597"/>
          <c:h val="0.82173913043478264"/>
        </c:manualLayout>
      </c:layout>
      <c:bar3DChart>
        <c:barDir val="bar"/>
        <c:grouping val="clustered"/>
        <c:varyColors val="0"/>
        <c:ser>
          <c:idx val="0"/>
          <c:order val="0"/>
          <c:tx>
            <c:strRef>
              <c:f>Sheet1!$A$6</c:f>
              <c:strCache>
                <c:ptCount val="1"/>
                <c:pt idx="0">
                  <c:v>Atv.</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Pt>
            <c:idx val="1"/>
            <c:invertIfNegative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2"/>
            <c:invertIfNegative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3"/>
            <c:invertIfNegative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Sheet1!$B$5:$F$5</c:f>
              <c:strCache>
                <c:ptCount val="5"/>
                <c:pt idx="0">
                  <c:v>T40</c:v>
                </c:pt>
                <c:pt idx="1">
                  <c:v>T40,0</c:v>
                </c:pt>
                <c:pt idx="2">
                  <c:v>T40,1</c:v>
                </c:pt>
                <c:pt idx="3">
                  <c:v>T40,2</c:v>
                </c:pt>
                <c:pt idx="4">
                  <c:v>T40,6</c:v>
                </c:pt>
              </c:strCache>
            </c:strRef>
          </c:cat>
          <c:val>
            <c:numRef>
              <c:f>Sheet1!$B$6:$F$6</c:f>
              <c:numCache>
                <c:formatCode>General</c:formatCode>
                <c:ptCount val="5"/>
                <c:pt idx="0">
                  <c:v>1</c:v>
                </c:pt>
                <c:pt idx="1">
                  <c:v>1</c:v>
                </c:pt>
                <c:pt idx="2">
                  <c:v>2</c:v>
                </c:pt>
                <c:pt idx="3">
                  <c:v>1</c:v>
                </c:pt>
                <c:pt idx="4">
                  <c:v>1</c:v>
                </c:pt>
              </c:numCache>
            </c:numRef>
          </c:val>
        </c:ser>
        <c:dLbls>
          <c:showLegendKey val="0"/>
          <c:showVal val="1"/>
          <c:showCatName val="0"/>
          <c:showSerName val="0"/>
          <c:showPercent val="0"/>
          <c:showBubbleSize val="0"/>
        </c:dLbls>
        <c:gapWidth val="150"/>
        <c:shape val="box"/>
        <c:axId val="90838528"/>
        <c:axId val="90891776"/>
        <c:axId val="0"/>
      </c:bar3DChart>
      <c:catAx>
        <c:axId val="90838528"/>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lt-LT"/>
          </a:p>
        </c:txPr>
        <c:crossAx val="90891776"/>
        <c:crosses val="autoZero"/>
        <c:auto val="1"/>
        <c:lblAlgn val="ctr"/>
        <c:lblOffset val="100"/>
        <c:tickLblSkip val="1"/>
        <c:tickMarkSkip val="1"/>
        <c:noMultiLvlLbl val="0"/>
      </c:catAx>
      <c:valAx>
        <c:axId val="90891776"/>
        <c:scaling>
          <c:orientation val="minMax"/>
        </c:scaling>
        <c:delete val="0"/>
        <c:axPos val="b"/>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lt-LT"/>
          </a:p>
        </c:txPr>
        <c:crossAx val="90838528"/>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9"/>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2.1226415094339621E-2"/>
          <c:y val="0.1787709497206704"/>
          <c:w val="0.95518867924528306"/>
          <c:h val="0.51955307262569828"/>
        </c:manualLayout>
      </c:layout>
      <c:bar3DChart>
        <c:barDir val="col"/>
        <c:grouping val="clustered"/>
        <c:varyColors val="0"/>
        <c:ser>
          <c:idx val="0"/>
          <c:order val="0"/>
          <c:tx>
            <c:strRef>
              <c:f>Sheet1!$A$6</c:f>
              <c:strCache>
                <c:ptCount val="1"/>
                <c:pt idx="0">
                  <c:v>Atv.</c:v>
                </c:pt>
              </c:strCache>
            </c:strRef>
          </c:tx>
          <c:spPr>
            <a:pattFill prst="plai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2.3144543404989774E-2"/>
                  <c:y val="-4.1358424237938604E-2"/>
                </c:manualLayout>
              </c:layout>
              <c:showLegendKey val="0"/>
              <c:showVal val="1"/>
              <c:showCatName val="0"/>
              <c:showSerName val="0"/>
              <c:showPercent val="0"/>
              <c:showBubbleSize val="0"/>
            </c:dLbl>
            <c:dLbl>
              <c:idx val="1"/>
              <c:layout>
                <c:manualLayout>
                  <c:x val="1.7638792564197873E-2"/>
                  <c:y val="-4.2107678812029321E-2"/>
                </c:manualLayout>
              </c:layout>
              <c:showLegendKey val="0"/>
              <c:showVal val="1"/>
              <c:showCatName val="0"/>
              <c:showSerName val="0"/>
              <c:showPercent val="0"/>
              <c:showBubbleSize val="0"/>
            </c:dLbl>
            <c:dLbl>
              <c:idx val="2"/>
              <c:layout>
                <c:manualLayout>
                  <c:x val="1.684978095023584E-2"/>
                  <c:y val="-5.1782354021389795E-2"/>
                </c:manualLayout>
              </c:layout>
              <c:showLegendKey val="0"/>
              <c:showVal val="1"/>
              <c:showCatName val="0"/>
              <c:showSerName val="0"/>
              <c:showPercent val="0"/>
              <c:showBubbleSize val="0"/>
            </c:dLbl>
            <c:spPr>
              <a:noFill/>
              <a:ln w="25398">
                <a:noFill/>
              </a:ln>
            </c:spPr>
            <c:txPr>
              <a:bodyPr/>
              <a:lstStyle/>
              <a:p>
                <a:pPr>
                  <a:defRPr sz="8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Sheet1!$B$5:$D$5</c:f>
              <c:strCache>
                <c:ptCount val="3"/>
                <c:pt idx="0">
                  <c:v>15-24 m.</c:v>
                </c:pt>
                <c:pt idx="1">
                  <c:v>25-34 m.</c:v>
                </c:pt>
                <c:pt idx="2">
                  <c:v>35-44 m.</c:v>
                </c:pt>
              </c:strCache>
            </c:strRef>
          </c:cat>
          <c:val>
            <c:numRef>
              <c:f>Sheet1!$B$6:$D$6</c:f>
              <c:numCache>
                <c:formatCode>General</c:formatCode>
                <c:ptCount val="3"/>
                <c:pt idx="0">
                  <c:v>2</c:v>
                </c:pt>
                <c:pt idx="1">
                  <c:v>3</c:v>
                </c:pt>
                <c:pt idx="2">
                  <c:v>1</c:v>
                </c:pt>
              </c:numCache>
            </c:numRef>
          </c:val>
        </c:ser>
        <c:dLbls>
          <c:showLegendKey val="0"/>
          <c:showVal val="1"/>
          <c:showCatName val="0"/>
          <c:showSerName val="0"/>
          <c:showPercent val="0"/>
          <c:showBubbleSize val="0"/>
        </c:dLbls>
        <c:gapWidth val="150"/>
        <c:shape val="box"/>
        <c:axId val="90915200"/>
        <c:axId val="90917888"/>
        <c:axId val="0"/>
      </c:bar3DChart>
      <c:catAx>
        <c:axId val="9091520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90917888"/>
        <c:crosses val="autoZero"/>
        <c:auto val="1"/>
        <c:lblAlgn val="ctr"/>
        <c:lblOffset val="100"/>
        <c:tickLblSkip val="1"/>
        <c:tickMarkSkip val="1"/>
        <c:noMultiLvlLbl val="0"/>
      </c:catAx>
      <c:valAx>
        <c:axId val="90917888"/>
        <c:scaling>
          <c:orientation val="minMax"/>
        </c:scaling>
        <c:delete val="1"/>
        <c:axPos val="l"/>
        <c:numFmt formatCode="General" sourceLinked="1"/>
        <c:majorTickMark val="out"/>
        <c:minorTickMark val="none"/>
        <c:tickLblPos val="nextTo"/>
        <c:crossAx val="90915200"/>
        <c:crosses val="autoZero"/>
        <c:crossBetween val="between"/>
      </c:valAx>
      <c:spPr>
        <a:noFill/>
        <a:ln w="25398">
          <a:noFill/>
        </a:ln>
      </c:spPr>
    </c:plotArea>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a:ea typeface="Arial"/>
          <a:cs typeface="Arial"/>
        </a:defRPr>
      </a:pPr>
      <a:endParaRPr lang="lt-LT"/>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118421052631579"/>
          <c:y val="0.1391304347826087"/>
          <c:w val="0.77850877192982459"/>
          <c:h val="0.61304347826086958"/>
        </c:manualLayout>
      </c:layout>
      <c:pie3DChart>
        <c:varyColors val="1"/>
        <c:ser>
          <c:idx val="0"/>
          <c:order val="0"/>
          <c:tx>
            <c:strRef>
              <c:f>Sheet1!$A$6</c:f>
              <c:strCache>
                <c:ptCount val="1"/>
                <c:pt idx="0">
                  <c:v>Atv.</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Sheet1!$B$5:$C$5</c:f>
              <c:strCache>
                <c:ptCount val="2"/>
                <c:pt idx="0">
                  <c:v>Vyr.</c:v>
                </c:pt>
                <c:pt idx="1">
                  <c:v>Mot.</c:v>
                </c:pt>
              </c:strCache>
            </c:strRef>
          </c:cat>
          <c:val>
            <c:numRef>
              <c:f>Sheet1!$B$6:$C$6</c:f>
              <c:numCache>
                <c:formatCode>General</c:formatCode>
                <c:ptCount val="2"/>
                <c:pt idx="0">
                  <c:v>3049</c:v>
                </c:pt>
                <c:pt idx="1">
                  <c:v>812</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41008771929824561"/>
          <c:y val="0.88695652173913042"/>
          <c:w val="0.1754385964912280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9"/>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8072289156626505E-2"/>
          <c:y val="3.5433070866141732E-2"/>
          <c:w val="0.9618473895582329"/>
          <c:h val="0.77165354330708658"/>
        </c:manualLayout>
      </c:layout>
      <c:bar3DChart>
        <c:barDir val="col"/>
        <c:grouping val="clustered"/>
        <c:varyColors val="0"/>
        <c:ser>
          <c:idx val="0"/>
          <c:order val="0"/>
          <c:tx>
            <c:strRef>
              <c:f>Sheet1!$A$6</c:f>
              <c:strCache>
                <c:ptCount val="1"/>
                <c:pt idx="0">
                  <c:v>Atv.</c:v>
                </c:pt>
              </c:strCache>
            </c:strRef>
          </c:tx>
          <c:spPr>
            <a:pattFill prst="weav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3284275007792704E-2"/>
                  <c:y val="-6.6487329653187989E-3"/>
                </c:manualLayout>
              </c:layout>
              <c:showLegendKey val="0"/>
              <c:showVal val="1"/>
              <c:showCatName val="0"/>
              <c:showSerName val="0"/>
              <c:showPercent val="0"/>
              <c:showBubbleSize val="0"/>
            </c:dLbl>
            <c:dLbl>
              <c:idx val="1"/>
              <c:layout>
                <c:manualLayout>
                  <c:x val="2.1481391934441898E-2"/>
                  <c:y val="-5.8325440636646395E-2"/>
                </c:manualLayout>
              </c:layout>
              <c:showLegendKey val="0"/>
              <c:showVal val="1"/>
              <c:showCatName val="0"/>
              <c:showSerName val="0"/>
              <c:showPercent val="0"/>
              <c:showBubbleSize val="0"/>
            </c:dLbl>
            <c:dLbl>
              <c:idx val="2"/>
              <c:layout>
                <c:manualLayout>
                  <c:x val="1.7670476732577097E-2"/>
                  <c:y val="-7.4490243879657154E-3"/>
                </c:manualLayout>
              </c:layout>
              <c:showLegendKey val="0"/>
              <c:showVal val="1"/>
              <c:showCatName val="0"/>
              <c:showSerName val="0"/>
              <c:showPercent val="0"/>
              <c:showBubbleSize val="0"/>
            </c:dLbl>
            <c:dLbl>
              <c:idx val="3"/>
              <c:layout>
                <c:manualLayout>
                  <c:x val="1.3859561530712293E-2"/>
                  <c:y val="-1.4796984896460894E-2"/>
                </c:manualLayout>
              </c:layout>
              <c:showLegendKey val="0"/>
              <c:showVal val="1"/>
              <c:showCatName val="0"/>
              <c:showSerName val="0"/>
              <c:showPercent val="0"/>
              <c:showBubbleSize val="0"/>
            </c:dLbl>
            <c:dLbl>
              <c:idx val="4"/>
              <c:layout>
                <c:manualLayout>
                  <c:x val="6.0325820718193281E-3"/>
                  <c:y val="-2.6631920120305245E-2"/>
                </c:manualLayout>
              </c:layout>
              <c:showLegendKey val="0"/>
              <c:showVal val="1"/>
              <c:showCatName val="0"/>
              <c:showSerName val="0"/>
              <c:showPercent val="0"/>
              <c:showBubbleSize val="0"/>
            </c:dLbl>
            <c:dLbl>
              <c:idx val="5"/>
              <c:layout>
                <c:manualLayout>
                  <c:x val="8.2457632554966583E-3"/>
                  <c:y val="-1.3739830563884095E-2"/>
                </c:manualLayout>
              </c:layout>
              <c:showLegendKey val="0"/>
              <c:showVal val="1"/>
              <c:showCatName val="0"/>
              <c:showSerName val="0"/>
              <c:showPercent val="0"/>
              <c:showBubbleSize val="0"/>
            </c:dLbl>
            <c:dLbl>
              <c:idx val="6"/>
              <c:layout>
                <c:manualLayout>
                  <c:x val="8.4511122856631427E-3"/>
                  <c:y val="-5.2626259795817414E-2"/>
                </c:manualLayout>
              </c:layout>
              <c:showLegendKey val="0"/>
              <c:showVal val="1"/>
              <c:showCatName val="0"/>
              <c:showSerName val="0"/>
              <c:showPercent val="0"/>
              <c:showBubbleSize val="0"/>
            </c:dLbl>
            <c:dLbl>
              <c:idx val="7"/>
              <c:layout>
                <c:manualLayout>
                  <c:x val="8.680507707620886E-3"/>
                  <c:y val="-1.6566069810668677E-2"/>
                </c:manualLayout>
              </c:layout>
              <c:showLegendKey val="0"/>
              <c:showVal val="1"/>
              <c:showCatName val="0"/>
              <c:showSerName val="0"/>
              <c:showPercent val="0"/>
              <c:showBubbleSize val="0"/>
            </c:dLbl>
            <c:dLbl>
              <c:idx val="8"/>
              <c:layout>
                <c:manualLayout>
                  <c:x val="-1.1304574879946779E-3"/>
                  <c:y val="-1.9756400556692016E-2"/>
                </c:manualLayout>
              </c:layout>
              <c:showLegendKey val="0"/>
              <c:showVal val="1"/>
              <c:showCatName val="0"/>
              <c:showSerName val="0"/>
              <c:showPercent val="0"/>
              <c:showBubbleSize val="0"/>
            </c:dLbl>
            <c:spPr>
              <a:noFill/>
              <a:ln w="25399">
                <a:noFill/>
              </a:ln>
            </c:spPr>
            <c:txPr>
              <a:bodyPr/>
              <a:lstStyle/>
              <a:p>
                <a:pPr>
                  <a:defRPr sz="85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Sheet1!$B$5:$J$5</c:f>
              <c:strCache>
                <c:ptCount val="9"/>
                <c:pt idx="0">
                  <c:v>&lt; 15 m.</c:v>
                </c:pt>
                <c:pt idx="1">
                  <c:v>15-24 m.</c:v>
                </c:pt>
                <c:pt idx="2">
                  <c:v>25-34 m.</c:v>
                </c:pt>
                <c:pt idx="3">
                  <c:v>35-44 m.</c:v>
                </c:pt>
                <c:pt idx="4">
                  <c:v>45-54 m.</c:v>
                </c:pt>
                <c:pt idx="5">
                  <c:v>55-64 m.</c:v>
                </c:pt>
                <c:pt idx="6">
                  <c:v>65-74 m.</c:v>
                </c:pt>
                <c:pt idx="7">
                  <c:v>&gt; 75 m.</c:v>
                </c:pt>
                <c:pt idx="8">
                  <c:v>?</c:v>
                </c:pt>
              </c:strCache>
            </c:strRef>
          </c:cat>
          <c:val>
            <c:numRef>
              <c:f>Sheet1!$B$6:$J$6</c:f>
              <c:numCache>
                <c:formatCode>General</c:formatCode>
                <c:ptCount val="9"/>
                <c:pt idx="0">
                  <c:v>430</c:v>
                </c:pt>
                <c:pt idx="1">
                  <c:v>674</c:v>
                </c:pt>
                <c:pt idx="2">
                  <c:v>419</c:v>
                </c:pt>
                <c:pt idx="3">
                  <c:v>859</c:v>
                </c:pt>
                <c:pt idx="4">
                  <c:v>839</c:v>
                </c:pt>
                <c:pt idx="5">
                  <c:v>426</c:v>
                </c:pt>
                <c:pt idx="6">
                  <c:v>172</c:v>
                </c:pt>
                <c:pt idx="7">
                  <c:v>38</c:v>
                </c:pt>
                <c:pt idx="8">
                  <c:v>4</c:v>
                </c:pt>
              </c:numCache>
            </c:numRef>
          </c:val>
        </c:ser>
        <c:dLbls>
          <c:showLegendKey val="0"/>
          <c:showVal val="1"/>
          <c:showCatName val="0"/>
          <c:showSerName val="0"/>
          <c:showPercent val="0"/>
          <c:showBubbleSize val="0"/>
        </c:dLbls>
        <c:gapWidth val="150"/>
        <c:shape val="box"/>
        <c:axId val="91022848"/>
        <c:axId val="91029888"/>
        <c:axId val="0"/>
      </c:bar3DChart>
      <c:catAx>
        <c:axId val="9102284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25" b="0" i="0" u="none" strike="noStrike" baseline="0">
                <a:solidFill>
                  <a:srgbClr val="000000"/>
                </a:solidFill>
                <a:latin typeface="Arial"/>
                <a:ea typeface="Arial"/>
                <a:cs typeface="Arial"/>
              </a:defRPr>
            </a:pPr>
            <a:endParaRPr lang="lt-LT"/>
          </a:p>
        </c:txPr>
        <c:crossAx val="91029888"/>
        <c:crosses val="autoZero"/>
        <c:auto val="1"/>
        <c:lblAlgn val="ctr"/>
        <c:lblOffset val="100"/>
        <c:tickLblSkip val="1"/>
        <c:tickMarkSkip val="1"/>
        <c:noMultiLvlLbl val="0"/>
      </c:catAx>
      <c:valAx>
        <c:axId val="91029888"/>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91022848"/>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lt-LT"/>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2280701754385964"/>
          <c:y val="0.13043478260869565"/>
          <c:w val="0.7807017543859649"/>
          <c:h val="0.61304347826086958"/>
        </c:manualLayout>
      </c:layout>
      <c:pie3DChart>
        <c:varyColors val="1"/>
        <c:ser>
          <c:idx val="0"/>
          <c:order val="0"/>
          <c:tx>
            <c:strRef>
              <c:f>Sheet1!$A$6</c:f>
              <c:strCache>
                <c:ptCount val="1"/>
                <c:pt idx="0">
                  <c:v>Atv.</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Sheet1!$B$5:$C$5</c:f>
              <c:strCache>
                <c:ptCount val="2"/>
                <c:pt idx="0">
                  <c:v>Suaugę</c:v>
                </c:pt>
                <c:pt idx="1">
                  <c:v>Vaikai</c:v>
                </c:pt>
              </c:strCache>
            </c:strRef>
          </c:cat>
          <c:val>
            <c:numRef>
              <c:f>Sheet1!$B$6:$C$6</c:f>
              <c:numCache>
                <c:formatCode>General</c:formatCode>
                <c:ptCount val="2"/>
                <c:pt idx="0">
                  <c:v>2932</c:v>
                </c:pt>
                <c:pt idx="1">
                  <c:v>929</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7061403508771928"/>
          <c:y val="0.88695652173913042"/>
          <c:w val="0.2521929824561403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7751479289940829E-2"/>
          <c:y val="3.643724696356275E-2"/>
          <c:w val="0.96252465483234717"/>
          <c:h val="0.71255060728744934"/>
        </c:manualLayout>
      </c:layout>
      <c:bar3DChart>
        <c:barDir val="col"/>
        <c:grouping val="clustered"/>
        <c:varyColors val="0"/>
        <c:ser>
          <c:idx val="0"/>
          <c:order val="0"/>
          <c:tx>
            <c:strRef>
              <c:f>Sheet1!$A$6</c:f>
              <c:strCache>
                <c:ptCount val="1"/>
                <c:pt idx="0">
                  <c:v>Atv.</c:v>
                </c:pt>
              </c:strCache>
            </c:strRef>
          </c:tx>
          <c:spPr>
            <a:pattFill prst="sm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5040222910114781E-2"/>
                  <c:y val="1.276046444193684E-2"/>
                </c:manualLayout>
              </c:layout>
              <c:showLegendKey val="0"/>
              <c:showVal val="1"/>
              <c:showCatName val="0"/>
              <c:showSerName val="0"/>
              <c:showPercent val="0"/>
              <c:showBubbleSize val="0"/>
            </c:dLbl>
            <c:dLbl>
              <c:idx val="1"/>
              <c:layout>
                <c:manualLayout>
                  <c:x val="1.1590737187860771E-2"/>
                  <c:y val="1.9118550334644695E-2"/>
                </c:manualLayout>
              </c:layout>
              <c:showLegendKey val="0"/>
              <c:showVal val="1"/>
              <c:showCatName val="0"/>
              <c:showSerName val="0"/>
              <c:showPercent val="0"/>
              <c:showBubbleSize val="0"/>
            </c:dLbl>
            <c:dLbl>
              <c:idx val="2"/>
              <c:layout>
                <c:manualLayout>
                  <c:x val="1.0113638053377973E-2"/>
                  <c:y val="1.1021384342741896E-2"/>
                </c:manualLayout>
              </c:layout>
              <c:showLegendKey val="0"/>
              <c:showVal val="1"/>
              <c:showCatName val="0"/>
              <c:showSerName val="0"/>
              <c:showPercent val="0"/>
              <c:showBubbleSize val="0"/>
            </c:dLbl>
            <c:dLbl>
              <c:idx val="3"/>
              <c:layout>
                <c:manualLayout>
                  <c:x val="8.6365389188951779E-3"/>
                  <c:y val="4.6632984500340419E-3"/>
                </c:manualLayout>
              </c:layout>
              <c:showLegendKey val="0"/>
              <c:showVal val="1"/>
              <c:showCatName val="0"/>
              <c:showSerName val="0"/>
              <c:showPercent val="0"/>
              <c:showBubbleSize val="0"/>
            </c:dLbl>
            <c:dLbl>
              <c:idx val="4"/>
              <c:layout>
                <c:manualLayout>
                  <c:x val="1.1104212959954807E-2"/>
                  <c:y val="1.276046444193684E-2"/>
                </c:manualLayout>
              </c:layout>
              <c:showLegendKey val="0"/>
              <c:showVal val="1"/>
              <c:showCatName val="0"/>
              <c:showSerName val="0"/>
              <c:showPercent val="0"/>
              <c:showBubbleSize val="0"/>
            </c:dLbl>
            <c:dLbl>
              <c:idx val="5"/>
              <c:layout>
                <c:manualLayout>
                  <c:x val="1.7516457107162976E-2"/>
                  <c:y val="9.0597791676739446E-3"/>
                </c:manualLayout>
              </c:layout>
              <c:showLegendKey val="0"/>
              <c:showVal val="1"/>
              <c:showCatName val="0"/>
              <c:showSerName val="0"/>
              <c:showPercent val="0"/>
              <c:showBubbleSize val="0"/>
            </c:dLbl>
            <c:dLbl>
              <c:idx val="6"/>
              <c:layout>
                <c:manualLayout>
                  <c:x val="8.1498116215953254E-3"/>
                  <c:y val="4.6632984500340419E-3"/>
                </c:manualLayout>
              </c:layout>
              <c:showLegendKey val="0"/>
              <c:showVal val="1"/>
              <c:showCatName val="0"/>
              <c:showSerName val="0"/>
              <c:showPercent val="0"/>
              <c:showBubbleSize val="0"/>
            </c:dLbl>
            <c:dLbl>
              <c:idx val="7"/>
              <c:layout>
                <c:manualLayout>
                  <c:x val="1.0617485662654955E-2"/>
                  <c:y val="3.2721160725275446E-3"/>
                </c:manualLayout>
              </c:layout>
              <c:showLegendKey val="0"/>
              <c:showVal val="1"/>
              <c:showCatName val="0"/>
              <c:showSerName val="0"/>
              <c:showPercent val="0"/>
              <c:showBubbleSize val="0"/>
            </c:dLbl>
            <c:dLbl>
              <c:idx val="8"/>
              <c:layout>
                <c:manualLayout>
                  <c:x val="8.9615616973633423E-3"/>
                  <c:y val="2.2288314167096066E-3"/>
                </c:manualLayout>
              </c:layout>
              <c:showLegendKey val="0"/>
              <c:showVal val="1"/>
              <c:showCatName val="0"/>
              <c:showSerName val="0"/>
              <c:showPercent val="0"/>
              <c:showBubbleSize val="0"/>
            </c:dLbl>
            <c:dLbl>
              <c:idx val="9"/>
              <c:layout>
                <c:manualLayout>
                  <c:x val="7.484462562880545E-3"/>
                  <c:y val="6.4999394885339561E-3"/>
                </c:manualLayout>
              </c:layout>
              <c:showLegendKey val="0"/>
              <c:showVal val="1"/>
              <c:showCatName val="0"/>
              <c:showSerName val="0"/>
              <c:showPercent val="0"/>
              <c:showBubbleSize val="0"/>
            </c:dLbl>
            <c:dLbl>
              <c:idx val="10"/>
              <c:layout>
                <c:manualLayout>
                  <c:x val="9.9519335345462871E-3"/>
                  <c:y val="-1.7095763043797434E-2"/>
                </c:manualLayout>
              </c:layout>
              <c:showLegendKey val="0"/>
              <c:showVal val="1"/>
              <c:showCatName val="0"/>
              <c:showSerName val="0"/>
              <c:showPercent val="0"/>
              <c:showBubbleSize val="0"/>
            </c:dLbl>
            <c:dLbl>
              <c:idx val="11"/>
              <c:layout>
                <c:manualLayout>
                  <c:x val="8.4748344000634898E-3"/>
                  <c:y val="1.853530497758202E-3"/>
                </c:manualLayout>
              </c:layout>
              <c:showLegendKey val="0"/>
              <c:showVal val="1"/>
              <c:showCatName val="0"/>
              <c:showSerName val="0"/>
              <c:showPercent val="0"/>
              <c:showBubbleSize val="0"/>
            </c:dLbl>
            <c:dLbl>
              <c:idx val="12"/>
              <c:layout>
                <c:manualLayout>
                  <c:x val="6.8187073653779885E-3"/>
                  <c:y val="-1.3307213549739246E-3"/>
                </c:manualLayout>
              </c:layout>
              <c:showLegendKey val="0"/>
              <c:showVal val="1"/>
              <c:showCatName val="0"/>
              <c:showSerName val="0"/>
              <c:showPercent val="0"/>
              <c:showBubbleSize val="0"/>
            </c:dLbl>
            <c:dLbl>
              <c:idx val="13"/>
              <c:layout>
                <c:manualLayout>
                  <c:x val="7.3139948186664054E-3"/>
                  <c:y val="-1.4830886888048064E-3"/>
                </c:manualLayout>
              </c:layout>
              <c:showLegendKey val="0"/>
              <c:showVal val="1"/>
              <c:showCatName val="0"/>
              <c:showSerName val="0"/>
              <c:showPercent val="0"/>
              <c:showBubbleSize val="0"/>
            </c:dLbl>
            <c:dLbl>
              <c:idx val="14"/>
              <c:layout>
                <c:manualLayout>
                  <c:x val="7.8092822719548214E-3"/>
                  <c:y val="4.999961340471001E-3"/>
                </c:manualLayout>
              </c:layout>
              <c:showLegendKey val="0"/>
              <c:showVal val="1"/>
              <c:showCatName val="0"/>
              <c:showSerName val="0"/>
              <c:showPercent val="0"/>
              <c:showBubbleSize val="0"/>
            </c:dLbl>
            <c:dLbl>
              <c:idx val="15"/>
              <c:layout>
                <c:manualLayout>
                  <c:x val="6.332183137472025E-3"/>
                  <c:y val="-5.1567792750524021E-3"/>
                </c:manualLayout>
              </c:layout>
              <c:showLegendKey val="0"/>
              <c:showVal val="1"/>
              <c:showCatName val="0"/>
              <c:showSerName val="0"/>
              <c:showPercent val="0"/>
              <c:showBubbleSize val="0"/>
            </c:dLbl>
            <c:dLbl>
              <c:idx val="16"/>
              <c:layout>
                <c:manualLayout>
                  <c:x val="8.7998571785316542E-3"/>
                  <c:y val="-2.5497255194114481E-2"/>
                </c:manualLayout>
              </c:layout>
              <c:showLegendKey val="0"/>
              <c:showVal val="1"/>
              <c:showCatName val="0"/>
              <c:showSerName val="0"/>
              <c:showPercent val="0"/>
              <c:showBubbleSize val="0"/>
            </c:dLbl>
            <c:dLbl>
              <c:idx val="17"/>
              <c:layout>
                <c:manualLayout>
                  <c:x val="7.5015828748575628E-3"/>
                  <c:y val="-1.9807561547520676E-2"/>
                </c:manualLayout>
              </c:layout>
              <c:showLegendKey val="0"/>
              <c:showVal val="1"/>
              <c:showCatName val="0"/>
              <c:showSerName val="0"/>
              <c:showPercent val="0"/>
              <c:showBubbleSize val="0"/>
            </c:dLbl>
            <c:spPr>
              <a:noFill/>
              <a:ln w="25399">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Sheet1!$B$5:$S$5</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Sheet1!$B$6:$S$6</c:f>
              <c:numCache>
                <c:formatCode>General</c:formatCode>
                <c:ptCount val="18"/>
                <c:pt idx="0">
                  <c:v>3</c:v>
                </c:pt>
                <c:pt idx="1">
                  <c:v>8</c:v>
                </c:pt>
                <c:pt idx="2">
                  <c:v>8</c:v>
                </c:pt>
                <c:pt idx="3">
                  <c:v>3</c:v>
                </c:pt>
                <c:pt idx="4">
                  <c:v>3</c:v>
                </c:pt>
                <c:pt idx="5">
                  <c:v>2</c:v>
                </c:pt>
                <c:pt idx="6">
                  <c:v>3</c:v>
                </c:pt>
                <c:pt idx="7">
                  <c:v>7</c:v>
                </c:pt>
                <c:pt idx="8">
                  <c:v>10</c:v>
                </c:pt>
                <c:pt idx="9">
                  <c:v>21</c:v>
                </c:pt>
                <c:pt idx="10">
                  <c:v>19</c:v>
                </c:pt>
                <c:pt idx="11">
                  <c:v>46</c:v>
                </c:pt>
                <c:pt idx="12">
                  <c:v>125</c:v>
                </c:pt>
                <c:pt idx="13">
                  <c:v>172</c:v>
                </c:pt>
                <c:pt idx="14">
                  <c:v>165</c:v>
                </c:pt>
                <c:pt idx="15">
                  <c:v>136</c:v>
                </c:pt>
                <c:pt idx="16">
                  <c:v>113</c:v>
                </c:pt>
                <c:pt idx="17">
                  <c:v>85</c:v>
                </c:pt>
              </c:numCache>
            </c:numRef>
          </c:val>
        </c:ser>
        <c:dLbls>
          <c:showLegendKey val="0"/>
          <c:showVal val="1"/>
          <c:showCatName val="0"/>
          <c:showSerName val="0"/>
          <c:showPercent val="0"/>
          <c:showBubbleSize val="0"/>
        </c:dLbls>
        <c:gapWidth val="150"/>
        <c:shape val="box"/>
        <c:axId val="90593536"/>
        <c:axId val="90616960"/>
        <c:axId val="0"/>
      </c:bar3DChart>
      <c:catAx>
        <c:axId val="9059353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90616960"/>
        <c:crosses val="autoZero"/>
        <c:auto val="1"/>
        <c:lblAlgn val="ctr"/>
        <c:lblOffset val="100"/>
        <c:tickLblSkip val="1"/>
        <c:tickMarkSkip val="1"/>
        <c:noMultiLvlLbl val="0"/>
      </c:catAx>
      <c:valAx>
        <c:axId val="90616960"/>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9059353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3157894736842105"/>
          <c:y val="0.14782608695652175"/>
          <c:w val="0.7521929824561403"/>
          <c:h val="0.59130434782608698"/>
        </c:manualLayout>
      </c:layout>
      <c:pie3DChart>
        <c:varyColors val="1"/>
        <c:ser>
          <c:idx val="0"/>
          <c:order val="0"/>
          <c:tx>
            <c:strRef>
              <c:f>Sheet1!$A$8</c:f>
              <c:strCache>
                <c:ptCount val="1"/>
                <c:pt idx="0">
                  <c:v>Atv.</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Sheet1!$B$7:$C$7</c:f>
              <c:strCache>
                <c:ptCount val="2"/>
                <c:pt idx="0">
                  <c:v>Vyr.</c:v>
                </c:pt>
                <c:pt idx="1">
                  <c:v>Mot.</c:v>
                </c:pt>
              </c:strCache>
            </c:strRef>
          </c:cat>
          <c:val>
            <c:numRef>
              <c:f>Sheet1!$B$8:$C$8</c:f>
              <c:numCache>
                <c:formatCode>General</c:formatCode>
                <c:ptCount val="2"/>
                <c:pt idx="0">
                  <c:v>85</c:v>
                </c:pt>
                <c:pt idx="1">
                  <c:v>23</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40789473684210525"/>
          <c:y val="0.88695652173913042"/>
          <c:w val="0.1754385964912280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736842105263157E-2"/>
          <c:y val="3.9130434782608699E-2"/>
          <c:w val="0.95833333333333337"/>
          <c:h val="0.81304347826086953"/>
        </c:manualLayout>
      </c:layout>
      <c:bar3DChart>
        <c:barDir val="col"/>
        <c:grouping val="clustered"/>
        <c:varyColors val="0"/>
        <c:ser>
          <c:idx val="0"/>
          <c:order val="0"/>
          <c:tx>
            <c:strRef>
              <c:f>Sheet1!$A$8</c:f>
              <c:strCache>
                <c:ptCount val="1"/>
                <c:pt idx="0">
                  <c:v>Atv.</c:v>
                </c:pt>
              </c:strCache>
            </c:strRef>
          </c:tx>
          <c:spPr>
            <a:pattFill prst="weav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8008998875140596E-2"/>
                  <c:y val="-2.4171287927530517E-2"/>
                </c:manualLayout>
              </c:layout>
              <c:showLegendKey val="0"/>
              <c:showVal val="1"/>
              <c:showCatName val="0"/>
              <c:showSerName val="0"/>
              <c:showPercent val="0"/>
              <c:showBubbleSize val="0"/>
            </c:dLbl>
            <c:dLbl>
              <c:idx val="1"/>
              <c:layout>
                <c:manualLayout>
                  <c:x val="2.0829442944345921E-2"/>
                  <c:y val="-2.5800680345510026E-2"/>
                </c:manualLayout>
              </c:layout>
              <c:showLegendKey val="0"/>
              <c:showVal val="1"/>
              <c:showCatName val="0"/>
              <c:showSerName val="0"/>
              <c:showPercent val="0"/>
              <c:showBubbleSize val="0"/>
            </c:dLbl>
            <c:dLbl>
              <c:idx val="2"/>
              <c:layout>
                <c:manualLayout>
                  <c:x val="1.6279975872581162E-2"/>
                  <c:y val="-2.6585693029278129E-2"/>
                </c:manualLayout>
              </c:layout>
              <c:showLegendKey val="0"/>
              <c:showVal val="1"/>
              <c:showCatName val="0"/>
              <c:showSerName val="0"/>
              <c:showPercent val="0"/>
              <c:showBubbleSize val="0"/>
            </c:dLbl>
            <c:dLbl>
              <c:idx val="3"/>
              <c:layout>
                <c:manualLayout>
                  <c:x val="1.1730291436682519E-2"/>
                  <c:y val="-3.1174992484761938E-2"/>
                </c:manualLayout>
              </c:layout>
              <c:showLegendKey val="0"/>
              <c:showVal val="1"/>
              <c:showCatName val="0"/>
              <c:showSerName val="0"/>
              <c:showPercent val="0"/>
              <c:showBubbleSize val="0"/>
            </c:dLbl>
            <c:dLbl>
              <c:idx val="4"/>
              <c:layout>
                <c:manualLayout>
                  <c:x val="4.9876245446436283E-3"/>
                  <c:y val="-4.7238153342826758E-2"/>
                </c:manualLayout>
              </c:layout>
              <c:showLegendKey val="0"/>
              <c:showVal val="1"/>
              <c:showCatName val="0"/>
              <c:showSerName val="0"/>
              <c:showPercent val="0"/>
              <c:showBubbleSize val="0"/>
            </c:dLbl>
            <c:dLbl>
              <c:idx val="5"/>
              <c:layout>
                <c:manualLayout>
                  <c:x val="8.7482914750077064E-4"/>
                  <c:y val="-1.6502121805912796E-2"/>
                </c:manualLayout>
              </c:layout>
              <c:showLegendKey val="0"/>
              <c:showVal val="1"/>
              <c:showCatName val="0"/>
              <c:showSerName val="0"/>
              <c:showPercent val="0"/>
              <c:showBubbleSize val="0"/>
            </c:dLbl>
            <c:spPr>
              <a:noFill/>
              <a:ln w="25399">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Sheet1!$B$7:$G$7</c:f>
              <c:strCache>
                <c:ptCount val="6"/>
                <c:pt idx="0">
                  <c:v>25-34 m.</c:v>
                </c:pt>
                <c:pt idx="1">
                  <c:v>35-44 m.</c:v>
                </c:pt>
                <c:pt idx="2">
                  <c:v>45-54 m.</c:v>
                </c:pt>
                <c:pt idx="3">
                  <c:v>55-64 m.</c:v>
                </c:pt>
                <c:pt idx="4">
                  <c:v>65-74 m.</c:v>
                </c:pt>
                <c:pt idx="5">
                  <c:v>&gt; 75 m.</c:v>
                </c:pt>
              </c:strCache>
            </c:strRef>
          </c:cat>
          <c:val>
            <c:numRef>
              <c:f>Sheet1!$B$8:$G$8</c:f>
              <c:numCache>
                <c:formatCode>General</c:formatCode>
                <c:ptCount val="6"/>
                <c:pt idx="0">
                  <c:v>1</c:v>
                </c:pt>
                <c:pt idx="1">
                  <c:v>28</c:v>
                </c:pt>
                <c:pt idx="2">
                  <c:v>33</c:v>
                </c:pt>
                <c:pt idx="3">
                  <c:v>29</c:v>
                </c:pt>
                <c:pt idx="4">
                  <c:v>15</c:v>
                </c:pt>
                <c:pt idx="5">
                  <c:v>2</c:v>
                </c:pt>
              </c:numCache>
            </c:numRef>
          </c:val>
        </c:ser>
        <c:dLbls>
          <c:showLegendKey val="0"/>
          <c:showVal val="1"/>
          <c:showCatName val="0"/>
          <c:showSerName val="0"/>
          <c:showPercent val="0"/>
          <c:showBubbleSize val="0"/>
        </c:dLbls>
        <c:gapWidth val="150"/>
        <c:shape val="box"/>
        <c:axId val="90704896"/>
        <c:axId val="90716032"/>
        <c:axId val="0"/>
      </c:bar3DChart>
      <c:catAx>
        <c:axId val="9070489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50" b="0" i="0" u="none" strike="noStrike" baseline="0">
                <a:solidFill>
                  <a:srgbClr val="000000"/>
                </a:solidFill>
                <a:latin typeface="Arial"/>
                <a:ea typeface="Arial"/>
                <a:cs typeface="Arial"/>
              </a:defRPr>
            </a:pPr>
            <a:endParaRPr lang="lt-LT"/>
          </a:p>
        </c:txPr>
        <c:crossAx val="90716032"/>
        <c:crosses val="autoZero"/>
        <c:auto val="1"/>
        <c:lblAlgn val="ctr"/>
        <c:lblOffset val="100"/>
        <c:tickLblSkip val="1"/>
        <c:tickMarkSkip val="1"/>
        <c:noMultiLvlLbl val="0"/>
      </c:catAx>
      <c:valAx>
        <c:axId val="90716032"/>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9070489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33"/>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6605166051660517E-2"/>
          <c:y val="4.1284403669724773E-2"/>
          <c:w val="0.9649446494464945"/>
          <c:h val="0.67431192660550454"/>
        </c:manualLayout>
      </c:layout>
      <c:bar3DChart>
        <c:barDir val="col"/>
        <c:grouping val="clustered"/>
        <c:varyColors val="0"/>
        <c:ser>
          <c:idx val="0"/>
          <c:order val="0"/>
          <c:tx>
            <c:strRef>
              <c:f>Sheet1!$B$4</c:f>
              <c:strCache>
                <c:ptCount val="1"/>
                <c:pt idx="0">
                  <c:v>2006</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5.1518790076637504E-2"/>
                  <c:y val="-3.1827302153396533E-2"/>
                </c:manualLayout>
              </c:layout>
              <c:showLegendKey val="0"/>
              <c:showVal val="1"/>
              <c:showCatName val="0"/>
              <c:showSerName val="0"/>
              <c:showPercent val="0"/>
              <c:showBubbleSize val="0"/>
            </c:dLbl>
            <c:dLbl>
              <c:idx val="1"/>
              <c:layout>
                <c:manualLayout>
                  <c:x val="4.1679145052320066E-2"/>
                  <c:y val="-1.804559619067006E-2"/>
                </c:manualLayout>
              </c:layout>
              <c:showLegendKey val="0"/>
              <c:showVal val="1"/>
              <c:showCatName val="0"/>
              <c:showSerName val="0"/>
              <c:showPercent val="0"/>
              <c:showBubbleSize val="0"/>
            </c:dLbl>
            <c:dLbl>
              <c:idx val="2"/>
              <c:layout>
                <c:manualLayout>
                  <c:x val="2.5481024221402766E-2"/>
                  <c:y val="-9.8926248433774625E-3"/>
                </c:manualLayout>
              </c:layout>
              <c:showLegendKey val="0"/>
              <c:showVal val="1"/>
              <c:showCatName val="0"/>
              <c:showSerName val="0"/>
              <c:showPercent val="0"/>
              <c:showBubbleSize val="0"/>
            </c:dLbl>
            <c:dLbl>
              <c:idx val="3"/>
              <c:layout>
                <c:manualLayout>
                  <c:x val="2.3021452997823353E-2"/>
                  <c:y val="-1.9574226551920541E-2"/>
                </c:manualLayout>
              </c:layout>
              <c:showLegendKey val="0"/>
              <c:showVal val="1"/>
              <c:showCatName val="0"/>
              <c:showSerName val="0"/>
              <c:showPercent val="0"/>
              <c:showBubbleSize val="0"/>
            </c:dLbl>
            <c:dLbl>
              <c:idx val="4"/>
              <c:layout>
                <c:manualLayout>
                  <c:x val="1.2358387517459565E-2"/>
                  <c:y val="-8.3627239808889437E-3"/>
                </c:manualLayout>
              </c:layout>
              <c:showLegendKey val="0"/>
              <c:showVal val="1"/>
              <c:showCatName val="0"/>
              <c:showSerName val="0"/>
              <c:showPercent val="0"/>
              <c:showBubbleSize val="0"/>
            </c:dLbl>
            <c:dLbl>
              <c:idx val="5"/>
              <c:layout>
                <c:manualLayout>
                  <c:x val="-2.335120732241147E-3"/>
                  <c:y val="-4.3529651072200977E-2"/>
                </c:manualLayout>
              </c:layout>
              <c:showLegendKey val="0"/>
              <c:showVal val="1"/>
              <c:showCatName val="0"/>
              <c:showSerName val="0"/>
              <c:showPercent val="0"/>
              <c:showBubbleSize val="0"/>
            </c:dLbl>
            <c:dLbl>
              <c:idx val="6"/>
              <c:layout>
                <c:manualLayout>
                  <c:x val="-1.3338782275190064E-2"/>
                  <c:y val="-1.0909745409728683E-2"/>
                </c:manualLayout>
              </c:layout>
              <c:showLegendKey val="0"/>
              <c:showVal val="1"/>
              <c:showCatName val="0"/>
              <c:showSerName val="0"/>
              <c:showPercent val="0"/>
              <c:showBubbleSize val="0"/>
            </c:dLbl>
            <c:dLbl>
              <c:idx val="7"/>
              <c:layout>
                <c:manualLayout>
                  <c:x val="-2.6187272074706353E-2"/>
                  <c:y val="-1.4477670800199427E-2"/>
                </c:manualLayout>
              </c:layout>
              <c:showLegendKey val="0"/>
              <c:showVal val="1"/>
              <c:showCatName val="0"/>
              <c:showSerName val="0"/>
              <c:showPercent val="0"/>
              <c:showBubbleSize val="0"/>
            </c:dLbl>
            <c:dLbl>
              <c:idx val="8"/>
              <c:layout>
                <c:manualLayout>
                  <c:x val="-6.0835387213851629E-2"/>
                  <c:y val="6.4133347162683308E-3"/>
                </c:manualLayout>
              </c:layout>
              <c:showLegendKey val="0"/>
              <c:showVal val="1"/>
              <c:showCatName val="0"/>
              <c:showSerName val="0"/>
              <c:showPercent val="0"/>
              <c:showBubbleSize val="0"/>
            </c:dLbl>
            <c:spPr>
              <a:noFill/>
              <a:ln w="25399">
                <a:noFill/>
              </a:ln>
            </c:spPr>
            <c:txPr>
              <a:bodyPr/>
              <a:lstStyle/>
              <a:p>
                <a:pPr>
                  <a:defRPr sz="875"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Sheet1!$C$3:$K$3</c:f>
              <c:strCache>
                <c:ptCount val="9"/>
                <c:pt idx="0">
                  <c:v>F11</c:v>
                </c:pt>
                <c:pt idx="1">
                  <c:v>F12</c:v>
                </c:pt>
                <c:pt idx="2">
                  <c:v>F13</c:v>
                </c:pt>
                <c:pt idx="3">
                  <c:v>F14</c:v>
                </c:pt>
                <c:pt idx="4">
                  <c:v>F15</c:v>
                </c:pt>
                <c:pt idx="5">
                  <c:v>F16</c:v>
                </c:pt>
                <c:pt idx="6">
                  <c:v>F17</c:v>
                </c:pt>
                <c:pt idx="7">
                  <c:v>F18</c:v>
                </c:pt>
                <c:pt idx="8">
                  <c:v>F19</c:v>
                </c:pt>
              </c:strCache>
            </c:strRef>
          </c:cat>
          <c:val>
            <c:numRef>
              <c:f>Sheet1!$C$4:$K$4</c:f>
              <c:numCache>
                <c:formatCode>General</c:formatCode>
                <c:ptCount val="9"/>
                <c:pt idx="0">
                  <c:v>1038</c:v>
                </c:pt>
                <c:pt idx="1">
                  <c:v>30</c:v>
                </c:pt>
                <c:pt idx="2">
                  <c:v>136</c:v>
                </c:pt>
                <c:pt idx="3">
                  <c:v>9</c:v>
                </c:pt>
                <c:pt idx="4">
                  <c:v>85</c:v>
                </c:pt>
                <c:pt idx="5">
                  <c:v>16</c:v>
                </c:pt>
                <c:pt idx="6">
                  <c:v>26</c:v>
                </c:pt>
                <c:pt idx="7">
                  <c:v>28</c:v>
                </c:pt>
                <c:pt idx="8">
                  <c:v>321</c:v>
                </c:pt>
              </c:numCache>
            </c:numRef>
          </c:val>
        </c:ser>
        <c:ser>
          <c:idx val="1"/>
          <c:order val="1"/>
          <c:tx>
            <c:strRef>
              <c:f>Sheet1!$B$5</c:f>
              <c:strCache>
                <c:ptCount val="1"/>
                <c:pt idx="0">
                  <c:v>2007</c:v>
                </c:pt>
              </c:strCache>
            </c:strRef>
          </c:tx>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7.3601056465888187E-2"/>
                  <c:y val="-2.6726520767026703E-2"/>
                </c:manualLayout>
              </c:layout>
              <c:showLegendKey val="0"/>
              <c:showVal val="1"/>
              <c:showCatName val="0"/>
              <c:showSerName val="0"/>
              <c:showPercent val="0"/>
              <c:showBubbleSize val="0"/>
            </c:dLbl>
            <c:dLbl>
              <c:idx val="1"/>
              <c:layout>
                <c:manualLayout>
                  <c:x val="5.3031896803048859E-2"/>
                  <c:y val="1.8320833980997697E-3"/>
                </c:manualLayout>
              </c:layout>
              <c:showLegendKey val="0"/>
              <c:showVal val="1"/>
              <c:showCatName val="0"/>
              <c:showSerName val="0"/>
              <c:showPercent val="0"/>
              <c:showBubbleSize val="0"/>
            </c:dLbl>
            <c:dLbl>
              <c:idx val="2"/>
              <c:layout>
                <c:manualLayout>
                  <c:x val="4.6058868223054023E-2"/>
                  <c:y val="-4.2512955880157979E-2"/>
                </c:manualLayout>
              </c:layout>
              <c:showLegendKey val="0"/>
              <c:showVal val="1"/>
              <c:showCatName val="0"/>
              <c:showSerName val="0"/>
              <c:showPercent val="0"/>
              <c:showBubbleSize val="0"/>
            </c:dLbl>
            <c:dLbl>
              <c:idx val="3"/>
              <c:layout>
                <c:manualLayout>
                  <c:x val="2.1459075597260558E-2"/>
                  <c:y val="-1.9574226551920541E-2"/>
                </c:manualLayout>
              </c:layout>
              <c:showLegendKey val="0"/>
              <c:showVal val="1"/>
              <c:showCatName val="0"/>
              <c:showSerName val="0"/>
              <c:showPercent val="0"/>
              <c:showBubbleSize val="0"/>
            </c:dLbl>
            <c:dLbl>
              <c:idx val="4"/>
              <c:layout>
                <c:manualLayout>
                  <c:x val="1.4486047017265781E-2"/>
                  <c:y val="-2.4162653016461415E-2"/>
                </c:manualLayout>
              </c:layout>
              <c:showLegendKey val="0"/>
              <c:showVal val="1"/>
              <c:showCatName val="0"/>
              <c:showSerName val="0"/>
              <c:showPercent val="0"/>
              <c:showBubbleSize val="0"/>
            </c:dLbl>
            <c:dLbl>
              <c:idx val="5"/>
              <c:layout>
                <c:manualLayout>
                  <c:x val="3.4825756679340782E-3"/>
                  <c:y val="-2.2122921369559193E-2"/>
                </c:manualLayout>
              </c:layout>
              <c:showLegendKey val="0"/>
              <c:showVal val="1"/>
              <c:showCatName val="0"/>
              <c:showSerName val="0"/>
              <c:showPercent val="0"/>
              <c:showBubbleSize val="0"/>
            </c:dLbl>
            <c:dLbl>
              <c:idx val="6"/>
              <c:layout>
                <c:manualLayout>
                  <c:x val="-7.5210858750148378E-3"/>
                  <c:y val="-1.1419564950768544E-2"/>
                </c:manualLayout>
              </c:layout>
              <c:showLegendKey val="0"/>
              <c:showVal val="1"/>
              <c:showCatName val="0"/>
              <c:showSerName val="0"/>
              <c:showPercent val="0"/>
              <c:showBubbleSize val="0"/>
            </c:dLbl>
            <c:dLbl>
              <c:idx val="7"/>
              <c:layout>
                <c:manualLayout>
                  <c:x val="-2.2214594124715607E-2"/>
                  <c:y val="-2.721990811727551E-2"/>
                </c:manualLayout>
              </c:layout>
              <c:showLegendKey val="0"/>
              <c:showVal val="1"/>
              <c:showCatName val="0"/>
              <c:showSerName val="0"/>
              <c:showPercent val="0"/>
              <c:showBubbleSize val="0"/>
            </c:dLbl>
            <c:dLbl>
              <c:idx val="8"/>
              <c:layout>
                <c:manualLayout>
                  <c:x val="-1.6272493553418935E-2"/>
                  <c:y val="-1.2953249208536735E-2"/>
                </c:manualLayout>
              </c:layout>
              <c:showLegendKey val="0"/>
              <c:showVal val="1"/>
              <c:showCatName val="0"/>
              <c:showSerName val="0"/>
              <c:showPercent val="0"/>
              <c:showBubbleSize val="0"/>
            </c:dLbl>
            <c:spPr>
              <a:noFill/>
              <a:ln w="25399">
                <a:noFill/>
              </a:ln>
            </c:spPr>
            <c:txPr>
              <a:bodyPr/>
              <a:lstStyle/>
              <a:p>
                <a:pPr>
                  <a:defRPr sz="875" b="0" i="1"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Sheet1!$C$3:$K$3</c:f>
              <c:strCache>
                <c:ptCount val="9"/>
                <c:pt idx="0">
                  <c:v>F11</c:v>
                </c:pt>
                <c:pt idx="1">
                  <c:v>F12</c:v>
                </c:pt>
                <c:pt idx="2">
                  <c:v>F13</c:v>
                </c:pt>
                <c:pt idx="3">
                  <c:v>F14</c:v>
                </c:pt>
                <c:pt idx="4">
                  <c:v>F15</c:v>
                </c:pt>
                <c:pt idx="5">
                  <c:v>F16</c:v>
                </c:pt>
                <c:pt idx="6">
                  <c:v>F17</c:v>
                </c:pt>
                <c:pt idx="7">
                  <c:v>F18</c:v>
                </c:pt>
                <c:pt idx="8">
                  <c:v>F19</c:v>
                </c:pt>
              </c:strCache>
            </c:strRef>
          </c:cat>
          <c:val>
            <c:numRef>
              <c:f>Sheet1!$C$5:$K$5</c:f>
              <c:numCache>
                <c:formatCode>General</c:formatCode>
                <c:ptCount val="9"/>
                <c:pt idx="0">
                  <c:v>832</c:v>
                </c:pt>
                <c:pt idx="1">
                  <c:v>24</c:v>
                </c:pt>
                <c:pt idx="2">
                  <c:v>153</c:v>
                </c:pt>
                <c:pt idx="3">
                  <c:v>9</c:v>
                </c:pt>
                <c:pt idx="4">
                  <c:v>81</c:v>
                </c:pt>
                <c:pt idx="5">
                  <c:v>13</c:v>
                </c:pt>
                <c:pt idx="6">
                  <c:v>25</c:v>
                </c:pt>
                <c:pt idx="7">
                  <c:v>30</c:v>
                </c:pt>
                <c:pt idx="8">
                  <c:v>247</c:v>
                </c:pt>
              </c:numCache>
            </c:numRef>
          </c:val>
        </c:ser>
        <c:dLbls>
          <c:showLegendKey val="0"/>
          <c:showVal val="1"/>
          <c:showCatName val="0"/>
          <c:showSerName val="0"/>
          <c:showPercent val="0"/>
          <c:showBubbleSize val="0"/>
        </c:dLbls>
        <c:gapWidth val="150"/>
        <c:shape val="box"/>
        <c:axId val="91188224"/>
        <c:axId val="91198208"/>
        <c:axId val="0"/>
      </c:bar3DChart>
      <c:catAx>
        <c:axId val="9118822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lt-LT"/>
          </a:p>
        </c:txPr>
        <c:crossAx val="91198208"/>
        <c:crosses val="autoZero"/>
        <c:auto val="1"/>
        <c:lblAlgn val="ctr"/>
        <c:lblOffset val="100"/>
        <c:tickLblSkip val="1"/>
        <c:tickMarkSkip val="1"/>
        <c:noMultiLvlLbl val="0"/>
      </c:catAx>
      <c:valAx>
        <c:axId val="91198208"/>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91188224"/>
        <c:crosses val="autoZero"/>
        <c:crossBetween val="between"/>
      </c:valAx>
      <c:spPr>
        <a:noFill/>
        <a:ln w="25399">
          <a:noFill/>
        </a:ln>
      </c:spPr>
    </c:plotArea>
    <c:legend>
      <c:legendPos val="b"/>
      <c:layout>
        <c:manualLayout>
          <c:xMode val="edge"/>
          <c:yMode val="edge"/>
          <c:x val="0.41143911439114389"/>
          <c:y val="0.88073394495412849"/>
          <c:w val="0.17527675276752769"/>
          <c:h val="0.10550458715596331"/>
        </c:manualLayout>
      </c:layout>
      <c:overlay val="0"/>
      <c:spPr>
        <a:solidFill>
          <a:srgbClr val="FFFFFF"/>
        </a:solidFill>
        <a:ln w="3175">
          <a:solidFill>
            <a:srgbClr val="000000"/>
          </a:solidFill>
          <a:prstDash val="solid"/>
        </a:ln>
      </c:spPr>
      <c:txPr>
        <a:bodyPr/>
        <a:lstStyle/>
        <a:p>
          <a:pPr>
            <a:defRPr sz="805" b="0" i="0" u="none" strike="noStrike" baseline="0">
              <a:solidFill>
                <a:srgbClr val="000000"/>
              </a:solidFill>
              <a:latin typeface="Arial"/>
              <a:ea typeface="Arial"/>
              <a:cs typeface="Arial"/>
            </a:defRPr>
          </a:pPr>
          <a:endParaRPr lang="lt-LT"/>
        </a:p>
      </c:txPr>
    </c:legend>
    <c:plotVisOnly val="1"/>
    <c:dispBlanksAs val="gap"/>
    <c:showDLblsOverMax val="0"/>
  </c:chart>
  <c:spPr>
    <a:solidFill>
      <a:srgbClr val="FFFFFF"/>
    </a:solidFill>
    <a:ln w="3175">
      <a:solidFill>
        <a:srgbClr val="000000"/>
      </a:solidFill>
      <a:prstDash val="solid"/>
    </a:ln>
  </c:spPr>
  <c:txPr>
    <a:bodyPr/>
    <a:lstStyle/>
    <a:p>
      <a:pPr>
        <a:defRPr sz="875" b="0" i="0" u="none" strike="noStrike" baseline="0">
          <a:solidFill>
            <a:srgbClr val="000000"/>
          </a:solidFill>
          <a:latin typeface="Arial"/>
          <a:ea typeface="Arial"/>
          <a:cs typeface="Arial"/>
        </a:defRPr>
      </a:pPr>
      <a:endParaRPr lang="lt-LT"/>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6754385964912283E-2"/>
          <c:y val="0.1"/>
          <c:w val="0.85745614035087714"/>
          <c:h val="0.67391304347826086"/>
        </c:manualLayout>
      </c:layout>
      <c:pie3DChart>
        <c:varyColors val="1"/>
        <c:ser>
          <c:idx val="0"/>
          <c:order val="0"/>
          <c:tx>
            <c:strRef>
              <c:f>Sheet1!$A$9</c:f>
              <c:strCache>
                <c:ptCount val="1"/>
                <c:pt idx="0">
                  <c:v>Atvejai</c:v>
                </c:pt>
              </c:strCache>
            </c:strRef>
          </c:tx>
          <c:spPr>
            <a:solidFill>
              <a:srgbClr val="9999FF"/>
            </a:solidFill>
            <a:ln w="12700">
              <a:solidFill>
                <a:srgbClr val="000000"/>
              </a:solidFill>
              <a:prstDash val="solid"/>
            </a:ln>
          </c:spPr>
          <c:explosion val="25"/>
          <c:dPt>
            <c:idx val="0"/>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Sheet1!$B$8:$C$8</c:f>
              <c:strCache>
                <c:ptCount val="2"/>
                <c:pt idx="0">
                  <c:v>Vyrai</c:v>
                </c:pt>
                <c:pt idx="1">
                  <c:v>Moterys</c:v>
                </c:pt>
              </c:strCache>
            </c:strRef>
          </c:cat>
          <c:val>
            <c:numRef>
              <c:f>Sheet1!$B$9:$C$9</c:f>
              <c:numCache>
                <c:formatCode>General</c:formatCode>
                <c:ptCount val="2"/>
                <c:pt idx="0">
                  <c:v>8455</c:v>
                </c:pt>
                <c:pt idx="1">
                  <c:v>1564</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8157894736842107"/>
          <c:y val="0.88695652173913042"/>
          <c:w val="0.23464912280701755"/>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0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0.13815789473684212"/>
          <c:y val="3.9130434782608699E-2"/>
          <c:w val="0.83991228070175439"/>
          <c:h val="0.91739130434782612"/>
        </c:manualLayout>
      </c:layout>
      <c:bar3DChart>
        <c:barDir val="bar"/>
        <c:grouping val="clustered"/>
        <c:varyColors val="0"/>
        <c:ser>
          <c:idx val="0"/>
          <c:order val="0"/>
          <c:tx>
            <c:strRef>
              <c:f>Sheet1!$A$9</c:f>
              <c:strCache>
                <c:ptCount val="1"/>
                <c:pt idx="0">
                  <c:v>Atvejai</c:v>
                </c:pt>
              </c:strCache>
            </c:strRef>
          </c:tx>
          <c:spPr>
            <a:pattFill prst="sm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7.114436782358729E-3"/>
                  <c:y val="1.2900100395587583E-3"/>
                </c:manualLayout>
              </c:layout>
              <c:showLegendKey val="0"/>
              <c:showVal val="1"/>
              <c:showCatName val="0"/>
              <c:showSerName val="0"/>
              <c:showPercent val="0"/>
              <c:showBubbleSize val="0"/>
            </c:dLbl>
            <c:dLbl>
              <c:idx val="1"/>
              <c:layout>
                <c:manualLayout>
                  <c:x val="-3.2724542155342729E-3"/>
                  <c:y val="-1.1603438759801563E-4"/>
                </c:manualLayout>
              </c:layout>
              <c:showLegendKey val="0"/>
              <c:showVal val="1"/>
              <c:showCatName val="0"/>
              <c:showSerName val="0"/>
              <c:showPercent val="0"/>
              <c:showBubbleSize val="0"/>
            </c:dLbl>
            <c:dLbl>
              <c:idx val="2"/>
              <c:layout>
                <c:manualLayout>
                  <c:x val="-1.8987386302112487E-3"/>
                  <c:y val="-1.0217730988667894E-2"/>
                </c:manualLayout>
              </c:layout>
              <c:showLegendKey val="0"/>
              <c:showVal val="1"/>
              <c:showCatName val="0"/>
              <c:showSerName val="0"/>
              <c:showPercent val="0"/>
              <c:showBubbleSize val="0"/>
            </c:dLbl>
            <c:dLbl>
              <c:idx val="3"/>
              <c:layout>
                <c:manualLayout>
                  <c:x val="5.8557954855184922E-3"/>
                  <c:y val="-1.5972010012028793E-2"/>
                </c:manualLayout>
              </c:layout>
              <c:showLegendKey val="0"/>
              <c:showVal val="1"/>
              <c:showCatName val="0"/>
              <c:showSerName val="0"/>
              <c:showPercent val="0"/>
              <c:showBubbleSize val="0"/>
            </c:dLbl>
            <c:dLbl>
              <c:idx val="4"/>
              <c:layout>
                <c:manualLayout>
                  <c:x val="-1.5444122116314318E-3"/>
                  <c:y val="-2.1725880526142119E-2"/>
                </c:manualLayout>
              </c:layout>
              <c:showLegendKey val="0"/>
              <c:showVal val="1"/>
              <c:showCatName val="0"/>
              <c:showSerName val="0"/>
              <c:showPercent val="0"/>
              <c:showBubbleSize val="0"/>
            </c:dLbl>
            <c:dLbl>
              <c:idx val="5"/>
              <c:layout>
                <c:manualLayout>
                  <c:x val="1.0215839724839887E-2"/>
                  <c:y val="-2.7479751040255445E-2"/>
                </c:manualLayout>
              </c:layout>
              <c:showLegendKey val="0"/>
              <c:showVal val="1"/>
              <c:showCatName val="0"/>
              <c:showSerName val="0"/>
              <c:showPercent val="0"/>
              <c:showBubbleSize val="0"/>
            </c:dLbl>
            <c:dLbl>
              <c:idx val="6"/>
              <c:layout>
                <c:manualLayout>
                  <c:x val="4.6475955379719587E-3"/>
                  <c:y val="-3.3233621554368827E-2"/>
                </c:manualLayout>
              </c:layout>
              <c:showLegendKey val="0"/>
              <c:showVal val="1"/>
              <c:showCatName val="0"/>
              <c:showSerName val="0"/>
              <c:showPercent val="0"/>
              <c:showBubbleSize val="0"/>
            </c:dLbl>
            <c:dLbl>
              <c:idx val="7"/>
              <c:layout>
                <c:manualLayout>
                  <c:x val="7.2004915289479061E-3"/>
                  <c:y val="-3.8987492068482121E-2"/>
                </c:manualLayout>
              </c:layout>
              <c:showLegendKey val="0"/>
              <c:showVal val="1"/>
              <c:showCatName val="0"/>
              <c:showSerName val="0"/>
              <c:showPercent val="0"/>
              <c:showBubbleSize val="0"/>
            </c:dLbl>
            <c:dLbl>
              <c:idx val="8"/>
              <c:layout>
                <c:manualLayout>
                  <c:x val="6.7731793823255018E-3"/>
                  <c:y val="-4.4741362582595451E-2"/>
                </c:manualLayout>
              </c:layout>
              <c:showLegendKey val="0"/>
              <c:showVal val="1"/>
              <c:showCatName val="0"/>
              <c:showSerName val="0"/>
              <c:showPercent val="0"/>
              <c:showBubbleSize val="0"/>
            </c:dLbl>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Sheet1!$B$8:$J$8</c:f>
              <c:strCache>
                <c:ptCount val="9"/>
                <c:pt idx="0">
                  <c:v>&lt; 15</c:v>
                </c:pt>
                <c:pt idx="1">
                  <c:v>15-24</c:v>
                </c:pt>
                <c:pt idx="2">
                  <c:v>25-34</c:v>
                </c:pt>
                <c:pt idx="3">
                  <c:v>35-44</c:v>
                </c:pt>
                <c:pt idx="4">
                  <c:v>45-54</c:v>
                </c:pt>
                <c:pt idx="5">
                  <c:v>55-64</c:v>
                </c:pt>
                <c:pt idx="6">
                  <c:v>65-74</c:v>
                </c:pt>
                <c:pt idx="7">
                  <c:v>&gt;75</c:v>
                </c:pt>
                <c:pt idx="8">
                  <c:v>Nežinoma</c:v>
                </c:pt>
              </c:strCache>
            </c:strRef>
          </c:cat>
          <c:val>
            <c:numRef>
              <c:f>Sheet1!$B$9:$J$9</c:f>
              <c:numCache>
                <c:formatCode>General</c:formatCode>
                <c:ptCount val="9"/>
                <c:pt idx="0">
                  <c:v>14</c:v>
                </c:pt>
                <c:pt idx="1">
                  <c:v>381</c:v>
                </c:pt>
                <c:pt idx="2">
                  <c:v>1872</c:v>
                </c:pt>
                <c:pt idx="3">
                  <c:v>3127</c:v>
                </c:pt>
                <c:pt idx="4">
                  <c:v>2780</c:v>
                </c:pt>
                <c:pt idx="5">
                  <c:v>1327</c:v>
                </c:pt>
                <c:pt idx="6">
                  <c:v>451</c:v>
                </c:pt>
                <c:pt idx="7">
                  <c:v>61</c:v>
                </c:pt>
                <c:pt idx="8">
                  <c:v>6</c:v>
                </c:pt>
              </c:numCache>
            </c:numRef>
          </c:val>
        </c:ser>
        <c:dLbls>
          <c:showLegendKey val="0"/>
          <c:showVal val="1"/>
          <c:showCatName val="0"/>
          <c:showSerName val="0"/>
          <c:showPercent val="0"/>
          <c:showBubbleSize val="0"/>
        </c:dLbls>
        <c:gapWidth val="150"/>
        <c:shape val="box"/>
        <c:axId val="92679168"/>
        <c:axId val="92686208"/>
        <c:axId val="0"/>
      </c:bar3DChart>
      <c:catAx>
        <c:axId val="92679168"/>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92686208"/>
        <c:crosses val="autoZero"/>
        <c:auto val="1"/>
        <c:lblAlgn val="ctr"/>
        <c:lblOffset val="100"/>
        <c:tickLblSkip val="1"/>
        <c:tickMarkSkip val="1"/>
        <c:noMultiLvlLbl val="0"/>
      </c:catAx>
      <c:valAx>
        <c:axId val="92686208"/>
        <c:scaling>
          <c:orientation val="minMax"/>
        </c:scaling>
        <c:delete val="1"/>
        <c:axPos val="b"/>
        <c:majorGridlines>
          <c:spPr>
            <a:ln w="3175">
              <a:solidFill>
                <a:srgbClr val="000000"/>
              </a:solidFill>
              <a:prstDash val="solid"/>
            </a:ln>
          </c:spPr>
        </c:majorGridlines>
        <c:numFmt formatCode="General" sourceLinked="1"/>
        <c:majorTickMark val="out"/>
        <c:minorTickMark val="none"/>
        <c:tickLblPos val="nextTo"/>
        <c:crossAx val="92679168"/>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220"/>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8.6642599277978335E-2"/>
          <c:y val="2.5179856115107913E-2"/>
          <c:w val="0.8971119133574007"/>
          <c:h val="0.78417266187050361"/>
        </c:manualLayout>
      </c:layout>
      <c:bar3DChart>
        <c:barDir val="bar"/>
        <c:grouping val="stacked"/>
        <c:varyColors val="0"/>
        <c:ser>
          <c:idx val="0"/>
          <c:order val="0"/>
          <c:tx>
            <c:strRef>
              <c:f>Sheet1!$B$4</c:f>
              <c:strCache>
                <c:ptCount val="1"/>
                <c:pt idx="0">
                  <c:v>Vyr.</c:v>
                </c:pt>
              </c:strCache>
            </c:strRef>
          </c:tx>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cat>
            <c:strRef>
              <c:f>Sheet1!$C$3:$J$3</c:f>
              <c:strCache>
                <c:ptCount val="8"/>
                <c:pt idx="0">
                  <c:v>F11</c:v>
                </c:pt>
                <c:pt idx="1">
                  <c:v>F12</c:v>
                </c:pt>
                <c:pt idx="2">
                  <c:v>F13</c:v>
                </c:pt>
                <c:pt idx="3">
                  <c:v>F14</c:v>
                </c:pt>
                <c:pt idx="4">
                  <c:v>F15</c:v>
                </c:pt>
                <c:pt idx="5">
                  <c:v>F16</c:v>
                </c:pt>
                <c:pt idx="6">
                  <c:v>F18</c:v>
                </c:pt>
                <c:pt idx="7">
                  <c:v>F19</c:v>
                </c:pt>
              </c:strCache>
            </c:strRef>
          </c:cat>
          <c:val>
            <c:numRef>
              <c:f>Sheet1!$C$4:$J$4</c:f>
              <c:numCache>
                <c:formatCode>General</c:formatCode>
                <c:ptCount val="8"/>
                <c:pt idx="0">
                  <c:v>145</c:v>
                </c:pt>
                <c:pt idx="1">
                  <c:v>2</c:v>
                </c:pt>
                <c:pt idx="2">
                  <c:v>5</c:v>
                </c:pt>
                <c:pt idx="3">
                  <c:v>2</c:v>
                </c:pt>
                <c:pt idx="4">
                  <c:v>16</c:v>
                </c:pt>
                <c:pt idx="5">
                  <c:v>4</c:v>
                </c:pt>
                <c:pt idx="6">
                  <c:v>7</c:v>
                </c:pt>
                <c:pt idx="7">
                  <c:v>76</c:v>
                </c:pt>
              </c:numCache>
            </c:numRef>
          </c:val>
        </c:ser>
        <c:ser>
          <c:idx val="1"/>
          <c:order val="1"/>
          <c:tx>
            <c:strRef>
              <c:f>Sheet1!$B$5</c:f>
              <c:strCache>
                <c:ptCount val="1"/>
                <c:pt idx="0">
                  <c:v>Mot</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cat>
            <c:strRef>
              <c:f>Sheet1!$C$3:$J$3</c:f>
              <c:strCache>
                <c:ptCount val="8"/>
                <c:pt idx="0">
                  <c:v>F11</c:v>
                </c:pt>
                <c:pt idx="1">
                  <c:v>F12</c:v>
                </c:pt>
                <c:pt idx="2">
                  <c:v>F13</c:v>
                </c:pt>
                <c:pt idx="3">
                  <c:v>F14</c:v>
                </c:pt>
                <c:pt idx="4">
                  <c:v>F15</c:v>
                </c:pt>
                <c:pt idx="5">
                  <c:v>F16</c:v>
                </c:pt>
                <c:pt idx="6">
                  <c:v>F18</c:v>
                </c:pt>
                <c:pt idx="7">
                  <c:v>F19</c:v>
                </c:pt>
              </c:strCache>
            </c:strRef>
          </c:cat>
          <c:val>
            <c:numRef>
              <c:f>Sheet1!$C$5:$J$5</c:f>
              <c:numCache>
                <c:formatCode>General</c:formatCode>
                <c:ptCount val="8"/>
                <c:pt idx="0">
                  <c:v>29</c:v>
                </c:pt>
                <c:pt idx="1">
                  <c:v>0</c:v>
                </c:pt>
                <c:pt idx="2">
                  <c:v>10</c:v>
                </c:pt>
                <c:pt idx="3">
                  <c:v>0</c:v>
                </c:pt>
                <c:pt idx="4">
                  <c:v>4</c:v>
                </c:pt>
                <c:pt idx="5">
                  <c:v>0</c:v>
                </c:pt>
                <c:pt idx="6">
                  <c:v>0</c:v>
                </c:pt>
                <c:pt idx="7">
                  <c:v>11</c:v>
                </c:pt>
              </c:numCache>
            </c:numRef>
          </c:val>
        </c:ser>
        <c:dLbls>
          <c:showLegendKey val="0"/>
          <c:showVal val="0"/>
          <c:showCatName val="0"/>
          <c:showSerName val="0"/>
          <c:showPercent val="0"/>
          <c:showBubbleSize val="0"/>
        </c:dLbls>
        <c:gapWidth val="150"/>
        <c:shape val="box"/>
        <c:axId val="92829952"/>
        <c:axId val="92835840"/>
        <c:axId val="0"/>
      </c:bar3DChart>
      <c:catAx>
        <c:axId val="92829952"/>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lt-LT"/>
          </a:p>
        </c:txPr>
        <c:crossAx val="92835840"/>
        <c:crosses val="autoZero"/>
        <c:auto val="1"/>
        <c:lblAlgn val="ctr"/>
        <c:lblOffset val="100"/>
        <c:tickLblSkip val="1"/>
        <c:tickMarkSkip val="1"/>
        <c:noMultiLvlLbl val="0"/>
      </c:catAx>
      <c:valAx>
        <c:axId val="92835840"/>
        <c:scaling>
          <c:orientation val="minMax"/>
        </c:scaling>
        <c:delete val="0"/>
        <c:axPos val="b"/>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lt-LT"/>
          </a:p>
        </c:txPr>
        <c:crossAx val="92829952"/>
        <c:crosses val="autoZero"/>
        <c:crossBetween val="between"/>
      </c:valAx>
      <c:spPr>
        <a:noFill/>
        <a:ln w="25399">
          <a:noFill/>
        </a:ln>
      </c:spPr>
    </c:plotArea>
    <c:legend>
      <c:legendPos val="r"/>
      <c:layout>
        <c:manualLayout>
          <c:xMode val="edge"/>
          <c:yMode val="edge"/>
          <c:x val="0.41335740072202165"/>
          <c:y val="0.89568345323741005"/>
          <c:w val="0.16787003610108303"/>
          <c:h val="9.3525179856115109E-2"/>
        </c:manualLayout>
      </c:layout>
      <c:overlay val="0"/>
      <c:spPr>
        <a:solidFill>
          <a:srgbClr val="FFFFFF"/>
        </a:solidFill>
        <a:ln w="3175">
          <a:solidFill>
            <a:srgbClr val="000000"/>
          </a:solidFill>
          <a:prstDash val="solid"/>
        </a:ln>
      </c:spPr>
      <c:txPr>
        <a:bodyPr/>
        <a:lstStyle/>
        <a:p>
          <a:pPr>
            <a:defRPr sz="1035" b="0" i="0" u="none" strike="noStrike" baseline="0">
              <a:solidFill>
                <a:srgbClr val="000000"/>
              </a:solidFill>
              <a:latin typeface="Arial"/>
              <a:ea typeface="Arial"/>
              <a:cs typeface="Arial"/>
            </a:defRPr>
          </a:pPr>
          <a:endParaRPr lang="lt-LT"/>
        </a:p>
      </c:txPr>
    </c:legend>
    <c:plotVisOnly val="1"/>
    <c:dispBlanksAs val="gap"/>
    <c:showDLblsOverMax val="0"/>
  </c:chart>
  <c:spPr>
    <a:solidFill>
      <a:srgbClr val="FFFFFF"/>
    </a:solidFill>
    <a:ln w="3175">
      <a:solidFill>
        <a:srgbClr val="000000"/>
      </a:solidFill>
      <a:prstDash val="solid"/>
    </a:ln>
  </c:spPr>
  <c:txPr>
    <a:bodyPr/>
    <a:lstStyle/>
    <a:p>
      <a:pPr>
        <a:defRPr sz="1125" b="0" i="0" u="none" strike="noStrike" baseline="0">
          <a:solidFill>
            <a:srgbClr val="000000"/>
          </a:solidFill>
          <a:latin typeface="Arial"/>
          <a:ea typeface="Arial"/>
          <a:cs typeface="Arial"/>
        </a:defRPr>
      </a:pPr>
      <a:endParaRPr lang="lt-LT"/>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8.7136929460580909E-2"/>
          <c:y val="8.3333333333333329E-2"/>
          <c:w val="0.84439834024896265"/>
          <c:h val="0.75"/>
        </c:manualLayout>
      </c:layout>
      <c:pie3DChart>
        <c:varyColors val="1"/>
        <c:ser>
          <c:idx val="0"/>
          <c:order val="0"/>
          <c:tx>
            <c:strRef>
              <c:f>Sheet1!$A$3</c:f>
              <c:strCache>
                <c:ptCount val="1"/>
                <c:pt idx="0">
                  <c:v>Atvejai</c:v>
                </c:pt>
              </c:strCache>
            </c:strRef>
          </c:tx>
          <c:spPr>
            <a:solidFill>
              <a:srgbClr val="9999FF"/>
            </a:solidFill>
            <a:ln w="12699">
              <a:solidFill>
                <a:srgbClr val="000000"/>
              </a:solidFill>
              <a:prstDash val="solid"/>
            </a:ln>
          </c:spPr>
          <c:explosion val="35"/>
          <c:dPt>
            <c:idx val="0"/>
            <c:bubble3D val="0"/>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dPt>
          <c:dLbls>
            <c:numFmt formatCode="0%" sourceLinked="0"/>
            <c:spPr>
              <a:noFill/>
              <a:ln w="25398">
                <a:noFill/>
              </a:ln>
            </c:spPr>
            <c:txPr>
              <a:bodyPr/>
              <a:lstStyle/>
              <a:p>
                <a:pPr>
                  <a:defRPr sz="87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Sheet1!$B$2:$C$2</c:f>
              <c:strCache>
                <c:ptCount val="2"/>
                <c:pt idx="0">
                  <c:v>Suaugę</c:v>
                </c:pt>
                <c:pt idx="1">
                  <c:v>Vaikai</c:v>
                </c:pt>
              </c:strCache>
            </c:strRef>
          </c:cat>
          <c:val>
            <c:numRef>
              <c:f>Sheet1!$B$3:$C$3</c:f>
              <c:numCache>
                <c:formatCode>General</c:formatCode>
                <c:ptCount val="2"/>
                <c:pt idx="0">
                  <c:v>9935</c:v>
                </c:pt>
                <c:pt idx="1">
                  <c:v>84</c:v>
                </c:pt>
              </c:numCache>
            </c:numRef>
          </c:val>
        </c:ser>
        <c:dLbls>
          <c:showLegendKey val="0"/>
          <c:showVal val="0"/>
          <c:showCatName val="0"/>
          <c:showSerName val="0"/>
          <c:showPercent val="1"/>
          <c:showBubbleSize val="0"/>
          <c:showLeaderLines val="1"/>
        </c:dLbls>
      </c:pie3DChart>
      <c:spPr>
        <a:noFill/>
        <a:ln w="25398">
          <a:noFill/>
        </a:ln>
      </c:spPr>
    </c:plotArea>
    <c:legend>
      <c:legendPos val="b"/>
      <c:layout>
        <c:manualLayout>
          <c:xMode val="edge"/>
          <c:yMode val="edge"/>
          <c:x val="0.37551867219917012"/>
          <c:y val="0.87962962962962965"/>
          <c:w val="0.23858921161825727"/>
          <c:h val="0.10648148148148148"/>
        </c:manualLayout>
      </c:layout>
      <c:overlay val="0"/>
      <c:spPr>
        <a:solidFill>
          <a:srgbClr val="FFFFFF"/>
        </a:solidFill>
        <a:ln w="3175">
          <a:solidFill>
            <a:srgbClr val="000000"/>
          </a:solidFill>
          <a:prstDash val="solid"/>
        </a:ln>
      </c:spPr>
      <c:txPr>
        <a:bodyPr/>
        <a:lstStyle/>
        <a:p>
          <a:pPr>
            <a:defRPr sz="805"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875" b="0" i="0" u="none" strike="noStrike" baseline="0">
          <a:solidFill>
            <a:srgbClr val="000000"/>
          </a:solidFill>
          <a:latin typeface="Arial"/>
          <a:ea typeface="Arial"/>
          <a:cs typeface="Arial"/>
        </a:defRPr>
      </a:pPr>
      <a:endParaRPr lang="lt-LT"/>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2"/>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027484143763214E-2"/>
          <c:y val="4.2857142857142858E-2"/>
          <c:w val="0.95983086680761098"/>
          <c:h val="0.79523809523809519"/>
        </c:manualLayout>
      </c:layout>
      <c:bar3DChart>
        <c:barDir val="col"/>
        <c:grouping val="clustered"/>
        <c:varyColors val="0"/>
        <c:ser>
          <c:idx val="0"/>
          <c:order val="0"/>
          <c:tx>
            <c:strRef>
              <c:f>Sheet1!$A$3</c:f>
              <c:strCache>
                <c:ptCount val="1"/>
                <c:pt idx="0">
                  <c:v>Atvejai</c:v>
                </c:pt>
              </c:strCache>
            </c:strRef>
          </c:tx>
          <c:spPr>
            <a:pattFill prst="pct3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9514150031733211E-2"/>
                  <c:y val="-2.081248934792241E-2"/>
                </c:manualLayout>
              </c:layout>
              <c:showLegendKey val="0"/>
              <c:showVal val="1"/>
              <c:showCatName val="0"/>
              <c:showSerName val="0"/>
              <c:showPercent val="0"/>
              <c:showBubbleSize val="0"/>
            </c:dLbl>
            <c:dLbl>
              <c:idx val="1"/>
              <c:layout>
                <c:manualLayout>
                  <c:x val="2.419841742596773E-2"/>
                  <c:y val="-9.8217268296008926E-3"/>
                </c:manualLayout>
              </c:layout>
              <c:showLegendKey val="0"/>
              <c:showVal val="1"/>
              <c:showCatName val="0"/>
              <c:showSerName val="0"/>
              <c:showPercent val="0"/>
              <c:showBubbleSize val="0"/>
            </c:dLbl>
            <c:dLbl>
              <c:idx val="2"/>
              <c:layout>
                <c:manualLayout>
                  <c:x val="1.6376776783773448E-2"/>
                  <c:y val="-1.5035484200838485E-2"/>
                </c:manualLayout>
              </c:layout>
              <c:showLegendKey val="0"/>
              <c:showVal val="1"/>
              <c:showCatName val="0"/>
              <c:showSerName val="0"/>
              <c:showPercent val="0"/>
              <c:showBubbleSize val="0"/>
            </c:dLbl>
            <c:dLbl>
              <c:idx val="3"/>
              <c:layout>
                <c:manualLayout>
                  <c:x val="1.4897848220300748E-2"/>
                  <c:y val="-9.3698742202679344E-3"/>
                </c:manualLayout>
              </c:layout>
              <c:showLegendKey val="0"/>
              <c:showVal val="1"/>
              <c:showCatName val="0"/>
              <c:showSerName val="0"/>
              <c:showPercent val="0"/>
              <c:showBubbleSize val="0"/>
            </c:dLbl>
            <c:dLbl>
              <c:idx val="4"/>
              <c:layout>
                <c:manualLayout>
                  <c:x val="1.3418919656827996E-2"/>
                  <c:y val="-1.368040358591536E-2"/>
                </c:manualLayout>
              </c:layout>
              <c:showLegendKey val="0"/>
              <c:showVal val="1"/>
              <c:showCatName val="0"/>
              <c:showSerName val="0"/>
              <c:showPercent val="0"/>
              <c:showBubbleSize val="0"/>
            </c:dLbl>
            <c:dLbl>
              <c:idx val="5"/>
              <c:layout>
                <c:manualLayout>
                  <c:x val="1.1939991093355242E-2"/>
                  <c:y val="-8.01479360534481E-3"/>
                </c:manualLayout>
              </c:layout>
              <c:showLegendKey val="0"/>
              <c:showVal val="1"/>
              <c:showCatName val="0"/>
              <c:showSerName val="0"/>
              <c:showPercent val="0"/>
              <c:showBubbleSize val="0"/>
            </c:dLbl>
            <c:spPr>
              <a:noFill/>
              <a:ln w="25399">
                <a:noFill/>
              </a:ln>
            </c:spPr>
            <c:txPr>
              <a:bodyPr/>
              <a:lstStyle/>
              <a:p>
                <a:pPr>
                  <a:defRPr sz="8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Sheet1!$B$2:$G$2</c:f>
              <c:strCache>
                <c:ptCount val="6"/>
                <c:pt idx="0">
                  <c:v>F10</c:v>
                </c:pt>
                <c:pt idx="1">
                  <c:v>F11</c:v>
                </c:pt>
                <c:pt idx="2">
                  <c:v>F13</c:v>
                </c:pt>
                <c:pt idx="3">
                  <c:v>F15</c:v>
                </c:pt>
                <c:pt idx="4">
                  <c:v>F18</c:v>
                </c:pt>
                <c:pt idx="5">
                  <c:v>F19</c:v>
                </c:pt>
              </c:strCache>
            </c:strRef>
          </c:cat>
          <c:val>
            <c:numRef>
              <c:f>Sheet1!$B$3:$G$3</c:f>
              <c:numCache>
                <c:formatCode>General</c:formatCode>
                <c:ptCount val="6"/>
                <c:pt idx="0">
                  <c:v>63</c:v>
                </c:pt>
                <c:pt idx="1">
                  <c:v>3</c:v>
                </c:pt>
                <c:pt idx="2">
                  <c:v>2</c:v>
                </c:pt>
                <c:pt idx="3">
                  <c:v>4</c:v>
                </c:pt>
                <c:pt idx="4">
                  <c:v>5</c:v>
                </c:pt>
                <c:pt idx="5">
                  <c:v>7</c:v>
                </c:pt>
              </c:numCache>
            </c:numRef>
          </c:val>
        </c:ser>
        <c:dLbls>
          <c:showLegendKey val="0"/>
          <c:showVal val="1"/>
          <c:showCatName val="0"/>
          <c:showSerName val="0"/>
          <c:showPercent val="0"/>
          <c:showBubbleSize val="0"/>
        </c:dLbls>
        <c:gapWidth val="150"/>
        <c:shape val="box"/>
        <c:axId val="92797568"/>
        <c:axId val="92870144"/>
        <c:axId val="0"/>
      </c:bar3DChart>
      <c:catAx>
        <c:axId val="9279756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50" b="0" i="0" u="none" strike="noStrike" baseline="0">
                <a:solidFill>
                  <a:srgbClr val="000000"/>
                </a:solidFill>
                <a:latin typeface="Arial"/>
                <a:ea typeface="Arial"/>
                <a:cs typeface="Arial"/>
              </a:defRPr>
            </a:pPr>
            <a:endParaRPr lang="lt-LT"/>
          </a:p>
        </c:txPr>
        <c:crossAx val="92870144"/>
        <c:crosses val="autoZero"/>
        <c:auto val="1"/>
        <c:lblAlgn val="ctr"/>
        <c:lblOffset val="100"/>
        <c:tickLblSkip val="1"/>
        <c:tickMarkSkip val="1"/>
        <c:noMultiLvlLbl val="0"/>
      </c:catAx>
      <c:valAx>
        <c:axId val="92870144"/>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92797568"/>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3468634686346864"/>
          <c:y val="0.13360323886639677"/>
          <c:w val="0.74169741697416969"/>
          <c:h val="0.64777327935222673"/>
        </c:manualLayout>
      </c:layout>
      <c:pie3DChart>
        <c:varyColors val="1"/>
        <c:ser>
          <c:idx val="0"/>
          <c:order val="0"/>
          <c:tx>
            <c:strRef>
              <c:f>Sheet1!$A$4</c:f>
              <c:strCache>
                <c:ptCount val="1"/>
                <c:pt idx="0">
                  <c:v>Atvejai</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Sheet1!$B$3:$C$3</c:f>
              <c:strCache>
                <c:ptCount val="2"/>
                <c:pt idx="0">
                  <c:v>Berniukai</c:v>
                </c:pt>
                <c:pt idx="1">
                  <c:v>Mergaitės</c:v>
                </c:pt>
              </c:strCache>
            </c:strRef>
          </c:cat>
          <c:val>
            <c:numRef>
              <c:f>Sheet1!$B$4:$C$4</c:f>
              <c:numCache>
                <c:formatCode>General</c:formatCode>
                <c:ptCount val="2"/>
                <c:pt idx="0">
                  <c:v>56</c:v>
                </c:pt>
                <c:pt idx="1">
                  <c:v>28</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6162361623616235"/>
          <c:y val="0.89068825910931171"/>
          <c:w val="0.2767527675276753"/>
          <c:h val="9.7165991902834009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3"/>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5.5350553505535055E-2"/>
          <c:y val="3.643724696356275E-2"/>
          <c:w val="0.92619926199261993"/>
          <c:h val="0.71255060728744934"/>
        </c:manualLayout>
      </c:layout>
      <c:bar3DChart>
        <c:barDir val="col"/>
        <c:grouping val="clustered"/>
        <c:varyColors val="0"/>
        <c:ser>
          <c:idx val="0"/>
          <c:order val="0"/>
          <c:tx>
            <c:strRef>
              <c:f>Sheet1!$A$6</c:f>
              <c:strCache>
                <c:ptCount val="1"/>
                <c:pt idx="0">
                  <c:v>Atvejai</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4361835145225805E-2"/>
                  <c:y val="5.4639683059671531E-3"/>
                </c:manualLayout>
              </c:layout>
              <c:showLegendKey val="0"/>
              <c:showVal val="1"/>
              <c:showCatName val="0"/>
              <c:showSerName val="0"/>
              <c:showPercent val="0"/>
              <c:showBubbleSize val="0"/>
            </c:dLbl>
            <c:dLbl>
              <c:idx val="1"/>
              <c:layout>
                <c:manualLayout>
                  <c:x val="1.5836486968087746E-2"/>
                  <c:y val="1.4153853100156981E-3"/>
                </c:manualLayout>
              </c:layout>
              <c:showLegendKey val="0"/>
              <c:showVal val="1"/>
              <c:showCatName val="0"/>
              <c:showSerName val="0"/>
              <c:showPercent val="0"/>
              <c:showBubbleSize val="0"/>
            </c:dLbl>
            <c:dLbl>
              <c:idx val="2"/>
              <c:layout>
                <c:manualLayout>
                  <c:x val="1.3620911696963603E-2"/>
                  <c:y val="-1.1594802323491476E-2"/>
                </c:manualLayout>
              </c:layout>
              <c:showLegendKey val="0"/>
              <c:showVal val="1"/>
              <c:showCatName val="0"/>
              <c:showSerName val="0"/>
              <c:showPercent val="0"/>
              <c:showBubbleSize val="0"/>
            </c:dLbl>
            <c:dLbl>
              <c:idx val="3"/>
              <c:layout>
                <c:manualLayout>
                  <c:x val="1.3250354876023936E-2"/>
                  <c:y val="-7.546219327540021E-3"/>
                </c:manualLayout>
              </c:layout>
              <c:showLegendKey val="0"/>
              <c:showVal val="1"/>
              <c:showCatName val="0"/>
              <c:showSerName val="0"/>
              <c:showPercent val="0"/>
              <c:showBubbleSize val="0"/>
            </c:dLbl>
            <c:dLbl>
              <c:idx val="4"/>
              <c:layout>
                <c:manualLayout>
                  <c:x val="1.5904737000125849E-2"/>
                  <c:y val="-8.4110664824406239E-3"/>
                </c:manualLayout>
              </c:layout>
              <c:showLegendKey val="0"/>
              <c:showVal val="1"/>
              <c:showCatName val="0"/>
              <c:showSerName val="0"/>
              <c:showPercent val="0"/>
              <c:showBubbleSize val="0"/>
            </c:dLbl>
            <c:dLbl>
              <c:idx val="5"/>
              <c:layout>
                <c:manualLayout>
                  <c:x val="9.9991248286326953E-3"/>
                  <c:y val="-2.2867881287047243E-2"/>
                </c:manualLayout>
              </c:layout>
              <c:showLegendKey val="0"/>
              <c:showVal val="1"/>
              <c:showCatName val="0"/>
              <c:showSerName val="0"/>
              <c:showPercent val="0"/>
              <c:showBubbleSize val="0"/>
            </c:dLbl>
            <c:dLbl>
              <c:idx val="6"/>
              <c:layout>
                <c:manualLayout>
                  <c:x val="1.1473586457877561E-2"/>
                  <c:y val="-1.5635562450044965E-2"/>
                </c:manualLayout>
              </c:layout>
              <c:showLegendKey val="0"/>
              <c:showVal val="1"/>
              <c:showCatName val="0"/>
              <c:showSerName val="0"/>
              <c:showPercent val="0"/>
              <c:showBubbleSize val="0"/>
            </c:dLbl>
            <c:dLbl>
              <c:idx val="7"/>
              <c:layout>
                <c:manualLayout>
                  <c:x val="9.2580111867533628E-3"/>
                  <c:y val="-5.8008792789431369E-3"/>
                </c:manualLayout>
              </c:layout>
              <c:showLegendKey val="0"/>
              <c:showVal val="1"/>
              <c:showCatName val="0"/>
              <c:showSerName val="0"/>
              <c:showPercent val="0"/>
              <c:showBubbleSize val="0"/>
            </c:dLbl>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Sheet1!$B$5:$I$5</c:f>
              <c:numCache>
                <c:formatCode>General</c:formatCode>
                <c:ptCount val="8"/>
                <c:pt idx="0">
                  <c:v>3</c:v>
                </c:pt>
                <c:pt idx="1">
                  <c:v>9</c:v>
                </c:pt>
                <c:pt idx="2">
                  <c:v>13</c:v>
                </c:pt>
                <c:pt idx="3">
                  <c:v>14</c:v>
                </c:pt>
                <c:pt idx="4">
                  <c:v>15</c:v>
                </c:pt>
                <c:pt idx="5">
                  <c:v>16</c:v>
                </c:pt>
                <c:pt idx="6">
                  <c:v>17</c:v>
                </c:pt>
                <c:pt idx="7">
                  <c:v>18</c:v>
                </c:pt>
              </c:numCache>
            </c:numRef>
          </c:cat>
          <c:val>
            <c:numRef>
              <c:f>Sheet1!$B$6:$I$6</c:f>
              <c:numCache>
                <c:formatCode>General</c:formatCode>
                <c:ptCount val="8"/>
                <c:pt idx="0">
                  <c:v>1</c:v>
                </c:pt>
                <c:pt idx="1">
                  <c:v>1</c:v>
                </c:pt>
                <c:pt idx="2">
                  <c:v>6</c:v>
                </c:pt>
                <c:pt idx="3">
                  <c:v>6</c:v>
                </c:pt>
                <c:pt idx="4">
                  <c:v>11</c:v>
                </c:pt>
                <c:pt idx="5">
                  <c:v>15</c:v>
                </c:pt>
                <c:pt idx="6">
                  <c:v>20</c:v>
                </c:pt>
                <c:pt idx="7">
                  <c:v>24</c:v>
                </c:pt>
              </c:numCache>
            </c:numRef>
          </c:val>
        </c:ser>
        <c:dLbls>
          <c:showLegendKey val="0"/>
          <c:showVal val="1"/>
          <c:showCatName val="0"/>
          <c:showSerName val="0"/>
          <c:showPercent val="0"/>
          <c:showBubbleSize val="0"/>
        </c:dLbls>
        <c:gapWidth val="150"/>
        <c:shape val="box"/>
        <c:axId val="92921216"/>
        <c:axId val="93031040"/>
        <c:axId val="0"/>
      </c:bar3DChart>
      <c:catAx>
        <c:axId val="92921216"/>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lt-LT"/>
                  <a:t>Amžius metais</a:t>
                </a:r>
              </a:p>
            </c:rich>
          </c:tx>
          <c:layout>
            <c:manualLayout>
              <c:xMode val="edge"/>
              <c:yMode val="edge"/>
              <c:x val="0.41697416974169743"/>
              <c:y val="0.85425101214574894"/>
            </c:manualLayout>
          </c:layout>
          <c:overlay val="0"/>
          <c:spPr>
            <a:noFill/>
            <a:ln w="25399">
              <a:noFill/>
            </a:ln>
          </c:spPr>
        </c:title>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3031040"/>
        <c:crosses val="autoZero"/>
        <c:auto val="1"/>
        <c:lblAlgn val="ctr"/>
        <c:lblOffset val="100"/>
        <c:tickLblSkip val="1"/>
        <c:tickMarkSkip val="1"/>
        <c:noMultiLvlLbl val="0"/>
      </c:catAx>
      <c:valAx>
        <c:axId val="9303104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292121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5017667844522969"/>
          <c:y val="0.16599190283400811"/>
          <c:w val="0.72968197879858654"/>
          <c:h val="0.66396761133603244"/>
        </c:manualLayout>
      </c:layout>
      <c:pie3DChart>
        <c:varyColors val="1"/>
        <c:ser>
          <c:idx val="0"/>
          <c:order val="0"/>
          <c:tx>
            <c:strRef>
              <c:f>Sheet1!$A$7</c:f>
              <c:strCache>
                <c:ptCount val="1"/>
                <c:pt idx="0">
                  <c:v>Atvejai</c:v>
                </c:pt>
              </c:strCache>
            </c:strRef>
          </c:tx>
          <c:spPr>
            <a:solidFill>
              <a:srgbClr val="9999FF"/>
            </a:solidFill>
            <a:ln w="12700">
              <a:solidFill>
                <a:srgbClr val="000000"/>
              </a:solidFill>
              <a:prstDash val="solid"/>
            </a:ln>
          </c:spPr>
          <c:explosion val="25"/>
          <c:dPt>
            <c:idx val="0"/>
            <c:bubble3D val="0"/>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8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Sheet1!$B$6:$C$6</c:f>
              <c:strCache>
                <c:ptCount val="2"/>
                <c:pt idx="0">
                  <c:v>Vyr.</c:v>
                </c:pt>
                <c:pt idx="1">
                  <c:v>Mot.</c:v>
                </c:pt>
              </c:strCache>
            </c:strRef>
          </c:cat>
          <c:val>
            <c:numRef>
              <c:f>Sheet1!$B$7:$C$7</c:f>
              <c:numCache>
                <c:formatCode>General</c:formatCode>
                <c:ptCount val="2"/>
                <c:pt idx="0">
                  <c:v>55</c:v>
                </c:pt>
                <c:pt idx="1">
                  <c:v>9</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41696113074204949"/>
          <c:y val="0.89068825910931171"/>
          <c:w val="0.15724381625441697"/>
          <c:h val="9.7165991902834009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4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9.3023255813953487E-2"/>
          <c:y val="4.4334975369458129E-2"/>
          <c:w val="0.88583509513742076"/>
          <c:h val="0.90640394088669951"/>
        </c:manualLayout>
      </c:layout>
      <c:bar3DChart>
        <c:barDir val="bar"/>
        <c:grouping val="clustered"/>
        <c:varyColors val="0"/>
        <c:ser>
          <c:idx val="0"/>
          <c:order val="0"/>
          <c:tx>
            <c:strRef>
              <c:f>Sheet1!$A$7</c:f>
              <c:strCache>
                <c:ptCount val="1"/>
                <c:pt idx="0">
                  <c:v>Atvejai</c:v>
                </c:pt>
              </c:strCache>
            </c:strRef>
          </c:tx>
          <c:spPr>
            <a:pattFill prst="sm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1.0565416155410033E-2"/>
                  <c:y val="-7.1565168001400999E-3"/>
                </c:manualLayout>
              </c:layout>
              <c:showLegendKey val="0"/>
              <c:showVal val="1"/>
              <c:showCatName val="0"/>
              <c:showSerName val="0"/>
              <c:showPercent val="0"/>
              <c:showBubbleSize val="0"/>
            </c:dLbl>
            <c:dLbl>
              <c:idx val="1"/>
              <c:layout>
                <c:manualLayout>
                  <c:x val="1.5523284793923252E-2"/>
                  <c:y val="-6.5209308768409959E-3"/>
                </c:manualLayout>
              </c:layout>
              <c:showLegendKey val="0"/>
              <c:showVal val="1"/>
              <c:showCatName val="0"/>
              <c:showSerName val="0"/>
              <c:showPercent val="0"/>
              <c:showBubbleSize val="0"/>
            </c:dLbl>
            <c:dLbl>
              <c:idx val="2"/>
              <c:layout>
                <c:manualLayout>
                  <c:x val="2.8245282649715632E-2"/>
                  <c:y val="-1.5737068806175779E-2"/>
                </c:manualLayout>
              </c:layout>
              <c:showLegendKey val="0"/>
              <c:showVal val="1"/>
              <c:showCatName val="0"/>
              <c:showSerName val="0"/>
              <c:showPercent val="0"/>
              <c:showBubbleSize val="0"/>
            </c:dLbl>
            <c:dLbl>
              <c:idx val="3"/>
              <c:layout>
                <c:manualLayout>
                  <c:x val="7.5280947451198598E-3"/>
                  <c:y val="-3.4805916380413596E-2"/>
                </c:manualLayout>
              </c:layout>
              <c:showLegendKey val="0"/>
              <c:showVal val="1"/>
              <c:showCatName val="0"/>
              <c:showSerName val="0"/>
              <c:showPercent val="0"/>
              <c:showBubbleSize val="0"/>
            </c:dLbl>
            <c:dLbl>
              <c:idx val="4"/>
              <c:layout>
                <c:manualLayout>
                  <c:x val="1.4101432927097928E-2"/>
                  <c:y val="-1.9391512437827229E-2"/>
                </c:manualLayout>
              </c:layout>
              <c:showLegendKey val="0"/>
              <c:showVal val="1"/>
              <c:showCatName val="0"/>
              <c:showSerName val="0"/>
              <c:showPercent val="0"/>
              <c:showBubbleSize val="0"/>
            </c:dLbl>
            <c:dLbl>
              <c:idx val="5"/>
              <c:layout>
                <c:manualLayout>
                  <c:x val="9.8360946907557947E-3"/>
                  <c:y val="-3.8460360012065015E-2"/>
                </c:manualLayout>
              </c:layout>
              <c:showLegendKey val="0"/>
              <c:showVal val="1"/>
              <c:showCatName val="0"/>
              <c:showSerName val="0"/>
              <c:showPercent val="0"/>
              <c:showBubbleSize val="0"/>
            </c:dLbl>
            <c:spPr>
              <a:noFill/>
              <a:ln w="25398">
                <a:noFill/>
              </a:ln>
            </c:spPr>
            <c:txPr>
              <a:bodyPr/>
              <a:lstStyle/>
              <a:p>
                <a:pPr>
                  <a:defRPr sz="825"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Sheet1!$B$6:$G$6</c:f>
              <c:strCache>
                <c:ptCount val="6"/>
                <c:pt idx="0">
                  <c:v>25-34</c:v>
                </c:pt>
                <c:pt idx="1">
                  <c:v>35-44</c:v>
                </c:pt>
                <c:pt idx="2">
                  <c:v>45-54</c:v>
                </c:pt>
                <c:pt idx="3">
                  <c:v>55-64</c:v>
                </c:pt>
                <c:pt idx="4">
                  <c:v>65-74</c:v>
                </c:pt>
                <c:pt idx="5">
                  <c:v>&gt;75</c:v>
                </c:pt>
              </c:strCache>
            </c:strRef>
          </c:cat>
          <c:val>
            <c:numRef>
              <c:f>Sheet1!$B$7:$G$7</c:f>
              <c:numCache>
                <c:formatCode>General</c:formatCode>
                <c:ptCount val="6"/>
                <c:pt idx="0">
                  <c:v>7</c:v>
                </c:pt>
                <c:pt idx="1">
                  <c:v>13</c:v>
                </c:pt>
                <c:pt idx="2">
                  <c:v>22</c:v>
                </c:pt>
                <c:pt idx="3">
                  <c:v>11</c:v>
                </c:pt>
                <c:pt idx="4">
                  <c:v>10</c:v>
                </c:pt>
                <c:pt idx="5">
                  <c:v>1</c:v>
                </c:pt>
              </c:numCache>
            </c:numRef>
          </c:val>
        </c:ser>
        <c:dLbls>
          <c:showLegendKey val="0"/>
          <c:showVal val="1"/>
          <c:showCatName val="0"/>
          <c:showSerName val="0"/>
          <c:showPercent val="0"/>
          <c:showBubbleSize val="0"/>
        </c:dLbls>
        <c:gapWidth val="150"/>
        <c:shape val="box"/>
        <c:axId val="93074176"/>
        <c:axId val="93076864"/>
        <c:axId val="0"/>
      </c:bar3DChart>
      <c:catAx>
        <c:axId val="93074176"/>
        <c:scaling>
          <c:orientation val="minMax"/>
        </c:scaling>
        <c:delete val="0"/>
        <c:axPos val="l"/>
        <c:numFmt formatCode="General" sourceLinked="1"/>
        <c:majorTickMark val="out"/>
        <c:minorTickMark val="none"/>
        <c:tickLblPos val="low"/>
        <c:spPr>
          <a:ln w="3175">
            <a:solidFill>
              <a:srgbClr val="000000"/>
            </a:solidFill>
            <a:prstDash val="solid"/>
          </a:ln>
        </c:spPr>
        <c:txPr>
          <a:bodyPr rot="0" vert="horz"/>
          <a:lstStyle/>
          <a:p>
            <a:pPr>
              <a:defRPr sz="825" b="0" i="0" u="none" strike="noStrike" baseline="0">
                <a:solidFill>
                  <a:srgbClr val="000000"/>
                </a:solidFill>
                <a:latin typeface="Arial"/>
                <a:ea typeface="Arial"/>
                <a:cs typeface="Arial"/>
              </a:defRPr>
            </a:pPr>
            <a:endParaRPr lang="lt-LT"/>
          </a:p>
        </c:txPr>
        <c:crossAx val="93076864"/>
        <c:crosses val="autoZero"/>
        <c:auto val="1"/>
        <c:lblAlgn val="ctr"/>
        <c:lblOffset val="100"/>
        <c:tickLblSkip val="1"/>
        <c:tickMarkSkip val="1"/>
        <c:noMultiLvlLbl val="0"/>
      </c:catAx>
      <c:valAx>
        <c:axId val="93076864"/>
        <c:scaling>
          <c:orientation val="minMax"/>
        </c:scaling>
        <c:delete val="1"/>
        <c:axPos val="b"/>
        <c:majorGridlines>
          <c:spPr>
            <a:ln w="3175">
              <a:solidFill>
                <a:srgbClr val="000000"/>
              </a:solidFill>
              <a:prstDash val="solid"/>
            </a:ln>
          </c:spPr>
        </c:majorGridlines>
        <c:numFmt formatCode="General" sourceLinked="1"/>
        <c:majorTickMark val="out"/>
        <c:minorTickMark val="none"/>
        <c:tickLblPos val="nextTo"/>
        <c:crossAx val="93074176"/>
        <c:crosses val="autoZero"/>
        <c:crossBetween val="between"/>
      </c:valAx>
      <c:spPr>
        <a:noFill/>
        <a:ln w="25398">
          <a:noFill/>
        </a:ln>
      </c:spPr>
    </c:plotArea>
    <c:plotVisOnly val="1"/>
    <c:dispBlanksAs val="gap"/>
    <c:showDLblsOverMax val="0"/>
  </c:chart>
  <c:spPr>
    <a:solidFill>
      <a:srgbClr val="FFFFFF"/>
    </a:solidFill>
    <a:ln w="3175">
      <a:solidFill>
        <a:srgbClr val="000000"/>
      </a:solidFill>
      <a:prstDash val="solid"/>
    </a:ln>
  </c:spPr>
  <c:txPr>
    <a:bodyPr/>
    <a:lstStyle/>
    <a:p>
      <a:pPr>
        <a:defRPr sz="825" b="0" i="0" u="none" strike="noStrike" baseline="0">
          <a:solidFill>
            <a:srgbClr val="000000"/>
          </a:solidFill>
          <a:latin typeface="Arial"/>
          <a:ea typeface="Arial"/>
          <a:cs typeface="Arial"/>
        </a:defRPr>
      </a:pPr>
      <a:endParaRPr lang="lt-LT"/>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8"/>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736842105263157E-2"/>
          <c:y val="3.9130434782608699E-2"/>
          <c:w val="0.95833333333333337"/>
          <c:h val="0.80869565217391304"/>
        </c:manualLayout>
      </c:layout>
      <c:bar3DChart>
        <c:barDir val="col"/>
        <c:grouping val="clustered"/>
        <c:varyColors val="0"/>
        <c:ser>
          <c:idx val="0"/>
          <c:order val="0"/>
          <c:tx>
            <c:strRef>
              <c:f>Sheet1!$A$5</c:f>
              <c:strCache>
                <c:ptCount val="1"/>
                <c:pt idx="0">
                  <c:v>Atv.</c:v>
                </c:pt>
              </c:strCache>
            </c:strRef>
          </c:tx>
          <c:spPr>
            <a:pattFill prst="dot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7161769252527664E-2"/>
                  <c:y val="6.2938220524837128E-3"/>
                </c:manualLayout>
              </c:layout>
              <c:showLegendKey val="0"/>
              <c:showVal val="1"/>
              <c:showCatName val="0"/>
              <c:showSerName val="0"/>
              <c:showPercent val="0"/>
              <c:showBubbleSize val="0"/>
            </c:dLbl>
            <c:dLbl>
              <c:idx val="1"/>
              <c:layout>
                <c:manualLayout>
                  <c:x val="2.3630734659311765E-2"/>
                  <c:y val="1.9459959655272162E-3"/>
                </c:manualLayout>
              </c:layout>
              <c:showLegendKey val="0"/>
              <c:showVal val="1"/>
              <c:showCatName val="0"/>
              <c:showSerName val="0"/>
              <c:showPercent val="0"/>
              <c:showBubbleSize val="0"/>
            </c:dLbl>
            <c:dLbl>
              <c:idx val="2"/>
              <c:layout>
                <c:manualLayout>
                  <c:x val="1.5713952517949013E-2"/>
                  <c:y val="6.2938220524837128E-3"/>
                </c:manualLayout>
              </c:layout>
              <c:showLegendKey val="0"/>
              <c:showVal val="1"/>
              <c:showCatName val="0"/>
              <c:showSerName val="0"/>
              <c:showPercent val="0"/>
              <c:showBubbleSize val="0"/>
            </c:dLbl>
            <c:dLbl>
              <c:idx val="3"/>
              <c:layout>
                <c:manualLayout>
                  <c:x val="2.0955065113428321E-2"/>
                  <c:y val="1.9459959655272162E-3"/>
                </c:manualLayout>
              </c:layout>
              <c:showLegendKey val="0"/>
              <c:showVal val="1"/>
              <c:showCatName val="0"/>
              <c:showSerName val="0"/>
              <c:showPercent val="0"/>
              <c:showBubbleSize val="0"/>
            </c:dLbl>
            <c:dLbl>
              <c:idx val="4"/>
              <c:layout>
                <c:manualLayout>
                  <c:x val="1.3038065607931762E-2"/>
                  <c:y val="-2.2112863112547405E-2"/>
                </c:manualLayout>
              </c:layout>
              <c:showLegendKey val="0"/>
              <c:showVal val="1"/>
              <c:showCatName val="0"/>
              <c:showSerName val="0"/>
              <c:showPercent val="0"/>
              <c:showBubbleSize val="0"/>
            </c:dLbl>
            <c:dLbl>
              <c:idx val="5"/>
              <c:layout>
                <c:manualLayout>
                  <c:x val="9.5072483788496386E-3"/>
                  <c:y val="-1.4000881847136711E-2"/>
                </c:manualLayout>
              </c:layout>
              <c:showLegendKey val="0"/>
              <c:showVal val="1"/>
              <c:showCatName val="0"/>
              <c:showSerName val="0"/>
              <c:showPercent val="0"/>
              <c:showBubbleSize val="0"/>
            </c:dLbl>
            <c:dLbl>
              <c:idx val="6"/>
              <c:layout>
                <c:manualLayout>
                  <c:x val="1.0305024800961592E-2"/>
                  <c:y val="-2.3279796420304488E-2"/>
                </c:manualLayout>
              </c:layout>
              <c:showLegendKey val="0"/>
              <c:showVal val="1"/>
              <c:showCatName val="0"/>
              <c:showSerName val="0"/>
              <c:showPercent val="0"/>
              <c:showBubbleSize val="0"/>
            </c:dLbl>
            <c:dLbl>
              <c:idx val="7"/>
              <c:layout>
                <c:manualLayout>
                  <c:x val="4.5812251157392771E-3"/>
                  <c:y val="5.9876443713864115E-3"/>
                </c:manualLayout>
              </c:layout>
              <c:showLegendKey val="0"/>
              <c:showVal val="1"/>
              <c:showCatName val="0"/>
              <c:showSerName val="0"/>
              <c:showPercent val="0"/>
              <c:showBubbleSize val="0"/>
            </c:dLbl>
            <c:dLbl>
              <c:idx val="8"/>
              <c:layout>
                <c:manualLayout>
                  <c:x val="-1.0852033083965091E-3"/>
                  <c:y val="-7.6249583165155788E-3"/>
                </c:manualLayout>
              </c:layout>
              <c:showLegendKey val="0"/>
              <c:showVal val="1"/>
              <c:showCatName val="0"/>
              <c:showSerName val="0"/>
              <c:showPercent val="0"/>
              <c:showBubbleSize val="0"/>
            </c:dLbl>
            <c:spPr>
              <a:noFill/>
              <a:ln w="25399">
                <a:noFill/>
              </a:ln>
            </c:spPr>
            <c:txPr>
              <a:bodyPr/>
              <a:lstStyle/>
              <a:p>
                <a:pPr>
                  <a:defRPr sz="85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Sheet1!$B$4:$J$4</c:f>
              <c:strCache>
                <c:ptCount val="9"/>
                <c:pt idx="0">
                  <c:v>1 m.</c:v>
                </c:pt>
                <c:pt idx="1">
                  <c:v>4 m.</c:v>
                </c:pt>
                <c:pt idx="2">
                  <c:v>5 m.</c:v>
                </c:pt>
                <c:pt idx="3">
                  <c:v>9 m.</c:v>
                </c:pt>
                <c:pt idx="4">
                  <c:v>14 m.</c:v>
                </c:pt>
                <c:pt idx="5">
                  <c:v>15 m.</c:v>
                </c:pt>
                <c:pt idx="6">
                  <c:v>16 m.</c:v>
                </c:pt>
                <c:pt idx="7">
                  <c:v>17 m.</c:v>
                </c:pt>
                <c:pt idx="8">
                  <c:v>18 m.</c:v>
                </c:pt>
              </c:strCache>
            </c:strRef>
          </c:cat>
          <c:val>
            <c:numRef>
              <c:f>Sheet1!$B$5:$J$5</c:f>
              <c:numCache>
                <c:formatCode>General</c:formatCode>
                <c:ptCount val="9"/>
                <c:pt idx="0">
                  <c:v>1</c:v>
                </c:pt>
                <c:pt idx="1">
                  <c:v>1</c:v>
                </c:pt>
                <c:pt idx="2">
                  <c:v>1</c:v>
                </c:pt>
                <c:pt idx="3">
                  <c:v>1</c:v>
                </c:pt>
                <c:pt idx="4">
                  <c:v>2</c:v>
                </c:pt>
                <c:pt idx="5">
                  <c:v>6</c:v>
                </c:pt>
                <c:pt idx="6">
                  <c:v>10</c:v>
                </c:pt>
                <c:pt idx="7">
                  <c:v>18</c:v>
                </c:pt>
                <c:pt idx="8">
                  <c:v>7</c:v>
                </c:pt>
              </c:numCache>
            </c:numRef>
          </c:val>
        </c:ser>
        <c:dLbls>
          <c:showLegendKey val="0"/>
          <c:showVal val="1"/>
          <c:showCatName val="0"/>
          <c:showSerName val="0"/>
          <c:showPercent val="0"/>
          <c:showBubbleSize val="0"/>
        </c:dLbls>
        <c:gapWidth val="150"/>
        <c:shape val="box"/>
        <c:axId val="23658496"/>
        <c:axId val="23660032"/>
        <c:axId val="0"/>
      </c:bar3DChart>
      <c:catAx>
        <c:axId val="2365849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25" b="0" i="0" u="none" strike="noStrike" baseline="0">
                <a:solidFill>
                  <a:srgbClr val="000000"/>
                </a:solidFill>
                <a:latin typeface="Arial"/>
                <a:ea typeface="Arial"/>
                <a:cs typeface="Arial"/>
              </a:defRPr>
            </a:pPr>
            <a:endParaRPr lang="lt-LT"/>
          </a:p>
        </c:txPr>
        <c:crossAx val="23660032"/>
        <c:crosses val="autoZero"/>
        <c:auto val="1"/>
        <c:lblAlgn val="ctr"/>
        <c:lblOffset val="100"/>
        <c:tickLblSkip val="1"/>
        <c:tickMarkSkip val="1"/>
        <c:noMultiLvlLbl val="0"/>
      </c:catAx>
      <c:valAx>
        <c:axId val="23660032"/>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2365849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2280701754385964"/>
          <c:y val="0.13043478260869565"/>
          <c:w val="0.7807017543859649"/>
          <c:h val="0.61304347826086958"/>
        </c:manualLayout>
      </c:layout>
      <c:pie3DChart>
        <c:varyColors val="1"/>
        <c:ser>
          <c:idx val="0"/>
          <c:order val="0"/>
          <c:tx>
            <c:strRef>
              <c:f>Sheet1!$A$6</c:f>
              <c:strCache>
                <c:ptCount val="1"/>
                <c:pt idx="0">
                  <c:v>Atv.</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925"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Sheet1!$B$5:$C$5</c:f>
              <c:strCache>
                <c:ptCount val="2"/>
                <c:pt idx="0">
                  <c:v>Suaugę</c:v>
                </c:pt>
                <c:pt idx="1">
                  <c:v>Vaikai</c:v>
                </c:pt>
              </c:strCache>
            </c:strRef>
          </c:cat>
          <c:val>
            <c:numRef>
              <c:f>Sheet1!$B$6:$C$6</c:f>
              <c:numCache>
                <c:formatCode>General</c:formatCode>
                <c:ptCount val="2"/>
                <c:pt idx="0">
                  <c:v>2932</c:v>
                </c:pt>
                <c:pt idx="1">
                  <c:v>929</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7061403508771928"/>
          <c:y val="0.88695652173913042"/>
          <c:w val="0.25219298245614036"/>
          <c:h val="0.1"/>
        </c:manualLayout>
      </c:layout>
      <c:overlay val="0"/>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lt-LT"/>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1"/>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7751479289940829E-2"/>
          <c:y val="3.643724696356275E-2"/>
          <c:w val="0.96252465483234717"/>
          <c:h val="0.71255060728744934"/>
        </c:manualLayout>
      </c:layout>
      <c:bar3DChart>
        <c:barDir val="col"/>
        <c:grouping val="clustered"/>
        <c:varyColors val="0"/>
        <c:ser>
          <c:idx val="0"/>
          <c:order val="0"/>
          <c:tx>
            <c:strRef>
              <c:f>Sheet1!$A$6</c:f>
              <c:strCache>
                <c:ptCount val="1"/>
                <c:pt idx="0">
                  <c:v>Atv.</c:v>
                </c:pt>
              </c:strCache>
            </c:strRef>
          </c:tx>
          <c:spPr>
            <a:pattFill prst="sm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5040222910114781E-2"/>
                  <c:y val="1.276046444193684E-2"/>
                </c:manualLayout>
              </c:layout>
              <c:showLegendKey val="0"/>
              <c:showVal val="1"/>
              <c:showCatName val="0"/>
              <c:showSerName val="0"/>
              <c:showPercent val="0"/>
              <c:showBubbleSize val="0"/>
            </c:dLbl>
            <c:dLbl>
              <c:idx val="1"/>
              <c:layout>
                <c:manualLayout>
                  <c:x val="1.1590737187860771E-2"/>
                  <c:y val="1.9118550334644695E-2"/>
                </c:manualLayout>
              </c:layout>
              <c:showLegendKey val="0"/>
              <c:showVal val="1"/>
              <c:showCatName val="0"/>
              <c:showSerName val="0"/>
              <c:showPercent val="0"/>
              <c:showBubbleSize val="0"/>
            </c:dLbl>
            <c:dLbl>
              <c:idx val="2"/>
              <c:layout>
                <c:manualLayout>
                  <c:x val="1.0113638053377973E-2"/>
                  <c:y val="1.1021384342741896E-2"/>
                </c:manualLayout>
              </c:layout>
              <c:showLegendKey val="0"/>
              <c:showVal val="1"/>
              <c:showCatName val="0"/>
              <c:showSerName val="0"/>
              <c:showPercent val="0"/>
              <c:showBubbleSize val="0"/>
            </c:dLbl>
            <c:dLbl>
              <c:idx val="3"/>
              <c:layout>
                <c:manualLayout>
                  <c:x val="8.6365389188951779E-3"/>
                  <c:y val="4.6632984500340419E-3"/>
                </c:manualLayout>
              </c:layout>
              <c:showLegendKey val="0"/>
              <c:showVal val="1"/>
              <c:showCatName val="0"/>
              <c:showSerName val="0"/>
              <c:showPercent val="0"/>
              <c:showBubbleSize val="0"/>
            </c:dLbl>
            <c:dLbl>
              <c:idx val="4"/>
              <c:layout>
                <c:manualLayout>
                  <c:x val="1.1104212959954807E-2"/>
                  <c:y val="1.276046444193684E-2"/>
                </c:manualLayout>
              </c:layout>
              <c:showLegendKey val="0"/>
              <c:showVal val="1"/>
              <c:showCatName val="0"/>
              <c:showSerName val="0"/>
              <c:showPercent val="0"/>
              <c:showBubbleSize val="0"/>
            </c:dLbl>
            <c:dLbl>
              <c:idx val="5"/>
              <c:layout>
                <c:manualLayout>
                  <c:x val="1.7516457107162976E-2"/>
                  <c:y val="9.0597791676739446E-3"/>
                </c:manualLayout>
              </c:layout>
              <c:showLegendKey val="0"/>
              <c:showVal val="1"/>
              <c:showCatName val="0"/>
              <c:showSerName val="0"/>
              <c:showPercent val="0"/>
              <c:showBubbleSize val="0"/>
            </c:dLbl>
            <c:dLbl>
              <c:idx val="6"/>
              <c:layout>
                <c:manualLayout>
                  <c:x val="8.1498116215953254E-3"/>
                  <c:y val="4.6632984500340419E-3"/>
                </c:manualLayout>
              </c:layout>
              <c:showLegendKey val="0"/>
              <c:showVal val="1"/>
              <c:showCatName val="0"/>
              <c:showSerName val="0"/>
              <c:showPercent val="0"/>
              <c:showBubbleSize val="0"/>
            </c:dLbl>
            <c:dLbl>
              <c:idx val="7"/>
              <c:layout>
                <c:manualLayout>
                  <c:x val="1.0617485662654955E-2"/>
                  <c:y val="3.2721160725275446E-3"/>
                </c:manualLayout>
              </c:layout>
              <c:showLegendKey val="0"/>
              <c:showVal val="1"/>
              <c:showCatName val="0"/>
              <c:showSerName val="0"/>
              <c:showPercent val="0"/>
              <c:showBubbleSize val="0"/>
            </c:dLbl>
            <c:dLbl>
              <c:idx val="8"/>
              <c:layout>
                <c:manualLayout>
                  <c:x val="8.9615616973633423E-3"/>
                  <c:y val="2.2288314167096066E-3"/>
                </c:manualLayout>
              </c:layout>
              <c:showLegendKey val="0"/>
              <c:showVal val="1"/>
              <c:showCatName val="0"/>
              <c:showSerName val="0"/>
              <c:showPercent val="0"/>
              <c:showBubbleSize val="0"/>
            </c:dLbl>
            <c:dLbl>
              <c:idx val="9"/>
              <c:layout>
                <c:manualLayout>
                  <c:x val="7.484462562880545E-3"/>
                  <c:y val="6.4999394885339561E-3"/>
                </c:manualLayout>
              </c:layout>
              <c:showLegendKey val="0"/>
              <c:showVal val="1"/>
              <c:showCatName val="0"/>
              <c:showSerName val="0"/>
              <c:showPercent val="0"/>
              <c:showBubbleSize val="0"/>
            </c:dLbl>
            <c:dLbl>
              <c:idx val="10"/>
              <c:layout>
                <c:manualLayout>
                  <c:x val="9.9519335345462871E-3"/>
                  <c:y val="-1.7095763043797434E-2"/>
                </c:manualLayout>
              </c:layout>
              <c:showLegendKey val="0"/>
              <c:showVal val="1"/>
              <c:showCatName val="0"/>
              <c:showSerName val="0"/>
              <c:showPercent val="0"/>
              <c:showBubbleSize val="0"/>
            </c:dLbl>
            <c:dLbl>
              <c:idx val="11"/>
              <c:layout>
                <c:manualLayout>
                  <c:x val="8.4748344000634898E-3"/>
                  <c:y val="1.853530497758202E-3"/>
                </c:manualLayout>
              </c:layout>
              <c:showLegendKey val="0"/>
              <c:showVal val="1"/>
              <c:showCatName val="0"/>
              <c:showSerName val="0"/>
              <c:showPercent val="0"/>
              <c:showBubbleSize val="0"/>
            </c:dLbl>
            <c:dLbl>
              <c:idx val="12"/>
              <c:layout>
                <c:manualLayout>
                  <c:x val="6.8187073653779885E-3"/>
                  <c:y val="-1.3307213549739246E-3"/>
                </c:manualLayout>
              </c:layout>
              <c:showLegendKey val="0"/>
              <c:showVal val="1"/>
              <c:showCatName val="0"/>
              <c:showSerName val="0"/>
              <c:showPercent val="0"/>
              <c:showBubbleSize val="0"/>
            </c:dLbl>
            <c:dLbl>
              <c:idx val="13"/>
              <c:layout>
                <c:manualLayout>
                  <c:x val="7.3139948186664054E-3"/>
                  <c:y val="-1.4830886888048064E-3"/>
                </c:manualLayout>
              </c:layout>
              <c:showLegendKey val="0"/>
              <c:showVal val="1"/>
              <c:showCatName val="0"/>
              <c:showSerName val="0"/>
              <c:showPercent val="0"/>
              <c:showBubbleSize val="0"/>
            </c:dLbl>
            <c:dLbl>
              <c:idx val="14"/>
              <c:layout>
                <c:manualLayout>
                  <c:x val="7.8092822719548214E-3"/>
                  <c:y val="4.999961340471001E-3"/>
                </c:manualLayout>
              </c:layout>
              <c:showLegendKey val="0"/>
              <c:showVal val="1"/>
              <c:showCatName val="0"/>
              <c:showSerName val="0"/>
              <c:showPercent val="0"/>
              <c:showBubbleSize val="0"/>
            </c:dLbl>
            <c:dLbl>
              <c:idx val="15"/>
              <c:layout>
                <c:manualLayout>
                  <c:x val="6.332183137472025E-3"/>
                  <c:y val="-5.1567792750524021E-3"/>
                </c:manualLayout>
              </c:layout>
              <c:showLegendKey val="0"/>
              <c:showVal val="1"/>
              <c:showCatName val="0"/>
              <c:showSerName val="0"/>
              <c:showPercent val="0"/>
              <c:showBubbleSize val="0"/>
            </c:dLbl>
            <c:dLbl>
              <c:idx val="16"/>
              <c:layout>
                <c:manualLayout>
                  <c:x val="8.7998571785316542E-3"/>
                  <c:y val="-2.5497255194114481E-2"/>
                </c:manualLayout>
              </c:layout>
              <c:showLegendKey val="0"/>
              <c:showVal val="1"/>
              <c:showCatName val="0"/>
              <c:showSerName val="0"/>
              <c:showPercent val="0"/>
              <c:showBubbleSize val="0"/>
            </c:dLbl>
            <c:dLbl>
              <c:idx val="17"/>
              <c:layout>
                <c:manualLayout>
                  <c:x val="7.5015828748575628E-3"/>
                  <c:y val="-1.9807561547520676E-2"/>
                </c:manualLayout>
              </c:layout>
              <c:showLegendKey val="0"/>
              <c:showVal val="1"/>
              <c:showCatName val="0"/>
              <c:showSerName val="0"/>
              <c:showPercent val="0"/>
              <c:showBubbleSize val="0"/>
            </c:dLbl>
            <c:spPr>
              <a:noFill/>
              <a:ln w="25399">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Sheet1!$B$5:$S$5</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cat>
          <c:val>
            <c:numRef>
              <c:f>Sheet1!$B$6:$S$6</c:f>
              <c:numCache>
                <c:formatCode>General</c:formatCode>
                <c:ptCount val="18"/>
                <c:pt idx="0">
                  <c:v>3</c:v>
                </c:pt>
                <c:pt idx="1">
                  <c:v>8</c:v>
                </c:pt>
                <c:pt idx="2">
                  <c:v>8</c:v>
                </c:pt>
                <c:pt idx="3">
                  <c:v>3</c:v>
                </c:pt>
                <c:pt idx="4">
                  <c:v>3</c:v>
                </c:pt>
                <c:pt idx="5">
                  <c:v>2</c:v>
                </c:pt>
                <c:pt idx="6">
                  <c:v>3</c:v>
                </c:pt>
                <c:pt idx="7">
                  <c:v>7</c:v>
                </c:pt>
                <c:pt idx="8">
                  <c:v>10</c:v>
                </c:pt>
                <c:pt idx="9">
                  <c:v>21</c:v>
                </c:pt>
                <c:pt idx="10">
                  <c:v>19</c:v>
                </c:pt>
                <c:pt idx="11">
                  <c:v>46</c:v>
                </c:pt>
                <c:pt idx="12">
                  <c:v>125</c:v>
                </c:pt>
                <c:pt idx="13">
                  <c:v>172</c:v>
                </c:pt>
                <c:pt idx="14">
                  <c:v>165</c:v>
                </c:pt>
                <c:pt idx="15">
                  <c:v>136</c:v>
                </c:pt>
                <c:pt idx="16">
                  <c:v>113</c:v>
                </c:pt>
                <c:pt idx="17">
                  <c:v>85</c:v>
                </c:pt>
              </c:numCache>
            </c:numRef>
          </c:val>
        </c:ser>
        <c:dLbls>
          <c:showLegendKey val="0"/>
          <c:showVal val="1"/>
          <c:showCatName val="0"/>
          <c:showSerName val="0"/>
          <c:showPercent val="0"/>
          <c:showBubbleSize val="0"/>
        </c:dLbls>
        <c:gapWidth val="150"/>
        <c:shape val="box"/>
        <c:axId val="23739392"/>
        <c:axId val="23775104"/>
        <c:axId val="0"/>
      </c:bar3DChart>
      <c:catAx>
        <c:axId val="2373939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23775104"/>
        <c:crosses val="autoZero"/>
        <c:auto val="1"/>
        <c:lblAlgn val="ctr"/>
        <c:lblOffset val="100"/>
        <c:tickLblSkip val="1"/>
        <c:tickMarkSkip val="1"/>
        <c:noMultiLvlLbl val="0"/>
      </c:catAx>
      <c:valAx>
        <c:axId val="23775104"/>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23739392"/>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2"/>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1.9027484143763214E-2"/>
          <c:y val="4.2857142857142858E-2"/>
          <c:w val="0.95983086680761098"/>
          <c:h val="0.79523809523809519"/>
        </c:manualLayout>
      </c:layout>
      <c:bar3DChart>
        <c:barDir val="col"/>
        <c:grouping val="clustered"/>
        <c:varyColors val="0"/>
        <c:ser>
          <c:idx val="0"/>
          <c:order val="0"/>
          <c:tx>
            <c:strRef>
              <c:f>Sheet1!$A$3</c:f>
              <c:strCache>
                <c:ptCount val="1"/>
                <c:pt idx="0">
                  <c:v>Atvejai</c:v>
                </c:pt>
              </c:strCache>
            </c:strRef>
          </c:tx>
          <c:spPr>
            <a:pattFill prst="pct3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9514150031733211E-2"/>
                  <c:y val="-2.081248934792241E-2"/>
                </c:manualLayout>
              </c:layout>
              <c:showLegendKey val="0"/>
              <c:showVal val="1"/>
              <c:showCatName val="0"/>
              <c:showSerName val="0"/>
              <c:showPercent val="0"/>
              <c:showBubbleSize val="0"/>
            </c:dLbl>
            <c:dLbl>
              <c:idx val="1"/>
              <c:layout>
                <c:manualLayout>
                  <c:x val="2.419841742596773E-2"/>
                  <c:y val="-9.8217268296008926E-3"/>
                </c:manualLayout>
              </c:layout>
              <c:showLegendKey val="0"/>
              <c:showVal val="1"/>
              <c:showCatName val="0"/>
              <c:showSerName val="0"/>
              <c:showPercent val="0"/>
              <c:showBubbleSize val="0"/>
            </c:dLbl>
            <c:dLbl>
              <c:idx val="2"/>
              <c:layout>
                <c:manualLayout>
                  <c:x val="1.6376776783773448E-2"/>
                  <c:y val="-1.5035484200838485E-2"/>
                </c:manualLayout>
              </c:layout>
              <c:showLegendKey val="0"/>
              <c:showVal val="1"/>
              <c:showCatName val="0"/>
              <c:showSerName val="0"/>
              <c:showPercent val="0"/>
              <c:showBubbleSize val="0"/>
            </c:dLbl>
            <c:dLbl>
              <c:idx val="3"/>
              <c:layout>
                <c:manualLayout>
                  <c:x val="1.4897848220300748E-2"/>
                  <c:y val="-9.3698742202679344E-3"/>
                </c:manualLayout>
              </c:layout>
              <c:showLegendKey val="0"/>
              <c:showVal val="1"/>
              <c:showCatName val="0"/>
              <c:showSerName val="0"/>
              <c:showPercent val="0"/>
              <c:showBubbleSize val="0"/>
            </c:dLbl>
            <c:dLbl>
              <c:idx val="4"/>
              <c:layout>
                <c:manualLayout>
                  <c:x val="1.3418919656827996E-2"/>
                  <c:y val="-1.368040358591536E-2"/>
                </c:manualLayout>
              </c:layout>
              <c:showLegendKey val="0"/>
              <c:showVal val="1"/>
              <c:showCatName val="0"/>
              <c:showSerName val="0"/>
              <c:showPercent val="0"/>
              <c:showBubbleSize val="0"/>
            </c:dLbl>
            <c:dLbl>
              <c:idx val="5"/>
              <c:layout>
                <c:manualLayout>
                  <c:x val="1.1939991093355242E-2"/>
                  <c:y val="-8.01479360534481E-3"/>
                </c:manualLayout>
              </c:layout>
              <c:showLegendKey val="0"/>
              <c:showVal val="1"/>
              <c:showCatName val="0"/>
              <c:showSerName val="0"/>
              <c:showPercent val="0"/>
              <c:showBubbleSize val="0"/>
            </c:dLbl>
            <c:spPr>
              <a:noFill/>
              <a:ln w="25399">
                <a:noFill/>
              </a:ln>
            </c:spPr>
            <c:txPr>
              <a:bodyPr/>
              <a:lstStyle/>
              <a:p>
                <a:pPr>
                  <a:defRPr sz="8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Sheet1!$B$2:$G$2</c:f>
              <c:strCache>
                <c:ptCount val="6"/>
                <c:pt idx="0">
                  <c:v>F10</c:v>
                </c:pt>
                <c:pt idx="1">
                  <c:v>F11</c:v>
                </c:pt>
                <c:pt idx="2">
                  <c:v>F13</c:v>
                </c:pt>
                <c:pt idx="3">
                  <c:v>F15</c:v>
                </c:pt>
                <c:pt idx="4">
                  <c:v>F18</c:v>
                </c:pt>
                <c:pt idx="5">
                  <c:v>F19</c:v>
                </c:pt>
              </c:strCache>
            </c:strRef>
          </c:cat>
          <c:val>
            <c:numRef>
              <c:f>Sheet1!$B$3:$G$3</c:f>
              <c:numCache>
                <c:formatCode>General</c:formatCode>
                <c:ptCount val="6"/>
                <c:pt idx="0">
                  <c:v>63</c:v>
                </c:pt>
                <c:pt idx="1">
                  <c:v>3</c:v>
                </c:pt>
                <c:pt idx="2">
                  <c:v>2</c:v>
                </c:pt>
                <c:pt idx="3">
                  <c:v>4</c:v>
                </c:pt>
                <c:pt idx="4">
                  <c:v>5</c:v>
                </c:pt>
                <c:pt idx="5">
                  <c:v>7</c:v>
                </c:pt>
              </c:numCache>
            </c:numRef>
          </c:val>
        </c:ser>
        <c:dLbls>
          <c:showLegendKey val="0"/>
          <c:showVal val="1"/>
          <c:showCatName val="0"/>
          <c:showSerName val="0"/>
          <c:showPercent val="0"/>
          <c:showBubbleSize val="0"/>
        </c:dLbls>
        <c:gapWidth val="150"/>
        <c:shape val="box"/>
        <c:axId val="23843584"/>
        <c:axId val="23846272"/>
        <c:axId val="0"/>
      </c:bar3DChart>
      <c:catAx>
        <c:axId val="23843584"/>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50" b="0" i="0" u="none" strike="noStrike" baseline="0">
                <a:solidFill>
                  <a:srgbClr val="000000"/>
                </a:solidFill>
                <a:latin typeface="Arial"/>
                <a:ea typeface="Arial"/>
                <a:cs typeface="Arial"/>
              </a:defRPr>
            </a:pPr>
            <a:endParaRPr lang="lt-LT"/>
          </a:p>
        </c:txPr>
        <c:crossAx val="23846272"/>
        <c:crosses val="autoZero"/>
        <c:auto val="1"/>
        <c:lblAlgn val="ctr"/>
        <c:lblOffset val="100"/>
        <c:tickLblSkip val="1"/>
        <c:tickMarkSkip val="1"/>
        <c:noMultiLvlLbl val="0"/>
      </c:catAx>
      <c:valAx>
        <c:axId val="23846272"/>
        <c:scaling>
          <c:orientation val="minMax"/>
        </c:scaling>
        <c:delete val="1"/>
        <c:axPos val="l"/>
        <c:majorGridlines>
          <c:spPr>
            <a:ln w="3175">
              <a:solidFill>
                <a:srgbClr val="000000"/>
              </a:solidFill>
              <a:prstDash val="solid"/>
            </a:ln>
          </c:spPr>
        </c:majorGridlines>
        <c:numFmt formatCode="General" sourceLinked="1"/>
        <c:majorTickMark val="out"/>
        <c:minorTickMark val="none"/>
        <c:tickLblPos val="nextTo"/>
        <c:crossAx val="23843584"/>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850" b="0" i="0" u="none" strike="noStrike" baseline="0">
          <a:solidFill>
            <a:srgbClr val="000000"/>
          </a:solidFill>
          <a:latin typeface="Arial"/>
          <a:ea typeface="Arial"/>
          <a:cs typeface="Arial"/>
        </a:defRPr>
      </a:pPr>
      <a:endParaRPr lang="lt-LT"/>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13468634686346864"/>
          <c:y val="0.13360323886639677"/>
          <c:w val="0.74169741697416969"/>
          <c:h val="0.64777327935222673"/>
        </c:manualLayout>
      </c:layout>
      <c:pie3DChart>
        <c:varyColors val="1"/>
        <c:ser>
          <c:idx val="0"/>
          <c:order val="0"/>
          <c:tx>
            <c:strRef>
              <c:f>Sheet1!$A$4</c:f>
              <c:strCache>
                <c:ptCount val="1"/>
                <c:pt idx="0">
                  <c:v>Atvejai</c:v>
                </c:pt>
              </c:strCache>
            </c:strRef>
          </c:tx>
          <c:spPr>
            <a:solidFill>
              <a:srgbClr val="9999FF"/>
            </a:solidFill>
            <a:ln w="12700">
              <a:solidFill>
                <a:srgbClr val="000000"/>
              </a:solidFill>
              <a:prstDash val="solid"/>
            </a:ln>
          </c:spPr>
          <c:explosion val="25"/>
          <c:dPt>
            <c:idx val="0"/>
            <c:bubble3D val="0"/>
            <c:spPr>
              <a:pattFill prst="pct2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Pt>
            <c:idx val="1"/>
            <c:bubble3D val="0"/>
            <c:spPr>
              <a:pattFill prst="pct7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dPt>
          <c:dLbls>
            <c:numFmt formatCode="0%" sourceLinked="0"/>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0"/>
            <c:showCatName val="0"/>
            <c:showSerName val="0"/>
            <c:showPercent val="1"/>
            <c:showBubbleSize val="0"/>
            <c:showLeaderLines val="1"/>
          </c:dLbls>
          <c:cat>
            <c:strRef>
              <c:f>Sheet1!$B$3:$C$3</c:f>
              <c:strCache>
                <c:ptCount val="2"/>
                <c:pt idx="0">
                  <c:v>Berniukai</c:v>
                </c:pt>
                <c:pt idx="1">
                  <c:v>Mergaitės</c:v>
                </c:pt>
              </c:strCache>
            </c:strRef>
          </c:cat>
          <c:val>
            <c:numRef>
              <c:f>Sheet1!$B$4:$C$4</c:f>
              <c:numCache>
                <c:formatCode>General</c:formatCode>
                <c:ptCount val="2"/>
                <c:pt idx="0">
                  <c:v>56</c:v>
                </c:pt>
                <c:pt idx="1">
                  <c:v>28</c:v>
                </c:pt>
              </c:numCache>
            </c:numRef>
          </c:val>
        </c:ser>
        <c:dLbls>
          <c:showLegendKey val="0"/>
          <c:showVal val="0"/>
          <c:showCatName val="0"/>
          <c:showSerName val="0"/>
          <c:showPercent val="1"/>
          <c:showBubbleSize val="0"/>
          <c:showLeaderLines val="1"/>
        </c:dLbls>
      </c:pie3DChart>
      <c:spPr>
        <a:noFill/>
        <a:ln w="25399">
          <a:noFill/>
        </a:ln>
      </c:spPr>
    </c:plotArea>
    <c:legend>
      <c:legendPos val="b"/>
      <c:layout>
        <c:manualLayout>
          <c:xMode val="edge"/>
          <c:yMode val="edge"/>
          <c:x val="0.36162361623616235"/>
          <c:y val="0.89068825910931171"/>
          <c:w val="0.2767527675276753"/>
          <c:h val="9.7165991902834009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lt-LT"/>
        </a:p>
      </c:txPr>
    </c:legend>
    <c:plotVisOnly val="1"/>
    <c:dispBlanksAs val="zero"/>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3"/>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5.5350553505535055E-2"/>
          <c:y val="3.643724696356275E-2"/>
          <c:w val="0.92619926199261993"/>
          <c:h val="0.71255060728744934"/>
        </c:manualLayout>
      </c:layout>
      <c:bar3DChart>
        <c:barDir val="col"/>
        <c:grouping val="clustered"/>
        <c:varyColors val="0"/>
        <c:ser>
          <c:idx val="0"/>
          <c:order val="0"/>
          <c:tx>
            <c:strRef>
              <c:f>Sheet1!$A$6</c:f>
              <c:strCache>
                <c:ptCount val="1"/>
                <c:pt idx="0">
                  <c:v>Atvejai</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4361835145225805E-2"/>
                  <c:y val="5.4639683059671531E-3"/>
                </c:manualLayout>
              </c:layout>
              <c:showLegendKey val="0"/>
              <c:showVal val="1"/>
              <c:showCatName val="0"/>
              <c:showSerName val="0"/>
              <c:showPercent val="0"/>
              <c:showBubbleSize val="0"/>
            </c:dLbl>
            <c:dLbl>
              <c:idx val="1"/>
              <c:layout>
                <c:manualLayout>
                  <c:x val="1.5836486968087746E-2"/>
                  <c:y val="1.4153853100156981E-3"/>
                </c:manualLayout>
              </c:layout>
              <c:showLegendKey val="0"/>
              <c:showVal val="1"/>
              <c:showCatName val="0"/>
              <c:showSerName val="0"/>
              <c:showPercent val="0"/>
              <c:showBubbleSize val="0"/>
            </c:dLbl>
            <c:dLbl>
              <c:idx val="2"/>
              <c:layout>
                <c:manualLayout>
                  <c:x val="1.3620911696963603E-2"/>
                  <c:y val="-1.1594802323491476E-2"/>
                </c:manualLayout>
              </c:layout>
              <c:showLegendKey val="0"/>
              <c:showVal val="1"/>
              <c:showCatName val="0"/>
              <c:showSerName val="0"/>
              <c:showPercent val="0"/>
              <c:showBubbleSize val="0"/>
            </c:dLbl>
            <c:dLbl>
              <c:idx val="3"/>
              <c:layout>
                <c:manualLayout>
                  <c:x val="1.3250354876023936E-2"/>
                  <c:y val="-7.546219327540021E-3"/>
                </c:manualLayout>
              </c:layout>
              <c:showLegendKey val="0"/>
              <c:showVal val="1"/>
              <c:showCatName val="0"/>
              <c:showSerName val="0"/>
              <c:showPercent val="0"/>
              <c:showBubbleSize val="0"/>
            </c:dLbl>
            <c:dLbl>
              <c:idx val="4"/>
              <c:layout>
                <c:manualLayout>
                  <c:x val="1.5904737000125849E-2"/>
                  <c:y val="-8.4110664824406239E-3"/>
                </c:manualLayout>
              </c:layout>
              <c:showLegendKey val="0"/>
              <c:showVal val="1"/>
              <c:showCatName val="0"/>
              <c:showSerName val="0"/>
              <c:showPercent val="0"/>
              <c:showBubbleSize val="0"/>
            </c:dLbl>
            <c:dLbl>
              <c:idx val="5"/>
              <c:layout>
                <c:manualLayout>
                  <c:x val="9.9991248286326953E-3"/>
                  <c:y val="-2.2867881287047243E-2"/>
                </c:manualLayout>
              </c:layout>
              <c:showLegendKey val="0"/>
              <c:showVal val="1"/>
              <c:showCatName val="0"/>
              <c:showSerName val="0"/>
              <c:showPercent val="0"/>
              <c:showBubbleSize val="0"/>
            </c:dLbl>
            <c:dLbl>
              <c:idx val="6"/>
              <c:layout>
                <c:manualLayout>
                  <c:x val="1.1473586457877561E-2"/>
                  <c:y val="-1.5635562450044965E-2"/>
                </c:manualLayout>
              </c:layout>
              <c:showLegendKey val="0"/>
              <c:showVal val="1"/>
              <c:showCatName val="0"/>
              <c:showSerName val="0"/>
              <c:showPercent val="0"/>
              <c:showBubbleSize val="0"/>
            </c:dLbl>
            <c:dLbl>
              <c:idx val="7"/>
              <c:layout>
                <c:manualLayout>
                  <c:x val="9.2580111867533628E-3"/>
                  <c:y val="-5.8008792789431369E-3"/>
                </c:manualLayout>
              </c:layout>
              <c:showLegendKey val="0"/>
              <c:showVal val="1"/>
              <c:showCatName val="0"/>
              <c:showSerName val="0"/>
              <c:showPercent val="0"/>
              <c:showBubbleSize val="0"/>
            </c:dLbl>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Sheet1!$B$5:$I$5</c:f>
              <c:numCache>
                <c:formatCode>General</c:formatCode>
                <c:ptCount val="8"/>
                <c:pt idx="0">
                  <c:v>3</c:v>
                </c:pt>
                <c:pt idx="1">
                  <c:v>9</c:v>
                </c:pt>
                <c:pt idx="2">
                  <c:v>13</c:v>
                </c:pt>
                <c:pt idx="3">
                  <c:v>14</c:v>
                </c:pt>
                <c:pt idx="4">
                  <c:v>15</c:v>
                </c:pt>
                <c:pt idx="5">
                  <c:v>16</c:v>
                </c:pt>
                <c:pt idx="6">
                  <c:v>17</c:v>
                </c:pt>
                <c:pt idx="7">
                  <c:v>18</c:v>
                </c:pt>
              </c:numCache>
            </c:numRef>
          </c:cat>
          <c:val>
            <c:numRef>
              <c:f>Sheet1!$B$6:$I$6</c:f>
              <c:numCache>
                <c:formatCode>General</c:formatCode>
                <c:ptCount val="8"/>
                <c:pt idx="0">
                  <c:v>1</c:v>
                </c:pt>
                <c:pt idx="1">
                  <c:v>1</c:v>
                </c:pt>
                <c:pt idx="2">
                  <c:v>6</c:v>
                </c:pt>
                <c:pt idx="3">
                  <c:v>6</c:v>
                </c:pt>
                <c:pt idx="4">
                  <c:v>11</c:v>
                </c:pt>
                <c:pt idx="5">
                  <c:v>15</c:v>
                </c:pt>
                <c:pt idx="6">
                  <c:v>20</c:v>
                </c:pt>
                <c:pt idx="7">
                  <c:v>24</c:v>
                </c:pt>
              </c:numCache>
            </c:numRef>
          </c:val>
        </c:ser>
        <c:dLbls>
          <c:showLegendKey val="0"/>
          <c:showVal val="1"/>
          <c:showCatName val="0"/>
          <c:showSerName val="0"/>
          <c:showPercent val="0"/>
          <c:showBubbleSize val="0"/>
        </c:dLbls>
        <c:gapWidth val="150"/>
        <c:shape val="box"/>
        <c:axId val="23947136"/>
        <c:axId val="23958656"/>
        <c:axId val="0"/>
      </c:bar3DChart>
      <c:catAx>
        <c:axId val="23947136"/>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lt-LT"/>
                  <a:t>Amžius metais</a:t>
                </a:r>
              </a:p>
            </c:rich>
          </c:tx>
          <c:layout>
            <c:manualLayout>
              <c:xMode val="edge"/>
              <c:yMode val="edge"/>
              <c:x val="0.41697416974169743"/>
              <c:y val="0.85425101214574894"/>
            </c:manualLayout>
          </c:layout>
          <c:overlay val="0"/>
          <c:spPr>
            <a:noFill/>
            <a:ln w="25399">
              <a:noFill/>
            </a:ln>
          </c:spPr>
        </c:title>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3958656"/>
        <c:crosses val="autoZero"/>
        <c:auto val="1"/>
        <c:lblAlgn val="ctr"/>
        <c:lblOffset val="100"/>
        <c:tickLblSkip val="1"/>
        <c:tickMarkSkip val="1"/>
        <c:noMultiLvlLbl val="0"/>
      </c:catAx>
      <c:valAx>
        <c:axId val="2395865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3947136"/>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613293051359523E-2"/>
          <c:y val="4.8000000000000001E-2"/>
          <c:w val="0.91389728096676737"/>
          <c:h val="0.76"/>
        </c:manualLayout>
      </c:layout>
      <c:barChart>
        <c:barDir val="col"/>
        <c:grouping val="clustered"/>
        <c:varyColors val="0"/>
        <c:ser>
          <c:idx val="2"/>
          <c:order val="0"/>
          <c:tx>
            <c:strRef>
              <c:f>Sheet1!$A$2</c:f>
              <c:strCache>
                <c:ptCount val="1"/>
                <c:pt idx="0">
                  <c:v>Lietuvoje (2008 m.)</c:v>
                </c:pt>
              </c:strCache>
            </c:strRef>
          </c:tx>
          <c:spPr>
            <a:solidFill>
              <a:srgbClr val="339966"/>
            </a:solidFill>
            <a:ln w="12700">
              <a:solidFill>
                <a:srgbClr val="000000"/>
              </a:solidFill>
              <a:prstDash val="solid"/>
            </a:ln>
          </c:spPr>
          <c:invertIfNegative val="0"/>
          <c:dLbls>
            <c:dLbl>
              <c:idx val="0"/>
              <c:layout>
                <c:manualLayout>
                  <c:x val="4.7411232772640475E-3"/>
                  <c:y val="-8.9792045225116288E-3"/>
                </c:manualLayout>
              </c:layout>
              <c:dLblPos val="outEnd"/>
              <c:showLegendKey val="0"/>
              <c:showVal val="1"/>
              <c:showCatName val="0"/>
              <c:showSerName val="0"/>
              <c:showPercent val="0"/>
              <c:showBubbleSize val="0"/>
            </c:dLbl>
            <c:dLbl>
              <c:idx val="1"/>
              <c:layout>
                <c:manualLayout>
                  <c:x val="4.3633905656052865E-3"/>
                  <c:y val="-1.953926912982026E-2"/>
                </c:manualLayout>
              </c:layout>
              <c:dLblPos val="outEnd"/>
              <c:showLegendKey val="0"/>
              <c:showVal val="1"/>
              <c:showCatName val="0"/>
              <c:showSerName val="0"/>
              <c:showPercent val="0"/>
              <c:showBubbleSize val="0"/>
            </c:dLbl>
            <c:dLbl>
              <c:idx val="2"/>
              <c:layout>
                <c:manualLayout>
                  <c:x val="3.9858140844176888E-3"/>
                  <c:y val="-2.4339188370684401E-2"/>
                </c:manualLayout>
              </c:layout>
              <c:dLblPos val="outEnd"/>
              <c:showLegendKey val="0"/>
              <c:showVal val="1"/>
              <c:showCatName val="0"/>
              <c:showSerName val="0"/>
              <c:showPercent val="0"/>
              <c:showBubbleSize val="0"/>
            </c:dLbl>
            <c:dLbl>
              <c:idx val="3"/>
              <c:layout>
                <c:manualLayout>
                  <c:x val="-3.5111939368606877E-3"/>
                  <c:y val="-1.4419139915202907E-2"/>
                </c:manualLayout>
              </c:layout>
              <c:dLblPos val="outEnd"/>
              <c:showLegendKey val="0"/>
              <c:showVal val="1"/>
              <c:showCatName val="0"/>
              <c:showSerName val="0"/>
              <c:showPercent val="0"/>
              <c:showBubbleSize val="0"/>
            </c:dLbl>
            <c:dLbl>
              <c:idx val="4"/>
              <c:layout>
                <c:manualLayout>
                  <c:xMode val="edge"/>
                  <c:yMode val="edge"/>
                  <c:x val="0.86253776435045315"/>
                  <c:y val="0.35199999999999998"/>
                </c:manualLayout>
              </c:layout>
              <c:dLblPos val="outEnd"/>
              <c:showLegendKey val="0"/>
              <c:showVal val="1"/>
              <c:showCatName val="0"/>
              <c:showSerName val="0"/>
              <c:showPercent val="0"/>
              <c:showBubbleSize val="0"/>
            </c:dLbl>
            <c:dLbl>
              <c:idx val="5"/>
              <c:layout>
                <c:manualLayout>
                  <c:xMode val="edge"/>
                  <c:yMode val="edge"/>
                  <c:x val="0.89425981873111782"/>
                  <c:y val="0.432"/>
                </c:manualLayout>
              </c:layout>
              <c:spPr>
                <a:noFill/>
                <a:ln w="25400">
                  <a:noFill/>
                </a:ln>
              </c:spPr>
              <c:txPr>
                <a:bodyPr/>
                <a:lstStyle/>
                <a:p>
                  <a:pPr>
                    <a:defRPr sz="500" b="1" i="0" u="none" strike="noStrike" baseline="0">
                      <a:solidFill>
                        <a:srgbClr val="000000"/>
                      </a:solidFill>
                      <a:latin typeface="Arial"/>
                      <a:ea typeface="Arial"/>
                      <a:cs typeface="Arial"/>
                    </a:defRPr>
                  </a:pPr>
                  <a:endParaRPr lang="lt-LT"/>
                </a:p>
              </c:txPr>
              <c:dLblPos val="outEnd"/>
              <c:showLegendKey val="0"/>
              <c:showVal val="1"/>
              <c:showCatName val="0"/>
              <c:showSerName val="0"/>
              <c:showPercent val="0"/>
              <c:showBubbleSize val="0"/>
            </c:dLbl>
            <c:dLbl>
              <c:idx val="6"/>
              <c:spPr>
                <a:noFill/>
                <a:ln w="25400">
                  <a:noFill/>
                </a:ln>
              </c:spPr>
              <c:txPr>
                <a:bodyPr/>
                <a:lstStyle/>
                <a:p>
                  <a:pPr>
                    <a:defRPr sz="500" b="1" i="0" u="none" strike="noStrike" baseline="0">
                      <a:solidFill>
                        <a:srgbClr val="000000"/>
                      </a:solidFill>
                      <a:latin typeface="Arial"/>
                      <a:ea typeface="Arial"/>
                      <a:cs typeface="Arial"/>
                    </a:defRPr>
                  </a:pPr>
                  <a:endParaRPr lang="lt-LT"/>
                </a:p>
              </c:txPr>
              <c:dLblPos val="outEnd"/>
              <c:showLegendKey val="0"/>
              <c:showVal val="1"/>
              <c:showCatName val="0"/>
              <c:showSerName val="0"/>
              <c:showPercent val="0"/>
              <c:showBubbleSize val="0"/>
            </c:dLbl>
            <c:spPr>
              <a:noFill/>
              <a:ln w="25400">
                <a:noFill/>
              </a:ln>
            </c:spPr>
            <c:txPr>
              <a:bodyPr/>
              <a:lstStyle/>
              <a:p>
                <a:pPr>
                  <a:defRPr sz="9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Sheet1!$B$1:$E$1</c:f>
              <c:strCache>
                <c:ptCount val="4"/>
                <c:pt idx="0">
                  <c:v>Kokainas</c:v>
                </c:pt>
                <c:pt idx="1">
                  <c:v>Amfetaminai</c:v>
                </c:pt>
                <c:pt idx="2">
                  <c:v>Ekstazi</c:v>
                </c:pt>
                <c:pt idx="3">
                  <c:v>Kanapės</c:v>
                </c:pt>
              </c:strCache>
            </c:strRef>
          </c:cat>
          <c:val>
            <c:numRef>
              <c:f>Sheet1!$B$2:$E$2</c:f>
              <c:numCache>
                <c:formatCode>General</c:formatCode>
                <c:ptCount val="4"/>
                <c:pt idx="0">
                  <c:v>0.5</c:v>
                </c:pt>
                <c:pt idx="1">
                  <c:v>1.6</c:v>
                </c:pt>
                <c:pt idx="2">
                  <c:v>2.1</c:v>
                </c:pt>
                <c:pt idx="3">
                  <c:v>11.9</c:v>
                </c:pt>
              </c:numCache>
            </c:numRef>
          </c:val>
        </c:ser>
        <c:ser>
          <c:idx val="3"/>
          <c:order val="1"/>
          <c:tx>
            <c:strRef>
              <c:f>Sheet1!$A$3</c:f>
              <c:strCache>
                <c:ptCount val="1"/>
                <c:pt idx="0">
                  <c:v>ES šalyse (2001-2007 m.)</c:v>
                </c:pt>
              </c:strCache>
            </c:strRef>
          </c:tx>
          <c:spPr>
            <a:pattFill prst="ltUpDiag">
              <a:fgClr>
                <a:srgbClr xmlns:mc="http://schemas.openxmlformats.org/markup-compatibility/2006" xmlns:a14="http://schemas.microsoft.com/office/drawing/2010/main" val="3366FF" mc:Ignorable="a14" a14:legacySpreadsheetColorIndex="4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1"/>
              <c:layout>
                <c:manualLayout>
                  <c:x val="8.5713926997796341E-3"/>
                  <c:y val="-1.5859479103573583E-2"/>
                </c:manualLayout>
              </c:layout>
              <c:dLblPos val="outEnd"/>
              <c:showLegendKey val="0"/>
              <c:showVal val="1"/>
              <c:showCatName val="0"/>
              <c:showSerName val="0"/>
              <c:showPercent val="0"/>
              <c:showBubbleSize val="0"/>
            </c:dLbl>
            <c:dLbl>
              <c:idx val="5"/>
              <c:spPr>
                <a:noFill/>
                <a:ln w="25400">
                  <a:noFill/>
                </a:ln>
              </c:spPr>
              <c:txPr>
                <a:bodyPr/>
                <a:lstStyle/>
                <a:p>
                  <a:pPr>
                    <a:defRPr sz="500" b="1" i="0" u="none" strike="noStrike" baseline="0">
                      <a:solidFill>
                        <a:srgbClr val="000080"/>
                      </a:solidFill>
                      <a:latin typeface="Arial"/>
                      <a:ea typeface="Arial"/>
                      <a:cs typeface="Arial"/>
                    </a:defRPr>
                  </a:pPr>
                  <a:endParaRPr lang="lt-LT"/>
                </a:p>
              </c:txPr>
              <c:dLblPos val="outEnd"/>
              <c:showLegendKey val="0"/>
              <c:showVal val="1"/>
              <c:showCatName val="0"/>
              <c:showSerName val="0"/>
              <c:showPercent val="0"/>
              <c:showBubbleSize val="0"/>
            </c:dLbl>
            <c:spPr>
              <a:noFill/>
              <a:ln w="25400">
                <a:noFill/>
              </a:ln>
            </c:spPr>
            <c:txPr>
              <a:bodyPr/>
              <a:lstStyle/>
              <a:p>
                <a:pPr>
                  <a:defRPr sz="900" b="1" i="0" u="none" strike="noStrike" baseline="0">
                    <a:solidFill>
                      <a:srgbClr val="000080"/>
                    </a:solidFill>
                    <a:latin typeface="Arial"/>
                    <a:ea typeface="Arial"/>
                    <a:cs typeface="Arial"/>
                  </a:defRPr>
                </a:pPr>
                <a:endParaRPr lang="lt-LT"/>
              </a:p>
            </c:txPr>
            <c:showLegendKey val="0"/>
            <c:showVal val="1"/>
            <c:showCatName val="0"/>
            <c:showSerName val="0"/>
            <c:showPercent val="0"/>
            <c:showBubbleSize val="0"/>
            <c:showLeaderLines val="0"/>
          </c:dLbls>
          <c:cat>
            <c:strRef>
              <c:f>Sheet1!$B$1:$E$1</c:f>
              <c:strCache>
                <c:ptCount val="4"/>
                <c:pt idx="0">
                  <c:v>Kokainas</c:v>
                </c:pt>
                <c:pt idx="1">
                  <c:v>Amfetaminai</c:v>
                </c:pt>
                <c:pt idx="2">
                  <c:v>Ekstazi</c:v>
                </c:pt>
                <c:pt idx="3">
                  <c:v>Kanapės</c:v>
                </c:pt>
              </c:strCache>
            </c:strRef>
          </c:cat>
          <c:val>
            <c:numRef>
              <c:f>Sheet1!$B$3:$E$3</c:f>
              <c:numCache>
                <c:formatCode>General</c:formatCode>
                <c:ptCount val="4"/>
                <c:pt idx="0">
                  <c:v>3.6</c:v>
                </c:pt>
                <c:pt idx="1">
                  <c:v>3.3</c:v>
                </c:pt>
                <c:pt idx="2">
                  <c:v>2.8</c:v>
                </c:pt>
                <c:pt idx="3">
                  <c:v>21.8</c:v>
                </c:pt>
              </c:numCache>
            </c:numRef>
          </c:val>
        </c:ser>
        <c:dLbls>
          <c:showLegendKey val="0"/>
          <c:showVal val="1"/>
          <c:showCatName val="0"/>
          <c:showSerName val="0"/>
          <c:showPercent val="0"/>
          <c:showBubbleSize val="0"/>
        </c:dLbls>
        <c:gapWidth val="150"/>
        <c:axId val="24013824"/>
        <c:axId val="24023808"/>
      </c:barChart>
      <c:catAx>
        <c:axId val="2401382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Arial"/>
                <a:ea typeface="Arial"/>
                <a:cs typeface="Arial"/>
              </a:defRPr>
            </a:pPr>
            <a:endParaRPr lang="lt-LT"/>
          </a:p>
        </c:txPr>
        <c:crossAx val="24023808"/>
        <c:crosses val="autoZero"/>
        <c:auto val="1"/>
        <c:lblAlgn val="ctr"/>
        <c:lblOffset val="100"/>
        <c:tickLblSkip val="1"/>
        <c:tickMarkSkip val="1"/>
        <c:noMultiLvlLbl val="0"/>
      </c:catAx>
      <c:valAx>
        <c:axId val="24023808"/>
        <c:scaling>
          <c:orientation val="minMax"/>
          <c:min val="0"/>
        </c:scaling>
        <c:delete val="0"/>
        <c:axPos val="l"/>
        <c:title>
          <c:tx>
            <c:rich>
              <a:bodyPr/>
              <a:lstStyle/>
              <a:p>
                <a:pPr>
                  <a:defRPr sz="800" b="1" i="0" u="none" strike="noStrike" baseline="0">
                    <a:solidFill>
                      <a:srgbClr val="000000"/>
                    </a:solidFill>
                    <a:latin typeface="Arial"/>
                    <a:ea typeface="Arial"/>
                    <a:cs typeface="Arial"/>
                  </a:defRPr>
                </a:pPr>
                <a:r>
                  <a:rPr lang="lt-LT"/>
                  <a:t>proc.</a:t>
                </a:r>
              </a:p>
            </c:rich>
          </c:tx>
          <c:layout>
            <c:manualLayout>
              <c:xMode val="edge"/>
              <c:yMode val="edge"/>
              <c:x val="1.5105740181268883E-2"/>
              <c:y val="0.3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Arial"/>
                <a:ea typeface="Arial"/>
                <a:cs typeface="Arial"/>
              </a:defRPr>
            </a:pPr>
            <a:endParaRPr lang="lt-LT"/>
          </a:p>
        </c:txPr>
        <c:crossAx val="24013824"/>
        <c:crosses val="autoZero"/>
        <c:crossBetween val="between"/>
        <c:majorUnit val="5"/>
        <c:minorUnit val="1"/>
      </c:valAx>
      <c:spPr>
        <a:noFill/>
        <a:ln w="25400">
          <a:noFill/>
        </a:ln>
      </c:spPr>
    </c:plotArea>
    <c:legend>
      <c:legendPos val="r"/>
      <c:layout>
        <c:manualLayout>
          <c:xMode val="edge"/>
          <c:yMode val="edge"/>
          <c:x val="0.12839879154078551"/>
          <c:y val="4.3999999999999997E-2"/>
          <c:w val="0.30362537764350456"/>
          <c:h val="0.192"/>
        </c:manualLayout>
      </c:layout>
      <c:overlay val="0"/>
      <c:spPr>
        <a:noFill/>
        <a:ln w="25400">
          <a:noFill/>
        </a:ln>
      </c:spPr>
      <c:txPr>
        <a:bodyPr/>
        <a:lstStyle/>
        <a:p>
          <a:pPr>
            <a:defRPr sz="920" b="1"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lt-LT"/>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044374009508717"/>
          <c:y val="0.12121212121212122"/>
          <c:w val="0.80348652931854203"/>
          <c:h val="0.72348484848484851"/>
        </c:manualLayout>
      </c:layout>
      <c:barChart>
        <c:barDir val="col"/>
        <c:grouping val="clustered"/>
        <c:varyColors val="0"/>
        <c:ser>
          <c:idx val="1"/>
          <c:order val="0"/>
          <c:tx>
            <c:v>registruotų asmenų skaičius</c:v>
          </c:tx>
          <c:spPr>
            <a:solidFill>
              <a:srgbClr val="FFCC00"/>
            </a:solidFill>
            <a:ln w="12699">
              <a:solidFill>
                <a:srgbClr val="000000"/>
              </a:solidFill>
              <a:prstDash val="solid"/>
            </a:ln>
          </c:spPr>
          <c:invertIfNegative val="0"/>
          <c:dLbls>
            <c:dLbl>
              <c:idx val="0"/>
              <c:layout>
                <c:manualLayout>
                  <c:x val="1.8963777780680818E-3"/>
                  <c:y val="-2.0385967845591886E-3"/>
                </c:manualLayout>
              </c:layout>
              <c:dLblPos val="outEnd"/>
              <c:showLegendKey val="0"/>
              <c:showVal val="1"/>
              <c:showCatName val="0"/>
              <c:showSerName val="0"/>
              <c:showPercent val="0"/>
              <c:showBubbleSize val="0"/>
            </c:dLbl>
            <c:dLbl>
              <c:idx val="1"/>
              <c:layout>
                <c:manualLayout>
                  <c:x val="2.8869323633770897E-3"/>
                  <c:y val="-5.0850797764413515E-3"/>
                </c:manualLayout>
              </c:layout>
              <c:dLblPos val="outEnd"/>
              <c:showLegendKey val="0"/>
              <c:showVal val="1"/>
              <c:showCatName val="0"/>
              <c:showSerName val="0"/>
              <c:showPercent val="0"/>
              <c:showBubbleSize val="0"/>
            </c:dLbl>
            <c:dLbl>
              <c:idx val="3"/>
              <c:layout>
                <c:manualLayout>
                  <c:x val="1.1351958626806141E-4"/>
                  <c:y val="6.1323534790400621E-3"/>
                </c:manualLayout>
              </c:layout>
              <c:dLblPos val="outEnd"/>
              <c:showLegendKey val="0"/>
              <c:showVal val="1"/>
              <c:showCatName val="0"/>
              <c:showSerName val="0"/>
              <c:showPercent val="0"/>
              <c:showBubbleSize val="0"/>
            </c:dLbl>
            <c:dLbl>
              <c:idx val="5"/>
              <c:layout>
                <c:manualLayout>
                  <c:x val="2.0944649708071863E-3"/>
                  <c:y val="6.473212497409276E-3"/>
                </c:manualLayout>
              </c:layout>
              <c:dLblPos val="outEnd"/>
              <c:showLegendKey val="0"/>
              <c:showVal val="1"/>
              <c:showCatName val="0"/>
              <c:showSerName val="0"/>
              <c:showPercent val="0"/>
              <c:showBubbleSize val="0"/>
            </c:dLbl>
            <c:spPr>
              <a:noFill/>
              <a:ln w="25399">
                <a:noFill/>
              </a:ln>
            </c:spPr>
            <c:txPr>
              <a:bodyPr/>
              <a:lstStyle/>
              <a:p>
                <a:pPr>
                  <a:defRPr sz="1000" b="1" i="0" u="none" strike="noStrike" baseline="0">
                    <a:solidFill>
                      <a:srgbClr val="FF0000"/>
                    </a:solidFill>
                    <a:latin typeface="Arial"/>
                    <a:ea typeface="Arial"/>
                    <a:cs typeface="Arial"/>
                  </a:defRPr>
                </a:pPr>
                <a:endParaRPr lang="lt-LT"/>
              </a:p>
            </c:txPr>
            <c:showLegendKey val="0"/>
            <c:showVal val="1"/>
            <c:showCatName val="0"/>
            <c:showSerName val="0"/>
            <c:showPercent val="0"/>
            <c:showBubbleSize val="0"/>
            <c:showLeaderLines val="0"/>
          </c:dLbls>
          <c:cat>
            <c:numRef>
              <c:f>Sheet5!$A$5:$A$12</c:f>
              <c:numCache>
                <c:formatCode>General</c:formatCode>
                <c:ptCount val="8"/>
                <c:pt idx="0">
                  <c:v>2000</c:v>
                </c:pt>
                <c:pt idx="1">
                  <c:v>2001</c:v>
                </c:pt>
                <c:pt idx="2">
                  <c:v>2002</c:v>
                </c:pt>
                <c:pt idx="3">
                  <c:v>2003</c:v>
                </c:pt>
                <c:pt idx="4">
                  <c:v>2004</c:v>
                </c:pt>
                <c:pt idx="5">
                  <c:v>2005</c:v>
                </c:pt>
                <c:pt idx="6">
                  <c:v>2006</c:v>
                </c:pt>
                <c:pt idx="7">
                  <c:v>2007</c:v>
                </c:pt>
              </c:numCache>
            </c:numRef>
          </c:cat>
          <c:val>
            <c:numRef>
              <c:f>Sheet5!$C$5:$C$12</c:f>
              <c:numCache>
                <c:formatCode>General</c:formatCode>
                <c:ptCount val="8"/>
                <c:pt idx="0">
                  <c:v>546</c:v>
                </c:pt>
                <c:pt idx="1">
                  <c:v>653</c:v>
                </c:pt>
                <c:pt idx="2">
                  <c:v>471</c:v>
                </c:pt>
                <c:pt idx="3">
                  <c:v>356</c:v>
                </c:pt>
                <c:pt idx="4">
                  <c:v>424</c:v>
                </c:pt>
                <c:pt idx="5">
                  <c:v>349</c:v>
                </c:pt>
                <c:pt idx="6">
                  <c:v>323</c:v>
                </c:pt>
                <c:pt idx="7">
                  <c:v>318</c:v>
                </c:pt>
              </c:numCache>
            </c:numRef>
          </c:val>
        </c:ser>
        <c:dLbls>
          <c:showLegendKey val="0"/>
          <c:showVal val="0"/>
          <c:showCatName val="0"/>
          <c:showSerName val="0"/>
          <c:showPercent val="0"/>
          <c:showBubbleSize val="0"/>
        </c:dLbls>
        <c:gapWidth val="90"/>
        <c:axId val="24379392"/>
        <c:axId val="24689280"/>
      </c:barChart>
      <c:lineChart>
        <c:grouping val="standard"/>
        <c:varyColors val="0"/>
        <c:ser>
          <c:idx val="0"/>
          <c:order val="1"/>
          <c:tx>
            <c:v>atv./ 100 tūkst. gyv.</c:v>
          </c:tx>
          <c:spPr>
            <a:ln w="25399">
              <a:solidFill>
                <a:srgbClr val="000080"/>
              </a:solidFill>
              <a:prstDash val="solid"/>
            </a:ln>
          </c:spPr>
          <c:marker>
            <c:symbol val="diamond"/>
            <c:size val="6"/>
            <c:spPr>
              <a:solidFill>
                <a:srgbClr val="000080"/>
              </a:solidFill>
              <a:ln>
                <a:solidFill>
                  <a:srgbClr val="000080"/>
                </a:solidFill>
                <a:prstDash val="solid"/>
              </a:ln>
            </c:spPr>
          </c:marker>
          <c:dLbls>
            <c:dLbl>
              <c:idx val="0"/>
              <c:layout>
                <c:manualLayout>
                  <c:x val="-3.8926623129289933E-2"/>
                  <c:y val="-7.6500312626814143E-2"/>
                </c:manualLayout>
              </c:layout>
              <c:dLblPos val="r"/>
              <c:showLegendKey val="0"/>
              <c:showVal val="1"/>
              <c:showCatName val="0"/>
              <c:showSerName val="0"/>
              <c:showPercent val="0"/>
              <c:showBubbleSize val="0"/>
            </c:dLbl>
            <c:dLbl>
              <c:idx val="1"/>
              <c:layout>
                <c:manualLayout>
                  <c:x val="-4.5859998813394552E-2"/>
                  <c:y val="-7.1651810361793702E-2"/>
                </c:manualLayout>
              </c:layout>
              <c:dLblPos val="r"/>
              <c:showLegendKey val="0"/>
              <c:showVal val="1"/>
              <c:showCatName val="0"/>
              <c:showSerName val="0"/>
              <c:showPercent val="0"/>
              <c:showBubbleSize val="0"/>
            </c:dLbl>
            <c:dLbl>
              <c:idx val="2"/>
              <c:layout>
                <c:manualLayout>
                  <c:x val="-4.3284658174202753E-2"/>
                  <c:y val="-7.4795634371184666E-2"/>
                </c:manualLayout>
              </c:layout>
              <c:dLblPos val="r"/>
              <c:showLegendKey val="0"/>
              <c:showVal val="1"/>
              <c:showCatName val="0"/>
              <c:showSerName val="0"/>
              <c:showPercent val="0"/>
              <c:showBubbleSize val="0"/>
            </c:dLbl>
            <c:dLbl>
              <c:idx val="3"/>
              <c:layout>
                <c:manualLayout>
                  <c:x val="-4.0709481321089959E-2"/>
                  <c:y val="-7.7665174069565149E-2"/>
                </c:manualLayout>
              </c:layout>
              <c:dLblPos val="r"/>
              <c:showLegendKey val="0"/>
              <c:showVal val="1"/>
              <c:showCatName val="0"/>
              <c:showSerName val="0"/>
              <c:showPercent val="0"/>
              <c:showBubbleSize val="0"/>
            </c:dLbl>
            <c:dLbl>
              <c:idx val="4"/>
              <c:layout>
                <c:manualLayout>
                  <c:x val="-4.2888498843546306E-2"/>
                  <c:y val="-8.315734794929E-2"/>
                </c:manualLayout>
              </c:layout>
              <c:dLblPos val="r"/>
              <c:showLegendKey val="0"/>
              <c:showVal val="1"/>
              <c:showCatName val="0"/>
              <c:showSerName val="0"/>
              <c:showPercent val="0"/>
              <c:showBubbleSize val="0"/>
            </c:dLbl>
            <c:dLbl>
              <c:idx val="5"/>
              <c:layout>
                <c:manualLayout>
                  <c:x val="-4.0313321990433568E-2"/>
                  <c:y val="-8.7049464702778134E-2"/>
                </c:manualLayout>
              </c:layout>
              <c:dLblPos val="r"/>
              <c:showLegendKey val="0"/>
              <c:showVal val="1"/>
              <c:showCatName val="0"/>
              <c:showSerName val="0"/>
              <c:showPercent val="0"/>
              <c:showBubbleSize val="0"/>
            </c:dLbl>
            <c:dLbl>
              <c:idx val="6"/>
              <c:layout>
                <c:manualLayout>
                  <c:x val="-3.1398837135710921E-2"/>
                  <c:y val="-6.7428352726645671E-2"/>
                </c:manualLayout>
              </c:layout>
              <c:dLblPos val="r"/>
              <c:showLegendKey val="0"/>
              <c:showVal val="1"/>
              <c:showCatName val="0"/>
              <c:showSerName val="0"/>
              <c:showPercent val="0"/>
              <c:showBubbleSize val="0"/>
            </c:dLbl>
            <c:dLbl>
              <c:idx val="7"/>
              <c:layout>
                <c:manualLayout>
                  <c:x val="-3.0408282550401854E-2"/>
                  <c:y val="-6.7428352726645671E-2"/>
                </c:manualLayout>
              </c:layout>
              <c:dLblPos val="r"/>
              <c:showLegendKey val="0"/>
              <c:showVal val="1"/>
              <c:showCatName val="0"/>
              <c:showSerName val="0"/>
              <c:showPercent val="0"/>
              <c:showBubbleSize val="0"/>
            </c:dLbl>
            <c:spPr>
              <a:noFill/>
              <a:ln w="25399">
                <a:noFill/>
              </a:ln>
            </c:spPr>
            <c:txPr>
              <a:bodyPr/>
              <a:lstStyle/>
              <a:p>
                <a:pPr>
                  <a:defRPr sz="1000" b="1" i="0" u="none" strike="noStrike" baseline="0">
                    <a:solidFill>
                      <a:srgbClr val="333399"/>
                    </a:solidFill>
                    <a:latin typeface="Arial"/>
                    <a:ea typeface="Arial"/>
                    <a:cs typeface="Arial"/>
                  </a:defRPr>
                </a:pPr>
                <a:endParaRPr lang="lt-LT"/>
              </a:p>
            </c:txPr>
            <c:showLegendKey val="0"/>
            <c:showVal val="1"/>
            <c:showCatName val="0"/>
            <c:showSerName val="0"/>
            <c:showPercent val="0"/>
            <c:showBubbleSize val="0"/>
            <c:showLeaderLines val="0"/>
          </c:dLbls>
          <c:val>
            <c:numRef>
              <c:f>Sheet5!$B$5:$B$12</c:f>
              <c:numCache>
                <c:formatCode>General</c:formatCode>
                <c:ptCount val="8"/>
                <c:pt idx="0">
                  <c:v>15.6</c:v>
                </c:pt>
                <c:pt idx="1">
                  <c:v>18.8</c:v>
                </c:pt>
                <c:pt idx="2">
                  <c:v>13.6</c:v>
                </c:pt>
                <c:pt idx="3">
                  <c:v>10.3</c:v>
                </c:pt>
                <c:pt idx="4">
                  <c:v>12.3</c:v>
                </c:pt>
                <c:pt idx="5">
                  <c:v>10.199999999999999</c:v>
                </c:pt>
                <c:pt idx="6">
                  <c:v>9.4</c:v>
                </c:pt>
                <c:pt idx="7">
                  <c:v>9.4</c:v>
                </c:pt>
              </c:numCache>
            </c:numRef>
          </c:val>
          <c:smooth val="0"/>
        </c:ser>
        <c:dLbls>
          <c:showLegendKey val="0"/>
          <c:showVal val="0"/>
          <c:showCatName val="0"/>
          <c:showSerName val="0"/>
          <c:showPercent val="0"/>
          <c:showBubbleSize val="0"/>
        </c:dLbls>
        <c:marker val="1"/>
        <c:smooth val="0"/>
        <c:axId val="24382848"/>
        <c:axId val="24396928"/>
      </c:lineChart>
      <c:catAx>
        <c:axId val="24379392"/>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lt-LT"/>
                  <a:t>Metai</a:t>
                </a:r>
              </a:p>
            </c:rich>
          </c:tx>
          <c:layout>
            <c:manualLayout>
              <c:xMode val="edge"/>
              <c:yMode val="edge"/>
              <c:x val="0.4896988906497623"/>
              <c:y val="0.91287878787878785"/>
            </c:manualLayout>
          </c:layout>
          <c:overlay val="0"/>
          <c:spPr>
            <a:noFill/>
            <a:ln w="25399">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4689280"/>
        <c:crosses val="autoZero"/>
        <c:auto val="0"/>
        <c:lblAlgn val="ctr"/>
        <c:lblOffset val="100"/>
        <c:tickLblSkip val="1"/>
        <c:tickMarkSkip val="1"/>
        <c:noMultiLvlLbl val="0"/>
      </c:catAx>
      <c:valAx>
        <c:axId val="24689280"/>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lt-LT"/>
                  <a:t>Registruotų asmenų skaičius</a:t>
                </a:r>
              </a:p>
            </c:rich>
          </c:tx>
          <c:layout>
            <c:manualLayout>
              <c:xMode val="edge"/>
              <c:yMode val="edge"/>
              <c:x val="0"/>
              <c:y val="0.22348484848484848"/>
            </c:manualLayout>
          </c:layout>
          <c:overlay val="0"/>
          <c:spPr>
            <a:noFill/>
            <a:ln w="25399">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4379392"/>
        <c:crosses val="autoZero"/>
        <c:crossBetween val="between"/>
      </c:valAx>
      <c:catAx>
        <c:axId val="24382848"/>
        <c:scaling>
          <c:orientation val="minMax"/>
        </c:scaling>
        <c:delete val="1"/>
        <c:axPos val="b"/>
        <c:majorTickMark val="out"/>
        <c:minorTickMark val="none"/>
        <c:tickLblPos val="nextTo"/>
        <c:crossAx val="24396928"/>
        <c:crosses val="autoZero"/>
        <c:auto val="0"/>
        <c:lblAlgn val="ctr"/>
        <c:lblOffset val="100"/>
        <c:noMultiLvlLbl val="0"/>
      </c:catAx>
      <c:valAx>
        <c:axId val="24396928"/>
        <c:scaling>
          <c:orientation val="minMax"/>
          <c:max val="40"/>
        </c:scaling>
        <c:delete val="0"/>
        <c:axPos val="r"/>
        <c:title>
          <c:tx>
            <c:rich>
              <a:bodyPr/>
              <a:lstStyle/>
              <a:p>
                <a:pPr>
                  <a:defRPr sz="1000" b="1" i="0" u="none" strike="noStrike" baseline="0">
                    <a:solidFill>
                      <a:srgbClr val="000000"/>
                    </a:solidFill>
                    <a:latin typeface="Arial"/>
                    <a:ea typeface="Arial"/>
                    <a:cs typeface="Arial"/>
                  </a:defRPr>
                </a:pPr>
                <a:r>
                  <a:rPr lang="lt-LT"/>
                  <a:t>Atv./ 100 tūkst. gyv.</a:t>
                </a:r>
              </a:p>
            </c:rich>
          </c:tx>
          <c:layout>
            <c:manualLayout>
              <c:xMode val="edge"/>
              <c:yMode val="edge"/>
              <c:x val="0.96196513470681455"/>
              <c:y val="0.23106060606060605"/>
            </c:manualLayout>
          </c:layout>
          <c:overlay val="0"/>
          <c:spPr>
            <a:noFill/>
            <a:ln w="25399">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24382848"/>
        <c:crosses val="max"/>
        <c:crossBetween val="between"/>
        <c:majorUnit val="5"/>
      </c:valAx>
      <c:spPr>
        <a:noFill/>
        <a:ln w="25399">
          <a:noFill/>
        </a:ln>
      </c:spPr>
    </c:plotArea>
    <c:legend>
      <c:legendPos val="r"/>
      <c:layout>
        <c:manualLayout>
          <c:xMode val="edge"/>
          <c:yMode val="edge"/>
          <c:x val="0.22820919175911253"/>
          <c:y val="1.1363636363636364E-2"/>
          <c:w val="0.59270998415213949"/>
          <c:h val="9.0909090909090912E-2"/>
        </c:manualLayout>
      </c:layout>
      <c:overlay val="0"/>
      <c:spPr>
        <a:solidFill>
          <a:srgbClr val="FFFFFF"/>
        </a:solidFill>
        <a:ln w="3175">
          <a:solidFill>
            <a:srgbClr val="000000"/>
          </a:solidFill>
          <a:prstDash val="solid"/>
        </a:ln>
      </c:spPr>
      <c:txPr>
        <a:bodyPr/>
        <a:lstStyle/>
        <a:p>
          <a:pPr>
            <a:defRPr sz="920" b="1" i="0" u="none" strike="noStrike" baseline="0">
              <a:solidFill>
                <a:srgbClr val="000000"/>
              </a:solidFill>
              <a:latin typeface="Arial"/>
              <a:ea typeface="Arial"/>
              <a:cs typeface="Arial"/>
            </a:defRPr>
          </a:pPr>
          <a:endParaRPr lang="lt-LT"/>
        </a:p>
      </c:txPr>
    </c:legend>
    <c:plotVisOnly val="1"/>
    <c:dispBlanksAs val="gap"/>
    <c:showDLblsOverMax val="0"/>
  </c:chart>
  <c:spPr>
    <a:solidFill>
      <a:srgbClr val="FFFFFF"/>
    </a:solidFill>
    <a:ln>
      <a:noFill/>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805653710247356E-2"/>
          <c:y val="7.3863636363636367E-2"/>
          <c:w val="0.91696113074204944"/>
          <c:h val="0.66477272727272729"/>
        </c:manualLayout>
      </c:layout>
      <c:lineChart>
        <c:grouping val="standard"/>
        <c:varyColors val="0"/>
        <c:ser>
          <c:idx val="0"/>
          <c:order val="0"/>
          <c:tx>
            <c:strRef>
              <c:f>Sheet1!$A$2</c:f>
              <c:strCache>
                <c:ptCount val="1"/>
              </c:strCache>
            </c:strRef>
          </c:tx>
          <c:spPr>
            <a:ln w="38100">
              <a:solidFill>
                <a:srgbClr val="000080"/>
              </a:solidFill>
              <a:prstDash val="solid"/>
            </a:ln>
          </c:spPr>
          <c:marker>
            <c:symbol val="diamond"/>
            <c:size val="9"/>
            <c:spPr>
              <a:solidFill>
                <a:srgbClr val="000080"/>
              </a:solidFill>
              <a:ln>
                <a:solidFill>
                  <a:srgbClr val="000080"/>
                </a:solidFill>
                <a:prstDash val="solid"/>
              </a:ln>
            </c:spPr>
          </c:marker>
          <c:dLbls>
            <c:dLbl>
              <c:idx val="0"/>
              <c:layout>
                <c:manualLayout>
                  <c:x val="-5.4353012447354489E-3"/>
                  <c:y val="7.38296734169234E-3"/>
                </c:manualLayout>
              </c:layout>
              <c:dLblPos val="r"/>
              <c:showLegendKey val="0"/>
              <c:showVal val="1"/>
              <c:showCatName val="0"/>
              <c:showSerName val="0"/>
              <c:showPercent val="0"/>
              <c:showBubbleSize val="0"/>
            </c:dLbl>
            <c:dLbl>
              <c:idx val="1"/>
              <c:layout>
                <c:manualLayout>
                  <c:x val="-1.0182930976383989E-3"/>
                  <c:y val="-4.8355737974102204E-2"/>
                </c:manualLayout>
              </c:layout>
              <c:dLblPos val="r"/>
              <c:showLegendKey val="0"/>
              <c:showVal val="1"/>
              <c:showCatName val="0"/>
              <c:showSerName val="0"/>
              <c:showPercent val="0"/>
              <c:showBubbleSize val="0"/>
            </c:dLbl>
            <c:dLbl>
              <c:idx val="2"/>
              <c:layout>
                <c:manualLayout>
                  <c:x val="-1.0735560568915897E-2"/>
                  <c:y val="-0.11278761709038571"/>
                </c:manualLayout>
              </c:layout>
              <c:dLblPos val="r"/>
              <c:showLegendKey val="0"/>
              <c:showVal val="1"/>
              <c:showCatName val="0"/>
              <c:showSerName val="0"/>
              <c:showPercent val="0"/>
              <c:showBubbleSize val="0"/>
            </c:dLbl>
            <c:dLbl>
              <c:idx val="3"/>
              <c:layout>
                <c:manualLayout>
                  <c:x val="-9.8523035952956233E-3"/>
                  <c:y val="-9.1139820865500321E-2"/>
                </c:manualLayout>
              </c:layout>
              <c:dLblPos val="r"/>
              <c:showLegendKey val="0"/>
              <c:showVal val="1"/>
              <c:showCatName val="0"/>
              <c:showSerName val="0"/>
              <c:showPercent val="0"/>
              <c:showBubbleSize val="0"/>
            </c:dLbl>
            <c:dLbl>
              <c:idx val="4"/>
              <c:layout>
                <c:manualLayout>
                  <c:x val="-2.3103139971166784E-2"/>
                  <c:y val="-0.1236965412314663"/>
                </c:manualLayout>
              </c:layout>
              <c:tx>
                <c:rich>
                  <a:bodyPr/>
                  <a:lstStyle/>
                  <a:p>
                    <a:r>
                      <a:rPr lang="lt-LT"/>
                      <a:t>62</a:t>
                    </a:r>
                  </a:p>
                </c:rich>
              </c:tx>
              <c:dLblPos val="r"/>
              <c:showLegendKey val="0"/>
              <c:showVal val="0"/>
              <c:showCatName val="0"/>
              <c:showSerName val="0"/>
              <c:showPercent val="0"/>
              <c:showBubbleSize val="0"/>
            </c:dLbl>
            <c:dLbl>
              <c:idx val="5"/>
              <c:layout>
                <c:manualLayout>
                  <c:x val="-2.2219700728663402E-2"/>
                  <c:y val="-0.12540134645925857"/>
                </c:manualLayout>
              </c:layout>
              <c:tx>
                <c:rich>
                  <a:bodyPr/>
                  <a:lstStyle/>
                  <a:p>
                    <a:r>
                      <a:rPr lang="lt-LT"/>
                      <a:t>72</a:t>
                    </a:r>
                  </a:p>
                </c:rich>
              </c:tx>
              <c:dLblPos val="r"/>
              <c:showLegendKey val="0"/>
              <c:showVal val="0"/>
              <c:showCatName val="0"/>
              <c:showSerName val="0"/>
              <c:showPercent val="0"/>
              <c:showBubbleSize val="0"/>
            </c:dLbl>
            <c:dLbl>
              <c:idx val="6"/>
              <c:layout>
                <c:manualLayout>
                  <c:xMode val="edge"/>
                  <c:yMode val="edge"/>
                  <c:x val="0.92226148409893993"/>
                  <c:y val="0.30113636363636365"/>
                </c:manualLayout>
              </c:layout>
              <c:tx>
                <c:rich>
                  <a:bodyPr/>
                  <a:lstStyle/>
                  <a:p>
                    <a:r>
                      <a:t>55,6</a:t>
                    </a:r>
                  </a:p>
                </c:rich>
              </c:tx>
              <c:dLblPos val="r"/>
              <c:showLegendKey val="0"/>
              <c:showVal val="0"/>
              <c:showCatName val="0"/>
              <c:showSerName val="0"/>
              <c:showPercent val="0"/>
              <c:showBubbleSize val="0"/>
            </c:dLbl>
            <c:dLbl>
              <c:idx val="7"/>
              <c:layout>
                <c:manualLayout>
                  <c:xMode val="edge"/>
                  <c:yMode val="edge"/>
                  <c:x val="0.9257950530035336"/>
                  <c:y val="0.30113636363636365"/>
                </c:manualLayout>
              </c:layout>
              <c:tx>
                <c:rich>
                  <a:bodyPr/>
                  <a:lstStyle/>
                  <a:p>
                    <a:r>
                      <a:t>44,2</a:t>
                    </a:r>
                  </a:p>
                </c:rich>
              </c:tx>
              <c:dLblPos val="r"/>
              <c:showLegendKey val="0"/>
              <c:showVal val="0"/>
              <c:showCatName val="0"/>
              <c:showSerName val="0"/>
              <c:showPercent val="0"/>
              <c:showBubbleSize val="0"/>
            </c:dLbl>
            <c:dLbl>
              <c:idx val="15"/>
              <c:layout>
                <c:manualLayout>
                  <c:xMode val="edge"/>
                  <c:yMode val="edge"/>
                  <c:x val="0.99293286219081267"/>
                  <c:y val="0.34090909090909088"/>
                </c:manualLayout>
              </c:layout>
              <c:spPr>
                <a:noFill/>
                <a:ln w="25400">
                  <a:noFill/>
                </a:ln>
              </c:spPr>
              <c:txPr>
                <a:bodyPr/>
                <a:lstStyle/>
                <a:p>
                  <a:pPr>
                    <a:defRPr sz="1200"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dLbl>
              <c:idx val="16"/>
              <c:spPr>
                <a:noFill/>
                <a:ln w="25400">
                  <a:noFill/>
                </a:ln>
              </c:spPr>
              <c:txPr>
                <a:bodyPr/>
                <a:lstStyle/>
                <a:p>
                  <a:pPr>
                    <a:defRPr sz="1200"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spPr>
              <a:noFill/>
              <a:ln w="25400">
                <a:noFill/>
              </a:ln>
            </c:spPr>
            <c:txPr>
              <a:bodyPr/>
              <a:lstStyle/>
              <a:p>
                <a:pPr>
                  <a:defRPr sz="1075"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Sheet1!$B$1:$G$1</c:f>
              <c:numCache>
                <c:formatCode>General</c:formatCode>
                <c:ptCount val="6"/>
                <c:pt idx="0">
                  <c:v>2002</c:v>
                </c:pt>
                <c:pt idx="1">
                  <c:v>2003</c:v>
                </c:pt>
                <c:pt idx="2">
                  <c:v>2004</c:v>
                </c:pt>
                <c:pt idx="3">
                  <c:v>2005</c:v>
                </c:pt>
                <c:pt idx="4">
                  <c:v>2006</c:v>
                </c:pt>
                <c:pt idx="5">
                  <c:v>2007</c:v>
                </c:pt>
              </c:numCache>
            </c:numRef>
          </c:cat>
          <c:val>
            <c:numRef>
              <c:f>Sheet1!$B$2:$G$2</c:f>
              <c:numCache>
                <c:formatCode>General</c:formatCode>
                <c:ptCount val="6"/>
                <c:pt idx="0">
                  <c:v>33</c:v>
                </c:pt>
                <c:pt idx="1">
                  <c:v>40</c:v>
                </c:pt>
                <c:pt idx="2">
                  <c:v>38</c:v>
                </c:pt>
                <c:pt idx="3">
                  <c:v>31</c:v>
                </c:pt>
                <c:pt idx="4">
                  <c:v>62</c:v>
                </c:pt>
                <c:pt idx="5">
                  <c:v>72</c:v>
                </c:pt>
              </c:numCache>
            </c:numRef>
          </c:val>
          <c:smooth val="0"/>
        </c:ser>
        <c:dLbls>
          <c:showLegendKey val="0"/>
          <c:showVal val="1"/>
          <c:showCatName val="0"/>
          <c:showSerName val="0"/>
          <c:showPercent val="0"/>
          <c:showBubbleSize val="0"/>
        </c:dLbls>
        <c:marker val="1"/>
        <c:smooth val="0"/>
        <c:axId val="24459520"/>
        <c:axId val="24486272"/>
      </c:lineChart>
      <c:catAx>
        <c:axId val="24459520"/>
        <c:scaling>
          <c:orientation val="minMax"/>
        </c:scaling>
        <c:delete val="0"/>
        <c:axPos val="b"/>
        <c:title>
          <c:tx>
            <c:rich>
              <a:bodyPr/>
              <a:lstStyle/>
              <a:p>
                <a:pPr>
                  <a:defRPr sz="975" b="1" i="0" u="none" strike="noStrike" baseline="0">
                    <a:solidFill>
                      <a:srgbClr val="000000"/>
                    </a:solidFill>
                    <a:latin typeface="Arial"/>
                    <a:ea typeface="Arial"/>
                    <a:cs typeface="Arial"/>
                  </a:defRPr>
                </a:pPr>
                <a:r>
                  <a:rPr lang="lt-LT"/>
                  <a:t>metai</a:t>
                </a:r>
              </a:p>
            </c:rich>
          </c:tx>
          <c:layout>
            <c:manualLayout>
              <c:xMode val="edge"/>
              <c:yMode val="edge"/>
              <c:x val="0.5053003533568905"/>
              <c:y val="0.8693181818181817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75" b="1" i="0" u="none" strike="noStrike" baseline="0">
                <a:solidFill>
                  <a:srgbClr val="000000"/>
                </a:solidFill>
                <a:latin typeface="Arial"/>
                <a:ea typeface="Arial"/>
                <a:cs typeface="Arial"/>
              </a:defRPr>
            </a:pPr>
            <a:endParaRPr lang="lt-LT"/>
          </a:p>
        </c:txPr>
        <c:crossAx val="24486272"/>
        <c:crosses val="autoZero"/>
        <c:auto val="1"/>
        <c:lblAlgn val="ctr"/>
        <c:lblOffset val="100"/>
        <c:tickLblSkip val="1"/>
        <c:tickMarkSkip val="1"/>
        <c:noMultiLvlLbl val="0"/>
      </c:catAx>
      <c:valAx>
        <c:axId val="24486272"/>
        <c:scaling>
          <c:orientation val="minMax"/>
          <c:max val="100"/>
        </c:scaling>
        <c:delete val="0"/>
        <c:axPos val="l"/>
        <c:title>
          <c:tx>
            <c:rich>
              <a:bodyPr/>
              <a:lstStyle/>
              <a:p>
                <a:pPr>
                  <a:defRPr sz="900" b="1" i="0" u="none" strike="noStrike" baseline="0">
                    <a:solidFill>
                      <a:srgbClr val="000000"/>
                    </a:solidFill>
                    <a:latin typeface="Arial"/>
                    <a:ea typeface="Arial"/>
                    <a:cs typeface="Arial"/>
                  </a:defRPr>
                </a:pPr>
                <a:r>
                  <a:rPr lang="lt-LT"/>
                  <a:t>mirčių skaičius</a:t>
                </a:r>
              </a:p>
            </c:rich>
          </c:tx>
          <c:layout>
            <c:manualLayout>
              <c:xMode val="edge"/>
              <c:yMode val="edge"/>
              <c:x val="0"/>
              <c:y val="0.1420454545454545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75" b="1" i="0" u="none" strike="noStrike" baseline="0">
                <a:solidFill>
                  <a:srgbClr val="000000"/>
                </a:solidFill>
                <a:latin typeface="Arial"/>
                <a:ea typeface="Arial"/>
                <a:cs typeface="Arial"/>
              </a:defRPr>
            </a:pPr>
            <a:endParaRPr lang="lt-LT"/>
          </a:p>
        </c:txPr>
        <c:crossAx val="24459520"/>
        <c:crosses val="autoZero"/>
        <c:crossBetween val="between"/>
      </c:valAx>
      <c:spPr>
        <a:noFill/>
        <a:ln w="25400">
          <a:noFill/>
        </a:ln>
      </c:spPr>
    </c:plotArea>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lt-LT"/>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272084805653705E-2"/>
          <c:y val="7.1038251366120214E-2"/>
          <c:w val="0.9204946996466431"/>
          <c:h val="0.67759562841530052"/>
        </c:manualLayout>
      </c:layout>
      <c:lineChart>
        <c:grouping val="standard"/>
        <c:varyColors val="0"/>
        <c:ser>
          <c:idx val="0"/>
          <c:order val="0"/>
          <c:tx>
            <c:strRef>
              <c:f>Sheet1!$A$2</c:f>
              <c:strCache>
                <c:ptCount val="1"/>
              </c:strCache>
            </c:strRef>
          </c:tx>
          <c:spPr>
            <a:ln w="38100">
              <a:solidFill>
                <a:srgbClr val="000080"/>
              </a:solidFill>
              <a:prstDash val="solid"/>
            </a:ln>
          </c:spPr>
          <c:marker>
            <c:symbol val="diamond"/>
            <c:size val="9"/>
            <c:spPr>
              <a:solidFill>
                <a:srgbClr val="000080"/>
              </a:solidFill>
              <a:ln>
                <a:solidFill>
                  <a:srgbClr val="000080"/>
                </a:solidFill>
                <a:prstDash val="solid"/>
              </a:ln>
            </c:spPr>
          </c:marker>
          <c:dLbls>
            <c:dLbl>
              <c:idx val="0"/>
              <c:layout>
                <c:manualLayout>
                  <c:x val="-4.2207406273862243E-3"/>
                  <c:y val="1.1377320721175022E-2"/>
                </c:manualLayout>
              </c:layout>
              <c:dLblPos val="r"/>
              <c:showLegendKey val="0"/>
              <c:showVal val="1"/>
              <c:showCatName val="0"/>
              <c:showSerName val="0"/>
              <c:showPercent val="0"/>
              <c:showBubbleSize val="0"/>
            </c:dLbl>
            <c:dLbl>
              <c:idx val="1"/>
              <c:layout>
                <c:manualLayout>
                  <c:x val="-9.0797147485539831E-4"/>
                  <c:y val="-4.4994496727576085E-2"/>
                </c:manualLayout>
              </c:layout>
              <c:dLblPos val="r"/>
              <c:showLegendKey val="0"/>
              <c:showVal val="1"/>
              <c:showCatName val="0"/>
              <c:showSerName val="0"/>
              <c:showPercent val="0"/>
              <c:showBubbleSize val="0"/>
            </c:dLbl>
            <c:dLbl>
              <c:idx val="2"/>
              <c:layout>
                <c:manualLayout>
                  <c:x val="-9.962693488402315E-3"/>
                  <c:y val="-0.12040422578197855"/>
                </c:manualLayout>
              </c:layout>
              <c:dLblPos val="r"/>
              <c:showLegendKey val="0"/>
              <c:showVal val="1"/>
              <c:showCatName val="0"/>
              <c:showSerName val="0"/>
              <c:showPercent val="0"/>
              <c:showBubbleSize val="0"/>
            </c:dLbl>
            <c:dLbl>
              <c:idx val="3"/>
              <c:layout>
                <c:manualLayout>
                  <c:x val="-1.0183493240465127E-2"/>
                  <c:y val="-9.7825269930106082E-2"/>
                </c:manualLayout>
              </c:layout>
              <c:dLblPos val="r"/>
              <c:showLegendKey val="0"/>
              <c:showVal val="1"/>
              <c:showCatName val="0"/>
              <c:showSerName val="0"/>
              <c:showPercent val="0"/>
              <c:showBubbleSize val="0"/>
            </c:dLbl>
            <c:dLbl>
              <c:idx val="4"/>
              <c:layout>
                <c:manualLayout>
                  <c:x val="-2.2771966427488653E-2"/>
                  <c:y val="-0.1249287472804114"/>
                </c:manualLayout>
              </c:layout>
              <c:tx>
                <c:rich>
                  <a:bodyPr/>
                  <a:lstStyle/>
                  <a:p>
                    <a:r>
                      <a:rPr lang="lt-LT"/>
                      <a:t>70,8</a:t>
                    </a:r>
                  </a:p>
                </c:rich>
              </c:tx>
              <c:dLblPos val="r"/>
              <c:showLegendKey val="0"/>
              <c:showVal val="0"/>
              <c:showCatName val="0"/>
              <c:showSerName val="0"/>
              <c:showPercent val="0"/>
              <c:showBubbleSize val="0"/>
            </c:dLbl>
            <c:dLbl>
              <c:idx val="5"/>
              <c:layout>
                <c:manualLayout>
                  <c:x val="-2.2992766179551403E-2"/>
                  <c:y val="-0.12991267665482187"/>
                </c:manualLayout>
              </c:layout>
              <c:tx>
                <c:rich>
                  <a:bodyPr/>
                  <a:lstStyle/>
                  <a:p>
                    <a:r>
                      <a:rPr lang="lt-LT"/>
                      <a:t>62</a:t>
                    </a:r>
                  </a:p>
                </c:rich>
              </c:tx>
              <c:dLblPos val="r"/>
              <c:showLegendKey val="0"/>
              <c:showVal val="0"/>
              <c:showCatName val="0"/>
              <c:showSerName val="0"/>
              <c:showPercent val="0"/>
              <c:showBubbleSize val="0"/>
            </c:dLbl>
            <c:dLbl>
              <c:idx val="6"/>
              <c:layout>
                <c:manualLayout>
                  <c:x val="-3.0280703740801492E-2"/>
                  <c:y val="-0.13502741826854586"/>
                </c:manualLayout>
              </c:layout>
              <c:tx>
                <c:rich>
                  <a:bodyPr/>
                  <a:lstStyle/>
                  <a:p>
                    <a:r>
                      <a:rPr lang="lt-LT"/>
                      <a:t>55,6</a:t>
                    </a:r>
                  </a:p>
                </c:rich>
              </c:tx>
              <c:dLblPos val="r"/>
              <c:showLegendKey val="0"/>
              <c:showVal val="0"/>
              <c:showCatName val="0"/>
              <c:showSerName val="0"/>
              <c:showPercent val="0"/>
              <c:showBubbleSize val="0"/>
            </c:dLbl>
            <c:dLbl>
              <c:idx val="7"/>
              <c:layout>
                <c:manualLayout>
                  <c:x val="-1.4135502552021926E-2"/>
                  <c:y val="-0.13577054843002348"/>
                </c:manualLayout>
              </c:layout>
              <c:tx>
                <c:rich>
                  <a:bodyPr/>
                  <a:lstStyle/>
                  <a:p>
                    <a:r>
                      <a:rPr lang="lt-LT"/>
                      <a:t>44,2</a:t>
                    </a:r>
                  </a:p>
                </c:rich>
              </c:tx>
              <c:dLblPos val="r"/>
              <c:showLegendKey val="0"/>
              <c:showVal val="0"/>
              <c:showCatName val="0"/>
              <c:showSerName val="0"/>
              <c:showPercent val="0"/>
              <c:showBubbleSize val="0"/>
            </c:dLbl>
            <c:dLbl>
              <c:idx val="15"/>
              <c:layout>
                <c:manualLayout>
                  <c:xMode val="edge"/>
                  <c:yMode val="edge"/>
                  <c:x val="0.99293286219081267"/>
                  <c:y val="0.32786885245901637"/>
                </c:manualLayout>
              </c:layout>
              <c:spPr>
                <a:noFill/>
                <a:ln w="25400">
                  <a:noFill/>
                </a:ln>
              </c:spPr>
              <c:txPr>
                <a:bodyPr/>
                <a:lstStyle/>
                <a:p>
                  <a:pPr>
                    <a:defRPr sz="1200"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dLbl>
              <c:idx val="16"/>
              <c:spPr>
                <a:noFill/>
                <a:ln w="25400">
                  <a:noFill/>
                </a:ln>
              </c:spPr>
              <c:txPr>
                <a:bodyPr/>
                <a:lstStyle/>
                <a:p>
                  <a:pPr>
                    <a:defRPr sz="1200"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Sheet1!$B$1:$I$1</c:f>
              <c:numCache>
                <c:formatCode>General</c:formatCode>
                <c:ptCount val="8"/>
                <c:pt idx="0">
                  <c:v>2001</c:v>
                </c:pt>
                <c:pt idx="1">
                  <c:v>2002</c:v>
                </c:pt>
                <c:pt idx="2">
                  <c:v>2003</c:v>
                </c:pt>
                <c:pt idx="3">
                  <c:v>2004</c:v>
                </c:pt>
                <c:pt idx="4">
                  <c:v>2005</c:v>
                </c:pt>
                <c:pt idx="5">
                  <c:v>2006</c:v>
                </c:pt>
                <c:pt idx="6">
                  <c:v>2007</c:v>
                </c:pt>
                <c:pt idx="7">
                  <c:v>2008</c:v>
                </c:pt>
              </c:numCache>
            </c:numRef>
          </c:cat>
          <c:val>
            <c:numRef>
              <c:f>Sheet1!$B$2:$I$2</c:f>
              <c:numCache>
                <c:formatCode>General</c:formatCode>
                <c:ptCount val="8"/>
                <c:pt idx="0">
                  <c:v>76.400000000000006</c:v>
                </c:pt>
                <c:pt idx="1">
                  <c:v>95.5</c:v>
                </c:pt>
                <c:pt idx="2">
                  <c:v>75.5</c:v>
                </c:pt>
                <c:pt idx="3">
                  <c:v>74.8</c:v>
                </c:pt>
                <c:pt idx="4">
                  <c:v>70.8</c:v>
                </c:pt>
                <c:pt idx="5">
                  <c:v>62</c:v>
                </c:pt>
                <c:pt idx="6">
                  <c:v>55.6</c:v>
                </c:pt>
                <c:pt idx="7">
                  <c:v>44.2</c:v>
                </c:pt>
              </c:numCache>
            </c:numRef>
          </c:val>
          <c:smooth val="0"/>
        </c:ser>
        <c:dLbls>
          <c:showLegendKey val="0"/>
          <c:showVal val="1"/>
          <c:showCatName val="0"/>
          <c:showSerName val="0"/>
          <c:showPercent val="0"/>
          <c:showBubbleSize val="0"/>
        </c:dLbls>
        <c:marker val="1"/>
        <c:smooth val="0"/>
        <c:axId val="24552576"/>
        <c:axId val="24554496"/>
      </c:lineChart>
      <c:catAx>
        <c:axId val="24552576"/>
        <c:scaling>
          <c:orientation val="minMax"/>
        </c:scaling>
        <c:delete val="0"/>
        <c:axPos val="b"/>
        <c:title>
          <c:tx>
            <c:rich>
              <a:bodyPr/>
              <a:lstStyle/>
              <a:p>
                <a:pPr>
                  <a:defRPr sz="925" b="1" i="0" u="none" strike="noStrike" baseline="0">
                    <a:solidFill>
                      <a:srgbClr val="000000"/>
                    </a:solidFill>
                    <a:latin typeface="Arial"/>
                    <a:ea typeface="Arial"/>
                    <a:cs typeface="Arial"/>
                  </a:defRPr>
                </a:pPr>
                <a:r>
                  <a:rPr lang="lt-LT"/>
                  <a:t>metai</a:t>
                </a:r>
              </a:p>
            </c:rich>
          </c:tx>
          <c:layout>
            <c:manualLayout>
              <c:xMode val="edge"/>
              <c:yMode val="edge"/>
              <c:x val="0.50706713780918733"/>
              <c:y val="0.879781420765027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25" b="1" i="0" u="none" strike="noStrike" baseline="0">
                <a:solidFill>
                  <a:srgbClr val="000000"/>
                </a:solidFill>
                <a:latin typeface="Arial"/>
                <a:ea typeface="Arial"/>
                <a:cs typeface="Arial"/>
              </a:defRPr>
            </a:pPr>
            <a:endParaRPr lang="lt-LT"/>
          </a:p>
        </c:txPr>
        <c:crossAx val="24554496"/>
        <c:crosses val="autoZero"/>
        <c:auto val="1"/>
        <c:lblAlgn val="ctr"/>
        <c:lblOffset val="100"/>
        <c:tickLblSkip val="1"/>
        <c:tickMarkSkip val="1"/>
        <c:noMultiLvlLbl val="0"/>
      </c:catAx>
      <c:valAx>
        <c:axId val="24554496"/>
        <c:scaling>
          <c:orientation val="minMax"/>
          <c:max val="100"/>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025" b="1" i="0" u="none" strike="noStrike" baseline="0">
                <a:solidFill>
                  <a:srgbClr val="000000"/>
                </a:solidFill>
                <a:latin typeface="Arial"/>
                <a:ea typeface="Arial"/>
                <a:cs typeface="Arial"/>
              </a:defRPr>
            </a:pPr>
            <a:endParaRPr lang="lt-LT"/>
          </a:p>
        </c:txPr>
        <c:crossAx val="24552576"/>
        <c:crosses val="autoZero"/>
        <c:crossBetween val="between"/>
      </c:valAx>
      <c:spPr>
        <a:noFill/>
        <a:ln w="25400">
          <a:noFill/>
        </a:ln>
      </c:spPr>
    </c:plotArea>
    <c:plotVisOnly val="1"/>
    <c:dispBlanksAs val="gap"/>
    <c:showDLblsOverMax val="0"/>
  </c:chart>
  <c:spPr>
    <a:noFill/>
    <a:ln>
      <a:noFill/>
    </a:ln>
  </c:spPr>
  <c:txPr>
    <a:bodyPr/>
    <a:lstStyle/>
    <a:p>
      <a:pPr>
        <a:defRPr sz="800" b="1" i="0" u="none" strike="noStrike" baseline="0">
          <a:solidFill>
            <a:srgbClr val="000000"/>
          </a:solidFill>
          <a:latin typeface="Arial"/>
          <a:ea typeface="Arial"/>
          <a:cs typeface="Arial"/>
        </a:defRPr>
      </a:pPr>
      <a:endParaRPr lang="lt-LT"/>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671949286846276E-2"/>
          <c:y val="5.6410256410256411E-2"/>
          <c:w val="0.88272583201267829"/>
          <c:h val="0.6512820512820513"/>
        </c:manualLayout>
      </c:layout>
      <c:barChart>
        <c:barDir val="bar"/>
        <c:grouping val="clustered"/>
        <c:varyColors val="0"/>
        <c:ser>
          <c:idx val="1"/>
          <c:order val="0"/>
          <c:tx>
            <c:strRef>
              <c:f>Sheet1!$B$1</c:f>
              <c:strCache>
                <c:ptCount val="1"/>
                <c:pt idx="0">
                  <c:v>Nusikaltimų sk.</c:v>
                </c:pt>
              </c:strCache>
            </c:strRef>
          </c:tx>
          <c:spPr>
            <a:solidFill>
              <a:srgbClr val="FFCC00"/>
            </a:solidFill>
            <a:ln w="12700">
              <a:solidFill>
                <a:srgbClr val="000000"/>
              </a:solidFill>
              <a:prstDash val="solid"/>
            </a:ln>
          </c:spPr>
          <c:invertIfNegative val="0"/>
          <c:dLbls>
            <c:dLbl>
              <c:idx val="0"/>
              <c:layout>
                <c:manualLayout>
                  <c:x val="-0.42921397548715501"/>
                  <c:y val="-2.1025306170687388E-2"/>
                </c:manualLayout>
              </c:layout>
              <c:tx>
                <c:rich>
                  <a:bodyPr/>
                  <a:lstStyle/>
                  <a:p>
                    <a:r>
                      <a:rPr lang="lt-LT"/>
                      <a:t>1552 (2 proc.)</a:t>
                    </a:r>
                  </a:p>
                </c:rich>
              </c:tx>
              <c:dLblPos val="outEnd"/>
              <c:showLegendKey val="0"/>
              <c:showVal val="0"/>
              <c:showCatName val="0"/>
              <c:showSerName val="0"/>
              <c:showPercent val="0"/>
              <c:showBubbleSize val="0"/>
            </c:dLbl>
            <c:dLbl>
              <c:idx val="1"/>
              <c:layout>
                <c:manualLayout>
                  <c:x val="-0.41782891779626657"/>
                  <c:y val="-1.9315497382714548E-2"/>
                </c:manualLayout>
              </c:layout>
              <c:tx>
                <c:rich>
                  <a:bodyPr/>
                  <a:lstStyle/>
                  <a:p>
                    <a:r>
                      <a:rPr lang="lt-LT"/>
                      <a:t>1600 (2,3 proc.)</a:t>
                    </a:r>
                  </a:p>
                </c:rich>
              </c:tx>
              <c:dLblPos val="outEnd"/>
              <c:showLegendKey val="0"/>
              <c:showVal val="0"/>
              <c:showCatName val="0"/>
              <c:showSerName val="0"/>
              <c:showPercent val="0"/>
              <c:showBubbleSize val="0"/>
            </c:dLbl>
            <c:dLbl>
              <c:idx val="2"/>
              <c:layout>
                <c:manualLayout>
                  <c:x val="-0.39722669909579117"/>
                  <c:y val="-2.2734405854052491E-2"/>
                </c:manualLayout>
              </c:layout>
              <c:tx>
                <c:rich>
                  <a:bodyPr/>
                  <a:lstStyle/>
                  <a:p>
                    <a:r>
                      <a:rPr lang="lt-LT"/>
                      <a:t>1673 (2,3 proc.)</a:t>
                    </a:r>
                  </a:p>
                </c:rich>
              </c:tx>
              <c:dLblPos val="outEnd"/>
              <c:showLegendKey val="0"/>
              <c:showVal val="0"/>
              <c:showCatName val="0"/>
              <c:showSerName val="0"/>
              <c:showPercent val="0"/>
              <c:showBubbleSize val="0"/>
            </c:dLbl>
            <c:dLbl>
              <c:idx val="3"/>
              <c:layout>
                <c:manualLayout>
                  <c:xMode val="edge"/>
                  <c:yMode val="edge"/>
                  <c:x val="0.41996830427892234"/>
                  <c:y val="7.6923076923076927E-2"/>
                </c:manualLayout>
              </c:layout>
              <c:tx>
                <c:rich>
                  <a:bodyPr/>
                  <a:lstStyle/>
                  <a:p>
                    <a:r>
                      <a:t>1734 (2,34 proc.)</a:t>
                    </a:r>
                  </a:p>
                </c:rich>
              </c:tx>
              <c:dLblPos val="outEnd"/>
              <c:showLegendKey val="0"/>
              <c:showVal val="0"/>
              <c:showCatName val="0"/>
              <c:showSerName val="0"/>
              <c:showPercent val="0"/>
              <c:showBubbleSize val="0"/>
            </c:dLbl>
            <c:spPr>
              <a:noFill/>
              <a:ln w="25400">
                <a:noFill/>
              </a:ln>
            </c:spPr>
            <c:txPr>
              <a:bodyPr/>
              <a:lstStyle/>
              <a:p>
                <a:pPr>
                  <a:defRPr sz="800"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Sheet1!$A$2:$A$4</c:f>
              <c:strCache>
                <c:ptCount val="3"/>
                <c:pt idx="0">
                  <c:v>2006 m.</c:v>
                </c:pt>
                <c:pt idx="1">
                  <c:v>2007 m.</c:v>
                </c:pt>
                <c:pt idx="2">
                  <c:v>2008 m.</c:v>
                </c:pt>
              </c:strCache>
            </c:strRef>
          </c:cat>
          <c:val>
            <c:numRef>
              <c:f>Sheet1!$B$2:$B$4</c:f>
              <c:numCache>
                <c:formatCode>General</c:formatCode>
                <c:ptCount val="3"/>
                <c:pt idx="0">
                  <c:v>1673</c:v>
                </c:pt>
                <c:pt idx="1">
                  <c:v>1734</c:v>
                </c:pt>
                <c:pt idx="2">
                  <c:v>1837</c:v>
                </c:pt>
              </c:numCache>
            </c:numRef>
          </c:val>
        </c:ser>
        <c:dLbls>
          <c:showLegendKey val="0"/>
          <c:showVal val="1"/>
          <c:showCatName val="0"/>
          <c:showSerName val="0"/>
          <c:showPercent val="0"/>
          <c:showBubbleSize val="0"/>
        </c:dLbls>
        <c:gapWidth val="150"/>
        <c:axId val="24589824"/>
        <c:axId val="24596864"/>
      </c:barChart>
      <c:catAx>
        <c:axId val="24589824"/>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lt-LT"/>
          </a:p>
        </c:txPr>
        <c:crossAx val="24596864"/>
        <c:crossesAt val="0"/>
        <c:auto val="1"/>
        <c:lblAlgn val="ctr"/>
        <c:lblOffset val="100"/>
        <c:tickLblSkip val="1"/>
        <c:tickMarkSkip val="1"/>
        <c:noMultiLvlLbl val="0"/>
      </c:catAx>
      <c:valAx>
        <c:axId val="24596864"/>
        <c:scaling>
          <c:orientation val="minMax"/>
          <c:max val="1900"/>
          <c:min val="0"/>
        </c:scaling>
        <c:delete val="0"/>
        <c:axPos val="b"/>
        <c:title>
          <c:tx>
            <c:rich>
              <a:bodyPr/>
              <a:lstStyle/>
              <a:p>
                <a:pPr>
                  <a:defRPr sz="800" b="1" i="0" u="none" strike="noStrike" baseline="0">
                    <a:solidFill>
                      <a:srgbClr val="000000"/>
                    </a:solidFill>
                    <a:latin typeface="Arial"/>
                    <a:ea typeface="Arial"/>
                    <a:cs typeface="Arial"/>
                  </a:defRPr>
                </a:pPr>
                <a:r>
                  <a:rPr lang="lt-LT"/>
                  <a:t>Nusikalstamų veikų skaičius</a:t>
                </a:r>
              </a:p>
            </c:rich>
          </c:tx>
          <c:layout>
            <c:manualLayout>
              <c:xMode val="edge"/>
              <c:yMode val="edge"/>
              <c:x val="0.40887480190174325"/>
              <c:y val="0.8410256410256410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lt-LT"/>
          </a:p>
        </c:txPr>
        <c:crossAx val="24589824"/>
        <c:crosses val="autoZero"/>
        <c:crossBetween val="between"/>
      </c:valAx>
      <c:spPr>
        <a:noFill/>
        <a:ln w="25400">
          <a:noFill/>
        </a:ln>
      </c:spPr>
    </c:plotArea>
    <c:plotVisOnly val="1"/>
    <c:dispBlanksAs val="gap"/>
    <c:showDLblsOverMax val="0"/>
  </c:chart>
  <c:spPr>
    <a:noFill/>
    <a:ln>
      <a:noFill/>
    </a:ln>
  </c:spPr>
  <c:txPr>
    <a:bodyPr/>
    <a:lstStyle/>
    <a:p>
      <a:pPr>
        <a:defRPr sz="800" b="0" i="0" u="none" strike="noStrike" baseline="0">
          <a:solidFill>
            <a:srgbClr val="000000"/>
          </a:solidFill>
          <a:latin typeface="Arial"/>
          <a:ea typeface="Arial"/>
          <a:cs typeface="Arial"/>
        </a:defRPr>
      </a:pPr>
      <a:endParaRPr lang="lt-LT"/>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81592039800994"/>
          <c:y val="6.4814814814814811E-2"/>
          <c:w val="0.81094527363184077"/>
          <c:h val="0.79629629629629628"/>
        </c:manualLayout>
      </c:layout>
      <c:lineChart>
        <c:grouping val="standard"/>
        <c:varyColors val="0"/>
        <c:ser>
          <c:idx val="0"/>
          <c:order val="0"/>
          <c:tx>
            <c:strRef>
              <c:f>Sheet1!$A$2</c:f>
              <c:strCache>
                <c:ptCount val="1"/>
              </c:strCache>
            </c:strRef>
          </c:tx>
          <c:spPr>
            <a:ln w="34715">
              <a:solidFill>
                <a:srgbClr val="000080"/>
              </a:solidFill>
              <a:prstDash val="solid"/>
            </a:ln>
          </c:spPr>
          <c:marker>
            <c:symbol val="diamond"/>
            <c:size val="8"/>
            <c:spPr>
              <a:solidFill>
                <a:srgbClr val="000080"/>
              </a:solidFill>
              <a:ln>
                <a:solidFill>
                  <a:srgbClr val="000080"/>
                </a:solidFill>
                <a:prstDash val="solid"/>
              </a:ln>
            </c:spPr>
          </c:marker>
          <c:dLbls>
            <c:dLbl>
              <c:idx val="0"/>
              <c:layout>
                <c:manualLayout>
                  <c:x val="-3.2994723995943311E-2"/>
                  <c:y val="8.5687567775710877E-2"/>
                </c:manualLayout>
              </c:layout>
              <c:dLblPos val="r"/>
              <c:showLegendKey val="0"/>
              <c:showVal val="1"/>
              <c:showCatName val="0"/>
              <c:showSerName val="0"/>
              <c:showPercent val="0"/>
              <c:showBubbleSize val="0"/>
            </c:dLbl>
            <c:dLbl>
              <c:idx val="1"/>
              <c:layout>
                <c:manualLayout>
                  <c:x val="-1.9313216289506076E-2"/>
                  <c:y val="-0.11014601330173536"/>
                </c:manualLayout>
              </c:layout>
              <c:dLblPos val="r"/>
              <c:showLegendKey val="0"/>
              <c:showVal val="1"/>
              <c:showCatName val="0"/>
              <c:showSerName val="0"/>
              <c:showPercent val="0"/>
              <c:showBubbleSize val="0"/>
            </c:dLbl>
            <c:dLbl>
              <c:idx val="2"/>
              <c:layout>
                <c:manualLayout>
                  <c:x val="-5.6315263141858982E-3"/>
                  <c:y val="-0.12588647090634708"/>
                </c:manualLayout>
              </c:layout>
              <c:dLblPos val="r"/>
              <c:showLegendKey val="0"/>
              <c:showVal val="1"/>
              <c:showCatName val="0"/>
              <c:showSerName val="0"/>
              <c:showPercent val="0"/>
              <c:showBubbleSize val="0"/>
            </c:dLbl>
            <c:dLbl>
              <c:idx val="3"/>
              <c:layout>
                <c:manualLayout>
                  <c:x val="-6.8753917420770368E-3"/>
                  <c:y val="-0.10864120140322256"/>
                </c:manualLayout>
              </c:layout>
              <c:dLblPos val="r"/>
              <c:showLegendKey val="0"/>
              <c:showVal val="1"/>
              <c:showCatName val="0"/>
              <c:showSerName val="0"/>
              <c:showPercent val="0"/>
              <c:showBubbleSize val="0"/>
            </c:dLbl>
            <c:dLbl>
              <c:idx val="4"/>
              <c:tx>
                <c:rich>
                  <a:bodyPr/>
                  <a:lstStyle/>
                  <a:p>
                    <a:r>
                      <a:t>70,8</a:t>
                    </a:r>
                  </a:p>
                </c:rich>
              </c:tx>
              <c:dLblPos val="r"/>
              <c:showLegendKey val="0"/>
              <c:showVal val="0"/>
              <c:showCatName val="0"/>
              <c:showSerName val="0"/>
              <c:showPercent val="0"/>
              <c:showBubbleSize val="0"/>
            </c:dLbl>
            <c:dLbl>
              <c:idx val="5"/>
              <c:tx>
                <c:rich>
                  <a:bodyPr/>
                  <a:lstStyle/>
                  <a:p>
                    <a:r>
                      <a:t>62</a:t>
                    </a:r>
                  </a:p>
                </c:rich>
              </c:tx>
              <c:dLblPos val="r"/>
              <c:showLegendKey val="0"/>
              <c:showVal val="0"/>
              <c:showCatName val="0"/>
              <c:showSerName val="0"/>
              <c:showPercent val="0"/>
              <c:showBubbleSize val="0"/>
            </c:dLbl>
            <c:dLbl>
              <c:idx val="6"/>
              <c:tx>
                <c:rich>
                  <a:bodyPr/>
                  <a:lstStyle/>
                  <a:p>
                    <a:r>
                      <a:t>55,6</a:t>
                    </a:r>
                  </a:p>
                </c:rich>
              </c:tx>
              <c:dLblPos val="r"/>
              <c:showLegendKey val="0"/>
              <c:showVal val="0"/>
              <c:showCatName val="0"/>
              <c:showSerName val="0"/>
              <c:showPercent val="0"/>
              <c:showBubbleSize val="0"/>
            </c:dLbl>
            <c:dLbl>
              <c:idx val="7"/>
              <c:tx>
                <c:rich>
                  <a:bodyPr/>
                  <a:lstStyle/>
                  <a:p>
                    <a:pPr>
                      <a:defRPr sz="729" b="1" i="0" u="none" strike="noStrike" baseline="0">
                        <a:solidFill>
                          <a:srgbClr val="000080"/>
                        </a:solidFill>
                        <a:latin typeface="Arial"/>
                        <a:ea typeface="Arial"/>
                        <a:cs typeface="Arial"/>
                      </a:defRPr>
                    </a:pPr>
                    <a:r>
                      <a:t>74,8</a:t>
                    </a:r>
                  </a:p>
                </c:rich>
              </c:tx>
              <c:spPr>
                <a:noFill/>
                <a:ln w="23143">
                  <a:noFill/>
                </a:ln>
              </c:spPr>
              <c:dLblPos val="r"/>
              <c:showLegendKey val="0"/>
              <c:showVal val="0"/>
              <c:showCatName val="0"/>
              <c:showSerName val="0"/>
              <c:showPercent val="0"/>
              <c:showBubbleSize val="0"/>
            </c:dLbl>
            <c:dLbl>
              <c:idx val="15"/>
              <c:spPr>
                <a:noFill/>
                <a:ln w="23143">
                  <a:noFill/>
                </a:ln>
              </c:spPr>
              <c:txPr>
                <a:bodyPr/>
                <a:lstStyle/>
                <a:p>
                  <a:pPr>
                    <a:defRPr sz="866"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dLbl>
              <c:idx val="16"/>
              <c:spPr>
                <a:noFill/>
                <a:ln w="23143">
                  <a:noFill/>
                </a:ln>
              </c:spPr>
              <c:txPr>
                <a:bodyPr/>
                <a:lstStyle/>
                <a:p>
                  <a:pPr>
                    <a:defRPr sz="866"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spPr>
              <a:noFill/>
              <a:ln w="23143">
                <a:noFill/>
              </a:ln>
            </c:spPr>
            <c:txPr>
              <a:bodyPr/>
              <a:lstStyle/>
              <a:p>
                <a:pPr>
                  <a:defRPr sz="729"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Sheet1!$B$1:$E$1</c:f>
              <c:numCache>
                <c:formatCode>General</c:formatCode>
                <c:ptCount val="4"/>
                <c:pt idx="0">
                  <c:v>2005</c:v>
                </c:pt>
                <c:pt idx="1">
                  <c:v>2006</c:v>
                </c:pt>
                <c:pt idx="2">
                  <c:v>2007</c:v>
                </c:pt>
                <c:pt idx="3">
                  <c:v>2008</c:v>
                </c:pt>
              </c:numCache>
            </c:numRef>
          </c:cat>
          <c:val>
            <c:numRef>
              <c:f>Sheet1!$B$2:$E$2</c:f>
              <c:numCache>
                <c:formatCode>General</c:formatCode>
                <c:ptCount val="4"/>
                <c:pt idx="0">
                  <c:v>70.8</c:v>
                </c:pt>
                <c:pt idx="1">
                  <c:v>62</c:v>
                </c:pt>
                <c:pt idx="2">
                  <c:v>55.6</c:v>
                </c:pt>
                <c:pt idx="3">
                  <c:v>44.2</c:v>
                </c:pt>
              </c:numCache>
            </c:numRef>
          </c:val>
          <c:smooth val="0"/>
        </c:ser>
        <c:dLbls>
          <c:showLegendKey val="0"/>
          <c:showVal val="1"/>
          <c:showCatName val="0"/>
          <c:showSerName val="0"/>
          <c:showPercent val="0"/>
          <c:showBubbleSize val="0"/>
        </c:dLbls>
        <c:marker val="1"/>
        <c:smooth val="0"/>
        <c:axId val="24226048"/>
        <c:axId val="24256512"/>
      </c:lineChart>
      <c:catAx>
        <c:axId val="24226048"/>
        <c:scaling>
          <c:orientation val="minMax"/>
        </c:scaling>
        <c:delete val="0"/>
        <c:axPos val="b"/>
        <c:title>
          <c:tx>
            <c:rich>
              <a:bodyPr/>
              <a:lstStyle/>
              <a:p>
                <a:pPr>
                  <a:defRPr sz="729" b="1" i="0" u="none" strike="noStrike" baseline="0">
                    <a:solidFill>
                      <a:srgbClr val="000000"/>
                    </a:solidFill>
                    <a:latin typeface="Arial"/>
                    <a:ea typeface="Arial"/>
                    <a:cs typeface="Arial"/>
                  </a:defRPr>
                </a:pPr>
                <a:r>
                  <a:rPr lang="lt-LT"/>
                  <a:t>metai</a:t>
                </a:r>
              </a:p>
            </c:rich>
          </c:tx>
          <c:layout>
            <c:manualLayout>
              <c:xMode val="edge"/>
              <c:yMode val="edge"/>
              <c:x val="0.91293532338308458"/>
              <c:y val="0.81944444444444442"/>
            </c:manualLayout>
          </c:layout>
          <c:overlay val="0"/>
          <c:spPr>
            <a:noFill/>
            <a:ln w="23143">
              <a:noFill/>
            </a:ln>
          </c:spPr>
        </c:title>
        <c:numFmt formatCode="General" sourceLinked="1"/>
        <c:majorTickMark val="out"/>
        <c:minorTickMark val="none"/>
        <c:tickLblPos val="nextTo"/>
        <c:spPr>
          <a:ln w="2893">
            <a:solidFill>
              <a:srgbClr val="000000"/>
            </a:solidFill>
            <a:prstDash val="solid"/>
          </a:ln>
        </c:spPr>
        <c:txPr>
          <a:bodyPr rot="0" vert="horz"/>
          <a:lstStyle/>
          <a:p>
            <a:pPr>
              <a:defRPr sz="729" b="1" i="0" u="none" strike="noStrike" baseline="0">
                <a:solidFill>
                  <a:srgbClr val="000000"/>
                </a:solidFill>
                <a:latin typeface="Arial"/>
                <a:ea typeface="Arial"/>
                <a:cs typeface="Arial"/>
              </a:defRPr>
            </a:pPr>
            <a:endParaRPr lang="lt-LT"/>
          </a:p>
        </c:txPr>
        <c:crossAx val="24256512"/>
        <c:crosses val="autoZero"/>
        <c:auto val="1"/>
        <c:lblAlgn val="ctr"/>
        <c:lblOffset val="100"/>
        <c:tickLblSkip val="1"/>
        <c:tickMarkSkip val="1"/>
        <c:noMultiLvlLbl val="0"/>
      </c:catAx>
      <c:valAx>
        <c:axId val="24256512"/>
        <c:scaling>
          <c:orientation val="minMax"/>
          <c:max val="72"/>
          <c:min val="40"/>
        </c:scaling>
        <c:delete val="0"/>
        <c:axPos val="l"/>
        <c:title>
          <c:tx>
            <c:rich>
              <a:bodyPr/>
              <a:lstStyle/>
              <a:p>
                <a:pPr>
                  <a:defRPr sz="729" b="1" i="0" u="none" strike="noStrike" baseline="0">
                    <a:solidFill>
                      <a:srgbClr val="000000"/>
                    </a:solidFill>
                    <a:latin typeface="Arial"/>
                    <a:ea typeface="Arial"/>
                    <a:cs typeface="Arial"/>
                  </a:defRPr>
                </a:pPr>
                <a:r>
                  <a:rPr lang="lt-LT"/>
                  <a:t>proc.</a:t>
                </a:r>
              </a:p>
            </c:rich>
          </c:tx>
          <c:layout>
            <c:manualLayout>
              <c:xMode val="edge"/>
              <c:yMode val="edge"/>
              <c:x val="2.736318407960199E-2"/>
              <c:y val="0.38425925925925924"/>
            </c:manualLayout>
          </c:layout>
          <c:overlay val="0"/>
          <c:spPr>
            <a:noFill/>
            <a:ln w="23143">
              <a:noFill/>
            </a:ln>
          </c:spPr>
        </c:title>
        <c:numFmt formatCode="General" sourceLinked="1"/>
        <c:majorTickMark val="out"/>
        <c:minorTickMark val="none"/>
        <c:tickLblPos val="nextTo"/>
        <c:spPr>
          <a:ln w="2893">
            <a:solidFill>
              <a:srgbClr val="000000"/>
            </a:solidFill>
            <a:prstDash val="solid"/>
          </a:ln>
        </c:spPr>
        <c:txPr>
          <a:bodyPr rot="0" vert="horz"/>
          <a:lstStyle/>
          <a:p>
            <a:pPr>
              <a:defRPr sz="729" b="1" i="0" u="none" strike="noStrike" baseline="0">
                <a:solidFill>
                  <a:srgbClr val="000000"/>
                </a:solidFill>
                <a:latin typeface="Arial"/>
                <a:ea typeface="Arial"/>
                <a:cs typeface="Arial"/>
              </a:defRPr>
            </a:pPr>
            <a:endParaRPr lang="lt-LT"/>
          </a:p>
        </c:txPr>
        <c:crossAx val="24226048"/>
        <c:crosses val="autoZero"/>
        <c:crossBetween val="between"/>
      </c:valAx>
      <c:spPr>
        <a:noFill/>
        <a:ln w="23143">
          <a:noFill/>
        </a:ln>
      </c:spPr>
    </c:plotArea>
    <c:plotVisOnly val="1"/>
    <c:dispBlanksAs val="gap"/>
    <c:showDLblsOverMax val="0"/>
  </c:chart>
  <c:spPr>
    <a:noFill/>
    <a:ln w="9525" cap="flat" cmpd="sng" algn="ctr">
      <a:solidFill>
        <a:srgbClr val="FFFFFF"/>
      </a:solidFill>
      <a:prstDash val="solid"/>
      <a:miter lim="800000"/>
      <a:headEnd type="none" w="med" len="med"/>
      <a:tailEnd type="none" w="med" len="med"/>
    </a:ln>
  </c:spPr>
  <c:txPr>
    <a:bodyPr/>
    <a:lstStyle/>
    <a:p>
      <a:pPr>
        <a:defRPr sz="866" b="1" i="0" u="none" strike="noStrike" baseline="0">
          <a:solidFill>
            <a:srgbClr val="000000"/>
          </a:solidFill>
          <a:latin typeface="Arial"/>
          <a:ea typeface="Arial"/>
          <a:cs typeface="Arial"/>
        </a:defRPr>
      </a:pPr>
      <a:endParaRPr lang="lt-LT"/>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9" b="1" i="0" u="none" strike="noStrike" baseline="0">
                <a:solidFill>
                  <a:srgbClr val="0000FF"/>
                </a:solidFill>
                <a:latin typeface="Times New Roman"/>
                <a:ea typeface="Times New Roman"/>
                <a:cs typeface="Times New Roman"/>
              </a:defRPr>
            </a:pPr>
            <a:r>
              <a:rPr lang="lt-LT"/>
              <a:t>Nusikaltimų ir baudžiamųjų nusižengimų santykis</a:t>
            </a:r>
          </a:p>
        </c:rich>
      </c:tx>
      <c:layout>
        <c:manualLayout>
          <c:xMode val="edge"/>
          <c:yMode val="edge"/>
          <c:x val="9.3312597200622092E-3"/>
          <c:y val="0"/>
        </c:manualLayout>
      </c:layout>
      <c:overlay val="0"/>
      <c:spPr>
        <a:noFill/>
        <a:ln w="25384">
          <a:noFill/>
        </a:ln>
      </c:spPr>
    </c:title>
    <c:autoTitleDeleted val="0"/>
    <c:plotArea>
      <c:layout>
        <c:manualLayout>
          <c:layoutTarget val="inner"/>
          <c:xMode val="edge"/>
          <c:yMode val="edge"/>
          <c:x val="8.2426127527216175E-2"/>
          <c:y val="0.20754716981132076"/>
          <c:w val="0.89735614307931566"/>
          <c:h val="0.62264150943396224"/>
        </c:manualLayout>
      </c:layout>
      <c:barChart>
        <c:barDir val="bar"/>
        <c:grouping val="stacked"/>
        <c:varyColors val="0"/>
        <c:ser>
          <c:idx val="0"/>
          <c:order val="0"/>
          <c:tx>
            <c:v>Nusikaltimų skaičius</c:v>
          </c:tx>
          <c:spPr>
            <a:solidFill>
              <a:srgbClr val="3366FF"/>
            </a:solidFill>
            <a:ln w="12692">
              <a:solidFill>
                <a:srgbClr val="000000"/>
              </a:solidFill>
              <a:prstDash val="solid"/>
            </a:ln>
          </c:spPr>
          <c:invertIfNegative val="0"/>
          <c:dLbls>
            <c:spPr>
              <a:noFill/>
              <a:ln w="25384">
                <a:noFill/>
              </a:ln>
            </c:spPr>
            <c:txPr>
              <a:bodyPr/>
              <a:lstStyle/>
              <a:p>
                <a:pPr>
                  <a:defRPr sz="1074" b="1" i="0" u="none" strike="noStrike" baseline="0">
                    <a:solidFill>
                      <a:srgbClr val="FFFFFF"/>
                    </a:solidFill>
                    <a:latin typeface="Arial"/>
                    <a:ea typeface="Arial"/>
                    <a:cs typeface="Arial"/>
                  </a:defRPr>
                </a:pPr>
                <a:endParaRPr lang="lt-LT"/>
              </a:p>
            </c:txPr>
            <c:showLegendKey val="0"/>
            <c:showVal val="1"/>
            <c:showCatName val="0"/>
            <c:showSerName val="0"/>
            <c:showPercent val="0"/>
            <c:showBubbleSize val="0"/>
            <c:showLeaderLines val="0"/>
          </c:dLbls>
          <c:cat>
            <c:strLit>
              <c:ptCount val="1"/>
              <c:pt idx="0">
                <c:v>Metai</c:v>
              </c:pt>
            </c:strLit>
          </c:cat>
          <c:val>
            <c:numRef>
              <c:f>Sheet1!$B$4:$B$8</c:f>
              <c:numCache>
                <c:formatCode>General</c:formatCode>
                <c:ptCount val="5"/>
                <c:pt idx="0">
                  <c:v>1231</c:v>
                </c:pt>
                <c:pt idx="1">
                  <c:v>1193</c:v>
                </c:pt>
                <c:pt idx="2">
                  <c:v>1171</c:v>
                </c:pt>
                <c:pt idx="3">
                  <c:v>1329</c:v>
                </c:pt>
                <c:pt idx="4">
                  <c:v>1374</c:v>
                </c:pt>
              </c:numCache>
            </c:numRef>
          </c:val>
        </c:ser>
        <c:ser>
          <c:idx val="1"/>
          <c:order val="1"/>
          <c:tx>
            <c:v>Baudžiamųjų nusižengimų skaičius</c:v>
          </c:tx>
          <c:spPr>
            <a:solidFill>
              <a:srgbClr val="FFFF00"/>
            </a:solidFill>
            <a:ln w="12692">
              <a:solidFill>
                <a:srgbClr val="000000"/>
              </a:solidFill>
              <a:prstDash val="solid"/>
            </a:ln>
          </c:spPr>
          <c:invertIfNegative val="0"/>
          <c:dLbls>
            <c:numFmt formatCode="General" sourceLinked="0"/>
            <c:spPr>
              <a:noFill/>
              <a:ln w="25384">
                <a:noFill/>
              </a:ln>
            </c:spPr>
            <c:txPr>
              <a:bodyPr/>
              <a:lstStyle/>
              <a:p>
                <a:pPr>
                  <a:defRPr sz="1074"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Lit>
              <c:ptCount val="1"/>
              <c:pt idx="0">
                <c:v>Metai</c:v>
              </c:pt>
            </c:strLit>
          </c:cat>
          <c:val>
            <c:numRef>
              <c:f>Sheet1!$C$4:$C$8</c:f>
              <c:numCache>
                <c:formatCode>General</c:formatCode>
                <c:ptCount val="5"/>
                <c:pt idx="0">
                  <c:v>321</c:v>
                </c:pt>
                <c:pt idx="1">
                  <c:v>407</c:v>
                </c:pt>
                <c:pt idx="2">
                  <c:v>502</c:v>
                </c:pt>
                <c:pt idx="3">
                  <c:v>405</c:v>
                </c:pt>
                <c:pt idx="4">
                  <c:v>463</c:v>
                </c:pt>
              </c:numCache>
            </c:numRef>
          </c:val>
        </c:ser>
        <c:dLbls>
          <c:showLegendKey val="0"/>
          <c:showVal val="1"/>
          <c:showCatName val="0"/>
          <c:showSerName val="0"/>
          <c:showPercent val="0"/>
          <c:showBubbleSize val="0"/>
        </c:dLbls>
        <c:gapWidth val="100"/>
        <c:overlap val="100"/>
        <c:axId val="24299776"/>
        <c:axId val="90308608"/>
      </c:barChart>
      <c:dateAx>
        <c:axId val="24299776"/>
        <c:scaling>
          <c:orientation val="minMax"/>
          <c:max val="39448"/>
          <c:min val="37987"/>
        </c:scaling>
        <c:delete val="0"/>
        <c:axPos val="l"/>
        <c:numFmt formatCode="yyyy" sourceLinked="0"/>
        <c:majorTickMark val="out"/>
        <c:minorTickMark val="none"/>
        <c:tickLblPos val="nextTo"/>
        <c:spPr>
          <a:ln w="3173">
            <a:solidFill>
              <a:srgbClr val="000000"/>
            </a:solidFill>
            <a:prstDash val="solid"/>
          </a:ln>
        </c:spPr>
        <c:txPr>
          <a:bodyPr rot="0" vert="horz"/>
          <a:lstStyle/>
          <a:p>
            <a:pPr>
              <a:defRPr sz="874" b="1" i="0" u="none" strike="noStrike" baseline="0">
                <a:solidFill>
                  <a:srgbClr val="000000"/>
                </a:solidFill>
                <a:latin typeface="Arial"/>
                <a:ea typeface="Arial"/>
                <a:cs typeface="Arial"/>
              </a:defRPr>
            </a:pPr>
            <a:endParaRPr lang="lt-LT"/>
          </a:p>
        </c:txPr>
        <c:crossAx val="90308608"/>
        <c:crossesAt val="0"/>
        <c:auto val="0"/>
        <c:lblOffset val="100"/>
        <c:baseTimeUnit val="years"/>
        <c:majorUnit val="1"/>
        <c:majorTimeUnit val="years"/>
        <c:minorUnit val="1"/>
        <c:minorTimeUnit val="years"/>
      </c:dateAx>
      <c:valAx>
        <c:axId val="90308608"/>
        <c:scaling>
          <c:orientation val="minMax"/>
          <c:max val="1900"/>
          <c:min val="0"/>
        </c:scaling>
        <c:delete val="0"/>
        <c:axPos val="b"/>
        <c:numFmt formatCode="General" sourceLinked="1"/>
        <c:majorTickMark val="out"/>
        <c:minorTickMark val="none"/>
        <c:tickLblPos val="nextTo"/>
        <c:spPr>
          <a:ln w="3173">
            <a:solidFill>
              <a:srgbClr val="000000"/>
            </a:solidFill>
            <a:prstDash val="solid"/>
          </a:ln>
        </c:spPr>
        <c:txPr>
          <a:bodyPr rot="0" vert="horz"/>
          <a:lstStyle/>
          <a:p>
            <a:pPr>
              <a:defRPr sz="849" b="1" i="0" u="none" strike="noStrike" baseline="0">
                <a:solidFill>
                  <a:srgbClr val="000000"/>
                </a:solidFill>
                <a:latin typeface="Arial"/>
                <a:ea typeface="Arial"/>
                <a:cs typeface="Arial"/>
              </a:defRPr>
            </a:pPr>
            <a:endParaRPr lang="lt-LT"/>
          </a:p>
        </c:txPr>
        <c:crossAx val="24299776"/>
        <c:crossesAt val="0"/>
        <c:crossBetween val="between"/>
        <c:majorUnit val="200"/>
        <c:minorUnit val="40"/>
      </c:valAx>
      <c:spPr>
        <a:noFill/>
        <a:ln w="25384">
          <a:noFill/>
        </a:ln>
      </c:spPr>
    </c:plotArea>
    <c:legend>
      <c:legendPos val="t"/>
      <c:layout>
        <c:manualLayout>
          <c:xMode val="edge"/>
          <c:yMode val="edge"/>
          <c:x val="0.68584758942457236"/>
          <c:y val="0"/>
          <c:w val="0.31259720062208396"/>
          <c:h val="0.15094339622641509"/>
        </c:manualLayout>
      </c:layout>
      <c:overlay val="0"/>
      <c:spPr>
        <a:solidFill>
          <a:srgbClr val="FFFFFF"/>
        </a:solidFill>
        <a:ln w="3173">
          <a:solidFill>
            <a:srgbClr val="000000"/>
          </a:solidFill>
          <a:prstDash val="solid"/>
        </a:ln>
      </c:spPr>
      <c:txPr>
        <a:bodyPr/>
        <a:lstStyle/>
        <a:p>
          <a:pPr>
            <a:defRPr sz="735" b="0" i="0" u="none" strike="noStrike" baseline="0">
              <a:solidFill>
                <a:srgbClr val="000000"/>
              </a:solidFill>
              <a:latin typeface="Times New Roman"/>
              <a:ea typeface="Times New Roman"/>
              <a:cs typeface="Times New Roman"/>
            </a:defRPr>
          </a:pPr>
          <a:endParaRPr lang="lt-LT"/>
        </a:p>
      </c:txPr>
    </c:legend>
    <c:plotVisOnly val="0"/>
    <c:dispBlanksAs val="gap"/>
    <c:showDLblsOverMax val="0"/>
  </c:chart>
  <c:spPr>
    <a:noFill/>
    <a:ln>
      <a:noFill/>
    </a:ln>
  </c:spPr>
  <c:txPr>
    <a:bodyPr/>
    <a:lstStyle/>
    <a:p>
      <a:pPr>
        <a:defRPr sz="225" b="0" i="0" u="none" strike="noStrike" baseline="0">
          <a:solidFill>
            <a:srgbClr val="000000"/>
          </a:solidFill>
          <a:latin typeface="Arial"/>
          <a:ea typeface="Arial"/>
          <a:cs typeface="Arial"/>
        </a:defRPr>
      </a:pPr>
      <a:endParaRPr lang="lt-LT"/>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1" b="1" i="0" u="none" strike="noStrike" baseline="0">
                <a:solidFill>
                  <a:srgbClr val="0000FF"/>
                </a:solidFill>
                <a:latin typeface="Times New Roman"/>
                <a:ea typeface="Times New Roman"/>
                <a:cs typeface="Times New Roman"/>
              </a:defRPr>
            </a:pPr>
            <a:r>
              <a:rPr lang="lt-LT"/>
              <a:t>Nusikalstamų veikų pasiskirstymas pagal ikiteisminio tyrimo įstaigas </a:t>
            </a:r>
          </a:p>
        </c:rich>
      </c:tx>
      <c:layout>
        <c:manualLayout>
          <c:xMode val="edge"/>
          <c:yMode val="edge"/>
          <c:x val="0.10927152317880795"/>
          <c:y val="0"/>
        </c:manualLayout>
      </c:layout>
      <c:overlay val="0"/>
      <c:spPr>
        <a:noFill/>
        <a:ln w="25421">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0264900662251655"/>
          <c:y val="0.33170731707317075"/>
          <c:w val="0.7483443708609272"/>
          <c:h val="0.43414634146341463"/>
        </c:manualLayout>
      </c:layout>
      <c:pie3DChart>
        <c:varyColors val="1"/>
        <c:ser>
          <c:idx val="0"/>
          <c:order val="0"/>
          <c:tx>
            <c:strRef>
              <c:f>Sheet1!$A$2</c:f>
              <c:strCache>
                <c:ptCount val="1"/>
              </c:strCache>
            </c:strRef>
          </c:tx>
          <c:spPr>
            <a:ln w="12710">
              <a:solidFill>
                <a:srgbClr val="000000"/>
              </a:solidFill>
              <a:prstDash val="solid"/>
            </a:ln>
          </c:spPr>
          <c:explosion val="13"/>
          <c:dPt>
            <c:idx val="0"/>
            <c:bubble3D val="0"/>
            <c:spPr>
              <a:solidFill>
                <a:srgbClr val="9999FF"/>
              </a:solidFill>
              <a:ln w="12710">
                <a:solidFill>
                  <a:srgbClr val="000000"/>
                </a:solidFill>
                <a:prstDash val="solid"/>
              </a:ln>
            </c:spPr>
          </c:dPt>
          <c:dPt>
            <c:idx val="1"/>
            <c:bubble3D val="0"/>
            <c:spPr>
              <a:solidFill>
                <a:srgbClr val="993366"/>
              </a:solidFill>
              <a:ln w="12710">
                <a:solidFill>
                  <a:srgbClr val="000000"/>
                </a:solidFill>
                <a:prstDash val="solid"/>
              </a:ln>
            </c:spPr>
          </c:dPt>
          <c:dPt>
            <c:idx val="2"/>
            <c:bubble3D val="0"/>
            <c:spPr>
              <a:solidFill>
                <a:srgbClr val="FFFFCC"/>
              </a:solidFill>
              <a:ln w="12710">
                <a:solidFill>
                  <a:srgbClr val="000000"/>
                </a:solidFill>
                <a:prstDash val="solid"/>
              </a:ln>
            </c:spPr>
          </c:dPt>
          <c:dPt>
            <c:idx val="3"/>
            <c:bubble3D val="0"/>
            <c:spPr>
              <a:solidFill>
                <a:srgbClr val="CCFFFF"/>
              </a:solidFill>
              <a:ln w="12710">
                <a:solidFill>
                  <a:srgbClr val="000000"/>
                </a:solidFill>
                <a:prstDash val="solid"/>
              </a:ln>
            </c:spPr>
          </c:dPt>
          <c:dPt>
            <c:idx val="4"/>
            <c:bubble3D val="0"/>
            <c:spPr>
              <a:solidFill>
                <a:srgbClr val="660066"/>
              </a:solidFill>
              <a:ln w="12710">
                <a:solidFill>
                  <a:srgbClr val="000000"/>
                </a:solidFill>
                <a:prstDash val="solid"/>
              </a:ln>
            </c:spPr>
          </c:dPt>
          <c:dPt>
            <c:idx val="5"/>
            <c:bubble3D val="0"/>
            <c:spPr>
              <a:solidFill>
                <a:srgbClr val="FF8080"/>
              </a:solidFill>
              <a:ln w="12710">
                <a:solidFill>
                  <a:srgbClr val="000000"/>
                </a:solidFill>
                <a:prstDash val="solid"/>
              </a:ln>
            </c:spPr>
          </c:dPt>
          <c:dPt>
            <c:idx val="7"/>
            <c:bubble3D val="0"/>
            <c:spPr>
              <a:solidFill>
                <a:srgbClr val="FFCC00"/>
              </a:solidFill>
              <a:ln w="12710">
                <a:solidFill>
                  <a:srgbClr val="000000"/>
                </a:solidFill>
                <a:prstDash val="solid"/>
              </a:ln>
            </c:spPr>
          </c:dPt>
          <c:dLbls>
            <c:dLbl>
              <c:idx val="0"/>
              <c:dLblPos val="bestFit"/>
              <c:showLegendKey val="0"/>
              <c:showVal val="0"/>
              <c:showCatName val="1"/>
              <c:showSerName val="0"/>
              <c:showPercent val="1"/>
              <c:showBubbleSize val="0"/>
            </c:dLbl>
            <c:dLbl>
              <c:idx val="1"/>
              <c:dLblPos val="bestFit"/>
              <c:showLegendKey val="0"/>
              <c:showVal val="0"/>
              <c:showCatName val="1"/>
              <c:showSerName val="0"/>
              <c:showPercent val="1"/>
              <c:showBubbleSize val="0"/>
            </c:dLbl>
            <c:dLbl>
              <c:idx val="2"/>
              <c:layout>
                <c:manualLayout>
                  <c:x val="2.4069952451804988E-2"/>
                  <c:y val="-0.14706537859738605"/>
                </c:manualLayout>
              </c:layout>
              <c:dLblPos val="bestFit"/>
              <c:showLegendKey val="0"/>
              <c:showVal val="0"/>
              <c:showCatName val="1"/>
              <c:showSerName val="0"/>
              <c:showPercent val="1"/>
              <c:showBubbleSize val="0"/>
            </c:dLbl>
            <c:dLbl>
              <c:idx val="3"/>
              <c:layout>
                <c:manualLayout>
                  <c:x val="5.3359442885160986E-2"/>
                  <c:y val="-0.13899179845854492"/>
                </c:manualLayout>
              </c:layout>
              <c:dLblPos val="bestFit"/>
              <c:showLegendKey val="0"/>
              <c:showVal val="0"/>
              <c:showCatName val="1"/>
              <c:showSerName val="0"/>
              <c:showPercent val="1"/>
              <c:showBubbleSize val="0"/>
            </c:dLbl>
            <c:dLbl>
              <c:idx val="4"/>
              <c:layout>
                <c:manualLayout>
                  <c:xMode val="edge"/>
                  <c:yMode val="edge"/>
                  <c:x val="0.16225165562913907"/>
                  <c:y val="0.57560975609756093"/>
                </c:manualLayout>
              </c:layout>
              <c:dLblPos val="bestFit"/>
              <c:showLegendKey val="0"/>
              <c:showVal val="0"/>
              <c:showCatName val="1"/>
              <c:showSerName val="0"/>
              <c:showPercent val="1"/>
              <c:showBubbleSize val="0"/>
            </c:dLbl>
            <c:dLbl>
              <c:idx val="5"/>
              <c:layout>
                <c:manualLayout>
                  <c:xMode val="edge"/>
                  <c:yMode val="edge"/>
                  <c:x val="0.58940397350993379"/>
                  <c:y val="0.25853658536585367"/>
                </c:manualLayout>
              </c:layout>
              <c:dLblPos val="bestFit"/>
              <c:showLegendKey val="0"/>
              <c:showVal val="0"/>
              <c:showCatName val="1"/>
              <c:showSerName val="0"/>
              <c:showPercent val="1"/>
              <c:showBubbleSize val="0"/>
            </c:dLbl>
            <c:dLbl>
              <c:idx val="6"/>
              <c:layout>
                <c:manualLayout>
                  <c:xMode val="edge"/>
                  <c:yMode val="edge"/>
                  <c:x val="0.16556291390728478"/>
                  <c:y val="0.52682926829268295"/>
                </c:manualLayout>
              </c:layout>
              <c:numFmt formatCode="0%" sourceLinked="0"/>
              <c:spPr>
                <a:noFill/>
                <a:ln w="25421">
                  <a:noFill/>
                </a:ln>
              </c:spPr>
              <c:txPr>
                <a:bodyPr/>
                <a:lstStyle/>
                <a:p>
                  <a:pPr>
                    <a:defRPr sz="300" b="1" i="0" u="none" strike="noStrike" baseline="0">
                      <a:solidFill>
                        <a:srgbClr val="000000"/>
                      </a:solidFill>
                      <a:latin typeface="Times New Roman"/>
                      <a:ea typeface="Times New Roman"/>
                      <a:cs typeface="Times New Roman"/>
                    </a:defRPr>
                  </a:pPr>
                  <a:endParaRPr lang="lt-LT"/>
                </a:p>
              </c:txPr>
              <c:dLblPos val="bestFit"/>
              <c:showLegendKey val="0"/>
              <c:showVal val="0"/>
              <c:showCatName val="1"/>
              <c:showSerName val="0"/>
              <c:showPercent val="1"/>
              <c:showBubbleSize val="0"/>
            </c:dLbl>
            <c:dLbl>
              <c:idx val="7"/>
              <c:layout>
                <c:manualLayout>
                  <c:xMode val="edge"/>
                  <c:yMode val="edge"/>
                  <c:x val="0.6258278145695364"/>
                  <c:y val="0.42439024390243901"/>
                </c:manualLayout>
              </c:layout>
              <c:tx>
                <c:rich>
                  <a:bodyPr rot="-5400000" vert="horz"/>
                  <a:lstStyle/>
                  <a:p>
                    <a:pPr algn="ctr">
                      <a:defRPr sz="300" b="1" i="0" u="none" strike="noStrike" baseline="0">
                        <a:solidFill>
                          <a:srgbClr val="000000"/>
                        </a:solidFill>
                        <a:latin typeface="Arial"/>
                        <a:ea typeface="Arial"/>
                        <a:cs typeface="Arial"/>
                      </a:defRPr>
                    </a:pPr>
                    <a:r>
                      <a:t>Jaunimas
65%</a:t>
                    </a:r>
                  </a:p>
                </c:rich>
              </c:tx>
              <c:spPr>
                <a:noFill/>
                <a:ln w="25421">
                  <a:noFill/>
                </a:ln>
              </c:spPr>
              <c:dLblPos val="bestFit"/>
              <c:showLegendKey val="0"/>
              <c:showVal val="0"/>
              <c:showCatName val="0"/>
              <c:showSerName val="0"/>
              <c:showPercent val="0"/>
              <c:showBubbleSize val="0"/>
            </c:dLbl>
            <c:numFmt formatCode="0%" sourceLinked="0"/>
            <c:spPr>
              <a:noFill/>
              <a:ln w="25421">
                <a:noFill/>
              </a:ln>
            </c:spPr>
            <c:txPr>
              <a:bodyPr/>
              <a:lstStyle/>
              <a:p>
                <a:pPr>
                  <a:defRPr sz="826" b="1"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Sheet1!$B$1:$E$1</c:f>
              <c:strCache>
                <c:ptCount val="4"/>
                <c:pt idx="0">
                  <c:v>Policija</c:v>
                </c:pt>
                <c:pt idx="1">
                  <c:v>Muitinė</c:v>
                </c:pt>
                <c:pt idx="2">
                  <c:v>VSAT</c:v>
                </c:pt>
                <c:pt idx="3">
                  <c:v>Kalėjimų d-tas</c:v>
                </c:pt>
              </c:strCache>
            </c:strRef>
          </c:cat>
          <c:val>
            <c:numRef>
              <c:f>Sheet1!$B$2:$E$2</c:f>
              <c:numCache>
                <c:formatCode>General</c:formatCode>
                <c:ptCount val="4"/>
                <c:pt idx="0">
                  <c:v>1613</c:v>
                </c:pt>
                <c:pt idx="1">
                  <c:v>15</c:v>
                </c:pt>
                <c:pt idx="2">
                  <c:v>17</c:v>
                </c:pt>
                <c:pt idx="3">
                  <c:v>141</c:v>
                </c:pt>
              </c:numCache>
            </c:numRef>
          </c:val>
        </c:ser>
        <c:dLbls>
          <c:showLegendKey val="0"/>
          <c:showVal val="0"/>
          <c:showCatName val="0"/>
          <c:showSerName val="0"/>
          <c:showPercent val="0"/>
          <c:showBubbleSize val="0"/>
          <c:showLeaderLines val="1"/>
        </c:dLbls>
      </c:pie3DChart>
      <c:spPr>
        <a:noFill/>
        <a:ln w="25421">
          <a:noFill/>
        </a:ln>
      </c:spPr>
    </c:plotArea>
    <c:plotVisOnly val="1"/>
    <c:dispBlanksAs val="zero"/>
    <c:showDLblsOverMax val="0"/>
  </c:chart>
  <c:spPr>
    <a:noFill/>
    <a:ln>
      <a:noFill/>
    </a:ln>
  </c:spPr>
  <c:txPr>
    <a:bodyPr/>
    <a:lstStyle/>
    <a:p>
      <a:pPr>
        <a:defRPr sz="876" b="1" i="0" u="none" strike="noStrike" baseline="0">
          <a:solidFill>
            <a:srgbClr val="000000"/>
          </a:solidFill>
          <a:latin typeface="Arial"/>
          <a:ea typeface="Arial"/>
          <a:cs typeface="Arial"/>
        </a:defRPr>
      </a:pPr>
      <a:endParaRPr lang="lt-LT"/>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FF"/>
                </a:solidFill>
                <a:latin typeface="Times New Roman"/>
                <a:ea typeface="Times New Roman"/>
                <a:cs typeface="Times New Roman"/>
              </a:defRPr>
            </a:pPr>
            <a:r>
              <a:rPr lang="lt-LT"/>
              <a:t>Nusikalstamų veikų pasiskirstymas šalyje</a:t>
            </a:r>
          </a:p>
        </c:rich>
      </c:tx>
      <c:layout>
        <c:manualLayout>
          <c:xMode val="edge"/>
          <c:yMode val="edge"/>
          <c:x val="0.15088757396449703"/>
          <c:y val="0"/>
        </c:manualLayout>
      </c:layout>
      <c:overlay val="0"/>
      <c:spPr>
        <a:noFill/>
        <a:ln w="25401">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976331360946747"/>
          <c:y val="0.30869565217391304"/>
          <c:w val="0.7248520710059172"/>
          <c:h val="0.42608695652173911"/>
        </c:manualLayout>
      </c:layout>
      <c:pie3DChart>
        <c:varyColors val="1"/>
        <c:ser>
          <c:idx val="0"/>
          <c:order val="0"/>
          <c:tx>
            <c:strRef>
              <c:f>Sheet1!$A$2</c:f>
              <c:strCache>
                <c:ptCount val="1"/>
              </c:strCache>
            </c:strRef>
          </c:tx>
          <c:spPr>
            <a:ln w="12700">
              <a:solidFill>
                <a:srgbClr val="000000"/>
              </a:solidFill>
              <a:prstDash val="solid"/>
            </a:ln>
          </c:spPr>
          <c:explosion val="7"/>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Pt>
            <c:idx val="7"/>
            <c:bubble3D val="0"/>
            <c:spPr>
              <a:solidFill>
                <a:srgbClr val="FFCC00"/>
              </a:solidFill>
              <a:ln w="12700">
                <a:solidFill>
                  <a:srgbClr val="000000"/>
                </a:solidFill>
                <a:prstDash val="solid"/>
              </a:ln>
            </c:spPr>
          </c:dPt>
          <c:dLbls>
            <c:dLbl>
              <c:idx val="0"/>
              <c:layout>
                <c:manualLayout>
                  <c:x val="-0.10071480824311015"/>
                  <c:y val="-0.14011927041728481"/>
                </c:manualLayout>
              </c:layout>
              <c:dLblPos val="bestFit"/>
              <c:showLegendKey val="0"/>
              <c:showVal val="0"/>
              <c:showCatName val="1"/>
              <c:showSerName val="0"/>
              <c:showPercent val="1"/>
              <c:showBubbleSize val="0"/>
            </c:dLbl>
            <c:dLbl>
              <c:idx val="1"/>
              <c:layout>
                <c:manualLayout>
                  <c:x val="5.4252620433262809E-2"/>
                  <c:y val="-1.099446536574239E-2"/>
                </c:manualLayout>
              </c:layout>
              <c:dLblPos val="bestFit"/>
              <c:showLegendKey val="0"/>
              <c:showVal val="0"/>
              <c:showCatName val="1"/>
              <c:showSerName val="0"/>
              <c:showPercent val="1"/>
              <c:showBubbleSize val="0"/>
            </c:dLbl>
            <c:dLbl>
              <c:idx val="3"/>
              <c:layout>
                <c:manualLayout>
                  <c:x val="-3.2119951791940105E-2"/>
                  <c:y val="4.5317756476092624E-2"/>
                </c:manualLayout>
              </c:layout>
              <c:dLblPos val="bestFit"/>
              <c:showLegendKey val="0"/>
              <c:showVal val="0"/>
              <c:showCatName val="1"/>
              <c:showSerName val="0"/>
              <c:showPercent val="1"/>
              <c:showBubbleSize val="0"/>
            </c:dLbl>
            <c:dLbl>
              <c:idx val="4"/>
              <c:layout>
                <c:manualLayout>
                  <c:x val="-6.6847199914595035E-2"/>
                  <c:y val="-2.9515386663623343E-3"/>
                </c:manualLayout>
              </c:layout>
              <c:dLblPos val="bestFit"/>
              <c:showLegendKey val="0"/>
              <c:showVal val="0"/>
              <c:showCatName val="1"/>
              <c:showSerName val="0"/>
              <c:showPercent val="1"/>
              <c:showBubbleSize val="0"/>
            </c:dLbl>
            <c:dLbl>
              <c:idx val="5"/>
              <c:layout>
                <c:manualLayout>
                  <c:x val="6.3200956969949984E-2"/>
                  <c:y val="-0.14234438358248699"/>
                </c:manualLayout>
              </c:layout>
              <c:dLblPos val="bestFit"/>
              <c:showLegendKey val="0"/>
              <c:showVal val="0"/>
              <c:showCatName val="1"/>
              <c:showSerName val="0"/>
              <c:showPercent val="1"/>
              <c:showBubbleSize val="0"/>
            </c:dLbl>
            <c:dLbl>
              <c:idx val="6"/>
              <c:layout>
                <c:manualLayout>
                  <c:xMode val="edge"/>
                  <c:yMode val="edge"/>
                  <c:x val="0.14792899408284024"/>
                  <c:y val="0.46956521739130436"/>
                </c:manualLayout>
              </c:layout>
              <c:numFmt formatCode="0%" sourceLinked="0"/>
              <c:spPr>
                <a:noFill/>
                <a:ln w="25401">
                  <a:noFill/>
                </a:ln>
              </c:spPr>
              <c:txPr>
                <a:bodyPr/>
                <a:lstStyle/>
                <a:p>
                  <a:pPr>
                    <a:defRPr sz="350" b="1" i="0" u="none" strike="noStrike" baseline="0">
                      <a:solidFill>
                        <a:srgbClr val="000000"/>
                      </a:solidFill>
                      <a:latin typeface="Times New Roman"/>
                      <a:ea typeface="Times New Roman"/>
                      <a:cs typeface="Times New Roman"/>
                    </a:defRPr>
                  </a:pPr>
                  <a:endParaRPr lang="lt-LT"/>
                </a:p>
              </c:txPr>
              <c:dLblPos val="bestFit"/>
              <c:showLegendKey val="0"/>
              <c:showVal val="0"/>
              <c:showCatName val="1"/>
              <c:showSerName val="0"/>
              <c:showPercent val="1"/>
              <c:showBubbleSize val="0"/>
            </c:dLbl>
            <c:dLbl>
              <c:idx val="7"/>
              <c:layout>
                <c:manualLayout>
                  <c:xMode val="edge"/>
                  <c:yMode val="edge"/>
                  <c:x val="0.55917159763313606"/>
                  <c:y val="0.37826086956521737"/>
                </c:manualLayout>
              </c:layout>
              <c:tx>
                <c:rich>
                  <a:bodyPr rot="-5400000" vert="horz"/>
                  <a:lstStyle/>
                  <a:p>
                    <a:pPr algn="ctr">
                      <a:defRPr sz="350" b="1" i="0" u="none" strike="noStrike" baseline="0">
                        <a:solidFill>
                          <a:srgbClr val="000000"/>
                        </a:solidFill>
                        <a:latin typeface="Arial"/>
                        <a:ea typeface="Arial"/>
                        <a:cs typeface="Arial"/>
                      </a:defRPr>
                    </a:pPr>
                    <a:r>
                      <a:t>Jaunimas
65%</a:t>
                    </a:r>
                  </a:p>
                </c:rich>
              </c:tx>
              <c:spPr>
                <a:noFill/>
                <a:ln w="25401">
                  <a:noFill/>
                </a:ln>
              </c:spPr>
              <c:dLblPos val="bestFit"/>
              <c:showLegendKey val="0"/>
              <c:showVal val="0"/>
              <c:showCatName val="0"/>
              <c:showSerName val="0"/>
              <c:showPercent val="0"/>
              <c:showBubbleSize val="0"/>
            </c:dLbl>
            <c:numFmt formatCode="0%" sourceLinked="0"/>
            <c:spPr>
              <a:noFill/>
              <a:ln w="25401">
                <a:noFill/>
              </a:ln>
            </c:spPr>
            <c:txPr>
              <a:bodyPr/>
              <a:lstStyle/>
              <a:p>
                <a:pPr>
                  <a:defRPr sz="925" b="1"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Sheet1!$B$1:$G$1</c:f>
              <c:strCache>
                <c:ptCount val="6"/>
                <c:pt idx="0">
                  <c:v>Vilnius</c:v>
                </c:pt>
                <c:pt idx="1">
                  <c:v>Kaunas</c:v>
                </c:pt>
                <c:pt idx="2">
                  <c:v>Klaipėda</c:v>
                </c:pt>
                <c:pt idx="3">
                  <c:v>Šiauliai</c:v>
                </c:pt>
                <c:pt idx="4">
                  <c:v>Panevėžys</c:v>
                </c:pt>
                <c:pt idx="5">
                  <c:v>Kiti</c:v>
                </c:pt>
              </c:strCache>
            </c:strRef>
          </c:cat>
          <c:val>
            <c:numRef>
              <c:f>Sheet1!$B$2:$G$2</c:f>
              <c:numCache>
                <c:formatCode>General</c:formatCode>
                <c:ptCount val="6"/>
                <c:pt idx="0">
                  <c:v>604</c:v>
                </c:pt>
                <c:pt idx="1">
                  <c:v>214</c:v>
                </c:pt>
                <c:pt idx="2">
                  <c:v>191</c:v>
                </c:pt>
                <c:pt idx="3">
                  <c:v>94</c:v>
                </c:pt>
                <c:pt idx="4">
                  <c:v>71</c:v>
                </c:pt>
                <c:pt idx="5">
                  <c:v>665</c:v>
                </c:pt>
              </c:numCache>
            </c:numRef>
          </c:val>
        </c:ser>
        <c:dLbls>
          <c:showLegendKey val="0"/>
          <c:showVal val="0"/>
          <c:showCatName val="0"/>
          <c:showSerName val="0"/>
          <c:showPercent val="0"/>
          <c:showBubbleSize val="0"/>
          <c:showLeaderLines val="1"/>
        </c:dLbls>
      </c:pie3DChart>
      <c:spPr>
        <a:noFill/>
        <a:ln w="25401">
          <a:noFill/>
        </a:ln>
      </c:spPr>
    </c:plotArea>
    <c:plotVisOnly val="1"/>
    <c:dispBlanksAs val="zero"/>
    <c:showDLblsOverMax val="0"/>
  </c:chart>
  <c:spPr>
    <a:noFill/>
    <a:ln>
      <a:noFill/>
    </a:ln>
  </c:spPr>
  <c:txPr>
    <a:bodyPr/>
    <a:lstStyle/>
    <a:p>
      <a:pPr>
        <a:defRPr sz="975" b="1" i="0" u="none" strike="noStrike" baseline="0">
          <a:solidFill>
            <a:srgbClr val="000000"/>
          </a:solidFill>
          <a:latin typeface="Arial"/>
          <a:ea typeface="Arial"/>
          <a:cs typeface="Arial"/>
        </a:defRPr>
      </a:pPr>
      <a:endParaRPr lang="lt-LT"/>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73" b="1" i="0" u="none" strike="noStrike" baseline="0">
                <a:solidFill>
                  <a:srgbClr val="0000FF"/>
                </a:solidFill>
                <a:latin typeface="Arial"/>
                <a:ea typeface="Arial"/>
                <a:cs typeface="Arial"/>
              </a:defRPr>
            </a:pPr>
            <a:r>
              <a:rPr lang="lt-LT"/>
              <a:t>Nepilnamečių, įtariamų padarius nusikalstamas veikas susijusias su narkotikais, skaičius</a:t>
            </a:r>
          </a:p>
        </c:rich>
      </c:tx>
      <c:layout>
        <c:manualLayout>
          <c:xMode val="edge"/>
          <c:yMode val="edge"/>
          <c:x val="0.11980830670926518"/>
          <c:y val="2.0100502512562814E-2"/>
        </c:manualLayout>
      </c:layout>
      <c:overlay val="0"/>
      <c:spPr>
        <a:noFill/>
        <a:ln w="25360">
          <a:noFill/>
        </a:ln>
      </c:spPr>
    </c:title>
    <c:autoTitleDeleted val="0"/>
    <c:plotArea>
      <c:layout>
        <c:manualLayout>
          <c:layoutTarget val="inner"/>
          <c:xMode val="edge"/>
          <c:yMode val="edge"/>
          <c:x val="6.5495207667731634E-2"/>
          <c:y val="0.35175879396984927"/>
          <c:w val="0.75559105431309903"/>
          <c:h val="0.44221105527638194"/>
        </c:manualLayout>
      </c:layout>
      <c:barChart>
        <c:barDir val="col"/>
        <c:grouping val="clustered"/>
        <c:varyColors val="0"/>
        <c:ser>
          <c:idx val="0"/>
          <c:order val="0"/>
          <c:tx>
            <c:strRef>
              <c:f>Sheet1!$A$2</c:f>
              <c:strCache>
                <c:ptCount val="1"/>
                <c:pt idx="0">
                  <c:v>nepilnamečiai</c:v>
                </c:pt>
              </c:strCache>
            </c:strRef>
          </c:tx>
          <c:spPr>
            <a:solidFill>
              <a:srgbClr val="9999FF"/>
            </a:solidFill>
            <a:ln w="12680">
              <a:solidFill>
                <a:srgbClr val="000000"/>
              </a:solidFill>
              <a:prstDash val="solid"/>
            </a:ln>
          </c:spPr>
          <c:invertIfNegative val="0"/>
          <c:dLbls>
            <c:dLbl>
              <c:idx val="0"/>
              <c:layout>
                <c:manualLayout>
                  <c:x val="6.5799938998531014E-4"/>
                  <c:y val="-6.4199748997359071E-2"/>
                </c:manualLayout>
              </c:layout>
              <c:tx>
                <c:rich>
                  <a:bodyPr/>
                  <a:lstStyle/>
                  <a:p>
                    <a:r>
                      <a:rPr lang="lt-LT"/>
                      <a:t>15 ;
 2,6%</a:t>
                    </a:r>
                  </a:p>
                </c:rich>
              </c:tx>
              <c:dLblPos val="outEnd"/>
              <c:showLegendKey val="0"/>
              <c:showVal val="0"/>
              <c:showCatName val="0"/>
              <c:showSerName val="0"/>
              <c:showPercent val="0"/>
              <c:showBubbleSize val="0"/>
            </c:dLbl>
            <c:dLbl>
              <c:idx val="1"/>
              <c:layout>
                <c:manualLayout>
                  <c:x val="7.7063839432862686E-4"/>
                  <c:y val="-6.2276055727862004E-2"/>
                </c:manualLayout>
              </c:layout>
              <c:tx>
                <c:rich>
                  <a:bodyPr/>
                  <a:lstStyle/>
                  <a:p>
                    <a:r>
                      <a:rPr lang="lt-LT"/>
                      <a:t>37;
6%</a:t>
                    </a:r>
                  </a:p>
                </c:rich>
              </c:tx>
              <c:dLblPos val="outEnd"/>
              <c:showLegendKey val="0"/>
              <c:showVal val="0"/>
              <c:showCatName val="0"/>
              <c:showSerName val="0"/>
              <c:showPercent val="0"/>
              <c:showBubbleSize val="0"/>
            </c:dLbl>
            <c:dLbl>
              <c:idx val="2"/>
              <c:layout>
                <c:manualLayout>
                  <c:x val="-1.422559718468948E-4"/>
                  <c:y val="-7.3560800672045831E-2"/>
                </c:manualLayout>
              </c:layout>
              <c:tx>
                <c:rich>
                  <a:bodyPr/>
                  <a:lstStyle/>
                  <a:p>
                    <a:r>
                      <a:rPr lang="lt-LT"/>
                      <a:t>49;
6%</a:t>
                    </a:r>
                  </a:p>
                </c:rich>
              </c:tx>
              <c:dLblPos val="outEnd"/>
              <c:showLegendKey val="0"/>
              <c:showVal val="0"/>
              <c:showCatName val="0"/>
              <c:showSerName val="0"/>
              <c:showPercent val="0"/>
              <c:showBubbleSize val="0"/>
            </c:dLbl>
            <c:dLbl>
              <c:idx val="3"/>
              <c:layout>
                <c:manualLayout>
                  <c:x val="-1.0551503380224164E-3"/>
                  <c:y val="-6.9483585401264286E-2"/>
                </c:manualLayout>
              </c:layout>
              <c:tx>
                <c:rich>
                  <a:bodyPr/>
                  <a:lstStyle/>
                  <a:p>
                    <a:r>
                      <a:rPr lang="lt-LT"/>
                      <a:t>46;
5%</a:t>
                    </a:r>
                  </a:p>
                </c:rich>
              </c:tx>
              <c:dLblPos val="outEnd"/>
              <c:showLegendKey val="0"/>
              <c:showVal val="0"/>
              <c:showCatName val="0"/>
              <c:showSerName val="0"/>
              <c:showPercent val="0"/>
              <c:showBubbleSize val="0"/>
            </c:dLbl>
            <c:dLbl>
              <c:idx val="4"/>
              <c:layout>
                <c:manualLayout>
                  <c:x val="-3.5653242374217935E-3"/>
                  <c:y val="-7.4192740910285285E-2"/>
                </c:manualLayout>
              </c:layout>
              <c:tx>
                <c:rich>
                  <a:bodyPr/>
                  <a:lstStyle/>
                  <a:p>
                    <a:r>
                      <a:rPr lang="lt-LT"/>
                      <a:t>47;
5%</a:t>
                    </a:r>
                  </a:p>
                </c:rich>
              </c:tx>
              <c:dLblPos val="outEnd"/>
              <c:showLegendKey val="0"/>
              <c:showVal val="0"/>
              <c:showCatName val="0"/>
              <c:showSerName val="0"/>
              <c:showPercent val="0"/>
              <c:showBubbleSize val="0"/>
            </c:dLbl>
            <c:dLbl>
              <c:idx val="5"/>
              <c:layout>
                <c:manualLayout>
                  <c:x val="1.9115577542301327E-3"/>
                  <c:y val="-6.9483585401264286E-2"/>
                </c:manualLayout>
              </c:layout>
              <c:tx>
                <c:rich>
                  <a:bodyPr/>
                  <a:lstStyle/>
                  <a:p>
                    <a:r>
                      <a:rPr lang="lt-LT"/>
                      <a:t>46;
4%</a:t>
                    </a:r>
                  </a:p>
                </c:rich>
              </c:tx>
              <c:dLblPos val="outEnd"/>
              <c:showLegendKey val="0"/>
              <c:showVal val="0"/>
              <c:showCatName val="0"/>
              <c:showSerName val="0"/>
              <c:showPercent val="0"/>
              <c:showBubbleSize val="0"/>
            </c:dLbl>
            <c:dLbl>
              <c:idx val="6"/>
              <c:layout>
                <c:manualLayout>
                  <c:x val="-5.9861614516935554E-4"/>
                  <c:y val="-7.2268542896188975E-2"/>
                </c:manualLayout>
              </c:layout>
              <c:tx>
                <c:rich>
                  <a:bodyPr/>
                  <a:lstStyle/>
                  <a:p>
                    <a:r>
                      <a:rPr lang="lt-LT"/>
                      <a:t>69
6%</a:t>
                    </a:r>
                  </a:p>
                </c:rich>
              </c:tx>
              <c:dLblPos val="outEnd"/>
              <c:showLegendKey val="0"/>
              <c:showVal val="0"/>
              <c:showCatName val="0"/>
              <c:showSerName val="0"/>
              <c:showPercent val="0"/>
              <c:showBubbleSize val="0"/>
            </c:dLbl>
            <c:spPr>
              <a:noFill/>
              <a:ln w="25360">
                <a:noFill/>
              </a:ln>
            </c:spPr>
            <c:txPr>
              <a:bodyPr/>
              <a:lstStyle/>
              <a:p>
                <a:pPr>
                  <a:defRPr sz="874"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Sheet1!$B$1:$H$1</c:f>
              <c:numCache>
                <c:formatCode>General</c:formatCode>
                <c:ptCount val="7"/>
                <c:pt idx="0">
                  <c:v>2002</c:v>
                </c:pt>
                <c:pt idx="1">
                  <c:v>2003</c:v>
                </c:pt>
                <c:pt idx="2">
                  <c:v>2004</c:v>
                </c:pt>
                <c:pt idx="3">
                  <c:v>2005</c:v>
                </c:pt>
                <c:pt idx="4">
                  <c:v>2006</c:v>
                </c:pt>
                <c:pt idx="5">
                  <c:v>2007</c:v>
                </c:pt>
                <c:pt idx="6">
                  <c:v>2008</c:v>
                </c:pt>
              </c:numCache>
            </c:numRef>
          </c:cat>
          <c:val>
            <c:numRef>
              <c:f>Sheet1!$B$2:$H$2</c:f>
              <c:numCache>
                <c:formatCode>General</c:formatCode>
                <c:ptCount val="7"/>
                <c:pt idx="0">
                  <c:v>15</c:v>
                </c:pt>
                <c:pt idx="1">
                  <c:v>37</c:v>
                </c:pt>
                <c:pt idx="2">
                  <c:v>49</c:v>
                </c:pt>
                <c:pt idx="3">
                  <c:v>46</c:v>
                </c:pt>
                <c:pt idx="4">
                  <c:v>47</c:v>
                </c:pt>
                <c:pt idx="5">
                  <c:v>46</c:v>
                </c:pt>
                <c:pt idx="6">
                  <c:v>69</c:v>
                </c:pt>
              </c:numCache>
            </c:numRef>
          </c:val>
        </c:ser>
        <c:ser>
          <c:idx val="1"/>
          <c:order val="1"/>
          <c:tx>
            <c:strRef>
              <c:f>Sheet1!$A$3</c:f>
              <c:strCache>
                <c:ptCount val="1"/>
                <c:pt idx="0">
                  <c:v>visi asmenys</c:v>
                </c:pt>
              </c:strCache>
            </c:strRef>
          </c:tx>
          <c:spPr>
            <a:solidFill>
              <a:srgbClr val="993366"/>
            </a:solidFill>
            <a:ln w="12680">
              <a:solidFill>
                <a:srgbClr val="000000"/>
              </a:solidFill>
              <a:prstDash val="solid"/>
            </a:ln>
          </c:spPr>
          <c:invertIfNegative val="0"/>
          <c:dLbls>
            <c:spPr>
              <a:noFill/>
              <a:ln w="25360">
                <a:noFill/>
              </a:ln>
            </c:spPr>
            <c:txPr>
              <a:bodyPr/>
              <a:lstStyle/>
              <a:p>
                <a:pPr>
                  <a:defRPr sz="874"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Sheet1!$B$1:$H$1</c:f>
              <c:numCache>
                <c:formatCode>General</c:formatCode>
                <c:ptCount val="7"/>
                <c:pt idx="0">
                  <c:v>2002</c:v>
                </c:pt>
                <c:pt idx="1">
                  <c:v>2003</c:v>
                </c:pt>
                <c:pt idx="2">
                  <c:v>2004</c:v>
                </c:pt>
                <c:pt idx="3">
                  <c:v>2005</c:v>
                </c:pt>
                <c:pt idx="4">
                  <c:v>2006</c:v>
                </c:pt>
                <c:pt idx="5">
                  <c:v>2007</c:v>
                </c:pt>
                <c:pt idx="6">
                  <c:v>2008</c:v>
                </c:pt>
              </c:numCache>
            </c:numRef>
          </c:cat>
          <c:val>
            <c:numRef>
              <c:f>Sheet1!$B$3:$H$3</c:f>
              <c:numCache>
                <c:formatCode>General</c:formatCode>
                <c:ptCount val="7"/>
                <c:pt idx="0">
                  <c:v>575</c:v>
                </c:pt>
                <c:pt idx="1">
                  <c:v>580</c:v>
                </c:pt>
                <c:pt idx="2">
                  <c:v>869</c:v>
                </c:pt>
                <c:pt idx="3">
                  <c:v>1010</c:v>
                </c:pt>
                <c:pt idx="4">
                  <c:v>1042</c:v>
                </c:pt>
                <c:pt idx="5">
                  <c:v>1113</c:v>
                </c:pt>
                <c:pt idx="6">
                  <c:v>1226</c:v>
                </c:pt>
              </c:numCache>
            </c:numRef>
          </c:val>
        </c:ser>
        <c:dLbls>
          <c:showLegendKey val="0"/>
          <c:showVal val="0"/>
          <c:showCatName val="0"/>
          <c:showSerName val="0"/>
          <c:showPercent val="0"/>
          <c:showBubbleSize val="0"/>
        </c:dLbls>
        <c:gapWidth val="150"/>
        <c:axId val="92526464"/>
        <c:axId val="92528000"/>
      </c:barChart>
      <c:catAx>
        <c:axId val="92526464"/>
        <c:scaling>
          <c:orientation val="minMax"/>
        </c:scaling>
        <c:delete val="0"/>
        <c:axPos val="b"/>
        <c:numFmt formatCode="General" sourceLinked="1"/>
        <c:majorTickMark val="out"/>
        <c:minorTickMark val="none"/>
        <c:tickLblPos val="nextTo"/>
        <c:spPr>
          <a:ln w="9510">
            <a:noFill/>
          </a:ln>
        </c:spPr>
        <c:txPr>
          <a:bodyPr rot="0" vert="horz"/>
          <a:lstStyle/>
          <a:p>
            <a:pPr>
              <a:defRPr sz="874" b="1" i="0" u="none" strike="noStrike" baseline="0">
                <a:solidFill>
                  <a:srgbClr val="000000"/>
                </a:solidFill>
                <a:latin typeface="Arial"/>
                <a:ea typeface="Arial"/>
                <a:cs typeface="Arial"/>
              </a:defRPr>
            </a:pPr>
            <a:endParaRPr lang="lt-LT"/>
          </a:p>
        </c:txPr>
        <c:crossAx val="92528000"/>
        <c:crosses val="autoZero"/>
        <c:auto val="1"/>
        <c:lblAlgn val="ctr"/>
        <c:lblOffset val="100"/>
        <c:tickLblSkip val="1"/>
        <c:tickMarkSkip val="1"/>
        <c:noMultiLvlLbl val="0"/>
      </c:catAx>
      <c:valAx>
        <c:axId val="92528000"/>
        <c:scaling>
          <c:orientation val="minMax"/>
        </c:scaling>
        <c:delete val="0"/>
        <c:axPos val="l"/>
        <c:majorGridlines>
          <c:spPr>
            <a:ln w="12680">
              <a:solidFill>
                <a:srgbClr val="FFFFFF"/>
              </a:solidFill>
              <a:prstDash val="solid"/>
            </a:ln>
          </c:spPr>
        </c:majorGridlines>
        <c:numFmt formatCode="General" sourceLinked="1"/>
        <c:majorTickMark val="out"/>
        <c:minorTickMark val="none"/>
        <c:tickLblPos val="nextTo"/>
        <c:spPr>
          <a:ln w="3170">
            <a:solidFill>
              <a:srgbClr val="000000"/>
            </a:solidFill>
            <a:prstDash val="solid"/>
          </a:ln>
        </c:spPr>
        <c:txPr>
          <a:bodyPr rot="0" vert="horz"/>
          <a:lstStyle/>
          <a:p>
            <a:pPr>
              <a:defRPr sz="874" b="1" i="0" u="none" strike="noStrike" baseline="0">
                <a:solidFill>
                  <a:srgbClr val="000000"/>
                </a:solidFill>
                <a:latin typeface="Arial"/>
                <a:ea typeface="Arial"/>
                <a:cs typeface="Arial"/>
              </a:defRPr>
            </a:pPr>
            <a:endParaRPr lang="lt-LT"/>
          </a:p>
        </c:txPr>
        <c:crossAx val="92526464"/>
        <c:crosses val="autoZero"/>
        <c:crossBetween val="between"/>
      </c:valAx>
      <c:spPr>
        <a:noFill/>
        <a:ln w="25360">
          <a:noFill/>
        </a:ln>
      </c:spPr>
    </c:plotArea>
    <c:legend>
      <c:legendPos val="r"/>
      <c:layout>
        <c:manualLayout>
          <c:xMode val="edge"/>
          <c:yMode val="edge"/>
          <c:x val="0.83546325878594252"/>
          <c:y val="0.47236180904522612"/>
          <c:w val="0.15814696485623003"/>
          <c:h val="0.20603015075376885"/>
        </c:manualLayout>
      </c:layout>
      <c:overlay val="0"/>
      <c:spPr>
        <a:solidFill>
          <a:srgbClr val="FFFFFF"/>
        </a:solidFill>
        <a:ln w="3170">
          <a:solidFill>
            <a:srgbClr val="000000"/>
          </a:solidFill>
          <a:prstDash val="solid"/>
        </a:ln>
      </c:spPr>
      <c:txPr>
        <a:bodyPr/>
        <a:lstStyle/>
        <a:p>
          <a:pPr>
            <a:defRPr sz="804" b="1"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874" b="1" i="0" u="none" strike="noStrike" baseline="0">
          <a:solidFill>
            <a:srgbClr val="000000"/>
          </a:solidFill>
          <a:latin typeface="Arial"/>
          <a:ea typeface="Arial"/>
          <a:cs typeface="Arial"/>
        </a:defRPr>
      </a:pPr>
      <a:endParaRPr lang="lt-LT"/>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l">
              <a:defRPr sz="1125" b="1" i="0" u="none" strike="noStrike" baseline="0">
                <a:solidFill>
                  <a:srgbClr val="0000FF"/>
                </a:solidFill>
                <a:latin typeface="Times New Roman"/>
                <a:ea typeface="Times New Roman"/>
                <a:cs typeface="Times New Roman"/>
              </a:defRPr>
            </a:pPr>
            <a:r>
              <a:rPr lang="lt-LT"/>
              <a:t>Sulaikymo atvejai 2007 m.</a:t>
            </a:r>
          </a:p>
        </c:rich>
      </c:tx>
      <c:layout>
        <c:manualLayout>
          <c:xMode val="edge"/>
          <c:yMode val="edge"/>
          <c:x val="0"/>
          <c:y val="4.1322314049586778E-3"/>
        </c:manualLayout>
      </c:layout>
      <c:overlay val="0"/>
      <c:spPr>
        <a:noFill/>
        <a:ln w="25390">
          <a:noFill/>
        </a:ln>
      </c:spPr>
    </c:title>
    <c:autoTitleDeleted val="0"/>
    <c:plotArea>
      <c:layout>
        <c:manualLayout>
          <c:layoutTarget val="inner"/>
          <c:xMode val="edge"/>
          <c:yMode val="edge"/>
          <c:x val="0.16713881019830029"/>
          <c:y val="0.32644628099173556"/>
          <c:w val="0.70538243626062325"/>
          <c:h val="0.54958677685950408"/>
        </c:manualLayout>
      </c:layout>
      <c:ofPieChart>
        <c:ofPieType val="pie"/>
        <c:varyColors val="1"/>
        <c:ser>
          <c:idx val="0"/>
          <c:order val="0"/>
          <c:tx>
            <c:strRef>
              <c:f>Sheet1!$A$2</c:f>
              <c:strCache>
                <c:ptCount val="1"/>
              </c:strCache>
            </c:strRef>
          </c:tx>
          <c:spPr>
            <a:ln w="12695">
              <a:solidFill>
                <a:srgbClr val="000000"/>
              </a:solidFill>
              <a:prstDash val="solid"/>
            </a:ln>
          </c:spPr>
          <c:dPt>
            <c:idx val="0"/>
            <c:bubble3D val="0"/>
            <c:spPr>
              <a:solidFill>
                <a:srgbClr val="339966"/>
              </a:solidFill>
              <a:ln w="12695">
                <a:solidFill>
                  <a:srgbClr val="000000"/>
                </a:solidFill>
                <a:prstDash val="solid"/>
              </a:ln>
            </c:spPr>
          </c:dPt>
          <c:dPt>
            <c:idx val="1"/>
            <c:bubble3D val="0"/>
            <c:spPr>
              <a:solidFill>
                <a:srgbClr val="993366"/>
              </a:solidFill>
              <a:ln w="12695">
                <a:solidFill>
                  <a:srgbClr val="000000"/>
                </a:solidFill>
                <a:prstDash val="solid"/>
              </a:ln>
            </c:spPr>
          </c:dPt>
          <c:dPt>
            <c:idx val="2"/>
            <c:bubble3D val="0"/>
            <c:spPr>
              <a:solidFill>
                <a:srgbClr val="FF9900"/>
              </a:solidFill>
              <a:ln w="12695">
                <a:solidFill>
                  <a:srgbClr val="000000"/>
                </a:solidFill>
                <a:prstDash val="solid"/>
              </a:ln>
            </c:spPr>
          </c:dPt>
          <c:dPt>
            <c:idx val="3"/>
            <c:bubble3D val="0"/>
            <c:spPr>
              <a:solidFill>
                <a:srgbClr val="993300"/>
              </a:solidFill>
              <a:ln w="12695">
                <a:solidFill>
                  <a:srgbClr val="000000"/>
                </a:solidFill>
                <a:prstDash val="solid"/>
              </a:ln>
            </c:spPr>
          </c:dPt>
          <c:dPt>
            <c:idx val="4"/>
            <c:bubble3D val="0"/>
            <c:spPr>
              <a:solidFill>
                <a:srgbClr val="0000FF"/>
              </a:solidFill>
              <a:ln w="12695">
                <a:solidFill>
                  <a:srgbClr val="000000"/>
                </a:solidFill>
                <a:prstDash val="solid"/>
              </a:ln>
            </c:spPr>
          </c:dPt>
          <c:dPt>
            <c:idx val="5"/>
            <c:bubble3D val="0"/>
            <c:spPr>
              <a:solidFill>
                <a:srgbClr val="CCCCFF"/>
              </a:solidFill>
              <a:ln w="12695">
                <a:solidFill>
                  <a:srgbClr val="000000"/>
                </a:solidFill>
                <a:prstDash val="solid"/>
              </a:ln>
            </c:spPr>
          </c:dPt>
          <c:dPt>
            <c:idx val="6"/>
            <c:bubble3D val="0"/>
            <c:spPr>
              <a:solidFill>
                <a:srgbClr val="0066CC"/>
              </a:solidFill>
              <a:ln w="12695">
                <a:solidFill>
                  <a:srgbClr val="000000"/>
                </a:solidFill>
                <a:prstDash val="solid"/>
              </a:ln>
            </c:spPr>
          </c:dPt>
          <c:dPt>
            <c:idx val="7"/>
            <c:bubble3D val="0"/>
            <c:spPr>
              <a:solidFill>
                <a:srgbClr val="99CCFF"/>
              </a:solidFill>
              <a:ln w="12695">
                <a:solidFill>
                  <a:srgbClr val="000000"/>
                </a:solidFill>
                <a:prstDash val="solid"/>
              </a:ln>
            </c:spPr>
          </c:dPt>
          <c:dPt>
            <c:idx val="8"/>
            <c:bubble3D val="0"/>
            <c:spPr>
              <a:solidFill>
                <a:srgbClr val="000080"/>
              </a:solidFill>
              <a:ln w="12695">
                <a:solidFill>
                  <a:srgbClr val="000000"/>
                </a:solidFill>
                <a:prstDash val="solid"/>
              </a:ln>
            </c:spPr>
          </c:dPt>
          <c:dPt>
            <c:idx val="9"/>
            <c:bubble3D val="0"/>
            <c:spPr>
              <a:solidFill>
                <a:srgbClr val="FF00FF"/>
              </a:solidFill>
              <a:ln w="12695">
                <a:solidFill>
                  <a:srgbClr val="000000"/>
                </a:solidFill>
                <a:prstDash val="solid"/>
              </a:ln>
            </c:spPr>
          </c:dPt>
          <c:dPt>
            <c:idx val="10"/>
            <c:bubble3D val="0"/>
            <c:spPr>
              <a:solidFill>
                <a:srgbClr val="00CCFF"/>
              </a:solidFill>
              <a:ln w="12695">
                <a:solidFill>
                  <a:srgbClr val="000000"/>
                </a:solidFill>
                <a:prstDash val="solid"/>
              </a:ln>
            </c:spPr>
          </c:dPt>
          <c:dPt>
            <c:idx val="11"/>
            <c:bubble3D val="0"/>
            <c:spPr>
              <a:solidFill>
                <a:srgbClr val="FFFF00"/>
              </a:solidFill>
              <a:ln w="12695">
                <a:solidFill>
                  <a:srgbClr val="000000"/>
                </a:solidFill>
                <a:prstDash val="solid"/>
              </a:ln>
            </c:spPr>
          </c:dPt>
          <c:dLbls>
            <c:dLbl>
              <c:idx val="0"/>
              <c:layout>
                <c:manualLayout>
                  <c:x val="2.7702897028302965E-2"/>
                  <c:y val="-2.6796240690299459E-2"/>
                </c:manualLayout>
              </c:layout>
              <c:dLblPos val="bestFit"/>
              <c:showLegendKey val="0"/>
              <c:showVal val="0"/>
              <c:showCatName val="1"/>
              <c:showSerName val="0"/>
              <c:showPercent val="1"/>
              <c:showBubbleSize val="0"/>
            </c:dLbl>
            <c:dLbl>
              <c:idx val="1"/>
              <c:layout>
                <c:manualLayout>
                  <c:x val="2.819693320649436E-2"/>
                  <c:y val="1.5848845340613343E-2"/>
                </c:manualLayout>
              </c:layout>
              <c:dLblPos val="bestFit"/>
              <c:showLegendKey val="0"/>
              <c:showVal val="0"/>
              <c:showCatName val="1"/>
              <c:showSerName val="0"/>
              <c:showPercent val="1"/>
              <c:showBubbleSize val="0"/>
            </c:dLbl>
            <c:dLbl>
              <c:idx val="2"/>
              <c:layout>
                <c:manualLayout>
                  <c:x val="3.4866287653218782E-3"/>
                  <c:y val="0.21524678216875784"/>
                </c:manualLayout>
              </c:layout>
              <c:dLblPos val="bestFit"/>
              <c:showLegendKey val="0"/>
              <c:showVal val="0"/>
              <c:showCatName val="1"/>
              <c:showSerName val="0"/>
              <c:showPercent val="1"/>
              <c:showBubbleSize val="0"/>
            </c:dLbl>
            <c:dLbl>
              <c:idx val="3"/>
              <c:layout>
                <c:manualLayout>
                  <c:x val="-7.1624838012706804E-2"/>
                  <c:y val="7.1626060516540066E-2"/>
                </c:manualLayout>
              </c:layout>
              <c:dLblPos val="bestFit"/>
              <c:showLegendKey val="0"/>
              <c:showVal val="0"/>
              <c:showCatName val="1"/>
              <c:showSerName val="0"/>
              <c:showPercent val="1"/>
              <c:showBubbleSize val="0"/>
            </c:dLbl>
            <c:dLbl>
              <c:idx val="4"/>
              <c:layout>
                <c:manualLayout>
                  <c:x val="2.2142296713180087E-2"/>
                  <c:y val="-3.4286809190173538E-2"/>
                </c:manualLayout>
              </c:layout>
              <c:dLblPos val="bestFit"/>
              <c:showLegendKey val="0"/>
              <c:showVal val="0"/>
              <c:showCatName val="1"/>
              <c:showSerName val="0"/>
              <c:showPercent val="1"/>
              <c:showBubbleSize val="0"/>
            </c:dLbl>
            <c:dLbl>
              <c:idx val="5"/>
              <c:layout>
                <c:manualLayout>
                  <c:x val="2.527430155560853E-2"/>
                  <c:y val="-4.0975098498362637E-2"/>
                </c:manualLayout>
              </c:layout>
              <c:dLblPos val="bestFit"/>
              <c:showLegendKey val="0"/>
              <c:showVal val="0"/>
              <c:showCatName val="1"/>
              <c:showSerName val="0"/>
              <c:showPercent val="1"/>
              <c:showBubbleSize val="0"/>
            </c:dLbl>
            <c:dLbl>
              <c:idx val="6"/>
              <c:layout>
                <c:manualLayout>
                  <c:x val="4.8666798208531759E-2"/>
                  <c:y val="-1.1633817811341082E-2"/>
                </c:manualLayout>
              </c:layout>
              <c:dLblPos val="bestFit"/>
              <c:showLegendKey val="0"/>
              <c:showVal val="0"/>
              <c:showCatName val="1"/>
              <c:showSerName val="0"/>
              <c:showPercent val="1"/>
              <c:showBubbleSize val="0"/>
            </c:dLbl>
            <c:dLbl>
              <c:idx val="7"/>
              <c:layout>
                <c:manualLayout>
                  <c:x val="0.15042187843954477"/>
                  <c:y val="9.8265915796338171E-2"/>
                </c:manualLayout>
              </c:layout>
              <c:numFmt formatCode="0%" sourceLinked="0"/>
              <c:spPr>
                <a:noFill/>
                <a:ln w="25390">
                  <a:noFill/>
                </a:ln>
              </c:spPr>
              <c:txPr>
                <a:bodyPr/>
                <a:lstStyle/>
                <a:p>
                  <a:pPr>
                    <a:defRPr sz="800" b="0" i="0" u="none" strike="noStrike" baseline="0">
                      <a:solidFill>
                        <a:srgbClr val="000000"/>
                      </a:solidFill>
                      <a:latin typeface="Times New Roman"/>
                      <a:ea typeface="Times New Roman"/>
                      <a:cs typeface="Times New Roman"/>
                    </a:defRPr>
                  </a:pPr>
                  <a:endParaRPr lang="lt-LT"/>
                </a:p>
              </c:txPr>
              <c:dLblPos val="bestFit"/>
              <c:showLegendKey val="0"/>
              <c:showVal val="0"/>
              <c:showCatName val="1"/>
              <c:showSerName val="0"/>
              <c:showPercent val="1"/>
              <c:showBubbleSize val="0"/>
            </c:dLbl>
            <c:dLbl>
              <c:idx val="8"/>
              <c:layout>
                <c:manualLayout>
                  <c:x val="-3.5770189602379494E-2"/>
                  <c:y val="-5.837908691165674E-2"/>
                </c:manualLayout>
              </c:layout>
              <c:dLblPos val="bestFit"/>
              <c:showLegendKey val="0"/>
              <c:showVal val="0"/>
              <c:showCatName val="1"/>
              <c:showSerName val="0"/>
              <c:showPercent val="1"/>
              <c:showBubbleSize val="0"/>
            </c:dLbl>
            <c:dLbl>
              <c:idx val="9"/>
              <c:layout>
                <c:manualLayout>
                  <c:x val="4.4608955756072864E-4"/>
                  <c:y val="-0.20202691605698053"/>
                </c:manualLayout>
              </c:layout>
              <c:dLblPos val="bestFit"/>
              <c:showLegendKey val="0"/>
              <c:showVal val="0"/>
              <c:showCatName val="1"/>
              <c:showSerName val="0"/>
              <c:showPercent val="1"/>
              <c:showBubbleSize val="0"/>
            </c:dLbl>
            <c:dLbl>
              <c:idx val="10"/>
              <c:layout>
                <c:manualLayout>
                  <c:x val="5.4211347220770451E-2"/>
                  <c:y val="-2.9814788991596456E-2"/>
                </c:manualLayout>
              </c:layout>
              <c:dLblPos val="bestFit"/>
              <c:showLegendKey val="0"/>
              <c:showVal val="0"/>
              <c:showCatName val="1"/>
              <c:showSerName val="0"/>
              <c:showPercent val="1"/>
              <c:showBubbleSize val="0"/>
            </c:dLbl>
            <c:dLbl>
              <c:idx val="11"/>
              <c:layout>
                <c:manualLayout>
                  <c:x val="-1.3378586029004498E-2"/>
                  <c:y val="-4.8781302474931627E-2"/>
                </c:manualLayout>
              </c:layout>
              <c:tx>
                <c:rich>
                  <a:bodyPr/>
                  <a:lstStyle/>
                  <a:p>
                    <a:pPr>
                      <a:defRPr sz="850" b="0" i="0" u="none" strike="noStrike" baseline="0">
                        <a:solidFill>
                          <a:srgbClr val="000000"/>
                        </a:solidFill>
                        <a:latin typeface="Times New Roman"/>
                        <a:ea typeface="Times New Roman"/>
                        <a:cs typeface="Times New Roman"/>
                      </a:defRPr>
                    </a:pPr>
                    <a:r>
                      <a:rPr lang="lt-LT"/>
                      <a:t>ATS medžiagos
36%</a:t>
                    </a:r>
                  </a:p>
                </c:rich>
              </c:tx>
              <c:spPr>
                <a:noFill/>
                <a:ln w="25390">
                  <a:noFill/>
                </a:ln>
              </c:spPr>
              <c:dLblPos val="bestFit"/>
              <c:showLegendKey val="0"/>
              <c:showVal val="0"/>
              <c:showCatName val="0"/>
              <c:showSerName val="0"/>
              <c:showPercent val="0"/>
              <c:showBubbleSize val="0"/>
            </c:dLbl>
            <c:numFmt formatCode="0%" sourceLinked="0"/>
            <c:spPr>
              <a:noFill/>
              <a:ln w="25390">
                <a:noFill/>
              </a:ln>
            </c:spPr>
            <c:txPr>
              <a:bodyPr/>
              <a:lstStyle/>
              <a:p>
                <a:pPr>
                  <a:defRPr sz="850" b="0"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Sheet1!$B$1:$L$1</c:f>
              <c:strCache>
                <c:ptCount val="11"/>
                <c:pt idx="0">
                  <c:v>Aguonos</c:v>
                </c:pt>
                <c:pt idx="1">
                  <c:v>Heroinas</c:v>
                </c:pt>
                <c:pt idx="2">
                  <c:v>Kanapės</c:v>
                </c:pt>
                <c:pt idx="3">
                  <c:v>Hašišas</c:v>
                </c:pt>
                <c:pt idx="4">
                  <c:v>Kokainas</c:v>
                </c:pt>
                <c:pt idx="5">
                  <c:v>Psichot. vaistai</c:v>
                </c:pt>
                <c:pt idx="6">
                  <c:v>Kiti</c:v>
                </c:pt>
                <c:pt idx="7">
                  <c:v>Metamfetaminas</c:v>
                </c:pt>
                <c:pt idx="8">
                  <c:v>Ecstasy</c:v>
                </c:pt>
                <c:pt idx="9">
                  <c:v>Amfetaminas</c:v>
                </c:pt>
                <c:pt idx="10">
                  <c:v>mCPP</c:v>
                </c:pt>
              </c:strCache>
            </c:strRef>
          </c:cat>
          <c:val>
            <c:numRef>
              <c:f>Sheet1!$B$2:$L$2</c:f>
              <c:numCache>
                <c:formatCode>General</c:formatCode>
                <c:ptCount val="11"/>
                <c:pt idx="0">
                  <c:v>71</c:v>
                </c:pt>
                <c:pt idx="1">
                  <c:v>272</c:v>
                </c:pt>
                <c:pt idx="2">
                  <c:v>259</c:v>
                </c:pt>
                <c:pt idx="3">
                  <c:v>9</c:v>
                </c:pt>
                <c:pt idx="4">
                  <c:v>22</c:v>
                </c:pt>
                <c:pt idx="5">
                  <c:v>143</c:v>
                </c:pt>
                <c:pt idx="6">
                  <c:v>14</c:v>
                </c:pt>
                <c:pt idx="7">
                  <c:v>196</c:v>
                </c:pt>
                <c:pt idx="8">
                  <c:v>114</c:v>
                </c:pt>
                <c:pt idx="9">
                  <c:v>112</c:v>
                </c:pt>
                <c:pt idx="10">
                  <c:v>25</c:v>
                </c:pt>
              </c:numCache>
            </c:numRef>
          </c:val>
        </c:ser>
        <c:dLbls>
          <c:showLegendKey val="0"/>
          <c:showVal val="0"/>
          <c:showCatName val="0"/>
          <c:showSerName val="0"/>
          <c:showPercent val="0"/>
          <c:showBubbleSize val="0"/>
          <c:showLeaderLines val="1"/>
        </c:dLbls>
        <c:gapWidth val="65"/>
        <c:splitType val="pos"/>
        <c:splitPos val="4"/>
        <c:secondPieSize val="55"/>
        <c:serLines>
          <c:spPr>
            <a:ln w="12695">
              <a:solidFill>
                <a:srgbClr val="000000"/>
              </a:solidFill>
              <a:prstDash val="solid"/>
            </a:ln>
          </c:spPr>
        </c:serLines>
      </c:ofPieChart>
      <c:spPr>
        <a:noFill/>
        <a:ln w="25390">
          <a:noFill/>
        </a:ln>
      </c:spPr>
    </c:plotArea>
    <c:plotVisOnly val="1"/>
    <c:dispBlanksAs val="zero"/>
    <c:showDLblsOverMax val="0"/>
  </c:chart>
  <c:spPr>
    <a:solidFill>
      <a:srgbClr val="FFFFFF"/>
    </a:solidFill>
    <a:ln>
      <a:noFill/>
    </a:ln>
  </c:spPr>
  <c:txPr>
    <a:bodyPr/>
    <a:lstStyle/>
    <a:p>
      <a:pPr>
        <a:defRPr sz="1025" b="0" i="0" u="none" strike="noStrike" baseline="0">
          <a:solidFill>
            <a:srgbClr val="000000"/>
          </a:solidFill>
          <a:latin typeface="Arial"/>
          <a:ea typeface="Arial"/>
          <a:cs typeface="Arial"/>
        </a:defRPr>
      </a:pPr>
      <a:endParaRPr lang="lt-LT"/>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4" b="1" i="0" u="none" strike="noStrike" baseline="0">
                <a:solidFill>
                  <a:srgbClr val="0000FF"/>
                </a:solidFill>
                <a:latin typeface="Times New Roman"/>
                <a:ea typeface="Times New Roman"/>
                <a:cs typeface="Times New Roman"/>
              </a:defRPr>
            </a:pPr>
            <a:r>
              <a:rPr lang="lt-LT" sz="999" b="1" i="0" u="none" strike="noStrike" baseline="0">
                <a:solidFill>
                  <a:srgbClr val="000000"/>
                </a:solidFill>
                <a:latin typeface="Arial"/>
                <a:cs typeface="Arial"/>
              </a:rPr>
              <a:t>Sulaikymo atvejai 2001 m</a:t>
            </a:r>
            <a:r>
              <a:rPr lang="lt-LT" sz="799" b="1" i="0" u="none" strike="noStrike" baseline="0">
                <a:solidFill>
                  <a:srgbClr val="000000"/>
                </a:solidFill>
                <a:latin typeface="Arial"/>
                <a:cs typeface="Arial"/>
              </a:rPr>
              <a:t>.</a:t>
            </a:r>
            <a:endParaRPr lang="lt-LT"/>
          </a:p>
        </c:rich>
      </c:tx>
      <c:layout>
        <c:manualLayout>
          <c:xMode val="edge"/>
          <c:yMode val="edge"/>
          <c:x val="0"/>
          <c:y val="2.2222222222222223E-2"/>
        </c:manualLayout>
      </c:layout>
      <c:overlay val="0"/>
      <c:spPr>
        <a:noFill/>
        <a:ln w="25378">
          <a:noFill/>
        </a:ln>
      </c:spPr>
    </c:title>
    <c:autoTitleDeleted val="0"/>
    <c:plotArea>
      <c:layout>
        <c:manualLayout>
          <c:layoutTarget val="inner"/>
          <c:xMode val="edge"/>
          <c:yMode val="edge"/>
          <c:x val="0.22291021671826625"/>
          <c:y val="0.40444444444444444"/>
          <c:w val="0.62538699690402477"/>
          <c:h val="0.43111111111111111"/>
        </c:manualLayout>
      </c:layout>
      <c:ofPieChart>
        <c:ofPieType val="pie"/>
        <c:varyColors val="1"/>
        <c:ser>
          <c:idx val="0"/>
          <c:order val="0"/>
          <c:tx>
            <c:strRef>
              <c:f>Sheet1!$A$2</c:f>
              <c:strCache>
                <c:ptCount val="1"/>
              </c:strCache>
            </c:strRef>
          </c:tx>
          <c:spPr>
            <a:ln w="12689">
              <a:solidFill>
                <a:srgbClr val="000000"/>
              </a:solidFill>
              <a:prstDash val="solid"/>
            </a:ln>
          </c:spPr>
          <c:explosion val="4"/>
          <c:dPt>
            <c:idx val="0"/>
            <c:bubble3D val="0"/>
            <c:spPr>
              <a:solidFill>
                <a:srgbClr val="339966"/>
              </a:solidFill>
              <a:ln w="12689">
                <a:solidFill>
                  <a:srgbClr val="000000"/>
                </a:solidFill>
                <a:prstDash val="solid"/>
              </a:ln>
            </c:spPr>
          </c:dPt>
          <c:dPt>
            <c:idx val="1"/>
            <c:bubble3D val="0"/>
            <c:spPr>
              <a:solidFill>
                <a:srgbClr val="993366"/>
              </a:solidFill>
              <a:ln w="12689">
                <a:solidFill>
                  <a:srgbClr val="000000"/>
                </a:solidFill>
                <a:prstDash val="solid"/>
              </a:ln>
            </c:spPr>
          </c:dPt>
          <c:dPt>
            <c:idx val="2"/>
            <c:bubble3D val="0"/>
            <c:spPr>
              <a:solidFill>
                <a:srgbClr val="FF9900"/>
              </a:solidFill>
              <a:ln w="12689">
                <a:solidFill>
                  <a:srgbClr val="000000"/>
                </a:solidFill>
                <a:prstDash val="solid"/>
              </a:ln>
            </c:spPr>
          </c:dPt>
          <c:dPt>
            <c:idx val="3"/>
            <c:bubble3D val="0"/>
            <c:spPr>
              <a:solidFill>
                <a:srgbClr val="CCFFCC"/>
              </a:solidFill>
              <a:ln w="12689">
                <a:solidFill>
                  <a:srgbClr val="000000"/>
                </a:solidFill>
                <a:prstDash val="solid"/>
              </a:ln>
            </c:spPr>
          </c:dPt>
          <c:dPt>
            <c:idx val="4"/>
            <c:bubble3D val="0"/>
            <c:spPr>
              <a:solidFill>
                <a:srgbClr val="FF6600"/>
              </a:solidFill>
              <a:ln w="12689">
                <a:solidFill>
                  <a:srgbClr val="000000"/>
                </a:solidFill>
                <a:prstDash val="solid"/>
              </a:ln>
            </c:spPr>
          </c:dPt>
          <c:dPt>
            <c:idx val="5"/>
            <c:bubble3D val="0"/>
            <c:spPr>
              <a:solidFill>
                <a:srgbClr val="993300"/>
              </a:solidFill>
              <a:ln w="12689">
                <a:solidFill>
                  <a:srgbClr val="000000"/>
                </a:solidFill>
                <a:prstDash val="solid"/>
              </a:ln>
            </c:spPr>
          </c:dPt>
          <c:dPt>
            <c:idx val="6"/>
            <c:bubble3D val="0"/>
            <c:spPr>
              <a:solidFill>
                <a:srgbClr val="0000FF"/>
              </a:solidFill>
              <a:ln w="12689">
                <a:solidFill>
                  <a:srgbClr val="000000"/>
                </a:solidFill>
                <a:prstDash val="solid"/>
              </a:ln>
            </c:spPr>
          </c:dPt>
          <c:dPt>
            <c:idx val="7"/>
            <c:bubble3D val="0"/>
            <c:spPr>
              <a:solidFill>
                <a:srgbClr val="FF00FF"/>
              </a:solidFill>
              <a:ln w="12689">
                <a:solidFill>
                  <a:srgbClr val="000000"/>
                </a:solidFill>
                <a:prstDash val="solid"/>
              </a:ln>
            </c:spPr>
          </c:dPt>
          <c:dPt>
            <c:idx val="8"/>
            <c:bubble3D val="0"/>
            <c:spPr>
              <a:solidFill>
                <a:srgbClr val="000080"/>
              </a:solidFill>
              <a:ln w="12689">
                <a:solidFill>
                  <a:srgbClr val="000000"/>
                </a:solidFill>
                <a:prstDash val="solid"/>
              </a:ln>
            </c:spPr>
          </c:dPt>
          <c:dPt>
            <c:idx val="9"/>
            <c:bubble3D val="0"/>
            <c:spPr>
              <a:solidFill>
                <a:srgbClr val="99CCFF"/>
              </a:solidFill>
              <a:ln w="12689">
                <a:solidFill>
                  <a:srgbClr val="000000"/>
                </a:solidFill>
                <a:prstDash val="solid"/>
              </a:ln>
            </c:spPr>
          </c:dPt>
          <c:dPt>
            <c:idx val="10"/>
            <c:bubble3D val="0"/>
            <c:spPr>
              <a:solidFill>
                <a:srgbClr val="333399"/>
              </a:solidFill>
              <a:ln w="12689">
                <a:solidFill>
                  <a:srgbClr val="000000"/>
                </a:solidFill>
                <a:prstDash val="solid"/>
              </a:ln>
            </c:spPr>
          </c:dPt>
          <c:dPt>
            <c:idx val="11"/>
            <c:bubble3D val="0"/>
            <c:spPr>
              <a:solidFill>
                <a:srgbClr val="FFFF00"/>
              </a:solidFill>
              <a:ln w="12689">
                <a:solidFill>
                  <a:srgbClr val="000000"/>
                </a:solidFill>
                <a:prstDash val="solid"/>
              </a:ln>
            </c:spPr>
          </c:dPt>
          <c:dLbls>
            <c:dLbl>
              <c:idx val="0"/>
              <c:layout>
                <c:manualLayout>
                  <c:x val="2.7213490763379838E-2"/>
                  <c:y val="-3.722726966821456E-2"/>
                </c:manualLayout>
              </c:layout>
              <c:dLblPos val="bestFit"/>
              <c:showLegendKey val="0"/>
              <c:showVal val="0"/>
              <c:showCatName val="1"/>
              <c:showSerName val="0"/>
              <c:showPercent val="1"/>
              <c:showBubbleSize val="0"/>
            </c:dLbl>
            <c:dLbl>
              <c:idx val="1"/>
              <c:layout>
                <c:manualLayout>
                  <c:x val="-1.2220496257452933E-2"/>
                  <c:y val="0.26786414518697987"/>
                </c:manualLayout>
              </c:layout>
              <c:dLblPos val="bestFit"/>
              <c:showLegendKey val="0"/>
              <c:showVal val="0"/>
              <c:showCatName val="1"/>
              <c:showSerName val="0"/>
              <c:showPercent val="1"/>
              <c:showBubbleSize val="0"/>
            </c:dLbl>
            <c:dLbl>
              <c:idx val="2"/>
              <c:layout>
                <c:manualLayout>
                  <c:x val="-0.29248135827497618"/>
                  <c:y val="-1.8566525338178888E-2"/>
                </c:manualLayout>
              </c:layout>
              <c:dLblPos val="bestFit"/>
              <c:showLegendKey val="0"/>
              <c:showVal val="0"/>
              <c:showCatName val="1"/>
              <c:showSerName val="0"/>
              <c:showPercent val="1"/>
              <c:showBubbleSize val="0"/>
            </c:dLbl>
            <c:dLbl>
              <c:idx val="3"/>
              <c:layout>
                <c:manualLayout>
                  <c:x val="-0.19745130762512103"/>
                  <c:y val="-9.0410301276442992E-2"/>
                </c:manualLayout>
              </c:layout>
              <c:dLblPos val="bestFit"/>
              <c:showLegendKey val="0"/>
              <c:showVal val="0"/>
              <c:showCatName val="1"/>
              <c:showSerName val="0"/>
              <c:showPercent val="1"/>
              <c:showBubbleSize val="0"/>
            </c:dLbl>
            <c:dLbl>
              <c:idx val="4"/>
              <c:layout>
                <c:manualLayout>
                  <c:x val="-6.0616549364263965E-2"/>
                  <c:y val="-0.15112816026201853"/>
                </c:manualLayout>
              </c:layout>
              <c:dLblPos val="bestFit"/>
              <c:showLegendKey val="0"/>
              <c:showVal val="0"/>
              <c:showCatName val="1"/>
              <c:showSerName val="0"/>
              <c:showPercent val="1"/>
              <c:showBubbleSize val="0"/>
            </c:dLbl>
            <c:dLbl>
              <c:idx val="5"/>
              <c:layout>
                <c:manualLayout>
                  <c:x val="3.8836408383713427E-3"/>
                  <c:y val="-6.330170267178141E-2"/>
                </c:manualLayout>
              </c:layout>
              <c:dLblPos val="bestFit"/>
              <c:showLegendKey val="0"/>
              <c:showVal val="0"/>
              <c:showCatName val="1"/>
              <c:showSerName val="0"/>
              <c:showPercent val="1"/>
              <c:showBubbleSize val="0"/>
            </c:dLbl>
            <c:dLbl>
              <c:idx val="6"/>
              <c:delete val="1"/>
            </c:dLbl>
            <c:dLbl>
              <c:idx val="7"/>
              <c:layout>
                <c:manualLayout>
                  <c:x val="-3.2348978021682177E-2"/>
                  <c:y val="-2.2092558942952634E-2"/>
                </c:manualLayout>
              </c:layout>
              <c:dLblPos val="bestFit"/>
              <c:showLegendKey val="0"/>
              <c:showVal val="0"/>
              <c:showCatName val="1"/>
              <c:showSerName val="0"/>
              <c:showPercent val="1"/>
              <c:showBubbleSize val="0"/>
            </c:dLbl>
            <c:dLbl>
              <c:idx val="8"/>
              <c:layout>
                <c:manualLayout>
                  <c:x val="0.12173833764043657"/>
                  <c:y val="-0.19234448258070302"/>
                </c:manualLayout>
              </c:layout>
              <c:numFmt formatCode="0%" sourceLinked="0"/>
              <c:spPr>
                <a:noFill/>
                <a:ln w="25378">
                  <a:noFill/>
                </a:ln>
              </c:spPr>
              <c:txPr>
                <a:bodyPr/>
                <a:lstStyle/>
                <a:p>
                  <a:pPr>
                    <a:defRPr sz="799" b="0" i="0" u="none" strike="noStrike" baseline="0">
                      <a:solidFill>
                        <a:srgbClr val="000000"/>
                      </a:solidFill>
                      <a:latin typeface="Arial"/>
                      <a:ea typeface="Arial"/>
                      <a:cs typeface="Arial"/>
                    </a:defRPr>
                  </a:pPr>
                  <a:endParaRPr lang="lt-LT"/>
                </a:p>
              </c:txPr>
              <c:dLblPos val="bestFit"/>
              <c:showLegendKey val="0"/>
              <c:showVal val="0"/>
              <c:showCatName val="1"/>
              <c:showSerName val="0"/>
              <c:showPercent val="1"/>
              <c:showBubbleSize val="0"/>
            </c:dLbl>
            <c:dLbl>
              <c:idx val="9"/>
              <c:layout>
                <c:manualLayout>
                  <c:x val="-1.8062361622976145E-3"/>
                  <c:y val="0.10932588554635791"/>
                </c:manualLayout>
              </c:layout>
              <c:numFmt formatCode="0%" sourceLinked="0"/>
              <c:spPr>
                <a:noFill/>
                <a:ln w="25378">
                  <a:noFill/>
                </a:ln>
              </c:spPr>
              <c:txPr>
                <a:bodyPr/>
                <a:lstStyle/>
                <a:p>
                  <a:pPr>
                    <a:defRPr sz="799" b="0" i="0" u="none" strike="noStrike" baseline="0">
                      <a:solidFill>
                        <a:srgbClr val="000000"/>
                      </a:solidFill>
                      <a:latin typeface="Times New Roman"/>
                      <a:ea typeface="Times New Roman"/>
                      <a:cs typeface="Times New Roman"/>
                    </a:defRPr>
                  </a:pPr>
                  <a:endParaRPr lang="lt-LT"/>
                </a:p>
              </c:txPr>
              <c:dLblPos val="bestFit"/>
              <c:showLegendKey val="0"/>
              <c:showVal val="0"/>
              <c:showCatName val="1"/>
              <c:showSerName val="0"/>
              <c:showPercent val="1"/>
              <c:showBubbleSize val="0"/>
            </c:dLbl>
            <c:dLbl>
              <c:idx val="10"/>
              <c:layout>
                <c:manualLayout>
                  <c:x val="2.1558441501397487E-2"/>
                  <c:y val="-2.0370146039437383E-2"/>
                </c:manualLayout>
              </c:layout>
              <c:tx>
                <c:rich>
                  <a:bodyPr/>
                  <a:lstStyle/>
                  <a:p>
                    <a:pPr>
                      <a:defRPr sz="949" b="0" i="0" u="none" strike="noStrike" baseline="0">
                        <a:solidFill>
                          <a:srgbClr val="000000"/>
                        </a:solidFill>
                        <a:latin typeface="Times New Roman"/>
                        <a:ea typeface="Times New Roman"/>
                        <a:cs typeface="Times New Roman"/>
                      </a:defRPr>
                    </a:pPr>
                    <a:r>
                      <a:rPr lang="lt-LT"/>
                      <a:t>ATS
8%</a:t>
                    </a:r>
                  </a:p>
                </c:rich>
              </c:tx>
              <c:spPr>
                <a:noFill/>
                <a:ln w="25378">
                  <a:noFill/>
                </a:ln>
              </c:spPr>
              <c:dLblPos val="bestFit"/>
              <c:showLegendKey val="0"/>
              <c:showVal val="0"/>
              <c:showCatName val="0"/>
              <c:showSerName val="0"/>
              <c:showPercent val="0"/>
              <c:showBubbleSize val="0"/>
            </c:dLbl>
            <c:dLbl>
              <c:idx val="11"/>
              <c:dLblPos val="bestFit"/>
              <c:showLegendKey val="0"/>
              <c:showVal val="0"/>
              <c:showCatName val="1"/>
              <c:showSerName val="0"/>
              <c:showPercent val="1"/>
              <c:showBubbleSize val="0"/>
            </c:dLbl>
            <c:dLbl>
              <c:idx val="12"/>
              <c:numFmt formatCode="0%" sourceLinked="0"/>
              <c:spPr>
                <a:noFill/>
                <a:ln w="25378">
                  <a:noFill/>
                </a:ln>
              </c:spPr>
              <c:txPr>
                <a:bodyPr/>
                <a:lstStyle/>
                <a:p>
                  <a:pPr>
                    <a:defRPr sz="799" b="0" i="0" u="none" strike="noStrike" baseline="0">
                      <a:solidFill>
                        <a:srgbClr val="000000"/>
                      </a:solidFill>
                      <a:latin typeface="Arial"/>
                      <a:ea typeface="Arial"/>
                      <a:cs typeface="Arial"/>
                    </a:defRPr>
                  </a:pPr>
                  <a:endParaRPr lang="lt-LT"/>
                </a:p>
              </c:txPr>
              <c:showLegendKey val="0"/>
              <c:showVal val="0"/>
              <c:showCatName val="1"/>
              <c:showSerName val="0"/>
              <c:showPercent val="1"/>
              <c:showBubbleSize val="0"/>
            </c:dLbl>
            <c:numFmt formatCode="0%" sourceLinked="0"/>
            <c:spPr>
              <a:noFill/>
              <a:ln w="25378">
                <a:noFill/>
              </a:ln>
            </c:spPr>
            <c:txPr>
              <a:bodyPr/>
              <a:lstStyle/>
              <a:p>
                <a:pPr>
                  <a:defRPr sz="949" b="0"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Sheet1!$B$1:$N$1</c:f>
              <c:strCache>
                <c:ptCount val="10"/>
                <c:pt idx="0">
                  <c:v>Aguonos</c:v>
                </c:pt>
                <c:pt idx="1">
                  <c:v>Heroinas</c:v>
                </c:pt>
                <c:pt idx="2">
                  <c:v>Kanapės</c:v>
                </c:pt>
                <c:pt idx="3">
                  <c:v>Hašišas</c:v>
                </c:pt>
                <c:pt idx="4">
                  <c:v>Kokainas</c:v>
                </c:pt>
                <c:pt idx="5">
                  <c:v>Psichot. vaistai</c:v>
                </c:pt>
                <c:pt idx="6">
                  <c:v>Kiti</c:v>
                </c:pt>
                <c:pt idx="7">
                  <c:v>Amfetaminas</c:v>
                </c:pt>
                <c:pt idx="8">
                  <c:v>Ecstasy</c:v>
                </c:pt>
                <c:pt idx="9">
                  <c:v>Metamfetaminas</c:v>
                </c:pt>
              </c:strCache>
            </c:strRef>
          </c:cat>
          <c:val>
            <c:numRef>
              <c:f>Sheet1!$B$2:$N$2</c:f>
              <c:numCache>
                <c:formatCode>General</c:formatCode>
                <c:ptCount val="10"/>
                <c:pt idx="0">
                  <c:v>292</c:v>
                </c:pt>
                <c:pt idx="1">
                  <c:v>242</c:v>
                </c:pt>
                <c:pt idx="2">
                  <c:v>60</c:v>
                </c:pt>
                <c:pt idx="3">
                  <c:v>5</c:v>
                </c:pt>
                <c:pt idx="4">
                  <c:v>10</c:v>
                </c:pt>
                <c:pt idx="5">
                  <c:v>77</c:v>
                </c:pt>
                <c:pt idx="6">
                  <c:v>5</c:v>
                </c:pt>
                <c:pt idx="7">
                  <c:v>24</c:v>
                </c:pt>
                <c:pt idx="8">
                  <c:v>13</c:v>
                </c:pt>
                <c:pt idx="9">
                  <c:v>24</c:v>
                </c:pt>
              </c:numCache>
            </c:numRef>
          </c:val>
        </c:ser>
        <c:ser>
          <c:idx val="1"/>
          <c:order val="1"/>
          <c:tx>
            <c:strRef>
              <c:f>Sheet1!$A$3</c:f>
              <c:strCache>
                <c:ptCount val="1"/>
              </c:strCache>
            </c:strRef>
          </c:tx>
          <c:spPr>
            <a:solidFill>
              <a:srgbClr val="993366"/>
            </a:solidFill>
            <a:ln w="12689">
              <a:solidFill>
                <a:srgbClr val="000000"/>
              </a:solidFill>
              <a:prstDash val="solid"/>
            </a:ln>
          </c:spPr>
          <c:explosion val="4"/>
          <c:dPt>
            <c:idx val="0"/>
            <c:bubble3D val="0"/>
            <c:spPr>
              <a:solidFill>
                <a:srgbClr val="9999FF"/>
              </a:solidFill>
              <a:ln w="12689">
                <a:solidFill>
                  <a:srgbClr val="000000"/>
                </a:solidFill>
                <a:prstDash val="solid"/>
              </a:ln>
            </c:spPr>
          </c:dPt>
          <c:dPt>
            <c:idx val="1"/>
            <c:bubble3D val="0"/>
          </c:dPt>
          <c:dPt>
            <c:idx val="2"/>
            <c:bubble3D val="0"/>
            <c:spPr>
              <a:solidFill>
                <a:srgbClr val="FFFFCC"/>
              </a:solidFill>
              <a:ln w="12689">
                <a:solidFill>
                  <a:srgbClr val="000000"/>
                </a:solidFill>
                <a:prstDash val="solid"/>
              </a:ln>
            </c:spPr>
          </c:dPt>
          <c:dPt>
            <c:idx val="3"/>
            <c:bubble3D val="0"/>
            <c:spPr>
              <a:solidFill>
                <a:srgbClr val="CCFFFF"/>
              </a:solidFill>
              <a:ln w="12689">
                <a:solidFill>
                  <a:srgbClr val="000000"/>
                </a:solidFill>
                <a:prstDash val="solid"/>
              </a:ln>
            </c:spPr>
          </c:dPt>
          <c:dPt>
            <c:idx val="4"/>
            <c:bubble3D val="0"/>
            <c:spPr>
              <a:solidFill>
                <a:srgbClr val="660066"/>
              </a:solidFill>
              <a:ln w="12689">
                <a:solidFill>
                  <a:srgbClr val="000000"/>
                </a:solidFill>
                <a:prstDash val="solid"/>
              </a:ln>
            </c:spPr>
          </c:dPt>
          <c:dPt>
            <c:idx val="5"/>
            <c:bubble3D val="0"/>
            <c:spPr>
              <a:solidFill>
                <a:srgbClr val="FF8080"/>
              </a:solidFill>
              <a:ln w="12689">
                <a:solidFill>
                  <a:srgbClr val="000000"/>
                </a:solidFill>
                <a:prstDash val="solid"/>
              </a:ln>
            </c:spPr>
          </c:dPt>
          <c:dPt>
            <c:idx val="6"/>
            <c:bubble3D val="0"/>
            <c:spPr>
              <a:solidFill>
                <a:srgbClr val="0066CC"/>
              </a:solidFill>
              <a:ln w="12689">
                <a:solidFill>
                  <a:srgbClr val="000000"/>
                </a:solidFill>
                <a:prstDash val="solid"/>
              </a:ln>
            </c:spPr>
          </c:dPt>
          <c:dPt>
            <c:idx val="7"/>
            <c:bubble3D val="0"/>
            <c:spPr>
              <a:solidFill>
                <a:srgbClr val="CCCCFF"/>
              </a:solidFill>
              <a:ln w="12689">
                <a:solidFill>
                  <a:srgbClr val="000000"/>
                </a:solidFill>
                <a:prstDash val="solid"/>
              </a:ln>
            </c:spPr>
          </c:dPt>
          <c:dPt>
            <c:idx val="8"/>
            <c:bubble3D val="0"/>
            <c:spPr>
              <a:solidFill>
                <a:srgbClr val="000080"/>
              </a:solidFill>
              <a:ln w="12689">
                <a:solidFill>
                  <a:srgbClr val="000000"/>
                </a:solidFill>
                <a:prstDash val="solid"/>
              </a:ln>
            </c:spPr>
          </c:dPt>
          <c:dPt>
            <c:idx val="9"/>
            <c:bubble3D val="0"/>
            <c:spPr>
              <a:solidFill>
                <a:srgbClr val="FF00FF"/>
              </a:solidFill>
              <a:ln w="12689">
                <a:solidFill>
                  <a:srgbClr val="000000"/>
                </a:solidFill>
                <a:prstDash val="solid"/>
              </a:ln>
            </c:spPr>
          </c:dPt>
          <c:dPt>
            <c:idx val="10"/>
            <c:bubble3D val="0"/>
            <c:spPr>
              <a:solidFill>
                <a:srgbClr val="FFFF00"/>
              </a:solidFill>
              <a:ln w="12689">
                <a:solidFill>
                  <a:srgbClr val="000000"/>
                </a:solidFill>
                <a:prstDash val="solid"/>
              </a:ln>
            </c:spPr>
          </c:dPt>
          <c:cat>
            <c:strRef>
              <c:f>Sheet1!$B$1:$N$1</c:f>
              <c:strCache>
                <c:ptCount val="10"/>
                <c:pt idx="0">
                  <c:v>Aguonos</c:v>
                </c:pt>
                <c:pt idx="1">
                  <c:v>Heroinas</c:v>
                </c:pt>
                <c:pt idx="2">
                  <c:v>Kanapės</c:v>
                </c:pt>
                <c:pt idx="3">
                  <c:v>Hašišas</c:v>
                </c:pt>
                <c:pt idx="4">
                  <c:v>Kokainas</c:v>
                </c:pt>
                <c:pt idx="5">
                  <c:v>Psichot. vaistai</c:v>
                </c:pt>
                <c:pt idx="6">
                  <c:v>Kiti</c:v>
                </c:pt>
                <c:pt idx="7">
                  <c:v>Amfetaminas</c:v>
                </c:pt>
                <c:pt idx="8">
                  <c:v>Ecstasy</c:v>
                </c:pt>
                <c:pt idx="9">
                  <c:v>Metamfetaminas</c:v>
                </c:pt>
              </c:strCache>
            </c:strRef>
          </c:cat>
          <c:val>
            <c:numRef>
              <c:f>Sheet1!$B$3:$N$3</c:f>
              <c:numCache>
                <c:formatCode>General</c:formatCode>
                <c:ptCount val="10"/>
              </c:numCache>
            </c:numRef>
          </c:val>
        </c:ser>
        <c:ser>
          <c:idx val="2"/>
          <c:order val="2"/>
          <c:tx>
            <c:strRef>
              <c:f>Sheet1!$A$4</c:f>
              <c:strCache>
                <c:ptCount val="1"/>
              </c:strCache>
            </c:strRef>
          </c:tx>
          <c:spPr>
            <a:solidFill>
              <a:srgbClr val="FFFFCC"/>
            </a:solidFill>
            <a:ln w="12689">
              <a:solidFill>
                <a:srgbClr val="000000"/>
              </a:solidFill>
              <a:prstDash val="solid"/>
            </a:ln>
          </c:spPr>
          <c:explosion val="4"/>
          <c:dPt>
            <c:idx val="0"/>
            <c:bubble3D val="0"/>
            <c:spPr>
              <a:solidFill>
                <a:srgbClr val="9999FF"/>
              </a:solidFill>
              <a:ln w="12689">
                <a:solidFill>
                  <a:srgbClr val="000000"/>
                </a:solidFill>
                <a:prstDash val="solid"/>
              </a:ln>
            </c:spPr>
          </c:dPt>
          <c:dPt>
            <c:idx val="1"/>
            <c:bubble3D val="0"/>
            <c:spPr>
              <a:solidFill>
                <a:srgbClr val="993366"/>
              </a:solidFill>
              <a:ln w="12689">
                <a:solidFill>
                  <a:srgbClr val="000000"/>
                </a:solidFill>
                <a:prstDash val="solid"/>
              </a:ln>
            </c:spPr>
          </c:dPt>
          <c:dPt>
            <c:idx val="2"/>
            <c:bubble3D val="0"/>
          </c:dPt>
          <c:dPt>
            <c:idx val="3"/>
            <c:bubble3D val="0"/>
            <c:spPr>
              <a:solidFill>
                <a:srgbClr val="CCFFFF"/>
              </a:solidFill>
              <a:ln w="12689">
                <a:solidFill>
                  <a:srgbClr val="000000"/>
                </a:solidFill>
                <a:prstDash val="solid"/>
              </a:ln>
            </c:spPr>
          </c:dPt>
          <c:dPt>
            <c:idx val="4"/>
            <c:bubble3D val="0"/>
            <c:spPr>
              <a:solidFill>
                <a:srgbClr val="660066"/>
              </a:solidFill>
              <a:ln w="12689">
                <a:solidFill>
                  <a:srgbClr val="000000"/>
                </a:solidFill>
                <a:prstDash val="solid"/>
              </a:ln>
            </c:spPr>
          </c:dPt>
          <c:dPt>
            <c:idx val="5"/>
            <c:bubble3D val="0"/>
            <c:spPr>
              <a:solidFill>
                <a:srgbClr val="FF8080"/>
              </a:solidFill>
              <a:ln w="12689">
                <a:solidFill>
                  <a:srgbClr val="000000"/>
                </a:solidFill>
                <a:prstDash val="solid"/>
              </a:ln>
            </c:spPr>
          </c:dPt>
          <c:dPt>
            <c:idx val="6"/>
            <c:bubble3D val="0"/>
            <c:spPr>
              <a:solidFill>
                <a:srgbClr val="0066CC"/>
              </a:solidFill>
              <a:ln w="12689">
                <a:solidFill>
                  <a:srgbClr val="000000"/>
                </a:solidFill>
                <a:prstDash val="solid"/>
              </a:ln>
            </c:spPr>
          </c:dPt>
          <c:dPt>
            <c:idx val="7"/>
            <c:bubble3D val="0"/>
            <c:spPr>
              <a:solidFill>
                <a:srgbClr val="CCCCFF"/>
              </a:solidFill>
              <a:ln w="12689">
                <a:solidFill>
                  <a:srgbClr val="000000"/>
                </a:solidFill>
                <a:prstDash val="solid"/>
              </a:ln>
            </c:spPr>
          </c:dPt>
          <c:dPt>
            <c:idx val="8"/>
            <c:bubble3D val="0"/>
            <c:spPr>
              <a:solidFill>
                <a:srgbClr val="000080"/>
              </a:solidFill>
              <a:ln w="12689">
                <a:solidFill>
                  <a:srgbClr val="000000"/>
                </a:solidFill>
                <a:prstDash val="solid"/>
              </a:ln>
            </c:spPr>
          </c:dPt>
          <c:dPt>
            <c:idx val="9"/>
            <c:bubble3D val="0"/>
            <c:spPr>
              <a:solidFill>
                <a:srgbClr val="FF00FF"/>
              </a:solidFill>
              <a:ln w="12689">
                <a:solidFill>
                  <a:srgbClr val="000000"/>
                </a:solidFill>
                <a:prstDash val="solid"/>
              </a:ln>
            </c:spPr>
          </c:dPt>
          <c:dPt>
            <c:idx val="10"/>
            <c:bubble3D val="0"/>
            <c:spPr>
              <a:solidFill>
                <a:srgbClr val="FFFF00"/>
              </a:solidFill>
              <a:ln w="12689">
                <a:solidFill>
                  <a:srgbClr val="000000"/>
                </a:solidFill>
                <a:prstDash val="solid"/>
              </a:ln>
            </c:spPr>
          </c:dPt>
          <c:cat>
            <c:strRef>
              <c:f>Sheet1!$B$1:$N$1</c:f>
              <c:strCache>
                <c:ptCount val="10"/>
                <c:pt idx="0">
                  <c:v>Aguonos</c:v>
                </c:pt>
                <c:pt idx="1">
                  <c:v>Heroinas</c:v>
                </c:pt>
                <c:pt idx="2">
                  <c:v>Kanapės</c:v>
                </c:pt>
                <c:pt idx="3">
                  <c:v>Hašišas</c:v>
                </c:pt>
                <c:pt idx="4">
                  <c:v>Kokainas</c:v>
                </c:pt>
                <c:pt idx="5">
                  <c:v>Psichot. vaistai</c:v>
                </c:pt>
                <c:pt idx="6">
                  <c:v>Kiti</c:v>
                </c:pt>
                <c:pt idx="7">
                  <c:v>Amfetaminas</c:v>
                </c:pt>
                <c:pt idx="8">
                  <c:v>Ecstasy</c:v>
                </c:pt>
                <c:pt idx="9">
                  <c:v>Metamfetaminas</c:v>
                </c:pt>
              </c:strCache>
            </c:strRef>
          </c:cat>
          <c:val>
            <c:numRef>
              <c:f>Sheet1!$B$4:$N$4</c:f>
              <c:numCache>
                <c:formatCode>General</c:formatCode>
                <c:ptCount val="10"/>
              </c:numCache>
            </c:numRef>
          </c:val>
        </c:ser>
        <c:dLbls>
          <c:showLegendKey val="0"/>
          <c:showVal val="0"/>
          <c:showCatName val="0"/>
          <c:showSerName val="0"/>
          <c:showPercent val="0"/>
          <c:showBubbleSize val="0"/>
          <c:showLeaderLines val="1"/>
        </c:dLbls>
        <c:gapWidth val="105"/>
        <c:splitType val="pos"/>
        <c:splitPos val="3"/>
        <c:secondPieSize val="55"/>
        <c:serLines>
          <c:spPr>
            <a:ln w="12689">
              <a:solidFill>
                <a:srgbClr val="000000"/>
              </a:solidFill>
              <a:prstDash val="solid"/>
            </a:ln>
          </c:spPr>
        </c:serLines>
      </c:ofPieChart>
      <c:spPr>
        <a:noFill/>
        <a:ln w="25378">
          <a:noFill/>
        </a:ln>
      </c:spPr>
    </c:plotArea>
    <c:plotVisOnly val="1"/>
    <c:dispBlanksAs val="zero"/>
    <c:showDLblsOverMax val="0"/>
  </c:chart>
  <c:spPr>
    <a:solidFill>
      <a:srgbClr val="FFFFFF"/>
    </a:solidFill>
    <a:ln>
      <a:noFill/>
    </a:ln>
  </c:spPr>
  <c:txPr>
    <a:bodyPr/>
    <a:lstStyle/>
    <a:p>
      <a:pPr>
        <a:defRPr sz="974" b="0" i="0" u="none" strike="noStrike" baseline="0">
          <a:solidFill>
            <a:srgbClr val="000000"/>
          </a:solidFill>
          <a:latin typeface="Arial"/>
          <a:ea typeface="Arial"/>
          <a:cs typeface="Arial"/>
        </a:defRPr>
      </a:pPr>
      <a:endParaRPr lang="lt-LT"/>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l">
              <a:defRPr sz="1125" b="1" i="0" u="none" strike="noStrike" baseline="0">
                <a:solidFill>
                  <a:srgbClr val="0000FF"/>
                </a:solidFill>
                <a:latin typeface="Times New Roman"/>
                <a:ea typeface="Times New Roman"/>
                <a:cs typeface="Times New Roman"/>
              </a:defRPr>
            </a:pPr>
            <a:r>
              <a:rPr lang="lt-LT"/>
              <a:t>Sulaikymo atvejai 2008 m.</a:t>
            </a:r>
          </a:p>
        </c:rich>
      </c:tx>
      <c:layout>
        <c:manualLayout>
          <c:xMode val="edge"/>
          <c:yMode val="edge"/>
          <c:x val="0"/>
          <c:y val="4.1322314049586778E-3"/>
        </c:manualLayout>
      </c:layout>
      <c:overlay val="0"/>
      <c:spPr>
        <a:noFill/>
        <a:ln w="25390">
          <a:noFill/>
        </a:ln>
      </c:spPr>
    </c:title>
    <c:autoTitleDeleted val="0"/>
    <c:plotArea>
      <c:layout>
        <c:manualLayout>
          <c:layoutTarget val="inner"/>
          <c:xMode val="edge"/>
          <c:yMode val="edge"/>
          <c:x val="0.16713881019830029"/>
          <c:y val="0.32644628099173556"/>
          <c:w val="0.70538243626062325"/>
          <c:h val="0.54958677685950408"/>
        </c:manualLayout>
      </c:layout>
      <c:ofPieChart>
        <c:ofPieType val="pie"/>
        <c:varyColors val="1"/>
        <c:ser>
          <c:idx val="0"/>
          <c:order val="0"/>
          <c:tx>
            <c:strRef>
              <c:f>Sheet1!$A$2</c:f>
              <c:strCache>
                <c:ptCount val="1"/>
              </c:strCache>
            </c:strRef>
          </c:tx>
          <c:spPr>
            <a:ln w="12695">
              <a:solidFill>
                <a:srgbClr val="000000"/>
              </a:solidFill>
              <a:prstDash val="solid"/>
            </a:ln>
          </c:spPr>
          <c:dPt>
            <c:idx val="0"/>
            <c:bubble3D val="0"/>
            <c:spPr>
              <a:solidFill>
                <a:srgbClr val="339966"/>
              </a:solidFill>
              <a:ln w="12695">
                <a:solidFill>
                  <a:srgbClr val="000000"/>
                </a:solidFill>
                <a:prstDash val="solid"/>
              </a:ln>
            </c:spPr>
          </c:dPt>
          <c:dPt>
            <c:idx val="1"/>
            <c:bubble3D val="0"/>
            <c:spPr>
              <a:solidFill>
                <a:srgbClr val="993366"/>
              </a:solidFill>
              <a:ln w="12695">
                <a:solidFill>
                  <a:srgbClr val="000000"/>
                </a:solidFill>
                <a:prstDash val="solid"/>
              </a:ln>
            </c:spPr>
          </c:dPt>
          <c:dPt>
            <c:idx val="2"/>
            <c:bubble3D val="0"/>
            <c:spPr>
              <a:solidFill>
                <a:srgbClr val="FF9900"/>
              </a:solidFill>
              <a:ln w="12695">
                <a:solidFill>
                  <a:srgbClr val="000000"/>
                </a:solidFill>
                <a:prstDash val="solid"/>
              </a:ln>
            </c:spPr>
          </c:dPt>
          <c:dPt>
            <c:idx val="3"/>
            <c:bubble3D val="0"/>
            <c:spPr>
              <a:solidFill>
                <a:srgbClr val="993300"/>
              </a:solidFill>
              <a:ln w="12695">
                <a:solidFill>
                  <a:srgbClr val="000000"/>
                </a:solidFill>
                <a:prstDash val="solid"/>
              </a:ln>
            </c:spPr>
          </c:dPt>
          <c:dPt>
            <c:idx val="4"/>
            <c:bubble3D val="0"/>
            <c:spPr>
              <a:solidFill>
                <a:srgbClr val="0000FF"/>
              </a:solidFill>
              <a:ln w="12695">
                <a:solidFill>
                  <a:srgbClr val="000000"/>
                </a:solidFill>
                <a:prstDash val="solid"/>
              </a:ln>
            </c:spPr>
          </c:dPt>
          <c:dPt>
            <c:idx val="5"/>
            <c:bubble3D val="0"/>
            <c:spPr>
              <a:solidFill>
                <a:srgbClr val="CCCCFF"/>
              </a:solidFill>
              <a:ln w="12695">
                <a:solidFill>
                  <a:srgbClr val="000000"/>
                </a:solidFill>
                <a:prstDash val="solid"/>
              </a:ln>
            </c:spPr>
          </c:dPt>
          <c:dPt>
            <c:idx val="6"/>
            <c:bubble3D val="0"/>
            <c:spPr>
              <a:solidFill>
                <a:srgbClr val="0066CC"/>
              </a:solidFill>
              <a:ln w="12695">
                <a:solidFill>
                  <a:srgbClr val="000000"/>
                </a:solidFill>
                <a:prstDash val="solid"/>
              </a:ln>
            </c:spPr>
          </c:dPt>
          <c:dPt>
            <c:idx val="7"/>
            <c:bubble3D val="0"/>
            <c:spPr>
              <a:solidFill>
                <a:srgbClr val="99CCFF"/>
              </a:solidFill>
              <a:ln w="12695">
                <a:solidFill>
                  <a:srgbClr val="000000"/>
                </a:solidFill>
                <a:prstDash val="solid"/>
              </a:ln>
            </c:spPr>
          </c:dPt>
          <c:dPt>
            <c:idx val="8"/>
            <c:bubble3D val="0"/>
            <c:spPr>
              <a:solidFill>
                <a:srgbClr val="000080"/>
              </a:solidFill>
              <a:ln w="12695">
                <a:solidFill>
                  <a:srgbClr val="000000"/>
                </a:solidFill>
                <a:prstDash val="solid"/>
              </a:ln>
            </c:spPr>
          </c:dPt>
          <c:dPt>
            <c:idx val="9"/>
            <c:bubble3D val="0"/>
            <c:spPr>
              <a:solidFill>
                <a:srgbClr val="FF00FF"/>
              </a:solidFill>
              <a:ln w="12695">
                <a:solidFill>
                  <a:srgbClr val="000000"/>
                </a:solidFill>
                <a:prstDash val="solid"/>
              </a:ln>
            </c:spPr>
          </c:dPt>
          <c:dPt>
            <c:idx val="10"/>
            <c:bubble3D val="0"/>
            <c:spPr>
              <a:solidFill>
                <a:srgbClr val="00CCFF"/>
              </a:solidFill>
              <a:ln w="12695">
                <a:solidFill>
                  <a:srgbClr val="000000"/>
                </a:solidFill>
                <a:prstDash val="solid"/>
              </a:ln>
            </c:spPr>
          </c:dPt>
          <c:dPt>
            <c:idx val="11"/>
            <c:bubble3D val="0"/>
            <c:spPr>
              <a:solidFill>
                <a:srgbClr val="FFFF00"/>
              </a:solidFill>
              <a:ln w="12695">
                <a:solidFill>
                  <a:srgbClr val="000000"/>
                </a:solidFill>
                <a:prstDash val="solid"/>
              </a:ln>
            </c:spPr>
          </c:dPt>
          <c:dLbls>
            <c:dLbl>
              <c:idx val="0"/>
              <c:layout>
                <c:manualLayout>
                  <c:x val="2.3304808903897183E-2"/>
                  <c:y val="-3.7671200190885205E-2"/>
                </c:manualLayout>
              </c:layout>
              <c:dLblPos val="bestFit"/>
              <c:showLegendKey val="0"/>
              <c:showVal val="0"/>
              <c:showCatName val="1"/>
              <c:showSerName val="0"/>
              <c:showPercent val="1"/>
              <c:showBubbleSize val="0"/>
            </c:dLbl>
            <c:dLbl>
              <c:idx val="1"/>
              <c:layout>
                <c:manualLayout>
                  <c:x val="2.6187088213486354E-2"/>
                  <c:y val="9.1129311315424379E-3"/>
                </c:manualLayout>
              </c:layout>
              <c:dLblPos val="bestFit"/>
              <c:showLegendKey val="0"/>
              <c:showVal val="0"/>
              <c:showCatName val="1"/>
              <c:showSerName val="0"/>
              <c:showPercent val="1"/>
              <c:showBubbleSize val="0"/>
            </c:dLbl>
            <c:dLbl>
              <c:idx val="2"/>
              <c:layout>
                <c:manualLayout>
                  <c:x val="-3.6613955084331645E-3"/>
                  <c:y val="0.21217800942926207"/>
                </c:manualLayout>
              </c:layout>
              <c:dLblPos val="bestFit"/>
              <c:showLegendKey val="0"/>
              <c:showVal val="0"/>
              <c:showCatName val="1"/>
              <c:showSerName val="0"/>
              <c:showPercent val="1"/>
              <c:showBubbleSize val="0"/>
            </c:dLbl>
            <c:dLbl>
              <c:idx val="3"/>
              <c:layout>
                <c:manualLayout>
                  <c:x val="-7.8079995110296771E-2"/>
                  <c:y val="5.546109766582203E-2"/>
                </c:manualLayout>
              </c:layout>
              <c:dLblPos val="bestFit"/>
              <c:showLegendKey val="0"/>
              <c:showVal val="0"/>
              <c:showCatName val="1"/>
              <c:showSerName val="0"/>
              <c:showPercent val="1"/>
              <c:showBubbleSize val="0"/>
            </c:dLbl>
            <c:dLbl>
              <c:idx val="4"/>
              <c:layout>
                <c:manualLayout>
                  <c:x val="1.8174562281744595E-2"/>
                  <c:y val="-2.8419953015514941E-2"/>
                </c:manualLayout>
              </c:layout>
              <c:dLblPos val="bestFit"/>
              <c:showLegendKey val="0"/>
              <c:showVal val="0"/>
              <c:showCatName val="1"/>
              <c:showSerName val="0"/>
              <c:showPercent val="1"/>
              <c:showBubbleSize val="0"/>
            </c:dLbl>
            <c:dLbl>
              <c:idx val="5"/>
              <c:layout>
                <c:manualLayout>
                  <c:x val="1.4347157744279488E-2"/>
                  <c:y val="-3.1280318610311449E-2"/>
                </c:manualLayout>
              </c:layout>
              <c:dLblPos val="bestFit"/>
              <c:showLegendKey val="0"/>
              <c:showVal val="0"/>
              <c:showCatName val="1"/>
              <c:showSerName val="0"/>
              <c:showPercent val="1"/>
              <c:showBubbleSize val="0"/>
            </c:dLbl>
            <c:dLbl>
              <c:idx val="6"/>
              <c:layout>
                <c:manualLayout>
                  <c:x val="4.8644543832086572E-2"/>
                  <c:y val="1.8402902805193421E-2"/>
                </c:manualLayout>
              </c:layout>
              <c:dLblPos val="bestFit"/>
              <c:showLegendKey val="0"/>
              <c:showVal val="0"/>
              <c:showCatName val="1"/>
              <c:showSerName val="0"/>
              <c:showPercent val="1"/>
              <c:showBubbleSize val="0"/>
            </c:dLbl>
            <c:dLbl>
              <c:idx val="7"/>
              <c:layout>
                <c:manualLayout>
                  <c:x val="0.17555543306717922"/>
                  <c:y val="0.13868203458038827"/>
                </c:manualLayout>
              </c:layout>
              <c:numFmt formatCode="0%" sourceLinked="0"/>
              <c:spPr>
                <a:noFill/>
                <a:ln w="25390">
                  <a:noFill/>
                </a:ln>
              </c:spPr>
              <c:txPr>
                <a:bodyPr/>
                <a:lstStyle/>
                <a:p>
                  <a:pPr>
                    <a:defRPr sz="800" b="0" i="0" u="none" strike="noStrike" baseline="0">
                      <a:solidFill>
                        <a:srgbClr val="000000"/>
                      </a:solidFill>
                      <a:latin typeface="Times New Roman"/>
                      <a:ea typeface="Times New Roman"/>
                      <a:cs typeface="Times New Roman"/>
                    </a:defRPr>
                  </a:pPr>
                  <a:endParaRPr lang="lt-LT"/>
                </a:p>
              </c:txPr>
              <c:dLblPos val="bestFit"/>
              <c:showLegendKey val="0"/>
              <c:showVal val="0"/>
              <c:showCatName val="1"/>
              <c:showSerName val="0"/>
              <c:showPercent val="1"/>
              <c:showBubbleSize val="0"/>
            </c:dLbl>
            <c:dLbl>
              <c:idx val="8"/>
              <c:layout>
                <c:manualLayout>
                  <c:x val="-0.1369963756754552"/>
                  <c:y val="-0.10341885294641201"/>
                </c:manualLayout>
              </c:layout>
              <c:dLblPos val="bestFit"/>
              <c:showLegendKey val="0"/>
              <c:showVal val="0"/>
              <c:showCatName val="1"/>
              <c:showSerName val="0"/>
              <c:showPercent val="1"/>
              <c:showBubbleSize val="0"/>
            </c:dLbl>
            <c:dLbl>
              <c:idx val="9"/>
              <c:layout>
                <c:manualLayout>
                  <c:x val="-1.0885355201646048E-2"/>
                  <c:y val="-0.25909759902601709"/>
                </c:manualLayout>
              </c:layout>
              <c:dLblPos val="bestFit"/>
              <c:showLegendKey val="0"/>
              <c:showVal val="0"/>
              <c:showCatName val="1"/>
              <c:showSerName val="0"/>
              <c:showPercent val="1"/>
              <c:showBubbleSize val="0"/>
            </c:dLbl>
            <c:dLbl>
              <c:idx val="10"/>
              <c:layout>
                <c:manualLayout>
                  <c:x val="5.5132125528300206E-2"/>
                  <c:y val="-0.11983548888344883"/>
                </c:manualLayout>
              </c:layout>
              <c:dLblPos val="bestFit"/>
              <c:showLegendKey val="0"/>
              <c:showVal val="0"/>
              <c:showCatName val="1"/>
              <c:showSerName val="0"/>
              <c:showPercent val="1"/>
              <c:showBubbleSize val="0"/>
            </c:dLbl>
            <c:dLbl>
              <c:idx val="11"/>
              <c:layout>
                <c:manualLayout>
                  <c:x val="-1.3378586029004498E-2"/>
                  <c:y val="-4.8781302474931627E-2"/>
                </c:manualLayout>
              </c:layout>
              <c:tx>
                <c:rich>
                  <a:bodyPr/>
                  <a:lstStyle/>
                  <a:p>
                    <a:pPr>
                      <a:defRPr sz="850" b="0" i="0" u="none" strike="noStrike" baseline="0">
                        <a:solidFill>
                          <a:srgbClr val="000000"/>
                        </a:solidFill>
                        <a:latin typeface="Times New Roman"/>
                        <a:ea typeface="Times New Roman"/>
                        <a:cs typeface="Times New Roman"/>
                      </a:defRPr>
                    </a:pPr>
                    <a:r>
                      <a:rPr lang="lt-LT"/>
                      <a:t>ATS medžiagos
32%</a:t>
                    </a:r>
                  </a:p>
                </c:rich>
              </c:tx>
              <c:spPr>
                <a:noFill/>
                <a:ln w="25390">
                  <a:noFill/>
                </a:ln>
              </c:spPr>
              <c:dLblPos val="bestFit"/>
              <c:showLegendKey val="0"/>
              <c:showVal val="0"/>
              <c:showCatName val="0"/>
              <c:showSerName val="0"/>
              <c:showPercent val="0"/>
              <c:showBubbleSize val="0"/>
            </c:dLbl>
            <c:numFmt formatCode="0%" sourceLinked="0"/>
            <c:spPr>
              <a:noFill/>
              <a:ln w="25390">
                <a:noFill/>
              </a:ln>
            </c:spPr>
            <c:txPr>
              <a:bodyPr/>
              <a:lstStyle/>
              <a:p>
                <a:pPr>
                  <a:defRPr sz="850" b="0" i="0" u="none" strike="noStrike" baseline="0">
                    <a:solidFill>
                      <a:srgbClr val="000000"/>
                    </a:solidFill>
                    <a:latin typeface="Times New Roman"/>
                    <a:ea typeface="Times New Roman"/>
                    <a:cs typeface="Times New Roman"/>
                  </a:defRPr>
                </a:pPr>
                <a:endParaRPr lang="lt-LT"/>
              </a:p>
            </c:txPr>
            <c:showLegendKey val="0"/>
            <c:showVal val="0"/>
            <c:showCatName val="1"/>
            <c:showSerName val="0"/>
            <c:showPercent val="1"/>
            <c:showBubbleSize val="0"/>
            <c:showLeaderLines val="1"/>
          </c:dLbls>
          <c:cat>
            <c:strRef>
              <c:f>Sheet1!$B$1:$L$1</c:f>
              <c:strCache>
                <c:ptCount val="11"/>
                <c:pt idx="0">
                  <c:v>Aguonos</c:v>
                </c:pt>
                <c:pt idx="1">
                  <c:v>Heroinas</c:v>
                </c:pt>
                <c:pt idx="2">
                  <c:v>Kanapės</c:v>
                </c:pt>
                <c:pt idx="3">
                  <c:v>Hašišas</c:v>
                </c:pt>
                <c:pt idx="4">
                  <c:v>Kokainas</c:v>
                </c:pt>
                <c:pt idx="5">
                  <c:v>Psichot. vaistai</c:v>
                </c:pt>
                <c:pt idx="6">
                  <c:v>Kiti</c:v>
                </c:pt>
                <c:pt idx="7">
                  <c:v>Metamfetaminas</c:v>
                </c:pt>
                <c:pt idx="8">
                  <c:v>Ecstasy</c:v>
                </c:pt>
                <c:pt idx="9">
                  <c:v>Amfetaminas</c:v>
                </c:pt>
                <c:pt idx="10">
                  <c:v>mCPP</c:v>
                </c:pt>
              </c:strCache>
            </c:strRef>
          </c:cat>
          <c:val>
            <c:numRef>
              <c:f>Sheet1!$B$2:$L$2</c:f>
              <c:numCache>
                <c:formatCode>General</c:formatCode>
                <c:ptCount val="11"/>
                <c:pt idx="0">
                  <c:v>40</c:v>
                </c:pt>
                <c:pt idx="1">
                  <c:v>282</c:v>
                </c:pt>
                <c:pt idx="2">
                  <c:v>249</c:v>
                </c:pt>
                <c:pt idx="3">
                  <c:v>19</c:v>
                </c:pt>
                <c:pt idx="4">
                  <c:v>31</c:v>
                </c:pt>
                <c:pt idx="5">
                  <c:v>117</c:v>
                </c:pt>
                <c:pt idx="6">
                  <c:v>14</c:v>
                </c:pt>
                <c:pt idx="7">
                  <c:v>162</c:v>
                </c:pt>
                <c:pt idx="8">
                  <c:v>86</c:v>
                </c:pt>
                <c:pt idx="9">
                  <c:v>77</c:v>
                </c:pt>
                <c:pt idx="10">
                  <c:v>12</c:v>
                </c:pt>
              </c:numCache>
            </c:numRef>
          </c:val>
        </c:ser>
        <c:dLbls>
          <c:showLegendKey val="0"/>
          <c:showVal val="0"/>
          <c:showCatName val="0"/>
          <c:showSerName val="0"/>
          <c:showPercent val="0"/>
          <c:showBubbleSize val="0"/>
          <c:showLeaderLines val="1"/>
        </c:dLbls>
        <c:gapWidth val="65"/>
        <c:splitType val="pos"/>
        <c:splitPos val="5"/>
        <c:secondPieSize val="55"/>
        <c:serLines>
          <c:spPr>
            <a:ln w="12695">
              <a:solidFill>
                <a:srgbClr val="000000"/>
              </a:solidFill>
              <a:prstDash val="solid"/>
            </a:ln>
          </c:spPr>
        </c:serLines>
      </c:ofPieChart>
      <c:spPr>
        <a:noFill/>
        <a:ln w="25390">
          <a:noFill/>
        </a:ln>
      </c:spPr>
    </c:plotArea>
    <c:plotVisOnly val="1"/>
    <c:dispBlanksAs val="zero"/>
    <c:showDLblsOverMax val="0"/>
  </c:chart>
  <c:spPr>
    <a:solidFill>
      <a:srgbClr val="FFFFFF"/>
    </a:solidFill>
    <a:ln>
      <a:noFill/>
    </a:ln>
  </c:spPr>
  <c:txPr>
    <a:bodyPr/>
    <a:lstStyle/>
    <a:p>
      <a:pPr>
        <a:defRPr sz="1025" b="0" i="0" u="none" strike="noStrike" baseline="0">
          <a:solidFill>
            <a:srgbClr val="000000"/>
          </a:solidFill>
          <a:latin typeface="Arial"/>
          <a:ea typeface="Arial"/>
          <a:cs typeface="Arial"/>
        </a:defRPr>
      </a:pPr>
      <a:endParaRPr lang="lt-LT"/>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73" b="1" i="0" u="none" strike="noStrike" baseline="0">
                <a:solidFill>
                  <a:srgbClr val="0000FF"/>
                </a:solidFill>
                <a:latin typeface="Times New Roman"/>
                <a:ea typeface="Times New Roman"/>
                <a:cs typeface="Times New Roman"/>
              </a:defRPr>
            </a:pPr>
            <a:r>
              <a:rPr lang="lt-LT"/>
              <a:t>ATS medžiagų sulaikymų dinamika</a:t>
            </a:r>
          </a:p>
        </c:rich>
      </c:tx>
      <c:layout>
        <c:manualLayout>
          <c:xMode val="edge"/>
          <c:yMode val="edge"/>
          <c:x val="0.58463949843260188"/>
          <c:y val="1.5873015873015872E-2"/>
        </c:manualLayout>
      </c:layout>
      <c:overlay val="0"/>
      <c:spPr>
        <a:noFill/>
        <a:ln w="25360">
          <a:noFill/>
        </a:ln>
      </c:spPr>
    </c:title>
    <c:autoTitleDeleted val="0"/>
    <c:plotArea>
      <c:layout>
        <c:manualLayout>
          <c:layoutTarget val="inner"/>
          <c:xMode val="edge"/>
          <c:yMode val="edge"/>
          <c:x val="0.10031347962382445"/>
          <c:y val="0.15476190476190477"/>
          <c:w val="0.90125391849529779"/>
          <c:h val="0.74206349206349209"/>
        </c:manualLayout>
      </c:layout>
      <c:lineChart>
        <c:grouping val="standard"/>
        <c:varyColors val="0"/>
        <c:ser>
          <c:idx val="0"/>
          <c:order val="0"/>
          <c:tx>
            <c:strRef>
              <c:f>Sheet1!$A$2</c:f>
              <c:strCache>
                <c:ptCount val="1"/>
                <c:pt idx="0">
                  <c:v>Amfetaminas</c:v>
                </c:pt>
              </c:strCache>
            </c:strRef>
          </c:tx>
          <c:spPr>
            <a:ln w="38041">
              <a:solidFill>
                <a:srgbClr val="000080"/>
              </a:solidFill>
              <a:prstDash val="solid"/>
            </a:ln>
          </c:spPr>
          <c:marker>
            <c:symbol val="none"/>
          </c:marker>
          <c:cat>
            <c:numRef>
              <c:f>Sheet1!$B$1:$I$1</c:f>
              <c:numCache>
                <c:formatCode>General</c:formatCode>
                <c:ptCount val="8"/>
                <c:pt idx="0">
                  <c:v>2001</c:v>
                </c:pt>
                <c:pt idx="1">
                  <c:v>2002</c:v>
                </c:pt>
                <c:pt idx="2">
                  <c:v>2003</c:v>
                </c:pt>
                <c:pt idx="3">
                  <c:v>2004</c:v>
                </c:pt>
                <c:pt idx="4">
                  <c:v>2005</c:v>
                </c:pt>
                <c:pt idx="5">
                  <c:v>2006</c:v>
                </c:pt>
                <c:pt idx="6">
                  <c:v>2007</c:v>
                </c:pt>
                <c:pt idx="7">
                  <c:v>2008</c:v>
                </c:pt>
              </c:numCache>
            </c:numRef>
          </c:cat>
          <c:val>
            <c:numRef>
              <c:f>Sheet1!$B$2:$I$2</c:f>
              <c:numCache>
                <c:formatCode>General</c:formatCode>
                <c:ptCount val="8"/>
                <c:pt idx="0">
                  <c:v>24</c:v>
                </c:pt>
                <c:pt idx="1">
                  <c:v>86</c:v>
                </c:pt>
                <c:pt idx="2">
                  <c:v>57</c:v>
                </c:pt>
                <c:pt idx="3">
                  <c:v>170</c:v>
                </c:pt>
                <c:pt idx="4">
                  <c:v>113</c:v>
                </c:pt>
                <c:pt idx="5">
                  <c:v>119</c:v>
                </c:pt>
                <c:pt idx="6">
                  <c:v>112</c:v>
                </c:pt>
                <c:pt idx="7">
                  <c:v>77</c:v>
                </c:pt>
              </c:numCache>
            </c:numRef>
          </c:val>
          <c:smooth val="0"/>
        </c:ser>
        <c:ser>
          <c:idx val="1"/>
          <c:order val="1"/>
          <c:tx>
            <c:strRef>
              <c:f>Sheet1!$A$3</c:f>
              <c:strCache>
                <c:ptCount val="1"/>
                <c:pt idx="0">
                  <c:v>Metamfetaminas</c:v>
                </c:pt>
              </c:strCache>
            </c:strRef>
          </c:tx>
          <c:spPr>
            <a:ln w="38041">
              <a:solidFill>
                <a:srgbClr val="FF00FF"/>
              </a:solidFill>
              <a:prstDash val="solid"/>
            </a:ln>
          </c:spPr>
          <c:marker>
            <c:symbol val="none"/>
          </c:marker>
          <c:cat>
            <c:numRef>
              <c:f>Sheet1!$B$1:$I$1</c:f>
              <c:numCache>
                <c:formatCode>General</c:formatCode>
                <c:ptCount val="8"/>
                <c:pt idx="0">
                  <c:v>2001</c:v>
                </c:pt>
                <c:pt idx="1">
                  <c:v>2002</c:v>
                </c:pt>
                <c:pt idx="2">
                  <c:v>2003</c:v>
                </c:pt>
                <c:pt idx="3">
                  <c:v>2004</c:v>
                </c:pt>
                <c:pt idx="4">
                  <c:v>2005</c:v>
                </c:pt>
                <c:pt idx="5">
                  <c:v>2006</c:v>
                </c:pt>
                <c:pt idx="6">
                  <c:v>2007</c:v>
                </c:pt>
                <c:pt idx="7">
                  <c:v>2008</c:v>
                </c:pt>
              </c:numCache>
            </c:numRef>
          </c:cat>
          <c:val>
            <c:numRef>
              <c:f>Sheet1!$B$3:$I$3</c:f>
              <c:numCache>
                <c:formatCode>General</c:formatCode>
                <c:ptCount val="8"/>
                <c:pt idx="0">
                  <c:v>24</c:v>
                </c:pt>
                <c:pt idx="1">
                  <c:v>82</c:v>
                </c:pt>
                <c:pt idx="2">
                  <c:v>123</c:v>
                </c:pt>
                <c:pt idx="3">
                  <c:v>192</c:v>
                </c:pt>
                <c:pt idx="4">
                  <c:v>95</c:v>
                </c:pt>
                <c:pt idx="5">
                  <c:v>120</c:v>
                </c:pt>
                <c:pt idx="6">
                  <c:v>196</c:v>
                </c:pt>
                <c:pt idx="7">
                  <c:v>162</c:v>
                </c:pt>
              </c:numCache>
            </c:numRef>
          </c:val>
          <c:smooth val="0"/>
        </c:ser>
        <c:ser>
          <c:idx val="2"/>
          <c:order val="2"/>
          <c:tx>
            <c:strRef>
              <c:f>Sheet1!$A$4</c:f>
              <c:strCache>
                <c:ptCount val="1"/>
                <c:pt idx="0">
                  <c:v>Ecstasy</c:v>
                </c:pt>
              </c:strCache>
            </c:strRef>
          </c:tx>
          <c:spPr>
            <a:ln w="38041">
              <a:solidFill>
                <a:srgbClr val="FF0000"/>
              </a:solidFill>
              <a:prstDash val="solid"/>
            </a:ln>
          </c:spPr>
          <c:marker>
            <c:symbol val="none"/>
          </c:marker>
          <c:cat>
            <c:numRef>
              <c:f>Sheet1!$B$1:$I$1</c:f>
              <c:numCache>
                <c:formatCode>General</c:formatCode>
                <c:ptCount val="8"/>
                <c:pt idx="0">
                  <c:v>2001</c:v>
                </c:pt>
                <c:pt idx="1">
                  <c:v>2002</c:v>
                </c:pt>
                <c:pt idx="2">
                  <c:v>2003</c:v>
                </c:pt>
                <c:pt idx="3">
                  <c:v>2004</c:v>
                </c:pt>
                <c:pt idx="4">
                  <c:v>2005</c:v>
                </c:pt>
                <c:pt idx="5">
                  <c:v>2006</c:v>
                </c:pt>
                <c:pt idx="6">
                  <c:v>2007</c:v>
                </c:pt>
                <c:pt idx="7">
                  <c:v>2008</c:v>
                </c:pt>
              </c:numCache>
            </c:numRef>
          </c:cat>
          <c:val>
            <c:numRef>
              <c:f>Sheet1!$B$4:$I$4</c:f>
              <c:numCache>
                <c:formatCode>General</c:formatCode>
                <c:ptCount val="8"/>
                <c:pt idx="0">
                  <c:v>13</c:v>
                </c:pt>
                <c:pt idx="1">
                  <c:v>9</c:v>
                </c:pt>
                <c:pt idx="2">
                  <c:v>67</c:v>
                </c:pt>
                <c:pt idx="3">
                  <c:v>93</c:v>
                </c:pt>
                <c:pt idx="4">
                  <c:v>87</c:v>
                </c:pt>
                <c:pt idx="5">
                  <c:v>78</c:v>
                </c:pt>
                <c:pt idx="6">
                  <c:v>114</c:v>
                </c:pt>
                <c:pt idx="7">
                  <c:v>94</c:v>
                </c:pt>
              </c:numCache>
            </c:numRef>
          </c:val>
          <c:smooth val="0"/>
        </c:ser>
        <c:dLbls>
          <c:showLegendKey val="0"/>
          <c:showVal val="0"/>
          <c:showCatName val="0"/>
          <c:showSerName val="0"/>
          <c:showPercent val="0"/>
          <c:showBubbleSize val="0"/>
        </c:dLbls>
        <c:marker val="1"/>
        <c:smooth val="0"/>
        <c:axId val="93496832"/>
        <c:axId val="93498368"/>
      </c:lineChart>
      <c:catAx>
        <c:axId val="93496832"/>
        <c:scaling>
          <c:orientation val="minMax"/>
        </c:scaling>
        <c:delete val="0"/>
        <c:axPos val="b"/>
        <c:numFmt formatCode="General" sourceLinked="1"/>
        <c:majorTickMark val="out"/>
        <c:minorTickMark val="none"/>
        <c:tickLblPos val="nextTo"/>
        <c:spPr>
          <a:ln w="3170">
            <a:solidFill>
              <a:srgbClr val="000000"/>
            </a:solidFill>
            <a:prstDash val="solid"/>
          </a:ln>
        </c:spPr>
        <c:txPr>
          <a:bodyPr rot="0" vert="horz"/>
          <a:lstStyle/>
          <a:p>
            <a:pPr>
              <a:defRPr sz="849" b="1" i="0" u="none" strike="noStrike" baseline="0">
                <a:solidFill>
                  <a:srgbClr val="000000"/>
                </a:solidFill>
                <a:latin typeface="Arial"/>
                <a:ea typeface="Arial"/>
                <a:cs typeface="Arial"/>
              </a:defRPr>
            </a:pPr>
            <a:endParaRPr lang="lt-LT"/>
          </a:p>
        </c:txPr>
        <c:crossAx val="93498368"/>
        <c:crosses val="autoZero"/>
        <c:auto val="1"/>
        <c:lblAlgn val="ctr"/>
        <c:lblOffset val="100"/>
        <c:tickLblSkip val="1"/>
        <c:tickMarkSkip val="1"/>
        <c:noMultiLvlLbl val="0"/>
      </c:catAx>
      <c:valAx>
        <c:axId val="93498368"/>
        <c:scaling>
          <c:orientation val="minMax"/>
        </c:scaling>
        <c:delete val="0"/>
        <c:axPos val="l"/>
        <c:majorGridlines>
          <c:spPr>
            <a:ln w="12680">
              <a:solidFill>
                <a:srgbClr val="FFFFFF"/>
              </a:solidFill>
              <a:prstDash val="solid"/>
            </a:ln>
          </c:spPr>
        </c:majorGridlines>
        <c:title>
          <c:tx>
            <c:rich>
              <a:bodyPr/>
              <a:lstStyle/>
              <a:p>
                <a:pPr>
                  <a:defRPr sz="1048" b="0" i="0" u="none" strike="noStrike" baseline="0">
                    <a:solidFill>
                      <a:srgbClr val="000000"/>
                    </a:solidFill>
                    <a:latin typeface="Times New Roman"/>
                    <a:ea typeface="Times New Roman"/>
                    <a:cs typeface="Times New Roman"/>
                  </a:defRPr>
                </a:pPr>
                <a:r>
                  <a:rPr lang="lt-LT"/>
                  <a:t>sulaikymų skaičius</a:t>
                </a:r>
              </a:p>
            </c:rich>
          </c:tx>
          <c:layout>
            <c:manualLayout>
              <c:xMode val="edge"/>
              <c:yMode val="edge"/>
              <c:x val="7.8369905956112845E-3"/>
              <c:y val="0.30555555555555558"/>
            </c:manualLayout>
          </c:layout>
          <c:overlay val="0"/>
          <c:spPr>
            <a:noFill/>
            <a:ln w="25360">
              <a:noFill/>
            </a:ln>
          </c:spPr>
        </c:title>
        <c:numFmt formatCode="General" sourceLinked="1"/>
        <c:majorTickMark val="out"/>
        <c:minorTickMark val="none"/>
        <c:tickLblPos val="nextTo"/>
        <c:spPr>
          <a:ln w="3170">
            <a:solidFill>
              <a:srgbClr val="000000"/>
            </a:solidFill>
            <a:prstDash val="solid"/>
          </a:ln>
        </c:spPr>
        <c:txPr>
          <a:bodyPr rot="0" vert="horz"/>
          <a:lstStyle/>
          <a:p>
            <a:pPr>
              <a:defRPr sz="849" b="1" i="0" u="none" strike="noStrike" baseline="0">
                <a:solidFill>
                  <a:srgbClr val="000000"/>
                </a:solidFill>
                <a:latin typeface="Arial"/>
                <a:ea typeface="Arial"/>
                <a:cs typeface="Arial"/>
              </a:defRPr>
            </a:pPr>
            <a:endParaRPr lang="lt-LT"/>
          </a:p>
        </c:txPr>
        <c:crossAx val="93496832"/>
        <c:crosses val="autoZero"/>
        <c:crossBetween val="between"/>
      </c:valAx>
      <c:spPr>
        <a:noFill/>
        <a:ln w="25360">
          <a:noFill/>
        </a:ln>
      </c:spPr>
    </c:plotArea>
    <c:legend>
      <c:legendPos val="r"/>
      <c:layout>
        <c:manualLayout>
          <c:xMode val="edge"/>
          <c:yMode val="edge"/>
          <c:x val="0.13009404388714735"/>
          <c:y val="2.7777777777777776E-2"/>
          <c:w val="0.2554858934169279"/>
          <c:h val="0.25396825396825395"/>
        </c:manualLayout>
      </c:layout>
      <c:overlay val="0"/>
      <c:spPr>
        <a:noFill/>
        <a:ln w="3170">
          <a:solidFill>
            <a:srgbClr val="000000"/>
          </a:solidFill>
          <a:prstDash val="solid"/>
        </a:ln>
      </c:spPr>
      <c:txPr>
        <a:bodyPr/>
        <a:lstStyle/>
        <a:p>
          <a:pPr>
            <a:defRPr sz="919" b="0"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1098" b="1" i="0" u="none" strike="noStrike" baseline="0">
          <a:solidFill>
            <a:srgbClr val="000000"/>
          </a:solidFill>
          <a:latin typeface="Arial"/>
          <a:ea typeface="Arial"/>
          <a:cs typeface="Arial"/>
        </a:defRPr>
      </a:pPr>
      <a:endParaRPr lang="lt-LT"/>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FF"/>
                </a:solidFill>
                <a:latin typeface="Times New Roman"/>
                <a:ea typeface="Times New Roman"/>
                <a:cs typeface="Times New Roman"/>
              </a:defRPr>
            </a:pPr>
            <a:r>
              <a:rPr lang="lt-LT"/>
              <a:t>ATS medžiagų kiekių dinamika 
Lietuvoje</a:t>
            </a:r>
          </a:p>
        </c:rich>
      </c:tx>
      <c:layout>
        <c:manualLayout>
          <c:xMode val="edge"/>
          <c:yMode val="edge"/>
          <c:x val="0.34421364985163205"/>
          <c:y val="2.1582733812949641E-2"/>
        </c:manualLayout>
      </c:layout>
      <c:overlay val="0"/>
      <c:spPr>
        <a:noFill/>
        <a:ln w="25398">
          <a:noFill/>
        </a:ln>
      </c:spPr>
    </c:title>
    <c:autoTitleDeleted val="0"/>
    <c:plotArea>
      <c:layout>
        <c:manualLayout>
          <c:layoutTarget val="inner"/>
          <c:xMode val="edge"/>
          <c:yMode val="edge"/>
          <c:x val="0.10385756676557864"/>
          <c:y val="0.16906474820143885"/>
          <c:w val="0.70623145400593468"/>
          <c:h val="0.71942446043165464"/>
        </c:manualLayout>
      </c:layout>
      <c:barChart>
        <c:barDir val="col"/>
        <c:grouping val="clustered"/>
        <c:varyColors val="0"/>
        <c:ser>
          <c:idx val="1"/>
          <c:order val="0"/>
          <c:tx>
            <c:strRef>
              <c:f>Sheet1!$A$2</c:f>
              <c:strCache>
                <c:ptCount val="1"/>
                <c:pt idx="0">
                  <c:v>Amfetaminas</c:v>
                </c:pt>
              </c:strCache>
            </c:strRef>
          </c:tx>
          <c:spPr>
            <a:solidFill>
              <a:srgbClr val="00CCFF"/>
            </a:solidFill>
            <a:ln w="12699">
              <a:solidFill>
                <a:srgbClr val="000000"/>
              </a:solidFill>
              <a:prstDash val="solid"/>
            </a:ln>
          </c:spPr>
          <c:invertIfNegative val="0"/>
          <c:cat>
            <c:numRef>
              <c:f>Sheet1!$B$1:$G$1</c:f>
              <c:numCache>
                <c:formatCode>General</c:formatCode>
                <c:ptCount val="6"/>
                <c:pt idx="0">
                  <c:v>2003</c:v>
                </c:pt>
                <c:pt idx="1">
                  <c:v>2004</c:v>
                </c:pt>
                <c:pt idx="2">
                  <c:v>2005</c:v>
                </c:pt>
                <c:pt idx="3">
                  <c:v>2006</c:v>
                </c:pt>
                <c:pt idx="4">
                  <c:v>2007</c:v>
                </c:pt>
                <c:pt idx="5">
                  <c:v>2008</c:v>
                </c:pt>
              </c:numCache>
            </c:numRef>
          </c:cat>
          <c:val>
            <c:numRef>
              <c:f>Sheet1!$B$2:$G$2</c:f>
              <c:numCache>
                <c:formatCode>General</c:formatCode>
                <c:ptCount val="6"/>
                <c:pt idx="0">
                  <c:v>7</c:v>
                </c:pt>
                <c:pt idx="1">
                  <c:v>7</c:v>
                </c:pt>
                <c:pt idx="2">
                  <c:v>8.3000000000000007</c:v>
                </c:pt>
                <c:pt idx="3">
                  <c:v>35</c:v>
                </c:pt>
                <c:pt idx="4">
                  <c:v>11</c:v>
                </c:pt>
                <c:pt idx="5">
                  <c:v>7.5</c:v>
                </c:pt>
              </c:numCache>
            </c:numRef>
          </c:val>
        </c:ser>
        <c:ser>
          <c:idx val="3"/>
          <c:order val="2"/>
          <c:tx>
            <c:strRef>
              <c:f>Sheet1!$A$4</c:f>
              <c:strCache>
                <c:ptCount val="1"/>
                <c:pt idx="0">
                  <c:v>Metamfetaminas</c:v>
                </c:pt>
              </c:strCache>
            </c:strRef>
          </c:tx>
          <c:spPr>
            <a:solidFill>
              <a:srgbClr val="FFFF00"/>
            </a:solidFill>
            <a:ln w="12699">
              <a:solidFill>
                <a:srgbClr val="000000"/>
              </a:solidFill>
              <a:prstDash val="solid"/>
            </a:ln>
          </c:spPr>
          <c:invertIfNegative val="0"/>
          <c:cat>
            <c:numRef>
              <c:f>Sheet1!$B$1:$G$1</c:f>
              <c:numCache>
                <c:formatCode>General</c:formatCode>
                <c:ptCount val="6"/>
                <c:pt idx="0">
                  <c:v>2003</c:v>
                </c:pt>
                <c:pt idx="1">
                  <c:v>2004</c:v>
                </c:pt>
                <c:pt idx="2">
                  <c:v>2005</c:v>
                </c:pt>
                <c:pt idx="3">
                  <c:v>2006</c:v>
                </c:pt>
                <c:pt idx="4">
                  <c:v>2007</c:v>
                </c:pt>
                <c:pt idx="5">
                  <c:v>2008</c:v>
                </c:pt>
              </c:numCache>
            </c:numRef>
          </c:cat>
          <c:val>
            <c:numRef>
              <c:f>Sheet1!$B$4:$G$4</c:f>
              <c:numCache>
                <c:formatCode>General</c:formatCode>
                <c:ptCount val="6"/>
                <c:pt idx="0">
                  <c:v>24.7</c:v>
                </c:pt>
                <c:pt idx="1">
                  <c:v>2.8</c:v>
                </c:pt>
                <c:pt idx="2">
                  <c:v>3.5</c:v>
                </c:pt>
                <c:pt idx="3">
                  <c:v>22</c:v>
                </c:pt>
                <c:pt idx="4">
                  <c:v>49</c:v>
                </c:pt>
                <c:pt idx="5">
                  <c:v>26</c:v>
                </c:pt>
              </c:numCache>
            </c:numRef>
          </c:val>
        </c:ser>
        <c:dLbls>
          <c:showLegendKey val="0"/>
          <c:showVal val="0"/>
          <c:showCatName val="0"/>
          <c:showSerName val="0"/>
          <c:showPercent val="0"/>
          <c:showBubbleSize val="0"/>
        </c:dLbls>
        <c:gapWidth val="150"/>
        <c:axId val="95693056"/>
        <c:axId val="95711232"/>
      </c:barChart>
      <c:lineChart>
        <c:grouping val="standard"/>
        <c:varyColors val="0"/>
        <c:ser>
          <c:idx val="0"/>
          <c:order val="1"/>
          <c:tx>
            <c:strRef>
              <c:f>Sheet1!$A$3</c:f>
              <c:strCache>
                <c:ptCount val="1"/>
                <c:pt idx="0">
                  <c:v>Ecstasy</c:v>
                </c:pt>
              </c:strCache>
            </c:strRef>
          </c:tx>
          <c:spPr>
            <a:ln w="25398">
              <a:solidFill>
                <a:srgbClr val="FF00FF"/>
              </a:solidFill>
              <a:prstDash val="solid"/>
            </a:ln>
          </c:spPr>
          <c:marker>
            <c:symbol val="diamond"/>
            <c:size val="6"/>
            <c:spPr>
              <a:solidFill>
                <a:srgbClr val="FF00FF"/>
              </a:solidFill>
              <a:ln>
                <a:solidFill>
                  <a:srgbClr val="FF00FF"/>
                </a:solidFill>
                <a:prstDash val="solid"/>
              </a:ln>
            </c:spPr>
          </c:marker>
          <c:dLbls>
            <c:dLbl>
              <c:idx val="0"/>
              <c:layout>
                <c:manualLayout>
                  <c:x val="-2.6021073666989414E-2"/>
                  <c:y val="-8.4792470485553814E-2"/>
                </c:manualLayout>
              </c:layout>
              <c:dLblPos val="r"/>
              <c:showLegendKey val="0"/>
              <c:showVal val="1"/>
              <c:showCatName val="0"/>
              <c:showSerName val="0"/>
              <c:showPercent val="0"/>
              <c:showBubbleSize val="0"/>
            </c:dLbl>
            <c:dLbl>
              <c:idx val="1"/>
              <c:layout>
                <c:manualLayout>
                  <c:x val="-3.5417777059961547E-2"/>
                  <c:y val="-7.8971166898502199E-2"/>
                </c:manualLayout>
              </c:layout>
              <c:dLblPos val="r"/>
              <c:showLegendKey val="0"/>
              <c:showVal val="1"/>
              <c:showCatName val="0"/>
              <c:showSerName val="0"/>
              <c:showPercent val="0"/>
              <c:showBubbleSize val="0"/>
            </c:dLbl>
            <c:dLbl>
              <c:idx val="5"/>
              <c:layout>
                <c:manualLayout>
                  <c:x val="-1.6624462142366569E-2"/>
                  <c:y val="-5.9912070343725032E-2"/>
                </c:manualLayout>
              </c:layout>
              <c:dLblPos val="r"/>
              <c:showLegendKey val="0"/>
              <c:showVal val="1"/>
              <c:showCatName val="0"/>
              <c:showSerName val="0"/>
              <c:showPercent val="0"/>
              <c:showBubbleSize val="0"/>
            </c:dLbl>
            <c:spPr>
              <a:noFill/>
              <a:ln w="25398">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Sheet1!$B$1:$G$1</c:f>
              <c:numCache>
                <c:formatCode>General</c:formatCode>
                <c:ptCount val="6"/>
                <c:pt idx="0">
                  <c:v>2003</c:v>
                </c:pt>
                <c:pt idx="1">
                  <c:v>2004</c:v>
                </c:pt>
                <c:pt idx="2">
                  <c:v>2005</c:v>
                </c:pt>
                <c:pt idx="3">
                  <c:v>2006</c:v>
                </c:pt>
                <c:pt idx="4">
                  <c:v>2007</c:v>
                </c:pt>
                <c:pt idx="5">
                  <c:v>2008</c:v>
                </c:pt>
              </c:numCache>
            </c:numRef>
          </c:cat>
          <c:val>
            <c:numRef>
              <c:f>Sheet1!$B$3:$G$3</c:f>
              <c:numCache>
                <c:formatCode>General</c:formatCode>
                <c:ptCount val="6"/>
                <c:pt idx="0">
                  <c:v>98458</c:v>
                </c:pt>
                <c:pt idx="1">
                  <c:v>99429</c:v>
                </c:pt>
                <c:pt idx="2">
                  <c:v>18483</c:v>
                </c:pt>
                <c:pt idx="3">
                  <c:v>58509</c:v>
                </c:pt>
                <c:pt idx="4">
                  <c:v>22356</c:v>
                </c:pt>
                <c:pt idx="5">
                  <c:v>76808</c:v>
                </c:pt>
              </c:numCache>
            </c:numRef>
          </c:val>
          <c:smooth val="0"/>
        </c:ser>
        <c:dLbls>
          <c:showLegendKey val="0"/>
          <c:showVal val="0"/>
          <c:showCatName val="0"/>
          <c:showSerName val="0"/>
          <c:showPercent val="0"/>
          <c:showBubbleSize val="0"/>
        </c:dLbls>
        <c:marker val="1"/>
        <c:smooth val="0"/>
        <c:axId val="95713152"/>
        <c:axId val="95714688"/>
      </c:lineChart>
      <c:catAx>
        <c:axId val="9569305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5711232"/>
        <c:crosses val="autoZero"/>
        <c:auto val="0"/>
        <c:lblAlgn val="ctr"/>
        <c:lblOffset val="100"/>
        <c:tickLblSkip val="1"/>
        <c:tickMarkSkip val="1"/>
        <c:noMultiLvlLbl val="0"/>
      </c:catAx>
      <c:valAx>
        <c:axId val="95711232"/>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lt-LT"/>
                  <a:t>kilogramai</a:t>
                </a:r>
              </a:p>
            </c:rich>
          </c:tx>
          <c:layout>
            <c:manualLayout>
              <c:xMode val="edge"/>
              <c:yMode val="edge"/>
              <c:x val="2.967359050445104E-2"/>
              <c:y val="0.39568345323741005"/>
            </c:manualLayout>
          </c:layout>
          <c:overlay val="0"/>
          <c:spPr>
            <a:noFill/>
            <a:ln w="25398">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5693056"/>
        <c:crosses val="autoZero"/>
        <c:crossBetween val="between"/>
      </c:valAx>
      <c:catAx>
        <c:axId val="95713152"/>
        <c:scaling>
          <c:orientation val="minMax"/>
        </c:scaling>
        <c:delete val="1"/>
        <c:axPos val="b"/>
        <c:numFmt formatCode="General" sourceLinked="1"/>
        <c:majorTickMark val="out"/>
        <c:minorTickMark val="none"/>
        <c:tickLblPos val="nextTo"/>
        <c:crossAx val="95714688"/>
        <c:crosses val="autoZero"/>
        <c:auto val="0"/>
        <c:lblAlgn val="ctr"/>
        <c:lblOffset val="100"/>
        <c:noMultiLvlLbl val="0"/>
      </c:catAx>
      <c:valAx>
        <c:axId val="95714688"/>
        <c:scaling>
          <c:orientation val="minMax"/>
        </c:scaling>
        <c:delete val="0"/>
        <c:axPos val="r"/>
        <c:title>
          <c:tx>
            <c:rich>
              <a:bodyPr/>
              <a:lstStyle/>
              <a:p>
                <a:pPr>
                  <a:defRPr sz="1000" b="1" i="0" u="none" strike="noStrike" baseline="0">
                    <a:solidFill>
                      <a:srgbClr val="000000"/>
                    </a:solidFill>
                    <a:latin typeface="Arial"/>
                    <a:ea typeface="Arial"/>
                    <a:cs typeface="Arial"/>
                  </a:defRPr>
                </a:pPr>
                <a:r>
                  <a:rPr lang="lt-LT"/>
                  <a:t>tabletės</a:t>
                </a:r>
              </a:p>
            </c:rich>
          </c:tx>
          <c:layout>
            <c:manualLayout>
              <c:xMode val="edge"/>
              <c:yMode val="edge"/>
              <c:x val="0.88872403560830859"/>
              <c:y val="0.42805755395683454"/>
            </c:manualLayout>
          </c:layout>
          <c:overlay val="0"/>
          <c:spPr>
            <a:noFill/>
            <a:ln w="25398">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5713152"/>
        <c:crosses val="max"/>
        <c:crossBetween val="between"/>
      </c:valAx>
      <c:spPr>
        <a:noFill/>
        <a:ln w="25398">
          <a:noFill/>
        </a:ln>
      </c:spPr>
    </c:plotArea>
    <c:legend>
      <c:legendPos val="r"/>
      <c:layout>
        <c:manualLayout>
          <c:xMode val="edge"/>
          <c:yMode val="edge"/>
          <c:x val="0.79821958456973297"/>
          <c:y val="0.77338129496402874"/>
          <c:w val="0.20178041543026706"/>
          <c:h val="0.23021582733812951"/>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FF"/>
                </a:solidFill>
                <a:latin typeface="Times New Roman"/>
                <a:ea typeface="Times New Roman"/>
                <a:cs typeface="Times New Roman"/>
              </a:defRPr>
            </a:pPr>
            <a:r>
              <a:rPr lang="lt-LT"/>
              <a:t>Heroino išimšo kiekio ir sulaikymų dinamika</a:t>
            </a:r>
          </a:p>
        </c:rich>
      </c:tx>
      <c:layout>
        <c:manualLayout>
          <c:xMode val="edge"/>
          <c:yMode val="edge"/>
          <c:x val="0.29838709677419356"/>
          <c:y val="3.1847133757961785E-3"/>
        </c:manualLayout>
      </c:layout>
      <c:overlay val="0"/>
      <c:spPr>
        <a:noFill/>
        <a:ln w="25399">
          <a:noFill/>
        </a:ln>
      </c:spPr>
    </c:title>
    <c:autoTitleDeleted val="0"/>
    <c:plotArea>
      <c:layout>
        <c:manualLayout>
          <c:layoutTarget val="inner"/>
          <c:xMode val="edge"/>
          <c:yMode val="edge"/>
          <c:x val="9.0322580645161285E-2"/>
          <c:y val="8.9171974522292988E-2"/>
          <c:w val="0.79677419354838708"/>
          <c:h val="0.78025477707006374"/>
        </c:manualLayout>
      </c:layout>
      <c:barChart>
        <c:barDir val="col"/>
        <c:grouping val="clustered"/>
        <c:varyColors val="0"/>
        <c:ser>
          <c:idx val="1"/>
          <c:order val="0"/>
          <c:tx>
            <c:strRef>
              <c:f>Sheet1!$A$2</c:f>
              <c:strCache>
                <c:ptCount val="1"/>
                <c:pt idx="0">
                  <c:v>Išimtas kiekis (kg)</c:v>
                </c:pt>
              </c:strCache>
            </c:strRef>
          </c:tx>
          <c:spPr>
            <a:solidFill>
              <a:srgbClr val="993366"/>
            </a:solidFill>
            <a:ln w="12699">
              <a:solidFill>
                <a:srgbClr val="000000"/>
              </a:solidFill>
              <a:prstDash val="solid"/>
            </a:ln>
          </c:spPr>
          <c:invertIfNegative val="0"/>
          <c:dLbls>
            <c:dLbl>
              <c:idx val="0"/>
              <c:layout/>
              <c:tx>
                <c:rich>
                  <a:bodyPr/>
                  <a:lstStyle/>
                  <a:p>
                    <a:r>
                      <a:rPr lang="lt-LT"/>
                      <a:t>0,9 kg</a:t>
                    </a:r>
                  </a:p>
                </c:rich>
              </c:tx>
              <c:showLegendKey val="0"/>
              <c:showVal val="0"/>
              <c:showCatName val="0"/>
              <c:showSerName val="0"/>
              <c:showPercent val="0"/>
              <c:showBubbleSize val="0"/>
            </c:dLbl>
            <c:dLbl>
              <c:idx val="1"/>
              <c:layout/>
              <c:tx>
                <c:rich>
                  <a:bodyPr/>
                  <a:lstStyle/>
                  <a:p>
                    <a:r>
                      <a:rPr lang="lt-LT"/>
                      <a:t>2,7 kg</a:t>
                    </a:r>
                  </a:p>
                </c:rich>
              </c:tx>
              <c:showLegendKey val="0"/>
              <c:showVal val="0"/>
              <c:showCatName val="0"/>
              <c:showSerName val="0"/>
              <c:showPercent val="0"/>
              <c:showBubbleSize val="0"/>
            </c:dLbl>
            <c:dLbl>
              <c:idx val="2"/>
              <c:layout/>
              <c:tx>
                <c:rich>
                  <a:bodyPr/>
                  <a:lstStyle/>
                  <a:p>
                    <a:r>
                      <a:rPr lang="lt-LT"/>
                      <a:t>3 kg</a:t>
                    </a:r>
                  </a:p>
                </c:rich>
              </c:tx>
              <c:showLegendKey val="0"/>
              <c:showVal val="0"/>
              <c:showCatName val="0"/>
              <c:showSerName val="0"/>
              <c:showPercent val="0"/>
              <c:showBubbleSize val="0"/>
            </c:dLbl>
            <c:dLbl>
              <c:idx val="3"/>
              <c:layout>
                <c:manualLayout>
                  <c:x val="1.1244911590352642E-3"/>
                  <c:y val="1.2302982945721073E-2"/>
                </c:manualLayout>
              </c:layout>
              <c:tx>
                <c:rich>
                  <a:bodyPr/>
                  <a:lstStyle/>
                  <a:p>
                    <a:r>
                      <a:rPr lang="lt-LT"/>
                      <a:t>0,8 kg</a:t>
                    </a:r>
                  </a:p>
                </c:rich>
              </c:tx>
              <c:dLblPos val="outEnd"/>
              <c:showLegendKey val="0"/>
              <c:showVal val="0"/>
              <c:showCatName val="0"/>
              <c:showSerName val="0"/>
              <c:showPercent val="0"/>
              <c:showBubbleSize val="0"/>
            </c:dLbl>
            <c:dLbl>
              <c:idx val="4"/>
              <c:layout>
                <c:manualLayout>
                  <c:x val="1.0981154237440787E-2"/>
                  <c:y val="2.5539549948329968E-2"/>
                </c:manualLayout>
              </c:layout>
              <c:tx>
                <c:rich>
                  <a:bodyPr/>
                  <a:lstStyle/>
                  <a:p>
                    <a:r>
                      <a:rPr lang="lt-LT"/>
                      <a:t>2,9 kg</a:t>
                    </a:r>
                  </a:p>
                </c:rich>
              </c:tx>
              <c:dLblPos val="outEnd"/>
              <c:showLegendKey val="0"/>
              <c:showVal val="0"/>
              <c:showCatName val="0"/>
              <c:showSerName val="0"/>
              <c:showPercent val="0"/>
              <c:showBubbleSize val="0"/>
            </c:dLbl>
            <c:dLbl>
              <c:idx val="5"/>
              <c:layout/>
              <c:tx>
                <c:rich>
                  <a:bodyPr/>
                  <a:lstStyle/>
                  <a:p>
                    <a:r>
                      <a:rPr lang="lt-LT"/>
                      <a:t>1,9 kg</a:t>
                    </a:r>
                  </a:p>
                </c:rich>
              </c:tx>
              <c:showLegendKey val="0"/>
              <c:showVal val="0"/>
              <c:showCatName val="0"/>
              <c:showSerName val="0"/>
              <c:showPercent val="0"/>
              <c:showBubbleSize val="0"/>
            </c:dLbl>
            <c:dLbl>
              <c:idx val="6"/>
              <c:layout/>
              <c:tx>
                <c:rich>
                  <a:bodyPr/>
                  <a:lstStyle/>
                  <a:p>
                    <a:r>
                      <a:rPr lang="lt-LT"/>
                      <a:t>4,8 kg </a:t>
                    </a:r>
                  </a:p>
                </c:rich>
              </c:tx>
              <c:showLegendKey val="0"/>
              <c:showVal val="0"/>
              <c:showCatName val="0"/>
              <c:showSerName val="0"/>
              <c:showPercent val="0"/>
              <c:showBubbleSize val="0"/>
            </c:dLbl>
            <c:dLbl>
              <c:idx val="7"/>
              <c:layout/>
              <c:tx>
                <c:rich>
                  <a:bodyPr/>
                  <a:lstStyle/>
                  <a:p>
                    <a:r>
                      <a:rPr lang="lt-LT"/>
                      <a:t>6,4 kg</a:t>
                    </a:r>
                  </a:p>
                </c:rich>
              </c:tx>
              <c:showLegendKey val="0"/>
              <c:showVal val="0"/>
              <c:showCatName val="0"/>
              <c:showSerName val="0"/>
              <c:showPercent val="0"/>
              <c:showBubbleSize val="0"/>
            </c:dLbl>
            <c:dLbl>
              <c:idx val="8"/>
              <c:layout/>
              <c:tx>
                <c:rich>
                  <a:bodyPr/>
                  <a:lstStyle/>
                  <a:p>
                    <a:r>
                      <a:rPr lang="lt-LT"/>
                      <a:t>14 kg</a:t>
                    </a:r>
                  </a:p>
                </c:rich>
              </c:tx>
              <c:showLegendKey val="0"/>
              <c:showVal val="0"/>
              <c:showCatName val="0"/>
              <c:showSerName val="0"/>
              <c:showPercent val="0"/>
              <c:showBubbleSize val="0"/>
            </c:dLbl>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Sheet1!$B$1:$J$1</c:f>
              <c:numCache>
                <c:formatCode>General</c:formatCode>
                <c:ptCount val="9"/>
                <c:pt idx="0">
                  <c:v>2000</c:v>
                </c:pt>
                <c:pt idx="1">
                  <c:v>2001</c:v>
                </c:pt>
                <c:pt idx="2">
                  <c:v>2002</c:v>
                </c:pt>
                <c:pt idx="3">
                  <c:v>2003</c:v>
                </c:pt>
                <c:pt idx="4">
                  <c:v>2004</c:v>
                </c:pt>
                <c:pt idx="5">
                  <c:v>2005</c:v>
                </c:pt>
                <c:pt idx="6">
                  <c:v>2006</c:v>
                </c:pt>
                <c:pt idx="7">
                  <c:v>2007</c:v>
                </c:pt>
                <c:pt idx="8">
                  <c:v>2008</c:v>
                </c:pt>
              </c:numCache>
            </c:numRef>
          </c:cat>
          <c:val>
            <c:numRef>
              <c:f>Sheet1!$B$2:$J$2</c:f>
              <c:numCache>
                <c:formatCode>General</c:formatCode>
                <c:ptCount val="9"/>
                <c:pt idx="0">
                  <c:v>0.94</c:v>
                </c:pt>
                <c:pt idx="1">
                  <c:v>2.7</c:v>
                </c:pt>
                <c:pt idx="2">
                  <c:v>3</c:v>
                </c:pt>
                <c:pt idx="3">
                  <c:v>0.8</c:v>
                </c:pt>
                <c:pt idx="4">
                  <c:v>2.9</c:v>
                </c:pt>
                <c:pt idx="5">
                  <c:v>1.95</c:v>
                </c:pt>
                <c:pt idx="6">
                  <c:v>4.8</c:v>
                </c:pt>
                <c:pt idx="7">
                  <c:v>6.4</c:v>
                </c:pt>
                <c:pt idx="8">
                  <c:v>14</c:v>
                </c:pt>
              </c:numCache>
            </c:numRef>
          </c:val>
        </c:ser>
        <c:dLbls>
          <c:showLegendKey val="0"/>
          <c:showVal val="1"/>
          <c:showCatName val="0"/>
          <c:showSerName val="0"/>
          <c:showPercent val="0"/>
          <c:showBubbleSize val="0"/>
        </c:dLbls>
        <c:gapWidth val="150"/>
        <c:axId val="95750016"/>
        <c:axId val="95785728"/>
      </c:barChart>
      <c:lineChart>
        <c:grouping val="standard"/>
        <c:varyColors val="0"/>
        <c:ser>
          <c:idx val="0"/>
          <c:order val="1"/>
          <c:tx>
            <c:strRef>
              <c:f>Sheet1!$A$3</c:f>
              <c:strCache>
                <c:ptCount val="1"/>
                <c:pt idx="0">
                  <c:v>Sulaikymų skaičius</c:v>
                </c:pt>
              </c:strCache>
            </c:strRef>
          </c:tx>
          <c:spPr>
            <a:ln w="12699">
              <a:solidFill>
                <a:srgbClr val="000080"/>
              </a:solidFill>
              <a:prstDash val="solid"/>
            </a:ln>
          </c:spPr>
          <c:marker>
            <c:symbol val="diamond"/>
            <c:size val="4"/>
            <c:spPr>
              <a:solidFill>
                <a:srgbClr val="000080"/>
              </a:solidFill>
              <a:ln>
                <a:solidFill>
                  <a:srgbClr val="000080"/>
                </a:solidFill>
                <a:prstDash val="solid"/>
              </a:ln>
            </c:spPr>
          </c:marker>
          <c:dLbls>
            <c:dLbl>
              <c:idx val="3"/>
              <c:layout>
                <c:manualLayout>
                  <c:x val="-5.9224451782236582E-3"/>
                  <c:y val="-9.9464106264848612E-2"/>
                </c:manualLayout>
              </c:layout>
              <c:dLblPos val="r"/>
              <c:showLegendKey val="0"/>
              <c:showVal val="1"/>
              <c:showCatName val="0"/>
              <c:showSerName val="0"/>
              <c:showPercent val="0"/>
              <c:showBubbleSize val="0"/>
            </c:dLbl>
            <c:dLbl>
              <c:idx val="4"/>
              <c:layout>
                <c:manualLayout>
                  <c:x val="-1.8646593906944398E-2"/>
                  <c:y val="-0.10774413813984511"/>
                </c:manualLayout>
              </c:layout>
              <c:dLblPos val="r"/>
              <c:showLegendKey val="0"/>
              <c:showVal val="1"/>
              <c:showCatName val="0"/>
              <c:showSerName val="0"/>
              <c:showPercent val="0"/>
              <c:showBubbleSize val="0"/>
            </c:dLbl>
            <c:dLbl>
              <c:idx val="5"/>
              <c:layout>
                <c:manualLayout>
                  <c:x val="-2.8144769538216291E-2"/>
                  <c:y val="-8.4814228664917696E-2"/>
                </c:manualLayout>
              </c:layout>
              <c:dLblPos val="r"/>
              <c:showLegendKey val="0"/>
              <c:showVal val="1"/>
              <c:showCatName val="0"/>
              <c:showSerName val="0"/>
              <c:showPercent val="0"/>
              <c:showBubbleSize val="0"/>
            </c:dLbl>
            <c:dLbl>
              <c:idx val="6"/>
              <c:layout>
                <c:manualLayout>
                  <c:x val="-4.2481654846907517E-2"/>
                  <c:y val="-6.8954560380353497E-2"/>
                </c:manualLayout>
              </c:layout>
              <c:dLblPos val="r"/>
              <c:showLegendKey val="0"/>
              <c:showVal val="1"/>
              <c:showCatName val="0"/>
              <c:showSerName val="0"/>
              <c:showPercent val="0"/>
              <c:showBubbleSize val="0"/>
            </c:dLbl>
            <c:dLbl>
              <c:idx val="7"/>
              <c:layout>
                <c:manualLayout>
                  <c:x val="-3.2624991768501997E-2"/>
                  <c:y val="-6.0546865470549362E-2"/>
                </c:manualLayout>
              </c:layout>
              <c:dLblPos val="r"/>
              <c:showLegendKey val="0"/>
              <c:showVal val="1"/>
              <c:showCatName val="0"/>
              <c:showSerName val="0"/>
              <c:showPercent val="0"/>
              <c:showBubbleSize val="0"/>
            </c:dLbl>
            <c:dLbl>
              <c:idx val="8"/>
              <c:layout>
                <c:manualLayout>
                  <c:x val="-6.792961901267712E-2"/>
                  <c:y val="2.2956172705352159E-2"/>
                </c:manualLayout>
              </c:layout>
              <c:dLblPos val="r"/>
              <c:showLegendKey val="0"/>
              <c:showVal val="1"/>
              <c:showCatName val="0"/>
              <c:showSerName val="0"/>
              <c:showPercent val="0"/>
              <c:showBubbleSize val="0"/>
            </c:dLbl>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Sheet1!$B$1:$J$1</c:f>
              <c:numCache>
                <c:formatCode>General</c:formatCode>
                <c:ptCount val="9"/>
                <c:pt idx="0">
                  <c:v>2000</c:v>
                </c:pt>
                <c:pt idx="1">
                  <c:v>2001</c:v>
                </c:pt>
                <c:pt idx="2">
                  <c:v>2002</c:v>
                </c:pt>
                <c:pt idx="3">
                  <c:v>2003</c:v>
                </c:pt>
                <c:pt idx="4">
                  <c:v>2004</c:v>
                </c:pt>
                <c:pt idx="5">
                  <c:v>2005</c:v>
                </c:pt>
                <c:pt idx="6">
                  <c:v>2006</c:v>
                </c:pt>
                <c:pt idx="7">
                  <c:v>2007</c:v>
                </c:pt>
                <c:pt idx="8">
                  <c:v>2008</c:v>
                </c:pt>
              </c:numCache>
            </c:numRef>
          </c:cat>
          <c:val>
            <c:numRef>
              <c:f>Sheet1!$B$3:$J$3</c:f>
              <c:numCache>
                <c:formatCode>General</c:formatCode>
                <c:ptCount val="9"/>
                <c:pt idx="0">
                  <c:v>103</c:v>
                </c:pt>
                <c:pt idx="1">
                  <c:v>212</c:v>
                </c:pt>
                <c:pt idx="2">
                  <c:v>132</c:v>
                </c:pt>
                <c:pt idx="3">
                  <c:v>30</c:v>
                </c:pt>
                <c:pt idx="4">
                  <c:v>60</c:v>
                </c:pt>
                <c:pt idx="5">
                  <c:v>100</c:v>
                </c:pt>
                <c:pt idx="6">
                  <c:v>151</c:v>
                </c:pt>
                <c:pt idx="7">
                  <c:v>219</c:v>
                </c:pt>
                <c:pt idx="8">
                  <c:v>208</c:v>
                </c:pt>
              </c:numCache>
            </c:numRef>
          </c:val>
          <c:smooth val="0"/>
        </c:ser>
        <c:dLbls>
          <c:showLegendKey val="0"/>
          <c:showVal val="1"/>
          <c:showCatName val="0"/>
          <c:showSerName val="0"/>
          <c:showPercent val="0"/>
          <c:showBubbleSize val="0"/>
        </c:dLbls>
        <c:marker val="1"/>
        <c:smooth val="0"/>
        <c:axId val="95787648"/>
        <c:axId val="93327744"/>
      </c:lineChart>
      <c:catAx>
        <c:axId val="9575001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5785728"/>
        <c:crosses val="autoZero"/>
        <c:auto val="0"/>
        <c:lblAlgn val="ctr"/>
        <c:lblOffset val="100"/>
        <c:tickLblSkip val="1"/>
        <c:tickMarkSkip val="1"/>
        <c:noMultiLvlLbl val="0"/>
      </c:catAx>
      <c:valAx>
        <c:axId val="95785728"/>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lt-LT"/>
                  <a:t>kilogramai</a:t>
                </a:r>
              </a:p>
            </c:rich>
          </c:tx>
          <c:layout>
            <c:manualLayout>
              <c:xMode val="edge"/>
              <c:yMode val="edge"/>
              <c:x val="9.6774193548387101E-3"/>
              <c:y val="0.35987261146496813"/>
            </c:manualLayout>
          </c:layout>
          <c:overlay val="0"/>
          <c:spPr>
            <a:noFill/>
            <a:ln w="25399">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5750016"/>
        <c:crosses val="autoZero"/>
        <c:crossBetween val="between"/>
      </c:valAx>
      <c:catAx>
        <c:axId val="95787648"/>
        <c:scaling>
          <c:orientation val="minMax"/>
        </c:scaling>
        <c:delete val="1"/>
        <c:axPos val="b"/>
        <c:numFmt formatCode="General" sourceLinked="1"/>
        <c:majorTickMark val="out"/>
        <c:minorTickMark val="none"/>
        <c:tickLblPos val="nextTo"/>
        <c:crossAx val="93327744"/>
        <c:crosses val="autoZero"/>
        <c:auto val="0"/>
        <c:lblAlgn val="ctr"/>
        <c:lblOffset val="100"/>
        <c:noMultiLvlLbl val="0"/>
      </c:catAx>
      <c:valAx>
        <c:axId val="93327744"/>
        <c:scaling>
          <c:orientation val="minMax"/>
        </c:scaling>
        <c:delete val="0"/>
        <c:axPos val="r"/>
        <c:title>
          <c:tx>
            <c:rich>
              <a:bodyPr/>
              <a:lstStyle/>
              <a:p>
                <a:pPr>
                  <a:defRPr sz="1000" b="1" i="0" u="none" strike="noStrike" baseline="0">
                    <a:solidFill>
                      <a:srgbClr val="000000"/>
                    </a:solidFill>
                    <a:latin typeface="Arial"/>
                    <a:ea typeface="Arial"/>
                    <a:cs typeface="Arial"/>
                  </a:defRPr>
                </a:pPr>
                <a:r>
                  <a:rPr lang="lt-LT"/>
                  <a:t>sulaikymų skaičius</a:t>
                </a:r>
              </a:p>
            </c:rich>
          </c:tx>
          <c:layout>
            <c:manualLayout>
              <c:xMode val="edge"/>
              <c:yMode val="edge"/>
              <c:x val="0.93870967741935485"/>
              <c:y val="0.28025477707006369"/>
            </c:manualLayout>
          </c:layout>
          <c:overlay val="0"/>
          <c:spPr>
            <a:noFill/>
            <a:ln w="25399">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95787648"/>
        <c:crosses val="max"/>
        <c:crossBetween val="between"/>
      </c:valAx>
      <c:spPr>
        <a:noFill/>
        <a:ln w="25399">
          <a:noFill/>
        </a:ln>
      </c:spPr>
    </c:plotArea>
    <c:legend>
      <c:legendPos val="r"/>
      <c:layout>
        <c:manualLayout>
          <c:xMode val="edge"/>
          <c:yMode val="edge"/>
          <c:x val="0"/>
          <c:y val="3.1847133757961785E-3"/>
          <c:w val="0.24516129032258063"/>
          <c:h val="0.13694267515923567"/>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FF"/>
                </a:solidFill>
                <a:latin typeface="Arial"/>
                <a:ea typeface="Arial"/>
                <a:cs typeface="Arial"/>
              </a:defRPr>
            </a:pPr>
            <a:r>
              <a:rPr lang="lt-LT"/>
              <a:t>Sulaikymai užsienyje</a:t>
            </a:r>
          </a:p>
        </c:rich>
      </c:tx>
      <c:layout>
        <c:manualLayout>
          <c:xMode val="edge"/>
          <c:yMode val="edge"/>
          <c:x val="0.39384615384615385"/>
          <c:y val="2.0576131687242798E-2"/>
        </c:manualLayout>
      </c:layout>
      <c:overlay val="0"/>
      <c:spPr>
        <a:solidFill>
          <a:srgbClr val="FFFFFF"/>
        </a:solidFill>
        <a:ln w="25400">
          <a:noFill/>
        </a:ln>
      </c:spPr>
    </c:title>
    <c:autoTitleDeleted val="0"/>
    <c:plotArea>
      <c:layout>
        <c:manualLayout>
          <c:layoutTarget val="inner"/>
          <c:xMode val="edge"/>
          <c:yMode val="edge"/>
          <c:x val="0.06"/>
          <c:y val="0.22222222222222221"/>
          <c:w val="0.93538461538461537"/>
          <c:h val="0.62962962962962965"/>
        </c:manualLayout>
      </c:layout>
      <c:barChart>
        <c:barDir val="col"/>
        <c:grouping val="clustered"/>
        <c:varyColors val="0"/>
        <c:ser>
          <c:idx val="0"/>
          <c:order val="0"/>
          <c:tx>
            <c:strRef>
              <c:f>Sheet1!$B$1</c:f>
              <c:strCache>
                <c:ptCount val="1"/>
                <c:pt idx="0">
                  <c:v>Sulaikyta asmenų</c:v>
                </c:pt>
              </c:strCache>
            </c:strRef>
          </c:tx>
          <c:spPr>
            <a:solidFill>
              <a:srgbClr val="9999FF"/>
            </a:solidFill>
            <a:ln w="12700">
              <a:solidFill>
                <a:srgbClr val="000000"/>
              </a:solidFill>
              <a:prstDash val="solid"/>
            </a:ln>
          </c:spPr>
          <c:invertIfNegative val="0"/>
          <c:dLbls>
            <c:spPr>
              <a:noFill/>
              <a:ln w="25400">
                <a:noFill/>
              </a:ln>
            </c:spPr>
            <c:txPr>
              <a:bodyPr/>
              <a:lstStyle/>
              <a:p>
                <a:pPr>
                  <a:defRPr sz="8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Sheet1!$A$2:$A$7</c:f>
              <c:numCache>
                <c:formatCode>General</c:formatCode>
                <c:ptCount val="6"/>
                <c:pt idx="0">
                  <c:v>2003</c:v>
                </c:pt>
                <c:pt idx="1">
                  <c:v>2004</c:v>
                </c:pt>
                <c:pt idx="2">
                  <c:v>2005</c:v>
                </c:pt>
                <c:pt idx="3">
                  <c:v>2006</c:v>
                </c:pt>
                <c:pt idx="4">
                  <c:v>2007</c:v>
                </c:pt>
                <c:pt idx="5">
                  <c:v>2008</c:v>
                </c:pt>
              </c:numCache>
            </c:numRef>
          </c:cat>
          <c:val>
            <c:numRef>
              <c:f>Sheet1!$B$2:$B$7</c:f>
              <c:numCache>
                <c:formatCode>General</c:formatCode>
                <c:ptCount val="6"/>
                <c:pt idx="0">
                  <c:v>118</c:v>
                </c:pt>
                <c:pt idx="1">
                  <c:v>99</c:v>
                </c:pt>
                <c:pt idx="2">
                  <c:v>106</c:v>
                </c:pt>
                <c:pt idx="3">
                  <c:v>90</c:v>
                </c:pt>
                <c:pt idx="4">
                  <c:v>107</c:v>
                </c:pt>
                <c:pt idx="5">
                  <c:v>142</c:v>
                </c:pt>
              </c:numCache>
            </c:numRef>
          </c:val>
        </c:ser>
        <c:ser>
          <c:idx val="1"/>
          <c:order val="1"/>
          <c:tx>
            <c:strRef>
              <c:f>Sheet1!$C$1</c:f>
              <c:strCache>
                <c:ptCount val="1"/>
                <c:pt idx="0">
                  <c:v>Sulaikymo atvejai</c:v>
                </c:pt>
              </c:strCache>
            </c:strRef>
          </c:tx>
          <c:spPr>
            <a:solidFill>
              <a:srgbClr val="993366"/>
            </a:solidFill>
            <a:ln w="12700">
              <a:solidFill>
                <a:srgbClr val="000000"/>
              </a:solidFill>
              <a:prstDash val="solid"/>
            </a:ln>
          </c:spPr>
          <c:invertIfNegative val="0"/>
          <c:dLbls>
            <c:spPr>
              <a:noFill/>
              <a:ln w="25400">
                <a:noFill/>
              </a:ln>
            </c:spPr>
            <c:txPr>
              <a:bodyPr/>
              <a:lstStyle/>
              <a:p>
                <a:pPr>
                  <a:defRPr sz="8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Sheet1!$A$2:$A$7</c:f>
              <c:numCache>
                <c:formatCode>General</c:formatCode>
                <c:ptCount val="6"/>
                <c:pt idx="0">
                  <c:v>2003</c:v>
                </c:pt>
                <c:pt idx="1">
                  <c:v>2004</c:v>
                </c:pt>
                <c:pt idx="2">
                  <c:v>2005</c:v>
                </c:pt>
                <c:pt idx="3">
                  <c:v>2006</c:v>
                </c:pt>
                <c:pt idx="4">
                  <c:v>2007</c:v>
                </c:pt>
                <c:pt idx="5">
                  <c:v>2008</c:v>
                </c:pt>
              </c:numCache>
            </c:numRef>
          </c:cat>
          <c:val>
            <c:numRef>
              <c:f>Sheet1!$C$2:$C$7</c:f>
              <c:numCache>
                <c:formatCode>General</c:formatCode>
                <c:ptCount val="6"/>
                <c:pt idx="0">
                  <c:v>60</c:v>
                </c:pt>
                <c:pt idx="1">
                  <c:v>60</c:v>
                </c:pt>
                <c:pt idx="2">
                  <c:v>71</c:v>
                </c:pt>
                <c:pt idx="3">
                  <c:v>61</c:v>
                </c:pt>
                <c:pt idx="4">
                  <c:v>75</c:v>
                </c:pt>
                <c:pt idx="5">
                  <c:v>83</c:v>
                </c:pt>
              </c:numCache>
            </c:numRef>
          </c:val>
        </c:ser>
        <c:dLbls>
          <c:showLegendKey val="0"/>
          <c:showVal val="1"/>
          <c:showCatName val="0"/>
          <c:showSerName val="0"/>
          <c:showPercent val="0"/>
          <c:showBubbleSize val="0"/>
        </c:dLbls>
        <c:gapWidth val="150"/>
        <c:axId val="96020736"/>
        <c:axId val="96022528"/>
      </c:barChart>
      <c:catAx>
        <c:axId val="960207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96022528"/>
        <c:crosses val="autoZero"/>
        <c:auto val="1"/>
        <c:lblAlgn val="ctr"/>
        <c:lblOffset val="100"/>
        <c:tickLblSkip val="1"/>
        <c:tickMarkSkip val="1"/>
        <c:noMultiLvlLbl val="0"/>
      </c:catAx>
      <c:valAx>
        <c:axId val="96022528"/>
        <c:scaling>
          <c:orientation val="minMax"/>
        </c:scaling>
        <c:delete val="0"/>
        <c:axPos val="l"/>
        <c:majorGridlines>
          <c:spPr>
            <a:ln w="3175">
              <a:solidFill>
                <a:srgbClr val="FFFFFF"/>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lt-LT"/>
          </a:p>
        </c:txPr>
        <c:crossAx val="96020736"/>
        <c:crosses val="autoZero"/>
        <c:crossBetween val="between"/>
      </c:valAx>
      <c:spPr>
        <a:noFill/>
        <a:ln w="25400">
          <a:noFill/>
        </a:ln>
      </c:spPr>
    </c:plotArea>
    <c:legend>
      <c:legendPos val="r"/>
      <c:layout>
        <c:manualLayout>
          <c:xMode val="edge"/>
          <c:yMode val="edge"/>
          <c:x val="0.83076923076923082"/>
          <c:y val="3.7037037037037035E-2"/>
          <c:w val="0.15692307692307692"/>
          <c:h val="0.16049382716049382"/>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a:ea typeface="Arial"/>
              <a:cs typeface="Arial"/>
            </a:defRPr>
          </a:pPr>
          <a:endParaRPr lang="lt-LT"/>
        </a:p>
      </c:txPr>
    </c:legend>
    <c:plotVisOnly val="1"/>
    <c:dispBlanksAs val="gap"/>
    <c:showDLblsOverMax val="0"/>
  </c:chart>
  <c:spPr>
    <a:solidFill>
      <a:srgbClr val="FFFFFF"/>
    </a:solidFill>
    <a:ln w="3175">
      <a:solidFill>
        <a:srgbClr val="000000"/>
      </a:solidFill>
      <a:prstDash val="solid"/>
    </a:ln>
  </c:spPr>
  <c:txPr>
    <a:bodyPr/>
    <a:lstStyle/>
    <a:p>
      <a:pPr>
        <a:defRPr sz="800" b="0" i="0" u="none" strike="noStrike" baseline="0">
          <a:solidFill>
            <a:srgbClr val="000000"/>
          </a:solidFill>
          <a:latin typeface="Arial"/>
          <a:ea typeface="Arial"/>
          <a:cs typeface="Arial"/>
        </a:defRPr>
      </a:pPr>
      <a:endParaRPr lang="lt-LT"/>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23" b="1" i="0" u="none" strike="noStrike" baseline="0">
                <a:solidFill>
                  <a:srgbClr val="0000FF"/>
                </a:solidFill>
                <a:latin typeface="Arial"/>
                <a:ea typeface="Arial"/>
                <a:cs typeface="Arial"/>
              </a:defRPr>
            </a:pPr>
            <a:r>
              <a:rPr lang="lt-LT"/>
              <a:t>Narkotikų sulaikymai pagal medžiagos rūšį</a:t>
            </a:r>
          </a:p>
        </c:rich>
      </c:tx>
      <c:layout>
        <c:manualLayout>
          <c:xMode val="edge"/>
          <c:yMode val="edge"/>
          <c:x val="0.12269938650306748"/>
          <c:y val="1.8779342723004695E-2"/>
        </c:manualLayout>
      </c:layout>
      <c:overlay val="0"/>
      <c:spPr>
        <a:noFill/>
        <a:ln w="25355">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7791411042944785"/>
          <c:y val="0.35680751173708919"/>
          <c:w val="0.64110429447852757"/>
          <c:h val="0.38967136150234744"/>
        </c:manualLayout>
      </c:layout>
      <c:pie3DChart>
        <c:varyColors val="1"/>
        <c:ser>
          <c:idx val="0"/>
          <c:order val="0"/>
          <c:tx>
            <c:strRef>
              <c:f>Sheet1!$A$2</c:f>
              <c:strCache>
                <c:ptCount val="1"/>
              </c:strCache>
            </c:strRef>
          </c:tx>
          <c:spPr>
            <a:solidFill>
              <a:srgbClr val="9999FF"/>
            </a:solidFill>
            <a:ln w="12678">
              <a:solidFill>
                <a:srgbClr val="000000"/>
              </a:solidFill>
              <a:prstDash val="solid"/>
            </a:ln>
          </c:spPr>
          <c:dPt>
            <c:idx val="0"/>
            <c:bubble3D val="0"/>
          </c:dPt>
          <c:dPt>
            <c:idx val="1"/>
            <c:bubble3D val="0"/>
            <c:spPr>
              <a:solidFill>
                <a:srgbClr val="993366"/>
              </a:solidFill>
              <a:ln w="12678">
                <a:solidFill>
                  <a:srgbClr val="000000"/>
                </a:solidFill>
                <a:prstDash val="solid"/>
              </a:ln>
            </c:spPr>
          </c:dPt>
          <c:dPt>
            <c:idx val="2"/>
            <c:bubble3D val="0"/>
            <c:spPr>
              <a:solidFill>
                <a:srgbClr val="FFFFCC"/>
              </a:solidFill>
              <a:ln w="12678">
                <a:solidFill>
                  <a:srgbClr val="000000"/>
                </a:solidFill>
                <a:prstDash val="solid"/>
              </a:ln>
            </c:spPr>
          </c:dPt>
          <c:dPt>
            <c:idx val="3"/>
            <c:bubble3D val="0"/>
            <c:spPr>
              <a:solidFill>
                <a:srgbClr val="CCFFFF"/>
              </a:solidFill>
              <a:ln w="12678">
                <a:solidFill>
                  <a:srgbClr val="000000"/>
                </a:solidFill>
                <a:prstDash val="solid"/>
              </a:ln>
            </c:spPr>
          </c:dPt>
          <c:dPt>
            <c:idx val="4"/>
            <c:bubble3D val="0"/>
            <c:spPr>
              <a:solidFill>
                <a:srgbClr val="660066"/>
              </a:solidFill>
              <a:ln w="12678">
                <a:solidFill>
                  <a:srgbClr val="000000"/>
                </a:solidFill>
                <a:prstDash val="solid"/>
              </a:ln>
            </c:spPr>
          </c:dPt>
          <c:dPt>
            <c:idx val="5"/>
            <c:bubble3D val="0"/>
            <c:spPr>
              <a:solidFill>
                <a:srgbClr val="FF8080"/>
              </a:solidFill>
              <a:ln w="12678">
                <a:solidFill>
                  <a:srgbClr val="000000"/>
                </a:solidFill>
                <a:prstDash val="solid"/>
              </a:ln>
            </c:spPr>
          </c:dPt>
          <c:dPt>
            <c:idx val="6"/>
            <c:bubble3D val="0"/>
            <c:spPr>
              <a:solidFill>
                <a:srgbClr val="0066CC"/>
              </a:solidFill>
              <a:ln w="12678">
                <a:solidFill>
                  <a:srgbClr val="000000"/>
                </a:solidFill>
                <a:prstDash val="solid"/>
              </a:ln>
            </c:spPr>
          </c:dPt>
          <c:dLbls>
            <c:dLbl>
              <c:idx val="0"/>
              <c:layout>
                <c:manualLayout>
                  <c:x val="2.8666288263046884E-2"/>
                  <c:y val="-0.1123481471934394"/>
                </c:manualLayout>
              </c:layout>
              <c:dLblPos val="bestFit"/>
              <c:showLegendKey val="0"/>
              <c:showVal val="0"/>
              <c:showCatName val="1"/>
              <c:showSerName val="0"/>
              <c:showPercent val="1"/>
              <c:showBubbleSize val="0"/>
            </c:dLbl>
            <c:dLbl>
              <c:idx val="1"/>
              <c:layout>
                <c:manualLayout>
                  <c:x val="4.2131792575008315E-3"/>
                  <c:y val="1.4503202326204064E-3"/>
                </c:manualLayout>
              </c:layout>
              <c:dLblPos val="bestFit"/>
              <c:showLegendKey val="0"/>
              <c:showVal val="0"/>
              <c:showCatName val="1"/>
              <c:showSerName val="0"/>
              <c:showPercent val="1"/>
              <c:showBubbleSize val="0"/>
            </c:dLbl>
            <c:dLbl>
              <c:idx val="2"/>
              <c:layout>
                <c:manualLayout>
                  <c:x val="-8.6671899908216984E-2"/>
                  <c:y val="0.11687679694777407"/>
                </c:manualLayout>
              </c:layout>
              <c:dLblPos val="bestFit"/>
              <c:showLegendKey val="0"/>
              <c:showVal val="0"/>
              <c:showCatName val="1"/>
              <c:showSerName val="0"/>
              <c:showPercent val="1"/>
              <c:showBubbleSize val="0"/>
            </c:dLbl>
            <c:dLbl>
              <c:idx val="3"/>
              <c:layout>
                <c:manualLayout>
                  <c:x val="-1.1121468328728852E-2"/>
                  <c:y val="6.6690705344359627E-2"/>
                </c:manualLayout>
              </c:layout>
              <c:dLblPos val="bestFit"/>
              <c:showLegendKey val="0"/>
              <c:showVal val="0"/>
              <c:showCatName val="1"/>
              <c:showSerName val="0"/>
              <c:showPercent val="1"/>
              <c:showBubbleSize val="0"/>
            </c:dLbl>
            <c:dLbl>
              <c:idx val="4"/>
              <c:layout>
                <c:manualLayout>
                  <c:x val="-5.6161173871670904E-3"/>
                  <c:y val="-4.5641456028502753E-2"/>
                </c:manualLayout>
              </c:layout>
              <c:dLblPos val="bestFit"/>
              <c:showLegendKey val="0"/>
              <c:showVal val="0"/>
              <c:showCatName val="1"/>
              <c:showSerName val="0"/>
              <c:showPercent val="1"/>
              <c:showBubbleSize val="0"/>
            </c:dLbl>
            <c:dLbl>
              <c:idx val="6"/>
              <c:layout>
                <c:manualLayout>
                  <c:x val="7.5075017463307914E-2"/>
                  <c:y val="-7.9700991886863012E-2"/>
                </c:manualLayout>
              </c:layout>
              <c:dLblPos val="bestFit"/>
              <c:showLegendKey val="0"/>
              <c:showVal val="0"/>
              <c:showCatName val="1"/>
              <c:showSerName val="0"/>
              <c:showPercent val="1"/>
              <c:showBubbleSize val="0"/>
            </c:dLbl>
            <c:numFmt formatCode="0%" sourceLinked="0"/>
            <c:spPr>
              <a:noFill/>
              <a:ln w="25355">
                <a:noFill/>
              </a:ln>
            </c:spPr>
            <c:txPr>
              <a:bodyPr/>
              <a:lstStyle/>
              <a:p>
                <a:pPr>
                  <a:defRPr sz="799" b="0" i="0" u="none" strike="noStrike" baseline="0">
                    <a:solidFill>
                      <a:srgbClr val="000000"/>
                    </a:solidFill>
                    <a:latin typeface="Arial"/>
                    <a:ea typeface="Arial"/>
                    <a:cs typeface="Arial"/>
                  </a:defRPr>
                </a:pPr>
                <a:endParaRPr lang="lt-LT"/>
              </a:p>
            </c:txPr>
            <c:showLegendKey val="0"/>
            <c:showVal val="0"/>
            <c:showCatName val="1"/>
            <c:showSerName val="0"/>
            <c:showPercent val="1"/>
            <c:showBubbleSize val="0"/>
            <c:showLeaderLines val="1"/>
          </c:dLbls>
          <c:cat>
            <c:strRef>
              <c:f>Sheet1!$B$1:$H$1</c:f>
              <c:strCache>
                <c:ptCount val="7"/>
                <c:pt idx="0">
                  <c:v>Amfetaminas ir Metamfetaminas</c:v>
                </c:pt>
                <c:pt idx="1">
                  <c:v>ecstasy</c:v>
                </c:pt>
                <c:pt idx="2">
                  <c:v>Heroinas</c:v>
                </c:pt>
                <c:pt idx="3">
                  <c:v>Kokainas</c:v>
                </c:pt>
                <c:pt idx="4">
                  <c:v>Marihuana</c:v>
                </c:pt>
                <c:pt idx="5">
                  <c:v>Hašišas</c:v>
                </c:pt>
                <c:pt idx="6">
                  <c:v>Kitos</c:v>
                </c:pt>
              </c:strCache>
            </c:strRef>
          </c:cat>
          <c:val>
            <c:numRef>
              <c:f>Sheet1!$B$2:$H$2</c:f>
              <c:numCache>
                <c:formatCode>General</c:formatCode>
                <c:ptCount val="7"/>
                <c:pt idx="0">
                  <c:v>21</c:v>
                </c:pt>
                <c:pt idx="1">
                  <c:v>6</c:v>
                </c:pt>
                <c:pt idx="2">
                  <c:v>10</c:v>
                </c:pt>
                <c:pt idx="3">
                  <c:v>27</c:v>
                </c:pt>
                <c:pt idx="4">
                  <c:v>11</c:v>
                </c:pt>
                <c:pt idx="5">
                  <c:v>9</c:v>
                </c:pt>
                <c:pt idx="6">
                  <c:v>4</c:v>
                </c:pt>
              </c:numCache>
            </c:numRef>
          </c:val>
        </c:ser>
        <c:dLbls>
          <c:showLegendKey val="0"/>
          <c:showVal val="0"/>
          <c:showCatName val="0"/>
          <c:showSerName val="0"/>
          <c:showPercent val="0"/>
          <c:showBubbleSize val="0"/>
          <c:showLeaderLines val="1"/>
        </c:dLbls>
      </c:pie3DChart>
      <c:spPr>
        <a:solidFill>
          <a:srgbClr val="FFFFFF"/>
        </a:solidFill>
        <a:ln w="12678">
          <a:solidFill>
            <a:srgbClr val="FFFFFF"/>
          </a:solidFill>
          <a:prstDash val="solid"/>
        </a:ln>
      </c:spPr>
    </c:plotArea>
    <c:plotVisOnly val="1"/>
    <c:dispBlanksAs val="zero"/>
    <c:showDLblsOverMax val="0"/>
  </c:chart>
  <c:spPr>
    <a:noFill/>
    <a:ln w="3169">
      <a:solidFill>
        <a:srgbClr val="000000"/>
      </a:solidFill>
      <a:prstDash val="solid"/>
    </a:ln>
  </c:spPr>
  <c:txPr>
    <a:bodyPr/>
    <a:lstStyle/>
    <a:p>
      <a:pPr>
        <a:defRPr sz="923" b="1" i="0" u="none" strike="noStrike" baseline="0">
          <a:solidFill>
            <a:srgbClr val="000000"/>
          </a:solidFill>
          <a:latin typeface="Arial"/>
          <a:ea typeface="Arial"/>
          <a:cs typeface="Arial"/>
        </a:defRPr>
      </a:pPr>
      <a:endParaRPr lang="lt-LT"/>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FF"/>
                </a:solidFill>
                <a:latin typeface="Arial"/>
                <a:ea typeface="Arial"/>
                <a:cs typeface="Arial"/>
              </a:defRPr>
            </a:pPr>
            <a:r>
              <a:rPr lang="lt-LT"/>
              <a:t>Asmenų, sulaikytų užsienyje, pasiskirstymas pagal registracijos vietą apskrityse</a:t>
            </a:r>
          </a:p>
        </c:rich>
      </c:tx>
      <c:layout>
        <c:manualLayout>
          <c:xMode val="edge"/>
          <c:yMode val="edge"/>
          <c:x val="0.14238410596026491"/>
          <c:y val="2.1097046413502109E-2"/>
        </c:manualLayout>
      </c:layout>
      <c:overlay val="0"/>
      <c:spPr>
        <a:noFill/>
        <a:ln w="25394">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231788079470199"/>
          <c:y val="0.41350210970464135"/>
          <c:w val="0.82119205298013243"/>
          <c:h val="0.41350210970464135"/>
        </c:manualLayout>
      </c:layout>
      <c:pie3DChart>
        <c:varyColors val="1"/>
        <c:ser>
          <c:idx val="0"/>
          <c:order val="0"/>
          <c:tx>
            <c:strRef>
              <c:f>Sheet1!$A$2</c:f>
              <c:strCache>
                <c:ptCount val="1"/>
                <c:pt idx="0">
                  <c:v>Asmenys</c:v>
                </c:pt>
              </c:strCache>
            </c:strRef>
          </c:tx>
          <c:spPr>
            <a:solidFill>
              <a:srgbClr val="9999FF"/>
            </a:solidFill>
            <a:ln w="12697">
              <a:solidFill>
                <a:srgbClr val="000000"/>
              </a:solidFill>
              <a:prstDash val="solid"/>
            </a:ln>
          </c:spPr>
          <c:dPt>
            <c:idx val="0"/>
            <c:bubble3D val="0"/>
          </c:dPt>
          <c:dPt>
            <c:idx val="1"/>
            <c:bubble3D val="0"/>
            <c:spPr>
              <a:solidFill>
                <a:srgbClr val="993366"/>
              </a:solidFill>
              <a:ln w="12697">
                <a:solidFill>
                  <a:srgbClr val="000000"/>
                </a:solidFill>
                <a:prstDash val="solid"/>
              </a:ln>
            </c:spPr>
          </c:dPt>
          <c:dPt>
            <c:idx val="2"/>
            <c:bubble3D val="0"/>
            <c:spPr>
              <a:solidFill>
                <a:srgbClr val="FFFFCC"/>
              </a:solidFill>
              <a:ln w="12697">
                <a:solidFill>
                  <a:srgbClr val="000000"/>
                </a:solidFill>
                <a:prstDash val="solid"/>
              </a:ln>
            </c:spPr>
          </c:dPt>
          <c:dPt>
            <c:idx val="3"/>
            <c:bubble3D val="0"/>
            <c:spPr>
              <a:solidFill>
                <a:srgbClr val="CCFFFF"/>
              </a:solidFill>
              <a:ln w="12697">
                <a:solidFill>
                  <a:srgbClr val="000000"/>
                </a:solidFill>
                <a:prstDash val="solid"/>
              </a:ln>
            </c:spPr>
          </c:dPt>
          <c:dPt>
            <c:idx val="4"/>
            <c:bubble3D val="0"/>
            <c:spPr>
              <a:solidFill>
                <a:srgbClr val="660066"/>
              </a:solidFill>
              <a:ln w="12697">
                <a:solidFill>
                  <a:srgbClr val="000000"/>
                </a:solidFill>
                <a:prstDash val="solid"/>
              </a:ln>
            </c:spPr>
          </c:dPt>
          <c:dPt>
            <c:idx val="5"/>
            <c:bubble3D val="0"/>
            <c:spPr>
              <a:solidFill>
                <a:srgbClr val="FF8080"/>
              </a:solidFill>
              <a:ln w="12697">
                <a:solidFill>
                  <a:srgbClr val="000000"/>
                </a:solidFill>
                <a:prstDash val="solid"/>
              </a:ln>
            </c:spPr>
          </c:dPt>
          <c:dPt>
            <c:idx val="6"/>
            <c:bubble3D val="0"/>
            <c:spPr>
              <a:solidFill>
                <a:srgbClr val="0066CC"/>
              </a:solidFill>
              <a:ln w="12697">
                <a:solidFill>
                  <a:srgbClr val="000000"/>
                </a:solidFill>
                <a:prstDash val="solid"/>
              </a:ln>
            </c:spPr>
          </c:dPt>
          <c:dPt>
            <c:idx val="7"/>
            <c:bubble3D val="0"/>
            <c:spPr>
              <a:solidFill>
                <a:srgbClr val="CCCCFF"/>
              </a:solidFill>
              <a:ln w="12697">
                <a:solidFill>
                  <a:srgbClr val="000000"/>
                </a:solidFill>
                <a:prstDash val="solid"/>
              </a:ln>
            </c:spPr>
          </c:dPt>
          <c:dPt>
            <c:idx val="8"/>
            <c:bubble3D val="0"/>
            <c:spPr>
              <a:solidFill>
                <a:srgbClr val="000080"/>
              </a:solidFill>
              <a:ln w="12697">
                <a:solidFill>
                  <a:srgbClr val="000000"/>
                </a:solidFill>
                <a:prstDash val="solid"/>
              </a:ln>
            </c:spPr>
          </c:dPt>
          <c:dPt>
            <c:idx val="9"/>
            <c:bubble3D val="0"/>
            <c:spPr>
              <a:solidFill>
                <a:srgbClr val="FF00FF"/>
              </a:solidFill>
              <a:ln w="12697">
                <a:solidFill>
                  <a:srgbClr val="000000"/>
                </a:solidFill>
                <a:prstDash val="solid"/>
              </a:ln>
            </c:spPr>
          </c:dPt>
          <c:dLbls>
            <c:dLbl>
              <c:idx val="0"/>
              <c:layout>
                <c:manualLayout>
                  <c:x val="1.5774917781227429E-2"/>
                  <c:y val="-0.10311215633483724"/>
                </c:manualLayout>
              </c:layout>
              <c:dLblPos val="bestFit"/>
              <c:showLegendKey val="0"/>
              <c:showVal val="0"/>
              <c:showCatName val="1"/>
              <c:showSerName val="0"/>
              <c:showPercent val="1"/>
              <c:showBubbleSize val="0"/>
            </c:dLbl>
            <c:dLbl>
              <c:idx val="1"/>
              <c:layout>
                <c:manualLayout>
                  <c:x val="1.2489569725842326E-2"/>
                  <c:y val="4.3716776472996717E-2"/>
                </c:manualLayout>
              </c:layout>
              <c:dLblPos val="bestFit"/>
              <c:showLegendKey val="0"/>
              <c:showVal val="0"/>
              <c:showCatName val="1"/>
              <c:showSerName val="0"/>
              <c:showPercent val="1"/>
              <c:showBubbleSize val="0"/>
            </c:dLbl>
            <c:dLbl>
              <c:idx val="2"/>
              <c:layout>
                <c:manualLayout>
                  <c:x val="9.747137663574014E-2"/>
                  <c:y val="-1.5726838275795081E-2"/>
                </c:manualLayout>
              </c:layout>
              <c:dLblPos val="bestFit"/>
              <c:showLegendKey val="0"/>
              <c:showVal val="0"/>
              <c:showCatName val="1"/>
              <c:showSerName val="0"/>
              <c:showPercent val="1"/>
              <c:showBubbleSize val="0"/>
            </c:dLbl>
            <c:dLbl>
              <c:idx val="3"/>
              <c:layout>
                <c:manualLayout>
                  <c:x val="0.11589312384092586"/>
                  <c:y val="6.1740682199483948E-2"/>
                </c:manualLayout>
              </c:layout>
              <c:dLblPos val="bestFit"/>
              <c:showLegendKey val="0"/>
              <c:showVal val="0"/>
              <c:showCatName val="1"/>
              <c:showSerName val="0"/>
              <c:showPercent val="1"/>
              <c:showBubbleSize val="0"/>
            </c:dLbl>
            <c:dLbl>
              <c:idx val="4"/>
              <c:layout>
                <c:manualLayout>
                  <c:x val="3.6423841059602648E-2"/>
                  <c:y val="9.0530512466754462E-2"/>
                </c:manualLayout>
              </c:layout>
              <c:dLblPos val="bestFit"/>
              <c:showLegendKey val="0"/>
              <c:showVal val="0"/>
              <c:showCatName val="1"/>
              <c:showSerName val="0"/>
              <c:showPercent val="1"/>
              <c:showBubbleSize val="0"/>
            </c:dLbl>
            <c:dLbl>
              <c:idx val="5"/>
              <c:layout>
                <c:manualLayout>
                  <c:x val="1.6534083130403943E-18"/>
                  <c:y val="9.4377515063986065E-3"/>
                </c:manualLayout>
              </c:layout>
              <c:dLblPos val="bestFit"/>
              <c:showLegendKey val="0"/>
              <c:showVal val="0"/>
              <c:showCatName val="1"/>
              <c:showSerName val="0"/>
              <c:showPercent val="1"/>
              <c:showBubbleSize val="0"/>
            </c:dLbl>
            <c:dLbl>
              <c:idx val="6"/>
              <c:delete val="1"/>
            </c:dLbl>
            <c:dLbl>
              <c:idx val="7"/>
              <c:layout>
                <c:manualLayout>
                  <c:x val="2.2025547876306596E-2"/>
                  <c:y val="-0.15207531206398101"/>
                </c:manualLayout>
              </c:layout>
              <c:dLblPos val="bestFit"/>
              <c:showLegendKey val="0"/>
              <c:showVal val="0"/>
              <c:showCatName val="1"/>
              <c:showSerName val="0"/>
              <c:showPercent val="1"/>
              <c:showBubbleSize val="0"/>
            </c:dLbl>
            <c:dLbl>
              <c:idx val="8"/>
              <c:layout>
                <c:manualLayout>
                  <c:x val="8.4975092581078909E-2"/>
                  <c:y val="-8.0006413383741856E-2"/>
                </c:manualLayout>
              </c:layout>
              <c:dLblPos val="bestFit"/>
              <c:showLegendKey val="0"/>
              <c:showVal val="0"/>
              <c:showCatName val="1"/>
              <c:showSerName val="0"/>
              <c:showPercent val="1"/>
              <c:showBubbleSize val="0"/>
            </c:dLbl>
            <c:dLbl>
              <c:idx val="9"/>
              <c:layout>
                <c:manualLayout>
                  <c:x val="0.10057407622824531"/>
                  <c:y val="-3.8944003008694779E-2"/>
                </c:manualLayout>
              </c:layout>
              <c:dLblPos val="bestFit"/>
              <c:showLegendKey val="0"/>
              <c:showVal val="0"/>
              <c:showCatName val="1"/>
              <c:showSerName val="0"/>
              <c:showPercent val="1"/>
              <c:showBubbleSize val="0"/>
            </c:dLbl>
            <c:numFmt formatCode="0%" sourceLinked="0"/>
            <c:spPr>
              <a:noFill/>
              <a:ln w="25394">
                <a:noFill/>
              </a:ln>
            </c:spPr>
            <c:txPr>
              <a:bodyPr/>
              <a:lstStyle/>
              <a:p>
                <a:pPr>
                  <a:defRPr sz="800" b="0" i="0" u="none" strike="noStrike" baseline="0">
                    <a:solidFill>
                      <a:srgbClr val="000000"/>
                    </a:solidFill>
                    <a:latin typeface="Arial"/>
                    <a:ea typeface="Arial"/>
                    <a:cs typeface="Arial"/>
                  </a:defRPr>
                </a:pPr>
                <a:endParaRPr lang="lt-LT"/>
              </a:p>
            </c:txPr>
            <c:showLegendKey val="0"/>
            <c:showVal val="0"/>
            <c:showCatName val="1"/>
            <c:showSerName val="0"/>
            <c:showPercent val="1"/>
            <c:showBubbleSize val="0"/>
            <c:showLeaderLines val="1"/>
          </c:dLbls>
          <c:cat>
            <c:strRef>
              <c:f>Sheet1!$B$1:$K$1</c:f>
              <c:strCache>
                <c:ptCount val="10"/>
                <c:pt idx="0">
                  <c:v>Kaunas</c:v>
                </c:pt>
                <c:pt idx="1">
                  <c:v>Vilnius</c:v>
                </c:pt>
                <c:pt idx="2">
                  <c:v>Klaipėda</c:v>
                </c:pt>
                <c:pt idx="3">
                  <c:v>Šiauliai</c:v>
                </c:pt>
                <c:pt idx="4">
                  <c:v>Panevėžys</c:v>
                </c:pt>
                <c:pt idx="5">
                  <c:v>Marijampolė</c:v>
                </c:pt>
                <c:pt idx="6">
                  <c:v>Utena</c:v>
                </c:pt>
                <c:pt idx="7">
                  <c:v>Alytus</c:v>
                </c:pt>
                <c:pt idx="8">
                  <c:v>Telšiai</c:v>
                </c:pt>
                <c:pt idx="9">
                  <c:v>Tauragė</c:v>
                </c:pt>
              </c:strCache>
            </c:strRef>
          </c:cat>
          <c:val>
            <c:numRef>
              <c:f>Sheet1!$B$2:$K$2</c:f>
              <c:numCache>
                <c:formatCode>General</c:formatCode>
                <c:ptCount val="10"/>
                <c:pt idx="0">
                  <c:v>32</c:v>
                </c:pt>
                <c:pt idx="1">
                  <c:v>18</c:v>
                </c:pt>
                <c:pt idx="2">
                  <c:v>13</c:v>
                </c:pt>
                <c:pt idx="3">
                  <c:v>8</c:v>
                </c:pt>
                <c:pt idx="4">
                  <c:v>11</c:v>
                </c:pt>
                <c:pt idx="5">
                  <c:v>6</c:v>
                </c:pt>
                <c:pt idx="6">
                  <c:v>0</c:v>
                </c:pt>
                <c:pt idx="7">
                  <c:v>4</c:v>
                </c:pt>
                <c:pt idx="8">
                  <c:v>12</c:v>
                </c:pt>
                <c:pt idx="9">
                  <c:v>5</c:v>
                </c:pt>
              </c:numCache>
            </c:numRef>
          </c:val>
        </c:ser>
        <c:dLbls>
          <c:showLegendKey val="0"/>
          <c:showVal val="1"/>
          <c:showCatName val="0"/>
          <c:showSerName val="0"/>
          <c:showPercent val="0"/>
          <c:showBubbleSize val="0"/>
          <c:showLeaderLines val="1"/>
        </c:dLbls>
      </c:pie3DChart>
      <c:spPr>
        <a:noFill/>
        <a:ln w="25394">
          <a:noFill/>
        </a:ln>
      </c:spPr>
    </c:plotArea>
    <c:plotVisOnly val="1"/>
    <c:dispBlanksAs val="zero"/>
    <c:showDLblsOverMax val="0"/>
  </c:chart>
  <c:spPr>
    <a:solidFill>
      <a:srgbClr val="FFFFFF"/>
    </a:solidFill>
    <a:ln w="3174">
      <a:solidFill>
        <a:srgbClr val="000000"/>
      </a:solidFill>
      <a:prstDash val="solid"/>
    </a:ln>
  </c:spPr>
  <c:txPr>
    <a:bodyPr/>
    <a:lstStyle/>
    <a:p>
      <a:pPr>
        <a:defRPr sz="425" b="0" i="0" u="none" strike="noStrike" baseline="0">
          <a:solidFill>
            <a:srgbClr val="000000"/>
          </a:solidFill>
          <a:latin typeface="Arial"/>
          <a:ea typeface="Arial"/>
          <a:cs typeface="Arial"/>
        </a:defRPr>
      </a:pPr>
      <a:endParaRPr lang="lt-LT"/>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25" b="1" i="0" u="none" strike="noStrike" baseline="0">
                <a:solidFill>
                  <a:srgbClr val="0000FF"/>
                </a:solidFill>
                <a:latin typeface="Times New Roman"/>
                <a:ea typeface="Times New Roman"/>
                <a:cs typeface="Times New Roman"/>
              </a:defRPr>
            </a:pPr>
            <a:r>
              <a:rPr lang="lt-LT"/>
              <a:t>Sulaikytųjų asmenų amžius</a:t>
            </a:r>
          </a:p>
        </c:rich>
      </c:tx>
      <c:layout>
        <c:manualLayout>
          <c:xMode val="edge"/>
          <c:yMode val="edge"/>
          <c:x val="0.21656050955414013"/>
          <c:y val="2.0661157024793389E-2"/>
        </c:manualLayout>
      </c:layout>
      <c:overlay val="0"/>
      <c:spPr>
        <a:noFill/>
        <a:ln w="25399">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3694267515923567"/>
          <c:y val="0.45867768595041325"/>
          <c:w val="0.6847133757961783"/>
          <c:h val="0.35537190082644626"/>
        </c:manualLayout>
      </c:layout>
      <c:pie3DChart>
        <c:varyColors val="1"/>
        <c:ser>
          <c:idx val="0"/>
          <c:order val="0"/>
          <c:tx>
            <c:strRef>
              <c:f>Sheet1!$A$2</c:f>
              <c:strCache>
                <c:ptCount val="1"/>
                <c:pt idx="0">
                  <c:v>East</c:v>
                </c:pt>
              </c:strCache>
            </c:strRef>
          </c:tx>
          <c:spPr>
            <a:solidFill>
              <a:srgbClr val="9999FF"/>
            </a:solidFill>
            <a:ln w="12700">
              <a:solidFill>
                <a:srgbClr val="000000"/>
              </a:solidFill>
              <a:prstDash val="solid"/>
            </a:ln>
          </c:spPr>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Pt>
            <c:idx val="6"/>
            <c:bubble3D val="0"/>
            <c:spPr>
              <a:solidFill>
                <a:srgbClr val="0066CC"/>
              </a:solidFill>
              <a:ln w="12700">
                <a:solidFill>
                  <a:srgbClr val="000000"/>
                </a:solidFill>
                <a:prstDash val="solid"/>
              </a:ln>
            </c:spPr>
          </c:dPt>
          <c:dPt>
            <c:idx val="7"/>
            <c:bubble3D val="0"/>
            <c:spPr>
              <a:solidFill>
                <a:srgbClr val="CCCCFF"/>
              </a:solidFill>
              <a:ln w="12700">
                <a:solidFill>
                  <a:srgbClr val="000000"/>
                </a:solidFill>
                <a:prstDash val="solid"/>
              </a:ln>
            </c:spPr>
          </c:dPt>
          <c:dPt>
            <c:idx val="8"/>
            <c:bubble3D val="0"/>
            <c:spPr>
              <a:solidFill>
                <a:srgbClr val="000080"/>
              </a:solidFill>
              <a:ln w="12700">
                <a:solidFill>
                  <a:srgbClr val="000000"/>
                </a:solidFill>
                <a:prstDash val="solid"/>
              </a:ln>
            </c:spPr>
          </c:dPt>
          <c:dPt>
            <c:idx val="9"/>
            <c:bubble3D val="0"/>
            <c:spPr>
              <a:solidFill>
                <a:srgbClr val="FF00FF"/>
              </a:solidFill>
              <a:ln w="12700">
                <a:solidFill>
                  <a:srgbClr val="000000"/>
                </a:solidFill>
                <a:prstDash val="solid"/>
              </a:ln>
            </c:spPr>
          </c:dPt>
          <c:dLbls>
            <c:dLbl>
              <c:idx val="0"/>
              <c:layout>
                <c:manualLayout>
                  <c:x val="-7.7454090944458792E-2"/>
                  <c:y val="-9.1031582484696338E-2"/>
                </c:manualLayout>
              </c:layout>
              <c:dLblPos val="bestFit"/>
              <c:showLegendKey val="0"/>
              <c:showVal val="0"/>
              <c:showCatName val="1"/>
              <c:showSerName val="0"/>
              <c:showPercent val="1"/>
              <c:showBubbleSize val="0"/>
            </c:dLbl>
            <c:dLbl>
              <c:idx val="1"/>
              <c:layout>
                <c:manualLayout>
                  <c:x val="-3.3049479926120388E-2"/>
                  <c:y val="-9.6354915002015956E-2"/>
                </c:manualLayout>
              </c:layout>
              <c:dLblPos val="bestFit"/>
              <c:showLegendKey val="0"/>
              <c:showVal val="0"/>
              <c:showCatName val="1"/>
              <c:showSerName val="0"/>
              <c:showPercent val="1"/>
              <c:showBubbleSize val="0"/>
            </c:dLbl>
            <c:dLbl>
              <c:idx val="2"/>
              <c:layout>
                <c:manualLayout>
                  <c:x val="6.8446019619097423E-2"/>
                  <c:y val="-0.11427859740672913"/>
                </c:manualLayout>
              </c:layout>
              <c:dLblPos val="bestFit"/>
              <c:showLegendKey val="0"/>
              <c:showVal val="0"/>
              <c:showCatName val="1"/>
              <c:showSerName val="0"/>
              <c:showPercent val="1"/>
              <c:showBubbleSize val="0"/>
            </c:dLbl>
            <c:dLbl>
              <c:idx val="3"/>
              <c:layout>
                <c:manualLayout>
                  <c:x val="0.1086205952847543"/>
                  <c:y val="-6.6543772248854577E-2"/>
                </c:manualLayout>
              </c:layout>
              <c:dLblPos val="bestFit"/>
              <c:showLegendKey val="0"/>
              <c:showVal val="0"/>
              <c:showCatName val="1"/>
              <c:showSerName val="0"/>
              <c:showPercent val="1"/>
              <c:showBubbleSize val="0"/>
            </c:dLbl>
            <c:dLbl>
              <c:idx val="4"/>
              <c:layout>
                <c:manualLayout>
                  <c:x val="5.7834976926539515E-2"/>
                  <c:y val="5.0017904098075924E-2"/>
                </c:manualLayout>
              </c:layout>
              <c:dLblPos val="bestFit"/>
              <c:showLegendKey val="0"/>
              <c:showVal val="0"/>
              <c:showCatName val="1"/>
              <c:showSerName val="0"/>
              <c:showPercent val="1"/>
              <c:showBubbleSize val="0"/>
            </c:dLbl>
            <c:dLbl>
              <c:idx val="5"/>
              <c:layout>
                <c:manualLayout>
                  <c:x val="1.4301995572091534E-3"/>
                  <c:y val="0.10419984691996147"/>
                </c:manualLayout>
              </c:layout>
              <c:dLblPos val="bestFit"/>
              <c:showLegendKey val="0"/>
              <c:showVal val="0"/>
              <c:showCatName val="1"/>
              <c:showSerName val="0"/>
              <c:showPercent val="1"/>
              <c:showBubbleSize val="0"/>
            </c:dLbl>
            <c:dLbl>
              <c:idx val="6"/>
              <c:layout>
                <c:manualLayout>
                  <c:x val="-2.8364934862028842E-2"/>
                  <c:y val="2.787578549926439E-2"/>
                </c:manualLayout>
              </c:layout>
              <c:dLblPos val="bestFit"/>
              <c:showLegendKey val="0"/>
              <c:showVal val="0"/>
              <c:showCatName val="1"/>
              <c:showSerName val="0"/>
              <c:showPercent val="1"/>
              <c:showBubbleSize val="0"/>
            </c:dLbl>
            <c:dLbl>
              <c:idx val="7"/>
              <c:layout>
                <c:manualLayout>
                  <c:x val="2.5322542396284055E-3"/>
                  <c:y val="4.6813676527348635E-2"/>
                </c:manualLayout>
              </c:layout>
              <c:dLblPos val="bestFit"/>
              <c:showLegendKey val="0"/>
              <c:showVal val="0"/>
              <c:showCatName val="1"/>
              <c:showSerName val="0"/>
              <c:showPercent val="1"/>
              <c:showBubbleSize val="0"/>
            </c:dLbl>
            <c:dLbl>
              <c:idx val="8"/>
              <c:layout>
                <c:manualLayout>
                  <c:x val="5.4859605748149099E-3"/>
                  <c:y val="-0.11222830961556801"/>
                </c:manualLayout>
              </c:layout>
              <c:dLblPos val="bestFit"/>
              <c:showLegendKey val="0"/>
              <c:showVal val="0"/>
              <c:showCatName val="1"/>
              <c:showSerName val="0"/>
              <c:showPercent val="1"/>
              <c:showBubbleSize val="0"/>
            </c:dLbl>
            <c:dLbl>
              <c:idx val="9"/>
              <c:layout>
                <c:manualLayout>
                  <c:x val="-0.13364498758249702"/>
                  <c:y val="-5.7973731245026916E-2"/>
                </c:manualLayout>
              </c:layout>
              <c:dLblPos val="bestFit"/>
              <c:showLegendKey val="0"/>
              <c:showVal val="0"/>
              <c:showCatName val="1"/>
              <c:showSerName val="0"/>
              <c:showPercent val="1"/>
              <c:showBubbleSize val="0"/>
            </c:dLbl>
            <c:numFmt formatCode="0%" sourceLinked="0"/>
            <c:spPr>
              <a:noFill/>
              <a:ln w="25399">
                <a:noFill/>
              </a:ln>
            </c:spPr>
            <c:txPr>
              <a:bodyPr/>
              <a:lstStyle/>
              <a:p>
                <a:pPr>
                  <a:defRPr sz="900" b="0" i="0" u="none" strike="noStrike" baseline="0">
                    <a:solidFill>
                      <a:srgbClr val="000000"/>
                    </a:solidFill>
                    <a:latin typeface="Arial"/>
                    <a:ea typeface="Arial"/>
                    <a:cs typeface="Arial"/>
                  </a:defRPr>
                </a:pPr>
                <a:endParaRPr lang="lt-LT"/>
              </a:p>
            </c:txPr>
            <c:showLegendKey val="0"/>
            <c:showVal val="0"/>
            <c:showCatName val="1"/>
            <c:showSerName val="0"/>
            <c:showPercent val="1"/>
            <c:showBubbleSize val="0"/>
            <c:showLeaderLines val="1"/>
          </c:dLbls>
          <c:cat>
            <c:strRef>
              <c:f>Sheet1!$B$1:$K$1</c:f>
              <c:strCache>
                <c:ptCount val="10"/>
                <c:pt idx="0">
                  <c:v>66</c:v>
                </c:pt>
                <c:pt idx="1">
                  <c:v>55-59</c:v>
                </c:pt>
                <c:pt idx="2">
                  <c:v>50-54</c:v>
                </c:pt>
                <c:pt idx="3">
                  <c:v>45-49</c:v>
                </c:pt>
                <c:pt idx="4">
                  <c:v>40-44</c:v>
                </c:pt>
                <c:pt idx="5">
                  <c:v>35-39</c:v>
                </c:pt>
                <c:pt idx="6">
                  <c:v>30-34</c:v>
                </c:pt>
                <c:pt idx="7">
                  <c:v>25-29</c:v>
                </c:pt>
                <c:pt idx="8">
                  <c:v>20-24</c:v>
                </c:pt>
                <c:pt idx="9">
                  <c:v>17</c:v>
                </c:pt>
              </c:strCache>
            </c:strRef>
          </c:cat>
          <c:val>
            <c:numRef>
              <c:f>Sheet1!$B$2:$K$2</c:f>
              <c:numCache>
                <c:formatCode>General</c:formatCode>
                <c:ptCount val="10"/>
                <c:pt idx="0">
                  <c:v>1</c:v>
                </c:pt>
                <c:pt idx="1">
                  <c:v>4</c:v>
                </c:pt>
                <c:pt idx="2">
                  <c:v>5</c:v>
                </c:pt>
                <c:pt idx="3">
                  <c:v>6</c:v>
                </c:pt>
                <c:pt idx="4">
                  <c:v>13</c:v>
                </c:pt>
                <c:pt idx="5">
                  <c:v>12</c:v>
                </c:pt>
                <c:pt idx="6">
                  <c:v>24</c:v>
                </c:pt>
                <c:pt idx="7">
                  <c:v>19</c:v>
                </c:pt>
                <c:pt idx="8">
                  <c:v>36</c:v>
                </c:pt>
                <c:pt idx="9">
                  <c:v>2</c:v>
                </c:pt>
              </c:numCache>
            </c:numRef>
          </c:val>
        </c:ser>
        <c:dLbls>
          <c:showLegendKey val="0"/>
          <c:showVal val="0"/>
          <c:showCatName val="0"/>
          <c:showSerName val="0"/>
          <c:showPercent val="0"/>
          <c:showBubbleSize val="0"/>
          <c:showLeaderLines val="1"/>
        </c:dLbls>
      </c:pie3DChart>
      <c:spPr>
        <a:noFill/>
        <a:ln w="25399">
          <a:noFill/>
        </a:ln>
      </c:spPr>
    </c:plotArea>
    <c:plotVisOnly val="1"/>
    <c:dispBlanksAs val="zero"/>
    <c:showDLblsOverMax val="0"/>
  </c:chart>
  <c:spPr>
    <a:noFill/>
    <a:ln w="3175">
      <a:solidFill>
        <a:srgbClr val="000000"/>
      </a:solidFill>
      <a:prstDash val="solid"/>
    </a:ln>
  </c:spPr>
  <c:txPr>
    <a:bodyPr/>
    <a:lstStyle/>
    <a:p>
      <a:pPr>
        <a:defRPr sz="900" b="1" i="0" u="none" strike="noStrike" baseline="0">
          <a:solidFill>
            <a:srgbClr val="000000"/>
          </a:solidFill>
          <a:latin typeface="Arial"/>
          <a:ea typeface="Arial"/>
          <a:cs typeface="Arial"/>
        </a:defRPr>
      </a:pPr>
      <a:endParaRPr lang="lt-LT"/>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3"/>
      <c:rotY val="20"/>
      <c:depthPercent val="100"/>
      <c:rAngAx val="1"/>
    </c:view3D>
    <c:floor>
      <c:thickness val="0"/>
      <c:spPr>
        <a:noFill/>
        <a:ln w="9525">
          <a:noFill/>
        </a:ln>
      </c:spPr>
    </c:floor>
    <c:sideWall>
      <c:thickness val="0"/>
      <c:spPr>
        <a:noFill/>
        <a:ln w="25400">
          <a:noFill/>
        </a:ln>
      </c:spPr>
    </c:sideWall>
    <c:backWall>
      <c:thickness val="0"/>
      <c:spPr>
        <a:noFill/>
        <a:ln w="25400">
          <a:noFill/>
        </a:ln>
      </c:spPr>
    </c:backWall>
    <c:plotArea>
      <c:layout>
        <c:manualLayout>
          <c:layoutTarget val="inner"/>
          <c:xMode val="edge"/>
          <c:yMode val="edge"/>
          <c:x val="5.5350553505535055E-2"/>
          <c:y val="3.643724696356275E-2"/>
          <c:w val="0.92619926199261993"/>
          <c:h val="0.71255060728744934"/>
        </c:manualLayout>
      </c:layout>
      <c:bar3DChart>
        <c:barDir val="col"/>
        <c:grouping val="clustered"/>
        <c:varyColors val="0"/>
        <c:ser>
          <c:idx val="0"/>
          <c:order val="0"/>
          <c:tx>
            <c:strRef>
              <c:f>Sheet1!$A$6</c:f>
              <c:strCache>
                <c:ptCount val="1"/>
                <c:pt idx="0">
                  <c:v>Atvejai</c:v>
                </c:pt>
              </c:strCache>
            </c:strRef>
          </c:tx>
          <c:spPr>
            <a:pattFill prst="pct25">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1.4361835145225805E-2"/>
                  <c:y val="5.4639683059671531E-3"/>
                </c:manualLayout>
              </c:layout>
              <c:showLegendKey val="0"/>
              <c:showVal val="1"/>
              <c:showCatName val="0"/>
              <c:showSerName val="0"/>
              <c:showPercent val="0"/>
              <c:showBubbleSize val="0"/>
            </c:dLbl>
            <c:dLbl>
              <c:idx val="1"/>
              <c:layout>
                <c:manualLayout>
                  <c:x val="1.5836486968087746E-2"/>
                  <c:y val="1.4153853100156981E-3"/>
                </c:manualLayout>
              </c:layout>
              <c:showLegendKey val="0"/>
              <c:showVal val="1"/>
              <c:showCatName val="0"/>
              <c:showSerName val="0"/>
              <c:showPercent val="0"/>
              <c:showBubbleSize val="0"/>
            </c:dLbl>
            <c:dLbl>
              <c:idx val="2"/>
              <c:layout>
                <c:manualLayout>
                  <c:x val="1.3620911696963603E-2"/>
                  <c:y val="-1.1594802323491476E-2"/>
                </c:manualLayout>
              </c:layout>
              <c:showLegendKey val="0"/>
              <c:showVal val="1"/>
              <c:showCatName val="0"/>
              <c:showSerName val="0"/>
              <c:showPercent val="0"/>
              <c:showBubbleSize val="0"/>
            </c:dLbl>
            <c:dLbl>
              <c:idx val="3"/>
              <c:layout>
                <c:manualLayout>
                  <c:x val="1.3250354876023936E-2"/>
                  <c:y val="-7.546219327540021E-3"/>
                </c:manualLayout>
              </c:layout>
              <c:showLegendKey val="0"/>
              <c:showVal val="1"/>
              <c:showCatName val="0"/>
              <c:showSerName val="0"/>
              <c:showPercent val="0"/>
              <c:showBubbleSize val="0"/>
            </c:dLbl>
            <c:dLbl>
              <c:idx val="4"/>
              <c:layout>
                <c:manualLayout>
                  <c:x val="1.5904737000125849E-2"/>
                  <c:y val="-8.4110664824406239E-3"/>
                </c:manualLayout>
              </c:layout>
              <c:showLegendKey val="0"/>
              <c:showVal val="1"/>
              <c:showCatName val="0"/>
              <c:showSerName val="0"/>
              <c:showPercent val="0"/>
              <c:showBubbleSize val="0"/>
            </c:dLbl>
            <c:dLbl>
              <c:idx val="5"/>
              <c:layout>
                <c:manualLayout>
                  <c:x val="9.9991248286326953E-3"/>
                  <c:y val="-2.2867881287047243E-2"/>
                </c:manualLayout>
              </c:layout>
              <c:showLegendKey val="0"/>
              <c:showVal val="1"/>
              <c:showCatName val="0"/>
              <c:showSerName val="0"/>
              <c:showPercent val="0"/>
              <c:showBubbleSize val="0"/>
            </c:dLbl>
            <c:dLbl>
              <c:idx val="6"/>
              <c:layout>
                <c:manualLayout>
                  <c:x val="1.1473586457877561E-2"/>
                  <c:y val="-1.5635562450044965E-2"/>
                </c:manualLayout>
              </c:layout>
              <c:showLegendKey val="0"/>
              <c:showVal val="1"/>
              <c:showCatName val="0"/>
              <c:showSerName val="0"/>
              <c:showPercent val="0"/>
              <c:showBubbleSize val="0"/>
            </c:dLbl>
            <c:dLbl>
              <c:idx val="7"/>
              <c:layout>
                <c:manualLayout>
                  <c:x val="9.2580111867533628E-3"/>
                  <c:y val="-5.8008792789431369E-3"/>
                </c:manualLayout>
              </c:layout>
              <c:showLegendKey val="0"/>
              <c:showVal val="1"/>
              <c:showCatName val="0"/>
              <c:showSerName val="0"/>
              <c:showPercent val="0"/>
              <c:showBubbleSize val="0"/>
            </c:dLbl>
            <c:spPr>
              <a:noFill/>
              <a:ln w="25399">
                <a:noFill/>
              </a:ln>
            </c:spPr>
            <c:txPr>
              <a:bodyPr/>
              <a:lstStyle/>
              <a:p>
                <a:pPr>
                  <a:defRPr sz="100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Sheet1!$B$5:$I$5</c:f>
              <c:numCache>
                <c:formatCode>General</c:formatCode>
                <c:ptCount val="8"/>
                <c:pt idx="0">
                  <c:v>3</c:v>
                </c:pt>
                <c:pt idx="1">
                  <c:v>9</c:v>
                </c:pt>
                <c:pt idx="2">
                  <c:v>13</c:v>
                </c:pt>
                <c:pt idx="3">
                  <c:v>14</c:v>
                </c:pt>
                <c:pt idx="4">
                  <c:v>15</c:v>
                </c:pt>
                <c:pt idx="5">
                  <c:v>16</c:v>
                </c:pt>
                <c:pt idx="6">
                  <c:v>17</c:v>
                </c:pt>
                <c:pt idx="7">
                  <c:v>18</c:v>
                </c:pt>
              </c:numCache>
            </c:numRef>
          </c:cat>
          <c:val>
            <c:numRef>
              <c:f>Sheet1!$B$6:$I$6</c:f>
              <c:numCache>
                <c:formatCode>General</c:formatCode>
                <c:ptCount val="8"/>
                <c:pt idx="0">
                  <c:v>1</c:v>
                </c:pt>
                <c:pt idx="1">
                  <c:v>1</c:v>
                </c:pt>
                <c:pt idx="2">
                  <c:v>6</c:v>
                </c:pt>
                <c:pt idx="3">
                  <c:v>6</c:v>
                </c:pt>
                <c:pt idx="4">
                  <c:v>11</c:v>
                </c:pt>
                <c:pt idx="5">
                  <c:v>15</c:v>
                </c:pt>
                <c:pt idx="6">
                  <c:v>20</c:v>
                </c:pt>
                <c:pt idx="7">
                  <c:v>24</c:v>
                </c:pt>
              </c:numCache>
            </c:numRef>
          </c:val>
        </c:ser>
        <c:dLbls>
          <c:showLegendKey val="0"/>
          <c:showVal val="1"/>
          <c:showCatName val="0"/>
          <c:showSerName val="0"/>
          <c:showPercent val="0"/>
          <c:showBubbleSize val="0"/>
        </c:dLbls>
        <c:gapWidth val="150"/>
        <c:shape val="box"/>
        <c:axId val="105399424"/>
        <c:axId val="105447808"/>
        <c:axId val="0"/>
      </c:bar3DChart>
      <c:catAx>
        <c:axId val="105399424"/>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lt-LT"/>
                  <a:t>Amžius metais</a:t>
                </a:r>
              </a:p>
            </c:rich>
          </c:tx>
          <c:layout>
            <c:manualLayout>
              <c:xMode val="edge"/>
              <c:yMode val="edge"/>
              <c:x val="0.41697416974169743"/>
              <c:y val="0.85425101214574894"/>
            </c:manualLayout>
          </c:layout>
          <c:overlay val="0"/>
          <c:spPr>
            <a:noFill/>
            <a:ln w="25399">
              <a:noFill/>
            </a:ln>
          </c:spPr>
        </c:title>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105447808"/>
        <c:crosses val="autoZero"/>
        <c:auto val="1"/>
        <c:lblAlgn val="ctr"/>
        <c:lblOffset val="100"/>
        <c:tickLblSkip val="1"/>
        <c:tickMarkSkip val="1"/>
        <c:noMultiLvlLbl val="0"/>
      </c:catAx>
      <c:valAx>
        <c:axId val="10544780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lt-LT"/>
          </a:p>
        </c:txPr>
        <c:crossAx val="105399424"/>
        <c:crosses val="autoZero"/>
        <c:crossBetween val="between"/>
      </c:valAx>
      <c:spPr>
        <a:noFill/>
        <a:ln w="25399">
          <a:noFill/>
        </a:ln>
      </c:spPr>
    </c:plotArea>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lt-LT"/>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81592039800994"/>
          <c:y val="6.4814814814814811E-2"/>
          <c:w val="0.81094527363184077"/>
          <c:h val="0.79629629629629628"/>
        </c:manualLayout>
      </c:layout>
      <c:lineChart>
        <c:grouping val="standard"/>
        <c:varyColors val="0"/>
        <c:ser>
          <c:idx val="0"/>
          <c:order val="0"/>
          <c:tx>
            <c:strRef>
              <c:f>Sheet1!$A$2</c:f>
              <c:strCache>
                <c:ptCount val="1"/>
              </c:strCache>
            </c:strRef>
          </c:tx>
          <c:spPr>
            <a:ln w="34715">
              <a:solidFill>
                <a:srgbClr val="000080"/>
              </a:solidFill>
              <a:prstDash val="solid"/>
            </a:ln>
          </c:spPr>
          <c:marker>
            <c:symbol val="diamond"/>
            <c:size val="8"/>
            <c:spPr>
              <a:solidFill>
                <a:srgbClr val="000080"/>
              </a:solidFill>
              <a:ln>
                <a:solidFill>
                  <a:srgbClr val="000080"/>
                </a:solidFill>
                <a:prstDash val="solid"/>
              </a:ln>
            </c:spPr>
          </c:marker>
          <c:dLbls>
            <c:dLbl>
              <c:idx val="0"/>
              <c:layout>
                <c:manualLayout>
                  <c:x val="-3.2994723995943311E-2"/>
                  <c:y val="8.5687567775710877E-2"/>
                </c:manualLayout>
              </c:layout>
              <c:dLblPos val="r"/>
              <c:showLegendKey val="0"/>
              <c:showVal val="1"/>
              <c:showCatName val="0"/>
              <c:showSerName val="0"/>
              <c:showPercent val="0"/>
              <c:showBubbleSize val="0"/>
            </c:dLbl>
            <c:dLbl>
              <c:idx val="1"/>
              <c:layout>
                <c:manualLayout>
                  <c:x val="-1.9313216289506076E-2"/>
                  <c:y val="-0.11014601330173536"/>
                </c:manualLayout>
              </c:layout>
              <c:dLblPos val="r"/>
              <c:showLegendKey val="0"/>
              <c:showVal val="1"/>
              <c:showCatName val="0"/>
              <c:showSerName val="0"/>
              <c:showPercent val="0"/>
              <c:showBubbleSize val="0"/>
            </c:dLbl>
            <c:dLbl>
              <c:idx val="2"/>
              <c:layout>
                <c:manualLayout>
                  <c:x val="-5.6315263141858982E-3"/>
                  <c:y val="-0.12588647090634708"/>
                </c:manualLayout>
              </c:layout>
              <c:dLblPos val="r"/>
              <c:showLegendKey val="0"/>
              <c:showVal val="1"/>
              <c:showCatName val="0"/>
              <c:showSerName val="0"/>
              <c:showPercent val="0"/>
              <c:showBubbleSize val="0"/>
            </c:dLbl>
            <c:dLbl>
              <c:idx val="3"/>
              <c:layout>
                <c:manualLayout>
                  <c:x val="-6.8753917420770368E-3"/>
                  <c:y val="-0.10864120140322256"/>
                </c:manualLayout>
              </c:layout>
              <c:dLblPos val="r"/>
              <c:showLegendKey val="0"/>
              <c:showVal val="1"/>
              <c:showCatName val="0"/>
              <c:showSerName val="0"/>
              <c:showPercent val="0"/>
              <c:showBubbleSize val="0"/>
            </c:dLbl>
            <c:dLbl>
              <c:idx val="4"/>
              <c:tx>
                <c:rich>
                  <a:bodyPr/>
                  <a:lstStyle/>
                  <a:p>
                    <a:r>
                      <a:t>70,8</a:t>
                    </a:r>
                  </a:p>
                </c:rich>
              </c:tx>
              <c:dLblPos val="r"/>
              <c:showLegendKey val="0"/>
              <c:showVal val="0"/>
              <c:showCatName val="0"/>
              <c:showSerName val="0"/>
              <c:showPercent val="0"/>
              <c:showBubbleSize val="0"/>
            </c:dLbl>
            <c:dLbl>
              <c:idx val="5"/>
              <c:tx>
                <c:rich>
                  <a:bodyPr/>
                  <a:lstStyle/>
                  <a:p>
                    <a:r>
                      <a:t>62</a:t>
                    </a:r>
                  </a:p>
                </c:rich>
              </c:tx>
              <c:dLblPos val="r"/>
              <c:showLegendKey val="0"/>
              <c:showVal val="0"/>
              <c:showCatName val="0"/>
              <c:showSerName val="0"/>
              <c:showPercent val="0"/>
              <c:showBubbleSize val="0"/>
            </c:dLbl>
            <c:dLbl>
              <c:idx val="6"/>
              <c:tx>
                <c:rich>
                  <a:bodyPr/>
                  <a:lstStyle/>
                  <a:p>
                    <a:r>
                      <a:t>55,6</a:t>
                    </a:r>
                  </a:p>
                </c:rich>
              </c:tx>
              <c:dLblPos val="r"/>
              <c:showLegendKey val="0"/>
              <c:showVal val="0"/>
              <c:showCatName val="0"/>
              <c:showSerName val="0"/>
              <c:showPercent val="0"/>
              <c:showBubbleSize val="0"/>
            </c:dLbl>
            <c:dLbl>
              <c:idx val="7"/>
              <c:tx>
                <c:rich>
                  <a:bodyPr/>
                  <a:lstStyle/>
                  <a:p>
                    <a:pPr>
                      <a:defRPr sz="729" b="1" i="0" u="none" strike="noStrike" baseline="0">
                        <a:solidFill>
                          <a:srgbClr val="000080"/>
                        </a:solidFill>
                        <a:latin typeface="Arial"/>
                        <a:ea typeface="Arial"/>
                        <a:cs typeface="Arial"/>
                      </a:defRPr>
                    </a:pPr>
                    <a:r>
                      <a:t>74,8</a:t>
                    </a:r>
                  </a:p>
                </c:rich>
              </c:tx>
              <c:spPr>
                <a:noFill/>
                <a:ln w="23143">
                  <a:noFill/>
                </a:ln>
              </c:spPr>
              <c:dLblPos val="r"/>
              <c:showLegendKey val="0"/>
              <c:showVal val="0"/>
              <c:showCatName val="0"/>
              <c:showSerName val="0"/>
              <c:showPercent val="0"/>
              <c:showBubbleSize val="0"/>
            </c:dLbl>
            <c:dLbl>
              <c:idx val="15"/>
              <c:spPr>
                <a:noFill/>
                <a:ln w="23143">
                  <a:noFill/>
                </a:ln>
              </c:spPr>
              <c:txPr>
                <a:bodyPr/>
                <a:lstStyle/>
                <a:p>
                  <a:pPr>
                    <a:defRPr sz="866"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dLbl>
              <c:idx val="16"/>
              <c:spPr>
                <a:noFill/>
                <a:ln w="23143">
                  <a:noFill/>
                </a:ln>
              </c:spPr>
              <c:txPr>
                <a:bodyPr/>
                <a:lstStyle/>
                <a:p>
                  <a:pPr>
                    <a:defRPr sz="866" b="1" i="0" u="none" strike="noStrike" baseline="0">
                      <a:solidFill>
                        <a:srgbClr val="000000"/>
                      </a:solidFill>
                      <a:latin typeface="Arial"/>
                      <a:ea typeface="Arial"/>
                      <a:cs typeface="Arial"/>
                    </a:defRPr>
                  </a:pPr>
                  <a:endParaRPr lang="lt-LT"/>
                </a:p>
              </c:txPr>
              <c:dLblPos val="r"/>
              <c:showLegendKey val="0"/>
              <c:showVal val="1"/>
              <c:showCatName val="0"/>
              <c:showSerName val="0"/>
              <c:showPercent val="0"/>
              <c:showBubbleSize val="0"/>
            </c:dLbl>
            <c:spPr>
              <a:noFill/>
              <a:ln w="23143">
                <a:noFill/>
              </a:ln>
            </c:spPr>
            <c:txPr>
              <a:bodyPr/>
              <a:lstStyle/>
              <a:p>
                <a:pPr>
                  <a:defRPr sz="729" b="1"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Sheet1!$B$1:$E$1</c:f>
              <c:numCache>
                <c:formatCode>General</c:formatCode>
                <c:ptCount val="4"/>
                <c:pt idx="0">
                  <c:v>2005</c:v>
                </c:pt>
                <c:pt idx="1">
                  <c:v>2006</c:v>
                </c:pt>
                <c:pt idx="2">
                  <c:v>2007</c:v>
                </c:pt>
                <c:pt idx="3">
                  <c:v>2008</c:v>
                </c:pt>
              </c:numCache>
            </c:numRef>
          </c:cat>
          <c:val>
            <c:numRef>
              <c:f>Sheet1!$B$2:$E$2</c:f>
              <c:numCache>
                <c:formatCode>General</c:formatCode>
                <c:ptCount val="4"/>
                <c:pt idx="0">
                  <c:v>70.8</c:v>
                </c:pt>
                <c:pt idx="1">
                  <c:v>62</c:v>
                </c:pt>
                <c:pt idx="2">
                  <c:v>55.6</c:v>
                </c:pt>
                <c:pt idx="3">
                  <c:v>44.2</c:v>
                </c:pt>
              </c:numCache>
            </c:numRef>
          </c:val>
          <c:smooth val="0"/>
        </c:ser>
        <c:dLbls>
          <c:showLegendKey val="0"/>
          <c:showVal val="1"/>
          <c:showCatName val="0"/>
          <c:showSerName val="0"/>
          <c:showPercent val="0"/>
          <c:showBubbleSize val="0"/>
        </c:dLbls>
        <c:marker val="1"/>
        <c:smooth val="0"/>
        <c:axId val="105505920"/>
        <c:axId val="105507840"/>
      </c:lineChart>
      <c:catAx>
        <c:axId val="105505920"/>
        <c:scaling>
          <c:orientation val="minMax"/>
        </c:scaling>
        <c:delete val="0"/>
        <c:axPos val="b"/>
        <c:title>
          <c:tx>
            <c:rich>
              <a:bodyPr/>
              <a:lstStyle/>
              <a:p>
                <a:pPr>
                  <a:defRPr sz="729" b="1" i="0" u="none" strike="noStrike" baseline="0">
                    <a:solidFill>
                      <a:srgbClr val="000000"/>
                    </a:solidFill>
                    <a:latin typeface="Arial"/>
                    <a:ea typeface="Arial"/>
                    <a:cs typeface="Arial"/>
                  </a:defRPr>
                </a:pPr>
                <a:r>
                  <a:rPr lang="lt-LT"/>
                  <a:t>metai</a:t>
                </a:r>
              </a:p>
            </c:rich>
          </c:tx>
          <c:layout>
            <c:manualLayout>
              <c:xMode val="edge"/>
              <c:yMode val="edge"/>
              <c:x val="0.91293532338308458"/>
              <c:y val="0.81944444444444442"/>
            </c:manualLayout>
          </c:layout>
          <c:overlay val="0"/>
          <c:spPr>
            <a:noFill/>
            <a:ln w="23143">
              <a:noFill/>
            </a:ln>
          </c:spPr>
        </c:title>
        <c:numFmt formatCode="General" sourceLinked="1"/>
        <c:majorTickMark val="out"/>
        <c:minorTickMark val="none"/>
        <c:tickLblPos val="nextTo"/>
        <c:spPr>
          <a:ln w="2893">
            <a:solidFill>
              <a:srgbClr val="000000"/>
            </a:solidFill>
            <a:prstDash val="solid"/>
          </a:ln>
        </c:spPr>
        <c:txPr>
          <a:bodyPr rot="0" vert="horz"/>
          <a:lstStyle/>
          <a:p>
            <a:pPr>
              <a:defRPr sz="729" b="1" i="0" u="none" strike="noStrike" baseline="0">
                <a:solidFill>
                  <a:srgbClr val="000000"/>
                </a:solidFill>
                <a:latin typeface="Arial"/>
                <a:ea typeface="Arial"/>
                <a:cs typeface="Arial"/>
              </a:defRPr>
            </a:pPr>
            <a:endParaRPr lang="lt-LT"/>
          </a:p>
        </c:txPr>
        <c:crossAx val="105507840"/>
        <c:crosses val="autoZero"/>
        <c:auto val="1"/>
        <c:lblAlgn val="ctr"/>
        <c:lblOffset val="100"/>
        <c:tickLblSkip val="1"/>
        <c:tickMarkSkip val="1"/>
        <c:noMultiLvlLbl val="0"/>
      </c:catAx>
      <c:valAx>
        <c:axId val="105507840"/>
        <c:scaling>
          <c:orientation val="minMax"/>
          <c:max val="72"/>
          <c:min val="40"/>
        </c:scaling>
        <c:delete val="0"/>
        <c:axPos val="l"/>
        <c:title>
          <c:tx>
            <c:rich>
              <a:bodyPr/>
              <a:lstStyle/>
              <a:p>
                <a:pPr>
                  <a:defRPr sz="729" b="1" i="0" u="none" strike="noStrike" baseline="0">
                    <a:solidFill>
                      <a:srgbClr val="000000"/>
                    </a:solidFill>
                    <a:latin typeface="Arial"/>
                    <a:ea typeface="Arial"/>
                    <a:cs typeface="Arial"/>
                  </a:defRPr>
                </a:pPr>
                <a:r>
                  <a:rPr lang="lt-LT"/>
                  <a:t>proc.</a:t>
                </a:r>
              </a:p>
            </c:rich>
          </c:tx>
          <c:layout>
            <c:manualLayout>
              <c:xMode val="edge"/>
              <c:yMode val="edge"/>
              <c:x val="2.736318407960199E-2"/>
              <c:y val="0.38425925925925924"/>
            </c:manualLayout>
          </c:layout>
          <c:overlay val="0"/>
          <c:spPr>
            <a:noFill/>
            <a:ln w="23143">
              <a:noFill/>
            </a:ln>
          </c:spPr>
        </c:title>
        <c:numFmt formatCode="General" sourceLinked="1"/>
        <c:majorTickMark val="out"/>
        <c:minorTickMark val="none"/>
        <c:tickLblPos val="nextTo"/>
        <c:spPr>
          <a:ln w="2893">
            <a:solidFill>
              <a:srgbClr val="000000"/>
            </a:solidFill>
            <a:prstDash val="solid"/>
          </a:ln>
        </c:spPr>
        <c:txPr>
          <a:bodyPr rot="0" vert="horz"/>
          <a:lstStyle/>
          <a:p>
            <a:pPr>
              <a:defRPr sz="729" b="1" i="0" u="none" strike="noStrike" baseline="0">
                <a:solidFill>
                  <a:srgbClr val="000000"/>
                </a:solidFill>
                <a:latin typeface="Arial"/>
                <a:ea typeface="Arial"/>
                <a:cs typeface="Arial"/>
              </a:defRPr>
            </a:pPr>
            <a:endParaRPr lang="lt-LT"/>
          </a:p>
        </c:txPr>
        <c:crossAx val="105505920"/>
        <c:crosses val="autoZero"/>
        <c:crossBetween val="between"/>
      </c:valAx>
      <c:spPr>
        <a:noFill/>
        <a:ln w="23143">
          <a:noFill/>
        </a:ln>
      </c:spPr>
    </c:plotArea>
    <c:plotVisOnly val="1"/>
    <c:dispBlanksAs val="gap"/>
    <c:showDLblsOverMax val="0"/>
  </c:chart>
  <c:spPr>
    <a:noFill/>
    <a:ln w="9525" cap="flat" cmpd="sng" algn="ctr">
      <a:solidFill>
        <a:srgbClr val="FFFFFF"/>
      </a:solidFill>
      <a:prstDash val="solid"/>
      <a:miter lim="800000"/>
      <a:headEnd type="none" w="med" len="med"/>
      <a:tailEnd type="none" w="med" len="med"/>
    </a:ln>
  </c:spPr>
  <c:txPr>
    <a:bodyPr/>
    <a:lstStyle/>
    <a:p>
      <a:pPr>
        <a:defRPr sz="866" b="1" i="0" u="none" strike="noStrike" baseline="0">
          <a:solidFill>
            <a:srgbClr val="000000"/>
          </a:solidFill>
          <a:latin typeface="Arial"/>
          <a:ea typeface="Arial"/>
          <a:cs typeface="Arial"/>
        </a:defRPr>
      </a:pPr>
      <a:endParaRPr lang="lt-LT"/>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5501551189245086E-2"/>
          <c:y val="3.7288135593220341E-2"/>
          <c:w val="0.90382626680455014"/>
          <c:h val="0.84745762711864403"/>
        </c:manualLayout>
      </c:layout>
      <c:barChart>
        <c:barDir val="col"/>
        <c:grouping val="clustered"/>
        <c:varyColors val="0"/>
        <c:ser>
          <c:idx val="1"/>
          <c:order val="0"/>
          <c:tx>
            <c:strRef>
              <c:f>Sheet3!$B$71</c:f>
              <c:strCache>
                <c:ptCount val="1"/>
                <c:pt idx="0">
                  <c:v>registruotų asmenų skaičius</c:v>
                </c:pt>
              </c:strCache>
            </c:strRef>
          </c:tx>
          <c:spPr>
            <a:solidFill>
              <a:srgbClr val="FFFF00"/>
            </a:solidFill>
            <a:ln w="12669">
              <a:solidFill>
                <a:srgbClr val="000000"/>
              </a:solidFill>
              <a:prstDash val="solid"/>
            </a:ln>
          </c:spPr>
          <c:invertIfNegative val="0"/>
          <c:dLbls>
            <c:dLbl>
              <c:idx val="0"/>
              <c:layout>
                <c:manualLayout>
                  <c:x val="3.5137912531724813E-3"/>
                  <c:y val="-0.14384855241585909"/>
                </c:manualLayout>
              </c:layout>
              <c:dLblPos val="outEnd"/>
              <c:showLegendKey val="0"/>
              <c:showVal val="1"/>
              <c:showCatName val="0"/>
              <c:showSerName val="0"/>
              <c:showPercent val="0"/>
              <c:showBubbleSize val="0"/>
            </c:dLbl>
            <c:dLbl>
              <c:idx val="1"/>
              <c:layout>
                <c:manualLayout>
                  <c:x val="1.9849403073223739E-3"/>
                  <c:y val="-0.11706867873429834"/>
                </c:manualLayout>
              </c:layout>
              <c:dLblPos val="outEnd"/>
              <c:showLegendKey val="0"/>
              <c:showVal val="1"/>
              <c:showCatName val="0"/>
              <c:showSerName val="0"/>
              <c:showPercent val="0"/>
              <c:showBubbleSize val="0"/>
            </c:dLbl>
            <c:dLbl>
              <c:idx val="2"/>
              <c:layout>
                <c:manualLayout>
                  <c:x val="1.407834233979798E-2"/>
                  <c:y val="-8.1136484024656091E-2"/>
                </c:manualLayout>
              </c:layout>
              <c:dLblPos val="outEnd"/>
              <c:showLegendKey val="0"/>
              <c:showVal val="1"/>
              <c:showCatName val="0"/>
              <c:showSerName val="0"/>
              <c:showPercent val="0"/>
              <c:showBubbleSize val="0"/>
            </c:dLbl>
            <c:dLbl>
              <c:idx val="3"/>
              <c:layout>
                <c:manualLayout>
                  <c:x val="1.1693807096388084E-2"/>
                  <c:y val="-0.10520438479708431"/>
                </c:manualLayout>
              </c:layout>
              <c:dLblPos val="outEnd"/>
              <c:showLegendKey val="0"/>
              <c:showVal val="1"/>
              <c:showCatName val="0"/>
              <c:showSerName val="0"/>
              <c:showPercent val="0"/>
              <c:showBubbleSize val="0"/>
            </c:dLbl>
            <c:dLbl>
              <c:idx val="4"/>
              <c:layout>
                <c:manualLayout>
                  <c:x val="1.5514199821728237E-2"/>
                  <c:y val="-9.8763589648441535E-2"/>
                </c:manualLayout>
              </c:layout>
              <c:dLblPos val="outEnd"/>
              <c:showLegendKey val="0"/>
              <c:showVal val="1"/>
              <c:showCatName val="0"/>
              <c:showSerName val="0"/>
              <c:showPercent val="0"/>
              <c:showBubbleSize val="0"/>
            </c:dLbl>
            <c:dLbl>
              <c:idx val="5"/>
              <c:layout>
                <c:manualLayout>
                  <c:x val="1.8300466383676509E-2"/>
                  <c:y val="-9.4695875500060214E-2"/>
                </c:manualLayout>
              </c:layout>
              <c:dLblPos val="outEnd"/>
              <c:showLegendKey val="0"/>
              <c:showVal val="1"/>
              <c:showCatName val="0"/>
              <c:showSerName val="0"/>
              <c:showPercent val="0"/>
              <c:showBubbleSize val="0"/>
            </c:dLbl>
            <c:dLbl>
              <c:idx val="6"/>
              <c:layout>
                <c:manualLayout>
                  <c:x val="2.1086732945624725E-2"/>
                  <c:y val="-0.11198397637252766"/>
                </c:manualLayout>
              </c:layout>
              <c:dLblPos val="outEnd"/>
              <c:showLegendKey val="0"/>
              <c:showVal val="1"/>
              <c:showCatName val="0"/>
              <c:showSerName val="0"/>
              <c:showPercent val="0"/>
              <c:showBubbleSize val="0"/>
            </c:dLbl>
            <c:dLbl>
              <c:idx val="7"/>
              <c:layout>
                <c:manualLayout>
                  <c:x val="2.4906954682566439E-2"/>
                  <c:y val="-9.4696001362789578E-2"/>
                </c:manualLayout>
              </c:layout>
              <c:dLblPos val="outEnd"/>
              <c:showLegendKey val="0"/>
              <c:showVal val="1"/>
              <c:showCatName val="0"/>
              <c:showSerName val="0"/>
              <c:showPercent val="0"/>
              <c:showBubbleSize val="0"/>
            </c:dLbl>
            <c:dLbl>
              <c:idx val="8"/>
              <c:layout>
                <c:manualLayout>
                  <c:x val="2.7693221244514548E-2"/>
                  <c:y val="-9.9102807064371204E-2"/>
                </c:manualLayout>
              </c:layout>
              <c:dLblPos val="outEnd"/>
              <c:showLegendKey val="0"/>
              <c:showVal val="1"/>
              <c:showCatName val="0"/>
              <c:showSerName val="0"/>
              <c:showPercent val="0"/>
              <c:showBubbleSize val="0"/>
            </c:dLbl>
            <c:dLbl>
              <c:idx val="9"/>
              <c:layout>
                <c:manualLayout>
                  <c:x val="2.9445361643070829E-2"/>
                  <c:y val="-0.10452629717275419"/>
                </c:manualLayout>
              </c:layout>
              <c:dLblPos val="outEnd"/>
              <c:showLegendKey val="0"/>
              <c:showVal val="1"/>
              <c:showCatName val="0"/>
              <c:showSerName val="0"/>
              <c:showPercent val="0"/>
              <c:showBubbleSize val="0"/>
            </c:dLbl>
            <c:spPr>
              <a:noFill/>
              <a:ln w="25338">
                <a:noFill/>
              </a:ln>
            </c:spPr>
            <c:txPr>
              <a:bodyPr/>
              <a:lstStyle/>
              <a:p>
                <a:pPr>
                  <a:defRPr sz="998"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Sheet3!$A$72:$A$81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Sheet3!$B$72:$B$81</c:f>
              <c:numCache>
                <c:formatCode>General</c:formatCode>
                <c:ptCount val="10"/>
                <c:pt idx="0">
                  <c:v>95.3</c:v>
                </c:pt>
                <c:pt idx="1">
                  <c:v>117.2</c:v>
                </c:pt>
                <c:pt idx="2">
                  <c:v>126.3</c:v>
                </c:pt>
                <c:pt idx="3">
                  <c:v>135.19999999999999</c:v>
                </c:pt>
                <c:pt idx="4">
                  <c:v>145.1</c:v>
                </c:pt>
                <c:pt idx="5">
                  <c:v>157.80000000000001</c:v>
                </c:pt>
                <c:pt idx="6">
                  <c:v>162.69999999999999</c:v>
                </c:pt>
                <c:pt idx="7">
                  <c:v>168.8</c:v>
                </c:pt>
                <c:pt idx="8">
                  <c:v>172.5</c:v>
                </c:pt>
                <c:pt idx="9">
                  <c:v>178.9</c:v>
                </c:pt>
              </c:numCache>
            </c:numRef>
          </c:val>
        </c:ser>
        <c:dLbls>
          <c:showLegendKey val="0"/>
          <c:showVal val="1"/>
          <c:showCatName val="0"/>
          <c:showSerName val="0"/>
          <c:showPercent val="0"/>
          <c:showBubbleSize val="0"/>
        </c:dLbls>
        <c:gapWidth val="20"/>
        <c:axId val="24773376"/>
        <c:axId val="24775680"/>
      </c:barChart>
      <c:lineChart>
        <c:grouping val="standard"/>
        <c:varyColors val="0"/>
        <c:ser>
          <c:idx val="0"/>
          <c:order val="1"/>
          <c:tx>
            <c:strRef>
              <c:f>Sheet3!$C$71</c:f>
              <c:strCache>
                <c:ptCount val="1"/>
                <c:pt idx="0">
                  <c:v>atv. sk./ 100 tūkst. gyv. </c:v>
                </c:pt>
              </c:strCache>
            </c:strRef>
          </c:tx>
          <c:spPr>
            <a:ln w="12669">
              <a:solidFill>
                <a:srgbClr val="000080"/>
              </a:solidFill>
              <a:prstDash val="solid"/>
            </a:ln>
          </c:spPr>
          <c:marker>
            <c:symbol val="diamond"/>
            <c:size val="4"/>
            <c:spPr>
              <a:solidFill>
                <a:srgbClr val="000080"/>
              </a:solidFill>
              <a:ln>
                <a:solidFill>
                  <a:srgbClr val="000080"/>
                </a:solidFill>
                <a:prstDash val="solid"/>
              </a:ln>
            </c:spPr>
          </c:marker>
          <c:dLbls>
            <c:dLbl>
              <c:idx val="0"/>
              <c:layout>
                <c:manualLayout>
                  <c:x val="-7.4246672195763072E-2"/>
                  <c:y val="0.16675733123272776"/>
                </c:manualLayout>
              </c:layout>
              <c:dLblPos val="r"/>
              <c:showLegendKey val="0"/>
              <c:showVal val="1"/>
              <c:showCatName val="0"/>
              <c:showSerName val="0"/>
              <c:showPercent val="0"/>
              <c:showBubbleSize val="0"/>
            </c:dLbl>
            <c:dLbl>
              <c:idx val="1"/>
              <c:layout>
                <c:manualLayout>
                  <c:x val="-7.146040563381488E-2"/>
                  <c:y val="0.18443275946438897"/>
                </c:manualLayout>
              </c:layout>
              <c:dLblPos val="r"/>
              <c:showLegendKey val="0"/>
              <c:showVal val="1"/>
              <c:showCatName val="0"/>
              <c:showSerName val="0"/>
              <c:showPercent val="0"/>
              <c:showBubbleSize val="0"/>
            </c:dLbl>
            <c:dLbl>
              <c:idx val="2"/>
              <c:layout>
                <c:manualLayout>
                  <c:x val="-6.7640012908474753E-2"/>
                  <c:y val="0.20937212509453265"/>
                </c:manualLayout>
              </c:layout>
              <c:dLblPos val="r"/>
              <c:showLegendKey val="0"/>
              <c:showVal val="1"/>
              <c:showCatName val="0"/>
              <c:showSerName val="0"/>
              <c:showPercent val="0"/>
              <c:showBubbleSize val="0"/>
            </c:dLbl>
            <c:dLbl>
              <c:idx val="3"/>
              <c:layout>
                <c:manualLayout>
                  <c:x val="-6.4853917334924946E-2"/>
                  <c:y val="0.22172091675807989"/>
                </c:manualLayout>
              </c:layout>
              <c:dLblPos val="r"/>
              <c:showLegendKey val="0"/>
              <c:showVal val="1"/>
              <c:showCatName val="0"/>
              <c:showSerName val="0"/>
              <c:showPercent val="0"/>
              <c:showBubbleSize val="0"/>
            </c:dLbl>
            <c:dLbl>
              <c:idx val="4"/>
              <c:layout>
                <c:manualLayout>
                  <c:x val="-5.8965272282800976E-2"/>
                  <c:y val="0.19629730078696758"/>
                </c:manualLayout>
              </c:layout>
              <c:dLblPos val="r"/>
              <c:showLegendKey val="0"/>
              <c:showVal val="1"/>
              <c:showCatName val="0"/>
              <c:showSerName val="0"/>
              <c:showPercent val="0"/>
              <c:showBubbleSize val="0"/>
            </c:dLbl>
            <c:dLbl>
              <c:idx val="5"/>
              <c:layout>
                <c:manualLayout>
                  <c:x val="-5.5144879557460821E-2"/>
                  <c:y val="0.23988068213259206"/>
                </c:manualLayout>
              </c:layout>
              <c:dLblPos val="r"/>
              <c:showLegendKey val="0"/>
              <c:showVal val="1"/>
              <c:showCatName val="0"/>
              <c:showSerName val="0"/>
              <c:showPercent val="0"/>
              <c:showBubbleSize val="0"/>
            </c:dLbl>
            <c:dLbl>
              <c:idx val="6"/>
              <c:layout>
                <c:manualLayout>
                  <c:x val="-5.7529243812472285E-2"/>
                  <c:y val="0.24738681414306471"/>
                </c:manualLayout>
              </c:layout>
              <c:dLblPos val="r"/>
              <c:showLegendKey val="0"/>
              <c:showVal val="1"/>
              <c:showCatName val="0"/>
              <c:showSerName val="0"/>
              <c:showPercent val="0"/>
              <c:showBubbleSize val="0"/>
            </c:dLbl>
            <c:dLbl>
              <c:idx val="7"/>
              <c:layout>
                <c:manualLayout>
                  <c:x val="-4.8538391258570894E-2"/>
                  <c:y val="0.22220514973867209"/>
                </c:manualLayout>
              </c:layout>
              <c:dLblPos val="r"/>
              <c:showLegendKey val="0"/>
              <c:showVal val="1"/>
              <c:showCatName val="0"/>
              <c:showSerName val="0"/>
              <c:showPercent val="0"/>
              <c:showBubbleSize val="0"/>
            </c:dLbl>
            <c:dLbl>
              <c:idx val="8"/>
              <c:layout>
                <c:manualLayout>
                  <c:x val="-3.4376736899311387E-2"/>
                  <c:y val="0.18431180972159381"/>
                </c:manualLayout>
              </c:layout>
              <c:dLblPos val="r"/>
              <c:showLegendKey val="0"/>
              <c:showVal val="1"/>
              <c:showCatName val="0"/>
              <c:showSerName val="0"/>
              <c:showPercent val="0"/>
              <c:showBubbleSize val="0"/>
            </c:dLbl>
            <c:dLbl>
              <c:idx val="9"/>
              <c:layout>
                <c:manualLayout>
                  <c:x val="-3.1590470337363168E-2"/>
                  <c:y val="0.18830680559307927"/>
                </c:manualLayout>
              </c:layout>
              <c:dLblPos val="r"/>
              <c:showLegendKey val="0"/>
              <c:showVal val="1"/>
              <c:showCatName val="0"/>
              <c:showSerName val="0"/>
              <c:showPercent val="0"/>
              <c:showBubbleSize val="0"/>
            </c:dLbl>
            <c:spPr>
              <a:noFill/>
              <a:ln w="25338">
                <a:noFill/>
              </a:ln>
            </c:spPr>
            <c:txPr>
              <a:bodyPr/>
              <a:lstStyle/>
              <a:p>
                <a:pPr>
                  <a:defRPr sz="998"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numRef>
              <c:f>Sheet3!$A$72:$A$81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Sheet3!$C$72:$C$81</c:f>
              <c:numCache>
                <c:formatCode>General</c:formatCode>
                <c:ptCount val="10"/>
                <c:pt idx="0">
                  <c:v>3521</c:v>
                </c:pt>
                <c:pt idx="1">
                  <c:v>4087</c:v>
                </c:pt>
                <c:pt idx="2">
                  <c:v>4405</c:v>
                </c:pt>
                <c:pt idx="3">
                  <c:v>4689</c:v>
                </c:pt>
                <c:pt idx="4">
                  <c:v>5011</c:v>
                </c:pt>
                <c:pt idx="5">
                  <c:v>5371</c:v>
                </c:pt>
                <c:pt idx="6">
                  <c:v>5573</c:v>
                </c:pt>
                <c:pt idx="7">
                  <c:v>5715</c:v>
                </c:pt>
                <c:pt idx="8">
                  <c:v>5808</c:v>
                </c:pt>
                <c:pt idx="9">
                  <c:v>5953</c:v>
                </c:pt>
              </c:numCache>
            </c:numRef>
          </c:val>
          <c:smooth val="0"/>
        </c:ser>
        <c:dLbls>
          <c:showLegendKey val="0"/>
          <c:showVal val="1"/>
          <c:showCatName val="0"/>
          <c:showSerName val="0"/>
          <c:showPercent val="0"/>
          <c:showBubbleSize val="0"/>
        </c:dLbls>
        <c:marker val="1"/>
        <c:smooth val="0"/>
        <c:axId val="24806144"/>
        <c:axId val="24807680"/>
      </c:lineChart>
      <c:catAx>
        <c:axId val="24773376"/>
        <c:scaling>
          <c:orientation val="minMax"/>
        </c:scaling>
        <c:delete val="0"/>
        <c:axPos val="b"/>
        <c:numFmt formatCode="General" sourceLinked="1"/>
        <c:majorTickMark val="cross"/>
        <c:minorTickMark val="none"/>
        <c:tickLblPos val="nextTo"/>
        <c:spPr>
          <a:ln w="3167">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lt-LT"/>
          </a:p>
        </c:txPr>
        <c:crossAx val="24775680"/>
        <c:crosses val="autoZero"/>
        <c:auto val="0"/>
        <c:lblAlgn val="ctr"/>
        <c:lblOffset val="100"/>
        <c:tickLblSkip val="1"/>
        <c:tickMarkSkip val="1"/>
        <c:noMultiLvlLbl val="0"/>
      </c:catAx>
      <c:valAx>
        <c:axId val="24775680"/>
        <c:scaling>
          <c:orientation val="minMax"/>
          <c:max val="250"/>
        </c:scaling>
        <c:delete val="0"/>
        <c:axPos val="l"/>
        <c:numFmt formatCode="General" sourceLinked="1"/>
        <c:majorTickMark val="cross"/>
        <c:minorTickMark val="none"/>
        <c:tickLblPos val="nextTo"/>
        <c:spPr>
          <a:ln w="3167">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lt-LT"/>
          </a:p>
        </c:txPr>
        <c:crossAx val="24773376"/>
        <c:crosses val="autoZero"/>
        <c:crossBetween val="between"/>
        <c:majorUnit val="50"/>
      </c:valAx>
      <c:catAx>
        <c:axId val="24806144"/>
        <c:scaling>
          <c:orientation val="minMax"/>
        </c:scaling>
        <c:delete val="1"/>
        <c:axPos val="b"/>
        <c:numFmt formatCode="General" sourceLinked="1"/>
        <c:majorTickMark val="out"/>
        <c:minorTickMark val="none"/>
        <c:tickLblPos val="nextTo"/>
        <c:crossAx val="24807680"/>
        <c:crosses val="autoZero"/>
        <c:auto val="0"/>
        <c:lblAlgn val="ctr"/>
        <c:lblOffset val="100"/>
        <c:noMultiLvlLbl val="0"/>
      </c:catAx>
      <c:valAx>
        <c:axId val="24807680"/>
        <c:scaling>
          <c:orientation val="minMax"/>
        </c:scaling>
        <c:delete val="0"/>
        <c:axPos val="r"/>
        <c:numFmt formatCode="General" sourceLinked="1"/>
        <c:majorTickMark val="cross"/>
        <c:minorTickMark val="none"/>
        <c:tickLblPos val="nextTo"/>
        <c:spPr>
          <a:ln w="3167">
            <a:solidFill>
              <a:srgbClr val="000000"/>
            </a:solidFill>
            <a:prstDash val="solid"/>
          </a:ln>
        </c:spPr>
        <c:txPr>
          <a:bodyPr rot="0" vert="horz"/>
          <a:lstStyle/>
          <a:p>
            <a:pPr>
              <a:defRPr sz="998" b="0" i="0" u="none" strike="noStrike" baseline="0">
                <a:solidFill>
                  <a:srgbClr val="000000"/>
                </a:solidFill>
                <a:latin typeface="Arial"/>
                <a:ea typeface="Arial"/>
                <a:cs typeface="Arial"/>
              </a:defRPr>
            </a:pPr>
            <a:endParaRPr lang="lt-LT"/>
          </a:p>
        </c:txPr>
        <c:crossAx val="24806144"/>
        <c:crosses val="max"/>
        <c:crossBetween val="between"/>
      </c:valAx>
      <c:spPr>
        <a:solidFill>
          <a:srgbClr val="FFFFFF"/>
        </a:solidFill>
        <a:ln w="12669">
          <a:solidFill>
            <a:srgbClr val="808080"/>
          </a:solidFill>
          <a:prstDash val="solid"/>
        </a:ln>
      </c:spPr>
    </c:plotArea>
    <c:legend>
      <c:legendPos val="b"/>
      <c:layout>
        <c:manualLayout>
          <c:xMode val="edge"/>
          <c:yMode val="edge"/>
          <c:x val="0.29989658738366082"/>
          <c:y val="0.95423728813559328"/>
          <c:w val="0.39193381592554294"/>
          <c:h val="4.0677966101694912E-2"/>
        </c:manualLayout>
      </c:layout>
      <c:overlay val="0"/>
      <c:spPr>
        <a:solidFill>
          <a:srgbClr val="FFFFFF"/>
        </a:solidFill>
        <a:ln w="3167">
          <a:solidFill>
            <a:srgbClr val="000000"/>
          </a:solidFill>
          <a:prstDash val="solid"/>
        </a:ln>
      </c:spPr>
      <c:txPr>
        <a:bodyPr/>
        <a:lstStyle/>
        <a:p>
          <a:pPr>
            <a:defRPr sz="918" b="0"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998" b="0" i="0" u="none" strike="noStrike" baseline="0">
          <a:solidFill>
            <a:srgbClr val="000000"/>
          </a:solidFill>
          <a:latin typeface="Arial"/>
          <a:ea typeface="Arial"/>
          <a:cs typeface="Arial"/>
        </a:defRPr>
      </a:pPr>
      <a:endParaRPr lang="lt-LT"/>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22222222222222"/>
          <c:y val="9.0534979423868317E-2"/>
          <c:w val="0.81111111111111112"/>
          <c:h val="0.51851851851851849"/>
        </c:manualLayout>
      </c:layout>
      <c:lineChart>
        <c:grouping val="standard"/>
        <c:varyColors val="0"/>
        <c:ser>
          <c:idx val="0"/>
          <c:order val="0"/>
          <c:tx>
            <c:strRef>
              <c:f>Sheet1!$B$3</c:f>
              <c:strCache>
                <c:ptCount val="1"/>
                <c:pt idx="0">
                  <c:v>Iš viso</c:v>
                </c:pt>
              </c:strCache>
            </c:strRef>
          </c:tx>
          <c:spPr>
            <a:ln w="12700">
              <a:solidFill>
                <a:srgbClr val="000080"/>
              </a:solidFill>
              <a:prstDash val="solid"/>
            </a:ln>
          </c:spPr>
          <c:marker>
            <c:symbol val="diamond"/>
            <c:size val="4"/>
            <c:spPr>
              <a:solidFill>
                <a:srgbClr val="000080"/>
              </a:solidFill>
              <a:ln>
                <a:solidFill>
                  <a:srgbClr val="000080"/>
                </a:solidFill>
                <a:prstDash val="solid"/>
              </a:ln>
            </c:spPr>
          </c:marker>
          <c:cat>
            <c:numRef>
              <c:f>Sheet1!$A$4:$A$13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Sheet1!$B$4:$B$13</c:f>
              <c:numCache>
                <c:formatCode>General</c:formatCode>
                <c:ptCount val="10"/>
                <c:pt idx="0">
                  <c:v>101</c:v>
                </c:pt>
                <c:pt idx="1">
                  <c:v>117.6</c:v>
                </c:pt>
                <c:pt idx="2">
                  <c:v>127.2</c:v>
                </c:pt>
                <c:pt idx="3">
                  <c:v>136.1</c:v>
                </c:pt>
                <c:pt idx="4">
                  <c:v>145.4</c:v>
                </c:pt>
                <c:pt idx="5">
                  <c:v>157.80000000000001</c:v>
                </c:pt>
                <c:pt idx="6">
                  <c:v>162.69999999999999</c:v>
                </c:pt>
                <c:pt idx="7">
                  <c:v>168.8</c:v>
                </c:pt>
                <c:pt idx="8">
                  <c:v>172.5</c:v>
                </c:pt>
                <c:pt idx="9">
                  <c:v>178.9</c:v>
                </c:pt>
              </c:numCache>
            </c:numRef>
          </c:val>
          <c:smooth val="0"/>
        </c:ser>
        <c:ser>
          <c:idx val="1"/>
          <c:order val="1"/>
          <c:tx>
            <c:strRef>
              <c:f>Sheet1!$C$3</c:f>
              <c:strCache>
                <c:ptCount val="1"/>
                <c:pt idx="0">
                  <c:v>Moterys</c:v>
                </c:pt>
              </c:strCache>
            </c:strRef>
          </c:tx>
          <c:spPr>
            <a:ln w="12700">
              <a:solidFill>
                <a:srgbClr val="FF00FF"/>
              </a:solidFill>
              <a:prstDash val="solid"/>
            </a:ln>
          </c:spPr>
          <c:marker>
            <c:symbol val="square"/>
            <c:size val="4"/>
            <c:spPr>
              <a:solidFill>
                <a:srgbClr val="FF00FF"/>
              </a:solidFill>
              <a:ln>
                <a:solidFill>
                  <a:srgbClr val="FF00FF"/>
                </a:solidFill>
                <a:prstDash val="solid"/>
              </a:ln>
            </c:spPr>
          </c:marker>
          <c:cat>
            <c:numRef>
              <c:f>Sheet1!$A$4:$A$13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Sheet1!$C$4:$C$13</c:f>
              <c:numCache>
                <c:formatCode>General</c:formatCode>
                <c:ptCount val="10"/>
                <c:pt idx="0">
                  <c:v>35.200000000000003</c:v>
                </c:pt>
                <c:pt idx="1">
                  <c:v>39.700000000000003</c:v>
                </c:pt>
                <c:pt idx="2">
                  <c:v>43.6</c:v>
                </c:pt>
                <c:pt idx="3">
                  <c:v>47</c:v>
                </c:pt>
                <c:pt idx="4">
                  <c:v>50.1</c:v>
                </c:pt>
                <c:pt idx="5">
                  <c:v>54.6</c:v>
                </c:pt>
                <c:pt idx="6">
                  <c:v>57.7</c:v>
                </c:pt>
                <c:pt idx="7">
                  <c:v>59.6</c:v>
                </c:pt>
                <c:pt idx="8">
                  <c:v>60.8</c:v>
                </c:pt>
                <c:pt idx="9">
                  <c:v>62.9</c:v>
                </c:pt>
              </c:numCache>
            </c:numRef>
          </c:val>
          <c:smooth val="0"/>
        </c:ser>
        <c:ser>
          <c:idx val="2"/>
          <c:order val="2"/>
          <c:tx>
            <c:strRef>
              <c:f>Sheet1!$D$3</c:f>
              <c:strCache>
                <c:ptCount val="1"/>
                <c:pt idx="0">
                  <c:v>Vyrai</c:v>
                </c:pt>
              </c:strCache>
            </c:strRef>
          </c:tx>
          <c:spPr>
            <a:ln w="12700">
              <a:solidFill>
                <a:srgbClr val="FFFF00"/>
              </a:solidFill>
              <a:prstDash val="solid"/>
            </a:ln>
          </c:spPr>
          <c:marker>
            <c:symbol val="triangle"/>
            <c:size val="4"/>
            <c:spPr>
              <a:solidFill>
                <a:srgbClr val="FFFF00"/>
              </a:solidFill>
              <a:ln>
                <a:solidFill>
                  <a:srgbClr val="FFFF00"/>
                </a:solidFill>
                <a:prstDash val="solid"/>
              </a:ln>
            </c:spPr>
          </c:marker>
          <c:cat>
            <c:numRef>
              <c:f>Sheet1!$A$4:$A$13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Sheet1!$D$4:$D$13</c:f>
              <c:numCache>
                <c:formatCode>General</c:formatCode>
                <c:ptCount val="10"/>
                <c:pt idx="0">
                  <c:v>175.9</c:v>
                </c:pt>
                <c:pt idx="1">
                  <c:v>206.3</c:v>
                </c:pt>
                <c:pt idx="2">
                  <c:v>222.6</c:v>
                </c:pt>
                <c:pt idx="3">
                  <c:v>237.7</c:v>
                </c:pt>
                <c:pt idx="4">
                  <c:v>254.2</c:v>
                </c:pt>
                <c:pt idx="5">
                  <c:v>273.60000000000002</c:v>
                </c:pt>
                <c:pt idx="6">
                  <c:v>287.2</c:v>
                </c:pt>
                <c:pt idx="7">
                  <c:v>294.10000000000002</c:v>
                </c:pt>
                <c:pt idx="8">
                  <c:v>298.5</c:v>
                </c:pt>
                <c:pt idx="9">
                  <c:v>309.60000000000002</c:v>
                </c:pt>
              </c:numCache>
            </c:numRef>
          </c:val>
          <c:smooth val="0"/>
        </c:ser>
        <c:dLbls>
          <c:showLegendKey val="0"/>
          <c:showVal val="0"/>
          <c:showCatName val="0"/>
          <c:showSerName val="0"/>
          <c:showPercent val="0"/>
          <c:showBubbleSize val="0"/>
        </c:dLbls>
        <c:marker val="1"/>
        <c:smooth val="0"/>
        <c:axId val="24858624"/>
        <c:axId val="24860544"/>
      </c:lineChart>
      <c:catAx>
        <c:axId val="2485862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lt-LT"/>
          </a:p>
        </c:txPr>
        <c:crossAx val="24860544"/>
        <c:crosses val="autoZero"/>
        <c:auto val="0"/>
        <c:lblAlgn val="ctr"/>
        <c:lblOffset val="100"/>
        <c:tickMarkSkip val="1"/>
        <c:noMultiLvlLbl val="0"/>
      </c:catAx>
      <c:valAx>
        <c:axId val="2486054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lt-LT"/>
          </a:p>
        </c:txPr>
        <c:crossAx val="24858624"/>
        <c:crosses val="autoZero"/>
        <c:crossBetween val="between"/>
      </c:valAx>
      <c:dTable>
        <c:showHorzBorder val="1"/>
        <c:showVertBorder val="1"/>
        <c:showOutline val="1"/>
        <c:showKeys val="1"/>
        <c:spPr>
          <a:ln w="3175">
            <a:solidFill>
              <a:srgbClr val="000000"/>
            </a:solidFill>
            <a:prstDash val="solid"/>
          </a:ln>
        </c:spPr>
        <c:txPr>
          <a:bodyPr/>
          <a:lstStyle/>
          <a:p>
            <a:pPr rtl="0">
              <a:defRPr sz="900"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lt-LT"/>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25114155251141"/>
          <c:y val="0.11406844106463879"/>
          <c:w val="0.82952815829528159"/>
          <c:h val="0.53992395437262353"/>
        </c:manualLayout>
      </c:layout>
      <c:lineChart>
        <c:grouping val="standard"/>
        <c:varyColors val="0"/>
        <c:ser>
          <c:idx val="0"/>
          <c:order val="0"/>
          <c:tx>
            <c:strRef>
              <c:f>Sheet1!$B$1</c:f>
              <c:strCache>
                <c:ptCount val="1"/>
                <c:pt idx="0">
                  <c:v>Iš viso</c:v>
                </c:pt>
              </c:strCache>
            </c:strRef>
          </c:tx>
          <c:spPr>
            <a:ln w="12700">
              <a:solidFill>
                <a:srgbClr val="000080"/>
              </a:solidFill>
              <a:prstDash val="solid"/>
            </a:ln>
          </c:spPr>
          <c:marker>
            <c:symbol val="diamond"/>
            <c:size val="4"/>
            <c:spPr>
              <a:solidFill>
                <a:srgbClr val="000080"/>
              </a:solidFill>
              <a:ln>
                <a:solidFill>
                  <a:srgbClr val="000080"/>
                </a:solidFill>
                <a:prstDash val="solid"/>
              </a:ln>
            </c:spPr>
          </c:marker>
          <c:cat>
            <c:numRef>
              <c:f>Sheet1!$A$4:$A$13</c:f>
              <c:numCache>
                <c:formatCode>General</c:formatCode>
                <c:ptCount val="10"/>
                <c:pt idx="0">
                  <c:v>2001</c:v>
                </c:pt>
                <c:pt idx="1">
                  <c:v>2002</c:v>
                </c:pt>
                <c:pt idx="2">
                  <c:v>2003</c:v>
                </c:pt>
                <c:pt idx="3">
                  <c:v>2004</c:v>
                </c:pt>
                <c:pt idx="4">
                  <c:v>2005</c:v>
                </c:pt>
                <c:pt idx="5">
                  <c:v>2006</c:v>
                </c:pt>
                <c:pt idx="6">
                  <c:v>2007</c:v>
                </c:pt>
                <c:pt idx="7">
                  <c:v>2008</c:v>
                </c:pt>
                <c:pt idx="8">
                  <c:v>2009</c:v>
                </c:pt>
                <c:pt idx="9">
                  <c:v>2010</c:v>
                </c:pt>
              </c:numCache>
            </c:numRef>
          </c:cat>
          <c:val>
            <c:numRef>
              <c:f>Sheet1!$B$4:$B$13</c:f>
              <c:numCache>
                <c:formatCode>General</c:formatCode>
                <c:ptCount val="10"/>
                <c:pt idx="0">
                  <c:v>3521</c:v>
                </c:pt>
                <c:pt idx="1">
                  <c:v>4087</c:v>
                </c:pt>
                <c:pt idx="2">
                  <c:v>4405</c:v>
                </c:pt>
                <c:pt idx="3">
                  <c:v>4689</c:v>
                </c:pt>
                <c:pt idx="4">
                  <c:v>5011</c:v>
                </c:pt>
                <c:pt idx="5">
                  <c:v>5371</c:v>
                </c:pt>
                <c:pt idx="6">
                  <c:v>5573</c:v>
                </c:pt>
                <c:pt idx="7">
                  <c:v>5715</c:v>
                </c:pt>
                <c:pt idx="8">
                  <c:v>5808</c:v>
                </c:pt>
                <c:pt idx="9">
                  <c:v>5953</c:v>
                </c:pt>
              </c:numCache>
            </c:numRef>
          </c:val>
          <c:smooth val="0"/>
        </c:ser>
        <c:ser>
          <c:idx val="1"/>
          <c:order val="1"/>
          <c:tx>
            <c:strRef>
              <c:f>Sheet1!$C$1</c:f>
              <c:strCache>
                <c:ptCount val="1"/>
                <c:pt idx="0">
                  <c:v>Moterys</c:v>
                </c:pt>
              </c:strCache>
            </c:strRef>
          </c:tx>
          <c:spPr>
            <a:ln w="12700">
              <a:solidFill>
                <a:srgbClr val="FF00FF"/>
              </a:solidFill>
              <a:prstDash val="solid"/>
            </a:ln>
          </c:spPr>
          <c:marker>
            <c:symbol val="square"/>
            <c:size val="4"/>
            <c:spPr>
              <a:solidFill>
                <a:srgbClr val="FF00FF"/>
              </a:solidFill>
              <a:ln>
                <a:solidFill>
                  <a:srgbClr val="FF00FF"/>
                </a:solidFill>
                <a:prstDash val="solid"/>
              </a:ln>
            </c:spPr>
          </c:marker>
          <c:cat>
            <c:numRef>
              <c:f>Sheet1!$A$4:$A$13</c:f>
              <c:numCache>
                <c:formatCode>General</c:formatCode>
                <c:ptCount val="10"/>
                <c:pt idx="0">
                  <c:v>2001</c:v>
                </c:pt>
                <c:pt idx="1">
                  <c:v>2002</c:v>
                </c:pt>
                <c:pt idx="2">
                  <c:v>2003</c:v>
                </c:pt>
                <c:pt idx="3">
                  <c:v>2004</c:v>
                </c:pt>
                <c:pt idx="4">
                  <c:v>2005</c:v>
                </c:pt>
                <c:pt idx="5">
                  <c:v>2006</c:v>
                </c:pt>
                <c:pt idx="6">
                  <c:v>2007</c:v>
                </c:pt>
                <c:pt idx="7">
                  <c:v>2008</c:v>
                </c:pt>
                <c:pt idx="8">
                  <c:v>2009</c:v>
                </c:pt>
                <c:pt idx="9">
                  <c:v>2010</c:v>
                </c:pt>
              </c:numCache>
            </c:numRef>
          </c:cat>
          <c:val>
            <c:numRef>
              <c:f>Sheet1!$C$4:$C$13</c:f>
              <c:numCache>
                <c:formatCode>General</c:formatCode>
                <c:ptCount val="10"/>
                <c:pt idx="0">
                  <c:v>653</c:v>
                </c:pt>
                <c:pt idx="1">
                  <c:v>735</c:v>
                </c:pt>
                <c:pt idx="2">
                  <c:v>805</c:v>
                </c:pt>
                <c:pt idx="3">
                  <c:v>865</c:v>
                </c:pt>
                <c:pt idx="4">
                  <c:v>917</c:v>
                </c:pt>
                <c:pt idx="5">
                  <c:v>999</c:v>
                </c:pt>
                <c:pt idx="6">
                  <c:v>1044</c:v>
                </c:pt>
                <c:pt idx="7">
                  <c:v>1077</c:v>
                </c:pt>
                <c:pt idx="8">
                  <c:v>1100</c:v>
                </c:pt>
                <c:pt idx="9">
                  <c:v>1127</c:v>
                </c:pt>
              </c:numCache>
            </c:numRef>
          </c:val>
          <c:smooth val="0"/>
        </c:ser>
        <c:ser>
          <c:idx val="2"/>
          <c:order val="2"/>
          <c:tx>
            <c:strRef>
              <c:f>Sheet1!$D$1</c:f>
              <c:strCache>
                <c:ptCount val="1"/>
                <c:pt idx="0">
                  <c:v>Vyrai</c:v>
                </c:pt>
              </c:strCache>
            </c:strRef>
          </c:tx>
          <c:spPr>
            <a:ln w="12700">
              <a:solidFill>
                <a:srgbClr val="FFFF00"/>
              </a:solidFill>
              <a:prstDash val="solid"/>
            </a:ln>
          </c:spPr>
          <c:marker>
            <c:symbol val="triangle"/>
            <c:size val="4"/>
            <c:spPr>
              <a:solidFill>
                <a:srgbClr val="FFFF00"/>
              </a:solidFill>
              <a:ln>
                <a:solidFill>
                  <a:srgbClr val="FFFF00"/>
                </a:solidFill>
                <a:prstDash val="solid"/>
              </a:ln>
            </c:spPr>
          </c:marker>
          <c:cat>
            <c:numRef>
              <c:f>Sheet1!$A$4:$A$13</c:f>
              <c:numCache>
                <c:formatCode>General</c:formatCode>
                <c:ptCount val="10"/>
                <c:pt idx="0">
                  <c:v>2001</c:v>
                </c:pt>
                <c:pt idx="1">
                  <c:v>2002</c:v>
                </c:pt>
                <c:pt idx="2">
                  <c:v>2003</c:v>
                </c:pt>
                <c:pt idx="3">
                  <c:v>2004</c:v>
                </c:pt>
                <c:pt idx="4">
                  <c:v>2005</c:v>
                </c:pt>
                <c:pt idx="5">
                  <c:v>2006</c:v>
                </c:pt>
                <c:pt idx="6">
                  <c:v>2007</c:v>
                </c:pt>
                <c:pt idx="7">
                  <c:v>2008</c:v>
                </c:pt>
                <c:pt idx="8">
                  <c:v>2009</c:v>
                </c:pt>
                <c:pt idx="9">
                  <c:v>2010</c:v>
                </c:pt>
              </c:numCache>
            </c:numRef>
          </c:cat>
          <c:val>
            <c:numRef>
              <c:f>Sheet1!$D$4:$D$13</c:f>
              <c:numCache>
                <c:formatCode>General</c:formatCode>
                <c:ptCount val="10"/>
                <c:pt idx="0">
                  <c:v>2868</c:v>
                </c:pt>
                <c:pt idx="1">
                  <c:v>3352</c:v>
                </c:pt>
                <c:pt idx="2">
                  <c:v>3600</c:v>
                </c:pt>
                <c:pt idx="3">
                  <c:v>3824</c:v>
                </c:pt>
                <c:pt idx="4">
                  <c:v>4094</c:v>
                </c:pt>
                <c:pt idx="5">
                  <c:v>4372</c:v>
                </c:pt>
                <c:pt idx="6">
                  <c:v>4529</c:v>
                </c:pt>
                <c:pt idx="7">
                  <c:v>4638</c:v>
                </c:pt>
                <c:pt idx="8">
                  <c:v>4708</c:v>
                </c:pt>
                <c:pt idx="9">
                  <c:v>4827</c:v>
                </c:pt>
              </c:numCache>
            </c:numRef>
          </c:val>
          <c:smooth val="0"/>
        </c:ser>
        <c:dLbls>
          <c:showLegendKey val="0"/>
          <c:showVal val="0"/>
          <c:showCatName val="0"/>
          <c:showSerName val="0"/>
          <c:showPercent val="0"/>
          <c:showBubbleSize val="0"/>
        </c:dLbls>
        <c:marker val="1"/>
        <c:smooth val="0"/>
        <c:axId val="106246144"/>
        <c:axId val="106248064"/>
      </c:lineChart>
      <c:catAx>
        <c:axId val="1062461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248064"/>
        <c:crosses val="autoZero"/>
        <c:auto val="0"/>
        <c:lblAlgn val="ctr"/>
        <c:lblOffset val="100"/>
        <c:tickMarkSkip val="1"/>
        <c:noMultiLvlLbl val="0"/>
      </c:catAx>
      <c:valAx>
        <c:axId val="10624806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246144"/>
        <c:crosses val="autoZero"/>
        <c:crossBetween val="between"/>
      </c:valAx>
      <c:dTable>
        <c:showHorzBorder val="1"/>
        <c:showVertBorder val="1"/>
        <c:showOutline val="1"/>
        <c:showKeys val="1"/>
        <c:spPr>
          <a:ln w="3175">
            <a:solidFill>
              <a:srgbClr val="000000"/>
            </a:solidFill>
            <a:prstDash val="solid"/>
          </a:ln>
        </c:spPr>
        <c:txPr>
          <a:bodyPr/>
          <a:lstStyle/>
          <a:p>
            <a:pPr rtl="0">
              <a:defRPr sz="975"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lt-LT"/>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18628912071536"/>
          <c:y val="8.0419580419580416E-2"/>
          <c:w val="0.74664679582712368"/>
          <c:h val="0.49650349650349651"/>
        </c:manualLayout>
      </c:layout>
      <c:barChart>
        <c:barDir val="col"/>
        <c:grouping val="clustered"/>
        <c:varyColors val="0"/>
        <c:ser>
          <c:idx val="0"/>
          <c:order val="0"/>
          <c:tx>
            <c:strRef>
              <c:f>Sheet1!$B$1</c:f>
              <c:strCache>
                <c:ptCount val="1"/>
                <c:pt idx="0">
                  <c:v>Iš viso</c:v>
                </c:pt>
              </c:strCache>
            </c:strRef>
          </c:tx>
          <c:spPr>
            <a:solidFill>
              <a:srgbClr val="9999FF"/>
            </a:solidFill>
            <a:ln w="12700">
              <a:solidFill>
                <a:srgbClr val="000000"/>
              </a:solidFill>
              <a:prstDash val="solid"/>
            </a:ln>
          </c:spPr>
          <c:invertIfNegative val="0"/>
          <c:cat>
            <c:strRef>
              <c:f>Sheet1!$A$2:$A$13</c:f>
              <c:strCache>
                <c:ptCount val="12"/>
                <c:pt idx="0">
                  <c:v>&lt;15</c:v>
                </c:pt>
                <c:pt idx="1">
                  <c:v>15-19</c:v>
                </c:pt>
                <c:pt idx="2">
                  <c:v>20-24</c:v>
                </c:pt>
                <c:pt idx="3">
                  <c:v>25-29</c:v>
                </c:pt>
                <c:pt idx="4">
                  <c:v>30-34</c:v>
                </c:pt>
                <c:pt idx="5">
                  <c:v>35-39</c:v>
                </c:pt>
                <c:pt idx="6">
                  <c:v>40-44</c:v>
                </c:pt>
                <c:pt idx="7">
                  <c:v>45-49</c:v>
                </c:pt>
                <c:pt idx="8">
                  <c:v>50-54</c:v>
                </c:pt>
                <c:pt idx="9">
                  <c:v>55-59</c:v>
                </c:pt>
                <c:pt idx="10">
                  <c:v>60-64</c:v>
                </c:pt>
                <c:pt idx="11">
                  <c:v>65&gt;</c:v>
                </c:pt>
              </c:strCache>
            </c:strRef>
          </c:cat>
          <c:val>
            <c:numRef>
              <c:f>Sheet1!$B$2:$B$13</c:f>
              <c:numCache>
                <c:formatCode>General</c:formatCode>
                <c:ptCount val="12"/>
                <c:pt idx="0">
                  <c:v>0</c:v>
                </c:pt>
                <c:pt idx="1">
                  <c:v>78</c:v>
                </c:pt>
                <c:pt idx="2">
                  <c:v>744</c:v>
                </c:pt>
                <c:pt idx="3">
                  <c:v>1751</c:v>
                </c:pt>
                <c:pt idx="4">
                  <c:v>1492</c:v>
                </c:pt>
                <c:pt idx="5">
                  <c:v>838</c:v>
                </c:pt>
                <c:pt idx="6">
                  <c:v>479</c:v>
                </c:pt>
                <c:pt idx="7">
                  <c:v>336</c:v>
                </c:pt>
                <c:pt idx="8">
                  <c:v>159</c:v>
                </c:pt>
                <c:pt idx="9">
                  <c:v>47</c:v>
                </c:pt>
                <c:pt idx="10">
                  <c:v>20</c:v>
                </c:pt>
                <c:pt idx="11">
                  <c:v>10</c:v>
                </c:pt>
              </c:numCache>
            </c:numRef>
          </c:val>
        </c:ser>
        <c:ser>
          <c:idx val="1"/>
          <c:order val="1"/>
          <c:tx>
            <c:strRef>
              <c:f>Sheet1!$C$1</c:f>
              <c:strCache>
                <c:ptCount val="1"/>
                <c:pt idx="0">
                  <c:v>Moterys</c:v>
                </c:pt>
              </c:strCache>
            </c:strRef>
          </c:tx>
          <c:spPr>
            <a:solidFill>
              <a:srgbClr val="993366"/>
            </a:solidFill>
            <a:ln w="12700">
              <a:solidFill>
                <a:srgbClr val="000000"/>
              </a:solidFill>
              <a:prstDash val="solid"/>
            </a:ln>
          </c:spPr>
          <c:invertIfNegative val="0"/>
          <c:cat>
            <c:strRef>
              <c:f>Sheet1!$A$2:$A$13</c:f>
              <c:strCache>
                <c:ptCount val="12"/>
                <c:pt idx="0">
                  <c:v>&lt;15</c:v>
                </c:pt>
                <c:pt idx="1">
                  <c:v>15-19</c:v>
                </c:pt>
                <c:pt idx="2">
                  <c:v>20-24</c:v>
                </c:pt>
                <c:pt idx="3">
                  <c:v>25-29</c:v>
                </c:pt>
                <c:pt idx="4">
                  <c:v>30-34</c:v>
                </c:pt>
                <c:pt idx="5">
                  <c:v>35-39</c:v>
                </c:pt>
                <c:pt idx="6">
                  <c:v>40-44</c:v>
                </c:pt>
                <c:pt idx="7">
                  <c:v>45-49</c:v>
                </c:pt>
                <c:pt idx="8">
                  <c:v>50-54</c:v>
                </c:pt>
                <c:pt idx="9">
                  <c:v>55-59</c:v>
                </c:pt>
                <c:pt idx="10">
                  <c:v>60-64</c:v>
                </c:pt>
                <c:pt idx="11">
                  <c:v>65&gt;</c:v>
                </c:pt>
              </c:strCache>
            </c:strRef>
          </c:cat>
          <c:val>
            <c:numRef>
              <c:f>Sheet1!$C$2:$C$13</c:f>
              <c:numCache>
                <c:formatCode>General</c:formatCode>
                <c:ptCount val="12"/>
                <c:pt idx="0">
                  <c:v>0</c:v>
                </c:pt>
                <c:pt idx="1">
                  <c:v>25</c:v>
                </c:pt>
                <c:pt idx="2">
                  <c:v>175</c:v>
                </c:pt>
                <c:pt idx="3">
                  <c:v>348</c:v>
                </c:pt>
                <c:pt idx="4">
                  <c:v>237</c:v>
                </c:pt>
                <c:pt idx="5">
                  <c:v>136</c:v>
                </c:pt>
                <c:pt idx="6">
                  <c:v>92</c:v>
                </c:pt>
                <c:pt idx="7">
                  <c:v>63</c:v>
                </c:pt>
                <c:pt idx="8">
                  <c:v>29</c:v>
                </c:pt>
                <c:pt idx="9">
                  <c:v>12</c:v>
                </c:pt>
                <c:pt idx="10">
                  <c:v>3</c:v>
                </c:pt>
                <c:pt idx="11">
                  <c:v>7</c:v>
                </c:pt>
              </c:numCache>
            </c:numRef>
          </c:val>
        </c:ser>
        <c:ser>
          <c:idx val="2"/>
          <c:order val="2"/>
          <c:tx>
            <c:strRef>
              <c:f>Sheet1!$D$1</c:f>
              <c:strCache>
                <c:ptCount val="1"/>
                <c:pt idx="0">
                  <c:v>Vyrai</c:v>
                </c:pt>
              </c:strCache>
            </c:strRef>
          </c:tx>
          <c:spPr>
            <a:solidFill>
              <a:srgbClr val="FFFFCC"/>
            </a:solidFill>
            <a:ln w="12700">
              <a:solidFill>
                <a:srgbClr val="000000"/>
              </a:solidFill>
              <a:prstDash val="solid"/>
            </a:ln>
          </c:spPr>
          <c:invertIfNegative val="0"/>
          <c:cat>
            <c:strRef>
              <c:f>Sheet1!$A$2:$A$13</c:f>
              <c:strCache>
                <c:ptCount val="12"/>
                <c:pt idx="0">
                  <c:v>&lt;15</c:v>
                </c:pt>
                <c:pt idx="1">
                  <c:v>15-19</c:v>
                </c:pt>
                <c:pt idx="2">
                  <c:v>20-24</c:v>
                </c:pt>
                <c:pt idx="3">
                  <c:v>25-29</c:v>
                </c:pt>
                <c:pt idx="4">
                  <c:v>30-34</c:v>
                </c:pt>
                <c:pt idx="5">
                  <c:v>35-39</c:v>
                </c:pt>
                <c:pt idx="6">
                  <c:v>40-44</c:v>
                </c:pt>
                <c:pt idx="7">
                  <c:v>45-49</c:v>
                </c:pt>
                <c:pt idx="8">
                  <c:v>50-54</c:v>
                </c:pt>
                <c:pt idx="9">
                  <c:v>55-59</c:v>
                </c:pt>
                <c:pt idx="10">
                  <c:v>60-64</c:v>
                </c:pt>
                <c:pt idx="11">
                  <c:v>65&gt;</c:v>
                </c:pt>
              </c:strCache>
            </c:strRef>
          </c:cat>
          <c:val>
            <c:numRef>
              <c:f>Sheet1!$D$2:$D$13</c:f>
              <c:numCache>
                <c:formatCode>General</c:formatCode>
                <c:ptCount val="12"/>
                <c:pt idx="0">
                  <c:v>0</c:v>
                </c:pt>
                <c:pt idx="1">
                  <c:v>53</c:v>
                </c:pt>
                <c:pt idx="2">
                  <c:v>569</c:v>
                </c:pt>
                <c:pt idx="3">
                  <c:v>1403</c:v>
                </c:pt>
                <c:pt idx="4">
                  <c:v>1255</c:v>
                </c:pt>
                <c:pt idx="5">
                  <c:v>702</c:v>
                </c:pt>
                <c:pt idx="6">
                  <c:v>387</c:v>
                </c:pt>
                <c:pt idx="7">
                  <c:v>273</c:v>
                </c:pt>
                <c:pt idx="8">
                  <c:v>130</c:v>
                </c:pt>
                <c:pt idx="9">
                  <c:v>35</c:v>
                </c:pt>
                <c:pt idx="10">
                  <c:v>17</c:v>
                </c:pt>
                <c:pt idx="11">
                  <c:v>3</c:v>
                </c:pt>
              </c:numCache>
            </c:numRef>
          </c:val>
        </c:ser>
        <c:dLbls>
          <c:showLegendKey val="0"/>
          <c:showVal val="0"/>
          <c:showCatName val="0"/>
          <c:showSerName val="0"/>
          <c:showPercent val="0"/>
          <c:showBubbleSize val="0"/>
        </c:dLbls>
        <c:gapWidth val="150"/>
        <c:axId val="106287488"/>
        <c:axId val="106289024"/>
      </c:barChart>
      <c:catAx>
        <c:axId val="1062874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lt-LT"/>
          </a:p>
        </c:txPr>
        <c:crossAx val="106289024"/>
        <c:crosses val="autoZero"/>
        <c:auto val="0"/>
        <c:lblAlgn val="ctr"/>
        <c:lblOffset val="100"/>
        <c:tickMarkSkip val="1"/>
        <c:noMultiLvlLbl val="0"/>
      </c:catAx>
      <c:valAx>
        <c:axId val="10628902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lt-LT"/>
          </a:p>
        </c:txPr>
        <c:crossAx val="106287488"/>
        <c:crosses val="autoZero"/>
        <c:crossBetween val="between"/>
      </c:valAx>
      <c:dTable>
        <c:showHorzBorder val="1"/>
        <c:showVertBorder val="1"/>
        <c:showOutline val="1"/>
        <c:showKeys val="1"/>
        <c:spPr>
          <a:ln w="3175">
            <a:solidFill>
              <a:srgbClr val="000000"/>
            </a:solidFill>
            <a:prstDash val="solid"/>
          </a:ln>
        </c:spPr>
        <c:txPr>
          <a:bodyPr/>
          <a:lstStyle/>
          <a:p>
            <a:pPr rtl="0">
              <a:defRPr sz="1050"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legend>
      <c:legendPos val="r"/>
      <c:layout>
        <c:manualLayout>
          <c:xMode val="edge"/>
          <c:yMode val="edge"/>
          <c:x val="0.88673621460506702"/>
          <c:y val="0.20979020979020979"/>
          <c:w val="0.10730253353204174"/>
          <c:h val="0.23426573426573427"/>
        </c:manualLayout>
      </c:layout>
      <c:overlay val="0"/>
      <c:spPr>
        <a:solidFill>
          <a:srgbClr val="FFFFFF"/>
        </a:solidFill>
        <a:ln w="3175">
          <a:solidFill>
            <a:srgbClr val="000000"/>
          </a:solidFill>
          <a:prstDash val="solid"/>
        </a:ln>
      </c:spPr>
      <c:txPr>
        <a:bodyPr/>
        <a:lstStyle/>
        <a:p>
          <a:pPr>
            <a:defRPr sz="965" b="0" i="0" u="none" strike="noStrike" baseline="0">
              <a:solidFill>
                <a:srgbClr val="000000"/>
              </a:solidFill>
              <a:latin typeface="Arial"/>
              <a:ea typeface="Arial"/>
              <a:cs typeface="Arial"/>
            </a:defRPr>
          </a:pPr>
          <a:endParaRPr lang="lt-LT"/>
        </a:p>
      </c:txPr>
    </c:legend>
    <c:plotVisOnly val="1"/>
    <c:dispBlanksAs val="gap"/>
    <c:showDLblsOverMax val="0"/>
  </c:chart>
  <c:spPr>
    <a:solidFill>
      <a:srgbClr val="FFFFFF"/>
    </a:solidFill>
    <a:ln w="3175">
      <a:solidFill>
        <a:srgbClr val="FFFFFF"/>
      </a:solidFill>
      <a:prstDash val="solid"/>
    </a:ln>
  </c:spPr>
  <c:txPr>
    <a:bodyPr/>
    <a:lstStyle/>
    <a:p>
      <a:pPr>
        <a:defRPr sz="1050" b="0" i="0" u="none" strike="noStrike" baseline="0">
          <a:solidFill>
            <a:srgbClr val="000000"/>
          </a:solidFill>
          <a:latin typeface="Arial"/>
          <a:ea typeface="Arial"/>
          <a:cs typeface="Arial"/>
        </a:defRPr>
      </a:pPr>
      <a:endParaRPr lang="lt-LT"/>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52"/>
          <c:y val="7.371794871794872E-2"/>
          <c:w val="0.70879999999999999"/>
          <c:h val="0.625"/>
        </c:manualLayout>
      </c:layout>
      <c:barChart>
        <c:barDir val="col"/>
        <c:grouping val="clustered"/>
        <c:varyColors val="0"/>
        <c:ser>
          <c:idx val="0"/>
          <c:order val="0"/>
          <c:tx>
            <c:strRef>
              <c:f>Sheet1!$B$1</c:f>
              <c:strCache>
                <c:ptCount val="1"/>
                <c:pt idx="0">
                  <c:v>Ligotumas</c:v>
                </c:pt>
              </c:strCache>
            </c:strRef>
          </c:tx>
          <c:spPr>
            <a:solidFill>
              <a:srgbClr val="9999FF"/>
            </a:solidFill>
            <a:ln w="12660">
              <a:solidFill>
                <a:srgbClr val="000000"/>
              </a:solidFill>
              <a:prstDash val="solid"/>
            </a:ln>
          </c:spPr>
          <c:invertIfNegative val="0"/>
          <c:cat>
            <c:strRef>
              <c:f>Sheet1!$A$2:$A$11</c:f>
              <c:strCache>
                <c:ptCount val="10"/>
                <c:pt idx="0">
                  <c:v>Vilniaus</c:v>
                </c:pt>
                <c:pt idx="1">
                  <c:v>Klaipėdos</c:v>
                </c:pt>
                <c:pt idx="2">
                  <c:v>Utenos</c:v>
                </c:pt>
                <c:pt idx="3">
                  <c:v>Alytaus</c:v>
                </c:pt>
                <c:pt idx="4">
                  <c:v>Panevėžio</c:v>
                </c:pt>
                <c:pt idx="5">
                  <c:v>Kauno</c:v>
                </c:pt>
                <c:pt idx="6">
                  <c:v>Telšių</c:v>
                </c:pt>
                <c:pt idx="7">
                  <c:v>Šiaulių</c:v>
                </c:pt>
                <c:pt idx="8">
                  <c:v>Tauragės</c:v>
                </c:pt>
                <c:pt idx="9">
                  <c:v>Marijampolės</c:v>
                </c:pt>
              </c:strCache>
            </c:strRef>
          </c:cat>
          <c:val>
            <c:numRef>
              <c:f>Sheet1!$B$2:$B$11</c:f>
              <c:numCache>
                <c:formatCode>General</c:formatCode>
                <c:ptCount val="10"/>
                <c:pt idx="0">
                  <c:v>383.6</c:v>
                </c:pt>
                <c:pt idx="1">
                  <c:v>240.6</c:v>
                </c:pt>
                <c:pt idx="2">
                  <c:v>138</c:v>
                </c:pt>
                <c:pt idx="3">
                  <c:v>115.3</c:v>
                </c:pt>
                <c:pt idx="4">
                  <c:v>106.3</c:v>
                </c:pt>
                <c:pt idx="5">
                  <c:v>83.7</c:v>
                </c:pt>
                <c:pt idx="6">
                  <c:v>75.900000000000006</c:v>
                </c:pt>
                <c:pt idx="7">
                  <c:v>68.5</c:v>
                </c:pt>
                <c:pt idx="8">
                  <c:v>50.5</c:v>
                </c:pt>
                <c:pt idx="9">
                  <c:v>40.9</c:v>
                </c:pt>
              </c:numCache>
            </c:numRef>
          </c:val>
        </c:ser>
        <c:ser>
          <c:idx val="1"/>
          <c:order val="1"/>
          <c:tx>
            <c:strRef>
              <c:f>Sheet1!$C$1</c:f>
              <c:strCache>
                <c:ptCount val="1"/>
                <c:pt idx="0">
                  <c:v>Visi registruoti asmenys</c:v>
                </c:pt>
              </c:strCache>
            </c:strRef>
          </c:tx>
          <c:spPr>
            <a:solidFill>
              <a:srgbClr val="993366"/>
            </a:solidFill>
            <a:ln w="12660">
              <a:solidFill>
                <a:srgbClr val="000000"/>
              </a:solidFill>
              <a:prstDash val="solid"/>
            </a:ln>
          </c:spPr>
          <c:invertIfNegative val="0"/>
          <c:cat>
            <c:strRef>
              <c:f>Sheet1!$A$2:$A$11</c:f>
              <c:strCache>
                <c:ptCount val="10"/>
                <c:pt idx="0">
                  <c:v>Vilniaus</c:v>
                </c:pt>
                <c:pt idx="1">
                  <c:v>Klaipėdos</c:v>
                </c:pt>
                <c:pt idx="2">
                  <c:v>Utenos</c:v>
                </c:pt>
                <c:pt idx="3">
                  <c:v>Alytaus</c:v>
                </c:pt>
                <c:pt idx="4">
                  <c:v>Panevėžio</c:v>
                </c:pt>
                <c:pt idx="5">
                  <c:v>Kauno</c:v>
                </c:pt>
                <c:pt idx="6">
                  <c:v>Telšių</c:v>
                </c:pt>
                <c:pt idx="7">
                  <c:v>Šiaulių</c:v>
                </c:pt>
                <c:pt idx="8">
                  <c:v>Tauragės</c:v>
                </c:pt>
                <c:pt idx="9">
                  <c:v>Marijampolės</c:v>
                </c:pt>
              </c:strCache>
            </c:strRef>
          </c:cat>
          <c:val>
            <c:numRef>
              <c:f>Sheet1!$C$2:$C$11</c:f>
              <c:numCache>
                <c:formatCode>General</c:formatCode>
                <c:ptCount val="10"/>
                <c:pt idx="0">
                  <c:v>3262</c:v>
                </c:pt>
                <c:pt idx="1">
                  <c:v>906</c:v>
                </c:pt>
                <c:pt idx="2">
                  <c:v>232</c:v>
                </c:pt>
                <c:pt idx="3">
                  <c:v>200</c:v>
                </c:pt>
                <c:pt idx="4">
                  <c:v>296</c:v>
                </c:pt>
                <c:pt idx="5">
                  <c:v>558</c:v>
                </c:pt>
                <c:pt idx="6">
                  <c:v>130</c:v>
                </c:pt>
                <c:pt idx="7">
                  <c:v>234</c:v>
                </c:pt>
                <c:pt idx="8">
                  <c:v>63</c:v>
                </c:pt>
                <c:pt idx="9">
                  <c:v>73</c:v>
                </c:pt>
              </c:numCache>
            </c:numRef>
          </c:val>
        </c:ser>
        <c:dLbls>
          <c:showLegendKey val="0"/>
          <c:showVal val="0"/>
          <c:showCatName val="0"/>
          <c:showSerName val="0"/>
          <c:showPercent val="0"/>
          <c:showBubbleSize val="0"/>
        </c:dLbls>
        <c:gapWidth val="150"/>
        <c:axId val="106348544"/>
        <c:axId val="106350080"/>
      </c:barChart>
      <c:catAx>
        <c:axId val="106348544"/>
        <c:scaling>
          <c:orientation val="minMax"/>
        </c:scaling>
        <c:delete val="0"/>
        <c:axPos val="b"/>
        <c:numFmt formatCode="General" sourceLinked="1"/>
        <c:majorTickMark val="out"/>
        <c:minorTickMark val="none"/>
        <c:tickLblPos val="nextTo"/>
        <c:spPr>
          <a:ln w="3165">
            <a:solidFill>
              <a:srgbClr val="000000"/>
            </a:solidFill>
            <a:prstDash val="solid"/>
          </a:ln>
        </c:spPr>
        <c:txPr>
          <a:bodyPr rot="0" vert="horz"/>
          <a:lstStyle/>
          <a:p>
            <a:pPr>
              <a:defRPr sz="1146" b="0" i="0" u="none" strike="noStrike" baseline="0">
                <a:solidFill>
                  <a:srgbClr val="000000"/>
                </a:solidFill>
                <a:latin typeface="Arial"/>
                <a:ea typeface="Arial"/>
                <a:cs typeface="Arial"/>
              </a:defRPr>
            </a:pPr>
            <a:endParaRPr lang="lt-LT"/>
          </a:p>
        </c:txPr>
        <c:crossAx val="106350080"/>
        <c:crosses val="autoZero"/>
        <c:auto val="0"/>
        <c:lblAlgn val="ctr"/>
        <c:lblOffset val="100"/>
        <c:tickMarkSkip val="1"/>
        <c:noMultiLvlLbl val="0"/>
      </c:catAx>
      <c:valAx>
        <c:axId val="106350080"/>
        <c:scaling>
          <c:orientation val="minMax"/>
        </c:scaling>
        <c:delete val="0"/>
        <c:axPos val="l"/>
        <c:majorGridlines>
          <c:spPr>
            <a:ln w="3165">
              <a:solidFill>
                <a:srgbClr val="000000"/>
              </a:solidFill>
              <a:prstDash val="solid"/>
            </a:ln>
          </c:spPr>
        </c:majorGridlines>
        <c:numFmt formatCode="General" sourceLinked="1"/>
        <c:majorTickMark val="out"/>
        <c:minorTickMark val="none"/>
        <c:tickLblPos val="nextTo"/>
        <c:spPr>
          <a:ln w="3165">
            <a:solidFill>
              <a:srgbClr val="000000"/>
            </a:solidFill>
            <a:prstDash val="solid"/>
          </a:ln>
        </c:spPr>
        <c:txPr>
          <a:bodyPr rot="0" vert="horz"/>
          <a:lstStyle/>
          <a:p>
            <a:pPr>
              <a:defRPr sz="1146" b="0" i="0" u="none" strike="noStrike" baseline="0">
                <a:solidFill>
                  <a:srgbClr val="000000"/>
                </a:solidFill>
                <a:latin typeface="Arial"/>
                <a:ea typeface="Arial"/>
                <a:cs typeface="Arial"/>
              </a:defRPr>
            </a:pPr>
            <a:endParaRPr lang="lt-LT"/>
          </a:p>
        </c:txPr>
        <c:crossAx val="106348544"/>
        <c:crosses val="autoZero"/>
        <c:crossBetween val="between"/>
      </c:valAx>
      <c:dTable>
        <c:showHorzBorder val="1"/>
        <c:showVertBorder val="1"/>
        <c:showOutline val="1"/>
        <c:showKeys val="1"/>
        <c:spPr>
          <a:ln w="3165">
            <a:solidFill>
              <a:srgbClr val="000000"/>
            </a:solidFill>
            <a:prstDash val="solid"/>
          </a:ln>
        </c:spPr>
        <c:txPr>
          <a:bodyPr/>
          <a:lstStyle/>
          <a:p>
            <a:pPr rtl="0">
              <a:defRPr sz="947" b="0" i="0" u="none" strike="noStrike" baseline="0">
                <a:solidFill>
                  <a:srgbClr val="000000"/>
                </a:solidFill>
                <a:latin typeface="Arial"/>
                <a:ea typeface="Arial"/>
                <a:cs typeface="Arial"/>
              </a:defRPr>
            </a:pPr>
            <a:endParaRPr lang="lt-LT"/>
          </a:p>
        </c:txPr>
      </c:dTable>
      <c:spPr>
        <a:solidFill>
          <a:srgbClr val="C0C0C0"/>
        </a:solidFill>
        <a:ln w="12660">
          <a:solidFill>
            <a:srgbClr val="808080"/>
          </a:solidFill>
          <a:prstDash val="solid"/>
        </a:ln>
      </c:spPr>
    </c:plotArea>
    <c:plotVisOnly val="1"/>
    <c:dispBlanksAs val="gap"/>
    <c:showDLblsOverMax val="0"/>
  </c:chart>
  <c:spPr>
    <a:solidFill>
      <a:srgbClr val="FFFFFF"/>
    </a:solidFill>
    <a:ln w="3165">
      <a:solidFill>
        <a:srgbClr val="000000"/>
      </a:solidFill>
      <a:prstDash val="solid"/>
    </a:ln>
  </c:spPr>
  <c:txPr>
    <a:bodyPr/>
    <a:lstStyle/>
    <a:p>
      <a:pPr>
        <a:defRPr sz="1146" b="0" i="0" u="none" strike="noStrike" baseline="0">
          <a:solidFill>
            <a:srgbClr val="000000"/>
          </a:solidFill>
          <a:latin typeface="Arial"/>
          <a:ea typeface="Arial"/>
          <a:cs typeface="Arial"/>
        </a:defRPr>
      </a:pPr>
      <a:endParaRPr lang="lt-LT"/>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634850166481685"/>
          <c:y val="1.6313213703099511E-3"/>
          <c:w val="0.59489456159822418"/>
          <c:h val="0.93964110929853184"/>
        </c:manualLayout>
      </c:layout>
      <c:barChart>
        <c:barDir val="bar"/>
        <c:grouping val="clustered"/>
        <c:varyColors val="0"/>
        <c:ser>
          <c:idx val="1"/>
          <c:order val="0"/>
          <c:tx>
            <c:strRef>
              <c:f>Sheet1!$C$4</c:f>
              <c:strCache>
                <c:ptCount val="1"/>
                <c:pt idx="0">
                  <c:v>2007</c:v>
                </c:pt>
              </c:strCache>
            </c:strRef>
          </c:tx>
          <c:spPr>
            <a:solidFill>
              <a:srgbClr val="993366"/>
            </a:solidFill>
            <a:ln w="12664">
              <a:solidFill>
                <a:srgbClr val="000000"/>
              </a:solidFill>
              <a:prstDash val="solid"/>
            </a:ln>
          </c:spPr>
          <c:invertIfNegative val="0"/>
          <c:dLbls>
            <c:spPr>
              <a:noFill/>
              <a:ln w="25328">
                <a:noFill/>
              </a:ln>
            </c:spPr>
            <c:txPr>
              <a:bodyPr/>
              <a:lstStyle/>
              <a:p>
                <a:pPr>
                  <a:defRPr sz="1197"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Sheet1!$C$5:$C$12</c:f>
              <c:numCache>
                <c:formatCode>General</c:formatCode>
                <c:ptCount val="8"/>
                <c:pt idx="0">
                  <c:v>8</c:v>
                </c:pt>
                <c:pt idx="1">
                  <c:v>8</c:v>
                </c:pt>
                <c:pt idx="2">
                  <c:v>30</c:v>
                </c:pt>
                <c:pt idx="3">
                  <c:v>139</c:v>
                </c:pt>
                <c:pt idx="4">
                  <c:v>158</c:v>
                </c:pt>
                <c:pt idx="5">
                  <c:v>80</c:v>
                </c:pt>
                <c:pt idx="6">
                  <c:v>668</c:v>
                </c:pt>
                <c:pt idx="7">
                  <c:v>4481</c:v>
                </c:pt>
              </c:numCache>
            </c:numRef>
          </c:val>
        </c:ser>
        <c:ser>
          <c:idx val="2"/>
          <c:order val="1"/>
          <c:tx>
            <c:strRef>
              <c:f>Sheet1!$D$4</c:f>
              <c:strCache>
                <c:ptCount val="1"/>
                <c:pt idx="0">
                  <c:v>2008</c:v>
                </c:pt>
              </c:strCache>
            </c:strRef>
          </c:tx>
          <c:spPr>
            <a:solidFill>
              <a:srgbClr val="FFFFCC"/>
            </a:solidFill>
            <a:ln w="12664">
              <a:solidFill>
                <a:srgbClr val="000000"/>
              </a:solidFill>
              <a:prstDash val="solid"/>
            </a:ln>
          </c:spPr>
          <c:invertIfNegative val="0"/>
          <c:dLbls>
            <c:dLbl>
              <c:idx val="7"/>
              <c:layout>
                <c:manualLayout>
                  <c:x val="-7.3718974559573601E-3"/>
                  <c:y val="1.0948213567153073E-2"/>
                </c:manualLayout>
              </c:layout>
              <c:dLblPos val="outEnd"/>
              <c:showLegendKey val="0"/>
              <c:showVal val="1"/>
              <c:showCatName val="0"/>
              <c:showSerName val="0"/>
              <c:showPercent val="0"/>
              <c:showBubbleSize val="0"/>
            </c:dLbl>
            <c:spPr>
              <a:noFill/>
              <a:ln w="25328">
                <a:noFill/>
              </a:ln>
            </c:spPr>
            <c:txPr>
              <a:bodyPr/>
              <a:lstStyle/>
              <a:p>
                <a:pPr>
                  <a:defRPr sz="1197"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Sheet1!$D$5:$D$12</c:f>
              <c:numCache>
                <c:formatCode>General</c:formatCode>
                <c:ptCount val="8"/>
                <c:pt idx="0">
                  <c:v>9</c:v>
                </c:pt>
                <c:pt idx="1">
                  <c:v>7</c:v>
                </c:pt>
                <c:pt idx="2">
                  <c:v>34</c:v>
                </c:pt>
                <c:pt idx="3">
                  <c:v>146</c:v>
                </c:pt>
                <c:pt idx="4">
                  <c:v>146</c:v>
                </c:pt>
                <c:pt idx="5">
                  <c:v>69</c:v>
                </c:pt>
                <c:pt idx="6">
                  <c:v>688</c:v>
                </c:pt>
                <c:pt idx="7">
                  <c:v>4616</c:v>
                </c:pt>
              </c:numCache>
            </c:numRef>
          </c:val>
        </c:ser>
        <c:ser>
          <c:idx val="3"/>
          <c:order val="2"/>
          <c:tx>
            <c:strRef>
              <c:f>Sheet1!$E$4</c:f>
              <c:strCache>
                <c:ptCount val="1"/>
                <c:pt idx="0">
                  <c:v>2009</c:v>
                </c:pt>
              </c:strCache>
            </c:strRef>
          </c:tx>
          <c:spPr>
            <a:solidFill>
              <a:srgbClr val="CCFFFF"/>
            </a:solidFill>
            <a:ln w="12664">
              <a:solidFill>
                <a:srgbClr val="000000"/>
              </a:solidFill>
              <a:prstDash val="solid"/>
            </a:ln>
          </c:spPr>
          <c:invertIfNegative val="0"/>
          <c:dLbls>
            <c:dLbl>
              <c:idx val="7"/>
              <c:layout>
                <c:manualLayout>
                  <c:x val="-5.1657759307177781E-3"/>
                  <c:y val="1.5265252864407209E-2"/>
                </c:manualLayout>
              </c:layout>
              <c:dLblPos val="outEnd"/>
              <c:showLegendKey val="0"/>
              <c:showVal val="1"/>
              <c:showCatName val="0"/>
              <c:showSerName val="0"/>
              <c:showPercent val="0"/>
              <c:showBubbleSize val="0"/>
            </c:dLbl>
            <c:spPr>
              <a:noFill/>
              <a:ln w="25328">
                <a:noFill/>
              </a:ln>
            </c:spPr>
            <c:txPr>
              <a:bodyPr/>
              <a:lstStyle/>
              <a:p>
                <a:pPr>
                  <a:defRPr sz="1197"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Sheet1!$E$5:$E$12</c:f>
              <c:numCache>
                <c:formatCode>General</c:formatCode>
                <c:ptCount val="8"/>
                <c:pt idx="0">
                  <c:v>8</c:v>
                </c:pt>
                <c:pt idx="1">
                  <c:v>8</c:v>
                </c:pt>
                <c:pt idx="2">
                  <c:v>35</c:v>
                </c:pt>
                <c:pt idx="3">
                  <c:v>153</c:v>
                </c:pt>
                <c:pt idx="4">
                  <c:v>142</c:v>
                </c:pt>
                <c:pt idx="5">
                  <c:v>74</c:v>
                </c:pt>
                <c:pt idx="6">
                  <c:v>741</c:v>
                </c:pt>
                <c:pt idx="7">
                  <c:v>4647</c:v>
                </c:pt>
              </c:numCache>
            </c:numRef>
          </c:val>
        </c:ser>
        <c:ser>
          <c:idx val="0"/>
          <c:order val="3"/>
          <c:tx>
            <c:strRef>
              <c:f>Sheet1!$F$4</c:f>
              <c:strCache>
                <c:ptCount val="1"/>
                <c:pt idx="0">
                  <c:v>2010</c:v>
                </c:pt>
              </c:strCache>
            </c:strRef>
          </c:tx>
          <c:spPr>
            <a:solidFill>
              <a:srgbClr val="9999FF"/>
            </a:solidFill>
            <a:ln w="12664">
              <a:solidFill>
                <a:srgbClr val="000000"/>
              </a:solidFill>
              <a:prstDash val="solid"/>
            </a:ln>
          </c:spPr>
          <c:invertIfNegative val="0"/>
          <c:dLbls>
            <c:spPr>
              <a:noFill/>
              <a:ln w="25328">
                <a:noFill/>
              </a:ln>
            </c:spPr>
            <c:txPr>
              <a:bodyPr/>
              <a:lstStyle/>
              <a:p>
                <a:pPr>
                  <a:defRPr sz="1197"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Sheet1!$F$5:$F$12</c:f>
              <c:numCache>
                <c:formatCode>General</c:formatCode>
                <c:ptCount val="8"/>
                <c:pt idx="0">
                  <c:v>8</c:v>
                </c:pt>
                <c:pt idx="1">
                  <c:v>7</c:v>
                </c:pt>
                <c:pt idx="2">
                  <c:v>40</c:v>
                </c:pt>
                <c:pt idx="3">
                  <c:v>161</c:v>
                </c:pt>
                <c:pt idx="4">
                  <c:v>136</c:v>
                </c:pt>
                <c:pt idx="5">
                  <c:v>75</c:v>
                </c:pt>
                <c:pt idx="6">
                  <c:v>774</c:v>
                </c:pt>
                <c:pt idx="7">
                  <c:v>4752</c:v>
                </c:pt>
              </c:numCache>
            </c:numRef>
          </c:val>
        </c:ser>
        <c:dLbls>
          <c:showLegendKey val="0"/>
          <c:showVal val="1"/>
          <c:showCatName val="0"/>
          <c:showSerName val="0"/>
          <c:showPercent val="0"/>
          <c:showBubbleSize val="0"/>
        </c:dLbls>
        <c:gapWidth val="80"/>
        <c:axId val="106203392"/>
        <c:axId val="106213376"/>
      </c:barChart>
      <c:catAx>
        <c:axId val="106203392"/>
        <c:scaling>
          <c:orientation val="minMax"/>
        </c:scaling>
        <c:delete val="0"/>
        <c:axPos val="l"/>
        <c:numFmt formatCode="General" sourceLinked="1"/>
        <c:majorTickMark val="out"/>
        <c:minorTickMark val="none"/>
        <c:tickLblPos val="nextTo"/>
        <c:spPr>
          <a:ln w="3166">
            <a:solidFill>
              <a:srgbClr val="000000"/>
            </a:solidFill>
            <a:prstDash val="solid"/>
          </a:ln>
        </c:spPr>
        <c:txPr>
          <a:bodyPr rot="0" vert="horz"/>
          <a:lstStyle/>
          <a:p>
            <a:pPr>
              <a:defRPr sz="1197" b="0" i="0" u="none" strike="noStrike" baseline="0">
                <a:solidFill>
                  <a:srgbClr val="000000"/>
                </a:solidFill>
                <a:latin typeface="Arial"/>
                <a:ea typeface="Arial"/>
                <a:cs typeface="Arial"/>
              </a:defRPr>
            </a:pPr>
            <a:endParaRPr lang="lt-LT"/>
          </a:p>
        </c:txPr>
        <c:crossAx val="106213376"/>
        <c:crosses val="autoZero"/>
        <c:auto val="1"/>
        <c:lblAlgn val="ctr"/>
        <c:lblOffset val="100"/>
        <c:tickLblSkip val="1"/>
        <c:tickMarkSkip val="1"/>
        <c:noMultiLvlLbl val="0"/>
      </c:catAx>
      <c:valAx>
        <c:axId val="106213376"/>
        <c:scaling>
          <c:orientation val="minMax"/>
        </c:scaling>
        <c:delete val="0"/>
        <c:axPos val="b"/>
        <c:majorGridlines>
          <c:spPr>
            <a:ln w="3166">
              <a:solidFill>
                <a:srgbClr val="000000"/>
              </a:solidFill>
              <a:prstDash val="solid"/>
            </a:ln>
          </c:spPr>
        </c:majorGridlines>
        <c:numFmt formatCode="General" sourceLinked="1"/>
        <c:majorTickMark val="out"/>
        <c:minorTickMark val="none"/>
        <c:tickLblPos val="nextTo"/>
        <c:spPr>
          <a:ln w="3166">
            <a:solidFill>
              <a:srgbClr val="000000"/>
            </a:solidFill>
            <a:prstDash val="solid"/>
          </a:ln>
        </c:spPr>
        <c:txPr>
          <a:bodyPr rot="0" vert="horz"/>
          <a:lstStyle/>
          <a:p>
            <a:pPr>
              <a:defRPr sz="1197" b="0" i="0" u="none" strike="noStrike" baseline="0">
                <a:solidFill>
                  <a:srgbClr val="000000"/>
                </a:solidFill>
                <a:latin typeface="Arial"/>
                <a:ea typeface="Arial"/>
                <a:cs typeface="Arial"/>
              </a:defRPr>
            </a:pPr>
            <a:endParaRPr lang="lt-LT"/>
          </a:p>
        </c:txPr>
        <c:crossAx val="106203392"/>
        <c:crosses val="autoZero"/>
        <c:crossBetween val="between"/>
      </c:valAx>
      <c:spPr>
        <a:solidFill>
          <a:srgbClr val="FFFFFF"/>
        </a:solidFill>
        <a:ln w="12664">
          <a:solidFill>
            <a:srgbClr val="808080"/>
          </a:solidFill>
          <a:prstDash val="solid"/>
        </a:ln>
      </c:spPr>
    </c:plotArea>
    <c:legend>
      <c:legendPos val="r"/>
      <c:layout>
        <c:manualLayout>
          <c:xMode val="edge"/>
          <c:yMode val="edge"/>
          <c:x val="0.78801331853496115"/>
          <c:y val="0.62969004893964109"/>
          <c:w val="6.8812430632630414E-2"/>
          <c:h val="0.15823817292006526"/>
        </c:manualLayout>
      </c:layout>
      <c:overlay val="0"/>
      <c:spPr>
        <a:solidFill>
          <a:srgbClr val="FFFFFF"/>
        </a:solidFill>
        <a:ln w="3166">
          <a:solidFill>
            <a:srgbClr val="000000"/>
          </a:solidFill>
          <a:prstDash val="solid"/>
        </a:ln>
      </c:spPr>
      <c:txPr>
        <a:bodyPr/>
        <a:lstStyle/>
        <a:p>
          <a:pPr>
            <a:defRPr sz="1097" b="0"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1670" b="0" i="0" u="none" strike="noStrike" baseline="0">
          <a:solidFill>
            <a:srgbClr val="000000"/>
          </a:solidFill>
          <a:latin typeface="Arial"/>
          <a:ea typeface="Arial"/>
          <a:cs typeface="Arial"/>
        </a:defRPr>
      </a:pPr>
      <a:endParaRPr lang="lt-LT"/>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16286149162861"/>
          <c:y val="8.3650190114068435E-2"/>
          <c:w val="0.83713850837138504"/>
          <c:h val="0.53992395437262353"/>
        </c:manualLayout>
      </c:layout>
      <c:lineChart>
        <c:grouping val="standard"/>
        <c:varyColors val="0"/>
        <c:ser>
          <c:idx val="0"/>
          <c:order val="0"/>
          <c:tx>
            <c:strRef>
              <c:f>Sheet1!$B$3</c:f>
              <c:strCache>
                <c:ptCount val="1"/>
                <c:pt idx="0">
                  <c:v>Iš viso</c:v>
                </c:pt>
              </c:strCache>
            </c:strRef>
          </c:tx>
          <c:spPr>
            <a:ln w="12700">
              <a:solidFill>
                <a:srgbClr val="000080"/>
              </a:solidFill>
              <a:prstDash val="solid"/>
            </a:ln>
          </c:spPr>
          <c:marker>
            <c:symbol val="diamond"/>
            <c:size val="4"/>
            <c:spPr>
              <a:solidFill>
                <a:srgbClr val="000080"/>
              </a:solidFill>
              <a:ln>
                <a:solidFill>
                  <a:srgbClr val="000080"/>
                </a:solidFill>
                <a:prstDash val="solid"/>
              </a:ln>
            </c:spPr>
          </c:marker>
          <c:cat>
            <c:numRef>
              <c:f>Sheet1!$A$4:$A$12</c:f>
              <c:numCache>
                <c:formatCode>General</c:formatCode>
                <c:ptCount val="9"/>
                <c:pt idx="0">
                  <c:v>2001</c:v>
                </c:pt>
                <c:pt idx="1">
                  <c:v>2002</c:v>
                </c:pt>
                <c:pt idx="2">
                  <c:v>2003</c:v>
                </c:pt>
                <c:pt idx="3">
                  <c:v>2004</c:v>
                </c:pt>
                <c:pt idx="4">
                  <c:v>2005</c:v>
                </c:pt>
                <c:pt idx="5">
                  <c:v>2006</c:v>
                </c:pt>
                <c:pt idx="6">
                  <c:v>2007</c:v>
                </c:pt>
                <c:pt idx="7">
                  <c:v>2008</c:v>
                </c:pt>
                <c:pt idx="8">
                  <c:v>2009</c:v>
                </c:pt>
              </c:numCache>
            </c:numRef>
          </c:cat>
          <c:val>
            <c:numRef>
              <c:f>Sheet1!$B$4:$B$12</c:f>
              <c:numCache>
                <c:formatCode>General</c:formatCode>
                <c:ptCount val="9"/>
                <c:pt idx="0">
                  <c:v>18.8</c:v>
                </c:pt>
                <c:pt idx="1">
                  <c:v>13.6</c:v>
                </c:pt>
                <c:pt idx="2">
                  <c:v>10.3</c:v>
                </c:pt>
                <c:pt idx="3">
                  <c:v>12.3</c:v>
                </c:pt>
                <c:pt idx="4">
                  <c:v>10.199999999999999</c:v>
                </c:pt>
                <c:pt idx="5">
                  <c:v>9.4</c:v>
                </c:pt>
                <c:pt idx="6">
                  <c:v>9.4</c:v>
                </c:pt>
                <c:pt idx="7">
                  <c:v>8.1</c:v>
                </c:pt>
                <c:pt idx="8">
                  <c:v>10.4</c:v>
                </c:pt>
              </c:numCache>
            </c:numRef>
          </c:val>
          <c:smooth val="0"/>
        </c:ser>
        <c:ser>
          <c:idx val="1"/>
          <c:order val="1"/>
          <c:tx>
            <c:strRef>
              <c:f>Sheet1!$C$3</c:f>
              <c:strCache>
                <c:ptCount val="1"/>
                <c:pt idx="0">
                  <c:v>Moterys</c:v>
                </c:pt>
              </c:strCache>
            </c:strRef>
          </c:tx>
          <c:spPr>
            <a:ln w="12700">
              <a:solidFill>
                <a:srgbClr val="FF00FF"/>
              </a:solidFill>
              <a:prstDash val="solid"/>
            </a:ln>
          </c:spPr>
          <c:marker>
            <c:symbol val="square"/>
            <c:size val="4"/>
            <c:spPr>
              <a:solidFill>
                <a:srgbClr val="FF00FF"/>
              </a:solidFill>
              <a:ln>
                <a:solidFill>
                  <a:srgbClr val="FF00FF"/>
                </a:solidFill>
                <a:prstDash val="solid"/>
              </a:ln>
            </c:spPr>
          </c:marker>
          <c:cat>
            <c:numRef>
              <c:f>Sheet1!$A$4:$A$12</c:f>
              <c:numCache>
                <c:formatCode>General</c:formatCode>
                <c:ptCount val="9"/>
                <c:pt idx="0">
                  <c:v>2001</c:v>
                </c:pt>
                <c:pt idx="1">
                  <c:v>2002</c:v>
                </c:pt>
                <c:pt idx="2">
                  <c:v>2003</c:v>
                </c:pt>
                <c:pt idx="3">
                  <c:v>2004</c:v>
                </c:pt>
                <c:pt idx="4">
                  <c:v>2005</c:v>
                </c:pt>
                <c:pt idx="5">
                  <c:v>2006</c:v>
                </c:pt>
                <c:pt idx="6">
                  <c:v>2007</c:v>
                </c:pt>
                <c:pt idx="7">
                  <c:v>2008</c:v>
                </c:pt>
                <c:pt idx="8">
                  <c:v>2009</c:v>
                </c:pt>
              </c:numCache>
            </c:numRef>
          </c:cat>
          <c:val>
            <c:numRef>
              <c:f>Sheet1!$C$4:$C$12</c:f>
              <c:numCache>
                <c:formatCode>General</c:formatCode>
                <c:ptCount val="9"/>
                <c:pt idx="0">
                  <c:v>5.4</c:v>
                </c:pt>
                <c:pt idx="1">
                  <c:v>4.8</c:v>
                </c:pt>
                <c:pt idx="2">
                  <c:v>4</c:v>
                </c:pt>
                <c:pt idx="3">
                  <c:v>3.5</c:v>
                </c:pt>
                <c:pt idx="4">
                  <c:v>4.0999999999999996</c:v>
                </c:pt>
                <c:pt idx="5">
                  <c:v>3.6</c:v>
                </c:pt>
                <c:pt idx="6">
                  <c:v>3.6</c:v>
                </c:pt>
                <c:pt idx="7">
                  <c:v>3.6</c:v>
                </c:pt>
                <c:pt idx="8">
                  <c:v>3.3</c:v>
                </c:pt>
              </c:numCache>
            </c:numRef>
          </c:val>
          <c:smooth val="0"/>
        </c:ser>
        <c:ser>
          <c:idx val="2"/>
          <c:order val="2"/>
          <c:tx>
            <c:strRef>
              <c:f>Sheet1!$D$3</c:f>
              <c:strCache>
                <c:ptCount val="1"/>
                <c:pt idx="0">
                  <c:v>Vyrai</c:v>
                </c:pt>
              </c:strCache>
            </c:strRef>
          </c:tx>
          <c:spPr>
            <a:ln w="12700">
              <a:solidFill>
                <a:srgbClr val="FFFF00"/>
              </a:solidFill>
              <a:prstDash val="solid"/>
            </a:ln>
          </c:spPr>
          <c:marker>
            <c:symbol val="triangle"/>
            <c:size val="4"/>
            <c:spPr>
              <a:solidFill>
                <a:srgbClr val="FFFF00"/>
              </a:solidFill>
              <a:ln>
                <a:solidFill>
                  <a:srgbClr val="FFFF00"/>
                </a:solidFill>
                <a:prstDash val="solid"/>
              </a:ln>
            </c:spPr>
          </c:marker>
          <c:cat>
            <c:numRef>
              <c:f>Sheet1!$A$4:$A$12</c:f>
              <c:numCache>
                <c:formatCode>General</c:formatCode>
                <c:ptCount val="9"/>
                <c:pt idx="0">
                  <c:v>2001</c:v>
                </c:pt>
                <c:pt idx="1">
                  <c:v>2002</c:v>
                </c:pt>
                <c:pt idx="2">
                  <c:v>2003</c:v>
                </c:pt>
                <c:pt idx="3">
                  <c:v>2004</c:v>
                </c:pt>
                <c:pt idx="4">
                  <c:v>2005</c:v>
                </c:pt>
                <c:pt idx="5">
                  <c:v>2006</c:v>
                </c:pt>
                <c:pt idx="6">
                  <c:v>2007</c:v>
                </c:pt>
                <c:pt idx="7">
                  <c:v>2008</c:v>
                </c:pt>
                <c:pt idx="8">
                  <c:v>2009</c:v>
                </c:pt>
              </c:numCache>
            </c:numRef>
          </c:cat>
          <c:val>
            <c:numRef>
              <c:f>Sheet1!$D$4:$D$12</c:f>
              <c:numCache>
                <c:formatCode>General</c:formatCode>
                <c:ptCount val="9"/>
                <c:pt idx="0">
                  <c:v>34</c:v>
                </c:pt>
                <c:pt idx="1">
                  <c:v>23.6</c:v>
                </c:pt>
                <c:pt idx="2">
                  <c:v>17.5</c:v>
                </c:pt>
                <c:pt idx="3">
                  <c:v>22.2</c:v>
                </c:pt>
                <c:pt idx="4">
                  <c:v>17</c:v>
                </c:pt>
                <c:pt idx="5">
                  <c:v>16.399999999999999</c:v>
                </c:pt>
                <c:pt idx="6">
                  <c:v>16</c:v>
                </c:pt>
                <c:pt idx="7">
                  <c:v>13.1</c:v>
                </c:pt>
                <c:pt idx="8">
                  <c:v>18.3</c:v>
                </c:pt>
              </c:numCache>
            </c:numRef>
          </c:val>
          <c:smooth val="0"/>
        </c:ser>
        <c:dLbls>
          <c:showLegendKey val="0"/>
          <c:showVal val="0"/>
          <c:showCatName val="0"/>
          <c:showSerName val="0"/>
          <c:showPercent val="0"/>
          <c:showBubbleSize val="0"/>
        </c:dLbls>
        <c:marker val="1"/>
        <c:smooth val="0"/>
        <c:axId val="106427520"/>
        <c:axId val="106429440"/>
      </c:lineChart>
      <c:catAx>
        <c:axId val="10642752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429440"/>
        <c:crosses val="autoZero"/>
        <c:auto val="0"/>
        <c:lblAlgn val="ctr"/>
        <c:lblOffset val="100"/>
        <c:tickMarkSkip val="1"/>
        <c:noMultiLvlLbl val="0"/>
      </c:catAx>
      <c:valAx>
        <c:axId val="10642944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427520"/>
        <c:crosses val="autoZero"/>
        <c:crossBetween val="between"/>
      </c:valAx>
      <c:dTable>
        <c:showHorzBorder val="1"/>
        <c:showVertBorder val="1"/>
        <c:showOutline val="1"/>
        <c:showKeys val="1"/>
        <c:spPr>
          <a:ln w="3175">
            <a:solidFill>
              <a:srgbClr val="000000"/>
            </a:solidFill>
            <a:prstDash val="solid"/>
          </a:ln>
        </c:spPr>
        <c:txPr>
          <a:bodyPr/>
          <a:lstStyle/>
          <a:p>
            <a:pPr rtl="0">
              <a:defRPr sz="975"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lt-LT"/>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16286149162861"/>
          <c:y val="8.3650190114068435E-2"/>
          <c:w val="0.83713850837138504"/>
          <c:h val="0.53992395437262353"/>
        </c:manualLayout>
      </c:layout>
      <c:lineChart>
        <c:grouping val="standard"/>
        <c:varyColors val="0"/>
        <c:ser>
          <c:idx val="0"/>
          <c:order val="0"/>
          <c:tx>
            <c:strRef>
              <c:f>Sheet1!$B$3</c:f>
              <c:strCache>
                <c:ptCount val="1"/>
                <c:pt idx="0">
                  <c:v>Iš viso</c:v>
                </c:pt>
              </c:strCache>
            </c:strRef>
          </c:tx>
          <c:spPr>
            <a:ln w="12700">
              <a:solidFill>
                <a:srgbClr val="000080"/>
              </a:solidFill>
              <a:prstDash val="solid"/>
            </a:ln>
          </c:spPr>
          <c:marker>
            <c:symbol val="diamond"/>
            <c:size val="4"/>
            <c:spPr>
              <a:solidFill>
                <a:srgbClr val="000080"/>
              </a:solidFill>
              <a:ln>
                <a:solidFill>
                  <a:srgbClr val="000080"/>
                </a:solidFill>
                <a:prstDash val="solid"/>
              </a:ln>
            </c:spPr>
          </c:marker>
          <c:cat>
            <c:numRef>
              <c:f>Sheet1!$A$4:$A$12</c:f>
              <c:numCache>
                <c:formatCode>General</c:formatCode>
                <c:ptCount val="9"/>
                <c:pt idx="0">
                  <c:v>2001</c:v>
                </c:pt>
                <c:pt idx="1">
                  <c:v>2002</c:v>
                </c:pt>
                <c:pt idx="2">
                  <c:v>2003</c:v>
                </c:pt>
                <c:pt idx="3">
                  <c:v>2004</c:v>
                </c:pt>
                <c:pt idx="4">
                  <c:v>2005</c:v>
                </c:pt>
                <c:pt idx="5">
                  <c:v>2006</c:v>
                </c:pt>
                <c:pt idx="6">
                  <c:v>2007</c:v>
                </c:pt>
                <c:pt idx="7">
                  <c:v>2008</c:v>
                </c:pt>
                <c:pt idx="8">
                  <c:v>2009</c:v>
                </c:pt>
              </c:numCache>
            </c:numRef>
          </c:cat>
          <c:val>
            <c:numRef>
              <c:f>Sheet1!$B$4:$B$12</c:f>
              <c:numCache>
                <c:formatCode>General</c:formatCode>
                <c:ptCount val="9"/>
                <c:pt idx="0">
                  <c:v>653</c:v>
                </c:pt>
                <c:pt idx="1">
                  <c:v>471</c:v>
                </c:pt>
                <c:pt idx="2">
                  <c:v>356</c:v>
                </c:pt>
                <c:pt idx="3">
                  <c:v>424</c:v>
                </c:pt>
                <c:pt idx="4">
                  <c:v>349</c:v>
                </c:pt>
                <c:pt idx="5">
                  <c:v>323</c:v>
                </c:pt>
                <c:pt idx="6">
                  <c:v>318</c:v>
                </c:pt>
                <c:pt idx="7">
                  <c:v>272</c:v>
                </c:pt>
                <c:pt idx="8">
                  <c:v>345</c:v>
                </c:pt>
              </c:numCache>
            </c:numRef>
          </c:val>
          <c:smooth val="0"/>
        </c:ser>
        <c:ser>
          <c:idx val="1"/>
          <c:order val="1"/>
          <c:tx>
            <c:strRef>
              <c:f>Sheet1!$C$3</c:f>
              <c:strCache>
                <c:ptCount val="1"/>
                <c:pt idx="0">
                  <c:v>Moterys</c:v>
                </c:pt>
              </c:strCache>
            </c:strRef>
          </c:tx>
          <c:spPr>
            <a:ln w="12700">
              <a:solidFill>
                <a:srgbClr val="FF00FF"/>
              </a:solidFill>
              <a:prstDash val="solid"/>
            </a:ln>
          </c:spPr>
          <c:marker>
            <c:symbol val="square"/>
            <c:size val="4"/>
            <c:spPr>
              <a:solidFill>
                <a:srgbClr val="FF00FF"/>
              </a:solidFill>
              <a:ln>
                <a:solidFill>
                  <a:srgbClr val="FF00FF"/>
                </a:solidFill>
                <a:prstDash val="solid"/>
              </a:ln>
            </c:spPr>
          </c:marker>
          <c:cat>
            <c:numRef>
              <c:f>Sheet1!$A$4:$A$12</c:f>
              <c:numCache>
                <c:formatCode>General</c:formatCode>
                <c:ptCount val="9"/>
                <c:pt idx="0">
                  <c:v>2001</c:v>
                </c:pt>
                <c:pt idx="1">
                  <c:v>2002</c:v>
                </c:pt>
                <c:pt idx="2">
                  <c:v>2003</c:v>
                </c:pt>
                <c:pt idx="3">
                  <c:v>2004</c:v>
                </c:pt>
                <c:pt idx="4">
                  <c:v>2005</c:v>
                </c:pt>
                <c:pt idx="5">
                  <c:v>2006</c:v>
                </c:pt>
                <c:pt idx="6">
                  <c:v>2007</c:v>
                </c:pt>
                <c:pt idx="7">
                  <c:v>2008</c:v>
                </c:pt>
                <c:pt idx="8">
                  <c:v>2009</c:v>
                </c:pt>
              </c:numCache>
            </c:numRef>
          </c:cat>
          <c:val>
            <c:numRef>
              <c:f>Sheet1!$C$4:$C$12</c:f>
              <c:numCache>
                <c:formatCode>General</c:formatCode>
                <c:ptCount val="9"/>
                <c:pt idx="0">
                  <c:v>100</c:v>
                </c:pt>
                <c:pt idx="1">
                  <c:v>88</c:v>
                </c:pt>
                <c:pt idx="2">
                  <c:v>74</c:v>
                </c:pt>
                <c:pt idx="3">
                  <c:v>65</c:v>
                </c:pt>
                <c:pt idx="4">
                  <c:v>76</c:v>
                </c:pt>
                <c:pt idx="5">
                  <c:v>65</c:v>
                </c:pt>
                <c:pt idx="6">
                  <c:v>66</c:v>
                </c:pt>
                <c:pt idx="7">
                  <c:v>65</c:v>
                </c:pt>
                <c:pt idx="8">
                  <c:v>59</c:v>
                </c:pt>
              </c:numCache>
            </c:numRef>
          </c:val>
          <c:smooth val="0"/>
        </c:ser>
        <c:ser>
          <c:idx val="2"/>
          <c:order val="2"/>
          <c:tx>
            <c:strRef>
              <c:f>Sheet1!$D$3</c:f>
              <c:strCache>
                <c:ptCount val="1"/>
                <c:pt idx="0">
                  <c:v>Vyrai</c:v>
                </c:pt>
              </c:strCache>
            </c:strRef>
          </c:tx>
          <c:spPr>
            <a:ln w="12700">
              <a:solidFill>
                <a:srgbClr val="FFFF00"/>
              </a:solidFill>
              <a:prstDash val="solid"/>
            </a:ln>
          </c:spPr>
          <c:marker>
            <c:symbol val="triangle"/>
            <c:size val="4"/>
            <c:spPr>
              <a:solidFill>
                <a:srgbClr val="FFFF00"/>
              </a:solidFill>
              <a:ln>
                <a:solidFill>
                  <a:srgbClr val="FFFF00"/>
                </a:solidFill>
                <a:prstDash val="solid"/>
              </a:ln>
            </c:spPr>
          </c:marker>
          <c:cat>
            <c:numRef>
              <c:f>Sheet1!$A$4:$A$12</c:f>
              <c:numCache>
                <c:formatCode>General</c:formatCode>
                <c:ptCount val="9"/>
                <c:pt idx="0">
                  <c:v>2001</c:v>
                </c:pt>
                <c:pt idx="1">
                  <c:v>2002</c:v>
                </c:pt>
                <c:pt idx="2">
                  <c:v>2003</c:v>
                </c:pt>
                <c:pt idx="3">
                  <c:v>2004</c:v>
                </c:pt>
                <c:pt idx="4">
                  <c:v>2005</c:v>
                </c:pt>
                <c:pt idx="5">
                  <c:v>2006</c:v>
                </c:pt>
                <c:pt idx="6">
                  <c:v>2007</c:v>
                </c:pt>
                <c:pt idx="7">
                  <c:v>2008</c:v>
                </c:pt>
                <c:pt idx="8">
                  <c:v>2009</c:v>
                </c:pt>
              </c:numCache>
            </c:numRef>
          </c:cat>
          <c:val>
            <c:numRef>
              <c:f>Sheet1!$D$4:$D$12</c:f>
              <c:numCache>
                <c:formatCode>General</c:formatCode>
                <c:ptCount val="9"/>
                <c:pt idx="0">
                  <c:v>553</c:v>
                </c:pt>
                <c:pt idx="1">
                  <c:v>383</c:v>
                </c:pt>
                <c:pt idx="2">
                  <c:v>282</c:v>
                </c:pt>
                <c:pt idx="3">
                  <c:v>359</c:v>
                </c:pt>
                <c:pt idx="4">
                  <c:v>273</c:v>
                </c:pt>
                <c:pt idx="5">
                  <c:v>258</c:v>
                </c:pt>
                <c:pt idx="6">
                  <c:v>252</c:v>
                </c:pt>
                <c:pt idx="7">
                  <c:v>207</c:v>
                </c:pt>
                <c:pt idx="8">
                  <c:v>286</c:v>
                </c:pt>
              </c:numCache>
            </c:numRef>
          </c:val>
          <c:smooth val="0"/>
        </c:ser>
        <c:dLbls>
          <c:showLegendKey val="0"/>
          <c:showVal val="0"/>
          <c:showCatName val="0"/>
          <c:showSerName val="0"/>
          <c:showPercent val="0"/>
          <c:showBubbleSize val="0"/>
        </c:dLbls>
        <c:marker val="1"/>
        <c:smooth val="0"/>
        <c:axId val="106460288"/>
        <c:axId val="106462208"/>
      </c:lineChart>
      <c:catAx>
        <c:axId val="1064602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462208"/>
        <c:crosses val="autoZero"/>
        <c:auto val="0"/>
        <c:lblAlgn val="ctr"/>
        <c:lblOffset val="100"/>
        <c:tickMarkSkip val="1"/>
        <c:noMultiLvlLbl val="0"/>
      </c:catAx>
      <c:valAx>
        <c:axId val="10646220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460288"/>
        <c:crosses val="autoZero"/>
        <c:crossBetween val="between"/>
      </c:valAx>
      <c:dTable>
        <c:showHorzBorder val="1"/>
        <c:showVertBorder val="1"/>
        <c:showOutline val="1"/>
        <c:showKeys val="1"/>
        <c:spPr>
          <a:ln w="3175">
            <a:solidFill>
              <a:srgbClr val="000000"/>
            </a:solidFill>
            <a:prstDash val="solid"/>
          </a:ln>
        </c:spPr>
        <c:txPr>
          <a:bodyPr/>
          <a:lstStyle/>
          <a:p>
            <a:pPr rtl="0">
              <a:defRPr sz="975"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lt-LT"/>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66144200626959"/>
          <c:y val="7.903780068728522E-2"/>
          <c:w val="0.85423197492163006"/>
          <c:h val="0.5670103092783505"/>
        </c:manualLayout>
      </c:layout>
      <c:barChart>
        <c:barDir val="col"/>
        <c:grouping val="clustered"/>
        <c:varyColors val="0"/>
        <c:ser>
          <c:idx val="0"/>
          <c:order val="0"/>
          <c:tx>
            <c:strRef>
              <c:f>Sheet1!$B$1</c:f>
              <c:strCache>
                <c:ptCount val="1"/>
                <c:pt idx="0">
                  <c:v>Iš viso</c:v>
                </c:pt>
              </c:strCache>
            </c:strRef>
          </c:tx>
          <c:spPr>
            <a:solidFill>
              <a:srgbClr val="9999FF"/>
            </a:solidFill>
            <a:ln w="12700">
              <a:solidFill>
                <a:srgbClr val="000000"/>
              </a:solidFill>
              <a:prstDash val="solid"/>
            </a:ln>
          </c:spPr>
          <c:invertIfNegative val="0"/>
          <c:cat>
            <c:strRef>
              <c:f>Sheet1!$A$2:$A$13</c:f>
              <c:strCache>
                <c:ptCount val="12"/>
                <c:pt idx="0">
                  <c:v>&lt;15</c:v>
                </c:pt>
                <c:pt idx="1">
                  <c:v>15-19</c:v>
                </c:pt>
                <c:pt idx="2">
                  <c:v>20-24</c:v>
                </c:pt>
                <c:pt idx="3">
                  <c:v>25-29</c:v>
                </c:pt>
                <c:pt idx="4">
                  <c:v>30-34</c:v>
                </c:pt>
                <c:pt idx="5">
                  <c:v>35-39</c:v>
                </c:pt>
                <c:pt idx="6">
                  <c:v>40-44</c:v>
                </c:pt>
                <c:pt idx="7">
                  <c:v>45-49</c:v>
                </c:pt>
                <c:pt idx="8">
                  <c:v>50-54</c:v>
                </c:pt>
                <c:pt idx="9">
                  <c:v>55-59</c:v>
                </c:pt>
                <c:pt idx="10">
                  <c:v>60-64</c:v>
                </c:pt>
                <c:pt idx="11">
                  <c:v>65&gt;</c:v>
                </c:pt>
              </c:strCache>
            </c:strRef>
          </c:cat>
          <c:val>
            <c:numRef>
              <c:f>Sheet1!$B$2:$B$13</c:f>
              <c:numCache>
                <c:formatCode>General</c:formatCode>
                <c:ptCount val="12"/>
                <c:pt idx="0">
                  <c:v>0</c:v>
                </c:pt>
                <c:pt idx="1">
                  <c:v>25</c:v>
                </c:pt>
                <c:pt idx="2">
                  <c:v>98</c:v>
                </c:pt>
                <c:pt idx="3">
                  <c:v>110</c:v>
                </c:pt>
                <c:pt idx="4">
                  <c:v>59</c:v>
                </c:pt>
                <c:pt idx="5">
                  <c:v>27</c:v>
                </c:pt>
                <c:pt idx="6">
                  <c:v>16</c:v>
                </c:pt>
                <c:pt idx="7">
                  <c:v>5</c:v>
                </c:pt>
                <c:pt idx="8">
                  <c:v>4</c:v>
                </c:pt>
                <c:pt idx="9">
                  <c:v>0</c:v>
                </c:pt>
                <c:pt idx="10">
                  <c:v>1</c:v>
                </c:pt>
                <c:pt idx="11">
                  <c:v>0</c:v>
                </c:pt>
              </c:numCache>
            </c:numRef>
          </c:val>
        </c:ser>
        <c:ser>
          <c:idx val="1"/>
          <c:order val="1"/>
          <c:tx>
            <c:strRef>
              <c:f>Sheet1!$C$1</c:f>
              <c:strCache>
                <c:ptCount val="1"/>
                <c:pt idx="0">
                  <c:v>Moterys</c:v>
                </c:pt>
              </c:strCache>
            </c:strRef>
          </c:tx>
          <c:spPr>
            <a:solidFill>
              <a:srgbClr val="993366"/>
            </a:solidFill>
            <a:ln w="12700">
              <a:solidFill>
                <a:srgbClr val="000000"/>
              </a:solidFill>
              <a:prstDash val="solid"/>
            </a:ln>
          </c:spPr>
          <c:invertIfNegative val="0"/>
          <c:cat>
            <c:strRef>
              <c:f>Sheet1!$A$2:$A$13</c:f>
              <c:strCache>
                <c:ptCount val="12"/>
                <c:pt idx="0">
                  <c:v>&lt;15</c:v>
                </c:pt>
                <c:pt idx="1">
                  <c:v>15-19</c:v>
                </c:pt>
                <c:pt idx="2">
                  <c:v>20-24</c:v>
                </c:pt>
                <c:pt idx="3">
                  <c:v>25-29</c:v>
                </c:pt>
                <c:pt idx="4">
                  <c:v>30-34</c:v>
                </c:pt>
                <c:pt idx="5">
                  <c:v>35-39</c:v>
                </c:pt>
                <c:pt idx="6">
                  <c:v>40-44</c:v>
                </c:pt>
                <c:pt idx="7">
                  <c:v>45-49</c:v>
                </c:pt>
                <c:pt idx="8">
                  <c:v>50-54</c:v>
                </c:pt>
                <c:pt idx="9">
                  <c:v>55-59</c:v>
                </c:pt>
                <c:pt idx="10">
                  <c:v>60-64</c:v>
                </c:pt>
                <c:pt idx="11">
                  <c:v>65&gt;</c:v>
                </c:pt>
              </c:strCache>
            </c:strRef>
          </c:cat>
          <c:val>
            <c:numRef>
              <c:f>Sheet1!$C$2:$C$13</c:f>
              <c:numCache>
                <c:formatCode>General</c:formatCode>
                <c:ptCount val="12"/>
                <c:pt idx="0">
                  <c:v>0</c:v>
                </c:pt>
                <c:pt idx="1">
                  <c:v>5</c:v>
                </c:pt>
                <c:pt idx="2">
                  <c:v>25</c:v>
                </c:pt>
                <c:pt idx="3">
                  <c:v>13</c:v>
                </c:pt>
                <c:pt idx="4">
                  <c:v>11</c:v>
                </c:pt>
                <c:pt idx="5">
                  <c:v>2</c:v>
                </c:pt>
                <c:pt idx="6">
                  <c:v>1</c:v>
                </c:pt>
                <c:pt idx="7">
                  <c:v>1</c:v>
                </c:pt>
                <c:pt idx="8">
                  <c:v>1</c:v>
                </c:pt>
                <c:pt idx="9">
                  <c:v>0</c:v>
                </c:pt>
                <c:pt idx="10">
                  <c:v>0</c:v>
                </c:pt>
                <c:pt idx="11">
                  <c:v>0</c:v>
                </c:pt>
              </c:numCache>
            </c:numRef>
          </c:val>
        </c:ser>
        <c:ser>
          <c:idx val="2"/>
          <c:order val="2"/>
          <c:tx>
            <c:strRef>
              <c:f>Sheet1!$D$1</c:f>
              <c:strCache>
                <c:ptCount val="1"/>
                <c:pt idx="0">
                  <c:v>Vyrai</c:v>
                </c:pt>
              </c:strCache>
            </c:strRef>
          </c:tx>
          <c:spPr>
            <a:solidFill>
              <a:srgbClr val="FFFFCC"/>
            </a:solidFill>
            <a:ln w="12700">
              <a:solidFill>
                <a:srgbClr val="000000"/>
              </a:solidFill>
              <a:prstDash val="solid"/>
            </a:ln>
          </c:spPr>
          <c:invertIfNegative val="0"/>
          <c:cat>
            <c:strRef>
              <c:f>Sheet1!$A$2:$A$13</c:f>
              <c:strCache>
                <c:ptCount val="12"/>
                <c:pt idx="0">
                  <c:v>&lt;15</c:v>
                </c:pt>
                <c:pt idx="1">
                  <c:v>15-19</c:v>
                </c:pt>
                <c:pt idx="2">
                  <c:v>20-24</c:v>
                </c:pt>
                <c:pt idx="3">
                  <c:v>25-29</c:v>
                </c:pt>
                <c:pt idx="4">
                  <c:v>30-34</c:v>
                </c:pt>
                <c:pt idx="5">
                  <c:v>35-39</c:v>
                </c:pt>
                <c:pt idx="6">
                  <c:v>40-44</c:v>
                </c:pt>
                <c:pt idx="7">
                  <c:v>45-49</c:v>
                </c:pt>
                <c:pt idx="8">
                  <c:v>50-54</c:v>
                </c:pt>
                <c:pt idx="9">
                  <c:v>55-59</c:v>
                </c:pt>
                <c:pt idx="10">
                  <c:v>60-64</c:v>
                </c:pt>
                <c:pt idx="11">
                  <c:v>65&gt;</c:v>
                </c:pt>
              </c:strCache>
            </c:strRef>
          </c:cat>
          <c:val>
            <c:numRef>
              <c:f>Sheet1!$D$2:$D$13</c:f>
              <c:numCache>
                <c:formatCode>General</c:formatCode>
                <c:ptCount val="12"/>
                <c:pt idx="0">
                  <c:v>0</c:v>
                </c:pt>
                <c:pt idx="1">
                  <c:v>20</c:v>
                </c:pt>
                <c:pt idx="2">
                  <c:v>73</c:v>
                </c:pt>
                <c:pt idx="3">
                  <c:v>97</c:v>
                </c:pt>
                <c:pt idx="4">
                  <c:v>48</c:v>
                </c:pt>
                <c:pt idx="5">
                  <c:v>25</c:v>
                </c:pt>
                <c:pt idx="6">
                  <c:v>15</c:v>
                </c:pt>
                <c:pt idx="7">
                  <c:v>4</c:v>
                </c:pt>
                <c:pt idx="8">
                  <c:v>3</c:v>
                </c:pt>
                <c:pt idx="9">
                  <c:v>0</c:v>
                </c:pt>
                <c:pt idx="10">
                  <c:v>1</c:v>
                </c:pt>
                <c:pt idx="11">
                  <c:v>0</c:v>
                </c:pt>
              </c:numCache>
            </c:numRef>
          </c:val>
        </c:ser>
        <c:dLbls>
          <c:showLegendKey val="0"/>
          <c:showVal val="0"/>
          <c:showCatName val="0"/>
          <c:showSerName val="0"/>
          <c:showPercent val="0"/>
          <c:showBubbleSize val="0"/>
        </c:dLbls>
        <c:gapWidth val="150"/>
        <c:axId val="106522112"/>
        <c:axId val="106523648"/>
      </c:barChart>
      <c:catAx>
        <c:axId val="1065221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lt-LT"/>
          </a:p>
        </c:txPr>
        <c:crossAx val="106523648"/>
        <c:crosses val="autoZero"/>
        <c:auto val="0"/>
        <c:lblAlgn val="ctr"/>
        <c:lblOffset val="100"/>
        <c:tickMarkSkip val="1"/>
        <c:noMultiLvlLbl val="0"/>
      </c:catAx>
      <c:valAx>
        <c:axId val="10652364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lt-LT"/>
          </a:p>
        </c:txPr>
        <c:crossAx val="106522112"/>
        <c:crosses val="autoZero"/>
        <c:crossBetween val="between"/>
      </c:valAx>
      <c:dTable>
        <c:showHorzBorder val="1"/>
        <c:showVertBorder val="1"/>
        <c:showOutline val="1"/>
        <c:showKeys val="1"/>
        <c:spPr>
          <a:ln w="3175">
            <a:solidFill>
              <a:srgbClr val="000000"/>
            </a:solidFill>
            <a:prstDash val="solid"/>
          </a:ln>
        </c:spPr>
        <c:txPr>
          <a:bodyPr/>
          <a:lstStyle/>
          <a:p>
            <a:pPr rtl="0">
              <a:defRPr sz="1075"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a:ea typeface="Arial"/>
          <a:cs typeface="Arial"/>
        </a:defRPr>
      </a:pPr>
      <a:endParaRPr lang="lt-LT"/>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5971143174250833"/>
          <c:y val="1.6313213703099511E-3"/>
          <c:w val="0.72031076581576026"/>
          <c:h val="0.92822185970636217"/>
        </c:manualLayout>
      </c:layout>
      <c:barChart>
        <c:barDir val="bar"/>
        <c:grouping val="clustered"/>
        <c:varyColors val="0"/>
        <c:ser>
          <c:idx val="1"/>
          <c:order val="0"/>
          <c:tx>
            <c:strRef>
              <c:f>Sheet1!$C$4</c:f>
              <c:strCache>
                <c:ptCount val="1"/>
                <c:pt idx="0">
                  <c:v>2006</c:v>
                </c:pt>
              </c:strCache>
            </c:strRef>
          </c:tx>
          <c:spPr>
            <a:solidFill>
              <a:srgbClr val="993366"/>
            </a:solidFill>
            <a:ln w="12699">
              <a:solidFill>
                <a:srgbClr val="000000"/>
              </a:solidFill>
              <a:prstDash val="solid"/>
            </a:ln>
          </c:spPr>
          <c:invertIfNegative val="0"/>
          <c:dLbls>
            <c:spPr>
              <a:noFill/>
              <a:ln w="25398">
                <a:noFill/>
              </a:ln>
            </c:spPr>
            <c:txPr>
              <a:bodyPr/>
              <a:lstStyle/>
              <a:p>
                <a:pPr>
                  <a:defRPr sz="14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Sheet1!$C$5:$C$12</c:f>
              <c:numCache>
                <c:formatCode>General</c:formatCode>
                <c:ptCount val="8"/>
                <c:pt idx="0">
                  <c:v>1</c:v>
                </c:pt>
                <c:pt idx="1">
                  <c:v>1</c:v>
                </c:pt>
                <c:pt idx="2">
                  <c:v>5</c:v>
                </c:pt>
                <c:pt idx="3">
                  <c:v>14</c:v>
                </c:pt>
                <c:pt idx="4">
                  <c:v>0</c:v>
                </c:pt>
                <c:pt idx="5">
                  <c:v>2</c:v>
                </c:pt>
                <c:pt idx="6">
                  <c:v>53</c:v>
                </c:pt>
                <c:pt idx="7">
                  <c:v>247</c:v>
                </c:pt>
              </c:numCache>
            </c:numRef>
          </c:val>
        </c:ser>
        <c:ser>
          <c:idx val="2"/>
          <c:order val="1"/>
          <c:tx>
            <c:strRef>
              <c:f>Sheet1!$D$4</c:f>
              <c:strCache>
                <c:ptCount val="1"/>
                <c:pt idx="0">
                  <c:v>2007</c:v>
                </c:pt>
              </c:strCache>
            </c:strRef>
          </c:tx>
          <c:spPr>
            <a:solidFill>
              <a:srgbClr val="FFFFCC"/>
            </a:solidFill>
            <a:ln w="12699">
              <a:solidFill>
                <a:srgbClr val="000000"/>
              </a:solidFill>
              <a:prstDash val="solid"/>
            </a:ln>
          </c:spPr>
          <c:invertIfNegative val="0"/>
          <c:dLbls>
            <c:dLbl>
              <c:idx val="7"/>
              <c:layout>
                <c:manualLayout>
                  <c:x val="-3.2084137415468367E-2"/>
                  <c:y val="2.7122736546092829E-2"/>
                </c:manualLayout>
              </c:layout>
              <c:dLblPos val="outEnd"/>
              <c:showLegendKey val="0"/>
              <c:showVal val="1"/>
              <c:showCatName val="0"/>
              <c:showSerName val="0"/>
              <c:showPercent val="0"/>
              <c:showBubbleSize val="0"/>
            </c:dLbl>
            <c:spPr>
              <a:noFill/>
              <a:ln w="25398">
                <a:noFill/>
              </a:ln>
            </c:spPr>
            <c:txPr>
              <a:bodyPr/>
              <a:lstStyle/>
              <a:p>
                <a:pPr>
                  <a:defRPr sz="14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Sheet1!$D$5:$D$12</c:f>
              <c:numCache>
                <c:formatCode>General</c:formatCode>
                <c:ptCount val="8"/>
                <c:pt idx="0">
                  <c:v>0</c:v>
                </c:pt>
                <c:pt idx="1">
                  <c:v>0</c:v>
                </c:pt>
                <c:pt idx="2">
                  <c:v>5</c:v>
                </c:pt>
                <c:pt idx="3">
                  <c:v>21</c:v>
                </c:pt>
                <c:pt idx="4">
                  <c:v>20</c:v>
                </c:pt>
                <c:pt idx="5">
                  <c:v>3</c:v>
                </c:pt>
                <c:pt idx="6">
                  <c:v>45</c:v>
                </c:pt>
                <c:pt idx="7">
                  <c:v>224</c:v>
                </c:pt>
              </c:numCache>
            </c:numRef>
          </c:val>
        </c:ser>
        <c:ser>
          <c:idx val="3"/>
          <c:order val="2"/>
          <c:tx>
            <c:strRef>
              <c:f>Sheet1!$E$4</c:f>
              <c:strCache>
                <c:ptCount val="1"/>
                <c:pt idx="0">
                  <c:v>2008</c:v>
                </c:pt>
              </c:strCache>
            </c:strRef>
          </c:tx>
          <c:spPr>
            <a:solidFill>
              <a:srgbClr val="CCFFFF"/>
            </a:solidFill>
            <a:ln w="12699">
              <a:solidFill>
                <a:srgbClr val="000000"/>
              </a:solidFill>
              <a:prstDash val="solid"/>
            </a:ln>
          </c:spPr>
          <c:invertIfNegative val="0"/>
          <c:dLbls>
            <c:dLbl>
              <c:idx val="7"/>
              <c:layout>
                <c:manualLayout>
                  <c:x val="-5.7404413737546865E-2"/>
                  <c:y val="2.4469820554649271E-2"/>
                </c:manualLayout>
              </c:layout>
              <c:dLblPos val="outEnd"/>
              <c:showLegendKey val="0"/>
              <c:showVal val="1"/>
              <c:showCatName val="0"/>
              <c:showSerName val="0"/>
              <c:showPercent val="0"/>
              <c:showBubbleSize val="0"/>
            </c:dLbl>
            <c:spPr>
              <a:noFill/>
              <a:ln w="25398">
                <a:noFill/>
              </a:ln>
            </c:spPr>
            <c:txPr>
              <a:bodyPr/>
              <a:lstStyle/>
              <a:p>
                <a:pPr>
                  <a:defRPr sz="14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Sheet1!$E$5:$E$12</c:f>
              <c:numCache>
                <c:formatCode>General</c:formatCode>
                <c:ptCount val="8"/>
                <c:pt idx="0">
                  <c:v>0</c:v>
                </c:pt>
                <c:pt idx="1">
                  <c:v>1</c:v>
                </c:pt>
                <c:pt idx="2">
                  <c:v>1</c:v>
                </c:pt>
                <c:pt idx="3">
                  <c:v>13</c:v>
                </c:pt>
                <c:pt idx="4">
                  <c:v>2</c:v>
                </c:pt>
                <c:pt idx="5">
                  <c:v>8</c:v>
                </c:pt>
                <c:pt idx="6">
                  <c:v>56</c:v>
                </c:pt>
                <c:pt idx="7">
                  <c:v>184</c:v>
                </c:pt>
              </c:numCache>
            </c:numRef>
          </c:val>
        </c:ser>
        <c:ser>
          <c:idx val="0"/>
          <c:order val="3"/>
          <c:tx>
            <c:strRef>
              <c:f>Sheet1!$F$4</c:f>
              <c:strCache>
                <c:ptCount val="1"/>
                <c:pt idx="0">
                  <c:v>2009</c:v>
                </c:pt>
              </c:strCache>
            </c:strRef>
          </c:tx>
          <c:spPr>
            <a:solidFill>
              <a:srgbClr val="9999FF"/>
            </a:solidFill>
            <a:ln w="12699">
              <a:solidFill>
                <a:srgbClr val="000000"/>
              </a:solidFill>
              <a:prstDash val="solid"/>
            </a:ln>
          </c:spPr>
          <c:invertIfNegative val="0"/>
          <c:dLbls>
            <c:spPr>
              <a:noFill/>
              <a:ln w="25398">
                <a:noFill/>
              </a:ln>
            </c:spPr>
            <c:txPr>
              <a:bodyPr/>
              <a:lstStyle/>
              <a:p>
                <a:pPr>
                  <a:defRPr sz="1450" b="0" i="0" u="none" strike="noStrike" baseline="0">
                    <a:solidFill>
                      <a:srgbClr val="000000"/>
                    </a:solidFill>
                    <a:latin typeface="Arial"/>
                    <a:ea typeface="Arial"/>
                    <a:cs typeface="Arial"/>
                  </a:defRPr>
                </a:pPr>
                <a:endParaRPr lang="lt-LT"/>
              </a:p>
            </c:txPr>
            <c:showLegendKey val="0"/>
            <c:showVal val="1"/>
            <c:showCatName val="0"/>
            <c:showSerName val="0"/>
            <c:showPercent val="0"/>
            <c:showBubbleSize val="0"/>
            <c:showLeaderLines val="0"/>
          </c:dLbls>
          <c:cat>
            <c:strRef>
              <c:f>Sheet1!$A$5:$A$12</c:f>
              <c:strCache>
                <c:ptCount val="8"/>
                <c:pt idx="0">
                  <c:v>Kokainas</c:v>
                </c:pt>
                <c:pt idx="1">
                  <c:v>Haliucinogenai</c:v>
                </c:pt>
                <c:pt idx="2">
                  <c:v>Kanabinoidai</c:v>
                </c:pt>
                <c:pt idx="3">
                  <c:v>Stimuliantai ir kofeinas</c:v>
                </c:pt>
                <c:pt idx="4">
                  <c:v>Lakiosios medžiagos</c:v>
                </c:pt>
                <c:pt idx="5">
                  <c:v>Raminamieji ir migdomieji</c:v>
                </c:pt>
                <c:pt idx="6">
                  <c:v>Keli narkotikai</c:v>
                </c:pt>
                <c:pt idx="7">
                  <c:v>Opioidai</c:v>
                </c:pt>
              </c:strCache>
            </c:strRef>
          </c:cat>
          <c:val>
            <c:numRef>
              <c:f>Sheet1!$F$5:$F$12</c:f>
              <c:numCache>
                <c:formatCode>General</c:formatCode>
                <c:ptCount val="8"/>
                <c:pt idx="0">
                  <c:v>0</c:v>
                </c:pt>
                <c:pt idx="1">
                  <c:v>0</c:v>
                </c:pt>
                <c:pt idx="2">
                  <c:v>7</c:v>
                </c:pt>
                <c:pt idx="3">
                  <c:v>15</c:v>
                </c:pt>
                <c:pt idx="4">
                  <c:v>0</c:v>
                </c:pt>
                <c:pt idx="5">
                  <c:v>6</c:v>
                </c:pt>
                <c:pt idx="6">
                  <c:v>63</c:v>
                </c:pt>
                <c:pt idx="7">
                  <c:v>254</c:v>
                </c:pt>
              </c:numCache>
            </c:numRef>
          </c:val>
        </c:ser>
        <c:dLbls>
          <c:showLegendKey val="0"/>
          <c:showVal val="1"/>
          <c:showCatName val="0"/>
          <c:showSerName val="0"/>
          <c:showPercent val="0"/>
          <c:showBubbleSize val="0"/>
        </c:dLbls>
        <c:gapWidth val="80"/>
        <c:axId val="106577920"/>
        <c:axId val="106579456"/>
      </c:barChart>
      <c:catAx>
        <c:axId val="106577920"/>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450" b="0" i="0" u="none" strike="noStrike" baseline="0">
                <a:solidFill>
                  <a:srgbClr val="000000"/>
                </a:solidFill>
                <a:latin typeface="Arial"/>
                <a:ea typeface="Arial"/>
                <a:cs typeface="Arial"/>
              </a:defRPr>
            </a:pPr>
            <a:endParaRPr lang="lt-LT"/>
          </a:p>
        </c:txPr>
        <c:crossAx val="106579456"/>
        <c:crosses val="autoZero"/>
        <c:auto val="1"/>
        <c:lblAlgn val="ctr"/>
        <c:lblOffset val="100"/>
        <c:tickLblSkip val="1"/>
        <c:tickMarkSkip val="1"/>
        <c:noMultiLvlLbl val="0"/>
      </c:catAx>
      <c:valAx>
        <c:axId val="106579456"/>
        <c:scaling>
          <c:orientation val="minMax"/>
        </c:scaling>
        <c:delete val="0"/>
        <c:axPos val="b"/>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450" b="0" i="0" u="none" strike="noStrike" baseline="0">
                <a:solidFill>
                  <a:srgbClr val="000000"/>
                </a:solidFill>
                <a:latin typeface="Arial"/>
                <a:ea typeface="Arial"/>
                <a:cs typeface="Arial"/>
              </a:defRPr>
            </a:pPr>
            <a:endParaRPr lang="lt-LT"/>
          </a:p>
        </c:txPr>
        <c:crossAx val="106577920"/>
        <c:crosses val="autoZero"/>
        <c:crossBetween val="between"/>
      </c:valAx>
      <c:spPr>
        <a:solidFill>
          <a:srgbClr val="FFFFFF"/>
        </a:solidFill>
        <a:ln w="12699">
          <a:solidFill>
            <a:srgbClr val="808080"/>
          </a:solidFill>
          <a:prstDash val="solid"/>
        </a:ln>
      </c:spPr>
    </c:plotArea>
    <c:legend>
      <c:legendPos val="r"/>
      <c:layout>
        <c:manualLayout>
          <c:xMode val="edge"/>
          <c:yMode val="edge"/>
          <c:x val="0.78690344062153161"/>
          <c:y val="0.62805872756933112"/>
          <c:w val="6.8812430632630414E-2"/>
          <c:h val="0.15823817292006526"/>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lt-LT"/>
        </a:p>
      </c:txPr>
    </c:legend>
    <c:plotVisOnly val="1"/>
    <c:dispBlanksAs val="gap"/>
    <c:showDLblsOverMax val="0"/>
  </c:chart>
  <c:spPr>
    <a:noFill/>
    <a:ln>
      <a:noFill/>
    </a:ln>
  </c:spPr>
  <c:txPr>
    <a:bodyPr/>
    <a:lstStyle/>
    <a:p>
      <a:pPr>
        <a:defRPr sz="1675" b="0" i="0" u="none" strike="noStrike" baseline="0">
          <a:solidFill>
            <a:srgbClr val="000000"/>
          </a:solidFill>
          <a:latin typeface="Arial"/>
          <a:ea typeface="Arial"/>
          <a:cs typeface="Arial"/>
        </a:defRPr>
      </a:pPr>
      <a:endParaRPr lang="lt-LT"/>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759999999999998"/>
          <c:y val="8.3650190114068435E-2"/>
          <c:w val="0.68799999999999994"/>
          <c:h val="0.55893536121673004"/>
        </c:manualLayout>
      </c:layout>
      <c:barChart>
        <c:barDir val="col"/>
        <c:grouping val="clustered"/>
        <c:varyColors val="0"/>
        <c:ser>
          <c:idx val="0"/>
          <c:order val="0"/>
          <c:tx>
            <c:strRef>
              <c:f>Sheet1!$B$1</c:f>
              <c:strCache>
                <c:ptCount val="1"/>
                <c:pt idx="0">
                  <c:v>Sergamumas</c:v>
                </c:pt>
              </c:strCache>
            </c:strRef>
          </c:tx>
          <c:spPr>
            <a:solidFill>
              <a:srgbClr val="9999FF"/>
            </a:solidFill>
            <a:ln w="12700">
              <a:solidFill>
                <a:srgbClr val="000000"/>
              </a:solidFill>
              <a:prstDash val="solid"/>
            </a:ln>
          </c:spPr>
          <c:invertIfNegative val="0"/>
          <c:cat>
            <c:strRef>
              <c:f>Sheet1!$A$2:$A$11</c:f>
              <c:strCache>
                <c:ptCount val="10"/>
                <c:pt idx="0">
                  <c:v>Vilnaus</c:v>
                </c:pt>
                <c:pt idx="1">
                  <c:v>Klaipėdos</c:v>
                </c:pt>
                <c:pt idx="2">
                  <c:v>Alytaus</c:v>
                </c:pt>
                <c:pt idx="3">
                  <c:v>Utenos</c:v>
                </c:pt>
                <c:pt idx="4">
                  <c:v>Telšių</c:v>
                </c:pt>
                <c:pt idx="5">
                  <c:v>Panevėžio</c:v>
                </c:pt>
                <c:pt idx="6">
                  <c:v>Kauno</c:v>
                </c:pt>
                <c:pt idx="7">
                  <c:v>Marijampolės</c:v>
                </c:pt>
                <c:pt idx="8">
                  <c:v>Šiaulių</c:v>
                </c:pt>
                <c:pt idx="9">
                  <c:v>Tauragės</c:v>
                </c:pt>
              </c:strCache>
            </c:strRef>
          </c:cat>
          <c:val>
            <c:numRef>
              <c:f>Sheet1!$B$2:$B$11</c:f>
              <c:numCache>
                <c:formatCode>General</c:formatCode>
                <c:ptCount val="10"/>
                <c:pt idx="0">
                  <c:v>24.1</c:v>
                </c:pt>
                <c:pt idx="1">
                  <c:v>18.600000000000001</c:v>
                </c:pt>
                <c:pt idx="2">
                  <c:v>12.1</c:v>
                </c:pt>
                <c:pt idx="3">
                  <c:v>10.7</c:v>
                </c:pt>
                <c:pt idx="4">
                  <c:v>3.5</c:v>
                </c:pt>
                <c:pt idx="5">
                  <c:v>3.2</c:v>
                </c:pt>
                <c:pt idx="6">
                  <c:v>1.4</c:v>
                </c:pt>
                <c:pt idx="7">
                  <c:v>1.7</c:v>
                </c:pt>
                <c:pt idx="8">
                  <c:v>1.2</c:v>
                </c:pt>
                <c:pt idx="9">
                  <c:v>0</c:v>
                </c:pt>
              </c:numCache>
            </c:numRef>
          </c:val>
        </c:ser>
        <c:ser>
          <c:idx val="1"/>
          <c:order val="1"/>
          <c:tx>
            <c:strRef>
              <c:f>Sheet1!$C$1</c:f>
              <c:strCache>
                <c:ptCount val="1"/>
                <c:pt idx="0">
                  <c:v>Naujai registruoti asmenys</c:v>
                </c:pt>
              </c:strCache>
            </c:strRef>
          </c:tx>
          <c:spPr>
            <a:solidFill>
              <a:srgbClr val="993366"/>
            </a:solidFill>
            <a:ln w="12700">
              <a:solidFill>
                <a:srgbClr val="000000"/>
              </a:solidFill>
              <a:prstDash val="solid"/>
            </a:ln>
          </c:spPr>
          <c:invertIfNegative val="0"/>
          <c:cat>
            <c:strRef>
              <c:f>Sheet1!$A$2:$A$11</c:f>
              <c:strCache>
                <c:ptCount val="10"/>
                <c:pt idx="0">
                  <c:v>Vilnaus</c:v>
                </c:pt>
                <c:pt idx="1">
                  <c:v>Klaipėdos</c:v>
                </c:pt>
                <c:pt idx="2">
                  <c:v>Alytaus</c:v>
                </c:pt>
                <c:pt idx="3">
                  <c:v>Utenos</c:v>
                </c:pt>
                <c:pt idx="4">
                  <c:v>Telšių</c:v>
                </c:pt>
                <c:pt idx="5">
                  <c:v>Panevėžio</c:v>
                </c:pt>
                <c:pt idx="6">
                  <c:v>Kauno</c:v>
                </c:pt>
                <c:pt idx="7">
                  <c:v>Marijampolės</c:v>
                </c:pt>
                <c:pt idx="8">
                  <c:v>Šiaulių</c:v>
                </c:pt>
                <c:pt idx="9">
                  <c:v>Tauragės</c:v>
                </c:pt>
              </c:strCache>
            </c:strRef>
          </c:cat>
          <c:val>
            <c:numRef>
              <c:f>Sheet1!$C$2:$C$11</c:f>
              <c:numCache>
                <c:formatCode>General</c:formatCode>
                <c:ptCount val="10"/>
                <c:pt idx="0">
                  <c:v>205</c:v>
                </c:pt>
                <c:pt idx="1">
                  <c:v>70</c:v>
                </c:pt>
                <c:pt idx="2">
                  <c:v>21</c:v>
                </c:pt>
                <c:pt idx="3">
                  <c:v>18</c:v>
                </c:pt>
                <c:pt idx="4">
                  <c:v>6</c:v>
                </c:pt>
                <c:pt idx="5">
                  <c:v>9</c:v>
                </c:pt>
                <c:pt idx="6">
                  <c:v>9</c:v>
                </c:pt>
                <c:pt idx="7">
                  <c:v>3</c:v>
                </c:pt>
                <c:pt idx="8">
                  <c:v>4</c:v>
                </c:pt>
                <c:pt idx="9">
                  <c:v>0</c:v>
                </c:pt>
              </c:numCache>
            </c:numRef>
          </c:val>
        </c:ser>
        <c:dLbls>
          <c:showLegendKey val="0"/>
          <c:showVal val="0"/>
          <c:showCatName val="0"/>
          <c:showSerName val="0"/>
          <c:showPercent val="0"/>
          <c:showBubbleSize val="0"/>
        </c:dLbls>
        <c:gapWidth val="150"/>
        <c:axId val="106796928"/>
        <c:axId val="106798464"/>
      </c:barChart>
      <c:catAx>
        <c:axId val="1067969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798464"/>
        <c:crosses val="autoZero"/>
        <c:auto val="0"/>
        <c:lblAlgn val="ctr"/>
        <c:lblOffset val="100"/>
        <c:tickMarkSkip val="1"/>
        <c:noMultiLvlLbl val="0"/>
      </c:catAx>
      <c:valAx>
        <c:axId val="10679846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lt-LT"/>
          </a:p>
        </c:txPr>
        <c:crossAx val="106796928"/>
        <c:crosses val="autoZero"/>
        <c:crossBetween val="between"/>
      </c:valAx>
      <c:dTable>
        <c:showHorzBorder val="1"/>
        <c:showVertBorder val="1"/>
        <c:showOutline val="1"/>
        <c:showKeys val="1"/>
        <c:spPr>
          <a:ln w="3175">
            <a:solidFill>
              <a:srgbClr val="000000"/>
            </a:solidFill>
            <a:prstDash val="solid"/>
          </a:ln>
        </c:spPr>
        <c:txPr>
          <a:bodyPr/>
          <a:lstStyle/>
          <a:p>
            <a:pPr rtl="0">
              <a:defRPr sz="975" b="0" i="0" u="none" strike="noStrike" baseline="0">
                <a:solidFill>
                  <a:srgbClr val="000000"/>
                </a:solidFill>
                <a:latin typeface="Arial"/>
                <a:ea typeface="Arial"/>
                <a:cs typeface="Arial"/>
              </a:defRPr>
            </a:pPr>
            <a:endParaRPr lang="lt-LT"/>
          </a:p>
        </c:txPr>
      </c:dTable>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lt-LT"/>
    </a:p>
  </c:tx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27123-515C-49BC-AC18-FCDE03A3D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569</Pages>
  <Words>1422378</Words>
  <Characters>810756</Characters>
  <Application>Microsoft Office Word</Application>
  <DocSecurity>0</DocSecurity>
  <Lines>6756</Lines>
  <Paragraphs>4457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2228677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KUODIENĖ Leonarda</dc:creator>
  <cp:lastModifiedBy>KUODIENĖ Leonarda</cp:lastModifiedBy>
  <cp:revision>2</cp:revision>
  <dcterms:created xsi:type="dcterms:W3CDTF">2015-03-20T10:21:00Z</dcterms:created>
  <dcterms:modified xsi:type="dcterms:W3CDTF">2015-03-20T10:21:00Z</dcterms:modified>
</cp:coreProperties>
</file>